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4592B" w14:textId="1F3CD64C" w:rsidR="00356D76" w:rsidRPr="008F03E5" w:rsidRDefault="00A54378" w:rsidP="00276B73">
      <w:pPr>
        <w:pStyle w:val="Myheadc"/>
      </w:pPr>
      <w:r w:rsidRPr="008F03E5">
        <w:t xml:space="preserve">Glossary </w:t>
      </w:r>
      <w:r w:rsidR="00EE7152" w:rsidRPr="008F03E5">
        <w:t>and</w:t>
      </w:r>
      <w:r w:rsidRPr="008F03E5">
        <w:t xml:space="preserve"> transcription for Arabic &amp; Persian terms</w:t>
      </w:r>
    </w:p>
    <w:p w14:paraId="33EAF581" w14:textId="6AB35174" w:rsidR="005737C1" w:rsidRDefault="005737C1" w:rsidP="0081098E">
      <w:pPr>
        <w:jc w:val="center"/>
      </w:pPr>
      <w:r>
        <w:t>Compiler:  Michael W. Thomas, Queensland</w:t>
      </w:r>
    </w:p>
    <w:p w14:paraId="40BD95AC" w14:textId="1B706ACA" w:rsidR="00766956" w:rsidRPr="0081098E" w:rsidRDefault="00AB511D" w:rsidP="00394649">
      <w:pPr>
        <w:jc w:val="center"/>
      </w:pPr>
      <w:r w:rsidRPr="008F03E5">
        <w:t>Revised</w:t>
      </w:r>
      <w:r w:rsidR="00CA6ED8" w:rsidRPr="008F03E5">
        <w:t xml:space="preserve"> </w:t>
      </w:r>
      <w:r w:rsidR="00766956" w:rsidRPr="008F03E5">
        <w:fldChar w:fldCharType="begin"/>
      </w:r>
      <w:r w:rsidR="00766956" w:rsidRPr="008F03E5">
        <w:instrText xml:space="preserve"> SAVEDATE  \@ "d MMMM yyyy"  \* MERGEFORMAT </w:instrText>
      </w:r>
      <w:r w:rsidR="00766956" w:rsidRPr="008F03E5">
        <w:fldChar w:fldCharType="separate"/>
      </w:r>
      <w:r w:rsidR="009A14EA">
        <w:rPr>
          <w:noProof/>
        </w:rPr>
        <w:t>29 May 2024</w:t>
      </w:r>
      <w:r w:rsidR="00766956" w:rsidRPr="008F03E5">
        <w:fldChar w:fldCharType="end"/>
      </w:r>
    </w:p>
    <w:p w14:paraId="4423B329" w14:textId="77777777" w:rsidR="00D70F2C" w:rsidRPr="008F03E5" w:rsidRDefault="00D70F2C" w:rsidP="00766956">
      <w:pPr>
        <w:pStyle w:val="Myheadc"/>
      </w:pPr>
      <w:r w:rsidRPr="008F03E5">
        <w:t>Contents</w:t>
      </w:r>
    </w:p>
    <w:p w14:paraId="289D1745" w14:textId="77777777" w:rsidR="008E7215" w:rsidRPr="008F03E5" w:rsidRDefault="008E7215" w:rsidP="00C47334">
      <w:pPr>
        <w:pStyle w:val="TOC2"/>
        <w:sectPr w:rsidR="008E7215" w:rsidRPr="008F03E5" w:rsidSect="006A0123">
          <w:headerReference w:type="default" r:id="rId9"/>
          <w:footerReference w:type="even" r:id="rId10"/>
          <w:footerReference w:type="default" r:id="rId11"/>
          <w:footerReference w:type="first" r:id="rId12"/>
          <w:footnotePr>
            <w:numRestart w:val="eachPage"/>
          </w:footnotePr>
          <w:pgSz w:w="11909" w:h="16834" w:code="9"/>
          <w:pgMar w:top="720" w:right="567" w:bottom="720" w:left="567" w:header="720" w:footer="567" w:gutter="0"/>
          <w:cols w:space="708"/>
          <w:noEndnote/>
          <w:titlePg/>
          <w:docGrid w:linePitch="272"/>
        </w:sectPr>
      </w:pPr>
    </w:p>
    <w:p w14:paraId="57FA7EC4" w14:textId="77777777" w:rsidR="00286EA5" w:rsidRDefault="00B5146E">
      <w:pPr>
        <w:pStyle w:val="TOC1"/>
        <w:rPr>
          <w:rFonts w:asciiTheme="minorHAnsi" w:eastAsiaTheme="minorEastAsia" w:hAnsiTheme="minorHAnsi" w:cstheme="minorBidi"/>
          <w:noProof/>
          <w:sz w:val="22"/>
          <w:lang w:val="en-AU" w:eastAsia="en-AU"/>
          <w14:numForm w14:val="default"/>
          <w14:numSpacing w14:val="default"/>
        </w:rPr>
      </w:pPr>
      <w:r>
        <w:lastRenderedPageBreak/>
        <w:fldChar w:fldCharType="begin"/>
      </w:r>
      <w:r>
        <w:instrText xml:space="preserve"> TOC </w:instrText>
      </w:r>
      <w:r w:rsidR="003F700B">
        <w:instrText xml:space="preserve">\o 1-3 </w:instrText>
      </w:r>
      <w:r>
        <w:instrText xml:space="preserve">\f </w:instrText>
      </w:r>
      <w:r>
        <w:fldChar w:fldCharType="separate"/>
      </w:r>
      <w:r w:rsidR="00286EA5" w:rsidRPr="00251C6B">
        <w:rPr>
          <w:noProof/>
        </w:rPr>
        <w:t>Introduction</w:t>
      </w:r>
      <w:r w:rsidR="00286EA5" w:rsidRPr="00251C6B">
        <w:rPr>
          <w:noProof/>
          <w:color w:val="FFFFFF" w:themeColor="background1"/>
        </w:rPr>
        <w:t>..</w:t>
      </w:r>
      <w:r w:rsidR="00286EA5">
        <w:rPr>
          <w:rFonts w:asciiTheme="minorHAnsi" w:eastAsiaTheme="minorEastAsia" w:hAnsiTheme="minorHAnsi" w:cstheme="minorBidi"/>
          <w:noProof/>
          <w:sz w:val="22"/>
          <w:lang w:val="en-AU" w:eastAsia="en-AU"/>
          <w14:numForm w14:val="default"/>
          <w14:numSpacing w14:val="default"/>
        </w:rPr>
        <w:tab/>
      </w:r>
      <w:r w:rsidR="00286EA5" w:rsidRPr="00251C6B">
        <w:rPr>
          <w:noProof/>
          <w:color w:val="FFFFFF" w:themeColor="background1"/>
        </w:rPr>
        <w:t>.</w:t>
      </w:r>
      <w:r w:rsidR="00286EA5">
        <w:rPr>
          <w:noProof/>
        </w:rPr>
        <w:tab/>
      </w:r>
      <w:r w:rsidR="00286EA5">
        <w:rPr>
          <w:noProof/>
        </w:rPr>
        <w:fldChar w:fldCharType="begin"/>
      </w:r>
      <w:r w:rsidR="00286EA5">
        <w:rPr>
          <w:noProof/>
        </w:rPr>
        <w:instrText xml:space="preserve"> PAGEREF _Toc167691860 \h </w:instrText>
      </w:r>
      <w:r w:rsidR="00286EA5">
        <w:rPr>
          <w:noProof/>
        </w:rPr>
      </w:r>
      <w:r w:rsidR="00286EA5">
        <w:rPr>
          <w:noProof/>
        </w:rPr>
        <w:fldChar w:fldCharType="separate"/>
      </w:r>
      <w:r w:rsidR="00A36C2E">
        <w:rPr>
          <w:noProof/>
        </w:rPr>
        <w:t>1</w:t>
      </w:r>
      <w:r w:rsidR="00286EA5">
        <w:rPr>
          <w:noProof/>
        </w:rPr>
        <w:fldChar w:fldCharType="end"/>
      </w:r>
    </w:p>
    <w:p w14:paraId="3FDE0A48"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Romanisation of Arabic</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_Toc167691861 \h </w:instrText>
      </w:r>
      <w:r>
        <w:rPr>
          <w:noProof/>
        </w:rPr>
      </w:r>
      <w:r>
        <w:rPr>
          <w:noProof/>
        </w:rPr>
        <w:fldChar w:fldCharType="separate"/>
      </w:r>
      <w:r w:rsidR="00A36C2E">
        <w:rPr>
          <w:noProof/>
        </w:rPr>
        <w:t>1</w:t>
      </w:r>
      <w:r>
        <w:rPr>
          <w:noProof/>
        </w:rPr>
        <w:fldChar w:fldCharType="end"/>
      </w:r>
    </w:p>
    <w:p w14:paraId="443D4745"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Standardisation</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rPr>
        <w:t>.</w:t>
      </w:r>
      <w:r>
        <w:rPr>
          <w:noProof/>
        </w:rPr>
        <w:tab/>
      </w:r>
      <w:r>
        <w:rPr>
          <w:noProof/>
        </w:rPr>
        <w:fldChar w:fldCharType="begin"/>
      </w:r>
      <w:r>
        <w:rPr>
          <w:noProof/>
        </w:rPr>
        <w:instrText xml:space="preserve"> PAGEREF _Toc167691862 \h </w:instrText>
      </w:r>
      <w:r>
        <w:rPr>
          <w:noProof/>
        </w:rPr>
      </w:r>
      <w:r>
        <w:rPr>
          <w:noProof/>
        </w:rPr>
        <w:fldChar w:fldCharType="separate"/>
      </w:r>
      <w:r w:rsidR="00A36C2E">
        <w:rPr>
          <w:noProof/>
        </w:rPr>
        <w:t>2</w:t>
      </w:r>
      <w:r>
        <w:rPr>
          <w:noProof/>
        </w:rPr>
        <w:fldChar w:fldCharType="end"/>
      </w:r>
    </w:p>
    <w:p w14:paraId="7DE3F71B" w14:textId="77777777" w:rsidR="00286EA5" w:rsidRPr="00A36C2E" w:rsidRDefault="00286EA5">
      <w:pPr>
        <w:pStyle w:val="TOC2"/>
        <w:rPr>
          <w:rFonts w:asciiTheme="minorHAnsi" w:eastAsiaTheme="minorEastAsia" w:hAnsiTheme="minorHAnsi" w:cstheme="minorBidi"/>
          <w:i w:val="0"/>
          <w:noProof/>
          <w:sz w:val="22"/>
          <w:lang w:val="fr-FR" w:eastAsia="en-AU"/>
          <w14:numForm w14:val="default"/>
          <w14:numSpacing w14:val="default"/>
        </w:rPr>
      </w:pPr>
      <w:r w:rsidRPr="00A36C2E">
        <w:rPr>
          <w:bCs/>
          <w:noProof/>
          <w:lang w:val="fr-FR"/>
        </w:rPr>
        <w:t>Bahá’í transcription</w:t>
      </w:r>
      <w:r w:rsidRPr="00A36C2E">
        <w:rPr>
          <w:bCs/>
          <w:i w:val="0"/>
          <w:iCs/>
          <w:noProof/>
          <w:color w:val="FFFFFF" w:themeColor="background1"/>
          <w:lang w:val="fr-FR"/>
        </w:rPr>
        <w:t>..</w:t>
      </w:r>
      <w:r w:rsidRPr="00A36C2E">
        <w:rPr>
          <w:rFonts w:asciiTheme="minorHAnsi" w:eastAsiaTheme="minorEastAsia" w:hAnsiTheme="minorHAnsi" w:cstheme="minorBidi"/>
          <w:i w:val="0"/>
          <w:noProof/>
          <w:sz w:val="22"/>
          <w:lang w:val="fr-FR" w:eastAsia="en-AU"/>
          <w14:numForm w14:val="default"/>
          <w14:numSpacing w14:val="default"/>
        </w:rPr>
        <w:tab/>
      </w:r>
      <w:r w:rsidRPr="00A36C2E">
        <w:rPr>
          <w:bCs/>
          <w:i w:val="0"/>
          <w:iCs/>
          <w:noProof/>
          <w:color w:val="FFFFFF" w:themeColor="background1"/>
          <w:lang w:val="fr-FR"/>
        </w:rPr>
        <w:t>.</w:t>
      </w:r>
      <w:r w:rsidRPr="00A36C2E">
        <w:rPr>
          <w:noProof/>
          <w:lang w:val="fr-FR"/>
        </w:rPr>
        <w:tab/>
      </w:r>
      <w:r>
        <w:rPr>
          <w:noProof/>
        </w:rPr>
        <w:fldChar w:fldCharType="begin"/>
      </w:r>
      <w:r w:rsidRPr="00A36C2E">
        <w:rPr>
          <w:noProof/>
          <w:lang w:val="fr-FR"/>
        </w:rPr>
        <w:instrText xml:space="preserve"> PAGEREF _Toc167691863 \h </w:instrText>
      </w:r>
      <w:r>
        <w:rPr>
          <w:noProof/>
        </w:rPr>
      </w:r>
      <w:r>
        <w:rPr>
          <w:noProof/>
        </w:rPr>
        <w:fldChar w:fldCharType="separate"/>
      </w:r>
      <w:r w:rsidR="00A36C2E" w:rsidRPr="00A36C2E">
        <w:rPr>
          <w:noProof/>
          <w:lang w:val="fr-FR"/>
        </w:rPr>
        <w:t>2</w:t>
      </w:r>
      <w:r>
        <w:rPr>
          <w:noProof/>
        </w:rPr>
        <w:fldChar w:fldCharType="end"/>
      </w:r>
    </w:p>
    <w:p w14:paraId="2D8BCD3B" w14:textId="77777777" w:rsidR="00286EA5" w:rsidRPr="00A36C2E" w:rsidRDefault="00286EA5">
      <w:pPr>
        <w:pStyle w:val="TOC1"/>
        <w:rPr>
          <w:rFonts w:asciiTheme="minorHAnsi" w:eastAsiaTheme="minorEastAsia" w:hAnsiTheme="minorHAnsi" w:cstheme="minorBidi"/>
          <w:noProof/>
          <w:sz w:val="22"/>
          <w:lang w:val="fr-FR" w:eastAsia="en-AU"/>
          <w14:numForm w14:val="default"/>
          <w14:numSpacing w14:val="default"/>
        </w:rPr>
      </w:pPr>
      <w:r w:rsidRPr="00A36C2E">
        <w:rPr>
          <w:noProof/>
          <w:lang w:val="fr-FR"/>
        </w:rPr>
        <w:t>Accuracy</w:t>
      </w:r>
      <w:r w:rsidRPr="00A36C2E">
        <w:rPr>
          <w:noProof/>
          <w:color w:val="FFFFFF" w:themeColor="background1"/>
          <w:lang w:val="fr-FR"/>
        </w:rPr>
        <w:t>..</w:t>
      </w:r>
      <w:r w:rsidRPr="00A36C2E">
        <w:rPr>
          <w:rFonts w:asciiTheme="minorHAnsi" w:eastAsiaTheme="minorEastAsia" w:hAnsiTheme="minorHAnsi" w:cstheme="minorBidi"/>
          <w:noProof/>
          <w:sz w:val="22"/>
          <w:lang w:val="fr-FR" w:eastAsia="en-AU"/>
          <w14:numForm w14:val="default"/>
          <w14:numSpacing w14:val="default"/>
        </w:rPr>
        <w:tab/>
      </w:r>
      <w:r w:rsidRPr="00A36C2E">
        <w:rPr>
          <w:noProof/>
          <w:color w:val="FFFFFF" w:themeColor="background1"/>
          <w:lang w:val="fr-FR"/>
        </w:rPr>
        <w:t>.</w:t>
      </w:r>
      <w:r w:rsidRPr="00A36C2E">
        <w:rPr>
          <w:noProof/>
          <w:lang w:val="fr-FR"/>
        </w:rPr>
        <w:tab/>
      </w:r>
      <w:r>
        <w:rPr>
          <w:noProof/>
        </w:rPr>
        <w:fldChar w:fldCharType="begin"/>
      </w:r>
      <w:r w:rsidRPr="00A36C2E">
        <w:rPr>
          <w:noProof/>
          <w:lang w:val="fr-FR"/>
        </w:rPr>
        <w:instrText xml:space="preserve"> PAGEREF _Toc167691864 \h </w:instrText>
      </w:r>
      <w:r>
        <w:rPr>
          <w:noProof/>
        </w:rPr>
      </w:r>
      <w:r>
        <w:rPr>
          <w:noProof/>
        </w:rPr>
        <w:fldChar w:fldCharType="separate"/>
      </w:r>
      <w:r w:rsidR="00A36C2E" w:rsidRPr="00A36C2E">
        <w:rPr>
          <w:noProof/>
          <w:lang w:val="fr-FR"/>
        </w:rPr>
        <w:t>2</w:t>
      </w:r>
      <w:r>
        <w:rPr>
          <w:noProof/>
        </w:rPr>
        <w:fldChar w:fldCharType="end"/>
      </w:r>
    </w:p>
    <w:p w14:paraId="674D2507" w14:textId="77777777" w:rsidR="00286EA5" w:rsidRPr="00A36C2E" w:rsidRDefault="00286EA5">
      <w:pPr>
        <w:pStyle w:val="TOC1"/>
        <w:rPr>
          <w:rFonts w:asciiTheme="minorHAnsi" w:eastAsiaTheme="minorEastAsia" w:hAnsiTheme="minorHAnsi" w:cstheme="minorBidi"/>
          <w:noProof/>
          <w:sz w:val="22"/>
          <w:lang w:val="fr-FR" w:eastAsia="en-AU"/>
          <w14:numForm w14:val="default"/>
          <w14:numSpacing w14:val="default"/>
        </w:rPr>
      </w:pPr>
      <w:r w:rsidRPr="00A36C2E">
        <w:rPr>
          <w:bCs/>
          <w:noProof/>
          <w:lang w:val="fr-FR"/>
        </w:rPr>
        <w:t>Information sources</w:t>
      </w:r>
      <w:r w:rsidRPr="00A36C2E">
        <w:rPr>
          <w:bCs/>
          <w:noProof/>
          <w:color w:val="FFFFFF" w:themeColor="background1"/>
          <w:lang w:val="fr-FR"/>
        </w:rPr>
        <w:t>..</w:t>
      </w:r>
      <w:r w:rsidRPr="00A36C2E">
        <w:rPr>
          <w:rFonts w:asciiTheme="minorHAnsi" w:eastAsiaTheme="minorEastAsia" w:hAnsiTheme="minorHAnsi" w:cstheme="minorBidi"/>
          <w:noProof/>
          <w:sz w:val="22"/>
          <w:lang w:val="fr-FR" w:eastAsia="en-AU"/>
          <w14:numForm w14:val="default"/>
          <w14:numSpacing w14:val="default"/>
        </w:rPr>
        <w:tab/>
      </w:r>
      <w:r w:rsidRPr="00A36C2E">
        <w:rPr>
          <w:bCs/>
          <w:noProof/>
          <w:color w:val="FFFFFF" w:themeColor="background1"/>
          <w:lang w:val="fr-FR"/>
        </w:rPr>
        <w:t>.</w:t>
      </w:r>
      <w:r w:rsidRPr="00A36C2E">
        <w:rPr>
          <w:noProof/>
          <w:lang w:val="fr-FR"/>
        </w:rPr>
        <w:tab/>
      </w:r>
      <w:r>
        <w:rPr>
          <w:noProof/>
        </w:rPr>
        <w:fldChar w:fldCharType="begin"/>
      </w:r>
      <w:r w:rsidRPr="00A36C2E">
        <w:rPr>
          <w:noProof/>
          <w:lang w:val="fr-FR"/>
        </w:rPr>
        <w:instrText xml:space="preserve"> PAGEREF _Toc167691865 \h </w:instrText>
      </w:r>
      <w:r>
        <w:rPr>
          <w:noProof/>
        </w:rPr>
      </w:r>
      <w:r>
        <w:rPr>
          <w:noProof/>
        </w:rPr>
        <w:fldChar w:fldCharType="separate"/>
      </w:r>
      <w:r w:rsidR="00A36C2E" w:rsidRPr="00A36C2E">
        <w:rPr>
          <w:noProof/>
          <w:lang w:val="fr-FR"/>
        </w:rPr>
        <w:t>3</w:t>
      </w:r>
      <w:r>
        <w:rPr>
          <w:noProof/>
        </w:rPr>
        <w:fldChar w:fldCharType="end"/>
      </w:r>
    </w:p>
    <w:p w14:paraId="15925A28"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List arrangement</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_Toc167691866 \h </w:instrText>
      </w:r>
      <w:r>
        <w:rPr>
          <w:noProof/>
        </w:rPr>
      </w:r>
      <w:r>
        <w:rPr>
          <w:noProof/>
        </w:rPr>
        <w:fldChar w:fldCharType="separate"/>
      </w:r>
      <w:r w:rsidR="00A36C2E">
        <w:rPr>
          <w:noProof/>
        </w:rPr>
        <w:t>3</w:t>
      </w:r>
      <w:r>
        <w:rPr>
          <w:noProof/>
        </w:rPr>
        <w:fldChar w:fldCharType="end"/>
      </w:r>
    </w:p>
    <w:p w14:paraId="2A99777D"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Searching the list</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_Toc167691867 \h </w:instrText>
      </w:r>
      <w:r>
        <w:rPr>
          <w:noProof/>
        </w:rPr>
      </w:r>
      <w:r>
        <w:rPr>
          <w:noProof/>
        </w:rPr>
        <w:fldChar w:fldCharType="separate"/>
      </w:r>
      <w:r w:rsidR="00A36C2E">
        <w:rPr>
          <w:noProof/>
        </w:rPr>
        <w:t>3</w:t>
      </w:r>
      <w:r>
        <w:rPr>
          <w:noProof/>
        </w:rPr>
        <w:fldChar w:fldCharType="end"/>
      </w:r>
    </w:p>
    <w:p w14:paraId="5C89D0C6"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Phonetic or common spelling</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_Toc167691868 \h </w:instrText>
      </w:r>
      <w:r>
        <w:rPr>
          <w:noProof/>
        </w:rPr>
      </w:r>
      <w:r>
        <w:rPr>
          <w:noProof/>
        </w:rPr>
        <w:fldChar w:fldCharType="separate"/>
      </w:r>
      <w:r w:rsidR="00A36C2E">
        <w:rPr>
          <w:noProof/>
        </w:rPr>
        <w:t>3</w:t>
      </w:r>
      <w:r>
        <w:rPr>
          <w:noProof/>
        </w:rPr>
        <w:fldChar w:fldCharType="end"/>
      </w:r>
    </w:p>
    <w:p w14:paraId="2E1B1805" w14:textId="77777777" w:rsidR="00286EA5" w:rsidRDefault="00286EA5">
      <w:pPr>
        <w:pStyle w:val="TOC3"/>
        <w:rPr>
          <w:rFonts w:asciiTheme="minorHAnsi" w:eastAsiaTheme="minorEastAsia" w:hAnsiTheme="minorHAnsi" w:cstheme="minorBidi"/>
          <w:b w:val="0"/>
          <w:noProof/>
          <w:sz w:val="22"/>
          <w:szCs w:val="22"/>
          <w:lang w:val="en-AU" w:eastAsia="en-AU"/>
          <w14:numForm w14:val="default"/>
          <w14:numSpacing w14:val="default"/>
        </w:rPr>
      </w:pPr>
      <w:r>
        <w:rPr>
          <w:noProof/>
        </w:rPr>
        <w:t>Alphabetical list</w:t>
      </w:r>
      <w:r w:rsidRPr="00251C6B">
        <w:rPr>
          <w:noProof/>
          <w:color w:val="FFFFFF" w:themeColor="background1"/>
        </w:rPr>
        <w:t>..</w:t>
      </w:r>
      <w:r>
        <w:rPr>
          <w:rFonts w:asciiTheme="minorHAnsi" w:eastAsiaTheme="minorEastAsia" w:hAnsiTheme="minorHAnsi" w:cstheme="minorBidi"/>
          <w:b w:val="0"/>
          <w:noProof/>
          <w:sz w:val="22"/>
          <w:szCs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_Toc167691869 \h </w:instrText>
      </w:r>
      <w:r>
        <w:rPr>
          <w:noProof/>
        </w:rPr>
      </w:r>
      <w:r>
        <w:rPr>
          <w:noProof/>
        </w:rPr>
        <w:fldChar w:fldCharType="separate"/>
      </w:r>
      <w:r w:rsidR="00A36C2E">
        <w:rPr>
          <w:noProof/>
        </w:rPr>
        <w:t>3</w:t>
      </w:r>
      <w:r>
        <w:rPr>
          <w:noProof/>
        </w:rPr>
        <w:fldChar w:fldCharType="end"/>
      </w:r>
    </w:p>
    <w:p w14:paraId="6075345B"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Prefixes, suffixes and links</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_Toc167691870 \h </w:instrText>
      </w:r>
      <w:r>
        <w:rPr>
          <w:noProof/>
        </w:rPr>
      </w:r>
      <w:r>
        <w:rPr>
          <w:noProof/>
        </w:rPr>
        <w:fldChar w:fldCharType="separate"/>
      </w:r>
      <w:r w:rsidR="00A36C2E">
        <w:rPr>
          <w:noProof/>
        </w:rPr>
        <w:t>3</w:t>
      </w:r>
      <w:r>
        <w:rPr>
          <w:noProof/>
        </w:rPr>
        <w:fldChar w:fldCharType="end"/>
      </w:r>
    </w:p>
    <w:p w14:paraId="0B667E46"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Links</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rPr>
        <w:t>.</w:t>
      </w:r>
      <w:r>
        <w:rPr>
          <w:noProof/>
        </w:rPr>
        <w:tab/>
      </w:r>
      <w:r>
        <w:rPr>
          <w:noProof/>
        </w:rPr>
        <w:fldChar w:fldCharType="begin"/>
      </w:r>
      <w:r>
        <w:rPr>
          <w:noProof/>
        </w:rPr>
        <w:instrText xml:space="preserve"> PAGEREF _Toc167691871 \h </w:instrText>
      </w:r>
      <w:r>
        <w:rPr>
          <w:noProof/>
        </w:rPr>
      </w:r>
      <w:r>
        <w:rPr>
          <w:noProof/>
        </w:rPr>
        <w:fldChar w:fldCharType="separate"/>
      </w:r>
      <w:r w:rsidR="00A36C2E">
        <w:rPr>
          <w:noProof/>
        </w:rPr>
        <w:t>3</w:t>
      </w:r>
      <w:r>
        <w:rPr>
          <w:noProof/>
        </w:rPr>
        <w:fldChar w:fldCharType="end"/>
      </w:r>
    </w:p>
    <w:p w14:paraId="7606F687"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Prefixes</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rPr>
        <w:t>.</w:t>
      </w:r>
      <w:r>
        <w:rPr>
          <w:noProof/>
        </w:rPr>
        <w:tab/>
      </w:r>
      <w:r>
        <w:rPr>
          <w:noProof/>
        </w:rPr>
        <w:fldChar w:fldCharType="begin"/>
      </w:r>
      <w:r>
        <w:rPr>
          <w:noProof/>
        </w:rPr>
        <w:instrText xml:space="preserve"> PAGEREF _Toc167691872 \h </w:instrText>
      </w:r>
      <w:r>
        <w:rPr>
          <w:noProof/>
        </w:rPr>
      </w:r>
      <w:r>
        <w:rPr>
          <w:noProof/>
        </w:rPr>
        <w:fldChar w:fldCharType="separate"/>
      </w:r>
      <w:r w:rsidR="00A36C2E">
        <w:rPr>
          <w:noProof/>
        </w:rPr>
        <w:t>3</w:t>
      </w:r>
      <w:r>
        <w:rPr>
          <w:noProof/>
        </w:rPr>
        <w:fldChar w:fldCharType="end"/>
      </w:r>
    </w:p>
    <w:p w14:paraId="042C949B"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Suffixes</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rPr>
        <w:t>.</w:t>
      </w:r>
      <w:r>
        <w:rPr>
          <w:noProof/>
        </w:rPr>
        <w:tab/>
      </w:r>
      <w:r>
        <w:rPr>
          <w:noProof/>
        </w:rPr>
        <w:fldChar w:fldCharType="begin"/>
      </w:r>
      <w:r>
        <w:rPr>
          <w:noProof/>
        </w:rPr>
        <w:instrText xml:space="preserve"> PAGEREF _Toc167691873 \h </w:instrText>
      </w:r>
      <w:r>
        <w:rPr>
          <w:noProof/>
        </w:rPr>
      </w:r>
      <w:r>
        <w:rPr>
          <w:noProof/>
        </w:rPr>
        <w:fldChar w:fldCharType="separate"/>
      </w:r>
      <w:r w:rsidR="00A36C2E">
        <w:rPr>
          <w:noProof/>
        </w:rPr>
        <w:t>3</w:t>
      </w:r>
      <w:r>
        <w:rPr>
          <w:noProof/>
        </w:rPr>
        <w:fldChar w:fldCharType="end"/>
      </w:r>
    </w:p>
    <w:p w14:paraId="3D4D9FA7"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Arabic and Persian</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_Toc167691874 \h </w:instrText>
      </w:r>
      <w:r>
        <w:rPr>
          <w:noProof/>
        </w:rPr>
      </w:r>
      <w:r>
        <w:rPr>
          <w:noProof/>
        </w:rPr>
        <w:fldChar w:fldCharType="separate"/>
      </w:r>
      <w:r w:rsidR="00A36C2E">
        <w:rPr>
          <w:noProof/>
        </w:rPr>
        <w:t>312</w:t>
      </w:r>
      <w:r>
        <w:rPr>
          <w:noProof/>
        </w:rPr>
        <w:fldChar w:fldCharType="end"/>
      </w:r>
    </w:p>
    <w:p w14:paraId="65F29CFC" w14:textId="77777777" w:rsidR="00286EA5" w:rsidRPr="00286EA5" w:rsidRDefault="00286EA5">
      <w:pPr>
        <w:pStyle w:val="TOC2"/>
        <w:rPr>
          <w:rFonts w:asciiTheme="minorHAnsi" w:eastAsiaTheme="minorEastAsia" w:hAnsiTheme="minorHAnsi" w:cstheme="minorBidi"/>
          <w:i w:val="0"/>
          <w:noProof/>
          <w:sz w:val="22"/>
          <w:lang w:val="fr-FR" w:eastAsia="en-AU"/>
          <w14:numForm w14:val="default"/>
          <w14:numSpacing w14:val="default"/>
        </w:rPr>
      </w:pPr>
      <w:r w:rsidRPr="00286EA5">
        <w:rPr>
          <w:noProof/>
          <w:lang w:val="fr-FR"/>
        </w:rPr>
        <w:t>Letters, transcription &amp; abjad</w:t>
      </w:r>
      <w:r w:rsidRPr="00286EA5">
        <w:rPr>
          <w:noProof/>
          <w:color w:val="FFFFFF" w:themeColor="background1"/>
          <w:lang w:val="fr-FR"/>
        </w:rPr>
        <w:t>..</w:t>
      </w:r>
      <w:r w:rsidRPr="00286EA5">
        <w:rPr>
          <w:rFonts w:asciiTheme="minorHAnsi" w:eastAsiaTheme="minorEastAsia" w:hAnsiTheme="minorHAnsi" w:cstheme="minorBidi"/>
          <w:i w:val="0"/>
          <w:noProof/>
          <w:sz w:val="22"/>
          <w:lang w:val="fr-FR" w:eastAsia="en-AU"/>
          <w14:numForm w14:val="default"/>
          <w14:numSpacing w14:val="default"/>
        </w:rPr>
        <w:tab/>
      </w:r>
      <w:r w:rsidRPr="00286EA5">
        <w:rPr>
          <w:i w:val="0"/>
          <w:iCs/>
          <w:noProof/>
          <w:color w:val="FFFFFF" w:themeColor="background1"/>
          <w:lang w:val="fr-FR"/>
        </w:rPr>
        <w:t>.</w:t>
      </w:r>
      <w:r w:rsidRPr="00286EA5">
        <w:rPr>
          <w:noProof/>
          <w:lang w:val="fr-FR"/>
        </w:rPr>
        <w:tab/>
      </w:r>
      <w:r>
        <w:rPr>
          <w:noProof/>
        </w:rPr>
        <w:fldChar w:fldCharType="begin"/>
      </w:r>
      <w:r w:rsidRPr="00286EA5">
        <w:rPr>
          <w:noProof/>
          <w:lang w:val="fr-FR"/>
        </w:rPr>
        <w:instrText xml:space="preserve"> PAGEREF _Toc167691875 \h </w:instrText>
      </w:r>
      <w:r>
        <w:rPr>
          <w:noProof/>
        </w:rPr>
      </w:r>
      <w:r>
        <w:rPr>
          <w:noProof/>
        </w:rPr>
        <w:fldChar w:fldCharType="separate"/>
      </w:r>
      <w:r w:rsidR="00A36C2E">
        <w:rPr>
          <w:noProof/>
          <w:lang w:val="fr-FR"/>
        </w:rPr>
        <w:t>312</w:t>
      </w:r>
      <w:r>
        <w:rPr>
          <w:noProof/>
        </w:rPr>
        <w:fldChar w:fldCharType="end"/>
      </w:r>
    </w:p>
    <w:p w14:paraId="277D6F27" w14:textId="77777777" w:rsidR="00286EA5" w:rsidRPr="00286EA5" w:rsidRDefault="00286EA5">
      <w:pPr>
        <w:pStyle w:val="TOC2"/>
        <w:rPr>
          <w:rFonts w:asciiTheme="minorHAnsi" w:eastAsiaTheme="minorEastAsia" w:hAnsiTheme="minorHAnsi" w:cstheme="minorBidi"/>
          <w:i w:val="0"/>
          <w:noProof/>
          <w:sz w:val="22"/>
          <w:lang w:val="fr-FR" w:eastAsia="en-AU"/>
          <w14:numForm w14:val="default"/>
          <w14:numSpacing w14:val="default"/>
        </w:rPr>
      </w:pPr>
      <w:r w:rsidRPr="00286EA5">
        <w:rPr>
          <w:i w:val="0"/>
          <w:iCs/>
          <w:noProof/>
          <w:lang w:val="fr-FR"/>
        </w:rPr>
        <w:t>‘</w:t>
      </w:r>
      <w:r w:rsidRPr="00286EA5">
        <w:rPr>
          <w:noProof/>
          <w:lang w:val="fr-FR"/>
        </w:rPr>
        <w:t>Ayn &amp; hamza consonants</w:t>
      </w:r>
      <w:r w:rsidRPr="00286EA5">
        <w:rPr>
          <w:noProof/>
          <w:color w:val="FFFFFF" w:themeColor="background1"/>
          <w:lang w:val="fr-FR"/>
        </w:rPr>
        <w:t>..</w:t>
      </w:r>
      <w:r w:rsidRPr="00286EA5">
        <w:rPr>
          <w:rFonts w:asciiTheme="minorHAnsi" w:eastAsiaTheme="minorEastAsia" w:hAnsiTheme="minorHAnsi" w:cstheme="minorBidi"/>
          <w:i w:val="0"/>
          <w:noProof/>
          <w:sz w:val="22"/>
          <w:lang w:val="fr-FR" w:eastAsia="en-AU"/>
          <w14:numForm w14:val="default"/>
          <w14:numSpacing w14:val="default"/>
        </w:rPr>
        <w:tab/>
      </w:r>
      <w:r w:rsidRPr="00286EA5">
        <w:rPr>
          <w:i w:val="0"/>
          <w:iCs/>
          <w:noProof/>
          <w:color w:val="FFFFFF" w:themeColor="background1"/>
          <w:lang w:val="fr-FR"/>
        </w:rPr>
        <w:t>.</w:t>
      </w:r>
      <w:r w:rsidRPr="00286EA5">
        <w:rPr>
          <w:noProof/>
          <w:lang w:val="fr-FR"/>
        </w:rPr>
        <w:tab/>
      </w:r>
      <w:r>
        <w:rPr>
          <w:noProof/>
        </w:rPr>
        <w:fldChar w:fldCharType="begin"/>
      </w:r>
      <w:r w:rsidRPr="00286EA5">
        <w:rPr>
          <w:noProof/>
          <w:lang w:val="fr-FR"/>
        </w:rPr>
        <w:instrText xml:space="preserve"> PAGEREF _Toc167691876 \h </w:instrText>
      </w:r>
      <w:r>
        <w:rPr>
          <w:noProof/>
        </w:rPr>
      </w:r>
      <w:r>
        <w:rPr>
          <w:noProof/>
        </w:rPr>
        <w:fldChar w:fldCharType="separate"/>
      </w:r>
      <w:r w:rsidR="00A36C2E">
        <w:rPr>
          <w:noProof/>
          <w:lang w:val="fr-FR"/>
        </w:rPr>
        <w:t>312</w:t>
      </w:r>
      <w:r>
        <w:rPr>
          <w:noProof/>
        </w:rPr>
        <w:fldChar w:fldCharType="end"/>
      </w:r>
    </w:p>
    <w:p w14:paraId="121DEB76" w14:textId="77777777" w:rsidR="00286EA5" w:rsidRPr="00286EA5" w:rsidRDefault="00286EA5">
      <w:pPr>
        <w:pStyle w:val="TOC2"/>
        <w:rPr>
          <w:rFonts w:asciiTheme="minorHAnsi" w:eastAsiaTheme="minorEastAsia" w:hAnsiTheme="minorHAnsi" w:cstheme="minorBidi"/>
          <w:i w:val="0"/>
          <w:noProof/>
          <w:sz w:val="22"/>
          <w:lang w:val="fr-FR" w:eastAsia="en-AU"/>
          <w14:numForm w14:val="default"/>
          <w14:numSpacing w14:val="default"/>
        </w:rPr>
      </w:pPr>
      <w:r w:rsidRPr="00286EA5">
        <w:rPr>
          <w:bCs/>
          <w:noProof/>
          <w:lang w:val="fr-FR"/>
        </w:rPr>
        <w:t>Capitalisation</w:t>
      </w:r>
      <w:r w:rsidRPr="00286EA5">
        <w:rPr>
          <w:bCs/>
          <w:noProof/>
          <w:color w:val="FFFFFF" w:themeColor="background1"/>
          <w:lang w:val="fr-FR"/>
        </w:rPr>
        <w:t>..</w:t>
      </w:r>
      <w:r w:rsidRPr="00286EA5">
        <w:rPr>
          <w:rFonts w:asciiTheme="minorHAnsi" w:eastAsiaTheme="minorEastAsia" w:hAnsiTheme="minorHAnsi" w:cstheme="minorBidi"/>
          <w:i w:val="0"/>
          <w:noProof/>
          <w:sz w:val="22"/>
          <w:lang w:val="fr-FR" w:eastAsia="en-AU"/>
          <w14:numForm w14:val="default"/>
          <w14:numSpacing w14:val="default"/>
        </w:rPr>
        <w:tab/>
      </w:r>
      <w:r w:rsidRPr="00286EA5">
        <w:rPr>
          <w:bCs/>
          <w:noProof/>
          <w:color w:val="FFFFFF" w:themeColor="background1"/>
          <w:lang w:val="fr-FR"/>
        </w:rPr>
        <w:t>.</w:t>
      </w:r>
      <w:r w:rsidRPr="00286EA5">
        <w:rPr>
          <w:noProof/>
          <w:lang w:val="fr-FR"/>
        </w:rPr>
        <w:tab/>
      </w:r>
      <w:r>
        <w:rPr>
          <w:noProof/>
        </w:rPr>
        <w:fldChar w:fldCharType="begin"/>
      </w:r>
      <w:r w:rsidRPr="00286EA5">
        <w:rPr>
          <w:noProof/>
          <w:lang w:val="fr-FR"/>
        </w:rPr>
        <w:instrText xml:space="preserve"> PAGEREF _Toc167691877 \h </w:instrText>
      </w:r>
      <w:r>
        <w:rPr>
          <w:noProof/>
        </w:rPr>
      </w:r>
      <w:r>
        <w:rPr>
          <w:noProof/>
        </w:rPr>
        <w:fldChar w:fldCharType="separate"/>
      </w:r>
      <w:r w:rsidR="00A36C2E">
        <w:rPr>
          <w:noProof/>
          <w:lang w:val="fr-FR"/>
        </w:rPr>
        <w:t>312</w:t>
      </w:r>
      <w:r>
        <w:rPr>
          <w:noProof/>
        </w:rPr>
        <w:fldChar w:fldCharType="end"/>
      </w:r>
    </w:p>
    <w:p w14:paraId="20DEBB80"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lastRenderedPageBreak/>
        <w:t>Elative word forms</w:t>
      </w:r>
      <w:r w:rsidRPr="00251C6B">
        <w:rPr>
          <w:b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lang w:val="en-AU"/>
        </w:rPr>
        <w:t>.</w:t>
      </w:r>
      <w:r>
        <w:rPr>
          <w:noProof/>
        </w:rPr>
        <w:tab/>
      </w:r>
      <w:r>
        <w:rPr>
          <w:noProof/>
        </w:rPr>
        <w:fldChar w:fldCharType="begin"/>
      </w:r>
      <w:r>
        <w:rPr>
          <w:noProof/>
        </w:rPr>
        <w:instrText xml:space="preserve"> PAGEREF _Toc167691878 \h </w:instrText>
      </w:r>
      <w:r>
        <w:rPr>
          <w:noProof/>
        </w:rPr>
      </w:r>
      <w:r>
        <w:rPr>
          <w:noProof/>
        </w:rPr>
        <w:fldChar w:fldCharType="separate"/>
      </w:r>
      <w:r w:rsidR="00A36C2E">
        <w:rPr>
          <w:noProof/>
        </w:rPr>
        <w:t>312</w:t>
      </w:r>
      <w:r>
        <w:rPr>
          <w:noProof/>
        </w:rPr>
        <w:fldChar w:fldCharType="end"/>
      </w:r>
    </w:p>
    <w:p w14:paraId="1BCBE8BB"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Hybrid words/names</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i w:val="0"/>
          <w:iCs/>
          <w:noProof/>
          <w:color w:val="FFFFFF" w:themeColor="background1"/>
        </w:rPr>
        <w:t>.</w:t>
      </w:r>
      <w:r>
        <w:rPr>
          <w:noProof/>
        </w:rPr>
        <w:tab/>
      </w:r>
      <w:r>
        <w:rPr>
          <w:noProof/>
        </w:rPr>
        <w:fldChar w:fldCharType="begin"/>
      </w:r>
      <w:r>
        <w:rPr>
          <w:noProof/>
        </w:rPr>
        <w:instrText xml:space="preserve"> PAGEREF _Toc167691879 \h </w:instrText>
      </w:r>
      <w:r>
        <w:rPr>
          <w:noProof/>
        </w:rPr>
      </w:r>
      <w:r>
        <w:rPr>
          <w:noProof/>
        </w:rPr>
        <w:fldChar w:fldCharType="separate"/>
      </w:r>
      <w:r w:rsidR="00A36C2E">
        <w:rPr>
          <w:noProof/>
        </w:rPr>
        <w:t>313</w:t>
      </w:r>
      <w:r>
        <w:rPr>
          <w:noProof/>
        </w:rPr>
        <w:fldChar w:fldCharType="end"/>
      </w:r>
    </w:p>
    <w:p w14:paraId="78AC0F7E"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Numbers</w:t>
      </w:r>
      <w:r w:rsidRPr="00251C6B">
        <w:rPr>
          <w:b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lang w:val="en-AU"/>
        </w:rPr>
        <w:t>.</w:t>
      </w:r>
      <w:r>
        <w:rPr>
          <w:noProof/>
        </w:rPr>
        <w:tab/>
      </w:r>
      <w:r>
        <w:rPr>
          <w:noProof/>
        </w:rPr>
        <w:fldChar w:fldCharType="begin"/>
      </w:r>
      <w:r>
        <w:rPr>
          <w:noProof/>
        </w:rPr>
        <w:instrText xml:space="preserve"> PAGEREF _Toc167691880 \h </w:instrText>
      </w:r>
      <w:r>
        <w:rPr>
          <w:noProof/>
        </w:rPr>
      </w:r>
      <w:r>
        <w:rPr>
          <w:noProof/>
        </w:rPr>
        <w:fldChar w:fldCharType="separate"/>
      </w:r>
      <w:r w:rsidR="00A36C2E">
        <w:rPr>
          <w:noProof/>
        </w:rPr>
        <w:t>313</w:t>
      </w:r>
      <w:r>
        <w:rPr>
          <w:noProof/>
        </w:rPr>
        <w:fldChar w:fldCharType="end"/>
      </w:r>
    </w:p>
    <w:p w14:paraId="7BDB5280"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Plurals</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rPr>
        <w:t>.</w:t>
      </w:r>
      <w:r>
        <w:rPr>
          <w:noProof/>
        </w:rPr>
        <w:tab/>
      </w:r>
      <w:r>
        <w:rPr>
          <w:noProof/>
        </w:rPr>
        <w:fldChar w:fldCharType="begin"/>
      </w:r>
      <w:r>
        <w:rPr>
          <w:noProof/>
        </w:rPr>
        <w:instrText xml:space="preserve"> PAGEREF _Toc167691881 \h </w:instrText>
      </w:r>
      <w:r>
        <w:rPr>
          <w:noProof/>
        </w:rPr>
      </w:r>
      <w:r>
        <w:rPr>
          <w:noProof/>
        </w:rPr>
        <w:fldChar w:fldCharType="separate"/>
      </w:r>
      <w:r w:rsidR="00A36C2E">
        <w:rPr>
          <w:noProof/>
        </w:rPr>
        <w:t>313</w:t>
      </w:r>
      <w:r>
        <w:rPr>
          <w:noProof/>
        </w:rPr>
        <w:fldChar w:fldCharType="end"/>
      </w:r>
    </w:p>
    <w:p w14:paraId="27F8F0C3"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noProof/>
        </w:rPr>
        <w:t>Underdots</w:t>
      </w:r>
      <w:r w:rsidRPr="00251C6B">
        <w:rPr>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_Toc167691882 \h </w:instrText>
      </w:r>
      <w:r>
        <w:rPr>
          <w:noProof/>
        </w:rPr>
      </w:r>
      <w:r>
        <w:rPr>
          <w:noProof/>
        </w:rPr>
        <w:fldChar w:fldCharType="separate"/>
      </w:r>
      <w:r w:rsidR="00A36C2E">
        <w:rPr>
          <w:noProof/>
        </w:rPr>
        <w:t>313</w:t>
      </w:r>
      <w:r>
        <w:rPr>
          <w:noProof/>
        </w:rPr>
        <w:fldChar w:fldCharType="end"/>
      </w:r>
    </w:p>
    <w:p w14:paraId="143930D9"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noProof/>
        </w:rPr>
        <w:t>Underscores</w:t>
      </w:r>
      <w:r w:rsidRPr="00251C6B">
        <w:rPr>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_Toc167691883 \h </w:instrText>
      </w:r>
      <w:r>
        <w:rPr>
          <w:noProof/>
        </w:rPr>
      </w:r>
      <w:r>
        <w:rPr>
          <w:noProof/>
        </w:rPr>
        <w:fldChar w:fldCharType="separate"/>
      </w:r>
      <w:r w:rsidR="00A36C2E">
        <w:rPr>
          <w:noProof/>
        </w:rPr>
        <w:t>313</w:t>
      </w:r>
      <w:r>
        <w:rPr>
          <w:noProof/>
        </w:rPr>
        <w:fldChar w:fldCharType="end"/>
      </w:r>
    </w:p>
    <w:p w14:paraId="7113BDA9"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Vowel sounds</w:t>
      </w:r>
      <w:r w:rsidRPr="00251C6B">
        <w:rPr>
          <w:b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lang w:val="en-AU"/>
        </w:rPr>
        <w:t>.</w:t>
      </w:r>
      <w:r>
        <w:rPr>
          <w:noProof/>
        </w:rPr>
        <w:tab/>
      </w:r>
      <w:r>
        <w:rPr>
          <w:noProof/>
        </w:rPr>
        <w:fldChar w:fldCharType="begin"/>
      </w:r>
      <w:r>
        <w:rPr>
          <w:noProof/>
        </w:rPr>
        <w:instrText xml:space="preserve"> PAGEREF _Toc167691884 \h </w:instrText>
      </w:r>
      <w:r>
        <w:rPr>
          <w:noProof/>
        </w:rPr>
      </w:r>
      <w:r>
        <w:rPr>
          <w:noProof/>
        </w:rPr>
        <w:fldChar w:fldCharType="separate"/>
      </w:r>
      <w:r w:rsidR="00A36C2E">
        <w:rPr>
          <w:noProof/>
        </w:rPr>
        <w:t>313</w:t>
      </w:r>
      <w:r>
        <w:rPr>
          <w:noProof/>
        </w:rPr>
        <w:fldChar w:fldCharType="end"/>
      </w:r>
    </w:p>
    <w:p w14:paraId="1D5FEB84"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Bahá’í</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_Toc167691885 \h </w:instrText>
      </w:r>
      <w:r>
        <w:rPr>
          <w:noProof/>
        </w:rPr>
      </w:r>
      <w:r>
        <w:rPr>
          <w:noProof/>
        </w:rPr>
        <w:fldChar w:fldCharType="separate"/>
      </w:r>
      <w:r w:rsidR="00A36C2E">
        <w:rPr>
          <w:noProof/>
        </w:rPr>
        <w:t>313</w:t>
      </w:r>
      <w:r>
        <w:rPr>
          <w:noProof/>
        </w:rPr>
        <w:fldChar w:fldCharType="end"/>
      </w:r>
    </w:p>
    <w:p w14:paraId="03DAE8D2"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noProof/>
        </w:rPr>
        <w:t>Apostles of Bahá’u’lláh</w:t>
      </w:r>
      <w:r w:rsidRPr="00251C6B">
        <w:rPr>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i w:val="0"/>
          <w:iCs/>
          <w:noProof/>
          <w:color w:val="FFFFFF" w:themeColor="background1"/>
        </w:rPr>
        <w:t>.</w:t>
      </w:r>
      <w:r>
        <w:rPr>
          <w:noProof/>
        </w:rPr>
        <w:tab/>
      </w:r>
      <w:r>
        <w:rPr>
          <w:noProof/>
        </w:rPr>
        <w:fldChar w:fldCharType="begin"/>
      </w:r>
      <w:r>
        <w:rPr>
          <w:noProof/>
        </w:rPr>
        <w:instrText xml:space="preserve"> PAGEREF _Toc167691886 \h </w:instrText>
      </w:r>
      <w:r>
        <w:rPr>
          <w:noProof/>
        </w:rPr>
      </w:r>
      <w:r>
        <w:rPr>
          <w:noProof/>
        </w:rPr>
        <w:fldChar w:fldCharType="separate"/>
      </w:r>
      <w:r w:rsidR="00A36C2E">
        <w:rPr>
          <w:noProof/>
        </w:rPr>
        <w:t>313</w:t>
      </w:r>
      <w:r>
        <w:rPr>
          <w:noProof/>
        </w:rPr>
        <w:fldChar w:fldCharType="end"/>
      </w:r>
    </w:p>
    <w:p w14:paraId="002266CE"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Bearers of the throne of God (8)</w:t>
      </w:r>
      <w:r w:rsidRPr="00251C6B">
        <w:rPr>
          <w:b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lang w:val="en-AU"/>
        </w:rPr>
        <w:t>.</w:t>
      </w:r>
      <w:r>
        <w:rPr>
          <w:noProof/>
        </w:rPr>
        <w:tab/>
      </w:r>
      <w:r>
        <w:rPr>
          <w:noProof/>
        </w:rPr>
        <w:fldChar w:fldCharType="begin"/>
      </w:r>
      <w:r>
        <w:rPr>
          <w:noProof/>
        </w:rPr>
        <w:instrText xml:space="preserve"> PAGEREF _Toc167691887 \h </w:instrText>
      </w:r>
      <w:r>
        <w:rPr>
          <w:noProof/>
        </w:rPr>
      </w:r>
      <w:r>
        <w:rPr>
          <w:noProof/>
        </w:rPr>
        <w:fldChar w:fldCharType="separate"/>
      </w:r>
      <w:r w:rsidR="00A36C2E">
        <w:rPr>
          <w:noProof/>
        </w:rPr>
        <w:t>314</w:t>
      </w:r>
      <w:r>
        <w:rPr>
          <w:noProof/>
        </w:rPr>
        <w:fldChar w:fldCharType="end"/>
      </w:r>
    </w:p>
    <w:p w14:paraId="42CEAE40"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Pr>
          <w:noProof/>
        </w:rPr>
        <w:t>Hands of the Cause of God</w:t>
      </w:r>
      <w:r w:rsidRPr="00251C6B">
        <w:rPr>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_Toc167691888 \h </w:instrText>
      </w:r>
      <w:r>
        <w:rPr>
          <w:noProof/>
        </w:rPr>
      </w:r>
      <w:r>
        <w:rPr>
          <w:noProof/>
        </w:rPr>
        <w:fldChar w:fldCharType="separate"/>
      </w:r>
      <w:r w:rsidR="00A36C2E">
        <w:rPr>
          <w:noProof/>
        </w:rPr>
        <w:t>314</w:t>
      </w:r>
      <w:r>
        <w:rPr>
          <w:noProof/>
        </w:rPr>
        <w:fldChar w:fldCharType="end"/>
      </w:r>
    </w:p>
    <w:p w14:paraId="0DFF96AF"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Letters of the Living (18×)</w:t>
      </w:r>
      <w:r w:rsidRPr="00251C6B">
        <w:rPr>
          <w:b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lang w:val="en-AU"/>
        </w:rPr>
        <w:t>.</w:t>
      </w:r>
      <w:r>
        <w:rPr>
          <w:noProof/>
        </w:rPr>
        <w:tab/>
      </w:r>
      <w:r>
        <w:rPr>
          <w:noProof/>
        </w:rPr>
        <w:fldChar w:fldCharType="begin"/>
      </w:r>
      <w:r>
        <w:rPr>
          <w:noProof/>
        </w:rPr>
        <w:instrText xml:space="preserve"> PAGEREF _Toc167691889 \h </w:instrText>
      </w:r>
      <w:r>
        <w:rPr>
          <w:noProof/>
        </w:rPr>
      </w:r>
      <w:r>
        <w:rPr>
          <w:noProof/>
        </w:rPr>
        <w:fldChar w:fldCharType="separate"/>
      </w:r>
      <w:r w:rsidR="00A36C2E">
        <w:rPr>
          <w:noProof/>
        </w:rPr>
        <w:t>315</w:t>
      </w:r>
      <w:r>
        <w:rPr>
          <w:noProof/>
        </w:rPr>
        <w:fldChar w:fldCharType="end"/>
      </w:r>
    </w:p>
    <w:p w14:paraId="214479BD"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Principles</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noProof/>
          <w:color w:val="FFFFFF" w:themeColor="background1"/>
        </w:rPr>
        <w:t>.</w:t>
      </w:r>
      <w:r>
        <w:rPr>
          <w:noProof/>
        </w:rPr>
        <w:tab/>
      </w:r>
      <w:r>
        <w:rPr>
          <w:noProof/>
        </w:rPr>
        <w:fldChar w:fldCharType="begin"/>
      </w:r>
      <w:r>
        <w:rPr>
          <w:noProof/>
        </w:rPr>
        <w:instrText xml:space="preserve"> PAGEREF _Toc167691890 \h </w:instrText>
      </w:r>
      <w:r>
        <w:rPr>
          <w:noProof/>
        </w:rPr>
      </w:r>
      <w:r>
        <w:rPr>
          <w:noProof/>
        </w:rPr>
        <w:fldChar w:fldCharType="separate"/>
      </w:r>
      <w:r w:rsidR="00A36C2E">
        <w:rPr>
          <w:noProof/>
        </w:rPr>
        <w:t>315</w:t>
      </w:r>
      <w:r>
        <w:rPr>
          <w:noProof/>
        </w:rPr>
        <w:fldChar w:fldCharType="end"/>
      </w:r>
    </w:p>
    <w:p w14:paraId="5AFF0A0C"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Shrine of the Báb</w:t>
      </w:r>
      <w:r w:rsidRPr="00251C6B">
        <w:rPr>
          <w:b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bCs/>
          <w:i w:val="0"/>
          <w:iCs/>
          <w:noProof/>
          <w:color w:val="FFFFFF" w:themeColor="background1"/>
          <w:lang w:val="en-AU"/>
        </w:rPr>
        <w:t>.</w:t>
      </w:r>
      <w:r>
        <w:rPr>
          <w:noProof/>
        </w:rPr>
        <w:tab/>
      </w:r>
      <w:r>
        <w:rPr>
          <w:noProof/>
        </w:rPr>
        <w:fldChar w:fldCharType="begin"/>
      </w:r>
      <w:r>
        <w:rPr>
          <w:noProof/>
        </w:rPr>
        <w:instrText xml:space="preserve"> PAGEREF _Toc167691891 \h </w:instrText>
      </w:r>
      <w:r>
        <w:rPr>
          <w:noProof/>
        </w:rPr>
      </w:r>
      <w:r>
        <w:rPr>
          <w:noProof/>
        </w:rPr>
        <w:fldChar w:fldCharType="separate"/>
      </w:r>
      <w:r w:rsidR="00A36C2E">
        <w:rPr>
          <w:noProof/>
        </w:rPr>
        <w:t>316</w:t>
      </w:r>
      <w:r>
        <w:rPr>
          <w:noProof/>
        </w:rPr>
        <w:fldChar w:fldCharType="end"/>
      </w:r>
    </w:p>
    <w:p w14:paraId="053145A8"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Travels of Bahá’u’lláh</w:t>
      </w:r>
      <w:r w:rsidRPr="00251C6B">
        <w:rPr>
          <w:b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bCs/>
          <w:i w:val="0"/>
          <w:iCs/>
          <w:noProof/>
          <w:color w:val="FFFFFF" w:themeColor="background1"/>
          <w:lang w:val="en-AU"/>
        </w:rPr>
        <w:t>.</w:t>
      </w:r>
      <w:r>
        <w:rPr>
          <w:noProof/>
        </w:rPr>
        <w:tab/>
      </w:r>
      <w:r>
        <w:rPr>
          <w:noProof/>
        </w:rPr>
        <w:fldChar w:fldCharType="begin"/>
      </w:r>
      <w:r>
        <w:rPr>
          <w:noProof/>
        </w:rPr>
        <w:instrText xml:space="preserve"> PAGEREF _Toc167691892 \h </w:instrText>
      </w:r>
      <w:r>
        <w:rPr>
          <w:noProof/>
        </w:rPr>
      </w:r>
      <w:r>
        <w:rPr>
          <w:noProof/>
        </w:rPr>
        <w:fldChar w:fldCharType="separate"/>
      </w:r>
      <w:r w:rsidR="00A36C2E">
        <w:rPr>
          <w:noProof/>
        </w:rPr>
        <w:t>316</w:t>
      </w:r>
      <w:r>
        <w:rPr>
          <w:noProof/>
        </w:rPr>
        <w:fldChar w:fldCharType="end"/>
      </w:r>
    </w:p>
    <w:p w14:paraId="4E49E299"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Calendars</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_Toc167691893 \h </w:instrText>
      </w:r>
      <w:r>
        <w:rPr>
          <w:noProof/>
        </w:rPr>
      </w:r>
      <w:r>
        <w:rPr>
          <w:noProof/>
        </w:rPr>
        <w:fldChar w:fldCharType="separate"/>
      </w:r>
      <w:r w:rsidR="00A36C2E">
        <w:rPr>
          <w:noProof/>
        </w:rPr>
        <w:t>317</w:t>
      </w:r>
      <w:r>
        <w:rPr>
          <w:noProof/>
        </w:rPr>
        <w:fldChar w:fldCharType="end"/>
      </w:r>
    </w:p>
    <w:p w14:paraId="0386D3A3"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bCs/>
          <w:noProof/>
        </w:rPr>
        <w:t>Badí‘-Bahá’í calendar</w:t>
      </w:r>
      <w:r w:rsidRPr="00251C6B">
        <w:rPr>
          <w:b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bCs/>
          <w:i w:val="0"/>
          <w:iCs/>
          <w:noProof/>
          <w:color w:val="FFFFFF" w:themeColor="background1"/>
        </w:rPr>
        <w:t>.</w:t>
      </w:r>
      <w:r>
        <w:rPr>
          <w:noProof/>
        </w:rPr>
        <w:tab/>
      </w:r>
      <w:r>
        <w:rPr>
          <w:noProof/>
        </w:rPr>
        <w:fldChar w:fldCharType="begin"/>
      </w:r>
      <w:r>
        <w:rPr>
          <w:noProof/>
        </w:rPr>
        <w:instrText xml:space="preserve"> PAGEREF _Toc167691894 \h </w:instrText>
      </w:r>
      <w:r>
        <w:rPr>
          <w:noProof/>
        </w:rPr>
      </w:r>
      <w:r>
        <w:rPr>
          <w:noProof/>
        </w:rPr>
        <w:fldChar w:fldCharType="separate"/>
      </w:r>
      <w:r w:rsidR="00A36C2E">
        <w:rPr>
          <w:noProof/>
        </w:rPr>
        <w:t>317</w:t>
      </w:r>
      <w:r>
        <w:rPr>
          <w:noProof/>
        </w:rPr>
        <w:fldChar w:fldCharType="end"/>
      </w:r>
    </w:p>
    <w:p w14:paraId="6671D5B3"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noProof/>
        </w:rPr>
        <w:t>Gregorian</w:t>
      </w:r>
      <w:r w:rsidRPr="00251C6B">
        <w:rPr>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_Toc167691895 \h </w:instrText>
      </w:r>
      <w:r>
        <w:rPr>
          <w:noProof/>
        </w:rPr>
      </w:r>
      <w:r>
        <w:rPr>
          <w:noProof/>
        </w:rPr>
        <w:fldChar w:fldCharType="separate"/>
      </w:r>
      <w:r w:rsidR="00A36C2E">
        <w:rPr>
          <w:noProof/>
        </w:rPr>
        <w:t>318</w:t>
      </w:r>
      <w:r>
        <w:rPr>
          <w:noProof/>
        </w:rPr>
        <w:fldChar w:fldCharType="end"/>
      </w:r>
    </w:p>
    <w:p w14:paraId="38202ACA"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noProof/>
        </w:rPr>
        <w:t>Islamic</w:t>
      </w:r>
      <w:r w:rsidRPr="00251C6B">
        <w:rPr>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_Toc167691896 \h </w:instrText>
      </w:r>
      <w:r>
        <w:rPr>
          <w:noProof/>
        </w:rPr>
      </w:r>
      <w:r>
        <w:rPr>
          <w:noProof/>
        </w:rPr>
        <w:fldChar w:fldCharType="separate"/>
      </w:r>
      <w:r w:rsidR="00A36C2E">
        <w:rPr>
          <w:noProof/>
        </w:rPr>
        <w:t>318</w:t>
      </w:r>
      <w:r>
        <w:rPr>
          <w:noProof/>
        </w:rPr>
        <w:fldChar w:fldCharType="end"/>
      </w:r>
    </w:p>
    <w:p w14:paraId="45165D67"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noProof/>
        </w:rPr>
        <w:t>Persian solar</w:t>
      </w:r>
      <w:r w:rsidRPr="00251C6B">
        <w:rPr>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_Toc167691897 \h </w:instrText>
      </w:r>
      <w:r>
        <w:rPr>
          <w:noProof/>
        </w:rPr>
      </w:r>
      <w:r>
        <w:rPr>
          <w:noProof/>
        </w:rPr>
        <w:fldChar w:fldCharType="separate"/>
      </w:r>
      <w:r w:rsidR="00A36C2E">
        <w:rPr>
          <w:noProof/>
        </w:rPr>
        <w:t>318</w:t>
      </w:r>
      <w:r>
        <w:rPr>
          <w:noProof/>
        </w:rPr>
        <w:fldChar w:fldCharType="end"/>
      </w:r>
    </w:p>
    <w:p w14:paraId="0609FFFA"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lastRenderedPageBreak/>
        <w:t>Caliphs (first 28 caliphs)</w:t>
      </w:r>
      <w:r w:rsidRPr="00251C6B">
        <w:rPr>
          <w:noProof/>
          <w:color w:val="FFFFFF" w:themeColor="background1"/>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rPr>
        <w:t>.</w:t>
      </w:r>
      <w:r>
        <w:rPr>
          <w:noProof/>
        </w:rPr>
        <w:tab/>
      </w:r>
      <w:r>
        <w:rPr>
          <w:noProof/>
        </w:rPr>
        <w:fldChar w:fldCharType="begin"/>
      </w:r>
      <w:r>
        <w:rPr>
          <w:noProof/>
        </w:rPr>
        <w:instrText xml:space="preserve"> PAGEREF _Toc167691898 \h </w:instrText>
      </w:r>
      <w:r>
        <w:rPr>
          <w:noProof/>
        </w:rPr>
      </w:r>
      <w:r>
        <w:rPr>
          <w:noProof/>
        </w:rPr>
        <w:fldChar w:fldCharType="separate"/>
      </w:r>
      <w:r w:rsidR="00A36C2E">
        <w:rPr>
          <w:noProof/>
        </w:rPr>
        <w:t>318</w:t>
      </w:r>
      <w:r>
        <w:rPr>
          <w:noProof/>
        </w:rPr>
        <w:fldChar w:fldCharType="end"/>
      </w:r>
    </w:p>
    <w:p w14:paraId="48ADDF34"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iCs/>
          <w:noProof/>
        </w:rPr>
        <w:t>The Rightly-guided</w:t>
      </w:r>
      <w:r w:rsidRPr="00251C6B">
        <w:rPr>
          <w:i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i w:val="0"/>
          <w:noProof/>
          <w:color w:val="FFFFFF" w:themeColor="background1"/>
        </w:rPr>
        <w:t>.</w:t>
      </w:r>
      <w:r>
        <w:rPr>
          <w:noProof/>
        </w:rPr>
        <w:tab/>
      </w:r>
      <w:r>
        <w:rPr>
          <w:noProof/>
        </w:rPr>
        <w:fldChar w:fldCharType="begin"/>
      </w:r>
      <w:r>
        <w:rPr>
          <w:noProof/>
        </w:rPr>
        <w:instrText xml:space="preserve"> PAGEREF _Toc167691899 \h </w:instrText>
      </w:r>
      <w:r>
        <w:rPr>
          <w:noProof/>
        </w:rPr>
      </w:r>
      <w:r>
        <w:rPr>
          <w:noProof/>
        </w:rPr>
        <w:fldChar w:fldCharType="separate"/>
      </w:r>
      <w:r w:rsidR="00A36C2E">
        <w:rPr>
          <w:noProof/>
        </w:rPr>
        <w:t>318</w:t>
      </w:r>
      <w:r>
        <w:rPr>
          <w:noProof/>
        </w:rPr>
        <w:fldChar w:fldCharType="end"/>
      </w:r>
    </w:p>
    <w:p w14:paraId="5158AF5F"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iCs/>
          <w:noProof/>
        </w:rPr>
        <w:t>The Umayyad</w:t>
      </w:r>
      <w:r w:rsidRPr="00251C6B">
        <w:rPr>
          <w:iCs/>
          <w:noProof/>
          <w:color w:val="FFFFFF" w:themeColor="background1"/>
        </w:rPr>
        <w:t>..</w:t>
      </w:r>
      <w:r>
        <w:rPr>
          <w:rFonts w:asciiTheme="minorHAnsi" w:eastAsiaTheme="minorEastAsia" w:hAnsiTheme="minorHAnsi" w:cstheme="minorBidi"/>
          <w:i w:val="0"/>
          <w:noProof/>
          <w:sz w:val="22"/>
          <w:lang w:val="en-AU" w:eastAsia="en-AU"/>
          <w14:numForm w14:val="default"/>
          <w14:numSpacing w14:val="default"/>
        </w:rPr>
        <w:tab/>
      </w:r>
      <w:r w:rsidRPr="00251C6B">
        <w:rPr>
          <w:i w:val="0"/>
          <w:noProof/>
          <w:color w:val="FFFFFF" w:themeColor="background1"/>
        </w:rPr>
        <w:t>.</w:t>
      </w:r>
      <w:r>
        <w:rPr>
          <w:noProof/>
        </w:rPr>
        <w:tab/>
      </w:r>
      <w:r>
        <w:rPr>
          <w:noProof/>
        </w:rPr>
        <w:fldChar w:fldCharType="begin"/>
      </w:r>
      <w:r>
        <w:rPr>
          <w:noProof/>
        </w:rPr>
        <w:instrText xml:space="preserve"> PAGEREF _Toc167691900 \h </w:instrText>
      </w:r>
      <w:r>
        <w:rPr>
          <w:noProof/>
        </w:rPr>
      </w:r>
      <w:r>
        <w:rPr>
          <w:noProof/>
        </w:rPr>
        <w:fldChar w:fldCharType="separate"/>
      </w:r>
      <w:r w:rsidR="00A36C2E">
        <w:rPr>
          <w:noProof/>
        </w:rPr>
        <w:t>318</w:t>
      </w:r>
      <w:r>
        <w:rPr>
          <w:noProof/>
        </w:rPr>
        <w:fldChar w:fldCharType="end"/>
      </w:r>
    </w:p>
    <w:p w14:paraId="524CB56A"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86EA5">
        <w:rPr>
          <w:iCs/>
          <w:noProof/>
          <w:lang w:val="en-AU"/>
        </w:rPr>
        <w:t>The Abbaside</w:t>
      </w:r>
      <w:r w:rsidRPr="00286EA5">
        <w:rPr>
          <w:i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86EA5">
        <w:rPr>
          <w:i w:val="0"/>
          <w:noProof/>
          <w:color w:val="FFFFFF" w:themeColor="background1"/>
          <w:lang w:val="en-AU"/>
        </w:rPr>
        <w:t>.</w:t>
      </w:r>
      <w:r>
        <w:rPr>
          <w:noProof/>
        </w:rPr>
        <w:tab/>
      </w:r>
      <w:r>
        <w:rPr>
          <w:noProof/>
        </w:rPr>
        <w:fldChar w:fldCharType="begin"/>
      </w:r>
      <w:r>
        <w:rPr>
          <w:noProof/>
        </w:rPr>
        <w:instrText xml:space="preserve"> PAGEREF _Toc167691901 \h </w:instrText>
      </w:r>
      <w:r>
        <w:rPr>
          <w:noProof/>
        </w:rPr>
      </w:r>
      <w:r>
        <w:rPr>
          <w:noProof/>
        </w:rPr>
        <w:fldChar w:fldCharType="separate"/>
      </w:r>
      <w:r w:rsidR="00A36C2E">
        <w:rPr>
          <w:noProof/>
        </w:rPr>
        <w:t>319</w:t>
      </w:r>
      <w:r>
        <w:rPr>
          <w:noProof/>
        </w:rPr>
        <w:fldChar w:fldCharType="end"/>
      </w:r>
    </w:p>
    <w:p w14:paraId="63D87E8B"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i/>
          <w:iCs/>
          <w:noProof/>
        </w:rPr>
        <w:t>Font information</w:t>
      </w:r>
      <w:r w:rsidRPr="00251C6B">
        <w:rPr>
          <w:i/>
          <w:iCs/>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_Toc167691902 \h </w:instrText>
      </w:r>
      <w:r>
        <w:rPr>
          <w:noProof/>
        </w:rPr>
      </w:r>
      <w:r>
        <w:rPr>
          <w:noProof/>
        </w:rPr>
        <w:fldChar w:fldCharType="separate"/>
      </w:r>
      <w:r w:rsidR="00A36C2E">
        <w:rPr>
          <w:noProof/>
        </w:rPr>
        <w:t>319</w:t>
      </w:r>
      <w:r>
        <w:rPr>
          <w:noProof/>
        </w:rPr>
        <w:fldChar w:fldCharType="end"/>
      </w:r>
    </w:p>
    <w:p w14:paraId="037B8EF0"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bCs/>
          <w:noProof/>
        </w:rPr>
        <w:t>Imams and deputies</w:t>
      </w:r>
      <w:r w:rsidRPr="00251C6B">
        <w:rPr>
          <w:bCs/>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bCs/>
          <w:noProof/>
          <w:color w:val="FFFFFF" w:themeColor="background1"/>
          <w:lang w:val="en-AU"/>
        </w:rPr>
        <w:t>.</w:t>
      </w:r>
      <w:r>
        <w:rPr>
          <w:noProof/>
        </w:rPr>
        <w:tab/>
      </w:r>
      <w:r>
        <w:rPr>
          <w:noProof/>
        </w:rPr>
        <w:fldChar w:fldCharType="begin"/>
      </w:r>
      <w:r>
        <w:rPr>
          <w:noProof/>
        </w:rPr>
        <w:instrText xml:space="preserve"> PAGEREF _Toc167691903 \h </w:instrText>
      </w:r>
      <w:r>
        <w:rPr>
          <w:noProof/>
        </w:rPr>
      </w:r>
      <w:r>
        <w:rPr>
          <w:noProof/>
        </w:rPr>
        <w:fldChar w:fldCharType="separate"/>
      </w:r>
      <w:r w:rsidR="00A36C2E">
        <w:rPr>
          <w:noProof/>
        </w:rPr>
        <w:t>319</w:t>
      </w:r>
      <w:r>
        <w:rPr>
          <w:noProof/>
        </w:rPr>
        <w:fldChar w:fldCharType="end"/>
      </w:r>
    </w:p>
    <w:p w14:paraId="36274B01"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noProof/>
        </w:rPr>
        <w:t>Twelve Imams</w:t>
      </w:r>
      <w:r w:rsidRPr="00251C6B">
        <w:rPr>
          <w:i w:val="0"/>
          <w:i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i w:val="0"/>
          <w:iCs/>
          <w:noProof/>
          <w:color w:val="FFFFFF" w:themeColor="background1"/>
          <w:lang w:val="en-AU"/>
        </w:rPr>
        <w:t>.</w:t>
      </w:r>
      <w:r>
        <w:rPr>
          <w:noProof/>
        </w:rPr>
        <w:tab/>
      </w:r>
      <w:r>
        <w:rPr>
          <w:noProof/>
        </w:rPr>
        <w:fldChar w:fldCharType="begin"/>
      </w:r>
      <w:r>
        <w:rPr>
          <w:noProof/>
        </w:rPr>
        <w:instrText xml:space="preserve"> PAGEREF _Toc167691904 \h </w:instrText>
      </w:r>
      <w:r>
        <w:rPr>
          <w:noProof/>
        </w:rPr>
      </w:r>
      <w:r>
        <w:rPr>
          <w:noProof/>
        </w:rPr>
        <w:fldChar w:fldCharType="separate"/>
      </w:r>
      <w:r w:rsidR="00A36C2E">
        <w:rPr>
          <w:noProof/>
        </w:rPr>
        <w:t>319</w:t>
      </w:r>
      <w:r>
        <w:rPr>
          <w:noProof/>
        </w:rPr>
        <w:fldChar w:fldCharType="end"/>
      </w:r>
    </w:p>
    <w:p w14:paraId="1C753996"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iCs/>
          <w:noProof/>
          <w:lang w:val="en-AU"/>
        </w:rPr>
        <w:t>Twelfth</w:t>
      </w:r>
      <w:r w:rsidRPr="00251C6B">
        <w:rPr>
          <w:iCs/>
          <w:noProof/>
        </w:rPr>
        <w:t xml:space="preserve"> Imám</w:t>
      </w:r>
      <w:r w:rsidRPr="00251C6B">
        <w:rPr>
          <w:i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i w:val="0"/>
          <w:noProof/>
          <w:color w:val="FFFFFF" w:themeColor="background1"/>
          <w:lang w:val="en-AU"/>
        </w:rPr>
        <w:t>.</w:t>
      </w:r>
      <w:r>
        <w:rPr>
          <w:noProof/>
        </w:rPr>
        <w:tab/>
      </w:r>
      <w:r>
        <w:rPr>
          <w:noProof/>
        </w:rPr>
        <w:fldChar w:fldCharType="begin"/>
      </w:r>
      <w:r>
        <w:rPr>
          <w:noProof/>
        </w:rPr>
        <w:instrText xml:space="preserve"> PAGEREF _Toc167691905 \h </w:instrText>
      </w:r>
      <w:r>
        <w:rPr>
          <w:noProof/>
        </w:rPr>
      </w:r>
      <w:r>
        <w:rPr>
          <w:noProof/>
        </w:rPr>
        <w:fldChar w:fldCharType="separate"/>
      </w:r>
      <w:r w:rsidR="00A36C2E">
        <w:rPr>
          <w:noProof/>
        </w:rPr>
        <w:t>319</w:t>
      </w:r>
      <w:r>
        <w:rPr>
          <w:noProof/>
        </w:rPr>
        <w:fldChar w:fldCharType="end"/>
      </w:r>
    </w:p>
    <w:p w14:paraId="582EE943"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iCs/>
          <w:noProof/>
        </w:rPr>
        <w:t>Deputie</w:t>
      </w:r>
      <w:bookmarkStart w:id="0" w:name="_GoBack"/>
      <w:bookmarkEnd w:id="0"/>
      <w:r w:rsidRPr="00251C6B">
        <w:rPr>
          <w:iCs/>
          <w:noProof/>
        </w:rPr>
        <w:t>s of the 12th Imám</w:t>
      </w:r>
      <w:r w:rsidRPr="00251C6B">
        <w:rPr>
          <w:i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i w:val="0"/>
          <w:noProof/>
          <w:color w:val="FFFFFF" w:themeColor="background1"/>
          <w:lang w:val="en-AU"/>
        </w:rPr>
        <w:t>.</w:t>
      </w:r>
      <w:r>
        <w:rPr>
          <w:noProof/>
        </w:rPr>
        <w:tab/>
      </w:r>
      <w:r>
        <w:rPr>
          <w:noProof/>
        </w:rPr>
        <w:fldChar w:fldCharType="begin"/>
      </w:r>
      <w:r>
        <w:rPr>
          <w:noProof/>
        </w:rPr>
        <w:instrText xml:space="preserve"> PAGEREF _Toc167691906 \h </w:instrText>
      </w:r>
      <w:r>
        <w:rPr>
          <w:noProof/>
        </w:rPr>
      </w:r>
      <w:r>
        <w:rPr>
          <w:noProof/>
        </w:rPr>
        <w:fldChar w:fldCharType="separate"/>
      </w:r>
      <w:r w:rsidR="00A36C2E">
        <w:rPr>
          <w:noProof/>
        </w:rPr>
        <w:t>319</w:t>
      </w:r>
      <w:r>
        <w:rPr>
          <w:noProof/>
        </w:rPr>
        <w:fldChar w:fldCharType="end"/>
      </w:r>
    </w:p>
    <w:p w14:paraId="1AB78AE8"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Meccan pilgrim meeting points</w:t>
      </w:r>
      <w:r w:rsidRPr="00251C6B">
        <w:rPr>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_Toc167691907 \h </w:instrText>
      </w:r>
      <w:r>
        <w:rPr>
          <w:noProof/>
        </w:rPr>
      </w:r>
      <w:r>
        <w:rPr>
          <w:noProof/>
        </w:rPr>
        <w:fldChar w:fldCharType="separate"/>
      </w:r>
      <w:r w:rsidR="00A36C2E">
        <w:rPr>
          <w:noProof/>
        </w:rPr>
        <w:t>319</w:t>
      </w:r>
      <w:r>
        <w:rPr>
          <w:noProof/>
        </w:rPr>
        <w:fldChar w:fldCharType="end"/>
      </w:r>
    </w:p>
    <w:p w14:paraId="0E589869"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Qur’án suras</w:t>
      </w:r>
      <w:r w:rsidRPr="00251C6B">
        <w:rPr>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_Toc167691908 \h </w:instrText>
      </w:r>
      <w:r>
        <w:rPr>
          <w:noProof/>
        </w:rPr>
      </w:r>
      <w:r>
        <w:rPr>
          <w:noProof/>
        </w:rPr>
        <w:fldChar w:fldCharType="separate"/>
      </w:r>
      <w:r w:rsidR="00A36C2E">
        <w:rPr>
          <w:noProof/>
        </w:rPr>
        <w:t>319</w:t>
      </w:r>
      <w:r>
        <w:rPr>
          <w:noProof/>
        </w:rPr>
        <w:fldChar w:fldCharType="end"/>
      </w:r>
    </w:p>
    <w:p w14:paraId="77DBBB79"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Qur’anic “names” of God</w:t>
      </w:r>
      <w:r w:rsidRPr="00251C6B">
        <w:rPr>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_Toc167691909 \h </w:instrText>
      </w:r>
      <w:r>
        <w:rPr>
          <w:noProof/>
        </w:rPr>
      </w:r>
      <w:r>
        <w:rPr>
          <w:noProof/>
        </w:rPr>
        <w:fldChar w:fldCharType="separate"/>
      </w:r>
      <w:r w:rsidR="00A36C2E">
        <w:rPr>
          <w:noProof/>
        </w:rPr>
        <w:t>321</w:t>
      </w:r>
      <w:r>
        <w:rPr>
          <w:noProof/>
        </w:rPr>
        <w:fldChar w:fldCharType="end"/>
      </w:r>
    </w:p>
    <w:p w14:paraId="43B40E2A"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Special characters</w:t>
      </w:r>
      <w:r w:rsidRPr="00251C6B">
        <w:rPr>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_Toc167691910 \h </w:instrText>
      </w:r>
      <w:r>
        <w:rPr>
          <w:noProof/>
        </w:rPr>
      </w:r>
      <w:r>
        <w:rPr>
          <w:noProof/>
        </w:rPr>
        <w:fldChar w:fldCharType="separate"/>
      </w:r>
      <w:r w:rsidR="00A36C2E">
        <w:rPr>
          <w:noProof/>
        </w:rPr>
        <w:t>323</w:t>
      </w:r>
      <w:r>
        <w:rPr>
          <w:noProof/>
        </w:rPr>
        <w:fldChar w:fldCharType="end"/>
      </w:r>
    </w:p>
    <w:p w14:paraId="6D9028D0"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iCs/>
          <w:noProof/>
        </w:rPr>
        <w:t>Non-printing characters</w:t>
      </w:r>
      <w:r w:rsidRPr="00251C6B">
        <w:rPr>
          <w:i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i w:val="0"/>
          <w:noProof/>
          <w:color w:val="FFFFFF" w:themeColor="background1"/>
          <w:lang w:val="en-AU"/>
        </w:rPr>
        <w:t>.</w:t>
      </w:r>
      <w:r>
        <w:rPr>
          <w:noProof/>
        </w:rPr>
        <w:tab/>
      </w:r>
      <w:r>
        <w:rPr>
          <w:noProof/>
        </w:rPr>
        <w:fldChar w:fldCharType="begin"/>
      </w:r>
      <w:r>
        <w:rPr>
          <w:noProof/>
        </w:rPr>
        <w:instrText xml:space="preserve"> PAGEREF _Toc167691911 \h </w:instrText>
      </w:r>
      <w:r>
        <w:rPr>
          <w:noProof/>
        </w:rPr>
      </w:r>
      <w:r>
        <w:rPr>
          <w:noProof/>
        </w:rPr>
        <w:fldChar w:fldCharType="separate"/>
      </w:r>
      <w:r w:rsidR="00A36C2E">
        <w:rPr>
          <w:noProof/>
        </w:rPr>
        <w:t>323</w:t>
      </w:r>
      <w:r>
        <w:rPr>
          <w:noProof/>
        </w:rPr>
        <w:fldChar w:fldCharType="end"/>
      </w:r>
    </w:p>
    <w:p w14:paraId="4E7A9F4F" w14:textId="77777777" w:rsidR="00286EA5" w:rsidRDefault="00286EA5">
      <w:pPr>
        <w:pStyle w:val="TOC2"/>
        <w:rPr>
          <w:rFonts w:asciiTheme="minorHAnsi" w:eastAsiaTheme="minorEastAsia" w:hAnsiTheme="minorHAnsi" w:cstheme="minorBidi"/>
          <w:i w:val="0"/>
          <w:noProof/>
          <w:sz w:val="22"/>
          <w:lang w:val="en-AU" w:eastAsia="en-AU"/>
          <w14:numForm w14:val="default"/>
          <w14:numSpacing w14:val="default"/>
        </w:rPr>
      </w:pPr>
      <w:r w:rsidRPr="00251C6B">
        <w:rPr>
          <w:iCs/>
          <w:noProof/>
        </w:rPr>
        <w:t>Unusual characters</w:t>
      </w:r>
      <w:r w:rsidRPr="00251C6B">
        <w:rPr>
          <w:iCs/>
          <w:noProof/>
          <w:color w:val="FFFFFF" w:themeColor="background1"/>
          <w:lang w:val="en-AU"/>
        </w:rPr>
        <w:t>..</w:t>
      </w:r>
      <w:r>
        <w:rPr>
          <w:rFonts w:asciiTheme="minorHAnsi" w:eastAsiaTheme="minorEastAsia" w:hAnsiTheme="minorHAnsi" w:cstheme="minorBidi"/>
          <w:i w:val="0"/>
          <w:noProof/>
          <w:sz w:val="22"/>
          <w:lang w:val="en-AU" w:eastAsia="en-AU"/>
          <w14:numForm w14:val="default"/>
          <w14:numSpacing w14:val="default"/>
        </w:rPr>
        <w:tab/>
      </w:r>
      <w:r w:rsidRPr="00251C6B">
        <w:rPr>
          <w:i w:val="0"/>
          <w:noProof/>
          <w:color w:val="FFFFFF" w:themeColor="background1"/>
          <w:lang w:val="en-AU"/>
        </w:rPr>
        <w:t>.</w:t>
      </w:r>
      <w:r>
        <w:rPr>
          <w:noProof/>
        </w:rPr>
        <w:tab/>
      </w:r>
      <w:r>
        <w:rPr>
          <w:noProof/>
        </w:rPr>
        <w:fldChar w:fldCharType="begin"/>
      </w:r>
      <w:r>
        <w:rPr>
          <w:noProof/>
        </w:rPr>
        <w:instrText xml:space="preserve"> PAGEREF _Toc167691912 \h </w:instrText>
      </w:r>
      <w:r>
        <w:rPr>
          <w:noProof/>
        </w:rPr>
      </w:r>
      <w:r>
        <w:rPr>
          <w:noProof/>
        </w:rPr>
        <w:fldChar w:fldCharType="separate"/>
      </w:r>
      <w:r w:rsidR="00A36C2E">
        <w:rPr>
          <w:noProof/>
        </w:rPr>
        <w:t>323</w:t>
      </w:r>
      <w:r>
        <w:rPr>
          <w:noProof/>
        </w:rPr>
        <w:fldChar w:fldCharType="end"/>
      </w:r>
    </w:p>
    <w:p w14:paraId="513E7B2E"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Traditional Qur’anic/Sufi concepts</w:t>
      </w:r>
      <w:r w:rsidRPr="00251C6B">
        <w:rPr>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_Toc167691913 \h </w:instrText>
      </w:r>
      <w:r>
        <w:rPr>
          <w:noProof/>
        </w:rPr>
      </w:r>
      <w:r>
        <w:rPr>
          <w:noProof/>
        </w:rPr>
        <w:fldChar w:fldCharType="separate"/>
      </w:r>
      <w:r w:rsidR="00A36C2E">
        <w:rPr>
          <w:noProof/>
        </w:rPr>
        <w:t>323</w:t>
      </w:r>
      <w:r>
        <w:rPr>
          <w:noProof/>
        </w:rPr>
        <w:fldChar w:fldCharType="end"/>
      </w:r>
    </w:p>
    <w:p w14:paraId="6508799D" w14:textId="77777777" w:rsidR="00286EA5" w:rsidRDefault="00286EA5">
      <w:pPr>
        <w:pStyle w:val="TOC1"/>
        <w:rPr>
          <w:rFonts w:asciiTheme="minorHAnsi" w:eastAsiaTheme="minorEastAsia" w:hAnsiTheme="minorHAnsi" w:cstheme="minorBidi"/>
          <w:noProof/>
          <w:sz w:val="22"/>
          <w:lang w:val="en-AU" w:eastAsia="en-AU"/>
          <w14:numForm w14:val="default"/>
          <w14:numSpacing w14:val="default"/>
        </w:rPr>
      </w:pPr>
      <w:r w:rsidRPr="00251C6B">
        <w:rPr>
          <w:noProof/>
        </w:rPr>
        <w:t>Word transcription macros</w:t>
      </w:r>
      <w:r w:rsidRPr="00251C6B">
        <w:rPr>
          <w:noProof/>
          <w:color w:val="FFFFFF" w:themeColor="background1"/>
          <w:lang w:val="en-AU"/>
        </w:rPr>
        <w:t>..</w:t>
      </w:r>
      <w:r>
        <w:rPr>
          <w:rFonts w:asciiTheme="minorHAnsi" w:eastAsiaTheme="minorEastAsia" w:hAnsiTheme="minorHAnsi" w:cstheme="minorBidi"/>
          <w:noProof/>
          <w:sz w:val="22"/>
          <w:lang w:val="en-AU" w:eastAsia="en-AU"/>
          <w14:numForm w14:val="default"/>
          <w14:numSpacing w14:val="default"/>
        </w:rPr>
        <w:tab/>
      </w:r>
      <w:r w:rsidRPr="00251C6B">
        <w:rPr>
          <w:noProof/>
          <w:color w:val="FFFFFF" w:themeColor="background1"/>
          <w:lang w:val="en-AU"/>
        </w:rPr>
        <w:t>.</w:t>
      </w:r>
      <w:r>
        <w:rPr>
          <w:noProof/>
        </w:rPr>
        <w:tab/>
      </w:r>
      <w:r>
        <w:rPr>
          <w:noProof/>
        </w:rPr>
        <w:fldChar w:fldCharType="begin"/>
      </w:r>
      <w:r>
        <w:rPr>
          <w:noProof/>
        </w:rPr>
        <w:instrText xml:space="preserve"> PAGEREF _Toc167691914 \h </w:instrText>
      </w:r>
      <w:r>
        <w:rPr>
          <w:noProof/>
        </w:rPr>
      </w:r>
      <w:r>
        <w:rPr>
          <w:noProof/>
        </w:rPr>
        <w:fldChar w:fldCharType="separate"/>
      </w:r>
      <w:r w:rsidR="00A36C2E">
        <w:rPr>
          <w:noProof/>
        </w:rPr>
        <w:t>323</w:t>
      </w:r>
      <w:r>
        <w:rPr>
          <w:noProof/>
        </w:rPr>
        <w:fldChar w:fldCharType="end"/>
      </w:r>
    </w:p>
    <w:p w14:paraId="4CA8F43A" w14:textId="1CB93999" w:rsidR="008E7215" w:rsidRPr="008F03E5" w:rsidRDefault="00B5146E" w:rsidP="00144CDF">
      <w:pPr>
        <w:sectPr w:rsidR="008E7215" w:rsidRPr="008F03E5" w:rsidSect="006A0123">
          <w:footnotePr>
            <w:numRestart w:val="eachPage"/>
          </w:footnotePr>
          <w:type w:val="continuous"/>
          <w:pgSz w:w="11909" w:h="16834" w:code="9"/>
          <w:pgMar w:top="720" w:right="567" w:bottom="720" w:left="567" w:header="720" w:footer="567" w:gutter="0"/>
          <w:cols w:num="3" w:space="397"/>
          <w:noEndnote/>
          <w:docGrid w:linePitch="272"/>
        </w:sectPr>
      </w:pPr>
      <w:r>
        <w:rPr>
          <w:sz w:val="18"/>
          <w:szCs w:val="22"/>
          <w14:numSpacing w14:val="tabular"/>
        </w:rPr>
        <w:fldChar w:fldCharType="end"/>
      </w:r>
    </w:p>
    <w:p w14:paraId="08AE2699" w14:textId="3C6D2231" w:rsidR="0024326A" w:rsidRPr="001C4746" w:rsidRDefault="008063A9" w:rsidP="00E110DF">
      <w:pPr>
        <w:spacing w:before="120"/>
        <w:jc w:val="center"/>
        <w:rPr>
          <w:b/>
          <w:bCs/>
          <w:sz w:val="28"/>
          <w:szCs w:val="28"/>
          <w:lang w:val="pl-PL"/>
        </w:rPr>
      </w:pPr>
      <w:hyperlink w:anchor="A" w:history="1">
        <w:r w:rsidR="0024326A" w:rsidRPr="001C4746">
          <w:rPr>
            <w:b/>
            <w:bCs/>
            <w:sz w:val="28"/>
            <w:szCs w:val="28"/>
            <w:lang w:val="pl-PL"/>
          </w:rPr>
          <w:t>A</w:t>
        </w:r>
      </w:hyperlink>
      <w:r w:rsidR="00E66A07" w:rsidRPr="001C4746">
        <w:rPr>
          <w:b/>
          <w:bCs/>
          <w:sz w:val="28"/>
          <w:szCs w:val="28"/>
          <w:lang w:val="pl-PL"/>
        </w:rPr>
        <w:t xml:space="preserve"> </w:t>
      </w:r>
      <w:hyperlink w:anchor="B" w:history="1">
        <w:r w:rsidR="0024326A" w:rsidRPr="001C4746">
          <w:rPr>
            <w:b/>
            <w:bCs/>
            <w:sz w:val="28"/>
            <w:szCs w:val="28"/>
            <w:lang w:val="pl-PL"/>
          </w:rPr>
          <w:t>B</w:t>
        </w:r>
      </w:hyperlink>
      <w:r w:rsidR="00E66A07" w:rsidRPr="001C4746">
        <w:rPr>
          <w:b/>
          <w:bCs/>
          <w:sz w:val="28"/>
          <w:szCs w:val="28"/>
          <w:lang w:val="pl-PL"/>
        </w:rPr>
        <w:t xml:space="preserve"> </w:t>
      </w:r>
      <w:hyperlink w:anchor="C" w:history="1">
        <w:r w:rsidR="0024326A" w:rsidRPr="001C4746">
          <w:rPr>
            <w:b/>
            <w:bCs/>
            <w:sz w:val="28"/>
            <w:szCs w:val="28"/>
            <w:lang w:val="pl-PL"/>
          </w:rPr>
          <w:t>C</w:t>
        </w:r>
      </w:hyperlink>
      <w:r w:rsidR="00E66A07" w:rsidRPr="001C4746">
        <w:rPr>
          <w:b/>
          <w:bCs/>
          <w:sz w:val="28"/>
          <w:szCs w:val="28"/>
          <w:lang w:val="pl-PL"/>
        </w:rPr>
        <w:t xml:space="preserve"> </w:t>
      </w:r>
      <w:hyperlink w:anchor="Ch" w:history="1">
        <w:r w:rsidR="001D3982" w:rsidRPr="001C4746">
          <w:rPr>
            <w:b/>
            <w:bCs/>
            <w:sz w:val="28"/>
            <w:szCs w:val="28"/>
            <w:u w:val="single"/>
            <w:lang w:val="pl-PL"/>
          </w:rPr>
          <w:t>Ch</w:t>
        </w:r>
      </w:hyperlink>
      <w:r w:rsidR="00E66A07" w:rsidRPr="001C4746">
        <w:rPr>
          <w:b/>
          <w:bCs/>
          <w:sz w:val="28"/>
          <w:szCs w:val="28"/>
          <w:lang w:val="pl-PL"/>
        </w:rPr>
        <w:t xml:space="preserve"> </w:t>
      </w:r>
      <w:hyperlink w:anchor="D" w:history="1">
        <w:r w:rsidR="0024326A" w:rsidRPr="001C4746">
          <w:rPr>
            <w:b/>
            <w:bCs/>
            <w:sz w:val="28"/>
            <w:szCs w:val="28"/>
            <w:lang w:val="pl-PL"/>
          </w:rPr>
          <w:t>D</w:t>
        </w:r>
      </w:hyperlink>
      <w:r w:rsidR="00E66A07" w:rsidRPr="001C4746">
        <w:rPr>
          <w:b/>
          <w:bCs/>
          <w:sz w:val="28"/>
          <w:szCs w:val="28"/>
          <w:lang w:val="pl-PL"/>
        </w:rPr>
        <w:t xml:space="preserve"> </w:t>
      </w:r>
      <w:hyperlink w:anchor="Dh" w:history="1">
        <w:r w:rsidR="001D3982" w:rsidRPr="001C4746">
          <w:rPr>
            <w:b/>
            <w:bCs/>
            <w:sz w:val="28"/>
            <w:szCs w:val="28"/>
            <w:u w:val="single"/>
            <w:lang w:val="pl-PL"/>
          </w:rPr>
          <w:t>Dh</w:t>
        </w:r>
      </w:hyperlink>
      <w:r w:rsidR="00E66A07" w:rsidRPr="001C4746">
        <w:rPr>
          <w:b/>
          <w:bCs/>
          <w:sz w:val="28"/>
          <w:szCs w:val="28"/>
          <w:lang w:val="pl-PL"/>
        </w:rPr>
        <w:t xml:space="preserve"> </w:t>
      </w:r>
      <w:hyperlink w:anchor="E" w:history="1">
        <w:r w:rsidR="0024326A" w:rsidRPr="001C4746">
          <w:rPr>
            <w:b/>
            <w:bCs/>
            <w:sz w:val="28"/>
            <w:szCs w:val="28"/>
            <w:lang w:val="pl-PL"/>
          </w:rPr>
          <w:t>E</w:t>
        </w:r>
      </w:hyperlink>
      <w:r w:rsidR="00E66A07" w:rsidRPr="001C4746">
        <w:rPr>
          <w:b/>
          <w:bCs/>
          <w:sz w:val="28"/>
          <w:szCs w:val="28"/>
          <w:lang w:val="pl-PL"/>
        </w:rPr>
        <w:t xml:space="preserve"> </w:t>
      </w:r>
      <w:hyperlink w:anchor="F" w:history="1">
        <w:r w:rsidR="0024326A" w:rsidRPr="001C4746">
          <w:rPr>
            <w:b/>
            <w:bCs/>
            <w:sz w:val="28"/>
            <w:szCs w:val="28"/>
            <w:lang w:val="pl-PL"/>
          </w:rPr>
          <w:t>F</w:t>
        </w:r>
      </w:hyperlink>
      <w:r w:rsidR="00E66A07" w:rsidRPr="001C4746">
        <w:rPr>
          <w:b/>
          <w:bCs/>
          <w:sz w:val="28"/>
          <w:szCs w:val="28"/>
          <w:lang w:val="pl-PL"/>
        </w:rPr>
        <w:t xml:space="preserve"> </w:t>
      </w:r>
      <w:hyperlink w:anchor="G" w:history="1">
        <w:r w:rsidR="0024326A" w:rsidRPr="001C4746">
          <w:rPr>
            <w:b/>
            <w:bCs/>
            <w:sz w:val="28"/>
            <w:szCs w:val="28"/>
            <w:lang w:val="pl-PL"/>
          </w:rPr>
          <w:t>G</w:t>
        </w:r>
      </w:hyperlink>
      <w:r w:rsidR="00E66A07" w:rsidRPr="001C4746">
        <w:rPr>
          <w:b/>
          <w:bCs/>
          <w:sz w:val="28"/>
          <w:szCs w:val="28"/>
          <w:lang w:val="pl-PL"/>
        </w:rPr>
        <w:t xml:space="preserve"> </w:t>
      </w:r>
      <w:hyperlink w:anchor="Gh" w:history="1">
        <w:r w:rsidR="001D3982" w:rsidRPr="001C4746">
          <w:rPr>
            <w:b/>
            <w:bCs/>
            <w:sz w:val="28"/>
            <w:szCs w:val="28"/>
            <w:u w:val="single"/>
            <w:lang w:val="pl-PL"/>
          </w:rPr>
          <w:t>Gh</w:t>
        </w:r>
      </w:hyperlink>
      <w:r w:rsidR="00E66A07" w:rsidRPr="001C4746">
        <w:rPr>
          <w:b/>
          <w:bCs/>
          <w:sz w:val="28"/>
          <w:szCs w:val="28"/>
          <w:lang w:val="pl-PL"/>
        </w:rPr>
        <w:t xml:space="preserve"> </w:t>
      </w:r>
      <w:hyperlink w:anchor="H" w:history="1">
        <w:r w:rsidR="0024326A" w:rsidRPr="001C4746">
          <w:rPr>
            <w:b/>
            <w:bCs/>
            <w:sz w:val="28"/>
            <w:szCs w:val="28"/>
            <w:lang w:val="pl-PL"/>
          </w:rPr>
          <w:t>H</w:t>
        </w:r>
      </w:hyperlink>
      <w:r w:rsidR="00E66A07" w:rsidRPr="001C4746">
        <w:rPr>
          <w:b/>
          <w:bCs/>
          <w:sz w:val="28"/>
          <w:szCs w:val="28"/>
          <w:lang w:val="pl-PL"/>
        </w:rPr>
        <w:t xml:space="preserve"> </w:t>
      </w:r>
      <w:hyperlink w:anchor="I" w:history="1">
        <w:r w:rsidR="0024326A" w:rsidRPr="001C4746">
          <w:rPr>
            <w:b/>
            <w:bCs/>
            <w:sz w:val="28"/>
            <w:szCs w:val="28"/>
            <w:lang w:val="pl-PL"/>
          </w:rPr>
          <w:t>I</w:t>
        </w:r>
      </w:hyperlink>
      <w:r w:rsidR="00E66A07" w:rsidRPr="001C4746">
        <w:rPr>
          <w:b/>
          <w:bCs/>
          <w:sz w:val="28"/>
          <w:szCs w:val="28"/>
          <w:lang w:val="pl-PL"/>
        </w:rPr>
        <w:t xml:space="preserve"> </w:t>
      </w:r>
      <w:hyperlink w:anchor="J" w:history="1">
        <w:r w:rsidR="0024326A" w:rsidRPr="001C4746">
          <w:rPr>
            <w:b/>
            <w:bCs/>
            <w:sz w:val="28"/>
            <w:szCs w:val="28"/>
            <w:lang w:val="pl-PL"/>
          </w:rPr>
          <w:t>J</w:t>
        </w:r>
      </w:hyperlink>
      <w:r w:rsidR="00E66A07" w:rsidRPr="001C4746">
        <w:rPr>
          <w:b/>
          <w:bCs/>
          <w:sz w:val="28"/>
          <w:szCs w:val="28"/>
          <w:lang w:val="pl-PL"/>
        </w:rPr>
        <w:t xml:space="preserve"> </w:t>
      </w:r>
      <w:hyperlink w:anchor="K" w:history="1">
        <w:r w:rsidR="0024326A" w:rsidRPr="001C4746">
          <w:rPr>
            <w:b/>
            <w:bCs/>
            <w:sz w:val="28"/>
            <w:szCs w:val="28"/>
            <w:lang w:val="pl-PL"/>
          </w:rPr>
          <w:t>K</w:t>
        </w:r>
      </w:hyperlink>
      <w:r w:rsidR="00E66A07" w:rsidRPr="001C4746">
        <w:rPr>
          <w:b/>
          <w:bCs/>
          <w:sz w:val="28"/>
          <w:szCs w:val="28"/>
          <w:lang w:val="pl-PL"/>
        </w:rPr>
        <w:t xml:space="preserve"> </w:t>
      </w:r>
      <w:hyperlink w:anchor="Kh" w:history="1">
        <w:r w:rsidR="00E66A07" w:rsidRPr="001C4746">
          <w:rPr>
            <w:b/>
            <w:bCs/>
            <w:sz w:val="28"/>
            <w:szCs w:val="28"/>
            <w:u w:val="single"/>
            <w:lang w:val="pl-PL"/>
          </w:rPr>
          <w:t>Kh</w:t>
        </w:r>
      </w:hyperlink>
      <w:r w:rsidR="00E66A07" w:rsidRPr="001C4746">
        <w:rPr>
          <w:b/>
          <w:bCs/>
          <w:sz w:val="28"/>
          <w:szCs w:val="28"/>
          <w:lang w:val="pl-PL"/>
        </w:rPr>
        <w:t xml:space="preserve"> </w:t>
      </w:r>
      <w:hyperlink w:anchor="L" w:history="1">
        <w:r w:rsidR="0024326A" w:rsidRPr="001C4746">
          <w:rPr>
            <w:b/>
            <w:bCs/>
            <w:sz w:val="28"/>
            <w:szCs w:val="28"/>
            <w:lang w:val="pl-PL"/>
          </w:rPr>
          <w:t>L</w:t>
        </w:r>
      </w:hyperlink>
      <w:r w:rsidR="00E66A07" w:rsidRPr="001C4746">
        <w:rPr>
          <w:b/>
          <w:bCs/>
          <w:sz w:val="28"/>
          <w:szCs w:val="28"/>
          <w:lang w:val="pl-PL"/>
        </w:rPr>
        <w:t xml:space="preserve"> </w:t>
      </w:r>
      <w:hyperlink w:anchor="M" w:history="1">
        <w:r w:rsidR="0024326A" w:rsidRPr="001C4746">
          <w:rPr>
            <w:b/>
            <w:bCs/>
            <w:sz w:val="28"/>
            <w:szCs w:val="28"/>
            <w:lang w:val="pl-PL"/>
          </w:rPr>
          <w:t>M</w:t>
        </w:r>
      </w:hyperlink>
      <w:r w:rsidR="00E66A07" w:rsidRPr="001C4746">
        <w:rPr>
          <w:b/>
          <w:bCs/>
          <w:sz w:val="28"/>
          <w:szCs w:val="28"/>
          <w:lang w:val="pl-PL"/>
        </w:rPr>
        <w:t xml:space="preserve"> </w:t>
      </w:r>
      <w:hyperlink w:anchor="N" w:history="1">
        <w:r w:rsidR="0024326A" w:rsidRPr="001C4746">
          <w:rPr>
            <w:b/>
            <w:bCs/>
            <w:sz w:val="28"/>
            <w:szCs w:val="28"/>
            <w:lang w:val="pl-PL"/>
          </w:rPr>
          <w:t>N</w:t>
        </w:r>
      </w:hyperlink>
      <w:r w:rsidR="00E66A07" w:rsidRPr="001C4746">
        <w:rPr>
          <w:b/>
          <w:bCs/>
          <w:sz w:val="28"/>
          <w:szCs w:val="28"/>
          <w:lang w:val="pl-PL"/>
        </w:rPr>
        <w:t xml:space="preserve"> </w:t>
      </w:r>
      <w:hyperlink w:anchor="P" w:history="1">
        <w:r w:rsidR="0024326A" w:rsidRPr="001C4746">
          <w:rPr>
            <w:b/>
            <w:bCs/>
            <w:sz w:val="28"/>
            <w:szCs w:val="28"/>
            <w:lang w:val="pl-PL"/>
          </w:rPr>
          <w:t>P</w:t>
        </w:r>
      </w:hyperlink>
      <w:r w:rsidR="00E66A07" w:rsidRPr="001C4746">
        <w:rPr>
          <w:b/>
          <w:bCs/>
          <w:sz w:val="28"/>
          <w:szCs w:val="28"/>
          <w:lang w:val="pl-PL"/>
        </w:rPr>
        <w:t xml:space="preserve"> </w:t>
      </w:r>
      <w:hyperlink w:anchor="Q" w:history="1">
        <w:r w:rsidR="0024326A" w:rsidRPr="001C4746">
          <w:rPr>
            <w:b/>
            <w:bCs/>
            <w:sz w:val="28"/>
            <w:szCs w:val="28"/>
            <w:lang w:val="pl-PL"/>
          </w:rPr>
          <w:t>Q</w:t>
        </w:r>
      </w:hyperlink>
      <w:r w:rsidR="00E66A07" w:rsidRPr="001C4746">
        <w:rPr>
          <w:b/>
          <w:bCs/>
          <w:sz w:val="28"/>
          <w:szCs w:val="28"/>
          <w:lang w:val="pl-PL"/>
        </w:rPr>
        <w:t xml:space="preserve"> </w:t>
      </w:r>
      <w:hyperlink w:anchor="R" w:history="1">
        <w:r w:rsidR="0024326A" w:rsidRPr="001C4746">
          <w:rPr>
            <w:b/>
            <w:bCs/>
            <w:sz w:val="28"/>
            <w:szCs w:val="28"/>
            <w:lang w:val="pl-PL"/>
          </w:rPr>
          <w:t>R</w:t>
        </w:r>
      </w:hyperlink>
      <w:r w:rsidR="00E66A07" w:rsidRPr="001C4746">
        <w:rPr>
          <w:b/>
          <w:bCs/>
          <w:sz w:val="28"/>
          <w:szCs w:val="28"/>
          <w:lang w:val="pl-PL"/>
        </w:rPr>
        <w:t xml:space="preserve"> </w:t>
      </w:r>
      <w:hyperlink w:anchor="S" w:history="1">
        <w:r w:rsidR="0024326A" w:rsidRPr="001C4746">
          <w:rPr>
            <w:b/>
            <w:bCs/>
            <w:sz w:val="28"/>
            <w:szCs w:val="28"/>
            <w:lang w:val="pl-PL"/>
          </w:rPr>
          <w:t>S</w:t>
        </w:r>
      </w:hyperlink>
      <w:r w:rsidR="00E66A07" w:rsidRPr="001C4746">
        <w:rPr>
          <w:b/>
          <w:bCs/>
          <w:sz w:val="28"/>
          <w:szCs w:val="28"/>
          <w:lang w:val="pl-PL"/>
        </w:rPr>
        <w:t xml:space="preserve"> </w:t>
      </w:r>
      <w:hyperlink w:anchor="Sh" w:history="1">
        <w:r w:rsidR="00E66A07" w:rsidRPr="001C4746">
          <w:rPr>
            <w:b/>
            <w:bCs/>
            <w:sz w:val="28"/>
            <w:szCs w:val="28"/>
            <w:u w:val="single"/>
            <w:lang w:val="pl-PL"/>
          </w:rPr>
          <w:t>S</w:t>
        </w:r>
        <w:r w:rsidR="00E66A07" w:rsidRPr="001C4746">
          <w:rPr>
            <w:b/>
            <w:bCs/>
            <w:sz w:val="28"/>
            <w:szCs w:val="28"/>
            <w:u w:val="single"/>
            <w:lang w:val="pl-PL"/>
          </w:rPr>
          <w:t>h</w:t>
        </w:r>
      </w:hyperlink>
      <w:r w:rsidR="00E66A07" w:rsidRPr="001C4746">
        <w:rPr>
          <w:b/>
          <w:bCs/>
          <w:sz w:val="28"/>
          <w:szCs w:val="28"/>
          <w:lang w:val="pl-PL"/>
        </w:rPr>
        <w:t xml:space="preserve"> </w:t>
      </w:r>
      <w:hyperlink w:anchor="T" w:history="1">
        <w:r w:rsidR="0024326A" w:rsidRPr="001C4746">
          <w:rPr>
            <w:b/>
            <w:bCs/>
            <w:sz w:val="28"/>
            <w:szCs w:val="28"/>
            <w:lang w:val="pl-PL"/>
          </w:rPr>
          <w:t>T</w:t>
        </w:r>
      </w:hyperlink>
      <w:r w:rsidR="00E66A07" w:rsidRPr="001C4746">
        <w:rPr>
          <w:b/>
          <w:bCs/>
          <w:sz w:val="28"/>
          <w:szCs w:val="28"/>
          <w:lang w:val="pl-PL"/>
        </w:rPr>
        <w:t xml:space="preserve"> </w:t>
      </w:r>
      <w:hyperlink w:anchor="Th" w:history="1">
        <w:r w:rsidR="001D3982" w:rsidRPr="001C4746">
          <w:rPr>
            <w:b/>
            <w:bCs/>
            <w:sz w:val="28"/>
            <w:szCs w:val="28"/>
            <w:u w:val="single"/>
            <w:lang w:val="pl-PL"/>
          </w:rPr>
          <w:t>Th</w:t>
        </w:r>
      </w:hyperlink>
      <w:r w:rsidR="00E66A07" w:rsidRPr="001C4746">
        <w:rPr>
          <w:b/>
          <w:bCs/>
          <w:sz w:val="28"/>
          <w:szCs w:val="28"/>
          <w:lang w:val="pl-PL"/>
        </w:rPr>
        <w:t xml:space="preserve"> </w:t>
      </w:r>
      <w:hyperlink w:anchor="U" w:history="1">
        <w:r w:rsidR="0024326A" w:rsidRPr="001C4746">
          <w:rPr>
            <w:b/>
            <w:bCs/>
            <w:sz w:val="28"/>
            <w:szCs w:val="28"/>
            <w:lang w:val="pl-PL"/>
          </w:rPr>
          <w:t>U</w:t>
        </w:r>
      </w:hyperlink>
      <w:r w:rsidR="00E66A07" w:rsidRPr="001C4746">
        <w:rPr>
          <w:b/>
          <w:bCs/>
          <w:sz w:val="28"/>
          <w:szCs w:val="28"/>
          <w:lang w:val="pl-PL"/>
        </w:rPr>
        <w:t xml:space="preserve"> </w:t>
      </w:r>
      <w:hyperlink w:anchor="V" w:history="1">
        <w:r w:rsidR="0024326A" w:rsidRPr="001C4746">
          <w:rPr>
            <w:b/>
            <w:bCs/>
            <w:sz w:val="28"/>
            <w:szCs w:val="28"/>
            <w:lang w:val="pl-PL"/>
          </w:rPr>
          <w:t>V</w:t>
        </w:r>
      </w:hyperlink>
      <w:r w:rsidR="00E66A07" w:rsidRPr="001C4746">
        <w:rPr>
          <w:b/>
          <w:bCs/>
          <w:sz w:val="28"/>
          <w:szCs w:val="28"/>
          <w:lang w:val="pl-PL"/>
        </w:rPr>
        <w:t xml:space="preserve"> </w:t>
      </w:r>
      <w:hyperlink w:anchor="W" w:history="1">
        <w:r w:rsidR="0024326A" w:rsidRPr="001C4746">
          <w:rPr>
            <w:b/>
            <w:bCs/>
            <w:sz w:val="28"/>
            <w:szCs w:val="28"/>
            <w:lang w:val="pl-PL"/>
          </w:rPr>
          <w:t>W</w:t>
        </w:r>
      </w:hyperlink>
      <w:r w:rsidR="00E66A07" w:rsidRPr="001C4746">
        <w:rPr>
          <w:b/>
          <w:bCs/>
          <w:sz w:val="28"/>
          <w:szCs w:val="28"/>
          <w:lang w:val="pl-PL"/>
        </w:rPr>
        <w:t xml:space="preserve"> </w:t>
      </w:r>
      <w:hyperlink w:anchor="Y" w:history="1">
        <w:r w:rsidR="0024326A" w:rsidRPr="001C4746">
          <w:rPr>
            <w:b/>
            <w:bCs/>
            <w:sz w:val="28"/>
            <w:szCs w:val="28"/>
            <w:lang w:val="pl-PL"/>
          </w:rPr>
          <w:t>Y</w:t>
        </w:r>
      </w:hyperlink>
      <w:r w:rsidR="00E66A07" w:rsidRPr="001C4746">
        <w:rPr>
          <w:b/>
          <w:bCs/>
          <w:sz w:val="28"/>
          <w:szCs w:val="28"/>
          <w:lang w:val="pl-PL"/>
        </w:rPr>
        <w:t xml:space="preserve"> </w:t>
      </w:r>
      <w:hyperlink w:anchor="Z" w:history="1">
        <w:r w:rsidR="0024326A" w:rsidRPr="001C4746">
          <w:rPr>
            <w:b/>
            <w:bCs/>
            <w:sz w:val="28"/>
            <w:szCs w:val="28"/>
            <w:lang w:val="pl-PL"/>
          </w:rPr>
          <w:t>Z</w:t>
        </w:r>
      </w:hyperlink>
      <w:r w:rsidR="00E66A07" w:rsidRPr="001C4746">
        <w:rPr>
          <w:b/>
          <w:bCs/>
          <w:sz w:val="28"/>
          <w:szCs w:val="28"/>
          <w:lang w:val="pl-PL"/>
        </w:rPr>
        <w:t xml:space="preserve"> </w:t>
      </w:r>
      <w:hyperlink w:anchor="Zh" w:history="1">
        <w:r w:rsidR="001D3982" w:rsidRPr="001C4746">
          <w:rPr>
            <w:b/>
            <w:bCs/>
            <w:sz w:val="28"/>
            <w:szCs w:val="28"/>
            <w:u w:val="single"/>
            <w:lang w:val="pl-PL"/>
          </w:rPr>
          <w:t>Zh</w:t>
        </w:r>
      </w:hyperlink>
    </w:p>
    <w:p w14:paraId="1C0B60AD" w14:textId="188C0807" w:rsidR="00BA38DD" w:rsidRPr="00631F7E" w:rsidRDefault="00BA38DD" w:rsidP="00E11C3A">
      <w:pPr>
        <w:pStyle w:val="Myhead"/>
        <w:rPr>
          <w:lang w:val="en-AU"/>
        </w:rPr>
      </w:pPr>
      <w:bookmarkStart w:id="1" w:name="_Toc149326078"/>
      <w:r w:rsidRPr="008F03E5">
        <w:t>Introduction</w:t>
      </w:r>
      <w:bookmarkEnd w:id="1"/>
      <w:r w:rsidR="00BB58C6" w:rsidRPr="00BB58C6">
        <w:rPr>
          <w:b w:val="0"/>
          <w:sz w:val="12"/>
        </w:rPr>
        <w:fldChar w:fldCharType="begin"/>
      </w:r>
      <w:r w:rsidR="00BB58C6" w:rsidRPr="00BB58C6">
        <w:rPr>
          <w:b w:val="0"/>
          <w:sz w:val="12"/>
        </w:rPr>
        <w:instrText xml:space="preserve"> TC “</w:instrText>
      </w:r>
      <w:bookmarkStart w:id="2" w:name="_Toc149476364"/>
      <w:bookmarkStart w:id="3" w:name="_Toc167691860"/>
      <w:r w:rsidR="00BB58C6" w:rsidRPr="00BB58C6">
        <w:rPr>
          <w:b w:val="0"/>
          <w:sz w:val="12"/>
        </w:rPr>
        <w:instrText>Introduction</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2"/>
      <w:bookmarkEnd w:id="3"/>
      <w:r w:rsidR="00BB58C6" w:rsidRPr="00BB58C6">
        <w:rPr>
          <w:b w:val="0"/>
          <w:sz w:val="12"/>
        </w:rPr>
        <w:instrText xml:space="preserve">” </w:instrText>
      </w:r>
      <w:r w:rsidR="00BB58C6" w:rsidRPr="00631F7E">
        <w:rPr>
          <w:b w:val="0"/>
          <w:sz w:val="12"/>
          <w:lang w:val="en-AU"/>
        </w:rPr>
        <w:instrText>\l 1</w:instrText>
      </w:r>
      <w:r w:rsidR="00BB58C6" w:rsidRPr="00BB58C6">
        <w:rPr>
          <w:b w:val="0"/>
          <w:sz w:val="12"/>
        </w:rPr>
        <w:fldChar w:fldCharType="end"/>
      </w:r>
    </w:p>
    <w:p w14:paraId="7B887CF3" w14:textId="51539570" w:rsidR="00BA38DD" w:rsidRPr="008F03E5" w:rsidRDefault="00046085" w:rsidP="002869C4">
      <w:pPr>
        <w:pStyle w:val="Text"/>
      </w:pPr>
      <w:r w:rsidRPr="008F03E5">
        <w:t>T</w:t>
      </w:r>
      <w:r w:rsidR="00BA38DD" w:rsidRPr="008F03E5">
        <w:t>his</w:t>
      </w:r>
      <w:r w:rsidR="00D30688" w:rsidRPr="008F03E5">
        <w:t xml:space="preserve"> </w:t>
      </w:r>
      <w:r w:rsidR="00BA38DD" w:rsidRPr="008F03E5">
        <w:t>document</w:t>
      </w:r>
      <w:r w:rsidR="00D30688" w:rsidRPr="008F03E5">
        <w:t xml:space="preserve"> </w:t>
      </w:r>
      <w:r w:rsidR="00DC1C40" w:rsidRPr="008F03E5">
        <w:t>l</w:t>
      </w:r>
      <w:r w:rsidR="00BA38DD" w:rsidRPr="008F03E5">
        <w:t>ist</w:t>
      </w:r>
      <w:r w:rsidR="00DC1C40" w:rsidRPr="008F03E5">
        <w:t>s</w:t>
      </w:r>
      <w:r w:rsidR="00D30688" w:rsidRPr="008F03E5">
        <w:t xml:space="preserve"> </w:t>
      </w:r>
      <w:r w:rsidR="00BA38DD" w:rsidRPr="008F03E5">
        <w:t>the</w:t>
      </w:r>
      <w:r w:rsidR="00D30688" w:rsidRPr="008F03E5">
        <w:t xml:space="preserve"> </w:t>
      </w:r>
      <w:r w:rsidR="00DD1C05" w:rsidRPr="008F03E5">
        <w:t xml:space="preserve">Latin </w:t>
      </w:r>
      <w:r w:rsidR="00BA38DD" w:rsidRPr="008F03E5">
        <w:t>script</w:t>
      </w:r>
      <w:r w:rsidR="00D30688" w:rsidRPr="008F03E5">
        <w:t xml:space="preserve"> </w:t>
      </w:r>
      <w:r w:rsidR="00BA38DD" w:rsidRPr="008F03E5">
        <w:t>trans</w:t>
      </w:r>
      <w:r w:rsidR="00C31478" w:rsidRPr="008F03E5">
        <w:t>cription</w:t>
      </w:r>
      <w:r w:rsidR="00D30688" w:rsidRPr="008F03E5">
        <w:t xml:space="preserve"> </w:t>
      </w:r>
      <w:r w:rsidR="00BA38DD" w:rsidRPr="008F03E5">
        <w:t>forms</w:t>
      </w:r>
      <w:r w:rsidR="00D30688" w:rsidRPr="008F03E5">
        <w:t xml:space="preserve"> </w:t>
      </w:r>
      <w:r w:rsidR="00BA38DD" w:rsidRPr="008F03E5">
        <w:t>of</w:t>
      </w:r>
      <w:r w:rsidR="00D30688" w:rsidRPr="008F03E5">
        <w:t xml:space="preserve"> </w:t>
      </w:r>
      <w:r w:rsidR="00BA38DD" w:rsidRPr="008F03E5">
        <w:t>many</w:t>
      </w:r>
      <w:r w:rsidR="00D30688" w:rsidRPr="008F03E5">
        <w:t xml:space="preserve"> </w:t>
      </w:r>
      <w:r w:rsidR="00BA38DD" w:rsidRPr="008F03E5">
        <w:t>of</w:t>
      </w:r>
      <w:r w:rsidR="00D30688" w:rsidRPr="008F03E5">
        <w:t xml:space="preserve"> </w:t>
      </w:r>
      <w:r w:rsidR="00BA38DD" w:rsidRPr="008F03E5">
        <w:t>the</w:t>
      </w:r>
      <w:r w:rsidR="00D30688" w:rsidRPr="008F03E5">
        <w:t xml:space="preserve"> </w:t>
      </w:r>
      <w:r w:rsidR="00BA38DD" w:rsidRPr="008F03E5">
        <w:t>Arabic</w:t>
      </w:r>
      <w:r w:rsidR="00D30688" w:rsidRPr="008F03E5">
        <w:t xml:space="preserve"> </w:t>
      </w:r>
      <w:r w:rsidR="000B0EA5" w:rsidRPr="008F03E5">
        <w:t xml:space="preserve">(Ar.) </w:t>
      </w:r>
      <w:r w:rsidR="00BA38DD" w:rsidRPr="008F03E5">
        <w:t>and</w:t>
      </w:r>
      <w:r w:rsidR="00D30688" w:rsidRPr="008F03E5">
        <w:t xml:space="preserve"> </w:t>
      </w:r>
      <w:r w:rsidR="00787E3E" w:rsidRPr="008F03E5">
        <w:t>Persian</w:t>
      </w:r>
      <w:r w:rsidR="000B0EA5" w:rsidRPr="008F03E5">
        <w:t xml:space="preserve"> (Pers.)</w:t>
      </w:r>
      <w:r w:rsidR="00D30688" w:rsidRPr="008F03E5">
        <w:t xml:space="preserve"> </w:t>
      </w:r>
      <w:r w:rsidR="00BA38DD" w:rsidRPr="008F03E5">
        <w:t>(</w:t>
      </w:r>
      <w:r w:rsidR="00231639" w:rsidRPr="008F03E5">
        <w:t>including some</w:t>
      </w:r>
      <w:r w:rsidR="00D30688" w:rsidRPr="008F03E5">
        <w:t xml:space="preserve"> </w:t>
      </w:r>
      <w:r w:rsidR="00BA38DD" w:rsidRPr="008F03E5">
        <w:t>of</w:t>
      </w:r>
      <w:r w:rsidR="00D30688" w:rsidRPr="008F03E5">
        <w:t xml:space="preserve"> </w:t>
      </w:r>
      <w:r w:rsidR="00BA38DD" w:rsidRPr="008F03E5">
        <w:t>Turki</w:t>
      </w:r>
      <w:r w:rsidR="00787E3E" w:rsidRPr="008F03E5">
        <w:t>c</w:t>
      </w:r>
      <w:r w:rsidR="00D30688" w:rsidRPr="008F03E5">
        <w:t xml:space="preserve"> </w:t>
      </w:r>
      <w:r w:rsidR="000B0EA5" w:rsidRPr="008F03E5">
        <w:t xml:space="preserve">(T.) </w:t>
      </w:r>
      <w:r w:rsidR="00BA38DD" w:rsidRPr="008F03E5">
        <w:t>origin)</w:t>
      </w:r>
      <w:r w:rsidR="00D30688" w:rsidRPr="008F03E5">
        <w:t xml:space="preserve"> </w:t>
      </w:r>
      <w:r w:rsidR="00BA38DD" w:rsidRPr="008F03E5">
        <w:t>names</w:t>
      </w:r>
      <w:r w:rsidR="00D30688" w:rsidRPr="008F03E5">
        <w:t xml:space="preserve"> </w:t>
      </w:r>
      <w:r w:rsidR="00BA38DD" w:rsidRPr="008F03E5">
        <w:t>and</w:t>
      </w:r>
      <w:r w:rsidR="00D30688" w:rsidRPr="008F03E5">
        <w:t xml:space="preserve"> </w:t>
      </w:r>
      <w:r w:rsidR="00BA38DD" w:rsidRPr="008F03E5">
        <w:t>words</w:t>
      </w:r>
      <w:r w:rsidR="00D30688" w:rsidRPr="008F03E5">
        <w:t xml:space="preserve"> </w:t>
      </w:r>
      <w:r w:rsidR="00BA38DD" w:rsidRPr="008F03E5">
        <w:t>used</w:t>
      </w:r>
      <w:r w:rsidR="00D30688" w:rsidRPr="008F03E5">
        <w:t xml:space="preserve"> </w:t>
      </w:r>
      <w:r w:rsidR="00BA38DD" w:rsidRPr="008F03E5">
        <w:t>in</w:t>
      </w:r>
      <w:r w:rsidR="00D30688" w:rsidRPr="008F03E5">
        <w:t xml:space="preserve"> </w:t>
      </w:r>
      <w:r w:rsidR="00BA38DD" w:rsidRPr="008F03E5">
        <w:t>the</w:t>
      </w:r>
      <w:r w:rsidR="00D30688" w:rsidRPr="008F03E5">
        <w:t xml:space="preserve"> </w:t>
      </w:r>
      <w:r w:rsidR="00BA38DD" w:rsidRPr="008F03E5">
        <w:t>Bahá’í</w:t>
      </w:r>
      <w:r w:rsidR="00D30688" w:rsidRPr="008F03E5">
        <w:t xml:space="preserve"> </w:t>
      </w:r>
      <w:r w:rsidR="00BA38DD" w:rsidRPr="008F03E5">
        <w:t>Writings</w:t>
      </w:r>
      <w:r w:rsidR="00231639" w:rsidRPr="008F03E5">
        <w:t xml:space="preserve">, books by Bahá’ís and the Qur’án </w:t>
      </w:r>
      <w:r w:rsidR="00BA38DD" w:rsidRPr="008F03E5">
        <w:t>as</w:t>
      </w:r>
      <w:r w:rsidR="00D30688" w:rsidRPr="008F03E5">
        <w:t xml:space="preserve"> </w:t>
      </w:r>
      <w:r w:rsidR="00BA38DD" w:rsidRPr="008F03E5">
        <w:t>a</w:t>
      </w:r>
      <w:r w:rsidR="00D30688" w:rsidRPr="008F03E5">
        <w:t xml:space="preserve"> </w:t>
      </w:r>
      <w:r w:rsidR="000B0EA5" w:rsidRPr="008F03E5">
        <w:rPr>
          <w:sz w:val="16"/>
          <w:szCs w:val="16"/>
        </w:rPr>
        <w:t>GUIDE</w:t>
      </w:r>
      <w:r w:rsidR="00D30688" w:rsidRPr="008F03E5">
        <w:t xml:space="preserve"> </w:t>
      </w:r>
      <w:r w:rsidR="00BA38DD" w:rsidRPr="008F03E5">
        <w:t>to</w:t>
      </w:r>
      <w:r w:rsidR="00D30688" w:rsidRPr="008F03E5">
        <w:t xml:space="preserve"> </w:t>
      </w:r>
      <w:r w:rsidR="00BA38DD" w:rsidRPr="008F03E5">
        <w:t>their</w:t>
      </w:r>
      <w:r w:rsidR="00D30688" w:rsidRPr="008F03E5">
        <w:t xml:space="preserve"> </w:t>
      </w:r>
      <w:r w:rsidR="00BA38DD" w:rsidRPr="008F03E5">
        <w:t>trans</w:t>
      </w:r>
      <w:r w:rsidR="00C31478" w:rsidRPr="008F03E5">
        <w:t>cription</w:t>
      </w:r>
      <w:r w:rsidR="00BA38DD" w:rsidRPr="008F03E5">
        <w:t>.</w:t>
      </w:r>
      <w:r w:rsidR="00D30688" w:rsidRPr="008F03E5">
        <w:t xml:space="preserve">  </w:t>
      </w:r>
      <w:r w:rsidR="00DD1C05" w:rsidRPr="008F03E5">
        <w:t xml:space="preserve">The full names of </w:t>
      </w:r>
      <w:r w:rsidR="000B0EA5" w:rsidRPr="008F03E5">
        <w:t xml:space="preserve">some </w:t>
      </w:r>
      <w:r w:rsidR="00DD1C05" w:rsidRPr="008F03E5">
        <w:t>people are listed, but for other</w:t>
      </w:r>
      <w:r w:rsidR="000B0EA5" w:rsidRPr="008F03E5">
        <w:t>s</w:t>
      </w:r>
      <w:r w:rsidR="00DD1C05" w:rsidRPr="008F03E5">
        <w:t xml:space="preserve"> the listing for each individual name will have to be checked</w:t>
      </w:r>
      <w:r w:rsidR="00BA38DD" w:rsidRPr="008F03E5">
        <w:t>.</w:t>
      </w:r>
      <w:r w:rsidR="00D30688" w:rsidRPr="008F03E5">
        <w:t xml:space="preserve">  </w:t>
      </w:r>
      <w:r w:rsidR="00DD1C05" w:rsidRPr="008F03E5">
        <w:t>Some r</w:t>
      </w:r>
      <w:r w:rsidR="00C12C61" w:rsidRPr="008F03E5">
        <w:t>oot</w:t>
      </w:r>
      <w:r w:rsidR="00D30688" w:rsidRPr="008F03E5">
        <w:t xml:space="preserve"> </w:t>
      </w:r>
      <w:r w:rsidR="00BA38DD" w:rsidRPr="008F03E5">
        <w:t>words</w:t>
      </w:r>
      <w:r w:rsidR="00D30688" w:rsidRPr="008F03E5">
        <w:t xml:space="preserve"> </w:t>
      </w:r>
      <w:r w:rsidR="00BA38DD" w:rsidRPr="008F03E5">
        <w:t>have</w:t>
      </w:r>
      <w:r w:rsidR="00D30688" w:rsidRPr="008F03E5">
        <w:t xml:space="preserve"> </w:t>
      </w:r>
      <w:r w:rsidR="00BA38DD" w:rsidRPr="008F03E5">
        <w:t>been</w:t>
      </w:r>
      <w:r w:rsidR="00D30688" w:rsidRPr="008F03E5">
        <w:t xml:space="preserve"> </w:t>
      </w:r>
      <w:r w:rsidR="00BA38DD" w:rsidRPr="008F03E5">
        <w:t>added</w:t>
      </w:r>
      <w:r w:rsidR="00D30688" w:rsidRPr="008F03E5">
        <w:t xml:space="preserve"> </w:t>
      </w:r>
      <w:r w:rsidR="00BA38DD" w:rsidRPr="008F03E5">
        <w:t>as</w:t>
      </w:r>
      <w:r w:rsidR="00D30688" w:rsidRPr="008F03E5">
        <w:t xml:space="preserve"> </w:t>
      </w:r>
      <w:r w:rsidR="00BA38DD" w:rsidRPr="008F03E5">
        <w:t>a</w:t>
      </w:r>
      <w:r w:rsidR="00D30688" w:rsidRPr="008F03E5">
        <w:t xml:space="preserve"> </w:t>
      </w:r>
      <w:r w:rsidR="00BA38DD" w:rsidRPr="008F03E5">
        <w:t>guide</w:t>
      </w:r>
      <w:r w:rsidR="00D30688" w:rsidRPr="008F03E5">
        <w:t xml:space="preserve"> </w:t>
      </w:r>
      <w:r w:rsidR="00BA38DD" w:rsidRPr="008F03E5">
        <w:t>to</w:t>
      </w:r>
      <w:r w:rsidR="00D30688" w:rsidRPr="008F03E5">
        <w:t xml:space="preserve"> </w:t>
      </w:r>
      <w:r w:rsidR="00DD1C05" w:rsidRPr="008F03E5">
        <w:t>the meaning of their derivatives</w:t>
      </w:r>
      <w:r w:rsidR="00BA38DD" w:rsidRPr="008F03E5">
        <w:t>.</w:t>
      </w:r>
    </w:p>
    <w:p w14:paraId="3E2E67A5" w14:textId="1774F5D1" w:rsidR="00E35BD1" w:rsidRPr="008F03E5" w:rsidRDefault="00260CEB" w:rsidP="00B675F0">
      <w:pPr>
        <w:pStyle w:val="Text"/>
      </w:pPr>
      <w:r w:rsidRPr="008F03E5">
        <w:t xml:space="preserve">Some </w:t>
      </w:r>
      <w:r w:rsidR="00E35BD1" w:rsidRPr="008F03E5">
        <w:t>glossary terms</w:t>
      </w:r>
      <w:r w:rsidR="00942551" w:rsidRPr="008F03E5">
        <w:t>,</w:t>
      </w:r>
      <w:r w:rsidR="00E35BD1" w:rsidRPr="008F03E5">
        <w:t xml:space="preserve"> and information on them</w:t>
      </w:r>
      <w:r w:rsidR="00942551" w:rsidRPr="008F03E5">
        <w:t>,</w:t>
      </w:r>
      <w:r w:rsidR="00E35BD1" w:rsidRPr="008F03E5">
        <w:t xml:space="preserve"> can be found in the Glossary of </w:t>
      </w:r>
      <w:r w:rsidR="00E35BD1" w:rsidRPr="008F03E5">
        <w:rPr>
          <w:i/>
          <w:iCs/>
        </w:rPr>
        <w:t xml:space="preserve">This Decisive Hour:  </w:t>
      </w:r>
      <w:r w:rsidR="00410BE7" w:rsidRPr="008F03E5">
        <w:rPr>
          <w:i/>
          <w:iCs/>
        </w:rPr>
        <w:t>Messages from Shoghi Effendi to the A</w:t>
      </w:r>
      <w:r w:rsidR="00B675F0" w:rsidRPr="008F03E5">
        <w:rPr>
          <w:i/>
          <w:iCs/>
        </w:rPr>
        <w:t>m</w:t>
      </w:r>
      <w:r w:rsidR="00410BE7" w:rsidRPr="008F03E5">
        <w:rPr>
          <w:i/>
          <w:iCs/>
        </w:rPr>
        <w:t>erican Bahá’ís 1932–1946</w:t>
      </w:r>
      <w:r w:rsidR="00410BE7" w:rsidRPr="008F03E5">
        <w:t>.</w:t>
      </w:r>
    </w:p>
    <w:p w14:paraId="154AF80A" w14:textId="07FFA2B5" w:rsidR="00A85E6E" w:rsidRPr="008F03E5" w:rsidRDefault="00EC1F1A" w:rsidP="00EC1F1A">
      <w:pPr>
        <w:pStyle w:val="Myhead"/>
      </w:pPr>
      <w:r w:rsidRPr="008F03E5">
        <w:t>Romani</w:t>
      </w:r>
      <w:r>
        <w:t>s</w:t>
      </w:r>
      <w:r w:rsidRPr="008F03E5">
        <w:t>ation of Arabic</w:t>
      </w:r>
      <w:r w:rsidR="00BB58C6" w:rsidRPr="00BB58C6">
        <w:rPr>
          <w:b w:val="0"/>
          <w:sz w:val="12"/>
        </w:rPr>
        <w:fldChar w:fldCharType="begin"/>
      </w:r>
      <w:r w:rsidR="00BB58C6" w:rsidRPr="00BB58C6">
        <w:rPr>
          <w:b w:val="0"/>
          <w:sz w:val="12"/>
        </w:rPr>
        <w:instrText xml:space="preserve"> TC “</w:instrText>
      </w:r>
      <w:bookmarkStart w:id="4" w:name="_Toc149476365"/>
      <w:bookmarkStart w:id="5" w:name="_Toc167691861"/>
      <w:r>
        <w:rPr>
          <w:b w:val="0"/>
          <w:sz w:val="12"/>
        </w:rPr>
        <w:instrText>Romanisation of Arabic</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4"/>
      <w:bookmarkEnd w:id="5"/>
      <w:r w:rsidR="00BB58C6" w:rsidRPr="00BB58C6">
        <w:rPr>
          <w:b w:val="0"/>
          <w:sz w:val="12"/>
        </w:rPr>
        <w:instrText>” \l 1</w:instrText>
      </w:r>
      <w:r w:rsidR="00BB58C6" w:rsidRPr="00BB58C6">
        <w:rPr>
          <w:b w:val="0"/>
          <w:sz w:val="12"/>
        </w:rPr>
        <w:fldChar w:fldCharType="end"/>
      </w:r>
    </w:p>
    <w:p w14:paraId="0E929B77" w14:textId="45AA9651" w:rsidR="00EE6D6D" w:rsidRDefault="00EE6D6D" w:rsidP="00EE6D6D">
      <w:pPr>
        <w:pStyle w:val="Text"/>
      </w:pPr>
      <w:r w:rsidRPr="00BB21E2">
        <w:t>Although there has been no agreement as to a standard method of rendering Arabic words into the Latin alphabet, there are basically two philosophies with regard to the process of Romanization</w:t>
      </w:r>
      <w:r>
        <w:t>:</w:t>
      </w:r>
      <w:r w:rsidRPr="008F03E5">
        <w:t xml:space="preserve"> </w:t>
      </w:r>
      <w:r>
        <w:t xml:space="preserve"> </w:t>
      </w:r>
      <w:r w:rsidR="00807271" w:rsidRPr="008F03E5">
        <w:t xml:space="preserve">various diacritics and non-standard Latin characters </w:t>
      </w:r>
      <w:r>
        <w:t xml:space="preserve">are used </w:t>
      </w:r>
      <w:r w:rsidR="00807271" w:rsidRPr="008F03E5">
        <w:t xml:space="preserve">to represent Arabic </w:t>
      </w:r>
      <w:r w:rsidRPr="00C949FD">
        <w:rPr>
          <w:i/>
          <w:iCs/>
        </w:rPr>
        <w:t>graphemes</w:t>
      </w:r>
      <w:r w:rsidR="00C949FD" w:rsidRPr="008F03E5">
        <w:rPr>
          <w:rStyle w:val="FootnoteReference"/>
        </w:rPr>
        <w:footnoteReference w:id="1"/>
      </w:r>
      <w:r w:rsidRPr="00EE6D6D">
        <w:t xml:space="preserve"> </w:t>
      </w:r>
      <w:r>
        <w:t xml:space="preserve">or </w:t>
      </w:r>
      <w:r w:rsidR="00807271" w:rsidRPr="00C949FD">
        <w:rPr>
          <w:i/>
          <w:iCs/>
        </w:rPr>
        <w:t>phonemes</w:t>
      </w:r>
      <w:r w:rsidR="00C949FD" w:rsidRPr="008F03E5">
        <w:rPr>
          <w:rStyle w:val="FootnoteReference"/>
        </w:rPr>
        <w:footnoteReference w:id="2"/>
      </w:r>
      <w:r w:rsidR="00807271" w:rsidRPr="008F03E5">
        <w:t xml:space="preserve"> that do not exist in </w:t>
      </w:r>
      <w:r>
        <w:t>the Latin alphabet</w:t>
      </w:r>
      <w:r w:rsidR="00807271" w:rsidRPr="008F03E5">
        <w:t>.</w:t>
      </w:r>
    </w:p>
    <w:p w14:paraId="6A2EE44B" w14:textId="5E00E4CC" w:rsidR="00B45D9A" w:rsidRDefault="00FE17C0" w:rsidP="00C949FD">
      <w:pPr>
        <w:pStyle w:val="Text"/>
      </w:pPr>
      <w:r w:rsidRPr="008F03E5">
        <w:t>Romani</w:t>
      </w:r>
      <w:r w:rsidR="00EC1F1A">
        <w:t>s</w:t>
      </w:r>
      <w:r w:rsidRPr="008F03E5">
        <w:t xml:space="preserve">ation is often termed </w:t>
      </w:r>
      <w:r w:rsidR="004E56DE" w:rsidRPr="008F03E5">
        <w:t>“</w:t>
      </w:r>
      <w:r w:rsidRPr="008F03E5">
        <w:t>transliteration</w:t>
      </w:r>
      <w:r w:rsidR="004E56DE" w:rsidRPr="008F03E5">
        <w:t>”</w:t>
      </w:r>
      <w:r w:rsidRPr="008F03E5">
        <w:t xml:space="preserve">, but this is not </w:t>
      </w:r>
      <w:r w:rsidR="00EC1F1A">
        <w:t xml:space="preserve">always </w:t>
      </w:r>
      <w:r w:rsidRPr="008F03E5">
        <w:t>technically correct.</w:t>
      </w:r>
      <w:r w:rsidR="004E56DE" w:rsidRPr="008F03E5">
        <w:t xml:space="preserve"> </w:t>
      </w:r>
      <w:r w:rsidRPr="008F03E5">
        <w:t xml:space="preserve"> Transliteration is the direct representation of foreign letters using Latin symbols, while </w:t>
      </w:r>
      <w:r w:rsidR="00B73671">
        <w:t>more useful</w:t>
      </w:r>
      <w:r w:rsidRPr="008F03E5">
        <w:t xml:space="preserve"> systems for </w:t>
      </w:r>
      <w:r w:rsidR="004E56DE" w:rsidRPr="008F03E5">
        <w:t>Romani</w:t>
      </w:r>
      <w:r w:rsidR="00EC1F1A">
        <w:t>s</w:t>
      </w:r>
      <w:r w:rsidR="004E56DE" w:rsidRPr="008F03E5">
        <w:t xml:space="preserve">ation of </w:t>
      </w:r>
      <w:r w:rsidRPr="008F03E5">
        <w:t>Arabic</w:t>
      </w:r>
      <w:r w:rsidR="00050DC0" w:rsidRPr="008F03E5">
        <w:t xml:space="preserve">, in particular, </w:t>
      </w:r>
      <w:r w:rsidRPr="008F03E5">
        <w:t xml:space="preserve">are transcription systems </w:t>
      </w:r>
      <w:r w:rsidR="00050DC0" w:rsidRPr="008F03E5">
        <w:t xml:space="preserve">in </w:t>
      </w:r>
      <w:r w:rsidRPr="008F03E5">
        <w:t xml:space="preserve">which </w:t>
      </w:r>
      <w:r w:rsidR="00050DC0" w:rsidRPr="008F03E5">
        <w:t>Latin symbols are used to represent the sound of Arabic letters</w:t>
      </w:r>
      <w:r w:rsidRPr="008F03E5">
        <w:t>.</w:t>
      </w:r>
      <w:r w:rsidR="004E56DE" w:rsidRPr="008F03E5">
        <w:t xml:space="preserve"> </w:t>
      </w:r>
      <w:r w:rsidRPr="008F03E5">
        <w:t xml:space="preserve"> </w:t>
      </w:r>
      <w:r w:rsidR="00024134" w:rsidRPr="008F03E5">
        <w:t xml:space="preserve">Technically, transliteration is concerned primarily with accurately representing the </w:t>
      </w:r>
      <w:r w:rsidR="00024134" w:rsidRPr="008F03E5">
        <w:rPr>
          <w:i/>
          <w:iCs/>
        </w:rPr>
        <w:t>graphemes</w:t>
      </w:r>
      <w:r w:rsidR="00024134" w:rsidRPr="008F03E5">
        <w:t xml:space="preserve"> of another script, whilst transcription is concerned primarily with representing its </w:t>
      </w:r>
      <w:r w:rsidR="00024134" w:rsidRPr="008F03E5">
        <w:rPr>
          <w:i/>
          <w:iCs/>
        </w:rPr>
        <w:t>phonemes</w:t>
      </w:r>
      <w:r w:rsidR="00024134" w:rsidRPr="008F03E5">
        <w:t xml:space="preserve">.  In addition, transliteration is concerned with scripts, whilst transcription </w:t>
      </w:r>
      <w:r w:rsidR="009B7A89" w:rsidRPr="008F03E5">
        <w:t xml:space="preserve">(from one language to another) </w:t>
      </w:r>
      <w:r w:rsidR="00024134" w:rsidRPr="008F03E5">
        <w:t xml:space="preserve">is concerned with writing systems (the way a script is applied to a particular language).  </w:t>
      </w:r>
      <w:r w:rsidRPr="008F03E5">
        <w:t xml:space="preserve">As an example, </w:t>
      </w:r>
      <w:r w:rsidR="00024134" w:rsidRPr="008F03E5">
        <w:rPr>
          <w:rtl/>
        </w:rPr>
        <w:t>مناظرة الحروف العربية</w:t>
      </w:r>
      <w:r w:rsidR="00024134" w:rsidRPr="008F03E5">
        <w:rPr>
          <w:cs/>
        </w:rPr>
        <w:t>‎</w:t>
      </w:r>
      <w:r w:rsidR="00024134" w:rsidRPr="008F03E5">
        <w:t xml:space="preserve"> is transcripted as</w:t>
      </w:r>
      <w:r w:rsidRPr="008F03E5">
        <w:t xml:space="preserve"> mun</w:t>
      </w:r>
      <w:r w:rsidR="00024134" w:rsidRPr="008F03E5">
        <w:t>á</w:t>
      </w:r>
      <w:r w:rsidRPr="008F03E5">
        <w:t>ẓaratu</w:t>
      </w:r>
      <w:r w:rsidR="00024134" w:rsidRPr="008F03E5">
        <w:t>’</w:t>
      </w:r>
      <w:r w:rsidRPr="008F03E5">
        <w:t>l-ḥur</w:t>
      </w:r>
      <w:r w:rsidR="00024134" w:rsidRPr="008F03E5">
        <w:t>ú</w:t>
      </w:r>
      <w:r w:rsidRPr="008F03E5">
        <w:t>fi</w:t>
      </w:r>
      <w:r w:rsidR="00024134" w:rsidRPr="008F03E5">
        <w:t>’</w:t>
      </w:r>
      <w:r w:rsidRPr="008F03E5">
        <w:t>l-</w:t>
      </w:r>
      <w:r w:rsidR="00024134" w:rsidRPr="008F03E5">
        <w:t>‘</w:t>
      </w:r>
      <w:r w:rsidRPr="008F03E5">
        <w:t>arab</w:t>
      </w:r>
      <w:r w:rsidR="00024134" w:rsidRPr="008F03E5">
        <w:t>í</w:t>
      </w:r>
      <w:r w:rsidRPr="008F03E5">
        <w:t>yah, indicating the pronunciation</w:t>
      </w:r>
      <w:r w:rsidR="00024134" w:rsidRPr="008F03E5">
        <w:t>,</w:t>
      </w:r>
      <w:r w:rsidRPr="008F03E5">
        <w:t xml:space="preserve"> </w:t>
      </w:r>
      <w:r w:rsidR="00024134" w:rsidRPr="008F03E5">
        <w:t xml:space="preserve">and </w:t>
      </w:r>
      <w:r w:rsidRPr="008F03E5">
        <w:t>transliterat</w:t>
      </w:r>
      <w:r w:rsidR="003D4501" w:rsidRPr="008F03E5">
        <w:t>ed as</w:t>
      </w:r>
      <w:r w:rsidRPr="008F03E5">
        <w:t xml:space="preserve"> mnaẓrḧ alḥrwf al</w:t>
      </w:r>
      <w:r w:rsidR="00024134" w:rsidRPr="008F03E5">
        <w:t>‘</w:t>
      </w:r>
      <w:r w:rsidRPr="008F03E5">
        <w:t>rby</w:t>
      </w:r>
      <w:r w:rsidR="00B45D9A" w:rsidRPr="008F03E5">
        <w:t>ḧ</w:t>
      </w:r>
      <w:r w:rsidRPr="008F03E5">
        <w:t>.</w:t>
      </w:r>
    </w:p>
    <w:p w14:paraId="5158D96A" w14:textId="7ED16BA4" w:rsidR="000B109F" w:rsidRDefault="000B109F" w:rsidP="000B109F">
      <w:pPr>
        <w:pStyle w:val="Text"/>
      </w:pPr>
      <w:r w:rsidRPr="000B109F">
        <w:t xml:space="preserve">Transliteration </w:t>
      </w:r>
      <w:r w:rsidRPr="00BB21E2">
        <w:t xml:space="preserve">shows only the characters as they appear in the Arabic text, giving no indication of pronunciation.  </w:t>
      </w:r>
      <w:r>
        <w:t xml:space="preserve">Also since </w:t>
      </w:r>
      <w:r w:rsidRPr="00BB21E2">
        <w:t xml:space="preserve">Arabic </w:t>
      </w:r>
      <w:r>
        <w:t xml:space="preserve">and Persian normally does not include </w:t>
      </w:r>
      <w:r w:rsidRPr="00BB21E2">
        <w:t>short vowels, then no vowels are represented in the Romanized script.</w:t>
      </w:r>
    </w:p>
    <w:p w14:paraId="2525F385" w14:textId="4FC7AAFD" w:rsidR="000B109F" w:rsidRPr="008F03E5" w:rsidRDefault="000B109F" w:rsidP="000F3990">
      <w:pPr>
        <w:pStyle w:val="Text"/>
      </w:pPr>
      <w:r w:rsidRPr="000B109F">
        <w:t xml:space="preserve">Transcription </w:t>
      </w:r>
      <w:r w:rsidRPr="00BB21E2">
        <w:t>uses diacritical marks to represent Arabic characters without equivalent letters in the Latin alphabet.  It indicates the short vowels “a”, “i” and “u” that are not usually included in normal Arabic text but were included in the Qur’anic text to prevent misinterpretation.  Long vowels are represented by adding an acute or a macron</w:t>
      </w:r>
      <w:r>
        <w:t xml:space="preserve"> (a straight bar above a letter)</w:t>
      </w:r>
      <w:r w:rsidRPr="00BB21E2">
        <w:t xml:space="preserve"> to the vowel.</w:t>
      </w:r>
      <w:r w:rsidR="00B7302D">
        <w:t xml:space="preserve">  Transcription of Qur’anic (classical) or Modern Standard Arabic text (see </w:t>
      </w:r>
      <w:r w:rsidR="000F3990">
        <w:t xml:space="preserve">“Romanisation of Arabic” | </w:t>
      </w:r>
      <w:r w:rsidR="00B7302D">
        <w:t>“Standardisation” section), whether fully vowelled or not, is the most useful for a non-Arabic speaker.  When Arabic text does not include the short vowels, it can be read by speakers of various Arabic dialects who will pronounce it according to their own vernacular.</w:t>
      </w:r>
    </w:p>
    <w:p w14:paraId="7799CC13" w14:textId="317D4CC9" w:rsidR="00B7302D" w:rsidRDefault="00EE6D6D" w:rsidP="000F3990">
      <w:pPr>
        <w:pStyle w:val="Text"/>
      </w:pPr>
      <w:r w:rsidRPr="008F03E5">
        <w:t>A</w:t>
      </w:r>
      <w:r w:rsidR="000B109F">
        <w:t>n</w:t>
      </w:r>
      <w:r w:rsidRPr="008F03E5">
        <w:t>other issue is the representation of the Arabic definite article, which is always spelled the same way in written Arabic but has numerous pronunciations in the spoken language depending on context</w:t>
      </w:r>
      <w:r w:rsidR="000B109F">
        <w:t xml:space="preserve">, in particular whether the following letter is a “sun” letter (see the </w:t>
      </w:r>
      <w:r w:rsidR="000F3990">
        <w:t xml:space="preserve">“Arabic and Persian” | </w:t>
      </w:r>
      <w:r w:rsidR="000B109F">
        <w:t>“</w:t>
      </w:r>
      <w:r w:rsidR="000F3990">
        <w:t>L</w:t>
      </w:r>
      <w:r w:rsidR="000B109F" w:rsidRPr="008F03E5">
        <w:t>etters</w:t>
      </w:r>
      <w:r w:rsidR="000C4CE8">
        <w:t>, transcription</w:t>
      </w:r>
      <w:r w:rsidR="000B109F" w:rsidRPr="008F03E5">
        <w:t xml:space="preserve"> &amp; abjad values</w:t>
      </w:r>
      <w:r w:rsidR="000B109F">
        <w:t>” section</w:t>
      </w:r>
      <w:r w:rsidRPr="008F03E5">
        <w:t>.  Likewise, the pronunciation of short vowels may be modified according to preceding consonants or may vary from place to place according to local dialects.  This accounts for variations such as Moslem for Muslim; and Mohammed or Mohamed for Muḥammad.</w:t>
      </w:r>
    </w:p>
    <w:p w14:paraId="6CFEED88" w14:textId="1691E3C9" w:rsidR="00562394" w:rsidRDefault="00562394" w:rsidP="00C57EAD">
      <w:pPr>
        <w:pStyle w:val="Text"/>
      </w:pPr>
      <w:r w:rsidRPr="008F03E5">
        <w:t xml:space="preserve">Shoghi Effendi introduced a system of transcription of Arabic </w:t>
      </w:r>
      <w:r w:rsidR="00782A87" w:rsidRPr="008F03E5">
        <w:t>letters to Roman letters</w:t>
      </w:r>
      <w:r w:rsidR="009B7A89" w:rsidRPr="008F03E5">
        <w:t xml:space="preserve"> </w:t>
      </w:r>
      <w:r w:rsidRPr="008F03E5">
        <w:t xml:space="preserve">that is an adaptation of the system recommended by the Tenth International Congress of Orientalists held in September 1894 at Geneva.  Refer to </w:t>
      </w:r>
      <w:r w:rsidRPr="008F03E5">
        <w:rPr>
          <w:i/>
          <w:iCs/>
        </w:rPr>
        <w:t>Muḥammad and the Course of Islám</w:t>
      </w:r>
      <w:r w:rsidRPr="008F03E5">
        <w:t xml:space="preserve">, pp. xiii–xvi for more details.  </w:t>
      </w:r>
      <w:r w:rsidR="00B7302D">
        <w:t xml:space="preserve">The Persian language used by Bahá’ís can reflect various dialects.  However, the Persian used by Shoghi Effendi </w:t>
      </w:r>
      <w:r w:rsidR="00B7302D">
        <w:lastRenderedPageBreak/>
        <w:t>reflected the I</w:t>
      </w:r>
      <w:r w:rsidR="00B7302D" w:rsidRPr="00DC59B6">
        <w:t>ṣ</w:t>
      </w:r>
      <w:r w:rsidR="00B7302D">
        <w:t>fah</w:t>
      </w:r>
      <w:r w:rsidR="00B7302D" w:rsidRPr="00DC59B6">
        <w:t>á</w:t>
      </w:r>
      <w:r w:rsidR="00B7302D">
        <w:t>n</w:t>
      </w:r>
      <w:r w:rsidR="00B7302D" w:rsidRPr="00DC59B6">
        <w:t>í</w:t>
      </w:r>
      <w:r w:rsidR="00B7302D">
        <w:t xml:space="preserve"> dialect </w:t>
      </w:r>
      <w:r w:rsidR="00C57EAD">
        <w:t xml:space="preserve">(described in the list as </w:t>
      </w:r>
      <w:r w:rsidR="00C57EAD" w:rsidRPr="008F03E5">
        <w:t>Iṣfahání</w:t>
      </w:r>
      <w:r w:rsidR="00C57EAD">
        <w:t xml:space="preserve"> Persian or Bahá’í Persian) </w:t>
      </w:r>
      <w:r w:rsidR="00B7302D">
        <w:t xml:space="preserve">used by his grandmother, </w:t>
      </w:r>
      <w:r w:rsidR="00B7302D" w:rsidRPr="00F06127">
        <w:t xml:space="preserve">Munírih </w:t>
      </w:r>
      <w:r w:rsidR="00B7302D" w:rsidRPr="00F06127">
        <w:rPr>
          <w:u w:val="single"/>
        </w:rPr>
        <w:t>Kh</w:t>
      </w:r>
      <w:r w:rsidR="00B7302D" w:rsidRPr="00F06127">
        <w:t>ánum</w:t>
      </w:r>
      <w:r w:rsidR="00B7302D">
        <w:t>, and taught to her children and gran</w:t>
      </w:r>
      <w:r w:rsidR="00C57EAD">
        <w:t>d</w:t>
      </w:r>
      <w:r w:rsidR="00B7302D">
        <w:t xml:space="preserve">children.  This is reflected in </w:t>
      </w:r>
      <w:r w:rsidRPr="008F03E5">
        <w:t>Shoghi Effendi</w:t>
      </w:r>
      <w:r w:rsidR="00B7302D">
        <w:t>’s</w:t>
      </w:r>
      <w:r w:rsidRPr="008F03E5">
        <w:t xml:space="preserve"> use </w:t>
      </w:r>
      <w:r w:rsidR="00B7302D">
        <w:t xml:space="preserve">of </w:t>
      </w:r>
      <w:r w:rsidRPr="008F03E5">
        <w:t>Persian forms of Arabic words where “w” is replaced by “v”, and the last one or two letters</w:t>
      </w:r>
      <w:r w:rsidR="00B7302D">
        <w:t xml:space="preserve"> (especially after a </w:t>
      </w:r>
      <w:r w:rsidR="00B7302D" w:rsidRPr="00B7302D">
        <w:rPr>
          <w:lang w:val="en-AU"/>
        </w:rPr>
        <w:t>tá’ marbúṭa)</w:t>
      </w:r>
      <w:r w:rsidRPr="008F03E5">
        <w:t xml:space="preserve"> are replaced by “ah”, “ih”, “yah” and “yih”.  Shoghi Effendi also uses hybrid “words”</w:t>
      </w:r>
      <w:r w:rsidR="00EC1F1A">
        <w:t xml:space="preserve">, such as in </w:t>
      </w:r>
      <w:r w:rsidRPr="008F03E5">
        <w:rPr>
          <w:i/>
          <w:iCs/>
        </w:rPr>
        <w:t>The Promised Day Is Come</w:t>
      </w:r>
      <w:r w:rsidR="00EC1F1A">
        <w:rPr>
          <w:i/>
          <w:iCs/>
        </w:rPr>
        <w:t>,</w:t>
      </w:r>
      <w:r w:rsidRPr="008F03E5">
        <w:t xml:space="preserve"> where the singular form of a word</w:t>
      </w:r>
      <w:r w:rsidR="00E969E7" w:rsidRPr="008F03E5">
        <w:t xml:space="preserve"> (and sometimes </w:t>
      </w:r>
      <w:r w:rsidR="00EC1F1A">
        <w:t xml:space="preserve">a </w:t>
      </w:r>
      <w:r w:rsidR="00E969E7" w:rsidRPr="008F03E5">
        <w:t>plural form)</w:t>
      </w:r>
      <w:r w:rsidRPr="008F03E5">
        <w:t xml:space="preserve"> is “converted” to a </w:t>
      </w:r>
      <w:r w:rsidR="005E37FF" w:rsidRPr="008F03E5">
        <w:t>“</w:t>
      </w:r>
      <w:r w:rsidRPr="008F03E5">
        <w:t>plural</w:t>
      </w:r>
      <w:r w:rsidR="005E37FF" w:rsidRPr="008F03E5">
        <w:t>”</w:t>
      </w:r>
      <w:r w:rsidRPr="008F03E5">
        <w:t xml:space="preserve"> by adding an English “s” instead of using the correct plural form of the Arabic</w:t>
      </w:r>
      <w:r w:rsidR="00B7302D">
        <w:t xml:space="preserve"> or Persian </w:t>
      </w:r>
      <w:r w:rsidRPr="008F03E5">
        <w:t xml:space="preserve">word.  Paragraph 229 </w:t>
      </w:r>
      <w:r w:rsidR="00EC1F1A" w:rsidRPr="00EC1F1A">
        <w:t>(</w:t>
      </w:r>
      <w:r w:rsidR="00EC1F1A" w:rsidRPr="008F03E5">
        <w:t>pp. 91–2)</w:t>
      </w:r>
      <w:r w:rsidR="00EC1F1A">
        <w:t xml:space="preserve"> of </w:t>
      </w:r>
      <w:r w:rsidR="00EC1F1A" w:rsidRPr="008F03E5">
        <w:rPr>
          <w:i/>
          <w:iCs/>
        </w:rPr>
        <w:t>The Promised Day Is Come</w:t>
      </w:r>
      <w:r w:rsidR="00EC1F1A" w:rsidRPr="00EC1F1A">
        <w:t xml:space="preserve"> </w:t>
      </w:r>
      <w:r w:rsidRPr="008F03E5">
        <w:t>is a</w:t>
      </w:r>
      <w:r w:rsidR="00AB4696" w:rsidRPr="008F03E5">
        <w:t>n atypical</w:t>
      </w:r>
      <w:r w:rsidRPr="008F03E5">
        <w:t xml:space="preserve"> example</w:t>
      </w:r>
      <w:r w:rsidR="00AB4696" w:rsidRPr="008F03E5">
        <w:t xml:space="preserve"> where a </w:t>
      </w:r>
      <w:r w:rsidR="00E969E7" w:rsidRPr="008F03E5">
        <w:t xml:space="preserve">large </w:t>
      </w:r>
      <w:r w:rsidR="00AB4696" w:rsidRPr="008F03E5">
        <w:t>number of hybrid “words” have been used.</w:t>
      </w:r>
    </w:p>
    <w:p w14:paraId="15D77D26" w14:textId="6E643B0C" w:rsidR="00B73671" w:rsidRDefault="00B73671" w:rsidP="00B73671">
      <w:pPr>
        <w:pStyle w:val="Myhead3"/>
      </w:pPr>
      <w:r>
        <w:t>Standar</w:t>
      </w:r>
      <w:r w:rsidR="00C949FD">
        <w:t>d</w:t>
      </w:r>
      <w:r>
        <w:t>isation</w:t>
      </w:r>
      <w:r w:rsidRPr="001D71EE">
        <w:rPr>
          <w:b w:val="0"/>
          <w:bCs/>
        </w:rPr>
        <w:fldChar w:fldCharType="begin"/>
      </w:r>
      <w:r w:rsidRPr="001D71EE">
        <w:rPr>
          <w:b w:val="0"/>
          <w:bCs/>
        </w:rPr>
        <w:instrText xml:space="preserve"> TC “</w:instrText>
      </w:r>
      <w:bookmarkStart w:id="6" w:name="_Toc167691862"/>
      <w:r w:rsidRPr="001D71EE">
        <w:rPr>
          <w:b w:val="0"/>
          <w:bCs/>
        </w:rPr>
        <w:instrText>Standardisation</w:instrText>
      </w:r>
      <w:r w:rsidRPr="001D71EE">
        <w:rPr>
          <w:b w:val="0"/>
          <w:bCs/>
          <w:color w:val="FFFFFF" w:themeColor="background1"/>
        </w:rPr>
        <w:instrText>..</w:instrText>
      </w:r>
      <w:r w:rsidRPr="001D71EE">
        <w:rPr>
          <w:b w:val="0"/>
          <w:bCs/>
        </w:rPr>
        <w:tab/>
      </w:r>
      <w:r w:rsidRPr="001D71EE">
        <w:rPr>
          <w:b w:val="0"/>
          <w:bCs/>
          <w:color w:val="FFFFFF" w:themeColor="background1"/>
        </w:rPr>
        <w:instrText>.</w:instrText>
      </w:r>
      <w:bookmarkEnd w:id="6"/>
      <w:r w:rsidRPr="001D71EE">
        <w:rPr>
          <w:b w:val="0"/>
          <w:bCs/>
        </w:rPr>
        <w:instrText>” \l 2</w:instrText>
      </w:r>
      <w:r w:rsidRPr="001D71EE">
        <w:rPr>
          <w:b w:val="0"/>
          <w:bCs/>
        </w:rPr>
        <w:fldChar w:fldCharType="end"/>
      </w:r>
    </w:p>
    <w:p w14:paraId="2A19E8F7" w14:textId="5E1586D6" w:rsidR="00B73671" w:rsidRDefault="00B73671" w:rsidP="00611289">
      <w:pPr>
        <w:pStyle w:val="Text"/>
      </w:pPr>
      <w:r w:rsidRPr="00B73671">
        <w:t>Modern Standard Arabic is a standardised form of Arabic used for written and formal spoken communication</w:t>
      </w:r>
      <w:r>
        <w:t>s</w:t>
      </w:r>
      <w:r w:rsidRPr="00B73671">
        <w:t>.</w:t>
      </w:r>
      <w:r>
        <w:t xml:space="preserve"> </w:t>
      </w:r>
      <w:r w:rsidRPr="00B73671">
        <w:t xml:space="preserve"> It incorporates a </w:t>
      </w:r>
      <w:r w:rsidR="009A0E46">
        <w:t>large</w:t>
      </w:r>
      <w:r w:rsidRPr="00B73671">
        <w:t xml:space="preserve"> vocabulary derived from classical Arabic</w:t>
      </w:r>
      <w:r w:rsidR="00C52C58">
        <w:t xml:space="preserve"> (</w:t>
      </w:r>
      <w:r w:rsidR="00C52C58" w:rsidRPr="00507930">
        <w:rPr>
          <w:lang w:val="en-AU"/>
        </w:rPr>
        <w:t>al-‘</w:t>
      </w:r>
      <w:r w:rsidR="00C52C58">
        <w:rPr>
          <w:lang w:val="en-AU"/>
        </w:rPr>
        <w:t>A</w:t>
      </w:r>
      <w:r w:rsidR="00C52C58" w:rsidRPr="00507930">
        <w:rPr>
          <w:lang w:val="en-AU"/>
        </w:rPr>
        <w:t>rabíyah al-</w:t>
      </w:r>
      <w:r w:rsidR="00C52C58">
        <w:rPr>
          <w:lang w:val="en-AU"/>
        </w:rPr>
        <w:t>F</w:t>
      </w:r>
      <w:r w:rsidR="00C52C58" w:rsidRPr="00507930">
        <w:rPr>
          <w:lang w:val="en-AU"/>
        </w:rPr>
        <w:t>uṣḥá</w:t>
      </w:r>
      <w:r w:rsidR="00C52C58">
        <w:t>)</w:t>
      </w:r>
      <w:r w:rsidRPr="00B73671">
        <w:t>,</w:t>
      </w:r>
      <w:r>
        <w:t xml:space="preserve"> which is derived from the </w:t>
      </w:r>
      <w:r w:rsidR="002515E8">
        <w:t xml:space="preserve">Arabic used in the </w:t>
      </w:r>
      <w:r>
        <w:t>Qur’án</w:t>
      </w:r>
      <w:r w:rsidR="00906E5A">
        <w:t xml:space="preserve">.  </w:t>
      </w:r>
      <w:r w:rsidR="00507930" w:rsidRPr="00015957">
        <w:t>‘U</w:t>
      </w:r>
      <w:r w:rsidR="00507930" w:rsidRPr="00015957">
        <w:rPr>
          <w:u w:val="single"/>
        </w:rPr>
        <w:t>th</w:t>
      </w:r>
      <w:r w:rsidR="00507930" w:rsidRPr="00015957">
        <w:t>mán ibn ‘Affán</w:t>
      </w:r>
      <w:r w:rsidR="00507930">
        <w:t xml:space="preserve"> </w:t>
      </w:r>
      <w:r w:rsidR="002515E8">
        <w:t>standardised</w:t>
      </w:r>
      <w:r w:rsidR="00507930">
        <w:t xml:space="preserve"> </w:t>
      </w:r>
      <w:r w:rsidR="002515E8">
        <w:t>the pronunciation of Qur’anic Arabic</w:t>
      </w:r>
      <w:r w:rsidR="00507930">
        <w:t xml:space="preserve"> </w:t>
      </w:r>
      <w:r w:rsidR="002515E8">
        <w:t xml:space="preserve">by adding short vowel marks (see </w:t>
      </w:r>
      <w:r w:rsidR="002515E8" w:rsidRPr="008F03E5">
        <w:t>Ta</w:t>
      </w:r>
      <w:r w:rsidR="002515E8" w:rsidRPr="008F03E5">
        <w:rPr>
          <w:u w:val="single"/>
        </w:rPr>
        <w:t>sh</w:t>
      </w:r>
      <w:r w:rsidR="002515E8" w:rsidRPr="008F03E5">
        <w:t>kíl</w:t>
      </w:r>
      <w:r w:rsidR="002515E8">
        <w:t xml:space="preserve">) based on the Ḥijází dialect..  The Qur’án </w:t>
      </w:r>
      <w:r w:rsidR="00D330CD">
        <w:t xml:space="preserve">normally includes special </w:t>
      </w:r>
      <w:r w:rsidR="00877CC5">
        <w:t>recitation guide</w:t>
      </w:r>
      <w:r w:rsidR="00D330CD">
        <w:t xml:space="preserve"> marks (see Qur’án</w:t>
      </w:r>
      <w:r w:rsidR="00877CC5">
        <w:t>).  Punctuation did not exist in classical Arabic (or Persian)</w:t>
      </w:r>
      <w:r w:rsidR="00611289">
        <w:t>—</w:t>
      </w:r>
      <w:r w:rsidR="00877CC5">
        <w:t>it is a modern innovation.</w:t>
      </w:r>
    </w:p>
    <w:p w14:paraId="0B43F44D" w14:textId="5B7EBF23" w:rsidR="004C3458" w:rsidRDefault="004C3458" w:rsidP="004C3458">
      <w:pPr>
        <w:pStyle w:val="Text"/>
      </w:pPr>
      <w:r>
        <w:t>“</w:t>
      </w:r>
      <w:r w:rsidRPr="004C3458">
        <w:t>Standard</w:t>
      </w:r>
      <w:r>
        <w:t>”</w:t>
      </w:r>
      <w:r w:rsidRPr="004C3458">
        <w:t xml:space="preserve"> Persian is the official language of Iran and Tajikistan</w:t>
      </w:r>
      <w:r>
        <w:t>,</w:t>
      </w:r>
      <w:r w:rsidRPr="004C3458">
        <w:t xml:space="preserve"> and one of the two official languages of Afghanistan.</w:t>
      </w:r>
      <w:r>
        <w:t xml:space="preserve"> </w:t>
      </w:r>
      <w:r w:rsidRPr="004C3458">
        <w:t xml:space="preserve"> It is a set of spoken and written formal varieties used by the educated persophones of several nations around the world.</w:t>
      </w:r>
    </w:p>
    <w:p w14:paraId="2F895725" w14:textId="171AD71C" w:rsidR="00B7302D" w:rsidRDefault="00B7302D" w:rsidP="00877CC5">
      <w:pPr>
        <w:pStyle w:val="Text"/>
      </w:pPr>
      <w:r>
        <w:t xml:space="preserve">In Iran, the Academy of Persian Language and Literature acts as the official authority on the language, and contributes to linguistic research on Persian and other languages of Iran.  Hence, the “Standard Persian” that is the official language of Iran encompasses various linguistic norms (consisting of prescribed usage), and it is based on the </w:t>
      </w:r>
      <w:r w:rsidRPr="00DC59B6">
        <w:t>Ṭ</w:t>
      </w:r>
      <w:r>
        <w:t>ihr</w:t>
      </w:r>
      <w:r w:rsidRPr="00DC59B6">
        <w:t>á</w:t>
      </w:r>
      <w:r>
        <w:t>n</w:t>
      </w:r>
      <w:r w:rsidRPr="00DC59B6">
        <w:t>í</w:t>
      </w:r>
      <w:r>
        <w:t xml:space="preserve"> dialect.  Obviously, there will be some differences between the official Iranian Persian and that based on the I</w:t>
      </w:r>
      <w:r w:rsidRPr="00170FDF">
        <w:t>ṣ</w:t>
      </w:r>
      <w:r>
        <w:t>fahání dialect learnt by Shoghi Effendi</w:t>
      </w:r>
      <w:r w:rsidR="004C3458">
        <w:t>.</w:t>
      </w:r>
    </w:p>
    <w:p w14:paraId="131281F9" w14:textId="3695423C" w:rsidR="00877CC5" w:rsidRPr="00906E5A" w:rsidRDefault="004C3458" w:rsidP="004C3458">
      <w:pPr>
        <w:pStyle w:val="Text"/>
      </w:pPr>
      <w:r>
        <w:t>The two other “</w:t>
      </w:r>
      <w:r w:rsidR="00B7302D">
        <w:t>standard</w:t>
      </w:r>
      <w:r>
        <w:t xml:space="preserve">” </w:t>
      </w:r>
      <w:r w:rsidR="00B7302D">
        <w:t>variet</w:t>
      </w:r>
      <w:r>
        <w:t>ies</w:t>
      </w:r>
      <w:r w:rsidR="00B7302D">
        <w:t xml:space="preserve"> of Persian</w:t>
      </w:r>
      <w:r>
        <w:t>,</w:t>
      </w:r>
      <w:r w:rsidR="00B7302D">
        <w:t xml:space="preserve"> the official language </w:t>
      </w:r>
      <w:r>
        <w:t xml:space="preserve">used in </w:t>
      </w:r>
      <w:r w:rsidR="00B7302D">
        <w:t>Tajikistan and Afghanistan</w:t>
      </w:r>
      <w:r>
        <w:t>,</w:t>
      </w:r>
      <w:r w:rsidR="00B7302D">
        <w:t xml:space="preserve"> are based on the Kabuli, and Bukharan varieties, respectively.</w:t>
      </w:r>
    </w:p>
    <w:p w14:paraId="5377BCB4" w14:textId="1F0995D0" w:rsidR="00FC782A" w:rsidRPr="008F03E5" w:rsidRDefault="00FC782A" w:rsidP="00EC1F1A">
      <w:pPr>
        <w:pStyle w:val="Myhead3"/>
      </w:pPr>
      <w:bookmarkStart w:id="7" w:name="_Toc149326080"/>
      <w:r w:rsidRPr="008F03E5">
        <w:t xml:space="preserve">Bahá’í </w:t>
      </w:r>
      <w:bookmarkEnd w:id="7"/>
      <w:r w:rsidR="00EC1F1A">
        <w:t>transcription</w:t>
      </w:r>
      <w:r w:rsidR="00BB58C6" w:rsidRPr="00FD1284">
        <w:rPr>
          <w:b w:val="0"/>
          <w:bCs/>
          <w:i w:val="0"/>
          <w:iCs/>
          <w:sz w:val="12"/>
          <w:szCs w:val="12"/>
        </w:rPr>
        <w:fldChar w:fldCharType="begin"/>
      </w:r>
      <w:r w:rsidR="00BB58C6" w:rsidRPr="00FD1284">
        <w:rPr>
          <w:b w:val="0"/>
          <w:bCs/>
          <w:i w:val="0"/>
          <w:iCs/>
          <w:sz w:val="12"/>
          <w:szCs w:val="12"/>
        </w:rPr>
        <w:instrText xml:space="preserve"> TC “</w:instrText>
      </w:r>
      <w:bookmarkStart w:id="8" w:name="_Toc149476366"/>
      <w:bookmarkStart w:id="9" w:name="_Toc167691863"/>
      <w:r w:rsidR="00BB58C6" w:rsidRPr="001D71EE">
        <w:rPr>
          <w:b w:val="0"/>
          <w:bCs/>
          <w:sz w:val="12"/>
          <w:szCs w:val="12"/>
        </w:rPr>
        <w:instrText xml:space="preserve">Bahá’í </w:instrText>
      </w:r>
      <w:r w:rsidR="00EC1F1A" w:rsidRPr="001D71EE">
        <w:rPr>
          <w:b w:val="0"/>
          <w:bCs/>
          <w:sz w:val="12"/>
          <w:szCs w:val="12"/>
        </w:rPr>
        <w:instrText>transcription</w:instrText>
      </w:r>
      <w:r w:rsidR="00BB58C6" w:rsidRPr="00FD1284">
        <w:rPr>
          <w:b w:val="0"/>
          <w:bCs/>
          <w:i w:val="0"/>
          <w:iCs/>
          <w:color w:val="FFFFFF" w:themeColor="background1"/>
          <w:sz w:val="12"/>
          <w:szCs w:val="12"/>
        </w:rPr>
        <w:instrText>..</w:instrText>
      </w:r>
      <w:r w:rsidR="00BB58C6" w:rsidRPr="00FD1284">
        <w:rPr>
          <w:b w:val="0"/>
          <w:bCs/>
          <w:i w:val="0"/>
          <w:iCs/>
          <w:sz w:val="12"/>
          <w:szCs w:val="12"/>
        </w:rPr>
        <w:tab/>
      </w:r>
      <w:r w:rsidR="00BB58C6" w:rsidRPr="00FD1284">
        <w:rPr>
          <w:b w:val="0"/>
          <w:bCs/>
          <w:i w:val="0"/>
          <w:iCs/>
          <w:color w:val="FFFFFF" w:themeColor="background1"/>
          <w:sz w:val="12"/>
          <w:szCs w:val="12"/>
        </w:rPr>
        <w:instrText>.</w:instrText>
      </w:r>
      <w:bookmarkEnd w:id="8"/>
      <w:bookmarkEnd w:id="9"/>
      <w:r w:rsidR="00BB58C6" w:rsidRPr="00FD1284">
        <w:rPr>
          <w:b w:val="0"/>
          <w:bCs/>
          <w:i w:val="0"/>
          <w:iCs/>
          <w:sz w:val="12"/>
          <w:szCs w:val="12"/>
        </w:rPr>
        <w:instrText xml:space="preserve">” \l </w:instrText>
      </w:r>
      <w:r w:rsidR="00FD1284" w:rsidRPr="00FD1284">
        <w:rPr>
          <w:b w:val="0"/>
          <w:bCs/>
          <w:i w:val="0"/>
          <w:iCs/>
          <w:sz w:val="12"/>
          <w:szCs w:val="12"/>
        </w:rPr>
        <w:instrText>2</w:instrText>
      </w:r>
      <w:r w:rsidR="00BB58C6" w:rsidRPr="00FD1284">
        <w:rPr>
          <w:b w:val="0"/>
          <w:bCs/>
          <w:i w:val="0"/>
          <w:iCs/>
          <w:sz w:val="12"/>
          <w:szCs w:val="12"/>
        </w:rPr>
        <w:fldChar w:fldCharType="end"/>
      </w:r>
    </w:p>
    <w:p w14:paraId="1776CC09" w14:textId="1DE6D96A" w:rsidR="00FC782A" w:rsidRPr="008F03E5" w:rsidRDefault="00FC782A" w:rsidP="00E375D1">
      <w:pPr>
        <w:pStyle w:val="Quote"/>
      </w:pPr>
      <w:r w:rsidRPr="008F03E5">
        <w:t xml:space="preserve">On another page [The complete list of terms is to be found in many volumes of </w:t>
      </w:r>
      <w:r w:rsidRPr="008F03E5">
        <w:rPr>
          <w:i/>
          <w:iCs w:val="0"/>
        </w:rPr>
        <w:t>The Bahá’í World</w:t>
      </w:r>
      <w:r w:rsidRPr="008F03E5">
        <w:t>] is given the list of the best known and most current Bahá</w:t>
      </w:r>
      <w:r w:rsidR="00E375D1" w:rsidRPr="008F03E5">
        <w:t>’</w:t>
      </w:r>
      <w:r w:rsidRPr="008F03E5">
        <w:t>í terms, and other Oriental names and expressions, all properly and accurately</w:t>
      </w:r>
      <w:r w:rsidR="00B73671">
        <w:t xml:space="preserve"> [there are errors]</w:t>
      </w:r>
      <w:r w:rsidRPr="008F03E5">
        <w:t xml:space="preserve"> transliterated</w:t>
      </w:r>
      <w:r w:rsidR="00E375D1" w:rsidRPr="008F03E5">
        <w:t xml:space="preserve"> [transcripted]</w:t>
      </w:r>
      <w:r w:rsidRPr="008F03E5">
        <w:t>, the faithful spelling of which by all the Western friends will avoid confusion in future, and insure in this matter a uniformity which is greatly needed at present in all Bahá</w:t>
      </w:r>
      <w:r w:rsidR="00E375D1" w:rsidRPr="008F03E5">
        <w:t>’</w:t>
      </w:r>
      <w:r w:rsidRPr="008F03E5">
        <w:t>í literature.</w:t>
      </w:r>
      <w:r w:rsidR="00E375D1" w:rsidRPr="008F03E5">
        <w:rPr>
          <w:rStyle w:val="FootnoteReference"/>
        </w:rPr>
        <w:footnoteReference w:id="3"/>
      </w:r>
    </w:p>
    <w:p w14:paraId="0DB44356" w14:textId="379971C1" w:rsidR="00F355CE" w:rsidRPr="008F03E5" w:rsidRDefault="00F355CE" w:rsidP="00FE17C0">
      <w:pPr>
        <w:pStyle w:val="Quote"/>
      </w:pPr>
      <w:r w:rsidRPr="008F03E5">
        <w:t>Regarding</w:t>
      </w:r>
      <w:r w:rsidR="00D30688" w:rsidRPr="008F03E5">
        <w:t xml:space="preserve"> </w:t>
      </w:r>
      <w:r w:rsidRPr="008F03E5">
        <w:t>the</w:t>
      </w:r>
      <w:r w:rsidR="00D30688" w:rsidRPr="008F03E5">
        <w:t xml:space="preserve"> </w:t>
      </w:r>
      <w:r w:rsidRPr="008F03E5">
        <w:t>transliteration</w:t>
      </w:r>
      <w:r w:rsidR="00D30688" w:rsidRPr="008F03E5">
        <w:t xml:space="preserve"> </w:t>
      </w:r>
      <w:r w:rsidR="00E375D1" w:rsidRPr="008F03E5">
        <w:t xml:space="preserve">[transcription] </w:t>
      </w:r>
      <w:r w:rsidRPr="008F03E5">
        <w:t>of</w:t>
      </w:r>
      <w:r w:rsidR="00D30688" w:rsidRPr="008F03E5">
        <w:t xml:space="preserve"> </w:t>
      </w:r>
      <w:r w:rsidRPr="008F03E5">
        <w:t>Persian</w:t>
      </w:r>
      <w:r w:rsidR="00D30688" w:rsidRPr="008F03E5">
        <w:t xml:space="preserve"> </w:t>
      </w:r>
      <w:r w:rsidRPr="008F03E5">
        <w:t>and</w:t>
      </w:r>
      <w:r w:rsidR="00D30688" w:rsidRPr="008F03E5">
        <w:t xml:space="preserve"> </w:t>
      </w:r>
      <w:r w:rsidRPr="008F03E5">
        <w:t>Arabic</w:t>
      </w:r>
      <w:r w:rsidR="00D30688" w:rsidRPr="008F03E5">
        <w:t xml:space="preserve"> </w:t>
      </w:r>
      <w:r w:rsidRPr="008F03E5">
        <w:t>words</w:t>
      </w:r>
      <w:r w:rsidR="00D30688" w:rsidRPr="008F03E5">
        <w:t xml:space="preserve"> </w:t>
      </w:r>
      <w:r w:rsidRPr="008F03E5">
        <w:t>the</w:t>
      </w:r>
      <w:r w:rsidR="00D30688" w:rsidRPr="008F03E5">
        <w:t xml:space="preserve"> </w:t>
      </w:r>
      <w:r w:rsidRPr="008F03E5">
        <w:t>House</w:t>
      </w:r>
      <w:r w:rsidR="00D30688" w:rsidRPr="008F03E5">
        <w:t xml:space="preserve"> </w:t>
      </w:r>
      <w:r w:rsidRPr="008F03E5">
        <w:t>of</w:t>
      </w:r>
      <w:r w:rsidR="00D30688" w:rsidRPr="008F03E5">
        <w:t xml:space="preserve"> </w:t>
      </w:r>
      <w:r w:rsidRPr="008F03E5">
        <w:t>Justice</w:t>
      </w:r>
      <w:r w:rsidR="00D30688" w:rsidRPr="008F03E5">
        <w:t xml:space="preserve"> </w:t>
      </w:r>
      <w:r w:rsidRPr="008F03E5">
        <w:t>requests</w:t>
      </w:r>
      <w:r w:rsidR="00D30688" w:rsidRPr="008F03E5">
        <w:t xml:space="preserve"> </w:t>
      </w:r>
      <w:r w:rsidRPr="008F03E5">
        <w:t>that</w:t>
      </w:r>
      <w:r w:rsidR="00D30688" w:rsidRPr="008F03E5">
        <w:t xml:space="preserve"> </w:t>
      </w:r>
      <w:r w:rsidRPr="008F03E5">
        <w:t>the</w:t>
      </w:r>
      <w:r w:rsidR="00D30688" w:rsidRPr="008F03E5">
        <w:t xml:space="preserve"> </w:t>
      </w:r>
      <w:r w:rsidRPr="008F03E5">
        <w:t>method</w:t>
      </w:r>
      <w:r w:rsidR="00D30688" w:rsidRPr="008F03E5">
        <w:t xml:space="preserve"> </w:t>
      </w:r>
      <w:r w:rsidRPr="008F03E5">
        <w:t>adopted</w:t>
      </w:r>
      <w:r w:rsidR="00D30688" w:rsidRPr="008F03E5">
        <w:t xml:space="preserve"> </w:t>
      </w:r>
      <w:r w:rsidRPr="008F03E5">
        <w:t>by</w:t>
      </w:r>
      <w:r w:rsidR="00D30688" w:rsidRPr="008F03E5">
        <w:t xml:space="preserve"> </w:t>
      </w:r>
      <w:r w:rsidRPr="008F03E5">
        <w:t>the</w:t>
      </w:r>
      <w:r w:rsidR="00D30688" w:rsidRPr="008F03E5">
        <w:t xml:space="preserve"> </w:t>
      </w:r>
      <w:r w:rsidRPr="008F03E5">
        <w:t>beloved</w:t>
      </w:r>
      <w:r w:rsidR="00D30688" w:rsidRPr="008F03E5">
        <w:t xml:space="preserve"> </w:t>
      </w:r>
      <w:r w:rsidRPr="008F03E5">
        <w:t>Guardian,</w:t>
      </w:r>
      <w:r w:rsidR="00D30688" w:rsidRPr="008F03E5">
        <w:t xml:space="preserve"> </w:t>
      </w:r>
      <w:r w:rsidRPr="008F03E5">
        <w:t>and</w:t>
      </w:r>
      <w:r w:rsidR="00D30688" w:rsidRPr="008F03E5">
        <w:t xml:space="preserve"> </w:t>
      </w:r>
      <w:r w:rsidRPr="008F03E5">
        <w:t>which</w:t>
      </w:r>
      <w:r w:rsidR="00D30688" w:rsidRPr="008F03E5">
        <w:t xml:space="preserve"> </w:t>
      </w:r>
      <w:r w:rsidRPr="008F03E5">
        <w:t>is</w:t>
      </w:r>
      <w:r w:rsidR="00D30688" w:rsidRPr="008F03E5">
        <w:t xml:space="preserve"> </w:t>
      </w:r>
      <w:r w:rsidRPr="008F03E5">
        <w:t>described</w:t>
      </w:r>
      <w:r w:rsidR="00D30688" w:rsidRPr="008F03E5">
        <w:t xml:space="preserve"> </w:t>
      </w:r>
      <w:r w:rsidRPr="008F03E5">
        <w:t>in</w:t>
      </w:r>
      <w:r w:rsidR="00D30688" w:rsidRPr="008F03E5">
        <w:t xml:space="preserve"> </w:t>
      </w:r>
      <w:r w:rsidRPr="008F03E5">
        <w:t>the</w:t>
      </w:r>
      <w:r w:rsidR="00D30688" w:rsidRPr="008F03E5">
        <w:t xml:space="preserve"> </w:t>
      </w:r>
      <w:r w:rsidRPr="008F03E5">
        <w:t>various</w:t>
      </w:r>
      <w:r w:rsidR="00D30688" w:rsidRPr="008F03E5">
        <w:t xml:space="preserve"> </w:t>
      </w:r>
      <w:r w:rsidRPr="008F03E5">
        <w:t>volumes</w:t>
      </w:r>
      <w:r w:rsidR="00D30688" w:rsidRPr="008F03E5">
        <w:t xml:space="preserve"> </w:t>
      </w:r>
      <w:r w:rsidRPr="008F03E5">
        <w:t>of</w:t>
      </w:r>
      <w:r w:rsidR="00D30688" w:rsidRPr="008F03E5">
        <w:t xml:space="preserve"> </w:t>
      </w:r>
      <w:r w:rsidRPr="008F03E5">
        <w:rPr>
          <w:i/>
          <w:iCs w:val="0"/>
        </w:rPr>
        <w:t>The</w:t>
      </w:r>
      <w:r w:rsidR="00D30688" w:rsidRPr="008F03E5">
        <w:rPr>
          <w:i/>
          <w:iCs w:val="0"/>
        </w:rPr>
        <w:t xml:space="preserve"> </w:t>
      </w:r>
      <w:r w:rsidRPr="008F03E5">
        <w:rPr>
          <w:i/>
          <w:iCs w:val="0"/>
        </w:rPr>
        <w:t>Bahá’í</w:t>
      </w:r>
      <w:r w:rsidR="00D30688" w:rsidRPr="008F03E5">
        <w:rPr>
          <w:i/>
          <w:iCs w:val="0"/>
        </w:rPr>
        <w:t xml:space="preserve"> </w:t>
      </w:r>
      <w:r w:rsidRPr="008F03E5">
        <w:rPr>
          <w:i/>
          <w:iCs w:val="0"/>
        </w:rPr>
        <w:t>World</w:t>
      </w:r>
      <w:r w:rsidRPr="008F03E5">
        <w:t>,</w:t>
      </w:r>
      <w:r w:rsidR="00D30688" w:rsidRPr="008F03E5">
        <w:t xml:space="preserve"> </w:t>
      </w:r>
      <w:r w:rsidRPr="008F03E5">
        <w:t>be</w:t>
      </w:r>
      <w:r w:rsidR="00D30688" w:rsidRPr="008F03E5">
        <w:t xml:space="preserve"> </w:t>
      </w:r>
      <w:r w:rsidRPr="008F03E5">
        <w:t>followed,</w:t>
      </w:r>
      <w:r w:rsidR="00D30688" w:rsidRPr="008F03E5">
        <w:t xml:space="preserve"> </w:t>
      </w:r>
      <w:r w:rsidRPr="008F03E5">
        <w:t>as</w:t>
      </w:r>
      <w:r w:rsidR="00D30688" w:rsidRPr="008F03E5">
        <w:t xml:space="preserve"> </w:t>
      </w:r>
      <w:r w:rsidRPr="008F03E5">
        <w:t>it</w:t>
      </w:r>
      <w:r w:rsidR="00D30688" w:rsidRPr="008F03E5">
        <w:t xml:space="preserve"> </w:t>
      </w:r>
      <w:r w:rsidRPr="008F03E5">
        <w:t>permits</w:t>
      </w:r>
      <w:r w:rsidR="00D30688" w:rsidRPr="008F03E5">
        <w:t xml:space="preserve"> </w:t>
      </w:r>
      <w:r w:rsidRPr="008F03E5">
        <w:t>all</w:t>
      </w:r>
      <w:r w:rsidR="00D30688" w:rsidRPr="008F03E5">
        <w:t xml:space="preserve"> </w:t>
      </w:r>
      <w:r w:rsidRPr="008F03E5">
        <w:t>languages</w:t>
      </w:r>
      <w:r w:rsidR="00D30688" w:rsidRPr="008F03E5">
        <w:t xml:space="preserve"> </w:t>
      </w:r>
      <w:r w:rsidRPr="008F03E5">
        <w:t>which</w:t>
      </w:r>
      <w:r w:rsidR="00D30688" w:rsidRPr="008F03E5">
        <w:t xml:space="preserve"> </w:t>
      </w:r>
      <w:r w:rsidRPr="008F03E5">
        <w:t>use</w:t>
      </w:r>
      <w:r w:rsidR="00D30688" w:rsidRPr="008F03E5">
        <w:t xml:space="preserve"> </w:t>
      </w:r>
      <w:r w:rsidRPr="008F03E5">
        <w:t>the</w:t>
      </w:r>
      <w:r w:rsidR="00D30688" w:rsidRPr="008F03E5">
        <w:t xml:space="preserve"> </w:t>
      </w:r>
      <w:r w:rsidRPr="008F03E5">
        <w:t>Roman</w:t>
      </w:r>
      <w:r w:rsidR="00D30688" w:rsidRPr="008F03E5">
        <w:t xml:space="preserve"> </w:t>
      </w:r>
      <w:r w:rsidRPr="008F03E5">
        <w:t>alphabet</w:t>
      </w:r>
      <w:r w:rsidR="00D30688" w:rsidRPr="008F03E5">
        <w:t xml:space="preserve"> </w:t>
      </w:r>
      <w:r w:rsidRPr="008F03E5">
        <w:t>to</w:t>
      </w:r>
      <w:r w:rsidR="00D30688" w:rsidRPr="008F03E5">
        <w:t xml:space="preserve"> </w:t>
      </w:r>
      <w:r w:rsidRPr="008F03E5">
        <w:t>transliterate</w:t>
      </w:r>
      <w:r w:rsidR="00D30688" w:rsidRPr="008F03E5">
        <w:t xml:space="preserve"> </w:t>
      </w:r>
      <w:r w:rsidR="00606126" w:rsidRPr="008F03E5">
        <w:t xml:space="preserve">[transcript] </w:t>
      </w:r>
      <w:r w:rsidRPr="008F03E5">
        <w:t>such</w:t>
      </w:r>
      <w:r w:rsidR="00D30688" w:rsidRPr="008F03E5">
        <w:t xml:space="preserve"> </w:t>
      </w:r>
      <w:r w:rsidRPr="008F03E5">
        <w:t>terms</w:t>
      </w:r>
      <w:r w:rsidR="00D30688" w:rsidRPr="008F03E5">
        <w:t xml:space="preserve"> </w:t>
      </w:r>
      <w:r w:rsidRPr="008F03E5">
        <w:t>in</w:t>
      </w:r>
      <w:r w:rsidR="00D30688" w:rsidRPr="008F03E5">
        <w:t xml:space="preserve"> </w:t>
      </w:r>
      <w:r w:rsidRPr="008F03E5">
        <w:t>the</w:t>
      </w:r>
      <w:r w:rsidR="00D30688" w:rsidRPr="008F03E5">
        <w:t xml:space="preserve"> </w:t>
      </w:r>
      <w:r w:rsidRPr="008F03E5">
        <w:t>same</w:t>
      </w:r>
      <w:r w:rsidR="00D30688" w:rsidRPr="008F03E5">
        <w:t xml:space="preserve"> </w:t>
      </w:r>
      <w:r w:rsidRPr="008F03E5">
        <w:t>way</w:t>
      </w:r>
      <w:r w:rsidR="00D30688" w:rsidRPr="008F03E5">
        <w:t xml:space="preserve"> </w:t>
      </w:r>
      <w:r w:rsidRPr="008F03E5">
        <w:t>throughout</w:t>
      </w:r>
      <w:r w:rsidR="00D30688" w:rsidRPr="008F03E5">
        <w:t xml:space="preserve"> </w:t>
      </w:r>
      <w:r w:rsidRPr="008F03E5">
        <w:t>the</w:t>
      </w:r>
      <w:r w:rsidR="00D30688" w:rsidRPr="008F03E5">
        <w:t xml:space="preserve"> </w:t>
      </w:r>
      <w:r w:rsidRPr="008F03E5">
        <w:t>Bahá’í</w:t>
      </w:r>
      <w:r w:rsidR="00D30688" w:rsidRPr="008F03E5">
        <w:t xml:space="preserve"> </w:t>
      </w:r>
      <w:r w:rsidRPr="008F03E5">
        <w:t>world.</w:t>
      </w:r>
      <w:r w:rsidRPr="008F03E5">
        <w:rPr>
          <w:rStyle w:val="FootnoteReference"/>
        </w:rPr>
        <w:footnoteReference w:id="4"/>
      </w:r>
    </w:p>
    <w:p w14:paraId="5787F0A4" w14:textId="57FA4798" w:rsidR="00F355CE" w:rsidRPr="008F03E5" w:rsidRDefault="00F355CE" w:rsidP="00FD4275">
      <w:pPr>
        <w:pStyle w:val="Quote"/>
      </w:pPr>
      <w:r w:rsidRPr="008F03E5">
        <w:t>Whatever</w:t>
      </w:r>
      <w:r w:rsidR="00D30688" w:rsidRPr="008F03E5">
        <w:t xml:space="preserve"> </w:t>
      </w:r>
      <w:r w:rsidR="00F51BFC" w:rsidRPr="008F03E5">
        <w:t>“</w:t>
      </w:r>
      <w:r w:rsidRPr="008F03E5">
        <w:t>house</w:t>
      </w:r>
      <w:r w:rsidR="00D30688" w:rsidRPr="008F03E5">
        <w:t xml:space="preserve"> </w:t>
      </w:r>
      <w:r w:rsidRPr="008F03E5">
        <w:t>styles</w:t>
      </w:r>
      <w:r w:rsidR="00F51BFC" w:rsidRPr="008F03E5">
        <w:t>”</w:t>
      </w:r>
      <w:r w:rsidR="00D30688" w:rsidRPr="008F03E5">
        <w:t xml:space="preserve"> </w:t>
      </w:r>
      <w:r w:rsidRPr="008F03E5">
        <w:t>Publishing</w:t>
      </w:r>
      <w:r w:rsidR="00D30688" w:rsidRPr="008F03E5">
        <w:t xml:space="preserve"> </w:t>
      </w:r>
      <w:r w:rsidRPr="008F03E5">
        <w:t>Trusts</w:t>
      </w:r>
      <w:r w:rsidR="00D30688" w:rsidRPr="008F03E5">
        <w:t xml:space="preserve"> </w:t>
      </w:r>
      <w:r w:rsidRPr="008F03E5">
        <w:t>and</w:t>
      </w:r>
      <w:r w:rsidR="00D30688" w:rsidRPr="008F03E5">
        <w:t xml:space="preserve"> </w:t>
      </w:r>
      <w:r w:rsidRPr="008F03E5">
        <w:t>other</w:t>
      </w:r>
      <w:r w:rsidR="00D30688" w:rsidRPr="008F03E5">
        <w:t xml:space="preserve"> </w:t>
      </w:r>
      <w:r w:rsidRPr="008F03E5">
        <w:t>Bahá’í</w:t>
      </w:r>
      <w:r w:rsidR="00D30688" w:rsidRPr="008F03E5">
        <w:t xml:space="preserve"> </w:t>
      </w:r>
      <w:r w:rsidRPr="008F03E5">
        <w:t>publishers</w:t>
      </w:r>
      <w:r w:rsidR="00D30688" w:rsidRPr="008F03E5">
        <w:t xml:space="preserve"> </w:t>
      </w:r>
      <w:r w:rsidRPr="008F03E5">
        <w:t>may</w:t>
      </w:r>
      <w:r w:rsidR="00D30688" w:rsidRPr="008F03E5">
        <w:t xml:space="preserve"> </w:t>
      </w:r>
      <w:r w:rsidRPr="008F03E5">
        <w:t>adopt,</w:t>
      </w:r>
      <w:r w:rsidR="00D30688" w:rsidRPr="008F03E5">
        <w:t xml:space="preserve"> </w:t>
      </w:r>
      <w:r w:rsidRPr="008F03E5">
        <w:t>transliteration</w:t>
      </w:r>
      <w:r w:rsidR="00606126" w:rsidRPr="008F03E5">
        <w:t xml:space="preserve"> [transcription] </w:t>
      </w:r>
      <w:r w:rsidRPr="008F03E5">
        <w:t>of</w:t>
      </w:r>
      <w:r w:rsidR="00D30688" w:rsidRPr="008F03E5">
        <w:t xml:space="preserve"> </w:t>
      </w:r>
      <w:r w:rsidRPr="008F03E5">
        <w:t>oriental</w:t>
      </w:r>
      <w:r w:rsidR="00D30688" w:rsidRPr="008F03E5">
        <w:t xml:space="preserve"> </w:t>
      </w:r>
      <w:r w:rsidRPr="008F03E5">
        <w:t>terms</w:t>
      </w:r>
      <w:r w:rsidR="00D30688" w:rsidRPr="008F03E5">
        <w:t xml:space="preserve"> </w:t>
      </w:r>
      <w:r w:rsidRPr="008F03E5">
        <w:t>into</w:t>
      </w:r>
      <w:r w:rsidR="00D30688" w:rsidRPr="008F03E5">
        <w:t xml:space="preserve"> </w:t>
      </w:r>
      <w:r w:rsidRPr="008F03E5">
        <w:t>languages</w:t>
      </w:r>
      <w:r w:rsidR="00D30688" w:rsidRPr="008F03E5">
        <w:t xml:space="preserve"> </w:t>
      </w:r>
      <w:r w:rsidRPr="008F03E5">
        <w:t>using</w:t>
      </w:r>
      <w:r w:rsidR="00D30688" w:rsidRPr="008F03E5">
        <w:t xml:space="preserve"> </w:t>
      </w:r>
      <w:r w:rsidRPr="008F03E5">
        <w:t>the</w:t>
      </w:r>
      <w:r w:rsidR="00D30688" w:rsidRPr="008F03E5">
        <w:t xml:space="preserve"> </w:t>
      </w:r>
      <w:r w:rsidRPr="008F03E5">
        <w:t>Roman</w:t>
      </w:r>
      <w:r w:rsidR="00D30688" w:rsidRPr="008F03E5">
        <w:t xml:space="preserve"> </w:t>
      </w:r>
      <w:r w:rsidRPr="008F03E5">
        <w:t>alphabet</w:t>
      </w:r>
      <w:r w:rsidR="00D30688" w:rsidRPr="008F03E5">
        <w:t xml:space="preserve"> </w:t>
      </w:r>
      <w:r w:rsidRPr="008F03E5">
        <w:t>must</w:t>
      </w:r>
      <w:r w:rsidR="00D30688" w:rsidRPr="008F03E5">
        <w:t xml:space="preserve"> </w:t>
      </w:r>
      <w:r w:rsidRPr="008F03E5">
        <w:t>at</w:t>
      </w:r>
      <w:r w:rsidR="00D30688" w:rsidRPr="008F03E5">
        <w:t xml:space="preserve"> </w:t>
      </w:r>
      <w:r w:rsidRPr="008F03E5">
        <w:t>present</w:t>
      </w:r>
      <w:r w:rsidR="00D30688" w:rsidRPr="008F03E5">
        <w:t xml:space="preserve"> </w:t>
      </w:r>
      <w:r w:rsidRPr="008F03E5">
        <w:t>be</w:t>
      </w:r>
      <w:r w:rsidR="00D30688" w:rsidRPr="008F03E5">
        <w:t xml:space="preserve"> </w:t>
      </w:r>
      <w:r w:rsidRPr="008F03E5">
        <w:t>according</w:t>
      </w:r>
      <w:r w:rsidR="00D30688" w:rsidRPr="008F03E5">
        <w:t xml:space="preserve"> </w:t>
      </w:r>
      <w:r w:rsidRPr="008F03E5">
        <w:t>to</w:t>
      </w:r>
      <w:r w:rsidR="00D30688" w:rsidRPr="008F03E5">
        <w:t xml:space="preserve"> </w:t>
      </w:r>
      <w:r w:rsidRPr="008F03E5">
        <w:t>the</w:t>
      </w:r>
      <w:r w:rsidR="00D30688" w:rsidRPr="008F03E5">
        <w:t xml:space="preserve"> </w:t>
      </w:r>
      <w:r w:rsidRPr="008F03E5">
        <w:t>system</w:t>
      </w:r>
      <w:r w:rsidR="00D30688" w:rsidRPr="008F03E5">
        <w:t xml:space="preserve"> </w:t>
      </w:r>
      <w:r w:rsidRPr="008F03E5">
        <w:t>chosen</w:t>
      </w:r>
      <w:r w:rsidR="00D30688" w:rsidRPr="008F03E5">
        <w:t xml:space="preserve"> </w:t>
      </w:r>
      <w:r w:rsidRPr="008F03E5">
        <w:t>by</w:t>
      </w:r>
      <w:r w:rsidR="00D30688" w:rsidRPr="008F03E5">
        <w:t xml:space="preserve"> </w:t>
      </w:r>
      <w:r w:rsidRPr="008F03E5">
        <w:t>the</w:t>
      </w:r>
      <w:r w:rsidR="00D30688" w:rsidRPr="008F03E5">
        <w:t xml:space="preserve"> </w:t>
      </w:r>
      <w:r w:rsidRPr="008F03E5">
        <w:t>Guardian</w:t>
      </w:r>
      <w:r w:rsidR="00D30688" w:rsidRPr="008F03E5">
        <w:t xml:space="preserve"> </w:t>
      </w:r>
      <w:r w:rsidRPr="008F03E5">
        <w:t>and</w:t>
      </w:r>
      <w:r w:rsidR="00D30688" w:rsidRPr="008F03E5">
        <w:t xml:space="preserve"> </w:t>
      </w:r>
      <w:r w:rsidRPr="008F03E5">
        <w:t>described</w:t>
      </w:r>
      <w:r w:rsidR="00D30688" w:rsidRPr="008F03E5">
        <w:t xml:space="preserve"> </w:t>
      </w:r>
      <w:r w:rsidRPr="008F03E5">
        <w:t>in</w:t>
      </w:r>
      <w:r w:rsidR="00D30688" w:rsidRPr="008F03E5">
        <w:t xml:space="preserve"> </w:t>
      </w:r>
      <w:r w:rsidRPr="008F03E5">
        <w:t>volumes</w:t>
      </w:r>
      <w:r w:rsidR="00D30688" w:rsidRPr="008F03E5">
        <w:t xml:space="preserve"> </w:t>
      </w:r>
      <w:r w:rsidRPr="008F03E5">
        <w:t>of</w:t>
      </w:r>
      <w:r w:rsidR="00D30688" w:rsidRPr="008F03E5">
        <w:t xml:space="preserve"> </w:t>
      </w:r>
      <w:r w:rsidRPr="008F03E5">
        <w:rPr>
          <w:i/>
          <w:iCs w:val="0"/>
        </w:rPr>
        <w:t>The</w:t>
      </w:r>
      <w:r w:rsidR="00D30688" w:rsidRPr="008F03E5">
        <w:rPr>
          <w:i/>
          <w:iCs w:val="0"/>
        </w:rPr>
        <w:t xml:space="preserve"> </w:t>
      </w:r>
      <w:r w:rsidRPr="008F03E5">
        <w:rPr>
          <w:i/>
          <w:iCs w:val="0"/>
        </w:rPr>
        <w:t>Bahá’í</w:t>
      </w:r>
      <w:r w:rsidR="00D30688" w:rsidRPr="008F03E5">
        <w:rPr>
          <w:i/>
          <w:iCs w:val="0"/>
        </w:rPr>
        <w:t xml:space="preserve"> </w:t>
      </w:r>
      <w:r w:rsidRPr="008F03E5">
        <w:rPr>
          <w:i/>
          <w:iCs w:val="0"/>
        </w:rPr>
        <w:t>World</w:t>
      </w:r>
      <w:r w:rsidRPr="008F03E5">
        <w:t>.</w:t>
      </w:r>
      <w:r w:rsidRPr="008F03E5">
        <w:rPr>
          <w:rStyle w:val="FootnoteReference"/>
        </w:rPr>
        <w:footnoteReference w:id="5"/>
      </w:r>
    </w:p>
    <w:p w14:paraId="53158BD9" w14:textId="53429D17" w:rsidR="0012551E" w:rsidRDefault="0012551E" w:rsidP="0012551E">
      <w:pPr>
        <w:pStyle w:val="Quote"/>
      </w:pPr>
      <w:r>
        <w:t>We agree … to use the ending -a when the word is in an Arabic context and -ih when it is in a Persian one.</w:t>
      </w:r>
    </w:p>
    <w:p w14:paraId="0E4E07D7" w14:textId="21E96AA9" w:rsidR="0086743D" w:rsidRPr="008E557A" w:rsidRDefault="002D18CB" w:rsidP="009C76DA">
      <w:pPr>
        <w:pStyle w:val="Quote"/>
      </w:pPr>
      <w:r>
        <w:t>…</w:t>
      </w:r>
      <w:r w:rsidR="0086743D" w:rsidRPr="008E557A">
        <w:t xml:space="preserve"> since the purpose of the accent is merely to indicate a long vowel, we see no objection to permitting Bah</w:t>
      </w:r>
      <w:r w:rsidR="008E557A" w:rsidRPr="008E557A">
        <w:t>á</w:t>
      </w:r>
      <w:r w:rsidR="008257E8" w:rsidRPr="008E557A">
        <w:t>’</w:t>
      </w:r>
      <w:r w:rsidR="008E557A" w:rsidRPr="008E557A">
        <w:t>í</w:t>
      </w:r>
      <w:r w:rsidR="0086743D" w:rsidRPr="008E557A">
        <w:t xml:space="preserve"> orientalists to use the horizontal accent</w:t>
      </w:r>
      <w:r>
        <w:t xml:space="preserve"> [macron]</w:t>
      </w:r>
      <w:r w:rsidR="0086743D" w:rsidRPr="008E557A">
        <w:t xml:space="preserve"> (or indeed a circumflex or any other accent) in their scholarly works if they so wish, although, as stated above, we prefer the acute accent and this should be retained for general Bah</w:t>
      </w:r>
      <w:r w:rsidR="008E557A" w:rsidRPr="008E557A">
        <w:t>á</w:t>
      </w:r>
      <w:r w:rsidR="009C76DA">
        <w:t>’</w:t>
      </w:r>
      <w:r w:rsidR="008E557A" w:rsidRPr="008E557A">
        <w:t>í</w:t>
      </w:r>
      <w:r w:rsidR="0086743D" w:rsidRPr="008E557A">
        <w:t xml:space="preserve"> usage.</w:t>
      </w:r>
    </w:p>
    <w:p w14:paraId="1949210F" w14:textId="3C765CD2" w:rsidR="003F4F8E" w:rsidRDefault="003F4F8E" w:rsidP="002D18CB">
      <w:pPr>
        <w:pStyle w:val="Quote"/>
      </w:pPr>
      <w:r>
        <w:t>The [final] hamza is dropped in Persian but not in Arabic.  Thus, Qayyúm’l-Asmá’, being an Arabic form, needs a hamza at the end, but the Persian form, Qayyúm-i-Asmá does not require it.</w:t>
      </w:r>
      <w:r w:rsidR="002D18CB">
        <w:rPr>
          <w:rStyle w:val="FootnoteReference"/>
        </w:rPr>
        <w:footnoteReference w:id="6"/>
      </w:r>
    </w:p>
    <w:p w14:paraId="2B112C14" w14:textId="77777777" w:rsidR="00260FBF" w:rsidRDefault="00260FBF" w:rsidP="00260FBF">
      <w:pPr>
        <w:pStyle w:val="Text"/>
      </w:pPr>
      <w:r w:rsidRPr="008F03E5">
        <w:t>The terms “Guardian” and “Universal House of Justice” are explained in the alphabetical list below.</w:t>
      </w:r>
    </w:p>
    <w:p w14:paraId="4CD4D81A" w14:textId="2D5D9EEE" w:rsidR="00AB426C" w:rsidRPr="008F03E5" w:rsidRDefault="00AB426C" w:rsidP="00E11C3A">
      <w:pPr>
        <w:pStyle w:val="Myhead"/>
      </w:pPr>
      <w:bookmarkStart w:id="10" w:name="_Toc149326081"/>
      <w:r w:rsidRPr="008F03E5">
        <w:t>Accuracy</w:t>
      </w:r>
      <w:bookmarkEnd w:id="10"/>
      <w:r w:rsidR="00BB58C6" w:rsidRPr="00BB58C6">
        <w:rPr>
          <w:b w:val="0"/>
          <w:sz w:val="12"/>
        </w:rPr>
        <w:fldChar w:fldCharType="begin"/>
      </w:r>
      <w:r w:rsidR="00BB58C6" w:rsidRPr="00BB58C6">
        <w:rPr>
          <w:b w:val="0"/>
          <w:sz w:val="12"/>
        </w:rPr>
        <w:instrText xml:space="preserve"> TC “</w:instrText>
      </w:r>
      <w:bookmarkStart w:id="11" w:name="_Toc149476367"/>
      <w:bookmarkStart w:id="12" w:name="_Toc167691864"/>
      <w:r w:rsidR="00BB58C6" w:rsidRPr="00BB58C6">
        <w:rPr>
          <w:b w:val="0"/>
          <w:sz w:val="12"/>
        </w:rPr>
        <w:instrText>Accuracy</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11"/>
      <w:bookmarkEnd w:id="12"/>
      <w:r w:rsidR="00BB58C6" w:rsidRPr="00BB58C6">
        <w:rPr>
          <w:b w:val="0"/>
          <w:sz w:val="12"/>
        </w:rPr>
        <w:instrText>” \l 1</w:instrText>
      </w:r>
      <w:r w:rsidR="00BB58C6" w:rsidRPr="00BB58C6">
        <w:rPr>
          <w:b w:val="0"/>
          <w:sz w:val="12"/>
        </w:rPr>
        <w:fldChar w:fldCharType="end"/>
      </w:r>
    </w:p>
    <w:p w14:paraId="1C73394F" w14:textId="77777777" w:rsidR="00AB426C" w:rsidRPr="008F03E5" w:rsidRDefault="00AB426C" w:rsidP="0097685F">
      <w:pPr>
        <w:pStyle w:val="Text"/>
      </w:pPr>
      <w:r w:rsidRPr="008F03E5">
        <w:t xml:space="preserve">Any variations in transcription by the authors listed under the </w:t>
      </w:r>
      <w:r w:rsidRPr="008F03E5">
        <w:rPr>
          <w:b/>
          <w:bCs/>
        </w:rPr>
        <w:t>Information sources</w:t>
      </w:r>
      <w:r w:rsidRPr="008F03E5">
        <w:t xml:space="preserve"> heading, and information from all other Bahá’í authors have been subjected to the following progressive checks:</w:t>
      </w:r>
    </w:p>
    <w:p w14:paraId="0B6A59B4" w14:textId="77777777" w:rsidR="00AB426C" w:rsidRPr="008F03E5" w:rsidRDefault="00AB426C" w:rsidP="00AB426C">
      <w:pPr>
        <w:pStyle w:val="BulletText"/>
        <w:keepNext/>
      </w:pPr>
      <w:r w:rsidRPr="008F03E5">
        <w:t>a)</w:t>
      </w:r>
      <w:r w:rsidRPr="008F03E5">
        <w:tab/>
        <w:t>Consistency with transcription rules as used by Shoghi Effendi, and similar words.</w:t>
      </w:r>
    </w:p>
    <w:p w14:paraId="0A00053E" w14:textId="77777777" w:rsidR="00AB426C" w:rsidRPr="008F03E5" w:rsidRDefault="00AB426C" w:rsidP="0057678D">
      <w:pPr>
        <w:pStyle w:val="Bullettextcont"/>
      </w:pPr>
      <w:r w:rsidRPr="008F03E5">
        <w:t>b)</w:t>
      </w:r>
      <w:r w:rsidRPr="008F03E5">
        <w:tab/>
        <w:t>An internet search of transcripted forms of the words.</w:t>
      </w:r>
    </w:p>
    <w:p w14:paraId="3DD5CD80" w14:textId="77777777" w:rsidR="00AB426C" w:rsidRPr="008F03E5" w:rsidRDefault="00AB426C" w:rsidP="00AB426C">
      <w:pPr>
        <w:pStyle w:val="Bullettextcont"/>
      </w:pPr>
      <w:r w:rsidRPr="008F03E5">
        <w:t>c)</w:t>
      </w:r>
      <w:r w:rsidRPr="008F03E5">
        <w:tab/>
        <w:t>An internet search for the original Arabic of the words that are then manually transcripted.</w:t>
      </w:r>
    </w:p>
    <w:p w14:paraId="4E398742" w14:textId="1D6DC9C8" w:rsidR="00AB426C" w:rsidRPr="008F03E5" w:rsidRDefault="00AB426C" w:rsidP="00877E32">
      <w:pPr>
        <w:pStyle w:val="Bullettextcont"/>
      </w:pPr>
      <w:r w:rsidRPr="008F03E5">
        <w:t>d)</w:t>
      </w:r>
      <w:r w:rsidRPr="008F03E5">
        <w:tab/>
        <w:t>A search for the words in dictionaries</w:t>
      </w:r>
      <w:r w:rsidR="00877E32" w:rsidRPr="008F03E5">
        <w:t xml:space="preserve"> such as</w:t>
      </w:r>
      <w:r w:rsidRPr="008F03E5">
        <w:t xml:space="preserve"> </w:t>
      </w:r>
      <w:r w:rsidRPr="008F03E5">
        <w:rPr>
          <w:i/>
          <w:iCs/>
        </w:rPr>
        <w:t xml:space="preserve">The Hans Wehr </w:t>
      </w:r>
      <w:r w:rsidR="00722EA4" w:rsidRPr="008F03E5">
        <w:rPr>
          <w:i/>
          <w:iCs/>
        </w:rPr>
        <w:t xml:space="preserve">Dictionary of Modern Written </w:t>
      </w:r>
      <w:r w:rsidRPr="008F03E5">
        <w:rPr>
          <w:i/>
          <w:iCs/>
        </w:rPr>
        <w:t>Arabic</w:t>
      </w:r>
      <w:r w:rsidR="00877E32" w:rsidRPr="008F03E5">
        <w:t xml:space="preserve"> and </w:t>
      </w:r>
      <w:r w:rsidR="00877E32" w:rsidRPr="008F03E5">
        <w:rPr>
          <w:i/>
          <w:iCs/>
        </w:rPr>
        <w:t>A comprehensive Persian-English Dictionary</w:t>
      </w:r>
      <w:r w:rsidR="00877E32" w:rsidRPr="008F03E5">
        <w:t xml:space="preserve"> by Francis Steingass</w:t>
      </w:r>
      <w:r w:rsidRPr="008F03E5">
        <w:t>.</w:t>
      </w:r>
    </w:p>
    <w:p w14:paraId="1006CE10" w14:textId="28A686AC" w:rsidR="00AB426C" w:rsidRPr="008F03E5" w:rsidRDefault="00AB426C" w:rsidP="00787E3E">
      <w:pPr>
        <w:pStyle w:val="Bullettextcont"/>
      </w:pPr>
      <w:r w:rsidRPr="008F03E5">
        <w:t>e)</w:t>
      </w:r>
      <w:r w:rsidRPr="008F03E5">
        <w:tab/>
        <w:t xml:space="preserve">Consulting knowledgeable Arabic and/or </w:t>
      </w:r>
      <w:r w:rsidR="00787E3E" w:rsidRPr="008F03E5">
        <w:t>Persian</w:t>
      </w:r>
      <w:r w:rsidRPr="008F03E5">
        <w:t xml:space="preserve"> speak</w:t>
      </w:r>
      <w:r w:rsidR="00EF6186" w:rsidRPr="008F03E5">
        <w:t>ing Bahá’ís</w:t>
      </w:r>
      <w:r w:rsidRPr="008F03E5">
        <w:t>.  However, this information needs to be cross checked with the above sources.</w:t>
      </w:r>
    </w:p>
    <w:p w14:paraId="701C028B" w14:textId="77777777" w:rsidR="003D431C" w:rsidRPr="008F03E5" w:rsidRDefault="00AB426C" w:rsidP="002109CC">
      <w:pPr>
        <w:pStyle w:val="Text"/>
      </w:pPr>
      <w:bookmarkStart w:id="13" w:name="_Hlk60994798"/>
      <w:r w:rsidRPr="008F03E5">
        <w:t xml:space="preserve">Entries in this document are amended when </w:t>
      </w:r>
      <w:r w:rsidR="00EF12ED" w:rsidRPr="008F03E5">
        <w:t xml:space="preserve">new information </w:t>
      </w:r>
      <w:r w:rsidR="007C5060" w:rsidRPr="008F03E5">
        <w:t>is found</w:t>
      </w:r>
      <w:r w:rsidR="00EF12ED" w:rsidRPr="008F03E5">
        <w:t xml:space="preserve">, </w:t>
      </w:r>
      <w:r w:rsidR="007C5060" w:rsidRPr="008F03E5">
        <w:t>and new ones are added when</w:t>
      </w:r>
      <w:r w:rsidR="00EF12ED" w:rsidRPr="008F03E5">
        <w:t xml:space="preserve"> new </w:t>
      </w:r>
      <w:r w:rsidRPr="008F03E5">
        <w:t>names and words are found in relevant publications.</w:t>
      </w:r>
      <w:r w:rsidR="003D431C" w:rsidRPr="008F03E5">
        <w:t xml:space="preserve">  </w:t>
      </w:r>
      <w:r w:rsidRPr="008F03E5">
        <w:t xml:space="preserve">Hence, it is recommended that you use the latest available </w:t>
      </w:r>
      <w:r w:rsidR="007C5060" w:rsidRPr="008F03E5">
        <w:t xml:space="preserve">Word </w:t>
      </w:r>
      <w:r w:rsidRPr="008F03E5">
        <w:t>copy from www.miscellanie.com/ trans</w:t>
      </w:r>
      <w:r w:rsidR="002109CC" w:rsidRPr="008F03E5">
        <w:t>cription</w:t>
      </w:r>
      <w:r w:rsidRPr="008F03E5">
        <w:t>/index.html</w:t>
      </w:r>
      <w:r w:rsidR="00DC13E0" w:rsidRPr="008F03E5">
        <w:t xml:space="preserve"> or https://bahai-library.com/glossary_arabic_persian_transcription</w:t>
      </w:r>
      <w:r w:rsidRPr="008F03E5">
        <w:t>.</w:t>
      </w:r>
    </w:p>
    <w:bookmarkEnd w:id="13"/>
    <w:p w14:paraId="7D9A7A51" w14:textId="77777777" w:rsidR="003D431C" w:rsidRPr="008F03E5" w:rsidRDefault="003D431C" w:rsidP="003D431C">
      <w:pPr>
        <w:pStyle w:val="Text"/>
      </w:pPr>
      <w:r w:rsidRPr="008F03E5">
        <w:t>My thanks go to Romane Takkenberg (www.miscellanie.com) for noting inconsistencies in the list while converting, and regularly updating, this list to HTML</w:t>
      </w:r>
      <w:r w:rsidR="00EF6186" w:rsidRPr="008F03E5">
        <w:t xml:space="preserve"> on his web page</w:t>
      </w:r>
      <w:r w:rsidRPr="008F03E5">
        <w:t>.</w:t>
      </w:r>
    </w:p>
    <w:p w14:paraId="2A535DF4" w14:textId="716333B4" w:rsidR="00AB426C" w:rsidRPr="008F03E5" w:rsidRDefault="00500B25" w:rsidP="00FA4602">
      <w:pPr>
        <w:pStyle w:val="Text"/>
      </w:pPr>
      <w:r w:rsidRPr="008F03E5">
        <w:t>C</w:t>
      </w:r>
      <w:r w:rsidR="00AB426C" w:rsidRPr="008F03E5">
        <w:t>orrections</w:t>
      </w:r>
      <w:r w:rsidRPr="008F03E5">
        <w:t>,</w:t>
      </w:r>
      <w:r w:rsidR="00AB426C" w:rsidRPr="008F03E5">
        <w:t xml:space="preserve"> </w:t>
      </w:r>
      <w:r w:rsidRPr="008F03E5">
        <w:t xml:space="preserve">additions </w:t>
      </w:r>
      <w:r w:rsidR="003D431C" w:rsidRPr="008F03E5">
        <w:t>and</w:t>
      </w:r>
      <w:r w:rsidRPr="008F03E5">
        <w:t xml:space="preserve"> </w:t>
      </w:r>
      <w:r w:rsidR="00AB426C" w:rsidRPr="008F03E5">
        <w:t>suggest</w:t>
      </w:r>
      <w:r w:rsidRPr="008F03E5">
        <w:t>ed</w:t>
      </w:r>
      <w:r w:rsidR="00AB426C" w:rsidRPr="008F03E5">
        <w:t xml:space="preserve"> improvements to the list are welcomed.</w:t>
      </w:r>
      <w:r w:rsidR="00C40635" w:rsidRPr="008F03E5">
        <w:t xml:space="preserve">  Contact </w:t>
      </w:r>
      <w:r w:rsidR="00FA4602" w:rsidRPr="008F03E5">
        <w:rPr>
          <w:rFonts w:eastAsia="Times New Roman"/>
        </w:rPr>
        <w:t xml:space="preserve">jonahwinters@gmail.com or </w:t>
      </w:r>
      <w:r w:rsidR="00C72100" w:rsidRPr="008F03E5">
        <w:rPr>
          <w:rFonts w:eastAsia="Times New Roman"/>
        </w:rPr>
        <w:t>romane@miscellanie.com.</w:t>
      </w:r>
    </w:p>
    <w:p w14:paraId="397AB990" w14:textId="1BC4F3D8" w:rsidR="00A85E6E" w:rsidRPr="008F03E5" w:rsidRDefault="00AF696B" w:rsidP="00E7517E">
      <w:pPr>
        <w:pStyle w:val="Myhead"/>
      </w:pPr>
      <w:bookmarkStart w:id="14" w:name="_Toc149326083"/>
      <w:r w:rsidRPr="008F03E5">
        <w:t>Information</w:t>
      </w:r>
      <w:r w:rsidR="00D30688" w:rsidRPr="008F03E5">
        <w:t xml:space="preserve"> </w:t>
      </w:r>
      <w:r w:rsidRPr="008F03E5">
        <w:t>sources</w:t>
      </w:r>
      <w:bookmarkEnd w:id="14"/>
      <w:r w:rsidR="00BB58C6" w:rsidRPr="00E7517E">
        <w:rPr>
          <w:b w:val="0"/>
          <w:bCs/>
          <w:sz w:val="12"/>
          <w:szCs w:val="12"/>
        </w:rPr>
        <w:fldChar w:fldCharType="begin"/>
      </w:r>
      <w:r w:rsidR="00BB58C6" w:rsidRPr="00E7517E">
        <w:rPr>
          <w:b w:val="0"/>
          <w:bCs/>
          <w:sz w:val="12"/>
          <w:szCs w:val="12"/>
        </w:rPr>
        <w:instrText xml:space="preserve"> TC “</w:instrText>
      </w:r>
      <w:bookmarkStart w:id="15" w:name="_Toc149476369"/>
      <w:bookmarkStart w:id="16" w:name="_Toc167691865"/>
      <w:r w:rsidR="00BB58C6" w:rsidRPr="00E7517E">
        <w:rPr>
          <w:b w:val="0"/>
          <w:bCs/>
          <w:sz w:val="12"/>
          <w:szCs w:val="12"/>
        </w:rPr>
        <w:instrText>Information sources</w:instrText>
      </w:r>
      <w:r w:rsidR="00BB58C6" w:rsidRPr="00E7517E">
        <w:rPr>
          <w:b w:val="0"/>
          <w:bCs/>
          <w:color w:val="FFFFFF" w:themeColor="background1"/>
          <w:sz w:val="12"/>
          <w:szCs w:val="12"/>
        </w:rPr>
        <w:instrText>..</w:instrText>
      </w:r>
      <w:r w:rsidR="00BB58C6" w:rsidRPr="00E7517E">
        <w:rPr>
          <w:b w:val="0"/>
          <w:bCs/>
          <w:sz w:val="12"/>
          <w:szCs w:val="12"/>
        </w:rPr>
        <w:tab/>
      </w:r>
      <w:r w:rsidR="00BB58C6" w:rsidRPr="00E7517E">
        <w:rPr>
          <w:b w:val="0"/>
          <w:bCs/>
          <w:color w:val="FFFFFF" w:themeColor="background1"/>
          <w:sz w:val="12"/>
          <w:szCs w:val="12"/>
        </w:rPr>
        <w:instrText>.</w:instrText>
      </w:r>
      <w:bookmarkEnd w:id="15"/>
      <w:bookmarkEnd w:id="16"/>
      <w:r w:rsidR="00BB58C6" w:rsidRPr="00E7517E">
        <w:rPr>
          <w:b w:val="0"/>
          <w:bCs/>
          <w:sz w:val="12"/>
          <w:szCs w:val="12"/>
        </w:rPr>
        <w:instrText>” \l 1</w:instrText>
      </w:r>
      <w:r w:rsidR="00BB58C6" w:rsidRPr="00E7517E">
        <w:rPr>
          <w:b w:val="0"/>
          <w:bCs/>
          <w:sz w:val="12"/>
          <w:szCs w:val="12"/>
        </w:rPr>
        <w:fldChar w:fldCharType="end"/>
      </w:r>
    </w:p>
    <w:p w14:paraId="342D95D1" w14:textId="77777777" w:rsidR="00AF696B" w:rsidRPr="008F03E5" w:rsidRDefault="00AF696B" w:rsidP="00EF1240">
      <w:pPr>
        <w:pStyle w:val="Text"/>
      </w:pPr>
      <w:r w:rsidRPr="008F03E5">
        <w:t>Some</w:t>
      </w:r>
      <w:r w:rsidR="00D30688" w:rsidRPr="008F03E5">
        <w:t xml:space="preserve"> </w:t>
      </w:r>
      <w:r w:rsidRPr="008F03E5">
        <w:t>sources</w:t>
      </w:r>
      <w:r w:rsidR="00D30688" w:rsidRPr="008F03E5">
        <w:t xml:space="preserve"> </w:t>
      </w:r>
      <w:r w:rsidRPr="008F03E5">
        <w:t>of</w:t>
      </w:r>
      <w:r w:rsidR="00D30688" w:rsidRPr="008F03E5">
        <w:t xml:space="preserve"> </w:t>
      </w:r>
      <w:r w:rsidRPr="008F03E5">
        <w:t>information</w:t>
      </w:r>
      <w:r w:rsidR="00D30688" w:rsidRPr="008F03E5">
        <w:t xml:space="preserve"> </w:t>
      </w:r>
      <w:r w:rsidRPr="008F03E5">
        <w:t>are</w:t>
      </w:r>
      <w:r w:rsidR="00D30688" w:rsidRPr="008F03E5">
        <w:t xml:space="preserve"> </w:t>
      </w:r>
      <w:r w:rsidRPr="008F03E5">
        <w:t>given</w:t>
      </w:r>
      <w:r w:rsidR="00D30688" w:rsidRPr="008F03E5">
        <w:t xml:space="preserve"> </w:t>
      </w:r>
      <w:r w:rsidRPr="008F03E5">
        <w:t>in</w:t>
      </w:r>
      <w:r w:rsidR="00D30688" w:rsidRPr="008F03E5">
        <w:t xml:space="preserve"> </w:t>
      </w:r>
      <w:r w:rsidRPr="008F03E5">
        <w:t>brackets.</w:t>
      </w:r>
      <w:r w:rsidR="00D30688" w:rsidRPr="008F03E5">
        <w:t xml:space="preserve">  </w:t>
      </w:r>
      <w:r w:rsidRPr="008F03E5">
        <w:t>The</w:t>
      </w:r>
      <w:r w:rsidR="00D30688" w:rsidRPr="008F03E5">
        <w:t xml:space="preserve"> </w:t>
      </w:r>
      <w:r w:rsidRPr="008F03E5">
        <w:t>most</w:t>
      </w:r>
      <w:r w:rsidR="00D30688" w:rsidRPr="008F03E5">
        <w:t xml:space="preserve"> </w:t>
      </w:r>
      <w:r w:rsidRPr="008F03E5">
        <w:t>reliable</w:t>
      </w:r>
      <w:r w:rsidR="00D30688" w:rsidRPr="008F03E5">
        <w:t xml:space="preserve"> </w:t>
      </w:r>
      <w:r w:rsidRPr="008F03E5">
        <w:t>sources</w:t>
      </w:r>
      <w:r w:rsidR="00D30688" w:rsidRPr="008F03E5">
        <w:t xml:space="preserve"> </w:t>
      </w:r>
      <w:r w:rsidRPr="008F03E5">
        <w:t>of</w:t>
      </w:r>
      <w:r w:rsidR="00D30688" w:rsidRPr="008F03E5">
        <w:t xml:space="preserve"> </w:t>
      </w:r>
      <w:r w:rsidRPr="008F03E5">
        <w:t>information</w:t>
      </w:r>
      <w:r w:rsidR="00D30688" w:rsidRPr="008F03E5">
        <w:t xml:space="preserve"> </w:t>
      </w:r>
      <w:r w:rsidRPr="008F03E5">
        <w:t>are</w:t>
      </w:r>
      <w:r w:rsidR="00D30688" w:rsidRPr="008F03E5">
        <w:t xml:space="preserve"> </w:t>
      </w:r>
      <w:r w:rsidRPr="008F03E5">
        <w:t>to</w:t>
      </w:r>
      <w:r w:rsidR="00D30688" w:rsidRPr="008F03E5">
        <w:t xml:space="preserve"> </w:t>
      </w:r>
      <w:r w:rsidRPr="008F03E5">
        <w:t>be</w:t>
      </w:r>
      <w:r w:rsidR="00D30688" w:rsidRPr="008F03E5">
        <w:t xml:space="preserve"> </w:t>
      </w:r>
      <w:r w:rsidRPr="008F03E5">
        <w:t>found</w:t>
      </w:r>
      <w:r w:rsidR="00D30688" w:rsidRPr="008F03E5">
        <w:t xml:space="preserve"> </w:t>
      </w:r>
      <w:r w:rsidRPr="008F03E5">
        <w:t>in</w:t>
      </w:r>
      <w:r w:rsidR="00D30688" w:rsidRPr="008F03E5">
        <w:t xml:space="preserve"> </w:t>
      </w:r>
      <w:r w:rsidRPr="008F03E5">
        <w:t>documents</w:t>
      </w:r>
      <w:r w:rsidR="00D30688" w:rsidRPr="008F03E5">
        <w:t xml:space="preserve"> </w:t>
      </w:r>
      <w:r w:rsidRPr="008F03E5">
        <w:t>issued</w:t>
      </w:r>
      <w:r w:rsidR="00D30688" w:rsidRPr="008F03E5">
        <w:t xml:space="preserve"> </w:t>
      </w:r>
      <w:r w:rsidRPr="008F03E5">
        <w:t>by</w:t>
      </w:r>
      <w:r w:rsidR="00D30688" w:rsidRPr="008F03E5">
        <w:t xml:space="preserve"> </w:t>
      </w:r>
      <w:r w:rsidRPr="008F03E5">
        <w:t>the</w:t>
      </w:r>
      <w:r w:rsidR="00D30688" w:rsidRPr="008F03E5">
        <w:t xml:space="preserve"> </w:t>
      </w:r>
      <w:r w:rsidRPr="008F03E5">
        <w:t>Universal</w:t>
      </w:r>
      <w:r w:rsidR="00D30688" w:rsidRPr="008F03E5">
        <w:t xml:space="preserve"> </w:t>
      </w:r>
      <w:r w:rsidRPr="008F03E5">
        <w:t>House</w:t>
      </w:r>
      <w:r w:rsidR="00D30688" w:rsidRPr="008F03E5">
        <w:t xml:space="preserve"> </w:t>
      </w:r>
      <w:r w:rsidRPr="008F03E5">
        <w:t>of</w:t>
      </w:r>
      <w:r w:rsidR="00D30688" w:rsidRPr="008F03E5">
        <w:t xml:space="preserve"> </w:t>
      </w:r>
      <w:r w:rsidRPr="008F03E5">
        <w:t>Justice;</w:t>
      </w:r>
      <w:r w:rsidR="00D30688" w:rsidRPr="008F03E5">
        <w:t xml:space="preserve"> </w:t>
      </w:r>
      <w:r w:rsidRPr="008F03E5">
        <w:t>and</w:t>
      </w:r>
      <w:r w:rsidR="00D30688" w:rsidRPr="008F03E5">
        <w:t xml:space="preserve"> </w:t>
      </w:r>
      <w:r w:rsidRPr="008F03E5">
        <w:t>books</w:t>
      </w:r>
      <w:r w:rsidR="00D30688" w:rsidRPr="008F03E5">
        <w:t xml:space="preserve"> </w:t>
      </w:r>
      <w:r w:rsidRPr="008F03E5">
        <w:t>by</w:t>
      </w:r>
      <w:r w:rsidR="00D30688" w:rsidRPr="008F03E5">
        <w:t xml:space="preserve"> </w:t>
      </w:r>
      <w:r w:rsidRPr="008F03E5">
        <w:t>Shoghi</w:t>
      </w:r>
      <w:r w:rsidR="00D30688" w:rsidRPr="008F03E5">
        <w:t xml:space="preserve"> </w:t>
      </w:r>
      <w:r w:rsidRPr="008F03E5">
        <w:t>Effendi,</w:t>
      </w:r>
      <w:r w:rsidR="00D30688" w:rsidRPr="008F03E5">
        <w:t xml:space="preserve"> </w:t>
      </w:r>
      <w:r w:rsidRPr="008F03E5">
        <w:t>Hasan</w:t>
      </w:r>
      <w:r w:rsidR="00D30688" w:rsidRPr="008F03E5">
        <w:t xml:space="preserve"> </w:t>
      </w:r>
      <w:r w:rsidRPr="008F03E5">
        <w:t>Balyuzi</w:t>
      </w:r>
      <w:r w:rsidR="00D30688" w:rsidRPr="008F03E5">
        <w:t xml:space="preserve"> </w:t>
      </w:r>
      <w:r w:rsidRPr="008F03E5">
        <w:t>and</w:t>
      </w:r>
      <w:r w:rsidR="00D30688" w:rsidRPr="008F03E5">
        <w:t xml:space="preserve"> </w:t>
      </w:r>
      <w:r w:rsidRPr="008F03E5">
        <w:t>Adib</w:t>
      </w:r>
      <w:r w:rsidR="00D30688" w:rsidRPr="008F03E5">
        <w:t xml:space="preserve"> </w:t>
      </w:r>
      <w:r w:rsidRPr="008F03E5">
        <w:t>Taherzadeh</w:t>
      </w:r>
      <w:r w:rsidR="00722EA4" w:rsidRPr="008F03E5">
        <w:t xml:space="preserve"> (caution:  there are some errors in all published documents)</w:t>
      </w:r>
      <w:r w:rsidRPr="008F03E5">
        <w:t>.</w:t>
      </w:r>
      <w:r w:rsidR="00D30688" w:rsidRPr="008F03E5">
        <w:t xml:space="preserve">  </w:t>
      </w:r>
      <w:r w:rsidR="006A6F8F" w:rsidRPr="008F03E5">
        <w:t>En</w:t>
      </w:r>
      <w:r w:rsidR="00E10A81" w:rsidRPr="008F03E5">
        <w:t>tries</w:t>
      </w:r>
      <w:r w:rsidR="00D30688" w:rsidRPr="008F03E5">
        <w:t xml:space="preserve"> </w:t>
      </w:r>
      <w:r w:rsidR="00E10A81" w:rsidRPr="008F03E5">
        <w:t>are</w:t>
      </w:r>
      <w:r w:rsidR="00D30688" w:rsidRPr="008F03E5">
        <w:t xml:space="preserve"> </w:t>
      </w:r>
      <w:r w:rsidR="00E10A81" w:rsidRPr="008F03E5">
        <w:t>checked</w:t>
      </w:r>
      <w:r w:rsidR="00D30688" w:rsidRPr="008F03E5">
        <w:t xml:space="preserve"> </w:t>
      </w:r>
      <w:r w:rsidRPr="008F03E5">
        <w:t>using</w:t>
      </w:r>
      <w:r w:rsidR="00D30688" w:rsidRPr="008F03E5">
        <w:t xml:space="preserve"> </w:t>
      </w:r>
      <w:r w:rsidRPr="008F03E5">
        <w:t>digital</w:t>
      </w:r>
      <w:r w:rsidR="00D30688" w:rsidRPr="008F03E5">
        <w:t xml:space="preserve"> </w:t>
      </w:r>
      <w:r w:rsidRPr="008F03E5">
        <w:t>copies</w:t>
      </w:r>
      <w:r w:rsidR="00D30688" w:rsidRPr="008F03E5">
        <w:t xml:space="preserve"> </w:t>
      </w:r>
      <w:r w:rsidRPr="008F03E5">
        <w:t>of</w:t>
      </w:r>
      <w:r w:rsidR="00D30688" w:rsidRPr="008F03E5">
        <w:t xml:space="preserve"> </w:t>
      </w:r>
      <w:r w:rsidRPr="008F03E5">
        <w:t>Arabic</w:t>
      </w:r>
      <w:r w:rsidR="00D30688" w:rsidRPr="008F03E5">
        <w:t xml:space="preserve"> </w:t>
      </w:r>
      <w:r w:rsidRPr="008F03E5">
        <w:t>(</w:t>
      </w:r>
      <w:r w:rsidRPr="008F03E5">
        <w:rPr>
          <w:i/>
          <w:iCs/>
        </w:rPr>
        <w:t>Hans</w:t>
      </w:r>
      <w:r w:rsidR="00D30688" w:rsidRPr="008F03E5">
        <w:rPr>
          <w:i/>
          <w:iCs/>
        </w:rPr>
        <w:t xml:space="preserve"> </w:t>
      </w:r>
      <w:r w:rsidRPr="008F03E5">
        <w:rPr>
          <w:i/>
          <w:iCs/>
        </w:rPr>
        <w:t>Wehr</w:t>
      </w:r>
      <w:r w:rsidR="00E10A81" w:rsidRPr="008F03E5">
        <w:t>,</w:t>
      </w:r>
      <w:r w:rsidR="00D30688" w:rsidRPr="008F03E5">
        <w:t xml:space="preserve"> </w:t>
      </w:r>
      <w:r w:rsidR="00E10A81" w:rsidRPr="008F03E5">
        <w:t>also</w:t>
      </w:r>
      <w:r w:rsidR="00D30688" w:rsidRPr="008F03E5">
        <w:t xml:space="preserve"> </w:t>
      </w:r>
      <w:r w:rsidR="00E10A81" w:rsidRPr="008F03E5">
        <w:t>a</w:t>
      </w:r>
      <w:r w:rsidR="00D30688" w:rsidRPr="008F03E5">
        <w:t xml:space="preserve"> </w:t>
      </w:r>
      <w:r w:rsidR="00E10A81" w:rsidRPr="008F03E5">
        <w:t>printed</w:t>
      </w:r>
      <w:r w:rsidR="00D30688" w:rsidRPr="008F03E5">
        <w:t xml:space="preserve"> </w:t>
      </w:r>
      <w:r w:rsidR="00E10A81" w:rsidRPr="008F03E5">
        <w:t>copy</w:t>
      </w:r>
      <w:r w:rsidRPr="008F03E5">
        <w:t>)</w:t>
      </w:r>
      <w:r w:rsidR="00D30688" w:rsidRPr="008F03E5">
        <w:t xml:space="preserve"> </w:t>
      </w:r>
      <w:r w:rsidRPr="008F03E5">
        <w:t>and</w:t>
      </w:r>
      <w:r w:rsidR="00D30688" w:rsidRPr="008F03E5">
        <w:t xml:space="preserve"> </w:t>
      </w:r>
      <w:r w:rsidRPr="008F03E5">
        <w:t>Persian</w:t>
      </w:r>
      <w:r w:rsidR="00D30688" w:rsidRPr="008F03E5">
        <w:t xml:space="preserve"> </w:t>
      </w:r>
      <w:r w:rsidR="006A6F8F" w:rsidRPr="008F03E5">
        <w:t xml:space="preserve">(Steingass) </w:t>
      </w:r>
      <w:r w:rsidRPr="008F03E5">
        <w:t>dictionaries.</w:t>
      </w:r>
      <w:r w:rsidR="00D30688" w:rsidRPr="008F03E5">
        <w:t xml:space="preserve">  </w:t>
      </w:r>
      <w:r w:rsidR="00E10A81" w:rsidRPr="008F03E5">
        <w:t>If</w:t>
      </w:r>
      <w:r w:rsidR="00D30688" w:rsidRPr="008F03E5">
        <w:t xml:space="preserve"> </w:t>
      </w:r>
      <w:r w:rsidR="00E10A81" w:rsidRPr="008F03E5">
        <w:t>these</w:t>
      </w:r>
      <w:r w:rsidR="00D30688" w:rsidRPr="008F03E5">
        <w:t xml:space="preserve"> </w:t>
      </w:r>
      <w:r w:rsidR="00E10A81" w:rsidRPr="008F03E5">
        <w:t>sources</w:t>
      </w:r>
      <w:r w:rsidR="00D30688" w:rsidRPr="008F03E5">
        <w:t xml:space="preserve"> </w:t>
      </w:r>
      <w:r w:rsidR="00E10A81" w:rsidRPr="008F03E5">
        <w:t>lack</w:t>
      </w:r>
      <w:r w:rsidR="00D30688" w:rsidRPr="008F03E5">
        <w:t xml:space="preserve"> </w:t>
      </w:r>
      <w:r w:rsidR="00E10A81" w:rsidRPr="008F03E5">
        <w:t>the</w:t>
      </w:r>
      <w:r w:rsidR="00D30688" w:rsidRPr="008F03E5">
        <w:t xml:space="preserve"> </w:t>
      </w:r>
      <w:r w:rsidR="00E10A81" w:rsidRPr="008F03E5">
        <w:t>required</w:t>
      </w:r>
      <w:r w:rsidR="00D30688" w:rsidRPr="008F03E5">
        <w:t xml:space="preserve"> </w:t>
      </w:r>
      <w:r w:rsidR="00E10A81" w:rsidRPr="008F03E5">
        <w:t>information,</w:t>
      </w:r>
      <w:r w:rsidR="00D30688" w:rsidRPr="008F03E5">
        <w:t xml:space="preserve"> </w:t>
      </w:r>
      <w:r w:rsidR="00E10A81" w:rsidRPr="008F03E5">
        <w:t>then</w:t>
      </w:r>
      <w:r w:rsidR="00D30688" w:rsidRPr="008F03E5">
        <w:t xml:space="preserve"> </w:t>
      </w:r>
      <w:r w:rsidR="00E10A81" w:rsidRPr="008F03E5">
        <w:t>information</w:t>
      </w:r>
      <w:r w:rsidR="00D30688" w:rsidRPr="008F03E5">
        <w:t xml:space="preserve"> </w:t>
      </w:r>
      <w:r w:rsidR="00E10A81" w:rsidRPr="008F03E5">
        <w:t>is</w:t>
      </w:r>
      <w:r w:rsidR="00D30688" w:rsidRPr="008F03E5">
        <w:t xml:space="preserve"> </w:t>
      </w:r>
      <w:r w:rsidR="00E10A81" w:rsidRPr="008F03E5">
        <w:t>sought</w:t>
      </w:r>
      <w:r w:rsidR="00D30688" w:rsidRPr="008F03E5">
        <w:t xml:space="preserve"> </w:t>
      </w:r>
      <w:r w:rsidR="00E10A81" w:rsidRPr="008F03E5">
        <w:t>from</w:t>
      </w:r>
      <w:r w:rsidR="00D30688" w:rsidRPr="008F03E5">
        <w:t xml:space="preserve"> </w:t>
      </w:r>
      <w:r w:rsidR="006A6F8F" w:rsidRPr="008F03E5">
        <w:t xml:space="preserve">the internet and </w:t>
      </w:r>
      <w:r w:rsidR="00E10A81" w:rsidRPr="008F03E5">
        <w:t>a</w:t>
      </w:r>
      <w:r w:rsidR="00D30688" w:rsidRPr="008F03E5">
        <w:t xml:space="preserve"> </w:t>
      </w:r>
      <w:r w:rsidR="00E10A81" w:rsidRPr="008F03E5">
        <w:t>few</w:t>
      </w:r>
      <w:r w:rsidR="00D30688" w:rsidRPr="008F03E5">
        <w:t xml:space="preserve"> </w:t>
      </w:r>
      <w:r w:rsidR="00E10A81" w:rsidRPr="008F03E5">
        <w:t>knowledgeable</w:t>
      </w:r>
      <w:r w:rsidR="00D30688" w:rsidRPr="008F03E5">
        <w:t xml:space="preserve"> </w:t>
      </w:r>
      <w:r w:rsidR="00E10A81" w:rsidRPr="008F03E5">
        <w:t>individuals.</w:t>
      </w:r>
    </w:p>
    <w:p w14:paraId="5DAB8F31" w14:textId="49D7874C" w:rsidR="00E76332" w:rsidRPr="008F03E5" w:rsidRDefault="00E76332" w:rsidP="00E11C3A">
      <w:pPr>
        <w:pStyle w:val="Myhead"/>
      </w:pPr>
      <w:bookmarkStart w:id="17" w:name="_Toc149326086"/>
      <w:r w:rsidRPr="008F03E5">
        <w:t>List arrangement</w:t>
      </w:r>
      <w:bookmarkEnd w:id="17"/>
      <w:r w:rsidR="00BB58C6" w:rsidRPr="00BB58C6">
        <w:rPr>
          <w:b w:val="0"/>
          <w:sz w:val="12"/>
        </w:rPr>
        <w:fldChar w:fldCharType="begin"/>
      </w:r>
      <w:r w:rsidR="00BB58C6" w:rsidRPr="00BB58C6">
        <w:rPr>
          <w:b w:val="0"/>
          <w:sz w:val="12"/>
        </w:rPr>
        <w:instrText xml:space="preserve"> TC “</w:instrText>
      </w:r>
      <w:bookmarkStart w:id="18" w:name="_Toc149476374"/>
      <w:bookmarkStart w:id="19" w:name="_Toc167691866"/>
      <w:r w:rsidR="00BB58C6" w:rsidRPr="00BB58C6">
        <w:rPr>
          <w:b w:val="0"/>
          <w:sz w:val="12"/>
        </w:rPr>
        <w:instrText>List arrangement</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18"/>
      <w:bookmarkEnd w:id="19"/>
      <w:r w:rsidR="00BB58C6" w:rsidRPr="00BB58C6">
        <w:rPr>
          <w:b w:val="0"/>
          <w:sz w:val="12"/>
        </w:rPr>
        <w:instrText>” \l 1</w:instrText>
      </w:r>
      <w:r w:rsidR="00BB58C6" w:rsidRPr="00BB58C6">
        <w:rPr>
          <w:b w:val="0"/>
          <w:sz w:val="12"/>
        </w:rPr>
        <w:fldChar w:fldCharType="end"/>
      </w:r>
    </w:p>
    <w:p w14:paraId="19A13CEB" w14:textId="77777777" w:rsidR="00E76332" w:rsidRPr="008F03E5" w:rsidRDefault="00E76332" w:rsidP="00E76332">
      <w:pPr>
        <w:pStyle w:val="Text"/>
      </w:pPr>
      <w:r w:rsidRPr="008F03E5">
        <w:t>The first column of the following list contains forms (correct and incorrect) of the words/names without acute accents, initial ‘Ayns or underdots.  This makes it possible to make a simple search for a word without having any knowledge of the correct transcription, and it is used to make an alphabetical sort (the sorting used by Word is not the desired order) of the list itself.</w:t>
      </w:r>
    </w:p>
    <w:p w14:paraId="58A15C4B" w14:textId="0C0BFAA4" w:rsidR="00D55494" w:rsidRPr="008F03E5" w:rsidRDefault="00D55494" w:rsidP="00E11C3A">
      <w:pPr>
        <w:pStyle w:val="Myhead"/>
      </w:pPr>
      <w:bookmarkStart w:id="20" w:name="_Toc149326087"/>
      <w:r w:rsidRPr="008F03E5">
        <w:t>Searching the list</w:t>
      </w:r>
      <w:bookmarkEnd w:id="20"/>
      <w:r w:rsidR="00BB58C6" w:rsidRPr="00BB58C6">
        <w:rPr>
          <w:b w:val="0"/>
          <w:sz w:val="12"/>
        </w:rPr>
        <w:fldChar w:fldCharType="begin"/>
      </w:r>
      <w:r w:rsidR="00BB58C6" w:rsidRPr="00BB58C6">
        <w:rPr>
          <w:b w:val="0"/>
          <w:sz w:val="12"/>
        </w:rPr>
        <w:instrText xml:space="preserve"> TC “</w:instrText>
      </w:r>
      <w:bookmarkStart w:id="21" w:name="_Toc149476375"/>
      <w:bookmarkStart w:id="22" w:name="_Toc167691867"/>
      <w:r w:rsidR="00BB58C6" w:rsidRPr="00BB58C6">
        <w:rPr>
          <w:b w:val="0"/>
          <w:sz w:val="12"/>
        </w:rPr>
        <w:instrText>Searching the list</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21"/>
      <w:bookmarkEnd w:id="22"/>
      <w:r w:rsidR="00BB58C6" w:rsidRPr="00BB58C6">
        <w:rPr>
          <w:b w:val="0"/>
          <w:sz w:val="12"/>
        </w:rPr>
        <w:instrText>” \l 1</w:instrText>
      </w:r>
      <w:r w:rsidR="00BB58C6" w:rsidRPr="00BB58C6">
        <w:rPr>
          <w:b w:val="0"/>
          <w:sz w:val="12"/>
        </w:rPr>
        <w:fldChar w:fldCharType="end"/>
      </w:r>
    </w:p>
    <w:p w14:paraId="415E7FF0" w14:textId="77777777" w:rsidR="00E4163D" w:rsidRPr="008F03E5" w:rsidRDefault="008F16A6" w:rsidP="00E4163D">
      <w:pPr>
        <w:pStyle w:val="Text"/>
      </w:pPr>
      <w:r w:rsidRPr="008F03E5">
        <w:t>It is easier to search for words if you</w:t>
      </w:r>
      <w:r w:rsidR="00E4163D" w:rsidRPr="008F03E5">
        <w:t>:</w:t>
      </w:r>
    </w:p>
    <w:p w14:paraId="615EFA18" w14:textId="77777777" w:rsidR="00955E82" w:rsidRPr="008F03E5" w:rsidRDefault="00955E82" w:rsidP="00D55494">
      <w:pPr>
        <w:pStyle w:val="BulletText"/>
      </w:pPr>
      <w:r w:rsidRPr="008F03E5">
        <w:t>a)</w:t>
      </w:r>
      <w:r w:rsidRPr="008F03E5">
        <w:tab/>
        <w:t>Remov</w:t>
      </w:r>
      <w:r w:rsidR="008F16A6" w:rsidRPr="008F03E5">
        <w:t>e</w:t>
      </w:r>
      <w:r w:rsidRPr="008F03E5">
        <w:t xml:space="preserve"> all accents and underdots.</w:t>
      </w:r>
    </w:p>
    <w:p w14:paraId="13AD57BE" w14:textId="7BA95D99" w:rsidR="00E4163D" w:rsidRPr="008F03E5" w:rsidRDefault="00955E82" w:rsidP="005528C7">
      <w:pPr>
        <w:pStyle w:val="Bullettextcont"/>
      </w:pPr>
      <w:r w:rsidRPr="008F03E5">
        <w:t>b</w:t>
      </w:r>
      <w:r w:rsidR="00E4163D" w:rsidRPr="008F03E5">
        <w:t>)</w:t>
      </w:r>
      <w:r w:rsidR="00E4163D" w:rsidRPr="008F03E5">
        <w:tab/>
        <w:t>Remov</w:t>
      </w:r>
      <w:r w:rsidR="008F16A6" w:rsidRPr="008F03E5">
        <w:t>e</w:t>
      </w:r>
      <w:r w:rsidR="00E4163D" w:rsidRPr="008F03E5">
        <w:t xml:space="preserve"> the definite </w:t>
      </w:r>
      <w:r w:rsidR="00FF2E20" w:rsidRPr="008F03E5">
        <w:t xml:space="preserve">article </w:t>
      </w:r>
      <w:r w:rsidR="00E4163D" w:rsidRPr="008F03E5">
        <w:t>(</w:t>
      </w:r>
      <w:r w:rsidR="00140957" w:rsidRPr="008F03E5">
        <w:t>“</w:t>
      </w:r>
      <w:r w:rsidR="00E4163D" w:rsidRPr="008F03E5">
        <w:t>al-</w:t>
      </w:r>
      <w:r w:rsidR="00140957" w:rsidRPr="008F03E5">
        <w:t>”</w:t>
      </w:r>
      <w:r w:rsidR="00BE5CB1" w:rsidRPr="008F03E5">
        <w:t>,</w:t>
      </w:r>
      <w:r w:rsidR="00FF2E20" w:rsidRPr="008F03E5">
        <w:t xml:space="preserve"> </w:t>
      </w:r>
      <w:r w:rsidR="00140957" w:rsidRPr="008F03E5">
        <w:t>“u</w:t>
      </w:r>
      <w:r w:rsidR="00C57D56">
        <w:t>’</w:t>
      </w:r>
      <w:r w:rsidR="00140957" w:rsidRPr="008F03E5">
        <w:t>l-”,</w:t>
      </w:r>
      <w:r w:rsidR="00C57D56">
        <w:t xml:space="preserve"> </w:t>
      </w:r>
      <w:r w:rsidR="00E4163D" w:rsidRPr="008F03E5">
        <w:t>etc.</w:t>
      </w:r>
      <w:r w:rsidR="00BE5CB1" w:rsidRPr="008F03E5">
        <w:t>;</w:t>
      </w:r>
      <w:r w:rsidR="00D55494" w:rsidRPr="008F03E5">
        <w:t xml:space="preserve"> refer to the entry for “al-” and the </w:t>
      </w:r>
      <w:r w:rsidR="00BE5CB1" w:rsidRPr="008F03E5">
        <w:t xml:space="preserve">description of the sun letters in the </w:t>
      </w:r>
      <w:r w:rsidR="00D55494" w:rsidRPr="008F03E5">
        <w:rPr>
          <w:i/>
          <w:iCs/>
        </w:rPr>
        <w:t>Arabic letters and abjad values</w:t>
      </w:r>
      <w:r w:rsidR="00D55494" w:rsidRPr="008F03E5">
        <w:t xml:space="preserve"> section at the end of this list.</w:t>
      </w:r>
      <w:r w:rsidR="00E4163D" w:rsidRPr="008F03E5">
        <w:t>)</w:t>
      </w:r>
    </w:p>
    <w:p w14:paraId="7C0BD283" w14:textId="6B226493" w:rsidR="00E4163D" w:rsidRPr="008F03E5" w:rsidRDefault="00955E82" w:rsidP="002F175A">
      <w:pPr>
        <w:pStyle w:val="Bullettextcont"/>
      </w:pPr>
      <w:r w:rsidRPr="008F03E5">
        <w:t>c</w:t>
      </w:r>
      <w:r w:rsidR="00E4163D" w:rsidRPr="008F03E5">
        <w:t>)</w:t>
      </w:r>
      <w:r w:rsidR="00E4163D" w:rsidRPr="008F03E5">
        <w:tab/>
        <w:t>Remov</w:t>
      </w:r>
      <w:r w:rsidR="008F16A6" w:rsidRPr="008F03E5">
        <w:t>e</w:t>
      </w:r>
      <w:r w:rsidR="00E4163D" w:rsidRPr="008F03E5">
        <w:t xml:space="preserve"> final letters such as “ah”</w:t>
      </w:r>
      <w:r w:rsidR="008651DE">
        <w:t>, “yah” and</w:t>
      </w:r>
      <w:r w:rsidR="00E4163D" w:rsidRPr="008F03E5">
        <w:t xml:space="preserve"> “</w:t>
      </w:r>
      <w:r w:rsidR="008651DE" w:rsidRPr="002F175A">
        <w:t>y</w:t>
      </w:r>
      <w:r w:rsidR="00FF2E20" w:rsidRPr="002F175A">
        <w:t>y</w:t>
      </w:r>
      <w:r w:rsidR="00E4163D" w:rsidRPr="002F175A">
        <w:t xml:space="preserve">ah” (usually </w:t>
      </w:r>
      <w:r w:rsidR="00355B0F" w:rsidRPr="002F175A">
        <w:t>Persian</w:t>
      </w:r>
      <w:r w:rsidR="00E4163D" w:rsidRPr="002F175A">
        <w:t xml:space="preserve"> forms)</w:t>
      </w:r>
      <w:r w:rsidR="008651DE" w:rsidRPr="002F175A">
        <w:t>; “ih”, “yih” and “yyih” (</w:t>
      </w:r>
      <w:r w:rsidR="002F175A" w:rsidRPr="002F175A">
        <w:t>forms representing an Iṣfahání dialect or Shoghi Effendi’s “Persian Bahá’í variation”</w:t>
      </w:r>
      <w:r w:rsidR="008651DE" w:rsidRPr="002F175A">
        <w:t>);</w:t>
      </w:r>
      <w:r w:rsidR="00E4163D" w:rsidRPr="002F175A">
        <w:t xml:space="preserve"> a</w:t>
      </w:r>
      <w:r w:rsidR="00E4163D" w:rsidRPr="008F03E5">
        <w:t xml:space="preserve">nd “h” and “t” that often represent a </w:t>
      </w:r>
      <w:r w:rsidR="00E4163D" w:rsidRPr="008F03E5">
        <w:rPr>
          <w:i/>
          <w:iCs/>
        </w:rPr>
        <w:t>tá’ marbúṭa</w:t>
      </w:r>
      <w:r w:rsidR="00E4163D" w:rsidRPr="008F03E5">
        <w:t xml:space="preserve"> (refer to the </w:t>
      </w:r>
      <w:r w:rsidR="00E4163D" w:rsidRPr="008F03E5">
        <w:rPr>
          <w:i/>
          <w:iCs/>
        </w:rPr>
        <w:t>tá’ marbúṭa</w:t>
      </w:r>
      <w:r w:rsidR="00E4163D" w:rsidRPr="008F03E5">
        <w:t xml:space="preserve"> entry).</w:t>
      </w:r>
    </w:p>
    <w:p w14:paraId="6C97D829" w14:textId="30F0FEA7" w:rsidR="00D9744C" w:rsidRPr="008F03E5" w:rsidRDefault="00D9744C" w:rsidP="00A95F6D">
      <w:pPr>
        <w:pStyle w:val="Bullettextcont"/>
      </w:pPr>
      <w:r w:rsidRPr="008F03E5">
        <w:t>d)</w:t>
      </w:r>
      <w:r w:rsidRPr="008F03E5">
        <w:tab/>
        <w:t>Replace “o” and “e” by “u” and “i”</w:t>
      </w:r>
      <w:r w:rsidR="001C2EBE" w:rsidRPr="008F03E5">
        <w:t xml:space="preserve"> respectively</w:t>
      </w:r>
      <w:r w:rsidR="00355B0F" w:rsidRPr="008F03E5">
        <w:t>.  Then replace double vowels (representing á, í, ú) with</w:t>
      </w:r>
      <w:r w:rsidR="001C2EBE" w:rsidRPr="008F03E5">
        <w:t xml:space="preserve"> </w:t>
      </w:r>
      <w:r w:rsidR="00A95F6D" w:rsidRPr="008F03E5">
        <w:t>a</w:t>
      </w:r>
      <w:r w:rsidR="00355B0F" w:rsidRPr="008F03E5">
        <w:t xml:space="preserve">, </w:t>
      </w:r>
      <w:r w:rsidR="00A95F6D" w:rsidRPr="008F03E5">
        <w:t>i</w:t>
      </w:r>
      <w:r w:rsidR="001C2EBE" w:rsidRPr="008F03E5">
        <w:t xml:space="preserve"> </w:t>
      </w:r>
      <w:r w:rsidR="00355B0F" w:rsidRPr="008F03E5">
        <w:t xml:space="preserve">and </w:t>
      </w:r>
      <w:r w:rsidR="00A95F6D" w:rsidRPr="008F03E5">
        <w:t>u</w:t>
      </w:r>
      <w:r w:rsidR="001C2EBE" w:rsidRPr="008F03E5">
        <w:t xml:space="preserve"> </w:t>
      </w:r>
      <w:r w:rsidR="00355B0F" w:rsidRPr="008F03E5">
        <w:t>respectively.  Also try replacing “v” (Persian) with “w”.  In some cases “u” following a vowel should also be replaced by “w”</w:t>
      </w:r>
      <w:r w:rsidR="00FA4602" w:rsidRPr="008F03E5">
        <w:t xml:space="preserve"> or “y”</w:t>
      </w:r>
      <w:r w:rsidR="00355B0F" w:rsidRPr="008F03E5">
        <w:t>.</w:t>
      </w:r>
    </w:p>
    <w:p w14:paraId="184C7E61" w14:textId="0EBEB61C" w:rsidR="008F16A6" w:rsidRPr="008F03E5" w:rsidRDefault="00B654CA" w:rsidP="00583860">
      <w:pPr>
        <w:pStyle w:val="Bullettextcont"/>
        <w:spacing w:after="120"/>
      </w:pPr>
      <w:r w:rsidRPr="008F03E5">
        <w:t>e</w:t>
      </w:r>
      <w:r w:rsidR="00C6368E" w:rsidRPr="008F03E5">
        <w:t>)</w:t>
      </w:r>
      <w:r w:rsidR="00C6368E" w:rsidRPr="008F03E5">
        <w:tab/>
      </w:r>
      <w:r w:rsidR="00EB3C4E" w:rsidRPr="008F03E5">
        <w:t>Use the following table for the r</w:t>
      </w:r>
      <w:r w:rsidR="008F16A6" w:rsidRPr="008F03E5">
        <w:t>eplace</w:t>
      </w:r>
      <w:r w:rsidR="00EB3C4E" w:rsidRPr="008F03E5">
        <w:t>ment</w:t>
      </w:r>
      <w:r w:rsidR="008F16A6" w:rsidRPr="008F03E5">
        <w:t xml:space="preserve"> </w:t>
      </w:r>
      <w:r w:rsidR="00EB3C4E" w:rsidRPr="008F03E5">
        <w:t>of transliterated</w:t>
      </w:r>
      <w:r w:rsidR="00A95F6D" w:rsidRPr="008F03E5">
        <w:t xml:space="preserve"> (transl</w:t>
      </w:r>
      <w:r w:rsidR="00FA4602" w:rsidRPr="008F03E5">
        <w:t>it</w:t>
      </w:r>
      <w:r w:rsidR="00A95F6D" w:rsidRPr="008F03E5">
        <w:t>.)</w:t>
      </w:r>
      <w:r w:rsidR="00EB3C4E" w:rsidRPr="008F03E5">
        <w:t xml:space="preserve"> Persian </w:t>
      </w:r>
      <w:r w:rsidR="00B34536" w:rsidRPr="008F03E5">
        <w:t>letter</w:t>
      </w:r>
      <w:r w:rsidR="00EB3C4E" w:rsidRPr="008F03E5">
        <w:t>s with</w:t>
      </w:r>
      <w:r w:rsidR="008F16A6" w:rsidRPr="008F03E5">
        <w:t xml:space="preserve"> </w:t>
      </w:r>
      <w:r w:rsidR="00EB3C4E" w:rsidRPr="008F03E5">
        <w:t xml:space="preserve">single or </w:t>
      </w:r>
      <w:r w:rsidR="00955E82" w:rsidRPr="008F03E5">
        <w:t xml:space="preserve">double </w:t>
      </w:r>
      <w:r w:rsidR="004B3D6C" w:rsidRPr="008F03E5">
        <w:t>(diaeresis</w:t>
      </w:r>
      <w:r w:rsidR="00D9744C" w:rsidRPr="008F03E5">
        <w:t xml:space="preserve"> below</w:t>
      </w:r>
      <w:r w:rsidR="004B3D6C" w:rsidRPr="008F03E5">
        <w:t xml:space="preserve">) </w:t>
      </w:r>
      <w:r w:rsidR="00955E82" w:rsidRPr="008F03E5">
        <w:t>underdots</w:t>
      </w:r>
      <w:r w:rsidR="004B3D6C" w:rsidRPr="008F03E5">
        <w:t xml:space="preserve"> </w:t>
      </w:r>
      <w:r w:rsidR="00D9744C" w:rsidRPr="008F03E5">
        <w:t xml:space="preserve">with the letters in the </w:t>
      </w:r>
      <w:r w:rsidR="00EB3C4E" w:rsidRPr="008F03E5">
        <w:t>letter(s) in the transcription</w:t>
      </w:r>
      <w:r w:rsidR="00D9744C" w:rsidRPr="008F03E5">
        <w:t xml:space="preserve"> </w:t>
      </w:r>
      <w:r w:rsidR="00A95F6D" w:rsidRPr="008F03E5">
        <w:t>(trans</w:t>
      </w:r>
      <w:r w:rsidR="00FA4602" w:rsidRPr="008F03E5">
        <w:t>cr</w:t>
      </w:r>
      <w:r w:rsidR="00A95F6D" w:rsidRPr="008F03E5">
        <w:t xml:space="preserve">.) </w:t>
      </w:r>
      <w:r w:rsidR="00D9744C" w:rsidRPr="008F03E5">
        <w:t>column</w:t>
      </w:r>
      <w:r w:rsidR="00B34536" w:rsidRPr="008F03E5">
        <w:t xml:space="preserve">.  </w:t>
      </w:r>
      <w:r w:rsidR="00EB3C4E" w:rsidRPr="008F03E5">
        <w:t xml:space="preserve">The transliterated letter z may represent ḍ, </w:t>
      </w:r>
      <w:r w:rsidR="00EB3C4E" w:rsidRPr="008F03E5">
        <w:rPr>
          <w:u w:val="single"/>
        </w:rPr>
        <w:t>dh</w:t>
      </w:r>
      <w:r w:rsidR="00A95F6D" w:rsidRPr="008F03E5">
        <w:t>, z or ẓ</w:t>
      </w:r>
      <w:r w:rsidR="00D9744C" w:rsidRPr="008F03E5">
        <w:t>.</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0"/>
        <w:gridCol w:w="854"/>
        <w:gridCol w:w="1077"/>
        <w:gridCol w:w="860"/>
        <w:gridCol w:w="854"/>
        <w:gridCol w:w="1077"/>
      </w:tblGrid>
      <w:tr w:rsidR="00EB3C4E" w:rsidRPr="008F03E5" w14:paraId="2ABA68EC" w14:textId="77777777" w:rsidTr="000F5350">
        <w:trPr>
          <w:jc w:val="center"/>
        </w:trPr>
        <w:tc>
          <w:tcPr>
            <w:tcW w:w="808" w:type="dxa"/>
            <w:tcBorders>
              <w:right w:val="single" w:sz="4" w:space="0" w:color="auto"/>
            </w:tcBorders>
          </w:tcPr>
          <w:p w14:paraId="49990EDA" w14:textId="05C3792E" w:rsidR="00D9744C" w:rsidRPr="008F03E5" w:rsidRDefault="00D9744C" w:rsidP="00EB3C4E">
            <w:pPr>
              <w:jc w:val="center"/>
              <w:rPr>
                <w:sz w:val="18"/>
                <w:szCs w:val="18"/>
              </w:rPr>
            </w:pPr>
            <w:r w:rsidRPr="008F03E5">
              <w:rPr>
                <w:sz w:val="18"/>
                <w:szCs w:val="18"/>
              </w:rPr>
              <w:t>Transl</w:t>
            </w:r>
            <w:r w:rsidR="00FA4602" w:rsidRPr="008F03E5">
              <w:rPr>
                <w:sz w:val="18"/>
                <w:szCs w:val="18"/>
              </w:rPr>
              <w:t>it</w:t>
            </w:r>
            <w:r w:rsidR="00EB3C4E" w:rsidRPr="008F03E5">
              <w:rPr>
                <w:sz w:val="18"/>
                <w:szCs w:val="18"/>
              </w:rPr>
              <w:t>.</w:t>
            </w:r>
          </w:p>
        </w:tc>
        <w:tc>
          <w:tcPr>
            <w:tcW w:w="794" w:type="dxa"/>
            <w:tcBorders>
              <w:top w:val="single" w:sz="6" w:space="0" w:color="auto"/>
              <w:left w:val="single" w:sz="4" w:space="0" w:color="auto"/>
              <w:bottom w:val="single" w:sz="6" w:space="0" w:color="auto"/>
              <w:right w:val="single" w:sz="4" w:space="0" w:color="auto"/>
            </w:tcBorders>
          </w:tcPr>
          <w:p w14:paraId="0FDBA334" w14:textId="7DB20761" w:rsidR="00D9744C" w:rsidRPr="008F03E5" w:rsidRDefault="00D9744C" w:rsidP="00EB3C4E">
            <w:pPr>
              <w:jc w:val="center"/>
              <w:rPr>
                <w:sz w:val="18"/>
                <w:szCs w:val="18"/>
              </w:rPr>
            </w:pPr>
            <w:r w:rsidRPr="008F03E5">
              <w:rPr>
                <w:sz w:val="18"/>
                <w:szCs w:val="18"/>
              </w:rPr>
              <w:t>Trans</w:t>
            </w:r>
            <w:r w:rsidR="00FA4602" w:rsidRPr="008F03E5">
              <w:rPr>
                <w:sz w:val="18"/>
                <w:szCs w:val="18"/>
              </w:rPr>
              <w:t>cr</w:t>
            </w:r>
            <w:r w:rsidR="00EB3C4E" w:rsidRPr="008F03E5">
              <w:rPr>
                <w:sz w:val="18"/>
                <w:szCs w:val="18"/>
              </w:rPr>
              <w:t>.</w:t>
            </w:r>
          </w:p>
        </w:tc>
        <w:tc>
          <w:tcPr>
            <w:tcW w:w="1077" w:type="dxa"/>
            <w:tcBorders>
              <w:left w:val="single" w:sz="4" w:space="0" w:color="auto"/>
            </w:tcBorders>
          </w:tcPr>
          <w:p w14:paraId="7810CBD7" w14:textId="77777777" w:rsidR="00D9744C" w:rsidRPr="008F03E5" w:rsidRDefault="00D9744C" w:rsidP="00B32D10">
            <w:pPr>
              <w:jc w:val="center"/>
              <w:rPr>
                <w:sz w:val="18"/>
                <w:szCs w:val="18"/>
              </w:rPr>
            </w:pPr>
            <w:r w:rsidRPr="008F03E5">
              <w:rPr>
                <w:sz w:val="18"/>
                <w:szCs w:val="18"/>
              </w:rPr>
              <w:t>Plain text</w:t>
            </w:r>
          </w:p>
        </w:tc>
        <w:tc>
          <w:tcPr>
            <w:tcW w:w="808" w:type="dxa"/>
            <w:tcBorders>
              <w:right w:val="single" w:sz="4" w:space="0" w:color="auto"/>
            </w:tcBorders>
          </w:tcPr>
          <w:p w14:paraId="37690206" w14:textId="370C9C9F" w:rsidR="00D9744C" w:rsidRPr="008F03E5" w:rsidRDefault="00D9744C" w:rsidP="00EB3C4E">
            <w:pPr>
              <w:jc w:val="center"/>
              <w:rPr>
                <w:sz w:val="18"/>
                <w:szCs w:val="18"/>
              </w:rPr>
            </w:pPr>
            <w:r w:rsidRPr="008F03E5">
              <w:rPr>
                <w:sz w:val="18"/>
                <w:szCs w:val="18"/>
              </w:rPr>
              <w:t>Transl</w:t>
            </w:r>
            <w:r w:rsidR="00FA4602" w:rsidRPr="008F03E5">
              <w:rPr>
                <w:sz w:val="18"/>
                <w:szCs w:val="18"/>
              </w:rPr>
              <w:t>it</w:t>
            </w:r>
            <w:r w:rsidR="00EB3C4E" w:rsidRPr="008F03E5">
              <w:rPr>
                <w:sz w:val="18"/>
                <w:szCs w:val="18"/>
              </w:rPr>
              <w:t>.</w:t>
            </w:r>
          </w:p>
        </w:tc>
        <w:tc>
          <w:tcPr>
            <w:tcW w:w="794" w:type="dxa"/>
            <w:tcBorders>
              <w:left w:val="single" w:sz="4" w:space="0" w:color="auto"/>
              <w:bottom w:val="single" w:sz="6" w:space="0" w:color="auto"/>
              <w:right w:val="single" w:sz="4" w:space="0" w:color="auto"/>
            </w:tcBorders>
          </w:tcPr>
          <w:p w14:paraId="527F7107" w14:textId="56650D09" w:rsidR="00D9744C" w:rsidRPr="008F03E5" w:rsidRDefault="00D9744C" w:rsidP="00EB3C4E">
            <w:pPr>
              <w:jc w:val="center"/>
              <w:rPr>
                <w:sz w:val="18"/>
                <w:szCs w:val="18"/>
              </w:rPr>
            </w:pPr>
            <w:r w:rsidRPr="008F03E5">
              <w:rPr>
                <w:sz w:val="18"/>
                <w:szCs w:val="18"/>
              </w:rPr>
              <w:t>Trans</w:t>
            </w:r>
            <w:r w:rsidR="00FA4602" w:rsidRPr="008F03E5">
              <w:rPr>
                <w:sz w:val="18"/>
                <w:szCs w:val="18"/>
              </w:rPr>
              <w:t>cr</w:t>
            </w:r>
            <w:r w:rsidR="00EB3C4E" w:rsidRPr="008F03E5">
              <w:rPr>
                <w:sz w:val="18"/>
                <w:szCs w:val="18"/>
              </w:rPr>
              <w:t>.</w:t>
            </w:r>
          </w:p>
        </w:tc>
        <w:tc>
          <w:tcPr>
            <w:tcW w:w="1077" w:type="dxa"/>
            <w:tcBorders>
              <w:left w:val="single" w:sz="4" w:space="0" w:color="auto"/>
            </w:tcBorders>
          </w:tcPr>
          <w:p w14:paraId="7E1FF301" w14:textId="77777777" w:rsidR="00D9744C" w:rsidRPr="008F03E5" w:rsidRDefault="00D9744C" w:rsidP="00B32D10">
            <w:pPr>
              <w:jc w:val="center"/>
              <w:rPr>
                <w:sz w:val="18"/>
                <w:szCs w:val="18"/>
              </w:rPr>
            </w:pPr>
            <w:r w:rsidRPr="008F03E5">
              <w:rPr>
                <w:sz w:val="18"/>
                <w:szCs w:val="18"/>
              </w:rPr>
              <w:t>Plain text</w:t>
            </w:r>
          </w:p>
        </w:tc>
      </w:tr>
      <w:tr w:rsidR="00EB3C4E" w:rsidRPr="008F03E5" w14:paraId="31D6A818" w14:textId="77777777" w:rsidTr="000F5350">
        <w:trPr>
          <w:jc w:val="center"/>
        </w:trPr>
        <w:tc>
          <w:tcPr>
            <w:tcW w:w="808" w:type="dxa"/>
            <w:tcBorders>
              <w:bottom w:val="nil"/>
              <w:right w:val="single" w:sz="4" w:space="0" w:color="auto"/>
            </w:tcBorders>
            <w:vAlign w:val="center"/>
          </w:tcPr>
          <w:p w14:paraId="4C57ED71" w14:textId="77777777" w:rsidR="00D9744C" w:rsidRPr="008F03E5" w:rsidRDefault="00976093" w:rsidP="00B32D10">
            <w:pPr>
              <w:jc w:val="center"/>
              <w:rPr>
                <w:sz w:val="18"/>
                <w:szCs w:val="18"/>
              </w:rPr>
            </w:pPr>
            <w:r w:rsidRPr="008F03E5">
              <w:rPr>
                <w:sz w:val="18"/>
                <w:szCs w:val="18"/>
              </w:rPr>
              <w:t>s̤</w:t>
            </w:r>
          </w:p>
        </w:tc>
        <w:tc>
          <w:tcPr>
            <w:tcW w:w="794" w:type="dxa"/>
            <w:tcBorders>
              <w:top w:val="single" w:sz="6" w:space="0" w:color="auto"/>
              <w:left w:val="single" w:sz="4" w:space="0" w:color="auto"/>
              <w:bottom w:val="nil"/>
              <w:right w:val="single" w:sz="4" w:space="0" w:color="auto"/>
            </w:tcBorders>
            <w:vAlign w:val="center"/>
          </w:tcPr>
          <w:p w14:paraId="643CDB5F" w14:textId="77777777" w:rsidR="00D9744C" w:rsidRPr="008F03E5" w:rsidRDefault="00D9744C" w:rsidP="00B32D10">
            <w:pPr>
              <w:jc w:val="center"/>
              <w:rPr>
                <w:sz w:val="18"/>
                <w:szCs w:val="18"/>
                <w:u w:val="single"/>
              </w:rPr>
            </w:pPr>
            <w:r w:rsidRPr="008F03E5">
              <w:rPr>
                <w:sz w:val="18"/>
                <w:szCs w:val="18"/>
                <w:u w:val="single"/>
              </w:rPr>
              <w:t>th</w:t>
            </w:r>
          </w:p>
        </w:tc>
        <w:tc>
          <w:tcPr>
            <w:tcW w:w="1077" w:type="dxa"/>
            <w:tcBorders>
              <w:left w:val="single" w:sz="4" w:space="0" w:color="auto"/>
              <w:bottom w:val="nil"/>
            </w:tcBorders>
            <w:vAlign w:val="center"/>
          </w:tcPr>
          <w:p w14:paraId="0DB8A4C1" w14:textId="5958754C" w:rsidR="00D9744C" w:rsidRPr="008F03E5" w:rsidRDefault="00497978" w:rsidP="00B32D10">
            <w:pPr>
              <w:jc w:val="center"/>
              <w:rPr>
                <w:sz w:val="18"/>
                <w:szCs w:val="18"/>
              </w:rPr>
            </w:pPr>
            <w:r w:rsidRPr="008F03E5">
              <w:rPr>
                <w:sz w:val="18"/>
                <w:szCs w:val="18"/>
              </w:rPr>
              <w:t>t</w:t>
            </w:r>
            <w:r w:rsidR="00D9744C" w:rsidRPr="008F03E5">
              <w:rPr>
                <w:sz w:val="18"/>
                <w:szCs w:val="18"/>
              </w:rPr>
              <w:t>h</w:t>
            </w:r>
          </w:p>
        </w:tc>
        <w:tc>
          <w:tcPr>
            <w:tcW w:w="808" w:type="dxa"/>
            <w:tcBorders>
              <w:bottom w:val="nil"/>
              <w:right w:val="single" w:sz="4" w:space="0" w:color="auto"/>
            </w:tcBorders>
            <w:vAlign w:val="center"/>
          </w:tcPr>
          <w:p w14:paraId="7F954066" w14:textId="77777777" w:rsidR="00D9744C" w:rsidRPr="008F03E5" w:rsidRDefault="00D9744C" w:rsidP="00B32D10">
            <w:pPr>
              <w:jc w:val="center"/>
              <w:rPr>
                <w:sz w:val="18"/>
                <w:szCs w:val="18"/>
              </w:rPr>
            </w:pPr>
            <w:r w:rsidRPr="008F03E5">
              <w:rPr>
                <w:sz w:val="18"/>
                <w:szCs w:val="18"/>
              </w:rPr>
              <w:t>ẓ</w:t>
            </w:r>
          </w:p>
        </w:tc>
        <w:tc>
          <w:tcPr>
            <w:tcW w:w="794" w:type="dxa"/>
            <w:tcBorders>
              <w:left w:val="single" w:sz="4" w:space="0" w:color="auto"/>
              <w:bottom w:val="nil"/>
              <w:right w:val="single" w:sz="4" w:space="0" w:color="auto"/>
            </w:tcBorders>
            <w:vAlign w:val="center"/>
          </w:tcPr>
          <w:p w14:paraId="1BD4836A" w14:textId="77777777" w:rsidR="00D9744C" w:rsidRPr="008F03E5" w:rsidRDefault="00D9744C" w:rsidP="00B32D10">
            <w:pPr>
              <w:jc w:val="center"/>
              <w:rPr>
                <w:sz w:val="18"/>
                <w:szCs w:val="18"/>
              </w:rPr>
            </w:pPr>
            <w:r w:rsidRPr="008F03E5">
              <w:rPr>
                <w:sz w:val="18"/>
                <w:szCs w:val="18"/>
              </w:rPr>
              <w:t>ḍ</w:t>
            </w:r>
          </w:p>
        </w:tc>
        <w:tc>
          <w:tcPr>
            <w:tcW w:w="1077" w:type="dxa"/>
            <w:tcBorders>
              <w:left w:val="single" w:sz="4" w:space="0" w:color="auto"/>
              <w:bottom w:val="nil"/>
            </w:tcBorders>
            <w:vAlign w:val="center"/>
          </w:tcPr>
          <w:p w14:paraId="42C244D0" w14:textId="77777777" w:rsidR="00D9744C" w:rsidRPr="008F03E5" w:rsidRDefault="00D9744C" w:rsidP="00B32D10">
            <w:pPr>
              <w:jc w:val="center"/>
              <w:rPr>
                <w:sz w:val="18"/>
                <w:szCs w:val="18"/>
              </w:rPr>
            </w:pPr>
            <w:r w:rsidRPr="008F03E5">
              <w:rPr>
                <w:sz w:val="18"/>
                <w:szCs w:val="18"/>
              </w:rPr>
              <w:t>d</w:t>
            </w:r>
          </w:p>
        </w:tc>
      </w:tr>
      <w:tr w:rsidR="00EB3C4E" w:rsidRPr="008F03E5" w14:paraId="2B1F229F" w14:textId="77777777" w:rsidTr="000F5350">
        <w:trPr>
          <w:jc w:val="center"/>
        </w:trPr>
        <w:tc>
          <w:tcPr>
            <w:tcW w:w="808" w:type="dxa"/>
            <w:tcBorders>
              <w:top w:val="nil"/>
              <w:bottom w:val="nil"/>
              <w:right w:val="single" w:sz="4" w:space="0" w:color="auto"/>
            </w:tcBorders>
            <w:vAlign w:val="center"/>
          </w:tcPr>
          <w:p w14:paraId="12FB73F8" w14:textId="77777777" w:rsidR="00D9744C" w:rsidRPr="008F03E5" w:rsidRDefault="00D9744C" w:rsidP="00B32D10">
            <w:pPr>
              <w:jc w:val="center"/>
              <w:rPr>
                <w:sz w:val="18"/>
                <w:szCs w:val="18"/>
              </w:rPr>
            </w:pPr>
            <w:r w:rsidRPr="008F03E5">
              <w:rPr>
                <w:sz w:val="18"/>
                <w:szCs w:val="18"/>
              </w:rPr>
              <w:t>t̤</w:t>
            </w:r>
          </w:p>
        </w:tc>
        <w:tc>
          <w:tcPr>
            <w:tcW w:w="794" w:type="dxa"/>
            <w:tcBorders>
              <w:top w:val="nil"/>
              <w:left w:val="single" w:sz="4" w:space="0" w:color="auto"/>
              <w:bottom w:val="nil"/>
              <w:right w:val="single" w:sz="4" w:space="0" w:color="auto"/>
            </w:tcBorders>
            <w:vAlign w:val="center"/>
          </w:tcPr>
          <w:p w14:paraId="539C9D00" w14:textId="77777777" w:rsidR="00D9744C" w:rsidRPr="008F03E5" w:rsidRDefault="00D9744C" w:rsidP="00B32D10">
            <w:pPr>
              <w:jc w:val="center"/>
              <w:rPr>
                <w:sz w:val="18"/>
                <w:szCs w:val="18"/>
              </w:rPr>
            </w:pPr>
            <w:r w:rsidRPr="008F03E5">
              <w:rPr>
                <w:sz w:val="18"/>
                <w:szCs w:val="18"/>
              </w:rPr>
              <w:t>ṭ</w:t>
            </w:r>
          </w:p>
        </w:tc>
        <w:tc>
          <w:tcPr>
            <w:tcW w:w="1077" w:type="dxa"/>
            <w:tcBorders>
              <w:top w:val="nil"/>
              <w:left w:val="single" w:sz="4" w:space="0" w:color="auto"/>
              <w:bottom w:val="nil"/>
              <w:right w:val="single" w:sz="6" w:space="0" w:color="auto"/>
            </w:tcBorders>
            <w:vAlign w:val="center"/>
          </w:tcPr>
          <w:p w14:paraId="3A3FF3C6" w14:textId="77777777" w:rsidR="00D9744C" w:rsidRPr="008F03E5" w:rsidRDefault="00D9744C" w:rsidP="00B32D10">
            <w:pPr>
              <w:jc w:val="center"/>
              <w:rPr>
                <w:sz w:val="18"/>
                <w:szCs w:val="18"/>
              </w:rPr>
            </w:pPr>
            <w:r w:rsidRPr="008F03E5">
              <w:rPr>
                <w:sz w:val="18"/>
                <w:szCs w:val="18"/>
              </w:rPr>
              <w:t>t</w:t>
            </w:r>
          </w:p>
        </w:tc>
        <w:tc>
          <w:tcPr>
            <w:tcW w:w="808" w:type="dxa"/>
            <w:tcBorders>
              <w:top w:val="nil"/>
              <w:left w:val="single" w:sz="6" w:space="0" w:color="auto"/>
              <w:bottom w:val="nil"/>
              <w:right w:val="single" w:sz="4" w:space="0" w:color="auto"/>
            </w:tcBorders>
            <w:vAlign w:val="center"/>
          </w:tcPr>
          <w:p w14:paraId="4277C68D" w14:textId="77777777" w:rsidR="00D9744C" w:rsidRPr="008F03E5" w:rsidRDefault="00D9744C" w:rsidP="00B32D10">
            <w:pPr>
              <w:jc w:val="center"/>
              <w:rPr>
                <w:sz w:val="18"/>
                <w:szCs w:val="18"/>
              </w:rPr>
            </w:pPr>
            <w:r w:rsidRPr="008F03E5">
              <w:rPr>
                <w:sz w:val="18"/>
                <w:szCs w:val="18"/>
              </w:rPr>
              <w:t>z</w:t>
            </w:r>
          </w:p>
        </w:tc>
        <w:tc>
          <w:tcPr>
            <w:tcW w:w="794" w:type="dxa"/>
            <w:tcBorders>
              <w:top w:val="nil"/>
              <w:left w:val="single" w:sz="4" w:space="0" w:color="auto"/>
              <w:bottom w:val="nil"/>
              <w:right w:val="single" w:sz="4" w:space="0" w:color="auto"/>
            </w:tcBorders>
            <w:vAlign w:val="center"/>
          </w:tcPr>
          <w:p w14:paraId="0808DDFA" w14:textId="77777777" w:rsidR="00D9744C" w:rsidRPr="008F03E5" w:rsidRDefault="00D9744C" w:rsidP="00B32D10">
            <w:pPr>
              <w:jc w:val="center"/>
              <w:rPr>
                <w:sz w:val="18"/>
                <w:szCs w:val="18"/>
              </w:rPr>
            </w:pPr>
            <w:r w:rsidRPr="008F03E5">
              <w:rPr>
                <w:sz w:val="18"/>
                <w:szCs w:val="18"/>
              </w:rPr>
              <w:t>z</w:t>
            </w:r>
          </w:p>
        </w:tc>
        <w:tc>
          <w:tcPr>
            <w:tcW w:w="1077" w:type="dxa"/>
            <w:tcBorders>
              <w:top w:val="nil"/>
              <w:left w:val="single" w:sz="4" w:space="0" w:color="auto"/>
              <w:bottom w:val="nil"/>
              <w:right w:val="single" w:sz="6" w:space="0" w:color="auto"/>
            </w:tcBorders>
            <w:vAlign w:val="center"/>
          </w:tcPr>
          <w:p w14:paraId="57386FA0" w14:textId="77777777" w:rsidR="00D9744C" w:rsidRPr="008F03E5" w:rsidRDefault="00D9744C" w:rsidP="00B32D10">
            <w:pPr>
              <w:jc w:val="center"/>
              <w:rPr>
                <w:sz w:val="18"/>
                <w:szCs w:val="18"/>
              </w:rPr>
            </w:pPr>
            <w:r w:rsidRPr="008F03E5">
              <w:rPr>
                <w:sz w:val="18"/>
                <w:szCs w:val="18"/>
              </w:rPr>
              <w:t>z</w:t>
            </w:r>
          </w:p>
        </w:tc>
      </w:tr>
      <w:tr w:rsidR="00EB3C4E" w:rsidRPr="008F03E5" w14:paraId="77BDD504" w14:textId="77777777" w:rsidTr="000F5350">
        <w:trPr>
          <w:jc w:val="center"/>
        </w:trPr>
        <w:tc>
          <w:tcPr>
            <w:tcW w:w="808" w:type="dxa"/>
            <w:tcBorders>
              <w:top w:val="nil"/>
              <w:right w:val="single" w:sz="4" w:space="0" w:color="auto"/>
            </w:tcBorders>
            <w:vAlign w:val="center"/>
          </w:tcPr>
          <w:p w14:paraId="647FEAE7" w14:textId="77777777" w:rsidR="00D9744C" w:rsidRPr="008F03E5" w:rsidRDefault="00D9744C" w:rsidP="00B32D10">
            <w:pPr>
              <w:spacing w:after="20"/>
              <w:jc w:val="center"/>
              <w:rPr>
                <w:sz w:val="18"/>
                <w:szCs w:val="18"/>
              </w:rPr>
            </w:pPr>
            <w:r w:rsidRPr="008F03E5">
              <w:rPr>
                <w:sz w:val="18"/>
                <w:szCs w:val="18"/>
              </w:rPr>
              <w:t>z̤</w:t>
            </w:r>
          </w:p>
        </w:tc>
        <w:tc>
          <w:tcPr>
            <w:tcW w:w="794" w:type="dxa"/>
            <w:tcBorders>
              <w:top w:val="nil"/>
              <w:left w:val="single" w:sz="4" w:space="0" w:color="auto"/>
              <w:bottom w:val="single" w:sz="6" w:space="0" w:color="auto"/>
              <w:right w:val="single" w:sz="4" w:space="0" w:color="auto"/>
            </w:tcBorders>
            <w:vAlign w:val="center"/>
          </w:tcPr>
          <w:p w14:paraId="1A638227" w14:textId="77777777" w:rsidR="00D9744C" w:rsidRPr="008F03E5" w:rsidRDefault="00D9744C" w:rsidP="00B32D10">
            <w:pPr>
              <w:spacing w:after="20"/>
              <w:jc w:val="center"/>
              <w:rPr>
                <w:sz w:val="18"/>
                <w:szCs w:val="18"/>
              </w:rPr>
            </w:pPr>
            <w:r w:rsidRPr="008F03E5">
              <w:rPr>
                <w:sz w:val="18"/>
                <w:szCs w:val="18"/>
              </w:rPr>
              <w:t>ẓ</w:t>
            </w:r>
          </w:p>
        </w:tc>
        <w:tc>
          <w:tcPr>
            <w:tcW w:w="1077" w:type="dxa"/>
            <w:tcBorders>
              <w:top w:val="nil"/>
              <w:left w:val="single" w:sz="4" w:space="0" w:color="auto"/>
            </w:tcBorders>
            <w:vAlign w:val="center"/>
          </w:tcPr>
          <w:p w14:paraId="7684CAA9" w14:textId="77777777" w:rsidR="00D9744C" w:rsidRPr="008F03E5" w:rsidRDefault="00D9744C" w:rsidP="00B32D10">
            <w:pPr>
              <w:spacing w:after="20"/>
              <w:jc w:val="center"/>
              <w:rPr>
                <w:sz w:val="18"/>
                <w:szCs w:val="18"/>
              </w:rPr>
            </w:pPr>
            <w:r w:rsidRPr="008F03E5">
              <w:rPr>
                <w:sz w:val="18"/>
                <w:szCs w:val="18"/>
              </w:rPr>
              <w:t>z</w:t>
            </w:r>
          </w:p>
        </w:tc>
        <w:tc>
          <w:tcPr>
            <w:tcW w:w="808" w:type="dxa"/>
            <w:tcBorders>
              <w:top w:val="nil"/>
              <w:right w:val="single" w:sz="4" w:space="0" w:color="auto"/>
            </w:tcBorders>
            <w:vAlign w:val="center"/>
          </w:tcPr>
          <w:p w14:paraId="5F5FB3F2" w14:textId="77777777" w:rsidR="00D9744C" w:rsidRPr="008F03E5" w:rsidRDefault="00D9744C" w:rsidP="00B32D10">
            <w:pPr>
              <w:spacing w:after="20"/>
              <w:jc w:val="center"/>
              <w:rPr>
                <w:sz w:val="18"/>
                <w:szCs w:val="18"/>
              </w:rPr>
            </w:pPr>
            <w:r w:rsidRPr="008F03E5">
              <w:rPr>
                <w:sz w:val="18"/>
                <w:szCs w:val="18"/>
              </w:rPr>
              <w:t>z</w:t>
            </w:r>
          </w:p>
        </w:tc>
        <w:tc>
          <w:tcPr>
            <w:tcW w:w="794" w:type="dxa"/>
            <w:tcBorders>
              <w:top w:val="nil"/>
              <w:left w:val="single" w:sz="4" w:space="0" w:color="auto"/>
              <w:right w:val="single" w:sz="4" w:space="0" w:color="auto"/>
            </w:tcBorders>
            <w:vAlign w:val="center"/>
          </w:tcPr>
          <w:p w14:paraId="7587432C" w14:textId="77777777" w:rsidR="00D9744C" w:rsidRPr="008F03E5" w:rsidRDefault="00D9744C" w:rsidP="008868D2">
            <w:pPr>
              <w:spacing w:after="20"/>
              <w:jc w:val="center"/>
              <w:rPr>
                <w:b/>
                <w:bCs/>
                <w:sz w:val="18"/>
                <w:szCs w:val="18"/>
                <w:u w:val="single"/>
              </w:rPr>
            </w:pPr>
            <w:r w:rsidRPr="008F03E5">
              <w:rPr>
                <w:sz w:val="18"/>
                <w:szCs w:val="18"/>
                <w:u w:val="single"/>
              </w:rPr>
              <w:t>dh</w:t>
            </w:r>
          </w:p>
        </w:tc>
        <w:tc>
          <w:tcPr>
            <w:tcW w:w="1077" w:type="dxa"/>
            <w:tcBorders>
              <w:top w:val="nil"/>
              <w:left w:val="single" w:sz="4" w:space="0" w:color="auto"/>
            </w:tcBorders>
            <w:vAlign w:val="center"/>
          </w:tcPr>
          <w:p w14:paraId="6128DD47" w14:textId="77777777" w:rsidR="00D9744C" w:rsidRPr="008F03E5" w:rsidRDefault="00D9744C" w:rsidP="00B32D10">
            <w:pPr>
              <w:spacing w:after="20"/>
              <w:jc w:val="center"/>
              <w:rPr>
                <w:sz w:val="18"/>
                <w:szCs w:val="18"/>
              </w:rPr>
            </w:pPr>
            <w:r w:rsidRPr="008F03E5">
              <w:rPr>
                <w:sz w:val="18"/>
                <w:szCs w:val="18"/>
              </w:rPr>
              <w:t>dh</w:t>
            </w:r>
          </w:p>
        </w:tc>
      </w:tr>
    </w:tbl>
    <w:p w14:paraId="48A1EDB1" w14:textId="0E8986EC" w:rsidR="00AB426C" w:rsidRPr="008F03E5" w:rsidRDefault="00AB426C" w:rsidP="00E11C3A">
      <w:pPr>
        <w:pStyle w:val="Myhead"/>
      </w:pPr>
      <w:bookmarkStart w:id="23" w:name="_Toc149326088"/>
      <w:r w:rsidRPr="008F03E5">
        <w:t>Phonetic or common spelling</w:t>
      </w:r>
      <w:bookmarkEnd w:id="23"/>
      <w:r w:rsidR="00BB58C6" w:rsidRPr="00BB58C6">
        <w:rPr>
          <w:b w:val="0"/>
          <w:sz w:val="12"/>
        </w:rPr>
        <w:fldChar w:fldCharType="begin"/>
      </w:r>
      <w:r w:rsidR="00BB58C6" w:rsidRPr="00BB58C6">
        <w:rPr>
          <w:b w:val="0"/>
          <w:sz w:val="12"/>
        </w:rPr>
        <w:instrText xml:space="preserve"> TC “</w:instrText>
      </w:r>
      <w:bookmarkStart w:id="24" w:name="_Toc149476376"/>
      <w:bookmarkStart w:id="25" w:name="_Toc167691868"/>
      <w:r w:rsidR="00BB58C6" w:rsidRPr="00BB58C6">
        <w:rPr>
          <w:b w:val="0"/>
          <w:sz w:val="12"/>
        </w:rPr>
        <w:instrText>Phonetic or common spelling</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24"/>
      <w:bookmarkEnd w:id="25"/>
      <w:r w:rsidR="00BB58C6" w:rsidRPr="00BB58C6">
        <w:rPr>
          <w:b w:val="0"/>
          <w:sz w:val="12"/>
        </w:rPr>
        <w:instrText>” \l 1</w:instrText>
      </w:r>
      <w:r w:rsidR="00BB58C6" w:rsidRPr="00BB58C6">
        <w:rPr>
          <w:b w:val="0"/>
          <w:sz w:val="12"/>
        </w:rPr>
        <w:fldChar w:fldCharType="end"/>
      </w:r>
    </w:p>
    <w:p w14:paraId="0728873B" w14:textId="2E80F038" w:rsidR="00AB426C" w:rsidRPr="008F03E5" w:rsidRDefault="0086382F" w:rsidP="00FA4602">
      <w:pPr>
        <w:pStyle w:val="Text"/>
      </w:pPr>
      <w:r w:rsidRPr="008F03E5">
        <w:t>W</w:t>
      </w:r>
      <w:r w:rsidR="00AB426C" w:rsidRPr="008F03E5">
        <w:t xml:space="preserve">ords in brackets in the third column </w:t>
      </w:r>
      <w:r w:rsidRPr="008F03E5">
        <w:t xml:space="preserve">may </w:t>
      </w:r>
      <w:r w:rsidR="00AB426C" w:rsidRPr="008F03E5">
        <w:t>indicate an old-style phonetical spelling found in some older publications</w:t>
      </w:r>
      <w:r w:rsidRPr="008F03E5">
        <w:t>.  Others are variations of place names found in books or on maps—these can be useful to determine correct transcription or to locate the places when searching Google maps</w:t>
      </w:r>
      <w:r w:rsidR="00AB426C" w:rsidRPr="008F03E5">
        <w:t>.</w:t>
      </w:r>
      <w:r w:rsidR="00EA1C91" w:rsidRPr="008F03E5">
        <w:t xml:space="preserve">  Emphasis is given to what is described as Modern Standard Arabic.</w:t>
      </w:r>
    </w:p>
    <w:p w14:paraId="38D89370" w14:textId="12BDF9B1" w:rsidR="00356D76" w:rsidRPr="008F03E5" w:rsidRDefault="00787E3E" w:rsidP="00787E3E">
      <w:pPr>
        <w:pStyle w:val="Myheadc"/>
      </w:pPr>
      <w:r w:rsidRPr="008F03E5">
        <w:t>Glossary and Roman t</w:t>
      </w:r>
      <w:r w:rsidR="0079769B" w:rsidRPr="008F03E5">
        <w:t>ranscripted</w:t>
      </w:r>
      <w:r w:rsidR="00D30688" w:rsidRPr="008F03E5">
        <w:t xml:space="preserve"> </w:t>
      </w:r>
      <w:r w:rsidR="00356D76" w:rsidRPr="008F03E5">
        <w:t>forms</w:t>
      </w:r>
      <w:r w:rsidR="00D30688" w:rsidRPr="008F03E5">
        <w:t xml:space="preserve"> </w:t>
      </w:r>
      <w:r w:rsidR="00356D76" w:rsidRPr="008F03E5">
        <w:t>of</w:t>
      </w:r>
      <w:r w:rsidR="00D30688" w:rsidRPr="008F03E5">
        <w:t xml:space="preserve"> </w:t>
      </w:r>
      <w:r w:rsidR="00356D76" w:rsidRPr="008F03E5">
        <w:t>Arabic</w:t>
      </w:r>
      <w:r w:rsidRPr="008F03E5">
        <w:t xml:space="preserve"> &amp; Persian</w:t>
      </w:r>
      <w:r w:rsidR="00D30688" w:rsidRPr="008F03E5">
        <w:t xml:space="preserve"> </w:t>
      </w:r>
      <w:r w:rsidRPr="008F03E5">
        <w:t>terms</w:t>
      </w:r>
      <w:r w:rsidR="003F700B" w:rsidRPr="003F700B">
        <w:rPr>
          <w:sz w:val="12"/>
        </w:rPr>
        <w:fldChar w:fldCharType="begin"/>
      </w:r>
      <w:r w:rsidR="003F700B" w:rsidRPr="003F700B">
        <w:rPr>
          <w:sz w:val="12"/>
        </w:rPr>
        <w:instrText xml:space="preserve"> TC “</w:instrText>
      </w:r>
      <w:bookmarkStart w:id="26" w:name="_Toc167691869"/>
      <w:r w:rsidR="003F700B" w:rsidRPr="003F700B">
        <w:rPr>
          <w:sz w:val="12"/>
        </w:rPr>
        <w:instrText>Alphabetical list</w:instrText>
      </w:r>
      <w:r w:rsidR="003F700B" w:rsidRPr="003F700B">
        <w:rPr>
          <w:color w:val="FFFFFF" w:themeColor="background1"/>
          <w:sz w:val="12"/>
        </w:rPr>
        <w:instrText>..</w:instrText>
      </w:r>
      <w:r w:rsidR="003F700B" w:rsidRPr="003F700B">
        <w:rPr>
          <w:sz w:val="12"/>
        </w:rPr>
        <w:tab/>
      </w:r>
      <w:r w:rsidR="003F700B" w:rsidRPr="003F700B">
        <w:rPr>
          <w:color w:val="FFFFFF" w:themeColor="background1"/>
          <w:sz w:val="12"/>
        </w:rPr>
        <w:instrText>.</w:instrText>
      </w:r>
      <w:bookmarkEnd w:id="26"/>
      <w:r w:rsidR="003F700B" w:rsidRPr="003F700B">
        <w:rPr>
          <w:sz w:val="12"/>
        </w:rPr>
        <w:instrText>” \l 3</w:instrText>
      </w:r>
      <w:r w:rsidR="003F700B" w:rsidRPr="003F700B">
        <w:rPr>
          <w:sz w:val="12"/>
        </w:rPr>
        <w:fldChar w:fldCharType="end"/>
      </w:r>
    </w:p>
    <w:p w14:paraId="679D0195" w14:textId="77777777" w:rsidR="00356D76" w:rsidRPr="008F03E5" w:rsidRDefault="0079769B" w:rsidP="00787E3E">
      <w:pPr>
        <w:tabs>
          <w:tab w:val="left" w:pos="3261"/>
          <w:tab w:val="left" w:pos="6521"/>
        </w:tabs>
        <w:spacing w:before="60"/>
        <w:rPr>
          <w:b/>
          <w:bCs/>
          <w:i/>
          <w:iCs/>
        </w:rPr>
      </w:pPr>
      <w:r w:rsidRPr="008F03E5">
        <w:rPr>
          <w:b/>
          <w:bCs/>
          <w:i/>
          <w:iCs/>
        </w:rPr>
        <w:t>Plain text</w:t>
      </w:r>
      <w:r w:rsidR="00356D76" w:rsidRPr="008F03E5">
        <w:rPr>
          <w:b/>
          <w:bCs/>
          <w:i/>
          <w:iCs/>
        </w:rPr>
        <w:tab/>
        <w:t>Trans</w:t>
      </w:r>
      <w:r w:rsidR="00C31478" w:rsidRPr="008F03E5">
        <w:rPr>
          <w:b/>
          <w:bCs/>
          <w:i/>
          <w:iCs/>
        </w:rPr>
        <w:t>crip</w:t>
      </w:r>
      <w:r w:rsidR="008305E6" w:rsidRPr="008F03E5">
        <w:rPr>
          <w:b/>
          <w:bCs/>
          <w:i/>
          <w:iCs/>
        </w:rPr>
        <w:t>ted</w:t>
      </w:r>
      <w:r w:rsidR="00D30688" w:rsidRPr="008F03E5">
        <w:rPr>
          <w:b/>
          <w:bCs/>
          <w:i/>
          <w:iCs/>
        </w:rPr>
        <w:t xml:space="preserve"> </w:t>
      </w:r>
      <w:r w:rsidRPr="008F03E5">
        <w:rPr>
          <w:b/>
          <w:bCs/>
          <w:i/>
          <w:iCs/>
        </w:rPr>
        <w:t>text</w:t>
      </w:r>
      <w:r w:rsidR="00356D76" w:rsidRPr="008F03E5">
        <w:rPr>
          <w:b/>
          <w:bCs/>
          <w:i/>
          <w:iCs/>
        </w:rPr>
        <w:tab/>
      </w:r>
      <w:r w:rsidRPr="008F03E5">
        <w:rPr>
          <w:b/>
          <w:bCs/>
          <w:i/>
          <w:iCs/>
        </w:rPr>
        <w:t>Word meanings</w:t>
      </w:r>
      <w:r w:rsidR="00D30688" w:rsidRPr="008F03E5">
        <w:rPr>
          <w:b/>
          <w:bCs/>
          <w:i/>
          <w:iCs/>
        </w:rPr>
        <w:t xml:space="preserve"> </w:t>
      </w:r>
      <w:r w:rsidR="008B452B" w:rsidRPr="008F03E5">
        <w:rPr>
          <w:b/>
          <w:bCs/>
          <w:i/>
          <w:iCs/>
        </w:rPr>
        <w:t>&amp;</w:t>
      </w:r>
      <w:r w:rsidR="00D30688" w:rsidRPr="008F03E5">
        <w:rPr>
          <w:b/>
          <w:bCs/>
          <w:i/>
          <w:iCs/>
        </w:rPr>
        <w:t xml:space="preserve"> </w:t>
      </w:r>
      <w:r w:rsidR="00356D76" w:rsidRPr="008F03E5">
        <w:rPr>
          <w:b/>
          <w:bCs/>
          <w:i/>
          <w:iCs/>
        </w:rPr>
        <w:t>comments</w:t>
      </w:r>
    </w:p>
    <w:p w14:paraId="582ACA95" w14:textId="2B214007" w:rsidR="00ED275C" w:rsidRPr="008F03E5" w:rsidRDefault="00ED275C" w:rsidP="00E11C3A">
      <w:pPr>
        <w:pStyle w:val="Myhead"/>
      </w:pPr>
      <w:bookmarkStart w:id="27" w:name="_Toc105592685"/>
      <w:bookmarkStart w:id="28" w:name="_Toc149326089"/>
      <w:r w:rsidRPr="008F03E5">
        <w:t>Prefixes, suffixes and links</w:t>
      </w:r>
      <w:bookmarkEnd w:id="27"/>
      <w:bookmarkEnd w:id="28"/>
      <w:r w:rsidR="00BB58C6" w:rsidRPr="00BB58C6">
        <w:rPr>
          <w:b w:val="0"/>
          <w:sz w:val="12"/>
        </w:rPr>
        <w:fldChar w:fldCharType="begin"/>
      </w:r>
      <w:r w:rsidR="00BB58C6" w:rsidRPr="00BB58C6">
        <w:rPr>
          <w:b w:val="0"/>
          <w:sz w:val="12"/>
        </w:rPr>
        <w:instrText xml:space="preserve"> TC “</w:instrText>
      </w:r>
      <w:bookmarkStart w:id="29" w:name="_Toc149476377"/>
      <w:bookmarkStart w:id="30" w:name="_Toc167691870"/>
      <w:r w:rsidR="00BB58C6" w:rsidRPr="00BB58C6">
        <w:rPr>
          <w:b w:val="0"/>
          <w:sz w:val="12"/>
        </w:rPr>
        <w:instrText>Prefixes, suffixes and links</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29"/>
      <w:bookmarkEnd w:id="30"/>
      <w:r w:rsidR="00BB58C6" w:rsidRPr="00BB58C6">
        <w:rPr>
          <w:b w:val="0"/>
          <w:sz w:val="12"/>
        </w:rPr>
        <w:instrText>” \l 1</w:instrText>
      </w:r>
      <w:r w:rsidR="00BB58C6" w:rsidRPr="00BB58C6">
        <w:rPr>
          <w:b w:val="0"/>
          <w:sz w:val="12"/>
        </w:rPr>
        <w:fldChar w:fldCharType="end"/>
      </w:r>
    </w:p>
    <w:p w14:paraId="157B6115" w14:textId="71C44F75" w:rsidR="00E11C3A" w:rsidRPr="008F03E5" w:rsidRDefault="00E11C3A" w:rsidP="00E11C3A">
      <w:pPr>
        <w:pStyle w:val="Myhead3"/>
        <w:rPr>
          <w:lang w:val="en-GB"/>
        </w:rPr>
      </w:pPr>
      <w:r w:rsidRPr="008F03E5">
        <w:rPr>
          <w:lang w:val="en-GB"/>
        </w:rPr>
        <w:t>Links</w:t>
      </w:r>
      <w:r w:rsidR="00BB58C6" w:rsidRPr="00BB58C6">
        <w:rPr>
          <w:b w:val="0"/>
          <w:bCs/>
          <w:i w:val="0"/>
          <w:iCs/>
          <w:sz w:val="12"/>
        </w:rPr>
        <w:fldChar w:fldCharType="begin"/>
      </w:r>
      <w:r w:rsidR="00BB58C6" w:rsidRPr="00BB58C6">
        <w:rPr>
          <w:b w:val="0"/>
          <w:bCs/>
          <w:i w:val="0"/>
          <w:iCs/>
          <w:sz w:val="12"/>
        </w:rPr>
        <w:instrText xml:space="preserve"> TC </w:instrText>
      </w:r>
      <w:r w:rsidR="00BB58C6" w:rsidRPr="001D71EE">
        <w:rPr>
          <w:b w:val="0"/>
          <w:bCs/>
          <w:sz w:val="12"/>
        </w:rPr>
        <w:instrText>“</w:instrText>
      </w:r>
      <w:bookmarkStart w:id="31" w:name="_Toc149476378"/>
      <w:bookmarkStart w:id="32" w:name="_Toc167691871"/>
      <w:r w:rsidR="00BB58C6" w:rsidRPr="001D71EE">
        <w:rPr>
          <w:b w:val="0"/>
          <w:bCs/>
          <w:sz w:val="12"/>
        </w:rPr>
        <w:instrText>Links</w:instrText>
      </w:r>
      <w:r w:rsidR="00BB58C6" w:rsidRPr="001D71EE">
        <w:rPr>
          <w:b w:val="0"/>
          <w:bCs/>
          <w:color w:val="FFFFFF" w:themeColor="background1"/>
          <w:sz w:val="12"/>
        </w:rPr>
        <w:instrText>..</w:instrText>
      </w:r>
      <w:r w:rsidR="00BB58C6" w:rsidRPr="001D71EE">
        <w:rPr>
          <w:b w:val="0"/>
          <w:bCs/>
          <w:sz w:val="12"/>
        </w:rPr>
        <w:tab/>
      </w:r>
      <w:r w:rsidR="00BB58C6" w:rsidRPr="001D71EE">
        <w:rPr>
          <w:b w:val="0"/>
          <w:bCs/>
          <w:color w:val="FFFFFF" w:themeColor="background1"/>
          <w:sz w:val="12"/>
        </w:rPr>
        <w:instrText>.</w:instrText>
      </w:r>
      <w:bookmarkEnd w:id="31"/>
      <w:bookmarkEnd w:id="32"/>
      <w:r w:rsidR="00BB58C6" w:rsidRPr="001D71EE">
        <w:rPr>
          <w:b w:val="0"/>
          <w:bCs/>
          <w:sz w:val="12"/>
        </w:rPr>
        <w:instrText>”</w:instrText>
      </w:r>
      <w:r w:rsidR="00BB58C6" w:rsidRPr="00BB58C6">
        <w:rPr>
          <w:b w:val="0"/>
          <w:bCs/>
          <w:i w:val="0"/>
          <w:iCs/>
          <w:sz w:val="12"/>
        </w:rPr>
        <w:instrText xml:space="preserve"> \l 2</w:instrText>
      </w:r>
      <w:r w:rsidR="00BB58C6" w:rsidRPr="00BB58C6">
        <w:rPr>
          <w:b w:val="0"/>
          <w:bCs/>
          <w:i w:val="0"/>
          <w:iCs/>
          <w:sz w:val="12"/>
        </w:rPr>
        <w:fldChar w:fldCharType="end"/>
      </w:r>
    </w:p>
    <w:p w14:paraId="39482684" w14:textId="77777777" w:rsidR="00E11C3A" w:rsidRPr="008F03E5" w:rsidRDefault="00E11C3A" w:rsidP="00E11C3A">
      <w:pPr>
        <w:pStyle w:val="Translit"/>
      </w:pPr>
      <w:r w:rsidRPr="008F03E5">
        <w:t>-i-, y-i- (-e, -yi-, y-e, -ye, -i)</w:t>
      </w:r>
      <w:r w:rsidRPr="008F03E5">
        <w:tab/>
        <w:t>-i-, y-i-</w:t>
      </w:r>
      <w:r w:rsidRPr="008F03E5">
        <w:tab/>
        <w:t>Persian (iḍáfa) -i- (“-e”) sound inserted in pronunciation (not represented in Persian script) at the end of one word to indicate that the following word stands in a possessive or adjectival relation to it; equivalent to “of” in English.  If the noun ends in a long vowel (not a “y”) or a silent h, the link y-i- (“y-e-”) is used, e.g. Á</w:t>
      </w:r>
      <w:r w:rsidRPr="008F03E5">
        <w:rPr>
          <w:u w:val="single"/>
        </w:rPr>
        <w:t>gh</w:t>
      </w:r>
      <w:r w:rsidRPr="008F03E5">
        <w:t>áy-i-Karand (formal) and Á</w:t>
      </w:r>
      <w:r w:rsidRPr="008F03E5">
        <w:rPr>
          <w:u w:val="single"/>
        </w:rPr>
        <w:t>gh</w:t>
      </w:r>
      <w:r w:rsidRPr="008F03E5">
        <w:t>á Karand (informal).  See iḍáfa entry.</w:t>
      </w:r>
    </w:p>
    <w:p w14:paraId="7CAA97AF" w14:textId="7D8F503E" w:rsidR="00ED275C" w:rsidRPr="008F03E5" w:rsidRDefault="00ED275C" w:rsidP="00C5132F">
      <w:pPr>
        <w:pStyle w:val="Myhead3"/>
        <w:rPr>
          <w:lang w:val="en-GB"/>
        </w:rPr>
      </w:pPr>
      <w:r w:rsidRPr="008F03E5">
        <w:rPr>
          <w:lang w:val="en-GB"/>
        </w:rPr>
        <w:t>Prefixes</w:t>
      </w:r>
      <w:r w:rsidR="00BB58C6" w:rsidRPr="00BB58C6">
        <w:rPr>
          <w:b w:val="0"/>
          <w:bCs/>
          <w:i w:val="0"/>
          <w:iCs/>
          <w:sz w:val="12"/>
        </w:rPr>
        <w:fldChar w:fldCharType="begin"/>
      </w:r>
      <w:r w:rsidR="00BB58C6" w:rsidRPr="00BB58C6">
        <w:rPr>
          <w:b w:val="0"/>
          <w:bCs/>
          <w:i w:val="0"/>
          <w:iCs/>
          <w:sz w:val="12"/>
        </w:rPr>
        <w:instrText xml:space="preserve"> TC </w:instrText>
      </w:r>
      <w:r w:rsidR="00BB58C6" w:rsidRPr="001D71EE">
        <w:rPr>
          <w:b w:val="0"/>
          <w:bCs/>
          <w:sz w:val="12"/>
        </w:rPr>
        <w:instrText>“</w:instrText>
      </w:r>
      <w:bookmarkStart w:id="33" w:name="_Toc149476379"/>
      <w:bookmarkStart w:id="34" w:name="_Toc167691872"/>
      <w:r w:rsidR="00BB58C6" w:rsidRPr="001D71EE">
        <w:rPr>
          <w:b w:val="0"/>
          <w:bCs/>
          <w:sz w:val="12"/>
        </w:rPr>
        <w:instrText>Prefixes</w:instrText>
      </w:r>
      <w:r w:rsidR="00BB58C6" w:rsidRPr="001D71EE">
        <w:rPr>
          <w:b w:val="0"/>
          <w:bCs/>
          <w:color w:val="FFFFFF" w:themeColor="background1"/>
          <w:sz w:val="12"/>
        </w:rPr>
        <w:instrText>..</w:instrText>
      </w:r>
      <w:r w:rsidR="00BB58C6" w:rsidRPr="001D71EE">
        <w:rPr>
          <w:b w:val="0"/>
          <w:bCs/>
          <w:sz w:val="12"/>
        </w:rPr>
        <w:tab/>
      </w:r>
      <w:r w:rsidR="00BB58C6" w:rsidRPr="001D71EE">
        <w:rPr>
          <w:b w:val="0"/>
          <w:bCs/>
          <w:color w:val="FFFFFF" w:themeColor="background1"/>
          <w:sz w:val="12"/>
        </w:rPr>
        <w:instrText>.</w:instrText>
      </w:r>
      <w:bookmarkEnd w:id="33"/>
      <w:bookmarkEnd w:id="34"/>
      <w:r w:rsidR="00BB58C6" w:rsidRPr="001D71EE">
        <w:rPr>
          <w:b w:val="0"/>
          <w:bCs/>
          <w:sz w:val="12"/>
        </w:rPr>
        <w:instrText>”</w:instrText>
      </w:r>
      <w:r w:rsidR="00BB58C6" w:rsidRPr="00BB58C6">
        <w:rPr>
          <w:b w:val="0"/>
          <w:bCs/>
          <w:i w:val="0"/>
          <w:iCs/>
          <w:sz w:val="12"/>
        </w:rPr>
        <w:instrText xml:space="preserve"> \l 2</w:instrText>
      </w:r>
      <w:r w:rsidR="00BB58C6" w:rsidRPr="00BB58C6">
        <w:rPr>
          <w:b w:val="0"/>
          <w:bCs/>
          <w:i w:val="0"/>
          <w:iCs/>
          <w:sz w:val="12"/>
        </w:rPr>
        <w:fldChar w:fldCharType="end"/>
      </w:r>
    </w:p>
    <w:p w14:paraId="378A0172" w14:textId="77777777" w:rsidR="00ED275C" w:rsidRPr="008F03E5" w:rsidRDefault="00ED275C" w:rsidP="00ED275C">
      <w:pPr>
        <w:pStyle w:val="Translit"/>
      </w:pPr>
      <w:r w:rsidRPr="008F03E5">
        <w:t>Ma-</w:t>
      </w:r>
      <w:r w:rsidRPr="008F03E5">
        <w:tab/>
        <w:t>Ma-</w:t>
      </w:r>
      <w:r w:rsidRPr="008F03E5">
        <w:tab/>
        <w:t xml:space="preserve">prefix creating nouns of place.  e.g. </w:t>
      </w:r>
      <w:r w:rsidRPr="008F03E5">
        <w:rPr>
          <w:u w:val="single"/>
        </w:rPr>
        <w:t>kh</w:t>
      </w:r>
      <w:r w:rsidRPr="008F03E5">
        <w:t xml:space="preserve">ubz, “bread” → </w:t>
      </w:r>
      <w:r w:rsidRPr="008F03E5">
        <w:rPr>
          <w:cs/>
        </w:rPr>
        <w:t>‎</w:t>
      </w:r>
      <w:r w:rsidRPr="008F03E5">
        <w:t>ma</w:t>
      </w:r>
      <w:r w:rsidRPr="008F03E5">
        <w:rPr>
          <w:u w:val="single"/>
        </w:rPr>
        <w:t>kh</w:t>
      </w:r>
      <w:r w:rsidRPr="008F03E5">
        <w:t xml:space="preserve">baz, “bakery”; </w:t>
      </w:r>
      <w:r w:rsidRPr="008F03E5">
        <w:rPr>
          <w:cs/>
        </w:rPr>
        <w:t>‎</w:t>
      </w:r>
      <w:r w:rsidRPr="008F03E5">
        <w:t>daras, “to study” → madrasah, “school”.</w:t>
      </w:r>
    </w:p>
    <w:p w14:paraId="44664968" w14:textId="77777777" w:rsidR="00ED275C" w:rsidRPr="008F03E5" w:rsidRDefault="00ED275C" w:rsidP="00ED275C">
      <w:pPr>
        <w:pStyle w:val="Translit"/>
      </w:pPr>
      <w:r w:rsidRPr="008F03E5">
        <w:t>Mi-</w:t>
      </w:r>
      <w:r w:rsidRPr="008F03E5">
        <w:tab/>
        <w:t>Mi</w:t>
      </w:r>
      <w:r w:rsidRPr="008F03E5">
        <w:tab/>
        <w:t>prefix used to create instrument nouns.  e.g. fataḥ, “to open” → miftáḥ, “key (instrument for opening)”; wazan, “to weigh” → mízán, “scales (instrument of weighing)”.</w:t>
      </w:r>
    </w:p>
    <w:p w14:paraId="231AF034" w14:textId="77777777" w:rsidR="00ED275C" w:rsidRPr="008F03E5" w:rsidRDefault="00ED275C" w:rsidP="00ED275C">
      <w:pPr>
        <w:pStyle w:val="Translit"/>
      </w:pPr>
      <w:r w:rsidRPr="008F03E5">
        <w:t>Mu-</w:t>
      </w:r>
      <w:r w:rsidRPr="008F03E5">
        <w:tab/>
        <w:t>Mu-</w:t>
      </w:r>
      <w:r w:rsidRPr="008F03E5">
        <w:tab/>
        <w:t xml:space="preserve">as pronoun prefix for Forms </w:t>
      </w:r>
      <w:r w:rsidRPr="008F03E5">
        <w:rPr>
          <w:sz w:val="16"/>
          <w:szCs w:val="16"/>
        </w:rPr>
        <w:t>II</w:t>
      </w:r>
      <w:r w:rsidRPr="008F03E5">
        <w:t xml:space="preserve"> and above—he who or those who.  e.g. </w:t>
      </w:r>
      <w:r w:rsidRPr="008F03E5">
        <w:rPr>
          <w:rFonts w:eastAsia="Times New Roman"/>
        </w:rPr>
        <w:t>ḥamd, “praise”</w:t>
      </w:r>
      <w:r w:rsidRPr="008F03E5">
        <w:t xml:space="preserve"> → Muḥammad, “someone who prays”.</w:t>
      </w:r>
    </w:p>
    <w:p w14:paraId="6546BEBE" w14:textId="2CA96F80" w:rsidR="00ED275C" w:rsidRPr="008F03E5" w:rsidRDefault="00ED275C" w:rsidP="00DD0863">
      <w:pPr>
        <w:pStyle w:val="Myhead3"/>
        <w:rPr>
          <w:lang w:val="en-GB"/>
        </w:rPr>
      </w:pPr>
      <w:r w:rsidRPr="008F03E5">
        <w:rPr>
          <w:lang w:val="en-GB"/>
        </w:rPr>
        <w:t>Suffixes</w:t>
      </w:r>
      <w:r w:rsidR="00BB58C6" w:rsidRPr="00BB58C6">
        <w:rPr>
          <w:b w:val="0"/>
          <w:bCs/>
          <w:i w:val="0"/>
          <w:iCs/>
          <w:sz w:val="12"/>
        </w:rPr>
        <w:fldChar w:fldCharType="begin"/>
      </w:r>
      <w:r w:rsidR="00BB58C6" w:rsidRPr="00BB58C6">
        <w:rPr>
          <w:b w:val="0"/>
          <w:bCs/>
          <w:i w:val="0"/>
          <w:iCs/>
          <w:sz w:val="12"/>
        </w:rPr>
        <w:instrText xml:space="preserve"> TC </w:instrText>
      </w:r>
      <w:r w:rsidR="00BB58C6" w:rsidRPr="001D71EE">
        <w:rPr>
          <w:b w:val="0"/>
          <w:bCs/>
          <w:sz w:val="12"/>
        </w:rPr>
        <w:instrText>“</w:instrText>
      </w:r>
      <w:bookmarkStart w:id="35" w:name="_Toc149476380"/>
      <w:bookmarkStart w:id="36" w:name="_Toc167691873"/>
      <w:r w:rsidR="00BB58C6" w:rsidRPr="001D71EE">
        <w:rPr>
          <w:b w:val="0"/>
          <w:bCs/>
          <w:sz w:val="12"/>
        </w:rPr>
        <w:instrText>Suffixes</w:instrText>
      </w:r>
      <w:r w:rsidR="00BB58C6" w:rsidRPr="001D71EE">
        <w:rPr>
          <w:b w:val="0"/>
          <w:bCs/>
          <w:color w:val="FFFFFF" w:themeColor="background1"/>
          <w:sz w:val="12"/>
        </w:rPr>
        <w:instrText>..</w:instrText>
      </w:r>
      <w:r w:rsidR="00BB58C6" w:rsidRPr="001D71EE">
        <w:rPr>
          <w:b w:val="0"/>
          <w:bCs/>
          <w:sz w:val="12"/>
        </w:rPr>
        <w:tab/>
      </w:r>
      <w:r w:rsidR="00BB58C6" w:rsidRPr="001D71EE">
        <w:rPr>
          <w:b w:val="0"/>
          <w:bCs/>
          <w:color w:val="FFFFFF" w:themeColor="background1"/>
          <w:sz w:val="12"/>
        </w:rPr>
        <w:instrText>.</w:instrText>
      </w:r>
      <w:bookmarkEnd w:id="35"/>
      <w:bookmarkEnd w:id="36"/>
      <w:r w:rsidR="00BB58C6" w:rsidRPr="001D71EE">
        <w:rPr>
          <w:b w:val="0"/>
          <w:bCs/>
          <w:sz w:val="12"/>
        </w:rPr>
        <w:instrText>”</w:instrText>
      </w:r>
      <w:r w:rsidR="00BB58C6" w:rsidRPr="00BB58C6">
        <w:rPr>
          <w:b w:val="0"/>
          <w:bCs/>
          <w:i w:val="0"/>
          <w:iCs/>
          <w:sz w:val="12"/>
        </w:rPr>
        <w:instrText xml:space="preserve"> \l 2</w:instrText>
      </w:r>
      <w:r w:rsidR="00BB58C6" w:rsidRPr="00BB58C6">
        <w:rPr>
          <w:b w:val="0"/>
          <w:bCs/>
          <w:i w:val="0"/>
          <w:iCs/>
          <w:sz w:val="12"/>
        </w:rPr>
        <w:fldChar w:fldCharType="end"/>
      </w:r>
    </w:p>
    <w:p w14:paraId="66105ACF" w14:textId="77777777" w:rsidR="00ED275C" w:rsidRPr="008F03E5" w:rsidRDefault="00ED275C" w:rsidP="00ED275C">
      <w:pPr>
        <w:pStyle w:val="Translit"/>
      </w:pPr>
      <w:r w:rsidRPr="008F03E5">
        <w:t>dan</w:t>
      </w:r>
      <w:r w:rsidRPr="008F03E5">
        <w:tab/>
        <w:t>-dán</w:t>
      </w:r>
      <w:r w:rsidRPr="008F03E5">
        <w:tab/>
        <w:t>Pers. (suffix and prefix) denoting what holds or contains anything (i.e. container/box); know thou; (in compound) knowing, intelligent.</w:t>
      </w:r>
    </w:p>
    <w:p w14:paraId="5CFFBA22" w14:textId="3E9247D0" w:rsidR="0062777D" w:rsidRPr="008F03E5" w:rsidRDefault="0062777D" w:rsidP="00A0330F">
      <w:pPr>
        <w:pStyle w:val="Translit"/>
      </w:pPr>
      <w:r w:rsidRPr="008F03E5">
        <w:t>ha</w:t>
      </w:r>
      <w:r w:rsidRPr="008F03E5">
        <w:tab/>
        <w:t>“-há”</w:t>
      </w:r>
      <w:r w:rsidRPr="008F03E5">
        <w:tab/>
        <w:t xml:space="preserve">Pers. most common form of pluralization for Persian nouns.  See </w:t>
      </w:r>
      <w:r w:rsidR="00A0330F" w:rsidRPr="008F03E5">
        <w:t xml:space="preserve">above Persian section under </w:t>
      </w:r>
      <w:r w:rsidRPr="008F03E5">
        <w:t>Plural</w:t>
      </w:r>
      <w:r w:rsidR="00A0330F" w:rsidRPr="008F03E5">
        <w:t>s heading</w:t>
      </w:r>
      <w:r w:rsidRPr="008F03E5">
        <w:t>.</w:t>
      </w:r>
    </w:p>
    <w:p w14:paraId="1C78A499" w14:textId="6756C8D9" w:rsidR="00ED275C" w:rsidRPr="008F03E5" w:rsidRDefault="00ED275C" w:rsidP="00ED275C">
      <w:pPr>
        <w:pStyle w:val="Translit"/>
      </w:pPr>
      <w:r w:rsidRPr="008F03E5">
        <w:t>hood</w:t>
      </w:r>
      <w:r w:rsidRPr="008F03E5">
        <w:tab/>
        <w:t>-hood</w:t>
      </w:r>
      <w:r w:rsidRPr="008F03E5">
        <w:tab/>
        <w:t>1.  A condition or state of being the thing or being in the role denoted by the word it is suffixed to, usually a noun, e.g. childhood.  2.  A group sharing a specified condition or state, e.g. brotherhood</w:t>
      </w:r>
      <w:r w:rsidR="00673F30">
        <w:t>.</w:t>
      </w:r>
    </w:p>
    <w:p w14:paraId="5B4F3C8D" w14:textId="77777777" w:rsidR="00ED275C" w:rsidRPr="008F03E5" w:rsidRDefault="00ED275C" w:rsidP="00ED275C">
      <w:pPr>
        <w:pStyle w:val="Translit"/>
      </w:pPr>
      <w:r w:rsidRPr="008F03E5">
        <w:t>istan</w:t>
      </w:r>
      <w:r w:rsidRPr="008F03E5">
        <w:tab/>
        <w:t>-istán</w:t>
      </w:r>
      <w:r w:rsidRPr="008F03E5">
        <w:tab/>
        <w:t>home or place</w:t>
      </w:r>
    </w:p>
    <w:p w14:paraId="09D2C531" w14:textId="77777777" w:rsidR="00ED275C" w:rsidRPr="008F03E5" w:rsidRDefault="00ED275C" w:rsidP="00ED275C">
      <w:pPr>
        <w:pStyle w:val="Translit"/>
      </w:pPr>
      <w:r w:rsidRPr="008F03E5">
        <w:t>parast, -parastan</w:t>
      </w:r>
      <w:r w:rsidRPr="008F03E5">
        <w:tab/>
        <w:t>-parast, pl. -parastán</w:t>
      </w:r>
      <w:r w:rsidRPr="008F03E5">
        <w:tab/>
        <w:t>Pers. a non-joining suffix roughly equivalent to “ist”, frequently denoting a worshiper or follower of, but often with unpredictable meanings.  Example:  áti</w:t>
      </w:r>
      <w:r w:rsidRPr="008F03E5">
        <w:rPr>
          <w:u w:val="single"/>
        </w:rPr>
        <w:t>sh</w:t>
      </w:r>
      <w:r w:rsidRPr="008F03E5">
        <w:t>-parast, a fire-worshipper; a physician.</w:t>
      </w:r>
    </w:p>
    <w:p w14:paraId="75E3A5B7" w14:textId="2887F5DB" w:rsidR="00ED275C" w:rsidRPr="008F03E5" w:rsidRDefault="00ED275C" w:rsidP="00CB14D7">
      <w:pPr>
        <w:pStyle w:val="Translit"/>
      </w:pPr>
      <w:r w:rsidRPr="008F03E5">
        <w:t>ship</w:t>
      </w:r>
      <w:r w:rsidRPr="008F03E5">
        <w:tab/>
        <w:t>-ship</w:t>
      </w:r>
      <w:r w:rsidRPr="008F03E5">
        <w:tab/>
        <w:t>English suffix of nouns denoting condition, character, office, skill, etc.</w:t>
      </w:r>
    </w:p>
    <w:p w14:paraId="3959512C" w14:textId="77777777" w:rsidR="00ED275C" w:rsidRPr="008F03E5" w:rsidRDefault="00ED275C" w:rsidP="00ED275C">
      <w:pPr>
        <w:pStyle w:val="Translit"/>
      </w:pPr>
      <w:r w:rsidRPr="008F03E5">
        <w:t>stan</w:t>
      </w:r>
      <w:r w:rsidRPr="008F03E5">
        <w:tab/>
        <w:t>-stán</w:t>
      </w:r>
      <w:r w:rsidRPr="008F03E5">
        <w:tab/>
        <w:t>Pers. “place of” or “country”</w:t>
      </w:r>
    </w:p>
    <w:p w14:paraId="328BC9D8" w14:textId="77777777" w:rsidR="00ED275C" w:rsidRPr="008F03E5" w:rsidRDefault="00ED275C" w:rsidP="00ED275C">
      <w:pPr>
        <w:pStyle w:val="Translit"/>
      </w:pPr>
      <w:r w:rsidRPr="008F03E5">
        <w:t>un, an, in, át</w:t>
      </w:r>
      <w:r w:rsidRPr="008F03E5">
        <w:tab/>
        <w:t>-un, -an, -in; m. pl. -ún, -án, -ín; f. pl. -át</w:t>
      </w:r>
      <w:r w:rsidRPr="008F03E5">
        <w:tab/>
        <w:t>subjective/nominative, objective/accusative and possessive/genitive singular noun case endings (respectively) where they exist.  See i‘ráb.</w:t>
      </w:r>
    </w:p>
    <w:p w14:paraId="37CB3A89" w14:textId="382AB2C4" w:rsidR="00ED275C" w:rsidRPr="008F03E5" w:rsidRDefault="00ED275C" w:rsidP="00726DA6">
      <w:pPr>
        <w:pStyle w:val="Translit"/>
      </w:pPr>
      <w:r w:rsidRPr="008F03E5">
        <w:t>yy, yya (iya), yyih</w:t>
      </w:r>
      <w:r w:rsidRPr="008F03E5">
        <w:tab/>
        <w:t>-yy, fem. -yya[h or t], Pers. -yyih</w:t>
      </w:r>
      <w:r w:rsidRPr="008F03E5">
        <w:tab/>
      </w:r>
      <w:r w:rsidRPr="008F03E5">
        <w:rPr>
          <w:i/>
          <w:iCs/>
        </w:rPr>
        <w:t>nisba</w:t>
      </w:r>
      <w:r w:rsidRPr="008F03E5">
        <w:t xml:space="preserve">, a suffix used to form adjectives in Arabic grammar.  Sometimes íya is used.  Often </w:t>
      </w:r>
      <w:r w:rsidRPr="008F03E5">
        <w:rPr>
          <w:lang w:eastAsia="en-US"/>
        </w:rPr>
        <w:t xml:space="preserve">denotes either a group of people who follow a certain person, or a group with a certain ideological system.  </w:t>
      </w:r>
      <w:r w:rsidRPr="008F03E5">
        <w:t>The feminine nisbah is often used as a noun relating to concepts, most frequently to ones ending in “ism”, with the m. (</w:t>
      </w:r>
      <w:r w:rsidRPr="008F03E5">
        <w:rPr>
          <w:rtl/>
        </w:rPr>
        <w:t>ـِيّ</w:t>
      </w:r>
      <w:r w:rsidRPr="008F03E5">
        <w:t>) and fem. (</w:t>
      </w:r>
      <w:r w:rsidRPr="008F03E5">
        <w:rPr>
          <w:rtl/>
        </w:rPr>
        <w:t>ـِيَّة</w:t>
      </w:r>
      <w:r w:rsidRPr="008F03E5">
        <w:t>) nisbah being used as adjectival forms of the concept-noun (e.g. “ist”) depending on agreement.  Thus al-i</w:t>
      </w:r>
      <w:r w:rsidRPr="008F03E5">
        <w:rPr>
          <w:u w:val="single"/>
        </w:rPr>
        <w:t>sh</w:t>
      </w:r>
      <w:r w:rsidRPr="008F03E5">
        <w:t>tirákiyyah “socialism”, and i</w:t>
      </w:r>
      <w:r w:rsidRPr="008F03E5">
        <w:rPr>
          <w:u w:val="single"/>
        </w:rPr>
        <w:t>sh</w:t>
      </w:r>
      <w:r w:rsidRPr="008F03E5">
        <w:t>tirákiyy (m.) and i</w:t>
      </w:r>
      <w:r w:rsidRPr="008F03E5">
        <w:rPr>
          <w:u w:val="single"/>
        </w:rPr>
        <w:t>sh</w:t>
      </w:r>
      <w:r w:rsidRPr="008F03E5">
        <w:t>tirákiyyah (fem.) socialist.</w:t>
      </w:r>
    </w:p>
    <w:p w14:paraId="19004687" w14:textId="77777777" w:rsidR="00625A5B" w:rsidRPr="00BF3D0D" w:rsidRDefault="00625A5B" w:rsidP="003F700B">
      <w:pPr>
        <w:pStyle w:val="Myhead"/>
      </w:pPr>
      <w:r w:rsidRPr="00BF3D0D">
        <w:t>A</w:t>
      </w:r>
    </w:p>
    <w:p w14:paraId="3A9E57B9" w14:textId="77777777" w:rsidR="00625A5B" w:rsidRPr="008F03E5" w:rsidRDefault="00625A5B" w:rsidP="004B54EA">
      <w:pPr>
        <w:pStyle w:val="Translit"/>
      </w:pPr>
      <w:r w:rsidRPr="00BF3D0D">
        <w:t>A’ila, ‘A’ilat, ‘Awa’il</w:t>
      </w:r>
      <w:r w:rsidRPr="00BF3D0D">
        <w:tab/>
        <w:t xml:space="preserve">‘Á’ila, pl. </w:t>
      </w:r>
      <w:r w:rsidRPr="008F03E5">
        <w:t>‘A’ilát, ‘Awá’il</w:t>
      </w:r>
      <w:r w:rsidRPr="008F03E5">
        <w:tab/>
        <w:t>family, household</w:t>
      </w:r>
    </w:p>
    <w:p w14:paraId="67983443" w14:textId="77777777" w:rsidR="00625A5B" w:rsidRPr="008F03E5" w:rsidRDefault="00625A5B" w:rsidP="00504831">
      <w:pPr>
        <w:pStyle w:val="Translit"/>
      </w:pPr>
      <w:r w:rsidRPr="008F03E5">
        <w:t>A’ish, A’isha</w:t>
      </w:r>
      <w:r w:rsidRPr="008F03E5">
        <w:tab/>
        <w:t>‘Á’i</w:t>
      </w:r>
      <w:r w:rsidRPr="008F03E5">
        <w:rPr>
          <w:u w:val="single"/>
        </w:rPr>
        <w:t>sh</w:t>
      </w:r>
      <w:r w:rsidRPr="008F03E5">
        <w:t>, ‘Á’i</w:t>
      </w:r>
      <w:r w:rsidRPr="008F03E5">
        <w:rPr>
          <w:u w:val="single"/>
        </w:rPr>
        <w:t>sh</w:t>
      </w:r>
      <w:r w:rsidRPr="008F03E5">
        <w:t>a[h or t], Pers. also ‘Á’i</w:t>
      </w:r>
      <w:r w:rsidRPr="008F03E5">
        <w:rPr>
          <w:u w:val="single"/>
        </w:rPr>
        <w:t>sh</w:t>
      </w:r>
      <w:r w:rsidRPr="008F03E5">
        <w:t>ih</w:t>
      </w:r>
      <w:r w:rsidRPr="008F03E5">
        <w:tab/>
        <w:t>living comfortably. ‘Á’i</w:t>
      </w:r>
      <w:r w:rsidRPr="008F03E5">
        <w:rPr>
          <w:u w:val="single"/>
        </w:rPr>
        <w:t>sh</w:t>
      </w:r>
      <w:r w:rsidRPr="008F03E5">
        <w:t>a bint Abú Bakr, third wife of Muḥammad.  Also spelt Aisha[h or t], ‘A’ishih, Aisyah, Ayesha or Ayisha.</w:t>
      </w:r>
    </w:p>
    <w:p w14:paraId="5519E94C" w14:textId="77777777" w:rsidR="00625A5B" w:rsidRPr="008F03E5" w:rsidRDefault="00625A5B" w:rsidP="00786638">
      <w:pPr>
        <w:pStyle w:val="Translit"/>
      </w:pPr>
      <w:r w:rsidRPr="008F03E5">
        <w:t xml:space="preserve">A’la, </w:t>
      </w:r>
      <w:r>
        <w:t>‘</w:t>
      </w:r>
      <w:r w:rsidRPr="008F03E5">
        <w:t xml:space="preserve">Ulya (Olya), </w:t>
      </w:r>
      <w:r>
        <w:t>‘</w:t>
      </w:r>
      <w:r w:rsidRPr="008F03E5">
        <w:t>Ulan, A’alin, A’lahu</w:t>
      </w:r>
      <w:r w:rsidRPr="008F03E5">
        <w:tab/>
        <w:t xml:space="preserve">A‘lá, fem. </w:t>
      </w:r>
      <w:r w:rsidRPr="004E2260">
        <w:rPr>
          <w:lang w:val="en-AU"/>
        </w:rPr>
        <w:t xml:space="preserve">‘Ulyá, pl. </w:t>
      </w:r>
      <w:r w:rsidRPr="00FA6346">
        <w:rPr>
          <w:lang w:val="en-AU"/>
        </w:rPr>
        <w:t>‘Ulan, A‘álin</w:t>
      </w:r>
      <w:r w:rsidRPr="00FA6346">
        <w:rPr>
          <w:lang w:val="en-AU"/>
        </w:rPr>
        <w:tab/>
        <w:t>higher, highest; upper, uppermost,</w:t>
      </w:r>
      <w:r>
        <w:rPr>
          <w:lang w:val="en-AU"/>
        </w:rPr>
        <w:t xml:space="preserve"> exalted</w:t>
      </w:r>
      <w:r w:rsidRPr="008F03E5">
        <w:t>; ‘Álin the highest portion of something; heights, peaks (figuratively).  A‘láhu further up, above.</w:t>
      </w:r>
    </w:p>
    <w:p w14:paraId="5E17E538" w14:textId="77777777" w:rsidR="00625A5B" w:rsidRPr="008F03E5" w:rsidRDefault="00625A5B" w:rsidP="00CA27D1">
      <w:pPr>
        <w:pStyle w:val="Translit"/>
      </w:pPr>
      <w:r w:rsidRPr="008F03E5">
        <w:rPr>
          <w:rFonts w:eastAsia="Times New Roman"/>
        </w:rPr>
        <w:t>A’lam, ‘Alma’</w:t>
      </w:r>
      <w:r w:rsidRPr="008F03E5">
        <w:rPr>
          <w:rFonts w:eastAsia="Times New Roman"/>
        </w:rPr>
        <w:tab/>
        <w:t>A‘lam, fem. ‘Almá’</w:t>
      </w:r>
      <w:r w:rsidRPr="008F03E5">
        <w:rPr>
          <w:rFonts w:eastAsia="Times New Roman"/>
        </w:rPr>
        <w:tab/>
        <w:t>more or most learned</w:t>
      </w:r>
    </w:p>
    <w:p w14:paraId="55C182AA" w14:textId="77777777" w:rsidR="00625A5B" w:rsidRPr="008F03E5" w:rsidRDefault="00625A5B" w:rsidP="00F47AAF">
      <w:pPr>
        <w:pStyle w:val="Translit"/>
      </w:pPr>
      <w:r w:rsidRPr="008F03E5">
        <w:t>A’rabi, A’rab</w:t>
      </w:r>
      <w:r w:rsidRPr="008F03E5">
        <w:tab/>
        <w:t>A‘rábí, pl. A‘ráb</w:t>
      </w:r>
      <w:r w:rsidRPr="008F03E5">
        <w:tab/>
        <w:t>an Arab of the desert, a Bedouin.  This is not the “a‘rábs” (i‘ráb) in DND and MIS 1923–1957.</w:t>
      </w:r>
    </w:p>
    <w:p w14:paraId="7BBE8E1E" w14:textId="77777777" w:rsidR="00625A5B" w:rsidRPr="008F03E5" w:rsidRDefault="00625A5B" w:rsidP="00F87A63">
      <w:pPr>
        <w:pStyle w:val="Translit"/>
      </w:pPr>
      <w:r w:rsidRPr="00E964FE">
        <w:rPr>
          <w:lang w:val="pl-PL"/>
        </w:rPr>
        <w:t>A’raj, ‘Arja, ‘Urj, ‘Urjan</w:t>
      </w:r>
      <w:r w:rsidRPr="00E964FE">
        <w:rPr>
          <w:lang w:val="pl-PL"/>
        </w:rPr>
        <w:tab/>
        <w:t xml:space="preserve">A‘raj, fem. </w:t>
      </w:r>
      <w:r w:rsidRPr="008F03E5">
        <w:t>‘Arjá, pl. ‘Urj, ‘Urján</w:t>
      </w:r>
      <w:r w:rsidRPr="008F03E5">
        <w:tab/>
        <w:t>lame, limping;—jack (in a deck of cards)</w:t>
      </w:r>
    </w:p>
    <w:p w14:paraId="585F1759" w14:textId="77777777" w:rsidR="00625A5B" w:rsidRPr="008F03E5" w:rsidRDefault="00625A5B" w:rsidP="003E7B78">
      <w:pPr>
        <w:pStyle w:val="Translit"/>
      </w:pPr>
      <w:r w:rsidRPr="008F03E5">
        <w:t>A’sam, ‘Asma’, ‘Usm</w:t>
      </w:r>
      <w:r w:rsidRPr="008F03E5">
        <w:tab/>
        <w:t>A‘ṣam, fem. ‘Aṣmá’, pl. ‘Uṣm</w:t>
      </w:r>
      <w:r w:rsidRPr="008F03E5">
        <w:tab/>
        <w:t>having a white foot (animal); excellent, valuable, precious</w:t>
      </w:r>
    </w:p>
    <w:p w14:paraId="530F9450" w14:textId="77777777" w:rsidR="00625A5B" w:rsidRPr="008F03E5" w:rsidRDefault="00625A5B" w:rsidP="00F87A63">
      <w:pPr>
        <w:pStyle w:val="Translit"/>
      </w:pPr>
      <w:r w:rsidRPr="008F03E5">
        <w:t>A’war, ‘Aura’. ‘Ur</w:t>
      </w:r>
      <w:r w:rsidRPr="008F03E5">
        <w:tab/>
        <w:t>A‘war, fem. ‘Aurá’, pl. ‘Úr</w:t>
      </w:r>
      <w:r w:rsidRPr="008F03E5">
        <w:tab/>
        <w:t>one-eyed</w:t>
      </w:r>
    </w:p>
    <w:p w14:paraId="17B998E2" w14:textId="77777777" w:rsidR="00625A5B" w:rsidRPr="008F03E5" w:rsidRDefault="00625A5B" w:rsidP="00DB4692">
      <w:pPr>
        <w:pStyle w:val="Translit"/>
      </w:pPr>
      <w:r w:rsidRPr="008F03E5">
        <w:rPr>
          <w:lang w:eastAsia="en-US"/>
        </w:rPr>
        <w:t>A’yan Thabita</w:t>
      </w:r>
      <w:r w:rsidRPr="008F03E5">
        <w:rPr>
          <w:lang w:eastAsia="en-US"/>
        </w:rPr>
        <w:tab/>
        <w:t>A‘y</w:t>
      </w:r>
      <w:r w:rsidRPr="008F03E5">
        <w:t>á</w:t>
      </w:r>
      <w:r w:rsidRPr="008F03E5">
        <w:rPr>
          <w:lang w:eastAsia="en-US"/>
        </w:rPr>
        <w:t xml:space="preserve">n </w:t>
      </w:r>
      <w:r w:rsidRPr="008F03E5">
        <w:rPr>
          <w:u w:val="single"/>
          <w:lang w:eastAsia="en-US"/>
        </w:rPr>
        <w:t>Th</w:t>
      </w:r>
      <w:r w:rsidRPr="008F03E5">
        <w:t>á</w:t>
      </w:r>
      <w:r w:rsidRPr="008F03E5">
        <w:rPr>
          <w:lang w:eastAsia="en-US"/>
        </w:rPr>
        <w:t>bita</w:t>
      </w:r>
      <w:r w:rsidRPr="008F03E5">
        <w:rPr>
          <w:lang w:eastAsia="en-US"/>
        </w:rPr>
        <w:tab/>
      </w:r>
      <w:r w:rsidRPr="008F03E5">
        <w:t>literally “fixed gentlemen, essences or entities”.  A term most likely created by Ibn ‘Arabí (the “eternal archetypes”) based on “fixed object”, “eternal constant” and “eternal object”.  The immutable entities or fixed prototypes or established essences or potentialities.  The fixed entities are the images of the Divine Names and Qualities.</w:t>
      </w:r>
      <w:r w:rsidRPr="008F03E5">
        <w:rPr>
          <w:lang w:eastAsia="en-US"/>
        </w:rPr>
        <w:t>.  See ‘Ayn.</w:t>
      </w:r>
    </w:p>
    <w:p w14:paraId="462AC515" w14:textId="77777777" w:rsidR="00625A5B" w:rsidRPr="008F03E5" w:rsidRDefault="00625A5B" w:rsidP="00F87A63">
      <w:pPr>
        <w:pStyle w:val="Translit"/>
      </w:pPr>
      <w:r w:rsidRPr="008F03E5">
        <w:t>A’zam, (see Azim)</w:t>
      </w:r>
      <w:r w:rsidRPr="008F03E5">
        <w:tab/>
        <w:t>A‘ẓam, f. ‘Uẓmá, pl. A‘áẓim</w:t>
      </w:r>
      <w:r w:rsidRPr="008F03E5">
        <w:tab/>
        <w:t>greater, bigger; more significant, more important; greatest, major, supreme; most significant, paramount.  Comparative form of ‘aẓuma’ (to make great).  al-A‘ẓam Wáḥid “The Most Exalted One” is a title of the Báb.</w:t>
      </w:r>
    </w:p>
    <w:p w14:paraId="71D78C32" w14:textId="77777777" w:rsidR="00625A5B" w:rsidRPr="008F03E5" w:rsidRDefault="00625A5B" w:rsidP="00F87A63">
      <w:pPr>
        <w:pStyle w:val="Translit"/>
        <w:rPr>
          <w:rFonts w:eastAsia="PMingLiU"/>
          <w:lang w:eastAsia="zh-TW"/>
        </w:rPr>
      </w:pPr>
      <w:r w:rsidRPr="008F03E5">
        <w:rPr>
          <w:rFonts w:eastAsia="PMingLiU"/>
          <w:lang w:eastAsia="zh-TW"/>
        </w:rPr>
        <w:t>A’zami</w:t>
      </w:r>
      <w:r w:rsidRPr="008F03E5">
        <w:tab/>
      </w:r>
      <w:r w:rsidRPr="008F03E5">
        <w:rPr>
          <w:rFonts w:eastAsia="PMingLiU"/>
          <w:lang w:eastAsia="zh-TW"/>
        </w:rPr>
        <w:t>A‘</w:t>
      </w:r>
      <w:r w:rsidRPr="008F03E5">
        <w:t>ẓ</w:t>
      </w:r>
      <w:r w:rsidRPr="008F03E5">
        <w:rPr>
          <w:rFonts w:eastAsia="PMingLiU"/>
          <w:lang w:eastAsia="zh-TW"/>
        </w:rPr>
        <w:t>amí</w:t>
      </w:r>
      <w:r w:rsidRPr="008F03E5">
        <w:tab/>
      </w:r>
      <w:r w:rsidRPr="008F03E5">
        <w:rPr>
          <w:u w:val="single"/>
        </w:rPr>
        <w:t>Gh</w:t>
      </w:r>
      <w:r w:rsidRPr="008F03E5">
        <w:t>ulám Ḥusayn A‘ẓamí</w:t>
      </w:r>
    </w:p>
    <w:p w14:paraId="752A44A2" w14:textId="77777777" w:rsidR="00625A5B" w:rsidRPr="008F03E5" w:rsidRDefault="00625A5B" w:rsidP="00B71858">
      <w:pPr>
        <w:pStyle w:val="Translit"/>
      </w:pPr>
      <w:r w:rsidRPr="008F03E5">
        <w:t>Ab</w:t>
      </w:r>
      <w:r w:rsidRPr="008F03E5">
        <w:tab/>
        <w:t>Áb</w:t>
      </w:r>
      <w:r w:rsidRPr="008F03E5">
        <w:tab/>
        <w:t>Pers. father (in parts of Iran).</w:t>
      </w:r>
    </w:p>
    <w:p w14:paraId="7197FF66" w14:textId="77777777" w:rsidR="00625A5B" w:rsidRPr="008F03E5" w:rsidRDefault="00625A5B" w:rsidP="00190AE3">
      <w:pPr>
        <w:pStyle w:val="Translit"/>
      </w:pPr>
      <w:r w:rsidRPr="008F03E5">
        <w:t>Ab, Aban</w:t>
      </w:r>
      <w:r w:rsidRPr="008F03E5">
        <w:tab/>
        <w:t>Áb, pl. Ábán</w:t>
      </w:r>
      <w:r w:rsidRPr="008F03E5">
        <w:tab/>
        <w:t xml:space="preserve">Pers. water; river; largesse, gift, price.  Ábán  is the 8th month of the Persian solar year and 10th day of every month.  Áb anbár (“cistern”) a traditional underground reservoir or cistern of drinking water in Persia.  </w:t>
      </w:r>
      <w:r w:rsidRPr="008F03E5">
        <w:rPr>
          <w:rFonts w:eastAsia="Times New Roman"/>
        </w:rPr>
        <w:t>Usually underground to support the weight of water, topped with a dome and towers with wind catchers/breakers (Pe</w:t>
      </w:r>
      <w:r w:rsidRPr="008F03E5">
        <w:t>rs. bádgír)</w:t>
      </w:r>
      <w:r w:rsidRPr="008F03E5">
        <w:rPr>
          <w:rFonts w:eastAsia="Times New Roman"/>
        </w:rPr>
        <w:t>.</w:t>
      </w:r>
    </w:p>
    <w:p w14:paraId="6F2DD254" w14:textId="77777777" w:rsidR="00625A5B" w:rsidRPr="008F03E5" w:rsidRDefault="00625A5B" w:rsidP="00ED1B69">
      <w:pPr>
        <w:pStyle w:val="Translit"/>
      </w:pPr>
      <w:r w:rsidRPr="008F03E5">
        <w:t>Ab, Abu, Aba, Abi, Aba’</w:t>
      </w:r>
      <w:r w:rsidRPr="008F03E5">
        <w:tab/>
        <w:t>Ab, pl. Ábá’</w:t>
      </w:r>
      <w:r w:rsidRPr="008F03E5">
        <w:tab/>
        <w:t xml:space="preserve">a father (also ecclesiastical); ancestor, forefather.  Abú’l- (father of; Abú, Abá and Abí (iḍáfa or partial names, nominative, accusative and genitive respectively) must be followed by another name); e.g. </w:t>
      </w:r>
      <w:r w:rsidRPr="008F03E5">
        <w:rPr>
          <w:rFonts w:eastAsia="Times New Roman"/>
        </w:rPr>
        <w:t>abú’l ba</w:t>
      </w:r>
      <w:r w:rsidRPr="008F03E5">
        <w:rPr>
          <w:rFonts w:eastAsia="Times New Roman"/>
          <w:u w:val="single"/>
        </w:rPr>
        <w:t>sh</w:t>
      </w:r>
      <w:r w:rsidRPr="008F03E5">
        <w:rPr>
          <w:rFonts w:eastAsia="Times New Roman"/>
        </w:rPr>
        <w:t>ar</w:t>
      </w:r>
      <w:r w:rsidRPr="008F03E5">
        <w:rPr>
          <w:rFonts w:eastAsia="Times New Roman"/>
          <w:i/>
          <w:iCs/>
        </w:rPr>
        <w:t>,</w:t>
      </w:r>
      <w:r w:rsidRPr="008F03E5">
        <w:rPr>
          <w:rFonts w:eastAsia="Times New Roman"/>
        </w:rPr>
        <w:t xml:space="preserve"> the father of man, Adam.</w:t>
      </w:r>
    </w:p>
    <w:p w14:paraId="4BEADE78" w14:textId="77777777" w:rsidR="00625A5B" w:rsidRPr="008F03E5" w:rsidRDefault="00625A5B" w:rsidP="00F87A63">
      <w:pPr>
        <w:pStyle w:val="Translit"/>
      </w:pPr>
      <w:r w:rsidRPr="008F03E5">
        <w:t>Aba, A’bi’a, Aba’a, ‘Aba’at</w:t>
      </w:r>
      <w:r w:rsidRPr="008F03E5">
        <w:tab/>
        <w:t>‘Abá’ (Pers. also ‘Abá), pl. A‘bi’a</w:t>
      </w:r>
      <w:r w:rsidRPr="008F03E5">
        <w:tab/>
        <w:t>(fem. ‘abá’a[h or t], also ‘abáya[h or t], pl. ‘abá’át).  loose outer garment, cloak, mantle.  English aba or abba.</w:t>
      </w:r>
    </w:p>
    <w:p w14:paraId="0C658879" w14:textId="77777777" w:rsidR="00625A5B" w:rsidRPr="008F03E5" w:rsidRDefault="00625A5B" w:rsidP="00F87A63">
      <w:pPr>
        <w:pStyle w:val="Translit"/>
      </w:pPr>
      <w:r w:rsidRPr="008F03E5">
        <w:t>Aba-Basir</w:t>
      </w:r>
      <w:r w:rsidRPr="008F03E5">
        <w:tab/>
        <w:t>‘Abá-Baṣír</w:t>
      </w:r>
      <w:r w:rsidRPr="008F03E5">
        <w:tab/>
        <w:t>Áqá Naqd-‘Alí, blind martyr from Zanján, given the name Abú-Baṣír (father of insight) by Bahá’u’lláh</w:t>
      </w:r>
    </w:p>
    <w:p w14:paraId="2E314C7F" w14:textId="77777777" w:rsidR="00625A5B" w:rsidRPr="008F03E5" w:rsidRDefault="00625A5B" w:rsidP="005675F7">
      <w:pPr>
        <w:pStyle w:val="Translit"/>
      </w:pPr>
      <w:r w:rsidRPr="008F03E5">
        <w:t>Abad</w:t>
      </w:r>
      <w:r w:rsidRPr="008F03E5">
        <w:tab/>
        <w:t>Abad,</w:t>
      </w:r>
      <w:r>
        <w:t xml:space="preserve"> fem. Abada[h or t]</w:t>
      </w:r>
      <w:r>
        <w:tab/>
        <w:t>(</w:t>
      </w:r>
      <w:r w:rsidRPr="008F03E5">
        <w:t>pl. Ábád</w:t>
      </w:r>
      <w:r>
        <w:t xml:space="preserve">)  Ar. </w:t>
      </w:r>
      <w:r w:rsidRPr="008F03E5">
        <w:t>endless, eternal, eternity without end</w:t>
      </w:r>
      <w:r>
        <w:t xml:space="preserve">; </w:t>
      </w:r>
      <w:r w:rsidRPr="00C06987">
        <w:t>abadan always, forever;</w:t>
      </w:r>
      <w:r>
        <w:t xml:space="preserve"> </w:t>
      </w:r>
      <w:r w:rsidRPr="00C06987">
        <w:t>ever, (with neg</w:t>
      </w:r>
      <w:r>
        <w:t>ative</w:t>
      </w:r>
      <w:r w:rsidRPr="00C06987">
        <w:t>) never (in the future)</w:t>
      </w:r>
      <w:r w:rsidRPr="008F03E5">
        <w:t>.  Pers. populous, thriving, prosperous, developed, inhabited</w:t>
      </w:r>
      <w:r>
        <w:t xml:space="preserve">; </w:t>
      </w:r>
      <w:r w:rsidRPr="008F03E5">
        <w:t>a city, building</w:t>
      </w:r>
      <w:r>
        <w:t>;</w:t>
      </w:r>
      <w:r w:rsidRPr="000A7AAE">
        <w:t xml:space="preserve"> </w:t>
      </w:r>
      <w:r w:rsidRPr="008F03E5">
        <w:t>cultivated, peopled, full of buildings and inhabitants; replenished, well filled (treasury); an open plain; good, elegant, fair, beautiful, convenient; salutation, congratulation; praise, eulogium, well done!  ábád suffix used in compound Persian names of towns and inhabited areas, e.g. Alláhábád (“Abode of God”).  Ábád</w:t>
      </w:r>
      <w:r>
        <w:t>a</w:t>
      </w:r>
      <w:r w:rsidRPr="008F03E5">
        <w:t>h</w:t>
      </w:r>
      <w:r>
        <w:t xml:space="preserve"> (Abadeh) is a </w:t>
      </w:r>
      <w:r w:rsidRPr="008F03E5">
        <w:t>city</w:t>
      </w:r>
      <w:r>
        <w:t xml:space="preserve"> (</w:t>
      </w:r>
      <w:r w:rsidRPr="000A7AAE">
        <w:t>31.16309</w:t>
      </w:r>
      <w:r>
        <w:t>4</w:t>
      </w:r>
      <w:r w:rsidRPr="000A7AAE">
        <w:t>, 52.6483765</w:t>
      </w:r>
      <w:r>
        <w:t>)</w:t>
      </w:r>
      <w:r w:rsidRPr="008F03E5">
        <w:t xml:space="preserve"> in Fars Province, Iran.  </w:t>
      </w:r>
      <w:r>
        <w:rPr>
          <w:lang w:val="en-IN"/>
        </w:rPr>
        <w:t xml:space="preserve">The city is </w:t>
      </w:r>
      <w:r w:rsidRPr="008F03E5">
        <w:t xml:space="preserve">170 km north of Shiraz and 200 km </w:t>
      </w:r>
      <w:r w:rsidRPr="008F03E5">
        <w:rPr>
          <w:sz w:val="16"/>
          <w:szCs w:val="16"/>
        </w:rPr>
        <w:t>SSE</w:t>
      </w:r>
      <w:r w:rsidRPr="008F03E5">
        <w:t xml:space="preserve"> Iṣfahán.</w:t>
      </w:r>
      <w:r>
        <w:t xml:space="preserve">  </w:t>
      </w:r>
      <w:r w:rsidRPr="008F03E5">
        <w:t>cf. azal.</w:t>
      </w:r>
    </w:p>
    <w:p w14:paraId="34506301" w14:textId="77777777" w:rsidR="00625A5B" w:rsidRPr="008F03E5" w:rsidRDefault="00625A5B" w:rsidP="00AB478E">
      <w:pPr>
        <w:pStyle w:val="Translit"/>
      </w:pPr>
      <w:r w:rsidRPr="008F03E5">
        <w:t>Abada, ‘Ibada, ‘Ubuda, ‘Ubadiya</w:t>
      </w:r>
      <w:r w:rsidRPr="008F03E5">
        <w:tab/>
        <w:t>‘Abada (‘Ibada, ‘Ubúda, ‘Ubádíya)</w:t>
      </w:r>
      <w:r w:rsidRPr="008F03E5">
        <w:tab/>
        <w:t xml:space="preserve">to serve, worship (a god), adore, venerate (someone, a god or human being), idolize, deify (someone); Form </w:t>
      </w:r>
      <w:r w:rsidRPr="008F03E5">
        <w:rPr>
          <w:sz w:val="16"/>
          <w:szCs w:val="16"/>
        </w:rPr>
        <w:t>II</w:t>
      </w:r>
      <w:r w:rsidRPr="008F03E5">
        <w:t xml:space="preserve"> to enslave, enthral, subjugate, subject (someone); to improve, develop, make serviceable, make passable for traffic (a road); Form </w:t>
      </w:r>
      <w:r w:rsidRPr="008F03E5">
        <w:rPr>
          <w:sz w:val="16"/>
          <w:szCs w:val="16"/>
        </w:rPr>
        <w:t>V</w:t>
      </w:r>
      <w:r w:rsidRPr="008F03E5">
        <w:t xml:space="preserve"> to devote oneself to the service of God; Form </w:t>
      </w:r>
      <w:r w:rsidRPr="008F03E5">
        <w:rPr>
          <w:sz w:val="16"/>
          <w:szCs w:val="16"/>
        </w:rPr>
        <w:t>X</w:t>
      </w:r>
      <w:r w:rsidRPr="008F03E5">
        <w:t xml:space="preserve"> to enslave, enthral, subjugate (someone)</w:t>
      </w:r>
    </w:p>
    <w:p w14:paraId="0AF2E00E" w14:textId="77777777" w:rsidR="00625A5B" w:rsidRPr="008F03E5" w:rsidRDefault="00625A5B" w:rsidP="005D5C8E">
      <w:pPr>
        <w:pStyle w:val="Translit"/>
      </w:pPr>
      <w:r w:rsidRPr="008F03E5">
        <w:t>Abadan</w:t>
      </w:r>
      <w:r w:rsidRPr="008F03E5">
        <w:tab/>
        <w:t>Ábádán</w:t>
      </w:r>
      <w:r w:rsidRPr="008F03E5">
        <w:tab/>
        <w:t>Pers. nearly synonymous with but more emphatic than ábád</w:t>
      </w:r>
      <w:r w:rsidRPr="008F03E5">
        <w:rPr>
          <w:i/>
          <w:iCs/>
        </w:rPr>
        <w:t>,</w:t>
      </w:r>
      <w:r w:rsidRPr="008F03E5">
        <w:t xml:space="preserve"> and never used in forming compounds.  City </w:t>
      </w:r>
      <w:r>
        <w:t>(</w:t>
      </w:r>
      <w:r w:rsidRPr="005D5C8E">
        <w:t>30.369238, 48.275891</w:t>
      </w:r>
      <w:r>
        <w:t xml:space="preserve">) </w:t>
      </w:r>
      <w:r w:rsidRPr="008F03E5">
        <w:t>in Iran to the north of Kuwait City</w:t>
      </w:r>
      <w:r>
        <w:t xml:space="preserve">, </w:t>
      </w:r>
      <w:r w:rsidRPr="008F03E5">
        <w:t>Kuwait</w:t>
      </w:r>
      <w:r>
        <w:t>.</w:t>
      </w:r>
    </w:p>
    <w:p w14:paraId="228A1F87" w14:textId="77777777" w:rsidR="00625A5B" w:rsidRPr="008F03E5" w:rsidRDefault="00625A5B" w:rsidP="00F87A63">
      <w:pPr>
        <w:pStyle w:val="Translit"/>
      </w:pPr>
      <w:r w:rsidRPr="008F03E5">
        <w:rPr>
          <w:rFonts w:eastAsia="Times New Roman"/>
        </w:rPr>
        <w:t>Abadi</w:t>
      </w:r>
      <w:r w:rsidRPr="008F03E5">
        <w:rPr>
          <w:rFonts w:eastAsia="Times New Roman"/>
        </w:rPr>
        <w:tab/>
        <w:t>Ábádí, pl. Ábádiyán</w:t>
      </w:r>
      <w:r w:rsidRPr="008F03E5">
        <w:rPr>
          <w:rFonts w:eastAsia="Times New Roman"/>
        </w:rPr>
        <w:tab/>
        <w:t>Pers. pleasantness; a follower of Ábád or Mahábád</w:t>
      </w:r>
      <w:r w:rsidRPr="008F03E5">
        <w:rPr>
          <w:i/>
          <w:iCs/>
        </w:rPr>
        <w:t>,</w:t>
      </w:r>
      <w:r w:rsidRPr="008F03E5">
        <w:t xml:space="preserve"> the first prophet sent to Persia, and alleged author of the </w:t>
      </w:r>
      <w:r w:rsidRPr="008F03E5">
        <w:rPr>
          <w:i/>
          <w:iCs/>
        </w:rPr>
        <w:t>Dasátír.</w:t>
      </w:r>
    </w:p>
    <w:p w14:paraId="27E8387D" w14:textId="77777777" w:rsidR="00625A5B" w:rsidRPr="008F03E5" w:rsidRDefault="00625A5B" w:rsidP="00723EF6">
      <w:pPr>
        <w:pStyle w:val="Translit"/>
      </w:pPr>
      <w:r w:rsidRPr="008F03E5">
        <w:t>Abadih’i</w:t>
      </w:r>
      <w:r w:rsidRPr="008F03E5">
        <w:tab/>
        <w:t>Ábádih’í</w:t>
      </w:r>
      <w:r w:rsidRPr="008F03E5">
        <w:tab/>
        <w:t xml:space="preserve">Layla Ábádih’í, Mírzá Ḥusayn </w:t>
      </w:r>
      <w:r w:rsidRPr="008F03E5">
        <w:rPr>
          <w:u w:val="single"/>
        </w:rPr>
        <w:t>Kh</w:t>
      </w:r>
      <w:r w:rsidRPr="008F03E5">
        <w:t>án Ábádih’í</w:t>
      </w:r>
    </w:p>
    <w:p w14:paraId="12CBE0F7" w14:textId="77777777" w:rsidR="00625A5B" w:rsidRPr="008F03E5" w:rsidRDefault="00625A5B" w:rsidP="00F87A63">
      <w:pPr>
        <w:pStyle w:val="Translit"/>
      </w:pPr>
      <w:r w:rsidRPr="008F03E5">
        <w:t>Abahab, ‘Adhabat, A’dhiba</w:t>
      </w:r>
      <w:r w:rsidRPr="008F03E5">
        <w:tab/>
        <w:t>‘A</w:t>
      </w:r>
      <w:r w:rsidRPr="008F03E5">
        <w:rPr>
          <w:u w:val="single"/>
        </w:rPr>
        <w:t>dh</w:t>
      </w:r>
      <w:r w:rsidRPr="008F03E5">
        <w:t>áb, pl. ‘A</w:t>
      </w:r>
      <w:r w:rsidRPr="008F03E5">
        <w:rPr>
          <w:u w:val="single"/>
        </w:rPr>
        <w:t>dh</w:t>
      </w:r>
      <w:r w:rsidRPr="008F03E5">
        <w:t>ábát, A‘</w:t>
      </w:r>
      <w:r w:rsidRPr="008F03E5">
        <w:rPr>
          <w:u w:val="single"/>
        </w:rPr>
        <w:t>dh</w:t>
      </w:r>
      <w:r w:rsidRPr="008F03E5">
        <w:t>iba</w:t>
      </w:r>
      <w:r w:rsidRPr="008F03E5">
        <w:tab/>
        <w:t>pain, torment, suffering, agony, torture; punishment, chastisement, castigation</w:t>
      </w:r>
    </w:p>
    <w:p w14:paraId="32821722" w14:textId="77777777" w:rsidR="00625A5B" w:rsidRPr="008F03E5" w:rsidRDefault="00625A5B" w:rsidP="00F87A63">
      <w:pPr>
        <w:pStyle w:val="Translit"/>
      </w:pPr>
      <w:r w:rsidRPr="008F03E5">
        <w:t>Abarkuh (Abarqu, Abarquh, Abargu)</w:t>
      </w:r>
      <w:r w:rsidRPr="008F03E5">
        <w:tab/>
        <w:t>Abarkúh (Abar-Kúh)</w:t>
      </w:r>
      <w:r w:rsidRPr="008F03E5">
        <w:tab/>
        <w:t xml:space="preserve">city (31.129471, 53.282411) and capital of Abarkuh County, Yazd Province.  133 km </w:t>
      </w:r>
      <w:r w:rsidRPr="008F03E5">
        <w:rPr>
          <w:sz w:val="16"/>
          <w:szCs w:val="16"/>
        </w:rPr>
        <w:t>SW</w:t>
      </w:r>
      <w:r w:rsidRPr="008F03E5">
        <w:t xml:space="preserve"> of Yazd and 182 km </w:t>
      </w:r>
      <w:r w:rsidRPr="008F03E5">
        <w:rPr>
          <w:sz w:val="16"/>
          <w:szCs w:val="16"/>
        </w:rPr>
        <w:t>NNW</w:t>
      </w:r>
      <w:r w:rsidRPr="008F03E5">
        <w:t xml:space="preserve"> of Shiraz.  Many variations of spelling.</w:t>
      </w:r>
    </w:p>
    <w:p w14:paraId="43BE3E0E" w14:textId="77777777" w:rsidR="00625A5B" w:rsidRPr="008F03E5" w:rsidRDefault="00625A5B" w:rsidP="00F87A63">
      <w:pPr>
        <w:pStyle w:val="Translit"/>
      </w:pPr>
      <w:r w:rsidRPr="008F03E5">
        <w:t>Abasa, ‘Abs, ‘Ubs</w:t>
      </w:r>
      <w:r w:rsidRPr="008F03E5">
        <w:tab/>
        <w:t>‘Abasa (‘Abs, ‘Ubs)</w:t>
      </w:r>
      <w:r w:rsidRPr="008F03E5">
        <w:tab/>
        <w:t>to frown, knit one’s brows; to glower, lower, scowl, look sternly</w:t>
      </w:r>
    </w:p>
    <w:p w14:paraId="745F7C98" w14:textId="77777777" w:rsidR="00625A5B" w:rsidRPr="008F03E5" w:rsidRDefault="00625A5B" w:rsidP="00BE1E64">
      <w:pPr>
        <w:pStyle w:val="Translit"/>
      </w:pPr>
      <w:r w:rsidRPr="008F03E5">
        <w:t>Abayd (Abaid), Bayda’, Bid, Bidan</w:t>
      </w:r>
      <w:r w:rsidRPr="008F03E5">
        <w:tab/>
        <w:t>Abayḍ, fem. Bayḍá’, pl. Bíḍ</w:t>
      </w:r>
      <w:r w:rsidRPr="008F03E5">
        <w:tab/>
        <w:t>(Abayze, Bayze) white; bright; clean, shiny, polished; blameless, noble, sincere (character); empty, blank (sheet of paper);—pl. al-bíḍán the white race; bayáḍ al-bíḍ white of egg, albumen.  ad-dár al-Bayḍá’ “the white house”, Casablanca.</w:t>
      </w:r>
    </w:p>
    <w:p w14:paraId="0E3BC770" w14:textId="77777777" w:rsidR="00625A5B" w:rsidRPr="008F03E5" w:rsidRDefault="00625A5B" w:rsidP="00FD090B">
      <w:pPr>
        <w:pStyle w:val="Translit"/>
      </w:pPr>
      <w:r w:rsidRPr="008F03E5">
        <w:t>Abaziya (Abazi, Abazih)</w:t>
      </w:r>
      <w:r w:rsidRPr="008F03E5">
        <w:tab/>
        <w:t>Abáẓíya[h or t]</w:t>
      </w:r>
      <w:r w:rsidRPr="008F03E5">
        <w:tab/>
        <w:t>the Republic of Abkhazia (capital Sukhumi), is a partially recognized state in the South Caucasus, on the Black Sea, north of Georgia.  The Abaza family in Egypt originally came from Abaza, Russia.  They were known as the “family of the pashas”.  Abáẓih Pá</w:t>
      </w:r>
      <w:r w:rsidRPr="008F03E5">
        <w:rPr>
          <w:u w:val="single"/>
        </w:rPr>
        <w:t>sh</w:t>
      </w:r>
      <w:r w:rsidRPr="008F03E5">
        <w:t>á was a governor of ‘Akká during the time of Bahá’u’lláh, but Bahá’u’lláh would not meet him.</w:t>
      </w:r>
    </w:p>
    <w:p w14:paraId="265EBCAD" w14:textId="77777777" w:rsidR="00625A5B" w:rsidRPr="008F03E5" w:rsidRDefault="00625A5B" w:rsidP="00F87A63">
      <w:pPr>
        <w:pStyle w:val="Translit"/>
      </w:pPr>
      <w:r w:rsidRPr="008F03E5">
        <w:t>Abbas Abad, Abbas-Abad, Abbasabad</w:t>
      </w:r>
      <w:r w:rsidRPr="008F03E5">
        <w:tab/>
        <w:t>‘Abbás Ábád, ‘Abbás-Ábád, ‘Abbásábád</w:t>
      </w:r>
      <w:r w:rsidRPr="008F03E5">
        <w:tab/>
        <w:t>villages in Iran:  Caspian Sea coast and a part of Ṭihrán.</w:t>
      </w:r>
    </w:p>
    <w:p w14:paraId="1B78FA0A" w14:textId="77777777" w:rsidR="00625A5B" w:rsidRPr="008F03E5" w:rsidRDefault="00625A5B" w:rsidP="00932850">
      <w:pPr>
        <w:pStyle w:val="Translit"/>
      </w:pPr>
      <w:r w:rsidRPr="008F03E5">
        <w:t>Abbas</w:t>
      </w:r>
      <w:r w:rsidRPr="008F03E5">
        <w:tab/>
        <w:t>‘Abbás</w:t>
      </w:r>
      <w:r w:rsidRPr="008F03E5">
        <w:tab/>
        <w:t>the lion, also stern looking, formidable, stentorian.  Derived from ‘abasa, originally meaning a furious lion, hence with a lion’s characteristics.  al-‘Abbás ibn ‘Abd al-Muṭṭalib; c. 568—c. 653) was paternal uncle and companion of Muḥammad, just three years older than his nephew.  A wealthy merchant who protected Muḥammad while He was in Mecca, but only became a convert after the Battle of Baḍr in 624.  His descendants founded the Abbasid Caliphate (al-</w:t>
      </w:r>
      <w:r w:rsidRPr="008F03E5">
        <w:rPr>
          <w:u w:val="single"/>
        </w:rPr>
        <w:t>Kh</w:t>
      </w:r>
      <w:r w:rsidRPr="008F03E5">
        <w:t>iláfah al-‘Abbásíyah) in 750.  His son, ‘Abd Alláh ibn ‘Abbás (c. 619–687), also known simply as Ibn ‘Abbás, was an early Qur’anic scholar and a nephew of Maymúnah ibnat al-Ḥári</w:t>
      </w:r>
      <w:r w:rsidRPr="008F03E5">
        <w:rPr>
          <w:u w:val="single"/>
        </w:rPr>
        <w:t>th</w:t>
      </w:r>
      <w:r w:rsidRPr="008F03E5">
        <w:t xml:space="preserve"> al-Hilálíyah (c. 594–673)—she married Muhammad.</w:t>
      </w:r>
    </w:p>
    <w:p w14:paraId="0B1D0629" w14:textId="77777777" w:rsidR="00625A5B" w:rsidRPr="008F03E5" w:rsidRDefault="00625A5B" w:rsidP="00F959DA">
      <w:pPr>
        <w:pStyle w:val="Translit"/>
        <w:rPr>
          <w:rFonts w:eastAsia="PMingLiU"/>
          <w:lang w:eastAsia="zh-TW"/>
        </w:rPr>
      </w:pPr>
      <w:r w:rsidRPr="008F03E5">
        <w:rPr>
          <w:rFonts w:eastAsia="PMingLiU"/>
          <w:lang w:eastAsia="zh-TW"/>
        </w:rPr>
        <w:t>Abbas-‘Ali</w:t>
      </w:r>
      <w:r w:rsidRPr="008F03E5">
        <w:tab/>
      </w:r>
      <w:r w:rsidRPr="008F03E5">
        <w:rPr>
          <w:rFonts w:eastAsia="PMingLiU"/>
          <w:lang w:eastAsia="zh-TW"/>
        </w:rPr>
        <w:t>‘Abbás-‘Alí</w:t>
      </w:r>
      <w:r w:rsidRPr="008F03E5">
        <w:tab/>
        <w:t xml:space="preserve">Ḥájí Mullá </w:t>
      </w:r>
      <w:r w:rsidRPr="008F03E5">
        <w:rPr>
          <w:rFonts w:eastAsia="PMingLiU"/>
          <w:lang w:eastAsia="zh-TW"/>
        </w:rPr>
        <w:t>‘Abbás-‘Alí</w:t>
      </w:r>
    </w:p>
    <w:p w14:paraId="73821308" w14:textId="77777777" w:rsidR="00625A5B" w:rsidRPr="008F03E5" w:rsidRDefault="00625A5B" w:rsidP="00F959DA">
      <w:pPr>
        <w:pStyle w:val="Translit"/>
      </w:pPr>
      <w:r w:rsidRPr="00D45A23">
        <w:rPr>
          <w:lang w:val="it-IT"/>
        </w:rPr>
        <w:t>Abbasi, Abbasiyyun, Abbasiyan</w:t>
      </w:r>
      <w:r w:rsidRPr="00D45A23">
        <w:rPr>
          <w:lang w:val="it-IT"/>
        </w:rPr>
        <w:tab/>
        <w:t xml:space="preserve">‘Abbásí, pl. </w:t>
      </w:r>
      <w:r w:rsidRPr="00E964FE">
        <w:rPr>
          <w:lang w:val="en-AU"/>
        </w:rPr>
        <w:t xml:space="preserve">‘Abbásiyyún, Per. </w:t>
      </w:r>
      <w:r w:rsidRPr="008F03E5">
        <w:t>‘Abbásiyán</w:t>
      </w:r>
      <w:r w:rsidRPr="008F03E5">
        <w:tab/>
        <w:t xml:space="preserve">Abbaside, descendant of al-‘Abbás, uncle of Muḥammad.  </w:t>
      </w:r>
      <w:r w:rsidRPr="008F03E5">
        <w:rPr>
          <w:rFonts w:eastAsia="Times New Roman"/>
        </w:rPr>
        <w:t>‘Abbásiyyán, the princes of the house of ‘Abbás, the Abbasides.</w:t>
      </w:r>
    </w:p>
    <w:p w14:paraId="60210653" w14:textId="77777777" w:rsidR="00625A5B" w:rsidRPr="008F03E5" w:rsidRDefault="00625A5B" w:rsidP="00A20877">
      <w:pPr>
        <w:pStyle w:val="Translit"/>
      </w:pPr>
      <w:r w:rsidRPr="008F03E5">
        <w:t>Abbas-i-Nuri</w:t>
      </w:r>
      <w:r w:rsidRPr="008F03E5">
        <w:tab/>
        <w:t>‘Abbás-i-Núrí</w:t>
      </w:r>
      <w:r w:rsidRPr="008F03E5">
        <w:tab/>
        <w:t>Mírzá ‘Abbás-i-Núrí or Mírzá Buzurg-i-Vazír, Bahá’u’lláh’s father</w:t>
      </w:r>
    </w:p>
    <w:p w14:paraId="6DFC980F" w14:textId="77777777" w:rsidR="00625A5B" w:rsidRPr="008F03E5" w:rsidRDefault="00625A5B" w:rsidP="001C5FEE">
      <w:pPr>
        <w:pStyle w:val="Translit"/>
      </w:pPr>
      <w:r w:rsidRPr="00BF3D0D">
        <w:t>Abbasiya, ‘Abbasiyya</w:t>
      </w:r>
      <w:r w:rsidRPr="00BF3D0D">
        <w:tab/>
        <w:t>‘Abbásíya[h or t], Pers.  ‘Abbásiyya[h or t]</w:t>
      </w:r>
      <w:r w:rsidRPr="00BF3D0D">
        <w:tab/>
        <w:t>al-</w:t>
      </w:r>
      <w:r w:rsidRPr="00BF3D0D">
        <w:rPr>
          <w:u w:val="single"/>
        </w:rPr>
        <w:t>Kh</w:t>
      </w:r>
      <w:r w:rsidRPr="00BF3D0D">
        <w:t xml:space="preserve">iláfah al-‘Abbásíyah, Abbasid (Abbaside) Caliphs (750–861).  </w:t>
      </w:r>
      <w:r w:rsidRPr="008F03E5">
        <w:t>al-‘Abbásíya[h], formerly al-Yahúdíya[h], former Palestinian village, now Israeli city of Yehud.</w:t>
      </w:r>
    </w:p>
    <w:p w14:paraId="0E626599" w14:textId="77777777" w:rsidR="00625A5B" w:rsidRPr="008F03E5" w:rsidRDefault="00625A5B" w:rsidP="00421E3C">
      <w:pPr>
        <w:pStyle w:val="Translit"/>
        <w:rPr>
          <w:rFonts w:eastAsia="PMingLiU"/>
          <w:lang w:eastAsia="zh-TW"/>
        </w:rPr>
      </w:pPr>
      <w:r w:rsidRPr="008F03E5">
        <w:rPr>
          <w:rFonts w:eastAsia="PMingLiU"/>
          <w:lang w:eastAsia="zh-TW"/>
        </w:rPr>
        <w:t>Abbas-Qul</w:t>
      </w:r>
      <w:r w:rsidRPr="008F03E5">
        <w:t>i</w:t>
      </w:r>
      <w:r>
        <w:t xml:space="preserve"> Khan</w:t>
      </w:r>
      <w:r w:rsidRPr="008F03E5">
        <w:rPr>
          <w:rFonts w:eastAsia="PMingLiU"/>
          <w:lang w:eastAsia="zh-TW"/>
        </w:rPr>
        <w:t>-i-Lar</w:t>
      </w:r>
      <w:r w:rsidRPr="008F03E5">
        <w:t>i</w:t>
      </w:r>
      <w:r w:rsidRPr="008F03E5">
        <w:rPr>
          <w:rFonts w:eastAsia="PMingLiU"/>
          <w:lang w:eastAsia="zh-TW"/>
        </w:rPr>
        <w:t>jan</w:t>
      </w:r>
      <w:r w:rsidRPr="008F03E5">
        <w:t>i</w:t>
      </w:r>
      <w:r w:rsidRPr="008F03E5">
        <w:tab/>
      </w:r>
      <w:r w:rsidRPr="008F03E5">
        <w:rPr>
          <w:rFonts w:eastAsia="PMingLiU"/>
          <w:lang w:eastAsia="zh-TW"/>
        </w:rPr>
        <w:t>‘Abb</w:t>
      </w:r>
      <w:r w:rsidRPr="008F03E5">
        <w:t>á</w:t>
      </w:r>
      <w:r w:rsidRPr="008F03E5">
        <w:rPr>
          <w:rFonts w:eastAsia="PMingLiU"/>
          <w:lang w:eastAsia="zh-TW"/>
        </w:rPr>
        <w:t>s-Qul</w:t>
      </w:r>
      <w:r w:rsidRPr="008F03E5">
        <w:t>í</w:t>
      </w:r>
      <w:r>
        <w:t xml:space="preserve"> </w:t>
      </w:r>
      <w:r w:rsidRPr="00421E3C">
        <w:rPr>
          <w:u w:val="single"/>
        </w:rPr>
        <w:t>Kh</w:t>
      </w:r>
      <w:r w:rsidRPr="00421E3C">
        <w:t>á</w:t>
      </w:r>
      <w:r>
        <w:t>n</w:t>
      </w:r>
      <w:r w:rsidRPr="008F03E5">
        <w:rPr>
          <w:rFonts w:eastAsia="PMingLiU"/>
          <w:lang w:eastAsia="zh-TW"/>
        </w:rPr>
        <w:t>-i-Lar</w:t>
      </w:r>
      <w:r w:rsidRPr="008F03E5">
        <w:t>í</w:t>
      </w:r>
      <w:r w:rsidRPr="008F03E5">
        <w:rPr>
          <w:rFonts w:eastAsia="PMingLiU"/>
          <w:lang w:eastAsia="zh-TW"/>
        </w:rPr>
        <w:t>j</w:t>
      </w:r>
      <w:r w:rsidRPr="008F03E5">
        <w:t>á</w:t>
      </w:r>
      <w:r w:rsidRPr="008F03E5">
        <w:rPr>
          <w:rFonts w:eastAsia="PMingLiU"/>
          <w:lang w:eastAsia="zh-TW"/>
        </w:rPr>
        <w:t>n</w:t>
      </w:r>
      <w:r w:rsidRPr="008F03E5">
        <w:t>í</w:t>
      </w:r>
      <w:r w:rsidRPr="008F03E5">
        <w:tab/>
        <w:t>sniper who killed Mullá Ḥusayn, 1 February 1849</w:t>
      </w:r>
      <w:r>
        <w:t>.</w:t>
      </w:r>
    </w:p>
    <w:p w14:paraId="6FE05281" w14:textId="77777777" w:rsidR="00625A5B" w:rsidRPr="008F03E5" w:rsidRDefault="00625A5B" w:rsidP="00C106F3">
      <w:pPr>
        <w:pStyle w:val="Translit"/>
      </w:pPr>
      <w:r w:rsidRPr="008F03E5">
        <w:t>Abbud</w:t>
      </w:r>
      <w:r w:rsidRPr="008F03E5">
        <w:tab/>
        <w:t>‘Abbúd</w:t>
      </w:r>
      <w:r w:rsidRPr="008F03E5">
        <w:tab/>
        <w:t xml:space="preserve">devoted or obedient worshipper of God.  Derived from ‘abada.  Ilyás ‘Abbúd was a Christian merchant of ‘Akká.  His house in ‘Akká (32.921563, 35.067297) is joined on the eastern side to the smaller house of ‘Údí </w:t>
      </w:r>
      <w:r w:rsidRPr="008F03E5">
        <w:rPr>
          <w:u w:val="single"/>
        </w:rPr>
        <w:t>Kh</w:t>
      </w:r>
      <w:r w:rsidRPr="008F03E5">
        <w:t>ammár.  The common wall has been opened.  Both are now known as the House of ‘Abbúd.</w:t>
      </w:r>
    </w:p>
    <w:p w14:paraId="0BCA1A59" w14:textId="77777777" w:rsidR="00625A5B" w:rsidRDefault="00625A5B" w:rsidP="00B40DFA">
      <w:pPr>
        <w:pStyle w:val="Translit"/>
      </w:pPr>
      <w:r>
        <w:t>Abd Allah, ‘Abdu’llah</w:t>
      </w:r>
      <w:r>
        <w:tab/>
        <w:t>‘Abd All</w:t>
      </w:r>
      <w:r w:rsidRPr="00245225">
        <w:t>á</w:t>
      </w:r>
      <w:r>
        <w:t>h, ‘Abdu’ll</w:t>
      </w:r>
      <w:r w:rsidRPr="00B40DFA">
        <w:t>á</w:t>
      </w:r>
      <w:r>
        <w:t>h</w:t>
      </w:r>
      <w:r>
        <w:tab/>
        <w:t>(Abdallah, Abdillah, Abdullah, Abdollah) “Servant of God”</w:t>
      </w:r>
    </w:p>
    <w:p w14:paraId="636188FE" w14:textId="77777777" w:rsidR="00625A5B" w:rsidRPr="007A51E5" w:rsidRDefault="00625A5B" w:rsidP="00133C10">
      <w:pPr>
        <w:pStyle w:val="Translit"/>
      </w:pPr>
      <w:r w:rsidRPr="00133C10">
        <w:t>Abd an-Nabi</w:t>
      </w:r>
      <w:r w:rsidRPr="00133C10">
        <w:tab/>
        <w:t>‘Abd an-Nabí</w:t>
      </w:r>
      <w:r w:rsidRPr="00133C10">
        <w:tab/>
      </w:r>
      <w:r w:rsidRPr="00133C10">
        <w:rPr>
          <w:u w:val="single"/>
        </w:rPr>
        <w:t>Sh</w:t>
      </w:r>
      <w:r w:rsidRPr="00133C10">
        <w:t>ay</w:t>
      </w:r>
      <w:r w:rsidRPr="00133C10">
        <w:rPr>
          <w:u w:val="single"/>
        </w:rPr>
        <w:t>kh</w:t>
      </w:r>
      <w:r w:rsidRPr="00133C10">
        <w:t xml:space="preserve"> ‘Abd an-Nabí (d. 1583) served as ṣadr aṣ-ṣudúr (1566 and 1579), the head officer in charge of madad-i ma</w:t>
      </w:r>
      <w:r>
        <w:t>‘</w:t>
      </w:r>
      <w:r w:rsidRPr="00133C10">
        <w:t>a</w:t>
      </w:r>
      <w:r w:rsidRPr="00133C10">
        <w:rPr>
          <w:u w:val="single"/>
        </w:rPr>
        <w:t>sh</w:t>
      </w:r>
      <w:r w:rsidRPr="00133C10">
        <w:t xml:space="preserve"> grants (revenue of tax-free lands given in charity to religious or worthy individuals) and of the appointment of judges throughout the </w:t>
      </w:r>
      <w:r>
        <w:t>Mughal</w:t>
      </w:r>
      <w:r w:rsidRPr="00133C10">
        <w:t xml:space="preserve"> empire.</w:t>
      </w:r>
    </w:p>
    <w:p w14:paraId="2FD16F1C" w14:textId="77777777" w:rsidR="00625A5B" w:rsidRPr="008F03E5" w:rsidRDefault="00625A5B" w:rsidP="00F87A63">
      <w:pPr>
        <w:pStyle w:val="Translit"/>
      </w:pPr>
      <w:r w:rsidRPr="008F03E5">
        <w:t xml:space="preserve">Abd Manaf (Abdu Manaf), </w:t>
      </w:r>
      <w:r w:rsidRPr="008F03E5">
        <w:rPr>
          <w:rFonts w:eastAsia="PMingLiU"/>
          <w:lang w:eastAsia="zh-TW"/>
        </w:rPr>
        <w:t>Abd-i-Man</w:t>
      </w:r>
      <w:r w:rsidRPr="008F03E5">
        <w:t>a</w:t>
      </w:r>
      <w:r w:rsidRPr="008F03E5">
        <w:rPr>
          <w:rFonts w:eastAsia="PMingLiU"/>
          <w:lang w:eastAsia="zh-TW"/>
        </w:rPr>
        <w:t>f</w:t>
      </w:r>
      <w:r w:rsidRPr="008F03E5">
        <w:tab/>
        <w:t xml:space="preserve">‘Abd Manáf, Pers. </w:t>
      </w:r>
      <w:r w:rsidRPr="008F03E5">
        <w:rPr>
          <w:rFonts w:eastAsia="PMingLiU"/>
          <w:lang w:eastAsia="zh-TW"/>
        </w:rPr>
        <w:t>‘Abd-i-Man</w:t>
      </w:r>
      <w:r w:rsidRPr="008F03E5">
        <w:t>á</w:t>
      </w:r>
      <w:r w:rsidRPr="008F03E5">
        <w:rPr>
          <w:rFonts w:eastAsia="PMingLiU"/>
          <w:lang w:eastAsia="zh-TW"/>
        </w:rPr>
        <w:t>f</w:t>
      </w:r>
      <w:r w:rsidRPr="008F03E5">
        <w:tab/>
        <w:t>name of an Arab tribe</w:t>
      </w:r>
    </w:p>
    <w:p w14:paraId="10A06229" w14:textId="77777777" w:rsidR="00625A5B" w:rsidRPr="008F03E5" w:rsidRDefault="00625A5B" w:rsidP="00546659">
      <w:pPr>
        <w:pStyle w:val="Translit"/>
      </w:pPr>
      <w:r w:rsidRPr="008F03E5">
        <w:t>Abd, ‘Abid, ‘Ubdan, ‘Ibad</w:t>
      </w:r>
      <w:r w:rsidRPr="008F03E5">
        <w:tab/>
        <w:t>‘Abd, pl. ‘Abíd, ‘Ubdán, ‘Ibád</w:t>
      </w:r>
      <w:r w:rsidRPr="008F03E5">
        <w:tab/>
        <w:t>slave, serf; bondsman, servant, worshipper</w:t>
      </w:r>
      <w:r>
        <w:t xml:space="preserve"> (as a servant of God)</w:t>
      </w:r>
      <w:r w:rsidRPr="008F03E5">
        <w:t>;—(pl. ‘ibád) servant (of God), human being, man.  al-‘ibád humanity, mankind</w:t>
      </w:r>
      <w:r>
        <w:t>.  Names as plurals (“worshippers”) of ‘Abd:  ‘Abd</w:t>
      </w:r>
      <w:r w:rsidRPr="00546659">
        <w:t>í</w:t>
      </w:r>
      <w:r>
        <w:t>n, ‘Abad</w:t>
      </w:r>
      <w:r w:rsidRPr="00546659">
        <w:t>í</w:t>
      </w:r>
      <w:r>
        <w:t>n, ‘Abi</w:t>
      </w:r>
      <w:r w:rsidRPr="00546659">
        <w:t>d</w:t>
      </w:r>
      <w:r>
        <w:t>í</w:t>
      </w:r>
      <w:r w:rsidRPr="00546659">
        <w:t>n</w:t>
      </w:r>
      <w:r>
        <w:t xml:space="preserve"> (“‘Abdin, ‘Abadin, ‘Abi</w:t>
      </w:r>
      <w:r w:rsidRPr="00546659">
        <w:t>d</w:t>
      </w:r>
      <w:r>
        <w:t>i</w:t>
      </w:r>
      <w:r w:rsidRPr="00546659">
        <w:t>n</w:t>
      </w:r>
      <w:r>
        <w:t>”).</w:t>
      </w:r>
    </w:p>
    <w:p w14:paraId="73E28254" w14:textId="77777777" w:rsidR="00625A5B" w:rsidRPr="008F03E5" w:rsidRDefault="00625A5B" w:rsidP="00F87A63">
      <w:pPr>
        <w:pStyle w:val="Translit"/>
      </w:pPr>
      <w:r w:rsidRPr="008F03E5">
        <w:t>Abda, ‘Abdat</w:t>
      </w:r>
      <w:r w:rsidRPr="008F03E5">
        <w:tab/>
        <w:t>‘Abda[h or t], pl. ‘Abdát</w:t>
      </w:r>
      <w:r w:rsidRPr="008F03E5">
        <w:tab/>
        <w:t>(fem. of ‘Abd) woman slave, slave girl, bondwoman</w:t>
      </w:r>
    </w:p>
    <w:p w14:paraId="53AEBCA3" w14:textId="77777777" w:rsidR="00625A5B" w:rsidRPr="008F03E5" w:rsidRDefault="00625A5B" w:rsidP="00F87A63">
      <w:pPr>
        <w:pStyle w:val="Translit"/>
      </w:pPr>
      <w:r w:rsidRPr="008F03E5">
        <w:t>Abda’</w:t>
      </w:r>
      <w:r w:rsidRPr="008F03E5">
        <w:tab/>
        <w:t>Abda‘</w:t>
      </w:r>
      <w:r w:rsidRPr="008F03E5">
        <w:tab/>
        <w:t>more amazing, more exceptional; of even greater originality.  See Badí‘</w:t>
      </w:r>
    </w:p>
    <w:p w14:paraId="7187973F" w14:textId="77777777" w:rsidR="00625A5B" w:rsidRPr="008F03E5" w:rsidRDefault="00625A5B" w:rsidP="00F87A63">
      <w:pPr>
        <w:pStyle w:val="Translit"/>
      </w:pPr>
      <w:r w:rsidRPr="008F03E5">
        <w:t>Abdar</w:t>
      </w:r>
      <w:r w:rsidRPr="008F03E5">
        <w:tab/>
        <w:t>Ábdár</w:t>
      </w:r>
      <w:r w:rsidRPr="008F03E5">
        <w:tab/>
        <w:t>Pers. watery, moist, juicy; of a good water (as a diamond or a sword); a keeper of water, a servant whose office is to keep water cool (hence water-carrier or butler); keen, sharp; glancing, dazzling, resplendent; flowing (verse); a sociable and convivial man; a man of understanding, reflection or wealth; a species of plant resembling the fibres of a palm-tree</w:t>
      </w:r>
    </w:p>
    <w:p w14:paraId="79C24A83" w14:textId="77777777" w:rsidR="00625A5B" w:rsidRPr="008F03E5" w:rsidRDefault="00625A5B" w:rsidP="00F87A63">
      <w:pPr>
        <w:pStyle w:val="Translit"/>
      </w:pPr>
      <w:r w:rsidRPr="008F03E5">
        <w:t>Abd-i-Hadir</w:t>
      </w:r>
      <w:r w:rsidRPr="008F03E5">
        <w:tab/>
        <w:t>‘Abd-i-Ḥáḍir</w:t>
      </w:r>
      <w:r w:rsidRPr="008F03E5">
        <w:tab/>
        <w:t>“Servant in attendance”</w:t>
      </w:r>
    </w:p>
    <w:p w14:paraId="2DB182BF" w14:textId="77777777" w:rsidR="00625A5B" w:rsidRPr="008F03E5" w:rsidRDefault="00625A5B" w:rsidP="00F87A63">
      <w:pPr>
        <w:pStyle w:val="Translit"/>
      </w:pPr>
      <w:r w:rsidRPr="008F03E5">
        <w:t>Abdu’dh-Dhikr</w:t>
      </w:r>
      <w:r w:rsidRPr="008F03E5">
        <w:tab/>
        <w:t>‘Abdu’</w:t>
      </w:r>
      <w:r w:rsidRPr="008F03E5">
        <w:rPr>
          <w:u w:val="single"/>
        </w:rPr>
        <w:t>dh</w:t>
      </w:r>
      <w:r w:rsidRPr="008F03E5">
        <w:t>-</w:t>
      </w:r>
      <w:r w:rsidRPr="008F03E5">
        <w:rPr>
          <w:u w:val="single"/>
        </w:rPr>
        <w:t>Dh</w:t>
      </w:r>
      <w:r w:rsidRPr="008F03E5">
        <w:t>ikr</w:t>
      </w:r>
      <w:r w:rsidRPr="008F03E5">
        <w:tab/>
        <w:t>“the Servant of Remembrance”—a designation of the Báb</w:t>
      </w:r>
    </w:p>
    <w:p w14:paraId="0DF1964F" w14:textId="77777777" w:rsidR="00625A5B" w:rsidRPr="008F03E5" w:rsidRDefault="00625A5B" w:rsidP="00F87A63">
      <w:pPr>
        <w:pStyle w:val="Translit"/>
        <w:rPr>
          <w:rFonts w:eastAsia="PMingLiU"/>
          <w:lang w:eastAsia="zh-TW"/>
        </w:rPr>
      </w:pPr>
      <w:r w:rsidRPr="008F03E5">
        <w:rPr>
          <w:rFonts w:eastAsia="PMingLiU"/>
          <w:lang w:eastAsia="zh-TW"/>
        </w:rPr>
        <w:t>Abdu’l-‘Al</w:t>
      </w:r>
      <w:r w:rsidRPr="008F03E5">
        <w:t>i</w:t>
      </w:r>
      <w:r w:rsidRPr="008F03E5">
        <w:tab/>
      </w:r>
      <w:r w:rsidRPr="008F03E5">
        <w:rPr>
          <w:rFonts w:eastAsia="PMingLiU"/>
          <w:lang w:eastAsia="zh-TW"/>
        </w:rPr>
        <w:t>‘Abdu’l-‘Al</w:t>
      </w:r>
      <w:r w:rsidRPr="008F03E5">
        <w:t>í</w:t>
      </w:r>
      <w:r w:rsidRPr="008F03E5">
        <w:tab/>
      </w:r>
    </w:p>
    <w:p w14:paraId="081FFBAA" w14:textId="77777777" w:rsidR="00625A5B" w:rsidRPr="00230E37" w:rsidRDefault="00625A5B" w:rsidP="00F87A63">
      <w:pPr>
        <w:pStyle w:val="Translit"/>
        <w:rPr>
          <w:rFonts w:eastAsia="PMingLiU"/>
          <w:lang w:eastAsia="zh-TW"/>
        </w:rPr>
      </w:pPr>
      <w:r w:rsidRPr="00230E37">
        <w:rPr>
          <w:rFonts w:eastAsia="PMingLiU"/>
          <w:lang w:eastAsia="zh-TW"/>
        </w:rPr>
        <w:t>Abdu’l-‘Al</w:t>
      </w:r>
      <w:r w:rsidRPr="00230E37">
        <w:t>i</w:t>
      </w:r>
      <w:r w:rsidRPr="00230E37">
        <w:rPr>
          <w:rFonts w:eastAsia="PMingLiU"/>
          <w:lang w:eastAsia="zh-TW"/>
        </w:rPr>
        <w:t>y-i-Har</w:t>
      </w:r>
      <w:r w:rsidRPr="00230E37">
        <w:t>a</w:t>
      </w:r>
      <w:r w:rsidRPr="00230E37">
        <w:rPr>
          <w:rFonts w:eastAsia="PMingLiU"/>
          <w:lang w:eastAsia="zh-TW"/>
        </w:rPr>
        <w:t>t</w:t>
      </w:r>
      <w:r w:rsidRPr="00230E37">
        <w:t>i</w:t>
      </w:r>
      <w:r w:rsidRPr="00230E37">
        <w:tab/>
      </w:r>
      <w:r w:rsidRPr="00230E37">
        <w:rPr>
          <w:rFonts w:eastAsia="PMingLiU"/>
          <w:lang w:eastAsia="zh-TW"/>
        </w:rPr>
        <w:t>‘Abdu’l-‘Al</w:t>
      </w:r>
      <w:r w:rsidRPr="00230E37">
        <w:t>í</w:t>
      </w:r>
      <w:r w:rsidRPr="00230E37">
        <w:rPr>
          <w:rFonts w:eastAsia="PMingLiU"/>
          <w:lang w:eastAsia="zh-TW"/>
        </w:rPr>
        <w:t>y-i-Har</w:t>
      </w:r>
      <w:r w:rsidRPr="00230E37">
        <w:t>á</w:t>
      </w:r>
      <w:r w:rsidRPr="00230E37">
        <w:rPr>
          <w:rFonts w:eastAsia="PMingLiU"/>
          <w:lang w:eastAsia="zh-TW"/>
        </w:rPr>
        <w:t>t</w:t>
      </w:r>
      <w:r w:rsidRPr="00230E37">
        <w:t>í</w:t>
      </w:r>
      <w:r w:rsidRPr="00230E37">
        <w:tab/>
      </w:r>
    </w:p>
    <w:p w14:paraId="4E066D9E" w14:textId="77777777" w:rsidR="00625A5B" w:rsidRPr="00230E37" w:rsidRDefault="00625A5B" w:rsidP="00F6139C">
      <w:pPr>
        <w:pStyle w:val="Translit"/>
      </w:pPr>
      <w:r w:rsidRPr="00230E37">
        <w:t>Abdu’l-‘Azim</w:t>
      </w:r>
      <w:r w:rsidRPr="00230E37">
        <w:tab/>
        <w:t>‘Abdu’l-‘Aẓím</w:t>
      </w:r>
      <w:r w:rsidRPr="00230E37">
        <w:tab/>
      </w:r>
    </w:p>
    <w:p w14:paraId="67A81D77" w14:textId="77777777" w:rsidR="00625A5B" w:rsidRPr="00230E37" w:rsidRDefault="00625A5B" w:rsidP="00F87A63">
      <w:pPr>
        <w:pStyle w:val="Translit"/>
        <w:rPr>
          <w:lang w:eastAsia="zh-TW"/>
        </w:rPr>
      </w:pPr>
      <w:r w:rsidRPr="00230E37">
        <w:rPr>
          <w:lang w:eastAsia="zh-TW"/>
        </w:rPr>
        <w:t>Abdu’l-‘Az</w:t>
      </w:r>
      <w:r w:rsidRPr="00230E37">
        <w:t>i</w:t>
      </w:r>
      <w:r w:rsidRPr="00230E37">
        <w:rPr>
          <w:lang w:eastAsia="zh-TW"/>
        </w:rPr>
        <w:t>m-i-Khu’</w:t>
      </w:r>
      <w:r w:rsidRPr="00230E37">
        <w:t>i</w:t>
      </w:r>
      <w:r w:rsidRPr="00230E37">
        <w:tab/>
      </w:r>
      <w:r w:rsidRPr="00230E37">
        <w:rPr>
          <w:lang w:eastAsia="zh-TW"/>
        </w:rPr>
        <w:t>‘Abdu’l-‘A</w:t>
      </w:r>
      <w:r w:rsidRPr="00230E37">
        <w:t>ẓí</w:t>
      </w:r>
      <w:r w:rsidRPr="00230E37">
        <w:rPr>
          <w:lang w:eastAsia="zh-TW"/>
        </w:rPr>
        <w:t>m-i-</w:t>
      </w:r>
      <w:r w:rsidRPr="00230E37">
        <w:rPr>
          <w:u w:val="single"/>
        </w:rPr>
        <w:t>Kh</w:t>
      </w:r>
      <w:r w:rsidRPr="00230E37">
        <w:rPr>
          <w:lang w:eastAsia="zh-TW"/>
        </w:rPr>
        <w:t>u’</w:t>
      </w:r>
      <w:r w:rsidRPr="00230E37">
        <w:t>í</w:t>
      </w:r>
      <w:r w:rsidRPr="00230E37">
        <w:tab/>
      </w:r>
    </w:p>
    <w:p w14:paraId="377F3A9E" w14:textId="77777777" w:rsidR="00625A5B" w:rsidRPr="008F03E5" w:rsidRDefault="00625A5B" w:rsidP="00F26493">
      <w:pPr>
        <w:pStyle w:val="Translit"/>
      </w:pPr>
      <w:r w:rsidRPr="008F03E5">
        <w:t>Abdu’l-‘Aziz</w:t>
      </w:r>
      <w:r w:rsidRPr="008F03E5">
        <w:tab/>
      </w:r>
      <w:bookmarkStart w:id="37" w:name="_Hlk60316821"/>
      <w:r w:rsidRPr="008F03E5">
        <w:t>‘Abdu’l-‘Azíz</w:t>
      </w:r>
      <w:r w:rsidRPr="008F03E5">
        <w:tab/>
        <w:t xml:space="preserve">(1830–1876) Sulṭán of </w:t>
      </w:r>
      <w:bookmarkEnd w:id="37"/>
      <w:r w:rsidRPr="008F03E5">
        <w:t>the Ottoman Empire</w:t>
      </w:r>
    </w:p>
    <w:p w14:paraId="26F897D1" w14:textId="77777777" w:rsidR="00625A5B" w:rsidRPr="008F03E5" w:rsidRDefault="00625A5B" w:rsidP="003479CC">
      <w:pPr>
        <w:pStyle w:val="Translit"/>
        <w:rPr>
          <w:rFonts w:eastAsia="PMingLiU"/>
          <w:lang w:eastAsia="zh-TW"/>
        </w:rPr>
      </w:pPr>
      <w:r w:rsidRPr="008F03E5">
        <w:rPr>
          <w:rFonts w:eastAsia="PMingLiU"/>
          <w:lang w:eastAsia="zh-TW"/>
        </w:rPr>
        <w:t>Abdu’l</w:t>
      </w:r>
      <w:r>
        <w:rPr>
          <w:rFonts w:eastAsia="PMingLiU"/>
          <w:lang w:eastAsia="zh-TW"/>
        </w:rPr>
        <w:t>-</w:t>
      </w:r>
      <w:r w:rsidRPr="008F03E5">
        <w:rPr>
          <w:rFonts w:eastAsia="PMingLiU"/>
          <w:lang w:eastAsia="zh-TW"/>
        </w:rPr>
        <w:t>… (“Abdil”, “Abdul”</w:t>
      </w:r>
      <w:r>
        <w:rPr>
          <w:rFonts w:eastAsia="PMingLiU"/>
          <w:lang w:eastAsia="zh-TW"/>
        </w:rPr>
        <w:t>, etc.</w:t>
      </w:r>
      <w:r w:rsidRPr="008F03E5">
        <w:rPr>
          <w:rFonts w:eastAsia="PMingLiU"/>
          <w:lang w:eastAsia="zh-TW"/>
        </w:rPr>
        <w:t>)</w:t>
      </w:r>
      <w:r w:rsidRPr="008F03E5">
        <w:rPr>
          <w:rFonts w:eastAsia="PMingLiU"/>
          <w:lang w:eastAsia="zh-TW"/>
        </w:rPr>
        <w:tab/>
        <w:t>‘Abdu’l</w:t>
      </w:r>
      <w:r>
        <w:rPr>
          <w:rFonts w:eastAsia="PMingLiU"/>
          <w:lang w:eastAsia="zh-TW"/>
        </w:rPr>
        <w:t>-</w:t>
      </w:r>
      <w:r w:rsidRPr="008F03E5">
        <w:rPr>
          <w:rFonts w:eastAsia="PMingLiU"/>
          <w:lang w:eastAsia="zh-TW"/>
        </w:rPr>
        <w:t>…</w:t>
      </w:r>
      <w:r w:rsidRPr="008F03E5">
        <w:rPr>
          <w:rFonts w:eastAsia="PMingLiU"/>
          <w:lang w:eastAsia="zh-TW"/>
        </w:rPr>
        <w:tab/>
      </w:r>
      <w:r>
        <w:rPr>
          <w:rFonts w:eastAsia="PMingLiU"/>
          <w:lang w:eastAsia="zh-TW"/>
        </w:rPr>
        <w:t xml:space="preserve">this is </w:t>
      </w:r>
      <w:r w:rsidRPr="004F2B7A">
        <w:rPr>
          <w:b/>
          <w:bCs/>
        </w:rPr>
        <w:t>not</w:t>
      </w:r>
      <w:r>
        <w:rPr>
          <w:rFonts w:eastAsia="PMingLiU"/>
          <w:lang w:eastAsia="zh-TW"/>
        </w:rPr>
        <w:t xml:space="preserve"> a name or word, it is an </w:t>
      </w:r>
      <w:r w:rsidRPr="008F03E5">
        <w:t>iḍáfa</w:t>
      </w:r>
      <w:r w:rsidRPr="008F03E5">
        <w:rPr>
          <w:rFonts w:eastAsia="PMingLiU"/>
          <w:lang w:eastAsia="zh-TW"/>
        </w:rPr>
        <w:t xml:space="preserve"> or </w:t>
      </w:r>
      <w:r w:rsidRPr="004F2B7A">
        <w:rPr>
          <w:b/>
          <w:bCs/>
        </w:rPr>
        <w:t>partial</w:t>
      </w:r>
      <w:r w:rsidRPr="008F03E5">
        <w:rPr>
          <w:rFonts w:eastAsia="PMingLiU"/>
          <w:lang w:eastAsia="zh-TW"/>
        </w:rPr>
        <w:t xml:space="preserve"> name [‘Abd</w:t>
      </w:r>
      <w:r>
        <w:rPr>
          <w:rFonts w:eastAsia="PMingLiU"/>
          <w:lang w:eastAsia="zh-TW"/>
        </w:rPr>
        <w:t>u</w:t>
      </w:r>
      <w:r w:rsidRPr="008F03E5">
        <w:rPr>
          <w:rFonts w:eastAsia="PMingLiU"/>
          <w:lang w:eastAsia="zh-TW"/>
        </w:rPr>
        <w:t xml:space="preserve"> (slave or servant) + ’l (the) = slave</w:t>
      </w:r>
      <w:r>
        <w:rPr>
          <w:rFonts w:eastAsia="PMingLiU"/>
          <w:lang w:eastAsia="zh-TW"/>
        </w:rPr>
        <w:t xml:space="preserve"> or servant</w:t>
      </w:r>
      <w:r w:rsidRPr="008F03E5">
        <w:rPr>
          <w:rFonts w:eastAsia="PMingLiU"/>
          <w:lang w:eastAsia="zh-TW"/>
        </w:rPr>
        <w:t xml:space="preserve"> of the …] followed by </w:t>
      </w:r>
      <w:r>
        <w:rPr>
          <w:rFonts w:eastAsia="PMingLiU"/>
          <w:lang w:eastAsia="zh-TW"/>
        </w:rPr>
        <w:t xml:space="preserve">the </w:t>
      </w:r>
      <w:r w:rsidRPr="004F2B7A">
        <w:rPr>
          <w:b/>
          <w:bCs/>
        </w:rPr>
        <w:t>second</w:t>
      </w:r>
      <w:r>
        <w:rPr>
          <w:rFonts w:eastAsia="PMingLiU"/>
          <w:lang w:eastAsia="zh-TW"/>
        </w:rPr>
        <w:t xml:space="preserve"> part of the</w:t>
      </w:r>
      <w:r w:rsidRPr="008F03E5">
        <w:rPr>
          <w:rFonts w:eastAsia="PMingLiU"/>
          <w:lang w:eastAsia="zh-TW"/>
        </w:rPr>
        <w:t xml:space="preserve"> name (e.g. of God</w:t>
      </w:r>
      <w:r>
        <w:rPr>
          <w:rFonts w:eastAsia="PMingLiU"/>
          <w:lang w:eastAsia="zh-TW"/>
        </w:rPr>
        <w:t>, ‘Abd All</w:t>
      </w:r>
      <w:r w:rsidRPr="003479CC">
        <w:t>á</w:t>
      </w:r>
      <w:r>
        <w:rPr>
          <w:rFonts w:eastAsia="PMingLiU"/>
          <w:lang w:eastAsia="zh-TW"/>
        </w:rPr>
        <w:t>h or ‘Abdu’ll</w:t>
      </w:r>
      <w:r w:rsidRPr="003479CC">
        <w:t>á</w:t>
      </w:r>
      <w:r>
        <w:rPr>
          <w:rFonts w:eastAsia="PMingLiU"/>
          <w:lang w:eastAsia="zh-TW"/>
        </w:rPr>
        <w:t>h</w:t>
      </w:r>
      <w:r w:rsidRPr="008F03E5">
        <w:rPr>
          <w:rFonts w:eastAsia="PMingLiU"/>
          <w:lang w:eastAsia="zh-TW"/>
        </w:rPr>
        <w:t>).</w:t>
      </w:r>
      <w:r>
        <w:rPr>
          <w:rFonts w:eastAsia="PMingLiU"/>
          <w:lang w:eastAsia="zh-TW"/>
        </w:rPr>
        <w:t xml:space="preserve">  The same applies where the “l” is replaced by a sun letter reflecting the first letter of the </w:t>
      </w:r>
      <w:r w:rsidRPr="004F2B7A">
        <w:rPr>
          <w:b/>
          <w:bCs/>
        </w:rPr>
        <w:t>second</w:t>
      </w:r>
      <w:r>
        <w:rPr>
          <w:rFonts w:eastAsia="PMingLiU"/>
          <w:lang w:eastAsia="zh-TW"/>
        </w:rPr>
        <w:t xml:space="preserve"> part of the name if it starts with one of the sun letters (e.g. </w:t>
      </w:r>
      <w:r w:rsidRPr="00EA23EC">
        <w:rPr>
          <w:lang w:val="en-AU"/>
        </w:rPr>
        <w:t>‘Abdu’s-Salám)</w:t>
      </w:r>
      <w:r>
        <w:rPr>
          <w:rFonts w:eastAsia="PMingLiU"/>
          <w:lang w:eastAsia="zh-TW"/>
        </w:rPr>
        <w:t>.</w:t>
      </w:r>
    </w:p>
    <w:p w14:paraId="29E4ED4A" w14:textId="77777777" w:rsidR="00625A5B" w:rsidRPr="008F03E5" w:rsidRDefault="00625A5B" w:rsidP="001156CF">
      <w:pPr>
        <w:pStyle w:val="Translit"/>
        <w:rPr>
          <w:rFonts w:eastAsia="PMingLiU"/>
          <w:lang w:eastAsia="zh-TW"/>
        </w:rPr>
      </w:pPr>
      <w:r w:rsidRPr="008F03E5">
        <w:rPr>
          <w:rFonts w:eastAsia="PMingLiU"/>
          <w:lang w:eastAsia="zh-TW"/>
        </w:rPr>
        <w:t>Abdu’l-Ahad</w:t>
      </w:r>
      <w:r w:rsidRPr="008F03E5">
        <w:rPr>
          <w:rFonts w:eastAsia="PMingLiU"/>
          <w:lang w:eastAsia="zh-TW"/>
        </w:rPr>
        <w:tab/>
        <w:t>‘Abdu’l-A</w:t>
      </w:r>
      <w:r w:rsidRPr="008F03E5">
        <w:t>ḥ</w:t>
      </w:r>
      <w:r w:rsidRPr="008F03E5">
        <w:rPr>
          <w:rFonts w:eastAsia="PMingLiU"/>
          <w:lang w:eastAsia="zh-TW"/>
        </w:rPr>
        <w:t>ad</w:t>
      </w:r>
      <w:r w:rsidRPr="008F03E5">
        <w:rPr>
          <w:rFonts w:eastAsia="PMingLiU"/>
          <w:lang w:eastAsia="zh-TW"/>
        </w:rPr>
        <w:tab/>
      </w:r>
      <w:r w:rsidRPr="008F03E5">
        <w:t xml:space="preserve">“servant of the only one”, a title of Mírzá Hádí </w:t>
      </w:r>
      <w:r w:rsidRPr="008F03E5">
        <w:rPr>
          <w:u w:val="single"/>
        </w:rPr>
        <w:t>Sh</w:t>
      </w:r>
      <w:r w:rsidRPr="008F03E5">
        <w:t>írází, who served Bahá’u’lláh in ‘Akká</w:t>
      </w:r>
    </w:p>
    <w:p w14:paraId="4E700AD8" w14:textId="77777777" w:rsidR="00625A5B" w:rsidRPr="008F03E5" w:rsidRDefault="00625A5B" w:rsidP="00F87A63">
      <w:pPr>
        <w:pStyle w:val="Translit"/>
      </w:pPr>
      <w:r w:rsidRPr="008F03E5">
        <w:t>Abdu’l-Baghi</w:t>
      </w:r>
      <w:r w:rsidRPr="008F03E5">
        <w:tab/>
        <w:t>‘Abdu’l-Ba</w:t>
      </w:r>
      <w:r w:rsidRPr="008F03E5">
        <w:rPr>
          <w:u w:val="single"/>
        </w:rPr>
        <w:t>gh</w:t>
      </w:r>
      <w:r w:rsidRPr="008F03E5">
        <w:t>í</w:t>
      </w:r>
      <w:r w:rsidRPr="008F03E5">
        <w:tab/>
        <w:t>Mírzá ‘Abdu’l-Ba</w:t>
      </w:r>
      <w:r w:rsidRPr="008F03E5">
        <w:rPr>
          <w:u w:val="single"/>
        </w:rPr>
        <w:t>gh</w:t>
      </w:r>
      <w:r w:rsidRPr="008F03E5">
        <w:t>í, father of Mírzá Aḥmad Suhráb (known as Mirza Ahmad Sohrab)</w:t>
      </w:r>
    </w:p>
    <w:p w14:paraId="3B5CEDF1" w14:textId="77777777" w:rsidR="00625A5B" w:rsidRPr="008F03E5" w:rsidRDefault="00625A5B" w:rsidP="00F9055E">
      <w:pPr>
        <w:pStyle w:val="Translit"/>
      </w:pPr>
      <w:r w:rsidRPr="008F03E5">
        <w:t>Abdu’l-Baha</w:t>
      </w:r>
      <w:r w:rsidRPr="008F03E5">
        <w:tab/>
        <w:t>‘Abdu’l-Bahá</w:t>
      </w:r>
      <w:r w:rsidRPr="008F03E5">
        <w:tab/>
        <w:t xml:space="preserve">“the Servant of Glory” (i.e. servant of Bahá).  ‘Abbás Afandí (“Effendi”) (23 May 1844–28 November 1921).  He initialled his correspondence, Tablets, etc., with the letters </w:t>
      </w:r>
      <w:r w:rsidRPr="008F03E5">
        <w:rPr>
          <w:rtl/>
        </w:rPr>
        <w:t>ع ع</w:t>
      </w:r>
      <w:r w:rsidRPr="008F03E5">
        <w:t xml:space="preserve"> (‘Ayn ‘Ayn, A.A.).  After the theft of His Seal, he signed with His name.  Following the passing of Bahá’u’lláh he asked to be known as ‘Abdu’l-Bahá.  Wife Munírih </w:t>
      </w:r>
      <w:r w:rsidRPr="008F03E5">
        <w:rPr>
          <w:u w:val="single"/>
        </w:rPr>
        <w:t>Kh</w:t>
      </w:r>
      <w:r w:rsidRPr="008F03E5">
        <w:t xml:space="preserve">ánum.  4 daughters:  Ḍíyá’íyyih (mother of Shoghi Effendi), Ṭúbá, Rúḥá and Munavvar.  The Shrine of ‘Abdu’l-Bahá (under construction, 2020–2022) is a low dome with gently sloping sides within a 170 m circle of gardens on the </w:t>
      </w:r>
      <w:r w:rsidRPr="008F03E5">
        <w:rPr>
          <w:sz w:val="16"/>
          <w:szCs w:val="16"/>
        </w:rPr>
        <w:t>NW</w:t>
      </w:r>
      <w:r w:rsidRPr="008F03E5">
        <w:t xml:space="preserve"> side of the Riḍván Garden to the east of ‘Akká.</w:t>
      </w:r>
    </w:p>
    <w:p w14:paraId="7720F87C" w14:textId="77777777" w:rsidR="00625A5B" w:rsidRPr="008F03E5" w:rsidRDefault="00625A5B" w:rsidP="00F87A63">
      <w:pPr>
        <w:pStyle w:val="Translit"/>
      </w:pPr>
      <w:r w:rsidRPr="008F03E5">
        <w:t>Abdu’l-Baqi</w:t>
      </w:r>
      <w:r w:rsidRPr="008F03E5">
        <w:tab/>
        <w:t>‘Abdu’l-Báqí</w:t>
      </w:r>
      <w:r w:rsidRPr="008F03E5">
        <w:tab/>
        <w:t>“servant of the everlasting”</w:t>
      </w:r>
    </w:p>
    <w:p w14:paraId="46E9A741" w14:textId="77777777" w:rsidR="00625A5B" w:rsidRPr="008F03E5" w:rsidRDefault="00625A5B" w:rsidP="00F87A63">
      <w:pPr>
        <w:pStyle w:val="Translit"/>
        <w:rPr>
          <w:rFonts w:eastAsia="PMingLiU"/>
          <w:lang w:eastAsia="zh-TW"/>
        </w:rPr>
      </w:pPr>
      <w:r w:rsidRPr="008F03E5">
        <w:rPr>
          <w:rFonts w:eastAsia="PMingLiU"/>
          <w:lang w:eastAsia="zh-TW"/>
        </w:rPr>
        <w:t>Abdu’l-B</w:t>
      </w:r>
      <w:r w:rsidRPr="008F03E5">
        <w:t>a</w:t>
      </w:r>
      <w:r w:rsidRPr="008F03E5">
        <w:rPr>
          <w:rFonts w:eastAsia="PMingLiU"/>
          <w:lang w:eastAsia="zh-TW"/>
        </w:rPr>
        <w:t>qir</w:t>
      </w:r>
      <w:r w:rsidRPr="008F03E5">
        <w:tab/>
      </w:r>
      <w:r w:rsidRPr="008F03E5">
        <w:rPr>
          <w:rFonts w:eastAsia="PMingLiU"/>
          <w:lang w:eastAsia="zh-TW"/>
        </w:rPr>
        <w:t>‘Abdu’l-B</w:t>
      </w:r>
      <w:r w:rsidRPr="008F03E5">
        <w:t>á</w:t>
      </w:r>
      <w:r w:rsidRPr="008F03E5">
        <w:rPr>
          <w:rFonts w:eastAsia="PMingLiU"/>
          <w:lang w:eastAsia="zh-TW"/>
        </w:rPr>
        <w:t>qir</w:t>
      </w:r>
      <w:r w:rsidRPr="008F03E5">
        <w:tab/>
      </w:r>
    </w:p>
    <w:p w14:paraId="0CC24C59" w14:textId="77777777" w:rsidR="00625A5B" w:rsidRPr="008F03E5" w:rsidRDefault="00625A5B" w:rsidP="00F87A63">
      <w:pPr>
        <w:pStyle w:val="Translit"/>
      </w:pPr>
      <w:r w:rsidRPr="008F03E5">
        <w:t>Abdu’l-Fattah</w:t>
      </w:r>
      <w:r w:rsidRPr="008F03E5">
        <w:tab/>
        <w:t>‘Abdu’l-Fattáḥ</w:t>
      </w:r>
      <w:r w:rsidRPr="008F03E5">
        <w:tab/>
        <w:t>“Servant of the Conqueror” (not Faṭṭáḥ)</w:t>
      </w:r>
    </w:p>
    <w:p w14:paraId="14F79CBF" w14:textId="77777777" w:rsidR="00625A5B" w:rsidRPr="008F03E5" w:rsidRDefault="00625A5B" w:rsidP="00F87A63">
      <w:pPr>
        <w:pStyle w:val="Translit"/>
      </w:pPr>
      <w:r w:rsidRPr="008F03E5">
        <w:t>Abdu’l-Ghaffar</w:t>
      </w:r>
      <w:r w:rsidRPr="008F03E5">
        <w:tab/>
        <w:t>‘Abdu’l-</w:t>
      </w:r>
      <w:r w:rsidRPr="008F03E5">
        <w:rPr>
          <w:u w:val="single"/>
        </w:rPr>
        <w:t>Gh</w:t>
      </w:r>
      <w:r w:rsidRPr="008F03E5">
        <w:t>affár</w:t>
      </w:r>
      <w:r w:rsidRPr="008F03E5">
        <w:tab/>
        <w:t>(</w:t>
      </w:r>
      <w:r w:rsidRPr="008F03E5">
        <w:rPr>
          <w:sz w:val="16"/>
          <w:szCs w:val="16"/>
        </w:rPr>
        <w:t>MF</w:t>
      </w:r>
      <w:r w:rsidRPr="008F03E5">
        <w:t>)</w:t>
      </w:r>
    </w:p>
    <w:p w14:paraId="7A44F784" w14:textId="77777777" w:rsidR="00625A5B" w:rsidRPr="008F03E5" w:rsidRDefault="00625A5B" w:rsidP="00F87A63">
      <w:pPr>
        <w:pStyle w:val="Translit"/>
      </w:pPr>
      <w:r w:rsidRPr="008F03E5">
        <w:t>Abdu’l-Ghani Baydun</w:t>
      </w:r>
      <w:r w:rsidRPr="008F03E5">
        <w:tab/>
        <w:t>‘Abdu’l-</w:t>
      </w:r>
      <w:r w:rsidRPr="008F03E5">
        <w:rPr>
          <w:u w:val="single"/>
        </w:rPr>
        <w:t>Gh</w:t>
      </w:r>
      <w:r w:rsidRPr="008F03E5">
        <w:t>aní Bayḍún</w:t>
      </w:r>
      <w:r w:rsidRPr="008F03E5">
        <w:tab/>
      </w:r>
    </w:p>
    <w:p w14:paraId="42D882A2" w14:textId="77777777" w:rsidR="00625A5B" w:rsidRPr="008F03E5" w:rsidRDefault="00625A5B" w:rsidP="00F87A63">
      <w:pPr>
        <w:pStyle w:val="Translit"/>
      </w:pPr>
      <w:r w:rsidRPr="008F03E5">
        <w:t>Abdu’l-Ghani</w:t>
      </w:r>
      <w:r w:rsidRPr="008F03E5">
        <w:tab/>
        <w:t>‘Abdu’l-</w:t>
      </w:r>
      <w:r w:rsidRPr="008F03E5">
        <w:rPr>
          <w:u w:val="single"/>
        </w:rPr>
        <w:t>Gh</w:t>
      </w:r>
      <w:r w:rsidRPr="008F03E5">
        <w:t>aní</w:t>
      </w:r>
      <w:r w:rsidRPr="008F03E5">
        <w:tab/>
      </w:r>
    </w:p>
    <w:p w14:paraId="0718481D" w14:textId="77777777" w:rsidR="00625A5B" w:rsidRPr="008F03E5" w:rsidRDefault="00625A5B" w:rsidP="00441318">
      <w:pPr>
        <w:pStyle w:val="Translit"/>
        <w:rPr>
          <w:rFonts w:eastAsia="PMingLiU"/>
          <w:lang w:eastAsia="zh-TW"/>
        </w:rPr>
      </w:pPr>
      <w:r w:rsidRPr="008F03E5">
        <w:rPr>
          <w:rFonts w:eastAsia="PMingLiU"/>
          <w:lang w:eastAsia="zh-TW"/>
        </w:rPr>
        <w:t>Abdu’l-H</w:t>
      </w:r>
      <w:r w:rsidRPr="008F03E5">
        <w:t>a</w:t>
      </w:r>
      <w:r w:rsidRPr="008F03E5">
        <w:rPr>
          <w:rFonts w:eastAsia="PMingLiU"/>
          <w:lang w:eastAsia="zh-TW"/>
        </w:rPr>
        <w:t>d</w:t>
      </w:r>
      <w:r w:rsidRPr="008F03E5">
        <w:t>i</w:t>
      </w:r>
      <w:r w:rsidRPr="008F03E5">
        <w:tab/>
      </w:r>
      <w:r w:rsidRPr="008F03E5">
        <w:rPr>
          <w:rFonts w:eastAsia="PMingLiU"/>
          <w:lang w:eastAsia="zh-TW"/>
        </w:rPr>
        <w:t>‘Abdu’l-H</w:t>
      </w:r>
      <w:r w:rsidRPr="008F03E5">
        <w:t>á</w:t>
      </w:r>
      <w:r w:rsidRPr="008F03E5">
        <w:rPr>
          <w:rFonts w:eastAsia="PMingLiU"/>
          <w:lang w:eastAsia="zh-TW"/>
        </w:rPr>
        <w:t>d</w:t>
      </w:r>
      <w:r w:rsidRPr="008F03E5">
        <w:t>í</w:t>
      </w:r>
      <w:r w:rsidRPr="008F03E5">
        <w:tab/>
      </w:r>
    </w:p>
    <w:p w14:paraId="49932A0C" w14:textId="77777777" w:rsidR="00625A5B" w:rsidRPr="008F03E5" w:rsidRDefault="00625A5B" w:rsidP="0026697D">
      <w:pPr>
        <w:pStyle w:val="Translit"/>
      </w:pPr>
      <w:r w:rsidRPr="008F03E5">
        <w:t>Abdu’l-Hamid</w:t>
      </w:r>
      <w:r w:rsidRPr="008F03E5">
        <w:tab/>
        <w:t>‘Abdu’l-Ḥamíd</w:t>
      </w:r>
      <w:r w:rsidRPr="008F03E5">
        <w:tab/>
        <w:t xml:space="preserve">‘Abdu’l-Ḥamíd </w:t>
      </w:r>
      <w:r w:rsidRPr="008F03E5">
        <w:rPr>
          <w:u w:val="single"/>
        </w:rPr>
        <w:t>Kh</w:t>
      </w:r>
      <w:r w:rsidRPr="008F03E5">
        <w:t>án (1842–1918), Sulṭán of the Ottoman Empire.  Nephew and successor of ‘Abdu’l-‘Azíz (both responsible for ‘Abdu’l-Bahá’s 40 year imprisonment).  Known as the “Great Assassin”.</w:t>
      </w:r>
    </w:p>
    <w:p w14:paraId="2DC0D9F7" w14:textId="77777777" w:rsidR="00625A5B" w:rsidRPr="008F03E5" w:rsidRDefault="00625A5B" w:rsidP="00F87A63">
      <w:pPr>
        <w:pStyle w:val="Translit"/>
        <w:rPr>
          <w:rFonts w:eastAsia="PMingLiU"/>
          <w:lang w:eastAsia="zh-TW"/>
        </w:rPr>
      </w:pPr>
      <w:r w:rsidRPr="008F03E5">
        <w:rPr>
          <w:rFonts w:eastAsia="PMingLiU"/>
          <w:lang w:eastAsia="zh-TW"/>
        </w:rPr>
        <w:t>Abdu’l-Haqq</w:t>
      </w:r>
      <w:r w:rsidRPr="008F03E5">
        <w:tab/>
      </w:r>
      <w:r w:rsidRPr="008F03E5">
        <w:rPr>
          <w:rFonts w:eastAsia="PMingLiU"/>
          <w:lang w:eastAsia="zh-TW"/>
        </w:rPr>
        <w:t>‘Abdu’l-</w:t>
      </w:r>
      <w:r w:rsidRPr="008F03E5">
        <w:t>Ḥ</w:t>
      </w:r>
      <w:r w:rsidRPr="008F03E5">
        <w:rPr>
          <w:rFonts w:eastAsia="PMingLiU"/>
          <w:lang w:eastAsia="zh-TW"/>
        </w:rPr>
        <w:t>aqq</w:t>
      </w:r>
      <w:r w:rsidRPr="008F03E5">
        <w:tab/>
      </w:r>
    </w:p>
    <w:p w14:paraId="5A7696C5" w14:textId="77777777" w:rsidR="00625A5B" w:rsidRPr="008F03E5" w:rsidRDefault="00625A5B" w:rsidP="00F87A63">
      <w:pPr>
        <w:pStyle w:val="Translit"/>
        <w:rPr>
          <w:rFonts w:eastAsia="PMingLiU"/>
          <w:lang w:eastAsia="zh-TW"/>
        </w:rPr>
      </w:pPr>
      <w:r w:rsidRPr="008F03E5">
        <w:rPr>
          <w:rFonts w:eastAsia="PMingLiU"/>
          <w:lang w:eastAsia="zh-TW"/>
        </w:rPr>
        <w:t>Abdu’l-Husayn</w:t>
      </w:r>
      <w:r w:rsidRPr="008F03E5">
        <w:tab/>
      </w:r>
      <w:r w:rsidRPr="008F03E5">
        <w:rPr>
          <w:rFonts w:eastAsia="PMingLiU"/>
          <w:lang w:eastAsia="zh-TW"/>
        </w:rPr>
        <w:t>‘Abdu’l-</w:t>
      </w:r>
      <w:r w:rsidRPr="008F03E5">
        <w:t>Ḥ</w:t>
      </w:r>
      <w:r w:rsidRPr="008F03E5">
        <w:rPr>
          <w:rFonts w:eastAsia="PMingLiU"/>
          <w:lang w:eastAsia="zh-TW"/>
        </w:rPr>
        <w:t>usayn</w:t>
      </w:r>
      <w:r w:rsidRPr="008F03E5">
        <w:tab/>
      </w:r>
    </w:p>
    <w:p w14:paraId="1282ECB2" w14:textId="77777777" w:rsidR="00625A5B" w:rsidRPr="008F03E5" w:rsidRDefault="00625A5B" w:rsidP="00692375">
      <w:pPr>
        <w:pStyle w:val="Translit"/>
      </w:pPr>
      <w:r w:rsidRPr="008F03E5">
        <w:t>Abdu’l-Husayn-i-Ayati</w:t>
      </w:r>
      <w:r w:rsidRPr="008F03E5">
        <w:tab/>
        <w:t>‘Abdu’l-Ḥusayn-i-Áyatí</w:t>
      </w:r>
      <w:r w:rsidRPr="008F03E5">
        <w:tab/>
        <w:t>‘Abdu’l-Ḥusayn-i-Áyatí (1871–1953) (known as Ávárih).  Iranian who converted back to Islam.</w:t>
      </w:r>
    </w:p>
    <w:p w14:paraId="43BF1612" w14:textId="77777777" w:rsidR="00625A5B" w:rsidRPr="008F03E5" w:rsidRDefault="00625A5B" w:rsidP="00F87A63">
      <w:pPr>
        <w:pStyle w:val="Translit"/>
        <w:rPr>
          <w:lang w:eastAsia="zh-TW"/>
        </w:rPr>
      </w:pPr>
      <w:r w:rsidRPr="008F03E5">
        <w:rPr>
          <w:lang w:eastAsia="zh-TW"/>
        </w:rPr>
        <w:t>Abdu’l-Husayn-i-Shushtar</w:t>
      </w:r>
      <w:r w:rsidRPr="008F03E5">
        <w:t>i</w:t>
      </w:r>
      <w:r w:rsidRPr="008F03E5">
        <w:tab/>
      </w:r>
      <w:r w:rsidRPr="008F03E5">
        <w:rPr>
          <w:lang w:eastAsia="zh-TW"/>
        </w:rPr>
        <w:t>‘Abdu’l-</w:t>
      </w:r>
      <w:r w:rsidRPr="008F03E5">
        <w:t>Ḥ</w:t>
      </w:r>
      <w:r w:rsidRPr="008F03E5">
        <w:rPr>
          <w:lang w:eastAsia="zh-TW"/>
        </w:rPr>
        <w:t>usayn-i-</w:t>
      </w:r>
      <w:r w:rsidRPr="008F03E5">
        <w:rPr>
          <w:u w:val="single"/>
        </w:rPr>
        <w:t>Sh</w:t>
      </w:r>
      <w:r w:rsidRPr="008F03E5">
        <w:t>u</w:t>
      </w:r>
      <w:r w:rsidRPr="008F03E5">
        <w:rPr>
          <w:u w:val="single"/>
        </w:rPr>
        <w:t>sh</w:t>
      </w:r>
      <w:r w:rsidRPr="008F03E5">
        <w:rPr>
          <w:lang w:eastAsia="zh-TW"/>
        </w:rPr>
        <w:t>tar</w:t>
      </w:r>
      <w:r w:rsidRPr="008F03E5">
        <w:t>í</w:t>
      </w:r>
      <w:r w:rsidRPr="008F03E5">
        <w:tab/>
      </w:r>
    </w:p>
    <w:p w14:paraId="14BE8D3A" w14:textId="77777777" w:rsidR="00625A5B" w:rsidRPr="008F03E5" w:rsidRDefault="00625A5B" w:rsidP="00F87A63">
      <w:pPr>
        <w:pStyle w:val="Translit"/>
        <w:rPr>
          <w:lang w:eastAsia="zh-TW"/>
        </w:rPr>
      </w:pPr>
      <w:r w:rsidRPr="008F03E5">
        <w:rPr>
          <w:lang w:eastAsia="zh-TW"/>
        </w:rPr>
        <w:t>Abdu’l-Jal</w:t>
      </w:r>
      <w:r w:rsidRPr="008F03E5">
        <w:t>i</w:t>
      </w:r>
      <w:r w:rsidRPr="008F03E5">
        <w:rPr>
          <w:lang w:eastAsia="zh-TW"/>
        </w:rPr>
        <w:t>l</w:t>
      </w:r>
      <w:r w:rsidRPr="008F03E5">
        <w:tab/>
      </w:r>
      <w:r w:rsidRPr="008F03E5">
        <w:rPr>
          <w:lang w:eastAsia="zh-TW"/>
        </w:rPr>
        <w:t>‘Abdu’l-Jal</w:t>
      </w:r>
      <w:r w:rsidRPr="008F03E5">
        <w:t>í</w:t>
      </w:r>
      <w:r w:rsidRPr="008F03E5">
        <w:rPr>
          <w:lang w:eastAsia="zh-TW"/>
        </w:rPr>
        <w:t>l</w:t>
      </w:r>
      <w:r w:rsidRPr="008F03E5">
        <w:tab/>
      </w:r>
    </w:p>
    <w:p w14:paraId="6D3CB7FE" w14:textId="77777777" w:rsidR="00625A5B" w:rsidRPr="008F03E5" w:rsidRDefault="00625A5B" w:rsidP="00F87A63">
      <w:pPr>
        <w:pStyle w:val="Translit"/>
        <w:rPr>
          <w:lang w:eastAsia="zh-TW"/>
        </w:rPr>
      </w:pPr>
      <w:r w:rsidRPr="008F03E5">
        <w:rPr>
          <w:lang w:eastAsia="zh-TW"/>
        </w:rPr>
        <w:t>Abdu’l-Jav</w:t>
      </w:r>
      <w:r w:rsidRPr="008F03E5">
        <w:t>a</w:t>
      </w:r>
      <w:r w:rsidRPr="008F03E5">
        <w:rPr>
          <w:lang w:eastAsia="zh-TW"/>
        </w:rPr>
        <w:t>d</w:t>
      </w:r>
      <w:r w:rsidRPr="008F03E5">
        <w:tab/>
      </w:r>
      <w:r w:rsidRPr="008F03E5">
        <w:rPr>
          <w:lang w:eastAsia="zh-TW"/>
        </w:rPr>
        <w:t>‘Abdu’l-Jav</w:t>
      </w:r>
      <w:r w:rsidRPr="008F03E5">
        <w:t>á</w:t>
      </w:r>
      <w:r w:rsidRPr="008F03E5">
        <w:rPr>
          <w:lang w:eastAsia="zh-TW"/>
        </w:rPr>
        <w:t>d</w:t>
      </w:r>
      <w:r w:rsidRPr="008F03E5">
        <w:tab/>
      </w:r>
    </w:p>
    <w:p w14:paraId="4D6B87E1" w14:textId="77777777" w:rsidR="00625A5B" w:rsidRPr="008F03E5" w:rsidRDefault="00625A5B" w:rsidP="00F87A63">
      <w:pPr>
        <w:pStyle w:val="Translit"/>
        <w:rPr>
          <w:lang w:eastAsia="zh-TW"/>
        </w:rPr>
      </w:pPr>
      <w:r w:rsidRPr="008F03E5">
        <w:rPr>
          <w:lang w:eastAsia="zh-TW"/>
        </w:rPr>
        <w:t>Abdu’l-Kar</w:t>
      </w:r>
      <w:r w:rsidRPr="008F03E5">
        <w:t>i</w:t>
      </w:r>
      <w:r w:rsidRPr="008F03E5">
        <w:rPr>
          <w:lang w:eastAsia="zh-TW"/>
        </w:rPr>
        <w:t>m</w:t>
      </w:r>
      <w:r w:rsidRPr="008F03E5">
        <w:tab/>
      </w:r>
      <w:r w:rsidRPr="008F03E5">
        <w:rPr>
          <w:lang w:eastAsia="zh-TW"/>
        </w:rPr>
        <w:t>‘Abdu’l-Kar</w:t>
      </w:r>
      <w:r w:rsidRPr="008F03E5">
        <w:t>í</w:t>
      </w:r>
      <w:r w:rsidRPr="008F03E5">
        <w:rPr>
          <w:lang w:eastAsia="zh-TW"/>
        </w:rPr>
        <w:t>m</w:t>
      </w:r>
      <w:r w:rsidRPr="008F03E5">
        <w:tab/>
      </w:r>
    </w:p>
    <w:p w14:paraId="31489F47" w14:textId="77777777" w:rsidR="00625A5B" w:rsidRPr="008F03E5" w:rsidRDefault="00625A5B" w:rsidP="00F87A63">
      <w:pPr>
        <w:pStyle w:val="Translit"/>
        <w:rPr>
          <w:lang w:eastAsia="zh-TW"/>
        </w:rPr>
      </w:pPr>
      <w:r w:rsidRPr="008F03E5">
        <w:rPr>
          <w:lang w:eastAsia="zh-TW"/>
        </w:rPr>
        <w:t>Abdu’l-Karim-i-</w:t>
      </w:r>
      <w:r w:rsidRPr="008F03E5">
        <w:t>I</w:t>
      </w:r>
      <w:r w:rsidRPr="008F03E5">
        <w:rPr>
          <w:lang w:eastAsia="zh-TW"/>
        </w:rPr>
        <w:t>rav</w:t>
      </w:r>
      <w:r w:rsidRPr="008F03E5">
        <w:t>a</w:t>
      </w:r>
      <w:r w:rsidRPr="008F03E5">
        <w:rPr>
          <w:lang w:eastAsia="zh-TW"/>
        </w:rPr>
        <w:t>n</w:t>
      </w:r>
      <w:r w:rsidRPr="008F03E5">
        <w:t>i</w:t>
      </w:r>
      <w:r w:rsidRPr="008F03E5">
        <w:tab/>
      </w:r>
      <w:r w:rsidRPr="008F03E5">
        <w:rPr>
          <w:lang w:eastAsia="zh-TW"/>
        </w:rPr>
        <w:t>‘Abdu’l-Karím-i-</w:t>
      </w:r>
      <w:r w:rsidRPr="008F03E5">
        <w:t>Í</w:t>
      </w:r>
      <w:r w:rsidRPr="008F03E5">
        <w:rPr>
          <w:lang w:eastAsia="zh-TW"/>
        </w:rPr>
        <w:t>rav</w:t>
      </w:r>
      <w:r w:rsidRPr="008F03E5">
        <w:t>á</w:t>
      </w:r>
      <w:r w:rsidRPr="008F03E5">
        <w:rPr>
          <w:lang w:eastAsia="zh-TW"/>
        </w:rPr>
        <w:t>n</w:t>
      </w:r>
      <w:r w:rsidRPr="008F03E5">
        <w:t>í</w:t>
      </w:r>
      <w:r w:rsidRPr="008F03E5">
        <w:tab/>
      </w:r>
    </w:p>
    <w:p w14:paraId="4A1326C8" w14:textId="77777777" w:rsidR="00625A5B" w:rsidRPr="008F03E5" w:rsidRDefault="00625A5B" w:rsidP="00F87A63">
      <w:pPr>
        <w:pStyle w:val="Translit"/>
      </w:pPr>
      <w:r w:rsidRPr="008F03E5">
        <w:t>Abdu’l-Karim-i-Qazvini</w:t>
      </w:r>
      <w:r w:rsidRPr="008F03E5">
        <w:tab/>
        <w:t>‘Abdu’l-Karím-i-Qazvíní</w:t>
      </w:r>
      <w:r w:rsidRPr="008F03E5">
        <w:tab/>
      </w:r>
    </w:p>
    <w:p w14:paraId="5BC3A524" w14:textId="77777777" w:rsidR="00625A5B" w:rsidRPr="008F03E5" w:rsidRDefault="00625A5B" w:rsidP="00F87A63">
      <w:pPr>
        <w:pStyle w:val="Translit"/>
      </w:pPr>
      <w:r w:rsidRPr="008F03E5">
        <w:t>Abdu’l-Karim-i-Tihrani</w:t>
      </w:r>
      <w:r w:rsidRPr="008F03E5">
        <w:tab/>
        <w:t>‘Abdu’l-Karím-i-Ṭihrání</w:t>
      </w:r>
      <w:r w:rsidRPr="008F03E5">
        <w:tab/>
      </w:r>
    </w:p>
    <w:p w14:paraId="7BA331C9" w14:textId="77777777" w:rsidR="00625A5B" w:rsidRPr="008F03E5" w:rsidRDefault="00625A5B" w:rsidP="00F87A63">
      <w:pPr>
        <w:pStyle w:val="Translit"/>
      </w:pPr>
      <w:r w:rsidRPr="008F03E5">
        <w:t>Abdu’l-Khaliq</w:t>
      </w:r>
      <w:r w:rsidRPr="008F03E5">
        <w:tab/>
        <w:t>‘Abdu’l-</w:t>
      </w:r>
      <w:r w:rsidRPr="008F03E5">
        <w:rPr>
          <w:u w:val="single"/>
        </w:rPr>
        <w:t>Kh</w:t>
      </w:r>
      <w:r w:rsidRPr="008F03E5">
        <w:t>áliq</w:t>
      </w:r>
      <w:r w:rsidRPr="008F03E5">
        <w:tab/>
        <w:t>“Servant of the Creator”</w:t>
      </w:r>
    </w:p>
    <w:p w14:paraId="3EB9F8CF" w14:textId="77777777" w:rsidR="00625A5B" w:rsidRPr="008F03E5" w:rsidRDefault="00625A5B" w:rsidP="00F87A63">
      <w:pPr>
        <w:pStyle w:val="Translit"/>
      </w:pPr>
      <w:r w:rsidRPr="008F03E5">
        <w:t>Abdu’l-Khaliq-i-Isfahani</w:t>
      </w:r>
      <w:r w:rsidRPr="008F03E5">
        <w:tab/>
        <w:t>‘Abdu’l-</w:t>
      </w:r>
      <w:r w:rsidRPr="008F03E5">
        <w:rPr>
          <w:u w:val="single"/>
        </w:rPr>
        <w:t>Kh</w:t>
      </w:r>
      <w:r w:rsidRPr="008F03E5">
        <w:t>áliq-i-Iṣfahání</w:t>
      </w:r>
      <w:r w:rsidRPr="008F03E5">
        <w:tab/>
        <w:t>he cut his throat when Ṭáhirih put aside her veil at the conference of Bada</w:t>
      </w:r>
      <w:r w:rsidRPr="008F03E5">
        <w:rPr>
          <w:u w:val="single"/>
        </w:rPr>
        <w:t>sh</w:t>
      </w:r>
      <w:r w:rsidRPr="008F03E5">
        <w:t>t</w:t>
      </w:r>
    </w:p>
    <w:p w14:paraId="7F8B02B9" w14:textId="77777777" w:rsidR="00625A5B" w:rsidRPr="008F03E5" w:rsidRDefault="00625A5B" w:rsidP="00F87A63">
      <w:pPr>
        <w:pStyle w:val="Translit"/>
      </w:pPr>
      <w:r w:rsidRPr="008F03E5">
        <w:t>Abdu’l-Khaliq-i-Yazdi</w:t>
      </w:r>
      <w:r w:rsidRPr="008F03E5">
        <w:tab/>
        <w:t>‘Abdu’l-</w:t>
      </w:r>
      <w:r w:rsidRPr="008F03E5">
        <w:rPr>
          <w:u w:val="single"/>
        </w:rPr>
        <w:t>Kh</w:t>
      </w:r>
      <w:r w:rsidRPr="008F03E5">
        <w:t>áliq-i-Yazdí</w:t>
      </w:r>
      <w:r w:rsidRPr="008F03E5">
        <w:tab/>
      </w:r>
    </w:p>
    <w:p w14:paraId="12F47822" w14:textId="77777777" w:rsidR="00625A5B" w:rsidRPr="008F03E5" w:rsidRDefault="00625A5B" w:rsidP="00CD6F26">
      <w:pPr>
        <w:pStyle w:val="Translit"/>
      </w:pPr>
      <w:r w:rsidRPr="008F03E5">
        <w:t>Abdu’llah ibn Abd al-Muttalib</w:t>
      </w:r>
      <w:r w:rsidRPr="008F03E5">
        <w:tab/>
        <w:t>‘Abdu’lláh ibn Abd al-</w:t>
      </w:r>
      <w:r w:rsidRPr="008F03E5">
        <w:rPr>
          <w:rFonts w:eastAsia="PMingLiU"/>
          <w:lang w:eastAsia="zh-TW"/>
        </w:rPr>
        <w:t>Mu</w:t>
      </w:r>
      <w:r w:rsidRPr="008F03E5">
        <w:t>ṭṭ</w:t>
      </w:r>
      <w:r w:rsidRPr="008F03E5">
        <w:rPr>
          <w:rFonts w:eastAsia="PMingLiU"/>
          <w:lang w:eastAsia="zh-TW"/>
        </w:rPr>
        <w:t>alib</w:t>
      </w:r>
      <w:r w:rsidRPr="008F03E5">
        <w:rPr>
          <w:rFonts w:eastAsia="PMingLiU"/>
          <w:lang w:eastAsia="zh-TW"/>
        </w:rPr>
        <w:tab/>
        <w:t>father of the Prophet Muḥammad (b. 546)</w:t>
      </w:r>
    </w:p>
    <w:p w14:paraId="47B16CAB" w14:textId="77777777" w:rsidR="00625A5B" w:rsidRPr="008F03E5" w:rsidRDefault="00625A5B" w:rsidP="00F87A63">
      <w:pPr>
        <w:pStyle w:val="Translit"/>
      </w:pPr>
      <w:r w:rsidRPr="008F03E5">
        <w:t>Abdu’llah ibn Ubayy</w:t>
      </w:r>
      <w:r w:rsidRPr="008F03E5">
        <w:tab/>
        <w:t>‘Abdu’lláh ibn Ubayy ibn Salúl</w:t>
      </w:r>
      <w:r w:rsidRPr="008F03E5">
        <w:tab/>
        <w:t>a powerful Medinite chief and a bitter opponent of Muḥammad, whose hopes of sovereignty were defeated when the Medinites asked Muḥammad to rule over them.  He was the leader of the Hypocrites (munáfiqún) who secretly resisted Muḥammad at Medina.</w:t>
      </w:r>
    </w:p>
    <w:p w14:paraId="7CA2BE6C" w14:textId="77777777" w:rsidR="00625A5B" w:rsidRPr="008F03E5" w:rsidRDefault="00625A5B" w:rsidP="00F87A63">
      <w:pPr>
        <w:pStyle w:val="Translit"/>
        <w:rPr>
          <w:rFonts w:eastAsia="PMingLiU"/>
          <w:lang w:eastAsia="zh-TW"/>
        </w:rPr>
      </w:pPr>
      <w:r w:rsidRPr="008F03E5">
        <w:rPr>
          <w:rFonts w:eastAsia="PMingLiU"/>
          <w:lang w:eastAsia="zh-TW"/>
        </w:rPr>
        <w:t>Abdu’llah Khan-i-Turkaman</w:t>
      </w:r>
      <w:r w:rsidRPr="008F03E5">
        <w:rPr>
          <w:rFonts w:eastAsia="PMingLiU"/>
          <w:lang w:eastAsia="zh-TW"/>
        </w:rPr>
        <w:tab/>
      </w:r>
      <w:r w:rsidRPr="008F03E5">
        <w:t xml:space="preserve">‘Abdu’lláh </w:t>
      </w:r>
      <w:r w:rsidRPr="008F03E5">
        <w:rPr>
          <w:u w:val="single"/>
        </w:rPr>
        <w:t>Kh</w:t>
      </w:r>
      <w:r w:rsidRPr="008F03E5">
        <w:t>án-i-Turkamán</w:t>
      </w:r>
      <w:r w:rsidRPr="008F03E5">
        <w:tab/>
        <w:t xml:space="preserve">a commander of forces attacking at </w:t>
      </w:r>
      <w:r w:rsidRPr="008F03E5">
        <w:rPr>
          <w:u w:val="single"/>
        </w:rPr>
        <w:t>Sh</w:t>
      </w:r>
      <w:r w:rsidRPr="008F03E5">
        <w:t>ay</w:t>
      </w:r>
      <w:r w:rsidRPr="008F03E5">
        <w:rPr>
          <w:u w:val="single"/>
        </w:rPr>
        <w:t>kh</w:t>
      </w:r>
      <w:r w:rsidRPr="008F03E5">
        <w:t xml:space="preserve"> Ṭabarsí (he was killed during the conflict)</w:t>
      </w:r>
    </w:p>
    <w:p w14:paraId="0A70416E" w14:textId="77777777" w:rsidR="00625A5B" w:rsidRPr="008F03E5" w:rsidRDefault="00625A5B" w:rsidP="00F87A63">
      <w:pPr>
        <w:pStyle w:val="Translit"/>
      </w:pPr>
      <w:r w:rsidRPr="008F03E5">
        <w:t>Abdu’llah Pasha</w:t>
      </w:r>
      <w:r w:rsidRPr="008F03E5">
        <w:tab/>
        <w:t>‘Abdu’lláh Pá</w:t>
      </w:r>
      <w:r w:rsidRPr="008F03E5">
        <w:rPr>
          <w:u w:val="single"/>
        </w:rPr>
        <w:t>sh</w:t>
      </w:r>
      <w:r w:rsidRPr="008F03E5">
        <w:t>á</w:t>
      </w:r>
      <w:r w:rsidRPr="008F03E5">
        <w:tab/>
        <w:t>his house in ‘Akká is now a Bahá’í centre.  Grid co-ordinates 32.923799, 35.068098</w:t>
      </w:r>
    </w:p>
    <w:p w14:paraId="0F8AC6BF" w14:textId="77777777" w:rsidR="00625A5B" w:rsidRPr="008F03E5" w:rsidRDefault="00625A5B" w:rsidP="002219A4">
      <w:pPr>
        <w:pStyle w:val="Translit"/>
      </w:pPr>
      <w:r w:rsidRPr="008F03E5">
        <w:t>Abdu’llah Yusuf ‘Ali</w:t>
      </w:r>
      <w:r w:rsidRPr="008F03E5">
        <w:tab/>
        <w:t>‘Abdu’lláh Yúsuf ‘Alí</w:t>
      </w:r>
      <w:r w:rsidRPr="008F03E5">
        <w:tab/>
        <w:t xml:space="preserve">(1872-1952) Indian barrister and translator of the Qur’án:  </w:t>
      </w:r>
      <w:r w:rsidRPr="008F03E5">
        <w:rPr>
          <w:i/>
          <w:iCs/>
        </w:rPr>
        <w:t>The Meaning of the Holy Qur’án</w:t>
      </w:r>
      <w:r w:rsidRPr="008F03E5">
        <w:t>.</w:t>
      </w:r>
    </w:p>
    <w:p w14:paraId="59F74030" w14:textId="77777777" w:rsidR="00625A5B" w:rsidRPr="008F03E5" w:rsidRDefault="00625A5B" w:rsidP="00F87A63">
      <w:pPr>
        <w:pStyle w:val="Translit"/>
        <w:rPr>
          <w:rFonts w:eastAsia="PMingLiU"/>
          <w:lang w:eastAsia="zh-TW"/>
        </w:rPr>
      </w:pPr>
      <w:r w:rsidRPr="008F03E5">
        <w:rPr>
          <w:rFonts w:eastAsia="PMingLiU"/>
          <w:lang w:eastAsia="zh-TW"/>
        </w:rPr>
        <w:t>Abdu’ll</w:t>
      </w:r>
      <w:r w:rsidRPr="008F03E5">
        <w:t>a</w:t>
      </w:r>
      <w:r w:rsidRPr="008F03E5">
        <w:rPr>
          <w:rFonts w:eastAsia="PMingLiU"/>
          <w:lang w:eastAsia="zh-TW"/>
        </w:rPr>
        <w:t>h-i-Ghawgh</w:t>
      </w:r>
      <w:r w:rsidRPr="008F03E5">
        <w:t>a’</w:t>
      </w:r>
      <w:r w:rsidRPr="008F03E5">
        <w:tab/>
      </w:r>
      <w:r w:rsidRPr="008F03E5">
        <w:rPr>
          <w:rFonts w:eastAsia="PMingLiU"/>
          <w:lang w:eastAsia="zh-TW"/>
        </w:rPr>
        <w:t>‘Abdu’ll</w:t>
      </w:r>
      <w:r w:rsidRPr="008F03E5">
        <w:t>á</w:t>
      </w:r>
      <w:r w:rsidRPr="008F03E5">
        <w:rPr>
          <w:rFonts w:eastAsia="PMingLiU"/>
          <w:lang w:eastAsia="zh-TW"/>
        </w:rPr>
        <w:t>h-i-</w:t>
      </w:r>
      <w:r w:rsidRPr="008F03E5">
        <w:rPr>
          <w:u w:val="single"/>
        </w:rPr>
        <w:t>Gh</w:t>
      </w:r>
      <w:r w:rsidRPr="008F03E5">
        <w:t>aw</w:t>
      </w:r>
      <w:r w:rsidRPr="008F03E5">
        <w:rPr>
          <w:u w:val="single"/>
        </w:rPr>
        <w:t>gh</w:t>
      </w:r>
      <w:r w:rsidRPr="008F03E5">
        <w:t>á’</w:t>
      </w:r>
      <w:r w:rsidRPr="008F03E5">
        <w:tab/>
      </w:r>
    </w:p>
    <w:p w14:paraId="7D66511E" w14:textId="77777777" w:rsidR="00625A5B" w:rsidRPr="008F03E5" w:rsidRDefault="00625A5B" w:rsidP="00F87A63">
      <w:pPr>
        <w:pStyle w:val="Translit"/>
      </w:pPr>
      <w:r w:rsidRPr="008F03E5">
        <w:t>Abdu’llah-i-Qazvini</w:t>
      </w:r>
      <w:r w:rsidRPr="008F03E5">
        <w:tab/>
        <w:t>‘Abdu’lláh-i-Qazvíní</w:t>
      </w:r>
      <w:r w:rsidRPr="008F03E5">
        <w:tab/>
      </w:r>
    </w:p>
    <w:p w14:paraId="5942EA60" w14:textId="77777777" w:rsidR="00625A5B" w:rsidRPr="008F03E5" w:rsidRDefault="00625A5B" w:rsidP="000A6842">
      <w:pPr>
        <w:pStyle w:val="Translit"/>
      </w:pPr>
      <w:r w:rsidRPr="008F03E5">
        <w:t>Abdu’l-Majid</w:t>
      </w:r>
      <w:r w:rsidRPr="008F03E5">
        <w:tab/>
        <w:t>‘Abdu’l-Majíd</w:t>
      </w:r>
      <w:r w:rsidRPr="008F03E5">
        <w:tab/>
        <w:t>Sulṭán of the Ottoman Empire (1823–1861)</w:t>
      </w:r>
    </w:p>
    <w:p w14:paraId="77265617" w14:textId="77777777" w:rsidR="00625A5B" w:rsidRPr="008F03E5" w:rsidRDefault="00625A5B" w:rsidP="00F87A63">
      <w:pPr>
        <w:pStyle w:val="Translit"/>
        <w:rPr>
          <w:rFonts w:eastAsia="PMingLiU"/>
          <w:lang w:eastAsia="zh-TW"/>
        </w:rPr>
      </w:pPr>
      <w:r w:rsidRPr="008F03E5">
        <w:rPr>
          <w:rFonts w:eastAsia="PMingLiU"/>
          <w:lang w:eastAsia="zh-TW"/>
        </w:rPr>
        <w:t>Abdu’l-Maj</w:t>
      </w:r>
      <w:r w:rsidRPr="008F03E5">
        <w:t>i</w:t>
      </w:r>
      <w:r w:rsidRPr="008F03E5">
        <w:rPr>
          <w:rFonts w:eastAsia="PMingLiU"/>
          <w:lang w:eastAsia="zh-TW"/>
        </w:rPr>
        <w:t>d-i-N</w:t>
      </w:r>
      <w:r w:rsidRPr="008F03E5">
        <w:t>i</w:t>
      </w:r>
      <w:r w:rsidRPr="008F03E5">
        <w:rPr>
          <w:rFonts w:eastAsia="PMingLiU"/>
          <w:lang w:eastAsia="zh-TW"/>
        </w:rPr>
        <w:t>sh</w:t>
      </w:r>
      <w:r w:rsidRPr="008F03E5">
        <w:t>a</w:t>
      </w:r>
      <w:r w:rsidRPr="008F03E5">
        <w:rPr>
          <w:rFonts w:eastAsia="PMingLiU"/>
          <w:lang w:eastAsia="zh-TW"/>
        </w:rPr>
        <w:t>b</w:t>
      </w:r>
      <w:r w:rsidRPr="008F03E5">
        <w:t>u</w:t>
      </w:r>
      <w:r w:rsidRPr="008F03E5">
        <w:rPr>
          <w:rFonts w:eastAsia="PMingLiU"/>
          <w:lang w:eastAsia="zh-TW"/>
        </w:rPr>
        <w:t>r</w:t>
      </w:r>
      <w:r w:rsidRPr="008F03E5">
        <w:t>i</w:t>
      </w:r>
      <w:r w:rsidRPr="008F03E5">
        <w:tab/>
      </w:r>
      <w:r w:rsidRPr="008F03E5">
        <w:rPr>
          <w:rFonts w:eastAsia="PMingLiU"/>
          <w:lang w:eastAsia="zh-TW"/>
        </w:rPr>
        <w:t>‘Abdu’l-Maj</w:t>
      </w:r>
      <w:r w:rsidRPr="008F03E5">
        <w:t>í</w:t>
      </w:r>
      <w:r w:rsidRPr="008F03E5">
        <w:rPr>
          <w:rFonts w:eastAsia="PMingLiU"/>
          <w:lang w:eastAsia="zh-TW"/>
        </w:rPr>
        <w:t>d-i-N</w:t>
      </w:r>
      <w:r w:rsidRPr="008F03E5">
        <w:t>í</w:t>
      </w:r>
      <w:r w:rsidRPr="008F03E5">
        <w:rPr>
          <w:u w:val="single"/>
        </w:rPr>
        <w:t>sh</w:t>
      </w:r>
      <w:r w:rsidRPr="008F03E5">
        <w:t>á</w:t>
      </w:r>
      <w:r w:rsidRPr="008F03E5">
        <w:rPr>
          <w:rFonts w:eastAsia="PMingLiU"/>
          <w:lang w:eastAsia="zh-TW"/>
        </w:rPr>
        <w:t>b</w:t>
      </w:r>
      <w:r w:rsidRPr="008F03E5">
        <w:t>ú</w:t>
      </w:r>
      <w:r w:rsidRPr="008F03E5">
        <w:rPr>
          <w:rFonts w:eastAsia="PMingLiU"/>
          <w:lang w:eastAsia="zh-TW"/>
        </w:rPr>
        <w:t>r</w:t>
      </w:r>
      <w:r w:rsidRPr="008F03E5">
        <w:t>í</w:t>
      </w:r>
      <w:r w:rsidRPr="008F03E5">
        <w:tab/>
      </w:r>
    </w:p>
    <w:p w14:paraId="14C19BCE" w14:textId="77777777" w:rsidR="00625A5B" w:rsidRPr="008F03E5" w:rsidRDefault="00625A5B" w:rsidP="00F87A63">
      <w:pPr>
        <w:pStyle w:val="Translit"/>
        <w:rPr>
          <w:rFonts w:eastAsia="PMingLiU"/>
          <w:lang w:eastAsia="zh-TW"/>
        </w:rPr>
      </w:pPr>
      <w:r w:rsidRPr="008F03E5">
        <w:rPr>
          <w:rFonts w:eastAsia="PMingLiU"/>
          <w:lang w:eastAsia="zh-TW"/>
        </w:rPr>
        <w:t>Abdu’l-Maj</w:t>
      </w:r>
      <w:r w:rsidRPr="008F03E5">
        <w:t>i</w:t>
      </w:r>
      <w:r w:rsidRPr="008F03E5">
        <w:rPr>
          <w:rFonts w:eastAsia="PMingLiU"/>
          <w:lang w:eastAsia="zh-TW"/>
        </w:rPr>
        <w:t>d-i-Sh</w:t>
      </w:r>
      <w:r w:rsidRPr="008F03E5">
        <w:t>i</w:t>
      </w:r>
      <w:r w:rsidRPr="008F03E5">
        <w:rPr>
          <w:rFonts w:eastAsia="PMingLiU"/>
          <w:lang w:eastAsia="zh-TW"/>
        </w:rPr>
        <w:t>r</w:t>
      </w:r>
      <w:r w:rsidRPr="008F03E5">
        <w:t>a</w:t>
      </w:r>
      <w:r w:rsidRPr="008F03E5">
        <w:rPr>
          <w:rFonts w:eastAsia="PMingLiU"/>
          <w:lang w:eastAsia="zh-TW"/>
        </w:rPr>
        <w:t>z</w:t>
      </w:r>
      <w:r w:rsidRPr="008F03E5">
        <w:t>i</w:t>
      </w:r>
      <w:r w:rsidRPr="008F03E5">
        <w:tab/>
      </w:r>
      <w:r w:rsidRPr="008F03E5">
        <w:rPr>
          <w:rFonts w:eastAsia="PMingLiU"/>
          <w:lang w:eastAsia="zh-TW"/>
        </w:rPr>
        <w:t>‘Abdu’l-Maj</w:t>
      </w:r>
      <w:r w:rsidRPr="008F03E5">
        <w:t>í</w:t>
      </w:r>
      <w:r w:rsidRPr="008F03E5">
        <w:rPr>
          <w:rFonts w:eastAsia="PMingLiU"/>
          <w:lang w:eastAsia="zh-TW"/>
        </w:rPr>
        <w:t>d-i-</w:t>
      </w:r>
      <w:r w:rsidRPr="008F03E5">
        <w:rPr>
          <w:u w:val="single"/>
        </w:rPr>
        <w:t>Sh</w:t>
      </w:r>
      <w:r w:rsidRPr="008F03E5">
        <w:t>í</w:t>
      </w:r>
      <w:r w:rsidRPr="008F03E5">
        <w:rPr>
          <w:rFonts w:eastAsia="PMingLiU"/>
          <w:lang w:eastAsia="zh-TW"/>
        </w:rPr>
        <w:t>r</w:t>
      </w:r>
      <w:r w:rsidRPr="008F03E5">
        <w:t>á</w:t>
      </w:r>
      <w:r w:rsidRPr="008F03E5">
        <w:rPr>
          <w:rFonts w:eastAsia="PMingLiU"/>
          <w:lang w:eastAsia="zh-TW"/>
        </w:rPr>
        <w:t>z</w:t>
      </w:r>
      <w:r w:rsidRPr="008F03E5">
        <w:t>í</w:t>
      </w:r>
      <w:r w:rsidRPr="008F03E5">
        <w:tab/>
      </w:r>
    </w:p>
    <w:p w14:paraId="6282F371" w14:textId="77777777" w:rsidR="00625A5B" w:rsidRPr="008F03E5" w:rsidRDefault="00625A5B" w:rsidP="00F87A63">
      <w:pPr>
        <w:pStyle w:val="Translit"/>
        <w:rPr>
          <w:rFonts w:eastAsia="PMingLiU"/>
          <w:lang w:eastAsia="zh-TW"/>
        </w:rPr>
      </w:pPr>
      <w:r w:rsidRPr="008F03E5">
        <w:t>Abdu’l-Malik</w:t>
      </w:r>
      <w:r w:rsidRPr="008F03E5">
        <w:tab/>
        <w:t>‘Abdu’l-Malik</w:t>
      </w:r>
      <w:r w:rsidRPr="008F03E5">
        <w:tab/>
        <w:t>f</w:t>
      </w:r>
      <w:r w:rsidRPr="008F03E5">
        <w:rPr>
          <w:rFonts w:eastAsia="PMingLiU"/>
          <w:lang w:eastAsia="zh-TW"/>
        </w:rPr>
        <w:t>ifth Umayyad Caliph</w:t>
      </w:r>
    </w:p>
    <w:p w14:paraId="54C22C70" w14:textId="77777777" w:rsidR="00625A5B" w:rsidRPr="008F03E5" w:rsidRDefault="00625A5B" w:rsidP="00F87A63">
      <w:pPr>
        <w:pStyle w:val="Translit"/>
        <w:rPr>
          <w:rFonts w:eastAsia="PMingLiU"/>
          <w:lang w:eastAsia="zh-TW"/>
        </w:rPr>
      </w:pPr>
      <w:r w:rsidRPr="008F03E5">
        <w:rPr>
          <w:rFonts w:eastAsia="PMingLiU"/>
          <w:lang w:eastAsia="zh-TW"/>
        </w:rPr>
        <w:t>Abdu’l-Muhammad</w:t>
      </w:r>
      <w:r w:rsidRPr="008F03E5">
        <w:tab/>
      </w:r>
      <w:r w:rsidRPr="008F03E5">
        <w:rPr>
          <w:rFonts w:eastAsia="PMingLiU"/>
          <w:lang w:eastAsia="zh-TW"/>
        </w:rPr>
        <w:t>‘Abdu’l-Mu</w:t>
      </w:r>
      <w:r w:rsidRPr="008F03E5">
        <w:t>ḥ</w:t>
      </w:r>
      <w:r w:rsidRPr="008F03E5">
        <w:rPr>
          <w:rFonts w:eastAsia="PMingLiU"/>
          <w:lang w:eastAsia="zh-TW"/>
        </w:rPr>
        <w:t>ammad</w:t>
      </w:r>
      <w:r w:rsidRPr="008F03E5">
        <w:tab/>
      </w:r>
    </w:p>
    <w:p w14:paraId="382F9E3A" w14:textId="77777777" w:rsidR="00625A5B" w:rsidRPr="008F03E5" w:rsidRDefault="00625A5B" w:rsidP="00F87A63">
      <w:pPr>
        <w:pStyle w:val="Translit"/>
      </w:pPr>
      <w:r w:rsidRPr="008F03E5">
        <w:t>Abdu’l-Qadir</w:t>
      </w:r>
      <w:r w:rsidRPr="008F03E5">
        <w:tab/>
        <w:t>‘Abdu’l-Qádir</w:t>
      </w:r>
      <w:r w:rsidRPr="008F03E5">
        <w:tab/>
      </w:r>
      <w:r w:rsidRPr="008F03E5">
        <w:rPr>
          <w:sz w:val="16"/>
          <w:szCs w:val="16"/>
        </w:rPr>
        <w:t>BKG</w:t>
      </w:r>
      <w:r w:rsidRPr="008F03E5">
        <w:t xml:space="preserve"> 124</w:t>
      </w:r>
    </w:p>
    <w:p w14:paraId="15D5F33C" w14:textId="77777777" w:rsidR="00625A5B" w:rsidRPr="008F03E5" w:rsidRDefault="00625A5B" w:rsidP="00F87A63">
      <w:pPr>
        <w:pStyle w:val="Translit"/>
        <w:rPr>
          <w:rFonts w:eastAsia="PMingLiU"/>
          <w:lang w:eastAsia="zh-TW"/>
        </w:rPr>
      </w:pPr>
      <w:r w:rsidRPr="008F03E5">
        <w:rPr>
          <w:rFonts w:eastAsia="PMingLiU"/>
          <w:lang w:eastAsia="zh-TW"/>
        </w:rPr>
        <w:t>Abdu’l-Vahh</w:t>
      </w:r>
      <w:r w:rsidRPr="008F03E5">
        <w:t>a</w:t>
      </w:r>
      <w:r w:rsidRPr="008F03E5">
        <w:rPr>
          <w:rFonts w:eastAsia="PMingLiU"/>
          <w:lang w:eastAsia="zh-TW"/>
        </w:rPr>
        <w:t>b-i-Qazv</w:t>
      </w:r>
      <w:r w:rsidRPr="008F03E5">
        <w:t>i</w:t>
      </w:r>
      <w:r w:rsidRPr="008F03E5">
        <w:rPr>
          <w:rFonts w:eastAsia="PMingLiU"/>
          <w:lang w:eastAsia="zh-TW"/>
        </w:rPr>
        <w:t>n</w:t>
      </w:r>
      <w:r w:rsidRPr="008F03E5">
        <w:t>i</w:t>
      </w:r>
      <w:r w:rsidRPr="008F03E5">
        <w:tab/>
      </w:r>
      <w:r w:rsidRPr="008F03E5">
        <w:rPr>
          <w:rFonts w:eastAsia="PMingLiU"/>
          <w:lang w:eastAsia="zh-TW"/>
        </w:rPr>
        <w:t>‘Abdu’l-Vahh</w:t>
      </w:r>
      <w:r w:rsidRPr="008F03E5">
        <w:t>á</w:t>
      </w:r>
      <w:r w:rsidRPr="008F03E5">
        <w:rPr>
          <w:rFonts w:eastAsia="PMingLiU"/>
          <w:lang w:eastAsia="zh-TW"/>
        </w:rPr>
        <w:t>b-i-Qazv</w:t>
      </w:r>
      <w:r w:rsidRPr="008F03E5">
        <w:t>í</w:t>
      </w:r>
      <w:r w:rsidRPr="008F03E5">
        <w:rPr>
          <w:rFonts w:eastAsia="PMingLiU"/>
          <w:lang w:eastAsia="zh-TW"/>
        </w:rPr>
        <w:t>n</w:t>
      </w:r>
      <w:r w:rsidRPr="008F03E5">
        <w:t>í</w:t>
      </w:r>
      <w:r w:rsidRPr="008F03E5">
        <w:tab/>
      </w:r>
    </w:p>
    <w:p w14:paraId="4BE1084F" w14:textId="77777777" w:rsidR="00625A5B" w:rsidRPr="008F03E5" w:rsidRDefault="00625A5B" w:rsidP="00F87A63">
      <w:pPr>
        <w:pStyle w:val="Translit"/>
        <w:rPr>
          <w:lang w:eastAsia="zh-TW"/>
        </w:rPr>
      </w:pPr>
      <w:r w:rsidRPr="008F03E5">
        <w:rPr>
          <w:lang w:eastAsia="zh-TW"/>
        </w:rPr>
        <w:t>Abdu’l-Vahh</w:t>
      </w:r>
      <w:r w:rsidRPr="008F03E5">
        <w:t>a</w:t>
      </w:r>
      <w:r w:rsidRPr="008F03E5">
        <w:rPr>
          <w:lang w:eastAsia="zh-TW"/>
        </w:rPr>
        <w:t>b-i-Sha’r</w:t>
      </w:r>
      <w:r w:rsidRPr="008F03E5">
        <w:t>a</w:t>
      </w:r>
      <w:r w:rsidRPr="008F03E5">
        <w:rPr>
          <w:lang w:eastAsia="zh-TW"/>
        </w:rPr>
        <w:t>n</w:t>
      </w:r>
      <w:r w:rsidRPr="008F03E5">
        <w:t>i</w:t>
      </w:r>
      <w:r w:rsidRPr="008F03E5">
        <w:tab/>
      </w:r>
      <w:r w:rsidRPr="008F03E5">
        <w:rPr>
          <w:lang w:eastAsia="zh-TW"/>
        </w:rPr>
        <w:t>‘Abdu’l-Vahh</w:t>
      </w:r>
      <w:r w:rsidRPr="008F03E5">
        <w:t>á</w:t>
      </w:r>
      <w:r w:rsidRPr="008F03E5">
        <w:rPr>
          <w:lang w:eastAsia="zh-TW"/>
        </w:rPr>
        <w:t>b-i-</w:t>
      </w:r>
      <w:r w:rsidRPr="008F03E5">
        <w:rPr>
          <w:u w:val="single"/>
        </w:rPr>
        <w:t>Sh</w:t>
      </w:r>
      <w:r w:rsidRPr="008F03E5">
        <w:rPr>
          <w:lang w:eastAsia="zh-TW"/>
        </w:rPr>
        <w:t>a‘r</w:t>
      </w:r>
      <w:r w:rsidRPr="008F03E5">
        <w:t>á</w:t>
      </w:r>
      <w:r w:rsidRPr="008F03E5">
        <w:rPr>
          <w:lang w:eastAsia="zh-TW"/>
        </w:rPr>
        <w:t>n</w:t>
      </w:r>
      <w:r w:rsidRPr="008F03E5">
        <w:t>í</w:t>
      </w:r>
      <w:r w:rsidRPr="008F03E5">
        <w:tab/>
      </w:r>
    </w:p>
    <w:p w14:paraId="13088B6E" w14:textId="77777777" w:rsidR="00625A5B" w:rsidRPr="008F03E5" w:rsidRDefault="00625A5B" w:rsidP="00A12CA7">
      <w:pPr>
        <w:pStyle w:val="Translit"/>
      </w:pPr>
      <w:r w:rsidRPr="008F03E5">
        <w:t>Abdu’l-Vahhab-i-Shirazi</w:t>
      </w:r>
      <w:r w:rsidRPr="008F03E5">
        <w:tab/>
        <w:t>‘Abdu’l-Vahháb-i-</w:t>
      </w:r>
      <w:r w:rsidRPr="008F03E5">
        <w:rPr>
          <w:u w:val="single"/>
        </w:rPr>
        <w:t>Sh</w:t>
      </w:r>
      <w:r w:rsidRPr="008F03E5">
        <w:t>írází</w:t>
      </w:r>
      <w:r w:rsidRPr="008F03E5">
        <w:tab/>
        <w:t xml:space="preserve">Pers. </w:t>
      </w:r>
      <w:r w:rsidRPr="006440E2">
        <w:t xml:space="preserve">Mírzá </w:t>
      </w:r>
      <w:r>
        <w:t>‘Abdu’l-Vahhab-i-</w:t>
      </w:r>
      <w:r w:rsidRPr="006440E2">
        <w:rPr>
          <w:rStyle w:val="TextChar"/>
          <w:u w:val="single"/>
        </w:rPr>
        <w:t>Sh</w:t>
      </w:r>
      <w:r w:rsidRPr="006440E2">
        <w:t>íráz</w:t>
      </w:r>
      <w:r>
        <w:t xml:space="preserve">í, martyred in </w:t>
      </w:r>
      <w:r w:rsidRPr="00A12CA7">
        <w:t>Ṭ</w:t>
      </w:r>
      <w:r>
        <w:t>ihr</w:t>
      </w:r>
      <w:r w:rsidRPr="00A12CA7">
        <w:t>á</w:t>
      </w:r>
      <w:r>
        <w:t>n</w:t>
      </w:r>
    </w:p>
    <w:p w14:paraId="49D9AE70" w14:textId="77777777" w:rsidR="00625A5B" w:rsidRPr="008F03E5" w:rsidRDefault="00625A5B" w:rsidP="00F87A63">
      <w:pPr>
        <w:pStyle w:val="Translit"/>
        <w:rPr>
          <w:rFonts w:eastAsia="PMingLiU"/>
          <w:lang w:eastAsia="zh-TW"/>
        </w:rPr>
      </w:pPr>
      <w:r w:rsidRPr="008F03E5">
        <w:rPr>
          <w:rFonts w:eastAsia="PMingLiU"/>
          <w:lang w:eastAsia="zh-TW"/>
        </w:rPr>
        <w:t>Abdu’l-Vahh</w:t>
      </w:r>
      <w:r w:rsidRPr="008F03E5">
        <w:t>a</w:t>
      </w:r>
      <w:r w:rsidRPr="008F03E5">
        <w:rPr>
          <w:rFonts w:eastAsia="PMingLiU"/>
          <w:lang w:eastAsia="zh-TW"/>
        </w:rPr>
        <w:t>b-i-Tursh</w:t>
      </w:r>
      <w:r w:rsidRPr="008F03E5">
        <w:t>i</w:t>
      </w:r>
      <w:r w:rsidRPr="008F03E5">
        <w:rPr>
          <w:rFonts w:eastAsia="PMingLiU"/>
          <w:lang w:eastAsia="zh-TW"/>
        </w:rPr>
        <w:t>z</w:t>
      </w:r>
      <w:r w:rsidRPr="008F03E5">
        <w:t>i</w:t>
      </w:r>
      <w:r w:rsidRPr="008F03E5">
        <w:tab/>
      </w:r>
      <w:r w:rsidRPr="008F03E5">
        <w:rPr>
          <w:rFonts w:eastAsia="PMingLiU"/>
          <w:lang w:eastAsia="zh-TW"/>
        </w:rPr>
        <w:t>‘Abdu’l-Vahh</w:t>
      </w:r>
      <w:r w:rsidRPr="008F03E5">
        <w:t>á</w:t>
      </w:r>
      <w:r w:rsidRPr="008F03E5">
        <w:rPr>
          <w:rFonts w:eastAsia="PMingLiU"/>
          <w:lang w:eastAsia="zh-TW"/>
        </w:rPr>
        <w:t>b-i-Tur</w:t>
      </w:r>
      <w:r w:rsidRPr="008F03E5">
        <w:rPr>
          <w:u w:val="single"/>
        </w:rPr>
        <w:t>sh</w:t>
      </w:r>
      <w:r w:rsidRPr="008F03E5">
        <w:t>í</w:t>
      </w:r>
      <w:r w:rsidRPr="008F03E5">
        <w:rPr>
          <w:rFonts w:eastAsia="PMingLiU"/>
          <w:lang w:eastAsia="zh-TW"/>
        </w:rPr>
        <w:t>z</w:t>
      </w:r>
      <w:r w:rsidRPr="008F03E5">
        <w:t>í</w:t>
      </w:r>
      <w:r w:rsidRPr="008F03E5">
        <w:tab/>
      </w:r>
    </w:p>
    <w:p w14:paraId="3F05D05C" w14:textId="77777777" w:rsidR="00625A5B" w:rsidRPr="008F03E5" w:rsidRDefault="00625A5B" w:rsidP="00F87A63">
      <w:pPr>
        <w:pStyle w:val="Translit"/>
        <w:rPr>
          <w:rFonts w:eastAsia="PMingLiU"/>
          <w:lang w:eastAsia="zh-TW"/>
        </w:rPr>
      </w:pPr>
      <w:r w:rsidRPr="008F03E5">
        <w:rPr>
          <w:rFonts w:eastAsia="PMingLiU"/>
          <w:lang w:eastAsia="zh-TW"/>
        </w:rPr>
        <w:t>Abdu’l-V</w:t>
      </w:r>
      <w:r w:rsidRPr="008F03E5">
        <w:t>a</w:t>
      </w:r>
      <w:r w:rsidRPr="008F03E5">
        <w:rPr>
          <w:rFonts w:eastAsia="PMingLiU"/>
          <w:lang w:eastAsia="zh-TW"/>
        </w:rPr>
        <w:t>si’</w:t>
      </w:r>
      <w:r w:rsidRPr="008F03E5">
        <w:tab/>
      </w:r>
      <w:r w:rsidRPr="008F03E5">
        <w:rPr>
          <w:rFonts w:eastAsia="PMingLiU"/>
          <w:lang w:eastAsia="zh-TW"/>
        </w:rPr>
        <w:t>‘Abdu’l-V</w:t>
      </w:r>
      <w:r w:rsidRPr="008F03E5">
        <w:t>á</w:t>
      </w:r>
      <w:r w:rsidRPr="008F03E5">
        <w:rPr>
          <w:rFonts w:eastAsia="PMingLiU"/>
          <w:lang w:eastAsia="zh-TW"/>
        </w:rPr>
        <w:t>si‘</w:t>
      </w:r>
      <w:r w:rsidRPr="008F03E5">
        <w:tab/>
      </w:r>
    </w:p>
    <w:p w14:paraId="5D1732CF" w14:textId="77777777" w:rsidR="00625A5B" w:rsidRPr="008F03E5" w:rsidRDefault="00625A5B" w:rsidP="00F87A63">
      <w:pPr>
        <w:pStyle w:val="Translit"/>
      </w:pPr>
      <w:r w:rsidRPr="008F03E5">
        <w:t>Abdu’r-Rahim-i-Qannad</w:t>
      </w:r>
      <w:r w:rsidRPr="008F03E5">
        <w:tab/>
        <w:t>‘Abdu’r-Raḥím-i-Qannád</w:t>
      </w:r>
      <w:r w:rsidRPr="008F03E5">
        <w:tab/>
      </w:r>
    </w:p>
    <w:p w14:paraId="5E0523C9" w14:textId="77777777" w:rsidR="00625A5B" w:rsidRPr="008F03E5" w:rsidRDefault="00625A5B" w:rsidP="00F87A63">
      <w:pPr>
        <w:pStyle w:val="Translit"/>
      </w:pPr>
      <w:r w:rsidRPr="008F03E5">
        <w:t>Abdu’r-Rahim-i-Yazdi</w:t>
      </w:r>
      <w:r w:rsidRPr="008F03E5">
        <w:tab/>
        <w:t>‘Abdu’r-Raḥím-i-Yazdí</w:t>
      </w:r>
      <w:r w:rsidRPr="008F03E5">
        <w:tab/>
        <w:t>(</w:t>
      </w:r>
      <w:r w:rsidRPr="008F03E5">
        <w:rPr>
          <w:sz w:val="16"/>
          <w:szCs w:val="16"/>
        </w:rPr>
        <w:t>MF</w:t>
      </w:r>
      <w:r w:rsidRPr="008F03E5">
        <w:t>)</w:t>
      </w:r>
    </w:p>
    <w:p w14:paraId="063AC824" w14:textId="77777777" w:rsidR="00625A5B" w:rsidRPr="008F03E5" w:rsidRDefault="00625A5B" w:rsidP="00F87A63">
      <w:pPr>
        <w:pStyle w:val="Translit"/>
      </w:pPr>
      <w:r w:rsidRPr="008F03E5">
        <w:t>Abdu’r-Rahman Afandi Alusi</w:t>
      </w:r>
      <w:r w:rsidRPr="008F03E5">
        <w:tab/>
        <w:t>‘Abdu’r-Raḥmán Afandí Álúsí</w:t>
      </w:r>
      <w:r w:rsidRPr="008F03E5">
        <w:tab/>
      </w:r>
    </w:p>
    <w:p w14:paraId="181CB2B2" w14:textId="77777777" w:rsidR="00625A5B" w:rsidRPr="008F03E5" w:rsidRDefault="00625A5B" w:rsidP="00F87A63">
      <w:pPr>
        <w:pStyle w:val="Translit"/>
      </w:pPr>
      <w:r w:rsidRPr="008F03E5">
        <w:t>Abdu’r-Rahman-i-Karkuti</w:t>
      </w:r>
      <w:r w:rsidRPr="008F03E5">
        <w:tab/>
        <w:t>‘Abdu’r-Raḥmán-i-Kárkútí</w:t>
      </w:r>
      <w:r w:rsidRPr="008F03E5">
        <w:tab/>
      </w:r>
    </w:p>
    <w:p w14:paraId="2000112F" w14:textId="77777777" w:rsidR="00625A5B" w:rsidRPr="00D45A23" w:rsidRDefault="00625A5B" w:rsidP="00F87A63">
      <w:pPr>
        <w:pStyle w:val="Translit"/>
        <w:rPr>
          <w:lang w:val="it-IT"/>
        </w:rPr>
      </w:pPr>
      <w:r w:rsidRPr="00D45A23">
        <w:rPr>
          <w:lang w:val="it-IT"/>
        </w:rPr>
        <w:t>Abdu’r-Rasul-i-Qumi</w:t>
      </w:r>
      <w:r w:rsidRPr="00D45A23">
        <w:rPr>
          <w:lang w:val="it-IT"/>
        </w:rPr>
        <w:tab/>
        <w:t>‘Abdu’r-Rasúl-i-Qumí</w:t>
      </w:r>
      <w:r w:rsidRPr="00D45A23">
        <w:rPr>
          <w:lang w:val="it-IT"/>
        </w:rPr>
        <w:tab/>
      </w:r>
    </w:p>
    <w:p w14:paraId="3DA00C98" w14:textId="77777777" w:rsidR="00625A5B" w:rsidRPr="00D45A23" w:rsidRDefault="00625A5B" w:rsidP="00F87A63">
      <w:pPr>
        <w:pStyle w:val="Translit"/>
        <w:rPr>
          <w:lang w:val="it-IT"/>
        </w:rPr>
      </w:pPr>
      <w:r w:rsidRPr="00D45A23">
        <w:rPr>
          <w:lang w:val="it-IT"/>
        </w:rPr>
        <w:t>Abdu’r-Razzaq</w:t>
      </w:r>
      <w:r w:rsidRPr="00D45A23">
        <w:rPr>
          <w:lang w:val="it-IT"/>
        </w:rPr>
        <w:tab/>
        <w:t>‘Abdu’r-Razzáq</w:t>
      </w:r>
      <w:r w:rsidRPr="00D45A23">
        <w:rPr>
          <w:lang w:val="it-IT"/>
        </w:rPr>
        <w:tab/>
      </w:r>
    </w:p>
    <w:p w14:paraId="400FF8DD" w14:textId="77777777" w:rsidR="00625A5B" w:rsidRPr="00D45A23" w:rsidRDefault="00625A5B" w:rsidP="00F87A63">
      <w:pPr>
        <w:pStyle w:val="Translit"/>
        <w:rPr>
          <w:lang w:val="it-IT"/>
        </w:rPr>
      </w:pPr>
      <w:r w:rsidRPr="00D45A23">
        <w:rPr>
          <w:rFonts w:eastAsia="PMingLiU"/>
          <w:lang w:val="it-IT" w:eastAsia="zh-TW"/>
        </w:rPr>
        <w:t>Abdu’sh-Shams, ‘Abd Shams</w:t>
      </w:r>
      <w:r w:rsidRPr="00D45A23">
        <w:rPr>
          <w:lang w:val="it-IT"/>
        </w:rPr>
        <w:tab/>
      </w:r>
      <w:r w:rsidRPr="00D45A23">
        <w:rPr>
          <w:rFonts w:eastAsia="PMingLiU"/>
          <w:lang w:val="it-IT" w:eastAsia="zh-TW"/>
        </w:rPr>
        <w:t>‘Abdu’</w:t>
      </w:r>
      <w:r w:rsidRPr="00D45A23">
        <w:rPr>
          <w:u w:val="single"/>
          <w:lang w:val="it-IT"/>
        </w:rPr>
        <w:t>sh</w:t>
      </w:r>
      <w:r w:rsidRPr="00D45A23">
        <w:rPr>
          <w:lang w:val="it-IT"/>
        </w:rPr>
        <w:t>-</w:t>
      </w:r>
      <w:r w:rsidRPr="00D45A23">
        <w:rPr>
          <w:u w:val="single"/>
          <w:lang w:val="it-IT"/>
        </w:rPr>
        <w:t>Sh</w:t>
      </w:r>
      <w:r w:rsidRPr="00D45A23">
        <w:rPr>
          <w:lang w:val="it-IT"/>
        </w:rPr>
        <w:t xml:space="preserve">ams or ‘Abd </w:t>
      </w:r>
      <w:r w:rsidRPr="00D45A23">
        <w:rPr>
          <w:u w:val="single"/>
          <w:lang w:val="it-IT"/>
        </w:rPr>
        <w:t>Sh</w:t>
      </w:r>
      <w:r w:rsidRPr="00D45A23">
        <w:rPr>
          <w:lang w:val="it-IT"/>
        </w:rPr>
        <w:t>ams</w:t>
      </w:r>
      <w:r w:rsidRPr="00D45A23">
        <w:rPr>
          <w:lang w:val="it-IT"/>
        </w:rPr>
        <w:tab/>
        <w:t xml:space="preserve">‘Abd </w:t>
      </w:r>
      <w:r w:rsidRPr="00D45A23">
        <w:rPr>
          <w:u w:val="single"/>
          <w:lang w:val="it-IT"/>
        </w:rPr>
        <w:t>Sh</w:t>
      </w:r>
      <w:r w:rsidRPr="00D45A23">
        <w:rPr>
          <w:lang w:val="it-IT"/>
        </w:rPr>
        <w:t>ams ibn ‘Abd Manáf was the oldest son of ‘Abd Manáf al-Mu</w:t>
      </w:r>
      <w:r w:rsidRPr="00D45A23">
        <w:rPr>
          <w:u w:val="single"/>
          <w:lang w:val="it-IT"/>
        </w:rPr>
        <w:t>ghí</w:t>
      </w:r>
      <w:r w:rsidRPr="00D45A23">
        <w:rPr>
          <w:lang w:val="it-IT"/>
        </w:rPr>
        <w:t>rah ibn Quṣayy (great-great-grandfather of Muḥammad through his son Há</w:t>
      </w:r>
      <w:r w:rsidRPr="00D45A23">
        <w:rPr>
          <w:u w:val="single"/>
          <w:lang w:val="it-IT"/>
        </w:rPr>
        <w:t>sh</w:t>
      </w:r>
      <w:r w:rsidRPr="00D45A23">
        <w:rPr>
          <w:lang w:val="it-IT"/>
        </w:rPr>
        <w:t>im) and grandson of Quṣayy ibn Kiláb.</w:t>
      </w:r>
    </w:p>
    <w:p w14:paraId="3FCB015D" w14:textId="77777777" w:rsidR="00625A5B" w:rsidRPr="00D45A23" w:rsidRDefault="00625A5B" w:rsidP="00F87A63">
      <w:pPr>
        <w:pStyle w:val="Translit"/>
        <w:rPr>
          <w:lang w:val="it-IT"/>
        </w:rPr>
      </w:pPr>
      <w:r w:rsidRPr="00D45A23">
        <w:rPr>
          <w:lang w:val="it-IT"/>
        </w:rPr>
        <w:t>Abdu’s-Sahib</w:t>
      </w:r>
      <w:r w:rsidRPr="00D45A23">
        <w:rPr>
          <w:lang w:val="it-IT"/>
        </w:rPr>
        <w:tab/>
        <w:t>‘Abdu’ṣ-Ṣáḥib</w:t>
      </w:r>
      <w:r w:rsidRPr="00D45A23">
        <w:rPr>
          <w:lang w:val="it-IT"/>
        </w:rPr>
        <w:tab/>
      </w:r>
    </w:p>
    <w:p w14:paraId="6A0026C6" w14:textId="77777777" w:rsidR="00625A5B" w:rsidRPr="00D45A23" w:rsidRDefault="00625A5B" w:rsidP="00F87A63">
      <w:pPr>
        <w:pStyle w:val="Translit"/>
        <w:rPr>
          <w:lang w:val="it-IT"/>
        </w:rPr>
      </w:pPr>
      <w:r w:rsidRPr="00D45A23">
        <w:rPr>
          <w:lang w:val="it-IT"/>
        </w:rPr>
        <w:t>Abdu’s-Salam</w:t>
      </w:r>
      <w:r w:rsidRPr="00D45A23">
        <w:rPr>
          <w:lang w:val="it-IT"/>
        </w:rPr>
        <w:tab/>
        <w:t>‘Abdu’s-Salám</w:t>
      </w:r>
      <w:r w:rsidRPr="00D45A23">
        <w:rPr>
          <w:lang w:val="it-IT"/>
        </w:rPr>
        <w:tab/>
      </w:r>
    </w:p>
    <w:p w14:paraId="22DC598A" w14:textId="77777777" w:rsidR="00625A5B" w:rsidRPr="008F03E5" w:rsidRDefault="00625A5B" w:rsidP="006F014C">
      <w:pPr>
        <w:pStyle w:val="Translit"/>
      </w:pPr>
      <w:r w:rsidRPr="008F03E5">
        <w:t>Abdu’s-Salih</w:t>
      </w:r>
      <w:r w:rsidRPr="008F03E5">
        <w:tab/>
        <w:t>‘Abdu’ṣ-Ṣáliḥ</w:t>
      </w:r>
      <w:r w:rsidRPr="008F03E5">
        <w:tab/>
        <w:t>the Gardener of the Ri</w:t>
      </w:r>
      <w:r w:rsidRPr="006F014C">
        <w:t>ḍ</w:t>
      </w:r>
      <w:r w:rsidRPr="008F03E5">
        <w:t>ván Garden, ‘Akká</w:t>
      </w:r>
    </w:p>
    <w:p w14:paraId="7A63D447" w14:textId="77777777" w:rsidR="00625A5B" w:rsidRPr="008F03E5" w:rsidRDefault="00625A5B" w:rsidP="00F87A63">
      <w:pPr>
        <w:pStyle w:val="Translit"/>
      </w:pPr>
      <w:r w:rsidRPr="008F03E5">
        <w:t>Abdu’s-Samad</w:t>
      </w:r>
      <w:r w:rsidRPr="008F03E5">
        <w:tab/>
        <w:t>‘Abdu’ṣ-Ṣamad</w:t>
      </w:r>
      <w:r w:rsidRPr="008F03E5">
        <w:tab/>
        <w:t>(Sammad)</w:t>
      </w:r>
    </w:p>
    <w:p w14:paraId="62D39D21" w14:textId="77777777" w:rsidR="00625A5B" w:rsidRPr="008F03E5" w:rsidRDefault="00625A5B" w:rsidP="00F87A63">
      <w:pPr>
        <w:pStyle w:val="Translit"/>
        <w:rPr>
          <w:rFonts w:eastAsia="PMingLiU"/>
          <w:lang w:eastAsia="zh-TW"/>
        </w:rPr>
      </w:pPr>
      <w:r w:rsidRPr="008F03E5">
        <w:rPr>
          <w:rFonts w:eastAsia="PMingLiU"/>
          <w:lang w:eastAsia="zh-TW"/>
        </w:rPr>
        <w:t>Abdu’s-Samad-i-Hamad</w:t>
      </w:r>
      <w:r w:rsidRPr="008F03E5">
        <w:t>a</w:t>
      </w:r>
      <w:r w:rsidRPr="008F03E5">
        <w:rPr>
          <w:rFonts w:eastAsia="PMingLiU"/>
          <w:lang w:eastAsia="zh-TW"/>
        </w:rPr>
        <w:t>n</w:t>
      </w:r>
      <w:r w:rsidRPr="008F03E5">
        <w:t>i</w:t>
      </w:r>
      <w:r w:rsidRPr="008F03E5">
        <w:tab/>
      </w:r>
      <w:r w:rsidRPr="008F03E5">
        <w:rPr>
          <w:rFonts w:eastAsia="PMingLiU"/>
          <w:lang w:eastAsia="zh-TW"/>
        </w:rPr>
        <w:t>‘Abdu’</w:t>
      </w:r>
      <w:r w:rsidRPr="008F03E5">
        <w:t>ṣ</w:t>
      </w:r>
      <w:r w:rsidRPr="008F03E5">
        <w:rPr>
          <w:rFonts w:eastAsia="PMingLiU"/>
          <w:lang w:eastAsia="zh-TW"/>
        </w:rPr>
        <w:t>-</w:t>
      </w:r>
      <w:r w:rsidRPr="008F03E5">
        <w:t>Ṣ</w:t>
      </w:r>
      <w:r w:rsidRPr="008F03E5">
        <w:rPr>
          <w:rFonts w:eastAsia="PMingLiU"/>
          <w:lang w:eastAsia="zh-TW"/>
        </w:rPr>
        <w:t>amad-i-Hamad</w:t>
      </w:r>
      <w:r w:rsidRPr="008F03E5">
        <w:t>á</w:t>
      </w:r>
      <w:r w:rsidRPr="008F03E5">
        <w:rPr>
          <w:rFonts w:eastAsia="PMingLiU"/>
          <w:lang w:eastAsia="zh-TW"/>
        </w:rPr>
        <w:t>n</w:t>
      </w:r>
      <w:r w:rsidRPr="008F03E5">
        <w:t>í</w:t>
      </w:r>
      <w:r w:rsidRPr="008F03E5">
        <w:tab/>
      </w:r>
    </w:p>
    <w:p w14:paraId="6B3FE60F" w14:textId="77777777" w:rsidR="00625A5B" w:rsidRPr="008F03E5" w:rsidRDefault="00625A5B" w:rsidP="00F87A63">
      <w:pPr>
        <w:pStyle w:val="Translit"/>
      </w:pPr>
      <w:r w:rsidRPr="008F03E5">
        <w:t>Abduhu (‘Abduh)</w:t>
      </w:r>
      <w:r w:rsidRPr="008F03E5">
        <w:tab/>
        <w:t>‘Abduhu</w:t>
      </w:r>
      <w:r w:rsidRPr="008F03E5">
        <w:tab/>
        <w:t>(from aná ‘abdu-hu) (I am) his servant or slave.  Muḥammad ‘Abduh (1849–1905) an Egyptian Islamic jurist, religious scholar and liberal reformer, a key founding figure of Islamic Modernism, sometimes called Neo-Mu’tazilism after the medieval Islamic school of theology based on rationalism, Mu’tazila.  He broke the rigidity of the Muslim ritual, dogma and family ties.  He was a Freemason and had a close relationship with ‘Abdu’l-Bahá and the Bahá’í Faith.  See Salafíya</w:t>
      </w:r>
    </w:p>
    <w:p w14:paraId="0D69BCF2" w14:textId="77777777" w:rsidR="00625A5B" w:rsidRPr="008F03E5" w:rsidRDefault="00625A5B" w:rsidP="00F87A63">
      <w:pPr>
        <w:pStyle w:val="Translit"/>
      </w:pPr>
      <w:r w:rsidRPr="008F03E5">
        <w:t>Abdus, ‘Ubdus</w:t>
      </w:r>
      <w:r w:rsidRPr="008F03E5">
        <w:tab/>
        <w:t>‘Abdús, ‘Ubdús</w:t>
      </w:r>
      <w:r w:rsidRPr="008F03E5">
        <w:tab/>
        <w:t>‘abdús = ‘abd aws (gift) alláh (ú from w).  This is a theophoric name (from Greek:  “bearing or carrying a god”) where the final sound(s) (the apocopate) are omitted.  ‘Abdús ibn Abí ‘U</w:t>
      </w:r>
      <w:r w:rsidRPr="008F03E5">
        <w:rPr>
          <w:u w:val="single"/>
        </w:rPr>
        <w:t>th</w:t>
      </w:r>
      <w:r w:rsidRPr="008F03E5">
        <w:t>mán</w:t>
      </w:r>
    </w:p>
    <w:p w14:paraId="2C824E2E" w14:textId="77777777" w:rsidR="00625A5B" w:rsidRPr="008F03E5" w:rsidRDefault="00625A5B" w:rsidP="00421E3C">
      <w:pPr>
        <w:pStyle w:val="Translit"/>
      </w:pPr>
      <w:r w:rsidRPr="008F03E5">
        <w:t xml:space="preserve">Abgusht, Ab-Gusht </w:t>
      </w:r>
      <w:r>
        <w:t>(</w:t>
      </w:r>
      <w:r w:rsidRPr="008F03E5">
        <w:t>Abi-Gusht</w:t>
      </w:r>
      <w:r>
        <w:t>)</w:t>
      </w:r>
      <w:r w:rsidRPr="008F03E5">
        <w:tab/>
        <w:t>Ábgú</w:t>
      </w:r>
      <w:r w:rsidRPr="008F03E5">
        <w:rPr>
          <w:u w:val="single"/>
        </w:rPr>
        <w:t>sh</w:t>
      </w:r>
      <w:r w:rsidRPr="008F03E5">
        <w:t>t, Áb-Gú</w:t>
      </w:r>
      <w:r w:rsidRPr="008F03E5">
        <w:rPr>
          <w:u w:val="single"/>
        </w:rPr>
        <w:t>sh</w:t>
      </w:r>
      <w:r w:rsidRPr="008F03E5">
        <w:t>t</w:t>
      </w:r>
      <w:r w:rsidRPr="008F03E5">
        <w:tab/>
        <w:t>Pers. (</w:t>
      </w:r>
      <w:r>
        <w:t>“</w:t>
      </w:r>
      <w:r w:rsidRPr="008F03E5">
        <w:t>abgoosht</w:t>
      </w:r>
      <w:r>
        <w:t>”</w:t>
      </w:r>
      <w:r w:rsidRPr="008F03E5">
        <w:t xml:space="preserve">, </w:t>
      </w:r>
      <w:r>
        <w:t>“</w:t>
      </w:r>
      <w:r w:rsidRPr="008F03E5">
        <w:t>abi-Gosht</w:t>
      </w:r>
      <w:r>
        <w:t>”</w:t>
      </w:r>
      <w:r w:rsidRPr="008F03E5">
        <w:t>) gravy, broth, stew</w:t>
      </w:r>
    </w:p>
    <w:p w14:paraId="1DFE1261" w14:textId="77777777" w:rsidR="00625A5B" w:rsidRPr="008F03E5" w:rsidRDefault="00625A5B" w:rsidP="00A03E20">
      <w:pPr>
        <w:pStyle w:val="Translit"/>
      </w:pPr>
      <w:r w:rsidRPr="008F03E5">
        <w:t>Abha</w:t>
      </w:r>
      <w:r w:rsidRPr="008F03E5">
        <w:tab/>
        <w:t>Abhá</w:t>
      </w:r>
      <w:r w:rsidRPr="008F03E5">
        <w:tab/>
        <w:t>more splendid, more brilliant.  “Most Glorious”.  al-Abhá (El-Abha) “The Most Glorious”.  Abhá Beauty—Jamál-i-Abhá—a title of Bahá’u’lláh.  Abhá Kingdom—The Most Glorious Kingdom (also Abhá Paradise).  See Alláh-u-Abhá and Yá Bahá’u’l-Abhá</w:t>
      </w:r>
    </w:p>
    <w:p w14:paraId="3713DAA5" w14:textId="77777777" w:rsidR="00625A5B" w:rsidRPr="008F03E5" w:rsidRDefault="00625A5B" w:rsidP="00695B1C">
      <w:pPr>
        <w:pStyle w:val="Translit"/>
        <w:rPr>
          <w:rFonts w:eastAsia="Times New Roman"/>
        </w:rPr>
      </w:pPr>
      <w:r w:rsidRPr="008F03E5">
        <w:t>Abhal, Ubhul, Abhala</w:t>
      </w:r>
      <w:r w:rsidRPr="008F03E5">
        <w:tab/>
        <w:t>Abhal, Pers. Ubhul, fem. Abhala[h]</w:t>
      </w:r>
      <w:r w:rsidRPr="008F03E5">
        <w:tab/>
        <w:t>savin (</w:t>
      </w:r>
      <w:r w:rsidRPr="008F03E5">
        <w:rPr>
          <w:i/>
          <w:iCs/>
        </w:rPr>
        <w:t>Juniperus sabina</w:t>
      </w:r>
      <w:r w:rsidRPr="008F03E5">
        <w:t xml:space="preserve">; botanical) or </w:t>
      </w:r>
      <w:r w:rsidRPr="008F03E5">
        <w:rPr>
          <w:rFonts w:eastAsia="Times New Roman"/>
        </w:rPr>
        <w:t>Persian the seed of the mountain cypress, or juniper; juniper berries; mountain cypress</w:t>
      </w:r>
    </w:p>
    <w:p w14:paraId="0FB7C9C1" w14:textId="77777777" w:rsidR="00625A5B" w:rsidRPr="008F03E5" w:rsidRDefault="00625A5B" w:rsidP="00EB66D7">
      <w:pPr>
        <w:pStyle w:val="Translit"/>
      </w:pPr>
      <w:r w:rsidRPr="008F03E5">
        <w:t>Abhar</w:t>
      </w:r>
      <w:r w:rsidRPr="008F03E5">
        <w:tab/>
        <w:t>Abhar</w:t>
      </w:r>
      <w:r w:rsidRPr="008F03E5">
        <w:tab/>
        <w:t>Ar. more brilliant, more magnificent</w:t>
      </w:r>
    </w:p>
    <w:p w14:paraId="18C3B47A" w14:textId="77777777" w:rsidR="00625A5B" w:rsidRPr="008F03E5" w:rsidRDefault="00625A5B" w:rsidP="00A96441">
      <w:pPr>
        <w:pStyle w:val="Translit"/>
      </w:pPr>
      <w:r w:rsidRPr="008F03E5">
        <w:t>Abhar</w:t>
      </w:r>
      <w:r w:rsidRPr="008F03E5">
        <w:tab/>
        <w:t>Abhar</w:t>
      </w:r>
      <w:r w:rsidRPr="008F03E5">
        <w:tab/>
        <w:t>Pers. a water-mill; a vein in the back, the jugular vein; the back of a bow.  Abhar, now a city (36.146396, 49.222503), is on the road between Zanján and Qazvín.  Ḥájí Mírzá Muḥammad-Taqí</w:t>
      </w:r>
      <w:r>
        <w:t>y</w:t>
      </w:r>
      <w:r w:rsidRPr="008F03E5">
        <w:t>-i-Abharí is known as Ibn-i-Abhar, Hand of the Cause of God.</w:t>
      </w:r>
    </w:p>
    <w:p w14:paraId="26EF6B1D" w14:textId="77777777" w:rsidR="00625A5B" w:rsidRPr="008F03E5" w:rsidRDefault="00625A5B" w:rsidP="00E65D02">
      <w:pPr>
        <w:pStyle w:val="Translit"/>
      </w:pPr>
      <w:r w:rsidRPr="008F03E5">
        <w:t>Abid, Abidun, ‘Ubbad, ‘Abada</w:t>
      </w:r>
      <w:r w:rsidRPr="008F03E5">
        <w:tab/>
        <w:t>‘Ábid, pl. ‘Ábidún, ‘Ubbád, ‘Abada</w:t>
      </w:r>
      <w:r w:rsidRPr="008F03E5">
        <w:tab/>
        <w:t>an adorer, or servant of God; worshipper—used in conjunction with Zayn.</w:t>
      </w:r>
    </w:p>
    <w:p w14:paraId="49ECF341" w14:textId="77777777" w:rsidR="00625A5B" w:rsidRPr="008F03E5" w:rsidRDefault="00625A5B" w:rsidP="00F87A63">
      <w:pPr>
        <w:pStyle w:val="Translit"/>
      </w:pPr>
      <w:r w:rsidRPr="008F03E5">
        <w:t>Abir</w:t>
      </w:r>
      <w:r w:rsidRPr="008F03E5">
        <w:tab/>
        <w:t>‘Ábir, pl. ‘Ábirún</w:t>
      </w:r>
      <w:r w:rsidRPr="008F03E5">
        <w:tab/>
        <w:t>passing; crossing, traversing, etc.; fleeting (smile); transient, transitory, ephemeral; bygone, past, elapsed (time);—pl. passerby.  ‘ábir ṭaríq wanderer, wayfarer.  See Áwárih</w:t>
      </w:r>
    </w:p>
    <w:p w14:paraId="223CD58A" w14:textId="77777777" w:rsidR="00625A5B" w:rsidRPr="008F03E5" w:rsidRDefault="00625A5B" w:rsidP="00F87A63">
      <w:pPr>
        <w:pStyle w:val="Translit"/>
      </w:pPr>
      <w:r w:rsidRPr="008F03E5">
        <w:t>Abiward, Abivard</w:t>
      </w:r>
      <w:r w:rsidRPr="008F03E5">
        <w:tab/>
        <w:t>Abíward, Abívard</w:t>
      </w:r>
      <w:r w:rsidRPr="008F03E5">
        <w:tab/>
        <w:t xml:space="preserve">Pers. now Dargaz, </w:t>
      </w:r>
      <w:r w:rsidRPr="008F03E5">
        <w:rPr>
          <w:rFonts w:eastAsia="PMingLiU"/>
          <w:lang w:eastAsia="zh-TW"/>
        </w:rPr>
        <w:t>Ra</w:t>
      </w:r>
      <w:r w:rsidRPr="008F03E5">
        <w:t>ḍ</w:t>
      </w:r>
      <w:r w:rsidRPr="008F03E5">
        <w:rPr>
          <w:rFonts w:eastAsia="PMingLiU"/>
          <w:lang w:eastAsia="zh-TW"/>
        </w:rPr>
        <w:t xml:space="preserve">awí </w:t>
      </w:r>
      <w:r w:rsidRPr="008F03E5">
        <w:rPr>
          <w:u w:val="single"/>
        </w:rPr>
        <w:t>Kh</w:t>
      </w:r>
      <w:r w:rsidRPr="008F03E5">
        <w:t>urásán Province, Írán</w:t>
      </w:r>
    </w:p>
    <w:p w14:paraId="12D8C935" w14:textId="77777777" w:rsidR="00625A5B" w:rsidRPr="008F03E5" w:rsidRDefault="00625A5B" w:rsidP="00F87A63">
      <w:pPr>
        <w:pStyle w:val="Translit"/>
      </w:pPr>
      <w:r w:rsidRPr="008F03E5">
        <w:t>Abiy</w:t>
      </w:r>
      <w:r w:rsidRPr="008F03E5">
        <w:tab/>
        <w:t>Abíy</w:t>
      </w:r>
      <w:r w:rsidRPr="008F03E5">
        <w:tab/>
        <w:t>disdainful, scornful; proud, lofty, lofty-minded</w:t>
      </w:r>
    </w:p>
    <w:p w14:paraId="21ABA0F7" w14:textId="77777777" w:rsidR="00625A5B" w:rsidRPr="008F03E5" w:rsidRDefault="00625A5B" w:rsidP="000F2E4C">
      <w:pPr>
        <w:pStyle w:val="Translit"/>
      </w:pPr>
      <w:r w:rsidRPr="008F03E5">
        <w:t>Abjad</w:t>
      </w:r>
      <w:r w:rsidRPr="008F03E5">
        <w:tab/>
        <w:t>Abjad</w:t>
      </w:r>
      <w:r w:rsidRPr="008F03E5">
        <w:tab/>
        <w:t xml:space="preserve">“alphabet”.  The word consists of the first four (in original order) consonants (alíf, bá’, jím and dál) of the Arabic alphabet.  Abjab is a writing system, e.g. Arabic, in which only consonants are represented.  Abjab is also used as a term for the Arabic numeral system, where each consonant has an abjad numerical value.  Letters with a “doubling” </w:t>
      </w:r>
      <w:r w:rsidRPr="008F03E5">
        <w:rPr>
          <w:u w:val="single"/>
        </w:rPr>
        <w:t>sh</w:t>
      </w:r>
      <w:r w:rsidRPr="008F03E5">
        <w:t>addah (also called a ta</w:t>
      </w:r>
      <w:r w:rsidRPr="008F03E5">
        <w:rPr>
          <w:u w:val="single"/>
        </w:rPr>
        <w:t>sh</w:t>
      </w:r>
      <w:r w:rsidRPr="008F03E5">
        <w:t>díd) are counted once.</w:t>
      </w:r>
    </w:p>
    <w:p w14:paraId="504AEBBC" w14:textId="77777777" w:rsidR="00625A5B" w:rsidRPr="008F03E5" w:rsidRDefault="00625A5B" w:rsidP="009F0588">
      <w:pPr>
        <w:pStyle w:val="Translit"/>
      </w:pPr>
      <w:r w:rsidRPr="008F03E5">
        <w:t>Abraha al-Ashram</w:t>
      </w:r>
      <w:r w:rsidRPr="008F03E5">
        <w:tab/>
        <w:t>‘Abraha[h] al-‘A</w:t>
      </w:r>
      <w:r w:rsidRPr="008F03E5">
        <w:rPr>
          <w:u w:val="single"/>
        </w:rPr>
        <w:t>sh</w:t>
      </w:r>
      <w:r w:rsidRPr="008F03E5">
        <w:t>ram</w:t>
      </w:r>
      <w:r w:rsidRPr="008F03E5">
        <w:tab/>
        <w:t xml:space="preserve">(“Abraha al-Ashram”) an Abyssinian prince, who built a Christian church in Ṣaná‘ to rival the Ka‘ba at Mecca.  According to traditional Arab belief, he made an unsuccessful attack with his forces of elephants to destroy the Ka‘ba </w:t>
      </w:r>
      <w:r w:rsidRPr="008F03E5">
        <w:rPr>
          <w:sz w:val="16"/>
          <w:szCs w:val="16"/>
        </w:rPr>
        <w:t>CE</w:t>
      </w:r>
      <w:r w:rsidRPr="008F03E5">
        <w:t xml:space="preserve"> 570 (known as the year of the elephant and date of the birth of Muḥammad).</w:t>
      </w:r>
    </w:p>
    <w:p w14:paraId="65427A7D" w14:textId="77777777" w:rsidR="00625A5B" w:rsidRPr="008F03E5" w:rsidRDefault="00625A5B" w:rsidP="00F87A63">
      <w:pPr>
        <w:pStyle w:val="Translit"/>
      </w:pPr>
      <w:r w:rsidRPr="008F03E5">
        <w:t>Absat</w:t>
      </w:r>
      <w:r w:rsidRPr="008F03E5">
        <w:tab/>
        <w:t>Absaṭ</w:t>
      </w:r>
      <w:r w:rsidRPr="008F03E5">
        <w:tab/>
        <w:t>simpler; wider, more extensive</w:t>
      </w:r>
    </w:p>
    <w:p w14:paraId="4261FC87" w14:textId="77777777" w:rsidR="00625A5B" w:rsidRPr="008F03E5" w:rsidRDefault="00625A5B" w:rsidP="0055099E">
      <w:pPr>
        <w:pStyle w:val="Translit"/>
      </w:pPr>
      <w:r w:rsidRPr="008F03E5">
        <w:t>Abtah, Abatih</w:t>
      </w:r>
      <w:r w:rsidRPr="008F03E5">
        <w:tab/>
        <w:t>Abṭaḥ, pl. Abaṭiḥ</w:t>
      </w:r>
      <w:r w:rsidRPr="008F03E5">
        <w:tab/>
        <w:t xml:space="preserve">flat, level;—pl. basin-shaped valley, wide bed of a wádí.  al-Abṭaḥ is a wide valley that extends between Makkah and Miná.  Muḥammad stopped here on His Ḥijjatu’l-Wadá‘ (Farewell Ḥajj) in </w:t>
      </w:r>
      <w:r w:rsidRPr="008F03E5">
        <w:rPr>
          <w:sz w:val="16"/>
          <w:szCs w:val="16"/>
        </w:rPr>
        <w:t>AH</w:t>
      </w:r>
      <w:r w:rsidRPr="008F03E5">
        <w:t xml:space="preserve"> 10.</w:t>
      </w:r>
    </w:p>
    <w:p w14:paraId="4421AF32" w14:textId="77777777" w:rsidR="00625A5B" w:rsidRPr="008F03E5" w:rsidRDefault="00625A5B" w:rsidP="00F87A63">
      <w:pPr>
        <w:pStyle w:val="Translit"/>
      </w:pPr>
      <w:r w:rsidRPr="008F03E5">
        <w:t>Abtar</w:t>
      </w:r>
      <w:r w:rsidRPr="008F03E5">
        <w:tab/>
        <w:t>Abtar</w:t>
      </w:r>
      <w:r w:rsidRPr="008F03E5">
        <w:tab/>
        <w:t>curtailed, docked, clipped, trimmed; imperfect, defective, incomplete; without offspring.  See root batara.</w:t>
      </w:r>
    </w:p>
    <w:p w14:paraId="5B4AD712" w14:textId="77777777" w:rsidR="00625A5B" w:rsidRPr="008F03E5" w:rsidRDefault="00625A5B" w:rsidP="006924B5">
      <w:pPr>
        <w:pStyle w:val="Translit"/>
      </w:pPr>
      <w:r w:rsidRPr="008F03E5">
        <w:t>Abu ‘Abdu’llah ash-Shi’i</w:t>
      </w:r>
      <w:r w:rsidRPr="008F03E5">
        <w:tab/>
        <w:t>Abú ‘Abdu’lláh a</w:t>
      </w:r>
      <w:r w:rsidRPr="008F03E5">
        <w:rPr>
          <w:u w:val="single"/>
        </w:rPr>
        <w:t>sh</w:t>
      </w:r>
      <w:r w:rsidRPr="008F03E5">
        <w:t>-</w:t>
      </w:r>
      <w:r w:rsidRPr="008F03E5">
        <w:rPr>
          <w:u w:val="single"/>
        </w:rPr>
        <w:t>Sh</w:t>
      </w:r>
      <w:r w:rsidRPr="008F03E5">
        <w:t>í‘í</w:t>
      </w:r>
      <w:r w:rsidRPr="008F03E5">
        <w:tab/>
        <w:t>Abú ‘Abd Alláh al-Ḥusayn ibn Aḥmad ibn Zakaríya a</w:t>
      </w:r>
      <w:r w:rsidRPr="008F03E5">
        <w:rPr>
          <w:u w:val="single"/>
        </w:rPr>
        <w:t>sh</w:t>
      </w:r>
      <w:r w:rsidRPr="008F03E5">
        <w:t>-</w:t>
      </w:r>
      <w:r w:rsidRPr="008F03E5">
        <w:rPr>
          <w:u w:val="single"/>
        </w:rPr>
        <w:t>Sh</w:t>
      </w:r>
      <w:r w:rsidRPr="008F03E5">
        <w:t>í‘í (died 911) was a Da‘í (missionary) for the Isma‘ilis in Yemen and North Africa</w:t>
      </w:r>
    </w:p>
    <w:p w14:paraId="6129B96F" w14:textId="77777777" w:rsidR="00625A5B" w:rsidRPr="008F03E5" w:rsidRDefault="00625A5B" w:rsidP="00B41DC0">
      <w:pPr>
        <w:pStyle w:val="Translit"/>
      </w:pPr>
      <w:r w:rsidRPr="008F03E5">
        <w:t>Abu ‘Ali</w:t>
      </w:r>
      <w:r w:rsidRPr="008F03E5">
        <w:tab/>
        <w:t>Abú ‘Alí</w:t>
      </w:r>
      <w:r w:rsidRPr="008F03E5">
        <w:tab/>
      </w:r>
    </w:p>
    <w:p w14:paraId="18BBC6BF" w14:textId="77777777" w:rsidR="00625A5B" w:rsidRPr="008F03E5" w:rsidRDefault="00625A5B" w:rsidP="00F87A63">
      <w:pPr>
        <w:pStyle w:val="Translit"/>
      </w:pPr>
      <w:r w:rsidRPr="008F03E5">
        <w:t>Abu ‘Amir al-Ashari</w:t>
      </w:r>
      <w:r w:rsidRPr="008F03E5">
        <w:tab/>
        <w:t>Abú ‘Ámir al-A</w:t>
      </w:r>
      <w:r w:rsidRPr="008F03E5">
        <w:rPr>
          <w:u w:val="single"/>
        </w:rPr>
        <w:t>sh</w:t>
      </w:r>
      <w:r w:rsidRPr="008F03E5">
        <w:t>arí</w:t>
      </w:r>
      <w:r w:rsidRPr="008F03E5">
        <w:tab/>
        <w:t>father of Ḥanẓala</w:t>
      </w:r>
    </w:p>
    <w:p w14:paraId="76C444AE" w14:textId="77777777" w:rsidR="00625A5B" w:rsidRPr="008F03E5" w:rsidRDefault="00625A5B" w:rsidP="00F87A63">
      <w:pPr>
        <w:pStyle w:val="Translit"/>
      </w:pPr>
      <w:r w:rsidRPr="008F03E5">
        <w:t>Abu ‘Imran Musa ibn Maymun</w:t>
      </w:r>
      <w:r w:rsidRPr="008F03E5">
        <w:tab/>
        <w:t>Abú ‘Imrán Músá ibn Maymún</w:t>
      </w:r>
      <w:r w:rsidRPr="008F03E5">
        <w:tab/>
        <w:t>Maimonides (originally Moshe ben Maimon)</w:t>
      </w:r>
    </w:p>
    <w:p w14:paraId="628BC95C" w14:textId="77777777" w:rsidR="00625A5B" w:rsidRPr="00BF3D0D" w:rsidRDefault="00625A5B" w:rsidP="00E2297A">
      <w:pPr>
        <w:pStyle w:val="Translit"/>
      </w:pPr>
      <w:r w:rsidRPr="008F03E5">
        <w:rPr>
          <w:lang w:eastAsia="en-US"/>
        </w:rPr>
        <w:t>Abu a</w:t>
      </w:r>
      <w:r>
        <w:rPr>
          <w:lang w:eastAsia="en-US"/>
        </w:rPr>
        <w:t>d</w:t>
      </w:r>
      <w:r w:rsidRPr="008F03E5">
        <w:rPr>
          <w:lang w:eastAsia="en-US"/>
        </w:rPr>
        <w:t>-Dawahi</w:t>
      </w:r>
      <w:r w:rsidRPr="008F03E5">
        <w:rPr>
          <w:lang w:eastAsia="en-US"/>
        </w:rPr>
        <w:tab/>
        <w:t>Abú ad-Dawáhí</w:t>
      </w:r>
      <w:r w:rsidRPr="008F03E5">
        <w:rPr>
          <w:lang w:eastAsia="en-US"/>
        </w:rPr>
        <w:tab/>
        <w:t xml:space="preserve">“Father of Iniquities”, Abú Bakr.  </w:t>
      </w:r>
      <w:r w:rsidRPr="00BF3D0D">
        <w:rPr>
          <w:lang w:eastAsia="en-US"/>
        </w:rPr>
        <w:t xml:space="preserve">See </w:t>
      </w:r>
      <w:r w:rsidRPr="00BF3D0D">
        <w:t>Dáhiya</w:t>
      </w:r>
      <w:r>
        <w:t>.</w:t>
      </w:r>
    </w:p>
    <w:p w14:paraId="27B8BBE5" w14:textId="77777777" w:rsidR="00625A5B" w:rsidRPr="008F03E5" w:rsidRDefault="00625A5B" w:rsidP="008162D8">
      <w:pPr>
        <w:pStyle w:val="Translit"/>
      </w:pPr>
      <w:r w:rsidRPr="008F03E5">
        <w:t>Abu al-‘Ala’ (Abul A’la)</w:t>
      </w:r>
      <w:r w:rsidRPr="008F03E5">
        <w:tab/>
        <w:t>Abú al-‘Alá’ (</w:t>
      </w:r>
      <w:r w:rsidRPr="008F03E5">
        <w:rPr>
          <w:rtl/>
        </w:rPr>
        <w:t>أبو العلاء</w:t>
      </w:r>
      <w:r w:rsidRPr="008F03E5">
        <w:t>)</w:t>
      </w:r>
      <w:r w:rsidRPr="008F03E5">
        <w:tab/>
        <w:t>“father of glory” (“Abul A‘lá”)</w:t>
      </w:r>
    </w:p>
    <w:p w14:paraId="750D0220" w14:textId="77777777" w:rsidR="00625A5B" w:rsidRPr="008F03E5" w:rsidRDefault="00625A5B" w:rsidP="00F87A63">
      <w:pPr>
        <w:pStyle w:val="Translit"/>
      </w:pPr>
      <w:r w:rsidRPr="00800667">
        <w:t>Abu al-Fida’, Abu’l-Fida’</w:t>
      </w:r>
      <w:r w:rsidRPr="00800667">
        <w:tab/>
        <w:t>Abú al-Fidá’, Pers. Abu’l-Fidá’</w:t>
      </w:r>
      <w:r w:rsidRPr="00800667">
        <w:tab/>
        <w:t xml:space="preserve">Abú al-Fidá’ Ismá‘íl ibn ‘Alí ibn Maḥmúd al-Malik al-Mu’ayyad ‘Imád ad-Dín (1273–1331), better known in English as Abulfeda, was a Kurdish historian, geographer and local governor of Hama.  </w:t>
      </w:r>
      <w:r w:rsidRPr="008F03E5">
        <w:t xml:space="preserve">He was a prince of the Ayyubid dynasty and the author of </w:t>
      </w:r>
      <w:r w:rsidRPr="008F03E5">
        <w:rPr>
          <w:i/>
          <w:iCs/>
        </w:rPr>
        <w:t>The memoirs of a Syrian prince:  Abu’l-Fidá’, Sulṭán of Ḥamáh</w:t>
      </w:r>
      <w:r w:rsidRPr="008F03E5">
        <w:t>.  The moon crater, Abulfeda, is named after him.</w:t>
      </w:r>
    </w:p>
    <w:p w14:paraId="0F177FD6" w14:textId="77777777" w:rsidR="00625A5B" w:rsidRPr="008F03E5" w:rsidRDefault="00625A5B" w:rsidP="00F87A63">
      <w:pPr>
        <w:pStyle w:val="Translit"/>
      </w:pPr>
      <w:r w:rsidRPr="008F03E5">
        <w:t>Abu Dharr al-Ghifari al-Kinani</w:t>
      </w:r>
      <w:r w:rsidRPr="008F03E5">
        <w:tab/>
        <w:t xml:space="preserve">Abú </w:t>
      </w:r>
      <w:r w:rsidRPr="008F03E5">
        <w:rPr>
          <w:u w:val="single"/>
        </w:rPr>
        <w:t>Dh</w:t>
      </w:r>
      <w:r w:rsidRPr="008F03E5">
        <w:t>arr al-</w:t>
      </w:r>
      <w:r w:rsidRPr="008F03E5">
        <w:rPr>
          <w:u w:val="single"/>
        </w:rPr>
        <w:t>Gh</w:t>
      </w:r>
      <w:r w:rsidRPr="008F03E5">
        <w:t>ifárí al-Kinání</w:t>
      </w:r>
      <w:r w:rsidRPr="008F03E5">
        <w:tab/>
        <w:t>(“Abouzar”, “Abudhar”, “Abu-Dhar Ghefan”) (also known as Jundab bin Junádah bin Sufyán al-</w:t>
      </w:r>
      <w:r w:rsidRPr="008F03E5">
        <w:rPr>
          <w:u w:val="single"/>
        </w:rPr>
        <w:t>Gh</w:t>
      </w:r>
      <w:r w:rsidRPr="008F03E5">
        <w:t xml:space="preserve">ifárí) (590–653) illiterate shepherd (of the Banú </w:t>
      </w:r>
      <w:r w:rsidRPr="008F03E5">
        <w:rPr>
          <w:u w:val="single"/>
        </w:rPr>
        <w:t>Gh</w:t>
      </w:r>
      <w:r w:rsidRPr="008F03E5">
        <w:t>ifár,a Jewish tribe) who became a companion (4th or 5th) of Muḥammad and a companion of Imám ‘Alí</w:t>
      </w:r>
    </w:p>
    <w:p w14:paraId="138FF21D" w14:textId="77777777" w:rsidR="00625A5B" w:rsidRPr="008F03E5" w:rsidRDefault="00625A5B" w:rsidP="007F1C67">
      <w:pPr>
        <w:pStyle w:val="Translit"/>
        <w:rPr>
          <w:rFonts w:eastAsia="PMingLiU"/>
          <w:lang w:eastAsia="zh-TW"/>
        </w:rPr>
      </w:pPr>
      <w:r w:rsidRPr="008F03E5">
        <w:rPr>
          <w:rFonts w:eastAsia="PMingLiU"/>
          <w:lang w:eastAsia="zh-TW"/>
        </w:rPr>
        <w:t>Abu Jahl</w:t>
      </w:r>
      <w:r w:rsidRPr="008F03E5">
        <w:rPr>
          <w:rFonts w:eastAsia="PMingLiU"/>
          <w:lang w:eastAsia="zh-TW"/>
        </w:rPr>
        <w:tab/>
        <w:t>Ab</w:t>
      </w:r>
      <w:r w:rsidRPr="008F03E5">
        <w:t>ú</w:t>
      </w:r>
      <w:r w:rsidRPr="008F03E5">
        <w:rPr>
          <w:rFonts w:eastAsia="PMingLiU"/>
          <w:lang w:eastAsia="zh-TW"/>
        </w:rPr>
        <w:t xml:space="preserve"> Jahl</w:t>
      </w:r>
      <w:r w:rsidRPr="008F03E5">
        <w:rPr>
          <w:rFonts w:eastAsia="PMingLiU"/>
          <w:lang w:eastAsia="zh-TW"/>
        </w:rPr>
        <w:tab/>
        <w:t>“</w:t>
      </w:r>
      <w:r w:rsidRPr="008F03E5">
        <w:t>father of ignorance</w:t>
      </w:r>
      <w:r w:rsidRPr="008F03E5">
        <w:rPr>
          <w:rFonts w:eastAsia="PMingLiU"/>
          <w:lang w:eastAsia="zh-TW"/>
        </w:rPr>
        <w:t xml:space="preserve">”.  </w:t>
      </w:r>
      <w:r w:rsidRPr="008F03E5">
        <w:t>Amr ibn Hi</w:t>
      </w:r>
      <w:r w:rsidRPr="008F03E5">
        <w:rPr>
          <w:u w:val="single"/>
        </w:rPr>
        <w:t>sh</w:t>
      </w:r>
      <w:r w:rsidRPr="008F03E5">
        <w:t>ám ibn al-Mu</w:t>
      </w:r>
      <w:r w:rsidRPr="008F03E5">
        <w:rPr>
          <w:u w:val="single"/>
        </w:rPr>
        <w:t>gh</w:t>
      </w:r>
      <w:r w:rsidRPr="008F03E5">
        <w:t>íra, a leader of the polytheistic Quray</w:t>
      </w:r>
      <w:r w:rsidRPr="008F03E5">
        <w:rPr>
          <w:u w:val="single"/>
        </w:rPr>
        <w:t>sh</w:t>
      </w:r>
      <w:r w:rsidRPr="008F03E5">
        <w:t xml:space="preserve"> tribe’s Banú Ma</w:t>
      </w:r>
      <w:r w:rsidRPr="008F03E5">
        <w:rPr>
          <w:u w:val="single"/>
        </w:rPr>
        <w:t>kh</w:t>
      </w:r>
      <w:r w:rsidRPr="008F03E5">
        <w:t xml:space="preserve">zúm clan.  Abú-Jahl was the uncle of Muḥammad and his greatest enemy.  He was known as Abu’l-Ḥikam (the father of wisdoms); but for his envy and opposition, Muḥammad named him, Abú-Jahl for his stringent opposition to Muḥammad.  </w:t>
      </w:r>
      <w:r w:rsidRPr="008F03E5">
        <w:rPr>
          <w:rFonts w:eastAsia="PMingLiU"/>
          <w:lang w:eastAsia="zh-TW"/>
        </w:rPr>
        <w:t xml:space="preserve">See </w:t>
      </w:r>
      <w:r w:rsidRPr="008F03E5">
        <w:rPr>
          <w:rFonts w:eastAsia="Times New Roman"/>
        </w:rPr>
        <w:t>‘Ikrima.</w:t>
      </w:r>
    </w:p>
    <w:p w14:paraId="1447ECF3" w14:textId="77777777" w:rsidR="00625A5B" w:rsidRPr="008F03E5" w:rsidRDefault="00625A5B" w:rsidP="00F87A63">
      <w:pPr>
        <w:pStyle w:val="Translit"/>
        <w:rPr>
          <w:rFonts w:eastAsia="PMingLiU"/>
          <w:lang w:eastAsia="zh-TW"/>
        </w:rPr>
      </w:pPr>
      <w:r w:rsidRPr="008F03E5">
        <w:rPr>
          <w:rFonts w:eastAsia="PMingLiU"/>
          <w:lang w:eastAsia="zh-TW"/>
        </w:rPr>
        <w:t>Abu Nuwas</w:t>
      </w:r>
      <w:r w:rsidRPr="008F03E5">
        <w:rPr>
          <w:rFonts w:eastAsia="PMingLiU"/>
          <w:lang w:eastAsia="zh-TW"/>
        </w:rPr>
        <w:tab/>
        <w:t>Ab</w:t>
      </w:r>
      <w:r w:rsidRPr="008F03E5">
        <w:t>ú</w:t>
      </w:r>
      <w:r w:rsidRPr="008F03E5">
        <w:rPr>
          <w:rFonts w:eastAsia="PMingLiU"/>
          <w:lang w:eastAsia="zh-TW"/>
        </w:rPr>
        <w:t xml:space="preserve"> Nuw</w:t>
      </w:r>
      <w:r w:rsidRPr="008F03E5">
        <w:t>áṣ (usually given as “Nuwás”)</w:t>
      </w:r>
      <w:r w:rsidRPr="008F03E5">
        <w:tab/>
        <w:t>nickname (“father of the forelocks”) of al-Ḥasan ibn Hání (Háni’) al-Ḥakamí (756–814), was a classical Arabic poet.  See náṣiya and háni’.</w:t>
      </w:r>
    </w:p>
    <w:p w14:paraId="2659D269" w14:textId="77777777" w:rsidR="00625A5B" w:rsidRPr="008F03E5" w:rsidRDefault="00625A5B" w:rsidP="00F87A63">
      <w:pPr>
        <w:pStyle w:val="Translit"/>
      </w:pPr>
      <w:r w:rsidRPr="008F03E5">
        <w:rPr>
          <w:rFonts w:eastAsia="PMingLiU"/>
          <w:lang w:eastAsia="zh-TW"/>
        </w:rPr>
        <w:t>Abu Sinan (Abu-Sinan, Abou Senan)</w:t>
      </w:r>
      <w:r w:rsidRPr="008F03E5">
        <w:tab/>
      </w:r>
      <w:bookmarkStart w:id="38" w:name="_Hlk60216720"/>
      <w:r w:rsidRPr="008F03E5">
        <w:rPr>
          <w:rFonts w:eastAsia="PMingLiU"/>
          <w:lang w:eastAsia="zh-TW"/>
        </w:rPr>
        <w:t>Abú S</w:t>
      </w:r>
      <w:r w:rsidRPr="008F03E5">
        <w:t>í</w:t>
      </w:r>
      <w:r w:rsidRPr="008F03E5">
        <w:rPr>
          <w:rFonts w:eastAsia="PMingLiU"/>
          <w:lang w:eastAsia="zh-TW"/>
        </w:rPr>
        <w:t>nán</w:t>
      </w:r>
      <w:bookmarkEnd w:id="38"/>
      <w:r w:rsidRPr="008F03E5">
        <w:rPr>
          <w:rFonts w:eastAsia="PMingLiU"/>
          <w:lang w:eastAsia="zh-TW"/>
        </w:rPr>
        <w:t xml:space="preserve"> (Abú-S</w:t>
      </w:r>
      <w:r w:rsidRPr="008F03E5">
        <w:t>í</w:t>
      </w:r>
      <w:r w:rsidRPr="008F03E5">
        <w:rPr>
          <w:rFonts w:eastAsia="PMingLiU"/>
          <w:lang w:eastAsia="zh-TW"/>
        </w:rPr>
        <w:t>nán)</w:t>
      </w:r>
      <w:r w:rsidRPr="008F03E5">
        <w:tab/>
        <w:t>“Father of the teeth”.  a Druze village (Hebrew Abu Snan) about 7.5 km east of Bahjí and 4 km west the Druze village of Yarká (Yirká)</w:t>
      </w:r>
    </w:p>
    <w:p w14:paraId="5EE9DF75" w14:textId="77777777" w:rsidR="00625A5B" w:rsidRPr="00BF3D0D" w:rsidRDefault="00625A5B" w:rsidP="00F87A63">
      <w:pPr>
        <w:pStyle w:val="Translit"/>
        <w:rPr>
          <w:lang w:val="es-ES_tradnl" w:eastAsia="zh-TW"/>
        </w:rPr>
      </w:pPr>
      <w:r w:rsidRPr="00BF3D0D">
        <w:rPr>
          <w:lang w:val="es-ES_tradnl" w:eastAsia="zh-TW"/>
        </w:rPr>
        <w:t>Ab</w:t>
      </w:r>
      <w:r w:rsidRPr="00BF3D0D">
        <w:rPr>
          <w:lang w:val="es-ES_tradnl"/>
        </w:rPr>
        <w:t>u</w:t>
      </w:r>
      <w:r w:rsidRPr="00BF3D0D">
        <w:rPr>
          <w:lang w:val="es-ES_tradnl" w:eastAsia="zh-TW"/>
        </w:rPr>
        <w:t>-‘Umar-‘Uthm</w:t>
      </w:r>
      <w:r w:rsidRPr="00BF3D0D">
        <w:rPr>
          <w:lang w:val="es-ES_tradnl"/>
        </w:rPr>
        <w:t>a</w:t>
      </w:r>
      <w:r w:rsidRPr="00BF3D0D">
        <w:rPr>
          <w:lang w:val="es-ES_tradnl" w:eastAsia="zh-TW"/>
        </w:rPr>
        <w:t>n</w:t>
      </w:r>
      <w:r w:rsidRPr="00BF3D0D">
        <w:rPr>
          <w:lang w:val="es-ES_tradnl"/>
        </w:rPr>
        <w:tab/>
      </w:r>
      <w:r w:rsidRPr="00BF3D0D">
        <w:rPr>
          <w:lang w:val="es-ES_tradnl" w:eastAsia="zh-TW"/>
        </w:rPr>
        <w:t>Ab</w:t>
      </w:r>
      <w:r w:rsidRPr="00BF3D0D">
        <w:rPr>
          <w:lang w:val="es-ES_tradnl"/>
        </w:rPr>
        <w:t>ú</w:t>
      </w:r>
      <w:r w:rsidRPr="00BF3D0D">
        <w:rPr>
          <w:lang w:val="es-ES_tradnl" w:eastAsia="zh-TW"/>
        </w:rPr>
        <w:t>-‘Umar-‘U</w:t>
      </w:r>
      <w:r w:rsidRPr="00BF3D0D">
        <w:rPr>
          <w:u w:val="single"/>
          <w:lang w:val="es-ES_tradnl"/>
        </w:rPr>
        <w:t>th</w:t>
      </w:r>
      <w:r w:rsidRPr="00BF3D0D">
        <w:rPr>
          <w:lang w:val="es-ES_tradnl" w:eastAsia="zh-TW"/>
        </w:rPr>
        <w:t>m</w:t>
      </w:r>
      <w:r w:rsidRPr="00BF3D0D">
        <w:rPr>
          <w:lang w:val="es-ES_tradnl"/>
        </w:rPr>
        <w:t>á</w:t>
      </w:r>
      <w:r w:rsidRPr="00BF3D0D">
        <w:rPr>
          <w:lang w:val="es-ES_tradnl" w:eastAsia="zh-TW"/>
        </w:rPr>
        <w:t>n</w:t>
      </w:r>
      <w:r w:rsidRPr="00BF3D0D">
        <w:rPr>
          <w:lang w:val="es-ES_tradnl"/>
        </w:rPr>
        <w:tab/>
      </w:r>
    </w:p>
    <w:p w14:paraId="4D2E7920" w14:textId="77777777" w:rsidR="00625A5B" w:rsidRPr="008F03E5" w:rsidRDefault="00625A5B" w:rsidP="00F87A63">
      <w:pPr>
        <w:pStyle w:val="Translit"/>
      </w:pPr>
      <w:r w:rsidRPr="008F03E5">
        <w:t>Abu’d-Dawahi</w:t>
      </w:r>
      <w:r w:rsidRPr="008F03E5">
        <w:tab/>
        <w:t>Abu’d-Dawáhí</w:t>
      </w:r>
      <w:r w:rsidRPr="008F03E5">
        <w:tab/>
        <w:t>Father of Misfortunes</w:t>
      </w:r>
    </w:p>
    <w:p w14:paraId="0AE99081" w14:textId="77777777" w:rsidR="00625A5B" w:rsidRPr="008F03E5" w:rsidRDefault="00625A5B" w:rsidP="00B83C66">
      <w:pPr>
        <w:pStyle w:val="Translit"/>
      </w:pPr>
      <w:r w:rsidRPr="008F03E5">
        <w:t>Abu’l-Bashar</w:t>
      </w:r>
      <w:r w:rsidRPr="008F03E5">
        <w:tab/>
        <w:t>Abu’l-Ba</w:t>
      </w:r>
      <w:r w:rsidRPr="008F03E5">
        <w:rPr>
          <w:u w:val="single"/>
        </w:rPr>
        <w:t>sh</w:t>
      </w:r>
      <w:r w:rsidRPr="008F03E5">
        <w:t>ar</w:t>
      </w:r>
      <w:r w:rsidRPr="008F03E5">
        <w:tab/>
        <w:t>“the father of man”—one of the titles given by Muslims to Adam</w:t>
      </w:r>
    </w:p>
    <w:p w14:paraId="3D594A1A" w14:textId="77777777" w:rsidR="00625A5B" w:rsidRPr="008F03E5" w:rsidRDefault="00625A5B" w:rsidP="00C12139">
      <w:pPr>
        <w:pStyle w:val="Translit"/>
      </w:pPr>
      <w:r w:rsidRPr="008F03E5">
        <w:t>Abu’l-Fadl (Gulpaygani, Gulpayigani)</w:t>
      </w:r>
      <w:r w:rsidRPr="008F03E5">
        <w:tab/>
        <w:t>Abu’l-Faḍl</w:t>
      </w:r>
      <w:r w:rsidRPr="008F03E5">
        <w:tab/>
        <w:t>Mírzá Muḥammad Gulpáygání (also Gulpáyigání) (1844–1914) (pseudonym Abu’l-Faḍl—“Father or progenitor of Virtue”) was the foremost Baháʼí scholar who helped spread the Baháʼí Faith in Egypt, Turkmenistan, and the United States.  He is one of the few Apostles of Baháʼu’lláh who never met Baháʼu’lláh.  ʻAbdu’l-Bahá addressed him as Abu’l-Faḍá’il (“Progenitor of all Virtues” or “Father of all Excellences”).</w:t>
      </w:r>
    </w:p>
    <w:p w14:paraId="257CABDA" w14:textId="77777777" w:rsidR="00625A5B" w:rsidRPr="008F03E5" w:rsidRDefault="00625A5B" w:rsidP="00F87A63">
      <w:pPr>
        <w:pStyle w:val="Translit"/>
      </w:pPr>
      <w:r w:rsidRPr="008F03E5">
        <w:t>Abu’l-Fath-i-Shahristani</w:t>
      </w:r>
      <w:r w:rsidRPr="008F03E5">
        <w:tab/>
        <w:t>Abu’l-Fatḥ-i-</w:t>
      </w:r>
      <w:r w:rsidRPr="008F03E5">
        <w:rPr>
          <w:u w:val="single"/>
        </w:rPr>
        <w:t>Sh</w:t>
      </w:r>
      <w:r w:rsidRPr="008F03E5">
        <w:t>ahristání</w:t>
      </w:r>
      <w:r w:rsidRPr="008F03E5">
        <w:tab/>
      </w:r>
    </w:p>
    <w:p w14:paraId="3AD98CF5" w14:textId="77777777" w:rsidR="00625A5B" w:rsidRPr="008F03E5" w:rsidRDefault="00625A5B" w:rsidP="00F87A63">
      <w:pPr>
        <w:pStyle w:val="Translit"/>
      </w:pPr>
      <w:r w:rsidRPr="008F03E5">
        <w:t>Abu’l-Fida</w:t>
      </w:r>
      <w:r w:rsidRPr="008F03E5">
        <w:tab/>
        <w:t>Abu’l-Fidá’</w:t>
      </w:r>
      <w:r w:rsidRPr="008F03E5">
        <w:tab/>
      </w:r>
    </w:p>
    <w:p w14:paraId="470166C6" w14:textId="77777777" w:rsidR="00625A5B" w:rsidRPr="008F03E5" w:rsidRDefault="00625A5B" w:rsidP="00F87A63">
      <w:pPr>
        <w:pStyle w:val="Translit"/>
      </w:pPr>
      <w:r w:rsidRPr="008F03E5">
        <w:t>Abu’l-Futuh</w:t>
      </w:r>
      <w:r w:rsidRPr="008F03E5">
        <w:tab/>
        <w:t>Abu’l-Futúḥ</w:t>
      </w:r>
      <w:r w:rsidRPr="008F03E5">
        <w:tab/>
        <w:t>(“the Father of Victories”) name given to Enoch Olinga by Shoghi Effendi</w:t>
      </w:r>
    </w:p>
    <w:p w14:paraId="1BD0969E" w14:textId="77777777" w:rsidR="00625A5B" w:rsidRPr="008F03E5" w:rsidRDefault="00625A5B" w:rsidP="00F87A63">
      <w:pPr>
        <w:pStyle w:val="Translit"/>
      </w:pPr>
      <w:r w:rsidRPr="008F03E5">
        <w:t>Abu’l-Hasan-i-Ardikani</w:t>
      </w:r>
      <w:r w:rsidRPr="008F03E5">
        <w:tab/>
        <w:t>Abu’l-Ḥasan-i-Ardikání, Mullá</w:t>
      </w:r>
      <w:r w:rsidRPr="008F03E5">
        <w:tab/>
        <w:t>Hájí Amín, Amín-i-Iláhí (“Trustee of God”) (Trustee of Ḥuqúqu’lláh)</w:t>
      </w:r>
    </w:p>
    <w:p w14:paraId="2C2EF953" w14:textId="77777777" w:rsidR="00625A5B" w:rsidRPr="008F03E5" w:rsidRDefault="00625A5B" w:rsidP="00F87A63">
      <w:pPr>
        <w:pStyle w:val="Translit"/>
        <w:rPr>
          <w:rFonts w:eastAsia="PMingLiU"/>
          <w:lang w:eastAsia="zh-TW"/>
        </w:rPr>
      </w:pPr>
      <w:r w:rsidRPr="008F03E5">
        <w:rPr>
          <w:rFonts w:eastAsia="PMingLiU"/>
          <w:lang w:eastAsia="zh-TW"/>
        </w:rPr>
        <w:t>Abu’l-Hasan-i-Bazz</w:t>
      </w:r>
      <w:r w:rsidRPr="008F03E5">
        <w:t>a</w:t>
      </w:r>
      <w:r w:rsidRPr="008F03E5">
        <w:rPr>
          <w:rFonts w:eastAsia="PMingLiU"/>
          <w:lang w:eastAsia="zh-TW"/>
        </w:rPr>
        <w:t>z</w:t>
      </w:r>
      <w:r w:rsidRPr="008F03E5">
        <w:tab/>
      </w:r>
      <w:r w:rsidRPr="008F03E5">
        <w:rPr>
          <w:rFonts w:eastAsia="PMingLiU"/>
          <w:lang w:eastAsia="zh-TW"/>
        </w:rPr>
        <w:t>Abu’l-</w:t>
      </w:r>
      <w:r w:rsidRPr="008F03E5">
        <w:t>Ḥ</w:t>
      </w:r>
      <w:r w:rsidRPr="008F03E5">
        <w:rPr>
          <w:rFonts w:eastAsia="PMingLiU"/>
          <w:lang w:eastAsia="zh-TW"/>
        </w:rPr>
        <w:t>asan-i-Bazz</w:t>
      </w:r>
      <w:r w:rsidRPr="008F03E5">
        <w:t>á</w:t>
      </w:r>
      <w:r w:rsidRPr="008F03E5">
        <w:rPr>
          <w:rFonts w:eastAsia="PMingLiU"/>
          <w:lang w:eastAsia="zh-TW"/>
        </w:rPr>
        <w:t>z</w:t>
      </w:r>
      <w:r w:rsidRPr="008F03E5">
        <w:tab/>
      </w:r>
    </w:p>
    <w:p w14:paraId="211FBB66" w14:textId="77777777" w:rsidR="00625A5B" w:rsidRPr="008F03E5" w:rsidRDefault="00625A5B" w:rsidP="00F87A63">
      <w:pPr>
        <w:pStyle w:val="Translit"/>
      </w:pPr>
      <w:r w:rsidRPr="008F03E5">
        <w:t>Abu’l-Hikam</w:t>
      </w:r>
      <w:r w:rsidRPr="008F03E5">
        <w:tab/>
        <w:t>Abu’l-Ḥikam</w:t>
      </w:r>
      <w:r w:rsidRPr="008F03E5">
        <w:tab/>
        <w:t>“the Father of Wisdoms”.  See Ḥikma</w:t>
      </w:r>
    </w:p>
    <w:p w14:paraId="5964EE27" w14:textId="77777777" w:rsidR="00625A5B" w:rsidRPr="00397500" w:rsidRDefault="00625A5B" w:rsidP="00F87A63">
      <w:pPr>
        <w:pStyle w:val="Translit"/>
      </w:pPr>
      <w:r w:rsidRPr="00397500">
        <w:t>Abu’l-Huda</w:t>
      </w:r>
      <w:r w:rsidRPr="00397500">
        <w:tab/>
        <w:t xml:space="preserve">Abu’l-Hudá, </w:t>
      </w:r>
      <w:r w:rsidRPr="00397500">
        <w:rPr>
          <w:u w:val="single"/>
        </w:rPr>
        <w:t>Sh</w:t>
      </w:r>
      <w:r w:rsidRPr="00397500">
        <w:t>ay</w:t>
      </w:r>
      <w:r w:rsidRPr="00397500">
        <w:rPr>
          <w:u w:val="single"/>
        </w:rPr>
        <w:t>kh</w:t>
      </w:r>
      <w:r w:rsidRPr="00397500">
        <w:tab/>
      </w:r>
    </w:p>
    <w:p w14:paraId="10112D8E" w14:textId="77777777" w:rsidR="00625A5B" w:rsidRPr="00397500" w:rsidRDefault="00625A5B" w:rsidP="00B528B1">
      <w:pPr>
        <w:pStyle w:val="Translit"/>
        <w:rPr>
          <w:rFonts w:eastAsia="PMingLiU"/>
          <w:lang w:eastAsia="zh-TW"/>
        </w:rPr>
      </w:pPr>
      <w:r w:rsidRPr="00397500">
        <w:rPr>
          <w:rFonts w:eastAsia="PMingLiU"/>
          <w:lang w:eastAsia="zh-TW"/>
        </w:rPr>
        <w:t>Abu’l-Q</w:t>
      </w:r>
      <w:r w:rsidRPr="00397500">
        <w:t>a</w:t>
      </w:r>
      <w:r w:rsidRPr="00397500">
        <w:rPr>
          <w:rFonts w:eastAsia="PMingLiU"/>
          <w:lang w:eastAsia="zh-TW"/>
        </w:rPr>
        <w:t>sim-ibn-i-H</w:t>
      </w:r>
      <w:r w:rsidRPr="00397500">
        <w:t>a</w:t>
      </w:r>
      <w:r w:rsidRPr="00397500">
        <w:rPr>
          <w:rFonts w:eastAsia="PMingLiU"/>
          <w:lang w:eastAsia="zh-TW"/>
        </w:rPr>
        <w:t>j</w:t>
      </w:r>
      <w:r w:rsidRPr="00397500">
        <w:t>i</w:t>
      </w:r>
      <w:r w:rsidRPr="00397500">
        <w:rPr>
          <w:rFonts w:eastAsia="PMingLiU"/>
          <w:lang w:eastAsia="zh-TW"/>
        </w:rPr>
        <w:t>-Zayn</w:t>
      </w:r>
      <w:r w:rsidRPr="00397500">
        <w:t>a</w:t>
      </w:r>
      <w:r w:rsidRPr="00397500">
        <w:tab/>
      </w:r>
      <w:r w:rsidRPr="00397500">
        <w:rPr>
          <w:rFonts w:eastAsia="PMingLiU"/>
          <w:lang w:eastAsia="zh-TW"/>
        </w:rPr>
        <w:t>Abu’l-Q</w:t>
      </w:r>
      <w:r w:rsidRPr="00397500">
        <w:t>á</w:t>
      </w:r>
      <w:r w:rsidRPr="00397500">
        <w:rPr>
          <w:rFonts w:eastAsia="PMingLiU"/>
          <w:lang w:eastAsia="zh-TW"/>
        </w:rPr>
        <w:t>sim-ibn-i-</w:t>
      </w:r>
      <w:r w:rsidRPr="00397500">
        <w:t>Ḥá</w:t>
      </w:r>
      <w:r w:rsidRPr="00397500">
        <w:rPr>
          <w:rFonts w:eastAsia="PMingLiU"/>
          <w:lang w:eastAsia="zh-TW"/>
        </w:rPr>
        <w:t>j</w:t>
      </w:r>
      <w:r w:rsidRPr="00397500">
        <w:t>í</w:t>
      </w:r>
      <w:r w:rsidRPr="00397500">
        <w:rPr>
          <w:rFonts w:eastAsia="PMingLiU"/>
          <w:lang w:eastAsia="zh-TW"/>
        </w:rPr>
        <w:t>-Zayna</w:t>
      </w:r>
      <w:r w:rsidRPr="00397500">
        <w:tab/>
      </w:r>
    </w:p>
    <w:p w14:paraId="7E0D5CD3" w14:textId="77777777" w:rsidR="00625A5B" w:rsidRPr="00397500" w:rsidRDefault="00625A5B" w:rsidP="00F87A63">
      <w:pPr>
        <w:pStyle w:val="Translit"/>
      </w:pPr>
      <w:r w:rsidRPr="00397500">
        <w:t>Abu’l-Qasim-i-Hamadani</w:t>
      </w:r>
      <w:r w:rsidRPr="00397500">
        <w:tab/>
        <w:t>Abu’l-Qásim-i-Hamadání</w:t>
      </w:r>
      <w:r w:rsidRPr="00397500">
        <w:tab/>
      </w:r>
    </w:p>
    <w:p w14:paraId="61AF0C5A" w14:textId="77777777" w:rsidR="00625A5B" w:rsidRPr="00397500" w:rsidRDefault="00625A5B" w:rsidP="00F87A63">
      <w:pPr>
        <w:pStyle w:val="Translit"/>
      </w:pPr>
      <w:r w:rsidRPr="00397500">
        <w:t>Abu’l-Qasim-i-Kashi</w:t>
      </w:r>
      <w:r w:rsidRPr="00397500">
        <w:tab/>
        <w:t>Abu’l-Qásim-i-Ká</w:t>
      </w:r>
      <w:r w:rsidRPr="00397500">
        <w:rPr>
          <w:u w:val="single"/>
        </w:rPr>
        <w:t>sh</w:t>
      </w:r>
      <w:r w:rsidRPr="00397500">
        <w:t>í</w:t>
      </w:r>
      <w:r w:rsidRPr="00397500">
        <w:tab/>
        <w:t>a learned Bábí from Ká</w:t>
      </w:r>
      <w:r w:rsidRPr="00397500">
        <w:rPr>
          <w:u w:val="single"/>
        </w:rPr>
        <w:t>sh</w:t>
      </w:r>
      <w:r w:rsidRPr="00397500">
        <w:t>án (Abu’l Kazim)</w:t>
      </w:r>
    </w:p>
    <w:p w14:paraId="1379C2B9" w14:textId="77777777" w:rsidR="00625A5B" w:rsidRPr="00397500" w:rsidRDefault="00625A5B" w:rsidP="00F87A63">
      <w:pPr>
        <w:pStyle w:val="Translit"/>
      </w:pPr>
      <w:r w:rsidRPr="00397500">
        <w:t>Abu’l-Qasim-i-Khurasani</w:t>
      </w:r>
      <w:r w:rsidRPr="00397500">
        <w:tab/>
        <w:t>Abu’l-Qásim-i-</w:t>
      </w:r>
      <w:r w:rsidRPr="00397500">
        <w:rPr>
          <w:u w:val="single"/>
        </w:rPr>
        <w:t>Kh</w:t>
      </w:r>
      <w:r w:rsidRPr="00397500">
        <w:t>urásání</w:t>
      </w:r>
      <w:r w:rsidRPr="00397500">
        <w:tab/>
      </w:r>
    </w:p>
    <w:p w14:paraId="412FE782" w14:textId="77777777" w:rsidR="00625A5B" w:rsidRPr="00397500" w:rsidRDefault="00625A5B" w:rsidP="00F87A63">
      <w:pPr>
        <w:pStyle w:val="Translit"/>
      </w:pPr>
      <w:r w:rsidRPr="00397500">
        <w:t>Abu’l-Qasim-i-Mazkani</w:t>
      </w:r>
      <w:r w:rsidRPr="00397500">
        <w:tab/>
        <w:t>Abu’l-Qásim-i-Mazkání</w:t>
      </w:r>
      <w:r w:rsidRPr="00397500">
        <w:tab/>
      </w:r>
    </w:p>
    <w:p w14:paraId="65D137D2" w14:textId="77777777" w:rsidR="00625A5B" w:rsidRPr="00397500" w:rsidRDefault="00625A5B" w:rsidP="00F87A63">
      <w:pPr>
        <w:pStyle w:val="Translit"/>
        <w:rPr>
          <w:rFonts w:eastAsia="PMingLiU"/>
          <w:lang w:eastAsia="zh-TW"/>
        </w:rPr>
      </w:pPr>
      <w:r w:rsidRPr="00397500">
        <w:rPr>
          <w:rFonts w:eastAsia="PMingLiU"/>
          <w:lang w:eastAsia="zh-TW"/>
        </w:rPr>
        <w:t>Abu’l-Q</w:t>
      </w:r>
      <w:r w:rsidRPr="00397500">
        <w:t>a</w:t>
      </w:r>
      <w:r w:rsidRPr="00397500">
        <w:rPr>
          <w:rFonts w:eastAsia="PMingLiU"/>
          <w:lang w:eastAsia="zh-TW"/>
        </w:rPr>
        <w:t>sim-i-Q</w:t>
      </w:r>
      <w:r w:rsidRPr="00397500">
        <w:t>a</w:t>
      </w:r>
      <w:r w:rsidRPr="00397500">
        <w:rPr>
          <w:rFonts w:eastAsia="PMingLiU"/>
          <w:lang w:eastAsia="zh-TW"/>
        </w:rPr>
        <w:t>’im-Maqam</w:t>
      </w:r>
      <w:r w:rsidRPr="00397500">
        <w:tab/>
      </w:r>
      <w:r w:rsidRPr="00397500">
        <w:rPr>
          <w:rFonts w:eastAsia="PMingLiU"/>
          <w:lang w:eastAsia="zh-TW"/>
        </w:rPr>
        <w:t>Abu’l-Q</w:t>
      </w:r>
      <w:r w:rsidRPr="00397500">
        <w:t>á</w:t>
      </w:r>
      <w:r w:rsidRPr="00397500">
        <w:rPr>
          <w:rFonts w:eastAsia="PMingLiU"/>
          <w:lang w:eastAsia="zh-TW"/>
        </w:rPr>
        <w:t>sim-i-Q</w:t>
      </w:r>
      <w:r w:rsidRPr="00397500">
        <w:t>á</w:t>
      </w:r>
      <w:r w:rsidRPr="00397500">
        <w:rPr>
          <w:rFonts w:eastAsia="PMingLiU"/>
          <w:lang w:eastAsia="zh-TW"/>
        </w:rPr>
        <w:t>’im-Maqám</w:t>
      </w:r>
      <w:r w:rsidRPr="00397500">
        <w:tab/>
      </w:r>
    </w:p>
    <w:p w14:paraId="26576C13" w14:textId="77777777" w:rsidR="00625A5B" w:rsidRPr="00397500" w:rsidRDefault="00625A5B" w:rsidP="00F87A63">
      <w:pPr>
        <w:pStyle w:val="Translit"/>
      </w:pPr>
      <w:r w:rsidRPr="00397500">
        <w:t>Abu’l-Qasim-i-Shirazi</w:t>
      </w:r>
      <w:r w:rsidRPr="00397500">
        <w:tab/>
        <w:t>Abu’l-Qásim-i-</w:t>
      </w:r>
      <w:r w:rsidRPr="00397500">
        <w:rPr>
          <w:u w:val="single"/>
        </w:rPr>
        <w:t>Sh</w:t>
      </w:r>
      <w:r w:rsidRPr="00397500">
        <w:t>írází</w:t>
      </w:r>
      <w:r w:rsidRPr="00397500">
        <w:tab/>
      </w:r>
    </w:p>
    <w:p w14:paraId="02D9E741" w14:textId="77777777" w:rsidR="00625A5B" w:rsidRPr="008F03E5" w:rsidRDefault="00625A5B" w:rsidP="00F87A63">
      <w:pPr>
        <w:pStyle w:val="Translit"/>
      </w:pPr>
      <w:r w:rsidRPr="008F03E5">
        <w:t>Abu’sh-Shurur</w:t>
      </w:r>
      <w:r w:rsidRPr="008F03E5">
        <w:tab/>
        <w:t>Abu’</w:t>
      </w:r>
      <w:r w:rsidRPr="008F03E5">
        <w:rPr>
          <w:u w:val="single"/>
        </w:rPr>
        <w:t>sh</w:t>
      </w:r>
      <w:r w:rsidRPr="008F03E5">
        <w:t>-</w:t>
      </w:r>
      <w:r w:rsidRPr="008F03E5">
        <w:rPr>
          <w:u w:val="single"/>
        </w:rPr>
        <w:t>Sh</w:t>
      </w:r>
      <w:r w:rsidRPr="008F03E5">
        <w:t>urúr</w:t>
      </w:r>
      <w:r w:rsidRPr="008F03E5">
        <w:tab/>
        <w:t>“the father of iniquities or wickedness” (</w:t>
      </w:r>
      <w:r w:rsidRPr="008F03E5">
        <w:rPr>
          <w:sz w:val="16"/>
          <w:szCs w:val="16"/>
        </w:rPr>
        <w:t>EGB</w:t>
      </w:r>
      <w:r w:rsidRPr="008F03E5">
        <w:t>, Balyuzi)</w:t>
      </w:r>
    </w:p>
    <w:p w14:paraId="7C894DA0" w14:textId="77777777" w:rsidR="00625A5B" w:rsidRDefault="00625A5B" w:rsidP="00E31EBF">
      <w:pPr>
        <w:pStyle w:val="Translit"/>
      </w:pPr>
      <w:r w:rsidRPr="008F03E5">
        <w:t>Abu-Bakr</w:t>
      </w:r>
      <w:r w:rsidRPr="008F03E5">
        <w:tab/>
        <w:t>Abú-Bakr</w:t>
      </w:r>
      <w:r w:rsidRPr="008F03E5">
        <w:tab/>
      </w:r>
      <w:r>
        <w:t>“</w:t>
      </w:r>
      <w:r w:rsidRPr="00CE3826">
        <w:t>father of the young c</w:t>
      </w:r>
      <w:r w:rsidRPr="00B007C7">
        <w:t xml:space="preserve">amel”.  </w:t>
      </w:r>
      <w:r>
        <w:t xml:space="preserve">A </w:t>
      </w:r>
      <w:r w:rsidRPr="00B007C7">
        <w:t xml:space="preserve">nickname (kunya) given to </w:t>
      </w:r>
      <w:r>
        <w:t xml:space="preserve">the </w:t>
      </w:r>
      <w:r w:rsidRPr="00B007C7">
        <w:t>fir</w:t>
      </w:r>
      <w:r w:rsidRPr="008F03E5">
        <w:t xml:space="preserve">st Muslim caliph, Abú Bakr ‘Abdalláh bin Abí Quḥáfah, </w:t>
      </w:r>
      <w:r>
        <w:t>as a young child.  C</w:t>
      </w:r>
      <w:r w:rsidRPr="008F03E5">
        <w:t>alled aṣ-Ṣiddíq by Muḥammad.</w:t>
      </w:r>
      <w:r>
        <w:t xml:space="preserve">  Full name was</w:t>
      </w:r>
      <w:r w:rsidRPr="00B007C7">
        <w:t xml:space="preserve"> </w:t>
      </w:r>
      <w:r>
        <w:t>‘</w:t>
      </w:r>
      <w:r w:rsidRPr="00B007C7">
        <w:t>Abdu</w:t>
      </w:r>
      <w:r>
        <w:t>’</w:t>
      </w:r>
      <w:r w:rsidRPr="00B007C7">
        <w:t>lláh ibn</w:t>
      </w:r>
      <w:r>
        <w:t xml:space="preserve"> </w:t>
      </w:r>
      <w:r w:rsidRPr="00B007C7">
        <w:t xml:space="preserve">Abí </w:t>
      </w:r>
      <w:r w:rsidRPr="003D0552">
        <w:t>Quḥáf</w:t>
      </w:r>
      <w:r>
        <w:t>a</w:t>
      </w:r>
      <w:r w:rsidRPr="00B007C7">
        <w:t xml:space="preserve"> ibn Amír ibn Amr ibn Ka</w:t>
      </w:r>
      <w:r>
        <w:t>‘</w:t>
      </w:r>
      <w:r w:rsidRPr="00B007C7">
        <w:t>b ibn Sa</w:t>
      </w:r>
      <w:r>
        <w:t>‘</w:t>
      </w:r>
      <w:r w:rsidRPr="00B007C7">
        <w:t>d ibn</w:t>
      </w:r>
      <w:r>
        <w:t xml:space="preserve"> </w:t>
      </w:r>
      <w:r w:rsidRPr="00B007C7">
        <w:t>Taym</w:t>
      </w:r>
      <w:r>
        <w:t xml:space="preserve"> </w:t>
      </w:r>
      <w:r w:rsidRPr="00B007C7">
        <w:t>ibn Murrah ibn Ka</w:t>
      </w:r>
      <w:r>
        <w:t>‘</w:t>
      </w:r>
      <w:r w:rsidRPr="00B007C7">
        <w:t>b ibn Lu</w:t>
      </w:r>
      <w:r>
        <w:t>’</w:t>
      </w:r>
      <w:r w:rsidRPr="00B007C7">
        <w:t xml:space="preserve">ayy ibn </w:t>
      </w:r>
      <w:r w:rsidRPr="008F03E5">
        <w:rPr>
          <w:u w:val="single"/>
        </w:rPr>
        <w:t>Gh</w:t>
      </w:r>
      <w:r w:rsidRPr="008F03E5">
        <w:t>álib</w:t>
      </w:r>
      <w:r w:rsidRPr="00B007C7">
        <w:t xml:space="preserve"> ibn Fihr.</w:t>
      </w:r>
    </w:p>
    <w:p w14:paraId="3A73E8FD" w14:textId="77777777" w:rsidR="00625A5B" w:rsidRPr="008F03E5" w:rsidRDefault="00625A5B" w:rsidP="00F87A63">
      <w:pPr>
        <w:pStyle w:val="Translit"/>
      </w:pPr>
      <w:r w:rsidRPr="008F03E5">
        <w:t>Abu-Bakri’s-Siddiq</w:t>
      </w:r>
      <w:r w:rsidRPr="008F03E5">
        <w:tab/>
        <w:t>Abú-Bakri’ṣ-Ṣiddíq</w:t>
      </w:r>
      <w:r w:rsidRPr="008F03E5">
        <w:tab/>
      </w:r>
      <w:r w:rsidRPr="008F03E5">
        <w:rPr>
          <w:i/>
          <w:iCs/>
        </w:rPr>
        <w:t>The Dawn-Breakers</w:t>
      </w:r>
      <w:r w:rsidRPr="008F03E5">
        <w:t xml:space="preserve"> liv</w:t>
      </w:r>
    </w:p>
    <w:p w14:paraId="0BBE180A" w14:textId="77777777" w:rsidR="00625A5B" w:rsidRPr="008F03E5" w:rsidRDefault="00625A5B" w:rsidP="00F87A63">
      <w:pPr>
        <w:pStyle w:val="Translit"/>
      </w:pPr>
      <w:r w:rsidRPr="008F03E5">
        <w:t>Abu-Hanifa, Abu-Hanifih</w:t>
      </w:r>
      <w:r w:rsidRPr="008F03E5">
        <w:tab/>
        <w:t>Abú-Ḥanífa (or Ḥanífih) an-Nu‘mán</w:t>
      </w:r>
      <w:r w:rsidRPr="008F03E5">
        <w:tab/>
        <w:t>famous Persian theologian and jurist</w:t>
      </w:r>
    </w:p>
    <w:p w14:paraId="16AD0137" w14:textId="77777777" w:rsidR="00625A5B" w:rsidRPr="008F03E5" w:rsidRDefault="00625A5B" w:rsidP="00F87A63">
      <w:pPr>
        <w:pStyle w:val="Translit"/>
      </w:pPr>
      <w:r w:rsidRPr="008F03E5">
        <w:t>Abu-Ja’far-i-Tusi</w:t>
      </w:r>
      <w:r w:rsidRPr="008F03E5">
        <w:tab/>
        <w:t>Abú-Ja‘far-i-Ṭúsí</w:t>
      </w:r>
      <w:r w:rsidRPr="008F03E5">
        <w:tab/>
        <w:t>follower of Imám Ṣádiq who handed down his traditions</w:t>
      </w:r>
    </w:p>
    <w:p w14:paraId="06145CB2" w14:textId="77777777" w:rsidR="00625A5B" w:rsidRPr="008F03E5" w:rsidRDefault="00625A5B" w:rsidP="00F87A63">
      <w:pPr>
        <w:pStyle w:val="Translit"/>
      </w:pPr>
      <w:r w:rsidRPr="008F03E5">
        <w:t>Abu-Jahl</w:t>
      </w:r>
      <w:r w:rsidRPr="008F03E5">
        <w:tab/>
        <w:t>Abú-Jahl</w:t>
      </w:r>
      <w:r w:rsidRPr="008F03E5">
        <w:tab/>
        <w:t>(Abudjahl) (“father of ignorance”)  Abu’l-Ḥakam ‘Amr Ibn Hi</w:t>
      </w:r>
      <w:r w:rsidRPr="008F03E5">
        <w:rPr>
          <w:u w:val="single"/>
        </w:rPr>
        <w:t>sh</w:t>
      </w:r>
      <w:r w:rsidRPr="008F03E5">
        <w:t>ám</w:t>
      </w:r>
    </w:p>
    <w:p w14:paraId="5634D79A" w14:textId="77777777" w:rsidR="00625A5B" w:rsidRPr="008F03E5" w:rsidRDefault="00625A5B" w:rsidP="00F87A63">
      <w:pPr>
        <w:pStyle w:val="Translit"/>
      </w:pPr>
      <w:r w:rsidRPr="008F03E5">
        <w:t>Abu-Nasr Muhammad al-Farabi</w:t>
      </w:r>
      <w:r w:rsidRPr="008F03E5">
        <w:tab/>
        <w:t>Abú-Naṣr Muḥammad al-Fárábí</w:t>
      </w:r>
      <w:r w:rsidRPr="008F03E5">
        <w:tab/>
        <w:t>(Alpharabius in the West) Persian philosopher and writer (c. 872–between 14 December 950 and 12 January 951)</w:t>
      </w:r>
    </w:p>
    <w:p w14:paraId="44401EF7" w14:textId="77777777" w:rsidR="00625A5B" w:rsidRPr="008F03E5" w:rsidRDefault="00625A5B" w:rsidP="00F87A63">
      <w:pPr>
        <w:pStyle w:val="Translit"/>
      </w:pPr>
      <w:r w:rsidRPr="008F03E5">
        <w:t>Abuqir, Abu Qir</w:t>
      </w:r>
      <w:r w:rsidRPr="008F03E5">
        <w:tab/>
        <w:t>Abúqír, Abú Qír</w:t>
      </w:r>
      <w:r w:rsidRPr="008F03E5">
        <w:tab/>
        <w:t xml:space="preserve">is a town on the coast 18 </w:t>
      </w:r>
      <w:r w:rsidRPr="008F03E5">
        <w:rPr>
          <w:sz w:val="16"/>
          <w:szCs w:val="16"/>
        </w:rPr>
        <w:t>NE</w:t>
      </w:r>
      <w:r w:rsidRPr="008F03E5">
        <w:t xml:space="preserve"> of Alexandria, Egypt</w:t>
      </w:r>
    </w:p>
    <w:p w14:paraId="6AF0B269" w14:textId="77777777" w:rsidR="00625A5B" w:rsidRPr="008F03E5" w:rsidRDefault="00625A5B" w:rsidP="00F87A63">
      <w:pPr>
        <w:pStyle w:val="Translit"/>
        <w:rPr>
          <w:rFonts w:eastAsia="PMingLiU"/>
          <w:lang w:eastAsia="zh-TW"/>
        </w:rPr>
      </w:pPr>
      <w:r w:rsidRPr="008F03E5">
        <w:rPr>
          <w:rFonts w:eastAsia="PMingLiU"/>
          <w:lang w:eastAsia="zh-TW"/>
        </w:rPr>
        <w:t>Ab</w:t>
      </w:r>
      <w:r w:rsidRPr="008F03E5">
        <w:t>u</w:t>
      </w:r>
      <w:r w:rsidRPr="008F03E5">
        <w:rPr>
          <w:rFonts w:eastAsia="PMingLiU"/>
          <w:lang w:eastAsia="zh-TW"/>
        </w:rPr>
        <w:t>-Rah</w:t>
      </w:r>
      <w:r w:rsidRPr="008F03E5">
        <w:t>i</w:t>
      </w:r>
      <w:r w:rsidRPr="008F03E5">
        <w:rPr>
          <w:rFonts w:eastAsia="PMingLiU"/>
          <w:lang w:eastAsia="zh-TW"/>
        </w:rPr>
        <w:t>m</w:t>
      </w:r>
      <w:r w:rsidRPr="008F03E5">
        <w:tab/>
      </w:r>
      <w:r w:rsidRPr="008F03E5">
        <w:rPr>
          <w:rFonts w:eastAsia="PMingLiU"/>
          <w:lang w:eastAsia="zh-TW"/>
        </w:rPr>
        <w:t>Ab</w:t>
      </w:r>
      <w:r w:rsidRPr="008F03E5">
        <w:t>ú</w:t>
      </w:r>
      <w:r w:rsidRPr="008F03E5">
        <w:rPr>
          <w:rFonts w:eastAsia="PMingLiU"/>
          <w:lang w:eastAsia="zh-TW"/>
        </w:rPr>
        <w:t>-Ra</w:t>
      </w:r>
      <w:r w:rsidRPr="008F03E5">
        <w:t>ḥí</w:t>
      </w:r>
      <w:r w:rsidRPr="008F03E5">
        <w:rPr>
          <w:rFonts w:eastAsia="PMingLiU"/>
          <w:lang w:eastAsia="zh-TW"/>
        </w:rPr>
        <w:t>m</w:t>
      </w:r>
      <w:r w:rsidRPr="008F03E5">
        <w:tab/>
      </w:r>
    </w:p>
    <w:p w14:paraId="2EF94754" w14:textId="77777777" w:rsidR="00625A5B" w:rsidRPr="008F03E5" w:rsidRDefault="00625A5B" w:rsidP="00F87A63">
      <w:pPr>
        <w:pStyle w:val="Translit"/>
      </w:pPr>
      <w:r w:rsidRPr="008F03E5">
        <w:t>Abu-Sufyan</w:t>
      </w:r>
      <w:r w:rsidRPr="008F03E5">
        <w:tab/>
        <w:t>Abú-Sufyán</w:t>
      </w:r>
      <w:r w:rsidRPr="008F03E5">
        <w:tab/>
        <w:t>Ṣa</w:t>
      </w:r>
      <w:r w:rsidRPr="008F03E5">
        <w:rPr>
          <w:u w:val="single"/>
        </w:rPr>
        <w:t>kh</w:t>
      </w:r>
      <w:r w:rsidRPr="008F03E5">
        <w:t>r ibn Ḥarb, more commonly known as Abú Sufyán (580–640), was the leader of the Quraysh of Mecca, the most powerful tribe of pre-Islamic Arabia.  He was a staunch opponent of Muḥammad, until later accepting Islám and becoming a warrior later in his life during the early Muslim conquests.</w:t>
      </w:r>
    </w:p>
    <w:p w14:paraId="2C322B9F" w14:textId="77777777" w:rsidR="00625A5B" w:rsidRPr="008F03E5" w:rsidRDefault="00625A5B" w:rsidP="00B528B1">
      <w:pPr>
        <w:pStyle w:val="Translit"/>
      </w:pPr>
      <w:r w:rsidRPr="008F03E5">
        <w:t>Abu-Talib</w:t>
      </w:r>
      <w:r w:rsidRPr="008F03E5">
        <w:tab/>
        <w:t>Abú-Ṭálib</w:t>
      </w:r>
      <w:r w:rsidRPr="008F03E5">
        <w:tab/>
        <w:t>Abú-Ṭálib, Mullá.  Sons ‘Alí</w:t>
      </w:r>
      <w:r>
        <w:t xml:space="preserve"> </w:t>
      </w:r>
      <w:r w:rsidRPr="008F03E5">
        <w:t>A</w:t>
      </w:r>
      <w:r w:rsidRPr="008F03E5">
        <w:rPr>
          <w:u w:val="single"/>
        </w:rPr>
        <w:t>sh</w:t>
      </w:r>
      <w:r w:rsidRPr="008F03E5">
        <w:t>raf and Áqá Bálá</w:t>
      </w:r>
    </w:p>
    <w:p w14:paraId="1BC03EE4" w14:textId="77777777" w:rsidR="00625A5B" w:rsidRPr="008F03E5" w:rsidRDefault="00625A5B" w:rsidP="00F87A63">
      <w:pPr>
        <w:pStyle w:val="Translit"/>
        <w:rPr>
          <w:rFonts w:eastAsia="PMingLiU"/>
          <w:lang w:eastAsia="zh-TW"/>
        </w:rPr>
      </w:pPr>
      <w:r w:rsidRPr="008F03E5">
        <w:rPr>
          <w:rFonts w:eastAsia="PMingLiU"/>
          <w:lang w:eastAsia="zh-TW"/>
        </w:rPr>
        <w:t>Ab</w:t>
      </w:r>
      <w:r w:rsidRPr="008F03E5">
        <w:t>u</w:t>
      </w:r>
      <w:r w:rsidRPr="008F03E5">
        <w:rPr>
          <w:rFonts w:eastAsia="PMingLiU"/>
          <w:lang w:eastAsia="zh-TW"/>
        </w:rPr>
        <w:t>-T</w:t>
      </w:r>
      <w:r w:rsidRPr="008F03E5">
        <w:t>a</w:t>
      </w:r>
      <w:r w:rsidRPr="008F03E5">
        <w:rPr>
          <w:rFonts w:eastAsia="PMingLiU"/>
          <w:lang w:eastAsia="zh-TW"/>
        </w:rPr>
        <w:t>lib-i-Sang-Sar</w:t>
      </w:r>
      <w:r w:rsidRPr="008F03E5">
        <w:t>i</w:t>
      </w:r>
      <w:r w:rsidRPr="008F03E5">
        <w:tab/>
      </w:r>
      <w:r w:rsidRPr="008F03E5">
        <w:rPr>
          <w:rFonts w:eastAsia="PMingLiU"/>
          <w:lang w:eastAsia="zh-TW"/>
        </w:rPr>
        <w:t>Ab</w:t>
      </w:r>
      <w:r w:rsidRPr="008F03E5">
        <w:t>ú</w:t>
      </w:r>
      <w:r w:rsidRPr="008F03E5">
        <w:rPr>
          <w:rFonts w:eastAsia="PMingLiU"/>
          <w:lang w:eastAsia="zh-TW"/>
        </w:rPr>
        <w:t>-</w:t>
      </w:r>
      <w:r w:rsidRPr="008F03E5">
        <w:t>Ṭá</w:t>
      </w:r>
      <w:r w:rsidRPr="008F03E5">
        <w:rPr>
          <w:rFonts w:eastAsia="PMingLiU"/>
          <w:lang w:eastAsia="zh-TW"/>
        </w:rPr>
        <w:t>lib-i-Sang-S</w:t>
      </w:r>
      <w:r w:rsidRPr="008F03E5">
        <w:t>a</w:t>
      </w:r>
      <w:r w:rsidRPr="008F03E5">
        <w:rPr>
          <w:rFonts w:eastAsia="PMingLiU"/>
          <w:lang w:eastAsia="zh-TW"/>
        </w:rPr>
        <w:t>r</w:t>
      </w:r>
      <w:r w:rsidRPr="008F03E5">
        <w:t>í</w:t>
      </w:r>
      <w:r w:rsidRPr="008F03E5">
        <w:tab/>
        <w:t xml:space="preserve">Siyyid </w:t>
      </w:r>
      <w:r w:rsidRPr="008F03E5">
        <w:rPr>
          <w:rFonts w:eastAsia="PMingLiU"/>
          <w:lang w:eastAsia="zh-TW"/>
        </w:rPr>
        <w:t>Ab</w:t>
      </w:r>
      <w:r w:rsidRPr="008F03E5">
        <w:t>ú</w:t>
      </w:r>
      <w:r w:rsidRPr="008F03E5">
        <w:rPr>
          <w:rFonts w:eastAsia="PMingLiU"/>
          <w:lang w:eastAsia="zh-TW"/>
        </w:rPr>
        <w:t>-</w:t>
      </w:r>
      <w:r w:rsidRPr="008F03E5">
        <w:t>Ṭá</w:t>
      </w:r>
      <w:r w:rsidRPr="008F03E5">
        <w:rPr>
          <w:rFonts w:eastAsia="PMingLiU"/>
          <w:lang w:eastAsia="zh-TW"/>
        </w:rPr>
        <w:t>lib-i-Sang-S</w:t>
      </w:r>
      <w:r w:rsidRPr="008F03E5">
        <w:t>a</w:t>
      </w:r>
      <w:r w:rsidRPr="008F03E5">
        <w:rPr>
          <w:rFonts w:eastAsia="PMingLiU"/>
          <w:lang w:eastAsia="zh-TW"/>
        </w:rPr>
        <w:t>r</w:t>
      </w:r>
      <w:r w:rsidRPr="008F03E5">
        <w:t>í (</w:t>
      </w:r>
      <w:r w:rsidRPr="008F03E5">
        <w:rPr>
          <w:i/>
          <w:iCs/>
        </w:rPr>
        <w:t>The Dawn-Breakers</w:t>
      </w:r>
      <w:r w:rsidRPr="008F03E5">
        <w:t>, p. 426)</w:t>
      </w:r>
    </w:p>
    <w:p w14:paraId="39397949" w14:textId="77777777" w:rsidR="00625A5B" w:rsidRPr="008F03E5" w:rsidRDefault="00625A5B" w:rsidP="00F87A63">
      <w:pPr>
        <w:pStyle w:val="Translit"/>
        <w:rPr>
          <w:lang w:eastAsia="zh-TW"/>
        </w:rPr>
      </w:pPr>
      <w:r w:rsidRPr="008F03E5">
        <w:rPr>
          <w:lang w:eastAsia="zh-TW"/>
        </w:rPr>
        <w:t>Ab</w:t>
      </w:r>
      <w:r w:rsidRPr="008F03E5">
        <w:t>u</w:t>
      </w:r>
      <w:r w:rsidRPr="008F03E5">
        <w:rPr>
          <w:lang w:eastAsia="zh-TW"/>
        </w:rPr>
        <w:t>-T</w:t>
      </w:r>
      <w:r w:rsidRPr="008F03E5">
        <w:t>a</w:t>
      </w:r>
      <w:r w:rsidRPr="008F03E5">
        <w:rPr>
          <w:lang w:eastAsia="zh-TW"/>
        </w:rPr>
        <w:t>lib-i-Shahm</w:t>
      </w:r>
      <w:r w:rsidRPr="008F03E5">
        <w:t>i</w:t>
      </w:r>
      <w:r w:rsidRPr="008F03E5">
        <w:rPr>
          <w:lang w:eastAsia="zh-TW"/>
        </w:rPr>
        <w:t>rz</w:t>
      </w:r>
      <w:r w:rsidRPr="008F03E5">
        <w:t>a</w:t>
      </w:r>
      <w:r w:rsidRPr="008F03E5">
        <w:rPr>
          <w:lang w:eastAsia="zh-TW"/>
        </w:rPr>
        <w:t>d</w:t>
      </w:r>
      <w:r w:rsidRPr="008F03E5">
        <w:t>i</w:t>
      </w:r>
      <w:r w:rsidRPr="008F03E5">
        <w:tab/>
      </w:r>
      <w:r w:rsidRPr="008F03E5">
        <w:rPr>
          <w:lang w:eastAsia="zh-TW"/>
        </w:rPr>
        <w:t>Ab</w:t>
      </w:r>
      <w:r w:rsidRPr="008F03E5">
        <w:t>ú</w:t>
      </w:r>
      <w:r w:rsidRPr="008F03E5">
        <w:rPr>
          <w:lang w:eastAsia="zh-TW"/>
        </w:rPr>
        <w:t>-</w:t>
      </w:r>
      <w:r w:rsidRPr="008F03E5">
        <w:t>Ṭá</w:t>
      </w:r>
      <w:r w:rsidRPr="008F03E5">
        <w:rPr>
          <w:lang w:eastAsia="zh-TW"/>
        </w:rPr>
        <w:t>lib-i-</w:t>
      </w:r>
      <w:r w:rsidRPr="008F03E5">
        <w:rPr>
          <w:u w:val="single"/>
        </w:rPr>
        <w:t>Sh</w:t>
      </w:r>
      <w:r w:rsidRPr="008F03E5">
        <w:rPr>
          <w:lang w:eastAsia="zh-TW"/>
        </w:rPr>
        <w:t>ahm</w:t>
      </w:r>
      <w:r w:rsidRPr="008F03E5">
        <w:t>í</w:t>
      </w:r>
      <w:r w:rsidRPr="008F03E5">
        <w:rPr>
          <w:lang w:eastAsia="zh-TW"/>
        </w:rPr>
        <w:t>rz</w:t>
      </w:r>
      <w:r w:rsidRPr="008F03E5">
        <w:t>á</w:t>
      </w:r>
      <w:r w:rsidRPr="008F03E5">
        <w:rPr>
          <w:lang w:eastAsia="zh-TW"/>
        </w:rPr>
        <w:t>d</w:t>
      </w:r>
      <w:r w:rsidRPr="008F03E5">
        <w:t>í</w:t>
      </w:r>
      <w:r w:rsidRPr="008F03E5">
        <w:tab/>
      </w:r>
    </w:p>
    <w:p w14:paraId="6CEEB1CB" w14:textId="77777777" w:rsidR="00625A5B" w:rsidRPr="008F03E5" w:rsidRDefault="00625A5B" w:rsidP="00F87A63">
      <w:pPr>
        <w:pStyle w:val="Translit"/>
      </w:pPr>
      <w:r w:rsidRPr="008F03E5">
        <w:t>Abu-Turab</w:t>
      </w:r>
      <w:r w:rsidRPr="008F03E5">
        <w:tab/>
        <w:t>Abú-Turáb</w:t>
      </w:r>
      <w:r w:rsidRPr="008F03E5">
        <w:tab/>
      </w:r>
    </w:p>
    <w:p w14:paraId="1C27B581" w14:textId="77777777" w:rsidR="00625A5B" w:rsidRPr="008F03E5" w:rsidRDefault="00625A5B" w:rsidP="00F87A63">
      <w:pPr>
        <w:pStyle w:val="Translit"/>
        <w:rPr>
          <w:lang w:eastAsia="zh-TW"/>
        </w:rPr>
      </w:pPr>
      <w:r w:rsidRPr="008F03E5">
        <w:rPr>
          <w:lang w:eastAsia="zh-TW"/>
        </w:rPr>
        <w:t>Ab</w:t>
      </w:r>
      <w:r w:rsidRPr="008F03E5">
        <w:t>u</w:t>
      </w:r>
      <w:r w:rsidRPr="008F03E5">
        <w:rPr>
          <w:lang w:eastAsia="zh-TW"/>
        </w:rPr>
        <w:t>-Tur</w:t>
      </w:r>
      <w:r w:rsidRPr="008F03E5">
        <w:t>a</w:t>
      </w:r>
      <w:r w:rsidRPr="008F03E5">
        <w:rPr>
          <w:lang w:eastAsia="zh-TW"/>
        </w:rPr>
        <w:t>b-i-Qazv</w:t>
      </w:r>
      <w:r w:rsidRPr="008F03E5">
        <w:t>i</w:t>
      </w:r>
      <w:r w:rsidRPr="008F03E5">
        <w:rPr>
          <w:lang w:eastAsia="zh-TW"/>
        </w:rPr>
        <w:t>n</w:t>
      </w:r>
      <w:r w:rsidRPr="008F03E5">
        <w:t>i</w:t>
      </w:r>
      <w:r w:rsidRPr="008F03E5">
        <w:tab/>
      </w:r>
      <w:r w:rsidRPr="008F03E5">
        <w:rPr>
          <w:lang w:eastAsia="zh-TW"/>
        </w:rPr>
        <w:t>Ab</w:t>
      </w:r>
      <w:r w:rsidRPr="008F03E5">
        <w:t>ú</w:t>
      </w:r>
      <w:r w:rsidRPr="008F03E5">
        <w:rPr>
          <w:lang w:eastAsia="zh-TW"/>
        </w:rPr>
        <w:t>-Tur</w:t>
      </w:r>
      <w:r w:rsidRPr="008F03E5">
        <w:t>á</w:t>
      </w:r>
      <w:r w:rsidRPr="008F03E5">
        <w:rPr>
          <w:lang w:eastAsia="zh-TW"/>
        </w:rPr>
        <w:t>b-i-Qazv</w:t>
      </w:r>
      <w:r w:rsidRPr="008F03E5">
        <w:t>í</w:t>
      </w:r>
      <w:r w:rsidRPr="008F03E5">
        <w:rPr>
          <w:lang w:eastAsia="zh-TW"/>
        </w:rPr>
        <w:t>n</w:t>
      </w:r>
      <w:r w:rsidRPr="008F03E5">
        <w:t>í</w:t>
      </w:r>
      <w:r w:rsidRPr="008F03E5">
        <w:tab/>
      </w:r>
    </w:p>
    <w:p w14:paraId="3A6AD9F9" w14:textId="77777777" w:rsidR="00625A5B" w:rsidRPr="008F03E5" w:rsidRDefault="00625A5B" w:rsidP="00721544">
      <w:pPr>
        <w:pStyle w:val="Translit"/>
      </w:pPr>
      <w:r w:rsidRPr="008F03E5">
        <w:t>Abwa</w:t>
      </w:r>
      <w:r w:rsidRPr="008F03E5">
        <w:tab/>
        <w:t>al-Abwá’</w:t>
      </w:r>
      <w:r w:rsidRPr="008F03E5">
        <w:tab/>
        <w:t xml:space="preserve">village 34 km </w:t>
      </w:r>
      <w:r w:rsidRPr="008F03E5">
        <w:rPr>
          <w:sz w:val="16"/>
          <w:szCs w:val="16"/>
        </w:rPr>
        <w:t>NE</w:t>
      </w:r>
      <w:r w:rsidRPr="008F03E5">
        <w:t xml:space="preserve"> of Rábi</w:t>
      </w:r>
      <w:r w:rsidRPr="008F03E5">
        <w:rPr>
          <w:u w:val="single"/>
        </w:rPr>
        <w:t>gh</w:t>
      </w:r>
      <w:r w:rsidRPr="008F03E5">
        <w:t xml:space="preserve"> (a town on the Red Sea coast)</w:t>
      </w:r>
    </w:p>
    <w:p w14:paraId="30390391" w14:textId="77777777" w:rsidR="00625A5B" w:rsidRPr="008F03E5" w:rsidRDefault="00625A5B" w:rsidP="00A74BA6">
      <w:pPr>
        <w:pStyle w:val="Translit"/>
      </w:pPr>
      <w:r w:rsidRPr="008F03E5">
        <w:t>Abwab al-Arba’ah, Abwab-i-Arba’ih</w:t>
      </w:r>
      <w:r w:rsidRPr="008F03E5">
        <w:tab/>
        <w:t>al-Abwáb al-Arba‘a[h]</w:t>
      </w:r>
      <w:r w:rsidRPr="008F03E5">
        <w:tab/>
        <w:t xml:space="preserve">(Pers. Abwáb-i-Arba‘ih or Abváb-i-Arba‘ih) “the Four Gates” </w:t>
      </w:r>
      <w:r w:rsidRPr="008F03E5">
        <w:rPr>
          <w:sz w:val="16"/>
          <w:szCs w:val="16"/>
        </w:rPr>
        <w:t>for the Twelfth Im</w:t>
      </w:r>
      <w:r w:rsidRPr="008F03E5">
        <w:t>á</w:t>
      </w:r>
      <w:r w:rsidRPr="008F03E5">
        <w:rPr>
          <w:sz w:val="16"/>
          <w:szCs w:val="16"/>
        </w:rPr>
        <w:t>m</w:t>
      </w:r>
      <w:r w:rsidRPr="008F03E5">
        <w:t>.  See Arba‘ and an-Nuwwáb al-‘Arba’a[h].</w:t>
      </w:r>
    </w:p>
    <w:p w14:paraId="164AB0EA" w14:textId="77777777" w:rsidR="00625A5B" w:rsidRPr="008F03E5" w:rsidRDefault="00625A5B" w:rsidP="00F87A63">
      <w:pPr>
        <w:pStyle w:val="Translit"/>
      </w:pPr>
      <w:r w:rsidRPr="008F03E5">
        <w:t>Abyad (Abiyad), Bayda’ (Baida), Bid</w:t>
      </w:r>
      <w:r w:rsidRPr="008F03E5">
        <w:tab/>
        <w:t>Abyaḍ, fem. Bayḍá’, pl. Bíḍ</w:t>
      </w:r>
      <w:r w:rsidRPr="008F03E5">
        <w:tab/>
        <w:t>white; bright; clean, shiny, polished; blameless, noble, sincere (character); empty, blank (sheet of paper);—pl. al-bíḍán (“bidan”) the white race</w:t>
      </w:r>
    </w:p>
    <w:p w14:paraId="4A71AF50" w14:textId="77777777" w:rsidR="00625A5B" w:rsidRPr="008F03E5" w:rsidRDefault="00625A5B" w:rsidP="00F87A63">
      <w:pPr>
        <w:pStyle w:val="Translit"/>
      </w:pPr>
      <w:r w:rsidRPr="008F03E5">
        <w:t>Abyan</w:t>
      </w:r>
      <w:r w:rsidRPr="008F03E5">
        <w:tab/>
        <w:t>Abyan</w:t>
      </w:r>
      <w:r w:rsidRPr="008F03E5">
        <w:tab/>
        <w:t>clearer, more distinct, more obvious.  Root bána, bayán</w:t>
      </w:r>
    </w:p>
    <w:p w14:paraId="065F73A5" w14:textId="77777777" w:rsidR="00625A5B" w:rsidRPr="008F03E5" w:rsidRDefault="00625A5B" w:rsidP="009C76DA">
      <w:pPr>
        <w:pStyle w:val="Translit"/>
      </w:pPr>
      <w:r w:rsidRPr="008F03E5">
        <w:t>Achor, ‘Akir</w:t>
      </w:r>
      <w:r w:rsidRPr="008F03E5">
        <w:tab/>
        <w:t>Achor, ‘Akir</w:t>
      </w:r>
      <w:r w:rsidRPr="008F03E5">
        <w:tab/>
        <w:t xml:space="preserve">Hebrew muddy, turbid: gloomy, dejected; trouble.  Ar. ‘akir (turbid, muddy, roily; troubled, disturbed).  Hosea 2:15:  “the valley of Achor [trouble] for a door of hope”.  “This valley of Achor is the city of </w:t>
      </w:r>
      <w:r>
        <w:t>‘</w:t>
      </w:r>
      <w:r w:rsidRPr="008F03E5">
        <w:t>Akká” (</w:t>
      </w:r>
      <w:r w:rsidRPr="008F03E5">
        <w:rPr>
          <w:i/>
          <w:iCs/>
        </w:rPr>
        <w:t>Selections from the Writings of ‘Abdu’l-Bahá</w:t>
      </w:r>
      <w:r w:rsidRPr="008F03E5">
        <w:t>), p. 162.</w:t>
      </w:r>
    </w:p>
    <w:p w14:paraId="16E443C8" w14:textId="77777777" w:rsidR="00625A5B" w:rsidRPr="008F03E5" w:rsidRDefault="00625A5B" w:rsidP="0057115F">
      <w:pPr>
        <w:pStyle w:val="Translit"/>
      </w:pPr>
      <w:r w:rsidRPr="008F03E5">
        <w:t>Ad</w:t>
      </w:r>
      <w:r w:rsidRPr="008F03E5">
        <w:tab/>
        <w:t>‘Ád</w:t>
      </w:r>
      <w:r w:rsidRPr="008F03E5">
        <w:tab/>
        <w:t>Traditionally, a fourth generation descendant of Noah; an ancient Arabian tribe</w:t>
      </w:r>
    </w:p>
    <w:p w14:paraId="4E090408" w14:textId="77777777" w:rsidR="00625A5B" w:rsidRPr="008F03E5" w:rsidRDefault="00625A5B" w:rsidP="00E22D0E">
      <w:pPr>
        <w:pStyle w:val="Translit"/>
      </w:pPr>
      <w:r w:rsidRPr="008F03E5">
        <w:t>Ad’iyah wa Munajat</w:t>
      </w:r>
      <w:r w:rsidRPr="008F03E5">
        <w:tab/>
      </w:r>
      <w:r w:rsidRPr="008F03E5">
        <w:rPr>
          <w:lang w:eastAsia="zh-TW"/>
        </w:rPr>
        <w:t xml:space="preserve">Ad‘iyah </w:t>
      </w:r>
      <w:r w:rsidRPr="008F03E5">
        <w:t>wa Munáját</w:t>
      </w:r>
      <w:r w:rsidRPr="008F03E5">
        <w:tab/>
        <w:t>“Prayers and Supplications” by ‘Abdu’l-Bahá</w:t>
      </w:r>
    </w:p>
    <w:p w14:paraId="4AEC7F79" w14:textId="77777777" w:rsidR="00625A5B" w:rsidRPr="008F03E5" w:rsidRDefault="00625A5B" w:rsidP="00E22D0E">
      <w:pPr>
        <w:pStyle w:val="Translit"/>
      </w:pPr>
      <w:r w:rsidRPr="008F03E5">
        <w:t>Ad’iyah-i-Hadrat-i-Mahbub</w:t>
      </w:r>
      <w:r w:rsidRPr="008F03E5">
        <w:tab/>
      </w:r>
      <w:r w:rsidRPr="008F03E5">
        <w:rPr>
          <w:lang w:eastAsia="zh-TW"/>
        </w:rPr>
        <w:t>Ad‘iyah-i-</w:t>
      </w:r>
      <w:r w:rsidRPr="008F03E5">
        <w:t>Ḥaḍrat-i-Maḥbúb</w:t>
      </w:r>
      <w:r w:rsidRPr="008F03E5">
        <w:tab/>
        <w:t>“Prayers and Tablets” by Bahá’u’lláh</w:t>
      </w:r>
    </w:p>
    <w:p w14:paraId="6DE31341" w14:textId="77777777" w:rsidR="00625A5B" w:rsidRPr="008F03E5" w:rsidRDefault="00625A5B" w:rsidP="00B16541">
      <w:pPr>
        <w:pStyle w:val="Translit"/>
      </w:pPr>
      <w:r w:rsidRPr="008F03E5">
        <w:t>Ada, ‘Adat, ‘Awa’id, ‘Adatan</w:t>
      </w:r>
      <w:r w:rsidRPr="008F03E5">
        <w:tab/>
        <w:t>‘Áda[t], pl. ‘Ádát, ‘Awá’id</w:t>
      </w:r>
      <w:r w:rsidRPr="008F03E5">
        <w:tab/>
        <w:t>habit, wont, custom, usage, practice; ‘Ádatan usually, customarily, ordinarily, habitually;—pl. ‘Awá’id taxes, duties; charges, fees, rates</w:t>
      </w:r>
    </w:p>
    <w:p w14:paraId="3B669DB3" w14:textId="77777777" w:rsidR="00625A5B" w:rsidRPr="008F03E5" w:rsidRDefault="00625A5B" w:rsidP="00F87A63">
      <w:pPr>
        <w:pStyle w:val="Translit"/>
      </w:pPr>
      <w:r w:rsidRPr="008F03E5">
        <w:t>Ada’</w:t>
      </w:r>
      <w:r w:rsidRPr="008F03E5">
        <w:tab/>
        <w:t>‘Adá’</w:t>
      </w:r>
      <w:r w:rsidRPr="008F03E5">
        <w:tab/>
        <w:t>enmity, hostility, antagonism, animosity; aggression</w:t>
      </w:r>
    </w:p>
    <w:p w14:paraId="6ABCA3E2" w14:textId="77777777" w:rsidR="00625A5B" w:rsidRPr="008F03E5" w:rsidRDefault="00625A5B" w:rsidP="00E219F0">
      <w:pPr>
        <w:pStyle w:val="Translit"/>
      </w:pPr>
      <w:r w:rsidRPr="008F03E5">
        <w:t>Adab</w:t>
      </w:r>
      <w:r w:rsidRPr="008F03E5">
        <w:tab/>
        <w:t>Adab, pl. Ádáb</w:t>
      </w:r>
      <w:r w:rsidRPr="008F03E5">
        <w:tab/>
        <w:t>culture, refinement; good breeding, good manners, social graces, decorum, decency, propriety, seemliness; humanity, humaneness; the humanities; belles-lettres</w:t>
      </w:r>
    </w:p>
    <w:p w14:paraId="61E7F65B" w14:textId="77777777" w:rsidR="00625A5B" w:rsidRPr="008F03E5" w:rsidRDefault="00625A5B" w:rsidP="00ED1E8C">
      <w:pPr>
        <w:pStyle w:val="Translit"/>
      </w:pPr>
      <w:r w:rsidRPr="008F03E5">
        <w:t>Adad, A’dad</w:t>
      </w:r>
      <w:r w:rsidRPr="008F03E5">
        <w:tab/>
        <w:t>‘Adad, pl. A‘dád</w:t>
      </w:r>
      <w:r w:rsidRPr="008F03E5">
        <w:tab/>
        <w:t>number, numeral; figure, digit, cipher; quantity; number, issue (of a newspaper)</w:t>
      </w:r>
    </w:p>
    <w:p w14:paraId="1AE2F86C" w14:textId="77777777" w:rsidR="00625A5B" w:rsidRPr="008F03E5" w:rsidRDefault="00625A5B" w:rsidP="00F87A63">
      <w:pPr>
        <w:pStyle w:val="Translit"/>
      </w:pPr>
      <w:r w:rsidRPr="008F03E5">
        <w:t>Adall</w:t>
      </w:r>
      <w:r w:rsidRPr="008F03E5">
        <w:tab/>
        <w:t>Aḍall</w:t>
      </w:r>
      <w:r w:rsidRPr="008F03E5">
        <w:tab/>
        <w:t>more or most astray; more or most tending to lead astray</w:t>
      </w:r>
    </w:p>
    <w:p w14:paraId="10610846" w14:textId="77777777" w:rsidR="00625A5B" w:rsidRPr="008F03E5" w:rsidRDefault="00625A5B" w:rsidP="00F87A63">
      <w:pPr>
        <w:pStyle w:val="Translit"/>
      </w:pPr>
      <w:r w:rsidRPr="008F03E5">
        <w:t>Adalla</w:t>
      </w:r>
      <w:r w:rsidRPr="008F03E5">
        <w:tab/>
        <w:t>Aḍalla</w:t>
      </w:r>
      <w:r w:rsidRPr="008F03E5">
        <w:tab/>
        <w:t>“to leave in error or lead astray”</w:t>
      </w:r>
    </w:p>
    <w:p w14:paraId="75873261" w14:textId="77777777" w:rsidR="00625A5B" w:rsidRPr="008F03E5" w:rsidRDefault="00625A5B" w:rsidP="00984101">
      <w:pPr>
        <w:pStyle w:val="Translit"/>
      </w:pPr>
      <w:r w:rsidRPr="008F03E5">
        <w:t>Adam</w:t>
      </w:r>
      <w:r w:rsidRPr="008F03E5">
        <w:tab/>
        <w:t>Ádam</w:t>
      </w:r>
      <w:r w:rsidRPr="008F03E5">
        <w:tab/>
        <w:t>Adam</w:t>
      </w:r>
      <w:r>
        <w:t>, father of mankind.  Abjad value is 45.</w:t>
      </w:r>
    </w:p>
    <w:p w14:paraId="5EA4A1FB" w14:textId="77777777" w:rsidR="00625A5B" w:rsidRPr="008F03E5" w:rsidRDefault="00625A5B" w:rsidP="00F87A63">
      <w:pPr>
        <w:pStyle w:val="Translit"/>
      </w:pPr>
      <w:r w:rsidRPr="008F03E5">
        <w:t>Adarisa</w:t>
      </w:r>
      <w:r w:rsidRPr="008F03E5">
        <w:tab/>
        <w:t>Adárisa[h]</w:t>
      </w:r>
      <w:r w:rsidRPr="008F03E5">
        <w:tab/>
        <w:t>the Idrisids (al-Adárisah) were an Arab Muslim dynasty of Morocco (788–974), founded by Idrís I.  The Idrisids are considered the founders of the first Moroccan state.</w:t>
      </w:r>
    </w:p>
    <w:p w14:paraId="6CE705DA" w14:textId="77777777" w:rsidR="00625A5B" w:rsidRPr="00BF3D0D" w:rsidRDefault="00625A5B" w:rsidP="00F87A63">
      <w:pPr>
        <w:pStyle w:val="Translit"/>
        <w:rPr>
          <w:lang w:val="es-ES_tradnl"/>
        </w:rPr>
      </w:pPr>
      <w:r w:rsidRPr="00BF3D0D">
        <w:rPr>
          <w:lang w:val="es-ES_tradnl"/>
        </w:rPr>
        <w:t>Adasi</w:t>
      </w:r>
      <w:r w:rsidRPr="00BF3D0D">
        <w:rPr>
          <w:lang w:val="es-ES_tradnl"/>
        </w:rPr>
        <w:tab/>
        <w:t>‘Adasí</w:t>
      </w:r>
      <w:r w:rsidRPr="00BF3D0D">
        <w:rPr>
          <w:lang w:val="es-ES_tradnl"/>
        </w:rPr>
        <w:tab/>
        <w:t>lenticular</w:t>
      </w:r>
    </w:p>
    <w:p w14:paraId="75D87D12" w14:textId="77777777" w:rsidR="00625A5B" w:rsidRPr="008F03E5" w:rsidRDefault="00625A5B" w:rsidP="0083064F">
      <w:pPr>
        <w:pStyle w:val="Translit"/>
      </w:pPr>
      <w:r w:rsidRPr="00BF3D0D">
        <w:rPr>
          <w:lang w:val="es-ES_tradnl"/>
        </w:rPr>
        <w:t>Adasiya, Adasiyyih</w:t>
      </w:r>
      <w:r w:rsidRPr="00BF3D0D">
        <w:rPr>
          <w:lang w:val="es-ES_tradnl"/>
        </w:rPr>
        <w:tab/>
        <w:t xml:space="preserve">‘Adasíya[h], Pers. </w:t>
      </w:r>
      <w:r w:rsidRPr="008F03E5">
        <w:t>‘Adasiyyih</w:t>
      </w:r>
      <w:r w:rsidRPr="008F03E5">
        <w:tab/>
        <w:t xml:space="preserve">now a town (32.666810, 35.623901) in Jordan 17 km </w:t>
      </w:r>
      <w:r w:rsidRPr="008F03E5">
        <w:rPr>
          <w:sz w:val="16"/>
          <w:szCs w:val="16"/>
        </w:rPr>
        <w:t>SE</w:t>
      </w:r>
      <w:r w:rsidRPr="008F03E5">
        <w:t xml:space="preserve"> of Tiberias.  This is the resting place of a half brother of Bahá’u’lláh, and one of three villages (he purchased land in 1901) where ‘Abdu’l-Bahá grew corn and wheat during World War </w:t>
      </w:r>
      <w:r w:rsidRPr="008F03E5">
        <w:rPr>
          <w:sz w:val="16"/>
          <w:szCs w:val="16"/>
        </w:rPr>
        <w:t>I</w:t>
      </w:r>
      <w:r w:rsidRPr="008F03E5">
        <w:t>.  See as-Samrá and an-Nuqayb.</w:t>
      </w:r>
    </w:p>
    <w:p w14:paraId="0D430591" w14:textId="77777777" w:rsidR="00625A5B" w:rsidRPr="008F03E5" w:rsidRDefault="00625A5B" w:rsidP="00E70998">
      <w:pPr>
        <w:pStyle w:val="Translit"/>
        <w:rPr>
          <w:lang w:eastAsia="en-US"/>
        </w:rPr>
      </w:pPr>
      <w:r w:rsidRPr="008F03E5">
        <w:t>Addas</w:t>
      </w:r>
      <w:r w:rsidRPr="008F03E5">
        <w:tab/>
        <w:t>‘Addás</w:t>
      </w:r>
      <w:r w:rsidRPr="008F03E5">
        <w:tab/>
        <w:t>(‘adás, lentil(s)) was a young Christian slave boy (originally from Nineveh, an ancient Assyrian city) who lived in Ṭ</w:t>
      </w:r>
      <w:r w:rsidRPr="008F03E5">
        <w:rPr>
          <w:rFonts w:eastAsia="PMingLiU"/>
          <w:lang w:eastAsia="zh-TW"/>
        </w:rPr>
        <w:t>á’if</w:t>
      </w:r>
      <w:r w:rsidRPr="008F03E5">
        <w:t xml:space="preserve"> during the time of Muḥammad.  He is believed to be the first person from the western province of Ṭ</w:t>
      </w:r>
      <w:r w:rsidRPr="008F03E5">
        <w:rPr>
          <w:rFonts w:eastAsia="PMingLiU"/>
          <w:lang w:eastAsia="zh-TW"/>
        </w:rPr>
        <w:t>á’if</w:t>
      </w:r>
      <w:r w:rsidRPr="008F03E5">
        <w:t xml:space="preserve"> to convert to Islam.</w:t>
      </w:r>
    </w:p>
    <w:p w14:paraId="5F39400D" w14:textId="77777777" w:rsidR="00625A5B" w:rsidRPr="008F03E5" w:rsidRDefault="00625A5B" w:rsidP="00F87A63">
      <w:pPr>
        <w:pStyle w:val="Translit"/>
      </w:pPr>
      <w:r w:rsidRPr="008F03E5">
        <w:rPr>
          <w:lang w:eastAsia="en-US"/>
        </w:rPr>
        <w:t>Adhab-i-Qabr</w:t>
      </w:r>
      <w:r w:rsidRPr="008F03E5">
        <w:rPr>
          <w:lang w:eastAsia="en-US"/>
        </w:rPr>
        <w:tab/>
        <w:t>‘A</w:t>
      </w:r>
      <w:r w:rsidRPr="008F03E5">
        <w:rPr>
          <w:u w:val="single"/>
        </w:rPr>
        <w:t>dh</w:t>
      </w:r>
      <w:r w:rsidRPr="008F03E5">
        <w:rPr>
          <w:lang w:eastAsia="en-US"/>
        </w:rPr>
        <w:t>áb-i-Qabr</w:t>
      </w:r>
      <w:r w:rsidRPr="008F03E5">
        <w:rPr>
          <w:lang w:eastAsia="en-US"/>
        </w:rPr>
        <w:tab/>
        <w:t>chastisement in the grave</w:t>
      </w:r>
    </w:p>
    <w:p w14:paraId="325B0B4A" w14:textId="77777777" w:rsidR="00625A5B" w:rsidRPr="00243A28" w:rsidRDefault="00625A5B" w:rsidP="00DE1D42">
      <w:pPr>
        <w:pStyle w:val="Translit"/>
        <w:rPr>
          <w:lang w:val="de-DE"/>
        </w:rPr>
      </w:pPr>
      <w:r w:rsidRPr="00D45A23">
        <w:rPr>
          <w:lang w:val="de-DE"/>
        </w:rPr>
        <w:t>Adham, Dahma’, Duhm</w:t>
      </w:r>
      <w:r w:rsidRPr="00D45A23">
        <w:rPr>
          <w:lang w:val="de-DE"/>
        </w:rPr>
        <w:tab/>
        <w:t>Adham, fem. Dahmá’, pl. Duhm</w:t>
      </w:r>
      <w:r w:rsidRPr="00D45A23">
        <w:rPr>
          <w:lang w:val="de-DE"/>
        </w:rPr>
        <w:tab/>
        <w:t xml:space="preserve">black, deep-black.  </w:t>
      </w:r>
      <w:r w:rsidRPr="00243A28">
        <w:rPr>
          <w:lang w:val="de-DE"/>
        </w:rPr>
        <w:t>Note Adham (</w:t>
      </w:r>
      <w:r w:rsidRPr="008F03E5">
        <w:rPr>
          <w:rFonts w:eastAsia="Times New Roman"/>
          <w:rtl/>
        </w:rPr>
        <w:t>ادهم</w:t>
      </w:r>
      <w:r w:rsidRPr="00243A28">
        <w:rPr>
          <w:rFonts w:eastAsia="Times New Roman"/>
          <w:lang w:val="de-DE"/>
        </w:rPr>
        <w:t>, d-h-m)</w:t>
      </w:r>
      <w:r w:rsidRPr="00243A28">
        <w:rPr>
          <w:lang w:val="de-DE"/>
        </w:rPr>
        <w:t xml:space="preserve"> has the consonants d and h, not </w:t>
      </w:r>
      <w:r w:rsidRPr="00243A28">
        <w:rPr>
          <w:u w:val="single"/>
          <w:lang w:val="de-DE"/>
        </w:rPr>
        <w:t>dh</w:t>
      </w:r>
      <w:r w:rsidRPr="00243A28">
        <w:rPr>
          <w:lang w:val="de-DE"/>
        </w:rPr>
        <w:t>.</w:t>
      </w:r>
    </w:p>
    <w:p w14:paraId="69CCE42E" w14:textId="77777777" w:rsidR="00625A5B" w:rsidRPr="008F03E5" w:rsidRDefault="00625A5B" w:rsidP="00FC5618">
      <w:pPr>
        <w:pStyle w:val="Translit"/>
      </w:pPr>
      <w:r w:rsidRPr="00397500">
        <w:rPr>
          <w:rFonts w:eastAsia="Times New Roman"/>
          <w:lang w:val="de-DE"/>
        </w:rPr>
        <w:t>Adhan</w:t>
      </w:r>
      <w:r w:rsidRPr="00397500">
        <w:rPr>
          <w:rFonts w:eastAsia="Times New Roman"/>
          <w:lang w:val="de-DE"/>
        </w:rPr>
        <w:tab/>
        <w:t>Á</w:t>
      </w:r>
      <w:r w:rsidRPr="00397500">
        <w:rPr>
          <w:u w:val="single"/>
          <w:lang w:val="de-DE"/>
        </w:rPr>
        <w:t>dh</w:t>
      </w:r>
      <w:r w:rsidRPr="00397500">
        <w:rPr>
          <w:rFonts w:eastAsia="Times New Roman"/>
          <w:lang w:val="de-DE"/>
        </w:rPr>
        <w:t>án (variation A</w:t>
      </w:r>
      <w:r w:rsidRPr="00397500">
        <w:rPr>
          <w:u w:val="single"/>
          <w:lang w:val="de-DE"/>
        </w:rPr>
        <w:t>dh</w:t>
      </w:r>
      <w:r w:rsidRPr="00397500">
        <w:rPr>
          <w:rFonts w:eastAsia="Times New Roman"/>
          <w:lang w:val="de-DE"/>
        </w:rPr>
        <w:t>án)</w:t>
      </w:r>
      <w:r w:rsidRPr="00397500">
        <w:rPr>
          <w:rFonts w:eastAsia="Times New Roman"/>
          <w:lang w:val="de-DE"/>
        </w:rPr>
        <w:tab/>
        <w:t xml:space="preserve">announcing, giving notice; the signal for summoning to prayers, by the </w:t>
      </w:r>
      <w:r w:rsidRPr="00397500">
        <w:rPr>
          <w:lang w:val="de-DE"/>
        </w:rPr>
        <w:t>mu’a</w:t>
      </w:r>
      <w:r w:rsidRPr="00397500">
        <w:rPr>
          <w:u w:val="single"/>
          <w:lang w:val="de-DE"/>
        </w:rPr>
        <w:t>dhdh</w:t>
      </w:r>
      <w:r w:rsidRPr="00397500">
        <w:rPr>
          <w:lang w:val="de-DE"/>
        </w:rPr>
        <w:t>in</w:t>
      </w:r>
      <w:r w:rsidRPr="00397500">
        <w:rPr>
          <w:rFonts w:eastAsia="Times New Roman"/>
          <w:lang w:val="de-DE"/>
        </w:rPr>
        <w:t xml:space="preserve"> (mu’azzin) or crier, from the minarets or towers of the mosques; listening to.  </w:t>
      </w:r>
      <w:r w:rsidRPr="008F03E5">
        <w:rPr>
          <w:rFonts w:eastAsia="Times New Roman"/>
        </w:rPr>
        <w:t>“I bear witness that Mu</w:t>
      </w:r>
      <w:r w:rsidRPr="008F03E5">
        <w:t>ḥ</w:t>
      </w:r>
      <w:r w:rsidRPr="008F03E5">
        <w:rPr>
          <w:rFonts w:eastAsia="Times New Roman"/>
        </w:rPr>
        <w:t>ammad is the Messenger of All</w:t>
      </w:r>
      <w:r w:rsidRPr="008F03E5">
        <w:t>á</w:t>
      </w:r>
      <w:r w:rsidRPr="008F03E5">
        <w:rPr>
          <w:rFonts w:eastAsia="Times New Roman"/>
        </w:rPr>
        <w:t xml:space="preserve">h.”  At the request of the Báb, </w:t>
      </w:r>
      <w:r w:rsidRPr="008F03E5">
        <w:t xml:space="preserve">Mullá Ṣádiq-i-Muqaddas added after the </w:t>
      </w:r>
      <w:r w:rsidRPr="008F03E5">
        <w:rPr>
          <w:rFonts w:eastAsia="Times New Roman"/>
        </w:rPr>
        <w:t>á</w:t>
      </w:r>
      <w:r w:rsidRPr="008F03E5">
        <w:rPr>
          <w:u w:val="single"/>
        </w:rPr>
        <w:t>dh</w:t>
      </w:r>
      <w:r w:rsidRPr="008F03E5">
        <w:rPr>
          <w:rFonts w:eastAsia="Times New Roman"/>
        </w:rPr>
        <w:t xml:space="preserve">án:  </w:t>
      </w:r>
      <w:r w:rsidRPr="008F03E5">
        <w:t>“I bear witness that He whose name is ‘Alí</w:t>
      </w:r>
      <w:r>
        <w:t>y</w:t>
      </w:r>
      <w:r w:rsidRPr="008F03E5">
        <w:t>-Qabl-i-Muḥammad [‘Alí preceding Muḥammad, the Báb] is the servant of the Baqíyyatu’lláh [the “Remnant of God”, Bahá’u’lláh].”</w:t>
      </w:r>
    </w:p>
    <w:p w14:paraId="745AB1CB" w14:textId="77777777" w:rsidR="00625A5B" w:rsidRPr="008F03E5" w:rsidRDefault="00625A5B" w:rsidP="00F87A63">
      <w:pPr>
        <w:pStyle w:val="Translit"/>
      </w:pPr>
      <w:r w:rsidRPr="008F03E5">
        <w:t>Adhan, Adha</w:t>
      </w:r>
      <w:r w:rsidRPr="008F03E5">
        <w:tab/>
        <w:t>Aḍḥan, Aḍḥá[h]</w:t>
      </w:r>
      <w:r w:rsidRPr="008F03E5">
        <w:tab/>
        <w:t xml:space="preserve">(collective; </w:t>
      </w:r>
      <w:r w:rsidRPr="008F03E5">
        <w:rPr>
          <w:i/>
          <w:iCs/>
        </w:rPr>
        <w:t>nomen unitatis</w:t>
      </w:r>
      <w:r w:rsidRPr="008F03E5">
        <w:t xml:space="preserve"> Aḍḥáh) slaughter animal, blood sacrifice, immolation.  ‘Íd al-Aḍḥá “Festival of Sacrifice”.</w:t>
      </w:r>
    </w:p>
    <w:p w14:paraId="5663A6F7" w14:textId="77777777" w:rsidR="00625A5B" w:rsidRPr="008F03E5" w:rsidRDefault="00625A5B" w:rsidP="00B71858">
      <w:pPr>
        <w:pStyle w:val="Translit"/>
      </w:pPr>
      <w:r w:rsidRPr="008F03E5">
        <w:t>Adhar (Azar), Adhur (Azur)</w:t>
      </w:r>
      <w:r w:rsidRPr="008F03E5">
        <w:tab/>
        <w:t>Á</w:t>
      </w:r>
      <w:r w:rsidRPr="008F03E5">
        <w:rPr>
          <w:u w:val="single"/>
        </w:rPr>
        <w:t>dh</w:t>
      </w:r>
      <w:r w:rsidRPr="008F03E5">
        <w:t>ar, Á</w:t>
      </w:r>
      <w:r w:rsidRPr="008F03E5">
        <w:rPr>
          <w:u w:val="single"/>
        </w:rPr>
        <w:t>dh</w:t>
      </w:r>
      <w:r w:rsidRPr="008F03E5">
        <w:t>ur</w:t>
      </w:r>
      <w:r w:rsidRPr="008F03E5">
        <w:tab/>
        <w:t>Pers. fire; and the 9th Persian solar month and the ninth day of every month</w:t>
      </w:r>
    </w:p>
    <w:p w14:paraId="48093310" w14:textId="77777777" w:rsidR="00625A5B" w:rsidRDefault="00625A5B" w:rsidP="00982690">
      <w:pPr>
        <w:pStyle w:val="Translit"/>
      </w:pPr>
      <w:r w:rsidRPr="00B92214">
        <w:rPr>
          <w:rFonts w:eastAsia="Times New Roman"/>
        </w:rPr>
        <w:t>Adhar-bad-gan</w:t>
      </w:r>
      <w:r w:rsidRPr="00B92214">
        <w:rPr>
          <w:rFonts w:eastAsia="Times New Roman"/>
        </w:rPr>
        <w:tab/>
        <w:t>Á</w:t>
      </w:r>
      <w:r w:rsidRPr="00B92214">
        <w:rPr>
          <w:u w:val="single"/>
        </w:rPr>
        <w:t>dh</w:t>
      </w:r>
      <w:r w:rsidRPr="00B92214">
        <w:rPr>
          <w:rFonts w:eastAsia="Times New Roman"/>
        </w:rPr>
        <w:t>ar-bád-gán</w:t>
      </w:r>
      <w:r>
        <w:rPr>
          <w:rFonts w:eastAsia="Times New Roman"/>
        </w:rPr>
        <w:tab/>
        <w:t>Pers. a</w:t>
      </w:r>
      <w:r w:rsidRPr="00AF4D34">
        <w:rPr>
          <w:rFonts w:eastAsia="Times New Roman"/>
        </w:rPr>
        <w:t xml:space="preserve"> fire-temple</w:t>
      </w:r>
      <w:r>
        <w:rPr>
          <w:rFonts w:eastAsia="Times New Roman"/>
        </w:rPr>
        <w:t>.  Evolution of name:  Á</w:t>
      </w:r>
      <w:r w:rsidRPr="00843D58">
        <w:rPr>
          <w:rFonts w:eastAsia="Times New Roman"/>
          <w:u w:val="single"/>
        </w:rPr>
        <w:t>dh</w:t>
      </w:r>
      <w:r w:rsidRPr="00843D58">
        <w:rPr>
          <w:rFonts w:eastAsia="Times New Roman"/>
        </w:rPr>
        <w:t>arb</w:t>
      </w:r>
      <w:r>
        <w:rPr>
          <w:rFonts w:eastAsia="Times New Roman"/>
        </w:rPr>
        <w:t>á</w:t>
      </w:r>
      <w:r w:rsidRPr="00843D58">
        <w:rPr>
          <w:rFonts w:eastAsia="Times New Roman"/>
          <w:u w:val="single"/>
        </w:rPr>
        <w:t>dh</w:t>
      </w:r>
      <w:r w:rsidRPr="00843D58">
        <w:rPr>
          <w:rFonts w:eastAsia="Times New Roman"/>
        </w:rPr>
        <w:t xml:space="preserve">agn, </w:t>
      </w:r>
      <w:r>
        <w:rPr>
          <w:rFonts w:eastAsia="Times New Roman"/>
        </w:rPr>
        <w:t>Á</w:t>
      </w:r>
      <w:r w:rsidRPr="00843D58">
        <w:rPr>
          <w:rFonts w:eastAsia="Times New Roman"/>
          <w:u w:val="single"/>
        </w:rPr>
        <w:t>dh</w:t>
      </w:r>
      <w:r>
        <w:rPr>
          <w:rFonts w:eastAsia="Times New Roman"/>
        </w:rPr>
        <w:t>a</w:t>
      </w:r>
      <w:r w:rsidRPr="00843D58">
        <w:rPr>
          <w:rFonts w:eastAsia="Times New Roman"/>
        </w:rPr>
        <w:t>rb</w:t>
      </w:r>
      <w:r>
        <w:rPr>
          <w:rFonts w:eastAsia="Times New Roman"/>
        </w:rPr>
        <w:t>ád</w:t>
      </w:r>
      <w:r w:rsidRPr="00843D58">
        <w:rPr>
          <w:rFonts w:eastAsia="Times New Roman"/>
        </w:rPr>
        <w:t>g</w:t>
      </w:r>
      <w:r>
        <w:rPr>
          <w:rFonts w:eastAsia="Times New Roman"/>
        </w:rPr>
        <w:t>á</w:t>
      </w:r>
      <w:r w:rsidRPr="00843D58">
        <w:rPr>
          <w:rFonts w:eastAsia="Times New Roman"/>
        </w:rPr>
        <w:t xml:space="preserve">n, </w:t>
      </w:r>
      <w:r>
        <w:rPr>
          <w:rFonts w:eastAsia="Times New Roman"/>
        </w:rPr>
        <w:t>Á</w:t>
      </w:r>
      <w:r w:rsidRPr="00843D58">
        <w:rPr>
          <w:rFonts w:eastAsia="Times New Roman"/>
        </w:rPr>
        <w:t>zarb</w:t>
      </w:r>
      <w:r>
        <w:rPr>
          <w:rFonts w:eastAsia="Times New Roman"/>
        </w:rPr>
        <w:t>á</w:t>
      </w:r>
      <w:r w:rsidRPr="00843D58">
        <w:rPr>
          <w:rFonts w:eastAsia="Times New Roman"/>
        </w:rPr>
        <w:t>ydj</w:t>
      </w:r>
      <w:r>
        <w:rPr>
          <w:rFonts w:eastAsia="Times New Roman"/>
        </w:rPr>
        <w:t>á</w:t>
      </w:r>
      <w:r w:rsidRPr="00843D58">
        <w:rPr>
          <w:rFonts w:eastAsia="Times New Roman"/>
        </w:rPr>
        <w:t xml:space="preserve">n (New Persian) and present-day </w:t>
      </w:r>
      <w:r w:rsidRPr="008F03E5">
        <w:t>Ázarbayján</w:t>
      </w:r>
      <w:r w:rsidRPr="00843D58">
        <w:rPr>
          <w:rFonts w:eastAsia="Times New Roman"/>
        </w:rPr>
        <w:t xml:space="preserve"> </w:t>
      </w:r>
      <w:r>
        <w:rPr>
          <w:rFonts w:eastAsia="Times New Roman"/>
        </w:rPr>
        <w:t>(</w:t>
      </w:r>
      <w:r w:rsidRPr="00843D58">
        <w:rPr>
          <w:rFonts w:eastAsia="Times New Roman"/>
        </w:rPr>
        <w:t>Azerbaijan</w:t>
      </w:r>
      <w:r>
        <w:rPr>
          <w:rFonts w:eastAsia="Times New Roman"/>
        </w:rPr>
        <w:t>)</w:t>
      </w:r>
      <w:r w:rsidRPr="00843D58">
        <w:rPr>
          <w:rFonts w:eastAsia="Times New Roman"/>
        </w:rPr>
        <w:t>.</w:t>
      </w:r>
      <w:r>
        <w:rPr>
          <w:rFonts w:eastAsia="Times New Roman"/>
        </w:rPr>
        <w:t xml:space="preserve">  See </w:t>
      </w:r>
      <w:r w:rsidRPr="008F03E5">
        <w:t>Á</w:t>
      </w:r>
      <w:r w:rsidRPr="008F03E5">
        <w:rPr>
          <w:u w:val="single"/>
        </w:rPr>
        <w:t>dh</w:t>
      </w:r>
      <w:r w:rsidRPr="008F03E5">
        <w:t>arbayján</w:t>
      </w:r>
      <w:r>
        <w:t>.</w:t>
      </w:r>
    </w:p>
    <w:p w14:paraId="23F8C4C8" w14:textId="77777777" w:rsidR="00625A5B" w:rsidRPr="008F03E5" w:rsidRDefault="00625A5B" w:rsidP="00982690">
      <w:pPr>
        <w:pStyle w:val="Translit"/>
      </w:pPr>
      <w:r w:rsidRPr="008F03E5">
        <w:t>A</w:t>
      </w:r>
      <w:r w:rsidRPr="008F03E5">
        <w:rPr>
          <w:rFonts w:eastAsia="PMingLiU"/>
          <w:lang w:eastAsia="zh-TW"/>
        </w:rPr>
        <w:t>dharb</w:t>
      </w:r>
      <w:r w:rsidRPr="008F03E5">
        <w:t>a</w:t>
      </w:r>
      <w:r w:rsidRPr="008F03E5">
        <w:rPr>
          <w:rFonts w:eastAsia="PMingLiU"/>
          <w:lang w:eastAsia="zh-TW"/>
        </w:rPr>
        <w:t>yj</w:t>
      </w:r>
      <w:r w:rsidRPr="008F03E5">
        <w:t>a</w:t>
      </w:r>
      <w:r w:rsidRPr="008F03E5">
        <w:rPr>
          <w:rFonts w:eastAsia="PMingLiU"/>
          <w:lang w:eastAsia="zh-TW"/>
        </w:rPr>
        <w:t xml:space="preserve">n, </w:t>
      </w:r>
      <w:r w:rsidRPr="008F03E5">
        <w:t>Adhirbayjan</w:t>
      </w:r>
      <w:r w:rsidRPr="008F03E5">
        <w:tab/>
        <w:t>Á</w:t>
      </w:r>
      <w:r w:rsidRPr="008F03E5">
        <w:rPr>
          <w:u w:val="single"/>
        </w:rPr>
        <w:t>dh</w:t>
      </w:r>
      <w:r w:rsidRPr="008F03E5">
        <w:t>arbayján, (Ázarbayján)</w:t>
      </w:r>
      <w:r w:rsidRPr="008F03E5">
        <w:tab/>
        <w:t>Pers. “land of fire” or “land of fire guardians”</w:t>
      </w:r>
      <w:r>
        <w:t xml:space="preserve">.  </w:t>
      </w:r>
      <w:r w:rsidRPr="008F03E5">
        <w:t xml:space="preserve">Azerbaijan </w:t>
      </w:r>
      <w:r>
        <w:t xml:space="preserve">is a </w:t>
      </w:r>
      <w:r>
        <w:rPr>
          <w:rFonts w:eastAsia="Times New Roman"/>
        </w:rPr>
        <w:t xml:space="preserve">region consisting of the </w:t>
      </w:r>
      <w:r w:rsidRPr="00843D58">
        <w:rPr>
          <w:rFonts w:eastAsia="Times New Roman"/>
        </w:rPr>
        <w:t xml:space="preserve">Republic of Azerbaijan </w:t>
      </w:r>
      <w:r>
        <w:rPr>
          <w:rFonts w:eastAsia="Times New Roman"/>
        </w:rPr>
        <w:t>and I</w:t>
      </w:r>
      <w:r w:rsidRPr="000C4616">
        <w:rPr>
          <w:rFonts w:eastAsia="Times New Roman"/>
        </w:rPr>
        <w:t>ranian Azerbaijan</w:t>
      </w:r>
      <w:r>
        <w:rPr>
          <w:rFonts w:eastAsia="Times New Roman"/>
        </w:rPr>
        <w:t xml:space="preserve"> (north-western provinces of</w:t>
      </w:r>
      <w:r w:rsidRPr="000C4616">
        <w:rPr>
          <w:rFonts w:eastAsia="Times New Roman"/>
        </w:rPr>
        <w:t xml:space="preserve"> West Azerbaijan, East Azerbaijan and Ardabil</w:t>
      </w:r>
      <w:r>
        <w:rPr>
          <w:rFonts w:eastAsia="Times New Roman"/>
        </w:rPr>
        <w:t>.</w:t>
      </w:r>
      <w:r w:rsidRPr="008F03E5">
        <w:t xml:space="preserve">  A</w:t>
      </w:r>
      <w:r>
        <w:t xml:space="preserve">lternatives:  </w:t>
      </w:r>
      <w:r w:rsidRPr="008F03E5">
        <w:t>Á</w:t>
      </w:r>
      <w:r w:rsidRPr="008F03E5">
        <w:rPr>
          <w:u w:val="single"/>
        </w:rPr>
        <w:t>dh</w:t>
      </w:r>
      <w:r w:rsidRPr="008F03E5">
        <w:t>irbayján, Ázarbayján, Ázarbaygán.</w:t>
      </w:r>
    </w:p>
    <w:p w14:paraId="19A1E993" w14:textId="77777777" w:rsidR="00625A5B" w:rsidRPr="008F03E5" w:rsidRDefault="00625A5B" w:rsidP="002B0E4B">
      <w:pPr>
        <w:pStyle w:val="Translit"/>
        <w:rPr>
          <w:rFonts w:eastAsia="PMingLiU"/>
          <w:lang w:eastAsia="zh-TW"/>
        </w:rPr>
      </w:pPr>
      <w:r w:rsidRPr="008F03E5">
        <w:t>A</w:t>
      </w:r>
      <w:r w:rsidRPr="008F03E5">
        <w:rPr>
          <w:rFonts w:eastAsia="PMingLiU"/>
          <w:lang w:eastAsia="zh-TW"/>
        </w:rPr>
        <w:t>dharb</w:t>
      </w:r>
      <w:r w:rsidRPr="008F03E5">
        <w:t>a</w:t>
      </w:r>
      <w:r w:rsidRPr="008F03E5">
        <w:rPr>
          <w:rFonts w:eastAsia="PMingLiU"/>
          <w:lang w:eastAsia="zh-TW"/>
        </w:rPr>
        <w:t>yj</w:t>
      </w:r>
      <w:r w:rsidRPr="008F03E5">
        <w:t>a</w:t>
      </w:r>
      <w:r w:rsidRPr="008F03E5">
        <w:rPr>
          <w:rFonts w:eastAsia="PMingLiU"/>
          <w:lang w:eastAsia="zh-TW"/>
        </w:rPr>
        <w:t xml:space="preserve">ni, </w:t>
      </w:r>
      <w:r w:rsidRPr="008F03E5">
        <w:t>Adhirbayjani</w:t>
      </w:r>
      <w:r w:rsidRPr="008F03E5">
        <w:tab/>
        <w:t>Á</w:t>
      </w:r>
      <w:r w:rsidRPr="008F03E5">
        <w:rPr>
          <w:u w:val="single"/>
        </w:rPr>
        <w:t>dh</w:t>
      </w:r>
      <w:r w:rsidRPr="008F03E5">
        <w:t>arbayjání, (Ázarbayjání)</w:t>
      </w:r>
      <w:r w:rsidRPr="008F03E5">
        <w:tab/>
        <w:t>Pers. official language in Á</w:t>
      </w:r>
      <w:r w:rsidRPr="008F03E5">
        <w:rPr>
          <w:u w:val="single"/>
        </w:rPr>
        <w:t>dh</w:t>
      </w:r>
      <w:r w:rsidRPr="008F03E5">
        <w:t>arbayján</w:t>
      </w:r>
    </w:p>
    <w:p w14:paraId="738A79BA" w14:textId="77777777" w:rsidR="00625A5B" w:rsidRPr="008F03E5" w:rsidRDefault="00625A5B" w:rsidP="00BF66F3">
      <w:pPr>
        <w:pStyle w:val="Translit"/>
      </w:pPr>
      <w:r w:rsidRPr="008F03E5">
        <w:t>Adhari, Adhariyan</w:t>
      </w:r>
      <w:r w:rsidRPr="008F03E5">
        <w:tab/>
        <w:t>Á</w:t>
      </w:r>
      <w:r w:rsidRPr="008F03E5">
        <w:rPr>
          <w:u w:val="single"/>
        </w:rPr>
        <w:t>dh</w:t>
      </w:r>
      <w:r w:rsidRPr="008F03E5">
        <w:t>arí, pl. Á</w:t>
      </w:r>
      <w:r w:rsidRPr="008F03E5">
        <w:rPr>
          <w:u w:val="single"/>
        </w:rPr>
        <w:t>dh</w:t>
      </w:r>
      <w:r w:rsidRPr="008F03E5">
        <w:t>ariyán</w:t>
      </w:r>
      <w:r w:rsidRPr="008F03E5">
        <w:tab/>
        <w:t>Pers. native of Á</w:t>
      </w:r>
      <w:r w:rsidRPr="008F03E5">
        <w:rPr>
          <w:u w:val="single"/>
        </w:rPr>
        <w:t>dh</w:t>
      </w:r>
      <w:r w:rsidRPr="008F03E5">
        <w:t>arbayján (Ázarí, pl. Ázariyán)</w:t>
      </w:r>
    </w:p>
    <w:p w14:paraId="226CBFCB" w14:textId="77777777" w:rsidR="00625A5B" w:rsidRPr="008F03E5" w:rsidRDefault="00625A5B" w:rsidP="00F87A63">
      <w:pPr>
        <w:pStyle w:val="Translit"/>
      </w:pPr>
      <w:r w:rsidRPr="008F03E5">
        <w:t>Adi</w:t>
      </w:r>
      <w:r w:rsidRPr="008F03E5">
        <w:tab/>
        <w:t>‘Ádí</w:t>
      </w:r>
      <w:r w:rsidRPr="008F03E5">
        <w:tab/>
        <w:t>customary, usual, common, ordinary, normal, regular; undistinguished, run-of-the-mill; ordinary, regular (e.g., meeting, as opposed to extraordinary, special, emergency); simple, plain, ordinary (man); old, ancient, antique</w:t>
      </w:r>
    </w:p>
    <w:p w14:paraId="4106A5E3" w14:textId="77777777" w:rsidR="00625A5B" w:rsidRPr="008F03E5" w:rsidRDefault="00625A5B" w:rsidP="00F87A63">
      <w:pPr>
        <w:pStyle w:val="Translit"/>
      </w:pPr>
      <w:r w:rsidRPr="008F03E5">
        <w:t>Adib</w:t>
      </w:r>
      <w:r w:rsidRPr="008F03E5">
        <w:tab/>
        <w:t>Ádib</w:t>
      </w:r>
      <w:r w:rsidRPr="008F03E5">
        <w:tab/>
        <w:t>host</w:t>
      </w:r>
    </w:p>
    <w:p w14:paraId="3716D8D2" w14:textId="77777777" w:rsidR="00625A5B" w:rsidRPr="008F03E5" w:rsidRDefault="00625A5B" w:rsidP="00F87A63">
      <w:pPr>
        <w:pStyle w:val="Translit"/>
      </w:pPr>
      <w:r w:rsidRPr="008F03E5">
        <w:t>Adib, Adiba, Udaba’</w:t>
      </w:r>
      <w:r w:rsidRPr="008F03E5">
        <w:tab/>
        <w:t>Adíb, fem. Adíba, pl. Udabá’</w:t>
      </w:r>
      <w:r w:rsidRPr="008F03E5">
        <w:tab/>
        <w:t>cultured, refined, educated; well-bred, well-mannered, civil, urbane; a man of culture and refined tastes; man of letters, writer, author (superlative form of ‘Aduba’ [to learn])</w:t>
      </w:r>
    </w:p>
    <w:p w14:paraId="0288C496" w14:textId="77777777" w:rsidR="00625A5B" w:rsidRPr="008F03E5" w:rsidRDefault="00625A5B" w:rsidP="00561D36">
      <w:pPr>
        <w:pStyle w:val="Translit"/>
      </w:pPr>
      <w:r w:rsidRPr="008F03E5">
        <w:t>Adibu’l-‘Ulama</w:t>
      </w:r>
      <w:r>
        <w:t>’</w:t>
      </w:r>
      <w:r w:rsidRPr="008F03E5">
        <w:tab/>
        <w:t>Adíbu’l-‘Ulamá</w:t>
      </w:r>
      <w:r>
        <w:t>’</w:t>
      </w:r>
      <w:r w:rsidRPr="008F03E5">
        <w:tab/>
        <w:t>littérateur or literary man of the ‘Ulamá</w:t>
      </w:r>
      <w:r>
        <w:t xml:space="preserve">’.  </w:t>
      </w:r>
      <w:r w:rsidRPr="008F03E5">
        <w:t>Title given to Mírzá Muḥammad Ḥasan, known as Adíb, Hand of the Cause of God.</w:t>
      </w:r>
    </w:p>
    <w:p w14:paraId="53EA6F3B" w14:textId="77777777" w:rsidR="00625A5B" w:rsidRDefault="00625A5B" w:rsidP="003B084A">
      <w:pPr>
        <w:pStyle w:val="Translit"/>
      </w:pPr>
      <w:r w:rsidRPr="00D45A23">
        <w:rPr>
          <w:lang w:val="it-IT"/>
        </w:rPr>
        <w:t>Adil (‘Adilih), ‘Adila, ‘Adawl</w:t>
      </w:r>
      <w:r w:rsidRPr="00D45A23">
        <w:rPr>
          <w:lang w:val="it-IT"/>
        </w:rPr>
        <w:tab/>
        <w:t xml:space="preserve">‘Ádil, fem. </w:t>
      </w:r>
      <w:r w:rsidRPr="008F03E5">
        <w:t>‘Ádila, pl. ‘Adawl</w:t>
      </w:r>
      <w:r w:rsidRPr="008F03E5">
        <w:tab/>
        <w:t>just, fair, equitable; upright, honest, straightforward, righteous.  Persian fem. also ‘Ádilih</w:t>
      </w:r>
      <w:r>
        <w:t>.</w:t>
      </w:r>
    </w:p>
    <w:p w14:paraId="63BA01E0" w14:textId="77777777" w:rsidR="00625A5B" w:rsidRPr="008F03E5" w:rsidRDefault="00625A5B" w:rsidP="00475B45">
      <w:pPr>
        <w:pStyle w:val="Translit"/>
      </w:pPr>
      <w:r>
        <w:t>Adil Abad (Adel Abad, ‘Adilabad)</w:t>
      </w:r>
      <w:r>
        <w:tab/>
        <w:t>‘</w:t>
      </w:r>
      <w:r w:rsidRPr="003D6DC8">
        <w:t>Á</w:t>
      </w:r>
      <w:r>
        <w:t xml:space="preserve">dil </w:t>
      </w:r>
      <w:r w:rsidRPr="003D6DC8">
        <w:t>Á</w:t>
      </w:r>
      <w:r>
        <w:t>b</w:t>
      </w:r>
      <w:r w:rsidRPr="003D6DC8">
        <w:t>á</w:t>
      </w:r>
      <w:r>
        <w:t>d (‘</w:t>
      </w:r>
      <w:r w:rsidRPr="003D6DC8">
        <w:t>Á</w:t>
      </w:r>
      <w:r>
        <w:t>dil</w:t>
      </w:r>
      <w:r w:rsidRPr="003D6DC8">
        <w:t>á</w:t>
      </w:r>
      <w:r>
        <w:t>b</w:t>
      </w:r>
      <w:r w:rsidRPr="003D6DC8">
        <w:t>á</w:t>
      </w:r>
      <w:r>
        <w:t>d)</w:t>
      </w:r>
      <w:r>
        <w:tab/>
        <w:t>Zind</w:t>
      </w:r>
      <w:r w:rsidRPr="003D6DC8">
        <w:t>á</w:t>
      </w:r>
      <w:r>
        <w:t>n ‘</w:t>
      </w:r>
      <w:r w:rsidRPr="003D6DC8">
        <w:t>Á</w:t>
      </w:r>
      <w:r>
        <w:t xml:space="preserve">dil </w:t>
      </w:r>
      <w:r w:rsidRPr="003D6DC8">
        <w:t>Á</w:t>
      </w:r>
      <w:r>
        <w:t>b</w:t>
      </w:r>
      <w:r w:rsidRPr="003D6DC8">
        <w:t>á</w:t>
      </w:r>
      <w:r>
        <w:t xml:space="preserve">d (or Shiraz Central Prison) in </w:t>
      </w:r>
      <w:r w:rsidRPr="00A2192F">
        <w:rPr>
          <w:u w:val="single"/>
        </w:rPr>
        <w:t>Sh</w:t>
      </w:r>
      <w:r w:rsidRPr="00A2192F">
        <w:t>í</w:t>
      </w:r>
      <w:r>
        <w:t>r</w:t>
      </w:r>
      <w:r w:rsidRPr="00A2192F">
        <w:t>á</w:t>
      </w:r>
      <w:r>
        <w:t>z (</w:t>
      </w:r>
      <w:r w:rsidRPr="00475B45">
        <w:t>29.576725, 52.506803</w:t>
      </w:r>
      <w:r>
        <w:t>)</w:t>
      </w:r>
    </w:p>
    <w:p w14:paraId="71E6DE3D" w14:textId="77777777" w:rsidR="00625A5B" w:rsidRPr="008F03E5" w:rsidRDefault="00625A5B" w:rsidP="007F2046">
      <w:pPr>
        <w:pStyle w:val="Translit"/>
      </w:pPr>
      <w:r w:rsidRPr="008F03E5">
        <w:t>Adirna, Adirnih, Adarnah</w:t>
      </w:r>
      <w:r w:rsidRPr="008F03E5">
        <w:tab/>
        <w:t>Adirna[h], Pers. Adirnih, T. Adarnah</w:t>
      </w:r>
      <w:r w:rsidRPr="008F03E5">
        <w:tab/>
        <w:t>Hadrianopolis (Greek</w:t>
      </w:r>
      <w:r>
        <w:t>),</w:t>
      </w:r>
      <w:r w:rsidRPr="008F03E5">
        <w:t xml:space="preserve"> Adrianople </w:t>
      </w:r>
      <w:r>
        <w:t>(</w:t>
      </w:r>
      <w:r w:rsidRPr="008F03E5">
        <w:t>English), now known as Edirne.  Same numerical value (</w:t>
      </w:r>
      <w:r w:rsidRPr="008F03E5">
        <w:rPr>
          <w:rFonts w:ascii="Times New Roman" w:hAnsi="Times New Roman"/>
          <w:rtl/>
        </w:rPr>
        <w:t>ادرنة</w:t>
      </w:r>
      <w:r w:rsidRPr="008F03E5">
        <w:t xml:space="preserve">, 1+4+200+50+5=260), as Sirr (60+200, “Mystery”).  See Adrianople and </w:t>
      </w:r>
      <w:r w:rsidRPr="008F03E5">
        <w:rPr>
          <w:rFonts w:eastAsia="PMingLiU"/>
          <w:lang w:eastAsia="zh-TW"/>
        </w:rPr>
        <w:t>Ar</w:t>
      </w:r>
      <w:r w:rsidRPr="008F03E5">
        <w:t>ḍ</w:t>
      </w:r>
      <w:r w:rsidRPr="008F03E5">
        <w:rPr>
          <w:rFonts w:eastAsia="PMingLiU"/>
          <w:lang w:eastAsia="zh-TW"/>
        </w:rPr>
        <w:t>-i-Sirr.</w:t>
      </w:r>
    </w:p>
    <w:p w14:paraId="40E8D1A1" w14:textId="77777777" w:rsidR="00625A5B" w:rsidRPr="008F03E5" w:rsidRDefault="00625A5B" w:rsidP="00F87A63">
      <w:pPr>
        <w:pStyle w:val="Translit"/>
      </w:pPr>
      <w:r w:rsidRPr="008F03E5">
        <w:t>Adiya, ‘Adiyat, ‘Awadin</w:t>
      </w:r>
      <w:r w:rsidRPr="008F03E5">
        <w:tab/>
        <w:t>‘Ádiya, pl. ‘Ádiyát, ‘Awádin</w:t>
      </w:r>
      <w:r w:rsidRPr="008F03E5">
        <w:tab/>
        <w:t>wrong, offense, misdeed, outrage; adversity, misfortune, reverse; obstacle, impediment, obstruction;—pl. vicissitudes.  Root ‘adá’</w:t>
      </w:r>
    </w:p>
    <w:p w14:paraId="3EBEF6EA" w14:textId="77777777" w:rsidR="00625A5B" w:rsidRPr="008F03E5" w:rsidRDefault="00625A5B" w:rsidP="00F87A63">
      <w:pPr>
        <w:pStyle w:val="Translit"/>
      </w:pPr>
      <w:r w:rsidRPr="008F03E5">
        <w:t>Adja’</w:t>
      </w:r>
      <w:r w:rsidRPr="008F03E5">
        <w:tab/>
        <w:t>Adjá‘</w:t>
      </w:r>
      <w:r w:rsidRPr="008F03E5">
        <w:tab/>
        <w:t xml:space="preserve">father of Qarád </w:t>
      </w:r>
      <w:r w:rsidRPr="008F03E5">
        <w:rPr>
          <w:sz w:val="16"/>
          <w:szCs w:val="16"/>
        </w:rPr>
        <w:t>SDC</w:t>
      </w:r>
      <w:r w:rsidRPr="008F03E5">
        <w:t xml:space="preserve"> 49</w:t>
      </w:r>
    </w:p>
    <w:p w14:paraId="3F13384A" w14:textId="77777777" w:rsidR="00625A5B" w:rsidRPr="008F03E5" w:rsidRDefault="00625A5B" w:rsidP="00F87A63">
      <w:pPr>
        <w:pStyle w:val="Translit"/>
      </w:pPr>
      <w:r w:rsidRPr="008F03E5">
        <w:t>Adl, ‘Udul</w:t>
      </w:r>
      <w:r w:rsidRPr="008F03E5">
        <w:tab/>
        <w:t>‘Adl, pl. ‘Udúl</w:t>
      </w:r>
      <w:r w:rsidRPr="008F03E5">
        <w:tab/>
        <w:t>straightness, straightforwardness; justice, impartiality; fairness, equitableness, probity, honesty, uprightness; equitable composition, just compromise;—(pl.) just, equitable, fair, upright, honest; person of good reputation, person with an honorable record (Islamic Law); juristic adjunct assigned to a cadi (Ma</w:t>
      </w:r>
      <w:r w:rsidRPr="008F03E5">
        <w:rPr>
          <w:u w:val="single"/>
        </w:rPr>
        <w:t>gh</w:t>
      </w:r>
      <w:r w:rsidRPr="008F03E5">
        <w:t>rib)</w:t>
      </w:r>
    </w:p>
    <w:p w14:paraId="5F633B15" w14:textId="77777777" w:rsidR="00625A5B" w:rsidRPr="008F03E5" w:rsidRDefault="00625A5B" w:rsidP="00F87A63">
      <w:pPr>
        <w:pStyle w:val="Translit"/>
      </w:pPr>
      <w:r w:rsidRPr="008F03E5">
        <w:t>Adliya</w:t>
      </w:r>
      <w:r w:rsidRPr="008F03E5">
        <w:tab/>
        <w:t>‘Adlíya</w:t>
      </w:r>
      <w:r w:rsidRPr="008F03E5">
        <w:tab/>
        <w:t>justice, administration of justice, jurisprudence</w:t>
      </w:r>
    </w:p>
    <w:p w14:paraId="7CDE8A6A" w14:textId="77777777" w:rsidR="00625A5B" w:rsidRPr="008F03E5" w:rsidRDefault="00625A5B" w:rsidP="004F73FF">
      <w:pPr>
        <w:pStyle w:val="Translit"/>
      </w:pPr>
      <w:r w:rsidRPr="008F03E5">
        <w:t>Adna, Dunya, Adanin, Adnun</w:t>
      </w:r>
      <w:r w:rsidRPr="008F03E5">
        <w:tab/>
        <w:t>Adná, fem. Dunyá</w:t>
      </w:r>
      <w:r w:rsidRPr="008F03E5">
        <w:tab/>
        <w:t>(pl. m. Adánin, Adnún</w:t>
      </w:r>
      <w:r>
        <w:t>, fem. Dunan</w:t>
      </w:r>
      <w:r w:rsidRPr="008F03E5">
        <w:t xml:space="preserve">) nearer, closer; situated lower down, nether; lower, inferior; lowlier; smaller, of less significance; more appropriate, better suited, more suitable.  </w:t>
      </w:r>
      <w:r>
        <w:t xml:space="preserve">Femine:  </w:t>
      </w:r>
      <w:r w:rsidRPr="008F03E5">
        <w:t>world; earth; this world (as opposed to al-úlá (“pre-existence”) and al-á</w:t>
      </w:r>
      <w:r w:rsidRPr="008F03E5">
        <w:rPr>
          <w:u w:val="single"/>
        </w:rPr>
        <w:t>kh</w:t>
      </w:r>
      <w:r w:rsidRPr="008F03E5">
        <w:t xml:space="preserve">ira (“afterlife”)); life in this world, worldly existence; worldly. temporal things or possessions; earthly things or concerns.  </w:t>
      </w:r>
      <w:r w:rsidRPr="007A0606">
        <w:rPr>
          <w:lang w:val="en-AU"/>
        </w:rPr>
        <w:t>See Awwal and Á</w:t>
      </w:r>
      <w:r w:rsidRPr="007A0606">
        <w:rPr>
          <w:u w:val="single"/>
          <w:lang w:val="en-AU"/>
        </w:rPr>
        <w:t>kh</w:t>
      </w:r>
      <w:r w:rsidRPr="007A0606">
        <w:rPr>
          <w:lang w:val="en-AU"/>
        </w:rPr>
        <w:t>ira entries.</w:t>
      </w:r>
    </w:p>
    <w:p w14:paraId="0070F308" w14:textId="77777777" w:rsidR="00625A5B" w:rsidRPr="008F03E5" w:rsidRDefault="00625A5B" w:rsidP="00F87A63">
      <w:pPr>
        <w:pStyle w:val="Translit"/>
      </w:pPr>
      <w:r w:rsidRPr="008F03E5">
        <w:t>Adrianople</w:t>
      </w:r>
      <w:r w:rsidRPr="008F03E5">
        <w:tab/>
        <w:t>Adrianople</w:t>
      </w:r>
      <w:r w:rsidRPr="008F03E5">
        <w:tab/>
        <w:t>now Edirne.  See Adirna.</w:t>
      </w:r>
    </w:p>
    <w:p w14:paraId="08282A63" w14:textId="77777777" w:rsidR="00625A5B" w:rsidRPr="008F03E5" w:rsidRDefault="00625A5B" w:rsidP="00F87A63">
      <w:pPr>
        <w:pStyle w:val="Translit"/>
      </w:pPr>
      <w:r w:rsidRPr="008F03E5">
        <w:t>Adu’dh-Dhikr</w:t>
      </w:r>
      <w:r w:rsidRPr="008F03E5">
        <w:tab/>
        <w:t>‘Adu’</w:t>
      </w:r>
      <w:r w:rsidRPr="008F03E5">
        <w:rPr>
          <w:u w:val="single"/>
        </w:rPr>
        <w:t>dh</w:t>
      </w:r>
      <w:r w:rsidRPr="008F03E5">
        <w:t>-</w:t>
      </w:r>
      <w:r w:rsidRPr="008F03E5">
        <w:rPr>
          <w:u w:val="single"/>
        </w:rPr>
        <w:t>Dh</w:t>
      </w:r>
      <w:r w:rsidRPr="008F03E5">
        <w:t>ikr</w:t>
      </w:r>
      <w:r w:rsidRPr="008F03E5">
        <w:tab/>
        <w:t>Servant of the Remembrance.  A designation of the Báb.</w:t>
      </w:r>
    </w:p>
    <w:p w14:paraId="07EEDF74" w14:textId="77777777" w:rsidR="00625A5B" w:rsidRPr="008F03E5" w:rsidRDefault="00625A5B" w:rsidP="00F87A63">
      <w:pPr>
        <w:pStyle w:val="Translit"/>
        <w:rPr>
          <w:rFonts w:eastAsia="PMingLiU"/>
          <w:lang w:eastAsia="zh-TW"/>
        </w:rPr>
      </w:pPr>
      <w:r w:rsidRPr="00BF3D0D">
        <w:rPr>
          <w:rFonts w:eastAsia="PMingLiU"/>
          <w:lang w:val="es-ES_tradnl" w:eastAsia="zh-TW"/>
        </w:rPr>
        <w:t>Adud (‘Azud), A’dad</w:t>
      </w:r>
      <w:r w:rsidRPr="00BF3D0D">
        <w:rPr>
          <w:lang w:val="es-ES_tradnl"/>
        </w:rPr>
        <w:tab/>
      </w:r>
      <w:r w:rsidRPr="00BF3D0D">
        <w:rPr>
          <w:rFonts w:eastAsia="PMingLiU"/>
          <w:lang w:val="es-ES_tradnl" w:eastAsia="zh-TW"/>
        </w:rPr>
        <w:t>‘A</w:t>
      </w:r>
      <w:r w:rsidRPr="00BF3D0D">
        <w:rPr>
          <w:lang w:val="es-ES_tradnl"/>
        </w:rPr>
        <w:t>ḍ</w:t>
      </w:r>
      <w:r w:rsidRPr="00BF3D0D">
        <w:rPr>
          <w:rFonts w:eastAsia="PMingLiU"/>
          <w:lang w:val="es-ES_tradnl" w:eastAsia="zh-TW"/>
        </w:rPr>
        <w:t xml:space="preserve">ud, pl. </w:t>
      </w:r>
      <w:r w:rsidRPr="008F03E5">
        <w:rPr>
          <w:rFonts w:eastAsia="PMingLiU"/>
          <w:lang w:eastAsia="zh-TW"/>
        </w:rPr>
        <w:t>A’</w:t>
      </w:r>
      <w:r w:rsidRPr="008F03E5">
        <w:t>ḍá</w:t>
      </w:r>
      <w:r w:rsidRPr="008F03E5">
        <w:rPr>
          <w:rFonts w:eastAsia="PMingLiU"/>
          <w:lang w:eastAsia="zh-TW"/>
        </w:rPr>
        <w:t>d</w:t>
      </w:r>
      <w:r w:rsidRPr="008F03E5">
        <w:tab/>
        <w:t>help, aid, assistance, support, backing; helper, aide, assistant, supporter, backer.—pl. upper arm; strength, power, vigour, force</w:t>
      </w:r>
    </w:p>
    <w:p w14:paraId="71FF08B1" w14:textId="77777777" w:rsidR="00625A5B" w:rsidRPr="008F03E5" w:rsidRDefault="00625A5B" w:rsidP="00F87A63">
      <w:pPr>
        <w:pStyle w:val="Translit"/>
        <w:rPr>
          <w:rFonts w:eastAsia="PMingLiU"/>
          <w:lang w:eastAsia="zh-TW"/>
        </w:rPr>
      </w:pPr>
      <w:bookmarkStart w:id="39" w:name="_Hlk533412767"/>
      <w:r w:rsidRPr="008F03E5">
        <w:rPr>
          <w:rFonts w:eastAsia="PMingLiU"/>
          <w:lang w:eastAsia="zh-TW"/>
        </w:rPr>
        <w:t>Adudu’d-</w:t>
      </w:r>
      <w:r w:rsidRPr="008F03E5">
        <w:t>Dawlih</w:t>
      </w:r>
      <w:r w:rsidRPr="008F03E5">
        <w:tab/>
      </w:r>
      <w:r w:rsidRPr="008F03E5">
        <w:rPr>
          <w:rFonts w:eastAsia="PMingLiU"/>
          <w:lang w:eastAsia="zh-TW"/>
        </w:rPr>
        <w:t>‘A</w:t>
      </w:r>
      <w:r w:rsidRPr="008F03E5">
        <w:t>ḍ</w:t>
      </w:r>
      <w:r w:rsidRPr="008F03E5">
        <w:rPr>
          <w:rFonts w:eastAsia="PMingLiU"/>
          <w:lang w:eastAsia="zh-TW"/>
        </w:rPr>
        <w:t>udu’d-</w:t>
      </w:r>
      <w:r w:rsidRPr="008F03E5">
        <w:t>Dawlih</w:t>
      </w:r>
      <w:r w:rsidRPr="008F03E5">
        <w:tab/>
        <w:t>(</w:t>
      </w:r>
      <w:r w:rsidRPr="008F03E5">
        <w:rPr>
          <w:sz w:val="16"/>
          <w:szCs w:val="16"/>
        </w:rPr>
        <w:t>CE</w:t>
      </w:r>
      <w:r w:rsidRPr="008F03E5">
        <w:t xml:space="preserve"> 978–983)</w:t>
      </w:r>
    </w:p>
    <w:p w14:paraId="5FFD628D" w14:textId="77777777" w:rsidR="00625A5B" w:rsidRPr="008F03E5" w:rsidRDefault="00625A5B" w:rsidP="00F87A63">
      <w:pPr>
        <w:pStyle w:val="Translit"/>
      </w:pPr>
      <w:r w:rsidRPr="008F03E5">
        <w:t>Aduw, A’da’, ‘Idan, ‘Udan, ‘Udah, A’adin</w:t>
      </w:r>
      <w:r w:rsidRPr="008F03E5">
        <w:tab/>
        <w:t>‘Aduw, pl. A‘dá’, ‘Idan, ‘Udan, ‘Udáh</w:t>
      </w:r>
      <w:r w:rsidRPr="008F03E5">
        <w:tab/>
        <w:t>(pl. also A‘ádin; fem. ‘Adúwa, “‘Aduwa”) enemy</w:t>
      </w:r>
    </w:p>
    <w:p w14:paraId="16BAA134" w14:textId="77777777" w:rsidR="00625A5B" w:rsidRPr="008F03E5" w:rsidRDefault="00625A5B" w:rsidP="00864743">
      <w:pPr>
        <w:pStyle w:val="Translit"/>
      </w:pPr>
      <w:r>
        <w:t>Afaf, ‘</w:t>
      </w:r>
      <w:r w:rsidRPr="008F03E5">
        <w:t>Iffa</w:t>
      </w:r>
      <w:r w:rsidRPr="008F03E5">
        <w:tab/>
      </w:r>
      <w:r>
        <w:t>‘Af</w:t>
      </w:r>
      <w:r w:rsidRPr="00864743">
        <w:t>á</w:t>
      </w:r>
      <w:r>
        <w:t xml:space="preserve">f = </w:t>
      </w:r>
      <w:r w:rsidRPr="008F03E5">
        <w:t>‘Iffa[</w:t>
      </w:r>
      <w:r>
        <w:t xml:space="preserve">h or </w:t>
      </w:r>
      <w:r w:rsidRPr="008F03E5">
        <w:t>t]</w:t>
      </w:r>
      <w:r w:rsidRPr="008F03E5">
        <w:tab/>
        <w:t>abstinence, continence, virtuousness, virtue, chastity, decency; purity; modesty; integrity, probity, honesty, uprightness, righteousness.  ‘Iffat, a daughter of Badí‘u’lláh.  See ‘Affa</w:t>
      </w:r>
    </w:p>
    <w:bookmarkEnd w:id="39"/>
    <w:p w14:paraId="10C70389" w14:textId="77777777" w:rsidR="00625A5B" w:rsidRPr="008F03E5" w:rsidRDefault="00625A5B" w:rsidP="00606F6A">
      <w:pPr>
        <w:pStyle w:val="Translit"/>
      </w:pPr>
      <w:r w:rsidRPr="00543CBD">
        <w:rPr>
          <w:lang w:val="en-AU"/>
        </w:rPr>
        <w:t>Afandi (Efendi, Effendi)</w:t>
      </w:r>
      <w:r w:rsidRPr="00543CBD">
        <w:rPr>
          <w:lang w:val="en-AU"/>
        </w:rPr>
        <w:tab/>
      </w:r>
      <w:bookmarkStart w:id="40" w:name="_Hlk57119459"/>
      <w:r w:rsidRPr="00543CBD">
        <w:rPr>
          <w:lang w:val="en-AU"/>
        </w:rPr>
        <w:t>Afandí</w:t>
      </w:r>
      <w:bookmarkEnd w:id="40"/>
      <w:r w:rsidRPr="00543CBD">
        <w:rPr>
          <w:lang w:val="en-AU"/>
        </w:rPr>
        <w:t xml:space="preserve">, pl. </w:t>
      </w:r>
      <w:r w:rsidRPr="008F03E5">
        <w:t>Afandíyá</w:t>
      </w:r>
      <w:r w:rsidRPr="008F03E5">
        <w:tab/>
      </w:r>
      <w:r>
        <w:t xml:space="preserve">from Turkish efendi </w:t>
      </w:r>
      <w:r w:rsidRPr="008F03E5">
        <w:t>(pronounced effendi)</w:t>
      </w:r>
      <w:r>
        <w:t xml:space="preserve">, </w:t>
      </w:r>
      <w:r w:rsidRPr="008F03E5">
        <w:t>title of nobility meaning a lord, master or gentleman</w:t>
      </w:r>
      <w:r>
        <w:t xml:space="preserve"> </w:t>
      </w:r>
      <w:r w:rsidRPr="008F03E5">
        <w:t>(</w:t>
      </w:r>
      <w:r>
        <w:t xml:space="preserve">after the name, </w:t>
      </w:r>
      <w:r w:rsidRPr="008F03E5">
        <w:t>when referring to non-Europeans wearing Western clothes and the tarboosh).  It designates a higher rank than Big.</w:t>
      </w:r>
    </w:p>
    <w:p w14:paraId="3DDF68B9" w14:textId="77777777" w:rsidR="00625A5B" w:rsidRPr="008F03E5" w:rsidRDefault="00625A5B" w:rsidP="00407B5C">
      <w:pPr>
        <w:pStyle w:val="Translit"/>
        <w:rPr>
          <w:rFonts w:eastAsia="PMingLiU"/>
          <w:lang w:eastAsia="zh-TW"/>
        </w:rPr>
      </w:pPr>
      <w:r w:rsidRPr="008F03E5">
        <w:t>A</w:t>
      </w:r>
      <w:r w:rsidRPr="008F03E5">
        <w:rPr>
          <w:rFonts w:eastAsia="PMingLiU"/>
          <w:lang w:eastAsia="zh-TW"/>
        </w:rPr>
        <w:t>faqi</w:t>
      </w:r>
      <w:r w:rsidRPr="008F03E5">
        <w:tab/>
        <w:t>Á</w:t>
      </w:r>
      <w:r w:rsidRPr="008F03E5">
        <w:rPr>
          <w:rFonts w:eastAsia="PMingLiU"/>
          <w:lang w:eastAsia="zh-TW"/>
        </w:rPr>
        <w:t>fáqí</w:t>
      </w:r>
      <w:r w:rsidRPr="008F03E5">
        <w:rPr>
          <w:rFonts w:eastAsia="PMingLiU"/>
          <w:lang w:eastAsia="zh-TW"/>
        </w:rPr>
        <w:tab/>
        <w:t>coming from a distant country or region.  See ufq</w:t>
      </w:r>
    </w:p>
    <w:p w14:paraId="3EC165C3" w14:textId="77777777" w:rsidR="00625A5B" w:rsidRPr="008F03E5" w:rsidRDefault="00625A5B" w:rsidP="007B50F8">
      <w:pPr>
        <w:pStyle w:val="Translit"/>
      </w:pPr>
      <w:r w:rsidRPr="008F03E5">
        <w:t>Afdal, Fudla, Afdalun, Afadil, Fudlayat</w:t>
      </w:r>
      <w:r w:rsidRPr="008F03E5">
        <w:tab/>
        <w:t>Afḍal, fem. Fuḍlá</w:t>
      </w:r>
      <w:r w:rsidRPr="008F03E5">
        <w:tab/>
        <w:t>(pl. m. Afḍalún, Afáḍil, fem. Fuḍlayát) better, best; more excellent, preferable, etc.</w:t>
      </w:r>
    </w:p>
    <w:p w14:paraId="1C69BA8A" w14:textId="77777777" w:rsidR="00625A5B" w:rsidRPr="008F03E5" w:rsidRDefault="00625A5B" w:rsidP="00BF3797">
      <w:pPr>
        <w:pStyle w:val="Translit"/>
      </w:pPr>
      <w:r w:rsidRPr="008F03E5">
        <w:t>Aff, ‘Affa</w:t>
      </w:r>
      <w:r w:rsidRPr="008F03E5">
        <w:tab/>
        <w:t>‘Aff, fem. ‘Affa</w:t>
      </w:r>
      <w:r>
        <w:t>[h or t]</w:t>
      </w:r>
      <w:r w:rsidRPr="008F03E5">
        <w:tab/>
        <w:t>chaste, modest, virtuous, pure; decent; honest, upright, righteous</w:t>
      </w:r>
    </w:p>
    <w:p w14:paraId="1F260BAA" w14:textId="77777777" w:rsidR="00625A5B" w:rsidRPr="008F03E5" w:rsidRDefault="00625A5B" w:rsidP="004833E3">
      <w:pPr>
        <w:pStyle w:val="Translit"/>
      </w:pPr>
      <w:r w:rsidRPr="008F03E5">
        <w:t>Affa</w:t>
      </w:r>
      <w:r>
        <w:t xml:space="preserve"> (‘Iffa, ‘Afaf)</w:t>
      </w:r>
      <w:r w:rsidRPr="008F03E5">
        <w:tab/>
        <w:t>‘Affa</w:t>
      </w:r>
      <w:r>
        <w:t xml:space="preserve"> (‘Iffa[h or t] = ‘Af</w:t>
      </w:r>
      <w:r w:rsidRPr="004833E3">
        <w:t>á</w:t>
      </w:r>
      <w:r>
        <w:t>fa)</w:t>
      </w:r>
      <w:r w:rsidRPr="008F03E5">
        <w:tab/>
        <w:t xml:space="preserve">to refrain, abstain (from something forbidden or indecent); to be abstinent, continent, virtuous, chaste, modest, decent, pure.  </w:t>
      </w:r>
      <w:r>
        <w:t xml:space="preserve">Derivative:  </w:t>
      </w:r>
      <w:r w:rsidRPr="004833E3">
        <w:t>‘iffa</w:t>
      </w:r>
      <w:r>
        <w:t>[h or t]</w:t>
      </w:r>
      <w:r w:rsidRPr="004833E3">
        <w:t xml:space="preserve"> abstinence, continence, virtuousness, virtue, chastity, decency; purity; modesty; integrity, probity, honesty, uprightness, righteousness</w:t>
      </w:r>
      <w:r>
        <w:t xml:space="preserve">.  </w:t>
      </w:r>
      <w:r w:rsidRPr="008F03E5">
        <w:t>See ‘</w:t>
      </w:r>
      <w:r>
        <w:t>Af</w:t>
      </w:r>
      <w:r w:rsidRPr="00864743">
        <w:t>á</w:t>
      </w:r>
      <w:r>
        <w:t>f and ‘</w:t>
      </w:r>
      <w:r w:rsidRPr="008F03E5">
        <w:t>Iffat</w:t>
      </w:r>
      <w:r w:rsidRPr="007931D6">
        <w:t>í</w:t>
      </w:r>
      <w:r w:rsidRPr="008F03E5">
        <w:t>ya</w:t>
      </w:r>
      <w:r>
        <w:t>.</w:t>
      </w:r>
    </w:p>
    <w:p w14:paraId="119A2FD5" w14:textId="77777777" w:rsidR="00625A5B" w:rsidRPr="008F03E5" w:rsidRDefault="00625A5B" w:rsidP="00E96DD4">
      <w:pPr>
        <w:pStyle w:val="Translit"/>
      </w:pPr>
      <w:r w:rsidRPr="008F03E5">
        <w:t>Affan</w:t>
      </w:r>
      <w:r w:rsidRPr="008F03E5">
        <w:tab/>
        <w:t>‘Affán</w:t>
      </w:r>
      <w:r w:rsidRPr="008F03E5">
        <w:tab/>
        <w:t>Pers. name of the father of the caliph ‘Usmán (O</w:t>
      </w:r>
      <w:r w:rsidRPr="008F03E5">
        <w:rPr>
          <w:u w:val="single"/>
        </w:rPr>
        <w:t>th</w:t>
      </w:r>
      <w:r w:rsidRPr="008F03E5">
        <w:t>mán or ‘U</w:t>
      </w:r>
      <w:r w:rsidRPr="008F03E5">
        <w:rPr>
          <w:u w:val="single"/>
        </w:rPr>
        <w:t>th</w:t>
      </w:r>
      <w:r w:rsidRPr="008F03E5">
        <w:t>mán)</w:t>
      </w:r>
    </w:p>
    <w:p w14:paraId="6329C542" w14:textId="77777777" w:rsidR="00625A5B" w:rsidRPr="008F03E5" w:rsidRDefault="00625A5B" w:rsidP="00EC2426">
      <w:pPr>
        <w:pStyle w:val="Translit"/>
      </w:pPr>
      <w:r w:rsidRPr="008F03E5">
        <w:t>Afghan</w:t>
      </w:r>
      <w:r w:rsidRPr="008F03E5">
        <w:tab/>
        <w:t>Af</w:t>
      </w:r>
      <w:r w:rsidRPr="008F03E5">
        <w:rPr>
          <w:u w:val="single"/>
        </w:rPr>
        <w:t>gh</w:t>
      </w:r>
      <w:r w:rsidRPr="008F03E5">
        <w:t xml:space="preserve">án, pl. </w:t>
      </w:r>
      <w:r w:rsidRPr="008F03E5">
        <w:rPr>
          <w:rFonts w:eastAsia="Times New Roman"/>
        </w:rPr>
        <w:t>Afá</w:t>
      </w:r>
      <w:r w:rsidRPr="008F03E5">
        <w:rPr>
          <w:u w:val="single"/>
        </w:rPr>
        <w:t>gh</w:t>
      </w:r>
      <w:r w:rsidRPr="008F03E5">
        <w:rPr>
          <w:rFonts w:eastAsia="Times New Roman"/>
        </w:rPr>
        <w:t>ina[h or t]</w:t>
      </w:r>
      <w:r w:rsidRPr="008F03E5">
        <w:tab/>
        <w:t xml:space="preserve">people living in the mountains between </w:t>
      </w:r>
      <w:r w:rsidRPr="008F03E5">
        <w:rPr>
          <w:rFonts w:eastAsia="Times New Roman"/>
        </w:rPr>
        <w:t>the mountains between Kandahár and the river Indus; lamentation, groaning, cries for help; alas!</w:t>
      </w:r>
    </w:p>
    <w:p w14:paraId="54816EBC" w14:textId="77777777" w:rsidR="00625A5B" w:rsidRPr="008F03E5" w:rsidRDefault="00625A5B" w:rsidP="00EC2426">
      <w:pPr>
        <w:pStyle w:val="Translit"/>
      </w:pPr>
      <w:r w:rsidRPr="008F03E5">
        <w:t>Afghani</w:t>
      </w:r>
      <w:r w:rsidRPr="008F03E5">
        <w:tab/>
        <w:t>Af</w:t>
      </w:r>
      <w:r w:rsidRPr="008F03E5">
        <w:rPr>
          <w:u w:val="single"/>
        </w:rPr>
        <w:t>gh</w:t>
      </w:r>
      <w:r w:rsidRPr="008F03E5">
        <w:t>ání</w:t>
      </w:r>
      <w:r w:rsidRPr="008F03E5">
        <w:tab/>
        <w:t>of Af</w:t>
      </w:r>
      <w:r w:rsidRPr="008F03E5">
        <w:rPr>
          <w:u w:val="single"/>
        </w:rPr>
        <w:t>gh</w:t>
      </w:r>
      <w:r w:rsidRPr="008F03E5">
        <w:t>án (adjective and noun)</w:t>
      </w:r>
    </w:p>
    <w:p w14:paraId="04820282" w14:textId="77777777" w:rsidR="00625A5B" w:rsidRPr="008F03E5" w:rsidRDefault="00625A5B" w:rsidP="00F87A63">
      <w:pPr>
        <w:pStyle w:val="Translit"/>
      </w:pPr>
      <w:r w:rsidRPr="008F03E5">
        <w:t>Afghanistan</w:t>
      </w:r>
      <w:r w:rsidRPr="008F03E5">
        <w:tab/>
        <w:t>Af</w:t>
      </w:r>
      <w:r w:rsidRPr="008F03E5">
        <w:rPr>
          <w:u w:val="single"/>
        </w:rPr>
        <w:t>gh</w:t>
      </w:r>
      <w:r w:rsidRPr="008F03E5">
        <w:t>ánistán</w:t>
      </w:r>
      <w:r w:rsidRPr="008F03E5">
        <w:tab/>
        <w:t>Afghanistan</w:t>
      </w:r>
    </w:p>
    <w:p w14:paraId="0AA6F166" w14:textId="77777777" w:rsidR="00625A5B" w:rsidRPr="008F03E5" w:rsidRDefault="00625A5B" w:rsidP="00F87A63">
      <w:pPr>
        <w:pStyle w:val="Translit"/>
      </w:pPr>
      <w:r w:rsidRPr="008F03E5">
        <w:t>Afif, Afifa, A’fa’, A’iffa</w:t>
      </w:r>
      <w:r w:rsidRPr="008F03E5">
        <w:tab/>
        <w:t>‘Afíf, fem. ‘Afífa[h], pl. A‘fá’, A‘iffa</w:t>
      </w:r>
      <w:r w:rsidRPr="008F03E5">
        <w:tab/>
        <w:t>chaste, modest, virtuous, pure; decent; honest, upright, righteous.  ‘Afíf is a city 343 km east of Medina.  Pers. also ‘Afífih</w:t>
      </w:r>
    </w:p>
    <w:p w14:paraId="41878410" w14:textId="77777777" w:rsidR="00625A5B" w:rsidRPr="008F03E5" w:rsidRDefault="00625A5B" w:rsidP="00F87A63">
      <w:pPr>
        <w:pStyle w:val="Translit"/>
      </w:pPr>
      <w:r w:rsidRPr="008F03E5">
        <w:t>Afifi</w:t>
      </w:r>
      <w:r w:rsidRPr="008F03E5">
        <w:tab/>
        <w:t>‘Afífí</w:t>
      </w:r>
      <w:r w:rsidRPr="008F03E5">
        <w:tab/>
        <w:t xml:space="preserve">of or from ‘Afíf.  </w:t>
      </w:r>
      <w:r w:rsidRPr="00D45A23">
        <w:rPr>
          <w:lang w:val="it-IT"/>
        </w:rPr>
        <w:t xml:space="preserve">Muḥammad al-‘Afífí, Persian Consul in ‘Akká in 1880s.  </w:t>
      </w:r>
      <w:r w:rsidRPr="008F03E5">
        <w:t>He owned the gardens (Ḥumaymih or ‘Afífí) near ‘Ayn Fawwár and the village of an-Nahr.</w:t>
      </w:r>
    </w:p>
    <w:p w14:paraId="06E22186" w14:textId="77777777" w:rsidR="00625A5B" w:rsidRPr="008F03E5" w:rsidRDefault="00625A5B" w:rsidP="00F87A63">
      <w:pPr>
        <w:pStyle w:val="Translit"/>
      </w:pPr>
      <w:r w:rsidRPr="008F03E5">
        <w:rPr>
          <w:rFonts w:eastAsia="Times New Roman"/>
        </w:rPr>
        <w:t>Afirin (Afarin), Afrin</w:t>
      </w:r>
      <w:r w:rsidRPr="008F03E5">
        <w:rPr>
          <w:rFonts w:eastAsia="Times New Roman"/>
        </w:rPr>
        <w:tab/>
        <w:t>Áfirín, Áfrín</w:t>
      </w:r>
      <w:r w:rsidRPr="008F03E5">
        <w:rPr>
          <w:rFonts w:eastAsia="Times New Roman"/>
        </w:rPr>
        <w:tab/>
        <w:t>Pers. praise, glory, applause, encomium, benediction, blessing; blessed; well done! bravo! name of the first of the five intercalary days of the Persian year; (in compounds) creating</w:t>
      </w:r>
    </w:p>
    <w:p w14:paraId="2C2CBEA3" w14:textId="77777777" w:rsidR="00625A5B" w:rsidRPr="008F03E5" w:rsidRDefault="00625A5B" w:rsidP="007E0997">
      <w:pPr>
        <w:pStyle w:val="Translit"/>
      </w:pPr>
      <w:r w:rsidRPr="008F03E5">
        <w:t>Afj</w:t>
      </w:r>
      <w:r>
        <w:t>a</w:t>
      </w:r>
      <w:r w:rsidRPr="008F03E5">
        <w:t>h (Afjeh), Afch</w:t>
      </w:r>
      <w:r>
        <w:t>a</w:t>
      </w:r>
      <w:r w:rsidRPr="008F03E5">
        <w:t>h (Afcheh)</w:t>
      </w:r>
      <w:r w:rsidRPr="008F03E5">
        <w:tab/>
        <w:t>Afj</w:t>
      </w:r>
      <w:r>
        <w:t>a</w:t>
      </w:r>
      <w:r w:rsidRPr="008F03E5">
        <w:t>h, Af</w:t>
      </w:r>
      <w:r w:rsidRPr="008F03E5">
        <w:rPr>
          <w:u w:val="single"/>
        </w:rPr>
        <w:t>ch</w:t>
      </w:r>
      <w:r>
        <w:t>a</w:t>
      </w:r>
      <w:r w:rsidRPr="008F03E5">
        <w:t>h</w:t>
      </w:r>
      <w:r w:rsidRPr="008F03E5">
        <w:tab/>
      </w:r>
      <w:r>
        <w:t>(also Afjih, Af</w:t>
      </w:r>
      <w:r w:rsidRPr="007E0997">
        <w:rPr>
          <w:u w:val="single"/>
        </w:rPr>
        <w:t>ch</w:t>
      </w:r>
      <w:r>
        <w:t xml:space="preserve">ih) </w:t>
      </w:r>
      <w:r w:rsidRPr="008F03E5">
        <w:t>Pers. village (</w:t>
      </w:r>
      <w:r w:rsidRPr="00930955">
        <w:t>35.859750, 51.68984</w:t>
      </w:r>
      <w:r>
        <w:t>9</w:t>
      </w:r>
      <w:r w:rsidRPr="008F03E5">
        <w:t>; 3</w:t>
      </w:r>
      <w:r>
        <w:t>6</w:t>
      </w:r>
      <w:r w:rsidRPr="008F03E5">
        <w:t xml:space="preserve"> km NE Ṭihrán) in Lavasanat District (Ba</w:t>
      </w:r>
      <w:r w:rsidRPr="008F03E5">
        <w:rPr>
          <w:u w:val="single"/>
        </w:rPr>
        <w:t>khsh</w:t>
      </w:r>
      <w:r w:rsidRPr="008F03E5">
        <w:t xml:space="preserve"> Lavásánát), Shemiranat County (</w:t>
      </w:r>
      <w:r w:rsidRPr="008F03E5">
        <w:rPr>
          <w:u w:val="single"/>
        </w:rPr>
        <w:t>Sh</w:t>
      </w:r>
      <w:r w:rsidRPr="008F03E5">
        <w:t xml:space="preserve">áristán </w:t>
      </w:r>
      <w:r w:rsidRPr="008F03E5">
        <w:rPr>
          <w:u w:val="single"/>
        </w:rPr>
        <w:t>Sh</w:t>
      </w:r>
      <w:r w:rsidRPr="008F03E5">
        <w:t>imíránát</w:t>
      </w:r>
      <w:r w:rsidRPr="008F03E5">
        <w:rPr>
          <w:rFonts w:eastAsia="Times New Roman"/>
        </w:rPr>
        <w:t>)</w:t>
      </w:r>
      <w:r w:rsidRPr="008F03E5">
        <w:t xml:space="preserve">, Teheran Province.  It is 7.25 km </w:t>
      </w:r>
      <w:r w:rsidRPr="008F03E5">
        <w:rPr>
          <w:sz w:val="16"/>
          <w:szCs w:val="16"/>
        </w:rPr>
        <w:t>NE</w:t>
      </w:r>
      <w:r w:rsidRPr="008F03E5">
        <w:t xml:space="preserve"> of the town of Lavásán and 47.5 km </w:t>
      </w:r>
      <w:r w:rsidRPr="008F03E5">
        <w:rPr>
          <w:sz w:val="16"/>
          <w:szCs w:val="16"/>
        </w:rPr>
        <w:t>SW</w:t>
      </w:r>
      <w:r w:rsidRPr="008F03E5">
        <w:t xml:space="preserve"> of Takúr.  Bahá’u’lláh was the guest of the Grand Vizir, </w:t>
      </w:r>
      <w:r w:rsidRPr="0040488F">
        <w:t xml:space="preserve">Ja‘far-Qulí </w:t>
      </w:r>
      <w:r w:rsidRPr="0040488F">
        <w:rPr>
          <w:u w:val="single"/>
        </w:rPr>
        <w:t>Kh</w:t>
      </w:r>
      <w:r w:rsidRPr="0040488F">
        <w:t>án</w:t>
      </w:r>
      <w:r>
        <w:t>,</w:t>
      </w:r>
      <w:r w:rsidRPr="008F03E5">
        <w:t xml:space="preserve"> in </w:t>
      </w:r>
      <w:r>
        <w:t>his</w:t>
      </w:r>
      <w:r w:rsidRPr="008F03E5">
        <w:t xml:space="preserve"> summer residence in the village, when the assassination attempt was made on the </w:t>
      </w:r>
      <w:r>
        <w:rPr>
          <w:u w:val="single"/>
        </w:rPr>
        <w:t>S</w:t>
      </w:r>
      <w:r w:rsidRPr="008F03E5">
        <w:rPr>
          <w:u w:val="single"/>
        </w:rPr>
        <w:t>h</w:t>
      </w:r>
      <w:r w:rsidRPr="008F03E5">
        <w:t>áh</w:t>
      </w:r>
      <w:r>
        <w:t xml:space="preserve"> near his </w:t>
      </w:r>
      <w:r w:rsidRPr="008F03E5">
        <w:t>Níyávarán</w:t>
      </w:r>
      <w:r w:rsidRPr="007E0997">
        <w:t xml:space="preserve"> </w:t>
      </w:r>
      <w:r>
        <w:t>summer palace</w:t>
      </w:r>
      <w:r w:rsidRPr="008F03E5">
        <w:t>.</w:t>
      </w:r>
    </w:p>
    <w:p w14:paraId="4B9A4C74" w14:textId="77777777" w:rsidR="00625A5B" w:rsidRPr="008F03E5" w:rsidRDefault="00625A5B" w:rsidP="00F87A63">
      <w:pPr>
        <w:pStyle w:val="Translit"/>
      </w:pPr>
      <w:r w:rsidRPr="008F03E5">
        <w:t>Aflatun</w:t>
      </w:r>
      <w:r w:rsidRPr="008F03E5">
        <w:tab/>
        <w:t>Afláṭún</w:t>
      </w:r>
      <w:r w:rsidRPr="008F03E5">
        <w:tab/>
        <w:t>Plato, from the Greek form of the name</w:t>
      </w:r>
    </w:p>
    <w:p w14:paraId="7973E4CA" w14:textId="77777777" w:rsidR="00625A5B" w:rsidRPr="00D45A23" w:rsidRDefault="00625A5B" w:rsidP="00F87A63">
      <w:pPr>
        <w:pStyle w:val="Translit"/>
        <w:rPr>
          <w:lang w:val="pl-PL"/>
        </w:rPr>
      </w:pPr>
      <w:r w:rsidRPr="00D45A23">
        <w:rPr>
          <w:rFonts w:eastAsia="PMingLiU"/>
          <w:lang w:val="pl-PL" w:eastAsia="zh-TW"/>
        </w:rPr>
        <w:t>Afn</w:t>
      </w:r>
      <w:r w:rsidRPr="00D45A23">
        <w:rPr>
          <w:lang w:val="pl-PL"/>
        </w:rPr>
        <w:t>a</w:t>
      </w:r>
      <w:r w:rsidRPr="00D45A23">
        <w:rPr>
          <w:rFonts w:eastAsia="PMingLiU"/>
          <w:lang w:val="pl-PL" w:eastAsia="zh-TW"/>
        </w:rPr>
        <w:t>n-i-Kab</w:t>
      </w:r>
      <w:r w:rsidRPr="00D45A23">
        <w:rPr>
          <w:lang w:val="pl-PL"/>
        </w:rPr>
        <w:t>i</w:t>
      </w:r>
      <w:r w:rsidRPr="00D45A23">
        <w:rPr>
          <w:rFonts w:eastAsia="PMingLiU"/>
          <w:lang w:val="pl-PL" w:eastAsia="zh-TW"/>
        </w:rPr>
        <w:t>r</w:t>
      </w:r>
      <w:r w:rsidRPr="00D45A23">
        <w:rPr>
          <w:lang w:val="pl-PL"/>
        </w:rPr>
        <w:tab/>
      </w:r>
      <w:r w:rsidRPr="00D45A23">
        <w:rPr>
          <w:rFonts w:eastAsia="PMingLiU"/>
          <w:lang w:val="pl-PL" w:eastAsia="zh-TW"/>
        </w:rPr>
        <w:t>Afn</w:t>
      </w:r>
      <w:r w:rsidRPr="00D45A23">
        <w:rPr>
          <w:lang w:val="pl-PL"/>
        </w:rPr>
        <w:t>á</w:t>
      </w:r>
      <w:r w:rsidRPr="00D45A23">
        <w:rPr>
          <w:rFonts w:eastAsia="PMingLiU"/>
          <w:lang w:val="pl-PL" w:eastAsia="zh-TW"/>
        </w:rPr>
        <w:t>n-i-Kab</w:t>
      </w:r>
      <w:r w:rsidRPr="00D45A23">
        <w:rPr>
          <w:lang w:val="pl-PL"/>
        </w:rPr>
        <w:t>í</w:t>
      </w:r>
      <w:r w:rsidRPr="00D45A23">
        <w:rPr>
          <w:rFonts w:eastAsia="PMingLiU"/>
          <w:lang w:val="pl-PL" w:eastAsia="zh-TW"/>
        </w:rPr>
        <w:t>r</w:t>
      </w:r>
      <w:r w:rsidRPr="00D45A23">
        <w:rPr>
          <w:lang w:val="pl-PL"/>
        </w:rPr>
        <w:tab/>
      </w:r>
    </w:p>
    <w:p w14:paraId="6E1D13BD" w14:textId="77777777" w:rsidR="00625A5B" w:rsidRPr="008F03E5" w:rsidRDefault="00625A5B" w:rsidP="003763BD">
      <w:pPr>
        <w:pStyle w:val="Translit"/>
      </w:pPr>
      <w:r w:rsidRPr="008F03E5">
        <w:t>Afra</w:t>
      </w:r>
      <w:r w:rsidRPr="008F03E5">
        <w:tab/>
        <w:t>Afrá</w:t>
      </w:r>
      <w:r w:rsidRPr="008F03E5">
        <w:tab/>
        <w:t>Pers. b</w:t>
      </w:r>
      <w:r w:rsidRPr="008F03E5">
        <w:rPr>
          <w:rFonts w:eastAsia="Times New Roman"/>
        </w:rPr>
        <w:t xml:space="preserve">ravo! well done! praise applause.  Village </w:t>
      </w:r>
      <w:r w:rsidRPr="008F03E5">
        <w:rPr>
          <w:sz w:val="16"/>
          <w:szCs w:val="16"/>
        </w:rPr>
        <w:t>SW</w:t>
      </w:r>
      <w:r w:rsidRPr="008F03E5">
        <w:t xml:space="preserve"> of Qá’im </w:t>
      </w:r>
      <w:r w:rsidRPr="008F03E5">
        <w:rPr>
          <w:u w:val="single"/>
        </w:rPr>
        <w:t>Sh</w:t>
      </w:r>
      <w:r w:rsidRPr="008F03E5">
        <w:t xml:space="preserve">ahr and </w:t>
      </w:r>
      <w:r>
        <w:t xml:space="preserve">just to the </w:t>
      </w:r>
      <w:r w:rsidRPr="008F03E5">
        <w:t>east of t</w:t>
      </w:r>
      <w:r w:rsidRPr="008F03E5">
        <w:rPr>
          <w:rFonts w:eastAsia="PMingLiU"/>
          <w:lang w:eastAsia="zh-TW"/>
        </w:rPr>
        <w:t>he Shrine</w:t>
      </w:r>
      <w:r w:rsidRPr="008F03E5">
        <w:t xml:space="preserve"> of </w:t>
      </w:r>
      <w:r w:rsidRPr="008F03E5">
        <w:rPr>
          <w:u w:val="single"/>
        </w:rPr>
        <w:t>Sh</w:t>
      </w:r>
      <w:r w:rsidRPr="008F03E5">
        <w:t>ay</w:t>
      </w:r>
      <w:r w:rsidRPr="008F03E5">
        <w:rPr>
          <w:u w:val="single"/>
        </w:rPr>
        <w:t>kh</w:t>
      </w:r>
      <w:r w:rsidRPr="008F03E5">
        <w:t xml:space="preserve"> Ṭabarsí.</w:t>
      </w:r>
      <w:r>
        <w:t xml:space="preserve">  The village masjid (</w:t>
      </w:r>
      <w:r w:rsidRPr="003763BD">
        <w:t>36.436642, 52.815196</w:t>
      </w:r>
      <w:r>
        <w:t xml:space="preserve">) is 0.9 km to the east.  The village was owned by </w:t>
      </w:r>
      <w:r w:rsidRPr="000771B2">
        <w:t>Na</w:t>
      </w:r>
      <w:r w:rsidRPr="002E5D30">
        <w:t>ẓ</w:t>
      </w:r>
      <w:r w:rsidRPr="000771B2">
        <w:t xml:space="preserve">ar </w:t>
      </w:r>
      <w:r w:rsidRPr="000771B2">
        <w:rPr>
          <w:u w:val="single"/>
        </w:rPr>
        <w:t>Kh</w:t>
      </w:r>
      <w:r w:rsidRPr="000771B2">
        <w:t>án</w:t>
      </w:r>
      <w:r>
        <w:t>.</w:t>
      </w:r>
    </w:p>
    <w:p w14:paraId="6C8B2B53" w14:textId="77777777" w:rsidR="00625A5B" w:rsidRPr="008F03E5" w:rsidRDefault="00625A5B" w:rsidP="00F87A63">
      <w:pPr>
        <w:pStyle w:val="Translit"/>
      </w:pPr>
      <w:r w:rsidRPr="008F03E5">
        <w:t>Afranj</w:t>
      </w:r>
      <w:r w:rsidRPr="008F03E5">
        <w:tab/>
        <w:t>Afranj</w:t>
      </w:r>
      <w:r w:rsidRPr="008F03E5">
        <w:tab/>
        <w:t xml:space="preserve">Pers. elegance, dignity, grace; magnificence, grandeur, power; maguitude; a throne; a crown; provisions, necessaries.  The Franks, French; the crusaders; all Europeans.  </w:t>
      </w:r>
      <w:r w:rsidRPr="008F03E5">
        <w:rPr>
          <w:u w:val="single"/>
        </w:rPr>
        <w:t>Kh</w:t>
      </w:r>
      <w:r w:rsidRPr="008F03E5">
        <w:t>án-i-Afranj in ‘Akká.</w:t>
      </w:r>
    </w:p>
    <w:p w14:paraId="3209FE1F" w14:textId="77777777" w:rsidR="00625A5B" w:rsidRPr="008F03E5" w:rsidRDefault="00625A5B" w:rsidP="00F87A63">
      <w:pPr>
        <w:pStyle w:val="Translit"/>
      </w:pPr>
      <w:r w:rsidRPr="008F03E5">
        <w:t>Afrasiyab (“Afrasyab”)</w:t>
      </w:r>
      <w:r w:rsidRPr="008F03E5">
        <w:tab/>
        <w:t>Afrásiyáb</w:t>
      </w:r>
      <w:r w:rsidRPr="008F03E5">
        <w:tab/>
        <w:t>Pers. name of an ancient king celebrated in Persian poetry, sovereign of Túrán, and a Scythian or Turk by birth; one who moves leisurely on the road; a travelling companion</w:t>
      </w:r>
    </w:p>
    <w:p w14:paraId="4466C58D" w14:textId="77777777" w:rsidR="00625A5B" w:rsidRPr="008F03E5" w:rsidRDefault="00625A5B" w:rsidP="00D876E6">
      <w:pPr>
        <w:pStyle w:val="Translit"/>
        <w:rPr>
          <w:rFonts w:eastAsia="Times New Roman"/>
        </w:rPr>
      </w:pPr>
      <w:r w:rsidRPr="008F03E5">
        <w:rPr>
          <w:rFonts w:eastAsia="Times New Roman"/>
        </w:rPr>
        <w:t>Afriqa, Ifriqiya, Afriqiya</w:t>
      </w:r>
      <w:r w:rsidRPr="008F03E5">
        <w:rPr>
          <w:rFonts w:eastAsia="Times New Roman"/>
        </w:rPr>
        <w:tab/>
        <w:t>Afríqá fem.</w:t>
      </w:r>
      <w:r w:rsidRPr="008F03E5">
        <w:rPr>
          <w:rFonts w:eastAsia="Times New Roman"/>
        </w:rPr>
        <w:tab/>
        <w:t>and Ifríqiyá (now usually pronounced Afríqiyá fem.) Africa</w:t>
      </w:r>
    </w:p>
    <w:p w14:paraId="35B58758" w14:textId="77777777" w:rsidR="00625A5B" w:rsidRPr="008F03E5" w:rsidRDefault="00625A5B" w:rsidP="00F87A63">
      <w:pPr>
        <w:pStyle w:val="Translit"/>
      </w:pPr>
      <w:r w:rsidRPr="008F03E5">
        <w:t>Afrukhta (Afrokhta, Afrukhtih)</w:t>
      </w:r>
      <w:r w:rsidRPr="008F03E5">
        <w:tab/>
        <w:t>Afrú</w:t>
      </w:r>
      <w:r w:rsidRPr="008F03E5">
        <w:rPr>
          <w:u w:val="single"/>
        </w:rPr>
        <w:t>kh</w:t>
      </w:r>
      <w:r w:rsidRPr="008F03E5">
        <w:t>ta[h]</w:t>
      </w:r>
      <w:r w:rsidRPr="008F03E5">
        <w:tab/>
        <w:t>Pers. inflamed, lighted; shining, radiant; polished, furbished</w:t>
      </w:r>
    </w:p>
    <w:p w14:paraId="1015FBA3" w14:textId="77777777" w:rsidR="00625A5B" w:rsidRPr="008F03E5" w:rsidRDefault="00625A5B" w:rsidP="00F87A63">
      <w:pPr>
        <w:pStyle w:val="Translit"/>
      </w:pPr>
      <w:r w:rsidRPr="008F03E5">
        <w:t>Afruz (Afroz)</w:t>
      </w:r>
      <w:r w:rsidRPr="008F03E5">
        <w:tab/>
        <w:t>Afrúz</w:t>
      </w:r>
      <w:r w:rsidRPr="008F03E5">
        <w:tab/>
        <w:t>Pers. burning; illuminating, dazzling, animating.  Feminine name.</w:t>
      </w:r>
    </w:p>
    <w:p w14:paraId="36634653" w14:textId="77777777" w:rsidR="00625A5B" w:rsidRPr="008F03E5" w:rsidRDefault="00625A5B" w:rsidP="00040AD5">
      <w:pPr>
        <w:pStyle w:val="Translit"/>
        <w:rPr>
          <w:rFonts w:eastAsia="PMingLiU"/>
          <w:lang w:eastAsia="zh-TW"/>
        </w:rPr>
      </w:pPr>
      <w:r w:rsidRPr="008F03E5">
        <w:rPr>
          <w:rFonts w:eastAsia="PMingLiU"/>
          <w:lang w:eastAsia="zh-TW"/>
        </w:rPr>
        <w:t>Afsah, Fusha</w:t>
      </w:r>
      <w:r w:rsidRPr="008F03E5">
        <w:rPr>
          <w:rFonts w:eastAsia="PMingLiU"/>
          <w:lang w:eastAsia="zh-TW"/>
        </w:rPr>
        <w:tab/>
        <w:t>Afṣaḥ, fem. Fuṣḥá</w:t>
      </w:r>
      <w:r w:rsidRPr="008F03E5">
        <w:rPr>
          <w:rFonts w:eastAsia="PMingLiU"/>
          <w:lang w:eastAsia="zh-TW"/>
        </w:rPr>
        <w:tab/>
        <w:t>of purer language; more eloquent</w:t>
      </w:r>
    </w:p>
    <w:p w14:paraId="198DBB24" w14:textId="77777777" w:rsidR="00625A5B" w:rsidRPr="008F03E5" w:rsidRDefault="00625A5B" w:rsidP="00F87A63">
      <w:pPr>
        <w:pStyle w:val="Translit"/>
        <w:rPr>
          <w:rFonts w:eastAsia="PMingLiU"/>
          <w:lang w:eastAsia="zh-TW"/>
        </w:rPr>
      </w:pPr>
      <w:r w:rsidRPr="008F03E5">
        <w:t>Afsana (Afsanih, Afsaneh)</w:t>
      </w:r>
      <w:r w:rsidRPr="008F03E5">
        <w:tab/>
        <w:t>Áfsána, Afsána</w:t>
      </w:r>
      <w:r w:rsidRPr="008F03E5">
        <w:tab/>
        <w:t xml:space="preserve">Pers. fem. name.  A charm, incantation; a fiction, tale, fable, romance, parable; a narrative, a story of past events; </w:t>
      </w:r>
      <w:r w:rsidRPr="008F03E5">
        <w:rPr>
          <w:rFonts w:eastAsia="Times New Roman"/>
        </w:rPr>
        <w:t>public, notorious, noted.</w:t>
      </w:r>
    </w:p>
    <w:p w14:paraId="6D511783" w14:textId="77777777" w:rsidR="00625A5B" w:rsidRPr="008F03E5" w:rsidRDefault="00625A5B" w:rsidP="00EA750B">
      <w:pPr>
        <w:pStyle w:val="Translit"/>
        <w:rPr>
          <w:rFonts w:eastAsia="PMingLiU"/>
        </w:rPr>
      </w:pPr>
      <w:r w:rsidRPr="008F03E5">
        <w:rPr>
          <w:rFonts w:eastAsia="PMingLiU"/>
          <w:lang w:eastAsia="zh-TW"/>
        </w:rPr>
        <w:t>Afsh</w:t>
      </w:r>
      <w:r w:rsidRPr="008F03E5">
        <w:t>a</w:t>
      </w:r>
      <w:r w:rsidRPr="008F03E5">
        <w:rPr>
          <w:rFonts w:eastAsia="PMingLiU"/>
          <w:lang w:eastAsia="zh-TW"/>
        </w:rPr>
        <w:t>r</w:t>
      </w:r>
      <w:r w:rsidRPr="008F03E5">
        <w:tab/>
      </w:r>
      <w:r w:rsidRPr="008F03E5">
        <w:rPr>
          <w:rFonts w:eastAsia="PMingLiU"/>
          <w:lang w:eastAsia="zh-TW"/>
        </w:rPr>
        <w:t>Af</w:t>
      </w:r>
      <w:r w:rsidRPr="008F03E5">
        <w:rPr>
          <w:u w:val="single"/>
        </w:rPr>
        <w:t>sh</w:t>
      </w:r>
      <w:r w:rsidRPr="008F03E5">
        <w:t>á</w:t>
      </w:r>
      <w:r w:rsidRPr="008F03E5">
        <w:rPr>
          <w:rFonts w:eastAsia="PMingLiU"/>
          <w:lang w:eastAsia="zh-TW"/>
        </w:rPr>
        <w:t>r</w:t>
      </w:r>
      <w:r w:rsidRPr="008F03E5">
        <w:tab/>
        <w:t xml:space="preserve">Pers. </w:t>
      </w:r>
      <w:r>
        <w:rPr>
          <w:rFonts w:eastAsia="Times New Roman"/>
        </w:rPr>
        <w:t>s</w:t>
      </w:r>
      <w:r w:rsidRPr="00AF4D34">
        <w:rPr>
          <w:rFonts w:eastAsia="Times New Roman"/>
        </w:rPr>
        <w:t>peaking idly; fixing, inserting; pressing, squeezing out (water); an assistant, associate, companion, partner</w:t>
      </w:r>
      <w:r>
        <w:rPr>
          <w:rFonts w:eastAsia="Times New Roman"/>
        </w:rPr>
        <w:t xml:space="preserve">; </w:t>
      </w:r>
      <w:r>
        <w:t>a largely nomadic Turkic tribe found mostly in Iran.</w:t>
      </w:r>
    </w:p>
    <w:p w14:paraId="5AFFE8B6" w14:textId="77777777" w:rsidR="00625A5B" w:rsidRDefault="00625A5B" w:rsidP="00EA750B">
      <w:pPr>
        <w:pStyle w:val="Translit"/>
        <w:rPr>
          <w:rFonts w:eastAsia="PMingLiU"/>
          <w:lang w:eastAsia="zh-TW"/>
        </w:rPr>
      </w:pPr>
      <w:r w:rsidRPr="008F03E5">
        <w:rPr>
          <w:rFonts w:eastAsia="PMingLiU"/>
          <w:lang w:eastAsia="zh-TW"/>
        </w:rPr>
        <w:t>Afsh</w:t>
      </w:r>
      <w:r w:rsidRPr="008F03E5">
        <w:t>a</w:t>
      </w:r>
      <w:r w:rsidRPr="008F03E5">
        <w:rPr>
          <w:rFonts w:eastAsia="PMingLiU"/>
          <w:lang w:eastAsia="zh-TW"/>
        </w:rPr>
        <w:t>r</w:t>
      </w:r>
      <w:r>
        <w:rPr>
          <w:rFonts w:eastAsia="PMingLiU"/>
          <w:lang w:eastAsia="zh-TW"/>
        </w:rPr>
        <w:t>iyan</w:t>
      </w:r>
      <w:r w:rsidRPr="008F03E5">
        <w:tab/>
      </w:r>
      <w:r w:rsidRPr="008F03E5">
        <w:rPr>
          <w:rFonts w:eastAsia="PMingLiU"/>
          <w:lang w:eastAsia="zh-TW"/>
        </w:rPr>
        <w:t>Af</w:t>
      </w:r>
      <w:r w:rsidRPr="008F03E5">
        <w:rPr>
          <w:u w:val="single"/>
        </w:rPr>
        <w:t>sh</w:t>
      </w:r>
      <w:r w:rsidRPr="008F03E5">
        <w:t>á</w:t>
      </w:r>
      <w:r w:rsidRPr="008F03E5">
        <w:rPr>
          <w:rFonts w:eastAsia="PMingLiU"/>
          <w:lang w:eastAsia="zh-TW"/>
        </w:rPr>
        <w:t>r</w:t>
      </w:r>
      <w:r>
        <w:rPr>
          <w:rFonts w:eastAsia="PMingLiU"/>
          <w:lang w:eastAsia="zh-TW"/>
        </w:rPr>
        <w:t>iy</w:t>
      </w:r>
      <w:r w:rsidRPr="00EA750B">
        <w:t>á</w:t>
      </w:r>
      <w:r>
        <w:rPr>
          <w:rFonts w:eastAsia="PMingLiU"/>
          <w:lang w:eastAsia="zh-TW"/>
        </w:rPr>
        <w:t>n</w:t>
      </w:r>
      <w:r w:rsidRPr="008F03E5">
        <w:tab/>
      </w:r>
      <w:r>
        <w:t xml:space="preserve">Pers. </w:t>
      </w:r>
      <w:r w:rsidRPr="00EA750B">
        <w:t xml:space="preserve">Afsharid dynasty </w:t>
      </w:r>
      <w:r>
        <w:t xml:space="preserve">(1736–1796) </w:t>
      </w:r>
      <w:r w:rsidRPr="00EA750B">
        <w:t>was an Iranian dynasty founded by N</w:t>
      </w:r>
      <w:r>
        <w:t>á</w:t>
      </w:r>
      <w:r w:rsidRPr="00EA750B">
        <w:t>d</w:t>
      </w:r>
      <w:r>
        <w:t>i</w:t>
      </w:r>
      <w:r w:rsidRPr="00EA750B">
        <w:t xml:space="preserve">r </w:t>
      </w:r>
      <w:r w:rsidRPr="00EA750B">
        <w:rPr>
          <w:u w:val="single"/>
        </w:rPr>
        <w:t>Sh</w:t>
      </w:r>
      <w:r w:rsidRPr="00EA750B">
        <w:t>áh (r. </w:t>
      </w:r>
      <w:r>
        <w:t xml:space="preserve"> </w:t>
      </w:r>
      <w:r w:rsidRPr="00EA750B">
        <w:t>1736–1747)</w:t>
      </w:r>
    </w:p>
    <w:p w14:paraId="268F6C27" w14:textId="77777777" w:rsidR="00625A5B" w:rsidRPr="008F03E5" w:rsidRDefault="00625A5B" w:rsidP="00F87A63">
      <w:pPr>
        <w:pStyle w:val="Translit"/>
        <w:rPr>
          <w:rFonts w:eastAsia="PMingLiU"/>
          <w:lang w:eastAsia="zh-TW"/>
        </w:rPr>
      </w:pPr>
      <w:r w:rsidRPr="008F03E5">
        <w:rPr>
          <w:rFonts w:eastAsia="PMingLiU"/>
          <w:lang w:eastAsia="zh-TW"/>
        </w:rPr>
        <w:t>Afshin</w:t>
      </w:r>
      <w:r w:rsidRPr="008F03E5">
        <w:tab/>
      </w:r>
      <w:r w:rsidRPr="008F03E5">
        <w:rPr>
          <w:rFonts w:eastAsia="PMingLiU"/>
          <w:lang w:eastAsia="zh-TW"/>
        </w:rPr>
        <w:t>Af</w:t>
      </w:r>
      <w:r w:rsidRPr="008F03E5">
        <w:rPr>
          <w:u w:val="single"/>
        </w:rPr>
        <w:t>sh</w:t>
      </w:r>
      <w:r w:rsidRPr="008F03E5">
        <w:rPr>
          <w:rFonts w:eastAsia="PMingLiU"/>
          <w:lang w:eastAsia="zh-TW"/>
        </w:rPr>
        <w:t>ín</w:t>
      </w:r>
      <w:r w:rsidRPr="008F03E5">
        <w:tab/>
        <w:t>Pers. name of a person known for his liberality</w:t>
      </w:r>
    </w:p>
    <w:p w14:paraId="6734EC6E" w14:textId="77777777" w:rsidR="00625A5B" w:rsidRPr="008F03E5" w:rsidRDefault="00625A5B" w:rsidP="00F87A63">
      <w:pPr>
        <w:pStyle w:val="Translit"/>
      </w:pPr>
      <w:r w:rsidRPr="008F03E5">
        <w:rPr>
          <w:rFonts w:eastAsia="PMingLiU"/>
          <w:lang w:eastAsia="zh-TW"/>
        </w:rPr>
        <w:t>Aftab, Aftabam</w:t>
      </w:r>
      <w:r w:rsidRPr="008F03E5">
        <w:rPr>
          <w:rFonts w:eastAsia="PMingLiU"/>
          <w:lang w:eastAsia="zh-TW"/>
        </w:rPr>
        <w:tab/>
      </w:r>
      <w:r w:rsidRPr="008F03E5">
        <w:t>Á</w:t>
      </w:r>
      <w:r w:rsidRPr="008F03E5">
        <w:rPr>
          <w:rFonts w:eastAsia="PMingLiU"/>
          <w:lang w:eastAsia="zh-TW"/>
        </w:rPr>
        <w:t>ft</w:t>
      </w:r>
      <w:r w:rsidRPr="008F03E5">
        <w:t>á</w:t>
      </w:r>
      <w:r w:rsidRPr="008F03E5">
        <w:rPr>
          <w:rFonts w:eastAsia="PMingLiU"/>
          <w:lang w:eastAsia="zh-TW"/>
        </w:rPr>
        <w:t>b</w:t>
      </w:r>
      <w:r w:rsidRPr="008F03E5">
        <w:rPr>
          <w:rFonts w:eastAsia="PMingLiU"/>
          <w:lang w:eastAsia="zh-TW"/>
        </w:rPr>
        <w:tab/>
        <w:t>Pers. masc. name, sunlight or sunshine;</w:t>
      </w:r>
      <w:r w:rsidRPr="008F03E5">
        <w:t xml:space="preserve"> the sun; a day; wine; the soul.  Á</w:t>
      </w:r>
      <w:r w:rsidRPr="008F03E5">
        <w:rPr>
          <w:rFonts w:eastAsia="PMingLiU"/>
          <w:lang w:eastAsia="zh-TW"/>
        </w:rPr>
        <w:t>ft</w:t>
      </w:r>
      <w:r w:rsidRPr="008F03E5">
        <w:t>á</w:t>
      </w:r>
      <w:r w:rsidRPr="008F03E5">
        <w:rPr>
          <w:rFonts w:eastAsia="PMingLiU"/>
          <w:lang w:eastAsia="zh-TW"/>
        </w:rPr>
        <w:t>bam (</w:t>
      </w:r>
      <w:r w:rsidRPr="008F03E5">
        <w:t>Á</w:t>
      </w:r>
      <w:r w:rsidRPr="008F03E5">
        <w:rPr>
          <w:rFonts w:eastAsia="PMingLiU"/>
          <w:lang w:eastAsia="zh-TW"/>
        </w:rPr>
        <w:t>ft</w:t>
      </w:r>
      <w:r w:rsidRPr="008F03E5">
        <w:t>á</w:t>
      </w:r>
      <w:r w:rsidRPr="008F03E5">
        <w:rPr>
          <w:rFonts w:eastAsia="PMingLiU"/>
          <w:lang w:eastAsia="zh-TW"/>
        </w:rPr>
        <w:t xml:space="preserve">b+am) I am the sun.  </w:t>
      </w:r>
      <w:r w:rsidRPr="008F03E5">
        <w:t xml:space="preserve">See </w:t>
      </w:r>
      <w:r w:rsidRPr="008F03E5">
        <w:rPr>
          <w:u w:val="single"/>
        </w:rPr>
        <w:t>Kh</w:t>
      </w:r>
      <w:r w:rsidRPr="008F03E5">
        <w:t>ur</w:t>
      </w:r>
      <w:r w:rsidRPr="008F03E5">
        <w:rPr>
          <w:u w:val="single"/>
        </w:rPr>
        <w:t>sh</w:t>
      </w:r>
      <w:r w:rsidRPr="008F03E5">
        <w:t>íd</w:t>
      </w:r>
    </w:p>
    <w:p w14:paraId="745F371D" w14:textId="77777777" w:rsidR="00625A5B" w:rsidRPr="008F03E5" w:rsidRDefault="00625A5B" w:rsidP="00F87A63">
      <w:pPr>
        <w:pStyle w:val="Translit"/>
        <w:rPr>
          <w:rFonts w:eastAsia="PMingLiU"/>
          <w:lang w:eastAsia="zh-TW"/>
        </w:rPr>
      </w:pPr>
      <w:r w:rsidRPr="008F03E5">
        <w:rPr>
          <w:rFonts w:eastAsia="PMingLiU"/>
          <w:lang w:eastAsia="zh-TW"/>
        </w:rPr>
        <w:t>Aftabah (Aftabih)</w:t>
      </w:r>
      <w:r w:rsidRPr="008F03E5">
        <w:rPr>
          <w:rFonts w:eastAsia="PMingLiU"/>
          <w:lang w:eastAsia="zh-TW"/>
        </w:rPr>
        <w:tab/>
      </w:r>
      <w:r w:rsidRPr="008F03E5">
        <w:t>Á</w:t>
      </w:r>
      <w:r w:rsidRPr="008F03E5">
        <w:rPr>
          <w:rFonts w:eastAsia="PMingLiU"/>
          <w:lang w:eastAsia="zh-TW"/>
        </w:rPr>
        <w:t>ft</w:t>
      </w:r>
      <w:r w:rsidRPr="008F03E5">
        <w:t>á</w:t>
      </w:r>
      <w:r w:rsidRPr="008F03E5">
        <w:rPr>
          <w:rFonts w:eastAsia="PMingLiU"/>
          <w:lang w:eastAsia="zh-TW"/>
        </w:rPr>
        <w:t>bah</w:t>
      </w:r>
      <w:r w:rsidRPr="008F03E5">
        <w:rPr>
          <w:rFonts w:eastAsia="PMingLiU"/>
          <w:lang w:eastAsia="zh-TW"/>
        </w:rPr>
        <w:tab/>
        <w:t>Pers. a ewer, water-pot, or kettle</w:t>
      </w:r>
    </w:p>
    <w:p w14:paraId="03D236BF" w14:textId="77777777" w:rsidR="00625A5B" w:rsidRPr="008F03E5" w:rsidRDefault="00625A5B" w:rsidP="00F87A63">
      <w:pPr>
        <w:pStyle w:val="Translit"/>
      </w:pPr>
      <w:r w:rsidRPr="008F03E5">
        <w:t>Aftab-parast</w:t>
      </w:r>
      <w:r w:rsidRPr="008F03E5">
        <w:tab/>
        <w:t>Áftáb-Parast</w:t>
      </w:r>
      <w:r w:rsidRPr="008F03E5">
        <w:tab/>
        <w:t>Pers. a worshipper of the sun; sunflower; a chameleon (or iguana); a water-lily; in India, any blue flower</w:t>
      </w:r>
    </w:p>
    <w:p w14:paraId="328ADD62" w14:textId="77777777" w:rsidR="00625A5B" w:rsidRPr="008F03E5" w:rsidRDefault="00625A5B" w:rsidP="00F87A63">
      <w:pPr>
        <w:pStyle w:val="Translit"/>
        <w:rPr>
          <w:rFonts w:eastAsia="PMingLiU"/>
          <w:lang w:eastAsia="zh-TW"/>
        </w:rPr>
      </w:pPr>
      <w:r w:rsidRPr="008F03E5">
        <w:rPr>
          <w:rFonts w:eastAsia="PMingLiU"/>
          <w:lang w:eastAsia="zh-TW"/>
        </w:rPr>
        <w:t>Aftah, Mufattah</w:t>
      </w:r>
      <w:r w:rsidRPr="008F03E5">
        <w:tab/>
      </w:r>
      <w:r w:rsidRPr="008F03E5">
        <w:rPr>
          <w:rFonts w:eastAsia="PMingLiU"/>
          <w:lang w:eastAsia="zh-TW"/>
        </w:rPr>
        <w:t>Af</w:t>
      </w:r>
      <w:r w:rsidRPr="008F03E5">
        <w:t>ṭ</w:t>
      </w:r>
      <w:r w:rsidRPr="008F03E5">
        <w:rPr>
          <w:rFonts w:eastAsia="PMingLiU"/>
          <w:lang w:eastAsia="zh-TW"/>
        </w:rPr>
        <w:t>a</w:t>
      </w:r>
      <w:r w:rsidRPr="008F03E5">
        <w:t>ḥ and Mufaṭṭaḥ</w:t>
      </w:r>
      <w:r w:rsidRPr="008F03E5">
        <w:tab/>
        <w:t>broad-headed, broad-nosed</w:t>
      </w:r>
    </w:p>
    <w:p w14:paraId="145BC196" w14:textId="77777777" w:rsidR="00625A5B" w:rsidRPr="008F03E5" w:rsidRDefault="00625A5B" w:rsidP="00F87A63">
      <w:pPr>
        <w:pStyle w:val="Translit"/>
        <w:rPr>
          <w:rFonts w:eastAsia="PMingLiU"/>
          <w:lang w:eastAsia="zh-TW"/>
        </w:rPr>
      </w:pPr>
      <w:r w:rsidRPr="008F03E5">
        <w:rPr>
          <w:rFonts w:eastAsia="PMingLiU"/>
          <w:lang w:eastAsia="zh-TW"/>
        </w:rPr>
        <w:t>Afus</w:t>
      </w:r>
      <w:r w:rsidRPr="008F03E5">
        <w:tab/>
      </w:r>
      <w:r w:rsidRPr="008F03E5">
        <w:rPr>
          <w:rFonts w:eastAsia="PMingLiU"/>
          <w:lang w:eastAsia="zh-TW"/>
        </w:rPr>
        <w:t>Afús</w:t>
      </w:r>
      <w:r w:rsidRPr="008F03E5">
        <w:tab/>
        <w:t xml:space="preserve">village 156 km </w:t>
      </w:r>
      <w:r w:rsidRPr="008F03E5">
        <w:rPr>
          <w:sz w:val="16"/>
          <w:szCs w:val="16"/>
        </w:rPr>
        <w:t>WNW</w:t>
      </w:r>
      <w:r w:rsidRPr="008F03E5">
        <w:t xml:space="preserve"> of Iṣfahán</w:t>
      </w:r>
    </w:p>
    <w:p w14:paraId="1F1E47D3" w14:textId="77777777" w:rsidR="00625A5B" w:rsidRPr="008F03E5" w:rsidRDefault="00625A5B" w:rsidP="00F87A63">
      <w:pPr>
        <w:pStyle w:val="Translit"/>
      </w:pPr>
      <w:r w:rsidRPr="008F03E5">
        <w:t>Afuw</w:t>
      </w:r>
      <w:r w:rsidRPr="008F03E5">
        <w:tab/>
        <w:t>‘Afúw</w:t>
      </w:r>
      <w:r w:rsidRPr="008F03E5">
        <w:tab/>
        <w:t>o</w:t>
      </w:r>
      <w:r w:rsidRPr="008F03E5">
        <w:rPr>
          <w:rFonts w:eastAsia="Times New Roman"/>
        </w:rPr>
        <w:t xml:space="preserve">ne who forgives much.  </w:t>
      </w:r>
      <w:r w:rsidRPr="008F03E5">
        <w:t>al-‘Afúw, attribute of God, The Pardoner, The Effacer, The Forgiver</w:t>
      </w:r>
    </w:p>
    <w:p w14:paraId="67B62332" w14:textId="77777777" w:rsidR="00625A5B" w:rsidRPr="008F03E5" w:rsidRDefault="00625A5B" w:rsidP="00F87A63">
      <w:pPr>
        <w:pStyle w:val="Translit"/>
      </w:pPr>
      <w:r w:rsidRPr="008F03E5">
        <w:t>Afw</w:t>
      </w:r>
      <w:r w:rsidRPr="008F03E5">
        <w:tab/>
        <w:t>‘Afw,</w:t>
      </w:r>
      <w:r w:rsidRPr="008F03E5">
        <w:rPr>
          <w:rFonts w:eastAsia="Times New Roman"/>
        </w:rPr>
        <w:t xml:space="preserve"> Pers. also ‘</w:t>
      </w:r>
      <w:r w:rsidRPr="008F03E5">
        <w:t>Afú, ‘Ufú</w:t>
      </w:r>
      <w:r w:rsidRPr="008F03E5">
        <w:tab/>
        <w:t>effacement, obliteration, elimination; pardon, forgiveness; waiver of punishment (Islamic Law); amnesty (for); boon, kindness, favour; surplus</w:t>
      </w:r>
    </w:p>
    <w:p w14:paraId="5171222F" w14:textId="77777777" w:rsidR="00625A5B" w:rsidRPr="008F03E5" w:rsidRDefault="00625A5B" w:rsidP="003B54AC">
      <w:pPr>
        <w:pStyle w:val="Translit"/>
      </w:pPr>
      <w:r w:rsidRPr="008F03E5">
        <w:t>Afyah, Fayha</w:t>
      </w:r>
      <w:r w:rsidRPr="008F03E5">
        <w:tab/>
        <w:t>Afyaḥ, fem. Fayḥá’</w:t>
      </w:r>
      <w:r w:rsidRPr="008F03E5">
        <w:tab/>
        <w:t>fragrant, redolent, aromatic, sweet-smelling; wide, vast, spacious, extensive.  al-Fayḥá’ (another name for Tripoli), because of the smell of the orange pollen from vast orange orchards that were in the area.  al-Fayḥá’ is a nickname of Damascus.</w:t>
      </w:r>
    </w:p>
    <w:p w14:paraId="7C3949ED" w14:textId="77777777" w:rsidR="00625A5B" w:rsidRPr="008F03E5" w:rsidRDefault="00625A5B" w:rsidP="00F87A63">
      <w:pPr>
        <w:pStyle w:val="Translit"/>
      </w:pPr>
      <w:r w:rsidRPr="008F03E5">
        <w:t>Agah</w:t>
      </w:r>
      <w:r w:rsidRPr="008F03E5">
        <w:tab/>
        <w:t>Ágáh</w:t>
      </w:r>
      <w:r w:rsidRPr="008F03E5">
        <w:tab/>
        <w:t>Pers. aware, wary; intelligent, knowing, acquainted with; prudent; vigilant, attentive; notice, news, indication, information</w:t>
      </w:r>
    </w:p>
    <w:p w14:paraId="3CD5F5AB" w14:textId="77777777" w:rsidR="00625A5B" w:rsidRPr="008F03E5" w:rsidRDefault="00625A5B" w:rsidP="00F87A63">
      <w:pPr>
        <w:pStyle w:val="Translit"/>
        <w:rPr>
          <w:rFonts w:eastAsia="PMingLiU"/>
          <w:lang w:eastAsia="zh-TW"/>
        </w:rPr>
      </w:pPr>
      <w:r w:rsidRPr="008F03E5">
        <w:rPr>
          <w:rFonts w:eastAsia="PMingLiU"/>
          <w:lang w:eastAsia="zh-TW"/>
        </w:rPr>
        <w:t>Agahu’llah</w:t>
      </w:r>
      <w:r w:rsidRPr="008F03E5">
        <w:tab/>
      </w:r>
      <w:r w:rsidRPr="008F03E5">
        <w:rPr>
          <w:rFonts w:eastAsia="PMingLiU"/>
          <w:lang w:eastAsia="zh-TW"/>
        </w:rPr>
        <w:t>Ágáhu’lláh</w:t>
      </w:r>
      <w:r w:rsidRPr="008F03E5">
        <w:tab/>
      </w:r>
      <w:r w:rsidRPr="008F03E5">
        <w:rPr>
          <w:rFonts w:eastAsia="PMingLiU"/>
          <w:lang w:eastAsia="zh-TW"/>
        </w:rPr>
        <w:t>Ágáhu’lláh Tízfahm, executed May 1982</w:t>
      </w:r>
    </w:p>
    <w:p w14:paraId="773E829A" w14:textId="77777777" w:rsidR="00625A5B" w:rsidRPr="008F03E5" w:rsidRDefault="00625A5B" w:rsidP="00F87A63">
      <w:pPr>
        <w:pStyle w:val="Translit"/>
        <w:rPr>
          <w:rFonts w:eastAsia="PMingLiU"/>
          <w:lang w:eastAsia="zh-TW"/>
        </w:rPr>
      </w:pPr>
      <w:r w:rsidRPr="008F03E5">
        <w:rPr>
          <w:rFonts w:eastAsia="PMingLiU"/>
          <w:lang w:eastAsia="zh-TW"/>
        </w:rPr>
        <w:t>Agar, Ar</w:t>
      </w:r>
      <w:r w:rsidRPr="008F03E5">
        <w:rPr>
          <w:rFonts w:eastAsia="PMingLiU"/>
          <w:lang w:eastAsia="zh-TW"/>
        </w:rPr>
        <w:tab/>
        <w:t>Agar, Ar</w:t>
      </w:r>
      <w:r w:rsidRPr="008F03E5">
        <w:rPr>
          <w:rFonts w:eastAsia="PMingLiU"/>
          <w:lang w:eastAsia="zh-TW"/>
        </w:rPr>
        <w:tab/>
        <w:t>Pers. if; although</w:t>
      </w:r>
    </w:p>
    <w:p w14:paraId="342533D9" w14:textId="77777777" w:rsidR="00625A5B" w:rsidRDefault="00625A5B" w:rsidP="0047219D">
      <w:pPr>
        <w:pStyle w:val="Translit"/>
        <w:rPr>
          <w:rFonts w:eastAsia="PMingLiU"/>
          <w:lang w:eastAsia="zh-TW"/>
        </w:rPr>
      </w:pPr>
      <w:r>
        <w:rPr>
          <w:rFonts w:eastAsia="PMingLiU"/>
          <w:lang w:eastAsia="zh-TW"/>
        </w:rPr>
        <w:t>Agarih (</w:t>
      </w:r>
      <w:r w:rsidRPr="00AD6915">
        <w:rPr>
          <w:rFonts w:eastAsia="PMingLiU"/>
          <w:lang w:eastAsia="zh-TW"/>
        </w:rPr>
        <w:t>Agareh</w:t>
      </w:r>
      <w:r>
        <w:rPr>
          <w:rFonts w:eastAsia="PMingLiU"/>
          <w:lang w:eastAsia="zh-TW"/>
        </w:rPr>
        <w:t>,</w:t>
      </w:r>
      <w:r w:rsidRPr="00AD6915">
        <w:rPr>
          <w:rFonts w:eastAsia="PMingLiU"/>
          <w:lang w:eastAsia="zh-TW"/>
        </w:rPr>
        <w:t xml:space="preserve"> Agira, Agreh)</w:t>
      </w:r>
      <w:r>
        <w:rPr>
          <w:rFonts w:eastAsia="PMingLiU"/>
          <w:lang w:eastAsia="zh-TW"/>
        </w:rPr>
        <w:tab/>
        <w:t>Agarih</w:t>
      </w:r>
      <w:r>
        <w:rPr>
          <w:rFonts w:eastAsia="PMingLiU"/>
          <w:lang w:eastAsia="zh-TW"/>
        </w:rPr>
        <w:tab/>
        <w:t>Pers. a tiny village (</w:t>
      </w:r>
      <w:r w:rsidRPr="00417520">
        <w:t>36.1595203, 53.832541</w:t>
      </w:r>
      <w:r>
        <w:rPr>
          <w:rFonts w:eastAsia="PMingLiU"/>
          <w:lang w:eastAsia="zh-TW"/>
        </w:rPr>
        <w:t xml:space="preserve">) 26 km </w:t>
      </w:r>
      <w:r w:rsidRPr="00417520">
        <w:rPr>
          <w:sz w:val="16"/>
          <w:szCs w:val="16"/>
        </w:rPr>
        <w:t>SW</w:t>
      </w:r>
      <w:r>
        <w:rPr>
          <w:rFonts w:eastAsia="PMingLiU"/>
          <w:lang w:eastAsia="zh-TW"/>
        </w:rPr>
        <w:t xml:space="preserve"> of </w:t>
      </w:r>
      <w:r w:rsidRPr="008F03E5">
        <w:rPr>
          <w:u w:val="single"/>
        </w:rPr>
        <w:t>Ch</w:t>
      </w:r>
      <w:r w:rsidRPr="008F03E5">
        <w:t>a</w:t>
      </w:r>
      <w:r w:rsidRPr="008F03E5">
        <w:rPr>
          <w:u w:val="single"/>
        </w:rPr>
        <w:t>sh</w:t>
      </w:r>
      <w:r w:rsidRPr="008F03E5">
        <w:t>mah-i-‘Alí</w:t>
      </w:r>
      <w:r>
        <w:t>,</w:t>
      </w:r>
      <w:r w:rsidRPr="00AD6915">
        <w:rPr>
          <w:rFonts w:eastAsia="PMingLiU"/>
          <w:lang w:eastAsia="zh-TW"/>
        </w:rPr>
        <w:t xml:space="preserve"> </w:t>
      </w:r>
      <w:r>
        <w:rPr>
          <w:rFonts w:eastAsia="PMingLiU"/>
          <w:lang w:eastAsia="zh-TW"/>
        </w:rPr>
        <w:t xml:space="preserve">in </w:t>
      </w:r>
      <w:r w:rsidRPr="00AD6915">
        <w:rPr>
          <w:rFonts w:eastAsia="PMingLiU"/>
          <w:lang w:eastAsia="zh-TW"/>
        </w:rPr>
        <w:t>Semnan Province</w:t>
      </w:r>
    </w:p>
    <w:p w14:paraId="1242E6DF" w14:textId="77777777" w:rsidR="00625A5B" w:rsidRPr="008F03E5" w:rsidRDefault="00625A5B" w:rsidP="00BB360B">
      <w:pPr>
        <w:pStyle w:val="Translit"/>
        <w:rPr>
          <w:rFonts w:eastAsia="PMingLiU"/>
          <w:lang w:eastAsia="zh-TW"/>
        </w:rPr>
      </w:pPr>
      <w:r w:rsidRPr="008F03E5">
        <w:rPr>
          <w:rFonts w:eastAsia="PMingLiU"/>
          <w:lang w:eastAsia="zh-TW"/>
        </w:rPr>
        <w:t>Agha, Aghawat, Aghayan</w:t>
      </w:r>
      <w:r w:rsidRPr="008F03E5">
        <w:tab/>
      </w:r>
      <w:r w:rsidRPr="008F03E5">
        <w:rPr>
          <w:rFonts w:eastAsia="PMingLiU"/>
          <w:lang w:eastAsia="zh-TW"/>
        </w:rPr>
        <w:t>Á</w:t>
      </w:r>
      <w:r w:rsidRPr="008F03E5">
        <w:rPr>
          <w:u w:val="single"/>
        </w:rPr>
        <w:t>gh</w:t>
      </w:r>
      <w:r w:rsidRPr="008F03E5">
        <w:t>á, pl. A</w:t>
      </w:r>
      <w:r w:rsidRPr="008F03E5">
        <w:rPr>
          <w:u w:val="single"/>
        </w:rPr>
        <w:t>gh</w:t>
      </w:r>
      <w:r w:rsidRPr="008F03E5">
        <w:t>awát, Pers. Á</w:t>
      </w:r>
      <w:r w:rsidRPr="008F03E5">
        <w:rPr>
          <w:u w:val="single"/>
        </w:rPr>
        <w:t>gh</w:t>
      </w:r>
      <w:r w:rsidRPr="008F03E5">
        <w:rPr>
          <w:rFonts w:eastAsia="PMingLiU"/>
          <w:lang w:eastAsia="zh-TW"/>
        </w:rPr>
        <w:t>áy</w:t>
      </w:r>
      <w:r w:rsidRPr="008F03E5">
        <w:t>á</w:t>
      </w:r>
      <w:r w:rsidRPr="008F03E5">
        <w:rPr>
          <w:rFonts w:eastAsia="PMingLiU"/>
          <w:lang w:eastAsia="zh-TW"/>
        </w:rPr>
        <w:t>n</w:t>
      </w:r>
      <w:r w:rsidRPr="008F03E5">
        <w:tab/>
        <w:t>lord, master, sir; eunuch serving at royal court, harem chamberlain.  Á</w:t>
      </w:r>
      <w:r w:rsidRPr="008F03E5">
        <w:rPr>
          <w:u w:val="single"/>
        </w:rPr>
        <w:t>gh</w:t>
      </w:r>
      <w:r w:rsidRPr="008F03E5">
        <w:t xml:space="preserve">á Muḥammad </w:t>
      </w:r>
      <w:r w:rsidRPr="008F03E5">
        <w:rPr>
          <w:u w:val="single"/>
        </w:rPr>
        <w:t>Kh</w:t>
      </w:r>
      <w:r w:rsidRPr="008F03E5">
        <w:t>án-i Qájár (14 March 1742–1797), castrated as a 6 year old, chieftain of the Quyúnlú branch of the Qájár tribe, as the founder of the Qájár dynasty of Iran (r. 1789–1797).  Similar to áqá.</w:t>
      </w:r>
    </w:p>
    <w:p w14:paraId="2B9FC717" w14:textId="77777777" w:rsidR="00625A5B" w:rsidRPr="008F03E5" w:rsidRDefault="00625A5B" w:rsidP="00E71117">
      <w:pPr>
        <w:pStyle w:val="Translit"/>
      </w:pPr>
      <w:r w:rsidRPr="008F03E5">
        <w:t>Aghar, Gharra’, Ghurr</w:t>
      </w:r>
      <w:r w:rsidRPr="008F03E5">
        <w:tab/>
        <w:t>A</w:t>
      </w:r>
      <w:r w:rsidRPr="008F03E5">
        <w:rPr>
          <w:u w:val="single"/>
        </w:rPr>
        <w:t>gh</w:t>
      </w:r>
      <w:r w:rsidRPr="008F03E5">
        <w:t xml:space="preserve">ar, fem. </w:t>
      </w:r>
      <w:r w:rsidRPr="008F03E5">
        <w:rPr>
          <w:u w:val="single"/>
        </w:rPr>
        <w:t>Gh</w:t>
      </w:r>
      <w:r w:rsidRPr="008F03E5">
        <w:t xml:space="preserve">arrā’, pl. </w:t>
      </w:r>
      <w:r w:rsidRPr="008F03E5">
        <w:rPr>
          <w:u w:val="single"/>
        </w:rPr>
        <w:t>Gh</w:t>
      </w:r>
      <w:r w:rsidRPr="008F03E5">
        <w:t>urr</w:t>
      </w:r>
      <w:r w:rsidRPr="008F03E5">
        <w:tab/>
        <w:t xml:space="preserve">white, bright; with a white spot on the forehead (a horse); having a blaze (horse); beautiful, handsome; magnanimous, generous; noble, illustrious; esteemed, honorable.  </w:t>
      </w:r>
      <w:r w:rsidRPr="008F03E5">
        <w:rPr>
          <w:u w:val="single"/>
        </w:rPr>
        <w:t>Gh</w:t>
      </w:r>
      <w:r w:rsidRPr="008F03E5">
        <w:t xml:space="preserve">arrá’ is a name of Madínah, hence Arḍ </w:t>
      </w:r>
      <w:r w:rsidRPr="008F03E5">
        <w:rPr>
          <w:u w:val="single"/>
        </w:rPr>
        <w:t>Gh</w:t>
      </w:r>
      <w:r w:rsidRPr="008F03E5">
        <w:t>arrá’.</w:t>
      </w:r>
    </w:p>
    <w:p w14:paraId="2BA57B2C" w14:textId="77777777" w:rsidR="00625A5B" w:rsidRPr="008F03E5" w:rsidRDefault="00625A5B" w:rsidP="00856C43">
      <w:pPr>
        <w:pStyle w:val="Translit"/>
      </w:pPr>
      <w:r w:rsidRPr="008F03E5">
        <w:t>AH</w:t>
      </w:r>
      <w:r w:rsidRPr="008F03E5">
        <w:tab/>
        <w:t>AH</w:t>
      </w:r>
      <w:r w:rsidRPr="008F03E5">
        <w:tab/>
      </w:r>
      <w:r w:rsidRPr="008F03E5">
        <w:rPr>
          <w:i/>
          <w:iCs/>
        </w:rPr>
        <w:t>Anno Hejirae</w:t>
      </w:r>
      <w:r w:rsidRPr="008F03E5">
        <w:t xml:space="preserve"> (Latin, “in the year of the Hijira”, used in the West)—precedes the date.  H or Hijra in the Islamic calendar.</w:t>
      </w:r>
    </w:p>
    <w:p w14:paraId="06731B35" w14:textId="77777777" w:rsidR="00625A5B" w:rsidRPr="008F03E5" w:rsidRDefault="00625A5B" w:rsidP="0059327B">
      <w:pPr>
        <w:pStyle w:val="Translit"/>
      </w:pPr>
      <w:r w:rsidRPr="008F03E5">
        <w:t>Ahad, Ihda</w:t>
      </w:r>
      <w:r w:rsidRPr="008F03E5">
        <w:tab/>
        <w:t>Aḥad, fem. Iḥdá, pl. Áḥád</w:t>
      </w:r>
      <w:r w:rsidRPr="008F03E5">
        <w:tab/>
        <w:t>one; somebody, someone, anybody, anyone (especially in negative sentences and questions).  al-Aḥad (“the only one”), an attribute of God.</w:t>
      </w:r>
    </w:p>
    <w:p w14:paraId="08E77A07" w14:textId="77777777" w:rsidR="00625A5B" w:rsidRPr="008F03E5" w:rsidRDefault="00625A5B" w:rsidP="00366D75">
      <w:pPr>
        <w:pStyle w:val="Translit"/>
      </w:pPr>
      <w:r w:rsidRPr="008F03E5">
        <w:t>Ahadiya (Ahadiyya)</w:t>
      </w:r>
      <w:r w:rsidRPr="008F03E5">
        <w:tab/>
        <w:t>Aḥadíya[h or t]</w:t>
      </w:r>
      <w:r w:rsidRPr="008F03E5">
        <w:tab/>
        <w:t>unity, oneness (also absolute unity),</w:t>
      </w:r>
      <w:r w:rsidRPr="008F03E5">
        <w:rPr>
          <w:rFonts w:eastAsia="Times New Roman"/>
        </w:rPr>
        <w:t xml:space="preserve"> singularity; concord, alliance</w:t>
      </w:r>
    </w:p>
    <w:p w14:paraId="334113BE" w14:textId="77777777" w:rsidR="00625A5B" w:rsidRPr="008F03E5" w:rsidRDefault="00625A5B" w:rsidP="001D0B24">
      <w:pPr>
        <w:pStyle w:val="Translit"/>
      </w:pPr>
      <w:r w:rsidRPr="008F03E5">
        <w:t>Ahamid (Ahamed)</w:t>
      </w:r>
      <w:r w:rsidRPr="008F03E5">
        <w:tab/>
        <w:t>Aḥamid</w:t>
      </w:r>
      <w:r w:rsidRPr="008F03E5">
        <w:tab/>
      </w:r>
      <w:r w:rsidRPr="008D5579">
        <w:t>powerful, authoritative or influential.</w:t>
      </w:r>
      <w:r>
        <w:t xml:space="preserve">  A variant used in the Indian region for A</w:t>
      </w:r>
      <w:r w:rsidRPr="008D5579">
        <w:t>ḥ</w:t>
      </w:r>
      <w:r>
        <w:t>mad.</w:t>
      </w:r>
    </w:p>
    <w:p w14:paraId="629F3883" w14:textId="77777777" w:rsidR="00625A5B" w:rsidRPr="008F03E5" w:rsidRDefault="00625A5B" w:rsidP="00F87A63">
      <w:pPr>
        <w:pStyle w:val="Translit"/>
      </w:pPr>
      <w:r w:rsidRPr="008F03E5">
        <w:t>Ahang</w:t>
      </w:r>
      <w:r w:rsidRPr="008F03E5">
        <w:tab/>
        <w:t>Áhang</w:t>
      </w:r>
      <w:r w:rsidRPr="008F03E5">
        <w:tab/>
        <w:t>Pers. concord, symphony, harmony, modulation, melody, pitch, tune; design, institution, purpose, intention; canon, regulation; rule, custom, manner of proceeding; a row, a series; the side (of a cistern); the curve or arch of a cupola or dome; a tether, stable, stall; haste, expedition; behold!</w:t>
      </w:r>
    </w:p>
    <w:p w14:paraId="1147E74A" w14:textId="77777777" w:rsidR="00625A5B" w:rsidRPr="008F03E5" w:rsidRDefault="00625A5B" w:rsidP="00F87A63">
      <w:pPr>
        <w:pStyle w:val="Translit"/>
      </w:pPr>
      <w:r w:rsidRPr="008F03E5">
        <w:t>Ahangar</w:t>
      </w:r>
      <w:r w:rsidRPr="008F03E5">
        <w:tab/>
        <w:t>Áhangar</w:t>
      </w:r>
      <w:r w:rsidRPr="008F03E5">
        <w:tab/>
        <w:t>Pers. blacksmith, a dealer in iron</w:t>
      </w:r>
    </w:p>
    <w:p w14:paraId="0E80B25D" w14:textId="77777777" w:rsidR="00625A5B" w:rsidRPr="008F03E5" w:rsidRDefault="00625A5B" w:rsidP="00007895">
      <w:pPr>
        <w:pStyle w:val="Translit"/>
      </w:pPr>
      <w:r w:rsidRPr="008F03E5">
        <w:t>Ahd, ‘Uhud</w:t>
      </w:r>
      <w:r w:rsidRPr="008F03E5">
        <w:tab/>
        <w:t>‘Ahd, pl. ‘Uhúd</w:t>
      </w:r>
      <w:r w:rsidRPr="008F03E5">
        <w:tab/>
        <w:t>knowledge; acquaintance, contact (with); the well-known, familiar nature (of something); close observance, strict adherence (to), keeping, fulfilment (of a promise); delegation, assignment, committing (of something to someone), vesting (in someone of something), commissioning, charging, entrusting (of someone with something); commission;</w:t>
      </w:r>
      <w:r w:rsidRPr="008F03E5">
        <w:rPr>
          <w:rFonts w:eastAsia="Times New Roman"/>
        </w:rPr>
        <w:t xml:space="preserve"> making a will or testament;</w:t>
      </w:r>
      <w:r w:rsidRPr="008F03E5">
        <w:t xml:space="preserve">—pl. commitment, obligation, liability; responsibility; pledge, vow; promise; oath; contract, compact, covenant, pact, treaty, agreement; time, epoch, era.  Meaning in Bahá’í Writings (see Kitáb-i-‘Ahd) is usually “covenant”.  Muḥammad is described as having an “unwritten Covenant” since He was unable to write it.  ibn al-‘Ahd Bahá’u’lláh, “The Child of the Covenant of Bahá’u’lláh” is the </w:t>
      </w:r>
      <w:r w:rsidRPr="008F03E5">
        <w:rPr>
          <w:i/>
          <w:iCs/>
        </w:rPr>
        <w:t>Will and Testament</w:t>
      </w:r>
      <w:r w:rsidRPr="008F03E5">
        <w:t xml:space="preserve"> of ‘Abdu’l-Bahá and the Bahá’í Administrative Order (</w:t>
      </w:r>
      <w:r w:rsidRPr="008F03E5">
        <w:rPr>
          <w:i/>
          <w:iCs/>
        </w:rPr>
        <w:t>God Passes By</w:t>
      </w:r>
      <w:r w:rsidRPr="008F03E5">
        <w:t>, p. 243)</w:t>
      </w:r>
    </w:p>
    <w:p w14:paraId="7A476143" w14:textId="77777777" w:rsidR="00625A5B" w:rsidRPr="008F03E5" w:rsidRDefault="00625A5B" w:rsidP="000E08BC">
      <w:pPr>
        <w:pStyle w:val="Translit"/>
        <w:rPr>
          <w:lang w:eastAsia="en-US"/>
        </w:rPr>
      </w:pPr>
      <w:r w:rsidRPr="008F03E5">
        <w:t>Ahda</w:t>
      </w:r>
      <w:r w:rsidRPr="008F03E5">
        <w:tab/>
        <w:t>Ahdá</w:t>
      </w:r>
      <w:r w:rsidRPr="008F03E5">
        <w:tab/>
        <w:t xml:space="preserve">better guided; more correct, more proper, better.  Qur’án 28:49:  Qur’án gives ahdá, “clearer” guidance; not afṣáḥ, “eloquent” language—this is the criterion for judging the </w:t>
      </w:r>
      <w:r w:rsidRPr="008F03E5">
        <w:rPr>
          <w:lang w:eastAsia="en-US"/>
        </w:rPr>
        <w:t>inimitability (i</w:t>
      </w:r>
      <w:r w:rsidRPr="008F03E5">
        <w:t>‘jáz</w:t>
      </w:r>
      <w:r w:rsidRPr="008F03E5">
        <w:rPr>
          <w:lang w:eastAsia="en-US"/>
        </w:rPr>
        <w:t xml:space="preserve">) of the Qur’án:  “its ability to guide humanity to the truth, to Allah and to salvation, its ability to inspire people with devotion and to constrain people to act in ways that are moral and righteous.”  </w:t>
      </w:r>
      <w:r w:rsidRPr="008F03E5">
        <w:rPr>
          <w:i/>
          <w:iCs/>
        </w:rPr>
        <w:t>Islam and the Bahá’í Faith</w:t>
      </w:r>
      <w:r w:rsidRPr="008F03E5">
        <w:rPr>
          <w:lang w:eastAsia="en-US"/>
        </w:rPr>
        <w:t>, p. 230.</w:t>
      </w:r>
    </w:p>
    <w:p w14:paraId="1F6B527C" w14:textId="77777777" w:rsidR="00625A5B" w:rsidRPr="008F03E5" w:rsidRDefault="00625A5B" w:rsidP="001F582F">
      <w:pPr>
        <w:pStyle w:val="Translit"/>
      </w:pPr>
      <w:r w:rsidRPr="008F03E5">
        <w:t>Ahdiya, Ahdiyih (Ahdieh)</w:t>
      </w:r>
      <w:r w:rsidRPr="008F03E5">
        <w:tab/>
        <w:t>‘Ahdiya[h or t], “Pers.” ‘Ahdiyih</w:t>
      </w:r>
      <w:r w:rsidRPr="008F03E5">
        <w:tab/>
        <w:t>the one who keeps his covenant or word, a faithful one.  Hushang Ahdieh.</w:t>
      </w:r>
    </w:p>
    <w:p w14:paraId="73481E5C" w14:textId="77777777" w:rsidR="00625A5B" w:rsidRPr="008F03E5" w:rsidRDefault="00625A5B" w:rsidP="00F87A63">
      <w:pPr>
        <w:pStyle w:val="Translit"/>
      </w:pPr>
      <w:r w:rsidRPr="008F03E5">
        <w:t>Ahi</w:t>
      </w:r>
      <w:r w:rsidRPr="008F03E5">
        <w:tab/>
        <w:t>Áhí</w:t>
      </w:r>
      <w:r w:rsidRPr="008F03E5">
        <w:tab/>
        <w:t>Pers. a fawn</w:t>
      </w:r>
    </w:p>
    <w:p w14:paraId="30C19BEB" w14:textId="77777777" w:rsidR="00625A5B" w:rsidRPr="008F03E5" w:rsidRDefault="00625A5B" w:rsidP="00F87A63">
      <w:pPr>
        <w:pStyle w:val="Translit"/>
      </w:pPr>
      <w:r w:rsidRPr="008F03E5">
        <w:t>Ahkam</w:t>
      </w:r>
      <w:r w:rsidRPr="008F03E5">
        <w:tab/>
        <w:t>Aḥkam</w:t>
      </w:r>
      <w:r w:rsidRPr="008F03E5">
        <w:tab/>
        <w:t>wiser, stronger, strongest; very firm; more, most, or very stable; most able to decide</w:t>
      </w:r>
    </w:p>
    <w:p w14:paraId="0E8760D0" w14:textId="77777777" w:rsidR="00625A5B" w:rsidRPr="008F03E5" w:rsidRDefault="00625A5B" w:rsidP="00F87A63">
      <w:pPr>
        <w:pStyle w:val="Translit"/>
      </w:pPr>
      <w:r w:rsidRPr="008F03E5">
        <w:t>Ahl al-Kisa’</w:t>
      </w:r>
      <w:r w:rsidRPr="008F03E5">
        <w:tab/>
        <w:t>Ahl al-Kisa’</w:t>
      </w:r>
      <w:r w:rsidRPr="008F03E5">
        <w:tab/>
        <w:t>people of the cloak:  Muḥammad; his daughter, Fáṭima; his cousin and son-in-law ‘Alí; and his two grandsons Ḥassan and Ḥusayn.</w:t>
      </w:r>
    </w:p>
    <w:p w14:paraId="7A99C840" w14:textId="77777777" w:rsidR="00625A5B" w:rsidRPr="008F03E5" w:rsidRDefault="00625A5B" w:rsidP="0017273D">
      <w:pPr>
        <w:pStyle w:val="Translit"/>
      </w:pPr>
      <w:r w:rsidRPr="008F03E5">
        <w:t>Ahl al-Kitab, Ahlu’l-Kitab</w:t>
      </w:r>
      <w:r w:rsidRPr="008F03E5">
        <w:tab/>
        <w:t>Ahl al-Kitáb, Ahlu’l-Kitáb</w:t>
      </w:r>
      <w:r w:rsidRPr="008F03E5">
        <w:tab/>
        <w:t>“people of the Book”.  Used by members of some Christian denominations to refer to themselves; used in Judaism to refer to the Jewish people; and an Islamic term that refers to Jews, Christians, Sabians and Zoroastrians.</w:t>
      </w:r>
    </w:p>
    <w:p w14:paraId="78A44465" w14:textId="77777777" w:rsidR="00625A5B" w:rsidRPr="008F03E5" w:rsidRDefault="00625A5B" w:rsidP="00F87A63">
      <w:pPr>
        <w:pStyle w:val="Translit"/>
      </w:pPr>
      <w:r w:rsidRPr="008F03E5">
        <w:t>Ahl at-Tariq</w:t>
      </w:r>
      <w:r w:rsidRPr="008F03E5">
        <w:tab/>
        <w:t>Ahl aṭ-Ṭaríq</w:t>
      </w:r>
      <w:r w:rsidRPr="008F03E5">
        <w:tab/>
        <w:t>“people of the path” or “people of true religion” (Islamic)</w:t>
      </w:r>
    </w:p>
    <w:p w14:paraId="50E0CE5A" w14:textId="77777777" w:rsidR="00625A5B" w:rsidRPr="008F03E5" w:rsidRDefault="00625A5B" w:rsidP="00F87A63">
      <w:pPr>
        <w:pStyle w:val="Translit"/>
      </w:pPr>
      <w:r w:rsidRPr="008F03E5">
        <w:t>Ahl, Ahlun, Ahalin, Ahali</w:t>
      </w:r>
      <w:r w:rsidRPr="008F03E5">
        <w:tab/>
        <w:t>Ahl, pl. Ahlún, Ahálin, Ahálí</w:t>
      </w:r>
      <w:r w:rsidRPr="008F03E5">
        <w:tab/>
        <w:t>relatives, folks, family; kin, kinfolk; wife; (with following genitive) people, members, followers, adherents, possessors, etc.; inhabitants; deserving, worthy (of something); fit, suited, qualified (for);—pl. the natives, the native population;—pl. ahálí</w:t>
      </w:r>
      <w:r w:rsidRPr="008F03E5">
        <w:rPr>
          <w:rFonts w:eastAsia="Times New Roman"/>
        </w:rPr>
        <w:t xml:space="preserve"> inhabitants, citizens, commons; persons, individuals, members; family-folk; consorts, spouses, wives; domestics, dependants, followers</w:t>
      </w:r>
    </w:p>
    <w:p w14:paraId="5B592FAE" w14:textId="77777777" w:rsidR="00625A5B" w:rsidRPr="008F03E5" w:rsidRDefault="00625A5B" w:rsidP="00F87A63">
      <w:pPr>
        <w:pStyle w:val="Translit"/>
      </w:pPr>
      <w:r w:rsidRPr="008F03E5">
        <w:t>Ahla</w:t>
      </w:r>
      <w:r w:rsidRPr="008F03E5">
        <w:tab/>
        <w:t>Aḥlá</w:t>
      </w:r>
      <w:r w:rsidRPr="008F03E5">
        <w:tab/>
      </w:r>
      <w:r w:rsidRPr="008F03E5">
        <w:rPr>
          <w:rFonts w:eastAsia="Times New Roman"/>
        </w:rPr>
        <w:t>more or most sweet, sweeter</w:t>
      </w:r>
    </w:p>
    <w:p w14:paraId="07871003" w14:textId="77777777" w:rsidR="00625A5B" w:rsidRPr="008F03E5" w:rsidRDefault="00625A5B" w:rsidP="00F87A63">
      <w:pPr>
        <w:pStyle w:val="Translit"/>
      </w:pPr>
      <w:r w:rsidRPr="008F03E5">
        <w:t>Ahli</w:t>
      </w:r>
      <w:r w:rsidRPr="008F03E5">
        <w:tab/>
        <w:t>Ahli</w:t>
      </w:r>
      <w:r w:rsidRPr="008F03E5">
        <w:tab/>
        <w:t>(the) people, or (of the) people</w:t>
      </w:r>
    </w:p>
    <w:p w14:paraId="637E08D9" w14:textId="77777777" w:rsidR="00625A5B" w:rsidRPr="008F03E5" w:rsidRDefault="00625A5B" w:rsidP="00F87A63">
      <w:pPr>
        <w:pStyle w:val="Translit"/>
      </w:pPr>
      <w:r w:rsidRPr="008F03E5">
        <w:t>Ahli</w:t>
      </w:r>
      <w:r w:rsidRPr="008F03E5">
        <w:tab/>
        <w:t>Ahlí</w:t>
      </w:r>
      <w:r w:rsidRPr="008F03E5">
        <w:tab/>
        <w:t>domestic, family (adjective); native, resident; indigenous; home, national</w:t>
      </w:r>
    </w:p>
    <w:p w14:paraId="75264ACA" w14:textId="77777777" w:rsidR="00625A5B" w:rsidRPr="008F03E5" w:rsidRDefault="00625A5B" w:rsidP="00F87A63">
      <w:pPr>
        <w:pStyle w:val="Translit"/>
      </w:pPr>
      <w:r w:rsidRPr="008F03E5">
        <w:t>Ahl-i-Baha</w:t>
      </w:r>
      <w:r w:rsidRPr="008F03E5">
        <w:tab/>
        <w:t>Ahl-i-Bahá</w:t>
      </w:r>
      <w:r w:rsidRPr="008F03E5">
        <w:tab/>
        <w:t>“people of Bahá”</w:t>
      </w:r>
    </w:p>
    <w:p w14:paraId="59101F0B" w14:textId="77777777" w:rsidR="00625A5B" w:rsidRPr="008F03E5" w:rsidRDefault="00625A5B" w:rsidP="00F87A63">
      <w:pPr>
        <w:pStyle w:val="Translit"/>
      </w:pPr>
      <w:r w:rsidRPr="008F03E5">
        <w:t>Ahl-i-Bayan</w:t>
      </w:r>
      <w:r w:rsidRPr="008F03E5">
        <w:tab/>
        <w:t>Ahl-i-Bayán</w:t>
      </w:r>
      <w:r w:rsidRPr="008F03E5">
        <w:tab/>
        <w:t>“people of the Bayán”</w:t>
      </w:r>
    </w:p>
    <w:p w14:paraId="5A83C5FB" w14:textId="77777777" w:rsidR="00625A5B" w:rsidRPr="008F03E5" w:rsidRDefault="00625A5B" w:rsidP="00F87A63">
      <w:pPr>
        <w:pStyle w:val="Translit"/>
      </w:pPr>
      <w:r w:rsidRPr="008F03E5">
        <w:t>Ahl-i-Haqq</w:t>
      </w:r>
      <w:r w:rsidRPr="008F03E5">
        <w:tab/>
        <w:t>Ahl-i-Ḥaqq</w:t>
      </w:r>
      <w:r w:rsidRPr="008F03E5">
        <w:tab/>
        <w:t>“people of the truth”</w:t>
      </w:r>
    </w:p>
    <w:p w14:paraId="0C4F17FC" w14:textId="77777777" w:rsidR="00625A5B" w:rsidRPr="008F03E5" w:rsidRDefault="00625A5B" w:rsidP="00E06F58">
      <w:pPr>
        <w:pStyle w:val="Translit"/>
        <w:rPr>
          <w:u w:val="single"/>
        </w:rPr>
      </w:pPr>
      <w:r w:rsidRPr="008F03E5">
        <w:t>Ahmad al-Ahsa’i, Shaykh</w:t>
      </w:r>
      <w:r w:rsidRPr="008F03E5">
        <w:tab/>
        <w:t xml:space="preserve">Aḥmad al-Aḥsá’í, </w:t>
      </w:r>
      <w:r w:rsidRPr="008F03E5">
        <w:rPr>
          <w:u w:val="single"/>
        </w:rPr>
        <w:t>Sh</w:t>
      </w:r>
      <w:r w:rsidRPr="008F03E5">
        <w:t>ay</w:t>
      </w:r>
      <w:r w:rsidRPr="008F03E5">
        <w:rPr>
          <w:u w:val="single"/>
        </w:rPr>
        <w:t>kh</w:t>
      </w:r>
      <w:r w:rsidRPr="008F03E5">
        <w:tab/>
        <w:t xml:space="preserve">Aḥmad b. Zayn ad-Dín b. Ibráhím al-‘Aḥsá’í known as </w:t>
      </w:r>
      <w:r w:rsidRPr="008F03E5">
        <w:rPr>
          <w:u w:val="single"/>
        </w:rPr>
        <w:t>Sh</w:t>
      </w:r>
      <w:r w:rsidRPr="008F03E5">
        <w:t>ay</w:t>
      </w:r>
      <w:r w:rsidRPr="008F03E5">
        <w:rPr>
          <w:u w:val="single"/>
        </w:rPr>
        <w:t>kh</w:t>
      </w:r>
      <w:r w:rsidRPr="008F03E5">
        <w:t xml:space="preserve"> Aḥmad al-Aḥsá’í (1753–1826).  Born in the village of al-Mutayrifí (25.478801, 49.557241), and died in Hadíyah (25.533908, 38.749569), Saudi Arabia, about 140 km </w:t>
      </w:r>
      <w:r w:rsidRPr="008F03E5">
        <w:rPr>
          <w:sz w:val="16"/>
          <w:szCs w:val="16"/>
        </w:rPr>
        <w:t>NW</w:t>
      </w:r>
      <w:r w:rsidRPr="008F03E5">
        <w:t xml:space="preserve"> of Medina.  He is buried in the cemetery of </w:t>
      </w:r>
      <w:r>
        <w:t>al-</w:t>
      </w:r>
      <w:r w:rsidRPr="008F03E5">
        <w:t xml:space="preserve">Baqí‘ (24.46713, 39.616360) in Medina.  The first of the “twin resplendent lights” (Bábayn, two gates) who taught their followers that the coming of the Promised One of Islam (the Báb) was at hand and prepared them for His advent.  Founder of the 19th-century </w:t>
      </w:r>
      <w:r w:rsidRPr="008F03E5">
        <w:rPr>
          <w:u w:val="single"/>
        </w:rPr>
        <w:t>Sh</w:t>
      </w:r>
      <w:r w:rsidRPr="008F03E5">
        <w:t>í‘í Shaykhism (a</w:t>
      </w:r>
      <w:r w:rsidRPr="008F03E5">
        <w:rPr>
          <w:u w:val="single"/>
        </w:rPr>
        <w:t>sh</w:t>
      </w:r>
      <w:r w:rsidRPr="008F03E5">
        <w:t>-</w:t>
      </w:r>
      <w:r w:rsidRPr="008F03E5">
        <w:rPr>
          <w:u w:val="single"/>
        </w:rPr>
        <w:t>Sh</w:t>
      </w:r>
      <w:r w:rsidRPr="008F03E5">
        <w:t>ay</w:t>
      </w:r>
      <w:r w:rsidRPr="008F03E5">
        <w:rPr>
          <w:u w:val="single"/>
        </w:rPr>
        <w:t>kh</w:t>
      </w:r>
      <w:r w:rsidRPr="008F03E5">
        <w:t>iya[h]), whose followers are known as Shaykh</w:t>
      </w:r>
      <w:r>
        <w:t>i</w:t>
      </w:r>
      <w:r w:rsidRPr="008F03E5">
        <w:t>s (</w:t>
      </w:r>
      <w:r w:rsidRPr="008F03E5">
        <w:rPr>
          <w:u w:val="single"/>
        </w:rPr>
        <w:t>Sh</w:t>
      </w:r>
      <w:r w:rsidRPr="008F03E5">
        <w:t>ay</w:t>
      </w:r>
      <w:r w:rsidRPr="008F03E5">
        <w:rPr>
          <w:u w:val="single"/>
        </w:rPr>
        <w:t>kh</w:t>
      </w:r>
      <w:r w:rsidRPr="008F03E5">
        <w:t>iyún).  For successor, see Siyyid Káẓim Ra</w:t>
      </w:r>
      <w:r w:rsidRPr="008F03E5">
        <w:rPr>
          <w:u w:val="single"/>
        </w:rPr>
        <w:t>sh</w:t>
      </w:r>
      <w:r w:rsidRPr="008F03E5">
        <w:t>tí.</w:t>
      </w:r>
    </w:p>
    <w:p w14:paraId="5157E44E" w14:textId="77777777" w:rsidR="00625A5B" w:rsidRPr="008F03E5" w:rsidRDefault="00625A5B" w:rsidP="00F87A63">
      <w:pPr>
        <w:pStyle w:val="Translit"/>
      </w:pPr>
      <w:r w:rsidRPr="008F03E5">
        <w:t>Ahmad Big Tawfiq</w:t>
      </w:r>
      <w:r w:rsidRPr="008F03E5">
        <w:tab/>
        <w:t>Aḥmad Big Tawfíq</w:t>
      </w:r>
      <w:r w:rsidRPr="008F03E5">
        <w:tab/>
      </w:r>
    </w:p>
    <w:p w14:paraId="33DE624C" w14:textId="77777777" w:rsidR="00625A5B" w:rsidRPr="008F03E5" w:rsidRDefault="00625A5B" w:rsidP="00F87A63">
      <w:pPr>
        <w:pStyle w:val="Translit"/>
      </w:pPr>
      <w:r w:rsidRPr="008F03E5">
        <w:rPr>
          <w:lang w:eastAsia="en-US"/>
        </w:rPr>
        <w:t>Ahmad Sohrab</w:t>
      </w:r>
      <w:r w:rsidRPr="008F03E5">
        <w:rPr>
          <w:lang w:eastAsia="en-US"/>
        </w:rPr>
        <w:tab/>
        <w:t>Ahmad Sohrab</w:t>
      </w:r>
      <w:r w:rsidRPr="008F03E5">
        <w:rPr>
          <w:lang w:eastAsia="en-US"/>
        </w:rPr>
        <w:tab/>
        <w:t>M</w:t>
      </w:r>
      <w:r w:rsidRPr="008F03E5">
        <w:t>í</w:t>
      </w:r>
      <w:r w:rsidRPr="008F03E5">
        <w:rPr>
          <w:lang w:eastAsia="en-US"/>
        </w:rPr>
        <w:t>rz</w:t>
      </w:r>
      <w:r w:rsidRPr="008F03E5">
        <w:t>á</w:t>
      </w:r>
      <w:r w:rsidRPr="008F03E5">
        <w:rPr>
          <w:lang w:eastAsia="en-US"/>
        </w:rPr>
        <w:t xml:space="preserve"> Aḥmad-i-I</w:t>
      </w:r>
      <w:r w:rsidRPr="008F03E5">
        <w:t>ṣ</w:t>
      </w:r>
      <w:r w:rsidRPr="008F03E5">
        <w:rPr>
          <w:lang w:eastAsia="en-US"/>
        </w:rPr>
        <w:t>fahání</w:t>
      </w:r>
      <w:r w:rsidRPr="008F03E5">
        <w:t xml:space="preserve"> (1893–1958).  Later adopted the name </w:t>
      </w:r>
      <w:r w:rsidRPr="008F03E5">
        <w:rPr>
          <w:lang w:eastAsia="en-US"/>
        </w:rPr>
        <w:t>Ahmad Sohrab.  Was declared a Covenant-breaker by Shoghi Effendi in 1939.</w:t>
      </w:r>
    </w:p>
    <w:p w14:paraId="756DCEE7" w14:textId="77777777" w:rsidR="00625A5B" w:rsidRPr="008F03E5" w:rsidRDefault="00625A5B" w:rsidP="00F8389A">
      <w:pPr>
        <w:pStyle w:val="Translit"/>
      </w:pPr>
      <w:r w:rsidRPr="008F03E5">
        <w:t>Ahmad, Ahamid (Ahamed)</w:t>
      </w:r>
      <w:r w:rsidRPr="008F03E5">
        <w:tab/>
        <w:t>Aḥmad, pl. Aḥamíd</w:t>
      </w:r>
      <w:r w:rsidRPr="008F03E5">
        <w:tab/>
        <w:t>more laudable, more commendable, more praised [comparative form of ‘ḥamida’ (to praise)]—a title of Muḥammad</w:t>
      </w:r>
    </w:p>
    <w:p w14:paraId="10A77732" w14:textId="77777777" w:rsidR="00625A5B" w:rsidRPr="00D45A23" w:rsidRDefault="00625A5B" w:rsidP="00F87A63">
      <w:pPr>
        <w:pStyle w:val="Translit"/>
        <w:rPr>
          <w:rFonts w:eastAsia="PMingLiU"/>
          <w:lang w:val="it-IT" w:eastAsia="zh-TW"/>
        </w:rPr>
      </w:pPr>
      <w:r w:rsidRPr="00D45A23">
        <w:rPr>
          <w:rFonts w:eastAsia="PMingLiU"/>
          <w:lang w:val="it-IT" w:eastAsia="zh-TW"/>
        </w:rPr>
        <w:t>Ahmad-i-‘Allaf</w:t>
      </w:r>
      <w:r w:rsidRPr="00D45A23">
        <w:rPr>
          <w:lang w:val="it-IT"/>
        </w:rPr>
        <w:tab/>
      </w:r>
      <w:r w:rsidRPr="00D45A23">
        <w:rPr>
          <w:rFonts w:eastAsia="PMingLiU"/>
          <w:lang w:val="it-IT" w:eastAsia="zh-TW"/>
        </w:rPr>
        <w:t>A</w:t>
      </w:r>
      <w:r w:rsidRPr="00D45A23">
        <w:rPr>
          <w:lang w:val="it-IT"/>
        </w:rPr>
        <w:t>ḥ</w:t>
      </w:r>
      <w:r w:rsidRPr="00D45A23">
        <w:rPr>
          <w:rFonts w:eastAsia="PMingLiU"/>
          <w:lang w:val="it-IT" w:eastAsia="zh-TW"/>
        </w:rPr>
        <w:t>mad-i-‘Alláf</w:t>
      </w:r>
      <w:r w:rsidRPr="00D45A23">
        <w:rPr>
          <w:lang w:val="it-IT"/>
        </w:rPr>
        <w:tab/>
      </w:r>
    </w:p>
    <w:p w14:paraId="039475A3" w14:textId="77777777" w:rsidR="00625A5B" w:rsidRPr="00D45A23" w:rsidRDefault="00625A5B" w:rsidP="00F87A63">
      <w:pPr>
        <w:pStyle w:val="Translit"/>
        <w:rPr>
          <w:lang w:val="it-IT"/>
        </w:rPr>
      </w:pPr>
      <w:r w:rsidRPr="00D45A23">
        <w:rPr>
          <w:lang w:val="it-IT"/>
        </w:rPr>
        <w:t>Ahmad-i-Azghandi</w:t>
      </w:r>
      <w:r w:rsidRPr="00D45A23">
        <w:rPr>
          <w:lang w:val="it-IT"/>
        </w:rPr>
        <w:tab/>
        <w:t>Aḥmad-i-Az</w:t>
      </w:r>
      <w:r w:rsidRPr="00D45A23">
        <w:rPr>
          <w:u w:val="single"/>
          <w:lang w:val="it-IT"/>
        </w:rPr>
        <w:t>gh</w:t>
      </w:r>
      <w:r w:rsidRPr="00D45A23">
        <w:rPr>
          <w:lang w:val="it-IT"/>
        </w:rPr>
        <w:t>andí</w:t>
      </w:r>
      <w:r w:rsidRPr="00D45A23">
        <w:rPr>
          <w:lang w:val="it-IT"/>
        </w:rPr>
        <w:tab/>
      </w:r>
    </w:p>
    <w:p w14:paraId="717191BA" w14:textId="77777777" w:rsidR="00625A5B" w:rsidRPr="00D45A23" w:rsidRDefault="00625A5B" w:rsidP="00F87A63">
      <w:pPr>
        <w:pStyle w:val="Translit"/>
        <w:rPr>
          <w:rFonts w:eastAsia="PMingLiU"/>
          <w:lang w:val="it-IT" w:eastAsia="zh-TW"/>
        </w:rPr>
      </w:pPr>
      <w:r w:rsidRPr="00D45A23">
        <w:rPr>
          <w:rFonts w:eastAsia="PMingLiU"/>
          <w:lang w:val="it-IT" w:eastAsia="zh-TW"/>
        </w:rPr>
        <w:t>Ahmad-i-Bahrayn</w:t>
      </w:r>
      <w:r w:rsidRPr="00D45A23">
        <w:rPr>
          <w:lang w:val="it-IT"/>
        </w:rPr>
        <w:t>i</w:t>
      </w:r>
      <w:r w:rsidRPr="00D45A23">
        <w:rPr>
          <w:lang w:val="it-IT"/>
        </w:rPr>
        <w:tab/>
      </w:r>
      <w:r w:rsidRPr="00D45A23">
        <w:rPr>
          <w:rFonts w:eastAsia="PMingLiU"/>
          <w:lang w:val="it-IT" w:eastAsia="zh-TW"/>
        </w:rPr>
        <w:t>A</w:t>
      </w:r>
      <w:r w:rsidRPr="00D45A23">
        <w:rPr>
          <w:lang w:val="it-IT"/>
        </w:rPr>
        <w:t>ḥ</w:t>
      </w:r>
      <w:r w:rsidRPr="00D45A23">
        <w:rPr>
          <w:rFonts w:eastAsia="PMingLiU"/>
          <w:lang w:val="it-IT" w:eastAsia="zh-TW"/>
        </w:rPr>
        <w:t>mad-i-Ba</w:t>
      </w:r>
      <w:r w:rsidRPr="00D45A23">
        <w:rPr>
          <w:lang w:val="it-IT"/>
        </w:rPr>
        <w:t>ḥ</w:t>
      </w:r>
      <w:r w:rsidRPr="00D45A23">
        <w:rPr>
          <w:rFonts w:eastAsia="PMingLiU"/>
          <w:lang w:val="it-IT" w:eastAsia="zh-TW"/>
        </w:rPr>
        <w:t>rayn</w:t>
      </w:r>
      <w:r w:rsidRPr="00D45A23">
        <w:rPr>
          <w:lang w:val="it-IT"/>
        </w:rPr>
        <w:t>í</w:t>
      </w:r>
      <w:r w:rsidRPr="00D45A23">
        <w:rPr>
          <w:lang w:val="it-IT"/>
        </w:rPr>
        <w:tab/>
      </w:r>
    </w:p>
    <w:p w14:paraId="2CF09085" w14:textId="77777777" w:rsidR="00625A5B" w:rsidRPr="00D45A23" w:rsidRDefault="00625A5B" w:rsidP="00F87A63">
      <w:pPr>
        <w:pStyle w:val="Translit"/>
        <w:rPr>
          <w:rFonts w:eastAsia="PMingLiU"/>
          <w:lang w:val="it-IT" w:eastAsia="zh-TW"/>
        </w:rPr>
      </w:pPr>
      <w:r w:rsidRPr="00D45A23">
        <w:rPr>
          <w:rFonts w:eastAsia="PMingLiU"/>
          <w:lang w:val="it-IT" w:eastAsia="zh-TW"/>
        </w:rPr>
        <w:t>Ahmad-ibn-i-Ab</w:t>
      </w:r>
      <w:r w:rsidRPr="00D45A23">
        <w:rPr>
          <w:lang w:val="it-IT"/>
        </w:rPr>
        <w:t>i</w:t>
      </w:r>
      <w:r w:rsidRPr="00D45A23">
        <w:rPr>
          <w:rFonts w:eastAsia="PMingLiU"/>
          <w:lang w:val="it-IT" w:eastAsia="zh-TW"/>
        </w:rPr>
        <w:t>-T</w:t>
      </w:r>
      <w:r w:rsidRPr="00D45A23">
        <w:rPr>
          <w:lang w:val="it-IT"/>
        </w:rPr>
        <w:t>a</w:t>
      </w:r>
      <w:r w:rsidRPr="00D45A23">
        <w:rPr>
          <w:rFonts w:eastAsia="PMingLiU"/>
          <w:lang w:val="it-IT" w:eastAsia="zh-TW"/>
        </w:rPr>
        <w:t>lib-i-Tabars</w:t>
      </w:r>
      <w:r w:rsidRPr="00D45A23">
        <w:rPr>
          <w:lang w:val="it-IT"/>
        </w:rPr>
        <w:t>i</w:t>
      </w:r>
      <w:r w:rsidRPr="00D45A23">
        <w:rPr>
          <w:lang w:val="it-IT"/>
        </w:rPr>
        <w:tab/>
      </w:r>
      <w:r w:rsidRPr="00D45A23">
        <w:rPr>
          <w:rFonts w:eastAsia="PMingLiU"/>
          <w:lang w:val="it-IT" w:eastAsia="zh-TW"/>
        </w:rPr>
        <w:t>A</w:t>
      </w:r>
      <w:r w:rsidRPr="00D45A23">
        <w:rPr>
          <w:lang w:val="it-IT"/>
        </w:rPr>
        <w:t>ḥ</w:t>
      </w:r>
      <w:r w:rsidRPr="00D45A23">
        <w:rPr>
          <w:rFonts w:eastAsia="PMingLiU"/>
          <w:lang w:val="it-IT" w:eastAsia="zh-TW"/>
        </w:rPr>
        <w:t>mad-ibn-i-Ab</w:t>
      </w:r>
      <w:r w:rsidRPr="00D45A23">
        <w:rPr>
          <w:lang w:val="it-IT"/>
        </w:rPr>
        <w:t>í</w:t>
      </w:r>
      <w:r w:rsidRPr="00D45A23">
        <w:rPr>
          <w:rFonts w:eastAsia="PMingLiU"/>
          <w:lang w:val="it-IT" w:eastAsia="zh-TW"/>
        </w:rPr>
        <w:t>-</w:t>
      </w:r>
      <w:r w:rsidRPr="00D45A23">
        <w:rPr>
          <w:lang w:val="it-IT"/>
        </w:rPr>
        <w:t>Ṭá</w:t>
      </w:r>
      <w:r w:rsidRPr="00D45A23">
        <w:rPr>
          <w:rFonts w:eastAsia="PMingLiU"/>
          <w:lang w:val="it-IT" w:eastAsia="zh-TW"/>
        </w:rPr>
        <w:t>lib-i-</w:t>
      </w:r>
      <w:r w:rsidRPr="00D45A23">
        <w:rPr>
          <w:lang w:val="it-IT"/>
        </w:rPr>
        <w:t>Ṭ</w:t>
      </w:r>
      <w:r w:rsidRPr="00D45A23">
        <w:rPr>
          <w:rFonts w:eastAsia="PMingLiU"/>
          <w:lang w:val="it-IT" w:eastAsia="zh-TW"/>
        </w:rPr>
        <w:t>abars</w:t>
      </w:r>
      <w:r w:rsidRPr="00D45A23">
        <w:rPr>
          <w:lang w:val="it-IT"/>
        </w:rPr>
        <w:t>í</w:t>
      </w:r>
      <w:r w:rsidRPr="00D45A23">
        <w:rPr>
          <w:lang w:val="it-IT"/>
        </w:rPr>
        <w:tab/>
      </w:r>
    </w:p>
    <w:p w14:paraId="23E51336" w14:textId="77777777" w:rsidR="00625A5B" w:rsidRPr="00D45A23" w:rsidRDefault="00625A5B" w:rsidP="00F87A63">
      <w:pPr>
        <w:pStyle w:val="Translit"/>
        <w:rPr>
          <w:lang w:val="it-IT"/>
        </w:rPr>
      </w:pPr>
      <w:r w:rsidRPr="00D45A23">
        <w:rPr>
          <w:rFonts w:eastAsia="PMingLiU"/>
          <w:lang w:val="it-IT" w:eastAsia="zh-TW"/>
        </w:rPr>
        <w:t>Ahmad-i-Ibd</w:t>
      </w:r>
      <w:r w:rsidRPr="00D45A23">
        <w:rPr>
          <w:lang w:val="it-IT"/>
        </w:rPr>
        <w:t>a</w:t>
      </w:r>
      <w:r w:rsidRPr="00D45A23">
        <w:rPr>
          <w:rFonts w:eastAsia="PMingLiU"/>
          <w:lang w:val="it-IT" w:eastAsia="zh-TW"/>
        </w:rPr>
        <w:t>l</w:t>
      </w:r>
      <w:r w:rsidRPr="00D45A23">
        <w:rPr>
          <w:lang w:val="it-IT"/>
        </w:rPr>
        <w:tab/>
      </w:r>
      <w:r w:rsidRPr="00D45A23">
        <w:rPr>
          <w:rFonts w:eastAsia="PMingLiU"/>
          <w:lang w:val="it-IT" w:eastAsia="zh-TW"/>
        </w:rPr>
        <w:t>A</w:t>
      </w:r>
      <w:r w:rsidRPr="00D45A23">
        <w:rPr>
          <w:lang w:val="it-IT"/>
        </w:rPr>
        <w:t>ḥ</w:t>
      </w:r>
      <w:r w:rsidRPr="00D45A23">
        <w:rPr>
          <w:rFonts w:eastAsia="PMingLiU"/>
          <w:lang w:val="it-IT" w:eastAsia="zh-TW"/>
        </w:rPr>
        <w:t>mad-i-Ibd</w:t>
      </w:r>
      <w:r w:rsidRPr="00D45A23">
        <w:rPr>
          <w:lang w:val="it-IT"/>
        </w:rPr>
        <w:t>á</w:t>
      </w:r>
      <w:r w:rsidRPr="00D45A23">
        <w:rPr>
          <w:rFonts w:eastAsia="PMingLiU"/>
          <w:lang w:val="it-IT" w:eastAsia="zh-TW"/>
        </w:rPr>
        <w:t>l</w:t>
      </w:r>
      <w:r w:rsidRPr="00D45A23">
        <w:rPr>
          <w:lang w:val="it-IT"/>
        </w:rPr>
        <w:tab/>
      </w:r>
    </w:p>
    <w:p w14:paraId="261ED0BE" w14:textId="77777777" w:rsidR="00625A5B" w:rsidRPr="00D45A23" w:rsidRDefault="00625A5B" w:rsidP="00F87A63">
      <w:pPr>
        <w:pStyle w:val="Translit"/>
        <w:rPr>
          <w:lang w:val="it-IT" w:eastAsia="zh-TW"/>
        </w:rPr>
      </w:pPr>
      <w:r w:rsidRPr="00D45A23">
        <w:rPr>
          <w:lang w:val="it-IT" w:eastAsia="zh-TW"/>
        </w:rPr>
        <w:t>Ahmad-i-Ibd</w:t>
      </w:r>
      <w:r w:rsidRPr="00D45A23">
        <w:rPr>
          <w:lang w:val="it-IT"/>
        </w:rPr>
        <w:t>a</w:t>
      </w:r>
      <w:r w:rsidRPr="00D45A23">
        <w:rPr>
          <w:lang w:val="it-IT" w:eastAsia="zh-TW"/>
        </w:rPr>
        <w:t>l-i-Mar</w:t>
      </w:r>
      <w:r w:rsidRPr="00D45A23">
        <w:rPr>
          <w:lang w:val="it-IT"/>
        </w:rPr>
        <w:t>a</w:t>
      </w:r>
      <w:r w:rsidRPr="00D45A23">
        <w:rPr>
          <w:lang w:val="it-IT" w:eastAsia="zh-TW"/>
        </w:rPr>
        <w:t>ghi’</w:t>
      </w:r>
      <w:r w:rsidRPr="00D45A23">
        <w:rPr>
          <w:lang w:val="it-IT"/>
        </w:rPr>
        <w:t>i</w:t>
      </w:r>
      <w:r w:rsidRPr="00D45A23">
        <w:rPr>
          <w:lang w:val="it-IT"/>
        </w:rPr>
        <w:tab/>
      </w:r>
      <w:r w:rsidRPr="00D45A23">
        <w:rPr>
          <w:lang w:val="it-IT" w:eastAsia="zh-TW"/>
        </w:rPr>
        <w:t>A</w:t>
      </w:r>
      <w:r w:rsidRPr="00D45A23">
        <w:rPr>
          <w:lang w:val="it-IT"/>
        </w:rPr>
        <w:t>ḥ</w:t>
      </w:r>
      <w:r w:rsidRPr="00D45A23">
        <w:rPr>
          <w:lang w:val="it-IT" w:eastAsia="zh-TW"/>
        </w:rPr>
        <w:t>mad-i-Ibd</w:t>
      </w:r>
      <w:r w:rsidRPr="00D45A23">
        <w:rPr>
          <w:lang w:val="it-IT"/>
        </w:rPr>
        <w:t>á</w:t>
      </w:r>
      <w:r w:rsidRPr="00D45A23">
        <w:rPr>
          <w:lang w:val="it-IT" w:eastAsia="zh-TW"/>
        </w:rPr>
        <w:t>l-i-Mar</w:t>
      </w:r>
      <w:r w:rsidRPr="00D45A23">
        <w:rPr>
          <w:lang w:val="it-IT"/>
        </w:rPr>
        <w:t>á</w:t>
      </w:r>
      <w:r w:rsidRPr="00D45A23">
        <w:rPr>
          <w:u w:val="single"/>
          <w:lang w:val="it-IT"/>
        </w:rPr>
        <w:t>gh</w:t>
      </w:r>
      <w:r w:rsidRPr="00D45A23">
        <w:rPr>
          <w:lang w:val="it-IT" w:eastAsia="zh-TW"/>
        </w:rPr>
        <w:t>i’</w:t>
      </w:r>
      <w:r w:rsidRPr="00D45A23">
        <w:rPr>
          <w:lang w:val="it-IT"/>
        </w:rPr>
        <w:t>í</w:t>
      </w:r>
      <w:r w:rsidRPr="00D45A23">
        <w:rPr>
          <w:lang w:val="it-IT"/>
        </w:rPr>
        <w:tab/>
      </w:r>
    </w:p>
    <w:p w14:paraId="073ABF80" w14:textId="77777777" w:rsidR="00625A5B" w:rsidRPr="00D45A23" w:rsidRDefault="00625A5B" w:rsidP="00F87A63">
      <w:pPr>
        <w:pStyle w:val="Translit"/>
        <w:rPr>
          <w:lang w:val="pl-PL" w:eastAsia="zh-TW"/>
        </w:rPr>
      </w:pPr>
      <w:r w:rsidRPr="00D45A23">
        <w:rPr>
          <w:lang w:val="pl-PL" w:eastAsia="zh-TW"/>
        </w:rPr>
        <w:t>Ahmad-i-Kashani</w:t>
      </w:r>
      <w:r w:rsidRPr="00D45A23">
        <w:rPr>
          <w:lang w:val="pl-PL"/>
        </w:rPr>
        <w:tab/>
      </w:r>
      <w:r w:rsidRPr="00D45A23">
        <w:rPr>
          <w:lang w:val="pl-PL" w:eastAsia="zh-TW"/>
        </w:rPr>
        <w:t>A</w:t>
      </w:r>
      <w:r w:rsidRPr="00D45A23">
        <w:rPr>
          <w:lang w:val="pl-PL"/>
        </w:rPr>
        <w:t>ḥ</w:t>
      </w:r>
      <w:r w:rsidRPr="00D45A23">
        <w:rPr>
          <w:lang w:val="pl-PL" w:eastAsia="zh-TW"/>
        </w:rPr>
        <w:t>mad-i-Ká</w:t>
      </w:r>
      <w:r w:rsidRPr="00D45A23">
        <w:rPr>
          <w:u w:val="single"/>
          <w:lang w:val="pl-PL"/>
        </w:rPr>
        <w:t>sh</w:t>
      </w:r>
      <w:r w:rsidRPr="00D45A23">
        <w:rPr>
          <w:lang w:val="pl-PL" w:eastAsia="zh-TW"/>
        </w:rPr>
        <w:t>ání</w:t>
      </w:r>
      <w:r w:rsidRPr="00D45A23">
        <w:rPr>
          <w:lang w:val="pl-PL"/>
        </w:rPr>
        <w:tab/>
      </w:r>
    </w:p>
    <w:p w14:paraId="73D146FF" w14:textId="77777777" w:rsidR="00625A5B" w:rsidRPr="00D45A23" w:rsidRDefault="00625A5B" w:rsidP="00F87A63">
      <w:pPr>
        <w:pStyle w:val="Translit"/>
        <w:rPr>
          <w:lang w:val="pl-PL" w:eastAsia="zh-TW"/>
        </w:rPr>
      </w:pPr>
      <w:r w:rsidRPr="00D45A23">
        <w:rPr>
          <w:lang w:val="pl-PL" w:eastAsia="zh-TW"/>
        </w:rPr>
        <w:t>Ahmad-i-K</w:t>
      </w:r>
      <w:r w:rsidRPr="00D45A23">
        <w:rPr>
          <w:lang w:val="pl-PL"/>
        </w:rPr>
        <w:t>a</w:t>
      </w:r>
      <w:r w:rsidRPr="00D45A23">
        <w:rPr>
          <w:lang w:val="pl-PL" w:eastAsia="zh-TW"/>
        </w:rPr>
        <w:t>tib</w:t>
      </w:r>
      <w:r w:rsidRPr="00D45A23">
        <w:rPr>
          <w:lang w:val="pl-PL"/>
        </w:rPr>
        <w:tab/>
      </w:r>
      <w:r w:rsidRPr="00D45A23">
        <w:rPr>
          <w:lang w:val="pl-PL" w:eastAsia="zh-TW"/>
        </w:rPr>
        <w:t>A</w:t>
      </w:r>
      <w:r w:rsidRPr="00D45A23">
        <w:rPr>
          <w:lang w:val="pl-PL"/>
        </w:rPr>
        <w:t>ḥ</w:t>
      </w:r>
      <w:r w:rsidRPr="00D45A23">
        <w:rPr>
          <w:lang w:val="pl-PL" w:eastAsia="zh-TW"/>
        </w:rPr>
        <w:t>mad-i-K</w:t>
      </w:r>
      <w:r w:rsidRPr="00D45A23">
        <w:rPr>
          <w:lang w:val="pl-PL"/>
        </w:rPr>
        <w:t>á</w:t>
      </w:r>
      <w:r w:rsidRPr="00D45A23">
        <w:rPr>
          <w:lang w:val="pl-PL" w:eastAsia="zh-TW"/>
        </w:rPr>
        <w:t>tib</w:t>
      </w:r>
      <w:r w:rsidRPr="00D45A23">
        <w:rPr>
          <w:lang w:val="pl-PL"/>
        </w:rPr>
        <w:tab/>
      </w:r>
    </w:p>
    <w:p w14:paraId="3E9D9900" w14:textId="77777777" w:rsidR="00625A5B" w:rsidRPr="00D45A23" w:rsidRDefault="00625A5B" w:rsidP="00F87A63">
      <w:pPr>
        <w:pStyle w:val="Translit"/>
        <w:rPr>
          <w:lang w:val="pl-PL"/>
        </w:rPr>
      </w:pPr>
      <w:r w:rsidRPr="00D45A23">
        <w:rPr>
          <w:lang w:val="pl-PL"/>
        </w:rPr>
        <w:t>Ahmad-i-Khurasani</w:t>
      </w:r>
      <w:r w:rsidRPr="00D45A23">
        <w:rPr>
          <w:lang w:val="pl-PL"/>
        </w:rPr>
        <w:tab/>
        <w:t>Aḥmad-i-</w:t>
      </w:r>
      <w:r w:rsidRPr="00D45A23">
        <w:rPr>
          <w:u w:val="single"/>
          <w:lang w:val="pl-PL"/>
        </w:rPr>
        <w:t>Kh</w:t>
      </w:r>
      <w:r w:rsidRPr="00D45A23">
        <w:rPr>
          <w:lang w:val="pl-PL"/>
        </w:rPr>
        <w:t>urásání</w:t>
      </w:r>
      <w:r w:rsidRPr="00D45A23">
        <w:rPr>
          <w:lang w:val="pl-PL"/>
        </w:rPr>
        <w:tab/>
      </w:r>
    </w:p>
    <w:p w14:paraId="3F037249" w14:textId="77777777" w:rsidR="00625A5B" w:rsidRPr="00D45A23" w:rsidRDefault="00625A5B" w:rsidP="00F87A63">
      <w:pPr>
        <w:pStyle w:val="Translit"/>
        <w:rPr>
          <w:lang w:val="pl-PL"/>
        </w:rPr>
      </w:pPr>
      <w:r w:rsidRPr="00D45A23">
        <w:rPr>
          <w:lang w:val="pl-PL"/>
        </w:rPr>
        <w:t>Ahmad-i-Kirmani</w:t>
      </w:r>
      <w:r w:rsidRPr="00D45A23">
        <w:rPr>
          <w:lang w:val="pl-PL"/>
        </w:rPr>
        <w:tab/>
        <w:t>Aḥmad-i-Kirmání</w:t>
      </w:r>
      <w:r w:rsidRPr="00D45A23">
        <w:rPr>
          <w:lang w:val="pl-PL"/>
        </w:rPr>
        <w:tab/>
      </w:r>
    </w:p>
    <w:p w14:paraId="024439D5" w14:textId="77777777" w:rsidR="00625A5B" w:rsidRPr="00D45A23" w:rsidRDefault="00625A5B" w:rsidP="00F87A63">
      <w:pPr>
        <w:pStyle w:val="Translit"/>
        <w:rPr>
          <w:rFonts w:eastAsia="PMingLiU"/>
          <w:lang w:val="pl-PL" w:eastAsia="zh-TW"/>
        </w:rPr>
      </w:pPr>
      <w:r w:rsidRPr="00D45A23">
        <w:rPr>
          <w:rFonts w:eastAsia="PMingLiU"/>
          <w:lang w:val="pl-PL" w:eastAsia="zh-TW"/>
        </w:rPr>
        <w:t>Ahmad-i-Mu’allim</w:t>
      </w:r>
      <w:r w:rsidRPr="00D45A23">
        <w:rPr>
          <w:lang w:val="pl-PL"/>
        </w:rPr>
        <w:tab/>
      </w:r>
      <w:r w:rsidRPr="00D45A23">
        <w:rPr>
          <w:rFonts w:eastAsia="PMingLiU"/>
          <w:lang w:val="pl-PL" w:eastAsia="zh-TW"/>
        </w:rPr>
        <w:t>A</w:t>
      </w:r>
      <w:r w:rsidRPr="00D45A23">
        <w:rPr>
          <w:lang w:val="pl-PL"/>
        </w:rPr>
        <w:t>ḥ</w:t>
      </w:r>
      <w:r w:rsidRPr="00D45A23">
        <w:rPr>
          <w:rFonts w:eastAsia="PMingLiU"/>
          <w:lang w:val="pl-PL" w:eastAsia="zh-TW"/>
        </w:rPr>
        <w:t>mad-i-Mu‘allim</w:t>
      </w:r>
      <w:r w:rsidRPr="00D45A23">
        <w:rPr>
          <w:lang w:val="pl-PL"/>
        </w:rPr>
        <w:tab/>
      </w:r>
    </w:p>
    <w:p w14:paraId="0E6B55A8" w14:textId="77777777" w:rsidR="00625A5B" w:rsidRPr="00D45A23" w:rsidRDefault="00625A5B" w:rsidP="00F87A63">
      <w:pPr>
        <w:pStyle w:val="Translit"/>
        <w:rPr>
          <w:lang w:val="pl-PL" w:eastAsia="zh-TW"/>
        </w:rPr>
      </w:pPr>
      <w:r w:rsidRPr="00D45A23">
        <w:rPr>
          <w:lang w:val="pl-PL" w:eastAsia="zh-TW"/>
        </w:rPr>
        <w:t>Ahmad-i-Nukhud-Bir</w:t>
      </w:r>
      <w:r w:rsidRPr="00D45A23">
        <w:rPr>
          <w:lang w:val="pl-PL"/>
        </w:rPr>
        <w:t>i</w:t>
      </w:r>
      <w:r w:rsidRPr="00D45A23">
        <w:rPr>
          <w:lang w:val="pl-PL" w:eastAsia="zh-TW"/>
        </w:rPr>
        <w:t>z</w:t>
      </w:r>
      <w:r w:rsidRPr="00D45A23">
        <w:rPr>
          <w:lang w:val="pl-PL"/>
        </w:rPr>
        <w:tab/>
      </w:r>
      <w:r w:rsidRPr="00D45A23">
        <w:rPr>
          <w:lang w:val="pl-PL" w:eastAsia="zh-TW"/>
        </w:rPr>
        <w:t>A</w:t>
      </w:r>
      <w:r w:rsidRPr="00D45A23">
        <w:rPr>
          <w:lang w:val="pl-PL"/>
        </w:rPr>
        <w:t>ḥ</w:t>
      </w:r>
      <w:r w:rsidRPr="00D45A23">
        <w:rPr>
          <w:lang w:val="pl-PL" w:eastAsia="zh-TW"/>
        </w:rPr>
        <w:t>mad-i-Nu</w:t>
      </w:r>
      <w:r w:rsidRPr="00D45A23">
        <w:rPr>
          <w:u w:val="single"/>
          <w:lang w:val="pl-PL"/>
        </w:rPr>
        <w:t>kh</w:t>
      </w:r>
      <w:r w:rsidRPr="00D45A23">
        <w:rPr>
          <w:lang w:val="pl-PL" w:eastAsia="zh-TW"/>
        </w:rPr>
        <w:t>ud-Bir</w:t>
      </w:r>
      <w:r w:rsidRPr="00D45A23">
        <w:rPr>
          <w:lang w:val="pl-PL"/>
        </w:rPr>
        <w:t>í</w:t>
      </w:r>
      <w:r w:rsidRPr="00D45A23">
        <w:rPr>
          <w:lang w:val="pl-PL" w:eastAsia="zh-TW"/>
        </w:rPr>
        <w:t>z</w:t>
      </w:r>
      <w:r w:rsidRPr="00D45A23">
        <w:rPr>
          <w:lang w:val="pl-PL"/>
        </w:rPr>
        <w:tab/>
      </w:r>
    </w:p>
    <w:p w14:paraId="46C1C721" w14:textId="77777777" w:rsidR="00625A5B" w:rsidRPr="00D45A23" w:rsidRDefault="00625A5B" w:rsidP="00F87A63">
      <w:pPr>
        <w:pStyle w:val="Translit"/>
        <w:rPr>
          <w:lang w:val="it-IT" w:eastAsia="zh-TW"/>
        </w:rPr>
      </w:pPr>
      <w:r w:rsidRPr="00D45A23">
        <w:rPr>
          <w:lang w:val="it-IT" w:eastAsia="zh-TW"/>
        </w:rPr>
        <w:t>Ahmad-i-Payvand</w:t>
      </w:r>
      <w:r w:rsidRPr="00D45A23">
        <w:rPr>
          <w:lang w:val="it-IT"/>
        </w:rPr>
        <w:t>i</w:t>
      </w:r>
      <w:r w:rsidRPr="00D45A23">
        <w:rPr>
          <w:lang w:val="it-IT"/>
        </w:rPr>
        <w:tab/>
      </w:r>
      <w:r w:rsidRPr="00D45A23">
        <w:rPr>
          <w:lang w:val="it-IT" w:eastAsia="zh-TW"/>
        </w:rPr>
        <w:t>A</w:t>
      </w:r>
      <w:r w:rsidRPr="00D45A23">
        <w:rPr>
          <w:lang w:val="it-IT"/>
        </w:rPr>
        <w:t>ḥ</w:t>
      </w:r>
      <w:r w:rsidRPr="00D45A23">
        <w:rPr>
          <w:lang w:val="it-IT" w:eastAsia="zh-TW"/>
        </w:rPr>
        <w:t>mad-i-Payvand</w:t>
      </w:r>
      <w:r w:rsidRPr="00D45A23">
        <w:rPr>
          <w:lang w:val="it-IT"/>
        </w:rPr>
        <w:t>í</w:t>
      </w:r>
      <w:r w:rsidRPr="00D45A23">
        <w:rPr>
          <w:lang w:val="it-IT"/>
        </w:rPr>
        <w:tab/>
      </w:r>
    </w:p>
    <w:p w14:paraId="13011734" w14:textId="77777777" w:rsidR="00625A5B" w:rsidRPr="00D45A23" w:rsidRDefault="00625A5B" w:rsidP="00F87A63">
      <w:pPr>
        <w:pStyle w:val="Translit"/>
        <w:rPr>
          <w:lang w:val="it-IT" w:eastAsia="zh-TW"/>
        </w:rPr>
      </w:pPr>
      <w:r w:rsidRPr="00D45A23">
        <w:rPr>
          <w:lang w:val="it-IT" w:eastAsia="zh-TW"/>
        </w:rPr>
        <w:t>Ahmad-i-Qazv</w:t>
      </w:r>
      <w:r w:rsidRPr="00D45A23">
        <w:rPr>
          <w:lang w:val="it-IT"/>
        </w:rPr>
        <w:t>i</w:t>
      </w:r>
      <w:r w:rsidRPr="00D45A23">
        <w:rPr>
          <w:lang w:val="it-IT" w:eastAsia="zh-TW"/>
        </w:rPr>
        <w:t>n</w:t>
      </w:r>
      <w:r w:rsidRPr="00D45A23">
        <w:rPr>
          <w:lang w:val="it-IT"/>
        </w:rPr>
        <w:t>i</w:t>
      </w:r>
      <w:r w:rsidRPr="00D45A23">
        <w:rPr>
          <w:lang w:val="it-IT"/>
        </w:rPr>
        <w:tab/>
      </w:r>
      <w:r w:rsidRPr="00D45A23">
        <w:rPr>
          <w:lang w:val="it-IT" w:eastAsia="zh-TW"/>
        </w:rPr>
        <w:t>A</w:t>
      </w:r>
      <w:r w:rsidRPr="00D45A23">
        <w:rPr>
          <w:lang w:val="it-IT"/>
        </w:rPr>
        <w:t>ḥ</w:t>
      </w:r>
      <w:r w:rsidRPr="00D45A23">
        <w:rPr>
          <w:lang w:val="it-IT" w:eastAsia="zh-TW"/>
        </w:rPr>
        <w:t>mad-i-Qazv</w:t>
      </w:r>
      <w:r w:rsidRPr="00D45A23">
        <w:rPr>
          <w:lang w:val="it-IT"/>
        </w:rPr>
        <w:t>í</w:t>
      </w:r>
      <w:r w:rsidRPr="00D45A23">
        <w:rPr>
          <w:lang w:val="it-IT" w:eastAsia="zh-TW"/>
        </w:rPr>
        <w:t>n</w:t>
      </w:r>
      <w:r w:rsidRPr="00D45A23">
        <w:rPr>
          <w:lang w:val="it-IT"/>
        </w:rPr>
        <w:t>í</w:t>
      </w:r>
      <w:r w:rsidRPr="00D45A23">
        <w:rPr>
          <w:lang w:val="it-IT"/>
        </w:rPr>
        <w:tab/>
      </w:r>
    </w:p>
    <w:p w14:paraId="2BE3F40B" w14:textId="77777777" w:rsidR="00625A5B" w:rsidRPr="00D45A23" w:rsidRDefault="00625A5B" w:rsidP="00F87A63">
      <w:pPr>
        <w:pStyle w:val="Translit"/>
        <w:rPr>
          <w:lang w:val="it-IT"/>
        </w:rPr>
      </w:pPr>
      <w:r w:rsidRPr="00D45A23">
        <w:rPr>
          <w:lang w:val="it-IT"/>
        </w:rPr>
        <w:t>Ahmad-i-Ruhi</w:t>
      </w:r>
      <w:r w:rsidRPr="00D45A23">
        <w:rPr>
          <w:lang w:val="it-IT"/>
        </w:rPr>
        <w:tab/>
        <w:t>Aḥmad-i-Rúḥí</w:t>
      </w:r>
      <w:r w:rsidRPr="00D45A23">
        <w:rPr>
          <w:lang w:val="it-IT"/>
        </w:rPr>
        <w:tab/>
      </w:r>
    </w:p>
    <w:p w14:paraId="63160EC7" w14:textId="77777777" w:rsidR="00625A5B" w:rsidRPr="00D45A23" w:rsidRDefault="00625A5B" w:rsidP="00F87A63">
      <w:pPr>
        <w:pStyle w:val="Translit"/>
        <w:rPr>
          <w:lang w:val="it-IT" w:eastAsia="zh-TW"/>
        </w:rPr>
      </w:pPr>
      <w:r w:rsidRPr="00D45A23">
        <w:rPr>
          <w:lang w:val="it-IT" w:eastAsia="zh-TW"/>
        </w:rPr>
        <w:t>Ahmad-i-Saff</w:t>
      </w:r>
      <w:r w:rsidRPr="00D45A23">
        <w:rPr>
          <w:lang w:val="it-IT"/>
        </w:rPr>
        <w:t>a</w:t>
      </w:r>
      <w:r w:rsidRPr="00D45A23">
        <w:rPr>
          <w:lang w:val="it-IT" w:eastAsia="zh-TW"/>
        </w:rPr>
        <w:t>r</w:t>
      </w:r>
      <w:r w:rsidRPr="00D45A23">
        <w:rPr>
          <w:lang w:val="it-IT"/>
        </w:rPr>
        <w:tab/>
      </w:r>
      <w:r w:rsidRPr="00D45A23">
        <w:rPr>
          <w:lang w:val="it-IT" w:eastAsia="zh-TW"/>
        </w:rPr>
        <w:t>A</w:t>
      </w:r>
      <w:r w:rsidRPr="00D45A23">
        <w:rPr>
          <w:lang w:val="it-IT"/>
        </w:rPr>
        <w:t>ḥ</w:t>
      </w:r>
      <w:r w:rsidRPr="00D45A23">
        <w:rPr>
          <w:lang w:val="it-IT" w:eastAsia="zh-TW"/>
        </w:rPr>
        <w:t>mad-i-</w:t>
      </w:r>
      <w:r w:rsidRPr="00D45A23">
        <w:rPr>
          <w:lang w:val="it-IT"/>
        </w:rPr>
        <w:t>Ṣ</w:t>
      </w:r>
      <w:r w:rsidRPr="00D45A23">
        <w:rPr>
          <w:lang w:val="it-IT" w:eastAsia="zh-TW"/>
        </w:rPr>
        <w:t>aff</w:t>
      </w:r>
      <w:r w:rsidRPr="00D45A23">
        <w:rPr>
          <w:lang w:val="it-IT"/>
        </w:rPr>
        <w:t>á</w:t>
      </w:r>
      <w:r w:rsidRPr="00D45A23">
        <w:rPr>
          <w:lang w:val="it-IT" w:eastAsia="zh-TW"/>
        </w:rPr>
        <w:t>r</w:t>
      </w:r>
      <w:r w:rsidRPr="00D45A23">
        <w:rPr>
          <w:lang w:val="it-IT"/>
        </w:rPr>
        <w:tab/>
      </w:r>
    </w:p>
    <w:p w14:paraId="6041DEC1" w14:textId="77777777" w:rsidR="00625A5B" w:rsidRPr="008F03E5" w:rsidRDefault="00625A5B" w:rsidP="00F87A63">
      <w:pPr>
        <w:pStyle w:val="Translit"/>
      </w:pPr>
      <w:r w:rsidRPr="008F03E5">
        <w:rPr>
          <w:rFonts w:eastAsia="Times New Roman"/>
        </w:rPr>
        <w:t>Ahmadiy, Ahmadi</w:t>
      </w:r>
      <w:r w:rsidRPr="008F03E5">
        <w:rPr>
          <w:rFonts w:eastAsia="Times New Roman"/>
        </w:rPr>
        <w:tab/>
        <w:t>Aḥmadíy, Aḥmadí</w:t>
      </w:r>
      <w:r w:rsidRPr="008F03E5">
        <w:rPr>
          <w:rFonts w:eastAsia="Times New Roman"/>
        </w:rPr>
        <w:tab/>
        <w:t>belonging to A</w:t>
      </w:r>
      <w:r w:rsidRPr="008F03E5">
        <w:t>ḥ</w:t>
      </w:r>
      <w:r w:rsidRPr="008F03E5">
        <w:rPr>
          <w:rFonts w:eastAsia="Times New Roman"/>
        </w:rPr>
        <w:t>mad; a Muslim; name of a gold coin</w:t>
      </w:r>
    </w:p>
    <w:p w14:paraId="5A0B729F" w14:textId="77777777" w:rsidR="00625A5B" w:rsidRPr="008F03E5" w:rsidRDefault="00625A5B" w:rsidP="00832AE3">
      <w:pPr>
        <w:pStyle w:val="Translit"/>
      </w:pPr>
      <w:r w:rsidRPr="008F03E5">
        <w:t>Ahmadiya</w:t>
      </w:r>
      <w:r w:rsidRPr="008F03E5">
        <w:tab/>
      </w:r>
      <w:bookmarkStart w:id="41" w:name="_Hlk60335826"/>
      <w:r w:rsidRPr="008F03E5">
        <w:t>Aḥmadíya[h]</w:t>
      </w:r>
      <w:bookmarkEnd w:id="41"/>
      <w:r w:rsidRPr="008F03E5">
        <w:t>, Pers. Aḥmadiyya[h]</w:t>
      </w:r>
      <w:r w:rsidRPr="008F03E5">
        <w:tab/>
        <w:t xml:space="preserve">followers of Aḥmad (alternative name for Muḥammad).  al-Jamá‘ah al-Islámíyah al-Aḥmadíyah (the Ahmadiyya Muslim Community), founded by Mírzá Ghulám Aḥmad in Qádiyán, Punjab, India.  Aḥmadíya </w:t>
      </w:r>
      <w:r w:rsidRPr="008F03E5">
        <w:rPr>
          <w:u w:val="single"/>
        </w:rPr>
        <w:t>Sh</w:t>
      </w:r>
      <w:r w:rsidRPr="008F03E5">
        <w:t>ay</w:t>
      </w:r>
      <w:r w:rsidRPr="008F03E5">
        <w:rPr>
          <w:u w:val="single"/>
        </w:rPr>
        <w:t>kh</w:t>
      </w:r>
      <w:r w:rsidRPr="008F03E5">
        <w:t xml:space="preserve"> Maḥmúd al-Masjid in Haifa (32.804954, 34.969869).</w:t>
      </w:r>
    </w:p>
    <w:p w14:paraId="043915CE" w14:textId="77777777" w:rsidR="00625A5B" w:rsidRPr="00FC3392" w:rsidRDefault="00625A5B" w:rsidP="00F87A63">
      <w:pPr>
        <w:pStyle w:val="Translit"/>
      </w:pPr>
      <w:r w:rsidRPr="00FC3392">
        <w:t>Ahmad-i-Yazdi</w:t>
      </w:r>
      <w:r w:rsidRPr="00FC3392">
        <w:tab/>
        <w:t>Aḥmad-i-Yazdí</w:t>
      </w:r>
      <w:r w:rsidRPr="00FC3392">
        <w:tab/>
      </w:r>
    </w:p>
    <w:p w14:paraId="1D0643B9" w14:textId="77777777" w:rsidR="00625A5B" w:rsidRPr="008F03E5" w:rsidRDefault="00625A5B" w:rsidP="002C4B95">
      <w:pPr>
        <w:pStyle w:val="Translit"/>
      </w:pPr>
      <w:r w:rsidRPr="005B0E5A">
        <w:rPr>
          <w:lang w:val="es-ES_tradnl"/>
        </w:rPr>
        <w:t>Ahmar, Hamra, Humr</w:t>
      </w:r>
      <w:r w:rsidRPr="005B0E5A">
        <w:rPr>
          <w:lang w:val="es-ES_tradnl"/>
        </w:rPr>
        <w:tab/>
        <w:t xml:space="preserve">Aḥmar, fem. </w:t>
      </w:r>
      <w:r w:rsidRPr="008F03E5">
        <w:t>Ḥamrá’, pl. Ḥumr</w:t>
      </w:r>
      <w:r w:rsidRPr="008F03E5">
        <w:tab/>
        <w:t>red, red-coloured, ruddy; rosy, pink.  Alhambra (Spanish), the Citadel of Granada, (“the Red Palace”; al-Ḥamrá’, lit. “the red one”).  Baḥru’l-Aḥmar, the Red Sea.</w:t>
      </w:r>
      <w:r w:rsidRPr="008F03E5">
        <w:rPr>
          <w:rStyle w:val="FootnoteReference"/>
        </w:rPr>
        <w:footnoteReference w:id="7"/>
      </w:r>
    </w:p>
    <w:p w14:paraId="1460D96A" w14:textId="77777777" w:rsidR="00625A5B" w:rsidRPr="008F03E5" w:rsidRDefault="00625A5B" w:rsidP="00647C97">
      <w:pPr>
        <w:pStyle w:val="Translit"/>
      </w:pPr>
      <w:r w:rsidRPr="008F03E5">
        <w:rPr>
          <w:lang w:eastAsia="zh-TW"/>
        </w:rPr>
        <w:t>Ahrari</w:t>
      </w:r>
      <w:r w:rsidRPr="008F03E5">
        <w:tab/>
      </w:r>
      <w:r w:rsidRPr="008F03E5">
        <w:rPr>
          <w:lang w:eastAsia="zh-TW"/>
        </w:rPr>
        <w:t>A</w:t>
      </w:r>
      <w:r w:rsidRPr="008F03E5">
        <w:t>ḥ</w:t>
      </w:r>
      <w:r w:rsidRPr="008F03E5">
        <w:rPr>
          <w:lang w:eastAsia="zh-TW"/>
        </w:rPr>
        <w:t>rárí</w:t>
      </w:r>
      <w:r w:rsidRPr="008F03E5">
        <w:tab/>
        <w:t xml:space="preserve">Ḍíyá’u’lláh </w:t>
      </w:r>
      <w:r w:rsidRPr="008F03E5">
        <w:rPr>
          <w:lang w:eastAsia="zh-TW"/>
        </w:rPr>
        <w:t>A</w:t>
      </w:r>
      <w:r w:rsidRPr="008F03E5">
        <w:t>ḥ</w:t>
      </w:r>
      <w:r w:rsidRPr="008F03E5">
        <w:rPr>
          <w:lang w:eastAsia="zh-TW"/>
        </w:rPr>
        <w:t>rárí executed 1982.  A</w:t>
      </w:r>
      <w:r w:rsidRPr="008F03E5">
        <w:t>ḥ</w:t>
      </w:r>
      <w:r w:rsidRPr="008F03E5">
        <w:rPr>
          <w:lang w:eastAsia="zh-TW"/>
        </w:rPr>
        <w:t xml:space="preserve">rár is pl. of </w:t>
      </w:r>
      <w:r w:rsidRPr="008F03E5">
        <w:t>Ḥurr</w:t>
      </w:r>
    </w:p>
    <w:p w14:paraId="62817CBD" w14:textId="77777777" w:rsidR="00625A5B" w:rsidRPr="008F03E5" w:rsidRDefault="00625A5B" w:rsidP="00F87A63">
      <w:pPr>
        <w:pStyle w:val="Translit"/>
        <w:rPr>
          <w:lang w:eastAsia="zh-TW"/>
        </w:rPr>
      </w:pPr>
      <w:r w:rsidRPr="008F03E5">
        <w:rPr>
          <w:lang w:eastAsia="zh-TW"/>
        </w:rPr>
        <w:t>Ahsa’i</w:t>
      </w:r>
      <w:r w:rsidRPr="008F03E5">
        <w:tab/>
      </w:r>
      <w:r w:rsidRPr="008F03E5">
        <w:rPr>
          <w:lang w:eastAsia="zh-TW"/>
        </w:rPr>
        <w:t>A</w:t>
      </w:r>
      <w:r w:rsidRPr="008F03E5">
        <w:t>ḥ</w:t>
      </w:r>
      <w:r w:rsidRPr="008F03E5">
        <w:rPr>
          <w:lang w:eastAsia="zh-TW"/>
        </w:rPr>
        <w:t>sá’í</w:t>
      </w:r>
      <w:r w:rsidRPr="008F03E5">
        <w:tab/>
        <w:t xml:space="preserve">of or from al-Aḥsá’.  See Ḥisá’ and </w:t>
      </w:r>
      <w:r w:rsidRPr="008F03E5">
        <w:rPr>
          <w:u w:val="single"/>
        </w:rPr>
        <w:t>Sh</w:t>
      </w:r>
      <w:r w:rsidRPr="008F03E5">
        <w:t>ay</w:t>
      </w:r>
      <w:r w:rsidRPr="008F03E5">
        <w:rPr>
          <w:u w:val="single"/>
        </w:rPr>
        <w:t>kh</w:t>
      </w:r>
      <w:r w:rsidRPr="008F03E5">
        <w:t xml:space="preserve"> Aḥmad-i-Aḥsá’í.</w:t>
      </w:r>
    </w:p>
    <w:p w14:paraId="1C9B5892" w14:textId="77777777" w:rsidR="00625A5B" w:rsidRPr="008F03E5" w:rsidRDefault="00625A5B" w:rsidP="00F87A63">
      <w:pPr>
        <w:pStyle w:val="Translit"/>
        <w:rPr>
          <w:rFonts w:eastAsia="PMingLiU"/>
          <w:lang w:eastAsia="zh-TW"/>
        </w:rPr>
      </w:pPr>
      <w:r w:rsidRPr="008F03E5">
        <w:rPr>
          <w:rFonts w:eastAsia="PMingLiU"/>
          <w:lang w:eastAsia="zh-TW"/>
        </w:rPr>
        <w:t>Ahsan, Ahasin</w:t>
      </w:r>
      <w:r w:rsidRPr="008F03E5">
        <w:rPr>
          <w:rFonts w:eastAsia="PMingLiU"/>
          <w:lang w:eastAsia="zh-TW"/>
        </w:rPr>
        <w:tab/>
        <w:t>Aḥsan, pl. Aḥásin</w:t>
      </w:r>
      <w:r w:rsidRPr="008F03E5">
        <w:rPr>
          <w:rFonts w:eastAsia="PMingLiU"/>
          <w:lang w:eastAsia="zh-TW"/>
        </w:rPr>
        <w:tab/>
        <w:t>better; nicer, lovelier, more beautiful; more excellent, more splendid, more admirable</w:t>
      </w:r>
    </w:p>
    <w:p w14:paraId="0EA1A0D3" w14:textId="77777777" w:rsidR="00625A5B" w:rsidRPr="008F03E5" w:rsidRDefault="00625A5B" w:rsidP="00730E39">
      <w:pPr>
        <w:pStyle w:val="Translit"/>
      </w:pPr>
      <w:r w:rsidRPr="008F03E5">
        <w:t>Ahsanu’l-Qisas</w:t>
      </w:r>
      <w:r w:rsidRPr="008F03E5">
        <w:tab/>
        <w:t>Aḥsanu’l-Qiṣaṣ</w:t>
      </w:r>
      <w:r w:rsidRPr="008F03E5">
        <w:tab/>
        <w:t>The Best of Stories:  a name for the Surih of Joseph.—</w:t>
      </w:r>
      <w:r w:rsidRPr="008F03E5">
        <w:rPr>
          <w:i/>
          <w:iCs/>
        </w:rPr>
        <w:t>Tafsír-i-Aḥsanu’l-Qiṣaṣ</w:t>
      </w:r>
      <w:r w:rsidRPr="008F03E5">
        <w:t xml:space="preserve">:  the Báb’s commentary on the Súrih of Joseph, the </w:t>
      </w:r>
      <w:r w:rsidRPr="008F03E5">
        <w:rPr>
          <w:i/>
          <w:iCs/>
        </w:rPr>
        <w:t xml:space="preserve">Qayyúmu’l-Asmá’, </w:t>
      </w:r>
      <w:r w:rsidRPr="008F03E5">
        <w:t>called the Qur’án of the Bábís.  Translated into Persian by Ṭáhirih.</w:t>
      </w:r>
    </w:p>
    <w:p w14:paraId="69A37293" w14:textId="77777777" w:rsidR="00625A5B" w:rsidRPr="008F03E5" w:rsidRDefault="00625A5B" w:rsidP="000C0B5B">
      <w:pPr>
        <w:pStyle w:val="Translit"/>
      </w:pPr>
      <w:r w:rsidRPr="008F03E5">
        <w:t>Ahu</w:t>
      </w:r>
      <w:r w:rsidRPr="008F03E5">
        <w:tab/>
        <w:t>Áhú</w:t>
      </w:r>
      <w:r w:rsidRPr="008F03E5">
        <w:tab/>
        <w:t>Pers. a vice, fault, defect, stain, spot, villainy; flight, escape; an exclamation, cry for help; an asthma; a deer, roe, gazelle; any object of pursuit or chase; a beautiful eye; a mistress</w:t>
      </w:r>
    </w:p>
    <w:p w14:paraId="3E6F6CE2" w14:textId="77777777" w:rsidR="00625A5B" w:rsidRPr="008F03E5" w:rsidRDefault="00625A5B" w:rsidP="00051F02">
      <w:pPr>
        <w:pStyle w:val="Translit"/>
      </w:pPr>
      <w:r>
        <w:rPr>
          <w:rFonts w:eastAsia="Times New Roman"/>
        </w:rPr>
        <w:t>Ahwa, Hawwa’ (Hauwa’)</w:t>
      </w:r>
      <w:r>
        <w:rPr>
          <w:rFonts w:eastAsia="Times New Roman"/>
        </w:rPr>
        <w:tab/>
        <w:t>A</w:t>
      </w:r>
      <w:r w:rsidRPr="007B3FD1">
        <w:rPr>
          <w:rFonts w:eastAsia="Times New Roman"/>
        </w:rPr>
        <w:t xml:space="preserve">ḥwá, </w:t>
      </w:r>
      <w:r>
        <w:rPr>
          <w:rFonts w:eastAsia="Times New Roman"/>
        </w:rPr>
        <w:t xml:space="preserve">fem. </w:t>
      </w:r>
      <w:r w:rsidRPr="007B3FD1">
        <w:rPr>
          <w:rFonts w:eastAsia="Times New Roman"/>
        </w:rPr>
        <w:t>Ḥa</w:t>
      </w:r>
      <w:r>
        <w:rPr>
          <w:rFonts w:eastAsia="Times New Roman"/>
        </w:rPr>
        <w:t>w</w:t>
      </w:r>
      <w:r w:rsidRPr="007B3FD1">
        <w:rPr>
          <w:rFonts w:eastAsia="Times New Roman"/>
        </w:rPr>
        <w:t>wá’</w:t>
      </w:r>
      <w:r>
        <w:rPr>
          <w:rFonts w:eastAsia="Times New Roman"/>
        </w:rPr>
        <w:tab/>
        <w:t>b</w:t>
      </w:r>
      <w:r w:rsidRPr="007B3FD1">
        <w:rPr>
          <w:rFonts w:eastAsia="Times New Roman"/>
        </w:rPr>
        <w:t>lack, dusky (in the lips);</w:t>
      </w:r>
      <w:r>
        <w:rPr>
          <w:rFonts w:eastAsia="Times New Roman"/>
        </w:rPr>
        <w:t xml:space="preserve"> fem.</w:t>
      </w:r>
      <w:r w:rsidRPr="00AF4D34">
        <w:rPr>
          <w:rFonts w:eastAsia="Times New Roman"/>
        </w:rPr>
        <w:t xml:space="preserve"> Eve</w:t>
      </w:r>
      <w:r>
        <w:rPr>
          <w:rFonts w:eastAsia="Times New Roman"/>
        </w:rPr>
        <w:t>,</w:t>
      </w:r>
      <w:r w:rsidRPr="00AF4D34">
        <w:rPr>
          <w:rFonts w:eastAsia="Times New Roman"/>
        </w:rPr>
        <w:t xml:space="preserve"> the mother of mankind.</w:t>
      </w:r>
      <w:r>
        <w:rPr>
          <w:rFonts w:eastAsia="Times New Roman"/>
        </w:rPr>
        <w:t xml:space="preserve">  Abjad value of Eve is 16.</w:t>
      </w:r>
    </w:p>
    <w:p w14:paraId="53B10121" w14:textId="77777777" w:rsidR="00625A5B" w:rsidRPr="008F03E5" w:rsidRDefault="00625A5B" w:rsidP="002443D5">
      <w:pPr>
        <w:pStyle w:val="Translit"/>
        <w:rPr>
          <w:rFonts w:eastAsia="Times New Roman"/>
        </w:rPr>
      </w:pPr>
      <w:r w:rsidRPr="008F03E5">
        <w:t>Ahwar, Hawra (Haura), Hur, Huran</w:t>
      </w:r>
      <w:r w:rsidRPr="008F03E5">
        <w:tab/>
        <w:t xml:space="preserve">Aḥwár, fem. Ḥawrá’, pl. Ḥúr, Pers. </w:t>
      </w:r>
      <w:r w:rsidRPr="008F03E5">
        <w:rPr>
          <w:rFonts w:eastAsia="Times New Roman"/>
        </w:rPr>
        <w:t>Ḥúrán</w:t>
      </w:r>
      <w:r w:rsidRPr="008F03E5">
        <w:tab/>
        <w:t>having eyes with a marked contrast of white and black, (also, said of the eye:) intensely white and deep-black.—pl. Ḥúr (also used as singular in Pers.) interpreted as v</w:t>
      </w:r>
      <w:r w:rsidRPr="008F03E5">
        <w:rPr>
          <w:rFonts w:eastAsia="Times New Roman"/>
        </w:rPr>
        <w:t xml:space="preserve">irgins or a “virgin of Paradise”.  </w:t>
      </w:r>
      <w:r w:rsidRPr="008F03E5">
        <w:t>See ḥúríya</w:t>
      </w:r>
      <w:r w:rsidRPr="008F03E5">
        <w:rPr>
          <w:rFonts w:eastAsia="Times New Roman"/>
        </w:rPr>
        <w:t xml:space="preserve"> and ḥúrí.</w:t>
      </w:r>
    </w:p>
    <w:p w14:paraId="48851F76" w14:textId="77777777" w:rsidR="00625A5B" w:rsidRPr="008F03E5" w:rsidRDefault="00625A5B" w:rsidP="00F87A63">
      <w:pPr>
        <w:pStyle w:val="Translit"/>
      </w:pPr>
      <w:r w:rsidRPr="008F03E5">
        <w:t>Aja’ibu’l-Makhluqat</w:t>
      </w:r>
      <w:r w:rsidRPr="008F03E5">
        <w:tab/>
        <w:t>‘Ajá’ibu’l-Ma</w:t>
      </w:r>
      <w:r w:rsidRPr="008F03E5">
        <w:rPr>
          <w:u w:val="single"/>
        </w:rPr>
        <w:t>kh</w:t>
      </w:r>
      <w:r w:rsidRPr="008F03E5">
        <w:t>lúqat</w:t>
      </w:r>
      <w:r w:rsidRPr="008F03E5">
        <w:tab/>
        <w:t>“The marvels of creation” by Qazwíní</w:t>
      </w:r>
    </w:p>
    <w:p w14:paraId="3614CEDB" w14:textId="77777777" w:rsidR="00625A5B" w:rsidRPr="008F03E5" w:rsidRDefault="00625A5B" w:rsidP="00F87A63">
      <w:pPr>
        <w:pStyle w:val="Translit"/>
      </w:pPr>
      <w:r w:rsidRPr="008F03E5">
        <w:t>Ajab, A’jab</w:t>
      </w:r>
      <w:r w:rsidRPr="008F03E5">
        <w:tab/>
        <w:t>‘Ajab, pl. A‘jáb</w:t>
      </w:r>
      <w:r w:rsidRPr="008F03E5">
        <w:tab/>
        <w:t>astonishment, amazement;—(pl.) wonder, marvel</w:t>
      </w:r>
    </w:p>
    <w:p w14:paraId="57506AFE" w14:textId="77777777" w:rsidR="00625A5B" w:rsidRDefault="00625A5B" w:rsidP="001616DF">
      <w:pPr>
        <w:pStyle w:val="Translit"/>
      </w:pPr>
      <w:r w:rsidRPr="008F03E5">
        <w:t>Ajal</w:t>
      </w:r>
      <w:r w:rsidRPr="008F03E5">
        <w:tab/>
        <w:t>Ajal, pl. Ájál</w:t>
      </w:r>
      <w:r w:rsidRPr="008F03E5">
        <w:tab/>
        <w:t>appointed time (term), date, deadline; instant of death; respite, delay.  In the Qur’án often refers to the term of nation(s).</w:t>
      </w:r>
    </w:p>
    <w:p w14:paraId="43257E65" w14:textId="77777777" w:rsidR="00625A5B" w:rsidRPr="008F03E5" w:rsidRDefault="00625A5B" w:rsidP="00F919CE">
      <w:pPr>
        <w:pStyle w:val="Translit"/>
      </w:pPr>
      <w:r>
        <w:t>Ajal, ‘Ajala</w:t>
      </w:r>
      <w:r>
        <w:tab/>
        <w:t>‘Ajal, fem. ‘Ajala[h or t]</w:t>
      </w:r>
      <w:r>
        <w:tab/>
      </w:r>
      <w:r w:rsidRPr="00230E37">
        <w:t>hurry, haste; precipitance, precipitation</w:t>
      </w:r>
      <w:r>
        <w:t xml:space="preserve">,  </w:t>
      </w:r>
      <w:r w:rsidRPr="00BF3901">
        <w:t>‘Ajal</w:t>
      </w:r>
      <w:r>
        <w:t xml:space="preserve"> </w:t>
      </w:r>
      <w:r w:rsidRPr="008F5FC5">
        <w:t xml:space="preserve">Alláhu </w:t>
      </w:r>
      <w:r>
        <w:t>F</w:t>
      </w:r>
      <w:r w:rsidRPr="008F5FC5">
        <w:t>arajahu (</w:t>
      </w:r>
      <w:r>
        <w:t>“</w:t>
      </w:r>
      <w:r w:rsidRPr="008F5FC5">
        <w:t xml:space="preserve">May </w:t>
      </w:r>
      <w:r>
        <w:t>God</w:t>
      </w:r>
      <w:r w:rsidRPr="008F5FC5">
        <w:t xml:space="preserve"> hasten his </w:t>
      </w:r>
      <w:r>
        <w:t>[</w:t>
      </w:r>
      <w:r w:rsidRPr="002C59F6">
        <w:t>Qá’im</w:t>
      </w:r>
      <w:r>
        <w:t xml:space="preserve">’s] </w:t>
      </w:r>
      <w:r w:rsidRPr="008F5FC5">
        <w:t>glad advent</w:t>
      </w:r>
      <w:r>
        <w:t>”</w:t>
      </w:r>
      <w:r w:rsidRPr="008F5FC5">
        <w:t>)</w:t>
      </w:r>
      <w:r>
        <w:t>.</w:t>
      </w:r>
    </w:p>
    <w:p w14:paraId="106EC6A8" w14:textId="77777777" w:rsidR="00625A5B" w:rsidRPr="008F03E5" w:rsidRDefault="00625A5B" w:rsidP="00F87A63">
      <w:pPr>
        <w:pStyle w:val="Translit"/>
      </w:pPr>
      <w:r w:rsidRPr="008F03E5">
        <w:t>Ajam</w:t>
      </w:r>
      <w:r w:rsidRPr="008F03E5">
        <w:tab/>
        <w:t>‘Ajam</w:t>
      </w:r>
      <w:r w:rsidRPr="008F03E5">
        <w:tab/>
        <w:t>(collective) mute in the sense of mumbling or to speak  indistinctly, hence barbarians, non-Arabs (modern), Persians.  Opposite of ‘Aran.  Also (collective; noun denoting an individual) stone kernel, pit, pip, seed (of fruit)</w:t>
      </w:r>
    </w:p>
    <w:p w14:paraId="04C7C5F8" w14:textId="77777777" w:rsidR="00625A5B" w:rsidRPr="008F03E5" w:rsidRDefault="00625A5B" w:rsidP="00F87A63">
      <w:pPr>
        <w:pStyle w:val="Translit"/>
      </w:pPr>
      <w:r w:rsidRPr="008F03E5">
        <w:t>Ajami, A’jam</w:t>
      </w:r>
      <w:r w:rsidRPr="008F03E5">
        <w:tab/>
        <w:t>‘Ajamí, pl. A‘jám</w:t>
      </w:r>
      <w:r w:rsidRPr="008F03E5">
        <w:tab/>
        <w:t>barbarian, non-Arab; Persian (adj. and n.)</w:t>
      </w:r>
    </w:p>
    <w:p w14:paraId="7F0271A3" w14:textId="77777777" w:rsidR="00625A5B" w:rsidRPr="008F03E5" w:rsidRDefault="00625A5B" w:rsidP="00F87A63">
      <w:pPr>
        <w:pStyle w:val="Translit"/>
      </w:pPr>
      <w:r w:rsidRPr="008F03E5">
        <w:t>Ajda’</w:t>
      </w:r>
      <w:r w:rsidRPr="008F03E5">
        <w:tab/>
        <w:t>Ajda‘</w:t>
      </w:r>
      <w:r w:rsidRPr="008F03E5">
        <w:tab/>
        <w:t xml:space="preserve">mutilated (by having the nose, or the like cut off).  </w:t>
      </w:r>
      <w:r w:rsidRPr="008F03E5">
        <w:rPr>
          <w:sz w:val="16"/>
          <w:szCs w:val="16"/>
        </w:rPr>
        <w:t>SDC</w:t>
      </w:r>
      <w:r w:rsidRPr="008F03E5">
        <w:t xml:space="preserve"> p. 49.</w:t>
      </w:r>
    </w:p>
    <w:p w14:paraId="1BCE8369" w14:textId="77777777" w:rsidR="00625A5B" w:rsidRPr="008F03E5" w:rsidRDefault="00625A5B" w:rsidP="00F87A63">
      <w:pPr>
        <w:pStyle w:val="Translit"/>
      </w:pPr>
      <w:r w:rsidRPr="008F03E5">
        <w:t>Ajiba, ‘Aja’ib</w:t>
      </w:r>
      <w:r w:rsidRPr="008F03E5">
        <w:tab/>
        <w:t>‘Ajíba, pl. ‘Ajá’ib</w:t>
      </w:r>
      <w:r w:rsidRPr="008F03E5">
        <w:tab/>
        <w:t>wondrous thing, unheard of thing, prodigy, marvel, miracle, wonder;—pl. remarkable things, curiosities, oddities</w:t>
      </w:r>
    </w:p>
    <w:p w14:paraId="5C941D19" w14:textId="77777777" w:rsidR="00625A5B" w:rsidRPr="008F03E5" w:rsidRDefault="00625A5B" w:rsidP="00F87A63">
      <w:pPr>
        <w:pStyle w:val="Translit"/>
      </w:pPr>
      <w:r w:rsidRPr="008F03E5">
        <w:t>Ajja, Ajij</w:t>
      </w:r>
      <w:r w:rsidRPr="008F03E5">
        <w:tab/>
        <w:t>Ajja, Ajíj</w:t>
      </w:r>
      <w:r w:rsidRPr="008F03E5">
        <w:tab/>
        <w:t>to burn, blaze, flame (fire).  e.g. Má’ ujáj bitter, salty water.</w:t>
      </w:r>
    </w:p>
    <w:p w14:paraId="392D2CA3" w14:textId="77777777" w:rsidR="00625A5B" w:rsidRPr="008F03E5" w:rsidRDefault="00625A5B" w:rsidP="008750BF">
      <w:pPr>
        <w:pStyle w:val="Translit"/>
      </w:pPr>
      <w:r w:rsidRPr="005D5AAC">
        <w:rPr>
          <w:rFonts w:eastAsia="Times New Roman"/>
          <w:lang w:val="es-ES_tradnl"/>
        </w:rPr>
        <w:t>Ajudan</w:t>
      </w:r>
      <w:r w:rsidRPr="005D5AAC">
        <w:rPr>
          <w:rFonts w:eastAsia="Times New Roman"/>
          <w:lang w:val="es-ES_tradnl"/>
        </w:rPr>
        <w:tab/>
        <w:t>Ájúdán or Ájudán</w:t>
      </w:r>
      <w:r w:rsidRPr="005D5AAC">
        <w:rPr>
          <w:rFonts w:eastAsia="Times New Roman"/>
          <w:lang w:val="es-ES_tradnl"/>
        </w:rPr>
        <w:tab/>
        <w:t xml:space="preserve">Pers. </w:t>
      </w:r>
      <w:r w:rsidRPr="008F03E5">
        <w:rPr>
          <w:rFonts w:eastAsia="Times New Roman"/>
        </w:rPr>
        <w:t>Aide-de-camp (modern from French adjutant)</w:t>
      </w:r>
    </w:p>
    <w:p w14:paraId="151639EA" w14:textId="77777777" w:rsidR="00625A5B" w:rsidRPr="00D45A23" w:rsidRDefault="00625A5B" w:rsidP="00F87A63">
      <w:pPr>
        <w:pStyle w:val="Translit"/>
        <w:rPr>
          <w:lang w:val="fr-FR"/>
        </w:rPr>
      </w:pPr>
      <w:r w:rsidRPr="00D45A23">
        <w:rPr>
          <w:lang w:val="fr-FR"/>
        </w:rPr>
        <w:t>Ajudan</w:t>
      </w:r>
      <w:r w:rsidRPr="00D45A23">
        <w:rPr>
          <w:lang w:val="fr-FR"/>
        </w:rPr>
        <w:tab/>
        <w:t>Ájúdán</w:t>
      </w:r>
      <w:r w:rsidRPr="00D45A23">
        <w:rPr>
          <w:lang w:val="fr-FR"/>
        </w:rPr>
        <w:tab/>
        <w:t>Pers. aide-de-camp, adjutant</w:t>
      </w:r>
    </w:p>
    <w:p w14:paraId="10B8918A" w14:textId="77777777" w:rsidR="00625A5B" w:rsidRPr="00D45A23" w:rsidRDefault="00625A5B" w:rsidP="00F87A63">
      <w:pPr>
        <w:pStyle w:val="Translit"/>
        <w:rPr>
          <w:lang w:val="fr-FR"/>
        </w:rPr>
      </w:pPr>
      <w:r w:rsidRPr="00D45A23">
        <w:rPr>
          <w:lang w:val="fr-FR"/>
        </w:rPr>
        <w:t>Ajudan-Bashi</w:t>
      </w:r>
      <w:r w:rsidRPr="00D45A23">
        <w:rPr>
          <w:lang w:val="fr-FR"/>
        </w:rPr>
        <w:tab/>
        <w:t>Ájúdán-Bá</w:t>
      </w:r>
      <w:r w:rsidRPr="00D45A23">
        <w:rPr>
          <w:u w:val="single"/>
          <w:lang w:val="fr-FR"/>
        </w:rPr>
        <w:t>sh</w:t>
      </w:r>
      <w:r w:rsidRPr="00D45A23">
        <w:rPr>
          <w:lang w:val="fr-FR"/>
        </w:rPr>
        <w:t>í</w:t>
      </w:r>
      <w:r w:rsidRPr="00D45A23">
        <w:rPr>
          <w:lang w:val="fr-FR"/>
        </w:rPr>
        <w:tab/>
        <w:t>Pers. chief adjutant</w:t>
      </w:r>
    </w:p>
    <w:p w14:paraId="13B41235" w14:textId="77777777" w:rsidR="00625A5B" w:rsidRPr="008F03E5" w:rsidRDefault="00625A5B" w:rsidP="00F87A63">
      <w:pPr>
        <w:pStyle w:val="Translit"/>
        <w:rPr>
          <w:rFonts w:eastAsia="PMingLiU"/>
          <w:lang w:eastAsia="zh-TW"/>
        </w:rPr>
      </w:pPr>
      <w:r w:rsidRPr="00D45A23">
        <w:rPr>
          <w:rFonts w:eastAsia="PMingLiU"/>
          <w:lang w:val="fr-FR" w:eastAsia="zh-TW"/>
        </w:rPr>
        <w:t>Ajuz, ‘Ajz, A’jaz</w:t>
      </w:r>
      <w:r w:rsidRPr="00D45A23">
        <w:rPr>
          <w:rFonts w:eastAsia="PMingLiU"/>
          <w:lang w:val="fr-FR" w:eastAsia="zh-TW"/>
        </w:rPr>
        <w:tab/>
        <w:t xml:space="preserve">‘Ajuz, ‘Ajz, pl. </w:t>
      </w:r>
      <w:r w:rsidRPr="008F03E5">
        <w:rPr>
          <w:rFonts w:eastAsia="PMingLiU"/>
          <w:lang w:eastAsia="zh-TW"/>
        </w:rPr>
        <w:t>A‘jáz</w:t>
      </w:r>
      <w:r w:rsidRPr="008F03E5">
        <w:rPr>
          <w:rFonts w:eastAsia="PMingLiU"/>
          <w:lang w:eastAsia="zh-TW"/>
        </w:rPr>
        <w:tab/>
        <w:t>backside, rump, posteriors.  Also stem, stump, trunk (of palm tree) Qur’án 54:20 &amp; 69:7</w:t>
      </w:r>
    </w:p>
    <w:p w14:paraId="7E2B4222" w14:textId="77777777" w:rsidR="00625A5B" w:rsidRPr="008F03E5" w:rsidRDefault="00625A5B" w:rsidP="00F87A63">
      <w:pPr>
        <w:pStyle w:val="Translit"/>
      </w:pPr>
      <w:r w:rsidRPr="008F03E5">
        <w:rPr>
          <w:lang w:eastAsia="zh-TW"/>
        </w:rPr>
        <w:t>Ajwibatu’l-Mas</w:t>
      </w:r>
      <w:r w:rsidRPr="008F03E5">
        <w:t>á</w:t>
      </w:r>
      <w:r w:rsidRPr="008F03E5">
        <w:rPr>
          <w:lang w:eastAsia="zh-TW"/>
        </w:rPr>
        <w:t>’il, Ajwibatu’l-Mas</w:t>
      </w:r>
      <w:r w:rsidRPr="008F03E5">
        <w:t>a</w:t>
      </w:r>
      <w:r w:rsidRPr="008F03E5">
        <w:rPr>
          <w:lang w:eastAsia="zh-TW"/>
        </w:rPr>
        <w:t>’il</w:t>
      </w:r>
      <w:r w:rsidRPr="008F03E5">
        <w:tab/>
      </w:r>
      <w:r w:rsidRPr="008F03E5">
        <w:rPr>
          <w:lang w:eastAsia="zh-TW"/>
        </w:rPr>
        <w:t>Ajwibat al-Mas</w:t>
      </w:r>
      <w:r w:rsidRPr="008F03E5">
        <w:t>á</w:t>
      </w:r>
      <w:r w:rsidRPr="008F03E5">
        <w:rPr>
          <w:lang w:eastAsia="zh-TW"/>
        </w:rPr>
        <w:t>’il</w:t>
      </w:r>
      <w:r w:rsidRPr="008F03E5">
        <w:tab/>
        <w:t xml:space="preserve">“Answers to some questions”, book by </w:t>
      </w:r>
      <w:r w:rsidRPr="008F03E5">
        <w:rPr>
          <w:u w:val="single"/>
        </w:rPr>
        <w:t>Sh</w:t>
      </w:r>
      <w:r w:rsidRPr="008F03E5">
        <w:t>ay</w:t>
      </w:r>
      <w:r w:rsidRPr="008F03E5">
        <w:rPr>
          <w:u w:val="single"/>
        </w:rPr>
        <w:t>kh</w:t>
      </w:r>
      <w:r w:rsidRPr="008F03E5">
        <w:t xml:space="preserve"> Aḥmad.  Pers. </w:t>
      </w:r>
      <w:r w:rsidRPr="008F03E5">
        <w:rPr>
          <w:lang w:eastAsia="zh-TW"/>
        </w:rPr>
        <w:t>Ajwibatu’l-Mas</w:t>
      </w:r>
      <w:r w:rsidRPr="008F03E5">
        <w:t>á</w:t>
      </w:r>
      <w:r w:rsidRPr="008F03E5">
        <w:rPr>
          <w:lang w:eastAsia="zh-TW"/>
        </w:rPr>
        <w:t>’il (Ajvibatu’l-Mas</w:t>
      </w:r>
      <w:r w:rsidRPr="008F03E5">
        <w:t>a</w:t>
      </w:r>
      <w:r w:rsidRPr="008F03E5">
        <w:rPr>
          <w:lang w:eastAsia="zh-TW"/>
        </w:rPr>
        <w:t>’il).  See Jawáb</w:t>
      </w:r>
      <w:r>
        <w:rPr>
          <w:lang w:eastAsia="zh-TW"/>
        </w:rPr>
        <w:t>.</w:t>
      </w:r>
    </w:p>
    <w:p w14:paraId="5C950C1C" w14:textId="77777777" w:rsidR="00625A5B" w:rsidRPr="008F03E5" w:rsidRDefault="00625A5B" w:rsidP="00F87A63">
      <w:pPr>
        <w:pStyle w:val="Translit"/>
      </w:pPr>
      <w:r w:rsidRPr="008F03E5">
        <w:t>Ajz</w:t>
      </w:r>
      <w:r w:rsidRPr="008F03E5">
        <w:tab/>
        <w:t>‘Ajz</w:t>
      </w:r>
      <w:r w:rsidRPr="008F03E5">
        <w:tab/>
        <w:t>weakness, incapacity, disability, failure, impotence (for, to do something); deficit</w:t>
      </w:r>
    </w:p>
    <w:p w14:paraId="5CFE6E74" w14:textId="77777777" w:rsidR="00625A5B" w:rsidRPr="008F03E5" w:rsidRDefault="00625A5B" w:rsidP="00D72642">
      <w:pPr>
        <w:pStyle w:val="Translit"/>
      </w:pPr>
      <w:r w:rsidRPr="008F03E5">
        <w:t>Akasha (‘Akash, Akkash)</w:t>
      </w:r>
      <w:r w:rsidRPr="008F03E5">
        <w:tab/>
        <w:t>‘Aká</w:t>
      </w:r>
      <w:r w:rsidRPr="008F03E5">
        <w:rPr>
          <w:u w:val="single"/>
        </w:rPr>
        <w:t>sh</w:t>
      </w:r>
      <w:r w:rsidRPr="008F03E5">
        <w:t>a[h or t]</w:t>
      </w:r>
      <w:r w:rsidRPr="008F03E5">
        <w:tab/>
        <w:t>awkwardness, clumsiness</w:t>
      </w:r>
    </w:p>
    <w:p w14:paraId="27E041A4" w14:textId="77777777" w:rsidR="00625A5B" w:rsidRPr="008F03E5" w:rsidRDefault="00625A5B" w:rsidP="00F87A63">
      <w:pPr>
        <w:pStyle w:val="Translit"/>
      </w:pPr>
      <w:r w:rsidRPr="008F03E5">
        <w:t>Akbar, Akbarun, Akabir, Kubra, Kubrayat</w:t>
      </w:r>
      <w:r w:rsidRPr="008F03E5">
        <w:tab/>
        <w:t>Akbar, pl. Akbarún, Akábir</w:t>
      </w:r>
      <w:r w:rsidRPr="008F03E5">
        <w:tab/>
        <w:t xml:space="preserve">greater, bigger, larger; older; senior-ranking [comparative form of ‘kabura’ (to elevate)].  Note:  </w:t>
      </w:r>
      <w:r w:rsidRPr="008F03E5">
        <w:rPr>
          <w:i/>
          <w:iCs/>
        </w:rPr>
        <w:t>akbar,</w:t>
      </w:r>
      <w:r w:rsidRPr="008F03E5">
        <w:t xml:space="preserve"> </w:t>
      </w:r>
      <w:r w:rsidRPr="008F03E5">
        <w:rPr>
          <w:rtl/>
        </w:rPr>
        <w:t>اكبر</w:t>
      </w:r>
      <w:r w:rsidRPr="008F03E5">
        <w:t xml:space="preserve">, consists of four consonants:  </w:t>
      </w:r>
      <w:r w:rsidRPr="008F03E5">
        <w:rPr>
          <w:rtl/>
        </w:rPr>
        <w:t>ر</w:t>
      </w:r>
      <w:r w:rsidRPr="008F03E5">
        <w:t xml:space="preserve"> </w:t>
      </w:r>
      <w:r w:rsidRPr="008F03E5">
        <w:rPr>
          <w:rtl/>
        </w:rPr>
        <w:t>ب</w:t>
      </w:r>
      <w:r w:rsidRPr="008F03E5">
        <w:t xml:space="preserve"> </w:t>
      </w:r>
      <w:r w:rsidRPr="008F03E5">
        <w:rPr>
          <w:rtl/>
        </w:rPr>
        <w:t>ك</w:t>
      </w:r>
      <w:r w:rsidRPr="008F03E5">
        <w:t xml:space="preserve"> </w:t>
      </w:r>
      <w:r w:rsidRPr="008F03E5">
        <w:rPr>
          <w:rtl/>
        </w:rPr>
        <w:t>ا</w:t>
      </w:r>
      <w:r w:rsidRPr="008F03E5">
        <w:t xml:space="preserve"> (right to left in Arabic, or Alif, Káf, Bá’ and Rá’ in English)—the first letter is an Alif, but shown as a short vowel.  Fem. Kubrá, pl. Kubrayát.</w:t>
      </w:r>
    </w:p>
    <w:p w14:paraId="614300D3" w14:textId="77777777" w:rsidR="00625A5B" w:rsidRPr="008F03E5" w:rsidRDefault="00625A5B" w:rsidP="00F87A63">
      <w:pPr>
        <w:pStyle w:val="Translit"/>
        <w:rPr>
          <w:rFonts w:eastAsia="PMingLiU"/>
          <w:lang w:eastAsia="zh-TW"/>
        </w:rPr>
      </w:pPr>
      <w:r w:rsidRPr="008F03E5">
        <w:rPr>
          <w:rFonts w:eastAsia="PMingLiU"/>
          <w:lang w:eastAsia="zh-TW"/>
        </w:rPr>
        <w:t>Akbar-ibn-i-‘</w:t>
      </w:r>
      <w:r w:rsidRPr="008F03E5">
        <w:t>A</w:t>
      </w:r>
      <w:r w:rsidRPr="008F03E5">
        <w:rPr>
          <w:rFonts w:eastAsia="PMingLiU"/>
          <w:lang w:eastAsia="zh-TW"/>
        </w:rPr>
        <w:t>bid</w:t>
      </w:r>
      <w:r w:rsidRPr="008F03E5">
        <w:tab/>
      </w:r>
      <w:r w:rsidRPr="008F03E5">
        <w:rPr>
          <w:rFonts w:eastAsia="PMingLiU"/>
          <w:lang w:eastAsia="zh-TW"/>
        </w:rPr>
        <w:t>Akbar-ibn-i-‘</w:t>
      </w:r>
      <w:r w:rsidRPr="008F03E5">
        <w:t>Á</w:t>
      </w:r>
      <w:r w:rsidRPr="008F03E5">
        <w:rPr>
          <w:rFonts w:eastAsia="PMingLiU"/>
          <w:lang w:eastAsia="zh-TW"/>
        </w:rPr>
        <w:t>bid</w:t>
      </w:r>
      <w:r w:rsidRPr="008F03E5">
        <w:tab/>
      </w:r>
    </w:p>
    <w:p w14:paraId="62838D18" w14:textId="77777777" w:rsidR="00625A5B" w:rsidRPr="008F03E5" w:rsidRDefault="00625A5B" w:rsidP="00D62548">
      <w:pPr>
        <w:pStyle w:val="Translit"/>
      </w:pPr>
      <w:r w:rsidRPr="008F03E5">
        <w:t>Akh, Ikhwa, Ikhwan</w:t>
      </w:r>
      <w:r w:rsidRPr="008F03E5">
        <w:tab/>
        <w:t>A</w:t>
      </w:r>
      <w:r w:rsidRPr="008F03E5">
        <w:rPr>
          <w:u w:val="single"/>
        </w:rPr>
        <w:t>kh</w:t>
      </w:r>
      <w:r w:rsidRPr="008F03E5">
        <w:t>, pl. I</w:t>
      </w:r>
      <w:r w:rsidRPr="008F03E5">
        <w:rPr>
          <w:u w:val="single"/>
        </w:rPr>
        <w:t>kh</w:t>
      </w:r>
      <w:r w:rsidRPr="008F03E5">
        <w:t>wa, I</w:t>
      </w:r>
      <w:r w:rsidRPr="008F03E5">
        <w:rPr>
          <w:u w:val="single"/>
        </w:rPr>
        <w:t>kh</w:t>
      </w:r>
      <w:r w:rsidRPr="008F03E5">
        <w:t>wán</w:t>
      </w:r>
      <w:r w:rsidRPr="008F03E5">
        <w:tab/>
        <w:t>brother; fellow man, neighbour; friend;—pl. i</w:t>
      </w:r>
      <w:r w:rsidRPr="008F03E5">
        <w:rPr>
          <w:u w:val="single"/>
        </w:rPr>
        <w:t>kh</w:t>
      </w:r>
      <w:r w:rsidRPr="008F03E5">
        <w:t>wán specifically, brethren or members of an order; al-i</w:t>
      </w:r>
      <w:r w:rsidRPr="008F03E5">
        <w:rPr>
          <w:u w:val="single"/>
        </w:rPr>
        <w:t>kh</w:t>
      </w:r>
      <w:r w:rsidRPr="008F03E5">
        <w:t xml:space="preserve">wán religious brotherhood of the Wahabi sect, militant in character, established by </w:t>
      </w:r>
      <w:r>
        <w:t>i</w:t>
      </w:r>
      <w:r w:rsidRPr="008F03E5">
        <w:t>bn Sa‘úd in 1910</w:t>
      </w:r>
    </w:p>
    <w:p w14:paraId="6BC8C7E1" w14:textId="77777777" w:rsidR="00625A5B" w:rsidRPr="008F03E5" w:rsidRDefault="00625A5B" w:rsidP="00F87A63">
      <w:pPr>
        <w:pStyle w:val="Translit"/>
      </w:pPr>
      <w:r w:rsidRPr="008F03E5">
        <w:t>Akhar</w:t>
      </w:r>
      <w:r w:rsidRPr="008F03E5">
        <w:tab/>
        <w:t>Á</w:t>
      </w:r>
      <w:r w:rsidRPr="008F03E5">
        <w:rPr>
          <w:u w:val="single"/>
        </w:rPr>
        <w:t>kh</w:t>
      </w:r>
      <w:r w:rsidRPr="008F03E5">
        <w:t>ar</w:t>
      </w:r>
      <w:r w:rsidRPr="008F03E5">
        <w:tab/>
        <w:t>another, different, second</w:t>
      </w:r>
    </w:p>
    <w:p w14:paraId="10A8EDBD" w14:textId="77777777" w:rsidR="00625A5B" w:rsidRPr="008F03E5" w:rsidRDefault="00625A5B" w:rsidP="00152DC0">
      <w:pPr>
        <w:pStyle w:val="Translit"/>
      </w:pPr>
      <w:r w:rsidRPr="008F03E5">
        <w:t>Akhbari. Akhbariyun</w:t>
      </w:r>
      <w:r w:rsidRPr="008F03E5">
        <w:tab/>
        <w:t>A</w:t>
      </w:r>
      <w:r w:rsidRPr="008F03E5">
        <w:rPr>
          <w:u w:val="single"/>
        </w:rPr>
        <w:t>kh</w:t>
      </w:r>
      <w:r w:rsidRPr="008F03E5">
        <w:t>bárí, pl. A</w:t>
      </w:r>
      <w:r w:rsidRPr="008F03E5">
        <w:rPr>
          <w:u w:val="single"/>
        </w:rPr>
        <w:t>kh</w:t>
      </w:r>
      <w:r w:rsidRPr="008F03E5">
        <w:t>baríyún</w:t>
      </w:r>
      <w:r w:rsidRPr="008F03E5">
        <w:tab/>
        <w:t xml:space="preserve">news.  The Akhbaris are a group of Imámí jurists who only accept the traditions ascribed to the Prophet and the Imáms.  The school was founded by Mullá Muḥammad-Amír of Astarábád.  This is in contrast with the </w:t>
      </w:r>
      <w:r w:rsidRPr="008F03E5">
        <w:rPr>
          <w:i/>
          <w:iCs/>
        </w:rPr>
        <w:t>mujtahids</w:t>
      </w:r>
      <w:r w:rsidRPr="008F03E5">
        <w:t xml:space="preserve"> or the Uṣúlí (they constitute the vast majority of the Twelvers), who maintain that the </w:t>
      </w:r>
      <w:r w:rsidRPr="008F03E5">
        <w:rPr>
          <w:i/>
          <w:iCs/>
        </w:rPr>
        <w:t>mujtahid</w:t>
      </w:r>
      <w:r w:rsidRPr="008F03E5">
        <w:t xml:space="preserve"> has the right, as the deputy of the Hidden Imám, to deduce principles from the Qur’án as well as the traditions, and to use </w:t>
      </w:r>
      <w:r w:rsidRPr="008F03E5">
        <w:rPr>
          <w:i/>
          <w:iCs/>
        </w:rPr>
        <w:t>qiyás</w:t>
      </w:r>
      <w:r w:rsidRPr="008F03E5">
        <w:t xml:space="preserve"> or ‘analogy’ to make an authoritative statement.  See </w:t>
      </w:r>
      <w:r w:rsidRPr="008F03E5">
        <w:rPr>
          <w:u w:val="single"/>
        </w:rPr>
        <w:t>Kh</w:t>
      </w:r>
      <w:r w:rsidRPr="008F03E5">
        <w:t>abar, pl. A</w:t>
      </w:r>
      <w:r w:rsidRPr="008F03E5">
        <w:rPr>
          <w:u w:val="single"/>
        </w:rPr>
        <w:t>kh</w:t>
      </w:r>
      <w:r w:rsidRPr="008F03E5">
        <w:t>bár.</w:t>
      </w:r>
    </w:p>
    <w:p w14:paraId="3BB52DD3" w14:textId="77777777" w:rsidR="00625A5B" w:rsidRPr="008F03E5" w:rsidRDefault="00625A5B" w:rsidP="00F87A63">
      <w:pPr>
        <w:pStyle w:val="Translit"/>
      </w:pPr>
      <w:r w:rsidRPr="008F03E5">
        <w:t>Akhdar (Akhzar), Khadra’, Khudr</w:t>
      </w:r>
      <w:r w:rsidRPr="008F03E5">
        <w:tab/>
        <w:t>A</w:t>
      </w:r>
      <w:r w:rsidRPr="008F03E5">
        <w:rPr>
          <w:u w:val="single"/>
        </w:rPr>
        <w:t>kh</w:t>
      </w:r>
      <w:r w:rsidRPr="008F03E5">
        <w:t xml:space="preserve">ḍar (f.), </w:t>
      </w:r>
      <w:r w:rsidRPr="008F03E5">
        <w:rPr>
          <w:u w:val="single"/>
        </w:rPr>
        <w:t>Kh</w:t>
      </w:r>
      <w:r w:rsidRPr="008F03E5">
        <w:t xml:space="preserve">aḍrá’, pl. </w:t>
      </w:r>
      <w:r w:rsidRPr="008F03E5">
        <w:rPr>
          <w:u w:val="single"/>
        </w:rPr>
        <w:t>Kh</w:t>
      </w:r>
      <w:r w:rsidRPr="008F03E5">
        <w:t>uḍr</w:t>
      </w:r>
      <w:r w:rsidRPr="008F03E5">
        <w:tab/>
        <w:t>green.  al-</w:t>
      </w:r>
      <w:r w:rsidRPr="008F03E5">
        <w:rPr>
          <w:u w:val="single"/>
        </w:rPr>
        <w:t>Kh</w:t>
      </w:r>
      <w:r w:rsidRPr="008F03E5">
        <w:t xml:space="preserve">aḍrá’ “the Verdant” (epithet of Tunis); the sky.  Persian forms are similar and the ḍ is replaced by a ẓ.  </w:t>
      </w:r>
      <w:r w:rsidRPr="008F03E5">
        <w:rPr>
          <w:u w:val="single"/>
        </w:rPr>
        <w:t>Kh</w:t>
      </w:r>
      <w:r w:rsidRPr="008F03E5">
        <w:t>aḍrá’—final Hamza is left out in some books.</w:t>
      </w:r>
    </w:p>
    <w:p w14:paraId="30ABBA0A" w14:textId="77777777" w:rsidR="00625A5B" w:rsidRPr="008F03E5" w:rsidRDefault="00625A5B" w:rsidP="002F6B25">
      <w:pPr>
        <w:pStyle w:val="Translit"/>
      </w:pPr>
      <w:r w:rsidRPr="008F03E5">
        <w:t>Akhir, Akhira, Akhirun, Akhirat, Awakhir</w:t>
      </w:r>
      <w:r w:rsidRPr="008F03E5">
        <w:tab/>
        <w:t>Á</w:t>
      </w:r>
      <w:r w:rsidRPr="008F03E5">
        <w:rPr>
          <w:u w:val="single"/>
        </w:rPr>
        <w:t>kh</w:t>
      </w:r>
      <w:r w:rsidRPr="008F03E5">
        <w:t>ir, pl. Á</w:t>
      </w:r>
      <w:r w:rsidRPr="008F03E5">
        <w:rPr>
          <w:u w:val="single"/>
        </w:rPr>
        <w:t>kh</w:t>
      </w:r>
      <w:r w:rsidRPr="008F03E5">
        <w:t>irún, Awá</w:t>
      </w:r>
      <w:r w:rsidRPr="008F03E5">
        <w:rPr>
          <w:u w:val="single"/>
        </w:rPr>
        <w:t>kh</w:t>
      </w:r>
      <w:r w:rsidRPr="008F03E5">
        <w:t>ir</w:t>
      </w:r>
      <w:r w:rsidRPr="008F03E5">
        <w:tab/>
      </w:r>
      <w:r>
        <w:t xml:space="preserve">(fem. </w:t>
      </w:r>
      <w:r w:rsidRPr="008F03E5">
        <w:t>Á</w:t>
      </w:r>
      <w:r w:rsidRPr="008F03E5">
        <w:rPr>
          <w:u w:val="single"/>
        </w:rPr>
        <w:t>kh</w:t>
      </w:r>
      <w:r w:rsidRPr="008F03E5">
        <w:t>ir</w:t>
      </w:r>
      <w:r>
        <w:t xml:space="preserve">a[h or t], pl. </w:t>
      </w:r>
      <w:r w:rsidRPr="008F03E5">
        <w:t>Á</w:t>
      </w:r>
      <w:r w:rsidRPr="008F03E5">
        <w:rPr>
          <w:u w:val="single"/>
        </w:rPr>
        <w:t>kh</w:t>
      </w:r>
      <w:r w:rsidRPr="008F03E5">
        <w:t>irát</w:t>
      </w:r>
      <w:r>
        <w:t>)</w:t>
      </w:r>
      <w:r w:rsidRPr="008F03E5">
        <w:t xml:space="preserve"> last, ultimate, utmost, extreme; end, close, conclusion; foot, bottom (of a paper).  </w:t>
      </w:r>
      <w:r>
        <w:t>fem. al-</w:t>
      </w:r>
      <w:r w:rsidRPr="008F03E5">
        <w:t>á</w:t>
      </w:r>
      <w:r w:rsidRPr="008F03E5">
        <w:rPr>
          <w:u w:val="single"/>
        </w:rPr>
        <w:t>kh</w:t>
      </w:r>
      <w:r w:rsidRPr="008F03E5">
        <w:t>ira[h or t] t</w:t>
      </w:r>
      <w:r w:rsidRPr="008F03E5">
        <w:rPr>
          <w:rFonts w:eastAsia="Times New Roman"/>
        </w:rPr>
        <w:t xml:space="preserve">he invisible world, </w:t>
      </w:r>
      <w:r>
        <w:rPr>
          <w:rFonts w:eastAsia="Times New Roman"/>
        </w:rPr>
        <w:t xml:space="preserve">the </w:t>
      </w:r>
      <w:r w:rsidRPr="008F03E5">
        <w:rPr>
          <w:rFonts w:eastAsia="Times New Roman"/>
        </w:rPr>
        <w:t>afterlife</w:t>
      </w:r>
      <w:r>
        <w:rPr>
          <w:rFonts w:eastAsia="Times New Roman"/>
        </w:rPr>
        <w:t>, the hereafter</w:t>
      </w:r>
      <w:r w:rsidRPr="008F03E5">
        <w:rPr>
          <w:rFonts w:eastAsia="Times New Roman"/>
        </w:rPr>
        <w:t xml:space="preserve">. </w:t>
      </w:r>
      <w:r w:rsidRPr="008F03E5">
        <w:t xml:space="preserve"> See a</w:t>
      </w:r>
      <w:r w:rsidRPr="008F03E5">
        <w:rPr>
          <w:u w:val="single"/>
        </w:rPr>
        <w:t>kh</w:t>
      </w:r>
      <w:r w:rsidRPr="008F03E5">
        <w:t>úr, dunyá and awwal.</w:t>
      </w:r>
    </w:p>
    <w:p w14:paraId="470CE8ED" w14:textId="77777777" w:rsidR="00625A5B" w:rsidRPr="008F03E5" w:rsidRDefault="00625A5B" w:rsidP="00D35ED8">
      <w:pPr>
        <w:pStyle w:val="Translit"/>
      </w:pPr>
      <w:r w:rsidRPr="008F03E5">
        <w:t>Akhir</w:t>
      </w:r>
      <w:r>
        <w:t>, Uthra, Awakhir</w:t>
      </w:r>
      <w:r w:rsidRPr="008F03E5">
        <w:tab/>
        <w:t>A</w:t>
      </w:r>
      <w:r w:rsidRPr="008F03E5">
        <w:rPr>
          <w:u w:val="single"/>
        </w:rPr>
        <w:t>kh</w:t>
      </w:r>
      <w:r w:rsidRPr="008F03E5">
        <w:t>ír</w:t>
      </w:r>
      <w:r>
        <w:t>, irregular fem. U</w:t>
      </w:r>
      <w:r w:rsidRPr="002F6B25">
        <w:rPr>
          <w:u w:val="single"/>
        </w:rPr>
        <w:t>th</w:t>
      </w:r>
      <w:r>
        <w:t>r</w:t>
      </w:r>
      <w:r w:rsidRPr="002F6B25">
        <w:t>á</w:t>
      </w:r>
      <w:r>
        <w:t>, pl</w:t>
      </w:r>
      <w:r w:rsidRPr="00D35ED8">
        <w:t xml:space="preserve">. </w:t>
      </w:r>
      <w:r>
        <w:t>A</w:t>
      </w:r>
      <w:r w:rsidRPr="00D35ED8">
        <w:rPr>
          <w:rFonts w:eastAsia="Times New Roman"/>
        </w:rPr>
        <w:t>wá</w:t>
      </w:r>
      <w:r w:rsidRPr="00D35ED8">
        <w:rPr>
          <w:rFonts w:eastAsia="Times New Roman"/>
          <w:u w:val="single"/>
        </w:rPr>
        <w:t>kh</w:t>
      </w:r>
      <w:r w:rsidRPr="00D35ED8">
        <w:rPr>
          <w:rFonts w:eastAsia="Times New Roman"/>
        </w:rPr>
        <w:t>ir</w:t>
      </w:r>
      <w:r w:rsidRPr="008F03E5">
        <w:tab/>
        <w:t>last; latest; rearmost; the second of two</w:t>
      </w:r>
      <w:r>
        <w:t>.  irregular fem. al-u</w:t>
      </w:r>
      <w:r w:rsidRPr="002F6B25">
        <w:rPr>
          <w:u w:val="single"/>
        </w:rPr>
        <w:t>kh</w:t>
      </w:r>
      <w:r>
        <w:t xml:space="preserve">rá, </w:t>
      </w:r>
      <w:r w:rsidRPr="008F03E5">
        <w:t>t</w:t>
      </w:r>
      <w:r w:rsidRPr="008F03E5">
        <w:rPr>
          <w:rFonts w:eastAsia="Times New Roman"/>
        </w:rPr>
        <w:t xml:space="preserve">he invisible world, </w:t>
      </w:r>
      <w:r>
        <w:rPr>
          <w:rFonts w:eastAsia="Times New Roman"/>
        </w:rPr>
        <w:t xml:space="preserve">the </w:t>
      </w:r>
      <w:r w:rsidRPr="008F03E5">
        <w:rPr>
          <w:rFonts w:eastAsia="Times New Roman"/>
        </w:rPr>
        <w:t>afterlife</w:t>
      </w:r>
      <w:r>
        <w:rPr>
          <w:rFonts w:eastAsia="Times New Roman"/>
        </w:rPr>
        <w:t>, the hereafter</w:t>
      </w:r>
      <w:r w:rsidRPr="008F03E5">
        <w:rPr>
          <w:rFonts w:eastAsia="Times New Roman"/>
        </w:rPr>
        <w:t>.</w:t>
      </w:r>
    </w:p>
    <w:p w14:paraId="55509706" w14:textId="77777777" w:rsidR="00625A5B" w:rsidRPr="008F03E5" w:rsidRDefault="00625A5B" w:rsidP="00F87A63">
      <w:pPr>
        <w:pStyle w:val="Translit"/>
      </w:pPr>
      <w:r w:rsidRPr="008F03E5">
        <w:t>Akhlat</w:t>
      </w:r>
      <w:r w:rsidRPr="008F03E5">
        <w:tab/>
        <w:t>Á</w:t>
      </w:r>
      <w:r w:rsidRPr="008F03E5">
        <w:rPr>
          <w:u w:val="single"/>
        </w:rPr>
        <w:t>kh</w:t>
      </w:r>
      <w:r w:rsidRPr="008F03E5">
        <w:t>laṭ</w:t>
      </w:r>
      <w:r w:rsidRPr="008F03E5">
        <w:tab/>
        <w:t>Turkish (also Ahlat; Armenian Khlat) is a historic town and district on the west side of Lake Van.</w:t>
      </w:r>
    </w:p>
    <w:p w14:paraId="0FBEB399" w14:textId="77777777" w:rsidR="00625A5B" w:rsidRPr="008F03E5" w:rsidRDefault="00625A5B" w:rsidP="00F87A63">
      <w:pPr>
        <w:pStyle w:val="Translit"/>
      </w:pPr>
      <w:r w:rsidRPr="008F03E5">
        <w:t>Akhtar, Akhtaran</w:t>
      </w:r>
      <w:r w:rsidRPr="008F03E5">
        <w:tab/>
        <w:t>A</w:t>
      </w:r>
      <w:r w:rsidRPr="008F03E5">
        <w:rPr>
          <w:u w:val="single"/>
        </w:rPr>
        <w:t>kh</w:t>
      </w:r>
      <w:r w:rsidRPr="008F03E5">
        <w:t>tar, pl. A</w:t>
      </w:r>
      <w:r w:rsidRPr="008F03E5">
        <w:rPr>
          <w:u w:val="single"/>
        </w:rPr>
        <w:t>kh</w:t>
      </w:r>
      <w:r w:rsidRPr="008F03E5">
        <w:t>tarán</w:t>
      </w:r>
      <w:r w:rsidRPr="008F03E5">
        <w:tab/>
        <w:t>Pers. a star; horoscope, predominant star at anyone’s nativity; an omen, augury; an ensign, standard; name of an angel.  Name of a newspaper.</w:t>
      </w:r>
    </w:p>
    <w:p w14:paraId="21FCB612" w14:textId="77777777" w:rsidR="00625A5B" w:rsidRPr="008F03E5" w:rsidRDefault="00625A5B" w:rsidP="00F87A63">
      <w:pPr>
        <w:pStyle w:val="Translit"/>
      </w:pPr>
      <w:r w:rsidRPr="001B1929">
        <w:rPr>
          <w:lang w:val="en-AU"/>
        </w:rPr>
        <w:t>Akhtaran Taban</w:t>
      </w:r>
      <w:r w:rsidRPr="001B1929">
        <w:rPr>
          <w:lang w:val="en-AU"/>
        </w:rPr>
        <w:tab/>
        <w:t>A</w:t>
      </w:r>
      <w:r w:rsidRPr="001B1929">
        <w:rPr>
          <w:u w:val="single"/>
          <w:lang w:val="en-AU"/>
        </w:rPr>
        <w:t>kh</w:t>
      </w:r>
      <w:r w:rsidRPr="001B1929">
        <w:rPr>
          <w:lang w:val="en-AU"/>
        </w:rPr>
        <w:t>tarán-i-Tábán</w:t>
      </w:r>
      <w:r w:rsidRPr="001B1929">
        <w:rPr>
          <w:lang w:val="en-AU"/>
        </w:rPr>
        <w:tab/>
        <w:t xml:space="preserve">Pers. </w:t>
      </w:r>
      <w:r w:rsidRPr="008F03E5">
        <w:t>“brilliant stars”.  Book by Furú</w:t>
      </w:r>
      <w:r w:rsidRPr="008F03E5">
        <w:rPr>
          <w:u w:val="single"/>
        </w:rPr>
        <w:t>gh</w:t>
      </w:r>
      <w:r w:rsidRPr="008F03E5">
        <w:t xml:space="preserve"> Arbáb.</w:t>
      </w:r>
    </w:p>
    <w:p w14:paraId="76E1A0EF" w14:textId="77777777" w:rsidR="00625A5B" w:rsidRPr="008F03E5" w:rsidRDefault="00625A5B" w:rsidP="00F87A63">
      <w:pPr>
        <w:pStyle w:val="Translit"/>
        <w:rPr>
          <w:lang w:eastAsia="zh-TW"/>
        </w:rPr>
      </w:pPr>
      <w:r w:rsidRPr="008F03E5">
        <w:rPr>
          <w:lang w:eastAsia="zh-TW"/>
        </w:rPr>
        <w:t>Akhtar-Khawari (Akhtar-Khavari)</w:t>
      </w:r>
      <w:r w:rsidRPr="008F03E5">
        <w:tab/>
      </w:r>
      <w:r w:rsidRPr="008F03E5">
        <w:rPr>
          <w:lang w:eastAsia="zh-TW"/>
        </w:rPr>
        <w:t>A</w:t>
      </w:r>
      <w:r w:rsidRPr="008F03E5">
        <w:rPr>
          <w:u w:val="single"/>
        </w:rPr>
        <w:t>kh</w:t>
      </w:r>
      <w:r w:rsidRPr="008F03E5">
        <w:t>tar-</w:t>
      </w:r>
      <w:r w:rsidRPr="008F03E5">
        <w:rPr>
          <w:u w:val="single"/>
        </w:rPr>
        <w:t>Kh</w:t>
      </w:r>
      <w:r w:rsidRPr="008F03E5">
        <w:rPr>
          <w:lang w:eastAsia="zh-TW"/>
        </w:rPr>
        <w:t>áwarí</w:t>
      </w:r>
      <w:r w:rsidRPr="008F03E5">
        <w:tab/>
      </w:r>
    </w:p>
    <w:p w14:paraId="48E7ED34" w14:textId="77777777" w:rsidR="00625A5B" w:rsidRPr="008F03E5" w:rsidRDefault="00625A5B" w:rsidP="00F87A63">
      <w:pPr>
        <w:pStyle w:val="Translit"/>
      </w:pPr>
      <w:r w:rsidRPr="008F03E5">
        <w:t>Akhu’th-Thamarah</w:t>
      </w:r>
      <w:r w:rsidRPr="008F03E5">
        <w:tab/>
        <w:t>A</w:t>
      </w:r>
      <w:r w:rsidRPr="008F03E5">
        <w:rPr>
          <w:u w:val="single"/>
        </w:rPr>
        <w:t>kh</w:t>
      </w:r>
      <w:r w:rsidRPr="008F03E5">
        <w:t>u’</w:t>
      </w:r>
      <w:r w:rsidRPr="008F03E5">
        <w:rPr>
          <w:u w:val="single"/>
        </w:rPr>
        <w:t>th</w:t>
      </w:r>
      <w:r w:rsidRPr="008F03E5">
        <w:t>-</w:t>
      </w:r>
      <w:r w:rsidRPr="008F03E5">
        <w:rPr>
          <w:u w:val="single"/>
        </w:rPr>
        <w:t>Th</w:t>
      </w:r>
      <w:r w:rsidRPr="008F03E5">
        <w:t>amarah</w:t>
      </w:r>
      <w:r w:rsidRPr="008F03E5">
        <w:tab/>
        <w:t>“the Brother of the Fruit”.  Báb:  “A</w:t>
      </w:r>
      <w:r w:rsidRPr="008F03E5">
        <w:rPr>
          <w:u w:val="single"/>
        </w:rPr>
        <w:t>kh</w:t>
      </w:r>
      <w:r w:rsidRPr="008F03E5">
        <w:t>u’</w:t>
      </w:r>
      <w:r w:rsidRPr="008F03E5">
        <w:rPr>
          <w:u w:val="single"/>
        </w:rPr>
        <w:t>th</w:t>
      </w:r>
      <w:r w:rsidRPr="008F03E5">
        <w:t>-</w:t>
      </w:r>
      <w:r w:rsidRPr="008F03E5">
        <w:rPr>
          <w:u w:val="single"/>
        </w:rPr>
        <w:t>Th</w:t>
      </w:r>
      <w:r w:rsidRPr="008F03E5">
        <w:t>amarah, 238”—The fruit is Mírzá Yaḥyá and 238 equals Ḥusayn-‘Alí (Bahá’u’lláh)</w:t>
      </w:r>
    </w:p>
    <w:p w14:paraId="0483D1D0" w14:textId="77777777" w:rsidR="00625A5B" w:rsidRPr="008F03E5" w:rsidRDefault="00625A5B" w:rsidP="0061187E">
      <w:pPr>
        <w:pStyle w:val="Translit"/>
      </w:pPr>
      <w:r w:rsidRPr="008F03E5">
        <w:t>Akhur</w:t>
      </w:r>
      <w:r w:rsidRPr="008F03E5">
        <w:tab/>
        <w:t>A</w:t>
      </w:r>
      <w:r w:rsidRPr="008F03E5">
        <w:rPr>
          <w:u w:val="single"/>
        </w:rPr>
        <w:t>kh</w:t>
      </w:r>
      <w:r w:rsidRPr="008F03E5">
        <w:t>úr, Pers. also Á</w:t>
      </w:r>
      <w:r w:rsidRPr="008F03E5">
        <w:rPr>
          <w:u w:val="single"/>
        </w:rPr>
        <w:t>kh</w:t>
      </w:r>
      <w:r w:rsidRPr="008F03E5">
        <w:t>ur</w:t>
      </w:r>
      <w:r w:rsidRPr="008F03E5">
        <w:tab/>
        <w:t>a stall, a[n animal] stable or barn for horses; the collar-bone.  ‘Abdu’l-Bahá substituted á</w:t>
      </w:r>
      <w:r w:rsidRPr="008F03E5">
        <w:rPr>
          <w:u w:val="single"/>
        </w:rPr>
        <w:t>kh</w:t>
      </w:r>
      <w:r w:rsidRPr="008F03E5">
        <w:t>ur for á</w:t>
      </w:r>
      <w:r w:rsidRPr="008F03E5">
        <w:rPr>
          <w:u w:val="single"/>
        </w:rPr>
        <w:t>kh</w:t>
      </w:r>
      <w:r w:rsidRPr="008F03E5">
        <w:t>ir on a number of occasions when referring to the ‘ulamá</w:t>
      </w:r>
      <w:r>
        <w:t>’</w:t>
      </w:r>
      <w:r w:rsidRPr="008F03E5">
        <w:t xml:space="preserve">:  “They have held to this [animal] stable but they have not seen the ultimate of things.”  </w:t>
      </w:r>
      <w:r w:rsidRPr="008F03E5">
        <w:rPr>
          <w:i/>
          <w:iCs/>
        </w:rPr>
        <w:t>Diary of Juliet Thompson</w:t>
      </w:r>
      <w:r w:rsidRPr="008F03E5">
        <w:rPr>
          <w:lang w:eastAsia="en-US"/>
        </w:rPr>
        <w:t xml:space="preserve">, p. 102.  </w:t>
      </w:r>
      <w:r w:rsidRPr="008F03E5">
        <w:t>See Á</w:t>
      </w:r>
      <w:r w:rsidRPr="008F03E5">
        <w:rPr>
          <w:u w:val="single"/>
        </w:rPr>
        <w:t>kh</w:t>
      </w:r>
      <w:r w:rsidRPr="008F03E5">
        <w:t>ir.</w:t>
      </w:r>
    </w:p>
    <w:p w14:paraId="5014DDF2" w14:textId="77777777" w:rsidR="00625A5B" w:rsidRPr="008F03E5" w:rsidRDefault="00625A5B" w:rsidP="00A62BA1">
      <w:pPr>
        <w:pStyle w:val="Translit"/>
      </w:pPr>
      <w:r w:rsidRPr="008F03E5">
        <w:t>Akhwand, Akhund, Akhwanda-ha</w:t>
      </w:r>
      <w:r w:rsidRPr="008F03E5">
        <w:tab/>
        <w:t>A</w:t>
      </w:r>
      <w:r w:rsidRPr="008F03E5">
        <w:rPr>
          <w:u w:val="single"/>
        </w:rPr>
        <w:t>kh</w:t>
      </w:r>
      <w:r w:rsidRPr="008F03E5">
        <w:t>wánd, A</w:t>
      </w:r>
      <w:r w:rsidRPr="008F03E5">
        <w:rPr>
          <w:u w:val="single"/>
        </w:rPr>
        <w:t>kh</w:t>
      </w:r>
      <w:r w:rsidRPr="008F03E5">
        <w:t>únd, pl. A</w:t>
      </w:r>
      <w:r w:rsidRPr="008F03E5">
        <w:rPr>
          <w:u w:val="single"/>
        </w:rPr>
        <w:t>kh</w:t>
      </w:r>
      <w:r w:rsidRPr="008F03E5">
        <w:t>wánda-há</w:t>
      </w:r>
      <w:r w:rsidRPr="008F03E5">
        <w:tab/>
        <w:t>Pers. (also “Á</w:t>
      </w:r>
      <w:r w:rsidRPr="008F03E5">
        <w:rPr>
          <w:u w:val="single"/>
        </w:rPr>
        <w:t>kh</w:t>
      </w:r>
      <w:r w:rsidRPr="008F03E5">
        <w:t>únd” and Akhond) tutor, master, preacher (low ranking Muslim priest or mullah).  See ‘Alí-Akbar-i-</w:t>
      </w:r>
      <w:r w:rsidRPr="008F03E5">
        <w:rPr>
          <w:u w:val="single"/>
        </w:rPr>
        <w:t>Sh</w:t>
      </w:r>
      <w:r w:rsidRPr="008F03E5">
        <w:t>ahmírzádí.</w:t>
      </w:r>
    </w:p>
    <w:p w14:paraId="4B936E65" w14:textId="77777777" w:rsidR="00625A5B" w:rsidRPr="008F03E5" w:rsidRDefault="00625A5B" w:rsidP="00A62BA1">
      <w:pPr>
        <w:pStyle w:val="Translit"/>
      </w:pPr>
      <w:r w:rsidRPr="008F03E5">
        <w:t>Akif, Akifan</w:t>
      </w:r>
      <w:r w:rsidRPr="008F03E5">
        <w:tab/>
        <w:t>‘Ákif, pl. ‘Ákifán</w:t>
      </w:r>
      <w:r w:rsidRPr="008F03E5">
        <w:tab/>
        <w:t>Pers. assiduous, diligent; constantly staying in the mosque and employed in devotion</w:t>
      </w:r>
    </w:p>
    <w:p w14:paraId="71FEFE97" w14:textId="77777777" w:rsidR="00625A5B" w:rsidRPr="008F03E5" w:rsidRDefault="00625A5B" w:rsidP="00F87A63">
      <w:pPr>
        <w:pStyle w:val="Translit"/>
      </w:pPr>
      <w:r w:rsidRPr="008F03E5">
        <w:t>Akka, ‘Akk</w:t>
      </w:r>
      <w:r w:rsidRPr="008F03E5">
        <w:tab/>
        <w:t>‘Akka (‘Akk)</w:t>
      </w:r>
      <w:r w:rsidRPr="008F03E5">
        <w:tab/>
        <w:t>to be sultry, muggy (day), sweltering</w:t>
      </w:r>
    </w:p>
    <w:p w14:paraId="5E79E841" w14:textId="77777777" w:rsidR="00625A5B" w:rsidRPr="008F03E5" w:rsidRDefault="00625A5B" w:rsidP="003530D3">
      <w:pPr>
        <w:pStyle w:val="Translit"/>
      </w:pPr>
      <w:r w:rsidRPr="008F03E5">
        <w:t>Akka, ‘Akka’</w:t>
      </w:r>
      <w:r w:rsidRPr="008F03E5">
        <w:tab/>
        <w:t>‘Akka[h], ‘Akká’ and ‘Akká</w:t>
      </w:r>
      <w:r w:rsidRPr="008F03E5">
        <w:tab/>
        <w:t xml:space="preserve">‘Ako (Hebrew, more commonly spelt Akko) or Acre (seaport in Israel).  ‘Akká is the Arabic form used by Bahá’ís.  Houses in ‘Akká used by the Bahá’ís:  Malik, </w:t>
      </w:r>
      <w:r w:rsidRPr="008F03E5">
        <w:rPr>
          <w:u w:val="single"/>
        </w:rPr>
        <w:t>Kh</w:t>
      </w:r>
      <w:r w:rsidRPr="008F03E5">
        <w:t xml:space="preserve">avvám and Rábi’ih, ‘Údí </w:t>
      </w:r>
      <w:r w:rsidRPr="008F03E5">
        <w:rPr>
          <w:u w:val="single"/>
        </w:rPr>
        <w:t>Kh</w:t>
      </w:r>
      <w:r w:rsidRPr="008F03E5">
        <w:t>ammár and ‘Abbúd.  Bahá’u’lláh’s family left in 1877 for Mazra‘ih.</w:t>
      </w:r>
    </w:p>
    <w:p w14:paraId="05CFFA21" w14:textId="77777777" w:rsidR="00625A5B" w:rsidRPr="008F03E5" w:rsidRDefault="00625A5B" w:rsidP="002E7509">
      <w:pPr>
        <w:pStyle w:val="Translit"/>
      </w:pPr>
      <w:r w:rsidRPr="00996C31">
        <w:t>Akram, Akrama, Akarim</w:t>
      </w:r>
      <w:r w:rsidRPr="00996C31">
        <w:tab/>
        <w:t xml:space="preserve">Akram, Akrama, pl. </w:t>
      </w:r>
      <w:r w:rsidRPr="008F03E5">
        <w:t>Akárim</w:t>
      </w:r>
      <w:r w:rsidRPr="008F03E5">
        <w:tab/>
        <w:t>nobler more distinguished; more precious, more valuable; most honourable; very high-minded, very noble-hearted, most generous</w:t>
      </w:r>
    </w:p>
    <w:p w14:paraId="16BB88C6" w14:textId="77777777" w:rsidR="00625A5B" w:rsidRPr="008F03E5" w:rsidRDefault="00625A5B" w:rsidP="00F87A63">
      <w:pPr>
        <w:pStyle w:val="Translit"/>
      </w:pPr>
      <w:r w:rsidRPr="008F03E5">
        <w:t>Akthar</w:t>
      </w:r>
      <w:r w:rsidRPr="008F03E5">
        <w:tab/>
        <w:t>Ak</w:t>
      </w:r>
      <w:r w:rsidRPr="008F03E5">
        <w:rPr>
          <w:u w:val="single"/>
        </w:rPr>
        <w:t>th</w:t>
      </w:r>
      <w:r w:rsidRPr="008F03E5">
        <w:t>ar</w:t>
      </w:r>
      <w:r w:rsidRPr="008F03E5">
        <w:tab/>
        <w:t>more; oftener, more frequently; more numerous; longer; most; major portion, greater part, majority</w:t>
      </w:r>
    </w:p>
    <w:p w14:paraId="337AE407" w14:textId="77777777" w:rsidR="00625A5B" w:rsidRPr="008F03E5" w:rsidRDefault="00625A5B" w:rsidP="00753851">
      <w:pPr>
        <w:pStyle w:val="Translit"/>
      </w:pPr>
      <w:r w:rsidRPr="008F03E5">
        <w:t>Al</w:t>
      </w:r>
      <w:r w:rsidRPr="008F03E5">
        <w:tab/>
        <w:t>Ál</w:t>
      </w:r>
      <w:r w:rsidRPr="008F03E5">
        <w:tab/>
        <w:t>family, relatives, kinsfolk, clan; companions, partisans, people; mirage, fatamorgana.  This is not the Arabic definite article al-.  Ál-mán (“our kin”) used by ‘Abdu’l-Bahá as a play on the word alámán (a German) in Persian.</w:t>
      </w:r>
    </w:p>
    <w:p w14:paraId="0C8AC10E" w14:textId="77777777" w:rsidR="00625A5B" w:rsidRPr="008F03E5" w:rsidRDefault="00625A5B" w:rsidP="004734DC">
      <w:pPr>
        <w:pStyle w:val="Translit"/>
      </w:pPr>
      <w:r w:rsidRPr="008F03E5">
        <w:t>Al-</w:t>
      </w:r>
      <w:r w:rsidRPr="008F03E5">
        <w:tab/>
        <w:t>al-</w:t>
      </w:r>
      <w:r w:rsidRPr="008F03E5">
        <w:tab/>
        <w:t xml:space="preserve">the definite article in Arabic, often translated as “the” in English.  The letter “l” is replaced by a sun letter if the following word starts with one of the 14 sun letters—refer to the </w:t>
      </w:r>
      <w:r w:rsidRPr="008F03E5">
        <w:rPr>
          <w:i/>
          <w:iCs/>
        </w:rPr>
        <w:t>Arabic letters and abjad values</w:t>
      </w:r>
      <w:r w:rsidRPr="008F03E5">
        <w:t xml:space="preserve"> section.</w:t>
      </w:r>
    </w:p>
    <w:p w14:paraId="421CE7C3" w14:textId="77777777" w:rsidR="00625A5B" w:rsidRPr="008F03E5" w:rsidRDefault="00625A5B" w:rsidP="001C205F">
      <w:pPr>
        <w:pStyle w:val="Translit"/>
      </w:pPr>
      <w:r w:rsidRPr="008F03E5">
        <w:t>Alaʼ ad-Din, ʻAlaʼ ud-Din, ‘Ala’u’d-Din</w:t>
      </w:r>
      <w:r w:rsidRPr="008F03E5">
        <w:tab/>
        <w:t>ʻAláʼ ad-Dín, ʻAláʼ ud-Dín, ‘Alá’u’d-Dín</w:t>
      </w:r>
      <w:r w:rsidRPr="008F03E5">
        <w:tab/>
        <w:t>(</w:t>
      </w:r>
      <w:r w:rsidRPr="008F03E5">
        <w:rPr>
          <w:rtl/>
        </w:rPr>
        <w:t>علاء الدين</w:t>
      </w:r>
      <w:r w:rsidRPr="008F03E5">
        <w:t>) Aladdin (form dependent on whether nominative, genitive or accusative) is a male given name “nobility of faith” or “nobility of creed/religion”.  Sometimes written ‘Alá’u-d-dín</w:t>
      </w:r>
      <w:r>
        <w:t xml:space="preserve"> or</w:t>
      </w:r>
      <w:r w:rsidRPr="008F03E5">
        <w:t xml:space="preserve"> ‘Alá ad-Dunyá wa ad-Dín Abu’l Muẓaffar Tekish</w:t>
      </w:r>
      <w:r>
        <w:t xml:space="preserve"> (</w:t>
      </w:r>
      <w:r w:rsidRPr="006153D3">
        <w:t>Tekiş</w:t>
      </w:r>
      <w:r>
        <w:t>?</w:t>
      </w:r>
      <w:r w:rsidRPr="008F03E5">
        <w:t xml:space="preserve"> ibn Il-Arslán, Shah of the Khwarezmian Empire (r. 1172–1200).  His son, ‘Alá ad-Dín Muḥammad II (full name:  ‘Alá ad-Dunyá wa ad-Dín Abu’l-Fatḥ Muḥammad Sanjar ibn Tekish), Shah of the Khwarezmian Empire (r. 1200–1220).  He is perhaps best known for inciting the Mongol invasion of Khwarezmia, which resulted in the utter destruction of his empire.</w:t>
      </w:r>
    </w:p>
    <w:p w14:paraId="69F40E16" w14:textId="77777777" w:rsidR="00625A5B" w:rsidRPr="008F03E5" w:rsidRDefault="00625A5B" w:rsidP="003277BD">
      <w:pPr>
        <w:pStyle w:val="Translit"/>
      </w:pPr>
      <w:r w:rsidRPr="008F03E5">
        <w:t>Ala</w:t>
      </w:r>
      <w:r w:rsidRPr="008F03E5">
        <w:tab/>
        <w:t>‘Alá</w:t>
      </w:r>
      <w:r w:rsidRPr="008F03E5">
        <w:tab/>
        <w:t>(preposition) on, upon, on top of, above, over (place, rank); at, on, by; in, in the state of, in the manner of, in possession of; to, toward, for; in addition to; to the debit of, to the disadvantage of; against, in spite of, despite; on the basis of, on the strength of, by virtue of, due to, upon; by, through; according to, in accordance with, pursuant to; to (one’s taste, one’s mind, one’s liking, etc.); during</w:t>
      </w:r>
    </w:p>
    <w:p w14:paraId="52CD518F" w14:textId="77777777" w:rsidR="00625A5B" w:rsidRPr="008F03E5" w:rsidRDefault="00625A5B" w:rsidP="00F87A63">
      <w:pPr>
        <w:pStyle w:val="Translit"/>
      </w:pPr>
      <w:r w:rsidRPr="008F03E5">
        <w:t>Ala</w:t>
      </w:r>
      <w:r w:rsidRPr="008F03E5">
        <w:tab/>
        <w:t>‘Alá’</w:t>
      </w:r>
      <w:r w:rsidRPr="008F03E5">
        <w:tab/>
        <w:t>high rank, high standing, nobility; loftiness</w:t>
      </w:r>
    </w:p>
    <w:p w14:paraId="29BEC68C" w14:textId="77777777" w:rsidR="00625A5B" w:rsidRPr="008F03E5" w:rsidRDefault="00625A5B" w:rsidP="00291E6A">
      <w:pPr>
        <w:pStyle w:val="Translit"/>
      </w:pPr>
      <w:r w:rsidRPr="008F03E5">
        <w:t>Ala, Uluw</w:t>
      </w:r>
      <w:r w:rsidRPr="008F03E5">
        <w:tab/>
        <w:t>‘Alá, ‘Ulúw</w:t>
      </w:r>
      <w:r w:rsidRPr="008F03E5">
        <w:tab/>
        <w:t>to be high, elevated, rise high, loom, tower up; to rise, ascend; to ring out (voice); etc.</w:t>
      </w:r>
    </w:p>
    <w:p w14:paraId="16D3BC68" w14:textId="77777777" w:rsidR="00625A5B" w:rsidRPr="008F03E5" w:rsidRDefault="00625A5B" w:rsidP="00F87A63">
      <w:pPr>
        <w:pStyle w:val="Translit"/>
      </w:pPr>
      <w:r w:rsidRPr="008F03E5">
        <w:t>Ala’</w:t>
      </w:r>
      <w:r w:rsidRPr="008F03E5">
        <w:tab/>
        <w:t>Álá’</w:t>
      </w:r>
      <w:r w:rsidRPr="008F03E5">
        <w:tab/>
        <w:t>Pers. benefits, favours, kindnesses</w:t>
      </w:r>
    </w:p>
    <w:p w14:paraId="53EFA990" w14:textId="77777777" w:rsidR="00625A5B" w:rsidRPr="008F03E5" w:rsidRDefault="00625A5B" w:rsidP="00D77921">
      <w:pPr>
        <w:pStyle w:val="Translit"/>
      </w:pPr>
      <w:r w:rsidRPr="008F03E5">
        <w:t>Ala’i</w:t>
      </w:r>
      <w:r w:rsidRPr="008F03E5">
        <w:tab/>
        <w:t>‘Alá’í (</w:t>
      </w:r>
      <w:r w:rsidRPr="008F03E5">
        <w:rPr>
          <w:rtl/>
        </w:rPr>
        <w:t>علائی</w:t>
      </w:r>
      <w:r w:rsidRPr="008F03E5">
        <w:t>)</w:t>
      </w:r>
      <w:r w:rsidRPr="008F03E5">
        <w:tab/>
        <w:t xml:space="preserve">from the root ‘Alá, high, elevated.  </w:t>
      </w:r>
      <w:r w:rsidRPr="008F03E5">
        <w:rPr>
          <w:u w:val="single"/>
        </w:rPr>
        <w:t>Sh</w:t>
      </w:r>
      <w:r w:rsidRPr="008F03E5">
        <w:t>u‘á‘u’lláh ‘Alá’í, Hand of the Cause of God.</w:t>
      </w:r>
    </w:p>
    <w:p w14:paraId="2C48D39A" w14:textId="77777777" w:rsidR="00625A5B" w:rsidRPr="008F03E5" w:rsidRDefault="00625A5B" w:rsidP="00C028B0">
      <w:pPr>
        <w:pStyle w:val="Translit"/>
      </w:pPr>
      <w:r w:rsidRPr="008F03E5">
        <w:t>Ala’u’d-Dawlih</w:t>
      </w:r>
      <w:r w:rsidRPr="008F03E5">
        <w:tab/>
        <w:t>‘Alá’u’d-Dawlih, Yúsuf</w:t>
      </w:r>
      <w:r w:rsidRPr="008F03E5">
        <w:tab/>
      </w:r>
    </w:p>
    <w:p w14:paraId="00EA9011" w14:textId="77777777" w:rsidR="00625A5B" w:rsidRPr="008F03E5" w:rsidRDefault="00625A5B" w:rsidP="00F87A63">
      <w:pPr>
        <w:pStyle w:val="Translit"/>
      </w:pPr>
      <w:r w:rsidRPr="008F03E5">
        <w:t>Alam al-Hayawan</w:t>
      </w:r>
      <w:r w:rsidRPr="008F03E5">
        <w:tab/>
        <w:t>‘Álam al-Ḥayawán</w:t>
      </w:r>
      <w:r w:rsidRPr="008F03E5">
        <w:tab/>
        <w:t>the animal kingdom</w:t>
      </w:r>
    </w:p>
    <w:p w14:paraId="41A59CD7" w14:textId="77777777" w:rsidR="00625A5B" w:rsidRPr="008F03E5" w:rsidRDefault="00625A5B" w:rsidP="00F87A63">
      <w:pPr>
        <w:pStyle w:val="Translit"/>
      </w:pPr>
      <w:r w:rsidRPr="008F03E5">
        <w:t>Alam al-Ma’adin</w:t>
      </w:r>
      <w:r w:rsidRPr="008F03E5">
        <w:tab/>
        <w:t>‘Álam al-Ma‘ádin</w:t>
      </w:r>
      <w:r w:rsidRPr="008F03E5">
        <w:tab/>
        <w:t>the mineral kingdom</w:t>
      </w:r>
    </w:p>
    <w:p w14:paraId="097EB495" w14:textId="77777777" w:rsidR="00625A5B" w:rsidRPr="008F03E5" w:rsidRDefault="00625A5B" w:rsidP="00F87A63">
      <w:pPr>
        <w:pStyle w:val="Translit"/>
      </w:pPr>
      <w:r w:rsidRPr="008F03E5">
        <w:t>Alam an-Nabat</w:t>
      </w:r>
      <w:r w:rsidRPr="008F03E5">
        <w:tab/>
        <w:t>‘Álam an-Nabát</w:t>
      </w:r>
      <w:r w:rsidRPr="008F03E5">
        <w:tab/>
        <w:t>the vegetable kingdom</w:t>
      </w:r>
    </w:p>
    <w:p w14:paraId="5CE27A37" w14:textId="77777777" w:rsidR="00625A5B" w:rsidRPr="008F03E5" w:rsidRDefault="00625A5B" w:rsidP="00F87A63">
      <w:pPr>
        <w:pStyle w:val="Translit"/>
      </w:pPr>
      <w:r w:rsidRPr="008F03E5">
        <w:t>Alam</w:t>
      </w:r>
      <w:r w:rsidRPr="008F03E5">
        <w:tab/>
        <w:t>Alam, pl. Álám</w:t>
      </w:r>
      <w:r w:rsidRPr="008F03E5">
        <w:tab/>
        <w:t>pain, ache, suffering, agony</w:t>
      </w:r>
    </w:p>
    <w:p w14:paraId="777771C2" w14:textId="77777777" w:rsidR="00625A5B" w:rsidRPr="008F03E5" w:rsidRDefault="00625A5B" w:rsidP="00267500">
      <w:pPr>
        <w:pStyle w:val="Translit"/>
      </w:pPr>
      <w:r w:rsidRPr="00D45A23">
        <w:rPr>
          <w:lang w:val="pl-PL"/>
        </w:rPr>
        <w:t>Alam, A’lam (I’lam)</w:t>
      </w:r>
      <w:r w:rsidRPr="00D45A23">
        <w:rPr>
          <w:lang w:val="pl-PL"/>
        </w:rPr>
        <w:tab/>
        <w:t xml:space="preserve">‘Alam, pl. </w:t>
      </w:r>
      <w:r w:rsidRPr="008F03E5">
        <w:t>A‘lám</w:t>
      </w:r>
      <w:r w:rsidRPr="008F03E5">
        <w:tab/>
        <w:t>sign, token, mark, badge, distinguishing mark, characteristic; road sign, signpost, guidepost; flag, banner, standard, ensign, streamer, pennants; mountain (Qur’án 55:24); a distinguished, outstanding man; an eminent personality, an authority, a star, a luminary</w:t>
      </w:r>
    </w:p>
    <w:p w14:paraId="3C542141" w14:textId="77777777" w:rsidR="00625A5B" w:rsidRPr="008F03E5" w:rsidRDefault="00625A5B" w:rsidP="00CE3826">
      <w:pPr>
        <w:pStyle w:val="Translit"/>
      </w:pPr>
      <w:r w:rsidRPr="00D45A23">
        <w:rPr>
          <w:lang w:val="pl-PL"/>
        </w:rPr>
        <w:t>Alam, Alamun, Awalim</w:t>
      </w:r>
      <w:r w:rsidRPr="00D45A23">
        <w:rPr>
          <w:lang w:val="pl-PL"/>
        </w:rPr>
        <w:tab/>
        <w:t xml:space="preserve">‘Álam, pl. </w:t>
      </w:r>
      <w:r w:rsidRPr="005B0E5A">
        <w:rPr>
          <w:lang w:val="es-ES_tradnl"/>
        </w:rPr>
        <w:t>‘Álamún, ‘Awálim</w:t>
      </w:r>
      <w:r w:rsidRPr="005B0E5A">
        <w:rPr>
          <w:lang w:val="es-ES_tradnl"/>
        </w:rPr>
        <w:tab/>
        <w:t xml:space="preserve">world; universe, cosmos;—pl. </w:t>
      </w:r>
      <w:r w:rsidRPr="008F03E5">
        <w:t xml:space="preserve">‘Álamún—inhabitants of the world, specifically human beings.  al-‘álamán the two worlds = Europe and America.  </w:t>
      </w:r>
      <w:r w:rsidRPr="00CE3826">
        <w:rPr>
          <w:rFonts w:eastAsia="PMingLiU"/>
          <w:i/>
          <w:iCs/>
          <w:lang w:eastAsia="zh-TW"/>
        </w:rPr>
        <w:t>‘Aw</w:t>
      </w:r>
      <w:r w:rsidRPr="00CE3826">
        <w:rPr>
          <w:i/>
          <w:iCs/>
        </w:rPr>
        <w:t>á</w:t>
      </w:r>
      <w:r w:rsidRPr="00CE3826">
        <w:rPr>
          <w:rFonts w:eastAsia="PMingLiU"/>
          <w:i/>
          <w:iCs/>
          <w:lang w:eastAsia="zh-TW"/>
        </w:rPr>
        <w:t>lim al-‘ul</w:t>
      </w:r>
      <w:r w:rsidRPr="00CE3826">
        <w:rPr>
          <w:i/>
          <w:iCs/>
        </w:rPr>
        <w:t>ú</w:t>
      </w:r>
      <w:r w:rsidRPr="00CE3826">
        <w:rPr>
          <w:rFonts w:eastAsia="PMingLiU"/>
          <w:i/>
          <w:iCs/>
          <w:lang w:eastAsia="zh-TW"/>
        </w:rPr>
        <w:t>m wa’l-ma‘rif</w:t>
      </w:r>
      <w:r w:rsidRPr="00BE6E6C">
        <w:rPr>
          <w:rFonts w:eastAsia="PMingLiU"/>
          <w:lang w:eastAsia="zh-TW"/>
        </w:rPr>
        <w:t xml:space="preserve"> of </w:t>
      </w:r>
      <w:r>
        <w:rPr>
          <w:rFonts w:eastAsia="PMingLiU"/>
          <w:lang w:eastAsia="zh-TW"/>
        </w:rPr>
        <w:t>‘</w:t>
      </w:r>
      <w:r w:rsidRPr="00BE6E6C">
        <w:rPr>
          <w:rFonts w:eastAsia="PMingLiU"/>
          <w:lang w:eastAsia="zh-TW"/>
        </w:rPr>
        <w:t>Abdu</w:t>
      </w:r>
      <w:r>
        <w:rPr>
          <w:rFonts w:eastAsia="PMingLiU"/>
          <w:lang w:eastAsia="zh-TW"/>
        </w:rPr>
        <w:t>’</w:t>
      </w:r>
      <w:r w:rsidRPr="00BE6E6C">
        <w:rPr>
          <w:rFonts w:eastAsia="PMingLiU"/>
          <w:lang w:eastAsia="zh-TW"/>
        </w:rPr>
        <w:t>ll</w:t>
      </w:r>
      <w:r w:rsidRPr="00CE3826">
        <w:t>á</w:t>
      </w:r>
      <w:r w:rsidRPr="00BE6E6C">
        <w:rPr>
          <w:rFonts w:eastAsia="PMingLiU"/>
          <w:lang w:eastAsia="zh-TW"/>
        </w:rPr>
        <w:t>h al-Ba</w:t>
      </w:r>
      <w:r w:rsidRPr="00CE3826">
        <w:t>ḥ</w:t>
      </w:r>
      <w:r w:rsidRPr="00BE6E6C">
        <w:rPr>
          <w:rFonts w:eastAsia="PMingLiU"/>
          <w:lang w:eastAsia="zh-TW"/>
        </w:rPr>
        <w:t>r</w:t>
      </w:r>
      <w:r w:rsidRPr="00CE3826">
        <w:t>á</w:t>
      </w:r>
      <w:r w:rsidRPr="00BE6E6C">
        <w:rPr>
          <w:rFonts w:eastAsia="PMingLiU"/>
          <w:lang w:eastAsia="zh-TW"/>
        </w:rPr>
        <w:t>n</w:t>
      </w:r>
      <w:r w:rsidRPr="00CE3826">
        <w:t>í</w:t>
      </w:r>
      <w:r>
        <w:t xml:space="preserve">.  </w:t>
      </w:r>
      <w:r w:rsidRPr="008F03E5">
        <w:t xml:space="preserve">See </w:t>
      </w:r>
      <w:r w:rsidRPr="008F03E5">
        <w:rPr>
          <w:rFonts w:eastAsia="PMingLiU"/>
          <w:lang w:eastAsia="zh-TW"/>
        </w:rPr>
        <w:t>Ba</w:t>
      </w:r>
      <w:r w:rsidRPr="008F03E5">
        <w:t>ḥ</w:t>
      </w:r>
      <w:r w:rsidRPr="008F03E5">
        <w:rPr>
          <w:rFonts w:eastAsia="PMingLiU"/>
          <w:lang w:eastAsia="zh-TW"/>
        </w:rPr>
        <w:t>rání</w:t>
      </w:r>
      <w:r>
        <w:rPr>
          <w:rFonts w:eastAsia="PMingLiU"/>
          <w:lang w:eastAsia="zh-TW"/>
        </w:rPr>
        <w:t xml:space="preserve"> for more details</w:t>
      </w:r>
      <w:r w:rsidRPr="008F03E5">
        <w:rPr>
          <w:rFonts w:eastAsia="PMingLiU"/>
          <w:lang w:eastAsia="zh-TW"/>
        </w:rPr>
        <w:t>.</w:t>
      </w:r>
    </w:p>
    <w:p w14:paraId="028C852C" w14:textId="77777777" w:rsidR="00625A5B" w:rsidRPr="008F03E5" w:rsidRDefault="00625A5B" w:rsidP="00267500">
      <w:pPr>
        <w:pStyle w:val="Translit"/>
      </w:pPr>
      <w:r w:rsidRPr="008F03E5">
        <w:t>Alama, Alamat, Ala’im</w:t>
      </w:r>
      <w:r w:rsidRPr="008F03E5">
        <w:tab/>
        <w:t>‘Aláma[h or t], pl. ‘Alámát, ‘Alá’im</w:t>
      </w:r>
      <w:r w:rsidRPr="008F03E5">
        <w:tab/>
        <w:t>mark, sign, token; badge, emblem; distinguishing mark, characteristic.  Used for the signs of the promised Resurrection.</w:t>
      </w:r>
    </w:p>
    <w:p w14:paraId="63DD9231" w14:textId="77777777" w:rsidR="00625A5B" w:rsidRPr="008F03E5" w:rsidRDefault="00625A5B" w:rsidP="000A4E86">
      <w:pPr>
        <w:pStyle w:val="Translit"/>
      </w:pPr>
      <w:r w:rsidRPr="008F03E5">
        <w:t>Alamat al-Faraj</w:t>
      </w:r>
      <w:r w:rsidRPr="008F03E5">
        <w:tab/>
        <w:t>‘Alámát al-Faraj</w:t>
      </w:r>
      <w:r w:rsidRPr="008F03E5">
        <w:tab/>
        <w:t xml:space="preserve">“Signs of deliverance” will occur, according to </w:t>
      </w:r>
      <w:r w:rsidRPr="008F03E5">
        <w:rPr>
          <w:u w:val="single"/>
        </w:rPr>
        <w:t>Sh</w:t>
      </w:r>
      <w:r w:rsidRPr="008F03E5">
        <w:t>ay</w:t>
      </w:r>
      <w:r w:rsidRPr="008F03E5">
        <w:rPr>
          <w:u w:val="single"/>
        </w:rPr>
        <w:t>kh</w:t>
      </w:r>
      <w:r w:rsidRPr="008F03E5">
        <w:t xml:space="preserve"> Aḥmad Aḥsá’í, in the year 68 (ḥín) or AH 1268 (ended 15 October 1852)/CE 1952, and he alluded to “after a while” (ba‘da ḥín) in Qur’án 38:88.  This is about the time Bahá’u’lláh (sometime in October 1852) has a vision of the Maiden, who announces to Him that He is the Manifestation of God for this Age.  The Báb repeatedly gave the year nine as the date of the appearance of “Him Whom God shall make manifest”.  The Declaration of the Báb occurred in AH 1260, and the year nine (AH 1269) started 16 October 1952.</w:t>
      </w:r>
    </w:p>
    <w:p w14:paraId="463E5E42" w14:textId="77777777" w:rsidR="00625A5B" w:rsidRPr="008F03E5" w:rsidRDefault="00625A5B" w:rsidP="00E37E81">
      <w:pPr>
        <w:pStyle w:val="Translit"/>
      </w:pPr>
      <w:r w:rsidRPr="008F03E5">
        <w:t>Alamat</w:t>
      </w:r>
      <w:r w:rsidRPr="008F03E5">
        <w:tab/>
        <w:t>‘Alámát al-Waqf</w:t>
      </w:r>
      <w:r w:rsidRPr="008F03E5">
        <w:tab/>
        <w:t>“signs for stops” are symbols used to indicate Qur’anic punctuation.  Some are listed here.  (</w:t>
      </w:r>
      <w:r w:rsidRPr="008F03E5">
        <w:rPr>
          <w:rtl/>
        </w:rPr>
        <w:t>م</w:t>
      </w:r>
      <w:r w:rsidRPr="008F03E5">
        <w:t>) mím:  mandatory stop.  (</w:t>
      </w:r>
      <w:r w:rsidRPr="008F03E5">
        <w:rPr>
          <w:rtl/>
        </w:rPr>
        <w:t>ج</w:t>
      </w:r>
      <w:r w:rsidRPr="008F03E5">
        <w:t>) jím:  optional stop.  (</w:t>
      </w:r>
      <w:r w:rsidRPr="008F03E5">
        <w:rPr>
          <w:rtl/>
        </w:rPr>
        <w:t>لا</w:t>
      </w:r>
      <w:r w:rsidRPr="008F03E5">
        <w:t xml:space="preserve">) lám alif:  do not stop here.  </w:t>
      </w:r>
      <w:r w:rsidRPr="008F03E5">
        <w:rPr>
          <w:rtl/>
        </w:rPr>
        <w:t>س)</w:t>
      </w:r>
      <w:r w:rsidRPr="008F03E5">
        <w:t>) sín:  take a soft/short pause without taking a breath.  (</w:t>
      </w:r>
      <w:r w:rsidRPr="008F03E5">
        <w:rPr>
          <w:rtl/>
        </w:rPr>
        <w:t>قلي</w:t>
      </w:r>
      <w:r w:rsidRPr="008F03E5">
        <w:t>):  you can stop or move on, but stopping is preferred.  (</w:t>
      </w:r>
      <w:r w:rsidRPr="008F03E5">
        <w:rPr>
          <w:rtl/>
        </w:rPr>
        <w:t>صلي</w:t>
      </w:r>
      <w:r w:rsidRPr="008F03E5">
        <w:t>):  you can stop or continue, but continuing is preferred.  (</w:t>
      </w:r>
      <w:r w:rsidRPr="008F03E5">
        <w:rPr>
          <w:rFonts w:ascii="Times New Roman" w:hAnsi="Times New Roman"/>
        </w:rPr>
        <w:t>⸫</w:t>
      </w:r>
      <w:r w:rsidRPr="008F03E5">
        <w:t>) ta‘ánuq al-waqf:  you can stop at one, but not both.  ◯ the “perfect stop”, or various symbols, e.g. ֍:  the end of a verse.</w:t>
      </w:r>
    </w:p>
    <w:p w14:paraId="61B2EF81" w14:textId="77777777" w:rsidR="00625A5B" w:rsidRPr="008F03E5" w:rsidRDefault="00625A5B" w:rsidP="00F87A63">
      <w:pPr>
        <w:pStyle w:val="Translit"/>
      </w:pPr>
      <w:r w:rsidRPr="008F03E5">
        <w:t>Alami</w:t>
      </w:r>
      <w:r w:rsidRPr="008F03E5">
        <w:tab/>
        <w:t>‘Álami</w:t>
      </w:r>
      <w:r w:rsidRPr="008F03E5">
        <w:tab/>
        <w:t>worldly, secular, world (adj.); international; world-wide, world-famous, enjoying world-wide renown</w:t>
      </w:r>
    </w:p>
    <w:p w14:paraId="289B066D" w14:textId="77777777" w:rsidR="00625A5B" w:rsidRPr="008F03E5" w:rsidRDefault="00625A5B" w:rsidP="00F87A63">
      <w:pPr>
        <w:pStyle w:val="Translit"/>
      </w:pPr>
      <w:r w:rsidRPr="008F03E5">
        <w:t>Alam-i-Dharr</w:t>
      </w:r>
      <w:r w:rsidRPr="008F03E5">
        <w:rPr>
          <w:i/>
          <w:iCs/>
        </w:rPr>
        <w:tab/>
      </w:r>
      <w:r w:rsidRPr="008F03E5">
        <w:t>‘Álam-i-</w:t>
      </w:r>
      <w:r w:rsidRPr="008F03E5">
        <w:rPr>
          <w:u w:val="single"/>
        </w:rPr>
        <w:t>Dh</w:t>
      </w:r>
      <w:r w:rsidRPr="008F03E5">
        <w:t>arr</w:t>
      </w:r>
      <w:r w:rsidRPr="008F03E5">
        <w:tab/>
        <w:t>“realm of subtle entities” is an allusion to the Covenant between God and Adam mentioned in Qur’án 7:172</w:t>
      </w:r>
    </w:p>
    <w:p w14:paraId="5E523FEA" w14:textId="77777777" w:rsidR="00625A5B" w:rsidRPr="008F03E5" w:rsidRDefault="00625A5B" w:rsidP="00F87A63">
      <w:pPr>
        <w:pStyle w:val="Translit"/>
      </w:pPr>
      <w:r w:rsidRPr="008F03E5">
        <w:t>Alamu’l-Amr</w:t>
      </w:r>
      <w:r w:rsidRPr="008F03E5">
        <w:tab/>
        <w:t>‘Álamu’l-Amr</w:t>
      </w:r>
      <w:r w:rsidRPr="008F03E5">
        <w:tab/>
        <w:t>(lower) world of creation</w:t>
      </w:r>
    </w:p>
    <w:p w14:paraId="146AD651" w14:textId="77777777" w:rsidR="00625A5B" w:rsidRPr="008F03E5" w:rsidRDefault="00625A5B" w:rsidP="00F87A63">
      <w:pPr>
        <w:pStyle w:val="Translit"/>
      </w:pPr>
      <w:r w:rsidRPr="008F03E5">
        <w:t>Alamu’l-Haqq</w:t>
      </w:r>
      <w:r w:rsidRPr="008F03E5">
        <w:tab/>
        <w:t>‘Álamu’l-Ḥaqq</w:t>
      </w:r>
      <w:r w:rsidRPr="008F03E5">
        <w:tab/>
        <w:t>(upper) eternally inaccessible world of God that is exalted beyond the grasp of the minds of men</w:t>
      </w:r>
    </w:p>
    <w:p w14:paraId="61ACA0E3" w14:textId="77777777" w:rsidR="00625A5B" w:rsidRPr="008F03E5" w:rsidRDefault="00625A5B" w:rsidP="00F87A63">
      <w:pPr>
        <w:pStyle w:val="Translit"/>
      </w:pPr>
      <w:r w:rsidRPr="008F03E5">
        <w:t>Alamu’l-Huda</w:t>
      </w:r>
      <w:r w:rsidRPr="008F03E5">
        <w:tab/>
        <w:t>‘Alamu’l-Hudá</w:t>
      </w:r>
      <w:r w:rsidRPr="008F03E5">
        <w:tab/>
        <w:t>“distinguished guide”</w:t>
      </w:r>
    </w:p>
    <w:p w14:paraId="36A51EE6" w14:textId="77777777" w:rsidR="00625A5B" w:rsidRPr="008F03E5" w:rsidRDefault="00625A5B" w:rsidP="00F87A63">
      <w:pPr>
        <w:pStyle w:val="Translit"/>
      </w:pPr>
      <w:r w:rsidRPr="008F03E5">
        <w:t>Alamu’l-Khalq</w:t>
      </w:r>
      <w:r w:rsidRPr="008F03E5">
        <w:tab/>
        <w:t>‘Álamu’l-</w:t>
      </w:r>
      <w:r w:rsidRPr="008F03E5">
        <w:rPr>
          <w:u w:val="single"/>
        </w:rPr>
        <w:t>Kh</w:t>
      </w:r>
      <w:r w:rsidRPr="008F03E5">
        <w:t>alq</w:t>
      </w:r>
      <w:r w:rsidRPr="008F03E5">
        <w:tab/>
        <w:t>(intermediate) world of the revelation of the divine command</w:t>
      </w:r>
    </w:p>
    <w:p w14:paraId="779F2FBF" w14:textId="77777777" w:rsidR="00625A5B" w:rsidRPr="008F03E5" w:rsidRDefault="00625A5B" w:rsidP="00F87A63">
      <w:pPr>
        <w:pStyle w:val="Translit"/>
      </w:pPr>
      <w:r w:rsidRPr="008F03E5">
        <w:t>Alamut</w:t>
      </w:r>
      <w:r w:rsidRPr="008F03E5">
        <w:tab/>
        <w:t>Alamút</w:t>
      </w:r>
      <w:r w:rsidRPr="008F03E5">
        <w:tab/>
        <w:t xml:space="preserve">eagle-nest.  Name of a region in Iran on the western edge of the Alborz (Elburz) range and a ruined fortress (55 km </w:t>
      </w:r>
      <w:r w:rsidRPr="008F03E5">
        <w:rPr>
          <w:sz w:val="16"/>
          <w:szCs w:val="16"/>
        </w:rPr>
        <w:t>NE</w:t>
      </w:r>
      <w:r w:rsidRPr="008F03E5">
        <w:t xml:space="preserve"> of Qazvín and 110 km </w:t>
      </w:r>
      <w:r w:rsidRPr="008F03E5">
        <w:rPr>
          <w:sz w:val="16"/>
          <w:szCs w:val="16"/>
        </w:rPr>
        <w:t>NW</w:t>
      </w:r>
      <w:r w:rsidRPr="008F03E5">
        <w:t xml:space="preserve"> of Ṭihrán.</w:t>
      </w:r>
    </w:p>
    <w:p w14:paraId="30F7BC8E" w14:textId="77777777" w:rsidR="00625A5B" w:rsidRPr="008F03E5" w:rsidRDefault="00625A5B" w:rsidP="00F87A63">
      <w:pPr>
        <w:pStyle w:val="Translit"/>
      </w:pPr>
      <w:r w:rsidRPr="008F03E5">
        <w:t>Alaniya</w:t>
      </w:r>
      <w:r w:rsidRPr="008F03E5">
        <w:tab/>
        <w:t>‘Aláníya</w:t>
      </w:r>
      <w:r w:rsidRPr="008F03E5">
        <w:tab/>
        <w:t>openness, overtness, publicness, publicity (as opposed to secrecy)</w:t>
      </w:r>
    </w:p>
    <w:p w14:paraId="2B096B54" w14:textId="77777777" w:rsidR="00625A5B" w:rsidRPr="008F03E5" w:rsidRDefault="00625A5B" w:rsidP="00F87A63">
      <w:pPr>
        <w:pStyle w:val="Translit"/>
      </w:pPr>
      <w:r w:rsidRPr="008F03E5">
        <w:t>Alaq, ‘Alaqa, ‘Alaqat</w:t>
      </w:r>
      <w:r w:rsidRPr="008F03E5">
        <w:tab/>
        <w:t>‘Alaq, fem. ‘Alaqa[h or t], pl. ‘Alaqát</w:t>
      </w:r>
      <w:r w:rsidRPr="008F03E5">
        <w:tab/>
        <w:t>medicinal leech; leech; (coagulated) blood, blood clot</w:t>
      </w:r>
    </w:p>
    <w:p w14:paraId="236743E5" w14:textId="77777777" w:rsidR="00625A5B" w:rsidRPr="008F03E5" w:rsidRDefault="00625A5B" w:rsidP="00F87A63">
      <w:pPr>
        <w:pStyle w:val="Translit"/>
      </w:pPr>
      <w:r w:rsidRPr="008F03E5">
        <w:t>Alast (Alastu)</w:t>
      </w:r>
      <w:r w:rsidRPr="008F03E5">
        <w:tab/>
        <w:t>Alast (Alastu)</w:t>
      </w:r>
      <w:r w:rsidRPr="008F03E5">
        <w:tab/>
        <w:t xml:space="preserve">“Am I not?”  Cycle of </w:t>
      </w:r>
      <w:r w:rsidRPr="008F03E5">
        <w:rPr>
          <w:i/>
          <w:iCs/>
        </w:rPr>
        <w:t>alast</w:t>
      </w:r>
      <w:r w:rsidRPr="008F03E5">
        <w:t xml:space="preserve"> is a reference to a pre historic Covenant between God and man.  God called all the men in his presence before their creation and asked them </w:t>
      </w:r>
      <w:r w:rsidRPr="008F03E5">
        <w:rPr>
          <w:i/>
          <w:iCs/>
        </w:rPr>
        <w:t>alastu bi-rabbikum?</w:t>
      </w:r>
      <w:r w:rsidRPr="008F03E5">
        <w:t xml:space="preserve">  “Am I not your Lord?” (“the day of alast”, Qur’án 7:172) and all the men confirmed that by saying “yes, yes, thou art our Lord”.  This demonstrates the total and inherent essential dependence of man to the continuous grace of God.  So </w:t>
      </w:r>
      <w:r w:rsidRPr="008F03E5">
        <w:rPr>
          <w:i/>
          <w:iCs/>
        </w:rPr>
        <w:t>alast</w:t>
      </w:r>
      <w:r w:rsidRPr="008F03E5">
        <w:t xml:space="preserve"> and the cycle of </w:t>
      </w:r>
      <w:r w:rsidRPr="008F03E5">
        <w:rPr>
          <w:i/>
          <w:iCs/>
        </w:rPr>
        <w:t>alast</w:t>
      </w:r>
      <w:r w:rsidRPr="008F03E5">
        <w:t xml:space="preserve"> is a reference to this Covenant.</w:t>
      </w:r>
    </w:p>
    <w:p w14:paraId="4BA45B84" w14:textId="77777777" w:rsidR="00625A5B" w:rsidRPr="008F03E5" w:rsidRDefault="00625A5B" w:rsidP="0089708D">
      <w:pPr>
        <w:pStyle w:val="Translit"/>
      </w:pPr>
      <w:r w:rsidRPr="008F03E5">
        <w:t>Alawi, ‘Alawiya, ‘Alawiyan</w:t>
      </w:r>
      <w:r w:rsidRPr="008F03E5">
        <w:tab/>
        <w:t>‘Alawí, fem. ‘Alawíya[h or t]</w:t>
      </w:r>
      <w:r w:rsidRPr="008F03E5">
        <w:tab/>
        <w:t xml:space="preserve">pl. ‘alawiyán  upper; heavenly, celestial; prince, lord (a descendant of ‘Alí ibn Abí Ṭálib).  ‘Alawíya[h] is a follower of Imám ‘Alí; English Alawis or Alawites; official name of the Nusayris (Nuṣayríyah), an Islamic sect inhabiting the coastal district of Latakia in </w:t>
      </w:r>
      <w:r w:rsidRPr="008F03E5">
        <w:rPr>
          <w:sz w:val="16"/>
          <w:szCs w:val="16"/>
        </w:rPr>
        <w:t>NW</w:t>
      </w:r>
      <w:r w:rsidRPr="008F03E5">
        <w:t xml:space="preserve"> Syria, founded by Ibn Nusayr.  Pers. also ‘Alawiyih.</w:t>
      </w:r>
    </w:p>
    <w:p w14:paraId="7B57C10C" w14:textId="77777777" w:rsidR="00625A5B" w:rsidRPr="008F03E5" w:rsidRDefault="00625A5B" w:rsidP="00161213">
      <w:pPr>
        <w:pStyle w:val="Translit"/>
      </w:pPr>
      <w:r w:rsidRPr="008F03E5">
        <w:t>Alayhi (‘Alaihi)</w:t>
      </w:r>
      <w:r w:rsidRPr="008F03E5">
        <w:tab/>
        <w:t>‘Alayhi</w:t>
      </w:r>
      <w:r w:rsidRPr="008F03E5">
        <w:tab/>
        <w:t>upon, against, with him (or it);—‘</w:t>
      </w:r>
      <w:r w:rsidRPr="008F03E5">
        <w:rPr>
          <w:i/>
          <w:iCs/>
        </w:rPr>
        <w:t>alayhi’s-salám,</w:t>
      </w:r>
      <w:r w:rsidRPr="008F03E5">
        <w:t xml:space="preserve"> Peace be upon him! (formula of reverence added after the name of any prophet, abbreviated in English as pbuh.</w:t>
      </w:r>
    </w:p>
    <w:p w14:paraId="7095F15A" w14:textId="77777777" w:rsidR="00625A5B" w:rsidRPr="008F03E5" w:rsidRDefault="00625A5B" w:rsidP="0093153C">
      <w:pPr>
        <w:pStyle w:val="Translit"/>
      </w:pPr>
      <w:r w:rsidRPr="00D45A23">
        <w:rPr>
          <w:rFonts w:eastAsia="Times New Roman"/>
          <w:lang w:val="pl-PL"/>
        </w:rPr>
        <w:t>Alayka (‘Alaika), ‘Alayki, ‘Alaykum</w:t>
      </w:r>
      <w:r w:rsidRPr="00D45A23">
        <w:rPr>
          <w:rFonts w:eastAsia="Times New Roman"/>
          <w:lang w:val="pl-PL"/>
        </w:rPr>
        <w:tab/>
        <w:t>‘Alayka, fem. ‘Alayki, pl. ‘Alaykum</w:t>
      </w:r>
      <w:r w:rsidRPr="00D45A23">
        <w:rPr>
          <w:rFonts w:eastAsia="Times New Roman"/>
          <w:lang w:val="pl-PL"/>
        </w:rPr>
        <w:tab/>
        <w:t xml:space="preserve">(fem. pl. </w:t>
      </w:r>
      <w:r w:rsidRPr="008F03E5">
        <w:rPr>
          <w:rFonts w:eastAsia="Times New Roman"/>
        </w:rPr>
        <w:t xml:space="preserve">‘Alaykunna) </w:t>
      </w:r>
      <w:r>
        <w:rPr>
          <w:rFonts w:eastAsia="Times New Roman"/>
        </w:rPr>
        <w:t>(</w:t>
      </w:r>
      <w:r w:rsidRPr="000F6B05">
        <w:rPr>
          <w:rFonts w:eastAsia="Times New Roman"/>
          <w:lang w:val="en-AU"/>
        </w:rPr>
        <w:t>‘Alayka</w:t>
      </w:r>
      <w:r>
        <w:t xml:space="preserve"> = </w:t>
      </w:r>
      <w:r w:rsidRPr="008F03E5">
        <w:t>‘Alá</w:t>
      </w:r>
      <w:r>
        <w:t xml:space="preserve"> + k</w:t>
      </w:r>
      <w:r w:rsidRPr="000F6B05">
        <w:t>á</w:t>
      </w:r>
      <w:r>
        <w:t>f</w:t>
      </w:r>
      <w:r>
        <w:rPr>
          <w:rFonts w:eastAsia="Times New Roman"/>
        </w:rPr>
        <w:t xml:space="preserve">) </w:t>
      </w:r>
      <w:r w:rsidRPr="008F03E5">
        <w:rPr>
          <w:rFonts w:eastAsia="Times New Roman"/>
        </w:rPr>
        <w:t xml:space="preserve">above, on, or to thee, on you.  </w:t>
      </w:r>
      <w:r>
        <w:rPr>
          <w:rFonts w:eastAsia="Times New Roman"/>
        </w:rPr>
        <w:t xml:space="preserve">In some places </w:t>
      </w:r>
      <w:r w:rsidRPr="004E419A">
        <w:rPr>
          <w:rFonts w:eastAsia="Times New Roman"/>
          <w:lang w:val="en-AU"/>
        </w:rPr>
        <w:t>‘Alayka</w:t>
      </w:r>
      <w:r>
        <w:rPr>
          <w:rFonts w:eastAsia="Times New Roman"/>
        </w:rPr>
        <w:t xml:space="preserve"> is shortened to </w:t>
      </w:r>
      <w:r w:rsidRPr="000F6B05">
        <w:rPr>
          <w:rFonts w:eastAsia="Times New Roman"/>
          <w:lang w:val="en-AU"/>
        </w:rPr>
        <w:t>‘Alayk.</w:t>
      </w:r>
      <w:r>
        <w:rPr>
          <w:rFonts w:eastAsia="Times New Roman"/>
          <w:lang w:val="en-AU"/>
        </w:rPr>
        <w:t xml:space="preserve"> </w:t>
      </w:r>
      <w:r w:rsidRPr="008F03E5">
        <w:rPr>
          <w:rFonts w:eastAsia="Times New Roman"/>
        </w:rPr>
        <w:t xml:space="preserve"> See sal</w:t>
      </w:r>
      <w:r w:rsidRPr="008F03E5">
        <w:t>á</w:t>
      </w:r>
      <w:r w:rsidRPr="008F03E5">
        <w:rPr>
          <w:rFonts w:eastAsia="Times New Roman"/>
        </w:rPr>
        <w:t>m.</w:t>
      </w:r>
    </w:p>
    <w:p w14:paraId="4358FD9C" w14:textId="77777777" w:rsidR="00625A5B" w:rsidRPr="008F03E5" w:rsidRDefault="00625A5B" w:rsidP="00F87A63">
      <w:pPr>
        <w:pStyle w:val="Translit"/>
      </w:pPr>
      <w:r w:rsidRPr="008F03E5">
        <w:t>Alburz</w:t>
      </w:r>
      <w:r w:rsidRPr="008F03E5">
        <w:tab/>
        <w:t>Alburz, Alborz</w:t>
      </w:r>
      <w:r w:rsidRPr="008F03E5">
        <w:tab/>
        <w:t>the principal mountain range in northern Írán</w:t>
      </w:r>
    </w:p>
    <w:p w14:paraId="48062383" w14:textId="77777777" w:rsidR="00625A5B" w:rsidRPr="008F03E5" w:rsidRDefault="00625A5B" w:rsidP="00F87A63">
      <w:pPr>
        <w:pStyle w:val="Translit"/>
      </w:pPr>
      <w:r w:rsidRPr="008F03E5">
        <w:t>Alf, Uluf</w:t>
      </w:r>
      <w:r>
        <w:t>, Alaf</w:t>
      </w:r>
      <w:r w:rsidRPr="008F03E5">
        <w:tab/>
        <w:t>Alf, pl. Ulúf, Áláf</w:t>
      </w:r>
      <w:r w:rsidRPr="008F03E5">
        <w:tab/>
        <w:t>thousand; millennium</w:t>
      </w:r>
    </w:p>
    <w:p w14:paraId="2E8D2A43" w14:textId="77777777" w:rsidR="00625A5B" w:rsidRPr="008F03E5" w:rsidRDefault="00625A5B" w:rsidP="00F87A63">
      <w:pPr>
        <w:pStyle w:val="Translit"/>
      </w:pPr>
      <w:r w:rsidRPr="008F03E5">
        <w:t>Alfi ‘Id</w:t>
      </w:r>
      <w:r w:rsidRPr="008F03E5">
        <w:tab/>
        <w:t>Alfí:  Alfí ‘Íd</w:t>
      </w:r>
      <w:r w:rsidRPr="008F03E5">
        <w:tab/>
        <w:t>millennial celebration, millenary</w:t>
      </w:r>
    </w:p>
    <w:p w14:paraId="789B25BA" w14:textId="77777777" w:rsidR="00625A5B" w:rsidRPr="005B0E5A" w:rsidRDefault="00625A5B" w:rsidP="00F87A63">
      <w:pPr>
        <w:pStyle w:val="Translit"/>
        <w:rPr>
          <w:lang w:val="es-ES_tradnl"/>
        </w:rPr>
      </w:pPr>
      <w:r w:rsidRPr="005B0E5A">
        <w:rPr>
          <w:lang w:val="es-ES_tradnl"/>
        </w:rPr>
        <w:t>Alfiya (Alfiyya)</w:t>
      </w:r>
      <w:r w:rsidRPr="005B0E5A">
        <w:rPr>
          <w:lang w:val="es-ES_tradnl"/>
        </w:rPr>
        <w:tab/>
        <w:t>Alfíya[h], Pers. Alfíyyih</w:t>
      </w:r>
      <w:r w:rsidRPr="005B0E5A">
        <w:rPr>
          <w:lang w:val="es-ES_tradnl"/>
        </w:rPr>
        <w:tab/>
        <w:t xml:space="preserve">millennium.  </w:t>
      </w:r>
      <w:r w:rsidRPr="005B0E5A">
        <w:rPr>
          <w:i/>
          <w:iCs/>
          <w:lang w:val="es-ES_tradnl"/>
        </w:rPr>
        <w:t>al-Alfíya</w:t>
      </w:r>
      <w:r w:rsidRPr="005B0E5A">
        <w:rPr>
          <w:lang w:val="es-ES_tradnl"/>
        </w:rPr>
        <w:t xml:space="preserve"> short title of </w:t>
      </w:r>
      <w:r w:rsidRPr="005B0E5A">
        <w:rPr>
          <w:i/>
          <w:iCs/>
          <w:lang w:val="es-ES_tradnl"/>
        </w:rPr>
        <w:t>al-</w:t>
      </w:r>
      <w:r w:rsidRPr="005B0E5A">
        <w:rPr>
          <w:i/>
          <w:iCs/>
          <w:u w:val="single"/>
          <w:lang w:val="es-ES_tradnl"/>
        </w:rPr>
        <w:t>Kh</w:t>
      </w:r>
      <w:r w:rsidRPr="005B0E5A">
        <w:rPr>
          <w:i/>
          <w:iCs/>
          <w:lang w:val="es-ES_tradnl"/>
        </w:rPr>
        <w:t>uláṣa al-Alfíya</w:t>
      </w:r>
      <w:r w:rsidRPr="005B0E5A">
        <w:rPr>
          <w:lang w:val="es-ES_tradnl"/>
        </w:rPr>
        <w:t xml:space="preserve"> (“Millennium Summary”), famous 1,000 line poem on the principles of Arabic grammar by Ibn Málik, Abú ‘Abd Alláh Jamál ad-Dín Muḥammad (c. 1204–1274), was an Arab grammarian born in Jaén, Spain, worked in Damascus.</w:t>
      </w:r>
    </w:p>
    <w:p w14:paraId="73034528" w14:textId="77777777" w:rsidR="00625A5B" w:rsidRPr="005B0E5A" w:rsidRDefault="00625A5B" w:rsidP="00FD4FFA">
      <w:pPr>
        <w:pStyle w:val="Translit"/>
        <w:rPr>
          <w:rFonts w:eastAsia="PMingLiU"/>
          <w:lang w:val="es-ES_tradnl" w:eastAsia="zh-TW"/>
        </w:rPr>
      </w:pPr>
      <w:r w:rsidRPr="005B0E5A">
        <w:rPr>
          <w:lang w:val="es-ES_tradnl"/>
        </w:rPr>
        <w:t>Ali an-Naqi, Ali-Naqi</w:t>
      </w:r>
      <w:r w:rsidRPr="005B0E5A">
        <w:rPr>
          <w:lang w:val="es-ES_tradnl"/>
        </w:rPr>
        <w:tab/>
        <w:t>‘Alí an-Naqí, ‘Alí-Naqí</w:t>
      </w:r>
      <w:r w:rsidRPr="005B0E5A">
        <w:rPr>
          <w:lang w:val="es-ES_tradnl"/>
        </w:rPr>
        <w:tab/>
        <w:t>‘Alí ibn Muḥammad ibn ‘Alí, commonly known as ‘Alí al-Hádí and ‘Alí an-Naqí, the 10th Imám</w:t>
      </w:r>
    </w:p>
    <w:p w14:paraId="5F8101A5" w14:textId="77777777" w:rsidR="00625A5B" w:rsidRPr="008F03E5" w:rsidRDefault="00625A5B" w:rsidP="00F87A63">
      <w:pPr>
        <w:pStyle w:val="Translit"/>
        <w:rPr>
          <w:rFonts w:eastAsia="PMingLiU"/>
          <w:lang w:eastAsia="zh-TW"/>
        </w:rPr>
      </w:pPr>
      <w:r w:rsidRPr="005B0E5A">
        <w:rPr>
          <w:rFonts w:eastAsia="PMingLiU"/>
          <w:lang w:val="es-ES_tradnl" w:eastAsia="zh-TW"/>
        </w:rPr>
        <w:t>Al</w:t>
      </w:r>
      <w:r w:rsidRPr="005B0E5A">
        <w:rPr>
          <w:lang w:val="es-ES_tradnl"/>
        </w:rPr>
        <w:t xml:space="preserve">i </w:t>
      </w:r>
      <w:r w:rsidRPr="005B0E5A">
        <w:rPr>
          <w:rFonts w:eastAsia="PMingLiU"/>
          <w:lang w:val="es-ES_tradnl" w:eastAsia="zh-TW"/>
        </w:rPr>
        <w:t>B</w:t>
      </w:r>
      <w:r w:rsidRPr="005B0E5A">
        <w:rPr>
          <w:lang w:val="es-ES_tradnl"/>
        </w:rPr>
        <w:t>a</w:t>
      </w:r>
      <w:r w:rsidRPr="005B0E5A">
        <w:rPr>
          <w:rFonts w:eastAsia="PMingLiU"/>
          <w:lang w:val="es-ES_tradnl" w:eastAsia="zh-TW"/>
        </w:rPr>
        <w:t>b</w:t>
      </w:r>
      <w:r w:rsidRPr="005B0E5A">
        <w:rPr>
          <w:lang w:val="es-ES_tradnl"/>
        </w:rPr>
        <w:t>a</w:t>
      </w:r>
      <w:r w:rsidRPr="005B0E5A">
        <w:rPr>
          <w:lang w:val="es-ES_tradnl"/>
        </w:rPr>
        <w:tab/>
      </w:r>
      <w:r w:rsidRPr="005B0E5A">
        <w:rPr>
          <w:rFonts w:eastAsia="PMingLiU"/>
          <w:lang w:val="es-ES_tradnl" w:eastAsia="zh-TW"/>
        </w:rPr>
        <w:t>‘Al</w:t>
      </w:r>
      <w:r w:rsidRPr="005B0E5A">
        <w:rPr>
          <w:lang w:val="es-ES_tradnl"/>
        </w:rPr>
        <w:t xml:space="preserve">í </w:t>
      </w:r>
      <w:r w:rsidRPr="005B0E5A">
        <w:rPr>
          <w:rFonts w:eastAsia="PMingLiU"/>
          <w:lang w:val="es-ES_tradnl" w:eastAsia="zh-TW"/>
        </w:rPr>
        <w:t>B</w:t>
      </w:r>
      <w:r w:rsidRPr="005B0E5A">
        <w:rPr>
          <w:lang w:val="es-ES_tradnl"/>
        </w:rPr>
        <w:t>á</w:t>
      </w:r>
      <w:r w:rsidRPr="005B0E5A">
        <w:rPr>
          <w:rFonts w:eastAsia="PMingLiU"/>
          <w:lang w:val="es-ES_tradnl" w:eastAsia="zh-TW"/>
        </w:rPr>
        <w:t>b</w:t>
      </w:r>
      <w:r w:rsidRPr="005B0E5A">
        <w:rPr>
          <w:lang w:val="es-ES_tradnl"/>
        </w:rPr>
        <w:t>á</w:t>
      </w:r>
      <w:r w:rsidRPr="005B0E5A">
        <w:rPr>
          <w:lang w:val="es-ES_tradnl"/>
        </w:rPr>
        <w:tab/>
        <w:t xml:space="preserve">Mullá </w:t>
      </w:r>
      <w:r w:rsidRPr="005B0E5A">
        <w:rPr>
          <w:rFonts w:eastAsia="PMingLiU"/>
          <w:lang w:val="es-ES_tradnl" w:eastAsia="zh-TW"/>
        </w:rPr>
        <w:t>‘Al</w:t>
      </w:r>
      <w:r w:rsidRPr="005B0E5A">
        <w:rPr>
          <w:lang w:val="es-ES_tradnl"/>
        </w:rPr>
        <w:t xml:space="preserve">í </w:t>
      </w:r>
      <w:r w:rsidRPr="005B0E5A">
        <w:rPr>
          <w:rFonts w:eastAsia="PMingLiU"/>
          <w:lang w:val="es-ES_tradnl" w:eastAsia="zh-TW"/>
        </w:rPr>
        <w:t>B</w:t>
      </w:r>
      <w:r w:rsidRPr="005B0E5A">
        <w:rPr>
          <w:lang w:val="es-ES_tradnl"/>
        </w:rPr>
        <w:t>á</w:t>
      </w:r>
      <w:r w:rsidRPr="005B0E5A">
        <w:rPr>
          <w:rFonts w:eastAsia="PMingLiU"/>
          <w:lang w:val="es-ES_tradnl" w:eastAsia="zh-TW"/>
        </w:rPr>
        <w:t>b</w:t>
      </w:r>
      <w:r w:rsidRPr="005B0E5A">
        <w:rPr>
          <w:lang w:val="es-ES_tradnl"/>
        </w:rPr>
        <w:t xml:space="preserve">á of Tákur.  </w:t>
      </w:r>
      <w:r w:rsidRPr="005B0E5A">
        <w:rPr>
          <w:rFonts w:eastAsia="PMingLiU"/>
          <w:lang w:val="es-ES_tradnl" w:eastAsia="zh-TW"/>
        </w:rPr>
        <w:t>‘Al</w:t>
      </w:r>
      <w:r w:rsidRPr="005B0E5A">
        <w:rPr>
          <w:lang w:val="es-ES_tradnl"/>
        </w:rPr>
        <w:t xml:space="preserve">í </w:t>
      </w:r>
      <w:r w:rsidRPr="005B0E5A">
        <w:rPr>
          <w:rFonts w:eastAsia="PMingLiU"/>
          <w:lang w:val="es-ES_tradnl" w:eastAsia="zh-TW"/>
        </w:rPr>
        <w:t>B</w:t>
      </w:r>
      <w:r w:rsidRPr="005B0E5A">
        <w:rPr>
          <w:lang w:val="es-ES_tradnl"/>
        </w:rPr>
        <w:t>á</w:t>
      </w:r>
      <w:r w:rsidRPr="005B0E5A">
        <w:rPr>
          <w:rFonts w:eastAsia="PMingLiU"/>
          <w:lang w:val="es-ES_tradnl" w:eastAsia="zh-TW"/>
        </w:rPr>
        <w:t>b</w:t>
      </w:r>
      <w:r w:rsidRPr="005B0E5A">
        <w:rPr>
          <w:lang w:val="es-ES_tradnl"/>
        </w:rPr>
        <w:t>á wa al-Arbá‘ún Luṣúṣ (“</w:t>
      </w:r>
      <w:r w:rsidRPr="005B0E5A">
        <w:rPr>
          <w:rFonts w:eastAsia="PMingLiU"/>
          <w:lang w:val="es-ES_tradnl" w:eastAsia="zh-TW"/>
        </w:rPr>
        <w:t>‘Al</w:t>
      </w:r>
      <w:r w:rsidRPr="005B0E5A">
        <w:rPr>
          <w:lang w:val="es-ES_tradnl"/>
        </w:rPr>
        <w:t xml:space="preserve">í </w:t>
      </w:r>
      <w:r w:rsidRPr="005B0E5A">
        <w:rPr>
          <w:rFonts w:eastAsia="PMingLiU"/>
          <w:lang w:val="es-ES_tradnl" w:eastAsia="zh-TW"/>
        </w:rPr>
        <w:t>B</w:t>
      </w:r>
      <w:r w:rsidRPr="005B0E5A">
        <w:rPr>
          <w:lang w:val="es-ES_tradnl"/>
        </w:rPr>
        <w:t>á</w:t>
      </w:r>
      <w:r w:rsidRPr="005B0E5A">
        <w:rPr>
          <w:rFonts w:eastAsia="PMingLiU"/>
          <w:lang w:val="es-ES_tradnl" w:eastAsia="zh-TW"/>
        </w:rPr>
        <w:t>b</w:t>
      </w:r>
      <w:r w:rsidRPr="005B0E5A">
        <w:rPr>
          <w:lang w:val="es-ES_tradnl"/>
        </w:rPr>
        <w:t xml:space="preserve">á and the forty thieves”).  </w:t>
      </w:r>
      <w:r w:rsidRPr="008F03E5">
        <w:t>Name in English has become Alibaba.</w:t>
      </w:r>
    </w:p>
    <w:p w14:paraId="7329095B" w14:textId="77777777" w:rsidR="00625A5B" w:rsidRPr="008F03E5" w:rsidRDefault="00625A5B" w:rsidP="00F87A63">
      <w:pPr>
        <w:pStyle w:val="Translit"/>
      </w:pPr>
      <w:r w:rsidRPr="008F03E5">
        <w:t>Ali Big Yuz-Bashi</w:t>
      </w:r>
      <w:r w:rsidRPr="008F03E5">
        <w:tab/>
        <w:t>‘Alí Big Yúz-Bá</w:t>
      </w:r>
      <w:r w:rsidRPr="008F03E5">
        <w:rPr>
          <w:u w:val="single"/>
        </w:rPr>
        <w:t>sh</w:t>
      </w:r>
      <w:r w:rsidRPr="008F03E5">
        <w:t>í</w:t>
      </w:r>
      <w:r w:rsidRPr="008F03E5">
        <w:tab/>
      </w:r>
    </w:p>
    <w:p w14:paraId="0858CFEA" w14:textId="77777777" w:rsidR="00625A5B" w:rsidRPr="008F03E5" w:rsidRDefault="00625A5B" w:rsidP="008C44FD">
      <w:pPr>
        <w:pStyle w:val="Translit"/>
        <w:rPr>
          <w:rFonts w:eastAsia="PMingLiU"/>
          <w:lang w:eastAsia="zh-TW"/>
        </w:rPr>
      </w:pPr>
      <w:r w:rsidRPr="008F03E5">
        <w:rPr>
          <w:rFonts w:eastAsia="PMingLiU"/>
          <w:lang w:eastAsia="zh-TW"/>
        </w:rPr>
        <w:t>Al</w:t>
      </w:r>
      <w:r w:rsidRPr="008F03E5">
        <w:t xml:space="preserve">i </w:t>
      </w:r>
      <w:r w:rsidRPr="008F03E5">
        <w:rPr>
          <w:rFonts w:eastAsia="PMingLiU"/>
          <w:lang w:eastAsia="zh-TW"/>
        </w:rPr>
        <w:t>ibn Ab</w:t>
      </w:r>
      <w:r w:rsidRPr="008F03E5">
        <w:t xml:space="preserve">i </w:t>
      </w:r>
      <w:r w:rsidRPr="008F03E5">
        <w:rPr>
          <w:rFonts w:eastAsia="PMingLiU"/>
          <w:lang w:eastAsia="zh-TW"/>
        </w:rPr>
        <w:t>T</w:t>
      </w:r>
      <w:r w:rsidRPr="008F03E5">
        <w:t>a</w:t>
      </w:r>
      <w:r w:rsidRPr="008F03E5">
        <w:rPr>
          <w:rFonts w:eastAsia="PMingLiU"/>
          <w:lang w:eastAsia="zh-TW"/>
        </w:rPr>
        <w:t>lib</w:t>
      </w:r>
      <w:r w:rsidRPr="008F03E5">
        <w:tab/>
      </w:r>
      <w:r w:rsidRPr="008F03E5">
        <w:rPr>
          <w:rFonts w:eastAsia="PMingLiU"/>
          <w:lang w:eastAsia="zh-TW"/>
        </w:rPr>
        <w:t>‘Al</w:t>
      </w:r>
      <w:r w:rsidRPr="008F03E5">
        <w:t xml:space="preserve">í </w:t>
      </w:r>
      <w:r w:rsidRPr="008F03E5">
        <w:rPr>
          <w:rFonts w:eastAsia="PMingLiU"/>
          <w:lang w:eastAsia="zh-TW"/>
        </w:rPr>
        <w:t>ibn Ab</w:t>
      </w:r>
      <w:r w:rsidRPr="008F03E5">
        <w:t>í Ṭá</w:t>
      </w:r>
      <w:r w:rsidRPr="008F03E5">
        <w:rPr>
          <w:rFonts w:eastAsia="PMingLiU"/>
          <w:lang w:eastAsia="zh-TW"/>
        </w:rPr>
        <w:t>lib</w:t>
      </w:r>
      <w:r w:rsidRPr="008F03E5">
        <w:tab/>
        <w:t>Imám ‘Alí (the first) (</w:t>
      </w:r>
      <w:r w:rsidRPr="008F03E5">
        <w:rPr>
          <w:rFonts w:eastAsia="PMingLiU"/>
          <w:lang w:eastAsia="zh-TW"/>
        </w:rPr>
        <w:t>601–661), son of ‘</w:t>
      </w:r>
      <w:r w:rsidRPr="008F03E5">
        <w:t xml:space="preserve">Abú Ṭálib ibn ‘Abd al-Muṭṭalib, </w:t>
      </w:r>
      <w:r w:rsidRPr="008F03E5">
        <w:rPr>
          <w:rFonts w:eastAsia="PMingLiU"/>
          <w:lang w:eastAsia="zh-TW"/>
        </w:rPr>
        <w:t>was a cousin and son-in-law of Mu</w:t>
      </w:r>
      <w:r w:rsidRPr="008F03E5">
        <w:t>ḥ</w:t>
      </w:r>
      <w:r w:rsidRPr="008F03E5">
        <w:rPr>
          <w:rFonts w:eastAsia="PMingLiU"/>
          <w:lang w:eastAsia="zh-TW"/>
        </w:rPr>
        <w:t xml:space="preserve">ammad, who ruled as the fourth caliph from 656 to 661.  He is one of the central figures in </w:t>
      </w:r>
      <w:r w:rsidRPr="008F03E5">
        <w:rPr>
          <w:rFonts w:eastAsia="PMingLiU"/>
          <w:u w:val="single"/>
          <w:lang w:eastAsia="zh-TW"/>
        </w:rPr>
        <w:t>Sh</w:t>
      </w:r>
      <w:r w:rsidRPr="008F03E5">
        <w:t>í‘</w:t>
      </w:r>
      <w:r w:rsidRPr="008F03E5">
        <w:rPr>
          <w:rFonts w:eastAsia="PMingLiU"/>
          <w:lang w:eastAsia="zh-TW"/>
        </w:rPr>
        <w:t>a Islam and is regarded as the rightful immediate successor to Mu</w:t>
      </w:r>
      <w:r w:rsidRPr="008F03E5">
        <w:t>ḥ</w:t>
      </w:r>
      <w:r w:rsidRPr="008F03E5">
        <w:rPr>
          <w:rFonts w:eastAsia="PMingLiU"/>
          <w:lang w:eastAsia="zh-TW"/>
        </w:rPr>
        <w:t>ammad as an Im</w:t>
      </w:r>
      <w:r w:rsidRPr="008F03E5">
        <w:t>á</w:t>
      </w:r>
      <w:r w:rsidRPr="008F03E5">
        <w:rPr>
          <w:rFonts w:eastAsia="PMingLiU"/>
          <w:lang w:eastAsia="zh-TW"/>
        </w:rPr>
        <w:t xml:space="preserve">m by </w:t>
      </w:r>
      <w:r w:rsidRPr="008F03E5">
        <w:rPr>
          <w:rFonts w:eastAsia="PMingLiU"/>
          <w:u w:val="single"/>
          <w:lang w:eastAsia="zh-TW"/>
        </w:rPr>
        <w:t>Sh</w:t>
      </w:r>
      <w:r w:rsidRPr="008F03E5">
        <w:t>í‘</w:t>
      </w:r>
      <w:r w:rsidRPr="008F03E5">
        <w:rPr>
          <w:rFonts w:eastAsia="PMingLiU"/>
          <w:lang w:eastAsia="zh-TW"/>
        </w:rPr>
        <w:t>a Muslims.</w:t>
      </w:r>
    </w:p>
    <w:p w14:paraId="522CEE0B" w14:textId="77777777" w:rsidR="00625A5B" w:rsidRPr="00B528B1" w:rsidRDefault="00625A5B" w:rsidP="00B528B1">
      <w:pPr>
        <w:pStyle w:val="Translit"/>
        <w:rPr>
          <w:rFonts w:eastAsia="PMingLiU"/>
          <w:lang w:eastAsia="zh-TW"/>
        </w:rPr>
      </w:pPr>
      <w:r w:rsidRPr="00B528B1">
        <w:rPr>
          <w:rFonts w:eastAsia="PMingLiU"/>
          <w:lang w:eastAsia="zh-TW"/>
        </w:rPr>
        <w:t>Al</w:t>
      </w:r>
      <w:r w:rsidRPr="00B528B1">
        <w:t xml:space="preserve">i </w:t>
      </w:r>
      <w:r w:rsidRPr="00B528B1">
        <w:rPr>
          <w:rFonts w:eastAsia="PMingLiU"/>
          <w:lang w:eastAsia="zh-TW"/>
        </w:rPr>
        <w:t>ibn Muhammad</w:t>
      </w:r>
      <w:r w:rsidRPr="00B528B1">
        <w:tab/>
      </w:r>
      <w:r w:rsidRPr="00B528B1">
        <w:rPr>
          <w:rFonts w:eastAsia="PMingLiU"/>
          <w:lang w:eastAsia="zh-TW"/>
        </w:rPr>
        <w:t>‘Al</w:t>
      </w:r>
      <w:r w:rsidRPr="00B528B1">
        <w:t>í</w:t>
      </w:r>
      <w:r>
        <w:rPr>
          <w:rFonts w:eastAsia="PMingLiU"/>
          <w:lang w:eastAsia="zh-TW"/>
        </w:rPr>
        <w:t xml:space="preserve"> </w:t>
      </w:r>
      <w:r w:rsidRPr="00B528B1">
        <w:rPr>
          <w:rFonts w:eastAsia="PMingLiU"/>
          <w:lang w:eastAsia="zh-TW"/>
        </w:rPr>
        <w:t>ibn</w:t>
      </w:r>
      <w:r>
        <w:rPr>
          <w:rFonts w:eastAsia="PMingLiU"/>
          <w:lang w:eastAsia="zh-TW"/>
        </w:rPr>
        <w:t xml:space="preserve"> </w:t>
      </w:r>
      <w:r w:rsidRPr="00B528B1">
        <w:rPr>
          <w:rFonts w:eastAsia="PMingLiU"/>
          <w:lang w:eastAsia="zh-TW"/>
        </w:rPr>
        <w:t>Mu</w:t>
      </w:r>
      <w:r w:rsidRPr="00B528B1">
        <w:t>ḥ</w:t>
      </w:r>
      <w:r w:rsidRPr="00B528B1">
        <w:rPr>
          <w:rFonts w:eastAsia="PMingLiU"/>
          <w:lang w:eastAsia="zh-TW"/>
        </w:rPr>
        <w:t>ammad</w:t>
      </w:r>
      <w:r w:rsidRPr="00B528B1">
        <w:tab/>
      </w:r>
    </w:p>
    <w:p w14:paraId="20B4F204" w14:textId="77777777" w:rsidR="00625A5B" w:rsidRPr="00B528B1" w:rsidRDefault="00625A5B" w:rsidP="00B528B1">
      <w:pPr>
        <w:pStyle w:val="Translit"/>
        <w:rPr>
          <w:rFonts w:eastAsia="PMingLiU"/>
          <w:lang w:eastAsia="zh-TW"/>
        </w:rPr>
      </w:pPr>
      <w:r w:rsidRPr="00B528B1">
        <w:rPr>
          <w:rFonts w:eastAsia="PMingLiU"/>
          <w:lang w:eastAsia="zh-TW"/>
        </w:rPr>
        <w:t>Al</w:t>
      </w:r>
      <w:r w:rsidRPr="00B528B1">
        <w:t xml:space="preserve">i </w:t>
      </w:r>
      <w:r w:rsidRPr="00B528B1">
        <w:rPr>
          <w:rFonts w:eastAsia="PMingLiU"/>
          <w:lang w:eastAsia="zh-TW"/>
        </w:rPr>
        <w:t>ibn M</w:t>
      </w:r>
      <w:r w:rsidRPr="00B528B1">
        <w:t>u</w:t>
      </w:r>
      <w:r w:rsidRPr="00B528B1">
        <w:rPr>
          <w:rFonts w:eastAsia="PMingLiU"/>
          <w:lang w:eastAsia="zh-TW"/>
        </w:rPr>
        <w:t>s</w:t>
      </w:r>
      <w:r w:rsidRPr="00B528B1">
        <w:t>a</w:t>
      </w:r>
      <w:r w:rsidRPr="00B528B1">
        <w:rPr>
          <w:rFonts w:eastAsia="PMingLiU"/>
          <w:lang w:eastAsia="zh-TW"/>
        </w:rPr>
        <w:t>’r-Rid</w:t>
      </w:r>
      <w:r w:rsidRPr="00B528B1">
        <w:t>a</w:t>
      </w:r>
      <w:r w:rsidRPr="00B528B1">
        <w:tab/>
      </w:r>
      <w:r w:rsidRPr="00B528B1">
        <w:rPr>
          <w:rFonts w:eastAsia="PMingLiU"/>
          <w:lang w:eastAsia="zh-TW"/>
        </w:rPr>
        <w:t>‘Al</w:t>
      </w:r>
      <w:r w:rsidRPr="00B528B1">
        <w:t>í</w:t>
      </w:r>
      <w:r>
        <w:rPr>
          <w:rFonts w:eastAsia="PMingLiU"/>
          <w:lang w:eastAsia="zh-TW"/>
        </w:rPr>
        <w:t xml:space="preserve"> </w:t>
      </w:r>
      <w:r w:rsidRPr="00B528B1">
        <w:rPr>
          <w:rFonts w:eastAsia="PMingLiU"/>
          <w:lang w:eastAsia="zh-TW"/>
        </w:rPr>
        <w:t>ibn</w:t>
      </w:r>
      <w:r>
        <w:rPr>
          <w:rFonts w:eastAsia="PMingLiU"/>
          <w:lang w:eastAsia="zh-TW"/>
        </w:rPr>
        <w:t xml:space="preserve"> </w:t>
      </w:r>
      <w:r w:rsidRPr="00B528B1">
        <w:rPr>
          <w:rFonts w:eastAsia="PMingLiU"/>
          <w:lang w:eastAsia="zh-TW"/>
        </w:rPr>
        <w:t>M</w:t>
      </w:r>
      <w:r w:rsidRPr="00B528B1">
        <w:t>ú</w:t>
      </w:r>
      <w:r w:rsidRPr="00B528B1">
        <w:rPr>
          <w:rFonts w:eastAsia="PMingLiU"/>
          <w:lang w:eastAsia="zh-TW"/>
        </w:rPr>
        <w:t>s</w:t>
      </w:r>
      <w:r w:rsidRPr="00B528B1">
        <w:t>á</w:t>
      </w:r>
      <w:r w:rsidRPr="00B528B1">
        <w:rPr>
          <w:rFonts w:eastAsia="PMingLiU"/>
          <w:lang w:eastAsia="zh-TW"/>
        </w:rPr>
        <w:t>’r-Ri</w:t>
      </w:r>
      <w:r w:rsidRPr="00B528B1">
        <w:t>ḍá</w:t>
      </w:r>
      <w:r w:rsidRPr="00B528B1">
        <w:tab/>
      </w:r>
    </w:p>
    <w:p w14:paraId="58B54B02" w14:textId="77777777" w:rsidR="00625A5B" w:rsidRPr="008F03E5" w:rsidRDefault="00625A5B" w:rsidP="005853AE">
      <w:pPr>
        <w:pStyle w:val="Translit"/>
      </w:pPr>
      <w:r w:rsidRPr="008F03E5">
        <w:t>Ali Pasha</w:t>
      </w:r>
      <w:r w:rsidRPr="008F03E5">
        <w:tab/>
        <w:t>‘Álí Pá</w:t>
      </w:r>
      <w:r w:rsidRPr="008F03E5">
        <w:rPr>
          <w:u w:val="single"/>
        </w:rPr>
        <w:t>sh</w:t>
      </w:r>
      <w:r w:rsidRPr="008F03E5">
        <w:t>á</w:t>
      </w:r>
      <w:r w:rsidRPr="008F03E5">
        <w:tab/>
        <w:t>Muḥammad Amín ‘Álí Pá</w:t>
      </w:r>
      <w:r w:rsidRPr="008F03E5">
        <w:rPr>
          <w:u w:val="single"/>
        </w:rPr>
        <w:t>sh</w:t>
      </w:r>
      <w:r w:rsidRPr="008F03E5">
        <w:t>á or in Turkish, Mehmed Emin Âli Pasha (1815–1871), five times he was appointed the Grand Vizier (or Prime Minister) of the Ottoman Empire by two Sultans.</w:t>
      </w:r>
    </w:p>
    <w:p w14:paraId="3E0B7779" w14:textId="77777777" w:rsidR="00625A5B" w:rsidRPr="008F03E5" w:rsidRDefault="00625A5B" w:rsidP="00643261">
      <w:pPr>
        <w:pStyle w:val="Translit"/>
      </w:pPr>
      <w:r w:rsidRPr="008F03E5">
        <w:t>Ali</w:t>
      </w:r>
      <w:r w:rsidRPr="008F03E5">
        <w:tab/>
        <w:t>‘Alí</w:t>
      </w:r>
      <w:r w:rsidRPr="008F03E5">
        <w:tab/>
        <w:t>high, eminent.  al-‘Alí, the divine name for the All-Knowing.</w:t>
      </w:r>
    </w:p>
    <w:p w14:paraId="58F33E70" w14:textId="77777777" w:rsidR="00625A5B" w:rsidRPr="008F03E5" w:rsidRDefault="00625A5B" w:rsidP="00F87A63">
      <w:pPr>
        <w:pStyle w:val="Translit"/>
        <w:rPr>
          <w:rFonts w:eastAsia="PMingLiU"/>
          <w:lang w:eastAsia="zh-TW"/>
        </w:rPr>
      </w:pPr>
      <w:r w:rsidRPr="008F03E5">
        <w:rPr>
          <w:rFonts w:eastAsia="PMingLiU"/>
          <w:lang w:eastAsia="zh-TW"/>
        </w:rPr>
        <w:t>Ali, ‘Aliya</w:t>
      </w:r>
      <w:r w:rsidRPr="008F03E5">
        <w:rPr>
          <w:rFonts w:eastAsia="PMingLiU"/>
          <w:lang w:eastAsia="zh-TW"/>
        </w:rPr>
        <w:tab/>
        <w:t>‘</w:t>
      </w:r>
      <w:r w:rsidRPr="008F03E5">
        <w:t>Á</w:t>
      </w:r>
      <w:r w:rsidRPr="008F03E5">
        <w:rPr>
          <w:rFonts w:eastAsia="PMingLiU"/>
          <w:lang w:eastAsia="zh-TW"/>
        </w:rPr>
        <w:t>l</w:t>
      </w:r>
      <w:r w:rsidRPr="008F03E5">
        <w:t>í, fem. ‘Áliya</w:t>
      </w:r>
      <w:r w:rsidRPr="008F03E5">
        <w:tab/>
        <w:t>h</w:t>
      </w:r>
      <w:r w:rsidRPr="008F03E5">
        <w:rPr>
          <w:rFonts w:eastAsia="PMingLiU"/>
          <w:lang w:eastAsia="zh-TW"/>
        </w:rPr>
        <w:t>igh, sublime, eminent, excellent, grand; the upper part; above</w:t>
      </w:r>
    </w:p>
    <w:p w14:paraId="06AF3498" w14:textId="77777777" w:rsidR="00625A5B" w:rsidRPr="008F03E5" w:rsidRDefault="00625A5B" w:rsidP="00F87A63">
      <w:pPr>
        <w:pStyle w:val="Translit"/>
      </w:pPr>
      <w:r w:rsidRPr="008F03E5">
        <w:rPr>
          <w:rFonts w:eastAsia="PMingLiU"/>
          <w:lang w:eastAsia="zh-TW"/>
        </w:rPr>
        <w:t>Al</w:t>
      </w:r>
      <w:r w:rsidRPr="008F03E5">
        <w:t>i</w:t>
      </w:r>
      <w:r w:rsidRPr="008F03E5">
        <w:rPr>
          <w:rFonts w:eastAsia="PMingLiU"/>
          <w:lang w:eastAsia="zh-TW"/>
        </w:rPr>
        <w:t>-‘Askar-i-Tabr</w:t>
      </w:r>
      <w:r w:rsidRPr="008F03E5">
        <w:t>i</w:t>
      </w:r>
      <w:r w:rsidRPr="008F03E5">
        <w:rPr>
          <w:rFonts w:eastAsia="PMingLiU"/>
          <w:lang w:eastAsia="zh-TW"/>
        </w:rPr>
        <w:t>z</w:t>
      </w:r>
      <w:r w:rsidRPr="008F03E5">
        <w:t>i</w:t>
      </w:r>
      <w:r w:rsidRPr="008F03E5">
        <w:tab/>
      </w:r>
      <w:r w:rsidRPr="008F03E5">
        <w:rPr>
          <w:rFonts w:eastAsia="PMingLiU"/>
          <w:lang w:eastAsia="zh-TW"/>
        </w:rPr>
        <w:t>‘Al</w:t>
      </w:r>
      <w:r w:rsidRPr="008F03E5">
        <w:t>í</w:t>
      </w:r>
      <w:r w:rsidRPr="008F03E5">
        <w:rPr>
          <w:rFonts w:eastAsia="PMingLiU"/>
          <w:lang w:eastAsia="zh-TW"/>
        </w:rPr>
        <w:t>-‘Askar-i-Tabr</w:t>
      </w:r>
      <w:r w:rsidRPr="008F03E5">
        <w:t>í</w:t>
      </w:r>
      <w:r w:rsidRPr="008F03E5">
        <w:rPr>
          <w:rFonts w:eastAsia="PMingLiU"/>
          <w:lang w:eastAsia="zh-TW"/>
        </w:rPr>
        <w:t>z</w:t>
      </w:r>
      <w:r w:rsidRPr="008F03E5">
        <w:t>í</w:t>
      </w:r>
      <w:r w:rsidRPr="008F03E5">
        <w:tab/>
        <w:t xml:space="preserve">Merchant from </w:t>
      </w:r>
      <w:r w:rsidRPr="008F03E5">
        <w:rPr>
          <w:rFonts w:eastAsia="PMingLiU"/>
          <w:lang w:eastAsia="zh-TW"/>
        </w:rPr>
        <w:t>Tabr</w:t>
      </w:r>
      <w:r w:rsidRPr="008F03E5">
        <w:t>í</w:t>
      </w:r>
      <w:r w:rsidRPr="008F03E5">
        <w:rPr>
          <w:rFonts w:eastAsia="PMingLiU"/>
          <w:lang w:eastAsia="zh-TW"/>
        </w:rPr>
        <w:t>z</w:t>
      </w:r>
    </w:p>
    <w:p w14:paraId="0A815FE6" w14:textId="77777777" w:rsidR="00625A5B" w:rsidRPr="008F03E5" w:rsidRDefault="00625A5B" w:rsidP="009E2505">
      <w:pPr>
        <w:pStyle w:val="Translit"/>
      </w:pPr>
      <w:r w:rsidRPr="008F03E5">
        <w:rPr>
          <w:rFonts w:eastAsia="PMingLiU"/>
          <w:lang w:eastAsia="zh-TW"/>
        </w:rPr>
        <w:t>Al</w:t>
      </w:r>
      <w:r w:rsidRPr="008F03E5">
        <w:t>i</w:t>
      </w:r>
      <w:r w:rsidRPr="008F03E5">
        <w:rPr>
          <w:rFonts w:eastAsia="PMingLiU"/>
          <w:lang w:eastAsia="zh-TW"/>
        </w:rPr>
        <w:t>-</w:t>
      </w:r>
      <w:r w:rsidRPr="008F03E5">
        <w:t>A</w:t>
      </w:r>
      <w:r w:rsidRPr="008F03E5">
        <w:rPr>
          <w:rFonts w:eastAsia="PMingLiU"/>
          <w:lang w:eastAsia="zh-TW"/>
        </w:rPr>
        <w:t>b</w:t>
      </w:r>
      <w:r w:rsidRPr="008F03E5">
        <w:t>a</w:t>
      </w:r>
      <w:r w:rsidRPr="008F03E5">
        <w:rPr>
          <w:rFonts w:eastAsia="PMingLiU"/>
          <w:lang w:eastAsia="zh-TW"/>
        </w:rPr>
        <w:t>d (Aliabad</w:t>
      </w:r>
      <w:r w:rsidRPr="008F03E5">
        <w:t>, Aliyabad</w:t>
      </w:r>
      <w:r w:rsidRPr="008F03E5">
        <w:rPr>
          <w:rFonts w:eastAsia="PMingLiU"/>
          <w:lang w:eastAsia="zh-TW"/>
        </w:rPr>
        <w:t>)</w:t>
      </w:r>
      <w:r w:rsidRPr="008F03E5">
        <w:tab/>
      </w:r>
      <w:r w:rsidRPr="008F03E5">
        <w:rPr>
          <w:rFonts w:eastAsia="PMingLiU"/>
          <w:lang w:eastAsia="zh-TW"/>
        </w:rPr>
        <w:t>‘Al</w:t>
      </w:r>
      <w:r w:rsidRPr="008F03E5">
        <w:t>í</w:t>
      </w:r>
      <w:r w:rsidRPr="008F03E5">
        <w:rPr>
          <w:rFonts w:eastAsia="PMingLiU"/>
          <w:lang w:eastAsia="zh-TW"/>
        </w:rPr>
        <w:t>-</w:t>
      </w:r>
      <w:r w:rsidRPr="008F03E5">
        <w:t>Á</w:t>
      </w:r>
      <w:r w:rsidRPr="008F03E5">
        <w:rPr>
          <w:rFonts w:eastAsia="PMingLiU"/>
          <w:lang w:eastAsia="zh-TW"/>
        </w:rPr>
        <w:t>b</w:t>
      </w:r>
      <w:r w:rsidRPr="008F03E5">
        <w:t>á</w:t>
      </w:r>
      <w:r w:rsidRPr="008F03E5">
        <w:rPr>
          <w:rFonts w:eastAsia="PMingLiU"/>
          <w:lang w:eastAsia="zh-TW"/>
        </w:rPr>
        <w:t>d</w:t>
      </w:r>
      <w:r w:rsidRPr="008F03E5">
        <w:tab/>
        <w:t xml:space="preserve">a village 35 km </w:t>
      </w:r>
      <w:r w:rsidRPr="008F03E5">
        <w:rPr>
          <w:sz w:val="16"/>
          <w:szCs w:val="16"/>
        </w:rPr>
        <w:t>SW</w:t>
      </w:r>
      <w:r w:rsidRPr="008F03E5">
        <w:t xml:space="preserve"> of Ṭihrán</w:t>
      </w:r>
      <w:r>
        <w:t xml:space="preserve">.  </w:t>
      </w:r>
      <w:r w:rsidRPr="008F03E5">
        <w:t>A very small village (35.1318499, 50.9764761) in the Central District of Qom County, Qom Province</w:t>
      </w:r>
      <w:r>
        <w:t>.  A very common name.</w:t>
      </w:r>
    </w:p>
    <w:p w14:paraId="2048A245" w14:textId="77777777" w:rsidR="00625A5B" w:rsidRPr="00A60CA9" w:rsidRDefault="00625A5B" w:rsidP="00F87A63">
      <w:pPr>
        <w:pStyle w:val="Translit"/>
        <w:rPr>
          <w:rFonts w:eastAsia="PMingLiU"/>
          <w:lang w:eastAsia="zh-TW"/>
        </w:rPr>
      </w:pPr>
      <w:r w:rsidRPr="00A60CA9">
        <w:rPr>
          <w:rFonts w:eastAsia="PMingLiU"/>
          <w:lang w:eastAsia="zh-TW"/>
        </w:rPr>
        <w:t>Al</w:t>
      </w:r>
      <w:r w:rsidRPr="00A60CA9">
        <w:t>i</w:t>
      </w:r>
      <w:r w:rsidRPr="00A60CA9">
        <w:rPr>
          <w:rFonts w:eastAsia="PMingLiU"/>
          <w:lang w:eastAsia="zh-TW"/>
        </w:rPr>
        <w:t>-Ahmad</w:t>
      </w:r>
      <w:r w:rsidRPr="00A60CA9">
        <w:tab/>
      </w:r>
      <w:r w:rsidRPr="00A60CA9">
        <w:rPr>
          <w:rFonts w:eastAsia="PMingLiU"/>
          <w:lang w:eastAsia="zh-TW"/>
        </w:rPr>
        <w:t>‘Al</w:t>
      </w:r>
      <w:r w:rsidRPr="00A60CA9">
        <w:t>í</w:t>
      </w:r>
      <w:r w:rsidRPr="00A60CA9">
        <w:rPr>
          <w:rFonts w:eastAsia="PMingLiU"/>
          <w:lang w:eastAsia="zh-TW"/>
        </w:rPr>
        <w:t>-A</w:t>
      </w:r>
      <w:r w:rsidRPr="00A60CA9">
        <w:t>ḥ</w:t>
      </w:r>
      <w:r w:rsidRPr="00A60CA9">
        <w:rPr>
          <w:rFonts w:eastAsia="PMingLiU"/>
          <w:lang w:eastAsia="zh-TW"/>
        </w:rPr>
        <w:t>mad</w:t>
      </w:r>
      <w:r w:rsidRPr="00A60CA9">
        <w:tab/>
      </w:r>
    </w:p>
    <w:p w14:paraId="1D85EEE2" w14:textId="77777777" w:rsidR="00625A5B" w:rsidRPr="00A60CA9" w:rsidRDefault="00625A5B" w:rsidP="00F87A63">
      <w:pPr>
        <w:pStyle w:val="Translit"/>
        <w:rPr>
          <w:rFonts w:eastAsia="PMingLiU"/>
          <w:lang w:eastAsia="zh-TW"/>
        </w:rPr>
      </w:pPr>
      <w:r w:rsidRPr="00A60CA9">
        <w:rPr>
          <w:rFonts w:eastAsia="PMingLiU"/>
          <w:lang w:eastAsia="zh-TW"/>
        </w:rPr>
        <w:t>Al</w:t>
      </w:r>
      <w:r w:rsidRPr="00A60CA9">
        <w:t>i</w:t>
      </w:r>
      <w:r w:rsidRPr="00A60CA9">
        <w:rPr>
          <w:rFonts w:eastAsia="PMingLiU"/>
          <w:lang w:eastAsia="zh-TW"/>
        </w:rPr>
        <w:t>-Akbar-i-Ardist</w:t>
      </w:r>
      <w:r w:rsidRPr="00A60CA9">
        <w:t>a</w:t>
      </w:r>
      <w:r w:rsidRPr="00A60CA9">
        <w:rPr>
          <w:rFonts w:eastAsia="PMingLiU"/>
          <w:lang w:eastAsia="zh-TW"/>
        </w:rPr>
        <w:t>n</w:t>
      </w:r>
      <w:r w:rsidRPr="00A60CA9">
        <w:t>i</w:t>
      </w:r>
      <w:r w:rsidRPr="00A60CA9">
        <w:tab/>
      </w:r>
      <w:r w:rsidRPr="00A60CA9">
        <w:rPr>
          <w:rFonts w:eastAsia="PMingLiU"/>
          <w:lang w:eastAsia="zh-TW"/>
        </w:rPr>
        <w:t>‘Al</w:t>
      </w:r>
      <w:r w:rsidRPr="00A60CA9">
        <w:t>í</w:t>
      </w:r>
      <w:r w:rsidRPr="00A60CA9">
        <w:rPr>
          <w:rFonts w:eastAsia="PMingLiU"/>
          <w:lang w:eastAsia="zh-TW"/>
        </w:rPr>
        <w:t>-Akbar-i-Ardist</w:t>
      </w:r>
      <w:r w:rsidRPr="00A60CA9">
        <w:t>á</w:t>
      </w:r>
      <w:r w:rsidRPr="00A60CA9">
        <w:rPr>
          <w:rFonts w:eastAsia="PMingLiU"/>
          <w:lang w:eastAsia="zh-TW"/>
        </w:rPr>
        <w:t>n</w:t>
      </w:r>
      <w:r w:rsidRPr="00A60CA9">
        <w:t>í</w:t>
      </w:r>
      <w:r w:rsidRPr="00A60CA9">
        <w:tab/>
      </w:r>
    </w:p>
    <w:p w14:paraId="362A2852" w14:textId="77777777" w:rsidR="00625A5B" w:rsidRPr="00A60CA9" w:rsidRDefault="00625A5B" w:rsidP="00F87A63">
      <w:pPr>
        <w:pStyle w:val="Translit"/>
      </w:pPr>
      <w:r w:rsidRPr="00A60CA9">
        <w:t>Ali-Akbar-i-Mazgani</w:t>
      </w:r>
      <w:r w:rsidRPr="00A60CA9">
        <w:tab/>
        <w:t>‘Alí-Akbar-i-Mázgání</w:t>
      </w:r>
      <w:r w:rsidRPr="00A60CA9">
        <w:tab/>
        <w:t>(</w:t>
      </w:r>
      <w:r w:rsidRPr="00A60CA9">
        <w:rPr>
          <w:sz w:val="16"/>
          <w:szCs w:val="16"/>
        </w:rPr>
        <w:t>MF</w:t>
      </w:r>
      <w:r w:rsidRPr="00A60CA9">
        <w:t>)</w:t>
      </w:r>
    </w:p>
    <w:p w14:paraId="0A59B1ED" w14:textId="77777777" w:rsidR="00625A5B" w:rsidRPr="00A60CA9" w:rsidRDefault="00625A5B" w:rsidP="00F87A63">
      <w:pPr>
        <w:pStyle w:val="Translit"/>
      </w:pPr>
      <w:r w:rsidRPr="00A60CA9">
        <w:t>Ali-Akbar-i-Najjar</w:t>
      </w:r>
      <w:r w:rsidRPr="00A60CA9">
        <w:tab/>
        <w:t>‘Alí-Akbar-i-Najjár</w:t>
      </w:r>
      <w:r w:rsidRPr="00A60CA9">
        <w:tab/>
        <w:t>(</w:t>
      </w:r>
      <w:r w:rsidRPr="00A60CA9">
        <w:rPr>
          <w:sz w:val="16"/>
          <w:szCs w:val="16"/>
        </w:rPr>
        <w:t>MF</w:t>
      </w:r>
      <w:r w:rsidRPr="00A60CA9">
        <w:t>)</w:t>
      </w:r>
    </w:p>
    <w:p w14:paraId="2E0B864C" w14:textId="77777777" w:rsidR="00625A5B" w:rsidRPr="00A60CA9" w:rsidRDefault="00625A5B" w:rsidP="00F87A63">
      <w:pPr>
        <w:pStyle w:val="Translit"/>
      </w:pPr>
      <w:r w:rsidRPr="00A60CA9">
        <w:t>Ali-Akbar-i-Quchani</w:t>
      </w:r>
      <w:r w:rsidRPr="00A60CA9">
        <w:tab/>
        <w:t>‘Alí-Akbar-i-Qú</w:t>
      </w:r>
      <w:r w:rsidRPr="00A60CA9">
        <w:rPr>
          <w:u w:val="single"/>
        </w:rPr>
        <w:t>ch</w:t>
      </w:r>
      <w:r w:rsidRPr="00A60CA9">
        <w:t>ání</w:t>
      </w:r>
      <w:r w:rsidRPr="00A60CA9">
        <w:tab/>
      </w:r>
    </w:p>
    <w:p w14:paraId="0B2BEA1A" w14:textId="77777777" w:rsidR="00625A5B" w:rsidRPr="00A60CA9" w:rsidRDefault="00625A5B" w:rsidP="00A62BA1">
      <w:pPr>
        <w:pStyle w:val="Translit"/>
      </w:pPr>
      <w:r w:rsidRPr="00A60CA9">
        <w:t>Ali-Akbar-i-Shahmirzadi</w:t>
      </w:r>
      <w:r w:rsidRPr="00A60CA9">
        <w:tab/>
        <w:t>‘Alí-Akbar-i-</w:t>
      </w:r>
      <w:r w:rsidRPr="00A60CA9">
        <w:rPr>
          <w:u w:val="single"/>
        </w:rPr>
        <w:t>Sh</w:t>
      </w:r>
      <w:r w:rsidRPr="00A60CA9">
        <w:t>ahmírzádí</w:t>
      </w:r>
      <w:r w:rsidRPr="00A60CA9">
        <w:tab/>
        <w:t>known as Ḥájí Á</w:t>
      </w:r>
      <w:r w:rsidRPr="00A60CA9">
        <w:rPr>
          <w:u w:val="single"/>
        </w:rPr>
        <w:t>kh</w:t>
      </w:r>
      <w:r w:rsidRPr="00A60CA9">
        <w:t>únd, a Hand of the Cause of God (1842–1910)</w:t>
      </w:r>
    </w:p>
    <w:p w14:paraId="2EC0AEC7" w14:textId="77777777" w:rsidR="00625A5B" w:rsidRPr="005B0E5A" w:rsidRDefault="00625A5B" w:rsidP="00F87A63">
      <w:pPr>
        <w:pStyle w:val="Translit"/>
        <w:rPr>
          <w:lang w:val="es-ES_tradnl"/>
        </w:rPr>
      </w:pPr>
      <w:r w:rsidRPr="005B0E5A">
        <w:rPr>
          <w:lang w:val="es-ES_tradnl"/>
        </w:rPr>
        <w:t>Ali-Asghar</w:t>
      </w:r>
      <w:r w:rsidRPr="005B0E5A">
        <w:rPr>
          <w:lang w:val="es-ES_tradnl"/>
        </w:rPr>
        <w:tab/>
        <w:t>‘Alí-Aṣ</w:t>
      </w:r>
      <w:r w:rsidRPr="005B0E5A">
        <w:rPr>
          <w:u w:val="single"/>
          <w:lang w:val="es-ES_tradnl"/>
        </w:rPr>
        <w:t>gh</w:t>
      </w:r>
      <w:r w:rsidRPr="005B0E5A">
        <w:rPr>
          <w:lang w:val="es-ES_tradnl"/>
        </w:rPr>
        <w:t>ar</w:t>
      </w:r>
      <w:r w:rsidRPr="005B0E5A">
        <w:rPr>
          <w:lang w:val="es-ES_tradnl"/>
        </w:rPr>
        <w:tab/>
        <w:t>(</w:t>
      </w:r>
      <w:r w:rsidRPr="005B0E5A">
        <w:rPr>
          <w:sz w:val="16"/>
          <w:szCs w:val="16"/>
          <w:lang w:val="es-ES_tradnl"/>
        </w:rPr>
        <w:t>MF</w:t>
      </w:r>
      <w:r w:rsidRPr="005B0E5A">
        <w:rPr>
          <w:lang w:val="es-ES_tradnl"/>
        </w:rPr>
        <w:t>)</w:t>
      </w:r>
    </w:p>
    <w:p w14:paraId="30FDDF23" w14:textId="77777777" w:rsidR="00625A5B" w:rsidRPr="008F03E5" w:rsidRDefault="00625A5B" w:rsidP="007F0676">
      <w:pPr>
        <w:pStyle w:val="Translit"/>
      </w:pPr>
      <w:r w:rsidRPr="005B0E5A">
        <w:rPr>
          <w:lang w:val="es-ES_tradnl"/>
        </w:rPr>
        <w:t>Alif</w:t>
      </w:r>
      <w:r w:rsidRPr="005B0E5A">
        <w:rPr>
          <w:lang w:val="es-ES_tradnl"/>
        </w:rPr>
        <w:tab/>
        <w:t>Alif</w:t>
      </w:r>
      <w:r w:rsidRPr="005B0E5A">
        <w:rPr>
          <w:lang w:val="es-ES_tradnl"/>
        </w:rPr>
        <w:tab/>
        <w:t>the vertically aligned or “upright” first consonant (</w:t>
      </w:r>
      <w:r w:rsidRPr="008F03E5">
        <w:rPr>
          <w:rtl/>
        </w:rPr>
        <w:t>ﺍ</w:t>
      </w:r>
      <w:r w:rsidRPr="005B0E5A">
        <w:rPr>
          <w:lang w:val="es-ES_tradnl"/>
        </w:rPr>
        <w:t xml:space="preserve">, á) with an abjad value of 1.  The basic shape of the alif has two forms depending on its position in a word.  The alif is one of three letters:  alif </w:t>
      </w:r>
      <w:r w:rsidRPr="008F03E5">
        <w:rPr>
          <w:rtl/>
        </w:rPr>
        <w:t>ا</w:t>
      </w:r>
      <w:r w:rsidRPr="005B0E5A">
        <w:rPr>
          <w:lang w:val="es-ES_tradnl"/>
        </w:rPr>
        <w:t xml:space="preserve">, wáw </w:t>
      </w:r>
      <w:r w:rsidRPr="008F03E5">
        <w:rPr>
          <w:rtl/>
        </w:rPr>
        <w:t>و</w:t>
      </w:r>
      <w:r w:rsidRPr="005B0E5A">
        <w:rPr>
          <w:lang w:val="es-ES_tradnl"/>
        </w:rPr>
        <w:t xml:space="preserve">, and yá’ </w:t>
      </w:r>
      <w:r w:rsidRPr="008F03E5">
        <w:rPr>
          <w:rtl/>
        </w:rPr>
        <w:t>ي</w:t>
      </w:r>
      <w:r w:rsidRPr="005B0E5A">
        <w:rPr>
          <w:lang w:val="es-ES_tradnl"/>
        </w:rPr>
        <w:t xml:space="preserve">, which might be either a consonant or a vowel letter.  </w:t>
      </w:r>
      <w:r w:rsidRPr="008F03E5">
        <w:t xml:space="preserve">The </w:t>
      </w:r>
      <w:r w:rsidRPr="008F03E5">
        <w:rPr>
          <w:rFonts w:eastAsia="Arial"/>
        </w:rPr>
        <w:t>B</w:t>
      </w:r>
      <w:r w:rsidRPr="008F03E5">
        <w:t>á</w:t>
      </w:r>
      <w:r w:rsidRPr="008F03E5">
        <w:rPr>
          <w:rFonts w:eastAsia="Arial"/>
        </w:rPr>
        <w:t>b</w:t>
      </w:r>
      <w:r w:rsidRPr="008F03E5">
        <w:t xml:space="preserve"> is often identified as the “upright Alif”, a vertical line that is unwavering and straight, and thus the symbol of the true Path of God, the supreme Standard of truth, the straight line of justice and moderation.  In writing the alif serves as a prop for vowel-signs (small vowel diacritics above or below):  </w:t>
      </w:r>
      <w:r w:rsidRPr="008F03E5">
        <w:rPr>
          <w:rtl/>
        </w:rPr>
        <w:t>اَ</w:t>
      </w:r>
      <w:r w:rsidRPr="008F03E5">
        <w:t xml:space="preserve"> a; </w:t>
      </w:r>
      <w:r w:rsidRPr="008F03E5">
        <w:rPr>
          <w:rtl/>
        </w:rPr>
        <w:t>اِ</w:t>
      </w:r>
      <w:r w:rsidRPr="008F03E5">
        <w:t xml:space="preserve"> i; </w:t>
      </w:r>
      <w:r w:rsidRPr="008F03E5">
        <w:rPr>
          <w:rtl/>
        </w:rPr>
        <w:t>اُ</w:t>
      </w:r>
      <w:r w:rsidRPr="008F03E5">
        <w:t xml:space="preserve"> u; </w:t>
      </w:r>
      <w:r w:rsidRPr="008F03E5">
        <w:rPr>
          <w:rtl/>
        </w:rPr>
        <w:t>اُو</w:t>
      </w:r>
      <w:r w:rsidRPr="008F03E5">
        <w:t xml:space="preserve"> ú, o, au; and </w:t>
      </w:r>
      <w:r w:rsidRPr="008F03E5">
        <w:rPr>
          <w:rtl/>
        </w:rPr>
        <w:t>ای</w:t>
      </w:r>
      <w:r w:rsidRPr="008F03E5">
        <w:t xml:space="preserve"> í, e, ai.  Since an alif cannot occur at the end of a word, an alif maqṣúra, written as </w:t>
      </w:r>
      <w:r w:rsidRPr="008F03E5">
        <w:rPr>
          <w:rtl/>
        </w:rPr>
        <w:t>ى</w:t>
      </w:r>
      <w:r w:rsidRPr="008F03E5">
        <w:t xml:space="preserve">, and pronounced as á (e.g., </w:t>
      </w:r>
      <w:r w:rsidRPr="008F03E5">
        <w:rPr>
          <w:rFonts w:ascii="Times New Roman" w:hAnsi="Times New Roman"/>
          <w:rtl/>
        </w:rPr>
        <w:t>رمى</w:t>
      </w:r>
      <w:r w:rsidRPr="008F03E5">
        <w:rPr>
          <w:rFonts w:ascii="Times New Roman" w:hAnsi="Times New Roman"/>
        </w:rPr>
        <w:t>,</w:t>
      </w:r>
      <w:r w:rsidRPr="008F03E5">
        <w:t xml:space="preserve"> “ramá”) is used, and the </w:t>
      </w:r>
      <w:r w:rsidRPr="008F03E5">
        <w:rPr>
          <w:rtl/>
        </w:rPr>
        <w:t>ى</w:t>
      </w:r>
      <w:r w:rsidRPr="008F03E5">
        <w:t xml:space="preserve"> takes markings such as ḥamza like a regular alif.  The </w:t>
      </w:r>
      <w:r w:rsidRPr="008F03E5">
        <w:rPr>
          <w:rtl/>
        </w:rPr>
        <w:t>ىٰ</w:t>
      </w:r>
      <w:r w:rsidRPr="008F03E5">
        <w:t xml:space="preserve"> is called an alif qá’ima, alif </w:t>
      </w:r>
      <w:r w:rsidRPr="008F03E5">
        <w:rPr>
          <w:u w:val="single"/>
        </w:rPr>
        <w:t>kh</w:t>
      </w:r>
      <w:r w:rsidRPr="008F03E5">
        <w:t xml:space="preserve">anjaríyah, or dagger alif.  The alif at the end of the word is called </w:t>
      </w:r>
      <w:r w:rsidRPr="008F03E5">
        <w:rPr>
          <w:rtl/>
        </w:rPr>
        <w:t>الألف اللينة</w:t>
      </w:r>
      <w:r w:rsidRPr="008F03E5">
        <w:t xml:space="preserve"> (al-alif al-layna[t]), which can be translated as “the soft or flexible alif” because it can be written as either a </w:t>
      </w:r>
      <w:r w:rsidRPr="008F03E5">
        <w:rPr>
          <w:rtl/>
        </w:rPr>
        <w:t>و</w:t>
      </w:r>
      <w:r w:rsidRPr="008F03E5">
        <w:t xml:space="preserve"> or a </w:t>
      </w:r>
      <w:r w:rsidRPr="008F03E5">
        <w:rPr>
          <w:rtl/>
        </w:rPr>
        <w:t>ي</w:t>
      </w:r>
      <w:r w:rsidRPr="008F03E5">
        <w:t>.</w:t>
      </w:r>
    </w:p>
    <w:p w14:paraId="16660933" w14:textId="77777777" w:rsidR="00625A5B" w:rsidRPr="008F03E5" w:rsidRDefault="00625A5B" w:rsidP="00F87A63">
      <w:pPr>
        <w:pStyle w:val="Translit"/>
        <w:rPr>
          <w:rFonts w:eastAsia="PMingLiU"/>
          <w:lang w:eastAsia="zh-TW"/>
        </w:rPr>
      </w:pPr>
      <w:r w:rsidRPr="008F03E5">
        <w:rPr>
          <w:rFonts w:eastAsia="PMingLiU"/>
          <w:lang w:eastAsia="zh-TW"/>
        </w:rPr>
        <w:t>Al</w:t>
      </w:r>
      <w:r w:rsidRPr="008F03E5">
        <w:t>i</w:t>
      </w:r>
      <w:r w:rsidRPr="008F03E5">
        <w:rPr>
          <w:rFonts w:eastAsia="PMingLiU"/>
          <w:lang w:eastAsia="zh-TW"/>
        </w:rPr>
        <w:t>-Hamzih</w:t>
      </w:r>
      <w:r w:rsidRPr="008F03E5">
        <w:tab/>
      </w:r>
      <w:r w:rsidRPr="008F03E5">
        <w:rPr>
          <w:rFonts w:eastAsia="PMingLiU"/>
          <w:lang w:eastAsia="zh-TW"/>
        </w:rPr>
        <w:t>‘Al</w:t>
      </w:r>
      <w:r w:rsidRPr="008F03E5">
        <w:t>í</w:t>
      </w:r>
      <w:r w:rsidRPr="008F03E5">
        <w:rPr>
          <w:rFonts w:eastAsia="PMingLiU"/>
          <w:lang w:eastAsia="zh-TW"/>
        </w:rPr>
        <w:t>-</w:t>
      </w:r>
      <w:r w:rsidRPr="008F03E5">
        <w:t>Ḥ</w:t>
      </w:r>
      <w:r w:rsidRPr="008F03E5">
        <w:rPr>
          <w:rFonts w:eastAsia="PMingLiU"/>
          <w:lang w:eastAsia="zh-TW"/>
        </w:rPr>
        <w:t>amzih</w:t>
      </w:r>
      <w:r w:rsidRPr="008F03E5">
        <w:tab/>
      </w:r>
    </w:p>
    <w:p w14:paraId="637BA7F1" w14:textId="77777777" w:rsidR="00625A5B" w:rsidRPr="00CF0A5A" w:rsidRDefault="00625A5B" w:rsidP="00F87A63">
      <w:pPr>
        <w:pStyle w:val="Translit"/>
      </w:pPr>
      <w:r w:rsidRPr="00CF0A5A">
        <w:t>Ali-Jan</w:t>
      </w:r>
      <w:r w:rsidRPr="00CF0A5A">
        <w:tab/>
        <w:t>‘Alí-Ján</w:t>
      </w:r>
      <w:r w:rsidRPr="00CF0A5A">
        <w:tab/>
      </w:r>
    </w:p>
    <w:p w14:paraId="19E6AE28" w14:textId="77777777" w:rsidR="00625A5B" w:rsidRPr="00CF0A5A" w:rsidRDefault="00625A5B" w:rsidP="00F87A63">
      <w:pPr>
        <w:pStyle w:val="Translit"/>
      </w:pPr>
      <w:r w:rsidRPr="00CF0A5A">
        <w:rPr>
          <w:rFonts w:eastAsia="PMingLiU"/>
          <w:lang w:eastAsia="zh-TW"/>
        </w:rPr>
        <w:t>Al</w:t>
      </w:r>
      <w:r w:rsidRPr="00CF0A5A">
        <w:t>i</w:t>
      </w:r>
      <w:r w:rsidRPr="00CF0A5A">
        <w:rPr>
          <w:rFonts w:eastAsia="PMingLiU"/>
          <w:lang w:eastAsia="zh-TW"/>
        </w:rPr>
        <w:t>-Kh</w:t>
      </w:r>
      <w:r w:rsidRPr="00CF0A5A">
        <w:t>a</w:t>
      </w:r>
      <w:r w:rsidRPr="00CF0A5A">
        <w:rPr>
          <w:rFonts w:eastAsia="PMingLiU"/>
          <w:lang w:eastAsia="zh-TW"/>
        </w:rPr>
        <w:t>n</w:t>
      </w:r>
      <w:r w:rsidRPr="00CF0A5A">
        <w:tab/>
      </w:r>
      <w:r w:rsidRPr="00CF0A5A">
        <w:rPr>
          <w:rFonts w:eastAsia="PMingLiU"/>
          <w:lang w:eastAsia="zh-TW"/>
        </w:rPr>
        <w:t>‘Al</w:t>
      </w:r>
      <w:r w:rsidRPr="00CF0A5A">
        <w:t>í</w:t>
      </w:r>
      <w:r w:rsidRPr="00CF0A5A">
        <w:rPr>
          <w:rFonts w:eastAsia="PMingLiU"/>
          <w:lang w:eastAsia="zh-TW"/>
        </w:rPr>
        <w:t>-</w:t>
      </w:r>
      <w:r w:rsidRPr="00CF0A5A">
        <w:rPr>
          <w:u w:val="single"/>
        </w:rPr>
        <w:t>Kh</w:t>
      </w:r>
      <w:r w:rsidRPr="00CF0A5A">
        <w:t>á</w:t>
      </w:r>
      <w:r w:rsidRPr="00CF0A5A">
        <w:rPr>
          <w:rFonts w:eastAsia="PMingLiU"/>
          <w:lang w:eastAsia="zh-TW"/>
        </w:rPr>
        <w:t>n</w:t>
      </w:r>
      <w:r w:rsidRPr="00CF0A5A">
        <w:tab/>
      </w:r>
    </w:p>
    <w:p w14:paraId="41B3F3B2" w14:textId="77777777" w:rsidR="00625A5B" w:rsidRPr="008F03E5" w:rsidRDefault="00625A5B" w:rsidP="00F87A63">
      <w:pPr>
        <w:pStyle w:val="Translit"/>
      </w:pPr>
      <w:r w:rsidRPr="00CF0A5A">
        <w:t>Alil, A’illa’</w:t>
      </w:r>
      <w:r w:rsidRPr="00CF0A5A">
        <w:tab/>
        <w:t xml:space="preserve">‘Alíl, pl. </w:t>
      </w:r>
      <w:r w:rsidRPr="008F03E5">
        <w:t>A‘illá’</w:t>
      </w:r>
      <w:r w:rsidRPr="008F03E5">
        <w:tab/>
        <w:t>sick, ill, ailing; sick person, patient; soft, gentle, mild, pleasant.  meaning with place names:  “lower”</w:t>
      </w:r>
    </w:p>
    <w:p w14:paraId="2F98D23A" w14:textId="77777777" w:rsidR="00625A5B" w:rsidRPr="008F03E5" w:rsidRDefault="00625A5B" w:rsidP="00F87A63">
      <w:pPr>
        <w:pStyle w:val="Translit"/>
      </w:pPr>
      <w:r w:rsidRPr="007A51E5">
        <w:t>Alim, ‘Ulama</w:t>
      </w:r>
      <w:r w:rsidRPr="008F03E5">
        <w:tab/>
      </w:r>
      <w:bookmarkStart w:id="42" w:name="_Hlk57119741"/>
      <w:r w:rsidRPr="008F03E5">
        <w:t>‘Alím</w:t>
      </w:r>
      <w:bookmarkEnd w:id="42"/>
      <w:r w:rsidRPr="008F03E5">
        <w:t>, pl. ‘Ulamá’ (Pers. ‘Ulamá)</w:t>
      </w:r>
      <w:r w:rsidRPr="008F03E5">
        <w:tab/>
        <w:t>knowing; cognizant, informed; learned, erudite; al-‘Alím the omniscient (one of the attributes of God)</w:t>
      </w:r>
    </w:p>
    <w:p w14:paraId="14C5B764" w14:textId="77777777" w:rsidR="00625A5B" w:rsidRPr="008F03E5" w:rsidRDefault="00625A5B" w:rsidP="0078678F">
      <w:pPr>
        <w:pStyle w:val="Translit"/>
      </w:pPr>
      <w:r w:rsidRPr="00D45A23">
        <w:rPr>
          <w:lang w:val="pl-PL"/>
        </w:rPr>
        <w:t>Alim, Alima, Ulama</w:t>
      </w:r>
      <w:r w:rsidRPr="00D45A23">
        <w:rPr>
          <w:lang w:val="pl-PL"/>
        </w:rPr>
        <w:tab/>
        <w:t xml:space="preserve">‘Álim, fem. </w:t>
      </w:r>
      <w:r w:rsidRPr="008F03E5">
        <w:t>‘Álima, pl. ‘Ulamá’</w:t>
      </w:r>
      <w:r w:rsidRPr="008F03E5">
        <w:tab/>
        <w:t>(adj. or noun) “scholar”, knowing; familiar, acquainted (with), cognizant (of); expert, connoisseur, professional;—pl. “learned ones”, learned, erudite; scholars (of Islamic law), savants, scientists,</w:t>
      </w:r>
      <w:r w:rsidRPr="008F03E5">
        <w:rPr>
          <w:rFonts w:eastAsia="Times New Roman"/>
        </w:rPr>
        <w:t xml:space="preserve"> doctors, theologians</w:t>
      </w:r>
      <w:r w:rsidRPr="008F03E5">
        <w:t>.  The ‘ulamá’ are Muslim scholars recognized as having specialist knowledge of Islamic sacred law and theology.  The ‘ulamá’ are collectively known in Persian society as the Jámi‘a-i Rúḥáníyat (the spiritual concourse).  Bahá’í Writings use ‘Ulamá.</w:t>
      </w:r>
    </w:p>
    <w:p w14:paraId="00193346" w14:textId="77777777" w:rsidR="00625A5B" w:rsidRPr="008F03E5" w:rsidRDefault="00625A5B" w:rsidP="00F87A63">
      <w:pPr>
        <w:pStyle w:val="Translit"/>
      </w:pPr>
      <w:r w:rsidRPr="008F03E5">
        <w:t>Alima (‘Ilm)</w:t>
      </w:r>
      <w:r w:rsidRPr="008F03E5">
        <w:tab/>
        <w:t>‘Alima (‘Ilm)</w:t>
      </w:r>
      <w:r w:rsidRPr="008F03E5">
        <w:tab/>
        <w:t>to know; teach; tell, notify; to learn, study; to inquire, ask</w:t>
      </w:r>
    </w:p>
    <w:p w14:paraId="61D0C3E4" w14:textId="77777777" w:rsidR="00625A5B" w:rsidRPr="008F03E5" w:rsidRDefault="00625A5B" w:rsidP="00F87A63">
      <w:pPr>
        <w:pStyle w:val="Translit"/>
      </w:pPr>
      <w:r w:rsidRPr="008F03E5">
        <w:t>Ali-Mardan</w:t>
      </w:r>
      <w:r w:rsidRPr="008F03E5">
        <w:tab/>
        <w:t>‘Alí-Mardán</w:t>
      </w:r>
      <w:r w:rsidRPr="008F03E5">
        <w:tab/>
      </w:r>
    </w:p>
    <w:p w14:paraId="20F7FC44" w14:textId="77777777" w:rsidR="00625A5B" w:rsidRPr="008F03E5" w:rsidRDefault="00625A5B" w:rsidP="00F87A63">
      <w:pPr>
        <w:pStyle w:val="Translit"/>
        <w:rPr>
          <w:rFonts w:eastAsia="PMingLiU"/>
          <w:lang w:eastAsia="zh-TW"/>
        </w:rPr>
      </w:pPr>
      <w:r w:rsidRPr="008F03E5">
        <w:rPr>
          <w:rFonts w:eastAsia="PMingLiU"/>
          <w:lang w:eastAsia="zh-TW"/>
        </w:rPr>
        <w:t>Al</w:t>
      </w:r>
      <w:r w:rsidRPr="008F03E5">
        <w:t>i</w:t>
      </w:r>
      <w:r w:rsidRPr="008F03E5">
        <w:rPr>
          <w:rFonts w:eastAsia="PMingLiU"/>
          <w:lang w:eastAsia="zh-TW"/>
        </w:rPr>
        <w:t>-M</w:t>
      </w:r>
      <w:r w:rsidRPr="008F03E5">
        <w:t>i</w:t>
      </w:r>
      <w:r w:rsidRPr="008F03E5">
        <w:rPr>
          <w:rFonts w:eastAsia="PMingLiU"/>
          <w:lang w:eastAsia="zh-TW"/>
        </w:rPr>
        <w:t>rz</w:t>
      </w:r>
      <w:r w:rsidRPr="008F03E5">
        <w:t>a</w:t>
      </w:r>
      <w:r w:rsidRPr="008F03E5">
        <w:rPr>
          <w:rFonts w:eastAsia="PMingLiU"/>
          <w:lang w:eastAsia="zh-TW"/>
        </w:rPr>
        <w:t>y-i-Sh</w:t>
      </w:r>
      <w:r w:rsidRPr="008F03E5">
        <w:t>i</w:t>
      </w:r>
      <w:r w:rsidRPr="008F03E5">
        <w:rPr>
          <w:rFonts w:eastAsia="PMingLiU"/>
          <w:lang w:eastAsia="zh-TW"/>
        </w:rPr>
        <w:t>r</w:t>
      </w:r>
      <w:r w:rsidRPr="008F03E5">
        <w:t>a</w:t>
      </w:r>
      <w:r w:rsidRPr="008F03E5">
        <w:rPr>
          <w:rFonts w:eastAsia="PMingLiU"/>
          <w:lang w:eastAsia="zh-TW"/>
        </w:rPr>
        <w:t>z</w:t>
      </w:r>
      <w:r w:rsidRPr="008F03E5">
        <w:t>i</w:t>
      </w:r>
      <w:r w:rsidRPr="008F03E5">
        <w:tab/>
      </w:r>
      <w:r w:rsidRPr="008F03E5">
        <w:rPr>
          <w:rFonts w:eastAsia="PMingLiU"/>
          <w:lang w:eastAsia="zh-TW"/>
        </w:rPr>
        <w:t>‘Al</w:t>
      </w:r>
      <w:r w:rsidRPr="008F03E5">
        <w:t>í</w:t>
      </w:r>
      <w:r w:rsidRPr="008F03E5">
        <w:rPr>
          <w:rFonts w:eastAsia="PMingLiU"/>
          <w:lang w:eastAsia="zh-TW"/>
        </w:rPr>
        <w:t>-M</w:t>
      </w:r>
      <w:r w:rsidRPr="008F03E5">
        <w:t>í</w:t>
      </w:r>
      <w:r w:rsidRPr="008F03E5">
        <w:rPr>
          <w:rFonts w:eastAsia="PMingLiU"/>
          <w:lang w:eastAsia="zh-TW"/>
        </w:rPr>
        <w:t>rz</w:t>
      </w:r>
      <w:r w:rsidRPr="008F03E5">
        <w:t>á</w:t>
      </w:r>
      <w:r w:rsidRPr="008F03E5">
        <w:rPr>
          <w:rFonts w:eastAsia="PMingLiU"/>
          <w:lang w:eastAsia="zh-TW"/>
        </w:rPr>
        <w:t>y-i-</w:t>
      </w:r>
      <w:r w:rsidRPr="008F03E5">
        <w:rPr>
          <w:u w:val="single"/>
        </w:rPr>
        <w:t>Sh</w:t>
      </w:r>
      <w:r w:rsidRPr="008F03E5">
        <w:t>í</w:t>
      </w:r>
      <w:r w:rsidRPr="008F03E5">
        <w:rPr>
          <w:rFonts w:eastAsia="PMingLiU"/>
          <w:lang w:eastAsia="zh-TW"/>
        </w:rPr>
        <w:t>r</w:t>
      </w:r>
      <w:r w:rsidRPr="008F03E5">
        <w:t>á</w:t>
      </w:r>
      <w:r w:rsidRPr="008F03E5">
        <w:rPr>
          <w:rFonts w:eastAsia="PMingLiU"/>
          <w:lang w:eastAsia="zh-TW"/>
        </w:rPr>
        <w:t>z</w:t>
      </w:r>
      <w:r w:rsidRPr="008F03E5">
        <w:t>í</w:t>
      </w:r>
      <w:r w:rsidRPr="008F03E5">
        <w:tab/>
      </w:r>
    </w:p>
    <w:p w14:paraId="6495762C" w14:textId="77777777" w:rsidR="00625A5B" w:rsidRPr="008F03E5" w:rsidRDefault="00625A5B" w:rsidP="00F87A63">
      <w:pPr>
        <w:pStyle w:val="Translit"/>
      </w:pPr>
      <w:r w:rsidRPr="008F03E5">
        <w:t>Ali-Muhammad</w:t>
      </w:r>
      <w:r w:rsidRPr="008F03E5">
        <w:tab/>
        <w:t>‘Alí-Muḥammad</w:t>
      </w:r>
      <w:r w:rsidRPr="008F03E5">
        <w:tab/>
      </w:r>
    </w:p>
    <w:p w14:paraId="54E35C09" w14:textId="77777777" w:rsidR="00625A5B" w:rsidRPr="008F03E5" w:rsidRDefault="00625A5B" w:rsidP="00F87A63">
      <w:pPr>
        <w:pStyle w:val="Translit"/>
      </w:pPr>
      <w:r w:rsidRPr="008F03E5">
        <w:t>Al-i-Muhammad</w:t>
      </w:r>
      <w:r w:rsidRPr="008F03E5">
        <w:tab/>
        <w:t>Ál-i-Muḥammad</w:t>
      </w:r>
      <w:r w:rsidRPr="008F03E5">
        <w:tab/>
        <w:t>children (or family) of Muḥammad</w:t>
      </w:r>
    </w:p>
    <w:p w14:paraId="314EAE3F" w14:textId="77777777" w:rsidR="00625A5B" w:rsidRPr="008F03E5" w:rsidRDefault="00625A5B" w:rsidP="00F87A63">
      <w:pPr>
        <w:pStyle w:val="Translit"/>
        <w:rPr>
          <w:rFonts w:eastAsia="PMingLiU"/>
          <w:lang w:eastAsia="zh-TW"/>
        </w:rPr>
      </w:pPr>
      <w:r w:rsidRPr="008F03E5">
        <w:rPr>
          <w:rFonts w:eastAsia="PMingLiU"/>
          <w:lang w:eastAsia="zh-TW"/>
        </w:rPr>
        <w:t>Ali-Murad (‘Alimurad)</w:t>
      </w:r>
      <w:r w:rsidRPr="008F03E5">
        <w:tab/>
      </w:r>
      <w:r w:rsidRPr="008F03E5">
        <w:rPr>
          <w:rFonts w:eastAsia="PMingLiU"/>
          <w:lang w:eastAsia="zh-TW"/>
        </w:rPr>
        <w:t>‘Alí-Murád</w:t>
      </w:r>
      <w:r w:rsidRPr="008F03E5">
        <w:tab/>
        <w:t xml:space="preserve">(sometimes shortened to </w:t>
      </w:r>
      <w:r w:rsidRPr="008F03E5">
        <w:rPr>
          <w:rFonts w:eastAsia="PMingLiU"/>
          <w:lang w:eastAsia="zh-TW"/>
        </w:rPr>
        <w:t>‘Alímurád)</w:t>
      </w:r>
    </w:p>
    <w:p w14:paraId="327F6CB9" w14:textId="77777777" w:rsidR="00625A5B" w:rsidRPr="008F03E5" w:rsidRDefault="00625A5B" w:rsidP="00F87A63">
      <w:pPr>
        <w:pStyle w:val="Translit"/>
      </w:pPr>
      <w:r w:rsidRPr="008F03E5">
        <w:t>Alin</w:t>
      </w:r>
      <w:r w:rsidRPr="008F03E5">
        <w:tab/>
        <w:t>‘Álin</w:t>
      </w:r>
      <w:r w:rsidRPr="008F03E5">
        <w:tab/>
        <w:t>high, tall, elevated; loud, strong (voice); higher (as opposed to elementary); lofty, exalted, sublime, high-ranking, of high standing; excellent, first-class, first-rate, outstanding, of top quality (commodity)</w:t>
      </w:r>
    </w:p>
    <w:p w14:paraId="5D7AB3C5" w14:textId="77777777" w:rsidR="00625A5B" w:rsidRPr="008F03E5" w:rsidRDefault="00625A5B" w:rsidP="00F87A63">
      <w:pPr>
        <w:pStyle w:val="Translit"/>
      </w:pPr>
      <w:r w:rsidRPr="008F03E5">
        <w:t>Alipur or Chah-i-Ahmad Vatn Dust</w:t>
      </w:r>
      <w:r w:rsidRPr="008F03E5">
        <w:tab/>
        <w:t xml:space="preserve">‘Alípúr or </w:t>
      </w:r>
      <w:r w:rsidRPr="008F03E5">
        <w:rPr>
          <w:u w:val="single"/>
        </w:rPr>
        <w:t>Ch</w:t>
      </w:r>
      <w:r w:rsidRPr="008F03E5">
        <w:t>áh-i-Aḥmad Vaṭn Dúst</w:t>
      </w:r>
      <w:r w:rsidRPr="008F03E5">
        <w:tab/>
        <w:t>village in Yunesi Rural District, Yunesi District, Bajestan County, Razavi Khorasan Province, Iran</w:t>
      </w:r>
    </w:p>
    <w:p w14:paraId="474F801B" w14:textId="77777777" w:rsidR="00625A5B" w:rsidRPr="00D45A23" w:rsidRDefault="00625A5B" w:rsidP="00F87A63">
      <w:pPr>
        <w:pStyle w:val="Translit"/>
        <w:rPr>
          <w:rFonts w:eastAsia="PMingLiU"/>
          <w:lang w:val="it-IT" w:eastAsia="zh-TW"/>
        </w:rPr>
      </w:pPr>
      <w:r w:rsidRPr="00D45A23">
        <w:rPr>
          <w:rFonts w:eastAsia="PMingLiU"/>
          <w:lang w:val="it-IT" w:eastAsia="zh-TW"/>
        </w:rPr>
        <w:t>Al</w:t>
      </w:r>
      <w:r w:rsidRPr="00D45A23">
        <w:rPr>
          <w:lang w:val="it-IT"/>
        </w:rPr>
        <w:t>i</w:t>
      </w:r>
      <w:r w:rsidRPr="00D45A23">
        <w:rPr>
          <w:rFonts w:eastAsia="PMingLiU"/>
          <w:lang w:val="it-IT" w:eastAsia="zh-TW"/>
        </w:rPr>
        <w:t>-Qabl-i-Muhammad</w:t>
      </w:r>
      <w:r w:rsidRPr="00D45A23">
        <w:rPr>
          <w:lang w:val="it-IT"/>
        </w:rPr>
        <w:tab/>
      </w:r>
      <w:r w:rsidRPr="00D45A23">
        <w:rPr>
          <w:rFonts w:eastAsia="PMingLiU"/>
          <w:lang w:val="it-IT" w:eastAsia="zh-TW"/>
        </w:rPr>
        <w:t>‘Al</w:t>
      </w:r>
      <w:r w:rsidRPr="00D45A23">
        <w:rPr>
          <w:lang w:val="it-IT"/>
        </w:rPr>
        <w:t>í</w:t>
      </w:r>
      <w:r w:rsidRPr="00D45A23">
        <w:rPr>
          <w:rFonts w:eastAsia="PMingLiU"/>
          <w:lang w:val="it-IT" w:eastAsia="zh-TW"/>
        </w:rPr>
        <w:t>-Qabl-i-Mu</w:t>
      </w:r>
      <w:r w:rsidRPr="00D45A23">
        <w:rPr>
          <w:lang w:val="it-IT"/>
        </w:rPr>
        <w:t>ḥ</w:t>
      </w:r>
      <w:r w:rsidRPr="00D45A23">
        <w:rPr>
          <w:rFonts w:eastAsia="PMingLiU"/>
          <w:lang w:val="it-IT" w:eastAsia="zh-TW"/>
        </w:rPr>
        <w:t>ammad</w:t>
      </w:r>
      <w:r w:rsidRPr="00D45A23">
        <w:rPr>
          <w:lang w:val="it-IT"/>
        </w:rPr>
        <w:tab/>
      </w:r>
    </w:p>
    <w:p w14:paraId="4FF26918" w14:textId="77777777" w:rsidR="00625A5B" w:rsidRPr="00307CD9" w:rsidRDefault="00625A5B" w:rsidP="00307CD9">
      <w:pPr>
        <w:pStyle w:val="Translit"/>
      </w:pPr>
      <w:r w:rsidRPr="008F03E5">
        <w:t>Ali-Quli Khan (Ali-Kuli Khan)</w:t>
      </w:r>
      <w:r w:rsidRPr="008F03E5">
        <w:tab/>
        <w:t xml:space="preserve">‘Alí-Qulí </w:t>
      </w:r>
      <w:r w:rsidRPr="008F03E5">
        <w:rPr>
          <w:u w:val="single"/>
        </w:rPr>
        <w:t>Kh</w:t>
      </w:r>
      <w:r w:rsidRPr="008F03E5">
        <w:t>án</w:t>
      </w:r>
      <w:r w:rsidRPr="008F03E5">
        <w:tab/>
        <w:t>better known as Ali-Kuli Khan</w:t>
      </w:r>
      <w:r>
        <w:t xml:space="preserve"> </w:t>
      </w:r>
      <w:r w:rsidRPr="00991B2B">
        <w:t>(c. 1879-1966)</w:t>
      </w:r>
      <w:r w:rsidRPr="008F03E5">
        <w:t>, married Florence</w:t>
      </w:r>
      <w:r w:rsidRPr="00307CD9">
        <w:t xml:space="preserve"> Breed (parents of Marzieh Gail).  He was born in Kashan</w:t>
      </w:r>
      <w:r>
        <w:t xml:space="preserve">. </w:t>
      </w:r>
      <w:r w:rsidRPr="00307CD9">
        <w:t xml:space="preserve"> Persian diplomat (given the title Nab</w:t>
      </w:r>
      <w:r w:rsidRPr="00307CD9">
        <w:rPr>
          <w:rFonts w:hint="eastAsia"/>
        </w:rPr>
        <w:t>í</w:t>
      </w:r>
      <w:r w:rsidRPr="00307CD9">
        <w:t>l al-Dawla by the Q</w:t>
      </w:r>
      <w:r w:rsidRPr="00307CD9">
        <w:rPr>
          <w:rFonts w:hint="eastAsia"/>
        </w:rPr>
        <w:t>á</w:t>
      </w:r>
      <w:r w:rsidRPr="00307CD9">
        <w:t>j</w:t>
      </w:r>
      <w:r w:rsidRPr="00307CD9">
        <w:rPr>
          <w:rFonts w:hint="eastAsia"/>
        </w:rPr>
        <w:t>á</w:t>
      </w:r>
      <w:r w:rsidRPr="00307CD9">
        <w:t>r government in 1914) and a Bahá’í translator.</w:t>
      </w:r>
    </w:p>
    <w:p w14:paraId="21B69D08" w14:textId="77777777" w:rsidR="00625A5B" w:rsidRPr="008F03E5" w:rsidRDefault="00625A5B" w:rsidP="00F87A63">
      <w:pPr>
        <w:pStyle w:val="Translit"/>
        <w:rPr>
          <w:rFonts w:eastAsia="PMingLiU"/>
          <w:lang w:eastAsia="zh-TW"/>
        </w:rPr>
      </w:pPr>
      <w:r w:rsidRPr="008F03E5">
        <w:rPr>
          <w:rFonts w:eastAsia="PMingLiU"/>
          <w:lang w:eastAsia="zh-TW"/>
        </w:rPr>
        <w:t>Al</w:t>
      </w:r>
      <w:r w:rsidRPr="008F03E5">
        <w:t>i</w:t>
      </w:r>
      <w:r w:rsidRPr="008F03E5">
        <w:rPr>
          <w:rFonts w:eastAsia="PMingLiU"/>
          <w:lang w:eastAsia="zh-TW"/>
        </w:rPr>
        <w:t>-Rid</w:t>
      </w:r>
      <w:r w:rsidRPr="008F03E5">
        <w:t>a</w:t>
      </w:r>
      <w:r w:rsidRPr="008F03E5">
        <w:tab/>
      </w:r>
      <w:r w:rsidRPr="008F03E5">
        <w:rPr>
          <w:rFonts w:eastAsia="PMingLiU"/>
          <w:lang w:eastAsia="zh-TW"/>
        </w:rPr>
        <w:t>‘Al</w:t>
      </w:r>
      <w:r w:rsidRPr="008F03E5">
        <w:t>í</w:t>
      </w:r>
      <w:r w:rsidRPr="008F03E5">
        <w:rPr>
          <w:rFonts w:eastAsia="PMingLiU"/>
          <w:lang w:eastAsia="zh-TW"/>
        </w:rPr>
        <w:t>-Ri</w:t>
      </w:r>
      <w:r w:rsidRPr="008F03E5">
        <w:t>ḍá</w:t>
      </w:r>
      <w:r w:rsidRPr="008F03E5">
        <w:tab/>
      </w:r>
    </w:p>
    <w:p w14:paraId="75B2F12D" w14:textId="77777777" w:rsidR="00625A5B" w:rsidRPr="008F03E5" w:rsidRDefault="00625A5B" w:rsidP="00F87A63">
      <w:pPr>
        <w:pStyle w:val="Translit"/>
      </w:pPr>
      <w:r w:rsidRPr="008F03E5">
        <w:t>Ali-Shawkat</w:t>
      </w:r>
      <w:r w:rsidRPr="008F03E5">
        <w:tab/>
        <w:t>‘Alí-</w:t>
      </w:r>
      <w:r w:rsidRPr="008F03E5">
        <w:rPr>
          <w:u w:val="single"/>
        </w:rPr>
        <w:t>Sh</w:t>
      </w:r>
      <w:r w:rsidRPr="008F03E5">
        <w:t>awkat</w:t>
      </w:r>
      <w:r w:rsidRPr="008F03E5">
        <w:tab/>
        <w:t>(</w:t>
      </w:r>
      <w:r w:rsidRPr="008F03E5">
        <w:rPr>
          <w:sz w:val="16"/>
          <w:szCs w:val="16"/>
        </w:rPr>
        <w:t>GPB</w:t>
      </w:r>
      <w:r w:rsidRPr="008F03E5">
        <w:t xml:space="preserve"> 241)</w:t>
      </w:r>
    </w:p>
    <w:p w14:paraId="6CDB512B" w14:textId="77777777" w:rsidR="00625A5B" w:rsidRPr="008F03E5" w:rsidRDefault="00625A5B" w:rsidP="00F87A63">
      <w:pPr>
        <w:pStyle w:val="Translit"/>
      </w:pPr>
      <w:r w:rsidRPr="008F03E5">
        <w:t>Aliy, ‘Aliya, ‘Ilya</w:t>
      </w:r>
      <w:r w:rsidRPr="008F03E5">
        <w:tab/>
        <w:t>‘Alíy, fem. ‘Alíya[h], pl. ‘Ilya[h]</w:t>
      </w:r>
      <w:r w:rsidRPr="008F03E5">
        <w:tab/>
        <w:t>(“‘Aliyy”, “‘Alí”) high, tall, elevated, exalted, sublime, lofty, august, excellent.  Pers. fem. also ‘Alíyyih.</w:t>
      </w:r>
    </w:p>
    <w:p w14:paraId="34C5C832" w14:textId="77777777" w:rsidR="00625A5B" w:rsidRPr="00417520" w:rsidRDefault="00625A5B" w:rsidP="00BB43A6">
      <w:pPr>
        <w:pStyle w:val="Translit"/>
      </w:pPr>
      <w:r w:rsidRPr="002869C4">
        <w:rPr>
          <w:rFonts w:eastAsia="PMingLiU"/>
          <w:lang w:eastAsia="zh-TW"/>
        </w:rPr>
        <w:t>Aliyabadi (‘Aliabadi)</w:t>
      </w:r>
      <w:r w:rsidRPr="002869C4">
        <w:rPr>
          <w:rFonts w:eastAsia="PMingLiU"/>
          <w:lang w:eastAsia="zh-TW"/>
        </w:rPr>
        <w:tab/>
        <w:t>‘Al</w:t>
      </w:r>
      <w:r w:rsidRPr="002869C4">
        <w:t>í</w:t>
      </w:r>
      <w:r w:rsidRPr="002869C4">
        <w:rPr>
          <w:rFonts w:eastAsia="PMingLiU"/>
          <w:lang w:eastAsia="zh-TW"/>
        </w:rPr>
        <w:t>y</w:t>
      </w:r>
      <w:r w:rsidRPr="002869C4">
        <w:t>á</w:t>
      </w:r>
      <w:r w:rsidRPr="002869C4">
        <w:rPr>
          <w:rFonts w:eastAsia="PMingLiU"/>
          <w:lang w:eastAsia="zh-TW"/>
        </w:rPr>
        <w:t>b</w:t>
      </w:r>
      <w:r w:rsidRPr="002869C4">
        <w:t>á</w:t>
      </w:r>
      <w:r w:rsidRPr="002869C4">
        <w:rPr>
          <w:rFonts w:eastAsia="PMingLiU"/>
          <w:lang w:eastAsia="zh-TW"/>
        </w:rPr>
        <w:t>d</w:t>
      </w:r>
      <w:r w:rsidRPr="002869C4">
        <w:t>í</w:t>
      </w:r>
      <w:r w:rsidRPr="002869C4">
        <w:tab/>
        <w:t xml:space="preserve">Pers. a surname.  </w:t>
      </w:r>
      <w:r w:rsidRPr="008D037F">
        <w:rPr>
          <w:lang w:val="en-AU"/>
        </w:rPr>
        <w:t xml:space="preserve">Derived </w:t>
      </w:r>
      <w:r w:rsidRPr="008D037F">
        <w:t xml:space="preserve">from ‘Alíyábád </w:t>
      </w:r>
      <w:r>
        <w:t>(built or populated by ‘Al</w:t>
      </w:r>
      <w:r w:rsidRPr="008D037F">
        <w:t>í</w:t>
      </w:r>
      <w:r>
        <w:t xml:space="preserve">).  </w:t>
      </w:r>
      <w:r w:rsidRPr="00417520">
        <w:t xml:space="preserve">Mírzá Zakíy ‘Alíyábádí founded the Mírzá Zakíy </w:t>
      </w:r>
      <w:r w:rsidRPr="00417520">
        <w:rPr>
          <w:u w:val="single"/>
        </w:rPr>
        <w:t>Kh</w:t>
      </w:r>
      <w:r w:rsidRPr="00417520">
        <w:t xml:space="preserve">án </w:t>
      </w:r>
      <w:r>
        <w:t>Seminary (</w:t>
      </w:r>
      <w:r w:rsidRPr="002F1A42">
        <w:t>36.548471, 52.682296</w:t>
      </w:r>
      <w:r>
        <w:t>)</w:t>
      </w:r>
      <w:r w:rsidRPr="00417520">
        <w:t xml:space="preserve"> </w:t>
      </w:r>
      <w:r>
        <w:t>near</w:t>
      </w:r>
      <w:r w:rsidRPr="00417520">
        <w:t xml:space="preserve"> Ḥaẓír Furú</w:t>
      </w:r>
      <w:r w:rsidRPr="00417520">
        <w:rPr>
          <w:u w:val="single"/>
        </w:rPr>
        <w:t>sh</w:t>
      </w:r>
      <w:r w:rsidRPr="00417520">
        <w:t>án Square (“Mat sellers square”, 36.549107, 52.682804), Bárfurú</w:t>
      </w:r>
      <w:r w:rsidRPr="00417520">
        <w:rPr>
          <w:u w:val="single"/>
        </w:rPr>
        <w:t>sh</w:t>
      </w:r>
      <w:r w:rsidRPr="00417520">
        <w:t>.</w:t>
      </w:r>
    </w:p>
    <w:p w14:paraId="229DFD75" w14:textId="77777777" w:rsidR="00625A5B" w:rsidRPr="008F03E5" w:rsidRDefault="00625A5B" w:rsidP="00F87A63">
      <w:pPr>
        <w:pStyle w:val="Translit"/>
      </w:pPr>
      <w:r w:rsidRPr="008F03E5">
        <w:t>Aliy-i-Baraqani</w:t>
      </w:r>
      <w:r w:rsidRPr="008F03E5">
        <w:tab/>
        <w:t>‘Alíy-i-Baraqání</w:t>
      </w:r>
      <w:r w:rsidRPr="008F03E5">
        <w:tab/>
      </w:r>
    </w:p>
    <w:p w14:paraId="22113C6F" w14:textId="77777777" w:rsidR="00625A5B" w:rsidRPr="008F03E5" w:rsidRDefault="00625A5B" w:rsidP="00165A2B">
      <w:pPr>
        <w:pStyle w:val="Translit"/>
      </w:pPr>
      <w:r w:rsidRPr="008F03E5">
        <w:t>Aliy-i-Barfurushi</w:t>
      </w:r>
      <w:r w:rsidRPr="008F03E5">
        <w:tab/>
        <w:t>‘Alíy-i-Bárfurú</w:t>
      </w:r>
      <w:r w:rsidRPr="008F03E5">
        <w:rPr>
          <w:u w:val="single"/>
        </w:rPr>
        <w:t>sh</w:t>
      </w:r>
      <w:r w:rsidRPr="008F03E5">
        <w:t>í</w:t>
      </w:r>
      <w:r w:rsidRPr="008F03E5">
        <w:tab/>
      </w:r>
      <w:r>
        <w:t>Muḥammad-</w:t>
      </w:r>
      <w:r w:rsidRPr="008F03E5">
        <w:t>‘Alíy-i-Bárfurú</w:t>
      </w:r>
      <w:r w:rsidRPr="008F03E5">
        <w:rPr>
          <w:u w:val="single"/>
        </w:rPr>
        <w:t>sh</w:t>
      </w:r>
      <w:r w:rsidRPr="008F03E5">
        <w:t xml:space="preserve">í </w:t>
      </w:r>
      <w:r>
        <w:t xml:space="preserve">(1820–1849) was </w:t>
      </w:r>
      <w:r w:rsidRPr="008F03E5">
        <w:t>entitled Quddús</w:t>
      </w:r>
      <w:r>
        <w:t xml:space="preserve"> by Bahá’u’lláh at Bada</w:t>
      </w:r>
      <w:r w:rsidRPr="00165A2B">
        <w:rPr>
          <w:u w:val="single"/>
        </w:rPr>
        <w:t>sh</w:t>
      </w:r>
      <w:r>
        <w:t>t and this was later confirmed by the Báb.</w:t>
      </w:r>
    </w:p>
    <w:p w14:paraId="0A483A61" w14:textId="77777777" w:rsidR="00625A5B" w:rsidRPr="008F03E5" w:rsidRDefault="00625A5B" w:rsidP="00F87A63">
      <w:pPr>
        <w:pStyle w:val="Translit"/>
      </w:pPr>
      <w:r w:rsidRPr="008F03E5">
        <w:t>Aliy-i-Bastami</w:t>
      </w:r>
      <w:r w:rsidRPr="008F03E5">
        <w:tab/>
        <w:t>‘Alíy-i-Basṭámí</w:t>
      </w:r>
      <w:r w:rsidRPr="008F03E5">
        <w:tab/>
        <w:t>Mullá ‘Alíy-i-Basṭámí, a Letter of the Living</w:t>
      </w:r>
    </w:p>
    <w:p w14:paraId="0FF45CBB" w14:textId="77777777" w:rsidR="00625A5B" w:rsidRPr="004003CC" w:rsidRDefault="00625A5B" w:rsidP="00F87A63">
      <w:pPr>
        <w:pStyle w:val="Translit"/>
      </w:pPr>
      <w:r w:rsidRPr="004003CC">
        <w:t>Aliy-i-Kani</w:t>
      </w:r>
      <w:r w:rsidRPr="004003CC">
        <w:tab/>
        <w:t>‘Alíy-i-Kání</w:t>
      </w:r>
      <w:r w:rsidRPr="004003CC">
        <w:tab/>
      </w:r>
    </w:p>
    <w:p w14:paraId="2C961BF8" w14:textId="77777777" w:rsidR="00625A5B" w:rsidRPr="004003CC" w:rsidRDefault="00625A5B" w:rsidP="00F87A63">
      <w:pPr>
        <w:pStyle w:val="Translit"/>
      </w:pPr>
      <w:r w:rsidRPr="004003CC">
        <w:t>Aliy-i-Kirmanshahi</w:t>
      </w:r>
      <w:r w:rsidRPr="004003CC">
        <w:tab/>
        <w:t>‘Alíy-i-Kirmán</w:t>
      </w:r>
      <w:r w:rsidRPr="004003CC">
        <w:rPr>
          <w:u w:val="single"/>
        </w:rPr>
        <w:t>sh</w:t>
      </w:r>
      <w:r w:rsidRPr="004003CC">
        <w:t>áhí</w:t>
      </w:r>
      <w:r w:rsidRPr="004003CC">
        <w:tab/>
      </w:r>
    </w:p>
    <w:p w14:paraId="15BBCF1D" w14:textId="77777777" w:rsidR="00625A5B" w:rsidRPr="004003CC" w:rsidRDefault="00625A5B" w:rsidP="00F87A63">
      <w:pPr>
        <w:pStyle w:val="Translit"/>
      </w:pPr>
      <w:r w:rsidRPr="004003CC">
        <w:t>Aliy-i-Las-Furush</w:t>
      </w:r>
      <w:r w:rsidRPr="004003CC">
        <w:tab/>
        <w:t>‘Alíy-i-Lás-Furú</w:t>
      </w:r>
      <w:r w:rsidRPr="004003CC">
        <w:rPr>
          <w:u w:val="single"/>
        </w:rPr>
        <w:t>sh</w:t>
      </w:r>
      <w:r w:rsidRPr="004003CC">
        <w:tab/>
      </w:r>
    </w:p>
    <w:p w14:paraId="61055317" w14:textId="77777777" w:rsidR="00625A5B" w:rsidRPr="000A69B4" w:rsidRDefault="00625A5B" w:rsidP="00F87A63">
      <w:pPr>
        <w:pStyle w:val="Translit"/>
      </w:pPr>
      <w:r w:rsidRPr="000A69B4">
        <w:t>Aliy-i-Miri</w:t>
      </w:r>
      <w:r w:rsidRPr="000A69B4">
        <w:tab/>
        <w:t>‘Alíy-i-Mírí</w:t>
      </w:r>
      <w:r w:rsidRPr="000A69B4">
        <w:tab/>
      </w:r>
    </w:p>
    <w:p w14:paraId="2451851B" w14:textId="77777777" w:rsidR="00625A5B" w:rsidRPr="000A69B4" w:rsidRDefault="00625A5B" w:rsidP="00F87A63">
      <w:pPr>
        <w:pStyle w:val="Translit"/>
        <w:rPr>
          <w:lang w:eastAsia="zh-TW"/>
        </w:rPr>
      </w:pPr>
      <w:r w:rsidRPr="000A69B4">
        <w:rPr>
          <w:lang w:eastAsia="zh-TW"/>
        </w:rPr>
        <w:t>Aliy-i-Mudhahhib</w:t>
      </w:r>
      <w:r w:rsidRPr="000A69B4">
        <w:tab/>
      </w:r>
      <w:r w:rsidRPr="000A69B4">
        <w:rPr>
          <w:lang w:eastAsia="zh-TW"/>
        </w:rPr>
        <w:t>‘Al</w:t>
      </w:r>
      <w:r w:rsidRPr="000A69B4">
        <w:t>í</w:t>
      </w:r>
      <w:r w:rsidRPr="000A69B4">
        <w:rPr>
          <w:lang w:eastAsia="zh-TW"/>
        </w:rPr>
        <w:t>y-i-Mu</w:t>
      </w:r>
      <w:r w:rsidRPr="000A69B4">
        <w:rPr>
          <w:u w:val="single"/>
        </w:rPr>
        <w:t>dh</w:t>
      </w:r>
      <w:r w:rsidRPr="000A69B4">
        <w:rPr>
          <w:lang w:eastAsia="zh-TW"/>
        </w:rPr>
        <w:t>ahhib</w:t>
      </w:r>
      <w:r w:rsidRPr="000A69B4">
        <w:tab/>
      </w:r>
    </w:p>
    <w:p w14:paraId="666C17ED" w14:textId="77777777" w:rsidR="00625A5B" w:rsidRPr="00D45A23" w:rsidRDefault="00625A5B" w:rsidP="00F87A63">
      <w:pPr>
        <w:pStyle w:val="Translit"/>
        <w:rPr>
          <w:lang w:val="it-IT"/>
        </w:rPr>
      </w:pPr>
      <w:r w:rsidRPr="00D45A23">
        <w:rPr>
          <w:lang w:val="it-IT"/>
        </w:rPr>
        <w:t>Aliy-i-Qazvini</w:t>
      </w:r>
      <w:r w:rsidRPr="00D45A23">
        <w:rPr>
          <w:lang w:val="it-IT"/>
        </w:rPr>
        <w:tab/>
        <w:t>‘Alíy-i-Qazvíní</w:t>
      </w:r>
      <w:r w:rsidRPr="00D45A23">
        <w:rPr>
          <w:lang w:val="it-IT"/>
        </w:rPr>
        <w:tab/>
      </w:r>
    </w:p>
    <w:p w14:paraId="5BDEC500" w14:textId="77777777" w:rsidR="00625A5B" w:rsidRPr="00D45A23" w:rsidRDefault="00625A5B" w:rsidP="00F87A63">
      <w:pPr>
        <w:pStyle w:val="Translit"/>
        <w:rPr>
          <w:lang w:val="it-IT"/>
        </w:rPr>
      </w:pPr>
      <w:r w:rsidRPr="00D45A23">
        <w:rPr>
          <w:lang w:val="it-IT"/>
        </w:rPr>
        <w:t>Aliy-i-Sabzivari</w:t>
      </w:r>
      <w:r w:rsidRPr="00D45A23">
        <w:rPr>
          <w:lang w:val="it-IT"/>
        </w:rPr>
        <w:tab/>
        <w:t>‘Alíy-i-Sabzivárí</w:t>
      </w:r>
      <w:r w:rsidRPr="00D45A23">
        <w:rPr>
          <w:lang w:val="it-IT"/>
        </w:rPr>
        <w:tab/>
      </w:r>
    </w:p>
    <w:p w14:paraId="0C386C0B" w14:textId="77777777" w:rsidR="00625A5B" w:rsidRPr="00D45A23" w:rsidRDefault="00625A5B" w:rsidP="00F87A63">
      <w:pPr>
        <w:pStyle w:val="Translit"/>
        <w:rPr>
          <w:lang w:val="it-IT" w:eastAsia="zh-TW"/>
        </w:rPr>
      </w:pPr>
      <w:r w:rsidRPr="00D45A23">
        <w:rPr>
          <w:lang w:val="it-IT"/>
        </w:rPr>
        <w:t>Aliy-i-Salmani</w:t>
      </w:r>
      <w:r w:rsidRPr="00D45A23">
        <w:rPr>
          <w:lang w:val="it-IT"/>
        </w:rPr>
        <w:tab/>
        <w:t>‘Alíy-i-Salmání</w:t>
      </w:r>
      <w:r w:rsidRPr="00D45A23">
        <w:rPr>
          <w:lang w:val="it-IT"/>
        </w:rPr>
        <w:tab/>
      </w:r>
    </w:p>
    <w:p w14:paraId="6B9589B5" w14:textId="77777777" w:rsidR="00625A5B" w:rsidRPr="00D45A23" w:rsidRDefault="00625A5B" w:rsidP="00F87A63">
      <w:pPr>
        <w:pStyle w:val="Translit"/>
        <w:rPr>
          <w:lang w:val="it-IT" w:eastAsia="zh-TW"/>
        </w:rPr>
      </w:pPr>
      <w:r w:rsidRPr="00D45A23">
        <w:rPr>
          <w:lang w:val="it-IT" w:eastAsia="zh-TW"/>
        </w:rPr>
        <w:t>Aliy-i-Sard</w:t>
      </w:r>
      <w:r w:rsidRPr="00D45A23">
        <w:rPr>
          <w:lang w:val="it-IT"/>
        </w:rPr>
        <w:t>a</w:t>
      </w:r>
      <w:r w:rsidRPr="00D45A23">
        <w:rPr>
          <w:lang w:val="it-IT" w:eastAsia="zh-TW"/>
        </w:rPr>
        <w:t>r</w:t>
      </w:r>
      <w:r w:rsidRPr="00D45A23">
        <w:rPr>
          <w:lang w:val="it-IT"/>
        </w:rPr>
        <w:tab/>
      </w:r>
      <w:r w:rsidRPr="00D45A23">
        <w:rPr>
          <w:lang w:val="it-IT" w:eastAsia="zh-TW"/>
        </w:rPr>
        <w:t>‘Al</w:t>
      </w:r>
      <w:r w:rsidRPr="00D45A23">
        <w:rPr>
          <w:lang w:val="it-IT"/>
        </w:rPr>
        <w:t>í</w:t>
      </w:r>
      <w:r w:rsidRPr="00D45A23">
        <w:rPr>
          <w:lang w:val="it-IT" w:eastAsia="zh-TW"/>
        </w:rPr>
        <w:t>y-i-Sard</w:t>
      </w:r>
      <w:r w:rsidRPr="00D45A23">
        <w:rPr>
          <w:lang w:val="it-IT"/>
        </w:rPr>
        <w:t>á</w:t>
      </w:r>
      <w:r w:rsidRPr="00D45A23">
        <w:rPr>
          <w:lang w:val="it-IT" w:eastAsia="zh-TW"/>
        </w:rPr>
        <w:t>r</w:t>
      </w:r>
      <w:r w:rsidRPr="00D45A23">
        <w:rPr>
          <w:lang w:val="it-IT"/>
        </w:rPr>
        <w:tab/>
      </w:r>
    </w:p>
    <w:p w14:paraId="62D0C8EE" w14:textId="77777777" w:rsidR="00625A5B" w:rsidRPr="00D45A23" w:rsidRDefault="00625A5B" w:rsidP="00F87A63">
      <w:pPr>
        <w:pStyle w:val="Translit"/>
        <w:rPr>
          <w:lang w:val="it-IT" w:eastAsia="zh-TW"/>
        </w:rPr>
      </w:pPr>
      <w:r w:rsidRPr="00D45A23">
        <w:rPr>
          <w:lang w:val="it-IT" w:eastAsia="zh-TW"/>
        </w:rPr>
        <w:t>Aliy-i-Sayy</w:t>
      </w:r>
      <w:r w:rsidRPr="00D45A23">
        <w:rPr>
          <w:lang w:val="it-IT"/>
        </w:rPr>
        <w:t>a</w:t>
      </w:r>
      <w:r w:rsidRPr="00D45A23">
        <w:rPr>
          <w:lang w:val="it-IT" w:eastAsia="zh-TW"/>
        </w:rPr>
        <w:t>h-i-Maraghih’</w:t>
      </w:r>
      <w:r w:rsidRPr="00D45A23">
        <w:rPr>
          <w:lang w:val="it-IT"/>
        </w:rPr>
        <w:t>i</w:t>
      </w:r>
      <w:r w:rsidRPr="00D45A23">
        <w:rPr>
          <w:lang w:val="it-IT"/>
        </w:rPr>
        <w:tab/>
      </w:r>
      <w:r w:rsidRPr="00D45A23">
        <w:rPr>
          <w:lang w:val="it-IT" w:eastAsia="zh-TW"/>
        </w:rPr>
        <w:t>‘Al</w:t>
      </w:r>
      <w:r w:rsidRPr="00D45A23">
        <w:rPr>
          <w:lang w:val="it-IT"/>
        </w:rPr>
        <w:t>í</w:t>
      </w:r>
      <w:r w:rsidRPr="00D45A23">
        <w:rPr>
          <w:lang w:val="it-IT" w:eastAsia="zh-TW"/>
        </w:rPr>
        <w:t>y-i-Sayy</w:t>
      </w:r>
      <w:r w:rsidRPr="00D45A23">
        <w:rPr>
          <w:lang w:val="it-IT"/>
        </w:rPr>
        <w:t>áḥ</w:t>
      </w:r>
      <w:r w:rsidRPr="00D45A23">
        <w:rPr>
          <w:lang w:val="it-IT" w:eastAsia="zh-TW"/>
        </w:rPr>
        <w:t>-i-Mara</w:t>
      </w:r>
      <w:r w:rsidRPr="00D45A23">
        <w:rPr>
          <w:u w:val="single"/>
          <w:lang w:val="it-IT"/>
        </w:rPr>
        <w:t>gh</w:t>
      </w:r>
      <w:r w:rsidRPr="00D45A23">
        <w:rPr>
          <w:lang w:val="it-IT" w:eastAsia="zh-TW"/>
        </w:rPr>
        <w:t>ih’</w:t>
      </w:r>
      <w:r w:rsidRPr="00D45A23">
        <w:rPr>
          <w:lang w:val="it-IT"/>
        </w:rPr>
        <w:t>í</w:t>
      </w:r>
      <w:r w:rsidRPr="00D45A23">
        <w:rPr>
          <w:lang w:val="it-IT"/>
        </w:rPr>
        <w:tab/>
      </w:r>
    </w:p>
    <w:p w14:paraId="7EB94D1D" w14:textId="77777777" w:rsidR="00625A5B" w:rsidRPr="00D45A23" w:rsidRDefault="00625A5B" w:rsidP="00F87A63">
      <w:pPr>
        <w:pStyle w:val="Translit"/>
        <w:rPr>
          <w:lang w:val="it-IT" w:eastAsia="zh-TW"/>
        </w:rPr>
      </w:pPr>
      <w:r w:rsidRPr="00D45A23">
        <w:rPr>
          <w:lang w:val="it-IT" w:eastAsia="zh-TW"/>
        </w:rPr>
        <w:t>Aliy-i-Tab</w:t>
      </w:r>
      <w:r w:rsidRPr="00D45A23">
        <w:rPr>
          <w:lang w:val="it-IT"/>
        </w:rPr>
        <w:t>i</w:t>
      </w:r>
      <w:r w:rsidRPr="00D45A23">
        <w:rPr>
          <w:lang w:val="it-IT" w:eastAsia="zh-TW"/>
        </w:rPr>
        <w:t>b-i-Zanj</w:t>
      </w:r>
      <w:r w:rsidRPr="00D45A23">
        <w:rPr>
          <w:lang w:val="it-IT"/>
        </w:rPr>
        <w:t>a</w:t>
      </w:r>
      <w:r w:rsidRPr="00D45A23">
        <w:rPr>
          <w:lang w:val="it-IT" w:eastAsia="zh-TW"/>
        </w:rPr>
        <w:t>n</w:t>
      </w:r>
      <w:r w:rsidRPr="00D45A23">
        <w:rPr>
          <w:lang w:val="it-IT"/>
        </w:rPr>
        <w:t>i</w:t>
      </w:r>
      <w:r w:rsidRPr="00D45A23">
        <w:rPr>
          <w:lang w:val="it-IT"/>
        </w:rPr>
        <w:tab/>
      </w:r>
      <w:r w:rsidRPr="00D45A23">
        <w:rPr>
          <w:lang w:val="it-IT" w:eastAsia="zh-TW"/>
        </w:rPr>
        <w:t>‘Al</w:t>
      </w:r>
      <w:r w:rsidRPr="00D45A23">
        <w:rPr>
          <w:lang w:val="it-IT"/>
        </w:rPr>
        <w:t>í</w:t>
      </w:r>
      <w:r w:rsidRPr="00D45A23">
        <w:rPr>
          <w:lang w:val="it-IT" w:eastAsia="zh-TW"/>
        </w:rPr>
        <w:t>y-i-</w:t>
      </w:r>
      <w:r w:rsidRPr="00D45A23">
        <w:rPr>
          <w:lang w:val="it-IT"/>
        </w:rPr>
        <w:t>Ṭ</w:t>
      </w:r>
      <w:r w:rsidRPr="00D45A23">
        <w:rPr>
          <w:lang w:val="it-IT" w:eastAsia="zh-TW"/>
        </w:rPr>
        <w:t>ab</w:t>
      </w:r>
      <w:r w:rsidRPr="00D45A23">
        <w:rPr>
          <w:lang w:val="it-IT"/>
        </w:rPr>
        <w:t>í</w:t>
      </w:r>
      <w:r w:rsidRPr="00D45A23">
        <w:rPr>
          <w:lang w:val="it-IT" w:eastAsia="zh-TW"/>
        </w:rPr>
        <w:t>b-i-Zanj</w:t>
      </w:r>
      <w:r w:rsidRPr="00D45A23">
        <w:rPr>
          <w:lang w:val="it-IT"/>
        </w:rPr>
        <w:t>á</w:t>
      </w:r>
      <w:r w:rsidRPr="00D45A23">
        <w:rPr>
          <w:lang w:val="it-IT" w:eastAsia="zh-TW"/>
        </w:rPr>
        <w:t>n</w:t>
      </w:r>
      <w:r w:rsidRPr="00D45A23">
        <w:rPr>
          <w:lang w:val="it-IT"/>
        </w:rPr>
        <w:t>í</w:t>
      </w:r>
      <w:r w:rsidRPr="00D45A23">
        <w:rPr>
          <w:lang w:val="it-IT"/>
        </w:rPr>
        <w:tab/>
      </w:r>
    </w:p>
    <w:p w14:paraId="25D05F00" w14:textId="77777777" w:rsidR="00625A5B" w:rsidRPr="00D45A23" w:rsidRDefault="00625A5B" w:rsidP="00F87A63">
      <w:pPr>
        <w:pStyle w:val="Translit"/>
        <w:rPr>
          <w:lang w:val="it-IT"/>
        </w:rPr>
      </w:pPr>
      <w:r w:rsidRPr="00D45A23">
        <w:rPr>
          <w:lang w:val="it-IT"/>
        </w:rPr>
        <w:t>Aliy-i-Tafrishi</w:t>
      </w:r>
      <w:r w:rsidRPr="00D45A23">
        <w:rPr>
          <w:lang w:val="it-IT"/>
        </w:rPr>
        <w:tab/>
        <w:t>‘Alíy-i-Tafrí</w:t>
      </w:r>
      <w:r w:rsidRPr="00D45A23">
        <w:rPr>
          <w:u w:val="single"/>
          <w:lang w:val="it-IT"/>
        </w:rPr>
        <w:t>sh</w:t>
      </w:r>
      <w:r w:rsidRPr="00D45A23">
        <w:rPr>
          <w:lang w:val="it-IT"/>
        </w:rPr>
        <w:t>í</w:t>
      </w:r>
      <w:r w:rsidRPr="00D45A23">
        <w:rPr>
          <w:lang w:val="it-IT"/>
        </w:rPr>
        <w:tab/>
      </w:r>
    </w:p>
    <w:p w14:paraId="45D95A71" w14:textId="77777777" w:rsidR="00625A5B" w:rsidRPr="00D45A23" w:rsidRDefault="00625A5B" w:rsidP="00F87A63">
      <w:pPr>
        <w:pStyle w:val="Translit"/>
        <w:rPr>
          <w:lang w:val="it-IT"/>
        </w:rPr>
      </w:pPr>
      <w:r w:rsidRPr="00D45A23">
        <w:rPr>
          <w:lang w:val="it-IT"/>
        </w:rPr>
        <w:t>Aliy-i-Turshizi</w:t>
      </w:r>
      <w:r w:rsidRPr="00D45A23">
        <w:rPr>
          <w:lang w:val="it-IT"/>
        </w:rPr>
        <w:tab/>
        <w:t>‘Alíy-i-Tur</w:t>
      </w:r>
      <w:r w:rsidRPr="00D45A23">
        <w:rPr>
          <w:u w:val="single"/>
          <w:lang w:val="it-IT"/>
        </w:rPr>
        <w:t>sh</w:t>
      </w:r>
      <w:r w:rsidRPr="00D45A23">
        <w:rPr>
          <w:lang w:val="it-IT"/>
        </w:rPr>
        <w:t>ízí</w:t>
      </w:r>
      <w:r w:rsidRPr="00D45A23">
        <w:rPr>
          <w:lang w:val="it-IT"/>
        </w:rPr>
        <w:tab/>
        <w:t xml:space="preserve">Mullá </w:t>
      </w:r>
      <w:r w:rsidRPr="00D45A23">
        <w:rPr>
          <w:u w:val="single"/>
          <w:lang w:val="it-IT"/>
        </w:rPr>
        <w:t>Sh</w:t>
      </w:r>
      <w:r w:rsidRPr="00D45A23">
        <w:rPr>
          <w:lang w:val="it-IT"/>
        </w:rPr>
        <w:t>ay</w:t>
      </w:r>
      <w:r w:rsidRPr="00D45A23">
        <w:rPr>
          <w:u w:val="single"/>
          <w:lang w:val="it-IT"/>
        </w:rPr>
        <w:t>kh</w:t>
      </w:r>
      <w:r w:rsidRPr="00D45A23">
        <w:rPr>
          <w:lang w:val="it-IT"/>
        </w:rPr>
        <w:t xml:space="preserve"> ‘Alíy-i-Tur</w:t>
      </w:r>
      <w:r w:rsidRPr="00D45A23">
        <w:rPr>
          <w:u w:val="single"/>
          <w:lang w:val="it-IT"/>
        </w:rPr>
        <w:t>sh</w:t>
      </w:r>
      <w:r w:rsidRPr="00D45A23">
        <w:rPr>
          <w:lang w:val="it-IT"/>
        </w:rPr>
        <w:t>ízí, surnamed ‘Aẓím</w:t>
      </w:r>
    </w:p>
    <w:p w14:paraId="3E6F79EB" w14:textId="77777777" w:rsidR="00625A5B" w:rsidRPr="00D45A23" w:rsidRDefault="00625A5B" w:rsidP="00F87A63">
      <w:pPr>
        <w:pStyle w:val="Translit"/>
        <w:rPr>
          <w:lang w:val="pl-PL"/>
        </w:rPr>
      </w:pPr>
      <w:r w:rsidRPr="00D45A23">
        <w:rPr>
          <w:lang w:val="pl-PL"/>
        </w:rPr>
        <w:t>Aliy-i-Zanjani</w:t>
      </w:r>
      <w:r w:rsidRPr="00D45A23">
        <w:rPr>
          <w:lang w:val="pl-PL"/>
        </w:rPr>
        <w:tab/>
        <w:t>‘Alíy-i-Zanjání</w:t>
      </w:r>
      <w:r w:rsidRPr="00D45A23">
        <w:rPr>
          <w:lang w:val="pl-PL"/>
        </w:rPr>
        <w:tab/>
      </w:r>
    </w:p>
    <w:p w14:paraId="55A4F02E" w14:textId="77777777" w:rsidR="00625A5B" w:rsidRPr="00D45A23" w:rsidRDefault="00625A5B" w:rsidP="00F87A63">
      <w:pPr>
        <w:pStyle w:val="Translit"/>
        <w:rPr>
          <w:rFonts w:eastAsia="PMingLiU"/>
          <w:lang w:val="pl-PL" w:eastAsia="zh-TW"/>
        </w:rPr>
      </w:pPr>
      <w:r w:rsidRPr="00D45A23">
        <w:rPr>
          <w:rFonts w:eastAsia="PMingLiU"/>
          <w:lang w:val="pl-PL" w:eastAsia="zh-TW"/>
        </w:rPr>
        <w:t>Al</w:t>
      </w:r>
      <w:r w:rsidRPr="00D45A23">
        <w:rPr>
          <w:lang w:val="pl-PL"/>
        </w:rPr>
        <w:t>i</w:t>
      </w:r>
      <w:r w:rsidRPr="00D45A23">
        <w:rPr>
          <w:rFonts w:eastAsia="PMingLiU"/>
          <w:lang w:val="pl-PL" w:eastAsia="zh-TW"/>
        </w:rPr>
        <w:t>y-i-Zargar</w:t>
      </w:r>
      <w:r w:rsidRPr="00D45A23">
        <w:rPr>
          <w:lang w:val="pl-PL"/>
        </w:rPr>
        <w:tab/>
      </w:r>
      <w:r w:rsidRPr="00D45A23">
        <w:rPr>
          <w:rFonts w:eastAsia="PMingLiU"/>
          <w:lang w:val="pl-PL" w:eastAsia="zh-TW"/>
        </w:rPr>
        <w:t>‘Al</w:t>
      </w:r>
      <w:r w:rsidRPr="00D45A23">
        <w:rPr>
          <w:lang w:val="pl-PL"/>
        </w:rPr>
        <w:t>í</w:t>
      </w:r>
      <w:r w:rsidRPr="00D45A23">
        <w:rPr>
          <w:rFonts w:eastAsia="PMingLiU"/>
          <w:lang w:val="pl-PL" w:eastAsia="zh-TW"/>
        </w:rPr>
        <w:t>y-i-Zargar</w:t>
      </w:r>
      <w:r w:rsidRPr="00D45A23">
        <w:rPr>
          <w:lang w:val="pl-PL"/>
        </w:rPr>
        <w:tab/>
      </w:r>
    </w:p>
    <w:p w14:paraId="339EFD50" w14:textId="77777777" w:rsidR="00625A5B" w:rsidRPr="00D45A23" w:rsidRDefault="00625A5B" w:rsidP="00F87A63">
      <w:pPr>
        <w:pStyle w:val="Translit"/>
        <w:rPr>
          <w:lang w:val="pl-PL"/>
        </w:rPr>
      </w:pPr>
      <w:r w:rsidRPr="00D45A23">
        <w:rPr>
          <w:rFonts w:eastAsia="PMingLiU"/>
          <w:lang w:val="pl-PL" w:eastAsia="zh-TW"/>
        </w:rPr>
        <w:t>Al</w:t>
      </w:r>
      <w:r w:rsidRPr="00D45A23">
        <w:rPr>
          <w:lang w:val="pl-PL"/>
        </w:rPr>
        <w:t>i</w:t>
      </w:r>
      <w:r w:rsidRPr="00D45A23">
        <w:rPr>
          <w:rFonts w:eastAsia="PMingLiU"/>
          <w:lang w:val="pl-PL" w:eastAsia="zh-TW"/>
        </w:rPr>
        <w:t>y-i-Zun</w:t>
      </w:r>
      <w:r w:rsidRPr="00D45A23">
        <w:rPr>
          <w:lang w:val="pl-PL"/>
        </w:rPr>
        <w:t>u</w:t>
      </w:r>
      <w:r w:rsidRPr="00D45A23">
        <w:rPr>
          <w:rFonts w:eastAsia="PMingLiU"/>
          <w:lang w:val="pl-PL" w:eastAsia="zh-TW"/>
        </w:rPr>
        <w:t>z</w:t>
      </w:r>
      <w:r w:rsidRPr="00D45A23">
        <w:rPr>
          <w:lang w:val="pl-PL"/>
        </w:rPr>
        <w:t>i</w:t>
      </w:r>
      <w:r w:rsidRPr="00D45A23">
        <w:rPr>
          <w:lang w:val="pl-PL"/>
        </w:rPr>
        <w:tab/>
      </w:r>
      <w:r w:rsidRPr="00D45A23">
        <w:rPr>
          <w:rFonts w:eastAsia="PMingLiU"/>
          <w:lang w:val="pl-PL" w:eastAsia="zh-TW"/>
        </w:rPr>
        <w:t>‘Al</w:t>
      </w:r>
      <w:r w:rsidRPr="00D45A23">
        <w:rPr>
          <w:lang w:val="pl-PL"/>
        </w:rPr>
        <w:t>í</w:t>
      </w:r>
      <w:r w:rsidRPr="00D45A23">
        <w:rPr>
          <w:rFonts w:eastAsia="PMingLiU"/>
          <w:lang w:val="pl-PL" w:eastAsia="zh-TW"/>
        </w:rPr>
        <w:t>y-i-Zun</w:t>
      </w:r>
      <w:r w:rsidRPr="00D45A23">
        <w:rPr>
          <w:lang w:val="pl-PL"/>
        </w:rPr>
        <w:t>ú</w:t>
      </w:r>
      <w:r w:rsidRPr="00D45A23">
        <w:rPr>
          <w:rFonts w:eastAsia="PMingLiU"/>
          <w:lang w:val="pl-PL" w:eastAsia="zh-TW"/>
        </w:rPr>
        <w:t>z</w:t>
      </w:r>
      <w:r w:rsidRPr="00D45A23">
        <w:rPr>
          <w:lang w:val="pl-PL"/>
        </w:rPr>
        <w:t>í</w:t>
      </w:r>
      <w:r w:rsidRPr="00D45A23">
        <w:rPr>
          <w:lang w:val="pl-PL"/>
        </w:rPr>
        <w:tab/>
      </w:r>
    </w:p>
    <w:p w14:paraId="7568AF6A" w14:textId="77777777" w:rsidR="00625A5B" w:rsidRPr="00364102" w:rsidRDefault="00625A5B" w:rsidP="00EA61EA">
      <w:pPr>
        <w:pStyle w:val="Translit"/>
        <w:rPr>
          <w:lang w:val="pl-PL"/>
        </w:rPr>
      </w:pPr>
      <w:r w:rsidRPr="00364102">
        <w:rPr>
          <w:lang w:val="pl-PL"/>
        </w:rPr>
        <w:t>Aliyu’l</w:t>
      </w:r>
      <w:r w:rsidRPr="00364102">
        <w:rPr>
          <w:rFonts w:eastAsia="PMingLiU"/>
          <w:lang w:val="pl-PL" w:eastAsia="zh-TW"/>
        </w:rPr>
        <w:t>-‘</w:t>
      </w:r>
      <w:r w:rsidRPr="00364102">
        <w:rPr>
          <w:lang w:val="pl-PL"/>
        </w:rPr>
        <w:t>Ala, ‘Aliyyu’l</w:t>
      </w:r>
      <w:r w:rsidRPr="00364102">
        <w:rPr>
          <w:rFonts w:eastAsia="PMingLiU"/>
          <w:lang w:val="pl-PL" w:eastAsia="zh-TW"/>
        </w:rPr>
        <w:t>-‘</w:t>
      </w:r>
      <w:r w:rsidRPr="00364102">
        <w:rPr>
          <w:lang w:val="pl-PL"/>
        </w:rPr>
        <w:t>Ala</w:t>
      </w:r>
      <w:r w:rsidRPr="00364102">
        <w:rPr>
          <w:lang w:val="pl-PL"/>
        </w:rPr>
        <w:tab/>
        <w:t>‘Alíyu’l-‘Alá, ‘Aliyyu’l-‘Alá</w:t>
      </w:r>
      <w:r w:rsidRPr="00364102">
        <w:rPr>
          <w:lang w:val="pl-PL"/>
        </w:rPr>
        <w:tab/>
        <w:t>the exalted of the exalted</w:t>
      </w:r>
    </w:p>
    <w:p w14:paraId="4C1E6F0B" w14:textId="77777777" w:rsidR="00625A5B" w:rsidRPr="008F03E5" w:rsidRDefault="00625A5B" w:rsidP="00A43B75">
      <w:pPr>
        <w:pStyle w:val="Translit"/>
        <w:rPr>
          <w:rFonts w:eastAsia="PMingLiU"/>
          <w:lang w:eastAsia="zh-TW"/>
        </w:rPr>
      </w:pPr>
      <w:r w:rsidRPr="008F03E5">
        <w:rPr>
          <w:rFonts w:eastAsia="PMingLiU"/>
          <w:lang w:eastAsia="zh-TW"/>
        </w:rPr>
        <w:t>Aliyu’llah</w:t>
      </w:r>
      <w:r w:rsidRPr="008F03E5">
        <w:tab/>
      </w:r>
      <w:r w:rsidRPr="008F03E5">
        <w:rPr>
          <w:rFonts w:eastAsia="PMingLiU"/>
          <w:lang w:eastAsia="zh-TW"/>
        </w:rPr>
        <w:t>‘Alíyu’lláh</w:t>
      </w:r>
      <w:r w:rsidRPr="008F03E5">
        <w:rPr>
          <w:rFonts w:eastAsia="PMingLiU"/>
          <w:lang w:eastAsia="zh-TW"/>
        </w:rPr>
        <w:tab/>
        <w:t>‘Al</w:t>
      </w:r>
      <w:r w:rsidRPr="008F03E5">
        <w:t>í</w:t>
      </w:r>
      <w:r w:rsidRPr="008F03E5">
        <w:rPr>
          <w:rFonts w:eastAsia="PMingLiU"/>
          <w:lang w:eastAsia="zh-TW"/>
        </w:rPr>
        <w:t xml:space="preserve"> is chosen by, or from God</w:t>
      </w:r>
    </w:p>
    <w:p w14:paraId="4696C44D" w14:textId="77777777" w:rsidR="00625A5B" w:rsidRPr="00151C69" w:rsidRDefault="00625A5B" w:rsidP="0082002D">
      <w:pPr>
        <w:pStyle w:val="Translit"/>
        <w:rPr>
          <w:rFonts w:eastAsia="PMingLiU"/>
          <w:lang w:eastAsia="zh-TW"/>
        </w:rPr>
      </w:pPr>
      <w:r w:rsidRPr="008F03E5">
        <w:rPr>
          <w:rFonts w:eastAsia="PMingLiU"/>
          <w:lang w:eastAsia="zh-TW"/>
        </w:rPr>
        <w:t>Aliyu’llahi</w:t>
      </w:r>
      <w:r w:rsidRPr="008F03E5">
        <w:tab/>
      </w:r>
      <w:r w:rsidRPr="008F03E5">
        <w:rPr>
          <w:rFonts w:eastAsia="PMingLiU"/>
          <w:lang w:eastAsia="zh-TW"/>
        </w:rPr>
        <w:t>‘Alíyu’lláhí</w:t>
      </w:r>
      <w:r w:rsidRPr="008F03E5">
        <w:tab/>
      </w:r>
      <w:r w:rsidRPr="00451FDF">
        <w:t xml:space="preserve">a </w:t>
      </w:r>
      <w:r>
        <w:t>sect</w:t>
      </w:r>
      <w:r w:rsidRPr="00451FDF">
        <w:t xml:space="preserve"> in </w:t>
      </w:r>
      <w:r>
        <w:t>western</w:t>
      </w:r>
      <w:r w:rsidRPr="00451FDF">
        <w:t xml:space="preserve"> Iran </w:t>
      </w:r>
      <w:r>
        <w:t>that</w:t>
      </w:r>
      <w:r w:rsidRPr="00451FDF">
        <w:t xml:space="preserve"> combines elements of </w:t>
      </w:r>
      <w:r w:rsidRPr="00451FDF">
        <w:rPr>
          <w:u w:val="single"/>
        </w:rPr>
        <w:t>Sh</w:t>
      </w:r>
      <w:r>
        <w:t>í‘</w:t>
      </w:r>
      <w:r w:rsidRPr="00451FDF">
        <w:t xml:space="preserve">a Islám with older religions.  </w:t>
      </w:r>
      <w:r>
        <w:t>U</w:t>
      </w:r>
      <w:r w:rsidRPr="00451FDF">
        <w:t xml:space="preserve">sed as a general term for several denominations that venerate or deify </w:t>
      </w:r>
      <w:r>
        <w:t>Im</w:t>
      </w:r>
      <w:r w:rsidRPr="00451FDF">
        <w:t>á</w:t>
      </w:r>
      <w:r>
        <w:t>m ‘</w:t>
      </w:r>
      <w:r w:rsidRPr="00451FDF">
        <w:t>Alí, like the Kaysání</w:t>
      </w:r>
      <w:r>
        <w:t>ya</w:t>
      </w:r>
      <w:r w:rsidRPr="00451FDF">
        <w:t xml:space="preserve">, the </w:t>
      </w:r>
      <w:r>
        <w:t>‘</w:t>
      </w:r>
      <w:r w:rsidRPr="00451FDF">
        <w:t>Alawi</w:t>
      </w:r>
      <w:r>
        <w:t>y</w:t>
      </w:r>
      <w:r w:rsidRPr="00451FDF">
        <w:t>á</w:t>
      </w:r>
      <w:r>
        <w:t>n,</w:t>
      </w:r>
      <w:r w:rsidRPr="00451FDF">
        <w:t xml:space="preserve"> </w:t>
      </w:r>
      <w:r w:rsidRPr="0082002D">
        <w:t>the Ahlu’l-Ḥaqq</w:t>
      </w:r>
      <w:r>
        <w:t xml:space="preserve"> and </w:t>
      </w:r>
      <w:r w:rsidRPr="00451FDF">
        <w:t>Nuṣayrí</w:t>
      </w:r>
      <w:r>
        <w:t>ya.</w:t>
      </w:r>
    </w:p>
    <w:p w14:paraId="20F58681" w14:textId="77777777" w:rsidR="00625A5B" w:rsidRPr="002016C0" w:rsidRDefault="00625A5B" w:rsidP="005B3145">
      <w:pPr>
        <w:pStyle w:val="Translit"/>
        <w:rPr>
          <w:lang w:val="es-ES_tradnl"/>
        </w:rPr>
      </w:pPr>
      <w:r w:rsidRPr="002016C0">
        <w:rPr>
          <w:lang w:val="es-ES_tradnl"/>
        </w:rPr>
        <w:t>Alizad (‘Ali-Zad) ‘Alizada (‘Alizadeh)</w:t>
      </w:r>
      <w:r w:rsidRPr="002016C0">
        <w:rPr>
          <w:lang w:val="es-ES_tradnl"/>
        </w:rPr>
        <w:tab/>
        <w:t>‘Alízád, ‘Alí Zád</w:t>
      </w:r>
      <w:r w:rsidRPr="002016C0">
        <w:rPr>
          <w:lang w:val="es-ES_tradnl"/>
        </w:rPr>
        <w:tab/>
        <w:t>(‘Alízáda, ‘Alí Záda) descendent of ‘Alí.  Asadu’lláh ‘Alízád and Maqṣúd ‘Alízádah</w:t>
      </w:r>
    </w:p>
    <w:p w14:paraId="0635D61D" w14:textId="77777777" w:rsidR="00625A5B" w:rsidRPr="008F03E5" w:rsidRDefault="00625A5B" w:rsidP="00F87A63">
      <w:pPr>
        <w:pStyle w:val="Translit"/>
      </w:pPr>
      <w:r w:rsidRPr="000A69B4">
        <w:rPr>
          <w:lang w:val="es-ES_tradnl"/>
        </w:rPr>
        <w:t>Alladhi, Allati, Alladhina</w:t>
      </w:r>
      <w:r w:rsidRPr="000A69B4">
        <w:rPr>
          <w:lang w:val="es-ES_tradnl"/>
        </w:rPr>
        <w:tab/>
        <w:t>Alla</w:t>
      </w:r>
      <w:r w:rsidRPr="000A69B4">
        <w:rPr>
          <w:u w:val="single"/>
          <w:lang w:val="es-ES_tradnl"/>
        </w:rPr>
        <w:t>dh</w:t>
      </w:r>
      <w:r w:rsidRPr="000A69B4">
        <w:rPr>
          <w:lang w:val="es-ES_tradnl"/>
        </w:rPr>
        <w:t xml:space="preserve">í, fem. </w:t>
      </w:r>
      <w:r w:rsidRPr="008F03E5">
        <w:t>Allatí</w:t>
      </w:r>
      <w:r w:rsidRPr="008F03E5">
        <w:tab/>
        <w:t>(relative pronoun) he who, that which; who, which, that.  Plurals:  m. alla</w:t>
      </w:r>
      <w:r w:rsidRPr="008F03E5">
        <w:rPr>
          <w:u w:val="single"/>
        </w:rPr>
        <w:t>dh</w:t>
      </w:r>
      <w:r w:rsidRPr="008F03E5">
        <w:t>ína, fem. allátí, allawátí (“allawati”), allá’í (“alla’i”)</w:t>
      </w:r>
    </w:p>
    <w:p w14:paraId="5A63C271" w14:textId="77777777" w:rsidR="00625A5B" w:rsidRPr="008F03E5" w:rsidRDefault="00625A5B" w:rsidP="00796F21">
      <w:pPr>
        <w:pStyle w:val="Translit"/>
      </w:pPr>
      <w:r w:rsidRPr="008F03E5">
        <w:t>Allaf</w:t>
      </w:r>
      <w:r w:rsidRPr="008F03E5">
        <w:tab/>
        <w:t>‘Alláf</w:t>
      </w:r>
      <w:r w:rsidRPr="008F03E5">
        <w:tab/>
        <w:t>seller of provender (dry food such as hay and oats for livestock)</w:t>
      </w:r>
    </w:p>
    <w:p w14:paraId="402753D3" w14:textId="77777777" w:rsidR="00625A5B" w:rsidRPr="008F03E5" w:rsidRDefault="00625A5B" w:rsidP="00EE6DF5">
      <w:pPr>
        <w:pStyle w:val="Translit"/>
      </w:pPr>
      <w:r w:rsidRPr="008F03E5">
        <w:t>Allah</w:t>
      </w:r>
      <w:r w:rsidRPr="008F03E5">
        <w:tab/>
        <w:t>Alláh (originally al-Iláh)</w:t>
      </w:r>
      <w:r w:rsidRPr="008F03E5">
        <w:tab/>
        <w:t xml:space="preserve">God:  The God, by way of eminence (being a contraction of the compound of the definite article </w:t>
      </w:r>
      <w:r w:rsidRPr="008F03E5">
        <w:rPr>
          <w:rtl/>
        </w:rPr>
        <w:t>ال</w:t>
      </w:r>
      <w:r w:rsidRPr="008F03E5">
        <w:t xml:space="preserve"> (al, The) and </w:t>
      </w:r>
      <w:r w:rsidRPr="008F03E5">
        <w:rPr>
          <w:rtl/>
        </w:rPr>
        <w:t>الهٰ</w:t>
      </w:r>
      <w:r w:rsidRPr="008F03E5">
        <w:t xml:space="preserve"> (iláh, a God).  See iláh.</w:t>
      </w:r>
    </w:p>
    <w:p w14:paraId="3FC79946" w14:textId="77777777" w:rsidR="00625A5B" w:rsidRPr="008F03E5" w:rsidRDefault="00625A5B" w:rsidP="002B160D">
      <w:pPr>
        <w:pStyle w:val="Translit"/>
        <w:rPr>
          <w:rFonts w:eastAsia="PMingLiU"/>
          <w:lang w:eastAsia="zh-TW"/>
        </w:rPr>
      </w:pPr>
      <w:r w:rsidRPr="008F03E5">
        <w:rPr>
          <w:rFonts w:eastAsia="PMingLiU"/>
          <w:lang w:eastAsia="zh-TW"/>
        </w:rPr>
        <w:t>Allahu ‘</w:t>
      </w:r>
      <w:r w:rsidRPr="008F03E5">
        <w:t xml:space="preserve">Azam, </w:t>
      </w:r>
      <w:r w:rsidRPr="008F03E5">
        <w:rPr>
          <w:rFonts w:eastAsia="PMingLiU"/>
          <w:lang w:eastAsia="zh-TW"/>
        </w:rPr>
        <w:t>Allah-u-‘</w:t>
      </w:r>
      <w:r w:rsidRPr="008F03E5">
        <w:t>Azam</w:t>
      </w:r>
      <w:r w:rsidRPr="008F03E5">
        <w:tab/>
      </w:r>
      <w:r w:rsidRPr="008F03E5">
        <w:rPr>
          <w:rFonts w:eastAsia="PMingLiU"/>
          <w:lang w:eastAsia="zh-TW"/>
        </w:rPr>
        <w:t>All</w:t>
      </w:r>
      <w:r w:rsidRPr="008F03E5">
        <w:t>á</w:t>
      </w:r>
      <w:r w:rsidRPr="008F03E5">
        <w:rPr>
          <w:rFonts w:eastAsia="PMingLiU"/>
          <w:lang w:eastAsia="zh-TW"/>
        </w:rPr>
        <w:t xml:space="preserve">hu </w:t>
      </w:r>
      <w:r w:rsidRPr="008F03E5">
        <w:t xml:space="preserve">‘Aẓam, Pers. </w:t>
      </w:r>
      <w:r w:rsidRPr="008F03E5">
        <w:rPr>
          <w:rFonts w:eastAsia="PMingLiU"/>
          <w:lang w:eastAsia="zh-TW"/>
        </w:rPr>
        <w:t>All</w:t>
      </w:r>
      <w:r w:rsidRPr="008F03E5">
        <w:t>á</w:t>
      </w:r>
      <w:r w:rsidRPr="008F03E5">
        <w:rPr>
          <w:rFonts w:eastAsia="PMingLiU"/>
          <w:lang w:eastAsia="zh-TW"/>
        </w:rPr>
        <w:t>h-u-</w:t>
      </w:r>
      <w:r w:rsidRPr="008F03E5">
        <w:t>‘Aẓam</w:t>
      </w:r>
      <w:r w:rsidRPr="008F03E5">
        <w:tab/>
        <w:t>God is Great</w:t>
      </w:r>
    </w:p>
    <w:p w14:paraId="674FE12D" w14:textId="77777777" w:rsidR="00625A5B" w:rsidRPr="008F03E5" w:rsidRDefault="00625A5B" w:rsidP="002B160D">
      <w:pPr>
        <w:pStyle w:val="Translit"/>
        <w:rPr>
          <w:rFonts w:eastAsia="PMingLiU"/>
          <w:lang w:eastAsia="zh-TW"/>
        </w:rPr>
      </w:pPr>
      <w:r w:rsidRPr="008F03E5">
        <w:rPr>
          <w:rFonts w:eastAsia="PMingLiU"/>
          <w:lang w:eastAsia="zh-TW"/>
        </w:rPr>
        <w:t>All</w:t>
      </w:r>
      <w:r w:rsidRPr="008F03E5">
        <w:t>a</w:t>
      </w:r>
      <w:r w:rsidRPr="008F03E5">
        <w:rPr>
          <w:rFonts w:eastAsia="PMingLiU"/>
          <w:lang w:eastAsia="zh-TW"/>
        </w:rPr>
        <w:t>hu A’zam, All</w:t>
      </w:r>
      <w:r w:rsidRPr="008F03E5">
        <w:t>a</w:t>
      </w:r>
      <w:r w:rsidRPr="008F03E5">
        <w:rPr>
          <w:rFonts w:eastAsia="PMingLiU"/>
          <w:lang w:eastAsia="zh-TW"/>
        </w:rPr>
        <w:t>h-u-A’zam</w:t>
      </w:r>
      <w:r w:rsidRPr="008F03E5">
        <w:tab/>
      </w:r>
      <w:r w:rsidRPr="008F03E5">
        <w:rPr>
          <w:rFonts w:eastAsia="PMingLiU"/>
          <w:lang w:eastAsia="zh-TW"/>
        </w:rPr>
        <w:t>All</w:t>
      </w:r>
      <w:r w:rsidRPr="008F03E5">
        <w:t>á</w:t>
      </w:r>
      <w:r w:rsidRPr="008F03E5">
        <w:rPr>
          <w:rFonts w:eastAsia="PMingLiU"/>
          <w:lang w:eastAsia="zh-TW"/>
        </w:rPr>
        <w:t>hu A‘</w:t>
      </w:r>
      <w:r w:rsidRPr="008F03E5">
        <w:t>ẓ</w:t>
      </w:r>
      <w:r w:rsidRPr="008F03E5">
        <w:rPr>
          <w:rFonts w:eastAsia="PMingLiU"/>
          <w:lang w:eastAsia="zh-TW"/>
        </w:rPr>
        <w:t>am, Pers. All</w:t>
      </w:r>
      <w:r w:rsidRPr="008F03E5">
        <w:t>á</w:t>
      </w:r>
      <w:r w:rsidRPr="008F03E5">
        <w:rPr>
          <w:rFonts w:eastAsia="PMingLiU"/>
          <w:lang w:eastAsia="zh-TW"/>
        </w:rPr>
        <w:t>h-u-A‘</w:t>
      </w:r>
      <w:r w:rsidRPr="008F03E5">
        <w:t>ẓ</w:t>
      </w:r>
      <w:r w:rsidRPr="008F03E5">
        <w:rPr>
          <w:rFonts w:eastAsia="PMingLiU"/>
          <w:lang w:eastAsia="zh-TW"/>
        </w:rPr>
        <w:t>am</w:t>
      </w:r>
      <w:r w:rsidRPr="008F03E5">
        <w:tab/>
        <w:t xml:space="preserve">(greeting response to </w:t>
      </w:r>
      <w:r w:rsidRPr="008F03E5">
        <w:rPr>
          <w:rFonts w:eastAsia="PMingLiU"/>
          <w:lang w:eastAsia="zh-TW"/>
        </w:rPr>
        <w:t>Alláh-u-Akbar—men)  God is the Most Mighty</w:t>
      </w:r>
    </w:p>
    <w:p w14:paraId="7E7E77E0" w14:textId="77777777" w:rsidR="00625A5B" w:rsidRPr="008F03E5" w:rsidRDefault="00625A5B" w:rsidP="00DB4EEE">
      <w:pPr>
        <w:pStyle w:val="Translit"/>
      </w:pPr>
      <w:r w:rsidRPr="008F03E5">
        <w:t>Allahu Abha, Allah-u-Abha</w:t>
      </w:r>
      <w:r w:rsidRPr="008F03E5">
        <w:tab/>
        <w:t>Alláhu Abhá, Pers. Alláh-u-Abhá</w:t>
      </w:r>
      <w:r w:rsidRPr="008F03E5">
        <w:tab/>
        <w:t xml:space="preserve">(greeting response to Alláh-u-Ajmal (“God the Most Beauteous”)—women)  “God is Most Glorious, God is All-Glorious”.  A form of the Greatest Name.  </w:t>
      </w:r>
      <w:r>
        <w:t xml:space="preserve">A salutation that “is a clarion that pealeth out the lordship of the divine Beauty [Baháʼuʼlláh]”. (‘Abdu’l-Bahá)  </w:t>
      </w:r>
      <w:r w:rsidRPr="008F03E5">
        <w:t>Its repetition 95 times each day is ordained by the Báb and adopted by Bahá’u’lláh.  Lilláh (95) = Letters of the Living (18) × 5 + Báb (5).  Bahá, or any of its derivatives such as Abhá, Yá Bahá’u’lláh, or Yá Bahá’u’l-Abhá, are all referred to as the Greatest name.  Yá Bahá’u’l-Abhá (O Glory of Glories or O Glory of the All-Glorious) is an invocation used in the calligraphy designed by Mi</w:t>
      </w:r>
      <w:r w:rsidRPr="008F03E5">
        <w:rPr>
          <w:u w:val="single"/>
        </w:rPr>
        <w:t>sh</w:t>
      </w:r>
      <w:r w:rsidRPr="008F03E5">
        <w:t>kín-Qalam.</w:t>
      </w:r>
    </w:p>
    <w:p w14:paraId="54C9C83B" w14:textId="77777777" w:rsidR="00625A5B" w:rsidRPr="008F03E5" w:rsidRDefault="00625A5B" w:rsidP="002B160D">
      <w:pPr>
        <w:pStyle w:val="Translit"/>
        <w:rPr>
          <w:rFonts w:eastAsia="PMingLiU"/>
          <w:lang w:eastAsia="zh-TW"/>
        </w:rPr>
      </w:pPr>
      <w:r w:rsidRPr="00077779">
        <w:rPr>
          <w:lang w:val="es-ES_tradnl"/>
        </w:rPr>
        <w:t>Allahu Ajmal, Allah-u-Ajmal</w:t>
      </w:r>
      <w:r w:rsidRPr="00077779">
        <w:rPr>
          <w:lang w:val="es-ES_tradnl"/>
        </w:rPr>
        <w:tab/>
      </w:r>
      <w:r w:rsidRPr="00077779">
        <w:rPr>
          <w:rFonts w:eastAsia="PMingLiU"/>
          <w:lang w:val="es-ES_tradnl" w:eastAsia="zh-TW"/>
        </w:rPr>
        <w:t>All</w:t>
      </w:r>
      <w:r w:rsidRPr="00077779">
        <w:rPr>
          <w:lang w:val="es-ES_tradnl"/>
        </w:rPr>
        <w:t>á</w:t>
      </w:r>
      <w:r w:rsidRPr="00077779">
        <w:rPr>
          <w:rFonts w:eastAsia="PMingLiU"/>
          <w:lang w:val="es-ES_tradnl" w:eastAsia="zh-TW"/>
        </w:rPr>
        <w:t xml:space="preserve">hu Ajmal, Pers. </w:t>
      </w:r>
      <w:r w:rsidRPr="008F03E5">
        <w:rPr>
          <w:rFonts w:eastAsia="PMingLiU"/>
          <w:lang w:eastAsia="zh-TW"/>
        </w:rPr>
        <w:t>All</w:t>
      </w:r>
      <w:r w:rsidRPr="008F03E5">
        <w:t>á</w:t>
      </w:r>
      <w:r w:rsidRPr="008F03E5">
        <w:rPr>
          <w:rFonts w:eastAsia="PMingLiU"/>
          <w:lang w:eastAsia="zh-TW"/>
        </w:rPr>
        <w:t>h-u-Ajmal</w:t>
      </w:r>
      <w:r w:rsidRPr="008F03E5">
        <w:tab/>
        <w:t>(greeting response to Alláh-u-Abhá—women)  God is the Most Beautiful.</w:t>
      </w:r>
    </w:p>
    <w:p w14:paraId="5C136303" w14:textId="77777777" w:rsidR="00625A5B" w:rsidRPr="008F03E5" w:rsidRDefault="00625A5B" w:rsidP="002B160D">
      <w:pPr>
        <w:pStyle w:val="Translit"/>
        <w:rPr>
          <w:rFonts w:eastAsia="PMingLiU"/>
          <w:lang w:eastAsia="zh-TW"/>
        </w:rPr>
      </w:pPr>
      <w:r w:rsidRPr="008F03E5">
        <w:rPr>
          <w:rFonts w:eastAsia="PMingLiU"/>
          <w:lang w:eastAsia="zh-TW"/>
        </w:rPr>
        <w:t>Allahu Akbar, Allah-u-Akbar</w:t>
      </w:r>
      <w:r w:rsidRPr="008F03E5">
        <w:tab/>
      </w:r>
      <w:r w:rsidRPr="008F03E5">
        <w:rPr>
          <w:rFonts w:eastAsia="PMingLiU"/>
          <w:lang w:eastAsia="zh-TW"/>
        </w:rPr>
        <w:t>Alláhu Akbar, Pers. Alláh-u-Akbar</w:t>
      </w:r>
      <w:r w:rsidRPr="008F03E5">
        <w:tab/>
        <w:t xml:space="preserve">greeting by a man to a man.  God is the Most Great or God is the Greatest.  See </w:t>
      </w:r>
      <w:r w:rsidRPr="008F03E5">
        <w:rPr>
          <w:rFonts w:eastAsia="PMingLiU"/>
          <w:lang w:eastAsia="zh-TW"/>
        </w:rPr>
        <w:t>All</w:t>
      </w:r>
      <w:r w:rsidRPr="008F03E5">
        <w:t>á</w:t>
      </w:r>
      <w:r w:rsidRPr="008F03E5">
        <w:rPr>
          <w:rFonts w:eastAsia="PMingLiU"/>
          <w:lang w:eastAsia="zh-TW"/>
        </w:rPr>
        <w:t>h-u-A‘</w:t>
      </w:r>
      <w:r w:rsidRPr="008F03E5">
        <w:t>ẓ</w:t>
      </w:r>
      <w:r w:rsidRPr="008F03E5">
        <w:rPr>
          <w:rFonts w:eastAsia="PMingLiU"/>
          <w:lang w:eastAsia="zh-TW"/>
        </w:rPr>
        <w:t>am above</w:t>
      </w:r>
    </w:p>
    <w:p w14:paraId="6ECA5349" w14:textId="77777777" w:rsidR="00625A5B" w:rsidRPr="008F03E5" w:rsidRDefault="00625A5B" w:rsidP="00D903FF">
      <w:pPr>
        <w:pStyle w:val="Translit"/>
        <w:rPr>
          <w:rFonts w:eastAsia="PMingLiU"/>
          <w:lang w:eastAsia="zh-TW"/>
        </w:rPr>
      </w:pPr>
      <w:r w:rsidRPr="00F22FDB">
        <w:rPr>
          <w:rFonts w:eastAsia="PMingLiU"/>
          <w:lang w:eastAsia="zh-TW"/>
        </w:rPr>
        <w:t>Allahu Anwar, Allah-u-Anwar</w:t>
      </w:r>
      <w:r w:rsidRPr="00F22FDB">
        <w:tab/>
      </w:r>
      <w:r w:rsidRPr="00F22FDB">
        <w:rPr>
          <w:rFonts w:eastAsia="PMingLiU"/>
          <w:lang w:eastAsia="zh-TW"/>
        </w:rPr>
        <w:t>Alláhu Anw</w:t>
      </w:r>
      <w:r w:rsidRPr="00F22FDB">
        <w:t>á</w:t>
      </w:r>
      <w:r w:rsidRPr="00F22FDB">
        <w:rPr>
          <w:rFonts w:eastAsia="PMingLiU"/>
          <w:lang w:eastAsia="zh-TW"/>
        </w:rPr>
        <w:t xml:space="preserve">r, Pers. </w:t>
      </w:r>
      <w:r w:rsidRPr="008F03E5">
        <w:rPr>
          <w:rFonts w:eastAsia="PMingLiU"/>
          <w:lang w:eastAsia="zh-TW"/>
        </w:rPr>
        <w:t>Alláh-u-Anw</w:t>
      </w:r>
      <w:r w:rsidRPr="008F03E5">
        <w:t>á</w:t>
      </w:r>
      <w:r w:rsidRPr="008F03E5">
        <w:rPr>
          <w:rFonts w:eastAsia="PMingLiU"/>
          <w:lang w:eastAsia="zh-TW"/>
        </w:rPr>
        <w:t>r</w:t>
      </w:r>
      <w:r w:rsidRPr="008F03E5">
        <w:tab/>
        <w:t>God is Most Luminous</w:t>
      </w:r>
    </w:p>
    <w:p w14:paraId="62EA189F" w14:textId="77777777" w:rsidR="00625A5B" w:rsidRPr="008F03E5" w:rsidRDefault="00625A5B" w:rsidP="002B160D">
      <w:pPr>
        <w:pStyle w:val="Translit"/>
        <w:rPr>
          <w:rFonts w:eastAsia="PMingLiU"/>
          <w:lang w:eastAsia="zh-TW"/>
        </w:rPr>
      </w:pPr>
      <w:r w:rsidRPr="008F03E5">
        <w:rPr>
          <w:rFonts w:eastAsia="PMingLiU"/>
          <w:lang w:eastAsia="zh-TW"/>
        </w:rPr>
        <w:t>Allahu Aqdam, Allah-u-Aqdam</w:t>
      </w:r>
      <w:r w:rsidRPr="008F03E5">
        <w:rPr>
          <w:rFonts w:eastAsia="PMingLiU"/>
          <w:lang w:eastAsia="zh-TW"/>
        </w:rPr>
        <w:tab/>
        <w:t>All</w:t>
      </w:r>
      <w:r w:rsidRPr="008F03E5">
        <w:t>á</w:t>
      </w:r>
      <w:r w:rsidRPr="008F03E5">
        <w:rPr>
          <w:rFonts w:eastAsia="PMingLiU"/>
          <w:lang w:eastAsia="zh-TW"/>
        </w:rPr>
        <w:t>hu Aqdam, Pers. All</w:t>
      </w:r>
      <w:r w:rsidRPr="008F03E5">
        <w:t>á</w:t>
      </w:r>
      <w:r w:rsidRPr="008F03E5">
        <w:rPr>
          <w:rFonts w:eastAsia="PMingLiU"/>
          <w:lang w:eastAsia="zh-TW"/>
        </w:rPr>
        <w:t>h-u-Aqdam</w:t>
      </w:r>
      <w:r w:rsidRPr="008F03E5">
        <w:rPr>
          <w:rFonts w:eastAsia="PMingLiU"/>
          <w:lang w:eastAsia="zh-TW"/>
        </w:rPr>
        <w:tab/>
        <w:t>God is the Most Ancient</w:t>
      </w:r>
    </w:p>
    <w:p w14:paraId="49BF6467" w14:textId="77777777" w:rsidR="00625A5B" w:rsidRPr="008F03E5" w:rsidRDefault="00625A5B" w:rsidP="002B160D">
      <w:pPr>
        <w:pStyle w:val="Translit"/>
        <w:rPr>
          <w:rFonts w:eastAsia="PMingLiU"/>
          <w:lang w:eastAsia="zh-TW"/>
        </w:rPr>
      </w:pPr>
      <w:r w:rsidRPr="00077779">
        <w:rPr>
          <w:rFonts w:eastAsia="PMingLiU"/>
          <w:lang w:val="es-ES_tradnl" w:eastAsia="zh-TW"/>
        </w:rPr>
        <w:t>All</w:t>
      </w:r>
      <w:r w:rsidRPr="00077779">
        <w:rPr>
          <w:lang w:val="es-ES_tradnl"/>
        </w:rPr>
        <w:t>a</w:t>
      </w:r>
      <w:r w:rsidRPr="00077779">
        <w:rPr>
          <w:rFonts w:eastAsia="PMingLiU"/>
          <w:lang w:val="es-ES_tradnl" w:eastAsia="zh-TW"/>
        </w:rPr>
        <w:t>hu Ath</w:t>
      </w:r>
      <w:r w:rsidRPr="00077779">
        <w:rPr>
          <w:lang w:val="es-ES_tradnl"/>
        </w:rPr>
        <w:t>a</w:t>
      </w:r>
      <w:r w:rsidRPr="00077779">
        <w:rPr>
          <w:rFonts w:eastAsia="PMingLiU"/>
          <w:lang w:val="es-ES_tradnl" w:eastAsia="zh-TW"/>
        </w:rPr>
        <w:t>r, All</w:t>
      </w:r>
      <w:r w:rsidRPr="00077779">
        <w:rPr>
          <w:lang w:val="es-ES_tradnl"/>
        </w:rPr>
        <w:t>a</w:t>
      </w:r>
      <w:r w:rsidRPr="00077779">
        <w:rPr>
          <w:rFonts w:eastAsia="PMingLiU"/>
          <w:lang w:val="es-ES_tradnl" w:eastAsia="zh-TW"/>
        </w:rPr>
        <w:t>h-u-Ath</w:t>
      </w:r>
      <w:r w:rsidRPr="00077779">
        <w:rPr>
          <w:lang w:val="es-ES_tradnl"/>
        </w:rPr>
        <w:t>a</w:t>
      </w:r>
      <w:r w:rsidRPr="00077779">
        <w:rPr>
          <w:rFonts w:eastAsia="PMingLiU"/>
          <w:lang w:val="es-ES_tradnl" w:eastAsia="zh-TW"/>
        </w:rPr>
        <w:t>r</w:t>
      </w:r>
      <w:r w:rsidRPr="00077779">
        <w:rPr>
          <w:lang w:val="es-ES_tradnl"/>
        </w:rPr>
        <w:tab/>
      </w:r>
      <w:r w:rsidRPr="00077779">
        <w:rPr>
          <w:rFonts w:eastAsia="PMingLiU"/>
          <w:lang w:val="es-ES_tradnl" w:eastAsia="zh-TW"/>
        </w:rPr>
        <w:t>All</w:t>
      </w:r>
      <w:r w:rsidRPr="00077779">
        <w:rPr>
          <w:lang w:val="es-ES_tradnl"/>
        </w:rPr>
        <w:t>á</w:t>
      </w:r>
      <w:r w:rsidRPr="00077779">
        <w:rPr>
          <w:rFonts w:eastAsia="PMingLiU"/>
          <w:lang w:val="es-ES_tradnl" w:eastAsia="zh-TW"/>
        </w:rPr>
        <w:t xml:space="preserve">hu </w:t>
      </w:r>
      <w:r w:rsidRPr="00077779">
        <w:rPr>
          <w:lang w:val="es-ES_tradnl"/>
        </w:rPr>
        <w:t>Aṭha</w:t>
      </w:r>
      <w:r w:rsidRPr="00077779">
        <w:rPr>
          <w:rFonts w:eastAsia="PMingLiU"/>
          <w:lang w:val="es-ES_tradnl" w:eastAsia="zh-TW"/>
        </w:rPr>
        <w:t xml:space="preserve">r, Pers. </w:t>
      </w:r>
      <w:r w:rsidRPr="008F03E5">
        <w:rPr>
          <w:rFonts w:eastAsia="PMingLiU"/>
          <w:lang w:eastAsia="zh-TW"/>
        </w:rPr>
        <w:t>All</w:t>
      </w:r>
      <w:r w:rsidRPr="008F03E5">
        <w:t>á</w:t>
      </w:r>
      <w:r w:rsidRPr="008F03E5">
        <w:rPr>
          <w:rFonts w:eastAsia="PMingLiU"/>
          <w:lang w:eastAsia="zh-TW"/>
        </w:rPr>
        <w:t>h-u-</w:t>
      </w:r>
      <w:r w:rsidRPr="008F03E5">
        <w:t>Aṭha</w:t>
      </w:r>
      <w:r w:rsidRPr="008F03E5">
        <w:rPr>
          <w:rFonts w:eastAsia="PMingLiU"/>
          <w:lang w:eastAsia="zh-TW"/>
        </w:rPr>
        <w:t>r</w:t>
      </w:r>
      <w:r w:rsidRPr="008F03E5">
        <w:tab/>
      </w:r>
      <w:r w:rsidRPr="008F03E5">
        <w:rPr>
          <w:rFonts w:eastAsia="PMingLiU"/>
          <w:lang w:eastAsia="zh-TW"/>
        </w:rPr>
        <w:t>God the Most Pure</w:t>
      </w:r>
    </w:p>
    <w:p w14:paraId="4E7B98B0" w14:textId="77777777" w:rsidR="00625A5B" w:rsidRPr="008F03E5" w:rsidRDefault="00625A5B" w:rsidP="002B160D">
      <w:pPr>
        <w:pStyle w:val="Translit"/>
        <w:rPr>
          <w:rFonts w:eastAsia="PMingLiU"/>
          <w:lang w:eastAsia="zh-TW"/>
        </w:rPr>
      </w:pPr>
      <w:r w:rsidRPr="00077779">
        <w:rPr>
          <w:rFonts w:eastAsia="PMingLiU"/>
          <w:lang w:val="es-ES_tradnl" w:eastAsia="zh-TW"/>
        </w:rPr>
        <w:t>All</w:t>
      </w:r>
      <w:r w:rsidRPr="00077779">
        <w:rPr>
          <w:lang w:val="es-ES_tradnl"/>
        </w:rPr>
        <w:t>a</w:t>
      </w:r>
      <w:r w:rsidRPr="00077779">
        <w:rPr>
          <w:rFonts w:eastAsia="PMingLiU"/>
          <w:lang w:val="es-ES_tradnl" w:eastAsia="zh-TW"/>
        </w:rPr>
        <w:t>hu Azhar, All</w:t>
      </w:r>
      <w:r w:rsidRPr="00077779">
        <w:rPr>
          <w:lang w:val="es-ES_tradnl"/>
        </w:rPr>
        <w:t>a</w:t>
      </w:r>
      <w:r w:rsidRPr="00077779">
        <w:rPr>
          <w:rFonts w:eastAsia="PMingLiU"/>
          <w:lang w:val="es-ES_tradnl" w:eastAsia="zh-TW"/>
        </w:rPr>
        <w:t>h-u-Azhar</w:t>
      </w:r>
      <w:r w:rsidRPr="00077779">
        <w:rPr>
          <w:rFonts w:eastAsia="PMingLiU"/>
          <w:lang w:val="es-ES_tradnl" w:eastAsia="zh-TW"/>
        </w:rPr>
        <w:tab/>
        <w:t>All</w:t>
      </w:r>
      <w:r w:rsidRPr="00077779">
        <w:rPr>
          <w:lang w:val="es-ES_tradnl"/>
        </w:rPr>
        <w:t>á</w:t>
      </w:r>
      <w:r w:rsidRPr="00077779">
        <w:rPr>
          <w:rFonts w:eastAsia="PMingLiU"/>
          <w:lang w:val="es-ES_tradnl" w:eastAsia="zh-TW"/>
        </w:rPr>
        <w:t>hu A</w:t>
      </w:r>
      <w:r w:rsidRPr="00077779">
        <w:rPr>
          <w:lang w:val="es-ES_tradnl"/>
        </w:rPr>
        <w:t>ẓ</w:t>
      </w:r>
      <w:r w:rsidRPr="00077779">
        <w:rPr>
          <w:rFonts w:eastAsia="PMingLiU"/>
          <w:lang w:val="es-ES_tradnl" w:eastAsia="zh-TW"/>
        </w:rPr>
        <w:t xml:space="preserve">har, Pers. </w:t>
      </w:r>
      <w:r w:rsidRPr="008F03E5">
        <w:rPr>
          <w:rFonts w:eastAsia="PMingLiU"/>
          <w:lang w:eastAsia="zh-TW"/>
        </w:rPr>
        <w:t>All</w:t>
      </w:r>
      <w:r w:rsidRPr="008F03E5">
        <w:t>á</w:t>
      </w:r>
      <w:r w:rsidRPr="008F03E5">
        <w:rPr>
          <w:rFonts w:eastAsia="PMingLiU"/>
          <w:lang w:eastAsia="zh-TW"/>
        </w:rPr>
        <w:t>h-u-A</w:t>
      </w:r>
      <w:r w:rsidRPr="008F03E5">
        <w:t>ẓ</w:t>
      </w:r>
      <w:r w:rsidRPr="008F03E5">
        <w:rPr>
          <w:rFonts w:eastAsia="PMingLiU"/>
          <w:lang w:eastAsia="zh-TW"/>
        </w:rPr>
        <w:t>har</w:t>
      </w:r>
      <w:r w:rsidRPr="008F03E5">
        <w:rPr>
          <w:rFonts w:eastAsia="PMingLiU"/>
          <w:lang w:eastAsia="zh-TW"/>
        </w:rPr>
        <w:tab/>
        <w:t>God is Most Manifest</w:t>
      </w:r>
    </w:p>
    <w:p w14:paraId="769D6689" w14:textId="77777777" w:rsidR="00625A5B" w:rsidRPr="008F03E5" w:rsidRDefault="00625A5B" w:rsidP="00F87A63">
      <w:pPr>
        <w:pStyle w:val="Translit"/>
      </w:pPr>
      <w:r w:rsidRPr="008F03E5">
        <w:t>Allahumma</w:t>
      </w:r>
      <w:r w:rsidRPr="008F03E5">
        <w:tab/>
        <w:t>Alláhumma</w:t>
      </w:r>
      <w:r w:rsidRPr="008F03E5">
        <w:tab/>
        <w:t>“O God!”, “O Thou My God”.  Possible derivation from Hebrew elohim (pl. of eloah).</w:t>
      </w:r>
    </w:p>
    <w:p w14:paraId="0F73845E" w14:textId="77777777" w:rsidR="00625A5B" w:rsidRPr="008F03E5" w:rsidRDefault="00625A5B" w:rsidP="00F87A63">
      <w:pPr>
        <w:pStyle w:val="Translit"/>
        <w:rPr>
          <w:rFonts w:eastAsia="PMingLiU"/>
          <w:lang w:eastAsia="zh-TW"/>
        </w:rPr>
      </w:pPr>
      <w:r w:rsidRPr="008F03E5">
        <w:rPr>
          <w:rFonts w:eastAsia="PMingLiU"/>
          <w:lang w:eastAsia="zh-TW"/>
        </w:rPr>
        <w:t>All</w:t>
      </w:r>
      <w:r w:rsidRPr="008F03E5">
        <w:t>a</w:t>
      </w:r>
      <w:r w:rsidRPr="008F03E5">
        <w:rPr>
          <w:rFonts w:eastAsia="PMingLiU"/>
          <w:lang w:eastAsia="zh-TW"/>
        </w:rPr>
        <w:t>h-Vard</w:t>
      </w:r>
      <w:r w:rsidRPr="008F03E5">
        <w:t xml:space="preserve">i, </w:t>
      </w:r>
      <w:r w:rsidRPr="008F03E5">
        <w:rPr>
          <w:rFonts w:eastAsia="PMingLiU"/>
          <w:lang w:eastAsia="zh-TW"/>
        </w:rPr>
        <w:t>Allah-Virdi</w:t>
      </w:r>
      <w:r w:rsidRPr="008F03E5">
        <w:tab/>
      </w:r>
      <w:r w:rsidRPr="008F03E5">
        <w:rPr>
          <w:rFonts w:eastAsia="PMingLiU"/>
          <w:lang w:eastAsia="zh-TW"/>
        </w:rPr>
        <w:t>All</w:t>
      </w:r>
      <w:r w:rsidRPr="008F03E5">
        <w:t>á</w:t>
      </w:r>
      <w:r w:rsidRPr="008F03E5">
        <w:rPr>
          <w:rFonts w:eastAsia="PMingLiU"/>
          <w:lang w:eastAsia="zh-TW"/>
        </w:rPr>
        <w:t>h-Vard</w:t>
      </w:r>
      <w:r w:rsidRPr="008F03E5">
        <w:t xml:space="preserve">í, </w:t>
      </w:r>
      <w:r w:rsidRPr="008F03E5">
        <w:rPr>
          <w:rFonts w:eastAsia="PMingLiU"/>
          <w:lang w:eastAsia="zh-TW"/>
        </w:rPr>
        <w:t>Alláh-Virdí</w:t>
      </w:r>
      <w:r w:rsidRPr="008F03E5">
        <w:tab/>
      </w:r>
    </w:p>
    <w:p w14:paraId="5DA9C185" w14:textId="77777777" w:rsidR="00625A5B" w:rsidRPr="008F03E5" w:rsidRDefault="00625A5B" w:rsidP="00F87A63">
      <w:pPr>
        <w:pStyle w:val="Translit"/>
      </w:pPr>
      <w:r w:rsidRPr="008F03E5">
        <w:t>Allah-Yar</w:t>
      </w:r>
      <w:r w:rsidRPr="008F03E5">
        <w:tab/>
        <w:t>Alláh-Yár</w:t>
      </w:r>
      <w:r w:rsidRPr="008F03E5">
        <w:tab/>
        <w:t>Ḥájj Alláh-Yár.  A small village 100 km west of Kirmán</w:t>
      </w:r>
      <w:r w:rsidRPr="008F03E5">
        <w:rPr>
          <w:u w:val="single"/>
        </w:rPr>
        <w:t>sh</w:t>
      </w:r>
      <w:r w:rsidRPr="008F03E5">
        <w:t>áh.  34.249047, 45.986214</w:t>
      </w:r>
    </w:p>
    <w:p w14:paraId="5471EE12" w14:textId="77777777" w:rsidR="00625A5B" w:rsidRPr="008F03E5" w:rsidRDefault="00625A5B" w:rsidP="00AD7A14">
      <w:pPr>
        <w:pStyle w:val="Translit"/>
      </w:pPr>
      <w:r w:rsidRPr="008F03E5">
        <w:t>Allam</w:t>
      </w:r>
      <w:r w:rsidRPr="008F03E5">
        <w:tab/>
        <w:t>‘Allám</w:t>
      </w:r>
      <w:r w:rsidRPr="008F03E5">
        <w:tab/>
        <w:t>knowing thoroughly</w:t>
      </w:r>
    </w:p>
    <w:p w14:paraId="31C711D1" w14:textId="77777777" w:rsidR="00625A5B" w:rsidRPr="008F03E5" w:rsidRDefault="00625A5B" w:rsidP="00C66BFD">
      <w:pPr>
        <w:pStyle w:val="Translit"/>
      </w:pPr>
      <w:r w:rsidRPr="008F03E5">
        <w:t>Allama</w:t>
      </w:r>
      <w:r w:rsidRPr="008F03E5">
        <w:tab/>
        <w:t>‘Alláma</w:t>
      </w:r>
      <w:r>
        <w:t>[h or t]</w:t>
      </w:r>
      <w:r w:rsidRPr="008F03E5">
        <w:tab/>
        <w:t xml:space="preserve">most erudite, very </w:t>
      </w:r>
      <w:r>
        <w:t>l</w:t>
      </w:r>
      <w:r w:rsidRPr="008F03E5">
        <w:t>earned (of the ulama); learned in every branch of the Islamic sciences</w:t>
      </w:r>
    </w:p>
    <w:p w14:paraId="3D033A45" w14:textId="77777777" w:rsidR="00625A5B" w:rsidRPr="008F03E5" w:rsidRDefault="00625A5B" w:rsidP="006924B5">
      <w:pPr>
        <w:pStyle w:val="Translit"/>
      </w:pPr>
      <w:r w:rsidRPr="008F03E5">
        <w:t>Allamiy-i-Hilli</w:t>
      </w:r>
      <w:r w:rsidRPr="008F03E5">
        <w:tab/>
        <w:t>‘Allámiy-i-Ḥillí</w:t>
      </w:r>
      <w:r w:rsidRPr="008F03E5">
        <w:tab/>
        <w:t xml:space="preserve">“the very erudite Doctor”, a title of the famed </w:t>
      </w:r>
      <w:r w:rsidRPr="008F03E5">
        <w:rPr>
          <w:u w:val="single"/>
        </w:rPr>
        <w:t>Sh</w:t>
      </w:r>
      <w:r w:rsidRPr="008F03E5">
        <w:t>í‘ih theologian, Jamálu’d-Dín Ḥasan ibn-i-Yúsuf ibn-i-‘Alí of Hilla (</w:t>
      </w:r>
      <w:r w:rsidRPr="008F03E5">
        <w:rPr>
          <w:sz w:val="16"/>
          <w:szCs w:val="16"/>
        </w:rPr>
        <w:t>CE</w:t>
      </w:r>
      <w:r w:rsidRPr="008F03E5">
        <w:t xml:space="preserve"> 1250–1325) (</w:t>
      </w:r>
      <w:r w:rsidRPr="008F03E5">
        <w:rPr>
          <w:sz w:val="16"/>
          <w:szCs w:val="16"/>
        </w:rPr>
        <w:t>MF</w:t>
      </w:r>
      <w:r w:rsidRPr="008F03E5">
        <w:t xml:space="preserve"> p. 169)</w:t>
      </w:r>
    </w:p>
    <w:p w14:paraId="3FDF3D83" w14:textId="77777777" w:rsidR="00625A5B" w:rsidRPr="00D45A23" w:rsidRDefault="00625A5B" w:rsidP="00F87A63">
      <w:pPr>
        <w:pStyle w:val="Translit"/>
        <w:rPr>
          <w:rFonts w:eastAsia="PMingLiU"/>
          <w:lang w:val="it-IT" w:eastAsia="zh-TW"/>
        </w:rPr>
      </w:pPr>
      <w:r w:rsidRPr="00D45A23">
        <w:rPr>
          <w:rFonts w:eastAsia="PMingLiU"/>
          <w:lang w:val="it-IT" w:eastAsia="zh-TW"/>
        </w:rPr>
        <w:t>Allamiy-i-Nuri</w:t>
      </w:r>
      <w:r w:rsidRPr="00D45A23">
        <w:rPr>
          <w:lang w:val="it-IT"/>
        </w:rPr>
        <w:tab/>
      </w:r>
      <w:r w:rsidRPr="00D45A23">
        <w:rPr>
          <w:rFonts w:eastAsia="PMingLiU"/>
          <w:lang w:val="it-IT" w:eastAsia="zh-TW"/>
        </w:rPr>
        <w:t>‘Allámiy-i-Núrí</w:t>
      </w:r>
      <w:r w:rsidRPr="00D45A23">
        <w:rPr>
          <w:lang w:val="it-IT"/>
        </w:rPr>
        <w:tab/>
      </w:r>
    </w:p>
    <w:p w14:paraId="72479943" w14:textId="77777777" w:rsidR="00625A5B" w:rsidRPr="00D45A23" w:rsidRDefault="00625A5B" w:rsidP="00F87A63">
      <w:pPr>
        <w:pStyle w:val="Translit"/>
        <w:rPr>
          <w:lang w:val="it-IT"/>
        </w:rPr>
      </w:pPr>
      <w:r w:rsidRPr="00D45A23">
        <w:rPr>
          <w:lang w:val="it-IT"/>
        </w:rPr>
        <w:t>Alliyu’llahi</w:t>
      </w:r>
      <w:r w:rsidRPr="00D45A23">
        <w:rPr>
          <w:lang w:val="it-IT"/>
        </w:rPr>
        <w:tab/>
        <w:t>‘Allíyu‘lláhí</w:t>
      </w:r>
      <w:r w:rsidRPr="00D45A23">
        <w:rPr>
          <w:lang w:val="it-IT"/>
        </w:rPr>
        <w:tab/>
        <w:t>a sect</w:t>
      </w:r>
    </w:p>
    <w:p w14:paraId="3FCF94E7" w14:textId="77777777" w:rsidR="00625A5B" w:rsidRPr="00D45A23" w:rsidRDefault="00625A5B" w:rsidP="0039710D">
      <w:pPr>
        <w:pStyle w:val="Translit"/>
        <w:rPr>
          <w:lang w:val="it-IT"/>
        </w:rPr>
      </w:pPr>
      <w:r w:rsidRPr="00D45A23">
        <w:rPr>
          <w:lang w:val="it-IT"/>
        </w:rPr>
        <w:t>Almaniya</w:t>
      </w:r>
      <w:r w:rsidRPr="00D45A23">
        <w:rPr>
          <w:lang w:val="it-IT"/>
        </w:rPr>
        <w:tab/>
        <w:t>Almániyá</w:t>
      </w:r>
      <w:r w:rsidRPr="00D45A23">
        <w:rPr>
          <w:lang w:val="it-IT"/>
        </w:rPr>
        <w:tab/>
        <w:t>Germany</w:t>
      </w:r>
    </w:p>
    <w:p w14:paraId="19903B9C" w14:textId="77777777" w:rsidR="00625A5B" w:rsidRPr="008F03E5" w:rsidRDefault="00625A5B" w:rsidP="001C2304">
      <w:pPr>
        <w:pStyle w:val="Translit"/>
      </w:pPr>
      <w:r w:rsidRPr="008F03E5">
        <w:t>Alqa</w:t>
      </w:r>
      <w:r w:rsidRPr="008F03E5">
        <w:tab/>
        <w:t>‘Alqa</w:t>
      </w:r>
      <w:r w:rsidRPr="008F03E5">
        <w:tab/>
        <w:t>(e.g.) beating; bastinado; a thrashing, spanking.  See falaqa.</w:t>
      </w:r>
    </w:p>
    <w:p w14:paraId="4D4B9368" w14:textId="77777777" w:rsidR="00625A5B" w:rsidRPr="008F03E5" w:rsidRDefault="00625A5B" w:rsidP="00F87A63">
      <w:pPr>
        <w:pStyle w:val="Translit"/>
      </w:pPr>
      <w:r w:rsidRPr="008F03E5">
        <w:t>Alus</w:t>
      </w:r>
      <w:r w:rsidRPr="008F03E5">
        <w:tab/>
        <w:t>Álús</w:t>
      </w:r>
      <w:r w:rsidRPr="008F03E5">
        <w:tab/>
        <w:t>Pers. amorous or angry side-glance</w:t>
      </w:r>
    </w:p>
    <w:p w14:paraId="6762DE69" w14:textId="77777777" w:rsidR="00625A5B" w:rsidRPr="008F03E5" w:rsidRDefault="00625A5B" w:rsidP="00F87A63">
      <w:pPr>
        <w:pStyle w:val="Translit"/>
      </w:pPr>
      <w:r w:rsidRPr="008F03E5">
        <w:t>Alusi</w:t>
      </w:r>
      <w:r w:rsidRPr="008F03E5">
        <w:tab/>
        <w:t>Álúsí</w:t>
      </w:r>
      <w:r w:rsidRPr="008F03E5">
        <w:tab/>
        <w:t>(Alossy) Ibn-i-Álúsí, Muftí of Ba</w:t>
      </w:r>
      <w:r w:rsidRPr="008F03E5">
        <w:rPr>
          <w:u w:val="single"/>
        </w:rPr>
        <w:t>gh</w:t>
      </w:r>
      <w:r w:rsidRPr="008F03E5">
        <w:t>dád</w:t>
      </w:r>
    </w:p>
    <w:p w14:paraId="56FB55FC" w14:textId="77777777" w:rsidR="00625A5B" w:rsidRPr="008F03E5" w:rsidRDefault="00625A5B" w:rsidP="00F87A63">
      <w:pPr>
        <w:pStyle w:val="Translit"/>
      </w:pPr>
      <w:r w:rsidRPr="008F03E5">
        <w:t>Alvah-i-Laylatu’l-Quds</w:t>
      </w:r>
      <w:r w:rsidRPr="008F03E5">
        <w:tab/>
        <w:t>Alváḥ-i-Laylatu’l-Quds</w:t>
      </w:r>
      <w:r w:rsidRPr="008F03E5">
        <w:tab/>
        <w:t>Tablets of the Holy Night by Bahá’u’lláh</w:t>
      </w:r>
    </w:p>
    <w:p w14:paraId="031E7759" w14:textId="77777777" w:rsidR="00625A5B" w:rsidRPr="008F03E5" w:rsidRDefault="00625A5B" w:rsidP="002C192D">
      <w:pPr>
        <w:pStyle w:val="Translit"/>
      </w:pPr>
      <w:r w:rsidRPr="008F03E5">
        <w:t>Alvah-i-Salatin</w:t>
      </w:r>
      <w:r w:rsidRPr="008F03E5">
        <w:tab/>
        <w:t>Alváḥ-i-Saláṭín</w:t>
      </w:r>
      <w:r w:rsidRPr="008F03E5">
        <w:tab/>
        <w:t>Tablets to the Sultans</w:t>
      </w:r>
    </w:p>
    <w:p w14:paraId="42D539CB" w14:textId="77777777" w:rsidR="00625A5B" w:rsidRPr="008F03E5" w:rsidRDefault="00625A5B" w:rsidP="00F87A63">
      <w:pPr>
        <w:pStyle w:val="Translit"/>
      </w:pPr>
      <w:r w:rsidRPr="008F03E5">
        <w:t>Alvah-i-Tablighi-i-Amrika</w:t>
      </w:r>
      <w:r w:rsidRPr="008F03E5">
        <w:tab/>
        <w:t>Alváḥ-i-Tablí</w:t>
      </w:r>
      <w:r w:rsidRPr="008F03E5">
        <w:rPr>
          <w:u w:val="single"/>
        </w:rPr>
        <w:t>gh</w:t>
      </w:r>
      <w:r w:rsidRPr="008F03E5">
        <w:t>í-i-Amríká</w:t>
      </w:r>
      <w:r w:rsidRPr="008F03E5">
        <w:tab/>
        <w:t xml:space="preserve">Pers. collection of Tablets by ‘Abdu’l-Bahá to America, translated as </w:t>
      </w:r>
      <w:r w:rsidRPr="008F03E5">
        <w:rPr>
          <w:i/>
          <w:iCs/>
        </w:rPr>
        <w:t>Tablets of the Divine Plan</w:t>
      </w:r>
      <w:r w:rsidRPr="008F03E5">
        <w:t>.  Amríká also given as Imríká</w:t>
      </w:r>
    </w:p>
    <w:p w14:paraId="0916FDE3" w14:textId="77777777" w:rsidR="00625A5B" w:rsidRPr="008F03E5" w:rsidRDefault="00625A5B" w:rsidP="00F87A63">
      <w:pPr>
        <w:pStyle w:val="Translit"/>
      </w:pPr>
      <w:r w:rsidRPr="008F03E5">
        <w:t>Alvah-i-Vasaya</w:t>
      </w:r>
      <w:r w:rsidRPr="008F03E5">
        <w:tab/>
        <w:t>Alváḥ-i-Vaṣáyá</w:t>
      </w:r>
      <w:r w:rsidRPr="008F03E5">
        <w:tab/>
        <w:t>Tablets of Commandments by ‘Abdu’l-Bahá</w:t>
      </w:r>
    </w:p>
    <w:p w14:paraId="5216AF7A" w14:textId="77777777" w:rsidR="00625A5B" w:rsidRPr="008F03E5" w:rsidRDefault="00625A5B" w:rsidP="00ED275C">
      <w:pPr>
        <w:pStyle w:val="Translit"/>
      </w:pPr>
      <w:bookmarkStart w:id="43" w:name="A"/>
      <w:r w:rsidRPr="008F03E5">
        <w:t>Am</w:t>
      </w:r>
      <w:r w:rsidRPr="008F03E5">
        <w:tab/>
        <w:t>Am</w:t>
      </w:r>
      <w:r w:rsidRPr="008F03E5">
        <w:tab/>
        <w:t xml:space="preserve">Pers. </w:t>
      </w:r>
      <w:r w:rsidRPr="008F03E5">
        <w:rPr>
          <w:rFonts w:eastAsia="Times New Roman"/>
        </w:rPr>
        <w:t xml:space="preserve">(first person of </w:t>
      </w:r>
      <w:r w:rsidRPr="008F03E5">
        <w:t>búdan,</w:t>
      </w:r>
      <w:r w:rsidRPr="008F03E5">
        <w:rPr>
          <w:rFonts w:eastAsia="Times New Roman"/>
        </w:rPr>
        <w:t xml:space="preserve"> to be), I am, and as such, like the English “am”</w:t>
      </w:r>
      <w:r w:rsidRPr="008F03E5">
        <w:t>;</w:t>
      </w:r>
      <w:r w:rsidRPr="008F03E5">
        <w:rPr>
          <w:rFonts w:eastAsia="Times New Roman"/>
        </w:rPr>
        <w:t xml:space="preserve"> the suffixed form of the pronoun of the first person, signifying “my” after a noun</w:t>
      </w:r>
    </w:p>
    <w:bookmarkEnd w:id="43"/>
    <w:p w14:paraId="4B56B622" w14:textId="77777777" w:rsidR="00625A5B" w:rsidRPr="008F03E5" w:rsidRDefault="00625A5B" w:rsidP="00891296">
      <w:pPr>
        <w:pStyle w:val="Translit"/>
      </w:pPr>
      <w:r w:rsidRPr="008F03E5">
        <w:t>Ama</w:t>
      </w:r>
      <w:r w:rsidRPr="008F03E5">
        <w:tab/>
        <w:t>‘Amá’</w:t>
      </w:r>
      <w:r w:rsidRPr="008F03E5">
        <w:tab/>
        <w:t>Ar. heavy clouds.  [Pers. deviation, aberration, loss of the way; contention, litigation; a cloud, high, dense, rainy, thin; a black or white cloud; a cloud which has shed rain; blindness.]  See root word ‘amiya.  Hence, ‘Amá’ can be translated as blindness, secrecy, obscurity, etc.; though it also has the sense of “cloud”, possibly “heavy and thick clouds (which hide and obscure) or (the opposite!) light diaphanous clouds.</w:t>
      </w:r>
      <w:r w:rsidRPr="008F03E5">
        <w:rPr>
          <w:rStyle w:val="FootnoteReference"/>
        </w:rPr>
        <w:footnoteReference w:id="8"/>
      </w:r>
    </w:p>
    <w:p w14:paraId="589615E2" w14:textId="77777777" w:rsidR="00625A5B" w:rsidRPr="008F03E5" w:rsidRDefault="00625A5B" w:rsidP="00BA3847">
      <w:pPr>
        <w:pStyle w:val="Translit"/>
      </w:pPr>
      <w:r w:rsidRPr="008F03E5">
        <w:t>Ama, Ima, Amawat</w:t>
      </w:r>
      <w:r w:rsidRPr="008F03E5">
        <w:tab/>
        <w:t>Ama[h or t], pl. Imá’, Amawát</w:t>
      </w:r>
      <w:r w:rsidRPr="008F03E5">
        <w:tab/>
        <w:t>bondmaid, slave girl.  Pers. “Amih”.</w:t>
      </w:r>
    </w:p>
    <w:p w14:paraId="10D26FA6" w14:textId="77777777" w:rsidR="00625A5B" w:rsidRPr="008F03E5" w:rsidRDefault="00625A5B" w:rsidP="00F87A63">
      <w:pPr>
        <w:pStyle w:val="Translit"/>
      </w:pPr>
      <w:r w:rsidRPr="008F03E5">
        <w:t>Amad, Amadam</w:t>
      </w:r>
      <w:r w:rsidRPr="008F03E5">
        <w:tab/>
        <w:t>Ámad</w:t>
      </w:r>
      <w:r w:rsidRPr="008F03E5">
        <w:tab/>
        <w:t>Pers. he came; arrival.  Dar Ámadam (“I have arisen”)</w:t>
      </w:r>
    </w:p>
    <w:p w14:paraId="7411E009" w14:textId="77777777" w:rsidR="00625A5B" w:rsidRPr="00077779" w:rsidRDefault="00625A5B" w:rsidP="00F87A63">
      <w:pPr>
        <w:pStyle w:val="Translit"/>
        <w:rPr>
          <w:lang w:val="es-ES_tradnl"/>
        </w:rPr>
      </w:pPr>
      <w:r w:rsidRPr="00077779">
        <w:rPr>
          <w:lang w:val="es-ES_tradnl"/>
        </w:rPr>
        <w:t>Amada</w:t>
      </w:r>
      <w:r w:rsidRPr="00077779">
        <w:rPr>
          <w:lang w:val="es-ES_tradnl"/>
        </w:rPr>
        <w:tab/>
        <w:t>‘Amada</w:t>
      </w:r>
      <w:r w:rsidRPr="00077779">
        <w:rPr>
          <w:lang w:val="es-ES_tradnl"/>
        </w:rPr>
        <w:tab/>
        <w:t>to baptize, christen</w:t>
      </w:r>
    </w:p>
    <w:p w14:paraId="6CCCA3F7" w14:textId="77777777" w:rsidR="00625A5B" w:rsidRPr="008F03E5" w:rsidRDefault="00625A5B" w:rsidP="00E6700F">
      <w:pPr>
        <w:pStyle w:val="Translit"/>
      </w:pPr>
      <w:r w:rsidRPr="00077779">
        <w:rPr>
          <w:lang w:val="es-ES_tradnl"/>
        </w:rPr>
        <w:t>Amadan az fawq</w:t>
      </w:r>
      <w:r w:rsidRPr="00077779">
        <w:rPr>
          <w:lang w:val="es-ES_tradnl"/>
        </w:rPr>
        <w:tab/>
        <w:t>Ámadan az fawq</w:t>
      </w:r>
      <w:r w:rsidRPr="00077779">
        <w:rPr>
          <w:lang w:val="es-ES_tradnl"/>
        </w:rPr>
        <w:tab/>
        <w:t xml:space="preserve">Pers. </w:t>
      </w:r>
      <w:r w:rsidRPr="008F03E5">
        <w:t>“come from on high” or “come down from on high”.  Expression used by Bahá’ís meaning sent by Shoghi Effendi, etc.</w:t>
      </w:r>
    </w:p>
    <w:p w14:paraId="01BB2DC0" w14:textId="77777777" w:rsidR="00625A5B" w:rsidRPr="008F03E5" w:rsidRDefault="00625A5B" w:rsidP="00F87A63">
      <w:pPr>
        <w:pStyle w:val="Translit"/>
      </w:pPr>
      <w:r w:rsidRPr="008F03E5">
        <w:t>Amadan</w:t>
      </w:r>
      <w:r w:rsidRPr="008F03E5">
        <w:tab/>
        <w:t>Ámadan</w:t>
      </w:r>
      <w:r w:rsidRPr="008F03E5">
        <w:tab/>
        <w:t>Pers. to come, to arrive; to exist, to be found; to become</w:t>
      </w:r>
    </w:p>
    <w:p w14:paraId="04D6CB56" w14:textId="77777777" w:rsidR="00625A5B" w:rsidRDefault="00625A5B" w:rsidP="007827B4">
      <w:pPr>
        <w:pStyle w:val="Translit"/>
      </w:pPr>
      <w:r>
        <w:rPr>
          <w:rFonts w:eastAsia="Times New Roman"/>
        </w:rPr>
        <w:t>Amadan</w:t>
      </w:r>
      <w:r>
        <w:rPr>
          <w:rFonts w:eastAsia="Times New Roman"/>
        </w:rPr>
        <w:tab/>
      </w:r>
      <w:r w:rsidRPr="007827B4">
        <w:rPr>
          <w:rFonts w:eastAsia="Times New Roman"/>
        </w:rPr>
        <w:t>Ámadan</w:t>
      </w:r>
      <w:r>
        <w:rPr>
          <w:rFonts w:eastAsia="Times New Roman"/>
        </w:rPr>
        <w:tab/>
        <w:t>Pers. t</w:t>
      </w:r>
      <w:r w:rsidRPr="00AF4D34">
        <w:rPr>
          <w:rFonts w:eastAsia="Times New Roman"/>
        </w:rPr>
        <w:t>o come, to arrive; to exist, to be found; to become; coming, arrival, entry</w:t>
      </w:r>
    </w:p>
    <w:p w14:paraId="3F4358A5" w14:textId="77777777" w:rsidR="00625A5B" w:rsidRPr="008F03E5" w:rsidRDefault="00625A5B" w:rsidP="00F87A63">
      <w:pPr>
        <w:pStyle w:val="Translit"/>
        <w:rPr>
          <w:rFonts w:eastAsia="PMingLiU"/>
          <w:lang w:eastAsia="zh-TW"/>
        </w:rPr>
      </w:pPr>
      <w:r w:rsidRPr="008F03E5">
        <w:rPr>
          <w:rFonts w:eastAsia="PMingLiU"/>
          <w:lang w:eastAsia="zh-TW"/>
        </w:rPr>
        <w:t>Amal, A’mal</w:t>
      </w:r>
      <w:r w:rsidRPr="008F03E5">
        <w:rPr>
          <w:rFonts w:eastAsia="PMingLiU"/>
          <w:lang w:eastAsia="zh-TW"/>
        </w:rPr>
        <w:tab/>
        <w:t>‘Amal, pl. A‘m</w:t>
      </w:r>
      <w:r w:rsidRPr="008F03E5">
        <w:t>á</w:t>
      </w:r>
      <w:r w:rsidRPr="008F03E5">
        <w:rPr>
          <w:rFonts w:eastAsia="PMingLiU"/>
          <w:lang w:eastAsia="zh-TW"/>
        </w:rPr>
        <w:t>l</w:t>
      </w:r>
      <w:r w:rsidRPr="008F03E5">
        <w:rPr>
          <w:rFonts w:eastAsia="PMingLiU"/>
          <w:lang w:eastAsia="zh-TW"/>
        </w:rPr>
        <w:tab/>
        <w:t>doing, acting, action, activity; work, labour; course of action, way of acting, practice; achievement, accomplishment; activity (for), work (in the service of something); making, production, manufacture, fabrication; performance, execution; make, workmanship; practical work, practice;—pl. act, action; operation (military); work, job, chore, labour; deed, feat, achievement, exploit; occupation, business; trade, craft, handicraft; vicegerency, province, district; administrative district</w:t>
      </w:r>
    </w:p>
    <w:p w14:paraId="15AC7779" w14:textId="77777777" w:rsidR="00625A5B" w:rsidRPr="008F03E5" w:rsidRDefault="00625A5B" w:rsidP="00A3382E">
      <w:pPr>
        <w:pStyle w:val="Translit"/>
        <w:rPr>
          <w:rFonts w:eastAsia="PMingLiU"/>
          <w:lang w:eastAsia="zh-TW"/>
        </w:rPr>
      </w:pPr>
      <w:r w:rsidRPr="008F03E5">
        <w:rPr>
          <w:rFonts w:eastAsia="PMingLiU"/>
          <w:lang w:eastAsia="zh-TW"/>
        </w:rPr>
        <w:t>Aman</w:t>
      </w:r>
      <w:r w:rsidRPr="008F03E5">
        <w:tab/>
        <w:t>Amán</w:t>
      </w:r>
      <w:r w:rsidRPr="008F03E5">
        <w:tab/>
        <w:t>Ar. security, safety; peace; shelter, protection; clemency, quarter (mil.); safeguarding, assurance of protection; indemnity, immunity from punishment</w:t>
      </w:r>
    </w:p>
    <w:p w14:paraId="14701E5F" w14:textId="77777777" w:rsidR="00625A5B" w:rsidRPr="008F03E5" w:rsidRDefault="00625A5B" w:rsidP="00F401AF">
      <w:pPr>
        <w:pStyle w:val="Translit"/>
      </w:pPr>
      <w:r w:rsidRPr="008F03E5">
        <w:t>Aman’u’llah</w:t>
      </w:r>
      <w:r w:rsidRPr="008F03E5">
        <w:tab/>
        <w:t>Amán’u’lláh</w:t>
      </w:r>
      <w:r w:rsidRPr="008F03E5">
        <w:tab/>
        <w:t>the protection of God.  Fí amánu’lláh (Be under God’s protection) is an expression used by ‘Abdu’l-Bahá.</w:t>
      </w:r>
    </w:p>
    <w:p w14:paraId="2C49EBF1" w14:textId="77777777" w:rsidR="00625A5B" w:rsidRPr="008F03E5" w:rsidRDefault="00625A5B" w:rsidP="0008509A">
      <w:pPr>
        <w:pStyle w:val="Translit"/>
      </w:pPr>
      <w:r w:rsidRPr="008F03E5">
        <w:t>Amana, Amanat</w:t>
      </w:r>
      <w:r w:rsidRPr="008F03E5">
        <w:tab/>
        <w:t>Amána[h or t], Amánát</w:t>
      </w:r>
      <w:r w:rsidRPr="008F03E5">
        <w:tab/>
        <w:t>reliability, trustworthiness; loyalty, faithfulness, fidelity, fealty; integrity, honesty; confidence, trust, good faith; deposition in trust; trusteeship;—pl. something deposited in trust, a deposit, trust, charge, anything given in trust; security, safety, protection; safe-guard, safe-conduct.  Ḥusayn Amánat (1942–) is an Iranian-Canadian architect and brother of academic ‘Abbás Amánat.  He is the architect of the Burj-i-</w:t>
      </w:r>
      <w:r w:rsidRPr="008F03E5">
        <w:rPr>
          <w:u w:val="single"/>
        </w:rPr>
        <w:t>Sh</w:t>
      </w:r>
      <w:r w:rsidRPr="008F03E5">
        <w:t>ahyád (“Shah’s Memorial Tower”, renamed Burj-i-Ázádí, “Freedom Tower”) in Ṭihrán, three Bahá’í Arc buildings in Haifa, the Samoan House of Worship and the Shrine of ʻAbdu’l-Bahá.</w:t>
      </w:r>
    </w:p>
    <w:p w14:paraId="2AED56B1" w14:textId="77777777" w:rsidR="00625A5B" w:rsidRPr="008F03E5" w:rsidRDefault="00625A5B" w:rsidP="001A5685">
      <w:pPr>
        <w:pStyle w:val="Translit"/>
      </w:pPr>
      <w:r w:rsidRPr="00077779">
        <w:rPr>
          <w:lang w:val="es-ES_tradnl"/>
        </w:rPr>
        <w:t>Amara, Amarat, Ama’ir</w:t>
      </w:r>
      <w:r w:rsidRPr="00077779">
        <w:rPr>
          <w:lang w:val="es-ES_tradnl"/>
        </w:rPr>
        <w:tab/>
        <w:t xml:space="preserve">Amára[h or t], pl. </w:t>
      </w:r>
      <w:r w:rsidRPr="008F03E5">
        <w:t>Amárát, Amá’ir</w:t>
      </w:r>
      <w:r w:rsidRPr="008F03E5">
        <w:tab/>
        <w:t>sign, token, indication, symptom, mark, characteristic</w:t>
      </w:r>
    </w:p>
    <w:p w14:paraId="6E238B7B" w14:textId="77777777" w:rsidR="00625A5B" w:rsidRPr="008F03E5" w:rsidRDefault="00625A5B" w:rsidP="00F87A63">
      <w:pPr>
        <w:pStyle w:val="Translit"/>
      </w:pPr>
      <w:r w:rsidRPr="00077779">
        <w:rPr>
          <w:lang w:val="es-ES_tradnl"/>
        </w:rPr>
        <w:t>Amara, Amr, Awamir, Umur</w:t>
      </w:r>
      <w:r w:rsidRPr="00077779">
        <w:rPr>
          <w:lang w:val="es-ES_tradnl"/>
        </w:rPr>
        <w:tab/>
        <w:t xml:space="preserve">Amara, Amr, pl. </w:t>
      </w:r>
      <w:r w:rsidRPr="008F03E5">
        <w:t>Awámir, Umúr</w:t>
      </w:r>
      <w:r w:rsidRPr="008F03E5">
        <w:tab/>
        <w:t xml:space="preserve">to order, command, bid, instruct (someone to do something), commission, charge, entrust (someone with something or to do something);—pl. Awámir  order, command, instruction (to do something); ordinance, decree; power, authority; (grammar) imperative;—pl. Umúr matter, affair, concern, business.  Hence, can be defined as “divine order” and </w:t>
      </w:r>
      <w:r w:rsidRPr="008F03E5">
        <w:rPr>
          <w:lang w:eastAsia="en-US"/>
        </w:rPr>
        <w:t>“acts of obedience and pious deeds that are ordained” by God.</w:t>
      </w:r>
    </w:p>
    <w:p w14:paraId="64AADCF3" w14:textId="77777777" w:rsidR="00625A5B" w:rsidRPr="008F03E5" w:rsidRDefault="00625A5B" w:rsidP="007827B4">
      <w:pPr>
        <w:pStyle w:val="Translit"/>
      </w:pPr>
      <w:r w:rsidRPr="008F03E5">
        <w:t>Amasiya</w:t>
      </w:r>
      <w:r w:rsidRPr="008F03E5">
        <w:tab/>
        <w:t>Amásiyá</w:t>
      </w:r>
      <w:r w:rsidRPr="008F03E5">
        <w:tab/>
        <w:t xml:space="preserve">(Amasya) city in Türkiye, 84 km </w:t>
      </w:r>
      <w:r w:rsidRPr="008F03E5">
        <w:rPr>
          <w:sz w:val="16"/>
          <w:szCs w:val="16"/>
        </w:rPr>
        <w:t>SW</w:t>
      </w:r>
      <w:r w:rsidRPr="008F03E5">
        <w:t xml:space="preserve"> of Samsun</w:t>
      </w:r>
    </w:p>
    <w:p w14:paraId="09EB4C71" w14:textId="77777777" w:rsidR="00625A5B" w:rsidRPr="008F03E5" w:rsidRDefault="00625A5B" w:rsidP="00F87A63">
      <w:pPr>
        <w:pStyle w:val="Translit"/>
      </w:pPr>
      <w:r w:rsidRPr="008F03E5">
        <w:t>Amatu’l-A’la</w:t>
      </w:r>
      <w:r w:rsidRPr="008F03E5">
        <w:tab/>
        <w:t>Amatu’l-A‘lá</w:t>
      </w:r>
      <w:r w:rsidRPr="008F03E5">
        <w:tab/>
        <w:t>“the Handmaid of the Most High”.  Title given to Dr Susan Moody by ‘Abdu’l-Bahá.</w:t>
      </w:r>
    </w:p>
    <w:p w14:paraId="22E04FB0" w14:textId="77777777" w:rsidR="00625A5B" w:rsidRPr="008F03E5" w:rsidRDefault="00625A5B" w:rsidP="00FC6A7A">
      <w:pPr>
        <w:pStyle w:val="Translit"/>
      </w:pPr>
      <w:r w:rsidRPr="008F03E5">
        <w:t>Amatu’l-Baha</w:t>
      </w:r>
      <w:r w:rsidRPr="008F03E5">
        <w:tab/>
        <w:t>Amatu’l-Bahá</w:t>
      </w:r>
      <w:r w:rsidRPr="008F03E5">
        <w:tab/>
        <w:t xml:space="preserve">Hand of the Cause of God, Amatu’l-Bahá Rúḥíyyih </w:t>
      </w:r>
      <w:r w:rsidRPr="008F03E5">
        <w:rPr>
          <w:u w:val="single"/>
        </w:rPr>
        <w:t>Kh</w:t>
      </w:r>
      <w:r w:rsidRPr="008F03E5">
        <w:t>ánum Rabbani (née Mary Sutherland Maxwell) (1910–2000).  [“It was Amatu’l-Bahá’s preference that Rabbani not be” transcripted.  Letter from her Literary Executors, 9 Jan. 2007 to M.W.T.]  Her names mean “The Handmaiden of the Glory”, “Spiritual” and “Lady” respectively.</w:t>
      </w:r>
    </w:p>
    <w:p w14:paraId="125DD51A" w14:textId="77777777" w:rsidR="00625A5B" w:rsidRPr="008F03E5" w:rsidRDefault="00625A5B" w:rsidP="00C875EE">
      <w:pPr>
        <w:pStyle w:val="Translit"/>
      </w:pPr>
      <w:r w:rsidRPr="008F03E5">
        <w:t>Amatu’l-Haqq</w:t>
      </w:r>
      <w:r w:rsidRPr="008F03E5">
        <w:tab/>
      </w:r>
      <w:r w:rsidRPr="008F03E5">
        <w:rPr>
          <w:lang w:eastAsia="en-US"/>
        </w:rPr>
        <w:t>Amatu’l-</w:t>
      </w:r>
      <w:r w:rsidRPr="008F03E5">
        <w:t>Ḥ</w:t>
      </w:r>
      <w:r w:rsidRPr="008F03E5">
        <w:rPr>
          <w:lang w:eastAsia="en-US"/>
        </w:rPr>
        <w:t>aqq</w:t>
      </w:r>
      <w:r w:rsidRPr="008F03E5">
        <w:rPr>
          <w:lang w:eastAsia="en-US"/>
        </w:rPr>
        <w:tab/>
        <w:t xml:space="preserve">“Maidservant of Truth (or God)”.  Title given by ‘Abdu’l-Bahá to </w:t>
      </w:r>
      <w:r w:rsidRPr="008F03E5">
        <w:t>Núríyyih, the first wife of Varqá.</w:t>
      </w:r>
    </w:p>
    <w:p w14:paraId="34C508D5" w14:textId="77777777" w:rsidR="00625A5B" w:rsidRPr="008F03E5" w:rsidRDefault="00625A5B" w:rsidP="007E24DB">
      <w:pPr>
        <w:pStyle w:val="Translit"/>
      </w:pPr>
      <w:r w:rsidRPr="008F03E5">
        <w:t>Amatu’llah</w:t>
      </w:r>
      <w:r w:rsidRPr="008F03E5">
        <w:tab/>
        <w:t>Amatu’lláh</w:t>
      </w:r>
      <w:r w:rsidRPr="008F03E5">
        <w:tab/>
        <w:t>Handmaiden of God</w:t>
      </w:r>
    </w:p>
    <w:p w14:paraId="05F0AAAD" w14:textId="77777777" w:rsidR="00625A5B" w:rsidRPr="008F03E5" w:rsidRDefault="00625A5B" w:rsidP="00F87A63">
      <w:pPr>
        <w:pStyle w:val="Translit"/>
      </w:pPr>
      <w:r w:rsidRPr="008F03E5">
        <w:t>Amid, ‘Umada</w:t>
      </w:r>
      <w:r w:rsidRPr="008F03E5">
        <w:tab/>
        <w:t>‘Amíd, pl. ‘Umadá’</w:t>
      </w:r>
      <w:r w:rsidRPr="008F03E5">
        <w:tab/>
        <w:t>support; head, chief; dean (of a faculty); principal, headmaster, director (of a secondary school); doyen, dean (as, of a diplomatic corps; high commissioner</w:t>
      </w:r>
    </w:p>
    <w:p w14:paraId="7CD05369" w14:textId="77777777" w:rsidR="00625A5B" w:rsidRPr="008F03E5" w:rsidRDefault="00625A5B" w:rsidP="00C86489">
      <w:pPr>
        <w:pStyle w:val="Translit"/>
      </w:pPr>
      <w:r w:rsidRPr="00C86489">
        <w:t>Amil az-Zakah, ‘Ummal az-Zakah</w:t>
      </w:r>
      <w:r w:rsidRPr="00C86489">
        <w:tab/>
        <w:t>‘Ámil a</w:t>
      </w:r>
      <w:r>
        <w:t>z</w:t>
      </w:r>
      <w:r w:rsidRPr="00C86489">
        <w:t xml:space="preserve">-Zakáh, pl. </w:t>
      </w:r>
      <w:r w:rsidRPr="008F03E5">
        <w:t>‘Ummál a</w:t>
      </w:r>
      <w:r>
        <w:t>z</w:t>
      </w:r>
      <w:r w:rsidRPr="008F03E5">
        <w:t>-Zakáh</w:t>
      </w:r>
      <w:r w:rsidRPr="008F03E5">
        <w:tab/>
        <w:t>to give alms or almsgiver (incorrect:  ‘ummál-i-</w:t>
      </w:r>
      <w:r w:rsidRPr="008F03E5">
        <w:rPr>
          <w:u w:val="single"/>
        </w:rPr>
        <w:t>dh</w:t>
      </w:r>
      <w:r w:rsidRPr="008F03E5">
        <w:t xml:space="preserve">akát in </w:t>
      </w:r>
      <w:r w:rsidRPr="008F03E5">
        <w:rPr>
          <w:sz w:val="16"/>
          <w:szCs w:val="16"/>
        </w:rPr>
        <w:t>PDC</w:t>
      </w:r>
      <w:r w:rsidRPr="008F03E5">
        <w:t xml:space="preserve"> p. 92).  Pers. ‘Ámil-i-Zakáh, pl. ‘Ummál-i-Zakáh.</w:t>
      </w:r>
    </w:p>
    <w:p w14:paraId="5F1CD58F" w14:textId="77777777" w:rsidR="00625A5B" w:rsidRDefault="00625A5B" w:rsidP="00F87A63">
      <w:pPr>
        <w:pStyle w:val="Translit"/>
      </w:pPr>
      <w:r w:rsidRPr="00E26893">
        <w:t>Amil, Awamil, Ummal</w:t>
      </w:r>
      <w:r w:rsidRPr="00E26893">
        <w:tab/>
        <w:t xml:space="preserve">‘Ámil, pl. </w:t>
      </w:r>
      <w:r w:rsidRPr="008F03E5">
        <w:t>‘Awámil, ‘Ummál</w:t>
      </w:r>
      <w:r w:rsidRPr="008F03E5">
        <w:tab/>
        <w:t>active; effective;—(pl. ‘awámil) factor, constituent, element, (causative) agent, motive power; word governing another in syntactical regimen, regent (grammar);—(pl. ‘ummál) maker, producer, manufacturer; doer, perpetrator, author; worker, workman, working man, labourer; wage earner, employee; governor.</w:t>
      </w:r>
    </w:p>
    <w:p w14:paraId="7039B6DF" w14:textId="77777777" w:rsidR="00625A5B" w:rsidRPr="000135E1" w:rsidRDefault="00625A5B" w:rsidP="002849EE">
      <w:pPr>
        <w:pStyle w:val="Translit"/>
        <w:rPr>
          <w:lang w:val="en-AU"/>
        </w:rPr>
      </w:pPr>
      <w:r w:rsidRPr="000135E1">
        <w:rPr>
          <w:lang w:val="en-AU"/>
        </w:rPr>
        <w:t>Amili</w:t>
      </w:r>
      <w:r w:rsidRPr="000135E1">
        <w:rPr>
          <w:lang w:val="en-AU"/>
        </w:rPr>
        <w:tab/>
        <w:t>‘Ámilí</w:t>
      </w:r>
      <w:r w:rsidRPr="000135E1">
        <w:rPr>
          <w:lang w:val="en-AU"/>
        </w:rPr>
        <w:tab/>
        <w:t>an agent</w:t>
      </w:r>
    </w:p>
    <w:p w14:paraId="712986BD" w14:textId="77777777" w:rsidR="00625A5B" w:rsidRPr="008F03E5" w:rsidRDefault="00625A5B" w:rsidP="00F87A63">
      <w:pPr>
        <w:pStyle w:val="Translit"/>
      </w:pPr>
      <w:r w:rsidRPr="000135E1">
        <w:rPr>
          <w:lang w:val="en-AU"/>
        </w:rPr>
        <w:t>Amin, Amina</w:t>
      </w:r>
      <w:r w:rsidRPr="000135E1">
        <w:rPr>
          <w:lang w:val="en-AU"/>
        </w:rPr>
        <w:tab/>
        <w:t xml:space="preserve">Ámin, fem. </w:t>
      </w:r>
      <w:r w:rsidRPr="008F03E5">
        <w:t>Ámina[h]</w:t>
      </w:r>
      <w:r w:rsidRPr="008F03E5">
        <w:tab/>
        <w:t xml:space="preserve">peaceful.  Áminah bint Wahb, mother of Muḥammad; died </w:t>
      </w:r>
      <w:r w:rsidRPr="008F03E5">
        <w:rPr>
          <w:sz w:val="16"/>
          <w:szCs w:val="16"/>
        </w:rPr>
        <w:t>CE</w:t>
      </w:r>
      <w:r w:rsidRPr="008F03E5">
        <w:t xml:space="preserve"> 577 in the village of al-Abwá’.</w:t>
      </w:r>
    </w:p>
    <w:p w14:paraId="6122F8EB" w14:textId="77777777" w:rsidR="00625A5B" w:rsidRPr="008F03E5" w:rsidRDefault="00625A5B" w:rsidP="004D3FA0">
      <w:pPr>
        <w:pStyle w:val="Translit"/>
      </w:pPr>
      <w:r w:rsidRPr="008F03E5">
        <w:t>Amin, Umana</w:t>
      </w:r>
      <w:r w:rsidRPr="008F03E5">
        <w:tab/>
        <w:t>Amín, pl. Umaná’</w:t>
      </w:r>
      <w:r w:rsidRPr="008F03E5">
        <w:tab/>
        <w:t>reliable, trustworthy, loyal, faithful, upright, honest; safe, secure; authorized representative or agent; trustee; guarantor (of); chief, head; superintendent, curator, custodian, guardian, keeper; chamberlain; master of a guild</w:t>
      </w:r>
      <w:r>
        <w:t>.</w:t>
      </w:r>
      <w:r w:rsidRPr="008F03E5">
        <w:t xml:space="preserve"> </w:t>
      </w:r>
      <w:r>
        <w:t xml:space="preserve"> </w:t>
      </w:r>
      <w:r w:rsidRPr="008F03E5">
        <w:t>Superlative form of amuna or amána (to be faithful, reliable, trustworthy).  Turkish Emin.</w:t>
      </w:r>
    </w:p>
    <w:p w14:paraId="15B43DBE" w14:textId="77777777" w:rsidR="00625A5B" w:rsidRPr="008F03E5" w:rsidRDefault="00625A5B" w:rsidP="00F87A63">
      <w:pPr>
        <w:pStyle w:val="Translit"/>
      </w:pPr>
      <w:r w:rsidRPr="008F03E5">
        <w:rPr>
          <w:rFonts w:eastAsia="PMingLiU"/>
          <w:lang w:eastAsia="zh-TW"/>
        </w:rPr>
        <w:t>Amini</w:t>
      </w:r>
      <w:r w:rsidRPr="008F03E5">
        <w:tab/>
      </w:r>
      <w:r w:rsidRPr="008F03E5">
        <w:rPr>
          <w:rFonts w:eastAsia="PMingLiU"/>
          <w:lang w:eastAsia="zh-TW"/>
        </w:rPr>
        <w:t>Amíní</w:t>
      </w:r>
      <w:r w:rsidRPr="008F03E5">
        <w:tab/>
        <w:t>Persian name.  Office of amín; trust, guardianship, custody; security; commission, deputation; secure, safe.</w:t>
      </w:r>
    </w:p>
    <w:p w14:paraId="3EB16ADB" w14:textId="77777777" w:rsidR="00625A5B" w:rsidRPr="008F03E5" w:rsidRDefault="00625A5B" w:rsidP="00F87A63">
      <w:pPr>
        <w:pStyle w:val="Translit"/>
      </w:pPr>
      <w:r w:rsidRPr="008F03E5">
        <w:t>Amin-i-Halabi</w:t>
      </w:r>
      <w:r w:rsidRPr="008F03E5">
        <w:tab/>
        <w:t xml:space="preserve">Amín-i-Ḥalabí, </w:t>
      </w:r>
      <w:r w:rsidRPr="008F03E5">
        <w:rPr>
          <w:u w:val="single"/>
        </w:rPr>
        <w:t>Sh</w:t>
      </w:r>
      <w:r w:rsidRPr="008F03E5">
        <w:t>ay</w:t>
      </w:r>
      <w:r w:rsidRPr="008F03E5">
        <w:rPr>
          <w:u w:val="single"/>
        </w:rPr>
        <w:t>kh</w:t>
      </w:r>
      <w:r w:rsidRPr="008F03E5">
        <w:tab/>
        <w:t>[Amín Ḥalabí]</w:t>
      </w:r>
    </w:p>
    <w:p w14:paraId="375D1C51" w14:textId="77777777" w:rsidR="00625A5B" w:rsidRPr="008F03E5" w:rsidRDefault="00625A5B" w:rsidP="00F87A63">
      <w:pPr>
        <w:pStyle w:val="Translit"/>
      </w:pPr>
      <w:r w:rsidRPr="008F03E5">
        <w:t>Amin-i-Ilahi</w:t>
      </w:r>
      <w:r w:rsidRPr="008F03E5">
        <w:tab/>
        <w:t>Amín-i-Iláhí</w:t>
      </w:r>
      <w:r w:rsidRPr="008F03E5">
        <w:tab/>
        <w:t xml:space="preserve">Trusted of God.  See </w:t>
      </w:r>
      <w:r w:rsidRPr="008F03E5">
        <w:rPr>
          <w:rFonts w:eastAsia="PMingLiU"/>
          <w:lang w:eastAsia="zh-TW"/>
        </w:rPr>
        <w:t>Ardak</w:t>
      </w:r>
      <w:r w:rsidRPr="008F03E5">
        <w:t>á</w:t>
      </w:r>
      <w:r w:rsidRPr="008F03E5">
        <w:rPr>
          <w:rFonts w:eastAsia="PMingLiU"/>
          <w:lang w:eastAsia="zh-TW"/>
        </w:rPr>
        <w:t>ní.</w:t>
      </w:r>
    </w:p>
    <w:p w14:paraId="0A141137" w14:textId="77777777" w:rsidR="00625A5B" w:rsidRPr="008F03E5" w:rsidRDefault="00625A5B" w:rsidP="009A5AAA">
      <w:pPr>
        <w:pStyle w:val="Translit"/>
      </w:pPr>
      <w:r w:rsidRPr="008F03E5">
        <w:t>Aminu’d-Dawl</w:t>
      </w:r>
      <w:r>
        <w:t>a</w:t>
      </w:r>
      <w:r w:rsidRPr="008F03E5">
        <w:t>h</w:t>
      </w:r>
      <w:r w:rsidRPr="008F03E5">
        <w:tab/>
        <w:t>Amínu’d-Dawl</w:t>
      </w:r>
      <w:r>
        <w:t>a</w:t>
      </w:r>
      <w:r w:rsidRPr="008F03E5">
        <w:t>h</w:t>
      </w:r>
      <w:r w:rsidRPr="008F03E5">
        <w:tab/>
      </w:r>
      <w:r>
        <w:t>Trusted of the state</w:t>
      </w:r>
    </w:p>
    <w:p w14:paraId="3EE530E4" w14:textId="77777777" w:rsidR="00625A5B" w:rsidRPr="008F03E5" w:rsidRDefault="00625A5B" w:rsidP="00F87A63">
      <w:pPr>
        <w:pStyle w:val="Translit"/>
      </w:pPr>
      <w:r w:rsidRPr="008F03E5">
        <w:t>Aminu’l</w:t>
      </w:r>
      <w:r w:rsidRPr="008F03E5">
        <w:rPr>
          <w:rFonts w:eastAsia="PMingLiU"/>
          <w:lang w:eastAsia="zh-TW"/>
        </w:rPr>
        <w:t>-‘</w:t>
      </w:r>
      <w:r w:rsidRPr="008F03E5">
        <w:t>Ulama</w:t>
      </w:r>
      <w:r>
        <w:t>’</w:t>
      </w:r>
      <w:r w:rsidRPr="008F03E5">
        <w:tab/>
        <w:t>Amínu’l-‘Ulamá</w:t>
      </w:r>
      <w:r>
        <w:t>’</w:t>
      </w:r>
      <w:r w:rsidRPr="008F03E5">
        <w:tab/>
      </w:r>
      <w:r>
        <w:t>trustworthy scholars</w:t>
      </w:r>
    </w:p>
    <w:p w14:paraId="7991605C" w14:textId="77777777" w:rsidR="00625A5B" w:rsidRPr="008F03E5" w:rsidRDefault="00625A5B" w:rsidP="00F87A63">
      <w:pPr>
        <w:pStyle w:val="Translit"/>
      </w:pPr>
      <w:r w:rsidRPr="008F03E5">
        <w:t>Aminu’l-Bayan</w:t>
      </w:r>
      <w:r w:rsidRPr="008F03E5">
        <w:tab/>
        <w:t>Amínu’l-Bayán</w:t>
      </w:r>
      <w:r w:rsidRPr="008F03E5">
        <w:tab/>
        <w:t>“Trusted of the Bayán”</w:t>
      </w:r>
    </w:p>
    <w:p w14:paraId="592A98D7" w14:textId="77777777" w:rsidR="00625A5B" w:rsidRPr="008F03E5" w:rsidRDefault="00625A5B" w:rsidP="00F87A63">
      <w:pPr>
        <w:pStyle w:val="Translit"/>
        <w:rPr>
          <w:rFonts w:eastAsia="PMingLiU"/>
          <w:lang w:eastAsia="zh-TW"/>
        </w:rPr>
      </w:pPr>
      <w:r w:rsidRPr="008F03E5">
        <w:rPr>
          <w:rFonts w:eastAsia="PMingLiU"/>
          <w:lang w:eastAsia="zh-TW"/>
        </w:rPr>
        <w:t>Aminu’llah</w:t>
      </w:r>
      <w:r w:rsidRPr="008F03E5">
        <w:tab/>
      </w:r>
      <w:r w:rsidRPr="008F03E5">
        <w:rPr>
          <w:rFonts w:eastAsia="PMingLiU"/>
          <w:lang w:eastAsia="zh-TW"/>
        </w:rPr>
        <w:t>Amínu’lláh</w:t>
      </w:r>
      <w:r w:rsidRPr="008F03E5">
        <w:tab/>
        <w:t>“Trust of God”</w:t>
      </w:r>
    </w:p>
    <w:p w14:paraId="52364DD7" w14:textId="77777777" w:rsidR="00625A5B" w:rsidRPr="00077779" w:rsidRDefault="00625A5B" w:rsidP="00F87A63">
      <w:pPr>
        <w:pStyle w:val="Translit"/>
        <w:rPr>
          <w:lang w:val="es-ES_tradnl"/>
        </w:rPr>
      </w:pPr>
      <w:r w:rsidRPr="00077779">
        <w:rPr>
          <w:lang w:val="es-ES_tradnl"/>
        </w:rPr>
        <w:t>Aminu’s-Sultan</w:t>
      </w:r>
      <w:r w:rsidRPr="00077779">
        <w:rPr>
          <w:lang w:val="es-ES_tradnl"/>
        </w:rPr>
        <w:tab/>
        <w:t>Amínu’s-Sulṭán</w:t>
      </w:r>
      <w:r w:rsidRPr="00077779">
        <w:rPr>
          <w:lang w:val="es-ES_tradnl"/>
        </w:rPr>
        <w:tab/>
        <w:t>(</w:t>
      </w:r>
      <w:r w:rsidRPr="00077779">
        <w:rPr>
          <w:sz w:val="16"/>
          <w:szCs w:val="16"/>
          <w:lang w:val="es-ES_tradnl"/>
        </w:rPr>
        <w:t>MF</w:t>
      </w:r>
      <w:r w:rsidRPr="00077779">
        <w:rPr>
          <w:lang w:val="es-ES_tradnl"/>
        </w:rPr>
        <w:t>)</w:t>
      </w:r>
    </w:p>
    <w:p w14:paraId="085513DD" w14:textId="77777777" w:rsidR="00625A5B" w:rsidRPr="008F03E5" w:rsidRDefault="00625A5B" w:rsidP="00F87A63">
      <w:pPr>
        <w:pStyle w:val="Translit"/>
      </w:pPr>
      <w:r w:rsidRPr="008F03E5">
        <w:t>Amir al-Mu’minin</w:t>
      </w:r>
      <w:r w:rsidRPr="008F03E5">
        <w:tab/>
        <w:t>Amír al-Mu’minín</w:t>
      </w:r>
      <w:r w:rsidRPr="008F03E5">
        <w:tab/>
        <w:t>Commander of the Faithful, Caliph.  Sunnis believe the first to hold the title was ‘Umar ibn al-</w:t>
      </w:r>
      <w:r w:rsidRPr="008F03E5">
        <w:rPr>
          <w:u w:val="single"/>
        </w:rPr>
        <w:t>Kh</w:t>
      </w:r>
      <w:r w:rsidRPr="008F03E5">
        <w:t xml:space="preserve">aṭṭáb, and </w:t>
      </w:r>
      <w:r w:rsidRPr="008F03E5">
        <w:rPr>
          <w:u w:val="single"/>
        </w:rPr>
        <w:t>Sh</w:t>
      </w:r>
      <w:r w:rsidRPr="008F03E5">
        <w:t>í‘i believe the title applies exclusively to ‘Imám ‘Alí.</w:t>
      </w:r>
    </w:p>
    <w:p w14:paraId="42E7C832" w14:textId="77777777" w:rsidR="00625A5B" w:rsidRPr="008F03E5" w:rsidRDefault="00625A5B" w:rsidP="00740633">
      <w:pPr>
        <w:pStyle w:val="Translit"/>
      </w:pPr>
      <w:r w:rsidRPr="008F03E5">
        <w:t>Amir Rud (Amirud)</w:t>
      </w:r>
      <w:r w:rsidRPr="008F03E5">
        <w:tab/>
        <w:t>Amír Rúd</w:t>
      </w:r>
      <w:r w:rsidRPr="008F03E5">
        <w:tab/>
        <w:t>Pers. a village (36.633470, 51.567460) on the Caspian Sea coast, Mazandaran Province.  It is named after the river to its east.</w:t>
      </w:r>
    </w:p>
    <w:p w14:paraId="50F807DF" w14:textId="77777777" w:rsidR="00625A5B" w:rsidRDefault="00625A5B" w:rsidP="000628E3">
      <w:pPr>
        <w:pStyle w:val="Translit"/>
      </w:pPr>
      <w:r>
        <w:t>Amir Tuman</w:t>
      </w:r>
      <w:r>
        <w:tab/>
        <w:t>Am</w:t>
      </w:r>
      <w:r w:rsidRPr="000628E3">
        <w:t>í</w:t>
      </w:r>
      <w:r>
        <w:t>r T</w:t>
      </w:r>
      <w:r w:rsidRPr="000628E3">
        <w:t>ú</w:t>
      </w:r>
      <w:r>
        <w:t>m</w:t>
      </w:r>
      <w:r w:rsidRPr="000628E3">
        <w:t>á</w:t>
      </w:r>
      <w:r>
        <w:t>n</w:t>
      </w:r>
      <w:r>
        <w:tab/>
        <w:t>military commander of 10,000 men</w:t>
      </w:r>
    </w:p>
    <w:p w14:paraId="5652CA74" w14:textId="77777777" w:rsidR="00625A5B" w:rsidRPr="008F03E5" w:rsidRDefault="00625A5B" w:rsidP="003B6441">
      <w:pPr>
        <w:pStyle w:val="Translit"/>
      </w:pPr>
      <w:r w:rsidRPr="008F03E5">
        <w:t>Amir</w:t>
      </w:r>
      <w:r w:rsidRPr="008F03E5">
        <w:tab/>
        <w:t>Ámir</w:t>
      </w:r>
      <w:r w:rsidRPr="008F03E5">
        <w:tab/>
        <w:t>commander; lord, master; orderer, purchaser, customer, client</w:t>
      </w:r>
    </w:p>
    <w:p w14:paraId="412DB92E" w14:textId="77777777" w:rsidR="00625A5B" w:rsidRPr="008F03E5" w:rsidRDefault="00625A5B" w:rsidP="00F87A63">
      <w:pPr>
        <w:pStyle w:val="Translit"/>
      </w:pPr>
      <w:r w:rsidRPr="008F03E5">
        <w:t>Amir, ‘Amira</w:t>
      </w:r>
      <w:r w:rsidRPr="008F03E5">
        <w:tab/>
        <w:t>‘Ámir, fem. ‘Ámira[t]</w:t>
      </w:r>
      <w:r w:rsidRPr="008F03E5">
        <w:tab/>
        <w:t>inhabited; peopled, populated, populous; full, filled, filled up; jammed, crowded, filled to capacity (with); amply provided, splendidly furnished; civilized; cultivated (land); flourishing, thriving, prosperous</w:t>
      </w:r>
    </w:p>
    <w:p w14:paraId="1225E8EA" w14:textId="77777777" w:rsidR="00625A5B" w:rsidRPr="008F03E5" w:rsidRDefault="00625A5B" w:rsidP="00F87A63">
      <w:pPr>
        <w:pStyle w:val="Translit"/>
      </w:pPr>
      <w:r w:rsidRPr="008F03E5">
        <w:t>Amir, Umara, Amirat</w:t>
      </w:r>
      <w:r w:rsidRPr="008F03E5">
        <w:tab/>
        <w:t>Amír, pl. Umará’, pl. fem. Amírát</w:t>
      </w:r>
      <w:r w:rsidRPr="008F03E5">
        <w:tab/>
        <w:t>commander, governor, lord; prince, emir; title of princes of a ruling house; tribal chief.</w:t>
      </w:r>
    </w:p>
    <w:p w14:paraId="53650C42" w14:textId="77777777" w:rsidR="00625A5B" w:rsidRPr="008F03E5" w:rsidRDefault="00625A5B" w:rsidP="00F87A63">
      <w:pPr>
        <w:pStyle w:val="Translit"/>
      </w:pPr>
      <w:r w:rsidRPr="008F03E5">
        <w:t>Amira’l-Mu’minin</w:t>
      </w:r>
      <w:r w:rsidRPr="008F03E5">
        <w:tab/>
        <w:t>Amíra’l-Mu’minín</w:t>
      </w:r>
      <w:r w:rsidRPr="008F03E5">
        <w:tab/>
        <w:t>Commander of the Faithful</w:t>
      </w:r>
    </w:p>
    <w:p w14:paraId="6694231B" w14:textId="77777777" w:rsidR="00625A5B" w:rsidRPr="0057467F" w:rsidRDefault="00625A5B" w:rsidP="00F14ACD">
      <w:pPr>
        <w:pStyle w:val="Translit"/>
      </w:pPr>
      <w:r w:rsidRPr="008F03E5">
        <w:rPr>
          <w:rFonts w:eastAsia="PMingLiU"/>
          <w:lang w:eastAsia="zh-TW"/>
        </w:rPr>
        <w:t>Am</w:t>
      </w:r>
      <w:r w:rsidRPr="008F03E5">
        <w:t>i</w:t>
      </w:r>
      <w:r w:rsidRPr="008F03E5">
        <w:rPr>
          <w:rFonts w:eastAsia="PMingLiU"/>
          <w:lang w:eastAsia="zh-TW"/>
        </w:rPr>
        <w:t>r-Div</w:t>
      </w:r>
      <w:r w:rsidRPr="008F03E5">
        <w:t>a</w:t>
      </w:r>
      <w:r w:rsidRPr="008F03E5">
        <w:rPr>
          <w:rFonts w:eastAsia="PMingLiU"/>
          <w:lang w:eastAsia="zh-TW"/>
        </w:rPr>
        <w:t>n</w:t>
      </w:r>
      <w:r w:rsidRPr="008F03E5">
        <w:tab/>
      </w:r>
      <w:r w:rsidRPr="008F03E5">
        <w:rPr>
          <w:rFonts w:eastAsia="PMingLiU"/>
          <w:lang w:eastAsia="zh-TW"/>
        </w:rPr>
        <w:t>Am</w:t>
      </w:r>
      <w:r w:rsidRPr="008F03E5">
        <w:t>í</w:t>
      </w:r>
      <w:r w:rsidRPr="008F03E5">
        <w:rPr>
          <w:rFonts w:eastAsia="PMingLiU"/>
          <w:lang w:eastAsia="zh-TW"/>
        </w:rPr>
        <w:t>r-D</w:t>
      </w:r>
      <w:r w:rsidRPr="008F03E5">
        <w:t>í</w:t>
      </w:r>
      <w:r w:rsidRPr="008F03E5">
        <w:rPr>
          <w:rFonts w:eastAsia="PMingLiU"/>
          <w:lang w:eastAsia="zh-TW"/>
        </w:rPr>
        <w:t>v</w:t>
      </w:r>
      <w:r w:rsidRPr="008F03E5">
        <w:t>á</w:t>
      </w:r>
      <w:r w:rsidRPr="008F03E5">
        <w:rPr>
          <w:rFonts w:eastAsia="PMingLiU"/>
          <w:lang w:eastAsia="zh-TW"/>
        </w:rPr>
        <w:t>n</w:t>
      </w:r>
      <w:r w:rsidRPr="008F03E5">
        <w:tab/>
      </w:r>
      <w:r>
        <w:t>position of authority.  al-</w:t>
      </w:r>
      <w:r w:rsidRPr="008F03E5">
        <w:rPr>
          <w:rFonts w:eastAsia="PMingLiU"/>
          <w:lang w:eastAsia="zh-TW"/>
        </w:rPr>
        <w:t>Am</w:t>
      </w:r>
      <w:r w:rsidRPr="008F03E5">
        <w:t>í</w:t>
      </w:r>
      <w:r w:rsidRPr="008F03E5">
        <w:rPr>
          <w:rFonts w:eastAsia="PMingLiU"/>
          <w:lang w:eastAsia="zh-TW"/>
        </w:rPr>
        <w:t>r</w:t>
      </w:r>
      <w:r>
        <w:rPr>
          <w:rFonts w:eastAsia="PMingLiU"/>
          <w:lang w:eastAsia="zh-TW"/>
        </w:rPr>
        <w:t>í ad-</w:t>
      </w:r>
      <w:r w:rsidRPr="008F03E5">
        <w:rPr>
          <w:rFonts w:eastAsia="PMingLiU"/>
          <w:lang w:eastAsia="zh-TW"/>
        </w:rPr>
        <w:t>D</w:t>
      </w:r>
      <w:r w:rsidRPr="008F03E5">
        <w:t>í</w:t>
      </w:r>
      <w:r w:rsidRPr="008F03E5">
        <w:rPr>
          <w:rFonts w:eastAsia="PMingLiU"/>
          <w:lang w:eastAsia="zh-TW"/>
        </w:rPr>
        <w:t>v</w:t>
      </w:r>
      <w:r w:rsidRPr="008F03E5">
        <w:t>á</w:t>
      </w:r>
      <w:r w:rsidRPr="008F03E5">
        <w:rPr>
          <w:rFonts w:eastAsia="PMingLiU"/>
          <w:lang w:eastAsia="zh-TW"/>
        </w:rPr>
        <w:t>n</w:t>
      </w:r>
      <w:r w:rsidRPr="0057467F">
        <w:t xml:space="preserve"> </w:t>
      </w:r>
      <w:r>
        <w:t xml:space="preserve">is the </w:t>
      </w:r>
      <w:r w:rsidRPr="0057467F">
        <w:t xml:space="preserve">sovereign body and administrative office of </w:t>
      </w:r>
      <w:r>
        <w:t>an</w:t>
      </w:r>
      <w:r w:rsidRPr="0057467F">
        <w:t xml:space="preserve"> Am</w:t>
      </w:r>
      <w:r w:rsidRPr="00F14ACD">
        <w:t>í</w:t>
      </w:r>
      <w:r w:rsidRPr="0057467F">
        <w:t>r</w:t>
      </w:r>
    </w:p>
    <w:p w14:paraId="5C13A88F" w14:textId="77777777" w:rsidR="00625A5B" w:rsidRPr="008F03E5" w:rsidRDefault="00625A5B" w:rsidP="00F87A63">
      <w:pPr>
        <w:pStyle w:val="Translit"/>
        <w:rPr>
          <w:rFonts w:eastAsia="PMingLiU"/>
          <w:lang w:eastAsia="zh-TW"/>
        </w:rPr>
      </w:pPr>
      <w:r w:rsidRPr="008F03E5">
        <w:rPr>
          <w:rFonts w:eastAsia="PMingLiU"/>
          <w:lang w:eastAsia="zh-TW"/>
        </w:rPr>
        <w:t>Am</w:t>
      </w:r>
      <w:r w:rsidRPr="008F03E5">
        <w:t>i</w:t>
      </w:r>
      <w:r w:rsidRPr="008F03E5">
        <w:rPr>
          <w:rFonts w:eastAsia="PMingLiU"/>
          <w:lang w:eastAsia="zh-TW"/>
        </w:rPr>
        <w:t>r-i-Kab</w:t>
      </w:r>
      <w:r w:rsidRPr="008F03E5">
        <w:t>i</w:t>
      </w:r>
      <w:r w:rsidRPr="008F03E5">
        <w:rPr>
          <w:rFonts w:eastAsia="PMingLiU"/>
          <w:lang w:eastAsia="zh-TW"/>
        </w:rPr>
        <w:t>r</w:t>
      </w:r>
      <w:r w:rsidRPr="008F03E5">
        <w:tab/>
      </w:r>
      <w:r w:rsidRPr="008F03E5">
        <w:rPr>
          <w:rFonts w:eastAsia="PMingLiU"/>
          <w:lang w:eastAsia="zh-TW"/>
        </w:rPr>
        <w:t>Am</w:t>
      </w:r>
      <w:r w:rsidRPr="008F03E5">
        <w:t>í</w:t>
      </w:r>
      <w:r w:rsidRPr="008F03E5">
        <w:rPr>
          <w:rFonts w:eastAsia="PMingLiU"/>
          <w:lang w:eastAsia="zh-TW"/>
        </w:rPr>
        <w:t>r-i-Kab</w:t>
      </w:r>
      <w:r w:rsidRPr="008F03E5">
        <w:t>í</w:t>
      </w:r>
      <w:r w:rsidRPr="008F03E5">
        <w:rPr>
          <w:rFonts w:eastAsia="PMingLiU"/>
          <w:lang w:eastAsia="zh-TW"/>
        </w:rPr>
        <w:t>r</w:t>
      </w:r>
      <w:r w:rsidRPr="008F03E5">
        <w:tab/>
        <w:t>Great Prince</w:t>
      </w:r>
    </w:p>
    <w:p w14:paraId="79366969" w14:textId="77777777" w:rsidR="00625A5B" w:rsidRPr="008F03E5" w:rsidRDefault="00625A5B" w:rsidP="00F87A63">
      <w:pPr>
        <w:pStyle w:val="Translit"/>
      </w:pPr>
      <w:r w:rsidRPr="008F03E5">
        <w:t>Amir-Nizam</w:t>
      </w:r>
      <w:r w:rsidRPr="008F03E5">
        <w:tab/>
        <w:t>Amír-Niẓám</w:t>
      </w:r>
      <w:r w:rsidRPr="008F03E5">
        <w:tab/>
        <w:t xml:space="preserve">Grand Vizir or </w:t>
      </w:r>
      <w:r w:rsidRPr="008F03E5">
        <w:rPr>
          <w:lang w:eastAsia="en-US"/>
        </w:rPr>
        <w:t>General of the Army</w:t>
      </w:r>
    </w:p>
    <w:p w14:paraId="3776DDD3" w14:textId="77777777" w:rsidR="00625A5B" w:rsidRPr="008F03E5" w:rsidRDefault="00625A5B" w:rsidP="00F87A63">
      <w:pPr>
        <w:pStyle w:val="Translit"/>
      </w:pPr>
      <w:r w:rsidRPr="008F03E5">
        <w:rPr>
          <w:lang w:eastAsia="en-US"/>
        </w:rPr>
        <w:t>Amiru’l-Kuttab</w:t>
      </w:r>
      <w:r w:rsidRPr="008F03E5">
        <w:rPr>
          <w:lang w:eastAsia="en-US"/>
        </w:rPr>
        <w:tab/>
        <w:t>Amíru’l-Kuttáb</w:t>
      </w:r>
      <w:r w:rsidRPr="008F03E5">
        <w:rPr>
          <w:lang w:eastAsia="en-US"/>
        </w:rPr>
        <w:tab/>
        <w:t>Prince of Calligraphers</w:t>
      </w:r>
    </w:p>
    <w:p w14:paraId="6628CB15" w14:textId="77777777" w:rsidR="00625A5B" w:rsidRPr="008F03E5" w:rsidRDefault="00625A5B" w:rsidP="00F87A63">
      <w:pPr>
        <w:pStyle w:val="Translit"/>
      </w:pPr>
      <w:r w:rsidRPr="008F03E5">
        <w:t>Amiru’sh-Shu’ara’</w:t>
      </w:r>
      <w:r w:rsidRPr="008F03E5">
        <w:tab/>
        <w:t>Amíru’</w:t>
      </w:r>
      <w:r w:rsidRPr="008F03E5">
        <w:rPr>
          <w:u w:val="single"/>
        </w:rPr>
        <w:t>sh</w:t>
      </w:r>
      <w:r w:rsidRPr="008F03E5">
        <w:t>-</w:t>
      </w:r>
      <w:r w:rsidRPr="008F03E5">
        <w:rPr>
          <w:u w:val="single"/>
        </w:rPr>
        <w:t>Sh</w:t>
      </w:r>
      <w:r w:rsidRPr="008F03E5">
        <w:t>u‘ará’</w:t>
      </w:r>
      <w:r w:rsidRPr="008F03E5">
        <w:tab/>
        <w:t xml:space="preserve">(The Emir of Poets) (sing. </w:t>
      </w:r>
      <w:r w:rsidRPr="008F03E5">
        <w:rPr>
          <w:u w:val="single"/>
        </w:rPr>
        <w:t>sh</w:t>
      </w:r>
      <w:r w:rsidRPr="008F03E5">
        <w:t>á‘ir)</w:t>
      </w:r>
    </w:p>
    <w:p w14:paraId="4603BFE4" w14:textId="77777777" w:rsidR="00625A5B" w:rsidRPr="008F03E5" w:rsidRDefault="00625A5B" w:rsidP="00086320">
      <w:pPr>
        <w:pStyle w:val="Translit"/>
        <w:rPr>
          <w:rFonts w:eastAsia="PMingLiU"/>
          <w:lang w:eastAsia="zh-TW"/>
        </w:rPr>
      </w:pPr>
      <w:r w:rsidRPr="008F03E5">
        <w:rPr>
          <w:rFonts w:eastAsia="PMingLiU"/>
          <w:lang w:eastAsia="zh-TW"/>
        </w:rPr>
        <w:t>Am</w:t>
      </w:r>
      <w:r w:rsidRPr="008F03E5">
        <w:t>i</w:t>
      </w:r>
      <w:r w:rsidRPr="008F03E5">
        <w:rPr>
          <w:rFonts w:eastAsia="PMingLiU"/>
          <w:lang w:eastAsia="zh-TW"/>
        </w:rPr>
        <w:t>r-Z</w:t>
      </w:r>
      <w:r w:rsidRPr="008F03E5">
        <w:t>a</w:t>
      </w:r>
      <w:r w:rsidRPr="008F03E5">
        <w:rPr>
          <w:rFonts w:eastAsia="PMingLiU"/>
          <w:lang w:eastAsia="zh-TW"/>
        </w:rPr>
        <w:t>da (Am</w:t>
      </w:r>
      <w:r w:rsidRPr="008F03E5">
        <w:t>i</w:t>
      </w:r>
      <w:r w:rsidRPr="008F03E5">
        <w:rPr>
          <w:rFonts w:eastAsia="PMingLiU"/>
          <w:lang w:eastAsia="zh-TW"/>
        </w:rPr>
        <w:t>r-Z</w:t>
      </w:r>
      <w:r w:rsidRPr="008F03E5">
        <w:t>a</w:t>
      </w:r>
      <w:r w:rsidRPr="008F03E5">
        <w:rPr>
          <w:rFonts w:eastAsia="PMingLiU"/>
          <w:lang w:eastAsia="zh-TW"/>
        </w:rPr>
        <w:t>dih)</w:t>
      </w:r>
      <w:r w:rsidRPr="008F03E5">
        <w:tab/>
      </w:r>
      <w:r w:rsidRPr="008F03E5">
        <w:rPr>
          <w:rFonts w:eastAsia="PMingLiU"/>
          <w:lang w:eastAsia="zh-TW"/>
        </w:rPr>
        <w:t>Am</w:t>
      </w:r>
      <w:r w:rsidRPr="008F03E5">
        <w:t>í</w:t>
      </w:r>
      <w:r w:rsidRPr="008F03E5">
        <w:rPr>
          <w:rFonts w:eastAsia="PMingLiU"/>
          <w:lang w:eastAsia="zh-TW"/>
        </w:rPr>
        <w:t>r-Z</w:t>
      </w:r>
      <w:r w:rsidRPr="008F03E5">
        <w:t>á</w:t>
      </w:r>
      <w:r w:rsidRPr="008F03E5">
        <w:rPr>
          <w:rFonts w:eastAsia="PMingLiU"/>
          <w:lang w:eastAsia="zh-TW"/>
        </w:rPr>
        <w:t>da or Am</w:t>
      </w:r>
      <w:r w:rsidRPr="008F03E5">
        <w:t>í</w:t>
      </w:r>
      <w:r w:rsidRPr="008F03E5">
        <w:rPr>
          <w:rFonts w:eastAsia="PMingLiU"/>
          <w:lang w:eastAsia="zh-TW"/>
        </w:rPr>
        <w:t>rz</w:t>
      </w:r>
      <w:r w:rsidRPr="008F03E5">
        <w:t>á</w:t>
      </w:r>
      <w:r w:rsidRPr="008F03E5">
        <w:rPr>
          <w:rFonts w:eastAsia="PMingLiU"/>
          <w:lang w:eastAsia="zh-TW"/>
        </w:rPr>
        <w:t>da</w:t>
      </w:r>
      <w:r w:rsidRPr="008F03E5">
        <w:tab/>
        <w:t>Pers. someo</w:t>
      </w:r>
      <w:r w:rsidRPr="008F03E5">
        <w:rPr>
          <w:rFonts w:eastAsia="Times New Roman"/>
        </w:rPr>
        <w:t>ne of noble birth or family; a king’s son, a prince.  S</w:t>
      </w:r>
      <w:r w:rsidRPr="008F03E5">
        <w:t>ee Mírzá.</w:t>
      </w:r>
    </w:p>
    <w:p w14:paraId="18E570D0" w14:textId="77777777" w:rsidR="00625A5B" w:rsidRPr="008F03E5" w:rsidRDefault="00625A5B" w:rsidP="00AB478E">
      <w:pPr>
        <w:pStyle w:val="Translit"/>
        <w:rPr>
          <w:rFonts w:eastAsia="PMingLiU"/>
          <w:lang w:eastAsia="zh-TW"/>
        </w:rPr>
      </w:pPr>
      <w:r w:rsidRPr="008F03E5">
        <w:rPr>
          <w:rFonts w:eastAsia="PMingLiU"/>
          <w:lang w:eastAsia="zh-TW"/>
        </w:rPr>
        <w:t>Amiya, ‘Aman</w:t>
      </w:r>
      <w:r w:rsidRPr="008F03E5">
        <w:rPr>
          <w:rFonts w:eastAsia="PMingLiU"/>
          <w:lang w:eastAsia="zh-TW"/>
        </w:rPr>
        <w:tab/>
        <w:t>‘Amiya (‘Aman)</w:t>
      </w:r>
      <w:r w:rsidRPr="008F03E5">
        <w:rPr>
          <w:rFonts w:eastAsia="PMingLiU"/>
          <w:lang w:eastAsia="zh-TW"/>
        </w:rPr>
        <w:tab/>
        <w:t xml:space="preserve">to be or become blind, lose one’s eyesight; to be blind (to something); to be obscure (to someone); Form </w:t>
      </w:r>
      <w:r w:rsidRPr="008F03E5">
        <w:rPr>
          <w:rFonts w:eastAsia="PMingLiU"/>
          <w:sz w:val="16"/>
          <w:szCs w:val="16"/>
          <w:lang w:eastAsia="zh-TW"/>
        </w:rPr>
        <w:t>II</w:t>
      </w:r>
      <w:r w:rsidRPr="008F03E5">
        <w:rPr>
          <w:rFonts w:eastAsia="PMingLiU"/>
          <w:lang w:eastAsia="zh-TW"/>
        </w:rPr>
        <w:t xml:space="preserve"> to blind, render blind (someone); to blindfold (someone); to obscure, render cryptic, enigmatic or mysterious, mystify (something); Form </w:t>
      </w:r>
      <w:r w:rsidRPr="008F03E5">
        <w:rPr>
          <w:rFonts w:eastAsia="PMingLiU"/>
          <w:sz w:val="16"/>
          <w:szCs w:val="16"/>
          <w:lang w:eastAsia="zh-TW"/>
        </w:rPr>
        <w:t>IV</w:t>
      </w:r>
      <w:r w:rsidRPr="008F03E5">
        <w:rPr>
          <w:rFonts w:eastAsia="PMingLiU"/>
          <w:lang w:eastAsia="zh-TW"/>
        </w:rPr>
        <w:t xml:space="preserve"> to blind, render blind (someone); to blindfold (someone); to make (someone) blind (to a fact); Form </w:t>
      </w:r>
      <w:r w:rsidRPr="008F03E5">
        <w:rPr>
          <w:rFonts w:eastAsia="PMingLiU"/>
          <w:sz w:val="16"/>
          <w:szCs w:val="16"/>
          <w:lang w:eastAsia="zh-TW"/>
        </w:rPr>
        <w:t>V</w:t>
      </w:r>
      <w:r w:rsidRPr="008F03E5">
        <w:rPr>
          <w:rFonts w:eastAsia="PMingLiU"/>
          <w:lang w:eastAsia="zh-TW"/>
        </w:rPr>
        <w:t xml:space="preserve"> to be or become blind, lose one’s eyesight; Form </w:t>
      </w:r>
      <w:r w:rsidRPr="008F03E5">
        <w:rPr>
          <w:rFonts w:eastAsia="PMingLiU"/>
          <w:sz w:val="16"/>
          <w:szCs w:val="16"/>
          <w:lang w:eastAsia="zh-TW"/>
        </w:rPr>
        <w:t>VI</w:t>
      </w:r>
      <w:r w:rsidRPr="008F03E5">
        <w:rPr>
          <w:rFonts w:eastAsia="PMingLiU"/>
          <w:lang w:eastAsia="zh-TW"/>
        </w:rPr>
        <w:t xml:space="preserve"> to shut one’s eyes (on something), pretend not to see </w:t>
      </w:r>
      <w:r w:rsidRPr="008F03E5">
        <w:rPr>
          <w:lang w:eastAsia="zh-TW"/>
        </w:rPr>
        <w:t>(</w:t>
      </w:r>
      <w:r w:rsidRPr="008F03E5">
        <w:t>something</w:t>
      </w:r>
      <w:r w:rsidRPr="008F03E5">
        <w:rPr>
          <w:lang w:eastAsia="zh-TW"/>
        </w:rPr>
        <w:t>); to be blind (to)</w:t>
      </w:r>
      <w:r w:rsidRPr="008F03E5">
        <w:t>.  That is, ‘to become blind, to be obscure’</w:t>
      </w:r>
    </w:p>
    <w:p w14:paraId="35258D04" w14:textId="77777777" w:rsidR="00625A5B" w:rsidRPr="008F03E5" w:rsidRDefault="00625A5B" w:rsidP="0006543F">
      <w:pPr>
        <w:pStyle w:val="Translit"/>
        <w:rPr>
          <w:rFonts w:eastAsia="PMingLiU"/>
          <w:lang w:eastAsia="zh-TW"/>
        </w:rPr>
      </w:pPr>
      <w:r w:rsidRPr="008F03E5">
        <w:rPr>
          <w:rFonts w:eastAsia="PMingLiU"/>
          <w:lang w:eastAsia="zh-TW"/>
        </w:rPr>
        <w:t>Amm</w:t>
      </w:r>
      <w:r w:rsidRPr="008F03E5">
        <w:rPr>
          <w:rFonts w:eastAsia="PMingLiU"/>
          <w:lang w:eastAsia="zh-TW"/>
        </w:rPr>
        <w:tab/>
        <w:t>‘Ámm</w:t>
      </w:r>
      <w:r w:rsidRPr="008F03E5">
        <w:rPr>
          <w:rFonts w:eastAsia="PMingLiU"/>
          <w:lang w:eastAsia="zh-TW"/>
        </w:rPr>
        <w:tab/>
        <w:t>public; universal, prevalent; general; common</w:t>
      </w:r>
    </w:p>
    <w:p w14:paraId="7C9FA7CB" w14:textId="77777777" w:rsidR="00625A5B" w:rsidRPr="008F03E5" w:rsidRDefault="00625A5B" w:rsidP="00F310C3">
      <w:pPr>
        <w:pStyle w:val="Translit"/>
        <w:rPr>
          <w:rFonts w:eastAsia="PMingLiU"/>
          <w:lang w:eastAsia="zh-TW"/>
        </w:rPr>
      </w:pPr>
      <w:r w:rsidRPr="002869C4">
        <w:rPr>
          <w:rFonts w:eastAsia="PMingLiU"/>
          <w:lang w:val="de-DE" w:eastAsia="zh-TW"/>
        </w:rPr>
        <w:t>Amm, ‘Ammu, ‘Umum, A’mam</w:t>
      </w:r>
      <w:r w:rsidRPr="002869C4">
        <w:rPr>
          <w:rFonts w:eastAsia="PMingLiU"/>
          <w:lang w:val="de-DE" w:eastAsia="zh-TW"/>
        </w:rPr>
        <w:tab/>
        <w:t xml:space="preserve">‘Amm, pl. </w:t>
      </w:r>
      <w:r w:rsidRPr="008F03E5">
        <w:rPr>
          <w:rFonts w:eastAsia="PMingLiU"/>
          <w:lang w:eastAsia="zh-TW"/>
        </w:rPr>
        <w:t>‘Umúm, A‘mám</w:t>
      </w:r>
      <w:r w:rsidRPr="008F03E5">
        <w:rPr>
          <w:rFonts w:eastAsia="PMingLiU"/>
          <w:lang w:eastAsia="zh-TW"/>
        </w:rPr>
        <w:tab/>
        <w:t>father’s brother, paternal uncle; ibn al-‘amm cousin on the father’s side; bint al-‘amm female cousin on the father’s side.  ‘Amm</w:t>
      </w:r>
      <w:r w:rsidRPr="008F03E5">
        <w:t>ú (in colloquial Arabic), a paternal uncle, can be used out of respect for any older man, also used as a name.</w:t>
      </w:r>
    </w:p>
    <w:p w14:paraId="13F512AE" w14:textId="77777777" w:rsidR="00625A5B" w:rsidRPr="008F03E5" w:rsidRDefault="00625A5B" w:rsidP="00F87A63">
      <w:pPr>
        <w:pStyle w:val="Translit"/>
        <w:rPr>
          <w:rFonts w:eastAsia="PMingLiU"/>
          <w:lang w:eastAsia="zh-TW"/>
        </w:rPr>
      </w:pPr>
      <w:r w:rsidRPr="00D45A23">
        <w:rPr>
          <w:rFonts w:eastAsia="PMingLiU"/>
          <w:lang w:val="it-IT" w:eastAsia="zh-TW"/>
        </w:rPr>
        <w:t>Amma, ‘Ammatan, ‘Awamm</w:t>
      </w:r>
      <w:r w:rsidRPr="00D45A23">
        <w:rPr>
          <w:rFonts w:eastAsia="PMingLiU"/>
          <w:lang w:val="it-IT" w:eastAsia="zh-TW"/>
        </w:rPr>
        <w:tab/>
        <w:t xml:space="preserve">‘Ámma[h], pl. </w:t>
      </w:r>
      <w:r w:rsidRPr="008F03E5">
        <w:rPr>
          <w:rFonts w:eastAsia="PMingLiU"/>
          <w:lang w:eastAsia="zh-TW"/>
        </w:rPr>
        <w:t>‘Aw</w:t>
      </w:r>
      <w:r w:rsidRPr="008F03E5">
        <w:t>á</w:t>
      </w:r>
      <w:r w:rsidRPr="008F03E5">
        <w:rPr>
          <w:rFonts w:eastAsia="PMingLiU"/>
          <w:lang w:eastAsia="zh-TW"/>
        </w:rPr>
        <w:t>mm</w:t>
      </w:r>
      <w:r w:rsidRPr="008F03E5">
        <w:rPr>
          <w:rFonts w:eastAsia="PMingLiU"/>
          <w:lang w:eastAsia="zh-TW"/>
        </w:rPr>
        <w:tab/>
        <w:t>(noun) generality; commonalty; the masses, the people;—‘ámmatan (adverb) in general; generally; commonly, altogether, in the aggregate, collectively;—pl. al-‘Aw</w:t>
      </w:r>
      <w:r w:rsidRPr="008F03E5">
        <w:t>á</w:t>
      </w:r>
      <w:r w:rsidRPr="008F03E5">
        <w:rPr>
          <w:rFonts w:eastAsia="PMingLiU"/>
          <w:lang w:eastAsia="zh-TW"/>
        </w:rPr>
        <w:t>mm the common people, the populace; the laity (Christian)</w:t>
      </w:r>
      <w:r w:rsidRPr="008F03E5">
        <w:t xml:space="preserve">.  cf. </w:t>
      </w:r>
      <w:r w:rsidRPr="008F03E5">
        <w:rPr>
          <w:u w:val="single"/>
        </w:rPr>
        <w:t>Kh</w:t>
      </w:r>
      <w:r w:rsidRPr="008F03E5">
        <w:t>áṣṣa.</w:t>
      </w:r>
    </w:p>
    <w:p w14:paraId="3BDA6152" w14:textId="77777777" w:rsidR="00625A5B" w:rsidRPr="008F03E5" w:rsidRDefault="00625A5B" w:rsidP="00F87A63">
      <w:pPr>
        <w:pStyle w:val="Translit"/>
        <w:rPr>
          <w:rFonts w:eastAsia="PMingLiU"/>
          <w:lang w:eastAsia="zh-TW"/>
        </w:rPr>
      </w:pPr>
      <w:r w:rsidRPr="008F03E5">
        <w:rPr>
          <w:rFonts w:eastAsia="PMingLiU"/>
          <w:lang w:eastAsia="zh-TW"/>
        </w:rPr>
        <w:t>Amman</w:t>
      </w:r>
      <w:r w:rsidRPr="008F03E5">
        <w:tab/>
      </w:r>
      <w:r w:rsidRPr="008F03E5">
        <w:rPr>
          <w:rFonts w:eastAsia="PMingLiU"/>
          <w:lang w:eastAsia="zh-TW"/>
        </w:rPr>
        <w:t>‘Ammán</w:t>
      </w:r>
      <w:r w:rsidRPr="008F03E5">
        <w:tab/>
      </w:r>
      <w:r w:rsidRPr="008F03E5">
        <w:rPr>
          <w:rFonts w:eastAsia="PMingLiU"/>
          <w:lang w:eastAsia="zh-TW"/>
        </w:rPr>
        <w:t>Ancient Philadelphia, capital city of Hashemite Kingdom of Jordan</w:t>
      </w:r>
    </w:p>
    <w:p w14:paraId="43D464E6" w14:textId="77777777" w:rsidR="00625A5B" w:rsidRPr="008F03E5" w:rsidRDefault="00625A5B" w:rsidP="00F87A63">
      <w:pPr>
        <w:pStyle w:val="Translit"/>
      </w:pPr>
      <w:r w:rsidRPr="008F03E5">
        <w:t>Ammar</w:t>
      </w:r>
      <w:r w:rsidRPr="008F03E5">
        <w:tab/>
        <w:t>Ammár</w:t>
      </w:r>
      <w:r w:rsidRPr="008F03E5">
        <w:tab/>
        <w:t>constantly urging, always demanding (to do something); inciting, instigating</w:t>
      </w:r>
    </w:p>
    <w:p w14:paraId="462FAACA" w14:textId="77777777" w:rsidR="00625A5B" w:rsidRPr="008F03E5" w:rsidRDefault="00625A5B" w:rsidP="00440156">
      <w:pPr>
        <w:pStyle w:val="Translit"/>
      </w:pPr>
      <w:r w:rsidRPr="008F03E5">
        <w:t>Amna’</w:t>
      </w:r>
      <w:r w:rsidRPr="008F03E5">
        <w:tab/>
        <w:t>Amna‘</w:t>
      </w:r>
      <w:r w:rsidRPr="008F03E5">
        <w:tab/>
        <w:t>harder to get at, more forbidding; offering greater resistance</w:t>
      </w:r>
    </w:p>
    <w:p w14:paraId="2DB7DC0E" w14:textId="77777777" w:rsidR="00625A5B" w:rsidRPr="008F03E5" w:rsidRDefault="00625A5B" w:rsidP="00440156">
      <w:pPr>
        <w:pStyle w:val="Translit"/>
      </w:pPr>
      <w:r w:rsidRPr="008F03E5">
        <w:t>Amr al-Baha’i</w:t>
      </w:r>
      <w:r w:rsidRPr="008F03E5">
        <w:tab/>
        <w:t>Amr al-Bahá’í (Amr-i-Bahá’í)</w:t>
      </w:r>
      <w:r w:rsidRPr="008F03E5">
        <w:tab/>
        <w:t>“the Glorious Cause”, “the Bahá’í Cause”, the Bahá’í Faith</w:t>
      </w:r>
    </w:p>
    <w:p w14:paraId="0181C24E" w14:textId="77777777" w:rsidR="00625A5B" w:rsidRPr="008F03E5" w:rsidRDefault="00625A5B" w:rsidP="00F87A63">
      <w:pPr>
        <w:pStyle w:val="Translit"/>
      </w:pPr>
      <w:r w:rsidRPr="008F03E5">
        <w:t>Amr Allah, Amru’llah</w:t>
      </w:r>
      <w:r w:rsidRPr="008F03E5">
        <w:tab/>
        <w:t>Amr Alláh, Amru’lláh</w:t>
      </w:r>
      <w:r w:rsidRPr="008F03E5">
        <w:tab/>
        <w:t>“command of God”, “House of God’s command” or “cause of God”</w:t>
      </w:r>
    </w:p>
    <w:p w14:paraId="6A07ED2B" w14:textId="77777777" w:rsidR="00625A5B" w:rsidRPr="008F03E5" w:rsidRDefault="00625A5B" w:rsidP="00F87A63">
      <w:pPr>
        <w:pStyle w:val="Translit"/>
      </w:pPr>
      <w:r w:rsidRPr="008F03E5">
        <w:t>Amr va Khalq</w:t>
      </w:r>
      <w:r w:rsidRPr="008F03E5">
        <w:tab/>
        <w:t xml:space="preserve">Amr va </w:t>
      </w:r>
      <w:r w:rsidRPr="008F03E5">
        <w:rPr>
          <w:u w:val="single"/>
        </w:rPr>
        <w:t>Kh</w:t>
      </w:r>
      <w:r w:rsidRPr="008F03E5">
        <w:t>alq</w:t>
      </w:r>
      <w:r w:rsidRPr="008F03E5">
        <w:tab/>
        <w:t>Revelation and creation, compilation by Fáḍil Mázandarání</w:t>
      </w:r>
    </w:p>
    <w:p w14:paraId="4D228BB9" w14:textId="77777777" w:rsidR="00625A5B" w:rsidRPr="008F03E5" w:rsidRDefault="00625A5B" w:rsidP="00D13794">
      <w:pPr>
        <w:pStyle w:val="Translit"/>
      </w:pPr>
      <w:r w:rsidRPr="008F03E5">
        <w:rPr>
          <w:rFonts w:eastAsia="Times New Roman"/>
        </w:rPr>
        <w:t>Amr</w:t>
      </w:r>
      <w:r w:rsidRPr="008F03E5">
        <w:rPr>
          <w:rFonts w:eastAsia="Times New Roman"/>
        </w:rPr>
        <w:tab/>
        <w:t>‘Amr</w:t>
      </w:r>
      <w:r w:rsidRPr="008F03E5">
        <w:rPr>
          <w:rFonts w:eastAsia="Times New Roman"/>
        </w:rPr>
        <w:tab/>
      </w:r>
      <w:r w:rsidRPr="008F03E5">
        <w:t>preserving; living long; visiting; faith, religion.  ‘Amr ibn al-‘Áṣ a</w:t>
      </w:r>
      <w:r>
        <w:t>s</w:t>
      </w:r>
      <w:r w:rsidRPr="008F03E5">
        <w:t>-Sahmí (c. 573–664) was the Arab commander who led the Muslim conquest of Egypt and served as its governor in 640–646 and 658–664.  Also an Arab commander for the conquest of Syria.  He conquered most of Palestine and appointed governor.  He led the Arabs to decisive victories over the Byzantines in 634 and 636.</w:t>
      </w:r>
    </w:p>
    <w:p w14:paraId="41571C3D" w14:textId="77777777" w:rsidR="00625A5B" w:rsidRPr="008F03E5" w:rsidRDefault="00625A5B" w:rsidP="002D7D54">
      <w:pPr>
        <w:pStyle w:val="Translit"/>
      </w:pPr>
      <w:r w:rsidRPr="008F03E5">
        <w:t>Amr, ‘Amru</w:t>
      </w:r>
      <w:r>
        <w:t xml:space="preserve"> (‘Amro)</w:t>
      </w:r>
      <w:r w:rsidRPr="008F03E5">
        <w:tab/>
      </w:r>
      <w:r>
        <w:t xml:space="preserve">‘Amr, </w:t>
      </w:r>
      <w:r w:rsidRPr="008F03E5">
        <w:t>‘Amrú</w:t>
      </w:r>
      <w:r w:rsidRPr="008F03E5">
        <w:rPr>
          <w:rFonts w:eastAsia="Times New Roman"/>
        </w:rPr>
        <w:t xml:space="preserve"> (pronounced </w:t>
      </w:r>
      <w:r w:rsidRPr="008F03E5">
        <w:t>‘Amr)</w:t>
      </w:r>
      <w:r w:rsidRPr="008F03E5">
        <w:tab/>
      </w:r>
      <w:r w:rsidRPr="008F03E5">
        <w:rPr>
          <w:rFonts w:eastAsia="Times New Roman"/>
        </w:rPr>
        <w:t xml:space="preserve">the final </w:t>
      </w:r>
      <w:r w:rsidRPr="008F03E5">
        <w:rPr>
          <w:rFonts w:eastAsia="Times New Roman"/>
          <w:rtl/>
        </w:rPr>
        <w:t>و</w:t>
      </w:r>
      <w:r w:rsidRPr="008F03E5">
        <w:rPr>
          <w:rFonts w:eastAsia="Times New Roman"/>
        </w:rPr>
        <w:t xml:space="preserve"> being employed solely to distinguish this word from </w:t>
      </w:r>
      <w:r w:rsidRPr="008F03E5">
        <w:t>‘umar</w:t>
      </w:r>
      <w:r w:rsidRPr="008F03E5">
        <w:rPr>
          <w:rFonts w:eastAsia="Times New Roman"/>
        </w:rPr>
        <w:t xml:space="preserve"> </w:t>
      </w:r>
      <w:r>
        <w:rPr>
          <w:rFonts w:eastAsia="Times New Roman"/>
        </w:rPr>
        <w:t>(</w:t>
      </w:r>
      <w:r w:rsidRPr="008F03E5">
        <w:rPr>
          <w:rFonts w:eastAsia="Times New Roman"/>
        </w:rPr>
        <w:t>Omar</w:t>
      </w:r>
      <w:r>
        <w:rPr>
          <w:rFonts w:eastAsia="Times New Roman"/>
        </w:rPr>
        <w:t>)</w:t>
      </w:r>
      <w:r w:rsidRPr="008F03E5">
        <w:rPr>
          <w:rFonts w:eastAsia="Times New Roman"/>
        </w:rPr>
        <w:t xml:space="preserve">.  </w:t>
      </w:r>
      <w:r>
        <w:rPr>
          <w:rFonts w:eastAsia="Times New Roman"/>
        </w:rPr>
        <w:t xml:space="preserve">“prosperous long life”.  </w:t>
      </w:r>
      <w:r w:rsidRPr="008F03E5">
        <w:rPr>
          <w:rFonts w:eastAsia="Times New Roman"/>
        </w:rPr>
        <w:t xml:space="preserve">A proper name.  See </w:t>
      </w:r>
      <w:r w:rsidRPr="008F03E5">
        <w:t>Ḥadí</w:t>
      </w:r>
      <w:r w:rsidRPr="008F03E5">
        <w:rPr>
          <w:u w:val="single"/>
        </w:rPr>
        <w:t>th</w:t>
      </w:r>
      <w:r w:rsidRPr="008F03E5">
        <w:t>-i-Jábir and ‘Amr (‘Amú) bin ‘Abdiwudd.</w:t>
      </w:r>
    </w:p>
    <w:p w14:paraId="45E31671" w14:textId="77777777" w:rsidR="00625A5B" w:rsidRPr="008F03E5" w:rsidRDefault="00625A5B" w:rsidP="00443530">
      <w:pPr>
        <w:pStyle w:val="Translit"/>
      </w:pPr>
      <w:r w:rsidRPr="002D7D54">
        <w:rPr>
          <w:lang w:val="de-DE"/>
        </w:rPr>
        <w:t>Amr, Awamir, Umur</w:t>
      </w:r>
      <w:r w:rsidRPr="002D7D54">
        <w:rPr>
          <w:lang w:val="de-DE"/>
        </w:rPr>
        <w:tab/>
        <w:t xml:space="preserve">Amr; pl. </w:t>
      </w:r>
      <w:r w:rsidRPr="008F03E5">
        <w:t>Awámir, Umúr</w:t>
      </w:r>
      <w:r w:rsidRPr="008F03E5">
        <w:tab/>
        <w:t>o</w:t>
      </w:r>
      <w:r w:rsidRPr="008F03E5">
        <w:rPr>
          <w:rFonts w:eastAsia="Times New Roman"/>
        </w:rPr>
        <w:t>rder, command, cause; (in grammar) imperative; affair, business, transaction; event, occurrence, fact, circumstance; matter, case, thing, particular; point, question.—pl. (</w:t>
      </w:r>
      <w:r w:rsidRPr="008F03E5">
        <w:t>Awámir) order, command, instruction (to do something); ordinance, decree; power, authority; (grammar) imperative;—pl. (Umúr) matter, affair, concern, business.</w:t>
      </w:r>
    </w:p>
    <w:p w14:paraId="33E0D56D" w14:textId="77777777" w:rsidR="00625A5B" w:rsidRPr="008F03E5" w:rsidRDefault="00625A5B" w:rsidP="002B1B4C">
      <w:pPr>
        <w:pStyle w:val="Translit"/>
      </w:pPr>
      <w:r w:rsidRPr="008F03E5">
        <w:t>Amra</w:t>
      </w:r>
      <w:r w:rsidRPr="008F03E5">
        <w:tab/>
        <w:t>‘Amra[h]</w:t>
      </w:r>
      <w:r w:rsidRPr="008F03E5">
        <w:tab/>
        <w:t>headgear (e.g., turban); (e.g.) repair, repair work</w:t>
      </w:r>
    </w:p>
    <w:p w14:paraId="53689169" w14:textId="77777777" w:rsidR="00625A5B" w:rsidRPr="008F03E5" w:rsidRDefault="00625A5B" w:rsidP="00443530">
      <w:pPr>
        <w:pStyle w:val="Translit"/>
      </w:pPr>
      <w:r w:rsidRPr="008F03E5">
        <w:t>Amran</w:t>
      </w:r>
      <w:r w:rsidRPr="008F03E5">
        <w:tab/>
        <w:t>‘Amrán</w:t>
      </w:r>
      <w:r w:rsidRPr="008F03E5">
        <w:tab/>
        <w:t>a small city in western central Yemen</w:t>
      </w:r>
    </w:p>
    <w:p w14:paraId="6D9F48AD" w14:textId="77777777" w:rsidR="00625A5B" w:rsidRPr="008F03E5" w:rsidRDefault="00625A5B" w:rsidP="00F87A63">
      <w:pPr>
        <w:pStyle w:val="Translit"/>
      </w:pPr>
      <w:r w:rsidRPr="008F03E5">
        <w:t>Amrani</w:t>
      </w:r>
      <w:r w:rsidRPr="008F03E5">
        <w:tab/>
        <w:t>‘Amrání</w:t>
      </w:r>
      <w:r w:rsidRPr="008F03E5">
        <w:tab/>
        <w:t>Muḥammad Muḥammad Ṣa‘íd al-Baqqálí al-‘Amrání, Bahá’í arrested in Morocco, 1962</w:t>
      </w:r>
    </w:p>
    <w:p w14:paraId="12B40565" w14:textId="77777777" w:rsidR="00625A5B" w:rsidRPr="008F03E5" w:rsidRDefault="00625A5B" w:rsidP="00F87A63">
      <w:pPr>
        <w:pStyle w:val="Translit"/>
      </w:pPr>
      <w:r w:rsidRPr="008F03E5">
        <w:t>Amr-i-Abda’</w:t>
      </w:r>
      <w:r w:rsidRPr="008F03E5">
        <w:tab/>
        <w:t>Amr-i-Abda‘</w:t>
      </w:r>
      <w:r w:rsidRPr="008F03E5">
        <w:tab/>
        <w:t>(the Most Wondrous New Cause)</w:t>
      </w:r>
    </w:p>
    <w:p w14:paraId="1F3FA06D" w14:textId="77777777" w:rsidR="00625A5B" w:rsidRPr="008F03E5" w:rsidRDefault="00625A5B" w:rsidP="00F87A63">
      <w:pPr>
        <w:pStyle w:val="Translit"/>
      </w:pPr>
      <w:r w:rsidRPr="008F03E5">
        <w:t>Amr-i-Badi’</w:t>
      </w:r>
      <w:r w:rsidRPr="008F03E5">
        <w:tab/>
        <w:t>Amr-i-Badí‘</w:t>
      </w:r>
      <w:r w:rsidRPr="008F03E5">
        <w:tab/>
        <w:t>(the Wondrous New Cause)</w:t>
      </w:r>
    </w:p>
    <w:p w14:paraId="66FA39EE" w14:textId="77777777" w:rsidR="00625A5B" w:rsidRPr="008F03E5" w:rsidRDefault="00625A5B" w:rsidP="00F87A63">
      <w:pPr>
        <w:pStyle w:val="Translit"/>
      </w:pPr>
      <w:r w:rsidRPr="008F03E5">
        <w:t>Amrika</w:t>
      </w:r>
      <w:r w:rsidRPr="008F03E5">
        <w:tab/>
        <w:t>Amríká</w:t>
      </w:r>
      <w:r w:rsidRPr="008F03E5">
        <w:tab/>
        <w:t>America</w:t>
      </w:r>
    </w:p>
    <w:p w14:paraId="288D527A" w14:textId="77777777" w:rsidR="00625A5B" w:rsidRPr="008F03E5" w:rsidRDefault="00625A5B" w:rsidP="00E67E1C">
      <w:pPr>
        <w:pStyle w:val="Translit"/>
      </w:pPr>
      <w:r w:rsidRPr="008F03E5">
        <w:t>Amru’llah</w:t>
      </w:r>
      <w:r w:rsidRPr="008F03E5">
        <w:tab/>
        <w:t>Amru’llah</w:t>
      </w:r>
      <w:r w:rsidRPr="008F03E5">
        <w:tab/>
        <w:t>“God’s command”.  Name given to a house (41.679178, 26.556450) occupied by Bahá’u’lláh on the northern side of the Sulṭán Salím Mosque in Erdine.</w:t>
      </w:r>
    </w:p>
    <w:p w14:paraId="50A1E531" w14:textId="77777777" w:rsidR="00625A5B" w:rsidRPr="008F03E5" w:rsidRDefault="00625A5B" w:rsidP="00EC7027">
      <w:pPr>
        <w:pStyle w:val="Translit"/>
      </w:pPr>
      <w:r w:rsidRPr="008F03E5">
        <w:t>Amu (Amuya)</w:t>
      </w:r>
      <w:r w:rsidRPr="008F03E5">
        <w:tab/>
        <w:t>Ámú (Ámúya)</w:t>
      </w:r>
      <w:r w:rsidRPr="008F03E5">
        <w:tab/>
        <w:t>Pers. a tumour, swelling, inflation; Ámú Daryú modern name of the ancient Oxus River</w:t>
      </w:r>
    </w:p>
    <w:p w14:paraId="6DE25E97" w14:textId="77777777" w:rsidR="00625A5B" w:rsidRPr="00B959CB" w:rsidRDefault="00625A5B" w:rsidP="00B959CB">
      <w:pPr>
        <w:pStyle w:val="Translit"/>
      </w:pPr>
      <w:r w:rsidRPr="00B959CB">
        <w:t>Amu, ‘Ammu</w:t>
      </w:r>
      <w:r w:rsidRPr="00B959CB">
        <w:tab/>
        <w:t>‘Amú, ‘Am</w:t>
      </w:r>
      <w:r>
        <w:t>m</w:t>
      </w:r>
      <w:r w:rsidRPr="00B959CB">
        <w:t>ú</w:t>
      </w:r>
      <w:r w:rsidRPr="00B959CB">
        <w:tab/>
      </w:r>
      <w:r>
        <w:t xml:space="preserve">Pers. paternal uncle.  </w:t>
      </w:r>
      <w:r w:rsidRPr="00B959CB">
        <w:t>Mullá Ḥasan ‘Amú</w:t>
      </w:r>
      <w:r>
        <w:t>.  See ‘amm.</w:t>
      </w:r>
    </w:p>
    <w:p w14:paraId="2053C63C" w14:textId="77777777" w:rsidR="00625A5B" w:rsidRPr="008F03E5" w:rsidRDefault="00625A5B" w:rsidP="00F87A63">
      <w:pPr>
        <w:pStyle w:val="Translit"/>
      </w:pPr>
      <w:r w:rsidRPr="008F03E5">
        <w:t>Amud, A’mida, Umud</w:t>
      </w:r>
      <w:r w:rsidRPr="008F03E5">
        <w:tab/>
        <w:t>‘Amúd, pl. A‘mida, ‘Umud</w:t>
      </w:r>
      <w:r w:rsidRPr="008F03E5">
        <w:tab/>
        <w:t>flagpole, shaft (of a standard); pale, post, prop, shore, pier, buttress; lamppost; (telephone, telegraph) pole; column, pillar, pilaster; stem (of a glass); (pl.) column (of a newspaper)</w:t>
      </w:r>
    </w:p>
    <w:p w14:paraId="48E8BD8B" w14:textId="77777777" w:rsidR="00625A5B" w:rsidRPr="008F03E5" w:rsidRDefault="00625A5B" w:rsidP="00F87A63">
      <w:pPr>
        <w:pStyle w:val="Translit"/>
      </w:pPr>
      <w:r w:rsidRPr="008F03E5">
        <w:t>Amud, Awamid (Avamid)</w:t>
      </w:r>
      <w:r w:rsidRPr="008F03E5">
        <w:tab/>
        <w:t>‘Ámúd, pl. ‘Awámíd</w:t>
      </w:r>
      <w:r w:rsidRPr="008F03E5">
        <w:tab/>
        <w:t>(Pers. dictionary, column) Arabic dictionary = ‘Amúd, steering column, steering mechanism (of an automobile)</w:t>
      </w:r>
    </w:p>
    <w:p w14:paraId="23BC5DDB" w14:textId="77777777" w:rsidR="00625A5B" w:rsidRPr="008F03E5" w:rsidRDefault="00625A5B" w:rsidP="00CD4B35">
      <w:pPr>
        <w:pStyle w:val="Translit"/>
      </w:pPr>
      <w:r w:rsidRPr="008F03E5">
        <w:t>Amul (Amol)</w:t>
      </w:r>
      <w:r w:rsidRPr="008F03E5">
        <w:tab/>
        <w:t>Ámul</w:t>
      </w:r>
      <w:r w:rsidRPr="008F03E5">
        <w:tab/>
        <w:t>companion.  A town (36.466423, 52.354574) in Mázindarán province, on the Haraz River, near the Caspian Sea.</w:t>
      </w:r>
    </w:p>
    <w:p w14:paraId="0C6964AB" w14:textId="77777777" w:rsidR="00625A5B" w:rsidRPr="008F03E5" w:rsidRDefault="00625A5B" w:rsidP="00F87A63">
      <w:pPr>
        <w:pStyle w:val="Translit"/>
      </w:pPr>
      <w:r w:rsidRPr="008F03E5">
        <w:t>An</w:t>
      </w:r>
      <w:r w:rsidRPr="008F03E5">
        <w:tab/>
        <w:t>‘An</w:t>
      </w:r>
      <w:r w:rsidRPr="008F03E5">
        <w:tab/>
        <w:t>(preposition) off, away from; from (designating the source); out of (a feeling); about, on (a topic); according to, as attested or declared by, from what … says, on the authority of; on the basis of, on the strength of; for, in defence of; as a substitute for</w:t>
      </w:r>
    </w:p>
    <w:p w14:paraId="424799E3" w14:textId="77777777" w:rsidR="00625A5B" w:rsidRPr="008F03E5" w:rsidRDefault="00625A5B" w:rsidP="00F87A63">
      <w:pPr>
        <w:pStyle w:val="Translit"/>
      </w:pPr>
      <w:r w:rsidRPr="008F03E5">
        <w:t>Anahita</w:t>
      </w:r>
      <w:r w:rsidRPr="008F03E5">
        <w:tab/>
        <w:t>Anáhítá</w:t>
      </w:r>
      <w:r w:rsidRPr="008F03E5">
        <w:tab/>
        <w:t xml:space="preserve">old Pers.  immaculate, undefiled.  </w:t>
      </w:r>
      <w:r w:rsidRPr="00D45A23">
        <w:rPr>
          <w:lang w:val="fr-FR"/>
        </w:rPr>
        <w:t xml:space="preserve">Venus, Aphrodite (Greek) and Venus Erucina (Roman).  </w:t>
      </w:r>
      <w:r w:rsidRPr="008F03E5">
        <w:t>See modern form Náhíd</w:t>
      </w:r>
    </w:p>
    <w:p w14:paraId="4FE761EB" w14:textId="77777777" w:rsidR="00625A5B" w:rsidRPr="008F03E5" w:rsidRDefault="00625A5B" w:rsidP="00F87A63">
      <w:pPr>
        <w:pStyle w:val="Translit"/>
      </w:pPr>
      <w:r w:rsidRPr="008F03E5">
        <w:t>Anam</w:t>
      </w:r>
      <w:r w:rsidRPr="008F03E5">
        <w:tab/>
        <w:t>Anám</w:t>
      </w:r>
      <w:r w:rsidRPr="008F03E5">
        <w:tab/>
        <w:t>m</w:t>
      </w:r>
      <w:r w:rsidRPr="008F03E5">
        <w:rPr>
          <w:rFonts w:eastAsia="Times New Roman"/>
        </w:rPr>
        <w:t>ankind, mortals; creatures; jinn; demons.  al-anám mankind, the human race.</w:t>
      </w:r>
    </w:p>
    <w:p w14:paraId="7AA46702" w14:textId="77777777" w:rsidR="00625A5B" w:rsidRPr="008F03E5" w:rsidRDefault="00625A5B" w:rsidP="00F87A63">
      <w:pPr>
        <w:pStyle w:val="Translit"/>
      </w:pPr>
      <w:r w:rsidRPr="008F03E5">
        <w:t>Anas</w:t>
      </w:r>
      <w:r w:rsidRPr="008F03E5">
        <w:tab/>
        <w:t>Anas</w:t>
      </w:r>
      <w:r w:rsidRPr="008F03E5">
        <w:tab/>
        <w:t xml:space="preserve">joy, friendliness, delight.  </w:t>
      </w:r>
      <w:r w:rsidRPr="00077779">
        <w:rPr>
          <w:lang w:val="es-ES_tradnl"/>
        </w:rPr>
        <w:t>Anas ibn Málik ibn Naḍr al-</w:t>
      </w:r>
      <w:r w:rsidRPr="00077779">
        <w:rPr>
          <w:u w:val="single"/>
          <w:lang w:val="es-ES_tradnl"/>
        </w:rPr>
        <w:t>Kh</w:t>
      </w:r>
      <w:r w:rsidRPr="00077779">
        <w:rPr>
          <w:lang w:val="es-ES_tradnl"/>
        </w:rPr>
        <w:t xml:space="preserve">azrají al-Ansárí (c. 612-c. </w:t>
      </w:r>
      <w:r w:rsidRPr="008F03E5">
        <w:t>712) was a well-known ṣaḥábí (companion) of Muḥammad.</w:t>
      </w:r>
    </w:p>
    <w:p w14:paraId="1010B47C" w14:textId="77777777" w:rsidR="00625A5B" w:rsidRPr="008F03E5" w:rsidRDefault="00625A5B" w:rsidP="00FB6EB9">
      <w:pPr>
        <w:pStyle w:val="Translit"/>
      </w:pPr>
      <w:r w:rsidRPr="00C21BAA">
        <w:rPr>
          <w:rFonts w:eastAsia="Times New Roman"/>
          <w:lang w:val="en-AU"/>
        </w:rPr>
        <w:t>Anaya, ‘Inaya, ‘Inayat</w:t>
      </w:r>
      <w:r w:rsidRPr="00C21BAA">
        <w:rPr>
          <w:rFonts w:eastAsia="Times New Roman"/>
          <w:lang w:val="en-AU"/>
        </w:rPr>
        <w:tab/>
        <w:t xml:space="preserve">‘Anáya[t], ‘Ináya[t], pl. </w:t>
      </w:r>
      <w:r w:rsidRPr="008F03E5">
        <w:rPr>
          <w:rFonts w:eastAsia="Times New Roman"/>
        </w:rPr>
        <w:t>‘Ináyát</w:t>
      </w:r>
      <w:r w:rsidRPr="008F03E5">
        <w:rPr>
          <w:rFonts w:eastAsia="Times New Roman"/>
        </w:rPr>
        <w:tab/>
      </w:r>
      <w:r w:rsidRPr="008F03E5">
        <w:t xml:space="preserve">(“Enayat”) </w:t>
      </w:r>
      <w:r w:rsidRPr="008F03E5">
        <w:rPr>
          <w:rFonts w:eastAsia="Times New Roman"/>
        </w:rPr>
        <w:t>meaning, signifying, intending (somewhat by one’s words); bestowing pains upon; happening, occurring; agreeing with one (food); guarding, preserving; solicitude, anxiety, care; assistance, aid, favour; a gift, present, bounty.  See ‘Ináyatu’ll</w:t>
      </w:r>
      <w:r w:rsidRPr="008F03E5">
        <w:t>á</w:t>
      </w:r>
      <w:r w:rsidRPr="008F03E5">
        <w:rPr>
          <w:rFonts w:eastAsia="Times New Roman"/>
        </w:rPr>
        <w:t>h.</w:t>
      </w:r>
    </w:p>
    <w:p w14:paraId="6BE8BD28" w14:textId="77777777" w:rsidR="00625A5B" w:rsidRPr="008F03E5" w:rsidRDefault="00625A5B" w:rsidP="00AC2714">
      <w:pPr>
        <w:pStyle w:val="Translit"/>
      </w:pPr>
      <w:r w:rsidRPr="008F03E5">
        <w:t>Anbar</w:t>
      </w:r>
      <w:r w:rsidRPr="008F03E5">
        <w:tab/>
        <w:t>Anbár</w:t>
      </w:r>
      <w:r w:rsidRPr="008F03E5">
        <w:tab/>
      </w:r>
      <w:r w:rsidRPr="008F03E5">
        <w:rPr>
          <w:rFonts w:eastAsia="Times New Roman"/>
        </w:rPr>
        <w:t>Pers. full to the brim, replete; a pond, a reservoir</w:t>
      </w:r>
    </w:p>
    <w:p w14:paraId="5AAD85A4" w14:textId="77777777" w:rsidR="00625A5B" w:rsidRPr="008F03E5" w:rsidRDefault="00625A5B" w:rsidP="00F87A63">
      <w:pPr>
        <w:pStyle w:val="Translit"/>
        <w:rPr>
          <w:rFonts w:eastAsia="PMingLiU"/>
          <w:lang w:eastAsia="zh-TW"/>
        </w:rPr>
      </w:pPr>
      <w:r w:rsidRPr="008F03E5">
        <w:rPr>
          <w:rFonts w:eastAsia="PMingLiU"/>
          <w:lang w:eastAsia="zh-TW"/>
        </w:rPr>
        <w:t>Anbar, ‘Anabir</w:t>
      </w:r>
      <w:r w:rsidRPr="008F03E5">
        <w:rPr>
          <w:rFonts w:eastAsia="PMingLiU"/>
          <w:lang w:eastAsia="zh-TW"/>
        </w:rPr>
        <w:tab/>
        <w:t>‘Anbar, pl. ‘An</w:t>
      </w:r>
      <w:r w:rsidRPr="008F03E5">
        <w:t>á</w:t>
      </w:r>
      <w:r w:rsidRPr="008F03E5">
        <w:rPr>
          <w:rFonts w:eastAsia="PMingLiU"/>
          <w:lang w:eastAsia="zh-TW"/>
        </w:rPr>
        <w:t>bir</w:t>
      </w:r>
      <w:r w:rsidRPr="008F03E5">
        <w:rPr>
          <w:rFonts w:eastAsia="PMingLiU"/>
          <w:lang w:eastAsia="zh-TW"/>
        </w:rPr>
        <w:tab/>
        <w:t>ambergris;—pl. sperm whale</w:t>
      </w:r>
    </w:p>
    <w:p w14:paraId="4DECC3D0" w14:textId="77777777" w:rsidR="00625A5B" w:rsidRPr="008F03E5" w:rsidRDefault="00625A5B" w:rsidP="006D0C12">
      <w:pPr>
        <w:pStyle w:val="Translit"/>
        <w:rPr>
          <w:rtl/>
        </w:rPr>
      </w:pPr>
      <w:r w:rsidRPr="00E26893">
        <w:t>Anbar, Nibr, Anabir</w:t>
      </w:r>
      <w:r w:rsidRPr="00E26893">
        <w:tab/>
        <w:t xml:space="preserve">Anbár, Nibr, pl. </w:t>
      </w:r>
      <w:r w:rsidRPr="008F03E5">
        <w:t>Anábir, Anábír</w:t>
      </w:r>
      <w:r w:rsidRPr="008F03E5">
        <w:tab/>
        <w:t>barn, shed, granary, storeroom, storehouse, warehouse.  Anbar-i-</w:t>
      </w:r>
      <w:r w:rsidRPr="008F03E5">
        <w:rPr>
          <w:u w:val="single"/>
        </w:rPr>
        <w:t>Sh</w:t>
      </w:r>
      <w:r w:rsidRPr="008F03E5">
        <w:t>áhí (“Royal Storehouse”, 35.678809, 51.420662—it is south of the Golestan Palace and north of the Síyáh-</w:t>
      </w:r>
      <w:r w:rsidRPr="008F03E5">
        <w:rPr>
          <w:u w:val="single"/>
        </w:rPr>
        <w:t>Ch</w:t>
      </w:r>
      <w:r w:rsidRPr="008F03E5">
        <w:t>ál).  Its name later became synonymous with a ḥubús (dungeon) and then a zindán (jail) (i.e. the Anbar Prison).</w:t>
      </w:r>
    </w:p>
    <w:p w14:paraId="0F20D73C" w14:textId="77777777" w:rsidR="00625A5B" w:rsidRPr="008F03E5" w:rsidRDefault="00625A5B" w:rsidP="00CD7FBF">
      <w:pPr>
        <w:pStyle w:val="Translit"/>
        <w:rPr>
          <w:rFonts w:eastAsia="Times New Roman"/>
        </w:rPr>
      </w:pPr>
      <w:r w:rsidRPr="008F03E5">
        <w:t>Anbijaniya</w:t>
      </w:r>
      <w:r w:rsidRPr="008F03E5">
        <w:tab/>
        <w:t>Anbijániya</w:t>
      </w:r>
      <w:r w:rsidRPr="008F03E5">
        <w:tab/>
        <w:t>may be a plain, thick sheet or blanket, or a garment from the Syrian town of Manbij.  In a ḥadí</w:t>
      </w:r>
      <w:r w:rsidRPr="008F03E5">
        <w:rPr>
          <w:u w:val="single"/>
        </w:rPr>
        <w:t>th</w:t>
      </w:r>
      <w:r w:rsidRPr="008F03E5">
        <w:t xml:space="preserve">, Muḥammad is said to have found a patterned </w:t>
      </w:r>
      <w:r w:rsidRPr="008F03E5">
        <w:rPr>
          <w:u w:val="single"/>
        </w:rPr>
        <w:t>kh</w:t>
      </w:r>
      <w:r w:rsidRPr="008F03E5">
        <w:t>amíṣa (“khamisa”) distracting Him from His prayers and asked for a plain anbijániya (or a manbijániya garment).</w:t>
      </w:r>
    </w:p>
    <w:p w14:paraId="79EDD603" w14:textId="77777777" w:rsidR="00625A5B" w:rsidRPr="008F03E5" w:rsidRDefault="00625A5B" w:rsidP="00F87A63">
      <w:pPr>
        <w:pStyle w:val="Translit"/>
      </w:pPr>
      <w:r w:rsidRPr="008F03E5">
        <w:rPr>
          <w:rFonts w:eastAsia="Times New Roman"/>
        </w:rPr>
        <w:t>and, ‘ind, ‘und, ‘anda, ‘inda</w:t>
      </w:r>
      <w:r w:rsidRPr="008F03E5">
        <w:rPr>
          <w:rFonts w:eastAsia="Times New Roman"/>
        </w:rPr>
        <w:tab/>
        <w:t>‘and, ‘ind, ‘und</w:t>
      </w:r>
      <w:r w:rsidRPr="008F03E5">
        <w:rPr>
          <w:rFonts w:eastAsia="Times New Roman"/>
        </w:rPr>
        <w:tab/>
        <w:t xml:space="preserve">a </w:t>
      </w:r>
      <w:r w:rsidRPr="008F03E5">
        <w:t>side, part, quarter;—‘anda, ‘inda (adverb of time and place), near, nigh, with, before, about, in, according to.  min ‘inda’lláh, “on God’s part”.  min ‘indaná, “from us” or “on our part”.</w:t>
      </w:r>
    </w:p>
    <w:p w14:paraId="34381A4A" w14:textId="77777777" w:rsidR="00625A5B" w:rsidRPr="008F03E5" w:rsidRDefault="00625A5B" w:rsidP="00FB0ED7">
      <w:pPr>
        <w:pStyle w:val="Translit"/>
        <w:rPr>
          <w:rFonts w:eastAsia="PMingLiU"/>
          <w:lang w:eastAsia="zh-TW"/>
        </w:rPr>
      </w:pPr>
      <w:r w:rsidRPr="008F03E5">
        <w:rPr>
          <w:rFonts w:eastAsia="PMingLiU"/>
          <w:lang w:eastAsia="zh-TW"/>
        </w:rPr>
        <w:t>Andalib, ‘Anadil</w:t>
      </w:r>
      <w:r w:rsidRPr="008F03E5">
        <w:tab/>
      </w:r>
      <w:r w:rsidRPr="008F03E5">
        <w:rPr>
          <w:rFonts w:eastAsia="PMingLiU"/>
          <w:lang w:eastAsia="zh-TW"/>
        </w:rPr>
        <w:t>‘Andalíb, pl.</w:t>
      </w:r>
      <w:r w:rsidRPr="008F03E5">
        <w:t xml:space="preserve"> ‘Anádil</w:t>
      </w:r>
      <w:r w:rsidRPr="008F03E5">
        <w:tab/>
        <w:t>Pers. a nightingale</w:t>
      </w:r>
      <w:r>
        <w:t xml:space="preserve">.  See </w:t>
      </w:r>
      <w:r w:rsidRPr="00FB0ED7">
        <w:t>L</w:t>
      </w:r>
      <w:r>
        <w:t>á</w:t>
      </w:r>
      <w:r w:rsidRPr="00FB0ED7">
        <w:t>h</w:t>
      </w:r>
      <w:r>
        <w:t>í</w:t>
      </w:r>
      <w:r w:rsidRPr="00FB0ED7">
        <w:t>j</w:t>
      </w:r>
      <w:r>
        <w:t>á</w:t>
      </w:r>
      <w:r w:rsidRPr="00FB0ED7">
        <w:t>n</w:t>
      </w:r>
      <w:r>
        <w:t>í.</w:t>
      </w:r>
    </w:p>
    <w:p w14:paraId="6755639E" w14:textId="77777777" w:rsidR="00625A5B" w:rsidRPr="008F03E5" w:rsidRDefault="00625A5B" w:rsidP="00F87A63">
      <w:pPr>
        <w:pStyle w:val="Translit"/>
      </w:pPr>
      <w:r w:rsidRPr="008F03E5">
        <w:rPr>
          <w:rFonts w:eastAsia="Times New Roman"/>
        </w:rPr>
        <w:t>Andar</w:t>
      </w:r>
      <w:r w:rsidRPr="008F03E5">
        <w:rPr>
          <w:rFonts w:eastAsia="Times New Roman"/>
        </w:rPr>
        <w:tab/>
        <w:t>Andar</w:t>
      </w:r>
      <w:r w:rsidRPr="008F03E5">
        <w:rPr>
          <w:rFonts w:eastAsia="Times New Roman"/>
        </w:rPr>
        <w:tab/>
        <w:t>Pers. in, into, within; added to the words</w:t>
      </w:r>
    </w:p>
    <w:p w14:paraId="51DBA354" w14:textId="77777777" w:rsidR="00625A5B" w:rsidRPr="008F03E5" w:rsidRDefault="00625A5B" w:rsidP="00F87A63">
      <w:pPr>
        <w:pStyle w:val="Translit"/>
      </w:pPr>
      <w:r w:rsidRPr="008F03E5">
        <w:t>Andarman (Enderman, Endermane)</w:t>
      </w:r>
      <w:r w:rsidRPr="008F03E5">
        <w:tab/>
        <w:t>Ándarmán</w:t>
      </w:r>
      <w:r w:rsidRPr="008F03E5">
        <w:tab/>
        <w:t xml:space="preserve">small village 10 km south of the centre of Ṭihrán and 3 km </w:t>
      </w:r>
      <w:r w:rsidRPr="008F03E5">
        <w:rPr>
          <w:sz w:val="16"/>
          <w:szCs w:val="16"/>
        </w:rPr>
        <w:t>NW</w:t>
      </w:r>
      <w:r w:rsidRPr="008F03E5">
        <w:t xml:space="preserve"> of the </w:t>
      </w:r>
      <w:r w:rsidRPr="008F03E5">
        <w:rPr>
          <w:u w:val="single"/>
        </w:rPr>
        <w:t>Sh</w:t>
      </w:r>
      <w:r w:rsidRPr="008F03E5">
        <w:t xml:space="preserve">áh ‘Abdu’l-‘Aẓim Shrine (in </w:t>
      </w:r>
      <w:r w:rsidRPr="008F03E5">
        <w:rPr>
          <w:u w:val="single"/>
        </w:rPr>
        <w:t>Sh</w:t>
      </w:r>
      <w:r w:rsidRPr="008F03E5">
        <w:t>ahr-i-Ray)</w:t>
      </w:r>
    </w:p>
    <w:p w14:paraId="72159BD0" w14:textId="77777777" w:rsidR="00625A5B" w:rsidRPr="008F03E5" w:rsidRDefault="00625A5B" w:rsidP="00F87A63">
      <w:pPr>
        <w:pStyle w:val="Translit"/>
      </w:pPr>
      <w:r w:rsidRPr="008F03E5">
        <w:t>Andarun</w:t>
      </w:r>
      <w:r w:rsidRPr="008F03E5">
        <w:tab/>
        <w:t>Andarún</w:t>
      </w:r>
      <w:r w:rsidRPr="008F03E5">
        <w:tab/>
        <w:t xml:space="preserve">Pers. within; the inside; the heart, bowels; intrinsic, interior, internal.  Village 190 km </w:t>
      </w:r>
      <w:r w:rsidRPr="008F03E5">
        <w:rPr>
          <w:sz w:val="16"/>
          <w:szCs w:val="16"/>
        </w:rPr>
        <w:t>ESE</w:t>
      </w:r>
      <w:r w:rsidRPr="008F03E5">
        <w:t xml:space="preserve"> of Ahvaz, Iran</w:t>
      </w:r>
    </w:p>
    <w:p w14:paraId="420773A6" w14:textId="77777777" w:rsidR="00625A5B" w:rsidRPr="008F03E5" w:rsidRDefault="00625A5B" w:rsidP="00F87A63">
      <w:pPr>
        <w:pStyle w:val="Translit"/>
      </w:pPr>
      <w:r w:rsidRPr="008F03E5">
        <w:t>Andaruni</w:t>
      </w:r>
      <w:r w:rsidRPr="008F03E5">
        <w:tab/>
        <w:t>Andarúní</w:t>
      </w:r>
      <w:r w:rsidRPr="008F03E5">
        <w:tab/>
        <w:t>interior; inner women’s apartments.  See biruni</w:t>
      </w:r>
    </w:p>
    <w:p w14:paraId="32EC6F29" w14:textId="77777777" w:rsidR="00625A5B" w:rsidRPr="008F03E5" w:rsidRDefault="00625A5B" w:rsidP="00FD2C33">
      <w:pPr>
        <w:pStyle w:val="Translit"/>
      </w:pPr>
      <w:r w:rsidRPr="008F03E5">
        <w:rPr>
          <w:rFonts w:eastAsia="PMingLiU"/>
          <w:lang w:eastAsia="zh-TW"/>
        </w:rPr>
        <w:t>Andarz</w:t>
      </w:r>
      <w:r w:rsidRPr="008F03E5">
        <w:rPr>
          <w:rFonts w:eastAsia="PMingLiU"/>
          <w:lang w:eastAsia="zh-TW"/>
        </w:rPr>
        <w:tab/>
      </w:r>
      <w:r w:rsidRPr="008F03E5">
        <w:rPr>
          <w:rFonts w:eastAsia="Times New Roman"/>
        </w:rPr>
        <w:t>Andarz</w:t>
      </w:r>
      <w:r w:rsidRPr="008F03E5">
        <w:rPr>
          <w:rFonts w:eastAsia="Times New Roman"/>
        </w:rPr>
        <w:tab/>
        <w:t>Pers. a</w:t>
      </w:r>
      <w:r w:rsidRPr="008F03E5">
        <w:t xml:space="preserve"> testament, last will.  It is most often applied to remarks made by a prominent person to his son, his courtiers, “people of the world,” etc., and commonly indicates a spiritual testament.  As a literary designation, it denotes the type of literature which contains advice and injunctions for proper behavior, whether in matters of state, everyday life, or religion.</w:t>
      </w:r>
    </w:p>
    <w:p w14:paraId="33715927" w14:textId="77777777" w:rsidR="00625A5B" w:rsidRPr="008F03E5" w:rsidRDefault="00625A5B" w:rsidP="00F87A63">
      <w:pPr>
        <w:pStyle w:val="Translit"/>
        <w:rPr>
          <w:rFonts w:eastAsia="PMingLiU"/>
          <w:lang w:eastAsia="zh-TW"/>
        </w:rPr>
      </w:pPr>
      <w:r w:rsidRPr="008F03E5">
        <w:rPr>
          <w:rFonts w:eastAsia="PMingLiU"/>
          <w:lang w:eastAsia="zh-TW"/>
        </w:rPr>
        <w:t>Andirm</w:t>
      </w:r>
      <w:r w:rsidRPr="008F03E5">
        <w:t>a</w:t>
      </w:r>
      <w:r w:rsidRPr="008F03E5">
        <w:rPr>
          <w:rFonts w:eastAsia="PMingLiU"/>
          <w:lang w:eastAsia="zh-TW"/>
        </w:rPr>
        <w:t>n</w:t>
      </w:r>
      <w:r w:rsidRPr="008F03E5">
        <w:t>i (Andarmani)</w:t>
      </w:r>
      <w:r w:rsidRPr="008F03E5">
        <w:tab/>
        <w:t>Á</w:t>
      </w:r>
      <w:r w:rsidRPr="008F03E5">
        <w:rPr>
          <w:rFonts w:eastAsia="PMingLiU"/>
          <w:lang w:eastAsia="zh-TW"/>
        </w:rPr>
        <w:t>ndirm</w:t>
      </w:r>
      <w:r w:rsidRPr="008F03E5">
        <w:t>á</w:t>
      </w:r>
      <w:r w:rsidRPr="008F03E5">
        <w:rPr>
          <w:rFonts w:eastAsia="PMingLiU"/>
          <w:lang w:eastAsia="zh-TW"/>
        </w:rPr>
        <w:t>n</w:t>
      </w:r>
      <w:r w:rsidRPr="008F03E5">
        <w:t>í</w:t>
      </w:r>
      <w:r w:rsidRPr="008F03E5">
        <w:tab/>
        <w:t>probably Ándarmání, of or from Ándarmán.  See Ándarmán.</w:t>
      </w:r>
    </w:p>
    <w:p w14:paraId="1E75FE2B" w14:textId="77777777" w:rsidR="00625A5B" w:rsidRPr="008F03E5" w:rsidRDefault="00625A5B" w:rsidP="00F87A63">
      <w:pPr>
        <w:pStyle w:val="Translit"/>
      </w:pPr>
      <w:r w:rsidRPr="008F03E5">
        <w:t>Andulus</w:t>
      </w:r>
      <w:r w:rsidRPr="008F03E5">
        <w:tab/>
        <w:t>al-Andalus</w:t>
      </w:r>
      <w:r w:rsidRPr="008F03E5">
        <w:tab/>
        <w:t>Spain</w:t>
      </w:r>
    </w:p>
    <w:p w14:paraId="2FA478A9" w14:textId="77777777" w:rsidR="00625A5B" w:rsidRPr="008F03E5" w:rsidRDefault="00625A5B" w:rsidP="00F87A63">
      <w:pPr>
        <w:pStyle w:val="Translit"/>
      </w:pPr>
      <w:r w:rsidRPr="008F03E5">
        <w:t>Anfusihim</w:t>
      </w:r>
      <w:r w:rsidRPr="008F03E5">
        <w:tab/>
        <w:t>Anfusihim</w:t>
      </w:r>
      <w:r w:rsidRPr="008F03E5">
        <w:tab/>
        <w:t>themselves</w:t>
      </w:r>
    </w:p>
    <w:p w14:paraId="53B5B858" w14:textId="77777777" w:rsidR="00625A5B" w:rsidRPr="008F03E5" w:rsidRDefault="00625A5B" w:rsidP="00F87A63">
      <w:pPr>
        <w:pStyle w:val="Translit"/>
      </w:pPr>
      <w:r w:rsidRPr="008F03E5">
        <w:t>Angiz (Angez)</w:t>
      </w:r>
      <w:r w:rsidRPr="008F03E5">
        <w:tab/>
        <w:t>Ángíz</w:t>
      </w:r>
      <w:r w:rsidRPr="008F03E5">
        <w:tab/>
        <w:t>Pers. r</w:t>
      </w:r>
      <w:r w:rsidRPr="008F03E5">
        <w:rPr>
          <w:rFonts w:eastAsia="Times New Roman"/>
        </w:rPr>
        <w:t xml:space="preserve">aised, elevated; (in compounds) exciting, raising. </w:t>
      </w:r>
      <w:r w:rsidRPr="008F03E5">
        <w:t xml:space="preserve"> village 84 km </w:t>
      </w:r>
      <w:r w:rsidRPr="008F03E5">
        <w:rPr>
          <w:sz w:val="16"/>
          <w:szCs w:val="16"/>
        </w:rPr>
        <w:t>SW</w:t>
      </w:r>
      <w:r w:rsidRPr="008F03E5">
        <w:t xml:space="preserve"> Ardabíl, and 95 km east of Tabríz, Iran.</w:t>
      </w:r>
    </w:p>
    <w:p w14:paraId="7D6DF6B6" w14:textId="77777777" w:rsidR="00625A5B" w:rsidRPr="008F03E5" w:rsidRDefault="00625A5B" w:rsidP="00F87A63">
      <w:pPr>
        <w:pStyle w:val="Translit"/>
      </w:pPr>
      <w:r w:rsidRPr="008F03E5">
        <w:t>Angur</w:t>
      </w:r>
      <w:r w:rsidRPr="008F03E5">
        <w:tab/>
        <w:t>Angúr</w:t>
      </w:r>
      <w:r w:rsidRPr="008F03E5">
        <w:tab/>
        <w:t>Pers. a grape, a raisin; granulations in a healing sore [angoor]</w:t>
      </w:r>
    </w:p>
    <w:p w14:paraId="7E9E8FC9" w14:textId="77777777" w:rsidR="00625A5B" w:rsidRDefault="00625A5B" w:rsidP="006C481D">
      <w:pPr>
        <w:pStyle w:val="Translit"/>
      </w:pPr>
      <w:r w:rsidRPr="008F03E5">
        <w:t>Anis, Anisa</w:t>
      </w:r>
      <w:r w:rsidRPr="008F03E5">
        <w:tab/>
        <w:t>Anís, fem. Anís</w:t>
      </w:r>
      <w:r>
        <w:t>a[h or t]</w:t>
      </w:r>
      <w:r w:rsidRPr="008F03E5">
        <w:tab/>
        <w:t>close, intimate; close friend; friendly, kind, affable, civil, polite, courteous.  Close Companion, Anís, is the title of Mírzá Muḥammad-‘Alí</w:t>
      </w:r>
      <w:r>
        <w:t>y</w:t>
      </w:r>
      <w:r w:rsidRPr="008F03E5">
        <w:t>-i-Zunúzí, the companion of the Báb in martyrdom, and Ḥájí Muḥammad-Ismá‘íl (referred to as Anís in Súriy-i-Ra’ís).</w:t>
      </w:r>
    </w:p>
    <w:p w14:paraId="23FF12F9" w14:textId="77777777" w:rsidR="00625A5B" w:rsidRPr="008F03E5" w:rsidRDefault="00625A5B" w:rsidP="007F74F3">
      <w:pPr>
        <w:pStyle w:val="Translit"/>
      </w:pPr>
      <w:r w:rsidRPr="008F03E5">
        <w:t>Anisa</w:t>
      </w:r>
      <w:r w:rsidRPr="008F03E5">
        <w:tab/>
        <w:t>Anísá</w:t>
      </w:r>
      <w:r w:rsidRPr="008F03E5">
        <w:tab/>
        <w:t xml:space="preserve">‘Abdu’l-Bahá:  By the </w:t>
      </w:r>
      <w:r>
        <w:t xml:space="preserve">gathering together under the shade of the </w:t>
      </w:r>
      <w:r w:rsidRPr="008F03E5">
        <w:t xml:space="preserve">symbolic </w:t>
      </w:r>
      <w:r>
        <w:t>“</w:t>
      </w:r>
      <w:r w:rsidRPr="008F03E5">
        <w:t xml:space="preserve">Tree of Anísá </w:t>
      </w:r>
      <w:r>
        <w:t xml:space="preserve">[Pers. </w:t>
      </w:r>
      <w:r w:rsidRPr="002A4A71">
        <w:rPr>
          <w:rFonts w:hint="eastAsia"/>
          <w:rtl/>
        </w:rPr>
        <w:t>شجره</w:t>
      </w:r>
      <w:r w:rsidRPr="002A4A71">
        <w:rPr>
          <w:rtl/>
        </w:rPr>
        <w:t xml:space="preserve"> </w:t>
      </w:r>
      <w:r w:rsidRPr="002A4A71">
        <w:rPr>
          <w:rFonts w:hint="eastAsia"/>
          <w:rtl/>
        </w:rPr>
        <w:t>انيسا</w:t>
      </w:r>
      <w:r>
        <w:t xml:space="preserve">, </w:t>
      </w:r>
      <w:r w:rsidRPr="006C481D">
        <w:rPr>
          <w:u w:val="single"/>
        </w:rPr>
        <w:t>sh</w:t>
      </w:r>
      <w:r>
        <w:t>ajarah an</w:t>
      </w:r>
      <w:r w:rsidRPr="006C481D">
        <w:t>í</w:t>
      </w:r>
      <w:r>
        <w:t>s</w:t>
      </w:r>
      <w:r w:rsidRPr="006C481D">
        <w:t>á</w:t>
      </w:r>
      <w:r>
        <w:t>] is meant the Tabernacle of the Lord of Grace, the divine Lote-Tree, the Tree of Life, "the Olive [the blessed tree] that belongeth neither to the East nor to the West, whose oil would well nigh shine out even though fire touched it not”. (</w:t>
      </w:r>
      <w:r w:rsidRPr="008F03E5">
        <w:t>Qur’án 24:35</w:t>
      </w:r>
      <w:r>
        <w:t>)  Shoghi Effendi said at times it refers to the Temple of the Manifestation.  S</w:t>
      </w:r>
      <w:r w:rsidRPr="008F03E5">
        <w:t xml:space="preserve">ee </w:t>
      </w:r>
      <w:r w:rsidRPr="008F03E5">
        <w:rPr>
          <w:i/>
          <w:iCs/>
        </w:rPr>
        <w:t>The Hidden Words</w:t>
      </w:r>
      <w:r w:rsidRPr="008F03E5">
        <w:t>, Persian 19</w:t>
      </w:r>
      <w:r>
        <w:t>.</w:t>
      </w:r>
    </w:p>
    <w:p w14:paraId="0B87A52A" w14:textId="77777777" w:rsidR="00625A5B" w:rsidRPr="008F03E5" w:rsidRDefault="00625A5B" w:rsidP="008E5802">
      <w:pPr>
        <w:pStyle w:val="Translit"/>
      </w:pPr>
      <w:r w:rsidRPr="008F03E5">
        <w:t>Anjuman (Anjoman)</w:t>
      </w:r>
      <w:r w:rsidRPr="008F03E5">
        <w:tab/>
        <w:t>Anjuman</w:t>
      </w:r>
      <w:r w:rsidRPr="008F03E5">
        <w:tab/>
        <w:t>Pers. a company, assembly, society, banquet, congregation, synagogue, congress, any place where people meet and converse; a multitude</w:t>
      </w:r>
    </w:p>
    <w:p w14:paraId="6DD7F367" w14:textId="77777777" w:rsidR="00625A5B" w:rsidRPr="008F03E5" w:rsidRDefault="00625A5B" w:rsidP="00F87A63">
      <w:pPr>
        <w:pStyle w:val="Translit"/>
      </w:pPr>
      <w:r w:rsidRPr="008F03E5">
        <w:t>Ankabut, Anakib</w:t>
      </w:r>
      <w:r w:rsidRPr="008F03E5">
        <w:tab/>
        <w:t>‘Ankabút, pl. ‘Anákib</w:t>
      </w:r>
      <w:r w:rsidRPr="008F03E5">
        <w:tab/>
        <w:t>spider</w:t>
      </w:r>
    </w:p>
    <w:p w14:paraId="10A1AAA3" w14:textId="77777777" w:rsidR="00625A5B" w:rsidRPr="008F03E5" w:rsidRDefault="00625A5B" w:rsidP="00B064AF">
      <w:pPr>
        <w:pStyle w:val="Translit"/>
      </w:pPr>
      <w:r w:rsidRPr="008F03E5">
        <w:t>Anqa’ (‘Anka)</w:t>
      </w:r>
      <w:r w:rsidRPr="008F03E5">
        <w:tab/>
        <w:t>‘Anqá’</w:t>
      </w:r>
      <w:r w:rsidRPr="008F03E5">
        <w:tab/>
        <w:t>a legendary bird, griffon</w:t>
      </w:r>
    </w:p>
    <w:p w14:paraId="251BD834" w14:textId="77777777" w:rsidR="00625A5B" w:rsidRPr="008F03E5" w:rsidRDefault="00625A5B" w:rsidP="00283BB1">
      <w:pPr>
        <w:pStyle w:val="Translit"/>
      </w:pPr>
      <w:r w:rsidRPr="008F03E5">
        <w:t>Anqura</w:t>
      </w:r>
      <w:r w:rsidRPr="008F03E5">
        <w:tab/>
        <w:t>Ánqura[h</w:t>
      </w:r>
      <w:r>
        <w:t xml:space="preserve"> or t</w:t>
      </w:r>
      <w:r w:rsidRPr="008F03E5">
        <w:t>]</w:t>
      </w:r>
      <w:r w:rsidRPr="008F03E5">
        <w:tab/>
        <w:t>Greek Ánkyra (“anchor”); Ánqurah or Ankara</w:t>
      </w:r>
      <w:r>
        <w:t>,</w:t>
      </w:r>
      <w:r w:rsidRPr="008F03E5">
        <w:t xml:space="preserve"> capital of </w:t>
      </w:r>
      <w:r w:rsidRPr="00283BB1">
        <w:t>Türkiye</w:t>
      </w:r>
    </w:p>
    <w:p w14:paraId="38420414" w14:textId="77777777" w:rsidR="00625A5B" w:rsidRPr="008F03E5" w:rsidRDefault="00625A5B" w:rsidP="00E645BA">
      <w:pPr>
        <w:pStyle w:val="Translit"/>
      </w:pPr>
      <w:r w:rsidRPr="008F03E5">
        <w:rPr>
          <w:rFonts w:eastAsia="Times New Roman"/>
        </w:rPr>
        <w:t>Ans</w:t>
      </w:r>
      <w:r w:rsidRPr="008F03E5">
        <w:rPr>
          <w:rFonts w:eastAsia="Times New Roman"/>
        </w:rPr>
        <w:tab/>
        <w:t>‘Ans</w:t>
      </w:r>
      <w:r w:rsidRPr="008F03E5">
        <w:rPr>
          <w:rFonts w:eastAsia="Times New Roman"/>
        </w:rPr>
        <w:tab/>
        <w:t>bending (a stick); a strong she-camel with a long tail; an eagle.</w:t>
      </w:r>
    </w:p>
    <w:p w14:paraId="57A34E27" w14:textId="77777777" w:rsidR="00625A5B" w:rsidRPr="008F03E5" w:rsidRDefault="00625A5B" w:rsidP="00C86489">
      <w:pPr>
        <w:pStyle w:val="Translit"/>
      </w:pPr>
      <w:r w:rsidRPr="008F03E5">
        <w:t>Ansari, Ansariyyah</w:t>
      </w:r>
      <w:r w:rsidRPr="008F03E5">
        <w:tab/>
        <w:t>Anṣárí, pl. Anṣaríyyah</w:t>
      </w:r>
      <w:r w:rsidRPr="008F03E5">
        <w:tab/>
        <w:t xml:space="preserve">related to Anṣár, the Helpers.  Those who rallied around Muḥammad after His flight from Mecca to Medina.  Anṣaríyyah is believed to be a mistranscription of Nuṣayríyyah.  Abú al-Qásim </w:t>
      </w:r>
      <w:r w:rsidRPr="008F03E5">
        <w:rPr>
          <w:u w:val="single"/>
        </w:rPr>
        <w:t>Kh</w:t>
      </w:r>
      <w:r w:rsidRPr="008F03E5">
        <w:t>alaf ibn al-‘Abbás a</w:t>
      </w:r>
      <w:r>
        <w:t>z</w:t>
      </w:r>
      <w:r w:rsidRPr="008F03E5">
        <w:t>-Zahráwí al-Anṣárí (936–1013), popularly known as a</w:t>
      </w:r>
      <w:r>
        <w:t>z</w:t>
      </w:r>
      <w:r w:rsidRPr="008F03E5">
        <w:t>-Zahrawi, Latinized as Abulcasis, was an Arab Andalusian physician, surgeon and chemist. Considered to be the greatest surgeon of the Middle Ages.  See Náṣir (helper) and ‘Alawí.</w:t>
      </w:r>
    </w:p>
    <w:p w14:paraId="2EFA14AC" w14:textId="77777777" w:rsidR="00625A5B" w:rsidRPr="008F03E5" w:rsidRDefault="00625A5B" w:rsidP="00E645BA">
      <w:pPr>
        <w:pStyle w:val="Translit"/>
      </w:pPr>
      <w:r w:rsidRPr="008F03E5">
        <w:t>Ansi</w:t>
      </w:r>
      <w:r w:rsidRPr="008F03E5">
        <w:tab/>
        <w:t>‘Ansí</w:t>
      </w:r>
      <w:r w:rsidRPr="008F03E5">
        <w:tab/>
        <w:t xml:space="preserve">al-‘Ansí is an ancient and prolific tribe originating in the Ḥaḍramawt region of Yemen.  After the final breach of the Ma’rib Dam about </w:t>
      </w:r>
      <w:r w:rsidRPr="008F03E5">
        <w:rPr>
          <w:sz w:val="16"/>
          <w:szCs w:val="16"/>
        </w:rPr>
        <w:t>CE</w:t>
      </w:r>
      <w:r w:rsidRPr="008F03E5">
        <w:t xml:space="preserve"> 570, its members spread across the Arabian Peninsula.  al-Aswad ibn-Ka‘b ibn-‘Awf al-‘Ansí, better known as Abhala bin Ka‘b.  Also known as </w:t>
      </w:r>
      <w:r w:rsidRPr="008F03E5">
        <w:rPr>
          <w:u w:val="single"/>
        </w:rPr>
        <w:t>Dh</w:t>
      </w:r>
      <w:r w:rsidRPr="008F03E5">
        <w:t>ú’l-Ḥimári’l-Aswad.  He was a leader of the al-Ansí tribe and was the second false prophet—he declared when Muḥammad became ill after his final pilgrimage to Mecca.</w:t>
      </w:r>
    </w:p>
    <w:p w14:paraId="4AF7D08B" w14:textId="77777777" w:rsidR="00625A5B" w:rsidRPr="008F03E5" w:rsidRDefault="00625A5B" w:rsidP="00A75FFA">
      <w:pPr>
        <w:pStyle w:val="Translit"/>
      </w:pPr>
      <w:r w:rsidRPr="008F03E5">
        <w:t>Antun (Anton, Antoun)</w:t>
      </w:r>
      <w:r w:rsidRPr="008F03E5">
        <w:tab/>
        <w:t>Antún</w:t>
      </w:r>
      <w:r w:rsidRPr="008F03E5">
        <w:tab/>
        <w:t>Latin Anthony</w:t>
      </w:r>
    </w:p>
    <w:p w14:paraId="200837F8" w14:textId="77777777" w:rsidR="00625A5B" w:rsidRPr="008F03E5" w:rsidRDefault="00625A5B" w:rsidP="00F87A63">
      <w:pPr>
        <w:pStyle w:val="Translit"/>
      </w:pPr>
      <w:r w:rsidRPr="008F03E5">
        <w:t>Anud</w:t>
      </w:r>
      <w:r w:rsidRPr="008F03E5">
        <w:tab/>
        <w:t>‘Anúd</w:t>
      </w:r>
      <w:r w:rsidRPr="008F03E5">
        <w:tab/>
        <w:t>(“anoud”, not ánúd) contumacious (stubbornly or wilfully disobedient to authority), refractory, wayward; a cloud big with rain</w:t>
      </w:r>
    </w:p>
    <w:p w14:paraId="7657E5E7" w14:textId="77777777" w:rsidR="00625A5B" w:rsidRPr="008F03E5" w:rsidRDefault="00625A5B" w:rsidP="001D4088">
      <w:pPr>
        <w:pStyle w:val="Translit"/>
      </w:pPr>
      <w:r w:rsidRPr="008F03E5">
        <w:t>Anushirwan (Anushirvan, Nushirvan)</w:t>
      </w:r>
      <w:r w:rsidRPr="008F03E5">
        <w:tab/>
        <w:t>Anú</w:t>
      </w:r>
      <w:r w:rsidRPr="008F03E5">
        <w:rPr>
          <w:u w:val="single"/>
        </w:rPr>
        <w:t>sh</w:t>
      </w:r>
      <w:r w:rsidRPr="008F03E5">
        <w:t>írwán (Nú</w:t>
      </w:r>
      <w:r w:rsidRPr="008F03E5">
        <w:rPr>
          <w:u w:val="single"/>
        </w:rPr>
        <w:t>sh</w:t>
      </w:r>
      <w:r w:rsidRPr="008F03E5">
        <w:t>írván)</w:t>
      </w:r>
      <w:r w:rsidRPr="008F03E5">
        <w:tab/>
      </w:r>
      <w:r>
        <w:t xml:space="preserve">“immortal soul” or “eternal spirit”.  </w:t>
      </w:r>
      <w:r w:rsidRPr="008F03E5">
        <w:t>Sásáníyán king of Persia known for his just rule (</w:t>
      </w:r>
      <w:r w:rsidRPr="008F03E5">
        <w:rPr>
          <w:sz w:val="16"/>
          <w:szCs w:val="16"/>
        </w:rPr>
        <w:t>CE</w:t>
      </w:r>
      <w:r w:rsidRPr="008F03E5">
        <w:t xml:space="preserve"> 531–578).  The Prophet Muḥammad was born in Arabia at the time of his reign (c. 570–1) (</w:t>
      </w:r>
      <w:r w:rsidRPr="008F03E5">
        <w:rPr>
          <w:sz w:val="16"/>
          <w:szCs w:val="16"/>
        </w:rPr>
        <w:t>SDC</w:t>
      </w:r>
      <w:r w:rsidRPr="008F03E5">
        <w:t xml:space="preserve"> p. 68).  Persians sometimes use Anú</w:t>
      </w:r>
      <w:r w:rsidRPr="008F03E5">
        <w:rPr>
          <w:u w:val="single"/>
        </w:rPr>
        <w:t>sh</w:t>
      </w:r>
      <w:r w:rsidRPr="008F03E5">
        <w:t>írván or even Nú</w:t>
      </w:r>
      <w:r w:rsidRPr="008F03E5">
        <w:rPr>
          <w:u w:val="single"/>
        </w:rPr>
        <w:t>sh</w:t>
      </w:r>
      <w:r w:rsidRPr="008F03E5">
        <w:t>írván.  There are instances of Nú</w:t>
      </w:r>
      <w:r w:rsidRPr="008F03E5">
        <w:rPr>
          <w:u w:val="single"/>
        </w:rPr>
        <w:t>sh</w:t>
      </w:r>
      <w:r w:rsidRPr="008F03E5">
        <w:t>íraván, Nú</w:t>
      </w:r>
      <w:r w:rsidRPr="008F03E5">
        <w:rPr>
          <w:u w:val="single"/>
        </w:rPr>
        <w:t>sh</w:t>
      </w:r>
      <w:r w:rsidRPr="008F03E5">
        <w:t>íruván and Naw</w:t>
      </w:r>
      <w:r w:rsidRPr="008F03E5">
        <w:rPr>
          <w:u w:val="single"/>
        </w:rPr>
        <w:t>sh</w:t>
      </w:r>
      <w:r w:rsidRPr="008F03E5">
        <w:t>íraván (</w:t>
      </w:r>
      <w:r w:rsidRPr="008F03E5">
        <w:rPr>
          <w:sz w:val="16"/>
          <w:szCs w:val="16"/>
        </w:rPr>
        <w:t>MF</w:t>
      </w:r>
      <w:r w:rsidRPr="008F03E5">
        <w:t xml:space="preserve"> 20).</w:t>
      </w:r>
    </w:p>
    <w:p w14:paraId="251BD3B1" w14:textId="77777777" w:rsidR="00625A5B" w:rsidRPr="008F03E5" w:rsidRDefault="00625A5B" w:rsidP="00B6020C">
      <w:pPr>
        <w:pStyle w:val="Translit"/>
        <w:rPr>
          <w:rFonts w:eastAsia="PMingLiU"/>
          <w:lang w:eastAsia="zh-TW"/>
        </w:rPr>
      </w:pPr>
      <w:r w:rsidRPr="008F03E5">
        <w:rPr>
          <w:rFonts w:eastAsia="PMingLiU"/>
          <w:lang w:eastAsia="zh-TW"/>
        </w:rPr>
        <w:t>Anw</w:t>
      </w:r>
      <w:r w:rsidRPr="008F03E5">
        <w:t>a</w:t>
      </w:r>
      <w:r w:rsidRPr="008F03E5">
        <w:rPr>
          <w:rFonts w:eastAsia="PMingLiU"/>
          <w:lang w:eastAsia="zh-TW"/>
        </w:rPr>
        <w:t>ri (Avari)</w:t>
      </w:r>
      <w:r w:rsidRPr="008F03E5">
        <w:tab/>
      </w:r>
      <w:r w:rsidRPr="008F03E5">
        <w:rPr>
          <w:rFonts w:eastAsia="PMingLiU"/>
          <w:lang w:eastAsia="zh-TW"/>
        </w:rPr>
        <w:t>Anw</w:t>
      </w:r>
      <w:r w:rsidRPr="008F03E5">
        <w:t>á</w:t>
      </w:r>
      <w:r w:rsidRPr="008F03E5">
        <w:rPr>
          <w:rFonts w:eastAsia="PMingLiU"/>
          <w:lang w:eastAsia="zh-TW"/>
        </w:rPr>
        <w:t>rí (Anv</w:t>
      </w:r>
      <w:r w:rsidRPr="008F03E5">
        <w:t>á</w:t>
      </w:r>
      <w:r w:rsidRPr="008F03E5">
        <w:rPr>
          <w:rFonts w:eastAsia="PMingLiU"/>
          <w:lang w:eastAsia="zh-TW"/>
        </w:rPr>
        <w:t>r</w:t>
      </w:r>
      <w:r w:rsidRPr="008F03E5">
        <w:t>í)</w:t>
      </w:r>
      <w:r w:rsidRPr="008F03E5">
        <w:tab/>
        <w:t xml:space="preserve">name of a famous Persian poet, who died </w:t>
      </w:r>
      <w:r w:rsidRPr="008F03E5">
        <w:rPr>
          <w:sz w:val="16"/>
          <w:szCs w:val="16"/>
        </w:rPr>
        <w:t>AH</w:t>
      </w:r>
      <w:r w:rsidRPr="008F03E5">
        <w:t xml:space="preserve"> 586/</w:t>
      </w:r>
      <w:r w:rsidRPr="008F03E5">
        <w:rPr>
          <w:sz w:val="16"/>
          <w:szCs w:val="16"/>
        </w:rPr>
        <w:t>CE</w:t>
      </w:r>
      <w:r w:rsidRPr="008F03E5">
        <w:t xml:space="preserve"> 1190.  See núr.</w:t>
      </w:r>
    </w:p>
    <w:p w14:paraId="3795020C" w14:textId="77777777" w:rsidR="00625A5B" w:rsidRPr="008F03E5" w:rsidRDefault="00625A5B" w:rsidP="00283BB1">
      <w:pPr>
        <w:pStyle w:val="Translit"/>
      </w:pPr>
      <w:r w:rsidRPr="008F03E5">
        <w:t>Anyabuli</w:t>
      </w:r>
      <w:r w:rsidRPr="008F03E5">
        <w:tab/>
        <w:t>Anyábulí</w:t>
      </w:r>
      <w:r w:rsidRPr="008F03E5">
        <w:tab/>
        <w:t xml:space="preserve">now Inebolu.  A Black Sea port 225 km </w:t>
      </w:r>
      <w:r w:rsidRPr="008F03E5">
        <w:rPr>
          <w:sz w:val="16"/>
          <w:szCs w:val="16"/>
        </w:rPr>
        <w:t>WNW</w:t>
      </w:r>
      <w:r w:rsidRPr="008F03E5">
        <w:t xml:space="preserve"> of Samsun</w:t>
      </w:r>
      <w:r>
        <w:t xml:space="preserve">, </w:t>
      </w:r>
      <w:r w:rsidRPr="00283BB1">
        <w:t>Türkiye</w:t>
      </w:r>
      <w:r>
        <w:t>.</w:t>
      </w:r>
    </w:p>
    <w:p w14:paraId="6A7C4A8B" w14:textId="77777777" w:rsidR="00625A5B" w:rsidRPr="008F03E5" w:rsidRDefault="00625A5B" w:rsidP="002137BF">
      <w:pPr>
        <w:pStyle w:val="Translit"/>
      </w:pPr>
      <w:r w:rsidRPr="008F03E5">
        <w:t>Anzali</w:t>
      </w:r>
      <w:r w:rsidRPr="008F03E5">
        <w:tab/>
        <w:t>Anzalí</w:t>
      </w:r>
      <w:r w:rsidRPr="008F03E5">
        <w:tab/>
        <w:t xml:space="preserve">Pers. Bandar-i-Anzalí (37.466949, 49.469869), Port of Enzeli, </w:t>
      </w:r>
      <w:r w:rsidRPr="008F03E5">
        <w:rPr>
          <w:sz w:val="16"/>
          <w:szCs w:val="16"/>
        </w:rPr>
        <w:t>SW</w:t>
      </w:r>
      <w:r w:rsidRPr="008F03E5">
        <w:t xml:space="preserve"> end of Caspian Sea, Iran.  See nuzl.</w:t>
      </w:r>
    </w:p>
    <w:p w14:paraId="3D449B93" w14:textId="77777777" w:rsidR="00625A5B" w:rsidRPr="008F03E5" w:rsidRDefault="00625A5B" w:rsidP="000652C7">
      <w:pPr>
        <w:pStyle w:val="Translit"/>
      </w:pPr>
      <w:r w:rsidRPr="008F03E5">
        <w:t>Aq, Ak</w:t>
      </w:r>
      <w:r w:rsidRPr="008F03E5">
        <w:tab/>
        <w:t>Áq</w:t>
      </w:r>
      <w:r w:rsidRPr="008F03E5">
        <w:tab/>
        <w:t>Turkish white</w:t>
      </w:r>
    </w:p>
    <w:p w14:paraId="0C113185" w14:textId="77777777" w:rsidR="00625A5B" w:rsidRPr="008F03E5" w:rsidRDefault="00625A5B" w:rsidP="00F87A63">
      <w:pPr>
        <w:pStyle w:val="Translit"/>
      </w:pPr>
      <w:r w:rsidRPr="008F03E5">
        <w:t>Aqa Baba (Aqa-Baba, Aga Baba)</w:t>
      </w:r>
      <w:r w:rsidRPr="008F03E5">
        <w:tab/>
        <w:t>Áqá Bábá (Áqá-Bábá)</w:t>
      </w:r>
      <w:r w:rsidRPr="008F03E5">
        <w:tab/>
        <w:t>small villages in Qazvin Province:  “Aka-Baba” 21 km south Qazvin and “Aga-Baba” (Á</w:t>
      </w:r>
      <w:r w:rsidRPr="008F03E5">
        <w:rPr>
          <w:u w:val="single"/>
        </w:rPr>
        <w:t>gh</w:t>
      </w:r>
      <w:r w:rsidRPr="008F03E5">
        <w:t xml:space="preserve">a Bábá) 22 km </w:t>
      </w:r>
      <w:r w:rsidRPr="008F03E5">
        <w:rPr>
          <w:sz w:val="16"/>
          <w:szCs w:val="16"/>
        </w:rPr>
        <w:t>SN</w:t>
      </w:r>
      <w:r w:rsidRPr="008F03E5">
        <w:t>W Qazvin</w:t>
      </w:r>
    </w:p>
    <w:p w14:paraId="0AA56A00" w14:textId="77777777" w:rsidR="00625A5B" w:rsidRPr="008F03E5" w:rsidRDefault="00625A5B" w:rsidP="00531D0C">
      <w:pPr>
        <w:pStyle w:val="Translit"/>
      </w:pPr>
      <w:r w:rsidRPr="008F03E5">
        <w:t>Aqa Buzurg-i-Nishapuri</w:t>
      </w:r>
      <w:r w:rsidRPr="008F03E5">
        <w:tab/>
        <w:t>Áqá Buzurg-i-Ní</w:t>
      </w:r>
      <w:r w:rsidRPr="008F03E5">
        <w:rPr>
          <w:u w:val="single"/>
        </w:rPr>
        <w:t>sh</w:t>
      </w:r>
      <w:r w:rsidRPr="008F03E5">
        <w:t>ápúrí</w:t>
      </w:r>
      <w:r w:rsidRPr="008F03E5">
        <w:tab/>
        <w:t xml:space="preserve">born in </w:t>
      </w:r>
      <w:r w:rsidRPr="008F03E5">
        <w:rPr>
          <w:u w:val="single"/>
        </w:rPr>
        <w:t>Kh</w:t>
      </w:r>
      <w:r w:rsidRPr="008F03E5">
        <w:t>urásán, but was the son of Ḥájí ‘Abdu’l-Majíd-i-Ní</w:t>
      </w:r>
      <w:r w:rsidRPr="008F03E5">
        <w:rPr>
          <w:u w:val="single"/>
        </w:rPr>
        <w:t>sh</w:t>
      </w:r>
      <w:r w:rsidRPr="008F03E5">
        <w:t xml:space="preserve">ápúrí.  Bahá’u’lláh sent Áqá Buzurg to Iran with a messenge for Náṣiri’d-Dín </w:t>
      </w:r>
      <w:r w:rsidRPr="008F03E5">
        <w:rPr>
          <w:u w:val="single"/>
        </w:rPr>
        <w:t>Sh</w:t>
      </w:r>
      <w:r w:rsidRPr="008F03E5">
        <w:t>áh.  Áqá Buzurg was then martyred.  He was given the titles Badí‘ (Wonderful) and Fa</w:t>
      </w:r>
      <w:r w:rsidRPr="008F03E5">
        <w:rPr>
          <w:u w:val="single"/>
        </w:rPr>
        <w:t>kh</w:t>
      </w:r>
      <w:r w:rsidRPr="008F03E5">
        <w:t>ru’</w:t>
      </w:r>
      <w:r w:rsidRPr="008F03E5">
        <w:rPr>
          <w:u w:val="single"/>
        </w:rPr>
        <w:t>sh</w:t>
      </w:r>
      <w:r w:rsidRPr="008F03E5">
        <w:t>-</w:t>
      </w:r>
      <w:r w:rsidRPr="008F03E5">
        <w:rPr>
          <w:u w:val="single"/>
        </w:rPr>
        <w:t>Sh</w:t>
      </w:r>
      <w:r w:rsidRPr="008F03E5">
        <w:t>uhadá’ (Pride of Martyrs).</w:t>
      </w:r>
    </w:p>
    <w:p w14:paraId="06E03BB3" w14:textId="77777777" w:rsidR="00625A5B" w:rsidRPr="008F03E5" w:rsidRDefault="00625A5B" w:rsidP="00F87A63">
      <w:pPr>
        <w:pStyle w:val="Translit"/>
      </w:pPr>
      <w:r w:rsidRPr="008F03E5">
        <w:t>Aqa Fatu’llah</w:t>
      </w:r>
      <w:r w:rsidRPr="008F03E5">
        <w:tab/>
        <w:t>Áqá Fatu’lláh</w:t>
      </w:r>
      <w:r w:rsidRPr="008F03E5">
        <w:tab/>
        <w:t>(Fatollah)</w:t>
      </w:r>
    </w:p>
    <w:p w14:paraId="635EF042" w14:textId="77777777" w:rsidR="00625A5B" w:rsidRPr="008F03E5" w:rsidRDefault="00625A5B" w:rsidP="00A80508">
      <w:pPr>
        <w:pStyle w:val="Translit"/>
      </w:pPr>
      <w:r w:rsidRPr="008F03E5">
        <w:t>Aqa Jan Kashani</w:t>
      </w:r>
      <w:r w:rsidRPr="008F03E5">
        <w:tab/>
        <w:t>Áqá Ján Ka</w:t>
      </w:r>
      <w:r w:rsidRPr="008F03E5">
        <w:rPr>
          <w:u w:val="single"/>
        </w:rPr>
        <w:t>sh</w:t>
      </w:r>
      <w:r w:rsidRPr="008F03E5">
        <w:t>ání</w:t>
      </w:r>
      <w:r w:rsidRPr="008F03E5">
        <w:tab/>
        <w:t>Mírzá Áqá Ján Ka</w:t>
      </w:r>
      <w:r w:rsidRPr="008F03E5">
        <w:rPr>
          <w:u w:val="single"/>
        </w:rPr>
        <w:t>sh</w:t>
      </w:r>
      <w:r w:rsidRPr="008F03E5">
        <w:t xml:space="preserve">ání (1837–1901), the first person to believe in Bahá’u’lláh as “Him Whom God shall make manifest”.  Bahá’u’lláh chose him to become His amanuensis (despite his limited education) and gave him the title of </w:t>
      </w:r>
      <w:r w:rsidRPr="008F03E5">
        <w:rPr>
          <w:u w:val="single"/>
        </w:rPr>
        <w:t>Kh</w:t>
      </w:r>
      <w:r w:rsidRPr="008F03E5">
        <w:t xml:space="preserve">ádim (“Servant”) and later </w:t>
      </w:r>
      <w:r w:rsidRPr="008F03E5">
        <w:rPr>
          <w:u w:val="single"/>
        </w:rPr>
        <w:t>Kh</w:t>
      </w:r>
      <w:r w:rsidRPr="008F03E5">
        <w:t xml:space="preserve">ádimu’lláh (“Servant of God”).  Áqá Ján served as Bahá’u’lláh’s amanuensis for nearly 40 years, but was dismissed shortly before Bahá’u’lláh died in 1892.  During Bahá’u’lláh’s retirement to the mountains of Kurdistan, Mírzá Áqá Ján worked for Mírzá Yaḥyá and even went on a secret mission to assassinate Násiri’d-Dín </w:t>
      </w:r>
      <w:r w:rsidRPr="008F03E5">
        <w:rPr>
          <w:u w:val="single"/>
        </w:rPr>
        <w:t>Sh</w:t>
      </w:r>
      <w:r w:rsidRPr="008F03E5">
        <w:t>áh.  He became a Covenant-Breaker about 1897.</w:t>
      </w:r>
    </w:p>
    <w:p w14:paraId="4C33F096" w14:textId="77777777" w:rsidR="00625A5B" w:rsidRPr="008F03E5" w:rsidRDefault="00625A5B" w:rsidP="000F4620">
      <w:pPr>
        <w:pStyle w:val="Translit"/>
      </w:pPr>
      <w:r w:rsidRPr="008F03E5">
        <w:t>Aqa Jan-i-Kaj-Kulah</w:t>
      </w:r>
      <w:r w:rsidRPr="008F03E5">
        <w:tab/>
        <w:t>Áqá Ján-i-Kaj-Kuláh</w:t>
      </w:r>
      <w:r w:rsidRPr="008F03E5">
        <w:tab/>
        <w:t>Áqá Ján was a native of Salmás in Á</w:t>
      </w:r>
      <w:r w:rsidRPr="008F03E5">
        <w:rPr>
          <w:u w:val="single"/>
        </w:rPr>
        <w:t>dh</w:t>
      </w:r>
      <w:r w:rsidRPr="008F03E5">
        <w:t>arbáyján.  Originally an officer in the Persian army, he defected to the Ottomans and joined the Ottoman army as an artillery officer.  He retired as a Colonel in 1866.  He became an accomplice of Siyyid Muḥammad Iṣfahání and was known as kaj-kuláh (“Skew-cap”).  Seven Bahá’ís murdered Siyyid Muḥammad Iṣfahání, Áqá Ján and Mírzá Riḍá-Qulí</w:t>
      </w:r>
      <w:r>
        <w:t>y</w:t>
      </w:r>
      <w:r w:rsidRPr="008F03E5">
        <w:t>-i-Tafri</w:t>
      </w:r>
      <w:r w:rsidRPr="008F03E5">
        <w:rPr>
          <w:u w:val="single"/>
        </w:rPr>
        <w:t>sh</w:t>
      </w:r>
      <w:r w:rsidRPr="008F03E5">
        <w:t>í in ‘Akká on 22 January 1872.</w:t>
      </w:r>
    </w:p>
    <w:p w14:paraId="7FA197CF" w14:textId="77777777" w:rsidR="00625A5B" w:rsidRPr="008F03E5" w:rsidRDefault="00625A5B" w:rsidP="00F87A63">
      <w:pPr>
        <w:pStyle w:val="Translit"/>
      </w:pPr>
      <w:r w:rsidRPr="008F03E5">
        <w:t>Aqa Mirza ‘Abdu’-r-Rahim-i-Burujirdi</w:t>
      </w:r>
      <w:r w:rsidRPr="008F03E5">
        <w:tab/>
        <w:t>Áqá Mírzá ‘Abdu’-r-Raḥím-i-Burújirdí</w:t>
      </w:r>
      <w:r w:rsidRPr="008F03E5">
        <w:tab/>
        <w:t>(Boroodjerdy)</w:t>
      </w:r>
    </w:p>
    <w:p w14:paraId="7549E0EC" w14:textId="77777777" w:rsidR="00625A5B" w:rsidRPr="008F03E5" w:rsidRDefault="00625A5B" w:rsidP="00F87A63">
      <w:pPr>
        <w:pStyle w:val="Translit"/>
      </w:pPr>
      <w:r w:rsidRPr="008F03E5">
        <w:t>Aqa Najaf</w:t>
      </w:r>
      <w:r w:rsidRPr="008F03E5">
        <w:rPr>
          <w:rFonts w:eastAsia="PMingLiU"/>
          <w:lang w:eastAsia="zh-TW"/>
        </w:rPr>
        <w:t>-‘</w:t>
      </w:r>
      <w:r w:rsidRPr="008F03E5">
        <w:t>Aliy-i-Zanjani</w:t>
      </w:r>
      <w:r w:rsidRPr="008F03E5">
        <w:tab/>
        <w:t>Áqá Najaf-‘Alíy-i-Zanjání</w:t>
      </w:r>
      <w:r w:rsidRPr="008F03E5">
        <w:tab/>
      </w:r>
    </w:p>
    <w:p w14:paraId="2E46C030" w14:textId="77777777" w:rsidR="00625A5B" w:rsidRPr="008F03E5" w:rsidRDefault="00625A5B" w:rsidP="00F87A63">
      <w:pPr>
        <w:pStyle w:val="Translit"/>
      </w:pPr>
      <w:r w:rsidRPr="008F03E5">
        <w:t>Aqa Siyyid</w:t>
      </w:r>
      <w:r w:rsidRPr="008F03E5">
        <w:tab/>
        <w:t>Áqá Siyyid</w:t>
      </w:r>
      <w:r w:rsidRPr="008F03E5">
        <w:tab/>
        <w:t>[Asseyid is an abbreviation]</w:t>
      </w:r>
    </w:p>
    <w:p w14:paraId="6B47AE0D" w14:textId="77777777" w:rsidR="00625A5B" w:rsidRPr="008F03E5" w:rsidRDefault="00625A5B" w:rsidP="00DB3DD0">
      <w:pPr>
        <w:pStyle w:val="Translit"/>
      </w:pPr>
      <w:r w:rsidRPr="008F03E5">
        <w:t>Aqa, Aqayan</w:t>
      </w:r>
      <w:r w:rsidRPr="008F03E5">
        <w:tab/>
        <w:t>Áqá, pl. Áqáyán</w:t>
      </w:r>
      <w:r w:rsidRPr="008F03E5">
        <w:tab/>
        <w:t>Pers. master, sir, gentleman; when affixed to a name means Mr (a male honorific title—‘the Master’).  Sarkár Áqá (Chief Master) or Áqá was a title given by Bahá’u’lláh solely to ‘Abdu’l-Bahá.</w:t>
      </w:r>
    </w:p>
    <w:p w14:paraId="37ED26E7" w14:textId="77777777" w:rsidR="00625A5B" w:rsidRPr="008F03E5" w:rsidRDefault="00625A5B" w:rsidP="00F87A63">
      <w:pPr>
        <w:pStyle w:val="Translit"/>
      </w:pPr>
      <w:r w:rsidRPr="008F03E5">
        <w:t>Aqaba</w:t>
      </w:r>
      <w:r w:rsidRPr="008F03E5">
        <w:tab/>
        <w:t>‘Aqaba</w:t>
      </w:r>
      <w:r w:rsidRPr="008F03E5">
        <w:tab/>
        <w:t>to follow (someone, something or after someone, after something), succeed (someone, something); to come after, ensue; to continue</w:t>
      </w:r>
    </w:p>
    <w:p w14:paraId="1FFA4143" w14:textId="77777777" w:rsidR="00625A5B" w:rsidRPr="008F03E5" w:rsidRDefault="00625A5B" w:rsidP="00DF4B8C">
      <w:pPr>
        <w:pStyle w:val="Translit"/>
      </w:pPr>
      <w:r w:rsidRPr="008F03E5">
        <w:t>Aqaba, ‘Iqab</w:t>
      </w:r>
      <w:r w:rsidRPr="008F03E5">
        <w:tab/>
        <w:t>‘Aqaba[h or t], pl. ‘Iqáb</w:t>
      </w:r>
      <w:r w:rsidRPr="008F03E5">
        <w:tab/>
        <w:t>a</w:t>
      </w:r>
      <w:r w:rsidRPr="008F03E5">
        <w:rPr>
          <w:rFonts w:eastAsia="Times New Roman"/>
        </w:rPr>
        <w:t xml:space="preserve"> tendon; mountain pass; the summit of Miná, where Mu</w:t>
      </w:r>
      <w:r w:rsidRPr="008F03E5">
        <w:t>ḥ</w:t>
      </w:r>
      <w:r w:rsidRPr="008F03E5">
        <w:rPr>
          <w:rFonts w:eastAsia="Times New Roman"/>
        </w:rPr>
        <w:t xml:space="preserve">ammad was first publicly acknowledged by a number of persons; steep mountain-summits difficult of approach;—pl. declivities or difficult passages of mountains. </w:t>
      </w:r>
      <w:r w:rsidRPr="008F03E5">
        <w:t xml:space="preserve"> al-‘Aqaba (ancient name Elath, Ailath; modern name a shortened form of ‘aqabat Aylah, “the mountain-pass of Ayla”), the only coastal city in Jordan at the northern end of the Gulf of ‘Aqaba.  Pledge of al-‘Aqaba (al-bay‘a al-‘Aqaba) is the oath of allegiance of people from Ya</w:t>
      </w:r>
      <w:r w:rsidRPr="008F03E5">
        <w:rPr>
          <w:u w:val="single"/>
        </w:rPr>
        <w:t>th</w:t>
      </w:r>
      <w:r w:rsidRPr="008F03E5">
        <w:t>rib to Muḥammad, prior to his emigration to Ya</w:t>
      </w:r>
      <w:r w:rsidRPr="008F03E5">
        <w:rPr>
          <w:u w:val="single"/>
        </w:rPr>
        <w:t>th</w:t>
      </w:r>
      <w:r w:rsidRPr="008F03E5">
        <w:t>rib (later Medina).  The first pledge (known as Bay‘at an-Nisá’ since there was no pledge of war) in 621 and the second pledge (Bay‘at al-Ḥarb) in 622.  The significance of these pledges is that both were important in the preparation for emigration of Muḥammad and Muslims from Mecca to Medina.</w:t>
      </w:r>
    </w:p>
    <w:p w14:paraId="5EA67CE8" w14:textId="77777777" w:rsidR="00625A5B" w:rsidRPr="008F03E5" w:rsidRDefault="00625A5B" w:rsidP="00F87A63">
      <w:pPr>
        <w:pStyle w:val="Translit"/>
      </w:pPr>
      <w:r w:rsidRPr="008F03E5">
        <w:t>Aqasi</w:t>
      </w:r>
      <w:r w:rsidRPr="008F03E5">
        <w:tab/>
        <w:t>Áqásí</w:t>
      </w:r>
      <w:r w:rsidRPr="008F03E5">
        <w:tab/>
        <w:t>Turkish proper name, e.g. Ḥájí Mírzá Áqásí (Grand Vizier of Persia, the Antichrist of the Bábí Revelation)</w:t>
      </w:r>
    </w:p>
    <w:p w14:paraId="3412BAC1" w14:textId="77777777" w:rsidR="00625A5B" w:rsidRPr="008F03E5" w:rsidRDefault="00625A5B" w:rsidP="00F0324F">
      <w:pPr>
        <w:pStyle w:val="Translit"/>
      </w:pPr>
      <w:r w:rsidRPr="008F03E5">
        <w:t>Aqay-i-Kalim</w:t>
      </w:r>
      <w:r w:rsidRPr="008F03E5">
        <w:tab/>
        <w:t>Áqáy-i-Kalím</w:t>
      </w:r>
      <w:r w:rsidRPr="008F03E5">
        <w:tab/>
        <w:t>Mírzá Músá, known as Áqáy-i-Kalím, a faithful brother of Bahá’u’lláh</w:t>
      </w:r>
    </w:p>
    <w:p w14:paraId="4D935C39" w14:textId="77777777" w:rsidR="00625A5B" w:rsidRPr="00D45A23" w:rsidRDefault="00625A5B" w:rsidP="00F87A63">
      <w:pPr>
        <w:pStyle w:val="Translit"/>
        <w:rPr>
          <w:lang w:val="it-IT"/>
        </w:rPr>
      </w:pPr>
      <w:r w:rsidRPr="00D45A23">
        <w:rPr>
          <w:lang w:val="it-IT"/>
        </w:rPr>
        <w:t>Aqay-i-Munir</w:t>
      </w:r>
      <w:r w:rsidRPr="00D45A23">
        <w:rPr>
          <w:lang w:val="it-IT"/>
        </w:rPr>
        <w:tab/>
        <w:t>Áqáy-i-Munír</w:t>
      </w:r>
      <w:r w:rsidRPr="00D45A23">
        <w:rPr>
          <w:lang w:val="it-IT"/>
        </w:rPr>
        <w:tab/>
      </w:r>
    </w:p>
    <w:p w14:paraId="2945D5F1" w14:textId="77777777" w:rsidR="00625A5B" w:rsidRPr="00D45A23" w:rsidRDefault="00625A5B" w:rsidP="00F87A63">
      <w:pPr>
        <w:pStyle w:val="Translit"/>
        <w:rPr>
          <w:lang w:val="it-IT"/>
        </w:rPr>
      </w:pPr>
      <w:r w:rsidRPr="00D45A23">
        <w:rPr>
          <w:lang w:val="it-IT"/>
        </w:rPr>
        <w:t>Aqay-i-Rikab-Saz</w:t>
      </w:r>
      <w:r w:rsidRPr="00D45A23">
        <w:rPr>
          <w:lang w:val="it-IT"/>
        </w:rPr>
        <w:tab/>
        <w:t>Áqáy-i-Rikáb-Sáz</w:t>
      </w:r>
      <w:r w:rsidRPr="00D45A23">
        <w:rPr>
          <w:lang w:val="it-IT"/>
        </w:rPr>
        <w:tab/>
      </w:r>
    </w:p>
    <w:p w14:paraId="772D5337" w14:textId="77777777" w:rsidR="00625A5B" w:rsidRPr="00D45A23" w:rsidRDefault="00625A5B" w:rsidP="00F87A63">
      <w:pPr>
        <w:pStyle w:val="Translit"/>
        <w:rPr>
          <w:lang w:val="it-IT"/>
        </w:rPr>
      </w:pPr>
      <w:r w:rsidRPr="00D45A23">
        <w:rPr>
          <w:lang w:val="it-IT"/>
        </w:rPr>
        <w:t>Aqay-i-Tabrizi</w:t>
      </w:r>
      <w:r w:rsidRPr="00D45A23">
        <w:rPr>
          <w:lang w:val="it-IT"/>
        </w:rPr>
        <w:tab/>
        <w:t>Áqáy-i-Tabrízí</w:t>
      </w:r>
      <w:r w:rsidRPr="00D45A23">
        <w:rPr>
          <w:lang w:val="it-IT"/>
        </w:rPr>
        <w:tab/>
        <w:t>(</w:t>
      </w:r>
      <w:r w:rsidRPr="00D45A23">
        <w:rPr>
          <w:sz w:val="16"/>
          <w:szCs w:val="16"/>
          <w:lang w:val="it-IT"/>
        </w:rPr>
        <w:t>MF</w:t>
      </w:r>
      <w:r w:rsidRPr="00D45A23">
        <w:rPr>
          <w:lang w:val="it-IT"/>
        </w:rPr>
        <w:t>)</w:t>
      </w:r>
    </w:p>
    <w:p w14:paraId="20DE6EED" w14:textId="77777777" w:rsidR="00625A5B" w:rsidRPr="008F03E5" w:rsidRDefault="00625A5B" w:rsidP="0041209F">
      <w:pPr>
        <w:pStyle w:val="Translit"/>
      </w:pPr>
      <w:r w:rsidRPr="008F03E5">
        <w:t>Aqdas</w:t>
      </w:r>
      <w:r w:rsidRPr="008F03E5">
        <w:tab/>
        <w:t>Aqdas</w:t>
      </w:r>
      <w:r w:rsidRPr="008F03E5">
        <w:tab/>
        <w:t>more hallowed, more sacred, holier.  The most holy.  A derivative of qadusa, as is Quds.</w:t>
      </w:r>
    </w:p>
    <w:p w14:paraId="10523D03" w14:textId="77777777" w:rsidR="00625A5B" w:rsidRPr="008F03E5" w:rsidRDefault="00625A5B" w:rsidP="00F87A63">
      <w:pPr>
        <w:pStyle w:val="Translit"/>
      </w:pPr>
      <w:r w:rsidRPr="008F03E5">
        <w:t>Aqida, Aqa’id</w:t>
      </w:r>
      <w:r w:rsidRPr="008F03E5">
        <w:tab/>
        <w:t>‘Aqída[h or t], pl. ‘Aqá’id</w:t>
      </w:r>
      <w:r w:rsidRPr="008F03E5">
        <w:tab/>
        <w:t>article of faith, tenet, doctrine; dogma; creed, faith, belief; conviction; ideology (modern meaning)</w:t>
      </w:r>
    </w:p>
    <w:p w14:paraId="3DFB576F" w14:textId="77777777" w:rsidR="00625A5B" w:rsidRPr="00077779" w:rsidRDefault="00625A5B" w:rsidP="00F87A63">
      <w:pPr>
        <w:pStyle w:val="Translit"/>
        <w:rPr>
          <w:lang w:eastAsia="en-US"/>
        </w:rPr>
      </w:pPr>
      <w:r w:rsidRPr="00077779">
        <w:rPr>
          <w:rFonts w:eastAsia="Times New Roman"/>
        </w:rPr>
        <w:t>Aqil, ‘Uqala’</w:t>
      </w:r>
      <w:r w:rsidRPr="00077779">
        <w:rPr>
          <w:rFonts w:eastAsia="Times New Roman"/>
        </w:rPr>
        <w:tab/>
        <w:t>‘Aqil, pl. ‘Uqalá’</w:t>
      </w:r>
      <w:r w:rsidRPr="00077779">
        <w:rPr>
          <w:rFonts w:eastAsia="Times New Roman"/>
        </w:rPr>
        <w:tab/>
        <w:t>intelligent, wise, judicious (persons)</w:t>
      </w:r>
    </w:p>
    <w:p w14:paraId="6E5611C4" w14:textId="77777777" w:rsidR="00625A5B" w:rsidRPr="00077779" w:rsidRDefault="00625A5B" w:rsidP="00F87A63">
      <w:pPr>
        <w:pStyle w:val="Translit"/>
      </w:pPr>
      <w:r w:rsidRPr="00077779">
        <w:rPr>
          <w:lang w:eastAsia="en-US"/>
        </w:rPr>
        <w:t>Aql al-Awwal</w:t>
      </w:r>
      <w:r w:rsidRPr="00077779">
        <w:rPr>
          <w:lang w:eastAsia="en-US"/>
        </w:rPr>
        <w:tab/>
        <w:t>al-‘Aql al-Awwal</w:t>
      </w:r>
      <w:r w:rsidRPr="00077779">
        <w:rPr>
          <w:lang w:eastAsia="en-US"/>
        </w:rPr>
        <w:tab/>
        <w:t>first intellect</w:t>
      </w:r>
    </w:p>
    <w:p w14:paraId="76F4813D" w14:textId="77777777" w:rsidR="00625A5B" w:rsidRPr="008F03E5" w:rsidRDefault="00625A5B" w:rsidP="00F87A63">
      <w:pPr>
        <w:pStyle w:val="Translit"/>
      </w:pPr>
      <w:r w:rsidRPr="008F03E5">
        <w:t>Aql, ‘Uqul</w:t>
      </w:r>
      <w:r w:rsidRPr="008F03E5">
        <w:tab/>
        <w:t>‘Aql, pl. ‘Uqúl</w:t>
      </w:r>
      <w:r w:rsidRPr="008F03E5">
        <w:tab/>
        <w:t>intellect, intelligence, reason, insight, mind, rationality and wisdom;—(pl.) sense, sentience, reason, understanding, comprehension, discernment, insight, rationality, mind, intellect, intelligence</w:t>
      </w:r>
    </w:p>
    <w:p w14:paraId="1D0EF6BA" w14:textId="77777777" w:rsidR="00625A5B" w:rsidRPr="008F03E5" w:rsidRDefault="00625A5B" w:rsidP="00F87A63">
      <w:pPr>
        <w:pStyle w:val="Translit"/>
      </w:pPr>
      <w:r w:rsidRPr="008F03E5">
        <w:t>Aqli, ‘Aqliyun</w:t>
      </w:r>
      <w:r w:rsidRPr="008F03E5">
        <w:tab/>
        <w:t>‘Aqlí, pl. ‘Aqlíyún</w:t>
      </w:r>
      <w:r w:rsidRPr="008F03E5">
        <w:tab/>
        <w:t>reasonable, rational; ratiocinative; mental; intellectual;—pl. rationalist; an intellectual</w:t>
      </w:r>
    </w:p>
    <w:p w14:paraId="621BF0E5" w14:textId="77777777" w:rsidR="00625A5B" w:rsidRPr="000D6C30" w:rsidRDefault="00625A5B" w:rsidP="000A4276">
      <w:pPr>
        <w:pStyle w:val="Translit"/>
      </w:pPr>
      <w:r w:rsidRPr="000D6C30">
        <w:t>Aqliya</w:t>
      </w:r>
      <w:r w:rsidRPr="000D6C30">
        <w:tab/>
        <w:t>‘Aqlíya[t]</w:t>
      </w:r>
      <w:r w:rsidRPr="000D6C30">
        <w:tab/>
        <w:t>mentality, mental attitude</w:t>
      </w:r>
    </w:p>
    <w:p w14:paraId="64F56B4A" w14:textId="77777777" w:rsidR="00625A5B" w:rsidRPr="008F03E5" w:rsidRDefault="00625A5B" w:rsidP="00BB1F85">
      <w:pPr>
        <w:pStyle w:val="Translit"/>
      </w:pPr>
      <w:r w:rsidRPr="008F03E5">
        <w:t>Aqsa al-Madina</w:t>
      </w:r>
      <w:r w:rsidRPr="008F03E5">
        <w:tab/>
        <w:t>Aqṣ</w:t>
      </w:r>
      <w:r w:rsidRPr="00BB1F85">
        <w:t>á</w:t>
      </w:r>
      <w:r w:rsidRPr="008F03E5">
        <w:t xml:space="preserve"> al-Madína[h or t]</w:t>
      </w:r>
      <w:r w:rsidRPr="008F03E5">
        <w:tab/>
        <w:t xml:space="preserve">most distant part of a city or the most distant city (in a country or world).  e.g. </w:t>
      </w:r>
      <w:r w:rsidRPr="008F03E5">
        <w:rPr>
          <w:u w:val="single"/>
        </w:rPr>
        <w:t>Sh</w:t>
      </w:r>
      <w:r w:rsidRPr="008F03E5">
        <w:t>íráz and Bú</w:t>
      </w:r>
      <w:r w:rsidRPr="008F03E5">
        <w:rPr>
          <w:u w:val="single"/>
        </w:rPr>
        <w:t>sh</w:t>
      </w:r>
      <w:r w:rsidRPr="008F03E5">
        <w:t>ihr.  See Qur’án 36:20.</w:t>
      </w:r>
    </w:p>
    <w:p w14:paraId="3621D784" w14:textId="77777777" w:rsidR="00625A5B" w:rsidRPr="008F03E5" w:rsidRDefault="00625A5B" w:rsidP="00F87A63">
      <w:pPr>
        <w:pStyle w:val="Translit"/>
      </w:pPr>
      <w:r w:rsidRPr="008F03E5">
        <w:t>Aqsa, Quswa, Aqasin</w:t>
      </w:r>
      <w:r w:rsidRPr="008F03E5">
        <w:tab/>
        <w:t>Aqṣá, fem. Quṣwá, pl. Aqáṣin</w:t>
      </w:r>
      <w:r w:rsidRPr="008F03E5">
        <w:tab/>
        <w:t>more distant, remoter, farther (away); al-Masjid al-Aqṣá, “the Farthest Mosque”, built on the claimed site of the Temple of Solomon on the southern end of Fort Antonia or the claimed “Temple Mount” in Jerusalem.  See aṣ-Ṣa</w:t>
      </w:r>
      <w:r w:rsidRPr="008F03E5">
        <w:rPr>
          <w:u w:val="single"/>
        </w:rPr>
        <w:t>kh</w:t>
      </w:r>
      <w:r w:rsidRPr="008F03E5">
        <w:t>rah and Ḥarám</w:t>
      </w:r>
    </w:p>
    <w:p w14:paraId="4B55B06E" w14:textId="77777777" w:rsidR="00625A5B" w:rsidRPr="008F03E5" w:rsidRDefault="00625A5B" w:rsidP="00F87A63">
      <w:pPr>
        <w:pStyle w:val="Translit"/>
      </w:pPr>
      <w:r w:rsidRPr="008F03E5">
        <w:t>Ara</w:t>
      </w:r>
      <w:r w:rsidRPr="008F03E5">
        <w:tab/>
        <w:t>Árá</w:t>
      </w:r>
      <w:r w:rsidRPr="008F03E5">
        <w:tab/>
        <w:t>Pers. (in compound, from árástan), embellishing, adorning; ornament (e.g. majlis-árá, gracing the banquet, etc.)</w:t>
      </w:r>
    </w:p>
    <w:p w14:paraId="315E3EC2" w14:textId="77777777" w:rsidR="00625A5B" w:rsidRPr="008F03E5" w:rsidRDefault="00625A5B" w:rsidP="00AA42C9">
      <w:pPr>
        <w:pStyle w:val="Translit"/>
      </w:pPr>
      <w:r w:rsidRPr="008F03E5">
        <w:t>Arab Khayl (Arab Kheyl)</w:t>
      </w:r>
      <w:r w:rsidRPr="008F03E5">
        <w:tab/>
        <w:t xml:space="preserve">‘Arab </w:t>
      </w:r>
      <w:r w:rsidRPr="008F03E5">
        <w:rPr>
          <w:u w:val="single"/>
        </w:rPr>
        <w:t>Kh</w:t>
      </w:r>
      <w:r w:rsidRPr="008F03E5">
        <w:t>ayl</w:t>
      </w:r>
      <w:r w:rsidRPr="008F03E5">
        <w:tab/>
        <w:t>is a village (36.6962440, 52.751382) in Mazandaran Province near the Caspian Sea.</w:t>
      </w:r>
    </w:p>
    <w:p w14:paraId="079A674E" w14:textId="77777777" w:rsidR="00625A5B" w:rsidRPr="008F03E5" w:rsidRDefault="00625A5B" w:rsidP="007B3F68">
      <w:pPr>
        <w:pStyle w:val="Translit"/>
      </w:pPr>
      <w:r w:rsidRPr="008F03E5">
        <w:t>Arab, Urab, A’rub, Urban, ‘Arabha</w:t>
      </w:r>
      <w:r w:rsidRPr="008F03E5">
        <w:tab/>
        <w:t>‘Arab (collective), pl. ‘Urúb, A‘rub</w:t>
      </w:r>
      <w:r w:rsidRPr="008F03E5">
        <w:tab/>
        <w:t xml:space="preserve">Arabs; true Arabs, Arabs of the desert, Bedouins.  Other plurals:  ‘Urbán, A‘ráb.  The Arabian Peninsula or simply Arabia:  </w:t>
      </w:r>
      <w:r w:rsidRPr="008F03E5">
        <w:rPr>
          <w:u w:val="single"/>
        </w:rPr>
        <w:t>Sh</w:t>
      </w:r>
      <w:r w:rsidRPr="008F03E5">
        <w:t>ibhu’l-Jazírati’l-‘Arabiyyah, “Arabian Peninsula” or Jazíratu’l-‘Arab, “Island of the Arabs”.  Pers. pl. also ‘Arabhá.</w:t>
      </w:r>
    </w:p>
    <w:p w14:paraId="4979D21C" w14:textId="77777777" w:rsidR="00625A5B" w:rsidRPr="008F03E5" w:rsidRDefault="00625A5B" w:rsidP="001D4088">
      <w:pPr>
        <w:pStyle w:val="Translit"/>
      </w:pPr>
      <w:r w:rsidRPr="008F03E5">
        <w:t>Arabi, ‘Arabiya</w:t>
      </w:r>
      <w:r w:rsidRPr="008F03E5">
        <w:tab/>
        <w:t>‘Arabí, fem. ‘Arabíya[h or t]</w:t>
      </w:r>
      <w:r w:rsidRPr="008F03E5">
        <w:tab/>
        <w:t xml:space="preserve">Arab, Arabic, Arabian; truly Arabic; an Arab.  al-‘Arabíya, the language of the ancient Arabs; classical, or literary, Arabic.  </w:t>
      </w:r>
      <w:bookmarkStart w:id="44" w:name="_Hlk54607920"/>
      <w:r w:rsidRPr="008F03E5">
        <w:t>ibn ‘Arabí (1165–1240), full name Abú ‘Abd Alláh Muḥammad ibn ‘Alí ibn Muḥammad ibn ‘Arabí al-Ḥátimí aṭ-Ṭá’í, was an Arab Andalusian Muslim scholar, mystic, poet, and philosopher;</w:t>
      </w:r>
      <w:bookmarkEnd w:id="44"/>
      <w:r w:rsidRPr="008F03E5">
        <w:t xml:space="preserve"> honorific titles a</w:t>
      </w:r>
      <w:r w:rsidRPr="008F03E5">
        <w:rPr>
          <w:u w:val="single"/>
        </w:rPr>
        <w:t>sh</w:t>
      </w:r>
      <w:r w:rsidRPr="008F03E5">
        <w:t>-</w:t>
      </w:r>
      <w:r w:rsidRPr="008F03E5">
        <w:rPr>
          <w:u w:val="single"/>
        </w:rPr>
        <w:t>Sh</w:t>
      </w:r>
      <w:r w:rsidRPr="008F03E5">
        <w:t>ay</w:t>
      </w:r>
      <w:r w:rsidRPr="008F03E5">
        <w:rPr>
          <w:u w:val="single"/>
        </w:rPr>
        <w:t>kh</w:t>
      </w:r>
      <w:r w:rsidRPr="008F03E5">
        <w:t xml:space="preserve"> al-Akbar (“the Greatest Shaykh”) and Muḥyí ad-Dín (“Renewer of the Faith”).  </w:t>
      </w:r>
      <w:r w:rsidRPr="008F03E5">
        <w:rPr>
          <w:rFonts w:eastAsia="PMingLiU"/>
          <w:lang w:eastAsia="zh-TW"/>
        </w:rPr>
        <w:t xml:space="preserve">Nuṣúṣ </w:t>
      </w:r>
      <w:r w:rsidRPr="008F03E5">
        <w:t xml:space="preserve">‘Arabíya (“Arabic text”) consists of rasm, nuqaṭ al-i‘jám (points or dots to distinguish between say </w:t>
      </w:r>
      <w:r w:rsidRPr="008F03E5">
        <w:rPr>
          <w:rtl/>
        </w:rPr>
        <w:t>ص</w:t>
      </w:r>
      <w:r w:rsidRPr="008F03E5">
        <w:t xml:space="preserve"> and </w:t>
      </w:r>
      <w:r w:rsidRPr="008F03E5">
        <w:rPr>
          <w:rtl/>
        </w:rPr>
        <w:t>ض</w:t>
      </w:r>
      <w:r w:rsidRPr="008F03E5">
        <w:t>), and at-ta</w:t>
      </w:r>
      <w:r w:rsidRPr="008F03E5">
        <w:rPr>
          <w:u w:val="single"/>
        </w:rPr>
        <w:t>sh</w:t>
      </w:r>
      <w:r w:rsidRPr="008F03E5">
        <w:t>kíl (supplementary diacritics to indicate vocalization, including the al-ḥarakát (to indicate short vowels, long consonants, and some other vocalizations)).</w:t>
      </w:r>
    </w:p>
    <w:p w14:paraId="617E4D8B" w14:textId="77777777" w:rsidR="00625A5B" w:rsidRPr="008F03E5" w:rsidRDefault="00625A5B" w:rsidP="00F87A63">
      <w:pPr>
        <w:pStyle w:val="Translit"/>
      </w:pPr>
      <w:r w:rsidRPr="008F03E5">
        <w:t>Arabistan</w:t>
      </w:r>
      <w:r w:rsidRPr="008F03E5">
        <w:tab/>
        <w:t>‘Arabistán</w:t>
      </w:r>
      <w:r w:rsidRPr="008F03E5">
        <w:tab/>
        <w:t>the land of Arabia</w:t>
      </w:r>
    </w:p>
    <w:p w14:paraId="4571B160" w14:textId="77777777" w:rsidR="00625A5B" w:rsidRDefault="00625A5B" w:rsidP="00C52C58">
      <w:pPr>
        <w:pStyle w:val="Translit"/>
      </w:pPr>
      <w:r>
        <w:rPr>
          <w:lang w:val="en-AU"/>
        </w:rPr>
        <w:t>A</w:t>
      </w:r>
      <w:r w:rsidRPr="00507930">
        <w:rPr>
          <w:lang w:val="en-AU"/>
        </w:rPr>
        <w:t>rab</w:t>
      </w:r>
      <w:r>
        <w:rPr>
          <w:lang w:val="en-AU"/>
        </w:rPr>
        <w:t>i</w:t>
      </w:r>
      <w:r w:rsidRPr="00507930">
        <w:rPr>
          <w:lang w:val="en-AU"/>
        </w:rPr>
        <w:t>yah al-</w:t>
      </w:r>
      <w:r>
        <w:rPr>
          <w:lang w:val="en-AU"/>
        </w:rPr>
        <w:t>F</w:t>
      </w:r>
      <w:r w:rsidRPr="00507930">
        <w:rPr>
          <w:lang w:val="en-AU"/>
        </w:rPr>
        <w:t>u</w:t>
      </w:r>
      <w:r>
        <w:rPr>
          <w:lang w:val="en-AU"/>
        </w:rPr>
        <w:t>s</w:t>
      </w:r>
      <w:r w:rsidRPr="00507930">
        <w:rPr>
          <w:lang w:val="en-AU"/>
        </w:rPr>
        <w:t>ḥ</w:t>
      </w:r>
      <w:r>
        <w:rPr>
          <w:lang w:val="en-AU"/>
        </w:rPr>
        <w:t>a</w:t>
      </w:r>
      <w:r>
        <w:rPr>
          <w:lang w:val="en-AU"/>
        </w:rPr>
        <w:tab/>
      </w:r>
      <w:r w:rsidRPr="00507930">
        <w:rPr>
          <w:lang w:val="en-AU"/>
        </w:rPr>
        <w:t>al-‘</w:t>
      </w:r>
      <w:r>
        <w:rPr>
          <w:lang w:val="en-AU"/>
        </w:rPr>
        <w:t>A</w:t>
      </w:r>
      <w:r w:rsidRPr="00507930">
        <w:rPr>
          <w:lang w:val="en-AU"/>
        </w:rPr>
        <w:t>rabíyah al-</w:t>
      </w:r>
      <w:r>
        <w:rPr>
          <w:lang w:val="en-AU"/>
        </w:rPr>
        <w:t>F</w:t>
      </w:r>
      <w:r w:rsidRPr="00507930">
        <w:rPr>
          <w:lang w:val="en-AU"/>
        </w:rPr>
        <w:t>uṣḥá</w:t>
      </w:r>
      <w:r>
        <w:rPr>
          <w:lang w:val="en-AU"/>
        </w:rPr>
        <w:tab/>
      </w:r>
      <w:r w:rsidRPr="00507930">
        <w:rPr>
          <w:lang w:val="en-AU"/>
        </w:rPr>
        <w:t>“</w:t>
      </w:r>
      <w:r w:rsidRPr="00507930">
        <w:t>the most eloquent Arabic</w:t>
      </w:r>
      <w:r>
        <w:t>”.  It</w:t>
      </w:r>
      <w:r w:rsidRPr="00507930">
        <w:t xml:space="preserve"> is the standardi</w:t>
      </w:r>
      <w:r>
        <w:t>s</w:t>
      </w:r>
      <w:r w:rsidRPr="00507930">
        <w:t>ed literary form of Arabic used from the 7th century and throughout the Middle Ages, most notably in Umayyad and Abbasid literary texts such as poetry, elevated prose and oratory, and is also the liturgical language of Islam.</w:t>
      </w:r>
      <w:r>
        <w:t xml:space="preserve"> </w:t>
      </w:r>
      <w:r w:rsidRPr="00507930">
        <w:t xml:space="preserve"> Modern Standard Arabic is based </w:t>
      </w:r>
      <w:r>
        <w:t>on c</w:t>
      </w:r>
      <w:r w:rsidRPr="00507930">
        <w:t>lassical Arabic.</w:t>
      </w:r>
    </w:p>
    <w:p w14:paraId="35AE8E96" w14:textId="77777777" w:rsidR="00625A5B" w:rsidRPr="008F03E5" w:rsidRDefault="00625A5B" w:rsidP="00F87A63">
      <w:pPr>
        <w:pStyle w:val="Translit"/>
        <w:rPr>
          <w:rFonts w:eastAsia="PMingLiU"/>
          <w:lang w:eastAsia="zh-TW"/>
        </w:rPr>
      </w:pPr>
      <w:r w:rsidRPr="008F03E5">
        <w:rPr>
          <w:rFonts w:eastAsia="PMingLiU"/>
          <w:lang w:eastAsia="zh-TW"/>
        </w:rPr>
        <w:t>Arad, A’rad</w:t>
      </w:r>
      <w:r w:rsidRPr="008F03E5">
        <w:rPr>
          <w:rFonts w:eastAsia="PMingLiU"/>
          <w:lang w:eastAsia="zh-TW"/>
        </w:rPr>
        <w:tab/>
        <w:t xml:space="preserve">‘Araḍ, pl. </w:t>
      </w:r>
      <w:r w:rsidRPr="008F03E5">
        <w:t>A‘</w:t>
      </w:r>
      <w:r w:rsidRPr="008F03E5">
        <w:rPr>
          <w:rFonts w:eastAsia="PMingLiU"/>
          <w:lang w:eastAsia="zh-TW"/>
        </w:rPr>
        <w:t>ráḍ</w:t>
      </w:r>
      <w:r w:rsidRPr="008F03E5">
        <w:rPr>
          <w:rFonts w:eastAsia="PMingLiU"/>
          <w:lang w:eastAsia="zh-TW"/>
        </w:rPr>
        <w:tab/>
        <w:t>accident (philosophy); contingent, non-essential characteristic; something non-essential, a contingent, something accidental; symptom, manifestation of disease</w:t>
      </w:r>
    </w:p>
    <w:p w14:paraId="04A0DAC0" w14:textId="77777777" w:rsidR="00625A5B" w:rsidRPr="008F03E5" w:rsidRDefault="00625A5B" w:rsidP="00D12A28">
      <w:pPr>
        <w:pStyle w:val="Translit"/>
      </w:pPr>
      <w:r w:rsidRPr="008F03E5">
        <w:t>Arafa (‘Arfa), Arafih</w:t>
      </w:r>
      <w:r w:rsidRPr="008F03E5">
        <w:tab/>
        <w:t>‘Arafa[h or t], Pers. ‘Arafih</w:t>
      </w:r>
      <w:r w:rsidRPr="008F03E5">
        <w:tab/>
      </w:r>
      <w:r>
        <w:rPr>
          <w:rFonts w:eastAsia="Times New Roman"/>
        </w:rPr>
        <w:t>a</w:t>
      </w:r>
      <w:r w:rsidRPr="00AF4D34">
        <w:rPr>
          <w:rFonts w:eastAsia="Times New Roman"/>
        </w:rPr>
        <w:t xml:space="preserve"> vigil, wake</w:t>
      </w:r>
      <w:r w:rsidRPr="008F03E5">
        <w:rPr>
          <w:rFonts w:eastAsia="Times New Roman"/>
        </w:rPr>
        <w:t xml:space="preserve">.  Yawm ‘Arafah (Day of Arafah) is </w:t>
      </w:r>
      <w:r>
        <w:rPr>
          <w:rFonts w:eastAsia="Times New Roman"/>
        </w:rPr>
        <w:t xml:space="preserve">day </w:t>
      </w:r>
      <w:r w:rsidRPr="008F03E5">
        <w:rPr>
          <w:rFonts w:eastAsia="Times New Roman"/>
        </w:rPr>
        <w:t>9</w:t>
      </w:r>
      <w:r>
        <w:rPr>
          <w:rFonts w:eastAsia="Times New Roman"/>
        </w:rPr>
        <w:t xml:space="preserve"> of the month</w:t>
      </w:r>
      <w:r w:rsidRPr="008F03E5">
        <w:rPr>
          <w:rFonts w:eastAsia="Times New Roman"/>
        </w:rPr>
        <w:t xml:space="preserve"> </w:t>
      </w:r>
      <w:r w:rsidRPr="008F03E5">
        <w:rPr>
          <w:u w:val="single"/>
        </w:rPr>
        <w:t>Dh</w:t>
      </w:r>
      <w:r w:rsidRPr="008F03E5">
        <w:t>u’l-Ḥijjah</w:t>
      </w:r>
      <w:r>
        <w:t>, and is</w:t>
      </w:r>
      <w:r w:rsidRPr="008F03E5">
        <w:rPr>
          <w:rFonts w:eastAsia="Times New Roman"/>
        </w:rPr>
        <w:t xml:space="preserve"> the second day of the </w:t>
      </w:r>
      <w:r w:rsidRPr="008F03E5">
        <w:t>Ḥ</w:t>
      </w:r>
      <w:r w:rsidRPr="008F03E5">
        <w:rPr>
          <w:rFonts w:eastAsia="Times New Roman"/>
        </w:rPr>
        <w:t>ajj</w:t>
      </w:r>
      <w:r w:rsidRPr="008F03E5">
        <w:t>—it celebrates the revelation of Qur’án 5:3 to Muḥammad just before sunset while on Jabal ‘Arafát for His farewell sermon (</w:t>
      </w:r>
      <w:r w:rsidRPr="008F03E5">
        <w:rPr>
          <w:u w:val="single"/>
        </w:rPr>
        <w:t>Kh</w:t>
      </w:r>
      <w:r w:rsidRPr="008F03E5">
        <w:t xml:space="preserve">uṭbatu’l-Wadá‘).  He gathered the Muslims and recited the revelation after sunset, the day then considered to be 10 </w:t>
      </w:r>
      <w:r w:rsidRPr="008F03E5">
        <w:rPr>
          <w:u w:val="single"/>
        </w:rPr>
        <w:t>Dh</w:t>
      </w:r>
      <w:r w:rsidRPr="008F03E5">
        <w:t xml:space="preserve">u’l-Ḥijjah </w:t>
      </w:r>
      <w:r w:rsidRPr="008F03E5">
        <w:rPr>
          <w:sz w:val="16"/>
          <w:szCs w:val="16"/>
        </w:rPr>
        <w:t>AH</w:t>
      </w:r>
      <w:r w:rsidRPr="008F03E5">
        <w:t xml:space="preserve"> 10 (the Islamic Friday and Sunday 8 March 632)—hence part of the confusion over the date, see Yawm.  See </w:t>
      </w:r>
      <w:r w:rsidRPr="008F03E5">
        <w:rPr>
          <w:rFonts w:eastAsia="PMingLiU"/>
          <w:lang w:eastAsia="zh-TW"/>
        </w:rPr>
        <w:t>‘Araf</w:t>
      </w:r>
      <w:r w:rsidRPr="008F03E5">
        <w:t>á</w:t>
      </w:r>
      <w:r w:rsidRPr="008F03E5">
        <w:rPr>
          <w:rFonts w:eastAsia="PMingLiU"/>
          <w:lang w:eastAsia="zh-TW"/>
        </w:rPr>
        <w:t>t.</w:t>
      </w:r>
    </w:p>
    <w:p w14:paraId="29F4AB74" w14:textId="77777777" w:rsidR="00625A5B" w:rsidRPr="008F03E5" w:rsidRDefault="00625A5B" w:rsidP="00597358">
      <w:pPr>
        <w:pStyle w:val="Translit"/>
        <w:rPr>
          <w:rFonts w:eastAsia="PMingLiU"/>
          <w:lang w:eastAsia="zh-TW"/>
        </w:rPr>
      </w:pPr>
      <w:r w:rsidRPr="008F03E5">
        <w:rPr>
          <w:rFonts w:eastAsia="PMingLiU"/>
          <w:lang w:eastAsia="zh-TW"/>
        </w:rPr>
        <w:t>Arafa, Ma’rifa, ‘Irfan</w:t>
      </w:r>
      <w:r w:rsidRPr="008F03E5">
        <w:rPr>
          <w:rFonts w:eastAsia="PMingLiU"/>
          <w:lang w:eastAsia="zh-TW"/>
        </w:rPr>
        <w:tab/>
        <w:t>‘Arafa, Ma‘rifa[h or t], ‘Irfán</w:t>
      </w:r>
      <w:r w:rsidRPr="008F03E5">
        <w:rPr>
          <w:rFonts w:eastAsia="PMingLiU"/>
          <w:lang w:eastAsia="zh-TW"/>
        </w:rPr>
        <w:tab/>
        <w:t>to know (someone, something); to recognize, perceive (someone, something); to be cognizant, be aware (of something), be acquainted (with something), to discover, experience, find out (something)</w:t>
      </w:r>
    </w:p>
    <w:p w14:paraId="2A62415B" w14:textId="77777777" w:rsidR="00625A5B" w:rsidRPr="008F03E5" w:rsidRDefault="00625A5B" w:rsidP="00597358">
      <w:pPr>
        <w:pStyle w:val="Translit"/>
        <w:rPr>
          <w:rFonts w:eastAsia="PMingLiU"/>
          <w:lang w:eastAsia="zh-TW"/>
        </w:rPr>
      </w:pPr>
      <w:r w:rsidRPr="008F03E5">
        <w:rPr>
          <w:rFonts w:eastAsia="PMingLiU"/>
          <w:lang w:eastAsia="zh-TW"/>
        </w:rPr>
        <w:t>Arafat</w:t>
      </w:r>
      <w:r w:rsidRPr="008F03E5">
        <w:rPr>
          <w:rFonts w:eastAsia="PMingLiU"/>
          <w:lang w:eastAsia="zh-TW"/>
        </w:rPr>
        <w:tab/>
        <w:t>‘Araf</w:t>
      </w:r>
      <w:r w:rsidRPr="008F03E5">
        <w:t>á</w:t>
      </w:r>
      <w:r w:rsidRPr="008F03E5">
        <w:rPr>
          <w:rFonts w:eastAsia="PMingLiU"/>
          <w:lang w:eastAsia="zh-TW"/>
        </w:rPr>
        <w:t>t</w:t>
      </w:r>
      <w:r w:rsidRPr="008F03E5">
        <w:rPr>
          <w:rFonts w:eastAsia="PMingLiU"/>
          <w:lang w:eastAsia="zh-TW"/>
        </w:rPr>
        <w:tab/>
        <w:t>70 m high granite hill (</w:t>
      </w:r>
      <w:r w:rsidRPr="008F03E5">
        <w:t xml:space="preserve">Jabal ‘Arafát (Mount ‘Arafát 21.354841, 39.984009)—also known as Jabal ar-Raḥmah (the Mount of Mercy), 18.5 km </w:t>
      </w:r>
      <w:r w:rsidRPr="008F03E5">
        <w:rPr>
          <w:sz w:val="16"/>
          <w:szCs w:val="16"/>
        </w:rPr>
        <w:t>ESE</w:t>
      </w:r>
      <w:r w:rsidRPr="008F03E5">
        <w:t xml:space="preserve"> of central Mecca) and adjacent plain.  See ‘Arafa[h</w:t>
      </w:r>
      <w:r>
        <w:t xml:space="preserve"> or t</w:t>
      </w:r>
      <w:r w:rsidRPr="008F03E5">
        <w:t>].</w:t>
      </w:r>
    </w:p>
    <w:p w14:paraId="16720D16" w14:textId="77777777" w:rsidR="00625A5B" w:rsidRPr="008F03E5" w:rsidRDefault="00625A5B" w:rsidP="00F87A63">
      <w:pPr>
        <w:pStyle w:val="Translit"/>
      </w:pPr>
      <w:r w:rsidRPr="008F03E5">
        <w:t>Araja, ‘Uruj</w:t>
      </w:r>
      <w:r w:rsidRPr="008F03E5">
        <w:tab/>
        <w:t>‘Araja, ‘Urúj</w:t>
      </w:r>
      <w:r w:rsidRPr="008F03E5">
        <w:tab/>
        <w:t>to ascend, mount, rise</w:t>
      </w:r>
    </w:p>
    <w:p w14:paraId="306CD458" w14:textId="77777777" w:rsidR="00625A5B" w:rsidRPr="008F03E5" w:rsidRDefault="00625A5B" w:rsidP="00F87A63">
      <w:pPr>
        <w:pStyle w:val="Translit"/>
      </w:pPr>
      <w:r w:rsidRPr="008F03E5">
        <w:t>Arak</w:t>
      </w:r>
      <w:r w:rsidRPr="008F03E5">
        <w:tab/>
        <w:t>Arák</w:t>
      </w:r>
      <w:r w:rsidRPr="008F03E5">
        <w:tab/>
        <w:t>capital of Markazi Province, Iran (formerly Sulṭánábád)</w:t>
      </w:r>
    </w:p>
    <w:p w14:paraId="5A1AF528" w14:textId="77777777" w:rsidR="00625A5B" w:rsidRDefault="00625A5B" w:rsidP="00673A52">
      <w:pPr>
        <w:pStyle w:val="Translit"/>
      </w:pPr>
      <w:r>
        <w:rPr>
          <w:rFonts w:eastAsia="Times New Roman"/>
        </w:rPr>
        <w:t>Aram (Eram)</w:t>
      </w:r>
      <w:r>
        <w:rPr>
          <w:rFonts w:eastAsia="Times New Roman"/>
        </w:rPr>
        <w:tab/>
      </w:r>
      <w:r w:rsidRPr="00673A52">
        <w:rPr>
          <w:rFonts w:eastAsia="Times New Roman"/>
        </w:rPr>
        <w:t>Árám</w:t>
      </w:r>
      <w:r>
        <w:rPr>
          <w:rFonts w:eastAsia="Times New Roman"/>
        </w:rPr>
        <w:tab/>
        <w:t>Pers. calm, r</w:t>
      </w:r>
      <w:r w:rsidRPr="00AF4D34">
        <w:rPr>
          <w:rFonts w:eastAsia="Times New Roman"/>
        </w:rPr>
        <w:t>est, tranquillity, peace, quiet, repose, cessation, inaction; power, obedience, subjection</w:t>
      </w:r>
      <w:r>
        <w:rPr>
          <w:rFonts w:eastAsia="Times New Roman"/>
        </w:rPr>
        <w:t>.  Can be translated as paradise.</w:t>
      </w:r>
    </w:p>
    <w:p w14:paraId="573BDA6B" w14:textId="77777777" w:rsidR="00625A5B" w:rsidRPr="008F03E5" w:rsidRDefault="00625A5B" w:rsidP="00F87A63">
      <w:pPr>
        <w:pStyle w:val="Translit"/>
      </w:pPr>
      <w:r w:rsidRPr="008F03E5">
        <w:t>Aramram</w:t>
      </w:r>
      <w:r w:rsidRPr="008F03E5">
        <w:tab/>
        <w:t>‘Aramram</w:t>
      </w:r>
      <w:r w:rsidRPr="008F03E5">
        <w:tab/>
        <w:t>strong, violent, vehement</w:t>
      </w:r>
    </w:p>
    <w:p w14:paraId="2E372160" w14:textId="77777777" w:rsidR="00625A5B" w:rsidRPr="008F03E5" w:rsidRDefault="00625A5B" w:rsidP="00AF2F74">
      <w:pPr>
        <w:pStyle w:val="Translit"/>
      </w:pPr>
      <w:r w:rsidRPr="008F03E5">
        <w:t>Aran va Bidgul</w:t>
      </w:r>
      <w:r w:rsidRPr="008F03E5">
        <w:tab/>
        <w:t>Árán va Bídgul</w:t>
      </w:r>
      <w:r w:rsidRPr="008F03E5">
        <w:tab/>
        <w:t xml:space="preserve">a city that grew from an amalgamation of two villages (Árán and Bídgul, 34.060281, 51.478633), 9 km </w:t>
      </w:r>
      <w:r w:rsidRPr="008F03E5">
        <w:rPr>
          <w:sz w:val="16"/>
          <w:szCs w:val="16"/>
        </w:rPr>
        <w:t>NE</w:t>
      </w:r>
      <w:r w:rsidRPr="008F03E5">
        <w:t xml:space="preserve"> of Kashan</w:t>
      </w:r>
    </w:p>
    <w:p w14:paraId="140825F0" w14:textId="77777777" w:rsidR="00625A5B" w:rsidRPr="008F03E5" w:rsidRDefault="00625A5B" w:rsidP="00283BB1">
      <w:pPr>
        <w:pStyle w:val="Translit"/>
      </w:pPr>
      <w:r w:rsidRPr="008F03E5">
        <w:t>Ararat</w:t>
      </w:r>
      <w:r w:rsidRPr="008F03E5">
        <w:tab/>
        <w:t>Ararat</w:t>
      </w:r>
      <w:r w:rsidRPr="008F03E5">
        <w:tab/>
        <w:t>European name of t</w:t>
      </w:r>
      <w:r w:rsidRPr="00283BB1">
        <w:t>he Ararat peaks (Greater and Lesser:  Ağrı Dağı, 5,137 m; Küçük Ağrı dağı, 3,896 m) in Türkiye.  Pr</w:t>
      </w:r>
      <w:r w:rsidRPr="008F03E5">
        <w:t xml:space="preserve">ior to the 6th century, the traditional Armenian name was Masis, derived from the name of King Amasya.  Genesis 8:4 refers to Noah’s ark resting “upon the mountains of Ararat”—the mountainous region of Armenia (Urartu) was known to the ancient Greeks as Ararat.  </w:t>
      </w:r>
      <w:r>
        <w:t>S</w:t>
      </w:r>
      <w:r w:rsidRPr="008F03E5">
        <w:t>ee al-Júdí.</w:t>
      </w:r>
    </w:p>
    <w:p w14:paraId="17A4154C" w14:textId="77777777" w:rsidR="00625A5B" w:rsidRPr="008F03E5" w:rsidRDefault="00625A5B" w:rsidP="00E36252">
      <w:pPr>
        <w:pStyle w:val="Translit"/>
      </w:pPr>
      <w:r w:rsidRPr="008F03E5">
        <w:t>Aras</w:t>
      </w:r>
      <w:r w:rsidRPr="008F03E5">
        <w:tab/>
        <w:t>Aras</w:t>
      </w:r>
      <w:r w:rsidRPr="008F03E5">
        <w:tab/>
        <w:t>name of a river near Tiflís, the Araxes of the ancients.  See Ra’s.</w:t>
      </w:r>
    </w:p>
    <w:p w14:paraId="0CD1C56D" w14:textId="77777777" w:rsidR="00625A5B" w:rsidRPr="008F03E5" w:rsidRDefault="00625A5B" w:rsidP="00F87A63">
      <w:pPr>
        <w:pStyle w:val="Translit"/>
      </w:pPr>
      <w:r w:rsidRPr="008F03E5">
        <w:t>Arastan</w:t>
      </w:r>
      <w:r w:rsidRPr="008F03E5">
        <w:tab/>
        <w:t>Árástan</w:t>
      </w:r>
      <w:r w:rsidRPr="008F03E5">
        <w:tab/>
        <w:t>Pers. to adorn, decorate, embellish; to set in order</w:t>
      </w:r>
    </w:p>
    <w:p w14:paraId="668F9EA4" w14:textId="77777777" w:rsidR="00625A5B" w:rsidRPr="008F03E5" w:rsidRDefault="00625A5B" w:rsidP="0061187E">
      <w:pPr>
        <w:pStyle w:val="Translit"/>
      </w:pPr>
      <w:r w:rsidRPr="008F03E5">
        <w:t>Arastu</w:t>
      </w:r>
      <w:r w:rsidRPr="008F03E5">
        <w:tab/>
        <w:t>Arastú</w:t>
      </w:r>
      <w:r w:rsidRPr="008F03E5">
        <w:tab/>
        <w:t>Pers. a swallow; swallow-wort</w:t>
      </w:r>
    </w:p>
    <w:p w14:paraId="2EC5F4B0" w14:textId="77777777" w:rsidR="00625A5B" w:rsidRPr="008F03E5" w:rsidRDefault="00625A5B" w:rsidP="00F87A63">
      <w:pPr>
        <w:pStyle w:val="Translit"/>
        <w:rPr>
          <w:rFonts w:eastAsia="PMingLiU"/>
          <w:lang w:eastAsia="zh-TW"/>
        </w:rPr>
      </w:pPr>
      <w:r w:rsidRPr="008F03E5">
        <w:rPr>
          <w:rFonts w:eastAsia="PMingLiU"/>
          <w:lang w:eastAsia="zh-TW"/>
        </w:rPr>
        <w:t>Araysh</w:t>
      </w:r>
      <w:r w:rsidRPr="008F03E5">
        <w:rPr>
          <w:rFonts w:eastAsia="PMingLiU"/>
          <w:lang w:eastAsia="zh-TW"/>
        </w:rPr>
        <w:tab/>
      </w:r>
      <w:r w:rsidRPr="008F03E5">
        <w:t>al-‘Aráy</w:t>
      </w:r>
      <w:r w:rsidRPr="008F03E5">
        <w:rPr>
          <w:u w:val="single"/>
        </w:rPr>
        <w:t>sh</w:t>
      </w:r>
      <w:r w:rsidRPr="008F03E5">
        <w:tab/>
        <w:t>Larache, harbour town, Morocco</w:t>
      </w:r>
    </w:p>
    <w:p w14:paraId="7B48C81E" w14:textId="77777777" w:rsidR="00625A5B" w:rsidRPr="008F03E5" w:rsidRDefault="00625A5B" w:rsidP="00F67B92">
      <w:pPr>
        <w:pStyle w:val="Translit"/>
      </w:pPr>
      <w:r w:rsidRPr="008F03E5">
        <w:t>Arba’, Arba’</w:t>
      </w:r>
      <w:r>
        <w:t>a</w:t>
      </w:r>
      <w:r w:rsidRPr="008F03E5">
        <w:t>, Arba’un (Arba’in)</w:t>
      </w:r>
      <w:r w:rsidRPr="008F03E5">
        <w:tab/>
        <w:t>Arba‘</w:t>
      </w:r>
      <w:r>
        <w:t xml:space="preserve">, fem. </w:t>
      </w:r>
      <w:r w:rsidRPr="008F03E5">
        <w:t>Arba‘a[h or t], pl. Arbá‘ún</w:t>
      </w:r>
      <w:r w:rsidRPr="008F03E5">
        <w:tab/>
        <w:t xml:space="preserve">four;—pl. forty.  </w:t>
      </w:r>
      <w:r>
        <w:t>I</w:t>
      </w:r>
      <w:r w:rsidRPr="00F67B92">
        <w:t>ṣ</w:t>
      </w:r>
      <w:r>
        <w:t>fah</w:t>
      </w:r>
      <w:r w:rsidRPr="00F67B92">
        <w:t>á</w:t>
      </w:r>
      <w:r>
        <w:t>n</w:t>
      </w:r>
      <w:r w:rsidRPr="00F67B92">
        <w:t>í</w:t>
      </w:r>
      <w:r>
        <w:t xml:space="preserve"> </w:t>
      </w:r>
      <w:r w:rsidRPr="008F03E5">
        <w:t xml:space="preserve">Pers. Arba‘ih.  “Arba‘in” error of the genitive form (arba‘ín) in </w:t>
      </w:r>
      <w:r w:rsidRPr="008F03E5">
        <w:rPr>
          <w:i/>
          <w:iCs/>
        </w:rPr>
        <w:t>The Kitáb-i-Íqán</w:t>
      </w:r>
      <w:r w:rsidRPr="008F03E5">
        <w:t xml:space="preserve">, p. 242 (see </w:t>
      </w:r>
      <w:r w:rsidRPr="008F03E5">
        <w:rPr>
          <w:u w:val="single"/>
        </w:rPr>
        <w:t>Sh</w:t>
      </w:r>
      <w:r w:rsidRPr="008F03E5">
        <w:t>ay</w:t>
      </w:r>
      <w:r w:rsidRPr="008F03E5">
        <w:rPr>
          <w:u w:val="single"/>
        </w:rPr>
        <w:t>kh</w:t>
      </w:r>
      <w:r w:rsidRPr="008F03E5">
        <w:t xml:space="preserve"> Bahá’í, author of </w:t>
      </w:r>
      <w:r w:rsidRPr="008F03E5">
        <w:rPr>
          <w:i/>
          <w:iCs/>
        </w:rPr>
        <w:t>al-Arba‘ún Ḥadí</w:t>
      </w:r>
      <w:r w:rsidRPr="008F03E5">
        <w:rPr>
          <w:i/>
          <w:iCs/>
          <w:u w:val="single"/>
        </w:rPr>
        <w:t>th</w:t>
      </w:r>
      <w:r w:rsidRPr="008F03E5">
        <w:t>).</w:t>
      </w:r>
    </w:p>
    <w:p w14:paraId="32323257" w14:textId="77777777" w:rsidR="00625A5B" w:rsidRPr="008F03E5" w:rsidRDefault="00625A5B" w:rsidP="00F87A63">
      <w:pPr>
        <w:pStyle w:val="Translit"/>
      </w:pPr>
      <w:r w:rsidRPr="008F03E5">
        <w:t>Arba’ata ‘Ashara, Arba’a ‘Asharata</w:t>
      </w:r>
      <w:r w:rsidRPr="008F03E5">
        <w:tab/>
        <w:t>Arba‘ata[h] ‘A</w:t>
      </w:r>
      <w:r w:rsidRPr="008F03E5">
        <w:rPr>
          <w:u w:val="single"/>
        </w:rPr>
        <w:t>sh</w:t>
      </w:r>
      <w:r w:rsidRPr="008F03E5">
        <w:t>ara, f. Arba‘a ‘A</w:t>
      </w:r>
      <w:r w:rsidRPr="008F03E5">
        <w:rPr>
          <w:u w:val="single"/>
        </w:rPr>
        <w:t>sh</w:t>
      </w:r>
      <w:r w:rsidRPr="008F03E5">
        <w:t>arata[h]</w:t>
      </w:r>
      <w:r w:rsidRPr="008F03E5">
        <w:tab/>
        <w:t>fourteen</w:t>
      </w:r>
    </w:p>
    <w:p w14:paraId="4AC20ECB" w14:textId="77777777" w:rsidR="00625A5B" w:rsidRPr="008F03E5" w:rsidRDefault="00625A5B" w:rsidP="00F87A63">
      <w:pPr>
        <w:pStyle w:val="Translit"/>
      </w:pPr>
      <w:r w:rsidRPr="008F03E5">
        <w:t>Arbil</w:t>
      </w:r>
      <w:r w:rsidRPr="008F03E5">
        <w:tab/>
        <w:t>Arbíl</w:t>
      </w:r>
      <w:r w:rsidRPr="008F03E5">
        <w:tab/>
        <w:t xml:space="preserve">(Erbil, Irbil) city 80 km </w:t>
      </w:r>
      <w:r w:rsidRPr="008F03E5">
        <w:rPr>
          <w:sz w:val="16"/>
          <w:szCs w:val="16"/>
        </w:rPr>
        <w:t>ESE</w:t>
      </w:r>
      <w:r w:rsidRPr="008F03E5">
        <w:t xml:space="preserve"> of Mosul, Iraq</w:t>
      </w:r>
    </w:p>
    <w:p w14:paraId="11BE5DC3" w14:textId="77777777" w:rsidR="00625A5B" w:rsidRPr="008F03E5" w:rsidRDefault="00625A5B" w:rsidP="0013281D">
      <w:pPr>
        <w:pStyle w:val="Translit"/>
        <w:rPr>
          <w:lang w:eastAsia="zh-TW"/>
        </w:rPr>
      </w:pPr>
      <w:r w:rsidRPr="008F03E5">
        <w:rPr>
          <w:lang w:eastAsia="zh-TW"/>
        </w:rPr>
        <w:t>Archiya, ‘Arsh</w:t>
      </w:r>
      <w:r w:rsidRPr="008F03E5">
        <w:t>i</w:t>
      </w:r>
      <w:r w:rsidRPr="008F03E5">
        <w:rPr>
          <w:lang w:eastAsia="zh-TW"/>
        </w:rPr>
        <w:t>yya (Arsh</w:t>
      </w:r>
      <w:r w:rsidRPr="008F03E5">
        <w:t>i</w:t>
      </w:r>
      <w:r w:rsidRPr="008F03E5">
        <w:rPr>
          <w:lang w:eastAsia="zh-TW"/>
        </w:rPr>
        <w:t>yyih)</w:t>
      </w:r>
      <w:r w:rsidRPr="008F03E5">
        <w:tab/>
      </w:r>
      <w:r w:rsidRPr="008F03E5">
        <w:rPr>
          <w:lang w:eastAsia="zh-TW"/>
        </w:rPr>
        <w:t>‘Ar</w:t>
      </w:r>
      <w:r w:rsidRPr="008F03E5">
        <w:rPr>
          <w:u w:val="single"/>
        </w:rPr>
        <w:t>sh</w:t>
      </w:r>
      <w:r w:rsidRPr="008F03E5">
        <w:t xml:space="preserve">íya[h or t], Pers. </w:t>
      </w:r>
      <w:r w:rsidRPr="008F03E5">
        <w:rPr>
          <w:lang w:eastAsia="zh-TW"/>
        </w:rPr>
        <w:t>‘Ar</w:t>
      </w:r>
      <w:r w:rsidRPr="008F03E5">
        <w:rPr>
          <w:u w:val="single"/>
        </w:rPr>
        <w:t>sh</w:t>
      </w:r>
      <w:r w:rsidRPr="008F03E5">
        <w:t>iyya[h or t]</w:t>
      </w:r>
      <w:r w:rsidRPr="008F03E5">
        <w:tab/>
        <w:t xml:space="preserve">follower of Mullá Ṣadrá, </w:t>
      </w:r>
      <w:r w:rsidRPr="008F03E5">
        <w:rPr>
          <w:sz w:val="16"/>
          <w:szCs w:val="16"/>
        </w:rPr>
        <w:t>DB</w:t>
      </w:r>
      <w:r w:rsidRPr="008F03E5">
        <w:t>, p. 207.  See ‘Ar</w:t>
      </w:r>
      <w:r w:rsidRPr="008F03E5">
        <w:rPr>
          <w:u w:val="single"/>
        </w:rPr>
        <w:t>sh</w:t>
      </w:r>
      <w:r w:rsidRPr="008F03E5">
        <w:t xml:space="preserve"> and Sadrá’íya.</w:t>
      </w:r>
    </w:p>
    <w:p w14:paraId="4F1FB76A" w14:textId="77777777" w:rsidR="00625A5B" w:rsidRPr="008F03E5" w:rsidRDefault="00625A5B" w:rsidP="00F87A63">
      <w:pPr>
        <w:pStyle w:val="Translit"/>
      </w:pPr>
      <w:r w:rsidRPr="008F03E5">
        <w:t>Ard al-Muqaddasa</w:t>
      </w:r>
      <w:r w:rsidRPr="008F03E5">
        <w:tab/>
        <w:t>al-Arḍ al-Muqaddasa</w:t>
      </w:r>
      <w:r w:rsidRPr="008F03E5">
        <w:tab/>
        <w:t>the Holy Land, Palestine.  Shoghi Effendi stated it became the Most Holy Land (al-Arḍ al-Aqdas) after the arrival of Bahá’u’lláh.</w:t>
      </w:r>
    </w:p>
    <w:p w14:paraId="0ECC327B" w14:textId="77777777" w:rsidR="00625A5B" w:rsidRPr="008F03E5" w:rsidRDefault="00625A5B" w:rsidP="00F87A63">
      <w:pPr>
        <w:pStyle w:val="Translit"/>
      </w:pPr>
      <w:r w:rsidRPr="008F03E5">
        <w:t>Ard wa Sama’</w:t>
      </w:r>
      <w:r w:rsidRPr="008F03E5">
        <w:tab/>
        <w:t>Arḍ wa Samá’</w:t>
      </w:r>
      <w:r w:rsidRPr="008F03E5">
        <w:tab/>
        <w:t xml:space="preserve">earth and heaven.  </w:t>
      </w:r>
      <w:r w:rsidRPr="008F03E5">
        <w:rPr>
          <w:lang w:eastAsia="en-US"/>
        </w:rPr>
        <w:t>‘Earth’ is the earth of knowledge and understanding, the earth of new insight, etc.  ‘Heaven’ is the heaven of new teachings and religion.  By the shattering of the heaven (sky) on the day of resurrection, is meant that the heaven of the old religion is removed and a new one is raised through the Advent of a new Manifestation and the earth of recognition of God is decorated with Faith.</w:t>
      </w:r>
    </w:p>
    <w:p w14:paraId="4AB94B69" w14:textId="77777777" w:rsidR="00625A5B" w:rsidRPr="008F03E5" w:rsidRDefault="00625A5B" w:rsidP="00F87A63">
      <w:pPr>
        <w:pStyle w:val="Translit"/>
      </w:pPr>
      <w:r w:rsidRPr="008F03E5">
        <w:t>Ard, Arz, Aradin, Aradun, Arazi</w:t>
      </w:r>
      <w:r w:rsidRPr="008F03E5">
        <w:tab/>
        <w:t>Arḍ fem., pl. Aráḍín, Aráḍún</w:t>
      </w:r>
      <w:r w:rsidRPr="008F03E5">
        <w:tab/>
        <w:t>earth; land, country, region, area; terrain, ground, soil.  Pers. arẓ, pl. aráẓí</w:t>
      </w:r>
    </w:p>
    <w:p w14:paraId="418ED3DC" w14:textId="77777777" w:rsidR="00625A5B" w:rsidRPr="008F03E5" w:rsidRDefault="00625A5B" w:rsidP="0047219D">
      <w:pPr>
        <w:pStyle w:val="Translit"/>
      </w:pPr>
      <w:r w:rsidRPr="008F03E5">
        <w:t>Ardabil</w:t>
      </w:r>
      <w:r>
        <w:t>, Ardibil</w:t>
      </w:r>
      <w:r w:rsidRPr="008F03E5">
        <w:tab/>
        <w:t>Ardabíl or Ardibíl</w:t>
      </w:r>
      <w:r w:rsidRPr="008F03E5">
        <w:tab/>
        <w:t xml:space="preserve">city </w:t>
      </w:r>
      <w:r>
        <w:rPr>
          <w:rFonts w:eastAsia="PMingLiU"/>
          <w:lang w:eastAsia="zh-TW"/>
        </w:rPr>
        <w:t>(</w:t>
      </w:r>
      <w:r w:rsidRPr="00B309D9">
        <w:rPr>
          <w:rFonts w:eastAsia="PMingLiU"/>
          <w:lang w:eastAsia="zh-TW"/>
        </w:rPr>
        <w:t>38.248693, 48.29252</w:t>
      </w:r>
      <w:r>
        <w:rPr>
          <w:rFonts w:eastAsia="PMingLiU"/>
          <w:lang w:eastAsia="zh-TW"/>
        </w:rPr>
        <w:t xml:space="preserve">2) </w:t>
      </w:r>
      <w:r w:rsidRPr="008F03E5">
        <w:t>175 km east of Tabr</w:t>
      </w:r>
      <w:r>
        <w:t>i</w:t>
      </w:r>
      <w:r w:rsidRPr="008F03E5">
        <w:t>z</w:t>
      </w:r>
      <w:r>
        <w:t xml:space="preserve"> </w:t>
      </w:r>
      <w:r w:rsidRPr="008F03E5">
        <w:t xml:space="preserve">in the province of </w:t>
      </w:r>
      <w:r>
        <w:t>Ádhirbayján</w:t>
      </w:r>
      <w:r w:rsidRPr="008F03E5">
        <w:t xml:space="preserve">, </w:t>
      </w:r>
      <w:r>
        <w:t>inland of the west coast of</w:t>
      </w:r>
      <w:r w:rsidRPr="008F03E5">
        <w:t xml:space="preserve"> the Caspian Sea</w:t>
      </w:r>
    </w:p>
    <w:p w14:paraId="1F627B29" w14:textId="77777777" w:rsidR="00625A5B" w:rsidRPr="00536823" w:rsidRDefault="00625A5B" w:rsidP="00314716">
      <w:pPr>
        <w:pStyle w:val="Translit"/>
      </w:pPr>
      <w:r w:rsidRPr="00536823">
        <w:t>Ardabili</w:t>
      </w:r>
      <w:r w:rsidRPr="00536823">
        <w:tab/>
        <w:t>Ardabílí</w:t>
      </w:r>
      <w:r w:rsidRPr="00536823">
        <w:tab/>
        <w:t>of or from Ardabíl.  1.  Ṣafí ad-dín Isḥáq Ardabílí (1252/1253–1334) was a poet, mystic, teacher and Ṣúfí master.  He reformed the Záhidíya (Zahediyeh) and renamed it the Safaviyya, which he led from 1301 to 1334.  He was the eponymous ancestor of the Safawiyan (Safavid dynasty), which ruled Iran from 1501 to 1736.  2.  Son, and successor, Ṣadr ad-Dín Músá ibn Ṣafí ad-Dín Isḥaq Ardabílí (1305–1391), also known as Ṣadr ad-Dín aṣ-Ṣafaví or Ṣadr ad-Dín al-</w:t>
      </w:r>
      <w:r w:rsidRPr="00536823">
        <w:rPr>
          <w:u w:val="single"/>
        </w:rPr>
        <w:t>Kh</w:t>
      </w:r>
      <w:r w:rsidRPr="00536823">
        <w:t>ánagáh.  He was the first to use the title Ṣadr al-Ardibílí.  3.  Mírzá Muḥammad Ṣáliḥ ibn Músá ibn Ṣafí ad-Dín Isḥaq Ardabílí (d. 1704), grandson, second Ṣadr al-Ardibílí.  4.  M</w:t>
      </w:r>
      <w:r w:rsidRPr="00314716">
        <w:t>í</w:t>
      </w:r>
      <w:r w:rsidRPr="00536823">
        <w:t>rz</w:t>
      </w:r>
      <w:r w:rsidRPr="00314716">
        <w:t>á</w:t>
      </w:r>
      <w:r w:rsidRPr="00536823">
        <w:t xml:space="preserve"> Muḥammad Ibráhím (etc.; d. 1738), the third Ṣadr al-Ardibílí. </w:t>
      </w:r>
      <w:r>
        <w:t xml:space="preserve">… </w:t>
      </w:r>
      <w:r w:rsidRPr="00536823">
        <w:t xml:space="preserve"> 8.  Mírzá Muḥammad Ḥasan (1789–1848), the seventh Ṣadr al-Ardibílí.  He </w:t>
      </w:r>
      <w:r>
        <w:t>served as</w:t>
      </w:r>
      <w:r w:rsidRPr="00536823">
        <w:t xml:space="preserve"> a spiritual guide and a political advisor</w:t>
      </w:r>
      <w:r>
        <w:t xml:space="preserve"> for </w:t>
      </w:r>
      <w:r w:rsidRPr="00536823">
        <w:t xml:space="preserve">Muḥammad </w:t>
      </w:r>
      <w:r w:rsidRPr="00536823">
        <w:rPr>
          <w:u w:val="single"/>
        </w:rPr>
        <w:t>Sh</w:t>
      </w:r>
      <w:r w:rsidRPr="00536823">
        <w:t>áh Qájár.</w:t>
      </w:r>
    </w:p>
    <w:p w14:paraId="201B9E60" w14:textId="77777777" w:rsidR="00625A5B" w:rsidRPr="008F03E5" w:rsidRDefault="00625A5B" w:rsidP="00F87A63">
      <w:pPr>
        <w:pStyle w:val="Translit"/>
      </w:pPr>
      <w:r w:rsidRPr="008F03E5">
        <w:t>Ardakan</w:t>
      </w:r>
      <w:r w:rsidRPr="008F03E5">
        <w:tab/>
        <w:t>Ardakán or Ardikán</w:t>
      </w:r>
      <w:r w:rsidRPr="008F03E5">
        <w:tab/>
        <w:t xml:space="preserve">city 55 km </w:t>
      </w:r>
      <w:r w:rsidRPr="008F03E5">
        <w:rPr>
          <w:sz w:val="16"/>
          <w:szCs w:val="16"/>
        </w:rPr>
        <w:t>NW</w:t>
      </w:r>
      <w:r w:rsidRPr="008F03E5">
        <w:t xml:space="preserve"> of Yazd</w:t>
      </w:r>
    </w:p>
    <w:p w14:paraId="5E97917B" w14:textId="77777777" w:rsidR="00625A5B" w:rsidRPr="008F03E5" w:rsidRDefault="00625A5B" w:rsidP="004B2815">
      <w:pPr>
        <w:pStyle w:val="Translit"/>
        <w:rPr>
          <w:rFonts w:eastAsia="PMingLiU"/>
          <w:lang w:eastAsia="zh-TW"/>
        </w:rPr>
      </w:pPr>
      <w:r w:rsidRPr="008F03E5">
        <w:rPr>
          <w:rFonts w:eastAsia="PMingLiU"/>
          <w:lang w:eastAsia="zh-TW"/>
        </w:rPr>
        <w:t>Ardak</w:t>
      </w:r>
      <w:r w:rsidRPr="008F03E5">
        <w:t>a</w:t>
      </w:r>
      <w:r w:rsidRPr="008F03E5">
        <w:rPr>
          <w:rFonts w:eastAsia="PMingLiU"/>
          <w:lang w:eastAsia="zh-TW"/>
        </w:rPr>
        <w:t>ni (Ardikani)</w:t>
      </w:r>
      <w:r w:rsidRPr="008F03E5">
        <w:tab/>
      </w:r>
      <w:r w:rsidRPr="008F03E5">
        <w:rPr>
          <w:rFonts w:eastAsia="PMingLiU"/>
          <w:lang w:eastAsia="zh-TW"/>
        </w:rPr>
        <w:t>Ardak</w:t>
      </w:r>
      <w:r w:rsidRPr="008F03E5">
        <w:t>á</w:t>
      </w:r>
      <w:r w:rsidRPr="008F03E5">
        <w:rPr>
          <w:rFonts w:eastAsia="PMingLiU"/>
          <w:lang w:eastAsia="zh-TW"/>
        </w:rPr>
        <w:t>ní</w:t>
      </w:r>
      <w:r w:rsidRPr="008F03E5">
        <w:tab/>
        <w:t>of or from Ardakán.  Ḥájí Abu’l-Ḥasan-i-Ardikání (1831–1928), also known as Amín-i-Iláhí.</w:t>
      </w:r>
    </w:p>
    <w:p w14:paraId="77B4F5E5" w14:textId="77777777" w:rsidR="00625A5B" w:rsidRPr="008F03E5" w:rsidRDefault="00625A5B" w:rsidP="00F87A63">
      <w:pPr>
        <w:pStyle w:val="Translit"/>
      </w:pPr>
      <w:r w:rsidRPr="008F03E5">
        <w:rPr>
          <w:rFonts w:eastAsia="PMingLiU"/>
          <w:lang w:eastAsia="zh-TW"/>
        </w:rPr>
        <w:t>Ardashir, Ardishir (Ardeshir)</w:t>
      </w:r>
      <w:r w:rsidRPr="008F03E5">
        <w:tab/>
      </w:r>
      <w:r w:rsidRPr="008F03E5">
        <w:rPr>
          <w:rFonts w:eastAsia="PMingLiU"/>
          <w:lang w:eastAsia="zh-TW"/>
        </w:rPr>
        <w:t>Arda</w:t>
      </w:r>
      <w:r w:rsidRPr="008F03E5">
        <w:rPr>
          <w:u w:val="single"/>
        </w:rPr>
        <w:t>sh</w:t>
      </w:r>
      <w:r w:rsidRPr="008F03E5">
        <w:t>ír, Ardi</w:t>
      </w:r>
      <w:r w:rsidRPr="008F03E5">
        <w:rPr>
          <w:u w:val="single"/>
        </w:rPr>
        <w:t>sh</w:t>
      </w:r>
      <w:r w:rsidRPr="008F03E5">
        <w:t>ír</w:t>
      </w:r>
      <w:r w:rsidRPr="008F03E5">
        <w:tab/>
        <w:t>Pers. “great lion”.  Name of Persian rulers (Ardi</w:t>
      </w:r>
      <w:r w:rsidRPr="008F03E5">
        <w:rPr>
          <w:u w:val="single"/>
        </w:rPr>
        <w:t>sh</w:t>
      </w:r>
      <w:r w:rsidRPr="008F03E5">
        <w:t>ír and Arda</w:t>
      </w:r>
      <w:r w:rsidRPr="008F03E5">
        <w:rPr>
          <w:u w:val="single"/>
        </w:rPr>
        <w:t>sh</w:t>
      </w:r>
      <w:r w:rsidRPr="008F03E5">
        <w:t>ír are derived from Middle Persian Arta</w:t>
      </w:r>
      <w:r w:rsidRPr="008F03E5">
        <w:rPr>
          <w:u w:val="single"/>
        </w:rPr>
        <w:t>kh</w:t>
      </w:r>
      <w:r w:rsidRPr="008F03E5">
        <w:t>i</w:t>
      </w:r>
      <w:r w:rsidRPr="008F03E5">
        <w:rPr>
          <w:u w:val="single"/>
        </w:rPr>
        <w:t>sh</w:t>
      </w:r>
      <w:r w:rsidRPr="008F03E5">
        <w:t xml:space="preserve">atr, which was derived from the Greek Artaxerxes) and a small village 85 km </w:t>
      </w:r>
      <w:r w:rsidRPr="008F03E5">
        <w:rPr>
          <w:sz w:val="16"/>
          <w:szCs w:val="16"/>
        </w:rPr>
        <w:t>NE</w:t>
      </w:r>
      <w:r w:rsidRPr="008F03E5">
        <w:t xml:space="preserve"> of Tabriz in East Azerbaijan Province, Iran (38.750145, 46.746858).</w:t>
      </w:r>
    </w:p>
    <w:p w14:paraId="744A46B4" w14:textId="77777777" w:rsidR="00625A5B" w:rsidRPr="008F03E5" w:rsidRDefault="00625A5B" w:rsidP="003D0780">
      <w:pPr>
        <w:pStyle w:val="Translit"/>
        <w:rPr>
          <w:rFonts w:eastAsia="PMingLiU"/>
          <w:lang w:eastAsia="zh-TW"/>
        </w:rPr>
      </w:pPr>
      <w:r w:rsidRPr="008F03E5">
        <w:rPr>
          <w:rFonts w:eastAsia="PMingLiU"/>
          <w:lang w:eastAsia="zh-TW"/>
        </w:rPr>
        <w:t>Ard-i-A’l</w:t>
      </w:r>
      <w:r w:rsidRPr="008F03E5">
        <w:t>a</w:t>
      </w:r>
      <w:r w:rsidRPr="008F03E5">
        <w:tab/>
      </w:r>
      <w:r w:rsidRPr="008F03E5">
        <w:rPr>
          <w:rFonts w:eastAsia="PMingLiU"/>
          <w:lang w:eastAsia="zh-TW"/>
        </w:rPr>
        <w:t>Ar</w:t>
      </w:r>
      <w:r w:rsidRPr="008F03E5">
        <w:t>ḍ</w:t>
      </w:r>
      <w:r w:rsidRPr="008F03E5">
        <w:rPr>
          <w:rFonts w:eastAsia="PMingLiU"/>
          <w:lang w:eastAsia="zh-TW"/>
        </w:rPr>
        <w:t>-i-A‘l</w:t>
      </w:r>
      <w:r w:rsidRPr="008F03E5">
        <w:t>á</w:t>
      </w:r>
      <w:r w:rsidRPr="008F03E5">
        <w:tab/>
      </w:r>
      <w:r>
        <w:t>“</w:t>
      </w:r>
      <w:r w:rsidRPr="008F03E5">
        <w:t>the Exalted Spot</w:t>
      </w:r>
      <w:r>
        <w:t>”</w:t>
      </w:r>
      <w:r w:rsidRPr="008F03E5">
        <w:t xml:space="preserve">, </w:t>
      </w:r>
      <w:r>
        <w:t xml:space="preserve">name given to </w:t>
      </w:r>
      <w:r w:rsidRPr="008F03E5">
        <w:t>the Shrine of the Báb and</w:t>
      </w:r>
      <w:r>
        <w:t xml:space="preserve"> to the </w:t>
      </w:r>
      <w:r w:rsidRPr="00A96C39">
        <w:t xml:space="preserve">fort of </w:t>
      </w:r>
      <w:r w:rsidRPr="00A96C39">
        <w:rPr>
          <w:u w:val="single"/>
        </w:rPr>
        <w:t>Kh</w:t>
      </w:r>
      <w:r w:rsidRPr="00A96C39">
        <w:t>ájih (</w:t>
      </w:r>
      <w:r w:rsidRPr="008F03E5">
        <w:rPr>
          <w:u w:val="single"/>
        </w:rPr>
        <w:t>Kh</w:t>
      </w:r>
      <w:r w:rsidRPr="008F03E5">
        <w:t>wája</w:t>
      </w:r>
      <w:r w:rsidRPr="00A96C39">
        <w:t>),</w:t>
      </w:r>
      <w:r w:rsidRPr="008F03E5">
        <w:t xml:space="preserve"> Zanján</w:t>
      </w:r>
      <w:r>
        <w:t>, by the Báb (</w:t>
      </w:r>
      <w:r w:rsidRPr="008F03E5">
        <w:t>Zanján</w:t>
      </w:r>
      <w:r>
        <w:t xml:space="preserve"> upheaval </w:t>
      </w:r>
      <w:r w:rsidRPr="0040488F">
        <w:t>13 May</w:t>
      </w:r>
      <w:r>
        <w:t xml:space="preserve"> 1859–c. 2 January 1851.</w:t>
      </w:r>
    </w:p>
    <w:p w14:paraId="6087529D" w14:textId="77777777" w:rsidR="00625A5B" w:rsidRPr="008F03E5" w:rsidRDefault="00625A5B" w:rsidP="00F87A63">
      <w:pPr>
        <w:pStyle w:val="Translit"/>
        <w:rPr>
          <w:rFonts w:eastAsia="PMingLiU"/>
          <w:lang w:eastAsia="zh-TW"/>
        </w:rPr>
      </w:pPr>
      <w:r w:rsidRPr="008F03E5">
        <w:rPr>
          <w:rFonts w:eastAsia="PMingLiU"/>
          <w:lang w:eastAsia="zh-TW"/>
        </w:rPr>
        <w:t>Ard-i-Jannat</w:t>
      </w:r>
      <w:r w:rsidRPr="008F03E5">
        <w:tab/>
      </w:r>
      <w:r w:rsidRPr="008F03E5">
        <w:rPr>
          <w:rFonts w:eastAsia="PMingLiU"/>
          <w:lang w:eastAsia="zh-TW"/>
        </w:rPr>
        <w:t>Ar</w:t>
      </w:r>
      <w:r w:rsidRPr="008F03E5">
        <w:t>ḍ</w:t>
      </w:r>
      <w:r w:rsidRPr="008F03E5">
        <w:rPr>
          <w:rFonts w:eastAsia="PMingLiU"/>
          <w:lang w:eastAsia="zh-TW"/>
        </w:rPr>
        <w:t>-i-Jannat</w:t>
      </w:r>
      <w:r w:rsidRPr="008F03E5">
        <w:tab/>
        <w:t>the Land of Paradise, Mílán</w:t>
      </w:r>
    </w:p>
    <w:p w14:paraId="4279282D" w14:textId="77777777" w:rsidR="00625A5B" w:rsidRPr="008F03E5" w:rsidRDefault="00625A5B" w:rsidP="00F87A63">
      <w:pPr>
        <w:pStyle w:val="Translit"/>
        <w:rPr>
          <w:rFonts w:eastAsia="PMingLiU"/>
          <w:lang w:eastAsia="zh-TW"/>
        </w:rPr>
      </w:pPr>
      <w:r w:rsidRPr="008F03E5">
        <w:rPr>
          <w:rFonts w:eastAsia="PMingLiU"/>
          <w:lang w:eastAsia="zh-TW"/>
        </w:rPr>
        <w:t>Ardikan (Ardakan)</w:t>
      </w:r>
      <w:r w:rsidRPr="008F03E5">
        <w:tab/>
      </w:r>
      <w:r w:rsidRPr="008F03E5">
        <w:rPr>
          <w:rFonts w:eastAsia="PMingLiU"/>
          <w:lang w:eastAsia="zh-TW"/>
        </w:rPr>
        <w:t>Ardikán</w:t>
      </w:r>
      <w:r w:rsidRPr="008F03E5">
        <w:tab/>
        <w:t xml:space="preserve">city 55 km </w:t>
      </w:r>
      <w:r w:rsidRPr="008F03E5">
        <w:rPr>
          <w:sz w:val="16"/>
          <w:szCs w:val="16"/>
        </w:rPr>
        <w:t>NW</w:t>
      </w:r>
      <w:r w:rsidRPr="008F03E5">
        <w:t xml:space="preserve"> of Yazd</w:t>
      </w:r>
    </w:p>
    <w:p w14:paraId="3D0729B4" w14:textId="77777777" w:rsidR="00625A5B" w:rsidRPr="008F03E5" w:rsidRDefault="00625A5B" w:rsidP="00F87A63">
      <w:pPr>
        <w:pStyle w:val="Translit"/>
        <w:rPr>
          <w:rFonts w:eastAsia="PMingLiU"/>
          <w:lang w:eastAsia="zh-TW"/>
        </w:rPr>
      </w:pPr>
      <w:r w:rsidRPr="008F03E5">
        <w:rPr>
          <w:rFonts w:eastAsia="PMingLiU"/>
          <w:lang w:eastAsia="zh-TW"/>
        </w:rPr>
        <w:t>Ard-i-Sirr</w:t>
      </w:r>
      <w:r w:rsidRPr="008F03E5">
        <w:rPr>
          <w:rFonts w:eastAsia="PMingLiU"/>
          <w:lang w:eastAsia="zh-TW"/>
        </w:rPr>
        <w:tab/>
        <w:t>Ar</w:t>
      </w:r>
      <w:r w:rsidRPr="008F03E5">
        <w:t>ḍ</w:t>
      </w:r>
      <w:r w:rsidRPr="008F03E5">
        <w:rPr>
          <w:rFonts w:eastAsia="PMingLiU"/>
          <w:lang w:eastAsia="zh-TW"/>
        </w:rPr>
        <w:t>-i-Sirr</w:t>
      </w:r>
      <w:r w:rsidRPr="008F03E5">
        <w:rPr>
          <w:rFonts w:eastAsia="PMingLiU"/>
          <w:lang w:eastAsia="zh-TW"/>
        </w:rPr>
        <w:tab/>
      </w:r>
      <w:r>
        <w:rPr>
          <w:rFonts w:eastAsia="PMingLiU"/>
          <w:lang w:eastAsia="zh-TW"/>
        </w:rPr>
        <w:t xml:space="preserve">Pers. </w:t>
      </w:r>
      <w:r w:rsidRPr="008F03E5">
        <w:rPr>
          <w:rFonts w:eastAsia="PMingLiU"/>
          <w:lang w:eastAsia="zh-TW"/>
        </w:rPr>
        <w:t>the Land of Mystery, Adrianople.  See Adirna.</w:t>
      </w:r>
    </w:p>
    <w:p w14:paraId="56D7B2AF" w14:textId="77777777" w:rsidR="00625A5B" w:rsidRPr="008F03E5" w:rsidRDefault="00625A5B" w:rsidP="00F87A63">
      <w:pPr>
        <w:pStyle w:val="Translit"/>
      </w:pPr>
      <w:r w:rsidRPr="008F03E5">
        <w:t>Ardistan</w:t>
      </w:r>
      <w:r w:rsidRPr="008F03E5">
        <w:tab/>
        <w:t>Ardistán</w:t>
      </w:r>
      <w:r w:rsidRPr="008F03E5">
        <w:tab/>
        <w:t>Province in Iran</w:t>
      </w:r>
    </w:p>
    <w:p w14:paraId="2BEECAAD" w14:textId="77777777" w:rsidR="00625A5B" w:rsidRPr="008F03E5" w:rsidRDefault="00625A5B" w:rsidP="00F87A63">
      <w:pPr>
        <w:pStyle w:val="Translit"/>
      </w:pPr>
      <w:r w:rsidRPr="008F03E5">
        <w:t>Ardshir</w:t>
      </w:r>
      <w:r w:rsidRPr="008F03E5">
        <w:tab/>
        <w:t>Ard</w:t>
      </w:r>
      <w:r w:rsidRPr="008F03E5">
        <w:rPr>
          <w:u w:val="single"/>
        </w:rPr>
        <w:t>sh</w:t>
      </w:r>
      <w:r w:rsidRPr="008F03E5">
        <w:t>ír</w:t>
      </w:r>
      <w:r w:rsidRPr="008F03E5">
        <w:tab/>
        <w:t>Pers. intrepid, courageous</w:t>
      </w:r>
    </w:p>
    <w:p w14:paraId="02E2264B" w14:textId="77777777" w:rsidR="00625A5B" w:rsidRPr="009159F1" w:rsidRDefault="00625A5B" w:rsidP="00F87A63">
      <w:pPr>
        <w:pStyle w:val="Translit"/>
        <w:rPr>
          <w:lang w:val="fr-FR"/>
        </w:rPr>
      </w:pPr>
      <w:r w:rsidRPr="009159F1">
        <w:rPr>
          <w:lang w:val="fr-FR"/>
        </w:rPr>
        <w:t>Arf</w:t>
      </w:r>
      <w:r w:rsidRPr="009159F1">
        <w:rPr>
          <w:lang w:val="fr-FR"/>
        </w:rPr>
        <w:tab/>
        <w:t>‘Arf</w:t>
      </w:r>
      <w:r w:rsidRPr="009159F1">
        <w:rPr>
          <w:lang w:val="fr-FR"/>
        </w:rPr>
        <w:tab/>
        <w:t>fragrance, perfume, scent, aroma</w:t>
      </w:r>
    </w:p>
    <w:p w14:paraId="38E3BDC0" w14:textId="77777777" w:rsidR="00625A5B" w:rsidRPr="008F03E5" w:rsidRDefault="00625A5B" w:rsidP="00F87A63">
      <w:pPr>
        <w:pStyle w:val="Translit"/>
      </w:pPr>
      <w:r w:rsidRPr="008F03E5">
        <w:t>Arg (Ark)</w:t>
      </w:r>
      <w:r w:rsidRPr="008F03E5">
        <w:tab/>
        <w:t>Arg</w:t>
      </w:r>
      <w:r w:rsidRPr="008F03E5">
        <w:tab/>
        <w:t>Pers. the inner fortress or citadel of a walled city.  Ark is a modern colloquialism for a small citadel.</w:t>
      </w:r>
    </w:p>
    <w:p w14:paraId="13F33291" w14:textId="77777777" w:rsidR="00625A5B" w:rsidRPr="008F03E5" w:rsidRDefault="00625A5B" w:rsidP="00F87A63">
      <w:pPr>
        <w:pStyle w:val="Translit"/>
      </w:pPr>
      <w:r w:rsidRPr="008F03E5">
        <w:t>Arghun</w:t>
      </w:r>
      <w:r w:rsidRPr="008F03E5">
        <w:tab/>
        <w:t>Ar</w:t>
      </w:r>
      <w:r w:rsidRPr="008F03E5">
        <w:rPr>
          <w:u w:val="single"/>
        </w:rPr>
        <w:t>gh</w:t>
      </w:r>
      <w:r w:rsidRPr="008F03E5">
        <w:t>ún</w:t>
      </w:r>
      <w:r w:rsidRPr="008F03E5">
        <w:tab/>
        <w:t>an organ; a wild horse</w:t>
      </w:r>
    </w:p>
    <w:p w14:paraId="73E7978D" w14:textId="77777777" w:rsidR="00625A5B" w:rsidRPr="008F03E5" w:rsidRDefault="00625A5B" w:rsidP="00F87A63">
      <w:pPr>
        <w:pStyle w:val="Translit"/>
      </w:pPr>
      <w:r w:rsidRPr="008F03E5">
        <w:t>Ari</w:t>
      </w:r>
      <w:r w:rsidRPr="008F03E5">
        <w:tab/>
        <w:t>Árí</w:t>
      </w:r>
      <w:r w:rsidRPr="008F03E5">
        <w:tab/>
        <w:t>Pers. ye</w:t>
      </w:r>
      <w:r w:rsidRPr="008F03E5">
        <w:rPr>
          <w:rFonts w:eastAsia="Times New Roman"/>
        </w:rPr>
        <w:t>s, very well, indeed, truly; no</w:t>
      </w:r>
    </w:p>
    <w:p w14:paraId="16ADE2E1" w14:textId="77777777" w:rsidR="00625A5B" w:rsidRPr="008F03E5" w:rsidRDefault="00625A5B" w:rsidP="00F87A63">
      <w:pPr>
        <w:pStyle w:val="Translit"/>
      </w:pPr>
      <w:r w:rsidRPr="008F03E5">
        <w:t>Arid, Irad</w:t>
      </w:r>
      <w:r w:rsidRPr="008F03E5">
        <w:tab/>
        <w:t>‘Aríḍ, pl. ‘Iráḍ</w:t>
      </w:r>
      <w:r w:rsidRPr="008F03E5">
        <w:tab/>
        <w:t>broad, wide; extensive, vast</w:t>
      </w:r>
    </w:p>
    <w:p w14:paraId="27E57F5F" w14:textId="77777777" w:rsidR="00625A5B" w:rsidRPr="008F03E5" w:rsidRDefault="00625A5B" w:rsidP="00F87A63">
      <w:pPr>
        <w:pStyle w:val="Translit"/>
      </w:pPr>
      <w:r w:rsidRPr="008F03E5">
        <w:t>Arida, ‘Ara’id</w:t>
      </w:r>
      <w:r w:rsidRPr="008F03E5">
        <w:tab/>
        <w:t>‘Aríḍa, pl. ‘Ará’iḍ</w:t>
      </w:r>
      <w:r w:rsidRPr="008F03E5">
        <w:tab/>
        <w:t>petition, application, memorial</w:t>
      </w:r>
    </w:p>
    <w:p w14:paraId="2A542ABE" w14:textId="77777777" w:rsidR="00625A5B" w:rsidRPr="0001459D" w:rsidRDefault="00625A5B" w:rsidP="0001459D">
      <w:pPr>
        <w:pStyle w:val="Translit"/>
        <w:rPr>
          <w:lang w:val="en-AU"/>
        </w:rPr>
      </w:pPr>
      <w:r w:rsidRPr="0001459D">
        <w:t xml:space="preserve">Arif, </w:t>
      </w:r>
      <w:r>
        <w:t>‘</w:t>
      </w:r>
      <w:r w:rsidRPr="0001459D">
        <w:t>Arifin</w:t>
      </w:r>
      <w:r w:rsidRPr="0001459D">
        <w:tab/>
        <w:t xml:space="preserve">‘Árif, pl. </w:t>
      </w:r>
      <w:r w:rsidRPr="0001459D">
        <w:rPr>
          <w:lang w:val="en-AU"/>
        </w:rPr>
        <w:t>‘</w:t>
      </w:r>
      <w:r w:rsidRPr="0001459D">
        <w:t>Á</w:t>
      </w:r>
      <w:r w:rsidRPr="0001459D">
        <w:rPr>
          <w:lang w:val="en-AU"/>
        </w:rPr>
        <w:t>r</w:t>
      </w:r>
      <w:r>
        <w:rPr>
          <w:lang w:val="en-AU"/>
        </w:rPr>
        <w:t>i</w:t>
      </w:r>
      <w:r w:rsidRPr="0001459D">
        <w:rPr>
          <w:lang w:val="en-AU"/>
        </w:rPr>
        <w:t>f</w:t>
      </w:r>
      <w:r w:rsidRPr="0001459D">
        <w:t>í</w:t>
      </w:r>
      <w:r w:rsidRPr="0001459D">
        <w:rPr>
          <w:lang w:val="en-AU"/>
        </w:rPr>
        <w:t>n</w:t>
      </w:r>
      <w:r w:rsidRPr="0001459D">
        <w:rPr>
          <w:lang w:val="en-AU"/>
        </w:rPr>
        <w:tab/>
        <w:t>acquainted, conversant, familiar (with); connoisseur, expert; wise</w:t>
      </w:r>
      <w:r>
        <w:rPr>
          <w:lang w:val="en-AU"/>
        </w:rPr>
        <w:t xml:space="preserve"> </w:t>
      </w:r>
      <w:r w:rsidRPr="0001459D">
        <w:rPr>
          <w:lang w:val="en-AU"/>
        </w:rPr>
        <w:t>man, mystic, saint, gnostic;—pl. mystics, saints, gnostics</w:t>
      </w:r>
    </w:p>
    <w:p w14:paraId="79F87C95" w14:textId="77777777" w:rsidR="00625A5B" w:rsidRPr="008F03E5" w:rsidRDefault="00625A5B" w:rsidP="00F87A63">
      <w:pPr>
        <w:pStyle w:val="Translit"/>
      </w:pPr>
      <w:r w:rsidRPr="00077779">
        <w:rPr>
          <w:lang w:val="es-ES_tradnl"/>
        </w:rPr>
        <w:t>Arif, ‘Arifun, ‘Arifin</w:t>
      </w:r>
      <w:r w:rsidRPr="00077779">
        <w:rPr>
          <w:lang w:val="es-ES_tradnl"/>
        </w:rPr>
        <w:tab/>
        <w:t xml:space="preserve">‘Árif, pl. </w:t>
      </w:r>
      <w:r w:rsidRPr="008F03E5">
        <w:t>‘Árifún, ‘Árifín</w:t>
      </w:r>
      <w:r w:rsidRPr="008F03E5">
        <w:tab/>
        <w:t>knowing, perceiving; acquainted, conversant, familiar (with); scientific; wise, skilful, intelligent, sagacious; connoisseur, expert; well known, notorious; patient; a holy man, a saint, the highest grade to which a mystic can attain</w:t>
      </w:r>
    </w:p>
    <w:p w14:paraId="4CD05DDC" w14:textId="77777777" w:rsidR="00625A5B" w:rsidRPr="008F03E5" w:rsidRDefault="00625A5B" w:rsidP="00F87A63">
      <w:pPr>
        <w:pStyle w:val="Translit"/>
      </w:pPr>
      <w:r w:rsidRPr="008F03E5">
        <w:t>Arif, ‘Urafa’</w:t>
      </w:r>
      <w:r w:rsidRPr="008F03E5">
        <w:tab/>
        <w:t>‘Aríf, pl. ‘Urafá’</w:t>
      </w:r>
      <w:r w:rsidRPr="008F03E5">
        <w:tab/>
        <w:t>knowing (something), cognizant, aware (of something); expert, authority, specialist; teaching assistant, monitor (an older pupil assisting the teacher of a Qur’anic school)</w:t>
      </w:r>
    </w:p>
    <w:p w14:paraId="70AD92D1" w14:textId="77777777" w:rsidR="00625A5B" w:rsidRPr="008F03E5" w:rsidRDefault="00625A5B" w:rsidP="00F87A63">
      <w:pPr>
        <w:pStyle w:val="Translit"/>
      </w:pPr>
      <w:r w:rsidRPr="008F03E5">
        <w:t>Arish, ‘Urush, ‘Ara’ish</w:t>
      </w:r>
      <w:r w:rsidRPr="008F03E5">
        <w:tab/>
        <w:t>‘Arí</w:t>
      </w:r>
      <w:r w:rsidRPr="008F03E5">
        <w:rPr>
          <w:u w:val="single"/>
        </w:rPr>
        <w:t>sh</w:t>
      </w:r>
      <w:r w:rsidRPr="008F03E5">
        <w:t>, pl. ‘Uru</w:t>
      </w:r>
      <w:r w:rsidRPr="008F03E5">
        <w:rPr>
          <w:u w:val="single"/>
        </w:rPr>
        <w:t>sh</w:t>
      </w:r>
      <w:r w:rsidRPr="008F03E5">
        <w:t>, ‘Ará’i</w:t>
      </w:r>
      <w:r w:rsidRPr="008F03E5">
        <w:rPr>
          <w:u w:val="single"/>
        </w:rPr>
        <w:t>sh</w:t>
      </w:r>
      <w:r w:rsidRPr="008F03E5">
        <w:tab/>
        <w:t>arbor, bower; hut made of twigs; booth, shack, shanty; trellis (for grapevines); shaft, carriage pole.  al-‘Arí</w:t>
      </w:r>
      <w:r w:rsidRPr="008F03E5">
        <w:rPr>
          <w:u w:val="single"/>
        </w:rPr>
        <w:t>sh</w:t>
      </w:r>
      <w:r w:rsidRPr="008F03E5">
        <w:t xml:space="preserve">, city on the northern coast of the </w:t>
      </w:r>
      <w:r>
        <w:t xml:space="preserve">modern named </w:t>
      </w:r>
      <w:r w:rsidRPr="008F03E5">
        <w:t>Sinai Peninsula.</w:t>
      </w:r>
    </w:p>
    <w:p w14:paraId="4DE64A38" w14:textId="77777777" w:rsidR="00625A5B" w:rsidRPr="008F03E5" w:rsidRDefault="00625A5B" w:rsidP="00E12D7F">
      <w:pPr>
        <w:pStyle w:val="Translit"/>
      </w:pPr>
      <w:r w:rsidRPr="00D45A23">
        <w:rPr>
          <w:lang w:val="pl-PL"/>
        </w:rPr>
        <w:t>Aristu, Arasta (Arast), Arastu</w:t>
      </w:r>
      <w:r w:rsidRPr="00D45A23">
        <w:rPr>
          <w:lang w:val="pl-PL"/>
        </w:rPr>
        <w:tab/>
        <w:t xml:space="preserve">Arisṭú, Pers. </w:t>
      </w:r>
      <w:r w:rsidRPr="008F03E5">
        <w:t>Arasṭá, Arasṭú</w:t>
      </w:r>
      <w:r w:rsidRPr="008F03E5">
        <w:tab/>
        <w:t xml:space="preserve">Aristotle (“the best purpose”).  Greek </w:t>
      </w:r>
      <w:r w:rsidRPr="008F03E5">
        <w:rPr>
          <w:rFonts w:eastAsia="Times New Roman"/>
        </w:rPr>
        <w:t>aras</w:t>
      </w:r>
      <w:r w:rsidRPr="008F03E5">
        <w:t>ṭ</w:t>
      </w:r>
      <w:r w:rsidRPr="008F03E5">
        <w:rPr>
          <w:rFonts w:eastAsia="Times New Roman"/>
        </w:rPr>
        <w:t xml:space="preserve"> aras</w:t>
      </w:r>
      <w:r w:rsidRPr="008F03E5">
        <w:t>ṭ</w:t>
      </w:r>
      <w:r w:rsidRPr="008F03E5">
        <w:rPr>
          <w:rFonts w:eastAsia="Times New Roman"/>
        </w:rPr>
        <w:t xml:space="preserve">á.  </w:t>
      </w:r>
      <w:r w:rsidRPr="008F03E5">
        <w:t xml:space="preserve">Dr Arisṭú </w:t>
      </w:r>
      <w:r w:rsidRPr="008F03E5">
        <w:rPr>
          <w:u w:val="single"/>
        </w:rPr>
        <w:t>Kh</w:t>
      </w:r>
      <w:r w:rsidRPr="008F03E5">
        <w:t xml:space="preserve">án, brother of </w:t>
      </w:r>
      <w:bookmarkStart w:id="45" w:name="_Hlk60216975"/>
      <w:r w:rsidRPr="008F03E5">
        <w:t>Dr Luṭfu’lláh Ḥakím</w:t>
      </w:r>
      <w:bookmarkEnd w:id="45"/>
      <w:r w:rsidRPr="008F03E5">
        <w:t>,</w:t>
      </w:r>
    </w:p>
    <w:p w14:paraId="16BA2E92" w14:textId="77777777" w:rsidR="00625A5B" w:rsidRPr="008F03E5" w:rsidRDefault="00625A5B" w:rsidP="00F87A63">
      <w:pPr>
        <w:pStyle w:val="Translit"/>
      </w:pPr>
      <w:r w:rsidRPr="008F03E5">
        <w:t>Arjmand (Arjumand)</w:t>
      </w:r>
      <w:r w:rsidRPr="008F03E5">
        <w:tab/>
        <w:t>Arjmand</w:t>
      </w:r>
      <w:r w:rsidRPr="008F03E5">
        <w:tab/>
        <w:t>Pers. rare, excellent, worthy of great price, valuable, exquisite, beloved, dear, brave, generous, noble, distinguished; wise</w:t>
      </w:r>
    </w:p>
    <w:p w14:paraId="7F9963E9" w14:textId="77777777" w:rsidR="00625A5B" w:rsidRPr="008F03E5" w:rsidRDefault="00625A5B" w:rsidP="00F87A63">
      <w:pPr>
        <w:pStyle w:val="Translit"/>
      </w:pPr>
      <w:r w:rsidRPr="008F03E5">
        <w:t>Arjumand, Arjmand, Arzaman</w:t>
      </w:r>
      <w:r w:rsidRPr="008F03E5">
        <w:tab/>
        <w:t>Arjumand, Arjmand, Arzamán</w:t>
      </w:r>
      <w:r w:rsidRPr="008F03E5">
        <w:tab/>
        <w:t>Pers. town, formerly Arzamán, in and the capital of Arjumand District, in Firuzkuh County, Ṭihrán Province, Iran.  Also written “Arjomand”.</w:t>
      </w:r>
    </w:p>
    <w:p w14:paraId="3A9AEFC9" w14:textId="77777777" w:rsidR="00625A5B" w:rsidRPr="008F03E5" w:rsidRDefault="00625A5B" w:rsidP="00F87A63">
      <w:pPr>
        <w:pStyle w:val="Translit"/>
        <w:rPr>
          <w:rFonts w:eastAsia="PMingLiU"/>
          <w:lang w:eastAsia="zh-TW"/>
        </w:rPr>
      </w:pPr>
      <w:r w:rsidRPr="008F03E5">
        <w:t>Arjumandi</w:t>
      </w:r>
      <w:r w:rsidRPr="008F03E5">
        <w:tab/>
        <w:t>Arjumandí</w:t>
      </w:r>
      <w:r w:rsidRPr="008F03E5">
        <w:tab/>
        <w:t>of, from Arjumand</w:t>
      </w:r>
    </w:p>
    <w:p w14:paraId="64EDBB86" w14:textId="77777777" w:rsidR="00625A5B" w:rsidRPr="008F03E5" w:rsidRDefault="00625A5B" w:rsidP="00F87A63">
      <w:pPr>
        <w:pStyle w:val="Translit"/>
        <w:rPr>
          <w:rFonts w:eastAsia="Times New Roman"/>
        </w:rPr>
      </w:pPr>
      <w:r w:rsidRPr="008F03E5">
        <w:rPr>
          <w:rFonts w:eastAsia="Times New Roman"/>
        </w:rPr>
        <w:t>Arman</w:t>
      </w:r>
      <w:r w:rsidRPr="008F03E5">
        <w:rPr>
          <w:rFonts w:eastAsia="Times New Roman"/>
        </w:rPr>
        <w:tab/>
        <w:t>Ármán</w:t>
      </w:r>
      <w:r w:rsidRPr="008F03E5">
        <w:rPr>
          <w:rFonts w:eastAsia="Times New Roman"/>
        </w:rPr>
        <w:tab/>
        <w:t>Pers. desire; a sigh; grief, sorrow; remorse</w:t>
      </w:r>
    </w:p>
    <w:p w14:paraId="0F3FE4CA" w14:textId="77777777" w:rsidR="00625A5B" w:rsidRPr="008F03E5" w:rsidRDefault="00625A5B" w:rsidP="00156411">
      <w:pPr>
        <w:pStyle w:val="Translit"/>
        <w:rPr>
          <w:rFonts w:eastAsia="PMingLiU"/>
          <w:lang w:eastAsia="zh-TW"/>
        </w:rPr>
      </w:pPr>
      <w:r w:rsidRPr="008F03E5">
        <w:rPr>
          <w:rFonts w:eastAsia="PMingLiU"/>
          <w:lang w:eastAsia="zh-TW"/>
        </w:rPr>
        <w:t>Arqam</w:t>
      </w:r>
      <w:r w:rsidRPr="008F03E5">
        <w:rPr>
          <w:rFonts w:eastAsia="PMingLiU"/>
          <w:lang w:eastAsia="zh-TW"/>
        </w:rPr>
        <w:tab/>
        <w:t>Arqam</w:t>
      </w:r>
      <w:r w:rsidRPr="008F03E5">
        <w:rPr>
          <w:rFonts w:eastAsia="PMingLiU"/>
          <w:lang w:eastAsia="zh-TW"/>
        </w:rPr>
        <w:tab/>
      </w:r>
      <w:r w:rsidRPr="008F03E5">
        <w:rPr>
          <w:rFonts w:eastAsia="Times New Roman"/>
        </w:rPr>
        <w:t>(a serpent) speckled with black and white (of a very dangerous species); name of an Arabian tribe</w:t>
      </w:r>
    </w:p>
    <w:p w14:paraId="2138DC72" w14:textId="77777777" w:rsidR="00625A5B" w:rsidRPr="008F03E5" w:rsidRDefault="00625A5B" w:rsidP="00216568">
      <w:pPr>
        <w:pStyle w:val="Translit"/>
        <w:rPr>
          <w:rFonts w:eastAsia="PMingLiU"/>
          <w:lang w:eastAsia="zh-TW"/>
        </w:rPr>
      </w:pPr>
      <w:r w:rsidRPr="008F03E5">
        <w:rPr>
          <w:rFonts w:eastAsia="Times New Roman"/>
        </w:rPr>
        <w:t>Arrab, ‘Arraba</w:t>
      </w:r>
      <w:r w:rsidRPr="008F03E5">
        <w:rPr>
          <w:rFonts w:eastAsia="Times New Roman"/>
        </w:rPr>
        <w:tab/>
        <w:t>‘Arráb, fem. ‘Arrába[h or t]</w:t>
      </w:r>
      <w:r w:rsidRPr="008F03E5">
        <w:rPr>
          <w:rFonts w:eastAsia="Times New Roman"/>
        </w:rPr>
        <w:tab/>
        <w:t>godfather/godmother, sponsor</w:t>
      </w:r>
    </w:p>
    <w:p w14:paraId="1D6DCAB2" w14:textId="77777777" w:rsidR="00625A5B" w:rsidRPr="008F03E5" w:rsidRDefault="00625A5B" w:rsidP="0013281D">
      <w:pPr>
        <w:pStyle w:val="Translit"/>
      </w:pPr>
      <w:r w:rsidRPr="008F03E5">
        <w:rPr>
          <w:rFonts w:eastAsia="PMingLiU"/>
          <w:lang w:eastAsia="zh-TW"/>
        </w:rPr>
        <w:t>Arsh, ‘Arshiya, Urush, A’rash</w:t>
      </w:r>
      <w:r w:rsidRPr="008F03E5">
        <w:rPr>
          <w:rFonts w:eastAsia="PMingLiU"/>
          <w:lang w:eastAsia="zh-TW"/>
        </w:rPr>
        <w:tab/>
        <w:t>‘Ar</w:t>
      </w:r>
      <w:r w:rsidRPr="008F03E5">
        <w:rPr>
          <w:u w:val="single"/>
        </w:rPr>
        <w:t>sh</w:t>
      </w:r>
      <w:r w:rsidRPr="008F03E5">
        <w:t>, fem. ‘Ar</w:t>
      </w:r>
      <w:r w:rsidRPr="008F03E5">
        <w:rPr>
          <w:u w:val="single"/>
        </w:rPr>
        <w:t>sh</w:t>
      </w:r>
      <w:r w:rsidRPr="008F03E5">
        <w:t>a[h or t]</w:t>
      </w:r>
      <w:r w:rsidRPr="008F03E5">
        <w:tab/>
        <w:t>(pl. ‘Urú</w:t>
      </w:r>
      <w:r w:rsidRPr="008F03E5">
        <w:rPr>
          <w:u w:val="single"/>
        </w:rPr>
        <w:t>sh</w:t>
      </w:r>
      <w:r w:rsidRPr="008F03E5">
        <w:t>, A‘rá</w:t>
      </w:r>
      <w:r w:rsidRPr="008F03E5">
        <w:rPr>
          <w:u w:val="single"/>
        </w:rPr>
        <w:t>sh</w:t>
      </w:r>
      <w:r w:rsidRPr="008F03E5">
        <w:t>)</w:t>
      </w:r>
      <w:r w:rsidRPr="008F03E5">
        <w:rPr>
          <w:rFonts w:eastAsia="PMingLiU"/>
          <w:lang w:eastAsia="zh-TW"/>
        </w:rPr>
        <w:t xml:space="preserve"> </w:t>
      </w:r>
      <w:r w:rsidRPr="008F03E5">
        <w:t xml:space="preserve">a throne, chair of state; </w:t>
      </w:r>
      <w:bookmarkStart w:id="46" w:name="_Hlk60393599"/>
      <w:r w:rsidRPr="008F03E5">
        <w:t>the throne of God (</w:t>
      </w:r>
      <w:r w:rsidRPr="008F03E5">
        <w:rPr>
          <w:rFonts w:eastAsia="PMingLiU"/>
          <w:lang w:eastAsia="zh-TW"/>
        </w:rPr>
        <w:t>‘Ar</w:t>
      </w:r>
      <w:r w:rsidRPr="008F03E5">
        <w:rPr>
          <w:u w:val="single"/>
        </w:rPr>
        <w:t>sh</w:t>
      </w:r>
      <w:r w:rsidRPr="008F03E5">
        <w:t xml:space="preserve"> Alláh, </w:t>
      </w:r>
      <w:bookmarkEnd w:id="46"/>
      <w:r w:rsidRPr="008F03E5">
        <w:t>the Shrine of the Báb or more generally, the Bahá’í World Centre); the empyrean (heaven); a palace, citadel; roof of a house; a canopy; a tent; a prop, buttress, stay, support; a leader or chief of the people</w:t>
      </w:r>
    </w:p>
    <w:p w14:paraId="1805DADE" w14:textId="77777777" w:rsidR="00625A5B" w:rsidRPr="008F03E5" w:rsidRDefault="00625A5B" w:rsidP="0013281D">
      <w:pPr>
        <w:pStyle w:val="Translit"/>
      </w:pPr>
      <w:r w:rsidRPr="008F03E5">
        <w:t>Arshi, ‘Arshiyan</w:t>
      </w:r>
      <w:r w:rsidRPr="008F03E5">
        <w:tab/>
        <w:t>‘Ar</w:t>
      </w:r>
      <w:r w:rsidRPr="008F03E5">
        <w:rPr>
          <w:u w:val="single"/>
        </w:rPr>
        <w:t>sh</w:t>
      </w:r>
      <w:r w:rsidRPr="008F03E5">
        <w:t>í, pl. ‘Ar</w:t>
      </w:r>
      <w:r w:rsidRPr="008F03E5">
        <w:rPr>
          <w:u w:val="single"/>
        </w:rPr>
        <w:t>sh</w:t>
      </w:r>
      <w:r w:rsidRPr="008F03E5">
        <w:t>iyán</w:t>
      </w:r>
      <w:r w:rsidRPr="008F03E5">
        <w:tab/>
        <w:t>from the throne (of God) or divine “presence”, heavenly; pl. angels who carry the throne of God, bearers of the celestial throne</w:t>
      </w:r>
    </w:p>
    <w:p w14:paraId="33AA4613" w14:textId="77777777" w:rsidR="00625A5B" w:rsidRPr="008F03E5" w:rsidRDefault="00625A5B" w:rsidP="000F4C10">
      <w:pPr>
        <w:pStyle w:val="Translit"/>
      </w:pPr>
      <w:r w:rsidRPr="008F03E5">
        <w:t>Arshin</w:t>
      </w:r>
      <w:r w:rsidRPr="008F03E5">
        <w:tab/>
        <w:t>Ár</w:t>
      </w:r>
      <w:r w:rsidRPr="008F03E5">
        <w:rPr>
          <w:u w:val="single"/>
        </w:rPr>
        <w:t>sh</w:t>
      </w:r>
      <w:r w:rsidRPr="008F03E5">
        <w:t>ín</w:t>
      </w:r>
      <w:r w:rsidRPr="008F03E5">
        <w:tab/>
        <w:t>Russian cubit (арши́н)</w:t>
      </w:r>
    </w:p>
    <w:p w14:paraId="264F0F0F" w14:textId="77777777" w:rsidR="00625A5B" w:rsidRPr="008F03E5" w:rsidRDefault="00625A5B" w:rsidP="003519DA">
      <w:pPr>
        <w:pStyle w:val="Translit"/>
      </w:pPr>
      <w:r w:rsidRPr="008F03E5">
        <w:t>Arslan</w:t>
      </w:r>
      <w:r w:rsidRPr="008F03E5">
        <w:tab/>
        <w:t>Árslán, Arslán</w:t>
      </w:r>
      <w:r w:rsidRPr="008F03E5">
        <w:tab/>
        <w:t xml:space="preserve">Pers. from Turkish.  A lion; surname adopted by several kings of Persia.  Alp Arslán (honorific in Turkish meaning “Heroic Lion”, given because of his military prowess and fighting skills; full name Ḍiyá’ ad-Dunyá wa ad-Dín ‘Aḍud ad-Dawlah Abú </w:t>
      </w:r>
      <w:r w:rsidRPr="008F03E5">
        <w:rPr>
          <w:u w:val="single"/>
        </w:rPr>
        <w:t>Sh</w:t>
      </w:r>
      <w:r w:rsidRPr="008F03E5">
        <w:t>ujá‘ Muḥammad Alp Árslán ibn Dáwud (1029–1072), real name Muḥammad bin Dáwud Chaghri (Turkic Çağrı), was the second Sulṭán of the Seljuk Empire and great-grandson of Saljúq (Seljuk), the eponymous founder of the dynasty.</w:t>
      </w:r>
    </w:p>
    <w:p w14:paraId="42018937" w14:textId="77777777" w:rsidR="00625A5B" w:rsidRPr="008F03E5" w:rsidRDefault="00625A5B" w:rsidP="00F87A63">
      <w:pPr>
        <w:pStyle w:val="Translit"/>
      </w:pPr>
      <w:r w:rsidRPr="008F03E5">
        <w:t>Arus, ‘Urus, ‘Ara’is, ‘Arusan</w:t>
      </w:r>
      <w:r w:rsidRPr="008F03E5">
        <w:tab/>
        <w:t>‘Arús, pl. ‘Urus</w:t>
      </w:r>
      <w:r w:rsidRPr="008F03E5">
        <w:tab/>
        <w:t>bridegroom; f. (pl. ‘ará’is) bride; doll; al-‘arúsán bride and groom, the newlyweds</w:t>
      </w:r>
    </w:p>
    <w:p w14:paraId="4FF9E9DB" w14:textId="77777777" w:rsidR="00625A5B" w:rsidRPr="008F03E5" w:rsidRDefault="00625A5B" w:rsidP="00076994">
      <w:pPr>
        <w:pStyle w:val="Translit"/>
      </w:pPr>
      <w:r w:rsidRPr="008F03E5">
        <w:t>Aryamihr (Aryamehr</w:t>
      </w:r>
      <w:r w:rsidRPr="008F03E5">
        <w:tab/>
        <w:t>Áryámihr</w:t>
      </w:r>
      <w:r w:rsidRPr="008F03E5">
        <w:tab/>
        <w:t>“Light of the Aryans”</w:t>
      </w:r>
    </w:p>
    <w:p w14:paraId="418D5F75" w14:textId="77777777" w:rsidR="00625A5B" w:rsidRPr="008F03E5" w:rsidRDefault="00625A5B" w:rsidP="00D13794">
      <w:pPr>
        <w:pStyle w:val="Translit"/>
      </w:pPr>
      <w:r w:rsidRPr="008F03E5">
        <w:t>As</w:t>
      </w:r>
      <w:r w:rsidRPr="008F03E5">
        <w:tab/>
        <w:t>‘Áṣ</w:t>
      </w:r>
      <w:r w:rsidRPr="008F03E5">
        <w:tab/>
        <w:t>‘Amr ibn al-‘Áṣ a</w:t>
      </w:r>
      <w:r>
        <w:t>s</w:t>
      </w:r>
      <w:r w:rsidRPr="008F03E5">
        <w:t>-Sahmí (c. 585–664) was the Arab commander who led the Muslim conquest of Egypt and served as its governor in 640–646 and 658–664.  He conquered most of Palestine, to which he was appointed governor, and led the Arabs to decisive victories over the Byzantines in 634 and 636.  He was a contemporary of Muḥammad and one of the Ṣaḥába.</w:t>
      </w:r>
    </w:p>
    <w:p w14:paraId="6793F0BB" w14:textId="77777777" w:rsidR="00625A5B" w:rsidRPr="008F03E5" w:rsidRDefault="00625A5B" w:rsidP="000E1F08">
      <w:pPr>
        <w:pStyle w:val="Translit"/>
      </w:pPr>
      <w:r w:rsidRPr="008F03E5">
        <w:t>As’ad</w:t>
      </w:r>
      <w:r w:rsidRPr="008F03E5">
        <w:tab/>
        <w:t>As‘ad</w:t>
      </w:r>
      <w:r w:rsidRPr="008F03E5">
        <w:tab/>
        <w:t>happier, luckier</w:t>
      </w:r>
    </w:p>
    <w:p w14:paraId="31871EFC" w14:textId="77777777" w:rsidR="00625A5B" w:rsidRPr="008F03E5" w:rsidRDefault="00625A5B" w:rsidP="00F87A63">
      <w:pPr>
        <w:pStyle w:val="Translit"/>
      </w:pPr>
      <w:r w:rsidRPr="008F03E5">
        <w:t xml:space="preserve">As’ilah wa </w:t>
      </w:r>
      <w:r w:rsidRPr="008F03E5">
        <w:rPr>
          <w:lang w:eastAsia="zh-TW"/>
        </w:rPr>
        <w:t>Ajwiba</w:t>
      </w:r>
      <w:r w:rsidRPr="008F03E5">
        <w:rPr>
          <w:lang w:eastAsia="zh-TW"/>
        </w:rPr>
        <w:tab/>
      </w:r>
      <w:r w:rsidRPr="008F03E5">
        <w:t xml:space="preserve">As’ilah wa </w:t>
      </w:r>
      <w:r w:rsidRPr="008F03E5">
        <w:rPr>
          <w:lang w:eastAsia="zh-TW"/>
        </w:rPr>
        <w:t>Ajwiba</w:t>
      </w:r>
      <w:r w:rsidRPr="008F03E5">
        <w:rPr>
          <w:lang w:eastAsia="zh-TW"/>
        </w:rPr>
        <w:tab/>
        <w:t>Questions and Answers</w:t>
      </w:r>
    </w:p>
    <w:p w14:paraId="27BC765A" w14:textId="77777777" w:rsidR="00625A5B" w:rsidRPr="008F03E5" w:rsidRDefault="00625A5B" w:rsidP="00F87A63">
      <w:pPr>
        <w:pStyle w:val="Translit"/>
      </w:pPr>
      <w:r w:rsidRPr="008F03E5">
        <w:t>Asab, A’sab</w:t>
      </w:r>
      <w:r w:rsidRPr="008F03E5">
        <w:tab/>
        <w:t>‘Aṣab, pl. A‘ṣáb</w:t>
      </w:r>
      <w:r w:rsidRPr="008F03E5">
        <w:tab/>
        <w:t>nerve; sinew</w:t>
      </w:r>
    </w:p>
    <w:p w14:paraId="04151525" w14:textId="77777777" w:rsidR="00625A5B" w:rsidRPr="008F03E5" w:rsidRDefault="00625A5B" w:rsidP="00F87A63">
      <w:pPr>
        <w:pStyle w:val="Translit"/>
      </w:pPr>
      <w:r w:rsidRPr="008F03E5">
        <w:t>Asabi</w:t>
      </w:r>
      <w:r w:rsidRPr="008F03E5">
        <w:tab/>
        <w:t>‘Aṣabí</w:t>
      </w:r>
      <w:r w:rsidRPr="008F03E5">
        <w:tab/>
        <w:t>sinewy, nerved, nervy; nervous, neural, nerve-, neuro-, neur- (in compounds); nervous, high-strung</w:t>
      </w:r>
    </w:p>
    <w:p w14:paraId="37D8D3A1" w14:textId="77777777" w:rsidR="00625A5B" w:rsidRPr="00077779" w:rsidRDefault="00625A5B" w:rsidP="00F87A63">
      <w:pPr>
        <w:pStyle w:val="Translit"/>
        <w:rPr>
          <w:lang w:val="es-ES_tradnl"/>
        </w:rPr>
      </w:pPr>
      <w:r w:rsidRPr="00077779">
        <w:rPr>
          <w:lang w:val="es-ES_tradnl"/>
        </w:rPr>
        <w:t>Asad, Usud, Usd</w:t>
      </w:r>
      <w:r w:rsidRPr="00077779">
        <w:rPr>
          <w:lang w:val="es-ES_tradnl"/>
        </w:rPr>
        <w:tab/>
        <w:t>Asad, pl. Usud, Usd, Usúd, Ásád</w:t>
      </w:r>
      <w:r w:rsidRPr="00077779">
        <w:rPr>
          <w:lang w:val="es-ES_tradnl"/>
        </w:rPr>
        <w:tab/>
        <w:t>lion; Leo (astronomy)</w:t>
      </w:r>
    </w:p>
    <w:p w14:paraId="143BA141" w14:textId="77777777" w:rsidR="00625A5B" w:rsidRPr="005109CD" w:rsidRDefault="00625A5B" w:rsidP="00152C13">
      <w:pPr>
        <w:pStyle w:val="Translit"/>
        <w:rPr>
          <w:lang w:val="es-ES_tradnl"/>
        </w:rPr>
      </w:pPr>
      <w:r w:rsidRPr="005109CD">
        <w:rPr>
          <w:lang w:val="es-ES_tradnl"/>
        </w:rPr>
        <w:t>Asadabad (Asad-Abad)</w:t>
      </w:r>
      <w:r w:rsidRPr="005109CD">
        <w:rPr>
          <w:lang w:val="es-ES_tradnl"/>
        </w:rPr>
        <w:tab/>
        <w:t>Asadábád</w:t>
      </w:r>
      <w:r w:rsidRPr="005109CD">
        <w:rPr>
          <w:lang w:val="es-ES_tradnl"/>
        </w:rPr>
        <w:tab/>
        <w:t>city (34.781937, 48.122466) in Hamadan Province, 130 km by road from Kirmán</w:t>
      </w:r>
      <w:r w:rsidRPr="005109CD">
        <w:rPr>
          <w:u w:val="single"/>
          <w:lang w:val="es-ES_tradnl"/>
        </w:rPr>
        <w:t>sh</w:t>
      </w:r>
      <w:r w:rsidRPr="005109CD">
        <w:rPr>
          <w:lang w:val="es-ES_tradnl"/>
        </w:rPr>
        <w:t>áh.</w:t>
      </w:r>
    </w:p>
    <w:p w14:paraId="4EA60551" w14:textId="77777777" w:rsidR="00625A5B" w:rsidRPr="008F03E5" w:rsidRDefault="00625A5B" w:rsidP="00F87A63">
      <w:pPr>
        <w:pStyle w:val="Translit"/>
      </w:pPr>
      <w:r w:rsidRPr="008F03E5">
        <w:t>Asadu’llah</w:t>
      </w:r>
      <w:r w:rsidRPr="008F03E5">
        <w:tab/>
        <w:t>Asadu’lláh</w:t>
      </w:r>
      <w:r w:rsidRPr="008F03E5">
        <w:tab/>
        <w:t>Lion of God.  Compound proper name</w:t>
      </w:r>
    </w:p>
    <w:p w14:paraId="5226D1EF" w14:textId="77777777" w:rsidR="00625A5B" w:rsidRPr="008F03E5" w:rsidRDefault="00625A5B" w:rsidP="005D77FF">
      <w:pPr>
        <w:pStyle w:val="Translit"/>
      </w:pPr>
      <w:r w:rsidRPr="008F03E5">
        <w:t>Asadu’llah-i-Isfahani</w:t>
      </w:r>
      <w:r w:rsidRPr="008F03E5">
        <w:tab/>
        <w:t>Asadu’lláh-i-Iṣfahání</w:t>
      </w:r>
      <w:r w:rsidRPr="008F03E5">
        <w:tab/>
        <w:t xml:space="preserve">Mírzá Asadu’lláh-i-Iṣfahání (c. 1826–1930) the emissary who took the remains of the Báb from Iran to the Holy Land.  He married a sister of Munírih </w:t>
      </w:r>
      <w:r w:rsidRPr="008F03E5">
        <w:rPr>
          <w:u w:val="single"/>
        </w:rPr>
        <w:t>Kh</w:t>
      </w:r>
      <w:r w:rsidRPr="008F03E5">
        <w:t xml:space="preserve">ánum (Ḍiyá’ </w:t>
      </w:r>
      <w:r w:rsidRPr="008F03E5">
        <w:rPr>
          <w:u w:val="single"/>
        </w:rPr>
        <w:t>Kh</w:t>
      </w:r>
      <w:r w:rsidRPr="008F03E5">
        <w:t xml:space="preserve">ánum).  Daughter Faraḥángíz </w:t>
      </w:r>
      <w:r w:rsidRPr="008F03E5">
        <w:rPr>
          <w:u w:val="single"/>
        </w:rPr>
        <w:t>Kh</w:t>
      </w:r>
      <w:r w:rsidRPr="008F03E5">
        <w:t xml:space="preserve">ánum (see Faraḥángíz entry) and son Dr </w:t>
      </w:r>
      <w:r w:rsidRPr="008F03E5">
        <w:rPr>
          <w:rFonts w:eastAsia="PMingLiU"/>
          <w:lang w:eastAsia="zh-TW"/>
        </w:rPr>
        <w:t>Amínu’lláh</w:t>
      </w:r>
      <w:r w:rsidRPr="008F03E5">
        <w:t xml:space="preserve"> (sometimes Amín, or Ameen Ullah Fareed) Faríd (1882–1953), known in Persian as Mírzá Amínu’lláh Asadu’lláh</w:t>
      </w:r>
      <w:r w:rsidRPr="008F03E5">
        <w:rPr>
          <w:rFonts w:eastAsia="PMingLiU"/>
          <w:lang w:eastAsia="zh-TW"/>
        </w:rPr>
        <w:t>)</w:t>
      </w:r>
      <w:r w:rsidRPr="008F03E5">
        <w:t>.  Mírzá Asadu’lláh-i-Iṣfahání was sent (1900–1902) to consolidate the American community and to address the effects of Kheiralla’s disaffection.  Shortly after (1914?), Mírzá Asadu’lláh and his son were expelled from the Faith.</w:t>
      </w:r>
    </w:p>
    <w:p w14:paraId="3650B20A" w14:textId="77777777" w:rsidR="00625A5B" w:rsidRPr="008F03E5" w:rsidRDefault="00625A5B" w:rsidP="00F87A63">
      <w:pPr>
        <w:pStyle w:val="Translit"/>
      </w:pPr>
      <w:r w:rsidRPr="008F03E5">
        <w:t>Asadu’llah-i-Mazandarani</w:t>
      </w:r>
      <w:r w:rsidRPr="008F03E5">
        <w:tab/>
        <w:t>Asadu’lláh-i-Mázandarání</w:t>
      </w:r>
      <w:r w:rsidRPr="008F03E5">
        <w:tab/>
        <w:t>Mírzá Asadu’lláh Fáḍil Mázandarání (c. 1880–1957) was a prominent Iranian Bahá’í scholar in Iran</w:t>
      </w:r>
    </w:p>
    <w:p w14:paraId="50CAF8E8" w14:textId="77777777" w:rsidR="00625A5B" w:rsidRPr="008F03E5" w:rsidRDefault="00625A5B" w:rsidP="00F87A63">
      <w:pPr>
        <w:pStyle w:val="Translit"/>
      </w:pPr>
      <w:r w:rsidRPr="008F03E5">
        <w:t>Asadu’llah-i-Sabbagh</w:t>
      </w:r>
      <w:r w:rsidRPr="008F03E5">
        <w:tab/>
        <w:t>Asadu’lláh-i-Ṣabbá</w:t>
      </w:r>
      <w:r w:rsidRPr="008F03E5">
        <w:rPr>
          <w:u w:val="single"/>
        </w:rPr>
        <w:t>gh</w:t>
      </w:r>
      <w:r w:rsidRPr="008F03E5">
        <w:tab/>
        <w:t>(</w:t>
      </w:r>
      <w:r w:rsidRPr="008F03E5">
        <w:rPr>
          <w:sz w:val="16"/>
          <w:szCs w:val="16"/>
        </w:rPr>
        <w:t>GPB</w:t>
      </w:r>
      <w:r w:rsidRPr="008F03E5">
        <w:t xml:space="preserve"> 297)</w:t>
      </w:r>
    </w:p>
    <w:p w14:paraId="15BBBCDE" w14:textId="77777777" w:rsidR="00625A5B" w:rsidRPr="008F03E5" w:rsidRDefault="00625A5B" w:rsidP="005B3145">
      <w:pPr>
        <w:pStyle w:val="Translit"/>
      </w:pPr>
      <w:r w:rsidRPr="008F03E5">
        <w:t>Asadu’llah</w:t>
      </w:r>
      <w:r>
        <w:t>-i-</w:t>
      </w:r>
      <w:r w:rsidRPr="008F03E5">
        <w:t>zad</w:t>
      </w:r>
      <w:r>
        <w:t>a</w:t>
      </w:r>
      <w:r w:rsidRPr="008F03E5">
        <w:t>h</w:t>
      </w:r>
      <w:r w:rsidRPr="008F03E5">
        <w:tab/>
        <w:t>Asadu’lláh-i-Zádih, Ḥusayn</w:t>
      </w:r>
      <w:r w:rsidRPr="008F03E5">
        <w:tab/>
        <w:t>Ḥusayn Asadu’lláh</w:t>
      </w:r>
      <w:r>
        <w:t>-i-</w:t>
      </w:r>
      <w:r w:rsidRPr="008F03E5">
        <w:t>zád</w:t>
      </w:r>
      <w:r>
        <w:t>a</w:t>
      </w:r>
      <w:r w:rsidRPr="008F03E5">
        <w:t>h</w:t>
      </w:r>
    </w:p>
    <w:p w14:paraId="5E49494B" w14:textId="77777777" w:rsidR="00625A5B" w:rsidRPr="008F03E5" w:rsidRDefault="00625A5B" w:rsidP="00F87A63">
      <w:pPr>
        <w:pStyle w:val="Translit"/>
      </w:pPr>
      <w:r w:rsidRPr="008F03E5">
        <w:t>Asadyari</w:t>
      </w:r>
      <w:r w:rsidRPr="008F03E5">
        <w:tab/>
        <w:t>Asadyárí, ‘Abdu’l-‘Alí</w:t>
      </w:r>
      <w:r w:rsidRPr="008F03E5">
        <w:tab/>
      </w:r>
    </w:p>
    <w:p w14:paraId="3C8DA860" w14:textId="77777777" w:rsidR="00625A5B" w:rsidRPr="008F03E5" w:rsidRDefault="00625A5B" w:rsidP="00E2297A">
      <w:pPr>
        <w:pStyle w:val="Translit"/>
        <w:rPr>
          <w:rFonts w:eastAsia="PMingLiU"/>
          <w:lang w:eastAsia="zh-TW"/>
        </w:rPr>
      </w:pPr>
      <w:r w:rsidRPr="008F03E5">
        <w:rPr>
          <w:rFonts w:eastAsia="PMingLiU"/>
          <w:lang w:eastAsia="zh-TW"/>
        </w:rPr>
        <w:t>Asaf a</w:t>
      </w:r>
      <w:r>
        <w:rPr>
          <w:rFonts w:eastAsia="PMingLiU"/>
          <w:lang w:eastAsia="zh-TW"/>
        </w:rPr>
        <w:t>d</w:t>
      </w:r>
      <w:r w:rsidRPr="008F03E5">
        <w:rPr>
          <w:rFonts w:eastAsia="PMingLiU"/>
          <w:lang w:eastAsia="zh-TW"/>
        </w:rPr>
        <w:t>-Dawla, Asafu’d-Dawla</w:t>
      </w:r>
      <w:r w:rsidRPr="008F03E5">
        <w:tab/>
      </w:r>
      <w:r w:rsidRPr="008F03E5">
        <w:rPr>
          <w:rFonts w:eastAsia="PMingLiU"/>
          <w:lang w:eastAsia="zh-TW"/>
        </w:rPr>
        <w:t>Á</w:t>
      </w:r>
      <w:r w:rsidRPr="008F03E5">
        <w:t>ṣ</w:t>
      </w:r>
      <w:r w:rsidRPr="008F03E5">
        <w:rPr>
          <w:rFonts w:eastAsia="PMingLiU"/>
          <w:lang w:eastAsia="zh-TW"/>
        </w:rPr>
        <w:t>af a</w:t>
      </w:r>
      <w:r>
        <w:rPr>
          <w:rFonts w:eastAsia="PMingLiU"/>
          <w:lang w:eastAsia="zh-TW"/>
        </w:rPr>
        <w:t>d</w:t>
      </w:r>
      <w:r w:rsidRPr="008F03E5">
        <w:rPr>
          <w:rFonts w:eastAsia="PMingLiU"/>
          <w:lang w:eastAsia="zh-TW"/>
        </w:rPr>
        <w:t>-Dawla, Á</w:t>
      </w:r>
      <w:r w:rsidRPr="008F03E5">
        <w:t>ṣ</w:t>
      </w:r>
      <w:r w:rsidRPr="008F03E5">
        <w:rPr>
          <w:rFonts w:eastAsia="PMingLiU"/>
          <w:lang w:eastAsia="zh-TW"/>
        </w:rPr>
        <w:t>afu’d-Dawla</w:t>
      </w:r>
      <w:r w:rsidRPr="008F03E5">
        <w:tab/>
        <w:t>(1748–1797) was the Nawab wazir of Oudh (Awudh, r. 1775–1797)</w:t>
      </w:r>
    </w:p>
    <w:p w14:paraId="21813475" w14:textId="77777777" w:rsidR="00625A5B" w:rsidRPr="008F03E5" w:rsidRDefault="00625A5B" w:rsidP="00F87A63">
      <w:pPr>
        <w:pStyle w:val="Translit"/>
      </w:pPr>
      <w:r w:rsidRPr="008F03E5">
        <w:t>Asala, Asalatan</w:t>
      </w:r>
      <w:r w:rsidRPr="008F03E5">
        <w:tab/>
        <w:t>Aṣála[t]</w:t>
      </w:r>
      <w:r w:rsidRPr="008F03E5">
        <w:tab/>
        <w:t>firmness, steadfastness, strength of character; nobility of descent, purity of origin (originality); aṣálatan immediately, directly, personally</w:t>
      </w:r>
    </w:p>
    <w:p w14:paraId="74C62E37" w14:textId="77777777" w:rsidR="00625A5B" w:rsidRPr="008F03E5" w:rsidRDefault="00625A5B" w:rsidP="00F87A63">
      <w:pPr>
        <w:pStyle w:val="Translit"/>
      </w:pPr>
      <w:r w:rsidRPr="008F03E5">
        <w:t>Asalat-i-Naw’</w:t>
      </w:r>
      <w:r w:rsidRPr="008F03E5">
        <w:tab/>
        <w:t>Aṣálat-i-Naw‘</w:t>
      </w:r>
      <w:r w:rsidRPr="008F03E5">
        <w:tab/>
        <w:t>originality of species</w:t>
      </w:r>
    </w:p>
    <w:p w14:paraId="71E7D948" w14:textId="77777777" w:rsidR="00625A5B" w:rsidRPr="008F03E5" w:rsidRDefault="00625A5B" w:rsidP="00427716">
      <w:pPr>
        <w:pStyle w:val="Translit"/>
      </w:pPr>
      <w:r w:rsidRPr="008F03E5">
        <w:t>Asara, ‘Asr</w:t>
      </w:r>
      <w:r w:rsidRPr="008F03E5">
        <w:tab/>
        <w:t>‘Aṣara (‘Aṣr)</w:t>
      </w:r>
      <w:r w:rsidRPr="008F03E5">
        <w:tab/>
        <w:t>to press (out), squeeze (out) (something, e.g., grapes, olives, etc.); to wring (something, especially wet clothes); to compress (something).  See ‘Aṣr listing for other Forms.</w:t>
      </w:r>
    </w:p>
    <w:p w14:paraId="66878F2C" w14:textId="77777777" w:rsidR="00625A5B" w:rsidRPr="004C1882" w:rsidRDefault="00625A5B" w:rsidP="004C1882">
      <w:pPr>
        <w:pStyle w:val="Translit"/>
      </w:pPr>
      <w:r w:rsidRPr="00417520">
        <w:t>Asaran</w:t>
      </w:r>
      <w:r w:rsidRPr="00417520">
        <w:tab/>
        <w:t>Ás</w:t>
      </w:r>
      <w:r w:rsidRPr="00FE2BCA">
        <w:rPr>
          <w:lang w:val="en-AU"/>
        </w:rPr>
        <w:t>á</w:t>
      </w:r>
      <w:r w:rsidRPr="00417520">
        <w:t>rán</w:t>
      </w:r>
      <w:r w:rsidRPr="00417520">
        <w:tab/>
        <w:t>Pers. small v</w:t>
      </w:r>
      <w:r w:rsidRPr="004C1882">
        <w:t>illage (35.854657,</w:t>
      </w:r>
      <w:r>
        <w:t xml:space="preserve"> </w:t>
      </w:r>
      <w:r w:rsidRPr="004C1882">
        <w:t>53.293100) in Semnan Province</w:t>
      </w:r>
    </w:p>
    <w:p w14:paraId="798C7A1A" w14:textId="77777777" w:rsidR="00625A5B" w:rsidRPr="008F03E5" w:rsidRDefault="00625A5B" w:rsidP="00706AE2">
      <w:pPr>
        <w:pStyle w:val="Translit"/>
      </w:pPr>
      <w:r w:rsidRPr="004C1882">
        <w:rPr>
          <w:lang w:val="es-ES_tradnl"/>
        </w:rPr>
        <w:t>Asas, Usus, Asasiyyun</w:t>
      </w:r>
      <w:r w:rsidRPr="004C1882">
        <w:rPr>
          <w:lang w:val="es-ES_tradnl"/>
        </w:rPr>
        <w:tab/>
        <w:t xml:space="preserve">Asás, pl. </w:t>
      </w:r>
      <w:r w:rsidRPr="008F03E5">
        <w:t>Usus, Asásiyyún</w:t>
      </w:r>
      <w:r w:rsidRPr="008F03E5">
        <w:tab/>
        <w:t>foundation (hence also principle), fundament, groundwork, ground, basis, pedestal; keynote;—pl. Asásiyyún people of principle.  The term “assassin” likely has roots in ḥa</w:t>
      </w:r>
      <w:r w:rsidRPr="008F03E5">
        <w:rPr>
          <w:u w:val="single"/>
        </w:rPr>
        <w:t>shsh</w:t>
      </w:r>
      <w:r w:rsidRPr="008F03E5">
        <w:t>á</w:t>
      </w:r>
      <w:r w:rsidRPr="008F03E5">
        <w:rPr>
          <w:u w:val="single"/>
        </w:rPr>
        <w:t>sh</w:t>
      </w:r>
      <w:r w:rsidRPr="008F03E5">
        <w:t>ín (ḥa</w:t>
      </w:r>
      <w:r w:rsidRPr="008F03E5">
        <w:rPr>
          <w:u w:val="single"/>
        </w:rPr>
        <w:t>sh</w:t>
      </w:r>
      <w:r w:rsidRPr="008F03E5">
        <w:t>í</w:t>
      </w:r>
      <w:r w:rsidRPr="008F03E5">
        <w:rPr>
          <w:u w:val="single"/>
        </w:rPr>
        <w:t>sh</w:t>
      </w:r>
      <w:r w:rsidRPr="008F03E5">
        <w:t xml:space="preserve"> (hashish) smokers or users), a mispronunciation of the original Asásiyyún, but not a mispronunciation of Asásiyyín.  The term assassin originally referred to the methods of political control exercised by the Asásiyún, and it can be seen how it became “assassin” in several languages to describe similar activities anywhere.  The Asásiyún were medieval Nizárí (an-Nizáriyyún) Ismailis (Ismá‘íliyyún).</w:t>
      </w:r>
    </w:p>
    <w:p w14:paraId="1D351F99" w14:textId="77777777" w:rsidR="00625A5B" w:rsidRPr="008F03E5" w:rsidRDefault="00625A5B" w:rsidP="000360A8">
      <w:pPr>
        <w:pStyle w:val="Translit"/>
      </w:pPr>
      <w:r w:rsidRPr="008F03E5">
        <w:t>Asasi, Asasiyat, Asasiyyin</w:t>
      </w:r>
      <w:r w:rsidRPr="008F03E5">
        <w:tab/>
        <w:t xml:space="preserve">Asásí, </w:t>
      </w:r>
      <w:r>
        <w:t>fem. As</w:t>
      </w:r>
      <w:r w:rsidRPr="008F03E5">
        <w:t>ásí</w:t>
      </w:r>
      <w:r>
        <w:t>ya[h or t]</w:t>
      </w:r>
      <w:r>
        <w:tab/>
        <w:t>(</w:t>
      </w:r>
      <w:r w:rsidRPr="008F03E5">
        <w:t>pl. Asásíyát, Asásiyyín</w:t>
      </w:r>
      <w:r>
        <w:t xml:space="preserve">)  </w:t>
      </w:r>
      <w:r w:rsidRPr="008F03E5">
        <w:t>fundamental, basic; elementary; essential; principal, chief, main</w:t>
      </w:r>
    </w:p>
    <w:p w14:paraId="1A09F67E" w14:textId="77777777" w:rsidR="00625A5B" w:rsidRPr="008F03E5" w:rsidRDefault="00625A5B" w:rsidP="00F87A63">
      <w:pPr>
        <w:pStyle w:val="Translit"/>
      </w:pPr>
      <w:r w:rsidRPr="008F03E5">
        <w:t>Asaturiyan Marcard</w:t>
      </w:r>
      <w:r w:rsidRPr="008F03E5">
        <w:tab/>
        <w:t>Ásátúriyán Márcárd</w:t>
      </w:r>
      <w:r w:rsidRPr="008F03E5">
        <w:tab/>
        <w:t>(Dr Marcard Assadorian)</w:t>
      </w:r>
    </w:p>
    <w:p w14:paraId="0B42054F" w14:textId="77777777" w:rsidR="00625A5B" w:rsidRPr="008F03E5" w:rsidRDefault="00625A5B" w:rsidP="00F87A63">
      <w:pPr>
        <w:pStyle w:val="Translit"/>
      </w:pPr>
      <w:r w:rsidRPr="008F03E5">
        <w:t>Asbah, Asbahi</w:t>
      </w:r>
      <w:r w:rsidRPr="008F03E5">
        <w:tab/>
        <w:t>Aṣbaḥ</w:t>
      </w:r>
      <w:r w:rsidRPr="008F03E5">
        <w:tab/>
        <w:t>Pers. of a handsome face; a tearing lion; red-coloured; name of a king of Yemen</w:t>
      </w:r>
    </w:p>
    <w:p w14:paraId="7ED270C0" w14:textId="77777777" w:rsidR="00625A5B" w:rsidRPr="008F03E5" w:rsidRDefault="00625A5B" w:rsidP="00F87A63">
      <w:pPr>
        <w:pStyle w:val="Translit"/>
      </w:pPr>
      <w:r w:rsidRPr="008F03E5">
        <w:t>Asbahi</w:t>
      </w:r>
      <w:r w:rsidRPr="008F03E5">
        <w:tab/>
        <w:t>Aṣbaḥí</w:t>
      </w:r>
      <w:r w:rsidRPr="008F03E5">
        <w:tab/>
        <w:t>(Pers. of Ar. influence) r</w:t>
      </w:r>
      <w:r w:rsidRPr="008F03E5">
        <w:rPr>
          <w:rFonts w:eastAsia="Times New Roman"/>
        </w:rPr>
        <w:t>eferring to King A</w:t>
      </w:r>
      <w:r w:rsidRPr="008F03E5">
        <w:t>ṣ</w:t>
      </w:r>
      <w:r w:rsidRPr="008F03E5">
        <w:rPr>
          <w:rFonts w:eastAsia="Times New Roman"/>
        </w:rPr>
        <w:t>ba</w:t>
      </w:r>
      <w:r w:rsidRPr="008F03E5">
        <w:t>ḥ</w:t>
      </w:r>
      <w:r w:rsidRPr="008F03E5">
        <w:rPr>
          <w:rFonts w:eastAsia="Times New Roman"/>
        </w:rPr>
        <w:t xml:space="preserve"> of Yemen</w:t>
      </w:r>
    </w:p>
    <w:p w14:paraId="6A3C79C5" w14:textId="77777777" w:rsidR="00625A5B" w:rsidRPr="008F03E5" w:rsidRDefault="00625A5B" w:rsidP="008026FA">
      <w:pPr>
        <w:pStyle w:val="Translit"/>
      </w:pPr>
      <w:r w:rsidRPr="008F03E5">
        <w:t>Asbaq</w:t>
      </w:r>
      <w:r w:rsidRPr="008F03E5">
        <w:tab/>
        <w:t>Asbaq</w:t>
      </w:r>
      <w:r w:rsidRPr="008F03E5">
        <w:tab/>
        <w:t>earlier, antecedent; preceding, previous, prior; former, ex-; foremost, more or most excellent; surpassing; previous; past times</w:t>
      </w:r>
    </w:p>
    <w:p w14:paraId="2D187CB8" w14:textId="77777777" w:rsidR="00625A5B" w:rsidRPr="008F03E5" w:rsidRDefault="00625A5B" w:rsidP="004E419A">
      <w:pPr>
        <w:pStyle w:val="Translit"/>
        <w:rPr>
          <w:rFonts w:eastAsia="PMingLiU"/>
          <w:lang w:eastAsia="zh-TW"/>
        </w:rPr>
      </w:pPr>
      <w:r w:rsidRPr="008F03E5">
        <w:t>Asdaq</w:t>
      </w:r>
      <w:r w:rsidRPr="008F03E5">
        <w:tab/>
        <w:t>Aṣdaq</w:t>
      </w:r>
      <w:r w:rsidRPr="008F03E5">
        <w:tab/>
        <w:t xml:space="preserve">truer, sincerer.  ibn-i-Aṣdaq  (Mírzá ‘Alí-Muḥammad, 1850–1928).  Designated by Bahá’u’lláh as </w:t>
      </w:r>
      <w:r w:rsidRPr="008F03E5">
        <w:rPr>
          <w:u w:val="single"/>
        </w:rPr>
        <w:t>Sh</w:t>
      </w:r>
      <w:r w:rsidRPr="008F03E5">
        <w:t>ahíd ibn-i-</w:t>
      </w:r>
      <w:r w:rsidRPr="008F03E5">
        <w:rPr>
          <w:u w:val="single"/>
        </w:rPr>
        <w:t>Sh</w:t>
      </w:r>
      <w:r w:rsidRPr="008F03E5">
        <w:t>ahíh (Martyr, son of the Martyr).  Son of Mullá Ṣádiq-i-</w:t>
      </w:r>
      <w:r w:rsidRPr="008F03E5">
        <w:rPr>
          <w:u w:val="single"/>
        </w:rPr>
        <w:t>Kh</w:t>
      </w:r>
      <w:r w:rsidRPr="008F03E5">
        <w:t>urásání</w:t>
      </w:r>
      <w:r>
        <w:t xml:space="preserve"> (formerly known as </w:t>
      </w:r>
      <w:r w:rsidRPr="008F03E5">
        <w:t>Muqaddas</w:t>
      </w:r>
      <w:r>
        <w:t>)</w:t>
      </w:r>
      <w:r w:rsidRPr="008F03E5">
        <w:t>—both named a Hand of the Cause of God.</w:t>
      </w:r>
    </w:p>
    <w:p w14:paraId="1F7565E1" w14:textId="77777777" w:rsidR="00625A5B" w:rsidRPr="008F03E5" w:rsidRDefault="00625A5B" w:rsidP="00F87A63">
      <w:pPr>
        <w:pStyle w:val="Translit"/>
        <w:rPr>
          <w:rFonts w:eastAsia="PMingLiU"/>
          <w:lang w:eastAsia="zh-TW"/>
        </w:rPr>
      </w:pPr>
      <w:r w:rsidRPr="008F03E5">
        <w:rPr>
          <w:rFonts w:eastAsia="PMingLiU"/>
          <w:lang w:eastAsia="zh-TW"/>
        </w:rPr>
        <w:t>Asdaqi</w:t>
      </w:r>
      <w:r w:rsidRPr="008F03E5">
        <w:tab/>
      </w:r>
      <w:r w:rsidRPr="008F03E5">
        <w:rPr>
          <w:rFonts w:eastAsia="PMingLiU"/>
          <w:lang w:eastAsia="zh-TW"/>
        </w:rPr>
        <w:t>A</w:t>
      </w:r>
      <w:r w:rsidRPr="008F03E5">
        <w:t>ṣ</w:t>
      </w:r>
      <w:r w:rsidRPr="008F03E5">
        <w:rPr>
          <w:rFonts w:eastAsia="PMingLiU"/>
          <w:lang w:eastAsia="zh-TW"/>
        </w:rPr>
        <w:t>daqí</w:t>
      </w:r>
      <w:r w:rsidRPr="008F03E5">
        <w:tab/>
      </w:r>
    </w:p>
    <w:p w14:paraId="75D223B4" w14:textId="77777777" w:rsidR="00625A5B" w:rsidRPr="008F03E5" w:rsidRDefault="00625A5B" w:rsidP="00F87A63">
      <w:pPr>
        <w:pStyle w:val="Translit"/>
      </w:pPr>
      <w:r w:rsidRPr="008F03E5">
        <w:t>Asdiqa’ al-Iman</w:t>
      </w:r>
      <w:r w:rsidRPr="008F03E5">
        <w:tab/>
      </w:r>
      <w:r w:rsidRPr="008F03E5">
        <w:rPr>
          <w:rFonts w:eastAsia="PMingLiU"/>
          <w:lang w:eastAsia="zh-TW"/>
        </w:rPr>
        <w:t>Aṣdiqá’ al-</w:t>
      </w:r>
      <w:r w:rsidRPr="008F03E5">
        <w:t>Í</w:t>
      </w:r>
      <w:r w:rsidRPr="008F03E5">
        <w:rPr>
          <w:rFonts w:eastAsia="PMingLiU"/>
          <w:lang w:eastAsia="zh-TW"/>
        </w:rPr>
        <w:t>m</w:t>
      </w:r>
      <w:r w:rsidRPr="008F03E5">
        <w:t>á</w:t>
      </w:r>
      <w:r w:rsidRPr="008F03E5">
        <w:rPr>
          <w:rFonts w:eastAsia="PMingLiU"/>
          <w:lang w:eastAsia="zh-TW"/>
        </w:rPr>
        <w:t>n</w:t>
      </w:r>
      <w:r w:rsidRPr="008F03E5">
        <w:rPr>
          <w:rFonts w:eastAsia="PMingLiU"/>
          <w:lang w:eastAsia="zh-TW"/>
        </w:rPr>
        <w:tab/>
        <w:t>friends of the faith</w:t>
      </w:r>
    </w:p>
    <w:p w14:paraId="19B0AEB9" w14:textId="77777777" w:rsidR="00625A5B" w:rsidRPr="008F03E5" w:rsidRDefault="00625A5B" w:rsidP="00F87A63">
      <w:pPr>
        <w:pStyle w:val="Translit"/>
      </w:pPr>
      <w:r w:rsidRPr="00D45A23">
        <w:rPr>
          <w:lang w:val="it-IT"/>
        </w:rPr>
        <w:t>Asfal, Sufla (Sofla), Asafil</w:t>
      </w:r>
      <w:r w:rsidRPr="00D45A23">
        <w:rPr>
          <w:lang w:val="it-IT"/>
        </w:rPr>
        <w:tab/>
        <w:t xml:space="preserve">Asfal, fem. </w:t>
      </w:r>
      <w:r w:rsidRPr="008F03E5">
        <w:t>Suflá, pl. Asáfil</w:t>
      </w:r>
      <w:r w:rsidRPr="008F03E5">
        <w:tab/>
        <w:t>lower; lowest; lower or lowest part, bottom</w:t>
      </w:r>
    </w:p>
    <w:p w14:paraId="2A2BAC20" w14:textId="77777777" w:rsidR="00625A5B" w:rsidRPr="008F03E5" w:rsidRDefault="00625A5B" w:rsidP="00F87A63">
      <w:pPr>
        <w:pStyle w:val="Translit"/>
      </w:pPr>
      <w:r w:rsidRPr="008F03E5">
        <w:t>Asfiya’, ‘Asfiyyih</w:t>
      </w:r>
      <w:r w:rsidRPr="008F03E5">
        <w:tab/>
        <w:t>Aṣfiyá’, Pers. Aṣfiyyih</w:t>
      </w:r>
      <w:r w:rsidRPr="008F03E5">
        <w:tab/>
        <w:t>Druse village of ‘Isfiya, east side Mt Carmel.  See Ṣafíy</w:t>
      </w:r>
    </w:p>
    <w:p w14:paraId="687714F3" w14:textId="77777777" w:rsidR="00625A5B" w:rsidRPr="008F03E5" w:rsidRDefault="00625A5B" w:rsidP="00A47C57">
      <w:pPr>
        <w:pStyle w:val="Translit"/>
      </w:pPr>
      <w:r w:rsidRPr="008F03E5">
        <w:t>Asghar, Sughra, Asaghir</w:t>
      </w:r>
      <w:r w:rsidRPr="008F03E5">
        <w:tab/>
        <w:t>Aṣ</w:t>
      </w:r>
      <w:r w:rsidRPr="008F03E5">
        <w:rPr>
          <w:u w:val="single"/>
        </w:rPr>
        <w:t>gh</w:t>
      </w:r>
      <w:r w:rsidRPr="008F03E5">
        <w:t>ar, fem. Ṣu</w:t>
      </w:r>
      <w:r w:rsidRPr="008F03E5">
        <w:rPr>
          <w:u w:val="single"/>
        </w:rPr>
        <w:t>gh</w:t>
      </w:r>
      <w:r w:rsidRPr="008F03E5">
        <w:t>ra, pl. m. Aṣá</w:t>
      </w:r>
      <w:r w:rsidRPr="008F03E5">
        <w:rPr>
          <w:u w:val="single"/>
        </w:rPr>
        <w:t>gh</w:t>
      </w:r>
      <w:r w:rsidRPr="008F03E5">
        <w:t>ir</w:t>
      </w:r>
      <w:r w:rsidRPr="008F03E5">
        <w:tab/>
        <w:t>smaller, younger [comparative form of ṣa</w:t>
      </w:r>
      <w:r w:rsidRPr="008F03E5">
        <w:rPr>
          <w:u w:val="single"/>
        </w:rPr>
        <w:t>gh</w:t>
      </w:r>
      <w:r w:rsidRPr="008F03E5">
        <w:t>íra (to belittle)].  Ṣu</w:t>
      </w:r>
      <w:r w:rsidRPr="008F03E5">
        <w:rPr>
          <w:u w:val="single"/>
        </w:rPr>
        <w:t>gh</w:t>
      </w:r>
      <w:r w:rsidRPr="008F03E5">
        <w:t>ra is the name of a half-sister of Bahá’u’lláh and mother of ‘Alí Akbar Furútan.</w:t>
      </w:r>
    </w:p>
    <w:p w14:paraId="3B6B9980" w14:textId="77777777" w:rsidR="00625A5B" w:rsidRPr="008F03E5" w:rsidRDefault="00625A5B" w:rsidP="00D742DB">
      <w:pPr>
        <w:pStyle w:val="Translit"/>
        <w:rPr>
          <w:lang w:eastAsia="zh-TW"/>
        </w:rPr>
      </w:pPr>
      <w:r w:rsidRPr="008F03E5">
        <w:rPr>
          <w:lang w:eastAsia="zh-TW"/>
        </w:rPr>
        <w:t>Asgharzada (Asgharzadeh, Asghar zadih)</w:t>
      </w:r>
      <w:r w:rsidRPr="008F03E5">
        <w:tab/>
      </w:r>
      <w:r w:rsidRPr="008F03E5">
        <w:rPr>
          <w:lang w:eastAsia="zh-TW"/>
        </w:rPr>
        <w:t>A</w:t>
      </w:r>
      <w:r w:rsidRPr="008F03E5">
        <w:t>ṣ</w:t>
      </w:r>
      <w:r w:rsidRPr="008F03E5">
        <w:rPr>
          <w:u w:val="single"/>
        </w:rPr>
        <w:t>gh</w:t>
      </w:r>
      <w:r w:rsidRPr="008F03E5">
        <w:t>arzáda,</w:t>
      </w:r>
      <w:r w:rsidRPr="008F03E5">
        <w:rPr>
          <w:lang w:eastAsia="zh-TW"/>
        </w:rPr>
        <w:t xml:space="preserve"> A</w:t>
      </w:r>
      <w:r w:rsidRPr="008F03E5">
        <w:t>ṣ</w:t>
      </w:r>
      <w:r w:rsidRPr="008F03E5">
        <w:rPr>
          <w:u w:val="single"/>
        </w:rPr>
        <w:t>gh</w:t>
      </w:r>
      <w:r w:rsidRPr="008F03E5">
        <w:t xml:space="preserve">ar Záda, </w:t>
      </w:r>
      <w:r w:rsidRPr="008F03E5">
        <w:rPr>
          <w:lang w:eastAsia="zh-TW"/>
        </w:rPr>
        <w:t>A</w:t>
      </w:r>
      <w:r w:rsidRPr="008F03E5">
        <w:t>ṣ</w:t>
      </w:r>
      <w:r w:rsidRPr="008F03E5">
        <w:rPr>
          <w:u w:val="single"/>
        </w:rPr>
        <w:t>gh</w:t>
      </w:r>
      <w:r w:rsidRPr="008F03E5">
        <w:t>arzádih</w:t>
      </w:r>
      <w:r w:rsidRPr="008F03E5">
        <w:tab/>
        <w:t>Pers. surname, e.g. Ḍíyá’u’lláh Aṣ</w:t>
      </w:r>
      <w:r w:rsidRPr="008F03E5">
        <w:rPr>
          <w:u w:val="single"/>
        </w:rPr>
        <w:t>gh</w:t>
      </w:r>
      <w:r w:rsidRPr="008F03E5">
        <w:rPr>
          <w:lang w:eastAsia="zh-TW"/>
        </w:rPr>
        <w:t>arzádih</w:t>
      </w:r>
    </w:p>
    <w:p w14:paraId="29EC9A91" w14:textId="77777777" w:rsidR="00625A5B" w:rsidRPr="008F03E5" w:rsidRDefault="00625A5B" w:rsidP="001F7166">
      <w:pPr>
        <w:pStyle w:val="Translit"/>
      </w:pPr>
      <w:r w:rsidRPr="008F03E5">
        <w:rPr>
          <w:rFonts w:eastAsia="Times New Roman"/>
        </w:rPr>
        <w:t>Ash</w:t>
      </w:r>
      <w:r w:rsidRPr="008F03E5">
        <w:rPr>
          <w:rFonts w:eastAsia="Times New Roman"/>
        </w:rPr>
        <w:tab/>
        <w:t>-a</w:t>
      </w:r>
      <w:r w:rsidRPr="008F03E5">
        <w:rPr>
          <w:rFonts w:eastAsia="Times New Roman"/>
          <w:u w:val="single"/>
        </w:rPr>
        <w:t>sh</w:t>
      </w:r>
      <w:r w:rsidRPr="008F03E5">
        <w:rPr>
          <w:rFonts w:eastAsia="Times New Roman"/>
        </w:rPr>
        <w:tab/>
        <w:t xml:space="preserve">Pers. (added to a noun ending in soft </w:t>
      </w:r>
      <w:r w:rsidRPr="008F03E5">
        <w:rPr>
          <w:rFonts w:eastAsia="Times New Roman"/>
          <w:rtl/>
        </w:rPr>
        <w:t>ه</w:t>
      </w:r>
      <w:r w:rsidRPr="008F03E5">
        <w:rPr>
          <w:rFonts w:eastAsia="Times New Roman"/>
        </w:rPr>
        <w:t xml:space="preserve"> he, i.e. not sounded), his, her</w:t>
      </w:r>
    </w:p>
    <w:p w14:paraId="74F2890F" w14:textId="77777777" w:rsidR="00625A5B" w:rsidRPr="008F03E5" w:rsidRDefault="00625A5B" w:rsidP="00F87A63">
      <w:pPr>
        <w:pStyle w:val="Translit"/>
      </w:pPr>
      <w:r w:rsidRPr="008F03E5">
        <w:t>Ash</w:t>
      </w:r>
      <w:r w:rsidRPr="008F03E5">
        <w:tab/>
        <w:t>Á</w:t>
      </w:r>
      <w:r w:rsidRPr="008F03E5">
        <w:rPr>
          <w:u w:val="single"/>
        </w:rPr>
        <w:t>sh</w:t>
      </w:r>
      <w:r w:rsidRPr="008F03E5">
        <w:tab/>
        <w:t>Pers. meat, victuals, viands, soup, broth, gruel, pottage; drinking, a drinker</w:t>
      </w:r>
    </w:p>
    <w:p w14:paraId="1781033B" w14:textId="77777777" w:rsidR="00625A5B" w:rsidRPr="008F03E5" w:rsidRDefault="00625A5B" w:rsidP="00F87A63">
      <w:pPr>
        <w:pStyle w:val="Translit"/>
      </w:pPr>
      <w:r w:rsidRPr="008F03E5">
        <w:t>Ash’ar</w:t>
      </w:r>
      <w:r w:rsidRPr="008F03E5">
        <w:tab/>
        <w:t>A</w:t>
      </w:r>
      <w:r w:rsidRPr="008F03E5">
        <w:rPr>
          <w:u w:val="single"/>
        </w:rPr>
        <w:t>sh</w:t>
      </w:r>
      <w:r w:rsidRPr="008F03E5">
        <w:t>‘ar</w:t>
      </w:r>
      <w:r w:rsidRPr="008F03E5">
        <w:tab/>
        <w:t>hairy, hirsute, long-haired, shaggy</w:t>
      </w:r>
    </w:p>
    <w:p w14:paraId="4B65AECC" w14:textId="77777777" w:rsidR="00625A5B" w:rsidRPr="008F03E5" w:rsidRDefault="00625A5B" w:rsidP="00F87A63">
      <w:pPr>
        <w:pStyle w:val="Translit"/>
      </w:pPr>
      <w:r w:rsidRPr="008F03E5">
        <w:t>Ash’ari</w:t>
      </w:r>
      <w:r w:rsidRPr="008F03E5">
        <w:tab/>
        <w:t>A</w:t>
      </w:r>
      <w:r w:rsidRPr="008F03E5">
        <w:rPr>
          <w:u w:val="single"/>
        </w:rPr>
        <w:t>sh</w:t>
      </w:r>
      <w:r w:rsidRPr="008F03E5">
        <w:t>‘arí</w:t>
      </w:r>
      <w:r w:rsidRPr="008F03E5">
        <w:tab/>
        <w:t>Abú al-Ḥasan ‘Alí ibn Ismá‘íl ibn Isḥáq al-A</w:t>
      </w:r>
      <w:r w:rsidRPr="008F03E5">
        <w:rPr>
          <w:u w:val="single"/>
        </w:rPr>
        <w:t>sh</w:t>
      </w:r>
      <w:r w:rsidRPr="008F03E5">
        <w:t>‘arí (c. 874—936)</w:t>
      </w:r>
    </w:p>
    <w:p w14:paraId="16EFA313" w14:textId="77777777" w:rsidR="00625A5B" w:rsidRPr="008F03E5" w:rsidRDefault="00625A5B" w:rsidP="00BB0D61">
      <w:pPr>
        <w:pStyle w:val="Translit"/>
      </w:pPr>
      <w:r w:rsidRPr="008F03E5">
        <w:t>Ash’ariyya, ‘Asha’ira</w:t>
      </w:r>
      <w:r w:rsidRPr="008F03E5">
        <w:tab/>
        <w:t>al-‘A</w:t>
      </w:r>
      <w:r w:rsidRPr="008F03E5">
        <w:rPr>
          <w:u w:val="single"/>
        </w:rPr>
        <w:t>sh</w:t>
      </w:r>
      <w:r w:rsidRPr="008F03E5">
        <w:t>‘aríyya[h] or al-‘A</w:t>
      </w:r>
      <w:r w:rsidRPr="008F03E5">
        <w:rPr>
          <w:u w:val="single"/>
        </w:rPr>
        <w:t>sh</w:t>
      </w:r>
      <w:r w:rsidRPr="008F03E5">
        <w:t>á‘ira[h]</w:t>
      </w:r>
      <w:r w:rsidRPr="008F03E5">
        <w:tab/>
        <w:t>Ash‘arism or Ash‘ari theology—a foremost theological school of Sunni Islam founded by Abú al-Ḥasan ‘Alí ibn Ismá‘íl ibn Isḥáq al-A</w:t>
      </w:r>
      <w:r w:rsidRPr="008F03E5">
        <w:rPr>
          <w:u w:val="single"/>
        </w:rPr>
        <w:t>sh</w:t>
      </w:r>
      <w:r w:rsidRPr="008F03E5">
        <w:t xml:space="preserve">‘arí (873–4 to 935–6).  Followers:  Ash‘arites.  See </w:t>
      </w:r>
      <w:r w:rsidRPr="008F03E5">
        <w:rPr>
          <w:u w:val="single"/>
        </w:rPr>
        <w:t>Sh</w:t>
      </w:r>
      <w:r w:rsidRPr="008F03E5">
        <w:t>a‘r and Kayfa.</w:t>
      </w:r>
    </w:p>
    <w:p w14:paraId="024FD703" w14:textId="77777777" w:rsidR="00625A5B" w:rsidRPr="008F03E5" w:rsidRDefault="00625A5B" w:rsidP="00F87A63">
      <w:pPr>
        <w:pStyle w:val="Translit"/>
        <w:rPr>
          <w:rFonts w:eastAsia="PMingLiU"/>
          <w:lang w:eastAsia="zh-TW"/>
        </w:rPr>
      </w:pPr>
      <w:r w:rsidRPr="008F03E5">
        <w:rPr>
          <w:rFonts w:eastAsia="PMingLiU"/>
          <w:lang w:eastAsia="zh-TW"/>
        </w:rPr>
        <w:t>Ash’ath</w:t>
      </w:r>
      <w:r w:rsidRPr="008F03E5">
        <w:tab/>
      </w:r>
      <w:r w:rsidRPr="008F03E5">
        <w:rPr>
          <w:rFonts w:eastAsia="PMingLiU"/>
          <w:lang w:eastAsia="zh-TW"/>
        </w:rPr>
        <w:t>A</w:t>
      </w:r>
      <w:r w:rsidRPr="008F03E5">
        <w:rPr>
          <w:u w:val="single"/>
        </w:rPr>
        <w:t>sh</w:t>
      </w:r>
      <w:r w:rsidRPr="008F03E5">
        <w:t>‘a</w:t>
      </w:r>
      <w:r w:rsidRPr="008F03E5">
        <w:rPr>
          <w:u w:val="single"/>
        </w:rPr>
        <w:t>th</w:t>
      </w:r>
      <w:r w:rsidRPr="008F03E5">
        <w:tab/>
        <w:t>Pers. one whose hair is dishevelled and soiled with dust</w:t>
      </w:r>
    </w:p>
    <w:p w14:paraId="4BF85007" w14:textId="77777777" w:rsidR="00625A5B" w:rsidRPr="008F03E5" w:rsidRDefault="00625A5B" w:rsidP="00F87A63">
      <w:pPr>
        <w:pStyle w:val="Translit"/>
      </w:pPr>
      <w:r w:rsidRPr="008F03E5">
        <w:t>Ashab al-Aykah</w:t>
      </w:r>
      <w:r w:rsidRPr="008F03E5">
        <w:tab/>
        <w:t>Aṣḥáb al-Aykah</w:t>
      </w:r>
      <w:r w:rsidRPr="008F03E5">
        <w:tab/>
        <w:t>“Companions of the Wood”, a name given to the Midianites, since they used to worship a large tree.</w:t>
      </w:r>
    </w:p>
    <w:p w14:paraId="1022F065" w14:textId="77777777" w:rsidR="00625A5B" w:rsidRPr="008F03E5" w:rsidRDefault="00625A5B" w:rsidP="000A4276">
      <w:pPr>
        <w:pStyle w:val="Translit"/>
      </w:pPr>
      <w:r w:rsidRPr="008F03E5">
        <w:t>Ashab al-Kahf</w:t>
      </w:r>
      <w:r w:rsidRPr="008F03E5">
        <w:tab/>
        <w:t>Aṣḥáb al-Kahf</w:t>
      </w:r>
      <w:r w:rsidRPr="008F03E5">
        <w:tab/>
        <w:t xml:space="preserve">“Companions of the cave”, a Christian and Islamic tradition (Qur’án 18:9–26) that tells the story of the ‘Seven Sleepers’ (unknown number of youths according to Qur’án 18:22) who hide in a cave near a city around </w:t>
      </w:r>
      <w:r w:rsidRPr="008F03E5">
        <w:rPr>
          <w:sz w:val="16"/>
          <w:szCs w:val="16"/>
        </w:rPr>
        <w:t>CE</w:t>
      </w:r>
      <w:r w:rsidRPr="008F03E5">
        <w:t xml:space="preserve"> 250 to escape religious persecution and to emerge 300 years later.  Identified as a cave 1 km east of Ephesus by Christians, and as a south facing (Qur’án 18:17) cave 7 km </w:t>
      </w:r>
      <w:r w:rsidRPr="008F03E5">
        <w:rPr>
          <w:sz w:val="16"/>
          <w:szCs w:val="16"/>
        </w:rPr>
        <w:t>SE</w:t>
      </w:r>
      <w:r w:rsidRPr="008F03E5">
        <w:t xml:space="preserve"> of Amman (</w:t>
      </w:r>
      <w:r w:rsidRPr="008F03E5">
        <w:rPr>
          <w:lang w:eastAsia="en-US"/>
        </w:rPr>
        <w:t>31.898860, 35.973800</w:t>
      </w:r>
      <w:r w:rsidRPr="008F03E5">
        <w:t>) by Muslims.  See ṣáḥib.</w:t>
      </w:r>
    </w:p>
    <w:p w14:paraId="276D00A0" w14:textId="77777777" w:rsidR="00625A5B" w:rsidRPr="008F03E5" w:rsidRDefault="00625A5B" w:rsidP="00F87A63">
      <w:pPr>
        <w:pStyle w:val="Translit"/>
        <w:rPr>
          <w:rFonts w:eastAsia="PMingLiU"/>
          <w:lang w:eastAsia="zh-TW"/>
        </w:rPr>
      </w:pPr>
      <w:r w:rsidRPr="008F03E5">
        <w:rPr>
          <w:rFonts w:eastAsia="PMingLiU"/>
          <w:lang w:eastAsia="zh-TW"/>
        </w:rPr>
        <w:t>Ashab, Sahba’, Suhb</w:t>
      </w:r>
      <w:r w:rsidRPr="008F03E5">
        <w:rPr>
          <w:rFonts w:eastAsia="PMingLiU"/>
          <w:lang w:eastAsia="zh-TW"/>
        </w:rPr>
        <w:tab/>
        <w:t>A</w:t>
      </w:r>
      <w:r w:rsidRPr="008F03E5">
        <w:t>ṣ</w:t>
      </w:r>
      <w:r w:rsidRPr="008F03E5">
        <w:rPr>
          <w:rFonts w:eastAsia="PMingLiU"/>
          <w:lang w:eastAsia="zh-TW"/>
        </w:rPr>
        <w:t xml:space="preserve">hab, fem. </w:t>
      </w:r>
      <w:r w:rsidRPr="008F03E5">
        <w:t>Ṣ</w:t>
      </w:r>
      <w:r w:rsidRPr="008F03E5">
        <w:rPr>
          <w:rFonts w:eastAsia="PMingLiU"/>
          <w:lang w:eastAsia="zh-TW"/>
        </w:rPr>
        <w:t xml:space="preserve">ahbá’, pl. </w:t>
      </w:r>
      <w:r w:rsidRPr="008F03E5">
        <w:t>Ṣ</w:t>
      </w:r>
      <w:r w:rsidRPr="008F03E5">
        <w:rPr>
          <w:rFonts w:eastAsia="PMingLiU"/>
          <w:lang w:eastAsia="zh-TW"/>
        </w:rPr>
        <w:t>uhb</w:t>
      </w:r>
      <w:r w:rsidRPr="008F03E5">
        <w:rPr>
          <w:rFonts w:eastAsia="PMingLiU"/>
          <w:lang w:eastAsia="zh-TW"/>
        </w:rPr>
        <w:tab/>
        <w:t>reddish; wine</w:t>
      </w:r>
    </w:p>
    <w:p w14:paraId="1BBDBADE" w14:textId="77777777" w:rsidR="00625A5B" w:rsidRPr="008F03E5" w:rsidRDefault="00625A5B" w:rsidP="009343E2">
      <w:pPr>
        <w:pStyle w:val="Translit"/>
      </w:pPr>
      <w:r w:rsidRPr="008F03E5">
        <w:t>Ashar</w:t>
      </w:r>
      <w:r w:rsidRPr="008F03E5">
        <w:tab/>
        <w:t>A</w:t>
      </w:r>
      <w:r w:rsidRPr="008F03E5">
        <w:rPr>
          <w:u w:val="single"/>
        </w:rPr>
        <w:t>sh</w:t>
      </w:r>
      <w:r w:rsidRPr="008F03E5">
        <w:t>ar</w:t>
      </w:r>
      <w:r w:rsidRPr="008F03E5">
        <w:tab/>
        <w:t>liveliness, high spirits, exuberance; wildness; insolence, impertinence</w:t>
      </w:r>
    </w:p>
    <w:p w14:paraId="58B687BA" w14:textId="77777777" w:rsidR="00625A5B" w:rsidRPr="008F03E5" w:rsidRDefault="00625A5B" w:rsidP="00F87A63">
      <w:pPr>
        <w:pStyle w:val="Translit"/>
      </w:pPr>
      <w:r w:rsidRPr="008F03E5">
        <w:t>Ashchi</w:t>
      </w:r>
      <w:r w:rsidRPr="008F03E5">
        <w:tab/>
        <w:t>Á</w:t>
      </w:r>
      <w:r w:rsidRPr="008F03E5">
        <w:rPr>
          <w:u w:val="single"/>
        </w:rPr>
        <w:t>shch</w:t>
      </w:r>
      <w:r w:rsidRPr="008F03E5">
        <w:t>í</w:t>
      </w:r>
      <w:r w:rsidRPr="008F03E5">
        <w:tab/>
        <w:t>cook, maker of broth.  Áqá Ḥusayn-i-Á</w:t>
      </w:r>
      <w:r w:rsidRPr="008F03E5">
        <w:rPr>
          <w:u w:val="single"/>
        </w:rPr>
        <w:t>shch</w:t>
      </w:r>
      <w:r w:rsidRPr="008F03E5">
        <w:t>í.  See Á</w:t>
      </w:r>
      <w:r w:rsidRPr="008F03E5">
        <w:rPr>
          <w:u w:val="single"/>
        </w:rPr>
        <w:t>sh</w:t>
      </w:r>
      <w:r w:rsidRPr="008F03E5">
        <w:t>.</w:t>
      </w:r>
    </w:p>
    <w:p w14:paraId="6D81C36F" w14:textId="77777777" w:rsidR="00625A5B" w:rsidRPr="008F03E5" w:rsidRDefault="00625A5B" w:rsidP="0048279E">
      <w:pPr>
        <w:pStyle w:val="Translit"/>
      </w:pPr>
      <w:r w:rsidRPr="008F03E5">
        <w:t>Ashhadu</w:t>
      </w:r>
      <w:r w:rsidRPr="008F03E5">
        <w:tab/>
        <w:t>A</w:t>
      </w:r>
      <w:r w:rsidRPr="008F03E5">
        <w:rPr>
          <w:u w:val="single"/>
        </w:rPr>
        <w:t>sh</w:t>
      </w:r>
      <w:r w:rsidRPr="008F03E5">
        <w:t>hadu</w:t>
      </w:r>
      <w:r w:rsidRPr="008F03E5">
        <w:tab/>
      </w:r>
      <w:r w:rsidRPr="008F03E5">
        <w:rPr>
          <w:rFonts w:eastAsia="Times New Roman"/>
        </w:rPr>
        <w:t xml:space="preserve">I bear witness, I testify, I declare.  See </w:t>
      </w:r>
      <w:r w:rsidRPr="008F03E5">
        <w:rPr>
          <w:u w:val="single"/>
        </w:rPr>
        <w:t>Sh</w:t>
      </w:r>
      <w:r w:rsidRPr="008F03E5">
        <w:t>áhid.</w:t>
      </w:r>
    </w:p>
    <w:p w14:paraId="26336380" w14:textId="77777777" w:rsidR="00625A5B" w:rsidRPr="008F03E5" w:rsidRDefault="00625A5B" w:rsidP="009365A0">
      <w:pPr>
        <w:pStyle w:val="Translit"/>
      </w:pPr>
      <w:r w:rsidRPr="008F03E5">
        <w:t>Ashhal, Shahla</w:t>
      </w:r>
      <w:r w:rsidRPr="008F03E5">
        <w:tab/>
        <w:t>A</w:t>
      </w:r>
      <w:r w:rsidRPr="008F03E5">
        <w:rPr>
          <w:u w:val="single"/>
        </w:rPr>
        <w:t>sh</w:t>
      </w:r>
      <w:r w:rsidRPr="008F03E5">
        <w:t xml:space="preserve">hal, fem. </w:t>
      </w:r>
      <w:r w:rsidRPr="008F03E5">
        <w:rPr>
          <w:u w:val="single"/>
        </w:rPr>
        <w:t>Sh</w:t>
      </w:r>
      <w:r w:rsidRPr="008F03E5">
        <w:t>ahlá</w:t>
      </w:r>
      <w:r w:rsidRPr="008F03E5">
        <w:tab/>
        <w:t xml:space="preserve">having bluish-black eyes.  (Pers. with Ar. influence) </w:t>
      </w:r>
      <w:r w:rsidRPr="008F03E5">
        <w:rPr>
          <w:u w:val="single"/>
        </w:rPr>
        <w:t>Sh</w:t>
      </w:r>
      <w:r w:rsidRPr="008F03E5">
        <w:t>ahlá, a</w:t>
      </w:r>
      <w:r w:rsidRPr="008F03E5">
        <w:rPr>
          <w:rFonts w:eastAsia="Times New Roman"/>
        </w:rPr>
        <w:t xml:space="preserve"> black eye inclined to red, and having a sly, deceitful, sinister look; a dark-grey-eyed woman</w:t>
      </w:r>
    </w:p>
    <w:p w14:paraId="1C7CE7D0" w14:textId="77777777" w:rsidR="00625A5B" w:rsidRPr="008F03E5" w:rsidRDefault="00625A5B" w:rsidP="00E67EFA">
      <w:pPr>
        <w:pStyle w:val="Translit"/>
      </w:pPr>
      <w:r w:rsidRPr="008F03E5">
        <w:t>Ash-i-kashk</w:t>
      </w:r>
      <w:r w:rsidRPr="008F03E5">
        <w:tab/>
        <w:t>Á</w:t>
      </w:r>
      <w:r w:rsidRPr="008F03E5">
        <w:rPr>
          <w:u w:val="single"/>
        </w:rPr>
        <w:t>sh</w:t>
      </w:r>
      <w:r w:rsidRPr="008F03E5">
        <w:t>-i-ka</w:t>
      </w:r>
      <w:r w:rsidRPr="008F03E5">
        <w:rPr>
          <w:u w:val="single"/>
        </w:rPr>
        <w:t>sh</w:t>
      </w:r>
      <w:r w:rsidRPr="008F03E5">
        <w:t>k</w:t>
      </w:r>
      <w:r w:rsidRPr="008F03E5">
        <w:tab/>
        <w:t>(</w:t>
      </w:r>
      <w:r w:rsidRPr="008F03E5">
        <w:rPr>
          <w:sz w:val="16"/>
          <w:szCs w:val="16"/>
        </w:rPr>
        <w:t>MF</w:t>
      </w:r>
      <w:r w:rsidRPr="008F03E5">
        <w:t xml:space="preserve"> p. 68) barley soup with whey</w:t>
      </w:r>
    </w:p>
    <w:p w14:paraId="7ED5E6E2" w14:textId="77777777" w:rsidR="00625A5B" w:rsidRPr="008F03E5" w:rsidRDefault="00625A5B" w:rsidP="00096C0F">
      <w:pPr>
        <w:pStyle w:val="Translit"/>
      </w:pPr>
      <w:r w:rsidRPr="008F03E5">
        <w:t>Ashiq, ‘Ashiqa</w:t>
      </w:r>
      <w:r w:rsidRPr="008F03E5">
        <w:tab/>
        <w:t>‘A</w:t>
      </w:r>
      <w:r w:rsidRPr="008F03E5">
        <w:rPr>
          <w:u w:val="single"/>
        </w:rPr>
        <w:t>sh</w:t>
      </w:r>
      <w:r w:rsidRPr="008F03E5">
        <w:t>iq, fem. ‘A</w:t>
      </w:r>
      <w:r w:rsidRPr="008F03E5">
        <w:rPr>
          <w:u w:val="single"/>
        </w:rPr>
        <w:t>sh</w:t>
      </w:r>
      <w:r w:rsidRPr="008F03E5">
        <w:t>iqa[h or t]</w:t>
      </w:r>
      <w:r w:rsidRPr="008F03E5">
        <w:tab/>
        <w:t>to love passionately (someone, something), be passionately in love (with someone, with something)</w:t>
      </w:r>
    </w:p>
    <w:p w14:paraId="6F076183" w14:textId="77777777" w:rsidR="00625A5B" w:rsidRPr="008F03E5" w:rsidRDefault="00625A5B" w:rsidP="00A8177E">
      <w:pPr>
        <w:pStyle w:val="Translit"/>
      </w:pPr>
      <w:r w:rsidRPr="008F03E5">
        <w:t>Ashiq, Ushshaq, Awashiq (Avashiq)</w:t>
      </w:r>
      <w:r w:rsidRPr="008F03E5">
        <w:tab/>
        <w:t>‘Á</w:t>
      </w:r>
      <w:r w:rsidRPr="008F03E5">
        <w:rPr>
          <w:u w:val="single"/>
        </w:rPr>
        <w:t>sh</w:t>
      </w:r>
      <w:r w:rsidRPr="008F03E5">
        <w:t>iq, pl. ‘U</w:t>
      </w:r>
      <w:r w:rsidRPr="008F03E5">
        <w:rPr>
          <w:u w:val="single"/>
        </w:rPr>
        <w:t>shsh</w:t>
      </w:r>
      <w:r w:rsidRPr="008F03E5">
        <w:t>áq, ‘Awá</w:t>
      </w:r>
      <w:r w:rsidRPr="008F03E5">
        <w:rPr>
          <w:u w:val="single"/>
        </w:rPr>
        <w:t>sh</w:t>
      </w:r>
      <w:r w:rsidRPr="008F03E5">
        <w:t>iq</w:t>
      </w:r>
      <w:r w:rsidRPr="008F03E5">
        <w:tab/>
        <w:t>lover; fancier, fan;—pl. knucklebone; (game of) knucklebones.  Fem. ‘Á</w:t>
      </w:r>
      <w:r w:rsidRPr="008F03E5">
        <w:rPr>
          <w:u w:val="single"/>
        </w:rPr>
        <w:t>sh</w:t>
      </w:r>
      <w:r w:rsidRPr="008F03E5">
        <w:t>iqa[h or t].  ‘Avá</w:t>
      </w:r>
      <w:r w:rsidRPr="008F03E5">
        <w:rPr>
          <w:u w:val="single"/>
        </w:rPr>
        <w:t>sh</w:t>
      </w:r>
      <w:r w:rsidRPr="008F03E5">
        <w:t>iq is a village in the Diyálá Valley east of Ba</w:t>
      </w:r>
      <w:r w:rsidRPr="008F03E5">
        <w:rPr>
          <w:u w:val="single"/>
        </w:rPr>
        <w:t>gh</w:t>
      </w:r>
      <w:r w:rsidRPr="008F03E5">
        <w:t>dád.</w:t>
      </w:r>
    </w:p>
    <w:p w14:paraId="0934D0B6" w14:textId="77777777" w:rsidR="00625A5B" w:rsidRPr="008F03E5" w:rsidRDefault="00625A5B" w:rsidP="00F87A63">
      <w:pPr>
        <w:pStyle w:val="Translit"/>
      </w:pPr>
      <w:r w:rsidRPr="008F03E5">
        <w:t>Ashjari</w:t>
      </w:r>
      <w:r w:rsidRPr="008F03E5">
        <w:tab/>
        <w:t>A</w:t>
      </w:r>
      <w:r w:rsidRPr="008F03E5">
        <w:rPr>
          <w:u w:val="single"/>
        </w:rPr>
        <w:t>sh</w:t>
      </w:r>
      <w:r w:rsidRPr="008F03E5">
        <w:t>járí</w:t>
      </w:r>
      <w:r w:rsidRPr="008F03E5">
        <w:tab/>
        <w:t>‘Azízu’lláh A</w:t>
      </w:r>
      <w:r w:rsidRPr="008F03E5">
        <w:rPr>
          <w:u w:val="single"/>
        </w:rPr>
        <w:t>sh</w:t>
      </w:r>
      <w:r w:rsidRPr="008F03E5">
        <w:t>járí</w:t>
      </w:r>
    </w:p>
    <w:p w14:paraId="4A377BCE" w14:textId="77777777" w:rsidR="00625A5B" w:rsidRPr="008F03E5" w:rsidRDefault="00625A5B" w:rsidP="00132DA8">
      <w:pPr>
        <w:pStyle w:val="Translit"/>
      </w:pPr>
      <w:r w:rsidRPr="008F03E5">
        <w:t>Ashmunin, Ushmunin, Ushmunayn</w:t>
      </w:r>
      <w:r w:rsidRPr="008F03E5">
        <w:tab/>
        <w:t>A</w:t>
      </w:r>
      <w:r w:rsidRPr="008F03E5">
        <w:rPr>
          <w:u w:val="single"/>
        </w:rPr>
        <w:t>sh</w:t>
      </w:r>
      <w:r w:rsidRPr="008F03E5">
        <w:t>múnín (U</w:t>
      </w:r>
      <w:r w:rsidRPr="008F03E5">
        <w:rPr>
          <w:u w:val="single"/>
        </w:rPr>
        <w:t>sh</w:t>
      </w:r>
      <w:r w:rsidRPr="008F03E5">
        <w:t>múnayn)</w:t>
      </w:r>
      <w:r w:rsidRPr="008F03E5">
        <w:tab/>
        <w:t>al-A</w:t>
      </w:r>
      <w:r w:rsidRPr="008F03E5">
        <w:rPr>
          <w:u w:val="single"/>
        </w:rPr>
        <w:t>sh</w:t>
      </w:r>
      <w:r w:rsidRPr="008F03E5">
        <w:t>múnín (Ashmunein, derived from a Coptic form of the original Egyptian) is a town on the west bank of the Nile River 255 km south of Cairo.  The town surrounds the remains of the major ancient city of Hermopolis Magna (“City of Hermes”).</w:t>
      </w:r>
    </w:p>
    <w:p w14:paraId="4D9575B0" w14:textId="77777777" w:rsidR="00625A5B" w:rsidRPr="008F03E5" w:rsidRDefault="00625A5B" w:rsidP="000A41EB">
      <w:pPr>
        <w:pStyle w:val="Translit"/>
        <w:rPr>
          <w:rFonts w:eastAsia="Times New Roman"/>
        </w:rPr>
      </w:pPr>
      <w:r>
        <w:rPr>
          <w:rFonts w:eastAsia="Times New Roman"/>
        </w:rPr>
        <w:t xml:space="preserve">Ashr, Ashra, </w:t>
      </w:r>
      <w:r w:rsidRPr="008F03E5">
        <w:rPr>
          <w:rFonts w:eastAsia="Times New Roman"/>
        </w:rPr>
        <w:t>Ashar, ‘Ashar</w:t>
      </w:r>
      <w:r>
        <w:rPr>
          <w:rFonts w:eastAsia="Times New Roman"/>
        </w:rPr>
        <w:t>a, ‘Asharat</w:t>
      </w:r>
      <w:r w:rsidRPr="008F03E5">
        <w:rPr>
          <w:rFonts w:eastAsia="Times New Roman"/>
        </w:rPr>
        <w:tab/>
        <w:t>‘A</w:t>
      </w:r>
      <w:r w:rsidRPr="008F03E5">
        <w:rPr>
          <w:rFonts w:eastAsia="Times New Roman"/>
          <w:u w:val="single"/>
        </w:rPr>
        <w:t>sh</w:t>
      </w:r>
      <w:r w:rsidRPr="008F03E5">
        <w:rPr>
          <w:rFonts w:eastAsia="Times New Roman"/>
        </w:rPr>
        <w:t>r</w:t>
      </w:r>
      <w:r>
        <w:rPr>
          <w:rFonts w:eastAsia="Times New Roman"/>
        </w:rPr>
        <w:t xml:space="preserve">, </w:t>
      </w:r>
      <w:r w:rsidRPr="008F03E5">
        <w:rPr>
          <w:rFonts w:eastAsia="Times New Roman"/>
        </w:rPr>
        <w:t>‘A</w:t>
      </w:r>
      <w:r w:rsidRPr="008F03E5">
        <w:rPr>
          <w:rFonts w:eastAsia="Times New Roman"/>
          <w:u w:val="single"/>
        </w:rPr>
        <w:t>sh</w:t>
      </w:r>
      <w:r w:rsidRPr="008F03E5">
        <w:rPr>
          <w:rFonts w:eastAsia="Times New Roman"/>
        </w:rPr>
        <w:t>ra[h</w:t>
      </w:r>
      <w:r>
        <w:rPr>
          <w:rFonts w:eastAsia="Times New Roman"/>
        </w:rPr>
        <w:t xml:space="preserve"> or t</w:t>
      </w:r>
      <w:r w:rsidRPr="008F03E5">
        <w:rPr>
          <w:rFonts w:eastAsia="Times New Roman"/>
        </w:rPr>
        <w:t>]</w:t>
      </w:r>
      <w:r>
        <w:rPr>
          <w:rFonts w:eastAsia="Times New Roman"/>
        </w:rPr>
        <w:tab/>
        <w:t xml:space="preserve">(fem. </w:t>
      </w:r>
      <w:r w:rsidRPr="008F03E5">
        <w:rPr>
          <w:rFonts w:eastAsia="Times New Roman"/>
        </w:rPr>
        <w:t>‘A</w:t>
      </w:r>
      <w:r w:rsidRPr="008F03E5">
        <w:rPr>
          <w:rFonts w:eastAsia="Times New Roman"/>
          <w:u w:val="single"/>
        </w:rPr>
        <w:t>sh</w:t>
      </w:r>
      <w:r w:rsidRPr="008F03E5">
        <w:rPr>
          <w:rFonts w:eastAsia="Times New Roman"/>
        </w:rPr>
        <w:t>ar</w:t>
      </w:r>
      <w:r>
        <w:rPr>
          <w:rFonts w:eastAsia="Times New Roman"/>
        </w:rPr>
        <w:t xml:space="preserve">, </w:t>
      </w:r>
      <w:r w:rsidRPr="008F03E5">
        <w:rPr>
          <w:rFonts w:eastAsia="Times New Roman"/>
        </w:rPr>
        <w:t>‘A</w:t>
      </w:r>
      <w:r w:rsidRPr="008F03E5">
        <w:rPr>
          <w:rFonts w:eastAsia="Times New Roman"/>
          <w:u w:val="single"/>
        </w:rPr>
        <w:t>sh</w:t>
      </w:r>
      <w:r w:rsidRPr="008F03E5">
        <w:rPr>
          <w:rFonts w:eastAsia="Times New Roman"/>
        </w:rPr>
        <w:t>ara[h</w:t>
      </w:r>
      <w:r>
        <w:rPr>
          <w:rFonts w:eastAsia="Times New Roman"/>
        </w:rPr>
        <w:t xml:space="preserve"> or t</w:t>
      </w:r>
      <w:r w:rsidRPr="008F03E5">
        <w:rPr>
          <w:rFonts w:eastAsia="Times New Roman"/>
        </w:rPr>
        <w:t>]</w:t>
      </w:r>
      <w:r>
        <w:rPr>
          <w:rFonts w:eastAsia="Times New Roman"/>
        </w:rPr>
        <w:t>, pl. ‘A</w:t>
      </w:r>
      <w:r w:rsidRPr="009343E2">
        <w:rPr>
          <w:rFonts w:eastAsia="Times New Roman"/>
          <w:u w:val="single"/>
        </w:rPr>
        <w:t>sh</w:t>
      </w:r>
      <w:r>
        <w:rPr>
          <w:rFonts w:eastAsia="Times New Roman"/>
        </w:rPr>
        <w:t>ar</w:t>
      </w:r>
      <w:r w:rsidRPr="009343E2">
        <w:t>á</w:t>
      </w:r>
      <w:r>
        <w:rPr>
          <w:rFonts w:eastAsia="Times New Roman"/>
        </w:rPr>
        <w:t xml:space="preserve">t) </w:t>
      </w:r>
      <w:r w:rsidRPr="008F03E5">
        <w:rPr>
          <w:rFonts w:eastAsia="Times New Roman"/>
        </w:rPr>
        <w:t>ten; al-‘A</w:t>
      </w:r>
      <w:r w:rsidRPr="008F03E5">
        <w:rPr>
          <w:rFonts w:eastAsia="Times New Roman"/>
          <w:u w:val="single"/>
        </w:rPr>
        <w:t>sh</w:t>
      </w:r>
      <w:r w:rsidRPr="008F03E5">
        <w:rPr>
          <w:rFonts w:eastAsia="Times New Roman"/>
        </w:rPr>
        <w:t>ara the first ten days of Mu</w:t>
      </w:r>
      <w:r w:rsidRPr="008F03E5">
        <w:t>ḥ</w:t>
      </w:r>
      <w:r w:rsidRPr="008F03E5">
        <w:rPr>
          <w:rFonts w:eastAsia="Times New Roman"/>
        </w:rPr>
        <w:t>arram</w:t>
      </w:r>
      <w:r>
        <w:rPr>
          <w:rFonts w:eastAsia="Times New Roman"/>
        </w:rPr>
        <w:t xml:space="preserve">;—pl. decimal numbers, </w:t>
      </w:r>
      <w:r w:rsidRPr="009343E2">
        <w:rPr>
          <w:rFonts w:eastAsia="Times New Roman"/>
        </w:rPr>
        <w:t>some tens, tens (of); decades</w:t>
      </w:r>
    </w:p>
    <w:p w14:paraId="79D0B155" w14:textId="77777777" w:rsidR="00625A5B" w:rsidRPr="008F03E5" w:rsidRDefault="00625A5B" w:rsidP="00F87A63">
      <w:pPr>
        <w:pStyle w:val="Translit"/>
      </w:pPr>
      <w:r w:rsidRPr="008F03E5">
        <w:t>Ashraf, Sharfa’</w:t>
      </w:r>
      <w:r w:rsidRPr="008F03E5">
        <w:tab/>
        <w:t>A</w:t>
      </w:r>
      <w:r w:rsidRPr="008F03E5">
        <w:rPr>
          <w:u w:val="single"/>
        </w:rPr>
        <w:t>sh</w:t>
      </w:r>
      <w:r w:rsidRPr="008F03E5">
        <w:t xml:space="preserve">raf, fem. </w:t>
      </w:r>
      <w:r w:rsidRPr="008F03E5">
        <w:rPr>
          <w:u w:val="single"/>
        </w:rPr>
        <w:t>Sh</w:t>
      </w:r>
      <w:r w:rsidRPr="008F03E5">
        <w:t>arfá’</w:t>
      </w:r>
      <w:r w:rsidRPr="008F03E5">
        <w:tab/>
        <w:t>more or most noble; eminent; a person of noble birth, nobleman; gentleman.  City in Iran, see Bih</w:t>
      </w:r>
      <w:r w:rsidRPr="008F03E5">
        <w:rPr>
          <w:u w:val="single"/>
        </w:rPr>
        <w:t>sh</w:t>
      </w:r>
      <w:r w:rsidRPr="008F03E5">
        <w:t>ahr.  ‘Alí A</w:t>
      </w:r>
      <w:r w:rsidRPr="008F03E5">
        <w:rPr>
          <w:u w:val="single"/>
        </w:rPr>
        <w:t>sh</w:t>
      </w:r>
      <w:r w:rsidRPr="008F03E5">
        <w:t>raf Garden—a large garden on the west side of the Riḍván Garden (</w:t>
      </w:r>
      <w:r w:rsidRPr="008F03E5">
        <w:rPr>
          <w:sz w:val="16"/>
          <w:szCs w:val="16"/>
        </w:rPr>
        <w:t>SE</w:t>
      </w:r>
      <w:r w:rsidRPr="008F03E5">
        <w:t xml:space="preserve"> east of ‘Akká), with the Firdaws (Paradise) Garden to its north.  Original owner Mullá Abú-Ṭálib.  ‘Alí-A</w:t>
      </w:r>
      <w:r w:rsidRPr="008F03E5">
        <w:rPr>
          <w:u w:val="single"/>
        </w:rPr>
        <w:t>sh</w:t>
      </w:r>
      <w:r w:rsidRPr="008F03E5">
        <w:t>raf, his son, later donated it to the Faith.  Áqá Siyyid A</w:t>
      </w:r>
      <w:r w:rsidRPr="008F03E5">
        <w:rPr>
          <w:u w:val="single"/>
        </w:rPr>
        <w:t>sh</w:t>
      </w:r>
      <w:r w:rsidRPr="008F03E5">
        <w:t>raf-i-Zanjání (mother:  Umm-i-A</w:t>
      </w:r>
      <w:r w:rsidRPr="008F03E5">
        <w:rPr>
          <w:u w:val="single"/>
        </w:rPr>
        <w:t>sh</w:t>
      </w:r>
      <w:r w:rsidRPr="008F03E5">
        <w:t>raf).</w:t>
      </w:r>
    </w:p>
    <w:p w14:paraId="56300642" w14:textId="77777777" w:rsidR="00625A5B" w:rsidRPr="008F03E5" w:rsidRDefault="00625A5B" w:rsidP="00576C63">
      <w:pPr>
        <w:pStyle w:val="Translit"/>
      </w:pPr>
      <w:r w:rsidRPr="008F03E5">
        <w:t>Ashrafi</w:t>
      </w:r>
      <w:r w:rsidRPr="008F03E5">
        <w:tab/>
        <w:t>A</w:t>
      </w:r>
      <w:r w:rsidRPr="008F03E5">
        <w:rPr>
          <w:u w:val="single"/>
        </w:rPr>
        <w:t>sh</w:t>
      </w:r>
      <w:r w:rsidRPr="008F03E5">
        <w:t>rafí</w:t>
      </w:r>
      <w:r w:rsidRPr="008F03E5">
        <w:tab/>
        <w:t xml:space="preserve">Pers. a gold coin.  </w:t>
      </w:r>
      <w:r w:rsidRPr="008F03E5">
        <w:rPr>
          <w:u w:val="single"/>
        </w:rPr>
        <w:t>Sh</w:t>
      </w:r>
      <w:r w:rsidRPr="008F03E5">
        <w:t>áh A</w:t>
      </w:r>
      <w:r w:rsidRPr="008F03E5">
        <w:rPr>
          <w:u w:val="single"/>
        </w:rPr>
        <w:t>sh</w:t>
      </w:r>
      <w:r w:rsidRPr="008F03E5">
        <w:t>raf Hútak (c. 1700–c. 1730; r. 1725–1729) issued gold coins that were named after him.</w:t>
      </w:r>
    </w:p>
    <w:p w14:paraId="0B6CFFE6" w14:textId="77777777" w:rsidR="00625A5B" w:rsidRPr="008F03E5" w:rsidRDefault="00625A5B" w:rsidP="00F87A63">
      <w:pPr>
        <w:pStyle w:val="Translit"/>
      </w:pPr>
      <w:r w:rsidRPr="008F03E5">
        <w:t>Ashtiyan (Ashtian)</w:t>
      </w:r>
      <w:r w:rsidRPr="008F03E5">
        <w:tab/>
        <w:t>Á</w:t>
      </w:r>
      <w:r w:rsidRPr="008F03E5">
        <w:rPr>
          <w:u w:val="single"/>
        </w:rPr>
        <w:t>sh</w:t>
      </w:r>
      <w:r w:rsidRPr="008F03E5">
        <w:t>tiyán</w:t>
      </w:r>
      <w:r w:rsidRPr="008F03E5">
        <w:tab/>
        <w:t>Pers. capital city of Á</w:t>
      </w:r>
      <w:r w:rsidRPr="008F03E5">
        <w:rPr>
          <w:u w:val="single"/>
        </w:rPr>
        <w:t>sh</w:t>
      </w:r>
      <w:r w:rsidRPr="008F03E5">
        <w:t xml:space="preserve">tiyán County, Markazí Province, Iran.  81 km </w:t>
      </w:r>
      <w:r w:rsidRPr="008F03E5">
        <w:rPr>
          <w:sz w:val="16"/>
          <w:szCs w:val="16"/>
        </w:rPr>
        <w:t>WSW</w:t>
      </w:r>
      <w:r w:rsidRPr="008F03E5">
        <w:t xml:space="preserve"> of Qum.</w:t>
      </w:r>
    </w:p>
    <w:p w14:paraId="6FA1DFF0" w14:textId="77777777" w:rsidR="00625A5B" w:rsidRPr="008F03E5" w:rsidRDefault="00625A5B" w:rsidP="00F87A63">
      <w:pPr>
        <w:pStyle w:val="Translit"/>
      </w:pPr>
      <w:r w:rsidRPr="008F03E5">
        <w:t>Ashu (Asho)</w:t>
      </w:r>
      <w:r w:rsidRPr="008F03E5">
        <w:tab/>
        <w:t>A</w:t>
      </w:r>
      <w:r w:rsidRPr="008F03E5">
        <w:rPr>
          <w:u w:val="single"/>
        </w:rPr>
        <w:t>sh</w:t>
      </w:r>
      <w:r w:rsidRPr="008F03E5">
        <w:t>u</w:t>
      </w:r>
      <w:r w:rsidRPr="008F03E5">
        <w:tab/>
        <w:t>Pers. heavenly  Ashu Zarathushtra</w:t>
      </w:r>
    </w:p>
    <w:p w14:paraId="3018DBAC" w14:textId="77777777" w:rsidR="00625A5B" w:rsidRPr="008F03E5" w:rsidRDefault="00625A5B" w:rsidP="00F87A63">
      <w:pPr>
        <w:pStyle w:val="Translit"/>
      </w:pPr>
      <w:r w:rsidRPr="008F03E5">
        <w:t>Ashura</w:t>
      </w:r>
      <w:r w:rsidRPr="008F03E5">
        <w:tab/>
        <w:t>‘Á</w:t>
      </w:r>
      <w:r w:rsidRPr="008F03E5">
        <w:rPr>
          <w:u w:val="single"/>
        </w:rPr>
        <w:t>sh</w:t>
      </w:r>
      <w:r w:rsidRPr="008F03E5">
        <w:t>úrá’, ‘A</w:t>
      </w:r>
      <w:r w:rsidRPr="008F03E5">
        <w:rPr>
          <w:u w:val="single"/>
        </w:rPr>
        <w:t>sh</w:t>
      </w:r>
      <w:r w:rsidRPr="008F03E5">
        <w:t>úrá’, Pers. also ‘Á</w:t>
      </w:r>
      <w:r w:rsidRPr="008F03E5">
        <w:rPr>
          <w:u w:val="single"/>
        </w:rPr>
        <w:t>sh</w:t>
      </w:r>
      <w:r w:rsidRPr="008F03E5">
        <w:t>úrá</w:t>
      </w:r>
      <w:r w:rsidRPr="008F03E5">
        <w:tab/>
        <w:t>name of a voluntary fast day on the tenth day of the Muslim month Muḥarram—</w:t>
      </w:r>
      <w:r w:rsidRPr="008F03E5">
        <w:rPr>
          <w:u w:val="single"/>
        </w:rPr>
        <w:t>Sh</w:t>
      </w:r>
      <w:r w:rsidRPr="008F03E5">
        <w:t>í‘ih Muslims observe the first 10 days of the month as a period of mourning for the Imáms, ending with the Yawm ‘Á</w:t>
      </w:r>
      <w:r w:rsidRPr="008F03E5">
        <w:rPr>
          <w:u w:val="single"/>
        </w:rPr>
        <w:t>sh</w:t>
      </w:r>
      <w:r w:rsidRPr="008F03E5">
        <w:t>úrá’ (on the 10th day), the commemoration of the martyrdom of the Imám Ḥusayn at Karbilá</w:t>
      </w:r>
    </w:p>
    <w:p w14:paraId="44B01519" w14:textId="77777777" w:rsidR="00625A5B" w:rsidRPr="008F03E5" w:rsidRDefault="00625A5B" w:rsidP="00F87A63">
      <w:pPr>
        <w:pStyle w:val="Translit"/>
      </w:pPr>
      <w:r w:rsidRPr="008F03E5">
        <w:t>Ashyab, Shaiba, Shib</w:t>
      </w:r>
      <w:r w:rsidRPr="008F03E5">
        <w:tab/>
        <w:t>A</w:t>
      </w:r>
      <w:r w:rsidRPr="008F03E5">
        <w:rPr>
          <w:u w:val="single"/>
        </w:rPr>
        <w:t>sh</w:t>
      </w:r>
      <w:r w:rsidRPr="008F03E5">
        <w:t xml:space="preserve">yab, fem. </w:t>
      </w:r>
      <w:r w:rsidRPr="008F03E5">
        <w:rPr>
          <w:u w:val="single"/>
        </w:rPr>
        <w:t>Sh</w:t>
      </w:r>
      <w:r w:rsidRPr="008F03E5">
        <w:t xml:space="preserve">aibá, pl. </w:t>
      </w:r>
      <w:r w:rsidRPr="008F03E5">
        <w:rPr>
          <w:u w:val="single"/>
        </w:rPr>
        <w:t>Sh</w:t>
      </w:r>
      <w:r w:rsidRPr="008F03E5">
        <w:t>íb</w:t>
      </w:r>
      <w:r w:rsidRPr="008F03E5">
        <w:tab/>
        <w:t>Ar. white, grey (hair); white-haired, grey-haired (person); old, aged; old man.</w:t>
      </w:r>
    </w:p>
    <w:p w14:paraId="32264217" w14:textId="77777777" w:rsidR="00625A5B" w:rsidRPr="008F03E5" w:rsidRDefault="00625A5B" w:rsidP="00F87A63">
      <w:pPr>
        <w:pStyle w:val="Translit"/>
      </w:pPr>
      <w:r w:rsidRPr="008F03E5">
        <w:t>Asi, Asiyih</w:t>
      </w:r>
      <w:r w:rsidRPr="008F03E5">
        <w:tab/>
        <w:t>Ásí, fem. Ásíyih</w:t>
      </w:r>
      <w:r w:rsidRPr="008F03E5">
        <w:tab/>
        <w:t xml:space="preserve">Pers. Melancholy, solicitous, sorrowful; a physician, surgeon.  Ásíyih is the name of Pharaoh’s daughter who rescued Moses.  See Navváb, title given to Bahá’u’lláh’s wife (Ásíyih </w:t>
      </w:r>
      <w:r w:rsidRPr="008F03E5">
        <w:rPr>
          <w:u w:val="single"/>
        </w:rPr>
        <w:t>Kh</w:t>
      </w:r>
      <w:r w:rsidRPr="008F03E5">
        <w:t>ánum)</w:t>
      </w:r>
    </w:p>
    <w:p w14:paraId="00C23650" w14:textId="77777777" w:rsidR="00625A5B" w:rsidRPr="008F03E5" w:rsidRDefault="00625A5B" w:rsidP="004874C6">
      <w:pPr>
        <w:pStyle w:val="Translit"/>
      </w:pPr>
      <w:r w:rsidRPr="008F03E5">
        <w:t>Asif</w:t>
      </w:r>
      <w:r>
        <w:t>, ‘Asifa, ‘Awasif</w:t>
      </w:r>
      <w:r w:rsidRPr="008F03E5">
        <w:tab/>
        <w:t>‘Áṣif</w:t>
      </w:r>
      <w:r>
        <w:t xml:space="preserve">, fem. </w:t>
      </w:r>
      <w:r w:rsidRPr="008F03E5">
        <w:t>‘Áṣif</w:t>
      </w:r>
      <w:r>
        <w:t xml:space="preserve">a[h or t], pl. </w:t>
      </w:r>
      <w:r w:rsidRPr="004874C6">
        <w:rPr>
          <w:rFonts w:eastAsia="Times New Roman"/>
        </w:rPr>
        <w:t>‘</w:t>
      </w:r>
      <w:r>
        <w:rPr>
          <w:rFonts w:eastAsia="Times New Roman"/>
        </w:rPr>
        <w:t>A</w:t>
      </w:r>
      <w:r w:rsidRPr="004874C6">
        <w:rPr>
          <w:rFonts w:eastAsia="Times New Roman"/>
        </w:rPr>
        <w:t>wáṣif</w:t>
      </w:r>
      <w:r w:rsidRPr="008F03E5">
        <w:tab/>
      </w:r>
      <w:r w:rsidRPr="004874C6">
        <w:t>violent wind, gale, tempest, storm, hurricane</w:t>
      </w:r>
    </w:p>
    <w:p w14:paraId="35AA5941" w14:textId="77777777" w:rsidR="00625A5B" w:rsidRPr="004874C6" w:rsidRDefault="00625A5B" w:rsidP="004874C6">
      <w:pPr>
        <w:pStyle w:val="Translit"/>
      </w:pPr>
      <w:r w:rsidRPr="008F03E5">
        <w:t>A</w:t>
      </w:r>
      <w:r w:rsidRPr="008F03E5">
        <w:rPr>
          <w:rFonts w:eastAsia="PMingLiU"/>
          <w:lang w:eastAsia="zh-TW"/>
        </w:rPr>
        <w:t>sifu’d-Dawl</w:t>
      </w:r>
      <w:r>
        <w:rPr>
          <w:rFonts w:eastAsia="PMingLiU"/>
          <w:lang w:eastAsia="zh-TW"/>
        </w:rPr>
        <w:t xml:space="preserve">a, </w:t>
      </w:r>
      <w:r w:rsidRPr="008F03E5">
        <w:t>A</w:t>
      </w:r>
      <w:r w:rsidRPr="008F03E5">
        <w:rPr>
          <w:rFonts w:eastAsia="PMingLiU"/>
          <w:lang w:eastAsia="zh-TW"/>
        </w:rPr>
        <w:t>sifu’d-Dawlih</w:t>
      </w:r>
      <w:r w:rsidRPr="008F03E5">
        <w:tab/>
      </w:r>
      <w:r>
        <w:t>‘</w:t>
      </w:r>
      <w:r w:rsidRPr="008F03E5">
        <w:t>Áṣ</w:t>
      </w:r>
      <w:r w:rsidRPr="008F03E5">
        <w:rPr>
          <w:rFonts w:eastAsia="PMingLiU"/>
          <w:lang w:eastAsia="zh-TW"/>
        </w:rPr>
        <w:t>ifu’d-Dawl</w:t>
      </w:r>
      <w:r>
        <w:rPr>
          <w:rFonts w:eastAsia="PMingLiU"/>
          <w:lang w:eastAsia="zh-TW"/>
        </w:rPr>
        <w:t xml:space="preserve">a (Pers. </w:t>
      </w:r>
      <w:r>
        <w:t>‘</w:t>
      </w:r>
      <w:r w:rsidRPr="008F03E5">
        <w:t>Áṣ</w:t>
      </w:r>
      <w:r w:rsidRPr="008F03E5">
        <w:rPr>
          <w:rFonts w:eastAsia="PMingLiU"/>
          <w:lang w:eastAsia="zh-TW"/>
        </w:rPr>
        <w:t>ifu’d-Dawlih</w:t>
      </w:r>
      <w:r>
        <w:rPr>
          <w:rFonts w:eastAsia="PMingLiU"/>
          <w:lang w:eastAsia="zh-TW"/>
        </w:rPr>
        <w:t>)</w:t>
      </w:r>
      <w:r w:rsidRPr="008F03E5">
        <w:tab/>
      </w:r>
      <w:r w:rsidRPr="004874C6">
        <w:t>“Storm of the State” or “Storm of the Dynasty”</w:t>
      </w:r>
    </w:p>
    <w:p w14:paraId="632EE34F" w14:textId="77777777" w:rsidR="00625A5B" w:rsidRPr="008F03E5" w:rsidRDefault="00625A5B" w:rsidP="00F87A63">
      <w:pPr>
        <w:pStyle w:val="Translit"/>
      </w:pPr>
      <w:r w:rsidRPr="008F03E5">
        <w:t>Asir, Aseer</w:t>
      </w:r>
      <w:r w:rsidRPr="008F03E5">
        <w:tab/>
        <w:t>‘Asír</w:t>
      </w:r>
      <w:r w:rsidRPr="008F03E5">
        <w:tab/>
        <w:t xml:space="preserve">difficult, hard, harsh, rough; ‘Asír is a mountainous province in </w:t>
      </w:r>
      <w:r w:rsidRPr="008F03E5">
        <w:rPr>
          <w:sz w:val="16"/>
          <w:szCs w:val="16"/>
        </w:rPr>
        <w:t>SW</w:t>
      </w:r>
      <w:r w:rsidRPr="008F03E5">
        <w:t xml:space="preserve"> Arabia, between the Hejaz and Yemen, capital city is Abhá.</w:t>
      </w:r>
    </w:p>
    <w:p w14:paraId="18D34B0F" w14:textId="77777777" w:rsidR="00625A5B" w:rsidRPr="008F03E5" w:rsidRDefault="00625A5B" w:rsidP="00F87A63">
      <w:pPr>
        <w:pStyle w:val="Translit"/>
      </w:pPr>
      <w:r w:rsidRPr="008F03E5">
        <w:t>Asiya</w:t>
      </w:r>
      <w:r w:rsidRPr="008F03E5">
        <w:tab/>
        <w:t>Ásiyá</w:t>
      </w:r>
      <w:r w:rsidRPr="008F03E5">
        <w:tab/>
        <w:t>Asia</w:t>
      </w:r>
    </w:p>
    <w:p w14:paraId="7CF32D80" w14:textId="77777777" w:rsidR="00625A5B" w:rsidRPr="008F03E5" w:rsidRDefault="00625A5B" w:rsidP="00F87A63">
      <w:pPr>
        <w:pStyle w:val="Translit"/>
      </w:pPr>
      <w:r w:rsidRPr="008F03E5">
        <w:t>Asiyah (Asiyih, Asiya)</w:t>
      </w:r>
      <w:r w:rsidRPr="008F03E5">
        <w:tab/>
        <w:t>Ásiyah (</w:t>
      </w:r>
      <w:r w:rsidRPr="008F03E5">
        <w:rPr>
          <w:rtl/>
        </w:rPr>
        <w:t>آسیه</w:t>
      </w:r>
      <w:r w:rsidRPr="008F03E5">
        <w:t>) (Ar.), Ásíya (Pers.)</w:t>
      </w:r>
      <w:r w:rsidRPr="008F03E5">
        <w:tab/>
        <w:t xml:space="preserve">Ásiya, Pharaoh’s wife who educated Moses.  Ásíyih </w:t>
      </w:r>
      <w:r w:rsidRPr="008F03E5">
        <w:rPr>
          <w:u w:val="single"/>
        </w:rPr>
        <w:t>Kh</w:t>
      </w:r>
      <w:r w:rsidRPr="008F03E5">
        <w:t xml:space="preserve">ánum (1820–1886, née Ásíyih Yalrúdí) was the </w:t>
      </w:r>
      <w:r>
        <w:t xml:space="preserve">first </w:t>
      </w:r>
      <w:r w:rsidRPr="008F03E5">
        <w:t xml:space="preserve">wife of Bahá’u’lláh and the mother of ‘Abdu’l-Bahá.  She is also know also known by her titles of Navváb, the Most Exalted Leaf, Búyúk </w:t>
      </w:r>
      <w:r w:rsidRPr="008F03E5">
        <w:rPr>
          <w:u w:val="single"/>
        </w:rPr>
        <w:t>Kh</w:t>
      </w:r>
      <w:r w:rsidRPr="008F03E5">
        <w:t>ánum or Ḥaḍrat-i-</w:t>
      </w:r>
      <w:r w:rsidRPr="008F03E5">
        <w:rPr>
          <w:u w:val="single"/>
        </w:rPr>
        <w:t>Kh</w:t>
      </w:r>
      <w:r w:rsidRPr="008F03E5">
        <w:t>ánum.</w:t>
      </w:r>
    </w:p>
    <w:p w14:paraId="18258A67" w14:textId="77777777" w:rsidR="00625A5B" w:rsidRPr="008F03E5" w:rsidRDefault="00625A5B" w:rsidP="00F87A63">
      <w:pPr>
        <w:pStyle w:val="Translit"/>
        <w:rPr>
          <w:rFonts w:eastAsia="PMingLiU"/>
          <w:lang w:eastAsia="zh-TW"/>
        </w:rPr>
      </w:pPr>
      <w:r w:rsidRPr="008F03E5">
        <w:rPr>
          <w:rFonts w:eastAsia="PMingLiU"/>
          <w:lang w:eastAsia="zh-TW"/>
        </w:rPr>
        <w:t>Askar, Asakir</w:t>
      </w:r>
      <w:r w:rsidRPr="008F03E5">
        <w:rPr>
          <w:rFonts w:eastAsia="PMingLiU"/>
          <w:lang w:eastAsia="zh-TW"/>
        </w:rPr>
        <w:tab/>
        <w:t>‘Askar, pl. ‘As</w:t>
      </w:r>
      <w:r w:rsidRPr="008F03E5">
        <w:t>á</w:t>
      </w:r>
      <w:r w:rsidRPr="008F03E5">
        <w:rPr>
          <w:rFonts w:eastAsia="PMingLiU"/>
          <w:lang w:eastAsia="zh-TW"/>
        </w:rPr>
        <w:t>kir</w:t>
      </w:r>
      <w:r w:rsidRPr="008F03E5">
        <w:rPr>
          <w:rFonts w:eastAsia="PMingLiU"/>
          <w:lang w:eastAsia="zh-TW"/>
        </w:rPr>
        <w:tab/>
        <w:t>army, host, troops</w:t>
      </w:r>
    </w:p>
    <w:p w14:paraId="733B517B" w14:textId="77777777" w:rsidR="00625A5B" w:rsidRPr="008F03E5" w:rsidRDefault="00625A5B" w:rsidP="005A5603">
      <w:pPr>
        <w:pStyle w:val="Translit"/>
      </w:pPr>
      <w:r w:rsidRPr="008F03E5">
        <w:rPr>
          <w:rFonts w:eastAsia="PMingLiU"/>
          <w:lang w:eastAsia="zh-TW"/>
        </w:rPr>
        <w:t>Askar</w:t>
      </w:r>
      <w:r w:rsidRPr="008F03E5">
        <w:t>i</w:t>
      </w:r>
      <w:r w:rsidRPr="008F03E5">
        <w:tab/>
      </w:r>
      <w:r w:rsidRPr="008F03E5">
        <w:rPr>
          <w:rFonts w:eastAsia="PMingLiU"/>
          <w:lang w:eastAsia="zh-TW"/>
        </w:rPr>
        <w:t>‘Askar</w:t>
      </w:r>
      <w:r w:rsidRPr="008F03E5">
        <w:t>í, pl. ‘Askariyún, ‘Asákir</w:t>
      </w:r>
      <w:r w:rsidRPr="008F03E5">
        <w:tab/>
        <w:t xml:space="preserve">military, army- (in compounds);—(pl. al-‘askariyún) the military;—(pl. ‘asákir) soldier; private (military); policeman;—pl. enlisted men, ranks.  ‘Alí al-Hádí (the tenth Imám) had the title al-‘Askarí (military) due to the town (Sámarrá) he had to live in was a military camp).  The hidden Imám Mahdí (twelfth), Muḥammad ibn al-Ḥasan al-‘Askarí (disappeared </w:t>
      </w:r>
      <w:r w:rsidRPr="008F03E5">
        <w:rPr>
          <w:sz w:val="16"/>
          <w:szCs w:val="16"/>
        </w:rPr>
        <w:t>CE</w:t>
      </w:r>
      <w:r w:rsidRPr="008F03E5">
        <w:t xml:space="preserve"> 874).</w:t>
      </w:r>
    </w:p>
    <w:p w14:paraId="45B1C123" w14:textId="77777777" w:rsidR="00625A5B" w:rsidRPr="008F03E5" w:rsidRDefault="00625A5B" w:rsidP="008C3D4C">
      <w:pPr>
        <w:pStyle w:val="Translit"/>
      </w:pPr>
      <w:r w:rsidRPr="008F03E5">
        <w:t>Asl, Usul, Asliyan</w:t>
      </w:r>
      <w:r w:rsidRPr="008F03E5">
        <w:tab/>
        <w:t>Aṣl, pl. Uṣúl, Pers. Aṣliyán</w:t>
      </w:r>
      <w:r w:rsidRPr="008F03E5">
        <w:tab/>
        <w:t xml:space="preserve">root; trunk (of a tree); origin, source; cause, reason; descent, lineage, stock (especially one of a noble character); foundation, fundament, basis; the origins!;—pl. principles, fundamentals, rudiments, elements (e.g., of a science):—Pers. </w:t>
      </w:r>
      <w:r w:rsidRPr="008F03E5">
        <w:rPr>
          <w:rFonts w:eastAsia="Times New Roman"/>
        </w:rPr>
        <w:t>nobles, gentlemen.</w:t>
      </w:r>
    </w:p>
    <w:p w14:paraId="4F4B334E" w14:textId="77777777" w:rsidR="00625A5B" w:rsidRPr="008F03E5" w:rsidRDefault="00625A5B" w:rsidP="00F87A63">
      <w:pPr>
        <w:pStyle w:val="Translit"/>
      </w:pPr>
      <w:r w:rsidRPr="008F03E5">
        <w:t>Aslam</w:t>
      </w:r>
      <w:r w:rsidRPr="008F03E5">
        <w:tab/>
        <w:t>Aslam</w:t>
      </w:r>
      <w:r w:rsidRPr="008F03E5">
        <w:tab/>
        <w:t>(adj. of salím) safer; freer; sounder; healthier (“most peaceful”)</w:t>
      </w:r>
    </w:p>
    <w:p w14:paraId="12FC1E24" w14:textId="77777777" w:rsidR="00625A5B" w:rsidRPr="008F03E5" w:rsidRDefault="00625A5B" w:rsidP="00F87A63">
      <w:pPr>
        <w:pStyle w:val="Translit"/>
      </w:pPr>
      <w:r w:rsidRPr="008F03E5">
        <w:t>Aslas</w:t>
      </w:r>
      <w:r w:rsidRPr="008F03E5">
        <w:tab/>
        <w:t>Aslas</w:t>
      </w:r>
      <w:r w:rsidRPr="008F03E5">
        <w:tab/>
        <w:t>more tractable, more pliable, more obedient; more flexible, smoother, more fluent.  See salis</w:t>
      </w:r>
    </w:p>
    <w:p w14:paraId="6D1D06A5" w14:textId="77777777" w:rsidR="00625A5B" w:rsidRPr="008F03E5" w:rsidRDefault="00625A5B" w:rsidP="008C3D4C">
      <w:pPr>
        <w:pStyle w:val="Translit"/>
      </w:pPr>
      <w:r w:rsidRPr="008F03E5">
        <w:t>Asli, Usuli</w:t>
      </w:r>
      <w:r w:rsidRPr="008F03E5">
        <w:tab/>
        <w:t xml:space="preserve">Aṣlí, pl. </w:t>
      </w:r>
      <w:r w:rsidRPr="008F03E5">
        <w:rPr>
          <w:rFonts w:eastAsia="PMingLiU"/>
          <w:lang w:eastAsia="zh-TW"/>
        </w:rPr>
        <w:t>U</w:t>
      </w:r>
      <w:r w:rsidRPr="008F03E5">
        <w:t>ṣ</w:t>
      </w:r>
      <w:r w:rsidRPr="008F03E5">
        <w:rPr>
          <w:rFonts w:eastAsia="PMingLiU"/>
          <w:lang w:eastAsia="zh-TW"/>
        </w:rPr>
        <w:t>úlí</w:t>
      </w:r>
      <w:r w:rsidRPr="008F03E5">
        <w:tab/>
        <w:t>original, primary, primal, initial; genuine, authentic, pure; basic, fundamental, principal, chief, main:—pl. in accordance with the rules, conforming to prevailing principles; traditional, usual; legist.</w:t>
      </w:r>
    </w:p>
    <w:p w14:paraId="0D94D14B" w14:textId="77777777" w:rsidR="00625A5B" w:rsidRPr="008F03E5" w:rsidRDefault="00625A5B" w:rsidP="009566ED">
      <w:pPr>
        <w:pStyle w:val="Translit"/>
      </w:pPr>
      <w:r w:rsidRPr="008F03E5">
        <w:t>Asl-i-</w:t>
      </w:r>
      <w:r>
        <w:t>K</w:t>
      </w:r>
      <w:r w:rsidRPr="008F03E5">
        <w:t>ullu’l-Khayr</w:t>
      </w:r>
      <w:r w:rsidRPr="008F03E5">
        <w:tab/>
        <w:t>Aṣl-i-</w:t>
      </w:r>
      <w:r>
        <w:t>K</w:t>
      </w:r>
      <w:r w:rsidRPr="008F03E5">
        <w:t>ullu’l-</w:t>
      </w:r>
      <w:r w:rsidRPr="008F03E5">
        <w:rPr>
          <w:u w:val="single"/>
        </w:rPr>
        <w:t>Kh</w:t>
      </w:r>
      <w:r w:rsidRPr="008F03E5">
        <w:t>ayr</w:t>
      </w:r>
      <w:r w:rsidRPr="008F03E5">
        <w:tab/>
      </w:r>
      <w:r>
        <w:t xml:space="preserve">lit. source of all good.  </w:t>
      </w:r>
      <w:r w:rsidRPr="008F03E5">
        <w:t xml:space="preserve">“Words of Wisdom” Tablet by Bahá’u’lláh, published in </w:t>
      </w:r>
      <w:r w:rsidRPr="008F03E5">
        <w:rPr>
          <w:i/>
          <w:iCs/>
        </w:rPr>
        <w:t>Tablets of Bahá’u’lláh</w:t>
      </w:r>
      <w:r w:rsidRPr="008F03E5">
        <w:t>, pp. 153–7.</w:t>
      </w:r>
    </w:p>
    <w:p w14:paraId="212DEC8F" w14:textId="77777777" w:rsidR="00625A5B" w:rsidRPr="008F03E5" w:rsidRDefault="00625A5B" w:rsidP="009C5DE7">
      <w:pPr>
        <w:pStyle w:val="Translit"/>
      </w:pPr>
      <w:r w:rsidRPr="008F03E5">
        <w:t>Asliya, Usuliya</w:t>
      </w:r>
      <w:r w:rsidRPr="008F03E5">
        <w:tab/>
        <w:t>Aṣlíya[h or t], pl. Uṣúlíya[h or t]</w:t>
      </w:r>
      <w:r w:rsidRPr="008F03E5">
        <w:tab/>
        <w:t>originality; genuineness; nobleness;—pl. fundamentalism (“usulism”).  al-Uṣúlíya, the school of jurisprudence that emphasizes the study of uṣúl al-fiqh.  In the 19th century, it is almost synonymous with the mujtahids.</w:t>
      </w:r>
    </w:p>
    <w:p w14:paraId="79D8FA45" w14:textId="77777777" w:rsidR="00625A5B" w:rsidRPr="008F03E5" w:rsidRDefault="00625A5B" w:rsidP="000A4276">
      <w:pPr>
        <w:pStyle w:val="Translit"/>
        <w:rPr>
          <w:rFonts w:eastAsia="PMingLiU"/>
          <w:lang w:eastAsia="zh-TW"/>
        </w:rPr>
      </w:pPr>
      <w:r w:rsidRPr="008F03E5">
        <w:rPr>
          <w:rFonts w:eastAsia="PMingLiU"/>
          <w:lang w:eastAsia="zh-TW"/>
        </w:rPr>
        <w:t>Asma’ Allah al-Husna</w:t>
      </w:r>
      <w:r w:rsidRPr="008F03E5">
        <w:rPr>
          <w:rFonts w:eastAsia="PMingLiU"/>
          <w:lang w:eastAsia="zh-TW"/>
        </w:rPr>
        <w:tab/>
        <w:t>Asmá’ Alláh al-Ḥusná</w:t>
      </w:r>
      <w:r w:rsidRPr="008F03E5">
        <w:rPr>
          <w:rFonts w:eastAsia="PMingLiU"/>
          <w:lang w:eastAsia="zh-TW"/>
        </w:rPr>
        <w:tab/>
        <w:t>the Most Beautiful Names of God (usually 99, drawn mostly from descriptions of God in the Qur’án)</w:t>
      </w:r>
    </w:p>
    <w:p w14:paraId="14061E7B" w14:textId="77777777" w:rsidR="00625A5B" w:rsidRPr="008F03E5" w:rsidRDefault="00625A5B" w:rsidP="000A4276">
      <w:pPr>
        <w:pStyle w:val="Translit"/>
      </w:pPr>
      <w:r w:rsidRPr="008F03E5">
        <w:t>Asma’u’l-Husna</w:t>
      </w:r>
      <w:r w:rsidRPr="008F03E5">
        <w:tab/>
        <w:t>Asmá’u’l-Ḥusná</w:t>
      </w:r>
      <w:r w:rsidRPr="008F03E5">
        <w:tab/>
        <w:t>Most Beauteous Names (of God).  According to a ḥadí</w:t>
      </w:r>
      <w:r w:rsidRPr="008F03E5">
        <w:rPr>
          <w:u w:val="single"/>
        </w:rPr>
        <w:t>th</w:t>
      </w:r>
      <w:r w:rsidRPr="008F03E5">
        <w:t>, Muḥammad said, “Verily there are 99 names of God, and whoever recites them shall enter Paradise.”  The traditions also maintain that the “Almighty has a hundredth name, the ‘Most Great Name’, and that whoever calls on God by this Name shall obtain all his desires.  Bahá’u’lláh revealed that the Greatest Name (Ism-i-A‘ẓam) is Bahá’.</w:t>
      </w:r>
    </w:p>
    <w:p w14:paraId="49CC2070" w14:textId="77777777" w:rsidR="00625A5B" w:rsidRPr="008F03E5" w:rsidRDefault="00625A5B" w:rsidP="00F87A63">
      <w:pPr>
        <w:pStyle w:val="Translit"/>
        <w:rPr>
          <w:rFonts w:eastAsia="PMingLiU"/>
          <w:lang w:eastAsia="zh-TW"/>
        </w:rPr>
      </w:pPr>
      <w:r w:rsidRPr="008F03E5">
        <w:rPr>
          <w:rFonts w:eastAsia="PMingLiU"/>
          <w:lang w:eastAsia="zh-TW"/>
        </w:rPr>
        <w:t>Asman</w:t>
      </w:r>
      <w:r w:rsidRPr="008F03E5">
        <w:rPr>
          <w:rFonts w:eastAsia="PMingLiU"/>
          <w:lang w:eastAsia="zh-TW"/>
        </w:rPr>
        <w:tab/>
      </w:r>
      <w:r w:rsidRPr="008F03E5">
        <w:t>Á</w:t>
      </w:r>
      <w:r w:rsidRPr="008F03E5">
        <w:rPr>
          <w:rFonts w:eastAsia="PMingLiU"/>
          <w:lang w:eastAsia="zh-TW"/>
        </w:rPr>
        <w:t>sm</w:t>
      </w:r>
      <w:r w:rsidRPr="008F03E5">
        <w:t>á</w:t>
      </w:r>
      <w:r w:rsidRPr="008F03E5">
        <w:rPr>
          <w:rFonts w:eastAsia="PMingLiU"/>
          <w:lang w:eastAsia="zh-TW"/>
        </w:rPr>
        <w:t>n</w:t>
      </w:r>
      <w:r w:rsidRPr="008F03E5">
        <w:rPr>
          <w:rFonts w:eastAsia="PMingLiU"/>
          <w:lang w:eastAsia="zh-TW"/>
        </w:rPr>
        <w:tab/>
        <w:t>Pers. heaven, the celestial orb; the ceiling of a house; name of the angel of death</w:t>
      </w:r>
    </w:p>
    <w:p w14:paraId="370534AA" w14:textId="77777777" w:rsidR="00625A5B" w:rsidRPr="008F03E5" w:rsidRDefault="00625A5B" w:rsidP="00F87A63">
      <w:pPr>
        <w:pStyle w:val="Translit"/>
      </w:pPr>
      <w:r w:rsidRPr="008F03E5">
        <w:t>Asmar, Samra’, Sumr, Samrawat</w:t>
      </w:r>
      <w:r w:rsidRPr="008F03E5">
        <w:tab/>
        <w:t>Asmar, fem. Samrá’, pl. Sumr</w:t>
      </w:r>
      <w:r w:rsidRPr="008F03E5">
        <w:tab/>
        <w:t>brown; tawny;—pl. Samráwát brown-skinned women</w:t>
      </w:r>
    </w:p>
    <w:p w14:paraId="5DC23EA3" w14:textId="77777777" w:rsidR="00625A5B" w:rsidRPr="008F03E5" w:rsidRDefault="00625A5B" w:rsidP="00224C15">
      <w:pPr>
        <w:pStyle w:val="Translit"/>
      </w:pPr>
      <w:r w:rsidRPr="008F03E5">
        <w:t>Asqalan, Ashkelon, Ashqelon, Ascalon</w:t>
      </w:r>
      <w:r w:rsidRPr="008F03E5">
        <w:tab/>
        <w:t>‘Asqalán, Heb. Ashkelon</w:t>
      </w:r>
      <w:r w:rsidRPr="008F03E5">
        <w:tab/>
        <w:t xml:space="preserve">a coastal city of Israel, 50 km south of Tel Aviv and 147 km </w:t>
      </w:r>
      <w:r w:rsidRPr="008F03E5">
        <w:rPr>
          <w:sz w:val="16"/>
          <w:szCs w:val="16"/>
        </w:rPr>
        <w:t>SSW</w:t>
      </w:r>
      <w:r w:rsidRPr="008F03E5">
        <w:t xml:space="preserve"> of ‘Akká.  See ESW, p. 178.</w:t>
      </w:r>
    </w:p>
    <w:p w14:paraId="7FE9EE18" w14:textId="77777777" w:rsidR="00625A5B" w:rsidRPr="008F03E5" w:rsidRDefault="00625A5B" w:rsidP="00F87A63">
      <w:pPr>
        <w:pStyle w:val="Translit"/>
      </w:pPr>
      <w:r w:rsidRPr="008F03E5">
        <w:rPr>
          <w:rFonts w:eastAsia="Times New Roman"/>
        </w:rPr>
        <w:t>Asr, ‘Asar, ‘Usur</w:t>
      </w:r>
      <w:r w:rsidRPr="008F03E5">
        <w:rPr>
          <w:rFonts w:eastAsia="Times New Roman"/>
        </w:rPr>
        <w:tab/>
        <w:t>‘Aṣr, ‘Aṣar, pl.</w:t>
      </w:r>
      <w:r w:rsidRPr="008F03E5">
        <w:t xml:space="preserve"> ‘Uṣúr</w:t>
      </w:r>
      <w:r w:rsidRPr="008F03E5">
        <w:tab/>
        <w:t>(fem.) a</w:t>
      </w:r>
      <w:r w:rsidRPr="008F03E5">
        <w:rPr>
          <w:rFonts w:eastAsia="Times New Roman"/>
        </w:rPr>
        <w:t xml:space="preserve">fternoon; afternoon prayer </w:t>
      </w:r>
      <w:r w:rsidRPr="008F03E5">
        <w:t>(Islamic Law)</w:t>
      </w:r>
    </w:p>
    <w:p w14:paraId="4C600ABA" w14:textId="77777777" w:rsidR="00625A5B" w:rsidRPr="008F03E5" w:rsidRDefault="00625A5B" w:rsidP="00F87A63">
      <w:pPr>
        <w:pStyle w:val="Translit"/>
      </w:pPr>
      <w:r w:rsidRPr="008F03E5">
        <w:t>Asr, A’sur, ‘Usur, A’sar</w:t>
      </w:r>
      <w:r w:rsidRPr="008F03E5">
        <w:tab/>
        <w:t>‘Aṣr, pl. A‘ṣur, ‘Uṣúr, A‘ṣár</w:t>
      </w:r>
      <w:r w:rsidRPr="008F03E5">
        <w:tab/>
        <w:t>(act of) pressing (out), squeezing (out); (act of) wringing (out);—pl. age, era, time; period; epoch; afternoon</w:t>
      </w:r>
    </w:p>
    <w:p w14:paraId="1B884CBA" w14:textId="77777777" w:rsidR="00625A5B" w:rsidRPr="008F03E5" w:rsidRDefault="00625A5B" w:rsidP="00F87A63">
      <w:pPr>
        <w:pStyle w:val="Translit"/>
        <w:rPr>
          <w:lang w:eastAsia="zh-TW"/>
        </w:rPr>
      </w:pPr>
      <w:r w:rsidRPr="008F03E5">
        <w:rPr>
          <w:lang w:eastAsia="zh-TW"/>
        </w:rPr>
        <w:t>Asr</w:t>
      </w:r>
      <w:r w:rsidRPr="008F03E5">
        <w:t>a</w:t>
      </w:r>
      <w:r w:rsidRPr="008F03E5">
        <w:rPr>
          <w:lang w:eastAsia="zh-TW"/>
        </w:rPr>
        <w:t>r-i-Shih</w:t>
      </w:r>
      <w:r w:rsidRPr="008F03E5">
        <w:t>a</w:t>
      </w:r>
      <w:r w:rsidRPr="008F03E5">
        <w:rPr>
          <w:lang w:eastAsia="zh-TW"/>
        </w:rPr>
        <w:t>dat-i-Im</w:t>
      </w:r>
      <w:r w:rsidRPr="008F03E5">
        <w:t>a</w:t>
      </w:r>
      <w:r w:rsidRPr="008F03E5">
        <w:rPr>
          <w:lang w:eastAsia="zh-TW"/>
        </w:rPr>
        <w:t>m</w:t>
      </w:r>
      <w:r w:rsidRPr="008F03E5">
        <w:tab/>
      </w:r>
      <w:r w:rsidRPr="008F03E5">
        <w:rPr>
          <w:lang w:eastAsia="zh-TW"/>
        </w:rPr>
        <w:t>Asr</w:t>
      </w:r>
      <w:r w:rsidRPr="008F03E5">
        <w:t>á</w:t>
      </w:r>
      <w:r w:rsidRPr="008F03E5">
        <w:rPr>
          <w:lang w:eastAsia="zh-TW"/>
        </w:rPr>
        <w:t>r-i-</w:t>
      </w:r>
      <w:r w:rsidRPr="008F03E5">
        <w:rPr>
          <w:u w:val="single"/>
        </w:rPr>
        <w:t>Sh</w:t>
      </w:r>
      <w:r w:rsidRPr="008F03E5">
        <w:rPr>
          <w:lang w:eastAsia="zh-TW"/>
        </w:rPr>
        <w:t>ih</w:t>
      </w:r>
      <w:r w:rsidRPr="008F03E5">
        <w:t>á</w:t>
      </w:r>
      <w:r w:rsidRPr="008F03E5">
        <w:rPr>
          <w:lang w:eastAsia="zh-TW"/>
        </w:rPr>
        <w:t>dat-i-Im</w:t>
      </w:r>
      <w:r w:rsidRPr="008F03E5">
        <w:t>á</w:t>
      </w:r>
      <w:r w:rsidRPr="008F03E5">
        <w:rPr>
          <w:lang w:eastAsia="zh-TW"/>
        </w:rPr>
        <w:t>m</w:t>
      </w:r>
      <w:r w:rsidRPr="008F03E5">
        <w:tab/>
        <w:t xml:space="preserve">mysteries of the martyrdom of the Imám.  Dar </w:t>
      </w:r>
      <w:r w:rsidRPr="008F03E5">
        <w:rPr>
          <w:lang w:eastAsia="zh-TW"/>
        </w:rPr>
        <w:t>Asr</w:t>
      </w:r>
      <w:r w:rsidRPr="008F03E5">
        <w:t>á</w:t>
      </w:r>
      <w:r w:rsidRPr="008F03E5">
        <w:rPr>
          <w:lang w:eastAsia="zh-TW"/>
        </w:rPr>
        <w:t>r-i-</w:t>
      </w:r>
      <w:r w:rsidRPr="008F03E5">
        <w:rPr>
          <w:u w:val="single"/>
        </w:rPr>
        <w:t>Sh</w:t>
      </w:r>
      <w:r w:rsidRPr="008F03E5">
        <w:rPr>
          <w:lang w:eastAsia="zh-TW"/>
        </w:rPr>
        <w:t>ih</w:t>
      </w:r>
      <w:r w:rsidRPr="008F03E5">
        <w:t>á</w:t>
      </w:r>
      <w:r w:rsidRPr="008F03E5">
        <w:rPr>
          <w:lang w:eastAsia="zh-TW"/>
        </w:rPr>
        <w:t>dat-i-Im</w:t>
      </w:r>
      <w:r w:rsidRPr="008F03E5">
        <w:t>á</w:t>
      </w:r>
      <w:r w:rsidRPr="008F03E5">
        <w:rPr>
          <w:lang w:eastAsia="zh-TW"/>
        </w:rPr>
        <w:t xml:space="preserve">m </w:t>
      </w:r>
      <w:r w:rsidRPr="008F03E5">
        <w:t>Ḥ</w:t>
      </w:r>
      <w:r w:rsidRPr="008F03E5">
        <w:rPr>
          <w:lang w:eastAsia="zh-TW"/>
        </w:rPr>
        <w:t xml:space="preserve">usayn by Siyyid </w:t>
      </w:r>
      <w:r w:rsidRPr="008F03E5">
        <w:t>Káẓim.</w:t>
      </w:r>
    </w:p>
    <w:p w14:paraId="56F4362A" w14:textId="77777777" w:rsidR="00625A5B" w:rsidRPr="008F03E5" w:rsidRDefault="00625A5B" w:rsidP="00F87A63">
      <w:pPr>
        <w:pStyle w:val="Translit"/>
      </w:pPr>
      <w:r w:rsidRPr="008F03E5">
        <w:t>Asraru’l-Athar</w:t>
      </w:r>
      <w:r w:rsidRPr="008F03E5">
        <w:tab/>
        <w:t>Asráru’l-Á</w:t>
      </w:r>
      <w:r w:rsidRPr="008F03E5">
        <w:rPr>
          <w:u w:val="single"/>
        </w:rPr>
        <w:t>th</w:t>
      </w:r>
      <w:r w:rsidRPr="008F03E5">
        <w:t>ár</w:t>
      </w:r>
      <w:r w:rsidRPr="008F03E5">
        <w:tab/>
        <w:t>The mysteries of the Writings by Fáḍil Mázanarání.</w:t>
      </w:r>
    </w:p>
    <w:p w14:paraId="71CEC4BE" w14:textId="77777777" w:rsidR="00625A5B" w:rsidRPr="008F03E5" w:rsidRDefault="00625A5B" w:rsidP="00F87A63">
      <w:pPr>
        <w:pStyle w:val="Translit"/>
      </w:pPr>
      <w:r w:rsidRPr="008F03E5">
        <w:t>Ast</w:t>
      </w:r>
      <w:r w:rsidRPr="008F03E5">
        <w:tab/>
        <w:t>Ast</w:t>
      </w:r>
      <w:r w:rsidRPr="008F03E5">
        <w:tab/>
        <w:t>Pers. is (from búdan, to be); he willeth, he seeketh</w:t>
      </w:r>
    </w:p>
    <w:p w14:paraId="245EA4E9" w14:textId="77777777" w:rsidR="00625A5B" w:rsidRPr="008F03E5" w:rsidRDefault="00625A5B" w:rsidP="00F44C86">
      <w:pPr>
        <w:pStyle w:val="Translit"/>
      </w:pPr>
      <w:r w:rsidRPr="008F03E5">
        <w:t>Ast</w:t>
      </w:r>
      <w:r w:rsidRPr="008F03E5">
        <w:tab/>
      </w:r>
      <w:r w:rsidRPr="008F03E5">
        <w:rPr>
          <w:rFonts w:eastAsia="Times New Roman"/>
        </w:rPr>
        <w:t>Ást</w:t>
      </w:r>
      <w:r w:rsidRPr="008F03E5">
        <w:rPr>
          <w:rFonts w:eastAsia="Times New Roman"/>
        </w:rPr>
        <w:tab/>
        <w:t>Pers. praise, commendation</w:t>
      </w:r>
    </w:p>
    <w:p w14:paraId="5DE94A19" w14:textId="77777777" w:rsidR="00625A5B" w:rsidRPr="008F03E5" w:rsidRDefault="00625A5B" w:rsidP="001E082E">
      <w:pPr>
        <w:pStyle w:val="Translit"/>
      </w:pPr>
      <w:r w:rsidRPr="008F03E5">
        <w:rPr>
          <w:rFonts w:eastAsia="Times New Roman"/>
        </w:rPr>
        <w:t>Astaghfiru’llah</w:t>
      </w:r>
      <w:r w:rsidRPr="008F03E5">
        <w:rPr>
          <w:rFonts w:eastAsia="Times New Roman"/>
        </w:rPr>
        <w:tab/>
        <w:t>Asta</w:t>
      </w:r>
      <w:r w:rsidRPr="008F03E5">
        <w:rPr>
          <w:u w:val="single"/>
        </w:rPr>
        <w:t>gh</w:t>
      </w:r>
      <w:r w:rsidRPr="008F03E5">
        <w:rPr>
          <w:rFonts w:eastAsia="Times New Roman"/>
        </w:rPr>
        <w:t>firu’lláh</w:t>
      </w:r>
      <w:r w:rsidRPr="008F03E5">
        <w:rPr>
          <w:rFonts w:eastAsia="Times New Roman"/>
        </w:rPr>
        <w:tab/>
        <w:t>(“I ask pardon of God”), God forgive me! God forbid! (</w:t>
      </w:r>
      <w:r w:rsidRPr="008F03E5">
        <w:t>modern colloquialism</w:t>
      </w:r>
      <w:r w:rsidRPr="008F03E5">
        <w:rPr>
          <w:rFonts w:eastAsia="Times New Roman"/>
        </w:rPr>
        <w:t xml:space="preserve">) not at all; on the contrary.  A common response of those considering themselves </w:t>
      </w:r>
      <w:r w:rsidRPr="008F03E5">
        <w:t>deeply learned after meeting ‘Abdu’l-Bahá and recognizing themselves as profoundly ignorant.</w:t>
      </w:r>
    </w:p>
    <w:p w14:paraId="59CC778C" w14:textId="77777777" w:rsidR="00625A5B" w:rsidRPr="008F03E5" w:rsidRDefault="00625A5B" w:rsidP="009314E1">
      <w:pPr>
        <w:pStyle w:val="Translit"/>
        <w:rPr>
          <w:rFonts w:eastAsia="Times New Roman"/>
        </w:rPr>
      </w:pPr>
      <w:r w:rsidRPr="008F03E5">
        <w:rPr>
          <w:rFonts w:eastAsia="Times New Roman"/>
        </w:rPr>
        <w:t>Astan</w:t>
      </w:r>
      <w:r w:rsidRPr="008F03E5">
        <w:rPr>
          <w:rFonts w:eastAsia="Times New Roman"/>
        </w:rPr>
        <w:tab/>
        <w:t>Astán</w:t>
      </w:r>
      <w:r w:rsidRPr="008F03E5">
        <w:rPr>
          <w:rFonts w:eastAsia="Times New Roman"/>
        </w:rPr>
        <w:tab/>
        <w:t>Pers. a place of rest, a sleeping place; word used for “province”</w:t>
      </w:r>
    </w:p>
    <w:p w14:paraId="1413273B" w14:textId="77777777" w:rsidR="00625A5B" w:rsidRPr="008F03E5" w:rsidRDefault="00625A5B" w:rsidP="0046261B">
      <w:pPr>
        <w:pStyle w:val="Translit"/>
      </w:pPr>
      <w:r w:rsidRPr="008F03E5">
        <w:t>Astan, Astana</w:t>
      </w:r>
      <w:r>
        <w:t xml:space="preserve"> (Astane)</w:t>
      </w:r>
      <w:r w:rsidRPr="008F03E5">
        <w:tab/>
        <w:t>Ástán, Ástána</w:t>
      </w:r>
      <w:r w:rsidRPr="008F03E5">
        <w:tab/>
        <w:t>Pers. the place where shoes are removed; a threshold; lying supine; a king’s court, royal palace; the Ottoman Porte; the tomb of a prophet or saint</w:t>
      </w:r>
      <w:r>
        <w:t>.  Village (</w:t>
      </w:r>
      <w:r w:rsidRPr="0046261B">
        <w:t>36.278167, 54.083907</w:t>
      </w:r>
      <w:r>
        <w:t xml:space="preserve">) near </w:t>
      </w:r>
      <w:r w:rsidRPr="008F03E5">
        <w:rPr>
          <w:u w:val="single"/>
        </w:rPr>
        <w:t>Ch</w:t>
      </w:r>
      <w:r w:rsidRPr="008F03E5">
        <w:t>a</w:t>
      </w:r>
      <w:r w:rsidRPr="008F03E5">
        <w:rPr>
          <w:u w:val="single"/>
        </w:rPr>
        <w:t>sh</w:t>
      </w:r>
      <w:r w:rsidRPr="008F03E5">
        <w:t>ma ‘Alí</w:t>
      </w:r>
      <w:r>
        <w:t xml:space="preserve"> and </w:t>
      </w:r>
      <w:r w:rsidRPr="0054078F">
        <w:rPr>
          <w:sz w:val="16"/>
          <w:szCs w:val="16"/>
        </w:rPr>
        <w:t>NW</w:t>
      </w:r>
      <w:r>
        <w:t xml:space="preserve"> of D</w:t>
      </w:r>
      <w:r w:rsidRPr="0046261B">
        <w:t>á</w:t>
      </w:r>
      <w:r>
        <w:t>m</w:t>
      </w:r>
      <w:r w:rsidRPr="0046261B">
        <w:rPr>
          <w:u w:val="single"/>
        </w:rPr>
        <w:t>gh</w:t>
      </w:r>
      <w:r w:rsidRPr="0046261B">
        <w:t>á</w:t>
      </w:r>
      <w:r>
        <w:t>n, in Semnan Province.</w:t>
      </w:r>
    </w:p>
    <w:p w14:paraId="3DD4AF17" w14:textId="77777777" w:rsidR="00625A5B" w:rsidRPr="00543CBD" w:rsidRDefault="00625A5B" w:rsidP="00F87A63">
      <w:pPr>
        <w:pStyle w:val="Translit"/>
        <w:rPr>
          <w:lang w:val="es-ES_tradnl"/>
        </w:rPr>
      </w:pPr>
      <w:r w:rsidRPr="00543CBD">
        <w:rPr>
          <w:lang w:val="es-ES_tradnl"/>
        </w:rPr>
        <w:t>Astani</w:t>
      </w:r>
      <w:r w:rsidRPr="00543CBD">
        <w:rPr>
          <w:lang w:val="es-ES_tradnl"/>
        </w:rPr>
        <w:tab/>
        <w:t>Ástání</w:t>
      </w:r>
      <w:r w:rsidRPr="00543CBD">
        <w:rPr>
          <w:lang w:val="es-ES_tradnl"/>
        </w:rPr>
        <w:tab/>
        <w:t>Yadu’lláh Ástání</w:t>
      </w:r>
    </w:p>
    <w:p w14:paraId="234DE916" w14:textId="77777777" w:rsidR="00625A5B" w:rsidRPr="00543CBD" w:rsidRDefault="00625A5B" w:rsidP="00F87A63">
      <w:pPr>
        <w:pStyle w:val="Translit"/>
        <w:rPr>
          <w:lang w:val="es-ES_tradnl"/>
        </w:rPr>
      </w:pPr>
      <w:r w:rsidRPr="00543CBD">
        <w:rPr>
          <w:lang w:val="es-ES_tradnl"/>
        </w:rPr>
        <w:t>Astar</w:t>
      </w:r>
      <w:r w:rsidRPr="00543CBD">
        <w:rPr>
          <w:lang w:val="es-ES_tradnl"/>
        </w:rPr>
        <w:tab/>
        <w:t>Astar</w:t>
      </w:r>
      <w:r w:rsidRPr="00543CBD">
        <w:rPr>
          <w:lang w:val="es-ES_tradnl"/>
        </w:rPr>
        <w:tab/>
        <w:t>Pers. a mule; a bone; a seed, a kernel</w:t>
      </w:r>
    </w:p>
    <w:p w14:paraId="7EF3C1C3" w14:textId="77777777" w:rsidR="00625A5B" w:rsidRPr="005109CD" w:rsidRDefault="00625A5B" w:rsidP="004F108B">
      <w:pPr>
        <w:pStyle w:val="Translit"/>
        <w:rPr>
          <w:lang w:val="en-AU"/>
        </w:rPr>
      </w:pPr>
      <w:r w:rsidRPr="005109CD">
        <w:rPr>
          <w:lang w:val="en-AU"/>
        </w:rPr>
        <w:t>Astarabad (Gurgan, Gurgin or Gorgan)</w:t>
      </w:r>
      <w:r w:rsidRPr="005109CD">
        <w:rPr>
          <w:lang w:val="en-AU"/>
        </w:rPr>
        <w:tab/>
        <w:t>Astarábád (Istarábád)</w:t>
      </w:r>
      <w:r w:rsidRPr="005109CD">
        <w:rPr>
          <w:lang w:val="en-AU"/>
        </w:rPr>
        <w:tab/>
        <w:t xml:space="preserve">Pers. </w:t>
      </w:r>
      <w:r w:rsidRPr="004F108B">
        <w:rPr>
          <w:lang w:val="en-AU"/>
        </w:rPr>
        <w:t>(astar+ábád, “city of mules”) (“Istarabad”) city (36.842</w:t>
      </w:r>
      <w:r>
        <w:rPr>
          <w:lang w:val="en-AU"/>
        </w:rPr>
        <w:t>300</w:t>
      </w:r>
      <w:r w:rsidRPr="004F108B">
        <w:rPr>
          <w:lang w:val="en-AU"/>
        </w:rPr>
        <w:t>, 54.43351</w:t>
      </w:r>
      <w:r>
        <w:rPr>
          <w:lang w:val="en-AU"/>
        </w:rPr>
        <w:t>8</w:t>
      </w:r>
      <w:r w:rsidRPr="004F108B">
        <w:rPr>
          <w:lang w:val="en-AU"/>
        </w:rPr>
        <w:t>)</w:t>
      </w:r>
      <w:r>
        <w:rPr>
          <w:lang w:val="en-AU"/>
        </w:rPr>
        <w:t xml:space="preserve"> near the </w:t>
      </w:r>
      <w:r w:rsidRPr="004F108B">
        <w:rPr>
          <w:lang w:val="en-AU"/>
        </w:rPr>
        <w:t xml:space="preserve">south eastern </w:t>
      </w:r>
      <w:r>
        <w:rPr>
          <w:lang w:val="en-AU"/>
        </w:rPr>
        <w:t xml:space="preserve">corner of the </w:t>
      </w:r>
      <w:r w:rsidRPr="004F108B">
        <w:rPr>
          <w:lang w:val="en-AU"/>
        </w:rPr>
        <w:t xml:space="preserve">Caspian Sea.  </w:t>
      </w:r>
      <w:r>
        <w:rPr>
          <w:lang w:val="en-AU"/>
        </w:rPr>
        <w:t>Renamed</w:t>
      </w:r>
      <w:r w:rsidRPr="005109CD">
        <w:rPr>
          <w:lang w:val="en-AU"/>
        </w:rPr>
        <w:t xml:space="preserve"> Gúrgán (Gorgán) in 1937.</w:t>
      </w:r>
    </w:p>
    <w:p w14:paraId="685D4EB2" w14:textId="77777777" w:rsidR="00625A5B" w:rsidRPr="008F03E5" w:rsidRDefault="00625A5B" w:rsidP="003B6441">
      <w:pPr>
        <w:pStyle w:val="Translit"/>
        <w:rPr>
          <w:lang w:eastAsia="zh-TW"/>
        </w:rPr>
      </w:pPr>
      <w:r w:rsidRPr="005109CD">
        <w:rPr>
          <w:lang w:val="en-AU"/>
        </w:rPr>
        <w:t>Astarabadi</w:t>
      </w:r>
      <w:r w:rsidRPr="005109CD">
        <w:rPr>
          <w:lang w:val="en-AU"/>
        </w:rPr>
        <w:tab/>
        <w:t>Astarábádí</w:t>
      </w:r>
      <w:r w:rsidRPr="005109CD">
        <w:rPr>
          <w:lang w:val="en-AU"/>
        </w:rPr>
        <w:tab/>
        <w:t xml:space="preserve">Mullá Muḥammad Amín bin Muḥammad </w:t>
      </w:r>
      <w:r w:rsidRPr="005109CD">
        <w:rPr>
          <w:u w:val="single"/>
          <w:lang w:val="en-AU"/>
        </w:rPr>
        <w:t>Sh</w:t>
      </w:r>
      <w:r w:rsidRPr="005109CD">
        <w:rPr>
          <w:lang w:val="en-AU"/>
        </w:rPr>
        <w:t>aríf al-A</w:t>
      </w:r>
      <w:r w:rsidRPr="005109CD">
        <w:rPr>
          <w:u w:val="single"/>
          <w:lang w:val="en-AU"/>
        </w:rPr>
        <w:t>kh</w:t>
      </w:r>
      <w:r w:rsidRPr="005109CD">
        <w:rPr>
          <w:lang w:val="en-AU"/>
        </w:rPr>
        <w:t>bárí Astarábádí was an I</w:t>
      </w:r>
      <w:r w:rsidRPr="008F03E5">
        <w:t>ranian theologian and founder or proponent of the conservative (A</w:t>
      </w:r>
      <w:r w:rsidRPr="008F03E5">
        <w:rPr>
          <w:u w:val="single"/>
        </w:rPr>
        <w:t>kh</w:t>
      </w:r>
      <w:r w:rsidRPr="008F03E5">
        <w:t xml:space="preserve">bárí) strand in Twelver </w:t>
      </w:r>
      <w:r w:rsidRPr="008F03E5">
        <w:rPr>
          <w:u w:val="single"/>
        </w:rPr>
        <w:t>Sh</w:t>
      </w:r>
      <w:r w:rsidRPr="008F03E5">
        <w:t>í‘a Islamic belief, those who favour aḥádí</w:t>
      </w:r>
      <w:r w:rsidRPr="008F03E5">
        <w:rPr>
          <w:u w:val="single"/>
        </w:rPr>
        <w:t>th</w:t>
      </w:r>
      <w:r w:rsidRPr="008F03E5">
        <w:t xml:space="preserve"> over fatáwá.  He opposed the uṣúlí tendency within the Twelver </w:t>
      </w:r>
      <w:r w:rsidRPr="008F03E5">
        <w:rPr>
          <w:u w:val="single"/>
        </w:rPr>
        <w:t>Sh</w:t>
      </w:r>
      <w:r w:rsidRPr="008F03E5">
        <w:t>í‘a tradition.</w:t>
      </w:r>
    </w:p>
    <w:p w14:paraId="5EA1026A" w14:textId="77777777" w:rsidR="00625A5B" w:rsidRPr="008F03E5" w:rsidRDefault="00625A5B" w:rsidP="00A62AE3">
      <w:pPr>
        <w:pStyle w:val="Translit"/>
        <w:rPr>
          <w:lang w:eastAsia="zh-TW"/>
        </w:rPr>
      </w:pPr>
      <w:r w:rsidRPr="008F03E5">
        <w:rPr>
          <w:lang w:eastAsia="zh-TW"/>
        </w:rPr>
        <w:t>Aswad, Sawda (Sauda), Sud, Sudan</w:t>
      </w:r>
      <w:r w:rsidRPr="008F03E5">
        <w:rPr>
          <w:lang w:eastAsia="zh-TW"/>
        </w:rPr>
        <w:tab/>
        <w:t>Aswad, fem. Sawdá, pl. S</w:t>
      </w:r>
      <w:r w:rsidRPr="008F03E5">
        <w:t>ú</w:t>
      </w:r>
      <w:r w:rsidRPr="008F03E5">
        <w:rPr>
          <w:lang w:eastAsia="zh-TW"/>
        </w:rPr>
        <w:t>d</w:t>
      </w:r>
      <w:r w:rsidRPr="008F03E5">
        <w:rPr>
          <w:lang w:eastAsia="zh-TW"/>
        </w:rPr>
        <w:tab/>
        <w:t xml:space="preserve">black; dark-coloured; </w:t>
      </w:r>
      <w:r w:rsidRPr="008F03E5">
        <w:rPr>
          <w:rFonts w:eastAsia="Times New Roman"/>
        </w:rPr>
        <w:t>more or most illustrious or powerful;</w:t>
      </w:r>
      <w:r w:rsidRPr="008F03E5">
        <w:rPr>
          <w:lang w:eastAsia="zh-TW"/>
        </w:rPr>
        <w:t>—pl. súdán a black, Negro.</w:t>
      </w:r>
    </w:p>
    <w:p w14:paraId="61E69118" w14:textId="77777777" w:rsidR="00625A5B" w:rsidRPr="00C30BEA" w:rsidRDefault="00625A5B" w:rsidP="00C30BEA">
      <w:pPr>
        <w:pStyle w:val="Translit"/>
        <w:rPr>
          <w:lang w:val="pl-PL"/>
        </w:rPr>
      </w:pPr>
      <w:r w:rsidRPr="00C30BEA">
        <w:rPr>
          <w:lang w:val="pl-PL"/>
        </w:rPr>
        <w:t>Ata az-Zakata</w:t>
      </w:r>
      <w:r w:rsidRPr="00C30BEA">
        <w:rPr>
          <w:lang w:val="pl-PL"/>
        </w:rPr>
        <w:tab/>
        <w:t>Atá a</w:t>
      </w:r>
      <w:r>
        <w:rPr>
          <w:lang w:val="pl-PL"/>
        </w:rPr>
        <w:t>z</w:t>
      </w:r>
      <w:r w:rsidRPr="00C30BEA">
        <w:rPr>
          <w:lang w:val="pl-PL"/>
        </w:rPr>
        <w:t>-Zakáta</w:t>
      </w:r>
      <w:r w:rsidRPr="00C30BEA">
        <w:rPr>
          <w:lang w:val="pl-PL"/>
        </w:rPr>
        <w:tab/>
        <w:t>to give alms</w:t>
      </w:r>
    </w:p>
    <w:p w14:paraId="655937D5" w14:textId="77777777" w:rsidR="00625A5B" w:rsidRPr="004B5B92" w:rsidRDefault="00625A5B" w:rsidP="006C0470">
      <w:pPr>
        <w:pStyle w:val="Translit"/>
        <w:rPr>
          <w:lang w:val="pl-PL"/>
        </w:rPr>
      </w:pPr>
      <w:r w:rsidRPr="004B5B92">
        <w:rPr>
          <w:lang w:val="pl-PL"/>
        </w:rPr>
        <w:t>Ata, Ityan, Aty, Ma’ta</w:t>
      </w:r>
      <w:r w:rsidRPr="004B5B92">
        <w:rPr>
          <w:lang w:val="pl-PL"/>
        </w:rPr>
        <w:tab/>
        <w:t>Atá (Ityán, Aty, Ma’tá[h])</w:t>
      </w:r>
      <w:r w:rsidRPr="004B5B92">
        <w:rPr>
          <w:lang w:val="pl-PL"/>
        </w:rPr>
        <w:tab/>
        <w:t>to come, arrive</w:t>
      </w:r>
    </w:p>
    <w:p w14:paraId="2ABFD8B9" w14:textId="77777777" w:rsidR="00625A5B" w:rsidRPr="008F03E5" w:rsidRDefault="00625A5B" w:rsidP="009B019E">
      <w:pPr>
        <w:pStyle w:val="Translit"/>
      </w:pPr>
      <w:r w:rsidRPr="004B5B92">
        <w:rPr>
          <w:lang w:val="pl-PL" w:eastAsia="zh-TW"/>
        </w:rPr>
        <w:t>Ata’, ‘Atiya (‘Ata’iyih), A’tiya, ‘Ata’yat,</w:t>
      </w:r>
      <w:r w:rsidRPr="004B5B92">
        <w:rPr>
          <w:lang w:val="pl-PL"/>
        </w:rPr>
        <w:tab/>
      </w:r>
      <w:r w:rsidRPr="004B5B92">
        <w:rPr>
          <w:lang w:val="pl-PL" w:eastAsia="zh-TW"/>
        </w:rPr>
        <w:t>‘A</w:t>
      </w:r>
      <w:r w:rsidRPr="004B5B92">
        <w:rPr>
          <w:lang w:val="pl-PL"/>
        </w:rPr>
        <w:t>ṭ</w:t>
      </w:r>
      <w:r w:rsidRPr="004B5B92">
        <w:rPr>
          <w:lang w:val="pl-PL" w:eastAsia="zh-TW"/>
        </w:rPr>
        <w:t xml:space="preserve">á’, fem. </w:t>
      </w:r>
      <w:r w:rsidRPr="008F03E5">
        <w:rPr>
          <w:lang w:eastAsia="zh-TW"/>
        </w:rPr>
        <w:t>‘Aṭíya[h or t]</w:t>
      </w:r>
      <w:r w:rsidRPr="008F03E5">
        <w:rPr>
          <w:lang w:eastAsia="zh-TW"/>
        </w:rPr>
        <w:tab/>
        <w:t>pl. a‘tiya, ‘a</w:t>
      </w:r>
      <w:r w:rsidRPr="008F03E5">
        <w:t>ṭ</w:t>
      </w:r>
      <w:r w:rsidRPr="008F03E5">
        <w:rPr>
          <w:lang w:eastAsia="zh-TW"/>
        </w:rPr>
        <w:t>á’yá</w:t>
      </w:r>
      <w:r w:rsidRPr="008F03E5">
        <w:t xml:space="preserve">t, fem. </w:t>
      </w:r>
      <w:r w:rsidRPr="008F03E5">
        <w:rPr>
          <w:lang w:eastAsia="zh-TW"/>
        </w:rPr>
        <w:t>‘aṭáyá.  G</w:t>
      </w:r>
      <w:r w:rsidRPr="008F03E5">
        <w:t xml:space="preserve">ift, present;—pl. </w:t>
      </w:r>
      <w:r w:rsidRPr="008F03E5">
        <w:rPr>
          <w:lang w:eastAsia="zh-TW"/>
        </w:rPr>
        <w:t>‘A</w:t>
      </w:r>
      <w:r w:rsidRPr="008F03E5">
        <w:t>ṭ</w:t>
      </w:r>
      <w:r w:rsidRPr="008F03E5">
        <w:rPr>
          <w:lang w:eastAsia="zh-TW"/>
        </w:rPr>
        <w:t>á’yá</w:t>
      </w:r>
      <w:r w:rsidRPr="008F03E5">
        <w:t xml:space="preserve">t offer, tender.  Pers. fem. </w:t>
      </w:r>
      <w:r w:rsidRPr="008F03E5">
        <w:rPr>
          <w:lang w:eastAsia="zh-TW"/>
        </w:rPr>
        <w:t>‘a</w:t>
      </w:r>
      <w:r w:rsidRPr="008F03E5">
        <w:t>ṭ</w:t>
      </w:r>
      <w:r w:rsidRPr="008F03E5">
        <w:rPr>
          <w:lang w:eastAsia="zh-TW"/>
        </w:rPr>
        <w:t>a’</w:t>
      </w:r>
      <w:r w:rsidRPr="008F03E5">
        <w:t>í</w:t>
      </w:r>
      <w:r w:rsidRPr="008F03E5">
        <w:rPr>
          <w:lang w:eastAsia="zh-TW"/>
        </w:rPr>
        <w:t>yih, “‘a</w:t>
      </w:r>
      <w:r w:rsidRPr="008F03E5">
        <w:t>ṭ</w:t>
      </w:r>
      <w:r w:rsidRPr="008F03E5">
        <w:rPr>
          <w:lang w:eastAsia="zh-TW"/>
        </w:rPr>
        <w:t>a’</w:t>
      </w:r>
      <w:r w:rsidRPr="008F03E5">
        <w:t>í</w:t>
      </w:r>
      <w:r w:rsidRPr="008F03E5">
        <w:rPr>
          <w:lang w:eastAsia="zh-TW"/>
        </w:rPr>
        <w:t>yyih”</w:t>
      </w:r>
      <w:r w:rsidRPr="008F03E5">
        <w:t>, “ataieh”.  ‘Alí Akbar Furútan married ‘Aṭá’íyyih ‘Azíz-</w:t>
      </w:r>
      <w:r w:rsidRPr="008F03E5">
        <w:rPr>
          <w:u w:val="single"/>
        </w:rPr>
        <w:t>Kh</w:t>
      </w:r>
      <w:r w:rsidRPr="008F03E5">
        <w:t>urásání in 1931.</w:t>
      </w:r>
    </w:p>
    <w:p w14:paraId="1CE9EBBA" w14:textId="77777777" w:rsidR="00625A5B" w:rsidRPr="008F03E5" w:rsidRDefault="00625A5B" w:rsidP="00F87A63">
      <w:pPr>
        <w:pStyle w:val="Translit"/>
      </w:pPr>
      <w:r w:rsidRPr="008F03E5">
        <w:t>Ata’u’llah</w:t>
      </w:r>
      <w:r w:rsidRPr="008F03E5">
        <w:tab/>
        <w:t>‘Aṭá’u’lláh</w:t>
      </w:r>
      <w:r w:rsidRPr="008F03E5">
        <w:tab/>
        <w:t>Gift of God</w:t>
      </w:r>
    </w:p>
    <w:p w14:paraId="55051317" w14:textId="77777777" w:rsidR="00625A5B" w:rsidRPr="008F03E5" w:rsidRDefault="00625A5B" w:rsidP="00F87A63">
      <w:pPr>
        <w:pStyle w:val="Translit"/>
      </w:pPr>
      <w:r w:rsidRPr="00077779">
        <w:rPr>
          <w:lang w:val="es-ES_tradnl"/>
        </w:rPr>
        <w:t>Ataba, ‘Atab, A’tab</w:t>
      </w:r>
      <w:r w:rsidRPr="00077779">
        <w:rPr>
          <w:lang w:val="es-ES_tradnl"/>
        </w:rPr>
        <w:tab/>
        <w:t xml:space="preserve">‘Ataba[h or t], pl. </w:t>
      </w:r>
      <w:r w:rsidRPr="008F03E5">
        <w:t>‘Atab, A‘táb</w:t>
      </w:r>
      <w:r w:rsidRPr="008F03E5">
        <w:tab/>
        <w:t>doorstep, threshold; (door) lintel; also al-‘Ataba[h] al-‘ulyá step, stair; ‘Utbah masc. name</w:t>
      </w:r>
    </w:p>
    <w:p w14:paraId="3EBA2F00" w14:textId="77777777" w:rsidR="00625A5B" w:rsidRPr="008F03E5" w:rsidRDefault="00625A5B" w:rsidP="00757E2F">
      <w:pPr>
        <w:pStyle w:val="Translit"/>
      </w:pPr>
      <w:r w:rsidRPr="005D5AAC">
        <w:rPr>
          <w:lang w:val="es-ES_tradnl"/>
        </w:rPr>
        <w:t>Ataba, ‘Atab, A’tab, ‘Atabat</w:t>
      </w:r>
      <w:r w:rsidRPr="005D5AAC">
        <w:rPr>
          <w:lang w:val="es-ES_tradnl"/>
        </w:rPr>
        <w:tab/>
        <w:t xml:space="preserve">‘Ataba[h or t], pl. </w:t>
      </w:r>
      <w:r w:rsidRPr="008F03E5">
        <w:t>‘Atab, A‘tab, ‘Atabát</w:t>
      </w:r>
      <w:r w:rsidRPr="008F03E5">
        <w:tab/>
        <w:t>a gate, a port; the threshold; the lintel of a door; the round of a ladder, a step; a royal court; anything adverse or disagreeable.  Also ‘Ataba[h or t] ‘ulyá, step or stair.  Plural:  steps, thresholds.  “‘Atabát”, the Shi’ite holy shrines in Iraq and the cities where they are located:  the tombs of the first six Imams; and the cities of Karbalá’, Najaf, Káẓimayn, and Sámarrá.  See al-‘Atabát al-‘Álíyát.</w:t>
      </w:r>
    </w:p>
    <w:p w14:paraId="07A9DE15" w14:textId="77777777" w:rsidR="00625A5B" w:rsidRPr="008F03E5" w:rsidRDefault="00625A5B" w:rsidP="00F87A63">
      <w:pPr>
        <w:pStyle w:val="Translit"/>
      </w:pPr>
      <w:r w:rsidRPr="008F03E5">
        <w:t>Atabak</w:t>
      </w:r>
      <w:r w:rsidRPr="008F03E5">
        <w:tab/>
        <w:t>Atábak</w:t>
      </w:r>
      <w:r w:rsidRPr="008F03E5">
        <w:tab/>
        <w:t xml:space="preserve">Pers. (from </w:t>
      </w:r>
      <w:r w:rsidRPr="008F03E5">
        <w:rPr>
          <w:i/>
          <w:iCs/>
        </w:rPr>
        <w:t>atá</w:t>
      </w:r>
      <w:r w:rsidRPr="008F03E5">
        <w:t xml:space="preserve">, a father, and </w:t>
      </w:r>
      <w:r w:rsidRPr="008F03E5">
        <w:rPr>
          <w:i/>
          <w:iCs/>
        </w:rPr>
        <w:t>bak</w:t>
      </w:r>
      <w:r w:rsidRPr="008F03E5">
        <w:t>, a lord), the lord father (a title given to the governors of Shiraz); a guardian, preceptor, teacher; the prime minister, or vizir; honorary title of an amír</w:t>
      </w:r>
    </w:p>
    <w:p w14:paraId="1AB97F42" w14:textId="77777777" w:rsidR="00625A5B" w:rsidRPr="008F03E5" w:rsidRDefault="00625A5B" w:rsidP="00F87A63">
      <w:pPr>
        <w:pStyle w:val="Translit"/>
      </w:pPr>
      <w:r w:rsidRPr="008F03E5">
        <w:t>Atabak-i-A’zam (Atabik-i-A’zam)</w:t>
      </w:r>
      <w:r w:rsidRPr="008F03E5">
        <w:tab/>
        <w:t>Atábak-i-A‘ẓam</w:t>
      </w:r>
      <w:r w:rsidRPr="008F03E5">
        <w:tab/>
        <w:t>title of Mírzá ‘Alí-As</w:t>
      </w:r>
      <w:r w:rsidRPr="008F03E5">
        <w:rPr>
          <w:u w:val="single"/>
        </w:rPr>
        <w:t>gh</w:t>
      </w:r>
      <w:r w:rsidRPr="008F03E5">
        <w:t xml:space="preserve">ar </w:t>
      </w:r>
      <w:r w:rsidRPr="008F03E5">
        <w:rPr>
          <w:u w:val="single"/>
        </w:rPr>
        <w:t>Kh</w:t>
      </w:r>
      <w:r w:rsidRPr="008F03E5">
        <w:t>án</w:t>
      </w:r>
    </w:p>
    <w:p w14:paraId="5953C038" w14:textId="77777777" w:rsidR="00625A5B" w:rsidRPr="008F03E5" w:rsidRDefault="00625A5B" w:rsidP="00F87A63">
      <w:pPr>
        <w:pStyle w:val="Translit"/>
      </w:pPr>
      <w:r w:rsidRPr="00077779">
        <w:t>Atabat al-‘Ali, Atabat-i-Aliyat</w:t>
      </w:r>
      <w:r w:rsidRPr="00077779">
        <w:tab/>
        <w:t>al-‘Atabát al-‘Álíyát</w:t>
      </w:r>
      <w:r w:rsidRPr="00077779">
        <w:tab/>
        <w:t xml:space="preserve">(Pers. </w:t>
      </w:r>
      <w:r w:rsidRPr="008F03E5">
        <w:t xml:space="preserve">‘Atabát-i-‘Álíyát) (lit. Supreme Shrines).  Bahá’í Shrines of the Báb and Bahá’u’lláh.  Applied by </w:t>
      </w:r>
      <w:r w:rsidRPr="008F03E5">
        <w:rPr>
          <w:u w:val="single"/>
        </w:rPr>
        <w:t>Sh</w:t>
      </w:r>
      <w:r w:rsidRPr="008F03E5">
        <w:t>í‘a Muslims to the cities of Karbalá’, Najaf, Káẓimayn and Sámarrá.  Also known as al-‘Atabát al-Muqaddasa (“holy doorsteps”).</w:t>
      </w:r>
    </w:p>
    <w:p w14:paraId="7D021BDA" w14:textId="77777777" w:rsidR="00625A5B" w:rsidRPr="008F03E5" w:rsidRDefault="00625A5B" w:rsidP="00F87A63">
      <w:pPr>
        <w:pStyle w:val="Translit"/>
      </w:pPr>
      <w:r w:rsidRPr="008F03E5">
        <w:t>Ataturk</w:t>
      </w:r>
      <w:r w:rsidRPr="008F03E5">
        <w:tab/>
        <w:t>Atatürk</w:t>
      </w:r>
      <w:r w:rsidRPr="008F03E5">
        <w:tab/>
        <w:t>Turkish (Ata + türk, father of the turks) honorific surname given to Muṣṭafá Kemál Pá</w:t>
      </w:r>
      <w:r w:rsidRPr="008F03E5">
        <w:rPr>
          <w:u w:val="single"/>
        </w:rPr>
        <w:t>sh</w:t>
      </w:r>
      <w:r w:rsidRPr="008F03E5">
        <w:t>á</w:t>
      </w:r>
    </w:p>
    <w:p w14:paraId="54F36F88" w14:textId="77777777" w:rsidR="00625A5B" w:rsidRPr="008F03E5" w:rsidRDefault="00625A5B" w:rsidP="00F87A63">
      <w:pPr>
        <w:pStyle w:val="Translit"/>
        <w:rPr>
          <w:rFonts w:eastAsia="PMingLiU"/>
          <w:lang w:eastAsia="zh-TW"/>
        </w:rPr>
      </w:pPr>
      <w:r w:rsidRPr="008F03E5">
        <w:rPr>
          <w:rFonts w:eastAsia="PMingLiU"/>
          <w:lang w:eastAsia="zh-TW"/>
        </w:rPr>
        <w:t>Athar</w:t>
      </w:r>
      <w:r w:rsidRPr="008F03E5">
        <w:rPr>
          <w:rFonts w:eastAsia="PMingLiU"/>
          <w:lang w:eastAsia="zh-TW"/>
        </w:rPr>
        <w:tab/>
        <w:t>A</w:t>
      </w:r>
      <w:r w:rsidRPr="008F03E5">
        <w:t>ṭ</w:t>
      </w:r>
      <w:r w:rsidRPr="008F03E5">
        <w:rPr>
          <w:rFonts w:eastAsia="PMingLiU"/>
          <w:lang w:eastAsia="zh-TW"/>
        </w:rPr>
        <w:t>har</w:t>
      </w:r>
      <w:r w:rsidRPr="008F03E5">
        <w:rPr>
          <w:rFonts w:eastAsia="PMingLiU"/>
          <w:lang w:eastAsia="zh-TW"/>
        </w:rPr>
        <w:tab/>
        <w:t>Pers. more or most pure</w:t>
      </w:r>
    </w:p>
    <w:p w14:paraId="1A0A9F7B" w14:textId="77777777" w:rsidR="00625A5B" w:rsidRPr="008F03E5" w:rsidRDefault="00625A5B" w:rsidP="0064467B">
      <w:pPr>
        <w:pStyle w:val="Translit"/>
        <w:rPr>
          <w:lang w:eastAsia="zh-TW"/>
        </w:rPr>
      </w:pPr>
      <w:r w:rsidRPr="008F03E5">
        <w:rPr>
          <w:lang w:eastAsia="zh-TW"/>
        </w:rPr>
        <w:t>Athar</w:t>
      </w:r>
      <w:r w:rsidRPr="008F03E5">
        <w:rPr>
          <w:lang w:eastAsia="zh-TW"/>
        </w:rPr>
        <w:tab/>
        <w:t>A</w:t>
      </w:r>
      <w:r w:rsidRPr="008F03E5">
        <w:rPr>
          <w:u w:val="single"/>
        </w:rPr>
        <w:t>th</w:t>
      </w:r>
      <w:r w:rsidRPr="008F03E5">
        <w:t>ar, pl. Á</w:t>
      </w:r>
      <w:r w:rsidRPr="008F03E5">
        <w:rPr>
          <w:u w:val="single"/>
        </w:rPr>
        <w:t>th</w:t>
      </w:r>
      <w:r w:rsidRPr="008F03E5">
        <w:rPr>
          <w:lang w:eastAsia="zh-TW"/>
        </w:rPr>
        <w:t>ár</w:t>
      </w:r>
      <w:r w:rsidRPr="008F03E5">
        <w:rPr>
          <w:lang w:eastAsia="zh-TW"/>
        </w:rPr>
        <w:tab/>
        <w:t>track, trace, vestige; sign, mark; touch; impression, effect, action, influence (on); tradition (relating the deeds and utterances of Mu</w:t>
      </w:r>
      <w:r w:rsidRPr="008F03E5">
        <w:t>ḥ</w:t>
      </w:r>
      <w:r w:rsidRPr="008F03E5">
        <w:rPr>
          <w:lang w:eastAsia="zh-TW"/>
        </w:rPr>
        <w:t>ammad and his Companions); work (of art, especially of literature); ancient monument</w:t>
      </w:r>
      <w:r w:rsidRPr="008F03E5">
        <w:t>;—pl. also antiquities; remnants, vestiges; (religious) relics</w:t>
      </w:r>
    </w:p>
    <w:p w14:paraId="2494FAD1" w14:textId="77777777" w:rsidR="00625A5B" w:rsidRPr="008F03E5" w:rsidRDefault="00625A5B" w:rsidP="004D3FA5">
      <w:pPr>
        <w:pStyle w:val="Translit"/>
      </w:pPr>
      <w:r w:rsidRPr="008F03E5">
        <w:t>Athar-i Qalam-i A’la</w:t>
      </w:r>
      <w:r w:rsidRPr="008F03E5">
        <w:tab/>
        <w:t>A</w:t>
      </w:r>
      <w:r w:rsidRPr="008F03E5">
        <w:rPr>
          <w:u w:val="single"/>
        </w:rPr>
        <w:t>th</w:t>
      </w:r>
      <w:r w:rsidRPr="008F03E5">
        <w:t>ar-i-Qalam-i-A‘la</w:t>
      </w:r>
      <w:r w:rsidRPr="008F03E5">
        <w:tab/>
        <w:t>“Traces of the Most High Pen”.  Collected Tablets of Bahá’u’lláh in Arabic and Persian</w:t>
      </w:r>
    </w:p>
    <w:p w14:paraId="0266E232" w14:textId="77777777" w:rsidR="00625A5B" w:rsidRPr="008F03E5" w:rsidRDefault="00625A5B" w:rsidP="004D3FA5">
      <w:pPr>
        <w:pStyle w:val="Translit"/>
        <w:rPr>
          <w:lang w:eastAsia="zh-TW"/>
        </w:rPr>
      </w:pPr>
      <w:r w:rsidRPr="008F03E5">
        <w:rPr>
          <w:lang w:eastAsia="zh-TW"/>
        </w:rPr>
        <w:t>Ath</w:t>
      </w:r>
      <w:r w:rsidRPr="008F03E5">
        <w:t>a</w:t>
      </w:r>
      <w:r w:rsidRPr="008F03E5">
        <w:rPr>
          <w:lang w:eastAsia="zh-TW"/>
        </w:rPr>
        <w:t>ri</w:t>
      </w:r>
      <w:r w:rsidRPr="008F03E5">
        <w:tab/>
      </w:r>
      <w:r w:rsidRPr="008F03E5">
        <w:rPr>
          <w:lang w:eastAsia="zh-TW"/>
        </w:rPr>
        <w:t>A</w:t>
      </w:r>
      <w:r w:rsidRPr="008F03E5">
        <w:rPr>
          <w:u w:val="single"/>
        </w:rPr>
        <w:t>th</w:t>
      </w:r>
      <w:r w:rsidRPr="008F03E5">
        <w:t>arí, Á</w:t>
      </w:r>
      <w:r w:rsidRPr="008F03E5">
        <w:rPr>
          <w:u w:val="single"/>
        </w:rPr>
        <w:t>th</w:t>
      </w:r>
      <w:r w:rsidRPr="008F03E5">
        <w:t>á</w:t>
      </w:r>
      <w:r w:rsidRPr="008F03E5">
        <w:rPr>
          <w:lang w:eastAsia="zh-TW"/>
        </w:rPr>
        <w:t>rí</w:t>
      </w:r>
      <w:r w:rsidRPr="008F03E5">
        <w:tab/>
        <w:t>archaeologic(al); archaeologist; old, ancient, antique</w:t>
      </w:r>
    </w:p>
    <w:p w14:paraId="40004978" w14:textId="77777777" w:rsidR="00625A5B" w:rsidRPr="008F03E5" w:rsidRDefault="00625A5B" w:rsidP="00F87A63">
      <w:pPr>
        <w:pStyle w:val="Translit"/>
      </w:pPr>
      <w:r w:rsidRPr="008F03E5">
        <w:t>Athim, Athama, Uthama’</w:t>
      </w:r>
      <w:r w:rsidRPr="008F03E5">
        <w:tab/>
        <w:t>Á</w:t>
      </w:r>
      <w:r w:rsidRPr="008F03E5">
        <w:rPr>
          <w:u w:val="single"/>
        </w:rPr>
        <w:t>th</w:t>
      </w:r>
      <w:r w:rsidRPr="008F03E5">
        <w:t>im, pl. A</w:t>
      </w:r>
      <w:r w:rsidRPr="008F03E5">
        <w:rPr>
          <w:u w:val="single"/>
        </w:rPr>
        <w:t>th</w:t>
      </w:r>
      <w:r w:rsidRPr="008F03E5">
        <w:t>ama, A</w:t>
      </w:r>
      <w:r w:rsidRPr="008F03E5">
        <w:rPr>
          <w:u w:val="single"/>
        </w:rPr>
        <w:t>th</w:t>
      </w:r>
      <w:r w:rsidRPr="008F03E5">
        <w:t>ím, U</w:t>
      </w:r>
      <w:r w:rsidRPr="008F03E5">
        <w:rPr>
          <w:u w:val="single"/>
        </w:rPr>
        <w:t>th</w:t>
      </w:r>
      <w:r w:rsidRPr="008F03E5">
        <w:t>amá’</w:t>
      </w:r>
      <w:r w:rsidRPr="008F03E5">
        <w:tab/>
        <w:t>sinful, criminal, wicked, evil; sinner</w:t>
      </w:r>
    </w:p>
    <w:p w14:paraId="660F4800" w14:textId="77777777" w:rsidR="00625A5B" w:rsidRPr="008F03E5" w:rsidRDefault="00625A5B" w:rsidP="00F87A63">
      <w:pPr>
        <w:pStyle w:val="Translit"/>
      </w:pPr>
      <w:r w:rsidRPr="008F03E5">
        <w:t>Athir</w:t>
      </w:r>
      <w:r w:rsidRPr="008F03E5">
        <w:tab/>
        <w:t>A</w:t>
      </w:r>
      <w:r w:rsidRPr="008F03E5">
        <w:rPr>
          <w:u w:val="single"/>
        </w:rPr>
        <w:t>th</w:t>
      </w:r>
      <w:r w:rsidRPr="008F03E5">
        <w:t>ír</w:t>
      </w:r>
      <w:r w:rsidRPr="008F03E5">
        <w:tab/>
        <w:t>marking; marked, chosen, selected;—(from Greek αίθήρ) sky, ether; fire as an element.  Pers. the sphere of fire; the sun; tears</w:t>
      </w:r>
    </w:p>
    <w:p w14:paraId="734A1CCF" w14:textId="77777777" w:rsidR="00625A5B" w:rsidRPr="008F03E5" w:rsidRDefault="00625A5B" w:rsidP="00664060">
      <w:pPr>
        <w:pStyle w:val="Translit"/>
      </w:pPr>
      <w:r w:rsidRPr="008F03E5">
        <w:t>Athiriy, Athiriya</w:t>
      </w:r>
      <w:r w:rsidRPr="008F03E5">
        <w:tab/>
        <w:t>A</w:t>
      </w:r>
      <w:r w:rsidRPr="008F03E5">
        <w:rPr>
          <w:u w:val="single"/>
        </w:rPr>
        <w:t>th</w:t>
      </w:r>
      <w:r w:rsidRPr="008F03E5">
        <w:t>íriy, fem. A</w:t>
      </w:r>
      <w:r w:rsidRPr="008F03E5">
        <w:rPr>
          <w:u w:val="single"/>
        </w:rPr>
        <w:t>th</w:t>
      </w:r>
      <w:r w:rsidRPr="008F03E5">
        <w:t>íríya</w:t>
      </w:r>
      <w:r w:rsidRPr="008F03E5">
        <w:tab/>
        <w:t>ethereal</w:t>
      </w:r>
    </w:p>
    <w:p w14:paraId="7D403837" w14:textId="77777777" w:rsidR="00625A5B" w:rsidRPr="008F03E5" w:rsidRDefault="00625A5B" w:rsidP="00F87A63">
      <w:pPr>
        <w:pStyle w:val="Translit"/>
        <w:rPr>
          <w:rFonts w:eastAsia="PMingLiU"/>
          <w:lang w:eastAsia="zh-TW"/>
        </w:rPr>
      </w:pPr>
      <w:r w:rsidRPr="008F03E5">
        <w:t>A</w:t>
      </w:r>
      <w:r w:rsidRPr="008F03E5">
        <w:rPr>
          <w:rFonts w:eastAsia="PMingLiU"/>
          <w:lang w:eastAsia="zh-TW"/>
        </w:rPr>
        <w:t>tifi</w:t>
      </w:r>
      <w:r w:rsidRPr="008F03E5">
        <w:tab/>
      </w:r>
      <w:r w:rsidRPr="008F03E5">
        <w:rPr>
          <w:rFonts w:eastAsia="PMingLiU"/>
          <w:lang w:eastAsia="zh-TW"/>
        </w:rPr>
        <w:t>‘</w:t>
      </w:r>
      <w:r w:rsidRPr="008F03E5">
        <w:t>Áṭ</w:t>
      </w:r>
      <w:r w:rsidRPr="008F03E5">
        <w:rPr>
          <w:rFonts w:eastAsia="PMingLiU"/>
          <w:lang w:eastAsia="zh-TW"/>
        </w:rPr>
        <w:t>ifí</w:t>
      </w:r>
      <w:r w:rsidRPr="008F03E5">
        <w:tab/>
        <w:t>sentimental; emotional; emotive, feeling; tender, affectionate, loving</w:t>
      </w:r>
    </w:p>
    <w:p w14:paraId="23B9A253" w14:textId="77777777" w:rsidR="00625A5B" w:rsidRPr="008F03E5" w:rsidRDefault="00625A5B" w:rsidP="0064467B">
      <w:pPr>
        <w:pStyle w:val="Translit"/>
      </w:pPr>
      <w:r w:rsidRPr="008F03E5">
        <w:t>Atiq</w:t>
      </w:r>
      <w:r w:rsidRPr="008F03E5">
        <w:tab/>
        <w:t>‘Atíq</w:t>
      </w:r>
      <w:r w:rsidRPr="008F03E5">
        <w:tab/>
        <w:t>old, ancient, antique; matured, mellowed, aged (wine); of ancient tradition, long-standing; antiquated, outmoded, obsolete; free, emancipated (slave); noble</w:t>
      </w:r>
    </w:p>
    <w:p w14:paraId="239505DF" w14:textId="77777777" w:rsidR="00625A5B" w:rsidRPr="008F03E5" w:rsidRDefault="00625A5B" w:rsidP="0064467B">
      <w:pPr>
        <w:pStyle w:val="Translit"/>
      </w:pPr>
      <w:r w:rsidRPr="008F03E5">
        <w:rPr>
          <w:rFonts w:eastAsia="Times New Roman"/>
        </w:rPr>
        <w:t>Atir, ‘Atira</w:t>
      </w:r>
      <w:r w:rsidRPr="008F03E5">
        <w:rPr>
          <w:rFonts w:eastAsia="Times New Roman"/>
        </w:rPr>
        <w:tab/>
        <w:t>‘A</w:t>
      </w:r>
      <w:r w:rsidRPr="008F03E5">
        <w:t>ṭ</w:t>
      </w:r>
      <w:r w:rsidRPr="008F03E5">
        <w:rPr>
          <w:rFonts w:eastAsia="Times New Roman"/>
        </w:rPr>
        <w:t>ir, fem. ‘A</w:t>
      </w:r>
      <w:r w:rsidRPr="008F03E5">
        <w:t>ṭ</w:t>
      </w:r>
      <w:r w:rsidRPr="008F03E5">
        <w:rPr>
          <w:rFonts w:eastAsia="Times New Roman"/>
        </w:rPr>
        <w:t>ira[t]</w:t>
      </w:r>
      <w:r w:rsidRPr="008F03E5">
        <w:rPr>
          <w:rFonts w:eastAsia="Times New Roman"/>
        </w:rPr>
        <w:tab/>
        <w:t>sweet-smelling, fragrant, aromatic; perfumed, scented</w:t>
      </w:r>
    </w:p>
    <w:p w14:paraId="270F0CF0" w14:textId="77777777" w:rsidR="00625A5B" w:rsidRPr="008F03E5" w:rsidRDefault="00625A5B" w:rsidP="00F87A63">
      <w:pPr>
        <w:pStyle w:val="Translit"/>
      </w:pPr>
      <w:r w:rsidRPr="008F03E5">
        <w:t>Atish</w:t>
      </w:r>
      <w:r w:rsidRPr="008F03E5">
        <w:tab/>
        <w:t>Áti</w:t>
      </w:r>
      <w:r w:rsidRPr="008F03E5">
        <w:rPr>
          <w:u w:val="single"/>
        </w:rPr>
        <w:t>sh</w:t>
      </w:r>
      <w:r w:rsidRPr="008F03E5">
        <w:tab/>
        <w:t>Pers. fire; light, splendour; rage; levity, fickleness; valour, value, dignity; dearness, scarceness; (metaphorically) the Devil; a courageous man, bold, brave; a lover; fire of Jove; desire, appetite, greed; digestive heat; sulphur.  ‘Abdu’l-Bahá said Marzieh Gale had áti</w:t>
      </w:r>
      <w:r w:rsidRPr="008F03E5">
        <w:rPr>
          <w:u w:val="single"/>
        </w:rPr>
        <w:t>sh</w:t>
      </w:r>
      <w:r w:rsidRPr="008F03E5">
        <w:t xml:space="preserve"> and namak.  </w:t>
      </w:r>
      <w:r w:rsidRPr="008F03E5">
        <w:rPr>
          <w:i/>
          <w:iCs/>
        </w:rPr>
        <w:t>Arches of the years</w:t>
      </w:r>
      <w:r w:rsidRPr="008F03E5">
        <w:t>, p. 87.</w:t>
      </w:r>
    </w:p>
    <w:p w14:paraId="07700D43" w14:textId="77777777" w:rsidR="00625A5B" w:rsidRPr="008F03E5" w:rsidRDefault="00625A5B" w:rsidP="00F87A63">
      <w:pPr>
        <w:pStyle w:val="Translit"/>
      </w:pPr>
      <w:r w:rsidRPr="008F03E5">
        <w:t>Atish-Parast (Atishparast, Atishparastan)</w:t>
      </w:r>
      <w:r w:rsidRPr="008F03E5">
        <w:tab/>
        <w:t>Áti</w:t>
      </w:r>
      <w:r w:rsidRPr="008F03E5">
        <w:rPr>
          <w:u w:val="single"/>
        </w:rPr>
        <w:t>sh</w:t>
      </w:r>
      <w:r w:rsidRPr="008F03E5">
        <w:t>-Parast, pl. Áti</w:t>
      </w:r>
      <w:r w:rsidRPr="008F03E5">
        <w:rPr>
          <w:u w:val="single"/>
        </w:rPr>
        <w:t>sh</w:t>
      </w:r>
      <w:r w:rsidRPr="008F03E5">
        <w:t>-Parastán</w:t>
      </w:r>
      <w:r w:rsidRPr="008F03E5">
        <w:tab/>
        <w:t>fire-worshippers</w:t>
      </w:r>
    </w:p>
    <w:p w14:paraId="70B96E0C" w14:textId="77777777" w:rsidR="00625A5B" w:rsidRPr="008F03E5" w:rsidRDefault="00625A5B" w:rsidP="00F87A63">
      <w:pPr>
        <w:pStyle w:val="Translit"/>
      </w:pPr>
      <w:r w:rsidRPr="008F03E5">
        <w:t>Atiya, ‘Ataya</w:t>
      </w:r>
      <w:r w:rsidRPr="008F03E5">
        <w:tab/>
        <w:t>‘Aṭíya[h or t], pl. ‘Aṭáyá</w:t>
      </w:r>
      <w:r w:rsidRPr="008F03E5">
        <w:tab/>
        <w:t>(Pers. also ‘Atíyya[h]) gift, present</w:t>
      </w:r>
    </w:p>
    <w:p w14:paraId="14BFB0BB" w14:textId="77777777" w:rsidR="00625A5B" w:rsidRPr="008F03E5" w:rsidRDefault="00625A5B" w:rsidP="00F025D3">
      <w:pPr>
        <w:pStyle w:val="Translit"/>
      </w:pPr>
      <w:r w:rsidRPr="008F03E5">
        <w:t>Atlit (Athlit)</w:t>
      </w:r>
      <w:r w:rsidRPr="008F03E5">
        <w:tab/>
        <w:t>‘Atlít</w:t>
      </w:r>
      <w:r w:rsidRPr="008F03E5">
        <w:tab/>
        <w:t>Hebrew.  Atlit is a coastal town 14 km south of Haifa.  It was a Crusader outpost until 1291.  The ruins of the Crusader Château Pèlerin or Atlit Castle (1218–1291) are 1.5 km to the north on a small peninsula.</w:t>
      </w:r>
    </w:p>
    <w:p w14:paraId="18EBBED7" w14:textId="77777777" w:rsidR="00625A5B" w:rsidRPr="008F03E5" w:rsidRDefault="00625A5B" w:rsidP="00F87A63">
      <w:pPr>
        <w:pStyle w:val="Translit"/>
      </w:pPr>
      <w:r w:rsidRPr="008F03E5">
        <w:t>Atqan</w:t>
      </w:r>
      <w:r w:rsidRPr="008F03E5">
        <w:tab/>
        <w:t>Atqan</w:t>
      </w:r>
      <w:r w:rsidRPr="008F03E5">
        <w:tab/>
        <w:t>more perfect, more thorough</w:t>
      </w:r>
    </w:p>
    <w:p w14:paraId="27050DD5" w14:textId="77777777" w:rsidR="00625A5B" w:rsidRPr="008F03E5" w:rsidRDefault="00625A5B" w:rsidP="008B50A4">
      <w:pPr>
        <w:pStyle w:val="Translit"/>
      </w:pPr>
      <w:r w:rsidRPr="008F03E5">
        <w:t>Attar, ‘Attara</w:t>
      </w:r>
      <w:r w:rsidRPr="008F03E5">
        <w:tab/>
        <w:t>‘Aṭṭár, fem. ‘Aṭṭára[h or t]</w:t>
      </w:r>
      <w:r w:rsidRPr="008F03E5">
        <w:tab/>
        <w:t xml:space="preserve">1.  perfumer, perfume vendor; druggist; 2.  sweet-smelling, fragrant, aromatic.  From the form </w:t>
      </w:r>
      <w:r w:rsidRPr="008F03E5">
        <w:rPr>
          <w:sz w:val="16"/>
          <w:szCs w:val="16"/>
        </w:rPr>
        <w:t>II</w:t>
      </w:r>
      <w:r w:rsidRPr="008F03E5">
        <w:t xml:space="preserve"> root </w:t>
      </w:r>
      <w:r w:rsidRPr="008F03E5">
        <w:rPr>
          <w:rtl/>
        </w:rPr>
        <w:t>عطّر</w:t>
      </w:r>
      <w:r w:rsidRPr="008F03E5">
        <w:t>.  Abú Ḥamíd bin Abú Bakr Ibráhím (c. 1145–c. 1221), better known by his pen-names Faríd ud-Dín and ‘Aṭṭár (apothecary), was a 12th-century Persian poet, theoretician of Sufism, and hagiographer from Ní</w:t>
      </w:r>
      <w:r w:rsidRPr="008F03E5">
        <w:rPr>
          <w:u w:val="single"/>
        </w:rPr>
        <w:t>sh</w:t>
      </w:r>
      <w:r w:rsidRPr="008F03E5">
        <w:t>ápur who had an immense and lasting influence on Persian poetry and Sufism.  Manṭiq-uṭ-Ṭayr (“The Conference of the Birds”) and Iláhí-Náma (“The Book of Divine”) are among his most famous works.</w:t>
      </w:r>
    </w:p>
    <w:p w14:paraId="07F0620C" w14:textId="77777777" w:rsidR="00625A5B" w:rsidRPr="008F03E5" w:rsidRDefault="00625A5B" w:rsidP="001C7F58">
      <w:pPr>
        <w:pStyle w:val="Translit"/>
      </w:pPr>
      <w:r w:rsidRPr="008F03E5">
        <w:t>Attari</w:t>
      </w:r>
      <w:r w:rsidRPr="008F03E5">
        <w:tab/>
        <w:t>‘Aṭṭárí</w:t>
      </w:r>
      <w:r w:rsidRPr="008F03E5">
        <w:tab/>
        <w:t>of or relating to a druggist; the business of a perfumer or druggist</w:t>
      </w:r>
    </w:p>
    <w:p w14:paraId="2BEE2CA5" w14:textId="77777777" w:rsidR="00625A5B" w:rsidRPr="008F03E5" w:rsidRDefault="00625A5B" w:rsidP="00F25ED9">
      <w:pPr>
        <w:pStyle w:val="Translit"/>
      </w:pPr>
      <w:r w:rsidRPr="008F03E5">
        <w:t>Atuf</w:t>
      </w:r>
      <w:r w:rsidRPr="008F03E5">
        <w:tab/>
        <w:t>‘Aṭúf</w:t>
      </w:r>
      <w:r w:rsidRPr="008F03E5">
        <w:tab/>
        <w:t>compassionate, sympathetic, affectionate, loving, tender, kind</w:t>
      </w:r>
    </w:p>
    <w:p w14:paraId="6B3377F3" w14:textId="77777777" w:rsidR="00625A5B" w:rsidRPr="008F03E5" w:rsidRDefault="00625A5B" w:rsidP="00F87A63">
      <w:pPr>
        <w:pStyle w:val="Translit"/>
      </w:pPr>
      <w:r w:rsidRPr="008F03E5">
        <w:t>Atyab, Atyaban, Atayib</w:t>
      </w:r>
      <w:r w:rsidRPr="008F03E5">
        <w:tab/>
        <w:t xml:space="preserve">Aṭyab, dual </w:t>
      </w:r>
      <w:r w:rsidRPr="008F03E5">
        <w:rPr>
          <w:rFonts w:eastAsia="Times New Roman"/>
        </w:rPr>
        <w:t>A</w:t>
      </w:r>
      <w:r w:rsidRPr="008F03E5">
        <w:t>ṭ</w:t>
      </w:r>
      <w:r w:rsidRPr="008F03E5">
        <w:rPr>
          <w:rFonts w:eastAsia="Times New Roman"/>
        </w:rPr>
        <w:t xml:space="preserve">yabán, </w:t>
      </w:r>
      <w:r w:rsidRPr="008F03E5">
        <w:t>pl. Aṭáyib</w:t>
      </w:r>
      <w:r w:rsidRPr="008F03E5">
        <w:tab/>
        <w:t>better</w:t>
      </w:r>
      <w:r w:rsidRPr="008F03E5">
        <w:rPr>
          <w:rFonts w:eastAsia="Times New Roman"/>
        </w:rPr>
        <w:t>, best, more or most sweet, fragrant, delicate, pleasant, delightful</w:t>
      </w:r>
      <w:r w:rsidRPr="008F03E5">
        <w:t>;</w:t>
      </w:r>
      <w:r w:rsidRPr="008F03E5">
        <w:rPr>
          <w:rFonts w:eastAsia="Times New Roman"/>
        </w:rPr>
        <w:t>—(dual) the two delights, Ceres (goddess of agriculture) and Venus (goddess of love), or youth and gay spirits;</w:t>
      </w:r>
      <w:r w:rsidRPr="008F03E5">
        <w:t>—pl. the best parts (of something); pleasures, comforts, amenities; delicacies, dainties.  See túbá</w:t>
      </w:r>
      <w:r>
        <w:t>.</w:t>
      </w:r>
    </w:p>
    <w:p w14:paraId="308DA674" w14:textId="77777777" w:rsidR="00625A5B" w:rsidRPr="008F03E5" w:rsidRDefault="00625A5B" w:rsidP="00F87A63">
      <w:pPr>
        <w:pStyle w:val="Translit"/>
      </w:pPr>
      <w:r w:rsidRPr="008F03E5">
        <w:t>Aw (Au)</w:t>
      </w:r>
      <w:r w:rsidRPr="008F03E5">
        <w:tab/>
        <w:t>Aw</w:t>
      </w:r>
      <w:r w:rsidRPr="008F03E5">
        <w:tab/>
        <w:t>or (with following subjunctive) unless, except that</w:t>
      </w:r>
    </w:p>
    <w:p w14:paraId="45378FAD" w14:textId="77777777" w:rsidR="00625A5B" w:rsidRPr="008F03E5" w:rsidRDefault="00625A5B" w:rsidP="00222EF7">
      <w:pPr>
        <w:pStyle w:val="Translit"/>
      </w:pPr>
      <w:r w:rsidRPr="008F03E5">
        <w:rPr>
          <w:rFonts w:eastAsia="Times New Roman"/>
        </w:rPr>
        <w:t xml:space="preserve">Awara </w:t>
      </w:r>
      <w:r w:rsidRPr="008F03E5">
        <w:t>(Awarah, Avarih, Avareh)</w:t>
      </w:r>
      <w:r w:rsidRPr="008F03E5">
        <w:tab/>
      </w:r>
      <w:r w:rsidRPr="008F03E5">
        <w:rPr>
          <w:rFonts w:eastAsia="Times New Roman"/>
        </w:rPr>
        <w:t>Áwára (</w:t>
      </w:r>
      <w:r w:rsidRPr="008F03E5">
        <w:t>Áwárih, Ávárih</w:t>
      </w:r>
      <w:r w:rsidRPr="008F03E5">
        <w:rPr>
          <w:rFonts w:eastAsia="Times New Roman"/>
        </w:rPr>
        <w:t>)</w:t>
      </w:r>
      <w:r w:rsidRPr="008F03E5">
        <w:rPr>
          <w:rFonts w:eastAsia="Times New Roman"/>
        </w:rPr>
        <w:tab/>
        <w:t>Pers</w:t>
      </w:r>
      <w:r w:rsidRPr="008F03E5">
        <w:t>. (</w:t>
      </w:r>
      <w:r w:rsidRPr="008F03E5">
        <w:rPr>
          <w:rtl/>
        </w:rPr>
        <w:t>آوراه</w:t>
      </w:r>
      <w:r w:rsidRPr="008F03E5">
        <w:t>) (“Awárih”) an</w:t>
      </w:r>
      <w:r w:rsidRPr="008F03E5">
        <w:rPr>
          <w:rFonts w:eastAsia="Times New Roman"/>
        </w:rPr>
        <w:t xml:space="preserve"> account-book; computation; certainty, assuredness; lost, annihilated; ruined; scattered; destitute of name or character; an exile, outcast, vagabond, vagrant, wanderer, straggler, immigrant; iron filings; oppression, injustice; bane, ruin, desolation.  </w:t>
      </w:r>
      <w:r w:rsidRPr="008F03E5">
        <w:t>For Arabic, see Ṭaríq.  See also Áyatí.</w:t>
      </w:r>
    </w:p>
    <w:p w14:paraId="7F8FAA06" w14:textId="77777777" w:rsidR="00625A5B" w:rsidRPr="008F03E5" w:rsidRDefault="00625A5B" w:rsidP="00222EF7">
      <w:pPr>
        <w:pStyle w:val="Translit"/>
        <w:rPr>
          <w:rFonts w:eastAsia="Times New Roman"/>
          <w:rtl/>
        </w:rPr>
      </w:pPr>
      <w:r w:rsidRPr="008F03E5">
        <w:rPr>
          <w:rFonts w:eastAsia="Times New Roman"/>
        </w:rPr>
        <w:t>Awasta (Avesta)</w:t>
      </w:r>
      <w:r w:rsidRPr="008F03E5">
        <w:rPr>
          <w:rFonts w:eastAsia="Times New Roman"/>
        </w:rPr>
        <w:tab/>
        <w:t>Awastá</w:t>
      </w:r>
      <w:r w:rsidRPr="008F03E5">
        <w:rPr>
          <w:rFonts w:eastAsia="Times New Roman"/>
        </w:rPr>
        <w:tab/>
        <w:t>Pers. the sacred books of Zoroaster.</w:t>
      </w:r>
    </w:p>
    <w:p w14:paraId="457AA1A3" w14:textId="77777777" w:rsidR="00625A5B" w:rsidRPr="008F03E5" w:rsidRDefault="00625A5B" w:rsidP="00F87A63">
      <w:pPr>
        <w:pStyle w:val="Translit"/>
        <w:rPr>
          <w:rFonts w:eastAsia="Times New Roman"/>
        </w:rPr>
      </w:pPr>
      <w:r w:rsidRPr="008F03E5">
        <w:rPr>
          <w:rFonts w:eastAsia="Times New Roman"/>
        </w:rPr>
        <w:t>Awf (Auf)</w:t>
      </w:r>
      <w:r w:rsidRPr="008F03E5">
        <w:rPr>
          <w:rFonts w:eastAsia="Times New Roman"/>
        </w:rPr>
        <w:tab/>
        <w:t>‘Awf</w:t>
      </w:r>
      <w:r w:rsidRPr="008F03E5">
        <w:rPr>
          <w:rFonts w:eastAsia="Times New Roman"/>
        </w:rPr>
        <w:tab/>
        <w:t>flying round anything (as birds round a watering-place or carcase); state, condition; work, business; a guest; good fortune, happiness;  one who takes care of his family</w:t>
      </w:r>
    </w:p>
    <w:p w14:paraId="0C97D4FE" w14:textId="77777777" w:rsidR="00625A5B" w:rsidRPr="008F03E5" w:rsidRDefault="00625A5B" w:rsidP="00F87A63">
      <w:pPr>
        <w:pStyle w:val="Translit"/>
      </w:pPr>
      <w:r w:rsidRPr="008F03E5">
        <w:t>Awih (Avih, Aveh, Awah)</w:t>
      </w:r>
      <w:r w:rsidRPr="008F03E5">
        <w:tab/>
        <w:t>Áwih</w:t>
      </w:r>
      <w:r w:rsidRPr="008F03E5">
        <w:tab/>
        <w:t xml:space="preserve">villages in the provinces of Fárs, Markazí and Qazvín (26 km </w:t>
      </w:r>
      <w:r w:rsidRPr="008F03E5">
        <w:rPr>
          <w:sz w:val="16"/>
          <w:szCs w:val="16"/>
        </w:rPr>
        <w:t>SSE</w:t>
      </w:r>
      <w:r w:rsidRPr="008F03E5">
        <w:t xml:space="preserve"> Sávih (Sáveh) and 45 km </w:t>
      </w:r>
      <w:r w:rsidRPr="008F03E5">
        <w:rPr>
          <w:sz w:val="16"/>
          <w:szCs w:val="16"/>
        </w:rPr>
        <w:t>NW</w:t>
      </w:r>
      <w:r w:rsidRPr="008F03E5">
        <w:t xml:space="preserve"> of Qum).</w:t>
      </w:r>
    </w:p>
    <w:p w14:paraId="37D2C188" w14:textId="77777777" w:rsidR="00625A5B" w:rsidRPr="008F03E5" w:rsidRDefault="00625A5B" w:rsidP="00B270D8">
      <w:pPr>
        <w:pStyle w:val="Translit"/>
        <w:rPr>
          <w:rFonts w:eastAsia="PMingLiU"/>
          <w:lang w:eastAsia="zh-TW"/>
        </w:rPr>
      </w:pPr>
      <w:r w:rsidRPr="008F03E5">
        <w:rPr>
          <w:rFonts w:eastAsia="PMingLiU"/>
          <w:lang w:eastAsia="zh-TW"/>
        </w:rPr>
        <w:t>Awin</w:t>
      </w:r>
      <w:r w:rsidRPr="008F03E5">
        <w:rPr>
          <w:rFonts w:eastAsia="PMingLiU"/>
          <w:lang w:eastAsia="zh-TW"/>
        </w:rPr>
        <w:tab/>
      </w:r>
      <w:r w:rsidRPr="008F03E5">
        <w:t>Á</w:t>
      </w:r>
      <w:r w:rsidRPr="008F03E5">
        <w:rPr>
          <w:rFonts w:eastAsia="PMingLiU"/>
          <w:lang w:eastAsia="zh-TW"/>
        </w:rPr>
        <w:t>w</w:t>
      </w:r>
      <w:r w:rsidRPr="008F03E5">
        <w:t>í</w:t>
      </w:r>
      <w:r w:rsidRPr="008F03E5">
        <w:rPr>
          <w:rFonts w:eastAsia="PMingLiU"/>
          <w:lang w:eastAsia="zh-TW"/>
        </w:rPr>
        <w:t>n</w:t>
      </w:r>
      <w:r w:rsidRPr="008F03E5">
        <w:rPr>
          <w:rFonts w:eastAsia="PMingLiU"/>
          <w:lang w:eastAsia="zh-TW"/>
        </w:rPr>
        <w:tab/>
      </w:r>
      <w:r w:rsidRPr="008F03E5">
        <w:t>Áwí</w:t>
      </w:r>
      <w:r w:rsidRPr="008F03E5">
        <w:rPr>
          <w:rFonts w:eastAsia="PMingLiU"/>
          <w:lang w:eastAsia="zh-TW"/>
        </w:rPr>
        <w:t>n Zind</w:t>
      </w:r>
      <w:r w:rsidRPr="008F03E5">
        <w:t>á</w:t>
      </w:r>
      <w:r w:rsidRPr="008F03E5">
        <w:rPr>
          <w:rFonts w:eastAsia="PMingLiU"/>
          <w:lang w:eastAsia="zh-TW"/>
        </w:rPr>
        <w:t xml:space="preserve">n (Evin Prison, </w:t>
      </w:r>
      <w:r w:rsidRPr="008F03E5">
        <w:t>Ṭ</w:t>
      </w:r>
      <w:r w:rsidRPr="008F03E5">
        <w:rPr>
          <w:rFonts w:eastAsia="PMingLiU"/>
          <w:lang w:eastAsia="zh-TW"/>
        </w:rPr>
        <w:t>ihr</w:t>
      </w:r>
      <w:r w:rsidRPr="008F03E5">
        <w:t>á</w:t>
      </w:r>
      <w:r w:rsidRPr="008F03E5">
        <w:rPr>
          <w:rFonts w:eastAsia="PMingLiU"/>
          <w:lang w:eastAsia="zh-TW"/>
        </w:rPr>
        <w:t>n)</w:t>
      </w:r>
    </w:p>
    <w:p w14:paraId="2B574D28" w14:textId="77777777" w:rsidR="00625A5B" w:rsidRPr="008F03E5" w:rsidRDefault="00625A5B" w:rsidP="00F87A63">
      <w:pPr>
        <w:pStyle w:val="Translit"/>
        <w:rPr>
          <w:rFonts w:eastAsia="PMingLiU"/>
          <w:lang w:eastAsia="zh-TW"/>
        </w:rPr>
      </w:pPr>
      <w:r w:rsidRPr="008F03E5">
        <w:rPr>
          <w:rFonts w:eastAsia="PMingLiU"/>
          <w:lang w:eastAsia="zh-TW"/>
        </w:rPr>
        <w:t>Awj (“Auj”), Awji</w:t>
      </w:r>
      <w:r w:rsidRPr="008F03E5">
        <w:tab/>
        <w:t>Awj</w:t>
      </w:r>
      <w:r w:rsidRPr="008F03E5">
        <w:tab/>
        <w:t>noun.  highest point, acme, pinnacle; culmination, climax; apogee (astron.); peak (fig.; of power. of fame).  Adj. Awjí</w:t>
      </w:r>
    </w:p>
    <w:p w14:paraId="4F37CDB3" w14:textId="77777777" w:rsidR="00625A5B" w:rsidRPr="008F03E5" w:rsidRDefault="00625A5B" w:rsidP="00846209">
      <w:pPr>
        <w:pStyle w:val="Translit"/>
      </w:pPr>
      <w:r w:rsidRPr="008F03E5">
        <w:t>Awn (‘Aun), A’wan</w:t>
      </w:r>
      <w:r w:rsidRPr="008F03E5">
        <w:tab/>
        <w:t>‘Awn, pl. A‘wán</w:t>
      </w:r>
      <w:r w:rsidRPr="008F03E5">
        <w:tab/>
        <w:t>being middle-aged (a woman); helping, assisting; aid, assistance, succour, help; an aider, helper, defender, protector; an ally; a servant;—</w:t>
      </w:r>
      <w:r w:rsidRPr="008F03E5">
        <w:rPr>
          <w:i/>
          <w:iCs/>
        </w:rPr>
        <w:t>‘awni iláhí,</w:t>
      </w:r>
      <w:r w:rsidRPr="008F03E5">
        <w:t xml:space="preserve"> Divine aid.  </w:t>
      </w:r>
      <w:bookmarkStart w:id="47" w:name="_Hlk56504742"/>
      <w:r w:rsidRPr="008F03E5">
        <w:t xml:space="preserve">Muḥammad ibn ‘Abd al-Mu‘ín ibn ‘Awn (1767–1858), was </w:t>
      </w:r>
      <w:r w:rsidRPr="008F03E5">
        <w:rPr>
          <w:u w:val="single"/>
        </w:rPr>
        <w:t>Sh</w:t>
      </w:r>
      <w:r w:rsidRPr="008F03E5">
        <w:t>aríf and Imára (Emir) of Mecca from 1827–1836, 1840–1851 and 1856–1858.</w:t>
      </w:r>
      <w:bookmarkEnd w:id="47"/>
      <w:r w:rsidRPr="008F03E5">
        <w:t xml:space="preserve">  The Báb was in Mecca on Friday 20 December 1844 (Islamic Friday 10 </w:t>
      </w:r>
      <w:r w:rsidRPr="008F03E5">
        <w:rPr>
          <w:rFonts w:eastAsia="PMingLiU"/>
          <w:u w:val="single"/>
          <w:lang w:eastAsia="zh-TW"/>
        </w:rPr>
        <w:t>Dh</w:t>
      </w:r>
      <w:r w:rsidRPr="008F03E5">
        <w:rPr>
          <w:rFonts w:eastAsia="PMingLiU"/>
          <w:lang w:eastAsia="zh-TW"/>
        </w:rPr>
        <w:t>u’l-</w:t>
      </w:r>
      <w:r w:rsidRPr="008F03E5">
        <w:t>Ḥ</w:t>
      </w:r>
      <w:r w:rsidRPr="008F03E5">
        <w:rPr>
          <w:rFonts w:eastAsia="PMingLiU"/>
          <w:lang w:eastAsia="zh-TW"/>
        </w:rPr>
        <w:t xml:space="preserve">ijjah </w:t>
      </w:r>
      <w:r w:rsidRPr="008F03E5">
        <w:rPr>
          <w:sz w:val="16"/>
          <w:szCs w:val="16"/>
        </w:rPr>
        <w:t>AH</w:t>
      </w:r>
      <w:r w:rsidRPr="008F03E5">
        <w:t xml:space="preserve"> 1260), hence Ḥajj-i-Akbar, fulfilling a ḥadí</w:t>
      </w:r>
      <w:r w:rsidRPr="008F03E5">
        <w:rPr>
          <w:u w:val="single"/>
        </w:rPr>
        <w:t>th</w:t>
      </w:r>
      <w:r w:rsidRPr="008F03E5">
        <w:t xml:space="preserve"> for the appearance of the Qá’im, in this case, a Friday in both calendars!</w:t>
      </w:r>
    </w:p>
    <w:p w14:paraId="2ADB2186" w14:textId="77777777" w:rsidR="00625A5B" w:rsidRPr="008F03E5" w:rsidRDefault="00625A5B" w:rsidP="00F87A63">
      <w:pPr>
        <w:pStyle w:val="Translit"/>
      </w:pPr>
      <w:r w:rsidRPr="008F03E5">
        <w:t>Awrang (Aurang)</w:t>
      </w:r>
      <w:r w:rsidRPr="008F03E5">
        <w:tab/>
        <w:t>Awrang</w:t>
      </w:r>
      <w:r w:rsidRPr="008F03E5">
        <w:tab/>
        <w:t xml:space="preserve">Pers. a throne; wisdom, understanding; beauty, gracefulness; life; a manufacturing village; fraud, deceit; mirth; a worm which eats into wood; a line whereon things are hung to dry; glory, honour; a man’s name; (metaphorically) heaven.  A </w:t>
      </w:r>
      <w:r w:rsidRPr="008F03E5">
        <w:rPr>
          <w:lang w:eastAsia="en-US"/>
        </w:rPr>
        <w:t>low mountain near the village of Tákur, in the province of Núr, Persia, the summer residence of Bahá’u’lláh.</w:t>
      </w:r>
    </w:p>
    <w:p w14:paraId="33A1CED2" w14:textId="77777777" w:rsidR="00625A5B" w:rsidRPr="008F03E5" w:rsidRDefault="00625A5B" w:rsidP="00F87A63">
      <w:pPr>
        <w:pStyle w:val="Translit"/>
      </w:pPr>
      <w:r w:rsidRPr="008F03E5">
        <w:t>Awraq-i-Nariyyih</w:t>
      </w:r>
      <w:r w:rsidRPr="008F03E5">
        <w:tab/>
        <w:t>Awráq-i-Náríyyih</w:t>
      </w:r>
      <w:r w:rsidRPr="008F03E5">
        <w:tab/>
        <w:t>Pers. form “the Infernal Letters”  See waraq (paper) and nárí</w:t>
      </w:r>
    </w:p>
    <w:p w14:paraId="61883085" w14:textId="77777777" w:rsidR="00625A5B" w:rsidRPr="008F03E5" w:rsidRDefault="00625A5B" w:rsidP="00F87A63">
      <w:pPr>
        <w:pStyle w:val="Translit"/>
      </w:pPr>
      <w:r w:rsidRPr="008F03E5">
        <w:rPr>
          <w:rFonts w:eastAsia="Times New Roman"/>
        </w:rPr>
        <w:t>Aws (Aus)</w:t>
      </w:r>
      <w:r w:rsidRPr="008F03E5">
        <w:rPr>
          <w:rFonts w:eastAsia="Times New Roman"/>
        </w:rPr>
        <w:tab/>
        <w:t>Aws</w:t>
      </w:r>
      <w:r w:rsidRPr="008F03E5">
        <w:rPr>
          <w:rFonts w:eastAsia="Times New Roman"/>
        </w:rPr>
        <w:tab/>
        <w:t>giving in exchange or return, requiting, repaying; a gift; name of an Arab tribe (Ban</w:t>
      </w:r>
      <w:r w:rsidRPr="008F03E5">
        <w:t>ú</w:t>
      </w:r>
      <w:r w:rsidRPr="008F03E5">
        <w:rPr>
          <w:rFonts w:eastAsia="Times New Roman"/>
        </w:rPr>
        <w:t xml:space="preserve"> Aws)</w:t>
      </w:r>
    </w:p>
    <w:p w14:paraId="40BA3D2D" w14:textId="77777777" w:rsidR="00625A5B" w:rsidRPr="008F03E5" w:rsidRDefault="00625A5B" w:rsidP="00F87A63">
      <w:pPr>
        <w:pStyle w:val="Translit"/>
      </w:pPr>
      <w:r w:rsidRPr="008F03E5">
        <w:t>Awsa’ (Ausa’)</w:t>
      </w:r>
      <w:r w:rsidRPr="008F03E5">
        <w:tab/>
        <w:t>Awsa‘</w:t>
      </w:r>
      <w:r w:rsidRPr="008F03E5">
        <w:tab/>
        <w:t>wider, larger, roomier, more spacious</w:t>
      </w:r>
    </w:p>
    <w:p w14:paraId="43C9BF8A" w14:textId="77777777" w:rsidR="00625A5B" w:rsidRPr="008F03E5" w:rsidRDefault="00625A5B" w:rsidP="00F87A63">
      <w:pPr>
        <w:pStyle w:val="Translit"/>
      </w:pPr>
      <w:r w:rsidRPr="008F03E5">
        <w:t>Awsat (“Ausat”), Awasit, Wusta, Wusat</w:t>
      </w:r>
      <w:r w:rsidRPr="008F03E5">
        <w:tab/>
        <w:t>Awsaṭ, pl. Awásíṭ</w:t>
      </w:r>
      <w:r w:rsidRPr="008F03E5">
        <w:tab/>
        <w:t>middle, central; the middle finger</w:t>
      </w:r>
    </w:p>
    <w:p w14:paraId="2DC5E2F5" w14:textId="77777777" w:rsidR="00625A5B" w:rsidRPr="008F03E5" w:rsidRDefault="00625A5B" w:rsidP="00F87A63">
      <w:pPr>
        <w:pStyle w:val="Translit"/>
      </w:pPr>
      <w:r w:rsidRPr="008F03E5">
        <w:t>Awtad</w:t>
      </w:r>
      <w:r w:rsidRPr="008F03E5">
        <w:tab/>
        <w:t>Awtád</w:t>
      </w:r>
      <w:r w:rsidRPr="008F03E5">
        <w:tab/>
        <w:t>pegs or tent stakes.  See Watad/Autád</w:t>
      </w:r>
    </w:p>
    <w:p w14:paraId="1BA091F8" w14:textId="77777777" w:rsidR="00625A5B" w:rsidRPr="008F03E5" w:rsidRDefault="00625A5B" w:rsidP="00F87A63">
      <w:pPr>
        <w:pStyle w:val="Translit"/>
      </w:pPr>
      <w:r w:rsidRPr="008F03E5">
        <w:t>Awwal</w:t>
      </w:r>
      <w:r>
        <w:t xml:space="preserve"> (Auwal)</w:t>
      </w:r>
      <w:r w:rsidRPr="008F03E5">
        <w:t>, Ula, Awwalun, Awa’il</w:t>
      </w:r>
      <w:r w:rsidRPr="008F03E5">
        <w:tab/>
        <w:t>Awwal, f. Úlá, pl. m. Awwalún, Awá’il</w:t>
      </w:r>
      <w:r w:rsidRPr="008F03E5">
        <w:tab/>
        <w:t>first; foremost, most important, principal, chief, main; first part, beginning; (with definite article) earlier, previous, former.  al-úlá “pre-existence” (cf. ad-dunyá (“earthly life”) and al-á</w:t>
      </w:r>
      <w:r w:rsidRPr="008F03E5">
        <w:rPr>
          <w:u w:val="single"/>
        </w:rPr>
        <w:t>kh</w:t>
      </w:r>
      <w:r w:rsidRPr="008F03E5">
        <w:t>ira (“afterlife”).—pl. also awwalín.</w:t>
      </w:r>
    </w:p>
    <w:p w14:paraId="7A0C9D13" w14:textId="77777777" w:rsidR="00625A5B" w:rsidRDefault="00625A5B" w:rsidP="00120039">
      <w:pPr>
        <w:pStyle w:val="Translit"/>
      </w:pPr>
      <w:r>
        <w:t>Awwali</w:t>
      </w:r>
      <w:r>
        <w:tab/>
        <w:t>A</w:t>
      </w:r>
      <w:r w:rsidRPr="00120039">
        <w:t>wwal</w:t>
      </w:r>
      <w:r>
        <w:t>í</w:t>
      </w:r>
      <w:r>
        <w:tab/>
      </w:r>
      <w:r w:rsidRPr="00120039">
        <w:t>prime, primary, primordial, original, initial, first; elemental, fundamental, basic, principal, chief, main; elementary; primitive, pristine, primeval</w:t>
      </w:r>
    </w:p>
    <w:p w14:paraId="50F2D4C4" w14:textId="77777777" w:rsidR="00625A5B" w:rsidRDefault="00625A5B" w:rsidP="00120039">
      <w:pPr>
        <w:pStyle w:val="Translit"/>
      </w:pPr>
      <w:r>
        <w:t>Awwaliya, Awwaliyat</w:t>
      </w:r>
      <w:r>
        <w:tab/>
        <w:t>A</w:t>
      </w:r>
      <w:r w:rsidRPr="00120039">
        <w:t>wwal</w:t>
      </w:r>
      <w:r>
        <w:t>í</w:t>
      </w:r>
      <w:r w:rsidRPr="00120039">
        <w:t>ya</w:t>
      </w:r>
      <w:r>
        <w:t>[h or t],</w:t>
      </w:r>
      <w:r w:rsidRPr="00120039">
        <w:t xml:space="preserve"> pl. </w:t>
      </w:r>
      <w:r>
        <w:t>A</w:t>
      </w:r>
      <w:r w:rsidRPr="00120039">
        <w:t>wwal</w:t>
      </w:r>
      <w:r>
        <w:t>í</w:t>
      </w:r>
      <w:r w:rsidRPr="00120039">
        <w:t>yát</w:t>
      </w:r>
      <w:r>
        <w:tab/>
      </w:r>
      <w:r w:rsidRPr="00120039">
        <w:t xml:space="preserve">fundamental truth, axiom; primary constituent, essential component, element; </w:t>
      </w:r>
      <w:r>
        <w:t xml:space="preserve">primal; </w:t>
      </w:r>
      <w:r w:rsidRPr="00120039">
        <w:t>precedence; priority</w:t>
      </w:r>
    </w:p>
    <w:p w14:paraId="0ED94E94" w14:textId="77777777" w:rsidR="00625A5B" w:rsidRPr="008F03E5" w:rsidRDefault="00625A5B" w:rsidP="000F5C24">
      <w:pPr>
        <w:pStyle w:val="Translit"/>
      </w:pPr>
      <w:r w:rsidRPr="008F03E5">
        <w:t>Awwam</w:t>
      </w:r>
      <w:r w:rsidRPr="008F03E5">
        <w:tab/>
        <w:t>‘Awwám</w:t>
      </w:r>
      <w:r w:rsidRPr="008F03E5">
        <w:tab/>
        <w:t xml:space="preserve">good swimmer.  az-Zubayr ibn al-‘Awwám ibn </w:t>
      </w:r>
      <w:r w:rsidRPr="008F03E5">
        <w:rPr>
          <w:u w:val="single"/>
        </w:rPr>
        <w:t>Kh</w:t>
      </w:r>
      <w:r w:rsidRPr="008F03E5">
        <w:t xml:space="preserve">uwaylid (594–656), was one of the companions of Muḥammad and </w:t>
      </w:r>
      <w:r w:rsidRPr="008F03E5">
        <w:rPr>
          <w:u w:val="single"/>
        </w:rPr>
        <w:t>Kh</w:t>
      </w:r>
      <w:r w:rsidRPr="008F03E5">
        <w:t>adíjah’s nephew.</w:t>
      </w:r>
    </w:p>
    <w:p w14:paraId="41A84268" w14:textId="77777777" w:rsidR="00625A5B" w:rsidRPr="008F03E5" w:rsidRDefault="00625A5B" w:rsidP="00F87A63">
      <w:pPr>
        <w:pStyle w:val="Translit"/>
      </w:pPr>
      <w:r w:rsidRPr="008F03E5">
        <w:t>Ay</w:t>
      </w:r>
      <w:r w:rsidRPr="008F03E5">
        <w:tab/>
        <w:t>Ay</w:t>
      </w:r>
      <w:r w:rsidRPr="008F03E5">
        <w:tab/>
        <w:t>that is (to say), i.e.; namely, to wit</w:t>
      </w:r>
    </w:p>
    <w:p w14:paraId="6F0863EC" w14:textId="77777777" w:rsidR="00625A5B" w:rsidRPr="008F03E5" w:rsidRDefault="00625A5B" w:rsidP="008878A1">
      <w:pPr>
        <w:pStyle w:val="Translit"/>
      </w:pPr>
      <w:r w:rsidRPr="008F03E5">
        <w:t>Aya (Ayih), Ay, Ayat</w:t>
      </w:r>
      <w:r w:rsidRPr="008F03E5">
        <w:tab/>
        <w:t>Áya[h or t], collective Áy, pl. Áyát</w:t>
      </w:r>
      <w:r w:rsidRPr="008F03E5">
        <w:tab/>
        <w:t>sign, token, mark; miracle; wonder, marvel, prodigy; model, exemplar, paragon, masterpiece.  Commonly used to refer to each of the 6,236 verses in the Qur’án (6,348 áyát if all the Bismi’lláh [no plural] verses are included).  Muslims regard each áya of the Qur’án as a sign from Alláh. (</w:t>
      </w:r>
      <w:r w:rsidRPr="008F03E5">
        <w:rPr>
          <w:i/>
          <w:iCs/>
        </w:rPr>
        <w:t>The Bahá’í Proofs</w:t>
      </w:r>
      <w:r w:rsidRPr="008F03E5">
        <w:t>).</w:t>
      </w:r>
    </w:p>
    <w:p w14:paraId="2FEE5443" w14:textId="77777777" w:rsidR="00625A5B" w:rsidRPr="008F03E5" w:rsidRDefault="00625A5B" w:rsidP="005877C0">
      <w:pPr>
        <w:pStyle w:val="Translit"/>
      </w:pPr>
      <w:r w:rsidRPr="008F03E5">
        <w:t>Aya Sufiya (Sofiya)</w:t>
      </w:r>
      <w:r w:rsidRPr="008F03E5">
        <w:tab/>
        <w:t>Ayá Ṣúfiyá (Ayá Ṣófiyá)</w:t>
      </w:r>
      <w:r w:rsidRPr="008F03E5">
        <w:tab/>
        <w:t>Greek αγία σοφία, agia sofiya, “Holy wisdom”.  English Hagia Sophia.  Turkish based on the Greek sound:  Ayasofya or Aya Sofya).  Ar. from Greek Ayá Ṣúfiyá, but translated as al-Ḥikmat al-Muqadasa.  The first St. Sophia (360–404) was a Christian cathedral built by Constantine the Great.  It was largely destroyed during riots in 404.  A second church (415–532) was destroyed by fire. in 532  Construction of the present structure was started that same year by Justinian I.  Converted to become one of the most famous Muslim mosques (1453–1935), a museum (1935–2020), and now a mosque again.</w:t>
      </w:r>
    </w:p>
    <w:p w14:paraId="65236E05" w14:textId="77777777" w:rsidR="00625A5B" w:rsidRPr="008F03E5" w:rsidRDefault="00625A5B" w:rsidP="00F87A63">
      <w:pPr>
        <w:pStyle w:val="Translit"/>
      </w:pPr>
      <w:r w:rsidRPr="008F03E5">
        <w:t>Ayati</w:t>
      </w:r>
      <w:r w:rsidRPr="008F03E5">
        <w:tab/>
        <w:t>Áyatí</w:t>
      </w:r>
      <w:r w:rsidRPr="008F03E5">
        <w:tab/>
        <w:t>Mírzá ‘Abdu’l-Ḥusayn Áyatí Taftí (1871–1953), titled Ra’ís al-Muballi</w:t>
      </w:r>
      <w:r w:rsidRPr="008F03E5">
        <w:rPr>
          <w:u w:val="single"/>
        </w:rPr>
        <w:t>gh</w:t>
      </w:r>
      <w:r w:rsidRPr="008F03E5">
        <w:t xml:space="preserve">ín (“chief of missionaries”) and Ávárih (wanderer) by ‘Abdu’l-Bahá, was a prominent Iranian Bahá’í.  Author of </w:t>
      </w:r>
      <w:r w:rsidRPr="008F03E5">
        <w:rPr>
          <w:i/>
          <w:iCs/>
        </w:rPr>
        <w:t>al-Kawákib ad-Durríya fí Ma’á</w:t>
      </w:r>
      <w:r w:rsidRPr="008F03E5">
        <w:rPr>
          <w:i/>
          <w:iCs/>
          <w:u w:val="single"/>
        </w:rPr>
        <w:t>th</w:t>
      </w:r>
      <w:r w:rsidRPr="008F03E5">
        <w:rPr>
          <w:i/>
          <w:iCs/>
        </w:rPr>
        <w:t>ir al-Bahá’íya</w:t>
      </w:r>
      <w:r w:rsidRPr="008F03E5">
        <w:t xml:space="preserve"> (“The Pearly Stars in the Achievements of the Bahá’í Faith”)</w:t>
      </w:r>
      <w:r w:rsidRPr="008F03E5">
        <w:rPr>
          <w:i/>
          <w:iCs/>
        </w:rPr>
        <w:t xml:space="preserve">.  </w:t>
      </w:r>
      <w:r w:rsidRPr="008F03E5">
        <w:t xml:space="preserve">After the death of ‘Abdu’l-Bahá he pressed for the election of the </w:t>
      </w:r>
      <w:r w:rsidRPr="008F03E5">
        <w:rPr>
          <w:sz w:val="16"/>
          <w:szCs w:val="16"/>
        </w:rPr>
        <w:t>UHJ</w:t>
      </w:r>
      <w:r w:rsidRPr="008F03E5">
        <w:t xml:space="preserve"> in the hope of becoming a member.  When he failed, he withdrew from the Bahá’í Faith and began to publicly denounce it and published </w:t>
      </w:r>
      <w:r w:rsidRPr="008F03E5">
        <w:rPr>
          <w:i/>
          <w:iCs/>
        </w:rPr>
        <w:t>Ka</w:t>
      </w:r>
      <w:r w:rsidRPr="008F03E5">
        <w:rPr>
          <w:i/>
          <w:iCs/>
          <w:u w:val="single"/>
        </w:rPr>
        <w:t>sh</w:t>
      </w:r>
      <w:r w:rsidRPr="008F03E5">
        <w:rPr>
          <w:i/>
          <w:iCs/>
        </w:rPr>
        <w:t>fu’l-Ḥiyal</w:t>
      </w:r>
      <w:r w:rsidRPr="008F03E5">
        <w:t xml:space="preserve"> (Uncovering of Trickery).</w:t>
      </w:r>
    </w:p>
    <w:p w14:paraId="1B40B44C" w14:textId="77777777" w:rsidR="00625A5B" w:rsidRPr="008F03E5" w:rsidRDefault="00625A5B" w:rsidP="004A3E33">
      <w:pPr>
        <w:pStyle w:val="Translit"/>
        <w:rPr>
          <w:rFonts w:eastAsia="PMingLiU"/>
          <w:lang w:eastAsia="zh-TW"/>
        </w:rPr>
      </w:pPr>
      <w:r w:rsidRPr="008F03E5">
        <w:t>A</w:t>
      </w:r>
      <w:r w:rsidRPr="008F03E5">
        <w:rPr>
          <w:rFonts w:eastAsia="PMingLiU"/>
          <w:lang w:eastAsia="zh-TW"/>
        </w:rPr>
        <w:t>yatu’l-Kursi</w:t>
      </w:r>
      <w:r w:rsidRPr="008F03E5">
        <w:tab/>
        <w:t>Á</w:t>
      </w:r>
      <w:r w:rsidRPr="008F03E5">
        <w:rPr>
          <w:rFonts w:eastAsia="PMingLiU"/>
          <w:lang w:eastAsia="zh-TW"/>
        </w:rPr>
        <w:t>yatu’l-Kurs</w:t>
      </w:r>
      <w:r w:rsidRPr="008F03E5">
        <w:t>í</w:t>
      </w:r>
      <w:r w:rsidRPr="008F03E5">
        <w:tab/>
        <w:t>“</w:t>
      </w:r>
      <w:r>
        <w:t>V</w:t>
      </w:r>
      <w:r w:rsidRPr="008F03E5">
        <w:t>erse of the throne”</w:t>
      </w:r>
      <w:r>
        <w:t>,</w:t>
      </w:r>
      <w:r w:rsidRPr="008F03E5">
        <w:t xml:space="preserve"> Qur’án 2:255</w:t>
      </w:r>
    </w:p>
    <w:p w14:paraId="1C519277" w14:textId="77777777" w:rsidR="00625A5B" w:rsidRPr="008F03E5" w:rsidRDefault="00625A5B" w:rsidP="00080224">
      <w:pPr>
        <w:pStyle w:val="Translit"/>
      </w:pPr>
      <w:r w:rsidRPr="008F03E5">
        <w:t>Ayatu’llah al-‘Uzma</w:t>
      </w:r>
      <w:r w:rsidRPr="008F03E5">
        <w:tab/>
        <w:t>Áyatu’lláh al-‘Uẓmá</w:t>
      </w:r>
      <w:r w:rsidRPr="008F03E5">
        <w:tab/>
        <w:t>the greatest sign of God, “Grand Ayatu’llah”, a Marji‘ at-taqlíd (“source to follow”) or Marji‘ ad-Díní (“religious reference”).  See a‘ẓam or ‘uẓm.</w:t>
      </w:r>
    </w:p>
    <w:p w14:paraId="006CA452" w14:textId="77777777" w:rsidR="00625A5B" w:rsidRPr="008F03E5" w:rsidRDefault="00625A5B" w:rsidP="00F87A63">
      <w:pPr>
        <w:pStyle w:val="Translit"/>
      </w:pPr>
      <w:r w:rsidRPr="008F03E5">
        <w:t>Ayatu’llah</w:t>
      </w:r>
      <w:r w:rsidRPr="008F03E5">
        <w:tab/>
        <w:t>Áyatu’lláh</w:t>
      </w:r>
      <w:r w:rsidRPr="008F03E5">
        <w:tab/>
        <w:t xml:space="preserve">“sign of God”  A senior </w:t>
      </w:r>
      <w:r w:rsidRPr="008F03E5">
        <w:rPr>
          <w:u w:val="single"/>
        </w:rPr>
        <w:t>Sh</w:t>
      </w:r>
      <w:r w:rsidRPr="008F03E5">
        <w:t xml:space="preserve">í‘ih religious leader in Írán (title origin 19th century) and a title given to Shoghi Effendi by ‘Abdu’l-Bahá in His </w:t>
      </w:r>
      <w:r w:rsidRPr="008F03E5">
        <w:rPr>
          <w:i/>
          <w:iCs/>
        </w:rPr>
        <w:t>Will and Testament</w:t>
      </w:r>
    </w:p>
    <w:p w14:paraId="62E87D08" w14:textId="77777777" w:rsidR="00625A5B" w:rsidRPr="008F03E5" w:rsidRDefault="00625A5B" w:rsidP="00F87A63">
      <w:pPr>
        <w:pStyle w:val="Translit"/>
      </w:pPr>
      <w:r w:rsidRPr="008F03E5">
        <w:t>Ayatu’llah-i-Khurasani</w:t>
      </w:r>
      <w:r w:rsidRPr="008F03E5">
        <w:tab/>
        <w:t>Áyatu’lláh-i-</w:t>
      </w:r>
      <w:r w:rsidRPr="008F03E5">
        <w:rPr>
          <w:u w:val="single"/>
        </w:rPr>
        <w:t>Kh</w:t>
      </w:r>
      <w:r w:rsidRPr="008F03E5">
        <w:t>urásání</w:t>
      </w:r>
      <w:r w:rsidRPr="008F03E5">
        <w:tab/>
        <w:t>(</w:t>
      </w:r>
      <w:r w:rsidRPr="008F03E5">
        <w:rPr>
          <w:sz w:val="16"/>
          <w:szCs w:val="16"/>
        </w:rPr>
        <w:t>MF</w:t>
      </w:r>
      <w:r w:rsidRPr="008F03E5">
        <w:t>)</w:t>
      </w:r>
    </w:p>
    <w:p w14:paraId="0C11924C" w14:textId="77777777" w:rsidR="00625A5B" w:rsidRPr="008F03E5" w:rsidRDefault="00625A5B" w:rsidP="00F87A63">
      <w:pPr>
        <w:pStyle w:val="Translit"/>
      </w:pPr>
      <w:r w:rsidRPr="008F03E5">
        <w:t>Ayaz</w:t>
      </w:r>
      <w:r w:rsidRPr="008F03E5">
        <w:tab/>
        <w:t>Áyáz and Ayáz</w:t>
      </w:r>
      <w:r w:rsidRPr="008F03E5">
        <w:tab/>
        <w:t xml:space="preserve">Pers. name of a favourite of Sulṭán Maḥmúd of </w:t>
      </w:r>
      <w:r w:rsidRPr="008F03E5">
        <w:rPr>
          <w:u w:val="single"/>
        </w:rPr>
        <w:t>Gh</w:t>
      </w:r>
      <w:r w:rsidRPr="008F03E5">
        <w:t xml:space="preserve">aznah; name of one of the Emirs of Sulṭán Ibrahím bin Mas‘úd bin Maḥmúd </w:t>
      </w:r>
      <w:r w:rsidRPr="008F03E5">
        <w:rPr>
          <w:u w:val="single"/>
        </w:rPr>
        <w:t>Gh</w:t>
      </w:r>
      <w:r w:rsidRPr="008F03E5">
        <w:t>aznawí.</w:t>
      </w:r>
    </w:p>
    <w:p w14:paraId="19262C41" w14:textId="77777777" w:rsidR="00625A5B" w:rsidRPr="008F03E5" w:rsidRDefault="00625A5B" w:rsidP="00F87A63">
      <w:pPr>
        <w:pStyle w:val="Translit"/>
      </w:pPr>
      <w:r w:rsidRPr="008F03E5">
        <w:t>Aydil-Khani</w:t>
      </w:r>
      <w:r w:rsidRPr="008F03E5">
        <w:tab/>
        <w:t>Aydil-</w:t>
      </w:r>
      <w:r w:rsidRPr="008F03E5">
        <w:rPr>
          <w:u w:val="single"/>
        </w:rPr>
        <w:t>Kh</w:t>
      </w:r>
      <w:r w:rsidRPr="008F03E5">
        <w:t>ání</w:t>
      </w:r>
      <w:r w:rsidRPr="008F03E5">
        <w:tab/>
      </w:r>
    </w:p>
    <w:p w14:paraId="687C6764" w14:textId="77777777" w:rsidR="00625A5B" w:rsidRPr="008F03E5" w:rsidRDefault="00625A5B" w:rsidP="00F87A63">
      <w:pPr>
        <w:pStyle w:val="Translit"/>
      </w:pPr>
      <w:r w:rsidRPr="008F03E5">
        <w:t>Ayk (Aik), Aykatun</w:t>
      </w:r>
      <w:r w:rsidRPr="008F03E5">
        <w:tab/>
        <w:t>Ayk, Ayka[h or t], pl. Aykatún</w:t>
      </w:r>
      <w:r w:rsidRPr="008F03E5">
        <w:tab/>
        <w:t xml:space="preserve">(collective; nomen unitatis </w:t>
      </w:r>
      <w:r w:rsidRPr="008F03E5">
        <w:rPr>
          <w:rtl/>
        </w:rPr>
        <w:t>ة</w:t>
      </w:r>
      <w:r w:rsidRPr="008F03E5">
        <w:t>) thicket, jungle, a forest, copse, grove, thicket, wood (</w:t>
      </w:r>
      <w:r w:rsidRPr="008F03E5">
        <w:rPr>
          <w:rtl/>
        </w:rPr>
        <w:t>أيكة</w:t>
      </w:r>
      <w:r w:rsidRPr="008F03E5">
        <w:t xml:space="preserve">).—pl. the dwellers of woods (an epithet for the people of Midian (Midianites) to whom the prophet </w:t>
      </w:r>
      <w:r w:rsidRPr="008F03E5">
        <w:rPr>
          <w:u w:val="single"/>
        </w:rPr>
        <w:t>Sh</w:t>
      </w:r>
      <w:r w:rsidRPr="008F03E5">
        <w:t>u‘ayb was sent).</w:t>
      </w:r>
    </w:p>
    <w:p w14:paraId="079766DC" w14:textId="77777777" w:rsidR="00625A5B" w:rsidRPr="008F03E5" w:rsidRDefault="00625A5B" w:rsidP="004422D0">
      <w:pPr>
        <w:pStyle w:val="Translit"/>
        <w:rPr>
          <w:lang w:eastAsia="en-US"/>
        </w:rPr>
      </w:pPr>
      <w:r w:rsidRPr="008F03E5">
        <w:rPr>
          <w:lang w:eastAsia="en-US"/>
        </w:rPr>
        <w:t>Ayman (Aiman)</w:t>
      </w:r>
      <w:r w:rsidRPr="008F03E5">
        <w:rPr>
          <w:lang w:eastAsia="en-US"/>
        </w:rPr>
        <w:tab/>
        <w:t>Ayman, fem. Yumná</w:t>
      </w:r>
      <w:r w:rsidRPr="008F03E5">
        <w:rPr>
          <w:lang w:eastAsia="en-US"/>
        </w:rPr>
        <w:tab/>
        <w:t>right-hand, right, on the right; lucky</w:t>
      </w:r>
    </w:p>
    <w:p w14:paraId="5651BF3E" w14:textId="77777777" w:rsidR="00625A5B" w:rsidRPr="008F03E5" w:rsidRDefault="00625A5B" w:rsidP="009A3B57">
      <w:pPr>
        <w:pStyle w:val="Translit"/>
      </w:pPr>
      <w:r w:rsidRPr="008F03E5">
        <w:rPr>
          <w:lang w:eastAsia="en-US"/>
        </w:rPr>
        <w:t xml:space="preserve">Ayn (‘Ain), </w:t>
      </w:r>
      <w:r>
        <w:rPr>
          <w:lang w:eastAsia="en-US"/>
        </w:rPr>
        <w:t xml:space="preserve">‘Aynan, </w:t>
      </w:r>
      <w:r w:rsidRPr="008F03E5">
        <w:rPr>
          <w:lang w:eastAsia="en-US"/>
        </w:rPr>
        <w:t>‘Uyun, A’yun</w:t>
      </w:r>
      <w:r w:rsidRPr="008F03E5">
        <w:rPr>
          <w:lang w:eastAsia="en-US"/>
        </w:rPr>
        <w:tab/>
        <w:t xml:space="preserve">‘Ayn fem., </w:t>
      </w:r>
      <w:r>
        <w:rPr>
          <w:lang w:eastAsia="en-US"/>
        </w:rPr>
        <w:t>‘Ayn</w:t>
      </w:r>
      <w:r w:rsidRPr="009A3B57">
        <w:t>á</w:t>
      </w:r>
      <w:r>
        <w:rPr>
          <w:lang w:eastAsia="en-US"/>
        </w:rPr>
        <w:t>n</w:t>
      </w:r>
      <w:r>
        <w:rPr>
          <w:lang w:eastAsia="en-US"/>
        </w:rPr>
        <w:tab/>
        <w:t>(</w:t>
      </w:r>
      <w:r w:rsidRPr="008F03E5">
        <w:rPr>
          <w:lang w:eastAsia="en-US"/>
        </w:rPr>
        <w:t>pl. ‘Uyún, A‘yun, A‘y</w:t>
      </w:r>
      <w:r w:rsidRPr="008F03E5">
        <w:t>á</w:t>
      </w:r>
      <w:r w:rsidRPr="008F03E5">
        <w:rPr>
          <w:lang w:eastAsia="en-US"/>
        </w:rPr>
        <w:t>n</w:t>
      </w:r>
      <w:r>
        <w:rPr>
          <w:lang w:eastAsia="en-US"/>
        </w:rPr>
        <w:t xml:space="preserve">) </w:t>
      </w:r>
      <w:r w:rsidRPr="008F03E5">
        <w:rPr>
          <w:lang w:eastAsia="en-US"/>
        </w:rPr>
        <w:t>eye; evil eye; spring, source, fountainhead (of water); scout, reconnoiterer; hole; mesh; flower, choice, prime (of something);—(pl. a‘yán) an eminent, important man, used especially in plural:  people of distinction, important people, leading personalities, leaders, notables, prominent persons; substances, essences; self, individuality;—chattel, object of material value, (corporeal or personal) property, personality, capital asset (Islamic Law);—ready money, cash; name of the letter</w:t>
      </w:r>
      <w:r w:rsidRPr="008F03E5">
        <w:t xml:space="preserve"> </w:t>
      </w:r>
      <w:r w:rsidRPr="008F03E5">
        <w:rPr>
          <w:rtl/>
        </w:rPr>
        <w:t>ع</w:t>
      </w:r>
      <w:r w:rsidRPr="008F03E5">
        <w:rPr>
          <w:lang w:eastAsia="en-US"/>
        </w:rPr>
        <w:t xml:space="preserve"> (18th in Arabic and 21st in Persian alphabets—see hij</w:t>
      </w:r>
      <w:r w:rsidRPr="008F03E5">
        <w:t>á</w:t>
      </w:r>
      <w:r w:rsidRPr="008F03E5">
        <w:rPr>
          <w:lang w:eastAsia="en-US"/>
        </w:rPr>
        <w:t>’</w:t>
      </w:r>
      <w:r w:rsidRPr="008F03E5">
        <w:t>í</w:t>
      </w:r>
      <w:r w:rsidRPr="008F03E5">
        <w:rPr>
          <w:lang w:eastAsia="en-US"/>
        </w:rPr>
        <w:t>).  A‘yán</w:t>
      </w:r>
      <w:r w:rsidRPr="008F03E5">
        <w:t xml:space="preserve"> can also be used to mean archetypes or ideal forms in the Platonic sense.  </w:t>
      </w:r>
      <w:r w:rsidRPr="008F03E5">
        <w:rPr>
          <w:lang w:eastAsia="en-US"/>
        </w:rPr>
        <w:t>The Bahá’í Faith transcripts an ‘Ayn as a left single quotation mark ⟨‘⟩ [U+2108].  Two internationally accepted forms are a Greek rough breathing mark ⟨ʻ⟩ [U+02BB] and a modifier letter left half ring ⟨ʿ⟩ [U+02BF]—see the Special characters section.</w:t>
      </w:r>
    </w:p>
    <w:p w14:paraId="192285A4" w14:textId="77777777" w:rsidR="00625A5B" w:rsidRPr="008F03E5" w:rsidRDefault="00625A5B" w:rsidP="00F87A63">
      <w:pPr>
        <w:pStyle w:val="Translit"/>
      </w:pPr>
      <w:r w:rsidRPr="008F03E5">
        <w:t>Ayn</w:t>
      </w:r>
      <w:r w:rsidRPr="008F03E5">
        <w:rPr>
          <w:rFonts w:eastAsia="PMingLiU"/>
          <w:lang w:eastAsia="zh-TW"/>
        </w:rPr>
        <w:t>-‘</w:t>
      </w:r>
      <w:r w:rsidRPr="008F03E5">
        <w:t>Ayn (E. E.)</w:t>
      </w:r>
      <w:r w:rsidRPr="008F03E5">
        <w:tab/>
        <w:t>‘Ayn-‘Ayn</w:t>
      </w:r>
      <w:r w:rsidRPr="008F03E5">
        <w:tab/>
        <w:t>short form for ‘Abdu’l-Bahá ‘Abbás</w:t>
      </w:r>
    </w:p>
    <w:p w14:paraId="5C6DAF6E" w14:textId="77777777" w:rsidR="00625A5B" w:rsidRPr="008F03E5" w:rsidRDefault="00625A5B" w:rsidP="00F87A63">
      <w:pPr>
        <w:pStyle w:val="Translit"/>
      </w:pPr>
      <w:r w:rsidRPr="008F03E5">
        <w:rPr>
          <w:rFonts w:eastAsia="Times New Roman"/>
        </w:rPr>
        <w:t>Ayni, ‘Aini</w:t>
      </w:r>
      <w:r w:rsidRPr="008F03E5">
        <w:rPr>
          <w:rFonts w:eastAsia="Times New Roman"/>
        </w:rPr>
        <w:tab/>
        <w:t>‘Ayní</w:t>
      </w:r>
      <w:r w:rsidRPr="008F03E5">
        <w:rPr>
          <w:rFonts w:eastAsia="Times New Roman"/>
        </w:rPr>
        <w:tab/>
        <w:t>Pers. (Ar. influence) of or relating to the eye; genuine, essential, real</w:t>
      </w:r>
    </w:p>
    <w:p w14:paraId="76EFFA68" w14:textId="77777777" w:rsidR="00625A5B" w:rsidRPr="008F03E5" w:rsidRDefault="00625A5B" w:rsidP="00F87A63">
      <w:pPr>
        <w:pStyle w:val="Translit"/>
      </w:pPr>
      <w:r w:rsidRPr="008F03E5">
        <w:t>Aynu’l-Baqar (Aynu’l-Baghar)</w:t>
      </w:r>
      <w:r w:rsidRPr="008F03E5">
        <w:tab/>
        <w:t>‘Aynu’l-Baqar</w:t>
      </w:r>
      <w:r w:rsidRPr="008F03E5">
        <w:tab/>
        <w:t>an ancient spring (“The spring of the cow”) about half-way between the moat around ‘Akká and Tel ‘Akká</w:t>
      </w:r>
    </w:p>
    <w:p w14:paraId="6F6653C0" w14:textId="77777777" w:rsidR="00625A5B" w:rsidRPr="008F03E5" w:rsidRDefault="00625A5B" w:rsidP="00F87A63">
      <w:pPr>
        <w:pStyle w:val="Translit"/>
      </w:pPr>
      <w:r w:rsidRPr="008F03E5">
        <w:t>Aynu’llah (‘Ainullah)</w:t>
      </w:r>
      <w:r w:rsidRPr="008F03E5">
        <w:tab/>
        <w:t>‘Aynu’lláh</w:t>
      </w:r>
      <w:r w:rsidRPr="008F03E5">
        <w:tab/>
        <w:t>Eye of God.  Brothers Sulaymán and Raḥmán ‘Aynu’lláhí, guards in the Disciplinary Forces (</w:t>
      </w:r>
      <w:r w:rsidRPr="008F03E5">
        <w:rPr>
          <w:sz w:val="16"/>
          <w:szCs w:val="16"/>
        </w:rPr>
        <w:t>NAFA</w:t>
      </w:r>
      <w:r w:rsidRPr="008F03E5">
        <w:t>).</w:t>
      </w:r>
    </w:p>
    <w:p w14:paraId="43A7E336" w14:textId="77777777" w:rsidR="00625A5B" w:rsidRPr="008F03E5" w:rsidRDefault="00625A5B" w:rsidP="00F87A63">
      <w:pPr>
        <w:pStyle w:val="Translit"/>
      </w:pPr>
      <w:r w:rsidRPr="008F03E5">
        <w:t>Aynu’s-Sitt</w:t>
      </w:r>
      <w:r w:rsidRPr="008F03E5">
        <w:tab/>
        <w:t>‘Aynu’s-Sitt</w:t>
      </w:r>
      <w:r w:rsidRPr="008F03E5">
        <w:tab/>
        <w:t>“Spring of the woman”—about 200 metres south of ‘Aynu’l-Baqar</w:t>
      </w:r>
    </w:p>
    <w:p w14:paraId="1AC46F34" w14:textId="77777777" w:rsidR="00625A5B" w:rsidRPr="008F03E5" w:rsidRDefault="00625A5B" w:rsidP="00F87A63">
      <w:pPr>
        <w:pStyle w:val="Translit"/>
      </w:pPr>
      <w:r w:rsidRPr="008F03E5">
        <w:t>Ayyam-i-Ha</w:t>
      </w:r>
      <w:r w:rsidRPr="008F03E5">
        <w:tab/>
        <w:t>Ayyám-i-Há</w:t>
      </w:r>
      <w:r w:rsidRPr="008F03E5">
        <w:tab/>
        <w:t>“Days of Há”, Intercalary days</w:t>
      </w:r>
    </w:p>
    <w:p w14:paraId="7CEAD688" w14:textId="77777777" w:rsidR="00625A5B" w:rsidRPr="008F03E5" w:rsidRDefault="00625A5B" w:rsidP="00F87A63">
      <w:pPr>
        <w:pStyle w:val="Translit"/>
      </w:pPr>
      <w:r w:rsidRPr="008F03E5">
        <w:t>Ayyam-i-Shidad</w:t>
      </w:r>
      <w:r w:rsidRPr="008F03E5">
        <w:tab/>
        <w:t>Ayyám-i-</w:t>
      </w:r>
      <w:r w:rsidRPr="008F03E5">
        <w:rPr>
          <w:u w:val="single"/>
        </w:rPr>
        <w:t>Sh</w:t>
      </w:r>
      <w:r w:rsidRPr="008F03E5">
        <w:t>idád</w:t>
      </w:r>
      <w:r w:rsidRPr="008F03E5">
        <w:tab/>
        <w:t>“Days of stress”—the supreme crisis in Adrianople, engineered by the diabolical Siyyid Muḥammad (</w:t>
      </w:r>
      <w:r w:rsidRPr="008F03E5">
        <w:rPr>
          <w:sz w:val="16"/>
          <w:szCs w:val="16"/>
        </w:rPr>
        <w:t>GPB</w:t>
      </w:r>
      <w:r w:rsidRPr="008F03E5">
        <w:t xml:space="preserve"> 163)</w:t>
      </w:r>
    </w:p>
    <w:p w14:paraId="58352BE5" w14:textId="77777777" w:rsidR="00625A5B" w:rsidRPr="008F03E5" w:rsidRDefault="00625A5B" w:rsidP="00F87A63">
      <w:pPr>
        <w:pStyle w:val="Translit"/>
      </w:pPr>
      <w:r w:rsidRPr="008F03E5">
        <w:t>Ayyub (Aiyub)</w:t>
      </w:r>
      <w:r w:rsidRPr="008F03E5">
        <w:tab/>
        <w:t>Ayyúb</w:t>
      </w:r>
      <w:r w:rsidRPr="008F03E5">
        <w:tab/>
        <w:t>Job (the prophet)</w:t>
      </w:r>
    </w:p>
    <w:p w14:paraId="0AE1E036" w14:textId="77777777" w:rsidR="00625A5B" w:rsidRPr="008F03E5" w:rsidRDefault="00625A5B" w:rsidP="00F87A63">
      <w:pPr>
        <w:pStyle w:val="Translit"/>
      </w:pPr>
      <w:r w:rsidRPr="008F03E5">
        <w:t>Ayyubiyun</w:t>
      </w:r>
      <w:r w:rsidRPr="008F03E5">
        <w:tab/>
        <w:t>al-Ayyúbíyún</w:t>
      </w:r>
      <w:r w:rsidRPr="008F03E5">
        <w:tab/>
        <w:t>Ayyubid dynasty, the Ayubites</w:t>
      </w:r>
    </w:p>
    <w:p w14:paraId="1663404D" w14:textId="77777777" w:rsidR="00625A5B" w:rsidRPr="008F03E5" w:rsidRDefault="00625A5B" w:rsidP="00F87A63">
      <w:pPr>
        <w:pStyle w:val="Translit"/>
      </w:pPr>
      <w:r w:rsidRPr="008F03E5">
        <w:t>Az</w:t>
      </w:r>
      <w:r w:rsidRPr="008F03E5">
        <w:tab/>
        <w:t>Áz</w:t>
      </w:r>
      <w:r w:rsidRPr="008F03E5">
        <w:tab/>
        <w:t>Pers. desire, love, passion, lust; avidity, avarice, covetousness; (at the end of compounds) greedy; name of a city.</w:t>
      </w:r>
    </w:p>
    <w:p w14:paraId="78A684CA" w14:textId="77777777" w:rsidR="00625A5B" w:rsidRPr="008F03E5" w:rsidRDefault="00625A5B" w:rsidP="00F87A63">
      <w:pPr>
        <w:pStyle w:val="Translit"/>
      </w:pPr>
      <w:r w:rsidRPr="008F03E5">
        <w:t>Az</w:t>
      </w:r>
      <w:r w:rsidRPr="008F03E5">
        <w:tab/>
        <w:t>Az</w:t>
      </w:r>
      <w:r w:rsidRPr="008F03E5">
        <w:tab/>
        <w:t>Pers. from; of; for; by; out of; with; belonging to; by means of; in</w:t>
      </w:r>
    </w:p>
    <w:p w14:paraId="274129C7" w14:textId="77777777" w:rsidR="00625A5B" w:rsidRDefault="00625A5B" w:rsidP="005D51A2">
      <w:pPr>
        <w:pStyle w:val="Translit"/>
      </w:pPr>
      <w:r>
        <w:t>Azad Bun (Azad Bon)</w:t>
      </w:r>
      <w:r>
        <w:tab/>
      </w:r>
      <w:r w:rsidRPr="007265FB">
        <w:t>Ázád Bun</w:t>
      </w:r>
      <w:r>
        <w:tab/>
        <w:t>Pers. a v</w:t>
      </w:r>
      <w:r w:rsidRPr="007265FB">
        <w:t>illage (36.662395, 52.963961) 29 km NE Babol and 14 km</w:t>
      </w:r>
      <w:r w:rsidRPr="00A5286B">
        <w:t xml:space="preserve"> </w:t>
      </w:r>
      <w:r w:rsidRPr="00A5286B">
        <w:rPr>
          <w:sz w:val="16"/>
          <w:szCs w:val="16"/>
        </w:rPr>
        <w:t>NW</w:t>
      </w:r>
      <w:r w:rsidRPr="00A5286B">
        <w:t xml:space="preserve"> </w:t>
      </w:r>
      <w:r w:rsidRPr="007265FB">
        <w:t>of Sárí</w:t>
      </w:r>
      <w:r>
        <w:t xml:space="preserve">.  Burial place of </w:t>
      </w:r>
      <w:r w:rsidRPr="005D51A2">
        <w:t>Ḥ</w:t>
      </w:r>
      <w:r>
        <w:t>aydar, brother of Qudd</w:t>
      </w:r>
      <w:r w:rsidRPr="007265FB">
        <w:t>ú</w:t>
      </w:r>
      <w:r>
        <w:t>s.</w:t>
      </w:r>
    </w:p>
    <w:p w14:paraId="09EC7C75" w14:textId="77777777" w:rsidR="00625A5B" w:rsidRPr="008F03E5" w:rsidRDefault="00625A5B" w:rsidP="00F87A63">
      <w:pPr>
        <w:pStyle w:val="Translit"/>
      </w:pPr>
      <w:r w:rsidRPr="008F03E5">
        <w:t>Azad</w:t>
      </w:r>
      <w:r w:rsidRPr="008F03E5">
        <w:tab/>
        <w:t>Ázád</w:t>
      </w:r>
      <w:r w:rsidRPr="008F03E5">
        <w:tab/>
        <w:t>Pers. free, independent, liberated, delivered, manumitted, exempted; fault, less; solitary, lonely; a kind of faqír, or devotee; a lily; a cypress; a fresh date; an evergreen; a delicious kind of fish</w:t>
      </w:r>
    </w:p>
    <w:p w14:paraId="506F3AB7" w14:textId="77777777" w:rsidR="00625A5B" w:rsidRPr="008F03E5" w:rsidRDefault="00625A5B" w:rsidP="00F87A63">
      <w:pPr>
        <w:pStyle w:val="Translit"/>
      </w:pPr>
      <w:r w:rsidRPr="008F03E5">
        <w:t>Azadi</w:t>
      </w:r>
      <w:r w:rsidRPr="008F03E5">
        <w:tab/>
        <w:t>Ázádí</w:t>
      </w:r>
      <w:r w:rsidRPr="008F03E5">
        <w:tab/>
        <w:t>Pers. liberty; freedom from worldly cares; praise, thanksgiving</w:t>
      </w:r>
    </w:p>
    <w:p w14:paraId="562C70BF" w14:textId="77777777" w:rsidR="00625A5B" w:rsidRPr="008F03E5" w:rsidRDefault="00625A5B" w:rsidP="00F87A63">
      <w:pPr>
        <w:pStyle w:val="Translit"/>
      </w:pPr>
      <w:r w:rsidRPr="008F03E5">
        <w:t>Azal</w:t>
      </w:r>
      <w:r w:rsidRPr="008F03E5">
        <w:tab/>
        <w:t>Azal</w:t>
      </w:r>
      <w:r w:rsidRPr="008F03E5">
        <w:tab/>
        <w:t>Pers. eternity (without beginning).  cf. abad.</w:t>
      </w:r>
    </w:p>
    <w:p w14:paraId="01EE294E" w14:textId="77777777" w:rsidR="00625A5B" w:rsidRPr="008F03E5" w:rsidRDefault="00625A5B" w:rsidP="00883C93">
      <w:pPr>
        <w:pStyle w:val="Translit"/>
      </w:pPr>
      <w:r w:rsidRPr="008F03E5">
        <w:t>Azali</w:t>
      </w:r>
      <w:r w:rsidRPr="008F03E5">
        <w:tab/>
        <w:t>Azalí, pl. Azálál</w:t>
      </w:r>
      <w:r w:rsidRPr="008F03E5">
        <w:tab/>
        <w:t>Pers. existing from all eternity, eternal; God; a follower of Mírzá Yaḥyá based on his assumed title of “Ṣubḥ-i-Azal”.</w:t>
      </w:r>
    </w:p>
    <w:p w14:paraId="28B3479D" w14:textId="77777777" w:rsidR="00625A5B" w:rsidRPr="008F03E5" w:rsidRDefault="00625A5B" w:rsidP="006269FC">
      <w:pPr>
        <w:pStyle w:val="Translit"/>
      </w:pPr>
      <w:r w:rsidRPr="008F03E5">
        <w:rPr>
          <w:rFonts w:eastAsia="Times New Roman"/>
        </w:rPr>
        <w:t>Azaliya</w:t>
      </w:r>
      <w:r w:rsidRPr="008F03E5">
        <w:rPr>
          <w:rFonts w:eastAsia="Times New Roman"/>
        </w:rPr>
        <w:tab/>
        <w:t>Azalíya[t]</w:t>
      </w:r>
      <w:r w:rsidRPr="008F03E5">
        <w:rPr>
          <w:rFonts w:eastAsia="Times New Roman"/>
        </w:rPr>
        <w:tab/>
        <w:t>life everlasting, eternity</w:t>
      </w:r>
    </w:p>
    <w:p w14:paraId="00CF274F" w14:textId="77777777" w:rsidR="00625A5B" w:rsidRPr="008F03E5" w:rsidRDefault="00625A5B" w:rsidP="00F87A63">
      <w:pPr>
        <w:pStyle w:val="Translit"/>
      </w:pPr>
      <w:r w:rsidRPr="00D45A23">
        <w:rPr>
          <w:lang w:val="pl-PL"/>
        </w:rPr>
        <w:t>Azamat, ‘Azamut</w:t>
      </w:r>
      <w:r w:rsidRPr="00D45A23">
        <w:rPr>
          <w:lang w:val="pl-PL"/>
        </w:rPr>
        <w:tab/>
        <w:t xml:space="preserve">‘Azamat, ‘Azamút, pl. </w:t>
      </w:r>
      <w:r w:rsidRPr="008F03E5">
        <w:t>‘Azamát</w:t>
      </w:r>
      <w:r w:rsidRPr="008F03E5">
        <w:tab/>
        <w:t>Pers. magnitude, magnificence, pride, pomp, grandeur; (metaphorical) a grandee.</w:t>
      </w:r>
    </w:p>
    <w:p w14:paraId="2623C0F1" w14:textId="77777777" w:rsidR="00625A5B" w:rsidRPr="008F03E5" w:rsidRDefault="00625A5B" w:rsidP="00F87A63">
      <w:pPr>
        <w:pStyle w:val="Translit"/>
      </w:pPr>
      <w:r w:rsidRPr="008F03E5">
        <w:t>Azamatu’llah</w:t>
      </w:r>
      <w:r w:rsidRPr="008F03E5">
        <w:tab/>
        <w:t>‘Aẓamatu’lláh</w:t>
      </w:r>
      <w:r w:rsidRPr="008F03E5">
        <w:tab/>
        <w:t>Magnificence of God</w:t>
      </w:r>
    </w:p>
    <w:p w14:paraId="44AD9CB7" w14:textId="77777777" w:rsidR="00625A5B" w:rsidRPr="008F03E5" w:rsidRDefault="00625A5B" w:rsidP="00F87A63">
      <w:pPr>
        <w:pStyle w:val="Translit"/>
      </w:pPr>
      <w:r w:rsidRPr="008F03E5">
        <w:t>Azamut</w:t>
      </w:r>
      <w:r w:rsidRPr="008F03E5">
        <w:tab/>
        <w:t>‘Aẓamút</w:t>
      </w:r>
      <w:r w:rsidRPr="008F03E5">
        <w:tab/>
        <w:t>Ar. greatness, magnitude, grandeur, dominion</w:t>
      </w:r>
    </w:p>
    <w:p w14:paraId="5362028A" w14:textId="77777777" w:rsidR="00625A5B" w:rsidRPr="008F03E5" w:rsidRDefault="00625A5B" w:rsidP="00F87A63">
      <w:pPr>
        <w:pStyle w:val="Translit"/>
      </w:pPr>
      <w:r w:rsidRPr="008F03E5">
        <w:t>Azan</w:t>
      </w:r>
      <w:r w:rsidRPr="008F03E5">
        <w:tab/>
        <w:t>Áẓán or Aẓán (also A</w:t>
      </w:r>
      <w:r w:rsidRPr="008F03E5">
        <w:rPr>
          <w:u w:val="single"/>
        </w:rPr>
        <w:t>dh</w:t>
      </w:r>
      <w:r w:rsidRPr="008F03E5">
        <w:t>án)</w:t>
      </w:r>
      <w:r w:rsidRPr="008F03E5">
        <w:tab/>
        <w:t>Pers. announcing, giving notice; the signal for summoning to prayers, by the mu’a</w:t>
      </w:r>
      <w:r w:rsidRPr="008F03E5">
        <w:rPr>
          <w:u w:val="single"/>
        </w:rPr>
        <w:t>dhdh</w:t>
      </w:r>
      <w:r w:rsidRPr="008F03E5">
        <w:t>in (mu’aẓẓin) or crier, from the minarets or towers of the mosques; listening to</w:t>
      </w:r>
    </w:p>
    <w:p w14:paraId="7208597F" w14:textId="77777777" w:rsidR="00625A5B" w:rsidRPr="008F03E5" w:rsidRDefault="00625A5B" w:rsidP="00F87A63">
      <w:pPr>
        <w:pStyle w:val="Translit"/>
      </w:pPr>
      <w:r w:rsidRPr="008F03E5">
        <w:t>Azar</w:t>
      </w:r>
      <w:r w:rsidRPr="008F03E5">
        <w:tab/>
        <w:t>Ázar</w:t>
      </w:r>
      <w:r w:rsidRPr="008F03E5">
        <w:tab/>
        <w:t>Muslim name for Abraham’s father, or, according to others, his uncle’s, that of his father being Tári</w:t>
      </w:r>
      <w:r w:rsidRPr="008F03E5">
        <w:rPr>
          <w:u w:val="single"/>
        </w:rPr>
        <w:t>kh</w:t>
      </w:r>
      <w:r w:rsidRPr="008F03E5">
        <w:t>.  See Táraḥ and Tára</w:t>
      </w:r>
      <w:r w:rsidRPr="008F03E5">
        <w:rPr>
          <w:u w:val="single"/>
        </w:rPr>
        <w:t>kh</w:t>
      </w:r>
      <w:r w:rsidRPr="008F03E5">
        <w:t>.</w:t>
      </w:r>
    </w:p>
    <w:p w14:paraId="455E5685" w14:textId="77777777" w:rsidR="00625A5B" w:rsidRPr="008F03E5" w:rsidRDefault="00625A5B" w:rsidP="00CE6B96">
      <w:pPr>
        <w:pStyle w:val="Translit"/>
      </w:pPr>
      <w:r w:rsidRPr="008F03E5">
        <w:t>Azariqa</w:t>
      </w:r>
      <w:r w:rsidRPr="008F03E5">
        <w:tab/>
        <w:t>Azáriqa[h]</w:t>
      </w:r>
      <w:r w:rsidRPr="008F03E5">
        <w:tab/>
        <w:t>al-Azáriqah were an extremist branch of al-</w:t>
      </w:r>
      <w:r w:rsidRPr="008F03E5">
        <w:rPr>
          <w:u w:val="single"/>
        </w:rPr>
        <w:t>Kh</w:t>
      </w:r>
      <w:r w:rsidRPr="008F03E5">
        <w:t>árijíyat, who followed the leadership of Náfi‘ ibn al-Azraq.  Adherents participated in armed struggles against the rulers of the Umayyad Caliphate, declared those who avoided this duty infidels, and allowed them to be murdered.  The Azraqites did not extend the principle of killing “apostates” to Christians and Jews, since they believed that they did not betray the teachings of the prophets Jesus and Moses.</w:t>
      </w:r>
    </w:p>
    <w:p w14:paraId="4F2A100C" w14:textId="77777777" w:rsidR="00625A5B" w:rsidRPr="008F03E5" w:rsidRDefault="00625A5B" w:rsidP="00F87A63">
      <w:pPr>
        <w:pStyle w:val="Translit"/>
      </w:pPr>
      <w:r w:rsidRPr="008F03E5">
        <w:t>Az-Bagh-i-Ilahi</w:t>
      </w:r>
      <w:r w:rsidRPr="008F03E5">
        <w:tab/>
        <w:t>Az-Bá</w:t>
      </w:r>
      <w:r w:rsidRPr="008F03E5">
        <w:rPr>
          <w:u w:val="single"/>
        </w:rPr>
        <w:t>gh</w:t>
      </w:r>
      <w:r w:rsidRPr="008F03E5">
        <w:t>-i-Iláhí</w:t>
      </w:r>
      <w:r w:rsidRPr="008F03E5">
        <w:tab/>
        <w:t>“From the Garden of Holiness” by Bahá’u’lláh</w:t>
      </w:r>
    </w:p>
    <w:p w14:paraId="1BB66D22" w14:textId="77777777" w:rsidR="00625A5B" w:rsidRPr="008F03E5" w:rsidRDefault="00625A5B" w:rsidP="009478A9">
      <w:pPr>
        <w:pStyle w:val="Translit"/>
      </w:pPr>
      <w:r w:rsidRPr="008F03E5">
        <w:t>Azghand</w:t>
      </w:r>
      <w:r w:rsidRPr="008F03E5">
        <w:tab/>
        <w:t>Az</w:t>
      </w:r>
      <w:r w:rsidRPr="008F03E5">
        <w:rPr>
          <w:u w:val="single"/>
        </w:rPr>
        <w:t>gh</w:t>
      </w:r>
      <w:r w:rsidRPr="008F03E5">
        <w:t>and</w:t>
      </w:r>
      <w:r w:rsidRPr="008F03E5">
        <w:tab/>
        <w:t>village (</w:t>
      </w:r>
      <w:r w:rsidRPr="009478A9">
        <w:t>35.259502, 58.800555</w:t>
      </w:r>
      <w:r>
        <w:t xml:space="preserve">; </w:t>
      </w:r>
      <w:r w:rsidRPr="008F03E5">
        <w:t xml:space="preserve">130 km </w:t>
      </w:r>
      <w:r w:rsidRPr="008F03E5">
        <w:rPr>
          <w:sz w:val="16"/>
          <w:szCs w:val="16"/>
        </w:rPr>
        <w:t>SW</w:t>
      </w:r>
      <w:r w:rsidRPr="008F03E5">
        <w:t xml:space="preserve"> Ma</w:t>
      </w:r>
      <w:r w:rsidRPr="008F03E5">
        <w:rPr>
          <w:u w:val="single"/>
        </w:rPr>
        <w:t>sh</w:t>
      </w:r>
      <w:r w:rsidRPr="008F03E5">
        <w:t>had) and rural district</w:t>
      </w:r>
    </w:p>
    <w:p w14:paraId="408583D9" w14:textId="77777777" w:rsidR="00625A5B" w:rsidRPr="008F03E5" w:rsidRDefault="00625A5B" w:rsidP="00F87A63">
      <w:pPr>
        <w:pStyle w:val="Translit"/>
      </w:pPr>
      <w:r w:rsidRPr="008F03E5">
        <w:t>Azhar</w:t>
      </w:r>
      <w:r w:rsidRPr="008F03E5">
        <w:tab/>
        <w:t>Aẓhar</w:t>
      </w:r>
      <w:r w:rsidRPr="008F03E5">
        <w:tab/>
        <w:t>more distinct, more manifest, clearer</w:t>
      </w:r>
    </w:p>
    <w:p w14:paraId="5D1FF525" w14:textId="77777777" w:rsidR="00625A5B" w:rsidRPr="008F03E5" w:rsidRDefault="00625A5B" w:rsidP="006E2C7E">
      <w:pPr>
        <w:pStyle w:val="Translit"/>
        <w:rPr>
          <w:rFonts w:eastAsia="PMingLiU"/>
          <w:lang w:eastAsia="zh-TW"/>
        </w:rPr>
      </w:pPr>
      <w:r w:rsidRPr="008F03E5">
        <w:rPr>
          <w:rFonts w:eastAsia="PMingLiU"/>
          <w:lang w:eastAsia="zh-TW"/>
        </w:rPr>
        <w:t>Azhar, Zahra, Zahra’i</w:t>
      </w:r>
      <w:r w:rsidRPr="008F03E5">
        <w:tab/>
      </w:r>
      <w:r w:rsidRPr="008F03E5">
        <w:rPr>
          <w:rFonts w:eastAsia="PMingLiU"/>
          <w:lang w:eastAsia="zh-TW"/>
        </w:rPr>
        <w:t>Azhar, fem</w:t>
      </w:r>
      <w:r w:rsidRPr="008F03E5">
        <w:t>. Zahrá</w:t>
      </w:r>
      <w:r w:rsidRPr="008F03E5">
        <w:tab/>
        <w:t>shining, luminous, radiant, brilliant; bright.  al-Azhar University, Cairo.  Zahrá e</w:t>
      </w:r>
      <w:r w:rsidRPr="008F03E5">
        <w:rPr>
          <w:rFonts w:eastAsia="Times New Roman"/>
        </w:rPr>
        <w:t>hite splendid, clear, serene, bright, shining, beautiful, flourishing, blooming.  Comparative form zahr</w:t>
      </w:r>
      <w:r w:rsidRPr="008F03E5">
        <w:t>á</w:t>
      </w:r>
      <w:r w:rsidRPr="008F03E5">
        <w:rPr>
          <w:rFonts w:eastAsia="Times New Roman"/>
        </w:rPr>
        <w:t xml:space="preserve">’ “bright”.  Fátima bin Muhammad is commonly known as Fáṭimah az-Zahrá’, the “radiant one”. </w:t>
      </w:r>
      <w:r w:rsidRPr="008F03E5">
        <w:t xml:space="preserve"> Surname Zahrá’í a radiant one, a </w:t>
      </w:r>
      <w:r w:rsidRPr="008F03E5">
        <w:rPr>
          <w:rFonts w:eastAsia="Times New Roman"/>
        </w:rPr>
        <w:t>dazzling beauty</w:t>
      </w:r>
      <w:r w:rsidRPr="008F03E5">
        <w:t>.  See Zahra.</w:t>
      </w:r>
    </w:p>
    <w:p w14:paraId="2E0C7A10" w14:textId="77777777" w:rsidR="00625A5B" w:rsidRPr="008F03E5" w:rsidRDefault="00625A5B" w:rsidP="00C86489">
      <w:pPr>
        <w:pStyle w:val="Translit"/>
      </w:pPr>
      <w:r w:rsidRPr="008F03E5">
        <w:t>Azib</w:t>
      </w:r>
      <w:r w:rsidRPr="008F03E5">
        <w:tab/>
        <w:t>‘Ázib</w:t>
      </w:r>
      <w:r w:rsidRPr="008F03E5">
        <w:tab/>
        <w:t>unmarried; distant pasture; a camel which feeds abroad all night; name of a mountain.  Bará’ ibn ‘Ázib of the Anṣár was a companion of Muḥammad and narrator of ḥadí</w:t>
      </w:r>
      <w:r w:rsidRPr="008F03E5">
        <w:rPr>
          <w:u w:val="single"/>
        </w:rPr>
        <w:t>th</w:t>
      </w:r>
      <w:r w:rsidRPr="008F03E5">
        <w:t>.  He fought beside Muḥammad in 15.  In 645, during the caliphate of ‘U</w:t>
      </w:r>
      <w:r w:rsidRPr="008F03E5">
        <w:rPr>
          <w:u w:val="single"/>
        </w:rPr>
        <w:t>th</w:t>
      </w:r>
      <w:r w:rsidRPr="008F03E5">
        <w:t>mán, he was made governor of a</w:t>
      </w:r>
      <w:r>
        <w:t>r</w:t>
      </w:r>
      <w:r w:rsidRPr="008F03E5">
        <w:t>-Ray (in Persia).  He died in 690.</w:t>
      </w:r>
    </w:p>
    <w:p w14:paraId="2FB387B0" w14:textId="77777777" w:rsidR="00625A5B" w:rsidRPr="008F03E5" w:rsidRDefault="00625A5B" w:rsidP="00F87A63">
      <w:pPr>
        <w:pStyle w:val="Translit"/>
      </w:pPr>
      <w:r w:rsidRPr="008F03E5">
        <w:t>Azim (Azzaam)</w:t>
      </w:r>
      <w:r w:rsidRPr="008F03E5">
        <w:tab/>
        <w:t>‘Azím</w:t>
      </w:r>
      <w:r w:rsidRPr="008F03E5">
        <w:tab/>
        <w:t>applying the mind to, undertaking; determined to accomplish; a powerful enemy</w:t>
      </w:r>
    </w:p>
    <w:p w14:paraId="1569368B" w14:textId="77777777" w:rsidR="00625A5B" w:rsidRPr="008F03E5" w:rsidRDefault="00625A5B" w:rsidP="005D6D43">
      <w:pPr>
        <w:pStyle w:val="Translit"/>
      </w:pPr>
      <w:r w:rsidRPr="008F03E5">
        <w:t>Azim, Uzama, Izam, Aza’im</w:t>
      </w:r>
      <w:r w:rsidRPr="008F03E5">
        <w:tab/>
        <w:t>‘Aẓím, pl. ‘Uẓamá, ‘Iẓám, ‘Aẓá’im</w:t>
      </w:r>
      <w:r w:rsidRPr="008F03E5">
        <w:tab/>
        <w:t xml:space="preserve">great, big, large; strong, powerful, mighty; significant, important; grand, grandiose, imposing, stately, magnificent; lofty, exalted, august, sublime, splendid, gorgeous, glorious, superb; huge, vast, prodigious, enormous, tremendous, immense, stupendous; hard, distressing, gruesome, trying, oppressive (see A‘ẓam)  Mullá </w:t>
      </w:r>
      <w:r w:rsidRPr="008F03E5">
        <w:rPr>
          <w:u w:val="single"/>
        </w:rPr>
        <w:t>Sh</w:t>
      </w:r>
      <w:r w:rsidRPr="008F03E5">
        <w:t>ay</w:t>
      </w:r>
      <w:r w:rsidRPr="008F03E5">
        <w:rPr>
          <w:u w:val="single"/>
        </w:rPr>
        <w:t>kh</w:t>
      </w:r>
      <w:r w:rsidRPr="008F03E5">
        <w:t xml:space="preserve"> ‘Alí of </w:t>
      </w:r>
      <w:r w:rsidRPr="008F03E5">
        <w:rPr>
          <w:u w:val="single"/>
        </w:rPr>
        <w:t>Kh</w:t>
      </w:r>
      <w:r w:rsidRPr="008F03E5">
        <w:t>urásán was given the name ‘Aẓím by the Báb.  The Great One (Superlative form of ‘aẓuma).</w:t>
      </w:r>
    </w:p>
    <w:p w14:paraId="005E308A" w14:textId="77777777" w:rsidR="00625A5B" w:rsidRPr="008F03E5" w:rsidRDefault="00625A5B" w:rsidP="00F87A63">
      <w:pPr>
        <w:pStyle w:val="Translit"/>
      </w:pPr>
      <w:r w:rsidRPr="008F03E5">
        <w:t>Azima, ‘Aza’im</w:t>
      </w:r>
      <w:r w:rsidRPr="008F03E5">
        <w:tab/>
        <w:t>‘Azíma[h or t], pl. ‘Azá’im</w:t>
      </w:r>
      <w:r w:rsidRPr="008F03E5">
        <w:tab/>
        <w:t>determination, firm will, firm intention;—pl. resolution (to do something), decision; incantation; spell</w:t>
      </w:r>
    </w:p>
    <w:p w14:paraId="3878E0E5" w14:textId="77777777" w:rsidR="00625A5B" w:rsidRPr="00D45A23" w:rsidRDefault="00625A5B" w:rsidP="00F87A63">
      <w:pPr>
        <w:pStyle w:val="Translit"/>
        <w:rPr>
          <w:rFonts w:eastAsia="PMingLiU"/>
          <w:lang w:val="pl-PL" w:eastAsia="zh-TW"/>
        </w:rPr>
      </w:pPr>
      <w:r w:rsidRPr="00D45A23">
        <w:rPr>
          <w:rFonts w:eastAsia="PMingLiU"/>
          <w:lang w:val="pl-PL" w:eastAsia="zh-TW"/>
        </w:rPr>
        <w:t>Az</w:t>
      </w:r>
      <w:r w:rsidRPr="00D45A23">
        <w:rPr>
          <w:lang w:val="pl-PL"/>
        </w:rPr>
        <w:t>i</w:t>
      </w:r>
      <w:r w:rsidRPr="00D45A23">
        <w:rPr>
          <w:rFonts w:eastAsia="PMingLiU"/>
          <w:lang w:val="pl-PL" w:eastAsia="zh-TW"/>
        </w:rPr>
        <w:t>m-i-Kh</w:t>
      </w:r>
      <w:r w:rsidRPr="00D45A23">
        <w:rPr>
          <w:lang w:val="pl-PL"/>
        </w:rPr>
        <w:t>u</w:t>
      </w:r>
      <w:r w:rsidRPr="00D45A23">
        <w:rPr>
          <w:rFonts w:eastAsia="PMingLiU"/>
          <w:lang w:val="pl-PL" w:eastAsia="zh-TW"/>
        </w:rPr>
        <w:t>’</w:t>
      </w:r>
      <w:r w:rsidRPr="00D45A23">
        <w:rPr>
          <w:lang w:val="pl-PL"/>
        </w:rPr>
        <w:t>i</w:t>
      </w:r>
      <w:r w:rsidRPr="00D45A23">
        <w:rPr>
          <w:lang w:val="pl-PL"/>
        </w:rPr>
        <w:tab/>
      </w:r>
      <w:r w:rsidRPr="00D45A23">
        <w:rPr>
          <w:rFonts w:eastAsia="PMingLiU"/>
          <w:lang w:val="pl-PL" w:eastAsia="zh-TW"/>
        </w:rPr>
        <w:t>‘A</w:t>
      </w:r>
      <w:r w:rsidRPr="00D45A23">
        <w:rPr>
          <w:lang w:val="pl-PL"/>
        </w:rPr>
        <w:t>ẓí</w:t>
      </w:r>
      <w:r w:rsidRPr="00D45A23">
        <w:rPr>
          <w:rFonts w:eastAsia="PMingLiU"/>
          <w:lang w:val="pl-PL" w:eastAsia="zh-TW"/>
        </w:rPr>
        <w:t>m-i-</w:t>
      </w:r>
      <w:r w:rsidRPr="00D45A23">
        <w:rPr>
          <w:u w:val="single"/>
          <w:lang w:val="pl-PL"/>
        </w:rPr>
        <w:t>Kh</w:t>
      </w:r>
      <w:r w:rsidRPr="00D45A23">
        <w:rPr>
          <w:lang w:val="pl-PL"/>
        </w:rPr>
        <w:t>u</w:t>
      </w:r>
      <w:r w:rsidRPr="00D45A23">
        <w:rPr>
          <w:rFonts w:eastAsia="PMingLiU"/>
          <w:lang w:val="pl-PL" w:eastAsia="zh-TW"/>
        </w:rPr>
        <w:t>’</w:t>
      </w:r>
      <w:r w:rsidRPr="00D45A23">
        <w:rPr>
          <w:lang w:val="pl-PL"/>
        </w:rPr>
        <w:t>í</w:t>
      </w:r>
      <w:r w:rsidRPr="00D45A23">
        <w:rPr>
          <w:lang w:val="pl-PL"/>
        </w:rPr>
        <w:tab/>
      </w:r>
    </w:p>
    <w:p w14:paraId="105884F7" w14:textId="77777777" w:rsidR="00625A5B" w:rsidRPr="00077779" w:rsidRDefault="00625A5B" w:rsidP="00F87A63">
      <w:pPr>
        <w:pStyle w:val="Translit"/>
        <w:rPr>
          <w:lang w:val="pl-PL"/>
        </w:rPr>
      </w:pPr>
      <w:r w:rsidRPr="00077779">
        <w:rPr>
          <w:lang w:val="pl-PL"/>
        </w:rPr>
        <w:t>Azim-i-Tafrishi</w:t>
      </w:r>
      <w:r w:rsidRPr="00077779">
        <w:rPr>
          <w:lang w:val="pl-PL"/>
        </w:rPr>
        <w:tab/>
        <w:t>‘Aẓím-i-Tafrí</w:t>
      </w:r>
      <w:r w:rsidRPr="00077779">
        <w:rPr>
          <w:u w:val="single"/>
          <w:lang w:val="pl-PL"/>
        </w:rPr>
        <w:t>sh</w:t>
      </w:r>
      <w:r w:rsidRPr="00077779">
        <w:rPr>
          <w:lang w:val="pl-PL"/>
        </w:rPr>
        <w:t>í</w:t>
      </w:r>
      <w:r w:rsidRPr="00077779">
        <w:rPr>
          <w:lang w:val="pl-PL"/>
        </w:rPr>
        <w:tab/>
        <w:t>(</w:t>
      </w:r>
      <w:r w:rsidRPr="00077779">
        <w:rPr>
          <w:sz w:val="16"/>
          <w:szCs w:val="16"/>
          <w:lang w:val="pl-PL"/>
        </w:rPr>
        <w:t>MF</w:t>
      </w:r>
      <w:r w:rsidRPr="00077779">
        <w:rPr>
          <w:lang w:val="pl-PL"/>
        </w:rPr>
        <w:t>)</w:t>
      </w:r>
    </w:p>
    <w:p w14:paraId="2EF1BC71" w14:textId="77777777" w:rsidR="00625A5B" w:rsidRPr="00077779" w:rsidRDefault="00625A5B" w:rsidP="00F87A63">
      <w:pPr>
        <w:pStyle w:val="Translit"/>
        <w:rPr>
          <w:lang w:val="pl-PL"/>
        </w:rPr>
      </w:pPr>
      <w:r w:rsidRPr="00077779">
        <w:rPr>
          <w:lang w:val="pl-PL"/>
        </w:rPr>
        <w:t>Aziz Khan-i-Sardar</w:t>
      </w:r>
      <w:r w:rsidRPr="00077779">
        <w:rPr>
          <w:lang w:val="pl-PL"/>
        </w:rPr>
        <w:tab/>
        <w:t xml:space="preserve">‘Azíz </w:t>
      </w:r>
      <w:r w:rsidRPr="00077779">
        <w:rPr>
          <w:u w:val="single"/>
          <w:lang w:val="pl-PL"/>
        </w:rPr>
        <w:t>Kh</w:t>
      </w:r>
      <w:r w:rsidRPr="00077779">
        <w:rPr>
          <w:lang w:val="pl-PL"/>
        </w:rPr>
        <w:t>án-i-Sardár</w:t>
      </w:r>
      <w:r w:rsidRPr="00077779">
        <w:rPr>
          <w:lang w:val="pl-PL"/>
        </w:rPr>
        <w:tab/>
        <w:t>he killed Ṭáhirih</w:t>
      </w:r>
    </w:p>
    <w:p w14:paraId="0AD7042F" w14:textId="77777777" w:rsidR="00625A5B" w:rsidRPr="008F03E5" w:rsidRDefault="00625A5B" w:rsidP="008F142A">
      <w:pPr>
        <w:pStyle w:val="Translit"/>
      </w:pPr>
      <w:r w:rsidRPr="00077779">
        <w:rPr>
          <w:lang w:val="pl-PL"/>
        </w:rPr>
        <w:t>Aziz, A’izza’, A’izza</w:t>
      </w:r>
      <w:r w:rsidRPr="00077779">
        <w:rPr>
          <w:lang w:val="pl-PL"/>
        </w:rPr>
        <w:tab/>
        <w:t xml:space="preserve">‘Azíz, pl. </w:t>
      </w:r>
      <w:r w:rsidRPr="008F03E5">
        <w:t>A‘izzá’, A‘izza[h or t]</w:t>
      </w:r>
      <w:r w:rsidRPr="008F03E5">
        <w:tab/>
        <w:t>mighty, powerful, respected, distinguished, notable; strong; noble, esteemed, venerable, august; honorable; rare, scarce, scarcely to be found; difficult, hard (for); precious, costly, valuable; dear, beloved (to), cherished, valued (by); friend; ruler, overlord</w:t>
      </w:r>
    </w:p>
    <w:p w14:paraId="75C83D56" w14:textId="77777777" w:rsidR="00625A5B" w:rsidRPr="008F03E5" w:rsidRDefault="00625A5B" w:rsidP="00F87A63">
      <w:pPr>
        <w:pStyle w:val="Translit"/>
        <w:rPr>
          <w:rFonts w:eastAsia="PMingLiU"/>
          <w:lang w:eastAsia="zh-TW"/>
        </w:rPr>
      </w:pPr>
      <w:r w:rsidRPr="008F03E5">
        <w:rPr>
          <w:rFonts w:eastAsia="PMingLiU"/>
          <w:lang w:eastAsia="zh-TW"/>
        </w:rPr>
        <w:t>Azizi</w:t>
      </w:r>
      <w:r w:rsidRPr="008F03E5">
        <w:tab/>
      </w:r>
      <w:r w:rsidRPr="008F03E5">
        <w:rPr>
          <w:rFonts w:eastAsia="PMingLiU"/>
          <w:lang w:eastAsia="zh-TW"/>
        </w:rPr>
        <w:t>‘Azízí</w:t>
      </w:r>
      <w:r w:rsidRPr="008F03E5">
        <w:tab/>
        <w:t>(Ar. element) g</w:t>
      </w:r>
      <w:r w:rsidRPr="008F03E5">
        <w:rPr>
          <w:rFonts w:eastAsia="Times New Roman"/>
        </w:rPr>
        <w:t>reatness, valuableness</w:t>
      </w:r>
    </w:p>
    <w:p w14:paraId="1DE60A46" w14:textId="77777777" w:rsidR="00625A5B" w:rsidRPr="008F03E5" w:rsidRDefault="00625A5B" w:rsidP="00121D00">
      <w:pPr>
        <w:pStyle w:val="Translit"/>
      </w:pPr>
      <w:r w:rsidRPr="008F03E5">
        <w:t>Azizu’llah</w:t>
      </w:r>
      <w:r w:rsidRPr="008F03E5">
        <w:tab/>
        <w:t>‘Azízu’lláh</w:t>
      </w:r>
      <w:r w:rsidRPr="008F03E5">
        <w:tab/>
        <w:t xml:space="preserve">“Dear God”.  ‘Azízu’lláh </w:t>
      </w:r>
      <w:r w:rsidRPr="008F03E5">
        <w:rPr>
          <w:u w:val="single"/>
        </w:rPr>
        <w:t>Kh</w:t>
      </w:r>
      <w:r w:rsidRPr="008F03E5">
        <w:t>án Bahádur (</w:t>
      </w:r>
      <w:r w:rsidRPr="008F03E5">
        <w:rPr>
          <w:i/>
          <w:iCs/>
        </w:rPr>
        <w:t>Unfolding Destiny</w:t>
      </w:r>
      <w:r w:rsidRPr="008F03E5">
        <w:t>, p. 44)</w:t>
      </w:r>
    </w:p>
    <w:p w14:paraId="1D24E6D7" w14:textId="77777777" w:rsidR="00625A5B" w:rsidRPr="008F03E5" w:rsidRDefault="00625A5B" w:rsidP="00F87A63">
      <w:pPr>
        <w:pStyle w:val="Translit"/>
      </w:pPr>
      <w:r w:rsidRPr="008F03E5">
        <w:t>Azm</w:t>
      </w:r>
      <w:r w:rsidRPr="008F03E5">
        <w:tab/>
        <w:t>‘Azm</w:t>
      </w:r>
      <w:r w:rsidRPr="008F03E5">
        <w:tab/>
        <w:t>determination, firm will, firm intention, decision, resolution; energy</w:t>
      </w:r>
    </w:p>
    <w:p w14:paraId="2BB87D8E" w14:textId="77777777" w:rsidR="00625A5B" w:rsidRPr="008F03E5" w:rsidRDefault="00625A5B" w:rsidP="000979A0">
      <w:pPr>
        <w:pStyle w:val="Translit"/>
      </w:pPr>
      <w:r w:rsidRPr="008F03E5">
        <w:t>Azm, A’zum, ‘Izam</w:t>
      </w:r>
      <w:r w:rsidRPr="008F03E5">
        <w:tab/>
        <w:t>‘Aẓm, pl. A‘ẓum, ‘Iẓám</w:t>
      </w:r>
      <w:r w:rsidRPr="008F03E5">
        <w:tab/>
        <w:t>bone</w:t>
      </w:r>
    </w:p>
    <w:p w14:paraId="5FB573F2" w14:textId="77777777" w:rsidR="00625A5B" w:rsidRPr="008F03E5" w:rsidRDefault="00625A5B" w:rsidP="002320AE">
      <w:pPr>
        <w:pStyle w:val="Translit"/>
      </w:pPr>
      <w:r w:rsidRPr="008F03E5">
        <w:t>Azraq, Zarqa’, Zurq</w:t>
      </w:r>
      <w:r w:rsidRPr="008F03E5">
        <w:tab/>
        <w:t>Azraq, fem. Zarqá’, pl. Zurq</w:t>
      </w:r>
      <w:r w:rsidRPr="008F03E5">
        <w:tab/>
        <w:t>blue; blue eyed; heaven, the sky.  al-Azraq a</w:t>
      </w:r>
      <w:r w:rsidRPr="008F03E5">
        <w:rPr>
          <w:u w:val="single"/>
        </w:rPr>
        <w:t>sh</w:t>
      </w:r>
      <w:r w:rsidRPr="008F03E5">
        <w:t>-</w:t>
      </w:r>
      <w:r w:rsidRPr="008F03E5">
        <w:rPr>
          <w:u w:val="single"/>
        </w:rPr>
        <w:t>Sh</w:t>
      </w:r>
      <w:r w:rsidRPr="008F03E5">
        <w:t>ámí, a Damascene blue dye, also name of a Syrian notorious for causing grave suffering to the captive family of Imám Ḥusayn after the tragedy of Karbila.</w:t>
      </w:r>
    </w:p>
    <w:p w14:paraId="4F2DF011" w14:textId="77777777" w:rsidR="00625A5B" w:rsidRPr="008F03E5" w:rsidRDefault="00625A5B" w:rsidP="000979A0">
      <w:pPr>
        <w:pStyle w:val="Translit"/>
      </w:pPr>
      <w:r w:rsidRPr="008F03E5">
        <w:t>Azuma, Izam, Azama</w:t>
      </w:r>
      <w:r w:rsidRPr="008F03E5">
        <w:tab/>
        <w:t>‘Aẓuma, ‘Iẓam, ‘Aẓáma</w:t>
      </w:r>
      <w:r w:rsidRPr="008F03E5">
        <w:tab/>
        <w:t>to be or become great, big, large, grand, grandiose, magnificent, imposing, powerful, or mighty; etc.</w:t>
      </w:r>
    </w:p>
    <w:p w14:paraId="305F9E42" w14:textId="77777777" w:rsidR="00625A5B" w:rsidRPr="008F03E5" w:rsidRDefault="00625A5B" w:rsidP="00F87A63">
      <w:pPr>
        <w:pStyle w:val="Translit"/>
      </w:pPr>
      <w:r w:rsidRPr="008F03E5">
        <w:t>Azurdigan (Azordegan, Azordigan)</w:t>
      </w:r>
      <w:r w:rsidRPr="008F03E5">
        <w:tab/>
        <w:t>Ázúrdigán</w:t>
      </w:r>
      <w:r w:rsidRPr="008F03E5">
        <w:tab/>
        <w:t>Pers. name</w:t>
      </w:r>
    </w:p>
    <w:p w14:paraId="5F471AE6" w14:textId="77777777" w:rsidR="00625A5B" w:rsidRPr="008F03E5" w:rsidRDefault="00625A5B" w:rsidP="00F87A63">
      <w:pPr>
        <w:pStyle w:val="Translit"/>
      </w:pPr>
      <w:r w:rsidRPr="008F03E5">
        <w:t>Azza, Izz, Azaza</w:t>
      </w:r>
      <w:r w:rsidRPr="008F03E5">
        <w:tab/>
        <w:t>‘Azza (‘Izz, ‘Izza ‘Azáza)</w:t>
      </w:r>
      <w:r w:rsidRPr="008F03E5">
        <w:tab/>
        <w:t>to be or become strong, powerful, respected; etc.</w:t>
      </w:r>
    </w:p>
    <w:p w14:paraId="45DFC9FD" w14:textId="77777777" w:rsidR="00625A5B" w:rsidRPr="008F03E5" w:rsidRDefault="00625A5B" w:rsidP="0024326A">
      <w:pPr>
        <w:pStyle w:val="Myhead"/>
      </w:pPr>
      <w:bookmarkStart w:id="48" w:name="B"/>
      <w:r w:rsidRPr="008F03E5">
        <w:t>B</w:t>
      </w:r>
      <w:bookmarkEnd w:id="48"/>
    </w:p>
    <w:p w14:paraId="3554BFFC" w14:textId="77777777" w:rsidR="00625A5B" w:rsidRPr="008F03E5" w:rsidRDefault="00625A5B" w:rsidP="005706AD">
      <w:pPr>
        <w:pStyle w:val="Translit"/>
      </w:pPr>
      <w:r w:rsidRPr="008F03E5">
        <w:t>Ba</w:t>
      </w:r>
      <w:r w:rsidRPr="008F03E5">
        <w:tab/>
        <w:t>Bá’</w:t>
      </w:r>
      <w:r w:rsidRPr="008F03E5">
        <w:tab/>
        <w:t>name of the second Arabic letter, b.  This “lying down” letter (Persian can be transcripted as bih) can be used to represent humility.</w:t>
      </w:r>
    </w:p>
    <w:p w14:paraId="0F55EE8E" w14:textId="77777777" w:rsidR="00625A5B" w:rsidRPr="008F03E5" w:rsidRDefault="00625A5B" w:rsidP="003D6618">
      <w:pPr>
        <w:pStyle w:val="Translit"/>
      </w:pPr>
      <w:r w:rsidRPr="008F03E5">
        <w:t>Ba’ata (ba’t)</w:t>
      </w:r>
      <w:r w:rsidRPr="008F03E5">
        <w:tab/>
        <w:t>Ba‘ata (Ba‘t)</w:t>
      </w:r>
      <w:r w:rsidRPr="008F03E5">
        <w:tab/>
        <w:t>to send, send out, dispatch; to forward; to delegate; to emit; to evoke, arouse, call forth, awaken; to stir up, provoke, bring on; to revive, resuscitate; to resurrect (someone from death); to incite, induce, instigate; to cause (something; e.g., astonishment)</w:t>
      </w:r>
    </w:p>
    <w:p w14:paraId="6EAD866A" w14:textId="77777777" w:rsidR="00625A5B" w:rsidRPr="008F03E5" w:rsidRDefault="00625A5B" w:rsidP="001816A9">
      <w:pPr>
        <w:pStyle w:val="Translit"/>
      </w:pPr>
      <w:r w:rsidRPr="008F03E5">
        <w:t>Ba’da</w:t>
      </w:r>
      <w:r w:rsidRPr="008F03E5">
        <w:tab/>
        <w:t>Ba‘da</w:t>
      </w:r>
      <w:r w:rsidRPr="008F03E5">
        <w:tab/>
        <w:t>(preposition) after; in addition to, beside; aside from</w:t>
      </w:r>
    </w:p>
    <w:p w14:paraId="120A7FA1" w14:textId="77777777" w:rsidR="00625A5B" w:rsidRPr="008F03E5" w:rsidRDefault="00625A5B" w:rsidP="001738B3">
      <w:pPr>
        <w:pStyle w:val="Translit"/>
      </w:pPr>
      <w:r w:rsidRPr="008F03E5">
        <w:t>Ba’is, Bu’asa’ (Buasa, Buassa)</w:t>
      </w:r>
      <w:r w:rsidRPr="008F03E5">
        <w:tab/>
        <w:t>Ba’ís, pl. Bu’asá’</w:t>
      </w:r>
      <w:r w:rsidRPr="008F03E5">
        <w:tab/>
        <w:t>miserable, wretched</w:t>
      </w:r>
    </w:p>
    <w:p w14:paraId="37CF055A" w14:textId="77777777" w:rsidR="00625A5B" w:rsidRPr="008F03E5" w:rsidRDefault="00625A5B" w:rsidP="003D6618">
      <w:pPr>
        <w:pStyle w:val="Translit"/>
      </w:pPr>
      <w:r w:rsidRPr="008F03E5">
        <w:t>Ba’ith, Bawa’ith</w:t>
      </w:r>
      <w:r w:rsidRPr="008F03E5">
        <w:tab/>
        <w:t>Bá‘i</w:t>
      </w:r>
      <w:r w:rsidRPr="008F03E5">
        <w:rPr>
          <w:u w:val="single"/>
        </w:rPr>
        <w:t>th</w:t>
      </w:r>
      <w:r w:rsidRPr="008F03E5">
        <w:t>, pl. Bawá‘i</w:t>
      </w:r>
      <w:r w:rsidRPr="008F03E5">
        <w:rPr>
          <w:u w:val="single"/>
        </w:rPr>
        <w:t>th</w:t>
      </w:r>
      <w:r w:rsidRPr="008F03E5">
        <w:tab/>
        <w:t>incentive, inducement, motive, spur, reason, cause, occasion.  Root is ba‘ata, so can also mean to resurrect from death.</w:t>
      </w:r>
    </w:p>
    <w:p w14:paraId="1C0D1A93" w14:textId="77777777" w:rsidR="00625A5B" w:rsidRPr="008F03E5" w:rsidRDefault="00625A5B" w:rsidP="00B111C5">
      <w:pPr>
        <w:pStyle w:val="Translit"/>
      </w:pPr>
      <w:r w:rsidRPr="008F03E5">
        <w:t>Ba’qubah, Baqubah, Baquba, Baqouba</w:t>
      </w:r>
      <w:r w:rsidRPr="008F03E5">
        <w:tab/>
        <w:t>Ba‘qúbah</w:t>
      </w:r>
      <w:r w:rsidRPr="008F03E5">
        <w:tab/>
        <w:t xml:space="preserve">city 51 km </w:t>
      </w:r>
      <w:r w:rsidRPr="008F03E5">
        <w:rPr>
          <w:sz w:val="16"/>
          <w:szCs w:val="16"/>
        </w:rPr>
        <w:t>NNE</w:t>
      </w:r>
      <w:r w:rsidRPr="008F03E5">
        <w:t xml:space="preserve"> of Baghdad, on the Diyala River.  Bahá’u’lláh passed here en route to Baghdad.</w:t>
      </w:r>
    </w:p>
    <w:p w14:paraId="3DC13AD1" w14:textId="77777777" w:rsidR="00625A5B" w:rsidRPr="008F03E5" w:rsidRDefault="00625A5B" w:rsidP="00E929FD">
      <w:pPr>
        <w:pStyle w:val="Translit"/>
      </w:pPr>
      <w:r w:rsidRPr="008F03E5">
        <w:t>Ba’th, Bu’uth</w:t>
      </w:r>
      <w:r w:rsidRPr="008F03E5">
        <w:tab/>
        <w:t>Ba‘</w:t>
      </w:r>
      <w:r w:rsidRPr="008F03E5">
        <w:rPr>
          <w:u w:val="single"/>
        </w:rPr>
        <w:t>th</w:t>
      </w:r>
      <w:r w:rsidRPr="008F03E5">
        <w:t>, pl. Bu‘ú</w:t>
      </w:r>
      <w:r w:rsidRPr="008F03E5">
        <w:rPr>
          <w:u w:val="single"/>
        </w:rPr>
        <w:t>th</w:t>
      </w:r>
      <w:r w:rsidRPr="008F03E5">
        <w:tab/>
        <w:t>sending out, emission, dispatching, delegation, etc.; resurrection;—pl. delegations, deputations.  Yawm al-Ba‘</w:t>
      </w:r>
      <w:r w:rsidRPr="008F03E5">
        <w:rPr>
          <w:u w:val="single"/>
        </w:rPr>
        <w:t>th</w:t>
      </w:r>
      <w:r w:rsidRPr="008F03E5">
        <w:t xml:space="preserve"> Day of Resurrection (from the dead)</w:t>
      </w:r>
    </w:p>
    <w:p w14:paraId="38FA2D5B" w14:textId="77777777" w:rsidR="00625A5B" w:rsidRPr="008F03E5" w:rsidRDefault="00625A5B" w:rsidP="00B111C5">
      <w:pPr>
        <w:pStyle w:val="Translit"/>
      </w:pPr>
      <w:r w:rsidRPr="008F03E5">
        <w:t>Ba’tha (Bi’tha), Ba’atat</w:t>
      </w:r>
      <w:r w:rsidRPr="008F03E5">
        <w:tab/>
        <w:t>Ba‘</w:t>
      </w:r>
      <w:r w:rsidRPr="008F03E5">
        <w:rPr>
          <w:u w:val="single"/>
        </w:rPr>
        <w:t>th</w:t>
      </w:r>
      <w:r w:rsidRPr="008F03E5">
        <w:t>a[h or t], pl. Ba‘a</w:t>
      </w:r>
      <w:r w:rsidRPr="008F03E5">
        <w:rPr>
          <w:u w:val="single"/>
        </w:rPr>
        <w:t>th</w:t>
      </w:r>
      <w:r w:rsidRPr="008F03E5">
        <w:t>át</w:t>
      </w:r>
      <w:r w:rsidRPr="008F03E5">
        <w:tab/>
        <w:t>delegation, deputation, mission; expedition; student exchange; group of exchange students; revival, rebirth, renaissance, rise.  The Báb is said to calculate the beginning of the Islamic revelation from the year Ba‘</w:t>
      </w:r>
      <w:r w:rsidRPr="008F03E5">
        <w:rPr>
          <w:u w:val="single"/>
        </w:rPr>
        <w:t>th</w:t>
      </w:r>
      <w:r w:rsidRPr="008F03E5">
        <w:t xml:space="preserve">a (the Call in </w:t>
      </w:r>
      <w:r w:rsidRPr="008F03E5">
        <w:rPr>
          <w:sz w:val="16"/>
          <w:szCs w:val="16"/>
        </w:rPr>
        <w:t>CE</w:t>
      </w:r>
      <w:r w:rsidRPr="008F03E5">
        <w:t xml:space="preserve"> 612) instead of the year of the Hijra (</w:t>
      </w:r>
      <w:r w:rsidRPr="008F03E5">
        <w:rPr>
          <w:sz w:val="16"/>
          <w:szCs w:val="16"/>
        </w:rPr>
        <w:t>CE</w:t>
      </w:r>
      <w:r w:rsidRPr="008F03E5">
        <w:t xml:space="preserve"> 622) when Muḥammad migrated from Mecca to Medina.</w:t>
      </w:r>
    </w:p>
    <w:p w14:paraId="70AAD632" w14:textId="77777777" w:rsidR="00625A5B" w:rsidRPr="008F03E5" w:rsidRDefault="00625A5B" w:rsidP="00DF2F63">
      <w:pPr>
        <w:pStyle w:val="Translit"/>
      </w:pPr>
      <w:r w:rsidRPr="008F03E5">
        <w:t>Bab, Babayn (Babain), Abwab, Abvab</w:t>
      </w:r>
      <w:r w:rsidRPr="008F03E5">
        <w:tab/>
        <w:t>Báb, dual Bábayn, pl. Abwáb, Pers. Abváb</w:t>
      </w:r>
      <w:r w:rsidRPr="008F03E5">
        <w:tab/>
        <w:t xml:space="preserve">door; gate; opening, gateway; entrance; chapter, section, column, rubric; group, class, category; field, domain (figurative).  Title assumed by Siyyid Mírzá ‘Alí Muḥammad (al-Báb, the Gate; born 1 Muḥarram 1235, 20 October 1819; executed 27 </w:t>
      </w:r>
      <w:r w:rsidRPr="008F03E5">
        <w:rPr>
          <w:u w:val="single"/>
        </w:rPr>
        <w:t>Sh</w:t>
      </w:r>
      <w:r w:rsidRPr="008F03E5">
        <w:t xml:space="preserve">a‘bán 1266, 9 July 1850 in the Tabriz barrack square) after the declaration of His Mission in </w:t>
      </w:r>
      <w:r w:rsidRPr="008F03E5">
        <w:rPr>
          <w:u w:val="single"/>
        </w:rPr>
        <w:t>Sh</w:t>
      </w:r>
      <w:r w:rsidRPr="008F03E5">
        <w:t xml:space="preserve">íráz two hours and eleven minutes after sunset on 22 May 1844.  Father was Mírzá Muḥammad-Riḍá, who died (1828) while he was still an infant.  </w:t>
      </w:r>
      <w:r>
        <w:t xml:space="preserve">House location in </w:t>
      </w:r>
      <w:r w:rsidRPr="00DF2F63">
        <w:rPr>
          <w:u w:val="single"/>
        </w:rPr>
        <w:t>Sh</w:t>
      </w:r>
      <w:r w:rsidRPr="00DF2F63">
        <w:t>í</w:t>
      </w:r>
      <w:r>
        <w:t>r</w:t>
      </w:r>
      <w:r w:rsidRPr="00DF2F63">
        <w:t>á</w:t>
      </w:r>
      <w:r>
        <w:t>z, see Baytu’l-Mahd</w:t>
      </w:r>
      <w:r w:rsidRPr="00A12E9D">
        <w:t>í</w:t>
      </w:r>
      <w:r>
        <w:t xml:space="preserve">. </w:t>
      </w:r>
      <w:r w:rsidRPr="008F03E5">
        <w:t xml:space="preserve"> He left to go on pilgrimage to Mecca, arriving in time to perform the sacrifice on Friday 10 </w:t>
      </w:r>
      <w:r w:rsidRPr="008F03E5">
        <w:rPr>
          <w:rFonts w:eastAsia="PMingLiU"/>
          <w:u w:val="single"/>
          <w:lang w:eastAsia="zh-TW"/>
        </w:rPr>
        <w:t>Dh</w:t>
      </w:r>
      <w:r w:rsidRPr="008F03E5">
        <w:rPr>
          <w:rFonts w:eastAsia="PMingLiU"/>
          <w:lang w:eastAsia="zh-TW"/>
        </w:rPr>
        <w:t>u’l-</w:t>
      </w:r>
      <w:r w:rsidRPr="008F03E5">
        <w:t>Ḥ</w:t>
      </w:r>
      <w:r w:rsidRPr="008F03E5">
        <w:rPr>
          <w:rFonts w:eastAsia="PMingLiU"/>
          <w:lang w:eastAsia="zh-TW"/>
        </w:rPr>
        <w:t xml:space="preserve">ijjah 1260 (Friday 20 December 1844).  Before leaving He addressed a Tablet to the </w:t>
      </w:r>
      <w:r w:rsidRPr="008F03E5">
        <w:rPr>
          <w:u w:val="single"/>
        </w:rPr>
        <w:t>Sh</w:t>
      </w:r>
      <w:r w:rsidRPr="008F03E5">
        <w:t xml:space="preserve">aríf of Mecca (Muḥammad ibn ‘Abd al-Mu‘ín, see the ‘Awn entry) to proclaim His advent.  He </w:t>
      </w:r>
      <w:r w:rsidRPr="008F03E5">
        <w:rPr>
          <w:rFonts w:eastAsia="PMingLiU"/>
          <w:lang w:eastAsia="zh-TW"/>
        </w:rPr>
        <w:t xml:space="preserve">arrived in Medina </w:t>
      </w:r>
      <w:r w:rsidRPr="008F03E5">
        <w:t xml:space="preserve">on 1 Muḥarram 1261 (Friday 10 January 1845), His birthday. </w:t>
      </w:r>
      <w:r w:rsidRPr="008F03E5">
        <w:rPr>
          <w:rFonts w:eastAsia="PMingLiU"/>
          <w:lang w:eastAsia="zh-TW"/>
        </w:rPr>
        <w:t xml:space="preserve"> From Medina He travelled to Jiddah and sailed back to B</w:t>
      </w:r>
      <w:r w:rsidRPr="008F03E5">
        <w:t>ú</w:t>
      </w:r>
      <w:r w:rsidRPr="008F03E5">
        <w:rPr>
          <w:rFonts w:eastAsia="PMingLiU"/>
          <w:u w:val="single"/>
          <w:lang w:eastAsia="zh-TW"/>
        </w:rPr>
        <w:t>sh</w:t>
      </w:r>
      <w:r w:rsidRPr="008F03E5">
        <w:rPr>
          <w:rFonts w:eastAsia="PMingLiU"/>
          <w:lang w:eastAsia="zh-TW"/>
        </w:rPr>
        <w:t xml:space="preserve">ihr.  </w:t>
      </w:r>
      <w:r w:rsidRPr="008F03E5">
        <w:t xml:space="preserve">His wife was </w:t>
      </w:r>
      <w:r w:rsidRPr="008F03E5">
        <w:rPr>
          <w:u w:val="single"/>
        </w:rPr>
        <w:t>Kh</w:t>
      </w:r>
      <w:r w:rsidRPr="008F03E5">
        <w:t>adíjih-Bagum.  Writings:  Qayyúmu’l-Asmá’, the Persian and Arabic Bayán, Dalá’il-i-Sab‘ih (“Seven Proofs”) and the Kitáb-i-Asmá’.  Second wife, Fáṭimih (sister of Mullá Rajab ‘Alí Qahír and Mullá ‘Alí Muḥammad Siráj), married 6 months in Iṣfahán in 1847; Mírzá Yaḥyá married her for a few days (Bahá’u’lláh was in Kurdistán), on the basis that he was the Báb’s “successor”, then passed her to Siyyid Muḥammad.  Some designations of the Báb are:  Siyyid-i-</w:t>
      </w:r>
      <w:r w:rsidRPr="008F03E5">
        <w:rPr>
          <w:u w:val="single"/>
        </w:rPr>
        <w:t>Dh</w:t>
      </w:r>
      <w:r w:rsidRPr="008F03E5">
        <w:t>ikr, Ṭal‘at-i-A‘lá, Siyyid-i-Báb, ‘Abdu’</w:t>
      </w:r>
      <w:r w:rsidRPr="008F03E5">
        <w:rPr>
          <w:u w:val="single"/>
        </w:rPr>
        <w:t>dh</w:t>
      </w:r>
      <w:r w:rsidRPr="008F03E5">
        <w:t>-</w:t>
      </w:r>
      <w:r w:rsidRPr="008F03E5">
        <w:rPr>
          <w:u w:val="single"/>
        </w:rPr>
        <w:t>Dh</w:t>
      </w:r>
      <w:r w:rsidRPr="008F03E5">
        <w:t>ikr, Ḥaḍrat-i-A‘lá, Bábu’lláh, Rabb-i-A‘lá, Nuqṭiy-i-Úlá and Nuqṭiy-i-Bayán. (</w:t>
      </w:r>
      <w:r w:rsidRPr="008F03E5">
        <w:rPr>
          <w:sz w:val="16"/>
          <w:szCs w:val="16"/>
        </w:rPr>
        <w:t>DB</w:t>
      </w:r>
      <w:r w:rsidRPr="008F03E5">
        <w:t xml:space="preserve"> 72).</w:t>
      </w:r>
    </w:p>
    <w:p w14:paraId="64E829B5" w14:textId="77777777" w:rsidR="00625A5B" w:rsidRPr="008F03E5" w:rsidRDefault="00625A5B" w:rsidP="00B560D0">
      <w:pPr>
        <w:pStyle w:val="Translit"/>
      </w:pPr>
      <w:r w:rsidRPr="008F03E5">
        <w:t>Baba, Babawat</w:t>
      </w:r>
      <w:r w:rsidRPr="008F03E5">
        <w:tab/>
        <w:t>Bábá, pl. Bábawát, Pers. Bábáyán</w:t>
      </w:r>
      <w:r w:rsidRPr="008F03E5">
        <w:tab/>
        <w:t>pope; papa, father, daddy</w:t>
      </w:r>
    </w:p>
    <w:p w14:paraId="3994F406" w14:textId="77777777" w:rsidR="00625A5B" w:rsidRPr="008F03E5" w:rsidRDefault="00625A5B" w:rsidP="00873573">
      <w:pPr>
        <w:pStyle w:val="Translit"/>
      </w:pPr>
      <w:r w:rsidRPr="008F03E5">
        <w:t>Baba-Iski</w:t>
      </w:r>
      <w:r w:rsidRPr="008F03E5">
        <w:tab/>
        <w:t>Bábá-Iskí</w:t>
      </w:r>
      <w:r w:rsidRPr="008F03E5">
        <w:tab/>
        <w:t xml:space="preserve">Babaeski, 50 km </w:t>
      </w:r>
      <w:r w:rsidRPr="008F03E5">
        <w:rPr>
          <w:sz w:val="16"/>
          <w:szCs w:val="16"/>
        </w:rPr>
        <w:t>SE</w:t>
      </w:r>
      <w:r w:rsidRPr="008F03E5">
        <w:t xml:space="preserve"> Adrianople, </w:t>
      </w:r>
      <w:r w:rsidRPr="00873573">
        <w:t>Türkiye</w:t>
      </w:r>
    </w:p>
    <w:p w14:paraId="226259E8" w14:textId="77777777" w:rsidR="00625A5B" w:rsidRPr="008F03E5" w:rsidRDefault="00625A5B" w:rsidP="00625A5B">
      <w:pPr>
        <w:pStyle w:val="Translit"/>
      </w:pPr>
      <w:r w:rsidRPr="008F03E5">
        <w:t>Babak</w:t>
      </w:r>
      <w:r w:rsidRPr="008F03E5">
        <w:tab/>
        <w:t>Bábak</w:t>
      </w:r>
      <w:r w:rsidRPr="008F03E5">
        <w:tab/>
        <w:t>Pers. (diminutive of báb), a little father; one who educates; faithful, constant, firm, strong; a turquoise stone; name of a king.</w:t>
      </w:r>
    </w:p>
    <w:p w14:paraId="321FD6F3" w14:textId="77777777" w:rsidR="00625A5B" w:rsidRPr="005D553D" w:rsidRDefault="00625A5B" w:rsidP="00175588">
      <w:pPr>
        <w:pStyle w:val="Translit"/>
        <w:rPr>
          <w:lang w:val="en-AU"/>
        </w:rPr>
      </w:pPr>
      <w:r>
        <w:rPr>
          <w:lang w:val="en-AU"/>
        </w:rPr>
        <w:t>Babawayh</w:t>
      </w:r>
      <w:r>
        <w:rPr>
          <w:lang w:val="en-AU"/>
        </w:rPr>
        <w:tab/>
      </w:r>
      <w:r w:rsidRPr="00C27DF1">
        <w:t>Bábawayh</w:t>
      </w:r>
      <w:r w:rsidRPr="00C27DF1">
        <w:tab/>
        <w:t>Persian family name.</w:t>
      </w:r>
      <w:r>
        <w:rPr>
          <w:lang w:val="en-AU"/>
        </w:rPr>
        <w:t xml:space="preserve">  </w:t>
      </w:r>
      <w:r w:rsidRPr="00C27DF1">
        <w:t>Abú Ja‘far Muḥammad ibn ‘Alí ibn al-Ḥusayn ibn Músá ibn Bábawayh al-Qummí (c. 923–991), usually known as ibn Bábawayh or by the title a</w:t>
      </w:r>
      <w:r w:rsidRPr="00C27DF1">
        <w:rPr>
          <w:u w:val="single"/>
        </w:rPr>
        <w:t>sh</w:t>
      </w:r>
      <w:r w:rsidRPr="00C27DF1">
        <w:t xml:space="preserve">-Shaykh aṣ-Ṣadúq (“the truthful scholar”), was a Persian </w:t>
      </w:r>
      <w:r w:rsidRPr="00C27DF1">
        <w:rPr>
          <w:u w:val="single"/>
        </w:rPr>
        <w:t>Sh</w:t>
      </w:r>
      <w:r w:rsidRPr="00C27DF1">
        <w:t>í‘a Islamic scholar.</w:t>
      </w:r>
    </w:p>
    <w:p w14:paraId="0A85EE90" w14:textId="77777777" w:rsidR="00625A5B" w:rsidRPr="005D553D" w:rsidRDefault="00625A5B" w:rsidP="005D553D">
      <w:pPr>
        <w:pStyle w:val="Translit"/>
        <w:rPr>
          <w:lang w:val="en-AU"/>
        </w:rPr>
      </w:pPr>
      <w:r w:rsidRPr="005D553D">
        <w:rPr>
          <w:lang w:val="en-AU"/>
        </w:rPr>
        <w:t>Babawi</w:t>
      </w:r>
      <w:r w:rsidRPr="005D553D">
        <w:rPr>
          <w:lang w:val="en-AU"/>
        </w:rPr>
        <w:tab/>
        <w:t>Bábawí</w:t>
      </w:r>
      <w:r w:rsidRPr="005D553D">
        <w:rPr>
          <w:lang w:val="en-AU"/>
        </w:rPr>
        <w:tab/>
        <w:t>papal, relating to t</w:t>
      </w:r>
      <w:r>
        <w:rPr>
          <w:lang w:val="en-AU"/>
        </w:rPr>
        <w:t>he Pope</w:t>
      </w:r>
    </w:p>
    <w:p w14:paraId="4F1DCC53" w14:textId="77777777" w:rsidR="00625A5B" w:rsidRPr="005D553D" w:rsidRDefault="00625A5B" w:rsidP="005D553D">
      <w:pPr>
        <w:pStyle w:val="Translit"/>
        <w:rPr>
          <w:lang w:val="en-AU"/>
        </w:rPr>
      </w:pPr>
      <w:r w:rsidRPr="005D553D">
        <w:rPr>
          <w:lang w:val="en-AU"/>
        </w:rPr>
        <w:t>Babawiya</w:t>
      </w:r>
      <w:r w:rsidRPr="005D553D">
        <w:rPr>
          <w:lang w:val="en-AU"/>
        </w:rPr>
        <w:tab/>
        <w:t>Bábawíya[h or t]</w:t>
      </w:r>
      <w:r w:rsidRPr="005D553D">
        <w:rPr>
          <w:lang w:val="en-AU"/>
        </w:rPr>
        <w:tab/>
        <w:t>papacy,</w:t>
      </w:r>
      <w:r>
        <w:rPr>
          <w:lang w:val="en-AU"/>
        </w:rPr>
        <w:t xml:space="preserve"> office of the Pope</w:t>
      </w:r>
    </w:p>
    <w:p w14:paraId="453466F7" w14:textId="77777777" w:rsidR="00625A5B" w:rsidRPr="008F03E5" w:rsidRDefault="00625A5B" w:rsidP="000C5CB8">
      <w:pPr>
        <w:pStyle w:val="Translit"/>
        <w:rPr>
          <w:rFonts w:eastAsia="PMingLiU"/>
          <w:lang w:eastAsia="zh-TW"/>
        </w:rPr>
      </w:pPr>
      <w:r w:rsidRPr="008F03E5">
        <w:rPr>
          <w:rFonts w:eastAsia="PMingLiU"/>
          <w:lang w:eastAsia="zh-TW"/>
        </w:rPr>
        <w:t>Baba-zadih (Babazadih)</w:t>
      </w:r>
      <w:r w:rsidRPr="008F03E5">
        <w:tab/>
      </w:r>
      <w:r w:rsidRPr="008F03E5">
        <w:rPr>
          <w:rFonts w:eastAsia="PMingLiU"/>
          <w:lang w:eastAsia="zh-TW"/>
        </w:rPr>
        <w:t>Bábá-Zádih</w:t>
      </w:r>
      <w:r w:rsidRPr="008F03E5">
        <w:tab/>
      </w:r>
    </w:p>
    <w:p w14:paraId="065EF145" w14:textId="77777777" w:rsidR="00625A5B" w:rsidRPr="008F03E5" w:rsidRDefault="00625A5B" w:rsidP="00C57A16">
      <w:pPr>
        <w:pStyle w:val="Translit"/>
      </w:pPr>
      <w:r w:rsidRPr="00CA5264">
        <w:rPr>
          <w:lang w:val="en-AU"/>
        </w:rPr>
        <w:t>Babi, Babiyun</w:t>
      </w:r>
      <w:r w:rsidRPr="00CA5264">
        <w:rPr>
          <w:lang w:val="en-AU"/>
        </w:rPr>
        <w:tab/>
        <w:t xml:space="preserve">Bábí, pl. </w:t>
      </w:r>
      <w:r w:rsidRPr="008F03E5">
        <w:t>Báb</w:t>
      </w:r>
      <w:r w:rsidRPr="00CA5264">
        <w:t>í</w:t>
      </w:r>
      <w:r w:rsidRPr="008F03E5">
        <w:t>yún</w:t>
      </w:r>
      <w:r>
        <w:t xml:space="preserve"> (Pers. B</w:t>
      </w:r>
      <w:r w:rsidRPr="00CA5264">
        <w:t>á</w:t>
      </w:r>
      <w:r>
        <w:t>biyy</w:t>
      </w:r>
      <w:r w:rsidRPr="00CA5264">
        <w:t>ú</w:t>
      </w:r>
      <w:r>
        <w:t>n)</w:t>
      </w:r>
      <w:r w:rsidRPr="008F03E5">
        <w:tab/>
        <w:t>a follower of the Báb</w:t>
      </w:r>
      <w:r>
        <w:t xml:space="preserve">.  Generally, the hybrid plural </w:t>
      </w:r>
      <w:r w:rsidRPr="008F03E5">
        <w:t>B</w:t>
      </w:r>
      <w:r w:rsidRPr="00C57A16">
        <w:t>á</w:t>
      </w:r>
      <w:r>
        <w:t>b</w:t>
      </w:r>
      <w:r w:rsidRPr="008F03E5">
        <w:t>ís is used.</w:t>
      </w:r>
    </w:p>
    <w:p w14:paraId="035A87E3" w14:textId="77777777" w:rsidR="00625A5B" w:rsidRPr="008F03E5" w:rsidRDefault="00625A5B" w:rsidP="00F22496">
      <w:pPr>
        <w:pStyle w:val="Translit"/>
      </w:pPr>
      <w:r w:rsidRPr="008F03E5">
        <w:t>Bab-i-Amin</w:t>
      </w:r>
      <w:r w:rsidRPr="008F03E5">
        <w:tab/>
        <w:t>Báb-i-Amín</w:t>
      </w:r>
      <w:r w:rsidRPr="008F03E5">
        <w:tab/>
        <w:t xml:space="preserve">Shrine of the Báb door—centre </w:t>
      </w:r>
      <w:r w:rsidRPr="008F03E5">
        <w:rPr>
          <w:sz w:val="16"/>
          <w:szCs w:val="16"/>
        </w:rPr>
        <w:t>NW</w:t>
      </w:r>
      <w:r w:rsidRPr="008F03E5">
        <w:t xml:space="preserve"> side</w:t>
      </w:r>
    </w:p>
    <w:p w14:paraId="431BBC32" w14:textId="77777777" w:rsidR="00625A5B" w:rsidRPr="008F03E5" w:rsidRDefault="00625A5B" w:rsidP="00F22496">
      <w:pPr>
        <w:pStyle w:val="Translit"/>
      </w:pPr>
      <w:r w:rsidRPr="008F03E5">
        <w:t>Bab-i-Ashraf</w:t>
      </w:r>
      <w:r w:rsidRPr="008F03E5">
        <w:tab/>
        <w:t>Báb-i-A</w:t>
      </w:r>
      <w:r w:rsidRPr="008F03E5">
        <w:rPr>
          <w:u w:val="single"/>
        </w:rPr>
        <w:t>sh</w:t>
      </w:r>
      <w:r w:rsidRPr="008F03E5">
        <w:t>raf</w:t>
      </w:r>
      <w:r w:rsidRPr="008F03E5">
        <w:tab/>
        <w:t xml:space="preserve">Shrine of the Báb door—centre </w:t>
      </w:r>
      <w:r w:rsidRPr="008F03E5">
        <w:rPr>
          <w:sz w:val="16"/>
          <w:szCs w:val="16"/>
        </w:rPr>
        <w:t>NE</w:t>
      </w:r>
      <w:r w:rsidRPr="008F03E5">
        <w:t xml:space="preserve"> side (Tomb ‘Abdu’l-Bahá)</w:t>
      </w:r>
    </w:p>
    <w:p w14:paraId="1A0FB4DD" w14:textId="77777777" w:rsidR="00625A5B" w:rsidRPr="008F03E5" w:rsidRDefault="00625A5B" w:rsidP="007A0FB4">
      <w:pPr>
        <w:pStyle w:val="Translit"/>
      </w:pPr>
      <w:r w:rsidRPr="008F03E5">
        <w:t>Bab-i-Bala</w:t>
      </w:r>
      <w:r w:rsidRPr="008F03E5">
        <w:tab/>
        <w:t>Báb-i-Bálá</w:t>
      </w:r>
      <w:r w:rsidRPr="008F03E5">
        <w:tab/>
        <w:t xml:space="preserve">Shrine of the Báb door—centre </w:t>
      </w:r>
      <w:r w:rsidRPr="008F03E5">
        <w:rPr>
          <w:sz w:val="16"/>
          <w:szCs w:val="16"/>
        </w:rPr>
        <w:t>SE</w:t>
      </w:r>
      <w:r w:rsidRPr="008F03E5">
        <w:t xml:space="preserve"> side</w:t>
      </w:r>
    </w:p>
    <w:p w14:paraId="679A4EEF" w14:textId="77777777" w:rsidR="00625A5B" w:rsidRPr="008F03E5" w:rsidRDefault="00625A5B" w:rsidP="007A0FB4">
      <w:pPr>
        <w:pStyle w:val="Translit"/>
      </w:pPr>
      <w:r w:rsidRPr="008F03E5">
        <w:t>Bab-i-Fadl</w:t>
      </w:r>
      <w:r w:rsidRPr="008F03E5">
        <w:tab/>
        <w:t>Báb-i-Faḍl</w:t>
      </w:r>
      <w:r w:rsidRPr="008F03E5">
        <w:tab/>
        <w:t xml:space="preserve">Shrine of the Báb door—northern end </w:t>
      </w:r>
      <w:r w:rsidRPr="008F03E5">
        <w:rPr>
          <w:sz w:val="16"/>
          <w:szCs w:val="16"/>
        </w:rPr>
        <w:t>NW</w:t>
      </w:r>
      <w:r w:rsidRPr="008F03E5">
        <w:t xml:space="preserve"> side</w:t>
      </w:r>
    </w:p>
    <w:p w14:paraId="25D3200F" w14:textId="77777777" w:rsidR="00625A5B" w:rsidRPr="008F03E5" w:rsidRDefault="00625A5B" w:rsidP="00604DD3">
      <w:pPr>
        <w:pStyle w:val="Translit"/>
      </w:pPr>
      <w:r w:rsidRPr="008F03E5">
        <w:t>Bab-i-Giachery</w:t>
      </w:r>
      <w:r w:rsidRPr="008F03E5">
        <w:tab/>
        <w:t>Báb-i-Giachery</w:t>
      </w:r>
      <w:r w:rsidRPr="008F03E5">
        <w:tab/>
        <w:t xml:space="preserve">Shrine of the Báb door—southern end </w:t>
      </w:r>
      <w:r w:rsidRPr="008F03E5">
        <w:rPr>
          <w:sz w:val="16"/>
          <w:szCs w:val="16"/>
        </w:rPr>
        <w:t>NW</w:t>
      </w:r>
      <w:r w:rsidRPr="008F03E5">
        <w:t xml:space="preserve"> side</w:t>
      </w:r>
    </w:p>
    <w:p w14:paraId="2F81B53E" w14:textId="77777777" w:rsidR="00625A5B" w:rsidRPr="008F03E5" w:rsidRDefault="00625A5B" w:rsidP="00604DD3">
      <w:pPr>
        <w:pStyle w:val="Translit"/>
      </w:pPr>
      <w:r w:rsidRPr="008F03E5">
        <w:t>Bab-i-Ioas</w:t>
      </w:r>
      <w:r w:rsidRPr="008F03E5">
        <w:tab/>
        <w:t>Báb-i-Ioas</w:t>
      </w:r>
      <w:r w:rsidRPr="008F03E5">
        <w:tab/>
        <w:t>Shrine of the Báb octagon door—</w:t>
      </w:r>
      <w:r w:rsidRPr="008F03E5">
        <w:rPr>
          <w:sz w:val="16"/>
          <w:szCs w:val="16"/>
        </w:rPr>
        <w:t>SW</w:t>
      </w:r>
      <w:r w:rsidRPr="008F03E5">
        <w:t xml:space="preserve"> side</w:t>
      </w:r>
    </w:p>
    <w:p w14:paraId="1E12E48A" w14:textId="77777777" w:rsidR="00625A5B" w:rsidRPr="008F03E5" w:rsidRDefault="00625A5B" w:rsidP="00F22496">
      <w:pPr>
        <w:pStyle w:val="Translit"/>
      </w:pPr>
      <w:r w:rsidRPr="008F03E5">
        <w:t>Bab-i-Karim</w:t>
      </w:r>
      <w:r w:rsidRPr="008F03E5">
        <w:tab/>
        <w:t>Báb-i-Karím</w:t>
      </w:r>
      <w:r w:rsidRPr="008F03E5">
        <w:tab/>
        <w:t xml:space="preserve">Shrine of the Báb door—northern end </w:t>
      </w:r>
      <w:r w:rsidRPr="008F03E5">
        <w:rPr>
          <w:sz w:val="16"/>
          <w:szCs w:val="16"/>
        </w:rPr>
        <w:t>SE</w:t>
      </w:r>
      <w:r w:rsidRPr="008F03E5">
        <w:t xml:space="preserve"> side</w:t>
      </w:r>
    </w:p>
    <w:p w14:paraId="55D653E1" w14:textId="77777777" w:rsidR="00625A5B" w:rsidRPr="008F03E5" w:rsidRDefault="00625A5B" w:rsidP="007A0FB4">
      <w:pPr>
        <w:pStyle w:val="Translit"/>
      </w:pPr>
      <w:r w:rsidRPr="008F03E5">
        <w:t>Bab-i-Makhsus</w:t>
      </w:r>
      <w:r w:rsidRPr="008F03E5">
        <w:tab/>
        <w:t>Báb-i-Ma</w:t>
      </w:r>
      <w:r w:rsidRPr="008F03E5">
        <w:rPr>
          <w:u w:val="single"/>
        </w:rPr>
        <w:t>kh</w:t>
      </w:r>
      <w:r w:rsidRPr="008F03E5">
        <w:t>ṣúṣ</w:t>
      </w:r>
      <w:r w:rsidRPr="008F03E5">
        <w:tab/>
        <w:t>Special or specific gate</w:t>
      </w:r>
    </w:p>
    <w:p w14:paraId="1A5CBF19" w14:textId="77777777" w:rsidR="00625A5B" w:rsidRPr="008F03E5" w:rsidRDefault="00625A5B" w:rsidP="007A0FB4">
      <w:pPr>
        <w:pStyle w:val="Translit"/>
      </w:pPr>
      <w:r w:rsidRPr="008F03E5">
        <w:t>Bab-i-Maxwell</w:t>
      </w:r>
      <w:r w:rsidRPr="008F03E5">
        <w:tab/>
        <w:t>Báb-i-Maxwell</w:t>
      </w:r>
      <w:r w:rsidRPr="008F03E5">
        <w:tab/>
        <w:t xml:space="preserve">Shrine of the Báb door—centre </w:t>
      </w:r>
      <w:r w:rsidRPr="008F03E5">
        <w:rPr>
          <w:sz w:val="16"/>
          <w:szCs w:val="16"/>
        </w:rPr>
        <w:t>SW</w:t>
      </w:r>
      <w:r w:rsidRPr="008F03E5">
        <w:t xml:space="preserve"> side</w:t>
      </w:r>
    </w:p>
    <w:p w14:paraId="731BEC2F" w14:textId="77777777" w:rsidR="00625A5B" w:rsidRPr="008F03E5" w:rsidRDefault="00625A5B" w:rsidP="00F22496">
      <w:pPr>
        <w:pStyle w:val="Translit"/>
      </w:pPr>
      <w:r w:rsidRPr="008F03E5">
        <w:t>Bab-i-Qassabchi</w:t>
      </w:r>
      <w:r w:rsidRPr="008F03E5">
        <w:tab/>
        <w:t>Báb-i-Qaṣṣáb</w:t>
      </w:r>
      <w:r w:rsidRPr="008F03E5">
        <w:rPr>
          <w:u w:val="single"/>
        </w:rPr>
        <w:t>ch</w:t>
      </w:r>
      <w:r w:rsidRPr="008F03E5">
        <w:t>í</w:t>
      </w:r>
      <w:r w:rsidRPr="008F03E5">
        <w:tab/>
        <w:t xml:space="preserve">Shrine of the Báb door—southern end, </w:t>
      </w:r>
      <w:r w:rsidRPr="008F03E5">
        <w:rPr>
          <w:sz w:val="16"/>
          <w:szCs w:val="16"/>
        </w:rPr>
        <w:t>SE</w:t>
      </w:r>
      <w:r w:rsidRPr="008F03E5">
        <w:t xml:space="preserve"> side</w:t>
      </w:r>
    </w:p>
    <w:p w14:paraId="1140B991" w14:textId="77777777" w:rsidR="00625A5B" w:rsidRPr="006A0C46" w:rsidRDefault="00625A5B" w:rsidP="002810C3">
      <w:pPr>
        <w:pStyle w:val="Translit"/>
        <w:rPr>
          <w:lang w:val="en-AU"/>
        </w:rPr>
      </w:pPr>
      <w:r>
        <w:t xml:space="preserve">Babiya, </w:t>
      </w:r>
      <w:r w:rsidRPr="008F03E5">
        <w:t>Babiyya</w:t>
      </w:r>
      <w:r>
        <w:t>,</w:t>
      </w:r>
      <w:r w:rsidRPr="008F03E5">
        <w:t xml:space="preserve"> Babigari</w:t>
      </w:r>
      <w:r w:rsidRPr="008F03E5">
        <w:tab/>
      </w:r>
      <w:r>
        <w:t>B</w:t>
      </w:r>
      <w:r w:rsidRPr="00665F6A">
        <w:t>á</w:t>
      </w:r>
      <w:r>
        <w:t>b</w:t>
      </w:r>
      <w:r w:rsidRPr="00665F6A">
        <w:t>í</w:t>
      </w:r>
      <w:r>
        <w:t xml:space="preserve">ya[h or t], </w:t>
      </w:r>
      <w:r w:rsidRPr="008F03E5">
        <w:t>B</w:t>
      </w:r>
      <w:r w:rsidRPr="00665F6A">
        <w:t>á</w:t>
      </w:r>
      <w:r w:rsidRPr="008F03E5">
        <w:t>biyya</w:t>
      </w:r>
      <w:r>
        <w:t>[h or t]</w:t>
      </w:r>
      <w:r>
        <w:tab/>
        <w:t xml:space="preserve">the Bábí place (Pers. </w:t>
      </w:r>
      <w:r w:rsidRPr="008F03E5">
        <w:t>Bábígarí</w:t>
      </w:r>
      <w:r>
        <w:t xml:space="preserve">).  Name given to the </w:t>
      </w:r>
      <w:r w:rsidRPr="008F03E5">
        <w:t xml:space="preserve">house </w:t>
      </w:r>
      <w:r>
        <w:t>Qudd</w:t>
      </w:r>
      <w:r w:rsidRPr="00FD3D89">
        <w:t>ú</w:t>
      </w:r>
      <w:r>
        <w:t>s asked Mull</w:t>
      </w:r>
      <w:r w:rsidRPr="00FD3D89">
        <w:t>á</w:t>
      </w:r>
      <w:r>
        <w:t xml:space="preserve"> </w:t>
      </w:r>
      <w:r w:rsidRPr="00FD3D89">
        <w:t>Ḥ</w:t>
      </w:r>
      <w:r>
        <w:t>usayn to build</w:t>
      </w:r>
      <w:r w:rsidRPr="008F03E5">
        <w:t xml:space="preserve"> in Ma</w:t>
      </w:r>
      <w:r w:rsidRPr="008F03E5">
        <w:rPr>
          <w:u w:val="single"/>
        </w:rPr>
        <w:t>sh</w:t>
      </w:r>
      <w:r w:rsidRPr="008F03E5">
        <w:t>had</w:t>
      </w:r>
      <w:r>
        <w:t>.  al-B</w:t>
      </w:r>
      <w:r w:rsidRPr="00665F6A">
        <w:t>á</w:t>
      </w:r>
      <w:r>
        <w:t>b</w:t>
      </w:r>
      <w:r w:rsidRPr="00665F6A">
        <w:t>í</w:t>
      </w:r>
      <w:r>
        <w:t>ya[h or t] or al-</w:t>
      </w:r>
      <w:r w:rsidRPr="008F03E5">
        <w:t>B</w:t>
      </w:r>
      <w:r w:rsidRPr="00665F6A">
        <w:t>á</w:t>
      </w:r>
      <w:r w:rsidRPr="008F03E5">
        <w:t>biyya</w:t>
      </w:r>
      <w:r>
        <w:t xml:space="preserve">, </w:t>
      </w:r>
      <w:r w:rsidRPr="008F03E5">
        <w:t>Babism</w:t>
      </w:r>
      <w:r>
        <w:t>, or more commonly,</w:t>
      </w:r>
      <w:r w:rsidRPr="008F03E5">
        <w:t xml:space="preserve"> </w:t>
      </w:r>
      <w:r>
        <w:t xml:space="preserve">the </w:t>
      </w:r>
      <w:r w:rsidRPr="008F03E5">
        <w:t>Bábí Faith</w:t>
      </w:r>
      <w:r>
        <w:t xml:space="preserve">.  </w:t>
      </w:r>
      <w:r w:rsidRPr="006A0C46">
        <w:rPr>
          <w:lang w:val="en-AU"/>
        </w:rPr>
        <w:t>Also possible is al-Ímán al-Bábí.</w:t>
      </w:r>
    </w:p>
    <w:p w14:paraId="7B1BB821" w14:textId="77777777" w:rsidR="00625A5B" w:rsidRPr="008F03E5" w:rsidRDefault="00625A5B" w:rsidP="00D5205B">
      <w:pPr>
        <w:pStyle w:val="Translit"/>
      </w:pPr>
      <w:r w:rsidRPr="008F03E5">
        <w:t>Babr, Bubur</w:t>
      </w:r>
      <w:r w:rsidRPr="008F03E5">
        <w:tab/>
        <w:t>Babr, pl. Bubúr</w:t>
      </w:r>
      <w:r w:rsidRPr="008F03E5">
        <w:tab/>
        <w:t>(babur, babor, babar and baber) tiger</w:t>
      </w:r>
    </w:p>
    <w:p w14:paraId="7173BCA0" w14:textId="77777777" w:rsidR="00625A5B" w:rsidRPr="008F03E5" w:rsidRDefault="00625A5B" w:rsidP="001F5404">
      <w:pPr>
        <w:pStyle w:val="Translit"/>
      </w:pPr>
      <w:r w:rsidRPr="008F03E5">
        <w:t>Babri</w:t>
      </w:r>
      <w:r w:rsidRPr="008F03E5">
        <w:tab/>
        <w:t>Babrí</w:t>
      </w:r>
      <w:r w:rsidRPr="008F03E5">
        <w:tab/>
        <w:t>of Babr.  Babrí Masjid—formerly a famous mosque in Ayodhya, India.  See Ẓáhir.</w:t>
      </w:r>
    </w:p>
    <w:p w14:paraId="001842E3" w14:textId="77777777" w:rsidR="00625A5B" w:rsidRPr="008F03E5" w:rsidRDefault="00625A5B" w:rsidP="00663660">
      <w:pPr>
        <w:pStyle w:val="Translit"/>
      </w:pPr>
      <w:r w:rsidRPr="008F03E5">
        <w:t>Babu’d-Din</w:t>
      </w:r>
      <w:r w:rsidRPr="008F03E5">
        <w:tab/>
        <w:t>Bábu’d-Dín</w:t>
      </w:r>
      <w:r w:rsidRPr="008F03E5">
        <w:tab/>
        <w:t>“The Gate of Religion”</w:t>
      </w:r>
    </w:p>
    <w:p w14:paraId="3DCA9C36" w14:textId="77777777" w:rsidR="00625A5B" w:rsidRPr="008F03E5" w:rsidRDefault="00625A5B" w:rsidP="00C43B17">
      <w:pPr>
        <w:pStyle w:val="Translit"/>
      </w:pPr>
      <w:r w:rsidRPr="008F03E5">
        <w:t>Babu’l-Bab, Bab-i-Bab</w:t>
      </w:r>
      <w:r w:rsidRPr="008F03E5">
        <w:tab/>
        <w:t>Bábu’l-Báb, Pers. Báb-i-Báb</w:t>
      </w:r>
      <w:r w:rsidRPr="008F03E5">
        <w:tab/>
        <w:t xml:space="preserve">“gate of the Gate”, name given to </w:t>
      </w:r>
      <w:bookmarkStart w:id="49" w:name="_Hlk54106905"/>
      <w:r w:rsidRPr="008F03E5">
        <w:t>Mullá Muḥammad-Ḥusayn-i-Bu</w:t>
      </w:r>
      <w:r w:rsidRPr="008F03E5">
        <w:rPr>
          <w:u w:val="single"/>
        </w:rPr>
        <w:t>sh</w:t>
      </w:r>
      <w:r w:rsidRPr="008F03E5">
        <w:t xml:space="preserve">rú’í </w:t>
      </w:r>
      <w:bookmarkEnd w:id="49"/>
      <w:r w:rsidRPr="008F03E5">
        <w:t>(also Janáb-i-Bábu’l-Báb)</w:t>
      </w:r>
    </w:p>
    <w:p w14:paraId="20D7A1BB" w14:textId="77777777" w:rsidR="00625A5B" w:rsidRPr="008F03E5" w:rsidRDefault="00625A5B" w:rsidP="000C5CB8">
      <w:pPr>
        <w:pStyle w:val="Translit"/>
      </w:pPr>
      <w:r w:rsidRPr="008F03E5">
        <w:t>Babu’llah</w:t>
      </w:r>
      <w:r w:rsidRPr="008F03E5">
        <w:tab/>
        <w:t>Bábu’lláh</w:t>
      </w:r>
      <w:r w:rsidRPr="008F03E5">
        <w:tab/>
        <w:t>“The Gate of God” (a designation of the Báb)</w:t>
      </w:r>
    </w:p>
    <w:p w14:paraId="0B644972" w14:textId="77777777" w:rsidR="00625A5B" w:rsidRPr="008F03E5" w:rsidRDefault="00625A5B" w:rsidP="00DD7C00">
      <w:pPr>
        <w:pStyle w:val="Translit"/>
        <w:rPr>
          <w:rFonts w:eastAsia="PMingLiU"/>
          <w:lang w:eastAsia="zh-TW"/>
        </w:rPr>
      </w:pPr>
      <w:r w:rsidRPr="008F03E5">
        <w:t>Babu’llahu’l-A’zam</w:t>
      </w:r>
      <w:r w:rsidRPr="008F03E5">
        <w:tab/>
        <w:t>Bábu’lláhu’l-A‘ẓam</w:t>
      </w:r>
      <w:r w:rsidRPr="008F03E5">
        <w:tab/>
        <w:t>the Most Great Báb</w:t>
      </w:r>
    </w:p>
    <w:p w14:paraId="21624AF8" w14:textId="77777777" w:rsidR="00625A5B" w:rsidRPr="008F03E5" w:rsidRDefault="00625A5B" w:rsidP="00057D0E">
      <w:pPr>
        <w:pStyle w:val="Translit"/>
      </w:pPr>
      <w:r w:rsidRPr="008F03E5">
        <w:rPr>
          <w:rFonts w:eastAsia="PMingLiU"/>
          <w:lang w:eastAsia="zh-TW"/>
        </w:rPr>
        <w:t>Babul (Babol), Babil</w:t>
      </w:r>
      <w:r w:rsidRPr="008F03E5">
        <w:rPr>
          <w:rFonts w:eastAsia="PMingLiU"/>
          <w:lang w:eastAsia="zh-TW"/>
        </w:rPr>
        <w:tab/>
        <w:t>B</w:t>
      </w:r>
      <w:r w:rsidRPr="008F03E5">
        <w:t>á</w:t>
      </w:r>
      <w:r w:rsidRPr="008F03E5">
        <w:rPr>
          <w:rFonts w:eastAsia="PMingLiU"/>
          <w:lang w:eastAsia="zh-TW"/>
        </w:rPr>
        <w:t>bul, Bab</w:t>
      </w:r>
      <w:r w:rsidRPr="008F03E5">
        <w:t>í</w:t>
      </w:r>
      <w:r w:rsidRPr="008F03E5">
        <w:rPr>
          <w:rFonts w:eastAsia="PMingLiU"/>
          <w:lang w:eastAsia="zh-TW"/>
        </w:rPr>
        <w:t>l</w:t>
      </w:r>
      <w:r w:rsidRPr="008F03E5">
        <w:rPr>
          <w:rFonts w:eastAsia="PMingLiU"/>
          <w:lang w:eastAsia="zh-TW"/>
        </w:rPr>
        <w:tab/>
      </w:r>
      <w:r w:rsidRPr="008F03E5">
        <w:rPr>
          <w:rFonts w:eastAsia="Times New Roman"/>
        </w:rPr>
        <w:t>Babel, Babylon, renowned for wine and magic; the planet Jupiter; the East.</w:t>
      </w:r>
      <w:r w:rsidRPr="008F03E5">
        <w:t xml:space="preserve">  City (36.538588, 52.676906) in Mazandaran Province, formerly known as Bárfurú</w:t>
      </w:r>
      <w:r w:rsidRPr="008F03E5">
        <w:rPr>
          <w:u w:val="single"/>
        </w:rPr>
        <w:t>sh</w:t>
      </w:r>
      <w:r w:rsidRPr="008F03E5">
        <w:t>.</w:t>
      </w:r>
    </w:p>
    <w:p w14:paraId="52E2DA8B" w14:textId="77777777" w:rsidR="00625A5B" w:rsidRPr="008F03E5" w:rsidRDefault="00625A5B" w:rsidP="002D15B3">
      <w:pPr>
        <w:pStyle w:val="Translit"/>
      </w:pPr>
      <w:r w:rsidRPr="008F03E5">
        <w:t>Babulsar, Babul Sar, Mashhad-i-Sar</w:t>
      </w:r>
      <w:r w:rsidRPr="008F03E5">
        <w:tab/>
        <w:t>Bábulsar, Bábul Sar</w:t>
      </w:r>
      <w:r w:rsidRPr="008F03E5">
        <w:tab/>
        <w:t>Pers. also known as Ma</w:t>
      </w:r>
      <w:r w:rsidRPr="008F03E5">
        <w:rPr>
          <w:u w:val="single"/>
        </w:rPr>
        <w:t>sh</w:t>
      </w:r>
      <w:r w:rsidRPr="008F03E5">
        <w:t>hadsar, Ma</w:t>
      </w:r>
      <w:r w:rsidRPr="008F03E5">
        <w:rPr>
          <w:u w:val="single"/>
        </w:rPr>
        <w:t>sh</w:t>
      </w:r>
      <w:r w:rsidRPr="008F03E5">
        <w:t>had-i-Sar and Meshed-i-Sar; is a city and capital of Babolsar County, Mazandaran Province, Iran.  It is located alongside the Caspian Sea north of Bábul.  A busy seaport during the 18th and 19th centuries.</w:t>
      </w:r>
    </w:p>
    <w:p w14:paraId="63E6E727" w14:textId="77777777" w:rsidR="00625A5B" w:rsidRPr="008F03E5" w:rsidRDefault="00625A5B" w:rsidP="00611704">
      <w:pPr>
        <w:pStyle w:val="Translit"/>
        <w:rPr>
          <w:rFonts w:eastAsia="PMingLiU"/>
          <w:lang w:eastAsia="zh-TW"/>
        </w:rPr>
      </w:pPr>
      <w:r w:rsidRPr="008F03E5">
        <w:rPr>
          <w:rFonts w:eastAsia="Times New Roman"/>
        </w:rPr>
        <w:t>Bad</w:t>
      </w:r>
      <w:r w:rsidRPr="008F03E5">
        <w:rPr>
          <w:rFonts w:eastAsia="Times New Roman"/>
        </w:rPr>
        <w:tab/>
        <w:t>Bád</w:t>
      </w:r>
      <w:r w:rsidRPr="008F03E5">
        <w:rPr>
          <w:rFonts w:eastAsia="Times New Roman"/>
        </w:rPr>
        <w:tab/>
        <w:t>Pers. wind, air, breath</w:t>
      </w:r>
    </w:p>
    <w:p w14:paraId="2C3EA926" w14:textId="77777777" w:rsidR="00625A5B" w:rsidRPr="008F03E5" w:rsidRDefault="00625A5B" w:rsidP="00E82205">
      <w:pPr>
        <w:pStyle w:val="Translit"/>
        <w:rPr>
          <w:lang w:eastAsia="zh-TW"/>
        </w:rPr>
      </w:pPr>
      <w:r w:rsidRPr="008F03E5">
        <w:rPr>
          <w:lang w:eastAsia="zh-TW"/>
        </w:rPr>
        <w:t>Bad’a, Badi’a, Bidaya</w:t>
      </w:r>
      <w:r w:rsidRPr="008F03E5">
        <w:rPr>
          <w:lang w:eastAsia="zh-TW"/>
        </w:rPr>
        <w:tab/>
        <w:t>Bad’a[h or t], Badí’a[h or t]</w:t>
      </w:r>
      <w:r w:rsidRPr="008F03E5">
        <w:rPr>
          <w:lang w:eastAsia="zh-TW"/>
        </w:rPr>
        <w:tab/>
        <w:t>Bidáya[h or t] (Badáya[h or t]) beginning, start</w:t>
      </w:r>
    </w:p>
    <w:p w14:paraId="7AEBD272" w14:textId="77777777" w:rsidR="00625A5B" w:rsidRPr="008F03E5" w:rsidRDefault="00625A5B" w:rsidP="00A00312">
      <w:pPr>
        <w:pStyle w:val="Translit"/>
        <w:rPr>
          <w:rFonts w:eastAsia="PMingLiU"/>
          <w:lang w:eastAsia="zh-TW"/>
        </w:rPr>
      </w:pPr>
      <w:r w:rsidRPr="008F03E5">
        <w:rPr>
          <w:rFonts w:eastAsia="PMingLiU"/>
          <w:lang w:eastAsia="zh-TW"/>
        </w:rPr>
        <w:t>Bada</w:t>
      </w:r>
      <w:r w:rsidRPr="008F03E5">
        <w:rPr>
          <w:rFonts w:eastAsia="PMingLiU"/>
          <w:lang w:eastAsia="zh-TW"/>
        </w:rPr>
        <w:tab/>
      </w:r>
      <w:r w:rsidRPr="008F03E5">
        <w:rPr>
          <w:rFonts w:eastAsia="PMingLiU"/>
        </w:rPr>
        <w:t>Badá</w:t>
      </w:r>
      <w:r w:rsidRPr="008F03E5">
        <w:rPr>
          <w:rFonts w:eastAsia="PMingLiU"/>
          <w:lang w:eastAsia="zh-TW"/>
        </w:rPr>
        <w:tab/>
        <w:t xml:space="preserve">Ar. to appear, show, become evident, clear, plain or manifest, come to light; to be obvious; to seem good, acceptable, proper (to someone).  Form </w:t>
      </w:r>
      <w:r w:rsidRPr="008F03E5">
        <w:rPr>
          <w:rFonts w:eastAsia="PMingLiU"/>
          <w:sz w:val="16"/>
          <w:szCs w:val="16"/>
          <w:lang w:eastAsia="zh-TW"/>
        </w:rPr>
        <w:t>III</w:t>
      </w:r>
      <w:r w:rsidRPr="008F03E5">
        <w:rPr>
          <w:rFonts w:eastAsia="PMingLiU"/>
          <w:lang w:eastAsia="zh-TW"/>
        </w:rPr>
        <w:t xml:space="preserve"> to show, display, evince, manifest, reveal, declare openly</w:t>
      </w:r>
    </w:p>
    <w:p w14:paraId="43F54FBB" w14:textId="77777777" w:rsidR="00625A5B" w:rsidRPr="008F03E5" w:rsidRDefault="00625A5B" w:rsidP="006924B5">
      <w:pPr>
        <w:pStyle w:val="Translit"/>
      </w:pPr>
      <w:r w:rsidRPr="008F03E5">
        <w:t>Bada’</w:t>
      </w:r>
      <w:r w:rsidRPr="008F03E5">
        <w:tab/>
        <w:t>Badá’</w:t>
      </w:r>
      <w:r w:rsidRPr="008F03E5">
        <w:tab/>
        <w:t xml:space="preserve">Pers. coming in the mind; appearing; beginning.  Two meanings:  1.  Appearance after hiding involving alteration of the Divine Will or the non-fulfilment of the Divine Will.  A </w:t>
      </w:r>
      <w:r w:rsidRPr="008F03E5">
        <w:rPr>
          <w:u w:val="single"/>
        </w:rPr>
        <w:t>Sh</w:t>
      </w:r>
      <w:r w:rsidRPr="008F03E5">
        <w:t xml:space="preserve">í‘a concept where God may alter the course of human history as is seen to be fit.  2.  Origination of a new idea.  The Sunní view on Badá’ is that it is not applicable to God.  The Báb made significant reinterpretations of the concept of </w:t>
      </w:r>
      <w:r w:rsidRPr="008F03E5">
        <w:rPr>
          <w:rFonts w:eastAsia="Arial"/>
          <w:i/>
          <w:iCs/>
        </w:rPr>
        <w:t>bad</w:t>
      </w:r>
      <w:r w:rsidRPr="008F03E5">
        <w:rPr>
          <w:i/>
          <w:iCs/>
        </w:rPr>
        <w:t>á</w:t>
      </w:r>
      <w:r w:rsidRPr="008F03E5">
        <w:rPr>
          <w:rFonts w:eastAsia="Arial"/>
          <w:i/>
          <w:iCs/>
        </w:rPr>
        <w:t>’</w:t>
      </w:r>
      <w:r w:rsidRPr="008F03E5">
        <w:t>.</w:t>
      </w:r>
      <w:r w:rsidRPr="008F03E5">
        <w:rPr>
          <w:rFonts w:eastAsia="Arial"/>
        </w:rPr>
        <w:t xml:space="preserve">  1.  C</w:t>
      </w:r>
      <w:r w:rsidRPr="008F03E5">
        <w:t>hange in divine revelation according to the principle of progressive revelation.  2.  Acceptance embodies the recognition of God’s absolute power and authority and thus is the highest sign of spiritual maturity.  3.  The concept of magnification (</w:t>
      </w:r>
      <w:r w:rsidRPr="008F03E5">
        <w:rPr>
          <w:i/>
          <w:iCs/>
        </w:rPr>
        <w:t>takbír</w:t>
      </w:r>
      <w:r w:rsidRPr="008F03E5">
        <w:t xml:space="preserve">), as the symbol of the completion of the four layers of the divine covenant.  One’s faith is complete and will not be subject to alteration or negation if one believes in all four supports or pillars of the covenant.  See </w:t>
      </w:r>
      <w:r w:rsidRPr="008F03E5">
        <w:rPr>
          <w:i/>
          <w:iCs/>
        </w:rPr>
        <w:t>Gate of the heart</w:t>
      </w:r>
      <w:r w:rsidRPr="008F03E5">
        <w:t>, pp. 207–11.</w:t>
      </w:r>
    </w:p>
    <w:p w14:paraId="35009D90" w14:textId="77777777" w:rsidR="00625A5B" w:rsidRPr="008F03E5" w:rsidRDefault="00625A5B" w:rsidP="00A00312">
      <w:pPr>
        <w:pStyle w:val="Translit"/>
        <w:rPr>
          <w:rFonts w:eastAsia="PMingLiU"/>
          <w:lang w:eastAsia="zh-TW"/>
        </w:rPr>
      </w:pPr>
      <w:r w:rsidRPr="008F03E5">
        <w:rPr>
          <w:rFonts w:eastAsia="PMingLiU"/>
          <w:lang w:eastAsia="zh-TW"/>
        </w:rPr>
        <w:t>Bada’, Bada’a</w:t>
      </w:r>
      <w:r w:rsidRPr="008F03E5">
        <w:rPr>
          <w:rFonts w:eastAsia="PMingLiU"/>
          <w:lang w:eastAsia="zh-TW"/>
        </w:rPr>
        <w:tab/>
        <w:t>Badá’ and Badá’a</w:t>
      </w:r>
      <w:r w:rsidRPr="008F03E5">
        <w:rPr>
          <w:rFonts w:eastAsia="PMingLiU"/>
          <w:lang w:eastAsia="zh-TW"/>
        </w:rPr>
        <w:tab/>
        <w:t>Ar. obscenity, ribaldry, foulness (of language); disgust, loathing, aversion, contempt</w:t>
      </w:r>
    </w:p>
    <w:p w14:paraId="73A974FA" w14:textId="77777777" w:rsidR="00625A5B" w:rsidRPr="008F03E5" w:rsidRDefault="00625A5B" w:rsidP="000C5CB8">
      <w:pPr>
        <w:pStyle w:val="Translit"/>
        <w:rPr>
          <w:rFonts w:eastAsia="PMingLiU"/>
          <w:lang w:eastAsia="zh-TW"/>
        </w:rPr>
      </w:pPr>
      <w:r w:rsidRPr="008F03E5">
        <w:rPr>
          <w:rFonts w:eastAsia="PMingLiU"/>
          <w:lang w:eastAsia="zh-TW"/>
        </w:rPr>
        <w:t>Badakhshan</w:t>
      </w:r>
      <w:r w:rsidRPr="008F03E5">
        <w:tab/>
      </w:r>
      <w:r w:rsidRPr="008F03E5">
        <w:rPr>
          <w:rFonts w:eastAsia="PMingLiU"/>
          <w:lang w:eastAsia="zh-TW"/>
        </w:rPr>
        <w:t>Bada</w:t>
      </w:r>
      <w:r w:rsidRPr="008F03E5">
        <w:rPr>
          <w:u w:val="single"/>
        </w:rPr>
        <w:t>khsh</w:t>
      </w:r>
      <w:r w:rsidRPr="008F03E5">
        <w:rPr>
          <w:rFonts w:eastAsia="PMingLiU"/>
          <w:lang w:eastAsia="zh-TW"/>
        </w:rPr>
        <w:t>án</w:t>
      </w:r>
      <w:r w:rsidRPr="008F03E5">
        <w:tab/>
        <w:t>“</w:t>
      </w:r>
      <w:r w:rsidRPr="008F03E5">
        <w:rPr>
          <w:rFonts w:eastAsia="PMingLiU"/>
          <w:lang w:eastAsia="zh-TW"/>
        </w:rPr>
        <w:t>Bada</w:t>
      </w:r>
      <w:r w:rsidRPr="008F03E5">
        <w:rPr>
          <w:u w:val="single"/>
        </w:rPr>
        <w:t>kh</w:t>
      </w:r>
      <w:r w:rsidRPr="008F03E5">
        <w:t xml:space="preserve"> Mountains”.  </w:t>
      </w:r>
      <w:r w:rsidRPr="008F03E5">
        <w:rPr>
          <w:sz w:val="16"/>
          <w:szCs w:val="16"/>
        </w:rPr>
        <w:t>NE</w:t>
      </w:r>
      <w:r w:rsidRPr="008F03E5">
        <w:t xml:space="preserve"> Afghanistan province</w:t>
      </w:r>
    </w:p>
    <w:p w14:paraId="46F98897" w14:textId="77777777" w:rsidR="00625A5B" w:rsidRPr="008F03E5" w:rsidRDefault="00625A5B" w:rsidP="001A2909">
      <w:pPr>
        <w:pStyle w:val="Translit"/>
      </w:pPr>
      <w:bookmarkStart w:id="50" w:name="_Hlk53920223"/>
      <w:r w:rsidRPr="008F03E5">
        <w:t>Badasht</w:t>
      </w:r>
      <w:r w:rsidRPr="008F03E5">
        <w:tab/>
        <w:t>Bada</w:t>
      </w:r>
      <w:r w:rsidRPr="008F03E5">
        <w:rPr>
          <w:u w:val="single"/>
        </w:rPr>
        <w:t>sh</w:t>
      </w:r>
      <w:r w:rsidRPr="008F03E5">
        <w:t>t</w:t>
      </w:r>
      <w:r w:rsidRPr="008F03E5">
        <w:tab/>
        <w:t xml:space="preserve">a village (36.421145, 55.052742) 7 km east of </w:t>
      </w:r>
      <w:r w:rsidRPr="008F03E5">
        <w:rPr>
          <w:u w:val="single"/>
        </w:rPr>
        <w:t>Sh</w:t>
      </w:r>
      <w:r w:rsidRPr="008F03E5">
        <w:t xml:space="preserve">áhrúd and 8.5 km </w:t>
      </w:r>
      <w:r w:rsidRPr="008F03E5">
        <w:rPr>
          <w:sz w:val="16"/>
          <w:szCs w:val="16"/>
        </w:rPr>
        <w:t>SE</w:t>
      </w:r>
      <w:r w:rsidRPr="008F03E5">
        <w:t xml:space="preserve"> of Basṭám in Semnan Province, venue of the first Bábí conference.</w:t>
      </w:r>
    </w:p>
    <w:bookmarkEnd w:id="50"/>
    <w:p w14:paraId="6DF9E6BD" w14:textId="77777777" w:rsidR="00625A5B" w:rsidRPr="008F03E5" w:rsidRDefault="00625A5B" w:rsidP="00B113C1">
      <w:pPr>
        <w:pStyle w:val="Translit"/>
        <w:rPr>
          <w:rFonts w:eastAsia="PMingLiU"/>
          <w:lang w:eastAsia="zh-TW"/>
        </w:rPr>
      </w:pPr>
      <w:r w:rsidRPr="008F03E5">
        <w:rPr>
          <w:rFonts w:eastAsia="PMingLiU"/>
          <w:lang w:eastAsia="zh-TW"/>
        </w:rPr>
        <w:t>Badawi, Badw</w:t>
      </w:r>
      <w:r w:rsidRPr="008F03E5">
        <w:rPr>
          <w:rFonts w:eastAsia="PMingLiU"/>
          <w:lang w:eastAsia="zh-TW"/>
        </w:rPr>
        <w:tab/>
        <w:t>Badawí, pl. Badw</w:t>
      </w:r>
      <w:r w:rsidRPr="008F03E5">
        <w:rPr>
          <w:rFonts w:eastAsia="PMingLiU"/>
          <w:lang w:eastAsia="zh-TW"/>
        </w:rPr>
        <w:tab/>
        <w:t>Bedouin, nomadic; rural (as distinguished from urban); a Bedouin;—pl. desert, nomads, Bedouins</w:t>
      </w:r>
    </w:p>
    <w:p w14:paraId="2715D15B" w14:textId="77777777" w:rsidR="00625A5B" w:rsidRPr="008F03E5" w:rsidRDefault="00625A5B" w:rsidP="00EC3BDE">
      <w:pPr>
        <w:pStyle w:val="Translit"/>
        <w:rPr>
          <w:rFonts w:eastAsia="PMingLiU"/>
          <w:lang w:eastAsia="zh-TW"/>
        </w:rPr>
      </w:pPr>
      <w:r w:rsidRPr="008F03E5">
        <w:rPr>
          <w:rFonts w:eastAsia="PMingLiU"/>
          <w:lang w:eastAsia="zh-TW"/>
        </w:rPr>
        <w:t>Badawiya, Badawiyat</w:t>
      </w:r>
      <w:r w:rsidRPr="008F03E5">
        <w:rPr>
          <w:rFonts w:eastAsia="PMingLiU"/>
          <w:lang w:eastAsia="zh-TW"/>
        </w:rPr>
        <w:tab/>
        <w:t>Badawíya, pl. Badawíyát</w:t>
      </w:r>
      <w:r w:rsidRPr="008F03E5">
        <w:rPr>
          <w:rFonts w:eastAsia="PMingLiU"/>
          <w:lang w:eastAsia="zh-TW"/>
        </w:rPr>
        <w:tab/>
        <w:t>Bedouin woman, Bedouin girl</w:t>
      </w:r>
    </w:p>
    <w:p w14:paraId="0B0D4ABB" w14:textId="77777777" w:rsidR="00625A5B" w:rsidRPr="008F03E5" w:rsidRDefault="00625A5B" w:rsidP="00900A82">
      <w:pPr>
        <w:pStyle w:val="Translit"/>
        <w:rPr>
          <w:rFonts w:eastAsia="PMingLiU"/>
          <w:lang w:eastAsia="zh-TW"/>
        </w:rPr>
      </w:pPr>
      <w:r w:rsidRPr="008F03E5">
        <w:rPr>
          <w:rFonts w:eastAsia="PMingLiU"/>
          <w:lang w:eastAsia="zh-TW"/>
        </w:rPr>
        <w:t>Badayi’u’l-Athar</w:t>
      </w:r>
      <w:r w:rsidRPr="008F03E5">
        <w:tab/>
      </w:r>
      <w:r w:rsidRPr="008F03E5">
        <w:rPr>
          <w:rFonts w:eastAsia="PMingLiU"/>
          <w:lang w:eastAsia="zh-TW"/>
        </w:rPr>
        <w:t>Badáyi‘u’l-Á</w:t>
      </w:r>
      <w:r w:rsidRPr="008F03E5">
        <w:rPr>
          <w:u w:val="single"/>
        </w:rPr>
        <w:t>th</w:t>
      </w:r>
      <w:r w:rsidRPr="008F03E5">
        <w:rPr>
          <w:rFonts w:eastAsia="PMingLiU"/>
          <w:lang w:eastAsia="zh-TW"/>
        </w:rPr>
        <w:t>ár</w:t>
      </w:r>
      <w:r w:rsidRPr="008F03E5">
        <w:tab/>
        <w:t xml:space="preserve">“initial impressions”, </w:t>
      </w:r>
      <w:r w:rsidRPr="008F03E5">
        <w:rPr>
          <w:rFonts w:eastAsia="PMingLiU"/>
          <w:lang w:eastAsia="zh-TW"/>
        </w:rPr>
        <w:t xml:space="preserve">diary of </w:t>
      </w:r>
      <w:r w:rsidRPr="008F03E5">
        <w:t>Mírzá Maḥmúd-i-Zarqání.  Given English title of “Travels of ‘Abdu’l-Bahá to the West.</w:t>
      </w:r>
    </w:p>
    <w:p w14:paraId="17F8A407" w14:textId="77777777" w:rsidR="00625A5B" w:rsidRPr="00015957" w:rsidRDefault="00625A5B" w:rsidP="00015957">
      <w:pPr>
        <w:pStyle w:val="Translit"/>
      </w:pPr>
      <w:r w:rsidRPr="00015957">
        <w:t>Bad-Gir (Badgir), Bad-Gir-Ha</w:t>
      </w:r>
      <w:r w:rsidRPr="00015957">
        <w:tab/>
        <w:t>Bád-Gír (Bádgír), pl. Bád-Gír-Há</w:t>
      </w:r>
      <w:r>
        <w:rPr>
          <w:rFonts w:eastAsia="Times New Roman"/>
        </w:rPr>
        <w:tab/>
        <w:t>Pers. a</w:t>
      </w:r>
      <w:r w:rsidRPr="00AF4D34">
        <w:rPr>
          <w:rFonts w:eastAsia="Times New Roman"/>
        </w:rPr>
        <w:t>n airy house; a funnel perforated in every part for the admission of air</w:t>
      </w:r>
      <w:r w:rsidRPr="00015957">
        <w:t>.  Also wind catcher,</w:t>
      </w:r>
      <w:r>
        <w:t xml:space="preserve"> </w:t>
      </w:r>
      <w:r w:rsidRPr="00015957">
        <w:t>wind tower, or</w:t>
      </w:r>
      <w:r>
        <w:t xml:space="preserve"> </w:t>
      </w:r>
      <w:r w:rsidRPr="00015957">
        <w:t>wind scoop</w:t>
      </w:r>
      <w:r>
        <w:t>—</w:t>
      </w:r>
      <w:r w:rsidRPr="00015957">
        <w:t>a traditional architectural element used to create cross ventilation and passive cooling in buildings</w:t>
      </w:r>
      <w:r>
        <w:t>.</w:t>
      </w:r>
    </w:p>
    <w:p w14:paraId="38B96DF2" w14:textId="77777777" w:rsidR="00625A5B" w:rsidRPr="008F03E5" w:rsidRDefault="00625A5B" w:rsidP="00D76216">
      <w:pPr>
        <w:pStyle w:val="Translit"/>
        <w:rPr>
          <w:rFonts w:eastAsia="PMingLiU"/>
          <w:lang w:eastAsia="zh-TW"/>
        </w:rPr>
      </w:pPr>
      <w:r w:rsidRPr="008F03E5">
        <w:rPr>
          <w:rFonts w:eastAsia="PMingLiU"/>
          <w:lang w:eastAsia="zh-TW"/>
        </w:rPr>
        <w:t>Badhinjan, Baydhinjan (Baidinjan)</w:t>
      </w:r>
      <w:r w:rsidRPr="008F03E5">
        <w:rPr>
          <w:rFonts w:eastAsia="PMingLiU"/>
          <w:lang w:eastAsia="zh-TW"/>
        </w:rPr>
        <w:tab/>
        <w:t>Bá</w:t>
      </w:r>
      <w:r w:rsidRPr="008F03E5">
        <w:rPr>
          <w:rFonts w:eastAsia="PMingLiU"/>
          <w:u w:val="single"/>
          <w:lang w:eastAsia="zh-TW"/>
        </w:rPr>
        <w:t>dh</w:t>
      </w:r>
      <w:r w:rsidRPr="008F03E5">
        <w:rPr>
          <w:rFonts w:eastAsia="PMingLiU"/>
          <w:lang w:eastAsia="zh-TW"/>
        </w:rPr>
        <w:t>inján and Bay</w:t>
      </w:r>
      <w:r w:rsidRPr="008F03E5">
        <w:rPr>
          <w:rFonts w:eastAsia="PMingLiU"/>
          <w:u w:val="single"/>
          <w:lang w:eastAsia="zh-TW"/>
        </w:rPr>
        <w:t>dh</w:t>
      </w:r>
      <w:r w:rsidRPr="008F03E5">
        <w:rPr>
          <w:rFonts w:eastAsia="PMingLiU"/>
          <w:lang w:eastAsia="zh-TW"/>
        </w:rPr>
        <w:t>inján</w:t>
      </w:r>
      <w:r w:rsidRPr="008F03E5">
        <w:rPr>
          <w:rFonts w:eastAsia="PMingLiU"/>
          <w:lang w:eastAsia="zh-TW"/>
        </w:rPr>
        <w:tab/>
        <w:t xml:space="preserve">(collective; nomen unitatis </w:t>
      </w:r>
      <w:r w:rsidRPr="008F03E5">
        <w:rPr>
          <w:rFonts w:eastAsia="PMingLiU"/>
          <w:rtl/>
          <w:lang w:eastAsia="zh-TW"/>
        </w:rPr>
        <w:t>ة</w:t>
      </w:r>
      <w:r w:rsidRPr="008F03E5">
        <w:rPr>
          <w:rFonts w:eastAsia="PMingLiU"/>
          <w:lang w:eastAsia="zh-TW"/>
        </w:rPr>
        <w:t>) pl. -át.  eggplant, aubergine</w:t>
      </w:r>
    </w:p>
    <w:p w14:paraId="3CBBA8BE" w14:textId="77777777" w:rsidR="00625A5B" w:rsidRPr="008F03E5" w:rsidRDefault="00625A5B" w:rsidP="00995088">
      <w:pPr>
        <w:pStyle w:val="Translit"/>
      </w:pPr>
      <w:r w:rsidRPr="008F03E5">
        <w:t>Badi’ al-Jamal, Badi’u’l-Jamal</w:t>
      </w:r>
      <w:r w:rsidRPr="008F03E5">
        <w:tab/>
        <w:t>Badí‘ al-Jamál, Pers. Badí‘u’l-Jamál</w:t>
      </w:r>
      <w:r w:rsidRPr="008F03E5">
        <w:tab/>
        <w:t>of astonishing beauty</w:t>
      </w:r>
    </w:p>
    <w:p w14:paraId="064553F9" w14:textId="77777777" w:rsidR="00625A5B" w:rsidRPr="008F03E5" w:rsidRDefault="00625A5B" w:rsidP="00995088">
      <w:pPr>
        <w:pStyle w:val="Translit"/>
      </w:pPr>
      <w:r w:rsidRPr="008F03E5">
        <w:t>Badi’ az-Zaman, Badi’u’z-Zaman</w:t>
      </w:r>
      <w:r w:rsidRPr="008F03E5">
        <w:tab/>
        <w:t>Badí‘ az-Zamán, Pers. Badí‘u’z-Zamán</w:t>
      </w:r>
      <w:r w:rsidRPr="008F03E5">
        <w:tab/>
        <w:t>the wonder of the age</w:t>
      </w:r>
    </w:p>
    <w:p w14:paraId="2CB32DDB" w14:textId="77777777" w:rsidR="00625A5B" w:rsidRPr="008F03E5" w:rsidRDefault="00625A5B" w:rsidP="00CC4330">
      <w:pPr>
        <w:pStyle w:val="Translit"/>
      </w:pPr>
      <w:r w:rsidRPr="008F03E5">
        <w:t>Badi’</w:t>
      </w:r>
      <w:r w:rsidRPr="008F03E5">
        <w:tab/>
        <w:t>Badí‘</w:t>
      </w:r>
      <w:r w:rsidRPr="008F03E5">
        <w:tab/>
        <w:t xml:space="preserve">unique, marvellous, wonderful, astonishing, surprising, wondrous, rare.  Name of the calendar introduced by the Báb in the Kitabu’l-Asmáʼ (“Book of Divine Names) and used by the Bahá’ís.  See </w:t>
      </w:r>
      <w:r w:rsidRPr="008F03E5">
        <w:rPr>
          <w:i/>
          <w:iCs/>
        </w:rPr>
        <w:t>abda‘</w:t>
      </w:r>
      <w:r w:rsidRPr="008F03E5">
        <w:t xml:space="preserve"> and Áqá Buzurg-i-Ní</w:t>
      </w:r>
      <w:r w:rsidRPr="008F03E5">
        <w:rPr>
          <w:u w:val="single"/>
        </w:rPr>
        <w:t>sh</w:t>
      </w:r>
      <w:r w:rsidRPr="008F03E5">
        <w:t xml:space="preserve">ápúrí.  Mírzá Badí‘ </w:t>
      </w:r>
      <w:r w:rsidRPr="008F03E5">
        <w:rPr>
          <w:u w:val="single"/>
        </w:rPr>
        <w:t>Kh</w:t>
      </w:r>
      <w:r w:rsidRPr="008F03E5">
        <w:t xml:space="preserve">urásání delivered Bahá’u’lláh’s Epistle to Náṣir ad-Dín </w:t>
      </w:r>
      <w:r w:rsidRPr="008F03E5">
        <w:rPr>
          <w:u w:val="single"/>
        </w:rPr>
        <w:t>Sh</w:t>
      </w:r>
      <w:r w:rsidRPr="008F03E5">
        <w:t>áh Qájár (Lawḥ-i-Sulṭán).</w:t>
      </w:r>
    </w:p>
    <w:p w14:paraId="70F2FF73" w14:textId="77777777" w:rsidR="00625A5B" w:rsidRPr="008F03E5" w:rsidRDefault="00625A5B" w:rsidP="009941C7">
      <w:pPr>
        <w:pStyle w:val="Translit"/>
      </w:pPr>
      <w:r w:rsidRPr="008F03E5">
        <w:t>Badi’a (Badi’ih), Bada’i</w:t>
      </w:r>
      <w:r w:rsidRPr="008F03E5">
        <w:tab/>
        <w:t>Badí‘a[h or t], pl. Badá’i‘</w:t>
      </w:r>
      <w:r w:rsidRPr="008F03E5">
        <w:tab/>
        <w:t>(fem. of Badí‘) an astonishing, amazing thing, a marvel, a wonder; original creation.  Pers. also Badí‘ih or Badí‘yyih?</w:t>
      </w:r>
    </w:p>
    <w:p w14:paraId="353ED743" w14:textId="77777777" w:rsidR="00625A5B" w:rsidRPr="008F03E5" w:rsidRDefault="00625A5B" w:rsidP="00AA144F">
      <w:pPr>
        <w:pStyle w:val="Translit"/>
      </w:pPr>
      <w:r w:rsidRPr="008F03E5">
        <w:t>Badi’i</w:t>
      </w:r>
      <w:r w:rsidRPr="008F03E5">
        <w:tab/>
        <w:t>Badí‘í</w:t>
      </w:r>
      <w:r w:rsidRPr="008F03E5">
        <w:tab/>
        <w:t>rhetorical</w:t>
      </w:r>
    </w:p>
    <w:p w14:paraId="46D5022D" w14:textId="77777777" w:rsidR="00625A5B" w:rsidRPr="008F03E5" w:rsidRDefault="00625A5B" w:rsidP="00AA144F">
      <w:pPr>
        <w:pStyle w:val="Translit"/>
      </w:pPr>
      <w:r w:rsidRPr="008F03E5">
        <w:t>Badi’u’l-Hayat</w:t>
      </w:r>
      <w:r w:rsidRPr="008F03E5">
        <w:tab/>
        <w:t>Badí‘u’l-Ḥayát</w:t>
      </w:r>
      <w:r w:rsidRPr="008F03E5">
        <w:tab/>
        <w:t>“Wondrous Life”  A name give by Bahá’u’lláh to Mírzá Ja‘far.</w:t>
      </w:r>
    </w:p>
    <w:p w14:paraId="74C15435" w14:textId="77777777" w:rsidR="00625A5B" w:rsidRPr="008F03E5" w:rsidRDefault="00625A5B" w:rsidP="0067516D">
      <w:pPr>
        <w:pStyle w:val="Translit"/>
      </w:pPr>
      <w:r w:rsidRPr="008F03E5">
        <w:t>Badi’u’llah</w:t>
      </w:r>
      <w:r w:rsidRPr="008F03E5">
        <w:tab/>
        <w:t>Badí‘u’lláh</w:t>
      </w:r>
      <w:r w:rsidRPr="008F03E5">
        <w:tab/>
        <w:t xml:space="preserve">“wonder of God”.  Mírzá Badí‘u’lláh, son of Bahá’u’lláh.  He wrote his “confession, </w:t>
      </w:r>
      <w:r w:rsidRPr="008F03E5">
        <w:rPr>
          <w:i/>
          <w:iCs/>
        </w:rPr>
        <w:t>at-Ta‘límu’l-Bahá’íyat</w:t>
      </w:r>
      <w:r w:rsidRPr="008F03E5">
        <w:t xml:space="preserve">, which was translated as </w:t>
      </w:r>
      <w:r w:rsidRPr="008F03E5">
        <w:rPr>
          <w:i/>
          <w:iCs/>
        </w:rPr>
        <w:t>An Epistle to the Bahai World</w:t>
      </w:r>
      <w:r w:rsidRPr="008F03E5">
        <w:t>.</w:t>
      </w:r>
    </w:p>
    <w:p w14:paraId="37C8699E" w14:textId="77777777" w:rsidR="00625A5B" w:rsidRPr="008F03E5" w:rsidRDefault="00625A5B" w:rsidP="00C461F1">
      <w:pPr>
        <w:pStyle w:val="Translit"/>
      </w:pPr>
      <w:r w:rsidRPr="008F03E5">
        <w:t>Badil, Badila, Budala’</w:t>
      </w:r>
      <w:r w:rsidRPr="008F03E5">
        <w:tab/>
        <w:t>Badíl, fem. Badíla[h], pl. Budalá’</w:t>
      </w:r>
      <w:r w:rsidRPr="008F03E5">
        <w:tab/>
        <w:t>substitute; stand-in, double (theatrical art); a good, just, religious man; (fem.) serving as a replacement or substitute.  Budayl (Badíl) ibn Warqá‘ al-</w:t>
      </w:r>
      <w:r w:rsidRPr="008F03E5">
        <w:rPr>
          <w:u w:val="single"/>
        </w:rPr>
        <w:t>Kh</w:t>
      </w:r>
      <w:r w:rsidRPr="008F03E5">
        <w:t xml:space="preserve">uzá‘í was a Meccan Companion of the Prophet and one of the </w:t>
      </w:r>
      <w:r w:rsidRPr="008F03E5">
        <w:rPr>
          <w:u w:val="single"/>
        </w:rPr>
        <w:t>sh</w:t>
      </w:r>
      <w:r w:rsidRPr="008F03E5">
        <w:t>ay</w:t>
      </w:r>
      <w:r w:rsidRPr="008F03E5">
        <w:rPr>
          <w:u w:val="single"/>
        </w:rPr>
        <w:t>kh</w:t>
      </w:r>
      <w:r w:rsidRPr="008F03E5">
        <w:t xml:space="preserve">s of the </w:t>
      </w:r>
      <w:r w:rsidRPr="008F03E5">
        <w:rPr>
          <w:u w:val="single"/>
        </w:rPr>
        <w:t>Kh</w:t>
      </w:r>
      <w:r w:rsidRPr="008F03E5">
        <w:t>uzá‘ah tribe.</w:t>
      </w:r>
    </w:p>
    <w:p w14:paraId="1E88AFB0" w14:textId="77777777" w:rsidR="00625A5B" w:rsidRPr="008F03E5" w:rsidRDefault="00625A5B" w:rsidP="001E6038">
      <w:pPr>
        <w:pStyle w:val="Translit"/>
        <w:rPr>
          <w:rFonts w:eastAsia="PMingLiU"/>
          <w:lang w:eastAsia="zh-TW"/>
        </w:rPr>
      </w:pPr>
      <w:r w:rsidRPr="008F03E5">
        <w:t>Badkubah (Badkubih), Bad-Kubah</w:t>
      </w:r>
      <w:r w:rsidRPr="008F03E5">
        <w:tab/>
        <w:t>Bádkúbah, Bád-Kúbah</w:t>
      </w:r>
      <w:r w:rsidRPr="008F03E5">
        <w:tab/>
        <w:t>“Wind-pounded city”.  See Bákú</w:t>
      </w:r>
    </w:p>
    <w:p w14:paraId="7CC8ABE1" w14:textId="77777777" w:rsidR="00625A5B" w:rsidRPr="008F03E5" w:rsidRDefault="00625A5B" w:rsidP="00765E48">
      <w:pPr>
        <w:pStyle w:val="Translit"/>
      </w:pPr>
      <w:r w:rsidRPr="008F03E5">
        <w:t>Badkubi’i (Badkoubei)</w:t>
      </w:r>
      <w:r w:rsidRPr="008F03E5">
        <w:tab/>
        <w:t>Bádkúbi’í</w:t>
      </w:r>
      <w:r w:rsidRPr="008F03E5">
        <w:tab/>
        <w:t>Pers. (bád + kúb)</w:t>
      </w:r>
    </w:p>
    <w:p w14:paraId="3976D8BD" w14:textId="77777777" w:rsidR="00625A5B" w:rsidRPr="008F03E5" w:rsidRDefault="00625A5B" w:rsidP="00367347">
      <w:pPr>
        <w:pStyle w:val="Translit"/>
      </w:pPr>
      <w:r w:rsidRPr="008F03E5">
        <w:rPr>
          <w:rFonts w:eastAsia="PMingLiU"/>
          <w:lang w:eastAsia="zh-TW"/>
        </w:rPr>
        <w:t>Badr, Budur</w:t>
      </w:r>
      <w:r w:rsidRPr="008F03E5">
        <w:rPr>
          <w:rFonts w:eastAsia="PMingLiU"/>
          <w:lang w:eastAsia="zh-TW"/>
        </w:rPr>
        <w:tab/>
        <w:t>Badr, pl. Budúr</w:t>
      </w:r>
      <w:r w:rsidRPr="008F03E5">
        <w:rPr>
          <w:rFonts w:eastAsia="PMingLiU"/>
          <w:lang w:eastAsia="zh-TW"/>
        </w:rPr>
        <w:tab/>
        <w:t xml:space="preserve">full </w:t>
      </w:r>
      <w:r w:rsidRPr="008F03E5">
        <w:t xml:space="preserve">moon.  Badr Ḥunayn is a city 80 km </w:t>
      </w:r>
      <w:r w:rsidRPr="008F03E5">
        <w:rPr>
          <w:sz w:val="16"/>
          <w:szCs w:val="16"/>
        </w:rPr>
        <w:t>SE</w:t>
      </w:r>
      <w:r w:rsidRPr="008F03E5">
        <w:t xml:space="preserve"> of Yanbú‘.  Site of the famous Battle of Badr, between the Quray</w:t>
      </w:r>
      <w:r w:rsidRPr="008F03E5">
        <w:rPr>
          <w:u w:val="single"/>
        </w:rPr>
        <w:t>sh</w:t>
      </w:r>
      <w:r w:rsidRPr="008F03E5">
        <w:t xml:space="preserve"> led polytheists, and the Muslims under the leadership of Muḥammad, in 624.</w:t>
      </w:r>
    </w:p>
    <w:p w14:paraId="1F65AA32" w14:textId="77777777" w:rsidR="00625A5B" w:rsidRPr="008F03E5" w:rsidRDefault="00625A5B" w:rsidP="0084528A">
      <w:pPr>
        <w:pStyle w:val="Translit"/>
      </w:pPr>
      <w:r w:rsidRPr="008F03E5">
        <w:rPr>
          <w:rFonts w:eastAsia="PMingLiU"/>
          <w:lang w:eastAsia="zh-TW"/>
        </w:rPr>
        <w:t>Badr</w:t>
      </w:r>
      <w:r w:rsidRPr="008F03E5">
        <w:t>i</w:t>
      </w:r>
      <w:r w:rsidRPr="008F03E5">
        <w:tab/>
      </w:r>
      <w:r w:rsidRPr="008F03E5">
        <w:rPr>
          <w:rFonts w:eastAsia="PMingLiU"/>
          <w:lang w:eastAsia="zh-TW"/>
        </w:rPr>
        <w:t>Badr</w:t>
      </w:r>
      <w:r w:rsidRPr="008F03E5">
        <w:t>í</w:t>
      </w:r>
      <w:r w:rsidRPr="008F03E5">
        <w:tab/>
        <w:t>of or relating to the full moon; plenilunar; one who had been present at the battle of Badr; a purse full of money</w:t>
      </w:r>
    </w:p>
    <w:p w14:paraId="1A3F0A59" w14:textId="77777777" w:rsidR="00625A5B" w:rsidRPr="008F03E5" w:rsidRDefault="00625A5B" w:rsidP="00CD5EFD">
      <w:pPr>
        <w:pStyle w:val="Translit"/>
      </w:pPr>
      <w:r w:rsidRPr="008F03E5">
        <w:t>Badshah, Padshah</w:t>
      </w:r>
      <w:r w:rsidRPr="008F03E5">
        <w:tab/>
        <w:t>Bád</w:t>
      </w:r>
      <w:r w:rsidRPr="008F03E5">
        <w:rPr>
          <w:u w:val="single"/>
        </w:rPr>
        <w:t>sh</w:t>
      </w:r>
      <w:r w:rsidRPr="008F03E5">
        <w:t>áh, Pád</w:t>
      </w:r>
      <w:r w:rsidRPr="008F03E5">
        <w:rPr>
          <w:u w:val="single"/>
        </w:rPr>
        <w:t>sh</w:t>
      </w:r>
      <w:r w:rsidRPr="008F03E5">
        <w:t>áh</w:t>
      </w:r>
      <w:r w:rsidRPr="008F03E5">
        <w:tab/>
        <w:t>Pers. an emperor, sovereign, monarch, king.  Also Pád-</w:t>
      </w:r>
      <w:r w:rsidRPr="008F03E5">
        <w:rPr>
          <w:u w:val="single"/>
        </w:rPr>
        <w:t>Sh</w:t>
      </w:r>
      <w:r w:rsidRPr="008F03E5">
        <w:t>áh (“Padeshah”)</w:t>
      </w:r>
    </w:p>
    <w:p w14:paraId="7F7CA510" w14:textId="77777777" w:rsidR="00625A5B" w:rsidRPr="008F03E5" w:rsidRDefault="00625A5B" w:rsidP="00EC3BDE">
      <w:pPr>
        <w:pStyle w:val="Translit"/>
      </w:pPr>
      <w:r w:rsidRPr="008F03E5">
        <w:t>Badw</w:t>
      </w:r>
      <w:r w:rsidRPr="008F03E5">
        <w:tab/>
        <w:t>Badw</w:t>
      </w:r>
      <w:r w:rsidRPr="008F03E5">
        <w:tab/>
        <w:t>desert; nomads, Bedouins</w:t>
      </w:r>
    </w:p>
    <w:p w14:paraId="6BD54182" w14:textId="77777777" w:rsidR="00625A5B" w:rsidRPr="008F03E5" w:rsidRDefault="00625A5B" w:rsidP="00CF74D0">
      <w:pPr>
        <w:pStyle w:val="Translit"/>
      </w:pPr>
      <w:r w:rsidRPr="008F03E5">
        <w:t>Bagh</w:t>
      </w:r>
      <w:r w:rsidRPr="008F03E5">
        <w:tab/>
        <w:t>Bá</w:t>
      </w:r>
      <w:r w:rsidRPr="008F03E5">
        <w:rPr>
          <w:u w:val="single"/>
        </w:rPr>
        <w:t>gh</w:t>
      </w:r>
      <w:r w:rsidRPr="008F03E5">
        <w:tab/>
        <w:t>garden</w:t>
      </w:r>
    </w:p>
    <w:p w14:paraId="6F3F0B3D" w14:textId="77777777" w:rsidR="00625A5B" w:rsidRPr="008F03E5" w:rsidRDefault="00625A5B" w:rsidP="00CD5EFD">
      <w:pPr>
        <w:pStyle w:val="Translit"/>
        <w:rPr>
          <w:rFonts w:eastAsia="PMingLiU"/>
          <w:lang w:eastAsia="zh-TW"/>
        </w:rPr>
      </w:pPr>
      <w:r w:rsidRPr="008F03E5">
        <w:rPr>
          <w:rFonts w:eastAsia="PMingLiU"/>
          <w:lang w:eastAsia="zh-TW"/>
        </w:rPr>
        <w:t>Bagh</w:t>
      </w:r>
      <w:r w:rsidRPr="008F03E5">
        <w:rPr>
          <w:rFonts w:eastAsia="PMingLiU"/>
          <w:lang w:eastAsia="zh-TW"/>
        </w:rPr>
        <w:tab/>
        <w:t>Ba</w:t>
      </w:r>
      <w:r w:rsidRPr="008F03E5">
        <w:rPr>
          <w:u w:val="single"/>
        </w:rPr>
        <w:t>gh</w:t>
      </w:r>
      <w:r w:rsidRPr="008F03E5">
        <w:rPr>
          <w:rFonts w:eastAsia="PMingLiU"/>
          <w:lang w:eastAsia="zh-TW"/>
        </w:rPr>
        <w:tab/>
        <w:t>Pers. a ditch; name of an idol; a god (enters into composition of names, as ba</w:t>
      </w:r>
      <w:r w:rsidRPr="008F03E5">
        <w:rPr>
          <w:u w:val="single"/>
        </w:rPr>
        <w:t>gh</w:t>
      </w:r>
      <w:r w:rsidRPr="008F03E5">
        <w:rPr>
          <w:rFonts w:eastAsia="PMingLiU"/>
          <w:lang w:eastAsia="zh-TW"/>
        </w:rPr>
        <w:t>-d</w:t>
      </w:r>
      <w:r w:rsidRPr="008F03E5">
        <w:t>á</w:t>
      </w:r>
      <w:r w:rsidRPr="008F03E5">
        <w:rPr>
          <w:rFonts w:eastAsia="PMingLiU"/>
          <w:lang w:eastAsia="zh-TW"/>
        </w:rPr>
        <w:t>d—“god-given”)</w:t>
      </w:r>
    </w:p>
    <w:p w14:paraId="609F1C78" w14:textId="77777777" w:rsidR="00625A5B" w:rsidRPr="008F03E5" w:rsidRDefault="00625A5B" w:rsidP="00DC3C43">
      <w:pPr>
        <w:pStyle w:val="Translit"/>
      </w:pPr>
      <w:r w:rsidRPr="008F03E5">
        <w:t>Baghban, Bagh-Pira</w:t>
      </w:r>
      <w:r w:rsidRPr="008F03E5">
        <w:tab/>
        <w:t>Bá</w:t>
      </w:r>
      <w:r w:rsidRPr="008F03E5">
        <w:rPr>
          <w:u w:val="single"/>
        </w:rPr>
        <w:t>gh</w:t>
      </w:r>
      <w:r w:rsidRPr="008F03E5">
        <w:t>bán, Bá</w:t>
      </w:r>
      <w:r w:rsidRPr="008F03E5">
        <w:rPr>
          <w:u w:val="single"/>
        </w:rPr>
        <w:t>gh</w:t>
      </w:r>
      <w:r w:rsidRPr="008F03E5">
        <w:t>-pírá</w:t>
      </w:r>
      <w:r w:rsidRPr="008F03E5">
        <w:tab/>
        <w:t>Pers. a gardener; a vine-dresser</w:t>
      </w:r>
    </w:p>
    <w:p w14:paraId="5314046E" w14:textId="77777777" w:rsidR="00625A5B" w:rsidRPr="008F03E5" w:rsidRDefault="00625A5B" w:rsidP="00900A82">
      <w:pPr>
        <w:pStyle w:val="Translit"/>
        <w:rPr>
          <w:rFonts w:eastAsia="PMingLiU"/>
          <w:lang w:eastAsia="zh-TW"/>
        </w:rPr>
      </w:pPr>
      <w:r w:rsidRPr="008F03E5">
        <w:rPr>
          <w:rFonts w:eastAsia="PMingLiU"/>
          <w:lang w:eastAsia="zh-TW"/>
        </w:rPr>
        <w:t>B</w:t>
      </w:r>
      <w:r w:rsidRPr="008F03E5">
        <w:t>a</w:t>
      </w:r>
      <w:r w:rsidRPr="008F03E5">
        <w:rPr>
          <w:rFonts w:eastAsia="PMingLiU"/>
          <w:lang w:eastAsia="zh-TW"/>
        </w:rPr>
        <w:t>ghb</w:t>
      </w:r>
      <w:r w:rsidRPr="008F03E5">
        <w:t>a</w:t>
      </w:r>
      <w:r w:rsidRPr="008F03E5">
        <w:rPr>
          <w:rFonts w:eastAsia="PMingLiU"/>
          <w:lang w:eastAsia="zh-TW"/>
        </w:rPr>
        <w:t>n-B</w:t>
      </w:r>
      <w:r w:rsidRPr="008F03E5">
        <w:t>a</w:t>
      </w:r>
      <w:r w:rsidRPr="008F03E5">
        <w:rPr>
          <w:rFonts w:eastAsia="PMingLiU"/>
          <w:lang w:eastAsia="zh-TW"/>
        </w:rPr>
        <w:t>sh</w:t>
      </w:r>
      <w:r w:rsidRPr="008F03E5">
        <w:t>i</w:t>
      </w:r>
      <w:r w:rsidRPr="008F03E5">
        <w:tab/>
      </w:r>
      <w:r w:rsidRPr="008F03E5">
        <w:rPr>
          <w:rFonts w:eastAsia="PMingLiU"/>
          <w:lang w:eastAsia="zh-TW"/>
        </w:rPr>
        <w:t>B</w:t>
      </w:r>
      <w:r w:rsidRPr="008F03E5">
        <w:t>á</w:t>
      </w:r>
      <w:r w:rsidRPr="008F03E5">
        <w:rPr>
          <w:u w:val="single"/>
        </w:rPr>
        <w:t>gh</w:t>
      </w:r>
      <w:r w:rsidRPr="008F03E5">
        <w:rPr>
          <w:rFonts w:eastAsia="PMingLiU"/>
          <w:lang w:eastAsia="zh-TW"/>
        </w:rPr>
        <w:t>b</w:t>
      </w:r>
      <w:r w:rsidRPr="008F03E5">
        <w:t>á</w:t>
      </w:r>
      <w:r w:rsidRPr="008F03E5">
        <w:rPr>
          <w:rFonts w:eastAsia="PMingLiU"/>
          <w:lang w:eastAsia="zh-TW"/>
        </w:rPr>
        <w:t>n-B</w:t>
      </w:r>
      <w:r w:rsidRPr="008F03E5">
        <w:t>á</w:t>
      </w:r>
      <w:r w:rsidRPr="008F03E5">
        <w:rPr>
          <w:u w:val="single"/>
        </w:rPr>
        <w:t>sh</w:t>
      </w:r>
      <w:r w:rsidRPr="008F03E5">
        <w:t>í</w:t>
      </w:r>
      <w:r w:rsidRPr="008F03E5">
        <w:tab/>
      </w:r>
    </w:p>
    <w:p w14:paraId="41FACBD3" w14:textId="77777777" w:rsidR="00625A5B" w:rsidRPr="008F03E5" w:rsidRDefault="00625A5B" w:rsidP="009F6645">
      <w:pPr>
        <w:pStyle w:val="Translit"/>
      </w:pPr>
      <w:r w:rsidRPr="008F03E5">
        <w:t>Baghcha</w:t>
      </w:r>
      <w:r w:rsidRPr="008F03E5">
        <w:tab/>
      </w:r>
      <w:r w:rsidRPr="008F03E5">
        <w:rPr>
          <w:lang w:eastAsia="en-AU"/>
        </w:rPr>
        <w:t>Bá</w:t>
      </w:r>
      <w:r w:rsidRPr="008F03E5">
        <w:rPr>
          <w:u w:val="single"/>
          <w:lang w:eastAsia="en-AU"/>
        </w:rPr>
        <w:t>gh</w:t>
      </w:r>
      <w:r w:rsidRPr="008F03E5">
        <w:rPr>
          <w:rFonts w:eastAsia="Times New Roman"/>
          <w:u w:val="single"/>
        </w:rPr>
        <w:t>ch</w:t>
      </w:r>
      <w:r w:rsidRPr="008F03E5">
        <w:rPr>
          <w:rFonts w:eastAsia="Times New Roman"/>
        </w:rPr>
        <w:t>a</w:t>
      </w:r>
      <w:r w:rsidRPr="008F03E5">
        <w:rPr>
          <w:rFonts w:eastAsia="Times New Roman"/>
        </w:rPr>
        <w:tab/>
        <w:t>Pers. a little garden, a garden</w:t>
      </w:r>
    </w:p>
    <w:p w14:paraId="4D6A2BA7" w14:textId="77777777" w:rsidR="00625A5B" w:rsidRPr="008F03E5" w:rsidRDefault="00625A5B" w:rsidP="00784E17">
      <w:pPr>
        <w:pStyle w:val="Translit"/>
        <w:tabs>
          <w:tab w:val="left" w:pos="8789"/>
        </w:tabs>
      </w:pPr>
      <w:r w:rsidRPr="008F03E5">
        <w:t>Baghdad</w:t>
      </w:r>
      <w:r w:rsidRPr="008F03E5">
        <w:tab/>
        <w:t>Ba</w:t>
      </w:r>
      <w:r w:rsidRPr="008F03E5">
        <w:rPr>
          <w:u w:val="single"/>
        </w:rPr>
        <w:t>gh</w:t>
      </w:r>
      <w:r w:rsidRPr="008F03E5">
        <w:t>dád</w:t>
      </w:r>
      <w:r w:rsidRPr="008F03E5">
        <w:tab/>
        <w:t>the original circular city of Ba</w:t>
      </w:r>
      <w:r w:rsidRPr="008F03E5">
        <w:rPr>
          <w:u w:val="single"/>
        </w:rPr>
        <w:t>gh</w:t>
      </w:r>
      <w:r w:rsidRPr="008F03E5">
        <w:t xml:space="preserve">dád (about 3 km </w:t>
      </w:r>
      <w:r w:rsidRPr="008F03E5">
        <w:rPr>
          <w:sz w:val="16"/>
          <w:szCs w:val="16"/>
        </w:rPr>
        <w:t>NW</w:t>
      </w:r>
      <w:r w:rsidRPr="008F03E5">
        <w:t xml:space="preserve"> of the present city centre) was built on the site of an earlier village by the Abbasid Caliph al-Manṣúr in </w:t>
      </w:r>
      <w:r w:rsidRPr="008F03E5">
        <w:rPr>
          <w:sz w:val="16"/>
          <w:szCs w:val="16"/>
        </w:rPr>
        <w:t>CE</w:t>
      </w:r>
      <w:r w:rsidRPr="008F03E5">
        <w:t xml:space="preserve"> 762–766 as the official residence of the Abbasid court.  Its official name in Abbasid times was Madínat as-Salám (“The City of Peace”), Dár as-Salám (“the Abode of Peace”) or Madínatu’lláh (“the City of God”, because peace is an attribute of God).  Ba</w:t>
      </w:r>
      <w:r w:rsidRPr="008F03E5">
        <w:rPr>
          <w:u w:val="single"/>
        </w:rPr>
        <w:t>gh</w:t>
      </w:r>
      <w:r w:rsidRPr="008F03E5">
        <w:t>dád may have derived from ancient Persian Ba</w:t>
      </w:r>
      <w:r w:rsidRPr="008F03E5">
        <w:rPr>
          <w:u w:val="single"/>
        </w:rPr>
        <w:t>gh</w:t>
      </w:r>
      <w:r w:rsidRPr="008F03E5">
        <w:t xml:space="preserve"> (“God”) and Dád (“gift”), i.e. “Gift of God” or “God-given”.  Alternatively, also from Persian, Ba</w:t>
      </w:r>
      <w:r w:rsidRPr="008F03E5">
        <w:rPr>
          <w:u w:val="single"/>
        </w:rPr>
        <w:t>gh</w:t>
      </w:r>
      <w:r w:rsidRPr="008F03E5">
        <w:t xml:space="preserve"> and Dá</w:t>
      </w:r>
      <w:r w:rsidRPr="008F03E5">
        <w:rPr>
          <w:u w:val="single"/>
        </w:rPr>
        <w:t>dh</w:t>
      </w:r>
      <w:r w:rsidRPr="008F03E5">
        <w:t xml:space="preserve"> (“founded”), hence city “Founded by God”.  In Islamic times, the west bank was known as az-Zawrá and the east bank as ar-Rawḥá’.</w:t>
      </w:r>
    </w:p>
    <w:p w14:paraId="7D1982E0" w14:textId="77777777" w:rsidR="00625A5B" w:rsidRPr="008F03E5" w:rsidRDefault="00625A5B" w:rsidP="00510242">
      <w:pPr>
        <w:pStyle w:val="Translit"/>
      </w:pPr>
      <w:r w:rsidRPr="008F03E5">
        <w:t>Baghdadi, Baghdadyun, Baghdida</w:t>
      </w:r>
      <w:r w:rsidRPr="008F03E5">
        <w:tab/>
        <w:t>Ba</w:t>
      </w:r>
      <w:r w:rsidRPr="008F03E5">
        <w:rPr>
          <w:u w:val="single"/>
        </w:rPr>
        <w:t>gh</w:t>
      </w:r>
      <w:r w:rsidRPr="008F03E5">
        <w:t>dádí, pl. Ba</w:t>
      </w:r>
      <w:r w:rsidRPr="008F03E5">
        <w:rPr>
          <w:u w:val="single"/>
        </w:rPr>
        <w:t>gh</w:t>
      </w:r>
      <w:r w:rsidRPr="008F03E5">
        <w:t>dádyún, Ba</w:t>
      </w:r>
      <w:r w:rsidRPr="008F03E5">
        <w:rPr>
          <w:u w:val="single"/>
        </w:rPr>
        <w:t>gh</w:t>
      </w:r>
      <w:r w:rsidRPr="008F03E5">
        <w:t>ádida</w:t>
      </w:r>
      <w:r w:rsidRPr="008F03E5">
        <w:tab/>
        <w:t>native of Ba</w:t>
      </w:r>
      <w:r w:rsidRPr="008F03E5">
        <w:rPr>
          <w:u w:val="single"/>
        </w:rPr>
        <w:t>gh</w:t>
      </w:r>
      <w:r w:rsidRPr="008F03E5">
        <w:t>dád</w:t>
      </w:r>
    </w:p>
    <w:p w14:paraId="56BECA14" w14:textId="77777777" w:rsidR="00625A5B" w:rsidRPr="008F03E5" w:rsidRDefault="00625A5B" w:rsidP="004638CC">
      <w:pPr>
        <w:pStyle w:val="Translit"/>
      </w:pPr>
      <w:r w:rsidRPr="008F03E5">
        <w:t>Bagh-i-Firdaws</w:t>
      </w:r>
      <w:r w:rsidRPr="008F03E5">
        <w:tab/>
        <w:t>Bá</w:t>
      </w:r>
      <w:r w:rsidRPr="008F03E5">
        <w:rPr>
          <w:u w:val="single"/>
        </w:rPr>
        <w:t>gh</w:t>
      </w:r>
      <w:r w:rsidRPr="008F03E5">
        <w:t>-i-Firdaws</w:t>
      </w:r>
      <w:r w:rsidRPr="008F03E5">
        <w:tab/>
        <w:t>“Garden of Paradise”, agricultural land west of the Riḍván Garden, and east of old Akko (‘Akká)</w:t>
      </w:r>
    </w:p>
    <w:p w14:paraId="705B4119" w14:textId="77777777" w:rsidR="00625A5B" w:rsidRPr="008F03E5" w:rsidRDefault="00625A5B" w:rsidP="00900A82">
      <w:pPr>
        <w:pStyle w:val="Translit"/>
      </w:pPr>
      <w:r w:rsidRPr="008F03E5">
        <w:t>Bagh-i-Jannat</w:t>
      </w:r>
      <w:r w:rsidRPr="008F03E5">
        <w:tab/>
        <w:t>Bá</w:t>
      </w:r>
      <w:r w:rsidRPr="008F03E5">
        <w:rPr>
          <w:u w:val="single"/>
        </w:rPr>
        <w:t>gh</w:t>
      </w:r>
      <w:r w:rsidRPr="008F03E5">
        <w:t>-i-Jannat</w:t>
      </w:r>
      <w:r w:rsidRPr="008F03E5">
        <w:tab/>
        <w:t>“Garden of Paradise”</w:t>
      </w:r>
    </w:p>
    <w:p w14:paraId="77DD4222" w14:textId="77777777" w:rsidR="00625A5B" w:rsidRPr="008F03E5" w:rsidRDefault="00625A5B" w:rsidP="00FF0192">
      <w:pPr>
        <w:pStyle w:val="Translit"/>
        <w:rPr>
          <w:rFonts w:eastAsia="PMingLiU"/>
          <w:lang w:eastAsia="zh-TW"/>
        </w:rPr>
      </w:pPr>
      <w:r w:rsidRPr="008F03E5">
        <w:rPr>
          <w:rFonts w:eastAsia="PMingLiU"/>
          <w:lang w:eastAsia="zh-TW"/>
        </w:rPr>
        <w:t>B</w:t>
      </w:r>
      <w:r w:rsidRPr="008F03E5">
        <w:t>a</w:t>
      </w:r>
      <w:r w:rsidRPr="008F03E5">
        <w:rPr>
          <w:rFonts w:eastAsia="PMingLiU"/>
          <w:lang w:eastAsia="zh-TW"/>
        </w:rPr>
        <w:t>gh-i-Takht</w:t>
      </w:r>
      <w:r w:rsidRPr="008F03E5">
        <w:tab/>
      </w:r>
      <w:r w:rsidRPr="008F03E5">
        <w:rPr>
          <w:rFonts w:eastAsia="PMingLiU"/>
          <w:lang w:eastAsia="zh-TW"/>
        </w:rPr>
        <w:t>B</w:t>
      </w:r>
      <w:r w:rsidRPr="008F03E5">
        <w:t>á</w:t>
      </w:r>
      <w:r w:rsidRPr="008F03E5">
        <w:rPr>
          <w:u w:val="single"/>
        </w:rPr>
        <w:t>gh</w:t>
      </w:r>
      <w:r w:rsidRPr="008F03E5">
        <w:rPr>
          <w:rFonts w:eastAsia="PMingLiU"/>
          <w:lang w:eastAsia="zh-TW"/>
        </w:rPr>
        <w:t>-i-Ta</w:t>
      </w:r>
      <w:r w:rsidRPr="008F03E5">
        <w:rPr>
          <w:u w:val="single"/>
        </w:rPr>
        <w:t>kh</w:t>
      </w:r>
      <w:r w:rsidRPr="008F03E5">
        <w:rPr>
          <w:rFonts w:eastAsia="PMingLiU"/>
          <w:lang w:eastAsia="zh-TW"/>
        </w:rPr>
        <w:t>t</w:t>
      </w:r>
      <w:r w:rsidRPr="008F03E5">
        <w:tab/>
        <w:t xml:space="preserve">“Garden of the Throne” or “Garden of the Level”, in north western </w:t>
      </w:r>
      <w:r w:rsidRPr="008F03E5">
        <w:rPr>
          <w:u w:val="single"/>
        </w:rPr>
        <w:t>Sh</w:t>
      </w:r>
      <w:r w:rsidRPr="008F03E5">
        <w:t>íráz (29.634226, 52.542910).  A garden with a spring that once flowed over 7 terraces to a pool.</w:t>
      </w:r>
    </w:p>
    <w:p w14:paraId="7E3EFB53" w14:textId="77777777" w:rsidR="00625A5B" w:rsidRPr="008F03E5" w:rsidRDefault="00625A5B" w:rsidP="00917ADF">
      <w:pPr>
        <w:pStyle w:val="Translit"/>
        <w:rPr>
          <w:rFonts w:eastAsia="PMingLiU"/>
          <w:lang w:eastAsia="zh-TW"/>
        </w:rPr>
      </w:pPr>
      <w:r w:rsidRPr="008F03E5">
        <w:rPr>
          <w:rFonts w:eastAsia="PMingLiU"/>
          <w:lang w:eastAsia="zh-TW"/>
        </w:rPr>
        <w:t>Bagh-Misha (B</w:t>
      </w:r>
      <w:r w:rsidRPr="008F03E5">
        <w:t>a</w:t>
      </w:r>
      <w:r w:rsidRPr="008F03E5">
        <w:rPr>
          <w:rFonts w:eastAsia="PMingLiU"/>
          <w:lang w:eastAsia="zh-TW"/>
        </w:rPr>
        <w:t>gh-Mishih, Baghmisheh)</w:t>
      </w:r>
      <w:r w:rsidRPr="008F03E5">
        <w:tab/>
      </w:r>
      <w:r w:rsidRPr="008F03E5">
        <w:rPr>
          <w:rFonts w:eastAsia="PMingLiU"/>
          <w:lang w:eastAsia="zh-TW"/>
        </w:rPr>
        <w:t>B</w:t>
      </w:r>
      <w:r w:rsidRPr="008F03E5">
        <w:t>á</w:t>
      </w:r>
      <w:r w:rsidRPr="008F03E5">
        <w:rPr>
          <w:rFonts w:eastAsia="PMingLiU"/>
          <w:u w:val="single"/>
          <w:lang w:eastAsia="zh-TW"/>
        </w:rPr>
        <w:t>gh</w:t>
      </w:r>
      <w:r w:rsidRPr="008F03E5">
        <w:rPr>
          <w:rFonts w:eastAsia="PMingLiU"/>
          <w:lang w:eastAsia="zh-TW"/>
        </w:rPr>
        <w:t>-M</w:t>
      </w:r>
      <w:r w:rsidRPr="008F03E5">
        <w:t>í</w:t>
      </w:r>
      <w:r w:rsidRPr="008F03E5">
        <w:rPr>
          <w:rFonts w:eastAsia="PMingLiU"/>
          <w:u w:val="single"/>
          <w:lang w:eastAsia="zh-TW"/>
        </w:rPr>
        <w:t>sh</w:t>
      </w:r>
      <w:r w:rsidRPr="008F03E5">
        <w:rPr>
          <w:rFonts w:eastAsia="PMingLiU"/>
          <w:lang w:eastAsia="zh-TW"/>
        </w:rPr>
        <w:t>a</w:t>
      </w:r>
      <w:r w:rsidRPr="008F03E5">
        <w:tab/>
        <w:t>Pers. “garden of early man”; eastern district of Tabriz (38.075720, 46.384497)</w:t>
      </w:r>
    </w:p>
    <w:p w14:paraId="513C8B6C" w14:textId="77777777" w:rsidR="00625A5B" w:rsidRPr="008F03E5" w:rsidRDefault="00625A5B" w:rsidP="002B006F">
      <w:pPr>
        <w:pStyle w:val="Translit"/>
        <w:rPr>
          <w:rFonts w:eastAsia="PMingLiU"/>
          <w:lang w:eastAsia="zh-TW"/>
        </w:rPr>
      </w:pPr>
      <w:r w:rsidRPr="008F03E5">
        <w:rPr>
          <w:rFonts w:eastAsia="PMingLiU"/>
          <w:lang w:eastAsia="zh-TW"/>
        </w:rPr>
        <w:t>B</w:t>
      </w:r>
      <w:r w:rsidRPr="008F03E5">
        <w:t>a</w:t>
      </w:r>
      <w:r w:rsidRPr="008F03E5">
        <w:rPr>
          <w:rFonts w:eastAsia="PMingLiU"/>
          <w:lang w:eastAsia="zh-TW"/>
        </w:rPr>
        <w:t>gh-Panba (Bagh-Panbih)</w:t>
      </w:r>
      <w:r w:rsidRPr="008F03E5">
        <w:tab/>
      </w:r>
      <w:r w:rsidRPr="008F03E5">
        <w:rPr>
          <w:rFonts w:eastAsia="PMingLiU"/>
          <w:lang w:eastAsia="zh-TW"/>
        </w:rPr>
        <w:t>B</w:t>
      </w:r>
      <w:r w:rsidRPr="008F03E5">
        <w:t>á</w:t>
      </w:r>
      <w:r w:rsidRPr="008F03E5">
        <w:rPr>
          <w:u w:val="single"/>
        </w:rPr>
        <w:t>gh</w:t>
      </w:r>
      <w:r w:rsidRPr="008F03E5">
        <w:rPr>
          <w:rFonts w:eastAsia="PMingLiU"/>
          <w:lang w:eastAsia="zh-TW"/>
        </w:rPr>
        <w:t>-Panba</w:t>
      </w:r>
      <w:r w:rsidRPr="008F03E5">
        <w:tab/>
        <w:t xml:space="preserve">“cotton garden”.  </w:t>
      </w:r>
      <w:r w:rsidRPr="008F03E5">
        <w:rPr>
          <w:rFonts w:eastAsia="PMingLiU"/>
          <w:lang w:eastAsia="zh-TW"/>
        </w:rPr>
        <w:t>Ba</w:t>
      </w:r>
      <w:r w:rsidRPr="008F03E5">
        <w:t>gh</w:t>
      </w:r>
      <w:r w:rsidRPr="008F03E5">
        <w:rPr>
          <w:rFonts w:eastAsia="PMingLiU"/>
          <w:lang w:eastAsia="zh-TW"/>
        </w:rPr>
        <w:t>-Panbeh</w:t>
      </w:r>
      <w:r w:rsidRPr="008F03E5">
        <w:t xml:space="preserve"> is an old district of Qum (≈ 2 km </w:t>
      </w:r>
      <w:r w:rsidRPr="008F03E5">
        <w:rPr>
          <w:sz w:val="16"/>
          <w:szCs w:val="16"/>
        </w:rPr>
        <w:t>NE</w:t>
      </w:r>
      <w:r w:rsidRPr="008F03E5">
        <w:t xml:space="preserve"> of city centre; 34.647643, 50.891723)</w:t>
      </w:r>
    </w:p>
    <w:p w14:paraId="1ABD9A35" w14:textId="77777777" w:rsidR="00625A5B" w:rsidRPr="008F03E5" w:rsidRDefault="00625A5B" w:rsidP="007F1EF8">
      <w:pPr>
        <w:pStyle w:val="Translit"/>
      </w:pPr>
      <w:r w:rsidRPr="00D45A23">
        <w:rPr>
          <w:lang w:val="de-DE"/>
        </w:rPr>
        <w:t>Bagum (Begum, Bigum)</w:t>
      </w:r>
      <w:r w:rsidRPr="00D45A23">
        <w:rPr>
          <w:lang w:val="de-DE"/>
        </w:rPr>
        <w:tab/>
        <w:t>Bagum</w:t>
      </w:r>
      <w:r w:rsidRPr="00D45A23">
        <w:rPr>
          <w:lang w:val="de-DE"/>
        </w:rPr>
        <w:tab/>
        <w:t xml:space="preserve">(Turk) dame.  </w:t>
      </w:r>
      <w:r w:rsidRPr="008F03E5">
        <w:t>Feminine form of ‘Big’.  A title placed after the name.</w:t>
      </w:r>
    </w:p>
    <w:p w14:paraId="76D1B346" w14:textId="77777777" w:rsidR="00625A5B" w:rsidRPr="008F03E5" w:rsidRDefault="00625A5B" w:rsidP="00341FBA">
      <w:pPr>
        <w:pStyle w:val="Translit"/>
      </w:pPr>
      <w:r w:rsidRPr="008F03E5">
        <w:t>Baha</w:t>
      </w:r>
      <w:r w:rsidRPr="008F03E5">
        <w:tab/>
        <w:t>Baha</w:t>
      </w:r>
      <w:r w:rsidRPr="008F03E5">
        <w:tab/>
        <w:t>Pers. far be it!</w:t>
      </w:r>
    </w:p>
    <w:p w14:paraId="65D78455" w14:textId="77777777" w:rsidR="00625A5B" w:rsidRPr="008F03E5" w:rsidRDefault="00625A5B" w:rsidP="00AE73E2">
      <w:pPr>
        <w:pStyle w:val="Translit"/>
      </w:pPr>
      <w:r w:rsidRPr="008F03E5">
        <w:t>Baha</w:t>
      </w:r>
      <w:r w:rsidRPr="008F03E5">
        <w:tab/>
        <w:t>Bahá</w:t>
      </w:r>
      <w:r w:rsidRPr="008F03E5">
        <w:tab/>
        <w:t>Pers. price, value</w:t>
      </w:r>
    </w:p>
    <w:p w14:paraId="17FC8D1E" w14:textId="77777777" w:rsidR="00625A5B" w:rsidRPr="008F03E5" w:rsidRDefault="00625A5B" w:rsidP="00152D8A">
      <w:pPr>
        <w:pStyle w:val="Translit"/>
      </w:pPr>
      <w:r w:rsidRPr="008F03E5">
        <w:t>Baha’ ad-Din, Baha’u’d-Din</w:t>
      </w:r>
      <w:r w:rsidRPr="008F03E5">
        <w:tab/>
        <w:t>Bahá’ ad-Dín, Bahá’u’d-Dín</w:t>
      </w:r>
      <w:r w:rsidRPr="008F03E5">
        <w:tab/>
        <w:t xml:space="preserve">literally “splendour of the faith”.  Bahá’u’lláh was known by the locals in the Haifa ‘Akká area as Bahá’u’d-Dín, a </w:t>
      </w:r>
      <w:r w:rsidRPr="008F03E5">
        <w:rPr>
          <w:lang w:eastAsia="en-US"/>
        </w:rPr>
        <w:t>name that was less theologically problematic than Bah</w:t>
      </w:r>
      <w:r w:rsidRPr="008F03E5">
        <w:t>á</w:t>
      </w:r>
      <w:r w:rsidRPr="008F03E5">
        <w:rPr>
          <w:lang w:eastAsia="en-US"/>
        </w:rPr>
        <w:t>’u’ll</w:t>
      </w:r>
      <w:r w:rsidRPr="008F03E5">
        <w:t>á</w:t>
      </w:r>
      <w:r w:rsidRPr="008F03E5">
        <w:rPr>
          <w:lang w:eastAsia="en-US"/>
        </w:rPr>
        <w:t>h</w:t>
      </w:r>
      <w:r w:rsidRPr="008F03E5">
        <w:t>.</w:t>
      </w:r>
    </w:p>
    <w:p w14:paraId="4EBE8260" w14:textId="77777777" w:rsidR="00625A5B" w:rsidRPr="008F03E5" w:rsidRDefault="00625A5B" w:rsidP="00840195">
      <w:pPr>
        <w:pStyle w:val="Translit"/>
        <w:rPr>
          <w:lang w:eastAsia="en-US"/>
        </w:rPr>
      </w:pPr>
      <w:r w:rsidRPr="008F03E5">
        <w:t>Baha’</w:t>
      </w:r>
      <w:r w:rsidRPr="008F03E5">
        <w:tab/>
        <w:t>Bahá’ (</w:t>
      </w:r>
      <w:r w:rsidRPr="008F03E5">
        <w:rPr>
          <w:rtl/>
        </w:rPr>
        <w:t>بَهاء</w:t>
      </w:r>
      <w:r w:rsidRPr="008F03E5">
        <w:t>)</w:t>
      </w:r>
      <w:r w:rsidRPr="008F03E5">
        <w:tab/>
        <w:t>beauty, magnificence, splendour; brilliancy; glory or light.  Title of Bahá’u’lláh.  See Abhá.  An Islamic Tradition states the Most great Name (</w:t>
      </w:r>
      <w:r w:rsidRPr="008F03E5">
        <w:rPr>
          <w:i/>
          <w:iCs/>
        </w:rPr>
        <w:t>Huwu</w:t>
      </w:r>
      <w:r w:rsidRPr="008F03E5">
        <w:t>) consists of four names:  1.  “God” (</w:t>
      </w:r>
      <w:r w:rsidRPr="008F03E5">
        <w:rPr>
          <w:i/>
          <w:iCs/>
        </w:rPr>
        <w:t>Alláh</w:t>
      </w:r>
      <w:r w:rsidRPr="008F03E5">
        <w:t>), 2.  “the Blessed” (</w:t>
      </w:r>
      <w:r w:rsidRPr="008F03E5">
        <w:rPr>
          <w:i/>
          <w:iCs/>
        </w:rPr>
        <w:t>Tabáraka</w:t>
      </w:r>
      <w:r w:rsidRPr="008F03E5">
        <w:t>), 3.  “the Exalted” (</w:t>
      </w:r>
      <w:r w:rsidRPr="008F03E5">
        <w:rPr>
          <w:i/>
          <w:iCs/>
        </w:rPr>
        <w:t>Ta‘álá</w:t>
      </w:r>
      <w:r w:rsidRPr="008F03E5">
        <w:t xml:space="preserve">, from the same root as </w:t>
      </w:r>
      <w:r w:rsidRPr="008F03E5">
        <w:rPr>
          <w:i/>
          <w:iCs/>
        </w:rPr>
        <w:t>‘Alí</w:t>
      </w:r>
      <w:r w:rsidRPr="008F03E5">
        <w:t xml:space="preserve">), 4.  The hidden name of God—identified by the Báb as hidden in </w:t>
      </w:r>
      <w:r w:rsidRPr="008F03E5">
        <w:rPr>
          <w:i/>
          <w:iCs/>
        </w:rPr>
        <w:t>Ta‘álá</w:t>
      </w:r>
      <w:r w:rsidRPr="008F03E5">
        <w:t xml:space="preserve">, i.e. </w:t>
      </w:r>
      <w:r w:rsidRPr="008F03E5">
        <w:rPr>
          <w:i/>
          <w:iCs/>
        </w:rPr>
        <w:t>‘Ali</w:t>
      </w:r>
      <w:r w:rsidRPr="008F03E5">
        <w:t xml:space="preserve">, but the ultimate name is </w:t>
      </w:r>
      <w:r w:rsidRPr="008F03E5">
        <w:rPr>
          <w:i/>
          <w:iCs/>
        </w:rPr>
        <w:t xml:space="preserve">Bahá’ </w:t>
      </w:r>
      <w:r w:rsidRPr="008F03E5">
        <w:t>[the Greatest Name]</w:t>
      </w:r>
      <w:r w:rsidRPr="008F03E5">
        <w:rPr>
          <w:i/>
          <w:iCs/>
        </w:rPr>
        <w:t xml:space="preserve">. </w:t>
      </w:r>
      <w:r w:rsidRPr="008F03E5">
        <w:t xml:space="preserve"> See </w:t>
      </w:r>
      <w:r w:rsidRPr="008F03E5">
        <w:rPr>
          <w:i/>
          <w:iCs/>
        </w:rPr>
        <w:t>Gate of the heart</w:t>
      </w:r>
      <w:r w:rsidRPr="008F03E5">
        <w:t>, pp. 105–7.  Abjad</w:t>
      </w:r>
      <w:r>
        <w:t xml:space="preserve"> of</w:t>
      </w:r>
      <w:r w:rsidRPr="008F03E5">
        <w:t xml:space="preserve"> </w:t>
      </w:r>
      <w:r w:rsidRPr="008F03E5">
        <w:rPr>
          <w:lang w:eastAsia="en-US"/>
        </w:rPr>
        <w:t>Bahá’ (B</w:t>
      </w:r>
      <w:r>
        <w:rPr>
          <w:lang w:eastAsia="en-US"/>
        </w:rPr>
        <w:t xml:space="preserve"> = 2</w:t>
      </w:r>
      <w:r w:rsidRPr="008F03E5">
        <w:rPr>
          <w:lang w:eastAsia="en-US"/>
        </w:rPr>
        <w:t>, h</w:t>
      </w:r>
      <w:r>
        <w:rPr>
          <w:lang w:eastAsia="en-US"/>
        </w:rPr>
        <w:t xml:space="preserve"> =</w:t>
      </w:r>
      <w:r w:rsidRPr="008F03E5">
        <w:rPr>
          <w:lang w:eastAsia="en-US"/>
        </w:rPr>
        <w:t xml:space="preserve"> </w:t>
      </w:r>
      <w:r>
        <w:rPr>
          <w:lang w:eastAsia="en-US"/>
        </w:rPr>
        <w:t>5</w:t>
      </w:r>
      <w:r w:rsidRPr="008F03E5">
        <w:rPr>
          <w:lang w:eastAsia="en-US"/>
        </w:rPr>
        <w:t xml:space="preserve">, </w:t>
      </w:r>
      <w:r>
        <w:rPr>
          <w:lang w:eastAsia="en-US"/>
        </w:rPr>
        <w:t>á = 1</w:t>
      </w:r>
      <w:r w:rsidRPr="008F03E5">
        <w:rPr>
          <w:lang w:eastAsia="en-US"/>
        </w:rPr>
        <w:t>, hamza</w:t>
      </w:r>
      <w:r>
        <w:rPr>
          <w:lang w:eastAsia="en-US"/>
        </w:rPr>
        <w:t xml:space="preserve"> (</w:t>
      </w:r>
      <w:r w:rsidRPr="008F03E5">
        <w:rPr>
          <w:lang w:eastAsia="en-US"/>
        </w:rPr>
        <w:t>apostrophe</w:t>
      </w:r>
      <w:r>
        <w:rPr>
          <w:lang w:eastAsia="en-US"/>
        </w:rPr>
        <w:t>) =</w:t>
      </w:r>
      <w:r w:rsidRPr="008F03E5">
        <w:rPr>
          <w:lang w:eastAsia="en-US"/>
        </w:rPr>
        <w:t xml:space="preserve"> </w:t>
      </w:r>
      <w:r>
        <w:rPr>
          <w:lang w:eastAsia="en-US"/>
        </w:rPr>
        <w:t>1</w:t>
      </w:r>
      <w:r w:rsidRPr="008F03E5">
        <w:rPr>
          <w:lang w:eastAsia="en-US"/>
        </w:rPr>
        <w:t>)</w:t>
      </w:r>
      <w:r>
        <w:rPr>
          <w:lang w:eastAsia="en-US"/>
        </w:rPr>
        <w:t xml:space="preserve"> </w:t>
      </w:r>
      <w:r w:rsidRPr="008F03E5">
        <w:rPr>
          <w:lang w:eastAsia="en-US"/>
        </w:rPr>
        <w:t>is = 9</w:t>
      </w:r>
      <w:r>
        <w:rPr>
          <w:lang w:eastAsia="en-US"/>
        </w:rPr>
        <w:t xml:space="preserve">, </w:t>
      </w:r>
      <w:r w:rsidRPr="008F03E5">
        <w:rPr>
          <w:lang w:eastAsia="en-US"/>
        </w:rPr>
        <w:t xml:space="preserve">hence the significance of the number </w:t>
      </w:r>
      <w:r>
        <w:rPr>
          <w:lang w:eastAsia="en-US"/>
        </w:rPr>
        <w:t xml:space="preserve">9 in the Bahá’í Faith.  Refer to the </w:t>
      </w:r>
      <w:r>
        <w:t>Bearers of the throne of God (8) section.</w:t>
      </w:r>
    </w:p>
    <w:p w14:paraId="7D9C8BD7" w14:textId="77777777" w:rsidR="00625A5B" w:rsidRPr="008F03E5" w:rsidRDefault="00625A5B" w:rsidP="00AC42CF">
      <w:pPr>
        <w:pStyle w:val="Translit"/>
      </w:pPr>
      <w:r w:rsidRPr="008F03E5">
        <w:t>Baha’i Holy Year</w:t>
      </w:r>
      <w:r w:rsidRPr="008F03E5">
        <w:tab/>
        <w:t>Bahá’í Holy Year</w:t>
      </w:r>
      <w:r w:rsidRPr="008F03E5">
        <w:tab/>
        <w:t xml:space="preserve">1.  Centennial of “year nine” </w:t>
      </w:r>
      <w:r w:rsidRPr="008F03E5">
        <w:rPr>
          <w:sz w:val="16"/>
          <w:szCs w:val="16"/>
        </w:rPr>
        <w:t>AH</w:t>
      </w:r>
      <w:r w:rsidRPr="008F03E5">
        <w:t xml:space="preserve"> 1269/</w:t>
      </w:r>
      <w:r w:rsidRPr="008F03E5">
        <w:rPr>
          <w:sz w:val="16"/>
          <w:szCs w:val="16"/>
        </w:rPr>
        <w:t>CE</w:t>
      </w:r>
      <w:r w:rsidRPr="008F03E5">
        <w:t xml:space="preserve"> 1952 (Revelation received by Bahá’u’lláh about two months after imprisonment in Siyàh </w:t>
      </w:r>
      <w:r w:rsidRPr="008F03E5">
        <w:rPr>
          <w:u w:val="single"/>
        </w:rPr>
        <w:t>Ch</w:t>
      </w:r>
      <w:r w:rsidRPr="008F03E5">
        <w:t>ál)—October 1952 to October 1953.  2.  Centennial Ascension Bahá’u’lláh, Riḍván 1992 to Riḍván 1993.</w:t>
      </w:r>
    </w:p>
    <w:p w14:paraId="79ADB7AE" w14:textId="77777777" w:rsidR="00625A5B" w:rsidRPr="008F03E5" w:rsidRDefault="00625A5B" w:rsidP="001C42BA">
      <w:pPr>
        <w:pStyle w:val="Translit"/>
      </w:pPr>
      <w:r w:rsidRPr="008F03E5">
        <w:t>Baha’i Khun</w:t>
      </w:r>
      <w:r w:rsidRPr="008F03E5">
        <w:tab/>
        <w:t xml:space="preserve">Bahá’i </w:t>
      </w:r>
      <w:r w:rsidRPr="008F03E5">
        <w:rPr>
          <w:u w:val="single"/>
        </w:rPr>
        <w:t>Kh</w:t>
      </w:r>
      <w:r w:rsidRPr="008F03E5">
        <w:t>ún</w:t>
      </w:r>
      <w:r w:rsidRPr="008F03E5">
        <w:tab/>
        <w:t>Pers. the price of blood (which is paid to the relations of a person killed, as an atonement)</w:t>
      </w:r>
    </w:p>
    <w:p w14:paraId="186C82BA" w14:textId="77777777" w:rsidR="00625A5B" w:rsidRPr="008F03E5" w:rsidRDefault="00625A5B" w:rsidP="00C57A16">
      <w:pPr>
        <w:pStyle w:val="Translit"/>
      </w:pPr>
      <w:r w:rsidRPr="008F03E5">
        <w:t>Baha’i, Baha’iyun (Baha’iun)</w:t>
      </w:r>
      <w:r w:rsidRPr="008F03E5">
        <w:tab/>
        <w:t>Bahá’í, pl. Bahá’iyún (</w:t>
      </w:r>
      <w:r w:rsidRPr="008F03E5">
        <w:rPr>
          <w:rtl/>
        </w:rPr>
        <w:t>بهائيين</w:t>
      </w:r>
      <w:r w:rsidRPr="008F03E5">
        <w:t>)</w:t>
      </w:r>
      <w:r w:rsidRPr="008F03E5">
        <w:tab/>
        <w:t>precious, valuable.  “Follower of the Glory”</w:t>
      </w:r>
      <w:r>
        <w:t xml:space="preserve">.  Generally, the hybrid plural </w:t>
      </w:r>
      <w:r w:rsidRPr="008F03E5">
        <w:t>Bahá’ís is used</w:t>
      </w:r>
      <w:r>
        <w:t>.</w:t>
      </w:r>
      <w:r w:rsidRPr="008F03E5">
        <w:t xml:space="preserve">  A follower of Bahá’u’lláh; a person of light, of enlightenment.  al-Ímán al-Bahá’í:  Bahá’í Faith.  “Bahá’íán” (the Bahá’ís) by Siyyid Muḥammad Báqir Najafí.</w:t>
      </w:r>
    </w:p>
    <w:p w14:paraId="15DFDE6F" w14:textId="77777777" w:rsidR="00625A5B" w:rsidRPr="008F03E5" w:rsidRDefault="00625A5B" w:rsidP="000E02D8">
      <w:pPr>
        <w:pStyle w:val="Translit"/>
      </w:pPr>
      <w:r w:rsidRPr="008F03E5">
        <w:t xml:space="preserve">Baha’iya, </w:t>
      </w:r>
      <w:r>
        <w:t xml:space="preserve">Baha’iyya, </w:t>
      </w:r>
      <w:r w:rsidRPr="008F03E5">
        <w:t>Baha’igari</w:t>
      </w:r>
      <w:r w:rsidRPr="008F03E5">
        <w:tab/>
        <w:t>Bahá’íya[</w:t>
      </w:r>
      <w:r>
        <w:t xml:space="preserve">h or </w:t>
      </w:r>
      <w:r w:rsidRPr="008F03E5">
        <w:t>t], Bahá’</w:t>
      </w:r>
      <w:r>
        <w:t>iy</w:t>
      </w:r>
      <w:r w:rsidRPr="008F03E5">
        <w:t>ya[</w:t>
      </w:r>
      <w:r>
        <w:t xml:space="preserve">h or </w:t>
      </w:r>
      <w:r w:rsidRPr="008F03E5">
        <w:t>t]</w:t>
      </w:r>
      <w:r>
        <w:tab/>
        <w:t>(</w:t>
      </w:r>
      <w:r w:rsidRPr="008F03E5">
        <w:t>Pers. Bahá’ígarí</w:t>
      </w:r>
      <w:r>
        <w:t>)</w:t>
      </w:r>
      <w:r w:rsidRPr="008F03E5">
        <w:t xml:space="preserve"> (Ar. pl. Bahá’íyyát</w:t>
      </w:r>
      <w:r>
        <w:t xml:space="preserve"> (“</w:t>
      </w:r>
      <w:r w:rsidRPr="008F03E5">
        <w:t>Bah</w:t>
      </w:r>
      <w:r>
        <w:t>a</w:t>
      </w:r>
      <w:r w:rsidRPr="008F03E5">
        <w:t>’</w:t>
      </w:r>
      <w:r>
        <w:t>i</w:t>
      </w:r>
      <w:r w:rsidRPr="008F03E5">
        <w:t>yy</w:t>
      </w:r>
      <w:r>
        <w:t>a</w:t>
      </w:r>
      <w:r w:rsidRPr="008F03E5">
        <w:t>t</w:t>
      </w:r>
      <w:r>
        <w:t>”)</w:t>
      </w:r>
      <w:r w:rsidRPr="008F03E5">
        <w:t>)</w:t>
      </w:r>
      <w:r>
        <w:t xml:space="preserve">.  </w:t>
      </w:r>
      <w:r w:rsidRPr="008F03E5">
        <w:t>Fem</w:t>
      </w:r>
      <w:r>
        <w:t>.</w:t>
      </w:r>
      <w:r w:rsidRPr="008F03E5">
        <w:t xml:space="preserve"> of Bahá’í</w:t>
      </w:r>
      <w:r>
        <w:t xml:space="preserve"> </w:t>
      </w:r>
      <w:r w:rsidRPr="008F03E5">
        <w:t>“Radiant” or “Full of Glory”</w:t>
      </w:r>
      <w:r>
        <w:t xml:space="preserve">.  </w:t>
      </w:r>
      <w:bookmarkStart w:id="51" w:name="_Hlk57118467"/>
      <w:r w:rsidRPr="008F03E5">
        <w:t xml:space="preserve">Bahá’íyyih </w:t>
      </w:r>
      <w:r w:rsidRPr="008F03E5">
        <w:rPr>
          <w:u w:val="single"/>
        </w:rPr>
        <w:t>Kh</w:t>
      </w:r>
      <w:r w:rsidRPr="008F03E5">
        <w:t>ánum</w:t>
      </w:r>
      <w:bookmarkEnd w:id="51"/>
      <w:r w:rsidRPr="008F03E5">
        <w:t xml:space="preserve"> (also known by Persians as the variant Bahíyyih </w:t>
      </w:r>
      <w:r w:rsidRPr="008F03E5">
        <w:rPr>
          <w:u w:val="single"/>
        </w:rPr>
        <w:t>Kh</w:t>
      </w:r>
      <w:r w:rsidRPr="008F03E5">
        <w:t>ánum), the Greatest Holy Leaf, daughter of Bahá’u’lláh.</w:t>
      </w:r>
      <w:r>
        <w:t xml:space="preserve">  al-</w:t>
      </w:r>
      <w:r w:rsidRPr="008F03E5">
        <w:t>Bahá’íya</w:t>
      </w:r>
      <w:r>
        <w:t xml:space="preserve"> or al-</w:t>
      </w:r>
      <w:r w:rsidRPr="008F03E5">
        <w:t>Bahá’</w:t>
      </w:r>
      <w:r>
        <w:t>iy</w:t>
      </w:r>
      <w:r w:rsidRPr="008F03E5">
        <w:t>ya</w:t>
      </w:r>
      <w:r>
        <w:t>,</w:t>
      </w:r>
      <w:r w:rsidRPr="008F03E5">
        <w:t xml:space="preserve"> Baha’ism, the doctrine of practice of the Bahá’ís</w:t>
      </w:r>
      <w:r>
        <w:t xml:space="preserve">, or more commonly, the Bahá’í Faith.  Also possible is </w:t>
      </w:r>
      <w:r w:rsidRPr="002810C3">
        <w:rPr>
          <w:lang w:val="en-AU"/>
        </w:rPr>
        <w:t>al-Ímán al-</w:t>
      </w:r>
      <w:r>
        <w:rPr>
          <w:lang w:val="en-AU"/>
        </w:rPr>
        <w:t>Bahá’í</w:t>
      </w:r>
      <w:r w:rsidRPr="002810C3">
        <w:rPr>
          <w:lang w:val="en-AU"/>
        </w:rPr>
        <w:t>.</w:t>
      </w:r>
    </w:p>
    <w:p w14:paraId="4864F907" w14:textId="77777777" w:rsidR="00625A5B" w:rsidRPr="008F03E5" w:rsidRDefault="00625A5B" w:rsidP="00230D32">
      <w:pPr>
        <w:pStyle w:val="Translit"/>
      </w:pPr>
      <w:r w:rsidRPr="008F03E5">
        <w:t>Baha’u’l-Abha</w:t>
      </w:r>
      <w:r w:rsidRPr="008F03E5">
        <w:tab/>
        <w:t>Bahá’u’l-Abhá</w:t>
      </w:r>
      <w:r w:rsidRPr="008F03E5">
        <w:tab/>
        <w:t>(“Baha-el-Abhá”)  “The Glory of the All-Glorious”, “The Glory of the Most Glorious”.</w:t>
      </w:r>
    </w:p>
    <w:p w14:paraId="64B25DED" w14:textId="77777777" w:rsidR="00625A5B" w:rsidRDefault="00625A5B" w:rsidP="00421B56">
      <w:pPr>
        <w:pStyle w:val="Translit"/>
      </w:pPr>
      <w:r w:rsidRPr="008F03E5">
        <w:t>Baha’u’llah</w:t>
      </w:r>
      <w:r w:rsidRPr="008F03E5">
        <w:tab/>
        <w:t>Bahá’u’lláh (</w:t>
      </w:r>
      <w:r w:rsidRPr="008F03E5">
        <w:rPr>
          <w:rtl/>
        </w:rPr>
        <w:t>بهاء</w:t>
      </w:r>
      <w:r w:rsidRPr="008F03E5">
        <w:rPr>
          <w:rFonts w:eastAsia="Times New Roman"/>
          <w:rtl/>
        </w:rPr>
        <w:t>ال‍له</w:t>
      </w:r>
      <w:r w:rsidRPr="008F03E5">
        <w:t xml:space="preserve"> or </w:t>
      </w:r>
      <w:r w:rsidRPr="008F03E5">
        <w:rPr>
          <w:rtl/>
        </w:rPr>
        <w:t>بهاءالله</w:t>
      </w:r>
      <w:r w:rsidRPr="008F03E5">
        <w:t>)</w:t>
      </w:r>
      <w:r w:rsidRPr="008F03E5">
        <w:tab/>
        <w:t xml:space="preserve">(“The Glory of God”)  Title of Mírzá Ḥusayn-‘Alí of Núr, founder of the Bahá’í Faith (1233–1309; 1817–1892).  Born (2 Muḥarram 1233; 12 November 1817) in Ṭihrán.  His parents were Mírzá ʻAbbás-i-Núrí (or Mírzá Buzurg Núrí) and his second wife </w:t>
      </w:r>
      <w:r w:rsidRPr="008F03E5">
        <w:rPr>
          <w:u w:val="single"/>
        </w:rPr>
        <w:t>Kh</w:t>
      </w:r>
      <w:r w:rsidRPr="008F03E5">
        <w:t xml:space="preserve">adíjih </w:t>
      </w:r>
      <w:r w:rsidRPr="008F03E5">
        <w:rPr>
          <w:u w:val="single"/>
        </w:rPr>
        <w:t>Kh</w:t>
      </w:r>
      <w:r w:rsidRPr="008F03E5">
        <w:t>ánum.  When Bahá’u’lláh, the Supreme Manifestation for this age, first heard of the Báb’s Revelation prior to His own declaration, He instantly acclaimed its truth, and arose to champion and promote its cause.  He became known incorrectly as a “follower” and a “disciple” of the Báb.</w:t>
      </w:r>
      <w:r>
        <w:t xml:space="preserve">  Wives:  </w:t>
      </w:r>
      <w:r w:rsidRPr="008F03E5">
        <w:t xml:space="preserve">Ásíyih </w:t>
      </w:r>
      <w:r w:rsidRPr="008F03E5">
        <w:rPr>
          <w:u w:val="single"/>
        </w:rPr>
        <w:t>Kh</w:t>
      </w:r>
      <w:r w:rsidRPr="008F03E5">
        <w:t>ánum</w:t>
      </w:r>
      <w:r>
        <w:t xml:space="preserve">, </w:t>
      </w:r>
      <w:r w:rsidRPr="008F03E5">
        <w:t xml:space="preserve">Fáṭimih </w:t>
      </w:r>
      <w:r w:rsidRPr="008F03E5">
        <w:rPr>
          <w:u w:val="single"/>
        </w:rPr>
        <w:t>Kh</w:t>
      </w:r>
      <w:r w:rsidRPr="008F03E5">
        <w:t>ánum</w:t>
      </w:r>
      <w:r>
        <w:t xml:space="preserve"> and </w:t>
      </w:r>
      <w:r w:rsidRPr="008F03E5">
        <w:t xml:space="preserve">Gawhar </w:t>
      </w:r>
      <w:r w:rsidRPr="008F03E5">
        <w:rPr>
          <w:u w:val="single"/>
        </w:rPr>
        <w:t>Kh</w:t>
      </w:r>
      <w:r w:rsidRPr="008F03E5">
        <w:t>ánum</w:t>
      </w:r>
      <w:r>
        <w:t>.</w:t>
      </w:r>
    </w:p>
    <w:p w14:paraId="29CA4BE1" w14:textId="77777777" w:rsidR="00625A5B" w:rsidRPr="008F03E5" w:rsidRDefault="00625A5B" w:rsidP="00A90AC5">
      <w:pPr>
        <w:pStyle w:val="Translit"/>
      </w:pPr>
      <w:r w:rsidRPr="008F03E5">
        <w:t>Bahadur, Bahaduran</w:t>
      </w:r>
      <w:r w:rsidRPr="008F03E5">
        <w:tab/>
        <w:t>Bahádur, pl. Bahádurán</w:t>
      </w:r>
      <w:r w:rsidRPr="008F03E5">
        <w:tab/>
        <w:t>Pers. brave, bold, valiant, courageous, magnanimous, warlike, strong, athletic; a soldier, champion, hero, chevalier, knight, horseman; a title of honour conferred by the Great Mogul and other Eastern potentates, bearing some resemblance to the European title of military knighthood.  Abú Sa‘íd Baḥádur—should be Bahádur</w:t>
      </w:r>
    </w:p>
    <w:p w14:paraId="50CDB71A" w14:textId="77777777" w:rsidR="00625A5B" w:rsidRPr="008F03E5" w:rsidRDefault="00625A5B" w:rsidP="00727FFD">
      <w:pPr>
        <w:pStyle w:val="Translit"/>
        <w:rPr>
          <w:rFonts w:eastAsia="PMingLiU"/>
          <w:lang w:eastAsia="zh-TW"/>
        </w:rPr>
      </w:pPr>
      <w:r w:rsidRPr="008F03E5">
        <w:t>Bahar</w:t>
      </w:r>
      <w:r w:rsidRPr="008F03E5">
        <w:tab/>
        <w:t>Bahár</w:t>
      </w:r>
      <w:r w:rsidRPr="008F03E5">
        <w:tab/>
        <w:t xml:space="preserve">Pers. spring, beginning of summer; a blossom; orange-flower; </w:t>
      </w:r>
      <w:r w:rsidRPr="008F03E5">
        <w:rPr>
          <w:rFonts w:eastAsia="Times New Roman"/>
        </w:rPr>
        <w:t>a Buddhist temple; an idol; the harem of a prince</w:t>
      </w:r>
    </w:p>
    <w:p w14:paraId="7EF63B68" w14:textId="77777777" w:rsidR="00625A5B" w:rsidRPr="008F03E5" w:rsidRDefault="00625A5B" w:rsidP="00DF5D7B">
      <w:pPr>
        <w:pStyle w:val="Translit"/>
      </w:pPr>
      <w:r w:rsidRPr="008F03E5">
        <w:rPr>
          <w:rFonts w:eastAsia="PMingLiU"/>
          <w:lang w:eastAsia="zh-TW"/>
        </w:rPr>
        <w:t>Bahar, Baharat</w:t>
      </w:r>
      <w:r w:rsidRPr="008F03E5">
        <w:tab/>
      </w:r>
      <w:r w:rsidRPr="008F03E5">
        <w:rPr>
          <w:rFonts w:eastAsia="PMingLiU"/>
          <w:lang w:eastAsia="zh-TW"/>
        </w:rPr>
        <w:t>Bahár, pl. Bah</w:t>
      </w:r>
      <w:r w:rsidRPr="008F03E5">
        <w:t>á</w:t>
      </w:r>
      <w:r w:rsidRPr="008F03E5">
        <w:rPr>
          <w:rFonts w:eastAsia="PMingLiU"/>
          <w:lang w:eastAsia="zh-TW"/>
        </w:rPr>
        <w:t>r</w:t>
      </w:r>
      <w:r w:rsidRPr="008F03E5">
        <w:t>á</w:t>
      </w:r>
      <w:r w:rsidRPr="008F03E5">
        <w:rPr>
          <w:rFonts w:eastAsia="PMingLiU"/>
          <w:lang w:eastAsia="zh-TW"/>
        </w:rPr>
        <w:t>t</w:t>
      </w:r>
      <w:r w:rsidRPr="008F03E5">
        <w:tab/>
        <w:t>spice; a</w:t>
      </w:r>
      <w:r w:rsidRPr="008F03E5">
        <w:rPr>
          <w:rFonts w:eastAsia="Times New Roman"/>
        </w:rPr>
        <w:t xml:space="preserve"> species of odoriferous herb; anything beautiful and splendid; name of a village 14 km </w:t>
      </w:r>
      <w:r w:rsidRPr="008F03E5">
        <w:rPr>
          <w:rFonts w:eastAsia="Times New Roman"/>
          <w:sz w:val="16"/>
          <w:szCs w:val="16"/>
        </w:rPr>
        <w:t>NW</w:t>
      </w:r>
      <w:r w:rsidRPr="008F03E5">
        <w:rPr>
          <w:rFonts w:eastAsia="Times New Roman"/>
        </w:rPr>
        <w:t xml:space="preserve"> Hamadan</w:t>
      </w:r>
    </w:p>
    <w:p w14:paraId="4751F240" w14:textId="77777777" w:rsidR="00625A5B" w:rsidRPr="008F03E5" w:rsidRDefault="00625A5B" w:rsidP="00000047">
      <w:pPr>
        <w:pStyle w:val="Translit"/>
        <w:rPr>
          <w:rFonts w:eastAsia="Times New Roman"/>
        </w:rPr>
      </w:pPr>
      <w:r w:rsidRPr="008F03E5">
        <w:rPr>
          <w:rFonts w:eastAsia="Times New Roman"/>
        </w:rPr>
        <w:t>Bahari</w:t>
      </w:r>
      <w:r w:rsidRPr="008F03E5">
        <w:rPr>
          <w:rFonts w:eastAsia="Times New Roman"/>
          <w:i/>
          <w:iCs/>
        </w:rPr>
        <w:tab/>
      </w:r>
      <w:r w:rsidRPr="008F03E5">
        <w:rPr>
          <w:rFonts w:eastAsia="Times New Roman"/>
        </w:rPr>
        <w:t>Bahárí</w:t>
      </w:r>
      <w:r w:rsidRPr="008F03E5">
        <w:rPr>
          <w:rFonts w:eastAsia="Times New Roman"/>
        </w:rPr>
        <w:tab/>
        <w:t>Pers. belonging to the spring, vernal</w:t>
      </w:r>
    </w:p>
    <w:p w14:paraId="2DC769A0" w14:textId="77777777" w:rsidR="00625A5B" w:rsidRPr="008F03E5" w:rsidRDefault="00625A5B" w:rsidP="003E5E22">
      <w:pPr>
        <w:pStyle w:val="Translit"/>
      </w:pPr>
      <w:r w:rsidRPr="008F03E5">
        <w:t>Baharistan</w:t>
      </w:r>
      <w:r w:rsidRPr="008F03E5">
        <w:tab/>
        <w:t>Baháristán</w:t>
      </w:r>
      <w:r w:rsidRPr="008F03E5">
        <w:tab/>
        <w:t>Pers. spring; vernal blossoms; title of a celebrated work of Ṣúfí, Persian poet, native of Jám, Bushihr Province, Iran</w:t>
      </w:r>
    </w:p>
    <w:p w14:paraId="562BF9F0" w14:textId="77777777" w:rsidR="00625A5B" w:rsidRPr="008F03E5" w:rsidRDefault="00625A5B" w:rsidP="00314F6D">
      <w:pPr>
        <w:pStyle w:val="Translit"/>
      </w:pPr>
      <w:r w:rsidRPr="008F03E5">
        <w:rPr>
          <w:rFonts w:eastAsia="Times New Roman"/>
        </w:rPr>
        <w:t>Bahariy</w:t>
      </w:r>
      <w:r>
        <w:rPr>
          <w:rFonts w:eastAsia="Times New Roman"/>
        </w:rPr>
        <w:t>a, Bahariyya</w:t>
      </w:r>
      <w:r w:rsidRPr="008F03E5">
        <w:rPr>
          <w:rFonts w:eastAsia="Times New Roman"/>
        </w:rPr>
        <w:tab/>
        <w:t>Bah</w:t>
      </w:r>
      <w:r w:rsidRPr="008F03E5">
        <w:t>á</w:t>
      </w:r>
      <w:r w:rsidRPr="008F03E5">
        <w:rPr>
          <w:rFonts w:eastAsia="Times New Roman"/>
        </w:rPr>
        <w:t>r</w:t>
      </w:r>
      <w:r w:rsidRPr="008F03E5">
        <w:t>í</w:t>
      </w:r>
      <w:r w:rsidRPr="008F03E5">
        <w:rPr>
          <w:rFonts w:eastAsia="Times New Roman"/>
        </w:rPr>
        <w:t>y</w:t>
      </w:r>
      <w:r>
        <w:rPr>
          <w:rFonts w:eastAsia="Times New Roman"/>
        </w:rPr>
        <w:t>a[h or t]</w:t>
      </w:r>
      <w:r w:rsidRPr="008F03E5">
        <w:rPr>
          <w:rFonts w:eastAsia="Times New Roman"/>
        </w:rPr>
        <w:t>, Bah</w:t>
      </w:r>
      <w:r w:rsidRPr="008F03E5">
        <w:t>á</w:t>
      </w:r>
      <w:r w:rsidRPr="008F03E5">
        <w:rPr>
          <w:rFonts w:eastAsia="Times New Roman"/>
        </w:rPr>
        <w:t>riyy</w:t>
      </w:r>
      <w:r>
        <w:rPr>
          <w:rFonts w:eastAsia="Times New Roman"/>
        </w:rPr>
        <w:t>a</w:t>
      </w:r>
      <w:r w:rsidRPr="008F03E5">
        <w:rPr>
          <w:rFonts w:eastAsia="Times New Roman"/>
        </w:rPr>
        <w:tab/>
      </w:r>
      <w:r>
        <w:rPr>
          <w:rFonts w:eastAsia="Times New Roman"/>
        </w:rPr>
        <w:t>Pers. (</w:t>
      </w:r>
      <w:r w:rsidRPr="008F03E5">
        <w:rPr>
          <w:rFonts w:eastAsia="Times New Roman"/>
        </w:rPr>
        <w:t>Bahariyyih</w:t>
      </w:r>
      <w:r>
        <w:rPr>
          <w:rFonts w:eastAsia="Times New Roman"/>
        </w:rPr>
        <w:t xml:space="preserve">, </w:t>
      </w:r>
      <w:r w:rsidRPr="008F03E5">
        <w:rPr>
          <w:rFonts w:eastAsia="Times New Roman"/>
        </w:rPr>
        <w:t>Bahareh</w:t>
      </w:r>
      <w:r>
        <w:rPr>
          <w:rFonts w:eastAsia="Times New Roman"/>
        </w:rPr>
        <w:t>), fem., “</w:t>
      </w:r>
      <w:r w:rsidRPr="00314F6D">
        <w:rPr>
          <w:rFonts w:eastAsia="Times New Roman"/>
        </w:rPr>
        <w:t>someone or something that arises in the spring</w:t>
      </w:r>
      <w:r>
        <w:rPr>
          <w:rFonts w:eastAsia="Times New Roman"/>
        </w:rPr>
        <w:t xml:space="preserve">”.  </w:t>
      </w:r>
      <w:r w:rsidRPr="00D9264F">
        <w:t>Bah</w:t>
      </w:r>
      <w:r w:rsidRPr="00000047">
        <w:t>á</w:t>
      </w:r>
      <w:r w:rsidRPr="00D9264F">
        <w:t>r</w:t>
      </w:r>
      <w:r>
        <w:t>i</w:t>
      </w:r>
      <w:r w:rsidRPr="00D9264F">
        <w:t>yyih Rúḥání Ma‘ání</w:t>
      </w:r>
      <w:r>
        <w:t>.</w:t>
      </w:r>
    </w:p>
    <w:p w14:paraId="70204BB8" w14:textId="77777777" w:rsidR="00625A5B" w:rsidRDefault="00625A5B" w:rsidP="00361D8E">
      <w:pPr>
        <w:pStyle w:val="Translit"/>
        <w:rPr>
          <w:rFonts w:eastAsia="PMingLiU"/>
          <w:lang w:eastAsia="zh-TW"/>
        </w:rPr>
      </w:pPr>
      <w:r w:rsidRPr="008F03E5">
        <w:rPr>
          <w:rFonts w:eastAsia="PMingLiU"/>
          <w:lang w:eastAsia="zh-TW"/>
        </w:rPr>
        <w:t>Bahhaj</w:t>
      </w:r>
      <w:r w:rsidRPr="008F03E5">
        <w:tab/>
      </w:r>
      <w:r w:rsidRPr="008F03E5">
        <w:rPr>
          <w:rFonts w:eastAsia="PMingLiU"/>
          <w:lang w:eastAsia="zh-TW"/>
        </w:rPr>
        <w:t>Bahh</w:t>
      </w:r>
      <w:r w:rsidRPr="008F03E5">
        <w:t>á</w:t>
      </w:r>
      <w:r w:rsidRPr="008F03E5">
        <w:rPr>
          <w:rFonts w:eastAsia="PMingLiU"/>
          <w:lang w:eastAsia="zh-TW"/>
        </w:rPr>
        <w:t>j</w:t>
      </w:r>
      <w:r w:rsidRPr="008F03E5">
        <w:tab/>
        <w:t xml:space="preserve">delightful, </w:t>
      </w:r>
      <w:r w:rsidRPr="008F03E5">
        <w:rPr>
          <w:rFonts w:eastAsia="PMingLiU"/>
          <w:lang w:eastAsia="zh-TW"/>
        </w:rPr>
        <w:t>blissful.  Form of the word bahija</w:t>
      </w:r>
    </w:p>
    <w:p w14:paraId="2205C263" w14:textId="77777777" w:rsidR="00625A5B" w:rsidRPr="008F03E5" w:rsidRDefault="00625A5B" w:rsidP="00361D8E">
      <w:pPr>
        <w:pStyle w:val="Translit"/>
      </w:pPr>
      <w:r w:rsidRPr="008F03E5">
        <w:t>Bahij</w:t>
      </w:r>
      <w:r w:rsidRPr="008F03E5">
        <w:tab/>
        <w:t>Bahij, Bahíj</w:t>
      </w:r>
      <w:r w:rsidRPr="008F03E5">
        <w:tab/>
        <w:t>magnificent, splendid, beautiful; happy, joyous; delightful</w:t>
      </w:r>
    </w:p>
    <w:p w14:paraId="51FF230F" w14:textId="77777777" w:rsidR="00625A5B" w:rsidRPr="008F03E5" w:rsidRDefault="00625A5B" w:rsidP="00361D8E">
      <w:pPr>
        <w:pStyle w:val="Translit"/>
      </w:pPr>
      <w:r w:rsidRPr="008F03E5">
        <w:t>Bahija</w:t>
      </w:r>
      <w:r w:rsidRPr="008F03E5">
        <w:tab/>
        <w:t>Bahija</w:t>
      </w:r>
      <w:r w:rsidRPr="008F03E5">
        <w:tab/>
        <w:t>to be glad, he happy (about), he delighted (at)</w:t>
      </w:r>
    </w:p>
    <w:p w14:paraId="43F0E126" w14:textId="77777777" w:rsidR="00625A5B" w:rsidRPr="008F03E5" w:rsidRDefault="00625A5B" w:rsidP="00034967">
      <w:pPr>
        <w:pStyle w:val="Translit"/>
        <w:rPr>
          <w:rFonts w:eastAsia="PMingLiU"/>
          <w:lang w:eastAsia="zh-TW"/>
        </w:rPr>
      </w:pPr>
      <w:r w:rsidRPr="008F03E5">
        <w:rPr>
          <w:rFonts w:eastAsia="PMingLiU"/>
          <w:lang w:eastAsia="zh-TW"/>
        </w:rPr>
        <w:t>Bahir</w:t>
      </w:r>
      <w:r w:rsidRPr="008F03E5">
        <w:rPr>
          <w:rFonts w:eastAsia="PMingLiU"/>
          <w:lang w:eastAsia="zh-TW"/>
        </w:rPr>
        <w:tab/>
        <w:t>B</w:t>
      </w:r>
      <w:r w:rsidRPr="008F03E5">
        <w:t>á</w:t>
      </w:r>
      <w:r w:rsidRPr="008F03E5">
        <w:rPr>
          <w:rFonts w:eastAsia="PMingLiU"/>
          <w:lang w:eastAsia="zh-TW"/>
        </w:rPr>
        <w:t>hir</w:t>
      </w:r>
      <w:r w:rsidRPr="008F03E5">
        <w:rPr>
          <w:rFonts w:eastAsia="PMingLiU"/>
          <w:lang w:eastAsia="zh-TW"/>
        </w:rPr>
        <w:tab/>
        <w:t>dazzling, brilliant, splendid, sparkling</w:t>
      </w:r>
    </w:p>
    <w:p w14:paraId="0AFA3B76" w14:textId="77777777" w:rsidR="00625A5B" w:rsidRPr="008F03E5" w:rsidRDefault="00625A5B" w:rsidP="00443C84">
      <w:pPr>
        <w:pStyle w:val="Translit"/>
        <w:rPr>
          <w:rFonts w:eastAsia="PMingLiU"/>
          <w:lang w:eastAsia="zh-TW"/>
        </w:rPr>
      </w:pPr>
      <w:r w:rsidRPr="008F03E5">
        <w:rPr>
          <w:rFonts w:eastAsia="PMingLiU"/>
          <w:lang w:eastAsia="zh-TW"/>
        </w:rPr>
        <w:t>Bahira</w:t>
      </w:r>
      <w:r w:rsidRPr="008F03E5">
        <w:rPr>
          <w:rFonts w:eastAsia="PMingLiU"/>
          <w:lang w:eastAsia="zh-TW"/>
        </w:rPr>
        <w:tab/>
        <w:t>Ba</w:t>
      </w:r>
      <w:r w:rsidRPr="008F03E5">
        <w:t>ḥí</w:t>
      </w:r>
      <w:r w:rsidRPr="008F03E5">
        <w:rPr>
          <w:rFonts w:eastAsia="PMingLiU"/>
          <w:lang w:eastAsia="zh-TW"/>
        </w:rPr>
        <w:t>r</w:t>
      </w:r>
      <w:r w:rsidRPr="008F03E5">
        <w:t>á</w:t>
      </w:r>
      <w:r w:rsidRPr="008F03E5">
        <w:rPr>
          <w:rFonts w:eastAsia="PMingLiU"/>
          <w:lang w:eastAsia="zh-TW"/>
        </w:rPr>
        <w:tab/>
        <w:t>known as Sergius the Monk to the Latin West, was a Syriac or Arab Arian, Nestorian or possibly Gnostic Nasorean monk who, according to Islamic tradition, foretold to the adolescent Mu</w:t>
      </w:r>
      <w:r w:rsidRPr="008F03E5">
        <w:t>ḥ</w:t>
      </w:r>
      <w:r w:rsidRPr="008F03E5">
        <w:rPr>
          <w:rFonts w:eastAsia="PMingLiU"/>
          <w:lang w:eastAsia="zh-TW"/>
        </w:rPr>
        <w:t>ammad his future as a prophet.  His name derives from the Syriac bḥírá, meaning “tested (by God) and approved”.</w:t>
      </w:r>
    </w:p>
    <w:p w14:paraId="3CC7CA60" w14:textId="77777777" w:rsidR="00625A5B" w:rsidRPr="008F03E5" w:rsidRDefault="00625A5B" w:rsidP="00250EA5">
      <w:pPr>
        <w:pStyle w:val="Translit"/>
        <w:rPr>
          <w:rFonts w:eastAsia="PMingLiU"/>
          <w:lang w:eastAsia="zh-TW"/>
        </w:rPr>
      </w:pPr>
      <w:r w:rsidRPr="008F03E5">
        <w:rPr>
          <w:rFonts w:eastAsia="PMingLiU"/>
          <w:lang w:eastAsia="zh-TW"/>
        </w:rPr>
        <w:t>Bahiri</w:t>
      </w:r>
      <w:r w:rsidRPr="008F03E5">
        <w:tab/>
      </w:r>
      <w:r w:rsidRPr="008F03E5">
        <w:rPr>
          <w:rFonts w:eastAsia="PMingLiU"/>
          <w:lang w:eastAsia="zh-TW"/>
        </w:rPr>
        <w:t>Báhirí</w:t>
      </w:r>
      <w:r w:rsidRPr="008F03E5">
        <w:tab/>
        <w:t xml:space="preserve">Mihdí </w:t>
      </w:r>
      <w:r w:rsidRPr="008F03E5">
        <w:rPr>
          <w:rFonts w:eastAsia="PMingLiU"/>
          <w:lang w:eastAsia="zh-TW"/>
        </w:rPr>
        <w:t>Báhirí (martyr)</w:t>
      </w:r>
    </w:p>
    <w:p w14:paraId="57AB9AAB" w14:textId="77777777" w:rsidR="00625A5B" w:rsidRPr="008F03E5" w:rsidRDefault="00625A5B" w:rsidP="00BB1F85">
      <w:pPr>
        <w:pStyle w:val="Translit"/>
        <w:rPr>
          <w:rFonts w:eastAsia="PMingLiU"/>
          <w:lang w:eastAsia="zh-TW"/>
        </w:rPr>
      </w:pPr>
      <w:r>
        <w:rPr>
          <w:rFonts w:eastAsia="PMingLiU"/>
          <w:lang w:eastAsia="zh-TW"/>
        </w:rPr>
        <w:t>Bahiy al-Abhá, Bahiyu’l-Abhá</w:t>
      </w:r>
      <w:r>
        <w:rPr>
          <w:rFonts w:eastAsia="PMingLiU"/>
          <w:lang w:eastAsia="zh-TW"/>
        </w:rPr>
        <w:tab/>
        <w:t>Bah</w:t>
      </w:r>
      <w:r w:rsidRPr="00800667">
        <w:t>í</w:t>
      </w:r>
      <w:r>
        <w:rPr>
          <w:rFonts w:eastAsia="PMingLiU"/>
          <w:lang w:eastAsia="zh-TW"/>
        </w:rPr>
        <w:t>y al-Abhá, Bah</w:t>
      </w:r>
      <w:r w:rsidRPr="00800667">
        <w:t>í</w:t>
      </w:r>
      <w:r>
        <w:rPr>
          <w:rFonts w:eastAsia="PMingLiU"/>
          <w:lang w:eastAsia="zh-TW"/>
        </w:rPr>
        <w:t>yu’l-Abh</w:t>
      </w:r>
      <w:r w:rsidRPr="00800667">
        <w:t>á</w:t>
      </w:r>
      <w:r>
        <w:tab/>
        <w:t xml:space="preserve">most glorious, magnificent and brilliant.  </w:t>
      </w:r>
      <w:r w:rsidRPr="00A86DFE">
        <w:t>“Ere long God will shine from the face of Bahíyu’l-Abhá with the name of Bahá</w:t>
      </w:r>
      <w:r>
        <w:t>’</w:t>
      </w:r>
      <w:r w:rsidRPr="00A86DFE">
        <w:t>, on the Day of Absolute, in the plain of ‘Akká.”</w:t>
      </w:r>
      <w:r>
        <w:t xml:space="preserve"> (</w:t>
      </w:r>
      <w:r w:rsidRPr="00BB1F85">
        <w:rPr>
          <w:i/>
          <w:iCs/>
        </w:rPr>
        <w:t>Dalá’il al-‘Irfán</w:t>
      </w:r>
      <w:r>
        <w:t>, p. 156)</w:t>
      </w:r>
    </w:p>
    <w:p w14:paraId="6D596B22" w14:textId="77777777" w:rsidR="00625A5B" w:rsidRDefault="00625A5B" w:rsidP="00A24436">
      <w:pPr>
        <w:pStyle w:val="Translit"/>
        <w:rPr>
          <w:rFonts w:eastAsia="PMingLiU"/>
          <w:lang w:eastAsia="zh-TW"/>
        </w:rPr>
      </w:pPr>
      <w:r>
        <w:rPr>
          <w:rFonts w:eastAsia="PMingLiU"/>
          <w:lang w:eastAsia="zh-TW"/>
        </w:rPr>
        <w:t>Bahiy</w:t>
      </w:r>
      <w:r>
        <w:rPr>
          <w:rFonts w:eastAsia="PMingLiU"/>
          <w:lang w:eastAsia="zh-TW"/>
        </w:rPr>
        <w:tab/>
        <w:t>B</w:t>
      </w:r>
      <w:r w:rsidRPr="00A24436">
        <w:rPr>
          <w:rFonts w:eastAsia="PMingLiU"/>
          <w:lang w:eastAsia="zh-TW"/>
        </w:rPr>
        <w:t>ah</w:t>
      </w:r>
      <w:r>
        <w:rPr>
          <w:rFonts w:eastAsia="PMingLiU"/>
          <w:lang w:eastAsia="zh-TW"/>
        </w:rPr>
        <w:t>í</w:t>
      </w:r>
      <w:r w:rsidRPr="00A24436">
        <w:rPr>
          <w:rFonts w:eastAsia="PMingLiU"/>
          <w:lang w:eastAsia="zh-TW"/>
        </w:rPr>
        <w:t>y</w:t>
      </w:r>
      <w:r>
        <w:rPr>
          <w:rFonts w:eastAsia="PMingLiU"/>
          <w:lang w:eastAsia="zh-TW"/>
        </w:rPr>
        <w:tab/>
      </w:r>
      <w:r w:rsidRPr="00A24436">
        <w:rPr>
          <w:rFonts w:eastAsia="PMingLiU"/>
          <w:lang w:eastAsia="zh-TW"/>
        </w:rPr>
        <w:t>beautiful, magnificent, splendid; brilliant, radiant, shining</w:t>
      </w:r>
    </w:p>
    <w:p w14:paraId="1A6FEF77" w14:textId="77777777" w:rsidR="00625A5B" w:rsidRPr="008F03E5" w:rsidRDefault="00625A5B" w:rsidP="002D15B3">
      <w:pPr>
        <w:pStyle w:val="Translit"/>
      </w:pPr>
      <w:r w:rsidRPr="008F03E5">
        <w:t>Bahiy, Bahiya</w:t>
      </w:r>
      <w:r w:rsidRPr="008F03E5">
        <w:tab/>
        <w:t>Bahíy, fem. Bahíya[h], Pers. Bahiyya[h]</w:t>
      </w:r>
      <w:r w:rsidRPr="008F03E5">
        <w:tab/>
        <w:t xml:space="preserve">beautiful, glorious, magnificent, splendid; brilliant, radiant, shining, gorgeous.  </w:t>
      </w:r>
      <w:bookmarkStart w:id="52" w:name="_Hlk533517806"/>
      <w:r w:rsidRPr="008F03E5">
        <w:t xml:space="preserve">Bahíyyih </w:t>
      </w:r>
      <w:r w:rsidRPr="008F03E5">
        <w:rPr>
          <w:u w:val="single"/>
        </w:rPr>
        <w:t>Kh</w:t>
      </w:r>
      <w:r w:rsidRPr="008F03E5">
        <w:t>ánum, “Greatest Holy Leaf” (born Fáṭimih Sulṭán, 1846–1932).</w:t>
      </w:r>
    </w:p>
    <w:bookmarkEnd w:id="52"/>
    <w:p w14:paraId="5342624D" w14:textId="77777777" w:rsidR="00625A5B" w:rsidRPr="008F03E5" w:rsidRDefault="00625A5B" w:rsidP="00DA08C7">
      <w:pPr>
        <w:pStyle w:val="Translit"/>
      </w:pPr>
      <w:r w:rsidRPr="008F03E5">
        <w:t>Bahja (Bihja, Bihjat, Behjat, Bahajah)</w:t>
      </w:r>
      <w:r w:rsidRPr="008F03E5">
        <w:tab/>
        <w:t>Bahja[h or t]</w:t>
      </w:r>
      <w:r w:rsidRPr="008F03E5">
        <w:tab/>
        <w:t>splendour, magnificence, beauty, resplendence; joy, delight; b</w:t>
      </w:r>
      <w:r w:rsidRPr="008F03E5">
        <w:rPr>
          <w:rFonts w:eastAsia="Times New Roman"/>
        </w:rPr>
        <w:t>eing joyful and glad; being beautiful; beauty, elegance, grace, excellence; gladness, cheerfulness, alacrity; exultation; happiness.  The area around Bahj</w:t>
      </w:r>
      <w:r w:rsidRPr="008F03E5">
        <w:t>í</w:t>
      </w:r>
      <w:r w:rsidRPr="008F03E5">
        <w:rPr>
          <w:rFonts w:eastAsia="Times New Roman"/>
        </w:rPr>
        <w:t xml:space="preserve"> was known as </w:t>
      </w:r>
      <w:r w:rsidRPr="008F03E5">
        <w:t>al-Bahja, “Place of Delight”.</w:t>
      </w:r>
    </w:p>
    <w:p w14:paraId="34C1F50C" w14:textId="77777777" w:rsidR="00625A5B" w:rsidRPr="008F03E5" w:rsidRDefault="00625A5B" w:rsidP="005238A0">
      <w:pPr>
        <w:pStyle w:val="Translit"/>
      </w:pPr>
      <w:r w:rsidRPr="008F03E5">
        <w:t>Bahjatu’s-Sudur (Bihjatu’s-Sudur)</w:t>
      </w:r>
      <w:r w:rsidRPr="008F03E5">
        <w:tab/>
        <w:t>Bahjatu’ṣ-Ṣudúr, Bihjatu’ṣ-Ṣudúr</w:t>
      </w:r>
      <w:r w:rsidRPr="008F03E5">
        <w:tab/>
        <w:t>“Delight of hearts” by Ḥájí Mírzá Ḥaydar-‘Alí.  See bahja and ṣadr</w:t>
      </w:r>
    </w:p>
    <w:p w14:paraId="0FE2955E" w14:textId="77777777" w:rsidR="00625A5B" w:rsidRPr="008F03E5" w:rsidRDefault="00625A5B" w:rsidP="006C145A">
      <w:pPr>
        <w:pStyle w:val="Translit"/>
      </w:pPr>
      <w:r w:rsidRPr="008F03E5">
        <w:t>Bahji, Bahij</w:t>
      </w:r>
      <w:r w:rsidRPr="008F03E5">
        <w:tab/>
        <w:t>Bahjí, Bahíj</w:t>
      </w:r>
      <w:r w:rsidRPr="008F03E5">
        <w:tab/>
        <w:t xml:space="preserve">magnificent, splendid, beautiful; happy, joyous; delightful.  That part of the plain of ‘Akká where the Shrine and the Mansion of Bahá’u’lláh are located.  See Núr ‘Alá Núr, and </w:t>
      </w:r>
      <w:r>
        <w:t>“</w:t>
      </w:r>
      <w:r w:rsidRPr="008F03E5">
        <w:rPr>
          <w:u w:val="single"/>
        </w:rPr>
        <w:t>Kh</w:t>
      </w:r>
      <w:r w:rsidRPr="008F03E5">
        <w:t>ammár</w:t>
      </w:r>
      <w:r>
        <w:t xml:space="preserve">, </w:t>
      </w:r>
      <w:r w:rsidRPr="008F03E5">
        <w:t>‘Údí</w:t>
      </w:r>
      <w:r>
        <w:t>”</w:t>
      </w:r>
      <w:r w:rsidRPr="008F03E5">
        <w:t xml:space="preserve"> for his doorway inscription.</w:t>
      </w:r>
    </w:p>
    <w:p w14:paraId="0288FFFC" w14:textId="77777777" w:rsidR="00625A5B" w:rsidRPr="008F03E5" w:rsidRDefault="00625A5B" w:rsidP="00797E07">
      <w:pPr>
        <w:pStyle w:val="Translit"/>
      </w:pPr>
      <w:r w:rsidRPr="008F03E5">
        <w:t>Bahman</w:t>
      </w:r>
      <w:r w:rsidRPr="008F03E5">
        <w:tab/>
        <w:t>Bahman</w:t>
      </w:r>
      <w:r w:rsidRPr="008F03E5">
        <w:tab/>
        <w:t>Pers. intelligent, acute, adroit; the supreme intelligence; a cloud pouring rain; (also bahmani barf, “snow”) an avalanche of snow.  The 11th month of the Persian solar calendar.</w:t>
      </w:r>
    </w:p>
    <w:p w14:paraId="5CD108F0" w14:textId="77777777" w:rsidR="00625A5B" w:rsidRPr="008F03E5" w:rsidRDefault="00625A5B" w:rsidP="00061A86">
      <w:pPr>
        <w:pStyle w:val="Translit"/>
        <w:rPr>
          <w:rFonts w:eastAsia="PMingLiU"/>
          <w:lang w:eastAsia="zh-TW"/>
        </w:rPr>
      </w:pPr>
      <w:r w:rsidRPr="008F03E5">
        <w:rPr>
          <w:rFonts w:eastAsia="PMingLiU"/>
          <w:lang w:eastAsia="zh-TW"/>
        </w:rPr>
        <w:t>Bahnim</w:t>
      </w:r>
      <w:r w:rsidRPr="008F03E5">
        <w:t>i</w:t>
      </w:r>
      <w:r w:rsidRPr="008F03E5">
        <w:rPr>
          <w:rFonts w:eastAsia="PMingLiU"/>
          <w:lang w:eastAsia="zh-TW"/>
        </w:rPr>
        <w:t>r (Behnamir)</w:t>
      </w:r>
      <w:r w:rsidRPr="008F03E5">
        <w:tab/>
      </w:r>
      <w:r w:rsidRPr="008F03E5">
        <w:rPr>
          <w:rFonts w:eastAsia="PMingLiU"/>
          <w:lang w:eastAsia="zh-TW"/>
        </w:rPr>
        <w:t>Bahnim</w:t>
      </w:r>
      <w:r w:rsidRPr="008F03E5">
        <w:t>í</w:t>
      </w:r>
      <w:r w:rsidRPr="008F03E5">
        <w:rPr>
          <w:rFonts w:eastAsia="PMingLiU"/>
          <w:lang w:eastAsia="zh-TW"/>
        </w:rPr>
        <w:t>r</w:t>
      </w:r>
      <w:r w:rsidRPr="008F03E5">
        <w:tab/>
        <w:t>city (36.667845, 52.761898) near southern coast of the Caspian Sea</w:t>
      </w:r>
    </w:p>
    <w:p w14:paraId="5A50C757" w14:textId="77777777" w:rsidR="00625A5B" w:rsidRPr="008F03E5" w:rsidRDefault="00625A5B" w:rsidP="00C03379">
      <w:pPr>
        <w:pStyle w:val="Translit"/>
      </w:pPr>
      <w:r w:rsidRPr="00D45A23">
        <w:rPr>
          <w:lang w:val="de-DE"/>
        </w:rPr>
        <w:t>Bahr, Bihar, Buhar, Abhar, Abhur</w:t>
      </w:r>
      <w:r w:rsidRPr="00D45A23">
        <w:rPr>
          <w:lang w:val="de-DE"/>
        </w:rPr>
        <w:tab/>
        <w:t xml:space="preserve">Baḥr, pl. </w:t>
      </w:r>
      <w:r w:rsidRPr="008F03E5">
        <w:t>Biḥár, Buḥúr, Abḥár, Abḥur</w:t>
      </w:r>
      <w:r w:rsidRPr="008F03E5">
        <w:tab/>
        <w:t>sea; large river; a noble, or great man (whose magnanimity or knowledge is comparable to the vastness of the sea); meter (poetry).  Dual forms:  Baḥrán (“Bahran”) (nominative, not used for the modern nation) and Baḥrayn (“Bahrayn, Bahrain”) (genitive and accusative).  al-Baḥrán or al-Baḥrayn:  “the two seas or rivers”.  Qur’án 25:53 “two bodies of flowing water, one sweet and fresh and the other salty and bitter”.  Dual form occurs 5× (figuratively?) in the Qur’án, only once in the nominative case, they do not refer to the modern nation (originally known to the Arabs as “Awwal”) but possibly to the oases of al-Qaṭíf and Ḥadjár (modern al-Ḥasá).  The Bahrayn nation consists of 50 natural and 33 artificial islands in the western Persian Gulf.  See Yamm and Biḥáru’l-Anwár.</w:t>
      </w:r>
    </w:p>
    <w:p w14:paraId="67FC3184" w14:textId="77777777" w:rsidR="00625A5B" w:rsidRPr="008F03E5" w:rsidRDefault="00625A5B" w:rsidP="00234166">
      <w:pPr>
        <w:pStyle w:val="Translit"/>
        <w:rPr>
          <w:rFonts w:eastAsia="PMingLiU"/>
          <w:lang w:eastAsia="zh-TW"/>
        </w:rPr>
      </w:pPr>
      <w:r w:rsidRPr="008F03E5">
        <w:rPr>
          <w:rFonts w:eastAsia="PMingLiU"/>
          <w:lang w:eastAsia="zh-TW"/>
        </w:rPr>
        <w:t>Bahram Shahi, Bahramshahi</w:t>
      </w:r>
      <w:r w:rsidRPr="008F03E5">
        <w:tab/>
      </w:r>
      <w:r w:rsidRPr="008F03E5">
        <w:rPr>
          <w:rFonts w:eastAsia="PMingLiU"/>
          <w:lang w:eastAsia="zh-TW"/>
        </w:rPr>
        <w:t xml:space="preserve">Bahrám </w:t>
      </w:r>
      <w:r w:rsidRPr="008F03E5">
        <w:rPr>
          <w:u w:val="single"/>
        </w:rPr>
        <w:t>Sh</w:t>
      </w:r>
      <w:r w:rsidRPr="008F03E5">
        <w:rPr>
          <w:rFonts w:eastAsia="PMingLiU"/>
          <w:lang w:eastAsia="zh-TW"/>
        </w:rPr>
        <w:t>áhí, Bahrám</w:t>
      </w:r>
      <w:r w:rsidRPr="008F03E5">
        <w:rPr>
          <w:u w:val="single"/>
        </w:rPr>
        <w:t>sh</w:t>
      </w:r>
      <w:r w:rsidRPr="008F03E5">
        <w:rPr>
          <w:rFonts w:eastAsia="PMingLiU"/>
          <w:lang w:eastAsia="zh-TW"/>
        </w:rPr>
        <w:t>áhí</w:t>
      </w:r>
      <w:r w:rsidRPr="008F03E5">
        <w:tab/>
        <w:t xml:space="preserve">Rúḥu’lláh </w:t>
      </w:r>
      <w:r w:rsidRPr="008F03E5">
        <w:rPr>
          <w:rFonts w:eastAsia="PMingLiU"/>
          <w:lang w:eastAsia="zh-TW"/>
        </w:rPr>
        <w:t>Bahrám</w:t>
      </w:r>
      <w:r w:rsidRPr="008F03E5">
        <w:rPr>
          <w:u w:val="single"/>
        </w:rPr>
        <w:t>sh</w:t>
      </w:r>
      <w:r w:rsidRPr="008F03E5">
        <w:rPr>
          <w:rFonts w:eastAsia="PMingLiU"/>
          <w:lang w:eastAsia="zh-TW"/>
        </w:rPr>
        <w:t>áhí</w:t>
      </w:r>
    </w:p>
    <w:p w14:paraId="510477C8" w14:textId="77777777" w:rsidR="00625A5B" w:rsidRPr="008F03E5" w:rsidRDefault="00625A5B" w:rsidP="00895FC6">
      <w:pPr>
        <w:pStyle w:val="Translit"/>
      </w:pPr>
      <w:r w:rsidRPr="008F03E5">
        <w:t>Bahram</w:t>
      </w:r>
      <w:r w:rsidRPr="008F03E5">
        <w:tab/>
        <w:t>Bahrám</w:t>
      </w:r>
      <w:r w:rsidRPr="008F03E5">
        <w:tab/>
        <w:t>Pers. the planet Mars; name of several kings of Persia, and of other kingdoms in the East (corrupted by the Greeks into Varanes); name of several heroes; the twentieth day of every month.  The older form is Vahrám (Middle Persian), also spelled Wahrám, literally meaning “smiting of resistance” or “victorious”.</w:t>
      </w:r>
    </w:p>
    <w:p w14:paraId="337423E6" w14:textId="77777777" w:rsidR="00625A5B" w:rsidRPr="008F03E5" w:rsidRDefault="00625A5B" w:rsidP="007F500A">
      <w:pPr>
        <w:pStyle w:val="Translit"/>
        <w:rPr>
          <w:rFonts w:eastAsia="PMingLiU"/>
          <w:lang w:eastAsia="zh-TW"/>
        </w:rPr>
      </w:pPr>
      <w:r w:rsidRPr="008F03E5">
        <w:rPr>
          <w:rFonts w:eastAsia="Times New Roman"/>
        </w:rPr>
        <w:t>Bahrami</w:t>
      </w:r>
      <w:r w:rsidRPr="008F03E5">
        <w:rPr>
          <w:rFonts w:eastAsia="Times New Roman"/>
        </w:rPr>
        <w:tab/>
        <w:t>Bahrám</w:t>
      </w:r>
      <w:r w:rsidRPr="008F03E5">
        <w:t>í</w:t>
      </w:r>
      <w:r w:rsidRPr="008F03E5">
        <w:rPr>
          <w:rFonts w:eastAsia="Times New Roman"/>
        </w:rPr>
        <w:tab/>
        <w:t>Pers. bravery, valour; slaughter</w:t>
      </w:r>
    </w:p>
    <w:p w14:paraId="09920C25" w14:textId="77777777" w:rsidR="00625A5B" w:rsidRPr="00D45A23" w:rsidRDefault="00625A5B" w:rsidP="007B0F76">
      <w:pPr>
        <w:pStyle w:val="Translit"/>
        <w:rPr>
          <w:rFonts w:eastAsia="PMingLiU"/>
          <w:lang w:val="de-DE" w:eastAsia="zh-TW"/>
        </w:rPr>
      </w:pPr>
      <w:r w:rsidRPr="00D45A23">
        <w:rPr>
          <w:rFonts w:eastAsia="PMingLiU"/>
          <w:lang w:val="de-DE" w:eastAsia="zh-TW"/>
        </w:rPr>
        <w:t>Bahran (Bahrain, Bahrein)</w:t>
      </w:r>
      <w:r w:rsidRPr="00D45A23">
        <w:rPr>
          <w:lang w:val="de-DE"/>
        </w:rPr>
        <w:tab/>
      </w:r>
      <w:r w:rsidRPr="00D45A23">
        <w:rPr>
          <w:rFonts w:eastAsia="PMingLiU"/>
          <w:lang w:val="de-DE" w:eastAsia="zh-TW"/>
        </w:rPr>
        <w:t>Ba</w:t>
      </w:r>
      <w:r w:rsidRPr="00D45A23">
        <w:rPr>
          <w:lang w:val="de-DE"/>
        </w:rPr>
        <w:t>ḥ</w:t>
      </w:r>
      <w:r w:rsidRPr="00D45A23">
        <w:rPr>
          <w:rFonts w:eastAsia="PMingLiU"/>
          <w:lang w:val="de-DE" w:eastAsia="zh-TW"/>
        </w:rPr>
        <w:t>rán</w:t>
      </w:r>
      <w:r w:rsidRPr="00D45A23">
        <w:rPr>
          <w:lang w:val="de-DE"/>
        </w:rPr>
        <w:tab/>
        <w:t>Bahrain Islands</w:t>
      </w:r>
    </w:p>
    <w:p w14:paraId="42E895E6" w14:textId="77777777" w:rsidR="00625A5B" w:rsidRPr="00C66BFD" w:rsidRDefault="00625A5B" w:rsidP="00CE3826">
      <w:pPr>
        <w:pStyle w:val="Translit"/>
      </w:pPr>
      <w:r w:rsidRPr="008F03E5">
        <w:rPr>
          <w:rFonts w:eastAsia="PMingLiU"/>
          <w:lang w:eastAsia="zh-TW"/>
        </w:rPr>
        <w:t>Bahrani</w:t>
      </w:r>
      <w:r w:rsidRPr="008F03E5">
        <w:tab/>
      </w:r>
      <w:r w:rsidRPr="008F03E5">
        <w:rPr>
          <w:rFonts w:eastAsia="PMingLiU"/>
          <w:lang w:eastAsia="zh-TW"/>
        </w:rPr>
        <w:t>Ba</w:t>
      </w:r>
      <w:r w:rsidRPr="008F03E5">
        <w:t>ḥ</w:t>
      </w:r>
      <w:r w:rsidRPr="008F03E5">
        <w:rPr>
          <w:rFonts w:eastAsia="PMingLiU"/>
          <w:lang w:eastAsia="zh-TW"/>
        </w:rPr>
        <w:t>rání</w:t>
      </w:r>
      <w:r w:rsidRPr="008F03E5">
        <w:tab/>
        <w:t xml:space="preserve">of the Bahrain Islands.  </w:t>
      </w:r>
      <w:r w:rsidRPr="008F03E5">
        <w:rPr>
          <w:u w:val="single"/>
        </w:rPr>
        <w:t>Sh</w:t>
      </w:r>
      <w:r w:rsidRPr="008F03E5">
        <w:t>ay</w:t>
      </w:r>
      <w:r w:rsidRPr="008F03E5">
        <w:rPr>
          <w:u w:val="single"/>
        </w:rPr>
        <w:t>kh</w:t>
      </w:r>
      <w:r w:rsidRPr="008F03E5">
        <w:t xml:space="preserve"> ‘Abdu’lláh bin Núru’lláh al-Baḥrání </w:t>
      </w:r>
      <w:r>
        <w:t>al-I</w:t>
      </w:r>
      <w:r w:rsidRPr="00C66BFD">
        <w:t>ṣ</w:t>
      </w:r>
      <w:r>
        <w:t>fah</w:t>
      </w:r>
      <w:r w:rsidRPr="00C66BFD">
        <w:t>á</w:t>
      </w:r>
      <w:r>
        <w:t>n</w:t>
      </w:r>
      <w:r w:rsidRPr="00C66BFD">
        <w:t>í</w:t>
      </w:r>
      <w:r>
        <w:t xml:space="preserve"> (d. </w:t>
      </w:r>
      <w:r w:rsidRPr="00442F88">
        <w:rPr>
          <w:sz w:val="16"/>
          <w:szCs w:val="16"/>
        </w:rPr>
        <w:t>CE</w:t>
      </w:r>
      <w:r>
        <w:t xml:space="preserve"> 1711) </w:t>
      </w:r>
      <w:r w:rsidRPr="008F03E5">
        <w:t>compiled 1</w:t>
      </w:r>
      <w:r>
        <w:t>1</w:t>
      </w:r>
      <w:r w:rsidRPr="008F03E5">
        <w:t xml:space="preserve"> vol. collection of traditions and Islamic history known as </w:t>
      </w:r>
      <w:r w:rsidRPr="008F03E5">
        <w:rPr>
          <w:i/>
          <w:iCs/>
        </w:rPr>
        <w:t>‘Awálim</w:t>
      </w:r>
      <w:r w:rsidRPr="008F03E5">
        <w:t xml:space="preserve"> or </w:t>
      </w:r>
      <w:r w:rsidRPr="008F03E5">
        <w:rPr>
          <w:i/>
          <w:iCs/>
        </w:rPr>
        <w:t xml:space="preserve">‘Awálim al-‘Ulúm </w:t>
      </w:r>
      <w:r w:rsidRPr="008F03E5">
        <w:t>(</w:t>
      </w:r>
      <w:r w:rsidRPr="008F03E5">
        <w:rPr>
          <w:i/>
          <w:iCs/>
        </w:rPr>
        <w:t>‘Awálim al-‘Ulúm wa al-Ma‘árif wa al-aḥwál min al-Áyát wa al-A</w:t>
      </w:r>
      <w:r w:rsidRPr="008F03E5">
        <w:rPr>
          <w:i/>
          <w:iCs/>
          <w:u w:val="single"/>
        </w:rPr>
        <w:t>kh</w:t>
      </w:r>
      <w:r w:rsidRPr="008F03E5">
        <w:rPr>
          <w:i/>
          <w:iCs/>
        </w:rPr>
        <w:t>bar wa al-Aqwál</w:t>
      </w:r>
      <w:r>
        <w:rPr>
          <w:i/>
          <w:iCs/>
        </w:rPr>
        <w:t xml:space="preserve">, </w:t>
      </w:r>
      <w:r w:rsidRPr="00C66BFD">
        <w:t>“The worlds of science, knowledge and conditions of verses, news and sayings”</w:t>
      </w:r>
      <w:r w:rsidRPr="008F03E5">
        <w:t>)</w:t>
      </w:r>
      <w:r w:rsidRPr="00C66BFD">
        <w:t xml:space="preserve">.  </w:t>
      </w:r>
      <w:r>
        <w:t>The books are</w:t>
      </w:r>
      <w:r w:rsidRPr="00C66BFD">
        <w:t xml:space="preserve"> a revised arrangement and consummation of </w:t>
      </w:r>
      <w:r w:rsidRPr="008F03E5">
        <w:t>Biḥáru’l-Anwár</w:t>
      </w:r>
      <w:r w:rsidRPr="00C66BFD">
        <w:t xml:space="preserve">, the famous collection of </w:t>
      </w:r>
      <w:r w:rsidRPr="00C66BFD">
        <w:rPr>
          <w:u w:val="single"/>
        </w:rPr>
        <w:t>Sh</w:t>
      </w:r>
      <w:r w:rsidRPr="00C66BFD">
        <w:t>í</w:t>
      </w:r>
      <w:r>
        <w:t>‘</w:t>
      </w:r>
      <w:r w:rsidRPr="00C66BFD">
        <w:t>a traditions compiled by ‘Allámah Majlisí.  The books are also known as Ḥadí</w:t>
      </w:r>
      <w:r w:rsidRPr="00C66BFD">
        <w:rPr>
          <w:u w:val="single"/>
        </w:rPr>
        <w:t>th</w:t>
      </w:r>
      <w:r w:rsidRPr="00C66BFD">
        <w:t xml:space="preserve"> al-</w:t>
      </w:r>
      <w:r w:rsidRPr="00C66BFD">
        <w:rPr>
          <w:u w:val="single"/>
        </w:rPr>
        <w:t>Gh</w:t>
      </w:r>
      <w:r w:rsidRPr="00C66BFD">
        <w:t>adír</w:t>
      </w:r>
      <w:r>
        <w:t>.  See ‘Aw</w:t>
      </w:r>
      <w:r w:rsidRPr="00CE3826">
        <w:t>á</w:t>
      </w:r>
      <w:r>
        <w:t xml:space="preserve">lim and </w:t>
      </w:r>
      <w:r w:rsidRPr="008F03E5">
        <w:t>Biḥáru’l-Anwár</w:t>
      </w:r>
      <w:r>
        <w:t>.</w:t>
      </w:r>
    </w:p>
    <w:p w14:paraId="6FCB63B5" w14:textId="77777777" w:rsidR="00625A5B" w:rsidRPr="008F03E5" w:rsidRDefault="00625A5B" w:rsidP="0087499A">
      <w:pPr>
        <w:pStyle w:val="Translit"/>
        <w:rPr>
          <w:rFonts w:eastAsia="PMingLiU"/>
          <w:lang w:eastAsia="zh-TW"/>
        </w:rPr>
      </w:pPr>
      <w:r w:rsidRPr="008F03E5">
        <w:rPr>
          <w:rFonts w:eastAsia="PMingLiU"/>
          <w:lang w:eastAsia="zh-TW"/>
        </w:rPr>
        <w:t>Bahru’l-‘Ulum</w:t>
      </w:r>
      <w:r w:rsidRPr="008F03E5">
        <w:tab/>
      </w:r>
      <w:r w:rsidRPr="008F03E5">
        <w:rPr>
          <w:rFonts w:eastAsia="PMingLiU"/>
          <w:lang w:eastAsia="zh-TW"/>
        </w:rPr>
        <w:t>Ba</w:t>
      </w:r>
      <w:r w:rsidRPr="008F03E5">
        <w:t>ḥ</w:t>
      </w:r>
      <w:r w:rsidRPr="008F03E5">
        <w:rPr>
          <w:rFonts w:eastAsia="PMingLiU"/>
          <w:lang w:eastAsia="zh-TW"/>
        </w:rPr>
        <w:t>ru’l-‘Ulúm</w:t>
      </w:r>
      <w:r w:rsidRPr="008F03E5">
        <w:tab/>
        <w:t>“sea of all knowledge”</w:t>
      </w:r>
    </w:p>
    <w:p w14:paraId="68BCF7B5" w14:textId="77777777" w:rsidR="00625A5B" w:rsidRDefault="00625A5B" w:rsidP="00B859F6">
      <w:pPr>
        <w:pStyle w:val="Translit"/>
        <w:rPr>
          <w:rFonts w:eastAsia="PMingLiU"/>
          <w:lang w:eastAsia="zh-TW"/>
        </w:rPr>
      </w:pPr>
      <w:r>
        <w:rPr>
          <w:rFonts w:eastAsia="PMingLiU"/>
          <w:lang w:eastAsia="zh-TW"/>
        </w:rPr>
        <w:t>Bahru’l-Iram</w:t>
      </w:r>
      <w:r>
        <w:rPr>
          <w:rFonts w:eastAsia="PMingLiU"/>
          <w:lang w:eastAsia="zh-TW"/>
        </w:rPr>
        <w:tab/>
      </w:r>
      <w:r w:rsidRPr="008F03E5">
        <w:rPr>
          <w:rFonts w:eastAsia="PMingLiU"/>
          <w:lang w:eastAsia="zh-TW"/>
        </w:rPr>
        <w:t>Ba</w:t>
      </w:r>
      <w:r w:rsidRPr="008F03E5">
        <w:t>ḥ</w:t>
      </w:r>
      <w:r w:rsidRPr="008F03E5">
        <w:rPr>
          <w:rFonts w:eastAsia="PMingLiU"/>
          <w:lang w:eastAsia="zh-TW"/>
        </w:rPr>
        <w:t>ru’l</w:t>
      </w:r>
      <w:r>
        <w:rPr>
          <w:rFonts w:eastAsia="PMingLiU"/>
          <w:lang w:eastAsia="zh-TW"/>
        </w:rPr>
        <w:t>-</w:t>
      </w:r>
      <w:r>
        <w:t>I</w:t>
      </w:r>
      <w:r>
        <w:rPr>
          <w:rFonts w:eastAsia="PMingLiU"/>
          <w:lang w:eastAsia="zh-TW"/>
        </w:rPr>
        <w:t>r</w:t>
      </w:r>
      <w:r>
        <w:t>a</w:t>
      </w:r>
      <w:r>
        <w:rPr>
          <w:rFonts w:eastAsia="PMingLiU"/>
          <w:lang w:eastAsia="zh-TW"/>
        </w:rPr>
        <w:t>m</w:t>
      </w:r>
      <w:r>
        <w:rPr>
          <w:rFonts w:eastAsia="PMingLiU"/>
          <w:lang w:eastAsia="zh-TW"/>
        </w:rPr>
        <w:tab/>
        <w:t xml:space="preserve">Pers. “calm sea” or Sea of paradise”, name of a lake with a large island (the lake has since been reclaimed; </w:t>
      </w:r>
      <w:r w:rsidRPr="00957330">
        <w:rPr>
          <w:rFonts w:eastAsia="PMingLiU"/>
          <w:lang w:eastAsia="zh-TW"/>
        </w:rPr>
        <w:t>36.53025</w:t>
      </w:r>
      <w:r>
        <w:rPr>
          <w:rFonts w:eastAsia="PMingLiU"/>
          <w:lang w:eastAsia="zh-TW"/>
        </w:rPr>
        <w:t>1</w:t>
      </w:r>
      <w:r w:rsidRPr="00957330">
        <w:rPr>
          <w:rFonts w:eastAsia="PMingLiU"/>
          <w:lang w:eastAsia="zh-TW"/>
        </w:rPr>
        <w:t>, 52.676284</w:t>
      </w:r>
      <w:r>
        <w:rPr>
          <w:rFonts w:eastAsia="PMingLiU"/>
          <w:lang w:eastAsia="zh-TW"/>
        </w:rPr>
        <w:t>) on which a palace was built (</w:t>
      </w:r>
      <w:r w:rsidRPr="002C59F6">
        <w:t>Bá</w:t>
      </w:r>
      <w:r w:rsidRPr="002C59F6">
        <w:rPr>
          <w:u w:val="single"/>
        </w:rPr>
        <w:t>gh</w:t>
      </w:r>
      <w:r w:rsidRPr="002C59F6">
        <w:t>-i-</w:t>
      </w:r>
      <w:r w:rsidRPr="002C59F6">
        <w:rPr>
          <w:u w:val="single"/>
        </w:rPr>
        <w:t>Sh</w:t>
      </w:r>
      <w:r w:rsidRPr="002C59F6">
        <w:t>áh</w:t>
      </w:r>
      <w:r>
        <w:rPr>
          <w:rFonts w:eastAsia="PMingLiU"/>
          <w:lang w:eastAsia="zh-TW"/>
        </w:rPr>
        <w:t xml:space="preserve">).  </w:t>
      </w:r>
      <w:r w:rsidRPr="002C59F6">
        <w:t>Bá</w:t>
      </w:r>
      <w:r w:rsidRPr="002C59F6">
        <w:rPr>
          <w:u w:val="single"/>
        </w:rPr>
        <w:t>gh</w:t>
      </w:r>
      <w:r w:rsidRPr="008F03E5">
        <w:rPr>
          <w:rFonts w:eastAsia="PMingLiU"/>
          <w:lang w:eastAsia="zh-TW"/>
        </w:rPr>
        <w:t xml:space="preserve"> Ba</w:t>
      </w:r>
      <w:r w:rsidRPr="008F03E5">
        <w:t>ḥ</w:t>
      </w:r>
      <w:r w:rsidRPr="008F03E5">
        <w:rPr>
          <w:rFonts w:eastAsia="PMingLiU"/>
          <w:lang w:eastAsia="zh-TW"/>
        </w:rPr>
        <w:t>ru’l</w:t>
      </w:r>
      <w:r>
        <w:rPr>
          <w:rFonts w:eastAsia="PMingLiU"/>
          <w:lang w:eastAsia="zh-TW"/>
        </w:rPr>
        <w:t>-</w:t>
      </w:r>
      <w:r>
        <w:t>I</w:t>
      </w:r>
      <w:r>
        <w:rPr>
          <w:rFonts w:eastAsia="PMingLiU"/>
          <w:lang w:eastAsia="zh-TW"/>
        </w:rPr>
        <w:t>r</w:t>
      </w:r>
      <w:r>
        <w:t>a</w:t>
      </w:r>
      <w:r>
        <w:rPr>
          <w:rFonts w:eastAsia="PMingLiU"/>
          <w:lang w:eastAsia="zh-TW"/>
        </w:rPr>
        <w:t>m, an island garden.</w:t>
      </w:r>
    </w:p>
    <w:p w14:paraId="3477DC9B" w14:textId="77777777" w:rsidR="00625A5B" w:rsidRPr="008F03E5" w:rsidRDefault="00625A5B" w:rsidP="007075F4">
      <w:pPr>
        <w:pStyle w:val="Translit"/>
        <w:rPr>
          <w:rFonts w:eastAsia="PMingLiU"/>
          <w:lang w:eastAsia="zh-TW"/>
        </w:rPr>
      </w:pPr>
      <w:r w:rsidRPr="008F03E5">
        <w:rPr>
          <w:rFonts w:eastAsia="PMingLiU"/>
          <w:lang w:eastAsia="zh-TW"/>
        </w:rPr>
        <w:t>Bahth, Buhuth, Abhath</w:t>
      </w:r>
      <w:r w:rsidRPr="008F03E5">
        <w:tab/>
      </w:r>
      <w:r w:rsidRPr="008F03E5">
        <w:rPr>
          <w:rFonts w:eastAsia="PMingLiU"/>
          <w:lang w:eastAsia="zh-TW"/>
        </w:rPr>
        <w:t>Ba</w:t>
      </w:r>
      <w:r w:rsidRPr="008F03E5">
        <w:t>ḥ</w:t>
      </w:r>
      <w:r w:rsidRPr="008F03E5">
        <w:rPr>
          <w:u w:val="single"/>
        </w:rPr>
        <w:t>th</w:t>
      </w:r>
      <w:r w:rsidRPr="008F03E5">
        <w:rPr>
          <w:rFonts w:eastAsia="PMingLiU"/>
          <w:lang w:eastAsia="zh-TW"/>
        </w:rPr>
        <w:t xml:space="preserve">, </w:t>
      </w:r>
      <w:r w:rsidRPr="008F03E5">
        <w:t>pl. Buḥút, Abḥá</w:t>
      </w:r>
      <w:r w:rsidRPr="008F03E5">
        <w:rPr>
          <w:u w:val="single"/>
        </w:rPr>
        <w:t>th</w:t>
      </w:r>
      <w:r w:rsidRPr="008F03E5">
        <w:tab/>
        <w:t>search (for), quest (of); examination, study; research; investigation, exploration; discussion; treatise;</w:t>
      </w:r>
      <w:r>
        <w:t>—</w:t>
      </w:r>
      <w:r w:rsidRPr="008F03E5">
        <w:t>pl. study, scientific report (on)</w:t>
      </w:r>
    </w:p>
    <w:p w14:paraId="7556F7D4" w14:textId="77777777" w:rsidR="00625A5B" w:rsidRDefault="00625A5B" w:rsidP="00CB650D">
      <w:pPr>
        <w:pStyle w:val="Translit"/>
      </w:pPr>
      <w:r w:rsidRPr="008F03E5">
        <w:t>Bajastan (Bajestan, Bejestan, Bijestan)</w:t>
      </w:r>
      <w:r w:rsidRPr="008F03E5">
        <w:tab/>
        <w:t>Bajastán</w:t>
      </w:r>
      <w:r>
        <w:t>,</w:t>
      </w:r>
      <w:r w:rsidRPr="00CB650D">
        <w:t xml:space="preserve"> </w:t>
      </w:r>
      <w:r w:rsidRPr="008F03E5">
        <w:t>Baj</w:t>
      </w:r>
      <w:r>
        <w:t>i</w:t>
      </w:r>
      <w:r w:rsidRPr="008F03E5">
        <w:t>stán</w:t>
      </w:r>
      <w:r w:rsidRPr="008F03E5">
        <w:tab/>
        <w:t>a city (</w:t>
      </w:r>
      <w:r w:rsidRPr="00CB650D">
        <w:t>34.517094, 58.184451</w:t>
      </w:r>
      <w:r>
        <w:t xml:space="preserve">; </w:t>
      </w:r>
      <w:r w:rsidRPr="008F03E5">
        <w:t xml:space="preserve">232 km </w:t>
      </w:r>
      <w:r w:rsidRPr="008F03E5">
        <w:rPr>
          <w:sz w:val="16"/>
          <w:szCs w:val="16"/>
        </w:rPr>
        <w:t>SW</w:t>
      </w:r>
      <w:r w:rsidRPr="008F03E5">
        <w:t xml:space="preserve"> </w:t>
      </w:r>
      <w:r>
        <w:t xml:space="preserve">of </w:t>
      </w:r>
      <w:r w:rsidRPr="008F03E5">
        <w:t>Ma</w:t>
      </w:r>
      <w:r w:rsidRPr="00CB650D">
        <w:rPr>
          <w:u w:val="single"/>
        </w:rPr>
        <w:t>sh</w:t>
      </w:r>
      <w:r w:rsidRPr="008F03E5">
        <w:t>had) and capital of Bajestan County, Iran.</w:t>
      </w:r>
    </w:p>
    <w:p w14:paraId="246E71D5" w14:textId="77777777" w:rsidR="00625A5B" w:rsidRPr="00CB650D" w:rsidRDefault="00625A5B" w:rsidP="00CB650D">
      <w:pPr>
        <w:pStyle w:val="Translit"/>
      </w:pPr>
      <w:r w:rsidRPr="00CB650D">
        <w:t>Bajastani (Bajestani, Bejestani, Bijestani)</w:t>
      </w:r>
      <w:r w:rsidRPr="00CB650D">
        <w:tab/>
        <w:t>Bajastání, Bajistání</w:t>
      </w:r>
      <w:r w:rsidRPr="00CB650D">
        <w:tab/>
      </w:r>
      <w:r w:rsidRPr="003F152F">
        <w:t>Mullá</w:t>
      </w:r>
      <w:r>
        <w:t xml:space="preserve"> </w:t>
      </w:r>
      <w:r w:rsidRPr="003F152F">
        <w:t>Ḥasan-i-Bajistání</w:t>
      </w:r>
      <w:r>
        <w:t>, a Letter of the Living.</w:t>
      </w:r>
    </w:p>
    <w:p w14:paraId="3C11CEEC" w14:textId="77777777" w:rsidR="00625A5B" w:rsidRPr="008F03E5" w:rsidRDefault="00625A5B" w:rsidP="00A11A60">
      <w:pPr>
        <w:pStyle w:val="Translit"/>
        <w:rPr>
          <w:rFonts w:eastAsia="PMingLiU"/>
          <w:lang w:eastAsia="zh-TW"/>
        </w:rPr>
      </w:pPr>
      <w:r w:rsidRPr="008F03E5">
        <w:rPr>
          <w:rFonts w:eastAsia="PMingLiU"/>
          <w:lang w:eastAsia="zh-TW"/>
        </w:rPr>
        <w:t>Baji</w:t>
      </w:r>
      <w:r w:rsidRPr="008F03E5">
        <w:tab/>
      </w:r>
      <w:r w:rsidRPr="008F03E5">
        <w:rPr>
          <w:rFonts w:eastAsia="PMingLiU"/>
          <w:lang w:eastAsia="zh-TW"/>
        </w:rPr>
        <w:t>Bájí</w:t>
      </w:r>
      <w:r w:rsidRPr="008F03E5">
        <w:tab/>
        <w:t>Pers. sister; miss, lady (modern colloquialism)</w:t>
      </w:r>
    </w:p>
    <w:p w14:paraId="123C05B6" w14:textId="77777777" w:rsidR="00625A5B" w:rsidRPr="008F03E5" w:rsidRDefault="00625A5B" w:rsidP="00E52990">
      <w:pPr>
        <w:pStyle w:val="Translit"/>
      </w:pPr>
      <w:r w:rsidRPr="008F03E5">
        <w:t>Bajja</w:t>
      </w:r>
      <w:r w:rsidRPr="008F03E5">
        <w:tab/>
        <w:t>Bájja[h]</w:t>
      </w:r>
      <w:r w:rsidRPr="008F03E5">
        <w:tab/>
        <w:t>Abú Bakr Muḥammad ibn Yaḥyá ibn aṣ-Ṣá’i</w:t>
      </w:r>
      <w:r w:rsidRPr="008F03E5">
        <w:rPr>
          <w:u w:val="single"/>
        </w:rPr>
        <w:t>gh</w:t>
      </w:r>
      <w:r w:rsidRPr="008F03E5">
        <w:t xml:space="preserve"> at-Tujíbí ibn Bájja[h], best known by his Latinised name Avempace (c. </w:t>
      </w:r>
      <w:r>
        <w:t xml:space="preserve"> </w:t>
      </w:r>
      <w:r w:rsidRPr="008F03E5">
        <w:t>1085–1138), was an Arab Andalusian polymath, whose writings include works regarding astronomy, physics, and music, as well as philosophy, medicine, botany, and poetry.</w:t>
      </w:r>
    </w:p>
    <w:p w14:paraId="23B3BFA8" w14:textId="77777777" w:rsidR="00625A5B" w:rsidRPr="008F03E5" w:rsidRDefault="00625A5B" w:rsidP="006D3058">
      <w:pPr>
        <w:pStyle w:val="Translit"/>
      </w:pPr>
      <w:r w:rsidRPr="008F03E5">
        <w:t>Baka, Buka, Bukan</w:t>
      </w:r>
      <w:r w:rsidRPr="008F03E5">
        <w:tab/>
        <w:t>Baká (Buká’, Bukan)</w:t>
      </w:r>
      <w:r w:rsidRPr="008F03E5">
        <w:tab/>
        <w:t xml:space="preserve">to cry, weep (over); to bemoan, lament, bewail (someone), mourn (for) </w:t>
      </w:r>
      <w:r w:rsidRPr="008F03E5">
        <w:rPr>
          <w:sz w:val="16"/>
          <w:szCs w:val="16"/>
        </w:rPr>
        <w:t>II</w:t>
      </w:r>
      <w:r w:rsidRPr="008F03E5">
        <w:t xml:space="preserve"> and </w:t>
      </w:r>
      <w:r w:rsidRPr="008F03E5">
        <w:rPr>
          <w:sz w:val="16"/>
          <w:szCs w:val="16"/>
        </w:rPr>
        <w:t>IV</w:t>
      </w:r>
      <w:r w:rsidRPr="008F03E5">
        <w:t xml:space="preserve"> to make (someone) cry X to move (someone) to tears, make (someone) cry</w:t>
      </w:r>
    </w:p>
    <w:p w14:paraId="41CC4DC6" w14:textId="77777777" w:rsidR="00625A5B" w:rsidRPr="008F03E5" w:rsidRDefault="00625A5B" w:rsidP="006D3058">
      <w:pPr>
        <w:pStyle w:val="Translit"/>
      </w:pPr>
      <w:r w:rsidRPr="008F03E5">
        <w:t>Bakhit</w:t>
      </w:r>
      <w:r w:rsidRPr="008F03E5">
        <w:tab/>
        <w:t>Ba</w:t>
      </w:r>
      <w:r w:rsidRPr="008F03E5">
        <w:rPr>
          <w:u w:val="single"/>
        </w:rPr>
        <w:t>kh</w:t>
      </w:r>
      <w:r w:rsidRPr="008F03E5">
        <w:t>ít</w:t>
      </w:r>
      <w:r w:rsidRPr="008F03E5">
        <w:tab/>
        <w:t>lucky, fortunate</w:t>
      </w:r>
    </w:p>
    <w:p w14:paraId="55D0722E" w14:textId="77777777" w:rsidR="00625A5B" w:rsidRPr="008F03E5" w:rsidRDefault="00625A5B" w:rsidP="000510FB">
      <w:pPr>
        <w:pStyle w:val="Translit"/>
        <w:rPr>
          <w:rFonts w:eastAsia="Times New Roman"/>
        </w:rPr>
      </w:pPr>
      <w:r w:rsidRPr="008F03E5">
        <w:rPr>
          <w:rFonts w:eastAsia="Times New Roman"/>
        </w:rPr>
        <w:t>Bakhsh</w:t>
      </w:r>
      <w:r w:rsidRPr="008F03E5">
        <w:rPr>
          <w:rFonts w:eastAsia="Times New Roman"/>
        </w:rPr>
        <w:tab/>
        <w:t>Ba</w:t>
      </w:r>
      <w:r w:rsidRPr="008F03E5">
        <w:rPr>
          <w:rFonts w:eastAsia="Times New Roman"/>
          <w:u w:val="single"/>
        </w:rPr>
        <w:t>khsh</w:t>
      </w:r>
      <w:r w:rsidRPr="008F03E5">
        <w:rPr>
          <w:rFonts w:eastAsia="Times New Roman"/>
        </w:rPr>
        <w:tab/>
        <w:t xml:space="preserve">Pers. </w:t>
      </w:r>
      <w:r w:rsidRPr="008F03E5">
        <w:t>fate, destiny, portion, share,</w:t>
      </w:r>
      <w:r w:rsidRPr="008F03E5">
        <w:rPr>
          <w:rFonts w:eastAsia="Times New Roman"/>
        </w:rPr>
        <w:t xml:space="preserve"> fortune, lot, part (a land division equal to a district)</w:t>
      </w:r>
    </w:p>
    <w:p w14:paraId="38B932F7" w14:textId="77777777" w:rsidR="00625A5B" w:rsidRPr="008F03E5" w:rsidRDefault="00625A5B" w:rsidP="00870E39">
      <w:pPr>
        <w:pStyle w:val="Translit"/>
        <w:rPr>
          <w:rFonts w:eastAsia="Times New Roman"/>
        </w:rPr>
      </w:pPr>
      <w:r w:rsidRPr="008F03E5">
        <w:rPr>
          <w:rFonts w:eastAsia="Times New Roman"/>
        </w:rPr>
        <w:t>Bakhshandagi (Bakhshandegi)</w:t>
      </w:r>
      <w:r w:rsidRPr="008F03E5">
        <w:rPr>
          <w:rFonts w:eastAsia="Times New Roman"/>
        </w:rPr>
        <w:tab/>
        <w:t>Ba</w:t>
      </w:r>
      <w:r w:rsidRPr="008F03E5">
        <w:rPr>
          <w:rFonts w:eastAsia="Times New Roman"/>
          <w:u w:val="single"/>
        </w:rPr>
        <w:t>khsh</w:t>
      </w:r>
      <w:r w:rsidRPr="008F03E5">
        <w:rPr>
          <w:rFonts w:eastAsia="Times New Roman"/>
        </w:rPr>
        <w:t>andagí</w:t>
      </w:r>
      <w:r w:rsidRPr="008F03E5">
        <w:rPr>
          <w:rFonts w:eastAsia="Times New Roman"/>
        </w:rPr>
        <w:tab/>
        <w:t>Pers. liberality; pardon</w:t>
      </w:r>
    </w:p>
    <w:p w14:paraId="33E508EB" w14:textId="77777777" w:rsidR="00625A5B" w:rsidRPr="008F03E5" w:rsidRDefault="00625A5B" w:rsidP="00886121">
      <w:pPr>
        <w:pStyle w:val="Translit"/>
      </w:pPr>
      <w:r w:rsidRPr="008F03E5">
        <w:t>Bakht</w:t>
      </w:r>
      <w:r w:rsidRPr="008F03E5">
        <w:tab/>
        <w:t>Ba</w:t>
      </w:r>
      <w:r w:rsidRPr="008F03E5">
        <w:rPr>
          <w:u w:val="single"/>
        </w:rPr>
        <w:t>kh</w:t>
      </w:r>
      <w:r w:rsidRPr="008F03E5">
        <w:t>t</w:t>
      </w:r>
      <w:r w:rsidRPr="008F03E5">
        <w:tab/>
        <w:t>Pers. fortune, prosperity, felicity, happiness; luck (good or bad); a horoscope, nativity, planet, constellation; the nightmare</w:t>
      </w:r>
    </w:p>
    <w:p w14:paraId="7493FB61" w14:textId="77777777" w:rsidR="00625A5B" w:rsidRPr="008F03E5" w:rsidRDefault="00625A5B" w:rsidP="002D15B3">
      <w:pPr>
        <w:pStyle w:val="Translit"/>
        <w:tabs>
          <w:tab w:val="left" w:pos="8813"/>
        </w:tabs>
        <w:rPr>
          <w:rFonts w:eastAsia="PMingLiU"/>
          <w:lang w:eastAsia="zh-TW"/>
        </w:rPr>
      </w:pPr>
      <w:r w:rsidRPr="008F03E5">
        <w:rPr>
          <w:rFonts w:eastAsia="Times New Roman"/>
        </w:rPr>
        <w:t>Bakhtar</w:t>
      </w:r>
      <w:r w:rsidRPr="008F03E5">
        <w:rPr>
          <w:rFonts w:eastAsia="Times New Roman"/>
        </w:rPr>
        <w:tab/>
        <w:t>Ba</w:t>
      </w:r>
      <w:r w:rsidRPr="008F03E5">
        <w:rPr>
          <w:rFonts w:eastAsia="Times New Roman"/>
          <w:u w:val="single"/>
        </w:rPr>
        <w:t>kh</w:t>
      </w:r>
      <w:r w:rsidRPr="008F03E5">
        <w:rPr>
          <w:rFonts w:eastAsia="Times New Roman"/>
        </w:rPr>
        <w:t>tar</w:t>
      </w:r>
      <w:r w:rsidRPr="008F03E5">
        <w:rPr>
          <w:rFonts w:eastAsia="Times New Roman"/>
        </w:rPr>
        <w:tab/>
        <w:t>Pers. the east</w:t>
      </w:r>
      <w:r w:rsidRPr="008F03E5">
        <w:rPr>
          <w:rFonts w:eastAsia="Times New Roman"/>
        </w:rPr>
        <w:tab/>
      </w:r>
    </w:p>
    <w:p w14:paraId="6C1FBA89" w14:textId="77777777" w:rsidR="00625A5B" w:rsidRPr="008F03E5" w:rsidRDefault="00625A5B" w:rsidP="004E0BFA">
      <w:pPr>
        <w:pStyle w:val="Translit"/>
        <w:rPr>
          <w:rFonts w:eastAsia="PMingLiU"/>
          <w:lang w:eastAsia="zh-TW"/>
        </w:rPr>
      </w:pPr>
      <w:r w:rsidRPr="008F03E5">
        <w:rPr>
          <w:rFonts w:eastAsia="Times New Roman"/>
        </w:rPr>
        <w:t>Bakhtaran</w:t>
      </w:r>
      <w:r w:rsidRPr="008F03E5">
        <w:rPr>
          <w:rFonts w:eastAsia="Times New Roman"/>
        </w:rPr>
        <w:tab/>
        <w:t>Ba</w:t>
      </w:r>
      <w:r w:rsidRPr="008F03E5">
        <w:rPr>
          <w:rFonts w:eastAsia="Times New Roman"/>
          <w:u w:val="single"/>
        </w:rPr>
        <w:t>kh</w:t>
      </w:r>
      <w:r w:rsidRPr="008F03E5">
        <w:rPr>
          <w:rFonts w:eastAsia="Times New Roman"/>
        </w:rPr>
        <w:t>tar</w:t>
      </w:r>
      <w:r w:rsidRPr="008F03E5">
        <w:t>á</w:t>
      </w:r>
      <w:r w:rsidRPr="008F03E5">
        <w:rPr>
          <w:rFonts w:eastAsia="Times New Roman"/>
        </w:rPr>
        <w:t>n</w:t>
      </w:r>
      <w:r w:rsidRPr="008F03E5">
        <w:rPr>
          <w:rFonts w:eastAsia="Times New Roman"/>
        </w:rPr>
        <w:tab/>
        <w:t xml:space="preserve">Pers. name of </w:t>
      </w:r>
      <w:r w:rsidRPr="008F03E5">
        <w:t>Kirmán</w:t>
      </w:r>
      <w:r w:rsidRPr="008F03E5">
        <w:rPr>
          <w:u w:val="single"/>
        </w:rPr>
        <w:t>sh</w:t>
      </w:r>
      <w:r w:rsidRPr="008F03E5">
        <w:t>áh (1987–</w:t>
      </w:r>
      <w:r>
        <w:t>19</w:t>
      </w:r>
      <w:r w:rsidRPr="008F03E5">
        <w:t>95)</w:t>
      </w:r>
    </w:p>
    <w:p w14:paraId="1844152E" w14:textId="77777777" w:rsidR="00625A5B" w:rsidRPr="008F03E5" w:rsidRDefault="00625A5B" w:rsidP="002A75FF">
      <w:pPr>
        <w:pStyle w:val="Translit"/>
        <w:rPr>
          <w:rFonts w:eastAsia="PMingLiU"/>
          <w:lang w:eastAsia="zh-TW"/>
        </w:rPr>
      </w:pPr>
      <w:r w:rsidRPr="008F03E5">
        <w:rPr>
          <w:rFonts w:eastAsia="PMingLiU"/>
          <w:lang w:eastAsia="zh-TW"/>
        </w:rPr>
        <w:t>Bakhtawar (Bakhtavar)</w:t>
      </w:r>
      <w:r w:rsidRPr="008F03E5">
        <w:tab/>
      </w:r>
      <w:r w:rsidRPr="008F03E5">
        <w:rPr>
          <w:rFonts w:eastAsia="PMingLiU"/>
          <w:lang w:eastAsia="zh-TW"/>
        </w:rPr>
        <w:t>Ba</w:t>
      </w:r>
      <w:r w:rsidRPr="008F03E5">
        <w:rPr>
          <w:u w:val="single"/>
        </w:rPr>
        <w:t>kh</w:t>
      </w:r>
      <w:r w:rsidRPr="008F03E5">
        <w:rPr>
          <w:rFonts w:eastAsia="PMingLiU"/>
          <w:lang w:eastAsia="zh-TW"/>
        </w:rPr>
        <w:t>táwar</w:t>
      </w:r>
      <w:r w:rsidRPr="008F03E5">
        <w:tab/>
        <w:t>lucky, fortunate</w:t>
      </w:r>
    </w:p>
    <w:p w14:paraId="06ED3F7C" w14:textId="77777777" w:rsidR="00625A5B" w:rsidRPr="008F03E5" w:rsidRDefault="00625A5B" w:rsidP="00311071">
      <w:pPr>
        <w:pStyle w:val="Translit"/>
      </w:pPr>
      <w:r w:rsidRPr="008F03E5">
        <w:t>Bakhtiyari</w:t>
      </w:r>
      <w:r w:rsidRPr="008F03E5">
        <w:tab/>
        <w:t>Ba</w:t>
      </w:r>
      <w:r w:rsidRPr="008F03E5">
        <w:rPr>
          <w:u w:val="single"/>
        </w:rPr>
        <w:t>kh</w:t>
      </w:r>
      <w:r w:rsidRPr="008F03E5">
        <w:t>tíyárí (</w:t>
      </w:r>
      <w:r w:rsidRPr="008F03E5">
        <w:rPr>
          <w:rtl/>
        </w:rPr>
        <w:t>بختياري</w:t>
      </w:r>
      <w:r w:rsidRPr="008F03E5">
        <w:rPr>
          <w:cs/>
        </w:rPr>
        <w:t>‎</w:t>
      </w:r>
      <w:r w:rsidRPr="008F03E5">
        <w:t>)</w:t>
      </w:r>
      <w:r w:rsidRPr="008F03E5">
        <w:tab/>
        <w:t>Pers. prosperity, riches.  Tribe of western Írán (Bachtiari)</w:t>
      </w:r>
    </w:p>
    <w:p w14:paraId="56A92D3F" w14:textId="77777777" w:rsidR="00625A5B" w:rsidRPr="008F03E5" w:rsidRDefault="00625A5B" w:rsidP="00D14543">
      <w:pPr>
        <w:pStyle w:val="Translit"/>
      </w:pPr>
      <w:r w:rsidRPr="008F03E5">
        <w:t>Bakk</w:t>
      </w:r>
      <w:r w:rsidRPr="008F03E5">
        <w:tab/>
        <w:t>Bakk</w:t>
      </w:r>
      <w:r w:rsidRPr="008F03E5">
        <w:tab/>
        <w:t>bruising, knocking; tearing, rending; crowding</w:t>
      </w:r>
    </w:p>
    <w:p w14:paraId="3339A261" w14:textId="77777777" w:rsidR="00625A5B" w:rsidRPr="008F03E5" w:rsidRDefault="00625A5B" w:rsidP="000C564B">
      <w:pPr>
        <w:pStyle w:val="Translit"/>
      </w:pPr>
      <w:r w:rsidRPr="008F03E5">
        <w:t>Bakka (Bacca, Becca)</w:t>
      </w:r>
      <w:r w:rsidRPr="008F03E5">
        <w:tab/>
        <w:t>Bakka[h or t]</w:t>
      </w:r>
      <w:r w:rsidRPr="008F03E5">
        <w:tab/>
        <w:t xml:space="preserve">(verb) to crowd as in a bazaar.  Believed to be an ancient name of Mecca (the </w:t>
      </w:r>
      <w:r w:rsidRPr="008F03E5">
        <w:rPr>
          <w:i/>
          <w:iCs/>
        </w:rPr>
        <w:t>b</w:t>
      </w:r>
      <w:r w:rsidRPr="008F03E5">
        <w:t xml:space="preserve"> and </w:t>
      </w:r>
      <w:r w:rsidRPr="008F03E5">
        <w:rPr>
          <w:i/>
          <w:iCs/>
        </w:rPr>
        <w:t>m</w:t>
      </w:r>
      <w:r w:rsidRPr="008F03E5">
        <w:t xml:space="preserve"> were interchangeable in the Arabic used in that area at the time of Muḥammad), but Muslim scholars say Bakkah refers to the Ka‘ba and the sacred site immediately surrounding it (due to the crowding and congestion of people in the area), while Mecca is the name of the city in which they are both located.</w:t>
      </w:r>
    </w:p>
    <w:p w14:paraId="45172A92" w14:textId="77777777" w:rsidR="00625A5B" w:rsidRPr="008F03E5" w:rsidRDefault="00625A5B" w:rsidP="00CC4F1C">
      <w:pPr>
        <w:pStyle w:val="Translit"/>
      </w:pPr>
      <w:r w:rsidRPr="00CC4F1C">
        <w:t>Bakr, Bakra, Abkhur, Bukran</w:t>
      </w:r>
      <w:r w:rsidRPr="00CC4F1C">
        <w:tab/>
        <w:t xml:space="preserve">Bakr, fem. </w:t>
      </w:r>
      <w:r>
        <w:t>Bakra[h or t]</w:t>
      </w:r>
      <w:r>
        <w:tab/>
        <w:t>(</w:t>
      </w:r>
      <w:r w:rsidRPr="00CC4F1C">
        <w:t xml:space="preserve">pl. </w:t>
      </w:r>
      <w:r w:rsidRPr="008F03E5">
        <w:t>Abkur, Bukrán</w:t>
      </w:r>
      <w:r>
        <w:t xml:space="preserve">) </w:t>
      </w:r>
      <w:r w:rsidRPr="008F03E5">
        <w:t>young camel.  Caliph Abú-Bakr</w:t>
      </w:r>
      <w:r>
        <w:t>.</w:t>
      </w:r>
    </w:p>
    <w:p w14:paraId="24C8F9E2" w14:textId="77777777" w:rsidR="00625A5B" w:rsidRDefault="00625A5B" w:rsidP="00CC4F1C">
      <w:pPr>
        <w:pStyle w:val="Translit"/>
      </w:pPr>
      <w:r w:rsidRPr="008F03E5">
        <w:t>Bakri</w:t>
      </w:r>
      <w:r>
        <w:t>, Bakriyun</w:t>
      </w:r>
      <w:r w:rsidRPr="008F03E5">
        <w:tab/>
        <w:t>Bakrí</w:t>
      </w:r>
      <w:r>
        <w:t>, pl. Bakr</w:t>
      </w:r>
      <w:r w:rsidRPr="00F239ED">
        <w:t>í</w:t>
      </w:r>
      <w:r>
        <w:t>y</w:t>
      </w:r>
      <w:r w:rsidRPr="00CC4F1C">
        <w:t>ú</w:t>
      </w:r>
      <w:r>
        <w:t>n</w:t>
      </w:r>
      <w:r w:rsidRPr="008F03E5">
        <w:tab/>
        <w:t>follower of Abú-Bakr (i.e. traditionalist)</w:t>
      </w:r>
      <w:r>
        <w:t>, used by Shi‘as to refer to Sunnis.</w:t>
      </w:r>
    </w:p>
    <w:p w14:paraId="4D271A95" w14:textId="77777777" w:rsidR="00625A5B" w:rsidRPr="008F03E5" w:rsidRDefault="00625A5B" w:rsidP="00894818">
      <w:pPr>
        <w:pStyle w:val="Translit"/>
      </w:pPr>
      <w:r w:rsidRPr="008F03E5">
        <w:t>Bakshish</w:t>
      </w:r>
      <w:r w:rsidRPr="008F03E5">
        <w:tab/>
        <w:t>Bak</w:t>
      </w:r>
      <w:r w:rsidRPr="008F03E5">
        <w:rPr>
          <w:u w:val="single"/>
        </w:rPr>
        <w:t>sh</w:t>
      </w:r>
      <w:r w:rsidRPr="008F03E5">
        <w:t>í</w:t>
      </w:r>
      <w:r w:rsidRPr="008F03E5">
        <w:rPr>
          <w:u w:val="single"/>
        </w:rPr>
        <w:t>sh</w:t>
      </w:r>
      <w:r w:rsidRPr="008F03E5">
        <w:tab/>
        <w:t>Pers.  See Baq</w:t>
      </w:r>
      <w:r w:rsidRPr="008F03E5">
        <w:rPr>
          <w:u w:val="single"/>
        </w:rPr>
        <w:t>sh</w:t>
      </w:r>
      <w:r w:rsidRPr="008F03E5">
        <w:t>í</w:t>
      </w:r>
      <w:r w:rsidRPr="008F03E5">
        <w:rPr>
          <w:u w:val="single"/>
        </w:rPr>
        <w:t>sh</w:t>
      </w:r>
    </w:p>
    <w:p w14:paraId="7033AAE8" w14:textId="77777777" w:rsidR="00625A5B" w:rsidRPr="008F03E5" w:rsidRDefault="00625A5B" w:rsidP="00185340">
      <w:pPr>
        <w:pStyle w:val="Translit"/>
      </w:pPr>
      <w:r w:rsidRPr="008F03E5">
        <w:t>Baku (Bad-kubah, Badkubah)</w:t>
      </w:r>
      <w:r w:rsidRPr="008F03E5">
        <w:tab/>
        <w:t>Bákú</w:t>
      </w:r>
      <w:r w:rsidRPr="008F03E5">
        <w:tab/>
        <w:t>Baku, capital city of Azerbaijan.  The name is derived from the old Persian name for the city Bád-kúbah (or Bádkúbah), meaning “wind-beaten”, thus referring to a place where wind is strong and pounding.</w:t>
      </w:r>
    </w:p>
    <w:p w14:paraId="09306BE3" w14:textId="77777777" w:rsidR="00625A5B" w:rsidRPr="008F03E5" w:rsidRDefault="00625A5B" w:rsidP="008C363E">
      <w:pPr>
        <w:pStyle w:val="Translit"/>
      </w:pPr>
      <w:r w:rsidRPr="008F03E5">
        <w:t>Bakus (Bakos, Bacos, Bacus, Bakkos)</w:t>
      </w:r>
      <w:r w:rsidRPr="008F03E5">
        <w:tab/>
        <w:t>Bákús</w:t>
      </w:r>
      <w:r w:rsidRPr="008F03E5">
        <w:tab/>
        <w:t>suburb of Alexandria, Egypt.</w:t>
      </w:r>
    </w:p>
    <w:p w14:paraId="21A7A2A2" w14:textId="77777777" w:rsidR="00625A5B" w:rsidRPr="008F03E5" w:rsidRDefault="00625A5B" w:rsidP="006F3F28">
      <w:pPr>
        <w:pStyle w:val="Translit"/>
      </w:pPr>
      <w:r w:rsidRPr="008F03E5">
        <w:t>Bala</w:t>
      </w:r>
      <w:r w:rsidRPr="008F03E5">
        <w:tab/>
        <w:t>Bálá</w:t>
      </w:r>
      <w:r w:rsidRPr="008F03E5">
        <w:tab/>
        <w:t>upper, up, above, better quality or prestigious.  Where there are two nearby villages, it can be used to indicate one is above the other or is of a better quality.  See ‘ulyá, and contrast with pá’</w:t>
      </w:r>
      <w:r w:rsidRPr="006F3F28">
        <w:t>í</w:t>
      </w:r>
      <w:r w:rsidRPr="008F03E5">
        <w:t>n and suflá (asfal) (used for lower parts of villages)</w:t>
      </w:r>
    </w:p>
    <w:p w14:paraId="3716D90C" w14:textId="77777777" w:rsidR="00625A5B" w:rsidRPr="008F03E5" w:rsidRDefault="00625A5B" w:rsidP="00424EFA">
      <w:pPr>
        <w:pStyle w:val="Translit"/>
      </w:pPr>
      <w:r w:rsidRPr="00D45A23">
        <w:rPr>
          <w:lang w:val="it-IT"/>
        </w:rPr>
        <w:t>Bala, Balih (Bale)</w:t>
      </w:r>
      <w:r w:rsidRPr="00D45A23">
        <w:rPr>
          <w:lang w:val="it-IT"/>
        </w:rPr>
        <w:tab/>
        <w:t xml:space="preserve">Balá (Pers. </w:t>
      </w:r>
      <w:r w:rsidRPr="008F03E5">
        <w:t>Balih)</w:t>
      </w:r>
      <w:r w:rsidRPr="008F03E5">
        <w:tab/>
        <w:t>yes, yes indeed, certainly, surely</w:t>
      </w:r>
    </w:p>
    <w:p w14:paraId="0291840B" w14:textId="77777777" w:rsidR="00625A5B" w:rsidRPr="008F03E5" w:rsidRDefault="00625A5B" w:rsidP="00E16118">
      <w:pPr>
        <w:pStyle w:val="Translit"/>
      </w:pPr>
      <w:r w:rsidRPr="008F03E5">
        <w:t>Bala’</w:t>
      </w:r>
      <w:r w:rsidRPr="008F03E5">
        <w:tab/>
        <w:t>Bala’</w:t>
      </w:r>
      <w:r w:rsidRPr="008F03E5">
        <w:tab/>
        <w:t>to test, to afflict</w:t>
      </w:r>
    </w:p>
    <w:p w14:paraId="238355F1" w14:textId="77777777" w:rsidR="00625A5B" w:rsidRPr="008F03E5" w:rsidRDefault="00625A5B" w:rsidP="00BC7705">
      <w:pPr>
        <w:pStyle w:val="Translit"/>
      </w:pPr>
      <w:r w:rsidRPr="008F03E5">
        <w:t>Bala’</w:t>
      </w:r>
      <w:r w:rsidRPr="008F03E5">
        <w:tab/>
        <w:t>Balá’</w:t>
      </w:r>
      <w:r w:rsidRPr="008F03E5">
        <w:tab/>
        <w:t>trial, tribulation, visitation, affliction, distress, misfortune; scourge, plague; creditable performance, bravery, gallantry, heroic action</w:t>
      </w:r>
    </w:p>
    <w:p w14:paraId="0084BE06" w14:textId="77777777" w:rsidR="00625A5B" w:rsidRPr="008F03E5" w:rsidRDefault="00625A5B" w:rsidP="00B47814">
      <w:pPr>
        <w:pStyle w:val="Translit"/>
      </w:pPr>
      <w:r w:rsidRPr="008F03E5">
        <w:t>Balad, Bilad, Buldan</w:t>
      </w:r>
      <w:r w:rsidRPr="008F03E5">
        <w:tab/>
        <w:t>Balad m. and f., pl. Bilád, Buldán</w:t>
      </w:r>
      <w:r w:rsidRPr="008F03E5">
        <w:tab/>
        <w:t>country; town, city; place, community, village;—(pl. bilád) regions, habitations; provinces, territories; an inhabited country;—(pl. buldán) cities, countries.  bilád al-ḥaba</w:t>
      </w:r>
      <w:r w:rsidRPr="008F03E5">
        <w:rPr>
          <w:u w:val="single"/>
        </w:rPr>
        <w:t>sh</w:t>
      </w:r>
      <w:r w:rsidRPr="008F03E5">
        <w:t>, Ethiopia; bilád. aṣ-ṣín, China; bilád al-hind, India.</w:t>
      </w:r>
    </w:p>
    <w:p w14:paraId="7F7A8A86" w14:textId="77777777" w:rsidR="00625A5B" w:rsidRPr="008F03E5" w:rsidRDefault="00625A5B" w:rsidP="00E56A08">
      <w:pPr>
        <w:pStyle w:val="Translit"/>
      </w:pPr>
      <w:r w:rsidRPr="008F03E5">
        <w:t>Balada (Baladeh)</w:t>
      </w:r>
      <w:r w:rsidRPr="008F03E5">
        <w:tab/>
        <w:t>Balada</w:t>
      </w:r>
      <w:r w:rsidRPr="008F03E5">
        <w:tab/>
        <w:t xml:space="preserve">Pers. the first woman, eve.  A village (36.200139, 51.807656) 18 km west of Tákur.  The </w:t>
      </w:r>
      <w:r w:rsidRPr="008F03E5">
        <w:rPr>
          <w:lang w:eastAsia="en-US"/>
        </w:rPr>
        <w:t>family home of the prime minister, M</w:t>
      </w:r>
      <w:r w:rsidRPr="008F03E5">
        <w:t>í</w:t>
      </w:r>
      <w:r w:rsidRPr="008F03E5">
        <w:rPr>
          <w:lang w:eastAsia="en-US"/>
        </w:rPr>
        <w:t>rz</w:t>
      </w:r>
      <w:r w:rsidRPr="008F03E5">
        <w:t>á</w:t>
      </w:r>
      <w:r w:rsidRPr="008F03E5">
        <w:rPr>
          <w:lang w:eastAsia="en-US"/>
        </w:rPr>
        <w:t xml:space="preserve"> </w:t>
      </w:r>
      <w:r w:rsidRPr="008F03E5">
        <w:t>Á</w:t>
      </w:r>
      <w:r w:rsidRPr="008F03E5">
        <w:rPr>
          <w:lang w:eastAsia="en-US"/>
        </w:rPr>
        <w:t>q</w:t>
      </w:r>
      <w:r w:rsidRPr="008F03E5">
        <w:t>á</w:t>
      </w:r>
      <w:r w:rsidRPr="008F03E5">
        <w:rPr>
          <w:lang w:eastAsia="en-US"/>
        </w:rPr>
        <w:t xml:space="preserve"> </w:t>
      </w:r>
      <w:r w:rsidRPr="008F03E5">
        <w:rPr>
          <w:u w:val="single"/>
          <w:lang w:eastAsia="en-US"/>
        </w:rPr>
        <w:t>Kh</w:t>
      </w:r>
      <w:r w:rsidRPr="008F03E5">
        <w:t>á</w:t>
      </w:r>
      <w:r w:rsidRPr="008F03E5">
        <w:rPr>
          <w:lang w:eastAsia="en-US"/>
        </w:rPr>
        <w:t>n.</w:t>
      </w:r>
    </w:p>
    <w:p w14:paraId="1B21262D" w14:textId="77777777" w:rsidR="00625A5B" w:rsidRPr="008F03E5" w:rsidRDefault="00625A5B" w:rsidP="0069249C">
      <w:pPr>
        <w:pStyle w:val="Translit"/>
      </w:pPr>
      <w:r w:rsidRPr="008F03E5">
        <w:t>Baladu’l-Amin</w:t>
      </w:r>
      <w:r w:rsidRPr="008F03E5">
        <w:tab/>
        <w:t>Baladu’l-Amín</w:t>
      </w:r>
      <w:r w:rsidRPr="008F03E5">
        <w:tab/>
        <w:t>“protected land” or “safe city”, i.e. Makkah</w:t>
      </w:r>
    </w:p>
    <w:p w14:paraId="61C25626" w14:textId="77777777" w:rsidR="00625A5B" w:rsidRPr="008F03E5" w:rsidRDefault="00625A5B" w:rsidP="003B3FA5">
      <w:pPr>
        <w:pStyle w:val="Translit"/>
      </w:pPr>
      <w:r w:rsidRPr="008F03E5">
        <w:t>Balagh, Balagha, Balaghat</w:t>
      </w:r>
      <w:r w:rsidRPr="008F03E5">
        <w:tab/>
        <w:t>Balá</w:t>
      </w:r>
      <w:r w:rsidRPr="008F03E5">
        <w:rPr>
          <w:u w:val="single"/>
        </w:rPr>
        <w:t>gh</w:t>
      </w:r>
      <w:r w:rsidRPr="008F03E5">
        <w:t>, fem. Balá</w:t>
      </w:r>
      <w:r w:rsidRPr="008F03E5">
        <w:rPr>
          <w:u w:val="single"/>
        </w:rPr>
        <w:t>gh</w:t>
      </w:r>
      <w:r w:rsidRPr="008F03E5">
        <w:t>a[h], pl. Balá</w:t>
      </w:r>
      <w:r w:rsidRPr="008F03E5">
        <w:rPr>
          <w:u w:val="single"/>
        </w:rPr>
        <w:t>gh</w:t>
      </w:r>
      <w:r w:rsidRPr="008F03E5">
        <w:t>át</w:t>
      </w:r>
      <w:r w:rsidRPr="008F03E5">
        <w:tab/>
        <w:t>communication, information, message, report; announcement, proclamation; communiqué; statement; notification (of the police).  Balá</w:t>
      </w:r>
      <w:r w:rsidRPr="008F03E5">
        <w:rPr>
          <w:u w:val="single"/>
        </w:rPr>
        <w:t>gh</w:t>
      </w:r>
      <w:r w:rsidRPr="008F03E5">
        <w:t>a eloquence; art, of good style, art of composition; literature.</w:t>
      </w:r>
    </w:p>
    <w:p w14:paraId="776FECC8" w14:textId="77777777" w:rsidR="00625A5B" w:rsidRPr="008F03E5" w:rsidRDefault="00625A5B" w:rsidP="00B814DF">
      <w:pPr>
        <w:pStyle w:val="Translit"/>
      </w:pPr>
      <w:r w:rsidRPr="008F03E5">
        <w:t>Balah (Balih, Baleh), Bali (Bale)</w:t>
      </w:r>
      <w:r w:rsidRPr="008F03E5">
        <w:tab/>
        <w:t>Balah (Balí)</w:t>
      </w:r>
      <w:r w:rsidRPr="008F03E5">
        <w:tab/>
        <w:t>Pers. yes</w:t>
      </w:r>
    </w:p>
    <w:p w14:paraId="1BDBB3F6" w14:textId="77777777" w:rsidR="00625A5B" w:rsidRPr="008F03E5" w:rsidRDefault="00625A5B" w:rsidP="00CC7108">
      <w:pPr>
        <w:pStyle w:val="Translit"/>
        <w:rPr>
          <w:rFonts w:eastAsia="PMingLiU"/>
          <w:lang w:eastAsia="zh-TW"/>
        </w:rPr>
      </w:pPr>
      <w:r w:rsidRPr="008F03E5">
        <w:rPr>
          <w:rFonts w:eastAsia="PMingLiU"/>
          <w:lang w:eastAsia="zh-TW"/>
        </w:rPr>
        <w:t>B</w:t>
      </w:r>
      <w:r w:rsidRPr="008F03E5">
        <w:t>a</w:t>
      </w:r>
      <w:r w:rsidRPr="008F03E5">
        <w:rPr>
          <w:rFonts w:eastAsia="PMingLiU"/>
          <w:lang w:eastAsia="zh-TW"/>
        </w:rPr>
        <w:t>l</w:t>
      </w:r>
      <w:r w:rsidRPr="008F03E5">
        <w:t>a</w:t>
      </w:r>
      <w:r w:rsidRPr="008F03E5">
        <w:rPr>
          <w:rFonts w:eastAsia="PMingLiU"/>
          <w:lang w:eastAsia="zh-TW"/>
        </w:rPr>
        <w:t>-Kh</w:t>
      </w:r>
      <w:r w:rsidRPr="008F03E5">
        <w:t>a</w:t>
      </w:r>
      <w:r w:rsidRPr="008F03E5">
        <w:rPr>
          <w:rFonts w:eastAsia="PMingLiU"/>
          <w:lang w:eastAsia="zh-TW"/>
        </w:rPr>
        <w:t>n</w:t>
      </w:r>
      <w:r>
        <w:rPr>
          <w:rFonts w:eastAsia="PMingLiU"/>
          <w:lang w:eastAsia="zh-TW"/>
        </w:rPr>
        <w:t>a</w:t>
      </w:r>
      <w:r w:rsidRPr="008F03E5">
        <w:rPr>
          <w:rFonts w:eastAsia="PMingLiU"/>
          <w:lang w:eastAsia="zh-TW"/>
        </w:rPr>
        <w:t xml:space="preserve"> </w:t>
      </w:r>
      <w:r>
        <w:rPr>
          <w:rFonts w:eastAsia="PMingLiU"/>
          <w:lang w:eastAsia="zh-TW"/>
        </w:rPr>
        <w:t>(</w:t>
      </w:r>
      <w:r w:rsidRPr="008F03E5">
        <w:rPr>
          <w:rFonts w:eastAsia="PMingLiU"/>
          <w:lang w:eastAsia="zh-TW"/>
        </w:rPr>
        <w:t>B</w:t>
      </w:r>
      <w:r w:rsidRPr="008F03E5">
        <w:t>a</w:t>
      </w:r>
      <w:r w:rsidRPr="008F03E5">
        <w:rPr>
          <w:rFonts w:eastAsia="PMingLiU"/>
          <w:lang w:eastAsia="zh-TW"/>
        </w:rPr>
        <w:t>l</w:t>
      </w:r>
      <w:r w:rsidRPr="008F03E5">
        <w:t>a</w:t>
      </w:r>
      <w:r w:rsidRPr="008F03E5">
        <w:rPr>
          <w:rFonts w:eastAsia="PMingLiU"/>
          <w:lang w:eastAsia="zh-TW"/>
        </w:rPr>
        <w:t>-Kh</w:t>
      </w:r>
      <w:r w:rsidRPr="008F03E5">
        <w:t>a</w:t>
      </w:r>
      <w:r w:rsidRPr="008F03E5">
        <w:rPr>
          <w:rFonts w:eastAsia="PMingLiU"/>
          <w:lang w:eastAsia="zh-TW"/>
        </w:rPr>
        <w:t>nih</w:t>
      </w:r>
      <w:r>
        <w:rPr>
          <w:rFonts w:eastAsia="PMingLiU"/>
          <w:lang w:eastAsia="zh-TW"/>
        </w:rPr>
        <w:t>)</w:t>
      </w:r>
      <w:r w:rsidRPr="008F03E5">
        <w:tab/>
      </w:r>
      <w:r w:rsidRPr="008F03E5">
        <w:rPr>
          <w:rFonts w:eastAsia="PMingLiU"/>
          <w:lang w:eastAsia="zh-TW"/>
        </w:rPr>
        <w:t>B</w:t>
      </w:r>
      <w:r w:rsidRPr="008F03E5">
        <w:t>á</w:t>
      </w:r>
      <w:r w:rsidRPr="008F03E5">
        <w:rPr>
          <w:rFonts w:eastAsia="PMingLiU"/>
          <w:lang w:eastAsia="zh-TW"/>
        </w:rPr>
        <w:t>l</w:t>
      </w:r>
      <w:r w:rsidRPr="008F03E5">
        <w:t>á</w:t>
      </w:r>
      <w:r w:rsidRPr="008F03E5">
        <w:rPr>
          <w:rFonts w:eastAsia="PMingLiU"/>
          <w:lang w:eastAsia="zh-TW"/>
        </w:rPr>
        <w:t>-</w:t>
      </w:r>
      <w:r w:rsidRPr="008F03E5">
        <w:rPr>
          <w:u w:val="single"/>
        </w:rPr>
        <w:t>Kh</w:t>
      </w:r>
      <w:r w:rsidRPr="008F03E5">
        <w:t>á</w:t>
      </w:r>
      <w:r w:rsidRPr="008F03E5">
        <w:rPr>
          <w:rFonts w:eastAsia="PMingLiU"/>
          <w:lang w:eastAsia="zh-TW"/>
        </w:rPr>
        <w:t>n</w:t>
      </w:r>
      <w:r>
        <w:rPr>
          <w:rFonts w:eastAsia="PMingLiU"/>
          <w:lang w:eastAsia="zh-TW"/>
        </w:rPr>
        <w:t>a</w:t>
      </w:r>
      <w:r w:rsidRPr="008F03E5">
        <w:tab/>
        <w:t>balcony</w:t>
      </w:r>
      <w:r>
        <w:t>, attic, loft</w:t>
      </w:r>
    </w:p>
    <w:p w14:paraId="5693AF38" w14:textId="77777777" w:rsidR="00625A5B" w:rsidRPr="008F03E5" w:rsidRDefault="00625A5B" w:rsidP="007D1276">
      <w:pPr>
        <w:pStyle w:val="Translit"/>
        <w:rPr>
          <w:rFonts w:eastAsia="PMingLiU"/>
          <w:lang w:eastAsia="zh-TW"/>
        </w:rPr>
      </w:pPr>
      <w:r w:rsidRPr="008F03E5">
        <w:rPr>
          <w:rFonts w:eastAsia="PMingLiU"/>
          <w:lang w:eastAsia="zh-TW"/>
        </w:rPr>
        <w:t>B</w:t>
      </w:r>
      <w:r w:rsidRPr="008F03E5">
        <w:t>a</w:t>
      </w:r>
      <w:r w:rsidRPr="008F03E5">
        <w:rPr>
          <w:rFonts w:eastAsia="PMingLiU"/>
          <w:lang w:eastAsia="zh-TW"/>
        </w:rPr>
        <w:t>l</w:t>
      </w:r>
      <w:r w:rsidRPr="008F03E5">
        <w:t>a</w:t>
      </w:r>
      <w:r w:rsidRPr="008F03E5">
        <w:rPr>
          <w:rFonts w:eastAsia="PMingLiU"/>
          <w:lang w:eastAsia="zh-TW"/>
        </w:rPr>
        <w:t>-Kh</w:t>
      </w:r>
      <w:r w:rsidRPr="008F03E5">
        <w:t>i</w:t>
      </w:r>
      <w:r w:rsidRPr="008F03E5">
        <w:rPr>
          <w:rFonts w:eastAsia="PMingLiU"/>
          <w:lang w:eastAsia="zh-TW"/>
        </w:rPr>
        <w:t>y</w:t>
      </w:r>
      <w:r w:rsidRPr="008F03E5">
        <w:t>a</w:t>
      </w:r>
      <w:r w:rsidRPr="008F03E5">
        <w:rPr>
          <w:rFonts w:eastAsia="PMingLiU"/>
          <w:lang w:eastAsia="zh-TW"/>
        </w:rPr>
        <w:t>b</w:t>
      </w:r>
      <w:r w:rsidRPr="008F03E5">
        <w:t>a</w:t>
      </w:r>
      <w:r w:rsidRPr="008F03E5">
        <w:rPr>
          <w:rFonts w:eastAsia="PMingLiU"/>
          <w:lang w:eastAsia="zh-TW"/>
        </w:rPr>
        <w:t>n</w:t>
      </w:r>
      <w:r w:rsidRPr="008F03E5">
        <w:tab/>
      </w:r>
      <w:r w:rsidRPr="008F03E5">
        <w:rPr>
          <w:rFonts w:eastAsia="PMingLiU"/>
          <w:lang w:eastAsia="zh-TW"/>
        </w:rPr>
        <w:t>B</w:t>
      </w:r>
      <w:r w:rsidRPr="008F03E5">
        <w:t>á</w:t>
      </w:r>
      <w:r w:rsidRPr="008F03E5">
        <w:rPr>
          <w:rFonts w:eastAsia="PMingLiU"/>
          <w:lang w:eastAsia="zh-TW"/>
        </w:rPr>
        <w:t>l</w:t>
      </w:r>
      <w:r w:rsidRPr="008F03E5">
        <w:t>á</w:t>
      </w:r>
      <w:r w:rsidRPr="008F03E5">
        <w:rPr>
          <w:rFonts w:eastAsia="PMingLiU"/>
          <w:lang w:eastAsia="zh-TW"/>
        </w:rPr>
        <w:t>-</w:t>
      </w:r>
      <w:r w:rsidRPr="008F03E5">
        <w:rPr>
          <w:u w:val="single"/>
        </w:rPr>
        <w:t>Kh</w:t>
      </w:r>
      <w:r w:rsidRPr="008F03E5">
        <w:t>í</w:t>
      </w:r>
      <w:r w:rsidRPr="008F03E5">
        <w:rPr>
          <w:rFonts w:eastAsia="PMingLiU"/>
          <w:lang w:eastAsia="zh-TW"/>
        </w:rPr>
        <w:t>y</w:t>
      </w:r>
      <w:r w:rsidRPr="008F03E5">
        <w:t>á</w:t>
      </w:r>
      <w:r w:rsidRPr="008F03E5">
        <w:rPr>
          <w:rFonts w:eastAsia="PMingLiU"/>
          <w:lang w:eastAsia="zh-TW"/>
        </w:rPr>
        <w:t>b</w:t>
      </w:r>
      <w:r w:rsidRPr="008F03E5">
        <w:t>á</w:t>
      </w:r>
      <w:r w:rsidRPr="008F03E5">
        <w:rPr>
          <w:rFonts w:eastAsia="PMingLiU"/>
          <w:lang w:eastAsia="zh-TW"/>
        </w:rPr>
        <w:t>n</w:t>
      </w:r>
      <w:r w:rsidRPr="008F03E5">
        <w:tab/>
        <w:t>a neighbourhood (36.293903, 59.612958) in Ma</w:t>
      </w:r>
      <w:r w:rsidRPr="008F03E5">
        <w:rPr>
          <w:u w:val="single"/>
        </w:rPr>
        <w:t>sh</w:t>
      </w:r>
      <w:r w:rsidRPr="008F03E5">
        <w:t>had</w:t>
      </w:r>
    </w:p>
    <w:p w14:paraId="7AB5E2CA" w14:textId="77777777" w:rsidR="00625A5B" w:rsidRPr="008F03E5" w:rsidRDefault="00625A5B" w:rsidP="00651173">
      <w:pPr>
        <w:pStyle w:val="Translit"/>
      </w:pPr>
      <w:r w:rsidRPr="008F03E5">
        <w:t>Balal</w:t>
      </w:r>
      <w:r w:rsidRPr="008F03E5">
        <w:tab/>
        <w:t>Balál</w:t>
      </w:r>
      <w:r w:rsidRPr="008F03E5">
        <w:tab/>
        <w:t>Pers. moisture, humidity, freshness (of youth or young plants); water</w:t>
      </w:r>
    </w:p>
    <w:p w14:paraId="2ECA4B5B" w14:textId="77777777" w:rsidR="00625A5B" w:rsidRPr="008F03E5" w:rsidRDefault="00625A5B" w:rsidP="002755A2">
      <w:pPr>
        <w:pStyle w:val="Translit"/>
      </w:pPr>
      <w:r w:rsidRPr="008F03E5">
        <w:rPr>
          <w:rFonts w:eastAsia="PMingLiU"/>
          <w:lang w:eastAsia="zh-TW"/>
        </w:rPr>
        <w:t>B</w:t>
      </w:r>
      <w:r w:rsidRPr="008F03E5">
        <w:t>a</w:t>
      </w:r>
      <w:r w:rsidRPr="008F03E5">
        <w:rPr>
          <w:rFonts w:eastAsia="PMingLiU"/>
          <w:lang w:eastAsia="zh-TW"/>
        </w:rPr>
        <w:t>l</w:t>
      </w:r>
      <w:r w:rsidRPr="008F03E5">
        <w:t>a</w:t>
      </w:r>
      <w:r w:rsidRPr="008F03E5">
        <w:rPr>
          <w:rFonts w:eastAsia="PMingLiU"/>
          <w:lang w:eastAsia="zh-TW"/>
        </w:rPr>
        <w:t>-Rast</w:t>
      </w:r>
      <w:r w:rsidRPr="008F03E5">
        <w:t>a</w:t>
      </w:r>
      <w:r w:rsidRPr="008F03E5">
        <w:rPr>
          <w:rFonts w:eastAsia="PMingLiU"/>
          <w:lang w:eastAsia="zh-TW"/>
        </w:rPr>
        <w:t>q</w:t>
      </w:r>
      <w:r w:rsidRPr="008F03E5">
        <w:tab/>
      </w:r>
      <w:r w:rsidRPr="008F03E5">
        <w:rPr>
          <w:rFonts w:eastAsia="PMingLiU"/>
          <w:lang w:eastAsia="zh-TW"/>
        </w:rPr>
        <w:t>B</w:t>
      </w:r>
      <w:r w:rsidRPr="008F03E5">
        <w:t>á</w:t>
      </w:r>
      <w:r w:rsidRPr="008F03E5">
        <w:rPr>
          <w:rFonts w:eastAsia="PMingLiU"/>
          <w:lang w:eastAsia="zh-TW"/>
        </w:rPr>
        <w:t>l</w:t>
      </w:r>
      <w:r w:rsidRPr="008F03E5">
        <w:t>á</w:t>
      </w:r>
      <w:r w:rsidRPr="008F03E5">
        <w:rPr>
          <w:rFonts w:eastAsia="PMingLiU"/>
          <w:lang w:eastAsia="zh-TW"/>
        </w:rPr>
        <w:t>-Rast</w:t>
      </w:r>
      <w:r w:rsidRPr="008F03E5">
        <w:t>á</w:t>
      </w:r>
      <w:r w:rsidRPr="008F03E5">
        <w:rPr>
          <w:rFonts w:eastAsia="PMingLiU"/>
          <w:lang w:eastAsia="zh-TW"/>
        </w:rPr>
        <w:t>q</w:t>
      </w:r>
      <w:r w:rsidRPr="008F03E5">
        <w:tab/>
        <w:t>a village in Iran</w:t>
      </w:r>
    </w:p>
    <w:p w14:paraId="21B9B229" w14:textId="77777777" w:rsidR="00625A5B" w:rsidRPr="008F03E5" w:rsidRDefault="00625A5B" w:rsidP="00936B64">
      <w:pPr>
        <w:pStyle w:val="Translit"/>
      </w:pPr>
      <w:r w:rsidRPr="002016C0">
        <w:t>Bala-Sari, Balasari, Balasariyun</w:t>
      </w:r>
      <w:r w:rsidRPr="002016C0">
        <w:tab/>
        <w:t xml:space="preserve">Bálá-Sarí, Bálásarí, pl. </w:t>
      </w:r>
      <w:r w:rsidRPr="008F03E5">
        <w:t>Bálásaríyún</w:t>
      </w:r>
      <w:r w:rsidRPr="008F03E5">
        <w:tab/>
        <w:t>Pers. “above the head”.  A term used by Shaykhis (</w:t>
      </w:r>
      <w:r w:rsidRPr="008F03E5">
        <w:rPr>
          <w:u w:val="single"/>
        </w:rPr>
        <w:t>Sh</w:t>
      </w:r>
      <w:r w:rsidRPr="008F03E5">
        <w:t>ay</w:t>
      </w:r>
      <w:r w:rsidRPr="008F03E5">
        <w:rPr>
          <w:u w:val="single"/>
        </w:rPr>
        <w:t>kh</w:t>
      </w:r>
      <w:r w:rsidRPr="008F03E5">
        <w:t xml:space="preserve">í followers) to distinguish ordinary (later only those hostile to the Shaykhis) Shi’ites (the Bálá-Sarí—those who pray standing at the head of the Imam while facing the Qiblih; i.e. with their backs to the Imám) from members of their own sect—they preferred to call themselves </w:t>
      </w:r>
      <w:r w:rsidRPr="008F03E5">
        <w:rPr>
          <w:lang w:eastAsia="en-US"/>
        </w:rPr>
        <w:t>Ka</w:t>
      </w:r>
      <w:r w:rsidRPr="008F03E5">
        <w:rPr>
          <w:u w:val="single"/>
          <w:lang w:eastAsia="en-US"/>
        </w:rPr>
        <w:t>sh</w:t>
      </w:r>
      <w:r w:rsidRPr="008F03E5">
        <w:rPr>
          <w:lang w:eastAsia="en-US"/>
        </w:rPr>
        <w:t>fíya</w:t>
      </w:r>
      <w:r w:rsidRPr="008F03E5">
        <w:t xml:space="preserve"> (“those who reveal”) or the Pu</w:t>
      </w:r>
      <w:r w:rsidRPr="008F03E5">
        <w:rPr>
          <w:u w:val="single"/>
        </w:rPr>
        <w:t>sh</w:t>
      </w:r>
      <w:r w:rsidRPr="008F03E5">
        <w:t>t-sarí (“behind the head” [of the Imám]).  Persians may use bálásarí-há (balasari-ha).</w:t>
      </w:r>
    </w:p>
    <w:p w14:paraId="6BF48909" w14:textId="77777777" w:rsidR="00625A5B" w:rsidRPr="008F03E5" w:rsidRDefault="00625A5B" w:rsidP="00936B64">
      <w:pPr>
        <w:pStyle w:val="Translit"/>
      </w:pPr>
      <w:r w:rsidRPr="002B1456">
        <w:t>Balat, Balata, Ablita</w:t>
      </w:r>
      <w:r w:rsidRPr="002B1456">
        <w:tab/>
        <w:t xml:space="preserve">Baláṭ, fem. </w:t>
      </w:r>
      <w:r w:rsidRPr="008F03E5">
        <w:t>Baláṭa, pl. Abliṭa[h]</w:t>
      </w:r>
      <w:r w:rsidRPr="008F03E5">
        <w:tab/>
        <w:t>pavement, tiled floor; floor tiles; palace;—pl. floor tiles.  Tall Baláṭa (Nablus, West Bank) is believed to be the site of Sychar (or Shechem).</w:t>
      </w:r>
    </w:p>
    <w:p w14:paraId="1F3A1CAD" w14:textId="77777777" w:rsidR="00625A5B" w:rsidRPr="008F03E5" w:rsidRDefault="00625A5B" w:rsidP="00A32D5E">
      <w:pPr>
        <w:pStyle w:val="Translit"/>
      </w:pPr>
      <w:r w:rsidRPr="008F03E5">
        <w:t>Balinus</w:t>
      </w:r>
      <w:r w:rsidRPr="008F03E5">
        <w:tab/>
        <w:t>Bálinus</w:t>
      </w:r>
      <w:r w:rsidRPr="008F03E5">
        <w:tab/>
        <w:t>Apollonius was also known as Bálinus</w:t>
      </w:r>
    </w:p>
    <w:p w14:paraId="136ADCD0" w14:textId="77777777" w:rsidR="00625A5B" w:rsidRPr="008F03E5" w:rsidRDefault="00625A5B" w:rsidP="00D76127">
      <w:pPr>
        <w:pStyle w:val="Translit"/>
      </w:pPr>
      <w:r w:rsidRPr="008F03E5">
        <w:t>Balkh</w:t>
      </w:r>
      <w:r w:rsidRPr="008F03E5">
        <w:tab/>
        <w:t>Bal</w:t>
      </w:r>
      <w:r w:rsidRPr="008F03E5">
        <w:rPr>
          <w:u w:val="single"/>
        </w:rPr>
        <w:t>kh</w:t>
      </w:r>
      <w:r w:rsidRPr="008F03E5">
        <w:tab/>
        <w:t xml:space="preserve">city (formerly Bámí; 36.758235, 66.898352) and province in Afghanistan.  The city is in what was Ancient or Greater </w:t>
      </w:r>
      <w:r w:rsidRPr="008F03E5">
        <w:rPr>
          <w:u w:val="single"/>
        </w:rPr>
        <w:t>Kh</w:t>
      </w:r>
      <w:r w:rsidRPr="008F03E5">
        <w:t>urásán, a historical eastern region in the Iranian Plateau between Western and Central Asia.</w:t>
      </w:r>
    </w:p>
    <w:p w14:paraId="05A5C160" w14:textId="77777777" w:rsidR="00625A5B" w:rsidRPr="008F03E5" w:rsidRDefault="00625A5B" w:rsidP="00DF7B82">
      <w:pPr>
        <w:pStyle w:val="Translit"/>
      </w:pPr>
      <w:r w:rsidRPr="008F03E5">
        <w:t>Ballur, Billaur, Bulur</w:t>
      </w:r>
      <w:r w:rsidRPr="008F03E5">
        <w:tab/>
        <w:t>Ballúr, Billaur, Bulúr</w:t>
      </w:r>
      <w:r w:rsidRPr="008F03E5">
        <w:tab/>
        <w:t>Pers. crystal; beryl</w:t>
      </w:r>
    </w:p>
    <w:p w14:paraId="42F840FD" w14:textId="77777777" w:rsidR="00625A5B" w:rsidRPr="008F03E5" w:rsidRDefault="00625A5B" w:rsidP="00E21CA7">
      <w:pPr>
        <w:pStyle w:val="Translit"/>
      </w:pPr>
      <w:r w:rsidRPr="008F03E5">
        <w:t>Baluch</w:t>
      </w:r>
      <w:r w:rsidRPr="008F03E5">
        <w:tab/>
        <w:t>Balú</w:t>
      </w:r>
      <w:r w:rsidRPr="008F03E5">
        <w:rPr>
          <w:u w:val="single"/>
        </w:rPr>
        <w:t>ch</w:t>
      </w:r>
      <w:r w:rsidRPr="008F03E5">
        <w:tab/>
        <w:t>Iranian tribe who live mainly in the Balochistan region of the southeastern-most edge of the Iranian plateau in Pakistan, Iran, and Afghanistan.</w:t>
      </w:r>
    </w:p>
    <w:p w14:paraId="48E1FDD4" w14:textId="77777777" w:rsidR="00625A5B" w:rsidRPr="008F03E5" w:rsidRDefault="00625A5B" w:rsidP="00900A82">
      <w:pPr>
        <w:pStyle w:val="Translit"/>
      </w:pPr>
      <w:r w:rsidRPr="008F03E5">
        <w:t>Baluchistan</w:t>
      </w:r>
      <w:r w:rsidRPr="008F03E5">
        <w:tab/>
        <w:t>Balú</w:t>
      </w:r>
      <w:r w:rsidRPr="008F03E5">
        <w:rPr>
          <w:u w:val="single"/>
        </w:rPr>
        <w:t>ch</w:t>
      </w:r>
      <w:r w:rsidRPr="008F03E5">
        <w:t>istán</w:t>
      </w:r>
      <w:r w:rsidRPr="008F03E5">
        <w:tab/>
      </w:r>
      <w:r w:rsidRPr="008F03E5">
        <w:rPr>
          <w:sz w:val="16"/>
          <w:szCs w:val="16"/>
        </w:rPr>
        <w:t>SW</w:t>
      </w:r>
      <w:r w:rsidRPr="008F03E5">
        <w:t xml:space="preserve"> province of Pakistan</w:t>
      </w:r>
    </w:p>
    <w:p w14:paraId="20D398A4" w14:textId="77777777" w:rsidR="00625A5B" w:rsidRPr="00077779" w:rsidRDefault="00625A5B" w:rsidP="00157B68">
      <w:pPr>
        <w:pStyle w:val="Translit"/>
      </w:pPr>
      <w:r w:rsidRPr="00077779">
        <w:t>Baluz, Baluza, Baluzat</w:t>
      </w:r>
      <w:r w:rsidRPr="00077779">
        <w:tab/>
        <w:t>Balúz, Balúza, pl. Balúzát</w:t>
      </w:r>
      <w:r w:rsidRPr="00077779">
        <w:tab/>
        <w:t>blouse</w:t>
      </w:r>
    </w:p>
    <w:p w14:paraId="70939142" w14:textId="77777777" w:rsidR="00625A5B" w:rsidRPr="00077779" w:rsidRDefault="00625A5B" w:rsidP="00A93FCF">
      <w:pPr>
        <w:pStyle w:val="Translit"/>
      </w:pPr>
      <w:r w:rsidRPr="00077779">
        <w:t>Balyuz</w:t>
      </w:r>
      <w:r w:rsidRPr="00077779">
        <w:tab/>
        <w:t>Bályúz</w:t>
      </w:r>
      <w:r w:rsidRPr="00077779">
        <w:tab/>
        <w:t>said to derive through Turkish (from Balius, Baylus (</w:t>
      </w:r>
      <w:r w:rsidRPr="008F03E5">
        <w:rPr>
          <w:rtl/>
        </w:rPr>
        <w:t>بالیوز</w:t>
      </w:r>
      <w:r w:rsidRPr="008F03E5">
        <w:rPr>
          <w:cs/>
        </w:rPr>
        <w:t>‎</w:t>
      </w:r>
      <w:r w:rsidRPr="00077779">
        <w:t>, “balyoz”) and Baliuz) from Venetian Italian balio (or bailo, meaning governor, later ambassador), which is derived from Latin (bájulus, pl. bájulí:  porter, carrier; manager, steward, bailiff; administrator)</w:t>
      </w:r>
    </w:p>
    <w:p w14:paraId="68388E54" w14:textId="77777777" w:rsidR="00625A5B" w:rsidRPr="00077779" w:rsidRDefault="00625A5B" w:rsidP="003464C7">
      <w:pPr>
        <w:pStyle w:val="Translit"/>
      </w:pPr>
      <w:r w:rsidRPr="00077779">
        <w:t>Balyuzi</w:t>
      </w:r>
      <w:r w:rsidRPr="00077779">
        <w:tab/>
        <w:t>Bályúzí</w:t>
      </w:r>
      <w:r w:rsidRPr="00077779">
        <w:tab/>
        <w:t>Ḥasan Muwaqqar Bályúzí (1908–1980)</w:t>
      </w:r>
    </w:p>
    <w:p w14:paraId="5CB9285F" w14:textId="77777777" w:rsidR="00625A5B" w:rsidRPr="008F03E5" w:rsidRDefault="00625A5B" w:rsidP="00DF7B82">
      <w:pPr>
        <w:pStyle w:val="Translit"/>
      </w:pPr>
      <w:r w:rsidRPr="008F03E5">
        <w:t>Bamdad, Bamdadan</w:t>
      </w:r>
      <w:r w:rsidRPr="008F03E5">
        <w:tab/>
        <w:t>Bámdád, Bámdádán</w:t>
      </w:r>
      <w:r w:rsidRPr="008F03E5">
        <w:tab/>
        <w:t>Pers. early morning</w:t>
      </w:r>
    </w:p>
    <w:p w14:paraId="464EA804" w14:textId="77777777" w:rsidR="00625A5B" w:rsidRPr="008F03E5" w:rsidRDefault="00625A5B" w:rsidP="00283210">
      <w:pPr>
        <w:pStyle w:val="Translit"/>
      </w:pPr>
      <w:r w:rsidRPr="008F03E5">
        <w:t>Bana, Bayan</w:t>
      </w:r>
      <w:r w:rsidRPr="008F03E5">
        <w:tab/>
        <w:t>Bána (Bayán)</w:t>
      </w:r>
      <w:r w:rsidRPr="008F03E5">
        <w:tab/>
        <w:t>to be or become plain, evident, come out, come to light; to be clear (to someone)</w:t>
      </w:r>
    </w:p>
    <w:p w14:paraId="529083AF" w14:textId="77777777" w:rsidR="00625A5B" w:rsidRPr="008F03E5" w:rsidRDefault="00625A5B" w:rsidP="00551A3F">
      <w:pPr>
        <w:pStyle w:val="Translit"/>
      </w:pPr>
      <w:r w:rsidRPr="008F03E5">
        <w:t>Banadak Sadat</w:t>
      </w:r>
      <w:r w:rsidRPr="008F03E5">
        <w:tab/>
        <w:t>Banádak Sádát</w:t>
      </w:r>
      <w:r w:rsidRPr="008F03E5">
        <w:tab/>
        <w:t xml:space="preserve">village </w:t>
      </w:r>
      <w:r>
        <w:t>(</w:t>
      </w:r>
      <w:r w:rsidRPr="00551A3F">
        <w:t>31.574338, 54.206706</w:t>
      </w:r>
      <w:r>
        <w:t xml:space="preserve">) </w:t>
      </w:r>
      <w:r w:rsidRPr="008F03E5">
        <w:t>40 km south Yazd</w:t>
      </w:r>
    </w:p>
    <w:p w14:paraId="0D18AF70" w14:textId="77777777" w:rsidR="00625A5B" w:rsidRPr="008F03E5" w:rsidRDefault="00625A5B" w:rsidP="00AA0280">
      <w:pPr>
        <w:pStyle w:val="Translit"/>
      </w:pPr>
      <w:r w:rsidRPr="008F03E5">
        <w:t>Banan</w:t>
      </w:r>
      <w:r w:rsidRPr="008F03E5">
        <w:tab/>
        <w:t>Banán</w:t>
      </w:r>
      <w:r w:rsidRPr="008F03E5">
        <w:tab/>
        <w:t>finger tips</w:t>
      </w:r>
    </w:p>
    <w:p w14:paraId="070F0D85" w14:textId="77777777" w:rsidR="00625A5B" w:rsidRPr="008F03E5" w:rsidRDefault="00625A5B" w:rsidP="002F7E21">
      <w:pPr>
        <w:pStyle w:val="Translit"/>
      </w:pPr>
      <w:r w:rsidRPr="008F03E5">
        <w:t>Banani</w:t>
      </w:r>
      <w:r w:rsidRPr="008F03E5">
        <w:tab/>
        <w:t>Banání</w:t>
      </w:r>
      <w:r w:rsidRPr="008F03E5">
        <w:tab/>
        <w:t>Hand of the Cause Músá Banání, and wife Samíḥih</w:t>
      </w:r>
    </w:p>
    <w:p w14:paraId="678652C6" w14:textId="77777777" w:rsidR="00625A5B" w:rsidRPr="00DB0486" w:rsidRDefault="00625A5B" w:rsidP="00DB0486">
      <w:pPr>
        <w:pStyle w:val="Translit"/>
        <w:rPr>
          <w:lang w:val="en-AU"/>
        </w:rPr>
      </w:pPr>
      <w:r w:rsidRPr="00DB0486">
        <w:rPr>
          <w:lang w:val="en-AU"/>
        </w:rPr>
        <w:t>Band Amir</w:t>
      </w:r>
      <w:r>
        <w:rPr>
          <w:lang w:val="en-AU"/>
        </w:rPr>
        <w:t xml:space="preserve"> (Band-e Amir)</w:t>
      </w:r>
      <w:r w:rsidRPr="00DB0486">
        <w:rPr>
          <w:lang w:val="en-AU"/>
        </w:rPr>
        <w:tab/>
        <w:t>Band</w:t>
      </w:r>
      <w:r>
        <w:rPr>
          <w:lang w:val="en-AU"/>
        </w:rPr>
        <w:t xml:space="preserve"> </w:t>
      </w:r>
      <w:r w:rsidRPr="00DB0486">
        <w:rPr>
          <w:lang w:val="en-AU"/>
        </w:rPr>
        <w:t>Am</w:t>
      </w:r>
      <w:r w:rsidRPr="00DB0486">
        <w:t>í</w:t>
      </w:r>
      <w:r w:rsidRPr="00DB0486">
        <w:rPr>
          <w:lang w:val="en-AU"/>
        </w:rPr>
        <w:t>r</w:t>
      </w:r>
      <w:r w:rsidRPr="00DB0486">
        <w:rPr>
          <w:lang w:val="en-AU"/>
        </w:rPr>
        <w:tab/>
      </w:r>
      <w:r>
        <w:rPr>
          <w:lang w:val="en-AU"/>
        </w:rPr>
        <w:t>“</w:t>
      </w:r>
      <w:r w:rsidRPr="00DB0486">
        <w:rPr>
          <w:lang w:val="en-AU"/>
        </w:rPr>
        <w:t>The ruler</w:t>
      </w:r>
      <w:r>
        <w:rPr>
          <w:lang w:val="en-AU"/>
        </w:rPr>
        <w:t>’</w:t>
      </w:r>
      <w:r w:rsidRPr="00DB0486">
        <w:rPr>
          <w:lang w:val="en-AU"/>
        </w:rPr>
        <w:t>s dam</w:t>
      </w:r>
      <w:r>
        <w:rPr>
          <w:lang w:val="en-AU"/>
        </w:rPr>
        <w:t>”.  National Park in Afghanistan (</w:t>
      </w:r>
      <w:r w:rsidRPr="00DB0486">
        <w:rPr>
          <w:lang w:val="en-AU"/>
        </w:rPr>
        <w:t>34.840170, 67.234339)</w:t>
      </w:r>
      <w:r>
        <w:rPr>
          <w:lang w:val="en-AU"/>
        </w:rPr>
        <w:t xml:space="preserve"> consisting of </w:t>
      </w:r>
      <w:r>
        <w:t>six</w:t>
      </w:r>
      <w:r w:rsidRPr="00DB0486">
        <w:t xml:space="preserve"> intensely blue lakes created by natural </w:t>
      </w:r>
      <w:r>
        <w:t xml:space="preserve">travertine </w:t>
      </w:r>
      <w:r w:rsidRPr="00DB0486">
        <w:t>dams high in the Hindu Kush.</w:t>
      </w:r>
      <w:r w:rsidRPr="00DB0486">
        <w:rPr>
          <w:lang w:val="en-AU"/>
        </w:rPr>
        <w:t xml:space="preserve">  </w:t>
      </w:r>
      <w:r>
        <w:rPr>
          <w:lang w:val="en-AU"/>
        </w:rPr>
        <w:t>“</w:t>
      </w:r>
      <w:r w:rsidRPr="00DB0486">
        <w:rPr>
          <w:lang w:val="en-AU"/>
        </w:rPr>
        <w:t>Bendemir</w:t>
      </w:r>
      <w:r>
        <w:rPr>
          <w:lang w:val="en-AU"/>
        </w:rPr>
        <w:t>”</w:t>
      </w:r>
      <w:r w:rsidRPr="00DB0486">
        <w:rPr>
          <w:lang w:val="en-AU"/>
        </w:rPr>
        <w:t xml:space="preserve"> </w:t>
      </w:r>
      <w:r>
        <w:rPr>
          <w:lang w:val="en-AU"/>
        </w:rPr>
        <w:t>in</w:t>
      </w:r>
      <w:r w:rsidRPr="00DB0486">
        <w:rPr>
          <w:lang w:val="en-AU"/>
        </w:rPr>
        <w:t xml:space="preserve"> Thomas Moore</w:t>
      </w:r>
      <w:r>
        <w:rPr>
          <w:lang w:val="en-AU"/>
        </w:rPr>
        <w:t>’</w:t>
      </w:r>
      <w:r w:rsidRPr="00DB0486">
        <w:rPr>
          <w:lang w:val="en-AU"/>
        </w:rPr>
        <w:t xml:space="preserve">s </w:t>
      </w:r>
      <w:r>
        <w:rPr>
          <w:lang w:val="en-AU"/>
        </w:rPr>
        <w:t>“</w:t>
      </w:r>
      <w:r w:rsidRPr="00DB0486">
        <w:rPr>
          <w:lang w:val="en-AU"/>
        </w:rPr>
        <w:t>Lalla Rookh</w:t>
      </w:r>
      <w:r>
        <w:rPr>
          <w:lang w:val="en-AU"/>
        </w:rPr>
        <w:t xml:space="preserve">”, see </w:t>
      </w:r>
      <w:r>
        <w:t>L</w:t>
      </w:r>
      <w:r w:rsidRPr="00CF1F19">
        <w:t>ála</w:t>
      </w:r>
      <w:r>
        <w:t>-Rukn.</w:t>
      </w:r>
    </w:p>
    <w:p w14:paraId="27225D42" w14:textId="77777777" w:rsidR="00625A5B" w:rsidRPr="008F03E5" w:rsidRDefault="00625A5B" w:rsidP="00BC4257">
      <w:pPr>
        <w:pStyle w:val="Translit"/>
      </w:pPr>
      <w:r w:rsidRPr="00DB0486">
        <w:rPr>
          <w:lang w:val="en-AU"/>
        </w:rPr>
        <w:t>Banda (Bandih), Bandagan</w:t>
      </w:r>
      <w:r w:rsidRPr="00DB0486">
        <w:rPr>
          <w:lang w:val="en-AU"/>
        </w:rPr>
        <w:tab/>
        <w:t xml:space="preserve">Banda, pl. </w:t>
      </w:r>
      <w:r w:rsidRPr="008F03E5">
        <w:t>Bandagán</w:t>
      </w:r>
      <w:r w:rsidRPr="008F03E5">
        <w:tab/>
        <w:t>Pers. bondsman, servant, slave</w:t>
      </w:r>
    </w:p>
    <w:p w14:paraId="6C6072F5" w14:textId="77777777" w:rsidR="00625A5B" w:rsidRPr="008F03E5" w:rsidRDefault="00625A5B" w:rsidP="001F7166">
      <w:pPr>
        <w:pStyle w:val="Translit"/>
      </w:pPr>
      <w:r w:rsidRPr="008F03E5">
        <w:t>Banda Astanash</w:t>
      </w:r>
      <w:r w:rsidRPr="008F03E5">
        <w:tab/>
        <w:t>Banda Ástána</w:t>
      </w:r>
      <w:r w:rsidRPr="008F03E5">
        <w:rPr>
          <w:u w:val="single"/>
        </w:rPr>
        <w:t>sh</w:t>
      </w:r>
      <w:r w:rsidRPr="008F03E5">
        <w:tab/>
        <w:t xml:space="preserve">“the servant of His Threshold”.  Shoghi Effendi’s well-known signature on his correspondence with the East was </w:t>
      </w:r>
      <w:r w:rsidRPr="008F03E5">
        <w:rPr>
          <w:i/>
          <w:iCs/>
        </w:rPr>
        <w:t>Bandih ástána</w:t>
      </w:r>
      <w:r w:rsidRPr="006A0A88">
        <w:rPr>
          <w:i/>
          <w:iCs/>
          <w:u w:val="single"/>
        </w:rPr>
        <w:t>sh</w:t>
      </w:r>
      <w:r w:rsidRPr="008F03E5">
        <w:rPr>
          <w:i/>
          <w:iCs/>
        </w:rPr>
        <w:t xml:space="preserve">, Shoghi </w:t>
      </w:r>
      <w:r w:rsidRPr="008F03E5">
        <w:t>[the servant of His Threshold, Shoghi].</w:t>
      </w:r>
    </w:p>
    <w:p w14:paraId="4B2713DE" w14:textId="77777777" w:rsidR="00625A5B" w:rsidRPr="008F03E5" w:rsidRDefault="00625A5B" w:rsidP="00014E68">
      <w:pPr>
        <w:pStyle w:val="Translit"/>
      </w:pPr>
      <w:r w:rsidRPr="008F03E5">
        <w:t>Bandar, Banadir</w:t>
      </w:r>
      <w:r w:rsidRPr="008F03E5">
        <w:tab/>
        <w:t>Bandar, pl. Banádir</w:t>
      </w:r>
      <w:r w:rsidRPr="008F03E5">
        <w:tab/>
        <w:t>seaport; commercial centre; district capital (Egyptian)</w:t>
      </w:r>
    </w:p>
    <w:p w14:paraId="35321706" w14:textId="77777777" w:rsidR="00625A5B" w:rsidRPr="008F03E5" w:rsidRDefault="00625A5B" w:rsidP="009973D9">
      <w:pPr>
        <w:pStyle w:val="Translit"/>
      </w:pPr>
      <w:r w:rsidRPr="008F03E5">
        <w:t>Bandar</w:t>
      </w:r>
      <w:r w:rsidRPr="008F03E5">
        <w:rPr>
          <w:rFonts w:eastAsia="PMingLiU"/>
          <w:lang w:eastAsia="zh-TW"/>
        </w:rPr>
        <w:t>-i-‘</w:t>
      </w:r>
      <w:r w:rsidRPr="008F03E5">
        <w:t xml:space="preserve">Abbas, Bandar </w:t>
      </w:r>
      <w:r w:rsidRPr="008F03E5">
        <w:rPr>
          <w:rFonts w:eastAsia="PMingLiU"/>
          <w:lang w:eastAsia="zh-TW"/>
        </w:rPr>
        <w:t>‘</w:t>
      </w:r>
      <w:r w:rsidRPr="008F03E5">
        <w:t>Abbas</w:t>
      </w:r>
      <w:r w:rsidRPr="008F03E5">
        <w:tab/>
        <w:t>Bandar-i-‘Abbás, Bandar ‘Abbás</w:t>
      </w:r>
      <w:r w:rsidRPr="008F03E5">
        <w:tab/>
        <w:t>Pers. a port city and capital of Hurmúzgán Province on the southern Persian Gulf coast of Iran</w:t>
      </w:r>
    </w:p>
    <w:p w14:paraId="5DA9FFD1" w14:textId="77777777" w:rsidR="00625A5B" w:rsidRPr="008F03E5" w:rsidRDefault="00625A5B" w:rsidP="006A0A88">
      <w:pPr>
        <w:pStyle w:val="Translit"/>
      </w:pPr>
      <w:r w:rsidRPr="008F03E5">
        <w:t>Bandar-i-Gaz</w:t>
      </w:r>
      <w:r w:rsidRPr="008F03E5">
        <w:tab/>
        <w:t>Bandar-i-Gaz</w:t>
      </w:r>
      <w:r>
        <w:t xml:space="preserve"> (</w:t>
      </w:r>
      <w:r w:rsidRPr="008F03E5">
        <w:t>Bandar-i-Jaz</w:t>
      </w:r>
      <w:r>
        <w:t>)</w:t>
      </w:r>
      <w:r w:rsidRPr="008F03E5">
        <w:tab/>
        <w:t xml:space="preserve">Pers. </w:t>
      </w:r>
      <w:r>
        <w:t xml:space="preserve">port </w:t>
      </w:r>
      <w:r w:rsidRPr="008F03E5">
        <w:t xml:space="preserve">city (36.775484, 53.949476) in Golestan Province, on </w:t>
      </w:r>
      <w:r>
        <w:t xml:space="preserve">the </w:t>
      </w:r>
      <w:r w:rsidRPr="008F03E5">
        <w:t>Caspian Sea (</w:t>
      </w:r>
      <w:r w:rsidRPr="008F03E5">
        <w:rPr>
          <w:sz w:val="16"/>
          <w:szCs w:val="16"/>
        </w:rPr>
        <w:t>SE</w:t>
      </w:r>
      <w:r w:rsidRPr="008F03E5">
        <w:t xml:space="preserve"> corner)</w:t>
      </w:r>
      <w:r>
        <w:t>.  It is the “port of Gaz”, a village (</w:t>
      </w:r>
      <w:r w:rsidRPr="006A0A88">
        <w:t>36.738585, 53.972901</w:t>
      </w:r>
      <w:r>
        <w:t xml:space="preserve">) 4 km to the </w:t>
      </w:r>
      <w:r w:rsidRPr="00442EAD">
        <w:rPr>
          <w:sz w:val="16"/>
          <w:szCs w:val="16"/>
        </w:rPr>
        <w:t>SSE</w:t>
      </w:r>
      <w:r>
        <w:t>.</w:t>
      </w:r>
    </w:p>
    <w:p w14:paraId="5DC7EF6F" w14:textId="77777777" w:rsidR="00625A5B" w:rsidRPr="008F03E5" w:rsidRDefault="00625A5B" w:rsidP="00DE7CB9">
      <w:pPr>
        <w:pStyle w:val="Translit"/>
      </w:pPr>
      <w:r w:rsidRPr="008F03E5">
        <w:t>Bandiy-i-Bab-i-Baha</w:t>
      </w:r>
      <w:r w:rsidRPr="008F03E5">
        <w:tab/>
        <w:t>Bandiy-i-Báb-i-Bahá</w:t>
      </w:r>
      <w:r w:rsidRPr="008F03E5">
        <w:tab/>
        <w:t>Pers. bondsman at the door of Bahá (Bahá’u’lláh).  A designation used by Mi</w:t>
      </w:r>
      <w:r w:rsidRPr="008F03E5">
        <w:rPr>
          <w:u w:val="single"/>
        </w:rPr>
        <w:t>sh</w:t>
      </w:r>
      <w:r w:rsidRPr="008F03E5">
        <w:t>kín-Qalam.  See banda</w:t>
      </w:r>
      <w:r>
        <w:t>.</w:t>
      </w:r>
    </w:p>
    <w:p w14:paraId="5A394E7D" w14:textId="77777777" w:rsidR="00625A5B" w:rsidRPr="008F03E5" w:rsidRDefault="00625A5B" w:rsidP="00900A82">
      <w:pPr>
        <w:pStyle w:val="Translit"/>
        <w:rPr>
          <w:rFonts w:eastAsia="PMingLiU"/>
          <w:lang w:eastAsia="zh-TW"/>
        </w:rPr>
      </w:pPr>
      <w:r w:rsidRPr="008F03E5">
        <w:rPr>
          <w:rFonts w:eastAsia="PMingLiU"/>
          <w:lang w:eastAsia="zh-TW"/>
        </w:rPr>
        <w:t>Bandiy-i-Khuda</w:t>
      </w:r>
      <w:r w:rsidRPr="008F03E5">
        <w:tab/>
      </w:r>
      <w:r w:rsidRPr="008F03E5">
        <w:rPr>
          <w:rFonts w:eastAsia="PMingLiU"/>
          <w:lang w:eastAsia="zh-TW"/>
        </w:rPr>
        <w:t>Bandiy-i-</w:t>
      </w:r>
      <w:r w:rsidRPr="008F03E5">
        <w:rPr>
          <w:u w:val="single"/>
        </w:rPr>
        <w:t>Kh</w:t>
      </w:r>
      <w:r w:rsidRPr="008F03E5">
        <w:rPr>
          <w:rFonts w:eastAsia="PMingLiU"/>
          <w:lang w:eastAsia="zh-TW"/>
        </w:rPr>
        <w:t>udá</w:t>
      </w:r>
      <w:r w:rsidRPr="008F03E5">
        <w:tab/>
        <w:t>bondsman or slave of God.  See banda</w:t>
      </w:r>
      <w:r>
        <w:t>.</w:t>
      </w:r>
    </w:p>
    <w:p w14:paraId="6384F117" w14:textId="77777777" w:rsidR="00625A5B" w:rsidRPr="008F03E5" w:rsidRDefault="00625A5B" w:rsidP="00570A23">
      <w:pPr>
        <w:pStyle w:val="Translit"/>
      </w:pPr>
      <w:r w:rsidRPr="008F03E5">
        <w:t>Bani-Hashim</w:t>
      </w:r>
      <w:r w:rsidRPr="008F03E5">
        <w:tab/>
        <w:t>Baní-Há</w:t>
      </w:r>
      <w:r w:rsidRPr="008F03E5">
        <w:rPr>
          <w:u w:val="single"/>
        </w:rPr>
        <w:t>sh</w:t>
      </w:r>
      <w:r w:rsidRPr="008F03E5">
        <w:t>im</w:t>
      </w:r>
      <w:r w:rsidRPr="008F03E5">
        <w:tab/>
        <w:t>The sons or children of Há</w:t>
      </w:r>
      <w:r w:rsidRPr="008F03E5">
        <w:rPr>
          <w:u w:val="single"/>
        </w:rPr>
        <w:t>sh</w:t>
      </w:r>
      <w:r w:rsidRPr="008F03E5">
        <w:t>im, great-grandfather of Muḥammad.  That is, the people deriving from the quasi-mythical Shem (Sám), son of Noah.</w:t>
      </w:r>
    </w:p>
    <w:p w14:paraId="7E21FDD5" w14:textId="77777777" w:rsidR="00625A5B" w:rsidRPr="008F03E5" w:rsidRDefault="00625A5B" w:rsidP="00964ADC">
      <w:pPr>
        <w:pStyle w:val="Translit"/>
      </w:pPr>
      <w:r w:rsidRPr="008F03E5">
        <w:t>Bank</w:t>
      </w:r>
      <w:r w:rsidRPr="008F03E5">
        <w:tab/>
        <w:t>Bánk</w:t>
      </w:r>
      <w:r w:rsidRPr="008F03E5">
        <w:tab/>
        <w:t>Pers. bank (money).  Bánk Millí Írán (BMI; the “National Bank of Iran”)</w:t>
      </w:r>
    </w:p>
    <w:p w14:paraId="7913C598" w14:textId="77777777" w:rsidR="00625A5B" w:rsidRPr="008F03E5" w:rsidRDefault="00625A5B" w:rsidP="00462CCB">
      <w:pPr>
        <w:pStyle w:val="Translit"/>
      </w:pPr>
      <w:r w:rsidRPr="008F03E5">
        <w:t>Banna</w:t>
      </w:r>
      <w:r w:rsidRPr="008F03E5">
        <w:tab/>
        <w:t>Banná’ (Banná)</w:t>
      </w:r>
      <w:r w:rsidRPr="008F03E5">
        <w:tab/>
        <w:t>Pers. a builder, mason, architect</w:t>
      </w:r>
    </w:p>
    <w:p w14:paraId="069043BF" w14:textId="77777777" w:rsidR="00625A5B" w:rsidRPr="008F03E5" w:rsidRDefault="00625A5B" w:rsidP="004C498F">
      <w:pPr>
        <w:pStyle w:val="Translit"/>
        <w:rPr>
          <w:rFonts w:eastAsia="PMingLiU"/>
          <w:lang w:eastAsia="zh-TW"/>
        </w:rPr>
      </w:pPr>
      <w:r w:rsidRPr="008F03E5">
        <w:t>Banu an-Nadir, Banu’n-Nadir</w:t>
      </w:r>
      <w:r w:rsidRPr="008F03E5">
        <w:tab/>
        <w:t>Banú an-Naḍír or Banú’n-Naḍír</w:t>
      </w:r>
      <w:r w:rsidRPr="008F03E5">
        <w:tab/>
        <w:t>(Pers. Banú Naḍír) were a Jewish Arab tribe who lived in northern Arabia until the 7th century at the oasis of Medina.  The tribe challenged Muḥammad’s leadership of Medina, planned along with allied nomads to attack Muḥammad and were expelled from Medina as a result.  The Banú an-Naḍír then planned the battle of the Trench (</w:t>
      </w:r>
      <w:r w:rsidRPr="008F03E5">
        <w:rPr>
          <w:u w:val="single"/>
        </w:rPr>
        <w:t>Gh</w:t>
      </w:r>
      <w:r w:rsidRPr="008F03E5">
        <w:t>azwat al-</w:t>
      </w:r>
      <w:r w:rsidRPr="008F03E5">
        <w:rPr>
          <w:u w:val="single"/>
        </w:rPr>
        <w:t>Kh</w:t>
      </w:r>
      <w:r w:rsidRPr="008F03E5">
        <w:t>andaq) together with the Quray</w:t>
      </w:r>
      <w:r w:rsidRPr="008F03E5">
        <w:rPr>
          <w:u w:val="single"/>
        </w:rPr>
        <w:t>sh</w:t>
      </w:r>
      <w:r w:rsidRPr="008F03E5">
        <w:t xml:space="preserve">.  They later participated in the battle of </w:t>
      </w:r>
      <w:r w:rsidRPr="008F03E5">
        <w:rPr>
          <w:u w:val="single"/>
        </w:rPr>
        <w:t>Kh</w:t>
      </w:r>
      <w:r w:rsidRPr="008F03E5">
        <w:t>aybar.</w:t>
      </w:r>
    </w:p>
    <w:p w14:paraId="67839CAC" w14:textId="77777777" w:rsidR="00625A5B" w:rsidRPr="008F03E5" w:rsidRDefault="00625A5B" w:rsidP="00624AE9">
      <w:pPr>
        <w:pStyle w:val="Translit"/>
      </w:pPr>
      <w:r w:rsidRPr="00DC3702">
        <w:rPr>
          <w:lang w:val="en-AU"/>
        </w:rPr>
        <w:t>Banu Tamim</w:t>
      </w:r>
      <w:r w:rsidRPr="00DC3702">
        <w:rPr>
          <w:lang w:val="en-AU"/>
        </w:rPr>
        <w:tab/>
        <w:t>Banú Tamím</w:t>
      </w:r>
      <w:r w:rsidRPr="00DC3702">
        <w:rPr>
          <w:lang w:val="en-AU"/>
        </w:rPr>
        <w:tab/>
        <w:t xml:space="preserve">Arabian tribe.  </w:t>
      </w:r>
      <w:r w:rsidRPr="008F03E5">
        <w:t>Tamím ibn Murr, the ancestor of the tribe, is a direct descendant of Abraham.  Hence this large tribe is considered to be an Ishmaelite tribe.</w:t>
      </w:r>
    </w:p>
    <w:p w14:paraId="3F1E6BB8" w14:textId="77777777" w:rsidR="00625A5B" w:rsidRPr="008F03E5" w:rsidRDefault="00625A5B" w:rsidP="00DA1E83">
      <w:pPr>
        <w:pStyle w:val="Translit"/>
      </w:pPr>
      <w:r w:rsidRPr="008F03E5">
        <w:rPr>
          <w:rFonts w:eastAsia="PMingLiU"/>
          <w:lang w:eastAsia="zh-TW"/>
        </w:rPr>
        <w:t>Banu Umayya</w:t>
      </w:r>
      <w:r w:rsidRPr="008F03E5">
        <w:tab/>
      </w:r>
      <w:r w:rsidRPr="008F03E5">
        <w:rPr>
          <w:rFonts w:eastAsia="PMingLiU"/>
          <w:lang w:eastAsia="zh-TW"/>
        </w:rPr>
        <w:t>Banú Umayya</w:t>
      </w:r>
      <w:r w:rsidRPr="008F03E5">
        <w:tab/>
        <w:t>was a clan in the Quraysh tribe named after Abd Shams ibn Abd Manaf’s adopted son Umayya ibn Abd Shams.</w:t>
      </w:r>
    </w:p>
    <w:p w14:paraId="0D1747A4" w14:textId="77777777" w:rsidR="00625A5B" w:rsidRPr="008F03E5" w:rsidRDefault="00625A5B" w:rsidP="00624AE9">
      <w:pPr>
        <w:pStyle w:val="Translit"/>
      </w:pPr>
      <w:r w:rsidRPr="008F03E5">
        <w:t>Banu</w:t>
      </w:r>
      <w:r w:rsidRPr="008F03E5">
        <w:tab/>
        <w:t>Bánú</w:t>
      </w:r>
      <w:r w:rsidRPr="008F03E5">
        <w:tab/>
        <w:t>Pers. a</w:t>
      </w:r>
      <w:r w:rsidRPr="008F03E5">
        <w:rPr>
          <w:rFonts w:eastAsia="Times New Roman"/>
        </w:rPr>
        <w:t xml:space="preserve"> princess; a lady; a bride; a flagon of wine; a goblet of rose-water</w:t>
      </w:r>
    </w:p>
    <w:p w14:paraId="5124113B" w14:textId="77777777" w:rsidR="00625A5B" w:rsidRPr="008F03E5" w:rsidRDefault="00625A5B" w:rsidP="00C925DA">
      <w:pPr>
        <w:pStyle w:val="Translit"/>
        <w:rPr>
          <w:rFonts w:eastAsia="PMingLiU"/>
          <w:lang w:eastAsia="zh-TW"/>
        </w:rPr>
      </w:pPr>
      <w:r w:rsidRPr="008F03E5">
        <w:rPr>
          <w:rFonts w:eastAsia="PMingLiU"/>
          <w:lang w:eastAsia="zh-TW"/>
        </w:rPr>
        <w:t>Baqa’</w:t>
      </w:r>
      <w:r w:rsidRPr="008F03E5">
        <w:tab/>
      </w:r>
      <w:r w:rsidRPr="008F03E5">
        <w:rPr>
          <w:rFonts w:eastAsia="PMingLiU"/>
          <w:lang w:eastAsia="zh-TW"/>
        </w:rPr>
        <w:t>Baqá’</w:t>
      </w:r>
      <w:r w:rsidRPr="008F03E5">
        <w:tab/>
        <w:t>remaining, staying, lingering, abiding; continuation, continuance, duration; survival, continuation of existence after life; immortality, eternal life; existence; permanence.  See Faná’</w:t>
      </w:r>
    </w:p>
    <w:p w14:paraId="6FB5D62E" w14:textId="77777777" w:rsidR="00625A5B" w:rsidRPr="008F03E5" w:rsidRDefault="00625A5B" w:rsidP="00900A82">
      <w:pPr>
        <w:pStyle w:val="Translit"/>
        <w:rPr>
          <w:rFonts w:eastAsia="PMingLiU"/>
          <w:lang w:eastAsia="zh-TW"/>
        </w:rPr>
      </w:pPr>
      <w:r w:rsidRPr="008F03E5">
        <w:rPr>
          <w:rFonts w:eastAsia="PMingLiU"/>
          <w:lang w:eastAsia="zh-TW"/>
        </w:rPr>
        <w:t>Baqar</w:t>
      </w:r>
      <w:r w:rsidRPr="008F03E5">
        <w:tab/>
      </w:r>
      <w:r w:rsidRPr="008F03E5">
        <w:rPr>
          <w:rFonts w:eastAsia="PMingLiU"/>
          <w:lang w:eastAsia="zh-TW"/>
        </w:rPr>
        <w:t>Baqar</w:t>
      </w:r>
      <w:r w:rsidRPr="008F03E5">
        <w:tab/>
      </w:r>
      <w:r w:rsidRPr="008F03E5">
        <w:rPr>
          <w:rFonts w:eastAsia="PMingLiU"/>
          <w:lang w:eastAsia="zh-TW"/>
        </w:rPr>
        <w:t>cattle</w:t>
      </w:r>
    </w:p>
    <w:p w14:paraId="2DE68312" w14:textId="77777777" w:rsidR="00625A5B" w:rsidRPr="008F03E5" w:rsidRDefault="00625A5B" w:rsidP="00CF74D0">
      <w:pPr>
        <w:pStyle w:val="Translit"/>
        <w:rPr>
          <w:rFonts w:eastAsia="PMingLiU"/>
          <w:lang w:eastAsia="zh-TW"/>
        </w:rPr>
      </w:pPr>
      <w:r w:rsidRPr="008F03E5">
        <w:rPr>
          <w:rFonts w:eastAsia="PMingLiU"/>
          <w:lang w:eastAsia="zh-TW"/>
        </w:rPr>
        <w:t>Baqara, Baqarat</w:t>
      </w:r>
      <w:r w:rsidRPr="008F03E5">
        <w:tab/>
      </w:r>
      <w:r w:rsidRPr="008F03E5">
        <w:rPr>
          <w:rFonts w:eastAsia="PMingLiU"/>
          <w:lang w:eastAsia="zh-TW"/>
        </w:rPr>
        <w:t>Baqara, pl. Baqar</w:t>
      </w:r>
      <w:r w:rsidRPr="008F03E5">
        <w:t>á</w:t>
      </w:r>
      <w:r w:rsidRPr="008F03E5">
        <w:rPr>
          <w:rFonts w:eastAsia="PMingLiU"/>
          <w:lang w:eastAsia="zh-TW"/>
        </w:rPr>
        <w:t>t</w:t>
      </w:r>
      <w:r w:rsidRPr="008F03E5">
        <w:tab/>
      </w:r>
      <w:r w:rsidRPr="008F03E5">
        <w:rPr>
          <w:rFonts w:eastAsia="PMingLiU"/>
          <w:lang w:eastAsia="zh-TW"/>
        </w:rPr>
        <w:t>cow</w:t>
      </w:r>
    </w:p>
    <w:p w14:paraId="7F3F13A4" w14:textId="77777777" w:rsidR="00625A5B" w:rsidRPr="008F03E5" w:rsidRDefault="00625A5B" w:rsidP="000C34F4">
      <w:pPr>
        <w:pStyle w:val="Translit"/>
      </w:pPr>
      <w:r w:rsidRPr="008F03E5">
        <w:t>Baqi</w:t>
      </w:r>
      <w:r w:rsidRPr="008F03E5">
        <w:tab/>
        <w:t>Báqí</w:t>
      </w:r>
      <w:r w:rsidRPr="008F03E5">
        <w:tab/>
        <w:t>remaining, left; alive; permanent, durable, fixed, firm; immortal, everlasting, eternal; one of the names of God; remainder, rest; balance, arrears; (adverb) for the rest; upon the whole</w:t>
      </w:r>
    </w:p>
    <w:p w14:paraId="31E16D12" w14:textId="77777777" w:rsidR="00625A5B" w:rsidRPr="008F03E5" w:rsidRDefault="00625A5B" w:rsidP="00942F73">
      <w:pPr>
        <w:pStyle w:val="Translit"/>
        <w:rPr>
          <w:rFonts w:eastAsia="PMingLiU"/>
          <w:lang w:eastAsia="zh-TW"/>
        </w:rPr>
      </w:pPr>
      <w:r w:rsidRPr="008F03E5">
        <w:rPr>
          <w:rFonts w:eastAsia="PMingLiU"/>
          <w:lang w:eastAsia="zh-TW"/>
        </w:rPr>
        <w:t>Baq</w:t>
      </w:r>
      <w:r w:rsidRPr="008F03E5">
        <w:t>i’</w:t>
      </w:r>
      <w:r w:rsidRPr="008F03E5">
        <w:tab/>
      </w:r>
      <w:r w:rsidRPr="008F03E5">
        <w:rPr>
          <w:rFonts w:eastAsia="PMingLiU"/>
          <w:lang w:eastAsia="zh-TW"/>
        </w:rPr>
        <w:t>Baq</w:t>
      </w:r>
      <w:r w:rsidRPr="008F03E5">
        <w:t>í‘</w:t>
      </w:r>
      <w:r w:rsidRPr="008F03E5">
        <w:tab/>
      </w:r>
      <w:r w:rsidRPr="008F03E5">
        <w:rPr>
          <w:rFonts w:eastAsia="Times New Roman"/>
        </w:rPr>
        <w:t>a place in which there are a number of trees; Jannat al-Baqí‘ or Baqí‘u</w:t>
      </w:r>
      <w:r w:rsidRPr="008F03E5">
        <w:t>’l</w:t>
      </w:r>
      <w:r w:rsidRPr="008F03E5">
        <w:rPr>
          <w:rFonts w:eastAsia="Times New Roman"/>
        </w:rPr>
        <w:t>-</w:t>
      </w:r>
      <w:r w:rsidRPr="008F03E5">
        <w:rPr>
          <w:u w:val="single"/>
        </w:rPr>
        <w:t>Gh</w:t>
      </w:r>
      <w:r w:rsidRPr="008F03E5">
        <w:rPr>
          <w:rFonts w:eastAsia="Times New Roman"/>
        </w:rPr>
        <w:t>arqad (because it formerly abounded large boxthorn trees)</w:t>
      </w:r>
      <w:r w:rsidRPr="008F03E5">
        <w:rPr>
          <w:rFonts w:eastAsia="Times New Roman"/>
          <w:i/>
          <w:iCs/>
        </w:rPr>
        <w:t>,</w:t>
      </w:r>
      <w:r w:rsidRPr="008F03E5">
        <w:rPr>
          <w:rFonts w:eastAsia="Times New Roman"/>
        </w:rPr>
        <w:t xml:space="preserve"> the cemetery of Medina</w:t>
      </w:r>
      <w:r w:rsidRPr="008F03E5">
        <w:t xml:space="preserve"> (demolished in the 19th and 20th centuries).  It was the resting place of many of Muḥammad’s relatives and companions.  It is </w:t>
      </w:r>
      <w:r w:rsidRPr="008F03E5">
        <w:rPr>
          <w:sz w:val="16"/>
          <w:szCs w:val="16"/>
        </w:rPr>
        <w:t>SE</w:t>
      </w:r>
      <w:r w:rsidRPr="008F03E5">
        <w:t xml:space="preserve"> of the Prophet’s Mosque containing the tomb of Muḥammad.</w:t>
      </w:r>
    </w:p>
    <w:p w14:paraId="302213FF" w14:textId="77777777" w:rsidR="00625A5B" w:rsidRPr="00077779" w:rsidRDefault="00625A5B" w:rsidP="00CD1230">
      <w:pPr>
        <w:pStyle w:val="Translit"/>
        <w:rPr>
          <w:rFonts w:eastAsia="Times New Roman"/>
          <w:lang w:val="es-ES_tradnl"/>
        </w:rPr>
      </w:pPr>
      <w:r w:rsidRPr="00077779">
        <w:rPr>
          <w:rFonts w:eastAsia="Times New Roman"/>
          <w:lang w:val="es-ES_tradnl"/>
        </w:rPr>
        <w:t>Baqila’</w:t>
      </w:r>
      <w:r w:rsidRPr="00077779">
        <w:rPr>
          <w:rFonts w:eastAsia="Times New Roman"/>
          <w:lang w:val="es-ES_tradnl"/>
        </w:rPr>
        <w:tab/>
        <w:t>Báqilá’</w:t>
      </w:r>
      <w:r w:rsidRPr="00077779">
        <w:rPr>
          <w:rFonts w:eastAsia="Times New Roman"/>
          <w:lang w:val="es-ES_tradnl"/>
        </w:rPr>
        <w:tab/>
        <w:t>a bean (</w:t>
      </w:r>
      <w:r w:rsidRPr="00077779">
        <w:rPr>
          <w:rFonts w:eastAsia="Times New Roman"/>
          <w:i/>
          <w:iCs/>
          <w:lang w:val="es-ES_tradnl"/>
        </w:rPr>
        <w:t>Faba sativa</w:t>
      </w:r>
      <w:r w:rsidRPr="00077779">
        <w:rPr>
          <w:rFonts w:eastAsia="Times New Roman"/>
          <w:lang w:val="es-ES_tradnl"/>
        </w:rPr>
        <w:t>)</w:t>
      </w:r>
    </w:p>
    <w:p w14:paraId="2665E9EA" w14:textId="77777777" w:rsidR="00625A5B" w:rsidRPr="008F03E5" w:rsidRDefault="00625A5B" w:rsidP="002D15B3">
      <w:pPr>
        <w:pStyle w:val="Translit"/>
      </w:pPr>
      <w:r w:rsidRPr="008F03E5">
        <w:rPr>
          <w:rFonts w:eastAsia="Times New Roman"/>
        </w:rPr>
        <w:t>Baqillani</w:t>
      </w:r>
      <w:r w:rsidRPr="008F03E5">
        <w:rPr>
          <w:rFonts w:eastAsia="Times New Roman"/>
        </w:rPr>
        <w:tab/>
        <w:t>Báqillání</w:t>
      </w:r>
      <w:r w:rsidRPr="008F03E5">
        <w:rPr>
          <w:rFonts w:eastAsia="Times New Roman"/>
        </w:rPr>
        <w:tab/>
        <w:t xml:space="preserve">(Ar. influence) a vendor of beans; nickname of a celebrated scholar.  </w:t>
      </w:r>
      <w:r w:rsidRPr="008F03E5">
        <w:t xml:space="preserve">Abú Bakr Muḥammad ibn aṭ-Ṭayyib al-Báqillání (c. 940–1013), </w:t>
      </w:r>
      <w:r w:rsidRPr="008F03E5">
        <w:rPr>
          <w:i/>
          <w:iCs/>
          <w:lang w:eastAsia="en-US"/>
        </w:rPr>
        <w:t>I‘jáz al-Qur’án</w:t>
      </w:r>
      <w:r w:rsidRPr="008F03E5">
        <w:rPr>
          <w:lang w:eastAsia="en-US"/>
        </w:rPr>
        <w:t xml:space="preserve"> (The Inimitability of the Qur’</w:t>
      </w:r>
      <w:r w:rsidRPr="008F03E5">
        <w:t>á</w:t>
      </w:r>
      <w:r w:rsidRPr="008F03E5">
        <w:rPr>
          <w:lang w:eastAsia="en-US"/>
        </w:rPr>
        <w:t>n)</w:t>
      </w:r>
      <w:r w:rsidRPr="008F03E5">
        <w:t>.  See B</w:t>
      </w:r>
      <w:r w:rsidRPr="008F03E5">
        <w:rPr>
          <w:rFonts w:eastAsia="Times New Roman"/>
        </w:rPr>
        <w:t>áqilá’</w:t>
      </w:r>
    </w:p>
    <w:p w14:paraId="2ECB8C67" w14:textId="77777777" w:rsidR="00625A5B" w:rsidRPr="008F03E5" w:rsidRDefault="00625A5B" w:rsidP="008008A7">
      <w:pPr>
        <w:pStyle w:val="Translit"/>
      </w:pPr>
      <w:r w:rsidRPr="008F03E5">
        <w:t>Baqir</w:t>
      </w:r>
      <w:r w:rsidRPr="008F03E5">
        <w:tab/>
        <w:t>Báqir</w:t>
      </w:r>
      <w:r w:rsidRPr="008F03E5">
        <w:tab/>
        <w:t xml:space="preserve">(“One who expands or breaks”)  Title of the fifth </w:t>
      </w:r>
      <w:r w:rsidRPr="008F03E5">
        <w:rPr>
          <w:u w:val="single"/>
        </w:rPr>
        <w:t>Sh</w:t>
      </w:r>
      <w:r w:rsidRPr="008F03E5">
        <w:t>í</w:t>
      </w:r>
      <w:r w:rsidRPr="008F03E5">
        <w:rPr>
          <w:rFonts w:eastAsia="PMingLiU"/>
          <w:lang w:eastAsia="zh-TW"/>
        </w:rPr>
        <w:t>‘a</w:t>
      </w:r>
      <w:r w:rsidRPr="008F03E5">
        <w:t xml:space="preserve"> Imám and an Ethiopian slave who was one of the very early converts to Islám.</w:t>
      </w:r>
    </w:p>
    <w:p w14:paraId="51D60F74" w14:textId="77777777" w:rsidR="00625A5B" w:rsidRPr="008F03E5" w:rsidRDefault="00625A5B" w:rsidP="00F9287B">
      <w:pPr>
        <w:pStyle w:val="Translit"/>
      </w:pPr>
      <w:r w:rsidRPr="008F03E5">
        <w:t>Baqir-Abad, Baqirabad (Baghirabad)</w:t>
      </w:r>
      <w:r w:rsidRPr="008F03E5">
        <w:tab/>
        <w:t>Báqirábád</w:t>
      </w:r>
      <w:r w:rsidRPr="008F03E5">
        <w:tab/>
        <w:t>now Báqirshahr (35.532500, 51.402500) a city in Rayy County, Teheran Province.  18 km south of Ṭihrán.  Baqer Abad caravanserai (34.930381, 50.823423) on Teheran-Qom Old Rd.</w:t>
      </w:r>
    </w:p>
    <w:p w14:paraId="1C1BAC49" w14:textId="77777777" w:rsidR="00625A5B" w:rsidRPr="008F03E5" w:rsidRDefault="00625A5B" w:rsidP="003A302C">
      <w:pPr>
        <w:pStyle w:val="Translit"/>
      </w:pPr>
      <w:r w:rsidRPr="008F03E5">
        <w:rPr>
          <w:rFonts w:eastAsia="PMingLiU"/>
          <w:lang w:eastAsia="zh-TW"/>
        </w:rPr>
        <w:t>B</w:t>
      </w:r>
      <w:r w:rsidRPr="008F03E5">
        <w:t>a</w:t>
      </w:r>
      <w:r w:rsidRPr="008F03E5">
        <w:rPr>
          <w:rFonts w:eastAsia="PMingLiU"/>
          <w:lang w:eastAsia="zh-TW"/>
        </w:rPr>
        <w:t>qir</w:t>
      </w:r>
      <w:r w:rsidRPr="008F03E5">
        <w:t>i</w:t>
      </w:r>
      <w:r w:rsidRPr="008F03E5">
        <w:tab/>
      </w:r>
      <w:r w:rsidRPr="008F03E5">
        <w:rPr>
          <w:rFonts w:eastAsia="PMingLiU"/>
          <w:lang w:eastAsia="zh-TW"/>
        </w:rPr>
        <w:t>B</w:t>
      </w:r>
      <w:r w:rsidRPr="008F03E5">
        <w:t>á</w:t>
      </w:r>
      <w:r w:rsidRPr="008F03E5">
        <w:rPr>
          <w:rFonts w:eastAsia="PMingLiU"/>
          <w:lang w:eastAsia="zh-TW"/>
        </w:rPr>
        <w:t>qir</w:t>
      </w:r>
      <w:r w:rsidRPr="008F03E5">
        <w:t>í</w:t>
      </w:r>
      <w:r w:rsidRPr="008F03E5">
        <w:tab/>
        <w:t xml:space="preserve">descendant of </w:t>
      </w:r>
      <w:r>
        <w:t>Im</w:t>
      </w:r>
      <w:r w:rsidRPr="003A302C">
        <w:t>á</w:t>
      </w:r>
      <w:r>
        <w:t xml:space="preserve">m </w:t>
      </w:r>
      <w:r w:rsidRPr="008F03E5">
        <w:t>Muḥammad al-Báqir</w:t>
      </w:r>
    </w:p>
    <w:p w14:paraId="6CAD2982" w14:textId="77777777" w:rsidR="00625A5B" w:rsidRPr="008F03E5" w:rsidRDefault="00625A5B" w:rsidP="00900A82">
      <w:pPr>
        <w:pStyle w:val="Translit"/>
        <w:rPr>
          <w:rFonts w:eastAsia="PMingLiU"/>
          <w:lang w:eastAsia="zh-TW"/>
        </w:rPr>
      </w:pPr>
      <w:r w:rsidRPr="008F03E5">
        <w:rPr>
          <w:rFonts w:eastAsia="PMingLiU"/>
          <w:lang w:eastAsia="zh-TW"/>
        </w:rPr>
        <w:t>B</w:t>
      </w:r>
      <w:r w:rsidRPr="008F03E5">
        <w:t>a</w:t>
      </w:r>
      <w:r w:rsidRPr="008F03E5">
        <w:rPr>
          <w:rFonts w:eastAsia="PMingLiU"/>
          <w:lang w:eastAsia="zh-TW"/>
        </w:rPr>
        <w:t>qir-i-Bast</w:t>
      </w:r>
      <w:r w:rsidRPr="008F03E5">
        <w:t>a</w:t>
      </w:r>
      <w:r w:rsidRPr="008F03E5">
        <w:rPr>
          <w:rFonts w:eastAsia="PMingLiU"/>
          <w:lang w:eastAsia="zh-TW"/>
        </w:rPr>
        <w:t>m</w:t>
      </w:r>
      <w:r w:rsidRPr="008F03E5">
        <w:t>i</w:t>
      </w:r>
      <w:r w:rsidRPr="008F03E5">
        <w:tab/>
      </w:r>
      <w:r w:rsidRPr="008F03E5">
        <w:rPr>
          <w:rFonts w:eastAsia="PMingLiU"/>
          <w:lang w:eastAsia="zh-TW"/>
        </w:rPr>
        <w:t>B</w:t>
      </w:r>
      <w:r w:rsidRPr="008F03E5">
        <w:t>á</w:t>
      </w:r>
      <w:r w:rsidRPr="008F03E5">
        <w:rPr>
          <w:rFonts w:eastAsia="PMingLiU"/>
          <w:lang w:eastAsia="zh-TW"/>
        </w:rPr>
        <w:t>qir-i-Bas</w:t>
      </w:r>
      <w:r w:rsidRPr="008F03E5">
        <w:t>ṭá</w:t>
      </w:r>
      <w:r w:rsidRPr="008F03E5">
        <w:rPr>
          <w:rFonts w:eastAsia="PMingLiU"/>
          <w:lang w:eastAsia="zh-TW"/>
        </w:rPr>
        <w:t>m</w:t>
      </w:r>
      <w:r w:rsidRPr="008F03E5">
        <w:t>í</w:t>
      </w:r>
      <w:r w:rsidRPr="008F03E5">
        <w:tab/>
      </w:r>
    </w:p>
    <w:p w14:paraId="4A1E5AE2" w14:textId="77777777" w:rsidR="00625A5B" w:rsidRPr="008F03E5" w:rsidRDefault="00625A5B" w:rsidP="00900A82">
      <w:pPr>
        <w:pStyle w:val="Translit"/>
        <w:rPr>
          <w:rFonts w:eastAsia="PMingLiU"/>
          <w:lang w:eastAsia="zh-TW"/>
        </w:rPr>
      </w:pPr>
      <w:r w:rsidRPr="008F03E5">
        <w:rPr>
          <w:rFonts w:eastAsia="PMingLiU"/>
          <w:lang w:eastAsia="zh-TW"/>
        </w:rPr>
        <w:t>B</w:t>
      </w:r>
      <w:r w:rsidRPr="008F03E5">
        <w:t>a</w:t>
      </w:r>
      <w:r w:rsidRPr="008F03E5">
        <w:rPr>
          <w:rFonts w:eastAsia="PMingLiU"/>
          <w:lang w:eastAsia="zh-TW"/>
        </w:rPr>
        <w:t>qir-i-Kafsh-D</w:t>
      </w:r>
      <w:r w:rsidRPr="008F03E5">
        <w:t>u</w:t>
      </w:r>
      <w:r w:rsidRPr="008F03E5">
        <w:rPr>
          <w:rFonts w:eastAsia="PMingLiU"/>
          <w:lang w:eastAsia="zh-TW"/>
        </w:rPr>
        <w:t>z</w:t>
      </w:r>
      <w:r w:rsidRPr="008F03E5">
        <w:tab/>
      </w:r>
      <w:r w:rsidRPr="008F03E5">
        <w:rPr>
          <w:rFonts w:eastAsia="PMingLiU"/>
          <w:lang w:eastAsia="zh-TW"/>
        </w:rPr>
        <w:t>B</w:t>
      </w:r>
      <w:r w:rsidRPr="008F03E5">
        <w:t>á</w:t>
      </w:r>
      <w:r w:rsidRPr="008F03E5">
        <w:rPr>
          <w:rFonts w:eastAsia="PMingLiU"/>
          <w:lang w:eastAsia="zh-TW"/>
        </w:rPr>
        <w:t>qir-i-Kaf</w:t>
      </w:r>
      <w:r w:rsidRPr="008F03E5">
        <w:rPr>
          <w:u w:val="single"/>
        </w:rPr>
        <w:t>sh</w:t>
      </w:r>
      <w:r w:rsidRPr="008F03E5">
        <w:rPr>
          <w:rFonts w:eastAsia="PMingLiU"/>
          <w:lang w:eastAsia="zh-TW"/>
        </w:rPr>
        <w:t>-D</w:t>
      </w:r>
      <w:r w:rsidRPr="008F03E5">
        <w:t>ú</w:t>
      </w:r>
      <w:r w:rsidRPr="008F03E5">
        <w:rPr>
          <w:rFonts w:eastAsia="PMingLiU"/>
          <w:lang w:eastAsia="zh-TW"/>
        </w:rPr>
        <w:t>z</w:t>
      </w:r>
      <w:r w:rsidRPr="008F03E5">
        <w:tab/>
      </w:r>
    </w:p>
    <w:p w14:paraId="09917748" w14:textId="77777777" w:rsidR="00625A5B" w:rsidRPr="00D45A23" w:rsidRDefault="00625A5B" w:rsidP="00900A82">
      <w:pPr>
        <w:pStyle w:val="Translit"/>
        <w:rPr>
          <w:rFonts w:eastAsia="PMingLiU"/>
          <w:lang w:val="pl-PL" w:eastAsia="zh-TW"/>
        </w:rPr>
      </w:pPr>
      <w:r w:rsidRPr="00D45A23">
        <w:rPr>
          <w:rFonts w:eastAsia="PMingLiU"/>
          <w:lang w:val="pl-PL" w:eastAsia="zh-TW"/>
        </w:rPr>
        <w:t>B</w:t>
      </w:r>
      <w:r w:rsidRPr="00D45A23">
        <w:rPr>
          <w:lang w:val="pl-PL"/>
        </w:rPr>
        <w:t>a</w:t>
      </w:r>
      <w:r w:rsidRPr="00D45A23">
        <w:rPr>
          <w:rFonts w:eastAsia="PMingLiU"/>
          <w:lang w:val="pl-PL" w:eastAsia="zh-TW"/>
        </w:rPr>
        <w:t>qir-i-Kand</w:t>
      </w:r>
      <w:r w:rsidRPr="00D45A23">
        <w:rPr>
          <w:lang w:val="pl-PL"/>
        </w:rPr>
        <w:t>i</w:t>
      </w:r>
      <w:r w:rsidRPr="00D45A23">
        <w:rPr>
          <w:lang w:val="pl-PL"/>
        </w:rPr>
        <w:tab/>
      </w:r>
      <w:r w:rsidRPr="00D45A23">
        <w:rPr>
          <w:rFonts w:eastAsia="PMingLiU"/>
          <w:lang w:val="pl-PL" w:eastAsia="zh-TW"/>
        </w:rPr>
        <w:t>B</w:t>
      </w:r>
      <w:r w:rsidRPr="00D45A23">
        <w:rPr>
          <w:lang w:val="pl-PL"/>
        </w:rPr>
        <w:t>á</w:t>
      </w:r>
      <w:r w:rsidRPr="00D45A23">
        <w:rPr>
          <w:rFonts w:eastAsia="PMingLiU"/>
          <w:lang w:val="pl-PL" w:eastAsia="zh-TW"/>
        </w:rPr>
        <w:t>qir-i-Kand</w:t>
      </w:r>
      <w:r w:rsidRPr="00D45A23">
        <w:rPr>
          <w:lang w:val="pl-PL"/>
        </w:rPr>
        <w:t>í</w:t>
      </w:r>
      <w:r w:rsidRPr="00D45A23">
        <w:rPr>
          <w:lang w:val="pl-PL"/>
        </w:rPr>
        <w:tab/>
      </w:r>
    </w:p>
    <w:p w14:paraId="2C99BD34" w14:textId="77777777" w:rsidR="00625A5B" w:rsidRPr="00D45A23" w:rsidRDefault="00625A5B" w:rsidP="00900A82">
      <w:pPr>
        <w:pStyle w:val="Translit"/>
        <w:rPr>
          <w:lang w:val="pl-PL"/>
        </w:rPr>
      </w:pPr>
      <w:r w:rsidRPr="00D45A23">
        <w:rPr>
          <w:lang w:val="pl-PL"/>
        </w:rPr>
        <w:t>Baqir-i-Kashani</w:t>
      </w:r>
      <w:r w:rsidRPr="00D45A23">
        <w:rPr>
          <w:lang w:val="pl-PL"/>
        </w:rPr>
        <w:tab/>
        <w:t>Báqir-i-Ká</w:t>
      </w:r>
      <w:r w:rsidRPr="00D45A23">
        <w:rPr>
          <w:u w:val="single"/>
          <w:lang w:val="pl-PL"/>
        </w:rPr>
        <w:t>sh</w:t>
      </w:r>
      <w:r w:rsidRPr="00D45A23">
        <w:rPr>
          <w:lang w:val="pl-PL"/>
        </w:rPr>
        <w:t>ání</w:t>
      </w:r>
      <w:r w:rsidRPr="00D45A23">
        <w:rPr>
          <w:lang w:val="pl-PL"/>
        </w:rPr>
        <w:tab/>
      </w:r>
    </w:p>
    <w:p w14:paraId="20FC48A3" w14:textId="77777777" w:rsidR="00625A5B" w:rsidRPr="00D45A23" w:rsidRDefault="00625A5B" w:rsidP="00900A82">
      <w:pPr>
        <w:pStyle w:val="Translit"/>
        <w:rPr>
          <w:rFonts w:eastAsia="PMingLiU"/>
          <w:lang w:val="pl-PL" w:eastAsia="zh-TW"/>
        </w:rPr>
      </w:pPr>
      <w:r w:rsidRPr="00D45A23">
        <w:rPr>
          <w:rFonts w:eastAsia="PMingLiU"/>
          <w:lang w:val="pl-PL" w:eastAsia="zh-TW"/>
        </w:rPr>
        <w:t>B</w:t>
      </w:r>
      <w:r w:rsidRPr="00D45A23">
        <w:rPr>
          <w:lang w:val="pl-PL"/>
        </w:rPr>
        <w:t>a</w:t>
      </w:r>
      <w:r w:rsidRPr="00D45A23">
        <w:rPr>
          <w:rFonts w:eastAsia="PMingLiU"/>
          <w:lang w:val="pl-PL" w:eastAsia="zh-TW"/>
        </w:rPr>
        <w:t>qir-i-Q</w:t>
      </w:r>
      <w:r w:rsidRPr="00D45A23">
        <w:rPr>
          <w:lang w:val="pl-PL"/>
        </w:rPr>
        <w:t>a</w:t>
      </w:r>
      <w:r w:rsidRPr="00D45A23">
        <w:rPr>
          <w:rFonts w:eastAsia="PMingLiU"/>
          <w:lang w:val="pl-PL" w:eastAsia="zh-TW"/>
        </w:rPr>
        <w:t>’in</w:t>
      </w:r>
      <w:r w:rsidRPr="00D45A23">
        <w:rPr>
          <w:lang w:val="pl-PL"/>
        </w:rPr>
        <w:t>i</w:t>
      </w:r>
      <w:r w:rsidRPr="00D45A23">
        <w:rPr>
          <w:lang w:val="pl-PL"/>
        </w:rPr>
        <w:tab/>
      </w:r>
      <w:r w:rsidRPr="00D45A23">
        <w:rPr>
          <w:rFonts w:eastAsia="PMingLiU"/>
          <w:lang w:val="pl-PL" w:eastAsia="zh-TW"/>
        </w:rPr>
        <w:t>B</w:t>
      </w:r>
      <w:r w:rsidRPr="00D45A23">
        <w:rPr>
          <w:lang w:val="pl-PL"/>
        </w:rPr>
        <w:t>á</w:t>
      </w:r>
      <w:r w:rsidRPr="00D45A23">
        <w:rPr>
          <w:rFonts w:eastAsia="PMingLiU"/>
          <w:lang w:val="pl-PL" w:eastAsia="zh-TW"/>
        </w:rPr>
        <w:t>qir-i-Q</w:t>
      </w:r>
      <w:r w:rsidRPr="00D45A23">
        <w:rPr>
          <w:lang w:val="pl-PL"/>
        </w:rPr>
        <w:t>á</w:t>
      </w:r>
      <w:r w:rsidRPr="00D45A23">
        <w:rPr>
          <w:rFonts w:eastAsia="PMingLiU"/>
          <w:lang w:val="pl-PL" w:eastAsia="zh-TW"/>
        </w:rPr>
        <w:t>’in</w:t>
      </w:r>
      <w:r w:rsidRPr="00D45A23">
        <w:rPr>
          <w:lang w:val="pl-PL"/>
        </w:rPr>
        <w:t>í</w:t>
      </w:r>
      <w:r w:rsidRPr="00D45A23">
        <w:rPr>
          <w:lang w:val="pl-PL"/>
        </w:rPr>
        <w:tab/>
      </w:r>
    </w:p>
    <w:p w14:paraId="097B5967" w14:textId="77777777" w:rsidR="00625A5B" w:rsidRPr="00D45A23" w:rsidRDefault="00625A5B" w:rsidP="00900A82">
      <w:pPr>
        <w:pStyle w:val="Translit"/>
        <w:rPr>
          <w:rFonts w:eastAsia="PMingLiU"/>
          <w:lang w:val="it-IT" w:eastAsia="zh-TW"/>
        </w:rPr>
      </w:pPr>
      <w:r w:rsidRPr="00D45A23">
        <w:rPr>
          <w:rFonts w:eastAsia="PMingLiU"/>
          <w:lang w:val="it-IT" w:eastAsia="zh-TW"/>
        </w:rPr>
        <w:t>B</w:t>
      </w:r>
      <w:r w:rsidRPr="00D45A23">
        <w:rPr>
          <w:lang w:val="it-IT"/>
        </w:rPr>
        <w:t>a</w:t>
      </w:r>
      <w:r w:rsidRPr="00D45A23">
        <w:rPr>
          <w:rFonts w:eastAsia="PMingLiU"/>
          <w:lang w:val="it-IT" w:eastAsia="zh-TW"/>
        </w:rPr>
        <w:t>qir-i-Rasht</w:t>
      </w:r>
      <w:r w:rsidRPr="00D45A23">
        <w:rPr>
          <w:lang w:val="it-IT"/>
        </w:rPr>
        <w:t>i</w:t>
      </w:r>
      <w:r w:rsidRPr="00D45A23">
        <w:rPr>
          <w:lang w:val="it-IT"/>
        </w:rPr>
        <w:tab/>
      </w:r>
      <w:r w:rsidRPr="00D45A23">
        <w:rPr>
          <w:rFonts w:eastAsia="PMingLiU"/>
          <w:lang w:val="it-IT" w:eastAsia="zh-TW"/>
        </w:rPr>
        <w:t>B</w:t>
      </w:r>
      <w:r w:rsidRPr="00D45A23">
        <w:rPr>
          <w:lang w:val="it-IT"/>
        </w:rPr>
        <w:t>á</w:t>
      </w:r>
      <w:r w:rsidRPr="00D45A23">
        <w:rPr>
          <w:rFonts w:eastAsia="PMingLiU"/>
          <w:lang w:val="it-IT" w:eastAsia="zh-TW"/>
        </w:rPr>
        <w:t>qir-i-Ra</w:t>
      </w:r>
      <w:r w:rsidRPr="00D45A23">
        <w:rPr>
          <w:u w:val="single"/>
          <w:lang w:val="it-IT"/>
        </w:rPr>
        <w:t>sh</w:t>
      </w:r>
      <w:r w:rsidRPr="00D45A23">
        <w:rPr>
          <w:rFonts w:eastAsia="PMingLiU"/>
          <w:lang w:val="it-IT" w:eastAsia="zh-TW"/>
        </w:rPr>
        <w:t>t</w:t>
      </w:r>
      <w:r w:rsidRPr="00D45A23">
        <w:rPr>
          <w:lang w:val="it-IT"/>
        </w:rPr>
        <w:t>í</w:t>
      </w:r>
      <w:r w:rsidRPr="00D45A23">
        <w:rPr>
          <w:lang w:val="it-IT"/>
        </w:rPr>
        <w:tab/>
      </w:r>
    </w:p>
    <w:p w14:paraId="5C218322" w14:textId="77777777" w:rsidR="00625A5B" w:rsidRPr="00D45A23" w:rsidRDefault="00625A5B" w:rsidP="00900A82">
      <w:pPr>
        <w:pStyle w:val="Translit"/>
        <w:rPr>
          <w:rFonts w:eastAsia="PMingLiU"/>
          <w:lang w:val="it-IT" w:eastAsia="zh-TW"/>
        </w:rPr>
      </w:pPr>
      <w:r w:rsidRPr="00D45A23">
        <w:rPr>
          <w:rFonts w:eastAsia="PMingLiU"/>
          <w:lang w:val="it-IT" w:eastAsia="zh-TW"/>
        </w:rPr>
        <w:t>B</w:t>
      </w:r>
      <w:r w:rsidRPr="00D45A23">
        <w:rPr>
          <w:lang w:val="it-IT"/>
        </w:rPr>
        <w:t>a</w:t>
      </w:r>
      <w:r w:rsidRPr="00D45A23">
        <w:rPr>
          <w:rFonts w:eastAsia="PMingLiU"/>
          <w:lang w:val="it-IT" w:eastAsia="zh-TW"/>
        </w:rPr>
        <w:t>qir-i-Sabb</w:t>
      </w:r>
      <w:r w:rsidRPr="00D45A23">
        <w:rPr>
          <w:lang w:val="it-IT"/>
        </w:rPr>
        <w:t>a</w:t>
      </w:r>
      <w:r w:rsidRPr="00D45A23">
        <w:rPr>
          <w:rFonts w:eastAsia="PMingLiU"/>
          <w:lang w:val="it-IT" w:eastAsia="zh-TW"/>
        </w:rPr>
        <w:t>gh</w:t>
      </w:r>
      <w:r w:rsidRPr="00D45A23">
        <w:rPr>
          <w:lang w:val="it-IT"/>
        </w:rPr>
        <w:tab/>
      </w:r>
      <w:r w:rsidRPr="00D45A23">
        <w:rPr>
          <w:rFonts w:eastAsia="PMingLiU"/>
          <w:lang w:val="it-IT" w:eastAsia="zh-TW"/>
        </w:rPr>
        <w:t>B</w:t>
      </w:r>
      <w:r w:rsidRPr="00D45A23">
        <w:rPr>
          <w:lang w:val="it-IT"/>
        </w:rPr>
        <w:t>á</w:t>
      </w:r>
      <w:r w:rsidRPr="00D45A23">
        <w:rPr>
          <w:rFonts w:eastAsia="PMingLiU"/>
          <w:lang w:val="it-IT" w:eastAsia="zh-TW"/>
        </w:rPr>
        <w:t>qir-i-</w:t>
      </w:r>
      <w:r w:rsidRPr="00D45A23">
        <w:rPr>
          <w:lang w:val="it-IT"/>
        </w:rPr>
        <w:t>Ṣ</w:t>
      </w:r>
      <w:r w:rsidRPr="00D45A23">
        <w:rPr>
          <w:rFonts w:eastAsia="PMingLiU"/>
          <w:lang w:val="it-IT" w:eastAsia="zh-TW"/>
        </w:rPr>
        <w:t>abb</w:t>
      </w:r>
      <w:r w:rsidRPr="00D45A23">
        <w:rPr>
          <w:lang w:val="it-IT"/>
        </w:rPr>
        <w:t>á</w:t>
      </w:r>
      <w:r w:rsidRPr="00D45A23">
        <w:rPr>
          <w:u w:val="single"/>
          <w:lang w:val="it-IT"/>
        </w:rPr>
        <w:t>gh</w:t>
      </w:r>
      <w:r w:rsidRPr="00D45A23">
        <w:rPr>
          <w:lang w:val="it-IT"/>
        </w:rPr>
        <w:tab/>
      </w:r>
    </w:p>
    <w:p w14:paraId="0CB08A78" w14:textId="77777777" w:rsidR="00625A5B" w:rsidRPr="00D45A23" w:rsidRDefault="00625A5B" w:rsidP="00900A82">
      <w:pPr>
        <w:pStyle w:val="Translit"/>
        <w:rPr>
          <w:lang w:val="it-IT"/>
        </w:rPr>
      </w:pPr>
      <w:r w:rsidRPr="00D45A23">
        <w:rPr>
          <w:lang w:val="it-IT"/>
        </w:rPr>
        <w:t>Baqir-i-Shiraz</w:t>
      </w:r>
      <w:r w:rsidRPr="00D45A23">
        <w:rPr>
          <w:lang w:val="it-IT"/>
        </w:rPr>
        <w:tab/>
        <w:t>Báqir-i-</w:t>
      </w:r>
      <w:r w:rsidRPr="00D45A23">
        <w:rPr>
          <w:u w:val="single"/>
          <w:lang w:val="it-IT"/>
        </w:rPr>
        <w:t>Sh</w:t>
      </w:r>
      <w:r w:rsidRPr="00D45A23">
        <w:rPr>
          <w:lang w:val="it-IT"/>
        </w:rPr>
        <w:t>íráz</w:t>
      </w:r>
      <w:r w:rsidRPr="00D45A23">
        <w:rPr>
          <w:lang w:val="it-IT"/>
        </w:rPr>
        <w:tab/>
      </w:r>
    </w:p>
    <w:p w14:paraId="6BBCCC46" w14:textId="77777777" w:rsidR="00625A5B" w:rsidRPr="00D45A23" w:rsidRDefault="00625A5B" w:rsidP="00D07315">
      <w:pPr>
        <w:pStyle w:val="Translit"/>
        <w:rPr>
          <w:lang w:val="it-IT"/>
        </w:rPr>
      </w:pPr>
      <w:r w:rsidRPr="00D45A23">
        <w:rPr>
          <w:rFonts w:eastAsia="PMingLiU"/>
          <w:lang w:val="it-IT" w:eastAsia="zh-TW"/>
        </w:rPr>
        <w:t>B</w:t>
      </w:r>
      <w:r w:rsidRPr="00D45A23">
        <w:rPr>
          <w:lang w:val="it-IT"/>
        </w:rPr>
        <w:t>a</w:t>
      </w:r>
      <w:r w:rsidRPr="00D45A23">
        <w:rPr>
          <w:rFonts w:eastAsia="PMingLiU"/>
          <w:lang w:val="it-IT" w:eastAsia="zh-TW"/>
        </w:rPr>
        <w:t>qir-i-Tabr</w:t>
      </w:r>
      <w:r w:rsidRPr="00D45A23">
        <w:rPr>
          <w:lang w:val="it-IT"/>
        </w:rPr>
        <w:t>i</w:t>
      </w:r>
      <w:r w:rsidRPr="00D45A23">
        <w:rPr>
          <w:rFonts w:eastAsia="PMingLiU"/>
          <w:lang w:val="it-IT" w:eastAsia="zh-TW"/>
        </w:rPr>
        <w:t>z</w:t>
      </w:r>
      <w:r w:rsidRPr="00D45A23">
        <w:rPr>
          <w:lang w:val="it-IT"/>
        </w:rPr>
        <w:t>i</w:t>
      </w:r>
      <w:r w:rsidRPr="00D45A23">
        <w:rPr>
          <w:lang w:val="it-IT"/>
        </w:rPr>
        <w:tab/>
      </w:r>
      <w:r w:rsidRPr="00D45A23">
        <w:rPr>
          <w:rFonts w:eastAsia="PMingLiU"/>
          <w:lang w:val="it-IT" w:eastAsia="zh-TW"/>
        </w:rPr>
        <w:t>B</w:t>
      </w:r>
      <w:r w:rsidRPr="00D45A23">
        <w:rPr>
          <w:lang w:val="it-IT"/>
        </w:rPr>
        <w:t>á</w:t>
      </w:r>
      <w:r w:rsidRPr="00D45A23">
        <w:rPr>
          <w:rFonts w:eastAsia="PMingLiU"/>
          <w:lang w:val="it-IT" w:eastAsia="zh-TW"/>
        </w:rPr>
        <w:t>qir-i-Tabr</w:t>
      </w:r>
      <w:r w:rsidRPr="00D45A23">
        <w:rPr>
          <w:lang w:val="it-IT"/>
        </w:rPr>
        <w:t>í</w:t>
      </w:r>
      <w:r w:rsidRPr="00D45A23">
        <w:rPr>
          <w:rFonts w:eastAsia="PMingLiU"/>
          <w:lang w:val="it-IT" w:eastAsia="zh-TW"/>
        </w:rPr>
        <w:t>z</w:t>
      </w:r>
      <w:r w:rsidRPr="00D45A23">
        <w:rPr>
          <w:lang w:val="it-IT"/>
        </w:rPr>
        <w:t>í</w:t>
      </w:r>
      <w:r w:rsidRPr="00D45A23">
        <w:rPr>
          <w:lang w:val="it-IT"/>
        </w:rPr>
        <w:tab/>
      </w:r>
    </w:p>
    <w:p w14:paraId="44F5797D" w14:textId="77777777" w:rsidR="00625A5B" w:rsidRPr="002649E3" w:rsidRDefault="00625A5B" w:rsidP="00646701">
      <w:pPr>
        <w:pStyle w:val="Translit"/>
        <w:rPr>
          <w:rFonts w:eastAsia="PMingLiU"/>
          <w:lang w:val="it-IT" w:eastAsia="zh-TW"/>
        </w:rPr>
      </w:pPr>
      <w:r w:rsidRPr="002649E3">
        <w:rPr>
          <w:rFonts w:eastAsia="PMingLiU"/>
          <w:lang w:val="it-IT" w:eastAsia="zh-TW"/>
        </w:rPr>
        <w:t>Baqiriya (Bakiriya)</w:t>
      </w:r>
      <w:r w:rsidRPr="002649E3">
        <w:rPr>
          <w:rFonts w:eastAsia="PMingLiU"/>
          <w:lang w:val="it-IT" w:eastAsia="zh-TW"/>
        </w:rPr>
        <w:tab/>
        <w:t>B</w:t>
      </w:r>
      <w:r w:rsidRPr="002649E3">
        <w:rPr>
          <w:lang w:val="it-IT"/>
        </w:rPr>
        <w:t>á</w:t>
      </w:r>
      <w:r w:rsidRPr="002649E3">
        <w:rPr>
          <w:rFonts w:eastAsia="PMingLiU"/>
          <w:lang w:val="it-IT" w:eastAsia="zh-TW"/>
        </w:rPr>
        <w:t>qir</w:t>
      </w:r>
      <w:r w:rsidRPr="002649E3">
        <w:rPr>
          <w:lang w:val="it-IT"/>
        </w:rPr>
        <w:t>í</w:t>
      </w:r>
      <w:r w:rsidRPr="002649E3">
        <w:rPr>
          <w:rFonts w:eastAsia="PMingLiU"/>
          <w:lang w:val="it-IT" w:eastAsia="zh-TW"/>
        </w:rPr>
        <w:t>ya</w:t>
      </w:r>
      <w:r w:rsidRPr="002649E3">
        <w:rPr>
          <w:rFonts w:eastAsia="PMingLiU"/>
          <w:lang w:val="it-IT" w:eastAsia="zh-TW"/>
        </w:rPr>
        <w:tab/>
        <w:t>followers of the fifth Im</w:t>
      </w:r>
      <w:r w:rsidRPr="002649E3">
        <w:rPr>
          <w:lang w:val="it-IT"/>
        </w:rPr>
        <w:t>á</w:t>
      </w:r>
      <w:r w:rsidRPr="002649E3">
        <w:rPr>
          <w:rFonts w:eastAsia="PMingLiU"/>
          <w:lang w:val="it-IT" w:eastAsia="zh-TW"/>
        </w:rPr>
        <w:t>m</w:t>
      </w:r>
    </w:p>
    <w:p w14:paraId="18428502" w14:textId="77777777" w:rsidR="00625A5B" w:rsidRDefault="00625A5B" w:rsidP="000655EA">
      <w:pPr>
        <w:pStyle w:val="Translit"/>
      </w:pPr>
      <w:r>
        <w:t>Baq</w:t>
      </w:r>
      <w:r w:rsidRPr="000655EA">
        <w:t>í</w:t>
      </w:r>
      <w:r>
        <w:t>ya as-Sayf</w:t>
      </w:r>
      <w:r>
        <w:tab/>
        <w:t>B</w:t>
      </w:r>
      <w:r w:rsidRPr="00ED3A47">
        <w:t>aq</w:t>
      </w:r>
      <w:r>
        <w:t>í</w:t>
      </w:r>
      <w:r w:rsidRPr="00ED3A47">
        <w:t>y</w:t>
      </w:r>
      <w:r>
        <w:t>a</w:t>
      </w:r>
      <w:r w:rsidRPr="00ED3A47">
        <w:t xml:space="preserve"> a</w:t>
      </w:r>
      <w:r>
        <w:t>s</w:t>
      </w:r>
      <w:r w:rsidRPr="00ED3A47">
        <w:t>-</w:t>
      </w:r>
      <w:r>
        <w:t>S</w:t>
      </w:r>
      <w:r w:rsidRPr="00ED3A47">
        <w:t>ayf</w:t>
      </w:r>
      <w:r>
        <w:tab/>
      </w:r>
      <w:r w:rsidRPr="002C59F6">
        <w:t xml:space="preserve">“remnant of the sword”, a title given to the survivors of the </w:t>
      </w:r>
      <w:r w:rsidRPr="0081098E">
        <w:rPr>
          <w:u w:val="single"/>
        </w:rPr>
        <w:t>Sh</w:t>
      </w:r>
      <w:r w:rsidRPr="002C59F6">
        <w:t>ay</w:t>
      </w:r>
      <w:r w:rsidRPr="0081098E">
        <w:rPr>
          <w:u w:val="single"/>
        </w:rPr>
        <w:t>kh</w:t>
      </w:r>
      <w:r w:rsidRPr="002C59F6">
        <w:t xml:space="preserve"> Ṭabarsí</w:t>
      </w:r>
      <w:r>
        <w:t xml:space="preserve"> </w:t>
      </w:r>
      <w:r w:rsidRPr="002C59F6">
        <w:t>upheaval</w:t>
      </w:r>
      <w:r>
        <w:t>.</w:t>
      </w:r>
    </w:p>
    <w:p w14:paraId="4AF553F9" w14:textId="77777777" w:rsidR="00625A5B" w:rsidRPr="00114424" w:rsidRDefault="00625A5B" w:rsidP="000C34F4">
      <w:pPr>
        <w:pStyle w:val="Translit"/>
        <w:rPr>
          <w:rFonts w:eastAsia="PMingLiU"/>
          <w:lang w:eastAsia="zh-TW"/>
        </w:rPr>
      </w:pPr>
      <w:r w:rsidRPr="000655EA">
        <w:rPr>
          <w:rFonts w:eastAsia="PMingLiU"/>
          <w:lang w:eastAsia="zh-TW"/>
        </w:rPr>
        <w:t>Baqiya, Baqaya</w:t>
      </w:r>
      <w:r w:rsidRPr="000655EA">
        <w:rPr>
          <w:rFonts w:eastAsia="PMingLiU"/>
          <w:lang w:eastAsia="zh-TW"/>
        </w:rPr>
        <w:tab/>
        <w:t xml:space="preserve">Baqíya[h or t], pl. </w:t>
      </w:r>
      <w:r w:rsidRPr="00114424">
        <w:rPr>
          <w:rFonts w:eastAsia="PMingLiU"/>
          <w:lang w:eastAsia="zh-TW"/>
        </w:rPr>
        <w:t>Baqáyá</w:t>
      </w:r>
      <w:r w:rsidRPr="00114424">
        <w:rPr>
          <w:rFonts w:eastAsia="PMingLiU"/>
          <w:lang w:eastAsia="zh-TW"/>
        </w:rPr>
        <w:tab/>
        <w:t>remainder, rest; remnant, residue</w:t>
      </w:r>
    </w:p>
    <w:p w14:paraId="40A364C7" w14:textId="77777777" w:rsidR="00625A5B" w:rsidRPr="008F03E5" w:rsidRDefault="00625A5B" w:rsidP="000C34F4">
      <w:pPr>
        <w:pStyle w:val="Translit"/>
      </w:pPr>
      <w:r w:rsidRPr="00114424">
        <w:t>Baqiya, Baqiyat</w:t>
      </w:r>
      <w:r w:rsidRPr="00114424">
        <w:tab/>
        <w:t xml:space="preserve">Báqiya[h or t], pl. </w:t>
      </w:r>
      <w:r w:rsidRPr="008F03E5">
        <w:t>Báqiyát</w:t>
      </w:r>
      <w:r w:rsidRPr="008F03E5">
        <w:tab/>
        <w:t>remaining; remainders;—pl. remainders, balances, arrears</w:t>
      </w:r>
    </w:p>
    <w:p w14:paraId="575E00A8" w14:textId="77777777" w:rsidR="00625A5B" w:rsidRPr="008F03E5" w:rsidRDefault="00625A5B" w:rsidP="00794A75">
      <w:pPr>
        <w:pStyle w:val="Translit"/>
      </w:pPr>
      <w:r w:rsidRPr="008F03E5">
        <w:t>Baqiyatu’llah</w:t>
      </w:r>
      <w:r>
        <w:t>,</w:t>
      </w:r>
      <w:r w:rsidRPr="008F03E5">
        <w:t xml:space="preserve"> Baqiyyatu’llah</w:t>
      </w:r>
      <w:r w:rsidRPr="008F03E5">
        <w:tab/>
      </w:r>
      <w:bookmarkStart w:id="53" w:name="_Hlk52296426"/>
      <w:r w:rsidRPr="008F03E5">
        <w:t xml:space="preserve">Baqíyatu’lláh </w:t>
      </w:r>
      <w:r>
        <w:t xml:space="preserve">(Pers. </w:t>
      </w:r>
      <w:r w:rsidRPr="008F03E5">
        <w:t>Baq</w:t>
      </w:r>
      <w:r>
        <w:t>i</w:t>
      </w:r>
      <w:r w:rsidRPr="008F03E5">
        <w:t>yyatu’lláh</w:t>
      </w:r>
      <w:bookmarkEnd w:id="53"/>
      <w:r>
        <w:t>)</w:t>
      </w:r>
      <w:r w:rsidRPr="008F03E5">
        <w:tab/>
        <w:t>“Remnant of God”</w:t>
      </w:r>
      <w:r>
        <w:t>.  Abjad 183.</w:t>
      </w:r>
      <w:r w:rsidRPr="008F03E5">
        <w:t xml:space="preserve">  A title of the Twelfth Imám that is also applied to the Báb and Bahá’u’lláh.</w:t>
      </w:r>
    </w:p>
    <w:p w14:paraId="4C4C091E" w14:textId="77777777" w:rsidR="00625A5B" w:rsidRPr="008F03E5" w:rsidRDefault="00625A5B" w:rsidP="00900A82">
      <w:pPr>
        <w:pStyle w:val="Translit"/>
      </w:pPr>
      <w:r w:rsidRPr="008F03E5">
        <w:t>Baqlava</w:t>
      </w:r>
      <w:r w:rsidRPr="008F03E5">
        <w:tab/>
        <w:t>Báqlavá</w:t>
      </w:r>
      <w:r w:rsidRPr="008F03E5">
        <w:tab/>
        <w:t>a sweetmeat</w:t>
      </w:r>
    </w:p>
    <w:p w14:paraId="1C06A6CE" w14:textId="77777777" w:rsidR="00625A5B" w:rsidRPr="008F03E5" w:rsidRDefault="00625A5B" w:rsidP="00FF6730">
      <w:pPr>
        <w:pStyle w:val="Translit"/>
      </w:pPr>
      <w:r w:rsidRPr="008F03E5">
        <w:t>Baqqal (Bakkal), Baqqalun, Baqqala</w:t>
      </w:r>
      <w:r w:rsidRPr="008F03E5">
        <w:tab/>
        <w:t>Baqqál, pl. Baqqálún, Baqqála</w:t>
      </w:r>
      <w:r w:rsidRPr="008F03E5">
        <w:tab/>
        <w:t>greengrocer; grocer</w:t>
      </w:r>
    </w:p>
    <w:p w14:paraId="4639FDAF" w14:textId="77777777" w:rsidR="00625A5B" w:rsidRPr="008F03E5" w:rsidRDefault="00625A5B" w:rsidP="00894818">
      <w:pPr>
        <w:pStyle w:val="Translit"/>
      </w:pPr>
      <w:r w:rsidRPr="008F03E5">
        <w:t>Baqshish</w:t>
      </w:r>
      <w:r w:rsidRPr="008F03E5">
        <w:tab/>
        <w:t>Baq</w:t>
      </w:r>
      <w:r w:rsidRPr="008F03E5">
        <w:rPr>
          <w:u w:val="single"/>
        </w:rPr>
        <w:t>sh</w:t>
      </w:r>
      <w:r w:rsidRPr="008F03E5">
        <w:t>í</w:t>
      </w:r>
      <w:r w:rsidRPr="008F03E5">
        <w:rPr>
          <w:u w:val="single"/>
        </w:rPr>
        <w:t>sh</w:t>
      </w:r>
      <w:r w:rsidRPr="008F03E5">
        <w:t>, pl. Baqá</w:t>
      </w:r>
      <w:r w:rsidRPr="008F03E5">
        <w:rPr>
          <w:u w:val="single"/>
        </w:rPr>
        <w:t>sh</w:t>
      </w:r>
      <w:r w:rsidRPr="008F03E5">
        <w:t>í</w:t>
      </w:r>
      <w:r w:rsidRPr="008F03E5">
        <w:rPr>
          <w:u w:val="single"/>
        </w:rPr>
        <w:t>sh</w:t>
      </w:r>
      <w:r w:rsidRPr="008F03E5">
        <w:tab/>
        <w:t>present of money; tip, gratuity, baksheesh</w:t>
      </w:r>
    </w:p>
    <w:p w14:paraId="39C5FC0A" w14:textId="77777777" w:rsidR="00625A5B" w:rsidRPr="008F03E5" w:rsidRDefault="00625A5B" w:rsidP="00663C7C">
      <w:pPr>
        <w:pStyle w:val="Translit"/>
      </w:pPr>
      <w:r w:rsidRPr="008F03E5">
        <w:t>Bar</w:t>
      </w:r>
      <w:r w:rsidRPr="008F03E5">
        <w:tab/>
        <w:t>Bar</w:t>
      </w:r>
      <w:r w:rsidRPr="008F03E5">
        <w:tab/>
        <w:t>Pers. (preposition) on, upon, onto</w:t>
      </w:r>
    </w:p>
    <w:p w14:paraId="7B62E0D3" w14:textId="77777777" w:rsidR="00625A5B" w:rsidRPr="008F03E5" w:rsidRDefault="00625A5B" w:rsidP="00592617">
      <w:pPr>
        <w:pStyle w:val="Translit"/>
      </w:pPr>
      <w:r w:rsidRPr="008F03E5">
        <w:t>Bara’, Bara’a, Bara’at</w:t>
      </w:r>
      <w:r w:rsidRPr="008F03E5">
        <w:tab/>
        <w:t>Bará’, fem. Bará’a, pl. Bará’át</w:t>
      </w:r>
      <w:r w:rsidRPr="008F03E5">
        <w:tab/>
        <w:t>free, exempt (from); fem. being free; disavowal, withdrawal, repudiation; innocence, guiltlessness; naiveté, guilelessness, artlessness;—pl. license, diploma, patent.  See Bismi’lláhi’r-Raḥmáni’r-Raḥím for Súra 9:1.</w:t>
      </w:r>
    </w:p>
    <w:p w14:paraId="1B57ECA6" w14:textId="77777777" w:rsidR="00625A5B" w:rsidRPr="008F03E5" w:rsidRDefault="00625A5B" w:rsidP="00D26760">
      <w:pPr>
        <w:pStyle w:val="Translit"/>
      </w:pPr>
      <w:r w:rsidRPr="008F03E5">
        <w:t>Barafrukhta (Bar-afrokhta)</w:t>
      </w:r>
      <w:r w:rsidRPr="008F03E5">
        <w:tab/>
        <w:t>Barafrú</w:t>
      </w:r>
      <w:r w:rsidRPr="008F03E5">
        <w:rPr>
          <w:u w:val="single"/>
        </w:rPr>
        <w:t>kh</w:t>
      </w:r>
      <w:r w:rsidRPr="008F03E5">
        <w:t>ta[h]</w:t>
      </w:r>
      <w:r w:rsidRPr="008F03E5">
        <w:tab/>
        <w:t xml:space="preserve">Pers. </w:t>
      </w:r>
      <w:r w:rsidRPr="008F03E5">
        <w:rPr>
          <w:rFonts w:eastAsia="Times New Roman"/>
        </w:rPr>
        <w:t>inflamed, fired, lit up</w:t>
      </w:r>
      <w:r w:rsidRPr="008F03E5">
        <w:t xml:space="preserve">.  Dr Ali Mohammed Barafroukhteh, the only member of the 1960 French </w:t>
      </w:r>
      <w:r w:rsidRPr="008F03E5">
        <w:rPr>
          <w:sz w:val="16"/>
          <w:szCs w:val="16"/>
        </w:rPr>
        <w:t>NSA</w:t>
      </w:r>
      <w:r w:rsidRPr="008F03E5">
        <w:t xml:space="preserve"> to reject Mason Remey’s claims.  Three others later repented and asked for forgiveness.</w:t>
      </w:r>
    </w:p>
    <w:p w14:paraId="171E68A9" w14:textId="77777777" w:rsidR="00625A5B" w:rsidRPr="008F03E5" w:rsidRDefault="00625A5B" w:rsidP="005A4FBD">
      <w:pPr>
        <w:pStyle w:val="Translit"/>
      </w:pPr>
      <w:r w:rsidRPr="008F03E5">
        <w:t>Barak</w:t>
      </w:r>
      <w:r w:rsidRPr="008F03E5">
        <w:tab/>
        <w:t>Barak</w:t>
      </w:r>
      <w:r w:rsidRPr="008F03E5">
        <w:tab/>
        <w:t>Pers. a firm and durable woven cloth used for coats, overcoats, shawls (in Afghanistan) and leggings.  Good quality barak is made from mohair, inferior quality from camel hair.</w:t>
      </w:r>
    </w:p>
    <w:p w14:paraId="04A1D265" w14:textId="77777777" w:rsidR="00625A5B" w:rsidRPr="008F03E5" w:rsidRDefault="00625A5B" w:rsidP="001D4009">
      <w:pPr>
        <w:pStyle w:val="Translit"/>
      </w:pPr>
      <w:r w:rsidRPr="00D45A23">
        <w:rPr>
          <w:lang w:val="pl-PL"/>
        </w:rPr>
        <w:t>Baraka, Barakat</w:t>
      </w:r>
      <w:r w:rsidRPr="00D45A23">
        <w:rPr>
          <w:lang w:val="pl-PL"/>
        </w:rPr>
        <w:tab/>
        <w:t xml:space="preserve">Baraka[t], pl. </w:t>
      </w:r>
      <w:r w:rsidRPr="008F03E5">
        <w:t>Barakát</w:t>
      </w:r>
      <w:r w:rsidRPr="008F03E5">
        <w:tab/>
        <w:t>blessing, benediction; abundance, prosperity</w:t>
      </w:r>
    </w:p>
    <w:p w14:paraId="4F112C9B" w14:textId="77777777" w:rsidR="00625A5B" w:rsidRPr="008F03E5" w:rsidRDefault="00625A5B" w:rsidP="00A97118">
      <w:pPr>
        <w:pStyle w:val="Translit"/>
      </w:pPr>
      <w:r w:rsidRPr="008F03E5">
        <w:t>Baraka’llahu Fikum</w:t>
      </w:r>
      <w:r w:rsidRPr="008F03E5">
        <w:tab/>
        <w:t>Baraka’lláhu Fíkum</w:t>
      </w:r>
      <w:r w:rsidRPr="008F03E5">
        <w:tab/>
        <w:t>“May God bless you”</w:t>
      </w:r>
    </w:p>
    <w:p w14:paraId="60E90DD3" w14:textId="77777777" w:rsidR="00625A5B" w:rsidRPr="008F03E5" w:rsidRDefault="00625A5B" w:rsidP="00A97118">
      <w:pPr>
        <w:pStyle w:val="Translit"/>
      </w:pPr>
      <w:r w:rsidRPr="008F03E5">
        <w:t>Barakatu’llah</w:t>
      </w:r>
      <w:r w:rsidRPr="008F03E5">
        <w:tab/>
        <w:t>Barakatu’lláh</w:t>
      </w:r>
      <w:r w:rsidRPr="008F03E5">
        <w:tab/>
        <w:t>“God bless you”</w:t>
      </w:r>
    </w:p>
    <w:p w14:paraId="67C4377C" w14:textId="77777777" w:rsidR="00625A5B" w:rsidRPr="008F03E5" w:rsidRDefault="00625A5B" w:rsidP="00B7682B">
      <w:pPr>
        <w:pStyle w:val="Translit"/>
      </w:pPr>
      <w:r w:rsidRPr="008F03E5">
        <w:t>Baramaki, Baramika</w:t>
      </w:r>
      <w:r w:rsidRPr="008F03E5">
        <w:tab/>
        <w:t>Barmakí, pl. Barámika[t]</w:t>
      </w:r>
      <w:r w:rsidRPr="008F03E5">
        <w:tab/>
        <w:t xml:space="preserve">a hero, a noble, liberal man; of the Persian family of Barmacides (highly celebrated all over the East for their generosity, magnificence, and distinguished patronage of men of genius) founded by </w:t>
      </w:r>
      <w:r w:rsidRPr="008F03E5">
        <w:rPr>
          <w:u w:val="single"/>
        </w:rPr>
        <w:t>Kh</w:t>
      </w:r>
      <w:r w:rsidRPr="008F03E5">
        <w:t>alid ibn Barmak (705–782).  When Bal</w:t>
      </w:r>
      <w:r w:rsidRPr="008F03E5">
        <w:rPr>
          <w:u w:val="single"/>
        </w:rPr>
        <w:t>kh</w:t>
      </w:r>
      <w:r w:rsidRPr="008F03E5">
        <w:t xml:space="preserve">, the native town of Barmakids fell to the Arabs, </w:t>
      </w:r>
      <w:r w:rsidRPr="008F03E5">
        <w:rPr>
          <w:u w:val="single"/>
        </w:rPr>
        <w:t>Kh</w:t>
      </w:r>
      <w:r w:rsidRPr="008F03E5">
        <w:t>alid ibn Barmak and his brothers moved to the garrison town of Basra in Iraq, where they converted to Islam.  Their ancestor was a Pramukh (pronounced in Arabic as Barmak), a title borne by the high priest in the Buddhist temple of Nawbahár (naw + bahár, new monastery).</w:t>
      </w:r>
    </w:p>
    <w:p w14:paraId="6D917619" w14:textId="77777777" w:rsidR="00625A5B" w:rsidRPr="008F03E5" w:rsidRDefault="00625A5B" w:rsidP="004B296B">
      <w:pPr>
        <w:pStyle w:val="Translit"/>
        <w:rPr>
          <w:rFonts w:eastAsia="PMingLiU"/>
          <w:lang w:eastAsia="zh-TW"/>
        </w:rPr>
      </w:pPr>
      <w:r w:rsidRPr="008F03E5">
        <w:rPr>
          <w:rFonts w:eastAsia="PMingLiU"/>
          <w:lang w:eastAsia="zh-TW"/>
        </w:rPr>
        <w:t>Baraq</w:t>
      </w:r>
      <w:r w:rsidRPr="008F03E5">
        <w:t>a</w:t>
      </w:r>
      <w:r w:rsidRPr="008F03E5">
        <w:rPr>
          <w:rFonts w:eastAsia="PMingLiU"/>
          <w:lang w:eastAsia="zh-TW"/>
        </w:rPr>
        <w:t>n</w:t>
      </w:r>
      <w:r w:rsidRPr="008F03E5">
        <w:t xml:space="preserve"> (Baraghan), Savojbolagh</w:t>
      </w:r>
      <w:r w:rsidRPr="008F03E5">
        <w:tab/>
      </w:r>
      <w:r w:rsidRPr="008F03E5">
        <w:rPr>
          <w:rFonts w:eastAsia="PMingLiU"/>
          <w:lang w:eastAsia="zh-TW"/>
        </w:rPr>
        <w:t>Baraq</w:t>
      </w:r>
      <w:r w:rsidRPr="008F03E5">
        <w:t>á</w:t>
      </w:r>
      <w:r w:rsidRPr="008F03E5">
        <w:rPr>
          <w:rFonts w:eastAsia="PMingLiU"/>
          <w:lang w:eastAsia="zh-TW"/>
        </w:rPr>
        <w:t>n</w:t>
      </w:r>
      <w:r w:rsidRPr="008F03E5">
        <w:tab/>
      </w:r>
      <w:r w:rsidRPr="008F03E5">
        <w:rPr>
          <w:rFonts w:eastAsia="PMingLiU"/>
          <w:lang w:eastAsia="zh-TW"/>
        </w:rPr>
        <w:t>village, in</w:t>
      </w:r>
      <w:r w:rsidRPr="008F03E5">
        <w:t xml:space="preserve"> Sávajbulá</w:t>
      </w:r>
      <w:r w:rsidRPr="008F03E5">
        <w:rPr>
          <w:u w:val="single"/>
        </w:rPr>
        <w:t>gh</w:t>
      </w:r>
      <w:r w:rsidRPr="008F03E5">
        <w:t xml:space="preserve"> county,</w:t>
      </w:r>
      <w:r w:rsidRPr="008F03E5">
        <w:rPr>
          <w:rFonts w:eastAsia="PMingLiU"/>
          <w:lang w:eastAsia="zh-TW"/>
        </w:rPr>
        <w:t xml:space="preserve"> 14 km north of Karaj and 52 km </w:t>
      </w:r>
      <w:r w:rsidRPr="008F03E5">
        <w:rPr>
          <w:rFonts w:eastAsia="PMingLiU"/>
          <w:sz w:val="16"/>
          <w:szCs w:val="16"/>
          <w:lang w:eastAsia="zh-TW"/>
        </w:rPr>
        <w:t>WNW</w:t>
      </w:r>
      <w:r w:rsidRPr="008F03E5">
        <w:rPr>
          <w:rFonts w:eastAsia="PMingLiU"/>
          <w:lang w:eastAsia="zh-TW"/>
        </w:rPr>
        <w:t xml:space="preserve"> of </w:t>
      </w:r>
      <w:r w:rsidRPr="008F03E5">
        <w:t>Ṭ</w:t>
      </w:r>
      <w:r w:rsidRPr="008F03E5">
        <w:rPr>
          <w:rFonts w:eastAsia="PMingLiU"/>
          <w:lang w:eastAsia="zh-TW"/>
        </w:rPr>
        <w:t>ihr</w:t>
      </w:r>
      <w:r w:rsidRPr="008F03E5">
        <w:t>á</w:t>
      </w:r>
      <w:r w:rsidRPr="008F03E5">
        <w:rPr>
          <w:rFonts w:eastAsia="PMingLiU"/>
          <w:lang w:eastAsia="zh-TW"/>
        </w:rPr>
        <w:t>n</w:t>
      </w:r>
    </w:p>
    <w:p w14:paraId="006C8610" w14:textId="77777777" w:rsidR="00625A5B" w:rsidRPr="008F03E5" w:rsidRDefault="00625A5B" w:rsidP="008D0D97">
      <w:pPr>
        <w:pStyle w:val="Translit"/>
      </w:pPr>
      <w:r w:rsidRPr="008F03E5">
        <w:rPr>
          <w:rFonts w:eastAsia="PMingLiU"/>
          <w:lang w:eastAsia="zh-TW"/>
        </w:rPr>
        <w:t>Baraq</w:t>
      </w:r>
      <w:r w:rsidRPr="008F03E5">
        <w:t>a</w:t>
      </w:r>
      <w:r w:rsidRPr="008F03E5">
        <w:rPr>
          <w:rFonts w:eastAsia="PMingLiU"/>
          <w:lang w:eastAsia="zh-TW"/>
        </w:rPr>
        <w:t>n</w:t>
      </w:r>
      <w:r w:rsidRPr="008F03E5">
        <w:t>i (Baraghani)</w:t>
      </w:r>
      <w:r w:rsidRPr="008F03E5">
        <w:tab/>
      </w:r>
      <w:r w:rsidRPr="008F03E5">
        <w:rPr>
          <w:rFonts w:eastAsia="PMingLiU"/>
          <w:lang w:eastAsia="zh-TW"/>
        </w:rPr>
        <w:t>Baraq</w:t>
      </w:r>
      <w:r w:rsidRPr="008F03E5">
        <w:t>á</w:t>
      </w:r>
      <w:r w:rsidRPr="008F03E5">
        <w:rPr>
          <w:rFonts w:eastAsia="PMingLiU"/>
          <w:lang w:eastAsia="zh-TW"/>
        </w:rPr>
        <w:t>n</w:t>
      </w:r>
      <w:r w:rsidRPr="008F03E5">
        <w:t>í</w:t>
      </w:r>
      <w:r w:rsidRPr="008F03E5">
        <w:tab/>
        <w:t>from Baraqán (Bara</w:t>
      </w:r>
      <w:r w:rsidRPr="008F03E5">
        <w:rPr>
          <w:u w:val="single"/>
        </w:rPr>
        <w:t>gh</w:t>
      </w:r>
      <w:r w:rsidRPr="008F03E5">
        <w:t>án).  Fáṭima Zarrín Táj Baraqání (Ṭáhirih).</w:t>
      </w:r>
    </w:p>
    <w:p w14:paraId="5E5FB35B" w14:textId="77777777" w:rsidR="00625A5B" w:rsidRPr="008F03E5" w:rsidRDefault="00625A5B" w:rsidP="00900A82">
      <w:pPr>
        <w:pStyle w:val="Translit"/>
      </w:pPr>
      <w:r w:rsidRPr="008F03E5">
        <w:t>Barazat</w:t>
      </w:r>
      <w:r w:rsidRPr="008F03E5">
        <w:tab/>
        <w:t>Barázát</w:t>
      </w:r>
      <w:r w:rsidRPr="008F03E5">
        <w:tab/>
        <w:t>Temptation</w:t>
      </w:r>
    </w:p>
    <w:p w14:paraId="187095F6" w14:textId="77777777" w:rsidR="00625A5B" w:rsidRPr="008F03E5" w:rsidRDefault="00625A5B" w:rsidP="00234E29">
      <w:pPr>
        <w:pStyle w:val="Translit"/>
        <w:rPr>
          <w:rFonts w:eastAsia="Times New Roman"/>
        </w:rPr>
      </w:pPr>
      <w:r w:rsidRPr="008F03E5">
        <w:t>Barbad</w:t>
      </w:r>
      <w:r w:rsidRPr="008F03E5">
        <w:tab/>
        <w:t>Barbad or Bárbad</w:t>
      </w:r>
      <w:r w:rsidRPr="008F03E5">
        <w:tab/>
        <w:t xml:space="preserve">late 6th–early 7th century </w:t>
      </w:r>
      <w:r w:rsidRPr="008F03E5">
        <w:rPr>
          <w:sz w:val="16"/>
          <w:szCs w:val="16"/>
        </w:rPr>
        <w:t>CE</w:t>
      </w:r>
      <w:r w:rsidRPr="008F03E5">
        <w:t xml:space="preserve"> Persian poet-musician, lutenist, music theorist and composer of Sasanian music who served as chief minstrel-poet under </w:t>
      </w:r>
      <w:r w:rsidRPr="008F03E5">
        <w:rPr>
          <w:u w:val="single"/>
        </w:rPr>
        <w:t>Sh</w:t>
      </w:r>
      <w:r w:rsidRPr="008F03E5">
        <w:t>áhán-</w:t>
      </w:r>
      <w:r w:rsidRPr="008F03E5">
        <w:rPr>
          <w:u w:val="single"/>
        </w:rPr>
        <w:t>Sh</w:t>
      </w:r>
      <w:r w:rsidRPr="008F03E5">
        <w:t xml:space="preserve">áh </w:t>
      </w:r>
      <w:r w:rsidRPr="008F03E5">
        <w:rPr>
          <w:u w:val="single"/>
        </w:rPr>
        <w:t>Kh</w:t>
      </w:r>
      <w:r w:rsidRPr="008F03E5">
        <w:t xml:space="preserve">usraw </w:t>
      </w:r>
      <w:r w:rsidRPr="008F03E5">
        <w:rPr>
          <w:sz w:val="16"/>
          <w:szCs w:val="16"/>
        </w:rPr>
        <w:t>II</w:t>
      </w:r>
    </w:p>
    <w:p w14:paraId="3235AC86" w14:textId="77777777" w:rsidR="00625A5B" w:rsidRPr="008F03E5" w:rsidRDefault="00625A5B" w:rsidP="0013262B">
      <w:pPr>
        <w:pStyle w:val="Translit"/>
      </w:pPr>
      <w:r w:rsidRPr="008F03E5">
        <w:rPr>
          <w:rFonts w:eastAsia="Times New Roman"/>
        </w:rPr>
        <w:t>Barbat, Barbut</w:t>
      </w:r>
      <w:r w:rsidRPr="008F03E5">
        <w:rPr>
          <w:rFonts w:eastAsia="Times New Roman"/>
        </w:rPr>
        <w:tab/>
        <w:t>Barba</w:t>
      </w:r>
      <w:r w:rsidRPr="008F03E5">
        <w:t>ṭ</w:t>
      </w:r>
      <w:r w:rsidRPr="008F03E5">
        <w:rPr>
          <w:rFonts w:eastAsia="Times New Roman"/>
        </w:rPr>
        <w:t>, Barbu</w:t>
      </w:r>
      <w:r w:rsidRPr="008F03E5">
        <w:t>ṭ</w:t>
      </w:r>
      <w:r w:rsidRPr="008F03E5">
        <w:tab/>
        <w:t>Pers. a</w:t>
      </w:r>
      <w:r w:rsidRPr="008F03E5">
        <w:rPr>
          <w:rFonts w:eastAsia="Times New Roman"/>
        </w:rPr>
        <w:t xml:space="preserve"> harp or lute</w:t>
      </w:r>
    </w:p>
    <w:p w14:paraId="50286652" w14:textId="77777777" w:rsidR="00625A5B" w:rsidRPr="008F03E5" w:rsidRDefault="00625A5B" w:rsidP="0013262B">
      <w:pPr>
        <w:pStyle w:val="Translit"/>
      </w:pPr>
      <w:r w:rsidRPr="008F03E5">
        <w:t>Barfurush</w:t>
      </w:r>
      <w:r w:rsidRPr="008F03E5">
        <w:tab/>
        <w:t>Bárfurú</w:t>
      </w:r>
      <w:r w:rsidRPr="008F03E5">
        <w:rPr>
          <w:u w:val="single"/>
        </w:rPr>
        <w:t>sh</w:t>
      </w:r>
      <w:r w:rsidRPr="008F03E5">
        <w:tab/>
        <w:t>a town in Mázindarán, now known as Bábul (Babol)</w:t>
      </w:r>
    </w:p>
    <w:p w14:paraId="38EA493B" w14:textId="77777777" w:rsidR="00625A5B" w:rsidRPr="008F03E5" w:rsidRDefault="00625A5B" w:rsidP="00B80A51">
      <w:pPr>
        <w:pStyle w:val="Translit"/>
        <w:rPr>
          <w:rFonts w:eastAsia="PMingLiU"/>
          <w:lang w:eastAsia="zh-TW"/>
        </w:rPr>
      </w:pPr>
      <w:r w:rsidRPr="008F03E5">
        <w:rPr>
          <w:rFonts w:eastAsia="PMingLiU"/>
          <w:lang w:eastAsia="zh-TW"/>
        </w:rPr>
        <w:t>Bari’</w:t>
      </w:r>
      <w:r w:rsidRPr="008F03E5">
        <w:rPr>
          <w:rFonts w:eastAsia="PMingLiU"/>
          <w:lang w:eastAsia="zh-TW"/>
        </w:rPr>
        <w:tab/>
        <w:t>Bári‘</w:t>
      </w:r>
      <w:r w:rsidRPr="008F03E5">
        <w:rPr>
          <w:rFonts w:eastAsia="PMingLiU"/>
          <w:lang w:eastAsia="zh-TW"/>
        </w:rPr>
        <w:tab/>
        <w:t>skilled, skilful, proficient, capable, efficient; brilliant, outstanding (work of art)</w:t>
      </w:r>
    </w:p>
    <w:p w14:paraId="0F08366D" w14:textId="77777777" w:rsidR="00625A5B" w:rsidRPr="008F03E5" w:rsidRDefault="00625A5B" w:rsidP="002A4791">
      <w:pPr>
        <w:pStyle w:val="Translit"/>
      </w:pPr>
      <w:r w:rsidRPr="008F03E5">
        <w:t>Bari’</w:t>
      </w:r>
      <w:r w:rsidRPr="008F03E5">
        <w:tab/>
      </w:r>
      <w:r w:rsidRPr="008F03E5">
        <w:rPr>
          <w:rFonts w:eastAsia="PMingLiU"/>
          <w:lang w:eastAsia="zh-TW"/>
        </w:rPr>
        <w:t>Bári’</w:t>
      </w:r>
      <w:r w:rsidRPr="008F03E5">
        <w:rPr>
          <w:rFonts w:eastAsia="PMingLiU"/>
          <w:lang w:eastAsia="zh-TW"/>
        </w:rPr>
        <w:tab/>
        <w:t>t</w:t>
      </w:r>
      <w:r w:rsidRPr="008F03E5">
        <w:t>he creator, God, the Deity.  Hence, al-</w:t>
      </w:r>
      <w:r w:rsidRPr="008F03E5">
        <w:rPr>
          <w:rFonts w:eastAsia="PMingLiU"/>
          <w:lang w:eastAsia="zh-TW"/>
        </w:rPr>
        <w:t>Bári’</w:t>
      </w:r>
    </w:p>
    <w:p w14:paraId="491CACD8" w14:textId="77777777" w:rsidR="00625A5B" w:rsidRPr="008F03E5" w:rsidRDefault="00625A5B" w:rsidP="009C76DA">
      <w:pPr>
        <w:pStyle w:val="Translit"/>
        <w:rPr>
          <w:rFonts w:eastAsia="Times New Roman"/>
        </w:rPr>
      </w:pPr>
      <w:r w:rsidRPr="008F03E5">
        <w:rPr>
          <w:rFonts w:eastAsia="Times New Roman"/>
        </w:rPr>
        <w:t>Barid</w:t>
      </w:r>
      <w:r w:rsidRPr="008F03E5">
        <w:rPr>
          <w:rFonts w:eastAsia="Times New Roman"/>
        </w:rPr>
        <w:tab/>
        <w:t>Baríd</w:t>
      </w:r>
      <w:r w:rsidRPr="008F03E5">
        <w:rPr>
          <w:rFonts w:eastAsia="Times New Roman"/>
        </w:rPr>
        <w:tab/>
        <w:t>Pers. a fast or light breed of horse; courier</w:t>
      </w:r>
      <w:r>
        <w:rPr>
          <w:rFonts w:eastAsia="Times New Roman"/>
        </w:rPr>
        <w:t>’</w:t>
      </w:r>
      <w:r w:rsidRPr="008F03E5">
        <w:rPr>
          <w:rFonts w:eastAsia="Times New Roman"/>
        </w:rPr>
        <w:t>s horse; hunter; courier, messenger, running footman; a measure of two parasangs or twelve miles</w:t>
      </w:r>
    </w:p>
    <w:p w14:paraId="6C1FAB9D" w14:textId="77777777" w:rsidR="00625A5B" w:rsidRPr="008F03E5" w:rsidRDefault="00625A5B" w:rsidP="00D4454A">
      <w:pPr>
        <w:pStyle w:val="Translit"/>
      </w:pPr>
      <w:r w:rsidRPr="008F03E5">
        <w:rPr>
          <w:rFonts w:eastAsia="Times New Roman"/>
        </w:rPr>
        <w:t>Barik</w:t>
      </w:r>
      <w:r w:rsidRPr="008F03E5">
        <w:rPr>
          <w:rFonts w:eastAsia="Times New Roman"/>
        </w:rPr>
        <w:tab/>
        <w:t>Bárik</w:t>
      </w:r>
      <w:r w:rsidRPr="008F03E5">
        <w:rPr>
          <w:rFonts w:eastAsia="Times New Roman"/>
        </w:rPr>
        <w:tab/>
        <w:t>Pers. thin, slender, minute</w:t>
      </w:r>
    </w:p>
    <w:p w14:paraId="16079B60" w14:textId="77777777" w:rsidR="00625A5B" w:rsidRPr="008F03E5" w:rsidRDefault="00625A5B" w:rsidP="0050356B">
      <w:pPr>
        <w:pStyle w:val="Translit"/>
      </w:pPr>
      <w:r w:rsidRPr="008F03E5">
        <w:t>Baris, Paris</w:t>
      </w:r>
      <w:r w:rsidRPr="008F03E5">
        <w:tab/>
        <w:t>Bárís, Pers. Párís</w:t>
      </w:r>
      <w:r w:rsidRPr="008F03E5">
        <w:tab/>
        <w:t>Paris</w:t>
      </w:r>
    </w:p>
    <w:p w14:paraId="3CE07696" w14:textId="77777777" w:rsidR="00625A5B" w:rsidRPr="008F03E5" w:rsidRDefault="00625A5B" w:rsidP="00B7682B">
      <w:pPr>
        <w:pStyle w:val="Translit"/>
      </w:pPr>
      <w:r w:rsidRPr="008F03E5">
        <w:t>Barmakiyan, Baramika</w:t>
      </w:r>
      <w:r w:rsidRPr="008F03E5">
        <w:tab/>
        <w:t>Barmakíyán, Ar. Barámika[h]</w:t>
      </w:r>
      <w:r w:rsidRPr="008F03E5">
        <w:tab/>
        <w:t>Pers. the Barmakids (Ar.</w:t>
      </w:r>
      <w:r w:rsidRPr="008F03E5">
        <w:rPr>
          <w:cs/>
        </w:rPr>
        <w:t>‎</w:t>
      </w:r>
      <w:r w:rsidRPr="008F03E5">
        <w:t xml:space="preserve"> al-Barámikah), also spelled Barmecides, were an influential Iranian family from Bal</w:t>
      </w:r>
      <w:r w:rsidRPr="008F03E5">
        <w:rPr>
          <w:u w:val="single"/>
        </w:rPr>
        <w:t>kh</w:t>
      </w:r>
      <w:r w:rsidRPr="008F03E5">
        <w:t xml:space="preserve"> where they were originally hereditary Buddhist leaders (in the Nawbahar monastery), and subsequently came to great political power under the Abbasid caliphs of Ba</w:t>
      </w:r>
      <w:r w:rsidRPr="008F03E5">
        <w:rPr>
          <w:u w:val="single"/>
        </w:rPr>
        <w:t>gh</w:t>
      </w:r>
      <w:r w:rsidRPr="008F03E5">
        <w:t>dád.</w:t>
      </w:r>
    </w:p>
    <w:p w14:paraId="0A3221A0" w14:textId="77777777" w:rsidR="00625A5B" w:rsidRPr="008F03E5" w:rsidRDefault="00625A5B" w:rsidP="006F6D5F">
      <w:pPr>
        <w:pStyle w:val="Translit"/>
      </w:pPr>
      <w:r w:rsidRPr="008F03E5">
        <w:t>Barq, Buruq</w:t>
      </w:r>
      <w:r w:rsidRPr="008F03E5">
        <w:tab/>
        <w:t>Barq, pl. Burúq</w:t>
      </w:r>
      <w:r w:rsidRPr="008F03E5">
        <w:tab/>
        <w:t>lightning; flash of lightning; telegraph</w:t>
      </w:r>
    </w:p>
    <w:p w14:paraId="4040B564" w14:textId="77777777" w:rsidR="00625A5B" w:rsidRPr="008F03E5" w:rsidRDefault="00625A5B" w:rsidP="005C25ED">
      <w:pPr>
        <w:pStyle w:val="Translit"/>
      </w:pPr>
      <w:r w:rsidRPr="008F03E5">
        <w:t>Barqi (Barki)</w:t>
      </w:r>
      <w:r w:rsidRPr="008F03E5">
        <w:tab/>
        <w:t>Barqí (Barkí)</w:t>
      </w:r>
      <w:r w:rsidRPr="008F03E5">
        <w:tab/>
        <w:t xml:space="preserve">pertaining or relating to lightning; electric; telegraphic, telegraph- (in compounds).  Aḥmad bin Muḥammad bin </w:t>
      </w:r>
      <w:r w:rsidRPr="008F03E5">
        <w:rPr>
          <w:u w:val="single"/>
        </w:rPr>
        <w:t>Kh</w:t>
      </w:r>
      <w:r w:rsidRPr="008F03E5">
        <w:t xml:space="preserve">álid bin ‘Abd ar-Raḥmán al-Barqí (b. ~200/815–816—d. 274/887–888 or 280/893–894) was a renowned Twelver </w:t>
      </w:r>
      <w:r w:rsidRPr="008F03E5">
        <w:rPr>
          <w:u w:val="single"/>
        </w:rPr>
        <w:t>Sh</w:t>
      </w:r>
      <w:r w:rsidRPr="008F03E5">
        <w:t>í‘a muḥaddi</w:t>
      </w:r>
      <w:r w:rsidRPr="008F03E5">
        <w:rPr>
          <w:u w:val="single"/>
        </w:rPr>
        <w:t>th</w:t>
      </w:r>
      <w:r w:rsidRPr="008F03E5">
        <w:t xml:space="preserve"> (ḥadí</w:t>
      </w:r>
      <w:r w:rsidRPr="008F03E5">
        <w:rPr>
          <w:u w:val="single"/>
        </w:rPr>
        <w:t>th</w:t>
      </w:r>
      <w:r w:rsidRPr="008F03E5">
        <w:t xml:space="preserve"> scholar) and historian of 3rd/9th century.</w:t>
      </w:r>
    </w:p>
    <w:p w14:paraId="0D7B94FF" w14:textId="77777777" w:rsidR="00625A5B" w:rsidRPr="008F03E5" w:rsidRDefault="00625A5B" w:rsidP="0040714D">
      <w:pPr>
        <w:pStyle w:val="Translit"/>
      </w:pPr>
      <w:r w:rsidRPr="008F03E5">
        <w:t>Barr</w:t>
      </w:r>
      <w:r w:rsidRPr="008F03E5">
        <w:tab/>
        <w:t>Barr</w:t>
      </w:r>
      <w:r w:rsidRPr="008F03E5">
        <w:tab/>
        <w:t>land (as opposed to sea), terra firma, mainland; open country</w:t>
      </w:r>
    </w:p>
    <w:p w14:paraId="590FC20B" w14:textId="77777777" w:rsidR="00625A5B" w:rsidRPr="008F03E5" w:rsidRDefault="00625A5B" w:rsidP="0040714D">
      <w:pPr>
        <w:pStyle w:val="Translit"/>
      </w:pPr>
      <w:r w:rsidRPr="00077779">
        <w:rPr>
          <w:lang w:val="es-ES_tradnl"/>
        </w:rPr>
        <w:t>Barr, Abrar, Barara</w:t>
      </w:r>
      <w:r w:rsidRPr="00077779">
        <w:rPr>
          <w:lang w:val="es-ES_tradnl"/>
        </w:rPr>
        <w:tab/>
        <w:t xml:space="preserve">Barr and Bárr, pl. </w:t>
      </w:r>
      <w:r w:rsidRPr="008F03E5">
        <w:t>Abrár and Barara</w:t>
      </w:r>
      <w:r w:rsidRPr="008F03E5">
        <w:tab/>
        <w:t>reverent, dutiful (+ preposition bi—toward), devoted (+ preposition bi—to); pious, godly, upright, righteous; kind</w:t>
      </w:r>
    </w:p>
    <w:p w14:paraId="4C93FDCE" w14:textId="77777777" w:rsidR="00625A5B" w:rsidRPr="008F03E5" w:rsidRDefault="00625A5B" w:rsidP="00D0733E">
      <w:pPr>
        <w:pStyle w:val="Translit"/>
      </w:pPr>
      <w:r w:rsidRPr="00D0733E">
        <w:rPr>
          <w:lang w:val="it-IT"/>
        </w:rPr>
        <w:t>Bartalla (Bartella, “Baratallih”)</w:t>
      </w:r>
      <w:r w:rsidRPr="00D0733E">
        <w:rPr>
          <w:lang w:val="it-IT"/>
        </w:rPr>
        <w:tab/>
        <w:t>Barṭalla[h or t]</w:t>
      </w:r>
      <w:r w:rsidRPr="00D0733E">
        <w:rPr>
          <w:lang w:val="it-IT"/>
        </w:rPr>
        <w:tab/>
        <w:t xml:space="preserve">to bribe.  </w:t>
      </w:r>
      <w:r>
        <w:rPr>
          <w:lang w:val="en-IN"/>
        </w:rPr>
        <w:t>A</w:t>
      </w:r>
      <w:r w:rsidRPr="008F03E5">
        <w:t xml:space="preserve"> town </w:t>
      </w:r>
      <w:r>
        <w:t>(</w:t>
      </w:r>
      <w:r w:rsidRPr="00D0733E">
        <w:t>36.35176</w:t>
      </w:r>
      <w:r>
        <w:t>8</w:t>
      </w:r>
      <w:r w:rsidRPr="00D0733E">
        <w:t>, 43.379366</w:t>
      </w:r>
      <w:r>
        <w:t xml:space="preserve">) </w:t>
      </w:r>
      <w:r w:rsidRPr="008F03E5">
        <w:t>21 km east of Mosul, ‘Iráq</w:t>
      </w:r>
      <w:r>
        <w:t>.</w:t>
      </w:r>
    </w:p>
    <w:p w14:paraId="647CB18F" w14:textId="77777777" w:rsidR="00625A5B" w:rsidRPr="008F03E5" w:rsidRDefault="00625A5B" w:rsidP="00BA13A2">
      <w:pPr>
        <w:pStyle w:val="Translit"/>
      </w:pPr>
      <w:r w:rsidRPr="00151C69">
        <w:t>Barzakh, Barazikh</w:t>
      </w:r>
      <w:r w:rsidRPr="00151C69">
        <w:tab/>
        <w:t>Barza</w:t>
      </w:r>
      <w:r w:rsidRPr="00151C69">
        <w:rPr>
          <w:u w:val="single"/>
        </w:rPr>
        <w:t>kh</w:t>
      </w:r>
      <w:r w:rsidRPr="00151C69">
        <w:t xml:space="preserve">, pl. </w:t>
      </w:r>
      <w:r w:rsidRPr="008F03E5">
        <w:t>Barázi</w:t>
      </w:r>
      <w:r w:rsidRPr="008F03E5">
        <w:rPr>
          <w:u w:val="single"/>
        </w:rPr>
        <w:t>kh</w:t>
      </w:r>
      <w:r w:rsidRPr="008F03E5">
        <w:tab/>
        <w:t>interval, gap, break, partition, bar, obstruction; isthmus.  An interworld, boundary between the mundane and celestial realms.  Example:  between this life and the next, between Heaven and Hell, the period between two manifestations etc.</w:t>
      </w:r>
    </w:p>
    <w:p w14:paraId="1EB4A01B" w14:textId="77777777" w:rsidR="00625A5B" w:rsidRPr="008F03E5" w:rsidRDefault="00625A5B" w:rsidP="008764A5">
      <w:pPr>
        <w:pStyle w:val="Translit"/>
      </w:pPr>
      <w:r w:rsidRPr="008F03E5">
        <w:t>Bas</w:t>
      </w:r>
      <w:r w:rsidRPr="008F03E5">
        <w:tab/>
        <w:t>Bas</w:t>
      </w:r>
      <w:r w:rsidRPr="008F03E5">
        <w:tab/>
        <w:t>Pers. a great number, many, more; very much, greatly; enough, sufficient; often; yes, indeed, certainly, it is so, very true, surely, undoubtedly, unquestionably</w:t>
      </w:r>
    </w:p>
    <w:p w14:paraId="126EE788" w14:textId="77777777" w:rsidR="00625A5B" w:rsidRPr="008F03E5" w:rsidRDefault="00625A5B" w:rsidP="00906CA5">
      <w:pPr>
        <w:pStyle w:val="Translit"/>
      </w:pPr>
      <w:r w:rsidRPr="00077779">
        <w:rPr>
          <w:lang w:val="es-ES_tradnl"/>
        </w:rPr>
        <w:t>Basar (“Bassar”), Absar</w:t>
      </w:r>
      <w:r w:rsidRPr="00077779">
        <w:rPr>
          <w:lang w:val="es-ES_tradnl"/>
        </w:rPr>
        <w:tab/>
        <w:t xml:space="preserve">Baṣar, pl. </w:t>
      </w:r>
      <w:r w:rsidRPr="008F03E5">
        <w:t>Abṣár</w:t>
      </w:r>
      <w:r w:rsidRPr="008F03E5">
        <w:tab/>
        <w:t>vision, eye-sight; glance, look; insight; sight, discernment, perception.  Name (“Baṣṣár”) given by Bahá’u’lláh to blind poet Mírzá Baqir Bihi</w:t>
      </w:r>
      <w:r w:rsidRPr="008F03E5">
        <w:rPr>
          <w:u w:val="single"/>
        </w:rPr>
        <w:t>sh</w:t>
      </w:r>
      <w:r w:rsidRPr="008F03E5">
        <w:t>tí</w:t>
      </w:r>
    </w:p>
    <w:p w14:paraId="43B4F6F7" w14:textId="77777777" w:rsidR="00625A5B" w:rsidRPr="008F03E5" w:rsidRDefault="00625A5B" w:rsidP="001C2DCA">
      <w:pPr>
        <w:pStyle w:val="Translit"/>
        <w:rPr>
          <w:rFonts w:eastAsia="Times New Roman"/>
        </w:rPr>
      </w:pPr>
      <w:r w:rsidRPr="008F03E5">
        <w:rPr>
          <w:rFonts w:eastAsia="Times New Roman"/>
        </w:rPr>
        <w:t>Bash</w:t>
      </w:r>
      <w:r w:rsidRPr="008F03E5">
        <w:rPr>
          <w:rFonts w:eastAsia="Times New Roman"/>
        </w:rPr>
        <w:tab/>
        <w:t>Bá</w:t>
      </w:r>
      <w:r w:rsidRPr="008F03E5">
        <w:rPr>
          <w:rFonts w:eastAsia="Times New Roman"/>
          <w:u w:val="single"/>
        </w:rPr>
        <w:t>sh</w:t>
      </w:r>
      <w:r w:rsidRPr="008F03E5">
        <w:rPr>
          <w:rFonts w:eastAsia="Times New Roman"/>
        </w:rPr>
        <w:tab/>
        <w:t>Ar. senior, chief (in compounds).  Pers. (imperative of b</w:t>
      </w:r>
      <w:r w:rsidRPr="008F03E5">
        <w:t>ú</w:t>
      </w:r>
      <w:r w:rsidRPr="008F03E5">
        <w:rPr>
          <w:rFonts w:eastAsia="Times New Roman"/>
        </w:rPr>
        <w:t>dan) be, stay, remain, wait, be still.</w:t>
      </w:r>
    </w:p>
    <w:p w14:paraId="1073422B" w14:textId="77777777" w:rsidR="00625A5B" w:rsidRPr="008F03E5" w:rsidRDefault="00625A5B" w:rsidP="001C2DCA">
      <w:pPr>
        <w:pStyle w:val="Translit"/>
      </w:pPr>
      <w:r w:rsidRPr="008F03E5">
        <w:t>Basha, Bashawat, Pasha</w:t>
      </w:r>
      <w:r w:rsidRPr="008F03E5">
        <w:tab/>
        <w:t>Bá</w:t>
      </w:r>
      <w:r w:rsidRPr="008F03E5">
        <w:rPr>
          <w:u w:val="single"/>
        </w:rPr>
        <w:t>sh</w:t>
      </w:r>
      <w:r w:rsidRPr="008F03E5">
        <w:t>á, (Pers. Pá</w:t>
      </w:r>
      <w:r w:rsidRPr="008F03E5">
        <w:rPr>
          <w:u w:val="single"/>
        </w:rPr>
        <w:t>sh</w:t>
      </w:r>
      <w:r w:rsidRPr="008F03E5">
        <w:t>á), pl. Bá</w:t>
      </w:r>
      <w:r w:rsidRPr="008F03E5">
        <w:rPr>
          <w:u w:val="single"/>
        </w:rPr>
        <w:t>sh</w:t>
      </w:r>
      <w:r w:rsidRPr="008F03E5">
        <w:t>awát</w:t>
      </w:r>
      <w:r w:rsidRPr="008F03E5">
        <w:tab/>
        <w:t>Ar. being, existing; English a basha or pasha (corruptions of bád</w:t>
      </w:r>
      <w:r w:rsidRPr="008F03E5">
        <w:rPr>
          <w:u w:val="single"/>
        </w:rPr>
        <w:t>sh</w:t>
      </w:r>
      <w:r w:rsidRPr="008F03E5">
        <w:t>áh (a king), pád</w:t>
      </w:r>
      <w:r w:rsidRPr="008F03E5">
        <w:rPr>
          <w:u w:val="single"/>
        </w:rPr>
        <w:t>sh</w:t>
      </w:r>
      <w:r w:rsidRPr="008F03E5">
        <w:t>áh, pádi</w:t>
      </w:r>
      <w:r w:rsidRPr="008F03E5">
        <w:rPr>
          <w:u w:val="single"/>
        </w:rPr>
        <w:t>sh</w:t>
      </w:r>
      <w:r w:rsidRPr="008F03E5">
        <w:t>áh, etc.); governor of a province, counsellor of state, great lord (or boy, prince); also sometimes the grand vazir.  Former honorary title given to Turkish officers of high rank.  bin-ba</w:t>
      </w:r>
      <w:r w:rsidRPr="008F03E5">
        <w:rPr>
          <w:u w:val="single"/>
        </w:rPr>
        <w:t>sh</w:t>
      </w:r>
      <w:r w:rsidRPr="008F03E5">
        <w:t>í (Turkish binbaşı) rank of major (1,000 men).  Pers. pl. Pá</w:t>
      </w:r>
      <w:r w:rsidRPr="008F03E5">
        <w:rPr>
          <w:u w:val="single"/>
        </w:rPr>
        <w:t>sh</w:t>
      </w:r>
      <w:r w:rsidRPr="008F03E5">
        <w:t>áhá.  Turkish paşa, pl. paşalar.</w:t>
      </w:r>
    </w:p>
    <w:p w14:paraId="30BE1655" w14:textId="77777777" w:rsidR="00625A5B" w:rsidRPr="008F03E5" w:rsidRDefault="00625A5B" w:rsidP="007F7D0A">
      <w:pPr>
        <w:pStyle w:val="Translit"/>
      </w:pPr>
      <w:r w:rsidRPr="008F03E5">
        <w:t>Bashar</w:t>
      </w:r>
      <w:r w:rsidRPr="008F03E5">
        <w:tab/>
        <w:t>Ba</w:t>
      </w:r>
      <w:r w:rsidRPr="008F03E5">
        <w:rPr>
          <w:u w:val="single"/>
        </w:rPr>
        <w:t>sh</w:t>
      </w:r>
      <w:r w:rsidRPr="008F03E5">
        <w:t>ar</w:t>
      </w:r>
      <w:r w:rsidRPr="008F03E5">
        <w:tab/>
        <w:t>man, human being; men, mankind</w:t>
      </w:r>
      <w:r w:rsidRPr="008F03E5">
        <w:rPr>
          <w:rFonts w:eastAsia="Times New Roman"/>
        </w:rPr>
        <w:t>; mortals, the human race</w:t>
      </w:r>
    </w:p>
    <w:p w14:paraId="076B82E4" w14:textId="77777777" w:rsidR="00625A5B" w:rsidRPr="008F03E5" w:rsidRDefault="00625A5B" w:rsidP="00C35BB6">
      <w:pPr>
        <w:pStyle w:val="Translit"/>
      </w:pPr>
      <w:r w:rsidRPr="008F03E5">
        <w:rPr>
          <w:rFonts w:eastAsia="Times New Roman"/>
        </w:rPr>
        <w:t>Bashi</w:t>
      </w:r>
      <w:r w:rsidRPr="008F03E5">
        <w:rPr>
          <w:rFonts w:eastAsia="Times New Roman"/>
        </w:rPr>
        <w:tab/>
        <w:t>B</w:t>
      </w:r>
      <w:r w:rsidRPr="008F03E5">
        <w:t>á</w:t>
      </w:r>
      <w:r w:rsidRPr="008F03E5">
        <w:rPr>
          <w:rFonts w:eastAsia="Times New Roman"/>
          <w:u w:val="single"/>
        </w:rPr>
        <w:t>sh</w:t>
      </w:r>
      <w:r w:rsidRPr="008F03E5">
        <w:t>í</w:t>
      </w:r>
      <w:r w:rsidRPr="008F03E5">
        <w:rPr>
          <w:rFonts w:eastAsia="Times New Roman"/>
        </w:rPr>
        <w:tab/>
        <w:t>(in compounds) chief, head or commander of</w:t>
      </w:r>
    </w:p>
    <w:p w14:paraId="4289074C" w14:textId="77777777" w:rsidR="00625A5B" w:rsidRPr="008F03E5" w:rsidRDefault="00625A5B" w:rsidP="00437951">
      <w:pPr>
        <w:pStyle w:val="Translit"/>
      </w:pPr>
      <w:r w:rsidRPr="008F03E5">
        <w:t>Bashir wa Nadhir</w:t>
      </w:r>
      <w:r w:rsidRPr="008F03E5">
        <w:tab/>
        <w:t>Ba</w:t>
      </w:r>
      <w:r w:rsidRPr="008F03E5">
        <w:rPr>
          <w:u w:val="single"/>
        </w:rPr>
        <w:t>sh</w:t>
      </w:r>
      <w:r w:rsidRPr="008F03E5">
        <w:t>ír wa Na</w:t>
      </w:r>
      <w:r w:rsidRPr="008F03E5">
        <w:rPr>
          <w:u w:val="single"/>
        </w:rPr>
        <w:t>dh</w:t>
      </w:r>
      <w:r w:rsidRPr="008F03E5">
        <w:t>ír</w:t>
      </w:r>
      <w:r w:rsidRPr="008F03E5">
        <w:tab/>
        <w:t>Bahá’u’lláh appeared as the “Announcer and Warner”, cf. Qur’án 35:22.</w:t>
      </w:r>
    </w:p>
    <w:p w14:paraId="1DE9B75E" w14:textId="77777777" w:rsidR="00625A5B" w:rsidRPr="008F03E5" w:rsidRDefault="00625A5B" w:rsidP="00ED31AC">
      <w:pPr>
        <w:pStyle w:val="Translit"/>
      </w:pPr>
      <w:r w:rsidRPr="008F03E5">
        <w:t>Bashir, Bushara’</w:t>
      </w:r>
      <w:r w:rsidRPr="008F03E5">
        <w:tab/>
        <w:t>Ba</w:t>
      </w:r>
      <w:r w:rsidRPr="008F03E5">
        <w:rPr>
          <w:u w:val="single"/>
        </w:rPr>
        <w:t>sh</w:t>
      </w:r>
      <w:r w:rsidRPr="008F03E5">
        <w:t>ír, pl. Bu</w:t>
      </w:r>
      <w:r w:rsidRPr="008F03E5">
        <w:rPr>
          <w:u w:val="single"/>
        </w:rPr>
        <w:t>sh</w:t>
      </w:r>
      <w:r w:rsidRPr="008F03E5">
        <w:t>ará’</w:t>
      </w:r>
      <w:r w:rsidRPr="008F03E5">
        <w:tab/>
        <w:t>bringer of glad tidings (announcer), messenger, herald, harbinger, forerunner, precursor; evangelist (Christian)</w:t>
      </w:r>
    </w:p>
    <w:p w14:paraId="2A2C52F0" w14:textId="77777777" w:rsidR="00625A5B" w:rsidRPr="008F03E5" w:rsidRDefault="00625A5B" w:rsidP="00900A82">
      <w:pPr>
        <w:pStyle w:val="Translit"/>
        <w:rPr>
          <w:rFonts w:eastAsia="PMingLiU"/>
          <w:lang w:eastAsia="zh-TW"/>
        </w:rPr>
      </w:pPr>
      <w:r w:rsidRPr="008F03E5">
        <w:rPr>
          <w:rFonts w:eastAsia="PMingLiU"/>
          <w:lang w:eastAsia="zh-TW"/>
        </w:rPr>
        <w:t>Bashiri</w:t>
      </w:r>
      <w:r w:rsidRPr="008F03E5">
        <w:rPr>
          <w:rFonts w:eastAsia="PMingLiU"/>
          <w:lang w:eastAsia="zh-TW"/>
        </w:rPr>
        <w:tab/>
        <w:t>Ba</w:t>
      </w:r>
      <w:r w:rsidRPr="008F03E5">
        <w:rPr>
          <w:u w:val="single"/>
        </w:rPr>
        <w:t>sh</w:t>
      </w:r>
      <w:r w:rsidRPr="008F03E5">
        <w:t>í</w:t>
      </w:r>
      <w:r w:rsidRPr="008F03E5">
        <w:rPr>
          <w:rFonts w:eastAsia="PMingLiU"/>
          <w:lang w:eastAsia="zh-TW"/>
        </w:rPr>
        <w:t>r</w:t>
      </w:r>
      <w:r w:rsidRPr="008F03E5">
        <w:t>í</w:t>
      </w:r>
    </w:p>
    <w:p w14:paraId="0176871A" w14:textId="77777777" w:rsidR="00625A5B" w:rsidRPr="008F03E5" w:rsidRDefault="00625A5B" w:rsidP="00900A82">
      <w:pPr>
        <w:pStyle w:val="Translit"/>
      </w:pPr>
      <w:r w:rsidRPr="008F03E5">
        <w:t>Bashir-i-Ilahi</w:t>
      </w:r>
      <w:r w:rsidRPr="008F03E5">
        <w:tab/>
        <w:t>Ba</w:t>
      </w:r>
      <w:r w:rsidRPr="008F03E5">
        <w:rPr>
          <w:u w:val="single"/>
        </w:rPr>
        <w:t>sh</w:t>
      </w:r>
      <w:r w:rsidRPr="008F03E5">
        <w:t>ír-i-Iláhí</w:t>
      </w:r>
      <w:r w:rsidRPr="008F03E5">
        <w:tab/>
        <w:t>Announcer of God</w:t>
      </w:r>
    </w:p>
    <w:p w14:paraId="3B298F9E" w14:textId="77777777" w:rsidR="00625A5B" w:rsidRPr="008F03E5" w:rsidRDefault="00625A5B" w:rsidP="00BA24A4">
      <w:pPr>
        <w:pStyle w:val="Translit"/>
        <w:rPr>
          <w:rFonts w:eastAsia="PMingLiU"/>
          <w:lang w:eastAsia="zh-TW"/>
        </w:rPr>
      </w:pPr>
      <w:r w:rsidRPr="008F03E5">
        <w:rPr>
          <w:rFonts w:eastAsia="PMingLiU"/>
          <w:lang w:eastAsia="zh-TW"/>
        </w:rPr>
        <w:t>Bashnih (Beshneh)</w:t>
      </w:r>
      <w:r w:rsidRPr="008F03E5">
        <w:tab/>
      </w:r>
      <w:r w:rsidRPr="008F03E5">
        <w:rPr>
          <w:rFonts w:eastAsia="PMingLiU"/>
          <w:lang w:eastAsia="zh-TW"/>
        </w:rPr>
        <w:t>Ba</w:t>
      </w:r>
      <w:r w:rsidRPr="008F03E5">
        <w:rPr>
          <w:u w:val="single"/>
        </w:rPr>
        <w:t>sh</w:t>
      </w:r>
      <w:r w:rsidRPr="008F03E5">
        <w:rPr>
          <w:rFonts w:eastAsia="PMingLiU"/>
          <w:lang w:eastAsia="zh-TW"/>
        </w:rPr>
        <w:t>nih</w:t>
      </w:r>
      <w:r w:rsidRPr="008F03E5">
        <w:tab/>
        <w:t xml:space="preserve">a village (29.362013, 54.834977) 53 km </w:t>
      </w:r>
      <w:r w:rsidRPr="008F03E5">
        <w:rPr>
          <w:sz w:val="16"/>
          <w:szCs w:val="16"/>
        </w:rPr>
        <w:t>ENE</w:t>
      </w:r>
      <w:r w:rsidRPr="008F03E5">
        <w:t xml:space="preserve"> of Nayríz; a town (28.793284, 55.036605) 85 km SE Nayriz.  Both are in Fars Province.</w:t>
      </w:r>
    </w:p>
    <w:p w14:paraId="44776974" w14:textId="77777777" w:rsidR="00625A5B" w:rsidRPr="008F03E5" w:rsidRDefault="00625A5B" w:rsidP="00745003">
      <w:pPr>
        <w:pStyle w:val="Translit"/>
      </w:pPr>
      <w:r w:rsidRPr="008F03E5">
        <w:t>Basir</w:t>
      </w:r>
      <w:r w:rsidRPr="008F03E5">
        <w:tab/>
        <w:t>Baṣír</w:t>
      </w:r>
      <w:r w:rsidRPr="008F03E5">
        <w:tab/>
        <w:t>(most insightful, discerning, endowed with insight, seeing).  Adjective, superlative form of Baṣár (sight).</w:t>
      </w:r>
    </w:p>
    <w:p w14:paraId="34157044" w14:textId="77777777" w:rsidR="00625A5B" w:rsidRPr="008F03E5" w:rsidRDefault="00625A5B" w:rsidP="00745003">
      <w:pPr>
        <w:pStyle w:val="Translit"/>
      </w:pPr>
      <w:r w:rsidRPr="008F03E5">
        <w:t>Basira</w:t>
      </w:r>
      <w:r w:rsidRPr="008F03E5">
        <w:tab/>
        <w:t>Baṣíra, pl. Baṣá’ir</w:t>
      </w:r>
      <w:r w:rsidRPr="008F03E5">
        <w:tab/>
        <w:t>(keen) insight, penetration, discernment, understanding, (power of) mental perception, mental vision</w:t>
      </w:r>
    </w:p>
    <w:p w14:paraId="3580B479" w14:textId="77777777" w:rsidR="00625A5B" w:rsidRPr="008F03E5" w:rsidRDefault="00625A5B" w:rsidP="00F04CFC">
      <w:pPr>
        <w:pStyle w:val="Translit"/>
        <w:rPr>
          <w:rFonts w:eastAsia="PMingLiU"/>
          <w:lang w:eastAsia="zh-TW"/>
        </w:rPr>
      </w:pPr>
      <w:r w:rsidRPr="008F03E5">
        <w:rPr>
          <w:rFonts w:eastAsia="PMingLiU"/>
          <w:lang w:eastAsia="zh-TW"/>
        </w:rPr>
        <w:t>Bas</w:t>
      </w:r>
      <w:r w:rsidRPr="008F03E5">
        <w:t>i</w:t>
      </w:r>
      <w:r w:rsidRPr="008F03E5">
        <w:rPr>
          <w:rFonts w:eastAsia="PMingLiU"/>
          <w:lang w:eastAsia="zh-TW"/>
        </w:rPr>
        <w:t>r-i-Hind</w:t>
      </w:r>
      <w:r w:rsidRPr="008F03E5">
        <w:t>i</w:t>
      </w:r>
      <w:r w:rsidRPr="008F03E5">
        <w:tab/>
      </w:r>
      <w:r w:rsidRPr="008F03E5">
        <w:rPr>
          <w:rFonts w:eastAsia="PMingLiU"/>
          <w:lang w:eastAsia="zh-TW"/>
        </w:rPr>
        <w:t>Ba</w:t>
      </w:r>
      <w:r w:rsidRPr="008F03E5">
        <w:t>ṣí</w:t>
      </w:r>
      <w:r w:rsidRPr="008F03E5">
        <w:rPr>
          <w:rFonts w:eastAsia="PMingLiU"/>
          <w:lang w:eastAsia="zh-TW"/>
        </w:rPr>
        <w:t>r-i-Hind</w:t>
      </w:r>
      <w:r w:rsidRPr="008F03E5">
        <w:t>í</w:t>
      </w:r>
      <w:r w:rsidRPr="008F03E5">
        <w:tab/>
        <w:t xml:space="preserve">Siyyid </w:t>
      </w:r>
      <w:r w:rsidRPr="008F03E5">
        <w:rPr>
          <w:rFonts w:eastAsia="PMingLiU"/>
          <w:lang w:eastAsia="zh-TW"/>
        </w:rPr>
        <w:t>Ba</w:t>
      </w:r>
      <w:r w:rsidRPr="008F03E5">
        <w:t>ṣí</w:t>
      </w:r>
      <w:r w:rsidRPr="008F03E5">
        <w:rPr>
          <w:rFonts w:eastAsia="PMingLiU"/>
          <w:lang w:eastAsia="zh-TW"/>
        </w:rPr>
        <w:t>r-i-Hind</w:t>
      </w:r>
      <w:r w:rsidRPr="008F03E5">
        <w:t>í, the blind Indian Bábí</w:t>
      </w:r>
    </w:p>
    <w:p w14:paraId="259862A5" w14:textId="77777777" w:rsidR="00625A5B" w:rsidRPr="008F03E5" w:rsidRDefault="00625A5B" w:rsidP="009B2A64">
      <w:pPr>
        <w:pStyle w:val="Translit"/>
      </w:pPr>
      <w:r w:rsidRPr="008F03E5">
        <w:t>Basit</w:t>
      </w:r>
      <w:r w:rsidRPr="008F03E5">
        <w:tab/>
        <w:t>Básiṭ</w:t>
      </w:r>
      <w:r w:rsidRPr="008F03E5">
        <w:tab/>
        <w:t>Pers. one who spreads abroad or stretches out; an attribute of God, who dispenses riches to whom he will; distant from water (pasture).  “open”</w:t>
      </w:r>
    </w:p>
    <w:p w14:paraId="620D21DD" w14:textId="77777777" w:rsidR="00625A5B" w:rsidRPr="008F03E5" w:rsidRDefault="00625A5B" w:rsidP="003E0566">
      <w:pPr>
        <w:pStyle w:val="Translit"/>
      </w:pPr>
      <w:r w:rsidRPr="008F03E5">
        <w:t>Basit, Busata’</w:t>
      </w:r>
      <w:r w:rsidRPr="008F03E5">
        <w:tab/>
        <w:t>Basíṭ, pl. Busaṭá’</w:t>
      </w:r>
      <w:r w:rsidRPr="008F03E5">
        <w:tab/>
        <w:t>simple; plain, uncomplicated; slight, little, modest, inconsiderable, trivial, trifling;—pl. simple souls, ingenuous people</w:t>
      </w:r>
    </w:p>
    <w:p w14:paraId="2CD917E4" w14:textId="77777777" w:rsidR="00625A5B" w:rsidRPr="008F03E5" w:rsidRDefault="00625A5B" w:rsidP="003E0566">
      <w:pPr>
        <w:pStyle w:val="Translit"/>
      </w:pPr>
      <w:r w:rsidRPr="008F03E5">
        <w:t>Basita</w:t>
      </w:r>
      <w:r w:rsidRPr="008F03E5">
        <w:tab/>
        <w:t>al-Basíṭa[h or t]</w:t>
      </w:r>
      <w:r w:rsidRPr="008F03E5">
        <w:tab/>
        <w:t>the earth, the world</w:t>
      </w:r>
    </w:p>
    <w:p w14:paraId="1F76624B" w14:textId="77777777" w:rsidR="00625A5B" w:rsidRPr="008F03E5" w:rsidRDefault="00625A5B" w:rsidP="00EB10E7">
      <w:pPr>
        <w:pStyle w:val="Translit"/>
      </w:pPr>
      <w:r w:rsidRPr="008F03E5">
        <w:t>Basmala</w:t>
      </w:r>
      <w:r w:rsidRPr="008F03E5">
        <w:tab/>
        <w:t>Basmala, pl. Basmalát</w:t>
      </w:r>
      <w:r w:rsidRPr="008F03E5">
        <w:tab/>
        <w:t>“word” meaning to utter the invocation bismi’lláh ar-raḥmáni ar-raḥími “In the name of God, the Benificent, the Merciful”.  The “word” is derived from “in the name of” and is the act of uttering the above invocation.</w:t>
      </w:r>
    </w:p>
    <w:p w14:paraId="1BA59045" w14:textId="77777777" w:rsidR="00625A5B" w:rsidRPr="008F03E5" w:rsidRDefault="00625A5B" w:rsidP="001E379F">
      <w:pPr>
        <w:pStyle w:val="Translit"/>
      </w:pPr>
      <w:r w:rsidRPr="008F03E5">
        <w:t>Basra (Basrih)</w:t>
      </w:r>
      <w:r w:rsidRPr="008F03E5">
        <w:tab/>
        <w:t>Baṣra[h or t] (Pers. Bahá’í Baṣrih)</w:t>
      </w:r>
      <w:r w:rsidRPr="008F03E5">
        <w:tab/>
        <w:t>a single pimple or pustule.  Baṣrah “port” in southern Iraq (untranscripted variations:  The new al-Fáw Grand Harbour (Míná’ al-Fáw al-Kabír), about 100 km SE of Basrah, on the Persian Gulf is under construction.  Basra, Bosrah, Basorah, Balsora)</w:t>
      </w:r>
    </w:p>
    <w:p w14:paraId="399C634F" w14:textId="77777777" w:rsidR="00625A5B" w:rsidRPr="008F03E5" w:rsidRDefault="00625A5B" w:rsidP="00721F7B">
      <w:pPr>
        <w:pStyle w:val="Translit"/>
        <w:rPr>
          <w:rFonts w:eastAsia="PMingLiU"/>
          <w:lang w:eastAsia="zh-TW"/>
        </w:rPr>
      </w:pPr>
      <w:r w:rsidRPr="008F03E5">
        <w:rPr>
          <w:rFonts w:eastAsia="PMingLiU"/>
          <w:lang w:eastAsia="zh-TW"/>
        </w:rPr>
        <w:t>Basri, Basriyun</w:t>
      </w:r>
      <w:r w:rsidRPr="008F03E5">
        <w:tab/>
      </w:r>
      <w:r w:rsidRPr="008F03E5">
        <w:rPr>
          <w:rFonts w:eastAsia="PMingLiU"/>
          <w:lang w:eastAsia="zh-TW"/>
        </w:rPr>
        <w:t>Ba</w:t>
      </w:r>
      <w:r w:rsidRPr="008F03E5">
        <w:t>ṣ</w:t>
      </w:r>
      <w:r w:rsidRPr="008F03E5">
        <w:rPr>
          <w:rFonts w:eastAsia="PMingLiU"/>
          <w:lang w:eastAsia="zh-TW"/>
        </w:rPr>
        <w:t>rí, pl. Ba</w:t>
      </w:r>
      <w:r w:rsidRPr="008F03E5">
        <w:t>ṣ</w:t>
      </w:r>
      <w:r w:rsidRPr="008F03E5">
        <w:rPr>
          <w:rFonts w:eastAsia="PMingLiU"/>
          <w:lang w:eastAsia="zh-TW"/>
        </w:rPr>
        <w:t>riy</w:t>
      </w:r>
      <w:r w:rsidRPr="008F03E5">
        <w:t>ú</w:t>
      </w:r>
      <w:r w:rsidRPr="008F03E5">
        <w:rPr>
          <w:rFonts w:eastAsia="PMingLiU"/>
          <w:lang w:eastAsia="zh-TW"/>
        </w:rPr>
        <w:t>n</w:t>
      </w:r>
      <w:r w:rsidRPr="008F03E5">
        <w:tab/>
        <w:t xml:space="preserve">native of al-Baṣrah.  </w:t>
      </w:r>
      <w:r w:rsidRPr="008F03E5">
        <w:rPr>
          <w:rFonts w:eastAsia="PMingLiU"/>
          <w:lang w:eastAsia="zh-TW"/>
        </w:rPr>
        <w:t>Ba</w:t>
      </w:r>
      <w:r w:rsidRPr="008F03E5">
        <w:t>ṣ</w:t>
      </w:r>
      <w:r w:rsidRPr="008F03E5">
        <w:rPr>
          <w:rFonts w:eastAsia="PMingLiU"/>
          <w:lang w:eastAsia="zh-TW"/>
        </w:rPr>
        <w:t>riy</w:t>
      </w:r>
      <w:r w:rsidRPr="008F03E5">
        <w:t>ú</w:t>
      </w:r>
      <w:r w:rsidRPr="008F03E5">
        <w:rPr>
          <w:rFonts w:eastAsia="PMingLiU"/>
          <w:lang w:eastAsia="zh-TW"/>
        </w:rPr>
        <w:t xml:space="preserve">n (English </w:t>
      </w:r>
      <w:r w:rsidRPr="008F03E5">
        <w:t xml:space="preserve">Basran, </w:t>
      </w:r>
      <w:r w:rsidRPr="008F03E5">
        <w:rPr>
          <w:rFonts w:eastAsia="PMingLiU"/>
          <w:lang w:eastAsia="zh-TW"/>
        </w:rPr>
        <w:t xml:space="preserve">school of) grammarians.  See </w:t>
      </w:r>
      <w:r w:rsidRPr="008F03E5">
        <w:t>Kúfí</w:t>
      </w:r>
    </w:p>
    <w:p w14:paraId="3F9AA90A" w14:textId="77777777" w:rsidR="00625A5B" w:rsidRPr="008F03E5" w:rsidRDefault="00625A5B" w:rsidP="00EA4DB4">
      <w:pPr>
        <w:pStyle w:val="Translit"/>
      </w:pPr>
      <w:r w:rsidRPr="008F03E5">
        <w:t>Bast</w:t>
      </w:r>
      <w:r w:rsidRPr="008F03E5">
        <w:tab/>
        <w:t>Basṭ</w:t>
      </w:r>
      <w:r w:rsidRPr="008F03E5">
        <w:tab/>
        <w:t>Pers. (verbal noun) stretching out (the hand); distension; diffusiveness; being wide enough for; preferring, exalting</w:t>
      </w:r>
    </w:p>
    <w:p w14:paraId="2B53A838" w14:textId="77777777" w:rsidR="00625A5B" w:rsidRPr="008F03E5" w:rsidRDefault="00625A5B" w:rsidP="00004DDD">
      <w:pPr>
        <w:pStyle w:val="Translit"/>
      </w:pPr>
      <w:r w:rsidRPr="008F03E5">
        <w:t>Bast</w:t>
      </w:r>
      <w:r w:rsidRPr="008F03E5">
        <w:tab/>
        <w:t>Bast</w:t>
      </w:r>
      <w:r w:rsidRPr="008F03E5">
        <w:tab/>
        <w:t>Pers. be bound or connected; a lover, a sweetheart, one in whom the heart is bound up; a turban, wreath for the head; a knot; a hundred; a sanctuary, asylum; a bank, a rampart; a mountain; distribution of water into canals, ditches, or drains</w:t>
      </w:r>
    </w:p>
    <w:p w14:paraId="4369400A" w14:textId="77777777" w:rsidR="00625A5B" w:rsidRPr="008F03E5" w:rsidRDefault="00625A5B" w:rsidP="004B4C3B">
      <w:pPr>
        <w:pStyle w:val="Translit"/>
      </w:pPr>
      <w:r w:rsidRPr="008F03E5">
        <w:t>Bastam, Bistam, Bustam</w:t>
      </w:r>
      <w:r w:rsidRPr="008F03E5">
        <w:tab/>
        <w:t>Basṭám, Bisṭám or Busṭám</w:t>
      </w:r>
      <w:r w:rsidRPr="008F03E5">
        <w:tab/>
        <w:t xml:space="preserve">city </w:t>
      </w:r>
      <w:r>
        <w:t>(</w:t>
      </w:r>
      <w:r w:rsidRPr="004B4C3B">
        <w:t>36.48379</w:t>
      </w:r>
      <w:r>
        <w:t>0</w:t>
      </w:r>
      <w:r w:rsidRPr="004B4C3B">
        <w:t>, 55.000131</w:t>
      </w:r>
      <w:r>
        <w:t xml:space="preserve">) </w:t>
      </w:r>
      <w:r w:rsidRPr="008F03E5">
        <w:t xml:space="preserve">in and capital of the Bastam District of Shahrud County, Semnan Province, Iran.  8 km north of </w:t>
      </w:r>
      <w:r w:rsidRPr="008F03E5">
        <w:rPr>
          <w:u w:val="single"/>
        </w:rPr>
        <w:t>Sh</w:t>
      </w:r>
      <w:r w:rsidRPr="008F03E5">
        <w:t>áhrúd.  Home of Mullá ‘Alí, the fourth Letter of Living.</w:t>
      </w:r>
    </w:p>
    <w:p w14:paraId="37CA955A" w14:textId="77777777" w:rsidR="00625A5B" w:rsidRPr="004B4C3B" w:rsidRDefault="00625A5B" w:rsidP="00B11934">
      <w:pPr>
        <w:pStyle w:val="Translit"/>
        <w:rPr>
          <w:b/>
          <w:bCs/>
          <w:lang w:val="en-AU"/>
        </w:rPr>
      </w:pPr>
      <w:r w:rsidRPr="004B4C3B">
        <w:rPr>
          <w:lang w:val="en-AU"/>
        </w:rPr>
        <w:t>Bastami, Bistami</w:t>
      </w:r>
      <w:r w:rsidRPr="004B4C3B">
        <w:rPr>
          <w:lang w:val="en-AU"/>
        </w:rPr>
        <w:tab/>
        <w:t>Basṭámí, Bisṭámí</w:t>
      </w:r>
      <w:r w:rsidRPr="004B4C3B">
        <w:rPr>
          <w:lang w:val="en-AU"/>
        </w:rPr>
        <w:tab/>
        <w:t>from or of</w:t>
      </w:r>
      <w:r>
        <w:rPr>
          <w:lang w:val="en-AU"/>
        </w:rPr>
        <w:t xml:space="preserve"> </w:t>
      </w:r>
      <w:r w:rsidRPr="008F03E5">
        <w:t>Basṭám</w:t>
      </w:r>
      <w:r>
        <w:t xml:space="preserve">.  </w:t>
      </w:r>
      <w:r w:rsidRPr="004B4C3B">
        <w:t>Ab</w:t>
      </w:r>
      <w:r>
        <w:t>ú</w:t>
      </w:r>
      <w:r w:rsidRPr="004B4C3B">
        <w:t xml:space="preserve"> Yaz</w:t>
      </w:r>
      <w:r>
        <w:t>í</w:t>
      </w:r>
      <w:r w:rsidRPr="004B4C3B">
        <w:t>d Ṭayf</w:t>
      </w:r>
      <w:r>
        <w:t>ú</w:t>
      </w:r>
      <w:r w:rsidRPr="004B4C3B">
        <w:t xml:space="preserve">r bin </w:t>
      </w:r>
      <w:r>
        <w:t>‘Í</w:t>
      </w:r>
      <w:r w:rsidRPr="004B4C3B">
        <w:t>s</w:t>
      </w:r>
      <w:r>
        <w:t>á</w:t>
      </w:r>
      <w:r w:rsidRPr="004B4C3B">
        <w:t xml:space="preserve"> bin Sur</w:t>
      </w:r>
      <w:r>
        <w:t>ú</w:t>
      </w:r>
      <w:r w:rsidRPr="004B4C3B">
        <w:rPr>
          <w:u w:val="single"/>
        </w:rPr>
        <w:t>sh</w:t>
      </w:r>
      <w:r>
        <w:t>á</w:t>
      </w:r>
      <w:r w:rsidRPr="004B4C3B">
        <w:t>n al-Bisṭ</w:t>
      </w:r>
      <w:r>
        <w:t>á</w:t>
      </w:r>
      <w:r w:rsidRPr="004B4C3B">
        <w:t>m</w:t>
      </w:r>
      <w:r>
        <w:t>í</w:t>
      </w:r>
      <w:r w:rsidRPr="004B4C3B">
        <w:t xml:space="preserve"> (8</w:t>
      </w:r>
      <w:r>
        <w:t>0</w:t>
      </w:r>
      <w:r w:rsidRPr="004B4C3B">
        <w:t>4</w:t>
      </w:r>
      <w:r>
        <w:t>–87</w:t>
      </w:r>
      <w:r w:rsidRPr="004B4C3B">
        <w:t>4), commonly known in the Iranian world as B</w:t>
      </w:r>
      <w:r>
        <w:t>á</w:t>
      </w:r>
      <w:r w:rsidRPr="004B4C3B">
        <w:t>yaz</w:t>
      </w:r>
      <w:r>
        <w:t>í</w:t>
      </w:r>
      <w:r w:rsidRPr="004B4C3B">
        <w:t>d Bisṭ</w:t>
      </w:r>
      <w:r>
        <w:t>á</w:t>
      </w:r>
      <w:r w:rsidRPr="004B4C3B">
        <w:t>m</w:t>
      </w:r>
      <w:r>
        <w:t>í</w:t>
      </w:r>
      <w:r w:rsidRPr="004B4C3B">
        <w:t>, was a Persian Ṣúfí</w:t>
      </w:r>
      <w:r>
        <w:t>.  Known to later Sufis as</w:t>
      </w:r>
      <w:r w:rsidRPr="00417520">
        <w:t xml:space="preserve"> </w:t>
      </w:r>
      <w:r w:rsidRPr="00B11934">
        <w:t>Sulṭ</w:t>
      </w:r>
      <w:r>
        <w:t>án a</w:t>
      </w:r>
      <w:r w:rsidRPr="00B11934">
        <w:t>l-</w:t>
      </w:r>
      <w:r>
        <w:t>‘Á</w:t>
      </w:r>
      <w:r w:rsidRPr="00B11934">
        <w:t>rif</w:t>
      </w:r>
      <w:r>
        <w:t>í</w:t>
      </w:r>
      <w:r w:rsidRPr="00B11934">
        <w:t>n</w:t>
      </w:r>
      <w:r>
        <w:t xml:space="preserve"> </w:t>
      </w:r>
      <w:r w:rsidRPr="00B11934">
        <w:t>(</w:t>
      </w:r>
      <w:r>
        <w:t>“</w:t>
      </w:r>
      <w:r w:rsidRPr="00B11934">
        <w:t>the king among those who have Knowledge (of God)</w:t>
      </w:r>
      <w:r>
        <w:t>”,</w:t>
      </w:r>
      <w:r w:rsidRPr="00B11934">
        <w:t xml:space="preserve"> metaphorically, </w:t>
      </w:r>
      <w:r>
        <w:t>“</w:t>
      </w:r>
      <w:r w:rsidRPr="00B11934">
        <w:t>the first among the Wise</w:t>
      </w:r>
      <w:r>
        <w:t>”; or</w:t>
      </w:r>
      <w:r w:rsidRPr="00B11934">
        <w:t xml:space="preserve"> </w:t>
      </w:r>
      <w:r>
        <w:t>“</w:t>
      </w:r>
      <w:r w:rsidRPr="00B11934">
        <w:t>King of the Gnostics</w:t>
      </w:r>
      <w:r>
        <w:t>”</w:t>
      </w:r>
      <w:r w:rsidRPr="00B11934">
        <w:t>)</w:t>
      </w:r>
      <w:r>
        <w:t xml:space="preserve">.  Shrine is in central </w:t>
      </w:r>
      <w:r w:rsidRPr="008F03E5">
        <w:t>Basṭám</w:t>
      </w:r>
      <w:r>
        <w:t>.</w:t>
      </w:r>
    </w:p>
    <w:p w14:paraId="71D06FBD" w14:textId="77777777" w:rsidR="00625A5B" w:rsidRPr="008F03E5" w:rsidRDefault="00625A5B" w:rsidP="00560797">
      <w:pPr>
        <w:pStyle w:val="Translit"/>
      </w:pPr>
      <w:r w:rsidRPr="008F03E5">
        <w:t>Bastan</w:t>
      </w:r>
      <w:r w:rsidRPr="008F03E5">
        <w:tab/>
        <w:t>Bástán</w:t>
      </w:r>
      <w:r w:rsidRPr="008F03E5">
        <w:tab/>
        <w:t>Pers. ancient, preceding, old; the past; the world, fortune; solitary</w:t>
      </w:r>
    </w:p>
    <w:p w14:paraId="645BA1E4" w14:textId="77777777" w:rsidR="00625A5B" w:rsidRPr="008F03E5" w:rsidRDefault="00625A5B" w:rsidP="00004DDD">
      <w:pPr>
        <w:pStyle w:val="Translit"/>
      </w:pPr>
      <w:r w:rsidRPr="008F03E5">
        <w:t>Batara (Batr)</w:t>
      </w:r>
      <w:r w:rsidRPr="008F03E5">
        <w:tab/>
        <w:t>Batara (Batr)</w:t>
      </w:r>
      <w:r w:rsidRPr="008F03E5">
        <w:tab/>
        <w:t xml:space="preserve">to cut off, sever (something); to amputate (something); to mutilate, render fragmentarily (a text) Form </w:t>
      </w:r>
      <w:r w:rsidRPr="008F03E5">
        <w:rPr>
          <w:sz w:val="16"/>
          <w:szCs w:val="16"/>
        </w:rPr>
        <w:t>VII</w:t>
      </w:r>
      <w:r w:rsidRPr="008F03E5">
        <w:t xml:space="preserve"> to be cut off, be severed, be amputated</w:t>
      </w:r>
    </w:p>
    <w:p w14:paraId="2A5E87D0" w14:textId="77777777" w:rsidR="00625A5B" w:rsidRPr="008F03E5" w:rsidRDefault="00625A5B" w:rsidP="00AB6F2D">
      <w:pPr>
        <w:pStyle w:val="Translit"/>
      </w:pPr>
      <w:r w:rsidRPr="008F03E5">
        <w:t>Batha’, Bitah, Bathawat</w:t>
      </w:r>
      <w:r w:rsidRPr="008F03E5">
        <w:tab/>
        <w:t>Baṭḥá’, pl. Biṭáḥ, Baṭḥawát</w:t>
      </w:r>
      <w:r w:rsidRPr="008F03E5">
        <w:tab/>
        <w:t>basin-shaped valley; plain, level land, flatland, open country.  Baṭḥá’ Quray</w:t>
      </w:r>
      <w:r w:rsidRPr="008F03E5">
        <w:rPr>
          <w:u w:val="single"/>
        </w:rPr>
        <w:t>sh</w:t>
      </w:r>
      <w:r w:rsidRPr="008F03E5">
        <w:t xml:space="preserve"> is a southern neighbourhood of Mecca.  See Makkah.</w:t>
      </w:r>
    </w:p>
    <w:p w14:paraId="078D0431" w14:textId="77777777" w:rsidR="00625A5B" w:rsidRPr="008F03E5" w:rsidRDefault="00625A5B" w:rsidP="00AB1C1A">
      <w:pPr>
        <w:pStyle w:val="Translit"/>
      </w:pPr>
      <w:r w:rsidRPr="008F03E5">
        <w:t>Batil, Abatil</w:t>
      </w:r>
      <w:r w:rsidRPr="008F03E5">
        <w:tab/>
        <w:t>Báṭil, pl. Abáṭíl</w:t>
      </w:r>
      <w:r w:rsidRPr="008F03E5">
        <w:tab/>
        <w:t>nugatory (of no value or importance), vain, futile; false, untrue; absurd, groundless, baseless; worthless; invalid, null, void; deception, lie, falsehood;—pl. vanities, trivialities, trifles, flimflam, idle talk, prattle</w:t>
      </w:r>
    </w:p>
    <w:p w14:paraId="47E6862B" w14:textId="77777777" w:rsidR="00625A5B" w:rsidRPr="008F03E5" w:rsidRDefault="00625A5B" w:rsidP="00D65ED0">
      <w:pPr>
        <w:pStyle w:val="Translit"/>
      </w:pPr>
      <w:r w:rsidRPr="008F03E5">
        <w:t>Batin, Bawatin</w:t>
      </w:r>
      <w:r w:rsidRPr="008F03E5">
        <w:tab/>
        <w:t>Báṭin, pl. Bawáṭin</w:t>
      </w:r>
      <w:r w:rsidRPr="008F03E5">
        <w:tab/>
        <w:t xml:space="preserve">inner, interior, inward, inmost, intrinsic; hidden (concealed), secret.  Derived from baṭn.  See Ẓáhir.  </w:t>
      </w:r>
      <w:r w:rsidRPr="008F03E5">
        <w:rPr>
          <w:i/>
          <w:iCs/>
        </w:rPr>
        <w:t>báṭin al-báṭin—</w:t>
      </w:r>
      <w:r w:rsidRPr="008F03E5">
        <w:t>inner inward meaning.</w:t>
      </w:r>
    </w:p>
    <w:p w14:paraId="71B60C90" w14:textId="77777777" w:rsidR="00625A5B" w:rsidRPr="00F82D30" w:rsidRDefault="00625A5B" w:rsidP="007A001E">
      <w:pPr>
        <w:pStyle w:val="Translit"/>
        <w:rPr>
          <w:lang w:val="it-IT"/>
        </w:rPr>
      </w:pPr>
      <w:r w:rsidRPr="00F82D30">
        <w:rPr>
          <w:lang w:val="it-IT"/>
        </w:rPr>
        <w:t>Batini</w:t>
      </w:r>
      <w:r w:rsidRPr="00F82D30">
        <w:rPr>
          <w:lang w:val="it-IT"/>
        </w:rPr>
        <w:tab/>
        <w:t>Báṭiní</w:t>
      </w:r>
      <w:r w:rsidRPr="00F82D30">
        <w:rPr>
          <w:lang w:val="it-IT"/>
        </w:rPr>
        <w:tab/>
        <w:t>internal</w:t>
      </w:r>
    </w:p>
    <w:p w14:paraId="700CF48F" w14:textId="77777777" w:rsidR="00625A5B" w:rsidRPr="00E42558" w:rsidRDefault="00625A5B" w:rsidP="00627AA9">
      <w:pPr>
        <w:pStyle w:val="Translit"/>
        <w:rPr>
          <w:lang w:val="en-AU"/>
        </w:rPr>
      </w:pPr>
      <w:r w:rsidRPr="00F82D30">
        <w:rPr>
          <w:lang w:val="it-IT"/>
        </w:rPr>
        <w:t>Batn, Butun, Abutun</w:t>
      </w:r>
      <w:r w:rsidRPr="00F82D30">
        <w:rPr>
          <w:lang w:val="it-IT"/>
        </w:rPr>
        <w:tab/>
        <w:t xml:space="preserve">Baṭn, pl. </w:t>
      </w:r>
      <w:r w:rsidRPr="00E42558">
        <w:rPr>
          <w:lang w:val="en-AU"/>
        </w:rPr>
        <w:t>Buṭún, Abṭun</w:t>
      </w:r>
      <w:r w:rsidRPr="00E42558">
        <w:rPr>
          <w:lang w:val="en-AU"/>
        </w:rPr>
        <w:tab/>
        <w:t>belly, stomach, abdomen; womb; interior, inside, inner portion; depth</w:t>
      </w:r>
    </w:p>
    <w:p w14:paraId="3C0F02B8" w14:textId="77777777" w:rsidR="00625A5B" w:rsidRPr="00E42558" w:rsidRDefault="00625A5B" w:rsidP="00742A5C">
      <w:pPr>
        <w:pStyle w:val="Translit"/>
        <w:rPr>
          <w:lang w:val="en-AU"/>
        </w:rPr>
      </w:pPr>
      <w:r w:rsidRPr="00E42558">
        <w:rPr>
          <w:lang w:val="en-AU"/>
        </w:rPr>
        <w:t>Batt (Butt)</w:t>
      </w:r>
      <w:r w:rsidRPr="00E42558">
        <w:rPr>
          <w:lang w:val="en-AU"/>
        </w:rPr>
        <w:tab/>
        <w:t>Batt</w:t>
      </w:r>
      <w:r w:rsidRPr="00E42558">
        <w:rPr>
          <w:lang w:val="en-AU"/>
        </w:rPr>
        <w:tab/>
        <w:t>settlement, decision</w:t>
      </w:r>
    </w:p>
    <w:p w14:paraId="26E80E8F" w14:textId="77777777" w:rsidR="00625A5B" w:rsidRPr="008F03E5" w:rsidRDefault="00625A5B" w:rsidP="00C52C59">
      <w:pPr>
        <w:pStyle w:val="Translit"/>
      </w:pPr>
      <w:r w:rsidRPr="008F03E5">
        <w:t>Battah</w:t>
      </w:r>
      <w:r w:rsidRPr="008F03E5">
        <w:tab/>
        <w:t>Baṭṭáh</w:t>
      </w:r>
      <w:r w:rsidRPr="008F03E5">
        <w:tab/>
        <w:t>village on coast of Libya, 115 km east of Bengazi</w:t>
      </w:r>
    </w:p>
    <w:p w14:paraId="2F8342E4" w14:textId="77777777" w:rsidR="00625A5B" w:rsidRPr="008F03E5" w:rsidRDefault="00625A5B" w:rsidP="002F30CF">
      <w:pPr>
        <w:pStyle w:val="Translit"/>
      </w:pPr>
      <w:r w:rsidRPr="008F03E5">
        <w:t>Battani</w:t>
      </w:r>
      <w:r w:rsidRPr="008F03E5">
        <w:tab/>
        <w:t>Battání</w:t>
      </w:r>
      <w:r w:rsidRPr="008F03E5">
        <w:tab/>
        <w:t>Battán is thought to be a street or a part of Ḥarrán.  Abú ‘Abdu’lláh Muḥammad ibn Jábir ibn Sinán ar-Raqqí al-Ḥarrání aṣ-Ṣábi’ al-Battání (Latinized as Albategnius, Albategni or Albatenius) (c. 858–929) was an Arab astronomer, astrologer, and mathematician.  He is perhaps the greatest and best known astronomer of the medieval Islamic world.  He was the author of a set of Astronomical Tables, which in its Latin version provided the groundwork of astronomy in Europe for several centuries.</w:t>
      </w:r>
    </w:p>
    <w:p w14:paraId="59A9EE7B" w14:textId="77777777" w:rsidR="00625A5B" w:rsidRPr="008F03E5" w:rsidRDefault="00625A5B" w:rsidP="00385252">
      <w:pPr>
        <w:pStyle w:val="Translit"/>
      </w:pPr>
      <w:r w:rsidRPr="008F03E5">
        <w:t>Battuta, Batuta</w:t>
      </w:r>
      <w:r w:rsidRPr="008F03E5">
        <w:tab/>
        <w:t>Baṭṭúṭa[h]</w:t>
      </w:r>
      <w:r w:rsidRPr="008F03E5">
        <w:tab/>
        <w:t>Muḥammad ibn Baṭṭúṭa or Ibn Baṭúṭah; 1304–1368 or 1369), was a Moroccan scholar who widely travelled the medieval world.</w:t>
      </w:r>
    </w:p>
    <w:p w14:paraId="672ED3BA" w14:textId="77777777" w:rsidR="00625A5B" w:rsidRPr="008F03E5" w:rsidRDefault="00625A5B" w:rsidP="00622164">
      <w:pPr>
        <w:pStyle w:val="Translit"/>
      </w:pPr>
      <w:r w:rsidRPr="008F03E5">
        <w:t>Batul</w:t>
      </w:r>
      <w:r w:rsidRPr="008F03E5">
        <w:tab/>
        <w:t>Batúl</w:t>
      </w:r>
      <w:r w:rsidRPr="008F03E5">
        <w:tab/>
        <w:t>virgin</w:t>
      </w:r>
    </w:p>
    <w:p w14:paraId="0A7D67C2" w14:textId="77777777" w:rsidR="00625A5B" w:rsidRPr="008F03E5" w:rsidRDefault="00625A5B" w:rsidP="00622164">
      <w:pPr>
        <w:pStyle w:val="Translit"/>
      </w:pPr>
      <w:r w:rsidRPr="008F03E5">
        <w:t>Batuli</w:t>
      </w:r>
      <w:r w:rsidRPr="008F03E5">
        <w:tab/>
        <w:t>Batúlí</w:t>
      </w:r>
      <w:r w:rsidRPr="008F03E5">
        <w:tab/>
        <w:t>virginal</w:t>
      </w:r>
    </w:p>
    <w:p w14:paraId="08022125" w14:textId="77777777" w:rsidR="00625A5B" w:rsidRPr="008F03E5" w:rsidRDefault="00625A5B" w:rsidP="00AB1978">
      <w:pPr>
        <w:pStyle w:val="Translit"/>
      </w:pPr>
      <w:r w:rsidRPr="008F03E5">
        <w:t>Batum</w:t>
      </w:r>
      <w:r w:rsidRPr="008F03E5">
        <w:tab/>
        <w:t>Báṭúm</w:t>
      </w:r>
      <w:r w:rsidRPr="008F03E5">
        <w:tab/>
        <w:t>now Batumi</w:t>
      </w:r>
      <w:r>
        <w:t>,</w:t>
      </w:r>
      <w:r w:rsidRPr="008F03E5">
        <w:t xml:space="preserve"> </w:t>
      </w:r>
      <w:r>
        <w:t xml:space="preserve">Black Sea port city, </w:t>
      </w:r>
      <w:r w:rsidRPr="008F03E5">
        <w:t>Georgia</w:t>
      </w:r>
    </w:p>
    <w:p w14:paraId="54BE4D99" w14:textId="77777777" w:rsidR="00625A5B" w:rsidRDefault="00625A5B" w:rsidP="007F0577">
      <w:pPr>
        <w:pStyle w:val="Translit"/>
        <w:rPr>
          <w:rFonts w:eastAsia="PMingLiU"/>
          <w:lang w:eastAsia="zh-TW"/>
        </w:rPr>
      </w:pPr>
      <w:r>
        <w:rPr>
          <w:rFonts w:eastAsia="Times New Roman"/>
        </w:rPr>
        <w:t>Batun</w:t>
      </w:r>
      <w:r>
        <w:rPr>
          <w:rFonts w:eastAsia="Times New Roman"/>
        </w:rPr>
        <w:tab/>
        <w:t>B</w:t>
      </w:r>
      <w:r w:rsidRPr="007F0577">
        <w:rPr>
          <w:rFonts w:eastAsia="Times New Roman"/>
        </w:rPr>
        <w:t>a</w:t>
      </w:r>
      <w:r w:rsidRPr="00D87405">
        <w:t>ṭ</w:t>
      </w:r>
      <w:r w:rsidRPr="007F0577">
        <w:rPr>
          <w:rFonts w:eastAsia="Times New Roman"/>
        </w:rPr>
        <w:t>ún</w:t>
      </w:r>
      <w:r>
        <w:rPr>
          <w:rFonts w:eastAsia="Times New Roman"/>
        </w:rPr>
        <w:tab/>
        <w:t>i</w:t>
      </w:r>
      <w:r w:rsidRPr="00AF4D34">
        <w:rPr>
          <w:rFonts w:eastAsia="Times New Roman"/>
        </w:rPr>
        <w:t>nterior, inside; heart, mind; concealed.</w:t>
      </w:r>
    </w:p>
    <w:p w14:paraId="23B3D986" w14:textId="77777777" w:rsidR="00625A5B" w:rsidRPr="001A2314" w:rsidRDefault="00625A5B" w:rsidP="001A2314">
      <w:pPr>
        <w:pStyle w:val="Translit"/>
      </w:pPr>
      <w:r w:rsidRPr="008F03E5">
        <w:rPr>
          <w:rFonts w:eastAsia="PMingLiU"/>
          <w:lang w:eastAsia="zh-TW"/>
        </w:rPr>
        <w:t xml:space="preserve">Bawanat </w:t>
      </w:r>
      <w:r>
        <w:rPr>
          <w:rFonts w:eastAsia="PMingLiU"/>
          <w:lang w:eastAsia="zh-TW"/>
        </w:rPr>
        <w:t>(</w:t>
      </w:r>
      <w:r w:rsidRPr="008F03E5">
        <w:rPr>
          <w:rFonts w:eastAsia="PMingLiU"/>
          <w:lang w:eastAsia="zh-TW"/>
        </w:rPr>
        <w:t>Bav</w:t>
      </w:r>
      <w:r w:rsidRPr="008F03E5">
        <w:t>a</w:t>
      </w:r>
      <w:r w:rsidRPr="008F03E5">
        <w:rPr>
          <w:rFonts w:eastAsia="PMingLiU"/>
          <w:lang w:eastAsia="zh-TW"/>
        </w:rPr>
        <w:t>n</w:t>
      </w:r>
      <w:r w:rsidRPr="008F03E5">
        <w:t>a</w:t>
      </w:r>
      <w:r w:rsidRPr="008F03E5">
        <w:rPr>
          <w:rFonts w:eastAsia="PMingLiU"/>
          <w:lang w:eastAsia="zh-TW"/>
        </w:rPr>
        <w:t>t</w:t>
      </w:r>
      <w:r>
        <w:rPr>
          <w:rFonts w:eastAsia="PMingLiU"/>
          <w:lang w:eastAsia="zh-TW"/>
        </w:rPr>
        <w:t>)</w:t>
      </w:r>
      <w:r w:rsidRPr="008F03E5">
        <w:tab/>
      </w:r>
      <w:r w:rsidRPr="008F03E5">
        <w:rPr>
          <w:rFonts w:eastAsia="PMingLiU"/>
          <w:lang w:eastAsia="zh-TW"/>
        </w:rPr>
        <w:t>Baw</w:t>
      </w:r>
      <w:r w:rsidRPr="008F03E5">
        <w:t>á</w:t>
      </w:r>
      <w:r w:rsidRPr="008F03E5">
        <w:rPr>
          <w:rFonts w:eastAsia="PMingLiU"/>
          <w:lang w:eastAsia="zh-TW"/>
        </w:rPr>
        <w:t>n</w:t>
      </w:r>
      <w:r w:rsidRPr="008F03E5">
        <w:t>á</w:t>
      </w:r>
      <w:r w:rsidRPr="008F03E5">
        <w:rPr>
          <w:rFonts w:eastAsia="PMingLiU"/>
          <w:lang w:eastAsia="zh-TW"/>
        </w:rPr>
        <w:t>t</w:t>
      </w:r>
      <w:r w:rsidRPr="008F03E5">
        <w:tab/>
      </w:r>
      <w:r w:rsidRPr="001A2314">
        <w:t xml:space="preserve">Bawánát-i-Fárs, county (whose boundary has changed a number of times) in Fars Province.  </w:t>
      </w:r>
      <w:r>
        <w:t>County capital c</w:t>
      </w:r>
      <w:r w:rsidRPr="001A2314">
        <w:t>ity of Súriyán (Surian) renamed</w:t>
      </w:r>
      <w:r>
        <w:t xml:space="preserve"> (2001)</w:t>
      </w:r>
      <w:r w:rsidRPr="001A2314">
        <w:t xml:space="preserve"> Bavánát (30.489738, 53.593380).</w:t>
      </w:r>
    </w:p>
    <w:p w14:paraId="45ACB595" w14:textId="77777777" w:rsidR="00625A5B" w:rsidRPr="008F03E5" w:rsidRDefault="00625A5B" w:rsidP="006F3F28">
      <w:pPr>
        <w:pStyle w:val="Translit"/>
      </w:pPr>
      <w:r w:rsidRPr="008F03E5">
        <w:t>Bawil, Bavil</w:t>
      </w:r>
      <w:r w:rsidRPr="008F03E5">
        <w:tab/>
        <w:t>Báwíl, Bávíl</w:t>
      </w:r>
      <w:r w:rsidRPr="008F03E5">
        <w:tab/>
        <w:t xml:space="preserve">village 23 km </w:t>
      </w:r>
      <w:r w:rsidRPr="008F03E5">
        <w:rPr>
          <w:sz w:val="16"/>
          <w:szCs w:val="16"/>
        </w:rPr>
        <w:t>SW</w:t>
      </w:r>
      <w:r w:rsidRPr="008F03E5">
        <w:t xml:space="preserve"> of Tabríz.  It consists of Bávíl ‘Ulyá or Bávíl Bálá (Upper Bavil), and Bávíl Suflá or Bávíl Pá’</w:t>
      </w:r>
      <w:r w:rsidRPr="006F3F28">
        <w:t>í</w:t>
      </w:r>
      <w:r w:rsidRPr="008F03E5">
        <w:t>n (Lower Bavil).  See Mílán and Uskú</w:t>
      </w:r>
    </w:p>
    <w:p w14:paraId="0DBEEF0C" w14:textId="77777777" w:rsidR="00625A5B" w:rsidRPr="00665F6A" w:rsidRDefault="00625A5B" w:rsidP="002A7F45">
      <w:pPr>
        <w:pStyle w:val="Translit"/>
      </w:pPr>
      <w:r>
        <w:t>Bawwab, Bawwaba, Bawwabun</w:t>
      </w:r>
      <w:r>
        <w:tab/>
        <w:t>Baww</w:t>
      </w:r>
      <w:r w:rsidRPr="00665F6A">
        <w:t>á</w:t>
      </w:r>
      <w:r>
        <w:t>b, pl. Baww</w:t>
      </w:r>
      <w:r w:rsidRPr="00665F6A">
        <w:t>á</w:t>
      </w:r>
      <w:r>
        <w:t>b</w:t>
      </w:r>
      <w:r w:rsidRPr="00665F6A">
        <w:t>ú</w:t>
      </w:r>
      <w:r>
        <w:t>n</w:t>
      </w:r>
      <w:r>
        <w:tab/>
        <w:t>a</w:t>
      </w:r>
      <w:r w:rsidRPr="00AF4D34">
        <w:rPr>
          <w:rFonts w:eastAsia="Times New Roman"/>
        </w:rPr>
        <w:t xml:space="preserve"> porter, warder, doorkeeper</w:t>
      </w:r>
      <w:r>
        <w:rPr>
          <w:rFonts w:eastAsia="Times New Roman"/>
        </w:rPr>
        <w:t>, gatekeeper.  Feminine b</w:t>
      </w:r>
      <w:r>
        <w:t>aw</w:t>
      </w:r>
      <w:r w:rsidRPr="00665F6A">
        <w:t xml:space="preserve">wába[h or t], pl. </w:t>
      </w:r>
      <w:r>
        <w:t>b</w:t>
      </w:r>
      <w:r w:rsidRPr="00665F6A">
        <w:t>awwábát</w:t>
      </w:r>
      <w:r>
        <w:t xml:space="preserve">: </w:t>
      </w:r>
      <w:r w:rsidRPr="00665F6A">
        <w:t xml:space="preserve"> (large) gate, portal.  As the </w:t>
      </w:r>
      <w:r w:rsidRPr="002A7F45">
        <w:rPr>
          <w:u w:val="single"/>
        </w:rPr>
        <w:t>Sh</w:t>
      </w:r>
      <w:r w:rsidRPr="002A7F45">
        <w:t>í</w:t>
      </w:r>
      <w:r>
        <w:t>‘</w:t>
      </w:r>
      <w:r w:rsidRPr="00665F6A">
        <w:t>a Muslims were awaiting the return of the</w:t>
      </w:r>
      <w:r>
        <w:t xml:space="preserve"> “</w:t>
      </w:r>
      <w:r w:rsidRPr="00665F6A">
        <w:t>Hidden Im</w:t>
      </w:r>
      <w:r w:rsidRPr="002A7F45">
        <w:t>á</w:t>
      </w:r>
      <w:r w:rsidRPr="00665F6A">
        <w:t>m</w:t>
      </w:r>
      <w:r>
        <w:t>”,</w:t>
      </w:r>
      <w:r w:rsidRPr="00665F6A">
        <w:t xml:space="preserve"> the Báb</w:t>
      </w:r>
      <w:r>
        <w:t>’</w:t>
      </w:r>
      <w:r w:rsidRPr="00665F6A">
        <w:t>s initial use of the title reflected the gate-hood</w:t>
      </w:r>
      <w:r>
        <w:t>”</w:t>
      </w:r>
      <w:r w:rsidRPr="00665F6A">
        <w:t xml:space="preserve"> (al-bawwába)</w:t>
      </w:r>
      <w:r>
        <w:t>, figurative,</w:t>
      </w:r>
      <w:r w:rsidRPr="00665F6A">
        <w:t xml:space="preserve"> of the four consecutive </w:t>
      </w:r>
      <w:r>
        <w:t>“</w:t>
      </w:r>
      <w:r w:rsidRPr="00665F6A">
        <w:t>báb</w:t>
      </w:r>
      <w:r>
        <w:t>”</w:t>
      </w:r>
      <w:r w:rsidRPr="00665F6A">
        <w:t>s (</w:t>
      </w:r>
      <w:r>
        <w:t>g</w:t>
      </w:r>
      <w:r w:rsidRPr="00665F6A">
        <w:t>ates</w:t>
      </w:r>
      <w:r>
        <w:t xml:space="preserve"> or portals</w:t>
      </w:r>
      <w:r w:rsidRPr="00665F6A">
        <w:t xml:space="preserve">) through whom </w:t>
      </w:r>
      <w:r>
        <w:t>t</w:t>
      </w:r>
      <w:r w:rsidRPr="00665F6A">
        <w:t>he H</w:t>
      </w:r>
      <w:r>
        <w:t>idden Im</w:t>
      </w:r>
      <w:r w:rsidRPr="002A7F45">
        <w:t>á</w:t>
      </w:r>
      <w:r>
        <w:t>m</w:t>
      </w:r>
      <w:r w:rsidRPr="00665F6A">
        <w:t xml:space="preserve"> communicated with the faithful before going into his </w:t>
      </w:r>
      <w:r>
        <w:t>“</w:t>
      </w:r>
      <w:r w:rsidRPr="00665F6A">
        <w:t>Greater Occultation</w:t>
      </w:r>
      <w:r>
        <w:t>”</w:t>
      </w:r>
      <w:r w:rsidRPr="00665F6A">
        <w:t xml:space="preserve">.  “Babhood” </w:t>
      </w:r>
      <w:r>
        <w:t xml:space="preserve">should be replaced </w:t>
      </w:r>
      <w:r w:rsidRPr="00665F6A">
        <w:t>by Gate-hood or Door-ship] (-hood or -ship—state of being, quality or condition)</w:t>
      </w:r>
      <w:r>
        <w:t>.</w:t>
      </w:r>
    </w:p>
    <w:p w14:paraId="70E551A2" w14:textId="77777777" w:rsidR="00625A5B" w:rsidRPr="008F03E5" w:rsidRDefault="00625A5B" w:rsidP="000E401B">
      <w:pPr>
        <w:pStyle w:val="Translit"/>
      </w:pPr>
      <w:r w:rsidRPr="008F03E5">
        <w:t>Bay, Baya, Bayat</w:t>
      </w:r>
      <w:r w:rsidRPr="008F03E5">
        <w:tab/>
        <w:t>Báy, fem. Báya[h or t], pl. Báyát</w:t>
      </w:r>
      <w:r w:rsidRPr="008F03E5">
        <w:tab/>
        <w:t>formerly, in Tunisia, a title after the names of the members of the Bey’s family.  See Beg</w:t>
      </w:r>
      <w:r>
        <w:t>.</w:t>
      </w:r>
    </w:p>
    <w:p w14:paraId="2879AF7C" w14:textId="77777777" w:rsidR="00625A5B" w:rsidRPr="008F03E5" w:rsidRDefault="00625A5B" w:rsidP="003E0BB7">
      <w:pPr>
        <w:pStyle w:val="Translit"/>
      </w:pPr>
      <w:r w:rsidRPr="008F03E5">
        <w:t>Bay’a (Bai’a)</w:t>
      </w:r>
      <w:r w:rsidRPr="008F03E5">
        <w:tab/>
        <w:t>Bay‘a[h or t]</w:t>
      </w:r>
      <w:r w:rsidRPr="008F03E5">
        <w:tab/>
        <w:t>agreement, arrangement; business deal, commercial transaction, bargain; sale; purchase; homage; inauguration, salutation, or acknowledging the authority of a great man; swearing allegiance; homage, fealty.  Bay‘ah originally referred to the striking together of hands between buyer and seller to mark an agreement.  Bay‘at is sometimes taken under a written pact given on behalf of the subjects by leading members of the tribe with the understanding that as long as the leader abides by certain requirements towards his people, they are to maintain their allegiance to him.  The Pledge of the Tree (bayʻat a</w:t>
      </w:r>
      <w:r w:rsidRPr="008F03E5">
        <w:rPr>
          <w:u w:val="single"/>
        </w:rPr>
        <w:t>sh</w:t>
      </w:r>
      <w:r w:rsidRPr="008F03E5">
        <w:t>-</w:t>
      </w:r>
      <w:r w:rsidRPr="008F03E5">
        <w:rPr>
          <w:u w:val="single"/>
        </w:rPr>
        <w:t>sh</w:t>
      </w:r>
      <w:r w:rsidRPr="008F03E5">
        <w:t>ajarah), Pledge of Satisfaction or of Riḍwán (bayʻat ar-riḍwán) was a pledge that was sworn to Muḥammad by his Ṣaḥába (companions) prior to the Treaty of Ḥudaybiyyah (</w:t>
      </w:r>
      <w:r w:rsidRPr="008F03E5">
        <w:rPr>
          <w:sz w:val="16"/>
          <w:szCs w:val="16"/>
        </w:rPr>
        <w:t>AH</w:t>
      </w:r>
      <w:r w:rsidRPr="008F03E5">
        <w:t xml:space="preserve"> 6/ </w:t>
      </w:r>
      <w:r w:rsidRPr="008F03E5">
        <w:rPr>
          <w:sz w:val="16"/>
          <w:szCs w:val="16"/>
        </w:rPr>
        <w:t>CE</w:t>
      </w:r>
      <w:r w:rsidRPr="008F03E5">
        <w:t xml:space="preserve"> 628).  The pledge, sworn under a tree, was to avenge the rumoured death of ‘U</w:t>
      </w:r>
      <w:r w:rsidRPr="008F03E5">
        <w:rPr>
          <w:u w:val="single"/>
        </w:rPr>
        <w:t>th</w:t>
      </w:r>
      <w:r w:rsidRPr="008F03E5">
        <w:t>mán ibn ‘Affán.</w:t>
      </w:r>
    </w:p>
    <w:p w14:paraId="5F4DF6A5" w14:textId="77777777" w:rsidR="00625A5B" w:rsidRPr="008F03E5" w:rsidRDefault="00625A5B" w:rsidP="00B54C65">
      <w:pPr>
        <w:pStyle w:val="Translit"/>
      </w:pPr>
      <w:r w:rsidRPr="008F03E5">
        <w:t>Bayad, Bayadat</w:t>
      </w:r>
      <w:r w:rsidRPr="008F03E5">
        <w:tab/>
        <w:t>Bayáḍ, Bayáḍát</w:t>
      </w:r>
      <w:r w:rsidRPr="008F03E5">
        <w:tab/>
        <w:t>white, whiteness: whitewash;—pl. barren, desolate, uncultivated land, wasteland; gap, blank space (in a manuscript); blank; leucoma (medicine); linen</w:t>
      </w:r>
    </w:p>
    <w:p w14:paraId="4CFC0689" w14:textId="77777777" w:rsidR="00625A5B" w:rsidRPr="008F03E5" w:rsidRDefault="00625A5B" w:rsidP="00BD5886">
      <w:pPr>
        <w:pStyle w:val="Translit"/>
      </w:pPr>
      <w:r w:rsidRPr="008F03E5">
        <w:t>Bayan, Bayanat</w:t>
      </w:r>
      <w:r w:rsidRPr="008F03E5">
        <w:tab/>
        <w:t>Bayán, pl. Bayánát</w:t>
      </w:r>
      <w:r w:rsidRPr="008F03E5">
        <w:tab/>
        <w:t>clearness (particularly of the meaning of revelation), plainness, patency, obviousness; statement, declaration, announcement; manifestation; explanation, elucidation, illustration; information, news; (official) report, (official) statement; enumeration, index, list; eloquence.  Also exposition or utterance.  Title given by the Báb to His Revelation, and, in particular, to His Books.  Muslims are puzzled by the chronology given in Qur’án 55:2–4.  “</w:t>
      </w:r>
      <w:r w:rsidRPr="008F03E5">
        <w:rPr>
          <w:i/>
          <w:iCs/>
        </w:rPr>
        <w:t>Bayán</w:t>
      </w:r>
      <w:r w:rsidRPr="008F03E5">
        <w:t xml:space="preserve"> (exposition) [“speech”, 55:4] signifies the Revelation of the </w:t>
      </w:r>
      <w:r w:rsidRPr="008F03E5">
        <w:rPr>
          <w:rFonts w:eastAsia="Arial"/>
        </w:rPr>
        <w:t>B</w:t>
      </w:r>
      <w:r w:rsidRPr="008F03E5">
        <w:t>á</w:t>
      </w:r>
      <w:r w:rsidRPr="008F03E5">
        <w:rPr>
          <w:rFonts w:eastAsia="Arial"/>
        </w:rPr>
        <w:t>b</w:t>
      </w:r>
      <w:r w:rsidRPr="008F03E5">
        <w:t xml:space="preserve">, which unveils the hidden truth of the Qur’án.  ‘Man’ [55:3] signifies the ‘Perfect Human Being’—the Manifestation of the Names and attributes of God ….”  </w:t>
      </w:r>
      <w:r w:rsidRPr="008F03E5">
        <w:rPr>
          <w:i/>
          <w:iCs/>
        </w:rPr>
        <w:t>Gate of the heart</w:t>
      </w:r>
      <w:r w:rsidRPr="008F03E5">
        <w:t>, p. 262.  al-Bayán (</w:t>
      </w:r>
      <w:r w:rsidRPr="008F03E5">
        <w:rPr>
          <w:rtl/>
        </w:rPr>
        <w:t>نايبلا</w:t>
      </w:r>
      <w:r w:rsidRPr="008F03E5">
        <w:t xml:space="preserve"> or “</w:t>
      </w:r>
      <w:r w:rsidRPr="008F03E5">
        <w:rPr>
          <w:rtl/>
        </w:rPr>
        <w:t>ن ا ي ب ل ا</w:t>
      </w:r>
      <w:r w:rsidRPr="008F03E5">
        <w:t>”) has an abjad value of 94 (“al” (value 31) consists of an unstressed Alif and Lám).  Compare lilláh</w:t>
      </w:r>
    </w:p>
    <w:p w14:paraId="7B939380" w14:textId="77777777" w:rsidR="00625A5B" w:rsidRPr="008F03E5" w:rsidRDefault="00625A5B" w:rsidP="00E94609">
      <w:pPr>
        <w:pStyle w:val="Translit"/>
      </w:pPr>
      <w:r w:rsidRPr="008F03E5">
        <w:t>Bayani, Bayaniy</w:t>
      </w:r>
      <w:r>
        <w:t>a</w:t>
      </w:r>
      <w:r w:rsidRPr="008F03E5">
        <w:t xml:space="preserve"> (Bayanis)</w:t>
      </w:r>
      <w:r w:rsidRPr="008F03E5">
        <w:tab/>
        <w:t xml:space="preserve">Bayání, </w:t>
      </w:r>
      <w:r>
        <w:t>fem. Bay</w:t>
      </w:r>
      <w:r w:rsidRPr="00385B96">
        <w:t>á</w:t>
      </w:r>
      <w:r>
        <w:t>n</w:t>
      </w:r>
      <w:r w:rsidRPr="00E94609">
        <w:t>í</w:t>
      </w:r>
      <w:r>
        <w:t>ya</w:t>
      </w:r>
      <w:r>
        <w:tab/>
        <w:t>(</w:t>
      </w:r>
      <w:r w:rsidRPr="008F03E5">
        <w:t xml:space="preserve">pl. </w:t>
      </w:r>
      <w:r>
        <w:t>b</w:t>
      </w:r>
      <w:r w:rsidRPr="008F03E5">
        <w:t>ayán</w:t>
      </w:r>
      <w:r w:rsidRPr="00385B96">
        <w:t>í</w:t>
      </w:r>
      <w:r w:rsidRPr="008F03E5">
        <w:t>yún</w:t>
      </w:r>
      <w:r>
        <w:t>, fem. bay</w:t>
      </w:r>
      <w:r w:rsidRPr="00385B96">
        <w:t>á</w:t>
      </w:r>
      <w:r>
        <w:t>n</w:t>
      </w:r>
      <w:r w:rsidRPr="00E94609">
        <w:t>í</w:t>
      </w:r>
      <w:r>
        <w:t>y</w:t>
      </w:r>
      <w:r w:rsidRPr="00385B96">
        <w:t>á</w:t>
      </w:r>
      <w:r>
        <w:t xml:space="preserve">t) </w:t>
      </w:r>
      <w:r w:rsidRPr="008F03E5">
        <w:t>explanatory, illustrative; rhetorical.  A follower of the Báb, but not Bahá’u’lláh.  Some also followed Mírzá Yaḥyá (Ṣubḥi-i-Azal).</w:t>
      </w:r>
    </w:p>
    <w:p w14:paraId="678E9E9E" w14:textId="77777777" w:rsidR="00625A5B" w:rsidRPr="008F03E5" w:rsidRDefault="00625A5B" w:rsidP="00A00044">
      <w:pPr>
        <w:pStyle w:val="Translit"/>
      </w:pPr>
      <w:r w:rsidRPr="008F03E5">
        <w:t>Bayan-i</w:t>
      </w:r>
      <w:r w:rsidRPr="008F03E5">
        <w:rPr>
          <w:rFonts w:eastAsia="PMingLiU"/>
          <w:lang w:eastAsia="zh-TW"/>
        </w:rPr>
        <w:t>-‘</w:t>
      </w:r>
      <w:r w:rsidRPr="008F03E5">
        <w:t>Arabi, Arabic Bayan</w:t>
      </w:r>
      <w:r w:rsidRPr="008F03E5">
        <w:tab/>
        <w:t>Bayán-i-‘Arabí</w:t>
      </w:r>
      <w:r w:rsidRPr="008F03E5">
        <w:tab/>
        <w:t>“Arabic Bayán” by the Báb, completed after the Bayán-i-Fársí</w:t>
      </w:r>
    </w:p>
    <w:p w14:paraId="6567FCAC" w14:textId="77777777" w:rsidR="00625A5B" w:rsidRPr="008F03E5" w:rsidRDefault="00625A5B" w:rsidP="005241C6">
      <w:pPr>
        <w:pStyle w:val="Translit"/>
      </w:pPr>
      <w:r w:rsidRPr="008F03E5">
        <w:t>Bayan-i-Farsi, Persian Bayan</w:t>
      </w:r>
      <w:r w:rsidRPr="008F03E5">
        <w:tab/>
        <w:t>Bayán-i-Fársí</w:t>
      </w:r>
      <w:r w:rsidRPr="008F03E5">
        <w:tab/>
        <w:t>“Persian Bayán” (Mother Book of the Bábí Revelation) by the Báb</w:t>
      </w:r>
    </w:p>
    <w:p w14:paraId="61553430" w14:textId="77777777" w:rsidR="00625A5B" w:rsidRPr="008F03E5" w:rsidRDefault="00625A5B" w:rsidP="002141FF">
      <w:pPr>
        <w:pStyle w:val="Translit"/>
        <w:rPr>
          <w:rFonts w:eastAsia="Times New Roman"/>
        </w:rPr>
      </w:pPr>
      <w:r w:rsidRPr="008F03E5">
        <w:rPr>
          <w:rFonts w:eastAsia="Times New Roman"/>
        </w:rPr>
        <w:t>Bayat</w:t>
      </w:r>
      <w:r w:rsidRPr="008F03E5">
        <w:rPr>
          <w:rFonts w:eastAsia="Times New Roman"/>
        </w:rPr>
        <w:tab/>
        <w:t>Bayát</w:t>
      </w:r>
      <w:r w:rsidRPr="008F03E5">
        <w:rPr>
          <w:rFonts w:eastAsia="Times New Roman"/>
        </w:rPr>
        <w:tab/>
        <w:t>Ar. passing the night; doing anything in the night; a nocturnal invasion; place name</w:t>
      </w:r>
      <w:r w:rsidRPr="008F03E5">
        <w:t>, name of a tribe</w:t>
      </w:r>
      <w:r w:rsidRPr="008F03E5">
        <w:rPr>
          <w:rFonts w:eastAsia="Times New Roman"/>
        </w:rPr>
        <w:t>.  Pers. grief, anxiety, care.</w:t>
      </w:r>
    </w:p>
    <w:p w14:paraId="1CC0103F" w14:textId="77777777" w:rsidR="00625A5B" w:rsidRPr="004B4C3B" w:rsidRDefault="00625A5B" w:rsidP="00873573">
      <w:pPr>
        <w:pStyle w:val="Translit"/>
        <w:rPr>
          <w:b/>
          <w:bCs/>
        </w:rPr>
      </w:pPr>
      <w:r w:rsidRPr="008F03E5">
        <w:rPr>
          <w:rFonts w:eastAsia="PMingLiU"/>
          <w:lang w:eastAsia="zh-TW"/>
        </w:rPr>
        <w:t>B</w:t>
      </w:r>
      <w:r w:rsidRPr="008F03E5">
        <w:t>a</w:t>
      </w:r>
      <w:r w:rsidRPr="008F03E5">
        <w:rPr>
          <w:rFonts w:eastAsia="PMingLiU"/>
          <w:lang w:eastAsia="zh-TW"/>
        </w:rPr>
        <w:t>yaz</w:t>
      </w:r>
      <w:r w:rsidRPr="008F03E5">
        <w:t>i</w:t>
      </w:r>
      <w:r w:rsidRPr="008F03E5">
        <w:rPr>
          <w:rFonts w:eastAsia="PMingLiU"/>
          <w:lang w:eastAsia="zh-TW"/>
        </w:rPr>
        <w:t>d</w:t>
      </w:r>
      <w:r>
        <w:rPr>
          <w:rFonts w:eastAsia="PMingLiU"/>
          <w:lang w:eastAsia="zh-TW"/>
        </w:rPr>
        <w:t>, Bayizid</w:t>
      </w:r>
      <w:r w:rsidRPr="008F03E5">
        <w:tab/>
      </w:r>
      <w:r w:rsidRPr="008F03E5">
        <w:rPr>
          <w:rFonts w:eastAsia="PMingLiU"/>
          <w:lang w:eastAsia="zh-TW"/>
        </w:rPr>
        <w:t>B</w:t>
      </w:r>
      <w:r w:rsidRPr="008F03E5">
        <w:t>á</w:t>
      </w:r>
      <w:r w:rsidRPr="008F03E5">
        <w:rPr>
          <w:rFonts w:eastAsia="PMingLiU"/>
          <w:lang w:eastAsia="zh-TW"/>
        </w:rPr>
        <w:t>yaz</w:t>
      </w:r>
      <w:r w:rsidRPr="008F03E5">
        <w:t>í</w:t>
      </w:r>
      <w:r w:rsidRPr="008F03E5">
        <w:rPr>
          <w:rFonts w:eastAsia="PMingLiU"/>
          <w:lang w:eastAsia="zh-TW"/>
        </w:rPr>
        <w:t>d</w:t>
      </w:r>
      <w:r>
        <w:rPr>
          <w:rFonts w:eastAsia="PMingLiU"/>
          <w:lang w:eastAsia="zh-TW"/>
        </w:rPr>
        <w:t xml:space="preserve">, </w:t>
      </w:r>
      <w:r w:rsidRPr="008F03E5">
        <w:rPr>
          <w:rFonts w:eastAsia="PMingLiU"/>
          <w:lang w:eastAsia="zh-TW"/>
        </w:rPr>
        <w:t>B</w:t>
      </w:r>
      <w:r w:rsidRPr="008F03E5">
        <w:t>á</w:t>
      </w:r>
      <w:r w:rsidRPr="008F03E5">
        <w:rPr>
          <w:rFonts w:eastAsia="PMingLiU"/>
          <w:lang w:eastAsia="zh-TW"/>
        </w:rPr>
        <w:t>y</w:t>
      </w:r>
      <w:r>
        <w:rPr>
          <w:rFonts w:eastAsia="PMingLiU"/>
          <w:lang w:eastAsia="zh-TW"/>
        </w:rPr>
        <w:t>i</w:t>
      </w:r>
      <w:r w:rsidRPr="008F03E5">
        <w:rPr>
          <w:rFonts w:eastAsia="PMingLiU"/>
          <w:lang w:eastAsia="zh-TW"/>
        </w:rPr>
        <w:t>z</w:t>
      </w:r>
      <w:r w:rsidRPr="008F03E5">
        <w:t>í</w:t>
      </w:r>
      <w:r w:rsidRPr="008F03E5">
        <w:rPr>
          <w:rFonts w:eastAsia="PMingLiU"/>
          <w:lang w:eastAsia="zh-TW"/>
        </w:rPr>
        <w:t>d</w:t>
      </w:r>
      <w:r w:rsidRPr="008F03E5">
        <w:tab/>
      </w:r>
      <w:r>
        <w:t xml:space="preserve">Pers. (Turkish </w:t>
      </w:r>
      <w:r w:rsidRPr="004B4C3B">
        <w:t>beyazıt</w:t>
      </w:r>
      <w:r>
        <w:t>)</w:t>
      </w:r>
      <w:r w:rsidRPr="004B4C3B">
        <w:t xml:space="preserve"> </w:t>
      </w:r>
      <w:r w:rsidRPr="004B4C3B">
        <w:rPr>
          <w:rFonts w:eastAsia="PMingLiU"/>
          <w:lang w:eastAsia="zh-TW"/>
        </w:rPr>
        <w:t xml:space="preserve">Bayezid I, also known as Bayezid the Thunderbolt (Yıldırım </w:t>
      </w:r>
      <w:r>
        <w:rPr>
          <w:rFonts w:eastAsia="PMingLiU"/>
          <w:lang w:eastAsia="zh-TW"/>
        </w:rPr>
        <w:t>B</w:t>
      </w:r>
      <w:r w:rsidRPr="004B4C3B">
        <w:t>eyazıt</w:t>
      </w:r>
      <w:r w:rsidRPr="004B4C3B">
        <w:rPr>
          <w:rFonts w:eastAsia="PMingLiU"/>
          <w:lang w:eastAsia="zh-TW"/>
        </w:rPr>
        <w:t>; c. 1360</w:t>
      </w:r>
      <w:r>
        <w:rPr>
          <w:rFonts w:eastAsia="PMingLiU"/>
          <w:lang w:eastAsia="zh-TW"/>
        </w:rPr>
        <w:t>–</w:t>
      </w:r>
      <w:r w:rsidRPr="004B4C3B">
        <w:rPr>
          <w:rFonts w:eastAsia="PMingLiU"/>
          <w:lang w:eastAsia="zh-TW"/>
        </w:rPr>
        <w:t>1403), was the sultan of the Ottoman Empire from 1389 to 1402.</w:t>
      </w:r>
      <w:r>
        <w:rPr>
          <w:rFonts w:eastAsia="PMingLiU"/>
          <w:lang w:eastAsia="zh-TW"/>
        </w:rPr>
        <w:t xml:space="preserve">  Born in Bursa (first capital of the Ottoman Empire), moved court to Edirne in 1393 (second capital), captured by Timur in 1402 in Ankara.  See </w:t>
      </w:r>
      <w:r w:rsidRPr="008F03E5">
        <w:t>Íldirím</w:t>
      </w:r>
      <w:r>
        <w:t xml:space="preserve">.  </w:t>
      </w:r>
      <w:r w:rsidRPr="004B4C3B">
        <w:t>Doğubeyazıt</w:t>
      </w:r>
      <w:r>
        <w:t xml:space="preserve"> (East B</w:t>
      </w:r>
      <w:r w:rsidRPr="004B4C3B">
        <w:t>eyazıt</w:t>
      </w:r>
      <w:r>
        <w:t xml:space="preserve">, </w:t>
      </w:r>
      <w:r w:rsidRPr="004B4C3B">
        <w:t>39.54706</w:t>
      </w:r>
      <w:r>
        <w:t>9</w:t>
      </w:r>
      <w:r w:rsidRPr="004B4C3B">
        <w:t>, 44.069424</w:t>
      </w:r>
      <w:r>
        <w:t xml:space="preserve">), </w:t>
      </w:r>
      <w:r w:rsidRPr="00873573">
        <w:t>Türkiye</w:t>
      </w:r>
      <w:r>
        <w:t xml:space="preserve">, 47 km </w:t>
      </w:r>
      <w:r w:rsidRPr="00536823">
        <w:rPr>
          <w:sz w:val="16"/>
          <w:szCs w:val="16"/>
        </w:rPr>
        <w:t>NW</w:t>
      </w:r>
      <w:r>
        <w:t xml:space="preserve"> </w:t>
      </w:r>
      <w:r w:rsidRPr="008F03E5">
        <w:t>Máh-Kú Qal‘a</w:t>
      </w:r>
      <w:r>
        <w:rPr>
          <w:rFonts w:eastAsia="PMingLiU"/>
          <w:lang w:eastAsia="zh-TW"/>
        </w:rPr>
        <w:t>.  Hence, unlikely to be the “</w:t>
      </w:r>
      <w:r w:rsidRPr="008F03E5">
        <w:rPr>
          <w:rFonts w:eastAsia="PMingLiU"/>
          <w:lang w:eastAsia="zh-TW"/>
        </w:rPr>
        <w:t>B</w:t>
      </w:r>
      <w:r w:rsidRPr="008F03E5">
        <w:t>á</w:t>
      </w:r>
      <w:r w:rsidRPr="008F03E5">
        <w:rPr>
          <w:rFonts w:eastAsia="PMingLiU"/>
          <w:lang w:eastAsia="zh-TW"/>
        </w:rPr>
        <w:t>yaz</w:t>
      </w:r>
      <w:r w:rsidRPr="004B4C3B">
        <w:t>íd” in DB p. 244.</w:t>
      </w:r>
      <w:r>
        <w:t xml:space="preserve">  See </w:t>
      </w:r>
      <w:r>
        <w:rPr>
          <w:rFonts w:eastAsia="Times New Roman"/>
        </w:rPr>
        <w:t>B</w:t>
      </w:r>
      <w:r w:rsidRPr="00295666">
        <w:rPr>
          <w:rFonts w:eastAsia="Times New Roman"/>
        </w:rPr>
        <w:t>ázargán</w:t>
      </w:r>
      <w:r>
        <w:rPr>
          <w:rFonts w:eastAsia="Times New Roman"/>
        </w:rPr>
        <w:t>.</w:t>
      </w:r>
    </w:p>
    <w:p w14:paraId="0F3C0F91" w14:textId="77777777" w:rsidR="00625A5B" w:rsidRPr="008F03E5" w:rsidRDefault="00625A5B" w:rsidP="00945B4E">
      <w:pPr>
        <w:pStyle w:val="Translit"/>
      </w:pPr>
      <w:r w:rsidRPr="008F03E5">
        <w:t>Bayda (Baida, Baiza), Baydun, Baydat</w:t>
      </w:r>
      <w:r w:rsidRPr="008F03E5">
        <w:tab/>
        <w:t>Bayḍa[h], pl. Bayḍún, Bayḍát</w:t>
      </w:r>
      <w:r w:rsidRPr="008F03E5">
        <w:tab/>
        <w:t>egg; helmet; main part, substance, essence.  Pers. also Bayẓa.  ‘Abdu’l-</w:t>
      </w:r>
      <w:r w:rsidRPr="008F03E5">
        <w:rPr>
          <w:u w:val="single"/>
        </w:rPr>
        <w:t>Gh</w:t>
      </w:r>
      <w:r w:rsidRPr="008F03E5">
        <w:t xml:space="preserve">aní Bayḍún owned 14.5 ha of land adjacent to Bahjí, but he and his family fled in 1948 and the land reverted to the state.  The land was swapped in 1952 for the land purchased by ‘Abdu’l-Bahá for </w:t>
      </w:r>
      <w:r w:rsidRPr="008F03E5">
        <w:rPr>
          <w:u w:val="single"/>
        </w:rPr>
        <w:t>Dh</w:t>
      </w:r>
      <w:r w:rsidRPr="008F03E5">
        <w:t xml:space="preserve">ikru’lláh </w:t>
      </w:r>
      <w:r w:rsidRPr="008F03E5">
        <w:rPr>
          <w:sz w:val="16"/>
          <w:szCs w:val="16"/>
        </w:rPr>
        <w:t>SE</w:t>
      </w:r>
      <w:r w:rsidRPr="008F03E5">
        <w:t xml:space="preserve"> of the Sea of Galilee, near the Jordan River.</w:t>
      </w:r>
    </w:p>
    <w:p w14:paraId="0E2DD684" w14:textId="77777777" w:rsidR="00625A5B" w:rsidRPr="008F03E5" w:rsidRDefault="00625A5B" w:rsidP="00902D1D">
      <w:pPr>
        <w:pStyle w:val="Translit"/>
      </w:pPr>
      <w:r w:rsidRPr="008F03E5">
        <w:t>Baydi (Baidi, Baizi), Baydawi</w:t>
      </w:r>
      <w:r w:rsidRPr="008F03E5">
        <w:tab/>
        <w:t>Bayḍí, Bayḍawí and Bayḍáwí</w:t>
      </w:r>
      <w:r w:rsidRPr="008F03E5">
        <w:tab/>
        <w:t>egg-shaped, oviform, oval, ovate.  “bayḍ” is often written as “baiḍ”, “beyd”, “bayz”, “beyz” and “baiz”.</w:t>
      </w:r>
    </w:p>
    <w:p w14:paraId="0F8B3935" w14:textId="77777777" w:rsidR="00625A5B" w:rsidRPr="008F03E5" w:rsidRDefault="00625A5B" w:rsidP="00BF724A">
      <w:pPr>
        <w:pStyle w:val="Translit"/>
      </w:pPr>
      <w:r w:rsidRPr="008F03E5">
        <w:t>Baydun</w:t>
      </w:r>
      <w:r w:rsidRPr="008F03E5">
        <w:tab/>
        <w:t>Bayḍún</w:t>
      </w:r>
      <w:r w:rsidRPr="008F03E5">
        <w:tab/>
        <w:t>white (a pl. form of abyaḍ).  ‘Abdu’lláh Pá</w:t>
      </w:r>
      <w:r w:rsidRPr="008F03E5">
        <w:rPr>
          <w:u w:val="single"/>
        </w:rPr>
        <w:t>sh</w:t>
      </w:r>
      <w:r w:rsidRPr="008F03E5">
        <w:t>á built a palace south of Bahjí (now part of the Atidot Research Institute) that was purchased by ‘Abdu’l-</w:t>
      </w:r>
      <w:r w:rsidRPr="008F03E5">
        <w:rPr>
          <w:u w:val="single"/>
        </w:rPr>
        <w:t>Gh</w:t>
      </w:r>
      <w:r w:rsidRPr="008F03E5">
        <w:t>ání Bayḍún, he was from a prominent Muslim family of ‘Akká, who were always antagonistic to the Bahá’í Faith.</w:t>
      </w:r>
    </w:p>
    <w:p w14:paraId="6B1E6305" w14:textId="77777777" w:rsidR="00625A5B" w:rsidRPr="008F03E5" w:rsidRDefault="00625A5B" w:rsidP="00AD6DDD">
      <w:pPr>
        <w:pStyle w:val="Translit"/>
      </w:pPr>
      <w:r w:rsidRPr="008F03E5">
        <w:t>Bayg (Bag, Big), Bayk</w:t>
      </w:r>
      <w:r w:rsidRPr="008F03E5">
        <w:tab/>
        <w:t>Bayg, Bayk</w:t>
      </w:r>
      <w:r w:rsidRPr="008F03E5">
        <w:tab/>
        <w:t xml:space="preserve">Pers. town (35.374245, 59.038781) in Razavi Khorasan Province.  Áqá Bálá Bayg from </w:t>
      </w:r>
      <w:r w:rsidRPr="008F03E5">
        <w:rPr>
          <w:u w:val="single"/>
        </w:rPr>
        <w:t>Sh</w:t>
      </w:r>
      <w:r w:rsidRPr="008F03E5">
        <w:t>í</w:t>
      </w:r>
      <w:r w:rsidRPr="008F03E5">
        <w:rPr>
          <w:u w:val="single"/>
        </w:rPr>
        <w:t>sh</w:t>
      </w:r>
      <w:r w:rsidRPr="008F03E5">
        <w:t>aván was the Naqqá</w:t>
      </w:r>
      <w:r w:rsidRPr="008F03E5">
        <w:rPr>
          <w:u w:val="single"/>
        </w:rPr>
        <w:t>sh</w:t>
      </w:r>
      <w:r w:rsidRPr="008F03E5">
        <w:t>-Bá</w:t>
      </w:r>
      <w:r w:rsidRPr="008F03E5">
        <w:rPr>
          <w:u w:val="single"/>
        </w:rPr>
        <w:t>sh</w:t>
      </w:r>
      <w:r w:rsidRPr="008F03E5">
        <w:t>í, chief artist in the court of the crown prince.  He made the only portrait of the Báb.</w:t>
      </w:r>
    </w:p>
    <w:p w14:paraId="07C99C93" w14:textId="77777777" w:rsidR="00625A5B" w:rsidRPr="008F03E5" w:rsidRDefault="00625A5B" w:rsidP="00902D1D">
      <w:pPr>
        <w:pStyle w:val="Translit"/>
      </w:pPr>
      <w:r w:rsidRPr="008F03E5">
        <w:t>Bayhaq (Baihaq)</w:t>
      </w:r>
      <w:r w:rsidRPr="008F03E5">
        <w:tab/>
        <w:t>Bayhaq</w:t>
      </w:r>
      <w:r w:rsidRPr="008F03E5">
        <w:tab/>
        <w:t>See Sabzivár.  Abú Bakr Aḥmad ibn Ḥusayn ibn ‘Alí ibn Músá al-</w:t>
      </w:r>
      <w:r w:rsidRPr="008F03E5">
        <w:rPr>
          <w:u w:val="single"/>
        </w:rPr>
        <w:t>Kh</w:t>
      </w:r>
      <w:r w:rsidRPr="008F03E5">
        <w:t xml:space="preserve">usrawjirdí al-Bayhaqí, also known as Imám al-Bayhaqí was born 994 in </w:t>
      </w:r>
      <w:r w:rsidRPr="008F03E5">
        <w:rPr>
          <w:u w:val="single"/>
        </w:rPr>
        <w:t>Kh</w:t>
      </w:r>
      <w:r w:rsidRPr="008F03E5">
        <w:t>usrawjird, near Bayhaq.  During his lifetime, he became a famous Sunní ḥadí</w:t>
      </w:r>
      <w:r w:rsidRPr="008F03E5">
        <w:rPr>
          <w:u w:val="single"/>
        </w:rPr>
        <w:t>th</w:t>
      </w:r>
      <w:r w:rsidRPr="008F03E5">
        <w:t xml:space="preserve"> expert, following the </w:t>
      </w:r>
      <w:r w:rsidRPr="008F03E5">
        <w:rPr>
          <w:u w:val="single"/>
        </w:rPr>
        <w:t>Sh</w:t>
      </w:r>
      <w:r w:rsidRPr="008F03E5">
        <w:t>áfi‘í school in fiqh and the A</w:t>
      </w:r>
      <w:r w:rsidRPr="008F03E5">
        <w:rPr>
          <w:u w:val="single"/>
        </w:rPr>
        <w:t>sh</w:t>
      </w:r>
      <w:r w:rsidRPr="008F03E5">
        <w:t>‘arí school of Islamic Theology.</w:t>
      </w:r>
    </w:p>
    <w:p w14:paraId="5C885A24" w14:textId="77777777" w:rsidR="00625A5B" w:rsidRPr="008F03E5" w:rsidRDefault="00625A5B" w:rsidP="003545CF">
      <w:pPr>
        <w:pStyle w:val="Translit"/>
      </w:pPr>
      <w:r w:rsidRPr="008F03E5">
        <w:t>Bayigani</w:t>
      </w:r>
      <w:r w:rsidRPr="008F03E5">
        <w:tab/>
        <w:t>Báyigání</w:t>
      </w:r>
      <w:r w:rsidRPr="008F03E5">
        <w:tab/>
        <w:t>Pers. Siyyid Muḥammad-i-Báyigání</w:t>
      </w:r>
    </w:p>
    <w:p w14:paraId="75F6ED64" w14:textId="77777777" w:rsidR="00625A5B" w:rsidRPr="008F03E5" w:rsidRDefault="00625A5B" w:rsidP="003545CF">
      <w:pPr>
        <w:pStyle w:val="Translit"/>
      </w:pPr>
      <w:r w:rsidRPr="008F03E5">
        <w:t>Bayn (Bain)</w:t>
      </w:r>
      <w:r w:rsidRPr="008F03E5">
        <w:tab/>
        <w:t>Bayn</w:t>
      </w:r>
      <w:r w:rsidRPr="008F03E5">
        <w:tab/>
        <w:t>separation, division; interval; difference</w:t>
      </w:r>
    </w:p>
    <w:p w14:paraId="1CFE1F20" w14:textId="77777777" w:rsidR="00625A5B" w:rsidRPr="008F03E5" w:rsidRDefault="00625A5B" w:rsidP="00DE5611">
      <w:pPr>
        <w:pStyle w:val="Translit"/>
      </w:pPr>
      <w:r w:rsidRPr="008F03E5">
        <w:t>Bayram (Bairam)</w:t>
      </w:r>
      <w:r w:rsidRPr="008F03E5">
        <w:tab/>
        <w:t>Bayrám</w:t>
      </w:r>
      <w:r w:rsidRPr="008F03E5">
        <w:tab/>
        <w:t>Turkish festival.  Due to past influence of Ottoman Turkish, many Muslims  have adopted the use of the word Bayrám, using the term “Lesser Bayrám” to refer to their own Eid al-Fitr (‘Íd al-Fiṭr) celebrations; “Greater Bayrám” refers to Eid al Adha (‘Íd al-Aḍḥá) (see Aḍḥan).</w:t>
      </w:r>
    </w:p>
    <w:p w14:paraId="5BFCC399" w14:textId="77777777" w:rsidR="00625A5B" w:rsidRPr="008F03E5" w:rsidRDefault="00625A5B" w:rsidP="00D41FB5">
      <w:pPr>
        <w:pStyle w:val="Translit"/>
      </w:pPr>
      <w:r w:rsidRPr="008F03E5">
        <w:t>Bayrut (Bairut)</w:t>
      </w:r>
      <w:r w:rsidRPr="008F03E5">
        <w:tab/>
        <w:t>Bayrút</w:t>
      </w:r>
      <w:r w:rsidRPr="008F03E5">
        <w:tab/>
        <w:t>Beirut (capital of Lebanon).  See Lawḥ-i-Arḍ-i-Bá.</w:t>
      </w:r>
    </w:p>
    <w:p w14:paraId="0AE8AE89" w14:textId="77777777" w:rsidR="00625A5B" w:rsidRPr="008F03E5" w:rsidRDefault="00625A5B" w:rsidP="0064467B">
      <w:pPr>
        <w:pStyle w:val="Translit"/>
      </w:pPr>
      <w:r w:rsidRPr="008F03E5">
        <w:t>Bayt (Bait), Buyut, Buyutat, Abyat</w:t>
      </w:r>
      <w:r w:rsidRPr="008F03E5">
        <w:tab/>
        <w:t>Bayt, pl. Buyút, Buyútát</w:t>
      </w:r>
      <w:r w:rsidRPr="008F03E5">
        <w:tab/>
        <w:t xml:space="preserve">house, building, temple, edifice; fabric, tent (of nomads); room; apartment, flat; (garden) bed; family; case, box, covering, sheath; verse, couplet;—pl. large, respectable houses; respectable families;—(pl. abyát) verses, couplets.  </w:t>
      </w:r>
      <w:r w:rsidRPr="008F03E5">
        <w:rPr>
          <w:rFonts w:eastAsia="Times New Roman"/>
        </w:rPr>
        <w:t>Baytu</w:t>
      </w:r>
      <w:r w:rsidRPr="008F03E5">
        <w:t>’l</w:t>
      </w:r>
      <w:r w:rsidRPr="008F03E5">
        <w:rPr>
          <w:rFonts w:eastAsia="Times New Roman"/>
        </w:rPr>
        <w:t>-Ḥarám (Baytu’d-Du‘á, Baytu</w:t>
      </w:r>
      <w:r w:rsidRPr="008F03E5">
        <w:t>’l</w:t>
      </w:r>
      <w:r w:rsidRPr="008F03E5">
        <w:rPr>
          <w:rFonts w:eastAsia="Times New Roman"/>
        </w:rPr>
        <w:t>-‘Atíq, Baytu</w:t>
      </w:r>
      <w:r w:rsidRPr="008F03E5">
        <w:t>’l</w:t>
      </w:r>
      <w:r w:rsidRPr="008F03E5">
        <w:rPr>
          <w:rFonts w:eastAsia="Times New Roman"/>
        </w:rPr>
        <w:t>lah</w:t>
      </w:r>
      <w:r w:rsidRPr="008F03E5">
        <w:rPr>
          <w:rFonts w:eastAsia="Times New Roman"/>
          <w:i/>
          <w:iCs/>
        </w:rPr>
        <w:t xml:space="preserve">) = </w:t>
      </w:r>
      <w:r w:rsidRPr="008F03E5">
        <w:rPr>
          <w:rFonts w:eastAsia="Times New Roman"/>
        </w:rPr>
        <w:t>The temple of Mecca.</w:t>
      </w:r>
    </w:p>
    <w:p w14:paraId="1B7C6B1B" w14:textId="77777777" w:rsidR="00625A5B" w:rsidRPr="008F03E5" w:rsidRDefault="00625A5B" w:rsidP="008B4A21">
      <w:pPr>
        <w:pStyle w:val="Translit"/>
      </w:pPr>
      <w:r w:rsidRPr="008F03E5">
        <w:t>Bayt al-‘Iffat, Buyút al-‘Iffat</w:t>
      </w:r>
      <w:r w:rsidRPr="008F03E5">
        <w:tab/>
        <w:t>Bayt al-‘Iffat, pl. Buyút al-‘Iffat</w:t>
      </w:r>
      <w:r w:rsidRPr="008F03E5">
        <w:tab/>
        <w:t>house of chastity</w:t>
      </w:r>
    </w:p>
    <w:p w14:paraId="0F259A2B" w14:textId="77777777" w:rsidR="00625A5B" w:rsidRPr="008F03E5" w:rsidRDefault="00625A5B" w:rsidP="00CB6468">
      <w:pPr>
        <w:pStyle w:val="Translit"/>
      </w:pPr>
      <w:r w:rsidRPr="008F03E5">
        <w:t>Bayt al-Maqdis</w:t>
      </w:r>
      <w:r w:rsidRPr="008F03E5">
        <w:tab/>
        <w:t>Bayt al-Maqdis</w:t>
      </w:r>
      <w:r w:rsidRPr="008F03E5">
        <w:tab/>
        <w:t>the Holy Land</w:t>
      </w:r>
    </w:p>
    <w:p w14:paraId="30980F4E" w14:textId="77777777" w:rsidR="00625A5B" w:rsidRPr="008F03E5" w:rsidRDefault="00625A5B" w:rsidP="006D7455">
      <w:pPr>
        <w:pStyle w:val="Translit"/>
      </w:pPr>
      <w:r w:rsidRPr="008F03E5">
        <w:t>Bayt-i-A’zam</w:t>
      </w:r>
      <w:r w:rsidRPr="008F03E5">
        <w:tab/>
        <w:t>Bayt-i-A‘ẓam</w:t>
      </w:r>
      <w:r w:rsidRPr="008F03E5">
        <w:tab/>
        <w:t>“The Most Great House” (House of Bahá’u’lláh in the Ka</w:t>
      </w:r>
      <w:r w:rsidRPr="008F03E5">
        <w:rPr>
          <w:u w:val="single"/>
        </w:rPr>
        <w:t>kh</w:t>
      </w:r>
      <w:r w:rsidRPr="008F03E5">
        <w:t xml:space="preserve"> quarter of Ba</w:t>
      </w:r>
      <w:r w:rsidRPr="008F03E5">
        <w:rPr>
          <w:u w:val="single"/>
        </w:rPr>
        <w:t>gh</w:t>
      </w:r>
      <w:r w:rsidRPr="008F03E5">
        <w:t>dád, occupied by the family shortly before Bahá’u’lláh returned from Kurdistán)  See Madad, house of.</w:t>
      </w:r>
    </w:p>
    <w:p w14:paraId="548FF934" w14:textId="77777777" w:rsidR="00625A5B" w:rsidRPr="00DA11B4" w:rsidRDefault="00625A5B" w:rsidP="00993725">
      <w:pPr>
        <w:pStyle w:val="Translit"/>
      </w:pPr>
      <w:r w:rsidRPr="00607DAF">
        <w:rPr>
          <w:lang w:val="en-AU"/>
        </w:rPr>
        <w:t>Bayt-i-Zahlan</w:t>
      </w:r>
      <w:r w:rsidRPr="00607DAF">
        <w:rPr>
          <w:lang w:val="en-AU"/>
        </w:rPr>
        <w:tab/>
        <w:t>Bayt-i-Zahlan</w:t>
      </w:r>
      <w:r w:rsidRPr="00607DAF">
        <w:rPr>
          <w:lang w:val="en-AU"/>
        </w:rPr>
        <w:tab/>
        <w:t>German zählen</w:t>
      </w:r>
      <w:r w:rsidRPr="00DA11B4">
        <w:t xml:space="preserve"> (</w:t>
      </w:r>
      <w:r>
        <w:t>“</w:t>
      </w:r>
      <w:r w:rsidRPr="00DA11B4">
        <w:t>to count</w:t>
      </w:r>
      <w:r>
        <w:t>”</w:t>
      </w:r>
      <w:r w:rsidRPr="00DA11B4">
        <w:t>)?</w:t>
      </w:r>
      <w:r>
        <w:t>, hence “Counting house”</w:t>
      </w:r>
    </w:p>
    <w:p w14:paraId="32581FE0" w14:textId="77777777" w:rsidR="00625A5B" w:rsidRPr="008F03E5" w:rsidRDefault="00625A5B" w:rsidP="007C343A">
      <w:pPr>
        <w:pStyle w:val="Translit"/>
      </w:pPr>
      <w:r w:rsidRPr="008F03E5">
        <w:t>Baytu’l</w:t>
      </w:r>
      <w:r w:rsidRPr="008F03E5">
        <w:rPr>
          <w:rFonts w:eastAsia="PMingLiU"/>
          <w:lang w:eastAsia="zh-TW"/>
        </w:rPr>
        <w:t>-‘</w:t>
      </w:r>
      <w:r w:rsidRPr="008F03E5">
        <w:t>Adl</w:t>
      </w:r>
      <w:r w:rsidRPr="008F03E5">
        <w:tab/>
        <w:t>Baytu’l-‘Adl</w:t>
      </w:r>
      <w:r w:rsidRPr="008F03E5">
        <w:tab/>
        <w:t>Pers. House of Justice</w:t>
      </w:r>
    </w:p>
    <w:p w14:paraId="79CBA1FF" w14:textId="77777777" w:rsidR="00625A5B" w:rsidRPr="008F03E5" w:rsidRDefault="00625A5B" w:rsidP="00C9320E">
      <w:pPr>
        <w:pStyle w:val="Translit"/>
      </w:pPr>
      <w:r w:rsidRPr="008F03E5">
        <w:t>Baytu’l</w:t>
      </w:r>
      <w:r w:rsidRPr="008F03E5">
        <w:rPr>
          <w:rFonts w:eastAsia="PMingLiU"/>
          <w:lang w:eastAsia="zh-TW"/>
        </w:rPr>
        <w:t>-‘</w:t>
      </w:r>
      <w:r w:rsidRPr="008F03E5">
        <w:t>Adl-i-A’zam</w:t>
      </w:r>
      <w:r w:rsidRPr="008F03E5">
        <w:tab/>
        <w:t>Baytu’l-‘Adl-i-A‘ẓam</w:t>
      </w:r>
      <w:r w:rsidRPr="008F03E5">
        <w:tab/>
        <w:t>Pers. Universal House of Justice.  See Universal House of Justice listing.</w:t>
      </w:r>
    </w:p>
    <w:p w14:paraId="1412BABC" w14:textId="77777777" w:rsidR="00625A5B" w:rsidRPr="008F03E5" w:rsidRDefault="00625A5B" w:rsidP="00993725">
      <w:pPr>
        <w:pStyle w:val="Translit"/>
      </w:pPr>
      <w:r>
        <w:t>Baytu’l-Funduq (</w:t>
      </w:r>
      <w:r w:rsidRPr="008F03E5">
        <w:t>Bayt</w:t>
      </w:r>
      <w:r>
        <w:t>-i-</w:t>
      </w:r>
      <w:r w:rsidRPr="008F03E5">
        <w:t>Fanduq</w:t>
      </w:r>
      <w:r>
        <w:t>)</w:t>
      </w:r>
      <w:r w:rsidRPr="008F03E5">
        <w:tab/>
        <w:t>Bayt</w:t>
      </w:r>
      <w:r>
        <w:t>u’l-</w:t>
      </w:r>
      <w:r w:rsidRPr="008F03E5">
        <w:t>F</w:t>
      </w:r>
      <w:r>
        <w:t>u</w:t>
      </w:r>
      <w:r w:rsidRPr="008F03E5">
        <w:t>nduq</w:t>
      </w:r>
      <w:r>
        <w:t xml:space="preserve"> (</w:t>
      </w:r>
      <w:r w:rsidRPr="008F03E5">
        <w:t>Bayt</w:t>
      </w:r>
      <w:r>
        <w:t>-i-</w:t>
      </w:r>
      <w:r w:rsidRPr="008F03E5">
        <w:t>F</w:t>
      </w:r>
      <w:r>
        <w:t>u</w:t>
      </w:r>
      <w:r w:rsidRPr="008F03E5">
        <w:t>nduq</w:t>
      </w:r>
      <w:r>
        <w:t>)</w:t>
      </w:r>
      <w:r w:rsidRPr="008F03E5">
        <w:tab/>
      </w:r>
      <w:r>
        <w:t>“hotel house”.  A</w:t>
      </w:r>
      <w:r w:rsidRPr="008F03E5">
        <w:t xml:space="preserve"> house in the German Templar colony, Haifa, where Bahá’u’lláh stayed, 1883</w:t>
      </w:r>
      <w:r>
        <w:t>.</w:t>
      </w:r>
    </w:p>
    <w:p w14:paraId="2D9284F5" w14:textId="77777777" w:rsidR="00625A5B" w:rsidRPr="008F03E5" w:rsidRDefault="00625A5B" w:rsidP="00B34C49">
      <w:pPr>
        <w:pStyle w:val="Translit"/>
        <w:rPr>
          <w:rFonts w:eastAsia="PMingLiU"/>
          <w:lang w:eastAsia="zh-TW"/>
        </w:rPr>
      </w:pPr>
      <w:r w:rsidRPr="008F03E5">
        <w:rPr>
          <w:rFonts w:eastAsia="PMingLiU"/>
          <w:lang w:eastAsia="zh-TW"/>
        </w:rPr>
        <w:t>Baytu’l-Hazan</w:t>
      </w:r>
      <w:r w:rsidRPr="008F03E5">
        <w:tab/>
      </w:r>
      <w:r w:rsidRPr="008F03E5">
        <w:rPr>
          <w:rFonts w:eastAsia="PMingLiU"/>
          <w:lang w:eastAsia="zh-TW"/>
        </w:rPr>
        <w:t>Baytu’l-</w:t>
      </w:r>
      <w:r w:rsidRPr="008F03E5">
        <w:t>Ḥ</w:t>
      </w:r>
      <w:r w:rsidRPr="008F03E5">
        <w:rPr>
          <w:rFonts w:eastAsia="PMingLiU"/>
          <w:lang w:eastAsia="zh-TW"/>
        </w:rPr>
        <w:t>azan</w:t>
      </w:r>
      <w:r w:rsidRPr="008F03E5">
        <w:tab/>
        <w:t>house of sadness</w:t>
      </w:r>
    </w:p>
    <w:p w14:paraId="6903697E" w14:textId="77777777" w:rsidR="00625A5B" w:rsidRPr="008F03E5" w:rsidRDefault="00625A5B" w:rsidP="00855949">
      <w:pPr>
        <w:pStyle w:val="Translit"/>
      </w:pPr>
      <w:r w:rsidRPr="008F03E5">
        <w:t>Baytu’llah</w:t>
      </w:r>
      <w:r w:rsidRPr="008F03E5">
        <w:tab/>
        <w:t>Baytu’lláh</w:t>
      </w:r>
      <w:r w:rsidRPr="008F03E5">
        <w:tab/>
        <w:t>the House of God—the Ka‘bah in Mecca</w:t>
      </w:r>
    </w:p>
    <w:p w14:paraId="42F2F358" w14:textId="77777777" w:rsidR="00625A5B" w:rsidRPr="008F03E5" w:rsidRDefault="00625A5B" w:rsidP="00014D78">
      <w:pPr>
        <w:pStyle w:val="Translit"/>
      </w:pPr>
      <w:r w:rsidRPr="008F03E5">
        <w:t>Baytu’l-Ma’mur</w:t>
      </w:r>
      <w:r w:rsidRPr="008F03E5">
        <w:tab/>
        <w:t>Baytu’l-Ma‘múr</w:t>
      </w:r>
      <w:r w:rsidRPr="008F03E5">
        <w:tab/>
        <w:t>Frequented Fane.  In Islám, the Ka‘bah or its archetype in heaven.</w:t>
      </w:r>
    </w:p>
    <w:p w14:paraId="7D6E585F" w14:textId="77777777" w:rsidR="00625A5B" w:rsidRDefault="00625A5B" w:rsidP="00311A82">
      <w:pPr>
        <w:pStyle w:val="Translit"/>
      </w:pPr>
      <w:r>
        <w:t>Baytu’l-Mahdi (Beitol Mahdi)</w:t>
      </w:r>
      <w:r>
        <w:tab/>
        <w:t>Baytu’l-Mahd</w:t>
      </w:r>
      <w:r w:rsidRPr="00A12E9D">
        <w:t>í</w:t>
      </w:r>
      <w:r>
        <w:tab/>
        <w:t>Masjid Baytu’l-Mahd</w:t>
      </w:r>
      <w:r w:rsidRPr="00A12E9D">
        <w:t>í</w:t>
      </w:r>
      <w:r>
        <w:t xml:space="preserve"> (</w:t>
      </w:r>
      <w:r w:rsidRPr="00A12E9D">
        <w:t>29.612247, 52.540839</w:t>
      </w:r>
      <w:r>
        <w:t xml:space="preserve">) built on the site of the House of the Báb in </w:t>
      </w:r>
      <w:r w:rsidRPr="00311A82">
        <w:rPr>
          <w:u w:val="single"/>
        </w:rPr>
        <w:t>Sh</w:t>
      </w:r>
      <w:r w:rsidRPr="00311A82">
        <w:t>í</w:t>
      </w:r>
      <w:r>
        <w:t>r</w:t>
      </w:r>
      <w:r w:rsidRPr="00311A82">
        <w:t>á</w:t>
      </w:r>
      <w:r>
        <w:t>z,  It is across the main street from the huge Masjid Naw (</w:t>
      </w:r>
      <w:r w:rsidRPr="009820E8">
        <w:t>29.610966, 52.541609</w:t>
      </w:r>
      <w:r>
        <w:t>).</w:t>
      </w:r>
    </w:p>
    <w:p w14:paraId="0D4139D0" w14:textId="77777777" w:rsidR="00625A5B" w:rsidRPr="008F03E5" w:rsidRDefault="00625A5B" w:rsidP="00014D78">
      <w:pPr>
        <w:pStyle w:val="Translit"/>
      </w:pPr>
      <w:r w:rsidRPr="008F03E5">
        <w:t>Baytu’l-Maqdis</w:t>
      </w:r>
      <w:r w:rsidRPr="008F03E5">
        <w:tab/>
        <w:t>Baytu’l-Maqdis</w:t>
      </w:r>
      <w:r w:rsidRPr="008F03E5">
        <w:tab/>
        <w:t>al-Aqsa Mosque, Jerusalem</w:t>
      </w:r>
    </w:p>
    <w:p w14:paraId="1A539970" w14:textId="77777777" w:rsidR="00625A5B" w:rsidRPr="008F03E5" w:rsidRDefault="00625A5B" w:rsidP="00326CCB">
      <w:pPr>
        <w:pStyle w:val="Translit"/>
        <w:rPr>
          <w:rFonts w:eastAsia="PMingLiU"/>
          <w:lang w:eastAsia="zh-TW"/>
        </w:rPr>
      </w:pPr>
      <w:r w:rsidRPr="008F03E5">
        <w:t>Baytu’l-Muqaddas</w:t>
      </w:r>
      <w:r w:rsidRPr="008F03E5">
        <w:tab/>
        <w:t>Baytu’l-Muqaddas</w:t>
      </w:r>
      <w:r w:rsidRPr="008F03E5">
        <w:tab/>
        <w:t>“the House of Holiness”—name given to Jerusalem</w:t>
      </w:r>
    </w:p>
    <w:p w14:paraId="14320BFF" w14:textId="77777777" w:rsidR="00625A5B" w:rsidRPr="008F03E5" w:rsidRDefault="00625A5B" w:rsidP="007B07D7">
      <w:pPr>
        <w:pStyle w:val="Translit"/>
      </w:pPr>
      <w:r w:rsidRPr="008F03E5">
        <w:t>Bayyin (Baiyin), Abyina’</w:t>
      </w:r>
      <w:r w:rsidRPr="008F03E5">
        <w:tab/>
        <w:t>Bayyin, pl. Abyiná’</w:t>
      </w:r>
      <w:r w:rsidRPr="008F03E5">
        <w:tab/>
        <w:t>clear, plain, evident, obvious, lucid, manifest, patent;—pl. eloquent</w:t>
      </w:r>
    </w:p>
    <w:p w14:paraId="5F02F2DA" w14:textId="77777777" w:rsidR="00625A5B" w:rsidRPr="008F03E5" w:rsidRDefault="00625A5B" w:rsidP="007B07D7">
      <w:pPr>
        <w:pStyle w:val="Translit"/>
      </w:pPr>
      <w:r w:rsidRPr="008F03E5">
        <w:t>Bayyina, Bayyinat</w:t>
      </w:r>
      <w:r w:rsidRPr="008F03E5">
        <w:tab/>
        <w:t>Bayyina[h or t], pl. Bayyinát</w:t>
      </w:r>
      <w:r w:rsidRPr="008F03E5">
        <w:tab/>
        <w:t>clear proof, indisputable evidence; evidence (Islamic Law); a document serving as evidence</w:t>
      </w:r>
    </w:p>
    <w:p w14:paraId="0F2B7E66" w14:textId="77777777" w:rsidR="00625A5B" w:rsidRPr="008F03E5" w:rsidRDefault="00625A5B" w:rsidP="00A805FB">
      <w:pPr>
        <w:pStyle w:val="Translit"/>
      </w:pPr>
      <w:r w:rsidRPr="008F03E5">
        <w:t>Bazar, Bazarat</w:t>
      </w:r>
      <w:r w:rsidRPr="008F03E5">
        <w:tab/>
        <w:t>Bázár, pl. Bázárát</w:t>
      </w:r>
      <w:r w:rsidRPr="008F03E5">
        <w:tab/>
        <w:t>bazaar, permanent, enclosed oriental market (Pers. origin, and Middle Persian wázár)</w:t>
      </w:r>
    </w:p>
    <w:p w14:paraId="129CC36F" w14:textId="77777777" w:rsidR="00625A5B" w:rsidRPr="00295666" w:rsidRDefault="00625A5B" w:rsidP="00257131">
      <w:pPr>
        <w:pStyle w:val="Translit"/>
        <w:rPr>
          <w:b/>
          <w:bCs/>
        </w:rPr>
      </w:pPr>
      <w:r>
        <w:rPr>
          <w:rFonts w:eastAsia="Times New Roman"/>
        </w:rPr>
        <w:t>Bazargan (Bayazid)</w:t>
      </w:r>
      <w:r>
        <w:rPr>
          <w:rFonts w:eastAsia="Times New Roman"/>
        </w:rPr>
        <w:tab/>
        <w:t>B</w:t>
      </w:r>
      <w:r w:rsidRPr="00295666">
        <w:rPr>
          <w:rFonts w:eastAsia="Times New Roman"/>
        </w:rPr>
        <w:t>ázargán</w:t>
      </w:r>
      <w:r>
        <w:rPr>
          <w:rFonts w:eastAsia="Times New Roman"/>
        </w:rPr>
        <w:tab/>
        <w:t>Pers.</w:t>
      </w:r>
      <w:r w:rsidRPr="00295666">
        <w:rPr>
          <w:rFonts w:eastAsia="Times New Roman"/>
        </w:rPr>
        <w:t xml:space="preserve"> </w:t>
      </w:r>
      <w:r>
        <w:rPr>
          <w:rFonts w:eastAsia="Times New Roman"/>
        </w:rPr>
        <w:t>a</w:t>
      </w:r>
      <w:r w:rsidRPr="00AF4D34">
        <w:rPr>
          <w:rFonts w:eastAsia="Times New Roman"/>
        </w:rPr>
        <w:t xml:space="preserve"> merchant, a trader</w:t>
      </w:r>
      <w:r>
        <w:rPr>
          <w:rFonts w:eastAsia="Times New Roman"/>
        </w:rPr>
        <w:t>.  An Iranian (since 1913) border city (</w:t>
      </w:r>
      <w:r w:rsidRPr="00295666">
        <w:rPr>
          <w:rFonts w:eastAsia="Times New Roman"/>
        </w:rPr>
        <w:t>39.391611, 44.387709</w:t>
      </w:r>
      <w:r>
        <w:rPr>
          <w:rFonts w:eastAsia="Times New Roman"/>
        </w:rPr>
        <w:t xml:space="preserve">) about a 20 km walk from </w:t>
      </w:r>
      <w:r w:rsidRPr="008F03E5">
        <w:t>Máh-Kú Qal‘a</w:t>
      </w:r>
      <w:r>
        <w:t xml:space="preserve">.  An area marked as the village of “Bayazid” on old maps—the </w:t>
      </w:r>
      <w:r>
        <w:rPr>
          <w:rFonts w:eastAsia="PMingLiU"/>
          <w:lang w:eastAsia="zh-TW"/>
        </w:rPr>
        <w:t>“</w:t>
      </w:r>
      <w:r w:rsidRPr="008F03E5">
        <w:rPr>
          <w:rFonts w:eastAsia="PMingLiU"/>
          <w:lang w:eastAsia="zh-TW"/>
        </w:rPr>
        <w:t>B</w:t>
      </w:r>
      <w:r w:rsidRPr="008F03E5">
        <w:t>á</w:t>
      </w:r>
      <w:r w:rsidRPr="008F03E5">
        <w:rPr>
          <w:rFonts w:eastAsia="PMingLiU"/>
          <w:lang w:eastAsia="zh-TW"/>
        </w:rPr>
        <w:t>yaz</w:t>
      </w:r>
      <w:r w:rsidRPr="004B4C3B">
        <w:t>íd” in DB p. 244</w:t>
      </w:r>
      <w:r>
        <w:t xml:space="preserve">?  See </w:t>
      </w:r>
      <w:r w:rsidRPr="008F03E5">
        <w:rPr>
          <w:rFonts w:eastAsia="PMingLiU"/>
          <w:lang w:eastAsia="zh-TW"/>
        </w:rPr>
        <w:t>B</w:t>
      </w:r>
      <w:r w:rsidRPr="008F03E5">
        <w:t>á</w:t>
      </w:r>
      <w:r w:rsidRPr="008F03E5">
        <w:rPr>
          <w:rFonts w:eastAsia="PMingLiU"/>
          <w:lang w:eastAsia="zh-TW"/>
        </w:rPr>
        <w:t>yaz</w:t>
      </w:r>
      <w:r w:rsidRPr="008F03E5">
        <w:t>í</w:t>
      </w:r>
      <w:r w:rsidRPr="008F03E5">
        <w:rPr>
          <w:rFonts w:eastAsia="PMingLiU"/>
          <w:lang w:eastAsia="zh-TW"/>
        </w:rPr>
        <w:t>d</w:t>
      </w:r>
      <w:r>
        <w:rPr>
          <w:rFonts w:eastAsia="PMingLiU"/>
          <w:lang w:eastAsia="zh-TW"/>
        </w:rPr>
        <w:t>.</w:t>
      </w:r>
    </w:p>
    <w:p w14:paraId="23022B87" w14:textId="77777777" w:rsidR="00625A5B" w:rsidRPr="008F03E5" w:rsidRDefault="00625A5B" w:rsidP="002C134B">
      <w:pPr>
        <w:pStyle w:val="Translit"/>
      </w:pPr>
      <w:r w:rsidRPr="008F03E5">
        <w:t>Bazari</w:t>
      </w:r>
      <w:r w:rsidRPr="008F03E5">
        <w:tab/>
        <w:t>Bázárí</w:t>
      </w:r>
      <w:r w:rsidRPr="008F03E5">
        <w:tab/>
        <w:t>merchant or craftsman of the bazaar</w:t>
      </w:r>
    </w:p>
    <w:p w14:paraId="254CA858" w14:textId="77777777" w:rsidR="00625A5B" w:rsidRPr="008F03E5" w:rsidRDefault="00625A5B" w:rsidP="00900A82">
      <w:pPr>
        <w:pStyle w:val="Translit"/>
      </w:pPr>
      <w:r w:rsidRPr="008F03E5">
        <w:t>Baz-Av-u-Bidih-Jami</w:t>
      </w:r>
      <w:r w:rsidRPr="008F03E5">
        <w:tab/>
        <w:t>Báz-Áv-u-Bidih-Jámí</w:t>
      </w:r>
      <w:r w:rsidRPr="008F03E5">
        <w:tab/>
        <w:t>“Return and grant a chalice” by Bahá’u’lláh</w:t>
      </w:r>
    </w:p>
    <w:p w14:paraId="08E30AB1" w14:textId="77777777" w:rsidR="00625A5B" w:rsidRPr="008F03E5" w:rsidRDefault="00625A5B" w:rsidP="001F13D6">
      <w:pPr>
        <w:pStyle w:val="Translit"/>
      </w:pPr>
      <w:r w:rsidRPr="008F03E5">
        <w:t>Bazzaz</w:t>
      </w:r>
      <w:r w:rsidRPr="008F03E5">
        <w:tab/>
        <w:t>Bazzáz</w:t>
      </w:r>
      <w:r w:rsidRPr="008F03E5">
        <w:tab/>
        <w:t>draper, cloth merchant; the mercer</w:t>
      </w:r>
    </w:p>
    <w:p w14:paraId="091DF029" w14:textId="77777777" w:rsidR="00625A5B" w:rsidRPr="008F03E5" w:rsidRDefault="00625A5B" w:rsidP="00746DFA">
      <w:pPr>
        <w:pStyle w:val="Translit"/>
      </w:pPr>
      <w:r w:rsidRPr="008F03E5">
        <w:t>Bedikian</w:t>
      </w:r>
      <w:r w:rsidRPr="008F03E5">
        <w:tab/>
        <w:t>Bedikian</w:t>
      </w:r>
      <w:r w:rsidRPr="008F03E5">
        <w:tab/>
        <w:t>Armenian.  “Auntie” Victoria Schnabel (1879–1955) married Díkrán (Տիգրան, tigran (pronounced díkrán) “fighting with arrows”) Mardiros (Մարտիրոս, “martyr”) Bedikian (Պետիկյան, petikyan, pronounced bítíkyán) (1866–1945), in 1901.</w:t>
      </w:r>
    </w:p>
    <w:p w14:paraId="5C930FC9" w14:textId="77777777" w:rsidR="00625A5B" w:rsidRPr="008F03E5" w:rsidRDefault="00625A5B" w:rsidP="00643625">
      <w:pPr>
        <w:pStyle w:val="Translit"/>
      </w:pPr>
      <w:r>
        <w:t>Beg (Big, Bag), Bey, Begum, Beygum</w:t>
      </w:r>
      <w:r w:rsidRPr="008F03E5">
        <w:tab/>
      </w:r>
      <w:r>
        <w:t>Beg (</w:t>
      </w:r>
      <w:r w:rsidRPr="008F03E5">
        <w:t>Big</w:t>
      </w:r>
      <w:r>
        <w:t>), fem. Begum</w:t>
      </w:r>
      <w:r w:rsidRPr="008F03E5">
        <w:tab/>
      </w:r>
      <w:r>
        <w:t>Turkish from old Turkic Bey (gentleman, chieftain, lord, prince).  Variations used:  Bayk (Persian), “Beik”, “Beyk”, “B</w:t>
      </w:r>
      <w:r w:rsidRPr="008F03E5">
        <w:t>eyg</w:t>
      </w:r>
      <w:r>
        <w:t>”,</w:t>
      </w:r>
      <w:r w:rsidRPr="008F03E5">
        <w:t xml:space="preserve"> </w:t>
      </w:r>
      <w:r>
        <w:t>“</w:t>
      </w:r>
      <w:r w:rsidRPr="008F03E5">
        <w:t>Baig</w:t>
      </w:r>
      <w:r>
        <w:t xml:space="preserve">”, etc.  Title for a chieftain, and an honourific, traditionally applied to leaders or rulers.  A </w:t>
      </w:r>
      <w:r w:rsidRPr="008F03E5">
        <w:t>title p</w:t>
      </w:r>
      <w:r>
        <w:t>laced</w:t>
      </w:r>
      <w:r w:rsidRPr="008F03E5">
        <w:t xml:space="preserve"> after the names of servants and petty officials</w:t>
      </w:r>
      <w:r>
        <w:t xml:space="preserve">.  Today, a social title for men, similar to the English “sir” and “mister”.  </w:t>
      </w:r>
      <w:r w:rsidRPr="008F03E5">
        <w:t>See Báy</w:t>
      </w:r>
      <w:r>
        <w:t>.</w:t>
      </w:r>
    </w:p>
    <w:p w14:paraId="10D18962" w14:textId="77777777" w:rsidR="00625A5B" w:rsidRPr="008F03E5" w:rsidRDefault="00625A5B" w:rsidP="0066111E">
      <w:pPr>
        <w:pStyle w:val="Translit"/>
      </w:pPr>
      <w:r w:rsidRPr="008F03E5">
        <w:t>Ben Gurion</w:t>
      </w:r>
      <w:r w:rsidRPr="008F03E5">
        <w:tab/>
        <w:t>Sderot Ben Gurion</w:t>
      </w:r>
      <w:r w:rsidRPr="008F03E5">
        <w:tab/>
        <w:t>Ben Gurion Ave passes through the German Colony from Haifa Harbour up to the base of the Bahá’í terraces.  As part of the restoration of the German Templer Colony 2003 and onwards, the Haifa municipality moved the upper end of Ben Gurion Avenue 1.86 m to bring it into alignment with the terraces’ central stairs.</w:t>
      </w:r>
    </w:p>
    <w:p w14:paraId="519035A3" w14:textId="77777777" w:rsidR="00625A5B" w:rsidRPr="008F03E5" w:rsidRDefault="00625A5B" w:rsidP="00622164">
      <w:pPr>
        <w:pStyle w:val="Translit"/>
      </w:pPr>
      <w:r w:rsidRPr="008F03E5">
        <w:t>Bethulia, Bethulie</w:t>
      </w:r>
      <w:r w:rsidRPr="008F03E5">
        <w:tab/>
        <w:t>Bethulia, Bethulie</w:t>
      </w:r>
      <w:r w:rsidRPr="008F03E5">
        <w:tab/>
        <w:t xml:space="preserve">Bethulia is a Biblical city (location uncertain), situated on a mountain overlooking the plain of Jezrael, whose deliverance by Judith, when besieged by Holofernes, forms the subject of the Book of Judith.  Hebrew </w:t>
      </w:r>
      <w:r w:rsidRPr="008F03E5">
        <w:rPr>
          <w:rtl/>
          <w:lang w:bidi="he-IL"/>
        </w:rPr>
        <w:t>בתוליה</w:t>
      </w:r>
      <w:r w:rsidRPr="008F03E5">
        <w:t xml:space="preserve"> (a virgin).  Similar to Ar. Batúlí (virginal).</w:t>
      </w:r>
    </w:p>
    <w:p w14:paraId="2466A188" w14:textId="77777777" w:rsidR="00625A5B" w:rsidRPr="008F03E5" w:rsidRDefault="00625A5B" w:rsidP="001D34F0">
      <w:pPr>
        <w:pStyle w:val="Translit"/>
      </w:pPr>
      <w:r w:rsidRPr="008F03E5">
        <w:t>bi</w:t>
      </w:r>
      <w:r w:rsidRPr="008F03E5">
        <w:tab/>
        <w:t>bi</w:t>
      </w:r>
      <w:r w:rsidRPr="008F03E5">
        <w:tab/>
        <w:t>(prep.) in, at, on (place and time); with (indicating connection, association, attendance); with, through, by means of (designating instrumentality or agency, also with passive = by); for (= at the price of); by (= to the amount of); by (introducing an oath)</w:t>
      </w:r>
    </w:p>
    <w:p w14:paraId="104FA6CA" w14:textId="77777777" w:rsidR="00625A5B" w:rsidRPr="008F03E5" w:rsidRDefault="00625A5B" w:rsidP="00786DD0">
      <w:pPr>
        <w:pStyle w:val="Translit"/>
      </w:pPr>
      <w:r w:rsidRPr="008F03E5">
        <w:t>bi</w:t>
      </w:r>
      <w:r w:rsidRPr="008F03E5">
        <w:tab/>
        <w:t>bí</w:t>
      </w:r>
      <w:r w:rsidRPr="008F03E5">
        <w:tab/>
        <w:t xml:space="preserve">Pers. be (a privative particle or preposition), without; when prefixed to nouns, </w:t>
      </w:r>
      <w:r w:rsidRPr="008F03E5">
        <w:rPr>
          <w:rFonts w:eastAsia="Times New Roman"/>
        </w:rPr>
        <w:t>implying wanting, or being destitute</w:t>
      </w:r>
    </w:p>
    <w:p w14:paraId="5ABE58B1" w14:textId="77777777" w:rsidR="00625A5B" w:rsidRPr="008F03E5" w:rsidRDefault="00625A5B" w:rsidP="00D31B21">
      <w:pPr>
        <w:pStyle w:val="Translit"/>
      </w:pPr>
      <w:r w:rsidRPr="008F03E5">
        <w:rPr>
          <w:rFonts w:eastAsia="Times New Roman"/>
        </w:rPr>
        <w:t>bi</w:t>
      </w:r>
      <w:r w:rsidRPr="008F03E5">
        <w:t>’l</w:t>
      </w:r>
      <w:r w:rsidRPr="008F03E5">
        <w:rPr>
          <w:rFonts w:eastAsia="Times New Roman"/>
        </w:rPr>
        <w:t>-Haqq</w:t>
      </w:r>
      <w:r w:rsidRPr="008F03E5">
        <w:rPr>
          <w:rFonts w:eastAsia="Times New Roman"/>
        </w:rPr>
        <w:tab/>
        <w:t>bi</w:t>
      </w:r>
      <w:r w:rsidRPr="008F03E5">
        <w:t>’l</w:t>
      </w:r>
      <w:r w:rsidRPr="008F03E5">
        <w:rPr>
          <w:rFonts w:eastAsia="Times New Roman"/>
        </w:rPr>
        <w:t>-Ḥaqq</w:t>
      </w:r>
      <w:r w:rsidRPr="008F03E5">
        <w:rPr>
          <w:rFonts w:eastAsia="Times New Roman"/>
        </w:rPr>
        <w:tab/>
        <w:t>of a truth</w:t>
      </w:r>
    </w:p>
    <w:p w14:paraId="535D58D0" w14:textId="77777777" w:rsidR="00625A5B" w:rsidRPr="008F03E5" w:rsidRDefault="00625A5B" w:rsidP="009F7FA4">
      <w:pPr>
        <w:pStyle w:val="Translit"/>
      </w:pPr>
      <w:r w:rsidRPr="008F03E5">
        <w:t>bi’llah</w:t>
      </w:r>
      <w:r w:rsidRPr="008F03E5">
        <w:tab/>
        <w:t>bi’lláh</w:t>
      </w:r>
      <w:r w:rsidRPr="008F03E5">
        <w:tab/>
        <w:t>“by God!”, “with God” or “through God”</w:t>
      </w:r>
    </w:p>
    <w:p w14:paraId="3F250D96" w14:textId="77777777" w:rsidR="00625A5B" w:rsidRPr="008F03E5" w:rsidRDefault="00625A5B" w:rsidP="009F7FA4">
      <w:pPr>
        <w:pStyle w:val="Translit"/>
      </w:pPr>
      <w:r w:rsidRPr="008F03E5">
        <w:rPr>
          <w:rFonts w:eastAsia="Times New Roman"/>
        </w:rPr>
        <w:t>bi</w:t>
      </w:r>
      <w:r w:rsidRPr="008F03E5">
        <w:t>’l</w:t>
      </w:r>
      <w:r w:rsidRPr="008F03E5">
        <w:rPr>
          <w:rFonts w:eastAsia="Times New Roman"/>
        </w:rPr>
        <w:t>-Quwa</w:t>
      </w:r>
      <w:r w:rsidRPr="008F03E5">
        <w:rPr>
          <w:rFonts w:eastAsia="Times New Roman"/>
        </w:rPr>
        <w:tab/>
        <w:t>bi</w:t>
      </w:r>
      <w:r w:rsidRPr="008F03E5">
        <w:t>’l</w:t>
      </w:r>
      <w:r w:rsidRPr="008F03E5">
        <w:rPr>
          <w:rFonts w:eastAsia="Times New Roman"/>
        </w:rPr>
        <w:t>-Qúwa[t]</w:t>
      </w:r>
      <w:r w:rsidRPr="008F03E5">
        <w:rPr>
          <w:rFonts w:eastAsia="Times New Roman"/>
        </w:rPr>
        <w:tab/>
        <w:t>with power, powerfully, vigorously</w:t>
      </w:r>
    </w:p>
    <w:p w14:paraId="0B870E29" w14:textId="77777777" w:rsidR="00625A5B" w:rsidRPr="008F03E5" w:rsidRDefault="00625A5B" w:rsidP="00624EB4">
      <w:pPr>
        <w:pStyle w:val="Translit"/>
      </w:pPr>
      <w:r w:rsidRPr="00D45A23">
        <w:rPr>
          <w:lang w:val="de-DE"/>
        </w:rPr>
        <w:t>Bi’r (Ber), Abar, Bi’ar</w:t>
      </w:r>
      <w:r w:rsidRPr="00D45A23">
        <w:rPr>
          <w:lang w:val="de-DE"/>
        </w:rPr>
        <w:tab/>
        <w:t xml:space="preserve">Bi’r (fem.), pl. </w:t>
      </w:r>
      <w:r w:rsidRPr="008F03E5">
        <w:t>Ábár, Bi’ár</w:t>
      </w:r>
      <w:r w:rsidRPr="008F03E5">
        <w:tab/>
        <w:t>well, spring</w:t>
      </w:r>
    </w:p>
    <w:p w14:paraId="5736E621" w14:textId="77777777" w:rsidR="00625A5B" w:rsidRPr="008F03E5" w:rsidRDefault="00625A5B" w:rsidP="00624EB4">
      <w:pPr>
        <w:pStyle w:val="Translit"/>
      </w:pPr>
      <w:r w:rsidRPr="008F03E5">
        <w:t>bi’t-Tasrih</w:t>
      </w:r>
      <w:r w:rsidRPr="008F03E5">
        <w:tab/>
        <w:t>bi’t-Taṣríḥ</w:t>
      </w:r>
      <w:r w:rsidRPr="008F03E5">
        <w:tab/>
        <w:t>Pers. in detail; expressly, distinctly, explicitly</w:t>
      </w:r>
    </w:p>
    <w:p w14:paraId="70275268" w14:textId="77777777" w:rsidR="00625A5B" w:rsidRPr="008F03E5" w:rsidRDefault="00625A5B" w:rsidP="00A56016">
      <w:pPr>
        <w:pStyle w:val="Translit"/>
      </w:pPr>
      <w:r w:rsidRPr="008F03E5">
        <w:t>Biba (Beba, “Babba”)</w:t>
      </w:r>
      <w:r w:rsidRPr="008F03E5">
        <w:tab/>
        <w:t>Bibá</w:t>
      </w:r>
      <w:r w:rsidRPr="008F03E5">
        <w:tab/>
        <w:t xml:space="preserve">city (28.922043, 30.980567) in Bibá district, Muḥáfẓat Baní Sawíf (Beni Suef Governorate), 130 km </w:t>
      </w:r>
      <w:r w:rsidRPr="008F03E5">
        <w:rPr>
          <w:sz w:val="16"/>
          <w:szCs w:val="16"/>
        </w:rPr>
        <w:t>SSW</w:t>
      </w:r>
      <w:r w:rsidRPr="008F03E5">
        <w:t xml:space="preserve"> of Cairo, Egypt.  See Kawm aṣ-Ṣa‘áydah.</w:t>
      </w:r>
    </w:p>
    <w:p w14:paraId="2F91587E" w14:textId="77777777" w:rsidR="00625A5B" w:rsidRPr="008F03E5" w:rsidRDefault="00625A5B" w:rsidP="007B5780">
      <w:pPr>
        <w:pStyle w:val="Translit"/>
      </w:pPr>
      <w:r w:rsidRPr="008F03E5">
        <w:t>Bibi</w:t>
      </w:r>
      <w:r w:rsidRPr="008F03E5">
        <w:tab/>
        <w:t>Bíbí</w:t>
      </w:r>
      <w:r w:rsidRPr="008F03E5">
        <w:tab/>
        <w:t>Pers. a lady, a matron; wife, mistress of the house</w:t>
      </w:r>
    </w:p>
    <w:p w14:paraId="75FCA539" w14:textId="77777777" w:rsidR="00625A5B" w:rsidRPr="008F03E5" w:rsidRDefault="00625A5B" w:rsidP="005145BC">
      <w:pPr>
        <w:pStyle w:val="Translit"/>
        <w:rPr>
          <w:rFonts w:eastAsia="PMingLiU"/>
        </w:rPr>
      </w:pPr>
      <w:r w:rsidRPr="008F03E5">
        <w:rPr>
          <w:rFonts w:eastAsia="PMingLiU"/>
        </w:rPr>
        <w:t>Bibi-Dukhtaran</w:t>
      </w:r>
      <w:r w:rsidRPr="008F03E5">
        <w:tab/>
      </w:r>
      <w:r w:rsidRPr="008F03E5">
        <w:rPr>
          <w:rFonts w:eastAsia="PMingLiU"/>
        </w:rPr>
        <w:t>Bíbí-Du</w:t>
      </w:r>
      <w:r w:rsidRPr="008F03E5">
        <w:rPr>
          <w:u w:val="single"/>
        </w:rPr>
        <w:t>kh</w:t>
      </w:r>
      <w:r w:rsidRPr="008F03E5">
        <w:rPr>
          <w:rFonts w:eastAsia="PMingLiU"/>
        </w:rPr>
        <w:t>tarán</w:t>
      </w:r>
      <w:r w:rsidRPr="008F03E5">
        <w:tab/>
        <w:t xml:space="preserve">Shrine of </w:t>
      </w:r>
      <w:r w:rsidRPr="008F03E5">
        <w:rPr>
          <w:rFonts w:eastAsia="PMingLiU"/>
        </w:rPr>
        <w:t>Bíbí Du</w:t>
      </w:r>
      <w:r w:rsidRPr="008F03E5">
        <w:rPr>
          <w:u w:val="single"/>
        </w:rPr>
        <w:t>kh</w:t>
      </w:r>
      <w:r w:rsidRPr="008F03E5">
        <w:rPr>
          <w:rFonts w:eastAsia="PMingLiU"/>
        </w:rPr>
        <w:t>tarán</w:t>
      </w:r>
      <w:r w:rsidRPr="008F03E5">
        <w:t xml:space="preserve"> in </w:t>
      </w:r>
      <w:r w:rsidRPr="008F03E5">
        <w:rPr>
          <w:u w:val="single"/>
        </w:rPr>
        <w:t>Sh</w:t>
      </w:r>
      <w:r w:rsidRPr="008F03E5">
        <w:t>íráz (29.613000, 52.538959) where the Báb’s son, Aḥmad, is buried</w:t>
      </w:r>
    </w:p>
    <w:p w14:paraId="785B7889" w14:textId="77777777" w:rsidR="00625A5B" w:rsidRPr="008F03E5" w:rsidRDefault="00625A5B" w:rsidP="008E7827">
      <w:pPr>
        <w:pStyle w:val="Translit"/>
      </w:pPr>
      <w:r w:rsidRPr="008F03E5">
        <w:t>Bibinid (Bebeeneed)</w:t>
      </w:r>
      <w:r w:rsidRPr="008F03E5">
        <w:tab/>
        <w:t xml:space="preserve">Bibíníd </w:t>
      </w:r>
      <w:r w:rsidRPr="008F03E5">
        <w:rPr>
          <w:rtl/>
        </w:rPr>
        <w:t>ببینید</w:t>
      </w:r>
      <w:r w:rsidRPr="008F03E5">
        <w:tab/>
        <w:t>Pers. look and see; behold.  A favourite word of Shoghi Effendi</w:t>
      </w:r>
      <w:r>
        <w:t xml:space="preserve"> and </w:t>
      </w:r>
      <w:r w:rsidRPr="007553E4">
        <w:t>Zikrullah Khadem</w:t>
      </w:r>
      <w:r w:rsidRPr="008F03E5">
        <w:t>.</w:t>
      </w:r>
    </w:p>
    <w:p w14:paraId="682C1122" w14:textId="77777777" w:rsidR="00625A5B" w:rsidRPr="008F03E5" w:rsidRDefault="00625A5B" w:rsidP="00786DD0">
      <w:pPr>
        <w:pStyle w:val="Translit"/>
        <w:rPr>
          <w:rFonts w:eastAsia="Times New Roman"/>
        </w:rPr>
      </w:pPr>
      <w:r w:rsidRPr="008F03E5">
        <w:rPr>
          <w:rFonts w:eastAsia="Times New Roman"/>
        </w:rPr>
        <w:t>bi-Chara, bi-Charawar</w:t>
      </w:r>
      <w:r w:rsidRPr="008F03E5">
        <w:rPr>
          <w:rFonts w:eastAsia="Times New Roman"/>
        </w:rPr>
        <w:tab/>
        <w:t>bí-</w:t>
      </w:r>
      <w:r w:rsidRPr="008F03E5">
        <w:rPr>
          <w:rFonts w:eastAsia="Times New Roman"/>
          <w:u w:val="single"/>
        </w:rPr>
        <w:t>Ch</w:t>
      </w:r>
      <w:r w:rsidRPr="008F03E5">
        <w:rPr>
          <w:rFonts w:eastAsia="Times New Roman"/>
        </w:rPr>
        <w:t>ára, bí-</w:t>
      </w:r>
      <w:r w:rsidRPr="008F03E5">
        <w:rPr>
          <w:rFonts w:eastAsia="Times New Roman"/>
          <w:u w:val="single"/>
        </w:rPr>
        <w:t>Ch</w:t>
      </w:r>
      <w:r w:rsidRPr="008F03E5">
        <w:rPr>
          <w:rFonts w:eastAsia="Times New Roman"/>
        </w:rPr>
        <w:t>árawár</w:t>
      </w:r>
      <w:r w:rsidRPr="008F03E5">
        <w:rPr>
          <w:rFonts w:eastAsia="Times New Roman"/>
        </w:rPr>
        <w:tab/>
        <w:t>Pers. without remedy; remediless; hopeless; helpless, destitute, desperate, miserable, reduced to the last extremity, or even “poor”.</w:t>
      </w:r>
    </w:p>
    <w:p w14:paraId="7D9A3ECF" w14:textId="77777777" w:rsidR="00625A5B" w:rsidRPr="008F03E5" w:rsidRDefault="00625A5B" w:rsidP="008B4E92">
      <w:pPr>
        <w:pStyle w:val="Translit"/>
        <w:rPr>
          <w:rFonts w:eastAsia="PMingLiU"/>
          <w:lang w:eastAsia="zh-TW"/>
        </w:rPr>
      </w:pPr>
      <w:r w:rsidRPr="008F03E5">
        <w:t>Bid’, Bid’a</w:t>
      </w:r>
      <w:r w:rsidRPr="008F03E5">
        <w:tab/>
        <w:t>Biḍ‘, Biḍ‘a[t]</w:t>
      </w:r>
      <w:r w:rsidRPr="008F03E5">
        <w:tab/>
        <w:t>(commonly, with genitive pl. of fem. nouns, biḍ‘a[t] with genitive pl. of m. nouns; in classical Arabic biḍ‘ with both genders) some, a few, several</w:t>
      </w:r>
    </w:p>
    <w:p w14:paraId="216875E6" w14:textId="77777777" w:rsidR="00625A5B" w:rsidRDefault="00625A5B" w:rsidP="00966031">
      <w:pPr>
        <w:pStyle w:val="Translit"/>
        <w:rPr>
          <w:rFonts w:eastAsia="Times New Roman"/>
        </w:rPr>
      </w:pPr>
      <w:r>
        <w:t>Bid’, Bid’a, Abda’, Bida’</w:t>
      </w:r>
      <w:r>
        <w:tab/>
        <w:t>B</w:t>
      </w:r>
      <w:r w:rsidRPr="003C7746">
        <w:t>id‘</w:t>
      </w:r>
      <w:r>
        <w:t>, fem. B</w:t>
      </w:r>
      <w:r w:rsidRPr="003C7746">
        <w:t>id‘a</w:t>
      </w:r>
      <w:r>
        <w:t>[h or t]</w:t>
      </w:r>
      <w:r>
        <w:tab/>
        <w:t>(</w:t>
      </w:r>
      <w:r w:rsidRPr="003C7746">
        <w:t>pl.</w:t>
      </w:r>
      <w:r>
        <w:t xml:space="preserve"> A</w:t>
      </w:r>
      <w:r w:rsidRPr="003C7746">
        <w:t>bd</w:t>
      </w:r>
      <w:r>
        <w:t>á</w:t>
      </w:r>
      <w:r w:rsidRPr="003C7746">
        <w:t>‘</w:t>
      </w:r>
      <w:r>
        <w:t>, fem. B</w:t>
      </w:r>
      <w:r w:rsidRPr="003C7746">
        <w:t>ida‘</w:t>
      </w:r>
      <w:r>
        <w:t xml:space="preserve">) </w:t>
      </w:r>
      <w:r w:rsidRPr="003C7746">
        <w:t>innovator; new, original; unprecedented, novel</w:t>
      </w:r>
      <w:r>
        <w:t xml:space="preserve">;—fem. </w:t>
      </w:r>
      <w:r w:rsidRPr="003C7746">
        <w:t>innovation. novelty; heretical doctrine, heresy;</w:t>
      </w:r>
      <w:r>
        <w:t xml:space="preserve">—fem. </w:t>
      </w:r>
      <w:r w:rsidRPr="003C7746">
        <w:t>pl. creations (of fashion, of art)</w:t>
      </w:r>
      <w:r>
        <w:t xml:space="preserve">.  </w:t>
      </w:r>
      <w:r w:rsidRPr="003C7746">
        <w:t>ahl al-bida‘ heretics</w:t>
      </w:r>
      <w:r>
        <w:t>.</w:t>
      </w:r>
    </w:p>
    <w:p w14:paraId="3F7FC535" w14:textId="77777777" w:rsidR="00625A5B" w:rsidRPr="008F03E5" w:rsidRDefault="00625A5B" w:rsidP="0027624D">
      <w:pPr>
        <w:pStyle w:val="Translit"/>
        <w:rPr>
          <w:rFonts w:eastAsia="PMingLiU"/>
          <w:lang w:eastAsia="zh-TW"/>
        </w:rPr>
      </w:pPr>
      <w:r w:rsidRPr="008F03E5">
        <w:rPr>
          <w:rFonts w:eastAsia="PMingLiU"/>
          <w:lang w:eastAsia="zh-TW"/>
        </w:rPr>
        <w:t>Bid’a, Bida’</w:t>
      </w:r>
      <w:r w:rsidRPr="008F03E5">
        <w:rPr>
          <w:rFonts w:eastAsia="PMingLiU"/>
          <w:lang w:eastAsia="zh-TW"/>
        </w:rPr>
        <w:tab/>
        <w:t>Bid‘a</w:t>
      </w:r>
      <w:r>
        <w:rPr>
          <w:rFonts w:eastAsia="PMingLiU"/>
          <w:lang w:eastAsia="zh-TW"/>
        </w:rPr>
        <w:t>[h or t]</w:t>
      </w:r>
      <w:r w:rsidRPr="008F03E5">
        <w:rPr>
          <w:rFonts w:eastAsia="PMingLiU"/>
          <w:lang w:eastAsia="zh-TW"/>
        </w:rPr>
        <w:t>, pl. Bida‘</w:t>
      </w:r>
      <w:r w:rsidRPr="008F03E5">
        <w:rPr>
          <w:rFonts w:eastAsia="PMingLiU"/>
          <w:lang w:eastAsia="zh-TW"/>
        </w:rPr>
        <w:tab/>
        <w:t>innovation, novelty; heretical doctrine, heresy;—pl. creations (of fashion, of art).  A belief or practice without any precedent in the time of Muḥammad or the Imams, usually prohibited because it may represent unbelief (al bid‘a kufr, “innovation is unbelief”)</w:t>
      </w:r>
    </w:p>
    <w:p w14:paraId="23BD5520" w14:textId="77777777" w:rsidR="00625A5B" w:rsidRPr="008F03E5" w:rsidRDefault="00625A5B" w:rsidP="00E443AE">
      <w:pPr>
        <w:pStyle w:val="Translit"/>
      </w:pPr>
      <w:r w:rsidRPr="008F03E5">
        <w:t>Bidil</w:t>
      </w:r>
      <w:r w:rsidRPr="008F03E5">
        <w:tab/>
        <w:t>Bídil</w:t>
      </w:r>
      <w:r w:rsidRPr="008F03E5">
        <w:tab/>
        <w:t>Pers. heartless, dispirited, out of heart; pusillanimous; love-sick; ignorant; melancholy, dejected, sad, stupid.</w:t>
      </w:r>
    </w:p>
    <w:p w14:paraId="3177826B" w14:textId="77777777" w:rsidR="00625A5B" w:rsidRPr="008F03E5" w:rsidRDefault="00625A5B" w:rsidP="00E443AE">
      <w:pPr>
        <w:pStyle w:val="Translit"/>
      </w:pPr>
      <w:r w:rsidRPr="008F03E5">
        <w:t>Bidil, Abdu’l-Qadir</w:t>
      </w:r>
      <w:r w:rsidRPr="008F03E5">
        <w:tab/>
        <w:t>Bídil, Abdu’l-Qádir</w:t>
      </w:r>
      <w:r w:rsidRPr="008F03E5">
        <w:tab/>
        <w:t>Mawláná Abu’l-Ma‘ání Mírzá ‘Abdu’l-Qádir Bídil (1642–1720), a famous representative of Dari poetry and Sufism in Afghanistan.  He is considered the most difficult and challenging poet of Safavid-Mughal poetry.  The pairing of Bídil’s patronymic, Abu’l-Ma‘ání, “The Father of Meanings”, with his devastating nom de plume, Bídil, “The Heartless”, illustrates perfectly the conceptual coupling of Love and Meaning in the sensibilities of the literary self-expression of his audiences.</w:t>
      </w:r>
    </w:p>
    <w:p w14:paraId="50D31BE3" w14:textId="77777777" w:rsidR="00625A5B" w:rsidRPr="008F03E5" w:rsidRDefault="00625A5B" w:rsidP="006475A2">
      <w:pPr>
        <w:pStyle w:val="Translit"/>
      </w:pPr>
      <w:r w:rsidRPr="008F03E5">
        <w:t>Bidpay (Pilpay)</w:t>
      </w:r>
      <w:r w:rsidRPr="008F03E5">
        <w:tab/>
        <w:t>Bídpáy (Pílpáy)</w:t>
      </w:r>
      <w:r w:rsidRPr="008F03E5">
        <w:tab/>
        <w:t xml:space="preserve">friendship; a famous Indian philosopher and author of the celebrated collection of fables about animals (in reality moral stories about kings, ministers, etc.).  Better known by the Arabic version </w:t>
      </w:r>
      <w:r w:rsidRPr="008F03E5">
        <w:rPr>
          <w:i/>
          <w:iCs/>
        </w:rPr>
        <w:t>Kalílah wa Dimnah</w:t>
      </w:r>
      <w:r w:rsidRPr="008F03E5">
        <w:t xml:space="preserve"> (after the names of two jackals), and the Persian version </w:t>
      </w:r>
      <w:r w:rsidRPr="008F03E5">
        <w:rPr>
          <w:i/>
          <w:iCs/>
        </w:rPr>
        <w:t>Anwár-i-Suhaylí</w:t>
      </w:r>
      <w:r w:rsidRPr="008F03E5">
        <w:t xml:space="preserve"> (Lights of Canopus)—both derived from the Sanskrit Panchatantra (of Bídpáy) and Hitopadesa stories.</w:t>
      </w:r>
    </w:p>
    <w:p w14:paraId="4DE1A536" w14:textId="77777777" w:rsidR="00625A5B" w:rsidRPr="008F03E5" w:rsidRDefault="00625A5B" w:rsidP="00F61806">
      <w:pPr>
        <w:pStyle w:val="Translit"/>
      </w:pPr>
      <w:r w:rsidRPr="008F03E5">
        <w:t>bi-Farmayid (Bifarmayid)</w:t>
      </w:r>
      <w:r w:rsidRPr="008F03E5">
        <w:tab/>
        <w:t>bi-Farmáyíd</w:t>
      </w:r>
      <w:r w:rsidRPr="008F03E5">
        <w:tab/>
        <w:t>Pers. “here you are”, please come and eat, please come and sit, …, etc.</w:t>
      </w:r>
    </w:p>
    <w:p w14:paraId="648BE8F9" w14:textId="77777777" w:rsidR="00625A5B" w:rsidRPr="008F03E5" w:rsidRDefault="00625A5B" w:rsidP="00C4154A">
      <w:pPr>
        <w:pStyle w:val="Translit"/>
      </w:pPr>
      <w:r w:rsidRPr="008F03E5">
        <w:rPr>
          <w:rFonts w:eastAsia="PMingLiU"/>
          <w:lang w:eastAsia="zh-TW"/>
        </w:rPr>
        <w:t>Bigl</w:t>
      </w:r>
      <w:r w:rsidRPr="008F03E5">
        <w:t>i</w:t>
      </w:r>
      <w:r w:rsidRPr="008F03E5">
        <w:rPr>
          <w:rFonts w:eastAsia="PMingLiU"/>
          <w:lang w:eastAsia="zh-TW"/>
        </w:rPr>
        <w:t>yirbig</w:t>
      </w:r>
      <w:r w:rsidRPr="008F03E5">
        <w:t>i</w:t>
      </w:r>
      <w:r w:rsidRPr="008F03E5">
        <w:tab/>
      </w:r>
      <w:r w:rsidRPr="008F03E5">
        <w:rPr>
          <w:rFonts w:eastAsia="PMingLiU"/>
          <w:lang w:eastAsia="zh-TW"/>
        </w:rPr>
        <w:t>Bigl</w:t>
      </w:r>
      <w:r w:rsidRPr="008F03E5">
        <w:t>í</w:t>
      </w:r>
      <w:r w:rsidRPr="008F03E5">
        <w:rPr>
          <w:rFonts w:eastAsia="PMingLiU"/>
          <w:lang w:eastAsia="zh-TW"/>
        </w:rPr>
        <w:t>yirbig</w:t>
      </w:r>
      <w:r w:rsidRPr="008F03E5">
        <w:t>í</w:t>
      </w:r>
      <w:r w:rsidRPr="008F03E5">
        <w:tab/>
        <w:t>Beylerbey or Beylerbeyi (Ottoman Turkish:  “Bey of Beys”, meaning “the Commander of Commanders” or “the Lord of Lords”).  Initially designating a commander-in-chief, it eventually came to be held by senior provincial governors.  In Ottoman usage it designated the governors-general of some of the largest and most important provinces.  Equivalents in Arabic were ámir al-umará, and in Persian, mír-i mírán.</w:t>
      </w:r>
    </w:p>
    <w:p w14:paraId="667588EC" w14:textId="77777777" w:rsidR="00625A5B" w:rsidRPr="008F03E5" w:rsidRDefault="00625A5B" w:rsidP="00CA7C22">
      <w:pPr>
        <w:pStyle w:val="Translit"/>
      </w:pPr>
      <w:r w:rsidRPr="008F03E5">
        <w:rPr>
          <w:rFonts w:eastAsia="Times New Roman"/>
        </w:rPr>
        <w:t>Bih</w:t>
      </w:r>
      <w:r w:rsidRPr="008F03E5">
        <w:rPr>
          <w:rFonts w:eastAsia="Times New Roman"/>
        </w:rPr>
        <w:tab/>
        <w:t>Bih</w:t>
      </w:r>
      <w:r w:rsidRPr="008F03E5">
        <w:rPr>
          <w:rFonts w:eastAsia="Times New Roman"/>
        </w:rPr>
        <w:tab/>
        <w:t>Pers. good, excellent; elegant; better; safe, sound</w:t>
      </w:r>
    </w:p>
    <w:p w14:paraId="4612B83A" w14:textId="77777777" w:rsidR="00625A5B" w:rsidRPr="008F03E5" w:rsidRDefault="00625A5B" w:rsidP="008A2797">
      <w:pPr>
        <w:pStyle w:val="Translit"/>
      </w:pPr>
      <w:r w:rsidRPr="008F03E5">
        <w:t>Biharu’l-Anwar (Bihar al-Anwar)</w:t>
      </w:r>
      <w:r w:rsidRPr="008F03E5">
        <w:tab/>
        <w:t>Biḥáru’l-Anwár (Biḥár al-Anwár)</w:t>
      </w:r>
      <w:r w:rsidRPr="008F03E5">
        <w:tab/>
        <w:t xml:space="preserve">“Seas of Lights”.  A 26 vol. compilation of </w:t>
      </w:r>
      <w:r w:rsidRPr="008F03E5">
        <w:rPr>
          <w:u w:val="single"/>
        </w:rPr>
        <w:t>Sh</w:t>
      </w:r>
      <w:r w:rsidRPr="008F03E5">
        <w:t>í‘í traditions (aḥádí</w:t>
      </w:r>
      <w:r w:rsidRPr="008F03E5">
        <w:rPr>
          <w:u w:val="single"/>
        </w:rPr>
        <w:t>th</w:t>
      </w:r>
      <w:r w:rsidRPr="008F03E5">
        <w:t xml:space="preserve">) compiled by </w:t>
      </w:r>
      <w:r w:rsidRPr="008F03E5">
        <w:rPr>
          <w:u w:val="single"/>
        </w:rPr>
        <w:t>Sh</w:t>
      </w:r>
      <w:r w:rsidRPr="008F03E5">
        <w:t xml:space="preserve">í‘a scholar Muḥammad-Báqir Majlisí.  The full title:  </w:t>
      </w:r>
      <w:r w:rsidRPr="008F03E5">
        <w:rPr>
          <w:i/>
          <w:iCs/>
        </w:rPr>
        <w:t>Biḥár al-‘Anwár al-Jámi‘ah li-Durar ‘A</w:t>
      </w:r>
      <w:r w:rsidRPr="008F03E5">
        <w:rPr>
          <w:i/>
          <w:iCs/>
          <w:u w:val="single"/>
        </w:rPr>
        <w:t>kh</w:t>
      </w:r>
      <w:r w:rsidRPr="008F03E5">
        <w:rPr>
          <w:i/>
          <w:iCs/>
        </w:rPr>
        <w:t>bár al-‘A’immah al-Aṭhár</w:t>
      </w:r>
      <w:r w:rsidRPr="008F03E5">
        <w:t xml:space="preserve"> (“Oceans of lights, an encyclopedia for pearls of traditions of the pure imams”).  See Majlisí.</w:t>
      </w:r>
    </w:p>
    <w:p w14:paraId="57325186" w14:textId="77777777" w:rsidR="00625A5B" w:rsidRPr="008F03E5" w:rsidRDefault="00625A5B" w:rsidP="002F3092">
      <w:pPr>
        <w:pStyle w:val="Translit"/>
      </w:pPr>
      <w:r w:rsidRPr="008F03E5">
        <w:t>Bihbahan, Behbahan, Behbehan</w:t>
      </w:r>
      <w:r w:rsidRPr="008F03E5">
        <w:tab/>
        <w:t>Bihbahán</w:t>
      </w:r>
      <w:r w:rsidRPr="008F03E5">
        <w:tab/>
        <w:t>Pers. city and capital of Behbahan County, Khuzestan Province, Iran.  100 km east of Bandar Máh</w:t>
      </w:r>
      <w:r w:rsidRPr="008F03E5">
        <w:rPr>
          <w:u w:val="single"/>
        </w:rPr>
        <w:t>sh</w:t>
      </w:r>
      <w:r w:rsidRPr="008F03E5">
        <w:t>ahr.</w:t>
      </w:r>
    </w:p>
    <w:p w14:paraId="406E7452" w14:textId="77777777" w:rsidR="00625A5B" w:rsidRPr="008F03E5" w:rsidRDefault="00625A5B" w:rsidP="006135E4">
      <w:pPr>
        <w:pStyle w:val="Translit"/>
      </w:pPr>
      <w:r w:rsidRPr="008F03E5">
        <w:t>Bihbahani</w:t>
      </w:r>
      <w:r w:rsidRPr="008F03E5">
        <w:tab/>
        <w:t>Bihbahání</w:t>
      </w:r>
      <w:r w:rsidRPr="008F03E5">
        <w:tab/>
        <w:t xml:space="preserve">of or from Bihbahán.  </w:t>
      </w:r>
      <w:r w:rsidRPr="00077779">
        <w:rPr>
          <w:lang w:val="es-ES_tradnl"/>
        </w:rPr>
        <w:t xml:space="preserve">Áqá Muḥammad Báqir al-Bihbahání (b. 1118/1706–7—d. </w:t>
      </w:r>
      <w:r w:rsidRPr="008F03E5">
        <w:t xml:space="preserve">1205/1791) known as al-Waḥíd al-Bihbahání, was a twelver </w:t>
      </w:r>
      <w:r w:rsidRPr="008F03E5">
        <w:rPr>
          <w:u w:val="single"/>
        </w:rPr>
        <w:t>Sh</w:t>
      </w:r>
      <w:r w:rsidRPr="008F03E5">
        <w:t>í‘a scholar in fiqh, uṣúl.  He was titled as Waḥíd al-‘Aṣr (The exceptional of the time) by as-Sayyid Muḥammad aṭ-Ṭabáṭabá’í al-Iṣfahání.  His son was Sayyid Muḥammad ‘Alí b. Waḥíd Bihbahání (b. 1144/1731–32, d. 1216/1801) known as Áqá Muḥammad ‘Alí Kirmán</w:t>
      </w:r>
      <w:r w:rsidRPr="008F03E5">
        <w:rPr>
          <w:u w:val="single"/>
        </w:rPr>
        <w:t>sh</w:t>
      </w:r>
      <w:r w:rsidRPr="008F03E5">
        <w:t xml:space="preserve">áhí.  He was an influential </w:t>
      </w:r>
      <w:r w:rsidRPr="008F03E5">
        <w:rPr>
          <w:u w:val="single"/>
        </w:rPr>
        <w:t>Sh</w:t>
      </w:r>
      <w:r w:rsidRPr="008F03E5">
        <w:t>í‘a jurist, uṣúlí and rijál (biographical evaluation) in twelfth/eighteenth and thirteenth/nineteenth century.  His fame was mostly due to his serious broad fight with Sufism at the time of the Qájárs, so that some Sufis called him “Ṣúfí-ku</w:t>
      </w:r>
      <w:r w:rsidRPr="008F03E5">
        <w:rPr>
          <w:u w:val="single"/>
        </w:rPr>
        <w:t>sh</w:t>
      </w:r>
      <w:r w:rsidRPr="008F03E5">
        <w:t>” (Sufi-killer).</w:t>
      </w:r>
    </w:p>
    <w:p w14:paraId="6871442E" w14:textId="77777777" w:rsidR="00625A5B" w:rsidRPr="008F03E5" w:rsidRDefault="00625A5B" w:rsidP="00FE452C">
      <w:pPr>
        <w:pStyle w:val="Translit"/>
      </w:pPr>
      <w:r w:rsidRPr="008F03E5">
        <w:t>Bihi</w:t>
      </w:r>
      <w:r w:rsidRPr="008F03E5">
        <w:tab/>
        <w:t>B</w:t>
      </w:r>
      <w:r w:rsidRPr="008F03E5">
        <w:rPr>
          <w:rFonts w:eastAsia="Times New Roman"/>
        </w:rPr>
        <w:t>ihi</w:t>
      </w:r>
      <w:r w:rsidRPr="008F03E5">
        <w:rPr>
          <w:rFonts w:eastAsia="Times New Roman"/>
        </w:rPr>
        <w:tab/>
        <w:t>with, for, from, in, or by him, or it</w:t>
      </w:r>
    </w:p>
    <w:p w14:paraId="5C51831C" w14:textId="77777777" w:rsidR="00625A5B" w:rsidRPr="008F03E5" w:rsidRDefault="00625A5B" w:rsidP="00EB7B07">
      <w:pPr>
        <w:pStyle w:val="Translit"/>
      </w:pPr>
      <w:r w:rsidRPr="008F03E5">
        <w:t>Bihmard</w:t>
      </w:r>
      <w:r w:rsidRPr="008F03E5">
        <w:tab/>
        <w:t>Bihmard</w:t>
      </w:r>
      <w:r w:rsidRPr="008F03E5">
        <w:tab/>
        <w:t>Pers. bih + mard</w:t>
      </w:r>
    </w:p>
    <w:p w14:paraId="3E1FA050" w14:textId="77777777" w:rsidR="00625A5B" w:rsidRPr="008F03E5" w:rsidRDefault="00625A5B" w:rsidP="00224E22">
      <w:pPr>
        <w:pStyle w:val="Translit"/>
      </w:pPr>
      <w:r w:rsidRPr="008F03E5">
        <w:t>Bihmardi</w:t>
      </w:r>
      <w:r w:rsidRPr="008F03E5">
        <w:tab/>
        <w:t>Bihmardí</w:t>
      </w:r>
      <w:r w:rsidRPr="008F03E5">
        <w:tab/>
        <w:t>Pers. Faríd Bihmardí.  Bih + Mardí</w:t>
      </w:r>
    </w:p>
    <w:p w14:paraId="5E56006A" w14:textId="77777777" w:rsidR="00625A5B" w:rsidRPr="008F03E5" w:rsidRDefault="00625A5B" w:rsidP="00EB7B07">
      <w:pPr>
        <w:pStyle w:val="Translit"/>
      </w:pPr>
      <w:r w:rsidRPr="008F03E5">
        <w:t>Bihnam</w:t>
      </w:r>
      <w:r w:rsidRPr="008F03E5">
        <w:tab/>
        <w:t>Bihnám</w:t>
      </w:r>
      <w:r w:rsidRPr="008F03E5">
        <w:tab/>
        <w:t>Pers. bih + nám.  Bihnám Pá</w:t>
      </w:r>
      <w:r w:rsidRPr="008F03E5">
        <w:rPr>
          <w:u w:val="single"/>
        </w:rPr>
        <w:t>sh</w:t>
      </w:r>
      <w:r w:rsidRPr="008F03E5">
        <w:t>á’í</w:t>
      </w:r>
    </w:p>
    <w:p w14:paraId="245ADD2B" w14:textId="77777777" w:rsidR="00625A5B" w:rsidRPr="008F03E5" w:rsidRDefault="00625A5B" w:rsidP="007F500A">
      <w:pPr>
        <w:pStyle w:val="Translit"/>
      </w:pPr>
      <w:r w:rsidRPr="008F03E5">
        <w:t>Bihnaz (Behnaz)</w:t>
      </w:r>
      <w:r w:rsidRPr="008F03E5">
        <w:tab/>
        <w:t>Bihnáz</w:t>
      </w:r>
      <w:r w:rsidRPr="008F03E5">
        <w:tab/>
        <w:t>Pers. fem. name</w:t>
      </w:r>
    </w:p>
    <w:p w14:paraId="4CE37B5C" w14:textId="77777777" w:rsidR="00625A5B" w:rsidRPr="008F03E5" w:rsidRDefault="00625A5B" w:rsidP="00EE7897">
      <w:pPr>
        <w:pStyle w:val="Translit"/>
      </w:pPr>
      <w:r w:rsidRPr="008F03E5">
        <w:t>Bihruz</w:t>
      </w:r>
      <w:r w:rsidRPr="008F03E5">
        <w:tab/>
        <w:t>Bihrúz</w:t>
      </w:r>
      <w:r w:rsidRPr="008F03E5">
        <w:tab/>
        <w:t>Pers. (Behrouz, Behrooz, Behruz Behrus, Bihuroz) Bih+rúz + “good day or lifetime”, success</w:t>
      </w:r>
    </w:p>
    <w:p w14:paraId="4E004FDD" w14:textId="77777777" w:rsidR="00625A5B" w:rsidRPr="008F03E5" w:rsidRDefault="00625A5B" w:rsidP="003C1B24">
      <w:pPr>
        <w:pStyle w:val="Translit"/>
      </w:pPr>
      <w:r w:rsidRPr="008F03E5">
        <w:t>Bihshahr (Behshahr)</w:t>
      </w:r>
      <w:r w:rsidRPr="008F03E5">
        <w:tab/>
        <w:t>Bih</w:t>
      </w:r>
      <w:r w:rsidRPr="008F03E5">
        <w:rPr>
          <w:u w:val="single"/>
        </w:rPr>
        <w:t>sh</w:t>
      </w:r>
      <w:r w:rsidRPr="008F03E5">
        <w:t>ahr</w:t>
      </w:r>
      <w:r w:rsidRPr="008F03E5">
        <w:tab/>
        <w:t xml:space="preserve">Pers. city </w:t>
      </w:r>
      <w:r>
        <w:t>(</w:t>
      </w:r>
      <w:r w:rsidRPr="003C1B24">
        <w:t>36.696676, 53.54571</w:t>
      </w:r>
      <w:r>
        <w:t xml:space="preserve">3) </w:t>
      </w:r>
      <w:r w:rsidRPr="008F03E5">
        <w:t xml:space="preserve">in Mazindaran, 47 km </w:t>
      </w:r>
      <w:r w:rsidRPr="008F03E5">
        <w:rPr>
          <w:sz w:val="16"/>
          <w:szCs w:val="16"/>
        </w:rPr>
        <w:t>NE</w:t>
      </w:r>
      <w:r w:rsidRPr="008F03E5">
        <w:t xml:space="preserve"> Sárí.  Formerly named A</w:t>
      </w:r>
      <w:r w:rsidRPr="003C1B24">
        <w:rPr>
          <w:u w:val="single"/>
        </w:rPr>
        <w:t>sh</w:t>
      </w:r>
      <w:r w:rsidRPr="008F03E5">
        <w:t>raf</w:t>
      </w:r>
      <w:r>
        <w:t xml:space="preserve"> and </w:t>
      </w:r>
      <w:r w:rsidRPr="008F03E5">
        <w:t>A</w:t>
      </w:r>
      <w:r w:rsidRPr="003C1B24">
        <w:rPr>
          <w:u w:val="single"/>
        </w:rPr>
        <w:t>sh</w:t>
      </w:r>
      <w:r w:rsidRPr="008F03E5">
        <w:t>raf</w:t>
      </w:r>
      <w:r>
        <w:t xml:space="preserve"> al-Bil</w:t>
      </w:r>
      <w:r w:rsidRPr="003C1B24">
        <w:t>á</w:t>
      </w:r>
      <w:r>
        <w:t>d</w:t>
      </w:r>
      <w:r w:rsidRPr="008F03E5">
        <w:t>.</w:t>
      </w:r>
    </w:p>
    <w:p w14:paraId="7D04AA26" w14:textId="77777777" w:rsidR="00625A5B" w:rsidRPr="008F03E5" w:rsidRDefault="00625A5B" w:rsidP="00EE7897">
      <w:pPr>
        <w:pStyle w:val="Translit"/>
      </w:pPr>
      <w:r w:rsidRPr="008F03E5">
        <w:t>Bijan, Bizhan</w:t>
      </w:r>
      <w:r w:rsidRPr="008F03E5">
        <w:tab/>
        <w:t>Bíjan or Bí</w:t>
      </w:r>
      <w:r w:rsidRPr="008F03E5">
        <w:rPr>
          <w:u w:val="single"/>
        </w:rPr>
        <w:t>zh</w:t>
      </w:r>
      <w:r w:rsidRPr="008F03E5">
        <w:t>an</w:t>
      </w:r>
      <w:r w:rsidRPr="008F03E5">
        <w:tab/>
        <w:t xml:space="preserve">Pers. “hero”.  One of the main Iranian heroes in the </w:t>
      </w:r>
      <w:r w:rsidRPr="008F03E5">
        <w:rPr>
          <w:i/>
          <w:iCs/>
          <w:u w:val="single"/>
        </w:rPr>
        <w:t>Sh</w:t>
      </w:r>
      <w:r w:rsidRPr="008F03E5">
        <w:rPr>
          <w:i/>
          <w:iCs/>
        </w:rPr>
        <w:t>áhnámih</w:t>
      </w:r>
    </w:p>
    <w:p w14:paraId="37005DFB" w14:textId="77777777" w:rsidR="00625A5B" w:rsidRPr="008F03E5" w:rsidRDefault="00625A5B" w:rsidP="00EB7B07">
      <w:pPr>
        <w:pStyle w:val="Translit"/>
      </w:pPr>
      <w:r w:rsidRPr="008F03E5">
        <w:t>Bika (not Baka)</w:t>
      </w:r>
      <w:r w:rsidRPr="008F03E5">
        <w:tab/>
        <w:t>Bika</w:t>
      </w:r>
      <w:r w:rsidRPr="008F03E5">
        <w:tab/>
        <w:t xml:space="preserve">A composite comprising the prefix “bi” with the suffix “ka”, which stands for the 2nd person singular masculine pronoun “Thou” or “Thee”.  “Bika” can be translated as “upon Thee”, “to Thee”, “on Thee” or “about Thee”, depending on the context.  “Baka” in </w:t>
      </w:r>
      <w:r w:rsidRPr="008F03E5">
        <w:rPr>
          <w:i/>
          <w:iCs/>
        </w:rPr>
        <w:t>Tablets of Abdul-Baha Abbas</w:t>
      </w:r>
      <w:r w:rsidRPr="008F03E5">
        <w:t xml:space="preserve"> should be Bika.</w:t>
      </w:r>
    </w:p>
    <w:p w14:paraId="2422287F" w14:textId="77777777" w:rsidR="00625A5B" w:rsidRPr="008F03E5" w:rsidRDefault="00625A5B" w:rsidP="004C2356">
      <w:pPr>
        <w:pStyle w:val="Translit"/>
      </w:pPr>
      <w:r w:rsidRPr="008F03E5">
        <w:rPr>
          <w:rFonts w:eastAsia="Times New Roman"/>
        </w:rPr>
        <w:t>Biktash, Baktash,</w:t>
      </w:r>
      <w:r w:rsidRPr="008F03E5">
        <w:t xml:space="preserve"> Bektashi</w:t>
      </w:r>
      <w:r w:rsidRPr="008F03E5">
        <w:tab/>
      </w:r>
      <w:r w:rsidRPr="008F03E5">
        <w:rPr>
          <w:rFonts w:eastAsia="Times New Roman"/>
        </w:rPr>
        <w:t>Biktá</w:t>
      </w:r>
      <w:r w:rsidRPr="008F03E5">
        <w:rPr>
          <w:u w:val="single"/>
        </w:rPr>
        <w:t>sh</w:t>
      </w:r>
      <w:r w:rsidRPr="008F03E5">
        <w:t>í</w:t>
      </w:r>
      <w:r w:rsidRPr="008F03E5">
        <w:rPr>
          <w:rFonts w:eastAsia="Times New Roman"/>
        </w:rPr>
        <w:t>, Baktá</w:t>
      </w:r>
      <w:r w:rsidRPr="008F03E5">
        <w:rPr>
          <w:u w:val="single"/>
        </w:rPr>
        <w:t>sh</w:t>
      </w:r>
      <w:r w:rsidRPr="008F03E5">
        <w:t>í</w:t>
      </w:r>
      <w:r w:rsidRPr="008F03E5">
        <w:rPr>
          <w:rFonts w:eastAsia="Times New Roman"/>
        </w:rPr>
        <w:t>,</w:t>
      </w:r>
      <w:r w:rsidRPr="008F03E5">
        <w:t xml:space="preserve"> Bektá</w:t>
      </w:r>
      <w:r w:rsidRPr="008F03E5">
        <w:rPr>
          <w:u w:val="single"/>
        </w:rPr>
        <w:t>sh</w:t>
      </w:r>
      <w:r w:rsidRPr="008F03E5">
        <w:t>í</w:t>
      </w:r>
      <w:r w:rsidRPr="008F03E5">
        <w:tab/>
        <w:t>Turkish.  Dervish order, mainly in Antolia and the Balkans.</w:t>
      </w:r>
    </w:p>
    <w:p w14:paraId="4D786076" w14:textId="77777777" w:rsidR="00625A5B" w:rsidRPr="008F03E5" w:rsidRDefault="00625A5B" w:rsidP="009E36E1">
      <w:pPr>
        <w:pStyle w:val="Translit"/>
      </w:pPr>
      <w:r w:rsidRPr="008F03E5">
        <w:t>Bilad al-Kurd, Kurdistan</w:t>
      </w:r>
      <w:r w:rsidRPr="008F03E5">
        <w:tab/>
        <w:t>Bilád al-Kurd, Pers. Kurdistán</w:t>
      </w:r>
      <w:r w:rsidRPr="008F03E5">
        <w:tab/>
        <w:t>Kurdistan (English) or the land (bilád) of the Kurds (al-Kurd).  Greater Kurdistan, a roughly defined geo-cultural historical region wherein the Kurdish people form a prominent majority population and Kurdish culture, languages and national identity have historically been based.</w:t>
      </w:r>
    </w:p>
    <w:p w14:paraId="1E195DEB" w14:textId="77777777" w:rsidR="00625A5B" w:rsidRPr="008F03E5" w:rsidRDefault="00625A5B" w:rsidP="00397CBA">
      <w:pPr>
        <w:pStyle w:val="Translit"/>
      </w:pPr>
      <w:r w:rsidRPr="008F03E5">
        <w:t>Bilal</w:t>
      </w:r>
      <w:r w:rsidRPr="008F03E5">
        <w:tab/>
        <w:t>Bilál</w:t>
      </w:r>
      <w:r w:rsidRPr="008F03E5">
        <w:tab/>
        <w:t>Bilál ibn Rabáḥ (580–640) also known as Bilál ibn Riyáḥ and Bilál al-Ḥaba</w:t>
      </w:r>
      <w:r w:rsidRPr="008F03E5">
        <w:rPr>
          <w:u w:val="single"/>
        </w:rPr>
        <w:t>sh</w:t>
      </w:r>
      <w:r w:rsidRPr="008F03E5">
        <w:t>í, a freed Ethiopian slave born in Mecca, he was one of the most trusted and loyal companions of Muḥammad, who appointed him as the first muezzin.  He was criticized for his pronunciation because a speech defect caused him to mispronounce the letter “</w:t>
      </w:r>
      <w:r w:rsidRPr="008F03E5">
        <w:rPr>
          <w:u w:val="single"/>
        </w:rPr>
        <w:t>sh</w:t>
      </w:r>
      <w:r w:rsidRPr="008F03E5">
        <w:t>ín” as “sín”.</w:t>
      </w:r>
    </w:p>
    <w:p w14:paraId="4E34CC0C" w14:textId="77777777" w:rsidR="00625A5B" w:rsidRPr="008F03E5" w:rsidRDefault="00625A5B" w:rsidP="00C0555A">
      <w:pPr>
        <w:pStyle w:val="Translit"/>
      </w:pPr>
      <w:r w:rsidRPr="008F03E5">
        <w:t>Billahi’l-‘Aliyyi’l-‘Azim</w:t>
      </w:r>
      <w:r w:rsidRPr="008F03E5">
        <w:tab/>
        <w:t>Billáhi’l-‘Alíyyi’l-‘Aẓím</w:t>
      </w:r>
      <w:r w:rsidRPr="008F03E5">
        <w:tab/>
        <w:t>“in God, the Exalted, the Mighty” (bi + Alláh)</w:t>
      </w:r>
    </w:p>
    <w:p w14:paraId="5A84D3BB" w14:textId="77777777" w:rsidR="00625A5B" w:rsidRPr="008F03E5" w:rsidRDefault="00625A5B" w:rsidP="005E15CD">
      <w:pPr>
        <w:pStyle w:val="Translit"/>
      </w:pPr>
      <w:r w:rsidRPr="008F03E5">
        <w:t>Bilqis</w:t>
      </w:r>
      <w:r w:rsidRPr="008F03E5">
        <w:tab/>
        <w:t>Bilqís</w:t>
      </w:r>
      <w:r w:rsidRPr="008F03E5">
        <w:tab/>
        <w:t xml:space="preserve">queen of “Sheba” in Arabian tradition.  She is also known as Queen Makeda in Ethiopian tradition, her capital was in the Azeba district, Tigray Region, Ethiopia (about 13 km </w:t>
      </w:r>
      <w:r w:rsidRPr="008F03E5">
        <w:rPr>
          <w:sz w:val="16"/>
          <w:szCs w:val="16"/>
        </w:rPr>
        <w:t>SW</w:t>
      </w:r>
      <w:r w:rsidRPr="008F03E5">
        <w:t xml:space="preserve"> Adigrat).  See Saba’</w:t>
      </w:r>
    </w:p>
    <w:p w14:paraId="34BB91F0" w14:textId="77777777" w:rsidR="00625A5B" w:rsidRPr="008F03E5" w:rsidRDefault="00625A5B" w:rsidP="004A233B">
      <w:pPr>
        <w:pStyle w:val="Translit"/>
        <w:rPr>
          <w:rFonts w:eastAsia="Times New Roman"/>
        </w:rPr>
      </w:pPr>
      <w:r w:rsidRPr="008F03E5">
        <w:rPr>
          <w:rFonts w:eastAsia="Times New Roman"/>
        </w:rPr>
        <w:t>Bimar</w:t>
      </w:r>
      <w:r w:rsidRPr="008F03E5">
        <w:rPr>
          <w:rFonts w:eastAsia="Times New Roman"/>
        </w:rPr>
        <w:tab/>
        <w:t>Bímár</w:t>
      </w:r>
      <w:r w:rsidRPr="008F03E5">
        <w:rPr>
          <w:rFonts w:eastAsia="Times New Roman"/>
        </w:rPr>
        <w:tab/>
        <w:t>Pers. sick, infirm, afflicted; the eye of a mistress</w:t>
      </w:r>
    </w:p>
    <w:p w14:paraId="1ADA7856" w14:textId="77777777" w:rsidR="00625A5B" w:rsidRPr="008F03E5" w:rsidRDefault="00625A5B" w:rsidP="004A233B">
      <w:pPr>
        <w:pStyle w:val="Translit"/>
      </w:pPr>
      <w:r w:rsidRPr="008F03E5">
        <w:t>Bimaristan</w:t>
      </w:r>
      <w:r w:rsidRPr="008F03E5">
        <w:tab/>
        <w:t>Bímáristán</w:t>
      </w:r>
      <w:r w:rsidRPr="008F03E5">
        <w:tab/>
        <w:t>hospital; lunatic asylum</w:t>
      </w:r>
    </w:p>
    <w:p w14:paraId="4A472E0B" w14:textId="77777777" w:rsidR="00625A5B" w:rsidRPr="008F03E5" w:rsidRDefault="00625A5B" w:rsidP="00EE7897">
      <w:pPr>
        <w:pStyle w:val="Translit"/>
      </w:pPr>
      <w:r w:rsidRPr="008F03E5">
        <w:t>Bin</w:t>
      </w:r>
      <w:r w:rsidRPr="008F03E5">
        <w:tab/>
        <w:t>Bin</w:t>
      </w:r>
      <w:r w:rsidRPr="008F03E5">
        <w:tab/>
        <w:t>the son of</w:t>
      </w:r>
    </w:p>
    <w:p w14:paraId="27BE3BAE" w14:textId="77777777" w:rsidR="00625A5B" w:rsidRPr="008F03E5" w:rsidRDefault="00625A5B" w:rsidP="00057648">
      <w:pPr>
        <w:pStyle w:val="Translit"/>
      </w:pPr>
      <w:r w:rsidRPr="008F03E5">
        <w:t>Bint</w:t>
      </w:r>
      <w:r w:rsidRPr="008F03E5">
        <w:tab/>
        <w:t>Bint</w:t>
      </w:r>
      <w:r w:rsidRPr="008F03E5">
        <w:tab/>
        <w:t>daughter of</w:t>
      </w:r>
    </w:p>
    <w:p w14:paraId="48045A54" w14:textId="77777777" w:rsidR="00625A5B" w:rsidRPr="008F03E5" w:rsidRDefault="00625A5B" w:rsidP="00057648">
      <w:pPr>
        <w:pStyle w:val="Translit"/>
      </w:pPr>
      <w:r w:rsidRPr="008F03E5">
        <w:t>Binyamin</w:t>
      </w:r>
      <w:r w:rsidRPr="008F03E5">
        <w:tab/>
        <w:t>Binyámín</w:t>
      </w:r>
      <w:r w:rsidRPr="008F03E5">
        <w:tab/>
        <w:t>Benjamin</w:t>
      </w:r>
    </w:p>
    <w:p w14:paraId="6A0A135E" w14:textId="77777777" w:rsidR="00625A5B" w:rsidRPr="008F03E5" w:rsidRDefault="00625A5B" w:rsidP="00A47321">
      <w:pPr>
        <w:pStyle w:val="Translit"/>
      </w:pPr>
      <w:r w:rsidRPr="008F03E5">
        <w:t>bi-Qamis al-Babiyya</w:t>
      </w:r>
      <w:r w:rsidRPr="008F03E5">
        <w:tab/>
        <w:t>bi-Qamíṣ al-Bábiyya</w:t>
      </w:r>
      <w:r w:rsidRPr="008F03E5">
        <w:tab/>
        <w:t>garment of Gatehood</w:t>
      </w:r>
    </w:p>
    <w:p w14:paraId="1F95E899" w14:textId="77777777" w:rsidR="00625A5B" w:rsidRPr="008F03E5" w:rsidRDefault="00625A5B" w:rsidP="00A47321">
      <w:pPr>
        <w:pStyle w:val="Translit"/>
      </w:pPr>
      <w:r w:rsidRPr="008F03E5">
        <w:t>bi-Qamis al-Wilaya</w:t>
      </w:r>
      <w:r w:rsidRPr="008F03E5">
        <w:tab/>
        <w:t>bi-Qamíṣ al-Wiláya</w:t>
      </w:r>
      <w:r w:rsidRPr="008F03E5">
        <w:tab/>
        <w:t>garment of Sanctity</w:t>
      </w:r>
    </w:p>
    <w:p w14:paraId="5508FB31" w14:textId="77777777" w:rsidR="00625A5B" w:rsidRPr="008F03E5" w:rsidRDefault="00625A5B" w:rsidP="006F53DB">
      <w:pPr>
        <w:pStyle w:val="Translit"/>
      </w:pPr>
      <w:r w:rsidRPr="008F03E5">
        <w:t>Biradar</w:t>
      </w:r>
      <w:r w:rsidRPr="008F03E5">
        <w:tab/>
        <w:t>Birádar</w:t>
      </w:r>
      <w:r w:rsidRPr="008F03E5">
        <w:tab/>
        <w:t>Pers. brother</w:t>
      </w:r>
    </w:p>
    <w:p w14:paraId="549956D3" w14:textId="77777777" w:rsidR="00625A5B" w:rsidRPr="008F03E5" w:rsidRDefault="00625A5B" w:rsidP="006F53DB">
      <w:pPr>
        <w:pStyle w:val="Translit"/>
      </w:pPr>
      <w:r w:rsidRPr="008F03E5">
        <w:t>Biradar-zadar</w:t>
      </w:r>
      <w:r w:rsidRPr="008F03E5">
        <w:tab/>
        <w:t>Birádar-záda</w:t>
      </w:r>
      <w:r w:rsidRPr="008F03E5">
        <w:tab/>
        <w:t>Pers. brother’s son, nephew</w:t>
      </w:r>
    </w:p>
    <w:p w14:paraId="19A4B632" w14:textId="77777777" w:rsidR="00625A5B" w:rsidRPr="008F03E5" w:rsidRDefault="00625A5B" w:rsidP="004A1C1B">
      <w:pPr>
        <w:pStyle w:val="Translit"/>
      </w:pPr>
      <w:r w:rsidRPr="008F03E5">
        <w:t>Biraw (Birau)</w:t>
      </w:r>
      <w:r w:rsidRPr="008F03E5">
        <w:tab/>
        <w:t>Biraw</w:t>
      </w:r>
      <w:r w:rsidRPr="008F03E5">
        <w:tab/>
        <w:t>Pers. (“biro”, “buro”, “burro”) go!, get away!, get off!</w:t>
      </w:r>
    </w:p>
    <w:p w14:paraId="5EEE51F6" w14:textId="77777777" w:rsidR="00625A5B" w:rsidRPr="008F03E5" w:rsidRDefault="00625A5B" w:rsidP="00900A82">
      <w:pPr>
        <w:pStyle w:val="Translit"/>
      </w:pPr>
      <w:r w:rsidRPr="008F03E5">
        <w:t>Birjand</w:t>
      </w:r>
      <w:r w:rsidRPr="008F03E5">
        <w:tab/>
        <w:t>Bírjand</w:t>
      </w:r>
      <w:r w:rsidRPr="008F03E5">
        <w:tab/>
        <w:t>city in eastern Iran</w:t>
      </w:r>
    </w:p>
    <w:p w14:paraId="77CB343D" w14:textId="77777777" w:rsidR="00625A5B" w:rsidRPr="008F03E5" w:rsidRDefault="00625A5B" w:rsidP="00D83DF4">
      <w:pPr>
        <w:pStyle w:val="Translit"/>
      </w:pPr>
      <w:r w:rsidRPr="008F03E5">
        <w:t>Birjis</w:t>
      </w:r>
      <w:r w:rsidRPr="008F03E5">
        <w:tab/>
        <w:t>al-Birjís</w:t>
      </w:r>
      <w:r w:rsidRPr="008F03E5">
        <w:tab/>
        <w:t>Jupiter (astronomy).  Martyr, Dr Sulaymán Birjís, Ká</w:t>
      </w:r>
      <w:r w:rsidRPr="008F03E5">
        <w:rPr>
          <w:u w:val="single"/>
        </w:rPr>
        <w:t>sh</w:t>
      </w:r>
      <w:r w:rsidRPr="008F03E5">
        <w:t>án (1897–1950)</w:t>
      </w:r>
    </w:p>
    <w:p w14:paraId="499FFB40" w14:textId="77777777" w:rsidR="00625A5B" w:rsidRPr="00873573" w:rsidRDefault="00625A5B" w:rsidP="00873573">
      <w:pPr>
        <w:pStyle w:val="Translit"/>
        <w:rPr>
          <w:lang w:val="en-AU"/>
        </w:rPr>
      </w:pPr>
      <w:r w:rsidRPr="008F03E5">
        <w:t>Birkas</w:t>
      </w:r>
      <w:r w:rsidRPr="008F03E5">
        <w:tab/>
        <w:t>Birkás</w:t>
      </w:r>
      <w:r w:rsidRPr="008F03E5">
        <w:tab/>
        <w:t xml:space="preserve">now Lüleburgaz (“Lule Burgas”), </w:t>
      </w:r>
      <w:r w:rsidRPr="00873573">
        <w:t>Türkiye</w:t>
      </w:r>
      <w:r w:rsidRPr="008F03E5">
        <w:t xml:space="preserve">.  </w:t>
      </w:r>
      <w:r>
        <w:t xml:space="preserve">It is </w:t>
      </w:r>
      <w:r w:rsidRPr="00873573">
        <w:rPr>
          <w:lang w:val="en-AU"/>
        </w:rPr>
        <w:t xml:space="preserve">23 km </w:t>
      </w:r>
      <w:r w:rsidRPr="00873573">
        <w:rPr>
          <w:sz w:val="16"/>
          <w:szCs w:val="16"/>
          <w:lang w:val="en-AU"/>
        </w:rPr>
        <w:t xml:space="preserve">ESE </w:t>
      </w:r>
      <w:r w:rsidRPr="00873573">
        <w:rPr>
          <w:lang w:val="en-AU"/>
        </w:rPr>
        <w:t xml:space="preserve">Babaeski and 75 </w:t>
      </w:r>
      <w:r w:rsidRPr="00873573">
        <w:rPr>
          <w:sz w:val="16"/>
          <w:szCs w:val="16"/>
          <w:lang w:val="en-AU"/>
        </w:rPr>
        <w:t xml:space="preserve">SE </w:t>
      </w:r>
      <w:r w:rsidRPr="00873573">
        <w:rPr>
          <w:lang w:val="en-AU"/>
        </w:rPr>
        <w:t>Edirne.</w:t>
      </w:r>
    </w:p>
    <w:p w14:paraId="1976A017" w14:textId="77777777" w:rsidR="00625A5B" w:rsidRPr="008F03E5" w:rsidRDefault="00625A5B" w:rsidP="00900A82">
      <w:pPr>
        <w:pStyle w:val="Translit"/>
      </w:pPr>
      <w:r w:rsidRPr="008F03E5">
        <w:t>Birujird</w:t>
      </w:r>
      <w:r w:rsidRPr="008F03E5">
        <w:tab/>
        <w:t>Birújird</w:t>
      </w:r>
      <w:r w:rsidRPr="008F03E5">
        <w:tab/>
        <w:t>Capital city of the province of Luristán, Mírzá Bururg was governor</w:t>
      </w:r>
    </w:p>
    <w:p w14:paraId="76E86406" w14:textId="77777777" w:rsidR="00625A5B" w:rsidRPr="008F03E5" w:rsidRDefault="00625A5B" w:rsidP="00C8231B">
      <w:pPr>
        <w:pStyle w:val="Translit"/>
      </w:pPr>
      <w:r w:rsidRPr="008F03E5">
        <w:t>Birun</w:t>
      </w:r>
      <w:r w:rsidRPr="008F03E5">
        <w:tab/>
        <w:t>Bírún</w:t>
      </w:r>
      <w:r w:rsidRPr="008F03E5">
        <w:tab/>
        <w:t>Pers. without, out of doors; exterior, extrinsic, foreign; the outside; from, a great way from</w:t>
      </w:r>
    </w:p>
    <w:p w14:paraId="4C5239EF" w14:textId="77777777" w:rsidR="00625A5B" w:rsidRPr="008F03E5" w:rsidRDefault="00625A5B" w:rsidP="00FA70EC">
      <w:pPr>
        <w:pStyle w:val="Translit"/>
      </w:pPr>
      <w:r w:rsidRPr="008F03E5">
        <w:t>Biruni</w:t>
      </w:r>
      <w:r w:rsidRPr="008F03E5">
        <w:tab/>
        <w:t>Bírúní</w:t>
      </w:r>
      <w:r w:rsidRPr="008F03E5">
        <w:tab/>
        <w:t>Pers. outer or men’s quarters.  See andarúní</w:t>
      </w:r>
    </w:p>
    <w:p w14:paraId="09855421" w14:textId="77777777" w:rsidR="00625A5B" w:rsidRPr="008F03E5" w:rsidRDefault="00625A5B" w:rsidP="003A0C48">
      <w:pPr>
        <w:pStyle w:val="Translit"/>
      </w:pPr>
      <w:r w:rsidRPr="008F03E5">
        <w:t>Bisat, Bisatat, Absita, Busut</w:t>
      </w:r>
      <w:r w:rsidRPr="008F03E5">
        <w:tab/>
        <w:t>Bisáṭ, pl. Bisáṭát, Absiṭa[h or t], Busuṭ</w:t>
      </w:r>
      <w:r w:rsidRPr="008F03E5">
        <w:tab/>
        <w:t>(anything spread out such as) carpet, rug;</w:t>
      </w:r>
      <w:r w:rsidRPr="008F03E5">
        <w:rPr>
          <w:rFonts w:eastAsia="Times New Roman"/>
        </w:rPr>
        <w:t xml:space="preserve"> bedding; goods, wares</w:t>
      </w:r>
    </w:p>
    <w:p w14:paraId="5AF92258" w14:textId="77777777" w:rsidR="00625A5B" w:rsidRPr="008F03E5" w:rsidRDefault="00625A5B" w:rsidP="005010F8">
      <w:pPr>
        <w:pStyle w:val="Translit"/>
      </w:pPr>
      <w:r w:rsidRPr="00D45A23">
        <w:rPr>
          <w:lang w:val="de-DE"/>
        </w:rPr>
        <w:t>Bishara, Bisharat, Basha’ir</w:t>
      </w:r>
      <w:r w:rsidRPr="00D45A23">
        <w:rPr>
          <w:lang w:val="de-DE"/>
        </w:rPr>
        <w:tab/>
        <w:t>Bi</w:t>
      </w:r>
      <w:r w:rsidRPr="00D45A23">
        <w:rPr>
          <w:u w:val="single"/>
          <w:lang w:val="de-DE"/>
        </w:rPr>
        <w:t>sh</w:t>
      </w:r>
      <w:r w:rsidRPr="00D45A23">
        <w:rPr>
          <w:lang w:val="de-DE"/>
        </w:rPr>
        <w:t xml:space="preserve">ára[t], pl. </w:t>
      </w:r>
      <w:r w:rsidRPr="008F03E5">
        <w:t>Bi</w:t>
      </w:r>
      <w:r w:rsidRPr="008F03E5">
        <w:rPr>
          <w:u w:val="single"/>
        </w:rPr>
        <w:t>sh</w:t>
      </w:r>
      <w:r w:rsidRPr="008F03E5">
        <w:t>árát, Ba</w:t>
      </w:r>
      <w:r w:rsidRPr="008F03E5">
        <w:rPr>
          <w:u w:val="single"/>
        </w:rPr>
        <w:t>sh</w:t>
      </w:r>
      <w:r w:rsidRPr="008F03E5">
        <w:t>á’ir</w:t>
      </w:r>
      <w:r w:rsidRPr="008F03E5">
        <w:tab/>
        <w:t>good news, glad-tidings; annunciation, prophecy; gospel; ba</w:t>
      </w:r>
      <w:r w:rsidRPr="008F03E5">
        <w:rPr>
          <w:u w:val="single"/>
        </w:rPr>
        <w:t>sh</w:t>
      </w:r>
      <w:r w:rsidRPr="008F03E5">
        <w:t>á’ir good omens, propitious signs.  Glad-Tidings by Bahá’u’lláh</w:t>
      </w:r>
    </w:p>
    <w:p w14:paraId="22A77831" w14:textId="77777777" w:rsidR="00625A5B" w:rsidRPr="008F03E5" w:rsidRDefault="00625A5B" w:rsidP="001018FC">
      <w:pPr>
        <w:pStyle w:val="Translit"/>
      </w:pPr>
      <w:r w:rsidRPr="008F03E5">
        <w:rPr>
          <w:lang w:eastAsia="en-US"/>
        </w:rPr>
        <w:t>Bisharat-i-‘Uzma</w:t>
      </w:r>
      <w:r w:rsidRPr="008F03E5">
        <w:rPr>
          <w:lang w:eastAsia="en-US"/>
        </w:rPr>
        <w:tab/>
        <w:t>Bi</w:t>
      </w:r>
      <w:r w:rsidRPr="008F03E5">
        <w:rPr>
          <w:u w:val="single"/>
          <w:lang w:eastAsia="en-US"/>
        </w:rPr>
        <w:t>sh</w:t>
      </w:r>
      <w:r w:rsidRPr="008F03E5">
        <w:rPr>
          <w:lang w:eastAsia="en-US"/>
        </w:rPr>
        <w:t>árát-i-‘Uẓmá</w:t>
      </w:r>
      <w:r w:rsidRPr="008F03E5">
        <w:rPr>
          <w:lang w:eastAsia="en-US"/>
        </w:rPr>
        <w:tab/>
        <w:t>Supreme Glad-tidings</w:t>
      </w:r>
    </w:p>
    <w:p w14:paraId="0DBAAAB3" w14:textId="77777777" w:rsidR="00625A5B" w:rsidRPr="008F03E5" w:rsidRDefault="00625A5B" w:rsidP="0017397D">
      <w:pPr>
        <w:pStyle w:val="Translit"/>
      </w:pPr>
      <w:r w:rsidRPr="008F03E5">
        <w:t>Bishr</w:t>
      </w:r>
      <w:r w:rsidRPr="008F03E5">
        <w:tab/>
        <w:t>Bi</w:t>
      </w:r>
      <w:r w:rsidRPr="008F03E5">
        <w:rPr>
          <w:u w:val="single"/>
        </w:rPr>
        <w:t>sh</w:t>
      </w:r>
      <w:r w:rsidRPr="008F03E5">
        <w:t>r</w:t>
      </w:r>
      <w:r w:rsidRPr="008F03E5">
        <w:tab/>
        <w:t>joy</w:t>
      </w:r>
    </w:p>
    <w:p w14:paraId="4D333FA9" w14:textId="77777777" w:rsidR="00625A5B" w:rsidRPr="008F03E5" w:rsidRDefault="00625A5B" w:rsidP="00EB10E7">
      <w:pPr>
        <w:pStyle w:val="Translit"/>
      </w:pPr>
      <w:r w:rsidRPr="008F03E5">
        <w:t>Bisitun (Bisotun)</w:t>
      </w:r>
      <w:r w:rsidRPr="008F03E5">
        <w:tab/>
        <w:t>Bísítún</w:t>
      </w:r>
      <w:r w:rsidRPr="008F03E5">
        <w:tab/>
      </w:r>
      <w:bookmarkStart w:id="54" w:name="_Hlk53924116"/>
      <w:r w:rsidRPr="008F03E5">
        <w:t>city (34.396402, 47.444158)</w:t>
      </w:r>
      <w:bookmarkEnd w:id="54"/>
      <w:r w:rsidRPr="008F03E5">
        <w:t xml:space="preserve"> in Kermanshah Province</w:t>
      </w:r>
    </w:p>
    <w:p w14:paraId="421E1DCC" w14:textId="77777777" w:rsidR="00625A5B" w:rsidRPr="008F03E5" w:rsidRDefault="00625A5B" w:rsidP="007B6F82">
      <w:pPr>
        <w:pStyle w:val="Translit"/>
      </w:pPr>
      <w:r w:rsidRPr="008F03E5">
        <w:t>Bismi’llah</w:t>
      </w:r>
      <w:r w:rsidRPr="008F03E5">
        <w:tab/>
        <w:t>Bismi’lláh</w:t>
      </w:r>
      <w:r w:rsidRPr="008F03E5">
        <w:tab/>
        <w:t xml:space="preserve">“word” derived from the expression “In the name of God” = bi-ismi-alláh = </w:t>
      </w:r>
      <w:r w:rsidRPr="008F03E5">
        <w:rPr>
          <w:rFonts w:eastAsia="Times New Roman"/>
        </w:rPr>
        <w:t>bi’smi</w:t>
      </w:r>
      <w:r w:rsidRPr="008F03E5">
        <w:t>-alláh.  Basmala is the act (verb) of saying the recurring Islamic phrase “Bismi’lláhi ar-Raḥmáni ar-Raḥími”—“In the name of God, the Most Compassionate (or Gracious), the Most Merciful”.  Bismi’lláh is the first phrase of the first verse of every súra of the Qur’án except the ninth, and is repeated in 27:30, i.e. it occurs 114 times in the Qur’án.  The verse/expression consists of 19 letters.</w:t>
      </w:r>
    </w:p>
    <w:p w14:paraId="1869E810" w14:textId="77777777" w:rsidR="00625A5B" w:rsidRPr="008F03E5" w:rsidRDefault="00625A5B" w:rsidP="00CD466D">
      <w:pPr>
        <w:pStyle w:val="Translit"/>
      </w:pPr>
      <w:r w:rsidRPr="008F03E5">
        <w:t>Bismi’llahi’l-Bahiyyi’l-Abha</w:t>
      </w:r>
      <w:r w:rsidRPr="008F03E5">
        <w:tab/>
        <w:t>Bismi’lláhi’l-Bahíyyi’l-Abhá</w:t>
      </w:r>
      <w:r w:rsidRPr="008F03E5">
        <w:tab/>
        <w:t>“In the name of God, the Glorious, the Most Glorious” (used in calligraphic bird design by Mi</w:t>
      </w:r>
      <w:r w:rsidRPr="008F03E5">
        <w:rPr>
          <w:u w:val="single"/>
        </w:rPr>
        <w:t>sh</w:t>
      </w:r>
      <w:r w:rsidRPr="008F03E5">
        <w:t>kín-Qalam—described as a “bird of paradise in the form of the Greatest Holy Name sitting on the tree of Ṭúbá (tree of paradise)”</w:t>
      </w:r>
    </w:p>
    <w:p w14:paraId="31F87632" w14:textId="77777777" w:rsidR="00625A5B" w:rsidRPr="008F03E5" w:rsidRDefault="00625A5B" w:rsidP="008D6D4B">
      <w:pPr>
        <w:pStyle w:val="Translit"/>
      </w:pPr>
      <w:r w:rsidRPr="008F03E5">
        <w:t>Bismi’llahi’r-Rahmani’r-Rahim</w:t>
      </w:r>
      <w:r w:rsidRPr="008F03E5">
        <w:tab/>
        <w:t>Bismi’lláhi’r-Raḥmáni’r-Raḥím</w:t>
      </w:r>
      <w:r w:rsidRPr="008F03E5">
        <w:tab/>
      </w:r>
      <w:bookmarkStart w:id="55" w:name="_Hlk54604430"/>
      <w:r w:rsidRPr="008F03E5">
        <w:t>or Bismi’lláh ar-Raḥmán ar-Raḥím</w:t>
      </w:r>
      <w:bookmarkEnd w:id="55"/>
      <w:r w:rsidRPr="008F03E5">
        <w:t xml:space="preserve"> (there are 19 consonants in </w:t>
      </w:r>
      <w:r w:rsidRPr="008F03E5">
        <w:rPr>
          <w:rFonts w:ascii="Times New Roman" w:hAnsi="Times New Roman"/>
          <w:rtl/>
        </w:rPr>
        <w:t>بِسْمِ</w:t>
      </w:r>
      <w:r w:rsidRPr="008F03E5">
        <w:t xml:space="preserve"> </w:t>
      </w:r>
      <w:r w:rsidRPr="008F03E5">
        <w:rPr>
          <w:rFonts w:ascii="Times New Roman" w:hAnsi="Times New Roman"/>
          <w:rtl/>
        </w:rPr>
        <w:t>ٱللّٰهِ</w:t>
      </w:r>
      <w:r w:rsidRPr="008F03E5">
        <w:t xml:space="preserve"> </w:t>
      </w:r>
      <w:r w:rsidRPr="008F03E5">
        <w:rPr>
          <w:rFonts w:ascii="Times New Roman" w:hAnsi="Times New Roman"/>
          <w:rtl/>
        </w:rPr>
        <w:t>ٱلرَّحْمٰنِ</w:t>
      </w:r>
      <w:r w:rsidRPr="008F03E5">
        <w:t xml:space="preserve"> </w:t>
      </w:r>
      <w:r w:rsidRPr="008F03E5">
        <w:rPr>
          <w:rFonts w:ascii="Times New Roman" w:hAnsi="Times New Roman"/>
          <w:rtl/>
        </w:rPr>
        <w:t>ٱلرَّحِيمِ</w:t>
      </w:r>
      <w:r w:rsidRPr="008F03E5">
        <w:rPr>
          <w:rFonts w:ascii="Times New Roman" w:hAnsi="Times New Roman"/>
        </w:rPr>
        <w:t>, and it has an abjad value of 786</w:t>
      </w:r>
      <w:r w:rsidRPr="008F03E5">
        <w:t>) “In the Name of God, the Most gracious, the Most Merciful”—it appears at the start of every sura, except Súra 9, and constitutes the first verse of Súra 1 in the traditional order.  Súra 9:1 also starts with the letter “B”, the word Bará’at”.  It is claimed that ‘Alí said:  “All that is in the Qur’án is contained in the first sura, all that is in the first sura is contained in Bismi’lláhi’r-Raḥmáni’r-Raḥím, all that is in Bismi’lláhi’r-Raḥmáni’r-Raḥím is contained in the B of Bismi’lláh, all that is contained in the B of Bismi’lláh is contained in the point which is beneath the B—and I am that Point.”</w:t>
      </w:r>
    </w:p>
    <w:p w14:paraId="23DB217A" w14:textId="77777777" w:rsidR="00625A5B" w:rsidRPr="008F03E5" w:rsidRDefault="00625A5B" w:rsidP="009431F5">
      <w:pPr>
        <w:pStyle w:val="Translit"/>
      </w:pPr>
      <w:r w:rsidRPr="008F03E5">
        <w:t>Bismi’llah</w:t>
      </w:r>
      <w:r>
        <w:t>u</w:t>
      </w:r>
      <w:r w:rsidRPr="008F03E5">
        <w:t>’l-Amna’u’l-Aqdas</w:t>
      </w:r>
      <w:r w:rsidRPr="008F03E5">
        <w:tab/>
        <w:t>Bismi’lláh</w:t>
      </w:r>
      <w:r>
        <w:t>u</w:t>
      </w:r>
      <w:r w:rsidRPr="008F03E5">
        <w:t>’l-Amna‘u’l-Aqdas</w:t>
      </w:r>
      <w:r w:rsidRPr="008F03E5">
        <w:tab/>
        <w:t>(“In the Name of God, the Most Unapproachable, the Most Holy”—Báb) (</w:t>
      </w:r>
      <w:r w:rsidRPr="008F03E5">
        <w:rPr>
          <w:sz w:val="16"/>
          <w:szCs w:val="16"/>
        </w:rPr>
        <w:t>DB</w:t>
      </w:r>
      <w:r w:rsidRPr="008F03E5">
        <w:t xml:space="preserve"> 66), the formula substituted by the Báb for the Muslim </w:t>
      </w:r>
      <w:r w:rsidRPr="008F03E5">
        <w:rPr>
          <w:i/>
          <w:iCs/>
        </w:rPr>
        <w:t>Bismi’lláhi’r-Raḥmáni’r-Raḥím</w:t>
      </w:r>
      <w:r w:rsidRPr="008F03E5">
        <w:t>.</w:t>
      </w:r>
    </w:p>
    <w:p w14:paraId="289FF979" w14:textId="77777777" w:rsidR="00625A5B" w:rsidRPr="008F03E5" w:rsidRDefault="00625A5B" w:rsidP="00FF0A1C">
      <w:pPr>
        <w:pStyle w:val="Translit"/>
      </w:pPr>
      <w:r w:rsidRPr="008F03E5">
        <w:t>Bistami</w:t>
      </w:r>
      <w:r w:rsidRPr="008F03E5">
        <w:tab/>
        <w:t>Bisṭámí</w:t>
      </w:r>
      <w:r w:rsidRPr="008F03E5">
        <w:tab/>
        <w:t>native of Basṭám</w:t>
      </w:r>
    </w:p>
    <w:p w14:paraId="1C325A9F" w14:textId="77777777" w:rsidR="00625A5B" w:rsidRPr="008F03E5" w:rsidRDefault="00625A5B" w:rsidP="00252691">
      <w:pPr>
        <w:pStyle w:val="Translit"/>
      </w:pPr>
      <w:r w:rsidRPr="008F03E5">
        <w:t>Bistum</w:t>
      </w:r>
      <w:r w:rsidRPr="008F03E5">
        <w:tab/>
        <w:t>Bistum, Bístum</w:t>
      </w:r>
      <w:r w:rsidRPr="008F03E5">
        <w:tab/>
        <w:t>Pers. the twentieth</w:t>
      </w:r>
    </w:p>
    <w:p w14:paraId="52CB3A10" w14:textId="77777777" w:rsidR="00625A5B" w:rsidRPr="008F03E5" w:rsidRDefault="00625A5B" w:rsidP="00BA034D">
      <w:pPr>
        <w:pStyle w:val="Translit"/>
      </w:pPr>
      <w:r w:rsidRPr="00D45A23">
        <w:rPr>
          <w:lang w:val="it-IT"/>
        </w:rPr>
        <w:t>Bisutun (Bisotun)</w:t>
      </w:r>
      <w:r w:rsidRPr="00D45A23">
        <w:rPr>
          <w:lang w:val="it-IT"/>
        </w:rPr>
        <w:tab/>
        <w:t>Bísutún</w:t>
      </w:r>
      <w:r w:rsidRPr="00D45A23">
        <w:rPr>
          <w:lang w:val="it-IT"/>
        </w:rPr>
        <w:tab/>
        <w:t xml:space="preserve">Pers. pillarless.  </w:t>
      </w:r>
      <w:r w:rsidRPr="008F03E5">
        <w:t xml:space="preserve">Bísutún city 36 km </w:t>
      </w:r>
      <w:r w:rsidRPr="008F03E5">
        <w:rPr>
          <w:sz w:val="16"/>
          <w:szCs w:val="16"/>
        </w:rPr>
        <w:t>NE</w:t>
      </w:r>
      <w:r w:rsidRPr="008F03E5">
        <w:t xml:space="preserve"> Kirmá</w:t>
      </w:r>
      <w:r w:rsidRPr="008F03E5">
        <w:rPr>
          <w:u w:val="single"/>
        </w:rPr>
        <w:t>sh</w:t>
      </w:r>
      <w:r w:rsidRPr="008F03E5">
        <w:t>áh, at the foot of Mount Bísutún on which there is the huge Bísutún Inscription in 3 cuneiform scripts (crucial to the decipherment of one of the cuneiform scripts)</w:t>
      </w:r>
    </w:p>
    <w:p w14:paraId="597F4968" w14:textId="77777777" w:rsidR="00625A5B" w:rsidRPr="008F03E5" w:rsidRDefault="00625A5B" w:rsidP="008E5541">
      <w:pPr>
        <w:pStyle w:val="Translit"/>
      </w:pPr>
      <w:r w:rsidRPr="008F03E5">
        <w:t>Bisyar Khub</w:t>
      </w:r>
      <w:r w:rsidRPr="008F03E5">
        <w:tab/>
        <w:t xml:space="preserve">Bisyár </w:t>
      </w:r>
      <w:r w:rsidRPr="008F03E5">
        <w:rPr>
          <w:u w:val="single"/>
        </w:rPr>
        <w:t>Kh</w:t>
      </w:r>
      <w:r w:rsidRPr="008F03E5">
        <w:t>úb</w:t>
      </w:r>
      <w:r w:rsidRPr="008F03E5">
        <w:tab/>
        <w:t>Pers. very well, all right, very or most good</w:t>
      </w:r>
    </w:p>
    <w:p w14:paraId="03301392" w14:textId="77777777" w:rsidR="00625A5B" w:rsidRPr="008F03E5" w:rsidRDefault="00625A5B" w:rsidP="008E5541">
      <w:pPr>
        <w:pStyle w:val="Translit"/>
      </w:pPr>
      <w:r w:rsidRPr="008F03E5">
        <w:t>Bisyar</w:t>
      </w:r>
      <w:r w:rsidRPr="008F03E5">
        <w:tab/>
        <w:t>Bisyár</w:t>
      </w:r>
      <w:r w:rsidRPr="008F03E5">
        <w:tab/>
        <w:t>Pers. many, much; numerous; frequent; copious; very; exceedingly</w:t>
      </w:r>
    </w:p>
    <w:p w14:paraId="666B7405" w14:textId="77777777" w:rsidR="00625A5B" w:rsidRPr="008F03E5" w:rsidRDefault="00625A5B" w:rsidP="004A4D13">
      <w:pPr>
        <w:pStyle w:val="Translit"/>
      </w:pPr>
      <w:r w:rsidRPr="008F03E5">
        <w:t>Bitra’, Batra’</w:t>
      </w:r>
      <w:r w:rsidRPr="008F03E5">
        <w:tab/>
        <w:t>Bitrá’, Batrá’</w:t>
      </w:r>
      <w:r w:rsidRPr="008F03E5">
        <w:tab/>
      </w:r>
      <w:r>
        <w:t xml:space="preserve">from Greek for </w:t>
      </w:r>
      <w:r w:rsidRPr="008F03E5">
        <w:t>“rock”</w:t>
      </w:r>
      <w:r>
        <w:t>.  al-</w:t>
      </w:r>
      <w:r w:rsidRPr="008F03E5">
        <w:t>B</w:t>
      </w:r>
      <w:r>
        <w:t>i</w:t>
      </w:r>
      <w:r w:rsidRPr="008F03E5">
        <w:t>trá’</w:t>
      </w:r>
      <w:r>
        <w:t xml:space="preserve"> (</w:t>
      </w:r>
      <w:r w:rsidRPr="008F03E5">
        <w:t>Petra</w:t>
      </w:r>
      <w:r>
        <w:t>)</w:t>
      </w:r>
      <w:r w:rsidRPr="008F03E5">
        <w:t xml:space="preserve"> </w:t>
      </w:r>
      <w:r>
        <w:t xml:space="preserve">is a ruined </w:t>
      </w:r>
      <w:r w:rsidRPr="008F03E5">
        <w:t xml:space="preserve">ancient city of the Edomites and Nabataeans; </w:t>
      </w:r>
      <w:r>
        <w:t xml:space="preserve">185 km </w:t>
      </w:r>
      <w:r w:rsidRPr="00C27DF1">
        <w:rPr>
          <w:sz w:val="16"/>
          <w:szCs w:val="16"/>
        </w:rPr>
        <w:t>SSW</w:t>
      </w:r>
      <w:r>
        <w:t xml:space="preserve"> of Amman </w:t>
      </w:r>
      <w:r w:rsidRPr="008F03E5">
        <w:t xml:space="preserve">in </w:t>
      </w:r>
      <w:r w:rsidRPr="008F03E5">
        <w:rPr>
          <w:sz w:val="16"/>
          <w:szCs w:val="16"/>
        </w:rPr>
        <w:t>SW</w:t>
      </w:r>
      <w:r w:rsidRPr="008F03E5">
        <w:t xml:space="preserve"> Jordan</w:t>
      </w:r>
      <w:r>
        <w:t xml:space="preserve">. </w:t>
      </w:r>
      <w:r w:rsidRPr="00052FCE">
        <w:t xml:space="preserve"> </w:t>
      </w:r>
      <w:r>
        <w:t>O</w:t>
      </w:r>
      <w:r w:rsidRPr="00052FCE">
        <w:t>riginal</w:t>
      </w:r>
      <w:r>
        <w:t xml:space="preserve"> name was </w:t>
      </w:r>
      <w:r w:rsidRPr="00052FCE">
        <w:t>Raqmu</w:t>
      </w:r>
      <w:r>
        <w:t>.</w:t>
      </w:r>
    </w:p>
    <w:p w14:paraId="434ED58F" w14:textId="77777777" w:rsidR="00625A5B" w:rsidRPr="008F03E5" w:rsidRDefault="00625A5B" w:rsidP="007A62B6">
      <w:pPr>
        <w:pStyle w:val="Translit"/>
      </w:pPr>
      <w:r w:rsidRPr="008F03E5">
        <w:t>Biya inja</w:t>
      </w:r>
      <w:r w:rsidRPr="008F03E5">
        <w:tab/>
        <w:t>Biyá ínjá</w:t>
      </w:r>
      <w:r w:rsidRPr="008F03E5">
        <w:tab/>
        <w:t>Pers. come here</w:t>
      </w:r>
    </w:p>
    <w:p w14:paraId="4263B574" w14:textId="77777777" w:rsidR="00625A5B" w:rsidRPr="008F03E5" w:rsidRDefault="00625A5B" w:rsidP="007A62B6">
      <w:pPr>
        <w:pStyle w:val="Translit"/>
      </w:pPr>
      <w:r w:rsidRPr="008F03E5">
        <w:t>Biya</w:t>
      </w:r>
      <w:r w:rsidRPr="008F03E5">
        <w:tab/>
        <w:t>Biyá</w:t>
      </w:r>
      <w:r w:rsidRPr="008F03E5">
        <w:tab/>
        <w:t>Pers. (imperative of ámadan), come, come hither, approach</w:t>
      </w:r>
    </w:p>
    <w:p w14:paraId="0634E934" w14:textId="77777777" w:rsidR="00625A5B" w:rsidRPr="008F03E5" w:rsidRDefault="00625A5B" w:rsidP="00C30BAF">
      <w:pPr>
        <w:pStyle w:val="Translit"/>
      </w:pPr>
      <w:r w:rsidRPr="002B1AB3">
        <w:rPr>
          <w:rFonts w:eastAsia="PMingLiU"/>
          <w:lang w:eastAsia="zh-TW"/>
        </w:rPr>
        <w:t>B</w:t>
      </w:r>
      <w:r w:rsidRPr="002B1AB3">
        <w:t>i</w:t>
      </w:r>
      <w:r w:rsidRPr="002B1AB3">
        <w:rPr>
          <w:rFonts w:eastAsia="PMingLiU"/>
          <w:lang w:eastAsia="zh-TW"/>
        </w:rPr>
        <w:t>y</w:t>
      </w:r>
      <w:r w:rsidRPr="002B1AB3">
        <w:t>a</w:t>
      </w:r>
      <w:r w:rsidRPr="002B1AB3">
        <w:rPr>
          <w:rFonts w:eastAsia="PMingLiU"/>
          <w:lang w:eastAsia="zh-TW"/>
        </w:rPr>
        <w:t>b</w:t>
      </w:r>
      <w:r w:rsidRPr="002B1AB3">
        <w:t>a</w:t>
      </w:r>
      <w:r w:rsidRPr="002B1AB3">
        <w:rPr>
          <w:rFonts w:eastAsia="PMingLiU"/>
          <w:lang w:eastAsia="zh-TW"/>
        </w:rPr>
        <w:t>n, Bayaban</w:t>
      </w:r>
      <w:r w:rsidRPr="002B1AB3">
        <w:tab/>
      </w:r>
      <w:r w:rsidRPr="002B1AB3">
        <w:rPr>
          <w:rFonts w:eastAsia="PMingLiU"/>
          <w:lang w:eastAsia="zh-TW"/>
        </w:rPr>
        <w:t>B</w:t>
      </w:r>
      <w:r w:rsidRPr="002B1AB3">
        <w:t>i</w:t>
      </w:r>
      <w:r w:rsidRPr="002B1AB3">
        <w:rPr>
          <w:rFonts w:eastAsia="PMingLiU"/>
          <w:lang w:eastAsia="zh-TW"/>
        </w:rPr>
        <w:t>y</w:t>
      </w:r>
      <w:r w:rsidRPr="002B1AB3">
        <w:t>á</w:t>
      </w:r>
      <w:r w:rsidRPr="002B1AB3">
        <w:rPr>
          <w:rFonts w:eastAsia="PMingLiU"/>
          <w:lang w:eastAsia="zh-TW"/>
        </w:rPr>
        <w:t>b</w:t>
      </w:r>
      <w:r w:rsidRPr="002B1AB3">
        <w:t>á</w:t>
      </w:r>
      <w:r w:rsidRPr="002B1AB3">
        <w:rPr>
          <w:rFonts w:eastAsia="PMingLiU"/>
          <w:lang w:eastAsia="zh-TW"/>
        </w:rPr>
        <w:t>n, Bay</w:t>
      </w:r>
      <w:r w:rsidRPr="002B1AB3">
        <w:t>á</w:t>
      </w:r>
      <w:r w:rsidRPr="002B1AB3">
        <w:rPr>
          <w:rFonts w:eastAsia="PMingLiU"/>
          <w:lang w:eastAsia="zh-TW"/>
        </w:rPr>
        <w:t>b</w:t>
      </w:r>
      <w:r w:rsidRPr="002B1AB3">
        <w:t>á</w:t>
      </w:r>
      <w:r w:rsidRPr="002B1AB3">
        <w:rPr>
          <w:rFonts w:eastAsia="PMingLiU"/>
          <w:lang w:eastAsia="zh-TW"/>
        </w:rPr>
        <w:t>n</w:t>
      </w:r>
      <w:r w:rsidRPr="002B1AB3">
        <w:tab/>
      </w:r>
      <w:r w:rsidRPr="002B1AB3">
        <w:rPr>
          <w:rFonts w:eastAsia="Times New Roman"/>
        </w:rPr>
        <w:t xml:space="preserve">Pers. uncultivated, desert; a desert. </w:t>
      </w:r>
      <w:r w:rsidRPr="002B1AB3">
        <w:t xml:space="preserve"> A mountain (30.563130, 57.439224; 2,724 m) 47 km </w:t>
      </w:r>
      <w:r w:rsidRPr="003B3863">
        <w:rPr>
          <w:sz w:val="16"/>
          <w:szCs w:val="16"/>
        </w:rPr>
        <w:t>NE</w:t>
      </w:r>
      <w:r w:rsidRPr="002B1AB3">
        <w:t xml:space="preserve"> of Kirmán.  A village, </w:t>
      </w:r>
      <w:r w:rsidRPr="002B1AB3">
        <w:rPr>
          <w:rFonts w:eastAsia="PMingLiU"/>
          <w:lang w:eastAsia="zh-TW"/>
        </w:rPr>
        <w:t>Qal‘ah B</w:t>
      </w:r>
      <w:r w:rsidRPr="002B1AB3">
        <w:t>i</w:t>
      </w:r>
      <w:r w:rsidRPr="002B1AB3">
        <w:rPr>
          <w:rFonts w:eastAsia="PMingLiU"/>
          <w:lang w:eastAsia="zh-TW"/>
        </w:rPr>
        <w:t>y</w:t>
      </w:r>
      <w:r w:rsidRPr="002B1AB3">
        <w:t>á</w:t>
      </w:r>
      <w:r w:rsidRPr="002B1AB3">
        <w:rPr>
          <w:rFonts w:eastAsia="PMingLiU"/>
          <w:lang w:eastAsia="zh-TW"/>
        </w:rPr>
        <w:t>b</w:t>
      </w:r>
      <w:r w:rsidRPr="002B1AB3">
        <w:t>á</w:t>
      </w:r>
      <w:r w:rsidRPr="002B1AB3">
        <w:rPr>
          <w:rFonts w:eastAsia="PMingLiU"/>
          <w:lang w:eastAsia="zh-TW"/>
        </w:rPr>
        <w:t>n (28.526147, 54.872187).</w:t>
      </w:r>
      <w:r>
        <w:rPr>
          <w:rFonts w:eastAsia="PMingLiU"/>
          <w:lang w:eastAsia="zh-TW"/>
        </w:rPr>
        <w:t xml:space="preserve">  The mountain range to the south of Nayr</w:t>
      </w:r>
      <w:r w:rsidRPr="00C30BAF">
        <w:t>í</w:t>
      </w:r>
      <w:r>
        <w:rPr>
          <w:rFonts w:eastAsia="PMingLiU"/>
          <w:lang w:eastAsia="zh-TW"/>
        </w:rPr>
        <w:t xml:space="preserve">z.  It lies between the Nayriz plain and the </w:t>
      </w:r>
      <w:r w:rsidRPr="002B1AB3">
        <w:rPr>
          <w:rFonts w:eastAsia="PMingLiU"/>
          <w:lang w:eastAsia="zh-TW"/>
        </w:rPr>
        <w:t>B</w:t>
      </w:r>
      <w:r w:rsidRPr="002B1AB3">
        <w:t>i</w:t>
      </w:r>
      <w:r w:rsidRPr="002B1AB3">
        <w:rPr>
          <w:rFonts w:eastAsia="PMingLiU"/>
          <w:lang w:eastAsia="zh-TW"/>
        </w:rPr>
        <w:t>y</w:t>
      </w:r>
      <w:r w:rsidRPr="002B1AB3">
        <w:t>á</w:t>
      </w:r>
      <w:r w:rsidRPr="002B1AB3">
        <w:rPr>
          <w:rFonts w:eastAsia="PMingLiU"/>
          <w:lang w:eastAsia="zh-TW"/>
        </w:rPr>
        <w:t>b</w:t>
      </w:r>
      <w:r w:rsidRPr="002B1AB3">
        <w:t>á</w:t>
      </w:r>
      <w:r w:rsidRPr="002B1AB3">
        <w:rPr>
          <w:rFonts w:eastAsia="PMingLiU"/>
          <w:lang w:eastAsia="zh-TW"/>
        </w:rPr>
        <w:t>n</w:t>
      </w:r>
      <w:r>
        <w:rPr>
          <w:rFonts w:eastAsia="PMingLiU"/>
          <w:lang w:eastAsia="zh-TW"/>
        </w:rPr>
        <w:t xml:space="preserve"> Plain.  It is accessed via the “B</w:t>
      </w:r>
      <w:r w:rsidRPr="006649A7">
        <w:t>í</w:t>
      </w:r>
      <w:r>
        <w:rPr>
          <w:rFonts w:eastAsia="PMingLiU"/>
          <w:lang w:eastAsia="zh-TW"/>
        </w:rPr>
        <w:t>s</w:t>
      </w:r>
      <w:r w:rsidRPr="006649A7">
        <w:t>á</w:t>
      </w:r>
      <w:r>
        <w:rPr>
          <w:rFonts w:eastAsia="PMingLiU"/>
          <w:lang w:eastAsia="zh-TW"/>
        </w:rPr>
        <w:t>m</w:t>
      </w:r>
      <w:r w:rsidRPr="006649A7">
        <w:t>á</w:t>
      </w:r>
      <w:r>
        <w:rPr>
          <w:rFonts w:eastAsia="PMingLiU"/>
          <w:lang w:eastAsia="zh-TW"/>
        </w:rPr>
        <w:t>n” track from the mill on the Faru</w:t>
      </w:r>
      <w:r w:rsidRPr="006649A7">
        <w:rPr>
          <w:rFonts w:eastAsia="PMingLiU"/>
          <w:u w:val="single"/>
          <w:lang w:eastAsia="zh-TW"/>
        </w:rPr>
        <w:t>sh</w:t>
      </w:r>
      <w:r>
        <w:rPr>
          <w:rFonts w:eastAsia="PMingLiU"/>
          <w:lang w:eastAsia="zh-TW"/>
        </w:rPr>
        <w:t>t Stream.</w:t>
      </w:r>
    </w:p>
    <w:p w14:paraId="36E31D00" w14:textId="77777777" w:rsidR="00625A5B" w:rsidRDefault="00625A5B" w:rsidP="00A91ABF">
      <w:pPr>
        <w:pStyle w:val="Translit"/>
      </w:pPr>
      <w:r>
        <w:t>Biyarjumand (Beyarjomand)</w:t>
      </w:r>
      <w:r>
        <w:tab/>
      </w:r>
      <w:r w:rsidRPr="00A91ABF">
        <w:t>B</w:t>
      </w:r>
      <w:r>
        <w:t>í</w:t>
      </w:r>
      <w:r w:rsidRPr="00A91ABF">
        <w:t>y</w:t>
      </w:r>
      <w:r>
        <w:t>á</w:t>
      </w:r>
      <w:r w:rsidRPr="00A91ABF">
        <w:t>rj</w:t>
      </w:r>
      <w:r>
        <w:t>u</w:t>
      </w:r>
      <w:r w:rsidRPr="00A91ABF">
        <w:t>mand</w:t>
      </w:r>
      <w:r>
        <w:tab/>
        <w:t>a small village (</w:t>
      </w:r>
      <w:r w:rsidRPr="00A91ABF">
        <w:t>36.080803, 55.804240</w:t>
      </w:r>
      <w:r>
        <w:t>) in Semnan Province</w:t>
      </w:r>
    </w:p>
    <w:p w14:paraId="41DC49D0" w14:textId="77777777" w:rsidR="00625A5B" w:rsidRPr="008F03E5" w:rsidRDefault="00625A5B" w:rsidP="00026153">
      <w:pPr>
        <w:pStyle w:val="Translit"/>
      </w:pPr>
      <w:r w:rsidRPr="008F03E5">
        <w:t>Bronlundfjord</w:t>
      </w:r>
      <w:r w:rsidRPr="008F03E5">
        <w:tab/>
        <w:t>Brønlundfjord</w:t>
      </w:r>
      <w:r w:rsidRPr="008F03E5">
        <w:tab/>
        <w:t xml:space="preserve">(error “Bronlunsfjord”) a former research and radio station on the shore of Jørgen Brønlund Fjord (a northern branch of Independence Fjord) in southern Peary Land, north Greenland.  </w:t>
      </w:r>
      <w:r w:rsidRPr="008F03E5">
        <w:rPr>
          <w:sz w:val="16"/>
          <w:szCs w:val="16"/>
        </w:rPr>
        <w:t>MBW</w:t>
      </w:r>
      <w:r w:rsidRPr="008F03E5">
        <w:t xml:space="preserve"> p. 149 (“147”)</w:t>
      </w:r>
    </w:p>
    <w:p w14:paraId="3B088EF9" w14:textId="77777777" w:rsidR="00625A5B" w:rsidRPr="008F03E5" w:rsidRDefault="00625A5B" w:rsidP="00291EAC">
      <w:pPr>
        <w:pStyle w:val="Translit"/>
      </w:pPr>
      <w:r w:rsidRPr="008F03E5">
        <w:t>Brummana (Broummana)</w:t>
      </w:r>
      <w:r w:rsidRPr="008F03E5">
        <w:tab/>
        <w:t>Brummáná</w:t>
      </w:r>
      <w:r w:rsidRPr="008F03E5">
        <w:tab/>
        <w:t>(Beit Roumana, Aramaic name possibly meaning the “house of Rammana, the God of Air, Storm and Thunder”) town 13 km east of Beirut, Lebanon</w:t>
      </w:r>
    </w:p>
    <w:p w14:paraId="5261BB33" w14:textId="77777777" w:rsidR="00625A5B" w:rsidRPr="008F03E5" w:rsidRDefault="00625A5B" w:rsidP="00230130">
      <w:pPr>
        <w:pStyle w:val="Translit"/>
      </w:pPr>
      <w:r w:rsidRPr="008F03E5">
        <w:t>Budan</w:t>
      </w:r>
      <w:r w:rsidRPr="008F03E5">
        <w:tab/>
        <w:t>Búdan</w:t>
      </w:r>
      <w:r w:rsidRPr="008F03E5">
        <w:tab/>
        <w:t>Pers. t</w:t>
      </w:r>
      <w:r w:rsidRPr="008F03E5">
        <w:rPr>
          <w:rFonts w:eastAsia="Times New Roman"/>
        </w:rPr>
        <w:t>o be; to become; to exist; existence</w:t>
      </w:r>
    </w:p>
    <w:p w14:paraId="0A577E14" w14:textId="77777777" w:rsidR="00625A5B" w:rsidRPr="008F03E5" w:rsidRDefault="00625A5B" w:rsidP="00CA2C6B">
      <w:pPr>
        <w:pStyle w:val="Translit"/>
      </w:pPr>
      <w:r w:rsidRPr="008F03E5">
        <w:t>Buddha</w:t>
      </w:r>
      <w:r w:rsidRPr="008F03E5">
        <w:tab/>
        <w:t>Bú</w:t>
      </w:r>
      <w:r w:rsidRPr="008F03E5">
        <w:rPr>
          <w:u w:val="single"/>
        </w:rPr>
        <w:t>dh</w:t>
      </w:r>
      <w:r w:rsidRPr="008F03E5">
        <w:t>á (Ar.)</w:t>
      </w:r>
      <w:r w:rsidRPr="008F03E5">
        <w:tab/>
        <w:t>Buddha Maitreya-Amitábha, the Buddha of the future, the Lord of the Age.  Maitrya or Maitreya—“Kindness”; Amitábha—”Infinite light”.</w:t>
      </w:r>
    </w:p>
    <w:p w14:paraId="598C83FB" w14:textId="77777777" w:rsidR="00625A5B" w:rsidRPr="008F03E5" w:rsidRDefault="00625A5B" w:rsidP="00CA2C6B">
      <w:pPr>
        <w:pStyle w:val="Translit"/>
      </w:pPr>
      <w:r w:rsidRPr="008F03E5">
        <w:t>Budhi</w:t>
      </w:r>
      <w:r w:rsidRPr="008F03E5">
        <w:tab/>
        <w:t>Bú</w:t>
      </w:r>
      <w:r w:rsidRPr="008F03E5">
        <w:rPr>
          <w:u w:val="single"/>
        </w:rPr>
        <w:t>dh</w:t>
      </w:r>
      <w:r w:rsidRPr="008F03E5">
        <w:t>í</w:t>
      </w:r>
      <w:r w:rsidRPr="008F03E5">
        <w:tab/>
        <w:t>Buddhistic; Buddhist</w:t>
      </w:r>
    </w:p>
    <w:p w14:paraId="7EB00F4B" w14:textId="77777777" w:rsidR="00625A5B" w:rsidRPr="008F03E5" w:rsidRDefault="00625A5B" w:rsidP="00CA2C6B">
      <w:pPr>
        <w:pStyle w:val="Translit"/>
        <w:rPr>
          <w:rFonts w:eastAsia="PMingLiU"/>
          <w:lang w:eastAsia="zh-TW"/>
        </w:rPr>
      </w:pPr>
      <w:r w:rsidRPr="008F03E5">
        <w:rPr>
          <w:rFonts w:eastAsia="PMingLiU"/>
          <w:lang w:eastAsia="zh-TW"/>
        </w:rPr>
        <w:t>Budhiya</w:t>
      </w:r>
      <w:r w:rsidRPr="008F03E5">
        <w:rPr>
          <w:rFonts w:eastAsia="PMingLiU"/>
          <w:lang w:eastAsia="zh-TW"/>
        </w:rPr>
        <w:tab/>
        <w:t>Bú</w:t>
      </w:r>
      <w:r w:rsidRPr="008F03E5">
        <w:rPr>
          <w:rFonts w:eastAsia="PMingLiU"/>
          <w:u w:val="single"/>
          <w:lang w:eastAsia="zh-TW"/>
        </w:rPr>
        <w:t>dh</w:t>
      </w:r>
      <w:r w:rsidRPr="008F03E5">
        <w:rPr>
          <w:rFonts w:eastAsia="PMingLiU"/>
          <w:lang w:eastAsia="zh-TW"/>
        </w:rPr>
        <w:t>íya[h or t]</w:t>
      </w:r>
      <w:r w:rsidRPr="008F03E5">
        <w:rPr>
          <w:rFonts w:eastAsia="PMingLiU"/>
          <w:lang w:eastAsia="zh-TW"/>
        </w:rPr>
        <w:tab/>
        <w:t>Buddhism</w:t>
      </w:r>
    </w:p>
    <w:p w14:paraId="4347ABA7" w14:textId="77777777" w:rsidR="00625A5B" w:rsidRPr="008F03E5" w:rsidRDefault="00625A5B" w:rsidP="0086277B">
      <w:pPr>
        <w:pStyle w:val="Translit"/>
        <w:rPr>
          <w:rFonts w:eastAsia="PMingLiU"/>
          <w:lang w:eastAsia="zh-TW"/>
        </w:rPr>
      </w:pPr>
      <w:r w:rsidRPr="008F03E5">
        <w:t>Bughḍ, Bighda and Baghda’</w:t>
      </w:r>
      <w:r w:rsidRPr="008F03E5">
        <w:tab/>
        <w:t>Bu</w:t>
      </w:r>
      <w:r w:rsidRPr="008F03E5">
        <w:rPr>
          <w:u w:val="single"/>
        </w:rPr>
        <w:t>gh</w:t>
      </w:r>
      <w:r w:rsidRPr="008F03E5">
        <w:t>ḍ, Bi</w:t>
      </w:r>
      <w:r w:rsidRPr="008F03E5">
        <w:rPr>
          <w:u w:val="single"/>
        </w:rPr>
        <w:t>gh</w:t>
      </w:r>
      <w:r w:rsidRPr="008F03E5">
        <w:t>ḍa[h] and Ba</w:t>
      </w:r>
      <w:r w:rsidRPr="008F03E5">
        <w:rPr>
          <w:u w:val="single"/>
        </w:rPr>
        <w:t>gh</w:t>
      </w:r>
      <w:r w:rsidRPr="008F03E5">
        <w:t>ḍá’</w:t>
      </w:r>
      <w:r w:rsidRPr="008F03E5">
        <w:tab/>
        <w:t>hatred, hate</w:t>
      </w:r>
    </w:p>
    <w:p w14:paraId="2F9105CD" w14:textId="77777777" w:rsidR="00625A5B" w:rsidRDefault="00625A5B" w:rsidP="00C33551">
      <w:pPr>
        <w:pStyle w:val="Translit"/>
      </w:pPr>
      <w:r>
        <w:t>Bujnurd (Bojnord)</w:t>
      </w:r>
      <w:r>
        <w:tab/>
        <w:t>Bujn</w:t>
      </w:r>
      <w:r w:rsidRPr="00C33551">
        <w:t>ú</w:t>
      </w:r>
      <w:r>
        <w:t>rd</w:t>
      </w:r>
      <w:r>
        <w:tab/>
        <w:t>city (</w:t>
      </w:r>
      <w:r w:rsidRPr="00C33551">
        <w:t>37.474359, 57.32429</w:t>
      </w:r>
      <w:r>
        <w:t xml:space="preserve">4) in North Khurasan province.  242 km </w:t>
      </w:r>
      <w:r w:rsidRPr="00F24060">
        <w:rPr>
          <w:sz w:val="16"/>
          <w:szCs w:val="16"/>
        </w:rPr>
        <w:t>NW</w:t>
      </w:r>
      <w:r>
        <w:t xml:space="preserve"> of Ma</w:t>
      </w:r>
      <w:r w:rsidRPr="00C33551">
        <w:rPr>
          <w:u w:val="single"/>
        </w:rPr>
        <w:t>sh</w:t>
      </w:r>
      <w:r>
        <w:t>had.</w:t>
      </w:r>
    </w:p>
    <w:p w14:paraId="69986508" w14:textId="77777777" w:rsidR="00625A5B" w:rsidRPr="008F03E5" w:rsidRDefault="00625A5B" w:rsidP="001A5887">
      <w:pPr>
        <w:pStyle w:val="Translit"/>
      </w:pPr>
      <w:r w:rsidRPr="008F03E5">
        <w:t>Bukhar, Bukharat, Abkhira</w:t>
      </w:r>
      <w:r w:rsidRPr="008F03E5">
        <w:tab/>
        <w:t>Bu</w:t>
      </w:r>
      <w:r w:rsidRPr="008F03E5">
        <w:rPr>
          <w:u w:val="single"/>
        </w:rPr>
        <w:t>kh</w:t>
      </w:r>
      <w:r w:rsidRPr="008F03E5">
        <w:t>ár, pl. Bu</w:t>
      </w:r>
      <w:r w:rsidRPr="008F03E5">
        <w:rPr>
          <w:u w:val="single"/>
        </w:rPr>
        <w:t>kh</w:t>
      </w:r>
      <w:r w:rsidRPr="008F03E5">
        <w:t>árát, Ab</w:t>
      </w:r>
      <w:r w:rsidRPr="008F03E5">
        <w:rPr>
          <w:u w:val="single"/>
        </w:rPr>
        <w:t>kh</w:t>
      </w:r>
      <w:r w:rsidRPr="008F03E5">
        <w:t>ira</w:t>
      </w:r>
      <w:r w:rsidRPr="008F03E5">
        <w:tab/>
        <w:t>vapour, fume; steam</w:t>
      </w:r>
    </w:p>
    <w:p w14:paraId="1668E2C3" w14:textId="77777777" w:rsidR="00625A5B" w:rsidRPr="008F03E5" w:rsidRDefault="00625A5B" w:rsidP="00BB265A">
      <w:pPr>
        <w:pStyle w:val="Translit"/>
      </w:pPr>
      <w:r w:rsidRPr="008F03E5">
        <w:t>Bukhara</w:t>
      </w:r>
      <w:r w:rsidRPr="008F03E5">
        <w:tab/>
        <w:t>Bu</w:t>
      </w:r>
      <w:r w:rsidRPr="008F03E5">
        <w:rPr>
          <w:u w:val="single"/>
        </w:rPr>
        <w:t>kh</w:t>
      </w:r>
      <w:r w:rsidRPr="008F03E5">
        <w:t>árá</w:t>
      </w:r>
      <w:r w:rsidRPr="008F03E5">
        <w:tab/>
        <w:t>city in Uzbekistan</w:t>
      </w:r>
    </w:p>
    <w:p w14:paraId="50D01A2C" w14:textId="77777777" w:rsidR="00625A5B" w:rsidRPr="008F03E5" w:rsidRDefault="00625A5B" w:rsidP="00EF35FD">
      <w:pPr>
        <w:pStyle w:val="Translit"/>
      </w:pPr>
      <w:r w:rsidRPr="008F03E5">
        <w:t>Bukharan</w:t>
      </w:r>
      <w:r w:rsidRPr="008F03E5">
        <w:tab/>
        <w:t>Bu</w:t>
      </w:r>
      <w:r w:rsidRPr="008F03E5">
        <w:rPr>
          <w:u w:val="single"/>
        </w:rPr>
        <w:t>kh</w:t>
      </w:r>
      <w:r w:rsidRPr="008F03E5">
        <w:t>árán</w:t>
      </w:r>
      <w:r w:rsidRPr="008F03E5">
        <w:tab/>
        <w:t>people of Bu</w:t>
      </w:r>
      <w:r w:rsidRPr="008F03E5">
        <w:rPr>
          <w:u w:val="single"/>
        </w:rPr>
        <w:t>kh</w:t>
      </w:r>
      <w:r w:rsidRPr="008F03E5">
        <w:t>árá</w:t>
      </w:r>
    </w:p>
    <w:p w14:paraId="5A88E0D3" w14:textId="77777777" w:rsidR="00625A5B" w:rsidRPr="008F03E5" w:rsidRDefault="00625A5B" w:rsidP="00385252">
      <w:pPr>
        <w:pStyle w:val="Translit"/>
      </w:pPr>
      <w:r w:rsidRPr="008F03E5">
        <w:t>Bukhari</w:t>
      </w:r>
      <w:r w:rsidRPr="008F03E5">
        <w:tab/>
        <w:t>Bu</w:t>
      </w:r>
      <w:r w:rsidRPr="008F03E5">
        <w:rPr>
          <w:u w:val="single"/>
        </w:rPr>
        <w:t>kh</w:t>
      </w:r>
      <w:r w:rsidRPr="008F03E5">
        <w:t>árí</w:t>
      </w:r>
      <w:r w:rsidRPr="008F03E5">
        <w:tab/>
        <w:t>steam (adjective), steam-driven.  Abú ‘Abd Alláh Muḥammad ibn Ismá‘íl ibn Ibráhím ibn al-Mu</w:t>
      </w:r>
      <w:r w:rsidRPr="008F03E5">
        <w:rPr>
          <w:u w:val="single"/>
        </w:rPr>
        <w:t>gh</w:t>
      </w:r>
      <w:r w:rsidRPr="008F03E5">
        <w:t>írah ibn Bardizbah al-Ju‘fí al-Bu</w:t>
      </w:r>
      <w:r w:rsidRPr="008F03E5">
        <w:rPr>
          <w:u w:val="single"/>
        </w:rPr>
        <w:t>kh</w:t>
      </w:r>
      <w:r w:rsidRPr="008F03E5">
        <w:t xml:space="preserve">árí (810–870), Persian Islamic scholar, author of the </w:t>
      </w:r>
      <w:r w:rsidRPr="008F03E5">
        <w:rPr>
          <w:i/>
          <w:iCs/>
        </w:rPr>
        <w:t>aṣ Ṣaḥíḥ al-Bu</w:t>
      </w:r>
      <w:r w:rsidRPr="008F03E5">
        <w:rPr>
          <w:i/>
          <w:iCs/>
          <w:u w:val="single"/>
        </w:rPr>
        <w:t>kh</w:t>
      </w:r>
      <w:r w:rsidRPr="008F03E5">
        <w:rPr>
          <w:i/>
          <w:iCs/>
        </w:rPr>
        <w:t xml:space="preserve">árí </w:t>
      </w:r>
      <w:r w:rsidRPr="008F03E5">
        <w:t>collection of hadiths (aḥádí</w:t>
      </w:r>
      <w:r w:rsidRPr="008F03E5">
        <w:rPr>
          <w:u w:val="single"/>
        </w:rPr>
        <w:t>th)</w:t>
      </w:r>
      <w:r w:rsidRPr="008F03E5">
        <w:t>.</w:t>
      </w:r>
    </w:p>
    <w:p w14:paraId="5025EC7F" w14:textId="77777777" w:rsidR="00625A5B" w:rsidRPr="008F03E5" w:rsidRDefault="00625A5B" w:rsidP="00C35112">
      <w:pPr>
        <w:pStyle w:val="Translit"/>
      </w:pPr>
      <w:r w:rsidRPr="008F03E5">
        <w:t>Bulbul, Balabil</w:t>
      </w:r>
      <w:r w:rsidRPr="008F03E5">
        <w:tab/>
        <w:t>Bulbul, Balabil</w:t>
      </w:r>
      <w:r w:rsidRPr="008F03E5">
        <w:tab/>
        <w:t>nightingale</w:t>
      </w:r>
    </w:p>
    <w:p w14:paraId="59EEA8EA" w14:textId="77777777" w:rsidR="00625A5B" w:rsidRPr="008F03E5" w:rsidRDefault="00625A5B" w:rsidP="00826BCC">
      <w:pPr>
        <w:pStyle w:val="Translit"/>
      </w:pPr>
      <w:r w:rsidRPr="008F03E5">
        <w:t>Buli, Bolu</w:t>
      </w:r>
      <w:r w:rsidRPr="008F03E5">
        <w:tab/>
        <w:t>Búlí</w:t>
      </w:r>
      <w:r w:rsidRPr="008F03E5">
        <w:tab/>
        <w:t>Ar. for town (Bolu) 260 km east of Istanbul.</w:t>
      </w:r>
    </w:p>
    <w:p w14:paraId="33D2FE9D" w14:textId="77777777" w:rsidR="00625A5B" w:rsidRPr="008F03E5" w:rsidRDefault="00625A5B" w:rsidP="00D70D97">
      <w:pPr>
        <w:pStyle w:val="Translit"/>
      </w:pPr>
      <w:r w:rsidRPr="008F03E5">
        <w:t>Buluk</w:t>
      </w:r>
      <w:r w:rsidRPr="008F03E5">
        <w:tab/>
        <w:t>Bulúk</w:t>
      </w:r>
      <w:r w:rsidRPr="008F03E5">
        <w:tab/>
        <w:t>Pers. a tract of country that a subject obtains either by gift, purchase, or succession, holding of the sovereign upon feudal tenure; a district (modern colloquialism)</w:t>
      </w:r>
    </w:p>
    <w:p w14:paraId="407E8C33" w14:textId="77777777" w:rsidR="00625A5B" w:rsidRPr="008F03E5" w:rsidRDefault="00625A5B" w:rsidP="00900A82">
      <w:pPr>
        <w:pStyle w:val="Translit"/>
      </w:pPr>
      <w:r w:rsidRPr="008F03E5">
        <w:t>Bulus</w:t>
      </w:r>
      <w:r w:rsidRPr="008F03E5">
        <w:tab/>
        <w:t>Búlus</w:t>
      </w:r>
      <w:r w:rsidRPr="008F03E5">
        <w:tab/>
        <w:t>Arabic form of Paul</w:t>
      </w:r>
    </w:p>
    <w:p w14:paraId="51D55F16" w14:textId="77777777" w:rsidR="00625A5B" w:rsidRPr="008F03E5" w:rsidRDefault="00625A5B" w:rsidP="00040654">
      <w:pPr>
        <w:pStyle w:val="Translit"/>
        <w:rPr>
          <w:rFonts w:eastAsia="Times New Roman"/>
        </w:rPr>
      </w:pPr>
      <w:r w:rsidRPr="008F03E5">
        <w:rPr>
          <w:rFonts w:eastAsia="Times New Roman"/>
        </w:rPr>
        <w:t>Bun (Bon)</w:t>
      </w:r>
      <w:r w:rsidRPr="008F03E5">
        <w:rPr>
          <w:rFonts w:eastAsia="Times New Roman"/>
        </w:rPr>
        <w:tab/>
        <w:t>Bún</w:t>
      </w:r>
      <w:r w:rsidRPr="008F03E5">
        <w:rPr>
          <w:rFonts w:eastAsia="Times New Roman"/>
        </w:rPr>
        <w:tab/>
        <w:t>Pers. foundation, root, origin; end, limit</w:t>
      </w:r>
    </w:p>
    <w:p w14:paraId="01ADB1AD" w14:textId="77777777" w:rsidR="00625A5B" w:rsidRPr="008F03E5" w:rsidRDefault="00625A5B" w:rsidP="00BB5E34">
      <w:pPr>
        <w:pStyle w:val="Translit"/>
      </w:pPr>
      <w:r w:rsidRPr="008F03E5">
        <w:rPr>
          <w:rFonts w:eastAsia="Times New Roman"/>
        </w:rPr>
        <w:t>Bun</w:t>
      </w:r>
      <w:r w:rsidRPr="008F03E5">
        <w:rPr>
          <w:rFonts w:eastAsia="Times New Roman"/>
        </w:rPr>
        <w:tab/>
        <w:t>Bun</w:t>
      </w:r>
      <w:r w:rsidRPr="008F03E5">
        <w:rPr>
          <w:rFonts w:eastAsia="Times New Roman"/>
        </w:rPr>
        <w:tab/>
        <w:t>Pers. root, basis, foundation; the bottom; the stern of a ship; extremity, point, end, tip (of anything); a cluster of dates; the trunk of a tree</w:t>
      </w:r>
    </w:p>
    <w:p w14:paraId="7F85F5C9" w14:textId="77777777" w:rsidR="00625A5B" w:rsidRPr="008F03E5" w:rsidRDefault="00625A5B" w:rsidP="00DD69A3">
      <w:pPr>
        <w:pStyle w:val="Translit"/>
      </w:pPr>
      <w:r w:rsidRPr="008F03E5">
        <w:t>Bunab</w:t>
      </w:r>
      <w:r w:rsidRPr="008F03E5">
        <w:tab/>
        <w:t>Bunáb</w:t>
      </w:r>
      <w:r w:rsidRPr="008F03E5">
        <w:tab/>
        <w:t>Pers. the bottom or depth of water</w:t>
      </w:r>
    </w:p>
    <w:p w14:paraId="51332C36" w14:textId="77777777" w:rsidR="00625A5B" w:rsidRPr="008F03E5" w:rsidRDefault="00625A5B" w:rsidP="00BF2F57">
      <w:pPr>
        <w:pStyle w:val="Translit"/>
      </w:pPr>
      <w:r w:rsidRPr="008F03E5">
        <w:t>Bunduq, Banadiq</w:t>
      </w:r>
      <w:r w:rsidRPr="008F03E5">
        <w:tab/>
        <w:t>Bunduq, pl. Banádiq</w:t>
      </w:r>
      <w:r w:rsidRPr="008F03E5">
        <w:tab/>
        <w:t>hazelnut(s), filberts; hazel, hazel tree.  Pers. Funduq, Turk. Findík</w:t>
      </w:r>
    </w:p>
    <w:p w14:paraId="3333FEB1" w14:textId="77777777" w:rsidR="00625A5B" w:rsidRPr="008F03E5" w:rsidRDefault="00625A5B" w:rsidP="00040654">
      <w:pPr>
        <w:pStyle w:val="Translit"/>
      </w:pPr>
      <w:r w:rsidRPr="008F03E5">
        <w:t>Buni</w:t>
      </w:r>
      <w:r w:rsidRPr="008F03E5">
        <w:tab/>
        <w:t>Búní</w:t>
      </w:r>
      <w:r w:rsidRPr="008F03E5">
        <w:tab/>
        <w:t>‘Abdu’lláh Búní (</w:t>
      </w:r>
      <w:r w:rsidRPr="008F03E5">
        <w:rPr>
          <w:sz w:val="16"/>
          <w:szCs w:val="16"/>
        </w:rPr>
        <w:t>SDC</w:t>
      </w:r>
      <w:r w:rsidRPr="008F03E5">
        <w:t xml:space="preserve"> 104)</w:t>
      </w:r>
    </w:p>
    <w:p w14:paraId="6CBE956E" w14:textId="77777777" w:rsidR="00625A5B" w:rsidRPr="008F03E5" w:rsidRDefault="00625A5B" w:rsidP="00937140">
      <w:pPr>
        <w:pStyle w:val="Translit"/>
      </w:pPr>
      <w:r w:rsidRPr="008F03E5">
        <w:t>Bunn</w:t>
      </w:r>
      <w:r w:rsidRPr="008F03E5">
        <w:tab/>
        <w:t>Bunn</w:t>
      </w:r>
      <w:r w:rsidRPr="008F03E5">
        <w:tab/>
        <w:t>coffee beans; coffee</w:t>
      </w:r>
    </w:p>
    <w:p w14:paraId="66778196" w14:textId="77777777" w:rsidR="00625A5B" w:rsidRPr="008F03E5" w:rsidRDefault="00625A5B" w:rsidP="00937140">
      <w:pPr>
        <w:pStyle w:val="Translit"/>
      </w:pPr>
      <w:r w:rsidRPr="008F03E5">
        <w:t>Buq’a, Buqa’, Biqa’</w:t>
      </w:r>
      <w:r w:rsidRPr="008F03E5">
        <w:tab/>
        <w:t>Buq‘a, pl. Buqa‘, Biqá‘</w:t>
      </w:r>
      <w:r w:rsidRPr="008F03E5">
        <w:tab/>
        <w:t>spot, blot, smudge, stain; place, site, plot, patch, lot</w:t>
      </w:r>
    </w:p>
    <w:p w14:paraId="11B3559A" w14:textId="77777777" w:rsidR="00625A5B" w:rsidRPr="008F03E5" w:rsidRDefault="00625A5B" w:rsidP="009C2076">
      <w:pPr>
        <w:pStyle w:val="Translit"/>
      </w:pPr>
      <w:r w:rsidRPr="008F03E5">
        <w:t>Buq’atu’l-Hamra</w:t>
      </w:r>
      <w:r w:rsidRPr="008F03E5">
        <w:tab/>
        <w:t>Buq‘atu’l-Ḥamrá’</w:t>
      </w:r>
      <w:r w:rsidRPr="008F03E5">
        <w:tab/>
        <w:t>“Crimson Spot”—a term used in several allegorical and symbolic senses in the Bahá’í Writings, including for the prison-city of ‘Akká.  Samaríyyih Hill (32.961469, 35.092595, designated Buq‘atu’l-Ḥamrá’ by Bahá’u’lláh), 2 km north of Bahjí, opposite the kibbutz of Lohamei HaGeta’ot, where red flowers grew in abundance in the time of Bahá’u’lláh.</w:t>
      </w:r>
    </w:p>
    <w:p w14:paraId="27E79CF5" w14:textId="77777777" w:rsidR="00625A5B" w:rsidRPr="008F03E5" w:rsidRDefault="00625A5B" w:rsidP="008A12BF">
      <w:pPr>
        <w:pStyle w:val="Translit"/>
      </w:pPr>
      <w:r w:rsidRPr="008F03E5">
        <w:t>Buq’atu’l-Khadra’</w:t>
      </w:r>
      <w:r w:rsidRPr="008F03E5">
        <w:tab/>
        <w:t>Buq‘atu’l-</w:t>
      </w:r>
      <w:r w:rsidRPr="008F03E5">
        <w:rPr>
          <w:u w:val="single"/>
        </w:rPr>
        <w:t>Kh</w:t>
      </w:r>
      <w:r w:rsidRPr="008F03E5">
        <w:t>aḍrá’</w:t>
      </w:r>
      <w:r w:rsidRPr="008F03E5">
        <w:tab/>
        <w:t>“The Verdant Spot”, a former private cemetery near the government “castle”, Yazd.  Designated as such by Bahá’u’lláh.</w:t>
      </w:r>
    </w:p>
    <w:p w14:paraId="7B7D3CB1" w14:textId="77777777" w:rsidR="00625A5B" w:rsidRPr="008F03E5" w:rsidRDefault="00625A5B" w:rsidP="006079D9">
      <w:pPr>
        <w:pStyle w:val="Translit"/>
      </w:pPr>
      <w:r w:rsidRPr="008F03E5">
        <w:t>Buqrat</w:t>
      </w:r>
      <w:r w:rsidRPr="008F03E5">
        <w:tab/>
        <w:t>Buqráṭ</w:t>
      </w:r>
      <w:r w:rsidRPr="008F03E5">
        <w:tab/>
        <w:t xml:space="preserve">Hippocrates, from the Greek Ippokrátis.  Hippocrates </w:t>
      </w:r>
      <w:r w:rsidRPr="008F03E5">
        <w:rPr>
          <w:sz w:val="16"/>
          <w:szCs w:val="16"/>
        </w:rPr>
        <w:t>II</w:t>
      </w:r>
      <w:r w:rsidRPr="008F03E5">
        <w:t xml:space="preserve"> of Kos, usually known simply as Hippocrates.  The most celebrated physician of ancient Greece and the grandson of Hippocrates </w:t>
      </w:r>
      <w:r w:rsidRPr="008F03E5">
        <w:rPr>
          <w:sz w:val="16"/>
          <w:szCs w:val="16"/>
        </w:rPr>
        <w:t>I</w:t>
      </w:r>
      <w:r w:rsidRPr="008F03E5">
        <w:t>.</w:t>
      </w:r>
    </w:p>
    <w:p w14:paraId="0E8E3C67" w14:textId="77777777" w:rsidR="00625A5B" w:rsidRPr="008F03E5" w:rsidRDefault="00625A5B" w:rsidP="00A9227B">
      <w:pPr>
        <w:pStyle w:val="Translit"/>
      </w:pPr>
      <w:r w:rsidRPr="008F03E5">
        <w:t>Bur</w:t>
      </w:r>
      <w:r w:rsidRPr="008F03E5">
        <w:tab/>
        <w:t>Búr</w:t>
      </w:r>
      <w:r w:rsidRPr="008F03E5">
        <w:tab/>
        <w:t>uncultivated, fallow</w:t>
      </w:r>
    </w:p>
    <w:p w14:paraId="01AFF6B1" w14:textId="77777777" w:rsidR="00625A5B" w:rsidRPr="008F03E5" w:rsidRDefault="00625A5B" w:rsidP="00340957">
      <w:pPr>
        <w:pStyle w:val="Translit"/>
      </w:pPr>
      <w:r w:rsidRPr="008F03E5">
        <w:t>B</w:t>
      </w:r>
      <w:r>
        <w:t>u</w:t>
      </w:r>
      <w:r w:rsidRPr="008F03E5">
        <w:t>ratha</w:t>
      </w:r>
      <w:r>
        <w:t xml:space="preserve"> (Baratha)</w:t>
      </w:r>
      <w:r w:rsidRPr="008F03E5">
        <w:tab/>
        <w:t>B</w:t>
      </w:r>
      <w:r>
        <w:t>u</w:t>
      </w:r>
      <w:r w:rsidRPr="008F03E5">
        <w:t>rá</w:t>
      </w:r>
      <w:r w:rsidRPr="008F03E5">
        <w:rPr>
          <w:u w:val="single"/>
        </w:rPr>
        <w:t>th</w:t>
      </w:r>
      <w:r w:rsidRPr="008F03E5">
        <w:t>á</w:t>
      </w:r>
      <w:r w:rsidRPr="008F03E5">
        <w:tab/>
      </w:r>
      <w:r>
        <w:t xml:space="preserve">Buratha Mosque (Jámi‘ Buráthá or Majid </w:t>
      </w:r>
      <w:r w:rsidRPr="00340957">
        <w:rPr>
          <w:u w:val="single"/>
        </w:rPr>
        <w:t>Sh</w:t>
      </w:r>
      <w:r>
        <w:t>ay</w:t>
      </w:r>
      <w:r w:rsidRPr="00340957">
        <w:rPr>
          <w:u w:val="single"/>
        </w:rPr>
        <w:t>kh</w:t>
      </w:r>
      <w:r>
        <w:t xml:space="preserve"> Junayd; 33.351195, 44.361215) is</w:t>
      </w:r>
      <w:r w:rsidRPr="008F03E5">
        <w:t xml:space="preserve"> between </w:t>
      </w:r>
      <w:r>
        <w:t xml:space="preserve">central </w:t>
      </w:r>
      <w:r w:rsidRPr="008F03E5">
        <w:t>Ba</w:t>
      </w:r>
      <w:r w:rsidRPr="008F03E5">
        <w:rPr>
          <w:u w:val="single"/>
        </w:rPr>
        <w:t>gh</w:t>
      </w:r>
      <w:r w:rsidRPr="008F03E5">
        <w:t>dád and Kaẓímayn</w:t>
      </w:r>
      <w:r>
        <w:t xml:space="preserve"> (now a suburb of Ba</w:t>
      </w:r>
      <w:r w:rsidRPr="00340957">
        <w:rPr>
          <w:u w:val="single"/>
        </w:rPr>
        <w:t>gh</w:t>
      </w:r>
      <w:r>
        <w:t>d</w:t>
      </w:r>
      <w:r w:rsidRPr="00340957">
        <w:t>á</w:t>
      </w:r>
      <w:r>
        <w:t>d)</w:t>
      </w:r>
    </w:p>
    <w:p w14:paraId="56978B6A" w14:textId="77777777" w:rsidR="00625A5B" w:rsidRPr="008F03E5" w:rsidRDefault="00625A5B" w:rsidP="00A9227B">
      <w:pPr>
        <w:pStyle w:val="Translit"/>
      </w:pPr>
      <w:r w:rsidRPr="005D5AAC">
        <w:rPr>
          <w:lang w:val="de-DE"/>
        </w:rPr>
        <w:t>Burhan (Borhan), Barahin</w:t>
      </w:r>
      <w:r w:rsidRPr="005D5AAC">
        <w:rPr>
          <w:lang w:val="de-DE"/>
        </w:rPr>
        <w:tab/>
        <w:t xml:space="preserve">Burhán, pl. </w:t>
      </w:r>
      <w:r w:rsidRPr="008F03E5">
        <w:t>Baráhín</w:t>
      </w:r>
      <w:r w:rsidRPr="008F03E5">
        <w:tab/>
        <w:t>proof, demonstration</w:t>
      </w:r>
    </w:p>
    <w:p w14:paraId="0ECC344F" w14:textId="77777777" w:rsidR="00625A5B" w:rsidRPr="008F03E5" w:rsidRDefault="00625A5B" w:rsidP="00993DBD">
      <w:pPr>
        <w:pStyle w:val="Translit"/>
      </w:pPr>
      <w:r w:rsidRPr="008F03E5">
        <w:t>Burhani’d-Din</w:t>
      </w:r>
      <w:r w:rsidRPr="008F03E5">
        <w:tab/>
        <w:t>Burháni’d-Dín</w:t>
      </w:r>
      <w:r w:rsidRPr="008F03E5">
        <w:tab/>
        <w:t>Proof of religion</w:t>
      </w:r>
    </w:p>
    <w:p w14:paraId="4AFF7A2A" w14:textId="77777777" w:rsidR="00625A5B" w:rsidRPr="008F03E5" w:rsidRDefault="00625A5B" w:rsidP="00A9227B">
      <w:pPr>
        <w:pStyle w:val="Translit"/>
      </w:pPr>
      <w:r w:rsidRPr="008F03E5">
        <w:t>Burhan-i-Lami’</w:t>
      </w:r>
      <w:r w:rsidRPr="008F03E5">
        <w:tab/>
        <w:t>Burhán-i-Lámi’</w:t>
      </w:r>
      <w:r w:rsidRPr="008F03E5">
        <w:tab/>
        <w:t>(Burhane Lame) published as “The Brilliant Proof”</w:t>
      </w:r>
    </w:p>
    <w:p w14:paraId="45FE7154" w14:textId="77777777" w:rsidR="00625A5B" w:rsidRPr="008F03E5" w:rsidRDefault="00625A5B" w:rsidP="001F4642">
      <w:pPr>
        <w:pStyle w:val="Translit"/>
      </w:pPr>
      <w:r w:rsidRPr="008F03E5">
        <w:t>Burida Gush (Borideh Gosh)</w:t>
      </w:r>
      <w:r w:rsidRPr="008F03E5">
        <w:tab/>
      </w:r>
      <w:bookmarkStart w:id="56" w:name="_Hlk60143978"/>
      <w:r w:rsidRPr="008F03E5">
        <w:t>Burída[h] Gu</w:t>
      </w:r>
      <w:r w:rsidRPr="008F03E5">
        <w:rPr>
          <w:u w:val="single"/>
        </w:rPr>
        <w:t>sh</w:t>
      </w:r>
      <w:r w:rsidRPr="008F03E5">
        <w:tab/>
        <w:t>Pers. crop-eared</w:t>
      </w:r>
      <w:bookmarkEnd w:id="56"/>
      <w:r w:rsidRPr="008F03E5">
        <w:t>, i.e. ear cut off.  Name applied to ‘Abdu’l-Karím (assisted with the internment of the remains of the Báb)</w:t>
      </w:r>
    </w:p>
    <w:p w14:paraId="4D4E75B6" w14:textId="77777777" w:rsidR="00625A5B" w:rsidRPr="008F03E5" w:rsidRDefault="00625A5B" w:rsidP="001F4642">
      <w:pPr>
        <w:pStyle w:val="Translit"/>
      </w:pPr>
      <w:r w:rsidRPr="00D45A23">
        <w:rPr>
          <w:lang w:val="pl-PL"/>
        </w:rPr>
        <w:t>Burj, Buruj, Abraj</w:t>
      </w:r>
      <w:r w:rsidRPr="00D45A23">
        <w:rPr>
          <w:lang w:val="pl-PL"/>
        </w:rPr>
        <w:tab/>
        <w:t xml:space="preserve">Burj, pl. </w:t>
      </w:r>
      <w:r w:rsidRPr="008F03E5">
        <w:t>Burúj, Abráj</w:t>
      </w:r>
      <w:r w:rsidRPr="008F03E5">
        <w:tab/>
        <w:t>tower, castle, sign of the zodiac</w:t>
      </w:r>
    </w:p>
    <w:p w14:paraId="5606AAEC" w14:textId="77777777" w:rsidR="00625A5B" w:rsidRPr="008F03E5" w:rsidRDefault="00625A5B" w:rsidP="00076994">
      <w:pPr>
        <w:pStyle w:val="Translit"/>
      </w:pPr>
      <w:bookmarkStart w:id="57" w:name="_Hlk60744294"/>
      <w:r w:rsidRPr="008F03E5">
        <w:t>Burj-i-Azadi (Burj-i-Shahyad)</w:t>
      </w:r>
      <w:r w:rsidRPr="008F03E5">
        <w:tab/>
        <w:t>Burj-i-Ázádí</w:t>
      </w:r>
      <w:r w:rsidRPr="008F03E5">
        <w:tab/>
        <w:t>Pers. “Freedom Tower” since 1979, formerly known as the Burj-i-</w:t>
      </w:r>
      <w:r w:rsidRPr="008F03E5">
        <w:rPr>
          <w:u w:val="single"/>
        </w:rPr>
        <w:t>Sh</w:t>
      </w:r>
      <w:r w:rsidRPr="008F03E5">
        <w:t>ahyád (“Shah’s Memorial Tower”).  Designed by the Bahá’í architect Ḥusayn Amánát.  Since moving to Canada in 1980, he has designed three administrative buildings on the Baháʼí Arc in Haifa, and the Baháʼí House of Worship in Samoa.</w:t>
      </w:r>
    </w:p>
    <w:bookmarkEnd w:id="57"/>
    <w:p w14:paraId="58D7F779" w14:textId="77777777" w:rsidR="00625A5B" w:rsidRPr="008F03E5" w:rsidRDefault="00625A5B" w:rsidP="00BB74AE">
      <w:pPr>
        <w:pStyle w:val="Translit"/>
      </w:pPr>
      <w:r w:rsidRPr="008F03E5">
        <w:t>Burnus, Baranis, Barnus, Burnus</w:t>
      </w:r>
      <w:r w:rsidRPr="008F03E5">
        <w:tab/>
        <w:t>Burnus, pl. Baránis</w:t>
      </w:r>
      <w:r w:rsidRPr="008F03E5">
        <w:tab/>
        <w:t>(also barnús, burnús, pl. baranís) burnoose, hooded cloak; casula, chasuble (of Coptic priests)</w:t>
      </w:r>
    </w:p>
    <w:p w14:paraId="703DD1B1" w14:textId="77777777" w:rsidR="00625A5B" w:rsidRPr="008F03E5" w:rsidRDefault="00625A5B" w:rsidP="00A9227B">
      <w:pPr>
        <w:pStyle w:val="Translit"/>
      </w:pPr>
      <w:r w:rsidRPr="008F03E5">
        <w:t>Burqa, Burqu’, Baraqi’</w:t>
      </w:r>
      <w:r w:rsidRPr="008F03E5">
        <w:tab/>
        <w:t>Burqu‘, (Pers. also Burqa‘), pl. Baráqi‘</w:t>
      </w:r>
      <w:r w:rsidRPr="008F03E5">
        <w:tab/>
        <w:t>veil (worn by women; long, leaving the eyes exposed)</w:t>
      </w:r>
    </w:p>
    <w:p w14:paraId="0EA2735B" w14:textId="77777777" w:rsidR="00625A5B" w:rsidRPr="008F03E5" w:rsidRDefault="00625A5B" w:rsidP="005E5A3F">
      <w:pPr>
        <w:pStyle w:val="Translit"/>
      </w:pPr>
      <w:r w:rsidRPr="008F03E5">
        <w:t>Burujird</w:t>
      </w:r>
      <w:r w:rsidRPr="008F03E5">
        <w:tab/>
        <w:t>Burújird</w:t>
      </w:r>
      <w:r w:rsidRPr="008F03E5">
        <w:tab/>
        <w:t>capital city of the province of Luristán, place of the governorship of Mírzá Buzurg</w:t>
      </w:r>
    </w:p>
    <w:p w14:paraId="09302DDF" w14:textId="77777777" w:rsidR="00625A5B" w:rsidRPr="008F03E5" w:rsidRDefault="00625A5B" w:rsidP="00C13FA1">
      <w:pPr>
        <w:pStyle w:val="Translit"/>
      </w:pPr>
      <w:r w:rsidRPr="008F03E5">
        <w:t>Busayra, Busayrah, Busaira, Bozrah</w:t>
      </w:r>
      <w:r w:rsidRPr="008F03E5">
        <w:tab/>
        <w:t>Buṣayrá (Ar.), Boṣrah (Heb.)</w:t>
      </w:r>
      <w:r w:rsidRPr="008F03E5">
        <w:tab/>
        <w:t xml:space="preserve">historical site and former capital of Edom.  Adjacent to the town of Basira (Bouseira, Busaira), Jordan—about 30 km </w:t>
      </w:r>
      <w:r w:rsidRPr="008F03E5">
        <w:rPr>
          <w:sz w:val="16"/>
          <w:szCs w:val="16"/>
        </w:rPr>
        <w:t>SE</w:t>
      </w:r>
      <w:r w:rsidRPr="008F03E5">
        <w:t xml:space="preserve"> of the “southern end” of the Dead Sea.</w:t>
      </w:r>
    </w:p>
    <w:p w14:paraId="185C8640" w14:textId="77777777" w:rsidR="00625A5B" w:rsidRPr="008F03E5" w:rsidRDefault="00625A5B" w:rsidP="003713C7">
      <w:pPr>
        <w:pStyle w:val="Translit"/>
      </w:pPr>
      <w:r w:rsidRPr="008F03E5">
        <w:t>Bushihr (Bushehr or Bushire)</w:t>
      </w:r>
      <w:r w:rsidRPr="008F03E5">
        <w:tab/>
      </w:r>
      <w:bookmarkStart w:id="58" w:name="_Hlk54106978"/>
      <w:r w:rsidRPr="008F03E5">
        <w:t>Bú</w:t>
      </w:r>
      <w:r w:rsidRPr="008F03E5">
        <w:rPr>
          <w:u w:val="single"/>
        </w:rPr>
        <w:t>sh</w:t>
      </w:r>
      <w:r w:rsidRPr="008F03E5">
        <w:t>ihr</w:t>
      </w:r>
      <w:bookmarkEnd w:id="58"/>
      <w:r w:rsidRPr="008F03E5">
        <w:tab/>
        <w:t>also known as Bandar Bú</w:t>
      </w:r>
      <w:r w:rsidRPr="008F03E5">
        <w:rPr>
          <w:u w:val="single"/>
        </w:rPr>
        <w:t>sh</w:t>
      </w:r>
      <w:r w:rsidRPr="008F03E5">
        <w:t>ihr, previously Beh Ardasher, Antiochia in Persis and Bukht Ardashir.  Iranian city (once the primary port of Iran) and province on the Persian Gulf.</w:t>
      </w:r>
    </w:p>
    <w:p w14:paraId="30970E9B" w14:textId="77777777" w:rsidR="00625A5B" w:rsidRDefault="00625A5B" w:rsidP="003713C7">
      <w:pPr>
        <w:pStyle w:val="Translit"/>
      </w:pPr>
      <w:r>
        <w:t>Bushr</w:t>
      </w:r>
      <w:r>
        <w:tab/>
        <w:t>Bu</w:t>
      </w:r>
      <w:r w:rsidRPr="00996C31">
        <w:rPr>
          <w:u w:val="single"/>
        </w:rPr>
        <w:t>sh</w:t>
      </w:r>
      <w:r>
        <w:t>r</w:t>
      </w:r>
      <w:r>
        <w:tab/>
        <w:t>glad-tidings</w:t>
      </w:r>
    </w:p>
    <w:p w14:paraId="2E18237B" w14:textId="77777777" w:rsidR="00625A5B" w:rsidRPr="008F03E5" w:rsidRDefault="00625A5B" w:rsidP="005D2728">
      <w:pPr>
        <w:pStyle w:val="Translit"/>
      </w:pPr>
      <w:r w:rsidRPr="008F03E5">
        <w:t>Bushru’i</w:t>
      </w:r>
      <w:r w:rsidRPr="008F03E5">
        <w:tab/>
        <w:t>Bu</w:t>
      </w:r>
      <w:r w:rsidRPr="008F03E5">
        <w:rPr>
          <w:u w:val="single"/>
        </w:rPr>
        <w:t>sh</w:t>
      </w:r>
      <w:r w:rsidRPr="008F03E5">
        <w:t>rú’í</w:t>
      </w:r>
      <w:r w:rsidRPr="008F03E5">
        <w:tab/>
        <w:t>(of or from Bu</w:t>
      </w:r>
      <w:r w:rsidRPr="008F03E5">
        <w:rPr>
          <w:u w:val="single"/>
        </w:rPr>
        <w:t>sh</w:t>
      </w:r>
      <w:r w:rsidRPr="008F03E5">
        <w:t>rúyih)</w:t>
      </w:r>
    </w:p>
    <w:p w14:paraId="6F15F0FC" w14:textId="77777777" w:rsidR="00625A5B" w:rsidRPr="008F03E5" w:rsidRDefault="00625A5B" w:rsidP="008A38C6">
      <w:pPr>
        <w:pStyle w:val="Translit"/>
      </w:pPr>
      <w:r w:rsidRPr="008F03E5">
        <w:t>Bushruyih (Boshrouyeh)</w:t>
      </w:r>
      <w:r w:rsidRPr="008F03E5">
        <w:tab/>
        <w:t>Bu</w:t>
      </w:r>
      <w:r w:rsidRPr="008F03E5">
        <w:rPr>
          <w:u w:val="single"/>
        </w:rPr>
        <w:t>sh</w:t>
      </w:r>
      <w:r w:rsidRPr="008F03E5">
        <w:t>rúyih</w:t>
      </w:r>
      <w:r w:rsidRPr="008F03E5">
        <w:tab/>
        <w:t xml:space="preserve">a town in </w:t>
      </w:r>
      <w:r w:rsidRPr="008F03E5">
        <w:rPr>
          <w:u w:val="single"/>
        </w:rPr>
        <w:t>Kh</w:t>
      </w:r>
      <w:r w:rsidRPr="008F03E5">
        <w:t xml:space="preserve">urásán, 55 km </w:t>
      </w:r>
      <w:r w:rsidRPr="008F03E5">
        <w:rPr>
          <w:sz w:val="16"/>
          <w:szCs w:val="16"/>
        </w:rPr>
        <w:t>NE</w:t>
      </w:r>
      <w:r w:rsidRPr="008F03E5">
        <w:t xml:space="preserve"> of Ṭabas and 70 km </w:t>
      </w:r>
      <w:r w:rsidRPr="008F03E5">
        <w:rPr>
          <w:sz w:val="16"/>
          <w:szCs w:val="16"/>
        </w:rPr>
        <w:t>WSW</w:t>
      </w:r>
      <w:r w:rsidRPr="008F03E5">
        <w:t xml:space="preserve"> </w:t>
      </w:r>
      <w:r w:rsidRPr="008F03E5">
        <w:rPr>
          <w:lang w:eastAsia="en-US"/>
        </w:rPr>
        <w:t>of T</w:t>
      </w:r>
      <w:r w:rsidRPr="008F03E5">
        <w:t>ú</w:t>
      </w:r>
      <w:r w:rsidRPr="008F03E5">
        <w:rPr>
          <w:lang w:eastAsia="en-US"/>
        </w:rPr>
        <w:t>n</w:t>
      </w:r>
      <w:r w:rsidRPr="008F03E5">
        <w:t>.  It is the birthplace of Mullá Ḥusayn, first disciple of the Báb.</w:t>
      </w:r>
    </w:p>
    <w:p w14:paraId="37CAE271" w14:textId="77777777" w:rsidR="00625A5B" w:rsidRPr="008F03E5" w:rsidRDefault="00625A5B" w:rsidP="00443C84">
      <w:pPr>
        <w:pStyle w:val="Translit"/>
        <w:rPr>
          <w:rFonts w:eastAsia="PMingLiU"/>
          <w:lang w:eastAsia="zh-TW"/>
        </w:rPr>
      </w:pPr>
      <w:r w:rsidRPr="008F03E5">
        <w:rPr>
          <w:rFonts w:eastAsia="PMingLiU"/>
          <w:lang w:eastAsia="zh-TW"/>
        </w:rPr>
        <w:t>Busra (Bosra</w:t>
      </w:r>
      <w:r w:rsidRPr="008F03E5">
        <w:t>, Bozra, Bozrah</w:t>
      </w:r>
      <w:r w:rsidRPr="008F03E5">
        <w:rPr>
          <w:rFonts w:eastAsia="PMingLiU"/>
          <w:lang w:eastAsia="zh-TW"/>
        </w:rPr>
        <w:t>)</w:t>
      </w:r>
      <w:r w:rsidRPr="008F03E5">
        <w:rPr>
          <w:rFonts w:eastAsia="PMingLiU"/>
          <w:lang w:eastAsia="zh-TW"/>
        </w:rPr>
        <w:tab/>
        <w:t>Bu</w:t>
      </w:r>
      <w:r w:rsidRPr="008F03E5">
        <w:t>ṣ</w:t>
      </w:r>
      <w:r w:rsidRPr="008F03E5">
        <w:rPr>
          <w:rFonts w:eastAsia="PMingLiU"/>
          <w:lang w:eastAsia="zh-TW"/>
        </w:rPr>
        <w:t>r</w:t>
      </w:r>
      <w:r w:rsidRPr="008F03E5">
        <w:t>á</w:t>
      </w:r>
      <w:r w:rsidRPr="008F03E5">
        <w:rPr>
          <w:rFonts w:eastAsia="PMingLiU"/>
          <w:lang w:eastAsia="zh-TW"/>
        </w:rPr>
        <w:tab/>
        <w:t xml:space="preserve">officially named </w:t>
      </w:r>
      <w:r w:rsidRPr="008F03E5">
        <w:t>Buṣrá a</w:t>
      </w:r>
      <w:r w:rsidRPr="008F03E5">
        <w:rPr>
          <w:u w:val="single"/>
        </w:rPr>
        <w:t>sh</w:t>
      </w:r>
      <w:r w:rsidRPr="008F03E5">
        <w:t>-</w:t>
      </w:r>
      <w:r w:rsidRPr="008F03E5">
        <w:rPr>
          <w:u w:val="single"/>
        </w:rPr>
        <w:t>Sh</w:t>
      </w:r>
      <w:r w:rsidRPr="008F03E5">
        <w:t xml:space="preserve">ám, </w:t>
      </w:r>
      <w:r w:rsidRPr="008F03E5">
        <w:rPr>
          <w:rFonts w:eastAsia="PMingLiU"/>
          <w:lang w:eastAsia="zh-TW"/>
        </w:rPr>
        <w:t xml:space="preserve">town </w:t>
      </w:r>
      <w:r w:rsidRPr="008F03E5">
        <w:rPr>
          <w:rFonts w:eastAsia="PMingLiU"/>
          <w:sz w:val="16"/>
          <w:szCs w:val="16"/>
          <w:lang w:eastAsia="zh-TW"/>
        </w:rPr>
        <w:t>SW</w:t>
      </w:r>
      <w:r w:rsidRPr="008F03E5">
        <w:rPr>
          <w:rFonts w:eastAsia="PMingLiU"/>
          <w:lang w:eastAsia="zh-TW"/>
        </w:rPr>
        <w:t xml:space="preserve"> Syria where 12-year old Mu</w:t>
      </w:r>
      <w:r w:rsidRPr="008F03E5">
        <w:t>ḥ</w:t>
      </w:r>
      <w:r w:rsidRPr="008F03E5">
        <w:rPr>
          <w:rFonts w:eastAsia="PMingLiU"/>
          <w:lang w:eastAsia="zh-TW"/>
        </w:rPr>
        <w:t>ammad met the monk Ba</w:t>
      </w:r>
      <w:r w:rsidRPr="008F03E5">
        <w:t>ḥí</w:t>
      </w:r>
      <w:r w:rsidRPr="008F03E5">
        <w:rPr>
          <w:rFonts w:eastAsia="PMingLiU"/>
          <w:lang w:eastAsia="zh-TW"/>
        </w:rPr>
        <w:t>rá</w:t>
      </w:r>
    </w:p>
    <w:p w14:paraId="7D5DDC4B" w14:textId="77777777" w:rsidR="00625A5B" w:rsidRPr="008F03E5" w:rsidRDefault="00625A5B" w:rsidP="00EA2B1D">
      <w:pPr>
        <w:pStyle w:val="Translit"/>
      </w:pPr>
      <w:r w:rsidRPr="008F03E5">
        <w:t>Bustan, Basatin</w:t>
      </w:r>
      <w:r w:rsidRPr="008F03E5">
        <w:tab/>
        <w:t>Bustán, pl. Basátín</w:t>
      </w:r>
      <w:r w:rsidRPr="008F03E5">
        <w:tab/>
        <w:t xml:space="preserve">garden or orchard.  </w:t>
      </w:r>
      <w:r w:rsidRPr="008F03E5">
        <w:rPr>
          <w:i/>
          <w:iCs/>
        </w:rPr>
        <w:t>Tablets of Abdul-Baha Abbas</w:t>
      </w:r>
      <w:r w:rsidRPr="008F03E5">
        <w:t xml:space="preserve"> “Boston”</w:t>
      </w:r>
    </w:p>
    <w:p w14:paraId="14D921E2" w14:textId="77777777" w:rsidR="00625A5B" w:rsidRPr="008F03E5" w:rsidRDefault="00625A5B" w:rsidP="003643A1">
      <w:pPr>
        <w:pStyle w:val="Translit"/>
      </w:pPr>
      <w:r w:rsidRPr="008F03E5">
        <w:t>Bustani</w:t>
      </w:r>
      <w:r w:rsidRPr="008F03E5">
        <w:tab/>
        <w:t>Bustání</w:t>
      </w:r>
      <w:r w:rsidRPr="008F03E5">
        <w:tab/>
        <w:t>gardener; garden (adj.); horticultural</w:t>
      </w:r>
    </w:p>
    <w:p w14:paraId="68F59F82" w14:textId="77777777" w:rsidR="00625A5B" w:rsidRPr="008F03E5" w:rsidRDefault="00625A5B" w:rsidP="00446566">
      <w:pPr>
        <w:pStyle w:val="Translit"/>
      </w:pPr>
      <w:r w:rsidRPr="008F03E5">
        <w:t>Butrus</w:t>
      </w:r>
      <w:r w:rsidRPr="008F03E5">
        <w:tab/>
        <w:t>Buṭrus</w:t>
      </w:r>
      <w:r w:rsidRPr="008F03E5">
        <w:tab/>
        <w:t>Peter (Petros).  See batrá</w:t>
      </w:r>
    </w:p>
    <w:p w14:paraId="31F53836" w14:textId="77777777" w:rsidR="00625A5B" w:rsidRPr="008F03E5" w:rsidRDefault="00625A5B" w:rsidP="0046193C">
      <w:pPr>
        <w:pStyle w:val="Translit"/>
      </w:pPr>
      <w:r w:rsidRPr="008F03E5">
        <w:t>Buy</w:t>
      </w:r>
      <w:r w:rsidRPr="008F03E5">
        <w:tab/>
        <w:t>Búy</w:t>
      </w:r>
      <w:r w:rsidRPr="008F03E5">
        <w:tab/>
        <w:t>Pers. odour, fragrance, per.fume; scent, spice; hope, wish, desire; search, quest; love; nature, disposition; portion, part, lot</w:t>
      </w:r>
    </w:p>
    <w:p w14:paraId="277A3E5E" w14:textId="77777777" w:rsidR="00625A5B" w:rsidRPr="008F03E5" w:rsidRDefault="00625A5B" w:rsidP="006F1215">
      <w:pPr>
        <w:pStyle w:val="Translit"/>
      </w:pPr>
      <w:r w:rsidRPr="008F03E5">
        <w:t>Buya (Boya)</w:t>
      </w:r>
      <w:r w:rsidRPr="008F03E5">
        <w:tab/>
        <w:t>Buya</w:t>
      </w:r>
      <w:r w:rsidRPr="008F03E5">
        <w:tab/>
        <w:t>Pers. hope, desire; fumitory; a Persian dynasty (Buyid) of the Da</w:t>
      </w:r>
      <w:r>
        <w:t>y</w:t>
      </w:r>
      <w:r w:rsidRPr="008F03E5">
        <w:t>lamites (Daylamígán) founded by ‘Alí ibn Buya.</w:t>
      </w:r>
    </w:p>
    <w:p w14:paraId="17B77252" w14:textId="77777777" w:rsidR="00625A5B" w:rsidRPr="008F03E5" w:rsidRDefault="00625A5B" w:rsidP="00AB5757">
      <w:pPr>
        <w:pStyle w:val="Translit"/>
        <w:rPr>
          <w:rFonts w:eastAsia="PMingLiU"/>
          <w:lang w:eastAsia="zh-TW"/>
        </w:rPr>
      </w:pPr>
      <w:r w:rsidRPr="00D45A23">
        <w:rPr>
          <w:lang w:val="pl-PL"/>
        </w:rPr>
        <w:t>Buy-i-Juy-i-Muliyan</w:t>
      </w:r>
      <w:r w:rsidRPr="00D45A23">
        <w:rPr>
          <w:lang w:val="pl-PL"/>
        </w:rPr>
        <w:tab/>
        <w:t>Búy-i-Júy-i-Múliyán</w:t>
      </w:r>
      <w:r w:rsidRPr="00D45A23">
        <w:rPr>
          <w:lang w:val="pl-PL"/>
        </w:rPr>
        <w:tab/>
        <w:t xml:space="preserve">Pers. </w:t>
      </w:r>
      <w:r w:rsidRPr="008F03E5">
        <w:t>“The fragrance of the Muliyan Brook” poem by Rudaki</w:t>
      </w:r>
    </w:p>
    <w:p w14:paraId="73A962EB" w14:textId="77777777" w:rsidR="00625A5B" w:rsidRPr="008F03E5" w:rsidRDefault="00625A5B" w:rsidP="00AB5757">
      <w:pPr>
        <w:pStyle w:val="Translit"/>
        <w:rPr>
          <w:rFonts w:eastAsia="PMingLiU"/>
          <w:lang w:eastAsia="zh-TW"/>
        </w:rPr>
      </w:pPr>
      <w:r w:rsidRPr="008F03E5">
        <w:rPr>
          <w:rFonts w:eastAsia="PMingLiU"/>
          <w:lang w:eastAsia="zh-TW"/>
        </w:rPr>
        <w:t>B</w:t>
      </w:r>
      <w:r w:rsidRPr="008F03E5">
        <w:t>u</w:t>
      </w:r>
      <w:r w:rsidRPr="008F03E5">
        <w:rPr>
          <w:rFonts w:eastAsia="PMingLiU"/>
          <w:lang w:eastAsia="zh-TW"/>
        </w:rPr>
        <w:t>yuk</w:t>
      </w:r>
      <w:r w:rsidRPr="008F03E5">
        <w:tab/>
      </w:r>
      <w:r w:rsidRPr="008F03E5">
        <w:rPr>
          <w:rFonts w:eastAsia="PMingLiU"/>
          <w:lang w:eastAsia="zh-TW"/>
        </w:rPr>
        <w:t>B</w:t>
      </w:r>
      <w:r w:rsidRPr="008F03E5">
        <w:t>ú</w:t>
      </w:r>
      <w:r w:rsidRPr="008F03E5">
        <w:rPr>
          <w:rFonts w:eastAsia="PMingLiU"/>
          <w:lang w:eastAsia="zh-TW"/>
        </w:rPr>
        <w:t>yúk</w:t>
      </w:r>
      <w:r w:rsidRPr="008F03E5">
        <w:tab/>
        <w:t>Turkic (</w:t>
      </w:r>
      <w:r w:rsidRPr="008F03E5">
        <w:rPr>
          <w:rFonts w:eastAsia="PMingLiU"/>
          <w:lang w:eastAsia="zh-TW"/>
        </w:rPr>
        <w:t>B</w:t>
      </w:r>
      <w:r w:rsidRPr="008F03E5">
        <w:t>ü</w:t>
      </w:r>
      <w:r w:rsidRPr="008F03E5">
        <w:rPr>
          <w:rFonts w:eastAsia="PMingLiU"/>
          <w:lang w:eastAsia="zh-TW"/>
        </w:rPr>
        <w:t>y</w:t>
      </w:r>
      <w:r w:rsidRPr="008F03E5">
        <w:t>ü</w:t>
      </w:r>
      <w:r w:rsidRPr="008F03E5">
        <w:rPr>
          <w:rFonts w:eastAsia="PMingLiU"/>
          <w:lang w:eastAsia="zh-TW"/>
        </w:rPr>
        <w:t>k), great, big, large, major, grand</w:t>
      </w:r>
    </w:p>
    <w:p w14:paraId="4444B4E0" w14:textId="77777777" w:rsidR="00625A5B" w:rsidRPr="008F03E5" w:rsidRDefault="00625A5B" w:rsidP="00900A82">
      <w:pPr>
        <w:pStyle w:val="Translit"/>
        <w:rPr>
          <w:rFonts w:eastAsia="PMingLiU"/>
          <w:lang w:eastAsia="zh-TW"/>
        </w:rPr>
      </w:pPr>
      <w:r w:rsidRPr="008F03E5">
        <w:rPr>
          <w:rFonts w:eastAsia="PMingLiU"/>
          <w:lang w:eastAsia="zh-TW"/>
        </w:rPr>
        <w:t>B</w:t>
      </w:r>
      <w:r w:rsidRPr="008F03E5">
        <w:t>u</w:t>
      </w:r>
      <w:r w:rsidRPr="008F03E5">
        <w:rPr>
          <w:rFonts w:eastAsia="PMingLiU"/>
          <w:lang w:eastAsia="zh-TW"/>
        </w:rPr>
        <w:t>y</w:t>
      </w:r>
      <w:r w:rsidRPr="008F03E5">
        <w:t>u</w:t>
      </w:r>
      <w:r w:rsidRPr="008F03E5">
        <w:rPr>
          <w:rFonts w:eastAsia="PMingLiU"/>
          <w:lang w:eastAsia="zh-TW"/>
        </w:rPr>
        <w:t>k-</w:t>
      </w:r>
      <w:r w:rsidRPr="008F03E5">
        <w:t>A</w:t>
      </w:r>
      <w:r w:rsidRPr="008F03E5">
        <w:rPr>
          <w:rFonts w:eastAsia="PMingLiU"/>
          <w:lang w:eastAsia="zh-TW"/>
        </w:rPr>
        <w:t>q</w:t>
      </w:r>
      <w:r w:rsidRPr="008F03E5">
        <w:t>a</w:t>
      </w:r>
      <w:r w:rsidRPr="008F03E5">
        <w:tab/>
      </w:r>
      <w:r w:rsidRPr="008F03E5">
        <w:rPr>
          <w:rFonts w:eastAsia="PMingLiU"/>
          <w:lang w:eastAsia="zh-TW"/>
        </w:rPr>
        <w:t>B</w:t>
      </w:r>
      <w:r w:rsidRPr="008F03E5">
        <w:t>ú</w:t>
      </w:r>
      <w:r w:rsidRPr="008F03E5">
        <w:rPr>
          <w:rFonts w:eastAsia="PMingLiU"/>
          <w:lang w:eastAsia="zh-TW"/>
        </w:rPr>
        <w:t>y</w:t>
      </w:r>
      <w:r w:rsidRPr="008F03E5">
        <w:t>ú</w:t>
      </w:r>
      <w:r w:rsidRPr="008F03E5">
        <w:rPr>
          <w:rFonts w:eastAsia="PMingLiU"/>
          <w:lang w:eastAsia="zh-TW"/>
        </w:rPr>
        <w:t>k-</w:t>
      </w:r>
      <w:r w:rsidRPr="008F03E5">
        <w:t>Á</w:t>
      </w:r>
      <w:r w:rsidRPr="008F03E5">
        <w:rPr>
          <w:rFonts w:eastAsia="PMingLiU"/>
          <w:lang w:eastAsia="zh-TW"/>
        </w:rPr>
        <w:t>q</w:t>
      </w:r>
      <w:r w:rsidRPr="008F03E5">
        <w:t>á</w:t>
      </w:r>
      <w:r w:rsidRPr="008F03E5">
        <w:tab/>
      </w:r>
    </w:p>
    <w:p w14:paraId="1ADBD79C" w14:textId="77777777" w:rsidR="00625A5B" w:rsidRPr="008F03E5" w:rsidRDefault="00625A5B" w:rsidP="00220AF6">
      <w:pPr>
        <w:pStyle w:val="Translit"/>
      </w:pPr>
      <w:r w:rsidRPr="008F03E5">
        <w:t>Buyuk-Chakmachih</w:t>
      </w:r>
      <w:r w:rsidRPr="008F03E5">
        <w:tab/>
        <w:t>Búyúk-</w:t>
      </w:r>
      <w:r w:rsidRPr="008F03E5">
        <w:rPr>
          <w:u w:val="single"/>
        </w:rPr>
        <w:t>Ch</w:t>
      </w:r>
      <w:r w:rsidRPr="008F03E5">
        <w:t>akma</w:t>
      </w:r>
      <w:r w:rsidRPr="008F03E5">
        <w:rPr>
          <w:u w:val="single"/>
        </w:rPr>
        <w:t>ch</w:t>
      </w:r>
      <w:r w:rsidRPr="008F03E5">
        <w:t>ih</w:t>
      </w:r>
      <w:r w:rsidRPr="008F03E5">
        <w:tab/>
        <w:t xml:space="preserve">Büyükçekmece, a district and municipality of Istanbul </w:t>
      </w:r>
      <w:r>
        <w:t xml:space="preserve">Province </w:t>
      </w:r>
      <w:r w:rsidRPr="008F03E5">
        <w:t xml:space="preserve">(abour 30 km west of the city), on the European side </w:t>
      </w:r>
      <w:r>
        <w:t xml:space="preserve">of the </w:t>
      </w:r>
      <w:r w:rsidRPr="008F03E5">
        <w:t>Sea of Marmara coast.  It is west of Küçükçekmece</w:t>
      </w:r>
      <w:r>
        <w:t>.</w:t>
      </w:r>
    </w:p>
    <w:p w14:paraId="7EEB342A" w14:textId="77777777" w:rsidR="00625A5B" w:rsidRPr="008F03E5" w:rsidRDefault="00625A5B" w:rsidP="00C76476">
      <w:pPr>
        <w:pStyle w:val="Translit"/>
        <w:rPr>
          <w:rFonts w:eastAsia="PMingLiU"/>
          <w:lang w:eastAsia="zh-TW"/>
        </w:rPr>
      </w:pPr>
      <w:r w:rsidRPr="008F03E5">
        <w:rPr>
          <w:rFonts w:eastAsia="PMingLiU"/>
          <w:lang w:eastAsia="zh-TW"/>
        </w:rPr>
        <w:t>Buzurg-Bann</w:t>
      </w:r>
      <w:r w:rsidRPr="008F03E5">
        <w:t>a</w:t>
      </w:r>
      <w:r w:rsidRPr="008F03E5">
        <w:tab/>
      </w:r>
      <w:r w:rsidRPr="008F03E5">
        <w:rPr>
          <w:rFonts w:eastAsia="PMingLiU"/>
          <w:lang w:eastAsia="zh-TW"/>
        </w:rPr>
        <w:t>Buzurg-Bann</w:t>
      </w:r>
      <w:r w:rsidRPr="008F03E5">
        <w:t>á</w:t>
      </w:r>
      <w:r w:rsidRPr="008F03E5">
        <w:tab/>
        <w:t xml:space="preserve">Ustád Áqá </w:t>
      </w:r>
      <w:r w:rsidRPr="008F03E5">
        <w:rPr>
          <w:rFonts w:eastAsia="PMingLiU"/>
          <w:lang w:eastAsia="zh-TW"/>
        </w:rPr>
        <w:t>Buzurg-Bann</w:t>
      </w:r>
      <w:r w:rsidRPr="008F03E5">
        <w:t>á</w:t>
      </w:r>
    </w:p>
    <w:p w14:paraId="203D2DD0" w14:textId="77777777" w:rsidR="00625A5B" w:rsidRPr="008F03E5" w:rsidRDefault="00625A5B" w:rsidP="0033445C">
      <w:pPr>
        <w:pStyle w:val="Translit"/>
      </w:pPr>
      <w:r w:rsidRPr="00D45A23">
        <w:rPr>
          <w:lang w:val="de-DE"/>
        </w:rPr>
        <w:t>Buzurg-Mihr</w:t>
      </w:r>
      <w:r w:rsidRPr="00D45A23">
        <w:rPr>
          <w:lang w:val="de-DE"/>
        </w:rPr>
        <w:tab/>
        <w:t>Buzurg-Mihr</w:t>
      </w:r>
      <w:r w:rsidRPr="00D45A23">
        <w:rPr>
          <w:lang w:val="de-DE"/>
        </w:rPr>
        <w:tab/>
        <w:t xml:space="preserve">Pers. </w:t>
      </w:r>
      <w:r w:rsidRPr="008F03E5">
        <w:t>“large sun”.  Buzurg-Mihr-i-Bú</w:t>
      </w:r>
      <w:r w:rsidRPr="008F03E5">
        <w:rPr>
          <w:u w:val="single"/>
        </w:rPr>
        <w:t>kh</w:t>
      </w:r>
      <w:r w:rsidRPr="008F03E5">
        <w:t xml:space="preserve">tagán was an Iranian sage and dignitary, who served as minister of the Sasanian king Kavad </w:t>
      </w:r>
      <w:r w:rsidRPr="008F03E5">
        <w:rPr>
          <w:sz w:val="16"/>
          <w:szCs w:val="16"/>
        </w:rPr>
        <w:t>I</w:t>
      </w:r>
      <w:r w:rsidRPr="008F03E5">
        <w:t xml:space="preserve"> (r. 498–531), and the latter’s son and successor </w:t>
      </w:r>
      <w:r w:rsidRPr="008F03E5">
        <w:rPr>
          <w:u w:val="single"/>
        </w:rPr>
        <w:t>Kh</w:t>
      </w:r>
      <w:r w:rsidRPr="008F03E5">
        <w:t xml:space="preserve">usraw </w:t>
      </w:r>
      <w:r w:rsidRPr="008F03E5">
        <w:rPr>
          <w:sz w:val="16"/>
          <w:szCs w:val="16"/>
        </w:rPr>
        <w:t>I</w:t>
      </w:r>
      <w:r w:rsidRPr="008F03E5">
        <w:t xml:space="preserve"> (r. 531–579).  He also served as a military commander under </w:t>
      </w:r>
      <w:r w:rsidRPr="008F03E5">
        <w:rPr>
          <w:u w:val="single"/>
        </w:rPr>
        <w:t>Kh</w:t>
      </w:r>
      <w:r w:rsidRPr="008F03E5">
        <w:t xml:space="preserve">usraw </w:t>
      </w:r>
      <w:r w:rsidRPr="008F03E5">
        <w:rPr>
          <w:sz w:val="16"/>
          <w:szCs w:val="16"/>
        </w:rPr>
        <w:t>I</w:t>
      </w:r>
      <w:r w:rsidRPr="008F03E5">
        <w:t xml:space="preserve"> and his successor Hurmúzd </w:t>
      </w:r>
      <w:r w:rsidRPr="008F03E5">
        <w:rPr>
          <w:sz w:val="16"/>
          <w:szCs w:val="16"/>
        </w:rPr>
        <w:t>IV</w:t>
      </w:r>
      <w:r w:rsidRPr="008F03E5">
        <w:t xml:space="preserve"> (r. 579–590).  He was regarded as a man of “exceptional wisdom and sage counsels” and later became a characterisation of the expression.</w:t>
      </w:r>
    </w:p>
    <w:p w14:paraId="66135675" w14:textId="77777777" w:rsidR="00625A5B" w:rsidRPr="008F03E5" w:rsidRDefault="00625A5B" w:rsidP="00C76476">
      <w:pPr>
        <w:pStyle w:val="Translit"/>
      </w:pPr>
      <w:r w:rsidRPr="008F03E5">
        <w:t>Buzurj, Buzurg</w:t>
      </w:r>
      <w:r w:rsidRPr="008F03E5">
        <w:tab/>
        <w:t>Buzurj, Pers. Buzurg</w:t>
      </w:r>
      <w:r w:rsidRPr="008F03E5">
        <w:tab/>
        <w:t xml:space="preserve">great, grand.  The title given by Fatḥ-‘Alí </w:t>
      </w:r>
      <w:r w:rsidRPr="008F03E5">
        <w:rPr>
          <w:u w:val="single"/>
        </w:rPr>
        <w:t>Sh</w:t>
      </w:r>
      <w:r w:rsidRPr="008F03E5">
        <w:t xml:space="preserve">áh to Mírzá ‘Abbás-i-Núrí (better known as Mírzá Buzurg-i-Vazír of Núr, hence also </w:t>
      </w:r>
      <w:r w:rsidRPr="008F03E5">
        <w:rPr>
          <w:rFonts w:eastAsia="PMingLiU"/>
          <w:lang w:eastAsia="zh-TW"/>
        </w:rPr>
        <w:t>Buzurg-i-N</w:t>
      </w:r>
      <w:r w:rsidRPr="008F03E5">
        <w:t>ú</w:t>
      </w:r>
      <w:r w:rsidRPr="008F03E5">
        <w:rPr>
          <w:rFonts w:eastAsia="PMingLiU"/>
          <w:lang w:eastAsia="zh-TW"/>
        </w:rPr>
        <w:t>r</w:t>
      </w:r>
      <w:r w:rsidRPr="008F03E5">
        <w:t xml:space="preserve">í).  Bahá’u’lláh was his third child by second wife, </w:t>
      </w:r>
      <w:r w:rsidRPr="008F03E5">
        <w:rPr>
          <w:u w:val="single"/>
        </w:rPr>
        <w:t>Kh</w:t>
      </w:r>
      <w:r w:rsidRPr="008F03E5">
        <w:t xml:space="preserve">adíjih </w:t>
      </w:r>
      <w:r w:rsidRPr="008F03E5">
        <w:rPr>
          <w:u w:val="single"/>
        </w:rPr>
        <w:t>Kh</w:t>
      </w:r>
      <w:r w:rsidRPr="008F03E5">
        <w:t>ánum.</w:t>
      </w:r>
    </w:p>
    <w:p w14:paraId="0EE8B4CD" w14:textId="77777777" w:rsidR="00625A5B" w:rsidRPr="008F03E5" w:rsidRDefault="00625A5B" w:rsidP="000B145E">
      <w:pPr>
        <w:pStyle w:val="Translit"/>
      </w:pPr>
      <w:r w:rsidRPr="008F03E5">
        <w:t>Buzurjzada, Buzurgzada</w:t>
      </w:r>
      <w:r w:rsidRPr="008F03E5">
        <w:tab/>
        <w:t>Buzurjzáda, Pers. Buzurgzáda</w:t>
      </w:r>
      <w:r w:rsidRPr="008F03E5">
        <w:tab/>
        <w:t>(Buzurgzadeh) Bozorgadeh Kahn</w:t>
      </w:r>
    </w:p>
    <w:p w14:paraId="106CDE56" w14:textId="77777777" w:rsidR="00625A5B" w:rsidRPr="00077779" w:rsidRDefault="00625A5B" w:rsidP="0024326A">
      <w:pPr>
        <w:pStyle w:val="Myhead"/>
      </w:pPr>
      <w:bookmarkStart w:id="59" w:name="C"/>
      <w:r w:rsidRPr="00077779">
        <w:t>C</w:t>
      </w:r>
      <w:bookmarkEnd w:id="59"/>
    </w:p>
    <w:p w14:paraId="3B9A561F" w14:textId="77777777" w:rsidR="00625A5B" w:rsidRPr="008F03E5" w:rsidRDefault="00625A5B" w:rsidP="00911037">
      <w:pPr>
        <w:pStyle w:val="Translit"/>
      </w:pPr>
      <w:r w:rsidRPr="00077779">
        <w:t>Caelum, Cælum, Coelo, Cœlo</w:t>
      </w:r>
      <w:r w:rsidRPr="00077779">
        <w:tab/>
      </w:r>
      <w:r w:rsidRPr="00077779">
        <w:rPr>
          <w:i/>
          <w:iCs/>
        </w:rPr>
        <w:t>ex cœlo</w:t>
      </w:r>
      <w:r w:rsidRPr="00077779">
        <w:tab/>
        <w:t xml:space="preserve">Latin.  </w:t>
      </w:r>
      <w:r w:rsidRPr="008F03E5">
        <w:rPr>
          <w:i/>
          <w:iCs/>
        </w:rPr>
        <w:t>cælum</w:t>
      </w:r>
      <w:r w:rsidRPr="008F03E5">
        <w:t xml:space="preserve"> is sky, heaven.  </w:t>
      </w:r>
      <w:r w:rsidRPr="008F03E5">
        <w:rPr>
          <w:i/>
          <w:iCs/>
        </w:rPr>
        <w:t>Cœlum</w:t>
      </w:r>
      <w:r w:rsidRPr="008F03E5">
        <w:t xml:space="preserve"> is a variation of </w:t>
      </w:r>
      <w:r w:rsidRPr="008F03E5">
        <w:rPr>
          <w:i/>
          <w:iCs/>
        </w:rPr>
        <w:t>cælum</w:t>
      </w:r>
      <w:r w:rsidRPr="008F03E5">
        <w:t xml:space="preserve">.  Hence, </w:t>
      </w:r>
      <w:r w:rsidRPr="008F03E5">
        <w:rPr>
          <w:i/>
          <w:iCs/>
        </w:rPr>
        <w:t>ex cœlo</w:t>
      </w:r>
      <w:r w:rsidRPr="008F03E5">
        <w:t xml:space="preserve"> is “from the sky” or “from heaven”.  Compare with </w:t>
      </w:r>
      <w:r w:rsidRPr="008F03E5">
        <w:rPr>
          <w:i/>
          <w:iCs/>
        </w:rPr>
        <w:t>ex cathedra</w:t>
      </w:r>
      <w:r w:rsidRPr="008F03E5">
        <w:t xml:space="preserve"> “from the chair”, with the full authority of office.  The Catholic pope is said to occupy the “chair of Peter”.  Refer to </w:t>
      </w:r>
      <w:r w:rsidRPr="008F03E5">
        <w:rPr>
          <w:i/>
          <w:iCs/>
        </w:rPr>
        <w:t>The heart of the Gospel</w:t>
      </w:r>
      <w:r w:rsidRPr="008F03E5">
        <w:t>, p. 66.</w:t>
      </w:r>
    </w:p>
    <w:p w14:paraId="2AE6A4AD" w14:textId="77777777" w:rsidR="00625A5B" w:rsidRPr="008F03E5" w:rsidRDefault="00625A5B" w:rsidP="001D3982">
      <w:pPr>
        <w:pStyle w:val="Myhead"/>
        <w:rPr>
          <w:u w:val="single"/>
        </w:rPr>
      </w:pPr>
      <w:r w:rsidRPr="008F03E5">
        <w:rPr>
          <w:u w:val="single"/>
        </w:rPr>
        <w:t>Ch</w:t>
      </w:r>
      <w:bookmarkStart w:id="60" w:name="Ch"/>
      <w:bookmarkEnd w:id="60"/>
    </w:p>
    <w:p w14:paraId="6D484A46" w14:textId="77777777" w:rsidR="00625A5B" w:rsidRPr="008F03E5" w:rsidRDefault="00625A5B" w:rsidP="007E772B">
      <w:pPr>
        <w:pStyle w:val="Translit"/>
      </w:pPr>
      <w:r w:rsidRPr="008F03E5">
        <w:t>Chadar, Chadur (Chador)</w:t>
      </w:r>
      <w:r w:rsidRPr="008F03E5">
        <w:tab/>
      </w:r>
      <w:r w:rsidRPr="008F03E5">
        <w:rPr>
          <w:u w:val="single"/>
        </w:rPr>
        <w:t>Ch</w:t>
      </w:r>
      <w:r w:rsidRPr="008F03E5">
        <w:t xml:space="preserve">ádar, </w:t>
      </w:r>
      <w:r w:rsidRPr="008F03E5">
        <w:rPr>
          <w:u w:val="single"/>
        </w:rPr>
        <w:t>Ch</w:t>
      </w:r>
      <w:r w:rsidRPr="008F03E5">
        <w:t>ádur</w:t>
      </w:r>
      <w:r w:rsidRPr="008F03E5">
        <w:tab/>
        <w:t>Pers. A tent, pavilion; a mantle, scarf; a veil; a sheet; a shroud, winding-sheet; a table-cloth.  Shawl or a long, loose cloak worn over other garments by Muslim women.</w:t>
      </w:r>
    </w:p>
    <w:p w14:paraId="09565FEF" w14:textId="77777777" w:rsidR="00625A5B" w:rsidRPr="008F03E5" w:rsidRDefault="00625A5B" w:rsidP="007E772B">
      <w:pPr>
        <w:pStyle w:val="Translit"/>
      </w:pPr>
      <w:r w:rsidRPr="008F03E5">
        <w:rPr>
          <w:rFonts w:eastAsia="PMingLiU"/>
          <w:lang w:eastAsia="zh-TW"/>
        </w:rPr>
        <w:t>Chah</w:t>
      </w:r>
      <w:r w:rsidRPr="008F03E5">
        <w:rPr>
          <w:rFonts w:eastAsia="PMingLiU"/>
          <w:lang w:eastAsia="zh-TW"/>
        </w:rPr>
        <w:tab/>
      </w:r>
      <w:r w:rsidRPr="008F03E5">
        <w:rPr>
          <w:rFonts w:eastAsia="PMingLiU"/>
          <w:u w:val="single"/>
          <w:lang w:eastAsia="zh-TW"/>
        </w:rPr>
        <w:t>Ch</w:t>
      </w:r>
      <w:r w:rsidRPr="008F03E5">
        <w:t>á</w:t>
      </w:r>
      <w:r w:rsidRPr="008F03E5">
        <w:rPr>
          <w:rFonts w:eastAsia="PMingLiU"/>
          <w:lang w:eastAsia="zh-TW"/>
        </w:rPr>
        <w:t>h</w:t>
      </w:r>
      <w:r w:rsidRPr="008F03E5">
        <w:rPr>
          <w:rFonts w:eastAsia="PMingLiU"/>
          <w:lang w:eastAsia="zh-TW"/>
        </w:rPr>
        <w:tab/>
        <w:t>Pers. a</w:t>
      </w:r>
      <w:r w:rsidRPr="008F03E5">
        <w:t xml:space="preserve"> well, pit; a prison, dungeon; a snare</w:t>
      </w:r>
    </w:p>
    <w:p w14:paraId="51AB1B15" w14:textId="77777777" w:rsidR="00625A5B" w:rsidRPr="008F03E5" w:rsidRDefault="00625A5B" w:rsidP="001F7533">
      <w:pPr>
        <w:pStyle w:val="Translit"/>
      </w:pPr>
      <w:r w:rsidRPr="008F03E5">
        <w:t>Chahar (Char</w:t>
      </w:r>
      <w:r>
        <w:t>, Chihar</w:t>
      </w:r>
      <w:r w:rsidRPr="008F03E5">
        <w:t>), Chahar juy</w:t>
      </w:r>
      <w:r w:rsidRPr="008F03E5">
        <w:tab/>
      </w:r>
      <w:r w:rsidRPr="008F03E5">
        <w:rPr>
          <w:u w:val="single"/>
        </w:rPr>
        <w:t>Ch</w:t>
      </w:r>
      <w:r w:rsidRPr="008F03E5">
        <w:t>ahár</w:t>
      </w:r>
      <w:r w:rsidRPr="008F03E5">
        <w:tab/>
        <w:t xml:space="preserve">Pers. four, a crab.  Contraction </w:t>
      </w:r>
      <w:r w:rsidRPr="008F03E5">
        <w:rPr>
          <w:u w:val="single"/>
        </w:rPr>
        <w:t>ch</w:t>
      </w:r>
      <w:r w:rsidRPr="008F03E5">
        <w:t xml:space="preserve">ár.  </w:t>
      </w:r>
      <w:r w:rsidRPr="008F03E5">
        <w:rPr>
          <w:u w:val="single"/>
        </w:rPr>
        <w:t>Ch</w:t>
      </w:r>
      <w:r w:rsidRPr="008F03E5">
        <w:t xml:space="preserve">ahár júy, the rivers of Paradise; the elements; name of a province in </w:t>
      </w:r>
      <w:r w:rsidRPr="008F03E5">
        <w:rPr>
          <w:u w:val="single"/>
        </w:rPr>
        <w:t>Kh</w:t>
      </w:r>
      <w:r w:rsidRPr="008F03E5">
        <w:t>urásán.</w:t>
      </w:r>
    </w:p>
    <w:p w14:paraId="2C3AC481" w14:textId="77777777" w:rsidR="00625A5B" w:rsidRPr="008F03E5" w:rsidRDefault="00625A5B" w:rsidP="008B65B0">
      <w:pPr>
        <w:pStyle w:val="Translit"/>
      </w:pPr>
      <w:r w:rsidRPr="008F03E5">
        <w:t>Chahar Bagh, Charbagh</w:t>
      </w:r>
      <w:r>
        <w:t xml:space="preserve"> (</w:t>
      </w:r>
      <w:r w:rsidRPr="008F03E5">
        <w:t>Ch</w:t>
      </w:r>
      <w:r>
        <w:t>i</w:t>
      </w:r>
      <w:r w:rsidRPr="008F03E5">
        <w:t>har Bagh</w:t>
      </w:r>
      <w:r>
        <w:t>)</w:t>
      </w:r>
      <w:r w:rsidRPr="008F03E5">
        <w:tab/>
      </w:r>
      <w:r w:rsidRPr="008F03E5">
        <w:rPr>
          <w:u w:val="single"/>
        </w:rPr>
        <w:t>Ch</w:t>
      </w:r>
      <w:r w:rsidRPr="008F03E5">
        <w:t>ahár Bá</w:t>
      </w:r>
      <w:r w:rsidRPr="008F03E5">
        <w:rPr>
          <w:u w:val="single"/>
        </w:rPr>
        <w:t>gh</w:t>
      </w:r>
      <w:r w:rsidRPr="008F03E5">
        <w:tab/>
        <w:t>Pers. “four gardens”, a Persian, Indo-Persian, and Islamic quadrilateral garden layout based on the four gardens of Paradise mentioned in the Qur’án.  The quadrilateral garden is divided by walkways or flowing water into four smaller parts.</w:t>
      </w:r>
    </w:p>
    <w:p w14:paraId="65915477" w14:textId="77777777" w:rsidR="00625A5B" w:rsidRDefault="00625A5B" w:rsidP="00A459B4">
      <w:pPr>
        <w:pStyle w:val="Translit"/>
      </w:pPr>
      <w:r>
        <w:t>Chahar Sham’ Pish</w:t>
      </w:r>
      <w:r>
        <w:tab/>
      </w:r>
      <w:r w:rsidRPr="008A106F">
        <w:rPr>
          <w:u w:val="single"/>
        </w:rPr>
        <w:t>Ch</w:t>
      </w:r>
      <w:r w:rsidRPr="0090347D">
        <w:t>ah</w:t>
      </w:r>
      <w:r w:rsidRPr="00417520">
        <w:t>á</w:t>
      </w:r>
      <w:r w:rsidRPr="0090347D">
        <w:t>r</w:t>
      </w:r>
      <w:r>
        <w:t xml:space="preserve"> </w:t>
      </w:r>
      <w:r w:rsidRPr="00D61192">
        <w:rPr>
          <w:u w:val="single"/>
        </w:rPr>
        <w:t>Sh</w:t>
      </w:r>
      <w:r w:rsidRPr="0090347D">
        <w:t>am</w:t>
      </w:r>
      <w:r>
        <w:t>’ P</w:t>
      </w:r>
      <w:r w:rsidRPr="00417520">
        <w:t>í</w:t>
      </w:r>
      <w:r w:rsidRPr="00D61192">
        <w:rPr>
          <w:u w:val="single"/>
        </w:rPr>
        <w:t>sh</w:t>
      </w:r>
      <w:r w:rsidRPr="008A106F">
        <w:tab/>
      </w:r>
      <w:r>
        <w:t>“four candles ahead” or the time to burn four candles.  A shrine (</w:t>
      </w:r>
      <w:r w:rsidRPr="0090347D">
        <w:t>36.553683, 52.6859</w:t>
      </w:r>
      <w:r>
        <w:t>30) in Babol, a former suburb and the area of the Á</w:t>
      </w:r>
      <w:r w:rsidRPr="008A6FB5">
        <w:t>q-r</w:t>
      </w:r>
      <w:r>
        <w:t>ú</w:t>
      </w:r>
      <w:r w:rsidRPr="008A6FB5">
        <w:t>d</w:t>
      </w:r>
      <w:r>
        <w:t xml:space="preserve"> village where Qudd</w:t>
      </w:r>
      <w:r w:rsidRPr="008A106F">
        <w:t>ú</w:t>
      </w:r>
      <w:r>
        <w:t>s was born.</w:t>
      </w:r>
    </w:p>
    <w:p w14:paraId="13623DA3" w14:textId="77777777" w:rsidR="00625A5B" w:rsidRPr="008F03E5" w:rsidRDefault="00625A5B" w:rsidP="008B65B0">
      <w:pPr>
        <w:pStyle w:val="Translit"/>
      </w:pPr>
      <w:r w:rsidRPr="008F03E5">
        <w:t>Ch</w:t>
      </w:r>
      <w:r>
        <w:t>a</w:t>
      </w:r>
      <w:r w:rsidRPr="008F03E5">
        <w:t>har</w:t>
      </w:r>
      <w:r>
        <w:t xml:space="preserve"> </w:t>
      </w:r>
      <w:r w:rsidRPr="008F03E5">
        <w:t xml:space="preserve">Vadi </w:t>
      </w:r>
      <w:r>
        <w:t>(</w:t>
      </w:r>
      <w:r w:rsidRPr="008F03E5">
        <w:t>Chihar-Vadi</w:t>
      </w:r>
      <w:r>
        <w:t>)</w:t>
      </w:r>
      <w:r w:rsidRPr="008F03E5">
        <w:tab/>
      </w:r>
      <w:r w:rsidRPr="008F03E5">
        <w:rPr>
          <w:u w:val="single"/>
        </w:rPr>
        <w:t>Ch</w:t>
      </w:r>
      <w:r>
        <w:t>a</w:t>
      </w:r>
      <w:r w:rsidRPr="008F03E5">
        <w:t>hár</w:t>
      </w:r>
      <w:r>
        <w:t xml:space="preserve"> </w:t>
      </w:r>
      <w:r w:rsidRPr="008F03E5">
        <w:t>Vádí</w:t>
      </w:r>
      <w:r w:rsidRPr="008F03E5">
        <w:tab/>
        <w:t xml:space="preserve">“Four Valleys” by Bahá’u’lláh.  Addressed to </w:t>
      </w:r>
      <w:r w:rsidRPr="008F03E5">
        <w:rPr>
          <w:u w:val="single"/>
        </w:rPr>
        <w:t>Sh</w:t>
      </w:r>
      <w:r w:rsidRPr="008F03E5">
        <w:t>ay</w:t>
      </w:r>
      <w:r w:rsidRPr="008F03E5">
        <w:rPr>
          <w:u w:val="single"/>
        </w:rPr>
        <w:t>kh</w:t>
      </w:r>
      <w:r w:rsidRPr="008F03E5">
        <w:t xml:space="preserve"> ‘Abdu’r-Raḥmán-i-Karkútí.  See </w:t>
      </w:r>
      <w:r w:rsidRPr="008F03E5">
        <w:rPr>
          <w:u w:val="single"/>
        </w:rPr>
        <w:t>ch</w:t>
      </w:r>
      <w:r w:rsidRPr="008F03E5">
        <w:t>ahár and wádí</w:t>
      </w:r>
    </w:p>
    <w:p w14:paraId="3AE358FA" w14:textId="77777777" w:rsidR="00625A5B" w:rsidRPr="008F03E5" w:rsidRDefault="00625A5B" w:rsidP="00B623A9">
      <w:pPr>
        <w:pStyle w:val="Translit"/>
      </w:pPr>
      <w:r w:rsidRPr="008F03E5">
        <w:t>Chahardar</w:t>
      </w:r>
      <w:r w:rsidRPr="008F03E5">
        <w:tab/>
      </w:r>
      <w:r w:rsidRPr="008F03E5">
        <w:rPr>
          <w:u w:val="single"/>
        </w:rPr>
        <w:t>Ch</w:t>
      </w:r>
      <w:r w:rsidRPr="008F03E5">
        <w:t>ahárdah</w:t>
      </w:r>
      <w:r w:rsidRPr="008F03E5">
        <w:tab/>
        <w:t>Pers. fourteen</w:t>
      </w:r>
    </w:p>
    <w:p w14:paraId="3ED94297" w14:textId="77777777" w:rsidR="00625A5B" w:rsidRPr="008F03E5" w:rsidRDefault="00625A5B" w:rsidP="00EF2156">
      <w:pPr>
        <w:pStyle w:val="Translit"/>
      </w:pPr>
      <w:r w:rsidRPr="008F03E5">
        <w:t>Chahishk</w:t>
      </w:r>
      <w:r w:rsidRPr="008F03E5">
        <w:tab/>
      </w:r>
      <w:r w:rsidRPr="008F03E5">
        <w:rPr>
          <w:u w:val="single"/>
        </w:rPr>
        <w:t>Ch</w:t>
      </w:r>
      <w:r w:rsidRPr="008F03E5">
        <w:t>áhi</w:t>
      </w:r>
      <w:r w:rsidRPr="008F03E5">
        <w:rPr>
          <w:u w:val="single"/>
        </w:rPr>
        <w:t>sh</w:t>
      </w:r>
      <w:r w:rsidRPr="008F03E5">
        <w:t>k</w:t>
      </w:r>
      <w:r w:rsidRPr="008F03E5">
        <w:tab/>
        <w:t xml:space="preserve">Pers. village on the </w:t>
      </w:r>
      <w:r w:rsidRPr="008F03E5">
        <w:rPr>
          <w:sz w:val="16"/>
          <w:szCs w:val="16"/>
        </w:rPr>
        <w:t>NW</w:t>
      </w:r>
      <w:r w:rsidRPr="008F03E5">
        <w:t xml:space="preserve"> side of Ma</w:t>
      </w:r>
      <w:r w:rsidRPr="008F03E5">
        <w:rPr>
          <w:u w:val="single"/>
        </w:rPr>
        <w:t>sh</w:t>
      </w:r>
      <w:r w:rsidRPr="008F03E5">
        <w:t>had</w:t>
      </w:r>
    </w:p>
    <w:p w14:paraId="2FDC778B" w14:textId="77777777" w:rsidR="00625A5B" w:rsidRPr="008F03E5" w:rsidRDefault="00625A5B" w:rsidP="00CF0A5A">
      <w:pPr>
        <w:pStyle w:val="Translit"/>
        <w:rPr>
          <w:rFonts w:eastAsia="PMingLiU"/>
          <w:lang w:eastAsia="zh-TW"/>
        </w:rPr>
      </w:pPr>
      <w:r w:rsidRPr="004279C3">
        <w:rPr>
          <w:rFonts w:eastAsia="PMingLiU"/>
          <w:lang w:eastAsia="zh-TW"/>
        </w:rPr>
        <w:t>Ch</w:t>
      </w:r>
      <w:r w:rsidRPr="004279C3">
        <w:t>a</w:t>
      </w:r>
      <w:r w:rsidRPr="004279C3">
        <w:rPr>
          <w:rFonts w:eastAsia="PMingLiU"/>
          <w:lang w:eastAsia="zh-TW"/>
        </w:rPr>
        <w:t>h-Q</w:t>
      </w:r>
      <w:r w:rsidRPr="004279C3">
        <w:t>i</w:t>
      </w:r>
      <w:r w:rsidRPr="004279C3">
        <w:rPr>
          <w:rFonts w:eastAsia="PMingLiU"/>
          <w:lang w:eastAsia="zh-TW"/>
        </w:rPr>
        <w:t>l</w:t>
      </w:r>
      <w:r w:rsidRPr="004279C3">
        <w:t>a</w:t>
      </w:r>
      <w:r w:rsidRPr="004279C3">
        <w:rPr>
          <w:rFonts w:eastAsia="PMingLiU"/>
          <w:lang w:eastAsia="zh-TW"/>
        </w:rPr>
        <w:t>n</w:t>
      </w:r>
      <w:r w:rsidRPr="004279C3">
        <w:tab/>
      </w:r>
      <w:r w:rsidRPr="004279C3">
        <w:rPr>
          <w:u w:val="single"/>
        </w:rPr>
        <w:t>Ch</w:t>
      </w:r>
      <w:r w:rsidRPr="004279C3">
        <w:t>á</w:t>
      </w:r>
      <w:r w:rsidRPr="004279C3">
        <w:rPr>
          <w:rFonts w:eastAsia="PMingLiU"/>
          <w:lang w:eastAsia="zh-TW"/>
        </w:rPr>
        <w:t>h-Q</w:t>
      </w:r>
      <w:r w:rsidRPr="004279C3">
        <w:t>í</w:t>
      </w:r>
      <w:r w:rsidRPr="004279C3">
        <w:rPr>
          <w:rFonts w:eastAsia="PMingLiU"/>
          <w:lang w:eastAsia="zh-TW"/>
        </w:rPr>
        <w:t>l</w:t>
      </w:r>
      <w:r w:rsidRPr="004279C3">
        <w:t>á</w:t>
      </w:r>
      <w:r w:rsidRPr="004279C3">
        <w:rPr>
          <w:rFonts w:eastAsia="PMingLiU"/>
          <w:lang w:eastAsia="zh-TW"/>
        </w:rPr>
        <w:t>n</w:t>
      </w:r>
      <w:r w:rsidRPr="004279C3">
        <w:tab/>
        <w:t>locality, near Kirmán</w:t>
      </w:r>
      <w:r w:rsidRPr="004279C3">
        <w:rPr>
          <w:u w:val="single"/>
        </w:rPr>
        <w:t>sh</w:t>
      </w:r>
      <w:r w:rsidRPr="004279C3">
        <w:t xml:space="preserve">áh.  Mentioned in </w:t>
      </w:r>
      <w:r w:rsidRPr="004279C3">
        <w:rPr>
          <w:sz w:val="16"/>
          <w:szCs w:val="16"/>
        </w:rPr>
        <w:t>DB</w:t>
      </w:r>
      <w:r w:rsidRPr="004279C3">
        <w:t xml:space="preserve"> p. 13.</w:t>
      </w:r>
    </w:p>
    <w:p w14:paraId="37E2DD6C" w14:textId="77777777" w:rsidR="00625A5B" w:rsidRPr="00EF05A1" w:rsidRDefault="00625A5B" w:rsidP="00EF05A1">
      <w:pPr>
        <w:pStyle w:val="Translit"/>
        <w:rPr>
          <w:lang w:val="en-AU"/>
        </w:rPr>
      </w:pPr>
      <w:r w:rsidRPr="00EF05A1">
        <w:rPr>
          <w:lang w:val="en-AU"/>
        </w:rPr>
        <w:t>Chal</w:t>
      </w:r>
      <w:r w:rsidRPr="00EF05A1">
        <w:rPr>
          <w:lang w:val="en-AU"/>
        </w:rPr>
        <w:tab/>
      </w:r>
      <w:r w:rsidRPr="00EF05A1">
        <w:rPr>
          <w:u w:val="single"/>
          <w:lang w:val="en-AU"/>
        </w:rPr>
        <w:t>Ch</w:t>
      </w:r>
      <w:r w:rsidRPr="00EF05A1">
        <w:rPr>
          <w:lang w:val="en-AU"/>
        </w:rPr>
        <w:t>ál</w:t>
      </w:r>
      <w:r w:rsidRPr="00EF05A1">
        <w:rPr>
          <w:lang w:val="en-AU"/>
        </w:rPr>
        <w:tab/>
        <w:t xml:space="preserve">Pers. </w:t>
      </w:r>
      <w:r w:rsidRPr="00AF4D34">
        <w:rPr>
          <w:rFonts w:eastAsia="Times New Roman"/>
        </w:rPr>
        <w:t>a hole wherein one may stand upright without being buried</w:t>
      </w:r>
      <w:r>
        <w:rPr>
          <w:rFonts w:eastAsia="Times New Roman"/>
        </w:rPr>
        <w:t xml:space="preserve">, </w:t>
      </w:r>
      <w:r w:rsidRPr="00EF05A1">
        <w:rPr>
          <w:lang w:val="en-AU"/>
        </w:rPr>
        <w:t>pit, cavern, trench</w:t>
      </w:r>
    </w:p>
    <w:p w14:paraId="15554E7B" w14:textId="77777777" w:rsidR="00625A5B" w:rsidRPr="008F03E5" w:rsidRDefault="00625A5B" w:rsidP="007E772B">
      <w:pPr>
        <w:pStyle w:val="Translit"/>
      </w:pPr>
      <w:r w:rsidRPr="008F03E5">
        <w:t>Chaman, Chamman</w:t>
      </w:r>
      <w:r w:rsidRPr="008F03E5">
        <w:tab/>
      </w:r>
      <w:r w:rsidRPr="008F03E5">
        <w:rPr>
          <w:u w:val="single"/>
        </w:rPr>
        <w:t>Ch</w:t>
      </w:r>
      <w:r w:rsidRPr="008F03E5">
        <w:t>amán (</w:t>
      </w:r>
      <w:r w:rsidRPr="008F03E5">
        <w:rPr>
          <w:u w:val="single"/>
        </w:rPr>
        <w:t>Ch</w:t>
      </w:r>
      <w:r w:rsidRPr="008F03E5">
        <w:t>ammán)</w:t>
      </w:r>
      <w:r w:rsidRPr="008F03E5">
        <w:tab/>
        <w:t>Pers. walking, giving oneself haughty, swinging, or graceful airs in walking; a goblet of wine; a party of friends</w:t>
      </w:r>
    </w:p>
    <w:p w14:paraId="04B07AC9" w14:textId="77777777" w:rsidR="00625A5B" w:rsidRPr="008F03E5" w:rsidRDefault="00625A5B" w:rsidP="00385252">
      <w:pPr>
        <w:pStyle w:val="Translit"/>
      </w:pPr>
      <w:r w:rsidRPr="008F03E5">
        <w:t>Changiz</w:t>
      </w:r>
      <w:r w:rsidRPr="008F03E5">
        <w:tab/>
      </w:r>
      <w:r w:rsidRPr="008F03E5">
        <w:rPr>
          <w:u w:val="single"/>
        </w:rPr>
        <w:t>Ch</w:t>
      </w:r>
      <w:r w:rsidRPr="008F03E5">
        <w:t>angíz</w:t>
      </w:r>
      <w:r w:rsidRPr="008F03E5">
        <w:tab/>
        <w:t>Genghis Khan (c. 1162–1227)</w:t>
      </w:r>
    </w:p>
    <w:p w14:paraId="01632A0B" w14:textId="77777777" w:rsidR="00625A5B" w:rsidRPr="008F03E5" w:rsidRDefault="00625A5B" w:rsidP="003F5F0F">
      <w:pPr>
        <w:pStyle w:val="Translit"/>
      </w:pPr>
      <w:r w:rsidRPr="008F03E5">
        <w:t>Chap, Chapa</w:t>
      </w:r>
      <w:r w:rsidRPr="008F03E5">
        <w:tab/>
      </w:r>
      <w:r w:rsidRPr="008F03E5">
        <w:rPr>
          <w:u w:val="single"/>
        </w:rPr>
        <w:t>Ch</w:t>
      </w:r>
      <w:r w:rsidRPr="008F03E5">
        <w:t xml:space="preserve">áp, fem. </w:t>
      </w:r>
      <w:r w:rsidRPr="008F03E5">
        <w:rPr>
          <w:u w:val="single"/>
        </w:rPr>
        <w:t>Ch</w:t>
      </w:r>
      <w:r w:rsidRPr="008F03E5">
        <w:rPr>
          <w:rFonts w:eastAsia="PMingLiU"/>
        </w:rPr>
        <w:t>á</w:t>
      </w:r>
      <w:r w:rsidRPr="008F03E5">
        <w:t>pa</w:t>
      </w:r>
      <w:r w:rsidRPr="008F03E5">
        <w:tab/>
        <w:t>Pers. a seal, stamp, print</w:t>
      </w:r>
    </w:p>
    <w:p w14:paraId="5450A43D" w14:textId="77777777" w:rsidR="00625A5B" w:rsidRPr="008F03E5" w:rsidRDefault="00625A5B" w:rsidP="00040F2D">
      <w:pPr>
        <w:pStyle w:val="Translit"/>
      </w:pPr>
      <w:r w:rsidRPr="008F03E5">
        <w:t>Chapan, Chupan (Chuppan)</w:t>
      </w:r>
      <w:r w:rsidRPr="008F03E5">
        <w:tab/>
      </w:r>
      <w:r w:rsidRPr="008F03E5">
        <w:rPr>
          <w:u w:val="single"/>
        </w:rPr>
        <w:t>Ch</w:t>
      </w:r>
      <w:r w:rsidRPr="008F03E5">
        <w:t xml:space="preserve">apán, </w:t>
      </w:r>
      <w:r w:rsidRPr="008F03E5">
        <w:rPr>
          <w:u w:val="single"/>
        </w:rPr>
        <w:t>Ch</w:t>
      </w:r>
      <w:r w:rsidRPr="008F03E5">
        <w:t>upán</w:t>
      </w:r>
      <w:r w:rsidRPr="008F03E5">
        <w:tab/>
        <w:t>Pers. tattered garments</w:t>
      </w:r>
    </w:p>
    <w:p w14:paraId="34B99380" w14:textId="77777777" w:rsidR="00625A5B" w:rsidRPr="008F03E5" w:rsidRDefault="00625A5B" w:rsidP="00675939">
      <w:pPr>
        <w:pStyle w:val="Translit"/>
      </w:pPr>
      <w:r w:rsidRPr="008F03E5">
        <w:rPr>
          <w:rFonts w:eastAsia="PMingLiU"/>
          <w:lang w:eastAsia="zh-TW"/>
        </w:rPr>
        <w:t>Ch</w:t>
      </w:r>
      <w:r w:rsidRPr="008F03E5">
        <w:t>a</w:t>
      </w:r>
      <w:r w:rsidRPr="008F03E5">
        <w:rPr>
          <w:rFonts w:eastAsia="PMingLiU"/>
          <w:lang w:eastAsia="zh-TW"/>
        </w:rPr>
        <w:t>p</w:t>
      </w:r>
      <w:r w:rsidRPr="008F03E5">
        <w:t>a</w:t>
      </w:r>
      <w:r w:rsidRPr="008F03E5">
        <w:rPr>
          <w:rFonts w:eastAsia="PMingLiU"/>
          <w:lang w:eastAsia="zh-TW"/>
        </w:rPr>
        <w:t>r</w:t>
      </w:r>
      <w:r w:rsidRPr="008F03E5">
        <w:tab/>
      </w:r>
      <w:r w:rsidRPr="008F03E5">
        <w:rPr>
          <w:u w:val="single"/>
        </w:rPr>
        <w:t>Ch</w:t>
      </w:r>
      <w:r w:rsidRPr="008F03E5">
        <w:t>á</w:t>
      </w:r>
      <w:r w:rsidRPr="008F03E5">
        <w:rPr>
          <w:rFonts w:eastAsia="PMingLiU"/>
          <w:lang w:eastAsia="zh-TW"/>
        </w:rPr>
        <w:t>p</w:t>
      </w:r>
      <w:r w:rsidRPr="008F03E5">
        <w:t>á</w:t>
      </w:r>
      <w:r w:rsidRPr="008F03E5">
        <w:rPr>
          <w:rFonts w:eastAsia="PMingLiU"/>
          <w:lang w:eastAsia="zh-TW"/>
        </w:rPr>
        <w:t>r</w:t>
      </w:r>
      <w:r w:rsidRPr="008F03E5">
        <w:rPr>
          <w:rFonts w:eastAsia="PMingLiU"/>
          <w:lang w:eastAsia="zh-TW"/>
        </w:rPr>
        <w:tab/>
      </w:r>
      <w:r>
        <w:rPr>
          <w:rFonts w:eastAsia="PMingLiU"/>
          <w:lang w:eastAsia="zh-TW"/>
        </w:rPr>
        <w:t>Turkish</w:t>
      </w:r>
      <w:r w:rsidRPr="008F03E5">
        <w:rPr>
          <w:rFonts w:eastAsia="PMingLiU"/>
          <w:lang w:eastAsia="zh-TW"/>
        </w:rPr>
        <w:t xml:space="preserve"> a</w:t>
      </w:r>
      <w:r w:rsidRPr="008F03E5">
        <w:t xml:space="preserve"> runner, mounted messenger, courier; post; mail.  Persian government post, called in old times, Baríd, where post horses may be hired by private individuals.</w:t>
      </w:r>
    </w:p>
    <w:p w14:paraId="4E5C648C" w14:textId="77777777" w:rsidR="00625A5B" w:rsidRPr="00675939" w:rsidRDefault="00625A5B" w:rsidP="00675939">
      <w:pPr>
        <w:pStyle w:val="Translit"/>
        <w:rPr>
          <w:lang w:val="fr-FR"/>
        </w:rPr>
      </w:pPr>
      <w:r w:rsidRPr="00675939">
        <w:rPr>
          <w:rFonts w:eastAsia="PMingLiU"/>
          <w:lang w:val="fr-FR" w:eastAsia="zh-TW"/>
        </w:rPr>
        <w:t>Ch</w:t>
      </w:r>
      <w:r w:rsidRPr="00675939">
        <w:rPr>
          <w:lang w:val="fr-FR"/>
        </w:rPr>
        <w:t>a</w:t>
      </w:r>
      <w:r w:rsidRPr="00675939">
        <w:rPr>
          <w:rFonts w:eastAsia="PMingLiU"/>
          <w:lang w:val="fr-FR" w:eastAsia="zh-TW"/>
        </w:rPr>
        <w:t>p</w:t>
      </w:r>
      <w:r w:rsidRPr="00675939">
        <w:rPr>
          <w:lang w:val="fr-FR"/>
        </w:rPr>
        <w:t>a</w:t>
      </w:r>
      <w:r w:rsidRPr="00675939">
        <w:rPr>
          <w:rFonts w:eastAsia="PMingLiU"/>
          <w:lang w:val="fr-FR" w:eastAsia="zh-TW"/>
        </w:rPr>
        <w:t>r-ch</w:t>
      </w:r>
      <w:r w:rsidRPr="00675939">
        <w:rPr>
          <w:lang w:val="fr-FR"/>
        </w:rPr>
        <w:t xml:space="preserve">i, </w:t>
      </w:r>
      <w:r w:rsidRPr="00675939">
        <w:rPr>
          <w:rFonts w:eastAsia="PMingLiU"/>
          <w:lang w:val="fr-FR" w:eastAsia="zh-TW"/>
        </w:rPr>
        <w:t>Ch</w:t>
      </w:r>
      <w:r w:rsidRPr="00675939">
        <w:rPr>
          <w:lang w:val="fr-FR"/>
        </w:rPr>
        <w:t>a</w:t>
      </w:r>
      <w:r w:rsidRPr="00675939">
        <w:rPr>
          <w:rFonts w:eastAsia="PMingLiU"/>
          <w:lang w:val="fr-FR" w:eastAsia="zh-TW"/>
        </w:rPr>
        <w:t>p</w:t>
      </w:r>
      <w:r w:rsidRPr="00675939">
        <w:rPr>
          <w:lang w:val="fr-FR"/>
        </w:rPr>
        <w:t>a</w:t>
      </w:r>
      <w:r w:rsidRPr="00675939">
        <w:rPr>
          <w:rFonts w:eastAsia="PMingLiU"/>
          <w:lang w:val="fr-FR" w:eastAsia="zh-TW"/>
        </w:rPr>
        <w:t>rch</w:t>
      </w:r>
      <w:r w:rsidRPr="00675939">
        <w:rPr>
          <w:lang w:val="fr-FR"/>
        </w:rPr>
        <w:t>i</w:t>
      </w:r>
      <w:r w:rsidRPr="00675939">
        <w:rPr>
          <w:lang w:val="fr-FR"/>
        </w:rPr>
        <w:tab/>
      </w:r>
      <w:r w:rsidRPr="00675939">
        <w:rPr>
          <w:u w:val="single"/>
          <w:lang w:val="fr-FR"/>
        </w:rPr>
        <w:t>Ch</w:t>
      </w:r>
      <w:r w:rsidRPr="00675939">
        <w:rPr>
          <w:lang w:val="fr-FR"/>
        </w:rPr>
        <w:t>á</w:t>
      </w:r>
      <w:r w:rsidRPr="00675939">
        <w:rPr>
          <w:rFonts w:eastAsia="PMingLiU"/>
          <w:lang w:val="fr-FR" w:eastAsia="zh-TW"/>
        </w:rPr>
        <w:t>p</w:t>
      </w:r>
      <w:r w:rsidRPr="00675939">
        <w:rPr>
          <w:lang w:val="fr-FR"/>
        </w:rPr>
        <w:t>á</w:t>
      </w:r>
      <w:r w:rsidRPr="00675939">
        <w:rPr>
          <w:rFonts w:eastAsia="PMingLiU"/>
          <w:lang w:val="fr-FR" w:eastAsia="zh-TW"/>
        </w:rPr>
        <w:t>r-</w:t>
      </w:r>
      <w:r w:rsidRPr="00675939">
        <w:rPr>
          <w:u w:val="single"/>
          <w:lang w:val="fr-FR"/>
        </w:rPr>
        <w:t>ch</w:t>
      </w:r>
      <w:r w:rsidRPr="00675939">
        <w:rPr>
          <w:lang w:val="fr-FR"/>
        </w:rPr>
        <w:t xml:space="preserve">í, </w:t>
      </w:r>
      <w:r w:rsidRPr="00675939">
        <w:rPr>
          <w:u w:val="single"/>
          <w:lang w:val="fr-FR"/>
        </w:rPr>
        <w:t>Ch</w:t>
      </w:r>
      <w:r w:rsidRPr="00675939">
        <w:rPr>
          <w:lang w:val="fr-FR"/>
        </w:rPr>
        <w:t>á</w:t>
      </w:r>
      <w:r w:rsidRPr="00675939">
        <w:rPr>
          <w:rFonts w:eastAsia="PMingLiU"/>
          <w:lang w:val="fr-FR" w:eastAsia="zh-TW"/>
        </w:rPr>
        <w:t>p</w:t>
      </w:r>
      <w:r w:rsidRPr="00675939">
        <w:rPr>
          <w:lang w:val="fr-FR"/>
        </w:rPr>
        <w:t>á</w:t>
      </w:r>
      <w:r w:rsidRPr="00675939">
        <w:rPr>
          <w:rFonts w:eastAsia="PMingLiU"/>
          <w:lang w:val="fr-FR" w:eastAsia="zh-TW"/>
        </w:rPr>
        <w:t>r</w:t>
      </w:r>
      <w:r w:rsidRPr="00675939">
        <w:rPr>
          <w:u w:val="single"/>
          <w:lang w:val="fr-FR"/>
        </w:rPr>
        <w:t>ch</w:t>
      </w:r>
      <w:r w:rsidRPr="00675939">
        <w:rPr>
          <w:lang w:val="fr-FR"/>
        </w:rPr>
        <w:t>í</w:t>
      </w:r>
      <w:r w:rsidRPr="00675939">
        <w:rPr>
          <w:lang w:val="fr-FR"/>
        </w:rPr>
        <w:tab/>
        <w:t>Turkish courier</w:t>
      </w:r>
    </w:p>
    <w:p w14:paraId="498A40E6" w14:textId="77777777" w:rsidR="00625A5B" w:rsidRPr="008F03E5" w:rsidRDefault="00625A5B" w:rsidP="007E772B">
      <w:pPr>
        <w:pStyle w:val="Translit"/>
      </w:pPr>
      <w:r w:rsidRPr="008F03E5">
        <w:t>Chaq</w:t>
      </w:r>
      <w:r w:rsidRPr="008F03E5">
        <w:tab/>
      </w:r>
      <w:r w:rsidRPr="008F03E5">
        <w:rPr>
          <w:u w:val="single"/>
        </w:rPr>
        <w:t>Ch</w:t>
      </w:r>
      <w:r w:rsidRPr="008F03E5">
        <w:t>áq</w:t>
      </w:r>
      <w:r w:rsidRPr="008F03E5">
        <w:tab/>
        <w:t>Pers. time; health; healthy, well; stout, obese</w:t>
      </w:r>
    </w:p>
    <w:p w14:paraId="57E8A2ED" w14:textId="77777777" w:rsidR="00625A5B" w:rsidRPr="008F03E5" w:rsidRDefault="00625A5B" w:rsidP="007E772B">
      <w:pPr>
        <w:pStyle w:val="Translit"/>
      </w:pPr>
      <w:r w:rsidRPr="008F03E5">
        <w:t>Chardivari</w:t>
      </w:r>
      <w:r w:rsidRPr="008F03E5">
        <w:tab/>
      </w:r>
      <w:r w:rsidRPr="008F03E5">
        <w:rPr>
          <w:u w:val="single"/>
        </w:rPr>
        <w:t>Ch</w:t>
      </w:r>
      <w:r w:rsidRPr="008F03E5">
        <w:t>árdívárí</w:t>
      </w:r>
      <w:r w:rsidRPr="008F03E5">
        <w:tab/>
        <w:t>private home or four walls</w:t>
      </w:r>
    </w:p>
    <w:p w14:paraId="12BF431B" w14:textId="77777777" w:rsidR="00625A5B" w:rsidRPr="008F03E5" w:rsidRDefault="00625A5B" w:rsidP="006610B3">
      <w:pPr>
        <w:pStyle w:val="Translit"/>
        <w:rPr>
          <w:rFonts w:eastAsia="Times New Roman"/>
        </w:rPr>
      </w:pPr>
      <w:bookmarkStart w:id="61" w:name="_Hlk62543448"/>
      <w:r w:rsidRPr="008F03E5">
        <w:t>Chashm, Chashmha</w:t>
      </w:r>
      <w:r w:rsidRPr="008F03E5">
        <w:tab/>
      </w:r>
      <w:r w:rsidRPr="008F03E5">
        <w:rPr>
          <w:u w:val="single"/>
        </w:rPr>
        <w:t>Ch</w:t>
      </w:r>
      <w:r w:rsidRPr="008F03E5">
        <w:t>a</w:t>
      </w:r>
      <w:r w:rsidRPr="008F03E5">
        <w:rPr>
          <w:u w:val="single"/>
        </w:rPr>
        <w:t>sh</w:t>
      </w:r>
      <w:r w:rsidRPr="008F03E5">
        <w:t xml:space="preserve">m, pl. </w:t>
      </w:r>
      <w:r w:rsidRPr="008F03E5">
        <w:rPr>
          <w:u w:val="single"/>
        </w:rPr>
        <w:t>Ch</w:t>
      </w:r>
      <w:r w:rsidRPr="008F03E5">
        <w:t>a</w:t>
      </w:r>
      <w:r w:rsidRPr="008F03E5">
        <w:rPr>
          <w:u w:val="single"/>
        </w:rPr>
        <w:t>sh</w:t>
      </w:r>
      <w:r w:rsidRPr="008F03E5">
        <w:t>mhá</w:t>
      </w:r>
      <w:r w:rsidRPr="008F03E5">
        <w:tab/>
        <w:t>Pers. the eye; hope; an amulet or charm (particularly of holy writ) against fascination or enchantment</w:t>
      </w:r>
      <w:r w:rsidRPr="008F03E5">
        <w:rPr>
          <w:rFonts w:eastAsia="Times New Roman"/>
        </w:rPr>
        <w:t>; the individual himself (as ‘ayn in Arabic); anything resembling an eye, as the hole of a sieve, the eye of a needle, the mesh of a net, etc.</w:t>
      </w:r>
    </w:p>
    <w:p w14:paraId="4E7E1097" w14:textId="77777777" w:rsidR="00625A5B" w:rsidRPr="008F03E5" w:rsidRDefault="00625A5B" w:rsidP="000D2C4D">
      <w:pPr>
        <w:pStyle w:val="Translit"/>
      </w:pPr>
      <w:bookmarkStart w:id="62" w:name="_Hlk62543524"/>
      <w:bookmarkEnd w:id="61"/>
      <w:r w:rsidRPr="008F03E5">
        <w:t>Chashma (Cheshmeh, Chashmih)</w:t>
      </w:r>
      <w:r w:rsidRPr="008F03E5">
        <w:tab/>
      </w:r>
      <w:r w:rsidRPr="008F03E5">
        <w:rPr>
          <w:u w:val="single"/>
        </w:rPr>
        <w:t>Ch</w:t>
      </w:r>
      <w:r w:rsidRPr="008F03E5">
        <w:t>a</w:t>
      </w:r>
      <w:r w:rsidRPr="008F03E5">
        <w:rPr>
          <w:u w:val="single"/>
        </w:rPr>
        <w:t>sh</w:t>
      </w:r>
      <w:r w:rsidRPr="008F03E5">
        <w:t>ma (</w:t>
      </w:r>
      <w:r w:rsidRPr="008F03E5">
        <w:rPr>
          <w:rFonts w:eastAsia="Times New Roman"/>
          <w:rtl/>
        </w:rPr>
        <w:t>چشمه</w:t>
      </w:r>
      <w:r w:rsidRPr="008F03E5">
        <w:t>)</w:t>
      </w:r>
      <w:r w:rsidRPr="008F03E5">
        <w:tab/>
        <w:t>Pers. (also  “</w:t>
      </w:r>
      <w:r w:rsidRPr="008F03E5">
        <w:rPr>
          <w:u w:val="single"/>
        </w:rPr>
        <w:t>Ch</w:t>
      </w:r>
      <w:r w:rsidRPr="008F03E5">
        <w:t>a</w:t>
      </w:r>
      <w:r w:rsidRPr="008F03E5">
        <w:rPr>
          <w:u w:val="single"/>
        </w:rPr>
        <w:t>sh</w:t>
      </w:r>
      <w:r w:rsidRPr="008F03E5">
        <w:t>mih”) a fountain, source, spring; the sun; spectacles; eye of a needle; a vaulted arch</w:t>
      </w:r>
    </w:p>
    <w:p w14:paraId="554F4A05" w14:textId="77777777" w:rsidR="00625A5B" w:rsidRPr="008F03E5" w:rsidRDefault="00625A5B" w:rsidP="00DE315A">
      <w:pPr>
        <w:pStyle w:val="Translit"/>
      </w:pPr>
      <w:bookmarkStart w:id="63" w:name="_Hlk62544056"/>
      <w:bookmarkEnd w:id="62"/>
      <w:r w:rsidRPr="008F03E5">
        <w:t xml:space="preserve">Chashma </w:t>
      </w:r>
      <w:r w:rsidRPr="008F03E5">
        <w:rPr>
          <w:rFonts w:eastAsia="PMingLiU"/>
          <w:lang w:eastAsia="zh-TW"/>
        </w:rPr>
        <w:t>‘</w:t>
      </w:r>
      <w:r w:rsidRPr="008F03E5">
        <w:t>Ali (Chashmih</w:t>
      </w:r>
      <w:r w:rsidRPr="008F03E5">
        <w:rPr>
          <w:rFonts w:eastAsia="PMingLiU"/>
          <w:lang w:eastAsia="zh-TW"/>
        </w:rPr>
        <w:t>-‘</w:t>
      </w:r>
      <w:r w:rsidRPr="008F03E5">
        <w:t>Ali)</w:t>
      </w:r>
      <w:r w:rsidRPr="008F03E5">
        <w:tab/>
      </w:r>
      <w:r w:rsidRPr="008F03E5">
        <w:rPr>
          <w:u w:val="single"/>
        </w:rPr>
        <w:t>Ch</w:t>
      </w:r>
      <w:r w:rsidRPr="008F03E5">
        <w:t>a</w:t>
      </w:r>
      <w:r w:rsidRPr="008F03E5">
        <w:rPr>
          <w:u w:val="single"/>
        </w:rPr>
        <w:t>sh</w:t>
      </w:r>
      <w:r w:rsidRPr="008F03E5">
        <w:t xml:space="preserve">ma ‘Alí or </w:t>
      </w:r>
      <w:r w:rsidRPr="008F03E5">
        <w:rPr>
          <w:u w:val="single"/>
        </w:rPr>
        <w:t>Ch</w:t>
      </w:r>
      <w:r w:rsidRPr="008F03E5">
        <w:t>a</w:t>
      </w:r>
      <w:r w:rsidRPr="008F03E5">
        <w:rPr>
          <w:u w:val="single"/>
        </w:rPr>
        <w:t>sh</w:t>
      </w:r>
      <w:r w:rsidRPr="008F03E5">
        <w:t>mah-i-‘Alí</w:t>
      </w:r>
      <w:r w:rsidRPr="008F03E5">
        <w:tab/>
        <w:t xml:space="preserve">Pers. “spring of ‘Alí”, </w:t>
      </w:r>
      <w:r>
        <w:t>“</w:t>
      </w:r>
      <w:r w:rsidRPr="008F03E5">
        <w:rPr>
          <w:u w:val="single"/>
        </w:rPr>
        <w:t>Ch</w:t>
      </w:r>
      <w:r w:rsidRPr="008F03E5">
        <w:t>a</w:t>
      </w:r>
      <w:r w:rsidRPr="008F03E5">
        <w:rPr>
          <w:u w:val="single"/>
        </w:rPr>
        <w:t>sh</w:t>
      </w:r>
      <w:r w:rsidRPr="008F03E5">
        <w:t>mih-‘Alí</w:t>
      </w:r>
      <w:r>
        <w:t>”</w:t>
      </w:r>
      <w:r w:rsidRPr="008F03E5">
        <w:t>, “Cheshmeh</w:t>
      </w:r>
      <w:r w:rsidRPr="008F03E5">
        <w:rPr>
          <w:rFonts w:eastAsia="PMingLiU"/>
          <w:lang w:eastAsia="zh-TW"/>
        </w:rPr>
        <w:t>-‘</w:t>
      </w:r>
      <w:r w:rsidRPr="008F03E5">
        <w:t>Ali”</w:t>
      </w:r>
      <w:r>
        <w:t>, “</w:t>
      </w:r>
      <w:r w:rsidRPr="00DE315A">
        <w:rPr>
          <w:u w:val="single"/>
        </w:rPr>
        <w:t>Ch</w:t>
      </w:r>
      <w:r>
        <w:t>i</w:t>
      </w:r>
      <w:r w:rsidRPr="00DE315A">
        <w:rPr>
          <w:u w:val="single"/>
        </w:rPr>
        <w:t>sh</w:t>
      </w:r>
      <w:r w:rsidRPr="008F03E5">
        <w:t>m</w:t>
      </w:r>
      <w:r>
        <w:t>i</w:t>
      </w:r>
      <w:r w:rsidRPr="008F03E5">
        <w:t>h</w:t>
      </w:r>
      <w:r w:rsidRPr="008F03E5">
        <w:rPr>
          <w:rFonts w:eastAsia="PMingLiU"/>
          <w:lang w:eastAsia="zh-TW"/>
        </w:rPr>
        <w:t>-‘</w:t>
      </w:r>
      <w:r w:rsidRPr="008F03E5">
        <w:t>Al</w:t>
      </w:r>
      <w:r w:rsidRPr="00DE315A">
        <w:t>í</w:t>
      </w:r>
      <w:r>
        <w:t>”</w:t>
      </w:r>
      <w:r w:rsidRPr="008F03E5">
        <w:t xml:space="preserve">.  Name of many locations.  A spring (35.607392, 51.444928) 10 km </w:t>
      </w:r>
      <w:r w:rsidRPr="008F03E5">
        <w:rPr>
          <w:sz w:val="16"/>
          <w:szCs w:val="16"/>
        </w:rPr>
        <w:t>SSE</w:t>
      </w:r>
      <w:r w:rsidRPr="008F03E5">
        <w:t xml:space="preserve"> city centre of Ṭihrán.</w:t>
      </w:r>
      <w:r>
        <w:t xml:space="preserve">  A village (</w:t>
      </w:r>
      <w:r w:rsidRPr="0046261B">
        <w:t>36.278167, 54.083907</w:t>
      </w:r>
      <w:r>
        <w:t xml:space="preserve">) near </w:t>
      </w:r>
      <w:r w:rsidRPr="008F03E5">
        <w:t>Ástána</w:t>
      </w:r>
      <w:r w:rsidRPr="0054078F">
        <w:t xml:space="preserve"> and </w:t>
      </w:r>
      <w:r w:rsidRPr="0054078F">
        <w:rPr>
          <w:sz w:val="16"/>
          <w:szCs w:val="16"/>
        </w:rPr>
        <w:t>NW</w:t>
      </w:r>
      <w:r>
        <w:t xml:space="preserve"> of D</w:t>
      </w:r>
      <w:r w:rsidRPr="0046261B">
        <w:t>á</w:t>
      </w:r>
      <w:r>
        <w:t>m</w:t>
      </w:r>
      <w:r w:rsidRPr="0046261B">
        <w:rPr>
          <w:u w:val="single"/>
        </w:rPr>
        <w:t>gh</w:t>
      </w:r>
      <w:r w:rsidRPr="0046261B">
        <w:t>á</w:t>
      </w:r>
      <w:r>
        <w:t>n, all are in Semnan Province.</w:t>
      </w:r>
    </w:p>
    <w:bookmarkEnd w:id="63"/>
    <w:p w14:paraId="5DD78180" w14:textId="77777777" w:rsidR="00625A5B" w:rsidRDefault="00625A5B" w:rsidP="00711259">
      <w:pPr>
        <w:pStyle w:val="Translit"/>
      </w:pPr>
      <w:r w:rsidRPr="008F03E5">
        <w:t>Chawush</w:t>
      </w:r>
      <w:r w:rsidRPr="008F03E5">
        <w:tab/>
      </w:r>
      <w:r w:rsidRPr="008F03E5">
        <w:rPr>
          <w:u w:val="single"/>
        </w:rPr>
        <w:t>Ch</w:t>
      </w:r>
      <w:r w:rsidRPr="008F03E5">
        <w:t>áwu</w:t>
      </w:r>
      <w:r w:rsidRPr="008F03E5">
        <w:rPr>
          <w:u w:val="single"/>
        </w:rPr>
        <w:t>sh</w:t>
      </w:r>
      <w:r w:rsidRPr="008F03E5">
        <w:tab/>
        <w:t xml:space="preserve">Turkish </w:t>
      </w:r>
      <w:r w:rsidRPr="008F03E5">
        <w:rPr>
          <w:rFonts w:eastAsia="Times New Roman"/>
        </w:rPr>
        <w:t xml:space="preserve">a sergeant, a beadle; a herald; the leader of an army or caravan; a guide.  A guide who would </w:t>
      </w:r>
      <w:r w:rsidRPr="008F03E5">
        <w:t>chant poems praising the Prophet or the Imams, and he would call on people to take him as a guide for a pilgrimage</w:t>
      </w:r>
      <w:r>
        <w:t xml:space="preserve"> </w:t>
      </w:r>
      <w:r w:rsidRPr="0084047E">
        <w:t>either to Mecca, the ‘Atabát, or Ma</w:t>
      </w:r>
      <w:r w:rsidRPr="0081098E">
        <w:rPr>
          <w:u w:val="single"/>
        </w:rPr>
        <w:t>sh</w:t>
      </w:r>
      <w:r w:rsidRPr="0084047E">
        <w:t>had</w:t>
      </w:r>
      <w:r>
        <w:t xml:space="preserve">.  </w:t>
      </w:r>
      <w:r w:rsidRPr="0084047E">
        <w:t>He would hoist a special</w:t>
      </w:r>
      <w:r>
        <w:t xml:space="preserve"> </w:t>
      </w:r>
      <w:r w:rsidRPr="0084047E">
        <w:t>banner to announce the imminent pilgrimage.</w:t>
      </w:r>
      <w:r>
        <w:t xml:space="preserve">  This may explain why </w:t>
      </w:r>
      <w:r w:rsidRPr="0084047E">
        <w:t>Mullá Ḥusayn’s party</w:t>
      </w:r>
      <w:r>
        <w:t xml:space="preserve"> were able to carry a black banner without </w:t>
      </w:r>
      <w:r w:rsidRPr="0084047E">
        <w:t>arous</w:t>
      </w:r>
      <w:r>
        <w:t>ing</w:t>
      </w:r>
      <w:r w:rsidRPr="0084047E">
        <w:t xml:space="preserve"> </w:t>
      </w:r>
      <w:r>
        <w:t xml:space="preserve">any </w:t>
      </w:r>
      <w:r w:rsidRPr="0084047E">
        <w:t>suspicion</w:t>
      </w:r>
      <w:r>
        <w:t>s.</w:t>
      </w:r>
    </w:p>
    <w:p w14:paraId="2F8FE39E" w14:textId="77777777" w:rsidR="00625A5B" w:rsidRPr="008F03E5" w:rsidRDefault="00625A5B" w:rsidP="007E772B">
      <w:pPr>
        <w:pStyle w:val="Translit"/>
      </w:pPr>
      <w:r w:rsidRPr="008F03E5">
        <w:rPr>
          <w:rFonts w:eastAsia="Times New Roman"/>
        </w:rPr>
        <w:t>Chawush-Khwani</w:t>
      </w:r>
      <w:r w:rsidRPr="008F03E5">
        <w:rPr>
          <w:rFonts w:eastAsia="Times New Roman"/>
        </w:rPr>
        <w:tab/>
      </w:r>
      <w:r w:rsidRPr="008F03E5">
        <w:rPr>
          <w:u w:val="single"/>
        </w:rPr>
        <w:t>Ch</w:t>
      </w:r>
      <w:r w:rsidRPr="008F03E5">
        <w:t>áwu</w:t>
      </w:r>
      <w:r w:rsidRPr="008F03E5">
        <w:rPr>
          <w:u w:val="single"/>
        </w:rPr>
        <w:t>sh</w:t>
      </w:r>
      <w:r w:rsidRPr="008F03E5">
        <w:t>-</w:t>
      </w:r>
      <w:r w:rsidRPr="008F03E5">
        <w:rPr>
          <w:u w:val="single"/>
        </w:rPr>
        <w:t>Kh</w:t>
      </w:r>
      <w:r w:rsidRPr="008F03E5">
        <w:t>wání</w:t>
      </w:r>
      <w:r w:rsidRPr="008F03E5">
        <w:tab/>
        <w:t>recitation by a guide</w:t>
      </w:r>
    </w:p>
    <w:p w14:paraId="3E1BEF41" w14:textId="77777777" w:rsidR="00625A5B" w:rsidRPr="008F03E5" w:rsidRDefault="00625A5B" w:rsidP="007E772B">
      <w:pPr>
        <w:pStyle w:val="Translit"/>
      </w:pPr>
      <w:r w:rsidRPr="008F03E5">
        <w:t>Chay (Cha’i)</w:t>
      </w:r>
      <w:r w:rsidRPr="008F03E5">
        <w:tab/>
      </w:r>
      <w:r w:rsidRPr="008F03E5">
        <w:rPr>
          <w:u w:val="single"/>
        </w:rPr>
        <w:t>Ch</w:t>
      </w:r>
      <w:r w:rsidRPr="008F03E5">
        <w:t>áy (</w:t>
      </w:r>
      <w:r w:rsidRPr="008F03E5">
        <w:rPr>
          <w:u w:val="single"/>
        </w:rPr>
        <w:t>Ch</w:t>
      </w:r>
      <w:r w:rsidRPr="008F03E5">
        <w:t>á’í)</w:t>
      </w:r>
      <w:r w:rsidRPr="008F03E5">
        <w:tab/>
        <w:t xml:space="preserve">Pers. tea.  See </w:t>
      </w:r>
      <w:r w:rsidRPr="008F03E5">
        <w:rPr>
          <w:u w:val="single"/>
        </w:rPr>
        <w:t>Sh</w:t>
      </w:r>
      <w:r w:rsidRPr="008F03E5">
        <w:t>áy</w:t>
      </w:r>
    </w:p>
    <w:p w14:paraId="50B655B2" w14:textId="77777777" w:rsidR="00625A5B" w:rsidRPr="008F03E5" w:rsidRDefault="00625A5B" w:rsidP="000314FF">
      <w:pPr>
        <w:pStyle w:val="Translit"/>
      </w:pPr>
      <w:r w:rsidRPr="00EB049E">
        <w:rPr>
          <w:lang w:val="en-AU"/>
        </w:rPr>
        <w:t>Chi or Chih, Chiha</w:t>
      </w:r>
      <w:r w:rsidRPr="00EB049E">
        <w:rPr>
          <w:lang w:val="en-AU"/>
        </w:rPr>
        <w:tab/>
      </w:r>
      <w:r w:rsidRPr="00EB049E">
        <w:rPr>
          <w:u w:val="single"/>
          <w:lang w:val="en-AU"/>
        </w:rPr>
        <w:t>Ch</w:t>
      </w:r>
      <w:r w:rsidRPr="00EB049E">
        <w:rPr>
          <w:lang w:val="en-AU"/>
        </w:rPr>
        <w:t xml:space="preserve">i or </w:t>
      </w:r>
      <w:r w:rsidRPr="00EB049E">
        <w:rPr>
          <w:u w:val="single"/>
          <w:lang w:val="en-AU"/>
        </w:rPr>
        <w:t>Ch</w:t>
      </w:r>
      <w:r w:rsidRPr="00EB049E">
        <w:rPr>
          <w:lang w:val="en-AU"/>
        </w:rPr>
        <w:t xml:space="preserve">ih, pl. </w:t>
      </w:r>
      <w:r w:rsidRPr="008F03E5">
        <w:rPr>
          <w:u w:val="single"/>
        </w:rPr>
        <w:t>Ch</w:t>
      </w:r>
      <w:r w:rsidRPr="008F03E5">
        <w:t>ihá</w:t>
      </w:r>
      <w:r w:rsidRPr="008F03E5">
        <w:tab/>
        <w:t>Pers. something; who? what? which? a Turkish affix to form words denoting the agent</w:t>
      </w:r>
    </w:p>
    <w:p w14:paraId="7E0279A2" w14:textId="77777777" w:rsidR="00625A5B" w:rsidRPr="008F03E5" w:rsidRDefault="00625A5B" w:rsidP="00EC1883">
      <w:pPr>
        <w:pStyle w:val="Translit"/>
      </w:pPr>
      <w:r w:rsidRPr="008F03E5">
        <w:t>Chigan, Jigan</w:t>
      </w:r>
      <w:r w:rsidRPr="008F03E5">
        <w:tab/>
      </w:r>
      <w:r w:rsidRPr="008F03E5">
        <w:rPr>
          <w:u w:val="single"/>
        </w:rPr>
        <w:t>Ch</w:t>
      </w:r>
      <w:r w:rsidRPr="008F03E5">
        <w:t>ígán, Jígán</w:t>
      </w:r>
      <w:r w:rsidRPr="008F03E5">
        <w:tab/>
        <w:t>village</w:t>
      </w:r>
      <w:r>
        <w:t xml:space="preserve"> (</w:t>
      </w:r>
      <w:r w:rsidRPr="00EC1883">
        <w:t>32.897875, 50.334005</w:t>
      </w:r>
      <w:r>
        <w:t>)</w:t>
      </w:r>
      <w:r w:rsidRPr="008F03E5">
        <w:t xml:space="preserve"> 128 km </w:t>
      </w:r>
      <w:r w:rsidRPr="008F03E5">
        <w:rPr>
          <w:sz w:val="16"/>
          <w:szCs w:val="16"/>
        </w:rPr>
        <w:t>WNW</w:t>
      </w:r>
      <w:r w:rsidRPr="008F03E5">
        <w:t xml:space="preserve"> of Iṣfahán</w:t>
      </w:r>
    </w:p>
    <w:p w14:paraId="4001323D" w14:textId="77777777" w:rsidR="00625A5B" w:rsidRPr="008F03E5" w:rsidRDefault="00625A5B" w:rsidP="008B65B0">
      <w:pPr>
        <w:pStyle w:val="Translit"/>
      </w:pPr>
      <w:r w:rsidRPr="008F03E5">
        <w:t>Ch</w:t>
      </w:r>
      <w:r>
        <w:t>i</w:t>
      </w:r>
      <w:r w:rsidRPr="008F03E5">
        <w:t>hal (Chihil)</w:t>
      </w:r>
      <w:r w:rsidRPr="008F03E5">
        <w:tab/>
      </w:r>
      <w:r w:rsidRPr="008F03E5">
        <w:rPr>
          <w:u w:val="single"/>
        </w:rPr>
        <w:t>Ch</w:t>
      </w:r>
      <w:r w:rsidRPr="008F03E5">
        <w:t xml:space="preserve">ihal, </w:t>
      </w:r>
      <w:r w:rsidRPr="008F03E5">
        <w:rPr>
          <w:u w:val="single"/>
        </w:rPr>
        <w:t>Ch</w:t>
      </w:r>
      <w:r w:rsidRPr="008F03E5">
        <w:t>ihil</w:t>
      </w:r>
      <w:r w:rsidRPr="008F03E5">
        <w:tab/>
        <w:t>Pers. f</w:t>
      </w:r>
      <w:r w:rsidRPr="008F03E5">
        <w:rPr>
          <w:rFonts w:eastAsia="Times New Roman"/>
        </w:rPr>
        <w:t>orty</w:t>
      </w:r>
    </w:p>
    <w:p w14:paraId="08F127B4" w14:textId="77777777" w:rsidR="00625A5B" w:rsidRPr="008F03E5" w:rsidRDefault="00625A5B" w:rsidP="0050288A">
      <w:pPr>
        <w:pStyle w:val="Translit"/>
        <w:rPr>
          <w:rFonts w:eastAsia="Times New Roman"/>
        </w:rPr>
      </w:pPr>
      <w:r w:rsidRPr="008F03E5">
        <w:rPr>
          <w:rFonts w:eastAsia="Times New Roman"/>
        </w:rPr>
        <w:t>Chihr, Chihra</w:t>
      </w:r>
      <w:r w:rsidRPr="008F03E5">
        <w:rPr>
          <w:rFonts w:eastAsia="Times New Roman"/>
        </w:rPr>
        <w:tab/>
      </w:r>
      <w:r w:rsidRPr="008F03E5">
        <w:rPr>
          <w:rFonts w:eastAsia="Times New Roman"/>
          <w:u w:val="single"/>
        </w:rPr>
        <w:t>Ch</w:t>
      </w:r>
      <w:r w:rsidRPr="008F03E5">
        <w:rPr>
          <w:rFonts w:eastAsia="Times New Roman"/>
        </w:rPr>
        <w:t xml:space="preserve">ihr, fem. </w:t>
      </w:r>
      <w:r w:rsidRPr="008F03E5">
        <w:rPr>
          <w:u w:val="single"/>
        </w:rPr>
        <w:t>Ch</w:t>
      </w:r>
      <w:r w:rsidRPr="008F03E5">
        <w:t>ihra (</w:t>
      </w:r>
      <w:r w:rsidRPr="008F03E5">
        <w:rPr>
          <w:rtl/>
        </w:rPr>
        <w:t>چ‍ﮩ‍ره</w:t>
      </w:r>
      <w:r w:rsidRPr="008F03E5">
        <w:t>)</w:t>
      </w:r>
      <w:r w:rsidRPr="008F03E5">
        <w:rPr>
          <w:rFonts w:eastAsia="Times New Roman"/>
        </w:rPr>
        <w:tab/>
        <w:t>Pers. face, visage; original essence; a map; small shot</w:t>
      </w:r>
    </w:p>
    <w:p w14:paraId="268CDA31" w14:textId="77777777" w:rsidR="00625A5B" w:rsidRPr="008F03E5" w:rsidRDefault="00625A5B" w:rsidP="00D07D84">
      <w:pPr>
        <w:pStyle w:val="Translit"/>
      </w:pPr>
      <w:r w:rsidRPr="00EA0610">
        <w:rPr>
          <w:rFonts w:eastAsia="Times New Roman"/>
        </w:rPr>
        <w:t>Chihra-Nama (Chehreh-Nama)</w:t>
      </w:r>
      <w:r w:rsidRPr="00EA0610">
        <w:rPr>
          <w:rFonts w:eastAsia="Times New Roman"/>
        </w:rPr>
        <w:tab/>
      </w:r>
      <w:r w:rsidRPr="00EA0610">
        <w:rPr>
          <w:rFonts w:eastAsia="Times New Roman"/>
          <w:u w:val="single"/>
        </w:rPr>
        <w:t>Ch</w:t>
      </w:r>
      <w:r w:rsidRPr="00EA0610">
        <w:rPr>
          <w:rFonts w:eastAsia="Times New Roman"/>
        </w:rPr>
        <w:t>ihra-Nam</w:t>
      </w:r>
      <w:r w:rsidRPr="00EA0610">
        <w:t>á</w:t>
      </w:r>
      <w:r w:rsidRPr="00EA0610">
        <w:rPr>
          <w:rFonts w:eastAsia="Times New Roman"/>
        </w:rPr>
        <w:tab/>
        <w:t xml:space="preserve">Pers. </w:t>
      </w:r>
      <w:r w:rsidRPr="008F03E5">
        <w:rPr>
          <w:rFonts w:eastAsia="Times New Roman"/>
        </w:rPr>
        <w:t>“Face view”, “portrait painter” or “real face of people”.  Iranian newspaper first published (possibly 1890s) in Alexandria and then Cairo</w:t>
      </w:r>
      <w:r w:rsidRPr="008F03E5">
        <w:t>.  It acted as a conduit of ideas (unable to be published in Iran) between Egypt and Iran in the campaigns of political, social, and cultural reform.</w:t>
      </w:r>
    </w:p>
    <w:p w14:paraId="049B4D51" w14:textId="77777777" w:rsidR="00625A5B" w:rsidRPr="008F03E5" w:rsidRDefault="00625A5B" w:rsidP="009A7E55">
      <w:pPr>
        <w:pStyle w:val="Translit"/>
      </w:pPr>
      <w:r w:rsidRPr="008F03E5">
        <w:t>Chihriq, Chehriq, Chahriq</w:t>
      </w:r>
      <w:r w:rsidRPr="008F03E5">
        <w:tab/>
      </w:r>
      <w:r w:rsidRPr="008F03E5">
        <w:rPr>
          <w:u w:val="single"/>
        </w:rPr>
        <w:t>Ch</w:t>
      </w:r>
      <w:r w:rsidRPr="008F03E5">
        <w:t>ihríq</w:t>
      </w:r>
      <w:r w:rsidRPr="008F03E5">
        <w:tab/>
      </w:r>
      <w:r>
        <w:t>(</w:t>
      </w:r>
      <w:r w:rsidRPr="001C0BFA">
        <w:t>Čahrīk</w:t>
      </w:r>
      <w:r>
        <w:t xml:space="preserve">, Turkic “challenge”) </w:t>
      </w:r>
      <w:r w:rsidRPr="008F03E5">
        <w:rPr>
          <w:rFonts w:eastAsia="PMingLiU"/>
          <w:lang w:eastAsia="zh-TW"/>
        </w:rPr>
        <w:t xml:space="preserve">Qal‘ah </w:t>
      </w:r>
      <w:r w:rsidRPr="008F03E5">
        <w:rPr>
          <w:u w:val="single"/>
        </w:rPr>
        <w:t>Ch</w:t>
      </w:r>
      <w:r w:rsidRPr="008F03E5">
        <w:t>ihríq (“Shimko Castle”, see Şikák)</w:t>
      </w:r>
      <w:r w:rsidRPr="008F03E5">
        <w:rPr>
          <w:rFonts w:eastAsia="PMingLiU"/>
          <w:lang w:eastAsia="zh-TW"/>
        </w:rPr>
        <w:t xml:space="preserve"> is a </w:t>
      </w:r>
      <w:r w:rsidRPr="008F03E5">
        <w:t xml:space="preserve">citadel in Kurdish </w:t>
      </w:r>
      <w:r>
        <w:t>Ádhirbayján</w:t>
      </w:r>
      <w:r w:rsidRPr="008F03E5">
        <w:t>, designated by the Báb as Jabal-i-</w:t>
      </w:r>
      <w:r w:rsidRPr="008F03E5">
        <w:rPr>
          <w:u w:val="single"/>
        </w:rPr>
        <w:t>Sh</w:t>
      </w:r>
      <w:r w:rsidRPr="008F03E5">
        <w:t xml:space="preserve">adíd (the “Grievous Mountain”), name chosen based on </w:t>
      </w:r>
      <w:r w:rsidRPr="008F03E5">
        <w:rPr>
          <w:u w:val="single"/>
        </w:rPr>
        <w:t>Ch</w:t>
      </w:r>
      <w:r w:rsidRPr="008F03E5">
        <w:t xml:space="preserve">ihríq and </w:t>
      </w:r>
      <w:r w:rsidRPr="008F03E5">
        <w:rPr>
          <w:u w:val="single"/>
        </w:rPr>
        <w:t>Sh</w:t>
      </w:r>
      <w:r w:rsidRPr="008F03E5">
        <w:t xml:space="preserve">adíd (“grievous”) having the same abjad value of 318.  He was imprisoned there May 1848–July 1850.  There are two villages:  </w:t>
      </w:r>
      <w:r w:rsidRPr="008F03E5">
        <w:rPr>
          <w:u w:val="single"/>
        </w:rPr>
        <w:t>Ch</w:t>
      </w:r>
      <w:r w:rsidRPr="008F03E5">
        <w:t xml:space="preserve">ihríq-i-Ulya (“Upper” </w:t>
      </w:r>
      <w:r w:rsidRPr="008F03E5">
        <w:rPr>
          <w:u w:val="single"/>
        </w:rPr>
        <w:t>Ch</w:t>
      </w:r>
      <w:r w:rsidRPr="008F03E5">
        <w:t xml:space="preserve">ihríq, 38.079311, 44.599834), about 70 km </w:t>
      </w:r>
      <w:r w:rsidRPr="008F03E5">
        <w:rPr>
          <w:sz w:val="16"/>
          <w:szCs w:val="16"/>
        </w:rPr>
        <w:t>NW</w:t>
      </w:r>
      <w:r w:rsidRPr="008F03E5">
        <w:t xml:space="preserve"> of Urmia; and </w:t>
      </w:r>
      <w:r w:rsidRPr="008F03E5">
        <w:rPr>
          <w:u w:val="single"/>
        </w:rPr>
        <w:t>Ch</w:t>
      </w:r>
      <w:r w:rsidRPr="008F03E5">
        <w:t xml:space="preserve">ihríq-i-Suflá (“Lower” </w:t>
      </w:r>
      <w:r w:rsidRPr="008F03E5">
        <w:rPr>
          <w:u w:val="single"/>
        </w:rPr>
        <w:t>Ch</w:t>
      </w:r>
      <w:r w:rsidRPr="008F03E5">
        <w:t xml:space="preserve">ihríq, 38.076439, 44.611989) is 1 km </w:t>
      </w:r>
      <w:r w:rsidRPr="008F03E5">
        <w:rPr>
          <w:sz w:val="16"/>
          <w:szCs w:val="16"/>
        </w:rPr>
        <w:t>ESE</w:t>
      </w:r>
      <w:r w:rsidRPr="008F03E5">
        <w:t xml:space="preserve"> of </w:t>
      </w:r>
      <w:r w:rsidRPr="008F03E5">
        <w:rPr>
          <w:u w:val="single"/>
        </w:rPr>
        <w:t>Ch</w:t>
      </w:r>
      <w:r w:rsidRPr="008F03E5">
        <w:t xml:space="preserve">ihríq-i-Ulya.  The ruins of the fortress (38.080166, 44.589550) is on the end of a ridge with steep sides between the now largely dry Zúlá </w:t>
      </w:r>
      <w:r w:rsidRPr="008F03E5">
        <w:rPr>
          <w:u w:val="single"/>
        </w:rPr>
        <w:t>Ch</w:t>
      </w:r>
      <w:r w:rsidRPr="008F03E5">
        <w:t xml:space="preserve">áy River and a side stream.  It is </w:t>
      </w:r>
      <w:r>
        <w:t>about 0.8</w:t>
      </w:r>
      <w:r w:rsidRPr="008F03E5">
        <w:t xml:space="preserve"> km to the west of </w:t>
      </w:r>
      <w:r w:rsidRPr="008F03E5">
        <w:rPr>
          <w:u w:val="single"/>
        </w:rPr>
        <w:t>Ch</w:t>
      </w:r>
      <w:r w:rsidRPr="008F03E5">
        <w:t xml:space="preserve">ihríq-i-Ulya and 19 km </w:t>
      </w:r>
      <w:r w:rsidRPr="00442EAD">
        <w:rPr>
          <w:sz w:val="16"/>
          <w:szCs w:val="16"/>
        </w:rPr>
        <w:t>SE</w:t>
      </w:r>
      <w:r w:rsidRPr="008F03E5">
        <w:t xml:space="preserve"> of the modern Türkye border.  Access to the fort was only possible by crossing the river, making it more difficult for the Báb’s followers to reach him.</w:t>
      </w:r>
      <w:r>
        <w:t xml:space="preserve">  Armenian Christians (they left about 1830) lived in the walled village (with a church) below the castle.  They had a second church (</w:t>
      </w:r>
      <w:r w:rsidRPr="0019100C">
        <w:t>38.078982, 44.591295</w:t>
      </w:r>
      <w:r>
        <w:t>) 200 m to the south and a cemetery west of this church.</w:t>
      </w:r>
    </w:p>
    <w:p w14:paraId="54F1C2CA" w14:textId="77777777" w:rsidR="00625A5B" w:rsidRPr="008F03E5" w:rsidRDefault="00625A5B" w:rsidP="00746991">
      <w:pPr>
        <w:pStyle w:val="Translit"/>
      </w:pPr>
      <w:r w:rsidRPr="008F03E5">
        <w:t>Chilaw-kabab</w:t>
      </w:r>
      <w:r w:rsidRPr="008F03E5">
        <w:tab/>
      </w:r>
      <w:r w:rsidRPr="008F03E5">
        <w:rPr>
          <w:u w:val="single"/>
        </w:rPr>
        <w:t>Ch</w:t>
      </w:r>
      <w:r w:rsidRPr="008F03E5">
        <w:t>iláw-kabáb</w:t>
      </w:r>
      <w:r w:rsidRPr="008F03E5">
        <w:tab/>
        <w:t>“national dish” of Iran; cooked rice with one of many varieties of kebab</w:t>
      </w:r>
    </w:p>
    <w:p w14:paraId="59CA9938" w14:textId="77777777" w:rsidR="00625A5B" w:rsidRPr="008F03E5" w:rsidRDefault="00625A5B" w:rsidP="00813A88">
      <w:pPr>
        <w:pStyle w:val="Translit"/>
      </w:pPr>
      <w:r w:rsidRPr="008F03E5">
        <w:t>Chinar</w:t>
      </w:r>
      <w:r w:rsidRPr="008F03E5">
        <w:tab/>
      </w:r>
      <w:r w:rsidRPr="008F03E5">
        <w:rPr>
          <w:u w:val="single"/>
        </w:rPr>
        <w:t>Ch</w:t>
      </w:r>
      <w:r w:rsidRPr="008F03E5">
        <w:t>inár</w:t>
      </w:r>
      <w:r w:rsidRPr="008F03E5">
        <w:tab/>
        <w:t>Pers. chenar or Oriental plane tree</w:t>
      </w:r>
    </w:p>
    <w:p w14:paraId="4C64F161" w14:textId="77777777" w:rsidR="00625A5B" w:rsidRPr="008F03E5" w:rsidRDefault="00625A5B" w:rsidP="007E772B">
      <w:pPr>
        <w:pStyle w:val="Translit"/>
      </w:pPr>
      <w:r w:rsidRPr="008F03E5">
        <w:t>Chinar-Sukhtih</w:t>
      </w:r>
      <w:r w:rsidRPr="008F03E5">
        <w:tab/>
      </w:r>
      <w:r w:rsidRPr="008F03E5">
        <w:rPr>
          <w:u w:val="single"/>
        </w:rPr>
        <w:t>Ch</w:t>
      </w:r>
      <w:r w:rsidRPr="008F03E5">
        <w:t>inár-Sú</w:t>
      </w:r>
      <w:r w:rsidRPr="008F03E5">
        <w:rPr>
          <w:u w:val="single"/>
        </w:rPr>
        <w:t>kh</w:t>
      </w:r>
      <w:r w:rsidRPr="008F03E5">
        <w:t>tih</w:t>
      </w:r>
      <w:r w:rsidRPr="008F03E5">
        <w:tab/>
        <w:t xml:space="preserve">“burnt tree”, a section of Nayriz (south and </w:t>
      </w:r>
      <w:r w:rsidRPr="008F03E5">
        <w:rPr>
          <w:sz w:val="16"/>
          <w:szCs w:val="16"/>
        </w:rPr>
        <w:t>SW</w:t>
      </w:r>
      <w:r w:rsidRPr="008F03E5">
        <w:t xml:space="preserve"> of city centre) that includes the Masjid Jámi‘ Kabír.  Varqá’s house ≈ 29.189037, 54.326549.  Qal‘ah-i-</w:t>
      </w:r>
      <w:r w:rsidRPr="008F03E5">
        <w:rPr>
          <w:u w:val="single"/>
        </w:rPr>
        <w:t>Kh</w:t>
      </w:r>
      <w:r w:rsidRPr="008F03E5">
        <w:t>wájah (≈ 29.194332, 54.337368) was ≈ 1 km to the east.</w:t>
      </w:r>
    </w:p>
    <w:p w14:paraId="578CEFA0" w14:textId="77777777" w:rsidR="00625A5B" w:rsidRPr="008F03E5" w:rsidRDefault="00625A5B" w:rsidP="0021587E">
      <w:pPr>
        <w:pStyle w:val="Translit"/>
      </w:pPr>
      <w:r w:rsidRPr="008F03E5">
        <w:t>Chiragh (Cheragh, Chiraq)</w:t>
      </w:r>
      <w:r w:rsidRPr="008F03E5">
        <w:tab/>
      </w:r>
      <w:r w:rsidRPr="008F03E5">
        <w:rPr>
          <w:u w:val="single"/>
        </w:rPr>
        <w:t>Ch</w:t>
      </w:r>
      <w:r w:rsidRPr="008F03E5">
        <w:t>irá</w:t>
      </w:r>
      <w:r w:rsidRPr="008F03E5">
        <w:rPr>
          <w:u w:val="single"/>
        </w:rPr>
        <w:t>gh</w:t>
      </w:r>
      <w:r w:rsidRPr="008F03E5">
        <w:tab/>
        <w:t xml:space="preserve">Pers. a lamp; light; the wick of a candle; a guide, director; a client, dependant; a horse’s rearing; a pasture.  </w:t>
      </w:r>
      <w:r w:rsidRPr="008F03E5">
        <w:rPr>
          <w:u w:val="single"/>
        </w:rPr>
        <w:t>Sh</w:t>
      </w:r>
      <w:r w:rsidRPr="008F03E5">
        <w:t xml:space="preserve">áh </w:t>
      </w:r>
      <w:r w:rsidRPr="008F03E5">
        <w:rPr>
          <w:u w:val="single"/>
        </w:rPr>
        <w:t>Ch</w:t>
      </w:r>
      <w:r w:rsidRPr="008F03E5">
        <w:t>irá</w:t>
      </w:r>
      <w:r w:rsidRPr="008F03E5">
        <w:rPr>
          <w:u w:val="single"/>
        </w:rPr>
        <w:t>gh</w:t>
      </w:r>
      <w:r w:rsidRPr="008F03E5">
        <w:t xml:space="preserve"> (29.609674, 52.543340) is a funerary monument and mosque in Shiraz.  See Ar. Siráj.</w:t>
      </w:r>
    </w:p>
    <w:p w14:paraId="54D1C1B6" w14:textId="77777777" w:rsidR="00625A5B" w:rsidRPr="008F03E5" w:rsidRDefault="00625A5B" w:rsidP="00867666">
      <w:pPr>
        <w:pStyle w:val="Translit"/>
      </w:pPr>
      <w:r w:rsidRPr="008F03E5">
        <w:t>Chisht</w:t>
      </w:r>
      <w:r w:rsidRPr="008F03E5">
        <w:tab/>
      </w:r>
      <w:r w:rsidRPr="008F03E5">
        <w:rPr>
          <w:u w:val="single"/>
        </w:rPr>
        <w:t>Ch</w:t>
      </w:r>
      <w:r w:rsidRPr="008F03E5">
        <w:t>i</w:t>
      </w:r>
      <w:r w:rsidRPr="008F03E5">
        <w:rPr>
          <w:u w:val="single"/>
        </w:rPr>
        <w:t>sh</w:t>
      </w:r>
      <w:r w:rsidRPr="008F03E5">
        <w:t>t</w:t>
      </w:r>
      <w:r w:rsidRPr="008F03E5">
        <w:tab/>
        <w:t xml:space="preserve">town (now city, </w:t>
      </w:r>
      <w:r w:rsidRPr="008F03E5">
        <w:rPr>
          <w:u w:val="single"/>
        </w:rPr>
        <w:t>Ch</w:t>
      </w:r>
      <w:r w:rsidRPr="008F03E5">
        <w:t>i</w:t>
      </w:r>
      <w:r w:rsidRPr="008F03E5">
        <w:rPr>
          <w:u w:val="single"/>
        </w:rPr>
        <w:t>sh</w:t>
      </w:r>
      <w:r w:rsidRPr="008F03E5">
        <w:t xml:space="preserve">ti </w:t>
      </w:r>
      <w:r w:rsidRPr="008F03E5">
        <w:rPr>
          <w:u w:val="single"/>
        </w:rPr>
        <w:t>Sh</w:t>
      </w:r>
      <w:r w:rsidRPr="008F03E5">
        <w:t>aríf, 34.342240, 63.738131) 140 km east of Heart, Afghanistan (formerly eastern Persia)</w:t>
      </w:r>
    </w:p>
    <w:p w14:paraId="0E01553D" w14:textId="77777777" w:rsidR="00625A5B" w:rsidRPr="008F03E5" w:rsidRDefault="00625A5B" w:rsidP="00203811">
      <w:pPr>
        <w:pStyle w:val="Translit"/>
        <w:rPr>
          <w:rFonts w:eastAsia="Times New Roman"/>
        </w:rPr>
      </w:pPr>
      <w:r w:rsidRPr="008F03E5">
        <w:rPr>
          <w:rFonts w:eastAsia="Times New Roman"/>
        </w:rPr>
        <w:t>Chishti</w:t>
      </w:r>
      <w:r w:rsidRPr="008F03E5">
        <w:rPr>
          <w:rFonts w:eastAsia="Times New Roman"/>
        </w:rPr>
        <w:tab/>
      </w:r>
      <w:r w:rsidRPr="008F03E5">
        <w:rPr>
          <w:rFonts w:eastAsia="Times New Roman"/>
          <w:u w:val="single"/>
        </w:rPr>
        <w:t>Ch</w:t>
      </w:r>
      <w:r w:rsidRPr="008F03E5">
        <w:rPr>
          <w:rFonts w:eastAsia="Times New Roman"/>
        </w:rPr>
        <w:t>i</w:t>
      </w:r>
      <w:r w:rsidRPr="008F03E5">
        <w:rPr>
          <w:rFonts w:eastAsia="Times New Roman"/>
          <w:u w:val="single"/>
        </w:rPr>
        <w:t>sh</w:t>
      </w:r>
      <w:r w:rsidRPr="008F03E5">
        <w:rPr>
          <w:rFonts w:eastAsia="Times New Roman"/>
        </w:rPr>
        <w:t>t</w:t>
      </w:r>
      <w:r w:rsidRPr="008F03E5">
        <w:t>í</w:t>
      </w:r>
      <w:r w:rsidRPr="008F03E5">
        <w:rPr>
          <w:rFonts w:eastAsia="Times New Roman"/>
        </w:rPr>
        <w:tab/>
      </w:r>
      <w:r w:rsidRPr="008F03E5">
        <w:rPr>
          <w:rFonts w:eastAsia="Times New Roman"/>
          <w:u w:val="single"/>
        </w:rPr>
        <w:t>Ch</w:t>
      </w:r>
      <w:r w:rsidRPr="008F03E5">
        <w:rPr>
          <w:rFonts w:eastAsia="Times New Roman"/>
        </w:rPr>
        <w:t>i</w:t>
      </w:r>
      <w:r w:rsidRPr="008F03E5">
        <w:rPr>
          <w:rFonts w:eastAsia="Times New Roman"/>
          <w:u w:val="single"/>
        </w:rPr>
        <w:t>sh</w:t>
      </w:r>
      <w:r w:rsidRPr="008F03E5">
        <w:rPr>
          <w:rFonts w:eastAsia="Times New Roman"/>
        </w:rPr>
        <w:t xml:space="preserve">tí </w:t>
      </w:r>
      <w:r w:rsidRPr="008F03E5">
        <w:t>Ṣú</w:t>
      </w:r>
      <w:r w:rsidRPr="008F03E5">
        <w:rPr>
          <w:rFonts w:eastAsia="Times New Roman"/>
        </w:rPr>
        <w:t>f</w:t>
      </w:r>
      <w:r w:rsidRPr="008F03E5">
        <w:t>í</w:t>
      </w:r>
      <w:r w:rsidRPr="008F03E5">
        <w:rPr>
          <w:rFonts w:eastAsia="Times New Roman"/>
        </w:rPr>
        <w:t xml:space="preserve"> Order is known for its emphasis on love, tolerance and openness.  It began with Ab</w:t>
      </w:r>
      <w:r w:rsidRPr="008F03E5">
        <w:t>ú</w:t>
      </w:r>
      <w:r w:rsidRPr="008F03E5">
        <w:rPr>
          <w:rFonts w:eastAsia="Times New Roman"/>
        </w:rPr>
        <w:t xml:space="preserve"> </w:t>
      </w:r>
      <w:r w:rsidRPr="008F03E5">
        <w:t>Isḥáq</w:t>
      </w:r>
      <w:r w:rsidRPr="008F03E5">
        <w:rPr>
          <w:rFonts w:eastAsia="Times New Roman"/>
        </w:rPr>
        <w:t xml:space="preserve"> </w:t>
      </w:r>
      <w:r w:rsidRPr="008F03E5">
        <w:rPr>
          <w:u w:val="single"/>
          <w:lang w:eastAsia="en-US"/>
        </w:rPr>
        <w:t>Sh</w:t>
      </w:r>
      <w:r w:rsidRPr="008F03E5">
        <w:rPr>
          <w:lang w:eastAsia="en-US"/>
        </w:rPr>
        <w:t>ámí</w:t>
      </w:r>
      <w:r w:rsidRPr="008F03E5">
        <w:rPr>
          <w:rFonts w:eastAsia="Times New Roman"/>
        </w:rPr>
        <w:t xml:space="preserve"> (d. 940) in </w:t>
      </w:r>
      <w:r w:rsidRPr="008F03E5">
        <w:rPr>
          <w:rFonts w:eastAsia="Times New Roman"/>
          <w:u w:val="single"/>
        </w:rPr>
        <w:t>Ch</w:t>
      </w:r>
      <w:r w:rsidRPr="008F03E5">
        <w:rPr>
          <w:rFonts w:eastAsia="Times New Roman"/>
        </w:rPr>
        <w:t>i</w:t>
      </w:r>
      <w:r w:rsidRPr="008F03E5">
        <w:rPr>
          <w:rFonts w:eastAsia="Times New Roman"/>
          <w:u w:val="single"/>
        </w:rPr>
        <w:t>sh</w:t>
      </w:r>
      <w:r w:rsidRPr="008F03E5">
        <w:rPr>
          <w:rFonts w:eastAsia="Times New Roman"/>
        </w:rPr>
        <w:t xml:space="preserve">t, c. </w:t>
      </w:r>
      <w:r w:rsidRPr="008F03E5">
        <w:rPr>
          <w:rFonts w:eastAsia="Times New Roman"/>
          <w:sz w:val="16"/>
          <w:szCs w:val="16"/>
        </w:rPr>
        <w:t>CE</w:t>
      </w:r>
      <w:r w:rsidRPr="008F03E5">
        <w:rPr>
          <w:rFonts w:eastAsia="Times New Roman"/>
        </w:rPr>
        <w:t xml:space="preserve"> 930.  It was the first of the four main Sufi orders (</w:t>
      </w:r>
      <w:r w:rsidRPr="008F03E5">
        <w:rPr>
          <w:rFonts w:eastAsia="Times New Roman"/>
          <w:u w:val="single"/>
        </w:rPr>
        <w:t>Ch</w:t>
      </w:r>
      <w:r w:rsidRPr="008F03E5">
        <w:rPr>
          <w:rFonts w:eastAsia="Times New Roman"/>
        </w:rPr>
        <w:t>i</w:t>
      </w:r>
      <w:r w:rsidRPr="008F03E5">
        <w:rPr>
          <w:rFonts w:eastAsia="Times New Roman"/>
          <w:u w:val="single"/>
        </w:rPr>
        <w:t>sh</w:t>
      </w:r>
      <w:r w:rsidRPr="008F03E5">
        <w:rPr>
          <w:rFonts w:eastAsia="Times New Roman"/>
        </w:rPr>
        <w:t>t</w:t>
      </w:r>
      <w:r w:rsidRPr="008F03E5">
        <w:t>í</w:t>
      </w:r>
      <w:r w:rsidRPr="008F03E5">
        <w:rPr>
          <w:rFonts w:eastAsia="Times New Roman"/>
        </w:rPr>
        <w:t xml:space="preserve">, </w:t>
      </w:r>
      <w:r w:rsidRPr="008F03E5">
        <w:t>Qádiríya</w:t>
      </w:r>
      <w:r w:rsidRPr="008F03E5">
        <w:rPr>
          <w:rFonts w:eastAsia="Times New Roman"/>
        </w:rPr>
        <w:t>, Suhraward</w:t>
      </w:r>
      <w:r w:rsidRPr="008F03E5">
        <w:t>í</w:t>
      </w:r>
      <w:r w:rsidRPr="008F03E5">
        <w:rPr>
          <w:rFonts w:eastAsia="Times New Roman"/>
        </w:rPr>
        <w:t xml:space="preserve"> and </w:t>
      </w:r>
      <w:r w:rsidRPr="008F03E5">
        <w:t>Naq</w:t>
      </w:r>
      <w:r w:rsidRPr="008F03E5">
        <w:rPr>
          <w:u w:val="single"/>
        </w:rPr>
        <w:t>sh</w:t>
      </w:r>
      <w:r w:rsidRPr="008F03E5">
        <w:t>bandí</w:t>
      </w:r>
      <w:r w:rsidRPr="008F03E5">
        <w:rPr>
          <w:rFonts w:eastAsia="Times New Roman"/>
        </w:rPr>
        <w:t>) to be established in this region.</w:t>
      </w:r>
    </w:p>
    <w:p w14:paraId="642FAAC6" w14:textId="77777777" w:rsidR="00625A5B" w:rsidRPr="008F03E5" w:rsidRDefault="00625A5B" w:rsidP="007E772B">
      <w:pPr>
        <w:pStyle w:val="Translit"/>
      </w:pPr>
      <w:r w:rsidRPr="008F03E5">
        <w:t>Chiz, Chi</w:t>
      </w:r>
      <w:r w:rsidRPr="008F03E5">
        <w:tab/>
      </w:r>
      <w:r w:rsidRPr="008F03E5">
        <w:rPr>
          <w:u w:val="single"/>
        </w:rPr>
        <w:t>Ch</w:t>
      </w:r>
      <w:r w:rsidRPr="008F03E5">
        <w:t xml:space="preserve">íz, </w:t>
      </w:r>
      <w:r w:rsidRPr="008F03E5">
        <w:rPr>
          <w:u w:val="single"/>
        </w:rPr>
        <w:t>Ch</w:t>
      </w:r>
      <w:r w:rsidRPr="008F03E5">
        <w:t>í</w:t>
      </w:r>
      <w:r w:rsidRPr="008F03E5">
        <w:tab/>
        <w:t>Pers. something; who? what? which? a Turkish affix to form words denoting the agent</w:t>
      </w:r>
    </w:p>
    <w:p w14:paraId="13B74ED1" w14:textId="77777777" w:rsidR="00625A5B" w:rsidRPr="008F03E5" w:rsidRDefault="00625A5B" w:rsidP="00393610">
      <w:pPr>
        <w:pStyle w:val="Translit"/>
      </w:pPr>
      <w:r w:rsidRPr="008F03E5">
        <w:t>Chub (Chob)</w:t>
      </w:r>
      <w:r w:rsidRPr="008F03E5">
        <w:tab/>
      </w:r>
      <w:r w:rsidRPr="008F03E5">
        <w:rPr>
          <w:u w:val="single"/>
        </w:rPr>
        <w:t>Ch</w:t>
      </w:r>
      <w:r w:rsidRPr="008F03E5">
        <w:t>úb</w:t>
      </w:r>
      <w:r w:rsidRPr="008F03E5">
        <w:tab/>
        <w:t>Pers. a log; wood; a tree; a staff, rod, baton, stick; a drumstick; a beam; a plough-tail; a shoot of a tree, sucker</w:t>
      </w:r>
    </w:p>
    <w:p w14:paraId="7A575614" w14:textId="77777777" w:rsidR="00625A5B" w:rsidRPr="008F03E5" w:rsidRDefault="00625A5B" w:rsidP="00843A3B">
      <w:pPr>
        <w:pStyle w:val="Translit"/>
      </w:pPr>
      <w:r w:rsidRPr="008F03E5">
        <w:t>Chubin Dar, Chubindar, Jubin</w:t>
      </w:r>
      <w:r w:rsidRPr="008F03E5">
        <w:tab/>
      </w:r>
      <w:r w:rsidRPr="008F03E5">
        <w:rPr>
          <w:u w:val="single"/>
        </w:rPr>
        <w:t>Ch</w:t>
      </w:r>
      <w:r w:rsidRPr="008F03E5">
        <w:t>úbín Dar</w:t>
      </w:r>
      <w:r w:rsidRPr="008F03E5">
        <w:tab/>
        <w:t xml:space="preserve">(Choobindar Choubindar; also known as Júbín Dar, </w:t>
      </w:r>
      <w:r w:rsidRPr="008F03E5">
        <w:rPr>
          <w:u w:val="single"/>
        </w:rPr>
        <w:t>Ch</w:t>
      </w:r>
      <w:r w:rsidRPr="008F03E5">
        <w:t xml:space="preserve">úbín, and Chundar) is a village to the </w:t>
      </w:r>
      <w:r w:rsidRPr="008F03E5">
        <w:rPr>
          <w:sz w:val="16"/>
          <w:szCs w:val="16"/>
        </w:rPr>
        <w:t>SW</w:t>
      </w:r>
      <w:r w:rsidRPr="008F03E5">
        <w:t xml:space="preserve"> of Qazvín.  </w:t>
      </w:r>
      <w:r w:rsidRPr="008F03E5">
        <w:rPr>
          <w:u w:val="single"/>
        </w:rPr>
        <w:t>Ch</w:t>
      </w:r>
      <w:r w:rsidRPr="008F03E5">
        <w:t>úbín Dar Zindán (Prison) is on the west side of the village.  See Sijn-i-Matín</w:t>
      </w:r>
    </w:p>
    <w:p w14:paraId="038E3947" w14:textId="77777777" w:rsidR="00625A5B" w:rsidRPr="008F03E5" w:rsidRDefault="00625A5B" w:rsidP="00407FC2">
      <w:pPr>
        <w:pStyle w:val="Translit"/>
      </w:pPr>
      <w:r w:rsidRPr="008F03E5">
        <w:t>Chula (Chuleh, Chulih, Choleh)</w:t>
      </w:r>
      <w:r w:rsidRPr="008F03E5">
        <w:tab/>
      </w:r>
      <w:r w:rsidRPr="008F03E5">
        <w:rPr>
          <w:u w:val="single"/>
        </w:rPr>
        <w:t>Ch</w:t>
      </w:r>
      <w:r w:rsidRPr="008F03E5">
        <w:t>úla (</w:t>
      </w:r>
      <w:r w:rsidRPr="008F03E5">
        <w:rPr>
          <w:rFonts w:eastAsia="Times New Roman"/>
          <w:rtl/>
        </w:rPr>
        <w:t>چوله</w:t>
      </w:r>
      <w:r w:rsidRPr="008F03E5">
        <w:t>)</w:t>
      </w:r>
      <w:r w:rsidRPr="008F03E5">
        <w:tab/>
        <w:t>Pers. porcupine</w:t>
      </w:r>
    </w:p>
    <w:p w14:paraId="0237FD96" w14:textId="77777777" w:rsidR="00625A5B" w:rsidRPr="008F03E5" w:rsidRDefault="00625A5B" w:rsidP="00FA076E">
      <w:pPr>
        <w:pStyle w:val="Translit"/>
      </w:pPr>
      <w:r w:rsidRPr="008F03E5">
        <w:t>Chulaw (Chulav), Chilaw</w:t>
      </w:r>
      <w:r w:rsidRPr="008F03E5">
        <w:tab/>
      </w:r>
      <w:r w:rsidRPr="008F03E5">
        <w:rPr>
          <w:u w:val="single"/>
        </w:rPr>
        <w:t>Ch</w:t>
      </w:r>
      <w:r w:rsidRPr="008F03E5">
        <w:t>uláw (</w:t>
      </w:r>
      <w:r w:rsidRPr="008F03E5">
        <w:rPr>
          <w:u w:val="single"/>
        </w:rPr>
        <w:t>Ch</w:t>
      </w:r>
      <w:r w:rsidRPr="008F03E5">
        <w:t>uláv)</w:t>
      </w:r>
      <w:r w:rsidRPr="008F03E5">
        <w:tab/>
        <w:t>Pers. plain boiled rice</w:t>
      </w:r>
    </w:p>
    <w:p w14:paraId="39081E16" w14:textId="77777777" w:rsidR="00625A5B" w:rsidRPr="008F03E5" w:rsidRDefault="00625A5B" w:rsidP="00AB6586">
      <w:pPr>
        <w:pStyle w:val="Translit"/>
      </w:pPr>
      <w:r w:rsidRPr="008F03E5">
        <w:t>Chupan</w:t>
      </w:r>
      <w:r w:rsidRPr="008F03E5">
        <w:tab/>
      </w:r>
      <w:r w:rsidRPr="008F03E5">
        <w:rPr>
          <w:u w:val="single"/>
        </w:rPr>
        <w:t>Ch</w:t>
      </w:r>
      <w:r w:rsidRPr="008F03E5">
        <w:t>úpán</w:t>
      </w:r>
      <w:r w:rsidRPr="008F03E5">
        <w:tab/>
        <w:t xml:space="preserve">Pers. (Chopan, Copan) a shepherd.  Amír </w:t>
      </w:r>
      <w:r w:rsidRPr="008F03E5">
        <w:rPr>
          <w:u w:val="single"/>
        </w:rPr>
        <w:t>Ch</w:t>
      </w:r>
      <w:r w:rsidRPr="008F03E5">
        <w:t xml:space="preserve">úpán and Dr </w:t>
      </w:r>
      <w:r w:rsidRPr="008F03E5">
        <w:rPr>
          <w:u w:val="single"/>
        </w:rPr>
        <w:t>Ch</w:t>
      </w:r>
      <w:r w:rsidRPr="008F03E5">
        <w:t>úpán.</w:t>
      </w:r>
    </w:p>
    <w:p w14:paraId="07770D7C" w14:textId="77777777" w:rsidR="00625A5B" w:rsidRPr="008F03E5" w:rsidRDefault="00625A5B" w:rsidP="00900A82">
      <w:pPr>
        <w:pStyle w:val="Translit"/>
      </w:pPr>
      <w:r w:rsidRPr="008F03E5">
        <w:t>Comforter</w:t>
      </w:r>
      <w:r w:rsidRPr="008F03E5">
        <w:tab/>
        <w:t>Comforter</w:t>
      </w:r>
      <w:r w:rsidRPr="008F03E5">
        <w:tab/>
        <w:t xml:space="preserve">(Gk. Paracletos)  Muḥammad and Aḥmad (“the Praised One”, “a Mercy for all creatures” and “most kind and merciful to the Believers”) are almost a translation of the Greek word </w:t>
      </w:r>
      <w:r w:rsidRPr="008F03E5">
        <w:rPr>
          <w:i/>
          <w:iCs/>
        </w:rPr>
        <w:t>Periclytos</w:t>
      </w:r>
      <w:r w:rsidRPr="008F03E5">
        <w:t xml:space="preserve">.  The use of “Comforter” in the John 14:16 and 16:7 is based on the Greek word </w:t>
      </w:r>
      <w:r w:rsidRPr="008F03E5">
        <w:rPr>
          <w:i/>
          <w:iCs/>
        </w:rPr>
        <w:t>Paracletos</w:t>
      </w:r>
      <w:r w:rsidRPr="008F03E5">
        <w:t xml:space="preserve"> (“Advocate”, “one called to the help of another, a kind friend”).  Muslims argue that Paracletos is a corrupt reading for Periclytos.</w:t>
      </w:r>
    </w:p>
    <w:p w14:paraId="7D4D1035" w14:textId="77777777" w:rsidR="00625A5B" w:rsidRPr="008F03E5" w:rsidRDefault="00625A5B" w:rsidP="007E772B">
      <w:pPr>
        <w:pStyle w:val="Translit"/>
      </w:pPr>
      <w:r w:rsidRPr="008F03E5">
        <w:t>Cunningham</w:t>
      </w:r>
      <w:r w:rsidRPr="008F03E5">
        <w:tab/>
        <w:t>Cunningham</w:t>
      </w:r>
      <w:r w:rsidRPr="008F03E5">
        <w:tab/>
        <w:t>1919 model car arrived Port Said early January 1920 (</w:t>
      </w:r>
      <w:r w:rsidRPr="008F03E5">
        <w:rPr>
          <w:i/>
          <w:iCs/>
        </w:rPr>
        <w:t>Prelude to the Guardianship</w:t>
      </w:r>
      <w:r w:rsidRPr="008F03E5">
        <w:t>, p. 126).  Recently restored and stored in an air conditioned building at the front of 7 Har-Parsim St, Haifa.</w:t>
      </w:r>
    </w:p>
    <w:p w14:paraId="1073AA02" w14:textId="77777777" w:rsidR="00625A5B" w:rsidRPr="008F03E5" w:rsidRDefault="00625A5B" w:rsidP="0024326A">
      <w:pPr>
        <w:pStyle w:val="Myhead"/>
      </w:pPr>
      <w:bookmarkStart w:id="64" w:name="D"/>
      <w:r w:rsidRPr="008F03E5">
        <w:t>D</w:t>
      </w:r>
      <w:bookmarkEnd w:id="64"/>
    </w:p>
    <w:p w14:paraId="404DBFA8" w14:textId="77777777" w:rsidR="00625A5B" w:rsidRPr="008F03E5" w:rsidRDefault="00625A5B" w:rsidP="008C69A7">
      <w:pPr>
        <w:pStyle w:val="Translit"/>
      </w:pPr>
      <w:r w:rsidRPr="008F03E5">
        <w:t>Da’a, Du’a’</w:t>
      </w:r>
      <w:r w:rsidRPr="008F03E5">
        <w:tab/>
        <w:t>Da‘á, Du‘á’</w:t>
      </w:r>
      <w:r w:rsidRPr="008F03E5">
        <w:tab/>
        <w:t>Ar. to call (someone); to summon, call or send for someone; to call up; to call upon someone, appeal to someone for something or to do something; to propagate, propagandize (something), make propaganda, make publicity (for)</w:t>
      </w:r>
    </w:p>
    <w:p w14:paraId="01BE5AF7" w14:textId="77777777" w:rsidR="00625A5B" w:rsidRPr="008F03E5" w:rsidRDefault="00625A5B" w:rsidP="00602F30">
      <w:pPr>
        <w:pStyle w:val="Translit"/>
      </w:pPr>
      <w:r w:rsidRPr="008F03E5">
        <w:t>Da’i or Du’at</w:t>
      </w:r>
      <w:r w:rsidRPr="008F03E5">
        <w:tab/>
        <w:t>Dá‘í, pl. Du‘át</w:t>
      </w:r>
      <w:r w:rsidRPr="008F03E5">
        <w:tab/>
        <w:t>Pers. who or what invites or stimulates (others) to anything; who prays for, invokes a blessing upon; the Muezzm who calls to prayers; Muhammad (as caller to the faith).  Meaning also a missionary, see da’wa.</w:t>
      </w:r>
    </w:p>
    <w:p w14:paraId="7EB45B6A" w14:textId="77777777" w:rsidR="00625A5B" w:rsidRPr="008F03E5" w:rsidRDefault="00625A5B" w:rsidP="00D72F61">
      <w:pPr>
        <w:pStyle w:val="Translit"/>
      </w:pPr>
      <w:r w:rsidRPr="008F03E5">
        <w:t>Da’if, Du’afa</w:t>
      </w:r>
      <w:r w:rsidRPr="008F03E5">
        <w:tab/>
        <w:t>Ḍa‘if, pl. m. Ḍu‘afa’</w:t>
      </w:r>
      <w:r w:rsidRPr="008F03E5">
        <w:tab/>
        <w:t>weak, feeble; frail, weakly, delicate, debilitated, impotent, languid, flabby, slack</w:t>
      </w:r>
    </w:p>
    <w:p w14:paraId="6823FFB9" w14:textId="77777777" w:rsidR="00625A5B" w:rsidRPr="008F03E5" w:rsidRDefault="00625A5B" w:rsidP="00C527A2">
      <w:pPr>
        <w:pStyle w:val="Translit"/>
      </w:pPr>
      <w:r w:rsidRPr="008F03E5">
        <w:t>Da’im</w:t>
      </w:r>
      <w:r w:rsidRPr="008F03E5">
        <w:tab/>
        <w:t>Dá’im</w:t>
      </w:r>
      <w:r w:rsidRPr="008F03E5">
        <w:tab/>
        <w:t>lasting, enduring; endless, eternal, perpetual, everlasting; perennial; continued, continuous, continual, incessant, unceasing, constant; permanent, standing, established; durable.  As in permanent marriage.  Compare with munqaṭi‘.</w:t>
      </w:r>
    </w:p>
    <w:p w14:paraId="48164388" w14:textId="77777777" w:rsidR="00625A5B" w:rsidRPr="008F03E5" w:rsidRDefault="00625A5B" w:rsidP="003D329D">
      <w:pPr>
        <w:pStyle w:val="Translit"/>
      </w:pPr>
      <w:r w:rsidRPr="008F03E5">
        <w:t>Da’iman</w:t>
      </w:r>
      <w:r w:rsidRPr="008F03E5">
        <w:tab/>
        <w:t>Dá’iman</w:t>
      </w:r>
      <w:r w:rsidRPr="008F03E5">
        <w:tab/>
        <w:t>c</w:t>
      </w:r>
      <w:r w:rsidRPr="008F03E5">
        <w:rPr>
          <w:rFonts w:eastAsia="Times New Roman"/>
        </w:rPr>
        <w:t>ontinually, forever</w:t>
      </w:r>
    </w:p>
    <w:p w14:paraId="1929A4C1" w14:textId="77777777" w:rsidR="00625A5B" w:rsidRPr="008F03E5" w:rsidRDefault="00625A5B" w:rsidP="00472A06">
      <w:pPr>
        <w:pStyle w:val="Translit"/>
      </w:pPr>
      <w:r w:rsidRPr="008F03E5">
        <w:t>Da’ir</w:t>
      </w:r>
      <w:r w:rsidRPr="008F03E5">
        <w:tab/>
        <w:t>Dá’ir</w:t>
      </w:r>
      <w:r w:rsidRPr="008F03E5">
        <w:tab/>
        <w:t>turning, revolving, spinning; circulating; current (e.g., expression), common; ambulant, itinerant; in progress, under way; working, in operation; running (machine, engine); round</w:t>
      </w:r>
    </w:p>
    <w:p w14:paraId="6DA24C9D" w14:textId="77777777" w:rsidR="00625A5B" w:rsidRPr="008F03E5" w:rsidRDefault="00625A5B" w:rsidP="00BD5886">
      <w:pPr>
        <w:pStyle w:val="Translit"/>
      </w:pPr>
      <w:r w:rsidRPr="008F03E5">
        <w:t>Da’ira, Dawa’ir</w:t>
      </w:r>
      <w:r w:rsidRPr="008F03E5">
        <w:tab/>
        <w:t>Dá’ira[h], pl. Dawá’ir</w:t>
      </w:r>
      <w:r w:rsidRPr="008F03E5">
        <w:tab/>
        <w:t>circle (also mathematics); ring; circumference, perimeter, periphery; sphere, scope, range, compass, extent, circuit; field, domain (figurative); official agency, department (especially Ir., Syr., Leb.); office, bureau; department of a court of justice (e.g., Tun.); farm, country estate (e.g.); misfortune, calamity, affliction.  The Dá’ira represents the Sun of Truth (the Manifestation of the Names and attributes of God) (from the Báb).  Hence, women are called the “possessors of the circle (</w:t>
      </w:r>
      <w:r w:rsidRPr="008F03E5">
        <w:rPr>
          <w:i/>
          <w:iCs/>
        </w:rPr>
        <w:t>dá’ira</w:t>
      </w:r>
      <w:r w:rsidRPr="008F03E5">
        <w:t>)” because the Manifestation of the Names and attributes of God is enshrined within the heart of each individual.  See haykal.</w:t>
      </w:r>
    </w:p>
    <w:p w14:paraId="06620E56" w14:textId="77777777" w:rsidR="00625A5B" w:rsidRPr="008F03E5" w:rsidRDefault="00625A5B" w:rsidP="008E4CF6">
      <w:pPr>
        <w:pStyle w:val="Translit"/>
      </w:pPr>
      <w:r w:rsidRPr="008F03E5">
        <w:t>Da’ish (Daesh)</w:t>
      </w:r>
      <w:r w:rsidRPr="008F03E5">
        <w:tab/>
        <w:t>Dá‘i</w:t>
      </w:r>
      <w:r w:rsidRPr="008F03E5">
        <w:rPr>
          <w:u w:val="single"/>
        </w:rPr>
        <w:t>sh</w:t>
      </w:r>
      <w:r w:rsidRPr="008F03E5">
        <w:tab/>
        <w:t>The Islamic State of Iraq and the Levant (</w:t>
      </w:r>
      <w:r w:rsidRPr="008F03E5">
        <w:rPr>
          <w:sz w:val="16"/>
          <w:szCs w:val="16"/>
        </w:rPr>
        <w:t>ISIL</w:t>
      </w:r>
      <w:r w:rsidRPr="008F03E5">
        <w:t xml:space="preserve">, ad-Dawlah al-Islámiyah fí’l-‘Iráq wa </w:t>
      </w:r>
      <w:r w:rsidRPr="008F03E5">
        <w:rPr>
          <w:u w:val="single"/>
        </w:rPr>
        <w:t>sh</w:t>
      </w:r>
      <w:r w:rsidRPr="008F03E5">
        <w:t>-</w:t>
      </w:r>
      <w:r w:rsidRPr="008F03E5">
        <w:rPr>
          <w:u w:val="single"/>
        </w:rPr>
        <w:t>Sh</w:t>
      </w:r>
      <w:r w:rsidRPr="008F03E5">
        <w:t>ám), officially known as the Islamic State (</w:t>
      </w:r>
      <w:r w:rsidRPr="008F03E5">
        <w:rPr>
          <w:sz w:val="16"/>
          <w:szCs w:val="16"/>
        </w:rPr>
        <w:t>IS</w:t>
      </w:r>
      <w:r w:rsidRPr="008F03E5">
        <w:t>) and also known by its Arabic-language acronym Daesh (Dá‘i</w:t>
      </w:r>
      <w:r w:rsidRPr="008F03E5">
        <w:rPr>
          <w:u w:val="single"/>
        </w:rPr>
        <w:t>sh</w:t>
      </w:r>
      <w:r w:rsidRPr="008F03E5">
        <w:t>), is a terrorist militant group that follows a fundamentalist, Salafi jihadist doctrine of Sunni Islam.</w:t>
      </w:r>
    </w:p>
    <w:p w14:paraId="7ACCB0E9" w14:textId="77777777" w:rsidR="00625A5B" w:rsidRPr="008F03E5" w:rsidRDefault="00625A5B" w:rsidP="00720D5E">
      <w:pPr>
        <w:pStyle w:val="Translit"/>
      </w:pPr>
      <w:r w:rsidRPr="008F03E5">
        <w:t>Da’iya (Da’i), Dawa’in</w:t>
      </w:r>
      <w:r w:rsidRPr="008F03E5">
        <w:tab/>
        <w:t>Dá‘iya (“Dá‘í”), pl. Dawá‘in</w:t>
      </w:r>
      <w:r w:rsidRPr="008F03E5">
        <w:tab/>
        <w:t>one who calls for something, invites to something; propagandist, herald;—(pl.) motive, reason, cause, occasion; requirements, exigencies.  Hence, ad-dá‘iya, the caller.</w:t>
      </w:r>
    </w:p>
    <w:p w14:paraId="19ABD947" w14:textId="77777777" w:rsidR="00625A5B" w:rsidRPr="008F03E5" w:rsidRDefault="00625A5B" w:rsidP="007D3909">
      <w:pPr>
        <w:pStyle w:val="Translit"/>
      </w:pPr>
      <w:r w:rsidRPr="008F03E5">
        <w:t>Da’wa, Da’awa, Da’awin</w:t>
      </w:r>
      <w:r w:rsidRPr="008F03E5">
        <w:tab/>
        <w:t>Da‘wá, pl. Da‘áwá, Da‘áwin</w:t>
      </w:r>
      <w:r w:rsidRPr="008F03E5">
        <w:tab/>
        <w:t>allegation, pretension; claim; lawsuit, case, action, legal proceedings (Islamic Law).</w:t>
      </w:r>
    </w:p>
    <w:p w14:paraId="70BB2B38" w14:textId="77777777" w:rsidR="00625A5B" w:rsidRPr="008F03E5" w:rsidRDefault="00625A5B" w:rsidP="0027624D">
      <w:pPr>
        <w:pStyle w:val="Translit"/>
      </w:pPr>
      <w:r w:rsidRPr="00D45A23">
        <w:rPr>
          <w:lang w:val="de-DE"/>
        </w:rPr>
        <w:t>Da’wa, Da’awat</w:t>
      </w:r>
      <w:r w:rsidRPr="00D45A23">
        <w:rPr>
          <w:lang w:val="de-DE"/>
        </w:rPr>
        <w:tab/>
        <w:t xml:space="preserve">Da‘wa[h], pl. </w:t>
      </w:r>
      <w:r w:rsidRPr="008F03E5">
        <w:t>Da‘awát</w:t>
      </w:r>
      <w:r w:rsidRPr="008F03E5">
        <w:tab/>
        <w:t>call; appeal; bidding, demand, request; call, convocation, summons (to), calling up, summoning; (official) summons, citation; invitation; claim, demand, plea; missionary activity, missionary work, propaganda;—pl. invocation, imploration, supplication, prayer; good wish.  The summons to Islam that precedes or replaces holy war; Islamic missionary endeavour, proselytization.</w:t>
      </w:r>
    </w:p>
    <w:p w14:paraId="5775E68C" w14:textId="77777777" w:rsidR="00625A5B" w:rsidRPr="008F03E5" w:rsidRDefault="00625A5B" w:rsidP="009414F6">
      <w:pPr>
        <w:pStyle w:val="Translit"/>
      </w:pPr>
      <w:r w:rsidRPr="008F03E5">
        <w:t>Dabb, Dabab, Adubb, Dubban</w:t>
      </w:r>
      <w:r w:rsidRPr="008F03E5">
        <w:tab/>
        <w:t>Ḍabb, pl. Ḍabáb, Aḍubb, Ḍubbán</w:t>
      </w:r>
      <w:r w:rsidRPr="008F03E5">
        <w:tab/>
        <w:t>lizard</w:t>
      </w:r>
    </w:p>
    <w:p w14:paraId="611A7594" w14:textId="77777777" w:rsidR="00625A5B" w:rsidRPr="008F03E5" w:rsidRDefault="00625A5B" w:rsidP="009414F6">
      <w:pPr>
        <w:pStyle w:val="Translit"/>
      </w:pPr>
      <w:r w:rsidRPr="008F03E5">
        <w:t>Dabba, Dawabb</w:t>
      </w:r>
      <w:r w:rsidRPr="008F03E5">
        <w:tab/>
        <w:t>Dábba[h or t], pl. Dawább</w:t>
      </w:r>
      <w:r w:rsidRPr="008F03E5">
        <w:tab/>
        <w:t>animal (including man), beast; riding animal (horse, mule, donkey).  See Qur’án 11:59 and 27:19.</w:t>
      </w:r>
    </w:p>
    <w:p w14:paraId="4F1D9E1C" w14:textId="77777777" w:rsidR="00625A5B" w:rsidRPr="008F03E5" w:rsidRDefault="00625A5B" w:rsidP="006644AE">
      <w:pPr>
        <w:pStyle w:val="Translit"/>
      </w:pPr>
      <w:r w:rsidRPr="008F03E5">
        <w:t>Dabir, Dibir</w:t>
      </w:r>
      <w:r w:rsidRPr="008F03E5">
        <w:tab/>
        <w:t>Dabír, Dibír</w:t>
      </w:r>
      <w:r w:rsidRPr="008F03E5">
        <w:tab/>
        <w:t>Pers. a writer, secretary, notary; a writing-master; dabíru’l-mulk, Secretary of State</w:t>
      </w:r>
    </w:p>
    <w:p w14:paraId="3E476EDD" w14:textId="77777777" w:rsidR="00625A5B" w:rsidRPr="008F03E5" w:rsidRDefault="00625A5B" w:rsidP="00986284">
      <w:pPr>
        <w:pStyle w:val="Translit"/>
      </w:pPr>
      <w:r w:rsidRPr="008F03E5">
        <w:rPr>
          <w:rFonts w:eastAsia="Times New Roman"/>
        </w:rPr>
        <w:t>Dabiristan (Dabistan), Dibiristan</w:t>
      </w:r>
      <w:r w:rsidRPr="008F03E5">
        <w:rPr>
          <w:rFonts w:eastAsia="Times New Roman"/>
        </w:rPr>
        <w:tab/>
        <w:t>Dabíristán, Dibíristán</w:t>
      </w:r>
      <w:r w:rsidRPr="008F03E5">
        <w:rPr>
          <w:rFonts w:eastAsia="Times New Roman"/>
        </w:rPr>
        <w:tab/>
        <w:t xml:space="preserve">Pers. a high school; a record office.  </w:t>
      </w:r>
      <w:r w:rsidRPr="008F03E5">
        <w:t>Dabistán (“Debistan”) is either a contraction of dabíristán or an abbreviation of adabistán.</w:t>
      </w:r>
    </w:p>
    <w:p w14:paraId="5574F431" w14:textId="77777777" w:rsidR="00625A5B" w:rsidRPr="008F03E5" w:rsidRDefault="00625A5B" w:rsidP="00986284">
      <w:pPr>
        <w:pStyle w:val="Translit"/>
      </w:pPr>
      <w:r w:rsidRPr="008F03E5">
        <w:t>Dabistan al-Madhhahib</w:t>
      </w:r>
      <w:r w:rsidRPr="008F03E5">
        <w:tab/>
        <w:t>Dabistán al-Ma</w:t>
      </w:r>
      <w:r w:rsidRPr="008F03E5">
        <w:rPr>
          <w:u w:val="single"/>
        </w:rPr>
        <w:t>dh</w:t>
      </w:r>
      <w:r w:rsidRPr="008F03E5">
        <w:t>háhib</w:t>
      </w:r>
      <w:r w:rsidRPr="008F03E5">
        <w:tab/>
        <w:t>title of a book (“School of doctrines”) containing historical records of religions and creeds, we find stories and traditions concerning the Brahaman and Zoroastrian miracles.  Persian Dabistánu’l-Ma</w:t>
      </w:r>
      <w:r w:rsidRPr="008F03E5">
        <w:rPr>
          <w:u w:val="single"/>
        </w:rPr>
        <w:t>dh</w:t>
      </w:r>
      <w:r w:rsidRPr="008F03E5">
        <w:t>háhib</w:t>
      </w:r>
    </w:p>
    <w:p w14:paraId="02C8E8D3" w14:textId="77777777" w:rsidR="00625A5B" w:rsidRPr="008F03E5" w:rsidRDefault="00625A5B" w:rsidP="000D42E4">
      <w:pPr>
        <w:pStyle w:val="Translit"/>
      </w:pPr>
      <w:r w:rsidRPr="008F03E5">
        <w:t>Dabit, Dubbat, Dawabit</w:t>
      </w:r>
      <w:r w:rsidRPr="008F03E5">
        <w:tab/>
        <w:t>Ḍábiṭ</w:t>
      </w:r>
      <w:r w:rsidRPr="008F03E5">
        <w:tab/>
        <w:t>controlling device, control, governor, regulator (techn.); prepositor entrusted with discipline (in e.g. schools); (pl. ḍubbáṭ) officer; (pl. ḍawábiṭ) general rule, canon, (moral) precept or order</w:t>
      </w:r>
    </w:p>
    <w:p w14:paraId="7098A524" w14:textId="77777777" w:rsidR="00625A5B" w:rsidRPr="008F03E5" w:rsidRDefault="00625A5B" w:rsidP="000D42E4">
      <w:pPr>
        <w:pStyle w:val="Translit"/>
      </w:pPr>
      <w:r w:rsidRPr="008F03E5">
        <w:t>Dabita, Dawabit</w:t>
      </w:r>
      <w:r w:rsidRPr="008F03E5">
        <w:tab/>
        <w:t>Ḍábiṭa, Ḍawábiṭ</w:t>
      </w:r>
      <w:r w:rsidRPr="008F03E5">
        <w:tab/>
        <w:t>police; (pl.) curbing force, order</w:t>
      </w:r>
    </w:p>
    <w:p w14:paraId="2B0442A7" w14:textId="77777777" w:rsidR="00625A5B" w:rsidRPr="008F03E5" w:rsidRDefault="00625A5B" w:rsidP="00BA45CE">
      <w:pPr>
        <w:pStyle w:val="Translit"/>
      </w:pPr>
      <w:r w:rsidRPr="008F03E5">
        <w:t>Dad</w:t>
      </w:r>
      <w:r w:rsidRPr="008F03E5">
        <w:tab/>
        <w:t>Dád</w:t>
      </w:r>
      <w:r w:rsidRPr="008F03E5">
        <w:tab/>
        <w:t>Persian.  He gave; a gift; justice, equity; redress of grievances; complaint, lamentation (under oppression); measure; a part, portion; revenge; a ringworm; life; age; a year</w:t>
      </w:r>
    </w:p>
    <w:p w14:paraId="5D7DD2B7" w14:textId="77777777" w:rsidR="00625A5B" w:rsidRPr="008F03E5" w:rsidRDefault="00625A5B" w:rsidP="00420925">
      <w:pPr>
        <w:pStyle w:val="Translit"/>
      </w:pPr>
      <w:r w:rsidRPr="008F03E5">
        <w:t>Dada</w:t>
      </w:r>
      <w:r w:rsidRPr="008F03E5">
        <w:tab/>
        <w:t>Dada (Dadih)</w:t>
      </w:r>
      <w:r w:rsidRPr="008F03E5">
        <w:tab/>
        <w:t>Pers. a grandfather; a title given to dervishes, especially qalandars; a nurse who brings up children</w:t>
      </w:r>
    </w:p>
    <w:p w14:paraId="3F098C59" w14:textId="77777777" w:rsidR="00625A5B" w:rsidRPr="008F03E5" w:rsidRDefault="00625A5B" w:rsidP="00420925">
      <w:pPr>
        <w:pStyle w:val="Translit"/>
      </w:pPr>
      <w:r w:rsidRPr="008F03E5">
        <w:t>Dada</w:t>
      </w:r>
      <w:r w:rsidRPr="008F03E5">
        <w:tab/>
        <w:t>Dáda</w:t>
      </w:r>
      <w:r w:rsidRPr="008F03E5">
        <w:tab/>
        <w:t>governess, dry nurse, nurse</w:t>
      </w:r>
    </w:p>
    <w:p w14:paraId="6C5A1250" w14:textId="77777777" w:rsidR="00625A5B" w:rsidRPr="008F03E5" w:rsidRDefault="00625A5B" w:rsidP="00BF4791">
      <w:pPr>
        <w:pStyle w:val="Translit"/>
      </w:pPr>
      <w:r w:rsidRPr="008F03E5">
        <w:t>Dada</w:t>
      </w:r>
      <w:r w:rsidRPr="008F03E5">
        <w:tab/>
        <w:t>Dádá</w:t>
      </w:r>
      <w:r w:rsidRPr="008F03E5">
        <w:tab/>
        <w:t>Pers. a female servant, particularly an old one who has attended upon anyone from her youth; a handmaid.</w:t>
      </w:r>
    </w:p>
    <w:p w14:paraId="567D7B0D" w14:textId="77777777" w:rsidR="00625A5B" w:rsidRPr="008F03E5" w:rsidRDefault="00625A5B" w:rsidP="00783942">
      <w:pPr>
        <w:pStyle w:val="Translit"/>
        <w:rPr>
          <w:rFonts w:eastAsia="Times New Roman"/>
        </w:rPr>
      </w:pPr>
      <w:r w:rsidRPr="008F03E5">
        <w:rPr>
          <w:rFonts w:eastAsia="Times New Roman"/>
        </w:rPr>
        <w:t>Dadash</w:t>
      </w:r>
      <w:r w:rsidRPr="008F03E5">
        <w:rPr>
          <w:rFonts w:eastAsia="Times New Roman"/>
        </w:rPr>
        <w:tab/>
        <w:t>D</w:t>
      </w:r>
      <w:r w:rsidRPr="008F03E5">
        <w:t>á</w:t>
      </w:r>
      <w:r w:rsidRPr="008F03E5">
        <w:rPr>
          <w:rFonts w:eastAsia="Times New Roman"/>
        </w:rPr>
        <w:t>d</w:t>
      </w:r>
      <w:r w:rsidRPr="008F03E5">
        <w:t>á</w:t>
      </w:r>
      <w:r w:rsidRPr="008F03E5">
        <w:rPr>
          <w:rFonts w:eastAsia="Times New Roman"/>
          <w:u w:val="single"/>
        </w:rPr>
        <w:t>sh</w:t>
      </w:r>
      <w:r w:rsidRPr="008F03E5">
        <w:rPr>
          <w:rFonts w:eastAsia="Times New Roman"/>
        </w:rPr>
        <w:tab/>
        <w:t>Pers. brother</w:t>
      </w:r>
    </w:p>
    <w:p w14:paraId="26E68275" w14:textId="77777777" w:rsidR="00625A5B" w:rsidRPr="008F03E5" w:rsidRDefault="00625A5B" w:rsidP="00783942">
      <w:pPr>
        <w:pStyle w:val="Translit"/>
      </w:pPr>
      <w:r w:rsidRPr="008F03E5">
        <w:rPr>
          <w:rFonts w:eastAsia="Times New Roman"/>
        </w:rPr>
        <w:t>Dah</w:t>
      </w:r>
      <w:r w:rsidRPr="008F03E5">
        <w:rPr>
          <w:rFonts w:eastAsia="Times New Roman"/>
        </w:rPr>
        <w:tab/>
        <w:t>Dah</w:t>
      </w:r>
      <w:r w:rsidRPr="008F03E5">
        <w:rPr>
          <w:rFonts w:eastAsia="Times New Roman"/>
        </w:rPr>
        <w:tab/>
        <w:t>Pers. ten; indicating sometimes a large, sometimes a small number; displeasure; annoyance, trouble; curses, imprecations; commanding what is right and forbidding what is wrong</w:t>
      </w:r>
    </w:p>
    <w:p w14:paraId="74278915" w14:textId="77777777" w:rsidR="00625A5B" w:rsidRPr="008F03E5" w:rsidRDefault="00625A5B" w:rsidP="008605A0">
      <w:pPr>
        <w:pStyle w:val="Translit"/>
      </w:pPr>
      <w:r w:rsidRPr="008F03E5">
        <w:t>Dahaj (Dehaj)</w:t>
      </w:r>
      <w:r w:rsidRPr="008F03E5">
        <w:tab/>
        <w:t>Dahaj (Dahíj)</w:t>
      </w:r>
      <w:r w:rsidRPr="008F03E5">
        <w:tab/>
        <w:t xml:space="preserve">town (30.690764, 54.877358) between </w:t>
      </w:r>
      <w:r w:rsidRPr="008F03E5">
        <w:rPr>
          <w:u w:val="single"/>
        </w:rPr>
        <w:t>Sh</w:t>
      </w:r>
      <w:r w:rsidRPr="008F03E5">
        <w:t>íráz and Kirmán</w:t>
      </w:r>
    </w:p>
    <w:p w14:paraId="2BC2EEE1" w14:textId="77777777" w:rsidR="00625A5B" w:rsidRPr="008F03E5" w:rsidRDefault="00625A5B" w:rsidP="00AC66A3">
      <w:pPr>
        <w:pStyle w:val="Translit"/>
      </w:pPr>
      <w:r w:rsidRPr="008F03E5">
        <w:t>Dahaji</w:t>
      </w:r>
      <w:r w:rsidRPr="008F03E5">
        <w:tab/>
        <w:t>Dahají</w:t>
      </w:r>
      <w:r w:rsidRPr="008F03E5">
        <w:tab/>
        <w:t>from Dahaj.  Siyyid-i-Mihdíy-i-Dahají was named Ismu’lláhu’l-Jamál by Bahá’u’lláh.  He rebelled against ‘Abdu’l-Bahá after the death of Bahá’u’lláh.</w:t>
      </w:r>
    </w:p>
    <w:p w14:paraId="7052F824" w14:textId="77777777" w:rsidR="00625A5B" w:rsidRPr="008F03E5" w:rsidRDefault="00625A5B" w:rsidP="006976A3">
      <w:pPr>
        <w:pStyle w:val="Translit"/>
      </w:pPr>
      <w:r w:rsidRPr="008F03E5">
        <w:t>Dahan, Dihan</w:t>
      </w:r>
      <w:r w:rsidRPr="008F03E5">
        <w:tab/>
        <w:t>Dahán, Dihán</w:t>
      </w:r>
      <w:r w:rsidRPr="008F03E5">
        <w:tab/>
        <w:t>Pers. th</w:t>
      </w:r>
      <w:r w:rsidRPr="008F03E5">
        <w:rPr>
          <w:rFonts w:eastAsia="Times New Roman"/>
        </w:rPr>
        <w:t>e mouth; an orifice</w:t>
      </w:r>
    </w:p>
    <w:p w14:paraId="3A066514" w14:textId="77777777" w:rsidR="00625A5B" w:rsidRPr="00D45A23" w:rsidRDefault="00625A5B" w:rsidP="006976A3">
      <w:pPr>
        <w:pStyle w:val="Translit"/>
        <w:rPr>
          <w:lang w:val="de-DE"/>
        </w:rPr>
      </w:pPr>
      <w:r w:rsidRPr="00D45A23">
        <w:rPr>
          <w:lang w:val="de-DE"/>
        </w:rPr>
        <w:t>Dahiya, Dawahin</w:t>
      </w:r>
      <w:r w:rsidRPr="00D45A23">
        <w:rPr>
          <w:lang w:val="de-DE"/>
        </w:rPr>
        <w:tab/>
        <w:t>Dáhiya[t], pl. Dawáhin</w:t>
      </w:r>
      <w:r w:rsidRPr="00D45A23">
        <w:rPr>
          <w:lang w:val="de-DE"/>
        </w:rPr>
        <w:tab/>
        <w:t>calamity, disaster, catastrophe; misfortune</w:t>
      </w:r>
    </w:p>
    <w:p w14:paraId="22608E9A" w14:textId="77777777" w:rsidR="00625A5B" w:rsidRPr="00D45A23" w:rsidRDefault="00625A5B" w:rsidP="00647FB5">
      <w:pPr>
        <w:pStyle w:val="Translit"/>
        <w:rPr>
          <w:lang w:val="de-DE"/>
        </w:rPr>
      </w:pPr>
      <w:r w:rsidRPr="00D45A23">
        <w:rPr>
          <w:lang w:val="de-DE"/>
        </w:rPr>
        <w:t>Dahmubidi</w:t>
      </w:r>
      <w:r w:rsidRPr="00D45A23">
        <w:rPr>
          <w:lang w:val="de-DE"/>
        </w:rPr>
        <w:tab/>
        <w:t>Dahmúbidí (Dah + múbidí)</w:t>
      </w:r>
      <w:r w:rsidRPr="00D45A23">
        <w:rPr>
          <w:lang w:val="de-DE"/>
        </w:rPr>
        <w:tab/>
        <w:t>Dáryú</w:t>
      </w:r>
      <w:r w:rsidRPr="00D45A23">
        <w:rPr>
          <w:u w:val="single"/>
          <w:lang w:val="de-DE"/>
        </w:rPr>
        <w:t>sh</w:t>
      </w:r>
      <w:r w:rsidRPr="00D45A23">
        <w:rPr>
          <w:lang w:val="de-DE"/>
        </w:rPr>
        <w:t xml:space="preserve"> Dahmúbidí</w:t>
      </w:r>
    </w:p>
    <w:p w14:paraId="6D4B77B8" w14:textId="77777777" w:rsidR="00625A5B" w:rsidRPr="00D45A23" w:rsidRDefault="00625A5B" w:rsidP="00214C2A">
      <w:pPr>
        <w:pStyle w:val="Translit"/>
        <w:rPr>
          <w:lang w:val="de-DE"/>
        </w:rPr>
      </w:pPr>
      <w:r w:rsidRPr="00D45A23">
        <w:rPr>
          <w:lang w:val="de-DE"/>
        </w:rPr>
        <w:t>Dahr, Duhur, Adhur</w:t>
      </w:r>
      <w:r w:rsidRPr="00D45A23">
        <w:rPr>
          <w:lang w:val="de-DE"/>
        </w:rPr>
        <w:tab/>
        <w:t>Dahr, pl. Duhúr, Adhur (</w:t>
      </w:r>
      <w:r w:rsidRPr="008F03E5">
        <w:rPr>
          <w:rtl/>
        </w:rPr>
        <w:t>ادھر</w:t>
      </w:r>
      <w:r w:rsidRPr="00D45A23">
        <w:rPr>
          <w:lang w:val="de-DE"/>
        </w:rPr>
        <w:t>)</w:t>
      </w:r>
      <w:r w:rsidRPr="00D45A23">
        <w:rPr>
          <w:lang w:val="de-DE"/>
        </w:rPr>
        <w:tab/>
        <w:t xml:space="preserve">time; long time, age, epoch; lifetime; eternity; fate, destiny; “world of duration”.  Note adhur plural has the letters d and h, not </w:t>
      </w:r>
      <w:r w:rsidRPr="00D45A23">
        <w:rPr>
          <w:u w:val="single"/>
          <w:lang w:val="de-DE"/>
        </w:rPr>
        <w:t>dh</w:t>
      </w:r>
      <w:r w:rsidRPr="00D45A23">
        <w:rPr>
          <w:lang w:val="de-DE"/>
        </w:rPr>
        <w:t>.</w:t>
      </w:r>
    </w:p>
    <w:p w14:paraId="033CBC84" w14:textId="77777777" w:rsidR="00625A5B" w:rsidRPr="008F03E5" w:rsidRDefault="00625A5B" w:rsidP="00572235">
      <w:pPr>
        <w:pStyle w:val="Translit"/>
        <w:rPr>
          <w:rFonts w:eastAsia="PMingLiU"/>
          <w:lang w:eastAsia="zh-TW"/>
        </w:rPr>
      </w:pPr>
      <w:r w:rsidRPr="00D45A23">
        <w:rPr>
          <w:rFonts w:eastAsia="PMingLiU"/>
          <w:lang w:val="it-IT" w:eastAsia="zh-TW"/>
        </w:rPr>
        <w:t>Dai’a, Diya’</w:t>
      </w:r>
      <w:r w:rsidRPr="00D45A23">
        <w:rPr>
          <w:rFonts w:eastAsia="PMingLiU"/>
          <w:lang w:val="it-IT" w:eastAsia="zh-TW"/>
        </w:rPr>
        <w:tab/>
        <w:t xml:space="preserve">Ḍai‘a, pl. </w:t>
      </w:r>
      <w:r w:rsidRPr="008F03E5">
        <w:rPr>
          <w:rFonts w:eastAsia="PMingLiU"/>
          <w:lang w:eastAsia="zh-TW"/>
        </w:rPr>
        <w:t>Ḍiyá‘</w:t>
      </w:r>
      <w:r w:rsidRPr="008F03E5">
        <w:rPr>
          <w:rFonts w:eastAsia="PMingLiU"/>
          <w:lang w:eastAsia="zh-TW"/>
        </w:rPr>
        <w:tab/>
        <w:t>landed estate, country estate, domain; small village, hamlet</w:t>
      </w:r>
    </w:p>
    <w:p w14:paraId="4C18D25E" w14:textId="77777777" w:rsidR="00625A5B" w:rsidRPr="008F03E5" w:rsidRDefault="00625A5B" w:rsidP="00665D14">
      <w:pPr>
        <w:pStyle w:val="Translit"/>
      </w:pPr>
      <w:r w:rsidRPr="00D45A23">
        <w:rPr>
          <w:lang w:val="pl-PL"/>
        </w:rPr>
        <w:t>Daidanaw (Day Da Naw)</w:t>
      </w:r>
      <w:r w:rsidRPr="00D45A23">
        <w:rPr>
          <w:lang w:val="pl-PL"/>
        </w:rPr>
        <w:tab/>
        <w:t>Daidanaw</w:t>
      </w:r>
      <w:r w:rsidRPr="00D45A23">
        <w:rPr>
          <w:lang w:val="pl-PL"/>
        </w:rPr>
        <w:tab/>
        <w:t xml:space="preserve">Burmese.  </w:t>
      </w:r>
      <w:r w:rsidRPr="008F03E5">
        <w:t xml:space="preserve">Daidanaw, known as “‘Abdu’l-Bahá’s village”, is 4.25 km </w:t>
      </w:r>
      <w:r w:rsidRPr="008F03E5">
        <w:rPr>
          <w:sz w:val="16"/>
          <w:szCs w:val="16"/>
        </w:rPr>
        <w:t>NE</w:t>
      </w:r>
      <w:r w:rsidRPr="008F03E5">
        <w:t xml:space="preserve"> along the road to Kawhmu from the main road junction in Kungangon, Burma (Myanmar).  Siyyid Muṣṭafá Rúmí’s shrine is to the north of the Bahá’í Centre (16.465353, 96.040762).  Refer to https://bahai-library.com/history_bahai_faith_myanmar</w:t>
      </w:r>
    </w:p>
    <w:p w14:paraId="6F4B45C0" w14:textId="77777777" w:rsidR="00625A5B" w:rsidRPr="008F03E5" w:rsidRDefault="00625A5B" w:rsidP="009D471E">
      <w:pPr>
        <w:pStyle w:val="Translit"/>
      </w:pPr>
      <w:r w:rsidRPr="008F03E5">
        <w:t>Dajjal, Dajjalun, Dajajila</w:t>
      </w:r>
      <w:r w:rsidRPr="008F03E5">
        <w:tab/>
        <w:t>Dajjál, pl. Dajjálún, Dajájila</w:t>
      </w:r>
      <w:r w:rsidRPr="008F03E5">
        <w:tab/>
        <w:t>(“dedjal”) swindler, cheat, imposter; quack, charlatan; Antichrist (false Christ or anti-Christ).  The Antichrist (Siyyid Muḥammad Iṣfahání, the “Antichrist of the Bahá’í revelation”), who would appear at the Advent of the Promised One (Bahá’u’lláh), to contend with and ultimately be defeated by Him.  See Sufyání and Áqásí.</w:t>
      </w:r>
    </w:p>
    <w:p w14:paraId="35BFD348" w14:textId="77777777" w:rsidR="00625A5B" w:rsidRPr="008F03E5" w:rsidRDefault="00625A5B" w:rsidP="00E2655D">
      <w:pPr>
        <w:pStyle w:val="Translit"/>
      </w:pPr>
      <w:r w:rsidRPr="008F03E5">
        <w:t>Dakhan</w:t>
      </w:r>
      <w:r w:rsidRPr="008F03E5">
        <w:tab/>
        <w:t>Da</w:t>
      </w:r>
      <w:r w:rsidRPr="008F03E5">
        <w:rPr>
          <w:u w:val="single"/>
        </w:rPr>
        <w:t>kh</w:t>
      </w:r>
      <w:r w:rsidRPr="008F03E5">
        <w:t>an</w:t>
      </w:r>
      <w:r w:rsidRPr="008F03E5">
        <w:tab/>
        <w:t xml:space="preserve">smoke, fume, vapour.  Town 98 km </w:t>
      </w:r>
      <w:r w:rsidRPr="008F03E5">
        <w:rPr>
          <w:sz w:val="16"/>
          <w:szCs w:val="16"/>
        </w:rPr>
        <w:t>ENE</w:t>
      </w:r>
      <w:r w:rsidRPr="008F03E5">
        <w:t xml:space="preserve"> Hamadan</w:t>
      </w:r>
    </w:p>
    <w:p w14:paraId="1B1946A7" w14:textId="77777777" w:rsidR="00625A5B" w:rsidRPr="008F03E5" w:rsidRDefault="00625A5B" w:rsidP="0049596E">
      <w:pPr>
        <w:pStyle w:val="Translit"/>
      </w:pPr>
      <w:r w:rsidRPr="008F03E5">
        <w:t>Dakhil, Dukhala’</w:t>
      </w:r>
      <w:r w:rsidRPr="008F03E5">
        <w:tab/>
        <w:t>Da</w:t>
      </w:r>
      <w:r w:rsidRPr="008F03E5">
        <w:rPr>
          <w:u w:val="single"/>
        </w:rPr>
        <w:t>kh</w:t>
      </w:r>
      <w:r w:rsidRPr="008F03E5">
        <w:t>íl, pl. Du</w:t>
      </w:r>
      <w:r w:rsidRPr="008F03E5">
        <w:rPr>
          <w:u w:val="single"/>
        </w:rPr>
        <w:t>kh</w:t>
      </w:r>
      <w:r w:rsidRPr="008F03E5">
        <w:t>alá’</w:t>
      </w:r>
      <w:r w:rsidRPr="008F03E5">
        <w:tab/>
        <w:t>inner, inward, internal; inner self, heart, core;—pl. extraneous; foreign, alien; exotic; foreigner, alien, stranger; not genuine, false, spurious; newly added (to); novice; (new) convert; guest; protégé, charge, ward</w:t>
      </w:r>
    </w:p>
    <w:p w14:paraId="33B831CF" w14:textId="77777777" w:rsidR="00625A5B" w:rsidRPr="008F03E5" w:rsidRDefault="00625A5B" w:rsidP="00900A82">
      <w:pPr>
        <w:pStyle w:val="Translit"/>
        <w:rPr>
          <w:rFonts w:eastAsia="PMingLiU"/>
          <w:lang w:eastAsia="zh-TW"/>
        </w:rPr>
      </w:pPr>
      <w:r w:rsidRPr="008F03E5">
        <w:rPr>
          <w:rFonts w:eastAsia="PMingLiU"/>
          <w:lang w:eastAsia="zh-TW"/>
        </w:rPr>
        <w:t>Dakhili</w:t>
      </w:r>
      <w:r w:rsidRPr="008F03E5">
        <w:tab/>
      </w:r>
      <w:r w:rsidRPr="008F03E5">
        <w:rPr>
          <w:rFonts w:eastAsia="PMingLiU"/>
          <w:lang w:eastAsia="zh-TW"/>
        </w:rPr>
        <w:t>Da</w:t>
      </w:r>
      <w:r w:rsidRPr="008F03E5">
        <w:rPr>
          <w:u w:val="single"/>
        </w:rPr>
        <w:t>kh</w:t>
      </w:r>
      <w:r w:rsidRPr="008F03E5">
        <w:rPr>
          <w:rFonts w:eastAsia="PMingLiU"/>
          <w:lang w:eastAsia="zh-TW"/>
        </w:rPr>
        <w:t>ílí</w:t>
      </w:r>
      <w:r w:rsidRPr="008F03E5">
        <w:tab/>
        <w:t xml:space="preserve">Masrúr </w:t>
      </w:r>
      <w:r w:rsidRPr="008F03E5">
        <w:rPr>
          <w:rFonts w:eastAsia="PMingLiU"/>
          <w:lang w:eastAsia="zh-TW"/>
        </w:rPr>
        <w:t>Da</w:t>
      </w:r>
      <w:r w:rsidRPr="008F03E5">
        <w:rPr>
          <w:u w:val="single"/>
        </w:rPr>
        <w:t>kh</w:t>
      </w:r>
      <w:r w:rsidRPr="008F03E5">
        <w:rPr>
          <w:rFonts w:eastAsia="PMingLiU"/>
          <w:lang w:eastAsia="zh-TW"/>
        </w:rPr>
        <w:t>ílí executed 1981</w:t>
      </w:r>
    </w:p>
    <w:p w14:paraId="3C5BB46E" w14:textId="77777777" w:rsidR="00625A5B" w:rsidRPr="008F03E5" w:rsidRDefault="00625A5B" w:rsidP="00950D3B">
      <w:pPr>
        <w:pStyle w:val="Translit"/>
      </w:pPr>
      <w:r w:rsidRPr="008F03E5">
        <w:rPr>
          <w:rFonts w:eastAsia="Times New Roman"/>
        </w:rPr>
        <w:t>Dakhma (Dakhmih, Dakhmeh)</w:t>
      </w:r>
      <w:r w:rsidRPr="008F03E5">
        <w:rPr>
          <w:rFonts w:eastAsia="Times New Roman"/>
        </w:rPr>
        <w:tab/>
        <w:t>Da</w:t>
      </w:r>
      <w:r w:rsidRPr="008F03E5">
        <w:rPr>
          <w:rFonts w:eastAsia="Times New Roman"/>
          <w:u w:val="single"/>
        </w:rPr>
        <w:t>kh</w:t>
      </w:r>
      <w:r w:rsidRPr="008F03E5">
        <w:rPr>
          <w:rFonts w:eastAsia="Times New Roman"/>
        </w:rPr>
        <w:t>ma</w:t>
      </w:r>
      <w:r w:rsidRPr="008F03E5">
        <w:rPr>
          <w:rFonts w:eastAsia="Times New Roman"/>
        </w:rPr>
        <w:tab/>
        <w:t>a P</w:t>
      </w:r>
      <w:r w:rsidRPr="008F03E5">
        <w:t>á</w:t>
      </w:r>
      <w:r w:rsidRPr="008F03E5">
        <w:rPr>
          <w:rFonts w:eastAsia="Times New Roman"/>
        </w:rPr>
        <w:t>rs</w:t>
      </w:r>
      <w:r w:rsidRPr="008F03E5">
        <w:t>í</w:t>
      </w:r>
      <w:r w:rsidRPr="008F03E5">
        <w:rPr>
          <w:rFonts w:eastAsia="Times New Roman"/>
        </w:rPr>
        <w:t xml:space="preserve"> word for a circular stone building in the form of a cylinder (so-called “tower of silence”, tower of </w:t>
      </w:r>
      <w:r w:rsidRPr="008F03E5">
        <w:rPr>
          <w:rFonts w:eastAsia="Times New Roman"/>
          <w:u w:val="single"/>
        </w:rPr>
        <w:t>kh</w:t>
      </w:r>
      <w:r w:rsidRPr="008F03E5">
        <w:rPr>
          <w:rFonts w:eastAsia="Times New Roman"/>
        </w:rPr>
        <w:t>ámu</w:t>
      </w:r>
      <w:r w:rsidRPr="008F03E5">
        <w:rPr>
          <w:rFonts w:eastAsia="Times New Roman"/>
          <w:u w:val="single"/>
        </w:rPr>
        <w:t>sh</w:t>
      </w:r>
      <w:r w:rsidRPr="008F03E5">
        <w:rPr>
          <w:rFonts w:eastAsia="Times New Roman"/>
        </w:rPr>
        <w:t>í “silence”).  Zoroastrians lay the bodies of their dead on its flat top surface (the receptacle for the dead); a</w:t>
      </w:r>
      <w:r w:rsidRPr="008F03E5">
        <w:t xml:space="preserve"> tomb; a coffin; a mausoleum (modern colloquialism</w:t>
      </w:r>
      <w:r w:rsidRPr="008F03E5">
        <w:rPr>
          <w:rFonts w:eastAsia="Times New Roman"/>
        </w:rPr>
        <w:t>)</w:t>
      </w:r>
    </w:p>
    <w:p w14:paraId="2525BED2" w14:textId="77777777" w:rsidR="00625A5B" w:rsidRPr="008F03E5" w:rsidRDefault="00625A5B" w:rsidP="00900A82">
      <w:pPr>
        <w:pStyle w:val="Translit"/>
      </w:pPr>
      <w:r w:rsidRPr="008F03E5">
        <w:t>Dal</w:t>
      </w:r>
      <w:r w:rsidRPr="008F03E5">
        <w:tab/>
        <w:t>Dál</w:t>
      </w:r>
      <w:r w:rsidRPr="008F03E5">
        <w:tab/>
        <w:t>letter ‘D’</w:t>
      </w:r>
    </w:p>
    <w:p w14:paraId="3416567B" w14:textId="77777777" w:rsidR="00625A5B" w:rsidRDefault="00625A5B" w:rsidP="00043972">
      <w:pPr>
        <w:pStyle w:val="Translit"/>
      </w:pPr>
      <w:r w:rsidRPr="000F6977">
        <w:t>Dal</w:t>
      </w:r>
      <w:r>
        <w:t>a</w:t>
      </w:r>
      <w:r w:rsidRPr="000F6977">
        <w:t>’il al-</w:t>
      </w:r>
      <w:r>
        <w:t>‘</w:t>
      </w:r>
      <w:r w:rsidRPr="000F6977">
        <w:t>Irf</w:t>
      </w:r>
      <w:r>
        <w:t>a</w:t>
      </w:r>
      <w:r w:rsidRPr="000F6977">
        <w:t>n</w:t>
      </w:r>
      <w:r>
        <w:t xml:space="preserve">, </w:t>
      </w:r>
      <w:r w:rsidRPr="000F6977">
        <w:t>Dal</w:t>
      </w:r>
      <w:r>
        <w:t>a</w:t>
      </w:r>
      <w:r w:rsidRPr="000F6977">
        <w:t>’il</w:t>
      </w:r>
      <w:r>
        <w:t>u’</w:t>
      </w:r>
      <w:r w:rsidRPr="000F6977">
        <w:t>l-</w:t>
      </w:r>
      <w:r>
        <w:t>‘</w:t>
      </w:r>
      <w:r w:rsidRPr="000F6977">
        <w:t>Irf</w:t>
      </w:r>
      <w:r>
        <w:t>a</w:t>
      </w:r>
      <w:r w:rsidRPr="000F6977">
        <w:t>n</w:t>
      </w:r>
      <w:r>
        <w:tab/>
      </w:r>
      <w:r w:rsidRPr="000F6977">
        <w:t>Dalá’il al-</w:t>
      </w:r>
      <w:r>
        <w:t>‘</w:t>
      </w:r>
      <w:r w:rsidRPr="000F6977">
        <w:t>Irfán</w:t>
      </w:r>
      <w:r>
        <w:t xml:space="preserve">, </w:t>
      </w:r>
      <w:r w:rsidRPr="000F6977">
        <w:t>Dalá’il</w:t>
      </w:r>
      <w:r>
        <w:t>u’l</w:t>
      </w:r>
      <w:r w:rsidRPr="000F6977">
        <w:t>-</w:t>
      </w:r>
      <w:r>
        <w:t>‘</w:t>
      </w:r>
      <w:r w:rsidRPr="000F6977">
        <w:t>Irfán</w:t>
      </w:r>
      <w:r>
        <w:tab/>
        <w:t xml:space="preserve">“Signs of knowledge” by </w:t>
      </w:r>
      <w:r w:rsidRPr="000F6977">
        <w:t xml:space="preserve">Ḥájí Mírzá Ḥaydar </w:t>
      </w:r>
      <w:r>
        <w:t>‘</w:t>
      </w:r>
      <w:r w:rsidRPr="000F6977">
        <w:t>Alí Iṣfahání</w:t>
      </w:r>
    </w:p>
    <w:p w14:paraId="58007E81" w14:textId="77777777" w:rsidR="00625A5B" w:rsidRPr="008F03E5" w:rsidRDefault="00625A5B" w:rsidP="005C5D37">
      <w:pPr>
        <w:pStyle w:val="Translit"/>
      </w:pPr>
      <w:r w:rsidRPr="008F03E5">
        <w:t>Dala’il-i-Sab’a (Dala’il-i-Sab’ih)</w:t>
      </w:r>
      <w:r w:rsidRPr="008F03E5">
        <w:tab/>
        <w:t>Dalá’il-i-Sab‘a (Dalá’il-i-Sab‘ih)</w:t>
      </w:r>
      <w:r w:rsidRPr="008F03E5">
        <w:tab/>
        <w:t>“The Seven Proofs” in Persian by the Báb</w:t>
      </w:r>
    </w:p>
    <w:p w14:paraId="26020231" w14:textId="77777777" w:rsidR="00625A5B" w:rsidRPr="008F03E5" w:rsidRDefault="00625A5B" w:rsidP="00334015">
      <w:pPr>
        <w:pStyle w:val="Translit"/>
        <w:rPr>
          <w:rFonts w:eastAsia="PMingLiU"/>
          <w:lang w:eastAsia="zh-TW"/>
        </w:rPr>
      </w:pPr>
      <w:r w:rsidRPr="008F03E5">
        <w:rPr>
          <w:rFonts w:eastAsia="PMingLiU"/>
          <w:lang w:eastAsia="zh-TW"/>
        </w:rPr>
        <w:t>Dalaki</w:t>
      </w:r>
      <w:r w:rsidRPr="008F03E5">
        <w:rPr>
          <w:rFonts w:eastAsia="PMingLiU"/>
          <w:lang w:eastAsia="zh-TW"/>
        </w:rPr>
        <w:tab/>
        <w:t>D</w:t>
      </w:r>
      <w:r w:rsidRPr="008F03E5">
        <w:t>á</w:t>
      </w:r>
      <w:r w:rsidRPr="008F03E5">
        <w:rPr>
          <w:rFonts w:eastAsia="PMingLiU"/>
          <w:lang w:eastAsia="zh-TW"/>
        </w:rPr>
        <w:t>lak</w:t>
      </w:r>
      <w:r w:rsidRPr="008F03E5">
        <w:t>í</w:t>
      </w:r>
      <w:r w:rsidRPr="008F03E5">
        <w:rPr>
          <w:rFonts w:eastAsia="PMingLiU"/>
          <w:lang w:eastAsia="zh-TW"/>
        </w:rPr>
        <w:tab/>
        <w:t xml:space="preserve">city 73 km </w:t>
      </w:r>
      <w:r w:rsidRPr="008F03E5">
        <w:rPr>
          <w:rFonts w:eastAsia="PMingLiU"/>
          <w:sz w:val="16"/>
          <w:szCs w:val="16"/>
          <w:lang w:eastAsia="zh-TW"/>
        </w:rPr>
        <w:t>NE</w:t>
      </w:r>
      <w:r w:rsidRPr="008F03E5">
        <w:rPr>
          <w:rFonts w:eastAsia="PMingLiU"/>
          <w:lang w:eastAsia="zh-TW"/>
        </w:rPr>
        <w:t xml:space="preserve"> of </w:t>
      </w:r>
      <w:r w:rsidRPr="008F03E5">
        <w:t>Bú</w:t>
      </w:r>
      <w:r w:rsidRPr="008F03E5">
        <w:rPr>
          <w:u w:val="single"/>
        </w:rPr>
        <w:t>sh</w:t>
      </w:r>
      <w:r w:rsidRPr="008F03E5">
        <w:t xml:space="preserve">ihr and 15 km </w:t>
      </w:r>
      <w:r w:rsidRPr="008F03E5">
        <w:rPr>
          <w:sz w:val="16"/>
          <w:szCs w:val="16"/>
        </w:rPr>
        <w:t>SW</w:t>
      </w:r>
      <w:r w:rsidRPr="008F03E5">
        <w:t xml:space="preserve"> Kunár Ta</w:t>
      </w:r>
      <w:r w:rsidRPr="008F03E5">
        <w:rPr>
          <w:u w:val="single"/>
        </w:rPr>
        <w:t>kh</w:t>
      </w:r>
      <w:r w:rsidRPr="008F03E5">
        <w:t>ta.  The Báb was arrested in this city in 1846.</w:t>
      </w:r>
    </w:p>
    <w:p w14:paraId="361AD7C9" w14:textId="77777777" w:rsidR="00625A5B" w:rsidRPr="008F03E5" w:rsidRDefault="00625A5B" w:rsidP="002C1376">
      <w:pPr>
        <w:pStyle w:val="Translit"/>
        <w:rPr>
          <w:rFonts w:eastAsia="PMingLiU"/>
          <w:lang w:eastAsia="zh-TW"/>
        </w:rPr>
      </w:pPr>
      <w:r w:rsidRPr="008F03E5">
        <w:rPr>
          <w:rFonts w:eastAsia="PMingLiU"/>
          <w:lang w:eastAsia="zh-TW"/>
        </w:rPr>
        <w:t>Dalal</w:t>
      </w:r>
      <w:r w:rsidRPr="008F03E5">
        <w:rPr>
          <w:rFonts w:eastAsia="PMingLiU"/>
          <w:lang w:eastAsia="zh-TW"/>
        </w:rPr>
        <w:tab/>
        <w:t>Ḍalál</w:t>
      </w:r>
      <w:r w:rsidRPr="008F03E5">
        <w:rPr>
          <w:rFonts w:eastAsia="PMingLiU"/>
          <w:lang w:eastAsia="zh-TW"/>
        </w:rPr>
        <w:tab/>
        <w:t>a straying from the right path or from truth; error</w:t>
      </w:r>
    </w:p>
    <w:p w14:paraId="3ED50686" w14:textId="77777777" w:rsidR="00625A5B" w:rsidRPr="008F03E5" w:rsidRDefault="00625A5B" w:rsidP="005C5D37">
      <w:pPr>
        <w:pStyle w:val="Translit"/>
        <w:rPr>
          <w:rFonts w:eastAsia="PMingLiU"/>
          <w:lang w:eastAsia="zh-TW"/>
        </w:rPr>
      </w:pPr>
      <w:r w:rsidRPr="008F03E5">
        <w:rPr>
          <w:rFonts w:eastAsia="PMingLiU"/>
          <w:lang w:eastAsia="zh-TW"/>
        </w:rPr>
        <w:t xml:space="preserve">Dalil, Adilla, Dala’l, Adilla’, </w:t>
      </w:r>
      <w:r w:rsidRPr="008F03E5">
        <w:t>Dala’il</w:t>
      </w:r>
      <w:r w:rsidRPr="008F03E5">
        <w:rPr>
          <w:rFonts w:eastAsia="PMingLiU"/>
          <w:lang w:eastAsia="zh-TW"/>
        </w:rPr>
        <w:tab/>
        <w:t>Dalíl, pl. Adilla, Dalá’l, Adillá’</w:t>
      </w:r>
      <w:r w:rsidRPr="008F03E5">
        <w:rPr>
          <w:rFonts w:eastAsia="PMingLiU"/>
          <w:lang w:eastAsia="zh-TW"/>
        </w:rPr>
        <w:tab/>
        <w:t xml:space="preserve">(the latter of persons) indication (of); sign, token; symptom; proof, evidence (of); guide; tourist guide; pilot (of a ship, of an airplane); guidebook, guide manual, handbook; directory, telephone directory; railroad guide, timetable; guide rail (technical); roller path (in steel construction).  pl. also </w:t>
      </w:r>
      <w:r w:rsidRPr="008F03E5">
        <w:t>dalá’il.</w:t>
      </w:r>
    </w:p>
    <w:p w14:paraId="0D68079E" w14:textId="77777777" w:rsidR="00625A5B" w:rsidRPr="008F03E5" w:rsidRDefault="00625A5B" w:rsidP="00F754DF">
      <w:pPr>
        <w:pStyle w:val="Translit"/>
        <w:rPr>
          <w:rFonts w:eastAsia="PMingLiU"/>
          <w:lang w:eastAsia="zh-TW"/>
        </w:rPr>
      </w:pPr>
      <w:r w:rsidRPr="008F03E5">
        <w:rPr>
          <w:rFonts w:eastAsia="PMingLiU"/>
          <w:lang w:eastAsia="zh-TW"/>
        </w:rPr>
        <w:t>Dal</w:t>
      </w:r>
      <w:r w:rsidRPr="008F03E5">
        <w:t>i</w:t>
      </w:r>
      <w:r w:rsidRPr="008F03E5">
        <w:rPr>
          <w:rFonts w:eastAsia="PMingLiU"/>
          <w:lang w:eastAsia="zh-TW"/>
        </w:rPr>
        <w:t>lu’l-Mutahayyir</w:t>
      </w:r>
      <w:r w:rsidRPr="008F03E5">
        <w:t>i</w:t>
      </w:r>
      <w:r w:rsidRPr="008F03E5">
        <w:rPr>
          <w:rFonts w:eastAsia="PMingLiU"/>
          <w:lang w:eastAsia="zh-TW"/>
        </w:rPr>
        <w:t>n</w:t>
      </w:r>
      <w:r w:rsidRPr="008F03E5">
        <w:tab/>
      </w:r>
      <w:r w:rsidRPr="008F03E5">
        <w:rPr>
          <w:rFonts w:eastAsia="PMingLiU"/>
          <w:lang w:eastAsia="zh-TW"/>
        </w:rPr>
        <w:t>Dal</w:t>
      </w:r>
      <w:r w:rsidRPr="008F03E5">
        <w:t>í</w:t>
      </w:r>
      <w:r w:rsidRPr="008F03E5">
        <w:rPr>
          <w:rFonts w:eastAsia="PMingLiU"/>
          <w:lang w:eastAsia="zh-TW"/>
        </w:rPr>
        <w:t>lu’l-Muta</w:t>
      </w:r>
      <w:r w:rsidRPr="008F03E5">
        <w:t>ḥ</w:t>
      </w:r>
      <w:r w:rsidRPr="008F03E5">
        <w:rPr>
          <w:rFonts w:eastAsia="PMingLiU"/>
          <w:lang w:eastAsia="zh-TW"/>
        </w:rPr>
        <w:t>ayyir</w:t>
      </w:r>
      <w:r w:rsidRPr="008F03E5">
        <w:t>í</w:t>
      </w:r>
      <w:r w:rsidRPr="008F03E5">
        <w:rPr>
          <w:rFonts w:eastAsia="PMingLiU"/>
          <w:lang w:eastAsia="zh-TW"/>
        </w:rPr>
        <w:t>n</w:t>
      </w:r>
      <w:r w:rsidRPr="008F03E5">
        <w:tab/>
        <w:t>Guide of the astonished, bewildered, helpless or perplexed</w:t>
      </w:r>
    </w:p>
    <w:p w14:paraId="6AF8F011" w14:textId="77777777" w:rsidR="00625A5B" w:rsidRPr="008F03E5" w:rsidRDefault="00625A5B" w:rsidP="005C0188">
      <w:pPr>
        <w:pStyle w:val="Translit"/>
      </w:pPr>
      <w:r w:rsidRPr="008F03E5">
        <w:t>Daliyat ar-Rawha’</w:t>
      </w:r>
      <w:r w:rsidRPr="008F03E5">
        <w:tab/>
        <w:t>Dálíyá[t] ar-Rawḥá’</w:t>
      </w:r>
      <w:r w:rsidRPr="008F03E5">
        <w:tab/>
        <w:t xml:space="preserve">(“fragrant vine”) a Palestinian village 24.5 km </w:t>
      </w:r>
      <w:r w:rsidRPr="008F03E5">
        <w:rPr>
          <w:sz w:val="16"/>
          <w:szCs w:val="16"/>
        </w:rPr>
        <w:t>SE</w:t>
      </w:r>
      <w:r w:rsidRPr="008F03E5">
        <w:t xml:space="preserve"> of Haifa.  The Jewish colony of Dalia was established on land purchased in the village in 1939.  It was depopulated of its Arab inhabitants in late March during the 1948 Palestine War.</w:t>
      </w:r>
    </w:p>
    <w:p w14:paraId="6B1EBACD" w14:textId="77777777" w:rsidR="00625A5B" w:rsidRPr="008F03E5" w:rsidRDefault="00625A5B" w:rsidP="009F25C6">
      <w:pPr>
        <w:pStyle w:val="Translit"/>
      </w:pPr>
      <w:r w:rsidRPr="008F03E5">
        <w:t>Dall, Dawall, Dallin</w:t>
      </w:r>
      <w:r w:rsidRPr="008F03E5">
        <w:tab/>
        <w:t>Ḍáll, pl. Ḍawáll, Ḍállín</w:t>
      </w:r>
      <w:r w:rsidRPr="008F03E5">
        <w:tab/>
        <w:t>straying, roaming, wandering; astray, lost; erroneous, false.  Ḍállín (gone astray)</w:t>
      </w:r>
    </w:p>
    <w:p w14:paraId="14F149A1" w14:textId="77777777" w:rsidR="00625A5B" w:rsidRPr="008F03E5" w:rsidRDefault="00625A5B" w:rsidP="002C1376">
      <w:pPr>
        <w:pStyle w:val="Translit"/>
      </w:pPr>
      <w:r w:rsidRPr="008F03E5">
        <w:t>Dallal</w:t>
      </w:r>
      <w:r w:rsidRPr="008F03E5">
        <w:tab/>
        <w:t>Dallál</w:t>
      </w:r>
      <w:r w:rsidRPr="008F03E5">
        <w:tab/>
        <w:t>auctioneer; broker, jobber, middleman, agent, commission merchant; hawker</w:t>
      </w:r>
    </w:p>
    <w:p w14:paraId="07A26269" w14:textId="77777777" w:rsidR="00625A5B" w:rsidRPr="008F03E5" w:rsidRDefault="00625A5B" w:rsidP="008E3777">
      <w:pPr>
        <w:pStyle w:val="Translit"/>
        <w:rPr>
          <w:rFonts w:eastAsia="PMingLiU"/>
          <w:lang w:eastAsia="zh-TW"/>
        </w:rPr>
      </w:pPr>
      <w:r w:rsidRPr="008F03E5">
        <w:rPr>
          <w:rFonts w:eastAsia="PMingLiU"/>
          <w:lang w:eastAsia="zh-TW"/>
        </w:rPr>
        <w:t>Dalvand</w:t>
      </w:r>
      <w:r w:rsidRPr="008F03E5">
        <w:tab/>
      </w:r>
      <w:r w:rsidRPr="008F03E5">
        <w:rPr>
          <w:rFonts w:eastAsia="PMingLiU"/>
          <w:lang w:eastAsia="zh-TW"/>
        </w:rPr>
        <w:t>Dálvand</w:t>
      </w:r>
      <w:r w:rsidRPr="008F03E5">
        <w:tab/>
      </w:r>
      <w:r w:rsidRPr="008F03E5">
        <w:rPr>
          <w:u w:val="single"/>
        </w:rPr>
        <w:t>Sh</w:t>
      </w:r>
      <w:r w:rsidRPr="008F03E5">
        <w:t>á</w:t>
      </w:r>
      <w:r w:rsidRPr="008F03E5">
        <w:rPr>
          <w:rFonts w:eastAsia="PMingLiU"/>
          <w:lang w:eastAsia="zh-TW"/>
        </w:rPr>
        <w:t>hín Dálvand</w:t>
      </w:r>
    </w:p>
    <w:p w14:paraId="7BA5FD1B" w14:textId="77777777" w:rsidR="00625A5B" w:rsidRPr="008F03E5" w:rsidRDefault="00625A5B" w:rsidP="00900A82">
      <w:pPr>
        <w:pStyle w:val="Translit"/>
        <w:rPr>
          <w:rFonts w:eastAsia="PMingLiU"/>
          <w:lang w:eastAsia="zh-TW"/>
        </w:rPr>
      </w:pPr>
      <w:r w:rsidRPr="008F03E5">
        <w:rPr>
          <w:rFonts w:eastAsia="PMingLiU"/>
          <w:lang w:eastAsia="zh-TW"/>
        </w:rPr>
        <w:t>Damawand, Dam</w:t>
      </w:r>
      <w:r w:rsidRPr="008F03E5">
        <w:t>a</w:t>
      </w:r>
      <w:r w:rsidRPr="008F03E5">
        <w:rPr>
          <w:rFonts w:eastAsia="PMingLiU"/>
          <w:lang w:eastAsia="zh-TW"/>
        </w:rPr>
        <w:t>vand</w:t>
      </w:r>
      <w:r w:rsidRPr="008F03E5">
        <w:tab/>
        <w:t xml:space="preserve">Damáwand, </w:t>
      </w:r>
      <w:r w:rsidRPr="008F03E5">
        <w:rPr>
          <w:rFonts w:eastAsia="PMingLiU"/>
          <w:lang w:eastAsia="zh-TW"/>
        </w:rPr>
        <w:t>Dam</w:t>
      </w:r>
      <w:r w:rsidRPr="008F03E5">
        <w:t>á</w:t>
      </w:r>
      <w:r w:rsidRPr="008F03E5">
        <w:rPr>
          <w:rFonts w:eastAsia="PMingLiU"/>
          <w:lang w:eastAsia="zh-TW"/>
        </w:rPr>
        <w:t>vand</w:t>
      </w:r>
      <w:r w:rsidRPr="008F03E5">
        <w:tab/>
        <w:t>city (58 km east Tehran), county and mountain (5,609 m, 27 km north of the city)</w:t>
      </w:r>
    </w:p>
    <w:p w14:paraId="29EBE008" w14:textId="77777777" w:rsidR="00625A5B" w:rsidRPr="008F03E5" w:rsidRDefault="00625A5B" w:rsidP="00F73DE9">
      <w:pPr>
        <w:pStyle w:val="Translit"/>
        <w:rPr>
          <w:rFonts w:eastAsia="PMingLiU"/>
          <w:lang w:eastAsia="zh-TW"/>
        </w:rPr>
      </w:pPr>
      <w:r w:rsidRPr="008F03E5">
        <w:t>Damdam</w:t>
      </w:r>
      <w:r w:rsidRPr="008F03E5">
        <w:tab/>
        <w:t>Ḍ</w:t>
      </w:r>
      <w:r w:rsidRPr="008F03E5">
        <w:rPr>
          <w:rFonts w:eastAsia="Times New Roman"/>
        </w:rPr>
        <w:t>am</w:t>
      </w:r>
      <w:r w:rsidRPr="008F03E5">
        <w:t>ḍ</w:t>
      </w:r>
      <w:r w:rsidRPr="008F03E5">
        <w:rPr>
          <w:rFonts w:eastAsia="Times New Roman"/>
        </w:rPr>
        <w:t>ám</w:t>
      </w:r>
      <w:r w:rsidRPr="008F03E5">
        <w:rPr>
          <w:rFonts w:eastAsia="Times New Roman"/>
        </w:rPr>
        <w:tab/>
        <w:t>one who comprehends, contains, grasps, or holds everything; anything that contains, surrounds, or comprises another</w:t>
      </w:r>
    </w:p>
    <w:p w14:paraId="58FE6A0C" w14:textId="77777777" w:rsidR="00625A5B" w:rsidRPr="008F03E5" w:rsidRDefault="00625A5B" w:rsidP="000440C0">
      <w:pPr>
        <w:pStyle w:val="Translit"/>
        <w:rPr>
          <w:rFonts w:eastAsia="PMingLiU"/>
          <w:lang w:eastAsia="zh-TW"/>
        </w:rPr>
      </w:pPr>
      <w:r w:rsidRPr="008F03E5">
        <w:rPr>
          <w:rFonts w:eastAsia="PMingLiU"/>
          <w:lang w:eastAsia="zh-TW"/>
        </w:rPr>
        <w:t>D</w:t>
      </w:r>
      <w:r w:rsidRPr="008F03E5">
        <w:t>a</w:t>
      </w:r>
      <w:r w:rsidRPr="008F03E5">
        <w:rPr>
          <w:rFonts w:eastAsia="PMingLiU"/>
          <w:lang w:eastAsia="zh-TW"/>
        </w:rPr>
        <w:t>mgh</w:t>
      </w:r>
      <w:r w:rsidRPr="008F03E5">
        <w:t>a</w:t>
      </w:r>
      <w:r w:rsidRPr="008F03E5">
        <w:rPr>
          <w:rFonts w:eastAsia="PMingLiU"/>
          <w:lang w:eastAsia="zh-TW"/>
        </w:rPr>
        <w:t>n</w:t>
      </w:r>
      <w:r w:rsidRPr="008F03E5">
        <w:tab/>
      </w:r>
      <w:r w:rsidRPr="008F03E5">
        <w:rPr>
          <w:rFonts w:eastAsia="PMingLiU"/>
          <w:lang w:eastAsia="zh-TW"/>
        </w:rPr>
        <w:t>D</w:t>
      </w:r>
      <w:r w:rsidRPr="008F03E5">
        <w:t>á</w:t>
      </w:r>
      <w:r w:rsidRPr="008F03E5">
        <w:rPr>
          <w:rFonts w:eastAsia="PMingLiU"/>
          <w:lang w:eastAsia="zh-TW"/>
        </w:rPr>
        <w:t>m</w:t>
      </w:r>
      <w:r w:rsidRPr="008F03E5">
        <w:rPr>
          <w:u w:val="single"/>
        </w:rPr>
        <w:t>gh</w:t>
      </w:r>
      <w:r w:rsidRPr="008F03E5">
        <w:t>á</w:t>
      </w:r>
      <w:r w:rsidRPr="008F03E5">
        <w:rPr>
          <w:rFonts w:eastAsia="PMingLiU"/>
          <w:lang w:eastAsia="zh-TW"/>
        </w:rPr>
        <w:t>n</w:t>
      </w:r>
      <w:r w:rsidRPr="008F03E5">
        <w:tab/>
        <w:t xml:space="preserve">city </w:t>
      </w:r>
      <w:r>
        <w:t>(</w:t>
      </w:r>
      <w:r w:rsidRPr="000440C0">
        <w:t>36.162988, 54.333824</w:t>
      </w:r>
      <w:r>
        <w:t xml:space="preserve">) </w:t>
      </w:r>
      <w:r w:rsidRPr="008F03E5">
        <w:t xml:space="preserve">125 km </w:t>
      </w:r>
      <w:r w:rsidRPr="008F03E5">
        <w:rPr>
          <w:sz w:val="16"/>
          <w:szCs w:val="16"/>
        </w:rPr>
        <w:t>SE</w:t>
      </w:r>
      <w:r w:rsidRPr="008F03E5">
        <w:t xml:space="preserve"> Sari and 60 km </w:t>
      </w:r>
      <w:r w:rsidRPr="008F03E5">
        <w:rPr>
          <w:sz w:val="16"/>
          <w:szCs w:val="16"/>
        </w:rPr>
        <w:t>SW</w:t>
      </w:r>
      <w:r w:rsidRPr="008F03E5">
        <w:t xml:space="preserve"> of </w:t>
      </w:r>
      <w:r w:rsidRPr="000440C0">
        <w:rPr>
          <w:u w:val="single"/>
        </w:rPr>
        <w:t>Sh</w:t>
      </w:r>
      <w:r w:rsidRPr="000440C0">
        <w:t>á</w:t>
      </w:r>
      <w:r w:rsidRPr="008F03E5">
        <w:t>hr</w:t>
      </w:r>
      <w:r w:rsidRPr="000440C0">
        <w:t>ú</w:t>
      </w:r>
      <w:r w:rsidRPr="008F03E5">
        <w:t>d</w:t>
      </w:r>
    </w:p>
    <w:p w14:paraId="333731B7" w14:textId="77777777" w:rsidR="00625A5B" w:rsidRPr="008F03E5" w:rsidRDefault="00625A5B" w:rsidP="005205B8">
      <w:pPr>
        <w:pStyle w:val="Translit"/>
      </w:pPr>
      <w:r w:rsidRPr="008F03E5">
        <w:t>Damir</w:t>
      </w:r>
      <w:r w:rsidRPr="008F03E5">
        <w:tab/>
        <w:t>Ḍ</w:t>
      </w:r>
      <w:r w:rsidRPr="008F03E5">
        <w:rPr>
          <w:rFonts w:eastAsia="Times New Roman"/>
        </w:rPr>
        <w:t>ámir</w:t>
      </w:r>
      <w:r w:rsidRPr="008F03E5">
        <w:rPr>
          <w:rFonts w:eastAsia="Times New Roman"/>
        </w:rPr>
        <w:tab/>
        <w:t>loan, skinny, thin; slender, slim, svelte, lank (camel or any riding animal).  See Qur’án 22:27 where it is often translated as “lean camel”.</w:t>
      </w:r>
    </w:p>
    <w:p w14:paraId="677B0DC6" w14:textId="77777777" w:rsidR="00625A5B" w:rsidRPr="008F03E5" w:rsidRDefault="00625A5B" w:rsidP="005205B8">
      <w:pPr>
        <w:pStyle w:val="Translit"/>
      </w:pPr>
      <w:r w:rsidRPr="008F03E5">
        <w:t>Damma, Dammat</w:t>
      </w:r>
      <w:r w:rsidRPr="008F03E5">
        <w:tab/>
        <w:t>Ḍamma, pl. Ḍammát</w:t>
      </w:r>
      <w:r w:rsidRPr="008F03E5">
        <w:tab/>
        <w:t>the vowel point for the short vowel u;—pl. embrace, hug.  See kasra and fatḥa</w:t>
      </w:r>
    </w:p>
    <w:p w14:paraId="76CC4C07" w14:textId="77777777" w:rsidR="00625A5B" w:rsidRPr="008F03E5" w:rsidRDefault="00625A5B" w:rsidP="00C65715">
      <w:pPr>
        <w:pStyle w:val="Translit"/>
      </w:pPr>
      <w:r w:rsidRPr="008F03E5">
        <w:t>Dana (Danih)</w:t>
      </w:r>
      <w:r w:rsidRPr="008F03E5">
        <w:tab/>
        <w:t xml:space="preserve">Dána </w:t>
      </w:r>
      <w:r w:rsidRPr="008F03E5">
        <w:rPr>
          <w:i/>
          <w:iCs/>
        </w:rPr>
        <w:t>ḍāmir</w:t>
      </w:r>
      <w:r w:rsidRPr="008F03E5">
        <w:tab/>
        <w:t>Pers. grain; a berry; stone of fruit, seed of grain or fruit; a pimple; grain or bait scattered for catching birds; a cannon-ball; knowledge, science,</w:t>
      </w:r>
      <w:r w:rsidRPr="008F03E5">
        <w:rPr>
          <w:rFonts w:eastAsia="Times New Roman"/>
        </w:rPr>
        <w:t xml:space="preserve"> learning; learned</w:t>
      </w:r>
    </w:p>
    <w:p w14:paraId="168DA65A" w14:textId="77777777" w:rsidR="00625A5B" w:rsidRPr="008F03E5" w:rsidRDefault="00625A5B" w:rsidP="00DC3C6F">
      <w:pPr>
        <w:pStyle w:val="Translit"/>
      </w:pPr>
      <w:r w:rsidRPr="008F03E5">
        <w:t>Danaq, Daniq, Dawaniq</w:t>
      </w:r>
      <w:r w:rsidRPr="008F03E5">
        <w:tab/>
        <w:t>Dánaq, Dániq, pl. Dawániq</w:t>
      </w:r>
      <w:r w:rsidRPr="008F03E5">
        <w:tab/>
        <w:t>two carats (2 qíráṭ, 1/6 dirham); an ancient coin; small coin; a square measure.  Abú Dawáníq, a nickname of the Caliph Abú-Ja‘far Manṣúr on account of his avarice.</w:t>
      </w:r>
    </w:p>
    <w:p w14:paraId="53337D45" w14:textId="77777777" w:rsidR="00625A5B" w:rsidRPr="008F03E5" w:rsidRDefault="00625A5B" w:rsidP="00DC3C6F">
      <w:pPr>
        <w:pStyle w:val="Translit"/>
      </w:pPr>
      <w:r w:rsidRPr="008F03E5">
        <w:t>Dani’, Adniya’, Adna’</w:t>
      </w:r>
      <w:r w:rsidRPr="008F03E5">
        <w:tab/>
        <w:t>Daní’, pl. Adniyá’, Adná’</w:t>
      </w:r>
      <w:r w:rsidRPr="008F03E5">
        <w:tab/>
        <w:t>low, base, mean, vile, despicable, contemptible; inferior, second-rate, of poor quality.  Adná’ also “lowest” or “even closer”—being the second station (the other is that of divinity) of the Báb, that of servitude.  (</w:t>
      </w:r>
      <w:r w:rsidRPr="008F03E5">
        <w:rPr>
          <w:i/>
          <w:iCs/>
        </w:rPr>
        <w:t>Gate of the heart</w:t>
      </w:r>
      <w:r w:rsidRPr="008F03E5">
        <w:t>, p. 223)</w:t>
      </w:r>
    </w:p>
    <w:p w14:paraId="7959B134" w14:textId="77777777" w:rsidR="00625A5B" w:rsidRPr="008F03E5" w:rsidRDefault="00625A5B" w:rsidP="00C63E49">
      <w:pPr>
        <w:pStyle w:val="Translit"/>
      </w:pPr>
      <w:r w:rsidRPr="008F03E5">
        <w:t>Danish</w:t>
      </w:r>
      <w:r w:rsidRPr="008F03E5">
        <w:tab/>
        <w:t>Dáni</w:t>
      </w:r>
      <w:r w:rsidRPr="008F03E5">
        <w:rPr>
          <w:u w:val="single"/>
        </w:rPr>
        <w:t>sh</w:t>
      </w:r>
      <w:r w:rsidRPr="008F03E5">
        <w:tab/>
        <w:t>Pers. science, knowledge, learning; excellence</w:t>
      </w:r>
    </w:p>
    <w:p w14:paraId="00F022BD" w14:textId="77777777" w:rsidR="00625A5B" w:rsidRPr="008F03E5" w:rsidRDefault="00625A5B" w:rsidP="00EC1883">
      <w:pPr>
        <w:pStyle w:val="Translit"/>
      </w:pPr>
      <w:r w:rsidRPr="008F03E5">
        <w:t>Danishniya</w:t>
      </w:r>
      <w:r w:rsidRPr="008F03E5">
        <w:tab/>
        <w:t>Dáni</w:t>
      </w:r>
      <w:r w:rsidRPr="008F03E5">
        <w:rPr>
          <w:u w:val="single"/>
        </w:rPr>
        <w:t>sh</w:t>
      </w:r>
      <w:r w:rsidRPr="008F03E5">
        <w:t>níyá[t]</w:t>
      </w:r>
      <w:r w:rsidRPr="008F03E5">
        <w:tab/>
        <w:t>Pers. (</w:t>
      </w:r>
      <w:r>
        <w:t>d</w:t>
      </w:r>
      <w:r w:rsidRPr="008F03E5">
        <w:t>áni</w:t>
      </w:r>
      <w:r w:rsidRPr="008F03E5">
        <w:rPr>
          <w:u w:val="single"/>
        </w:rPr>
        <w:t>sh</w:t>
      </w:r>
      <w:r w:rsidRPr="008F03E5">
        <w:t xml:space="preserve"> + níyá[t])</w:t>
      </w:r>
      <w:r>
        <w:t xml:space="preserve"> </w:t>
      </w:r>
      <w:r w:rsidRPr="00EC1883">
        <w:t>knowledgeable</w:t>
      </w:r>
      <w:r>
        <w:t xml:space="preserve"> </w:t>
      </w:r>
      <w:r w:rsidRPr="00EC1883">
        <w:t>or</w:t>
      </w:r>
      <w:r>
        <w:t xml:space="preserve"> </w:t>
      </w:r>
      <w:r w:rsidRPr="00EC1883">
        <w:t xml:space="preserve">learned. </w:t>
      </w:r>
      <w:r w:rsidRPr="008F03E5">
        <w:t xml:space="preserve"> Adíb Dáni</w:t>
      </w:r>
      <w:r w:rsidRPr="008F03E5">
        <w:rPr>
          <w:u w:val="single"/>
        </w:rPr>
        <w:t>sh</w:t>
      </w:r>
      <w:r w:rsidRPr="008F03E5">
        <w:t>níyá</w:t>
      </w:r>
      <w:r>
        <w:t>.</w:t>
      </w:r>
    </w:p>
    <w:p w14:paraId="1771501B" w14:textId="77777777" w:rsidR="00625A5B" w:rsidRPr="008F03E5" w:rsidRDefault="00625A5B" w:rsidP="00B7386E">
      <w:pPr>
        <w:pStyle w:val="Translit"/>
      </w:pPr>
      <w:r w:rsidRPr="008F03E5">
        <w:t>Dannun (Danun, Dunnun, Thulnoon)</w:t>
      </w:r>
      <w:r w:rsidRPr="008F03E5">
        <w:tab/>
        <w:t>Dannún</w:t>
      </w:r>
      <w:r w:rsidRPr="008F03E5">
        <w:tab/>
        <w:t xml:space="preserve">shrines of </w:t>
      </w:r>
      <w:r w:rsidRPr="008F03E5">
        <w:rPr>
          <w:u w:val="single"/>
        </w:rPr>
        <w:t>Sh</w:t>
      </w:r>
      <w:r w:rsidRPr="008F03E5">
        <w:t>ay</w:t>
      </w:r>
      <w:r w:rsidRPr="008F03E5">
        <w:rPr>
          <w:u w:val="single"/>
        </w:rPr>
        <w:t>kh</w:t>
      </w:r>
      <w:r w:rsidRPr="008F03E5">
        <w:t xml:space="preserve"> Dannún (32.991081, 35.147904) and </w:t>
      </w:r>
      <w:r w:rsidRPr="008F03E5">
        <w:rPr>
          <w:u w:val="single"/>
        </w:rPr>
        <w:t>Sh</w:t>
      </w:r>
      <w:r w:rsidRPr="008F03E5">
        <w:t>ay</w:t>
      </w:r>
      <w:r w:rsidRPr="008F03E5">
        <w:rPr>
          <w:u w:val="single"/>
        </w:rPr>
        <w:t>kh</w:t>
      </w:r>
      <w:r w:rsidRPr="008F03E5">
        <w:t xml:space="preserve"> Dawúd (32.993921, 35.150093) in small villages of the same name are now merged as the village of Sheikh Dannun, 5 km </w:t>
      </w:r>
      <w:r w:rsidRPr="008F03E5">
        <w:rPr>
          <w:sz w:val="16"/>
          <w:szCs w:val="16"/>
        </w:rPr>
        <w:t>ESE</w:t>
      </w:r>
      <w:r w:rsidRPr="008F03E5">
        <w:t xml:space="preserve"> of the city of Nahariya, Israel.  Bahá’u’lláh would have passed through or near here enroute to the former village of an-Nahr in 1880.  See Nahr.  For “thulnoon”, see </w:t>
      </w:r>
      <w:r w:rsidRPr="008F03E5">
        <w:rPr>
          <w:u w:val="single"/>
        </w:rPr>
        <w:t>Dh</w:t>
      </w:r>
      <w:r w:rsidRPr="008F03E5">
        <w:t>ú’n-Nún.</w:t>
      </w:r>
    </w:p>
    <w:p w14:paraId="711ACC10" w14:textId="77777777" w:rsidR="00625A5B" w:rsidRPr="008F03E5" w:rsidRDefault="00625A5B" w:rsidP="00B7386E">
      <w:pPr>
        <w:pStyle w:val="Translit"/>
      </w:pPr>
      <w:r w:rsidRPr="008F03E5">
        <w:t>Daqiqa, Daqa’iq</w:t>
      </w:r>
      <w:r w:rsidRPr="008F03E5">
        <w:tab/>
        <w:t>Daqíqa, pl. Daqá’iq</w:t>
      </w:r>
      <w:r w:rsidRPr="008F03E5">
        <w:tab/>
        <w:t>particle; nicety (“</w:t>
      </w:r>
      <w:r w:rsidRPr="008F03E5">
        <w:rPr>
          <w:lang w:eastAsia="en-US"/>
        </w:rPr>
        <w:t>subtlety”</w:t>
      </w:r>
      <w:r w:rsidRPr="008F03E5">
        <w:t>); intricacy; detail, particular; minute (time unit)</w:t>
      </w:r>
    </w:p>
    <w:p w14:paraId="2C136641" w14:textId="77777777" w:rsidR="00625A5B" w:rsidRPr="00077779" w:rsidRDefault="00625A5B" w:rsidP="00AB7878">
      <w:pPr>
        <w:pStyle w:val="Translit"/>
        <w:rPr>
          <w:lang w:val="es-ES_tradnl"/>
        </w:rPr>
      </w:pPr>
      <w:r w:rsidRPr="00077779">
        <w:rPr>
          <w:lang w:val="es-ES_tradnl"/>
        </w:rPr>
        <w:t>Dar al-Athar, Daru’l-Athar</w:t>
      </w:r>
      <w:r w:rsidRPr="00077779">
        <w:rPr>
          <w:lang w:val="es-ES_tradnl"/>
        </w:rPr>
        <w:tab/>
        <w:t>Dár al-Á</w:t>
      </w:r>
      <w:r w:rsidRPr="00077779">
        <w:rPr>
          <w:u w:val="single"/>
          <w:lang w:val="es-ES_tradnl"/>
        </w:rPr>
        <w:t>th</w:t>
      </w:r>
      <w:r w:rsidRPr="00077779">
        <w:rPr>
          <w:lang w:val="es-ES_tradnl"/>
        </w:rPr>
        <w:t>ár, Pers. Dáru’l-Á</w:t>
      </w:r>
      <w:r w:rsidRPr="00077779">
        <w:rPr>
          <w:u w:val="single"/>
          <w:lang w:val="es-ES_tradnl"/>
        </w:rPr>
        <w:t>th</w:t>
      </w:r>
      <w:r w:rsidRPr="00077779">
        <w:rPr>
          <w:lang w:val="es-ES_tradnl"/>
        </w:rPr>
        <w:t>ár</w:t>
      </w:r>
      <w:r w:rsidRPr="00077779">
        <w:rPr>
          <w:lang w:val="es-ES_tradnl"/>
        </w:rPr>
        <w:tab/>
        <w:t>museum, archives</w:t>
      </w:r>
    </w:p>
    <w:p w14:paraId="7F46A500" w14:textId="77777777" w:rsidR="00625A5B" w:rsidRPr="008F03E5" w:rsidRDefault="00625A5B" w:rsidP="007C02A5">
      <w:pPr>
        <w:pStyle w:val="Translit"/>
      </w:pPr>
      <w:r w:rsidRPr="00077779">
        <w:rPr>
          <w:lang w:val="es-ES_tradnl"/>
        </w:rPr>
        <w:t>Dar al-Funun, Daru’l-Funun</w:t>
      </w:r>
      <w:r w:rsidRPr="00077779">
        <w:rPr>
          <w:lang w:val="es-ES_tradnl"/>
        </w:rPr>
        <w:tab/>
        <w:t>Dár al-Funún, Dáru’l-Funún</w:t>
      </w:r>
      <w:r w:rsidRPr="00077779">
        <w:rPr>
          <w:lang w:val="es-ES_tradnl"/>
        </w:rPr>
        <w:tab/>
        <w:t xml:space="preserve">building or centre for arts and sciences)  The first technical college of Írán in Teheran founded by Prime Minister Mírzá Taqí </w:t>
      </w:r>
      <w:r w:rsidRPr="00077779">
        <w:rPr>
          <w:u w:val="single"/>
          <w:lang w:val="es-ES_tradnl"/>
        </w:rPr>
        <w:t>Kh</w:t>
      </w:r>
      <w:r w:rsidRPr="00077779">
        <w:rPr>
          <w:lang w:val="es-ES_tradnl"/>
        </w:rPr>
        <w:t xml:space="preserve">án.  </w:t>
      </w:r>
      <w:r w:rsidRPr="008F03E5">
        <w:rPr>
          <w:sz w:val="16"/>
          <w:szCs w:val="16"/>
        </w:rPr>
        <w:t>BKG</w:t>
      </w:r>
      <w:r w:rsidRPr="008F03E5">
        <w:t xml:space="preserve"> 72</w:t>
      </w:r>
    </w:p>
    <w:p w14:paraId="5434E596" w14:textId="77777777" w:rsidR="00625A5B" w:rsidRPr="008F03E5" w:rsidRDefault="00625A5B" w:rsidP="005C5635">
      <w:pPr>
        <w:pStyle w:val="Translit"/>
      </w:pPr>
      <w:r w:rsidRPr="008F03E5">
        <w:t>Dar as-Salam, Daru’s-Salam</w:t>
      </w:r>
      <w:r w:rsidRPr="008F03E5">
        <w:tab/>
        <w:t>Dár as-Salám, Pers. Dáru’s-Salám</w:t>
      </w:r>
      <w:r w:rsidRPr="008F03E5">
        <w:tab/>
        <w:t>(Darussalam, Dar es Salaam) paradise, heaven; epithet of Ba</w:t>
      </w:r>
      <w:r w:rsidRPr="008F03E5">
        <w:rPr>
          <w:u w:val="single"/>
        </w:rPr>
        <w:t>gh</w:t>
      </w:r>
      <w:r w:rsidRPr="008F03E5">
        <w:t xml:space="preserve">dád (Abode of Peace or the City of God since peace is an attribute of God).  See </w:t>
      </w:r>
      <w:r w:rsidRPr="008F03E5">
        <w:rPr>
          <w:i/>
          <w:iCs/>
        </w:rPr>
        <w:t>Bahá’u’lláh King of Glory</w:t>
      </w:r>
      <w:r w:rsidRPr="008F03E5">
        <w:t>, p. 296.  Dar es Salaam (seaport and capital of Tanzania).</w:t>
      </w:r>
    </w:p>
    <w:p w14:paraId="0C589D9D" w14:textId="77777777" w:rsidR="00625A5B" w:rsidRPr="008F03E5" w:rsidRDefault="00625A5B" w:rsidP="00B8621E">
      <w:pPr>
        <w:pStyle w:val="Translit"/>
        <w:rPr>
          <w:rFonts w:eastAsia="Times New Roman"/>
        </w:rPr>
      </w:pPr>
      <w:r w:rsidRPr="008F03E5">
        <w:t>Dar Kula, Darkula, Darab Kola, Dara Kola</w:t>
      </w:r>
      <w:r w:rsidRPr="008F03E5">
        <w:tab/>
        <w:t>Dár Kulá (Dárkulá)</w:t>
      </w:r>
      <w:r w:rsidRPr="008F03E5">
        <w:tab/>
        <w:t>a village (36.512137, 52.301776) in the Central District of Amol County, Mazandaran Province</w:t>
      </w:r>
    </w:p>
    <w:p w14:paraId="3EA335A6" w14:textId="77777777" w:rsidR="00625A5B" w:rsidRPr="008F03E5" w:rsidRDefault="00625A5B" w:rsidP="00A046FB">
      <w:pPr>
        <w:pStyle w:val="Translit"/>
      </w:pPr>
      <w:r w:rsidRPr="008F03E5">
        <w:t>Dar</w:t>
      </w:r>
      <w:r w:rsidRPr="008F03E5">
        <w:tab/>
        <w:t>Dar</w:t>
      </w:r>
      <w:r w:rsidRPr="008F03E5">
        <w:tab/>
        <w:t>Pers. 1.  (preposition) in, into, within, among; on, upon, above; of, concerning, about; by, for; because of; near, hard by, at; to, as far as, according to; before, in presence of; against; with; under; at length; after; so much; out, out of doors.  2.  (</w:t>
      </w:r>
      <w:r w:rsidRPr="008F03E5">
        <w:rPr>
          <w:rFonts w:eastAsia="Times New Roman"/>
        </w:rPr>
        <w:t xml:space="preserve">noun) a door, gate, passage, door-way or gate-way; a chapter (of the Zand); a subject, topic; way, manner, method; genus, sort, kind; turn, step, degree; a kind of wild bird; a gnat; a blackberry; a valley; a mountain-pass; the foot, also summit, of a mountain.  3.  (imperative of </w:t>
      </w:r>
      <w:r w:rsidRPr="008F03E5">
        <w:rPr>
          <w:rFonts w:eastAsia="Times New Roman"/>
          <w:i/>
          <w:iCs/>
        </w:rPr>
        <w:t>darídan</w:t>
      </w:r>
      <w:r w:rsidRPr="008F03E5">
        <w:rPr>
          <w:rFonts w:eastAsia="Times New Roman"/>
        </w:rPr>
        <w:t xml:space="preserve">), tear thou; (in composition) tearing, as </w:t>
      </w:r>
      <w:r w:rsidRPr="008F03E5">
        <w:rPr>
          <w:rFonts w:eastAsia="Times New Roman"/>
          <w:i/>
          <w:iCs/>
        </w:rPr>
        <w:t>parda-dar,</w:t>
      </w:r>
      <w:r w:rsidRPr="008F03E5">
        <w:rPr>
          <w:rFonts w:eastAsia="Times New Roman"/>
        </w:rPr>
        <w:t xml:space="preserve"> veil-tearing, dishonouring.</w:t>
      </w:r>
    </w:p>
    <w:p w14:paraId="164E0231" w14:textId="77777777" w:rsidR="00625A5B" w:rsidRPr="00E464F1" w:rsidRDefault="00625A5B" w:rsidP="002E7FBE">
      <w:pPr>
        <w:pStyle w:val="Translit"/>
        <w:rPr>
          <w:lang w:val="en-AU"/>
        </w:rPr>
      </w:pPr>
      <w:r>
        <w:rPr>
          <w:rFonts w:eastAsia="Times New Roman"/>
        </w:rPr>
        <w:t>Dar, Daran</w:t>
      </w:r>
      <w:r>
        <w:rPr>
          <w:rFonts w:eastAsia="Times New Roman"/>
        </w:rPr>
        <w:tab/>
        <w:t>D</w:t>
      </w:r>
      <w:r w:rsidRPr="00E464F1">
        <w:rPr>
          <w:rFonts w:eastAsia="Times New Roman"/>
        </w:rPr>
        <w:t>ár</w:t>
      </w:r>
      <w:r>
        <w:rPr>
          <w:rFonts w:eastAsia="Times New Roman"/>
        </w:rPr>
        <w:t>, pl. D</w:t>
      </w:r>
      <w:r w:rsidRPr="00E464F1">
        <w:t>á</w:t>
      </w:r>
      <w:r>
        <w:rPr>
          <w:rFonts w:eastAsia="Times New Roman"/>
        </w:rPr>
        <w:t>r</w:t>
      </w:r>
      <w:r w:rsidRPr="00E464F1">
        <w:t>á</w:t>
      </w:r>
      <w:r>
        <w:rPr>
          <w:rFonts w:eastAsia="Times New Roman"/>
        </w:rPr>
        <w:t>n</w:t>
      </w:r>
      <w:r>
        <w:rPr>
          <w:rFonts w:eastAsia="Times New Roman"/>
        </w:rPr>
        <w:tab/>
        <w:t>Pers.</w:t>
      </w:r>
      <w:r w:rsidRPr="00E464F1">
        <w:rPr>
          <w:rFonts w:eastAsia="Times New Roman"/>
        </w:rPr>
        <w:t xml:space="preserve"> </w:t>
      </w:r>
      <w:r>
        <w:rPr>
          <w:rFonts w:eastAsia="Times New Roman"/>
        </w:rPr>
        <w:t>w</w:t>
      </w:r>
      <w:r w:rsidRPr="00AF4D34">
        <w:rPr>
          <w:rFonts w:eastAsia="Times New Roman"/>
        </w:rPr>
        <w:t>ood; a gallows; a beam; the roofing of a house; a tree, stake; (imp</w:t>
      </w:r>
      <w:r>
        <w:rPr>
          <w:rFonts w:eastAsia="Times New Roman"/>
        </w:rPr>
        <w:t>erfect</w:t>
      </w:r>
      <w:r w:rsidRPr="00AF4D34">
        <w:rPr>
          <w:rFonts w:eastAsia="Times New Roman"/>
        </w:rPr>
        <w:t xml:space="preserve"> of </w:t>
      </w:r>
      <w:r w:rsidRPr="00E464F1">
        <w:rPr>
          <w:rFonts w:eastAsia="Times New Roman"/>
        </w:rPr>
        <w:t>dá</w:t>
      </w:r>
      <w:r w:rsidRPr="00E464F1">
        <w:rPr>
          <w:rFonts w:eastAsia="Times New Roman"/>
          <w:u w:val="single"/>
        </w:rPr>
        <w:t>sh</w:t>
      </w:r>
      <w:r w:rsidRPr="00E464F1">
        <w:rPr>
          <w:rFonts w:eastAsia="Times New Roman"/>
        </w:rPr>
        <w:t>tan</w:t>
      </w:r>
      <w:r w:rsidRPr="00AF4D34">
        <w:rPr>
          <w:rFonts w:eastAsia="Times New Roman"/>
          <w:i/>
          <w:iCs/>
        </w:rPr>
        <w:t>,</w:t>
      </w:r>
      <w:r w:rsidRPr="00AF4D34">
        <w:rPr>
          <w:rFonts w:eastAsia="Times New Roman"/>
        </w:rPr>
        <w:t xml:space="preserve"> in comp</w:t>
      </w:r>
      <w:r>
        <w:rPr>
          <w:rFonts w:eastAsia="Times New Roman"/>
        </w:rPr>
        <w:t>ounds</w:t>
      </w:r>
      <w:r w:rsidRPr="00AF4D34">
        <w:rPr>
          <w:rFonts w:eastAsia="Times New Roman"/>
        </w:rPr>
        <w:t>) holding, possessing, keeping; a keeper, possessor, lord, master</w:t>
      </w:r>
    </w:p>
    <w:p w14:paraId="49B6BFF5" w14:textId="77777777" w:rsidR="00625A5B" w:rsidRPr="008F03E5" w:rsidRDefault="00625A5B" w:rsidP="00CB295F">
      <w:pPr>
        <w:pStyle w:val="Translit"/>
      </w:pPr>
      <w:r w:rsidRPr="003E374D">
        <w:rPr>
          <w:lang w:val="es-ES_tradnl"/>
        </w:rPr>
        <w:t>Dar, Dur, Diyar, Diyarat, Diyara</w:t>
      </w:r>
      <w:r w:rsidRPr="003E374D">
        <w:rPr>
          <w:lang w:val="es-ES_tradnl"/>
        </w:rPr>
        <w:tab/>
        <w:t xml:space="preserve">Dár f., pl. </w:t>
      </w:r>
      <w:r w:rsidRPr="008F03E5">
        <w:t>Dúr, Diyár, Diyárát, Diyara[h]</w:t>
      </w:r>
      <w:r w:rsidRPr="008F03E5">
        <w:tab/>
        <w:t xml:space="preserve">house; building, structure, edifice; habitation, dwelling, abode; residence, home; seat, side, locality; area, region; land, country (especially diyár).  dár al-baqá’ the eternal abode, the hereafter; dár as-sa‘áda and dár as-salṭana Constantinople (designation before World War I); dár as-salám paradise, heaven; dár al-hijra Medina.  Example Dúru’l-Bahá’íyya.  Pers. in compounds as an </w:t>
      </w:r>
      <w:r w:rsidRPr="008F03E5">
        <w:rPr>
          <w:rFonts w:eastAsia="Times New Roman"/>
        </w:rPr>
        <w:t>imperative of dá</w:t>
      </w:r>
      <w:r w:rsidRPr="008F03E5">
        <w:rPr>
          <w:rFonts w:eastAsia="Times New Roman"/>
          <w:u w:val="single"/>
        </w:rPr>
        <w:t>sh</w:t>
      </w:r>
      <w:r w:rsidRPr="008F03E5">
        <w:rPr>
          <w:rFonts w:eastAsia="Times New Roman"/>
        </w:rPr>
        <w:t>tan:  holding, possessing, keeping; a keeper, possessor, lord, master</w:t>
      </w:r>
      <w:r w:rsidRPr="008F03E5">
        <w:t>.</w:t>
      </w:r>
    </w:p>
    <w:p w14:paraId="02EEEFA7" w14:textId="77777777" w:rsidR="00625A5B" w:rsidRPr="008F03E5" w:rsidRDefault="00625A5B" w:rsidP="00BA6985">
      <w:pPr>
        <w:pStyle w:val="Translit"/>
        <w:rPr>
          <w:rFonts w:eastAsia="Times New Roman"/>
        </w:rPr>
      </w:pPr>
      <w:r w:rsidRPr="008F03E5">
        <w:rPr>
          <w:rFonts w:eastAsia="Times New Roman"/>
        </w:rPr>
        <w:t>Dara</w:t>
      </w:r>
      <w:r w:rsidRPr="008F03E5">
        <w:rPr>
          <w:rFonts w:eastAsia="Times New Roman"/>
        </w:rPr>
        <w:tab/>
        <w:t>D</w:t>
      </w:r>
      <w:r w:rsidRPr="008F03E5">
        <w:t>á</w:t>
      </w:r>
      <w:r w:rsidRPr="008F03E5">
        <w:rPr>
          <w:rFonts w:eastAsia="Times New Roman"/>
        </w:rPr>
        <w:t>r</w:t>
      </w:r>
      <w:r w:rsidRPr="008F03E5">
        <w:t>á</w:t>
      </w:r>
      <w:r w:rsidRPr="008F03E5">
        <w:tab/>
      </w:r>
      <w:r w:rsidRPr="008F03E5">
        <w:rPr>
          <w:rFonts w:eastAsia="Times New Roman"/>
        </w:rPr>
        <w:t>Pers. holding fast; a possessor; God; Darius, son of Dáráb; the Darii, kings of Persia; a sovereign</w:t>
      </w:r>
    </w:p>
    <w:p w14:paraId="236C7E63" w14:textId="77777777" w:rsidR="00625A5B" w:rsidRPr="008F03E5" w:rsidRDefault="00625A5B" w:rsidP="00BA6985">
      <w:pPr>
        <w:pStyle w:val="Translit"/>
        <w:rPr>
          <w:rFonts w:eastAsia="Times New Roman"/>
        </w:rPr>
      </w:pPr>
      <w:r w:rsidRPr="008F03E5">
        <w:t>Dara, Darra, Daraha</w:t>
      </w:r>
      <w:r w:rsidRPr="008F03E5">
        <w:tab/>
        <w:t>Dara, Darra,</w:t>
      </w:r>
      <w:r w:rsidRPr="008F03E5">
        <w:rPr>
          <w:rFonts w:eastAsia="Times New Roman"/>
        </w:rPr>
        <w:t xml:space="preserve"> Darah</w:t>
      </w:r>
      <w:r w:rsidRPr="008F03E5">
        <w:t>á</w:t>
      </w:r>
      <w:r w:rsidRPr="008F03E5">
        <w:tab/>
        <w:t>Pers. a</w:t>
      </w:r>
      <w:r w:rsidRPr="008F03E5">
        <w:rPr>
          <w:rFonts w:eastAsia="Times New Roman"/>
        </w:rPr>
        <w:t xml:space="preserve"> valley (especially between hills through which a stream flows), a gully</w:t>
      </w:r>
    </w:p>
    <w:p w14:paraId="14394F99" w14:textId="77777777" w:rsidR="00625A5B" w:rsidRPr="008F03E5" w:rsidRDefault="00625A5B" w:rsidP="00B739A2">
      <w:pPr>
        <w:pStyle w:val="Translit"/>
      </w:pPr>
      <w:r w:rsidRPr="008F03E5">
        <w:t>Darab</w:t>
      </w:r>
      <w:r w:rsidRPr="008F03E5">
        <w:tab/>
        <w:t>Daráb (Dar Áb)</w:t>
      </w:r>
      <w:r w:rsidRPr="008F03E5">
        <w:tab/>
        <w:t>Pers. dar + áb (</w:t>
      </w:r>
      <w:r w:rsidRPr="008F03E5">
        <w:rPr>
          <w:rtl/>
        </w:rPr>
        <w:t>در آب</w:t>
      </w:r>
      <w:r w:rsidRPr="008F03E5">
        <w:t>), in the water</w:t>
      </w:r>
    </w:p>
    <w:p w14:paraId="75AF4A77" w14:textId="77777777" w:rsidR="00625A5B" w:rsidRPr="008F03E5" w:rsidRDefault="00625A5B" w:rsidP="00F526E8">
      <w:pPr>
        <w:pStyle w:val="Translit"/>
      </w:pPr>
      <w:r w:rsidRPr="008F03E5">
        <w:t>Darab</w:t>
      </w:r>
      <w:r w:rsidRPr="008F03E5">
        <w:tab/>
        <w:t>Dáráb</w:t>
      </w:r>
      <w:r w:rsidRPr="008F03E5">
        <w:tab/>
        <w:t>a town in Fárs, southern Persia, home of Vaḥíd’s ancestors</w:t>
      </w:r>
    </w:p>
    <w:p w14:paraId="60C8A5AC" w14:textId="77777777" w:rsidR="00625A5B" w:rsidRPr="008F03E5" w:rsidRDefault="00625A5B" w:rsidP="00D26E0B">
      <w:pPr>
        <w:pStyle w:val="Translit"/>
      </w:pPr>
      <w:r w:rsidRPr="008F03E5">
        <w:t>Darabi</w:t>
      </w:r>
      <w:r w:rsidRPr="008F03E5">
        <w:tab/>
        <w:t>Dárábí</w:t>
      </w:r>
      <w:r w:rsidRPr="008F03E5">
        <w:tab/>
        <w:t>Sayyid Yaḥyá Dárábí (1811–1850), Bábí leader usually known as Waḥíd Akbar (Peerless One), a title given to him by the Báb.  The eldest son of Sayyid Ja‘far al-Ka</w:t>
      </w:r>
      <w:r w:rsidRPr="008F03E5">
        <w:rPr>
          <w:u w:val="single"/>
        </w:rPr>
        <w:t>sh</w:t>
      </w:r>
      <w:r w:rsidRPr="008F03E5">
        <w:t>fí Iṣṭahbánátí.</w:t>
      </w:r>
    </w:p>
    <w:p w14:paraId="0C88ADA6" w14:textId="77777777" w:rsidR="00625A5B" w:rsidRPr="008F03E5" w:rsidRDefault="00625A5B" w:rsidP="00C43D16">
      <w:pPr>
        <w:pStyle w:val="Translit"/>
      </w:pPr>
      <w:r w:rsidRPr="008F03E5">
        <w:t>Daraja, Darajat</w:t>
      </w:r>
      <w:r w:rsidRPr="008F03E5">
        <w:tab/>
        <w:t>Daraja, pl. Daraját</w:t>
      </w:r>
      <w:r w:rsidRPr="008F03E5">
        <w:tab/>
        <w:t>step, stair; flight of steps, stairs, staircase; degree, step, tone (of a scale; music); degree (mathematics, geography;  of temperature); grade, fate; degree, order, rank; club (also, e.g., in trains, of a decoration); phase state, stage (of a development); mark, grade (in school)</w:t>
      </w:r>
    </w:p>
    <w:p w14:paraId="727A7DF0" w14:textId="77777777" w:rsidR="00625A5B" w:rsidRPr="008F03E5" w:rsidRDefault="00625A5B" w:rsidP="009679B3">
      <w:pPr>
        <w:pStyle w:val="Translit"/>
      </w:pPr>
      <w:r w:rsidRPr="00077779">
        <w:t>Darb, Durab, Adrab</w:t>
      </w:r>
      <w:r w:rsidRPr="00077779">
        <w:tab/>
        <w:t xml:space="preserve">Ḍarb, pl. </w:t>
      </w:r>
      <w:r w:rsidRPr="008F03E5">
        <w:t>Ḍurúb, Aḍráb</w:t>
      </w:r>
      <w:r w:rsidRPr="008F03E5">
        <w:tab/>
        <w:t>beating, striking, hitting, rapping; shooting, shelling, gunning, bombing, bombardment; multiplication; coining, formation; minting (of money);—(pl. ḍurúb) kind, sort, specimen, species, variety; (pl. aḍráb) similar, like</w:t>
      </w:r>
    </w:p>
    <w:p w14:paraId="603E48B6" w14:textId="77777777" w:rsidR="00625A5B" w:rsidRPr="008F03E5" w:rsidRDefault="00625A5B" w:rsidP="0080792C">
      <w:pPr>
        <w:pStyle w:val="Translit"/>
      </w:pPr>
      <w:r w:rsidRPr="008F03E5">
        <w:t>Darband</w:t>
      </w:r>
      <w:r w:rsidRPr="008F03E5">
        <w:tab/>
        <w:t>Darband</w:t>
      </w:r>
      <w:r w:rsidRPr="008F03E5">
        <w:tab/>
        <w:t>Pers. gateway or mountain door.  C</w:t>
      </w:r>
      <w:r w:rsidRPr="008F03E5">
        <w:rPr>
          <w:lang w:eastAsia="en-US"/>
        </w:rPr>
        <w:t>ity (renamed Derbent) in the province of Dá</w:t>
      </w:r>
      <w:r w:rsidRPr="008F03E5">
        <w:rPr>
          <w:u w:val="single"/>
          <w:lang w:eastAsia="en-US"/>
        </w:rPr>
        <w:t>gh</w:t>
      </w:r>
      <w:r w:rsidRPr="008F03E5">
        <w:rPr>
          <w:lang w:eastAsia="en-US"/>
        </w:rPr>
        <w:t>istán (Russia) on the western banks of the Caspian Sea (gateway to the Caucasus).  Also a village (</w:t>
      </w:r>
      <w:r w:rsidRPr="008F03E5">
        <w:t>gateway to Mt. Tochal (Tu</w:t>
      </w:r>
      <w:r w:rsidRPr="008F03E5">
        <w:rPr>
          <w:u w:val="single"/>
        </w:rPr>
        <w:t>ch</w:t>
      </w:r>
      <w:r w:rsidRPr="008F03E5">
        <w:t>ál), mountain and ski resort) that is</w:t>
      </w:r>
      <w:r w:rsidRPr="008F03E5">
        <w:rPr>
          <w:lang w:eastAsia="en-US"/>
        </w:rPr>
        <w:t xml:space="preserve"> now a neighbourhood on the north side of </w:t>
      </w:r>
      <w:r w:rsidRPr="008F03E5">
        <w:t>Ṭ</w:t>
      </w:r>
      <w:r w:rsidRPr="008F03E5">
        <w:rPr>
          <w:lang w:eastAsia="en-US"/>
        </w:rPr>
        <w:t>ihr</w:t>
      </w:r>
      <w:r w:rsidRPr="008F03E5">
        <w:t>á</w:t>
      </w:r>
      <w:r w:rsidRPr="008F03E5">
        <w:rPr>
          <w:lang w:eastAsia="en-US"/>
        </w:rPr>
        <w:t>n.</w:t>
      </w:r>
    </w:p>
    <w:p w14:paraId="507856F1" w14:textId="77777777" w:rsidR="00625A5B" w:rsidRPr="008F03E5" w:rsidRDefault="00625A5B" w:rsidP="009B2A64">
      <w:pPr>
        <w:pStyle w:val="Translit"/>
      </w:pPr>
      <w:r w:rsidRPr="008F03E5">
        <w:t>Dard, Darad</w:t>
      </w:r>
      <w:r w:rsidRPr="008F03E5">
        <w:tab/>
        <w:t>Dárd, Dárad</w:t>
      </w:r>
      <w:r w:rsidRPr="008F03E5">
        <w:tab/>
        <w:t>Pers. an attribute of God; dárad he holds, has, is possessed of</w:t>
      </w:r>
    </w:p>
    <w:p w14:paraId="33AC39D0" w14:textId="77777777" w:rsidR="00625A5B" w:rsidRPr="008F03E5" w:rsidRDefault="00625A5B" w:rsidP="00BA2094">
      <w:pPr>
        <w:pStyle w:val="Translit"/>
        <w:rPr>
          <w:rFonts w:eastAsia="Times New Roman"/>
        </w:rPr>
      </w:pPr>
      <w:r w:rsidRPr="008F03E5">
        <w:t>Dargaz (Dar Gaz)</w:t>
      </w:r>
      <w:r w:rsidRPr="008F03E5">
        <w:tab/>
        <w:t>Dargaz (Dar Gaz)</w:t>
      </w:r>
      <w:r w:rsidRPr="008F03E5">
        <w:tab/>
        <w:t xml:space="preserve">also known as Darreh Gaz; formerly, Muḥammadábád, Muḥammadábád Arbáb, and Abíward (Abivard), is a city 65 km </w:t>
      </w:r>
      <w:r w:rsidRPr="008F03E5">
        <w:rPr>
          <w:sz w:val="16"/>
          <w:szCs w:val="16"/>
        </w:rPr>
        <w:t>NE</w:t>
      </w:r>
      <w:r w:rsidRPr="008F03E5">
        <w:t xml:space="preserve"> of Qú</w:t>
      </w:r>
      <w:r w:rsidRPr="008F03E5">
        <w:rPr>
          <w:u w:val="single"/>
        </w:rPr>
        <w:t>ch</w:t>
      </w:r>
      <w:r w:rsidRPr="008F03E5">
        <w:t xml:space="preserve">án, in </w:t>
      </w:r>
      <w:r w:rsidRPr="008F03E5">
        <w:rPr>
          <w:rFonts w:eastAsia="PMingLiU"/>
          <w:lang w:eastAsia="zh-TW"/>
        </w:rPr>
        <w:t>Ra</w:t>
      </w:r>
      <w:r w:rsidRPr="008F03E5">
        <w:t>ḍ</w:t>
      </w:r>
      <w:r w:rsidRPr="008F03E5">
        <w:rPr>
          <w:rFonts w:eastAsia="PMingLiU"/>
          <w:lang w:eastAsia="zh-TW"/>
        </w:rPr>
        <w:t xml:space="preserve">awí </w:t>
      </w:r>
      <w:r w:rsidRPr="008F03E5">
        <w:rPr>
          <w:u w:val="single"/>
        </w:rPr>
        <w:t>Kh</w:t>
      </w:r>
      <w:r w:rsidRPr="008F03E5">
        <w:t>urásán Ústán (province), Iran.</w:t>
      </w:r>
    </w:p>
    <w:p w14:paraId="7132A75E" w14:textId="77777777" w:rsidR="00625A5B" w:rsidRPr="008F03E5" w:rsidRDefault="00625A5B" w:rsidP="00A046FB">
      <w:pPr>
        <w:pStyle w:val="Translit"/>
        <w:rPr>
          <w:rFonts w:eastAsia="Times New Roman"/>
        </w:rPr>
      </w:pPr>
      <w:r w:rsidRPr="008F03E5">
        <w:t>Dari</w:t>
      </w:r>
      <w:r w:rsidRPr="008F03E5">
        <w:tab/>
        <w:t>Darí</w:t>
      </w:r>
      <w:r w:rsidRPr="008F03E5">
        <w:tab/>
        <w:t>Pers. bel</w:t>
      </w:r>
      <w:r w:rsidRPr="008F03E5">
        <w:rPr>
          <w:rFonts w:eastAsia="Times New Roman"/>
        </w:rPr>
        <w:t>onging to a door; belonging to the royal court, courtly; one of the three surviving dialects of the seven anciently spoken in Persia, said to prevail chiefly in Bal</w:t>
      </w:r>
      <w:r w:rsidRPr="008F03E5">
        <w:rPr>
          <w:rFonts w:eastAsia="Times New Roman"/>
          <w:u w:val="single"/>
        </w:rPr>
        <w:t>kh</w:t>
      </w:r>
      <w:r w:rsidRPr="008F03E5">
        <w:rPr>
          <w:rFonts w:eastAsia="Times New Roman"/>
        </w:rPr>
        <w:t>, Bu</w:t>
      </w:r>
      <w:r w:rsidRPr="008F03E5">
        <w:rPr>
          <w:rFonts w:eastAsia="Times New Roman"/>
          <w:u w:val="single"/>
        </w:rPr>
        <w:t>kh</w:t>
      </w:r>
      <w:r w:rsidRPr="008F03E5">
        <w:rPr>
          <w:rFonts w:eastAsia="Times New Roman"/>
        </w:rPr>
        <w:t>árá, and Bada</w:t>
      </w:r>
      <w:r w:rsidRPr="008F03E5">
        <w:rPr>
          <w:rFonts w:eastAsia="Times New Roman"/>
          <w:u w:val="single"/>
        </w:rPr>
        <w:t>khsh</w:t>
      </w:r>
      <w:r w:rsidRPr="008F03E5">
        <w:rPr>
          <w:rFonts w:eastAsia="Times New Roman"/>
        </w:rPr>
        <w:t>án, and called the language of the court and of Paradise</w:t>
      </w:r>
    </w:p>
    <w:p w14:paraId="3F4BB3F0" w14:textId="77777777" w:rsidR="00625A5B" w:rsidRPr="008F03E5" w:rsidRDefault="00625A5B" w:rsidP="00A046FB">
      <w:pPr>
        <w:pStyle w:val="Translit"/>
      </w:pPr>
      <w:r w:rsidRPr="008F03E5">
        <w:rPr>
          <w:rFonts w:eastAsia="Times New Roman"/>
        </w:rPr>
        <w:t>Daridan</w:t>
      </w:r>
      <w:r w:rsidRPr="008F03E5">
        <w:rPr>
          <w:rFonts w:eastAsia="Times New Roman"/>
        </w:rPr>
        <w:tab/>
        <w:t>Darídan</w:t>
      </w:r>
      <w:r w:rsidRPr="008F03E5">
        <w:rPr>
          <w:rFonts w:eastAsia="Times New Roman"/>
        </w:rPr>
        <w:tab/>
        <w:t>Pers. to tear, rend, lacerate; to cut out (cloth); to lay open; to subtract; to be loosed; to be torn</w:t>
      </w:r>
    </w:p>
    <w:p w14:paraId="5642E284" w14:textId="77777777" w:rsidR="00625A5B" w:rsidRPr="008F03E5" w:rsidRDefault="00625A5B" w:rsidP="00481126">
      <w:pPr>
        <w:pStyle w:val="Translit"/>
      </w:pPr>
      <w:r w:rsidRPr="008F03E5">
        <w:t xml:space="preserve">Darkala or Dar-Kala </w:t>
      </w:r>
      <w:r w:rsidRPr="008F03E5">
        <w:rPr>
          <w:rFonts w:eastAsia="Times New Roman"/>
        </w:rPr>
        <w:t>(Dar-Kola)</w:t>
      </w:r>
      <w:r w:rsidRPr="008F03E5">
        <w:tab/>
        <w:t>Dárkalá or Dár-Kalá</w:t>
      </w:r>
      <w:r w:rsidRPr="008F03E5">
        <w:tab/>
        <w:t xml:space="preserve">(“Kalaa”, “Dhakala”) a village (36.161685, 51.939188) in Núr County (8 km </w:t>
      </w:r>
      <w:r w:rsidRPr="008F03E5">
        <w:rPr>
          <w:sz w:val="16"/>
          <w:szCs w:val="16"/>
        </w:rPr>
        <w:t>SW</w:t>
      </w:r>
      <w:r w:rsidRPr="008F03E5">
        <w:t xml:space="preserve"> of Tákur) in Mázindarán, a second ancestral home of Mírzá Ḥusayn-‘Alí.  A</w:t>
      </w:r>
      <w:r w:rsidRPr="008F03E5">
        <w:rPr>
          <w:rFonts w:eastAsia="Times New Roman"/>
        </w:rPr>
        <w:t xml:space="preserve"> village (36.464393, 52.193668) 14 km west of </w:t>
      </w:r>
      <w:r w:rsidRPr="008F03E5">
        <w:t>Á</w:t>
      </w:r>
      <w:r w:rsidRPr="008F03E5">
        <w:rPr>
          <w:rFonts w:eastAsia="Times New Roman"/>
        </w:rPr>
        <w:t xml:space="preserve">mul where Bahá’u’lláh’s family stayed away from the winter cold of </w:t>
      </w:r>
      <w:r w:rsidRPr="008F03E5">
        <w:t>Tákur</w:t>
      </w:r>
      <w:r w:rsidRPr="008F03E5">
        <w:rPr>
          <w:rFonts w:eastAsia="Times New Roman"/>
        </w:rPr>
        <w:t>.</w:t>
      </w:r>
    </w:p>
    <w:p w14:paraId="5EF8C41C" w14:textId="77777777" w:rsidR="00625A5B" w:rsidRPr="008F03E5" w:rsidRDefault="00625A5B" w:rsidP="0044320D">
      <w:pPr>
        <w:pStyle w:val="Translit"/>
      </w:pPr>
      <w:r w:rsidRPr="008F03E5">
        <w:t>Darr</w:t>
      </w:r>
      <w:r w:rsidRPr="008F03E5">
        <w:tab/>
        <w:t>Ḍárr</w:t>
      </w:r>
      <w:r w:rsidRPr="008F03E5">
        <w:tab/>
        <w:t xml:space="preserve">harmful, injurious, detrimental, noxious, disadvantageous.  Abú </w:t>
      </w:r>
      <w:r w:rsidRPr="008F03E5">
        <w:rPr>
          <w:u w:val="single"/>
        </w:rPr>
        <w:t>Dh</w:t>
      </w:r>
      <w:r w:rsidRPr="008F03E5">
        <w:t>arr al-</w:t>
      </w:r>
      <w:r w:rsidRPr="008F03E5">
        <w:rPr>
          <w:u w:val="single"/>
        </w:rPr>
        <w:t>Gh</w:t>
      </w:r>
      <w:r w:rsidRPr="008F03E5">
        <w:t>ifárí al-Kinání, also Jundab ibn Junádah, was the 4th or 5th convert to Islam, and a Muhájirún</w:t>
      </w:r>
    </w:p>
    <w:p w14:paraId="08883E11" w14:textId="77777777" w:rsidR="00625A5B" w:rsidRPr="008F03E5" w:rsidRDefault="00625A5B" w:rsidP="002B75A6">
      <w:pPr>
        <w:pStyle w:val="Translit"/>
      </w:pPr>
      <w:r w:rsidRPr="008F03E5">
        <w:t>Dars, Durus</w:t>
      </w:r>
      <w:r w:rsidRPr="008F03E5">
        <w:tab/>
        <w:t>Dars, pl. Durús</w:t>
      </w:r>
      <w:r w:rsidRPr="008F03E5">
        <w:tab/>
        <w:t>effacement, obliteration, extinction;—pl. study, studies; lesson, chapter (of a textbook); class, class hour, period; lecture; lesson (taught by experience, etc.)</w:t>
      </w:r>
    </w:p>
    <w:p w14:paraId="6DC1C81F" w14:textId="77777777" w:rsidR="00625A5B" w:rsidRPr="008F03E5" w:rsidRDefault="00625A5B" w:rsidP="00A60F9E">
      <w:pPr>
        <w:pStyle w:val="Translit"/>
      </w:pPr>
      <w:r w:rsidRPr="008F03E5">
        <w:t>Darsu’l-Akhláq, Dars-i-Akhlaq</w:t>
      </w:r>
      <w:r w:rsidRPr="008F03E5">
        <w:tab/>
        <w:t>Darsu’l-A</w:t>
      </w:r>
      <w:r w:rsidRPr="008F03E5">
        <w:rPr>
          <w:u w:val="single"/>
        </w:rPr>
        <w:t>kh</w:t>
      </w:r>
      <w:r w:rsidRPr="008F03E5">
        <w:t>láq, Pers. Dars-i-A</w:t>
      </w:r>
      <w:r w:rsidRPr="008F03E5">
        <w:rPr>
          <w:u w:val="single"/>
        </w:rPr>
        <w:t>kh</w:t>
      </w:r>
      <w:r w:rsidRPr="008F03E5">
        <w:t>láq</w:t>
      </w:r>
      <w:r w:rsidRPr="008F03E5">
        <w:tab/>
        <w:t>“Lessons in morals, good behaviour and character building” (“Dars A</w:t>
      </w:r>
      <w:r w:rsidRPr="008F03E5">
        <w:rPr>
          <w:u w:val="single"/>
        </w:rPr>
        <w:t>kh</w:t>
      </w:r>
      <w:r w:rsidRPr="008F03E5">
        <w:t>láq”)</w:t>
      </w:r>
    </w:p>
    <w:p w14:paraId="3E274513" w14:textId="77777777" w:rsidR="00625A5B" w:rsidRPr="008F03E5" w:rsidRDefault="00625A5B" w:rsidP="00A60F9E">
      <w:pPr>
        <w:pStyle w:val="Translit"/>
      </w:pPr>
      <w:r w:rsidRPr="008F03E5">
        <w:t>Daru’l-Tabigh or Daru’l-Tarwij</w:t>
      </w:r>
      <w:r w:rsidRPr="008F03E5">
        <w:tab/>
        <w:t>Dáru’l-Tabí</w:t>
      </w:r>
      <w:r w:rsidRPr="008F03E5">
        <w:rPr>
          <w:u w:val="single"/>
        </w:rPr>
        <w:t>gh</w:t>
      </w:r>
      <w:r w:rsidRPr="008F03E5">
        <w:t xml:space="preserve"> or Dáru’l-Tarwíj</w:t>
      </w:r>
      <w:r w:rsidRPr="008F03E5">
        <w:tab/>
        <w:t>(Teaching or Propagation Centre, for the Hands)</w:t>
      </w:r>
    </w:p>
    <w:p w14:paraId="0391AE77" w14:textId="77777777" w:rsidR="00625A5B" w:rsidRPr="008F03E5" w:rsidRDefault="00625A5B" w:rsidP="00A60F9E">
      <w:pPr>
        <w:pStyle w:val="Translit"/>
      </w:pPr>
      <w:r w:rsidRPr="008F03E5">
        <w:t>Daru’l-Tashri’</w:t>
      </w:r>
      <w:r w:rsidRPr="008F03E5">
        <w:tab/>
        <w:t>Dáru’l-Ta</w:t>
      </w:r>
      <w:r w:rsidRPr="008F03E5">
        <w:rPr>
          <w:u w:val="single"/>
        </w:rPr>
        <w:t>sh</w:t>
      </w:r>
      <w:r w:rsidRPr="008F03E5">
        <w:t>rí‘</w:t>
      </w:r>
      <w:r w:rsidRPr="008F03E5">
        <w:tab/>
        <w:t>(House of Legislation, Universal House of Justice)</w:t>
      </w:r>
    </w:p>
    <w:p w14:paraId="06DEC66D" w14:textId="77777777" w:rsidR="00625A5B" w:rsidRPr="008F03E5" w:rsidRDefault="00625A5B" w:rsidP="00867A55">
      <w:pPr>
        <w:pStyle w:val="Translit"/>
      </w:pPr>
      <w:r w:rsidRPr="008F03E5">
        <w:rPr>
          <w:rFonts w:eastAsia="PMingLiU"/>
          <w:lang w:eastAsia="zh-TW"/>
        </w:rPr>
        <w:t>D</w:t>
      </w:r>
      <w:r w:rsidRPr="008F03E5">
        <w:t>a</w:t>
      </w:r>
      <w:r w:rsidRPr="008F03E5">
        <w:rPr>
          <w:rFonts w:eastAsia="PMingLiU"/>
          <w:lang w:eastAsia="zh-TW"/>
        </w:rPr>
        <w:t>ru’sh-Shaf</w:t>
      </w:r>
      <w:r w:rsidRPr="008F03E5">
        <w:t>a</w:t>
      </w:r>
      <w:r w:rsidRPr="008F03E5">
        <w:tab/>
      </w:r>
      <w:r w:rsidRPr="008F03E5">
        <w:rPr>
          <w:rFonts w:eastAsia="PMingLiU"/>
          <w:lang w:eastAsia="zh-TW"/>
        </w:rPr>
        <w:t>D</w:t>
      </w:r>
      <w:r w:rsidRPr="008F03E5">
        <w:t>á</w:t>
      </w:r>
      <w:r w:rsidRPr="008F03E5">
        <w:rPr>
          <w:rFonts w:eastAsia="PMingLiU"/>
          <w:lang w:eastAsia="zh-TW"/>
        </w:rPr>
        <w:t>ru’</w:t>
      </w:r>
      <w:r w:rsidRPr="008F03E5">
        <w:rPr>
          <w:u w:val="single"/>
        </w:rPr>
        <w:t>sh</w:t>
      </w:r>
      <w:r w:rsidRPr="008F03E5">
        <w:rPr>
          <w:rFonts w:eastAsia="PMingLiU"/>
          <w:lang w:eastAsia="zh-TW"/>
        </w:rPr>
        <w:t>-</w:t>
      </w:r>
      <w:r w:rsidRPr="008F03E5">
        <w:rPr>
          <w:u w:val="single"/>
        </w:rPr>
        <w:t>Sh</w:t>
      </w:r>
      <w:r w:rsidRPr="008F03E5">
        <w:rPr>
          <w:rFonts w:eastAsia="PMingLiU"/>
          <w:lang w:eastAsia="zh-TW"/>
        </w:rPr>
        <w:t>af</w:t>
      </w:r>
      <w:r w:rsidRPr="008F03E5">
        <w:t>á</w:t>
      </w:r>
      <w:r w:rsidRPr="008F03E5">
        <w:tab/>
      </w:r>
      <w:r>
        <w:t>Pers. h</w:t>
      </w:r>
      <w:r w:rsidRPr="008F03E5">
        <w:t>ouse of treatment, a building constructed for medical purposes, equivalent of a modern hospital or health clinic</w:t>
      </w:r>
    </w:p>
    <w:p w14:paraId="2B6F0A1B" w14:textId="77777777" w:rsidR="00625A5B" w:rsidRPr="008F03E5" w:rsidRDefault="00625A5B" w:rsidP="00510285">
      <w:pPr>
        <w:pStyle w:val="Translit"/>
        <w:rPr>
          <w:rFonts w:eastAsia="PMingLiU"/>
          <w:lang w:eastAsia="zh-TW"/>
        </w:rPr>
      </w:pPr>
      <w:r w:rsidRPr="008F03E5">
        <w:rPr>
          <w:rFonts w:eastAsia="PMingLiU"/>
          <w:lang w:eastAsia="zh-TW"/>
        </w:rPr>
        <w:t>D</w:t>
      </w:r>
      <w:r w:rsidRPr="008F03E5">
        <w:t>a</w:t>
      </w:r>
      <w:r w:rsidRPr="008F03E5">
        <w:rPr>
          <w:rFonts w:eastAsia="PMingLiU"/>
          <w:lang w:eastAsia="zh-TW"/>
        </w:rPr>
        <w:t>ru’sh-Shaf</w:t>
      </w:r>
      <w:r w:rsidRPr="008F03E5">
        <w:t>a</w:t>
      </w:r>
      <w:r w:rsidRPr="008F03E5">
        <w:rPr>
          <w:rFonts w:eastAsia="PMingLiU"/>
          <w:lang w:eastAsia="zh-TW"/>
        </w:rPr>
        <w:t>y-i-Masjid-i-Sh</w:t>
      </w:r>
      <w:r w:rsidRPr="008F03E5">
        <w:t>a</w:t>
      </w:r>
      <w:r w:rsidRPr="008F03E5">
        <w:rPr>
          <w:rFonts w:eastAsia="PMingLiU"/>
          <w:lang w:eastAsia="zh-TW"/>
        </w:rPr>
        <w:t>h</w:t>
      </w:r>
      <w:r w:rsidRPr="008F03E5">
        <w:tab/>
      </w:r>
      <w:r w:rsidRPr="008F03E5">
        <w:rPr>
          <w:rFonts w:eastAsia="PMingLiU"/>
          <w:lang w:eastAsia="zh-TW"/>
        </w:rPr>
        <w:t>D</w:t>
      </w:r>
      <w:r w:rsidRPr="008F03E5">
        <w:t>á</w:t>
      </w:r>
      <w:r w:rsidRPr="008F03E5">
        <w:rPr>
          <w:rFonts w:eastAsia="PMingLiU"/>
          <w:lang w:eastAsia="zh-TW"/>
        </w:rPr>
        <w:t>ru’</w:t>
      </w:r>
      <w:r w:rsidRPr="008F03E5">
        <w:rPr>
          <w:u w:val="single"/>
        </w:rPr>
        <w:t>sh</w:t>
      </w:r>
      <w:r w:rsidRPr="008F03E5">
        <w:rPr>
          <w:rFonts w:eastAsia="PMingLiU"/>
          <w:lang w:eastAsia="zh-TW"/>
        </w:rPr>
        <w:t>-</w:t>
      </w:r>
      <w:r w:rsidRPr="008F03E5">
        <w:rPr>
          <w:u w:val="single"/>
        </w:rPr>
        <w:t>Sh</w:t>
      </w:r>
      <w:r w:rsidRPr="008F03E5">
        <w:rPr>
          <w:rFonts w:eastAsia="PMingLiU"/>
          <w:lang w:eastAsia="zh-TW"/>
        </w:rPr>
        <w:t>af</w:t>
      </w:r>
      <w:r w:rsidRPr="008F03E5">
        <w:t>á</w:t>
      </w:r>
      <w:r w:rsidRPr="008F03E5">
        <w:rPr>
          <w:rFonts w:eastAsia="PMingLiU"/>
          <w:lang w:eastAsia="zh-TW"/>
        </w:rPr>
        <w:t>y-i-Masjid-i-</w:t>
      </w:r>
      <w:r w:rsidRPr="008F03E5">
        <w:rPr>
          <w:u w:val="single"/>
        </w:rPr>
        <w:t>Sh</w:t>
      </w:r>
      <w:r w:rsidRPr="008F03E5">
        <w:t>á</w:t>
      </w:r>
      <w:r w:rsidRPr="008F03E5">
        <w:rPr>
          <w:rFonts w:eastAsia="PMingLiU"/>
          <w:lang w:eastAsia="zh-TW"/>
        </w:rPr>
        <w:t>h</w:t>
      </w:r>
      <w:r w:rsidRPr="008F03E5">
        <w:tab/>
      </w:r>
      <w:r>
        <w:t xml:space="preserve">Pers. hospital </w:t>
      </w:r>
      <w:r w:rsidRPr="008F03E5">
        <w:t>at the Shah Mosque in Tehran</w:t>
      </w:r>
    </w:p>
    <w:p w14:paraId="5DE384B9" w14:textId="77777777" w:rsidR="00625A5B" w:rsidRPr="008F03E5" w:rsidRDefault="00625A5B" w:rsidP="00A60F9E">
      <w:pPr>
        <w:pStyle w:val="Translit"/>
      </w:pPr>
      <w:r w:rsidRPr="008F03E5">
        <w:t>Daru’s-Surur</w:t>
      </w:r>
      <w:r w:rsidRPr="008F03E5">
        <w:tab/>
        <w:t>Dáru’s-Surúr</w:t>
      </w:r>
      <w:r w:rsidRPr="008F03E5">
        <w:tab/>
        <w:t>“the happy home”</w:t>
      </w:r>
    </w:p>
    <w:p w14:paraId="7C67A204" w14:textId="77777777" w:rsidR="00625A5B" w:rsidRPr="008F03E5" w:rsidRDefault="00625A5B" w:rsidP="00DC6DF1">
      <w:pPr>
        <w:pStyle w:val="Translit"/>
      </w:pPr>
      <w:r w:rsidRPr="008F03E5">
        <w:t>Darugha (Darogha, Darughih)</w:t>
      </w:r>
      <w:r w:rsidRPr="008F03E5">
        <w:tab/>
        <w:t>Dárú</w:t>
      </w:r>
      <w:r w:rsidRPr="008F03E5">
        <w:rPr>
          <w:u w:val="single"/>
        </w:rPr>
        <w:t>gh</w:t>
      </w:r>
      <w:r w:rsidRPr="008F03E5">
        <w:t>a (Pers. Bahá’í Dárú</w:t>
      </w:r>
      <w:r w:rsidRPr="008F03E5">
        <w:rPr>
          <w:u w:val="single"/>
        </w:rPr>
        <w:t>gh</w:t>
      </w:r>
      <w:r w:rsidRPr="008F03E5">
        <w:t>ih)</w:t>
      </w:r>
      <w:r w:rsidRPr="008F03E5">
        <w:tab/>
        <w:t>Pers. from Chinese, a territorial subdivision (later a province) in the Mongol Empire that was ruled by a daru</w:t>
      </w:r>
      <w:r w:rsidRPr="008F03E5">
        <w:rPr>
          <w:u w:val="single"/>
        </w:rPr>
        <w:t>gh</w:t>
      </w:r>
      <w:r w:rsidRPr="008F03E5">
        <w:t>a</w:t>
      </w:r>
      <w:r w:rsidRPr="008F03E5">
        <w:rPr>
          <w:u w:val="single"/>
        </w:rPr>
        <w:t>ch</w:t>
      </w:r>
      <w:r w:rsidRPr="008F03E5">
        <w:t>í.  In Safavid Persia, a dárú</w:t>
      </w:r>
      <w:r w:rsidRPr="008F03E5">
        <w:rPr>
          <w:u w:val="single"/>
        </w:rPr>
        <w:t>gh</w:t>
      </w:r>
      <w:r w:rsidRPr="008F03E5">
        <w:t>a</w:t>
      </w:r>
      <w:r w:rsidRPr="008F03E5">
        <w:rPr>
          <w:rFonts w:eastAsia="Times New Roman"/>
        </w:rPr>
        <w:t xml:space="preserve"> was the head man of an office, prefect of a town or village, overseer, or superintendent of any department.  Similarly, i</w:t>
      </w:r>
      <w:r w:rsidRPr="008F03E5">
        <w:t>n the Mughal Empire of South Asia, dárú</w:t>
      </w:r>
      <w:r w:rsidRPr="008F03E5">
        <w:rPr>
          <w:u w:val="single"/>
        </w:rPr>
        <w:t>gh</w:t>
      </w:r>
      <w:r w:rsidRPr="008F03E5">
        <w:t>a was the title of the district police officer or police magistrate.</w:t>
      </w:r>
    </w:p>
    <w:p w14:paraId="2EBF7A7A" w14:textId="77777777" w:rsidR="00625A5B" w:rsidRPr="008F03E5" w:rsidRDefault="00625A5B" w:rsidP="00DC6DF1">
      <w:pPr>
        <w:pStyle w:val="Translit"/>
        <w:rPr>
          <w:rFonts w:eastAsia="PMingLiU"/>
          <w:lang w:eastAsia="zh-TW"/>
        </w:rPr>
      </w:pPr>
      <w:r w:rsidRPr="008F03E5">
        <w:t>Darughagi (Darughachi)</w:t>
      </w:r>
      <w:r w:rsidRPr="008F03E5">
        <w:tab/>
        <w:t>Dárú</w:t>
      </w:r>
      <w:r w:rsidRPr="008F03E5">
        <w:rPr>
          <w:u w:val="single"/>
        </w:rPr>
        <w:t>gh</w:t>
      </w:r>
      <w:r w:rsidRPr="008F03E5">
        <w:t>agí</w:t>
      </w:r>
      <w:r w:rsidRPr="008F03E5">
        <w:tab/>
        <w:t>Pers. from Mongolian dárú</w:t>
      </w:r>
      <w:r w:rsidRPr="008F03E5">
        <w:rPr>
          <w:u w:val="single"/>
        </w:rPr>
        <w:t>gh</w:t>
      </w:r>
      <w:r w:rsidRPr="008F03E5">
        <w:t>a</w:t>
      </w:r>
      <w:r w:rsidRPr="008F03E5">
        <w:rPr>
          <w:u w:val="single"/>
        </w:rPr>
        <w:t>ch</w:t>
      </w:r>
      <w:r w:rsidRPr="008F03E5">
        <w:t xml:space="preserve">í.  </w:t>
      </w:r>
      <w:r w:rsidRPr="008F03E5">
        <w:rPr>
          <w:rFonts w:eastAsia="Times New Roman"/>
        </w:rPr>
        <w:t xml:space="preserve">A superintendency.  He was </w:t>
      </w:r>
      <w:r w:rsidRPr="008F03E5">
        <w:t>in charge of administration and taxes—sometimes referred to as a governor.</w:t>
      </w:r>
    </w:p>
    <w:p w14:paraId="02CA59F0" w14:textId="77777777" w:rsidR="00625A5B" w:rsidRPr="008F03E5" w:rsidRDefault="00625A5B" w:rsidP="00900A82">
      <w:pPr>
        <w:pStyle w:val="Translit"/>
      </w:pPr>
      <w:r w:rsidRPr="008F03E5">
        <w:t>Darvish Muhammad-i-Irani</w:t>
      </w:r>
      <w:r w:rsidRPr="008F03E5">
        <w:tab/>
        <w:t>Darví</w:t>
      </w:r>
      <w:r w:rsidRPr="008F03E5">
        <w:rPr>
          <w:u w:val="single"/>
        </w:rPr>
        <w:t>sh</w:t>
      </w:r>
      <w:r w:rsidRPr="008F03E5">
        <w:t xml:space="preserve"> Muḥammad-i-Írání</w:t>
      </w:r>
      <w:r w:rsidRPr="008F03E5">
        <w:tab/>
        <w:t>Name used by Bahá’u’lláh while in Sulaymáníyyih</w:t>
      </w:r>
    </w:p>
    <w:p w14:paraId="27E907D5" w14:textId="77777777" w:rsidR="00625A5B" w:rsidRPr="008F03E5" w:rsidRDefault="00625A5B" w:rsidP="002B75A6">
      <w:pPr>
        <w:pStyle w:val="Translit"/>
      </w:pPr>
      <w:r w:rsidRPr="008F03E5">
        <w:t>Darvish Sidq</w:t>
      </w:r>
      <w:r w:rsidRPr="008F03E5">
        <w:rPr>
          <w:rFonts w:eastAsia="PMingLiU"/>
          <w:lang w:eastAsia="zh-TW"/>
        </w:rPr>
        <w:t>-‘</w:t>
      </w:r>
      <w:r w:rsidRPr="008F03E5">
        <w:t>Ali</w:t>
      </w:r>
      <w:r w:rsidRPr="008F03E5">
        <w:tab/>
        <w:t>Darví</w:t>
      </w:r>
      <w:r w:rsidRPr="008F03E5">
        <w:rPr>
          <w:u w:val="single"/>
        </w:rPr>
        <w:t>sh</w:t>
      </w:r>
      <w:r w:rsidRPr="008F03E5">
        <w:t xml:space="preserve"> Ṣidq-‘Alí</w:t>
      </w:r>
      <w:r w:rsidRPr="008F03E5">
        <w:tab/>
      </w:r>
    </w:p>
    <w:p w14:paraId="31DE4056" w14:textId="77777777" w:rsidR="00625A5B" w:rsidRPr="008F03E5" w:rsidRDefault="00625A5B" w:rsidP="00900A82">
      <w:pPr>
        <w:pStyle w:val="Translit"/>
        <w:rPr>
          <w:rFonts w:eastAsia="PMingLiU"/>
          <w:lang w:eastAsia="zh-TW"/>
        </w:rPr>
      </w:pPr>
      <w:r w:rsidRPr="008F03E5">
        <w:rPr>
          <w:rFonts w:eastAsia="PMingLiU"/>
          <w:lang w:eastAsia="zh-TW"/>
        </w:rPr>
        <w:t>Darv</w:t>
      </w:r>
      <w:r w:rsidRPr="008F03E5">
        <w:t>i</w:t>
      </w:r>
      <w:r w:rsidRPr="008F03E5">
        <w:rPr>
          <w:rFonts w:eastAsia="PMingLiU"/>
          <w:lang w:eastAsia="zh-TW"/>
        </w:rPr>
        <w:t>sh-Sal</w:t>
      </w:r>
      <w:r w:rsidRPr="008F03E5">
        <w:t>a</w:t>
      </w:r>
      <w:r w:rsidRPr="008F03E5">
        <w:rPr>
          <w:rFonts w:eastAsia="PMingLiU"/>
          <w:lang w:eastAsia="zh-TW"/>
        </w:rPr>
        <w:t>h</w:t>
      </w:r>
      <w:r w:rsidRPr="008F03E5">
        <w:tab/>
      </w:r>
      <w:r w:rsidRPr="008F03E5">
        <w:rPr>
          <w:rFonts w:eastAsia="PMingLiU"/>
          <w:lang w:eastAsia="zh-TW"/>
        </w:rPr>
        <w:t>Darv</w:t>
      </w:r>
      <w:r w:rsidRPr="008F03E5">
        <w:t>í</w:t>
      </w:r>
      <w:r w:rsidRPr="008F03E5">
        <w:rPr>
          <w:u w:val="single"/>
        </w:rPr>
        <w:t>sh</w:t>
      </w:r>
      <w:r w:rsidRPr="008F03E5">
        <w:rPr>
          <w:rFonts w:eastAsia="PMingLiU"/>
          <w:lang w:eastAsia="zh-TW"/>
        </w:rPr>
        <w:t>-</w:t>
      </w:r>
      <w:r w:rsidRPr="008F03E5">
        <w:t>Ṣ</w:t>
      </w:r>
      <w:r w:rsidRPr="008F03E5">
        <w:rPr>
          <w:rFonts w:eastAsia="PMingLiU"/>
          <w:lang w:eastAsia="zh-TW"/>
        </w:rPr>
        <w:t>al</w:t>
      </w:r>
      <w:r w:rsidRPr="008F03E5">
        <w:t>áḥ</w:t>
      </w:r>
      <w:r w:rsidRPr="008F03E5">
        <w:tab/>
      </w:r>
    </w:p>
    <w:p w14:paraId="3656F870" w14:textId="77777777" w:rsidR="00625A5B" w:rsidRDefault="00625A5B" w:rsidP="00E65CFB">
      <w:pPr>
        <w:pStyle w:val="Translit"/>
        <w:rPr>
          <w:rFonts w:eastAsia="Times New Roman"/>
        </w:rPr>
      </w:pPr>
      <w:r w:rsidRPr="006014DE">
        <w:rPr>
          <w:rFonts w:eastAsia="Times New Roman"/>
        </w:rPr>
        <w:t>Darwaz, Darwaza</w:t>
      </w:r>
      <w:r>
        <w:rPr>
          <w:rFonts w:eastAsia="Times New Roman"/>
        </w:rPr>
        <w:t xml:space="preserve"> </w:t>
      </w:r>
      <w:r w:rsidRPr="008F03E5">
        <w:t>(Darvarza, Darvazih)</w:t>
      </w:r>
      <w:r w:rsidRPr="006014DE">
        <w:rPr>
          <w:rFonts w:eastAsia="Times New Roman"/>
        </w:rPr>
        <w:tab/>
        <w:t>Darwáz, Darwáza</w:t>
      </w:r>
      <w:r w:rsidRPr="006014DE">
        <w:rPr>
          <w:rFonts w:eastAsia="Times New Roman"/>
        </w:rPr>
        <w:tab/>
      </w:r>
      <w:r>
        <w:rPr>
          <w:rFonts w:eastAsia="Times New Roman"/>
        </w:rPr>
        <w:t>Pers. l</w:t>
      </w:r>
      <w:r w:rsidRPr="00AF4D34">
        <w:rPr>
          <w:rFonts w:eastAsia="Times New Roman"/>
        </w:rPr>
        <w:t>arge gates, or doors of a city, palace, or fortress (always open); a square, market-place; mendacity</w:t>
      </w:r>
      <w:r>
        <w:rPr>
          <w:rFonts w:eastAsia="Times New Roman"/>
        </w:rPr>
        <w:t>;—fem. a</w:t>
      </w:r>
      <w:r w:rsidRPr="00AF4D34">
        <w:rPr>
          <w:rFonts w:eastAsia="Times New Roman"/>
        </w:rPr>
        <w:t xml:space="preserve"> door; a gate; a square, market-place, or exchange where merchants meet, and mendicants beg; (hence) begging; a pass through mountains</w:t>
      </w:r>
      <w:r>
        <w:rPr>
          <w:rFonts w:eastAsia="Times New Roman"/>
        </w:rPr>
        <w:t>.</w:t>
      </w:r>
    </w:p>
    <w:p w14:paraId="4185A852" w14:textId="77777777" w:rsidR="00625A5B" w:rsidRDefault="00625A5B" w:rsidP="007603F4">
      <w:pPr>
        <w:pStyle w:val="Translit"/>
        <w:rPr>
          <w:rFonts w:eastAsia="Times New Roman"/>
        </w:rPr>
      </w:pPr>
      <w:r>
        <w:rPr>
          <w:rFonts w:eastAsia="Times New Roman"/>
        </w:rPr>
        <w:t>Darwaza Kazirun</w:t>
      </w:r>
      <w:r>
        <w:rPr>
          <w:rFonts w:eastAsia="Times New Roman"/>
        </w:rPr>
        <w:tab/>
        <w:t>Darw</w:t>
      </w:r>
      <w:r w:rsidRPr="006014DE">
        <w:t>á</w:t>
      </w:r>
      <w:r>
        <w:rPr>
          <w:rFonts w:eastAsia="Times New Roman"/>
        </w:rPr>
        <w:t xml:space="preserve">za </w:t>
      </w:r>
      <w:r w:rsidRPr="00334509">
        <w:t>Kázirún</w:t>
      </w:r>
      <w:r>
        <w:tab/>
      </w:r>
      <w:r w:rsidRPr="00334509">
        <w:t>Kázirún</w:t>
      </w:r>
      <w:r>
        <w:t xml:space="preserve"> Gate (</w:t>
      </w:r>
      <w:r w:rsidRPr="00226CB0">
        <w:t>29.60911</w:t>
      </w:r>
      <w:r>
        <w:t>1</w:t>
      </w:r>
      <w:r w:rsidRPr="00226CB0">
        <w:t>, 52.532378</w:t>
      </w:r>
      <w:r>
        <w:t xml:space="preserve">) is the west side old city gate (destroyed) of </w:t>
      </w:r>
      <w:r w:rsidRPr="007A7D67">
        <w:rPr>
          <w:u w:val="single"/>
        </w:rPr>
        <w:t>Sh</w:t>
      </w:r>
      <w:r w:rsidRPr="007A7D67">
        <w:t>í</w:t>
      </w:r>
      <w:r>
        <w:t>r</w:t>
      </w:r>
      <w:r w:rsidRPr="007A7D67">
        <w:t>á</w:t>
      </w:r>
      <w:r>
        <w:t xml:space="preserve">z on the </w:t>
      </w:r>
      <w:r w:rsidRPr="00334509">
        <w:t>Kázirún</w:t>
      </w:r>
      <w:r>
        <w:t xml:space="preserve"> to </w:t>
      </w:r>
      <w:r w:rsidRPr="007A7D67">
        <w:rPr>
          <w:u w:val="single"/>
        </w:rPr>
        <w:t>Sh</w:t>
      </w:r>
      <w:r w:rsidRPr="007A7D67">
        <w:t>í</w:t>
      </w:r>
      <w:r>
        <w:t>r</w:t>
      </w:r>
      <w:r w:rsidRPr="007A7D67">
        <w:t>á</w:t>
      </w:r>
      <w:r>
        <w:t xml:space="preserve">z road.  The Báb met </w:t>
      </w:r>
      <w:r w:rsidRPr="008F03E5">
        <w:t>Mullá</w:t>
      </w:r>
      <w:r>
        <w:t xml:space="preserve"> </w:t>
      </w:r>
      <w:r w:rsidRPr="007A7D67">
        <w:t>Ḥ</w:t>
      </w:r>
      <w:r>
        <w:t xml:space="preserve">usayn here on 22 </w:t>
      </w:r>
      <w:r w:rsidRPr="00891A8E">
        <w:t>May 1844</w:t>
      </w:r>
      <w:r>
        <w:t>.</w:t>
      </w:r>
    </w:p>
    <w:p w14:paraId="3F971E24" w14:textId="77777777" w:rsidR="00625A5B" w:rsidRDefault="00625A5B" w:rsidP="00FB52D1">
      <w:pPr>
        <w:pStyle w:val="Translit"/>
      </w:pPr>
      <w:r>
        <w:rPr>
          <w:rFonts w:eastAsia="Times New Roman"/>
        </w:rPr>
        <w:t>Darwaza Qur’an</w:t>
      </w:r>
      <w:r>
        <w:rPr>
          <w:rFonts w:eastAsia="Times New Roman"/>
        </w:rPr>
        <w:tab/>
        <w:t>Darw</w:t>
      </w:r>
      <w:r w:rsidRPr="006014DE">
        <w:t>á</w:t>
      </w:r>
      <w:r>
        <w:rPr>
          <w:rFonts w:eastAsia="Times New Roman"/>
        </w:rPr>
        <w:t>za Qur’án</w:t>
      </w:r>
      <w:r>
        <w:rPr>
          <w:rFonts w:eastAsia="Times New Roman"/>
        </w:rPr>
        <w:tab/>
        <w:t>(or Darw</w:t>
      </w:r>
      <w:r w:rsidRPr="006014DE">
        <w:t>á</w:t>
      </w:r>
      <w:r>
        <w:rPr>
          <w:rFonts w:eastAsia="Times New Roman"/>
        </w:rPr>
        <w:t xml:space="preserve">za </w:t>
      </w:r>
      <w:r w:rsidRPr="006014DE">
        <w:rPr>
          <w:rFonts w:eastAsia="Times New Roman"/>
          <w:u w:val="single"/>
        </w:rPr>
        <w:t>Sh</w:t>
      </w:r>
      <w:r w:rsidRPr="006014DE">
        <w:t>í</w:t>
      </w:r>
      <w:r>
        <w:rPr>
          <w:rFonts w:eastAsia="Times New Roman"/>
        </w:rPr>
        <w:t>r</w:t>
      </w:r>
      <w:r w:rsidRPr="006014DE">
        <w:t>á</w:t>
      </w:r>
      <w:r>
        <w:rPr>
          <w:rFonts w:eastAsia="Times New Roman"/>
        </w:rPr>
        <w:t xml:space="preserve">z) “Qur’án Gate”, was at the northern entrance gate to </w:t>
      </w:r>
      <w:r w:rsidRPr="006014DE">
        <w:rPr>
          <w:rFonts w:eastAsia="Times New Roman"/>
          <w:u w:val="single"/>
        </w:rPr>
        <w:t>Sh</w:t>
      </w:r>
      <w:r w:rsidRPr="006014DE">
        <w:t>í</w:t>
      </w:r>
      <w:r>
        <w:rPr>
          <w:rFonts w:eastAsia="Times New Roman"/>
        </w:rPr>
        <w:t>r</w:t>
      </w:r>
      <w:r w:rsidRPr="006014DE">
        <w:t>á</w:t>
      </w:r>
      <w:r>
        <w:rPr>
          <w:rFonts w:eastAsia="Times New Roman"/>
        </w:rPr>
        <w:t>z on the I</w:t>
      </w:r>
      <w:r w:rsidRPr="00FB52D1">
        <w:t>ṣ</w:t>
      </w:r>
      <w:r>
        <w:rPr>
          <w:rFonts w:eastAsia="Times New Roman"/>
        </w:rPr>
        <w:t>fah</w:t>
      </w:r>
      <w:r w:rsidRPr="00FB52D1">
        <w:t>á</w:t>
      </w:r>
      <w:r>
        <w:rPr>
          <w:rFonts w:eastAsia="Times New Roman"/>
        </w:rPr>
        <w:t xml:space="preserve">n road.  The gate once had two very large and heavy, hand-written “Qur’áns” (i.e. </w:t>
      </w:r>
      <w:r>
        <w:t>m</w:t>
      </w:r>
      <w:r w:rsidRPr="008F03E5">
        <w:t>aṣḥaf</w:t>
      </w:r>
      <w:r>
        <w:t>ayn; named hafdah man (weight 51 kg)</w:t>
      </w:r>
      <w:r>
        <w:rPr>
          <w:rFonts w:eastAsia="Times New Roman"/>
        </w:rPr>
        <w:t xml:space="preserve">) stored in a room on top of the arch.  The </w:t>
      </w:r>
      <w:r>
        <w:t>m</w:t>
      </w:r>
      <w:r w:rsidRPr="008F03E5">
        <w:t>aṣḥaf</w:t>
      </w:r>
      <w:r>
        <w:t>ayn were moved in 1937 and are now in the Pars Museum.  The modern gate is a “recreation”.  All the other city gates have been destroyed.</w:t>
      </w:r>
    </w:p>
    <w:p w14:paraId="236C2871" w14:textId="77777777" w:rsidR="00625A5B" w:rsidRPr="008F03E5" w:rsidRDefault="00625A5B" w:rsidP="00813588">
      <w:pPr>
        <w:pStyle w:val="Translit"/>
        <w:rPr>
          <w:rFonts w:eastAsia="PMingLiU"/>
          <w:lang w:eastAsia="zh-TW"/>
        </w:rPr>
      </w:pPr>
      <w:r w:rsidRPr="008F03E5">
        <w:rPr>
          <w:rFonts w:eastAsia="PMingLiU"/>
          <w:lang w:eastAsia="zh-TW"/>
        </w:rPr>
        <w:t>Darwish (Darvish), Darawish</w:t>
      </w:r>
      <w:r w:rsidRPr="008F03E5">
        <w:rPr>
          <w:rFonts w:eastAsia="PMingLiU"/>
          <w:lang w:eastAsia="zh-TW"/>
        </w:rPr>
        <w:tab/>
        <w:t>Darwí</w:t>
      </w:r>
      <w:r w:rsidRPr="008F03E5">
        <w:rPr>
          <w:u w:val="single"/>
        </w:rPr>
        <w:t>sh</w:t>
      </w:r>
      <w:r w:rsidRPr="008F03E5">
        <w:rPr>
          <w:rFonts w:eastAsia="PMingLiU"/>
          <w:lang w:eastAsia="zh-TW"/>
        </w:rPr>
        <w:t>, pl. Daráwí</w:t>
      </w:r>
      <w:r w:rsidRPr="008F03E5">
        <w:rPr>
          <w:u w:val="single"/>
        </w:rPr>
        <w:t>sh</w:t>
      </w:r>
      <w:r w:rsidRPr="008F03E5">
        <w:rPr>
          <w:rFonts w:eastAsia="PMingLiU"/>
          <w:lang w:eastAsia="zh-TW"/>
        </w:rPr>
        <w:tab/>
        <w:t>poor, indigent; dervish or monk.  A</w:t>
      </w:r>
      <w:r w:rsidRPr="008F03E5">
        <w:t xml:space="preserve"> beggar or faqír (poor one)  “… those who are completely severed from all but God, who cleave to His laws, are firm in His Faith, loyal to His Covenant, and constant in worship.”  Attributed to Bahá’u’lláh in </w:t>
      </w:r>
      <w:r w:rsidRPr="008F03E5">
        <w:rPr>
          <w:sz w:val="16"/>
          <w:szCs w:val="16"/>
        </w:rPr>
        <w:t>MF</w:t>
      </w:r>
      <w:r w:rsidRPr="008F03E5">
        <w:t xml:space="preserve"> 39.  May be written as </w:t>
      </w:r>
      <w:r w:rsidRPr="008F03E5">
        <w:rPr>
          <w:rFonts w:eastAsia="PMingLiU"/>
          <w:lang w:eastAsia="zh-TW"/>
        </w:rPr>
        <w:t>Darwe</w:t>
      </w:r>
      <w:r w:rsidRPr="008F03E5">
        <w:t xml:space="preserve">sh or </w:t>
      </w:r>
      <w:r w:rsidRPr="008F03E5">
        <w:rPr>
          <w:rFonts w:eastAsia="PMingLiU"/>
          <w:lang w:eastAsia="zh-TW"/>
        </w:rPr>
        <w:t>Darve</w:t>
      </w:r>
      <w:r w:rsidRPr="008F03E5">
        <w:t>sh in Persian.</w:t>
      </w:r>
    </w:p>
    <w:p w14:paraId="075836F8" w14:textId="77777777" w:rsidR="00625A5B" w:rsidRPr="008F03E5" w:rsidRDefault="00625A5B" w:rsidP="00A031FE">
      <w:pPr>
        <w:pStyle w:val="Translit"/>
      </w:pPr>
      <w:r w:rsidRPr="008F03E5">
        <w:t>Darya</w:t>
      </w:r>
      <w:r w:rsidRPr="008F03E5">
        <w:tab/>
        <w:t>Daryá</w:t>
      </w:r>
      <w:r w:rsidRPr="008F03E5">
        <w:tab/>
        <w:t>Pers. a sea, ocean; a river; (in the language of mysticism) pure, uncreated, divine essence</w:t>
      </w:r>
    </w:p>
    <w:p w14:paraId="5E41793F" w14:textId="77777777" w:rsidR="00625A5B" w:rsidRPr="008F03E5" w:rsidRDefault="00625A5B" w:rsidP="001261D8">
      <w:pPr>
        <w:pStyle w:val="Translit"/>
      </w:pPr>
      <w:r w:rsidRPr="008F03E5">
        <w:t>Daryay-i-Nur</w:t>
      </w:r>
      <w:r>
        <w:t xml:space="preserve"> (Daryay-i-Noor)</w:t>
      </w:r>
      <w:r w:rsidRPr="008F03E5">
        <w:tab/>
        <w:t>Daryáy-i-Núr</w:t>
      </w:r>
      <w:r w:rsidRPr="008F03E5">
        <w:tab/>
        <w:t xml:space="preserve">Pers. </w:t>
      </w:r>
      <w:r>
        <w:t xml:space="preserve">the Sea of Light or </w:t>
      </w:r>
      <w:r w:rsidRPr="008F03E5">
        <w:t xml:space="preserve">the Ocean of Light—the Shrine of Bahá’u’lláh.  </w:t>
      </w:r>
      <w:r>
        <w:t xml:space="preserve">Name of the famous and largest pink </w:t>
      </w:r>
      <w:r w:rsidRPr="008F03E5">
        <w:t xml:space="preserve">cut diamond (≈182 carats, from India), </w:t>
      </w:r>
      <w:r>
        <w:t xml:space="preserve">the </w:t>
      </w:r>
      <w:r w:rsidRPr="008F03E5">
        <w:t xml:space="preserve">colour is </w:t>
      </w:r>
      <w:r>
        <w:t xml:space="preserve">a very rare </w:t>
      </w:r>
      <w:r w:rsidRPr="008F03E5">
        <w:t>pale pink.  See Kúh-i-Núr.</w:t>
      </w:r>
    </w:p>
    <w:p w14:paraId="10D545B9" w14:textId="77777777" w:rsidR="00625A5B" w:rsidRPr="008F03E5" w:rsidRDefault="00625A5B" w:rsidP="00D91BE2">
      <w:pPr>
        <w:pStyle w:val="Translit"/>
      </w:pPr>
      <w:r w:rsidRPr="008F03E5">
        <w:t>Daryun (Dariun), Daryan (Darian)</w:t>
      </w:r>
      <w:r w:rsidRPr="008F03E5">
        <w:tab/>
        <w:t>Dáryún (Dáríún), Dáryán (Dáríán)</w:t>
      </w:r>
      <w:r w:rsidRPr="008F03E5">
        <w:tab/>
        <w:t xml:space="preserve">city (29.563709, 52.931288; 35 km east of </w:t>
      </w:r>
      <w:r w:rsidRPr="008F03E5">
        <w:rPr>
          <w:u w:val="single"/>
        </w:rPr>
        <w:t>Sh</w:t>
      </w:r>
      <w:r w:rsidRPr="008F03E5">
        <w:t xml:space="preserve">íráz) in the Central District of </w:t>
      </w:r>
      <w:r w:rsidRPr="008F03E5">
        <w:rPr>
          <w:u w:val="single"/>
        </w:rPr>
        <w:t>Sh</w:t>
      </w:r>
      <w:r w:rsidRPr="008F03E5">
        <w:t xml:space="preserve">íráz County, Fárs Province; city (38.216401, 45.628214; 60 km </w:t>
      </w:r>
      <w:r w:rsidRPr="008F03E5">
        <w:rPr>
          <w:sz w:val="16"/>
          <w:szCs w:val="16"/>
        </w:rPr>
        <w:t>WNW</w:t>
      </w:r>
      <w:r w:rsidRPr="008F03E5">
        <w:t xml:space="preserve"> Tabriz) in East Azerbaijan; village (35.145114, 46.315736) 1 km </w:t>
      </w:r>
      <w:r w:rsidRPr="008F03E5">
        <w:rPr>
          <w:sz w:val="16"/>
          <w:szCs w:val="16"/>
        </w:rPr>
        <w:t>SE</w:t>
      </w:r>
      <w:r w:rsidRPr="008F03E5">
        <w:t xml:space="preserve"> of the Daryan Dam in Kirmán</w:t>
      </w:r>
      <w:r w:rsidRPr="008F03E5">
        <w:rPr>
          <w:u w:val="single"/>
        </w:rPr>
        <w:t>sh</w:t>
      </w:r>
      <w:r w:rsidRPr="008F03E5">
        <w:t xml:space="preserve">áh Province.  An area (32.677209, 51.707902) in Iṣfahán (5 km </w:t>
      </w:r>
      <w:r w:rsidRPr="008F03E5">
        <w:rPr>
          <w:sz w:val="16"/>
          <w:szCs w:val="16"/>
        </w:rPr>
        <w:t>NE</w:t>
      </w:r>
      <w:r w:rsidRPr="008F03E5">
        <w:t xml:space="preserve"> of city centre).</w:t>
      </w:r>
    </w:p>
    <w:p w14:paraId="60E089E5" w14:textId="77777777" w:rsidR="00625A5B" w:rsidRPr="008F03E5" w:rsidRDefault="00625A5B" w:rsidP="007004D2">
      <w:pPr>
        <w:pStyle w:val="Translit"/>
        <w:rPr>
          <w:rFonts w:eastAsia="Times New Roman"/>
        </w:rPr>
      </w:pPr>
      <w:r w:rsidRPr="008F03E5">
        <w:t>Daryush (Dariush, Darioush)</w:t>
      </w:r>
      <w:r w:rsidRPr="008F03E5">
        <w:tab/>
        <w:t>Dáryú</w:t>
      </w:r>
      <w:r w:rsidRPr="008F03E5">
        <w:rPr>
          <w:u w:val="single"/>
        </w:rPr>
        <w:t>sh</w:t>
      </w:r>
      <w:r w:rsidRPr="008F03E5">
        <w:tab/>
        <w:t>Pers. (“Dáriú</w:t>
      </w:r>
      <w:r w:rsidRPr="008F03E5">
        <w:rPr>
          <w:u w:val="single"/>
        </w:rPr>
        <w:t>sh</w:t>
      </w:r>
      <w:r w:rsidRPr="008F03E5">
        <w:t>”, Darioush) a common Persian male given name.  Old Persian Dárayavu</w:t>
      </w:r>
      <w:r w:rsidRPr="008F03E5">
        <w:rPr>
          <w:u w:val="single"/>
        </w:rPr>
        <w:t>sh</w:t>
      </w:r>
      <w:r w:rsidRPr="008F03E5">
        <w:t xml:space="preserve"> = Dáraya- [hold] + vu</w:t>
      </w:r>
      <w:r w:rsidRPr="008F03E5">
        <w:rPr>
          <w:u w:val="single"/>
        </w:rPr>
        <w:t>sh</w:t>
      </w:r>
      <w:r w:rsidRPr="008F03E5">
        <w:t xml:space="preserve"> (wa</w:t>
      </w:r>
      <w:r w:rsidRPr="008F03E5">
        <w:rPr>
          <w:u w:val="single"/>
        </w:rPr>
        <w:t>sh</w:t>
      </w:r>
      <w:r w:rsidRPr="008F03E5">
        <w:t>) [good], i.e. “holding firm the good”.  Historically it has been translated into English and Latin as “Darius”.  Dáryú</w:t>
      </w:r>
      <w:r w:rsidRPr="008F03E5">
        <w:rPr>
          <w:u w:val="single"/>
        </w:rPr>
        <w:t>sh</w:t>
      </w:r>
      <w:r w:rsidRPr="008F03E5">
        <w:t xml:space="preserve"> Dahmúbidí.</w:t>
      </w:r>
    </w:p>
    <w:p w14:paraId="2116FF2B" w14:textId="77777777" w:rsidR="00625A5B" w:rsidRPr="008F03E5" w:rsidRDefault="00625A5B" w:rsidP="00941FC0">
      <w:pPr>
        <w:pStyle w:val="Translit"/>
        <w:rPr>
          <w:rFonts w:eastAsia="Times New Roman"/>
        </w:rPr>
      </w:pPr>
      <w:r w:rsidRPr="008F03E5">
        <w:rPr>
          <w:rFonts w:eastAsia="Times New Roman"/>
        </w:rPr>
        <w:t>Darz, Duruz</w:t>
      </w:r>
      <w:r w:rsidRPr="008F03E5">
        <w:rPr>
          <w:rFonts w:eastAsia="Times New Roman"/>
        </w:rPr>
        <w:tab/>
        <w:t>Darz, pl. Durúz</w:t>
      </w:r>
      <w:r w:rsidRPr="008F03E5">
        <w:rPr>
          <w:rFonts w:eastAsia="Times New Roman"/>
        </w:rPr>
        <w:tab/>
        <w:t>seam, hem; suture</w:t>
      </w:r>
    </w:p>
    <w:p w14:paraId="0A47DA75" w14:textId="77777777" w:rsidR="00625A5B" w:rsidRPr="008F03E5" w:rsidRDefault="00625A5B" w:rsidP="00941FC0">
      <w:pPr>
        <w:pStyle w:val="Translit"/>
        <w:rPr>
          <w:rFonts w:eastAsia="Times New Roman"/>
        </w:rPr>
      </w:pPr>
      <w:r w:rsidRPr="008F03E5">
        <w:t>Darzi</w:t>
      </w:r>
      <w:r w:rsidRPr="008F03E5">
        <w:tab/>
        <w:t>Darzí</w:t>
      </w:r>
      <w:r w:rsidRPr="008F03E5">
        <w:tab/>
        <w:t>Pers. a</w:t>
      </w:r>
      <w:r w:rsidRPr="008F03E5">
        <w:rPr>
          <w:rFonts w:eastAsia="Times New Roman"/>
        </w:rPr>
        <w:t xml:space="preserve"> tailor</w:t>
      </w:r>
    </w:p>
    <w:p w14:paraId="01947913" w14:textId="77777777" w:rsidR="00625A5B" w:rsidRPr="008F03E5" w:rsidRDefault="00625A5B" w:rsidP="00941FC0">
      <w:pPr>
        <w:pStyle w:val="Translit"/>
        <w:rPr>
          <w:rFonts w:eastAsia="PMingLiU"/>
          <w:lang w:eastAsia="zh-TW"/>
        </w:rPr>
      </w:pPr>
      <w:r w:rsidRPr="008F03E5">
        <w:rPr>
          <w:rFonts w:eastAsia="Times New Roman"/>
        </w:rPr>
        <w:t>Dasht</w:t>
      </w:r>
      <w:r w:rsidRPr="008F03E5">
        <w:rPr>
          <w:rFonts w:eastAsia="Times New Roman"/>
        </w:rPr>
        <w:tab/>
        <w:t>Da</w:t>
      </w:r>
      <w:r w:rsidRPr="008F03E5">
        <w:rPr>
          <w:rFonts w:eastAsia="Times New Roman"/>
          <w:u w:val="single"/>
        </w:rPr>
        <w:t>sh</w:t>
      </w:r>
      <w:r w:rsidRPr="008F03E5">
        <w:rPr>
          <w:rFonts w:eastAsia="Times New Roman"/>
        </w:rPr>
        <w:t>t</w:t>
      </w:r>
      <w:r w:rsidRPr="008F03E5">
        <w:rPr>
          <w:rFonts w:eastAsia="Times New Roman"/>
        </w:rPr>
        <w:tab/>
        <w:t>Pers. a desert, plain without water; a burial-ground; a chess-board; dry musk</w:t>
      </w:r>
    </w:p>
    <w:p w14:paraId="37F574B7" w14:textId="77777777" w:rsidR="00625A5B" w:rsidRPr="008F03E5" w:rsidRDefault="00625A5B" w:rsidP="001C588A">
      <w:pPr>
        <w:pStyle w:val="Translit"/>
        <w:rPr>
          <w:rFonts w:eastAsia="PMingLiU"/>
          <w:lang w:eastAsia="zh-TW"/>
        </w:rPr>
      </w:pPr>
      <w:r w:rsidRPr="008F03E5">
        <w:rPr>
          <w:rFonts w:eastAsia="PMingLiU"/>
          <w:lang w:eastAsia="zh-TW"/>
        </w:rPr>
        <w:t>Dashtan</w:t>
      </w:r>
      <w:r w:rsidRPr="008F03E5">
        <w:rPr>
          <w:rFonts w:eastAsia="PMingLiU"/>
          <w:lang w:eastAsia="zh-TW"/>
        </w:rPr>
        <w:tab/>
      </w:r>
      <w:r w:rsidRPr="008F03E5">
        <w:rPr>
          <w:rFonts w:eastAsia="Times New Roman"/>
        </w:rPr>
        <w:t>Dá</w:t>
      </w:r>
      <w:r w:rsidRPr="008F03E5">
        <w:rPr>
          <w:rFonts w:eastAsia="Times New Roman"/>
          <w:u w:val="single"/>
        </w:rPr>
        <w:t>sh</w:t>
      </w:r>
      <w:r w:rsidRPr="008F03E5">
        <w:rPr>
          <w:rFonts w:eastAsia="Times New Roman"/>
        </w:rPr>
        <w:t>tan</w:t>
      </w:r>
      <w:r w:rsidRPr="008F03E5">
        <w:rPr>
          <w:rFonts w:eastAsia="Times New Roman"/>
        </w:rPr>
        <w:tab/>
        <w:t>Pers. to have; to hold; to possess; to profess, maintain</w:t>
      </w:r>
    </w:p>
    <w:p w14:paraId="5E8B6DC4" w14:textId="77777777" w:rsidR="00625A5B" w:rsidRPr="008F03E5" w:rsidRDefault="00625A5B" w:rsidP="004C4E96">
      <w:pPr>
        <w:pStyle w:val="Translit"/>
        <w:rPr>
          <w:rFonts w:eastAsia="PMingLiU"/>
          <w:lang w:eastAsia="zh-TW"/>
        </w:rPr>
      </w:pPr>
      <w:r w:rsidRPr="008F03E5">
        <w:rPr>
          <w:rFonts w:eastAsia="PMingLiU"/>
          <w:lang w:eastAsia="zh-TW"/>
        </w:rPr>
        <w:t>Dast, Dast ba Dast</w:t>
      </w:r>
      <w:r w:rsidRPr="008F03E5">
        <w:rPr>
          <w:rFonts w:eastAsia="PMingLiU"/>
          <w:lang w:eastAsia="zh-TW"/>
        </w:rPr>
        <w:tab/>
        <w:t>Dast, Dast b</w:t>
      </w:r>
      <w:r w:rsidRPr="008F03E5">
        <w:t>á</w:t>
      </w:r>
      <w:r w:rsidRPr="008F03E5">
        <w:rPr>
          <w:rFonts w:eastAsia="PMingLiU"/>
          <w:lang w:eastAsia="zh-TW"/>
        </w:rPr>
        <w:t xml:space="preserve"> Dast</w:t>
      </w:r>
      <w:r w:rsidRPr="008F03E5">
        <w:rPr>
          <w:rFonts w:eastAsia="PMingLiU"/>
          <w:lang w:eastAsia="zh-TW"/>
        </w:rPr>
        <w:tab/>
        <w:t>Pers.</w:t>
      </w:r>
      <w:r w:rsidRPr="008F03E5">
        <w:rPr>
          <w:rFonts w:eastAsia="Times New Roman"/>
        </w:rPr>
        <w:t xml:space="preserve"> the hand; the forearm; a cubit.  dast bá dast, hand in hand; very near; agile, quick, speedy.</w:t>
      </w:r>
    </w:p>
    <w:p w14:paraId="25FEE2FA" w14:textId="77777777" w:rsidR="00625A5B" w:rsidRPr="008F03E5" w:rsidRDefault="00625A5B" w:rsidP="0094312B">
      <w:pPr>
        <w:pStyle w:val="Translit"/>
        <w:rPr>
          <w:rFonts w:eastAsia="PMingLiU"/>
          <w:lang w:eastAsia="zh-TW"/>
        </w:rPr>
      </w:pPr>
      <w:r w:rsidRPr="008F03E5">
        <w:rPr>
          <w:rFonts w:eastAsia="PMingLiU"/>
          <w:lang w:eastAsia="zh-TW"/>
        </w:rPr>
        <w:t>Dast, Dust</w:t>
      </w:r>
      <w:r w:rsidRPr="008F03E5">
        <w:rPr>
          <w:rFonts w:eastAsia="PMingLiU"/>
          <w:lang w:eastAsia="zh-TW"/>
        </w:rPr>
        <w:tab/>
        <w:t>Dast, pl. Dusút</w:t>
      </w:r>
      <w:r w:rsidRPr="008F03E5">
        <w:rPr>
          <w:rFonts w:eastAsia="PMingLiU"/>
          <w:lang w:eastAsia="zh-TW"/>
        </w:rPr>
        <w:tab/>
        <w:t>place of honour, seat of honour, seat of office; council; dast al-ḥukm (a ruler’s) throne</w:t>
      </w:r>
    </w:p>
    <w:p w14:paraId="3E566471" w14:textId="77777777" w:rsidR="00625A5B" w:rsidRPr="008F03E5" w:rsidRDefault="00625A5B" w:rsidP="006C7EFE">
      <w:pPr>
        <w:pStyle w:val="Translit"/>
        <w:rPr>
          <w:rFonts w:eastAsia="PMingLiU"/>
          <w:lang w:eastAsia="zh-TW"/>
        </w:rPr>
      </w:pPr>
      <w:r w:rsidRPr="008F03E5">
        <w:rPr>
          <w:rFonts w:eastAsia="PMingLiU"/>
          <w:lang w:eastAsia="zh-TW"/>
        </w:rPr>
        <w:t>Dastan</w:t>
      </w:r>
      <w:r w:rsidRPr="008F03E5">
        <w:rPr>
          <w:rFonts w:eastAsia="PMingLiU"/>
          <w:lang w:eastAsia="zh-TW"/>
        </w:rPr>
        <w:tab/>
        <w:t>Dast</w:t>
      </w:r>
      <w:r w:rsidRPr="008F03E5">
        <w:t>á</w:t>
      </w:r>
      <w:r w:rsidRPr="008F03E5">
        <w:rPr>
          <w:rFonts w:eastAsia="PMingLiU"/>
          <w:lang w:eastAsia="zh-TW"/>
        </w:rPr>
        <w:t>n</w:t>
      </w:r>
      <w:r w:rsidRPr="008F03E5">
        <w:rPr>
          <w:rFonts w:eastAsia="PMingLiU"/>
          <w:lang w:eastAsia="zh-TW"/>
        </w:rPr>
        <w:tab/>
        <w:t>Pers. history, romance, fable; song, melody, trill, shake; the key of a musical instrument; foolish, idle talk; fraud, imposture, stratagem</w:t>
      </w:r>
    </w:p>
    <w:p w14:paraId="135811CE" w14:textId="77777777" w:rsidR="00625A5B" w:rsidRPr="008F03E5" w:rsidRDefault="00625A5B" w:rsidP="00292BD7">
      <w:pPr>
        <w:pStyle w:val="Translit"/>
      </w:pPr>
      <w:r w:rsidRPr="008F03E5">
        <w:t>Dastjird</w:t>
      </w:r>
      <w:r w:rsidRPr="008F03E5">
        <w:tab/>
        <w:t>Dastjird</w:t>
      </w:r>
      <w:r w:rsidRPr="008F03E5">
        <w:tab/>
        <w:t xml:space="preserve">(Dastjerd) city 60 km </w:t>
      </w:r>
      <w:r w:rsidRPr="008F03E5">
        <w:rPr>
          <w:sz w:val="16"/>
          <w:szCs w:val="16"/>
        </w:rPr>
        <w:t>WSW</w:t>
      </w:r>
      <w:r w:rsidRPr="008F03E5">
        <w:t xml:space="preserve"> of Qum, Iran</w:t>
      </w:r>
    </w:p>
    <w:p w14:paraId="34AFBBA4" w14:textId="77777777" w:rsidR="00625A5B" w:rsidRPr="008F03E5" w:rsidRDefault="00625A5B" w:rsidP="00B74433">
      <w:pPr>
        <w:pStyle w:val="Translit"/>
      </w:pPr>
      <w:r w:rsidRPr="008F03E5">
        <w:t>Dastjirdan</w:t>
      </w:r>
      <w:r w:rsidRPr="008F03E5">
        <w:tab/>
        <w:t>Dastjirdán</w:t>
      </w:r>
      <w:r w:rsidRPr="008F03E5">
        <w:tab/>
        <w:t>people of Dastjird</w:t>
      </w:r>
    </w:p>
    <w:p w14:paraId="54BE5812" w14:textId="77777777" w:rsidR="00625A5B" w:rsidRPr="008F03E5" w:rsidRDefault="00625A5B" w:rsidP="00DB72CD">
      <w:pPr>
        <w:pStyle w:val="Translit"/>
        <w:rPr>
          <w:rFonts w:eastAsia="PMingLiU"/>
          <w:lang w:eastAsia="zh-TW"/>
        </w:rPr>
      </w:pPr>
      <w:r w:rsidRPr="008F03E5">
        <w:rPr>
          <w:rFonts w:eastAsia="PMingLiU"/>
          <w:lang w:eastAsia="zh-TW"/>
        </w:rPr>
        <w:t>Dastmal, Dast-mal</w:t>
      </w:r>
      <w:r w:rsidRPr="008F03E5">
        <w:rPr>
          <w:rFonts w:eastAsia="PMingLiU"/>
          <w:lang w:eastAsia="zh-TW"/>
        </w:rPr>
        <w:tab/>
        <w:t>Dast-mál, Dastm</w:t>
      </w:r>
      <w:r w:rsidRPr="008F03E5">
        <w:t>á</w:t>
      </w:r>
      <w:r w:rsidRPr="008F03E5">
        <w:rPr>
          <w:rFonts w:eastAsia="PMingLiU"/>
          <w:lang w:eastAsia="zh-TW"/>
        </w:rPr>
        <w:t>l</w:t>
      </w:r>
      <w:r w:rsidRPr="008F03E5">
        <w:rPr>
          <w:rFonts w:eastAsia="PMingLiU"/>
          <w:lang w:eastAsia="zh-TW"/>
        </w:rPr>
        <w:tab/>
        <w:t>Pers. rubbing the hands; a towel; a handkerchief; a kettle-holder; dinner-plate; easy, smooth; bare; a prisoner; wealth</w:t>
      </w:r>
    </w:p>
    <w:p w14:paraId="25458E0C" w14:textId="77777777" w:rsidR="00625A5B" w:rsidRPr="008F03E5" w:rsidRDefault="00625A5B" w:rsidP="009949D1">
      <w:pPr>
        <w:pStyle w:val="Translit"/>
        <w:rPr>
          <w:rFonts w:eastAsia="PMingLiU"/>
          <w:lang w:eastAsia="zh-TW"/>
        </w:rPr>
      </w:pPr>
      <w:r w:rsidRPr="008F03E5">
        <w:rPr>
          <w:rFonts w:eastAsia="PMingLiU"/>
          <w:lang w:eastAsia="zh-TW"/>
        </w:rPr>
        <w:t>Dastm</w:t>
      </w:r>
      <w:r w:rsidRPr="008F03E5">
        <w:t>a</w:t>
      </w:r>
      <w:r w:rsidRPr="008F03E5">
        <w:rPr>
          <w:rFonts w:eastAsia="PMingLiU"/>
          <w:lang w:eastAsia="zh-TW"/>
        </w:rPr>
        <w:t>l-Girih-Zan</w:t>
      </w:r>
      <w:r w:rsidRPr="008F03E5">
        <w:tab/>
      </w:r>
      <w:r w:rsidRPr="008F03E5">
        <w:rPr>
          <w:rFonts w:eastAsia="PMingLiU"/>
          <w:lang w:eastAsia="zh-TW"/>
        </w:rPr>
        <w:t>Dastm</w:t>
      </w:r>
      <w:r w:rsidRPr="008F03E5">
        <w:t>á</w:t>
      </w:r>
      <w:r w:rsidRPr="008F03E5">
        <w:rPr>
          <w:rFonts w:eastAsia="PMingLiU"/>
          <w:lang w:eastAsia="zh-TW"/>
        </w:rPr>
        <w:t>l-Girih-Zan</w:t>
      </w:r>
      <w:r w:rsidRPr="008F03E5">
        <w:tab/>
      </w:r>
      <w:r>
        <w:t>Pers. literally “handkerchief-knot-woman”</w:t>
      </w:r>
    </w:p>
    <w:p w14:paraId="78671E39" w14:textId="77777777" w:rsidR="00625A5B" w:rsidRPr="008F03E5" w:rsidRDefault="00625A5B" w:rsidP="00F7119C">
      <w:pPr>
        <w:pStyle w:val="Translit"/>
      </w:pPr>
      <w:r w:rsidRPr="00D45A23">
        <w:rPr>
          <w:lang w:val="de-DE"/>
        </w:rPr>
        <w:t>Dastur, Datwar, Dasturan</w:t>
      </w:r>
      <w:r w:rsidRPr="00D45A23">
        <w:rPr>
          <w:lang w:val="de-DE"/>
        </w:rPr>
        <w:tab/>
        <w:t xml:space="preserve">Dastúr, pl. </w:t>
      </w:r>
      <w:r w:rsidRPr="008F03E5">
        <w:t>Dasátír or Dastúrán</w:t>
      </w:r>
      <w:r w:rsidRPr="008F03E5">
        <w:tab/>
        <w:t>Pers. (borrowed from Arabic dustúr) l</w:t>
      </w:r>
      <w:r w:rsidRPr="008F03E5">
        <w:rPr>
          <w:rFonts w:eastAsia="Times New Roman"/>
        </w:rPr>
        <w:t xml:space="preserve">eave, permission, licence; congé; a prime minister, vazír, senator, councillor of state; a confidential person; a model, exemplar, rule, basis, foundation, canon, original of a book, record, formula, or any writing of authority to which people have recourse; custom, mode, manner, fashion; constitution, privilege; a customary fee, tax, or percentage; fulfilment of a promise; a bolt, bar; a large log laid across a ship as ballast; a high Zoroastrian priest; a powerful man; in India </w:t>
      </w:r>
      <w:r w:rsidRPr="008F03E5">
        <w:t>a Pársí priest.  See dustúr.</w:t>
      </w:r>
    </w:p>
    <w:p w14:paraId="26FF75EE" w14:textId="77777777" w:rsidR="00625A5B" w:rsidRPr="008F03E5" w:rsidRDefault="00625A5B" w:rsidP="00EB4446">
      <w:pPr>
        <w:pStyle w:val="Translit"/>
      </w:pPr>
      <w:r w:rsidRPr="008F03E5">
        <w:rPr>
          <w:rFonts w:eastAsia="Times New Roman"/>
        </w:rPr>
        <w:t>Dasturi</w:t>
      </w:r>
      <w:r w:rsidRPr="008F03E5">
        <w:rPr>
          <w:rFonts w:eastAsia="Times New Roman"/>
        </w:rPr>
        <w:tab/>
        <w:t>Dastúrí</w:t>
      </w:r>
      <w:r w:rsidRPr="008F03E5">
        <w:rPr>
          <w:rFonts w:eastAsia="Times New Roman"/>
        </w:rPr>
        <w:tab/>
        <w:t>Pers. perquisites paid to servants by one who sells to their master, fees; leave; custom; anything thrown in, or placed upon another (as if one should buy a pound of sugar, and an apple should be put on the top)</w:t>
      </w:r>
    </w:p>
    <w:p w14:paraId="315C03A7" w14:textId="77777777" w:rsidR="00625A5B" w:rsidRPr="008F03E5" w:rsidRDefault="00625A5B" w:rsidP="00C41B2E">
      <w:pPr>
        <w:pStyle w:val="Translit"/>
      </w:pPr>
      <w:r w:rsidRPr="008F03E5">
        <w:t>Dawachi (Davachi)</w:t>
      </w:r>
      <w:r w:rsidRPr="008F03E5">
        <w:tab/>
        <w:t>Dawa</w:t>
      </w:r>
      <w:r w:rsidRPr="008F03E5">
        <w:rPr>
          <w:u w:val="single"/>
        </w:rPr>
        <w:t>ch</w:t>
      </w:r>
      <w:r w:rsidRPr="008F03E5">
        <w:t>í</w:t>
      </w:r>
      <w:r w:rsidRPr="008F03E5">
        <w:tab/>
        <w:t>an old district of Tabriz to the north of the city centre</w:t>
      </w:r>
    </w:p>
    <w:p w14:paraId="3204EF7E" w14:textId="77777777" w:rsidR="00625A5B" w:rsidRPr="008F03E5" w:rsidRDefault="00625A5B" w:rsidP="003165C1">
      <w:pPr>
        <w:pStyle w:val="Translit"/>
      </w:pPr>
      <w:r w:rsidRPr="008F03E5">
        <w:t>Dawla (Daula, Daulih, Dawlih), Duwal</w:t>
      </w:r>
      <w:r w:rsidRPr="008F03E5">
        <w:tab/>
        <w:t>Dawla[h or t], pl. Duwal</w:t>
      </w:r>
      <w:r w:rsidRPr="008F03E5">
        <w:tab/>
      </w:r>
      <w:r>
        <w:t>orig</w:t>
      </w:r>
      <w:r w:rsidRPr="00254BC8">
        <w:t>inally</w:t>
      </w:r>
      <w:r>
        <w:t xml:space="preserve">: </w:t>
      </w:r>
      <w:r w:rsidRPr="00254BC8">
        <w:t xml:space="preserve"> alternation, rotation, cycle,</w:t>
      </w:r>
      <w:r>
        <w:t xml:space="preserve"> change</w:t>
      </w:r>
      <w:r w:rsidRPr="00254BC8">
        <w:t>; change of time, period of rule</w:t>
      </w:r>
      <w:r>
        <w:t xml:space="preserve">. </w:t>
      </w:r>
      <w:r w:rsidRPr="00254BC8">
        <w:t xml:space="preserve"> </w:t>
      </w:r>
      <w:r>
        <w:t>U</w:t>
      </w:r>
      <w:r w:rsidRPr="003165C1">
        <w:t>sed in particular by the early Abbasid caliphs to denote “the time of their success”, i.e. the period of their rule, and soon became associated specifically with the ruling house and acquired the connotation of “dynasty”.</w:t>
      </w:r>
      <w:r>
        <w:t xml:space="preserve">  Since 19th century:  </w:t>
      </w:r>
      <w:r w:rsidRPr="00254BC8">
        <w:t xml:space="preserve">dynasty; state or government, country; power, empire. </w:t>
      </w:r>
      <w:r w:rsidRPr="008F03E5">
        <w:t xml:space="preserve"> e.g. Dawlat-Ábád and Dawlat-Ábádí.  Pers. also dawlih.</w:t>
      </w:r>
    </w:p>
    <w:p w14:paraId="026475BE" w14:textId="77777777" w:rsidR="00625A5B" w:rsidRPr="008F03E5" w:rsidRDefault="00625A5B" w:rsidP="004405AD">
      <w:pPr>
        <w:pStyle w:val="Translit"/>
      </w:pPr>
      <w:r w:rsidRPr="008F03E5">
        <w:t>Dawli (Dauli), Duwali</w:t>
      </w:r>
      <w:r w:rsidRPr="008F03E5">
        <w:tab/>
        <w:t>Dawlí</w:t>
      </w:r>
      <w:r w:rsidRPr="008F03E5">
        <w:tab/>
        <w:t>state (adjective); duwalí international</w:t>
      </w:r>
    </w:p>
    <w:p w14:paraId="630599A4" w14:textId="77777777" w:rsidR="00625A5B" w:rsidRPr="008F03E5" w:rsidRDefault="00625A5B" w:rsidP="00270304">
      <w:pPr>
        <w:pStyle w:val="Translit"/>
      </w:pPr>
      <w:r w:rsidRPr="00C36318">
        <w:t>Dawr (Daur), Adwar</w:t>
      </w:r>
      <w:r w:rsidRPr="00C36318">
        <w:tab/>
        <w:t xml:space="preserve">Dawr, pl. </w:t>
      </w:r>
      <w:r w:rsidRPr="008F03E5">
        <w:t>Adwár</w:t>
      </w:r>
      <w:r w:rsidRPr="008F03E5">
        <w:tab/>
        <w:t>Pers. (Ar. influence) time, age; a revolution, period of years; a period of 360 solar years; evil times; days of oppression; a state of poverty; the world, fortune; the repetition of a lesson; a cup handed round by the guests; intelligence which spies transmit to the court of their sovereign;—pl. orbs, orbits, revolutions, circles; periods, ages</w:t>
      </w:r>
    </w:p>
    <w:p w14:paraId="68E41B72" w14:textId="77777777" w:rsidR="00625A5B" w:rsidRPr="008F03E5" w:rsidRDefault="00625A5B" w:rsidP="00896166">
      <w:pPr>
        <w:pStyle w:val="Translit"/>
      </w:pPr>
      <w:r w:rsidRPr="00D45A23">
        <w:rPr>
          <w:lang w:val="de-DE"/>
        </w:rPr>
        <w:t>Dawr (Dur, Daur), Adwar</w:t>
      </w:r>
      <w:r w:rsidRPr="00D45A23">
        <w:rPr>
          <w:lang w:val="de-DE"/>
        </w:rPr>
        <w:tab/>
        <w:t xml:space="preserve">Dawr, pl. </w:t>
      </w:r>
      <w:r w:rsidRPr="008F03E5">
        <w:t>Adwár</w:t>
      </w:r>
      <w:r w:rsidRPr="008F03E5">
        <w:tab/>
        <w:t>round (of a patrol; in sports); role, part (played by someone or something); film role, stage role; periodic change, rotation, alternation; crop rotation; period; (one’s) turn; phase, stage, step, degree, station; epoch, age, era, cycle; fit, attack, paroxysm (of a disease); floor, story; musical composition; number, single performance (within a program)</w:t>
      </w:r>
    </w:p>
    <w:p w14:paraId="11FDC05B" w14:textId="77777777" w:rsidR="00625A5B" w:rsidRPr="008F03E5" w:rsidRDefault="00625A5B" w:rsidP="006135E4">
      <w:pPr>
        <w:pStyle w:val="Translit"/>
      </w:pPr>
      <w:r w:rsidRPr="008F03E5">
        <w:t>Dawr an-Nabawi, Dur-i-Nabuwwat</w:t>
      </w:r>
      <w:r w:rsidRPr="008F03E5">
        <w:tab/>
        <w:t>Dawr an-Nabawí, Dur-i-Nabuwwat</w:t>
      </w:r>
      <w:r w:rsidRPr="008F03E5">
        <w:tab/>
        <w:t>Prophetic Cycle</w:t>
      </w:r>
    </w:p>
    <w:p w14:paraId="4EC911AA" w14:textId="77777777" w:rsidR="00625A5B" w:rsidRPr="008F03E5" w:rsidRDefault="00625A5B" w:rsidP="005451C5">
      <w:pPr>
        <w:pStyle w:val="Translit"/>
      </w:pPr>
      <w:r w:rsidRPr="008F03E5">
        <w:t>Dawra (Daura, Zorah), Dawrat</w:t>
      </w:r>
      <w:r w:rsidRPr="008F03E5">
        <w:tab/>
        <w:t>Dawra[h or t], pl. Dawrát</w:t>
      </w:r>
      <w:r w:rsidRPr="008F03E5">
        <w:tab/>
      </w:r>
      <w:r>
        <w:t xml:space="preserve">(fem. of </w:t>
      </w:r>
      <w:r w:rsidRPr="00647B35">
        <w:rPr>
          <w:lang w:val="en-AU"/>
        </w:rPr>
        <w:t>Dawr</w:t>
      </w:r>
      <w:r>
        <w:rPr>
          <w:lang w:val="en-AU"/>
        </w:rPr>
        <w:t>)</w:t>
      </w:r>
      <w:r w:rsidRPr="008F03E5">
        <w:t xml:space="preserve"> turn, revolution, gyration, rotation; circulation; cycle; circuit; round, patrol; procession (Christian); round trip; tour (in general, of an artist or performer); detour; period (also electricity); session (of parliament); course (of instruction).  ad-Dawra is a neighbourhood of southern Ba</w:t>
      </w:r>
      <w:r w:rsidRPr="008F03E5">
        <w:rPr>
          <w:u w:val="single"/>
        </w:rPr>
        <w:t>gh</w:t>
      </w:r>
      <w:r w:rsidRPr="008F03E5">
        <w:t>dád.</w:t>
      </w:r>
    </w:p>
    <w:p w14:paraId="12B77FDA" w14:textId="77777777" w:rsidR="00625A5B" w:rsidRPr="008F03E5" w:rsidRDefault="00625A5B" w:rsidP="00FF4818">
      <w:pPr>
        <w:pStyle w:val="Translit"/>
        <w:rPr>
          <w:rFonts w:eastAsia="Times New Roman"/>
        </w:rPr>
      </w:pPr>
      <w:r w:rsidRPr="008F03E5">
        <w:rPr>
          <w:rFonts w:eastAsia="Times New Roman"/>
        </w:rPr>
        <w:t>Dawran (Dauran), Dawaran</w:t>
      </w:r>
      <w:r w:rsidRPr="008F03E5">
        <w:rPr>
          <w:rFonts w:eastAsia="Times New Roman"/>
        </w:rPr>
        <w:tab/>
        <w:t>Dawrán, Dawarán</w:t>
      </w:r>
      <w:r w:rsidRPr="008F03E5">
        <w:rPr>
          <w:rFonts w:eastAsia="Times New Roman"/>
        </w:rPr>
        <w:tab/>
        <w:t>Pers. (Ar. influence) a revolution, period, circle, cycle; time, an age; fortune, vicissitude; rolling round.</w:t>
      </w:r>
    </w:p>
    <w:p w14:paraId="24B0808D" w14:textId="77777777" w:rsidR="00625A5B" w:rsidRPr="008F03E5" w:rsidRDefault="00625A5B" w:rsidP="00A805FB">
      <w:pPr>
        <w:pStyle w:val="Translit"/>
      </w:pPr>
      <w:r w:rsidRPr="008F03E5">
        <w:t>Daws (Daus)</w:t>
      </w:r>
      <w:r w:rsidRPr="008F03E5">
        <w:tab/>
        <w:t>Daws</w:t>
      </w:r>
      <w:r w:rsidRPr="008F03E5">
        <w:tab/>
        <w:t>treading, trampling, tread, step</w:t>
      </w:r>
    </w:p>
    <w:p w14:paraId="22405719" w14:textId="77777777" w:rsidR="00625A5B" w:rsidRPr="008F03E5" w:rsidRDefault="00625A5B" w:rsidP="00720D5E">
      <w:pPr>
        <w:pStyle w:val="Translit"/>
      </w:pPr>
      <w:r w:rsidRPr="008F03E5">
        <w:t>Dawud (Davud), Da’ud (Daoud)</w:t>
      </w:r>
      <w:r w:rsidRPr="008F03E5">
        <w:tab/>
        <w:t>Dáwud, Dáwúd, Dá’úd</w:t>
      </w:r>
      <w:r w:rsidRPr="008F03E5">
        <w:tab/>
        <w:t>David.  Hebrew Daoud.  Other variants:  Daut, Dawood and Davut.  Abú Dáwud Sulaymán ibn al-A</w:t>
      </w:r>
      <w:r w:rsidRPr="008F03E5">
        <w:rPr>
          <w:u w:val="single"/>
        </w:rPr>
        <w:t>sh‘</w:t>
      </w:r>
      <w:r w:rsidRPr="008F03E5">
        <w:t>a</w:t>
      </w:r>
      <w:r w:rsidRPr="008F03E5">
        <w:rPr>
          <w:u w:val="single"/>
        </w:rPr>
        <w:t>th</w:t>
      </w:r>
      <w:r w:rsidRPr="008F03E5">
        <w:t xml:space="preserve"> al-Azdí as-Sijistání, commonly known simply as Abú Dáwúd, was a Persian scholar of prophetic ḥadí</w:t>
      </w:r>
      <w:r w:rsidRPr="008F03E5">
        <w:rPr>
          <w:u w:val="single"/>
        </w:rPr>
        <w:t>th</w:t>
      </w:r>
      <w:r w:rsidRPr="008F03E5">
        <w:t xml:space="preserve"> who compiled the third of the six “canonical” ḥadí</w:t>
      </w:r>
      <w:r w:rsidRPr="008F03E5">
        <w:rPr>
          <w:u w:val="single"/>
        </w:rPr>
        <w:t>th</w:t>
      </w:r>
      <w:r w:rsidRPr="008F03E5">
        <w:t xml:space="preserve"> collections recognized by Sunní Muslims.</w:t>
      </w:r>
    </w:p>
    <w:p w14:paraId="195A2490" w14:textId="77777777" w:rsidR="00625A5B" w:rsidRPr="008F03E5" w:rsidRDefault="00625A5B" w:rsidP="00720D5E">
      <w:pPr>
        <w:pStyle w:val="Translit"/>
      </w:pPr>
      <w:r w:rsidRPr="008F03E5">
        <w:t>Dawudi (Daoudi), Daiudi</w:t>
      </w:r>
      <w:r w:rsidRPr="008F03E5">
        <w:tab/>
        <w:t>Dáwúdí, Dá’údí</w:t>
      </w:r>
      <w:r w:rsidRPr="008F03E5">
        <w:tab/>
        <w:t>of David.  Followers (Daoudis) of David, a small sect of Islám.  Dr ‘Alí Murád Dávúdí (1922–1979)</w:t>
      </w:r>
    </w:p>
    <w:p w14:paraId="323970EB" w14:textId="77777777" w:rsidR="00625A5B" w:rsidRPr="008F03E5" w:rsidRDefault="00625A5B" w:rsidP="00C265AC">
      <w:pPr>
        <w:pStyle w:val="Translit"/>
      </w:pPr>
      <w:r w:rsidRPr="008F03E5">
        <w:t>Day (Dai)</w:t>
      </w:r>
      <w:r w:rsidRPr="008F03E5">
        <w:tab/>
        <w:t>Day</w:t>
      </w:r>
      <w:r w:rsidRPr="008F03E5">
        <w:tab/>
        <w:t>Pers</w:t>
      </w:r>
      <w:r w:rsidRPr="008F03E5">
        <w:rPr>
          <w:rFonts w:eastAsia="Times New Roman"/>
        </w:rPr>
        <w:t xml:space="preserve"> the 10th month of the Persian solar year</w:t>
      </w:r>
    </w:p>
    <w:p w14:paraId="60ADC195" w14:textId="77777777" w:rsidR="00625A5B" w:rsidRPr="008F03E5" w:rsidRDefault="00625A5B" w:rsidP="00374593">
      <w:pPr>
        <w:pStyle w:val="Translit"/>
      </w:pPr>
      <w:r w:rsidRPr="008F03E5">
        <w:t>Dayf (Daif), Duyuf, Adyaf, Difan</w:t>
      </w:r>
      <w:r w:rsidRPr="008F03E5">
        <w:tab/>
        <w:t>Ḍayf, pl. Ḍuyúf, Aḍyáf, Ḍífán</w:t>
      </w:r>
      <w:r w:rsidRPr="008F03E5">
        <w:tab/>
        <w:t>guest; visitor</w:t>
      </w:r>
    </w:p>
    <w:p w14:paraId="04E865A5" w14:textId="77777777" w:rsidR="00625A5B" w:rsidRPr="008F03E5" w:rsidRDefault="00625A5B" w:rsidP="006F1215">
      <w:pPr>
        <w:pStyle w:val="Translit"/>
      </w:pPr>
      <w:r w:rsidRPr="008F03E5">
        <w:t>Daylam</w:t>
      </w:r>
      <w:r>
        <w:t xml:space="preserve"> (Dailam), </w:t>
      </w:r>
      <w:r>
        <w:rPr>
          <w:rFonts w:eastAsia="Times New Roman"/>
        </w:rPr>
        <w:t>D</w:t>
      </w:r>
      <w:r w:rsidRPr="006F1215">
        <w:rPr>
          <w:rFonts w:eastAsia="Times New Roman"/>
        </w:rPr>
        <w:t>ay</w:t>
      </w:r>
      <w:r>
        <w:rPr>
          <w:rFonts w:eastAsia="Times New Roman"/>
        </w:rPr>
        <w:t>a</w:t>
      </w:r>
      <w:r w:rsidRPr="006F1215">
        <w:rPr>
          <w:rFonts w:eastAsia="Times New Roman"/>
        </w:rPr>
        <w:t>lima</w:t>
      </w:r>
      <w:r w:rsidRPr="008F03E5">
        <w:tab/>
        <w:t>Daylam</w:t>
      </w:r>
      <w:r>
        <w:t>, pl.</w:t>
      </w:r>
      <w:r w:rsidRPr="006F1215">
        <w:t xml:space="preserve"> </w:t>
      </w:r>
      <w:r>
        <w:t>D</w:t>
      </w:r>
      <w:r w:rsidRPr="006F1215">
        <w:rPr>
          <w:rFonts w:eastAsia="Times New Roman"/>
        </w:rPr>
        <w:t>ayálima</w:t>
      </w:r>
      <w:r w:rsidRPr="008F03E5">
        <w:tab/>
      </w:r>
      <w:r>
        <w:t>Pers. a</w:t>
      </w:r>
      <w:r w:rsidRPr="00AF4D34">
        <w:rPr>
          <w:rFonts w:eastAsia="Times New Roman"/>
        </w:rPr>
        <w:t xml:space="preserve"> misfortune; enemies</w:t>
      </w:r>
      <w:r>
        <w:rPr>
          <w:rFonts w:eastAsia="Times New Roman"/>
        </w:rPr>
        <w:t xml:space="preserve">.  </w:t>
      </w:r>
      <w:r w:rsidRPr="008F03E5">
        <w:t xml:space="preserve">Old Province </w:t>
      </w:r>
      <w:r w:rsidRPr="008F03E5">
        <w:rPr>
          <w:sz w:val="16"/>
          <w:szCs w:val="16"/>
        </w:rPr>
        <w:t>SW</w:t>
      </w:r>
      <w:r w:rsidRPr="008F03E5">
        <w:t xml:space="preserve"> cnr Caspian Sea (now Gílán)</w:t>
      </w:r>
      <w:r>
        <w:t>.—al-D</w:t>
      </w:r>
      <w:r w:rsidRPr="006F1215">
        <w:rPr>
          <w:rFonts w:eastAsia="Times New Roman"/>
        </w:rPr>
        <w:t>ayálima</w:t>
      </w:r>
      <w:r>
        <w:rPr>
          <w:rFonts w:eastAsia="Times New Roman"/>
        </w:rPr>
        <w:t>, t</w:t>
      </w:r>
      <w:r w:rsidRPr="00AF4D34">
        <w:rPr>
          <w:rFonts w:eastAsia="Times New Roman"/>
        </w:rPr>
        <w:t>he Dailamites</w:t>
      </w:r>
      <w:r>
        <w:rPr>
          <w:rFonts w:eastAsia="Times New Roman"/>
        </w:rPr>
        <w:t>.</w:t>
      </w:r>
    </w:p>
    <w:p w14:paraId="62902FB9" w14:textId="77777777" w:rsidR="00625A5B" w:rsidRPr="008F03E5" w:rsidRDefault="00625A5B" w:rsidP="009D471E">
      <w:pPr>
        <w:pStyle w:val="Translit"/>
      </w:pPr>
      <w:r w:rsidRPr="008F03E5">
        <w:t>Dayr (Dair), Adyar, Adyira, Duyura</w:t>
      </w:r>
      <w:r w:rsidRPr="008F03E5">
        <w:tab/>
        <w:t>Dayr, pl. Adyár, Adyira, Duyúra</w:t>
      </w:r>
      <w:r w:rsidRPr="008F03E5">
        <w:tab/>
        <w:t>(“deir”) monastery, convent, cloister</w:t>
      </w:r>
    </w:p>
    <w:p w14:paraId="5083C2AB" w14:textId="77777777" w:rsidR="00625A5B" w:rsidRPr="008F03E5" w:rsidRDefault="00625A5B" w:rsidP="006E7362">
      <w:pPr>
        <w:pStyle w:val="Translit"/>
      </w:pPr>
      <w:r w:rsidRPr="008F03E5">
        <w:t>Dayyan (Daiyan)</w:t>
      </w:r>
      <w:r w:rsidRPr="008F03E5">
        <w:tab/>
        <w:t>Dayyán</w:t>
      </w:r>
      <w:r w:rsidRPr="008F03E5">
        <w:tab/>
        <w:t>pious, godly, devout, religious, a requiter (rewarder) of good and evil; metaphorical accountant who rewards people for their deeds on the Day of Resurrection:  hence an epithet of God; a conqueror, a subduer; a judge, umpire, administrator.  Mirza Asadu’lláh was given the title Dayyán (Judge) by the Báb and “the third Letter to believe in Him whom God shall make manifest” by Bahá’u’lláh.</w:t>
      </w:r>
    </w:p>
    <w:p w14:paraId="69CFFAA0" w14:textId="77777777" w:rsidR="00625A5B" w:rsidRPr="008F03E5" w:rsidRDefault="00625A5B" w:rsidP="001D3982">
      <w:pPr>
        <w:pStyle w:val="Myhead"/>
        <w:rPr>
          <w:u w:val="single"/>
        </w:rPr>
      </w:pPr>
      <w:r w:rsidRPr="008F03E5">
        <w:rPr>
          <w:u w:val="single"/>
        </w:rPr>
        <w:t>Dh</w:t>
      </w:r>
      <w:bookmarkStart w:id="65" w:name="Dh"/>
      <w:bookmarkEnd w:id="65"/>
    </w:p>
    <w:p w14:paraId="6ACECA87" w14:textId="77777777" w:rsidR="00625A5B" w:rsidRPr="008F03E5" w:rsidRDefault="00625A5B" w:rsidP="000C2071">
      <w:pPr>
        <w:pStyle w:val="Translit"/>
      </w:pPr>
      <w:r w:rsidRPr="008F03E5">
        <w:t>Dha Kifl, Dha’l-Kifl (Dha’u’l-Kifl)</w:t>
      </w:r>
      <w:r w:rsidRPr="008F03E5">
        <w:tab/>
      </w:r>
      <w:r w:rsidRPr="008F03E5">
        <w:rPr>
          <w:u w:val="single"/>
        </w:rPr>
        <w:t>Dh</w:t>
      </w:r>
      <w:r w:rsidRPr="008F03E5">
        <w:t xml:space="preserve">á Kifl, </w:t>
      </w:r>
      <w:r w:rsidRPr="008F03E5">
        <w:rPr>
          <w:u w:val="single"/>
        </w:rPr>
        <w:t>Dh</w:t>
      </w:r>
      <w:r w:rsidRPr="008F03E5">
        <w:t>a’l-Kifl (</w:t>
      </w:r>
      <w:r w:rsidRPr="008F03E5">
        <w:rPr>
          <w:u w:val="single"/>
        </w:rPr>
        <w:t>Dh</w:t>
      </w:r>
      <w:r w:rsidRPr="008F03E5">
        <w:t>á’u’l-Kifl)</w:t>
      </w:r>
      <w:r w:rsidRPr="008F03E5">
        <w:tab/>
        <w:t xml:space="preserve">or </w:t>
      </w:r>
      <w:r w:rsidRPr="008F03E5">
        <w:rPr>
          <w:u w:val="single"/>
        </w:rPr>
        <w:t>Dh</w:t>
      </w:r>
      <w:r w:rsidRPr="008F03E5">
        <w:t xml:space="preserve">ú Kifl, </w:t>
      </w:r>
      <w:r w:rsidRPr="008F03E5">
        <w:rPr>
          <w:u w:val="single"/>
        </w:rPr>
        <w:t>Dh</w:t>
      </w:r>
      <w:r w:rsidRPr="008F03E5">
        <w:t>u’l-Kifl (</w:t>
      </w:r>
      <w:r w:rsidRPr="008F03E5">
        <w:rPr>
          <w:u w:val="single"/>
        </w:rPr>
        <w:t>Dh</w:t>
      </w:r>
      <w:r w:rsidRPr="008F03E5">
        <w:t xml:space="preserve">ú’u’l-Kifl) “Possessor of the Fold”.  Kifl occurs </w:t>
      </w:r>
      <w:r w:rsidRPr="008F03E5">
        <w:rPr>
          <w:lang w:eastAsia="en-US"/>
        </w:rPr>
        <w:t>in Qur’án 21:85 and 38:48.</w:t>
      </w:r>
      <w:r w:rsidRPr="008F03E5">
        <w:t xml:space="preserve">  Name believed to be Elijah, Joshua, Zachariah or Ezekiel.  Sometimes zul, </w:t>
      </w:r>
      <w:r w:rsidRPr="008F03E5">
        <w:rPr>
          <w:u w:val="single"/>
        </w:rPr>
        <w:t>dh</w:t>
      </w:r>
      <w:r w:rsidRPr="008F03E5">
        <w:t>ul, etc. are used.</w:t>
      </w:r>
    </w:p>
    <w:p w14:paraId="1A3C874B" w14:textId="77777777" w:rsidR="00625A5B" w:rsidRPr="008F03E5" w:rsidRDefault="00625A5B" w:rsidP="00C5137F">
      <w:pPr>
        <w:pStyle w:val="Translit"/>
      </w:pPr>
      <w:r w:rsidRPr="008F03E5">
        <w:t>Dhabih Allah, Dhabih</w:t>
      </w:r>
      <w:r w:rsidRPr="008F03E5">
        <w:rPr>
          <w:rFonts w:eastAsia="PMingLiU"/>
          <w:lang w:eastAsia="zh-TW"/>
        </w:rPr>
        <w:t>u’llah</w:t>
      </w:r>
      <w:r w:rsidRPr="008F03E5">
        <w:rPr>
          <w:rFonts w:eastAsia="PMingLiU"/>
          <w:lang w:eastAsia="zh-TW"/>
        </w:rPr>
        <w:tab/>
      </w:r>
      <w:r w:rsidRPr="008F03E5">
        <w:rPr>
          <w:u w:val="single"/>
        </w:rPr>
        <w:t>Dh</w:t>
      </w:r>
      <w:r w:rsidRPr="008F03E5">
        <w:t>abíḥ A</w:t>
      </w:r>
      <w:r w:rsidRPr="008F03E5">
        <w:rPr>
          <w:rFonts w:eastAsia="PMingLiU"/>
          <w:lang w:eastAsia="zh-TW"/>
        </w:rPr>
        <w:t xml:space="preserve">lláh, </w:t>
      </w:r>
      <w:r w:rsidRPr="008F03E5">
        <w:rPr>
          <w:u w:val="single"/>
        </w:rPr>
        <w:t>Dh</w:t>
      </w:r>
      <w:r w:rsidRPr="008F03E5">
        <w:t>abíḥ</w:t>
      </w:r>
      <w:r w:rsidRPr="008F03E5">
        <w:rPr>
          <w:rFonts w:eastAsia="PMingLiU"/>
          <w:lang w:eastAsia="zh-TW"/>
        </w:rPr>
        <w:t>u’lláh</w:t>
      </w:r>
      <w:r w:rsidRPr="008F03E5">
        <w:rPr>
          <w:rFonts w:eastAsia="PMingLiU"/>
          <w:lang w:eastAsia="zh-TW"/>
        </w:rPr>
        <w:tab/>
        <w:t>“Sacrifice of God”</w:t>
      </w:r>
      <w:r>
        <w:rPr>
          <w:rFonts w:eastAsia="PMingLiU"/>
          <w:lang w:eastAsia="zh-TW"/>
        </w:rPr>
        <w:t>,</w:t>
      </w:r>
      <w:r w:rsidRPr="008F03E5">
        <w:rPr>
          <w:rFonts w:eastAsia="PMingLiU"/>
          <w:lang w:eastAsia="zh-TW"/>
        </w:rPr>
        <w:t xml:space="preserve"> </w:t>
      </w:r>
      <w:r>
        <w:rPr>
          <w:rFonts w:eastAsia="PMingLiU"/>
          <w:lang w:eastAsia="zh-TW"/>
        </w:rPr>
        <w:t xml:space="preserve">reference to </w:t>
      </w:r>
      <w:r w:rsidRPr="008F03E5">
        <w:rPr>
          <w:rFonts w:eastAsia="PMingLiU"/>
          <w:lang w:eastAsia="zh-TW"/>
        </w:rPr>
        <w:t xml:space="preserve">Abraham’s </w:t>
      </w:r>
      <w:r>
        <w:rPr>
          <w:rFonts w:eastAsia="PMingLiU"/>
          <w:lang w:eastAsia="zh-TW"/>
        </w:rPr>
        <w:t xml:space="preserve">willingness to </w:t>
      </w:r>
      <w:r w:rsidRPr="008F03E5">
        <w:rPr>
          <w:rFonts w:eastAsia="PMingLiU"/>
          <w:lang w:eastAsia="zh-TW"/>
        </w:rPr>
        <w:t xml:space="preserve">sacrifice His </w:t>
      </w:r>
      <w:r>
        <w:rPr>
          <w:rFonts w:eastAsia="PMingLiU"/>
          <w:lang w:eastAsia="zh-TW"/>
        </w:rPr>
        <w:t xml:space="preserve">eldest and patient (Qur’án 37:101, 21:85) </w:t>
      </w:r>
      <w:r w:rsidRPr="008F03E5">
        <w:rPr>
          <w:rFonts w:eastAsia="PMingLiU"/>
          <w:lang w:eastAsia="zh-TW"/>
        </w:rPr>
        <w:t>son</w:t>
      </w:r>
      <w:r>
        <w:rPr>
          <w:rFonts w:eastAsia="PMingLiU"/>
          <w:lang w:eastAsia="zh-TW"/>
        </w:rPr>
        <w:t xml:space="preserve">, </w:t>
      </w:r>
      <w:r w:rsidRPr="008F03E5">
        <w:t>Ismá‘íl</w:t>
      </w:r>
      <w:r>
        <w:rPr>
          <w:rFonts w:eastAsia="PMingLiU"/>
          <w:lang w:eastAsia="zh-TW"/>
        </w:rPr>
        <w:t xml:space="preserve"> (Ishmael).</w:t>
      </w:r>
    </w:p>
    <w:p w14:paraId="1F1F1174" w14:textId="77777777" w:rsidR="00625A5B" w:rsidRPr="008F03E5" w:rsidRDefault="00625A5B" w:rsidP="007B47E2">
      <w:pPr>
        <w:pStyle w:val="Translit"/>
      </w:pPr>
      <w:r w:rsidRPr="008F03E5">
        <w:t>Dhabih, Dhaboha, Dhaba’ih</w:t>
      </w:r>
      <w:r w:rsidRPr="008F03E5">
        <w:tab/>
      </w:r>
      <w:r w:rsidRPr="008F03E5">
        <w:rPr>
          <w:u w:val="single"/>
        </w:rPr>
        <w:t>Dh</w:t>
      </w:r>
      <w:r w:rsidRPr="008F03E5">
        <w:t xml:space="preserve">abíḥ, fem. </w:t>
      </w:r>
      <w:r w:rsidRPr="00D45A23">
        <w:rPr>
          <w:u w:val="single"/>
          <w:lang w:val="fr-FR"/>
        </w:rPr>
        <w:t>Dh</w:t>
      </w:r>
      <w:r w:rsidRPr="00D45A23">
        <w:rPr>
          <w:lang w:val="fr-FR"/>
        </w:rPr>
        <w:t>abíḥa[h or t]</w:t>
      </w:r>
      <w:r w:rsidRPr="00D45A23">
        <w:rPr>
          <w:lang w:val="fr-FR"/>
        </w:rPr>
        <w:tab/>
        <w:t xml:space="preserve">pl. </w:t>
      </w:r>
      <w:r w:rsidRPr="008F03E5">
        <w:rPr>
          <w:u w:val="single"/>
        </w:rPr>
        <w:t>Dh</w:t>
      </w:r>
      <w:r w:rsidRPr="008F03E5">
        <w:t xml:space="preserve">abíḥíyún fem. pl. </w:t>
      </w:r>
      <w:r w:rsidRPr="008F03E5">
        <w:rPr>
          <w:u w:val="single"/>
        </w:rPr>
        <w:t>dh</w:t>
      </w:r>
      <w:r w:rsidRPr="008F03E5">
        <w:t xml:space="preserve">abá’iḥ.  sacrifice or slaughtered.  fem. slaughter animal; sacrificial victim, blood sacrifice; sacrifice, immolation; offering, oblation.  Pers. zabíḥ.  Ḥájí Muḥammad Ismá‘íl was known as </w:t>
      </w:r>
      <w:r w:rsidRPr="008F03E5">
        <w:rPr>
          <w:u w:val="single"/>
        </w:rPr>
        <w:t>Dh</w:t>
      </w:r>
      <w:r w:rsidRPr="008F03E5">
        <w:t>abíḥ.  The name Ismá‘íl in Bábí-Bahá’í history is associated with the soubriquet ‘</w:t>
      </w:r>
      <w:r w:rsidRPr="008F03E5">
        <w:rPr>
          <w:u w:val="single"/>
        </w:rPr>
        <w:t>Dh</w:t>
      </w:r>
      <w:r w:rsidRPr="008F03E5">
        <w:t xml:space="preserve">abíḥ’.  Ismá‘íl (Ishmael), the son that Abraham had by Hagar, and according to the Qur’án, it was Ishmael whom Abraham offered to sacrifice—hence the association of the name Ismá‘íl with </w:t>
      </w:r>
      <w:r w:rsidRPr="008F03E5">
        <w:rPr>
          <w:u w:val="single"/>
        </w:rPr>
        <w:t>Dh</w:t>
      </w:r>
      <w:r w:rsidRPr="008F03E5">
        <w:t xml:space="preserve">abíḥ. (Balyuzi, </w:t>
      </w:r>
      <w:r w:rsidRPr="008F03E5">
        <w:rPr>
          <w:i/>
          <w:iCs/>
        </w:rPr>
        <w:t>E. G. Browne</w:t>
      </w:r>
      <w:r w:rsidRPr="008F03E5">
        <w:t xml:space="preserve">)  Azízu’lláh </w:t>
      </w:r>
      <w:r w:rsidRPr="008F03E5">
        <w:rPr>
          <w:u w:val="single"/>
        </w:rPr>
        <w:t>Dh</w:t>
      </w:r>
      <w:r w:rsidRPr="008F03E5">
        <w:t>abíhíyán, martyred in Yazd in 1980.</w:t>
      </w:r>
    </w:p>
    <w:p w14:paraId="05ED5461" w14:textId="77777777" w:rsidR="00625A5B" w:rsidRPr="008F03E5" w:rsidRDefault="00625A5B" w:rsidP="00254DF1">
      <w:pPr>
        <w:pStyle w:val="Translit"/>
      </w:pPr>
      <w:r w:rsidRPr="008F03E5">
        <w:t>Dhahab</w:t>
      </w:r>
      <w:r w:rsidRPr="008F03E5">
        <w:tab/>
      </w:r>
      <w:r w:rsidRPr="008F03E5">
        <w:rPr>
          <w:u w:val="single"/>
        </w:rPr>
        <w:t>Dh</w:t>
      </w:r>
      <w:r w:rsidRPr="008F03E5">
        <w:t xml:space="preserve">ahab (m. and f.), pl. </w:t>
      </w:r>
      <w:r w:rsidRPr="008F03E5">
        <w:rPr>
          <w:u w:val="single"/>
        </w:rPr>
        <w:t>Dh</w:t>
      </w:r>
      <w:r w:rsidRPr="008F03E5">
        <w:t>iháb</w:t>
      </w:r>
      <w:r w:rsidRPr="008F03E5">
        <w:tab/>
        <w:t>gold; gold piece, gold coin; h</w:t>
      </w:r>
      <w:r w:rsidRPr="008F03E5">
        <w:rPr>
          <w:rFonts w:eastAsia="Times New Roman"/>
        </w:rPr>
        <w:t>aving the eyes dazzled at the glare of gold, or on entering suddenly into a glittering mine; the yolk of an egg</w:t>
      </w:r>
    </w:p>
    <w:p w14:paraId="7CCABA6B" w14:textId="77777777" w:rsidR="00625A5B" w:rsidRPr="008F03E5" w:rsidRDefault="00625A5B" w:rsidP="00363370">
      <w:pPr>
        <w:pStyle w:val="Translit"/>
      </w:pPr>
      <w:r w:rsidRPr="008F03E5">
        <w:t>Dhahaba, Dhahab, Madhhab (Mazhab)</w:t>
      </w:r>
      <w:r w:rsidRPr="008F03E5">
        <w:tab/>
      </w:r>
      <w:r w:rsidRPr="008F03E5">
        <w:rPr>
          <w:u w:val="single"/>
        </w:rPr>
        <w:t>Dh</w:t>
      </w:r>
      <w:r w:rsidRPr="008F03E5">
        <w:t>ahaba (</w:t>
      </w:r>
      <w:r w:rsidRPr="008F03E5">
        <w:rPr>
          <w:u w:val="single"/>
        </w:rPr>
        <w:t>Dh</w:t>
      </w:r>
      <w:r w:rsidRPr="008F03E5">
        <w:t>aháb, Ma</w:t>
      </w:r>
      <w:r w:rsidRPr="008F03E5">
        <w:rPr>
          <w:u w:val="single"/>
        </w:rPr>
        <w:t>dh</w:t>
      </w:r>
      <w:r w:rsidRPr="008F03E5">
        <w:t>hab)</w:t>
      </w:r>
      <w:r w:rsidRPr="008F03E5">
        <w:tab/>
        <w:t>to go (to); to betake oneself, travel (to); to go away, leave, depart; to disappear, vanish, decline, dwindle; to perish, die, be destroyed; with to carry something off, take something away, abduct, steal something, sweep something or someone away, annihilate, destroy something or someone</w:t>
      </w:r>
    </w:p>
    <w:p w14:paraId="085E8905" w14:textId="77777777" w:rsidR="00625A5B" w:rsidRPr="008F03E5" w:rsidRDefault="00625A5B" w:rsidP="00DE4E0D">
      <w:pPr>
        <w:pStyle w:val="Translit"/>
      </w:pPr>
      <w:r w:rsidRPr="008F03E5">
        <w:t>Dhahabi</w:t>
      </w:r>
      <w:r w:rsidRPr="008F03E5">
        <w:tab/>
      </w:r>
      <w:r w:rsidRPr="008F03E5">
        <w:rPr>
          <w:u w:val="single"/>
        </w:rPr>
        <w:t>Dh</w:t>
      </w:r>
      <w:r w:rsidRPr="008F03E5">
        <w:t>ahabí</w:t>
      </w:r>
      <w:r w:rsidRPr="008F03E5">
        <w:tab/>
        <w:t>golden, of gold; precious, excellent, apposite (e.g., advice, saying, etc.)</w:t>
      </w:r>
    </w:p>
    <w:p w14:paraId="2DBB38BE" w14:textId="77777777" w:rsidR="00625A5B" w:rsidRPr="008F03E5" w:rsidRDefault="00625A5B" w:rsidP="00A0534C">
      <w:pPr>
        <w:pStyle w:val="Translit"/>
      </w:pPr>
      <w:r w:rsidRPr="008F03E5">
        <w:t>Dhahabiya, Dhahabiyyat</w:t>
      </w:r>
      <w:r w:rsidRPr="008F03E5">
        <w:tab/>
      </w:r>
      <w:r w:rsidRPr="008F03E5">
        <w:rPr>
          <w:u w:val="single"/>
        </w:rPr>
        <w:t>Dh</w:t>
      </w:r>
      <w:r w:rsidRPr="008F03E5">
        <w:t xml:space="preserve">ahabíya[h or t], pl. </w:t>
      </w:r>
      <w:r w:rsidRPr="008F03E5">
        <w:rPr>
          <w:u w:val="single"/>
        </w:rPr>
        <w:t>Dh</w:t>
      </w:r>
      <w:r w:rsidRPr="008F03E5">
        <w:t>ahabíyát</w:t>
      </w:r>
      <w:r w:rsidRPr="008F03E5">
        <w:tab/>
        <w:t xml:space="preserve">Pers. (English dahabeah) a long, light-draft houseboat, used on the Nile.  Pers. </w:t>
      </w:r>
      <w:r w:rsidRPr="008F03E5">
        <w:rPr>
          <w:u w:val="single"/>
        </w:rPr>
        <w:t>dh</w:t>
      </w:r>
      <w:r w:rsidRPr="008F03E5">
        <w:t>ahabiyya[h].  a</w:t>
      </w:r>
      <w:r w:rsidRPr="008F03E5">
        <w:rPr>
          <w:u w:val="single"/>
        </w:rPr>
        <w:t>dh</w:t>
      </w:r>
      <w:r w:rsidRPr="008F03E5">
        <w:t>-</w:t>
      </w:r>
      <w:r w:rsidRPr="008F03E5">
        <w:rPr>
          <w:u w:val="single"/>
        </w:rPr>
        <w:t>Dh</w:t>
      </w:r>
      <w:r w:rsidRPr="008F03E5">
        <w:t xml:space="preserve">ahabiyya, </w:t>
      </w:r>
      <w:r w:rsidRPr="008F03E5">
        <w:rPr>
          <w:u w:val="single"/>
        </w:rPr>
        <w:t>Sh</w:t>
      </w:r>
      <w:r w:rsidRPr="008F03E5">
        <w:t>í‘í Ṣúfí order in Iran.</w:t>
      </w:r>
    </w:p>
    <w:p w14:paraId="027CA625" w14:textId="77777777" w:rsidR="00625A5B" w:rsidRPr="008F03E5" w:rsidRDefault="00625A5B" w:rsidP="000911F6">
      <w:pPr>
        <w:pStyle w:val="Translit"/>
        <w:rPr>
          <w:lang w:eastAsia="en-US"/>
        </w:rPr>
      </w:pPr>
      <w:r w:rsidRPr="008F03E5">
        <w:rPr>
          <w:lang w:eastAsia="en-US"/>
        </w:rPr>
        <w:t>Dhaka’, Dhuka’</w:t>
      </w:r>
      <w:r w:rsidRPr="008F03E5">
        <w:rPr>
          <w:lang w:eastAsia="en-US"/>
        </w:rPr>
        <w:tab/>
      </w:r>
      <w:r w:rsidRPr="008F03E5">
        <w:rPr>
          <w:u w:val="single"/>
          <w:lang w:eastAsia="en-US"/>
        </w:rPr>
        <w:t>Dh</w:t>
      </w:r>
      <w:r w:rsidRPr="008F03E5">
        <w:rPr>
          <w:lang w:eastAsia="en-US"/>
        </w:rPr>
        <w:t>aká’</w:t>
      </w:r>
      <w:r w:rsidRPr="008F03E5">
        <w:rPr>
          <w:lang w:eastAsia="en-US"/>
        </w:rPr>
        <w:tab/>
        <w:t>acumen, mental, acuteness, intelligence, brightness;—</w:t>
      </w:r>
      <w:r w:rsidRPr="008F03E5">
        <w:rPr>
          <w:u w:val="single"/>
          <w:lang w:eastAsia="en-US"/>
        </w:rPr>
        <w:t>dh</w:t>
      </w:r>
      <w:r w:rsidRPr="008F03E5">
        <w:rPr>
          <w:lang w:eastAsia="en-US"/>
        </w:rPr>
        <w:t>uká’, the sun</w:t>
      </w:r>
    </w:p>
    <w:p w14:paraId="02FE9A1C" w14:textId="77777777" w:rsidR="00625A5B" w:rsidRPr="008F03E5" w:rsidRDefault="00625A5B" w:rsidP="004A76A8">
      <w:pPr>
        <w:pStyle w:val="Translit"/>
      </w:pPr>
      <w:r w:rsidRPr="008F03E5">
        <w:t>Dhakawa (Dhakava, Zakawa)</w:t>
      </w:r>
      <w:r w:rsidRPr="008F03E5">
        <w:tab/>
      </w:r>
      <w:r w:rsidRPr="008F03E5">
        <w:rPr>
          <w:u w:val="single"/>
        </w:rPr>
        <w:t>Dh</w:t>
      </w:r>
      <w:r w:rsidRPr="008F03E5">
        <w:t>akáwa</w:t>
      </w:r>
      <w:r>
        <w:t>[h or t]</w:t>
      </w:r>
      <w:r w:rsidRPr="008F03E5">
        <w:tab/>
      </w:r>
      <w:r>
        <w:t>b</w:t>
      </w:r>
      <w:r w:rsidRPr="00AF4D34">
        <w:rPr>
          <w:rFonts w:eastAsia="Times New Roman"/>
        </w:rPr>
        <w:t>rightness of genius, wit</w:t>
      </w:r>
      <w:r>
        <w:rPr>
          <w:rFonts w:eastAsia="Times New Roman"/>
        </w:rPr>
        <w:t>,</w:t>
      </w:r>
      <w:r w:rsidRPr="008F03E5">
        <w:t xml:space="preserve"> intelligence, sharp-mindedness</w:t>
      </w:r>
    </w:p>
    <w:p w14:paraId="7C6ACE48" w14:textId="77777777" w:rsidR="00625A5B" w:rsidRPr="008F03E5" w:rsidRDefault="00625A5B" w:rsidP="008359CB">
      <w:pPr>
        <w:pStyle w:val="Translit"/>
      </w:pPr>
      <w:r w:rsidRPr="008F03E5">
        <w:t>Dhaki</w:t>
      </w:r>
      <w:r w:rsidRPr="008F03E5">
        <w:tab/>
      </w:r>
      <w:r w:rsidRPr="008F03E5">
        <w:rPr>
          <w:u w:val="single"/>
        </w:rPr>
        <w:t>Dh</w:t>
      </w:r>
      <w:r w:rsidRPr="008F03E5">
        <w:t>akí</w:t>
      </w:r>
      <w:r w:rsidRPr="008F03E5">
        <w:tab/>
        <w:t>Pers. a</w:t>
      </w:r>
      <w:r w:rsidRPr="008F03E5">
        <w:rPr>
          <w:rFonts w:eastAsia="Times New Roman"/>
        </w:rPr>
        <w:t>cute; strong, diffusive musk</w:t>
      </w:r>
    </w:p>
    <w:p w14:paraId="28789424" w14:textId="77777777" w:rsidR="00625A5B" w:rsidRPr="008F03E5" w:rsidRDefault="00625A5B" w:rsidP="000911F6">
      <w:pPr>
        <w:pStyle w:val="Translit"/>
      </w:pPr>
      <w:r w:rsidRPr="008F03E5">
        <w:t>Dhakir, Dhakirun</w:t>
      </w:r>
      <w:r w:rsidRPr="008F03E5">
        <w:tab/>
      </w:r>
      <w:r w:rsidRPr="008F03E5">
        <w:rPr>
          <w:u w:val="single"/>
        </w:rPr>
        <w:t>Dh</w:t>
      </w:r>
      <w:r w:rsidRPr="008F03E5">
        <w:t xml:space="preserve">ákir, pl. </w:t>
      </w:r>
      <w:r w:rsidRPr="008F03E5">
        <w:rPr>
          <w:u w:val="single"/>
        </w:rPr>
        <w:t>Dh</w:t>
      </w:r>
      <w:r w:rsidRPr="008F03E5">
        <w:t>ákirún</w:t>
      </w:r>
      <w:r w:rsidRPr="008F03E5">
        <w:tab/>
        <w:t>rememberer; a praiser of God</w:t>
      </w:r>
    </w:p>
    <w:p w14:paraId="34D8022B" w14:textId="77777777" w:rsidR="00625A5B" w:rsidRPr="008F03E5" w:rsidRDefault="00625A5B" w:rsidP="00B826DC">
      <w:pPr>
        <w:pStyle w:val="Translit"/>
      </w:pPr>
      <w:r w:rsidRPr="008F03E5">
        <w:t>Dhakira</w:t>
      </w:r>
      <w:r w:rsidRPr="008F03E5">
        <w:tab/>
      </w:r>
      <w:r w:rsidRPr="008F03E5">
        <w:rPr>
          <w:u w:val="single"/>
        </w:rPr>
        <w:t>Dh</w:t>
      </w:r>
      <w:r w:rsidRPr="008F03E5">
        <w:t>ákira[h or t]</w:t>
      </w:r>
      <w:r w:rsidRPr="008F03E5">
        <w:tab/>
        <w:t>memory;</w:t>
      </w:r>
      <w:r w:rsidRPr="008F03E5">
        <w:rPr>
          <w:rFonts w:eastAsia="Times New Roman"/>
        </w:rPr>
        <w:t xml:space="preserve"> the faculty of remembering, the retentive memory</w:t>
      </w:r>
    </w:p>
    <w:p w14:paraId="5DD80456" w14:textId="77777777" w:rsidR="00625A5B" w:rsidRPr="008F03E5" w:rsidRDefault="00625A5B" w:rsidP="008359CB">
      <w:pPr>
        <w:pStyle w:val="Translit"/>
      </w:pPr>
      <w:r w:rsidRPr="008F03E5">
        <w:t>Dhakiy, Adhkiya’</w:t>
      </w:r>
      <w:r w:rsidRPr="008F03E5">
        <w:tab/>
      </w:r>
      <w:r w:rsidRPr="008F03E5">
        <w:rPr>
          <w:u w:val="single"/>
        </w:rPr>
        <w:t>Dh</w:t>
      </w:r>
      <w:r w:rsidRPr="008F03E5">
        <w:t>akíy, pl. A</w:t>
      </w:r>
      <w:r w:rsidRPr="008F03E5">
        <w:rPr>
          <w:u w:val="single"/>
        </w:rPr>
        <w:t>dh</w:t>
      </w:r>
      <w:r w:rsidRPr="008F03E5">
        <w:t>kiyá’</w:t>
      </w:r>
      <w:r w:rsidRPr="008F03E5">
        <w:tab/>
        <w:t>person of discernment, penetration, or understanding; acute, witty</w:t>
      </w:r>
    </w:p>
    <w:p w14:paraId="432B337B" w14:textId="77777777" w:rsidR="00625A5B" w:rsidRPr="008F03E5" w:rsidRDefault="00625A5B" w:rsidP="00385A2B">
      <w:pPr>
        <w:pStyle w:val="Translit"/>
      </w:pPr>
      <w:r w:rsidRPr="008F03E5">
        <w:t>Dhanb, Dhunub</w:t>
      </w:r>
      <w:r w:rsidRPr="008F03E5">
        <w:tab/>
      </w:r>
      <w:r w:rsidRPr="008F03E5">
        <w:rPr>
          <w:u w:val="single"/>
        </w:rPr>
        <w:t>Dh</w:t>
      </w:r>
      <w:r w:rsidRPr="008F03E5">
        <w:t xml:space="preserve">anb, pl. </w:t>
      </w:r>
      <w:r w:rsidRPr="008F03E5">
        <w:rPr>
          <w:u w:val="single"/>
        </w:rPr>
        <w:t>Dh</w:t>
      </w:r>
      <w:r w:rsidRPr="008F03E5">
        <w:t>unúb</w:t>
      </w:r>
      <w:r w:rsidRPr="008F03E5">
        <w:tab/>
        <w:t>offence, sin, crime, misdeed</w:t>
      </w:r>
    </w:p>
    <w:p w14:paraId="6B62C029" w14:textId="77777777" w:rsidR="00625A5B" w:rsidRPr="008F03E5" w:rsidRDefault="00625A5B" w:rsidP="00385A2B">
      <w:pPr>
        <w:pStyle w:val="Translit"/>
      </w:pPr>
      <w:r w:rsidRPr="008F03E5">
        <w:t>Dhaqa, Dhawq (Dhauq), Madhaq</w:t>
      </w:r>
      <w:r w:rsidRPr="008F03E5">
        <w:tab/>
      </w:r>
      <w:r w:rsidRPr="008F03E5">
        <w:rPr>
          <w:u w:val="single"/>
        </w:rPr>
        <w:t>Dh</w:t>
      </w:r>
      <w:r w:rsidRPr="008F03E5">
        <w:t>áqa, (</w:t>
      </w:r>
      <w:r w:rsidRPr="008F03E5">
        <w:rPr>
          <w:u w:val="single"/>
        </w:rPr>
        <w:t>Dh</w:t>
      </w:r>
      <w:r w:rsidRPr="008F03E5">
        <w:t xml:space="preserve">awq, </w:t>
      </w:r>
      <w:r w:rsidRPr="008F03E5">
        <w:rPr>
          <w:u w:val="single"/>
        </w:rPr>
        <w:t>Dh</w:t>
      </w:r>
      <w:r w:rsidRPr="008F03E5">
        <w:t>awáq, Ma</w:t>
      </w:r>
      <w:r w:rsidRPr="008F03E5">
        <w:rPr>
          <w:u w:val="single"/>
        </w:rPr>
        <w:t>dh</w:t>
      </w:r>
      <w:r w:rsidRPr="008F03E5">
        <w:t>áq)</w:t>
      </w:r>
      <w:r w:rsidRPr="008F03E5">
        <w:tab/>
        <w:t xml:space="preserve">to taste, sample (food, etc.); to try, try out, test (something); to get a taste (of something), experience, undergo, suffer (something), go through something; form  </w:t>
      </w:r>
      <w:r w:rsidRPr="008F03E5">
        <w:rPr>
          <w:sz w:val="16"/>
          <w:szCs w:val="16"/>
        </w:rPr>
        <w:t>IV</w:t>
      </w:r>
      <w:r w:rsidRPr="008F03E5">
        <w:t xml:space="preserve"> to have (someone) taste or sample (something), give (someone something) to taste; form  V to taste (something) slowly, repeatedly, thoroughly; to get a taste (of something); to sense, perceive (something); to enjoy thoroughly, savour, relish (something); to derive pleasure (from)</w:t>
      </w:r>
    </w:p>
    <w:p w14:paraId="4672D3DD" w14:textId="77777777" w:rsidR="00625A5B" w:rsidRPr="008F03E5" w:rsidRDefault="00625A5B" w:rsidP="00B21FD6">
      <w:pPr>
        <w:pStyle w:val="Translit"/>
      </w:pPr>
      <w:r w:rsidRPr="008F03E5">
        <w:t>Dhar’</w:t>
      </w:r>
      <w:r w:rsidRPr="008F03E5">
        <w:tab/>
      </w:r>
      <w:r w:rsidRPr="008F03E5">
        <w:rPr>
          <w:u w:val="single"/>
        </w:rPr>
        <w:t>Dh</w:t>
      </w:r>
      <w:r w:rsidRPr="008F03E5">
        <w:t>ar‘</w:t>
      </w:r>
      <w:r w:rsidRPr="008F03E5">
        <w:tab/>
        <w:t xml:space="preserve">(verbal noun of </w:t>
      </w:r>
      <w:r w:rsidRPr="008F03E5">
        <w:rPr>
          <w:u w:val="single"/>
        </w:rPr>
        <w:t>dh</w:t>
      </w:r>
      <w:r w:rsidRPr="008F03E5">
        <w:t>ara‘a) power, ability, capability (to do something)</w:t>
      </w:r>
    </w:p>
    <w:p w14:paraId="3E369F93" w14:textId="77777777" w:rsidR="00625A5B" w:rsidRPr="008F03E5" w:rsidRDefault="00625A5B" w:rsidP="001B6BCB">
      <w:pPr>
        <w:pStyle w:val="Translit"/>
      </w:pPr>
      <w:r w:rsidRPr="008F03E5">
        <w:t>Dhara’a</w:t>
      </w:r>
      <w:r w:rsidRPr="008F03E5">
        <w:tab/>
      </w:r>
      <w:r w:rsidRPr="008F03E5">
        <w:rPr>
          <w:u w:val="single"/>
        </w:rPr>
        <w:t>Dh</w:t>
      </w:r>
      <w:r w:rsidRPr="008F03E5">
        <w:t>ara‘a</w:t>
      </w:r>
      <w:r w:rsidRPr="008F03E5">
        <w:tab/>
        <w:t>(verb) to measure (something); to take the measure or measurements (of something); to cover (a distance); to cross, travel (a country), travel through; to intercede, intervene, mediate, put in a word (for someone, on behalf of someone, with someone else)</w:t>
      </w:r>
    </w:p>
    <w:p w14:paraId="50949F85" w14:textId="77777777" w:rsidR="00625A5B" w:rsidRPr="008F03E5" w:rsidRDefault="00625A5B" w:rsidP="00C91AF5">
      <w:pPr>
        <w:pStyle w:val="Translit"/>
      </w:pPr>
      <w:r w:rsidRPr="008F03E5">
        <w:t>Dhariyatun, Dhariyat</w:t>
      </w:r>
      <w:r w:rsidRPr="008F03E5">
        <w:tab/>
      </w:r>
      <w:r w:rsidRPr="008F03E5">
        <w:rPr>
          <w:u w:val="single"/>
        </w:rPr>
        <w:t>Dh</w:t>
      </w:r>
      <w:r w:rsidRPr="008F03E5">
        <w:t xml:space="preserve">áriyatun, pl. </w:t>
      </w:r>
      <w:r w:rsidRPr="008F03E5">
        <w:rPr>
          <w:u w:val="single"/>
        </w:rPr>
        <w:t>Dh</w:t>
      </w:r>
      <w:r w:rsidRPr="008F03E5">
        <w:t>áriyát</w:t>
      </w:r>
      <w:r w:rsidRPr="008F03E5">
        <w:tab/>
        <w:t>quick-scattering wind; that which scatters, that which blows away</w:t>
      </w:r>
    </w:p>
    <w:p w14:paraId="70B89857" w14:textId="77777777" w:rsidR="00625A5B" w:rsidRPr="008F03E5" w:rsidRDefault="00625A5B" w:rsidP="00BA0874">
      <w:pPr>
        <w:pStyle w:val="Translit"/>
      </w:pPr>
      <w:r w:rsidRPr="008F03E5">
        <w:t>Dharkara, Dhikr, Tadhkar</w:t>
      </w:r>
      <w:r w:rsidRPr="008F03E5">
        <w:tab/>
      </w:r>
      <w:r w:rsidRPr="008F03E5">
        <w:rPr>
          <w:u w:val="single"/>
        </w:rPr>
        <w:t>Dh</w:t>
      </w:r>
      <w:r w:rsidRPr="008F03E5">
        <w:t xml:space="preserve">arkara, </w:t>
      </w:r>
      <w:r w:rsidRPr="008F03E5">
        <w:rPr>
          <w:u w:val="single"/>
        </w:rPr>
        <w:t>Dh</w:t>
      </w:r>
      <w:r w:rsidRPr="008F03E5">
        <w:t>ikr, Ta</w:t>
      </w:r>
      <w:r w:rsidRPr="008F03E5">
        <w:rPr>
          <w:u w:val="single"/>
        </w:rPr>
        <w:t>dh</w:t>
      </w:r>
      <w:r w:rsidRPr="008F03E5">
        <w:t>kár</w:t>
      </w:r>
      <w:r w:rsidRPr="008F03E5">
        <w:tab/>
        <w:t>to remember, bear in mind (something), think (of); to keep in mind (something); to recall, recollect (something)</w:t>
      </w:r>
    </w:p>
    <w:p w14:paraId="74B93870" w14:textId="77777777" w:rsidR="00625A5B" w:rsidRPr="008F03E5" w:rsidRDefault="00625A5B" w:rsidP="004B382A">
      <w:pPr>
        <w:pStyle w:val="Translit"/>
      </w:pPr>
      <w:r w:rsidRPr="008F03E5">
        <w:t>Dharr</w:t>
      </w:r>
      <w:r w:rsidRPr="008F03E5">
        <w:tab/>
      </w:r>
      <w:r w:rsidRPr="008F03E5">
        <w:rPr>
          <w:u w:val="single"/>
        </w:rPr>
        <w:t>Dh</w:t>
      </w:r>
      <w:r w:rsidRPr="008F03E5">
        <w:t>arr</w:t>
      </w:r>
      <w:r w:rsidRPr="008F03E5">
        <w:tab/>
        <w:t xml:space="preserve">strewing, scattering, sprinkling; (collective) tiny particles, atoms, specks, motes.  Root word </w:t>
      </w:r>
      <w:r w:rsidRPr="008F03E5">
        <w:rPr>
          <w:u w:val="single"/>
        </w:rPr>
        <w:t>dh</w:t>
      </w:r>
      <w:r w:rsidRPr="008F03E5">
        <w:t xml:space="preserve">arra has another derivative, </w:t>
      </w:r>
      <w:r w:rsidRPr="008F03E5">
        <w:rPr>
          <w:u w:val="single"/>
        </w:rPr>
        <w:t>dh</w:t>
      </w:r>
      <w:r w:rsidRPr="008F03E5">
        <w:t xml:space="preserve">urríya, so </w:t>
      </w:r>
      <w:r w:rsidRPr="008F03E5">
        <w:rPr>
          <w:u w:val="single"/>
        </w:rPr>
        <w:t>dh</w:t>
      </w:r>
      <w:r w:rsidRPr="008F03E5">
        <w:t xml:space="preserve">arr can be understood as “seeds”, as in progeny.  See </w:t>
      </w:r>
      <w:r w:rsidRPr="008F03E5">
        <w:rPr>
          <w:u w:val="single"/>
        </w:rPr>
        <w:t>dh</w:t>
      </w:r>
      <w:r w:rsidRPr="008F03E5">
        <w:t xml:space="preserve">arra and </w:t>
      </w:r>
      <w:r w:rsidRPr="008F03E5">
        <w:rPr>
          <w:u w:val="single"/>
        </w:rPr>
        <w:t>dh</w:t>
      </w:r>
      <w:r w:rsidRPr="008F03E5">
        <w:t>urríya.</w:t>
      </w:r>
    </w:p>
    <w:p w14:paraId="00B7240A" w14:textId="77777777" w:rsidR="00625A5B" w:rsidRPr="008F03E5" w:rsidRDefault="00625A5B" w:rsidP="004B382A">
      <w:pPr>
        <w:pStyle w:val="Translit"/>
      </w:pPr>
      <w:r w:rsidRPr="008F03E5">
        <w:t>Dharra, Dharr</w:t>
      </w:r>
      <w:r w:rsidRPr="008F03E5">
        <w:tab/>
      </w:r>
      <w:r w:rsidRPr="008F03E5">
        <w:rPr>
          <w:u w:val="single"/>
        </w:rPr>
        <w:t>Dh</w:t>
      </w:r>
      <w:r w:rsidRPr="008F03E5">
        <w:t>arra (</w:t>
      </w:r>
      <w:r w:rsidRPr="008F03E5">
        <w:rPr>
          <w:u w:val="single"/>
        </w:rPr>
        <w:t>Dh</w:t>
      </w:r>
      <w:r w:rsidRPr="008F03E5">
        <w:t>arr)</w:t>
      </w:r>
      <w:r w:rsidRPr="008F03E5">
        <w:tab/>
        <w:t>to strew, scatter, spread (something); to sprinkle (on something, something)</w:t>
      </w:r>
    </w:p>
    <w:p w14:paraId="0CEE5726" w14:textId="77777777" w:rsidR="00625A5B" w:rsidRPr="008F03E5" w:rsidRDefault="00625A5B" w:rsidP="005C5635">
      <w:pPr>
        <w:pStyle w:val="Translit"/>
      </w:pPr>
      <w:r w:rsidRPr="008F03E5">
        <w:t>Dharw</w:t>
      </w:r>
      <w:r w:rsidRPr="008F03E5">
        <w:tab/>
      </w:r>
      <w:r w:rsidRPr="008F03E5">
        <w:rPr>
          <w:u w:val="single"/>
        </w:rPr>
        <w:t>Dh</w:t>
      </w:r>
      <w:r w:rsidRPr="008F03E5">
        <w:t>arw</w:t>
      </w:r>
      <w:r w:rsidRPr="008F03E5">
        <w:tab/>
        <w:t>scattering, dispersing, the act of blowing away</w:t>
      </w:r>
    </w:p>
    <w:p w14:paraId="2E91F32C" w14:textId="77777777" w:rsidR="00625A5B" w:rsidRPr="008F03E5" w:rsidRDefault="00625A5B" w:rsidP="00143311">
      <w:pPr>
        <w:pStyle w:val="Translit"/>
      </w:pPr>
      <w:r w:rsidRPr="008F03E5">
        <w:t>Dhat, Dhawat, Dhatan</w:t>
      </w:r>
      <w:r w:rsidRPr="008F03E5">
        <w:tab/>
      </w:r>
      <w:r w:rsidRPr="008F03E5">
        <w:rPr>
          <w:u w:val="single"/>
        </w:rPr>
        <w:t>Dh</w:t>
      </w:r>
      <w:r w:rsidRPr="008F03E5">
        <w:t xml:space="preserve">át, pl. </w:t>
      </w:r>
      <w:r w:rsidRPr="008F03E5">
        <w:rPr>
          <w:u w:val="single"/>
        </w:rPr>
        <w:t>Dh</w:t>
      </w:r>
      <w:r w:rsidRPr="008F03E5">
        <w:t>awát</w:t>
      </w:r>
      <w:r w:rsidRPr="008F03E5">
        <w:tab/>
      </w:r>
      <w:r w:rsidRPr="008F03E5">
        <w:rPr>
          <w:rFonts w:eastAsia="Times New Roman"/>
        </w:rPr>
        <w:t xml:space="preserve">(fem. of </w:t>
      </w:r>
      <w:r w:rsidRPr="008F03E5">
        <w:rPr>
          <w:u w:val="single"/>
        </w:rPr>
        <w:t>dh</w:t>
      </w:r>
      <w:r w:rsidRPr="008F03E5">
        <w:t>ú</w:t>
      </w:r>
      <w:r w:rsidRPr="008F03E5">
        <w:rPr>
          <w:rFonts w:eastAsia="Times New Roman"/>
        </w:rPr>
        <w:t xml:space="preserve">) </w:t>
      </w:r>
      <w:r w:rsidRPr="008F03E5">
        <w:t>being, essence, nature; self; person, personality; the same, the self-same; a</w:t>
      </w:r>
      <w:r w:rsidRPr="008F03E5">
        <w:rPr>
          <w:u w:val="single"/>
        </w:rPr>
        <w:t>dh</w:t>
      </w:r>
      <w:r w:rsidRPr="008F03E5">
        <w:t>-</w:t>
      </w:r>
      <w:r w:rsidRPr="008F03E5">
        <w:rPr>
          <w:u w:val="single"/>
        </w:rPr>
        <w:t>Dh</w:t>
      </w:r>
      <w:r w:rsidRPr="008F03E5">
        <w:t xml:space="preserve">awát people of rank, people of distinction, notables; </w:t>
      </w:r>
      <w:r w:rsidRPr="008F03E5">
        <w:rPr>
          <w:u w:val="single"/>
        </w:rPr>
        <w:t>dh</w:t>
      </w:r>
      <w:r w:rsidRPr="008F03E5">
        <w:t xml:space="preserve">átan personally.  Examples:  </w:t>
      </w:r>
      <w:r w:rsidRPr="008F03E5">
        <w:rPr>
          <w:u w:val="single"/>
        </w:rPr>
        <w:t>dh</w:t>
      </w:r>
      <w:r w:rsidRPr="008F03E5">
        <w:rPr>
          <w:rFonts w:eastAsia="Times New Roman"/>
        </w:rPr>
        <w:t xml:space="preserve">átu’ṣ-ṣadr, </w:t>
      </w:r>
      <w:r w:rsidRPr="008F03E5">
        <w:rPr>
          <w:u w:val="single"/>
        </w:rPr>
        <w:t>dh</w:t>
      </w:r>
      <w:r w:rsidRPr="008F03E5">
        <w:rPr>
          <w:rFonts w:eastAsia="Times New Roman"/>
        </w:rPr>
        <w:t xml:space="preserve">átu’l-‘amúd, (Pers.) </w:t>
      </w:r>
      <w:r w:rsidRPr="008F03E5">
        <w:rPr>
          <w:u w:val="single"/>
        </w:rPr>
        <w:t>dh</w:t>
      </w:r>
      <w:r w:rsidRPr="008F03E5">
        <w:rPr>
          <w:rFonts w:eastAsia="Times New Roman"/>
        </w:rPr>
        <w:t xml:space="preserve">áti </w:t>
      </w:r>
      <w:r w:rsidRPr="008F03E5">
        <w:rPr>
          <w:rFonts w:eastAsia="Times New Roman"/>
          <w:u w:val="single"/>
        </w:rPr>
        <w:t>sh</w:t>
      </w:r>
      <w:r w:rsidRPr="008F03E5">
        <w:rPr>
          <w:rFonts w:eastAsia="Times New Roman"/>
        </w:rPr>
        <w:t>aríf.</w:t>
      </w:r>
    </w:p>
    <w:p w14:paraId="302A9DF7" w14:textId="77777777" w:rsidR="00625A5B" w:rsidRPr="008F03E5" w:rsidRDefault="00625A5B" w:rsidP="004305D1">
      <w:pPr>
        <w:pStyle w:val="Translit"/>
      </w:pPr>
      <w:r w:rsidRPr="008F03E5">
        <w:t>Dhatiya, Dhatiyat</w:t>
      </w:r>
      <w:r w:rsidRPr="008F03E5">
        <w:tab/>
      </w:r>
      <w:r w:rsidRPr="008F03E5">
        <w:rPr>
          <w:u w:val="single"/>
        </w:rPr>
        <w:t>Dh</w:t>
      </w:r>
      <w:r w:rsidRPr="008F03E5">
        <w:t xml:space="preserve">átíya[h or t], pl. </w:t>
      </w:r>
      <w:r w:rsidRPr="008F03E5">
        <w:rPr>
          <w:u w:val="single"/>
        </w:rPr>
        <w:t>Dh</w:t>
      </w:r>
      <w:r w:rsidRPr="008F03E5">
        <w:t>átíyát</w:t>
      </w:r>
      <w:r w:rsidRPr="008F03E5">
        <w:tab/>
        <w:t>personality; subjectivism (philosophy); identity (of a person)</w:t>
      </w:r>
    </w:p>
    <w:p w14:paraId="6DFAC6AF" w14:textId="77777777" w:rsidR="00625A5B" w:rsidRPr="008F03E5" w:rsidRDefault="00625A5B" w:rsidP="005C5635">
      <w:pPr>
        <w:pStyle w:val="Translit"/>
      </w:pPr>
      <w:r w:rsidRPr="008F03E5">
        <w:t>Dhawq (Dhauq), Adhaq</w:t>
      </w:r>
      <w:r w:rsidRPr="008F03E5">
        <w:tab/>
      </w:r>
      <w:r w:rsidRPr="008F03E5">
        <w:rPr>
          <w:u w:val="single"/>
        </w:rPr>
        <w:t>Dh</w:t>
      </w:r>
      <w:r w:rsidRPr="008F03E5">
        <w:t>awq, pl. A</w:t>
      </w:r>
      <w:r w:rsidRPr="008F03E5">
        <w:rPr>
          <w:u w:val="single"/>
        </w:rPr>
        <w:t>dh</w:t>
      </w:r>
      <w:r w:rsidRPr="008F03E5">
        <w:t>wáq</w:t>
      </w:r>
      <w:r w:rsidRPr="008F03E5">
        <w:tab/>
        <w:t>gustatory sense; taste (for; also, e.g., literary taste); perceptivity, responsiveness (for); sensitivity, sensitiveness; savoir-vivre, suavity, urbanity, tact; liking, inclination; taste, flavour (of food, etc.)</w:t>
      </w:r>
    </w:p>
    <w:p w14:paraId="48A527BD" w14:textId="77777777" w:rsidR="00625A5B" w:rsidRPr="008F03E5" w:rsidRDefault="00625A5B" w:rsidP="005C5635">
      <w:pPr>
        <w:pStyle w:val="Translit"/>
      </w:pPr>
      <w:r w:rsidRPr="008F03E5">
        <w:t>Dhawqi (Dhauqi)</w:t>
      </w:r>
      <w:r w:rsidRPr="008F03E5">
        <w:tab/>
      </w:r>
      <w:r w:rsidRPr="008F03E5">
        <w:rPr>
          <w:u w:val="single"/>
        </w:rPr>
        <w:t>Dh</w:t>
      </w:r>
      <w:r w:rsidRPr="008F03E5">
        <w:t>awqí</w:t>
      </w:r>
      <w:r w:rsidRPr="008F03E5">
        <w:tab/>
        <w:t xml:space="preserve">of taste, gustative, gustatory.  Form V “of sensing, perceiving”—see </w:t>
      </w:r>
      <w:r w:rsidRPr="008F03E5">
        <w:rPr>
          <w:u w:val="single"/>
        </w:rPr>
        <w:t>Dh</w:t>
      </w:r>
      <w:r w:rsidRPr="008F03E5">
        <w:t>áqa</w:t>
      </w:r>
    </w:p>
    <w:p w14:paraId="02F25EFF" w14:textId="77777777" w:rsidR="00625A5B" w:rsidRPr="008F03E5" w:rsidRDefault="00625A5B" w:rsidP="00890A0F">
      <w:pPr>
        <w:pStyle w:val="Translit"/>
      </w:pPr>
      <w:r w:rsidRPr="008F03E5">
        <w:t>Dhi’b, Dhi’ab, Dhu’ban</w:t>
      </w:r>
      <w:r w:rsidRPr="008F03E5">
        <w:tab/>
      </w:r>
      <w:r w:rsidRPr="008F03E5">
        <w:rPr>
          <w:u w:val="single"/>
        </w:rPr>
        <w:t>Dh</w:t>
      </w:r>
      <w:r w:rsidRPr="008F03E5">
        <w:t xml:space="preserve">i’b, pl. </w:t>
      </w:r>
      <w:r w:rsidRPr="008F03E5">
        <w:rPr>
          <w:u w:val="single"/>
        </w:rPr>
        <w:t>Dh</w:t>
      </w:r>
      <w:r w:rsidRPr="008F03E5">
        <w:t xml:space="preserve">i’áb, </w:t>
      </w:r>
      <w:r w:rsidRPr="008F03E5">
        <w:rPr>
          <w:u w:val="single"/>
        </w:rPr>
        <w:t>Dh</w:t>
      </w:r>
      <w:r w:rsidRPr="008F03E5">
        <w:t>u’bán</w:t>
      </w:r>
      <w:r w:rsidRPr="008F03E5">
        <w:tab/>
        <w:t xml:space="preserve">wolf, jackal.  Bahá’u’lláh named </w:t>
      </w:r>
      <w:r w:rsidRPr="008F03E5">
        <w:rPr>
          <w:u w:val="single"/>
        </w:rPr>
        <w:t>Sh</w:t>
      </w:r>
      <w:r w:rsidRPr="008F03E5">
        <w:t>ay</w:t>
      </w:r>
      <w:r w:rsidRPr="008F03E5">
        <w:rPr>
          <w:u w:val="single"/>
        </w:rPr>
        <w:t>kh</w:t>
      </w:r>
      <w:r w:rsidRPr="008F03E5">
        <w:t xml:space="preserve"> Muḥammad Báqir (1819–1883) the “Wolf” and his son, </w:t>
      </w:r>
      <w:r w:rsidRPr="008F03E5">
        <w:rPr>
          <w:u w:val="single"/>
        </w:rPr>
        <w:t>Sh</w:t>
      </w:r>
      <w:r w:rsidRPr="008F03E5">
        <w:t>ay</w:t>
      </w:r>
      <w:r w:rsidRPr="008F03E5">
        <w:rPr>
          <w:u w:val="single"/>
        </w:rPr>
        <w:t>kh</w:t>
      </w:r>
      <w:r w:rsidRPr="008F03E5">
        <w:t xml:space="preserve"> Muḥammad-Taqíy-i-Najafí (1846–1914), ibn-i-</w:t>
      </w:r>
      <w:r w:rsidRPr="008F03E5">
        <w:rPr>
          <w:u w:val="single"/>
        </w:rPr>
        <w:t>Dh</w:t>
      </w:r>
      <w:r w:rsidRPr="008F03E5">
        <w:t>i’b (“Son of the Wolf”).  The son forbade people from chanting the Muslim Pre-Dawn Prayer because of its mentions of Bahá’.</w:t>
      </w:r>
    </w:p>
    <w:p w14:paraId="27330E3E" w14:textId="77777777" w:rsidR="00625A5B" w:rsidRPr="008F03E5" w:rsidRDefault="00625A5B" w:rsidP="00E548F7">
      <w:pPr>
        <w:pStyle w:val="Translit"/>
        <w:rPr>
          <w:rFonts w:eastAsia="PMingLiU"/>
          <w:lang w:eastAsia="zh-TW"/>
        </w:rPr>
      </w:pPr>
      <w:r w:rsidRPr="008F03E5">
        <w:rPr>
          <w:rFonts w:eastAsia="PMingLiU"/>
          <w:lang w:eastAsia="zh-TW"/>
        </w:rPr>
        <w:t>Dhi’l-Hijjih</w:t>
      </w:r>
      <w:r w:rsidRPr="008F03E5">
        <w:tab/>
      </w:r>
      <w:r w:rsidRPr="008F03E5">
        <w:rPr>
          <w:u w:val="single"/>
        </w:rPr>
        <w:t>Dh</w:t>
      </w:r>
      <w:r w:rsidRPr="008F03E5">
        <w:rPr>
          <w:rFonts w:eastAsia="PMingLiU"/>
          <w:lang w:eastAsia="zh-TW"/>
        </w:rPr>
        <w:t>i’l-</w:t>
      </w:r>
      <w:r w:rsidRPr="008F03E5">
        <w:t>Ḥ</w:t>
      </w:r>
      <w:r w:rsidRPr="008F03E5">
        <w:rPr>
          <w:rFonts w:eastAsia="PMingLiU"/>
          <w:lang w:eastAsia="zh-TW"/>
        </w:rPr>
        <w:t>ijjih</w:t>
      </w:r>
      <w:r w:rsidRPr="008F03E5">
        <w:tab/>
        <w:t>Pers. t</w:t>
      </w:r>
      <w:r w:rsidRPr="008F03E5">
        <w:rPr>
          <w:rFonts w:eastAsia="PMingLiU"/>
          <w:lang w:eastAsia="zh-TW"/>
        </w:rPr>
        <w:t>welfth month in Islamic calendar</w:t>
      </w:r>
    </w:p>
    <w:p w14:paraId="6CB61D71" w14:textId="77777777" w:rsidR="00625A5B" w:rsidRPr="008F03E5" w:rsidRDefault="00625A5B" w:rsidP="00900A82">
      <w:pPr>
        <w:pStyle w:val="Translit"/>
      </w:pPr>
      <w:r w:rsidRPr="008F03E5">
        <w:t>Dhi’l-Jawshan</w:t>
      </w:r>
      <w:r w:rsidRPr="008F03E5">
        <w:tab/>
      </w:r>
      <w:r w:rsidRPr="008F03E5">
        <w:rPr>
          <w:u w:val="single"/>
        </w:rPr>
        <w:t>Dh</w:t>
      </w:r>
      <w:r w:rsidRPr="008F03E5">
        <w:t>i’l-Jaw</w:t>
      </w:r>
      <w:r w:rsidRPr="008F03E5">
        <w:rPr>
          <w:u w:val="single"/>
        </w:rPr>
        <w:t>sh</w:t>
      </w:r>
      <w:r w:rsidRPr="008F03E5">
        <w:t>an</w:t>
      </w:r>
      <w:r w:rsidRPr="008F03E5">
        <w:tab/>
        <w:t>[Ar.] “clad in armour”.  Term applied to Mullá ‘Abdu’lláh the arch-killer of Imám Ḥusayn</w:t>
      </w:r>
    </w:p>
    <w:p w14:paraId="21945C62" w14:textId="77777777" w:rsidR="00625A5B" w:rsidRPr="008F03E5" w:rsidRDefault="00625A5B" w:rsidP="00E548F7">
      <w:pPr>
        <w:pStyle w:val="Translit"/>
        <w:rPr>
          <w:rFonts w:eastAsia="PMingLiU"/>
          <w:lang w:eastAsia="zh-TW"/>
        </w:rPr>
      </w:pPr>
      <w:r w:rsidRPr="008F03E5">
        <w:rPr>
          <w:rFonts w:eastAsia="PMingLiU"/>
          <w:lang w:eastAsia="zh-TW"/>
        </w:rPr>
        <w:t>Dhi’l-Qa’dih</w:t>
      </w:r>
      <w:r w:rsidRPr="008F03E5">
        <w:tab/>
      </w:r>
      <w:r w:rsidRPr="008F03E5">
        <w:rPr>
          <w:u w:val="single"/>
        </w:rPr>
        <w:t>Dh</w:t>
      </w:r>
      <w:r w:rsidRPr="008F03E5">
        <w:rPr>
          <w:rFonts w:eastAsia="PMingLiU"/>
          <w:lang w:eastAsia="zh-TW"/>
        </w:rPr>
        <w:t>i’l-Qa‘dih</w:t>
      </w:r>
      <w:r w:rsidRPr="008F03E5">
        <w:tab/>
        <w:t>Pers. e</w:t>
      </w:r>
      <w:r w:rsidRPr="008F03E5">
        <w:rPr>
          <w:rFonts w:eastAsia="PMingLiU"/>
          <w:lang w:eastAsia="zh-TW"/>
        </w:rPr>
        <w:t>leventh month in Islamic calendar</w:t>
      </w:r>
    </w:p>
    <w:p w14:paraId="53A8D778" w14:textId="77777777" w:rsidR="00625A5B" w:rsidRPr="008F03E5" w:rsidRDefault="00625A5B" w:rsidP="005B1B3F">
      <w:pPr>
        <w:pStyle w:val="Translit"/>
      </w:pPr>
      <w:r w:rsidRPr="008F03E5">
        <w:t>Dhibh</w:t>
      </w:r>
      <w:r w:rsidRPr="008F03E5">
        <w:tab/>
      </w:r>
      <w:r w:rsidRPr="008F03E5">
        <w:rPr>
          <w:u w:val="single"/>
        </w:rPr>
        <w:t>Dh</w:t>
      </w:r>
      <w:r w:rsidRPr="008F03E5">
        <w:t>ibḥ</w:t>
      </w:r>
      <w:r w:rsidRPr="008F03E5">
        <w:tab/>
        <w:t>sacrificial victim, blood sacrifice</w:t>
      </w:r>
    </w:p>
    <w:p w14:paraId="0F5EF575" w14:textId="77777777" w:rsidR="00625A5B" w:rsidRPr="008F03E5" w:rsidRDefault="00625A5B" w:rsidP="00F241F5">
      <w:pPr>
        <w:pStyle w:val="Translit"/>
      </w:pPr>
      <w:r w:rsidRPr="008F03E5">
        <w:t>Dhikr, Adhkar</w:t>
      </w:r>
      <w:r w:rsidRPr="008F03E5">
        <w:tab/>
      </w:r>
      <w:r w:rsidRPr="008F03E5">
        <w:rPr>
          <w:u w:val="single"/>
        </w:rPr>
        <w:t>Dh</w:t>
      </w:r>
      <w:r w:rsidRPr="008F03E5">
        <w:t>ikr, pl. A</w:t>
      </w:r>
      <w:r w:rsidRPr="008F03E5">
        <w:rPr>
          <w:u w:val="single"/>
        </w:rPr>
        <w:t>dh</w:t>
      </w:r>
      <w:r w:rsidRPr="008F03E5">
        <w:t>kár</w:t>
      </w:r>
      <w:r w:rsidRPr="008F03E5">
        <w:tab/>
      </w:r>
      <w:bookmarkStart w:id="66" w:name="_Hlk54427516"/>
      <w:r w:rsidRPr="008F03E5">
        <w:t>recollection, remembrance (e.g of God), reminiscence, memory, commemoration</w:t>
      </w:r>
      <w:bookmarkEnd w:id="66"/>
      <w:r w:rsidRPr="008F03E5">
        <w:t>; reputation, repute, renown; naming, stating, mention(ing), quoting, citation; report, account, narration, narrative; invocation of God, mention of the Lord’s name; (in Sufism) incessant repetition of certain words or formulae in praise of God, often accompanied by music and dancing.  A name of the Qur’án.</w:t>
      </w:r>
    </w:p>
    <w:p w14:paraId="48FB3B55" w14:textId="77777777" w:rsidR="00625A5B" w:rsidRPr="008F03E5" w:rsidRDefault="00625A5B" w:rsidP="00486683">
      <w:pPr>
        <w:pStyle w:val="Translit"/>
      </w:pPr>
      <w:r w:rsidRPr="008F03E5">
        <w:t>Dhikra, Dhikayat</w:t>
      </w:r>
      <w:r w:rsidRPr="008F03E5">
        <w:tab/>
      </w:r>
      <w:r w:rsidRPr="008F03E5">
        <w:rPr>
          <w:u w:val="single"/>
        </w:rPr>
        <w:t>Dh</w:t>
      </w:r>
      <w:r w:rsidRPr="008F03E5">
        <w:t xml:space="preserve">ikrá, pl. </w:t>
      </w:r>
      <w:r w:rsidRPr="008F03E5">
        <w:rPr>
          <w:u w:val="single"/>
        </w:rPr>
        <w:t>Dh</w:t>
      </w:r>
      <w:r w:rsidRPr="008F03E5">
        <w:t>ikrayát</w:t>
      </w:r>
      <w:r w:rsidRPr="008F03E5">
        <w:tab/>
      </w:r>
      <w:bookmarkStart w:id="67" w:name="_Hlk54427547"/>
      <w:r w:rsidRPr="008F03E5">
        <w:t>remembrance, recollection, memory</w:t>
      </w:r>
      <w:bookmarkEnd w:id="67"/>
      <w:r w:rsidRPr="008F03E5">
        <w:t>;—pl. reminiscences, memoirs</w:t>
      </w:r>
    </w:p>
    <w:p w14:paraId="691FFDB3" w14:textId="77777777" w:rsidR="00625A5B" w:rsidRPr="008F03E5" w:rsidRDefault="00625A5B" w:rsidP="00A208A3">
      <w:pPr>
        <w:pStyle w:val="Translit"/>
      </w:pPr>
      <w:r w:rsidRPr="008F03E5">
        <w:t>Dhikran</w:t>
      </w:r>
      <w:r w:rsidRPr="008F03E5">
        <w:tab/>
      </w:r>
      <w:r w:rsidRPr="008F03E5">
        <w:rPr>
          <w:u w:val="single"/>
        </w:rPr>
        <w:t>Dh</w:t>
      </w:r>
      <w:r w:rsidRPr="008F03E5">
        <w:t>ikrán</w:t>
      </w:r>
      <w:r w:rsidRPr="008F03E5">
        <w:tab/>
        <w:t>remembrance</w:t>
      </w:r>
    </w:p>
    <w:p w14:paraId="0B54A35B" w14:textId="77777777" w:rsidR="00625A5B" w:rsidRPr="008F03E5" w:rsidRDefault="00625A5B" w:rsidP="00EF05B8">
      <w:pPr>
        <w:pStyle w:val="Translit"/>
      </w:pPr>
      <w:r w:rsidRPr="008F03E5">
        <w:t>Dhikriya, Dhikriyya (Dhikriyyih)</w:t>
      </w:r>
      <w:r w:rsidRPr="008F03E5">
        <w:tab/>
      </w:r>
      <w:r w:rsidRPr="008F03E5">
        <w:rPr>
          <w:u w:val="single"/>
        </w:rPr>
        <w:t>Dh</w:t>
      </w:r>
      <w:r w:rsidRPr="008F03E5">
        <w:t xml:space="preserve">ikríya, Pers. </w:t>
      </w:r>
      <w:r w:rsidRPr="008F03E5">
        <w:rPr>
          <w:u w:val="single"/>
        </w:rPr>
        <w:t>Dh</w:t>
      </w:r>
      <w:r w:rsidRPr="008F03E5">
        <w:t>ikriyya</w:t>
      </w:r>
      <w:r w:rsidRPr="008F03E5">
        <w:tab/>
        <w:t>remembrance</w:t>
      </w:r>
    </w:p>
    <w:p w14:paraId="490BA00B" w14:textId="77777777" w:rsidR="00625A5B" w:rsidRPr="008F03E5" w:rsidRDefault="00625A5B" w:rsidP="00A24426">
      <w:pPr>
        <w:pStyle w:val="Translit"/>
      </w:pPr>
      <w:r w:rsidRPr="008F03E5">
        <w:t>Dhikru’llah (Dhikr Allah</w:t>
      </w:r>
      <w:r>
        <w:t>, Zikhru’llah</w:t>
      </w:r>
      <w:r w:rsidRPr="008F03E5">
        <w:t>)</w:t>
      </w:r>
      <w:r w:rsidRPr="008F03E5">
        <w:tab/>
      </w:r>
      <w:bookmarkStart w:id="68" w:name="_Hlk54427247"/>
      <w:r w:rsidRPr="008F03E5">
        <w:rPr>
          <w:u w:val="single"/>
        </w:rPr>
        <w:t>Dh</w:t>
      </w:r>
      <w:r w:rsidRPr="008F03E5">
        <w:t>ikru’lláh</w:t>
      </w:r>
      <w:bookmarkEnd w:id="68"/>
      <w:r w:rsidRPr="008F03E5">
        <w:t xml:space="preserve"> (</w:t>
      </w:r>
      <w:r w:rsidRPr="008F03E5">
        <w:rPr>
          <w:u w:val="single"/>
        </w:rPr>
        <w:t>Dh</w:t>
      </w:r>
      <w:r w:rsidRPr="008F03E5">
        <w:t>ikr Alláh)</w:t>
      </w:r>
      <w:r w:rsidRPr="008F03E5">
        <w:tab/>
        <w:t>“Remembrance of God” (Pers. Zikru’lláh), an early title used by the Báb</w:t>
      </w:r>
      <w:r>
        <w:t xml:space="preserve">.  </w:t>
      </w:r>
      <w:r w:rsidRPr="008F03E5">
        <w:t>Zikru’lláh</w:t>
      </w:r>
      <w:r>
        <w:t xml:space="preserve"> </w:t>
      </w:r>
      <w:r w:rsidRPr="00A24426">
        <w:rPr>
          <w:u w:val="single"/>
        </w:rPr>
        <w:t>Kh</w:t>
      </w:r>
      <w:r w:rsidRPr="00A24426">
        <w:t>á</w:t>
      </w:r>
      <w:r>
        <w:t>dim (</w:t>
      </w:r>
      <w:r w:rsidRPr="007553E4">
        <w:t>Zikrullah Khadem</w:t>
      </w:r>
      <w:r>
        <w:t>, 1904–1986) Hand of the Cause of God.</w:t>
      </w:r>
    </w:p>
    <w:p w14:paraId="5E07927F" w14:textId="77777777" w:rsidR="00625A5B" w:rsidRPr="00A24426" w:rsidRDefault="00625A5B" w:rsidP="00900A82">
      <w:pPr>
        <w:pStyle w:val="Translit"/>
        <w:rPr>
          <w:rFonts w:eastAsia="PMingLiU"/>
          <w:lang w:eastAsia="zh-TW"/>
        </w:rPr>
      </w:pPr>
      <w:r w:rsidRPr="00A24426">
        <w:rPr>
          <w:rFonts w:eastAsia="PMingLiU"/>
          <w:lang w:eastAsia="zh-TW"/>
        </w:rPr>
        <w:t>Dhikru’ll</w:t>
      </w:r>
      <w:r w:rsidRPr="00A24426">
        <w:t>a</w:t>
      </w:r>
      <w:r w:rsidRPr="00A24426">
        <w:rPr>
          <w:rFonts w:eastAsia="PMingLiU"/>
          <w:lang w:eastAsia="zh-TW"/>
        </w:rPr>
        <w:t>h-i-A’zam</w:t>
      </w:r>
      <w:r w:rsidRPr="00A24426">
        <w:tab/>
      </w:r>
      <w:r w:rsidRPr="00A24426">
        <w:rPr>
          <w:u w:val="single"/>
        </w:rPr>
        <w:t>Dh</w:t>
      </w:r>
      <w:r w:rsidRPr="00A24426">
        <w:rPr>
          <w:rFonts w:eastAsia="PMingLiU"/>
          <w:lang w:eastAsia="zh-TW"/>
        </w:rPr>
        <w:t>ikru’ll</w:t>
      </w:r>
      <w:r w:rsidRPr="00A24426">
        <w:t>á</w:t>
      </w:r>
      <w:r w:rsidRPr="00A24426">
        <w:rPr>
          <w:rFonts w:eastAsia="PMingLiU"/>
          <w:lang w:eastAsia="zh-TW"/>
        </w:rPr>
        <w:t>h-i-A‘</w:t>
      </w:r>
      <w:r w:rsidRPr="00A24426">
        <w:t>ẓ</w:t>
      </w:r>
      <w:r w:rsidRPr="00A24426">
        <w:rPr>
          <w:rFonts w:eastAsia="PMingLiU"/>
          <w:lang w:eastAsia="zh-TW"/>
        </w:rPr>
        <w:t>am</w:t>
      </w:r>
      <w:r w:rsidRPr="00A24426">
        <w:tab/>
        <w:t>“Gre</w:t>
      </w:r>
      <w:r>
        <w:t xml:space="preserve">ater remembrance of God”, term used by Siyyid </w:t>
      </w:r>
      <w:r w:rsidRPr="008F03E5">
        <w:t>Káẓim</w:t>
      </w:r>
      <w:r>
        <w:t xml:space="preserve"> to refer to the Báb.</w:t>
      </w:r>
    </w:p>
    <w:p w14:paraId="638BFD6F" w14:textId="77777777" w:rsidR="00625A5B" w:rsidRPr="008F03E5" w:rsidRDefault="00625A5B" w:rsidP="00B87BE3">
      <w:pPr>
        <w:pStyle w:val="Translit"/>
      </w:pPr>
      <w:r w:rsidRPr="008F03E5">
        <w:t>Dhimmi, Dhimmiyun</w:t>
      </w:r>
      <w:r w:rsidRPr="008F03E5">
        <w:tab/>
      </w:r>
      <w:r w:rsidRPr="008F03E5">
        <w:rPr>
          <w:u w:val="single"/>
        </w:rPr>
        <w:t>Dh</w:t>
      </w:r>
      <w:r w:rsidRPr="008F03E5">
        <w:t xml:space="preserve">immí, pl. </w:t>
      </w:r>
      <w:r w:rsidRPr="008F03E5">
        <w:rPr>
          <w:u w:val="single"/>
        </w:rPr>
        <w:t>Dh</w:t>
      </w:r>
      <w:r w:rsidRPr="008F03E5">
        <w:t>immíyún</w:t>
      </w:r>
      <w:r w:rsidRPr="008F03E5">
        <w:tab/>
        <w:t>a non-Muslim, but follower of another religion mentioned in the Qur’án, who lives as a protected subject in an Islamic state</w:t>
      </w:r>
    </w:p>
    <w:p w14:paraId="0C86695D" w14:textId="77777777" w:rsidR="00625A5B" w:rsidRPr="008F03E5" w:rsidRDefault="00625A5B" w:rsidP="00B21FD6">
      <w:pPr>
        <w:pStyle w:val="Translit"/>
      </w:pPr>
      <w:r w:rsidRPr="008F03E5">
        <w:t>Dhira’, Adhru’, Dhur’an</w:t>
      </w:r>
      <w:r w:rsidRPr="008F03E5">
        <w:tab/>
      </w:r>
      <w:r w:rsidRPr="008F03E5">
        <w:rPr>
          <w:u w:val="single"/>
        </w:rPr>
        <w:t>Dh</w:t>
      </w:r>
      <w:r w:rsidRPr="008F03E5">
        <w:t>irá‘, pl. A</w:t>
      </w:r>
      <w:r w:rsidRPr="008F03E5">
        <w:rPr>
          <w:u w:val="single"/>
        </w:rPr>
        <w:t>dh</w:t>
      </w:r>
      <w:r w:rsidRPr="008F03E5">
        <w:t xml:space="preserve">ru‘, </w:t>
      </w:r>
      <w:r w:rsidRPr="008F03E5">
        <w:rPr>
          <w:u w:val="single"/>
        </w:rPr>
        <w:t>Dh</w:t>
      </w:r>
      <w:r w:rsidRPr="008F03E5">
        <w:t>ur‘án</w:t>
      </w:r>
      <w:r w:rsidRPr="008F03E5">
        <w:tab/>
        <w:t>arm; forearm; connecting rod; cubit</w:t>
      </w:r>
    </w:p>
    <w:p w14:paraId="1B84C6B1" w14:textId="77777777" w:rsidR="00625A5B" w:rsidRPr="008F03E5" w:rsidRDefault="00625A5B" w:rsidP="00A8177E">
      <w:pPr>
        <w:pStyle w:val="Translit"/>
      </w:pPr>
      <w:r w:rsidRPr="008F03E5">
        <w:t>Dhu, Dhi, Dha, Dhat, Dhawu, Ulu, Dhawat</w:t>
      </w:r>
      <w:r w:rsidRPr="008F03E5">
        <w:tab/>
      </w:r>
      <w:r w:rsidRPr="008F03E5">
        <w:rPr>
          <w:u w:val="single"/>
        </w:rPr>
        <w:t>Dh</w:t>
      </w:r>
      <w:r w:rsidRPr="008F03E5">
        <w:t xml:space="preserve">ú gen., </w:t>
      </w:r>
      <w:r w:rsidRPr="008F03E5">
        <w:rPr>
          <w:u w:val="single"/>
        </w:rPr>
        <w:t>Dh</w:t>
      </w:r>
      <w:r w:rsidRPr="008F03E5">
        <w:t xml:space="preserve">í accus., fem. </w:t>
      </w:r>
      <w:r w:rsidRPr="008F03E5">
        <w:rPr>
          <w:u w:val="single"/>
        </w:rPr>
        <w:t>Dh</w:t>
      </w:r>
      <w:r w:rsidRPr="008F03E5">
        <w:t xml:space="preserve">á, </w:t>
      </w:r>
      <w:r w:rsidRPr="008F03E5">
        <w:rPr>
          <w:u w:val="single"/>
        </w:rPr>
        <w:t>Dh</w:t>
      </w:r>
      <w:r w:rsidRPr="008F03E5">
        <w:t>át</w:t>
      </w:r>
      <w:r w:rsidRPr="008F03E5">
        <w:tab/>
        <w:t xml:space="preserve">pl. masc. </w:t>
      </w:r>
      <w:r w:rsidRPr="008F03E5">
        <w:rPr>
          <w:u w:val="single"/>
        </w:rPr>
        <w:t>Dh</w:t>
      </w:r>
      <w:r w:rsidRPr="008F03E5">
        <w:t xml:space="preserve">át, </w:t>
      </w:r>
      <w:r w:rsidRPr="008F03E5">
        <w:rPr>
          <w:u w:val="single"/>
        </w:rPr>
        <w:t>Dh</w:t>
      </w:r>
      <w:r w:rsidRPr="008F03E5">
        <w:t xml:space="preserve">awú, Ulú; pl. fem. </w:t>
      </w:r>
      <w:r w:rsidRPr="008F03E5">
        <w:rPr>
          <w:u w:val="single"/>
        </w:rPr>
        <w:t>Dh</w:t>
      </w:r>
      <w:r w:rsidRPr="008F03E5">
        <w:t xml:space="preserve">awát (with following genitive) possessor, owner, holder or master of, endowed or provided with, embodying or comprising something.  </w:t>
      </w:r>
      <w:r w:rsidRPr="008F03E5">
        <w:rPr>
          <w:rFonts w:eastAsia="Times New Roman"/>
        </w:rPr>
        <w:t xml:space="preserve">ulú’l-amr (“ulu’l-amr”), the companions of Muhammad; also their followers in learning and authority. </w:t>
      </w:r>
      <w:r w:rsidRPr="008F03E5">
        <w:t xml:space="preserve"> </w:t>
      </w:r>
      <w:r w:rsidRPr="008F03E5">
        <w:rPr>
          <w:rFonts w:eastAsia="Times New Roman"/>
        </w:rPr>
        <w:t xml:space="preserve">ulú’l-‘azm (“ulu’l-‘azm”), those resolved to obey the commands of God (Noah, Abraham, Moses, and Muhammad); those with constancy and patience (Noah, Abraham, Isaac, Jacob, Joseph, Job, Moses, David and Jesus).  </w:t>
      </w:r>
      <w:r w:rsidRPr="008F03E5">
        <w:t xml:space="preserve">See </w:t>
      </w:r>
      <w:r w:rsidRPr="008F03E5">
        <w:rPr>
          <w:u w:val="single"/>
        </w:rPr>
        <w:t>Dh</w:t>
      </w:r>
      <w:r w:rsidRPr="008F03E5">
        <w:t xml:space="preserve">át for fem. examples:  </w:t>
      </w:r>
      <w:r w:rsidRPr="008F03E5">
        <w:rPr>
          <w:u w:val="single"/>
        </w:rPr>
        <w:t>dh</w:t>
      </w:r>
      <w:r w:rsidRPr="008F03E5">
        <w:rPr>
          <w:rFonts w:eastAsia="Times New Roman"/>
        </w:rPr>
        <w:t>ú a</w:t>
      </w:r>
      <w:r w:rsidRPr="008F03E5">
        <w:t>ḍ</w:t>
      </w:r>
      <w:r w:rsidRPr="008F03E5">
        <w:rPr>
          <w:rFonts w:eastAsia="Times New Roman"/>
        </w:rPr>
        <w:t xml:space="preserve">‘áf, </w:t>
      </w:r>
      <w:r w:rsidRPr="008F03E5">
        <w:rPr>
          <w:u w:val="single"/>
        </w:rPr>
        <w:t>dh</w:t>
      </w:r>
      <w:r w:rsidRPr="008F03E5">
        <w:rPr>
          <w:rFonts w:eastAsia="Times New Roman"/>
        </w:rPr>
        <w:t>ú’l-jalál,</w:t>
      </w:r>
      <w:r w:rsidRPr="008F03E5">
        <w:t xml:space="preserve"> </w:t>
      </w:r>
      <w:r w:rsidRPr="008F03E5">
        <w:rPr>
          <w:u w:val="single"/>
        </w:rPr>
        <w:t>dh</w:t>
      </w:r>
      <w:r w:rsidRPr="008F03E5">
        <w:t>ú’n-najmat.</w:t>
      </w:r>
    </w:p>
    <w:p w14:paraId="4FC726BA" w14:textId="77777777" w:rsidR="00625A5B" w:rsidRPr="008F03E5" w:rsidRDefault="00625A5B" w:rsidP="0024732B">
      <w:pPr>
        <w:pStyle w:val="Translit"/>
      </w:pPr>
      <w:r w:rsidRPr="008F03E5">
        <w:t>Dhu’l-Awtad</w:t>
      </w:r>
      <w:r w:rsidRPr="008F03E5">
        <w:tab/>
      </w:r>
      <w:r w:rsidRPr="008F03E5">
        <w:rPr>
          <w:u w:val="single"/>
        </w:rPr>
        <w:t>Dh</w:t>
      </w:r>
      <w:r w:rsidRPr="008F03E5">
        <w:t>u’l-Awtád</w:t>
      </w:r>
      <w:r w:rsidRPr="008F03E5">
        <w:tab/>
        <w:t>is variously rendered by translators of the Qur’án as The Impaler, The Contriver of the Stakes, The Lord of a Strong Dominion, The One Surrounded by Ministers, etc.</w:t>
      </w:r>
    </w:p>
    <w:p w14:paraId="262590C7" w14:textId="77777777" w:rsidR="00625A5B" w:rsidRDefault="00625A5B" w:rsidP="000558A9">
      <w:pPr>
        <w:pStyle w:val="Translit"/>
      </w:pPr>
      <w:r w:rsidRPr="008F03E5">
        <w:rPr>
          <w:rFonts w:eastAsia="PMingLiU"/>
          <w:lang w:eastAsia="zh-TW"/>
        </w:rPr>
        <w:t>Dhu’l-Faq</w:t>
      </w:r>
      <w:r w:rsidRPr="008F03E5">
        <w:t>a</w:t>
      </w:r>
      <w:r w:rsidRPr="008F03E5">
        <w:rPr>
          <w:rFonts w:eastAsia="PMingLiU"/>
          <w:lang w:eastAsia="zh-TW"/>
        </w:rPr>
        <w:t>r</w:t>
      </w:r>
      <w:r w:rsidRPr="008F03E5">
        <w:t xml:space="preserve"> (Zulfiqar, Dhulfiqar</w:t>
      </w:r>
      <w:r w:rsidRPr="008F03E5">
        <w:rPr>
          <w:rFonts w:eastAsia="PMingLiU"/>
          <w:lang w:eastAsia="zh-TW"/>
        </w:rPr>
        <w:t>)</w:t>
      </w:r>
      <w:r w:rsidRPr="008F03E5">
        <w:tab/>
      </w:r>
      <w:r w:rsidRPr="008F03E5">
        <w:rPr>
          <w:u w:val="single"/>
        </w:rPr>
        <w:t>Dh</w:t>
      </w:r>
      <w:r w:rsidRPr="008F03E5">
        <w:rPr>
          <w:rFonts w:eastAsia="PMingLiU"/>
          <w:lang w:eastAsia="zh-TW"/>
        </w:rPr>
        <w:t>u’l-Faq</w:t>
      </w:r>
      <w:r w:rsidRPr="008F03E5">
        <w:t>á</w:t>
      </w:r>
      <w:r w:rsidRPr="008F03E5">
        <w:rPr>
          <w:rFonts w:eastAsia="PMingLiU"/>
          <w:lang w:eastAsia="zh-TW"/>
        </w:rPr>
        <w:t>r</w:t>
      </w:r>
      <w:r w:rsidRPr="008F03E5">
        <w:tab/>
        <w:t xml:space="preserve">“that which possesses a spine”. </w:t>
      </w:r>
      <w:r>
        <w:t xml:space="preserve"> </w:t>
      </w:r>
      <w:r w:rsidRPr="008F03E5">
        <w:t>The name of the well-known sword of Muḥammad and Imám ‘Alí.  So named because it had projections and jags, like the spinal cord, on its back.</w:t>
      </w:r>
    </w:p>
    <w:p w14:paraId="0A2FE8A7" w14:textId="77777777" w:rsidR="00625A5B" w:rsidRPr="008F03E5" w:rsidRDefault="00625A5B" w:rsidP="00DA29DE">
      <w:pPr>
        <w:pStyle w:val="Translit"/>
        <w:rPr>
          <w:rFonts w:eastAsia="PMingLiU"/>
          <w:lang w:eastAsia="zh-TW"/>
        </w:rPr>
      </w:pPr>
      <w:r w:rsidRPr="00C5139B">
        <w:t>Dhu’l-Faq</w:t>
      </w:r>
      <w:r>
        <w:t>a</w:t>
      </w:r>
      <w:r w:rsidRPr="00C5139B">
        <w:t>r Kh</w:t>
      </w:r>
      <w:r>
        <w:t>a</w:t>
      </w:r>
      <w:r w:rsidRPr="000771B2">
        <w:t>n</w:t>
      </w:r>
      <w:r>
        <w:tab/>
      </w:r>
      <w:r w:rsidRPr="000771B2">
        <w:rPr>
          <w:u w:val="single"/>
        </w:rPr>
        <w:t>Dh</w:t>
      </w:r>
      <w:r w:rsidRPr="000771B2">
        <w:t xml:space="preserve">u’l-Faqár </w:t>
      </w:r>
      <w:r w:rsidRPr="000771B2">
        <w:rPr>
          <w:u w:val="single"/>
        </w:rPr>
        <w:t>Kh</w:t>
      </w:r>
      <w:r w:rsidRPr="000771B2">
        <w:t>án</w:t>
      </w:r>
      <w:r>
        <w:tab/>
        <w:t xml:space="preserve">Fort in “vicinity” of </w:t>
      </w:r>
      <w:r w:rsidRPr="000771B2">
        <w:rPr>
          <w:u w:val="single"/>
        </w:rPr>
        <w:t>Sh</w:t>
      </w:r>
      <w:r w:rsidRPr="000771B2">
        <w:t>áhrúd</w:t>
      </w:r>
      <w:r>
        <w:t xml:space="preserve">.  Possibly </w:t>
      </w:r>
      <w:r w:rsidRPr="00DA29DE">
        <w:t>Qal</w:t>
      </w:r>
      <w:r>
        <w:t>‘ah</w:t>
      </w:r>
      <w:r w:rsidRPr="00DA29DE">
        <w:t xml:space="preserve"> </w:t>
      </w:r>
      <w:r>
        <w:t>Naw-Rúz</w:t>
      </w:r>
      <w:r w:rsidRPr="00DA29DE">
        <w:t xml:space="preserve"> </w:t>
      </w:r>
      <w:r w:rsidRPr="00DA29DE">
        <w:rPr>
          <w:u w:val="single"/>
        </w:rPr>
        <w:t>Kh</w:t>
      </w:r>
      <w:r w:rsidRPr="00DA29DE">
        <w:t>án</w:t>
      </w:r>
      <w:r>
        <w:t xml:space="preserve"> (</w:t>
      </w:r>
      <w:r w:rsidRPr="00DA29DE">
        <w:t>36.405557, 54.965566</w:t>
      </w:r>
      <w:r>
        <w:t xml:space="preserve">), </w:t>
      </w:r>
      <w:r w:rsidRPr="000771B2">
        <w:rPr>
          <w:u w:val="single"/>
        </w:rPr>
        <w:t>Sh</w:t>
      </w:r>
      <w:r w:rsidRPr="000771B2">
        <w:t>áhrúd</w:t>
      </w:r>
      <w:r>
        <w:t>.</w:t>
      </w:r>
    </w:p>
    <w:p w14:paraId="6AFD17A5" w14:textId="77777777" w:rsidR="00625A5B" w:rsidRPr="008F03E5" w:rsidRDefault="00625A5B" w:rsidP="00CA2D70">
      <w:pPr>
        <w:pStyle w:val="Translit"/>
        <w:rPr>
          <w:rFonts w:eastAsia="PMingLiU"/>
          <w:lang w:eastAsia="zh-TW"/>
        </w:rPr>
      </w:pPr>
      <w:r w:rsidRPr="008F03E5">
        <w:rPr>
          <w:rFonts w:eastAsia="PMingLiU"/>
          <w:lang w:eastAsia="zh-TW"/>
        </w:rPr>
        <w:t>Dhu’l-Hijjah, Dhu’l-Hijjih</w:t>
      </w:r>
      <w:r w:rsidRPr="008F03E5">
        <w:tab/>
      </w:r>
      <w:r w:rsidRPr="008F03E5">
        <w:rPr>
          <w:rFonts w:eastAsia="PMingLiU"/>
          <w:u w:val="single"/>
          <w:lang w:eastAsia="zh-TW"/>
        </w:rPr>
        <w:t>Dh</w:t>
      </w:r>
      <w:r w:rsidRPr="008F03E5">
        <w:rPr>
          <w:rFonts w:eastAsia="PMingLiU"/>
          <w:lang w:eastAsia="zh-TW"/>
        </w:rPr>
        <w:t>u’l-</w:t>
      </w:r>
      <w:r w:rsidRPr="008F03E5">
        <w:t>Ḥ</w:t>
      </w:r>
      <w:r w:rsidRPr="008F03E5">
        <w:rPr>
          <w:rFonts w:eastAsia="PMingLiU"/>
          <w:lang w:eastAsia="zh-TW"/>
        </w:rPr>
        <w:t xml:space="preserve">ijjah (Pers. </w:t>
      </w:r>
      <w:r w:rsidRPr="008F03E5">
        <w:rPr>
          <w:rFonts w:eastAsia="PMingLiU"/>
          <w:u w:val="single"/>
          <w:lang w:eastAsia="zh-TW"/>
        </w:rPr>
        <w:t>Dh</w:t>
      </w:r>
      <w:r w:rsidRPr="008F03E5">
        <w:rPr>
          <w:rFonts w:eastAsia="PMingLiU"/>
          <w:lang w:eastAsia="zh-TW"/>
        </w:rPr>
        <w:t>u’l-</w:t>
      </w:r>
      <w:r w:rsidRPr="008F03E5">
        <w:t>Ḥ</w:t>
      </w:r>
      <w:r w:rsidRPr="008F03E5">
        <w:rPr>
          <w:rFonts w:eastAsia="PMingLiU"/>
          <w:lang w:eastAsia="zh-TW"/>
        </w:rPr>
        <w:t>ijjih)</w:t>
      </w:r>
      <w:r w:rsidRPr="008F03E5">
        <w:tab/>
        <w:t>twelfth month of Islamic calendar (the one of pilgrimage or “Possessor of the Pilgrimage”)</w:t>
      </w:r>
    </w:p>
    <w:p w14:paraId="0A811200" w14:textId="77777777" w:rsidR="00625A5B" w:rsidRPr="008F03E5" w:rsidRDefault="00625A5B" w:rsidP="00E548F7">
      <w:pPr>
        <w:pStyle w:val="Translit"/>
      </w:pPr>
      <w:r w:rsidRPr="008F03E5">
        <w:t>Dhu’l-Qa‘da</w:t>
      </w:r>
      <w:r w:rsidRPr="008F03E5">
        <w:tab/>
      </w:r>
      <w:r w:rsidRPr="008F03E5">
        <w:rPr>
          <w:u w:val="single"/>
        </w:rPr>
        <w:t>Dh</w:t>
      </w:r>
      <w:r w:rsidRPr="008F03E5">
        <w:t>u’l-Qa‘da</w:t>
      </w:r>
      <w:r w:rsidRPr="008F03E5">
        <w:tab/>
        <w:t>eleventh month of Islamic calendar (the one of truce/sitting)</w:t>
      </w:r>
    </w:p>
    <w:p w14:paraId="149C439F" w14:textId="77777777" w:rsidR="00625A5B" w:rsidRPr="008F03E5" w:rsidRDefault="00625A5B" w:rsidP="0072538D">
      <w:pPr>
        <w:pStyle w:val="Translit"/>
      </w:pPr>
      <w:r w:rsidRPr="008F03E5">
        <w:t>Dhu’l-Qarnayn, Dhu’l-Qarnain</w:t>
      </w:r>
      <w:r w:rsidRPr="008F03E5">
        <w:tab/>
      </w:r>
      <w:r w:rsidRPr="008F03E5">
        <w:rPr>
          <w:u w:val="single"/>
        </w:rPr>
        <w:t>Dh</w:t>
      </w:r>
      <w:r w:rsidRPr="008F03E5">
        <w:t>u’l-Qarnayn</w:t>
      </w:r>
      <w:r w:rsidRPr="008F03E5">
        <w:tab/>
        <w:t xml:space="preserve">a prophet in Qur’án 18:83–101—”the one with two horns (of the world)” or “He of the Two Ages”.  In traditional scholarship, the character is usually identified as Alexander the Great.  See </w:t>
      </w:r>
      <w:r w:rsidRPr="008F03E5">
        <w:rPr>
          <w:rFonts w:eastAsia="Times New Roman"/>
        </w:rPr>
        <w:t>Sikandar.</w:t>
      </w:r>
    </w:p>
    <w:p w14:paraId="49DAF863" w14:textId="77777777" w:rsidR="00625A5B" w:rsidRPr="008F03E5" w:rsidRDefault="00625A5B" w:rsidP="00143311">
      <w:pPr>
        <w:pStyle w:val="Translit"/>
      </w:pPr>
      <w:r w:rsidRPr="008F03E5">
        <w:t>Dhu’n-Nun, Dha’n-Nun</w:t>
      </w:r>
      <w:r w:rsidRPr="008F03E5">
        <w:tab/>
      </w:r>
      <w:r w:rsidRPr="008F03E5">
        <w:rPr>
          <w:u w:val="single"/>
        </w:rPr>
        <w:t>Dh</w:t>
      </w:r>
      <w:r w:rsidRPr="008F03E5">
        <w:t>ú Nún (</w:t>
      </w:r>
      <w:r w:rsidRPr="008F03E5">
        <w:rPr>
          <w:u w:val="single"/>
        </w:rPr>
        <w:t>Dhú</w:t>
      </w:r>
      <w:r w:rsidRPr="008F03E5">
        <w:t>’n-Nún)</w:t>
      </w:r>
      <w:r w:rsidRPr="008F03E5">
        <w:tab/>
        <w:t xml:space="preserve">fem. </w:t>
      </w:r>
      <w:r w:rsidRPr="008F03E5">
        <w:rPr>
          <w:u w:val="single"/>
        </w:rPr>
        <w:t>Dh</w:t>
      </w:r>
      <w:r w:rsidRPr="008F03E5">
        <w:t>á Nún (</w:t>
      </w:r>
      <w:r w:rsidRPr="008F03E5">
        <w:rPr>
          <w:u w:val="single"/>
        </w:rPr>
        <w:t>Dh</w:t>
      </w:r>
      <w:r w:rsidRPr="008F03E5">
        <w:t xml:space="preserve">á’n-Nún) (“dhu’l-nun”, “dha’l-nun”, “dhul-nun”, “dhal-Nun”, “zu‘l-nun”, “zul-nun”, “thulnoon”, etc.) “him of the fish” or “one with a fish”, the Prophet Jonah.  </w:t>
      </w:r>
      <w:r w:rsidRPr="008F03E5">
        <w:rPr>
          <w:u w:val="single"/>
        </w:rPr>
        <w:t>Dh</w:t>
      </w:r>
      <w:r w:rsidRPr="008F03E5">
        <w:t xml:space="preserve">ú’n-Nún Abú’l-Fayḍ </w:t>
      </w:r>
      <w:r w:rsidRPr="008F03E5">
        <w:rPr>
          <w:u w:val="single"/>
        </w:rPr>
        <w:t>Th</w:t>
      </w:r>
      <w:r w:rsidRPr="008F03E5">
        <w:t>awbán bin Ibráhím al-Miṣrí (d. Giza 245/</w:t>
      </w:r>
      <w:r w:rsidRPr="008F03E5">
        <w:rPr>
          <w:sz w:val="16"/>
          <w:szCs w:val="16"/>
        </w:rPr>
        <w:t>CE</w:t>
      </w:r>
      <w:r w:rsidRPr="008F03E5">
        <w:t xml:space="preserve"> 859 or 248/</w:t>
      </w:r>
      <w:r w:rsidRPr="008F03E5">
        <w:rPr>
          <w:sz w:val="16"/>
          <w:szCs w:val="16"/>
        </w:rPr>
        <w:t>CE</w:t>
      </w:r>
      <w:r w:rsidRPr="008F03E5">
        <w:t xml:space="preserve"> 862), often referred to as </w:t>
      </w:r>
      <w:r w:rsidRPr="008F03E5">
        <w:rPr>
          <w:u w:val="single"/>
        </w:rPr>
        <w:t>Dh</w:t>
      </w:r>
      <w:r w:rsidRPr="008F03E5">
        <w:t>ú’l-Nún al-Miṣrí or Zúl-Nún al-Miṣrí, was an early Egyptian Muslim mystic and ascetic.</w:t>
      </w:r>
    </w:p>
    <w:p w14:paraId="7077CEB2" w14:textId="77777777" w:rsidR="00625A5B" w:rsidRPr="008F03E5" w:rsidRDefault="00625A5B" w:rsidP="004B382A">
      <w:pPr>
        <w:pStyle w:val="Translit"/>
        <w:rPr>
          <w:lang w:eastAsia="en-US"/>
        </w:rPr>
      </w:pPr>
      <w:r w:rsidRPr="008F03E5">
        <w:rPr>
          <w:lang w:eastAsia="en-US"/>
        </w:rPr>
        <w:t>Dhurriya, Dhurriyat, Dharariy</w:t>
      </w:r>
      <w:r w:rsidRPr="008F03E5">
        <w:rPr>
          <w:lang w:eastAsia="en-US"/>
        </w:rPr>
        <w:tab/>
      </w:r>
      <w:r w:rsidRPr="008F03E5">
        <w:rPr>
          <w:u w:val="single"/>
          <w:lang w:eastAsia="en-US"/>
        </w:rPr>
        <w:t>Dh</w:t>
      </w:r>
      <w:r w:rsidRPr="008F03E5">
        <w:rPr>
          <w:lang w:eastAsia="en-US"/>
        </w:rPr>
        <w:t xml:space="preserve">urríya, pl. </w:t>
      </w:r>
      <w:r w:rsidRPr="008F03E5">
        <w:rPr>
          <w:u w:val="single"/>
          <w:lang w:eastAsia="en-US"/>
        </w:rPr>
        <w:t>Dh</w:t>
      </w:r>
      <w:r w:rsidRPr="008F03E5">
        <w:rPr>
          <w:lang w:eastAsia="en-US"/>
        </w:rPr>
        <w:t xml:space="preserve">urríyát, </w:t>
      </w:r>
      <w:r w:rsidRPr="008F03E5">
        <w:rPr>
          <w:u w:val="single"/>
          <w:lang w:eastAsia="en-US"/>
        </w:rPr>
        <w:t>Dh</w:t>
      </w:r>
      <w:r w:rsidRPr="008F03E5">
        <w:rPr>
          <w:lang w:eastAsia="en-US"/>
        </w:rPr>
        <w:t>ar</w:t>
      </w:r>
      <w:r w:rsidRPr="008F03E5">
        <w:t>ár</w:t>
      </w:r>
      <w:r w:rsidRPr="008F03E5">
        <w:rPr>
          <w:lang w:eastAsia="en-US"/>
        </w:rPr>
        <w:t>íy</w:t>
      </w:r>
      <w:r w:rsidRPr="008F03E5">
        <w:rPr>
          <w:lang w:eastAsia="en-US"/>
        </w:rPr>
        <w:tab/>
        <w:t xml:space="preserve">progeny, descendants, children, offspring.  See root </w:t>
      </w:r>
      <w:r w:rsidRPr="008F03E5">
        <w:rPr>
          <w:u w:val="single"/>
          <w:lang w:eastAsia="en-US"/>
        </w:rPr>
        <w:t>Dh</w:t>
      </w:r>
      <w:r w:rsidRPr="008F03E5">
        <w:rPr>
          <w:lang w:eastAsia="en-US"/>
        </w:rPr>
        <w:t>arra</w:t>
      </w:r>
    </w:p>
    <w:p w14:paraId="3F416F9C" w14:textId="77777777" w:rsidR="00625A5B" w:rsidRPr="008F03E5" w:rsidRDefault="00625A5B" w:rsidP="00276506">
      <w:pPr>
        <w:pStyle w:val="Translit"/>
      </w:pPr>
      <w:r w:rsidRPr="008F03E5">
        <w:t>Didan, Didam</w:t>
      </w:r>
      <w:r w:rsidRPr="008F03E5">
        <w:tab/>
        <w:t>Dídan</w:t>
      </w:r>
      <w:r w:rsidRPr="008F03E5">
        <w:tab/>
        <w:t>Pers. to see, look, observe; to perceive, feel; to expect, hope for; to visit (modern colloquialism).  Dídam, saw</w:t>
      </w:r>
      <w:r>
        <w:t xml:space="preserve">.  </w:t>
      </w:r>
      <w:r w:rsidRPr="00660F23">
        <w:rPr>
          <w:lang w:val="en-US" w:eastAsia="en-US"/>
        </w:rPr>
        <w:t>Dídam</w:t>
      </w:r>
      <w:r>
        <w:rPr>
          <w:lang w:val="en-US" w:eastAsia="en-US"/>
        </w:rPr>
        <w:t xml:space="preserve"> </w:t>
      </w:r>
      <w:r w:rsidRPr="00D95097">
        <w:t>í</w:t>
      </w:r>
      <w:r>
        <w:rPr>
          <w:lang w:val="en-US" w:eastAsia="en-US"/>
        </w:rPr>
        <w:t xml:space="preserve">n </w:t>
      </w:r>
      <w:r w:rsidRPr="00660F23">
        <w:rPr>
          <w:lang w:val="en-US" w:eastAsia="en-US"/>
        </w:rPr>
        <w:t>Bahá’u’lláh</w:t>
      </w:r>
      <w:r>
        <w:rPr>
          <w:lang w:val="en-US" w:eastAsia="en-US"/>
        </w:rPr>
        <w:t xml:space="preserve"> a</w:t>
      </w:r>
      <w:r w:rsidRPr="00660F23">
        <w:rPr>
          <w:lang w:val="en-US" w:eastAsia="en-US"/>
        </w:rPr>
        <w:t>st</w:t>
      </w:r>
      <w:r>
        <w:rPr>
          <w:lang w:val="en-US" w:eastAsia="en-US"/>
        </w:rPr>
        <w:t xml:space="preserve">, </w:t>
      </w:r>
      <w:r>
        <w:t>“</w:t>
      </w:r>
      <w:r w:rsidRPr="00307798">
        <w:t>I beh</w:t>
      </w:r>
      <w:r>
        <w:t>e</w:t>
      </w:r>
      <w:r w:rsidRPr="00307798">
        <w:t>ld the countenance of Bah</w:t>
      </w:r>
      <w:r w:rsidRPr="008D03CF">
        <w:t>á</w:t>
      </w:r>
      <w:r>
        <w:t>’</w:t>
      </w:r>
      <w:r w:rsidRPr="00307798">
        <w:t>u</w:t>
      </w:r>
      <w:r>
        <w:t>’</w:t>
      </w:r>
      <w:r w:rsidRPr="00307798">
        <w:t>ll</w:t>
      </w:r>
      <w:r w:rsidRPr="008D03CF">
        <w:t>á</w:t>
      </w:r>
      <w:r w:rsidRPr="00307798">
        <w:t xml:space="preserve">h </w:t>
      </w:r>
      <w:r>
        <w:t>i</w:t>
      </w:r>
      <w:r w:rsidRPr="00307798">
        <w:t>n Him</w:t>
      </w:r>
      <w:r>
        <w:t>”.</w:t>
      </w:r>
    </w:p>
    <w:p w14:paraId="4C63918E" w14:textId="77777777" w:rsidR="00625A5B" w:rsidRPr="008F03E5" w:rsidRDefault="00625A5B" w:rsidP="00A50C13">
      <w:pPr>
        <w:pStyle w:val="Translit"/>
        <w:rPr>
          <w:rFonts w:eastAsia="PMingLiU"/>
          <w:lang w:eastAsia="zh-TW"/>
        </w:rPr>
      </w:pPr>
      <w:r w:rsidRPr="008F03E5">
        <w:t>Didha (Deza, Dezah, Dizah, Dizeh)</w:t>
      </w:r>
      <w:r w:rsidRPr="008F03E5">
        <w:tab/>
        <w:t>Dí</w:t>
      </w:r>
      <w:r w:rsidRPr="008F03E5">
        <w:rPr>
          <w:u w:val="single"/>
        </w:rPr>
        <w:t>dh</w:t>
      </w:r>
      <w:r w:rsidRPr="008F03E5">
        <w:t>a (d-</w:t>
      </w:r>
      <w:r w:rsidRPr="008F03E5">
        <w:rPr>
          <w:u w:val="single"/>
        </w:rPr>
        <w:t>dh</w:t>
      </w:r>
      <w:r w:rsidRPr="008F03E5">
        <w:t>-h)</w:t>
      </w:r>
      <w:r w:rsidRPr="008F03E5">
        <w:tab/>
        <w:t>Pers. a</w:t>
      </w:r>
      <w:r w:rsidRPr="008F03E5">
        <w:rPr>
          <w:rFonts w:eastAsia="Times New Roman"/>
        </w:rPr>
        <w:t xml:space="preserve"> horse or mule of an ash-colour; a dark colour; a fortress</w:t>
      </w:r>
    </w:p>
    <w:p w14:paraId="22D3E548" w14:textId="77777777" w:rsidR="00625A5B" w:rsidRPr="008F03E5" w:rsidRDefault="00625A5B" w:rsidP="00322E88">
      <w:pPr>
        <w:pStyle w:val="Translit"/>
      </w:pPr>
      <w:r w:rsidRPr="008F03E5">
        <w:t>Dighth, Adghath</w:t>
      </w:r>
      <w:r w:rsidRPr="008F03E5">
        <w:tab/>
        <w:t>Ḍi</w:t>
      </w:r>
      <w:r w:rsidRPr="008F03E5">
        <w:rPr>
          <w:u w:val="single"/>
        </w:rPr>
        <w:t>ghth</w:t>
      </w:r>
      <w:r w:rsidRPr="008F03E5">
        <w:t>, pl. Áḍ</w:t>
      </w:r>
      <w:r w:rsidRPr="008F03E5">
        <w:rPr>
          <w:u w:val="single"/>
        </w:rPr>
        <w:t>gh</w:t>
      </w:r>
      <w:r w:rsidRPr="008F03E5">
        <w:t>á</w:t>
      </w:r>
      <w:r w:rsidRPr="008F03E5">
        <w:rPr>
          <w:u w:val="single"/>
        </w:rPr>
        <w:t>th</w:t>
      </w:r>
      <w:r w:rsidRPr="008F03E5">
        <w:rPr>
          <w:rFonts w:eastAsia="Times New Roman"/>
        </w:rPr>
        <w:tab/>
        <w:t xml:space="preserve">a handful of herbs partly green and partly dry.  Also translated as </w:t>
      </w:r>
      <w:r w:rsidRPr="008F03E5">
        <w:t xml:space="preserve">“a handful of worldly goods”.  Word used in </w:t>
      </w:r>
      <w:r w:rsidRPr="008F03E5">
        <w:rPr>
          <w:rFonts w:eastAsia="Times New Roman"/>
        </w:rPr>
        <w:t>Qur’án 38:44.</w:t>
      </w:r>
    </w:p>
    <w:p w14:paraId="360FB5D3" w14:textId="77777777" w:rsidR="00625A5B" w:rsidRPr="008F03E5" w:rsidRDefault="00625A5B" w:rsidP="000B352D">
      <w:pPr>
        <w:pStyle w:val="Translit"/>
      </w:pPr>
      <w:r w:rsidRPr="008F03E5">
        <w:t>Dih (Deh), Dihak</w:t>
      </w:r>
      <w:r w:rsidRPr="008F03E5">
        <w:tab/>
        <w:t>Dih, pl. Dihák</w:t>
      </w:r>
      <w:r w:rsidRPr="008F03E5">
        <w:tab/>
        <w:t>village, country</w:t>
      </w:r>
    </w:p>
    <w:p w14:paraId="13BF421C" w14:textId="77777777" w:rsidR="00625A5B" w:rsidRPr="008F03E5" w:rsidRDefault="00625A5B" w:rsidP="00900A82">
      <w:pPr>
        <w:pStyle w:val="Translit"/>
      </w:pPr>
      <w:r w:rsidRPr="008F03E5">
        <w:t>Dih-Bala</w:t>
      </w:r>
      <w:r w:rsidRPr="008F03E5">
        <w:tab/>
        <w:t>Dih-Bálá</w:t>
      </w:r>
      <w:r w:rsidRPr="008F03E5">
        <w:tab/>
        <w:t>(Deh-i-Bala) common place name in Iran (</w:t>
      </w:r>
      <w:r w:rsidRPr="008F03E5">
        <w:rPr>
          <w:sz w:val="16"/>
          <w:szCs w:val="16"/>
        </w:rPr>
        <w:t>GPB</w:t>
      </w:r>
      <w:r w:rsidRPr="008F03E5">
        <w:t xml:space="preserve"> p. 298)</w:t>
      </w:r>
    </w:p>
    <w:p w14:paraId="2B57F993" w14:textId="77777777" w:rsidR="00625A5B" w:rsidRPr="008F03E5" w:rsidRDefault="00625A5B" w:rsidP="005D0A64">
      <w:pPr>
        <w:pStyle w:val="Translit"/>
      </w:pPr>
      <w:r w:rsidRPr="008F03E5">
        <w:rPr>
          <w:rFonts w:eastAsia="PMingLiU"/>
          <w:lang w:eastAsia="zh-TW"/>
        </w:rPr>
        <w:t>Dih-Ch</w:t>
      </w:r>
      <w:r w:rsidRPr="008F03E5">
        <w:t>a</w:t>
      </w:r>
      <w:r w:rsidRPr="008F03E5">
        <w:rPr>
          <w:rFonts w:eastAsia="PMingLiU"/>
          <w:lang w:eastAsia="zh-TW"/>
        </w:rPr>
        <w:t>h (Deh Chah)</w:t>
      </w:r>
      <w:r w:rsidRPr="008F03E5">
        <w:tab/>
      </w:r>
      <w:r w:rsidRPr="008F03E5">
        <w:rPr>
          <w:rFonts w:eastAsia="PMingLiU"/>
          <w:lang w:eastAsia="zh-TW"/>
        </w:rPr>
        <w:t>Dih-</w:t>
      </w:r>
      <w:r w:rsidRPr="008F03E5">
        <w:rPr>
          <w:u w:val="single"/>
        </w:rPr>
        <w:t>Ch</w:t>
      </w:r>
      <w:r w:rsidRPr="008F03E5">
        <w:t>á</w:t>
      </w:r>
      <w:r w:rsidRPr="008F03E5">
        <w:rPr>
          <w:rFonts w:eastAsia="PMingLiU"/>
          <w:lang w:eastAsia="zh-TW"/>
        </w:rPr>
        <w:t>h</w:t>
      </w:r>
      <w:r w:rsidRPr="008F03E5">
        <w:tab/>
        <w:t xml:space="preserve">a village ((29.367806, 54.464782)) 23 km </w:t>
      </w:r>
      <w:r w:rsidRPr="008F03E5">
        <w:rPr>
          <w:sz w:val="16"/>
          <w:szCs w:val="16"/>
        </w:rPr>
        <w:t>NNE</w:t>
      </w:r>
      <w:r w:rsidRPr="008F03E5">
        <w:t xml:space="preserve"> Nayríz</w:t>
      </w:r>
    </w:p>
    <w:p w14:paraId="690E483A" w14:textId="77777777" w:rsidR="00625A5B" w:rsidRPr="004003CC" w:rsidRDefault="00625A5B" w:rsidP="002E5DEA">
      <w:pPr>
        <w:pStyle w:val="Translit"/>
      </w:pPr>
      <w:r w:rsidRPr="004003CC">
        <w:t>Dihi</w:t>
      </w:r>
      <w:r w:rsidRPr="004003CC">
        <w:tab/>
        <w:t>Díhí</w:t>
      </w:r>
      <w:r w:rsidRPr="004003CC">
        <w:tab/>
        <w:t>peasant, villager</w:t>
      </w:r>
    </w:p>
    <w:p w14:paraId="63F5D261" w14:textId="77777777" w:rsidR="00625A5B" w:rsidRPr="004003CC" w:rsidRDefault="00625A5B" w:rsidP="009F0B0A">
      <w:pPr>
        <w:pStyle w:val="Translit"/>
      </w:pPr>
      <w:r w:rsidRPr="004003CC">
        <w:t>Dih-Mulla (Deh-Mulla)</w:t>
      </w:r>
      <w:r w:rsidRPr="004003CC">
        <w:tab/>
        <w:t>Dih-Mullá</w:t>
      </w:r>
      <w:r w:rsidRPr="004003CC">
        <w:tab/>
        <w:t>Pers. a small village (36.272722, 54.755498) in Semnan Province</w:t>
      </w:r>
    </w:p>
    <w:p w14:paraId="6894AFFF" w14:textId="77777777" w:rsidR="00625A5B" w:rsidRPr="008F03E5" w:rsidRDefault="00625A5B" w:rsidP="00D9184D">
      <w:pPr>
        <w:pStyle w:val="Translit"/>
      </w:pPr>
      <w:r w:rsidRPr="004003CC">
        <w:t>Dihqan, Dahaqina, Dahqin, Duhqan</w:t>
      </w:r>
      <w:r w:rsidRPr="004003CC">
        <w:tab/>
        <w:t xml:space="preserve">Dihqán, pl. </w:t>
      </w:r>
      <w:r w:rsidRPr="008F03E5">
        <w:t>Daháqina, Daháqín</w:t>
      </w:r>
      <w:r w:rsidRPr="008F03E5">
        <w:tab/>
        <w:t>man of importance, one who plays an important role, leading personality; grandee (in ancient Persia).  Pers.:  also duhqán (from Per. dih-</w:t>
      </w:r>
      <w:r w:rsidRPr="008F03E5">
        <w:rPr>
          <w:u w:val="single"/>
        </w:rPr>
        <w:t>kh</w:t>
      </w:r>
      <w:r w:rsidRPr="008F03E5">
        <w:t>án or dihgán), chief man or magistrate of a village, prince or head of the farmers (among the Persians); a husbandman, cultivator of the ground; a historian; a minstrel, bard.</w:t>
      </w:r>
    </w:p>
    <w:p w14:paraId="2B30C4E5" w14:textId="77777777" w:rsidR="00625A5B" w:rsidRPr="008F03E5" w:rsidRDefault="00625A5B" w:rsidP="00D9184D">
      <w:pPr>
        <w:pStyle w:val="Translit"/>
        <w:rPr>
          <w:rFonts w:eastAsia="PMingLiU"/>
          <w:lang w:eastAsia="zh-TW"/>
        </w:rPr>
      </w:pPr>
      <w:r w:rsidRPr="008F03E5">
        <w:rPr>
          <w:rFonts w:eastAsia="PMingLiU"/>
          <w:lang w:eastAsia="zh-TW"/>
        </w:rPr>
        <w:t>Dihqani, Dahqani</w:t>
      </w:r>
      <w:r w:rsidRPr="008F03E5">
        <w:tab/>
        <w:t xml:space="preserve">Dihqání, </w:t>
      </w:r>
      <w:r w:rsidRPr="008F03E5">
        <w:rPr>
          <w:rFonts w:eastAsia="PMingLiU"/>
          <w:lang w:eastAsia="zh-TW"/>
        </w:rPr>
        <w:t>Dahqání</w:t>
      </w:r>
      <w:r w:rsidRPr="008F03E5">
        <w:tab/>
        <w:t xml:space="preserve">(Ar. element) </w:t>
      </w:r>
      <w:r w:rsidRPr="008F03E5">
        <w:rPr>
          <w:rFonts w:eastAsia="Times New Roman"/>
        </w:rPr>
        <w:t>tillage, husbandry; a husbandman</w:t>
      </w:r>
    </w:p>
    <w:p w14:paraId="08FE5751" w14:textId="77777777" w:rsidR="00625A5B" w:rsidRPr="008F03E5" w:rsidRDefault="00625A5B" w:rsidP="00425415">
      <w:pPr>
        <w:pStyle w:val="Translit"/>
      </w:pPr>
      <w:r w:rsidRPr="008F03E5">
        <w:t>Dijla</w:t>
      </w:r>
      <w:r w:rsidRPr="008F03E5">
        <w:tab/>
        <w:t>Dijla[h or t]</w:t>
      </w:r>
      <w:r w:rsidRPr="008F03E5">
        <w:tab/>
        <w:t>“channel”, the Tigris river</w:t>
      </w:r>
    </w:p>
    <w:p w14:paraId="206874E7" w14:textId="77777777" w:rsidR="00625A5B" w:rsidRPr="008F03E5" w:rsidRDefault="00625A5B" w:rsidP="00276506">
      <w:pPr>
        <w:pStyle w:val="Translit"/>
      </w:pPr>
      <w:r w:rsidRPr="008F03E5">
        <w:t>Dil</w:t>
      </w:r>
      <w:r w:rsidRPr="008F03E5">
        <w:tab/>
        <w:t>Dil</w:t>
      </w:r>
      <w:r w:rsidRPr="008F03E5">
        <w:tab/>
        <w:t>Pers. the heart, mind, soul; marrow; pith of a tree; trunk of a tree; the centre; the eye; a dot; an enigma; cote (animal shelter)</w:t>
      </w:r>
    </w:p>
    <w:p w14:paraId="6259776A" w14:textId="77777777" w:rsidR="00625A5B" w:rsidRPr="008F03E5" w:rsidRDefault="00625A5B" w:rsidP="003801B6">
      <w:pPr>
        <w:pStyle w:val="Translit"/>
        <w:rPr>
          <w:rFonts w:eastAsia="Times New Roman"/>
        </w:rPr>
      </w:pPr>
      <w:r w:rsidRPr="008F03E5">
        <w:rPr>
          <w:rFonts w:eastAsia="Times New Roman"/>
        </w:rPr>
        <w:t>Dilaram (Dil-aram)</w:t>
      </w:r>
      <w:r w:rsidRPr="008F03E5">
        <w:rPr>
          <w:rFonts w:eastAsia="Times New Roman"/>
        </w:rPr>
        <w:tab/>
        <w:t>Dilárám</w:t>
      </w:r>
      <w:r w:rsidRPr="008F03E5">
        <w:rPr>
          <w:rFonts w:eastAsia="Times New Roman"/>
        </w:rPr>
        <w:tab/>
        <w:t>Pers. quieting the mind; heart-approving; a lovely woman, sweet-heart; anything admired or wished for</w:t>
      </w:r>
    </w:p>
    <w:p w14:paraId="1D4711E0" w14:textId="77777777" w:rsidR="00625A5B" w:rsidRPr="008F03E5" w:rsidRDefault="00625A5B" w:rsidP="0058211B">
      <w:pPr>
        <w:pStyle w:val="Translit"/>
      </w:pPr>
      <w:r w:rsidRPr="008F03E5">
        <w:t>Dil-Dari</w:t>
      </w:r>
      <w:r w:rsidRPr="008F03E5">
        <w:tab/>
        <w:t>Dil-Dárí</w:t>
      </w:r>
      <w:r w:rsidRPr="008F03E5">
        <w:tab/>
        <w:t>Pers. demonstrations of love; comfort, consolation</w:t>
      </w:r>
    </w:p>
    <w:p w14:paraId="4A857539" w14:textId="77777777" w:rsidR="00625A5B" w:rsidRPr="008F03E5" w:rsidRDefault="00625A5B" w:rsidP="00474457">
      <w:pPr>
        <w:pStyle w:val="Translit"/>
      </w:pPr>
      <w:r w:rsidRPr="008F03E5">
        <w:t>Dil-Gusha (Dilgusha)</w:t>
      </w:r>
      <w:r w:rsidRPr="008F03E5">
        <w:tab/>
        <w:t>Dil-Gu</w:t>
      </w:r>
      <w:r w:rsidRPr="008F03E5">
        <w:rPr>
          <w:u w:val="single"/>
        </w:rPr>
        <w:t>sh</w:t>
      </w:r>
      <w:r w:rsidRPr="008F03E5">
        <w:t>á</w:t>
      </w:r>
      <w:r w:rsidRPr="008F03E5">
        <w:tab/>
        <w:t>Pers. exhilarating; “expansion” or “delight” of the heart</w:t>
      </w:r>
    </w:p>
    <w:p w14:paraId="7CEEE40B" w14:textId="77777777" w:rsidR="00625A5B" w:rsidRPr="008F03E5" w:rsidRDefault="00625A5B" w:rsidP="003801B6">
      <w:pPr>
        <w:pStyle w:val="Translit"/>
        <w:rPr>
          <w:rFonts w:eastAsia="PMingLiU"/>
          <w:lang w:eastAsia="zh-TW"/>
        </w:rPr>
      </w:pPr>
      <w:r w:rsidRPr="008F03E5">
        <w:t>Dili-‘Abbas</w:t>
      </w:r>
      <w:r w:rsidRPr="008F03E5">
        <w:tab/>
        <w:t>Dilí-‘Abbás</w:t>
      </w:r>
      <w:r w:rsidRPr="008F03E5">
        <w:tab/>
        <w:t xml:space="preserve">(Delli Abbas) a small town 12 km </w:t>
      </w:r>
      <w:r w:rsidRPr="008F03E5">
        <w:rPr>
          <w:sz w:val="16"/>
          <w:szCs w:val="16"/>
        </w:rPr>
        <w:t>NW</w:t>
      </w:r>
      <w:r w:rsidRPr="008F03E5">
        <w:t xml:space="preserve"> of al-Miqdádiyah (or al-Muqdádiyah) and 90 km </w:t>
      </w:r>
      <w:r w:rsidRPr="008F03E5">
        <w:rPr>
          <w:sz w:val="16"/>
          <w:szCs w:val="16"/>
        </w:rPr>
        <w:t>NE</w:t>
      </w:r>
      <w:r w:rsidRPr="008F03E5">
        <w:t xml:space="preserve"> of Baghdad, in Iraq</w:t>
      </w:r>
    </w:p>
    <w:p w14:paraId="73AF801D" w14:textId="77777777" w:rsidR="00625A5B" w:rsidRPr="008F03E5" w:rsidRDefault="00625A5B" w:rsidP="00810173">
      <w:pPr>
        <w:pStyle w:val="Translit"/>
        <w:rPr>
          <w:rFonts w:eastAsia="PMingLiU"/>
          <w:lang w:eastAsia="zh-TW"/>
        </w:rPr>
      </w:pPr>
      <w:r w:rsidRPr="008F03E5">
        <w:t>Dilir</w:t>
      </w:r>
      <w:r w:rsidRPr="008F03E5">
        <w:tab/>
        <w:t>Dilír</w:t>
      </w:r>
      <w:r w:rsidRPr="008F03E5">
        <w:tab/>
        <w:t>Pers. b</w:t>
      </w:r>
      <w:r w:rsidRPr="008F03E5">
        <w:rPr>
          <w:rFonts w:eastAsia="Times New Roman"/>
        </w:rPr>
        <w:t>rave, valiant, intrepid; audacious, fearless, insolent, bold</w:t>
      </w:r>
    </w:p>
    <w:p w14:paraId="2ED2DDFC" w14:textId="77777777" w:rsidR="00625A5B" w:rsidRPr="008F03E5" w:rsidRDefault="00625A5B" w:rsidP="00810173">
      <w:pPr>
        <w:pStyle w:val="Translit"/>
      </w:pPr>
      <w:r w:rsidRPr="008F03E5">
        <w:rPr>
          <w:rFonts w:ascii="Times New Roman" w:eastAsia="PMingLiU" w:hAnsi="Times New Roman"/>
          <w:lang w:eastAsia="zh-TW"/>
        </w:rPr>
        <w:t>Dimagh (Damagh), Admigha</w:t>
      </w:r>
      <w:r w:rsidRPr="008F03E5">
        <w:rPr>
          <w:rFonts w:ascii="Times New Roman" w:eastAsia="PMingLiU" w:hAnsi="Times New Roman"/>
          <w:lang w:eastAsia="zh-TW"/>
        </w:rPr>
        <w:tab/>
        <w:t>D</w:t>
      </w:r>
      <w:r w:rsidRPr="008F03E5">
        <w:rPr>
          <w:rFonts w:eastAsia="PMingLiU"/>
          <w:lang w:eastAsia="zh-TW"/>
        </w:rPr>
        <w:t>imá</w:t>
      </w:r>
      <w:r w:rsidRPr="008F03E5">
        <w:rPr>
          <w:rFonts w:eastAsia="PMingLiU"/>
          <w:u w:val="single"/>
          <w:lang w:eastAsia="zh-TW"/>
        </w:rPr>
        <w:t>gh</w:t>
      </w:r>
      <w:r w:rsidRPr="008F03E5">
        <w:rPr>
          <w:rFonts w:eastAsia="PMingLiU"/>
          <w:lang w:eastAsia="zh-TW"/>
        </w:rPr>
        <w:t xml:space="preserve"> (Pers. Dam</w:t>
      </w:r>
      <w:r w:rsidRPr="008F03E5">
        <w:t>á</w:t>
      </w:r>
      <w:r w:rsidRPr="008F03E5">
        <w:rPr>
          <w:rFonts w:eastAsia="PMingLiU"/>
          <w:u w:val="single"/>
          <w:lang w:eastAsia="zh-TW"/>
        </w:rPr>
        <w:t>gh</w:t>
      </w:r>
      <w:r w:rsidRPr="008F03E5">
        <w:rPr>
          <w:rFonts w:eastAsia="PMingLiU"/>
          <w:lang w:eastAsia="zh-TW"/>
        </w:rPr>
        <w:t>)</w:t>
      </w:r>
      <w:r w:rsidRPr="008F03E5">
        <w:rPr>
          <w:rFonts w:eastAsia="PMingLiU"/>
          <w:lang w:eastAsia="zh-TW"/>
        </w:rPr>
        <w:tab/>
        <w:t>pl. Admi</w:t>
      </w:r>
      <w:r w:rsidRPr="008F03E5">
        <w:rPr>
          <w:rFonts w:eastAsia="PMingLiU"/>
          <w:u w:val="single"/>
          <w:lang w:eastAsia="zh-TW"/>
        </w:rPr>
        <w:t>gh</w:t>
      </w:r>
      <w:r w:rsidRPr="008F03E5">
        <w:rPr>
          <w:rFonts w:eastAsia="PMingLiU"/>
          <w:lang w:eastAsia="zh-TW"/>
        </w:rPr>
        <w:t xml:space="preserve">a[h or t] brain.  Pers. also </w:t>
      </w:r>
      <w:r w:rsidRPr="008F03E5">
        <w:rPr>
          <w:rFonts w:eastAsia="Times New Roman"/>
        </w:rPr>
        <w:t>the palate; the nose; pride, haughtiness, consequential airs.</w:t>
      </w:r>
    </w:p>
    <w:p w14:paraId="6A9AD35A" w14:textId="77777777" w:rsidR="00625A5B" w:rsidRPr="008F03E5" w:rsidRDefault="00625A5B" w:rsidP="00810173">
      <w:pPr>
        <w:pStyle w:val="Translit"/>
        <w:rPr>
          <w:rFonts w:eastAsia="PMingLiU"/>
          <w:lang w:eastAsia="zh-TW"/>
        </w:rPr>
      </w:pPr>
      <w:r w:rsidRPr="008F03E5">
        <w:rPr>
          <w:rFonts w:eastAsia="PMingLiU"/>
          <w:lang w:eastAsia="zh-TW"/>
        </w:rPr>
        <w:t>Dimashq (Damashq), Dimishq</w:t>
      </w:r>
      <w:r w:rsidRPr="008F03E5">
        <w:rPr>
          <w:rFonts w:eastAsia="PMingLiU"/>
          <w:lang w:eastAsia="zh-TW"/>
        </w:rPr>
        <w:tab/>
        <w:t>Dima</w:t>
      </w:r>
      <w:r w:rsidRPr="008F03E5">
        <w:rPr>
          <w:rFonts w:eastAsia="PMingLiU"/>
          <w:u w:val="single"/>
          <w:lang w:eastAsia="zh-TW"/>
        </w:rPr>
        <w:t>sh</w:t>
      </w:r>
      <w:r w:rsidRPr="008F03E5">
        <w:rPr>
          <w:rFonts w:eastAsia="PMingLiU"/>
          <w:lang w:eastAsia="zh-TW"/>
        </w:rPr>
        <w:t>q, Dimi</w:t>
      </w:r>
      <w:r w:rsidRPr="008F03E5">
        <w:rPr>
          <w:rFonts w:eastAsia="PMingLiU"/>
          <w:u w:val="single"/>
          <w:lang w:eastAsia="zh-TW"/>
        </w:rPr>
        <w:t>sh</w:t>
      </w:r>
      <w:r w:rsidRPr="008F03E5">
        <w:rPr>
          <w:rFonts w:eastAsia="PMingLiU"/>
          <w:lang w:eastAsia="zh-TW"/>
        </w:rPr>
        <w:t>q</w:t>
      </w:r>
      <w:r w:rsidRPr="008F03E5">
        <w:rPr>
          <w:rFonts w:eastAsia="PMingLiU"/>
          <w:lang w:eastAsia="zh-TW"/>
        </w:rPr>
        <w:tab/>
        <w:t>Damascus, capital of Syria</w:t>
      </w:r>
      <w:r w:rsidRPr="008F03E5">
        <w:t>, colloquially known in Syria as a</w:t>
      </w:r>
      <w:r w:rsidRPr="008F03E5">
        <w:rPr>
          <w:u w:val="single"/>
        </w:rPr>
        <w:t>sh</w:t>
      </w:r>
      <w:r w:rsidRPr="008F03E5">
        <w:t>-</w:t>
      </w:r>
      <w:r w:rsidRPr="008F03E5">
        <w:rPr>
          <w:u w:val="single"/>
        </w:rPr>
        <w:t>Shá</w:t>
      </w:r>
      <w:r w:rsidRPr="008F03E5">
        <w:t>m and titled the “City of Jasmine” (Madínat al-Yásamín)</w:t>
      </w:r>
    </w:p>
    <w:p w14:paraId="50AB167C" w14:textId="77777777" w:rsidR="00625A5B" w:rsidRPr="008F03E5" w:rsidRDefault="00625A5B" w:rsidP="00810173">
      <w:pPr>
        <w:pStyle w:val="Translit"/>
        <w:rPr>
          <w:rFonts w:eastAsia="PMingLiU"/>
          <w:lang w:eastAsia="zh-TW"/>
        </w:rPr>
      </w:pPr>
      <w:r w:rsidRPr="008F03E5">
        <w:rPr>
          <w:lang w:eastAsia="zh-TW"/>
        </w:rPr>
        <w:t>Dimashqi (Damashqi), Dimishqi</w:t>
      </w:r>
      <w:r w:rsidRPr="008F03E5">
        <w:rPr>
          <w:lang w:eastAsia="zh-TW"/>
        </w:rPr>
        <w:tab/>
        <w:t>Dima</w:t>
      </w:r>
      <w:r w:rsidRPr="008F03E5">
        <w:rPr>
          <w:u w:val="single"/>
          <w:lang w:eastAsia="zh-TW"/>
        </w:rPr>
        <w:t>sh</w:t>
      </w:r>
      <w:r w:rsidRPr="008F03E5">
        <w:rPr>
          <w:lang w:eastAsia="zh-TW"/>
        </w:rPr>
        <w:t>qí, Dimi</w:t>
      </w:r>
      <w:r w:rsidRPr="008F03E5">
        <w:rPr>
          <w:u w:val="single"/>
          <w:lang w:eastAsia="zh-TW"/>
        </w:rPr>
        <w:t>sh</w:t>
      </w:r>
      <w:r w:rsidRPr="008F03E5">
        <w:rPr>
          <w:lang w:eastAsia="zh-TW"/>
        </w:rPr>
        <w:t>qí</w:t>
      </w:r>
      <w:r w:rsidRPr="008F03E5">
        <w:rPr>
          <w:lang w:eastAsia="zh-TW"/>
        </w:rPr>
        <w:tab/>
        <w:t xml:space="preserve">of Damascus, e.g. </w:t>
      </w:r>
      <w:r w:rsidRPr="008F03E5">
        <w:rPr>
          <w:lang w:eastAsia="en-US"/>
        </w:rPr>
        <w:t>Dama</w:t>
      </w:r>
      <w:r w:rsidRPr="008F03E5">
        <w:rPr>
          <w:u w:val="single"/>
          <w:lang w:eastAsia="en-US"/>
        </w:rPr>
        <w:t>sh</w:t>
      </w:r>
      <w:r w:rsidRPr="008F03E5">
        <w:rPr>
          <w:lang w:eastAsia="en-US"/>
        </w:rPr>
        <w:t xml:space="preserve">qí Gate, the city gate facing Damascus near a mosque in ‘Akká, or the gate on the </w:t>
      </w:r>
      <w:r w:rsidRPr="008F03E5">
        <w:rPr>
          <w:sz w:val="16"/>
          <w:szCs w:val="16"/>
        </w:rPr>
        <w:t>NW</w:t>
      </w:r>
      <w:r w:rsidRPr="008F03E5">
        <w:rPr>
          <w:lang w:eastAsia="en-US"/>
        </w:rPr>
        <w:t xml:space="preserve"> side of old Jerusalem</w:t>
      </w:r>
    </w:p>
    <w:p w14:paraId="4E8A7760" w14:textId="77777777" w:rsidR="00625A5B" w:rsidRPr="00077779" w:rsidRDefault="00625A5B" w:rsidP="006135E4">
      <w:pPr>
        <w:pStyle w:val="Translit"/>
      </w:pPr>
      <w:r w:rsidRPr="00077779">
        <w:t>Din al-Qayyin</w:t>
      </w:r>
      <w:r w:rsidRPr="00077779">
        <w:tab/>
        <w:t>ad-Dín al-Qayyim</w:t>
      </w:r>
      <w:r w:rsidRPr="00077779">
        <w:tab/>
        <w:t>True Religion (Qur’án 30:30)</w:t>
      </w:r>
    </w:p>
    <w:p w14:paraId="31128008" w14:textId="77777777" w:rsidR="00625A5B" w:rsidRPr="008F03E5" w:rsidRDefault="00625A5B" w:rsidP="00FB58C6">
      <w:pPr>
        <w:pStyle w:val="Translit"/>
      </w:pPr>
      <w:r w:rsidRPr="008F03E5">
        <w:t>Din, Adyan</w:t>
      </w:r>
      <w:r w:rsidRPr="008F03E5">
        <w:tab/>
        <w:t>Dín, pl. Adyán</w:t>
      </w:r>
      <w:r w:rsidRPr="008F03E5">
        <w:tab/>
        <w:t>religion, creed, faith, belief.  Suffix in proper names, i.e. Ṣaláḥ ad-Dín, Pers. Ṣaláḥ-ud-Dín</w:t>
      </w:r>
    </w:p>
    <w:p w14:paraId="2DC68ACC" w14:textId="77777777" w:rsidR="00625A5B" w:rsidRPr="008F03E5" w:rsidRDefault="00625A5B" w:rsidP="00096F8B">
      <w:pPr>
        <w:pStyle w:val="Translit"/>
      </w:pPr>
      <w:r w:rsidRPr="008F03E5">
        <w:t>Dinar, Dananir</w:t>
      </w:r>
      <w:r w:rsidRPr="008F03E5">
        <w:tab/>
        <w:t>Dínár, pl. Danánír</w:t>
      </w:r>
      <w:r w:rsidRPr="008F03E5">
        <w:tab/>
        <w:t>(originally dinnár), a coin; a gold coin, a ducat, a dinar, a monetary unit; a weight of gold (variously stated); (metaphorically) the sun;—pl. money</w:t>
      </w:r>
    </w:p>
    <w:p w14:paraId="34C7906C" w14:textId="77777777" w:rsidR="00625A5B" w:rsidRPr="008F03E5" w:rsidRDefault="00625A5B" w:rsidP="008742C4">
      <w:pPr>
        <w:pStyle w:val="Translit"/>
      </w:pPr>
      <w:r w:rsidRPr="008F03E5">
        <w:t>Dini</w:t>
      </w:r>
      <w:r w:rsidRPr="008F03E5">
        <w:tab/>
        <w:t>Díní</w:t>
      </w:r>
      <w:r w:rsidRPr="008F03E5">
        <w:tab/>
        <w:t>religious; spiritual</w:t>
      </w:r>
    </w:p>
    <w:p w14:paraId="66FC50AE" w14:textId="77777777" w:rsidR="00625A5B" w:rsidRPr="008F03E5" w:rsidRDefault="00625A5B" w:rsidP="005202B1">
      <w:pPr>
        <w:pStyle w:val="Translit"/>
      </w:pPr>
      <w:r w:rsidRPr="008F03E5">
        <w:t>Din-i-Ilahi</w:t>
      </w:r>
      <w:r w:rsidRPr="008F03E5">
        <w:tab/>
        <w:t>Dín-i-Iláhí</w:t>
      </w:r>
      <w:r w:rsidRPr="008F03E5">
        <w:tab/>
        <w:t>(The Divine Faith)</w:t>
      </w:r>
    </w:p>
    <w:p w14:paraId="78B00E0E" w14:textId="77777777" w:rsidR="00625A5B" w:rsidRPr="008F03E5" w:rsidRDefault="00625A5B" w:rsidP="00900A82">
      <w:pPr>
        <w:pStyle w:val="Translit"/>
        <w:rPr>
          <w:rFonts w:eastAsia="PMingLiU"/>
          <w:lang w:eastAsia="zh-TW"/>
        </w:rPr>
      </w:pPr>
      <w:r w:rsidRPr="008F03E5">
        <w:rPr>
          <w:rFonts w:eastAsia="PMingLiU"/>
          <w:lang w:eastAsia="zh-TW"/>
        </w:rPr>
        <w:t>D</w:t>
      </w:r>
      <w:r w:rsidRPr="008F03E5">
        <w:t>i</w:t>
      </w:r>
      <w:r w:rsidRPr="008F03E5">
        <w:rPr>
          <w:rFonts w:eastAsia="PMingLiU"/>
          <w:lang w:eastAsia="zh-TW"/>
        </w:rPr>
        <w:t>n-Muhammad-Vaz</w:t>
      </w:r>
      <w:r w:rsidRPr="008F03E5">
        <w:t>i</w:t>
      </w:r>
      <w:r w:rsidRPr="008F03E5">
        <w:rPr>
          <w:rFonts w:eastAsia="PMingLiU"/>
          <w:lang w:eastAsia="zh-TW"/>
        </w:rPr>
        <w:t>r</w:t>
      </w:r>
      <w:r w:rsidRPr="008F03E5">
        <w:tab/>
      </w:r>
      <w:r w:rsidRPr="008F03E5">
        <w:rPr>
          <w:rFonts w:eastAsia="PMingLiU"/>
          <w:lang w:eastAsia="zh-TW"/>
        </w:rPr>
        <w:t>D</w:t>
      </w:r>
      <w:r w:rsidRPr="008F03E5">
        <w:t>í</w:t>
      </w:r>
      <w:r w:rsidRPr="008F03E5">
        <w:rPr>
          <w:rFonts w:eastAsia="PMingLiU"/>
          <w:lang w:eastAsia="zh-TW"/>
        </w:rPr>
        <w:t>n-</w:t>
      </w:r>
      <w:r w:rsidRPr="008F03E5">
        <w:t>Muḥammad</w:t>
      </w:r>
      <w:r w:rsidRPr="008F03E5">
        <w:rPr>
          <w:rFonts w:eastAsia="PMingLiU"/>
          <w:lang w:eastAsia="zh-TW"/>
        </w:rPr>
        <w:t>-Vaz</w:t>
      </w:r>
      <w:r w:rsidRPr="008F03E5">
        <w:t>í</w:t>
      </w:r>
      <w:r w:rsidRPr="008F03E5">
        <w:rPr>
          <w:rFonts w:eastAsia="PMingLiU"/>
          <w:lang w:eastAsia="zh-TW"/>
        </w:rPr>
        <w:t>r</w:t>
      </w:r>
      <w:r w:rsidRPr="008F03E5">
        <w:tab/>
      </w:r>
    </w:p>
    <w:p w14:paraId="1518300A" w14:textId="77777777" w:rsidR="00625A5B" w:rsidRPr="008F03E5" w:rsidRDefault="00625A5B" w:rsidP="00041647">
      <w:pPr>
        <w:pStyle w:val="Translit"/>
      </w:pPr>
      <w:r w:rsidRPr="008F03E5">
        <w:rPr>
          <w:rFonts w:eastAsia="Times New Roman"/>
        </w:rPr>
        <w:t>Dinur, Dinwar (Dinyar)</w:t>
      </w:r>
      <w:r w:rsidRPr="008F03E5">
        <w:rPr>
          <w:rFonts w:eastAsia="Times New Roman"/>
        </w:rPr>
        <w:tab/>
        <w:t>Dínúr, Dínwar</w:t>
      </w:r>
      <w:r w:rsidRPr="008F03E5">
        <w:rPr>
          <w:rFonts w:eastAsia="Times New Roman"/>
        </w:rPr>
        <w:tab/>
        <w:t>(Pers. with Ar. influence) religious, faithful; who knows the law</w:t>
      </w:r>
    </w:p>
    <w:p w14:paraId="5BF7BA56" w14:textId="77777777" w:rsidR="00625A5B" w:rsidRPr="008F03E5" w:rsidRDefault="00625A5B" w:rsidP="008867D7">
      <w:pPr>
        <w:pStyle w:val="Translit"/>
        <w:rPr>
          <w:rFonts w:eastAsia="Times New Roman"/>
        </w:rPr>
      </w:pPr>
      <w:r w:rsidRPr="008F03E5">
        <w:rPr>
          <w:rFonts w:eastAsia="Times New Roman"/>
        </w:rPr>
        <w:t>Dirakh</w:t>
      </w:r>
      <w:r w:rsidRPr="008F03E5">
        <w:t xml:space="preserve"> (Derakh)</w:t>
      </w:r>
      <w:r w:rsidRPr="008F03E5">
        <w:rPr>
          <w:rFonts w:eastAsia="Times New Roman"/>
        </w:rPr>
        <w:tab/>
        <w:t>Dira</w:t>
      </w:r>
      <w:r w:rsidRPr="008F03E5">
        <w:rPr>
          <w:rFonts w:eastAsia="Times New Roman"/>
          <w:u w:val="single"/>
        </w:rPr>
        <w:t>kh</w:t>
      </w:r>
      <w:r w:rsidRPr="008F03E5">
        <w:rPr>
          <w:rFonts w:eastAsia="Times New Roman"/>
        </w:rPr>
        <w:tab/>
        <w:t>Pers. (for dira</w:t>
      </w:r>
      <w:r w:rsidRPr="008F03E5">
        <w:rPr>
          <w:rFonts w:eastAsia="Times New Roman"/>
          <w:u w:val="single"/>
        </w:rPr>
        <w:t>kh</w:t>
      </w:r>
      <w:r w:rsidRPr="008F03E5">
        <w:rPr>
          <w:rFonts w:eastAsia="Times New Roman"/>
        </w:rPr>
        <w:t>t), a tree; a beam</w:t>
      </w:r>
    </w:p>
    <w:p w14:paraId="49B452C1" w14:textId="77777777" w:rsidR="00625A5B" w:rsidRPr="008F03E5" w:rsidRDefault="00625A5B" w:rsidP="008867D7">
      <w:pPr>
        <w:pStyle w:val="Translit"/>
      </w:pPr>
      <w:r w:rsidRPr="008F03E5">
        <w:t>Dirakhshani (Derakhshani)</w:t>
      </w:r>
      <w:r w:rsidRPr="008F03E5">
        <w:tab/>
      </w:r>
      <w:r w:rsidRPr="008F03E5">
        <w:rPr>
          <w:rFonts w:eastAsia="Times New Roman"/>
        </w:rPr>
        <w:t>Dira</w:t>
      </w:r>
      <w:r w:rsidRPr="008F03E5">
        <w:rPr>
          <w:rFonts w:eastAsia="Times New Roman"/>
          <w:u w:val="single"/>
        </w:rPr>
        <w:t>khsh</w:t>
      </w:r>
      <w:r w:rsidRPr="008F03E5">
        <w:t>á</w:t>
      </w:r>
      <w:r w:rsidRPr="008F03E5">
        <w:rPr>
          <w:rFonts w:eastAsia="Times New Roman"/>
        </w:rPr>
        <w:t>n</w:t>
      </w:r>
      <w:r w:rsidRPr="008F03E5">
        <w:t>í</w:t>
      </w:r>
      <w:r w:rsidRPr="008F03E5">
        <w:tab/>
        <w:t>Pers. name</w:t>
      </w:r>
    </w:p>
    <w:p w14:paraId="25D783F7" w14:textId="77777777" w:rsidR="00625A5B" w:rsidRPr="008F03E5" w:rsidRDefault="00625A5B" w:rsidP="00041647">
      <w:pPr>
        <w:pStyle w:val="Translit"/>
      </w:pPr>
      <w:r w:rsidRPr="008F03E5">
        <w:t>Dirbas, Darabis (Pers. Zarrabis)</w:t>
      </w:r>
      <w:r w:rsidRPr="008F03E5">
        <w:tab/>
        <w:t>Dirbás, Darábís</w:t>
      </w:r>
      <w:r w:rsidRPr="008F03E5">
        <w:tab/>
        <w:t>bolt, door bolt</w:t>
      </w:r>
    </w:p>
    <w:p w14:paraId="57EE6A01" w14:textId="77777777" w:rsidR="00625A5B" w:rsidRPr="008F03E5" w:rsidRDefault="00625A5B" w:rsidP="008E478E">
      <w:pPr>
        <w:pStyle w:val="Translit"/>
      </w:pPr>
      <w:r w:rsidRPr="008F03E5">
        <w:t>Dirham, Darahim</w:t>
      </w:r>
      <w:r w:rsidRPr="008F03E5">
        <w:tab/>
        <w:t>Dirham, pl. Daráhim</w:t>
      </w:r>
      <w:r w:rsidRPr="008F03E5">
        <w:tab/>
        <w:t>dirhem, drachma; a weight; money, cash.  Dirham = 6 dániq = 12 qíráṭ.</w:t>
      </w:r>
    </w:p>
    <w:p w14:paraId="706588F1" w14:textId="77777777" w:rsidR="00625A5B" w:rsidRPr="008F03E5" w:rsidRDefault="00625A5B" w:rsidP="00D43611">
      <w:pPr>
        <w:pStyle w:val="Translit"/>
      </w:pPr>
      <w:r w:rsidRPr="008F03E5">
        <w:t>Disatir (Desatir)</w:t>
      </w:r>
      <w:r w:rsidRPr="008F03E5">
        <w:tab/>
        <w:t>Disátír</w:t>
      </w:r>
      <w:r w:rsidRPr="008F03E5">
        <w:tab/>
        <w:t>Pers. is a literary forgery with Sufi leanings published in Bombay in 1818 from an Iranian manuscript</w:t>
      </w:r>
    </w:p>
    <w:p w14:paraId="02438AED" w14:textId="77777777" w:rsidR="00625A5B" w:rsidRPr="008F03E5" w:rsidRDefault="00625A5B" w:rsidP="00183036">
      <w:pPr>
        <w:pStyle w:val="Translit"/>
      </w:pPr>
      <w:r w:rsidRPr="008F03E5">
        <w:t>Disciples of ‘Abdu’l-Baha</w:t>
      </w:r>
      <w:r w:rsidRPr="008F03E5">
        <w:tab/>
        <w:t>Disciples or Heralds of ‘Abdu’l-Bahá</w:t>
      </w:r>
      <w:r w:rsidRPr="008F03E5">
        <w:tab/>
        <w:t>Designated by Shoghi Effendi:  Dr John Ebenezer Esslemont, Thornton Chase, Howard MacNutt, Sarah Farmer, Hippolyte Dreyfus-Barney, Lillian Kappes, Robert Turner (first Afro-American Bahá’í in America), Dr Arthur Brauns, W. H. Randall, Lua Getsinger (née Louisa Aurora Moore—Livá (banner)), Joseph Hannan, Chester I. Thatcher, Charles Greenleaf, Mrs J. D. Brittingham, Mrs Thornburgh, Helen S. Goodall, Arthur P. Dodge, William H. Hoar and Dr J. G. Augur.</w:t>
      </w:r>
    </w:p>
    <w:p w14:paraId="743565DC" w14:textId="77777777" w:rsidR="00625A5B" w:rsidRPr="008F03E5" w:rsidRDefault="00625A5B" w:rsidP="00A47983">
      <w:pPr>
        <w:pStyle w:val="Translit"/>
      </w:pPr>
      <w:r w:rsidRPr="008F03E5">
        <w:t>Diwan (</w:t>
      </w:r>
      <w:r>
        <w:t xml:space="preserve">Daywan, </w:t>
      </w:r>
      <w:r w:rsidRPr="008F03E5">
        <w:t>Divan), Dawawin</w:t>
      </w:r>
      <w:r w:rsidRPr="008F03E5">
        <w:tab/>
        <w:t>Díwán (Díván), pl. Dawáwín</w:t>
      </w:r>
      <w:r w:rsidRPr="008F03E5">
        <w:tab/>
      </w:r>
      <w:r>
        <w:t>Pers. origin, loaned to Ar.  O</w:t>
      </w:r>
      <w:r w:rsidRPr="00A47983">
        <w:t xml:space="preserve">riginal meaning was </w:t>
      </w:r>
      <w:r>
        <w:t>“</w:t>
      </w:r>
      <w:r w:rsidRPr="00A47983">
        <w:t>bundle (of written sheets)</w:t>
      </w:r>
      <w:r>
        <w:t>”</w:t>
      </w:r>
      <w:r w:rsidRPr="00A47983">
        <w:t xml:space="preserve">, hence </w:t>
      </w:r>
      <w:r>
        <w:t>“</w:t>
      </w:r>
      <w:r w:rsidRPr="00A47983">
        <w:t>book</w:t>
      </w:r>
      <w:r>
        <w:t>”</w:t>
      </w:r>
      <w:r w:rsidRPr="00A47983">
        <w:t xml:space="preserve">, especially </w:t>
      </w:r>
      <w:r>
        <w:t>“</w:t>
      </w:r>
      <w:r w:rsidRPr="00A47983">
        <w:t>book of accounts</w:t>
      </w:r>
      <w:r>
        <w:t>”</w:t>
      </w:r>
      <w:r w:rsidRPr="00A47983">
        <w:t xml:space="preserve">, and hence </w:t>
      </w:r>
      <w:r>
        <w:t>“</w:t>
      </w:r>
      <w:r w:rsidRPr="00A47983">
        <w:t>office of accounts</w:t>
      </w:r>
      <w:r>
        <w:t>”</w:t>
      </w:r>
      <w:r w:rsidRPr="00A47983">
        <w:t xml:space="preserve">, </w:t>
      </w:r>
      <w:r>
        <w:t>“</w:t>
      </w:r>
      <w:r w:rsidRPr="00A47983">
        <w:t>custom house</w:t>
      </w:r>
      <w:r>
        <w:t>”</w:t>
      </w:r>
      <w:r w:rsidRPr="00A47983">
        <w:t xml:space="preserve">, </w:t>
      </w:r>
      <w:r>
        <w:t>“</w:t>
      </w:r>
      <w:r w:rsidRPr="00A47983">
        <w:t>council chamber</w:t>
      </w:r>
      <w:r>
        <w:t>”</w:t>
      </w:r>
      <w:r w:rsidRPr="00A47983">
        <w:t>.</w:t>
      </w:r>
      <w:r>
        <w:t xml:space="preserve"> </w:t>
      </w:r>
      <w:r w:rsidRPr="00A47983">
        <w:t xml:space="preserve"> The meaning of the </w:t>
      </w:r>
      <w:r>
        <w:t>Engliah divan</w:t>
      </w:r>
      <w:r w:rsidRPr="00A47983">
        <w:t>,</w:t>
      </w:r>
      <w:r>
        <w:t xml:space="preserve"> “</w:t>
      </w:r>
      <w:r w:rsidRPr="00A47983">
        <w:t>long, cushioned seat</w:t>
      </w:r>
      <w:r>
        <w:t>”</w:t>
      </w:r>
      <w:r w:rsidRPr="00A47983">
        <w:t xml:space="preserve"> is </w:t>
      </w:r>
      <w:r>
        <w:t>because</w:t>
      </w:r>
      <w:r w:rsidRPr="00A47983">
        <w:t xml:space="preserve"> such seats </w:t>
      </w:r>
      <w:r>
        <w:t>were placed</w:t>
      </w:r>
      <w:r w:rsidRPr="00A47983">
        <w:t xml:space="preserve"> along the walls in Middle Eastern council chambers.</w:t>
      </w:r>
      <w:r>
        <w:t xml:space="preserve">  </w:t>
      </w:r>
      <w:r w:rsidRPr="00A47983">
        <w:t>A</w:t>
      </w:r>
      <w:r w:rsidRPr="00AF4D34">
        <w:rPr>
          <w:rFonts w:eastAsia="Times New Roman"/>
        </w:rPr>
        <w:t xml:space="preserve"> royal court; tribunal of justice or revenue; a council of state, senate</w:t>
      </w:r>
      <w:r>
        <w:rPr>
          <w:rFonts w:eastAsia="Times New Roman"/>
        </w:rPr>
        <w:t>;</w:t>
      </w:r>
      <w:r>
        <w:t xml:space="preserve"> a</w:t>
      </w:r>
      <w:r w:rsidRPr="008F03E5">
        <w:t xml:space="preserve">ccount books of the treasury (in older Islamic administration); collection of poems by </w:t>
      </w:r>
      <w:r>
        <w:t>an</w:t>
      </w:r>
      <w:r w:rsidRPr="008F03E5">
        <w:t xml:space="preserve"> author; governmental office, administrative office; chancellery, office, bureau, secretariat; council or state, cabinet; council, consultative assembly, board of advisers, executive committee; government; hall.  Used in titles, as in Amír-Díwán, Head of the Court, or Prime Minister.</w:t>
      </w:r>
    </w:p>
    <w:p w14:paraId="3F9198DE" w14:textId="77777777" w:rsidR="00625A5B" w:rsidRPr="008F03E5" w:rsidRDefault="00625A5B" w:rsidP="00DE4E0D">
      <w:pPr>
        <w:pStyle w:val="Translit"/>
      </w:pPr>
      <w:r w:rsidRPr="008F03E5">
        <w:t>Diwan-Khanih, Divan-Khanih</w:t>
      </w:r>
      <w:r w:rsidRPr="008F03E5">
        <w:tab/>
        <w:t>Díwán-</w:t>
      </w:r>
      <w:r w:rsidRPr="008F03E5">
        <w:rPr>
          <w:u w:val="single"/>
        </w:rPr>
        <w:t>Kh</w:t>
      </w:r>
      <w:r w:rsidRPr="008F03E5">
        <w:t>ánih</w:t>
      </w:r>
      <w:r w:rsidRPr="008F03E5">
        <w:tab/>
        <w:t>Court</w:t>
      </w:r>
    </w:p>
    <w:p w14:paraId="4FA2554A" w14:textId="77777777" w:rsidR="00625A5B" w:rsidRPr="008F03E5" w:rsidRDefault="00625A5B" w:rsidP="001F653C">
      <w:pPr>
        <w:pStyle w:val="Translit"/>
      </w:pPr>
      <w:r w:rsidRPr="008F03E5">
        <w:t>Diya (Deya), Dia, Ziya, Zia</w:t>
      </w:r>
      <w:r w:rsidRPr="008F03E5">
        <w:tab/>
        <w:t>Ḍiyá’ (</w:t>
      </w:r>
      <w:r w:rsidRPr="008F03E5">
        <w:rPr>
          <w:rtl/>
        </w:rPr>
        <w:t>ضياء</w:t>
      </w:r>
      <w:r w:rsidRPr="008F03E5">
        <w:t>)</w:t>
      </w:r>
      <w:r w:rsidRPr="008F03E5">
        <w:tab/>
        <w:t>light, brightness, glow.  Ẓ may be used instead of ḍ.  Bahá’í authors use ḍíyá’ (</w:t>
      </w:r>
      <w:r w:rsidRPr="008F03E5">
        <w:rPr>
          <w:rtl/>
        </w:rPr>
        <w:t>ضيىاء</w:t>
      </w:r>
      <w:r w:rsidRPr="008F03E5">
        <w:t>) or ḍíyá.  The same issue with the “íyá” letter combination also occurs with díyár.</w:t>
      </w:r>
    </w:p>
    <w:p w14:paraId="21AECD27" w14:textId="77777777" w:rsidR="00625A5B" w:rsidRPr="008F03E5" w:rsidRDefault="00625A5B" w:rsidP="00510242">
      <w:pPr>
        <w:pStyle w:val="Translit"/>
      </w:pPr>
      <w:bookmarkStart w:id="69" w:name="_Hlk533507388"/>
      <w:r w:rsidRPr="008F03E5">
        <w:t>Diya Baghdadi</w:t>
      </w:r>
      <w:r w:rsidRPr="008F03E5">
        <w:tab/>
        <w:t>Ḍíyá’ Ba</w:t>
      </w:r>
      <w:r w:rsidRPr="008F03E5">
        <w:rPr>
          <w:u w:val="single"/>
        </w:rPr>
        <w:t>gh</w:t>
      </w:r>
      <w:r w:rsidRPr="008F03E5">
        <w:t>dádí</w:t>
      </w:r>
      <w:r w:rsidRPr="008F03E5">
        <w:tab/>
        <w:t>Dr Zia (Ḍíyá’) Ba</w:t>
      </w:r>
      <w:r w:rsidRPr="008F03E5">
        <w:rPr>
          <w:u w:val="single"/>
        </w:rPr>
        <w:t>gh</w:t>
      </w:r>
      <w:r w:rsidRPr="008F03E5">
        <w:t>dádí (1882–1937).  Named Ḍíyá’ and Afandí by Bahá’u’lláh (He also called him Mabsúṭ Afandí, “the happy one”)</w:t>
      </w:r>
    </w:p>
    <w:bookmarkEnd w:id="69"/>
    <w:p w14:paraId="4A011FC4" w14:textId="77777777" w:rsidR="00625A5B" w:rsidRPr="008F03E5" w:rsidRDefault="00625A5B" w:rsidP="00A60F9E">
      <w:pPr>
        <w:pStyle w:val="Translit"/>
        <w:rPr>
          <w:rFonts w:eastAsia="PMingLiU"/>
          <w:lang w:eastAsia="zh-TW"/>
        </w:rPr>
      </w:pPr>
      <w:r w:rsidRPr="008F03E5">
        <w:rPr>
          <w:rFonts w:eastAsia="PMingLiU"/>
          <w:lang w:eastAsia="zh-TW"/>
        </w:rPr>
        <w:t>D</w:t>
      </w:r>
      <w:r w:rsidRPr="008F03E5">
        <w:t>i</w:t>
      </w:r>
      <w:r w:rsidRPr="008F03E5">
        <w:rPr>
          <w:rFonts w:eastAsia="PMingLiU"/>
          <w:lang w:eastAsia="zh-TW"/>
        </w:rPr>
        <w:t>ya’ ad-Din, D</w:t>
      </w:r>
      <w:r w:rsidRPr="008F03E5">
        <w:t>i</w:t>
      </w:r>
      <w:r w:rsidRPr="008F03E5">
        <w:rPr>
          <w:rFonts w:eastAsia="PMingLiU"/>
          <w:lang w:eastAsia="zh-TW"/>
        </w:rPr>
        <w:t>ya’u’d-Din</w:t>
      </w:r>
      <w:r w:rsidRPr="008F03E5">
        <w:tab/>
        <w:t>Ḍi</w:t>
      </w:r>
      <w:r w:rsidRPr="008F03E5">
        <w:rPr>
          <w:rFonts w:eastAsia="PMingLiU"/>
          <w:lang w:eastAsia="zh-TW"/>
        </w:rPr>
        <w:t>yá’ ad-Dín,</w:t>
      </w:r>
      <w:r w:rsidRPr="008F03E5">
        <w:t xml:space="preserve"> Ḍi</w:t>
      </w:r>
      <w:r w:rsidRPr="008F03E5">
        <w:rPr>
          <w:rFonts w:eastAsia="PMingLiU"/>
          <w:lang w:eastAsia="zh-TW"/>
        </w:rPr>
        <w:t>yá’u’d-Dín</w:t>
      </w:r>
      <w:r w:rsidRPr="008F03E5">
        <w:tab/>
        <w:t>light of faith or light of religion</w:t>
      </w:r>
    </w:p>
    <w:p w14:paraId="282C90CD" w14:textId="77777777" w:rsidR="00625A5B" w:rsidRPr="008F03E5" w:rsidRDefault="00625A5B" w:rsidP="004F633A">
      <w:pPr>
        <w:pStyle w:val="Translit"/>
        <w:rPr>
          <w:rFonts w:eastAsia="PMingLiU"/>
          <w:lang w:eastAsia="zh-TW"/>
        </w:rPr>
      </w:pPr>
      <w:r w:rsidRPr="008F03E5">
        <w:rPr>
          <w:rFonts w:eastAsia="PMingLiU"/>
          <w:lang w:eastAsia="zh-TW"/>
        </w:rPr>
        <w:t>Diya’i</w:t>
      </w:r>
      <w:r w:rsidRPr="008F03E5">
        <w:tab/>
        <w:t>Ḍ</w:t>
      </w:r>
      <w:r w:rsidRPr="008F03E5">
        <w:rPr>
          <w:rFonts w:eastAsia="PMingLiU"/>
          <w:lang w:eastAsia="zh-TW"/>
        </w:rPr>
        <w:t>íyá’í</w:t>
      </w:r>
      <w:r w:rsidRPr="008F03E5">
        <w:tab/>
        <w:t>of Ḍ</w:t>
      </w:r>
      <w:r w:rsidRPr="008F03E5">
        <w:rPr>
          <w:rFonts w:eastAsia="PMingLiU"/>
          <w:lang w:eastAsia="zh-TW"/>
        </w:rPr>
        <w:t xml:space="preserve">íyá’.  </w:t>
      </w:r>
      <w:r w:rsidRPr="008F03E5">
        <w:t>Nuṣratu’lláh Ḍ</w:t>
      </w:r>
      <w:r w:rsidRPr="008F03E5">
        <w:rPr>
          <w:rFonts w:eastAsia="PMingLiU"/>
          <w:lang w:eastAsia="zh-TW"/>
        </w:rPr>
        <w:t>íyá’í</w:t>
      </w:r>
    </w:p>
    <w:p w14:paraId="50BBBFD8" w14:textId="77777777" w:rsidR="00625A5B" w:rsidRPr="008F03E5" w:rsidRDefault="00625A5B" w:rsidP="00A47E89">
      <w:pPr>
        <w:pStyle w:val="Translit"/>
      </w:pPr>
      <w:r w:rsidRPr="008F03E5">
        <w:t>Diya’iya, Diya’iyyih</w:t>
      </w:r>
      <w:r w:rsidRPr="008F03E5">
        <w:tab/>
        <w:t>Ḍíyá’íya[h or t], Ḍíyá’iyyih</w:t>
      </w:r>
      <w:r w:rsidRPr="008F03E5">
        <w:tab/>
        <w:t xml:space="preserve">(Ziaiyyih or Zia’iyyih) Ḍíyá’íyyih </w:t>
      </w:r>
      <w:r w:rsidRPr="008F03E5">
        <w:rPr>
          <w:u w:val="single"/>
        </w:rPr>
        <w:t>Kh</w:t>
      </w:r>
      <w:r w:rsidRPr="008F03E5">
        <w:t>ánum, eldest daughter of ‘Abdu’l-Bahá and mother of Shoghi Effendi.</w:t>
      </w:r>
    </w:p>
    <w:p w14:paraId="4DBBA439" w14:textId="77777777" w:rsidR="00625A5B" w:rsidRPr="008F03E5" w:rsidRDefault="00625A5B" w:rsidP="00A60F9E">
      <w:pPr>
        <w:pStyle w:val="Translit"/>
      </w:pPr>
      <w:r w:rsidRPr="008F03E5">
        <w:t>Diya’u’l-Hajiyyih</w:t>
      </w:r>
      <w:r w:rsidRPr="008F03E5">
        <w:tab/>
        <w:t>Ḍíyá’u’l-Ḥájíyyih</w:t>
      </w:r>
      <w:r w:rsidRPr="008F03E5">
        <w:tab/>
        <w:t>title of ‘U</w:t>
      </w:r>
      <w:r w:rsidRPr="008F03E5">
        <w:rPr>
          <w:u w:val="single"/>
        </w:rPr>
        <w:t>dh</w:t>
      </w:r>
      <w:r w:rsidRPr="008F03E5">
        <w:t xml:space="preserve">ra </w:t>
      </w:r>
      <w:r w:rsidRPr="008F03E5">
        <w:rPr>
          <w:u w:val="single"/>
        </w:rPr>
        <w:t>Kh</w:t>
      </w:r>
      <w:r w:rsidRPr="008F03E5">
        <w:t>ánum</w:t>
      </w:r>
    </w:p>
    <w:p w14:paraId="329807FC" w14:textId="77777777" w:rsidR="00625A5B" w:rsidRPr="008F03E5" w:rsidRDefault="00625A5B" w:rsidP="00A60F9E">
      <w:pPr>
        <w:pStyle w:val="Translit"/>
      </w:pPr>
      <w:r w:rsidRPr="008F03E5">
        <w:t>Diya’u’llah</w:t>
      </w:r>
      <w:r w:rsidRPr="008F03E5">
        <w:tab/>
        <w:t>Ḍíyá’u’lláh</w:t>
      </w:r>
      <w:r w:rsidRPr="008F03E5">
        <w:tab/>
        <w:t>light of God (Zíá’u’lláh or Ziaoullah).  Mírzá Ḍíyá’u’lláh, a son of Bahá’u’lláh.</w:t>
      </w:r>
    </w:p>
    <w:p w14:paraId="0D7709E5" w14:textId="77777777" w:rsidR="00625A5B" w:rsidRPr="008F03E5" w:rsidRDefault="00625A5B" w:rsidP="00A208A3">
      <w:pPr>
        <w:pStyle w:val="Translit"/>
      </w:pPr>
      <w:r w:rsidRPr="008F03E5">
        <w:t>Diyafa</w:t>
      </w:r>
      <w:r w:rsidRPr="008F03E5">
        <w:tab/>
        <w:t>Ḍiyáfa[t]</w:t>
      </w:r>
      <w:r w:rsidRPr="008F03E5">
        <w:tab/>
        <w:t>hospitable reception, entertainment as guest, accommodation; hospitality; “feast”</w:t>
      </w:r>
    </w:p>
    <w:p w14:paraId="2AC34446" w14:textId="77777777" w:rsidR="00625A5B" w:rsidRPr="008F03E5" w:rsidRDefault="00625A5B" w:rsidP="00A208A3">
      <w:pPr>
        <w:pStyle w:val="Translit"/>
      </w:pPr>
      <w:r w:rsidRPr="008F03E5">
        <w:t>Diyala, Sirwan</w:t>
      </w:r>
      <w:r w:rsidRPr="008F03E5">
        <w:tab/>
        <w:t>Diyálá (in Iraq), Sírwan (in Iran)</w:t>
      </w:r>
      <w:r w:rsidRPr="008F03E5">
        <w:tab/>
        <w:t xml:space="preserve">445 km tributary of Tigris River in eastern Iraq, flowing on east side of Baghdad and joining the Tigris River to the south side of the city.  Given incorrectly as Dajli in </w:t>
      </w:r>
      <w:r w:rsidRPr="008F03E5">
        <w:rPr>
          <w:i/>
          <w:iCs/>
        </w:rPr>
        <w:t>Star of the West</w:t>
      </w:r>
      <w:r w:rsidRPr="008F03E5">
        <w:t>.</w:t>
      </w:r>
    </w:p>
    <w:p w14:paraId="201F001B" w14:textId="77777777" w:rsidR="00625A5B" w:rsidRPr="008F03E5" w:rsidRDefault="00625A5B" w:rsidP="00220AF6">
      <w:pPr>
        <w:pStyle w:val="Translit"/>
      </w:pPr>
      <w:r w:rsidRPr="008F03E5">
        <w:t>Diyar-Bakr (Diar-Bakr)</w:t>
      </w:r>
      <w:r w:rsidRPr="008F03E5">
        <w:tab/>
        <w:t>D</w:t>
      </w:r>
      <w:r>
        <w:t>i</w:t>
      </w:r>
      <w:r w:rsidRPr="008F03E5">
        <w:t>yár-Bakr</w:t>
      </w:r>
      <w:r w:rsidRPr="008F03E5">
        <w:tab/>
        <w:t xml:space="preserve">(Diyár Bakr or Diyárbakir, “land of Bakr” tribe) city </w:t>
      </w:r>
      <w:r>
        <w:t>(</w:t>
      </w:r>
      <w:r w:rsidRPr="00220AF6">
        <w:t>37.925386, 40.205236</w:t>
      </w:r>
      <w:r>
        <w:t xml:space="preserve">) </w:t>
      </w:r>
      <w:r w:rsidRPr="008F03E5">
        <w:t xml:space="preserve">in </w:t>
      </w:r>
      <w:r w:rsidRPr="008F03E5">
        <w:rPr>
          <w:sz w:val="16"/>
          <w:szCs w:val="16"/>
        </w:rPr>
        <w:t>SE</w:t>
      </w:r>
      <w:r w:rsidRPr="008F03E5">
        <w:t xml:space="preserve"> </w:t>
      </w:r>
      <w:r w:rsidRPr="00220AF6">
        <w:t>Türkiye</w:t>
      </w:r>
      <w:r w:rsidRPr="008F03E5">
        <w:t xml:space="preserve">, 630 km </w:t>
      </w:r>
      <w:r w:rsidRPr="008F03E5">
        <w:rPr>
          <w:sz w:val="16"/>
          <w:szCs w:val="16"/>
        </w:rPr>
        <w:t>NW</w:t>
      </w:r>
      <w:r w:rsidRPr="008F03E5">
        <w:t xml:space="preserve"> of Ba</w:t>
      </w:r>
      <w:r w:rsidRPr="008F03E5">
        <w:rPr>
          <w:u w:val="single"/>
        </w:rPr>
        <w:t>gh</w:t>
      </w:r>
      <w:r w:rsidRPr="008F03E5">
        <w:t xml:space="preserve">dád.  Transcribed Díyár-Bakr by Shoghi Effendi.  Arabic:  </w:t>
      </w:r>
      <w:r w:rsidRPr="008F03E5">
        <w:rPr>
          <w:rtl/>
        </w:rPr>
        <w:t>ديار بكر</w:t>
      </w:r>
      <w:r w:rsidRPr="008F03E5">
        <w:t xml:space="preserve"> (Diyár Bakr).  Renamed Diyabakir (Turkish, “land of copper”) by Atatürk in 1931.  See Ma‘dan-i-Mis.</w:t>
      </w:r>
    </w:p>
    <w:p w14:paraId="6053DB02" w14:textId="77777777" w:rsidR="00625A5B" w:rsidRPr="008F03E5" w:rsidRDefault="00625A5B" w:rsidP="005F1D08">
      <w:pPr>
        <w:pStyle w:val="Translit"/>
      </w:pPr>
      <w:r w:rsidRPr="008F03E5">
        <w:t>Diyar-i-Khatt</w:t>
      </w:r>
      <w:r w:rsidRPr="008F03E5">
        <w:tab/>
        <w:t>Díyár-i-</w:t>
      </w:r>
      <w:r w:rsidRPr="008F03E5">
        <w:rPr>
          <w:u w:val="single"/>
        </w:rPr>
        <w:t>Kh</w:t>
      </w:r>
      <w:r w:rsidRPr="008F03E5">
        <w:t>aṭṭ</w:t>
      </w:r>
      <w:r w:rsidRPr="008F03E5">
        <w:tab/>
        <w:t>“domain of writing” or “realm of calligraphy”.  Verse inscribed by Nabíl when asked by Mi</w:t>
      </w:r>
      <w:r w:rsidRPr="008F03E5">
        <w:rPr>
          <w:u w:val="single"/>
        </w:rPr>
        <w:t>sh</w:t>
      </w:r>
      <w:r w:rsidRPr="008F03E5">
        <w:t>kín-Qalam:</w:t>
      </w:r>
      <w:r w:rsidRPr="008F03E5">
        <w:br/>
        <w:t xml:space="preserve">Dar díyár-i-khaṭṭ </w:t>
      </w:r>
      <w:r w:rsidRPr="008F03E5">
        <w:rPr>
          <w:u w:val="single"/>
        </w:rPr>
        <w:t>sh</w:t>
      </w:r>
      <w:r w:rsidRPr="008F03E5">
        <w:t>áh-i-ṣáḥib-‘alam</w:t>
      </w:r>
      <w:r w:rsidRPr="008F03E5">
        <w:br/>
        <w:t>Bandiy-i-báb-i-Bahá, Mi</w:t>
      </w:r>
      <w:r w:rsidRPr="008F03E5">
        <w:rPr>
          <w:u w:val="single"/>
        </w:rPr>
        <w:t>sh</w:t>
      </w:r>
      <w:r w:rsidRPr="008F03E5">
        <w:t>kín-Qalam.”</w:t>
      </w:r>
      <w:r w:rsidRPr="008F03E5">
        <w:br/>
        <w:t>“In the realm of calligraphy, the king who possesses the Banner, is the servant of the gate of Bahá [the Báb], Mi</w:t>
      </w:r>
      <w:r w:rsidRPr="008F03E5">
        <w:rPr>
          <w:u w:val="single"/>
        </w:rPr>
        <w:t>sh</w:t>
      </w:r>
      <w:r w:rsidRPr="008F03E5">
        <w:t>kín-Qalam.”</w:t>
      </w:r>
    </w:p>
    <w:p w14:paraId="0C05B558" w14:textId="77777777" w:rsidR="00625A5B" w:rsidRPr="008F03E5" w:rsidRDefault="00625A5B" w:rsidP="00C25E19">
      <w:pPr>
        <w:pStyle w:val="Translit"/>
        <w:rPr>
          <w:rFonts w:eastAsia="PMingLiU"/>
          <w:lang w:eastAsia="zh-TW"/>
        </w:rPr>
      </w:pPr>
      <w:r w:rsidRPr="008F03E5">
        <w:t>Diz-Abad, Dizabad</w:t>
      </w:r>
      <w:r w:rsidRPr="008F03E5">
        <w:tab/>
        <w:t>Díz-Ábád (Dízábád)</w:t>
      </w:r>
      <w:r w:rsidRPr="008F03E5">
        <w:tab/>
        <w:t>a village (34.490278, 49.181111) in Markazi Province</w:t>
      </w:r>
      <w:r>
        <w:t>.  A village (</w:t>
      </w:r>
      <w:r w:rsidRPr="00337EC9">
        <w:rPr>
          <w:rFonts w:eastAsia="PMingLiU"/>
          <w:lang w:eastAsia="zh-TW"/>
        </w:rPr>
        <w:t>36.423725, 52.806759</w:t>
      </w:r>
      <w:r>
        <w:rPr>
          <w:rFonts w:eastAsia="PMingLiU"/>
          <w:lang w:eastAsia="zh-TW"/>
        </w:rPr>
        <w:t>; “D</w:t>
      </w:r>
      <w:r w:rsidRPr="00337EC9">
        <w:t>í</w:t>
      </w:r>
      <w:r>
        <w:rPr>
          <w:rFonts w:eastAsia="PMingLiU"/>
          <w:lang w:eastAsia="zh-TW"/>
        </w:rPr>
        <w:t>zv</w:t>
      </w:r>
      <w:r w:rsidRPr="00337EC9">
        <w:t>á</w:t>
      </w:r>
      <w:r>
        <w:rPr>
          <w:rFonts w:eastAsia="PMingLiU"/>
          <w:lang w:eastAsia="zh-TW"/>
        </w:rPr>
        <w:t xml:space="preserve">” (“Dizva”); 1.3 km south of the Shrine of </w:t>
      </w:r>
      <w:r w:rsidRPr="00337EC9">
        <w:rPr>
          <w:rFonts w:eastAsia="PMingLiU"/>
          <w:u w:val="single"/>
          <w:lang w:eastAsia="zh-TW"/>
        </w:rPr>
        <w:t>Sh</w:t>
      </w:r>
      <w:r>
        <w:rPr>
          <w:rFonts w:eastAsia="PMingLiU"/>
          <w:lang w:eastAsia="zh-TW"/>
        </w:rPr>
        <w:t>ay</w:t>
      </w:r>
      <w:r w:rsidRPr="00337EC9">
        <w:rPr>
          <w:rFonts w:eastAsia="PMingLiU"/>
          <w:u w:val="single"/>
          <w:lang w:eastAsia="zh-TW"/>
        </w:rPr>
        <w:t>kh</w:t>
      </w:r>
      <w:r>
        <w:rPr>
          <w:rFonts w:eastAsia="PMingLiU"/>
          <w:lang w:eastAsia="zh-TW"/>
        </w:rPr>
        <w:t xml:space="preserve"> </w:t>
      </w:r>
      <w:r w:rsidRPr="00337EC9">
        <w:t>Ṭ</w:t>
      </w:r>
      <w:r>
        <w:rPr>
          <w:rFonts w:eastAsia="PMingLiU"/>
          <w:lang w:eastAsia="zh-TW"/>
        </w:rPr>
        <w:t>abars</w:t>
      </w:r>
      <w:r w:rsidRPr="00337EC9">
        <w:t>í</w:t>
      </w:r>
      <w:r>
        <w:rPr>
          <w:rFonts w:eastAsia="PMingLiU"/>
          <w:lang w:eastAsia="zh-TW"/>
        </w:rPr>
        <w:t xml:space="preserve">) </w:t>
      </w:r>
      <w:r w:rsidRPr="00337EC9">
        <w:t>in the Central District of Qaem Shahr County, Mazandaran Province</w:t>
      </w:r>
      <w:r>
        <w:t>.</w:t>
      </w:r>
    </w:p>
    <w:p w14:paraId="520AADBC" w14:textId="77777777" w:rsidR="00625A5B" w:rsidRDefault="00625A5B" w:rsidP="00D93C97">
      <w:pPr>
        <w:pStyle w:val="Translit"/>
        <w:rPr>
          <w:rFonts w:eastAsia="PMingLiU"/>
          <w:lang w:eastAsia="zh-TW"/>
        </w:rPr>
      </w:pPr>
      <w:r w:rsidRPr="008F03E5">
        <w:rPr>
          <w:rFonts w:eastAsia="PMingLiU"/>
          <w:lang w:eastAsia="zh-TW"/>
        </w:rPr>
        <w:t>Dizful (Dezful)</w:t>
      </w:r>
      <w:r w:rsidRPr="008F03E5">
        <w:rPr>
          <w:rFonts w:eastAsia="PMingLiU"/>
          <w:lang w:eastAsia="zh-TW"/>
        </w:rPr>
        <w:tab/>
        <w:t>Dizfúl</w:t>
      </w:r>
      <w:r w:rsidRPr="008F03E5">
        <w:rPr>
          <w:rFonts w:eastAsia="PMingLiU"/>
          <w:lang w:eastAsia="zh-TW"/>
        </w:rPr>
        <w:tab/>
        <w:t xml:space="preserve">a city and capital of Dezful County, Khuzestan Province, Iran.  120 km </w:t>
      </w:r>
      <w:r w:rsidRPr="008F03E5">
        <w:rPr>
          <w:rFonts w:eastAsia="PMingLiU"/>
          <w:sz w:val="16"/>
          <w:szCs w:val="16"/>
          <w:lang w:eastAsia="zh-TW"/>
        </w:rPr>
        <w:t>NNW</w:t>
      </w:r>
      <w:r w:rsidRPr="008F03E5">
        <w:rPr>
          <w:rFonts w:eastAsia="PMingLiU"/>
          <w:lang w:eastAsia="zh-TW"/>
        </w:rPr>
        <w:t xml:space="preserve"> of Ahvaz.</w:t>
      </w:r>
    </w:p>
    <w:p w14:paraId="7EB7EB0C" w14:textId="77777777" w:rsidR="00625A5B" w:rsidRPr="008F03E5" w:rsidRDefault="00625A5B" w:rsidP="00BB42A6">
      <w:pPr>
        <w:pStyle w:val="Translit"/>
        <w:rPr>
          <w:rFonts w:eastAsia="PMingLiU"/>
          <w:lang w:eastAsia="zh-TW"/>
        </w:rPr>
      </w:pPr>
      <w:r w:rsidRPr="008F03E5">
        <w:rPr>
          <w:rFonts w:eastAsia="PMingLiU"/>
          <w:lang w:eastAsia="zh-TW"/>
        </w:rPr>
        <w:t>Dizij Abad (Dizaj Abad)</w:t>
      </w:r>
      <w:r w:rsidRPr="008F03E5">
        <w:rPr>
          <w:rFonts w:eastAsia="PMingLiU"/>
          <w:lang w:eastAsia="zh-TW"/>
        </w:rPr>
        <w:tab/>
        <w:t>D</w:t>
      </w:r>
      <w:r w:rsidRPr="008F03E5">
        <w:t>í</w:t>
      </w:r>
      <w:r w:rsidRPr="008F03E5">
        <w:rPr>
          <w:rFonts w:eastAsia="PMingLiU"/>
          <w:lang w:eastAsia="zh-TW"/>
        </w:rPr>
        <w:t xml:space="preserve">zij </w:t>
      </w:r>
      <w:r w:rsidRPr="008F03E5">
        <w:t>Á</w:t>
      </w:r>
      <w:r w:rsidRPr="008F03E5">
        <w:rPr>
          <w:rFonts w:eastAsia="PMingLiU"/>
          <w:lang w:eastAsia="zh-TW"/>
        </w:rPr>
        <w:t>b</w:t>
      </w:r>
      <w:r w:rsidRPr="008F03E5">
        <w:t>á</w:t>
      </w:r>
      <w:r w:rsidRPr="008F03E5">
        <w:rPr>
          <w:rFonts w:eastAsia="PMingLiU"/>
          <w:lang w:eastAsia="zh-TW"/>
        </w:rPr>
        <w:t>d</w:t>
      </w:r>
      <w:r w:rsidRPr="008F03E5">
        <w:rPr>
          <w:rFonts w:eastAsia="PMingLiU"/>
          <w:lang w:eastAsia="zh-TW"/>
        </w:rPr>
        <w:tab/>
        <w:t xml:space="preserve">village </w:t>
      </w:r>
      <w:r w:rsidRPr="008F03E5">
        <w:t>(36.628908, 48.595490)</w:t>
      </w:r>
      <w:r w:rsidRPr="008F03E5">
        <w:rPr>
          <w:rFonts w:eastAsia="PMingLiU"/>
          <w:lang w:eastAsia="zh-TW"/>
        </w:rPr>
        <w:t xml:space="preserve"> 11 km </w:t>
      </w:r>
      <w:r w:rsidRPr="008F03E5">
        <w:rPr>
          <w:sz w:val="16"/>
          <w:szCs w:val="16"/>
        </w:rPr>
        <w:t>ESE</w:t>
      </w:r>
      <w:r w:rsidRPr="008F03E5">
        <w:rPr>
          <w:rFonts w:eastAsia="PMingLiU"/>
          <w:lang w:eastAsia="zh-TW"/>
        </w:rPr>
        <w:t xml:space="preserve"> of the centre of Zanjan</w:t>
      </w:r>
    </w:p>
    <w:p w14:paraId="70C11ED2" w14:textId="77777777" w:rsidR="00625A5B" w:rsidRDefault="00625A5B" w:rsidP="007971D2">
      <w:pPr>
        <w:pStyle w:val="Translit"/>
      </w:pPr>
      <w:r w:rsidRPr="007971D2">
        <w:t>Dolgorukov (Dolgorouki)</w:t>
      </w:r>
      <w:r w:rsidRPr="007971D2">
        <w:tab/>
        <w:t>Dolgorukov</w:t>
      </w:r>
      <w:r w:rsidRPr="007971D2">
        <w:tab/>
        <w:t>Prince Dimitri Ivanovich Dolgorukov (1797–1867) was a Russian career diplomat born into one of the most prominent Russian families.  He held a number diplomatic posts:  Constantinople and Madrid (1826–1830); The Hague (1832–1837), Naples (1838</w:t>
      </w:r>
      <w:r>
        <w:t>–</w:t>
      </w:r>
      <w:r w:rsidRPr="007971D2">
        <w:t>1842), and again in Constantinople</w:t>
      </w:r>
      <w:r>
        <w:t xml:space="preserve"> (</w:t>
      </w:r>
      <w:r w:rsidRPr="00A36305">
        <w:t>1842</w:t>
      </w:r>
      <w:r>
        <w:t>–</w:t>
      </w:r>
      <w:r w:rsidRPr="00A36305">
        <w:t>1845</w:t>
      </w:r>
      <w:r>
        <w:t>)</w:t>
      </w:r>
      <w:r w:rsidRPr="00A36305">
        <w:t>.</w:t>
      </w:r>
      <w:r>
        <w:t xml:space="preserve">  </w:t>
      </w:r>
      <w:r w:rsidRPr="00A36305">
        <w:t xml:space="preserve">He was the Russian Minister in Iran </w:t>
      </w:r>
      <w:r>
        <w:t>(1</w:t>
      </w:r>
      <w:r w:rsidRPr="00A36305">
        <w:t>845</w:t>
      </w:r>
      <w:r>
        <w:t>–</w:t>
      </w:r>
      <w:r w:rsidRPr="00A36305">
        <w:t>1854</w:t>
      </w:r>
      <w:r>
        <w:t>)</w:t>
      </w:r>
      <w:r w:rsidRPr="00A36305">
        <w:t>.</w:t>
      </w:r>
    </w:p>
    <w:p w14:paraId="3BC85B0C" w14:textId="77777777" w:rsidR="00625A5B" w:rsidRPr="008F03E5" w:rsidRDefault="00625A5B" w:rsidP="00F254F5">
      <w:pPr>
        <w:pStyle w:val="Translit"/>
      </w:pPr>
      <w:r w:rsidRPr="008F03E5">
        <w:t>Droshky (Doroshky, Durushkih)</w:t>
      </w:r>
      <w:r w:rsidRPr="008F03E5">
        <w:tab/>
        <w:t>Droshky, Pers. Duru</w:t>
      </w:r>
      <w:r w:rsidRPr="008F03E5">
        <w:rPr>
          <w:u w:val="single"/>
        </w:rPr>
        <w:t>sh</w:t>
      </w:r>
      <w:r w:rsidRPr="008F03E5">
        <w:t>kih</w:t>
      </w:r>
      <w:r w:rsidRPr="008F03E5">
        <w:tab/>
        <w:t>a low four-wheeled open carriage once used in Russia</w:t>
      </w:r>
    </w:p>
    <w:p w14:paraId="10599F79" w14:textId="77777777" w:rsidR="00625A5B" w:rsidRPr="00D45A23" w:rsidRDefault="00625A5B" w:rsidP="00953D9E">
      <w:pPr>
        <w:pStyle w:val="Translit"/>
        <w:rPr>
          <w:rFonts w:eastAsia="PMingLiU"/>
          <w:lang w:val="fr-FR" w:eastAsia="zh-TW"/>
        </w:rPr>
      </w:pPr>
      <w:r w:rsidRPr="00D45A23">
        <w:rPr>
          <w:rFonts w:eastAsia="PMingLiU"/>
          <w:lang w:val="fr-FR" w:eastAsia="zh-TW"/>
        </w:rPr>
        <w:t>Du, Do</w:t>
      </w:r>
      <w:r w:rsidRPr="00D45A23">
        <w:rPr>
          <w:rFonts w:eastAsia="PMingLiU"/>
          <w:lang w:val="fr-FR" w:eastAsia="zh-TW"/>
        </w:rPr>
        <w:tab/>
        <w:t>D</w:t>
      </w:r>
      <w:r w:rsidRPr="00D45A23">
        <w:rPr>
          <w:lang w:val="fr-FR"/>
        </w:rPr>
        <w:t>ú, Du, Do</w:t>
      </w:r>
      <w:r w:rsidRPr="00D45A23">
        <w:rPr>
          <w:rFonts w:eastAsia="PMingLiU"/>
          <w:lang w:val="fr-FR" w:eastAsia="zh-TW"/>
        </w:rPr>
        <w:tab/>
        <w:t>Pers. two</w:t>
      </w:r>
    </w:p>
    <w:p w14:paraId="59479CB4" w14:textId="77777777" w:rsidR="00625A5B" w:rsidRPr="008F03E5" w:rsidRDefault="00625A5B" w:rsidP="003227DB">
      <w:pPr>
        <w:pStyle w:val="Translit"/>
      </w:pPr>
      <w:r w:rsidRPr="008F03E5">
        <w:t>Du’a’ al-Baha’</w:t>
      </w:r>
      <w:r w:rsidRPr="008F03E5">
        <w:tab/>
        <w:t>Du‘á’ al-Bahá’</w:t>
      </w:r>
      <w:r w:rsidRPr="008F03E5">
        <w:tab/>
        <w:t>(</w:t>
      </w:r>
      <w:r>
        <w:t xml:space="preserve">also </w:t>
      </w:r>
      <w:r w:rsidRPr="008F03E5">
        <w:t xml:space="preserve">known as Du‘á’ as-Saḥar, “Supplication of pre-dawn”) is a prayer recommended to Muslims to recite during the pre-dawns of Ramaḍán.  The prayer contains the names (and </w:t>
      </w:r>
      <w:r>
        <w:t xml:space="preserve">in </w:t>
      </w:r>
      <w:r w:rsidRPr="008F03E5">
        <w:t>the same order), which refer to attributes of God, of the months adopted by the Báb for the Badí‘ calendar.  This prayer also gives precedence to the name Bahá’ (4 times in the first verse), which apparently does not appear in the Qur’án.  “I beseech Thee by Thy Splendour (Bahá’) at its most splendid (abhá’) for all Thy Splendour (</w:t>
      </w:r>
      <w:r>
        <w:t>B</w:t>
      </w:r>
      <w:r w:rsidRPr="008F03E5">
        <w:t xml:space="preserve">ahá’) is truly resplendent (bahíy).  I, verily, O my God! beseech Thee by the fullness of Thy Splendour (bahá’).  See </w:t>
      </w:r>
      <w:r w:rsidRPr="008F03E5">
        <w:rPr>
          <w:u w:val="single"/>
        </w:rPr>
        <w:t>Sh</w:t>
      </w:r>
      <w:r w:rsidRPr="008F03E5">
        <w:t>ay</w:t>
      </w:r>
      <w:r w:rsidRPr="008F03E5">
        <w:rPr>
          <w:u w:val="single"/>
        </w:rPr>
        <w:t>kh</w:t>
      </w:r>
      <w:r w:rsidRPr="008F03E5">
        <w:t xml:space="preserve"> Bahá’</w:t>
      </w:r>
      <w:r>
        <w:t>í</w:t>
      </w:r>
      <w:r w:rsidRPr="008F03E5">
        <w:t>.</w:t>
      </w:r>
    </w:p>
    <w:p w14:paraId="2B5384A0" w14:textId="77777777" w:rsidR="00625A5B" w:rsidRPr="008F03E5" w:rsidRDefault="00625A5B" w:rsidP="000151ED">
      <w:pPr>
        <w:pStyle w:val="Translit"/>
        <w:rPr>
          <w:rFonts w:eastAsia="PMingLiU"/>
          <w:lang w:eastAsia="zh-TW"/>
        </w:rPr>
      </w:pPr>
      <w:r w:rsidRPr="008F03E5">
        <w:rPr>
          <w:rFonts w:eastAsia="PMingLiU"/>
          <w:lang w:eastAsia="zh-TW"/>
        </w:rPr>
        <w:t>Du’a’</w:t>
      </w:r>
      <w:r w:rsidRPr="008F03E5">
        <w:rPr>
          <w:rFonts w:eastAsia="PMingLiU"/>
          <w:lang w:eastAsia="zh-TW"/>
        </w:rPr>
        <w:tab/>
        <w:t>Du‘á’, pl. Ad‘iya[h or t]</w:t>
      </w:r>
      <w:r w:rsidRPr="008F03E5">
        <w:t>, Pers. Ad‘iyyih</w:t>
      </w:r>
      <w:r w:rsidRPr="008F03E5">
        <w:rPr>
          <w:rFonts w:eastAsia="PMingLiU"/>
          <w:lang w:eastAsia="zh-TW"/>
        </w:rPr>
        <w:tab/>
        <w:t>call; invocation of God, supplication, prayer; request, plea; good wish; imprecation, course.  Prayer (supplication) for certain occasions and requirements.</w:t>
      </w:r>
    </w:p>
    <w:p w14:paraId="3E13C2CB" w14:textId="77777777" w:rsidR="00625A5B" w:rsidRPr="00EE1721" w:rsidRDefault="00625A5B" w:rsidP="00EE1721">
      <w:pPr>
        <w:pStyle w:val="Translit"/>
      </w:pPr>
      <w:r w:rsidRPr="008F03E5">
        <w:t>Du’ab</w:t>
      </w:r>
      <w:r>
        <w:t xml:space="preserve"> (Doab)</w:t>
      </w:r>
      <w:r w:rsidRPr="008F03E5">
        <w:tab/>
        <w:t>Dú’áb</w:t>
      </w:r>
      <w:r w:rsidRPr="008F03E5">
        <w:tab/>
        <w:t>Pers.  “two” + “water”, water-rich tract of land lying betwe</w:t>
      </w:r>
      <w:r w:rsidRPr="00EE1721">
        <w:t>en two converging, or confluent, rivers.  Village (36.017927, 53.046496) in Mazandaran Province.</w:t>
      </w:r>
    </w:p>
    <w:p w14:paraId="1724C954" w14:textId="77777777" w:rsidR="00625A5B" w:rsidRDefault="00625A5B" w:rsidP="009159F1">
      <w:pPr>
        <w:pStyle w:val="Translit"/>
      </w:pPr>
      <w:r>
        <w:rPr>
          <w:rFonts w:eastAsia="Times New Roman"/>
        </w:rPr>
        <w:t>Dudman</w:t>
      </w:r>
      <w:r>
        <w:rPr>
          <w:rFonts w:eastAsia="Times New Roman"/>
        </w:rPr>
        <w:tab/>
        <w:t>D</w:t>
      </w:r>
      <w:r w:rsidRPr="00970B6C">
        <w:rPr>
          <w:rFonts w:eastAsia="Times New Roman"/>
        </w:rPr>
        <w:t>údmán</w:t>
      </w:r>
      <w:r>
        <w:rPr>
          <w:rFonts w:eastAsia="Times New Roman"/>
        </w:rPr>
        <w:tab/>
        <w:t>Pers. a</w:t>
      </w:r>
      <w:r w:rsidRPr="00AF4D34">
        <w:rPr>
          <w:rFonts w:eastAsia="Times New Roman"/>
        </w:rPr>
        <w:t xml:space="preserve"> great tribe, family, illustrious house; generation, race; fragrance</w:t>
      </w:r>
      <w:r>
        <w:rPr>
          <w:rFonts w:eastAsia="Times New Roman"/>
        </w:rPr>
        <w:t>; dynasty</w:t>
      </w:r>
    </w:p>
    <w:p w14:paraId="794C5E59" w14:textId="77777777" w:rsidR="00625A5B" w:rsidRPr="008F03E5" w:rsidRDefault="00625A5B" w:rsidP="00EE6DF5">
      <w:pPr>
        <w:pStyle w:val="Translit"/>
      </w:pPr>
      <w:r w:rsidRPr="008F03E5">
        <w:t>Dugh</w:t>
      </w:r>
      <w:r w:rsidRPr="008F03E5">
        <w:tab/>
        <w:t>Dú</w:t>
      </w:r>
      <w:r w:rsidRPr="008F03E5">
        <w:rPr>
          <w:u w:val="single"/>
        </w:rPr>
        <w:t>gh</w:t>
      </w:r>
      <w:r w:rsidRPr="008F03E5">
        <w:tab/>
        <w:t>Pers. a mixture of yoghurt and water, to which mint salt and pepper may be added.</w:t>
      </w:r>
    </w:p>
    <w:p w14:paraId="01CC7D70" w14:textId="77777777" w:rsidR="00625A5B" w:rsidRPr="008F03E5" w:rsidRDefault="00625A5B" w:rsidP="00EE6DF5">
      <w:pPr>
        <w:pStyle w:val="Translit"/>
      </w:pPr>
      <w:r w:rsidRPr="008F03E5">
        <w:t>Dugh-Abad (Dughabad)</w:t>
      </w:r>
      <w:r w:rsidRPr="008F03E5">
        <w:tab/>
        <w:t>Dú</w:t>
      </w:r>
      <w:r w:rsidRPr="008F03E5">
        <w:rPr>
          <w:u w:val="single"/>
        </w:rPr>
        <w:t>gh</w:t>
      </w:r>
      <w:r w:rsidRPr="008F03E5">
        <w:t>-Ábád</w:t>
      </w:r>
      <w:r w:rsidRPr="008F03E5">
        <w:tab/>
        <w:t xml:space="preserve">village (35.085454, 58.854295) in Razavi Khorasan Province, Iran.  It is 150 km </w:t>
      </w:r>
      <w:r w:rsidRPr="008F03E5">
        <w:rPr>
          <w:sz w:val="16"/>
          <w:szCs w:val="16"/>
        </w:rPr>
        <w:t>SW</w:t>
      </w:r>
      <w:r w:rsidRPr="008F03E5">
        <w:rPr>
          <w:i/>
          <w:iCs/>
        </w:rPr>
        <w:t xml:space="preserve"> </w:t>
      </w:r>
      <w:r w:rsidRPr="008F03E5">
        <w:t>of Ma</w:t>
      </w:r>
      <w:r w:rsidRPr="008F03E5">
        <w:rPr>
          <w:u w:val="single"/>
        </w:rPr>
        <w:t>sh</w:t>
      </w:r>
      <w:r w:rsidRPr="008F03E5">
        <w:t>had.  Named Fúrú</w:t>
      </w:r>
      <w:r w:rsidRPr="008F03E5">
        <w:rPr>
          <w:u w:val="single"/>
        </w:rPr>
        <w:t>gh</w:t>
      </w:r>
      <w:r w:rsidRPr="008F03E5">
        <w:t xml:space="preserve"> by Bahá’u’lláh.</w:t>
      </w:r>
    </w:p>
    <w:p w14:paraId="1CF4E3F8" w14:textId="77777777" w:rsidR="00625A5B" w:rsidRPr="008F03E5" w:rsidRDefault="00625A5B" w:rsidP="00634265">
      <w:pPr>
        <w:pStyle w:val="Translit"/>
      </w:pPr>
      <w:r w:rsidRPr="008F03E5">
        <w:t>Duhan, Duha, Zuha, Zuhwat</w:t>
      </w:r>
      <w:r w:rsidRPr="008F03E5">
        <w:tab/>
        <w:t>Ḍuḥan, Ḍuḥá, Pers. Ḍuḥwat</w:t>
      </w:r>
      <w:r w:rsidRPr="008F03E5">
        <w:tab/>
        <w:t>forenoon, luncheon-time</w:t>
      </w:r>
    </w:p>
    <w:p w14:paraId="79DA4FFF" w14:textId="77777777" w:rsidR="00625A5B" w:rsidRPr="008F03E5" w:rsidRDefault="00625A5B" w:rsidP="00FD3159">
      <w:pPr>
        <w:pStyle w:val="Translit"/>
      </w:pPr>
      <w:r w:rsidRPr="008F03E5">
        <w:t>Dukhan, Dukkan, Adkhina</w:t>
      </w:r>
      <w:r w:rsidRPr="008F03E5">
        <w:tab/>
        <w:t>Du</w:t>
      </w:r>
      <w:r w:rsidRPr="008F03E5">
        <w:rPr>
          <w:u w:val="single"/>
        </w:rPr>
        <w:t>kh</w:t>
      </w:r>
      <w:r w:rsidRPr="008F03E5">
        <w:t>án (Du</w:t>
      </w:r>
      <w:r w:rsidRPr="008F03E5">
        <w:rPr>
          <w:u w:val="single"/>
        </w:rPr>
        <w:t>khkh</w:t>
      </w:r>
      <w:r w:rsidRPr="008F03E5">
        <w:t>án), pl. Ad</w:t>
      </w:r>
      <w:r w:rsidRPr="008F03E5">
        <w:rPr>
          <w:u w:val="single"/>
        </w:rPr>
        <w:t>kh</w:t>
      </w:r>
      <w:r w:rsidRPr="008F03E5">
        <w:t>ina</w:t>
      </w:r>
      <w:r w:rsidRPr="008F03E5">
        <w:tab/>
        <w:t>smoke, fume, vapour; tobacco</w:t>
      </w:r>
    </w:p>
    <w:p w14:paraId="473BF59A" w14:textId="77777777" w:rsidR="00625A5B" w:rsidRPr="008F03E5" w:rsidRDefault="00625A5B" w:rsidP="00CE6CEC">
      <w:pPr>
        <w:pStyle w:val="Translit"/>
      </w:pPr>
      <w:r w:rsidRPr="008F03E5">
        <w:rPr>
          <w:rFonts w:eastAsia="Times New Roman"/>
        </w:rPr>
        <w:t>Dukht</w:t>
      </w:r>
      <w:r w:rsidRPr="008F03E5">
        <w:rPr>
          <w:rFonts w:eastAsia="Times New Roman"/>
        </w:rPr>
        <w:tab/>
        <w:t>Du</w:t>
      </w:r>
      <w:r w:rsidRPr="008F03E5">
        <w:rPr>
          <w:rFonts w:eastAsia="Times New Roman"/>
          <w:u w:val="single"/>
        </w:rPr>
        <w:t>kh</w:t>
      </w:r>
      <w:r w:rsidRPr="008F03E5">
        <w:rPr>
          <w:rFonts w:eastAsia="Times New Roman"/>
        </w:rPr>
        <w:t>t</w:t>
      </w:r>
      <w:r w:rsidRPr="008F03E5">
        <w:rPr>
          <w:rFonts w:eastAsia="Times New Roman"/>
        </w:rPr>
        <w:tab/>
        <w:t>Pers. a daughter; a virgin; ability, strength; contempt and hatred</w:t>
      </w:r>
    </w:p>
    <w:p w14:paraId="6249FA79" w14:textId="77777777" w:rsidR="00625A5B" w:rsidRPr="008F03E5" w:rsidRDefault="00625A5B" w:rsidP="000F159F">
      <w:pPr>
        <w:pStyle w:val="Translit"/>
      </w:pPr>
      <w:r w:rsidRPr="008F03E5">
        <w:t>Dukhtar, Dukhtaran</w:t>
      </w:r>
      <w:r w:rsidRPr="008F03E5">
        <w:tab/>
        <w:t>Du</w:t>
      </w:r>
      <w:r w:rsidRPr="008F03E5">
        <w:rPr>
          <w:u w:val="single"/>
        </w:rPr>
        <w:t>kh</w:t>
      </w:r>
      <w:r w:rsidRPr="008F03E5">
        <w:t>tar, pl. Du</w:t>
      </w:r>
      <w:r w:rsidRPr="008F03E5">
        <w:rPr>
          <w:u w:val="single"/>
        </w:rPr>
        <w:t>kh</w:t>
      </w:r>
      <w:r w:rsidRPr="008F03E5">
        <w:t>tarán</w:t>
      </w:r>
      <w:r w:rsidRPr="008F03E5">
        <w:tab/>
        <w:t>Pers.</w:t>
      </w:r>
      <w:r w:rsidRPr="008F03E5">
        <w:rPr>
          <w:rFonts w:eastAsia="Times New Roman"/>
        </w:rPr>
        <w:t xml:space="preserve"> a daughter; a girl; a virgin; power, strength</w:t>
      </w:r>
    </w:p>
    <w:p w14:paraId="4B1AD284" w14:textId="77777777" w:rsidR="00625A5B" w:rsidRPr="008F03E5" w:rsidRDefault="00625A5B" w:rsidP="008370A6">
      <w:pPr>
        <w:pStyle w:val="Translit"/>
      </w:pPr>
      <w:r w:rsidRPr="008F03E5">
        <w:t>Duldul, Daladil</w:t>
      </w:r>
      <w:r w:rsidRPr="008F03E5">
        <w:tab/>
        <w:t>Duldul and Duldúl, pl. Daládil</w:t>
      </w:r>
      <w:r w:rsidRPr="008F03E5">
        <w:tab/>
        <w:t>porcupine; the name of a mule gifted to Muḥammad by al-Muqawqis, probably the governor of Egypt.  See Ya‘fúr.</w:t>
      </w:r>
    </w:p>
    <w:p w14:paraId="5F0AF4A2" w14:textId="77777777" w:rsidR="00625A5B" w:rsidRPr="008F03E5" w:rsidRDefault="00625A5B" w:rsidP="008370A6">
      <w:pPr>
        <w:pStyle w:val="Translit"/>
      </w:pPr>
      <w:r w:rsidRPr="008F03E5">
        <w:t>Dumit</w:t>
      </w:r>
      <w:r w:rsidRPr="008F03E5">
        <w:tab/>
        <w:t>Ḍúmiṭ</w:t>
      </w:r>
      <w:r w:rsidRPr="008F03E5">
        <w:tab/>
        <w:t>‘Azíz Sulaymán Ḍúmiṭ (fanatical Christian)—his house (since demolished) was on eastern side of the Pilgrim House near the Shrine of the Báb.  He erected a large illuminated cross on the roof of his house.</w:t>
      </w:r>
    </w:p>
    <w:p w14:paraId="4257CD28" w14:textId="77777777" w:rsidR="00625A5B" w:rsidRPr="008F03E5" w:rsidRDefault="00625A5B" w:rsidP="005E2947">
      <w:pPr>
        <w:pStyle w:val="Translit"/>
      </w:pPr>
      <w:r w:rsidRPr="008F03E5">
        <w:t>Dunam</w:t>
      </w:r>
      <w:r w:rsidRPr="008F03E5">
        <w:tab/>
        <w:t>Dunam</w:t>
      </w:r>
      <w:r w:rsidRPr="008F03E5">
        <w:tab/>
        <w:t>Ottoman Turkish origin.  Modern metric unit is 0.1 ha of land (about 0.25 acre).</w:t>
      </w:r>
    </w:p>
    <w:p w14:paraId="3D665D5C" w14:textId="77777777" w:rsidR="00625A5B" w:rsidRPr="008F03E5" w:rsidRDefault="00625A5B" w:rsidP="00A47E71">
      <w:pPr>
        <w:pStyle w:val="Translit"/>
      </w:pPr>
      <w:r w:rsidRPr="00077779">
        <w:rPr>
          <w:lang w:val="es-ES_tradnl"/>
        </w:rPr>
        <w:t>Durar al-Baha’iya, Durar</w:t>
      </w:r>
      <w:r w:rsidRPr="00077779" w:rsidDel="005E7798">
        <w:rPr>
          <w:lang w:val="es-ES_tradnl"/>
        </w:rPr>
        <w:t>’</w:t>
      </w:r>
      <w:r w:rsidRPr="00077779">
        <w:rPr>
          <w:lang w:val="es-ES_tradnl"/>
        </w:rPr>
        <w:t>u’l-Baha’iya</w:t>
      </w:r>
      <w:r w:rsidRPr="00077779">
        <w:rPr>
          <w:lang w:val="es-ES_tradnl"/>
        </w:rPr>
        <w:tab/>
        <w:t>ad-Durar al-Bahá’íya</w:t>
      </w:r>
      <w:r w:rsidRPr="00077779">
        <w:rPr>
          <w:lang w:val="es-ES_tradnl"/>
        </w:rPr>
        <w:tab/>
        <w:t xml:space="preserve">Pers. </w:t>
      </w:r>
      <w:r w:rsidRPr="008F03E5">
        <w:t xml:space="preserve">Duraru’l-Bahá’íyyah (or -ih) or ad-Durar al-Bahiyyah (Dorar-ul-Bahiyyih) “The Brilliant Pearls” by Mírzá Abu’l-Faḍl, translated into English and published as </w:t>
      </w:r>
      <w:r w:rsidRPr="008F03E5">
        <w:rPr>
          <w:i/>
          <w:iCs/>
        </w:rPr>
        <w:t>Miracles and Metaphors.</w:t>
      </w:r>
    </w:p>
    <w:p w14:paraId="1B18667E" w14:textId="77777777" w:rsidR="00625A5B" w:rsidRPr="008F03E5" w:rsidRDefault="00625A5B" w:rsidP="006159E4">
      <w:pPr>
        <w:pStyle w:val="Translit"/>
      </w:pPr>
      <w:r w:rsidRPr="008F03E5">
        <w:t>Durr</w:t>
      </w:r>
      <w:r w:rsidRPr="008F03E5">
        <w:tab/>
        <w:t>Durr</w:t>
      </w:r>
      <w:r w:rsidRPr="008F03E5">
        <w:tab/>
        <w:t>(collective) pearls</w:t>
      </w:r>
    </w:p>
    <w:p w14:paraId="1220C1F9" w14:textId="77777777" w:rsidR="00625A5B" w:rsidRPr="008F03E5" w:rsidRDefault="00625A5B" w:rsidP="009C24BF">
      <w:pPr>
        <w:pStyle w:val="Translit"/>
      </w:pPr>
      <w:r w:rsidRPr="008F03E5">
        <w:t>Durra, Durrun, Durar</w:t>
      </w:r>
      <w:r w:rsidRPr="008F03E5">
        <w:tab/>
        <w:t>Durra[t], Durrun, pl. Durar</w:t>
      </w:r>
      <w:r w:rsidRPr="008F03E5">
        <w:tab/>
        <w:t>pearl, e.g. Durratu’l-Bahá’íyya</w:t>
      </w:r>
    </w:p>
    <w:p w14:paraId="0DBE2AE7" w14:textId="77777777" w:rsidR="00625A5B" w:rsidRPr="008F03E5" w:rsidRDefault="00625A5B" w:rsidP="001B1D67">
      <w:pPr>
        <w:pStyle w:val="Translit"/>
        <w:rPr>
          <w:rFonts w:eastAsia="Times New Roman"/>
        </w:rPr>
      </w:pPr>
      <w:r w:rsidRPr="005C33E9">
        <w:rPr>
          <w:rFonts w:eastAsia="Times New Roman"/>
        </w:rPr>
        <w:t>Durri, Darri, Dirri</w:t>
      </w:r>
      <w:r w:rsidRPr="005C33E9">
        <w:rPr>
          <w:rFonts w:eastAsia="Times New Roman"/>
        </w:rPr>
        <w:tab/>
        <w:t xml:space="preserve">Durrí, (Pers. </w:t>
      </w:r>
      <w:r w:rsidRPr="008F03E5">
        <w:rPr>
          <w:rFonts w:eastAsia="Times New Roman"/>
        </w:rPr>
        <w:t>Darrí, Dirrí)</w:t>
      </w:r>
      <w:r w:rsidRPr="008F03E5">
        <w:rPr>
          <w:rFonts w:eastAsia="Times New Roman"/>
        </w:rPr>
        <w:tab/>
        <w:t>glittering, twinkling, brilliant (star), a sparkling star glittering like a gem</w:t>
      </w:r>
    </w:p>
    <w:p w14:paraId="5380914B" w14:textId="77777777" w:rsidR="00625A5B" w:rsidRPr="008F03E5" w:rsidRDefault="00625A5B" w:rsidP="00775318">
      <w:pPr>
        <w:pStyle w:val="Translit"/>
      </w:pPr>
      <w:r w:rsidRPr="008F03E5">
        <w:t>Durriya</w:t>
      </w:r>
      <w:r w:rsidRPr="008F03E5">
        <w:tab/>
        <w:t>Durríya[h or t]</w:t>
      </w:r>
      <w:r w:rsidRPr="008F03E5">
        <w:tab/>
        <w:t>brightly shine</w:t>
      </w:r>
    </w:p>
    <w:p w14:paraId="0652DEFD" w14:textId="77777777" w:rsidR="00625A5B" w:rsidRPr="008F03E5" w:rsidRDefault="00625A5B" w:rsidP="000E4006">
      <w:pPr>
        <w:pStyle w:val="Translit"/>
      </w:pPr>
      <w:r w:rsidRPr="008F03E5">
        <w:t>Durud</w:t>
      </w:r>
      <w:r w:rsidRPr="008F03E5">
        <w:tab/>
        <w:t>Durúd</w:t>
      </w:r>
      <w:r w:rsidRPr="008F03E5">
        <w:tab/>
        <w:t xml:space="preserve">(Dorud) place 260 km </w:t>
      </w:r>
      <w:r w:rsidRPr="008F03E5">
        <w:rPr>
          <w:sz w:val="16"/>
          <w:szCs w:val="16"/>
        </w:rPr>
        <w:t>NW</w:t>
      </w:r>
      <w:r w:rsidRPr="008F03E5">
        <w:t xml:space="preserve"> of Isfahan</w:t>
      </w:r>
    </w:p>
    <w:p w14:paraId="3441433D" w14:textId="77777777" w:rsidR="00625A5B" w:rsidRPr="008F03E5" w:rsidRDefault="00625A5B" w:rsidP="00FD22FF">
      <w:pPr>
        <w:pStyle w:val="Translit"/>
      </w:pPr>
      <w:r w:rsidRPr="008F03E5">
        <w:t>Durukhshan, Derakhshan</w:t>
      </w:r>
      <w:r w:rsidRPr="008F03E5">
        <w:tab/>
        <w:t>Duru</w:t>
      </w:r>
      <w:r w:rsidRPr="008F03E5">
        <w:rPr>
          <w:u w:val="single"/>
        </w:rPr>
        <w:t>khsh</w:t>
      </w:r>
      <w:r w:rsidRPr="008F03E5">
        <w:t>án</w:t>
      </w:r>
      <w:r w:rsidRPr="008F03E5">
        <w:tab/>
        <w:t>Pers. (pronounced Derakhshan) shining, flashing</w:t>
      </w:r>
    </w:p>
    <w:p w14:paraId="46BD3EE5" w14:textId="77777777" w:rsidR="00625A5B" w:rsidRPr="008F03E5" w:rsidRDefault="00625A5B" w:rsidP="00276E7C">
      <w:pPr>
        <w:pStyle w:val="Translit"/>
      </w:pPr>
      <w:r w:rsidRPr="00077779">
        <w:t>Durzi, Darzi, Duruz</w:t>
      </w:r>
      <w:r w:rsidRPr="00077779">
        <w:tab/>
        <w:t xml:space="preserve">Durzí, Darzí, pl. </w:t>
      </w:r>
      <w:r w:rsidRPr="008F03E5">
        <w:t>Durúz</w:t>
      </w:r>
      <w:r w:rsidRPr="008F03E5">
        <w:tab/>
        <w:t>Druze.  The name is derived from the name of Muḥammad bin Ismá‘íl Na</w:t>
      </w:r>
      <w:r w:rsidRPr="008F03E5">
        <w:rPr>
          <w:u w:val="single"/>
        </w:rPr>
        <w:t>sh</w:t>
      </w:r>
      <w:r w:rsidRPr="008F03E5">
        <w:t>takín ad-Darazí (from Persian darzí, “tailor”) who was an early preacher.  However, the people prefer the name al-Muwaḥḥidún (“Unitarian” or “people of monotheism”)</w:t>
      </w:r>
    </w:p>
    <w:p w14:paraId="6522B8D2" w14:textId="77777777" w:rsidR="00625A5B" w:rsidRPr="008F03E5" w:rsidRDefault="00625A5B" w:rsidP="00D40AC3">
      <w:pPr>
        <w:pStyle w:val="Translit"/>
      </w:pPr>
      <w:r w:rsidRPr="008F03E5">
        <w:rPr>
          <w:rFonts w:eastAsia="PMingLiU"/>
          <w:lang w:eastAsia="zh-TW"/>
        </w:rPr>
        <w:t>Dust (Dost), Dustan</w:t>
      </w:r>
      <w:r w:rsidRPr="008F03E5">
        <w:rPr>
          <w:rFonts w:eastAsia="PMingLiU"/>
          <w:lang w:eastAsia="zh-TW"/>
        </w:rPr>
        <w:tab/>
        <w:t>D</w:t>
      </w:r>
      <w:r w:rsidRPr="008F03E5">
        <w:t>ú</w:t>
      </w:r>
      <w:r w:rsidRPr="008F03E5">
        <w:rPr>
          <w:rFonts w:eastAsia="PMingLiU"/>
          <w:lang w:eastAsia="zh-TW"/>
        </w:rPr>
        <w:t>st, pl. D</w:t>
      </w:r>
      <w:r w:rsidRPr="008F03E5">
        <w:t>ú</w:t>
      </w:r>
      <w:r w:rsidRPr="008F03E5">
        <w:rPr>
          <w:rFonts w:eastAsia="PMingLiU"/>
          <w:lang w:eastAsia="zh-TW"/>
        </w:rPr>
        <w:t>st</w:t>
      </w:r>
      <w:r w:rsidRPr="008F03E5">
        <w:t>á</w:t>
      </w:r>
      <w:r w:rsidRPr="008F03E5">
        <w:rPr>
          <w:rFonts w:eastAsia="PMingLiU"/>
          <w:lang w:eastAsia="zh-TW"/>
        </w:rPr>
        <w:t>n</w:t>
      </w:r>
      <w:r w:rsidRPr="008F03E5">
        <w:rPr>
          <w:rFonts w:eastAsia="PMingLiU"/>
          <w:lang w:eastAsia="zh-TW"/>
        </w:rPr>
        <w:tab/>
        <w:t>Pers. friend; lover; mistress, sweetheart.  D</w:t>
      </w:r>
      <w:r w:rsidRPr="008F03E5">
        <w:t>ú</w:t>
      </w:r>
      <w:r w:rsidRPr="008F03E5">
        <w:rPr>
          <w:rFonts w:eastAsia="PMingLiU"/>
          <w:lang w:eastAsia="zh-TW"/>
        </w:rPr>
        <w:t>st Mu</w:t>
      </w:r>
      <w:r w:rsidRPr="008F03E5">
        <w:t>ḥ</w:t>
      </w:r>
      <w:r w:rsidRPr="008F03E5">
        <w:rPr>
          <w:rFonts w:eastAsia="PMingLiU"/>
          <w:lang w:eastAsia="zh-TW"/>
        </w:rPr>
        <w:t>ammad, friend of Muḥammad, town (31.145648, 61.791519) in eastern Iran, and 16th cent</w:t>
      </w:r>
      <w:r w:rsidRPr="008F03E5">
        <w:t>ury Persian painter of miniatures, calligrapher, and art historian.</w:t>
      </w:r>
    </w:p>
    <w:p w14:paraId="00194422" w14:textId="77777777" w:rsidR="00625A5B" w:rsidRPr="008F03E5" w:rsidRDefault="00625A5B" w:rsidP="003D4244">
      <w:pPr>
        <w:pStyle w:val="Translit"/>
      </w:pPr>
      <w:r w:rsidRPr="008F03E5">
        <w:rPr>
          <w:rFonts w:eastAsia="Times New Roman"/>
        </w:rPr>
        <w:t>Dusti (Dosti)</w:t>
      </w:r>
      <w:r w:rsidRPr="008F03E5">
        <w:rPr>
          <w:rFonts w:eastAsia="Times New Roman"/>
        </w:rPr>
        <w:tab/>
        <w:t>D</w:t>
      </w:r>
      <w:r w:rsidRPr="008F03E5">
        <w:t>ú</w:t>
      </w:r>
      <w:r w:rsidRPr="008F03E5">
        <w:rPr>
          <w:rFonts w:eastAsia="Times New Roman"/>
        </w:rPr>
        <w:t>stí</w:t>
      </w:r>
      <w:r w:rsidRPr="008F03E5">
        <w:rPr>
          <w:rFonts w:eastAsia="Times New Roman"/>
        </w:rPr>
        <w:tab/>
        <w:t>Pers. friendship; love, affect</w:t>
      </w:r>
      <w:r w:rsidRPr="008F03E5">
        <w:t>ion.  Insán-dústí, “love of humankind in general” or philanthropy.</w:t>
      </w:r>
    </w:p>
    <w:p w14:paraId="645778C8" w14:textId="77777777" w:rsidR="00625A5B" w:rsidRPr="008F03E5" w:rsidRDefault="00625A5B" w:rsidP="0080084E">
      <w:pPr>
        <w:pStyle w:val="Translit"/>
      </w:pPr>
      <w:r w:rsidRPr="00D45A23">
        <w:rPr>
          <w:lang w:val="de-DE"/>
        </w:rPr>
        <w:t>Dustur, Dasatir</w:t>
      </w:r>
      <w:r w:rsidRPr="00D45A23">
        <w:rPr>
          <w:lang w:val="de-DE"/>
        </w:rPr>
        <w:tab/>
        <w:t>Dustúr, pl. Dasátír</w:t>
      </w:r>
      <w:r w:rsidRPr="00D45A23">
        <w:rPr>
          <w:lang w:val="de-DE"/>
        </w:rPr>
        <w:tab/>
        <w:t xml:space="preserve">Pers. </w:t>
      </w:r>
      <w:r w:rsidRPr="008F03E5">
        <w:t>(Ar. influence) a note or common-place book; a senator, grandee; a pillar; a canon, copy, exemplar, model</w:t>
      </w:r>
    </w:p>
    <w:p w14:paraId="0AC185D9" w14:textId="77777777" w:rsidR="00625A5B" w:rsidRPr="008F03E5" w:rsidRDefault="00625A5B" w:rsidP="00A5677D">
      <w:pPr>
        <w:pStyle w:val="Translit"/>
      </w:pPr>
      <w:r w:rsidRPr="008F03E5">
        <w:t>Dustur, Dasatir</w:t>
      </w:r>
      <w:r w:rsidRPr="008F03E5">
        <w:tab/>
        <w:t>Dustúr, pl. Dasátír</w:t>
      </w:r>
      <w:r w:rsidRPr="008F03E5">
        <w:tab/>
        <w:t>statute; regulations; by-laws; (basic) constitutional law; constitution (politics);—(colloquial) dastúr permission</w:t>
      </w:r>
    </w:p>
    <w:p w14:paraId="3D389A3E" w14:textId="77777777" w:rsidR="00625A5B" w:rsidRPr="008F03E5" w:rsidRDefault="00625A5B" w:rsidP="0080084E">
      <w:pPr>
        <w:pStyle w:val="Translit"/>
      </w:pPr>
      <w:r w:rsidRPr="008F03E5">
        <w:t>Dustur, Dasatir</w:t>
      </w:r>
      <w:r w:rsidRPr="008F03E5">
        <w:tab/>
        <w:t>Dustúr, pl. Dasátír</w:t>
      </w:r>
      <w:r w:rsidRPr="008F03E5">
        <w:tab/>
        <w:t>statute; regulations; by-laws; (basic) constitutional law; constitution (politics);—(colloquial) dastúr permission</w:t>
      </w:r>
    </w:p>
    <w:p w14:paraId="3F821025" w14:textId="77777777" w:rsidR="00625A5B" w:rsidRPr="008F03E5" w:rsidRDefault="00625A5B" w:rsidP="0080084E">
      <w:pPr>
        <w:pStyle w:val="Translit"/>
      </w:pPr>
      <w:r w:rsidRPr="008F03E5">
        <w:t>Dusturi</w:t>
      </w:r>
      <w:r w:rsidRPr="008F03E5">
        <w:tab/>
        <w:t>Dustúrí</w:t>
      </w:r>
      <w:r w:rsidRPr="008F03E5">
        <w:tab/>
        <w:t>constitutional</w:t>
      </w:r>
    </w:p>
    <w:p w14:paraId="7BB22A30" w14:textId="77777777" w:rsidR="00625A5B" w:rsidRPr="008F03E5" w:rsidRDefault="00625A5B" w:rsidP="0080084E">
      <w:pPr>
        <w:pStyle w:val="Translit"/>
      </w:pPr>
      <w:r w:rsidRPr="008F03E5">
        <w:t>Dusturiyya</w:t>
      </w:r>
      <w:r w:rsidRPr="008F03E5">
        <w:tab/>
        <w:t>Dustúríyya[h]</w:t>
      </w:r>
      <w:r w:rsidRPr="008F03E5">
        <w:tab/>
        <w:t>constitutionality</w:t>
      </w:r>
    </w:p>
    <w:p w14:paraId="7D096FF7" w14:textId="77777777" w:rsidR="00625A5B" w:rsidRPr="008F03E5" w:rsidRDefault="00625A5B" w:rsidP="004405AD">
      <w:pPr>
        <w:pStyle w:val="Translit"/>
      </w:pPr>
      <w:r w:rsidRPr="008F03E5">
        <w:t>Duwaliya</w:t>
      </w:r>
      <w:r w:rsidRPr="008F03E5">
        <w:tab/>
        <w:t>Duwalíya</w:t>
      </w:r>
      <w:r w:rsidRPr="008F03E5">
        <w:tab/>
        <w:t>internationality; internationalism; the International …</w:t>
      </w:r>
    </w:p>
    <w:p w14:paraId="6E195296" w14:textId="77777777" w:rsidR="00625A5B" w:rsidRPr="008F03E5" w:rsidRDefault="00625A5B" w:rsidP="008E72F9">
      <w:pPr>
        <w:pStyle w:val="Translit"/>
      </w:pPr>
      <w:r w:rsidRPr="008F03E5">
        <w:t>Duz (Doz)</w:t>
      </w:r>
      <w:r w:rsidRPr="008F03E5">
        <w:tab/>
        <w:t>Dúz</w:t>
      </w:r>
      <w:r w:rsidRPr="008F03E5">
        <w:tab/>
        <w:t>Pers. (in compound word) sewing</w:t>
      </w:r>
    </w:p>
    <w:p w14:paraId="5C822812" w14:textId="77777777" w:rsidR="00625A5B" w:rsidRPr="008F03E5" w:rsidRDefault="00625A5B" w:rsidP="0033611A">
      <w:pPr>
        <w:pStyle w:val="Translit"/>
      </w:pPr>
      <w:r w:rsidRPr="0033611A">
        <w:t>Duzd,</w:t>
      </w:r>
      <w:r>
        <w:t xml:space="preserve"> Duzdan</w:t>
      </w:r>
      <w:r w:rsidRPr="0033611A">
        <w:tab/>
        <w:t>Duzd, pl. Duzdán</w:t>
      </w:r>
      <w:r w:rsidRPr="0033611A">
        <w:tab/>
        <w:t xml:space="preserve">Pers. </w:t>
      </w:r>
      <w:r w:rsidRPr="008F03E5">
        <w:t>A thief, robber, assassin; theft</w:t>
      </w:r>
    </w:p>
    <w:p w14:paraId="084823D1" w14:textId="77777777" w:rsidR="00625A5B" w:rsidRPr="008F03E5" w:rsidRDefault="00625A5B" w:rsidP="0067221E">
      <w:pPr>
        <w:pStyle w:val="Translit"/>
      </w:pPr>
      <w:r w:rsidRPr="008F03E5">
        <w:t>Duzdab</w:t>
      </w:r>
      <w:r w:rsidRPr="008F03E5">
        <w:tab/>
        <w:t>Duzdáb</w:t>
      </w:r>
      <w:r w:rsidRPr="008F03E5">
        <w:tab/>
        <w:t>Pers. “water thieves”, renamed Záhidán (pl. “pious”) late 1920s, capital of Sístán, Írán</w:t>
      </w:r>
    </w:p>
    <w:p w14:paraId="5292C445" w14:textId="77777777" w:rsidR="00625A5B" w:rsidRPr="0033611A" w:rsidRDefault="00625A5B" w:rsidP="0033611A">
      <w:pPr>
        <w:pStyle w:val="Translit"/>
      </w:pPr>
      <w:r w:rsidRPr="0033611A">
        <w:rPr>
          <w:lang w:val="en-AU"/>
        </w:rPr>
        <w:t>Duzdgah (Duzd-gar)</w:t>
      </w:r>
      <w:r w:rsidRPr="0033611A">
        <w:rPr>
          <w:lang w:val="en-AU"/>
        </w:rPr>
        <w:tab/>
        <w:t>Duzdgáh</w:t>
      </w:r>
      <w:r w:rsidRPr="0033611A">
        <w:rPr>
          <w:lang w:val="en-AU"/>
        </w:rPr>
        <w:tab/>
        <w:t xml:space="preserve">Pers. </w:t>
      </w:r>
      <w:r w:rsidRPr="0033611A">
        <w:t>home or hiding-place of thieves</w:t>
      </w:r>
    </w:p>
    <w:p w14:paraId="63805F82" w14:textId="77777777" w:rsidR="00625A5B" w:rsidRPr="008F03E5" w:rsidRDefault="00625A5B" w:rsidP="0024326A">
      <w:pPr>
        <w:pStyle w:val="Myhead"/>
      </w:pPr>
      <w:r w:rsidRPr="008F03E5">
        <w:t>E</w:t>
      </w:r>
    </w:p>
    <w:p w14:paraId="4EDCF344" w14:textId="77777777" w:rsidR="00625A5B" w:rsidRPr="008F03E5" w:rsidRDefault="00625A5B" w:rsidP="0020237D">
      <w:pPr>
        <w:pStyle w:val="Translit"/>
      </w:pPr>
      <w:r w:rsidRPr="008F03E5">
        <w:t>Eirene, Eirenion</w:t>
      </w:r>
      <w:r w:rsidRPr="008F03E5">
        <w:tab/>
        <w:t>Eiréné (Greek)</w:t>
      </w:r>
      <w:r w:rsidRPr="008F03E5">
        <w:tab/>
        <w:t>one, peace, quietness, rest.  Greek goddess of peace (Roman counterpart is Pax).  The Eirenion Hall was built in 1897 on the Green Acre property and was used as a lecture hall during the summer lecture series at Green Acre.  ‘Abdu’l-Baha gave a number of talks in the hall in 1912.</w:t>
      </w:r>
    </w:p>
    <w:p w14:paraId="0D6D46E8" w14:textId="77777777" w:rsidR="00625A5B" w:rsidRPr="00077779" w:rsidRDefault="00625A5B" w:rsidP="007B17DF">
      <w:pPr>
        <w:pStyle w:val="Translit"/>
        <w:rPr>
          <w:lang w:val="es-ES_tradnl"/>
        </w:rPr>
      </w:pPr>
      <w:r w:rsidRPr="00077779">
        <w:rPr>
          <w:lang w:val="es-ES_tradnl"/>
        </w:rPr>
        <w:t>El</w:t>
      </w:r>
      <w:r w:rsidRPr="00077779">
        <w:rPr>
          <w:lang w:val="es-ES_tradnl"/>
        </w:rPr>
        <w:tab/>
        <w:t>El</w:t>
      </w:r>
      <w:r w:rsidRPr="00077779">
        <w:rPr>
          <w:lang w:val="es-ES_tradnl"/>
        </w:rPr>
        <w:tab/>
        <w:t xml:space="preserve">Hebrew </w:t>
      </w:r>
      <w:r w:rsidRPr="008F03E5">
        <w:rPr>
          <w:sz w:val="16"/>
          <w:szCs w:val="16"/>
          <w:rtl/>
          <w:lang w:bidi="he-IL"/>
        </w:rPr>
        <w:t>אֵל</w:t>
      </w:r>
      <w:r w:rsidRPr="00077779">
        <w:rPr>
          <w:lang w:val="es-ES_tradnl"/>
        </w:rPr>
        <w:t xml:space="preserve"> </w:t>
      </w:r>
      <w:r w:rsidRPr="008F03E5">
        <w:rPr>
          <w:sz w:val="16"/>
          <w:szCs w:val="16"/>
          <w:rtl/>
        </w:rPr>
        <w:t>(e-l)</w:t>
      </w:r>
      <w:r w:rsidRPr="00077779">
        <w:rPr>
          <w:lang w:val="es-ES_tradnl"/>
        </w:rPr>
        <w:t>, a god, supreme deity.</w:t>
      </w:r>
    </w:p>
    <w:p w14:paraId="3445E589" w14:textId="77777777" w:rsidR="00625A5B" w:rsidRPr="008F03E5" w:rsidRDefault="00625A5B" w:rsidP="00E60FDE">
      <w:pPr>
        <w:pStyle w:val="Translit"/>
      </w:pPr>
      <w:r w:rsidRPr="008F03E5">
        <w:t>Elders</w:t>
      </w:r>
      <w:r w:rsidRPr="008F03E5">
        <w:tab/>
        <w:t>Elders</w:t>
      </w:r>
      <w:r w:rsidRPr="008F03E5">
        <w:tab/>
        <w:t>‘Abdu’l-Bahá has named 20 of the 24 elders of Revelation 4:4 and 11:16:  the Báb, the 18 Letters of the Living</w:t>
      </w:r>
      <w:r>
        <w:t>,</w:t>
      </w:r>
      <w:r w:rsidRPr="008F03E5">
        <w:t xml:space="preserve"> and Ḥájí Mírzá Muḥammad Taqí, a cousin of the Báb.</w:t>
      </w:r>
    </w:p>
    <w:p w14:paraId="78837589" w14:textId="77777777" w:rsidR="00625A5B" w:rsidRPr="008F03E5" w:rsidRDefault="00625A5B" w:rsidP="00912E25">
      <w:pPr>
        <w:pStyle w:val="Translit"/>
      </w:pPr>
      <w:r w:rsidRPr="008F03E5">
        <w:t>Erzurum</w:t>
      </w:r>
      <w:r w:rsidRPr="008F03E5">
        <w:tab/>
        <w:t>Erzurum</w:t>
      </w:r>
      <w:r w:rsidRPr="008F03E5">
        <w:tab/>
        <w:t>city in eastern Turkey (“Erzeroum”).  Known as Theodosiopolis in Roman times.  Neighbouring city of Artsn (Arzan) was destroyed 1048–49 and citizens moved to Theodosiopolis and called it Artsn Rum (Arzan of the Romans).  Muslim citizens changed it to Arzan ar-Rúm (or Arz ar-Rúm) and then to Erzurum.</w:t>
      </w:r>
    </w:p>
    <w:p w14:paraId="6640EE85" w14:textId="77777777" w:rsidR="00625A5B" w:rsidRPr="008F03E5" w:rsidRDefault="00625A5B" w:rsidP="0024326A">
      <w:pPr>
        <w:pStyle w:val="Myhead"/>
      </w:pPr>
      <w:bookmarkStart w:id="70" w:name="F"/>
      <w:r w:rsidRPr="008F03E5">
        <w:t>F</w:t>
      </w:r>
      <w:bookmarkEnd w:id="70"/>
    </w:p>
    <w:p w14:paraId="640B57C7" w14:textId="77777777" w:rsidR="00625A5B" w:rsidRPr="008F03E5" w:rsidRDefault="00625A5B" w:rsidP="00AD06ED">
      <w:pPr>
        <w:pStyle w:val="Translit"/>
      </w:pPr>
      <w:r w:rsidRPr="008F03E5">
        <w:t>Fa</w:t>
      </w:r>
      <w:r w:rsidRPr="008F03E5">
        <w:tab/>
        <w:t>Fa</w:t>
      </w:r>
      <w:r w:rsidRPr="008F03E5">
        <w:tab/>
        <w:t>(conjunction, often as a prefix, e.g. fatabayyanú) then, and then; and so, thus, hence, therefore; but then, then however; for, because; (with subjective) so that</w:t>
      </w:r>
    </w:p>
    <w:p w14:paraId="223369FA" w14:textId="77777777" w:rsidR="00625A5B" w:rsidRPr="008F03E5" w:rsidRDefault="00625A5B" w:rsidP="00B01EEA">
      <w:pPr>
        <w:pStyle w:val="Translit"/>
      </w:pPr>
      <w:r w:rsidRPr="008F03E5">
        <w:t>Fa’id, Fa’ida, Fawa’id (Fava’id)</w:t>
      </w:r>
      <w:r w:rsidRPr="008F03E5">
        <w:tab/>
        <w:t>Fá’id, fem. Fá’ida[h or t], pl. Fawá’id</w:t>
      </w:r>
      <w:r w:rsidRPr="008F03E5">
        <w:tab/>
        <w:t>utility, avail, benefit, advantage; gain, profit; interest (on money); useful lesson, moral; use (e.g. of a medicine).  The Qur’án forbids usury, but not reasonable interest.  See riban.</w:t>
      </w:r>
    </w:p>
    <w:p w14:paraId="297558E3" w14:textId="77777777" w:rsidR="00625A5B" w:rsidRPr="008F03E5" w:rsidRDefault="00625A5B" w:rsidP="00B621CC">
      <w:pPr>
        <w:pStyle w:val="Translit"/>
      </w:pPr>
      <w:r w:rsidRPr="00D45A23">
        <w:rPr>
          <w:lang w:val="it-IT"/>
        </w:rPr>
        <w:t>Fa’il, Fa’ilun, Fa’ala</w:t>
      </w:r>
      <w:r w:rsidRPr="00D45A23">
        <w:rPr>
          <w:lang w:val="it-IT"/>
        </w:rPr>
        <w:tab/>
        <w:t xml:space="preserve">Fá‘il, pl. </w:t>
      </w:r>
      <w:r w:rsidRPr="008F03E5">
        <w:t>Fá‘ilún, Fa‘ala</w:t>
      </w:r>
      <w:r w:rsidRPr="008F03E5">
        <w:tab/>
        <w:t>effective; efficacious, efficient; (with pl. fá‘ilún) doer, actor, perpetrator; (with pl. fa‘ala) worker, workman, labourer; active subject of a verbal clause (grammar).  See maf‘úl, manṣúb and marfú‘</w:t>
      </w:r>
    </w:p>
    <w:p w14:paraId="15DFD7BB" w14:textId="77777777" w:rsidR="00625A5B" w:rsidRPr="008F03E5" w:rsidRDefault="00625A5B" w:rsidP="00805542">
      <w:pPr>
        <w:pStyle w:val="Translit"/>
      </w:pPr>
      <w:r w:rsidRPr="008F03E5">
        <w:t>Fa’iq</w:t>
      </w:r>
      <w:r w:rsidRPr="008F03E5">
        <w:tab/>
        <w:t>Fá’iq</w:t>
      </w:r>
      <w:r w:rsidRPr="008F03E5">
        <w:tab/>
        <w:t>superior; surpassing, excellent, exquisite, first-rate; outstanding, remarkable, striking; pre-eminent; exceeding, extraordinary; going far beyond (a restriction, etc.); awake, waking, wakeful.  Aḥmad Fá’iq Afandí (Armenian) rebelled against Shoghi Effendi.</w:t>
      </w:r>
    </w:p>
    <w:p w14:paraId="4763DD8D" w14:textId="77777777" w:rsidR="00625A5B" w:rsidRPr="008F03E5" w:rsidRDefault="00625A5B" w:rsidP="00425D6A">
      <w:pPr>
        <w:pStyle w:val="Translit"/>
      </w:pPr>
      <w:r w:rsidRPr="008F03E5">
        <w:t>Fa’iz, Fa’iza, Fa’izun</w:t>
      </w:r>
      <w:r w:rsidRPr="008F03E5">
        <w:tab/>
        <w:t>Fá’iz, fem. Fá’iza, pl. Fá’izún</w:t>
      </w:r>
      <w:r w:rsidRPr="008F03E5">
        <w:tab/>
        <w:t>successful, victorious, triumphant; victor, winner; reaching, attaining.  Fá’izih (Pers. variation)—name given to Gulsur</w:t>
      </w:r>
      <w:r w:rsidRPr="008F03E5">
        <w:rPr>
          <w:u w:val="single"/>
        </w:rPr>
        <w:t>kh</w:t>
      </w:r>
      <w:r w:rsidRPr="008F03E5">
        <w:t xml:space="preserve"> Bagum by ‘Abdu’l-Bahá.</w:t>
      </w:r>
    </w:p>
    <w:p w14:paraId="5D37420A" w14:textId="77777777" w:rsidR="00625A5B" w:rsidRPr="008F03E5" w:rsidRDefault="00625A5B" w:rsidP="00F4280E">
      <w:pPr>
        <w:pStyle w:val="Translit"/>
      </w:pPr>
      <w:r w:rsidRPr="008F03E5">
        <w:t>Fada, Fayd, Fayadan (Fayazan)</w:t>
      </w:r>
      <w:r w:rsidRPr="008F03E5">
        <w:tab/>
        <w:t>Fáḍa (Fayḍ, Fayaḍán)</w:t>
      </w:r>
      <w:r w:rsidRPr="008F03E5">
        <w:tab/>
        <w:t>to overflow, flow over, run over; to inundate, flood, flood, inundation, deluge</w:t>
      </w:r>
    </w:p>
    <w:p w14:paraId="2BED4EFA" w14:textId="77777777" w:rsidR="00625A5B" w:rsidRPr="008F03E5" w:rsidRDefault="00625A5B" w:rsidP="00900A82">
      <w:pPr>
        <w:pStyle w:val="Translit"/>
      </w:pPr>
      <w:r w:rsidRPr="008F03E5">
        <w:t>Fadak</w:t>
      </w:r>
      <w:r w:rsidRPr="008F03E5">
        <w:tab/>
        <w:t>Fadak</w:t>
      </w:r>
      <w:r w:rsidRPr="008F03E5">
        <w:tab/>
        <w:t xml:space="preserve">a large, formerly Jewish owned oasis region (25.978874, 40.470053) south of the city of al-Ḥá’iṭ, and 122 km </w:t>
      </w:r>
      <w:r w:rsidRPr="008F03E5">
        <w:rPr>
          <w:sz w:val="16"/>
          <w:szCs w:val="16"/>
        </w:rPr>
        <w:t>ENE</w:t>
      </w:r>
      <w:r w:rsidRPr="008F03E5">
        <w:t xml:space="preserve"> of </w:t>
      </w:r>
      <w:r w:rsidRPr="008F03E5">
        <w:rPr>
          <w:u w:val="single"/>
        </w:rPr>
        <w:t>Kh</w:t>
      </w:r>
      <w:r w:rsidRPr="008F03E5">
        <w:t>aybar.  See Taymár’ and Wádí al-Qurá’.</w:t>
      </w:r>
    </w:p>
    <w:p w14:paraId="49FBA263" w14:textId="77777777" w:rsidR="00625A5B" w:rsidRPr="008F03E5" w:rsidRDefault="00625A5B" w:rsidP="00900A82">
      <w:pPr>
        <w:pStyle w:val="Translit"/>
        <w:rPr>
          <w:i/>
          <w:iCs/>
        </w:rPr>
      </w:pPr>
      <w:r w:rsidRPr="008F03E5">
        <w:t>Fad-dan</w:t>
      </w:r>
      <w:r w:rsidRPr="008F03E5">
        <w:tab/>
        <w:t>Fad-dán</w:t>
      </w:r>
      <w:r w:rsidRPr="008F03E5">
        <w:tab/>
        <w:t>(feddan) about an acre in size</w:t>
      </w:r>
    </w:p>
    <w:p w14:paraId="55919A70" w14:textId="77777777" w:rsidR="00625A5B" w:rsidRPr="008F03E5" w:rsidRDefault="00625A5B" w:rsidP="003E152D">
      <w:pPr>
        <w:pStyle w:val="Translit"/>
      </w:pPr>
      <w:r w:rsidRPr="008F03E5">
        <w:t>Fadhlaka</w:t>
      </w:r>
      <w:r w:rsidRPr="008F03E5">
        <w:tab/>
        <w:t>Fa</w:t>
      </w:r>
      <w:r w:rsidRPr="008F03E5">
        <w:rPr>
          <w:u w:val="single"/>
        </w:rPr>
        <w:t>dh</w:t>
      </w:r>
      <w:r w:rsidRPr="008F03E5">
        <w:t>laka</w:t>
      </w:r>
      <w:r w:rsidRPr="008F03E5">
        <w:tab/>
        <w:t>brief summary, résumé, survey, outline, abstract, epitome</w:t>
      </w:r>
    </w:p>
    <w:p w14:paraId="4DDE98CC" w14:textId="77777777" w:rsidR="00625A5B" w:rsidRPr="008F03E5" w:rsidRDefault="00625A5B" w:rsidP="00A01726">
      <w:pPr>
        <w:pStyle w:val="Translit"/>
      </w:pPr>
      <w:r w:rsidRPr="00D45A23">
        <w:rPr>
          <w:lang w:val="it-IT"/>
        </w:rPr>
        <w:t>Fadil (Fazil), Fadila, Fudala, Fada’il</w:t>
      </w:r>
      <w:r w:rsidRPr="00D45A23">
        <w:rPr>
          <w:lang w:val="it-IT"/>
        </w:rPr>
        <w:tab/>
        <w:t xml:space="preserve">Faḍíl, fem. </w:t>
      </w:r>
      <w:r w:rsidRPr="00077779">
        <w:rPr>
          <w:lang w:val="it-IT"/>
        </w:rPr>
        <w:t>Faḍíla[h or t], pl. Fuḍalá’</w:t>
      </w:r>
      <w:r w:rsidRPr="00077779">
        <w:rPr>
          <w:lang w:val="it-IT"/>
        </w:rPr>
        <w:tab/>
        <w:t xml:space="preserve">(fem. pl. </w:t>
      </w:r>
      <w:r w:rsidRPr="008F03E5">
        <w:t>Faḍá’il) outstanding, eminent, very good, first-rate, excellent; distinguished, deserving; learned, erudite.  As the day of the Badí‘ week, Faḍíl:  grace, favour.  Fem. moral excellence, excellent quality, virtue; merit, advantage, excellence, exquisiteness.</w:t>
      </w:r>
    </w:p>
    <w:p w14:paraId="6F98A957" w14:textId="77777777" w:rsidR="00625A5B" w:rsidRPr="008F03E5" w:rsidRDefault="00625A5B" w:rsidP="008A1184">
      <w:pPr>
        <w:pStyle w:val="Translit"/>
      </w:pPr>
      <w:r w:rsidRPr="008F03E5">
        <w:t>Fadil (Fazil), Fawadil, Fadilun, Fudala</w:t>
      </w:r>
      <w:r w:rsidRPr="008F03E5">
        <w:tab/>
        <w:t>Fáḍil, pl. Fawáḍil, Fáḍilún, Fuḍalá</w:t>
      </w:r>
      <w:r w:rsidRPr="008F03E5">
        <w:tab/>
        <w:t>Ar. (Fazel is an old Persian form) remaining, leftover, left, surplus, exceeding, in excess; (pl. fawáḍil) remainder, remnant, residue, rest, leftover, surplus, excess;—(pl. fáḍilún, fuḍalá) outstanding, eminent, very good, first-rate, superior, excellent, distinguished, deserving; learned; man of culture and refinement.  Persian (ẓ may be used instead of ḍ):  fáḍil, fem. fáḍilat, fáḍila, pl. fáḍilát.</w:t>
      </w:r>
    </w:p>
    <w:p w14:paraId="4EA569A3" w14:textId="77777777" w:rsidR="00625A5B" w:rsidRPr="008F03E5" w:rsidRDefault="00625A5B" w:rsidP="0083482F">
      <w:pPr>
        <w:pStyle w:val="Translit"/>
      </w:pPr>
      <w:r w:rsidRPr="008F03E5">
        <w:t>Fadilabad (Fazelabad)</w:t>
      </w:r>
      <w:r w:rsidRPr="008F03E5">
        <w:tab/>
        <w:t>Fáḍilábád</w:t>
      </w:r>
      <w:r w:rsidRPr="008F03E5">
        <w:tab/>
        <w:t xml:space="preserve">28 km </w:t>
      </w:r>
      <w:r w:rsidRPr="008F03E5">
        <w:rPr>
          <w:sz w:val="16"/>
          <w:szCs w:val="16"/>
        </w:rPr>
        <w:t>ENE</w:t>
      </w:r>
      <w:r w:rsidRPr="008F03E5">
        <w:t xml:space="preserve"> of Gurgán (</w:t>
      </w:r>
      <w:r w:rsidRPr="008F03E5">
        <w:rPr>
          <w:sz w:val="16"/>
          <w:szCs w:val="16"/>
        </w:rPr>
        <w:t>SE</w:t>
      </w:r>
      <w:r w:rsidRPr="008F03E5">
        <w:t xml:space="preserve"> corner of the Caspian Sea), Iran</w:t>
      </w:r>
    </w:p>
    <w:p w14:paraId="3AD275CC" w14:textId="77777777" w:rsidR="00625A5B" w:rsidRPr="008F03E5" w:rsidRDefault="00625A5B" w:rsidP="006334B1">
      <w:pPr>
        <w:pStyle w:val="Translit"/>
      </w:pPr>
      <w:r w:rsidRPr="008F03E5">
        <w:t>Fadil-i-Furughi</w:t>
      </w:r>
      <w:r w:rsidRPr="008F03E5">
        <w:tab/>
        <w:t>Faḍíl-i-Furú</w:t>
      </w:r>
      <w:r w:rsidRPr="008F03E5">
        <w:rPr>
          <w:u w:val="single"/>
        </w:rPr>
        <w:t>gh</w:t>
      </w:r>
      <w:r w:rsidRPr="008F03E5">
        <w:t>í</w:t>
      </w:r>
      <w:r w:rsidRPr="008F03E5">
        <w:tab/>
        <w:t>Pers. savant of Furú</w:t>
      </w:r>
      <w:r w:rsidRPr="008F03E5">
        <w:rPr>
          <w:u w:val="single"/>
        </w:rPr>
        <w:t>gh</w:t>
      </w:r>
      <w:r w:rsidRPr="008F03E5">
        <w:t>.  See Furúghí</w:t>
      </w:r>
    </w:p>
    <w:p w14:paraId="36FDD5F2" w14:textId="77777777" w:rsidR="00625A5B" w:rsidRPr="008F03E5" w:rsidRDefault="00625A5B" w:rsidP="004F6FF2">
      <w:pPr>
        <w:pStyle w:val="Translit"/>
      </w:pPr>
      <w:r w:rsidRPr="008F03E5">
        <w:t>Fadil-i-Mazandarani</w:t>
      </w:r>
      <w:r w:rsidRPr="008F03E5">
        <w:tab/>
        <w:t>Fáḍil-i-Mazandarání</w:t>
      </w:r>
      <w:r w:rsidRPr="008F03E5">
        <w:tab/>
        <w:t>Persian Bahá’í scholar (1880–1957)</w:t>
      </w:r>
    </w:p>
    <w:p w14:paraId="43057FA7" w14:textId="77777777" w:rsidR="00625A5B" w:rsidRPr="008F03E5" w:rsidRDefault="00625A5B" w:rsidP="00855840">
      <w:pPr>
        <w:pStyle w:val="Translit"/>
      </w:pPr>
      <w:r w:rsidRPr="008F03E5">
        <w:t>Fadil-i-Qa’ini</w:t>
      </w:r>
      <w:r w:rsidRPr="008F03E5">
        <w:tab/>
        <w:t>Fáḍil-i-Qá’iní</w:t>
      </w:r>
      <w:r w:rsidRPr="008F03E5">
        <w:tab/>
        <w:t xml:space="preserve">the Learned One of the Qá’in.  A district in the province of </w:t>
      </w:r>
      <w:r w:rsidRPr="008F03E5">
        <w:rPr>
          <w:u w:val="single"/>
        </w:rPr>
        <w:t>Kh</w:t>
      </w:r>
      <w:r w:rsidRPr="008F03E5">
        <w:t>urásán</w:t>
      </w:r>
    </w:p>
    <w:p w14:paraId="44FF023C" w14:textId="77777777" w:rsidR="00625A5B" w:rsidRPr="008F03E5" w:rsidRDefault="00625A5B" w:rsidP="00116D21">
      <w:pPr>
        <w:pStyle w:val="Translit"/>
      </w:pPr>
      <w:r w:rsidRPr="008F03E5">
        <w:t>Fadil-i-Yazdi</w:t>
      </w:r>
      <w:r w:rsidRPr="008F03E5">
        <w:tab/>
        <w:t>Fáḍil-i-Yazdí</w:t>
      </w:r>
      <w:r w:rsidRPr="008F03E5">
        <w:tab/>
        <w:t>“scholar of Yazd”.  Fáḍil-i-Yazdí (‘Alí Muntazi‘ of Nadú</w:t>
      </w:r>
      <w:r w:rsidRPr="008F03E5">
        <w:rPr>
          <w:u w:val="single"/>
        </w:rPr>
        <w:t>sh</w:t>
      </w:r>
      <w:r w:rsidRPr="008F03E5">
        <w:t>un) was a poet, religious scholar, and a devoted servant of Bahá’u’lláh.</w:t>
      </w:r>
    </w:p>
    <w:p w14:paraId="0605861A" w14:textId="77777777" w:rsidR="00625A5B" w:rsidRPr="008F03E5" w:rsidRDefault="00625A5B" w:rsidP="002669DB">
      <w:pPr>
        <w:pStyle w:val="Translit"/>
      </w:pPr>
      <w:r w:rsidRPr="008F03E5">
        <w:t>Fadl (Fazl), Fudul, Afdal</w:t>
      </w:r>
      <w:r w:rsidRPr="008F03E5">
        <w:tab/>
        <w:t>Faḍl, pl. Fuḍúl, Afḍál</w:t>
      </w:r>
      <w:r w:rsidRPr="008F03E5">
        <w:tab/>
        <w:t>surplus, excess, superfluity, overflow; leftover, remainder, remnant, rest; matter of secondary importance, subordinate matter;—pl. fuḍúl that which is superfluous, redundant or in excess, a surplus, superfluity; waste, refuse; droppings, excrement;—pl. afḍál merit, desert (on behalf of, with respect to), credit (for, in), service(s) (to); benefit, favour, gift, present.  Persian—ẓ may be used instead of ḍ)</w:t>
      </w:r>
    </w:p>
    <w:p w14:paraId="1CF63FCE" w14:textId="77777777" w:rsidR="00625A5B" w:rsidRPr="008F03E5" w:rsidRDefault="00625A5B" w:rsidP="002669DB">
      <w:pPr>
        <w:pStyle w:val="Translit"/>
      </w:pPr>
      <w:r w:rsidRPr="001D6A7E">
        <w:rPr>
          <w:lang w:val="en-AU"/>
        </w:rPr>
        <w:t>Fadla, Fadalat</w:t>
      </w:r>
      <w:r w:rsidRPr="001D6A7E">
        <w:rPr>
          <w:lang w:val="en-AU"/>
        </w:rPr>
        <w:tab/>
        <w:t xml:space="preserve">Faḍla[t], pl. </w:t>
      </w:r>
      <w:r w:rsidRPr="008F03E5">
        <w:t>Faḍalát</w:t>
      </w:r>
      <w:r w:rsidRPr="008F03E5">
        <w:tab/>
        <w:t>remnant, remainder, residue, leftover, rest, surplus; waste, scrap, discard, offal, waste product; pl. excretions (physiology), excrements</w:t>
      </w:r>
    </w:p>
    <w:p w14:paraId="2DFA89B2" w14:textId="77777777" w:rsidR="00625A5B" w:rsidRPr="008F03E5" w:rsidRDefault="00625A5B" w:rsidP="00F60E66">
      <w:pPr>
        <w:pStyle w:val="Translit"/>
      </w:pPr>
      <w:r w:rsidRPr="008F03E5">
        <w:t>Fadlu’llah (Fazlu’llah), Fadl Khuda</w:t>
      </w:r>
      <w:r w:rsidRPr="008F03E5">
        <w:tab/>
        <w:t>Faḍlu’lláh, Faḍl Alláh (Faḍlalláh)</w:t>
      </w:r>
      <w:r w:rsidRPr="008F03E5">
        <w:tab/>
        <w:t xml:space="preserve">Grace or bounty of God.  Pers. Faḍl </w:t>
      </w:r>
      <w:r w:rsidRPr="008F03E5">
        <w:rPr>
          <w:u w:val="single"/>
        </w:rPr>
        <w:t>Kh</w:t>
      </w:r>
      <w:r w:rsidRPr="008F03E5">
        <w:t>udá</w:t>
      </w:r>
    </w:p>
    <w:p w14:paraId="7F812C8E" w14:textId="77777777" w:rsidR="00625A5B" w:rsidRPr="008F03E5" w:rsidRDefault="00625A5B" w:rsidP="00FC5359">
      <w:pPr>
        <w:pStyle w:val="Translit"/>
      </w:pPr>
      <w:r w:rsidRPr="008F03E5">
        <w:t>Fahandizh</w:t>
      </w:r>
      <w:r w:rsidRPr="008F03E5">
        <w:tab/>
        <w:t>Fahandizh</w:t>
      </w:r>
      <w:r w:rsidRPr="008F03E5">
        <w:tab/>
        <w:t>Pers. a family name</w:t>
      </w:r>
    </w:p>
    <w:p w14:paraId="19973AF3" w14:textId="77777777" w:rsidR="00625A5B" w:rsidRPr="008F03E5" w:rsidRDefault="00625A5B" w:rsidP="00845671">
      <w:pPr>
        <w:pStyle w:val="Translit"/>
      </w:pPr>
      <w:r w:rsidRPr="008F03E5">
        <w:t>Fahd, Fuhud, Afhud</w:t>
      </w:r>
      <w:r w:rsidRPr="008F03E5">
        <w:tab/>
        <w:t>Fahd, pl. Fuhúd, Afhud</w:t>
      </w:r>
      <w:r w:rsidRPr="008F03E5">
        <w:tab/>
        <w:t>lynx (also the term for cheetah and panther)</w:t>
      </w:r>
    </w:p>
    <w:p w14:paraId="59BD3D64" w14:textId="77777777" w:rsidR="00625A5B" w:rsidRPr="008F03E5" w:rsidRDefault="00625A5B" w:rsidP="00D64EC7">
      <w:pPr>
        <w:pStyle w:val="Translit"/>
      </w:pPr>
      <w:r w:rsidRPr="008F03E5">
        <w:t>Fahima, Fahm, Faham</w:t>
      </w:r>
      <w:r w:rsidRPr="008F03E5">
        <w:tab/>
        <w:t>Fahima, Fahm, Faham</w:t>
      </w:r>
      <w:r w:rsidRPr="008F03E5">
        <w:tab/>
        <w:t>to understand, comprehend, realize (something); to note (something), take note, take cognizance (of something); to hear, learn (of something from), be informed (of something by)</w:t>
      </w:r>
    </w:p>
    <w:p w14:paraId="4BE8F93F" w14:textId="77777777" w:rsidR="00625A5B" w:rsidRPr="008F03E5" w:rsidRDefault="00625A5B" w:rsidP="00C56B1E">
      <w:pPr>
        <w:pStyle w:val="Translit"/>
      </w:pPr>
      <w:r w:rsidRPr="008F03E5">
        <w:t>Fahm, Afham</w:t>
      </w:r>
      <w:r w:rsidRPr="008F03E5">
        <w:tab/>
        <w:t>Fahm, pl. Afhám</w:t>
      </w:r>
      <w:r w:rsidRPr="008F03E5">
        <w:tab/>
        <w:t>understanding; comprehension, grasp; perceptive faculty, perceptivity; brains, intellect; discernment, acumen, penetration, insight, intelligence</w:t>
      </w:r>
    </w:p>
    <w:p w14:paraId="43AED083" w14:textId="77777777" w:rsidR="00625A5B" w:rsidRPr="008F03E5" w:rsidRDefault="00625A5B" w:rsidP="005D03FC">
      <w:pPr>
        <w:pStyle w:val="Translit"/>
      </w:pPr>
      <w:r w:rsidRPr="008F03E5">
        <w:t>Fahnih (Faneh), Panah, Dakhin</w:t>
      </w:r>
      <w:r w:rsidRPr="008F03E5">
        <w:tab/>
        <w:t>Fahnih</w:t>
      </w:r>
      <w:r w:rsidRPr="008F03E5">
        <w:tab/>
        <w:t>(also known as Panáh and Ḍa</w:t>
      </w:r>
      <w:r w:rsidRPr="008F03E5">
        <w:rPr>
          <w:u w:val="single"/>
        </w:rPr>
        <w:t>kh</w:t>
      </w:r>
      <w:r w:rsidRPr="008F03E5">
        <w:t xml:space="preserve">ín) is a small village 72 km </w:t>
      </w:r>
      <w:r w:rsidRPr="008F03E5">
        <w:rPr>
          <w:sz w:val="16"/>
          <w:szCs w:val="16"/>
        </w:rPr>
        <w:t>SSW</w:t>
      </w:r>
      <w:r w:rsidRPr="008F03E5">
        <w:t xml:space="preserve"> Qú</w:t>
      </w:r>
      <w:r w:rsidRPr="008F03E5">
        <w:rPr>
          <w:u w:val="single"/>
        </w:rPr>
        <w:t>ch</w:t>
      </w:r>
      <w:r w:rsidRPr="008F03E5">
        <w:t>án in Razavi Khorasan Province, Iran.  See Panábandán.</w:t>
      </w:r>
    </w:p>
    <w:p w14:paraId="2481F746" w14:textId="77777777" w:rsidR="00625A5B" w:rsidRPr="008F03E5" w:rsidRDefault="00625A5B" w:rsidP="00721E53">
      <w:pPr>
        <w:pStyle w:val="Translit"/>
      </w:pPr>
      <w:r w:rsidRPr="008F03E5">
        <w:t>Fajr</w:t>
      </w:r>
      <w:r w:rsidRPr="008F03E5">
        <w:tab/>
        <w:t>Fajr</w:t>
      </w:r>
      <w:r w:rsidRPr="008F03E5">
        <w:tab/>
        <w:t>dawn, daybreak, morning twilight; dawn (figuratively), beginning, outset, start; (fem.) morning prayer (Islamic Law)</w:t>
      </w:r>
    </w:p>
    <w:p w14:paraId="28F80F6C" w14:textId="77777777" w:rsidR="00625A5B" w:rsidRPr="008F03E5" w:rsidRDefault="00625A5B" w:rsidP="003C039F">
      <w:pPr>
        <w:pStyle w:val="Translit"/>
      </w:pPr>
      <w:r w:rsidRPr="008F03E5">
        <w:t>Fakara, Fakr</w:t>
      </w:r>
      <w:r w:rsidRPr="008F03E5">
        <w:tab/>
        <w:t>Fakara (Fakr)</w:t>
      </w:r>
      <w:r w:rsidRPr="008F03E5">
        <w:tab/>
        <w:t xml:space="preserve">to reflect, meditate, cogitate, ponder, muse, speculate (on), revolve in ones mind, think over, contemplate, consider (something) form V to reflect, meditate, cogitate, ponder, muse, speculate (on), revolve in ones mind, think, over, contemplate, consider (something); to think (of) forms </w:t>
      </w:r>
      <w:r w:rsidRPr="008F03E5">
        <w:rPr>
          <w:sz w:val="16"/>
          <w:szCs w:val="16"/>
        </w:rPr>
        <w:t>V</w:t>
      </w:r>
      <w:r w:rsidRPr="008F03E5">
        <w:t xml:space="preserve"> &amp; </w:t>
      </w:r>
      <w:r w:rsidRPr="008F03E5">
        <w:rPr>
          <w:sz w:val="16"/>
          <w:szCs w:val="16"/>
        </w:rPr>
        <w:t>VIII</w:t>
      </w:r>
      <w:r w:rsidRPr="008F03E5">
        <w:t xml:space="preserve"> to remember, recall, recollect (someone, something)</w:t>
      </w:r>
    </w:p>
    <w:p w14:paraId="4F7477A7" w14:textId="77777777" w:rsidR="00625A5B" w:rsidRPr="008F03E5" w:rsidRDefault="00625A5B" w:rsidP="00F722B5">
      <w:pPr>
        <w:pStyle w:val="Translit"/>
      </w:pPr>
      <w:r w:rsidRPr="008F03E5">
        <w:t>Fakhkhar</w:t>
      </w:r>
      <w:r w:rsidRPr="008F03E5">
        <w:tab/>
        <w:t>Fa</w:t>
      </w:r>
      <w:r w:rsidRPr="008F03E5">
        <w:rPr>
          <w:u w:val="single"/>
        </w:rPr>
        <w:t>khkh</w:t>
      </w:r>
      <w:r w:rsidRPr="008F03E5">
        <w:t>ár</w:t>
      </w:r>
      <w:r w:rsidRPr="008F03E5">
        <w:tab/>
        <w:t xml:space="preserve">(fired) clay; earthenware, crockery, pottery.  </w:t>
      </w:r>
      <w:r w:rsidRPr="008F03E5">
        <w:rPr>
          <w:lang w:eastAsia="en-US"/>
        </w:rPr>
        <w:t>Tel ‘Akká (inaccurately also called Tel al-Fa</w:t>
      </w:r>
      <w:r w:rsidRPr="008F03E5">
        <w:rPr>
          <w:u w:val="single"/>
        </w:rPr>
        <w:t>khkh</w:t>
      </w:r>
      <w:r w:rsidRPr="008F03E5">
        <w:rPr>
          <w:lang w:eastAsia="en-US"/>
        </w:rPr>
        <w:t xml:space="preserve">ár (Hill of Shards) or “Napoleon’s Hill”.  See </w:t>
      </w:r>
      <w:r w:rsidRPr="008F03E5">
        <w:t>Tall al-Fa</w:t>
      </w:r>
      <w:r w:rsidRPr="008F03E5">
        <w:rPr>
          <w:u w:val="single"/>
        </w:rPr>
        <w:t>khkh</w:t>
      </w:r>
      <w:r w:rsidRPr="008F03E5">
        <w:t>ár</w:t>
      </w:r>
    </w:p>
    <w:p w14:paraId="421F1E34" w14:textId="77777777" w:rsidR="00625A5B" w:rsidRPr="008F03E5" w:rsidRDefault="00625A5B" w:rsidP="00CB4ABA">
      <w:pPr>
        <w:pStyle w:val="Translit"/>
      </w:pPr>
      <w:r w:rsidRPr="008F03E5">
        <w:t>Fakhm</w:t>
      </w:r>
      <w:r w:rsidRPr="008F03E5">
        <w:tab/>
        <w:t>Fa</w:t>
      </w:r>
      <w:r w:rsidRPr="008F03E5">
        <w:rPr>
          <w:u w:val="single"/>
        </w:rPr>
        <w:t>kh</w:t>
      </w:r>
      <w:r w:rsidRPr="008F03E5">
        <w:t>m</w:t>
      </w:r>
      <w:r w:rsidRPr="008F03E5">
        <w:tab/>
        <w:t>stately, imposing, splendid, superb, magnificent, grand, grandiose</w:t>
      </w:r>
    </w:p>
    <w:p w14:paraId="3ED6973E" w14:textId="77777777" w:rsidR="00625A5B" w:rsidRPr="008F03E5" w:rsidRDefault="00625A5B" w:rsidP="00634265">
      <w:pPr>
        <w:pStyle w:val="Translit"/>
      </w:pPr>
      <w:r w:rsidRPr="008F03E5">
        <w:t>Fakhr</w:t>
      </w:r>
      <w:r w:rsidRPr="008F03E5">
        <w:tab/>
        <w:t>Fa</w:t>
      </w:r>
      <w:r w:rsidRPr="008F03E5">
        <w:rPr>
          <w:u w:val="single"/>
        </w:rPr>
        <w:t>kh</w:t>
      </w:r>
      <w:r w:rsidRPr="008F03E5">
        <w:t>r</w:t>
      </w:r>
      <w:r w:rsidRPr="008F03E5">
        <w:tab/>
        <w:t>glory, pride; honor; vainglorious poetry (as a literary genre)</w:t>
      </w:r>
    </w:p>
    <w:p w14:paraId="49750402" w14:textId="77777777" w:rsidR="00625A5B" w:rsidRPr="008F03E5" w:rsidRDefault="00625A5B" w:rsidP="00900A82">
      <w:pPr>
        <w:pStyle w:val="Translit"/>
      </w:pPr>
      <w:r w:rsidRPr="008F03E5">
        <w:t>Fakhru’d-Dawlih</w:t>
      </w:r>
      <w:r w:rsidRPr="008F03E5">
        <w:tab/>
        <w:t>Fa</w:t>
      </w:r>
      <w:r w:rsidRPr="008F03E5">
        <w:rPr>
          <w:u w:val="single"/>
        </w:rPr>
        <w:t>kh</w:t>
      </w:r>
      <w:r w:rsidRPr="008F03E5">
        <w:t>ru’d-Dawlih</w:t>
      </w:r>
      <w:r w:rsidRPr="008F03E5">
        <w:tab/>
        <w:t>(</w:t>
      </w:r>
      <w:r w:rsidRPr="008F03E5">
        <w:rPr>
          <w:sz w:val="16"/>
          <w:szCs w:val="16"/>
        </w:rPr>
        <w:t>MF</w:t>
      </w:r>
      <w:r w:rsidRPr="008F03E5">
        <w:t>)</w:t>
      </w:r>
    </w:p>
    <w:p w14:paraId="29279C71" w14:textId="77777777" w:rsidR="00625A5B" w:rsidRPr="008F03E5" w:rsidRDefault="00625A5B" w:rsidP="00900A82">
      <w:pPr>
        <w:pStyle w:val="Translit"/>
      </w:pPr>
      <w:r w:rsidRPr="008F03E5">
        <w:t>Fakhru’d-Din</w:t>
      </w:r>
      <w:r w:rsidRPr="008F03E5">
        <w:tab/>
        <w:t>Fa</w:t>
      </w:r>
      <w:r w:rsidRPr="008F03E5">
        <w:rPr>
          <w:u w:val="single"/>
        </w:rPr>
        <w:t>kh</w:t>
      </w:r>
      <w:r w:rsidRPr="008F03E5">
        <w:t>ru’d-Dín</w:t>
      </w:r>
      <w:r w:rsidRPr="008F03E5">
        <w:tab/>
        <w:t>(Fakr ed Din)</w:t>
      </w:r>
    </w:p>
    <w:p w14:paraId="6FA95B1D" w14:textId="77777777" w:rsidR="00625A5B" w:rsidRPr="008F03E5" w:rsidRDefault="00625A5B" w:rsidP="00634265">
      <w:pPr>
        <w:pStyle w:val="Translit"/>
      </w:pPr>
      <w:r w:rsidRPr="008F03E5">
        <w:t>Fakhru’sh-Shuhada’</w:t>
      </w:r>
      <w:r w:rsidRPr="008F03E5">
        <w:tab/>
        <w:t>Fa</w:t>
      </w:r>
      <w:r w:rsidRPr="008F03E5">
        <w:rPr>
          <w:u w:val="single"/>
        </w:rPr>
        <w:t>kh</w:t>
      </w:r>
      <w:r w:rsidRPr="008F03E5">
        <w:t>ru’</w:t>
      </w:r>
      <w:r w:rsidRPr="008F03E5">
        <w:rPr>
          <w:u w:val="single"/>
        </w:rPr>
        <w:t>sh</w:t>
      </w:r>
      <w:r w:rsidRPr="008F03E5">
        <w:t>-</w:t>
      </w:r>
      <w:r w:rsidRPr="008F03E5">
        <w:rPr>
          <w:u w:val="single"/>
        </w:rPr>
        <w:t>Sh</w:t>
      </w:r>
      <w:r w:rsidRPr="008F03E5">
        <w:t>uhadá’</w:t>
      </w:r>
      <w:r w:rsidRPr="008F03E5">
        <w:tab/>
        <w:t>Pride of Martyrs.  Note final Hamza.  See Áqá Buzurg-i-Ní</w:t>
      </w:r>
      <w:r w:rsidRPr="008F03E5">
        <w:rPr>
          <w:u w:val="single"/>
        </w:rPr>
        <w:t>sh</w:t>
      </w:r>
      <w:r w:rsidRPr="008F03E5">
        <w:t>ápúrí.</w:t>
      </w:r>
    </w:p>
    <w:p w14:paraId="4F194CFD" w14:textId="77777777" w:rsidR="00625A5B" w:rsidRPr="008F03E5" w:rsidRDefault="00625A5B" w:rsidP="00FF561D">
      <w:pPr>
        <w:pStyle w:val="Translit"/>
      </w:pPr>
      <w:r w:rsidRPr="008F03E5">
        <w:t>Fakhura (Fakhurih)</w:t>
      </w:r>
      <w:r w:rsidRPr="008F03E5">
        <w:tab/>
        <w:t>Fá</w:t>
      </w:r>
      <w:r w:rsidRPr="008F03E5">
        <w:rPr>
          <w:u w:val="single"/>
        </w:rPr>
        <w:t>kh</w:t>
      </w:r>
      <w:r w:rsidRPr="008F03E5">
        <w:t>úra[h or t]</w:t>
      </w:r>
      <w:r w:rsidRPr="008F03E5">
        <w:tab/>
        <w:t>pottery, earthenware manufactory.  al-Fá</w:t>
      </w:r>
      <w:r w:rsidRPr="008F03E5">
        <w:rPr>
          <w:u w:val="single"/>
        </w:rPr>
        <w:t>kh</w:t>
      </w:r>
      <w:r w:rsidRPr="008F03E5">
        <w:t xml:space="preserve">úrah is a </w:t>
      </w:r>
      <w:r w:rsidRPr="008F03E5">
        <w:rPr>
          <w:sz w:val="16"/>
          <w:szCs w:val="16"/>
        </w:rPr>
        <w:t>SW</w:t>
      </w:r>
      <w:r w:rsidRPr="008F03E5">
        <w:t xml:space="preserve"> quarter of ‘Akká—location of the </w:t>
      </w:r>
      <w:r w:rsidRPr="008F03E5">
        <w:rPr>
          <w:u w:val="single"/>
        </w:rPr>
        <w:t>Kh</w:t>
      </w:r>
      <w:r w:rsidRPr="008F03E5">
        <w:t>án al-‘Awámíd (“Inn of Pillars”).</w:t>
      </w:r>
    </w:p>
    <w:p w14:paraId="18AB5D81" w14:textId="77777777" w:rsidR="00625A5B" w:rsidRPr="008F03E5" w:rsidRDefault="00625A5B" w:rsidP="00F266C0">
      <w:pPr>
        <w:pStyle w:val="Translit"/>
      </w:pPr>
      <w:r w:rsidRPr="008F03E5">
        <w:t>Falah</w:t>
      </w:r>
      <w:r w:rsidRPr="008F03E5">
        <w:tab/>
        <w:t>Faláḥ</w:t>
      </w:r>
      <w:r w:rsidRPr="008F03E5">
        <w:tab/>
        <w:t>thriving, prosperity; salvation; welfare; success</w:t>
      </w:r>
    </w:p>
    <w:p w14:paraId="012EDE4E" w14:textId="77777777" w:rsidR="00625A5B" w:rsidRDefault="00625A5B" w:rsidP="001365B3">
      <w:pPr>
        <w:pStyle w:val="Translit"/>
      </w:pPr>
      <w:r>
        <w:t>F</w:t>
      </w:r>
      <w:r w:rsidRPr="000C6CAF">
        <w:t>alaj,</w:t>
      </w:r>
      <w:r>
        <w:t xml:space="preserve"> Aflaj</w:t>
      </w:r>
      <w:r>
        <w:tab/>
        <w:t>F</w:t>
      </w:r>
      <w:r w:rsidRPr="000C6CAF">
        <w:t>alaj,</w:t>
      </w:r>
      <w:r>
        <w:t xml:space="preserve"> pl. Aflaj</w:t>
      </w:r>
      <w:r>
        <w:tab/>
      </w:r>
      <w:r w:rsidRPr="000C6CAF">
        <w:t>split into parts.</w:t>
      </w:r>
      <w:r>
        <w:t xml:space="preserve"> </w:t>
      </w:r>
      <w:r w:rsidRPr="000C6CAF">
        <w:t xml:space="preserve"> The </w:t>
      </w:r>
      <w:r>
        <w:t xml:space="preserve">irrigation </w:t>
      </w:r>
      <w:r w:rsidRPr="000C6CAF">
        <w:t xml:space="preserve">system </w:t>
      </w:r>
      <w:r>
        <w:t>(see qan</w:t>
      </w:r>
      <w:r w:rsidRPr="008F03E5">
        <w:t>á</w:t>
      </w:r>
      <w:r>
        <w:t xml:space="preserve">h) in Oman and UAE that conducts underground water into channels that is then </w:t>
      </w:r>
      <w:r w:rsidRPr="000C6CAF">
        <w:t>evenly divide</w:t>
      </w:r>
      <w:r>
        <w:t>d</w:t>
      </w:r>
      <w:r w:rsidRPr="000C6CAF">
        <w:t xml:space="preserve"> between farms</w:t>
      </w:r>
      <w:r>
        <w:t>.</w:t>
      </w:r>
    </w:p>
    <w:p w14:paraId="7E1311E7" w14:textId="77777777" w:rsidR="00625A5B" w:rsidRPr="008F03E5" w:rsidRDefault="00625A5B" w:rsidP="00130D13">
      <w:pPr>
        <w:pStyle w:val="Translit"/>
      </w:pPr>
      <w:r w:rsidRPr="008F03E5">
        <w:t>Falak, Aflak</w:t>
      </w:r>
      <w:r w:rsidRPr="008F03E5">
        <w:tab/>
        <w:t>Falak, pl. Aflák</w:t>
      </w:r>
      <w:r w:rsidRPr="008F03E5">
        <w:tab/>
        <w:t>celestial sphere; celestial body, star; circuit, orbit (of celestial bodies).  Hence, falak al-burúj (the celestial spheres); falak al-manázil (the celestial stations); falak az-zuḥal (the sphere of Saturn); falak al-mu</w:t>
      </w:r>
      <w:r w:rsidRPr="008F03E5">
        <w:rPr>
          <w:u w:val="single"/>
        </w:rPr>
        <w:t>sh</w:t>
      </w:r>
      <w:r w:rsidRPr="008F03E5">
        <w:t>tarí (the sphere of Jupiter); falak al-mirri</w:t>
      </w:r>
      <w:r w:rsidRPr="008F03E5">
        <w:rPr>
          <w:u w:val="single"/>
        </w:rPr>
        <w:t>kh</w:t>
      </w:r>
      <w:r w:rsidRPr="008F03E5">
        <w:t xml:space="preserve"> (the sphere of Mars); falak a</w:t>
      </w:r>
      <w:r w:rsidRPr="008F03E5">
        <w:rPr>
          <w:u w:val="single"/>
        </w:rPr>
        <w:t>sh</w:t>
      </w:r>
      <w:r w:rsidRPr="008F03E5">
        <w:t>-</w:t>
      </w:r>
      <w:r w:rsidRPr="008F03E5">
        <w:rPr>
          <w:u w:val="single"/>
        </w:rPr>
        <w:t>sh</w:t>
      </w:r>
      <w:r w:rsidRPr="008F03E5">
        <w:t>ams (the sphere of the Sun); falak az-zuhrah (the sphere of Venus); falak ‘uṭárid (the sphere of Mercury); falak al-qamar (the sphere of the moon)</w:t>
      </w:r>
    </w:p>
    <w:p w14:paraId="3CA2B445" w14:textId="77777777" w:rsidR="00625A5B" w:rsidRPr="008F03E5" w:rsidRDefault="00625A5B" w:rsidP="0074537D">
      <w:pPr>
        <w:pStyle w:val="Translit"/>
      </w:pPr>
      <w:r w:rsidRPr="008F03E5">
        <w:t>Falaq</w:t>
      </w:r>
      <w:r w:rsidRPr="008F03E5">
        <w:tab/>
        <w:t>Falaq</w:t>
      </w:r>
      <w:r w:rsidRPr="008F03E5">
        <w:tab/>
        <w:t>daybreak, dawn</w:t>
      </w:r>
    </w:p>
    <w:p w14:paraId="48EA88EB" w14:textId="77777777" w:rsidR="00625A5B" w:rsidRPr="008F03E5" w:rsidRDefault="00625A5B" w:rsidP="00224C82">
      <w:pPr>
        <w:pStyle w:val="Translit"/>
      </w:pPr>
      <w:r w:rsidRPr="008F03E5">
        <w:t>Falaqa (Falaka, Falakih)</w:t>
      </w:r>
      <w:r w:rsidRPr="008F03E5">
        <w:tab/>
        <w:t>Falaqa[h or t]</w:t>
      </w:r>
      <w:r w:rsidRPr="008F03E5">
        <w:tab/>
        <w:t xml:space="preserve">a device (pole, stick) to hold the feet of a person when the bastinado is given.  </w:t>
      </w:r>
      <w:r w:rsidRPr="008F03E5">
        <w:rPr>
          <w:lang w:eastAsia="en-US"/>
        </w:rPr>
        <w:t>A rope is fixed to the ends of the stick to form a loose loop.  The feet are passed through the loop and two men turn the stick to tighten the rope, and then lift the stick.  A third man strikes the soles of the person’s feet with a cane.</w:t>
      </w:r>
    </w:p>
    <w:p w14:paraId="68936EA5" w14:textId="77777777" w:rsidR="00625A5B" w:rsidRPr="008F03E5" w:rsidRDefault="00625A5B" w:rsidP="006C7BF4">
      <w:pPr>
        <w:pStyle w:val="Translit"/>
      </w:pPr>
      <w:r w:rsidRPr="008F03E5">
        <w:t>Falasifiyya sharq</w:t>
      </w:r>
      <w:r w:rsidRPr="008F03E5">
        <w:tab/>
        <w:t xml:space="preserve">Falásifiyya </w:t>
      </w:r>
      <w:r w:rsidRPr="008F03E5">
        <w:rPr>
          <w:u w:val="single"/>
        </w:rPr>
        <w:t>sh</w:t>
      </w:r>
      <w:r w:rsidRPr="008F03E5">
        <w:t>arq</w:t>
      </w:r>
      <w:r w:rsidRPr="008F03E5">
        <w:tab/>
        <w:t>“philosophers of the East”.  See faylasúf</w:t>
      </w:r>
    </w:p>
    <w:p w14:paraId="7B089085" w14:textId="77777777" w:rsidR="00625A5B" w:rsidRPr="008F03E5" w:rsidRDefault="00625A5B" w:rsidP="00D84E2F">
      <w:pPr>
        <w:pStyle w:val="Translit"/>
      </w:pPr>
      <w:r w:rsidRPr="008F03E5">
        <w:t>Fallah, Fallahun, Fallaha</w:t>
      </w:r>
      <w:r w:rsidRPr="008F03E5">
        <w:tab/>
        <w:t>Falláḥ, pl. Falláḥún, Falláḥa[h or t]</w:t>
      </w:r>
      <w:r w:rsidRPr="008F03E5">
        <w:tab/>
        <w:t>tiller of the soil, husbandman; peasant, farmer, fellah</w:t>
      </w:r>
    </w:p>
    <w:p w14:paraId="129D43B1" w14:textId="77777777" w:rsidR="00625A5B" w:rsidRPr="00D45A23" w:rsidRDefault="00625A5B" w:rsidP="009D324D">
      <w:pPr>
        <w:pStyle w:val="Translit"/>
        <w:rPr>
          <w:lang w:val="de-DE"/>
        </w:rPr>
      </w:pPr>
      <w:r w:rsidRPr="008F03E5">
        <w:t>Fallscheer</w:t>
      </w:r>
      <w:r w:rsidRPr="008F03E5">
        <w:tab/>
        <w:t>Fallscheer</w:t>
      </w:r>
      <w:r w:rsidRPr="008F03E5">
        <w:tab/>
        <w:t xml:space="preserve">Dr Josephina Therese Fallscheer-Zürcher (1866–1932), a Swiss physician who lived in the Middle East for many years, including Haifa (1905-1912).  Dr Fallscheer served as physician for the family of ‘Abdu’l-Bahá and was a confidant of the women of the household of ‘Abdu’l-Bahá.  </w:t>
      </w:r>
      <w:r w:rsidRPr="00D45A23">
        <w:rPr>
          <w:lang w:val="de-DE"/>
        </w:rPr>
        <w:t>Married Heinrich Samuel Fallscheer (b. 1872) in 1899.  Daughter Gerda Margarethe Sdun-Fallscheer (1901–1990).</w:t>
      </w:r>
    </w:p>
    <w:p w14:paraId="363A9D11" w14:textId="77777777" w:rsidR="00625A5B" w:rsidRPr="008F03E5" w:rsidRDefault="00625A5B" w:rsidP="00EA6746">
      <w:pPr>
        <w:pStyle w:val="Translit"/>
      </w:pPr>
      <w:r w:rsidRPr="00D45A23">
        <w:rPr>
          <w:lang w:val="de-DE"/>
        </w:rPr>
        <w:t>Falsaf, Falsafa</w:t>
      </w:r>
      <w:r w:rsidRPr="00D45A23">
        <w:rPr>
          <w:lang w:val="de-DE"/>
        </w:rPr>
        <w:tab/>
        <w:t xml:space="preserve">Falsaf, fem. Falsafa[h or t], pl. </w:t>
      </w:r>
      <w:r w:rsidRPr="008F03E5">
        <w:t>Falsafát</w:t>
      </w:r>
      <w:r w:rsidRPr="008F03E5">
        <w:tab/>
        <w:t>to philosophize; philosophy</w:t>
      </w:r>
    </w:p>
    <w:p w14:paraId="01A85EC2" w14:textId="77777777" w:rsidR="00625A5B" w:rsidRPr="008F03E5" w:rsidRDefault="00625A5B" w:rsidP="00067EF6">
      <w:pPr>
        <w:pStyle w:val="Translit"/>
      </w:pPr>
      <w:r w:rsidRPr="008F03E5">
        <w:t>Falsafi</w:t>
      </w:r>
      <w:r w:rsidRPr="008F03E5">
        <w:tab/>
        <w:t>Falsafí</w:t>
      </w:r>
      <w:r w:rsidRPr="008F03E5">
        <w:tab/>
        <w:t>Pers. philosophical; a philosopher</w:t>
      </w:r>
    </w:p>
    <w:p w14:paraId="3347FA31" w14:textId="77777777" w:rsidR="00625A5B" w:rsidRPr="008F03E5" w:rsidRDefault="00625A5B" w:rsidP="00E54EF8">
      <w:pPr>
        <w:pStyle w:val="Translit"/>
      </w:pPr>
      <w:r w:rsidRPr="008F03E5">
        <w:rPr>
          <w:lang w:eastAsia="en-US"/>
        </w:rPr>
        <w:t>Fam Ghadir</w:t>
      </w:r>
      <w:r w:rsidRPr="008F03E5">
        <w:rPr>
          <w:lang w:eastAsia="en-US"/>
        </w:rPr>
        <w:tab/>
        <w:t xml:space="preserve">Fam </w:t>
      </w:r>
      <w:r w:rsidRPr="008F03E5">
        <w:rPr>
          <w:u w:val="single"/>
          <w:lang w:eastAsia="en-US"/>
        </w:rPr>
        <w:t>Gh</w:t>
      </w:r>
      <w:r w:rsidRPr="008F03E5">
        <w:rPr>
          <w:lang w:eastAsia="en-US"/>
        </w:rPr>
        <w:t>adír</w:t>
      </w:r>
      <w:r w:rsidRPr="008F03E5">
        <w:rPr>
          <w:lang w:eastAsia="en-US"/>
        </w:rPr>
        <w:tab/>
        <w:t xml:space="preserve">(“Fama Ghadir”) Fam </w:t>
      </w:r>
      <w:r w:rsidRPr="008F03E5">
        <w:rPr>
          <w:u w:val="single"/>
          <w:lang w:eastAsia="en-US"/>
        </w:rPr>
        <w:t>Gh</w:t>
      </w:r>
      <w:r w:rsidRPr="008F03E5">
        <w:rPr>
          <w:lang w:eastAsia="en-US"/>
        </w:rPr>
        <w:t>adír (</w:t>
      </w:r>
      <w:r w:rsidRPr="008F03E5">
        <w:rPr>
          <w:u w:val="single"/>
          <w:lang w:eastAsia="en-US"/>
        </w:rPr>
        <w:t>Kh</w:t>
      </w:r>
      <w:r w:rsidRPr="008F03E5">
        <w:rPr>
          <w:lang w:eastAsia="en-US"/>
        </w:rPr>
        <w:t>umm), i.e. the mouth or orifice of the pool (</w:t>
      </w:r>
      <w:r w:rsidRPr="008F03E5">
        <w:rPr>
          <w:u w:val="single"/>
          <w:lang w:eastAsia="en-US"/>
        </w:rPr>
        <w:t>gh</w:t>
      </w:r>
      <w:r w:rsidRPr="008F03E5">
        <w:rPr>
          <w:lang w:eastAsia="en-US"/>
        </w:rPr>
        <w:t>adír).  Symbolically, talk or speech.</w:t>
      </w:r>
    </w:p>
    <w:p w14:paraId="6B55E8BD" w14:textId="77777777" w:rsidR="00625A5B" w:rsidRPr="008F03E5" w:rsidRDefault="00625A5B" w:rsidP="0039596A">
      <w:pPr>
        <w:pStyle w:val="Translit"/>
      </w:pPr>
      <w:r w:rsidRPr="008F03E5">
        <w:t>Fam, Afwah</w:t>
      </w:r>
      <w:r w:rsidRPr="008F03E5">
        <w:tab/>
        <w:t>Fam, pl. Afwáh</w:t>
      </w:r>
      <w:r w:rsidRPr="008F03E5">
        <w:tab/>
        <w:t>mouth; muzzle; orifice, aperture, hole, vent; mouth (of a river), head (of a canal, etc.)</w:t>
      </w:r>
    </w:p>
    <w:p w14:paraId="59CE962E" w14:textId="77777777" w:rsidR="00625A5B" w:rsidRPr="008F03E5" w:rsidRDefault="00625A5B" w:rsidP="00C97EA6">
      <w:pPr>
        <w:pStyle w:val="Translit"/>
      </w:pPr>
      <w:r w:rsidRPr="008F03E5">
        <w:t>Fana’ Fi’lláh</w:t>
      </w:r>
      <w:r w:rsidRPr="008F03E5">
        <w:tab/>
        <w:t>Faná’ Fí’lláh</w:t>
      </w:r>
      <w:r w:rsidRPr="008F03E5">
        <w:tab/>
        <w:t xml:space="preserve">the annihilation of self in God (Scholl, </w:t>
      </w:r>
      <w:r w:rsidRPr="008F03E5">
        <w:rPr>
          <w:i/>
          <w:iCs/>
        </w:rPr>
        <w:t>Remembrance of God</w:t>
      </w:r>
      <w:r w:rsidRPr="008F03E5">
        <w:t>, p. 5)</w:t>
      </w:r>
    </w:p>
    <w:p w14:paraId="65643A00" w14:textId="77777777" w:rsidR="00625A5B" w:rsidRPr="008F03E5" w:rsidRDefault="00625A5B" w:rsidP="00C97EA6">
      <w:pPr>
        <w:pStyle w:val="Translit"/>
      </w:pPr>
      <w:r w:rsidRPr="008F03E5">
        <w:t>Fana’ wa Baqa</w:t>
      </w:r>
      <w:r w:rsidRPr="008F03E5">
        <w:tab/>
        <w:t>Faná’ wa Baqá’</w:t>
      </w:r>
      <w:r w:rsidRPr="008F03E5">
        <w:tab/>
        <w:t xml:space="preserve">annihilation and subsistence (Scholl, </w:t>
      </w:r>
      <w:r w:rsidRPr="008F03E5">
        <w:rPr>
          <w:i/>
          <w:iCs/>
        </w:rPr>
        <w:t>Remembrance of God</w:t>
      </w:r>
      <w:r w:rsidRPr="008F03E5">
        <w:t>, p. 5)</w:t>
      </w:r>
    </w:p>
    <w:p w14:paraId="5112034A" w14:textId="77777777" w:rsidR="00625A5B" w:rsidRPr="008F03E5" w:rsidRDefault="00625A5B" w:rsidP="00166D0E">
      <w:pPr>
        <w:pStyle w:val="Translit"/>
      </w:pPr>
      <w:r w:rsidRPr="008F03E5">
        <w:t>Fana’</w:t>
      </w:r>
      <w:r w:rsidRPr="008F03E5">
        <w:tab/>
        <w:t>Faná’</w:t>
      </w:r>
      <w:r w:rsidRPr="008F03E5">
        <w:tab/>
        <w:t>passing away, perish, cessation of being; perdition, ruin, destruction, annihilation; evanescence, vanishing, termination, extinction; exhaustion; non-being, non-existence, non-entity; extinction of individual consciousness, recedence of the ego, obliteration of the self (mysticism)</w:t>
      </w:r>
    </w:p>
    <w:p w14:paraId="3B15204D" w14:textId="77777777" w:rsidR="00625A5B" w:rsidRPr="008F03E5" w:rsidRDefault="00625A5B" w:rsidP="00DF07A2">
      <w:pPr>
        <w:pStyle w:val="Translit"/>
      </w:pPr>
      <w:r w:rsidRPr="008F03E5">
        <w:t>Fana’yan (Fana’ian, Fanaian, Fanaiyan)</w:t>
      </w:r>
      <w:r w:rsidRPr="008F03E5">
        <w:tab/>
        <w:t>Faná’yán (Faná’íyán)</w:t>
      </w:r>
      <w:r w:rsidRPr="008F03E5">
        <w:tab/>
        <w:t>Mírzá Faraju’lláh Faná’yán (Junún) (</w:t>
      </w:r>
      <w:r w:rsidRPr="008F03E5">
        <w:rPr>
          <w:sz w:val="16"/>
          <w:szCs w:val="16"/>
        </w:rPr>
        <w:t>CE</w:t>
      </w:r>
      <w:r w:rsidRPr="008F03E5">
        <w:t xml:space="preserve"> 1871–1945)—a shoemaker, Bahá’í and poet</w:t>
      </w:r>
    </w:p>
    <w:p w14:paraId="3484EB76" w14:textId="77777777" w:rsidR="00625A5B" w:rsidRPr="008F03E5" w:rsidRDefault="00625A5B" w:rsidP="001F0D0D">
      <w:pPr>
        <w:pStyle w:val="Translit"/>
      </w:pPr>
      <w:r w:rsidRPr="008F03E5">
        <w:t>Fanan, Afnan</w:t>
      </w:r>
      <w:r w:rsidRPr="008F03E5">
        <w:tab/>
        <w:t>Fanan, pl. Afnán</w:t>
      </w:r>
      <w:r w:rsidRPr="008F03E5">
        <w:tab/>
        <w:t>bough or twig.  Afnán used to denote those indirectly related to the Báb (there were no surviving children), specifically of His three maternal uncles and His wife’s two brothers.  Family name of Ṭ</w:t>
      </w:r>
      <w:r w:rsidRPr="008F03E5">
        <w:rPr>
          <w:rFonts w:eastAsia="PMingLiU"/>
          <w:lang w:eastAsia="zh-TW"/>
        </w:rPr>
        <w:t xml:space="preserve">úbá </w:t>
      </w:r>
      <w:r w:rsidRPr="008F03E5">
        <w:rPr>
          <w:rFonts w:eastAsia="PMingLiU"/>
          <w:u w:val="single"/>
          <w:lang w:eastAsia="zh-TW"/>
        </w:rPr>
        <w:t>Kh</w:t>
      </w:r>
      <w:r w:rsidRPr="008F03E5">
        <w:t>á</w:t>
      </w:r>
      <w:r w:rsidRPr="008F03E5">
        <w:rPr>
          <w:rFonts w:eastAsia="PMingLiU"/>
          <w:lang w:eastAsia="zh-TW"/>
        </w:rPr>
        <w:t>num (daughter of ‘Abdu’l-Bahá) who married M</w:t>
      </w:r>
      <w:r w:rsidRPr="008F03E5">
        <w:t>í</w:t>
      </w:r>
      <w:r w:rsidRPr="008F03E5">
        <w:rPr>
          <w:rFonts w:eastAsia="PMingLiU"/>
          <w:lang w:eastAsia="zh-TW"/>
        </w:rPr>
        <w:t>rz</w:t>
      </w:r>
      <w:r w:rsidRPr="008F03E5">
        <w:t>á</w:t>
      </w:r>
      <w:r w:rsidRPr="008F03E5">
        <w:rPr>
          <w:rFonts w:eastAsia="PMingLiU"/>
          <w:lang w:eastAsia="zh-TW"/>
        </w:rPr>
        <w:t xml:space="preserve"> </w:t>
      </w:r>
      <w:r w:rsidRPr="008F03E5">
        <w:t>Muḥsin</w:t>
      </w:r>
      <w:r w:rsidRPr="008F03E5">
        <w:rPr>
          <w:rFonts w:eastAsia="PMingLiU"/>
          <w:lang w:eastAsia="zh-TW"/>
        </w:rPr>
        <w:t xml:space="preserve">.  Children:  </w:t>
      </w:r>
      <w:r w:rsidRPr="008F03E5">
        <w:t xml:space="preserve">Rúḥí, Suhayl, </w:t>
      </w:r>
      <w:r w:rsidRPr="008F03E5">
        <w:rPr>
          <w:rFonts w:eastAsia="PMingLiU"/>
          <w:lang w:eastAsia="zh-TW"/>
        </w:rPr>
        <w:t xml:space="preserve">Fu’ád and </w:t>
      </w:r>
      <w:r w:rsidRPr="008F03E5">
        <w:rPr>
          <w:u w:val="single"/>
        </w:rPr>
        <w:t>Th</w:t>
      </w:r>
      <w:r w:rsidRPr="008F03E5">
        <w:t>urayyá.</w:t>
      </w:r>
    </w:p>
    <w:p w14:paraId="6A49DE43" w14:textId="77777777" w:rsidR="00625A5B" w:rsidRPr="008F03E5" w:rsidRDefault="00625A5B" w:rsidP="000C34F4">
      <w:pPr>
        <w:pStyle w:val="Translit"/>
      </w:pPr>
      <w:r w:rsidRPr="008F03E5">
        <w:t>Fani, Faniyat (Faniyyat)</w:t>
      </w:r>
      <w:r w:rsidRPr="008F03E5">
        <w:tab/>
        <w:t>Fání, pl. Fáníyát (Fániyyát)</w:t>
      </w:r>
      <w:r w:rsidRPr="008F03E5">
        <w:tab/>
        <w:t>frail, transitory, perishable, inconstant; tottering (old man); (in the parlance of the Sufis) one who has reached the state of faná’, or annihilation</w:t>
      </w:r>
    </w:p>
    <w:p w14:paraId="2EE0ACB9" w14:textId="77777777" w:rsidR="00625A5B" w:rsidRPr="008F03E5" w:rsidRDefault="00625A5B" w:rsidP="00CD5437">
      <w:pPr>
        <w:pStyle w:val="Translit"/>
      </w:pPr>
      <w:r w:rsidRPr="008F03E5">
        <w:t>Fanin</w:t>
      </w:r>
      <w:r w:rsidRPr="008F03E5">
        <w:tab/>
        <w:t>Fánin</w:t>
      </w:r>
      <w:r w:rsidRPr="008F03E5">
        <w:tab/>
        <w:t>evanescent, transitory, transient, ephemeral, vain; exhausted; far advanced in years, very old</w:t>
      </w:r>
    </w:p>
    <w:p w14:paraId="7C4EFCC3" w14:textId="77777777" w:rsidR="00625A5B" w:rsidRPr="008F03E5" w:rsidRDefault="00625A5B" w:rsidP="00330DEA">
      <w:pPr>
        <w:pStyle w:val="Translit"/>
      </w:pPr>
      <w:r w:rsidRPr="008F03E5">
        <w:t>Faniya, Fana’</w:t>
      </w:r>
      <w:r w:rsidRPr="008F03E5">
        <w:tab/>
        <w:t>Faniya (Faná’)</w:t>
      </w:r>
      <w:r w:rsidRPr="008F03E5">
        <w:tab/>
        <w:t xml:space="preserve">to pass away, perish, cease to exist, come to nought; to come to an end, cease, wane, dwindle, evanesce, vanish; to be extinguished, become extinct; to be exhausted, be consumed, be spent; to undergo obliteration of the self; to become totally absorbed (by).  See </w:t>
      </w:r>
      <w:r w:rsidRPr="008F03E5">
        <w:rPr>
          <w:rFonts w:eastAsia="PMingLiU"/>
          <w:lang w:eastAsia="zh-TW"/>
        </w:rPr>
        <w:t>Baqá’</w:t>
      </w:r>
    </w:p>
    <w:p w14:paraId="7D43B095" w14:textId="77777777" w:rsidR="00625A5B" w:rsidRPr="008F03E5" w:rsidRDefault="00625A5B" w:rsidP="000A1A84">
      <w:pPr>
        <w:pStyle w:val="Translit"/>
      </w:pPr>
      <w:r w:rsidRPr="001D6A7E">
        <w:t>Fann, Funun, Afnan, Afanin</w:t>
      </w:r>
      <w:r w:rsidRPr="001D6A7E">
        <w:tab/>
        <w:t xml:space="preserve">Fann, pl. </w:t>
      </w:r>
      <w:r w:rsidRPr="008F03E5">
        <w:t>Funún, Afnán, Afánín</w:t>
      </w:r>
      <w:r w:rsidRPr="008F03E5">
        <w:tab/>
        <w:t xml:space="preserve">kind, specimen, variety;—pl. Afánín various sides (of something), diversity;—pl. Funún sciences, arts; modes, ways, manners; tricks, artifices; arts and sciences or technology.  </w:t>
      </w:r>
      <w:r w:rsidRPr="008F03E5">
        <w:rPr>
          <w:i/>
          <w:iCs/>
          <w:u w:val="single"/>
        </w:rPr>
        <w:t>Th</w:t>
      </w:r>
      <w:r w:rsidRPr="008F03E5">
        <w:rPr>
          <w:i/>
          <w:iCs/>
        </w:rPr>
        <w:t>amarát al-Funún</w:t>
      </w:r>
      <w:r w:rsidRPr="008F03E5">
        <w:t xml:space="preserve"> (1875–1908) “The fruits of the arts”, first Syrian Islamic newspaper.</w:t>
      </w:r>
    </w:p>
    <w:p w14:paraId="28DA4BFA" w14:textId="77777777" w:rsidR="00625A5B" w:rsidRPr="00D45A23" w:rsidRDefault="00625A5B" w:rsidP="000C7B1F">
      <w:pPr>
        <w:pStyle w:val="Translit"/>
        <w:rPr>
          <w:lang w:val="it-IT"/>
        </w:rPr>
      </w:pPr>
      <w:r w:rsidRPr="00D45A23">
        <w:rPr>
          <w:lang w:val="it-IT"/>
        </w:rPr>
        <w:t>Fannan (Fananan), Fannana, Fannanun</w:t>
      </w:r>
      <w:r w:rsidRPr="00D45A23">
        <w:rPr>
          <w:lang w:val="it-IT"/>
        </w:rPr>
        <w:tab/>
        <w:t>Fannán, fem. Fannána, pl. Fannánún</w:t>
      </w:r>
      <w:r w:rsidRPr="00D45A23">
        <w:rPr>
          <w:lang w:val="it-IT"/>
        </w:rPr>
        <w:tab/>
        <w:t>artist.  Khazeh Fananapazir (</w:t>
      </w:r>
      <w:r w:rsidRPr="00D45A23">
        <w:rPr>
          <w:u w:val="single"/>
          <w:lang w:val="it-IT"/>
        </w:rPr>
        <w:t>Kh</w:t>
      </w:r>
      <w:r w:rsidRPr="00D45A23">
        <w:rPr>
          <w:lang w:val="it-IT"/>
        </w:rPr>
        <w:t>aḍih Fannánpazír)</w:t>
      </w:r>
    </w:p>
    <w:p w14:paraId="59A1756F" w14:textId="77777777" w:rsidR="00625A5B" w:rsidRPr="008F03E5" w:rsidRDefault="00625A5B" w:rsidP="00437214">
      <w:pPr>
        <w:pStyle w:val="Translit"/>
      </w:pPr>
      <w:r w:rsidRPr="008F03E5">
        <w:t>Faqa, (Fawq, Fawaq)</w:t>
      </w:r>
      <w:r w:rsidRPr="008F03E5">
        <w:tab/>
        <w:t>Fáqa (Fawq, Fawáq)</w:t>
      </w:r>
      <w:r w:rsidRPr="008F03E5">
        <w:tab/>
        <w:t>to surpass, excel, overtop (someone, something), tower (above); to be superior (to someone); to outweigh, outbalance; to transcend, exceed (something)</w:t>
      </w:r>
    </w:p>
    <w:p w14:paraId="22230555" w14:textId="77777777" w:rsidR="00625A5B" w:rsidRPr="007D2E0B" w:rsidRDefault="00625A5B" w:rsidP="00FC62CE">
      <w:pPr>
        <w:pStyle w:val="Translit"/>
        <w:rPr>
          <w:lang w:val="fr-FR"/>
        </w:rPr>
      </w:pPr>
      <w:r w:rsidRPr="00FC62CE">
        <w:rPr>
          <w:lang w:val="fr-FR"/>
        </w:rPr>
        <w:t>Faqara, Faqar</w:t>
      </w:r>
      <w:r w:rsidRPr="00FC62CE">
        <w:rPr>
          <w:lang w:val="fr-FR"/>
        </w:rPr>
        <w:tab/>
        <w:t xml:space="preserve">Faqára[h or t], pl. </w:t>
      </w:r>
      <w:r w:rsidRPr="007D2E0B">
        <w:rPr>
          <w:lang w:val="fr-FR"/>
        </w:rPr>
        <w:t>Faqár</w:t>
      </w:r>
      <w:r w:rsidRPr="007D2E0B">
        <w:rPr>
          <w:lang w:val="fr-FR"/>
        </w:rPr>
        <w:tab/>
        <w:t>back joint or vertebra</w:t>
      </w:r>
    </w:p>
    <w:p w14:paraId="349057D6" w14:textId="77777777" w:rsidR="00625A5B" w:rsidRPr="008F03E5" w:rsidRDefault="00625A5B" w:rsidP="00C51406">
      <w:pPr>
        <w:pStyle w:val="Translit"/>
      </w:pPr>
      <w:r w:rsidRPr="007D2E0B">
        <w:rPr>
          <w:lang w:val="fr-FR"/>
        </w:rPr>
        <w:t>Faqih, Fuqiha, Fuqaha</w:t>
      </w:r>
      <w:r w:rsidRPr="007D2E0B">
        <w:rPr>
          <w:lang w:val="fr-FR"/>
        </w:rPr>
        <w:tab/>
        <w:t xml:space="preserve">Faqíh, fem. </w:t>
      </w:r>
      <w:r w:rsidRPr="008F03E5">
        <w:t>Fuqíha[h or t], pl. Fuqahá’</w:t>
      </w:r>
      <w:r w:rsidRPr="008F03E5">
        <w:tab/>
        <w:t>legist, jurisprudent and theologian, expert of fiqh, jurist</w:t>
      </w:r>
    </w:p>
    <w:p w14:paraId="20866AEF" w14:textId="77777777" w:rsidR="00625A5B" w:rsidRPr="008F03E5" w:rsidRDefault="00625A5B" w:rsidP="00C51406">
      <w:pPr>
        <w:pStyle w:val="Translit"/>
      </w:pPr>
      <w:r w:rsidRPr="008F03E5">
        <w:t>Faqir, Fuqara’</w:t>
      </w:r>
      <w:r w:rsidRPr="008F03E5">
        <w:tab/>
        <w:t>Faqír, pl. Fuqara’</w:t>
      </w:r>
      <w:r w:rsidRPr="008F03E5">
        <w:tab/>
        <w:t>poor, poverty-stricken; poor man, pauper; mendicant dervish, Sufi mendicant</w:t>
      </w:r>
    </w:p>
    <w:p w14:paraId="5FC12385" w14:textId="77777777" w:rsidR="00625A5B" w:rsidRPr="008F03E5" w:rsidRDefault="00625A5B" w:rsidP="00A166F9">
      <w:pPr>
        <w:pStyle w:val="Translit"/>
        <w:rPr>
          <w:rFonts w:eastAsia="PMingLiU"/>
          <w:lang w:eastAsia="zh-TW"/>
        </w:rPr>
      </w:pPr>
      <w:r w:rsidRPr="008F03E5">
        <w:rPr>
          <w:rFonts w:eastAsia="PMingLiU"/>
          <w:lang w:eastAsia="zh-TW"/>
        </w:rPr>
        <w:t>Faqnas</w:t>
      </w:r>
      <w:r w:rsidRPr="008F03E5">
        <w:rPr>
          <w:rFonts w:eastAsia="PMingLiU"/>
          <w:lang w:eastAsia="zh-TW"/>
        </w:rPr>
        <w:tab/>
        <w:t>Faqnas</w:t>
      </w:r>
      <w:r w:rsidRPr="008F03E5">
        <w:rPr>
          <w:rFonts w:eastAsia="PMingLiU"/>
          <w:lang w:eastAsia="zh-TW"/>
        </w:rPr>
        <w:tab/>
        <w:t>phoenix</w:t>
      </w:r>
    </w:p>
    <w:p w14:paraId="0F7C9736" w14:textId="77777777" w:rsidR="00625A5B" w:rsidRPr="008F03E5" w:rsidRDefault="00625A5B" w:rsidP="00CD0D31">
      <w:pPr>
        <w:pStyle w:val="Translit"/>
      </w:pPr>
      <w:r w:rsidRPr="008F03E5">
        <w:t>Faqr</w:t>
      </w:r>
      <w:r w:rsidRPr="008F03E5">
        <w:tab/>
        <w:t>Faqr</w:t>
      </w:r>
      <w:r w:rsidRPr="008F03E5">
        <w:tab/>
        <w:t>poverty; need, lack, want</w:t>
      </w:r>
    </w:p>
    <w:p w14:paraId="39C1A9B1" w14:textId="77777777" w:rsidR="00625A5B" w:rsidRPr="008F03E5" w:rsidRDefault="00625A5B" w:rsidP="0078678F">
      <w:pPr>
        <w:pStyle w:val="Translit"/>
        <w:rPr>
          <w:rFonts w:eastAsia="PMingLiU"/>
          <w:lang w:eastAsia="zh-TW"/>
        </w:rPr>
      </w:pPr>
      <w:r w:rsidRPr="008F03E5">
        <w:t>Far, Farr</w:t>
      </w:r>
      <w:r w:rsidRPr="008F03E5">
        <w:tab/>
        <w:t>Far, Farr</w:t>
      </w:r>
      <w:r w:rsidRPr="008F03E5">
        <w:tab/>
        <w:t>Pers. b</w:t>
      </w:r>
      <w:r w:rsidRPr="008F03E5">
        <w:rPr>
          <w:rFonts w:eastAsia="Times New Roman"/>
        </w:rPr>
        <w:t>eauty, comeliness, ornament, elegance, decoration; light, splendour, brilliancy, lustre; voice, sound; a feather; a torrent of water; justice; government; infliction of punishment; magnificence, glory, power, dignity, dominion, pomp, state</w:t>
      </w:r>
    </w:p>
    <w:p w14:paraId="5597B22F" w14:textId="77777777" w:rsidR="00625A5B" w:rsidRPr="008F03E5" w:rsidRDefault="00625A5B" w:rsidP="005A0ED3">
      <w:pPr>
        <w:pStyle w:val="Translit"/>
        <w:rPr>
          <w:rFonts w:eastAsia="PMingLiU"/>
          <w:lang w:eastAsia="zh-TW"/>
        </w:rPr>
      </w:pPr>
      <w:r w:rsidRPr="008F03E5">
        <w:rPr>
          <w:rFonts w:eastAsia="PMingLiU"/>
          <w:lang w:eastAsia="zh-TW"/>
        </w:rPr>
        <w:t>Far’, Furu’, Afru’</w:t>
      </w:r>
      <w:r w:rsidRPr="008F03E5">
        <w:rPr>
          <w:rFonts w:eastAsia="PMingLiU"/>
          <w:lang w:eastAsia="zh-TW"/>
        </w:rPr>
        <w:tab/>
        <w:t>Far‘, pl. Furú‘, Afru‘</w:t>
      </w:r>
      <w:r w:rsidRPr="008F03E5">
        <w:rPr>
          <w:rFonts w:eastAsia="PMingLiU"/>
          <w:lang w:eastAsia="zh-TW"/>
        </w:rPr>
        <w:tab/>
        <w:t xml:space="preserve">twig, branch, bough, limb, (also colloquial) branches, twigs; derivative; section, subdivision; branch office, subsidiary establishment, branch; branch line, feeder line; branch wire (electricity); </w:t>
      </w:r>
      <w:r w:rsidRPr="008F03E5">
        <w:rPr>
          <w:rFonts w:eastAsia="Times New Roman"/>
        </w:rPr>
        <w:t xml:space="preserve">a fundamental institution or doctrine.  </w:t>
      </w:r>
      <w:r w:rsidRPr="008F03E5">
        <w:t>al-farú‘ or ‘ilm al-farú‘ the doctrine of the branches, i.e., applied fiqh, applied ethics (consisting in the systematic elaboration of canonical law in Islam)</w:t>
      </w:r>
    </w:p>
    <w:p w14:paraId="379B8878" w14:textId="77777777" w:rsidR="00625A5B" w:rsidRPr="008F03E5" w:rsidRDefault="00625A5B" w:rsidP="008F5BD0">
      <w:pPr>
        <w:pStyle w:val="Translit"/>
      </w:pPr>
      <w:r w:rsidRPr="008F03E5">
        <w:t>Farab</w:t>
      </w:r>
      <w:r w:rsidRPr="008F03E5">
        <w:tab/>
        <w:t>Fáráb</w:t>
      </w:r>
      <w:r w:rsidRPr="008F03E5">
        <w:tab/>
        <w:t>land watered by irrigation.  There are a number of places with this name:  a village 60 km south of Ardabíl, Iran; Fáráb (Farap) a town in Turkmenistan adjacent to Alat (Olat), Uzbekistan; Farob a town in western Tajikistan.</w:t>
      </w:r>
    </w:p>
    <w:p w14:paraId="64CF43CD" w14:textId="77777777" w:rsidR="00625A5B" w:rsidRPr="008F03E5" w:rsidRDefault="00625A5B" w:rsidP="00EC635B">
      <w:pPr>
        <w:pStyle w:val="Translit"/>
      </w:pPr>
      <w:r w:rsidRPr="008F03E5">
        <w:t>Farabi</w:t>
      </w:r>
      <w:r w:rsidRPr="008F03E5">
        <w:tab/>
        <w:t>Fárábí</w:t>
      </w:r>
      <w:r w:rsidRPr="008F03E5">
        <w:tab/>
        <w:t>Abú Naṣr Muḥammad ibn Muḥammad al Fárábí (known in West as Alpharabius).  Renowned Arab philosopher and jurist.  Possibly born in Fáráb or Fáryáb, which one?</w:t>
      </w:r>
    </w:p>
    <w:p w14:paraId="7E68F200" w14:textId="77777777" w:rsidR="00625A5B" w:rsidRPr="008F03E5" w:rsidRDefault="00625A5B" w:rsidP="002078A3">
      <w:pPr>
        <w:pStyle w:val="Translit"/>
      </w:pPr>
      <w:r w:rsidRPr="008F03E5">
        <w:t>Faraburz, Fariburz</w:t>
      </w:r>
      <w:r w:rsidRPr="008F03E5">
        <w:tab/>
        <w:t>Faráburz, Faríburz</w:t>
      </w:r>
      <w:r w:rsidRPr="008F03E5">
        <w:tab/>
        <w:t>Pers. glorious and mighty.  Name of a mighty champion and minister of Iran.</w:t>
      </w:r>
    </w:p>
    <w:p w14:paraId="1B18E4BC" w14:textId="77777777" w:rsidR="00625A5B" w:rsidRPr="008F03E5" w:rsidRDefault="00625A5B" w:rsidP="00FF3E36">
      <w:pPr>
        <w:pStyle w:val="Translit"/>
      </w:pPr>
      <w:r w:rsidRPr="008F03E5">
        <w:t>Farada, Faruda, Furud</w:t>
      </w:r>
      <w:r w:rsidRPr="008F03E5">
        <w:tab/>
        <w:t>Farada and Faruda (Furúd)</w:t>
      </w:r>
      <w:r w:rsidRPr="008F03E5">
        <w:tab/>
        <w:t>to be single, be alone; to be singular, be unique;—farada (furúd) to withdraw, retire, segregate (from)</w:t>
      </w:r>
    </w:p>
    <w:p w14:paraId="250BC801" w14:textId="77777777" w:rsidR="00625A5B" w:rsidRPr="008F03E5" w:rsidRDefault="00625A5B" w:rsidP="00DF50B2">
      <w:pPr>
        <w:pStyle w:val="Translit"/>
      </w:pPr>
      <w:r w:rsidRPr="008F03E5">
        <w:t>Faraghih (Farugh)</w:t>
      </w:r>
      <w:r w:rsidRPr="008F03E5">
        <w:tab/>
        <w:t>Fará</w:t>
      </w:r>
      <w:r w:rsidRPr="008F03E5">
        <w:rPr>
          <w:u w:val="single"/>
        </w:rPr>
        <w:t>gh</w:t>
      </w:r>
      <w:r w:rsidRPr="008F03E5">
        <w:t>ih</w:t>
      </w:r>
      <w:r w:rsidRPr="008F03E5">
        <w:tab/>
        <w:t xml:space="preserve">(Faraghe, Faragheh) village 160 km </w:t>
      </w:r>
      <w:r w:rsidRPr="008F03E5">
        <w:rPr>
          <w:sz w:val="16"/>
          <w:szCs w:val="16"/>
        </w:rPr>
        <w:t>SW</w:t>
      </w:r>
      <w:r w:rsidRPr="008F03E5">
        <w:t xml:space="preserve"> Yazd</w:t>
      </w:r>
    </w:p>
    <w:p w14:paraId="5004A1AF" w14:textId="77777777" w:rsidR="00625A5B" w:rsidRPr="008F03E5" w:rsidRDefault="00625A5B" w:rsidP="00C22921">
      <w:pPr>
        <w:pStyle w:val="Translit"/>
      </w:pPr>
      <w:r w:rsidRPr="008F03E5">
        <w:t>Farah, Afrah</w:t>
      </w:r>
      <w:r w:rsidRPr="008F03E5">
        <w:tab/>
        <w:t>Faraḥ, pl. Afráḥ</w:t>
      </w:r>
      <w:r w:rsidRPr="008F03E5">
        <w:tab/>
        <w:t>joy, gladness, glee, gaiety, hilarity, mirth, exhilaration, merriment, happiness; wedding;—pl. feast of rejoicing, celebration, festival, festivity; wedding (feast).</w:t>
      </w:r>
    </w:p>
    <w:p w14:paraId="5CBB8FD0" w14:textId="77777777" w:rsidR="00625A5B" w:rsidRPr="008F03E5" w:rsidRDefault="00625A5B" w:rsidP="00A11606">
      <w:pPr>
        <w:pStyle w:val="Translit"/>
      </w:pPr>
      <w:r w:rsidRPr="008F03E5">
        <w:t>Farah-Abad</w:t>
      </w:r>
      <w:r w:rsidRPr="008F03E5">
        <w:tab/>
        <w:t>Faraḥ-Ábád</w:t>
      </w:r>
      <w:r w:rsidRPr="008F03E5">
        <w:tab/>
        <w:t>“The Fair Abode of Joy”, palace near Tehran that was built by Muẓaffari’d-Dín</w:t>
      </w:r>
    </w:p>
    <w:p w14:paraId="22890537" w14:textId="77777777" w:rsidR="00625A5B" w:rsidRPr="008F03E5" w:rsidRDefault="00625A5B" w:rsidP="00B22B0F">
      <w:pPr>
        <w:pStyle w:val="Translit"/>
      </w:pPr>
      <w:r w:rsidRPr="008F03E5">
        <w:t>Farahan</w:t>
      </w:r>
      <w:r w:rsidRPr="008F03E5">
        <w:tab/>
        <w:t>Faráhán</w:t>
      </w:r>
      <w:r w:rsidRPr="008F03E5">
        <w:tab/>
        <w:t>merry, gay, cheerful, joyful, glad, delighted, happy.  County in Markazi Province, Iran.</w:t>
      </w:r>
    </w:p>
    <w:p w14:paraId="7D99E2F9" w14:textId="77777777" w:rsidR="00625A5B" w:rsidRPr="008F03E5" w:rsidRDefault="00625A5B" w:rsidP="006D434E">
      <w:pPr>
        <w:pStyle w:val="Translit"/>
      </w:pPr>
      <w:r w:rsidRPr="008F03E5">
        <w:t>Farahangiz (Farahangise)</w:t>
      </w:r>
      <w:r w:rsidRPr="008F03E5">
        <w:tab/>
        <w:t>Faraḥángíz (Faraḥ+ángíz)</w:t>
      </w:r>
      <w:r w:rsidRPr="008F03E5">
        <w:tab/>
        <w:t xml:space="preserve">Faraḥángíz (Faraḥ) </w:t>
      </w:r>
      <w:r w:rsidRPr="008F03E5">
        <w:rPr>
          <w:u w:val="single"/>
        </w:rPr>
        <w:t>Kh</w:t>
      </w:r>
      <w:r w:rsidRPr="008F03E5">
        <w:t xml:space="preserve">ánum (1894–1967) was a niece of Fáṭimah Naḥrí (Munírih </w:t>
      </w:r>
      <w:r w:rsidRPr="008F03E5">
        <w:rPr>
          <w:u w:val="single"/>
        </w:rPr>
        <w:t>Kh</w:t>
      </w:r>
      <w:r w:rsidRPr="008F03E5">
        <w:t xml:space="preserve">ánum), sister of Dr </w:t>
      </w:r>
      <w:r w:rsidRPr="008F03E5">
        <w:rPr>
          <w:rFonts w:eastAsia="PMingLiU"/>
          <w:lang w:eastAsia="zh-TW"/>
        </w:rPr>
        <w:t>Amínu’lláh</w:t>
      </w:r>
      <w:r w:rsidRPr="008F03E5">
        <w:t xml:space="preserve"> (Amín) Faríd (their father was Mírzá Asadu’lláh-i-Iṣfahání), she married Sydney Sprague (1875–1943).  All (including the father) were Covenant-Breakers.  She owned a small piece of land in the area of the International Bahá’í Archives Building and resisted all efforts to purchase it for over 30 years—expropriated by the government in 1954.  Sydney changed his mind in 1937, and eventually returned to the Bahá’í Faith in 1941.</w:t>
      </w:r>
    </w:p>
    <w:p w14:paraId="13A55C0D" w14:textId="77777777" w:rsidR="00625A5B" w:rsidRPr="00077779" w:rsidRDefault="00625A5B" w:rsidP="0057133F">
      <w:pPr>
        <w:pStyle w:val="Translit"/>
        <w:rPr>
          <w:lang w:val="de-DE"/>
        </w:rPr>
      </w:pPr>
      <w:r w:rsidRPr="00077779">
        <w:rPr>
          <w:lang w:val="de-DE"/>
        </w:rPr>
        <w:t>Farahmand, Farhmand, Farhamand</w:t>
      </w:r>
      <w:r w:rsidRPr="00077779">
        <w:rPr>
          <w:lang w:val="de-DE"/>
        </w:rPr>
        <w:tab/>
        <w:t>Farahmand, Farhmand, Farhamand</w:t>
      </w:r>
      <w:r w:rsidRPr="00077779">
        <w:rPr>
          <w:lang w:val="de-DE"/>
        </w:rPr>
        <w:tab/>
        <w:t>Pers. intelligent, wise; near</w:t>
      </w:r>
    </w:p>
    <w:p w14:paraId="49C92049" w14:textId="77777777" w:rsidR="00625A5B" w:rsidRPr="008F03E5" w:rsidRDefault="00625A5B" w:rsidP="002D7D54">
      <w:pPr>
        <w:pStyle w:val="Translit"/>
      </w:pPr>
      <w:r w:rsidRPr="008F03E5">
        <w:t>Faraj</w:t>
      </w:r>
      <w:r>
        <w:t>, Faraja</w:t>
      </w:r>
      <w:r w:rsidRPr="008F03E5">
        <w:tab/>
        <w:t>Faraj</w:t>
      </w:r>
      <w:r>
        <w:t>, fem. Faraja[h or t]</w:t>
      </w:r>
      <w:r w:rsidRPr="008F03E5">
        <w:tab/>
        <w:t>freedom from grief or sorrow, release from suffering; joy; relaxation; relief, ease, repose, pleasure, comfort; happy ending</w:t>
      </w:r>
    </w:p>
    <w:p w14:paraId="43E867E3" w14:textId="77777777" w:rsidR="00625A5B" w:rsidRPr="008F03E5" w:rsidRDefault="00625A5B" w:rsidP="00252D9B">
      <w:pPr>
        <w:pStyle w:val="Translit"/>
      </w:pPr>
      <w:r w:rsidRPr="008F03E5">
        <w:t>Faraju’llah Dhaki al-Kurdi</w:t>
      </w:r>
      <w:r w:rsidRPr="008F03E5">
        <w:tab/>
        <w:t xml:space="preserve">Faraju’lláh </w:t>
      </w:r>
      <w:r w:rsidRPr="008F03E5">
        <w:rPr>
          <w:u w:val="single"/>
        </w:rPr>
        <w:t>Dh</w:t>
      </w:r>
      <w:r w:rsidRPr="008F03E5">
        <w:t>akí al-Kurdí</w:t>
      </w:r>
      <w:r w:rsidRPr="008F03E5">
        <w:tab/>
        <w:t xml:space="preserve">(not Zakí) </w:t>
      </w:r>
      <w:r w:rsidRPr="008F03E5">
        <w:rPr>
          <w:u w:val="single"/>
        </w:rPr>
        <w:t>Sh</w:t>
      </w:r>
      <w:r w:rsidRPr="008F03E5">
        <w:t>ay</w:t>
      </w:r>
      <w:r w:rsidRPr="008F03E5">
        <w:rPr>
          <w:u w:val="single"/>
        </w:rPr>
        <w:t>kh</w:t>
      </w:r>
      <w:r w:rsidRPr="008F03E5">
        <w:t xml:space="preserve"> Faraju’lláh </w:t>
      </w:r>
      <w:r w:rsidRPr="008F03E5">
        <w:rPr>
          <w:u w:val="single"/>
        </w:rPr>
        <w:t>Dh</w:t>
      </w:r>
      <w:r w:rsidRPr="008F03E5">
        <w:t>akí al-Kurdí, a religious student at al-Azhar University who became a Bahá’í; and later an editor and publisher in Cairo</w:t>
      </w:r>
    </w:p>
    <w:p w14:paraId="45E6415D" w14:textId="77777777" w:rsidR="00625A5B" w:rsidRPr="008F03E5" w:rsidRDefault="00625A5B" w:rsidP="00992756">
      <w:pPr>
        <w:pStyle w:val="Translit"/>
      </w:pPr>
      <w:r w:rsidRPr="008F03E5">
        <w:t>Faraju’llah Tafrishi</w:t>
      </w:r>
      <w:r w:rsidRPr="008F03E5">
        <w:tab/>
        <w:t>Faraju’lláh Tafrí</w:t>
      </w:r>
      <w:r w:rsidRPr="008F03E5">
        <w:rPr>
          <w:u w:val="single"/>
        </w:rPr>
        <w:t>sh</w:t>
      </w:r>
      <w:r w:rsidRPr="008F03E5">
        <w:t>í</w:t>
      </w:r>
      <w:r w:rsidRPr="008F03E5">
        <w:tab/>
        <w:t>(</w:t>
      </w:r>
      <w:r w:rsidRPr="008F03E5">
        <w:rPr>
          <w:sz w:val="16"/>
          <w:szCs w:val="16"/>
        </w:rPr>
        <w:t>MF</w:t>
      </w:r>
      <w:r w:rsidRPr="008F03E5">
        <w:t>) (from Tafrí</w:t>
      </w:r>
      <w:r w:rsidRPr="008F03E5">
        <w:rPr>
          <w:u w:val="single"/>
        </w:rPr>
        <w:t>sh</w:t>
      </w:r>
      <w:r w:rsidRPr="008F03E5">
        <w:t>)</w:t>
      </w:r>
    </w:p>
    <w:p w14:paraId="2D6654B8" w14:textId="77777777" w:rsidR="00625A5B" w:rsidRPr="008F03E5" w:rsidRDefault="00625A5B" w:rsidP="00992756">
      <w:pPr>
        <w:pStyle w:val="Translit"/>
      </w:pPr>
      <w:r w:rsidRPr="008F03E5">
        <w:t>Faraju’llah</w:t>
      </w:r>
      <w:r w:rsidRPr="008F03E5">
        <w:tab/>
        <w:t>Faraju’lláh</w:t>
      </w:r>
      <w:r w:rsidRPr="008F03E5">
        <w:tab/>
        <w:t>God’s relief or rescue</w:t>
      </w:r>
    </w:p>
    <w:p w14:paraId="49CCD8B5" w14:textId="77777777" w:rsidR="00625A5B" w:rsidRPr="008F03E5" w:rsidRDefault="00625A5B" w:rsidP="00634265">
      <w:pPr>
        <w:pStyle w:val="Translit"/>
      </w:pPr>
      <w:r w:rsidRPr="008F03E5">
        <w:rPr>
          <w:rFonts w:eastAsia="PMingLiU"/>
          <w:lang w:eastAsia="zh-TW"/>
        </w:rPr>
        <w:t>Faramarz</w:t>
      </w:r>
      <w:r w:rsidRPr="008F03E5">
        <w:tab/>
      </w:r>
      <w:r w:rsidRPr="008F03E5">
        <w:rPr>
          <w:rFonts w:eastAsia="PMingLiU"/>
          <w:lang w:eastAsia="zh-TW"/>
        </w:rPr>
        <w:t>Farámarz</w:t>
      </w:r>
      <w:r w:rsidRPr="008F03E5">
        <w:tab/>
        <w:t>Pers. keeper of a citadel or fortress; name of the son of Rustam</w:t>
      </w:r>
    </w:p>
    <w:p w14:paraId="52A264A1" w14:textId="77777777" w:rsidR="00625A5B" w:rsidRPr="008F03E5" w:rsidRDefault="00625A5B" w:rsidP="00634265">
      <w:pPr>
        <w:pStyle w:val="Translit"/>
        <w:rPr>
          <w:rFonts w:eastAsia="PMingLiU"/>
          <w:lang w:eastAsia="zh-TW"/>
        </w:rPr>
      </w:pPr>
      <w:r w:rsidRPr="008F03E5">
        <w:rPr>
          <w:rFonts w:eastAsia="PMingLiU"/>
          <w:lang w:eastAsia="zh-TW"/>
        </w:rPr>
        <w:t>Faramush</w:t>
      </w:r>
      <w:r w:rsidRPr="008F03E5">
        <w:rPr>
          <w:rFonts w:eastAsia="PMingLiU"/>
          <w:lang w:eastAsia="zh-TW"/>
        </w:rPr>
        <w:tab/>
        <w:t>F</w:t>
      </w:r>
      <w:r w:rsidRPr="008F03E5">
        <w:t>á</w:t>
      </w:r>
      <w:r w:rsidRPr="008F03E5">
        <w:rPr>
          <w:rFonts w:eastAsia="PMingLiU"/>
          <w:lang w:eastAsia="zh-TW"/>
        </w:rPr>
        <w:t>ram</w:t>
      </w:r>
      <w:r w:rsidRPr="008F03E5">
        <w:t>ú</w:t>
      </w:r>
      <w:r w:rsidRPr="008F03E5">
        <w:rPr>
          <w:u w:val="single"/>
        </w:rPr>
        <w:t>sh</w:t>
      </w:r>
      <w:r w:rsidRPr="008F03E5">
        <w:rPr>
          <w:rFonts w:eastAsia="PMingLiU"/>
          <w:lang w:eastAsia="zh-TW"/>
        </w:rPr>
        <w:tab/>
        <w:t>Pers. forgotten, forgetfulness</w:t>
      </w:r>
    </w:p>
    <w:p w14:paraId="3AFB5C44" w14:textId="77777777" w:rsidR="00625A5B" w:rsidRPr="008F03E5" w:rsidRDefault="00625A5B" w:rsidP="00541F49">
      <w:pPr>
        <w:pStyle w:val="Translit"/>
        <w:rPr>
          <w:rFonts w:eastAsia="PMingLiU"/>
          <w:lang w:eastAsia="zh-TW"/>
        </w:rPr>
      </w:pPr>
      <w:r w:rsidRPr="008F03E5">
        <w:rPr>
          <w:lang w:eastAsia="en-US"/>
        </w:rPr>
        <w:t>Faramush-Khanih</w:t>
      </w:r>
      <w:r w:rsidRPr="008F03E5">
        <w:rPr>
          <w:lang w:eastAsia="en-US"/>
        </w:rPr>
        <w:tab/>
        <w:t>Farámú</w:t>
      </w:r>
      <w:r w:rsidRPr="008F03E5">
        <w:rPr>
          <w:u w:val="single"/>
          <w:lang w:eastAsia="en-US"/>
        </w:rPr>
        <w:t>sh</w:t>
      </w:r>
      <w:r w:rsidRPr="008F03E5">
        <w:rPr>
          <w:lang w:eastAsia="en-US"/>
        </w:rPr>
        <w:t>-</w:t>
      </w:r>
      <w:r w:rsidRPr="008F03E5">
        <w:rPr>
          <w:u w:val="single"/>
          <w:lang w:eastAsia="en-US"/>
        </w:rPr>
        <w:t>Kh</w:t>
      </w:r>
      <w:r w:rsidRPr="008F03E5">
        <w:rPr>
          <w:lang w:eastAsia="en-US"/>
        </w:rPr>
        <w:t>ánih</w:t>
      </w:r>
      <w:r w:rsidRPr="008F03E5">
        <w:rPr>
          <w:lang w:eastAsia="en-US"/>
        </w:rPr>
        <w:tab/>
        <w:t xml:space="preserve">Pers. house of oblivion, Freemasonry headquarters, a corruption of </w:t>
      </w:r>
      <w:r w:rsidRPr="008F03E5">
        <w:rPr>
          <w:i/>
          <w:iCs/>
          <w:lang w:eastAsia="en-US"/>
        </w:rPr>
        <w:t>franc-maçonnerie</w:t>
      </w:r>
      <w:r w:rsidRPr="008F03E5">
        <w:rPr>
          <w:lang w:eastAsia="en-US"/>
        </w:rPr>
        <w:t xml:space="preserve"> (</w:t>
      </w:r>
      <w:r w:rsidRPr="008F03E5">
        <w:t>Freemasonry</w:t>
      </w:r>
      <w:r w:rsidRPr="008F03E5">
        <w:rPr>
          <w:lang w:eastAsia="en-US"/>
        </w:rPr>
        <w:t>)</w:t>
      </w:r>
    </w:p>
    <w:p w14:paraId="580F6622" w14:textId="77777777" w:rsidR="00625A5B" w:rsidRPr="008F03E5" w:rsidRDefault="00625A5B" w:rsidP="00C440BD">
      <w:pPr>
        <w:pStyle w:val="Translit"/>
      </w:pPr>
      <w:r w:rsidRPr="008F03E5">
        <w:t>Faran</w:t>
      </w:r>
      <w:r w:rsidRPr="008F03E5">
        <w:tab/>
        <w:t>Fárán</w:t>
      </w:r>
      <w:r w:rsidRPr="008F03E5">
        <w:tab/>
        <w:t>desert, mountain, wilderness, etc.  A small village in Ardistán (32.989358, 52.624571).  See Párán.</w:t>
      </w:r>
    </w:p>
    <w:p w14:paraId="61CE007D" w14:textId="77777777" w:rsidR="00625A5B" w:rsidRPr="008F03E5" w:rsidRDefault="00625A5B" w:rsidP="0026431B">
      <w:pPr>
        <w:pStyle w:val="Translit"/>
        <w:rPr>
          <w:rFonts w:eastAsia="PMingLiU"/>
          <w:lang w:eastAsia="zh-TW"/>
        </w:rPr>
      </w:pPr>
      <w:r w:rsidRPr="008F03E5">
        <w:rPr>
          <w:rFonts w:eastAsia="PMingLiU"/>
          <w:lang w:eastAsia="zh-TW"/>
        </w:rPr>
        <w:t>Farang, Firing</w:t>
      </w:r>
      <w:r w:rsidRPr="008F03E5">
        <w:tab/>
        <w:t xml:space="preserve">Farang (hence </w:t>
      </w:r>
      <w:r w:rsidRPr="008F03E5">
        <w:rPr>
          <w:rFonts w:eastAsia="PMingLiU"/>
          <w:lang w:eastAsia="zh-TW"/>
        </w:rPr>
        <w:t>Farangí)</w:t>
      </w:r>
      <w:r w:rsidRPr="008F03E5">
        <w:t>, Firing</w:t>
      </w:r>
      <w:r w:rsidRPr="008F03E5">
        <w:tab/>
        <w:t>Pers. from old French word franc (“Frank”), an Italian, European; a Christian; all nations that wear short garments; ruddy, of pleasing aspect; a galley.  See afranj and ifranjí</w:t>
      </w:r>
    </w:p>
    <w:p w14:paraId="36F5A8F5" w14:textId="77777777" w:rsidR="00625A5B" w:rsidRPr="008F03E5" w:rsidRDefault="00625A5B" w:rsidP="003C730A">
      <w:pPr>
        <w:pStyle w:val="Translit"/>
      </w:pPr>
      <w:r w:rsidRPr="008F03E5">
        <w:rPr>
          <w:rFonts w:eastAsia="Times New Roman"/>
        </w:rPr>
        <w:t>Farangis</w:t>
      </w:r>
      <w:r w:rsidRPr="008F03E5">
        <w:rPr>
          <w:rFonts w:eastAsia="Times New Roman"/>
        </w:rPr>
        <w:tab/>
        <w:t>Farangís</w:t>
      </w:r>
      <w:r w:rsidRPr="008F03E5">
        <w:rPr>
          <w:rFonts w:eastAsia="Times New Roman"/>
        </w:rPr>
        <w:tab/>
        <w:t xml:space="preserve">Pers. character in </w:t>
      </w:r>
      <w:r w:rsidRPr="008F03E5">
        <w:rPr>
          <w:i/>
          <w:iCs/>
          <w:u w:val="single"/>
        </w:rPr>
        <w:t>Sh</w:t>
      </w:r>
      <w:r w:rsidRPr="008F03E5">
        <w:rPr>
          <w:i/>
          <w:iCs/>
        </w:rPr>
        <w:t>áhnáma</w:t>
      </w:r>
      <w:r w:rsidRPr="008F03E5">
        <w:t>,</w:t>
      </w:r>
      <w:r w:rsidRPr="008F03E5">
        <w:rPr>
          <w:rFonts w:eastAsia="Times New Roman"/>
        </w:rPr>
        <w:t xml:space="preserve"> daughter of Afrásyáb, married to Siyáwu</w:t>
      </w:r>
      <w:r w:rsidRPr="008F03E5">
        <w:rPr>
          <w:rFonts w:eastAsia="Times New Roman"/>
          <w:u w:val="single"/>
        </w:rPr>
        <w:t>sh</w:t>
      </w:r>
      <w:r w:rsidRPr="008F03E5">
        <w:rPr>
          <w:rFonts w:eastAsia="Times New Roman"/>
        </w:rPr>
        <w:t xml:space="preserve"> and mother of Kay </w:t>
      </w:r>
      <w:r w:rsidRPr="008F03E5">
        <w:rPr>
          <w:rFonts w:eastAsia="Times New Roman"/>
          <w:u w:val="single"/>
        </w:rPr>
        <w:t>Kh</w:t>
      </w:r>
      <w:r w:rsidRPr="008F03E5">
        <w:rPr>
          <w:rFonts w:eastAsia="Times New Roman"/>
        </w:rPr>
        <w:t>usraw.</w:t>
      </w:r>
    </w:p>
    <w:p w14:paraId="095F87EA" w14:textId="77777777" w:rsidR="00625A5B" w:rsidRPr="008F03E5" w:rsidRDefault="00625A5B" w:rsidP="004938F3">
      <w:pPr>
        <w:pStyle w:val="Translit"/>
      </w:pPr>
      <w:r w:rsidRPr="008F03E5">
        <w:t>Faraqlit</w:t>
      </w:r>
      <w:r w:rsidRPr="008F03E5">
        <w:tab/>
        <w:t>Fáraqlíṭ (Fáriq + líṭ)</w:t>
      </w:r>
      <w:r w:rsidRPr="008F03E5">
        <w:tab/>
        <w:t>Arabic rendering of the Greek Paráklētos (Paraclete).  “The Comforter”; defender, deputy, or intercessor; a distinguisher between truth and error.  Bahá’u’lláh claimed to be the Father foretold by Isaiah and the Comforter covenanted by Jesus. (SLH p. 63)</w:t>
      </w:r>
    </w:p>
    <w:p w14:paraId="30EDC55F" w14:textId="77777777" w:rsidR="00625A5B" w:rsidRPr="008F03E5" w:rsidRDefault="00625A5B" w:rsidP="004E2260">
      <w:pPr>
        <w:pStyle w:val="Translit"/>
      </w:pPr>
      <w:r w:rsidRPr="008F03E5">
        <w:t>Farash, Farasha, Farashah, Farashun</w:t>
      </w:r>
      <w:r w:rsidRPr="008F03E5">
        <w:tab/>
        <w:t>Fará</w:t>
      </w:r>
      <w:r w:rsidRPr="008F03E5">
        <w:rPr>
          <w:u w:val="single"/>
        </w:rPr>
        <w:t>sh</w:t>
      </w:r>
      <w:r w:rsidRPr="008F03E5">
        <w:t>, fem. Fará</w:t>
      </w:r>
      <w:r w:rsidRPr="008F03E5">
        <w:rPr>
          <w:u w:val="single"/>
        </w:rPr>
        <w:t>sh</w:t>
      </w:r>
      <w:r w:rsidRPr="008F03E5">
        <w:t>a[h or t]</w:t>
      </w:r>
      <w:r w:rsidRPr="008F03E5">
        <w:tab/>
        <w:t xml:space="preserve">(Pers. </w:t>
      </w:r>
      <w:r>
        <w:t>“</w:t>
      </w:r>
      <w:r w:rsidRPr="008F03E5">
        <w:t>Fará</w:t>
      </w:r>
      <w:r w:rsidRPr="008F03E5">
        <w:rPr>
          <w:u w:val="single"/>
        </w:rPr>
        <w:t>sh</w:t>
      </w:r>
      <w:r w:rsidRPr="008F03E5">
        <w:t>áh</w:t>
      </w:r>
      <w:r>
        <w:t>”</w:t>
      </w:r>
      <w:r w:rsidRPr="008F03E5">
        <w:t>) moth; butterfly; flighty, fickle person.  Fará</w:t>
      </w:r>
      <w:r w:rsidRPr="008F03E5">
        <w:rPr>
          <w:u w:val="single"/>
        </w:rPr>
        <w:t>sh</w:t>
      </w:r>
      <w:r w:rsidRPr="008F03E5">
        <w:t xml:space="preserve">áh (now Islámiyih, Eslamiyeh) is a town </w:t>
      </w:r>
      <w:r w:rsidRPr="008F03E5">
        <w:rPr>
          <w:sz w:val="16"/>
          <w:szCs w:val="16"/>
        </w:rPr>
        <w:t>SW</w:t>
      </w:r>
      <w:r w:rsidRPr="008F03E5">
        <w:t xml:space="preserve"> of Yazd, Iran.</w:t>
      </w:r>
      <w:r>
        <w:t xml:space="preserve">  pl. far</w:t>
      </w:r>
      <w:r w:rsidRPr="004E2260">
        <w:t>á</w:t>
      </w:r>
      <w:r w:rsidRPr="004E2260">
        <w:rPr>
          <w:u w:val="single"/>
        </w:rPr>
        <w:t>sh</w:t>
      </w:r>
      <w:r w:rsidRPr="004E2260">
        <w:t>ú</w:t>
      </w:r>
      <w:r>
        <w:t>n, fem. f</w:t>
      </w:r>
      <w:r w:rsidRPr="008F03E5">
        <w:t>ará</w:t>
      </w:r>
      <w:r w:rsidRPr="008F03E5">
        <w:rPr>
          <w:u w:val="single"/>
        </w:rPr>
        <w:t>sh</w:t>
      </w:r>
      <w:r w:rsidRPr="004E2260">
        <w:t>á</w:t>
      </w:r>
      <w:r w:rsidRPr="008F03E5">
        <w:t>t</w:t>
      </w:r>
      <w:r>
        <w:t>.</w:t>
      </w:r>
    </w:p>
    <w:p w14:paraId="2CB98B2E" w14:textId="77777777" w:rsidR="00625A5B" w:rsidRPr="008F03E5" w:rsidRDefault="00625A5B" w:rsidP="00A37962">
      <w:pPr>
        <w:pStyle w:val="Translit"/>
      </w:pPr>
      <w:r w:rsidRPr="008F03E5">
        <w:t>Faraz</w:t>
      </w:r>
      <w:r w:rsidRPr="008F03E5">
        <w:tab/>
        <w:t>Faráz</w:t>
      </w:r>
      <w:r w:rsidRPr="008F03E5">
        <w:tab/>
        <w:t>Pers. above, up, upon, on, upwards, aloft, on the top; above and below, up and down; back, behind; after, hereafter</w:t>
      </w:r>
    </w:p>
    <w:p w14:paraId="651D29FE" w14:textId="77777777" w:rsidR="00625A5B" w:rsidRPr="008F03E5" w:rsidRDefault="00625A5B" w:rsidP="002E2D0A">
      <w:pPr>
        <w:pStyle w:val="Translit"/>
      </w:pPr>
      <w:r w:rsidRPr="008F03E5">
        <w:t>Farazistan</w:t>
      </w:r>
      <w:r w:rsidRPr="008F03E5">
        <w:tab/>
        <w:t>Farázistán</w:t>
      </w:r>
      <w:r w:rsidRPr="008F03E5">
        <w:tab/>
        <w:t xml:space="preserve">“The heavenly world”, title of a volume by Muḥammad Ismá‘íl </w:t>
      </w:r>
      <w:r w:rsidRPr="008F03E5">
        <w:rPr>
          <w:u w:val="single"/>
        </w:rPr>
        <w:t>Kh</w:t>
      </w:r>
      <w:r w:rsidRPr="008F03E5">
        <w:t>án</w:t>
      </w:r>
    </w:p>
    <w:p w14:paraId="2AE0DDA6" w14:textId="77777777" w:rsidR="00625A5B" w:rsidRPr="008F03E5" w:rsidRDefault="00625A5B" w:rsidP="004E2260">
      <w:pPr>
        <w:pStyle w:val="Translit"/>
      </w:pPr>
      <w:r w:rsidRPr="008F03E5">
        <w:t>Fard, Afrad, Furada</w:t>
      </w:r>
      <w:r w:rsidRPr="008F03E5">
        <w:tab/>
        <w:t>Fard, pl. Afrád, Furádá</w:t>
      </w:r>
      <w:r w:rsidRPr="008F03E5">
        <w:tab/>
        <w:t>alone, single; sole, only; solitary, lone, lonely; singular, un</w:t>
      </w:r>
      <w:r>
        <w:t>i</w:t>
      </w:r>
      <w:r w:rsidRPr="008F03E5">
        <w:t>que, matchless, unrivaled, peerless, incomparable; one, a single one, a single thing, a single person, individual; odd, uneven (number)</w:t>
      </w:r>
    </w:p>
    <w:p w14:paraId="0FA4041F" w14:textId="77777777" w:rsidR="00625A5B" w:rsidRPr="008F03E5" w:rsidRDefault="00625A5B" w:rsidP="005A62D7">
      <w:pPr>
        <w:pStyle w:val="Translit"/>
      </w:pPr>
      <w:r w:rsidRPr="008F03E5">
        <w:t>Fard, Furud</w:t>
      </w:r>
      <w:r w:rsidRPr="008F03E5">
        <w:tab/>
        <w:t>Farḍ, pl. Furúḍ</w:t>
      </w:r>
      <w:r w:rsidRPr="008F03E5">
        <w:tab/>
        <w:t>notch, incision; duty, precept, injunction, order, decree, ordinance, command; religious duty (Islamic Law); statutory portion, lawful shore (Islamic Law); assumption, supposition, presupposition, premise, postulate, hypothesis</w:t>
      </w:r>
    </w:p>
    <w:p w14:paraId="223ED26F" w14:textId="77777777" w:rsidR="00625A5B" w:rsidRPr="008F03E5" w:rsidRDefault="00625A5B" w:rsidP="005A62D7">
      <w:pPr>
        <w:pStyle w:val="Translit"/>
      </w:pPr>
      <w:r w:rsidRPr="008F03E5">
        <w:t>Farda</w:t>
      </w:r>
      <w:r w:rsidRPr="008F03E5">
        <w:tab/>
        <w:t>Fardá</w:t>
      </w:r>
      <w:r w:rsidRPr="008F03E5">
        <w:tab/>
        <w:t>Pers. tomorrow.  A reply sometimes given to creditors since it never arrives.</w:t>
      </w:r>
    </w:p>
    <w:p w14:paraId="5F1BB680" w14:textId="77777777" w:rsidR="00625A5B" w:rsidRPr="008F03E5" w:rsidRDefault="00625A5B" w:rsidP="004126A0">
      <w:pPr>
        <w:pStyle w:val="Translit"/>
      </w:pPr>
      <w:r w:rsidRPr="008F03E5">
        <w:t>Farda</w:t>
      </w:r>
      <w:r w:rsidRPr="008F03E5">
        <w:tab/>
        <w:t>Farda[h or t] (fem. of Fard)</w:t>
      </w:r>
      <w:r w:rsidRPr="008F03E5">
        <w:tab/>
        <w:t>one part, one half, one of a pair</w:t>
      </w:r>
    </w:p>
    <w:p w14:paraId="453545F5" w14:textId="77777777" w:rsidR="00625A5B" w:rsidRPr="008F03E5" w:rsidRDefault="00625A5B" w:rsidP="0079034F">
      <w:pPr>
        <w:pStyle w:val="Translit"/>
      </w:pPr>
      <w:r w:rsidRPr="008F03E5">
        <w:t>Farhad</w:t>
      </w:r>
      <w:r w:rsidRPr="008F03E5">
        <w:tab/>
        <w:t>Farhád</w:t>
      </w:r>
      <w:r w:rsidRPr="008F03E5">
        <w:tab/>
        <w:t xml:space="preserve">Pers. elation, happiness.  A deserted village 12 km </w:t>
      </w:r>
      <w:r w:rsidRPr="008F03E5">
        <w:rPr>
          <w:sz w:val="16"/>
          <w:szCs w:val="16"/>
        </w:rPr>
        <w:t>SSW</w:t>
      </w:r>
      <w:r w:rsidRPr="008F03E5">
        <w:t xml:space="preserve"> of Ní</w:t>
      </w:r>
      <w:r w:rsidRPr="008F03E5">
        <w:rPr>
          <w:u w:val="single"/>
        </w:rPr>
        <w:t>sh</w:t>
      </w:r>
      <w:r w:rsidRPr="008F03E5">
        <w:t xml:space="preserve">ápúr (36.113013, 58.741850), in the Central District of Nishapur County, Razavi Khorasan Province, Iran.  Farhád is a famous character in Persian literature and Persian mythology.  The story of his love with </w:t>
      </w:r>
      <w:r w:rsidRPr="008F03E5">
        <w:rPr>
          <w:u w:val="single"/>
        </w:rPr>
        <w:t>Sh</w:t>
      </w:r>
      <w:r w:rsidRPr="008F03E5">
        <w:t>írín is one of the most famous love stories in Persian culture.</w:t>
      </w:r>
    </w:p>
    <w:p w14:paraId="27C9B2B4" w14:textId="77777777" w:rsidR="00625A5B" w:rsidRPr="008F03E5" w:rsidRDefault="00625A5B" w:rsidP="0079034F">
      <w:pPr>
        <w:pStyle w:val="Translit"/>
        <w:rPr>
          <w:rFonts w:eastAsia="PMingLiU"/>
          <w:lang w:eastAsia="zh-TW"/>
        </w:rPr>
      </w:pPr>
      <w:r w:rsidRPr="008F03E5">
        <w:rPr>
          <w:rFonts w:eastAsia="Times New Roman"/>
        </w:rPr>
        <w:t>Farhan</w:t>
      </w:r>
      <w:r w:rsidRPr="008F03E5">
        <w:rPr>
          <w:rFonts w:eastAsia="Times New Roman"/>
        </w:rPr>
        <w:tab/>
        <w:t>Farhán</w:t>
      </w:r>
      <w:r w:rsidRPr="008F03E5">
        <w:rPr>
          <w:rFonts w:eastAsia="Times New Roman"/>
        </w:rPr>
        <w:tab/>
        <w:t>joyful, joyous, glad, happy; saucy</w:t>
      </w:r>
    </w:p>
    <w:p w14:paraId="7FD9700A" w14:textId="77777777" w:rsidR="00625A5B" w:rsidRPr="008F03E5" w:rsidRDefault="00625A5B" w:rsidP="00451946">
      <w:pPr>
        <w:pStyle w:val="Translit"/>
        <w:rPr>
          <w:rFonts w:eastAsia="PMingLiU"/>
          <w:lang w:eastAsia="zh-TW"/>
        </w:rPr>
      </w:pPr>
      <w:r w:rsidRPr="008F03E5">
        <w:rPr>
          <w:rFonts w:eastAsia="PMingLiU"/>
          <w:lang w:eastAsia="zh-TW"/>
        </w:rPr>
        <w:t>Farhand</w:t>
      </w:r>
      <w:r w:rsidRPr="008F03E5">
        <w:rPr>
          <w:rFonts w:eastAsia="PMingLiU"/>
          <w:lang w:eastAsia="zh-TW"/>
        </w:rPr>
        <w:tab/>
        <w:t>Farhand</w:t>
      </w:r>
      <w:r w:rsidRPr="008F03E5">
        <w:rPr>
          <w:rFonts w:eastAsia="PMingLiU"/>
          <w:lang w:eastAsia="zh-TW"/>
        </w:rPr>
        <w:tab/>
        <w:t>Pers. an excavation formed by a torrent; an artificial canal newly dug; a ditch; a stream above ground flowing from one spot to another; a subterraneous canal which works its way from one well to another; anything falling to pieces from age.</w:t>
      </w:r>
    </w:p>
    <w:p w14:paraId="53AC28DE" w14:textId="77777777" w:rsidR="00625A5B" w:rsidRPr="008F03E5" w:rsidRDefault="00625A5B" w:rsidP="00E47466">
      <w:pPr>
        <w:pStyle w:val="Translit"/>
        <w:rPr>
          <w:rFonts w:eastAsia="PMingLiU"/>
          <w:lang w:eastAsia="zh-TW"/>
        </w:rPr>
      </w:pPr>
      <w:r w:rsidRPr="008F03E5">
        <w:rPr>
          <w:rFonts w:eastAsia="PMingLiU"/>
          <w:lang w:eastAsia="zh-TW"/>
        </w:rPr>
        <w:t>Farhang</w:t>
      </w:r>
      <w:r w:rsidRPr="008F03E5">
        <w:rPr>
          <w:rFonts w:eastAsia="PMingLiU"/>
          <w:lang w:eastAsia="zh-TW"/>
        </w:rPr>
        <w:tab/>
        <w:t>Farhang</w:t>
      </w:r>
      <w:r w:rsidRPr="008F03E5">
        <w:rPr>
          <w:rFonts w:eastAsia="PMingLiU"/>
          <w:lang w:eastAsia="zh-TW"/>
        </w:rPr>
        <w:tab/>
        <w:t>Pers. good-breeding; greatness; excellence; gravity; wisdom, science; jurisprudence, a dictionary, lexicon, vocabulary, glossary; a vine-branch bent under ground, so that the other extremity shoots up at a distance from the other trunk; a subterraneous canal</w:t>
      </w:r>
    </w:p>
    <w:p w14:paraId="0EA8A272" w14:textId="77777777" w:rsidR="00625A5B" w:rsidRPr="008F03E5" w:rsidRDefault="00625A5B" w:rsidP="00462E2E">
      <w:pPr>
        <w:pStyle w:val="Translit"/>
        <w:rPr>
          <w:rFonts w:eastAsia="PMingLiU"/>
          <w:lang w:eastAsia="zh-TW"/>
        </w:rPr>
      </w:pPr>
      <w:r w:rsidRPr="008F03E5">
        <w:rPr>
          <w:rFonts w:eastAsia="PMingLiU"/>
          <w:lang w:eastAsia="zh-TW"/>
        </w:rPr>
        <w:t>Farhangi</w:t>
      </w:r>
      <w:r w:rsidRPr="008F03E5">
        <w:tab/>
      </w:r>
      <w:r w:rsidRPr="008F03E5">
        <w:rPr>
          <w:rFonts w:eastAsia="PMingLiU"/>
          <w:lang w:eastAsia="zh-TW"/>
        </w:rPr>
        <w:t>Farhangí</w:t>
      </w:r>
      <w:r w:rsidRPr="008F03E5">
        <w:tab/>
        <w:t>Pers. a preceptor, tutor, teacher, instructor; a man learned in the law.</w:t>
      </w:r>
    </w:p>
    <w:p w14:paraId="766CA210" w14:textId="77777777" w:rsidR="00625A5B" w:rsidRPr="008F03E5" w:rsidRDefault="00625A5B" w:rsidP="00222C9E">
      <w:pPr>
        <w:pStyle w:val="Translit"/>
      </w:pPr>
      <w:r w:rsidRPr="008F03E5">
        <w:rPr>
          <w:rFonts w:eastAsia="Times New Roman"/>
        </w:rPr>
        <w:t>Farhumand (Fahomand, Farhoumand)</w:t>
      </w:r>
      <w:r w:rsidRPr="008F03E5">
        <w:rPr>
          <w:rFonts w:eastAsia="Times New Roman"/>
        </w:rPr>
        <w:tab/>
        <w:t>Farh</w:t>
      </w:r>
      <w:r w:rsidRPr="00222C9E">
        <w:t>ú</w:t>
      </w:r>
      <w:r w:rsidRPr="008F03E5">
        <w:rPr>
          <w:rFonts w:eastAsia="Times New Roman"/>
        </w:rPr>
        <w:t>mand</w:t>
      </w:r>
      <w:r w:rsidRPr="008F03E5">
        <w:rPr>
          <w:rFonts w:eastAsia="Times New Roman"/>
        </w:rPr>
        <w:tab/>
        <w:t>Pers. virtuous and enlightened</w:t>
      </w:r>
    </w:p>
    <w:p w14:paraId="409237EC" w14:textId="77777777" w:rsidR="00625A5B" w:rsidRPr="008F03E5" w:rsidRDefault="00625A5B" w:rsidP="00B42EB1">
      <w:pPr>
        <w:pStyle w:val="Translit"/>
      </w:pPr>
      <w:r w:rsidRPr="008F03E5">
        <w:t>Fariba</w:t>
      </w:r>
      <w:r w:rsidRPr="008F03E5">
        <w:tab/>
        <w:t>Faríbá</w:t>
      </w:r>
      <w:r w:rsidRPr="008F03E5">
        <w:tab/>
        <w:t>Pers. charming, attractive, fem. name</w:t>
      </w:r>
    </w:p>
    <w:p w14:paraId="4478392B" w14:textId="77777777" w:rsidR="00625A5B" w:rsidRPr="008F03E5" w:rsidRDefault="00625A5B" w:rsidP="002B7E12">
      <w:pPr>
        <w:pStyle w:val="Translit"/>
      </w:pPr>
      <w:r w:rsidRPr="008F03E5">
        <w:t>Fariburz (Fariborz, Faribarz)</w:t>
      </w:r>
      <w:r w:rsidRPr="008F03E5">
        <w:tab/>
      </w:r>
      <w:bookmarkStart w:id="71" w:name="_Hlk60744461"/>
      <w:r w:rsidRPr="008F03E5">
        <w:t>Faríburz</w:t>
      </w:r>
      <w:bookmarkEnd w:id="71"/>
      <w:r w:rsidRPr="008F03E5">
        <w:tab/>
        <w:t>Pers. name of the son of Kay Káwús</w:t>
      </w:r>
    </w:p>
    <w:p w14:paraId="5335F7B1" w14:textId="77777777" w:rsidR="00625A5B" w:rsidRPr="008F03E5" w:rsidRDefault="00625A5B" w:rsidP="0044306F">
      <w:pPr>
        <w:pStyle w:val="Translit"/>
      </w:pPr>
      <w:r w:rsidRPr="008F03E5">
        <w:t>Farid</w:t>
      </w:r>
      <w:r w:rsidRPr="008F03E5">
        <w:tab/>
        <w:t>Fáriḍ</w:t>
      </w:r>
      <w:r w:rsidRPr="008F03E5">
        <w:tab/>
        <w:t>old, advanced in years.  ‘Umar ibn ‘Alí ibn al-Fáriḍ (1181–1234) was an Arab poet.</w:t>
      </w:r>
    </w:p>
    <w:p w14:paraId="586C2FAB" w14:textId="77777777" w:rsidR="00625A5B" w:rsidRPr="008F03E5" w:rsidRDefault="00625A5B" w:rsidP="00FC6512">
      <w:pPr>
        <w:pStyle w:val="Translit"/>
      </w:pPr>
      <w:r w:rsidRPr="00CF0A5A">
        <w:t>Farid, Farida, Fara’id</w:t>
      </w:r>
      <w:r w:rsidRPr="00CF0A5A">
        <w:tab/>
        <w:t xml:space="preserve">Faríd, fem. </w:t>
      </w:r>
      <w:r w:rsidRPr="008F03E5">
        <w:rPr>
          <w:rFonts w:eastAsia="PMingLiU"/>
          <w:lang w:eastAsia="zh-TW"/>
        </w:rPr>
        <w:t>Far</w:t>
      </w:r>
      <w:r w:rsidRPr="008F03E5">
        <w:t>í</w:t>
      </w:r>
      <w:r w:rsidRPr="008F03E5">
        <w:rPr>
          <w:rFonts w:eastAsia="PMingLiU"/>
          <w:lang w:eastAsia="zh-TW"/>
        </w:rPr>
        <w:t xml:space="preserve">da[h or t], </w:t>
      </w:r>
      <w:r w:rsidRPr="008F03E5">
        <w:t>pl. Fará’id</w:t>
      </w:r>
      <w:r w:rsidRPr="008F03E5">
        <w:tab/>
        <w:t>alone, one, lonely, solitary; singular, unique, incomparable, matchless, peerless, unrivalled, incomparable;</w:t>
      </w:r>
      <w:r w:rsidRPr="008F03E5">
        <w:rPr>
          <w:rFonts w:eastAsia="Times New Roman"/>
        </w:rPr>
        <w:t xml:space="preserve"> bright, glittering (sword); a precious gem, pearl, </w:t>
      </w:r>
      <w:r w:rsidRPr="008F03E5">
        <w:t xml:space="preserve">especially one of a larger size, or a bead of gold placed alternately between smaller ones in a necklace or bracelet.  </w:t>
      </w:r>
      <w:r w:rsidRPr="008F03E5">
        <w:rPr>
          <w:i/>
          <w:iCs/>
        </w:rPr>
        <w:t>Kitábu’l-Fará’id</w:t>
      </w:r>
      <w:r w:rsidRPr="008F03E5">
        <w:t xml:space="preserve"> (Book of peerless gems) by Mírzá Faḍl.  </w:t>
      </w:r>
      <w:r w:rsidRPr="008F03E5">
        <w:rPr>
          <w:i/>
          <w:iCs/>
        </w:rPr>
        <w:t>Fará’id as-Simṭayn</w:t>
      </w:r>
      <w:r w:rsidRPr="008F03E5">
        <w:t xml:space="preserve"> (“Two chains of pearls (on the virtues of ‘Alí, Fáṭima, the Imams and their descendants) i.e. two vols) by Ibráhim bin Muḥammad al-Ḥamawí al-Juwayní (1246–1322), mostly hadiths that are also found in Shi’ite sources.</w:t>
      </w:r>
    </w:p>
    <w:p w14:paraId="496DA250" w14:textId="77777777" w:rsidR="00625A5B" w:rsidRPr="008F03E5" w:rsidRDefault="00625A5B" w:rsidP="00137B86">
      <w:pPr>
        <w:pStyle w:val="Translit"/>
      </w:pPr>
      <w:r w:rsidRPr="00077779">
        <w:rPr>
          <w:lang w:val="es-ES_tradnl"/>
        </w:rPr>
        <w:t>Farida, Fara’d</w:t>
      </w:r>
      <w:r w:rsidRPr="00077779">
        <w:rPr>
          <w:lang w:val="es-ES_tradnl"/>
        </w:rPr>
        <w:tab/>
        <w:t xml:space="preserve">Faríḍa[h], pl. </w:t>
      </w:r>
      <w:r w:rsidRPr="008F03E5">
        <w:t>Fará’ḍ</w:t>
      </w:r>
      <w:r w:rsidRPr="008F03E5">
        <w:tab/>
        <w:t>religious duty (Islamic Law); divine precept, ordinance of God (Islamic Law); obligatory prayer (Islamic Law);—pl. distributive shares in estate (Islamic Law)</w:t>
      </w:r>
    </w:p>
    <w:p w14:paraId="0DF8C62F" w14:textId="77777777" w:rsidR="00625A5B" w:rsidRPr="008F03E5" w:rsidRDefault="00625A5B" w:rsidP="00900A82">
      <w:pPr>
        <w:pStyle w:val="Translit"/>
      </w:pPr>
      <w:r w:rsidRPr="008F03E5">
        <w:t>Faridu’d-Din ‘Attar</w:t>
      </w:r>
      <w:r w:rsidRPr="008F03E5">
        <w:tab/>
        <w:t>Farídu’d-Dín ‘Aṭṭár</w:t>
      </w:r>
      <w:r w:rsidRPr="008F03E5">
        <w:tab/>
        <w:t>Great Persian mystic poet “the druggist”</w:t>
      </w:r>
    </w:p>
    <w:p w14:paraId="1BD7BADD" w14:textId="77777777" w:rsidR="00625A5B" w:rsidRPr="008F03E5" w:rsidRDefault="00625A5B" w:rsidP="00E320F2">
      <w:pPr>
        <w:pStyle w:val="Translit"/>
      </w:pPr>
      <w:r w:rsidRPr="008F03E5">
        <w:t>Faridun, Firidun, Afridun</w:t>
      </w:r>
      <w:r w:rsidRPr="008F03E5">
        <w:tab/>
        <w:t>Farídún, Firídún, Afrídún</w:t>
      </w:r>
      <w:r w:rsidRPr="008F03E5">
        <w:tab/>
        <w:t xml:space="preserve">Pers. also Faraydún, Firaydún (Fereydun, Fereidun, Firaydun, Fraydun, Freydun) an ancient and celebrated Persian king (mythical?), the commencement of whose reign is placed about 750 </w:t>
      </w:r>
      <w:r w:rsidRPr="008F03E5">
        <w:rPr>
          <w:sz w:val="16"/>
          <w:szCs w:val="16"/>
        </w:rPr>
        <w:t>BCE</w:t>
      </w:r>
      <w:r w:rsidRPr="008F03E5">
        <w:t>.  His sons were sons Túr (Túraj), Salm and Íraj.</w:t>
      </w:r>
    </w:p>
    <w:p w14:paraId="3E287632" w14:textId="77777777" w:rsidR="00625A5B" w:rsidRPr="008F03E5" w:rsidRDefault="00625A5B" w:rsidP="0069586D">
      <w:pPr>
        <w:pStyle w:val="Translit"/>
      </w:pPr>
      <w:r w:rsidRPr="008F03E5">
        <w:t>Fariq, Fawariq</w:t>
      </w:r>
      <w:r w:rsidRPr="008F03E5">
        <w:tab/>
        <w:t>Fáriq, pl. Fawáriq</w:t>
      </w:r>
      <w:r w:rsidRPr="008F03E5">
        <w:tab/>
        <w:t>distinguishing, differential, distinctive, discriminative, separative;—pl. a separating or distinctive factor; distinctive characteristic, criterion; difference, distinction, dissimilarity, disparity</w:t>
      </w:r>
    </w:p>
    <w:p w14:paraId="314B21B3" w14:textId="77777777" w:rsidR="00625A5B" w:rsidRPr="008F03E5" w:rsidRDefault="00625A5B" w:rsidP="006358B6">
      <w:pPr>
        <w:pStyle w:val="Translit"/>
      </w:pPr>
      <w:r w:rsidRPr="008F03E5">
        <w:t>Faris, Farisa, Farisat, Fursan, Fawaris</w:t>
      </w:r>
      <w:r w:rsidRPr="008F03E5">
        <w:tab/>
        <w:t>Fáris, pl. Fursán, Fawáris</w:t>
      </w:r>
      <w:r w:rsidRPr="008F03E5">
        <w:tab/>
        <w:t>(fem. Fárisa[t], pl. Fárisát) mounted upon any solid-hoofed animal; a horseman, a cavalier (hence, a knight), rider; a lion; the Persians; Persia (also balad Fáris—land of Persia);—pl. cavalry.  Shoghi Effendi used various terms for “Knights (Fárisán) of Bahá’u’lláh”:  “Fárisán-i-Maydán-i-Iláhí”, the similar “Fárisán-i-Miḍmár-i-Iláhí” (“The knights of the divine arena”); “Fárisán-i-Jay</w:t>
      </w:r>
      <w:r w:rsidRPr="008F03E5">
        <w:rPr>
          <w:u w:val="single"/>
        </w:rPr>
        <w:t>sh</w:t>
      </w:r>
      <w:r w:rsidRPr="008F03E5">
        <w:t>-i-Iláhí” (“The knights of the divine army”), “Fárisán-i-Dilír-i-Ḥaḍrat-i-Bahá’u’lláh” (“The valiant knights of Bahá’u’lláh”), etc.</w:t>
      </w:r>
    </w:p>
    <w:p w14:paraId="2A589916" w14:textId="77777777" w:rsidR="00625A5B" w:rsidRPr="008F03E5" w:rsidRDefault="00625A5B" w:rsidP="002A25BC">
      <w:pPr>
        <w:pStyle w:val="Translit"/>
      </w:pPr>
      <w:r w:rsidRPr="008F03E5">
        <w:t>Farisi</w:t>
      </w:r>
      <w:r w:rsidRPr="008F03E5">
        <w:tab/>
        <w:t>Fárisí</w:t>
      </w:r>
      <w:r w:rsidRPr="008F03E5">
        <w:tab/>
        <w:t>Persian; a Persian</w:t>
      </w:r>
    </w:p>
    <w:p w14:paraId="23F5984B" w14:textId="77777777" w:rsidR="00625A5B" w:rsidRPr="008F03E5" w:rsidRDefault="00625A5B" w:rsidP="002A7709">
      <w:pPr>
        <w:pStyle w:val="Translit"/>
      </w:pPr>
      <w:r w:rsidRPr="008F03E5">
        <w:rPr>
          <w:rFonts w:eastAsia="Times New Roman"/>
        </w:rPr>
        <w:t>Farkhunda (Farkhundih)</w:t>
      </w:r>
      <w:r w:rsidRPr="008F03E5">
        <w:rPr>
          <w:rFonts w:eastAsia="Times New Roman"/>
        </w:rPr>
        <w:tab/>
        <w:t>Far</w:t>
      </w:r>
      <w:r w:rsidRPr="008F03E5">
        <w:rPr>
          <w:rFonts w:eastAsia="Times New Roman"/>
          <w:u w:val="single"/>
        </w:rPr>
        <w:t>kh</w:t>
      </w:r>
      <w:r w:rsidRPr="008F03E5">
        <w:rPr>
          <w:rFonts w:eastAsia="Times New Roman"/>
        </w:rPr>
        <w:t>unda</w:t>
      </w:r>
      <w:r w:rsidRPr="008F03E5">
        <w:rPr>
          <w:rFonts w:eastAsia="Times New Roman"/>
        </w:rPr>
        <w:tab/>
        <w:t>Pers. fem. happy; fortunate, prosperous</w:t>
      </w:r>
    </w:p>
    <w:p w14:paraId="1FE02AAC" w14:textId="77777777" w:rsidR="00625A5B" w:rsidRPr="008F03E5" w:rsidRDefault="00625A5B" w:rsidP="00163BCB">
      <w:pPr>
        <w:pStyle w:val="Translit"/>
      </w:pPr>
      <w:r w:rsidRPr="008F03E5">
        <w:t>Farma</w:t>
      </w:r>
      <w:r w:rsidRPr="008F03E5">
        <w:tab/>
        <w:t>Farmá</w:t>
      </w:r>
      <w:r w:rsidRPr="008F03E5">
        <w:tab/>
        <w:t>one who issues orders.  From the infinitive Farmúdan (to bid, to order), but never used alone, i.e. Farmán-Farmá, the one who establishes order; the Governor.</w:t>
      </w:r>
    </w:p>
    <w:p w14:paraId="75D1CF83" w14:textId="77777777" w:rsidR="00625A5B" w:rsidRPr="008F03E5" w:rsidRDefault="00625A5B" w:rsidP="0094383F">
      <w:pPr>
        <w:pStyle w:val="Translit"/>
      </w:pPr>
      <w:r w:rsidRPr="008F03E5">
        <w:t>Farma</w:t>
      </w:r>
      <w:r w:rsidRPr="008F03E5">
        <w:tab/>
        <w:t>Farma</w:t>
      </w:r>
      <w:r w:rsidRPr="008F03E5">
        <w:tab/>
        <w:t>Pers. violet</w:t>
      </w:r>
    </w:p>
    <w:p w14:paraId="0D12DC4A" w14:textId="77777777" w:rsidR="00625A5B" w:rsidRPr="008F03E5" w:rsidRDefault="00625A5B" w:rsidP="00F76983">
      <w:pPr>
        <w:pStyle w:val="Translit"/>
      </w:pPr>
      <w:r w:rsidRPr="008F03E5">
        <w:t>Farmahin, Farahan</w:t>
      </w:r>
      <w:r w:rsidRPr="008F03E5">
        <w:tab/>
        <w:t>Farmahín, Farahán</w:t>
      </w:r>
      <w:r w:rsidRPr="008F03E5">
        <w:tab/>
        <w:t>Farmahín is in Farahán County and is 40 km north of Arák, Iran</w:t>
      </w:r>
    </w:p>
    <w:p w14:paraId="2799B490" w14:textId="77777777" w:rsidR="00625A5B" w:rsidRPr="008F03E5" w:rsidRDefault="00625A5B" w:rsidP="00163BCB">
      <w:pPr>
        <w:pStyle w:val="Translit"/>
      </w:pPr>
      <w:r w:rsidRPr="008F03E5">
        <w:t>Farman, Firman, Faraman</w:t>
      </w:r>
      <w:r w:rsidRPr="008F03E5">
        <w:tab/>
        <w:t>Farmán, Pers. also Firmán, pl. Farámán</w:t>
      </w:r>
      <w:r w:rsidRPr="008F03E5">
        <w:tab/>
        <w:t>royal decree, command, order or edict.  Ar. plural also Faramát or Farámín</w:t>
      </w:r>
    </w:p>
    <w:p w14:paraId="4EB0BC32" w14:textId="77777777" w:rsidR="00625A5B" w:rsidRPr="008F03E5" w:rsidRDefault="00625A5B" w:rsidP="00A9101C">
      <w:pPr>
        <w:pStyle w:val="Translit"/>
      </w:pPr>
      <w:r w:rsidRPr="008F03E5">
        <w:t>Farman-Farma</w:t>
      </w:r>
      <w:r w:rsidRPr="008F03E5">
        <w:tab/>
        <w:t>Farmán-Farmá</w:t>
      </w:r>
      <w:r w:rsidRPr="008F03E5">
        <w:tab/>
        <w:t>the one who establishes or issues the order; the commander or governor.  Title of Prince Ḥusayn ‘Alí Mírzá, grandson of Fatḥ-‘Alí-</w:t>
      </w:r>
      <w:r w:rsidRPr="008F03E5">
        <w:rPr>
          <w:u w:val="single"/>
        </w:rPr>
        <w:t>Sh</w:t>
      </w:r>
      <w:r w:rsidRPr="008F03E5">
        <w:t>áh</w:t>
      </w:r>
    </w:p>
    <w:p w14:paraId="6D30B9BB" w14:textId="77777777" w:rsidR="00625A5B" w:rsidRPr="008F03E5" w:rsidRDefault="00625A5B" w:rsidP="00CA7B74">
      <w:pPr>
        <w:pStyle w:val="Translit"/>
        <w:rPr>
          <w:rFonts w:eastAsia="PMingLiU"/>
          <w:lang w:eastAsia="zh-TW"/>
        </w:rPr>
      </w:pPr>
      <w:r w:rsidRPr="008F03E5">
        <w:rPr>
          <w:rFonts w:eastAsia="PMingLiU"/>
          <w:lang w:eastAsia="zh-TW"/>
        </w:rPr>
        <w:t>Farmaniyyih</w:t>
      </w:r>
      <w:r w:rsidRPr="008F03E5">
        <w:rPr>
          <w:rFonts w:eastAsia="PMingLiU"/>
          <w:lang w:eastAsia="zh-TW"/>
        </w:rPr>
        <w:tab/>
        <w:t>Farm</w:t>
      </w:r>
      <w:r w:rsidRPr="008F03E5">
        <w:t>á</w:t>
      </w:r>
      <w:r w:rsidRPr="008F03E5">
        <w:rPr>
          <w:rFonts w:eastAsia="PMingLiU"/>
          <w:lang w:eastAsia="zh-TW"/>
        </w:rPr>
        <w:t>n</w:t>
      </w:r>
      <w:r w:rsidRPr="008F03E5">
        <w:t>í</w:t>
      </w:r>
      <w:r w:rsidRPr="008F03E5">
        <w:rPr>
          <w:rFonts w:eastAsia="PMingLiU"/>
          <w:lang w:eastAsia="zh-TW"/>
        </w:rPr>
        <w:t>yyih</w:t>
      </w:r>
      <w:r w:rsidRPr="008F03E5">
        <w:rPr>
          <w:rFonts w:eastAsia="PMingLiU"/>
          <w:lang w:eastAsia="zh-TW"/>
        </w:rPr>
        <w:tab/>
        <w:t xml:space="preserve">(“Farmanieh”) once a garden named after </w:t>
      </w:r>
      <w:r w:rsidRPr="008F03E5">
        <w:t xml:space="preserve">Prince Ḥusayn ‘Alí Mírzá, </w:t>
      </w:r>
      <w:r w:rsidRPr="008F03E5">
        <w:rPr>
          <w:rFonts w:eastAsia="PMingLiU"/>
          <w:lang w:eastAsia="zh-TW"/>
        </w:rPr>
        <w:t xml:space="preserve">now a district in </w:t>
      </w:r>
      <w:r w:rsidRPr="008F03E5">
        <w:rPr>
          <w:sz w:val="16"/>
          <w:szCs w:val="16"/>
        </w:rPr>
        <w:t>NE</w:t>
      </w:r>
      <w:r w:rsidRPr="008F03E5">
        <w:rPr>
          <w:rFonts w:eastAsia="PMingLiU"/>
          <w:lang w:eastAsia="zh-TW"/>
        </w:rPr>
        <w:t xml:space="preserve"> of Teheran</w:t>
      </w:r>
    </w:p>
    <w:p w14:paraId="01522689" w14:textId="77777777" w:rsidR="00625A5B" w:rsidRPr="008F03E5" w:rsidRDefault="00625A5B" w:rsidP="00191E74">
      <w:pPr>
        <w:pStyle w:val="Translit"/>
        <w:rPr>
          <w:rFonts w:eastAsia="PMingLiU"/>
          <w:lang w:eastAsia="zh-TW"/>
        </w:rPr>
      </w:pPr>
      <w:r w:rsidRPr="008F03E5">
        <w:t>Farnaz</w:t>
      </w:r>
      <w:r w:rsidRPr="008F03E5">
        <w:tab/>
        <w:t>Farnaz</w:t>
      </w:r>
      <w:r w:rsidRPr="008F03E5">
        <w:tab/>
        <w:t>Old Pers. fem. name = far+náz:  “the most beautiful”, “the most elegant”, “the most charming”</w:t>
      </w:r>
    </w:p>
    <w:p w14:paraId="479D02F3" w14:textId="77777777" w:rsidR="00625A5B" w:rsidRPr="008F03E5" w:rsidRDefault="00625A5B" w:rsidP="00191E74">
      <w:pPr>
        <w:pStyle w:val="Translit"/>
        <w:rPr>
          <w:rFonts w:eastAsia="PMingLiU"/>
          <w:lang w:eastAsia="zh-TW"/>
        </w:rPr>
      </w:pPr>
      <w:r w:rsidRPr="008F03E5">
        <w:rPr>
          <w:rFonts w:eastAsia="PMingLiU"/>
          <w:lang w:eastAsia="zh-TW"/>
        </w:rPr>
        <w:t>Farnush</w:t>
      </w:r>
      <w:r w:rsidRPr="008F03E5">
        <w:tab/>
      </w:r>
      <w:r w:rsidRPr="008F03E5">
        <w:rPr>
          <w:rFonts w:eastAsia="PMingLiU"/>
          <w:lang w:eastAsia="zh-TW"/>
        </w:rPr>
        <w:t>Farnú</w:t>
      </w:r>
      <w:r w:rsidRPr="008F03E5">
        <w:rPr>
          <w:u w:val="single"/>
        </w:rPr>
        <w:t>sh</w:t>
      </w:r>
      <w:r w:rsidRPr="008F03E5">
        <w:tab/>
        <w:t>Pers. fem. name</w:t>
      </w:r>
    </w:p>
    <w:p w14:paraId="6D87126C" w14:textId="77777777" w:rsidR="00625A5B" w:rsidRPr="008F03E5" w:rsidRDefault="00625A5B" w:rsidP="00112117">
      <w:pPr>
        <w:pStyle w:val="Translit"/>
      </w:pPr>
      <w:r w:rsidRPr="008F03E5">
        <w:t>Farrash, Farrashun</w:t>
      </w:r>
      <w:r w:rsidRPr="008F03E5">
        <w:tab/>
        <w:t>Farrá</w:t>
      </w:r>
      <w:r w:rsidRPr="008F03E5">
        <w:rPr>
          <w:u w:val="single"/>
        </w:rPr>
        <w:t>sh</w:t>
      </w:r>
      <w:r w:rsidRPr="008F03E5">
        <w:t>, pl. Farrá</w:t>
      </w:r>
      <w:r w:rsidRPr="008F03E5">
        <w:rPr>
          <w:u w:val="single"/>
        </w:rPr>
        <w:t>sh</w:t>
      </w:r>
      <w:r w:rsidRPr="008F03E5">
        <w:t>ún</w:t>
      </w:r>
      <w:r w:rsidRPr="008F03E5">
        <w:tab/>
        <w:t>one who spreads the carpets; servant, attendant; house servant, valet; office boy, errand boy</w:t>
      </w:r>
    </w:p>
    <w:p w14:paraId="71DA9EFC" w14:textId="77777777" w:rsidR="00625A5B" w:rsidRPr="008F03E5" w:rsidRDefault="00625A5B" w:rsidP="00022C9F">
      <w:pPr>
        <w:pStyle w:val="Translit"/>
      </w:pPr>
      <w:r w:rsidRPr="008F03E5">
        <w:t>Farrash-Bashi</w:t>
      </w:r>
      <w:r w:rsidRPr="008F03E5">
        <w:tab/>
        <w:t>Farrá</w:t>
      </w:r>
      <w:r w:rsidRPr="008F03E5">
        <w:rPr>
          <w:u w:val="single"/>
        </w:rPr>
        <w:t>sh</w:t>
      </w:r>
      <w:r w:rsidRPr="008F03E5">
        <w:t>-Bá</w:t>
      </w:r>
      <w:r w:rsidRPr="008F03E5">
        <w:rPr>
          <w:u w:val="single"/>
        </w:rPr>
        <w:t>sh</w:t>
      </w:r>
      <w:r w:rsidRPr="008F03E5">
        <w:t>í</w:t>
      </w:r>
      <w:r w:rsidRPr="008F03E5">
        <w:tab/>
        <w:t>chief or head of the servant</w:t>
      </w:r>
    </w:p>
    <w:p w14:paraId="6B121D02" w14:textId="77777777" w:rsidR="00625A5B" w:rsidRPr="008F03E5" w:rsidRDefault="00625A5B" w:rsidP="00084909">
      <w:pPr>
        <w:pStyle w:val="Translit"/>
      </w:pPr>
      <w:r w:rsidRPr="008F03E5">
        <w:t>Farrukh</w:t>
      </w:r>
      <w:r w:rsidRPr="008F03E5">
        <w:tab/>
        <w:t>Farru</w:t>
      </w:r>
      <w:r w:rsidRPr="008F03E5">
        <w:rPr>
          <w:u w:val="single"/>
        </w:rPr>
        <w:t>kh</w:t>
      </w:r>
      <w:r w:rsidRPr="008F03E5">
        <w:tab/>
        <w:t>Pers. beautiful-faced; happy, fortunate</w:t>
      </w:r>
    </w:p>
    <w:p w14:paraId="30EFD27C" w14:textId="77777777" w:rsidR="00625A5B" w:rsidRPr="008F03E5" w:rsidRDefault="00625A5B" w:rsidP="005958D3">
      <w:pPr>
        <w:pStyle w:val="Translit"/>
      </w:pPr>
      <w:r w:rsidRPr="008F03E5">
        <w:t>Fars</w:t>
      </w:r>
      <w:r w:rsidRPr="008F03E5">
        <w:tab/>
        <w:t>Fárs</w:t>
      </w:r>
      <w:r w:rsidRPr="008F03E5">
        <w:tab/>
        <w:t>Pers. Persia, Parthia.  Párs is the proper and original name of Írán, Arabs, who do not have the letter p in their language, replaced it by an F:  Fárs.  Also the name of a southern province.</w:t>
      </w:r>
    </w:p>
    <w:p w14:paraId="7B6AA327" w14:textId="77777777" w:rsidR="00625A5B" w:rsidRPr="008F03E5" w:rsidRDefault="00625A5B" w:rsidP="0079161A">
      <w:pPr>
        <w:pStyle w:val="Translit"/>
        <w:rPr>
          <w:rFonts w:eastAsia="PMingLiU"/>
          <w:lang w:eastAsia="zh-TW"/>
        </w:rPr>
      </w:pPr>
      <w:r w:rsidRPr="008F03E5">
        <w:rPr>
          <w:rFonts w:eastAsia="PMingLiU"/>
          <w:lang w:eastAsia="zh-TW"/>
        </w:rPr>
        <w:t>Farsakh, Farasikh</w:t>
      </w:r>
      <w:r w:rsidRPr="008F03E5">
        <w:tab/>
      </w:r>
      <w:r w:rsidRPr="008F03E5">
        <w:rPr>
          <w:rFonts w:eastAsia="PMingLiU"/>
          <w:lang w:eastAsia="zh-TW"/>
        </w:rPr>
        <w:t>Farsa</w:t>
      </w:r>
      <w:r w:rsidRPr="008F03E5">
        <w:rPr>
          <w:u w:val="single"/>
        </w:rPr>
        <w:t>kh</w:t>
      </w:r>
      <w:r w:rsidRPr="008F03E5">
        <w:rPr>
          <w:rFonts w:eastAsia="PMingLiU"/>
          <w:lang w:eastAsia="zh-TW"/>
        </w:rPr>
        <w:t>, pl. Far</w:t>
      </w:r>
      <w:r w:rsidRPr="008F03E5">
        <w:t>á</w:t>
      </w:r>
      <w:r w:rsidRPr="008F03E5">
        <w:rPr>
          <w:rFonts w:eastAsia="PMingLiU"/>
          <w:lang w:eastAsia="zh-TW"/>
        </w:rPr>
        <w:t>si</w:t>
      </w:r>
      <w:r w:rsidRPr="008F03E5">
        <w:rPr>
          <w:u w:val="single"/>
        </w:rPr>
        <w:t>kh</w:t>
      </w:r>
      <w:r w:rsidRPr="008F03E5">
        <w:tab/>
      </w:r>
      <w:r>
        <w:t>Ar.</w:t>
      </w:r>
      <w:r w:rsidRPr="008F03E5">
        <w:t xml:space="preserve"> </w:t>
      </w:r>
      <w:r>
        <w:t>a</w:t>
      </w:r>
      <w:r w:rsidRPr="008F03E5">
        <w:t xml:space="preserve"> </w:t>
      </w:r>
      <w:r>
        <w:t>f</w:t>
      </w:r>
      <w:r w:rsidRPr="008F03E5">
        <w:t>arasang, a league; an hour;</w:t>
      </w:r>
      <w:r>
        <w:t xml:space="preserve"> </w:t>
      </w:r>
      <w:r w:rsidRPr="008F03E5">
        <w:t>a long time; an interval; a chink, cleft; quiet, repose; perpetual; much.</w:t>
      </w:r>
      <w:r>
        <w:t xml:space="preserve">  See farsang.</w:t>
      </w:r>
    </w:p>
    <w:p w14:paraId="450213A4" w14:textId="77777777" w:rsidR="00625A5B" w:rsidRPr="008F03E5" w:rsidRDefault="00625A5B" w:rsidP="00FF7B08">
      <w:pPr>
        <w:pStyle w:val="Translit"/>
      </w:pPr>
      <w:r w:rsidRPr="001D6A7E">
        <w:rPr>
          <w:lang w:val="en-AU"/>
        </w:rPr>
        <w:t>Farsang, Farsang-ha</w:t>
      </w:r>
      <w:r w:rsidRPr="001D6A7E">
        <w:rPr>
          <w:lang w:val="en-AU"/>
        </w:rPr>
        <w:tab/>
        <w:t xml:space="preserve">Farsang, pl. </w:t>
      </w:r>
      <w:r w:rsidRPr="008F03E5">
        <w:t>Farsang-há</w:t>
      </w:r>
      <w:r w:rsidRPr="008F03E5">
        <w:tab/>
        <w:t xml:space="preserve">Pers. </w:t>
      </w:r>
      <w:r>
        <w:t>a historical Persian unit of distance; a</w:t>
      </w:r>
      <w:r w:rsidRPr="008F03E5">
        <w:t xml:space="preserve"> parsang, league</w:t>
      </w:r>
      <w:r>
        <w:t>;</w:t>
      </w:r>
      <w:r w:rsidRPr="008F03E5">
        <w:t xml:space="preserve"> the distance a laden mule can travel in an hour</w:t>
      </w:r>
      <w:r>
        <w:t xml:space="preserve">, which </w:t>
      </w:r>
      <w:r w:rsidRPr="00991A30">
        <w:t xml:space="preserve">varied according to terrain and </w:t>
      </w:r>
      <w:r>
        <w:t xml:space="preserve">the </w:t>
      </w:r>
      <w:r w:rsidRPr="00991A30">
        <w:t>speed of travel</w:t>
      </w:r>
      <w:r>
        <w:t xml:space="preserve"> (</w:t>
      </w:r>
      <w:r w:rsidRPr="00991A30">
        <w:t>about</w:t>
      </w:r>
      <w:r>
        <w:t xml:space="preserve"> </w:t>
      </w:r>
      <w:r w:rsidRPr="00991A30">
        <w:t xml:space="preserve">4.8 </w:t>
      </w:r>
      <w:r>
        <w:t>t</w:t>
      </w:r>
      <w:r w:rsidRPr="00991A30">
        <w:t>o 5.6 km)</w:t>
      </w:r>
      <w:r>
        <w:t>;</w:t>
      </w:r>
      <w:r w:rsidRPr="008F03E5">
        <w:t xml:space="preserve"> </w:t>
      </w:r>
      <w:r w:rsidRPr="0079161A">
        <w:t>6.23 km in 19th century Persia</w:t>
      </w:r>
      <w:r>
        <w:t xml:space="preserve">; and </w:t>
      </w:r>
      <w:r w:rsidRPr="0079161A">
        <w:t>1</w:t>
      </w:r>
      <w:r>
        <w:t>0</w:t>
      </w:r>
      <w:r w:rsidRPr="0079161A">
        <w:t xml:space="preserve"> k</w:t>
      </w:r>
      <w:r>
        <w:t>m</w:t>
      </w:r>
      <w:r w:rsidRPr="0079161A">
        <w:t xml:space="preserve"> in modern Iran and</w:t>
      </w:r>
      <w:r>
        <w:t xml:space="preserve"> </w:t>
      </w:r>
      <w:r w:rsidRPr="008F03E5">
        <w:t>Türkiye</w:t>
      </w:r>
      <w:r w:rsidRPr="0079161A">
        <w:t>.</w:t>
      </w:r>
      <w:r>
        <w:t xml:space="preserve">  </w:t>
      </w:r>
      <w:r w:rsidRPr="008F03E5">
        <w:t xml:space="preserve">Derived from the Persian parsang (sang, “stone”, </w:t>
      </w:r>
      <w:r>
        <w:t>for stone markers (s</w:t>
      </w:r>
      <w:r w:rsidRPr="00FF7B08">
        <w:t>á</w:t>
      </w:r>
      <w:r>
        <w:t xml:space="preserve">ra) </w:t>
      </w:r>
      <w:r w:rsidRPr="008F03E5">
        <w:t>placed by the road).</w:t>
      </w:r>
    </w:p>
    <w:p w14:paraId="7BB859CF" w14:textId="77777777" w:rsidR="00625A5B" w:rsidRPr="008F03E5" w:rsidRDefault="00625A5B" w:rsidP="00A32200">
      <w:pPr>
        <w:pStyle w:val="Translit"/>
      </w:pPr>
      <w:r w:rsidRPr="008F03E5">
        <w:t>Farsh, Furush</w:t>
      </w:r>
      <w:r w:rsidRPr="008F03E5">
        <w:tab/>
        <w:t>Far</w:t>
      </w:r>
      <w:r w:rsidRPr="008F03E5">
        <w:rPr>
          <w:u w:val="single"/>
        </w:rPr>
        <w:t>sh</w:t>
      </w:r>
      <w:r w:rsidRPr="008F03E5">
        <w:t>, pl. Furú</w:t>
      </w:r>
      <w:r w:rsidRPr="008F03E5">
        <w:rPr>
          <w:u w:val="single"/>
        </w:rPr>
        <w:t>sh</w:t>
      </w:r>
      <w:r w:rsidRPr="008F03E5">
        <w:tab/>
        <w:t>furnishing; furniture, household effects; mat, rug, carpet; anything spread on the ground as bedding; foundation (architecture)</w:t>
      </w:r>
    </w:p>
    <w:p w14:paraId="6A5A553B" w14:textId="77777777" w:rsidR="00625A5B" w:rsidRPr="008F03E5" w:rsidRDefault="00625A5B" w:rsidP="000230F5">
      <w:pPr>
        <w:pStyle w:val="Translit"/>
      </w:pPr>
      <w:r w:rsidRPr="008F03E5">
        <w:t>Farsi, Farsiyan</w:t>
      </w:r>
      <w:r w:rsidRPr="008F03E5">
        <w:tab/>
        <w:t>Fársí, pl. Fársiyán</w:t>
      </w:r>
      <w:r w:rsidRPr="008F03E5">
        <w:tab/>
        <w:t xml:space="preserve">modern (or new) Persian, also known by its endonym Fársí, has been “enriched by the wealth of Arabic, far more expressive, far more mellifluous than its Pársík forbear”.  </w:t>
      </w:r>
      <w:r w:rsidRPr="008F03E5">
        <w:rPr>
          <w:i/>
          <w:iCs/>
        </w:rPr>
        <w:t>Muḥammad and the Course of Islám</w:t>
      </w:r>
      <w:r w:rsidRPr="008F03E5">
        <w:t>, p. 232  See Pársí and Pahlawí.</w:t>
      </w:r>
    </w:p>
    <w:p w14:paraId="26849C04" w14:textId="77777777" w:rsidR="00625A5B" w:rsidRPr="008F03E5" w:rsidRDefault="00625A5B" w:rsidP="005D24BD">
      <w:pPr>
        <w:pStyle w:val="Translit"/>
        <w:rPr>
          <w:rFonts w:eastAsia="PMingLiU"/>
          <w:lang w:eastAsia="zh-TW"/>
        </w:rPr>
      </w:pPr>
      <w:r w:rsidRPr="008F03E5">
        <w:rPr>
          <w:rFonts w:eastAsia="PMingLiU"/>
          <w:lang w:eastAsia="zh-TW"/>
        </w:rPr>
        <w:t>F</w:t>
      </w:r>
      <w:r w:rsidRPr="008F03E5">
        <w:t>a</w:t>
      </w:r>
      <w:r w:rsidRPr="008F03E5">
        <w:rPr>
          <w:rFonts w:eastAsia="PMingLiU"/>
          <w:lang w:eastAsia="zh-TW"/>
        </w:rPr>
        <w:t>rs-N</w:t>
      </w:r>
      <w:r w:rsidRPr="008F03E5">
        <w:t>a</w:t>
      </w:r>
      <w:r w:rsidRPr="008F03E5">
        <w:rPr>
          <w:rFonts w:eastAsia="PMingLiU"/>
          <w:lang w:eastAsia="zh-TW"/>
        </w:rPr>
        <w:t>m</w:t>
      </w:r>
      <w:r>
        <w:rPr>
          <w:rFonts w:eastAsia="PMingLiU"/>
          <w:lang w:eastAsia="zh-TW"/>
        </w:rPr>
        <w:t>a</w:t>
      </w:r>
      <w:r w:rsidRPr="008F03E5">
        <w:rPr>
          <w:rFonts w:eastAsia="PMingLiU"/>
          <w:lang w:eastAsia="zh-TW"/>
        </w:rPr>
        <w:t>h (Farsnam</w:t>
      </w:r>
      <w:r>
        <w:rPr>
          <w:rFonts w:eastAsia="PMingLiU"/>
          <w:lang w:eastAsia="zh-TW"/>
        </w:rPr>
        <w:t>a</w:t>
      </w:r>
      <w:r w:rsidRPr="008F03E5">
        <w:rPr>
          <w:rFonts w:eastAsia="PMingLiU"/>
          <w:lang w:eastAsia="zh-TW"/>
        </w:rPr>
        <w:t>h)</w:t>
      </w:r>
      <w:r>
        <w:rPr>
          <w:rFonts w:eastAsia="PMingLiU"/>
          <w:lang w:eastAsia="zh-TW"/>
        </w:rPr>
        <w:t xml:space="preserve">, </w:t>
      </w:r>
      <w:r w:rsidRPr="008F03E5">
        <w:rPr>
          <w:rFonts w:eastAsia="PMingLiU"/>
          <w:lang w:eastAsia="zh-TW"/>
        </w:rPr>
        <w:t>F</w:t>
      </w:r>
      <w:r>
        <w:t>a</w:t>
      </w:r>
      <w:r w:rsidRPr="008F03E5">
        <w:rPr>
          <w:rFonts w:eastAsia="PMingLiU"/>
          <w:lang w:eastAsia="zh-TW"/>
        </w:rPr>
        <w:t>rs an-N</w:t>
      </w:r>
      <w:r>
        <w:t>a</w:t>
      </w:r>
      <w:r w:rsidRPr="008F03E5">
        <w:rPr>
          <w:rFonts w:eastAsia="PMingLiU"/>
          <w:lang w:eastAsia="zh-TW"/>
        </w:rPr>
        <w:t>ma</w:t>
      </w:r>
      <w:r w:rsidRPr="008F03E5">
        <w:tab/>
      </w:r>
      <w:r w:rsidRPr="008F03E5">
        <w:rPr>
          <w:rFonts w:eastAsia="PMingLiU"/>
          <w:lang w:eastAsia="zh-TW"/>
        </w:rPr>
        <w:t>F</w:t>
      </w:r>
      <w:r w:rsidRPr="008F03E5">
        <w:t>á</w:t>
      </w:r>
      <w:r w:rsidRPr="008F03E5">
        <w:rPr>
          <w:rFonts w:eastAsia="PMingLiU"/>
          <w:lang w:eastAsia="zh-TW"/>
        </w:rPr>
        <w:t>rs-N</w:t>
      </w:r>
      <w:r w:rsidRPr="008F03E5">
        <w:t>á</w:t>
      </w:r>
      <w:r w:rsidRPr="008F03E5">
        <w:rPr>
          <w:rFonts w:eastAsia="PMingLiU"/>
          <w:lang w:eastAsia="zh-TW"/>
        </w:rPr>
        <w:t>mih (Ar. F</w:t>
      </w:r>
      <w:r w:rsidRPr="008F03E5">
        <w:t>á</w:t>
      </w:r>
      <w:r w:rsidRPr="008F03E5">
        <w:rPr>
          <w:rFonts w:eastAsia="PMingLiU"/>
          <w:lang w:eastAsia="zh-TW"/>
        </w:rPr>
        <w:t>rs an-N</w:t>
      </w:r>
      <w:r w:rsidRPr="008F03E5">
        <w:t>á</w:t>
      </w:r>
      <w:r w:rsidRPr="008F03E5">
        <w:rPr>
          <w:rFonts w:eastAsia="PMingLiU"/>
          <w:lang w:eastAsia="zh-TW"/>
        </w:rPr>
        <w:t>ma)</w:t>
      </w:r>
      <w:r w:rsidRPr="008F03E5">
        <w:tab/>
        <w:t>“</w:t>
      </w:r>
      <w:r>
        <w:t>The B</w:t>
      </w:r>
      <w:r w:rsidRPr="008F03E5">
        <w:t>ook o</w:t>
      </w:r>
      <w:r>
        <w:t>f</w:t>
      </w:r>
      <w:r w:rsidRPr="008F03E5">
        <w:t xml:space="preserve"> Fárs”</w:t>
      </w:r>
      <w:r>
        <w:t>.  A</w:t>
      </w:r>
      <w:r w:rsidRPr="00D81B14">
        <w:t xml:space="preserve"> Persian-language history and geography of </w:t>
      </w:r>
      <w:r>
        <w:t xml:space="preserve">the </w:t>
      </w:r>
      <w:r w:rsidRPr="00D81B14">
        <w:t>Fars province, written between 1105 and 1116 during the Seljuk period.</w:t>
      </w:r>
    </w:p>
    <w:p w14:paraId="4862084A" w14:textId="77777777" w:rsidR="00625A5B" w:rsidRPr="008F03E5" w:rsidRDefault="00625A5B" w:rsidP="00DE4B42">
      <w:pPr>
        <w:pStyle w:val="Translit"/>
        <w:rPr>
          <w:rFonts w:eastAsia="PMingLiU"/>
          <w:lang w:eastAsia="zh-TW"/>
        </w:rPr>
      </w:pPr>
      <w:r w:rsidRPr="008F03E5">
        <w:rPr>
          <w:rFonts w:eastAsia="PMingLiU"/>
          <w:lang w:eastAsia="zh-TW"/>
        </w:rPr>
        <w:t>Faruhar</w:t>
      </w:r>
      <w:r w:rsidRPr="008F03E5">
        <w:tab/>
      </w:r>
      <w:r w:rsidRPr="008F03E5">
        <w:rPr>
          <w:rFonts w:eastAsia="PMingLiU"/>
          <w:lang w:eastAsia="zh-TW"/>
        </w:rPr>
        <w:t>Farúhar</w:t>
      </w:r>
      <w:r w:rsidRPr="008F03E5">
        <w:rPr>
          <w:rFonts w:eastAsia="PMingLiU"/>
          <w:lang w:eastAsia="zh-TW"/>
        </w:rPr>
        <w:tab/>
        <w:t>Pers. possibly a form of Fur</w:t>
      </w:r>
      <w:r w:rsidRPr="008F03E5">
        <w:t>ú</w:t>
      </w:r>
      <w:r w:rsidRPr="008F03E5">
        <w:rPr>
          <w:rFonts w:eastAsia="PMingLiU"/>
          <w:lang w:eastAsia="zh-TW"/>
        </w:rPr>
        <w:t>har (same consonants)</w:t>
      </w:r>
    </w:p>
    <w:p w14:paraId="73E4D99E" w14:textId="77777777" w:rsidR="00625A5B" w:rsidRPr="008F03E5" w:rsidRDefault="00625A5B" w:rsidP="003B03E3">
      <w:pPr>
        <w:pStyle w:val="Translit"/>
      </w:pPr>
      <w:r w:rsidRPr="008F03E5">
        <w:t>Faruq (Faroogh)</w:t>
      </w:r>
      <w:r w:rsidRPr="008F03E5">
        <w:tab/>
        <w:t>Fárúq</w:t>
      </w:r>
      <w:r w:rsidRPr="008F03E5">
        <w:tab/>
        <w:t>very timorous.  al-Fárúq “he who distinguishes truth from falsehood” (epithet Caliph ‘Umar ibn al-</w:t>
      </w:r>
      <w:r w:rsidRPr="008F03E5">
        <w:rPr>
          <w:u w:val="single"/>
        </w:rPr>
        <w:t>Kh</w:t>
      </w:r>
      <w:r w:rsidRPr="008F03E5">
        <w:t>aṭṭáb (2nd)).  A village (29.965218, 53.046784) in Fars Province.</w:t>
      </w:r>
    </w:p>
    <w:p w14:paraId="2D7D8154" w14:textId="77777777" w:rsidR="00625A5B" w:rsidRPr="008F03E5" w:rsidRDefault="00625A5B" w:rsidP="00032EE3">
      <w:pPr>
        <w:pStyle w:val="Translit"/>
      </w:pPr>
      <w:r w:rsidRPr="008F03E5">
        <w:rPr>
          <w:rFonts w:eastAsia="Times New Roman"/>
        </w:rPr>
        <w:t>Farwardin (Farvardin)</w:t>
      </w:r>
      <w:r w:rsidRPr="008F03E5">
        <w:rPr>
          <w:rFonts w:eastAsia="Times New Roman"/>
        </w:rPr>
        <w:tab/>
        <w:t>Farwardín</w:t>
      </w:r>
      <w:r w:rsidRPr="008F03E5">
        <w:rPr>
          <w:rFonts w:eastAsia="Times New Roman"/>
        </w:rPr>
        <w:tab/>
        <w:t>Pers. first month of the Persian solar year; the 19th day of every month</w:t>
      </w:r>
    </w:p>
    <w:p w14:paraId="42D741D1" w14:textId="77777777" w:rsidR="00625A5B" w:rsidRPr="008F03E5" w:rsidRDefault="00625A5B" w:rsidP="000B346D">
      <w:pPr>
        <w:pStyle w:val="Translit"/>
      </w:pPr>
      <w:r w:rsidRPr="008F03E5">
        <w:t>Faryab, Faryaw, Firyab</w:t>
      </w:r>
      <w:r w:rsidRPr="008F03E5">
        <w:tab/>
        <w:t>Fáryáb, Fáryáw</w:t>
      </w:r>
      <w:r w:rsidRPr="008F03E5">
        <w:tab/>
        <w:t xml:space="preserve">Pers. ground watered by irrigation.  Fáryáb (also Fíryáb), a village 140 km </w:t>
      </w:r>
      <w:r w:rsidRPr="008F03E5">
        <w:rPr>
          <w:sz w:val="16"/>
          <w:szCs w:val="16"/>
        </w:rPr>
        <w:t>NE</w:t>
      </w:r>
      <w:r w:rsidRPr="008F03E5">
        <w:t xml:space="preserve"> of Bandar Abbas, Iran; and another 195 km </w:t>
      </w:r>
      <w:r w:rsidRPr="008F03E5">
        <w:rPr>
          <w:sz w:val="16"/>
          <w:szCs w:val="16"/>
        </w:rPr>
        <w:t>SW</w:t>
      </w:r>
      <w:r w:rsidRPr="008F03E5">
        <w:t xml:space="preserve"> of Bal</w:t>
      </w:r>
      <w:r w:rsidRPr="008F03E5">
        <w:rPr>
          <w:u w:val="single"/>
        </w:rPr>
        <w:t>kh</w:t>
      </w:r>
      <w:r w:rsidRPr="008F03E5">
        <w:t>, Afghanistan.</w:t>
      </w:r>
    </w:p>
    <w:p w14:paraId="5704C1A5" w14:textId="77777777" w:rsidR="00625A5B" w:rsidRDefault="00625A5B" w:rsidP="00C261A3">
      <w:pPr>
        <w:pStyle w:val="Translit"/>
      </w:pPr>
      <w:r>
        <w:t>Farzad</w:t>
      </w:r>
      <w:r>
        <w:tab/>
        <w:t>Farz</w:t>
      </w:r>
      <w:r w:rsidRPr="00554B25">
        <w:t>á</w:t>
      </w:r>
      <w:r>
        <w:t>d</w:t>
      </w:r>
      <w:r>
        <w:tab/>
        <w:t>Pers. Far+z</w:t>
      </w:r>
      <w:r w:rsidRPr="00554B25">
        <w:t>á</w:t>
      </w:r>
      <w:r>
        <w:t>d (“greatness” or “majesty” + “born”), a male name “born into a great family”</w:t>
      </w:r>
    </w:p>
    <w:p w14:paraId="6C85C529" w14:textId="77777777" w:rsidR="00625A5B" w:rsidRPr="008F03E5" w:rsidRDefault="00625A5B" w:rsidP="00AC20A6">
      <w:pPr>
        <w:pStyle w:val="Translit"/>
      </w:pPr>
      <w:r w:rsidRPr="008F03E5">
        <w:t>Farzam</w:t>
      </w:r>
      <w:r w:rsidRPr="008F03E5">
        <w:tab/>
        <w:t>Farzám</w:t>
      </w:r>
      <w:r w:rsidRPr="008F03E5">
        <w:tab/>
        <w:t>Pers. worthy, suiting, befitting.  Dr Arbáb Farzám</w:t>
      </w:r>
    </w:p>
    <w:p w14:paraId="62E99726" w14:textId="77777777" w:rsidR="00625A5B" w:rsidRPr="008F03E5" w:rsidRDefault="00625A5B" w:rsidP="00AC20A6">
      <w:pPr>
        <w:pStyle w:val="Translit"/>
      </w:pPr>
      <w:r w:rsidRPr="008F03E5">
        <w:t>Farzan</w:t>
      </w:r>
      <w:r w:rsidRPr="008F03E5">
        <w:tab/>
        <w:t>Farzán</w:t>
      </w:r>
      <w:r w:rsidRPr="008F03E5">
        <w:tab/>
        <w:t>Pers. science, learning; strength, constancy; wise, learned</w:t>
      </w:r>
    </w:p>
    <w:p w14:paraId="3658842B" w14:textId="77777777" w:rsidR="00625A5B" w:rsidRPr="008F03E5" w:rsidRDefault="00625A5B" w:rsidP="00900A82">
      <w:pPr>
        <w:pStyle w:val="Translit"/>
        <w:rPr>
          <w:rFonts w:eastAsia="PMingLiU"/>
          <w:lang w:eastAsia="zh-TW"/>
        </w:rPr>
      </w:pPr>
      <w:r w:rsidRPr="008F03E5">
        <w:rPr>
          <w:rFonts w:eastAsia="PMingLiU"/>
          <w:lang w:eastAsia="zh-TW"/>
        </w:rPr>
        <w:t>Farzanih-Mu’ayyad</w:t>
      </w:r>
      <w:r w:rsidRPr="008F03E5">
        <w:tab/>
      </w:r>
      <w:r w:rsidRPr="008F03E5">
        <w:rPr>
          <w:rFonts w:eastAsia="PMingLiU"/>
          <w:lang w:eastAsia="zh-TW"/>
        </w:rPr>
        <w:t>Farzánih-Mu’ayyad</w:t>
      </w:r>
      <w:r w:rsidRPr="008F03E5">
        <w:tab/>
        <w:t>Manú</w:t>
      </w:r>
      <w:r w:rsidRPr="008F03E5">
        <w:rPr>
          <w:u w:val="single"/>
        </w:rPr>
        <w:t>ch</w:t>
      </w:r>
      <w:r w:rsidRPr="008F03E5">
        <w:t xml:space="preserve">ihr </w:t>
      </w:r>
      <w:r w:rsidRPr="008F03E5">
        <w:rPr>
          <w:rFonts w:eastAsia="PMingLiU"/>
          <w:lang w:eastAsia="zh-TW"/>
        </w:rPr>
        <w:t>Farzánih-Mu’ayyad, martyred 1982</w:t>
      </w:r>
    </w:p>
    <w:p w14:paraId="7CD326A8" w14:textId="77777777" w:rsidR="00625A5B" w:rsidRPr="008F03E5" w:rsidRDefault="00625A5B" w:rsidP="00A954AF">
      <w:pPr>
        <w:pStyle w:val="Translit"/>
      </w:pPr>
      <w:r w:rsidRPr="008F03E5">
        <w:t>Fas, Fez or Fes</w:t>
      </w:r>
      <w:r w:rsidRPr="008F03E5">
        <w:tab/>
        <w:t>Fás</w:t>
      </w:r>
      <w:r w:rsidRPr="008F03E5">
        <w:tab/>
        <w:t>a city in northern inland Morocco.  It is the second largest city in Morocco after Casablanca.  For the fez (hat), see ṭarbú</w:t>
      </w:r>
      <w:r w:rsidRPr="008F03E5">
        <w:rPr>
          <w:u w:val="single"/>
        </w:rPr>
        <w:t>sh</w:t>
      </w:r>
      <w:r w:rsidRPr="008F03E5">
        <w:t>.</w:t>
      </w:r>
    </w:p>
    <w:p w14:paraId="4B7EEE58" w14:textId="77777777" w:rsidR="00625A5B" w:rsidRPr="00CF0A5A" w:rsidRDefault="00625A5B" w:rsidP="005B2DD3">
      <w:pPr>
        <w:pStyle w:val="Translit"/>
        <w:rPr>
          <w:lang w:val="en-AU"/>
        </w:rPr>
      </w:pPr>
      <w:r w:rsidRPr="00CF0A5A">
        <w:rPr>
          <w:lang w:val="en-AU"/>
        </w:rPr>
        <w:t>Fasa</w:t>
      </w:r>
      <w:r w:rsidRPr="00CF0A5A">
        <w:rPr>
          <w:lang w:val="en-AU"/>
        </w:rPr>
        <w:tab/>
        <w:t>Fasá</w:t>
      </w:r>
      <w:r w:rsidRPr="00CF0A5A">
        <w:rPr>
          <w:lang w:val="en-AU"/>
        </w:rPr>
        <w:tab/>
        <w:t xml:space="preserve">village (28.948488, 53.637617) </w:t>
      </w:r>
      <w:r w:rsidRPr="00CF0A5A">
        <w:rPr>
          <w:sz w:val="16"/>
          <w:szCs w:val="16"/>
          <w:lang w:val="en-AU"/>
        </w:rPr>
        <w:t>SW</w:t>
      </w:r>
      <w:r w:rsidRPr="00CF0A5A">
        <w:rPr>
          <w:lang w:val="en-AU"/>
        </w:rPr>
        <w:t xml:space="preserve"> Nayriz.</w:t>
      </w:r>
    </w:p>
    <w:p w14:paraId="5F8A94C9" w14:textId="77777777" w:rsidR="00625A5B" w:rsidRPr="008F03E5" w:rsidRDefault="00625A5B" w:rsidP="002C07E1">
      <w:pPr>
        <w:pStyle w:val="Translit"/>
      </w:pPr>
      <w:r w:rsidRPr="008F03E5">
        <w:t>Fasaha</w:t>
      </w:r>
      <w:r w:rsidRPr="008F03E5">
        <w:tab/>
        <w:t>Faṣáḥa[h]</w:t>
      </w:r>
      <w:r w:rsidRPr="008F03E5">
        <w:tab/>
        <w:t>purity of the language; fluency, eloquence</w:t>
      </w:r>
    </w:p>
    <w:p w14:paraId="627AD5A8" w14:textId="77777777" w:rsidR="00625A5B" w:rsidRPr="008F03E5" w:rsidRDefault="00625A5B" w:rsidP="00162459">
      <w:pPr>
        <w:pStyle w:val="Translit"/>
      </w:pPr>
      <w:r w:rsidRPr="008F03E5">
        <w:t>Fashar, Fishar</w:t>
      </w:r>
      <w:r w:rsidRPr="008F03E5">
        <w:tab/>
        <w:t>Fa</w:t>
      </w:r>
      <w:r w:rsidRPr="008F03E5">
        <w:rPr>
          <w:u w:val="single"/>
        </w:rPr>
        <w:t>sh</w:t>
      </w:r>
      <w:r w:rsidRPr="008F03E5">
        <w:t>ar, Fi</w:t>
      </w:r>
      <w:r w:rsidRPr="008F03E5">
        <w:rPr>
          <w:u w:val="single"/>
        </w:rPr>
        <w:t>sh</w:t>
      </w:r>
      <w:r w:rsidRPr="008F03E5">
        <w:t>ár</w:t>
      </w:r>
      <w:r w:rsidRPr="008F03E5">
        <w:tab/>
        <w:t>Pers. a scattering; diffusion; compression, constriction, squeezing; the piercing of one thing with another</w:t>
      </w:r>
    </w:p>
    <w:p w14:paraId="1D638ACA" w14:textId="77777777" w:rsidR="00625A5B" w:rsidRPr="008F03E5" w:rsidRDefault="00625A5B" w:rsidP="005328EC">
      <w:pPr>
        <w:pStyle w:val="Translit"/>
      </w:pPr>
      <w:r w:rsidRPr="008F03E5">
        <w:t>Fasih, Fusaha’, Fisah, Fusuh</w:t>
      </w:r>
      <w:r w:rsidRPr="008F03E5">
        <w:tab/>
        <w:t>Faṣíḥ, pl. Fuṣaḥá’, Fiṣáḥ, Fuṣuḥ</w:t>
      </w:r>
      <w:r w:rsidRPr="008F03E5">
        <w:tab/>
        <w:t>pure, good Arabic (language), literary; skilful in using the correct literary language; clear, plain, distinct, intelligible (language, speech); fluent, eloquent</w:t>
      </w:r>
    </w:p>
    <w:p w14:paraId="0ED02B6C" w14:textId="77777777" w:rsidR="00625A5B" w:rsidRPr="008F03E5" w:rsidRDefault="00625A5B" w:rsidP="00BD715C">
      <w:pPr>
        <w:pStyle w:val="Translit"/>
      </w:pPr>
      <w:r w:rsidRPr="008F03E5">
        <w:t>Fasiq, Fasiqun, Fussaq, Fasaqa</w:t>
      </w:r>
      <w:r w:rsidRPr="008F03E5">
        <w:tab/>
        <w:t>Fásiq, pl. Fásiqún, Fussáq, Fasaqa</w:t>
      </w:r>
      <w:r w:rsidRPr="008F03E5">
        <w:tab/>
        <w:t>godless, sinful, dissolute, wanton, licentious, profligate, vicious, iniquitous, nefarious; trespasser, offender, sinner; fornicator, adulterer; a person not meeting the legal requirements of righteousness (Islamic Law)</w:t>
      </w:r>
    </w:p>
    <w:p w14:paraId="631E7F03" w14:textId="77777777" w:rsidR="00625A5B" w:rsidRPr="008F03E5" w:rsidRDefault="00625A5B" w:rsidP="00D21166">
      <w:pPr>
        <w:pStyle w:val="Translit"/>
      </w:pPr>
      <w:r w:rsidRPr="008F03E5">
        <w:t>Fasl al-Khitab, Faslu’l-Khitab</w:t>
      </w:r>
      <w:r w:rsidRPr="008F03E5">
        <w:tab/>
        <w:t>Faṣl al-</w:t>
      </w:r>
      <w:r w:rsidRPr="008F03E5">
        <w:rPr>
          <w:u w:val="single"/>
        </w:rPr>
        <w:t>Kh</w:t>
      </w:r>
      <w:r w:rsidRPr="008F03E5">
        <w:t>iṭáb, Pers. Faṣlu’l-</w:t>
      </w:r>
      <w:r w:rsidRPr="008F03E5">
        <w:rPr>
          <w:u w:val="single"/>
        </w:rPr>
        <w:t>Kh</w:t>
      </w:r>
      <w:r w:rsidRPr="008F03E5">
        <w:t>iṭáb</w:t>
      </w:r>
      <w:r w:rsidRPr="008F03E5">
        <w:tab/>
        <w:t xml:space="preserve">“sound or unmistakable judgement” </w:t>
      </w:r>
      <w:r w:rsidRPr="008F03E5">
        <w:rPr>
          <w:i/>
          <w:iCs/>
        </w:rPr>
        <w:t xml:space="preserve">(Fassl-ul-Khitab).  The Conclusive Proof </w:t>
      </w:r>
      <w:r w:rsidRPr="008F03E5">
        <w:t xml:space="preserve">or </w:t>
      </w:r>
      <w:r w:rsidRPr="008F03E5">
        <w:rPr>
          <w:i/>
          <w:iCs/>
        </w:rPr>
        <w:t>The Decisive Decree</w:t>
      </w:r>
      <w:r w:rsidRPr="008F03E5">
        <w:t xml:space="preserve"> by Mírzá Faḍl</w:t>
      </w:r>
    </w:p>
    <w:p w14:paraId="23FB7972" w14:textId="77777777" w:rsidR="00625A5B" w:rsidRPr="008F03E5" w:rsidRDefault="00625A5B" w:rsidP="00360574">
      <w:pPr>
        <w:pStyle w:val="Translit"/>
      </w:pPr>
      <w:r w:rsidRPr="008F03E5">
        <w:t>Fasl, Fusul</w:t>
      </w:r>
      <w:r w:rsidRPr="008F03E5">
        <w:tab/>
        <w:t>Faṣl, pl. Fuṣúl</w:t>
      </w:r>
      <w:r w:rsidRPr="008F03E5">
        <w:tab/>
        <w:t>parting, disjunction, detachment, severance, sunderance, cutting off; separation; division, partition; discharge, dismissal.—pl. section, part; chapter; act (of a play); movement (of a symphony, etc.); article (in a newspaper); class, grade (school); season</w:t>
      </w:r>
    </w:p>
    <w:p w14:paraId="016EDEB6" w14:textId="77777777" w:rsidR="00625A5B" w:rsidRPr="008F03E5" w:rsidRDefault="00625A5B" w:rsidP="003B6623">
      <w:pPr>
        <w:pStyle w:val="Translit"/>
        <w:rPr>
          <w:lang w:eastAsia="en-US"/>
        </w:rPr>
      </w:pPr>
      <w:r w:rsidRPr="008F03E5">
        <w:rPr>
          <w:lang w:eastAsia="en-US"/>
        </w:rPr>
        <w:t>Fass, Fusus</w:t>
      </w:r>
      <w:r w:rsidRPr="008F03E5">
        <w:rPr>
          <w:lang w:eastAsia="en-US"/>
        </w:rPr>
        <w:tab/>
        <w:t>Faṣṣ, pl. Fuṣúṣ</w:t>
      </w:r>
      <w:r w:rsidRPr="008F03E5">
        <w:rPr>
          <w:lang w:eastAsia="en-US"/>
        </w:rPr>
        <w:tab/>
        <w:t>stone of a ring; clove (of garlic); segment (of an orange); lobe (anatatomy, botanical); joint; essence</w:t>
      </w:r>
    </w:p>
    <w:p w14:paraId="1562ACDC" w14:textId="77777777" w:rsidR="00625A5B" w:rsidRPr="008F03E5" w:rsidRDefault="00625A5B" w:rsidP="00D12D63">
      <w:pPr>
        <w:pStyle w:val="Translit"/>
        <w:rPr>
          <w:lang w:eastAsia="en-US"/>
        </w:rPr>
      </w:pPr>
      <w:r w:rsidRPr="008F03E5">
        <w:rPr>
          <w:lang w:eastAsia="en-US"/>
        </w:rPr>
        <w:t>Fassala, Fussila</w:t>
      </w:r>
      <w:r w:rsidRPr="008F03E5">
        <w:rPr>
          <w:lang w:eastAsia="en-US"/>
        </w:rPr>
        <w:tab/>
        <w:t>Faṣṣala, Fuṣṣila</w:t>
      </w:r>
      <w:r w:rsidRPr="008F03E5">
        <w:rPr>
          <w:lang w:eastAsia="en-US"/>
        </w:rPr>
        <w:tab/>
        <w:t>to detail, to enumerate; to expound, to elucidate, to explain; to make understandable, to clarify; to be made distinct</w:t>
      </w:r>
    </w:p>
    <w:p w14:paraId="058E2501" w14:textId="77777777" w:rsidR="00625A5B" w:rsidRPr="008F03E5" w:rsidRDefault="00625A5B" w:rsidP="00FC2604">
      <w:pPr>
        <w:pStyle w:val="Translit"/>
        <w:rPr>
          <w:rFonts w:eastAsia="PMingLiU"/>
          <w:lang w:eastAsia="zh-TW"/>
        </w:rPr>
      </w:pPr>
      <w:r w:rsidRPr="008F03E5">
        <w:rPr>
          <w:rFonts w:eastAsia="PMingLiU"/>
          <w:lang w:eastAsia="zh-TW"/>
        </w:rPr>
        <w:t>Fat</w:t>
      </w:r>
      <w:r w:rsidRPr="008F03E5">
        <w:t>a</w:t>
      </w:r>
      <w:r w:rsidRPr="008F03E5">
        <w:tab/>
      </w:r>
      <w:r w:rsidRPr="008F03E5">
        <w:rPr>
          <w:rFonts w:eastAsia="PMingLiU"/>
          <w:lang w:eastAsia="zh-TW"/>
        </w:rPr>
        <w:t>Fat</w:t>
      </w:r>
      <w:r w:rsidRPr="008F03E5">
        <w:t>á’</w:t>
      </w:r>
      <w:r w:rsidRPr="008F03E5">
        <w:tab/>
        <w:t>youth, boy, adolescence; a young man; a man-servant</w:t>
      </w:r>
    </w:p>
    <w:p w14:paraId="392E555E" w14:textId="77777777" w:rsidR="00625A5B" w:rsidRPr="008F03E5" w:rsidRDefault="00625A5B" w:rsidP="001A00DE">
      <w:pPr>
        <w:pStyle w:val="Translit"/>
        <w:rPr>
          <w:rFonts w:eastAsia="PMingLiU"/>
          <w:lang w:eastAsia="zh-TW"/>
        </w:rPr>
      </w:pPr>
      <w:r w:rsidRPr="008F03E5">
        <w:rPr>
          <w:rFonts w:eastAsia="Times New Roman"/>
        </w:rPr>
        <w:t>Fata’</w:t>
      </w:r>
      <w:r w:rsidRPr="008F03E5">
        <w:rPr>
          <w:rFonts w:eastAsia="Times New Roman"/>
        </w:rPr>
        <w:tab/>
        <w:t>Fata’</w:t>
      </w:r>
      <w:r w:rsidRPr="008F03E5">
        <w:rPr>
          <w:rFonts w:eastAsia="Times New Roman"/>
        </w:rPr>
        <w:tab/>
        <w:t>forgetting; desisting</w:t>
      </w:r>
    </w:p>
    <w:p w14:paraId="418DC99B" w14:textId="77777777" w:rsidR="00625A5B" w:rsidRPr="008F03E5" w:rsidRDefault="00625A5B" w:rsidP="00015C1D">
      <w:pPr>
        <w:pStyle w:val="Translit"/>
        <w:rPr>
          <w:rFonts w:eastAsia="PMingLiU"/>
          <w:lang w:eastAsia="zh-TW"/>
        </w:rPr>
      </w:pPr>
      <w:r w:rsidRPr="008F03E5">
        <w:rPr>
          <w:rFonts w:eastAsia="PMingLiU"/>
          <w:lang w:eastAsia="zh-TW"/>
        </w:rPr>
        <w:t>Fata’l-Mal</w:t>
      </w:r>
      <w:r w:rsidRPr="008F03E5">
        <w:t>i</w:t>
      </w:r>
      <w:r w:rsidRPr="008F03E5">
        <w:rPr>
          <w:rFonts w:eastAsia="PMingLiU"/>
          <w:lang w:eastAsia="zh-TW"/>
        </w:rPr>
        <w:t>h</w:t>
      </w:r>
      <w:r w:rsidRPr="008F03E5">
        <w:tab/>
      </w:r>
      <w:r w:rsidRPr="008F03E5">
        <w:rPr>
          <w:rFonts w:eastAsia="PMingLiU"/>
          <w:lang w:eastAsia="zh-TW"/>
        </w:rPr>
        <w:t>Fat</w:t>
      </w:r>
      <w:r w:rsidRPr="008F03E5">
        <w:t>á</w:t>
      </w:r>
      <w:r w:rsidRPr="008F03E5">
        <w:rPr>
          <w:rFonts w:eastAsia="PMingLiU"/>
          <w:lang w:eastAsia="zh-TW"/>
        </w:rPr>
        <w:t>’l-Mal</w:t>
      </w:r>
      <w:r w:rsidRPr="008F03E5">
        <w:t>íḥ</w:t>
      </w:r>
      <w:r w:rsidRPr="008F03E5">
        <w:tab/>
        <w:t>handsome young man</w:t>
      </w:r>
    </w:p>
    <w:p w14:paraId="777C285B" w14:textId="77777777" w:rsidR="00625A5B" w:rsidRPr="008F03E5" w:rsidRDefault="00625A5B" w:rsidP="00015C1D">
      <w:pPr>
        <w:pStyle w:val="Translit"/>
        <w:rPr>
          <w:rFonts w:eastAsia="PMingLiU"/>
          <w:lang w:eastAsia="zh-TW"/>
        </w:rPr>
      </w:pPr>
      <w:r w:rsidRPr="008F03E5">
        <w:rPr>
          <w:rFonts w:eastAsia="PMingLiU"/>
          <w:lang w:eastAsia="zh-TW"/>
        </w:rPr>
        <w:t>Fata’l-Qazv</w:t>
      </w:r>
      <w:r w:rsidRPr="008F03E5">
        <w:t>i</w:t>
      </w:r>
      <w:r w:rsidRPr="008F03E5">
        <w:rPr>
          <w:rFonts w:eastAsia="PMingLiU"/>
          <w:lang w:eastAsia="zh-TW"/>
        </w:rPr>
        <w:t>n</w:t>
      </w:r>
      <w:r w:rsidRPr="008F03E5">
        <w:t>i</w:t>
      </w:r>
      <w:r w:rsidRPr="008F03E5">
        <w:tab/>
      </w:r>
      <w:r w:rsidRPr="008F03E5">
        <w:rPr>
          <w:rFonts w:eastAsia="PMingLiU"/>
          <w:lang w:eastAsia="zh-TW"/>
        </w:rPr>
        <w:t>Fat</w:t>
      </w:r>
      <w:r w:rsidRPr="008F03E5">
        <w:t>á</w:t>
      </w:r>
      <w:r w:rsidRPr="008F03E5">
        <w:rPr>
          <w:rFonts w:eastAsia="PMingLiU"/>
          <w:lang w:eastAsia="zh-TW"/>
        </w:rPr>
        <w:t>’l-Qazv</w:t>
      </w:r>
      <w:r w:rsidRPr="008F03E5">
        <w:t>í</w:t>
      </w:r>
      <w:r w:rsidRPr="008F03E5">
        <w:rPr>
          <w:rFonts w:eastAsia="PMingLiU"/>
          <w:lang w:eastAsia="zh-TW"/>
        </w:rPr>
        <w:t>n</w:t>
      </w:r>
      <w:r w:rsidRPr="008F03E5">
        <w:t>í</w:t>
      </w:r>
      <w:r w:rsidRPr="008F03E5">
        <w:tab/>
        <w:t xml:space="preserve">youth of </w:t>
      </w:r>
      <w:r w:rsidRPr="008F03E5">
        <w:rPr>
          <w:rFonts w:eastAsia="PMingLiU"/>
          <w:lang w:eastAsia="zh-TW"/>
        </w:rPr>
        <w:t>Qazv</w:t>
      </w:r>
      <w:r w:rsidRPr="008F03E5">
        <w:t>í</w:t>
      </w:r>
      <w:r w:rsidRPr="008F03E5">
        <w:rPr>
          <w:rFonts w:eastAsia="PMingLiU"/>
          <w:lang w:eastAsia="zh-TW"/>
        </w:rPr>
        <w:t>n</w:t>
      </w:r>
    </w:p>
    <w:p w14:paraId="71251E39" w14:textId="77777777" w:rsidR="00625A5B" w:rsidRPr="008F03E5" w:rsidRDefault="00625A5B" w:rsidP="00506F1D">
      <w:pPr>
        <w:pStyle w:val="Translit"/>
      </w:pPr>
      <w:r w:rsidRPr="008F03E5">
        <w:t>Fatah, Fatayat</w:t>
      </w:r>
      <w:r w:rsidRPr="008F03E5">
        <w:tab/>
        <w:t>Fatáh, pl. Fatayát</w:t>
      </w:r>
      <w:r w:rsidRPr="008F03E5">
        <w:tab/>
        <w:t>(young) girl, young woman</w:t>
      </w:r>
    </w:p>
    <w:p w14:paraId="38055197" w14:textId="77777777" w:rsidR="00625A5B" w:rsidRPr="008F03E5" w:rsidRDefault="00625A5B" w:rsidP="00B0177B">
      <w:pPr>
        <w:pStyle w:val="Translit"/>
      </w:pPr>
      <w:r w:rsidRPr="008F03E5">
        <w:t>Fataha</w:t>
      </w:r>
      <w:r w:rsidRPr="008F03E5">
        <w:tab/>
        <w:t>Fataḥa</w:t>
      </w:r>
      <w:r w:rsidRPr="008F03E5">
        <w:tab/>
        <w:t>to open (something); to turn on (a faucet); to switch on, turn on (an apparatus); to dig (a canal); to build (a road); to open, preface, introduce, begin (something); to conquer, capture (something); to reveal, disclose (to someone or something); to grant victory or success (to someone over or in something; of God).</w:t>
      </w:r>
    </w:p>
    <w:p w14:paraId="3F17E273" w14:textId="77777777" w:rsidR="00625A5B" w:rsidRPr="008F03E5" w:rsidRDefault="00625A5B" w:rsidP="00B10F56">
      <w:pPr>
        <w:pStyle w:val="Translit"/>
        <w:rPr>
          <w:rFonts w:eastAsia="PMingLiU"/>
          <w:lang w:eastAsia="zh-TW"/>
        </w:rPr>
      </w:pPr>
      <w:r w:rsidRPr="008F03E5">
        <w:rPr>
          <w:rFonts w:eastAsia="PMingLiU"/>
          <w:lang w:eastAsia="zh-TW"/>
        </w:rPr>
        <w:t>Fatama, Fatm</w:t>
      </w:r>
      <w:r w:rsidRPr="008F03E5">
        <w:rPr>
          <w:rFonts w:eastAsia="PMingLiU"/>
          <w:lang w:eastAsia="zh-TW"/>
        </w:rPr>
        <w:tab/>
        <w:t>Fa</w:t>
      </w:r>
      <w:r w:rsidRPr="008F03E5">
        <w:t>ṭ</w:t>
      </w:r>
      <w:r w:rsidRPr="008F03E5">
        <w:rPr>
          <w:rFonts w:eastAsia="PMingLiU"/>
          <w:lang w:eastAsia="zh-TW"/>
        </w:rPr>
        <w:t>ama, Fa</w:t>
      </w:r>
      <w:r w:rsidRPr="008F03E5">
        <w:t>ṭ</w:t>
      </w:r>
      <w:r w:rsidRPr="008F03E5">
        <w:rPr>
          <w:rFonts w:eastAsia="PMingLiU"/>
          <w:lang w:eastAsia="zh-TW"/>
        </w:rPr>
        <w:t>m</w:t>
      </w:r>
      <w:r w:rsidRPr="008F03E5">
        <w:rPr>
          <w:rFonts w:eastAsia="PMingLiU"/>
          <w:lang w:eastAsia="zh-TW"/>
        </w:rPr>
        <w:tab/>
        <w:t>to wean (an infant or a young animal)</w:t>
      </w:r>
    </w:p>
    <w:p w14:paraId="12573264" w14:textId="77777777" w:rsidR="00625A5B" w:rsidRPr="008F03E5" w:rsidRDefault="00625A5B" w:rsidP="00D17A03">
      <w:pPr>
        <w:pStyle w:val="Translit"/>
      </w:pPr>
      <w:r w:rsidRPr="008F03E5">
        <w:t>Fath, Futuh, Futuhat</w:t>
      </w:r>
      <w:r w:rsidRPr="008F03E5">
        <w:tab/>
        <w:t>Fatḥ, pl. Futúḥ, Futúḥát</w:t>
      </w:r>
      <w:r w:rsidRPr="008F03E5">
        <w:tab/>
        <w:t>opening; introduction, commencement, beginning;—(pl. futúḥ, futúḥát) conquest; victory, triumph;—pl. futúḥát alms; donations, contributions</w:t>
      </w:r>
    </w:p>
    <w:p w14:paraId="3634ED49" w14:textId="77777777" w:rsidR="00625A5B" w:rsidRPr="008F03E5" w:rsidRDefault="00625A5B" w:rsidP="008A2C8D">
      <w:pPr>
        <w:pStyle w:val="Translit"/>
        <w:rPr>
          <w:rFonts w:eastAsia="PMingLiU"/>
          <w:lang w:eastAsia="zh-TW"/>
        </w:rPr>
      </w:pPr>
      <w:r w:rsidRPr="008F03E5">
        <w:rPr>
          <w:rFonts w:eastAsia="PMingLiU"/>
          <w:lang w:eastAsia="zh-TW"/>
        </w:rPr>
        <w:t>Fath-‘Al</w:t>
      </w:r>
      <w:r w:rsidRPr="008F03E5">
        <w:t>i</w:t>
      </w:r>
      <w:r w:rsidRPr="008F03E5">
        <w:tab/>
      </w:r>
      <w:r w:rsidRPr="008F03E5">
        <w:rPr>
          <w:rFonts w:eastAsia="PMingLiU"/>
          <w:lang w:eastAsia="zh-TW"/>
        </w:rPr>
        <w:t>Fat</w:t>
      </w:r>
      <w:r w:rsidRPr="008F03E5">
        <w:t>ḥ</w:t>
      </w:r>
      <w:r w:rsidRPr="008F03E5">
        <w:rPr>
          <w:rFonts w:eastAsia="PMingLiU"/>
          <w:lang w:eastAsia="zh-TW"/>
        </w:rPr>
        <w:t>-‘Al</w:t>
      </w:r>
      <w:r w:rsidRPr="008F03E5">
        <w:t>í</w:t>
      </w:r>
      <w:r w:rsidRPr="008F03E5">
        <w:tab/>
        <w:t xml:space="preserve">Fatḥ-‘Alí </w:t>
      </w:r>
      <w:r w:rsidRPr="008F03E5">
        <w:rPr>
          <w:u w:val="single"/>
        </w:rPr>
        <w:t>Sh</w:t>
      </w:r>
      <w:r w:rsidRPr="008F03E5">
        <w:t xml:space="preserve">áh Qájár (1772–1834), father of Muḥammad </w:t>
      </w:r>
      <w:r w:rsidRPr="008F03E5">
        <w:rPr>
          <w:u w:val="single"/>
        </w:rPr>
        <w:t>Sh</w:t>
      </w:r>
      <w:r w:rsidRPr="008F03E5">
        <w:t>áh</w:t>
      </w:r>
    </w:p>
    <w:p w14:paraId="277FE3E3" w14:textId="77777777" w:rsidR="00625A5B" w:rsidRPr="008F03E5" w:rsidRDefault="00625A5B" w:rsidP="005205B8">
      <w:pPr>
        <w:pStyle w:val="Translit"/>
      </w:pPr>
      <w:r w:rsidRPr="008F03E5">
        <w:t>Fatha</w:t>
      </w:r>
      <w:r w:rsidRPr="008F03E5">
        <w:tab/>
        <w:t>Fatḥa[h or t]</w:t>
      </w:r>
      <w:r w:rsidRPr="008F03E5">
        <w:tab/>
        <w:t>the vowel point, the short vowel a (grammar).  See ḍamma and kasra</w:t>
      </w:r>
    </w:p>
    <w:p w14:paraId="70563130" w14:textId="77777777" w:rsidR="00625A5B" w:rsidRPr="008F03E5" w:rsidRDefault="00625A5B" w:rsidP="0094158F">
      <w:pPr>
        <w:pStyle w:val="Translit"/>
      </w:pPr>
      <w:r w:rsidRPr="008F03E5">
        <w:t>Fath-al-Futuh</w:t>
      </w:r>
      <w:r w:rsidRPr="008F03E5">
        <w:tab/>
        <w:t>Fatḥ-al-Futúḥ</w:t>
      </w:r>
      <w:r w:rsidRPr="008F03E5">
        <w:tab/>
        <w:t>Victory of Victories</w:t>
      </w:r>
    </w:p>
    <w:p w14:paraId="35A9E158" w14:textId="77777777" w:rsidR="00625A5B" w:rsidRPr="008F03E5" w:rsidRDefault="00625A5B" w:rsidP="00BF743D">
      <w:pPr>
        <w:pStyle w:val="Translit"/>
      </w:pPr>
      <w:r w:rsidRPr="008F03E5">
        <w:t>Fath-i-A’zam</w:t>
      </w:r>
      <w:r w:rsidRPr="008F03E5">
        <w:tab/>
        <w:t>Fatḥ-i-A‘ẓam</w:t>
      </w:r>
      <w:r w:rsidRPr="008F03E5">
        <w:tab/>
        <w:t>(“Fatheazam”) “supreme victory”.  Hushmand Fatheazam [Hú</w:t>
      </w:r>
      <w:r w:rsidRPr="008F03E5">
        <w:rPr>
          <w:u w:val="single"/>
        </w:rPr>
        <w:t>sh</w:t>
      </w:r>
      <w:r w:rsidRPr="008F03E5">
        <w:t>mand Fatḥ-i-A‘ẓam] (1924–2013), member of the Universal House of Justice for 40 years (1963 until he retired in 2003).</w:t>
      </w:r>
    </w:p>
    <w:p w14:paraId="5136BDD1" w14:textId="77777777" w:rsidR="00625A5B" w:rsidRPr="008F03E5" w:rsidRDefault="00625A5B" w:rsidP="008043B8">
      <w:pPr>
        <w:pStyle w:val="Translit"/>
      </w:pPr>
      <w:r w:rsidRPr="008F03E5">
        <w:t>Fathu’llah</w:t>
      </w:r>
      <w:r w:rsidRPr="008F03E5">
        <w:tab/>
        <w:t>Fatḥu’lláh (Fatḥ+Alláh)</w:t>
      </w:r>
      <w:r w:rsidRPr="008F03E5">
        <w:tab/>
        <w:t>“God’s opening" or “God’s conquest”</w:t>
      </w:r>
    </w:p>
    <w:p w14:paraId="3C1CD464" w14:textId="77777777" w:rsidR="00625A5B" w:rsidRPr="008F03E5" w:rsidRDefault="00625A5B" w:rsidP="00900A82">
      <w:pPr>
        <w:pStyle w:val="Translit"/>
        <w:rPr>
          <w:rFonts w:eastAsia="PMingLiU"/>
          <w:lang w:eastAsia="zh-TW"/>
        </w:rPr>
      </w:pPr>
      <w:r w:rsidRPr="008F03E5">
        <w:rPr>
          <w:rFonts w:eastAsia="PMingLiU"/>
          <w:lang w:eastAsia="zh-TW"/>
        </w:rPr>
        <w:t>Fathu’ll</w:t>
      </w:r>
      <w:r w:rsidRPr="008F03E5">
        <w:t>a</w:t>
      </w:r>
      <w:r w:rsidRPr="008F03E5">
        <w:rPr>
          <w:rFonts w:eastAsia="PMingLiU"/>
          <w:lang w:eastAsia="zh-TW"/>
        </w:rPr>
        <w:t>h-i-Hakk</w:t>
      </w:r>
      <w:r w:rsidRPr="008F03E5">
        <w:t>a</w:t>
      </w:r>
      <w:r w:rsidRPr="008F03E5">
        <w:rPr>
          <w:rFonts w:eastAsia="PMingLiU"/>
          <w:lang w:eastAsia="zh-TW"/>
        </w:rPr>
        <w:t>k</w:t>
      </w:r>
      <w:r w:rsidRPr="008F03E5">
        <w:tab/>
      </w:r>
      <w:r w:rsidRPr="008F03E5">
        <w:rPr>
          <w:rFonts w:eastAsia="PMingLiU"/>
          <w:lang w:eastAsia="zh-TW"/>
        </w:rPr>
        <w:t>Fat</w:t>
      </w:r>
      <w:r w:rsidRPr="008F03E5">
        <w:t>ḥ</w:t>
      </w:r>
      <w:r w:rsidRPr="008F03E5">
        <w:rPr>
          <w:rFonts w:eastAsia="PMingLiU"/>
          <w:lang w:eastAsia="zh-TW"/>
        </w:rPr>
        <w:t>u’ll</w:t>
      </w:r>
      <w:r w:rsidRPr="008F03E5">
        <w:t>á</w:t>
      </w:r>
      <w:r w:rsidRPr="008F03E5">
        <w:rPr>
          <w:rFonts w:eastAsia="PMingLiU"/>
          <w:lang w:eastAsia="zh-TW"/>
        </w:rPr>
        <w:t>h-i-</w:t>
      </w:r>
      <w:r w:rsidRPr="008F03E5">
        <w:t>Ḥ</w:t>
      </w:r>
      <w:r w:rsidRPr="008F03E5">
        <w:rPr>
          <w:rFonts w:eastAsia="PMingLiU"/>
          <w:lang w:eastAsia="zh-TW"/>
        </w:rPr>
        <w:t>akk</w:t>
      </w:r>
      <w:r w:rsidRPr="008F03E5">
        <w:t>á</w:t>
      </w:r>
      <w:r w:rsidRPr="008F03E5">
        <w:rPr>
          <w:rFonts w:eastAsia="PMingLiU"/>
          <w:lang w:eastAsia="zh-TW"/>
        </w:rPr>
        <w:t>k</w:t>
      </w:r>
      <w:r w:rsidRPr="008F03E5">
        <w:tab/>
      </w:r>
    </w:p>
    <w:p w14:paraId="390CD586" w14:textId="77777777" w:rsidR="00625A5B" w:rsidRPr="008F03E5" w:rsidRDefault="00625A5B" w:rsidP="004A2063">
      <w:pPr>
        <w:pStyle w:val="Translit"/>
        <w:rPr>
          <w:rFonts w:eastAsia="PMingLiU"/>
          <w:lang w:eastAsia="zh-TW"/>
        </w:rPr>
      </w:pPr>
      <w:r w:rsidRPr="008F03E5">
        <w:rPr>
          <w:rFonts w:eastAsia="PMingLiU"/>
          <w:lang w:eastAsia="zh-TW"/>
        </w:rPr>
        <w:t>Fathu’ll</w:t>
      </w:r>
      <w:r w:rsidRPr="008F03E5">
        <w:t>a</w:t>
      </w:r>
      <w:r w:rsidRPr="008F03E5">
        <w:rPr>
          <w:rFonts w:eastAsia="PMingLiU"/>
          <w:lang w:eastAsia="zh-TW"/>
        </w:rPr>
        <w:t>h-i-Hakk</w:t>
      </w:r>
      <w:r w:rsidRPr="008F03E5">
        <w:t>a</w:t>
      </w:r>
      <w:r w:rsidRPr="008F03E5">
        <w:rPr>
          <w:rFonts w:eastAsia="PMingLiU"/>
          <w:lang w:eastAsia="zh-TW"/>
        </w:rPr>
        <w:t>k-i-Qum</w:t>
      </w:r>
      <w:r w:rsidRPr="008F03E5">
        <w:t>i</w:t>
      </w:r>
      <w:r w:rsidRPr="008F03E5">
        <w:tab/>
      </w:r>
      <w:r w:rsidRPr="008F03E5">
        <w:rPr>
          <w:rFonts w:eastAsia="PMingLiU"/>
          <w:lang w:eastAsia="zh-TW"/>
        </w:rPr>
        <w:t>Fat</w:t>
      </w:r>
      <w:r w:rsidRPr="008F03E5">
        <w:t>ḥ</w:t>
      </w:r>
      <w:r w:rsidRPr="008F03E5">
        <w:rPr>
          <w:rFonts w:eastAsia="PMingLiU"/>
          <w:lang w:eastAsia="zh-TW"/>
        </w:rPr>
        <w:t>u’ll</w:t>
      </w:r>
      <w:r w:rsidRPr="008F03E5">
        <w:t>á</w:t>
      </w:r>
      <w:r w:rsidRPr="008F03E5">
        <w:rPr>
          <w:rFonts w:eastAsia="PMingLiU"/>
          <w:lang w:eastAsia="zh-TW"/>
        </w:rPr>
        <w:t>h-i-</w:t>
      </w:r>
      <w:r w:rsidRPr="008F03E5">
        <w:t>Ḥ</w:t>
      </w:r>
      <w:r w:rsidRPr="008F03E5">
        <w:rPr>
          <w:rFonts w:eastAsia="PMingLiU"/>
          <w:lang w:eastAsia="zh-TW"/>
        </w:rPr>
        <w:t>akk</w:t>
      </w:r>
      <w:r w:rsidRPr="008F03E5">
        <w:t>á</w:t>
      </w:r>
      <w:r w:rsidRPr="008F03E5">
        <w:rPr>
          <w:rFonts w:eastAsia="PMingLiU"/>
          <w:lang w:eastAsia="zh-TW"/>
        </w:rPr>
        <w:t>k-i-Qum</w:t>
      </w:r>
      <w:r w:rsidRPr="008F03E5">
        <w:t>í</w:t>
      </w:r>
      <w:r w:rsidRPr="008F03E5">
        <w:tab/>
      </w:r>
    </w:p>
    <w:p w14:paraId="3C683D50" w14:textId="77777777" w:rsidR="00625A5B" w:rsidRPr="00D45A23" w:rsidRDefault="00625A5B" w:rsidP="00900A82">
      <w:pPr>
        <w:pStyle w:val="Translit"/>
        <w:rPr>
          <w:lang w:val="it-IT"/>
        </w:rPr>
      </w:pPr>
      <w:r w:rsidRPr="00D45A23">
        <w:rPr>
          <w:lang w:val="it-IT"/>
        </w:rPr>
        <w:t>Fathu’llah-i-Qumi</w:t>
      </w:r>
      <w:r w:rsidRPr="00D45A23">
        <w:rPr>
          <w:lang w:val="it-IT"/>
        </w:rPr>
        <w:tab/>
        <w:t>Fatḥu’lláh-i-Qumí</w:t>
      </w:r>
      <w:r w:rsidRPr="00D45A23">
        <w:rPr>
          <w:lang w:val="it-IT"/>
        </w:rPr>
        <w:tab/>
      </w:r>
    </w:p>
    <w:p w14:paraId="0604F26B" w14:textId="77777777" w:rsidR="00625A5B" w:rsidRPr="008F03E5" w:rsidRDefault="00625A5B" w:rsidP="00C268CC">
      <w:pPr>
        <w:pStyle w:val="Translit"/>
      </w:pPr>
      <w:r w:rsidRPr="00123218">
        <w:rPr>
          <w:lang w:val="it-IT"/>
        </w:rPr>
        <w:t>Fatih, Fatiha (Pers. Fatihih), Fawatih</w:t>
      </w:r>
      <w:r w:rsidRPr="00123218">
        <w:rPr>
          <w:lang w:val="it-IT"/>
        </w:rPr>
        <w:tab/>
        <w:t xml:space="preserve">Fátiḥ, fem. </w:t>
      </w:r>
      <w:r w:rsidRPr="008F03E5">
        <w:t>Fátiḥa[h or t], pl. Fawátiḥ</w:t>
      </w:r>
      <w:r w:rsidRPr="008F03E5">
        <w:tab/>
        <w:t>opener; beginner; conqueror, victor; light (colour)</w:t>
      </w:r>
      <w:r>
        <w:t xml:space="preserve">.  Feminine:  </w:t>
      </w:r>
      <w:r w:rsidRPr="008F03E5">
        <w:t>start, opening, beginning, commencement, inception, incipience; introduction, preface, preamble, proem.  al-Fátiḥa (or a</w:t>
      </w:r>
      <w:r>
        <w:t>s</w:t>
      </w:r>
      <w:r w:rsidRPr="008F03E5">
        <w:t>-Sab‘a al Ma</w:t>
      </w:r>
      <w:r w:rsidRPr="00DE5757">
        <w:rPr>
          <w:u w:val="single"/>
        </w:rPr>
        <w:t>th</w:t>
      </w:r>
      <w:r w:rsidRPr="008F03E5">
        <w:t xml:space="preserve">ání (the seven oft-repeated) since the verses of al-Fátiḥa must be read in every prayer) is the first surah (with 7 verses) of the Qur’án.  See Qur’án 15:87.  </w:t>
      </w:r>
      <w:r>
        <w:t>According to a</w:t>
      </w:r>
      <w:r w:rsidRPr="008F03E5">
        <w:t>ḥádí</w:t>
      </w:r>
      <w:r w:rsidRPr="008F03E5">
        <w:rPr>
          <w:u w:val="single"/>
        </w:rPr>
        <w:t>th</w:t>
      </w:r>
      <w:r w:rsidRPr="008F03E5">
        <w:t xml:space="preserve"> </w:t>
      </w:r>
      <w:r>
        <w:t xml:space="preserve">and </w:t>
      </w:r>
      <w:r w:rsidRPr="00C268CC">
        <w:rPr>
          <w:i/>
          <w:iCs/>
        </w:rPr>
        <w:t>Tablets of Bahá’u’lláh</w:t>
      </w:r>
      <w:r>
        <w:t>, this s</w:t>
      </w:r>
      <w:r w:rsidRPr="00C268CC">
        <w:t>ú</w:t>
      </w:r>
      <w:r>
        <w:t xml:space="preserve">ra was revealed twice—in Mecca and Medina—as was the Preamble to </w:t>
      </w:r>
      <w:r w:rsidRPr="008F03E5">
        <w:t>Lawḥ-i-I</w:t>
      </w:r>
      <w:r w:rsidRPr="008F03E5">
        <w:rPr>
          <w:u w:val="single"/>
        </w:rPr>
        <w:t>sh</w:t>
      </w:r>
      <w:r w:rsidRPr="008F03E5">
        <w:t>ráqát</w:t>
      </w:r>
      <w:r>
        <w:t>.  I</w:t>
      </w:r>
      <w:r w:rsidRPr="000B7FA7">
        <w:t>ṣ</w:t>
      </w:r>
      <w:r>
        <w:t>fah</w:t>
      </w:r>
      <w:r w:rsidRPr="000B7FA7">
        <w:t>á</w:t>
      </w:r>
      <w:r>
        <w:t>n</w:t>
      </w:r>
      <w:r w:rsidRPr="000B7FA7">
        <w:t>í</w:t>
      </w:r>
      <w:r>
        <w:t xml:space="preserve"> </w:t>
      </w:r>
      <w:r w:rsidRPr="008F03E5">
        <w:t>Pers. Fátiḥih.</w:t>
      </w:r>
      <w:r>
        <w:t xml:space="preserve">  </w:t>
      </w:r>
      <w:r w:rsidRPr="008F03E5">
        <w:t>See Ḥurúf Muqaṭṭa‘át.</w:t>
      </w:r>
    </w:p>
    <w:p w14:paraId="06D4A9DF" w14:textId="77777777" w:rsidR="00625A5B" w:rsidRPr="008F03E5" w:rsidRDefault="00625A5B" w:rsidP="00F07145">
      <w:pPr>
        <w:pStyle w:val="Translit"/>
      </w:pPr>
      <w:r w:rsidRPr="00B03D50">
        <w:rPr>
          <w:rFonts w:eastAsia="PMingLiU"/>
          <w:lang w:eastAsia="zh-TW"/>
        </w:rPr>
        <w:t>Fatim, Fatima (</w:t>
      </w:r>
      <w:r w:rsidRPr="00B03D50">
        <w:t>Fatimih</w:t>
      </w:r>
      <w:r w:rsidRPr="00B03D50">
        <w:rPr>
          <w:rFonts w:eastAsia="PMingLiU"/>
          <w:lang w:eastAsia="zh-TW"/>
        </w:rPr>
        <w:t>), Futum</w:t>
      </w:r>
      <w:r w:rsidRPr="00B03D50">
        <w:rPr>
          <w:rFonts w:eastAsia="PMingLiU"/>
          <w:lang w:eastAsia="zh-TW"/>
        </w:rPr>
        <w:tab/>
        <w:t>Fa</w:t>
      </w:r>
      <w:r w:rsidRPr="00B03D50">
        <w:t>ṭ</w:t>
      </w:r>
      <w:r w:rsidRPr="00B03D50">
        <w:rPr>
          <w:rFonts w:eastAsia="PMingLiU"/>
          <w:lang w:eastAsia="zh-TW"/>
        </w:rPr>
        <w:t>ím,</w:t>
      </w:r>
      <w:r w:rsidRPr="00B03D50">
        <w:t xml:space="preserve"> </w:t>
      </w:r>
      <w:r w:rsidRPr="00B03D50">
        <w:rPr>
          <w:rFonts w:eastAsia="PMingLiU"/>
          <w:lang w:eastAsia="zh-TW"/>
        </w:rPr>
        <w:t xml:space="preserve">fem. </w:t>
      </w:r>
      <w:r w:rsidRPr="008F03E5">
        <w:t xml:space="preserve">Fáṭima[h or t], </w:t>
      </w:r>
      <w:r w:rsidRPr="008F03E5">
        <w:rPr>
          <w:rFonts w:eastAsia="PMingLiU"/>
          <w:lang w:eastAsia="zh-TW"/>
        </w:rPr>
        <w:t>pl. Fu</w:t>
      </w:r>
      <w:r w:rsidRPr="008F03E5">
        <w:t>ṭ</w:t>
      </w:r>
      <w:r w:rsidRPr="008F03E5">
        <w:rPr>
          <w:rFonts w:eastAsia="PMingLiU"/>
          <w:lang w:eastAsia="zh-TW"/>
        </w:rPr>
        <w:t>um</w:t>
      </w:r>
      <w:r w:rsidRPr="008F03E5">
        <w:rPr>
          <w:rFonts w:eastAsia="PMingLiU"/>
          <w:lang w:eastAsia="zh-TW"/>
        </w:rPr>
        <w:tab/>
        <w:t>weaned.  Fem. a</w:t>
      </w:r>
      <w:r w:rsidRPr="008F03E5">
        <w:rPr>
          <w:rFonts w:eastAsia="Times New Roman"/>
        </w:rPr>
        <w:t xml:space="preserve"> woman who weans her child; a female proper name.</w:t>
      </w:r>
      <w:r w:rsidRPr="008F03E5">
        <w:t xml:space="preserve">  Fáṭima bint Muḥammad (</w:t>
      </w:r>
      <w:r w:rsidRPr="008F03E5">
        <w:rPr>
          <w:sz w:val="16"/>
          <w:szCs w:val="16"/>
        </w:rPr>
        <w:t>CE</w:t>
      </w:r>
      <w:r w:rsidRPr="008F03E5">
        <w:t xml:space="preserve"> 605 or 15–632), commonly known as Fáṭima a</w:t>
      </w:r>
      <w:r>
        <w:t>z</w:t>
      </w:r>
      <w:r w:rsidRPr="008F03E5">
        <w:t>-Zahrá’,</w:t>
      </w:r>
      <w:r w:rsidRPr="008F03E5">
        <w:rPr>
          <w:rFonts w:eastAsia="PMingLiU"/>
          <w:lang w:eastAsia="zh-TW"/>
        </w:rPr>
        <w:t xml:space="preserve"> was the </w:t>
      </w:r>
      <w:r w:rsidRPr="008F03E5">
        <w:t xml:space="preserve">daughter of Muḥammad and wife of the Imám ‘Alí.  Fáṭimih-Bagum was the mother of the Báb.  Fáṭimih </w:t>
      </w:r>
      <w:r w:rsidRPr="008F03E5">
        <w:rPr>
          <w:u w:val="single"/>
        </w:rPr>
        <w:t>Kh</w:t>
      </w:r>
      <w:r w:rsidRPr="008F03E5">
        <w:t>ánum</w:t>
      </w:r>
      <w:r w:rsidRPr="00421B56">
        <w:t xml:space="preserve"> (b</w:t>
      </w:r>
      <w:r>
        <w:t>.</w:t>
      </w:r>
      <w:r w:rsidRPr="00421B56">
        <w:t xml:space="preserve"> 1828</w:t>
      </w:r>
      <w:r>
        <w:t>,</w:t>
      </w:r>
      <w:r w:rsidRPr="00421B56">
        <w:t xml:space="preserve"> m</w:t>
      </w:r>
      <w:r>
        <w:t>.</w:t>
      </w:r>
      <w:r w:rsidRPr="00421B56">
        <w:t xml:space="preserve"> 1849</w:t>
      </w:r>
      <w:r>
        <w:t>,</w:t>
      </w:r>
      <w:r w:rsidRPr="00421B56">
        <w:t xml:space="preserve"> d</w:t>
      </w:r>
      <w:r>
        <w:t>.</w:t>
      </w:r>
      <w:r w:rsidRPr="00421B56">
        <w:t xml:space="preserve"> 1904</w:t>
      </w:r>
      <w:r>
        <w:t>;</w:t>
      </w:r>
      <w:r w:rsidRPr="00421B56">
        <w:t xml:space="preserve"> r</w:t>
      </w:r>
      <w:r w:rsidRPr="008F03E5">
        <w:t>eferred to as Mahd-i-‘Ulyá), was the second wife of Bahá’u’lláh.  Her children were:  Ṣamadíyyih (daughter), and sons Muḥammad, Ḍíyá’u’lláh and Badí‘u’lláh.</w:t>
      </w:r>
      <w:r>
        <w:t xml:space="preserve">  See umm al-Kit</w:t>
      </w:r>
      <w:r w:rsidRPr="00F07145">
        <w:t>á</w:t>
      </w:r>
      <w:r>
        <w:t>b.</w:t>
      </w:r>
    </w:p>
    <w:p w14:paraId="27858FED" w14:textId="77777777" w:rsidR="00625A5B" w:rsidRPr="00123218" w:rsidRDefault="00625A5B" w:rsidP="00D87D49">
      <w:pPr>
        <w:pStyle w:val="Translit"/>
        <w:rPr>
          <w:lang w:val="en-AU"/>
        </w:rPr>
      </w:pPr>
      <w:r w:rsidRPr="00123218">
        <w:t>Fatima-i-Ma’sumih (Fatima Masumeh)</w:t>
      </w:r>
      <w:r w:rsidRPr="00123218">
        <w:tab/>
        <w:t>Fáṭima-i-Ma‘ṣúma</w:t>
      </w:r>
      <w:r w:rsidRPr="00123218">
        <w:tab/>
        <w:t xml:space="preserve">sister of the eighth Imam.  Pers. Fáṭimih-i-Ma‘ṣúmih. </w:t>
      </w:r>
      <w:r w:rsidRPr="00123218">
        <w:rPr>
          <w:sz w:val="16"/>
          <w:szCs w:val="16"/>
        </w:rPr>
        <w:t xml:space="preserve"> </w:t>
      </w:r>
      <w:r w:rsidRPr="00123218">
        <w:rPr>
          <w:sz w:val="16"/>
          <w:szCs w:val="16"/>
          <w:lang w:val="en-AU"/>
        </w:rPr>
        <w:t>DB</w:t>
      </w:r>
      <w:r w:rsidRPr="00123218">
        <w:rPr>
          <w:lang w:val="en-AU"/>
        </w:rPr>
        <w:t xml:space="preserve"> p. 224 is incorrect.</w:t>
      </w:r>
    </w:p>
    <w:p w14:paraId="49EF4E9D" w14:textId="77777777" w:rsidR="00625A5B" w:rsidRPr="00123218" w:rsidRDefault="00625A5B" w:rsidP="00A80D27">
      <w:pPr>
        <w:pStyle w:val="Translit"/>
        <w:rPr>
          <w:lang w:val="en-AU"/>
        </w:rPr>
      </w:pPr>
      <w:r w:rsidRPr="00123218">
        <w:rPr>
          <w:rFonts w:eastAsia="PMingLiU"/>
          <w:lang w:val="en-AU" w:eastAsia="zh-TW"/>
        </w:rPr>
        <w:t>Fatimi</w:t>
      </w:r>
      <w:r w:rsidRPr="00123218">
        <w:rPr>
          <w:rFonts w:eastAsia="Times New Roman"/>
          <w:lang w:val="en-AU"/>
        </w:rPr>
        <w:t>, Fatimiya</w:t>
      </w:r>
      <w:r w:rsidRPr="00123218">
        <w:rPr>
          <w:rFonts w:eastAsia="Times New Roman"/>
          <w:lang w:val="en-AU"/>
        </w:rPr>
        <w:tab/>
      </w:r>
      <w:r w:rsidRPr="00123218">
        <w:rPr>
          <w:rFonts w:eastAsia="PMingLiU"/>
          <w:lang w:val="en-AU" w:eastAsia="zh-TW"/>
        </w:rPr>
        <w:t>Fá</w:t>
      </w:r>
      <w:r w:rsidRPr="00123218">
        <w:rPr>
          <w:lang w:val="en-AU"/>
        </w:rPr>
        <w:t>ṭ</w:t>
      </w:r>
      <w:r w:rsidRPr="00123218">
        <w:rPr>
          <w:rFonts w:eastAsia="PMingLiU"/>
          <w:lang w:val="en-AU" w:eastAsia="zh-TW"/>
        </w:rPr>
        <w:t xml:space="preserve">imí, pl. </w:t>
      </w:r>
      <w:r w:rsidRPr="00123218">
        <w:rPr>
          <w:rFonts w:eastAsia="Times New Roman"/>
          <w:lang w:val="en-AU"/>
        </w:rPr>
        <w:t>Fá</w:t>
      </w:r>
      <w:r w:rsidRPr="00123218">
        <w:rPr>
          <w:lang w:val="en-AU"/>
        </w:rPr>
        <w:t>ṭ</w:t>
      </w:r>
      <w:r w:rsidRPr="00123218">
        <w:rPr>
          <w:rFonts w:eastAsia="Times New Roman"/>
          <w:lang w:val="en-AU"/>
        </w:rPr>
        <w:t>imíya[h or t]</w:t>
      </w:r>
      <w:r w:rsidRPr="00123218">
        <w:rPr>
          <w:rFonts w:eastAsia="Times New Roman"/>
          <w:lang w:val="en-AU"/>
        </w:rPr>
        <w:tab/>
        <w:t>Fatimite, a dynasty that reigned in Egypt from 908 to 1171</w:t>
      </w:r>
    </w:p>
    <w:p w14:paraId="7CA7BCDD" w14:textId="77777777" w:rsidR="00625A5B" w:rsidRPr="00123218" w:rsidRDefault="00625A5B" w:rsidP="00815EF4">
      <w:pPr>
        <w:pStyle w:val="Translit"/>
        <w:rPr>
          <w:rFonts w:eastAsia="PMingLiU"/>
          <w:lang w:val="en-AU" w:eastAsia="zh-TW"/>
        </w:rPr>
      </w:pPr>
      <w:r w:rsidRPr="00123218">
        <w:rPr>
          <w:rFonts w:eastAsia="PMingLiU"/>
          <w:lang w:val="en-AU" w:eastAsia="zh-TW"/>
        </w:rPr>
        <w:t>Fatimi, Fatimiyun</w:t>
      </w:r>
      <w:r w:rsidRPr="00123218">
        <w:rPr>
          <w:rFonts w:eastAsia="PMingLiU"/>
          <w:lang w:val="en-AU" w:eastAsia="zh-TW"/>
        </w:rPr>
        <w:tab/>
        <w:t>Fá</w:t>
      </w:r>
      <w:r w:rsidRPr="00123218">
        <w:rPr>
          <w:lang w:val="en-AU"/>
        </w:rPr>
        <w:t>ṭ</w:t>
      </w:r>
      <w:r w:rsidRPr="00123218">
        <w:rPr>
          <w:rFonts w:eastAsia="PMingLiU"/>
          <w:lang w:val="en-AU" w:eastAsia="zh-TW"/>
        </w:rPr>
        <w:t>imí, pl. F</w:t>
      </w:r>
      <w:r w:rsidRPr="00123218">
        <w:rPr>
          <w:lang w:val="en-AU"/>
        </w:rPr>
        <w:t>áṭimíyún</w:t>
      </w:r>
      <w:r w:rsidRPr="00123218">
        <w:rPr>
          <w:rFonts w:eastAsia="PMingLiU"/>
          <w:lang w:val="en-AU" w:eastAsia="zh-TW"/>
        </w:rPr>
        <w:tab/>
        <w:t>Fatimid (adj. and n.);  al-F</w:t>
      </w:r>
      <w:r w:rsidRPr="00123218">
        <w:rPr>
          <w:lang w:val="en-AU"/>
        </w:rPr>
        <w:t>áṭimíyún,</w:t>
      </w:r>
      <w:r w:rsidRPr="00123218">
        <w:rPr>
          <w:rFonts w:eastAsia="PMingLiU"/>
          <w:lang w:val="en-AU" w:eastAsia="zh-TW"/>
        </w:rPr>
        <w:t xml:space="preserve"> the Fatimids</w:t>
      </w:r>
    </w:p>
    <w:p w14:paraId="4A0576B3" w14:textId="77777777" w:rsidR="00625A5B" w:rsidRPr="008F03E5" w:rsidRDefault="00625A5B" w:rsidP="00597A44">
      <w:pPr>
        <w:pStyle w:val="Translit"/>
      </w:pPr>
      <w:r w:rsidRPr="008F03E5">
        <w:t>Fatiq</w:t>
      </w:r>
      <w:r w:rsidRPr="008F03E5">
        <w:tab/>
        <w:t>Fatíq</w:t>
      </w:r>
      <w:r w:rsidRPr="008F03E5">
        <w:tab/>
        <w:t>unstitched, ripped, ripped open, slit, rent, torn; sharp, shining (dawn), eloquent</w:t>
      </w:r>
    </w:p>
    <w:p w14:paraId="4EA79A00" w14:textId="77777777" w:rsidR="00625A5B" w:rsidRPr="008F03E5" w:rsidRDefault="00625A5B" w:rsidP="00A03676">
      <w:pPr>
        <w:pStyle w:val="Translit"/>
      </w:pPr>
      <w:r w:rsidRPr="008F03E5">
        <w:t>Fatir</w:t>
      </w:r>
      <w:r w:rsidRPr="008F03E5">
        <w:tab/>
        <w:t>Fáṭir</w:t>
      </w:r>
      <w:r w:rsidRPr="008F03E5">
        <w:tab/>
        <w:t>originator or creator.  al-Fáṭir, the Creator (God)</w:t>
      </w:r>
    </w:p>
    <w:p w14:paraId="0ECBDE33" w14:textId="77777777" w:rsidR="00625A5B" w:rsidRPr="008F03E5" w:rsidRDefault="00625A5B" w:rsidP="00805756">
      <w:pPr>
        <w:pStyle w:val="Translit"/>
      </w:pPr>
      <w:r w:rsidRPr="008F03E5">
        <w:t>Fatra (Fitra), Fatarat</w:t>
      </w:r>
      <w:r w:rsidRPr="008F03E5">
        <w:tab/>
        <w:t>Fatra[h or t], Fatarát</w:t>
      </w:r>
      <w:r w:rsidRPr="008F03E5">
        <w:tab/>
        <w:t>lassitude, languor, listlessness, slackness, weakness, feebleness, debility; tepidity, indifference, coolness (of a feeling); also original reality, creating and gap;—(pl.) interval of time, intermission, pause; period, spell, while</w:t>
      </w:r>
      <w:r w:rsidRPr="008F03E5">
        <w:rPr>
          <w:rFonts w:eastAsia="Times New Roman"/>
        </w:rPr>
        <w:t xml:space="preserve">; an interregnum; an interval of time between two apostles or prophets (e.g. </w:t>
      </w:r>
      <w:r w:rsidRPr="008F03E5">
        <w:t>the time between the martyrdom of the Báb and the rise of Bahá’u’lláh)</w:t>
      </w:r>
    </w:p>
    <w:p w14:paraId="3E180918" w14:textId="77777777" w:rsidR="00625A5B" w:rsidRPr="008F03E5" w:rsidRDefault="00625A5B" w:rsidP="009F1310">
      <w:pPr>
        <w:pStyle w:val="Translit"/>
      </w:pPr>
      <w:r w:rsidRPr="008F03E5">
        <w:t>Fattah</w:t>
      </w:r>
      <w:r w:rsidRPr="008F03E5">
        <w:tab/>
        <w:t>Fattáḥ</w:t>
      </w:r>
      <w:r w:rsidRPr="008F03E5">
        <w:tab/>
        <w:t>an opener (of the gates of profit, of sustenance); a conqueror; a judge, an arbiter; one of the names of God (al-Fattáḥ); name of a bird.  Derived from Fataḥa.</w:t>
      </w:r>
    </w:p>
    <w:p w14:paraId="3B21AAE5" w14:textId="77777777" w:rsidR="00625A5B" w:rsidRPr="008F03E5" w:rsidRDefault="00625A5B" w:rsidP="008E31AD">
      <w:pPr>
        <w:pStyle w:val="Translit"/>
      </w:pPr>
      <w:r w:rsidRPr="008F03E5">
        <w:t>Fattuh (Fattouh, Fatou, Fatoo)</w:t>
      </w:r>
      <w:r w:rsidRPr="008F03E5">
        <w:tab/>
        <w:t>Fattúḥ</w:t>
      </w:r>
      <w:r w:rsidRPr="008F03E5">
        <w:tab/>
        <w:t>little conqueror; diminutive of Fattáḥ</w:t>
      </w:r>
    </w:p>
    <w:p w14:paraId="15A5F07B" w14:textId="77777777" w:rsidR="00625A5B" w:rsidRPr="008F03E5" w:rsidRDefault="00625A5B" w:rsidP="00D212BC">
      <w:pPr>
        <w:pStyle w:val="Translit"/>
      </w:pPr>
      <w:r w:rsidRPr="00077779">
        <w:t>Fatwa (Fatva), Fatwin, Fatawa</w:t>
      </w:r>
      <w:r w:rsidRPr="00077779">
        <w:tab/>
        <w:t xml:space="preserve">Fatwá, pl. </w:t>
      </w:r>
      <w:r w:rsidRPr="008F03E5">
        <w:t>Fatáwin, Fatáwá</w:t>
      </w:r>
      <w:r w:rsidRPr="008F03E5">
        <w:tab/>
        <w:t>formal (possibly non-binding) legal opinion (Islamic law), a judgement or sentence made by a recognized authority, a qualified jurist (muftí), in response to a question posed by a private individual, judge or government.  The stature of a muftí, and hence of their fatwá, derives from their reputation for scholarly expertise and upright character.</w:t>
      </w:r>
    </w:p>
    <w:p w14:paraId="1A0757A2" w14:textId="77777777" w:rsidR="00625A5B" w:rsidRPr="008F03E5" w:rsidRDefault="00625A5B" w:rsidP="005E51E1">
      <w:pPr>
        <w:pStyle w:val="Translit"/>
      </w:pPr>
      <w:r w:rsidRPr="008F03E5">
        <w:t>Fawa’id al-Hikmiyyah</w:t>
      </w:r>
      <w:r w:rsidRPr="008F03E5">
        <w:tab/>
        <w:t>al-Fawá‘id al-Ḥikmiyyah</w:t>
      </w:r>
      <w:r w:rsidRPr="008F03E5">
        <w:tab/>
        <w:t xml:space="preserve">(written by </w:t>
      </w:r>
      <w:r w:rsidRPr="008F03E5">
        <w:rPr>
          <w:u w:val="single"/>
        </w:rPr>
        <w:t>Sh</w:t>
      </w:r>
      <w:r w:rsidRPr="008F03E5">
        <w:t>ay</w:t>
      </w:r>
      <w:r w:rsidRPr="008F03E5">
        <w:rPr>
          <w:u w:val="single"/>
        </w:rPr>
        <w:t>kh</w:t>
      </w:r>
      <w:r w:rsidRPr="008F03E5">
        <w:t xml:space="preserve"> Aḥmad-i-Aḥsá’í) observations in wisdom</w:t>
      </w:r>
    </w:p>
    <w:p w14:paraId="26B99721" w14:textId="77777777" w:rsidR="00625A5B" w:rsidRPr="008F03E5" w:rsidRDefault="00625A5B" w:rsidP="00DF72CE">
      <w:pPr>
        <w:pStyle w:val="Translit"/>
      </w:pPr>
      <w:r w:rsidRPr="008F03E5">
        <w:t>Fawj (Fauj, Fouj, Fuj), Afwaj, Afwajan</w:t>
      </w:r>
      <w:r w:rsidRPr="008F03E5">
        <w:tab/>
        <w:t>Fawj, pl. Afwáj</w:t>
      </w:r>
      <w:r w:rsidRPr="008F03E5">
        <w:tab/>
        <w:t>group, crowd, troop, band; detachment; party; shift (in a mine); battalion; regiment.  Afwájan in droves, in crowds.</w:t>
      </w:r>
    </w:p>
    <w:p w14:paraId="38E78616" w14:textId="77777777" w:rsidR="00625A5B" w:rsidRPr="008F03E5" w:rsidRDefault="00625A5B" w:rsidP="00684AA0">
      <w:pPr>
        <w:pStyle w:val="Translit"/>
      </w:pPr>
      <w:r w:rsidRPr="00177273">
        <w:rPr>
          <w:lang w:val="en-AU"/>
        </w:rPr>
        <w:t>Fawj-Dar (Fuzdar)</w:t>
      </w:r>
      <w:r w:rsidRPr="00177273">
        <w:rPr>
          <w:lang w:val="en-AU"/>
        </w:rPr>
        <w:tab/>
        <w:t>Fawj-Dár (“Fúzdár”)</w:t>
      </w:r>
      <w:r w:rsidRPr="00177273">
        <w:rPr>
          <w:lang w:val="en-AU"/>
        </w:rPr>
        <w:tab/>
        <w:t xml:space="preserve">Pers. </w:t>
      </w:r>
      <w:r w:rsidRPr="00077779">
        <w:rPr>
          <w:lang w:val="es-ES_tradnl"/>
        </w:rPr>
        <w:t xml:space="preserve">(Fauj-dar, Fouj-dar, Foj-dar, Fuj-dar, Fauz-dar, Fouz-dar, Foz-dar, Fozdar, etc.).  </w:t>
      </w:r>
      <w:r w:rsidRPr="008F03E5">
        <w:t>A police or military officer; a criminal judge.</w:t>
      </w:r>
    </w:p>
    <w:p w14:paraId="250FBD34" w14:textId="77777777" w:rsidR="00625A5B" w:rsidRDefault="00625A5B" w:rsidP="00656140">
      <w:pPr>
        <w:pStyle w:val="Translit"/>
      </w:pPr>
      <w:r>
        <w:t>Fawq</w:t>
      </w:r>
      <w:r>
        <w:tab/>
        <w:t>F</w:t>
      </w:r>
      <w:r w:rsidRPr="00162440">
        <w:t>a</w:t>
      </w:r>
      <w:r>
        <w:t>w</w:t>
      </w:r>
      <w:r w:rsidRPr="00162440">
        <w:t>q</w:t>
      </w:r>
      <w:r>
        <w:tab/>
        <w:t>b</w:t>
      </w:r>
      <w:r w:rsidRPr="00AF4D34">
        <w:t>eing above, superior to (one</w:t>
      </w:r>
      <w:r>
        <w:t>’</w:t>
      </w:r>
      <w:r w:rsidRPr="00AF4D34">
        <w:t>s fellows); superiority, excellence; the top, upper part; above, more than, beyond; besides, except</w:t>
      </w:r>
      <w:r>
        <w:t xml:space="preserve">.  az fawq </w:t>
      </w:r>
      <w:r w:rsidRPr="007827B4">
        <w:rPr>
          <w:rFonts w:eastAsia="Times New Roman"/>
        </w:rPr>
        <w:t>ámadan</w:t>
      </w:r>
      <w:r>
        <w:rPr>
          <w:rFonts w:eastAsia="Times New Roman"/>
        </w:rPr>
        <w:t>, Bahá’í expression for “come from on high” (i.e. from Haifa, or Shoghi Effendi, etc.)</w:t>
      </w:r>
    </w:p>
    <w:p w14:paraId="67DA4B1B" w14:textId="77777777" w:rsidR="00625A5B" w:rsidRPr="008F03E5" w:rsidRDefault="00625A5B" w:rsidP="00AD1F1B">
      <w:pPr>
        <w:pStyle w:val="Translit"/>
      </w:pPr>
      <w:r w:rsidRPr="008F03E5">
        <w:t>Fawwar</w:t>
      </w:r>
      <w:r w:rsidRPr="008F03E5">
        <w:tab/>
        <w:t>Fawwár</w:t>
      </w:r>
      <w:r w:rsidRPr="008F03E5">
        <w:tab/>
        <w:t>boiling up, ebullient; effervescent, fizzing; bubbling (spring, etc.); foaming, frothy; hot-headed, irascible</w:t>
      </w:r>
    </w:p>
    <w:p w14:paraId="3C803522" w14:textId="77777777" w:rsidR="00625A5B" w:rsidRPr="008F03E5" w:rsidRDefault="00625A5B" w:rsidP="00AD1F1B">
      <w:pPr>
        <w:pStyle w:val="Translit"/>
      </w:pPr>
      <w:r w:rsidRPr="008F03E5">
        <w:t>Fawz (Fauz, Faouz)</w:t>
      </w:r>
      <w:r w:rsidRPr="008F03E5">
        <w:tab/>
        <w:t>Fawz</w:t>
      </w:r>
      <w:r w:rsidRPr="008F03E5">
        <w:tab/>
        <w:t>success, triumph, victory; obtainment, attainment, achievement, accomplishment; escape</w:t>
      </w:r>
    </w:p>
    <w:p w14:paraId="1D832987" w14:textId="77777777" w:rsidR="00625A5B" w:rsidRPr="008F03E5" w:rsidRDefault="00625A5B" w:rsidP="007235CF">
      <w:pPr>
        <w:pStyle w:val="Translit"/>
      </w:pPr>
      <w:r w:rsidRPr="008F03E5">
        <w:t>Fawzi (Fauzi, Faouzi)</w:t>
      </w:r>
      <w:r w:rsidRPr="008F03E5">
        <w:tab/>
        <w:t>Fawzí</w:t>
      </w:r>
      <w:r w:rsidRPr="008F03E5">
        <w:tab/>
        <w:t>triumphal, triumphant</w:t>
      </w:r>
    </w:p>
    <w:p w14:paraId="4BDCE128" w14:textId="77777777" w:rsidR="00625A5B" w:rsidRPr="008F03E5" w:rsidRDefault="00625A5B" w:rsidP="00926621">
      <w:pPr>
        <w:pStyle w:val="Translit"/>
      </w:pPr>
      <w:r w:rsidRPr="008F03E5">
        <w:t>Fayd (Faid, Faiz), Fayz, Fuyud, Fiyud</w:t>
      </w:r>
      <w:r w:rsidRPr="008F03E5">
        <w:tab/>
        <w:t>Fayḍ, Pers. Fayẓ, pl. Fuyúḍ, Fiyúḍ</w:t>
      </w:r>
      <w:r w:rsidRPr="008F03E5">
        <w:tab/>
        <w:t>flood, inundation, deluge; emanation; superabundance, plenty, copiousness, abundance;—pl. stream.—pl. Fayúdát (Fayudat) emanations, bounties.</w:t>
      </w:r>
    </w:p>
    <w:p w14:paraId="73B68F73" w14:textId="77777777" w:rsidR="00625A5B" w:rsidRPr="008F03E5" w:rsidRDefault="00625A5B" w:rsidP="00BF037A">
      <w:pPr>
        <w:pStyle w:val="Translit"/>
      </w:pPr>
      <w:r w:rsidRPr="00D45A23">
        <w:rPr>
          <w:lang w:val="it-IT"/>
        </w:rPr>
        <w:t>Faydi (Faidi, Faizi), Fayzi</w:t>
      </w:r>
      <w:r w:rsidRPr="00D45A23">
        <w:rPr>
          <w:lang w:val="it-IT"/>
        </w:rPr>
        <w:tab/>
        <w:t xml:space="preserve">Fayḍí, Pers. </w:t>
      </w:r>
      <w:r w:rsidRPr="008F03E5">
        <w:t>Fayẓí</w:t>
      </w:r>
      <w:r w:rsidRPr="008F03E5">
        <w:tab/>
        <w:t>e.g. Afnán Fayḍí</w:t>
      </w:r>
    </w:p>
    <w:p w14:paraId="3DAA1967" w14:textId="77777777" w:rsidR="00625A5B" w:rsidRPr="008F03E5" w:rsidRDefault="00625A5B" w:rsidP="007A3487">
      <w:pPr>
        <w:pStyle w:val="Translit"/>
      </w:pPr>
      <w:r w:rsidRPr="008F03E5">
        <w:t>Fayd-i-Aqdas</w:t>
      </w:r>
      <w:r w:rsidRPr="008F03E5">
        <w:tab/>
        <w:t>Fayḍ-i-Aqdas</w:t>
      </w:r>
      <w:r w:rsidRPr="008F03E5">
        <w:tab/>
        <w:t>(“most holy outpouring”)  Signifies revelation in the realm of absolute divine unity itself.</w:t>
      </w:r>
    </w:p>
    <w:p w14:paraId="419D4A2D" w14:textId="77777777" w:rsidR="00625A5B" w:rsidRPr="008F03E5" w:rsidRDefault="00625A5B" w:rsidP="00280E14">
      <w:pPr>
        <w:pStyle w:val="Translit"/>
      </w:pPr>
      <w:r w:rsidRPr="008F03E5">
        <w:t>Fayd-i-Muqaddas</w:t>
      </w:r>
      <w:r w:rsidRPr="008F03E5">
        <w:tab/>
        <w:t>Fayḍ-i-Muqaddas</w:t>
      </w:r>
      <w:r w:rsidRPr="008F03E5">
        <w:tab/>
        <w:t xml:space="preserve">(“holy outpouring”) and “most holy outpouring” (fayḍ-i-aqdas), as symbols of differential stages of divine revelation (as discussed in </w:t>
      </w:r>
      <w:r w:rsidRPr="008F03E5">
        <w:rPr>
          <w:i/>
          <w:iCs/>
        </w:rPr>
        <w:t>The Kitáb-i-Íqán</w:t>
      </w:r>
      <w:r w:rsidRPr="008F03E5">
        <w:t xml:space="preserve">), may also be inferred from the title of </w:t>
      </w:r>
      <w:r w:rsidRPr="008F03E5">
        <w:rPr>
          <w:i/>
          <w:iCs/>
        </w:rPr>
        <w:t>The Kitáb-i-Aqdas</w:t>
      </w:r>
      <w:r w:rsidRPr="008F03E5">
        <w:t>.  Fayḍ-i-Muqaddas signifies revelation and manifestation of the divine in the realm of creation.  See Fayḍ.</w:t>
      </w:r>
    </w:p>
    <w:p w14:paraId="4A337E4F" w14:textId="77777777" w:rsidR="00625A5B" w:rsidRPr="008F03E5" w:rsidRDefault="00625A5B" w:rsidP="008F691A">
      <w:pPr>
        <w:pStyle w:val="Translit"/>
      </w:pPr>
      <w:r w:rsidRPr="008F03E5">
        <w:t>Faydu’llah (Fazu’llah)</w:t>
      </w:r>
      <w:r w:rsidRPr="008F03E5">
        <w:tab/>
        <w:t>Fayḍu’lláh</w:t>
      </w:r>
      <w:r w:rsidRPr="008F03E5">
        <w:tab/>
        <w:t>abundance from God</w:t>
      </w:r>
    </w:p>
    <w:p w14:paraId="34816DFF" w14:textId="77777777" w:rsidR="00625A5B" w:rsidRPr="008F03E5" w:rsidRDefault="00625A5B" w:rsidP="00D60481">
      <w:pPr>
        <w:pStyle w:val="Translit"/>
      </w:pPr>
      <w:r w:rsidRPr="008F03E5">
        <w:t>Faylasuf (Failasuf), Falasifa</w:t>
      </w:r>
      <w:r w:rsidRPr="008F03E5">
        <w:tab/>
        <w:t>Faylasúf, pl. Falásifa</w:t>
      </w:r>
      <w:r w:rsidRPr="008F03E5">
        <w:tab/>
        <w:t>philosopher</w:t>
      </w:r>
    </w:p>
    <w:p w14:paraId="6465AC8C" w14:textId="77777777" w:rsidR="00625A5B" w:rsidRPr="008F03E5" w:rsidRDefault="00625A5B" w:rsidP="00DB4420">
      <w:pPr>
        <w:pStyle w:val="Translit"/>
      </w:pPr>
      <w:r w:rsidRPr="008F03E5">
        <w:t>Fayruz (Fairuz), Fayruzaj (Fairuzaj)</w:t>
      </w:r>
      <w:r w:rsidRPr="008F03E5">
        <w:tab/>
        <w:t>Fayrúz and Fayrúzaj</w:t>
      </w:r>
      <w:r w:rsidRPr="008F03E5">
        <w:tab/>
        <w:t>turquoise.  In Egypt, the Sinai Peninsula (a modern name) is called Arḍ al-Fayrúz (</w:t>
      </w:r>
      <w:r>
        <w:t xml:space="preserve">Arabic) or in </w:t>
      </w:r>
      <w:r w:rsidRPr="008F03E5">
        <w:t>ancient Egyptian Ta Mefkat</w:t>
      </w:r>
      <w:r>
        <w:t xml:space="preserve"> (both meaning </w:t>
      </w:r>
      <w:r w:rsidRPr="008F03E5">
        <w:t>“the land of</w:t>
      </w:r>
      <w:r w:rsidRPr="00DB4420">
        <w:t xml:space="preserve"> turquoise”)</w:t>
      </w:r>
      <w:r>
        <w:t>,</w:t>
      </w:r>
      <w:r w:rsidRPr="00DB4420">
        <w:t xml:space="preserve"> or Khetiu Mafkat (“ladders of turquoise”)</w:t>
      </w:r>
      <w:r>
        <w:t>.</w:t>
      </w:r>
    </w:p>
    <w:p w14:paraId="2B9959B1" w14:textId="77777777" w:rsidR="00625A5B" w:rsidRPr="008F03E5" w:rsidRDefault="00625A5B" w:rsidP="000E58D7">
      <w:pPr>
        <w:pStyle w:val="Translit"/>
        <w:rPr>
          <w:rFonts w:eastAsia="PMingLiU"/>
          <w:lang w:eastAsia="zh-TW"/>
        </w:rPr>
      </w:pPr>
      <w:r w:rsidRPr="008F03E5">
        <w:t>Fayruzabadi (Fairuzabadi, Firuz Abadi)</w:t>
      </w:r>
      <w:r w:rsidRPr="008F03E5">
        <w:tab/>
        <w:t>al-Fayrúzábádí</w:t>
      </w:r>
      <w:r w:rsidRPr="008F03E5">
        <w:tab/>
        <w:t>Muḥammad ibn Ya‘qúb al-Fayrúzábádí (1329–1414) was a lexicographer and the compiler of a comprehensive Arabic dictionary, al-Qámús, that was one of the most widely used for nearly 500 years</w:t>
      </w:r>
    </w:p>
    <w:p w14:paraId="3512A52E" w14:textId="77777777" w:rsidR="00625A5B" w:rsidRPr="008F03E5" w:rsidRDefault="00625A5B" w:rsidP="008F691A">
      <w:pPr>
        <w:pStyle w:val="Translit"/>
      </w:pPr>
      <w:r w:rsidRPr="008F03E5">
        <w:t>Faysal (Faizal)</w:t>
      </w:r>
      <w:r w:rsidRPr="008F03E5">
        <w:tab/>
        <w:t>Fayṣal</w:t>
      </w:r>
      <w:r w:rsidRPr="008F03E5">
        <w:tab/>
        <w:t>decisive criterion; arbitrator, arbiter.  Fayṣal bin ‘Abdu’l-Ázíz, King of Saudi Arabia (1964 to 1975).</w:t>
      </w:r>
    </w:p>
    <w:p w14:paraId="2757B34C" w14:textId="77777777" w:rsidR="00625A5B" w:rsidRPr="008F03E5" w:rsidRDefault="00625A5B" w:rsidP="00BF037A">
      <w:pPr>
        <w:pStyle w:val="Translit"/>
      </w:pPr>
      <w:r w:rsidRPr="008F03E5">
        <w:t>Fayyad</w:t>
      </w:r>
      <w:r w:rsidRPr="008F03E5">
        <w:tab/>
        <w:t>Fayyáḍ</w:t>
      </w:r>
      <w:r w:rsidRPr="008F03E5">
        <w:tab/>
        <w:t>overflowing, effusive, exuberant; elaborate, exhaustive (speech); munificent, bountiful, liberal, generous</w:t>
      </w:r>
    </w:p>
    <w:p w14:paraId="6A863F6D" w14:textId="77777777" w:rsidR="00625A5B" w:rsidRPr="008F03E5" w:rsidRDefault="00625A5B" w:rsidP="001E2D6D">
      <w:pPr>
        <w:pStyle w:val="Translit"/>
      </w:pPr>
      <w:r w:rsidRPr="008F03E5">
        <w:t>Fi Khalali and Fi Khilali</w:t>
      </w:r>
      <w:r w:rsidRPr="008F03E5">
        <w:tab/>
        <w:t xml:space="preserve">Fí </w:t>
      </w:r>
      <w:r w:rsidRPr="008F03E5">
        <w:rPr>
          <w:u w:val="single"/>
        </w:rPr>
        <w:t>Kh</w:t>
      </w:r>
      <w:r w:rsidRPr="008F03E5">
        <w:t xml:space="preserve">alali and Fí </w:t>
      </w:r>
      <w:r w:rsidRPr="008F03E5">
        <w:rPr>
          <w:u w:val="single"/>
        </w:rPr>
        <w:t>Kh</w:t>
      </w:r>
      <w:r w:rsidRPr="008F03E5">
        <w:t>iláli</w:t>
      </w:r>
      <w:r w:rsidRPr="008F03E5">
        <w:tab/>
        <w:t>during; in the course of, within, in a given period of</w:t>
      </w:r>
    </w:p>
    <w:p w14:paraId="3B3C2A1D" w14:textId="77777777" w:rsidR="00625A5B" w:rsidRPr="008F03E5" w:rsidRDefault="00625A5B" w:rsidP="00DA0DD9">
      <w:pPr>
        <w:pStyle w:val="Translit"/>
        <w:rPr>
          <w:rFonts w:eastAsia="PMingLiU"/>
          <w:lang w:eastAsia="zh-TW"/>
        </w:rPr>
      </w:pPr>
      <w:r w:rsidRPr="008F03E5">
        <w:rPr>
          <w:rFonts w:eastAsia="PMingLiU"/>
          <w:lang w:eastAsia="zh-TW"/>
        </w:rPr>
        <w:t>Fi</w:t>
      </w:r>
      <w:r w:rsidRPr="008F03E5">
        <w:tab/>
      </w:r>
      <w:r w:rsidRPr="008F03E5">
        <w:rPr>
          <w:rFonts w:eastAsia="PMingLiU"/>
          <w:lang w:eastAsia="zh-TW"/>
        </w:rPr>
        <w:t>Fí</w:t>
      </w:r>
      <w:r w:rsidRPr="008F03E5">
        <w:tab/>
        <w:t>(preposition) in; at; on; near, by; within, during; among, in the company of, with; about, on; concerning, regarding, with reference to, with regard or respect to, as to dealing with, treating of, consisting in (in book titles); for the sake of, on behalf of, because of, for; according to; in proportion to.</w:t>
      </w:r>
    </w:p>
    <w:p w14:paraId="0E287B7F" w14:textId="77777777" w:rsidR="00625A5B" w:rsidRPr="008F03E5" w:rsidRDefault="00625A5B" w:rsidP="00DE71FD">
      <w:pPr>
        <w:pStyle w:val="Translit"/>
      </w:pPr>
      <w:r w:rsidRPr="008F03E5">
        <w:t>Fi’l</w:t>
      </w:r>
      <w:r w:rsidRPr="008F03E5">
        <w:tab/>
        <w:t>Fi‘l, pl. Af</w:t>
      </w:r>
      <w:r w:rsidRPr="008F03E5">
        <w:rPr>
          <w:sz w:val="16"/>
          <w:szCs w:val="16"/>
        </w:rPr>
        <w:t>‘</w:t>
      </w:r>
      <w:r w:rsidRPr="008F03E5">
        <w:t>ál, Afá‘íl</w:t>
      </w:r>
      <w:r w:rsidRPr="008F03E5">
        <w:tab/>
        <w:t>activity, doing, work, action, performance; function;—(pl. af‘ál, fi‘ál) deed, act, action; effect, impact;—(pl. af‘ál) verb (grammar);—(pl. afá‘íl) great deeds, exploits, feats; machinations</w:t>
      </w:r>
    </w:p>
    <w:p w14:paraId="42166C43" w14:textId="77777777" w:rsidR="00625A5B" w:rsidRPr="008F03E5" w:rsidRDefault="00625A5B" w:rsidP="00B95970">
      <w:pPr>
        <w:pStyle w:val="Translit"/>
        <w:rPr>
          <w:rFonts w:eastAsia="PMingLiU"/>
          <w:lang w:eastAsia="zh-TW"/>
        </w:rPr>
      </w:pPr>
      <w:r w:rsidRPr="008F03E5">
        <w:rPr>
          <w:rFonts w:eastAsia="PMingLiU"/>
          <w:lang w:eastAsia="zh-TW"/>
        </w:rPr>
        <w:t>Fi’s-Suluk</w:t>
      </w:r>
      <w:r w:rsidRPr="008F03E5">
        <w:rPr>
          <w:rFonts w:eastAsia="PMingLiU"/>
          <w:lang w:eastAsia="zh-TW"/>
        </w:rPr>
        <w:tab/>
        <w:t>Fi’s-Sul</w:t>
      </w:r>
      <w:r w:rsidRPr="008F03E5">
        <w:t>ú</w:t>
      </w:r>
      <w:r w:rsidRPr="008F03E5">
        <w:rPr>
          <w:rFonts w:eastAsia="PMingLiU"/>
          <w:lang w:eastAsia="zh-TW"/>
        </w:rPr>
        <w:t xml:space="preserve">k </w:t>
      </w:r>
      <w:r w:rsidRPr="008F03E5">
        <w:rPr>
          <w:rFonts w:eastAsia="PMingLiU"/>
          <w:sz w:val="16"/>
          <w:szCs w:val="16"/>
          <w:lang w:eastAsia="zh-TW"/>
        </w:rPr>
        <w:t>I</w:t>
      </w:r>
      <w:r w:rsidRPr="008F03E5">
        <w:rPr>
          <w:rFonts w:eastAsia="PMingLiU"/>
          <w:lang w:eastAsia="zh-TW"/>
        </w:rPr>
        <w:t xml:space="preserve"> and </w:t>
      </w:r>
      <w:r w:rsidRPr="008F03E5">
        <w:rPr>
          <w:rFonts w:eastAsia="PMingLiU"/>
          <w:sz w:val="16"/>
          <w:szCs w:val="16"/>
          <w:lang w:eastAsia="zh-TW"/>
        </w:rPr>
        <w:t>II</w:t>
      </w:r>
      <w:r w:rsidRPr="008F03E5">
        <w:rPr>
          <w:rFonts w:eastAsia="PMingLiU"/>
          <w:lang w:eastAsia="zh-TW"/>
        </w:rPr>
        <w:tab/>
        <w:t xml:space="preserve">“On the Virtuous Journey” </w:t>
      </w:r>
      <w:r w:rsidRPr="008F03E5">
        <w:t>by the Báb</w:t>
      </w:r>
      <w:r w:rsidRPr="008F03E5">
        <w:rPr>
          <w:rFonts w:eastAsia="PMingLiU"/>
          <w:lang w:eastAsia="zh-TW"/>
        </w:rPr>
        <w:t xml:space="preserve"> [elided form of:  f</w:t>
      </w:r>
      <w:r w:rsidRPr="008F03E5">
        <w:t>í as-Sulúk]</w:t>
      </w:r>
    </w:p>
    <w:p w14:paraId="714417DC" w14:textId="77777777" w:rsidR="00625A5B" w:rsidRPr="008F03E5" w:rsidRDefault="00625A5B" w:rsidP="00B56203">
      <w:pPr>
        <w:pStyle w:val="Translit"/>
      </w:pPr>
      <w:r w:rsidRPr="008F03E5">
        <w:t>Fida’</w:t>
      </w:r>
      <w:r w:rsidRPr="008F03E5">
        <w:tab/>
        <w:t>Fidá’</w:t>
      </w:r>
      <w:r w:rsidRPr="008F03E5">
        <w:tab/>
        <w:t>redemption, ransoming; ransom; price (one has to pay for something), sacrifice (one makes for something).</w:t>
      </w:r>
    </w:p>
    <w:p w14:paraId="5C5444BD" w14:textId="77777777" w:rsidR="00625A5B" w:rsidRPr="008F03E5" w:rsidRDefault="00625A5B" w:rsidP="00995363">
      <w:pPr>
        <w:pStyle w:val="Translit"/>
      </w:pPr>
      <w:r w:rsidRPr="008F03E5">
        <w:t>Fida’i, Fida’iyan</w:t>
      </w:r>
      <w:r w:rsidRPr="008F03E5">
        <w:tab/>
        <w:t>Fidá’í, pl. Fidá’iyán</w:t>
      </w:r>
      <w:r w:rsidRPr="008F03E5">
        <w:tab/>
        <w:t>one who sacrifices himself (especially for his country); especially the plural.  Fadá’íyán-i-Islám:  “Fedayeen of Islam” or “Devotees of Islam” (literally “Self-Sacrificers of Islam”) is a Shi‘a fundamentalist group in Iran with a strong activist political orientation.  An alleged terrorist organization that sought to purify Islam in Iran by assassinating ‘corrupting individuals’.</w:t>
      </w:r>
    </w:p>
    <w:p w14:paraId="27DDDD34" w14:textId="77777777" w:rsidR="00625A5B" w:rsidRPr="008F03E5" w:rsidRDefault="00625A5B" w:rsidP="00DA0DD9">
      <w:pPr>
        <w:pStyle w:val="Translit"/>
      </w:pPr>
      <w:r w:rsidRPr="008F03E5">
        <w:t>Fidal</w:t>
      </w:r>
      <w:r w:rsidRPr="008F03E5">
        <w:tab/>
        <w:t>Fiḍál</w:t>
      </w:r>
      <w:r w:rsidRPr="008F03E5">
        <w:tab/>
        <w:t>grace, favour.  Name given to Tuesday in Badí‘ calendar.  See Faḍíl</w:t>
      </w:r>
    </w:p>
    <w:p w14:paraId="057BE5DE" w14:textId="77777777" w:rsidR="00625A5B" w:rsidRPr="008F03E5" w:rsidRDefault="00625A5B" w:rsidP="000A119A">
      <w:pPr>
        <w:pStyle w:val="Translit"/>
      </w:pPr>
      <w:r w:rsidRPr="007F0C1F">
        <w:rPr>
          <w:lang w:val="en-AU"/>
        </w:rPr>
        <w:t>Fidda, Fiddih (Fizza)</w:t>
      </w:r>
      <w:r w:rsidRPr="007F0C1F">
        <w:rPr>
          <w:lang w:val="en-AU"/>
        </w:rPr>
        <w:tab/>
        <w:t xml:space="preserve">Fiḍḍa[h or t] (Pers. fem. </w:t>
      </w:r>
      <w:r w:rsidRPr="008F03E5">
        <w:t>Fiḍḍih)</w:t>
      </w:r>
      <w:r w:rsidRPr="008F03E5">
        <w:tab/>
        <w:t>silver.  Name of the maid of the wife of the Báb.  Pers. may be written as Fiẓẓa.</w:t>
      </w:r>
    </w:p>
    <w:p w14:paraId="7D2E1E2E" w14:textId="77777777" w:rsidR="00625A5B" w:rsidRPr="008F03E5" w:rsidRDefault="00625A5B" w:rsidP="00DD2CBE">
      <w:pPr>
        <w:pStyle w:val="Translit"/>
      </w:pPr>
      <w:r w:rsidRPr="008F03E5">
        <w:t>Fidya, Fidayat, Fidan</w:t>
      </w:r>
      <w:r w:rsidRPr="008F03E5">
        <w:tab/>
        <w:t>Fidya[h</w:t>
      </w:r>
      <w:r>
        <w:t xml:space="preserve"> or t</w:t>
      </w:r>
      <w:r w:rsidRPr="008F03E5">
        <w:t>], pl. Fidayát, Fidan</w:t>
      </w:r>
      <w:r w:rsidRPr="008F03E5">
        <w:tab/>
        <w:t>ransom; redemption (from the omission of certain religious duties, by a material donation or a ritual act</w:t>
      </w:r>
      <w:r>
        <w:t>—</w:t>
      </w:r>
      <w:r w:rsidRPr="008F03E5">
        <w:t>Islamic law)</w:t>
      </w:r>
    </w:p>
    <w:p w14:paraId="6D48D52D" w14:textId="77777777" w:rsidR="00625A5B" w:rsidRPr="008F03E5" w:rsidRDefault="00625A5B" w:rsidP="00227E60">
      <w:pPr>
        <w:pStyle w:val="Translit"/>
      </w:pPr>
      <w:r w:rsidRPr="008F03E5">
        <w:t>Fihris, Fihrist, Faharis</w:t>
      </w:r>
      <w:r w:rsidRPr="008F03E5">
        <w:tab/>
        <w:t>Fihris and Fihrist, pl. Faháris</w:t>
      </w:r>
      <w:r w:rsidRPr="008F03E5">
        <w:tab/>
        <w:t xml:space="preserve">table of contents, index; catalogue; list.  </w:t>
      </w:r>
      <w:r w:rsidRPr="008F03E5">
        <w:rPr>
          <w:i/>
          <w:iCs/>
        </w:rPr>
        <w:t>al-Fihrist</w:t>
      </w:r>
      <w:r w:rsidRPr="008F03E5">
        <w:t xml:space="preserve"> or </w:t>
      </w:r>
      <w:r w:rsidRPr="008F03E5">
        <w:rPr>
          <w:i/>
          <w:iCs/>
        </w:rPr>
        <w:t>Kitáb al-Fihrist</w:t>
      </w:r>
      <w:r w:rsidRPr="008F03E5">
        <w:t xml:space="preserve"> by Muḥammad ibn Isḥáq.  See Isḥáq.</w:t>
      </w:r>
    </w:p>
    <w:p w14:paraId="1E2712F7" w14:textId="77777777" w:rsidR="00625A5B" w:rsidRPr="008F03E5" w:rsidRDefault="00625A5B" w:rsidP="00900A82">
      <w:pPr>
        <w:pStyle w:val="Translit"/>
      </w:pPr>
      <w:r w:rsidRPr="008F03E5">
        <w:t>Fikr</w:t>
      </w:r>
      <w:r w:rsidRPr="008F03E5">
        <w:tab/>
        <w:t>Fikr</w:t>
      </w:r>
      <w:r w:rsidRPr="008F03E5">
        <w:tab/>
        <w:t>meditation or reflection</w:t>
      </w:r>
    </w:p>
    <w:p w14:paraId="5C0F4BB2" w14:textId="77777777" w:rsidR="00625A5B" w:rsidRPr="008F03E5" w:rsidRDefault="00625A5B" w:rsidP="00F25663">
      <w:pPr>
        <w:pStyle w:val="Translit"/>
      </w:pPr>
      <w:r w:rsidRPr="008F03E5">
        <w:t>Fikum</w:t>
      </w:r>
      <w:r w:rsidRPr="008F03E5">
        <w:tab/>
        <w:t>Fíkum</w:t>
      </w:r>
      <w:r w:rsidRPr="008F03E5">
        <w:tab/>
        <w:t>Fí + kum, on you</w:t>
      </w:r>
    </w:p>
    <w:p w14:paraId="51D7CDD2" w14:textId="77777777" w:rsidR="00625A5B" w:rsidRPr="008F03E5" w:rsidRDefault="00625A5B" w:rsidP="002D26FB">
      <w:pPr>
        <w:pStyle w:val="Translit"/>
      </w:pPr>
      <w:r w:rsidRPr="008F03E5">
        <w:t>Fil, Fiyala, Fuyul, Afyal</w:t>
      </w:r>
      <w:r w:rsidRPr="008F03E5">
        <w:tab/>
        <w:t>Fíl, pl. Fiyala, Fuyúl, Afyál</w:t>
      </w:r>
      <w:r w:rsidRPr="008F03E5">
        <w:tab/>
        <w:t>(ivory) elephant; bishop (chess)</w:t>
      </w:r>
    </w:p>
    <w:p w14:paraId="5EFFC92E" w14:textId="77777777" w:rsidR="00625A5B" w:rsidRPr="008F03E5" w:rsidRDefault="00625A5B" w:rsidP="00DC46CC">
      <w:pPr>
        <w:pStyle w:val="Translit"/>
      </w:pPr>
      <w:r w:rsidRPr="008F03E5">
        <w:t>Fin</w:t>
      </w:r>
      <w:r w:rsidRPr="008F03E5">
        <w:tab/>
        <w:t>Fín</w:t>
      </w:r>
      <w:r w:rsidRPr="008F03E5">
        <w:tab/>
        <w:t>Pers. city (27.632331, 55.886223) and capital of Fín District in southern Iran.  Ba</w:t>
      </w:r>
      <w:r w:rsidRPr="008F03E5">
        <w:rPr>
          <w:u w:val="single"/>
        </w:rPr>
        <w:t>gh</w:t>
      </w:r>
      <w:r w:rsidRPr="008F03E5">
        <w:t>-i-Fín, a very old recreational garden (33.946123, 51.372367) with many water features fed by a spring, in southwestern Ká</w:t>
      </w:r>
      <w:r w:rsidRPr="008F03E5">
        <w:rPr>
          <w:u w:val="single"/>
        </w:rPr>
        <w:t>sh</w:t>
      </w:r>
      <w:r w:rsidRPr="008F03E5">
        <w:t>án, Írán.  To the east is the former village of Fín-i-Buzurg (33.953073, 51.403053).</w:t>
      </w:r>
    </w:p>
    <w:p w14:paraId="15D5C607" w14:textId="77777777" w:rsidR="00625A5B" w:rsidRPr="008F03E5" w:rsidRDefault="00625A5B" w:rsidP="00B8179F">
      <w:pPr>
        <w:pStyle w:val="Translit"/>
      </w:pPr>
      <w:r w:rsidRPr="008F03E5">
        <w:t>Findarisk, Galand, Garland</w:t>
      </w:r>
      <w:r w:rsidRPr="008F03E5">
        <w:tab/>
        <w:t>Findarisk or Garland</w:t>
      </w:r>
      <w:r w:rsidRPr="008F03E5">
        <w:tab/>
        <w:t>Pers. a small village (37.032943, 55.030977) west of the small city of Daland (60 km NE of Gúrgán and 12 km SW of Ázád</w:t>
      </w:r>
      <w:r w:rsidRPr="008F03E5">
        <w:rPr>
          <w:u w:val="single"/>
        </w:rPr>
        <w:t>sh</w:t>
      </w:r>
      <w:r w:rsidRPr="008F03E5">
        <w:t>ahr) in Golestan Province, Iran.</w:t>
      </w:r>
    </w:p>
    <w:p w14:paraId="451AA5A0" w14:textId="77777777" w:rsidR="00625A5B" w:rsidRPr="008F03E5" w:rsidRDefault="00625A5B" w:rsidP="00D24AD2">
      <w:pPr>
        <w:pStyle w:val="Translit"/>
      </w:pPr>
      <w:r w:rsidRPr="008F03E5">
        <w:t>Findariski</w:t>
      </w:r>
      <w:r w:rsidRPr="008F03E5">
        <w:tab/>
        <w:t>Findariskí</w:t>
      </w:r>
      <w:r w:rsidRPr="008F03E5">
        <w:tab/>
        <w:t>of or from Findirisk.  Abu’l-Qásim Findiriskí, known as Mír Findiriskí (b. ~1562–d. ~1640), was a philosopher and a scholar of Iṣfahán in the Safavid period.</w:t>
      </w:r>
    </w:p>
    <w:p w14:paraId="2A50D5F9" w14:textId="77777777" w:rsidR="00625A5B" w:rsidRPr="008F03E5" w:rsidRDefault="00625A5B" w:rsidP="00CA7348">
      <w:pPr>
        <w:pStyle w:val="Translit"/>
      </w:pPr>
      <w:r w:rsidRPr="008F03E5">
        <w:t>Findik</w:t>
      </w:r>
      <w:r w:rsidRPr="008F03E5">
        <w:tab/>
        <w:t>Findík</w:t>
      </w:r>
      <w:r w:rsidRPr="008F03E5">
        <w:tab/>
        <w:t>Turkish “hazelnut”</w:t>
      </w:r>
    </w:p>
    <w:p w14:paraId="7A2D8C0B" w14:textId="77777777" w:rsidR="00625A5B" w:rsidRPr="008F03E5" w:rsidRDefault="00625A5B" w:rsidP="00EE5A64">
      <w:pPr>
        <w:pStyle w:val="Translit"/>
      </w:pPr>
      <w:r w:rsidRPr="008F03E5">
        <w:t>Fiqh</w:t>
      </w:r>
      <w:r w:rsidRPr="008F03E5">
        <w:tab/>
        <w:t>Fiqh</w:t>
      </w:r>
      <w:r w:rsidRPr="008F03E5">
        <w:tab/>
        <w:t>understanding, comprehension; knowledge.  Islamic jurisprudence</w:t>
      </w:r>
    </w:p>
    <w:p w14:paraId="406272FD" w14:textId="77777777" w:rsidR="00625A5B" w:rsidRPr="008F03E5" w:rsidRDefault="00625A5B" w:rsidP="00421F22">
      <w:pPr>
        <w:pStyle w:val="Translit"/>
      </w:pPr>
      <w:r w:rsidRPr="008F03E5">
        <w:t>Fir’awn, Fara’ina</w:t>
      </w:r>
      <w:r w:rsidRPr="008F03E5">
        <w:tab/>
        <w:t>Fir‘awn, pl. Fará‘ina[h or t]</w:t>
      </w:r>
      <w:r w:rsidRPr="008F03E5">
        <w:tab/>
        <w:t>Pharaoh</w:t>
      </w:r>
    </w:p>
    <w:p w14:paraId="1BE22A74" w14:textId="77777777" w:rsidR="00625A5B" w:rsidRPr="008F03E5" w:rsidRDefault="00625A5B" w:rsidP="00163BCB">
      <w:pPr>
        <w:pStyle w:val="Translit"/>
      </w:pPr>
      <w:r w:rsidRPr="008F03E5">
        <w:rPr>
          <w:rFonts w:eastAsia="PMingLiU"/>
          <w:lang w:eastAsia="zh-TW"/>
        </w:rPr>
        <w:t>Firaydan (Faridan, Feredan)</w:t>
      </w:r>
      <w:r w:rsidRPr="008F03E5">
        <w:tab/>
        <w:t xml:space="preserve">Firaydán (alt. pronunciation </w:t>
      </w:r>
      <w:r w:rsidRPr="008F03E5">
        <w:rPr>
          <w:rFonts w:eastAsia="PMingLiU"/>
          <w:lang w:eastAsia="zh-TW"/>
        </w:rPr>
        <w:t>Farídán)</w:t>
      </w:r>
      <w:r w:rsidRPr="008F03E5">
        <w:tab/>
        <w:t>Pers. county in Iṣfahán Province.  The capital of the county is Dárán (or Dárún).</w:t>
      </w:r>
    </w:p>
    <w:p w14:paraId="4E83761D" w14:textId="77777777" w:rsidR="00625A5B" w:rsidRPr="00077779" w:rsidRDefault="00625A5B" w:rsidP="002D26FB">
      <w:pPr>
        <w:pStyle w:val="Translit"/>
        <w:rPr>
          <w:rFonts w:eastAsia="PMingLiU"/>
          <w:lang w:val="it-IT" w:eastAsia="zh-TW"/>
        </w:rPr>
      </w:pPr>
      <w:r w:rsidRPr="00077779">
        <w:rPr>
          <w:rFonts w:eastAsia="PMingLiU"/>
          <w:lang w:val="it-IT" w:eastAsia="zh-TW"/>
        </w:rPr>
        <w:t>Firaydani (Faridani, Feredani)</w:t>
      </w:r>
      <w:r w:rsidRPr="00077779">
        <w:rPr>
          <w:lang w:val="it-IT"/>
        </w:rPr>
        <w:tab/>
      </w:r>
      <w:r w:rsidRPr="00077779">
        <w:rPr>
          <w:rFonts w:eastAsia="PMingLiU"/>
          <w:lang w:val="it-IT" w:eastAsia="zh-TW"/>
        </w:rPr>
        <w:t>Firaydání</w:t>
      </w:r>
      <w:r w:rsidRPr="00077779">
        <w:rPr>
          <w:rFonts w:eastAsia="PMingLiU"/>
          <w:lang w:val="it-IT" w:eastAsia="zh-TW"/>
        </w:rPr>
        <w:tab/>
        <w:t xml:space="preserve">person from </w:t>
      </w:r>
      <w:r w:rsidRPr="00077779">
        <w:rPr>
          <w:lang w:val="it-IT"/>
        </w:rPr>
        <w:t>Firaydán</w:t>
      </w:r>
    </w:p>
    <w:p w14:paraId="24570570" w14:textId="77777777" w:rsidR="00625A5B" w:rsidRPr="008F03E5" w:rsidRDefault="00625A5B" w:rsidP="005435A0">
      <w:pPr>
        <w:pStyle w:val="Translit"/>
      </w:pPr>
      <w:r w:rsidRPr="008F03E5">
        <w:t>Firayjat</w:t>
      </w:r>
      <w:r w:rsidRPr="008F03E5">
        <w:tab/>
        <w:t>Firayját</w:t>
      </w:r>
      <w:r w:rsidRPr="008F03E5">
        <w:tab/>
        <w:t>a place where Bahá’u’lláh stayed.  It is 5 km north of the Riḍván Garden, Baghdad.</w:t>
      </w:r>
    </w:p>
    <w:p w14:paraId="3978576E" w14:textId="77777777" w:rsidR="00625A5B" w:rsidRPr="008F03E5" w:rsidRDefault="00625A5B" w:rsidP="00985A48">
      <w:pPr>
        <w:pStyle w:val="Translit"/>
      </w:pPr>
      <w:r w:rsidRPr="008F03E5">
        <w:t>Firdaws (Firdaus, Ferdows), Faradis</w:t>
      </w:r>
      <w:r w:rsidRPr="008F03E5">
        <w:tab/>
        <w:t xml:space="preserve">Firdaws, pl. </w:t>
      </w:r>
      <w:r w:rsidRPr="00077779">
        <w:rPr>
          <w:lang w:val="es-ES_tradnl"/>
        </w:rPr>
        <w:t>Farádís</w:t>
      </w:r>
      <w:r w:rsidRPr="00077779">
        <w:rPr>
          <w:lang w:val="es-ES_tradnl"/>
        </w:rPr>
        <w:tab/>
        <w:t xml:space="preserve">a garden, vineyard, paradise; a fertile valley.  </w:t>
      </w:r>
      <w:r w:rsidRPr="008F03E5">
        <w:t>(“Ferdos and Ferdous”)  Firdaws (34.020364, 58.174475, formerly Tún), capital city of Firdaws County in the southern part of South Khurasan Province, Iran.</w:t>
      </w:r>
    </w:p>
    <w:p w14:paraId="58BEE436" w14:textId="77777777" w:rsidR="00625A5B" w:rsidRDefault="00625A5B" w:rsidP="00DD1636">
      <w:pPr>
        <w:pStyle w:val="Translit"/>
      </w:pPr>
      <w:r w:rsidRPr="008F03E5">
        <w:t>Firdawsi (Firdausi, Ferdowsi)</w:t>
      </w:r>
      <w:r w:rsidRPr="008F03E5">
        <w:tab/>
        <w:t>Firdawsí</w:t>
      </w:r>
      <w:r w:rsidRPr="008F03E5">
        <w:tab/>
        <w:t xml:space="preserve">paradisiacal, heavenly.  Abu’l-Qásim Firdawsí Ṭúsí (c. 940–1020), or Ferdowsi (“Firdusi, Firdosi”) was a Persian poet and the author of </w:t>
      </w:r>
      <w:r w:rsidRPr="008F03E5">
        <w:rPr>
          <w:i/>
          <w:iCs/>
          <w:u w:val="single"/>
        </w:rPr>
        <w:t>Sh</w:t>
      </w:r>
      <w:r w:rsidRPr="008F03E5">
        <w:rPr>
          <w:i/>
          <w:iCs/>
        </w:rPr>
        <w:t>áhnámah</w:t>
      </w:r>
      <w:r w:rsidRPr="008F03E5">
        <w:t>.  Ferdowsi is celebrated as the most influential figure in Persian literature and one of the greatest in the history of literature.</w:t>
      </w:r>
    </w:p>
    <w:p w14:paraId="23CABCC1" w14:textId="2D19656B" w:rsidR="00560901" w:rsidRPr="008F03E5" w:rsidRDefault="00560901" w:rsidP="00560901">
      <w:pPr>
        <w:pStyle w:val="Translit"/>
      </w:pPr>
      <w:r w:rsidRPr="008F03E5">
        <w:t>Firdawsi</w:t>
      </w:r>
      <w:r>
        <w:t>yah (Ferdowsieh)</w:t>
      </w:r>
      <w:r>
        <w:tab/>
      </w:r>
      <w:r w:rsidRPr="008F03E5">
        <w:t>Firdaws</w:t>
      </w:r>
      <w:r w:rsidRPr="00560901">
        <w:t>í</w:t>
      </w:r>
      <w:r>
        <w:t>yah</w:t>
      </w:r>
      <w:r>
        <w:tab/>
        <w:t>Pers. paradise.  Iranian city (</w:t>
      </w:r>
      <w:r w:rsidRPr="00560901">
        <w:t>35.602251, 51.063356</w:t>
      </w:r>
      <w:r>
        <w:t>) in Tehran Province.</w:t>
      </w:r>
    </w:p>
    <w:p w14:paraId="2E45CFDF" w14:textId="77777777" w:rsidR="00625A5B" w:rsidRPr="008F03E5" w:rsidRDefault="00625A5B" w:rsidP="00DF1896">
      <w:pPr>
        <w:pStyle w:val="Translit"/>
      </w:pPr>
      <w:r w:rsidRPr="008F03E5">
        <w:t>Firdaws-i-A’la</w:t>
      </w:r>
      <w:r w:rsidRPr="008F03E5">
        <w:tab/>
        <w:t>Firdaws-i-A‘lá</w:t>
      </w:r>
      <w:r w:rsidRPr="008F03E5">
        <w:tab/>
        <w:t>“Supreme Paradise”</w:t>
      </w:r>
    </w:p>
    <w:p w14:paraId="47447933" w14:textId="77777777" w:rsidR="00625A5B" w:rsidRPr="008F03E5" w:rsidRDefault="00625A5B" w:rsidP="00067F46">
      <w:pPr>
        <w:pStyle w:val="Translit"/>
      </w:pPr>
      <w:r w:rsidRPr="008F03E5">
        <w:t>Firishta, Firishtagan</w:t>
      </w:r>
      <w:r w:rsidRPr="008F03E5">
        <w:tab/>
        <w:t>Firi</w:t>
      </w:r>
      <w:r w:rsidRPr="008F03E5">
        <w:rPr>
          <w:u w:val="single"/>
        </w:rPr>
        <w:t>sh</w:t>
      </w:r>
      <w:r w:rsidRPr="008F03E5">
        <w:t>ta, pl. Firi</w:t>
      </w:r>
      <w:r w:rsidRPr="008F03E5">
        <w:rPr>
          <w:u w:val="single"/>
        </w:rPr>
        <w:t>sh</w:t>
      </w:r>
      <w:r w:rsidRPr="008F03E5">
        <w:t>tagán</w:t>
      </w:r>
      <w:r w:rsidRPr="008F03E5">
        <w:tab/>
        <w:t>Pers. an angel; a messenger, apostle.  Pers. form Firi</w:t>
      </w:r>
      <w:r w:rsidRPr="008F03E5">
        <w:rPr>
          <w:u w:val="single"/>
        </w:rPr>
        <w:t>sh</w:t>
      </w:r>
      <w:r w:rsidRPr="008F03E5">
        <w:t>tih (Fereshteh).  See Ar. Mal’ak/Malak</w:t>
      </w:r>
    </w:p>
    <w:p w14:paraId="28EA758B" w14:textId="77777777" w:rsidR="00625A5B" w:rsidRPr="008F03E5" w:rsidRDefault="00625A5B" w:rsidP="00901620">
      <w:pPr>
        <w:pStyle w:val="Translit"/>
      </w:pPr>
      <w:r w:rsidRPr="008F03E5">
        <w:t>Firman</w:t>
      </w:r>
      <w:r w:rsidRPr="008F03E5">
        <w:tab/>
        <w:t>Firmán</w:t>
      </w:r>
      <w:r w:rsidRPr="008F03E5">
        <w:tab/>
        <w:t>Pers. See Farmán</w:t>
      </w:r>
    </w:p>
    <w:p w14:paraId="45AC0B12" w14:textId="77777777" w:rsidR="00625A5B" w:rsidRPr="008F03E5" w:rsidRDefault="00625A5B" w:rsidP="00BC71E3">
      <w:pPr>
        <w:pStyle w:val="Translit"/>
      </w:pPr>
      <w:r w:rsidRPr="008F03E5">
        <w:rPr>
          <w:lang w:eastAsia="zh-TW"/>
        </w:rPr>
        <w:t>Firq</w:t>
      </w:r>
      <w:r w:rsidRPr="008F03E5">
        <w:rPr>
          <w:lang w:eastAsia="zh-TW"/>
        </w:rPr>
        <w:tab/>
        <w:t>F</w:t>
      </w:r>
      <w:r w:rsidRPr="008F03E5">
        <w:t>irq</w:t>
      </w:r>
      <w:r w:rsidRPr="008F03E5">
        <w:tab/>
        <w:t>part, portion, division, section, unit; band, company, party, detachment, troop, group; herd, flock</w:t>
      </w:r>
    </w:p>
    <w:p w14:paraId="74318681" w14:textId="77777777" w:rsidR="00625A5B" w:rsidRPr="008F03E5" w:rsidRDefault="00625A5B" w:rsidP="00BC71E3">
      <w:pPr>
        <w:pStyle w:val="Translit"/>
      </w:pPr>
      <w:r w:rsidRPr="008F03E5">
        <w:t>Firqa, Firaq</w:t>
      </w:r>
      <w:r w:rsidRPr="008F03E5">
        <w:tab/>
        <w:t>Firqa[h or t], pl. Firaq</w:t>
      </w:r>
      <w:r w:rsidRPr="008F03E5">
        <w:tab/>
        <w:t>part, portion, division, section, unit; band, company, party, detachment, troop, group; class; grade, class (in school); pupils or students of a course; troupe, ensemble; team, crew; division (military); sect.  al-Firqa[h] an-Nájiya[h] the saved sect</w:t>
      </w:r>
    </w:p>
    <w:p w14:paraId="2B020251" w14:textId="77777777" w:rsidR="00625A5B" w:rsidRPr="008F03E5" w:rsidRDefault="00625A5B" w:rsidP="00E57775">
      <w:pPr>
        <w:pStyle w:val="Translit"/>
      </w:pPr>
      <w:r w:rsidRPr="008F03E5">
        <w:t>Firush (Firosh, Furush)</w:t>
      </w:r>
      <w:r w:rsidRPr="008F03E5">
        <w:tab/>
        <w:t>Firú</w:t>
      </w:r>
      <w:r w:rsidRPr="008F03E5">
        <w:rPr>
          <w:u w:val="single"/>
        </w:rPr>
        <w:t>sh</w:t>
      </w:r>
      <w:r w:rsidRPr="008F03E5">
        <w:t xml:space="preserve"> (Furú</w:t>
      </w:r>
      <w:r w:rsidRPr="008F03E5">
        <w:rPr>
          <w:u w:val="single"/>
        </w:rPr>
        <w:t>sh</w:t>
      </w:r>
      <w:r w:rsidRPr="008F03E5">
        <w:t>)</w:t>
      </w:r>
      <w:r w:rsidRPr="008F03E5">
        <w:tab/>
        <w:t>Pers. selling, a seller.  Often hyphenated after another word indicating what type of goods are sold.</w:t>
      </w:r>
    </w:p>
    <w:p w14:paraId="071FB638" w14:textId="77777777" w:rsidR="00625A5B" w:rsidRPr="008F03E5" w:rsidRDefault="00625A5B" w:rsidP="00B5516F">
      <w:pPr>
        <w:pStyle w:val="Translit"/>
      </w:pPr>
      <w:r w:rsidRPr="008F03E5">
        <w:t>Firutan (Firotan), Furutan</w:t>
      </w:r>
      <w:r w:rsidRPr="008F03E5">
        <w:tab/>
        <w:t>Firútan, Furútan</w:t>
      </w:r>
      <w:r w:rsidRPr="008F03E5">
        <w:tab/>
        <w:t>Pers. l</w:t>
      </w:r>
      <w:r w:rsidRPr="008F03E5">
        <w:rPr>
          <w:rFonts w:eastAsia="Times New Roman"/>
        </w:rPr>
        <w:t>owly; humble, depressed; submissive.  ‘Al</w:t>
      </w:r>
      <w:r w:rsidRPr="008F03E5">
        <w:t>í</w:t>
      </w:r>
      <w:r w:rsidRPr="008F03E5">
        <w:rPr>
          <w:rFonts w:eastAsia="Times New Roman"/>
        </w:rPr>
        <w:t>-Akbar Fur</w:t>
      </w:r>
      <w:r w:rsidRPr="008F03E5">
        <w:t>ú</w:t>
      </w:r>
      <w:r w:rsidRPr="008F03E5">
        <w:rPr>
          <w:rFonts w:eastAsia="Times New Roman"/>
        </w:rPr>
        <w:t>tan (1905–2003), educator, author and Hand of the Cause of God.</w:t>
      </w:r>
    </w:p>
    <w:p w14:paraId="669E3F2F" w14:textId="77777777" w:rsidR="00625A5B" w:rsidRPr="008F03E5" w:rsidRDefault="00625A5B" w:rsidP="0077171A">
      <w:pPr>
        <w:pStyle w:val="Translit"/>
        <w:rPr>
          <w:rFonts w:eastAsia="PMingLiU"/>
          <w:lang w:eastAsia="zh-TW"/>
        </w:rPr>
      </w:pPr>
      <w:r w:rsidRPr="008F03E5">
        <w:rPr>
          <w:rFonts w:eastAsia="PMingLiU"/>
          <w:lang w:eastAsia="zh-TW"/>
        </w:rPr>
        <w:t>Firuz</w:t>
      </w:r>
      <w:r>
        <w:rPr>
          <w:rFonts w:eastAsia="PMingLiU"/>
          <w:lang w:eastAsia="zh-TW"/>
        </w:rPr>
        <w:t xml:space="preserve"> (Firoz)</w:t>
      </w:r>
      <w:r w:rsidRPr="008F03E5">
        <w:rPr>
          <w:rFonts w:eastAsia="PMingLiU"/>
          <w:lang w:eastAsia="zh-TW"/>
        </w:rPr>
        <w:tab/>
        <w:t>F</w:t>
      </w:r>
      <w:r w:rsidRPr="008F03E5">
        <w:t>í</w:t>
      </w:r>
      <w:r w:rsidRPr="008F03E5">
        <w:rPr>
          <w:rFonts w:eastAsia="PMingLiU"/>
          <w:lang w:eastAsia="zh-TW"/>
        </w:rPr>
        <w:t>r</w:t>
      </w:r>
      <w:r w:rsidRPr="008F03E5">
        <w:t>ú</w:t>
      </w:r>
      <w:r w:rsidRPr="008F03E5">
        <w:rPr>
          <w:rFonts w:eastAsia="PMingLiU"/>
          <w:lang w:eastAsia="zh-TW"/>
        </w:rPr>
        <w:t>z</w:t>
      </w:r>
      <w:r w:rsidRPr="008F03E5">
        <w:rPr>
          <w:rFonts w:eastAsia="PMingLiU"/>
          <w:lang w:eastAsia="zh-TW"/>
        </w:rPr>
        <w:tab/>
        <w:t xml:space="preserve">victorious, triumphant, prosperous, successful; victory; prosperity; the third of the five supplemental days added to the Persian year; name of several Persian kings.  See </w:t>
      </w:r>
      <w:r w:rsidRPr="008F03E5">
        <w:t>Ẓáfir</w:t>
      </w:r>
      <w:r>
        <w:t>.</w:t>
      </w:r>
    </w:p>
    <w:p w14:paraId="5FEADACB" w14:textId="77777777" w:rsidR="00625A5B" w:rsidRPr="008F03E5" w:rsidRDefault="00625A5B" w:rsidP="00057E88">
      <w:pPr>
        <w:pStyle w:val="Translit"/>
        <w:rPr>
          <w:rFonts w:eastAsia="PMingLiU"/>
          <w:lang w:eastAsia="zh-TW"/>
        </w:rPr>
      </w:pPr>
      <w:r w:rsidRPr="008F03E5">
        <w:rPr>
          <w:rFonts w:eastAsia="PMingLiU"/>
          <w:lang w:eastAsia="zh-TW"/>
        </w:rPr>
        <w:t>Firuzabad (</w:t>
      </w:r>
      <w:r w:rsidRPr="008F03E5">
        <w:t>Fayruzabad</w:t>
      </w:r>
      <w:r w:rsidRPr="008F03E5">
        <w:rPr>
          <w:rFonts w:eastAsia="PMingLiU"/>
          <w:lang w:eastAsia="zh-TW"/>
        </w:rPr>
        <w:t>)</w:t>
      </w:r>
      <w:r w:rsidRPr="008F03E5">
        <w:rPr>
          <w:rFonts w:eastAsia="PMingLiU"/>
          <w:lang w:eastAsia="zh-TW"/>
        </w:rPr>
        <w:tab/>
        <w:t>F</w:t>
      </w:r>
      <w:r w:rsidRPr="008F03E5">
        <w:t>í</w:t>
      </w:r>
      <w:r w:rsidRPr="008F03E5">
        <w:rPr>
          <w:rFonts w:eastAsia="PMingLiU"/>
          <w:lang w:eastAsia="zh-TW"/>
        </w:rPr>
        <w:t>r</w:t>
      </w:r>
      <w:r w:rsidRPr="008F03E5">
        <w:t>ú</w:t>
      </w:r>
      <w:r w:rsidRPr="008F03E5">
        <w:rPr>
          <w:rFonts w:eastAsia="PMingLiU"/>
          <w:lang w:eastAsia="zh-TW"/>
        </w:rPr>
        <w:t>z</w:t>
      </w:r>
      <w:r w:rsidRPr="008F03E5">
        <w:t>á</w:t>
      </w:r>
      <w:r w:rsidRPr="008F03E5">
        <w:rPr>
          <w:rFonts w:eastAsia="PMingLiU"/>
          <w:lang w:eastAsia="zh-TW"/>
        </w:rPr>
        <w:t>b</w:t>
      </w:r>
      <w:r w:rsidRPr="008F03E5">
        <w:t>á</w:t>
      </w:r>
      <w:r w:rsidRPr="008F03E5">
        <w:rPr>
          <w:rFonts w:eastAsia="PMingLiU"/>
          <w:lang w:eastAsia="zh-TW"/>
        </w:rPr>
        <w:t>d (</w:t>
      </w:r>
      <w:r w:rsidRPr="008F03E5">
        <w:t>Fayrúzábád</w:t>
      </w:r>
      <w:r w:rsidRPr="008F03E5">
        <w:rPr>
          <w:rFonts w:eastAsia="PMingLiU"/>
          <w:lang w:eastAsia="zh-TW"/>
        </w:rPr>
        <w:t>)</w:t>
      </w:r>
      <w:r w:rsidRPr="008F03E5">
        <w:rPr>
          <w:rFonts w:eastAsia="PMingLiU"/>
          <w:lang w:eastAsia="zh-TW"/>
        </w:rPr>
        <w:tab/>
        <w:t>city (28.845032, 52.571049) 85 km south of Shiraz</w:t>
      </w:r>
    </w:p>
    <w:p w14:paraId="4FD88D17" w14:textId="77777777" w:rsidR="00625A5B" w:rsidRPr="008F03E5" w:rsidRDefault="00625A5B" w:rsidP="00A8234E">
      <w:pPr>
        <w:pStyle w:val="Translit"/>
        <w:rPr>
          <w:rFonts w:eastAsia="PMingLiU"/>
          <w:lang w:eastAsia="zh-TW"/>
        </w:rPr>
      </w:pPr>
      <w:r w:rsidRPr="008F03E5">
        <w:rPr>
          <w:rFonts w:eastAsia="PMingLiU"/>
          <w:lang w:eastAsia="zh-TW"/>
        </w:rPr>
        <w:t>F</w:t>
      </w:r>
      <w:r w:rsidRPr="008F03E5">
        <w:t>i</w:t>
      </w:r>
      <w:r w:rsidRPr="008F03E5">
        <w:rPr>
          <w:rFonts w:eastAsia="PMingLiU"/>
          <w:lang w:eastAsia="zh-TW"/>
        </w:rPr>
        <w:t>r</w:t>
      </w:r>
      <w:r w:rsidRPr="008F03E5">
        <w:t>u</w:t>
      </w:r>
      <w:r w:rsidRPr="008F03E5">
        <w:rPr>
          <w:rFonts w:eastAsia="PMingLiU"/>
          <w:lang w:eastAsia="zh-TW"/>
        </w:rPr>
        <w:t>z-K</w:t>
      </w:r>
      <w:r w:rsidRPr="008F03E5">
        <w:t>u</w:t>
      </w:r>
      <w:r w:rsidRPr="008F03E5">
        <w:rPr>
          <w:rFonts w:eastAsia="PMingLiU"/>
          <w:lang w:eastAsia="zh-TW"/>
        </w:rPr>
        <w:t>h, Firuzkuh</w:t>
      </w:r>
      <w:r w:rsidRPr="008F03E5">
        <w:tab/>
      </w:r>
      <w:r w:rsidRPr="008F03E5">
        <w:rPr>
          <w:rFonts w:eastAsia="PMingLiU"/>
          <w:lang w:eastAsia="zh-TW"/>
        </w:rPr>
        <w:t>F</w:t>
      </w:r>
      <w:r w:rsidRPr="008F03E5">
        <w:t>í</w:t>
      </w:r>
      <w:r w:rsidRPr="008F03E5">
        <w:rPr>
          <w:rFonts w:eastAsia="PMingLiU"/>
          <w:lang w:eastAsia="zh-TW"/>
        </w:rPr>
        <w:t>r</w:t>
      </w:r>
      <w:r w:rsidRPr="008F03E5">
        <w:t>ú</w:t>
      </w:r>
      <w:r w:rsidRPr="008F03E5">
        <w:rPr>
          <w:rFonts w:eastAsia="PMingLiU"/>
          <w:lang w:eastAsia="zh-TW"/>
        </w:rPr>
        <w:t>z-K</w:t>
      </w:r>
      <w:r w:rsidRPr="008F03E5">
        <w:t>ú</w:t>
      </w:r>
      <w:r w:rsidRPr="008F03E5">
        <w:rPr>
          <w:rFonts w:eastAsia="PMingLiU"/>
          <w:lang w:eastAsia="zh-TW"/>
        </w:rPr>
        <w:t>h or F</w:t>
      </w:r>
      <w:r w:rsidRPr="008F03E5">
        <w:t>í</w:t>
      </w:r>
      <w:r w:rsidRPr="008F03E5">
        <w:rPr>
          <w:rFonts w:eastAsia="PMingLiU"/>
          <w:lang w:eastAsia="zh-TW"/>
        </w:rPr>
        <w:t>r</w:t>
      </w:r>
      <w:r w:rsidRPr="008F03E5">
        <w:t>ú</w:t>
      </w:r>
      <w:r w:rsidRPr="008F03E5">
        <w:rPr>
          <w:rFonts w:eastAsia="PMingLiU"/>
          <w:lang w:eastAsia="zh-TW"/>
        </w:rPr>
        <w:t>zk</w:t>
      </w:r>
      <w:r w:rsidRPr="008F03E5">
        <w:t>ú</w:t>
      </w:r>
      <w:r w:rsidRPr="008F03E5">
        <w:rPr>
          <w:rFonts w:eastAsia="PMingLiU"/>
          <w:lang w:eastAsia="zh-TW"/>
        </w:rPr>
        <w:t>h</w:t>
      </w:r>
      <w:r w:rsidRPr="008F03E5">
        <w:tab/>
        <w:t>city (35.759529, 52.775432) 125 km east of Teheran</w:t>
      </w:r>
    </w:p>
    <w:p w14:paraId="41A9820C" w14:textId="77777777" w:rsidR="00625A5B" w:rsidRPr="008F03E5" w:rsidRDefault="00625A5B" w:rsidP="0053391D">
      <w:pPr>
        <w:pStyle w:val="Translit"/>
      </w:pPr>
      <w:r w:rsidRPr="008F03E5">
        <w:t>Firydunkinar (Fereydunkenar)</w:t>
      </w:r>
      <w:r w:rsidRPr="008F03E5">
        <w:tab/>
        <w:t>Firaydúnkinár (Firaydún Kinár)</w:t>
      </w:r>
      <w:r w:rsidRPr="008F03E5">
        <w:tab/>
        <w:t>also known as Qaşabih, is a city (36.684245, 52.524089) and capital of Fereydunkenar County, Mazandaran Province.  It is a Caspian Sea resort.</w:t>
      </w:r>
    </w:p>
    <w:p w14:paraId="1EEEE645" w14:textId="77777777" w:rsidR="00625A5B" w:rsidRPr="008F03E5" w:rsidRDefault="00625A5B" w:rsidP="008C4911">
      <w:pPr>
        <w:pStyle w:val="Translit"/>
      </w:pPr>
      <w:r w:rsidRPr="008F03E5">
        <w:t>Fishar-i-Qabr</w:t>
      </w:r>
      <w:r w:rsidRPr="008F03E5">
        <w:tab/>
        <w:t>Fi</w:t>
      </w:r>
      <w:r w:rsidRPr="008F03E5">
        <w:rPr>
          <w:u w:val="single"/>
        </w:rPr>
        <w:t>sh</w:t>
      </w:r>
      <w:r w:rsidRPr="008F03E5">
        <w:t>ár-i-Qabr</w:t>
      </w:r>
      <w:r w:rsidRPr="008F03E5">
        <w:tab/>
        <w:t>Pers. constriction in the grave.  Promised after death tortures leading to a fear of being squeezed in the grave.</w:t>
      </w:r>
    </w:p>
    <w:p w14:paraId="4E04ABB9" w14:textId="77777777" w:rsidR="00625A5B" w:rsidRPr="008F03E5" w:rsidRDefault="00625A5B" w:rsidP="009E192C">
      <w:pPr>
        <w:pStyle w:val="Translit"/>
        <w:rPr>
          <w:rFonts w:eastAsia="PMingLiU"/>
          <w:lang w:eastAsia="zh-TW"/>
        </w:rPr>
      </w:pPr>
      <w:r w:rsidRPr="008F03E5">
        <w:rPr>
          <w:rFonts w:eastAsia="PMingLiU"/>
          <w:lang w:eastAsia="zh-TW"/>
        </w:rPr>
        <w:t>Fisq</w:t>
      </w:r>
      <w:r w:rsidRPr="008F03E5">
        <w:rPr>
          <w:rFonts w:eastAsia="PMingLiU"/>
          <w:lang w:eastAsia="zh-TW"/>
        </w:rPr>
        <w:tab/>
        <w:t>Fisq</w:t>
      </w:r>
      <w:r w:rsidRPr="008F03E5">
        <w:rPr>
          <w:rFonts w:eastAsia="PMingLiU"/>
          <w:lang w:eastAsia="zh-TW"/>
        </w:rPr>
        <w:tab/>
        <w:t>sinfulness, viciousness, moral depravity, dissolute life</w:t>
      </w:r>
    </w:p>
    <w:p w14:paraId="243CBD10" w14:textId="77777777" w:rsidR="00625A5B" w:rsidRPr="008F03E5" w:rsidRDefault="00625A5B" w:rsidP="008A2797">
      <w:pPr>
        <w:pStyle w:val="Translit"/>
        <w:rPr>
          <w:rFonts w:eastAsia="PMingLiU"/>
          <w:lang w:eastAsia="zh-TW"/>
        </w:rPr>
      </w:pPr>
      <w:r w:rsidRPr="008F03E5">
        <w:rPr>
          <w:rFonts w:eastAsia="PMingLiU"/>
          <w:lang w:eastAsia="zh-TW"/>
        </w:rPr>
        <w:t>Fitna, Fitan</w:t>
      </w:r>
      <w:r w:rsidRPr="008F03E5">
        <w:rPr>
          <w:rFonts w:eastAsia="PMingLiU"/>
          <w:lang w:eastAsia="zh-TW"/>
        </w:rPr>
        <w:tab/>
        <w:t>Fitna[h or t], pl. Fitan</w:t>
      </w:r>
      <w:r w:rsidRPr="008F03E5">
        <w:rPr>
          <w:rFonts w:eastAsia="PMingLiU"/>
          <w:lang w:eastAsia="zh-TW"/>
        </w:rPr>
        <w:tab/>
        <w:t xml:space="preserve">temptation, trial; charm, attractiveness; enchantment, captivation, fascination, enticement, temptation; infatuation; intrigue; sedition, riot, discord, dissension, civil strife.  Occurs when a Manifestation appears.  See also </w:t>
      </w:r>
      <w:r w:rsidRPr="008F03E5">
        <w:t>Imtiḥán.</w:t>
      </w:r>
    </w:p>
    <w:p w14:paraId="492DD505" w14:textId="77777777" w:rsidR="00625A5B" w:rsidRPr="008F03E5" w:rsidRDefault="00625A5B" w:rsidP="00F56F05">
      <w:pPr>
        <w:pStyle w:val="Translit"/>
        <w:rPr>
          <w:rFonts w:eastAsia="PMingLiU"/>
          <w:lang w:eastAsia="zh-TW"/>
        </w:rPr>
      </w:pPr>
      <w:r w:rsidRPr="008F03E5">
        <w:rPr>
          <w:rFonts w:eastAsia="PMingLiU"/>
          <w:lang w:eastAsia="zh-TW"/>
        </w:rPr>
        <w:t>Fitr</w:t>
      </w:r>
      <w:r w:rsidRPr="008F03E5">
        <w:tab/>
      </w:r>
      <w:r w:rsidRPr="008F03E5">
        <w:rPr>
          <w:rFonts w:eastAsia="PMingLiU"/>
          <w:lang w:eastAsia="zh-TW"/>
        </w:rPr>
        <w:t>Fi</w:t>
      </w:r>
      <w:r w:rsidRPr="008F03E5">
        <w:t>ṭ</w:t>
      </w:r>
      <w:r w:rsidRPr="008F03E5">
        <w:rPr>
          <w:rFonts w:eastAsia="PMingLiU"/>
          <w:lang w:eastAsia="zh-TW"/>
        </w:rPr>
        <w:t>r</w:t>
      </w:r>
      <w:r w:rsidRPr="008F03E5">
        <w:tab/>
        <w:t>breaking fast, alms giving at ‘Íd al-Fiṭr (a Muslim festival marking the end of Ramaḍán)</w:t>
      </w:r>
    </w:p>
    <w:p w14:paraId="7E520238" w14:textId="77777777" w:rsidR="00625A5B" w:rsidRPr="008F03E5" w:rsidRDefault="00625A5B" w:rsidP="00EF1BA2">
      <w:pPr>
        <w:pStyle w:val="Translit"/>
      </w:pPr>
      <w:r w:rsidRPr="008F03E5">
        <w:t>Fitr, Aftar</w:t>
      </w:r>
      <w:r w:rsidRPr="008F03E5">
        <w:tab/>
        <w:t>Fitr, pl. Aftár</w:t>
      </w:r>
      <w:r w:rsidRPr="008F03E5">
        <w:tab/>
        <w:t>small span (the space between the end of the thumb and the end of the index finger when extended); corner</w:t>
      </w:r>
    </w:p>
    <w:p w14:paraId="2B2C23A5" w14:textId="77777777" w:rsidR="00625A5B" w:rsidRPr="008F03E5" w:rsidRDefault="00625A5B" w:rsidP="00436560">
      <w:pPr>
        <w:pStyle w:val="Translit"/>
      </w:pPr>
      <w:r w:rsidRPr="00D45A23">
        <w:rPr>
          <w:lang w:val="fr-FR"/>
        </w:rPr>
        <w:t>Fitra, Fitar</w:t>
      </w:r>
      <w:r w:rsidRPr="00D45A23">
        <w:rPr>
          <w:lang w:val="fr-FR"/>
        </w:rPr>
        <w:tab/>
        <w:t xml:space="preserve">Fiṭra[t], pl. </w:t>
      </w:r>
      <w:r w:rsidRPr="008F03E5">
        <w:t>Fiṭar</w:t>
      </w:r>
      <w:r w:rsidRPr="008F03E5">
        <w:tab/>
        <w:t>creation; idiosyncrasy; tendency; wisdom, sagacity; deceit, trick; religion; the power of the Creator;—(pl.) nature, (natural) disposition, constitution, temperament, innate character, instinct</w:t>
      </w:r>
    </w:p>
    <w:p w14:paraId="576029D0" w14:textId="77777777" w:rsidR="00625A5B" w:rsidRPr="008F03E5" w:rsidRDefault="00625A5B" w:rsidP="00A31598">
      <w:pPr>
        <w:pStyle w:val="Translit"/>
      </w:pPr>
      <w:r w:rsidRPr="008F03E5">
        <w:t>Fizan (Fezan), Fizzan (Fezzan, Fazzan)</w:t>
      </w:r>
      <w:r w:rsidRPr="008F03E5">
        <w:tab/>
        <w:t>Fízán (Turkish), Fizzán (Ar.)</w:t>
      </w:r>
      <w:r w:rsidRPr="008F03E5">
        <w:tab/>
        <w:t>“rough rocks”, a large south-western region (one of three) of modern Libya.  It is largely desert, but broken by mountains, uplands, and dry river valleys (wadis) in the north, where oases enable ancient towns and villages to survive deep in the otherwise inhospitable Sahara Desert.  The capital (near the centre) is Sabhá.</w:t>
      </w:r>
    </w:p>
    <w:p w14:paraId="1F30E53C" w14:textId="77777777" w:rsidR="00625A5B" w:rsidRDefault="00625A5B" w:rsidP="00EA77D1">
      <w:pPr>
        <w:pStyle w:val="Translit"/>
        <w:rPr>
          <w:rFonts w:eastAsia="PMingLiU"/>
          <w:lang w:eastAsia="zh-TW"/>
        </w:rPr>
      </w:pPr>
      <w:r w:rsidRPr="00EA37FA">
        <w:rPr>
          <w:rFonts w:eastAsia="PMingLiU"/>
          <w:lang w:val="en-AU" w:eastAsia="zh-TW"/>
        </w:rPr>
        <w:t>Friedberg</w:t>
      </w:r>
      <w:r w:rsidRPr="00EA37FA">
        <w:rPr>
          <w:rFonts w:eastAsia="PMingLiU"/>
          <w:lang w:val="en-AU" w:eastAsia="zh-TW"/>
        </w:rPr>
        <w:tab/>
        <w:t>Friedberg</w:t>
      </w:r>
      <w:r w:rsidRPr="00EA37FA">
        <w:rPr>
          <w:rFonts w:eastAsia="PMingLiU"/>
          <w:lang w:val="en-AU" w:eastAsia="zh-TW"/>
        </w:rPr>
        <w:tab/>
        <w:t>Beyle Friedberg (1864</w:t>
      </w:r>
      <w:r>
        <w:rPr>
          <w:rFonts w:eastAsia="PMingLiU"/>
          <w:lang w:val="en-AU" w:eastAsia="zh-TW"/>
        </w:rPr>
        <w:t>–</w:t>
      </w:r>
      <w:r w:rsidRPr="00EA37FA">
        <w:rPr>
          <w:rFonts w:eastAsia="PMingLiU"/>
          <w:lang w:eastAsia="zh-TW"/>
        </w:rPr>
        <w:t>1944</w:t>
      </w:r>
      <w:r>
        <w:rPr>
          <w:rFonts w:eastAsia="PMingLiU"/>
          <w:lang w:eastAsia="zh-TW"/>
        </w:rPr>
        <w:t>)</w:t>
      </w:r>
      <w:r w:rsidRPr="00EA37FA">
        <w:rPr>
          <w:rFonts w:eastAsia="PMingLiU"/>
          <w:lang w:eastAsia="zh-TW"/>
        </w:rPr>
        <w:t>, a Russian-Jewish novelist, poet, and dramatist</w:t>
      </w:r>
      <w:r>
        <w:rPr>
          <w:rFonts w:eastAsia="PMingLiU"/>
          <w:lang w:eastAsia="zh-TW"/>
        </w:rPr>
        <w:t xml:space="preserve">; </w:t>
      </w:r>
      <w:r w:rsidRPr="00EA37FA">
        <w:rPr>
          <w:rFonts w:eastAsia="PMingLiU"/>
          <w:lang w:eastAsia="zh-TW"/>
        </w:rPr>
        <w:t>bet</w:t>
      </w:r>
      <w:r>
        <w:rPr>
          <w:rFonts w:eastAsia="PMingLiU"/>
          <w:lang w:eastAsia="zh-TW"/>
        </w:rPr>
        <w:t>ter</w:t>
      </w:r>
      <w:r w:rsidRPr="00EA37FA">
        <w:rPr>
          <w:rFonts w:eastAsia="PMingLiU"/>
          <w:lang w:eastAsia="zh-TW"/>
        </w:rPr>
        <w:t xml:space="preserve"> known by the pen names Isabella and Isabella Arkadevna Grinevskaya</w:t>
      </w:r>
      <w:r>
        <w:rPr>
          <w:rFonts w:eastAsia="PMingLiU"/>
          <w:lang w:eastAsia="zh-TW"/>
        </w:rPr>
        <w:t>.  ‘Abdu’l-Bahá sent a Tablet to her.</w:t>
      </w:r>
    </w:p>
    <w:p w14:paraId="31D6EC04" w14:textId="77777777" w:rsidR="00625A5B" w:rsidRPr="008F03E5" w:rsidRDefault="00625A5B" w:rsidP="00487033">
      <w:pPr>
        <w:pStyle w:val="Translit"/>
      </w:pPr>
      <w:r w:rsidRPr="008F03E5">
        <w:rPr>
          <w:rFonts w:eastAsia="PMingLiU"/>
          <w:lang w:eastAsia="zh-TW"/>
        </w:rPr>
        <w:t>Fu’ad (Fuad), Fu’ada, Af’ida</w:t>
      </w:r>
      <w:r w:rsidRPr="008F03E5">
        <w:tab/>
      </w:r>
      <w:r w:rsidRPr="008F03E5">
        <w:rPr>
          <w:rFonts w:eastAsia="PMingLiU"/>
          <w:lang w:eastAsia="zh-TW"/>
        </w:rPr>
        <w:t>Fu’ád, fem. Fu’áda[h or t], pl. Af’ida[h or t]</w:t>
      </w:r>
      <w:r w:rsidRPr="008F03E5">
        <w:tab/>
        <w:t>heart.  Shoghi Effendi described the Shrine of the Báb as being the “Heart” of Mt. Carmel.</w:t>
      </w:r>
    </w:p>
    <w:p w14:paraId="1D29184B" w14:textId="77777777" w:rsidR="00625A5B" w:rsidRPr="008F03E5" w:rsidRDefault="00625A5B" w:rsidP="00487033">
      <w:pPr>
        <w:pStyle w:val="Translit"/>
      </w:pPr>
      <w:r w:rsidRPr="008F03E5">
        <w:t>Fu’adiya, Fu’adiyya (Fu’adiyyih)</w:t>
      </w:r>
      <w:r w:rsidRPr="008F03E5">
        <w:tab/>
        <w:t>Fu’ádíya, Pers. Fu’ádiyya</w:t>
      </w:r>
      <w:r w:rsidRPr="008F03E5">
        <w:tab/>
        <w:t xml:space="preserve">Fu’ádíyyih, daughter (died in infancy) of ‘Abdu’l-Bahá and Munírih </w:t>
      </w:r>
      <w:r w:rsidRPr="008F03E5">
        <w:rPr>
          <w:u w:val="single"/>
        </w:rPr>
        <w:t>Kh</w:t>
      </w:r>
      <w:r w:rsidRPr="008F03E5">
        <w:t>ánum</w:t>
      </w:r>
    </w:p>
    <w:p w14:paraId="4C95A99F" w14:textId="77777777" w:rsidR="00625A5B" w:rsidRPr="008F03E5" w:rsidRDefault="00625A5B" w:rsidP="005B4066">
      <w:pPr>
        <w:pStyle w:val="Translit"/>
      </w:pPr>
      <w:r w:rsidRPr="008F03E5">
        <w:t>Fuhayra</w:t>
      </w:r>
      <w:r w:rsidRPr="008F03E5">
        <w:tab/>
        <w:t>Fuhayra[h]</w:t>
      </w:r>
      <w:r w:rsidRPr="008F03E5">
        <w:tab/>
        <w:t>‘Ámir ibn Fuhayra (586–625) (also known by the kunya Abú ‘Amr) was a companion of Muḥammad.  Of African ancestry, he was born a slave.  He became a Muslim in Mecca and later was bought and manumitted by Abú Bakr.  When Abú Bakr and Muḥammad escaped from Mecca in 622, ‘Ámir grazed Abú Bakr’s flocks by day, then brought them at evening to the cave on Mount Thawr (5 km south of Mecca) where Abú Bakr and Muḥammad were hiding, presumably so that the sheep would cover the tracks of Abú-Bakr’s son, ‘Abdu’lláh, who stayed near the cave overnight.  When they left the cave to travel to Medina, ‘Ámir accompanied them.</w:t>
      </w:r>
    </w:p>
    <w:p w14:paraId="24991154" w14:textId="77777777" w:rsidR="00625A5B" w:rsidRPr="008F03E5" w:rsidRDefault="00625A5B" w:rsidP="00184D4E">
      <w:pPr>
        <w:pStyle w:val="Translit"/>
      </w:pPr>
      <w:r w:rsidRPr="008F03E5">
        <w:t>Fujita</w:t>
      </w:r>
      <w:r w:rsidRPr="008F03E5">
        <w:tab/>
        <w:t>Fujita</w:t>
      </w:r>
      <w:r w:rsidRPr="008F03E5">
        <w:tab/>
        <w:t>Mr Saichirō Fujita (1886–1976), a native of Yamaguchi Prefecture, was the second Japanese to become a Baháʼí.  He was also distinguished by serving at the Baháʼí World Centre for ʻAbdu’l-Bahá, Shoghi Effendi, the Custodians, and the Universal House of Justice.</w:t>
      </w:r>
    </w:p>
    <w:p w14:paraId="1F3A91D1" w14:textId="77777777" w:rsidR="00625A5B" w:rsidRDefault="00625A5B" w:rsidP="004E0787">
      <w:pPr>
        <w:pStyle w:val="Translit"/>
      </w:pPr>
      <w:bookmarkStart w:id="72" w:name="_Toc147598896"/>
      <w:r w:rsidRPr="00712297">
        <w:t>F</w:t>
      </w:r>
      <w:r>
        <w:t>u</w:t>
      </w:r>
      <w:r w:rsidRPr="00712297">
        <w:t>l</w:t>
      </w:r>
      <w:r>
        <w:t>a</w:t>
      </w:r>
      <w:r w:rsidRPr="00712297">
        <w:t>d Maḥallih</w:t>
      </w:r>
      <w:bookmarkEnd w:id="72"/>
      <w:r>
        <w:t xml:space="preserve"> (Foulad-Mahalleh)</w:t>
      </w:r>
      <w:r>
        <w:tab/>
      </w:r>
      <w:r w:rsidRPr="00712297">
        <w:t>Fúlád Maḥallih</w:t>
      </w:r>
      <w:r>
        <w:tab/>
        <w:t>a village (</w:t>
      </w:r>
      <w:r w:rsidRPr="00417520">
        <w:t>36.060963, 53.707101</w:t>
      </w:r>
      <w:r>
        <w:t>) in Semnan Province</w:t>
      </w:r>
    </w:p>
    <w:p w14:paraId="24F8D1A6" w14:textId="77777777" w:rsidR="00625A5B" w:rsidRPr="008F03E5" w:rsidRDefault="00625A5B" w:rsidP="00541B13">
      <w:pPr>
        <w:pStyle w:val="Translit"/>
      </w:pPr>
      <w:r w:rsidRPr="008F03E5">
        <w:t>Fulad, Fuladi</w:t>
      </w:r>
      <w:r w:rsidRPr="008F03E5">
        <w:tab/>
        <w:t>Fúlád, adj. Fúládí and Fuládí</w:t>
      </w:r>
      <w:r w:rsidRPr="008F03E5">
        <w:tab/>
        <w:t>steel, of steel, made of steel; steely, steel-like, steel-hard</w:t>
      </w:r>
    </w:p>
    <w:p w14:paraId="788F9528" w14:textId="77777777" w:rsidR="00625A5B" w:rsidRPr="008F03E5" w:rsidRDefault="00625A5B" w:rsidP="003E4995">
      <w:pPr>
        <w:pStyle w:val="Translit"/>
      </w:pPr>
      <w:r w:rsidRPr="008F03E5">
        <w:t>Fulan, Fulana</w:t>
      </w:r>
      <w:r w:rsidRPr="008F03E5">
        <w:tab/>
        <w:t>Fulán, fem. Fulána</w:t>
      </w:r>
      <w:r w:rsidRPr="008F03E5">
        <w:tab/>
        <w:t>(substituting for an unnamed or unspecified person or thing) so and so</w:t>
      </w:r>
    </w:p>
    <w:p w14:paraId="375A2727" w14:textId="77777777" w:rsidR="00625A5B" w:rsidRPr="008F03E5" w:rsidRDefault="00625A5B" w:rsidP="009103C9">
      <w:pPr>
        <w:pStyle w:val="Translit"/>
      </w:pPr>
      <w:r w:rsidRPr="008F03E5">
        <w:t>Fulk</w:t>
      </w:r>
      <w:r w:rsidRPr="008F03E5">
        <w:tab/>
        <w:t>Fulk (m. and f.)</w:t>
      </w:r>
      <w:r w:rsidRPr="008F03E5">
        <w:tab/>
        <w:t>ship, (also collective) ships; Ark (as in Noah’s)</w:t>
      </w:r>
    </w:p>
    <w:p w14:paraId="189CD42B" w14:textId="77777777" w:rsidR="00625A5B" w:rsidRPr="008F03E5" w:rsidRDefault="00625A5B" w:rsidP="00BF2F57">
      <w:pPr>
        <w:pStyle w:val="Translit"/>
      </w:pPr>
      <w:r w:rsidRPr="008F03E5">
        <w:t>Funduq, Funduqa (Findik)</w:t>
      </w:r>
      <w:r w:rsidRPr="008F03E5">
        <w:tab/>
        <w:t>Funduq, Funduqa</w:t>
      </w:r>
      <w:r w:rsidRPr="008F03E5">
        <w:tab/>
        <w:t>Pers. hazelnut of filbert-nut; a nut good against the sting of a scorpion; a ball for cannon, musketry, or cross-bow.  Ar. Bunduq, Turk. Findík</w:t>
      </w:r>
    </w:p>
    <w:p w14:paraId="538436A8" w14:textId="77777777" w:rsidR="00625A5B" w:rsidRPr="008F03E5" w:rsidRDefault="00625A5B" w:rsidP="000C1F2F">
      <w:pPr>
        <w:pStyle w:val="Translit"/>
      </w:pPr>
      <w:r w:rsidRPr="008F03E5">
        <w:t>Furat</w:t>
      </w:r>
      <w:r w:rsidRPr="008F03E5">
        <w:tab/>
        <w:t>Furát</w:t>
      </w:r>
      <w:r w:rsidRPr="008F03E5">
        <w:tab/>
        <w:t>Pers. very fine, sweet water or waters; the river Euphrates; the sea</w:t>
      </w:r>
    </w:p>
    <w:p w14:paraId="1231BE59" w14:textId="77777777" w:rsidR="00625A5B" w:rsidRPr="008F03E5" w:rsidRDefault="00625A5B" w:rsidP="00250EA5">
      <w:pPr>
        <w:pStyle w:val="Translit"/>
      </w:pPr>
      <w:r w:rsidRPr="008F03E5">
        <w:t>Furqan</w:t>
      </w:r>
      <w:r w:rsidRPr="008F03E5">
        <w:tab/>
        <w:t>Furqán</w:t>
      </w:r>
      <w:r w:rsidRPr="008F03E5">
        <w:tab/>
        <w:t xml:space="preserve">proof, evidence, discriminator, </w:t>
      </w:r>
      <w:r w:rsidRPr="008F03E5">
        <w:rPr>
          <w:rFonts w:eastAsia="Times New Roman"/>
        </w:rPr>
        <w:t xml:space="preserve">distinguishing; whatever discriminates between truth and falsehood, the Qur’án, any sacred book.  </w:t>
      </w:r>
      <w:r w:rsidRPr="008F03E5">
        <w:t xml:space="preserve">An important attribute of </w:t>
      </w:r>
      <w:r w:rsidRPr="008F03E5">
        <w:rPr>
          <w:i/>
          <w:iCs/>
        </w:rPr>
        <w:t>al-Qur’án</w:t>
      </w:r>
      <w:r w:rsidRPr="008F03E5">
        <w:t xml:space="preserve"> (see 2:185) is that of distinction (furqán), for the word Qur’án describes how </w:t>
      </w:r>
      <w:r w:rsidRPr="008F03E5">
        <w:rPr>
          <w:i/>
          <w:iCs/>
        </w:rPr>
        <w:t>al-Qur’án</w:t>
      </w:r>
      <w:r w:rsidRPr="008F03E5">
        <w:t xml:space="preserve"> is recited, whereas the word Furqán describes the criterion that distinguishes between truth (ḥaqq) and falsehood (báṭil) (see 25:1).  Name of sura 25.</w:t>
      </w:r>
    </w:p>
    <w:p w14:paraId="196024B7" w14:textId="77777777" w:rsidR="00625A5B" w:rsidRPr="008F03E5" w:rsidRDefault="00625A5B" w:rsidP="003E0BB7">
      <w:pPr>
        <w:pStyle w:val="Translit"/>
      </w:pPr>
      <w:r w:rsidRPr="008F03E5">
        <w:t>Furs</w:t>
      </w:r>
      <w:r w:rsidRPr="008F03E5">
        <w:tab/>
        <w:t>Furs</w:t>
      </w:r>
      <w:r w:rsidRPr="008F03E5">
        <w:tab/>
        <w:t>Persia; the Persians</w:t>
      </w:r>
    </w:p>
    <w:p w14:paraId="186D45CB" w14:textId="77777777" w:rsidR="00625A5B" w:rsidRPr="008F03E5" w:rsidRDefault="00625A5B" w:rsidP="003E0BB7">
      <w:pPr>
        <w:pStyle w:val="Translit"/>
      </w:pPr>
      <w:r w:rsidRPr="008F03E5">
        <w:t>Fursi</w:t>
      </w:r>
      <w:r w:rsidRPr="008F03E5">
        <w:tab/>
        <w:t>Fursí</w:t>
      </w:r>
      <w:r w:rsidRPr="008F03E5">
        <w:tab/>
        <w:t>(Pers. Ar. influence) Persian</w:t>
      </w:r>
    </w:p>
    <w:p w14:paraId="331B30E6" w14:textId="77777777" w:rsidR="00625A5B" w:rsidRPr="008F03E5" w:rsidRDefault="00625A5B" w:rsidP="003E0BB7">
      <w:pPr>
        <w:pStyle w:val="Translit"/>
      </w:pPr>
      <w:r w:rsidRPr="008F03E5">
        <w:t>Furugh</w:t>
      </w:r>
      <w:r w:rsidRPr="008F03E5">
        <w:tab/>
        <w:t>Furú</w:t>
      </w:r>
      <w:r w:rsidRPr="008F03E5">
        <w:rPr>
          <w:u w:val="single"/>
        </w:rPr>
        <w:t>gh</w:t>
      </w:r>
      <w:r w:rsidRPr="008F03E5">
        <w:tab/>
        <w:t>Ar. emptiness, vacuity; vacancy; termination, expiration, exhaustion</w:t>
      </w:r>
    </w:p>
    <w:p w14:paraId="352FAB37" w14:textId="77777777" w:rsidR="00625A5B" w:rsidRPr="008F03E5" w:rsidRDefault="00625A5B" w:rsidP="00B84DA2">
      <w:pPr>
        <w:pStyle w:val="Translit"/>
      </w:pPr>
      <w:r w:rsidRPr="008F03E5">
        <w:t>Furugh</w:t>
      </w:r>
      <w:r w:rsidRPr="008F03E5">
        <w:tab/>
        <w:t>Furú</w:t>
      </w:r>
      <w:r w:rsidRPr="008F03E5">
        <w:rPr>
          <w:u w:val="single"/>
        </w:rPr>
        <w:t>gh</w:t>
      </w:r>
      <w:r w:rsidRPr="008F03E5">
        <w:tab/>
        <w:t>Pers. splendour, light, brightness, flame.  Name given by Bahá’u’lláh to the remote village of Dú</w:t>
      </w:r>
      <w:r w:rsidRPr="008F03E5">
        <w:rPr>
          <w:u w:val="single"/>
        </w:rPr>
        <w:t>gh</w:t>
      </w:r>
      <w:r w:rsidRPr="008F03E5">
        <w:t>ábád.  See Dú</w:t>
      </w:r>
      <w:r w:rsidRPr="008F03E5">
        <w:rPr>
          <w:u w:val="single"/>
        </w:rPr>
        <w:t>gh</w:t>
      </w:r>
      <w:r w:rsidRPr="008F03E5">
        <w:t>-Ábád</w:t>
      </w:r>
    </w:p>
    <w:p w14:paraId="00C837A6" w14:textId="77777777" w:rsidR="00625A5B" w:rsidRPr="008F03E5" w:rsidRDefault="00625A5B" w:rsidP="00755514">
      <w:pPr>
        <w:pStyle w:val="Translit"/>
      </w:pPr>
      <w:r w:rsidRPr="008F03E5">
        <w:t>Furughi</w:t>
      </w:r>
      <w:r w:rsidRPr="008F03E5">
        <w:tab/>
        <w:t>Furú</w:t>
      </w:r>
      <w:r w:rsidRPr="008F03E5">
        <w:rPr>
          <w:u w:val="single"/>
        </w:rPr>
        <w:t>gh</w:t>
      </w:r>
      <w:r w:rsidRPr="008F03E5">
        <w:t>í</w:t>
      </w:r>
      <w:r w:rsidRPr="008F03E5">
        <w:tab/>
        <w:t>(Forooghy) the erudite Mírzá Maḥmúd Furú</w:t>
      </w:r>
      <w:r w:rsidRPr="00B80A51">
        <w:rPr>
          <w:u w:val="single"/>
        </w:rPr>
        <w:t>gh</w:t>
      </w:r>
      <w:r w:rsidRPr="008F03E5">
        <w:t>í came from the village of Dú</w:t>
      </w:r>
      <w:r w:rsidRPr="008F03E5">
        <w:rPr>
          <w:u w:val="single"/>
        </w:rPr>
        <w:t>gh</w:t>
      </w:r>
      <w:r w:rsidRPr="008F03E5">
        <w:t>ábád.  That is why Mírzá Maḥmúd is known as Furú</w:t>
      </w:r>
      <w:r w:rsidRPr="008F03E5">
        <w:rPr>
          <w:u w:val="single"/>
        </w:rPr>
        <w:t>gh</w:t>
      </w:r>
      <w:r w:rsidRPr="008F03E5">
        <w:t>í.  Faḍíl-i-Furú</w:t>
      </w:r>
      <w:r w:rsidRPr="008F03E5">
        <w:rPr>
          <w:u w:val="single"/>
        </w:rPr>
        <w:t>gh</w:t>
      </w:r>
      <w:r w:rsidRPr="008F03E5">
        <w:t>í—the Savant of Furú</w:t>
      </w:r>
      <w:r w:rsidRPr="008F03E5">
        <w:rPr>
          <w:u w:val="single"/>
        </w:rPr>
        <w:t>gh</w:t>
      </w:r>
      <w:r w:rsidRPr="008F03E5">
        <w:t xml:space="preserve">—is also an appellation by which he is remembered.  ‘Abdu’l-Bahá described him as a leader of the legion of the believers. </w:t>
      </w:r>
      <w:r w:rsidRPr="008F03E5">
        <w:rPr>
          <w:i/>
          <w:iCs/>
        </w:rPr>
        <w:t>Eminent Bahá’ís in the Time of Bahá’u’lláh</w:t>
      </w:r>
      <w:r w:rsidRPr="008F03E5">
        <w:t>, pp. 157, 164.  See jay</w:t>
      </w:r>
      <w:r w:rsidRPr="008F03E5">
        <w:rPr>
          <w:u w:val="single"/>
        </w:rPr>
        <w:t>sh</w:t>
      </w:r>
      <w:r w:rsidRPr="008F03E5">
        <w:t xml:space="preserve"> ‘aramram.</w:t>
      </w:r>
    </w:p>
    <w:p w14:paraId="1C0B868A" w14:textId="77777777" w:rsidR="00625A5B" w:rsidRPr="008F03E5" w:rsidRDefault="00625A5B" w:rsidP="00900A82">
      <w:pPr>
        <w:pStyle w:val="Translit"/>
      </w:pPr>
      <w:r w:rsidRPr="008F03E5">
        <w:t>Furughiyyih</w:t>
      </w:r>
      <w:r w:rsidRPr="008F03E5">
        <w:tab/>
        <w:t>Furú</w:t>
      </w:r>
      <w:r w:rsidRPr="008F03E5">
        <w:rPr>
          <w:u w:val="single"/>
        </w:rPr>
        <w:t>gh</w:t>
      </w:r>
      <w:r w:rsidRPr="008F03E5">
        <w:t>íyyih</w:t>
      </w:r>
      <w:r w:rsidRPr="008F03E5">
        <w:tab/>
        <w:t>name of a daughter of Bahá’u’lláh</w:t>
      </w:r>
    </w:p>
    <w:p w14:paraId="01352E8F" w14:textId="77777777" w:rsidR="00625A5B" w:rsidRPr="008F03E5" w:rsidRDefault="00625A5B" w:rsidP="001A3D3B">
      <w:pPr>
        <w:pStyle w:val="Translit"/>
      </w:pPr>
      <w:r w:rsidRPr="008F03E5">
        <w:t>Furuhar, Farawahar (Faravahar)</w:t>
      </w:r>
      <w:r w:rsidRPr="008F03E5">
        <w:tab/>
        <w:t>Furúhar, Farawahár</w:t>
      </w:r>
      <w:r w:rsidRPr="008F03E5">
        <w:tab/>
        <w:t>classical Pers. matter, essence (distinguished from accident).  The new Persian reading of Furúhar (</w:t>
      </w:r>
      <w:r w:rsidRPr="008F03E5">
        <w:rPr>
          <w:sz w:val="16"/>
          <w:szCs w:val="16"/>
        </w:rPr>
        <w:t>FRWHR</w:t>
      </w:r>
      <w:r w:rsidRPr="008F03E5">
        <w:t xml:space="preserve"> </w:t>
      </w:r>
      <w:r w:rsidRPr="008F03E5">
        <w:rPr>
          <w:rtl/>
        </w:rPr>
        <w:t>فروهر</w:t>
      </w:r>
      <w:r w:rsidRPr="008F03E5">
        <w:t>) is Farawahár, Faravahár, Forouhar.  The Farawahár, also known as Farr-i-Kiyání (</w:t>
      </w:r>
      <w:r w:rsidRPr="008F03E5">
        <w:rPr>
          <w:rtl/>
        </w:rPr>
        <w:t>فرکیانی</w:t>
      </w:r>
      <w:r w:rsidRPr="008F03E5">
        <w:t>) or A</w:t>
      </w:r>
      <w:r w:rsidRPr="008F03E5">
        <w:rPr>
          <w:u w:val="single"/>
        </w:rPr>
        <w:t>sh</w:t>
      </w:r>
      <w:r w:rsidRPr="008F03E5">
        <w:t>u Farúhar, is one of the best-known symbols of Iran.  It symbolizes Zoroastrianism and Iranian nationalism.  The Farawahár is the most worn pendant among Iranians and has become a secular national symbol, rather than a religious symbol.  It symbolizes good thoughts (pindár-i-nik), good words (speech) (guftár-i-nik) and good deeds (kirdár-i-nik), which are the basic tenets and principles of Zoroastrianism.  The winged-disc symbol (“guardian angel”) of Zoroastrianism is traditionally interpreted as a depiction of a frawashi—the Avestan language term for the Zoroastrian concept of a personal spirit of an individual, whether dead, living and yet-unborn.</w:t>
      </w:r>
    </w:p>
    <w:p w14:paraId="7047DB6E" w14:textId="77777777" w:rsidR="00625A5B" w:rsidRPr="008F03E5" w:rsidRDefault="00625A5B" w:rsidP="00695FEE">
      <w:pPr>
        <w:pStyle w:val="Translit"/>
      </w:pPr>
      <w:r w:rsidRPr="008F03E5">
        <w:t>Fustat, Fasatit</w:t>
      </w:r>
      <w:r w:rsidRPr="008F03E5">
        <w:tab/>
        <w:t>Fusṭáṭ, pl. Fasáṭíṭ</w:t>
      </w:r>
      <w:r w:rsidRPr="008F03E5">
        <w:tab/>
        <w:t>(large) tent made of haircloth; tent, pavilion, canopy; al-Fusṭáṭ ancient Islamic city 5 km south of present-day Cairo.  It was the first capital of Egypt under Muslim rule.  Built by the Muslim general ‘Amr ibn al-‘Aṣ immediately after the Muslim conquest of Egypt in 641, and featured the Mosque of ‘Amr, the first mosque built in Egypt and in Africa.</w:t>
      </w:r>
    </w:p>
    <w:p w14:paraId="0FBA0B5B" w14:textId="77777777" w:rsidR="00625A5B" w:rsidRPr="008F03E5" w:rsidRDefault="00625A5B" w:rsidP="003B6623">
      <w:pPr>
        <w:pStyle w:val="Translit"/>
      </w:pPr>
      <w:r w:rsidRPr="008F03E5">
        <w:t>Fususu’l-Hikam</w:t>
      </w:r>
      <w:r w:rsidRPr="008F03E5">
        <w:tab/>
        <w:t>Fuṣúṣu’l-Ḥikam</w:t>
      </w:r>
      <w:r w:rsidRPr="008F03E5">
        <w:tab/>
      </w:r>
      <w:r w:rsidRPr="008F03E5">
        <w:rPr>
          <w:i/>
          <w:iCs/>
        </w:rPr>
        <w:t>The Bezels of Wisdom</w:t>
      </w:r>
      <w:r w:rsidRPr="008F03E5">
        <w:t xml:space="preserve"> by</w:t>
      </w:r>
      <w:r w:rsidRPr="008F03E5">
        <w:rPr>
          <w:i/>
          <w:iCs/>
        </w:rPr>
        <w:t xml:space="preserve"> </w:t>
      </w:r>
      <w:r w:rsidRPr="008F03E5">
        <w:t>Ibnu’l-‘Arabí.  See Faṣṣ and Ḥikma</w:t>
      </w:r>
    </w:p>
    <w:p w14:paraId="6F525708" w14:textId="77777777" w:rsidR="00625A5B" w:rsidRPr="008F03E5" w:rsidRDefault="00625A5B" w:rsidP="00D9559C">
      <w:pPr>
        <w:pStyle w:val="Translit"/>
      </w:pPr>
      <w:r w:rsidRPr="008F03E5">
        <w:t>Futa, Fuwat</w:t>
      </w:r>
      <w:r w:rsidRPr="008F03E5">
        <w:tab/>
        <w:t>Fúṭa[t], pl. Fuwat</w:t>
      </w:r>
      <w:r w:rsidRPr="008F03E5">
        <w:tab/>
        <w:t>apron, pinafore; napkin, serviette; towel.  Wrap-around male skirt worn by men in Yemen.</w:t>
      </w:r>
    </w:p>
    <w:p w14:paraId="44E1B7DB" w14:textId="77777777" w:rsidR="00625A5B" w:rsidRDefault="00625A5B" w:rsidP="009C30D7">
      <w:pPr>
        <w:pStyle w:val="Translit"/>
      </w:pPr>
      <w:r w:rsidRPr="008F03E5">
        <w:t>Futuh ar-Rasul</w:t>
      </w:r>
      <w:r w:rsidRPr="008F03E5">
        <w:tab/>
        <w:t>Futúḥ ar-Rasúl</w:t>
      </w:r>
      <w:r w:rsidRPr="008F03E5">
        <w:tab/>
        <w:t>“Victories of the Messenger”.  It is possible the Báb travelled on a ship of this name from Bú</w:t>
      </w:r>
      <w:r w:rsidRPr="008F03E5">
        <w:rPr>
          <w:u w:val="single"/>
        </w:rPr>
        <w:t>sh</w:t>
      </w:r>
      <w:r w:rsidRPr="008F03E5">
        <w:t xml:space="preserve">ihr to Jiddah in </w:t>
      </w:r>
    </w:p>
    <w:p w14:paraId="22572041" w14:textId="77777777" w:rsidR="00625A5B" w:rsidRPr="008F03E5" w:rsidRDefault="00625A5B" w:rsidP="009F5CDF">
      <w:pPr>
        <w:pStyle w:val="Translit"/>
      </w:pPr>
      <w:r w:rsidRPr="00077779">
        <w:t>Futuhat al-Makkiyah</w:t>
      </w:r>
      <w:r w:rsidRPr="00077779">
        <w:tab/>
        <w:t>Futúḥát al-Makk</w:t>
      </w:r>
      <w:r>
        <w:t>i</w:t>
      </w:r>
      <w:r w:rsidRPr="00077779">
        <w:t>y</w:t>
      </w:r>
      <w:r>
        <w:t>y</w:t>
      </w:r>
      <w:r w:rsidRPr="00077779">
        <w:t>a</w:t>
      </w:r>
      <w:r>
        <w:t>h</w:t>
      </w:r>
      <w:r w:rsidRPr="00077779">
        <w:tab/>
      </w:r>
      <w:r>
        <w:t>Kit</w:t>
      </w:r>
      <w:r w:rsidRPr="005F42D4">
        <w:t>á</w:t>
      </w:r>
      <w:r>
        <w:t>b al-</w:t>
      </w:r>
      <w:r w:rsidRPr="000771B2">
        <w:t>Futú</w:t>
      </w:r>
      <w:r w:rsidRPr="005F42D4">
        <w:t>ḥ</w:t>
      </w:r>
      <w:r w:rsidRPr="000771B2">
        <w:t>át</w:t>
      </w:r>
      <w:r>
        <w:t xml:space="preserve"> al</w:t>
      </w:r>
      <w:r w:rsidRPr="000771B2">
        <w:t>-Makk</w:t>
      </w:r>
      <w:r>
        <w:t>i</w:t>
      </w:r>
      <w:r w:rsidRPr="000771B2">
        <w:t>y</w:t>
      </w:r>
      <w:r>
        <w:t>yah</w:t>
      </w:r>
      <w:r w:rsidRPr="00077779">
        <w:t>, “</w:t>
      </w:r>
      <w:r>
        <w:t>The Book of Meccan Revelations</w:t>
      </w:r>
      <w:r w:rsidRPr="00077779">
        <w:t xml:space="preserve">” by </w:t>
      </w:r>
      <w:r w:rsidRPr="000771B2">
        <w:rPr>
          <w:u w:val="single"/>
        </w:rPr>
        <w:t>Sh</w:t>
      </w:r>
      <w:r w:rsidRPr="000771B2">
        <w:t>ay</w:t>
      </w:r>
      <w:r w:rsidRPr="000771B2">
        <w:rPr>
          <w:u w:val="single"/>
        </w:rPr>
        <w:t>kh</w:t>
      </w:r>
      <w:r w:rsidRPr="000771B2">
        <w:t xml:space="preserve"> </w:t>
      </w:r>
      <w:r w:rsidRPr="00077779">
        <w:t xml:space="preserve">ibn ‘Arabí.  </w:t>
      </w:r>
      <w:r w:rsidRPr="008F03E5">
        <w:t>See Fataḥa and Makkí.</w:t>
      </w:r>
    </w:p>
    <w:p w14:paraId="037D3356" w14:textId="77777777" w:rsidR="00625A5B" w:rsidRPr="008F03E5" w:rsidRDefault="00625A5B" w:rsidP="0024326A">
      <w:pPr>
        <w:pStyle w:val="Myhead"/>
      </w:pPr>
      <w:bookmarkStart w:id="73" w:name="G"/>
      <w:r w:rsidRPr="008F03E5">
        <w:t>G</w:t>
      </w:r>
      <w:bookmarkEnd w:id="73"/>
    </w:p>
    <w:p w14:paraId="752715EC" w14:textId="77777777" w:rsidR="00625A5B" w:rsidRPr="008F03E5" w:rsidRDefault="00625A5B" w:rsidP="00645DE3">
      <w:pPr>
        <w:pStyle w:val="Translit"/>
      </w:pPr>
      <w:r w:rsidRPr="008F03E5">
        <w:t>Gabr</w:t>
      </w:r>
      <w:r w:rsidRPr="008F03E5">
        <w:tab/>
        <w:t>Gabr</w:t>
      </w:r>
      <w:r w:rsidRPr="008F03E5">
        <w:tab/>
        <w:t>Pers. (Persian ethnic slur for non-Muslims; also historically equivalent to the Arabic Majús) a guebre (also geubre, gabrak, gawr, gaur, gyaur, gabre) originally an ancient Persian (i.e. a Zoroastrian), one of the Magi of the sect of Zoroaster (a priest of the worshippers of fire); by the 13th century the word denoted a pagan, an infidel; a plant resembling ginger; a vest; a stone.  After gabr came to have a pejorative implication, it was superseded in literature by the respectable Zartu</w:t>
      </w:r>
      <w:r w:rsidRPr="008F03E5">
        <w:rPr>
          <w:u w:val="single"/>
        </w:rPr>
        <w:t>sh</w:t>
      </w:r>
      <w:r w:rsidRPr="008F03E5">
        <w:t>tí (“Zoroastrian”).  See gawr.</w:t>
      </w:r>
    </w:p>
    <w:p w14:paraId="7780FAF6" w14:textId="77777777" w:rsidR="00625A5B" w:rsidRPr="008F03E5" w:rsidRDefault="00625A5B" w:rsidP="0058428E">
      <w:pPr>
        <w:pStyle w:val="Translit"/>
      </w:pPr>
      <w:r w:rsidRPr="008F03E5">
        <w:t>Gach</w:t>
      </w:r>
      <w:r w:rsidRPr="008F03E5">
        <w:tab/>
        <w:t>Ga</w:t>
      </w:r>
      <w:r w:rsidRPr="008F03E5">
        <w:rPr>
          <w:u w:val="single"/>
        </w:rPr>
        <w:t>ch</w:t>
      </w:r>
      <w:r w:rsidRPr="008F03E5">
        <w:tab/>
        <w:t xml:space="preserve">Pers. a kind of white earth of which lime is made of; </w:t>
      </w:r>
      <w:r w:rsidRPr="008F03E5">
        <w:rPr>
          <w:lang w:eastAsia="en-US"/>
        </w:rPr>
        <w:t>a plaster of lime and gypsum mixed with sand and pounded marble.</w:t>
      </w:r>
    </w:p>
    <w:p w14:paraId="2A28B5B7" w14:textId="77777777" w:rsidR="00625A5B" w:rsidRPr="008F03E5" w:rsidRDefault="00625A5B" w:rsidP="005343F8">
      <w:pPr>
        <w:pStyle w:val="Translit"/>
      </w:pPr>
      <w:r w:rsidRPr="008F03E5">
        <w:t>Gaf</w:t>
      </w:r>
      <w:r w:rsidRPr="008F03E5">
        <w:tab/>
        <w:t>Gáf</w:t>
      </w:r>
      <w:r w:rsidRPr="008F03E5">
        <w:tab/>
        <w:t>Persian letter representing g—a form of the Arabic letter káf</w:t>
      </w:r>
    </w:p>
    <w:p w14:paraId="76CFFB2E" w14:textId="77777777" w:rsidR="00625A5B" w:rsidRPr="008F03E5" w:rsidRDefault="00625A5B" w:rsidP="001928EA">
      <w:pPr>
        <w:pStyle w:val="Translit"/>
      </w:pPr>
      <w:r w:rsidRPr="008F03E5">
        <w:t>Gah-bar, Gah.Barba, Gahanbarha</w:t>
      </w:r>
      <w:r w:rsidRPr="008F03E5">
        <w:tab/>
        <w:t>Gáh-bár, Gáh-bárhá, Gáhanbárhá</w:t>
      </w:r>
      <w:r w:rsidRPr="008F03E5">
        <w:tab/>
        <w:t>Pers. “proper season”, the six days or periods in which (according to the cosmogony of the ancient Persians) God created the world.</w:t>
      </w:r>
    </w:p>
    <w:p w14:paraId="23E3FB6A" w14:textId="77777777" w:rsidR="00625A5B" w:rsidRPr="008F03E5" w:rsidRDefault="00625A5B" w:rsidP="00180381">
      <w:pPr>
        <w:pStyle w:val="Translit"/>
      </w:pPr>
      <w:r w:rsidRPr="008F03E5">
        <w:t>Gallipoli</w:t>
      </w:r>
      <w:r w:rsidRPr="008F03E5">
        <w:tab/>
        <w:t>Gallipoli</w:t>
      </w:r>
      <w:r w:rsidRPr="008F03E5">
        <w:tab/>
        <w:t>Italian form of the Greek Kallipolis (“beautiful city”), Turkish Gelibolu.  Gallipoli is a coastal city on the Gallipoli peninsula, which was a district of the Rumelia province of the Ottoman Empire, later Turkey, and now Türkiye.</w:t>
      </w:r>
    </w:p>
    <w:p w14:paraId="7C30D3F7" w14:textId="77777777" w:rsidR="00625A5B" w:rsidRPr="008F03E5" w:rsidRDefault="00625A5B" w:rsidP="00DC13BA">
      <w:pPr>
        <w:pStyle w:val="Translit"/>
      </w:pPr>
      <w:r w:rsidRPr="008F03E5">
        <w:t>Ganavih (Genaveh)</w:t>
      </w:r>
      <w:r w:rsidRPr="008F03E5">
        <w:tab/>
        <w:t>Ganávih</w:t>
      </w:r>
      <w:r w:rsidRPr="008F03E5">
        <w:tab/>
        <w:t xml:space="preserve">Bandar (Port) Ganávih, or Ganávih, formerly Jannáb, is a city in and capital of Genaveh County, Bushehr Province, Iran.  It is on the Persian Gulf coast 75 km </w:t>
      </w:r>
      <w:r w:rsidRPr="008F03E5">
        <w:rPr>
          <w:sz w:val="16"/>
          <w:szCs w:val="16"/>
        </w:rPr>
        <w:t>NNW</w:t>
      </w:r>
      <w:r w:rsidRPr="008F03E5">
        <w:t xml:space="preserve"> of Bú</w:t>
      </w:r>
      <w:r w:rsidRPr="008F03E5">
        <w:rPr>
          <w:u w:val="single"/>
        </w:rPr>
        <w:t>sh</w:t>
      </w:r>
      <w:r w:rsidRPr="008F03E5">
        <w:t>ihr</w:t>
      </w:r>
    </w:p>
    <w:p w14:paraId="7840AF5A" w14:textId="77777777" w:rsidR="00625A5B" w:rsidRPr="008F03E5" w:rsidRDefault="00625A5B" w:rsidP="00DC13BA">
      <w:pPr>
        <w:pStyle w:val="Translit"/>
      </w:pPr>
      <w:r w:rsidRPr="008F03E5">
        <w:t>Gand</w:t>
      </w:r>
      <w:r w:rsidRPr="008F03E5">
        <w:tab/>
        <w:t>Gand</w:t>
      </w:r>
      <w:r w:rsidRPr="008F03E5">
        <w:tab/>
        <w:t>Pers. anything fetid, bad smell, stink, funk.  Can result from a mispronounciation of qand</w:t>
      </w:r>
    </w:p>
    <w:p w14:paraId="6493FCDD" w14:textId="77777777" w:rsidR="00625A5B" w:rsidRPr="008F03E5" w:rsidRDefault="00625A5B" w:rsidP="00A14D98">
      <w:pPr>
        <w:pStyle w:val="Translit"/>
      </w:pPr>
      <w:r w:rsidRPr="008F03E5">
        <w:t>Gandum</w:t>
      </w:r>
      <w:r w:rsidRPr="008F03E5">
        <w:tab/>
        <w:t>Gandum</w:t>
      </w:r>
      <w:r w:rsidRPr="008F03E5">
        <w:tab/>
        <w:t>Pers. wheat</w:t>
      </w:r>
    </w:p>
    <w:p w14:paraId="1C589D27" w14:textId="77777777" w:rsidR="00625A5B" w:rsidRPr="008F03E5" w:rsidRDefault="00625A5B" w:rsidP="00900A82">
      <w:pPr>
        <w:pStyle w:val="Translit"/>
      </w:pPr>
      <w:r w:rsidRPr="008F03E5">
        <w:t>Gandum-Pak-Kun</w:t>
      </w:r>
      <w:r w:rsidRPr="008F03E5">
        <w:tab/>
        <w:t>Gandum-Pák-Kun</w:t>
      </w:r>
      <w:r w:rsidRPr="008F03E5">
        <w:tab/>
        <w:t>Mullá Muḥammad Ja‘far—the first person in Iṣfahán to accept the Faith of the Báb</w:t>
      </w:r>
    </w:p>
    <w:p w14:paraId="0E91A61B" w14:textId="77777777" w:rsidR="00625A5B" w:rsidRPr="00A96054" w:rsidRDefault="00625A5B" w:rsidP="002749C4">
      <w:pPr>
        <w:pStyle w:val="Translit"/>
      </w:pPr>
      <w:r w:rsidRPr="00A96054">
        <w:t>Ganj Panhan</w:t>
      </w:r>
      <w:r>
        <w:t xml:space="preserve">, </w:t>
      </w:r>
      <w:r w:rsidRPr="00A96054">
        <w:t>Ganj P</w:t>
      </w:r>
      <w:r>
        <w:t>i</w:t>
      </w:r>
      <w:r w:rsidRPr="00A96054">
        <w:t>nhan</w:t>
      </w:r>
      <w:r w:rsidRPr="00A96054">
        <w:tab/>
        <w:t>Ganj Panh</w:t>
      </w:r>
      <w:r w:rsidRPr="002749C4">
        <w:t>á</w:t>
      </w:r>
      <w:r w:rsidRPr="00A96054">
        <w:t>n</w:t>
      </w:r>
      <w:r w:rsidRPr="00A96054">
        <w:tab/>
        <w:t xml:space="preserve">Pers. </w:t>
      </w:r>
      <w:r>
        <w:t>“</w:t>
      </w:r>
      <w:r w:rsidRPr="00A96054">
        <w:t>hidden treasure</w:t>
      </w:r>
      <w:r>
        <w:t>”.  The Báb called Qudd</w:t>
      </w:r>
      <w:r w:rsidRPr="00A96054">
        <w:t>ú</w:t>
      </w:r>
      <w:r>
        <w:t xml:space="preserve">s a </w:t>
      </w:r>
      <w:r w:rsidRPr="00712297">
        <w:t>Ganj</w:t>
      </w:r>
      <w:r>
        <w:t xml:space="preserve"> </w:t>
      </w:r>
      <w:r w:rsidRPr="00712297">
        <w:t>Pinhán</w:t>
      </w:r>
      <w:r>
        <w:t xml:space="preserve"> </w:t>
      </w:r>
      <w:r w:rsidRPr="008F03E5">
        <w:rPr>
          <w:u w:val="single"/>
        </w:rPr>
        <w:t>Kh</w:t>
      </w:r>
      <w:r w:rsidRPr="008F03E5">
        <w:t>udá</w:t>
      </w:r>
      <w:r>
        <w:t xml:space="preserve"> (a “Hidden treasure of God”).  </w:t>
      </w:r>
      <w:r w:rsidRPr="00F119BB">
        <w:rPr>
          <w:i/>
          <w:iCs/>
        </w:rPr>
        <w:t>Ganj-i-Pinhán</w:t>
      </w:r>
      <w:r w:rsidRPr="00891A8E">
        <w:t xml:space="preserve"> by Hooshmand Dehghan</w:t>
      </w:r>
      <w:r>
        <w:t>.</w:t>
      </w:r>
    </w:p>
    <w:p w14:paraId="049E117C" w14:textId="77777777" w:rsidR="00625A5B" w:rsidRDefault="00625A5B" w:rsidP="00D440DA">
      <w:pPr>
        <w:pStyle w:val="Translit"/>
      </w:pPr>
      <w:r w:rsidRPr="008F03E5">
        <w:t>Ganj</w:t>
      </w:r>
      <w:r w:rsidRPr="008F03E5">
        <w:tab/>
        <w:t>Ganj</w:t>
      </w:r>
      <w:r w:rsidRPr="008F03E5">
        <w:tab/>
        <w:t xml:space="preserve">Pers. a store, hoard, </w:t>
      </w:r>
      <w:r>
        <w:t>(</w:t>
      </w:r>
      <w:r w:rsidRPr="008F03E5">
        <w:t>hidden</w:t>
      </w:r>
      <w:r>
        <w:t>)</w:t>
      </w:r>
      <w:r w:rsidRPr="008F03E5">
        <w:t xml:space="preserve"> treasure; a magazine, granary, grain-market, storehouse; a mart; a case</w:t>
      </w:r>
    </w:p>
    <w:p w14:paraId="3F1173F3" w14:textId="77777777" w:rsidR="00625A5B" w:rsidRPr="008F03E5" w:rsidRDefault="00625A5B" w:rsidP="00D440DA">
      <w:pPr>
        <w:pStyle w:val="Translit"/>
      </w:pPr>
      <w:r w:rsidRPr="008F03E5">
        <w:t>Ganja, Ganjih, Ganjeh, Ganza, Gandzha</w:t>
      </w:r>
      <w:r w:rsidRPr="008F03E5">
        <w:tab/>
        <w:t>Ganja</w:t>
      </w:r>
      <w:r w:rsidRPr="008F03E5">
        <w:tab/>
        <w:t>city (40.691348, 46.376470; 3rd largest) in Á</w:t>
      </w:r>
      <w:r w:rsidRPr="008F03E5">
        <w:rPr>
          <w:u w:val="single"/>
        </w:rPr>
        <w:t>dh</w:t>
      </w:r>
      <w:r w:rsidRPr="008F03E5">
        <w:rPr>
          <w:rFonts w:eastAsia="PMingLiU"/>
          <w:lang w:eastAsia="zh-TW"/>
        </w:rPr>
        <w:t>arbayj</w:t>
      </w:r>
      <w:r w:rsidRPr="008F03E5">
        <w:t>á</w:t>
      </w:r>
      <w:r w:rsidRPr="008F03E5">
        <w:rPr>
          <w:rFonts w:eastAsia="PMingLiU"/>
          <w:lang w:eastAsia="zh-TW"/>
        </w:rPr>
        <w:t>n</w:t>
      </w:r>
      <w:r w:rsidRPr="008F03E5">
        <w:t>.  It was named Yelizavetpól (Elisabethpol) in the Russian Empire period.  Under the Soviet Union (1920), the city regained its original name, then changed to Kirovabád in 1935.  In 1989 the city regained its original name.  Known as Gyandzha, Gandzak, and Ganjeh in Russian, Armenian and Persian, respectively.</w:t>
      </w:r>
    </w:p>
    <w:p w14:paraId="1B9A0A12" w14:textId="77777777" w:rsidR="00625A5B" w:rsidRPr="008F03E5" w:rsidRDefault="00625A5B" w:rsidP="004C0412">
      <w:pPr>
        <w:pStyle w:val="Translit"/>
      </w:pPr>
      <w:r w:rsidRPr="008F03E5">
        <w:t>Gar</w:t>
      </w:r>
      <w:r w:rsidRPr="008F03E5">
        <w:tab/>
        <w:t>Gár</w:t>
      </w:r>
      <w:r w:rsidRPr="008F03E5">
        <w:tab/>
        <w:t>Pers. a suffix that, subjoined to a word, denotes agency or possession</w:t>
      </w:r>
    </w:p>
    <w:p w14:paraId="7F811161" w14:textId="77777777" w:rsidR="00625A5B" w:rsidRPr="008F03E5" w:rsidRDefault="00625A5B" w:rsidP="00816C58">
      <w:pPr>
        <w:pStyle w:val="Translit"/>
      </w:pPr>
      <w:r w:rsidRPr="008F03E5">
        <w:t>Garb</w:t>
      </w:r>
      <w:r w:rsidRPr="008F03E5">
        <w:tab/>
        <w:t>Garb</w:t>
      </w:r>
      <w:r w:rsidRPr="008F03E5">
        <w:tab/>
        <w:t>west; occident; vehemence, violence, impetuosity, tempestuousness; al-Garb—the West, the Occident</w:t>
      </w:r>
    </w:p>
    <w:p w14:paraId="1584A2F6" w14:textId="77777777" w:rsidR="00625A5B" w:rsidRPr="008F03E5" w:rsidRDefault="00625A5B" w:rsidP="00816C58">
      <w:pPr>
        <w:pStyle w:val="Translit"/>
      </w:pPr>
      <w:r w:rsidRPr="008F03E5">
        <w:t>Garbi</w:t>
      </w:r>
      <w:r w:rsidRPr="008F03E5">
        <w:tab/>
        <w:t>Garbí</w:t>
      </w:r>
      <w:r w:rsidRPr="008F03E5">
        <w:tab/>
        <w:t>western, westerly; occidental, Western; European; an Occidental, a Westerner;—al-Garbíyún the Western Church (Christian)</w:t>
      </w:r>
    </w:p>
    <w:p w14:paraId="1C6C806D" w14:textId="77777777" w:rsidR="00625A5B" w:rsidRPr="008F03E5" w:rsidRDefault="00625A5B" w:rsidP="00DA35FF">
      <w:pPr>
        <w:pStyle w:val="Translit"/>
      </w:pPr>
      <w:r w:rsidRPr="008F03E5">
        <w:t>Gardan</w:t>
      </w:r>
      <w:r w:rsidRPr="008F03E5">
        <w:tab/>
        <w:t>Gardán</w:t>
      </w:r>
      <w:r w:rsidRPr="008F03E5">
        <w:tab/>
        <w:t>Pers. turning, winding, changing, inverting, converting; one who turns or goes round; conjugation, inflexion; meat parboiled and roasted with spices</w:t>
      </w:r>
    </w:p>
    <w:p w14:paraId="09878CE6" w14:textId="77777777" w:rsidR="00625A5B" w:rsidRPr="008F03E5" w:rsidRDefault="00625A5B" w:rsidP="00A52815">
      <w:pPr>
        <w:pStyle w:val="Translit"/>
      </w:pPr>
      <w:r w:rsidRPr="008F03E5">
        <w:t>Gardanih-i-Asad-Abad</w:t>
      </w:r>
      <w:r w:rsidRPr="008F03E5">
        <w:tab/>
        <w:t>Gardánih-i-Ásad-Ábád</w:t>
      </w:r>
      <w:r w:rsidRPr="008F03E5">
        <w:tab/>
        <w:t>(Gardaneh-ye-Asadabad) a stopping place (34.812973, 48.162259) for Bahá’u’lláh during exile between Hamadán and Ásad-Ábád.</w:t>
      </w:r>
    </w:p>
    <w:p w14:paraId="303508FB" w14:textId="77777777" w:rsidR="00625A5B" w:rsidRPr="008F03E5" w:rsidRDefault="00625A5B" w:rsidP="00DA35FF">
      <w:pPr>
        <w:pStyle w:val="Translit"/>
      </w:pPr>
      <w:r w:rsidRPr="008F03E5">
        <w:t>Gari</w:t>
      </w:r>
      <w:r w:rsidRPr="008F03E5">
        <w:tab/>
        <w:t>Garí</w:t>
      </w:r>
      <w:r w:rsidRPr="008F03E5">
        <w:tab/>
        <w:t>Pers. any standard of measure, whether for land, cloth, grain, liquids, or time; a measure of time, twenty-two minutes and thirty seconds; the itch, scab.  Practice, trade, craft, office (when used as a suffix).</w:t>
      </w:r>
    </w:p>
    <w:p w14:paraId="7DA64C36" w14:textId="77777777" w:rsidR="00625A5B" w:rsidRPr="008F03E5" w:rsidRDefault="00625A5B" w:rsidP="00DA35FF">
      <w:pPr>
        <w:pStyle w:val="Translit"/>
        <w:rPr>
          <w:rFonts w:eastAsia="PMingLiU"/>
          <w:lang w:eastAsia="zh-TW"/>
        </w:rPr>
      </w:pPr>
      <w:r w:rsidRPr="008F03E5">
        <w:rPr>
          <w:rFonts w:eastAsia="PMingLiU"/>
          <w:lang w:eastAsia="zh-TW"/>
        </w:rPr>
        <w:t>Garm Rud, Garmrud (Garmroud)</w:t>
      </w:r>
      <w:r w:rsidRPr="008F03E5">
        <w:rPr>
          <w:rFonts w:eastAsia="PMingLiU"/>
          <w:lang w:eastAsia="zh-TW"/>
        </w:rPr>
        <w:tab/>
        <w:t>Garm R</w:t>
      </w:r>
      <w:r w:rsidRPr="008F03E5">
        <w:t>ú</w:t>
      </w:r>
      <w:r w:rsidRPr="008F03E5">
        <w:rPr>
          <w:rFonts w:eastAsia="PMingLiU"/>
          <w:lang w:eastAsia="zh-TW"/>
        </w:rPr>
        <w:t>d (or Garmr</w:t>
      </w:r>
      <w:r w:rsidRPr="008F03E5">
        <w:t>ú</w:t>
      </w:r>
      <w:r w:rsidRPr="008F03E5">
        <w:rPr>
          <w:rFonts w:eastAsia="PMingLiU"/>
          <w:lang w:eastAsia="zh-TW"/>
        </w:rPr>
        <w:t>d)</w:t>
      </w:r>
      <w:r w:rsidRPr="008F03E5">
        <w:rPr>
          <w:rFonts w:eastAsia="PMingLiU"/>
          <w:lang w:eastAsia="zh-TW"/>
        </w:rPr>
        <w:tab/>
        <w:t xml:space="preserve">village northern Iran (16 km </w:t>
      </w:r>
      <w:r w:rsidRPr="008F03E5">
        <w:rPr>
          <w:rFonts w:eastAsia="PMingLiU"/>
          <w:sz w:val="16"/>
          <w:szCs w:val="16"/>
          <w:lang w:eastAsia="zh-TW"/>
        </w:rPr>
        <w:t>SSE</w:t>
      </w:r>
      <w:r w:rsidRPr="008F03E5">
        <w:rPr>
          <w:rFonts w:eastAsia="PMingLiU"/>
          <w:lang w:eastAsia="zh-TW"/>
        </w:rPr>
        <w:t xml:space="preserve"> of S</w:t>
      </w:r>
      <w:r w:rsidRPr="008F03E5">
        <w:t>á</w:t>
      </w:r>
      <w:r w:rsidRPr="008F03E5">
        <w:rPr>
          <w:rFonts w:eastAsia="PMingLiU"/>
          <w:lang w:eastAsia="zh-TW"/>
        </w:rPr>
        <w:t>r</w:t>
      </w:r>
      <w:r w:rsidRPr="008F03E5">
        <w:t>í).  Pers.:  warm or hot (garm) flowing water (rúd)</w:t>
      </w:r>
    </w:p>
    <w:p w14:paraId="6FC6BB4F" w14:textId="77777777" w:rsidR="00625A5B" w:rsidRPr="008F03E5" w:rsidRDefault="00625A5B" w:rsidP="0069249C">
      <w:pPr>
        <w:pStyle w:val="Translit"/>
        <w:rPr>
          <w:rFonts w:eastAsia="PMingLiU"/>
          <w:lang w:eastAsia="zh-TW"/>
        </w:rPr>
      </w:pPr>
      <w:r w:rsidRPr="008F03E5">
        <w:rPr>
          <w:rFonts w:eastAsia="PMingLiU"/>
          <w:lang w:eastAsia="zh-TW"/>
        </w:rPr>
        <w:t>Garm-S</w:t>
      </w:r>
      <w:r w:rsidRPr="008F03E5">
        <w:t>i</w:t>
      </w:r>
      <w:r w:rsidRPr="008F03E5">
        <w:rPr>
          <w:rFonts w:eastAsia="PMingLiU"/>
          <w:lang w:eastAsia="zh-TW"/>
        </w:rPr>
        <w:t>r</w:t>
      </w:r>
      <w:r w:rsidRPr="008F03E5">
        <w:t>i</w:t>
      </w:r>
      <w:r w:rsidRPr="008F03E5">
        <w:tab/>
      </w:r>
      <w:r w:rsidRPr="008F03E5">
        <w:rPr>
          <w:rFonts w:eastAsia="PMingLiU"/>
          <w:lang w:eastAsia="zh-TW"/>
        </w:rPr>
        <w:t>Garm-S</w:t>
      </w:r>
      <w:r w:rsidRPr="008F03E5">
        <w:t>í</w:t>
      </w:r>
      <w:r w:rsidRPr="008F03E5">
        <w:rPr>
          <w:rFonts w:eastAsia="PMingLiU"/>
          <w:lang w:eastAsia="zh-TW"/>
        </w:rPr>
        <w:t>r</w:t>
      </w:r>
      <w:r w:rsidRPr="008F03E5">
        <w:t>í</w:t>
      </w:r>
      <w:r w:rsidRPr="008F03E5">
        <w:tab/>
        <w:t>“warm place”</w:t>
      </w:r>
    </w:p>
    <w:p w14:paraId="360CC41B" w14:textId="77777777" w:rsidR="00625A5B" w:rsidRPr="008F03E5" w:rsidRDefault="00625A5B" w:rsidP="00C422F6">
      <w:pPr>
        <w:pStyle w:val="Translit"/>
        <w:rPr>
          <w:rFonts w:eastAsia="PMingLiU"/>
          <w:lang w:eastAsia="zh-TW"/>
        </w:rPr>
      </w:pPr>
      <w:r w:rsidRPr="008F03E5">
        <w:rPr>
          <w:rFonts w:eastAsia="PMingLiU"/>
          <w:lang w:eastAsia="zh-TW"/>
        </w:rPr>
        <w:t>Gawhar (Gohar, Gauhar, Guhar)</w:t>
      </w:r>
      <w:r w:rsidRPr="008F03E5">
        <w:rPr>
          <w:rFonts w:eastAsia="PMingLiU"/>
          <w:lang w:eastAsia="zh-TW"/>
        </w:rPr>
        <w:tab/>
        <w:t>Gawhar</w:t>
      </w:r>
      <w:r w:rsidRPr="008F03E5">
        <w:rPr>
          <w:rFonts w:eastAsia="PMingLiU"/>
          <w:lang w:eastAsia="zh-TW"/>
        </w:rPr>
        <w:tab/>
        <w:t>Pers. a gem, jewel, pearl, precious stone; lustre of a gem or sword; root, origin; of a noble family; essence, substance, form; offspring; any hidden virtue; intellect, wisdom; a substitute.  See jawhar</w:t>
      </w:r>
    </w:p>
    <w:p w14:paraId="22CC03C5" w14:textId="77777777" w:rsidR="00625A5B" w:rsidRPr="008F03E5" w:rsidRDefault="00625A5B" w:rsidP="0000247D">
      <w:pPr>
        <w:pStyle w:val="Translit"/>
      </w:pPr>
      <w:r w:rsidRPr="008F03E5">
        <w:t>Gawhar Khanum</w:t>
      </w:r>
      <w:r w:rsidRPr="008F03E5">
        <w:tab/>
        <w:t xml:space="preserve">Gawhar </w:t>
      </w:r>
      <w:r w:rsidRPr="008F03E5">
        <w:rPr>
          <w:u w:val="single"/>
        </w:rPr>
        <w:t>Kh</w:t>
      </w:r>
      <w:r w:rsidRPr="008F03E5">
        <w:t>ánum</w:t>
      </w:r>
      <w:r w:rsidRPr="008F03E5">
        <w:tab/>
        <w:t>third wife of Bahá’u’lláh (broke Covenant after the passing of Bahá’u’lláh)—her daughter is Furú</w:t>
      </w:r>
      <w:r w:rsidRPr="008F03E5">
        <w:rPr>
          <w:u w:val="single"/>
        </w:rPr>
        <w:t>gh</w:t>
      </w:r>
      <w:r w:rsidRPr="008F03E5">
        <w:t>íyyih</w:t>
      </w:r>
    </w:p>
    <w:p w14:paraId="07B96CBE" w14:textId="77777777" w:rsidR="00625A5B" w:rsidRPr="008F03E5" w:rsidRDefault="00625A5B" w:rsidP="005709AE">
      <w:pPr>
        <w:pStyle w:val="Translit"/>
      </w:pPr>
      <w:r w:rsidRPr="008F03E5">
        <w:t>Gawhardasht (Gawhar Dasht)</w:t>
      </w:r>
      <w:r w:rsidRPr="008F03E5">
        <w:tab/>
        <w:t>Gawharda</w:t>
      </w:r>
      <w:r w:rsidRPr="008F03E5">
        <w:rPr>
          <w:u w:val="single"/>
        </w:rPr>
        <w:t>sh</w:t>
      </w:r>
      <w:r w:rsidRPr="008F03E5">
        <w:t>t (Gawhar + Da</w:t>
      </w:r>
      <w:r w:rsidRPr="008F03E5">
        <w:rPr>
          <w:u w:val="single"/>
        </w:rPr>
        <w:t>sh</w:t>
      </w:r>
      <w:r w:rsidRPr="008F03E5">
        <w:t>t)</w:t>
      </w:r>
      <w:r w:rsidRPr="008F03E5">
        <w:tab/>
        <w:t xml:space="preserve">(“Gohardasht”) formerly Rajá‘í </w:t>
      </w:r>
      <w:r w:rsidRPr="008F03E5">
        <w:rPr>
          <w:u w:val="single"/>
        </w:rPr>
        <w:t>Sh</w:t>
      </w:r>
      <w:r w:rsidRPr="008F03E5">
        <w:t>ahr, a neighbourhood (with prison, Gawharda</w:t>
      </w:r>
      <w:r w:rsidRPr="008F03E5">
        <w:rPr>
          <w:u w:val="single"/>
        </w:rPr>
        <w:t>sh</w:t>
      </w:r>
      <w:r w:rsidRPr="008F03E5">
        <w:t>t Zindán) on north side of Karaj</w:t>
      </w:r>
    </w:p>
    <w:p w14:paraId="6F8D7622" w14:textId="77777777" w:rsidR="00625A5B" w:rsidRPr="008F03E5" w:rsidRDefault="00625A5B" w:rsidP="002B5E5B">
      <w:pPr>
        <w:pStyle w:val="Translit"/>
        <w:rPr>
          <w:rFonts w:eastAsia="PMingLiU"/>
          <w:lang w:eastAsia="zh-TW"/>
        </w:rPr>
      </w:pPr>
      <w:r w:rsidRPr="008F03E5">
        <w:rPr>
          <w:rFonts w:eastAsia="PMingLiU"/>
          <w:lang w:eastAsia="zh-TW"/>
        </w:rPr>
        <w:t>Gawhar-Maliki</w:t>
      </w:r>
      <w:r w:rsidRPr="008F03E5">
        <w:rPr>
          <w:rFonts w:eastAsia="PMingLiU"/>
          <w:lang w:eastAsia="zh-TW"/>
        </w:rPr>
        <w:tab/>
        <w:t>Gawhar-Malik</w:t>
      </w:r>
      <w:r w:rsidRPr="008F03E5">
        <w:t>í</w:t>
      </w:r>
      <w:r w:rsidRPr="008F03E5">
        <w:rPr>
          <w:rFonts w:eastAsia="PMingLiU"/>
          <w:lang w:eastAsia="zh-TW"/>
        </w:rPr>
        <w:tab/>
        <w:t>Royal jewel</w:t>
      </w:r>
    </w:p>
    <w:p w14:paraId="20F9F0A3" w14:textId="77777777" w:rsidR="00625A5B" w:rsidRPr="008F03E5" w:rsidRDefault="00625A5B" w:rsidP="00706BD8">
      <w:pPr>
        <w:pStyle w:val="Translit"/>
      </w:pPr>
      <w:r w:rsidRPr="008F03E5">
        <w:rPr>
          <w:rFonts w:eastAsia="PMingLiU"/>
          <w:lang w:eastAsia="zh-TW"/>
        </w:rPr>
        <w:t>Gawhar-Sh</w:t>
      </w:r>
      <w:r w:rsidRPr="008F03E5">
        <w:t>a</w:t>
      </w:r>
      <w:r w:rsidRPr="008F03E5">
        <w:rPr>
          <w:rFonts w:eastAsia="PMingLiU"/>
          <w:lang w:eastAsia="zh-TW"/>
        </w:rPr>
        <w:t>d</w:t>
      </w:r>
      <w:r w:rsidRPr="008F03E5">
        <w:tab/>
      </w:r>
      <w:r w:rsidRPr="008F03E5">
        <w:rPr>
          <w:rFonts w:eastAsia="PMingLiU"/>
          <w:lang w:eastAsia="zh-TW"/>
        </w:rPr>
        <w:t>Gawhar-</w:t>
      </w:r>
      <w:r w:rsidRPr="008F03E5">
        <w:rPr>
          <w:u w:val="single"/>
        </w:rPr>
        <w:t>Sh</w:t>
      </w:r>
      <w:r w:rsidRPr="008F03E5">
        <w:t>á</w:t>
      </w:r>
      <w:r w:rsidRPr="008F03E5">
        <w:rPr>
          <w:rFonts w:eastAsia="PMingLiU"/>
          <w:lang w:eastAsia="zh-TW"/>
        </w:rPr>
        <w:t>d</w:t>
      </w:r>
      <w:r w:rsidRPr="008F03E5">
        <w:tab/>
        <w:t xml:space="preserve">“joyful or shining jewel”.  Name (“Gowharshad Begum”) of the wife of </w:t>
      </w:r>
      <w:r w:rsidRPr="008F03E5">
        <w:rPr>
          <w:u w:val="single"/>
        </w:rPr>
        <w:t>Sh</w:t>
      </w:r>
      <w:r w:rsidRPr="008F03E5">
        <w:t>áhru</w:t>
      </w:r>
      <w:r w:rsidRPr="008F03E5">
        <w:rPr>
          <w:u w:val="single"/>
        </w:rPr>
        <w:t>kh</w:t>
      </w:r>
      <w:r w:rsidRPr="00B57265">
        <w:t>,</w:t>
      </w:r>
      <w:r w:rsidRPr="008F03E5">
        <w:t xml:space="preserve"> and a large congregational mosque in Ma</w:t>
      </w:r>
      <w:r w:rsidRPr="00B57265">
        <w:rPr>
          <w:u w:val="single"/>
        </w:rPr>
        <w:t>sh</w:t>
      </w:r>
      <w:r w:rsidRPr="008F03E5">
        <w:t>had (36.287504, 59.614551).</w:t>
      </w:r>
    </w:p>
    <w:p w14:paraId="2F91617A" w14:textId="77777777" w:rsidR="00625A5B" w:rsidRPr="008F03E5" w:rsidRDefault="00625A5B" w:rsidP="00645DE3">
      <w:pPr>
        <w:pStyle w:val="Translit"/>
      </w:pPr>
      <w:r w:rsidRPr="008F03E5">
        <w:t>Gawr (Gaur), Gawran (Gauran)</w:t>
      </w:r>
      <w:r w:rsidRPr="008F03E5">
        <w:tab/>
        <w:t>Gawr, pl. Gawrán</w:t>
      </w:r>
      <w:r w:rsidRPr="008F03E5">
        <w:tab/>
        <w:t>Pers. a pagan, infidel, guebre, or worshipper of fire</w:t>
      </w:r>
    </w:p>
    <w:p w14:paraId="77554B00" w14:textId="77777777" w:rsidR="00625A5B" w:rsidRPr="008F03E5" w:rsidRDefault="00625A5B" w:rsidP="00645DE3">
      <w:pPr>
        <w:pStyle w:val="Translit"/>
      </w:pPr>
      <w:r w:rsidRPr="008F03E5">
        <w:t>Gawr (Gavr), Gawur</w:t>
      </w:r>
      <w:r w:rsidRPr="008F03E5">
        <w:tab/>
        <w:t>Gáwr, Gáwur</w:t>
      </w:r>
      <w:r w:rsidRPr="008F03E5">
        <w:tab/>
        <w:t>Pers. (for gabr?), an infidel</w:t>
      </w:r>
    </w:p>
    <w:p w14:paraId="1E2B3C5C" w14:textId="77777777" w:rsidR="00625A5B" w:rsidRPr="008F03E5" w:rsidRDefault="00625A5B" w:rsidP="004C4825">
      <w:pPr>
        <w:pStyle w:val="Translit"/>
        <w:rPr>
          <w:rFonts w:eastAsia="PMingLiU"/>
          <w:lang w:eastAsia="zh-TW"/>
        </w:rPr>
      </w:pPr>
      <w:r w:rsidRPr="008F03E5">
        <w:t>Gaziantep, ‘Ayntab, Antep</w:t>
      </w:r>
      <w:r w:rsidRPr="008F03E5">
        <w:tab/>
        <w:t>Gaziantep, ‘Ayntáb</w:t>
      </w:r>
      <w:r w:rsidRPr="008F03E5">
        <w:tab/>
        <w:t>Turkish previously and still informally called Aintab or Antep, is a city (37.068339, 37.386658) in the westernmost part of Turkey’s South-eastern Anatolia Region.</w:t>
      </w:r>
    </w:p>
    <w:p w14:paraId="7BB7448C" w14:textId="77777777" w:rsidR="00625A5B" w:rsidRPr="008F03E5" w:rsidRDefault="00625A5B" w:rsidP="001D3982">
      <w:pPr>
        <w:pStyle w:val="Myhead"/>
        <w:rPr>
          <w:u w:val="single"/>
        </w:rPr>
      </w:pPr>
      <w:r w:rsidRPr="008F03E5">
        <w:rPr>
          <w:u w:val="single"/>
        </w:rPr>
        <w:t>Gh</w:t>
      </w:r>
      <w:bookmarkStart w:id="74" w:name="Gh"/>
      <w:bookmarkEnd w:id="74"/>
    </w:p>
    <w:p w14:paraId="40CDB8BA" w14:textId="77777777" w:rsidR="00625A5B" w:rsidRPr="008F03E5" w:rsidRDefault="00625A5B" w:rsidP="0094665F">
      <w:pPr>
        <w:pStyle w:val="Translit"/>
      </w:pPr>
      <w:r w:rsidRPr="008F03E5">
        <w:t>Gha’i</w:t>
      </w:r>
      <w:r w:rsidRPr="008F03E5">
        <w:tab/>
      </w:r>
      <w:r w:rsidRPr="008F03E5">
        <w:rPr>
          <w:u w:val="single"/>
        </w:rPr>
        <w:t>Gh</w:t>
      </w:r>
      <w:r w:rsidRPr="008F03E5">
        <w:t>á’í</w:t>
      </w:r>
      <w:r w:rsidRPr="008F03E5">
        <w:tab/>
        <w:t>final</w:t>
      </w:r>
    </w:p>
    <w:p w14:paraId="2F3499CD" w14:textId="77777777" w:rsidR="00625A5B" w:rsidRPr="008F03E5" w:rsidRDefault="00625A5B" w:rsidP="00795FB0">
      <w:pPr>
        <w:pStyle w:val="Translit"/>
        <w:rPr>
          <w:lang w:eastAsia="en-US"/>
        </w:rPr>
      </w:pPr>
      <w:r w:rsidRPr="008F03E5">
        <w:rPr>
          <w:rFonts w:eastAsia="Times New Roman"/>
        </w:rPr>
        <w:t>Gha’ib</w:t>
      </w:r>
      <w:r w:rsidRPr="008F03E5">
        <w:rPr>
          <w:rFonts w:eastAsia="Times New Roman"/>
        </w:rPr>
        <w:tab/>
      </w:r>
      <w:r w:rsidRPr="008F03E5">
        <w:rPr>
          <w:rFonts w:eastAsia="Times New Roman"/>
          <w:u w:val="single"/>
        </w:rPr>
        <w:t>Gh</w:t>
      </w:r>
      <w:r w:rsidRPr="008F03E5">
        <w:rPr>
          <w:rFonts w:eastAsia="Times New Roman"/>
        </w:rPr>
        <w:t>á’ib</w:t>
      </w:r>
      <w:r w:rsidRPr="008F03E5">
        <w:rPr>
          <w:rFonts w:eastAsia="Times New Roman"/>
        </w:rPr>
        <w:tab/>
        <w:t>absent, latent, concealed, invisible; the future; the invisible world; the invisible being, God, the Deity; (in grammar) the third person.  See Ghayb.</w:t>
      </w:r>
    </w:p>
    <w:p w14:paraId="0FFD2C56" w14:textId="77777777" w:rsidR="00625A5B" w:rsidRDefault="00625A5B" w:rsidP="00CC4EC0">
      <w:pPr>
        <w:pStyle w:val="Translit"/>
        <w:rPr>
          <w:lang w:eastAsia="en-US"/>
        </w:rPr>
      </w:pPr>
      <w:r>
        <w:rPr>
          <w:lang w:eastAsia="en-US"/>
        </w:rPr>
        <w:t>Ghadanfar</w:t>
      </w:r>
      <w:r>
        <w:rPr>
          <w:lang w:eastAsia="en-US"/>
        </w:rPr>
        <w:tab/>
      </w:r>
      <w:r w:rsidRPr="00CC4EC0">
        <w:rPr>
          <w:u w:val="single"/>
          <w:lang w:eastAsia="en-US"/>
        </w:rPr>
        <w:t>Gh</w:t>
      </w:r>
      <w:r>
        <w:rPr>
          <w:lang w:eastAsia="en-US"/>
        </w:rPr>
        <w:t>a</w:t>
      </w:r>
      <w:r w:rsidRPr="00CC4EC0">
        <w:t>ḍ</w:t>
      </w:r>
      <w:r>
        <w:rPr>
          <w:lang w:eastAsia="en-US"/>
        </w:rPr>
        <w:t>anfar</w:t>
      </w:r>
      <w:r>
        <w:rPr>
          <w:lang w:eastAsia="en-US"/>
        </w:rPr>
        <w:tab/>
        <w:t>lion</w:t>
      </w:r>
    </w:p>
    <w:p w14:paraId="7E9A9111" w14:textId="77777777" w:rsidR="00625A5B" w:rsidRPr="008F03E5" w:rsidRDefault="00625A5B" w:rsidP="00234726">
      <w:pPr>
        <w:pStyle w:val="Translit"/>
      </w:pPr>
      <w:r w:rsidRPr="008F03E5">
        <w:rPr>
          <w:lang w:eastAsia="en-US"/>
        </w:rPr>
        <w:t>Ghadir Khumm</w:t>
      </w:r>
      <w:r w:rsidRPr="008F03E5">
        <w:rPr>
          <w:lang w:eastAsia="en-US"/>
        </w:rPr>
        <w:tab/>
      </w:r>
      <w:bookmarkStart w:id="75" w:name="_Hlk56273475"/>
      <w:r w:rsidRPr="008F03E5">
        <w:rPr>
          <w:u w:val="single"/>
          <w:lang w:eastAsia="en-US"/>
        </w:rPr>
        <w:t>Gh</w:t>
      </w:r>
      <w:r w:rsidRPr="008F03E5">
        <w:rPr>
          <w:lang w:eastAsia="en-US"/>
        </w:rPr>
        <w:t xml:space="preserve">adír </w:t>
      </w:r>
      <w:r w:rsidRPr="008F03E5">
        <w:rPr>
          <w:u w:val="single"/>
          <w:lang w:eastAsia="en-US"/>
        </w:rPr>
        <w:t>Kh</w:t>
      </w:r>
      <w:r w:rsidRPr="008F03E5">
        <w:rPr>
          <w:lang w:eastAsia="en-US"/>
        </w:rPr>
        <w:t>umm</w:t>
      </w:r>
      <w:r w:rsidRPr="008F03E5">
        <w:rPr>
          <w:lang w:eastAsia="en-US"/>
        </w:rPr>
        <w:tab/>
        <w:t xml:space="preserve">is a pool fed by a spring.  </w:t>
      </w:r>
      <w:r w:rsidRPr="008F03E5">
        <w:t xml:space="preserve">Muḥammad gave a speech (during which he designated ‘Alí as the leader of the Muslim ummah) on 18th of </w:t>
      </w:r>
      <w:r w:rsidRPr="008F03E5">
        <w:rPr>
          <w:u w:val="single"/>
        </w:rPr>
        <w:t>Dh</w:t>
      </w:r>
      <w:r w:rsidRPr="008F03E5">
        <w:t xml:space="preserve">u’l-Ḥijjah </w:t>
      </w:r>
      <w:r w:rsidRPr="008F03E5">
        <w:rPr>
          <w:sz w:val="16"/>
          <w:szCs w:val="16"/>
        </w:rPr>
        <w:t>AH</w:t>
      </w:r>
      <w:r w:rsidRPr="008F03E5">
        <w:t xml:space="preserve"> 10 (</w:t>
      </w:r>
      <w:r w:rsidRPr="008F03E5">
        <w:rPr>
          <w:sz w:val="16"/>
          <w:szCs w:val="16"/>
        </w:rPr>
        <w:t>CE</w:t>
      </w:r>
      <w:r w:rsidRPr="008F03E5">
        <w:t xml:space="preserve"> 632) at </w:t>
      </w:r>
      <w:r w:rsidRPr="008F03E5">
        <w:rPr>
          <w:u w:val="single"/>
        </w:rPr>
        <w:t>Gh</w:t>
      </w:r>
      <w:r w:rsidRPr="008F03E5">
        <w:t xml:space="preserve">adír </w:t>
      </w:r>
      <w:r w:rsidRPr="008F03E5">
        <w:rPr>
          <w:u w:val="single"/>
        </w:rPr>
        <w:t>Kh</w:t>
      </w:r>
      <w:r w:rsidRPr="008F03E5">
        <w:t xml:space="preserve">umm (22.739690, 39.137236), 4.5 km </w:t>
      </w:r>
      <w:r w:rsidRPr="008F03E5">
        <w:rPr>
          <w:sz w:val="16"/>
          <w:szCs w:val="16"/>
        </w:rPr>
        <w:t>WNW</w:t>
      </w:r>
      <w:r w:rsidRPr="008F03E5">
        <w:t xml:space="preserve"> of al-Juḥfah.  </w:t>
      </w:r>
      <w:bookmarkEnd w:id="75"/>
      <w:r w:rsidRPr="008F03E5">
        <w:t>See Juḥfa.</w:t>
      </w:r>
    </w:p>
    <w:p w14:paraId="0ABC315D" w14:textId="77777777" w:rsidR="00625A5B" w:rsidRPr="008F03E5" w:rsidRDefault="00625A5B" w:rsidP="008551C9">
      <w:pPr>
        <w:pStyle w:val="Translit"/>
      </w:pPr>
      <w:r w:rsidRPr="008F03E5">
        <w:t>Ghadir, Ghudur, Ghudran</w:t>
      </w:r>
      <w:r w:rsidRPr="008F03E5">
        <w:tab/>
      </w:r>
      <w:r w:rsidRPr="008F03E5">
        <w:rPr>
          <w:u w:val="single"/>
        </w:rPr>
        <w:t>Gh</w:t>
      </w:r>
      <w:r w:rsidRPr="008F03E5">
        <w:t xml:space="preserve">adír, pl. </w:t>
      </w:r>
      <w:r w:rsidRPr="008F03E5">
        <w:rPr>
          <w:u w:val="single"/>
        </w:rPr>
        <w:t>Gh</w:t>
      </w:r>
      <w:r w:rsidRPr="008F03E5">
        <w:t xml:space="preserve">udur, </w:t>
      </w:r>
      <w:r w:rsidRPr="008F03E5">
        <w:rPr>
          <w:u w:val="single"/>
        </w:rPr>
        <w:t>Gh</w:t>
      </w:r>
      <w:r w:rsidRPr="008F03E5">
        <w:t>udrán</w:t>
      </w:r>
      <w:r w:rsidRPr="008F03E5">
        <w:tab/>
        <w:t>pond, pool, puddle; stream, brook, creek, river</w:t>
      </w:r>
    </w:p>
    <w:p w14:paraId="70BE7DBF" w14:textId="77777777" w:rsidR="00625A5B" w:rsidRPr="008F03E5" w:rsidRDefault="00625A5B" w:rsidP="005743F1">
      <w:pPr>
        <w:pStyle w:val="Translit"/>
      </w:pPr>
      <w:r w:rsidRPr="008F03E5">
        <w:t>Ghafara, Gafr, Maghfira, Ghufran</w:t>
      </w:r>
      <w:r w:rsidRPr="008F03E5">
        <w:tab/>
      </w:r>
      <w:r w:rsidRPr="008F03E5">
        <w:rPr>
          <w:u w:val="single"/>
        </w:rPr>
        <w:t>Gh</w:t>
      </w:r>
      <w:r w:rsidRPr="008F03E5">
        <w:t xml:space="preserve">afara, </w:t>
      </w:r>
      <w:r w:rsidRPr="008F03E5">
        <w:rPr>
          <w:u w:val="single"/>
        </w:rPr>
        <w:t>Gh</w:t>
      </w:r>
      <w:r w:rsidRPr="008F03E5">
        <w:t>afr, Ma</w:t>
      </w:r>
      <w:r w:rsidRPr="008F03E5">
        <w:rPr>
          <w:u w:val="single"/>
        </w:rPr>
        <w:t>gh</w:t>
      </w:r>
      <w:r w:rsidRPr="008F03E5">
        <w:t xml:space="preserve">fira, </w:t>
      </w:r>
      <w:r w:rsidRPr="008F03E5">
        <w:rPr>
          <w:u w:val="single"/>
        </w:rPr>
        <w:t>Gh</w:t>
      </w:r>
      <w:r w:rsidRPr="008F03E5">
        <w:t>ufrán</w:t>
      </w:r>
      <w:r w:rsidRPr="008F03E5">
        <w:tab/>
        <w:t>to forgive (someone something), grant pardon (to someone for something), remit (something)</w:t>
      </w:r>
    </w:p>
    <w:p w14:paraId="56EAF4BB" w14:textId="77777777" w:rsidR="00625A5B" w:rsidRPr="008F03E5" w:rsidRDefault="00625A5B" w:rsidP="00D82BB1">
      <w:pPr>
        <w:pStyle w:val="Translit"/>
      </w:pPr>
      <w:r w:rsidRPr="008F03E5">
        <w:t>Ghaffar (“Gaffar”)</w:t>
      </w:r>
      <w:r w:rsidRPr="008F03E5">
        <w:tab/>
      </w:r>
      <w:r w:rsidRPr="008F03E5">
        <w:rPr>
          <w:u w:val="single"/>
        </w:rPr>
        <w:t>Gh</w:t>
      </w:r>
      <w:r w:rsidRPr="008F03E5">
        <w:t>affár</w:t>
      </w:r>
      <w:r w:rsidRPr="008F03E5">
        <w:tab/>
        <w:t xml:space="preserve">readily inclined to pardon, much-forgiving (especially of God).  </w:t>
      </w:r>
      <w:r w:rsidRPr="008F03E5">
        <w:rPr>
          <w:rFonts w:eastAsia="PMingLiU"/>
          <w:lang w:eastAsia="zh-TW"/>
        </w:rPr>
        <w:t>‘Abdu’l-</w:t>
      </w:r>
      <w:r w:rsidRPr="008F03E5">
        <w:rPr>
          <w:u w:val="single"/>
        </w:rPr>
        <w:t>Gh</w:t>
      </w:r>
      <w:r w:rsidRPr="008F03E5">
        <w:rPr>
          <w:rFonts w:eastAsia="PMingLiU"/>
          <w:lang w:eastAsia="zh-TW"/>
        </w:rPr>
        <w:t>aff</w:t>
      </w:r>
      <w:r w:rsidRPr="008F03E5">
        <w:t>á</w:t>
      </w:r>
      <w:r w:rsidRPr="008F03E5">
        <w:rPr>
          <w:rFonts w:eastAsia="PMingLiU"/>
          <w:lang w:eastAsia="zh-TW"/>
        </w:rPr>
        <w:t xml:space="preserve">r is claimed to be the real name of Noah.  See </w:t>
      </w:r>
      <w:r w:rsidRPr="008F03E5">
        <w:t>Núḥ.</w:t>
      </w:r>
    </w:p>
    <w:p w14:paraId="0EBB9CCD" w14:textId="77777777" w:rsidR="00625A5B" w:rsidRPr="008F03E5" w:rsidRDefault="00625A5B" w:rsidP="000963A2">
      <w:pPr>
        <w:pStyle w:val="Translit"/>
      </w:pPr>
      <w:r w:rsidRPr="008F03E5">
        <w:t>Ghaffari</w:t>
      </w:r>
      <w:r w:rsidRPr="008F03E5">
        <w:tab/>
      </w:r>
      <w:r w:rsidRPr="008F03E5">
        <w:rPr>
          <w:u w:val="single"/>
        </w:rPr>
        <w:t>Gh</w:t>
      </w:r>
      <w:r w:rsidRPr="008F03E5">
        <w:t>affárí</w:t>
      </w:r>
      <w:r w:rsidRPr="008F03E5">
        <w:tab/>
        <w:t>Pers. Iranian family name.</w:t>
      </w:r>
    </w:p>
    <w:p w14:paraId="4E7B2968" w14:textId="77777777" w:rsidR="00625A5B" w:rsidRPr="008F03E5" w:rsidRDefault="00625A5B" w:rsidP="00CF3714">
      <w:pPr>
        <w:pStyle w:val="Translit"/>
      </w:pPr>
      <w:r w:rsidRPr="008F03E5">
        <w:t>Ghafir</w:t>
      </w:r>
      <w:r w:rsidRPr="008F03E5">
        <w:tab/>
      </w:r>
      <w:r w:rsidRPr="008F03E5">
        <w:rPr>
          <w:u w:val="single"/>
        </w:rPr>
        <w:t>Gh</w:t>
      </w:r>
      <w:r w:rsidRPr="008F03E5">
        <w:t>áfir</w:t>
      </w:r>
      <w:r w:rsidRPr="008F03E5">
        <w:tab/>
        <w:t>forgiving; merciful, compassionate</w:t>
      </w:r>
    </w:p>
    <w:p w14:paraId="65F058D0" w14:textId="77777777" w:rsidR="00625A5B" w:rsidRPr="008F03E5" w:rsidRDefault="00625A5B" w:rsidP="00F57357">
      <w:pPr>
        <w:pStyle w:val="Translit"/>
      </w:pPr>
      <w:r w:rsidRPr="008F03E5">
        <w:t>Ghafr, Ghufur</w:t>
      </w:r>
      <w:r w:rsidRPr="008F03E5">
        <w:tab/>
      </w:r>
      <w:r w:rsidRPr="008F03E5">
        <w:rPr>
          <w:u w:val="single"/>
        </w:rPr>
        <w:t>Gh</w:t>
      </w:r>
      <w:r w:rsidRPr="008F03E5">
        <w:t xml:space="preserve">afr, pl. </w:t>
      </w:r>
      <w:r w:rsidRPr="008F03E5">
        <w:rPr>
          <w:u w:val="single"/>
        </w:rPr>
        <w:t>Gh</w:t>
      </w:r>
      <w:r w:rsidRPr="008F03E5">
        <w:t>ufúr</w:t>
      </w:r>
      <w:r w:rsidRPr="008F03E5">
        <w:tab/>
        <w:t>covering; pardoning (sins); laying up, enclosing in a case or in a repository; rankling, being raw (a wound); relapsing (a sick person); relapse; tingeing, dyeing (grey hair)</w:t>
      </w:r>
    </w:p>
    <w:p w14:paraId="508C2231" w14:textId="77777777" w:rsidR="00625A5B" w:rsidRPr="008F03E5" w:rsidRDefault="00625A5B" w:rsidP="00CF6B09">
      <w:pPr>
        <w:pStyle w:val="Translit"/>
      </w:pPr>
      <w:r w:rsidRPr="008F03E5">
        <w:t>Ghafra</w:t>
      </w:r>
      <w:r w:rsidRPr="008F03E5">
        <w:tab/>
      </w:r>
      <w:r w:rsidRPr="008F03E5">
        <w:rPr>
          <w:u w:val="single"/>
        </w:rPr>
        <w:t>Gh</w:t>
      </w:r>
      <w:r w:rsidRPr="008F03E5">
        <w:t>afrá</w:t>
      </w:r>
      <w:r>
        <w:tab/>
        <w:t xml:space="preserve">forgiving.  </w:t>
      </w:r>
      <w:r w:rsidRPr="008F03E5">
        <w:t>Abí</w:t>
      </w:r>
      <w:r>
        <w:t xml:space="preserve"> </w:t>
      </w:r>
      <w:r w:rsidRPr="008F03E5">
        <w:rPr>
          <w:u w:val="single"/>
        </w:rPr>
        <w:t>Gh</w:t>
      </w:r>
      <w:r w:rsidRPr="008F03E5">
        <w:t>afráy-i-Ṭá’</w:t>
      </w:r>
      <w:r>
        <w:t>i‘</w:t>
      </w:r>
      <w:r w:rsidRPr="008F03E5">
        <w:t xml:space="preserve">.  See </w:t>
      </w:r>
      <w:r w:rsidRPr="008F03E5">
        <w:rPr>
          <w:sz w:val="16"/>
          <w:szCs w:val="16"/>
        </w:rPr>
        <w:t>SDC</w:t>
      </w:r>
      <w:r w:rsidRPr="008F03E5">
        <w:t xml:space="preserve"> 48.</w:t>
      </w:r>
    </w:p>
    <w:p w14:paraId="2B088A98" w14:textId="77777777" w:rsidR="00625A5B" w:rsidRPr="008F03E5" w:rsidRDefault="00625A5B" w:rsidP="004955F6">
      <w:pPr>
        <w:pStyle w:val="Translit"/>
        <w:rPr>
          <w:rFonts w:eastAsia="PMingLiU"/>
          <w:lang w:eastAsia="zh-TW"/>
        </w:rPr>
      </w:pPr>
      <w:r w:rsidRPr="008F03E5">
        <w:rPr>
          <w:rFonts w:eastAsia="PMingLiU"/>
          <w:lang w:eastAsia="zh-TW"/>
        </w:rPr>
        <w:t>Ghafur</w:t>
      </w:r>
      <w:r w:rsidRPr="008F03E5">
        <w:rPr>
          <w:rFonts w:eastAsia="PMingLiU"/>
          <w:lang w:eastAsia="zh-TW"/>
        </w:rPr>
        <w:tab/>
      </w:r>
      <w:r w:rsidRPr="008F03E5">
        <w:rPr>
          <w:rFonts w:eastAsia="PMingLiU"/>
          <w:u w:val="single"/>
          <w:lang w:eastAsia="zh-TW"/>
        </w:rPr>
        <w:t>Gh</w:t>
      </w:r>
      <w:r w:rsidRPr="008F03E5">
        <w:rPr>
          <w:rFonts w:eastAsia="PMingLiU"/>
          <w:lang w:eastAsia="zh-TW"/>
        </w:rPr>
        <w:t>afúr</w:t>
      </w:r>
      <w:r w:rsidRPr="008F03E5">
        <w:rPr>
          <w:rFonts w:eastAsia="PMingLiU"/>
          <w:lang w:eastAsia="zh-TW"/>
        </w:rPr>
        <w:tab/>
        <w:t>readily inclined to pardon, much-forgiving (especially of God)</w:t>
      </w:r>
    </w:p>
    <w:p w14:paraId="01B9A611" w14:textId="77777777" w:rsidR="00625A5B" w:rsidRPr="008F03E5" w:rsidRDefault="00625A5B" w:rsidP="00B33B1B">
      <w:pPr>
        <w:pStyle w:val="Translit"/>
        <w:rPr>
          <w:rFonts w:eastAsia="PMingLiU"/>
          <w:lang w:eastAsia="zh-TW"/>
        </w:rPr>
      </w:pPr>
      <w:r w:rsidRPr="008F03E5">
        <w:rPr>
          <w:rFonts w:eastAsia="PMingLiU"/>
          <w:lang w:eastAsia="zh-TW"/>
        </w:rPr>
        <w:t>Ghali</w:t>
      </w:r>
      <w:r w:rsidRPr="008F03E5">
        <w:rPr>
          <w:rFonts w:eastAsia="PMingLiU"/>
          <w:lang w:eastAsia="zh-TW"/>
        </w:rPr>
        <w:tab/>
      </w:r>
      <w:r w:rsidRPr="008F03E5">
        <w:rPr>
          <w:rFonts w:eastAsia="PMingLiU"/>
          <w:u w:val="single"/>
          <w:lang w:eastAsia="zh-TW"/>
        </w:rPr>
        <w:t>Gh</w:t>
      </w:r>
      <w:r w:rsidRPr="008F03E5">
        <w:rPr>
          <w:rFonts w:eastAsia="PMingLiU"/>
          <w:lang w:eastAsia="zh-TW"/>
        </w:rPr>
        <w:t>alí</w:t>
      </w:r>
      <w:r w:rsidRPr="008F03E5">
        <w:rPr>
          <w:rFonts w:eastAsia="PMingLiU"/>
          <w:lang w:eastAsia="zh-TW"/>
        </w:rPr>
        <w:tab/>
        <w:t>Pers. dear, highly-priced</w:t>
      </w:r>
    </w:p>
    <w:p w14:paraId="4A247A2B" w14:textId="77777777" w:rsidR="00625A5B" w:rsidRPr="008F03E5" w:rsidRDefault="00625A5B" w:rsidP="00D701CC">
      <w:pPr>
        <w:pStyle w:val="Translit"/>
        <w:rPr>
          <w:rFonts w:eastAsia="PMingLiU"/>
          <w:lang w:eastAsia="zh-TW"/>
        </w:rPr>
      </w:pPr>
      <w:r w:rsidRPr="008F03E5">
        <w:t>Ghalib</w:t>
      </w:r>
      <w:r w:rsidRPr="008F03E5">
        <w:tab/>
      </w:r>
      <w:r w:rsidRPr="008F03E5">
        <w:rPr>
          <w:u w:val="single"/>
        </w:rPr>
        <w:t>Gh</w:t>
      </w:r>
      <w:r w:rsidRPr="008F03E5">
        <w:t>álib</w:t>
      </w:r>
      <w:r w:rsidRPr="008F03E5">
        <w:tab/>
        <w:t>o</w:t>
      </w:r>
      <w:r w:rsidRPr="008F03E5">
        <w:rPr>
          <w:rFonts w:eastAsia="Times New Roman"/>
        </w:rPr>
        <w:t xml:space="preserve">vercoming, overpowering; prevailing, predominant; triumphant, victorious; a conqueror; Port </w:t>
      </w:r>
      <w:r w:rsidRPr="008F03E5">
        <w:rPr>
          <w:u w:val="single"/>
        </w:rPr>
        <w:t>Gh</w:t>
      </w:r>
      <w:r w:rsidRPr="008F03E5">
        <w:t xml:space="preserve">álib, Red Sea, Egypt.  Mírzá Asadu’lláh Baig </w:t>
      </w:r>
      <w:r w:rsidRPr="008F03E5">
        <w:rPr>
          <w:u w:val="single"/>
        </w:rPr>
        <w:t>Kh</w:t>
      </w:r>
      <w:r w:rsidRPr="008F03E5">
        <w:t xml:space="preserve">án (1797–1869), was a prominent Urdu and Persian poet during the last years of the Mughal Empire.  His pen names were </w:t>
      </w:r>
      <w:r w:rsidRPr="008F03E5">
        <w:rPr>
          <w:u w:val="single"/>
        </w:rPr>
        <w:t>Gh</w:t>
      </w:r>
      <w:r w:rsidRPr="008F03E5">
        <w:t>álib and Asad.  Honourifics:  Dabíru’l-Mulk, Najmu’d-Dawla.</w:t>
      </w:r>
    </w:p>
    <w:p w14:paraId="746FB2F7" w14:textId="77777777" w:rsidR="00625A5B" w:rsidRPr="008F03E5" w:rsidRDefault="00625A5B" w:rsidP="002578C1">
      <w:pPr>
        <w:pStyle w:val="Translit"/>
        <w:rPr>
          <w:rFonts w:eastAsia="PMingLiU"/>
          <w:lang w:eastAsia="zh-TW"/>
        </w:rPr>
      </w:pPr>
      <w:r w:rsidRPr="008F03E5">
        <w:rPr>
          <w:rFonts w:eastAsia="PMingLiU"/>
          <w:lang w:eastAsia="zh-TW"/>
        </w:rPr>
        <w:t>Ghalin, Ghula</w:t>
      </w:r>
      <w:r w:rsidRPr="008F03E5">
        <w:rPr>
          <w:rFonts w:eastAsia="PMingLiU"/>
          <w:lang w:eastAsia="zh-TW"/>
        </w:rPr>
        <w:tab/>
      </w:r>
      <w:r w:rsidRPr="008F03E5">
        <w:rPr>
          <w:u w:val="single"/>
        </w:rPr>
        <w:t>Gh</w:t>
      </w:r>
      <w:r w:rsidRPr="008F03E5">
        <w:rPr>
          <w:rFonts w:eastAsia="PMingLiU"/>
          <w:lang w:eastAsia="zh-TW"/>
        </w:rPr>
        <w:t xml:space="preserve">álin, pl. </w:t>
      </w:r>
      <w:r w:rsidRPr="008F03E5">
        <w:rPr>
          <w:u w:val="single"/>
        </w:rPr>
        <w:t>Gh</w:t>
      </w:r>
      <w:r w:rsidRPr="008F03E5">
        <w:rPr>
          <w:rFonts w:eastAsia="PMingLiU"/>
          <w:lang w:eastAsia="zh-TW"/>
        </w:rPr>
        <w:t>ulá[h or t]</w:t>
      </w:r>
      <w:r w:rsidRPr="008F03E5">
        <w:rPr>
          <w:rFonts w:eastAsia="PMingLiU"/>
          <w:lang w:eastAsia="zh-TW"/>
        </w:rPr>
        <w:tab/>
        <w:t xml:space="preserve">expensive, high priced; valuable, costly; dear, beloved;—pl. adherent of an extreme sect; extremist; exaggerator, radical; fanatic adherent, fanatic.  </w:t>
      </w:r>
      <w:r w:rsidRPr="008F03E5">
        <w:t xml:space="preserve">A </w:t>
      </w:r>
      <w:r w:rsidRPr="008F03E5">
        <w:rPr>
          <w:u w:val="single"/>
        </w:rPr>
        <w:t>Sh</w:t>
      </w:r>
      <w:r w:rsidRPr="008F03E5">
        <w:t>í‘a term for theological extremists who go beyond what is considered reasonable in what they claim about Muḥammad and the Imams.  The Shaykhis and Babis fall into this category.</w:t>
      </w:r>
    </w:p>
    <w:p w14:paraId="7C319B6C" w14:textId="77777777" w:rsidR="00625A5B" w:rsidRDefault="00625A5B" w:rsidP="00EF090A">
      <w:pPr>
        <w:pStyle w:val="Translit"/>
      </w:pPr>
      <w:r w:rsidRPr="00EF090A">
        <w:t>Ghalwa,</w:t>
      </w:r>
      <w:r>
        <w:t xml:space="preserve"> Ghalwat</w:t>
      </w:r>
      <w:r>
        <w:tab/>
      </w:r>
      <w:r w:rsidRPr="00EF090A">
        <w:rPr>
          <w:u w:val="single"/>
        </w:rPr>
        <w:t>Gh</w:t>
      </w:r>
      <w:r w:rsidRPr="00EF090A">
        <w:t>alwa</w:t>
      </w:r>
      <w:r>
        <w:t xml:space="preserve">[h or </w:t>
      </w:r>
      <w:r w:rsidRPr="00EF090A">
        <w:t>t</w:t>
      </w:r>
      <w:r>
        <w:t>]</w:t>
      </w:r>
      <w:r w:rsidRPr="00EF090A">
        <w:t>, p</w:t>
      </w:r>
      <w:r>
        <w:t xml:space="preserve">l. </w:t>
      </w:r>
      <w:r w:rsidRPr="009D362C">
        <w:rPr>
          <w:u w:val="single"/>
        </w:rPr>
        <w:t>Gh</w:t>
      </w:r>
      <w:r>
        <w:t>alw</w:t>
      </w:r>
      <w:r w:rsidRPr="009D362C">
        <w:t>á</w:t>
      </w:r>
      <w:r>
        <w:t>t</w:t>
      </w:r>
      <w:r>
        <w:tab/>
        <w:t>t</w:t>
      </w:r>
      <w:r w:rsidRPr="00AF4D34">
        <w:t>he shooting of an arrow as far as possible; bow-shot distance</w:t>
      </w:r>
      <w:r>
        <w:t xml:space="preserve"> (≈230 m)</w:t>
      </w:r>
      <w:r w:rsidRPr="00AF4D34">
        <w:t>; the utmost stretch of a horse.</w:t>
      </w:r>
      <w:r>
        <w:t xml:space="preserve">  See Manzil.</w:t>
      </w:r>
    </w:p>
    <w:p w14:paraId="16247B71" w14:textId="77777777" w:rsidR="00625A5B" w:rsidRPr="008F03E5" w:rsidRDefault="00625A5B" w:rsidP="00417FD5">
      <w:pPr>
        <w:pStyle w:val="Translit"/>
      </w:pPr>
      <w:r w:rsidRPr="008F03E5">
        <w:t>Ghamam, Ghamamun, Ghama’im</w:t>
      </w:r>
      <w:r w:rsidRPr="008F03E5">
        <w:tab/>
      </w:r>
      <w:r w:rsidRPr="008F03E5">
        <w:rPr>
          <w:u w:val="single"/>
        </w:rPr>
        <w:t>Gh</w:t>
      </w:r>
      <w:r w:rsidRPr="008F03E5">
        <w:t xml:space="preserve">amám, pl. </w:t>
      </w:r>
      <w:r w:rsidRPr="008F03E5">
        <w:rPr>
          <w:u w:val="single"/>
        </w:rPr>
        <w:t>Gh</w:t>
      </w:r>
      <w:r w:rsidRPr="008F03E5">
        <w:t>amá’im</w:t>
      </w:r>
      <w:r w:rsidRPr="008F03E5">
        <w:tab/>
        <w:t xml:space="preserve">clouds (collective noun </w:t>
      </w:r>
      <w:r w:rsidRPr="008F03E5">
        <w:rPr>
          <w:u w:val="single"/>
        </w:rPr>
        <w:t>Gh</w:t>
      </w:r>
      <w:r w:rsidRPr="008F03E5">
        <w:t>amámun)</w:t>
      </w:r>
    </w:p>
    <w:p w14:paraId="10A0659C" w14:textId="77777777" w:rsidR="00625A5B" w:rsidRPr="008F03E5" w:rsidRDefault="00625A5B" w:rsidP="00522A7D">
      <w:pPr>
        <w:pStyle w:val="Translit"/>
        <w:rPr>
          <w:rFonts w:eastAsia="Times New Roman"/>
        </w:rPr>
      </w:pPr>
      <w:r w:rsidRPr="008F03E5">
        <w:rPr>
          <w:rFonts w:eastAsia="Times New Roman"/>
        </w:rPr>
        <w:t>Ghamim</w:t>
      </w:r>
      <w:r w:rsidRPr="008F03E5">
        <w:rPr>
          <w:rFonts w:eastAsia="Times New Roman"/>
        </w:rPr>
        <w:tab/>
      </w:r>
      <w:r w:rsidRPr="008F03E5">
        <w:rPr>
          <w:rFonts w:eastAsia="Times New Roman"/>
          <w:u w:val="single"/>
        </w:rPr>
        <w:t>Gh</w:t>
      </w:r>
      <w:r w:rsidRPr="008F03E5">
        <w:rPr>
          <w:rFonts w:eastAsia="Times New Roman"/>
        </w:rPr>
        <w:t>amím</w:t>
      </w:r>
      <w:r w:rsidRPr="008F03E5">
        <w:rPr>
          <w:rFonts w:eastAsia="Times New Roman"/>
        </w:rPr>
        <w:tab/>
        <w:t>milk thickened by boiling; sour, coagulated milk; Kurá‘u’l-</w:t>
      </w:r>
      <w:r w:rsidRPr="008F03E5">
        <w:rPr>
          <w:rFonts w:eastAsia="Times New Roman"/>
          <w:u w:val="single"/>
        </w:rPr>
        <w:t>Gh</w:t>
      </w:r>
      <w:r w:rsidRPr="008F03E5">
        <w:rPr>
          <w:rFonts w:eastAsia="Times New Roman"/>
        </w:rPr>
        <w:t>amím (Kurá‘ al-</w:t>
      </w:r>
      <w:r w:rsidRPr="008F03E5">
        <w:rPr>
          <w:rFonts w:eastAsia="Times New Roman"/>
          <w:u w:val="single"/>
        </w:rPr>
        <w:t>Gh</w:t>
      </w:r>
      <w:r w:rsidRPr="008F03E5">
        <w:rPr>
          <w:rFonts w:eastAsia="Times New Roman"/>
        </w:rPr>
        <w:t xml:space="preserve">amím), a valley </w:t>
      </w:r>
      <w:r w:rsidRPr="008F03E5">
        <w:rPr>
          <w:rFonts w:eastAsia="Times New Roman"/>
          <w:sz w:val="16"/>
          <w:szCs w:val="16"/>
        </w:rPr>
        <w:t>NW</w:t>
      </w:r>
      <w:r w:rsidRPr="008F03E5">
        <w:rPr>
          <w:rFonts w:eastAsia="Times New Roman"/>
        </w:rPr>
        <w:t xml:space="preserve"> of Mecca on the main route to Madínah</w:t>
      </w:r>
    </w:p>
    <w:p w14:paraId="7466D70D" w14:textId="77777777" w:rsidR="00625A5B" w:rsidRPr="008F03E5" w:rsidRDefault="00625A5B" w:rsidP="00522A7D">
      <w:pPr>
        <w:pStyle w:val="Translit"/>
      </w:pPr>
      <w:r w:rsidRPr="008F03E5">
        <w:t>Ghaní ad-Dahr</w:t>
      </w:r>
      <w:r w:rsidRPr="008F03E5">
        <w:tab/>
      </w:r>
      <w:r w:rsidRPr="008F03E5">
        <w:rPr>
          <w:u w:val="single"/>
        </w:rPr>
        <w:t>Gh</w:t>
      </w:r>
      <w:r w:rsidRPr="008F03E5">
        <w:t>aní ad-Dahr</w:t>
      </w:r>
      <w:r w:rsidRPr="008F03E5">
        <w:tab/>
        <w:t>the appreciative</w:t>
      </w:r>
    </w:p>
    <w:p w14:paraId="28551592" w14:textId="77777777" w:rsidR="00625A5B" w:rsidRPr="008F03E5" w:rsidRDefault="00625A5B" w:rsidP="000979A0">
      <w:pPr>
        <w:pStyle w:val="Translit"/>
      </w:pPr>
      <w:r w:rsidRPr="008F03E5">
        <w:t>Ghani</w:t>
      </w:r>
      <w:r w:rsidRPr="008F03E5">
        <w:tab/>
      </w:r>
      <w:r w:rsidRPr="008F03E5">
        <w:rPr>
          <w:u w:val="single"/>
        </w:rPr>
        <w:t>Gh</w:t>
      </w:r>
      <w:r w:rsidRPr="008F03E5">
        <w:t>aní</w:t>
      </w:r>
      <w:r w:rsidRPr="008F03E5">
        <w:tab/>
        <w:t xml:space="preserve">rich, wealthy; independent, self-sufficient (able to do without, detached).  </w:t>
      </w:r>
      <w:r w:rsidRPr="008F03E5">
        <w:rPr>
          <w:u w:val="single"/>
        </w:rPr>
        <w:t>Kh</w:t>
      </w:r>
      <w:r w:rsidRPr="008F03E5">
        <w:t xml:space="preserve">ájih </w:t>
      </w:r>
      <w:r w:rsidRPr="008F03E5">
        <w:rPr>
          <w:u w:val="single"/>
        </w:rPr>
        <w:t>Gh</w:t>
      </w:r>
      <w:r w:rsidRPr="008F03E5">
        <w:rPr>
          <w:rFonts w:eastAsia="PMingLiU"/>
          <w:lang w:eastAsia="zh-TW"/>
        </w:rPr>
        <w:t>an</w:t>
      </w:r>
      <w:r w:rsidRPr="008F03E5">
        <w:t>í or ‘Abdu’l-</w:t>
      </w:r>
      <w:r w:rsidRPr="008F03E5">
        <w:rPr>
          <w:u w:val="single"/>
        </w:rPr>
        <w:t>Gh</w:t>
      </w:r>
      <w:r w:rsidRPr="008F03E5">
        <w:rPr>
          <w:rFonts w:eastAsia="PMingLiU"/>
          <w:lang w:eastAsia="zh-TW"/>
        </w:rPr>
        <w:t>an</w:t>
      </w:r>
      <w:r w:rsidRPr="008F03E5">
        <w:t>í Baydún</w:t>
      </w:r>
    </w:p>
    <w:p w14:paraId="632941A7" w14:textId="77777777" w:rsidR="00625A5B" w:rsidRPr="008F03E5" w:rsidRDefault="00625A5B" w:rsidP="000979A0">
      <w:pPr>
        <w:pStyle w:val="Translit"/>
      </w:pPr>
      <w:r w:rsidRPr="008F03E5">
        <w:t>Ghani, Ghunat</w:t>
      </w:r>
      <w:r w:rsidRPr="008F03E5">
        <w:tab/>
      </w:r>
      <w:r w:rsidRPr="008F03E5">
        <w:rPr>
          <w:u w:val="single"/>
        </w:rPr>
        <w:t>Gh</w:t>
      </w:r>
      <w:r w:rsidRPr="008F03E5">
        <w:t xml:space="preserve">ání, pl. </w:t>
      </w:r>
      <w:r w:rsidRPr="008F03E5">
        <w:rPr>
          <w:u w:val="single"/>
        </w:rPr>
        <w:t>Gh</w:t>
      </w:r>
      <w:r w:rsidRPr="008F03E5">
        <w:t>unát</w:t>
      </w:r>
      <w:r w:rsidRPr="008F03E5">
        <w:tab/>
        <w:t>rich; able to do without, detached</w:t>
      </w:r>
    </w:p>
    <w:p w14:paraId="40C885AD" w14:textId="77777777" w:rsidR="00625A5B" w:rsidRPr="008F03E5" w:rsidRDefault="00625A5B" w:rsidP="00200FE1">
      <w:pPr>
        <w:pStyle w:val="Translit"/>
      </w:pPr>
      <w:r w:rsidRPr="008F03E5">
        <w:t>Ghanim</w:t>
      </w:r>
      <w:r w:rsidRPr="008F03E5">
        <w:tab/>
      </w:r>
      <w:r w:rsidRPr="008F03E5">
        <w:rPr>
          <w:u w:val="single"/>
        </w:rPr>
        <w:t>Gh</w:t>
      </w:r>
      <w:r w:rsidRPr="008F03E5">
        <w:t>ánim</w:t>
      </w:r>
      <w:r w:rsidRPr="008F03E5">
        <w:tab/>
        <w:t>successful</w:t>
      </w:r>
    </w:p>
    <w:p w14:paraId="67BD07CD" w14:textId="77777777" w:rsidR="00625A5B" w:rsidRPr="008F03E5" w:rsidRDefault="00625A5B" w:rsidP="008B6E1E">
      <w:pPr>
        <w:pStyle w:val="Translit"/>
      </w:pPr>
      <w:r w:rsidRPr="008F03E5">
        <w:t>Ghanima, Ghana’im</w:t>
      </w:r>
      <w:r w:rsidRPr="008F03E5">
        <w:tab/>
      </w:r>
      <w:r w:rsidRPr="008F03E5">
        <w:rPr>
          <w:u w:val="single"/>
        </w:rPr>
        <w:t>Gh</w:t>
      </w:r>
      <w:r w:rsidRPr="008F03E5">
        <w:t xml:space="preserve">aníma[h], pl. </w:t>
      </w:r>
      <w:r w:rsidRPr="008F03E5">
        <w:rPr>
          <w:u w:val="single"/>
        </w:rPr>
        <w:t>Gh</w:t>
      </w:r>
      <w:r w:rsidRPr="008F03E5">
        <w:t>aná’im</w:t>
      </w:r>
      <w:r w:rsidRPr="008F03E5">
        <w:tab/>
        <w:t>spoils, booty, loot, prey</w:t>
      </w:r>
    </w:p>
    <w:p w14:paraId="59E12806" w14:textId="77777777" w:rsidR="00625A5B" w:rsidRPr="008F03E5" w:rsidRDefault="00625A5B" w:rsidP="00200FE1">
      <w:pPr>
        <w:pStyle w:val="Translit"/>
      </w:pPr>
      <w:r w:rsidRPr="008F03E5">
        <w:t>Ghannam</w:t>
      </w:r>
      <w:r w:rsidRPr="008F03E5">
        <w:tab/>
      </w:r>
      <w:r w:rsidRPr="008F03E5">
        <w:rPr>
          <w:u w:val="single"/>
        </w:rPr>
        <w:t>Gh</w:t>
      </w:r>
      <w:r w:rsidRPr="008F03E5">
        <w:t>annám</w:t>
      </w:r>
      <w:r w:rsidRPr="008F03E5">
        <w:tab/>
        <w:t>shepherd.  House of Sulaymán-i-</w:t>
      </w:r>
      <w:r w:rsidRPr="008F03E5">
        <w:rPr>
          <w:u w:val="single"/>
        </w:rPr>
        <w:t>Gh</w:t>
      </w:r>
      <w:r w:rsidRPr="008F03E5">
        <w:t>annám in Ba</w:t>
      </w:r>
      <w:r w:rsidRPr="008F03E5">
        <w:rPr>
          <w:u w:val="single"/>
        </w:rPr>
        <w:t>gh</w:t>
      </w:r>
      <w:r w:rsidRPr="008F03E5">
        <w:t>dád.  See Bayt-i-A‘ẓam.</w:t>
      </w:r>
    </w:p>
    <w:p w14:paraId="2DC9653E" w14:textId="77777777" w:rsidR="00625A5B" w:rsidRPr="008F03E5" w:rsidRDefault="00625A5B" w:rsidP="00D46BAF">
      <w:pPr>
        <w:pStyle w:val="Translit"/>
        <w:rPr>
          <w:rFonts w:eastAsia="PMingLiU"/>
          <w:lang w:eastAsia="zh-TW"/>
        </w:rPr>
      </w:pPr>
      <w:r w:rsidRPr="00606F6A">
        <w:rPr>
          <w:rFonts w:eastAsia="PMingLiU"/>
          <w:lang w:val="en-AU" w:eastAsia="zh-TW"/>
        </w:rPr>
        <w:t>Ghar, Aghwar, Ghiran</w:t>
      </w:r>
      <w:r w:rsidRPr="00606F6A">
        <w:rPr>
          <w:rFonts w:eastAsia="PMingLiU"/>
          <w:lang w:val="en-AU" w:eastAsia="zh-TW"/>
        </w:rPr>
        <w:tab/>
      </w:r>
      <w:r w:rsidRPr="00606F6A">
        <w:rPr>
          <w:rFonts w:eastAsia="PMingLiU"/>
          <w:u w:val="single"/>
          <w:lang w:val="en-AU" w:eastAsia="zh-TW"/>
        </w:rPr>
        <w:t>Gh</w:t>
      </w:r>
      <w:r w:rsidRPr="00606F6A">
        <w:rPr>
          <w:lang w:val="en-AU"/>
        </w:rPr>
        <w:t>á</w:t>
      </w:r>
      <w:r w:rsidRPr="00606F6A">
        <w:rPr>
          <w:rFonts w:eastAsia="PMingLiU"/>
          <w:lang w:val="en-AU" w:eastAsia="zh-TW"/>
        </w:rPr>
        <w:t xml:space="preserve">r, pl. </w:t>
      </w:r>
      <w:r w:rsidRPr="008F03E5">
        <w:rPr>
          <w:rFonts w:eastAsia="PMingLiU"/>
          <w:lang w:eastAsia="zh-TW"/>
        </w:rPr>
        <w:t>A</w:t>
      </w:r>
      <w:r w:rsidRPr="008F03E5">
        <w:rPr>
          <w:rFonts w:eastAsia="PMingLiU"/>
          <w:u w:val="single"/>
          <w:lang w:eastAsia="zh-TW"/>
        </w:rPr>
        <w:t>gh</w:t>
      </w:r>
      <w:r w:rsidRPr="008F03E5">
        <w:rPr>
          <w:rFonts w:eastAsia="PMingLiU"/>
          <w:lang w:eastAsia="zh-TW"/>
        </w:rPr>
        <w:t xml:space="preserve">wár, </w:t>
      </w:r>
      <w:r w:rsidRPr="008F03E5">
        <w:rPr>
          <w:rFonts w:eastAsia="PMingLiU"/>
          <w:u w:val="single"/>
          <w:lang w:eastAsia="zh-TW"/>
        </w:rPr>
        <w:t>Gh</w:t>
      </w:r>
      <w:r w:rsidRPr="008F03E5">
        <w:rPr>
          <w:rFonts w:eastAsia="PMingLiU"/>
          <w:lang w:eastAsia="zh-TW"/>
        </w:rPr>
        <w:t>írán</w:t>
      </w:r>
      <w:r w:rsidRPr="008F03E5">
        <w:rPr>
          <w:rFonts w:eastAsia="PMingLiU"/>
          <w:lang w:eastAsia="zh-TW"/>
        </w:rPr>
        <w:tab/>
        <w:t>cave, cavern</w:t>
      </w:r>
    </w:p>
    <w:p w14:paraId="223DC70E" w14:textId="77777777" w:rsidR="00625A5B" w:rsidRPr="008F03E5" w:rsidRDefault="00625A5B" w:rsidP="00597560">
      <w:pPr>
        <w:pStyle w:val="Translit"/>
      </w:pPr>
      <w:r w:rsidRPr="008F03E5">
        <w:rPr>
          <w:rFonts w:eastAsia="Times New Roman"/>
        </w:rPr>
        <w:t>Gharb</w:t>
      </w:r>
      <w:r w:rsidRPr="008F03E5">
        <w:rPr>
          <w:rFonts w:eastAsia="Times New Roman"/>
        </w:rPr>
        <w:tab/>
      </w:r>
      <w:r w:rsidRPr="008F03E5">
        <w:rPr>
          <w:rFonts w:eastAsia="Times New Roman"/>
          <w:u w:val="single"/>
        </w:rPr>
        <w:t>Gh</w:t>
      </w:r>
      <w:r w:rsidRPr="008F03E5">
        <w:rPr>
          <w:rFonts w:eastAsia="Times New Roman"/>
        </w:rPr>
        <w:t>arb</w:t>
      </w:r>
      <w:r w:rsidRPr="008F03E5">
        <w:rPr>
          <w:rFonts w:eastAsia="Times New Roman"/>
        </w:rPr>
        <w:tab/>
        <w:t>being hid; going, departing, going to a great distance or to one side; the place where the sun sets; sunset; the West; Africa; being shed (tears); the flowing of tears</w:t>
      </w:r>
    </w:p>
    <w:p w14:paraId="370A1B29" w14:textId="77777777" w:rsidR="00625A5B" w:rsidRDefault="00625A5B" w:rsidP="00597560">
      <w:pPr>
        <w:pStyle w:val="Translit"/>
      </w:pPr>
      <w:r w:rsidRPr="00597560">
        <w:rPr>
          <w:rFonts w:eastAsia="Times New Roman"/>
        </w:rPr>
        <w:t>Gharbi</w:t>
      </w:r>
      <w:r w:rsidRPr="00597560">
        <w:rPr>
          <w:rFonts w:eastAsia="Times New Roman"/>
        </w:rPr>
        <w:tab/>
      </w:r>
      <w:r w:rsidRPr="00597560">
        <w:rPr>
          <w:rFonts w:eastAsia="Times New Roman"/>
          <w:u w:val="single"/>
        </w:rPr>
        <w:t>Gh</w:t>
      </w:r>
      <w:r w:rsidRPr="00597560">
        <w:rPr>
          <w:rFonts w:eastAsia="Times New Roman"/>
        </w:rPr>
        <w:t>arbí</w:t>
      </w:r>
      <w:r>
        <w:rPr>
          <w:rFonts w:eastAsia="Times New Roman"/>
        </w:rPr>
        <w:tab/>
        <w:t>w</w:t>
      </w:r>
      <w:r w:rsidRPr="00AF4D34">
        <w:rPr>
          <w:rFonts w:eastAsia="Times New Roman"/>
        </w:rPr>
        <w:t>est, western, westerly; exposed to the setting sun</w:t>
      </w:r>
      <w:r>
        <w:rPr>
          <w:rFonts w:eastAsia="Times New Roman"/>
        </w:rPr>
        <w:t>; e.g. Gaz-i-</w:t>
      </w:r>
      <w:r w:rsidRPr="00597560">
        <w:rPr>
          <w:rFonts w:eastAsia="Times New Roman"/>
          <w:u w:val="single"/>
        </w:rPr>
        <w:t>Gh</w:t>
      </w:r>
      <w:r>
        <w:rPr>
          <w:rFonts w:eastAsia="Times New Roman"/>
        </w:rPr>
        <w:t>arb</w:t>
      </w:r>
      <w:r w:rsidRPr="00597560">
        <w:t>í</w:t>
      </w:r>
      <w:r>
        <w:rPr>
          <w:rFonts w:eastAsia="Times New Roman"/>
        </w:rPr>
        <w:t>, western Gaz, village located west of the village of Gaz, and south of Bandar-i-Gaz</w:t>
      </w:r>
    </w:p>
    <w:p w14:paraId="19C0BAC8" w14:textId="77777777" w:rsidR="00625A5B" w:rsidRPr="008F03E5" w:rsidRDefault="00625A5B" w:rsidP="00272CA9">
      <w:pPr>
        <w:pStyle w:val="Translit"/>
      </w:pPr>
      <w:r w:rsidRPr="008F03E5">
        <w:t>Ghariq, Gharqa</w:t>
      </w:r>
      <w:r w:rsidRPr="008F03E5">
        <w:tab/>
      </w:r>
      <w:r w:rsidRPr="008F03E5">
        <w:rPr>
          <w:u w:val="single"/>
        </w:rPr>
        <w:t>Gh</w:t>
      </w:r>
      <w:r w:rsidRPr="008F03E5">
        <w:t xml:space="preserve">aríq, pl. </w:t>
      </w:r>
      <w:r w:rsidRPr="008F03E5">
        <w:rPr>
          <w:u w:val="single"/>
        </w:rPr>
        <w:t>Gh</w:t>
      </w:r>
      <w:r w:rsidRPr="008F03E5">
        <w:t>arqá</w:t>
      </w:r>
      <w:r w:rsidRPr="008F03E5">
        <w:tab/>
        <w:t xml:space="preserve">drowned; a drowned person; immersed, engrossed, absorbed (in).  Abjad value of 1,310.  Nabíl drowned in </w:t>
      </w:r>
      <w:r w:rsidRPr="008F03E5">
        <w:rPr>
          <w:sz w:val="16"/>
          <w:szCs w:val="16"/>
        </w:rPr>
        <w:t>AH</w:t>
      </w:r>
      <w:r w:rsidRPr="008F03E5">
        <w:t xml:space="preserve"> 1310—the year began 26 July 1892.</w:t>
      </w:r>
    </w:p>
    <w:p w14:paraId="11CA37B1" w14:textId="77777777" w:rsidR="00625A5B" w:rsidRDefault="00625A5B" w:rsidP="00475C06">
      <w:pPr>
        <w:pStyle w:val="Translit"/>
      </w:pPr>
      <w:r>
        <w:t>Ghars, Aghras, Ghiras</w:t>
      </w:r>
      <w:r>
        <w:tab/>
      </w:r>
      <w:r w:rsidRPr="00475C06">
        <w:rPr>
          <w:u w:val="single"/>
        </w:rPr>
        <w:t>Gh</w:t>
      </w:r>
      <w:r w:rsidRPr="00475C06">
        <w:t>ars</w:t>
      </w:r>
      <w:r>
        <w:t>, pl. A</w:t>
      </w:r>
      <w:r w:rsidRPr="00475C06">
        <w:rPr>
          <w:u w:val="single"/>
        </w:rPr>
        <w:t>gh</w:t>
      </w:r>
      <w:r>
        <w:t>r</w:t>
      </w:r>
      <w:r w:rsidRPr="00475C06">
        <w:t>á</w:t>
      </w:r>
      <w:r>
        <w:t xml:space="preserve">s, </w:t>
      </w:r>
      <w:r w:rsidRPr="00475C06">
        <w:rPr>
          <w:u w:val="single"/>
        </w:rPr>
        <w:t>Gh</w:t>
      </w:r>
      <w:r>
        <w:t>ir</w:t>
      </w:r>
      <w:r w:rsidRPr="00475C06">
        <w:t>á</w:t>
      </w:r>
      <w:r>
        <w:t>s</w:t>
      </w:r>
      <w:r>
        <w:tab/>
      </w:r>
      <w:r w:rsidRPr="00475C06">
        <w:t>planted</w:t>
      </w:r>
      <w:r>
        <w:t xml:space="preserve"> (abjad 1,260)</w:t>
      </w:r>
      <w:r w:rsidRPr="00475C06">
        <w:t>;</w:t>
      </w:r>
      <w:r>
        <w:t>—pl.</w:t>
      </w:r>
      <w:r w:rsidRPr="00475C06">
        <w:t xml:space="preserve"> plant, layer, cion, nursery plant, seedling</w:t>
      </w:r>
    </w:p>
    <w:p w14:paraId="15C73B26" w14:textId="77777777" w:rsidR="00625A5B" w:rsidRPr="008F03E5" w:rsidRDefault="00625A5B" w:rsidP="00475C06">
      <w:pPr>
        <w:pStyle w:val="Translit"/>
      </w:pPr>
      <w:r w:rsidRPr="008F03E5">
        <w:t>Gharsa</w:t>
      </w:r>
      <w:r>
        <w:t xml:space="preserve"> (Gharasa, Gharasih)</w:t>
      </w:r>
      <w:r w:rsidRPr="008F03E5">
        <w:tab/>
      </w:r>
      <w:r w:rsidRPr="008F03E5">
        <w:rPr>
          <w:u w:val="single"/>
        </w:rPr>
        <w:t>Gh</w:t>
      </w:r>
      <w:r w:rsidRPr="008F03E5">
        <w:t>arsa[h or t]</w:t>
      </w:r>
      <w:r w:rsidRPr="008F03E5">
        <w:tab/>
        <w:t>plant</w:t>
      </w:r>
      <w:r>
        <w:t xml:space="preserve">.  </w:t>
      </w:r>
      <w:r>
        <w:rPr>
          <w:u w:val="single"/>
        </w:rPr>
        <w:t>A</w:t>
      </w:r>
      <w:r w:rsidRPr="008F03E5">
        <w:t>bjad value of 1,265</w:t>
      </w:r>
      <w:r>
        <w:t>.</w:t>
      </w:r>
    </w:p>
    <w:p w14:paraId="1734DCFA" w14:textId="77777777" w:rsidR="00625A5B" w:rsidRPr="008F03E5" w:rsidRDefault="00625A5B" w:rsidP="00475C06">
      <w:pPr>
        <w:pStyle w:val="Translit"/>
        <w:rPr>
          <w:u w:val="single"/>
        </w:rPr>
      </w:pPr>
      <w:r w:rsidRPr="008F03E5">
        <w:t>Gharsi</w:t>
      </w:r>
      <w:r w:rsidRPr="008F03E5">
        <w:tab/>
      </w:r>
      <w:r w:rsidRPr="008F03E5">
        <w:rPr>
          <w:u w:val="single"/>
        </w:rPr>
        <w:t>Gh</w:t>
      </w:r>
      <w:r w:rsidRPr="008F03E5">
        <w:t>arsí</w:t>
      </w:r>
      <w:r w:rsidRPr="008F03E5">
        <w:tab/>
      </w:r>
      <w:r>
        <w:t>abjad</w:t>
      </w:r>
      <w:r w:rsidRPr="008F03E5">
        <w:t xml:space="preserve"> value of 1,270</w:t>
      </w:r>
    </w:p>
    <w:p w14:paraId="620E10D3" w14:textId="77777777" w:rsidR="00625A5B" w:rsidRPr="008F03E5" w:rsidRDefault="00625A5B" w:rsidP="00151AF7">
      <w:pPr>
        <w:pStyle w:val="Translit"/>
      </w:pPr>
      <w:r w:rsidRPr="008F03E5">
        <w:t>Ghashiya, Ghawashin</w:t>
      </w:r>
      <w:r w:rsidRPr="008F03E5">
        <w:tab/>
      </w:r>
      <w:r w:rsidRPr="008F03E5">
        <w:rPr>
          <w:u w:val="single"/>
        </w:rPr>
        <w:t>Gh</w:t>
      </w:r>
      <w:r w:rsidRPr="008F03E5">
        <w:t>á</w:t>
      </w:r>
      <w:r w:rsidRPr="008F03E5">
        <w:rPr>
          <w:u w:val="single"/>
        </w:rPr>
        <w:t>sh</w:t>
      </w:r>
      <w:r w:rsidRPr="008F03E5">
        <w:t xml:space="preserve">iya[h or t], pl. </w:t>
      </w:r>
      <w:r w:rsidRPr="008F03E5">
        <w:rPr>
          <w:u w:val="single"/>
        </w:rPr>
        <w:t>Gh</w:t>
      </w:r>
      <w:r w:rsidRPr="008F03E5">
        <w:t>awá</w:t>
      </w:r>
      <w:r w:rsidRPr="008F03E5">
        <w:rPr>
          <w:u w:val="single"/>
        </w:rPr>
        <w:t>sh</w:t>
      </w:r>
      <w:r w:rsidRPr="008F03E5">
        <w:t>in</w:t>
      </w:r>
      <w:r w:rsidRPr="008F03E5">
        <w:tab/>
        <w:t xml:space="preserve">pericardium; misfortune, calamity, disaster; faint, swoon; insensibility, stupor; servants, attendants, retinue; a covering.  al </w:t>
      </w:r>
      <w:r w:rsidRPr="008F03E5">
        <w:rPr>
          <w:u w:val="single"/>
        </w:rPr>
        <w:t>Gh</w:t>
      </w:r>
      <w:r w:rsidRPr="008F03E5">
        <w:t>á</w:t>
      </w:r>
      <w:r w:rsidRPr="008F03E5">
        <w:rPr>
          <w:u w:val="single"/>
        </w:rPr>
        <w:t>sh</w:t>
      </w:r>
      <w:r w:rsidRPr="008F03E5">
        <w:t>iyah, the overwhelming event, Súra 88.</w:t>
      </w:r>
    </w:p>
    <w:p w14:paraId="50A85CB9" w14:textId="77777777" w:rsidR="00625A5B" w:rsidRPr="008F03E5" w:rsidRDefault="00625A5B" w:rsidP="00151AF7">
      <w:pPr>
        <w:pStyle w:val="Translit"/>
      </w:pPr>
      <w:r w:rsidRPr="008F03E5">
        <w:t>Ghashiyatun, Ghawash</w:t>
      </w:r>
      <w:r w:rsidRPr="008F03E5">
        <w:tab/>
      </w:r>
      <w:r w:rsidRPr="008F03E5">
        <w:rPr>
          <w:u w:val="single"/>
        </w:rPr>
        <w:t>Gh</w:t>
      </w:r>
      <w:r w:rsidRPr="008F03E5">
        <w:t>á</w:t>
      </w:r>
      <w:r w:rsidRPr="008F03E5">
        <w:rPr>
          <w:u w:val="single"/>
        </w:rPr>
        <w:t>sh</w:t>
      </w:r>
      <w:r w:rsidRPr="008F03E5">
        <w:t xml:space="preserve">iyatun fem., pl. </w:t>
      </w:r>
      <w:r w:rsidRPr="008F03E5">
        <w:rPr>
          <w:u w:val="single"/>
        </w:rPr>
        <w:t>Gh</w:t>
      </w:r>
      <w:r w:rsidRPr="008F03E5">
        <w:t>awa</w:t>
      </w:r>
      <w:r w:rsidRPr="008F03E5">
        <w:rPr>
          <w:u w:val="single"/>
        </w:rPr>
        <w:t>sh</w:t>
      </w:r>
      <w:r w:rsidRPr="008F03E5">
        <w:tab/>
        <w:t>something that covers or overwhelms; a covering, an overwhelming calamity.  Qur’án 12:107.</w:t>
      </w:r>
    </w:p>
    <w:p w14:paraId="65F9F886" w14:textId="77777777" w:rsidR="00625A5B" w:rsidRPr="008F03E5" w:rsidRDefault="00625A5B" w:rsidP="003808C6">
      <w:pPr>
        <w:pStyle w:val="Translit"/>
      </w:pPr>
      <w:r w:rsidRPr="008F03E5">
        <w:t>Ghasil</w:t>
      </w:r>
      <w:r w:rsidRPr="008F03E5">
        <w:tab/>
      </w:r>
      <w:r w:rsidRPr="008F03E5">
        <w:rPr>
          <w:u w:val="single"/>
        </w:rPr>
        <w:t>Gh</w:t>
      </w:r>
      <w:r w:rsidRPr="008F03E5">
        <w:t>asíl</w:t>
      </w:r>
      <w:r w:rsidRPr="008F03E5">
        <w:tab/>
        <w:t>washed; (dirty or washed) clothes, washing</w:t>
      </w:r>
    </w:p>
    <w:p w14:paraId="41C02C48" w14:textId="77777777" w:rsidR="00625A5B" w:rsidRPr="008F03E5" w:rsidRDefault="00625A5B" w:rsidP="00815EF4">
      <w:pPr>
        <w:pStyle w:val="Translit"/>
      </w:pPr>
      <w:r w:rsidRPr="008F03E5">
        <w:t>Ghassan, Ghasasinah</w:t>
      </w:r>
      <w:r w:rsidRPr="008F03E5">
        <w:tab/>
      </w:r>
      <w:r w:rsidRPr="008F03E5">
        <w:rPr>
          <w:u w:val="single"/>
        </w:rPr>
        <w:t>Gh</w:t>
      </w:r>
      <w:r w:rsidRPr="008F03E5">
        <w:t>assán</w:t>
      </w:r>
      <w:r w:rsidRPr="008F03E5">
        <w:tab/>
        <w:t>prime; vigour (of youth); the impetuosity of youth.  al-</w:t>
      </w:r>
      <w:r w:rsidRPr="008F03E5">
        <w:rPr>
          <w:u w:val="single"/>
        </w:rPr>
        <w:t>Gh</w:t>
      </w:r>
      <w:r w:rsidRPr="008F03E5">
        <w:t xml:space="preserve">asásinah (Ghassanids), also Banú </w:t>
      </w:r>
      <w:r w:rsidRPr="008F03E5">
        <w:rPr>
          <w:u w:val="single"/>
        </w:rPr>
        <w:t>Gh</w:t>
      </w:r>
      <w:r w:rsidRPr="008F03E5">
        <w:t xml:space="preserve">assán (“Sons of </w:t>
      </w:r>
      <w:r w:rsidRPr="008F03E5">
        <w:rPr>
          <w:u w:val="single"/>
        </w:rPr>
        <w:t>Gh</w:t>
      </w:r>
      <w:r w:rsidRPr="008F03E5">
        <w:t>assán”), were a pre-Islamic Arab tribe that founded an Arab kingdom.  The Christian Ghassanid Dynasty were descendants of the al-Azd tribe from Yemen who migrated in the early 3rd century to the Levant region.</w:t>
      </w:r>
    </w:p>
    <w:p w14:paraId="046FACD0" w14:textId="77777777" w:rsidR="00625A5B" w:rsidRPr="008F03E5" w:rsidRDefault="00625A5B" w:rsidP="00982A14">
      <w:pPr>
        <w:pStyle w:val="Translit"/>
      </w:pPr>
      <w:r w:rsidRPr="008F03E5">
        <w:t>Ghataf</w:t>
      </w:r>
      <w:r w:rsidRPr="008F03E5">
        <w:tab/>
      </w:r>
      <w:r w:rsidRPr="008F03E5">
        <w:rPr>
          <w:u w:val="single"/>
        </w:rPr>
        <w:t>Gh</w:t>
      </w:r>
      <w:r w:rsidRPr="008F03E5">
        <w:t>aṭaf</w:t>
      </w:r>
      <w:r w:rsidRPr="008F03E5">
        <w:tab/>
        <w:t>comforts (of life); bigness of the eye; length of the eye-lashes</w:t>
      </w:r>
    </w:p>
    <w:p w14:paraId="4B455532" w14:textId="77777777" w:rsidR="00625A5B" w:rsidRPr="008F03E5" w:rsidRDefault="00625A5B" w:rsidP="00982A14">
      <w:pPr>
        <w:pStyle w:val="Translit"/>
      </w:pPr>
      <w:r w:rsidRPr="008F03E5">
        <w:t>Ghatafan</w:t>
      </w:r>
      <w:r w:rsidRPr="008F03E5">
        <w:tab/>
      </w:r>
      <w:r w:rsidRPr="008F03E5">
        <w:rPr>
          <w:u w:val="single"/>
        </w:rPr>
        <w:t>Gh</w:t>
      </w:r>
      <w:r w:rsidRPr="008F03E5">
        <w:t>aṭafán</w:t>
      </w:r>
      <w:r w:rsidRPr="008F03E5">
        <w:tab/>
        <w:t>name of an Arab tribe</w:t>
      </w:r>
    </w:p>
    <w:p w14:paraId="3DE22A64" w14:textId="77777777" w:rsidR="00625A5B" w:rsidRPr="008F03E5" w:rsidRDefault="00625A5B" w:rsidP="00775939">
      <w:pPr>
        <w:pStyle w:val="Translit"/>
      </w:pPr>
      <w:r w:rsidRPr="008F03E5">
        <w:t>Ghawgha’ (Ghaugha’)</w:t>
      </w:r>
      <w:r w:rsidRPr="008F03E5">
        <w:tab/>
      </w:r>
      <w:r w:rsidRPr="008F03E5">
        <w:rPr>
          <w:u w:val="single"/>
        </w:rPr>
        <w:t>Gh</w:t>
      </w:r>
      <w:r w:rsidRPr="008F03E5">
        <w:rPr>
          <w:rFonts w:eastAsia="PMingLiU"/>
          <w:lang w:eastAsia="zh-TW"/>
        </w:rPr>
        <w:t>aw</w:t>
      </w:r>
      <w:r w:rsidRPr="008F03E5">
        <w:rPr>
          <w:u w:val="single"/>
        </w:rPr>
        <w:t>gh</w:t>
      </w:r>
      <w:r w:rsidRPr="008F03E5">
        <w:t>á</w:t>
      </w:r>
      <w:r w:rsidRPr="008F03E5">
        <w:rPr>
          <w:rFonts w:eastAsia="PMingLiU"/>
          <w:lang w:eastAsia="zh-TW"/>
        </w:rPr>
        <w:t xml:space="preserve">’ (Pers. also </w:t>
      </w:r>
      <w:r w:rsidRPr="008F03E5">
        <w:rPr>
          <w:u w:val="single"/>
        </w:rPr>
        <w:t>Gh</w:t>
      </w:r>
      <w:r w:rsidRPr="008F03E5">
        <w:rPr>
          <w:rFonts w:eastAsia="PMingLiU"/>
          <w:lang w:eastAsia="zh-TW"/>
        </w:rPr>
        <w:t>aw</w:t>
      </w:r>
      <w:r w:rsidRPr="008F03E5">
        <w:rPr>
          <w:u w:val="single"/>
        </w:rPr>
        <w:t>gh</w:t>
      </w:r>
      <w:r w:rsidRPr="008F03E5">
        <w:t>á)</w:t>
      </w:r>
      <w:r w:rsidRPr="008F03E5">
        <w:rPr>
          <w:rFonts w:eastAsia="PMingLiU"/>
          <w:lang w:eastAsia="zh-TW"/>
        </w:rPr>
        <w:tab/>
        <w:t>mob, rabble, riffraff, din, noise, clamour</w:t>
      </w:r>
    </w:p>
    <w:p w14:paraId="28812641" w14:textId="77777777" w:rsidR="00625A5B" w:rsidRPr="008F03E5" w:rsidRDefault="00625A5B" w:rsidP="00900A82">
      <w:pPr>
        <w:pStyle w:val="Translit"/>
      </w:pPr>
      <w:r w:rsidRPr="008F03E5">
        <w:t>Ghawr</w:t>
      </w:r>
      <w:r w:rsidRPr="008F03E5">
        <w:tab/>
      </w:r>
      <w:r w:rsidRPr="008F03E5">
        <w:rPr>
          <w:u w:val="single"/>
        </w:rPr>
        <w:t>Gh</w:t>
      </w:r>
      <w:r w:rsidRPr="008F03E5">
        <w:t>awr</w:t>
      </w:r>
      <w:r w:rsidRPr="008F03E5">
        <w:tab/>
        <w:t>place near Tiberias, Israel</w:t>
      </w:r>
    </w:p>
    <w:p w14:paraId="7DA562FA" w14:textId="77777777" w:rsidR="00625A5B" w:rsidRPr="008F03E5" w:rsidRDefault="00625A5B" w:rsidP="00900A82">
      <w:pPr>
        <w:pStyle w:val="Translit"/>
      </w:pPr>
      <w:r w:rsidRPr="008F03E5">
        <w:t>Ghawth</w:t>
      </w:r>
      <w:r w:rsidRPr="008F03E5">
        <w:tab/>
      </w:r>
      <w:r w:rsidRPr="008F03E5">
        <w:rPr>
          <w:u w:val="single"/>
        </w:rPr>
        <w:t>Gh</w:t>
      </w:r>
      <w:r w:rsidRPr="008F03E5">
        <w:t>aw</w:t>
      </w:r>
      <w:r w:rsidRPr="008F03E5">
        <w:rPr>
          <w:u w:val="single"/>
        </w:rPr>
        <w:t>th</w:t>
      </w:r>
      <w:r w:rsidRPr="008F03E5">
        <w:tab/>
        <w:t>call for help; help, aid, succour</w:t>
      </w:r>
    </w:p>
    <w:p w14:paraId="4CD30914" w14:textId="77777777" w:rsidR="00625A5B" w:rsidRPr="008F03E5" w:rsidRDefault="00625A5B" w:rsidP="005D5AAC">
      <w:pPr>
        <w:pStyle w:val="Translit"/>
      </w:pPr>
      <w:r w:rsidRPr="008F03E5">
        <w:t>Ghawthiy</w:t>
      </w:r>
      <w:r>
        <w:t>a,</w:t>
      </w:r>
      <w:r w:rsidRPr="008F03E5">
        <w:t xml:space="preserve"> Ghawthiyyih</w:t>
      </w:r>
      <w:r w:rsidRPr="008F03E5">
        <w:tab/>
      </w:r>
      <w:r w:rsidRPr="008F03E5">
        <w:rPr>
          <w:u w:val="single"/>
        </w:rPr>
        <w:t>Gh</w:t>
      </w:r>
      <w:r w:rsidRPr="008F03E5">
        <w:t>aw</w:t>
      </w:r>
      <w:r w:rsidRPr="008F03E5">
        <w:rPr>
          <w:u w:val="single"/>
        </w:rPr>
        <w:t>th</w:t>
      </w:r>
      <w:r w:rsidRPr="005D5AAC">
        <w:t>í</w:t>
      </w:r>
      <w:r w:rsidRPr="008F03E5">
        <w:t>y</w:t>
      </w:r>
      <w:r>
        <w:t>a[h or t],</w:t>
      </w:r>
      <w:r w:rsidRPr="005D5AAC">
        <w:t xml:space="preserve"> </w:t>
      </w:r>
      <w:r w:rsidRPr="008F03E5">
        <w:rPr>
          <w:u w:val="single"/>
        </w:rPr>
        <w:t>Gh</w:t>
      </w:r>
      <w:r w:rsidRPr="008F03E5">
        <w:t>aw</w:t>
      </w:r>
      <w:r w:rsidRPr="008F03E5">
        <w:rPr>
          <w:u w:val="single"/>
        </w:rPr>
        <w:t>th</w:t>
      </w:r>
      <w:r w:rsidRPr="008F03E5">
        <w:t>iyyih</w:t>
      </w:r>
      <w:r w:rsidRPr="008F03E5">
        <w:tab/>
      </w:r>
      <w:r w:rsidRPr="00AF4D34">
        <w:rPr>
          <w:rFonts w:eastAsia="Times New Roman"/>
        </w:rPr>
        <w:t xml:space="preserve">The state or quality of a </w:t>
      </w:r>
      <w:r w:rsidRPr="005D5AAC">
        <w:rPr>
          <w:rFonts w:eastAsia="Times New Roman"/>
          <w:u w:val="single"/>
        </w:rPr>
        <w:t>gh</w:t>
      </w:r>
      <w:r w:rsidRPr="005D5AAC">
        <w:rPr>
          <w:rFonts w:eastAsia="Times New Roman"/>
        </w:rPr>
        <w:t>au</w:t>
      </w:r>
      <w:r w:rsidRPr="003610FD">
        <w:rPr>
          <w:u w:val="single"/>
        </w:rPr>
        <w:t>th</w:t>
      </w:r>
      <w:r w:rsidRPr="00AF4D34">
        <w:rPr>
          <w:rFonts w:eastAsia="Times New Roman"/>
        </w:rPr>
        <w:t xml:space="preserve"> (</w:t>
      </w:r>
      <w:r w:rsidRPr="005D5AAC">
        <w:rPr>
          <w:rFonts w:eastAsia="Times New Roman"/>
          <w:u w:val="single"/>
        </w:rPr>
        <w:t>gh</w:t>
      </w:r>
      <w:r w:rsidRPr="005D5AAC">
        <w:rPr>
          <w:rFonts w:eastAsia="Times New Roman"/>
        </w:rPr>
        <w:t>au</w:t>
      </w:r>
      <w:r w:rsidRPr="003610FD">
        <w:rPr>
          <w:u w:val="single"/>
        </w:rPr>
        <w:t>th</w:t>
      </w:r>
      <w:r w:rsidRPr="00AF4D34">
        <w:rPr>
          <w:rFonts w:eastAsia="Times New Roman"/>
        </w:rPr>
        <w:t>), saintship, sanctity; devoteeism.</w:t>
      </w:r>
      <w:r>
        <w:rPr>
          <w:rFonts w:eastAsia="Times New Roman"/>
        </w:rPr>
        <w:t xml:space="preserve">  G</w:t>
      </w:r>
      <w:r w:rsidRPr="008F03E5">
        <w:t xml:space="preserve">arden of </w:t>
      </w:r>
      <w:r w:rsidRPr="008F03E5">
        <w:rPr>
          <w:u w:val="single"/>
        </w:rPr>
        <w:t>Gh</w:t>
      </w:r>
      <w:r w:rsidRPr="008F03E5">
        <w:t>aw</w:t>
      </w:r>
      <w:r w:rsidRPr="008F03E5">
        <w:rPr>
          <w:u w:val="single"/>
        </w:rPr>
        <w:t>th</w:t>
      </w:r>
      <w:r w:rsidRPr="008F03E5">
        <w:t>iyyih—riyáḍ a</w:t>
      </w:r>
      <w:r w:rsidRPr="005D5AAC">
        <w:t>l</w:t>
      </w:r>
      <w:r w:rsidRPr="008F03E5">
        <w:t>-</w:t>
      </w:r>
      <w:r w:rsidRPr="008F03E5">
        <w:rPr>
          <w:u w:val="single"/>
        </w:rPr>
        <w:t>gh</w:t>
      </w:r>
      <w:r w:rsidRPr="008F03E5">
        <w:t>aw</w:t>
      </w:r>
      <w:r w:rsidRPr="008F03E5">
        <w:rPr>
          <w:u w:val="single"/>
        </w:rPr>
        <w:t>th</w:t>
      </w:r>
      <w:r w:rsidRPr="008F03E5">
        <w:t>iyya—(loosely) “Garden of Intercessory Sainthood”</w:t>
      </w:r>
      <w:r>
        <w:t>.</w:t>
      </w:r>
    </w:p>
    <w:p w14:paraId="571032A2" w14:textId="77777777" w:rsidR="00625A5B" w:rsidRPr="008F03E5" w:rsidRDefault="00625A5B" w:rsidP="00795FB0">
      <w:pPr>
        <w:pStyle w:val="Translit"/>
      </w:pPr>
      <w:r w:rsidRPr="008F03E5">
        <w:t>Ghayb (Ghaib)</w:t>
      </w:r>
      <w:r w:rsidRPr="008F03E5">
        <w:tab/>
      </w:r>
      <w:r w:rsidRPr="008F03E5">
        <w:rPr>
          <w:u w:val="single"/>
        </w:rPr>
        <w:t>Gh</w:t>
      </w:r>
      <w:r w:rsidRPr="008F03E5">
        <w:t xml:space="preserve">ayb, pl. </w:t>
      </w:r>
      <w:r w:rsidRPr="008F03E5">
        <w:rPr>
          <w:u w:val="single"/>
        </w:rPr>
        <w:t>Gh</w:t>
      </w:r>
      <w:r w:rsidRPr="008F03E5">
        <w:t>uyúb</w:t>
      </w:r>
      <w:r w:rsidRPr="008F03E5">
        <w:tab/>
        <w:t>absence; hidden, concealed, invisible;—(pl.) that which is hidden, the invisible; that which is transcendental, the supernatural; divine secret.  (invisible realm)</w:t>
      </w:r>
    </w:p>
    <w:p w14:paraId="2373600C" w14:textId="77777777" w:rsidR="00625A5B" w:rsidRPr="008F03E5" w:rsidRDefault="00625A5B" w:rsidP="00052149">
      <w:pPr>
        <w:pStyle w:val="Translit"/>
      </w:pPr>
      <w:r w:rsidRPr="008F03E5">
        <w:t>Ghayba (Ghaiba)</w:t>
      </w:r>
      <w:r w:rsidRPr="008F03E5">
        <w:tab/>
      </w:r>
      <w:r w:rsidRPr="008F03E5">
        <w:rPr>
          <w:u w:val="single"/>
        </w:rPr>
        <w:t>Gh</w:t>
      </w:r>
      <w:r w:rsidRPr="008F03E5">
        <w:t>ayba[t]</w:t>
      </w:r>
      <w:r w:rsidRPr="008F03E5">
        <w:tab/>
        <w:t>absence; concealment, invisibility; occultation.  State of being hidden from view.  See Tablet of Aḥmad</w:t>
      </w:r>
    </w:p>
    <w:p w14:paraId="1C38751E" w14:textId="77777777" w:rsidR="00625A5B" w:rsidRPr="008F03E5" w:rsidRDefault="00625A5B" w:rsidP="00967CB8">
      <w:pPr>
        <w:pStyle w:val="Translit"/>
      </w:pPr>
      <w:r w:rsidRPr="008F03E5">
        <w:rPr>
          <w:rFonts w:eastAsia="PMingLiU"/>
          <w:lang w:eastAsia="zh-TW"/>
        </w:rPr>
        <w:t>Ghaybat al-Kubr</w:t>
      </w:r>
      <w:r w:rsidRPr="008F03E5">
        <w:t>a</w:t>
      </w:r>
      <w:r w:rsidRPr="008F03E5">
        <w:tab/>
        <w:t>al-</w:t>
      </w:r>
      <w:r w:rsidRPr="008F03E5">
        <w:rPr>
          <w:u w:val="single"/>
        </w:rPr>
        <w:t>Gh</w:t>
      </w:r>
      <w:r w:rsidRPr="008F03E5">
        <w:rPr>
          <w:rFonts w:eastAsia="PMingLiU"/>
          <w:lang w:eastAsia="zh-TW"/>
        </w:rPr>
        <w:t>aybat al-Kubr</w:t>
      </w:r>
      <w:r w:rsidRPr="008F03E5">
        <w:t>á</w:t>
      </w:r>
      <w:r w:rsidRPr="008F03E5">
        <w:tab/>
        <w:t xml:space="preserve">Major Occultation (c. </w:t>
      </w:r>
      <w:r w:rsidRPr="008F03E5">
        <w:rPr>
          <w:sz w:val="16"/>
          <w:szCs w:val="16"/>
        </w:rPr>
        <w:t>AH</w:t>
      </w:r>
      <w:r w:rsidRPr="008F03E5">
        <w:t xml:space="preserve"> 329/941–</w:t>
      </w:r>
      <w:r w:rsidRPr="008F03E5">
        <w:rPr>
          <w:sz w:val="16"/>
          <w:szCs w:val="16"/>
        </w:rPr>
        <w:t>AH</w:t>
      </w:r>
      <w:r w:rsidRPr="008F03E5">
        <w:t xml:space="preserve"> 1260/1844).  See appended Occultation note.</w:t>
      </w:r>
    </w:p>
    <w:p w14:paraId="3CF1C1B0" w14:textId="77777777" w:rsidR="00625A5B" w:rsidRPr="008F03E5" w:rsidRDefault="00625A5B" w:rsidP="00BC24FD">
      <w:pPr>
        <w:pStyle w:val="Translit"/>
        <w:rPr>
          <w:rFonts w:eastAsia="PMingLiU"/>
          <w:lang w:eastAsia="zh-TW"/>
        </w:rPr>
      </w:pPr>
      <w:r w:rsidRPr="008F03E5">
        <w:t>Ghaybat as-Su</w:t>
      </w:r>
      <w:r w:rsidRPr="008F03E5">
        <w:rPr>
          <w:u w:val="single"/>
        </w:rPr>
        <w:t>gh</w:t>
      </w:r>
      <w:r w:rsidRPr="008F03E5">
        <w:t>ra</w:t>
      </w:r>
      <w:r w:rsidRPr="008F03E5">
        <w:tab/>
        <w:t>al-</w:t>
      </w:r>
      <w:r w:rsidRPr="008F03E5">
        <w:rPr>
          <w:u w:val="single"/>
        </w:rPr>
        <w:t>Gh</w:t>
      </w:r>
      <w:r w:rsidRPr="008F03E5">
        <w:t>aybat aṣ-Ṣu</w:t>
      </w:r>
      <w:r w:rsidRPr="008F03E5">
        <w:rPr>
          <w:u w:val="single"/>
        </w:rPr>
        <w:t>gh</w:t>
      </w:r>
      <w:r w:rsidRPr="008F03E5">
        <w:t>rá</w:t>
      </w:r>
      <w:r w:rsidRPr="008F03E5">
        <w:tab/>
        <w:t>Minor Occultation (</w:t>
      </w:r>
      <w:r w:rsidRPr="008F03E5">
        <w:rPr>
          <w:sz w:val="16"/>
          <w:szCs w:val="16"/>
        </w:rPr>
        <w:t>AH</w:t>
      </w:r>
      <w:r w:rsidRPr="008F03E5">
        <w:t xml:space="preserve"> 260/</w:t>
      </w:r>
      <w:r w:rsidRPr="008F03E5">
        <w:rPr>
          <w:sz w:val="16"/>
          <w:szCs w:val="16"/>
        </w:rPr>
        <w:t>CE</w:t>
      </w:r>
      <w:r w:rsidRPr="008F03E5">
        <w:t xml:space="preserve"> 874–c. 941).  The “Deputies” or “Gates” during the Minor Occultation:  ‘U</w:t>
      </w:r>
      <w:r w:rsidRPr="008F03E5">
        <w:rPr>
          <w:u w:val="single"/>
        </w:rPr>
        <w:t>th</w:t>
      </w:r>
      <w:r w:rsidRPr="008F03E5">
        <w:t>mán ibn Sa‘íd, his son Muḥammad ibn ‘U</w:t>
      </w:r>
      <w:r w:rsidRPr="008F03E5">
        <w:rPr>
          <w:u w:val="single"/>
        </w:rPr>
        <w:t>th</w:t>
      </w:r>
      <w:r w:rsidRPr="008F03E5">
        <w:t>mán, Ḥusayn ibn Rúḥ and ‘Alí ibn Muḥammad Símarí.  See appended Occultation note.</w:t>
      </w:r>
    </w:p>
    <w:p w14:paraId="21A042D9" w14:textId="77777777" w:rsidR="00625A5B" w:rsidRPr="008F03E5" w:rsidRDefault="00625A5B" w:rsidP="003700C4">
      <w:pPr>
        <w:pStyle w:val="Translit"/>
      </w:pPr>
      <w:r w:rsidRPr="008F03E5">
        <w:t>Ghaym (Ghaim), Ghuyum, Ghiyam</w:t>
      </w:r>
      <w:r w:rsidRPr="008F03E5">
        <w:tab/>
      </w:r>
      <w:r w:rsidRPr="008F03E5">
        <w:rPr>
          <w:u w:val="single"/>
        </w:rPr>
        <w:t>Gh</w:t>
      </w:r>
      <w:r w:rsidRPr="008F03E5">
        <w:t xml:space="preserve">aym, pl. </w:t>
      </w:r>
      <w:r w:rsidRPr="008F03E5">
        <w:rPr>
          <w:u w:val="single"/>
        </w:rPr>
        <w:t>Gh</w:t>
      </w:r>
      <w:r w:rsidRPr="008F03E5">
        <w:t xml:space="preserve">uyúm, </w:t>
      </w:r>
      <w:r w:rsidRPr="008F03E5">
        <w:rPr>
          <w:u w:val="single"/>
        </w:rPr>
        <w:t>Gh</w:t>
      </w:r>
      <w:r w:rsidRPr="008F03E5">
        <w:t>iyám</w:t>
      </w:r>
      <w:r w:rsidRPr="008F03E5">
        <w:tab/>
        <w:t>(collective) clouds; mist, fog</w:t>
      </w:r>
    </w:p>
    <w:p w14:paraId="1C31445E" w14:textId="77777777" w:rsidR="00625A5B" w:rsidRPr="008F03E5" w:rsidRDefault="00625A5B" w:rsidP="005C25ED">
      <w:pPr>
        <w:pStyle w:val="Translit"/>
      </w:pPr>
      <w:r w:rsidRPr="008F03E5">
        <w:t>Ghaym ar-Raqiq</w:t>
      </w:r>
      <w:r w:rsidRPr="008F03E5">
        <w:tab/>
      </w:r>
      <w:r w:rsidRPr="008F03E5">
        <w:rPr>
          <w:u w:val="single"/>
        </w:rPr>
        <w:t>Gh</w:t>
      </w:r>
      <w:r w:rsidRPr="008F03E5">
        <w:t>aym ar-Raqíq</w:t>
      </w:r>
      <w:r w:rsidRPr="008F03E5">
        <w:tab/>
        <w:t>thin cloud</w:t>
      </w:r>
    </w:p>
    <w:p w14:paraId="29189335" w14:textId="77777777" w:rsidR="00625A5B" w:rsidRPr="008F03E5" w:rsidRDefault="00625A5B" w:rsidP="00C31478">
      <w:pPr>
        <w:pStyle w:val="Translit"/>
      </w:pPr>
      <w:r w:rsidRPr="008F03E5">
        <w:t>Ghayn</w:t>
      </w:r>
      <w:r w:rsidRPr="008F03E5">
        <w:tab/>
      </w:r>
      <w:r w:rsidRPr="008F03E5">
        <w:rPr>
          <w:u w:val="single"/>
        </w:rPr>
        <w:t>Gh</w:t>
      </w:r>
      <w:r w:rsidRPr="008F03E5">
        <w:t>ayn</w:t>
      </w:r>
      <w:r w:rsidRPr="008F03E5">
        <w:tab/>
        <w:t xml:space="preserve">Arabic letter transcripted as </w:t>
      </w:r>
      <w:r w:rsidRPr="008F03E5">
        <w:rPr>
          <w:u w:val="single"/>
        </w:rPr>
        <w:t>gh</w:t>
      </w:r>
    </w:p>
    <w:p w14:paraId="2ED40F8D" w14:textId="77777777" w:rsidR="00625A5B" w:rsidRPr="008F03E5" w:rsidRDefault="00625A5B" w:rsidP="00305917">
      <w:pPr>
        <w:pStyle w:val="Translit"/>
      </w:pPr>
      <w:r w:rsidRPr="008F03E5">
        <w:t>Ghayr (Ghair)</w:t>
      </w:r>
      <w:r w:rsidRPr="008F03E5">
        <w:tab/>
      </w:r>
      <w:r w:rsidRPr="008F03E5">
        <w:rPr>
          <w:u w:val="single"/>
        </w:rPr>
        <w:t>Gh</w:t>
      </w:r>
      <w:r w:rsidRPr="008F03E5">
        <w:t>ayr</w:t>
      </w:r>
      <w:r w:rsidRPr="008F03E5">
        <w:tab/>
        <w:t xml:space="preserve">other than (with dependent genitive), different from, unlike, no, not, non-, un-, in-, dis-; (preposition) </w:t>
      </w:r>
      <w:r w:rsidRPr="008F03E5">
        <w:rPr>
          <w:u w:val="single"/>
        </w:rPr>
        <w:t>gh</w:t>
      </w:r>
      <w:r w:rsidRPr="008F03E5">
        <w:t>ayra except, save, but</w:t>
      </w:r>
    </w:p>
    <w:p w14:paraId="18657003" w14:textId="77777777" w:rsidR="00625A5B" w:rsidRDefault="00625A5B" w:rsidP="00FD2AD7">
      <w:pPr>
        <w:pStyle w:val="Translit"/>
      </w:pPr>
      <w:r>
        <w:t>Ghayr (Ghair), Ghayra (Ghair)</w:t>
      </w:r>
      <w:r>
        <w:tab/>
      </w:r>
      <w:r w:rsidRPr="00783CE0">
        <w:rPr>
          <w:u w:val="single"/>
        </w:rPr>
        <w:t>Gh</w:t>
      </w:r>
      <w:r w:rsidRPr="00783CE0">
        <w:t>a</w:t>
      </w:r>
      <w:r>
        <w:t>y</w:t>
      </w:r>
      <w:r w:rsidRPr="00783CE0">
        <w:t>r</w:t>
      </w:r>
      <w:r>
        <w:tab/>
      </w:r>
      <w:r w:rsidRPr="00783CE0">
        <w:t>other than (with dependent genit</w:t>
      </w:r>
      <w:r>
        <w:t>itive</w:t>
      </w:r>
      <w:r w:rsidRPr="00783CE0">
        <w:t>), different from, unlike, no, not, non-, un-, in-, dis-; (prep</w:t>
      </w:r>
      <w:r>
        <w:t>osition</w:t>
      </w:r>
      <w:r w:rsidRPr="00783CE0">
        <w:t xml:space="preserve">) </w:t>
      </w:r>
      <w:r w:rsidRPr="00783CE0">
        <w:rPr>
          <w:u w:val="single"/>
        </w:rPr>
        <w:t>gh</w:t>
      </w:r>
      <w:r w:rsidRPr="00783CE0">
        <w:t>a</w:t>
      </w:r>
      <w:r>
        <w:t>y</w:t>
      </w:r>
      <w:r w:rsidRPr="00783CE0">
        <w:t>ra except, save, but</w:t>
      </w:r>
    </w:p>
    <w:p w14:paraId="0686EA20" w14:textId="77777777" w:rsidR="00625A5B" w:rsidRPr="008F03E5" w:rsidRDefault="00625A5B" w:rsidP="00BB437A">
      <w:pPr>
        <w:pStyle w:val="Translit"/>
      </w:pPr>
      <w:r w:rsidRPr="008F03E5">
        <w:rPr>
          <w:lang w:eastAsia="en-US"/>
        </w:rPr>
        <w:t>Ghayr Mutashabih</w:t>
      </w:r>
      <w:r w:rsidRPr="008F03E5">
        <w:rPr>
          <w:lang w:eastAsia="en-US"/>
        </w:rPr>
        <w:tab/>
      </w:r>
      <w:r w:rsidRPr="008F03E5">
        <w:rPr>
          <w:u w:val="single"/>
          <w:lang w:eastAsia="en-US"/>
        </w:rPr>
        <w:t>Gh</w:t>
      </w:r>
      <w:r w:rsidRPr="008F03E5">
        <w:rPr>
          <w:lang w:eastAsia="en-US"/>
        </w:rPr>
        <w:t>ayr Muta</w:t>
      </w:r>
      <w:r w:rsidRPr="008F03E5">
        <w:rPr>
          <w:u w:val="single"/>
          <w:lang w:eastAsia="en-US"/>
        </w:rPr>
        <w:t>sh</w:t>
      </w:r>
      <w:r w:rsidRPr="008F03E5">
        <w:rPr>
          <w:lang w:eastAsia="en-US"/>
        </w:rPr>
        <w:t>ábíh</w:t>
      </w:r>
      <w:r w:rsidRPr="008F03E5">
        <w:rPr>
          <w:lang w:eastAsia="en-US"/>
        </w:rPr>
        <w:tab/>
        <w:t>unambiguous</w:t>
      </w:r>
    </w:p>
    <w:p w14:paraId="00D08899" w14:textId="77777777" w:rsidR="00625A5B" w:rsidRDefault="00625A5B" w:rsidP="00783CE0">
      <w:pPr>
        <w:pStyle w:val="Translit"/>
      </w:pPr>
      <w:r>
        <w:t>Ghayra (Ghaira)</w:t>
      </w:r>
      <w:r>
        <w:tab/>
      </w:r>
      <w:r w:rsidRPr="00783CE0">
        <w:rPr>
          <w:u w:val="single"/>
        </w:rPr>
        <w:t>Gh</w:t>
      </w:r>
      <w:r w:rsidRPr="00783CE0">
        <w:t>a</w:t>
      </w:r>
      <w:r>
        <w:t>y</w:t>
      </w:r>
      <w:r w:rsidRPr="00783CE0">
        <w:t>ra</w:t>
      </w:r>
      <w:r>
        <w:t>[h or t]</w:t>
      </w:r>
      <w:r>
        <w:tab/>
      </w:r>
      <w:r w:rsidRPr="00783CE0">
        <w:t>jealously; zeal, fervor, earnest concern, vigilant care, solicitude (for); sense of hono</w:t>
      </w:r>
      <w:r>
        <w:t>u</w:t>
      </w:r>
      <w:r w:rsidRPr="00783CE0">
        <w:t>r, self-respect</w:t>
      </w:r>
    </w:p>
    <w:p w14:paraId="5B15072F" w14:textId="77777777" w:rsidR="00625A5B" w:rsidRPr="008F03E5" w:rsidRDefault="00625A5B" w:rsidP="00C86489">
      <w:pPr>
        <w:pStyle w:val="Translit"/>
      </w:pPr>
      <w:r w:rsidRPr="008F03E5">
        <w:t>Ghayra (Ghaira)</w:t>
      </w:r>
      <w:r w:rsidRPr="008F03E5">
        <w:tab/>
      </w:r>
      <w:r w:rsidRPr="008F03E5">
        <w:rPr>
          <w:u w:val="single"/>
        </w:rPr>
        <w:t>Gh</w:t>
      </w:r>
      <w:r w:rsidRPr="008F03E5">
        <w:t>ayra[h or t]</w:t>
      </w:r>
      <w:r w:rsidRPr="008F03E5">
        <w:tab/>
        <w:t xml:space="preserve">jealously; zeal, fervor, earnest concern, vigilant care, solicitude (for); sense of honour, self-respect.  </w:t>
      </w:r>
      <w:r w:rsidRPr="008F03E5">
        <w:rPr>
          <w:u w:val="single"/>
        </w:rPr>
        <w:t>Gh</w:t>
      </w:r>
      <w:r w:rsidRPr="008F03E5">
        <w:t>ayrah a</w:t>
      </w:r>
      <w:r>
        <w:t>r</w:t>
      </w:r>
      <w:r w:rsidRPr="008F03E5">
        <w:t>-Rabb (“zeal of the Lord”), Isaiah 9:7.</w:t>
      </w:r>
    </w:p>
    <w:p w14:paraId="50C1795B" w14:textId="77777777" w:rsidR="00625A5B" w:rsidRDefault="00625A5B" w:rsidP="00943493">
      <w:pPr>
        <w:pStyle w:val="Translit"/>
      </w:pPr>
      <w:r>
        <w:t>Ghayriya (Ghairiya)</w:t>
      </w:r>
      <w:r>
        <w:tab/>
      </w:r>
      <w:r w:rsidRPr="00783CE0">
        <w:rPr>
          <w:u w:val="single"/>
        </w:rPr>
        <w:t>Gh</w:t>
      </w:r>
      <w:r w:rsidRPr="00783CE0">
        <w:t>a</w:t>
      </w:r>
      <w:r>
        <w:t>y</w:t>
      </w:r>
      <w:r w:rsidRPr="00783CE0">
        <w:t>r</w:t>
      </w:r>
      <w:r>
        <w:t>í</w:t>
      </w:r>
      <w:r w:rsidRPr="00783CE0">
        <w:t>ya</w:t>
      </w:r>
      <w:r>
        <w:t>[h or t]</w:t>
      </w:r>
      <w:r>
        <w:tab/>
      </w:r>
      <w:r w:rsidRPr="00783CE0">
        <w:t>altruism</w:t>
      </w:r>
      <w:r>
        <w:t>.  Also c</w:t>
      </w:r>
      <w:r w:rsidRPr="00AF4D34">
        <w:rPr>
          <w:rFonts w:eastAsia="Times New Roman"/>
        </w:rPr>
        <w:t>hange, alteration; strangeness, unreality; jealousy</w:t>
      </w:r>
      <w:r>
        <w:rPr>
          <w:rFonts w:eastAsia="Times New Roman"/>
        </w:rPr>
        <w:t>.</w:t>
      </w:r>
    </w:p>
    <w:p w14:paraId="295970DA" w14:textId="77777777" w:rsidR="00625A5B" w:rsidRPr="008F03E5" w:rsidRDefault="00625A5B" w:rsidP="00842519">
      <w:pPr>
        <w:pStyle w:val="Translit"/>
      </w:pPr>
      <w:r w:rsidRPr="008F03E5">
        <w:t>Ghayur (Ghayoor), Ghuyur, Ghayuran</w:t>
      </w:r>
      <w:r w:rsidRPr="008F03E5">
        <w:tab/>
      </w:r>
      <w:r w:rsidRPr="008F03E5">
        <w:rPr>
          <w:u w:val="single"/>
        </w:rPr>
        <w:t>Gh</w:t>
      </w:r>
      <w:r w:rsidRPr="008F03E5">
        <w:t xml:space="preserve">ayúr, pl. </w:t>
      </w:r>
      <w:r w:rsidRPr="008F03E5">
        <w:rPr>
          <w:u w:val="single"/>
        </w:rPr>
        <w:t>Gh</w:t>
      </w:r>
      <w:r w:rsidRPr="008F03E5">
        <w:t xml:space="preserve">uyur, Pers. </w:t>
      </w:r>
      <w:r w:rsidRPr="008F03E5">
        <w:rPr>
          <w:u w:val="single"/>
        </w:rPr>
        <w:t>Gh</w:t>
      </w:r>
      <w:r w:rsidRPr="008F03E5">
        <w:t>ayúrán</w:t>
      </w:r>
      <w:r w:rsidRPr="008F03E5">
        <w:tab/>
        <w:t>(very) jealous; zealous, fervid, eager (in, in the pursuit of), keen, eagerly intent (on), earnestly concerned (with), enthusiastic (for).  A character, infamous for his moral laxity and indifference to honour and fidelity, mentioned in Ottoman Turkish sources.</w:t>
      </w:r>
    </w:p>
    <w:p w14:paraId="674B1809" w14:textId="77777777" w:rsidR="00625A5B" w:rsidRPr="008F03E5" w:rsidRDefault="00625A5B" w:rsidP="007E20B6">
      <w:pPr>
        <w:pStyle w:val="Translit"/>
      </w:pPr>
      <w:r w:rsidRPr="008F03E5">
        <w:t>Ghaz, Ghazat</w:t>
      </w:r>
      <w:r w:rsidRPr="008F03E5">
        <w:tab/>
      </w:r>
      <w:r w:rsidRPr="008F03E5">
        <w:rPr>
          <w:u w:val="single"/>
        </w:rPr>
        <w:t>Gh</w:t>
      </w:r>
      <w:r w:rsidRPr="008F03E5">
        <w:t xml:space="preserve">áz, pl. </w:t>
      </w:r>
      <w:r w:rsidRPr="008F03E5">
        <w:rPr>
          <w:u w:val="single"/>
        </w:rPr>
        <w:t>Gh</w:t>
      </w:r>
      <w:r w:rsidRPr="008F03E5">
        <w:t>ázát</w:t>
      </w:r>
      <w:r w:rsidRPr="008F03E5">
        <w:tab/>
        <w:t>gas; petroleum, oil (north African)</w:t>
      </w:r>
    </w:p>
    <w:p w14:paraId="46E5FDFE" w14:textId="77777777" w:rsidR="00625A5B" w:rsidRPr="008F03E5" w:rsidRDefault="00625A5B" w:rsidP="007E1194">
      <w:pPr>
        <w:pStyle w:val="Translit"/>
      </w:pPr>
      <w:r w:rsidRPr="008F03E5">
        <w:t>Ghazal</w:t>
      </w:r>
      <w:r w:rsidRPr="008F03E5">
        <w:tab/>
      </w:r>
      <w:r w:rsidRPr="008F03E5">
        <w:rPr>
          <w:u w:val="single"/>
        </w:rPr>
        <w:t>Gh</w:t>
      </w:r>
      <w:r w:rsidRPr="008F03E5">
        <w:t>azal</w:t>
      </w:r>
      <w:r w:rsidRPr="008F03E5">
        <w:tab/>
        <w:t xml:space="preserve">to sweet-talk, to flirt, to display amorous gestures; a poetic form consisting of rhyming couplets and a refrain, with each line sharing the same metre.  See </w:t>
      </w:r>
      <w:r w:rsidRPr="008F03E5">
        <w:rPr>
          <w:u w:val="single"/>
        </w:rPr>
        <w:t>Gh</w:t>
      </w:r>
      <w:r w:rsidRPr="008F03E5">
        <w:t>azl.</w:t>
      </w:r>
    </w:p>
    <w:p w14:paraId="004DC242" w14:textId="77777777" w:rsidR="00625A5B" w:rsidRPr="008F03E5" w:rsidRDefault="00625A5B" w:rsidP="00C16E44">
      <w:pPr>
        <w:pStyle w:val="Translit"/>
      </w:pPr>
      <w:r w:rsidRPr="008F03E5">
        <w:t>Ghazal, Ghazala, Ghizla, Ghizlan</w:t>
      </w:r>
      <w:r w:rsidRPr="008F03E5">
        <w:tab/>
      </w:r>
      <w:r w:rsidRPr="008F03E5">
        <w:rPr>
          <w:u w:val="single"/>
        </w:rPr>
        <w:t>Gh</w:t>
      </w:r>
      <w:r w:rsidRPr="008F03E5">
        <w:t xml:space="preserve">azál, fem. </w:t>
      </w:r>
      <w:r w:rsidRPr="008F03E5">
        <w:rPr>
          <w:u w:val="single"/>
        </w:rPr>
        <w:t>Gh</w:t>
      </w:r>
      <w:r w:rsidRPr="008F03E5">
        <w:t>azála[h]</w:t>
      </w:r>
      <w:r w:rsidRPr="008F03E5">
        <w:tab/>
        <w:t xml:space="preserve">gazelle; a village near or now in Tús (see </w:t>
      </w:r>
      <w:r w:rsidRPr="008F03E5">
        <w:rPr>
          <w:rFonts w:eastAsia="Times New Roman"/>
          <w:u w:val="single"/>
        </w:rPr>
        <w:t>Gh</w:t>
      </w:r>
      <w:r w:rsidRPr="008F03E5">
        <w:rPr>
          <w:rFonts w:eastAsia="Times New Roman"/>
        </w:rPr>
        <w:t>azálí</w:t>
      </w:r>
      <w:r w:rsidRPr="008F03E5">
        <w:t xml:space="preserve">) ;—pl. </w:t>
      </w:r>
      <w:r w:rsidRPr="008F03E5">
        <w:rPr>
          <w:u w:val="single"/>
        </w:rPr>
        <w:t>Gh</w:t>
      </w:r>
      <w:r w:rsidRPr="008F03E5">
        <w:t xml:space="preserve">izla, </w:t>
      </w:r>
      <w:r w:rsidRPr="008F03E5">
        <w:rPr>
          <w:u w:val="single"/>
        </w:rPr>
        <w:t>Gh</w:t>
      </w:r>
      <w:r w:rsidRPr="008F03E5">
        <w:t>izlán</w:t>
      </w:r>
    </w:p>
    <w:p w14:paraId="42220E4E" w14:textId="77777777" w:rsidR="00625A5B" w:rsidRPr="008F03E5" w:rsidRDefault="00625A5B" w:rsidP="00EC635B">
      <w:pPr>
        <w:pStyle w:val="Translit"/>
      </w:pPr>
      <w:r w:rsidRPr="008F03E5">
        <w:rPr>
          <w:rFonts w:eastAsia="Times New Roman"/>
        </w:rPr>
        <w:t>Ghazali</w:t>
      </w:r>
      <w:r w:rsidRPr="008F03E5">
        <w:rPr>
          <w:rFonts w:eastAsia="Times New Roman"/>
        </w:rPr>
        <w:tab/>
      </w:r>
      <w:r w:rsidRPr="008F03E5">
        <w:rPr>
          <w:rFonts w:eastAsia="Times New Roman"/>
          <w:u w:val="single"/>
        </w:rPr>
        <w:t>Gh</w:t>
      </w:r>
      <w:r w:rsidRPr="008F03E5">
        <w:rPr>
          <w:rFonts w:eastAsia="Times New Roman"/>
        </w:rPr>
        <w:t>azálí</w:t>
      </w:r>
      <w:r w:rsidRPr="008F03E5">
        <w:rPr>
          <w:rFonts w:eastAsia="Times New Roman"/>
        </w:rPr>
        <w:tab/>
        <w:t xml:space="preserve">a native of </w:t>
      </w:r>
      <w:r w:rsidRPr="008F03E5">
        <w:rPr>
          <w:u w:val="single"/>
        </w:rPr>
        <w:t>Gh</w:t>
      </w:r>
      <w:r w:rsidRPr="008F03E5">
        <w:t>azál.  Abú Ḥámid Muḥammad ibn Muḥammad aṭ-Ṭúsí al-</w:t>
      </w:r>
      <w:r w:rsidRPr="008F03E5">
        <w:rPr>
          <w:u w:val="single"/>
        </w:rPr>
        <w:t>Gh</w:t>
      </w:r>
      <w:r w:rsidRPr="008F03E5">
        <w:t>azálí (c.  1058–1111), Persian, was one of the most prominent and influential philosophers, theologians, jurists, and mystics of Sunni Islam.  His tomb is on the northern edge of Tús.  Known in the West as Algazel.</w:t>
      </w:r>
    </w:p>
    <w:p w14:paraId="2F8BA63F" w14:textId="77777777" w:rsidR="00625A5B" w:rsidRPr="008F03E5" w:rsidRDefault="00625A5B" w:rsidP="006B0CED">
      <w:pPr>
        <w:pStyle w:val="Translit"/>
      </w:pPr>
      <w:r w:rsidRPr="008F03E5">
        <w:t>Ghazi</w:t>
      </w:r>
      <w:r w:rsidRPr="008F03E5">
        <w:tab/>
      </w:r>
      <w:r w:rsidRPr="008F03E5">
        <w:rPr>
          <w:u w:val="single"/>
        </w:rPr>
        <w:t>Gh</w:t>
      </w:r>
      <w:r w:rsidRPr="008F03E5">
        <w:t>ází</w:t>
      </w:r>
      <w:r w:rsidRPr="008F03E5">
        <w:tab/>
        <w:t xml:space="preserve">gaseous, gas-like.  </w:t>
      </w:r>
      <w:r w:rsidRPr="008F03E5">
        <w:rPr>
          <w:u w:val="single"/>
        </w:rPr>
        <w:t>gh</w:t>
      </w:r>
      <w:r w:rsidRPr="008F03E5">
        <w:t>ází a</w:t>
      </w:r>
      <w:r w:rsidRPr="008F03E5">
        <w:rPr>
          <w:rFonts w:eastAsia="Times New Roman"/>
        </w:rPr>
        <w:t xml:space="preserve"> conqueror, hero, gallant soldier (especially combating infidels); a general, leader of an expedition; see </w:t>
      </w:r>
      <w:r w:rsidRPr="008F03E5">
        <w:rPr>
          <w:u w:val="single"/>
        </w:rPr>
        <w:t>Gh</w:t>
      </w:r>
      <w:r w:rsidRPr="008F03E5">
        <w:t>ázin.</w:t>
      </w:r>
    </w:p>
    <w:p w14:paraId="1B7593EF" w14:textId="77777777" w:rsidR="00625A5B" w:rsidRPr="008F03E5" w:rsidRDefault="00625A5B" w:rsidP="006B0CED">
      <w:pPr>
        <w:pStyle w:val="Translit"/>
      </w:pPr>
      <w:r w:rsidRPr="008F03E5">
        <w:t>Ghazin, Ghuzah, Ghazi</w:t>
      </w:r>
      <w:r w:rsidRPr="008F03E5">
        <w:tab/>
      </w:r>
      <w:r w:rsidRPr="008F03E5">
        <w:rPr>
          <w:u w:val="single"/>
        </w:rPr>
        <w:t>Gh</w:t>
      </w:r>
      <w:r w:rsidRPr="008F03E5">
        <w:t xml:space="preserve">ázin, pl. </w:t>
      </w:r>
      <w:r w:rsidRPr="008F03E5">
        <w:rPr>
          <w:u w:val="single"/>
        </w:rPr>
        <w:t>Gh</w:t>
      </w:r>
      <w:r w:rsidRPr="008F03E5">
        <w:t>uzáh</w:t>
      </w:r>
      <w:r w:rsidRPr="008F03E5">
        <w:tab/>
        <w:t>one who carries out a military expedition or a foray; raider, invader, aggressor, conqueror; al-</w:t>
      </w:r>
      <w:r w:rsidRPr="008F03E5">
        <w:rPr>
          <w:u w:val="single"/>
        </w:rPr>
        <w:t>gh</w:t>
      </w:r>
      <w:r w:rsidRPr="008F03E5">
        <w:t>ází the war lord, warrior champion, ghazi</w:t>
      </w:r>
    </w:p>
    <w:p w14:paraId="08B8F186" w14:textId="77777777" w:rsidR="00625A5B" w:rsidRPr="008F03E5" w:rsidRDefault="00625A5B" w:rsidP="007E1194">
      <w:pPr>
        <w:pStyle w:val="Translit"/>
      </w:pPr>
      <w:r w:rsidRPr="008F03E5">
        <w:t>Ghazl, Ghuzul</w:t>
      </w:r>
      <w:r w:rsidRPr="008F03E5">
        <w:tab/>
      </w:r>
      <w:r w:rsidRPr="008F03E5">
        <w:rPr>
          <w:u w:val="single"/>
        </w:rPr>
        <w:t>Gh</w:t>
      </w:r>
      <w:r w:rsidRPr="008F03E5">
        <w:t xml:space="preserve">azl, pl. </w:t>
      </w:r>
      <w:r w:rsidRPr="008F03E5">
        <w:rPr>
          <w:u w:val="single"/>
        </w:rPr>
        <w:t>Gh</w:t>
      </w:r>
      <w:r w:rsidRPr="008F03E5">
        <w:t>uzúl</w:t>
      </w:r>
      <w:r w:rsidRPr="008F03E5">
        <w:tab/>
        <w:t xml:space="preserve">spinning;—pl. spun thread, yarn.  Same Arabic letters as </w:t>
      </w:r>
      <w:r w:rsidRPr="008F03E5">
        <w:rPr>
          <w:u w:val="single"/>
        </w:rPr>
        <w:t>Gh</w:t>
      </w:r>
      <w:r w:rsidRPr="008F03E5">
        <w:t>azal.</w:t>
      </w:r>
    </w:p>
    <w:p w14:paraId="3A164FE9" w14:textId="77777777" w:rsidR="00625A5B" w:rsidRPr="008F03E5" w:rsidRDefault="00625A5B" w:rsidP="00DE4D32">
      <w:pPr>
        <w:pStyle w:val="Translit"/>
      </w:pPr>
      <w:r w:rsidRPr="008F03E5">
        <w:t>Ghazna</w:t>
      </w:r>
      <w:r w:rsidRPr="008F03E5">
        <w:tab/>
      </w:r>
      <w:r w:rsidRPr="008F03E5">
        <w:rPr>
          <w:u w:val="single"/>
        </w:rPr>
        <w:t>Gh</w:t>
      </w:r>
      <w:r w:rsidRPr="008F03E5">
        <w:t xml:space="preserve">azná or </w:t>
      </w:r>
      <w:r w:rsidRPr="008F03E5">
        <w:rPr>
          <w:u w:val="single"/>
        </w:rPr>
        <w:t>Gh</w:t>
      </w:r>
      <w:r w:rsidRPr="008F03E5">
        <w:t>azní</w:t>
      </w:r>
      <w:r w:rsidRPr="008F03E5">
        <w:tab/>
        <w:t xml:space="preserve">“jewel”, city  (historically known as </w:t>
      </w:r>
      <w:r w:rsidRPr="008F03E5">
        <w:rPr>
          <w:u w:val="single"/>
        </w:rPr>
        <w:t>Gh</w:t>
      </w:r>
      <w:r w:rsidRPr="008F03E5">
        <w:t xml:space="preserve">aznín or </w:t>
      </w:r>
      <w:r w:rsidRPr="008F03E5">
        <w:rPr>
          <w:u w:val="single"/>
        </w:rPr>
        <w:t>Gh</w:t>
      </w:r>
      <w:r w:rsidRPr="008F03E5">
        <w:t xml:space="preserve">azna[h]) in Afghanistan 128 km </w:t>
      </w:r>
      <w:r w:rsidRPr="008F03E5">
        <w:rPr>
          <w:sz w:val="16"/>
          <w:szCs w:val="16"/>
        </w:rPr>
        <w:t>SW</w:t>
      </w:r>
      <w:r w:rsidRPr="008F03E5">
        <w:t xml:space="preserve"> of Kabul</w:t>
      </w:r>
    </w:p>
    <w:p w14:paraId="05047A43" w14:textId="77777777" w:rsidR="00625A5B" w:rsidRPr="008F03E5" w:rsidRDefault="00625A5B" w:rsidP="00C720DF">
      <w:pPr>
        <w:pStyle w:val="Translit"/>
      </w:pPr>
      <w:r w:rsidRPr="008F03E5">
        <w:t>Ghazwa, Ghazawat</w:t>
      </w:r>
      <w:r w:rsidRPr="008F03E5">
        <w:tab/>
      </w:r>
      <w:r w:rsidRPr="008F03E5">
        <w:rPr>
          <w:u w:val="single"/>
        </w:rPr>
        <w:t>Gh</w:t>
      </w:r>
      <w:r w:rsidRPr="008F03E5">
        <w:t xml:space="preserve">azwa[h or t], pl. </w:t>
      </w:r>
      <w:r w:rsidRPr="008F03E5">
        <w:rPr>
          <w:u w:val="single"/>
        </w:rPr>
        <w:t>Gh</w:t>
      </w:r>
      <w:r w:rsidRPr="008F03E5">
        <w:t>azawát</w:t>
      </w:r>
      <w:r w:rsidRPr="008F03E5">
        <w:tab/>
        <w:t>military expedition, foray; raid, incursion, inroad, invasion, attack, aggression; conquest; campaign of conquest.  See Mu’tah</w:t>
      </w:r>
    </w:p>
    <w:p w14:paraId="17D2FCF0" w14:textId="77777777" w:rsidR="00625A5B" w:rsidRPr="008F03E5" w:rsidRDefault="00625A5B" w:rsidP="00C97256">
      <w:pPr>
        <w:pStyle w:val="Translit"/>
      </w:pPr>
      <w:r w:rsidRPr="008F03E5">
        <w:t>Ghazwat al-Khandaq</w:t>
      </w:r>
      <w:r w:rsidRPr="008F03E5">
        <w:tab/>
      </w:r>
      <w:r w:rsidRPr="008F03E5">
        <w:rPr>
          <w:u w:val="single"/>
        </w:rPr>
        <w:t>Gh</w:t>
      </w:r>
      <w:r w:rsidRPr="008F03E5">
        <w:t>azwat al-</w:t>
      </w:r>
      <w:r w:rsidRPr="008F03E5">
        <w:rPr>
          <w:u w:val="single"/>
        </w:rPr>
        <w:t>Kh</w:t>
      </w:r>
      <w:r w:rsidRPr="008F03E5">
        <w:t>andaq</w:t>
      </w:r>
      <w:r w:rsidRPr="008F03E5">
        <w:tab/>
        <w:t>“Battle of the Trench”, also known as the Battle of Khandaq (Ma‘rakah al-</w:t>
      </w:r>
      <w:r w:rsidRPr="008F03E5">
        <w:rPr>
          <w:u w:val="single"/>
        </w:rPr>
        <w:t>Kh</w:t>
      </w:r>
      <w:r w:rsidRPr="008F03E5">
        <w:t>andaq) and the Battle of the Confederates (</w:t>
      </w:r>
      <w:r w:rsidRPr="008F03E5">
        <w:rPr>
          <w:u w:val="single"/>
        </w:rPr>
        <w:t>Gh</w:t>
      </w:r>
      <w:r w:rsidRPr="008F03E5">
        <w:t>azwat al-Aḥzáb), was a 30-day-long siege of Ya</w:t>
      </w:r>
      <w:r w:rsidRPr="008F03E5">
        <w:rPr>
          <w:u w:val="single"/>
        </w:rPr>
        <w:t>th</w:t>
      </w:r>
      <w:r w:rsidRPr="008F03E5">
        <w:t>rib (now Medina) by Arab and Jewish tribes, Jan-Feb 627 (</w:t>
      </w:r>
      <w:r w:rsidRPr="008F03E5">
        <w:rPr>
          <w:sz w:val="16"/>
          <w:szCs w:val="16"/>
        </w:rPr>
        <w:t>AH</w:t>
      </w:r>
      <w:r w:rsidRPr="008F03E5">
        <w:t xml:space="preserve"> 5)</w:t>
      </w:r>
    </w:p>
    <w:p w14:paraId="143E3731" w14:textId="77777777" w:rsidR="00625A5B" w:rsidRPr="008F03E5" w:rsidRDefault="00625A5B" w:rsidP="00D83AA1">
      <w:pPr>
        <w:pStyle w:val="Translit"/>
      </w:pPr>
      <w:r w:rsidRPr="008F03E5">
        <w:t>Ghazwat Khaybar</w:t>
      </w:r>
      <w:r w:rsidRPr="008F03E5">
        <w:tab/>
      </w:r>
      <w:r w:rsidRPr="008F03E5">
        <w:rPr>
          <w:u w:val="single"/>
        </w:rPr>
        <w:t>Gh</w:t>
      </w:r>
      <w:r w:rsidRPr="008F03E5">
        <w:t xml:space="preserve">azwat </w:t>
      </w:r>
      <w:r w:rsidRPr="008F03E5">
        <w:rPr>
          <w:u w:val="single"/>
        </w:rPr>
        <w:t>Kh</w:t>
      </w:r>
      <w:r w:rsidRPr="008F03E5">
        <w:t>aybar</w:t>
      </w:r>
      <w:r w:rsidRPr="008F03E5">
        <w:tab/>
        <w:t xml:space="preserve">the Battle of </w:t>
      </w:r>
      <w:r w:rsidRPr="008F03E5">
        <w:rPr>
          <w:u w:val="single"/>
        </w:rPr>
        <w:t>Kh</w:t>
      </w:r>
      <w:r w:rsidRPr="008F03E5">
        <w:t xml:space="preserve">aybar, fought in 628 between Muslims and the Jews living in the oasis of </w:t>
      </w:r>
      <w:r w:rsidRPr="008F03E5">
        <w:rPr>
          <w:u w:val="single"/>
        </w:rPr>
        <w:t>Kh</w:t>
      </w:r>
      <w:r w:rsidRPr="008F03E5">
        <w:t xml:space="preserve">aybar, 140 km </w:t>
      </w:r>
      <w:r w:rsidRPr="008F03E5">
        <w:rPr>
          <w:sz w:val="16"/>
          <w:szCs w:val="16"/>
          <w:lang w:eastAsia="en-US"/>
        </w:rPr>
        <w:t>NNW</w:t>
      </w:r>
      <w:r w:rsidRPr="008F03E5">
        <w:t xml:space="preserve"> of Medina</w:t>
      </w:r>
    </w:p>
    <w:p w14:paraId="31D80887" w14:textId="77777777" w:rsidR="00625A5B" w:rsidRPr="008F03E5" w:rsidRDefault="00625A5B" w:rsidP="00285D9F">
      <w:pPr>
        <w:pStyle w:val="Translit"/>
      </w:pPr>
      <w:r w:rsidRPr="008F03E5">
        <w:t>Ghazza</w:t>
      </w:r>
      <w:r w:rsidRPr="008F03E5">
        <w:tab/>
      </w:r>
      <w:r w:rsidRPr="008F03E5">
        <w:rPr>
          <w:u w:val="single"/>
        </w:rPr>
        <w:t>Gh</w:t>
      </w:r>
      <w:r w:rsidRPr="008F03E5">
        <w:t>azza</w:t>
      </w:r>
      <w:r w:rsidRPr="008F03E5">
        <w:tab/>
        <w:t>Gaza (seaport in the Gaza strip)</w:t>
      </w:r>
    </w:p>
    <w:p w14:paraId="47CBDF96" w14:textId="77777777" w:rsidR="00625A5B" w:rsidRPr="008F03E5" w:rsidRDefault="00625A5B" w:rsidP="00285D9F">
      <w:pPr>
        <w:pStyle w:val="Translit"/>
      </w:pPr>
      <w:r w:rsidRPr="008F03E5">
        <w:t>Ghazzi</w:t>
      </w:r>
      <w:r w:rsidRPr="008F03E5">
        <w:tab/>
      </w:r>
      <w:r w:rsidRPr="008F03E5">
        <w:rPr>
          <w:u w:val="single"/>
        </w:rPr>
        <w:t>Gh</w:t>
      </w:r>
      <w:r w:rsidRPr="008F03E5">
        <w:t>azzí</w:t>
      </w:r>
      <w:r w:rsidRPr="008F03E5">
        <w:tab/>
        <w:t>gauze</w:t>
      </w:r>
    </w:p>
    <w:p w14:paraId="734D4E56" w14:textId="77777777" w:rsidR="00625A5B" w:rsidRPr="008F03E5" w:rsidRDefault="00625A5B" w:rsidP="00266CF5">
      <w:pPr>
        <w:pStyle w:val="Translit"/>
      </w:pPr>
      <w:r w:rsidRPr="008F03E5">
        <w:rPr>
          <w:rFonts w:eastAsia="Times New Roman"/>
        </w:rPr>
        <w:t>Ghifar</w:t>
      </w:r>
      <w:r w:rsidRPr="008F03E5">
        <w:rPr>
          <w:rFonts w:eastAsia="Times New Roman"/>
        </w:rPr>
        <w:tab/>
      </w:r>
      <w:r w:rsidRPr="008F03E5">
        <w:rPr>
          <w:rFonts w:eastAsia="Times New Roman"/>
          <w:u w:val="single"/>
        </w:rPr>
        <w:t>Gh</w:t>
      </w:r>
      <w:r w:rsidRPr="008F03E5">
        <w:rPr>
          <w:rFonts w:eastAsia="Times New Roman"/>
        </w:rPr>
        <w:t>ifár</w:t>
      </w:r>
      <w:r w:rsidRPr="008F03E5">
        <w:rPr>
          <w:rFonts w:eastAsia="Times New Roman"/>
        </w:rPr>
        <w:tab/>
      </w:r>
      <w:r w:rsidRPr="008F03E5">
        <w:t>a helmet; father of the Banú</w:t>
      </w:r>
      <w:r w:rsidRPr="008F03E5">
        <w:rPr>
          <w:rFonts w:eastAsia="Times New Roman"/>
        </w:rPr>
        <w:t xml:space="preserve"> </w:t>
      </w:r>
      <w:r w:rsidRPr="008F03E5">
        <w:rPr>
          <w:rFonts w:eastAsia="Times New Roman"/>
          <w:u w:val="single"/>
        </w:rPr>
        <w:t>Gh</w:t>
      </w:r>
      <w:r w:rsidRPr="008F03E5">
        <w:rPr>
          <w:rFonts w:eastAsia="Times New Roman"/>
        </w:rPr>
        <w:t>if</w:t>
      </w:r>
      <w:r w:rsidRPr="008F03E5">
        <w:t>á</w:t>
      </w:r>
      <w:r w:rsidRPr="008F03E5">
        <w:rPr>
          <w:rFonts w:eastAsia="Times New Roman"/>
        </w:rPr>
        <w:t>r</w:t>
      </w:r>
    </w:p>
    <w:p w14:paraId="77C33911" w14:textId="77777777" w:rsidR="00625A5B" w:rsidRPr="008F03E5" w:rsidRDefault="00625A5B" w:rsidP="005B3229">
      <w:pPr>
        <w:pStyle w:val="Translit"/>
      </w:pPr>
      <w:r w:rsidRPr="008F03E5">
        <w:t>Ghill, Aghlal</w:t>
      </w:r>
      <w:r w:rsidRPr="008F03E5">
        <w:tab/>
      </w:r>
      <w:r w:rsidRPr="008F03E5">
        <w:rPr>
          <w:u w:val="single"/>
        </w:rPr>
        <w:t>Gh</w:t>
      </w:r>
      <w:r w:rsidRPr="008F03E5">
        <w:t>ill, pl. A</w:t>
      </w:r>
      <w:r w:rsidRPr="008F03E5">
        <w:rPr>
          <w:u w:val="single"/>
        </w:rPr>
        <w:t>gh</w:t>
      </w:r>
      <w:r w:rsidRPr="008F03E5">
        <w:t>lál (used by Bahá’u’lláh)</w:t>
      </w:r>
      <w:r w:rsidRPr="008F03E5">
        <w:tab/>
        <w:t xml:space="preserve">rancour, hatred, spite, malice.  See </w:t>
      </w:r>
      <w:r w:rsidRPr="008F03E5">
        <w:rPr>
          <w:u w:val="single"/>
        </w:rPr>
        <w:t>gh</w:t>
      </w:r>
      <w:r w:rsidRPr="008F03E5">
        <w:t>ull and mu</w:t>
      </w:r>
      <w:r w:rsidRPr="008F03E5">
        <w:rPr>
          <w:u w:val="single"/>
        </w:rPr>
        <w:t>gh</w:t>
      </w:r>
      <w:r w:rsidRPr="008F03E5">
        <w:t>ill.</w:t>
      </w:r>
    </w:p>
    <w:p w14:paraId="17713CBC" w14:textId="77777777" w:rsidR="00625A5B" w:rsidRPr="008F03E5" w:rsidRDefault="00625A5B" w:rsidP="000979A0">
      <w:pPr>
        <w:pStyle w:val="Translit"/>
      </w:pPr>
      <w:r w:rsidRPr="008F03E5">
        <w:t>Ghina</w:t>
      </w:r>
      <w:r w:rsidRPr="008F03E5">
        <w:tab/>
      </w:r>
      <w:r w:rsidRPr="008F03E5">
        <w:rPr>
          <w:u w:val="single"/>
        </w:rPr>
        <w:t>Gh</w:t>
      </w:r>
      <w:r w:rsidRPr="008F03E5">
        <w:t>iná</w:t>
      </w:r>
      <w:r w:rsidRPr="008F03E5">
        <w:tab/>
        <w:t>being rich, riches, wealth.  “Guinea” may be derived from a contraction of Balad al-</w:t>
      </w:r>
      <w:r w:rsidRPr="008F03E5">
        <w:rPr>
          <w:u w:val="single"/>
        </w:rPr>
        <w:t>Gh</w:t>
      </w:r>
      <w:r w:rsidRPr="008F03E5">
        <w:t>iná (“land of riches”)</w:t>
      </w:r>
    </w:p>
    <w:p w14:paraId="6E33C000" w14:textId="77777777" w:rsidR="00625A5B" w:rsidRPr="008F03E5" w:rsidRDefault="00625A5B" w:rsidP="00D876E6">
      <w:pPr>
        <w:pStyle w:val="Translit"/>
        <w:rPr>
          <w:u w:val="single"/>
        </w:rPr>
      </w:pPr>
      <w:r w:rsidRPr="008F03E5">
        <w:t>Ghina’</w:t>
      </w:r>
      <w:r w:rsidRPr="008F03E5">
        <w:tab/>
      </w:r>
      <w:r w:rsidRPr="008F03E5">
        <w:rPr>
          <w:u w:val="single"/>
        </w:rPr>
        <w:t>Gh</w:t>
      </w:r>
      <w:r w:rsidRPr="008F03E5">
        <w:t>iná’</w:t>
      </w:r>
      <w:r w:rsidRPr="008F03E5">
        <w:tab/>
        <w:t>singing, vocal song without music</w:t>
      </w:r>
    </w:p>
    <w:p w14:paraId="5259B9AF" w14:textId="77777777" w:rsidR="00625A5B" w:rsidRPr="008F03E5" w:rsidRDefault="00625A5B" w:rsidP="00EC67E8">
      <w:pPr>
        <w:pStyle w:val="Translit"/>
      </w:pPr>
      <w:r w:rsidRPr="008F03E5">
        <w:t>Ghirsh, Ghursh, Ghurush</w:t>
      </w:r>
      <w:r w:rsidRPr="008F03E5">
        <w:tab/>
      </w:r>
      <w:r w:rsidRPr="008F03E5">
        <w:rPr>
          <w:u w:val="single"/>
        </w:rPr>
        <w:t>Gh</w:t>
      </w:r>
      <w:r w:rsidRPr="008F03E5">
        <w:t>ir</w:t>
      </w:r>
      <w:r w:rsidRPr="008F03E5">
        <w:rPr>
          <w:u w:val="single"/>
        </w:rPr>
        <w:t>sh</w:t>
      </w:r>
      <w:r w:rsidRPr="008F03E5">
        <w:t xml:space="preserve">, </w:t>
      </w:r>
      <w:r w:rsidRPr="008F03E5">
        <w:rPr>
          <w:u w:val="single"/>
        </w:rPr>
        <w:t>Gh</w:t>
      </w:r>
      <w:r w:rsidRPr="008F03E5">
        <w:t>ur</w:t>
      </w:r>
      <w:r w:rsidRPr="008F03E5">
        <w:rPr>
          <w:u w:val="single"/>
        </w:rPr>
        <w:t>sh</w:t>
      </w:r>
      <w:r w:rsidRPr="008F03E5">
        <w:t xml:space="preserve">, pl. </w:t>
      </w:r>
      <w:r w:rsidRPr="008F03E5">
        <w:rPr>
          <w:u w:val="single"/>
        </w:rPr>
        <w:t>Gh</w:t>
      </w:r>
      <w:r w:rsidRPr="008F03E5">
        <w:t>urú</w:t>
      </w:r>
      <w:r w:rsidRPr="008F03E5">
        <w:rPr>
          <w:u w:val="single"/>
        </w:rPr>
        <w:t>sh</w:t>
      </w:r>
      <w:r w:rsidRPr="008F03E5">
        <w:tab/>
        <w:t>silver coin, piaster</w:t>
      </w:r>
    </w:p>
    <w:p w14:paraId="573547D0" w14:textId="77777777" w:rsidR="00625A5B" w:rsidRPr="008F03E5" w:rsidRDefault="00625A5B" w:rsidP="00B54C65">
      <w:pPr>
        <w:pStyle w:val="Translit"/>
      </w:pPr>
      <w:r w:rsidRPr="008F03E5">
        <w:t>Ghita’, Aghitiya</w:t>
      </w:r>
      <w:r w:rsidRPr="008F03E5">
        <w:tab/>
      </w:r>
      <w:r w:rsidRPr="008F03E5">
        <w:rPr>
          <w:u w:val="single"/>
        </w:rPr>
        <w:t>Gh</w:t>
      </w:r>
      <w:r w:rsidRPr="008F03E5">
        <w:t>iṭá’, pl. A</w:t>
      </w:r>
      <w:r w:rsidRPr="008F03E5">
        <w:rPr>
          <w:u w:val="single"/>
        </w:rPr>
        <w:t>gh</w:t>
      </w:r>
      <w:r w:rsidRPr="008F03E5">
        <w:t>ṭiya[h]</w:t>
      </w:r>
      <w:r w:rsidRPr="008F03E5">
        <w:tab/>
        <w:t>cover, covering, integument, wrap, wrapper, wrapping, envelope; covering (= clothing); lid</w:t>
      </w:r>
    </w:p>
    <w:p w14:paraId="3210DD37" w14:textId="77777777" w:rsidR="00625A5B" w:rsidRPr="008F03E5" w:rsidRDefault="00625A5B" w:rsidP="00B54C65">
      <w:pPr>
        <w:pStyle w:val="Translit"/>
      </w:pPr>
      <w:r w:rsidRPr="008F03E5">
        <w:t>Ghiyath</w:t>
      </w:r>
      <w:r w:rsidRPr="008F03E5">
        <w:tab/>
      </w:r>
      <w:r w:rsidRPr="008F03E5">
        <w:rPr>
          <w:u w:val="single"/>
        </w:rPr>
        <w:t>Gh</w:t>
      </w:r>
      <w:r w:rsidRPr="008F03E5">
        <w:t>iyá</w:t>
      </w:r>
      <w:r w:rsidRPr="008F03E5">
        <w:rPr>
          <w:u w:val="single"/>
        </w:rPr>
        <w:t>th</w:t>
      </w:r>
      <w:r w:rsidRPr="008F03E5">
        <w:tab/>
        <w:t>help, succour.  Abjad 1,511.</w:t>
      </w:r>
    </w:p>
    <w:p w14:paraId="4C035AFA" w14:textId="77777777" w:rsidR="00625A5B" w:rsidRPr="008F03E5" w:rsidRDefault="00625A5B" w:rsidP="008511CE">
      <w:pPr>
        <w:pStyle w:val="Translit"/>
        <w:rPr>
          <w:rFonts w:eastAsia="PMingLiU"/>
          <w:lang w:eastAsia="zh-TW"/>
        </w:rPr>
      </w:pPr>
      <w:r w:rsidRPr="008F03E5">
        <w:rPr>
          <w:rFonts w:eastAsia="PMingLiU"/>
          <w:lang w:eastAsia="zh-TW"/>
        </w:rPr>
        <w:t>Ghulam, Ghilman, Ghilma</w:t>
      </w:r>
      <w:r w:rsidRPr="008F03E5">
        <w:rPr>
          <w:rFonts w:eastAsia="PMingLiU"/>
          <w:lang w:eastAsia="zh-TW"/>
        </w:rPr>
        <w:tab/>
      </w:r>
      <w:r w:rsidRPr="008F03E5">
        <w:rPr>
          <w:u w:val="single"/>
        </w:rPr>
        <w:t>Gh</w:t>
      </w:r>
      <w:r w:rsidRPr="008F03E5">
        <w:rPr>
          <w:rFonts w:eastAsia="PMingLiU"/>
          <w:lang w:eastAsia="zh-TW"/>
        </w:rPr>
        <w:t xml:space="preserve">ulám, pl. </w:t>
      </w:r>
      <w:r w:rsidRPr="008F03E5">
        <w:rPr>
          <w:u w:val="single"/>
        </w:rPr>
        <w:t>Gh</w:t>
      </w:r>
      <w:r w:rsidRPr="008F03E5">
        <w:rPr>
          <w:rFonts w:eastAsia="PMingLiU"/>
          <w:lang w:eastAsia="zh-TW"/>
        </w:rPr>
        <w:t xml:space="preserve">ilmán, </w:t>
      </w:r>
      <w:r w:rsidRPr="008F03E5">
        <w:rPr>
          <w:u w:val="single"/>
        </w:rPr>
        <w:t>Gh</w:t>
      </w:r>
      <w:r w:rsidRPr="008F03E5">
        <w:rPr>
          <w:rFonts w:eastAsia="PMingLiU"/>
          <w:lang w:eastAsia="zh-TW"/>
        </w:rPr>
        <w:t>ilma</w:t>
      </w:r>
      <w:r>
        <w:rPr>
          <w:rFonts w:eastAsia="PMingLiU"/>
          <w:lang w:eastAsia="zh-TW"/>
        </w:rPr>
        <w:t>[h or t]</w:t>
      </w:r>
      <w:r w:rsidRPr="008F03E5">
        <w:rPr>
          <w:rFonts w:eastAsia="PMingLiU"/>
          <w:lang w:eastAsia="zh-TW"/>
        </w:rPr>
        <w:tab/>
        <w:t>boy, youth, lad; slave; servant, waiter</w:t>
      </w:r>
    </w:p>
    <w:p w14:paraId="37C5F40D" w14:textId="77777777" w:rsidR="00625A5B" w:rsidRPr="008F03E5" w:rsidRDefault="00625A5B" w:rsidP="0002421C">
      <w:pPr>
        <w:pStyle w:val="Translit"/>
        <w:rPr>
          <w:rFonts w:eastAsia="PMingLiU"/>
          <w:lang w:eastAsia="zh-TW"/>
        </w:rPr>
      </w:pPr>
      <w:r w:rsidRPr="008F03E5">
        <w:rPr>
          <w:rFonts w:eastAsia="PMingLiU"/>
          <w:lang w:eastAsia="zh-TW"/>
        </w:rPr>
        <w:t>Ghulam-Ahmad</w:t>
      </w:r>
      <w:r w:rsidRPr="008F03E5">
        <w:tab/>
      </w:r>
      <w:r w:rsidRPr="008F03E5">
        <w:rPr>
          <w:u w:val="single"/>
        </w:rPr>
        <w:t>Gh</w:t>
      </w:r>
      <w:r w:rsidRPr="008F03E5">
        <w:rPr>
          <w:rFonts w:eastAsia="PMingLiU"/>
          <w:lang w:eastAsia="zh-TW"/>
        </w:rPr>
        <w:t>ulám-</w:t>
      </w:r>
      <w:r w:rsidRPr="008F03E5">
        <w:t>Aḥmad</w:t>
      </w:r>
      <w:r w:rsidRPr="008F03E5">
        <w:tab/>
        <w:t xml:space="preserve">Mírzá </w:t>
      </w:r>
      <w:r w:rsidRPr="008F03E5">
        <w:rPr>
          <w:u w:val="single"/>
        </w:rPr>
        <w:t>Gh</w:t>
      </w:r>
      <w:r w:rsidRPr="008F03E5">
        <w:rPr>
          <w:rFonts w:eastAsia="PMingLiU"/>
          <w:lang w:eastAsia="zh-TW"/>
        </w:rPr>
        <w:t>ulám-</w:t>
      </w:r>
      <w:r w:rsidRPr="008F03E5">
        <w:t>Aḥmad (1839–1908) of Qádiyán, India.  Followers later split into Aḥmadíyyah and Qádiyáníyyah.</w:t>
      </w:r>
    </w:p>
    <w:p w14:paraId="40305849" w14:textId="77777777" w:rsidR="00625A5B" w:rsidRPr="008F03E5" w:rsidRDefault="00625A5B" w:rsidP="00564DA6">
      <w:pPr>
        <w:pStyle w:val="Translit"/>
      </w:pPr>
      <w:r w:rsidRPr="008F03E5">
        <w:t>Ghulaman, Gholaman, Qulaman</w:t>
      </w:r>
      <w:r w:rsidRPr="008F03E5">
        <w:tab/>
      </w:r>
      <w:r w:rsidRPr="008F03E5">
        <w:rPr>
          <w:u w:val="single"/>
        </w:rPr>
        <w:t>Gh</w:t>
      </w:r>
      <w:r w:rsidRPr="008F03E5">
        <w:t>ulámán, Qulámán</w:t>
      </w:r>
      <w:r w:rsidRPr="008F03E5">
        <w:tab/>
        <w:t>is a village (38.057515, 57.141576) in Gholaman Rural District, Raz and Jargalan District, Bojnord County, North Khorasan Province, Iran (on the Turkish-Iranian border)</w:t>
      </w:r>
    </w:p>
    <w:p w14:paraId="19B7BFE3" w14:textId="77777777" w:rsidR="00625A5B" w:rsidRPr="008F03E5" w:rsidRDefault="00625A5B" w:rsidP="00D87872">
      <w:pPr>
        <w:pStyle w:val="Translit"/>
        <w:rPr>
          <w:rFonts w:eastAsia="PMingLiU"/>
          <w:lang w:eastAsia="zh-TW"/>
        </w:rPr>
      </w:pPr>
      <w:r w:rsidRPr="008F03E5">
        <w:rPr>
          <w:rFonts w:eastAsia="PMingLiU"/>
          <w:lang w:eastAsia="zh-TW"/>
        </w:rPr>
        <w:t>Ghulam-Husayn</w:t>
      </w:r>
      <w:r w:rsidRPr="008F03E5">
        <w:tab/>
      </w:r>
      <w:r w:rsidRPr="008F03E5">
        <w:rPr>
          <w:u w:val="single"/>
        </w:rPr>
        <w:t>Gh</w:t>
      </w:r>
      <w:r w:rsidRPr="008F03E5">
        <w:rPr>
          <w:rFonts w:eastAsia="PMingLiU"/>
          <w:lang w:eastAsia="zh-TW"/>
        </w:rPr>
        <w:t>ulám-</w:t>
      </w:r>
      <w:r w:rsidRPr="008F03E5">
        <w:t>Ḥ</w:t>
      </w:r>
      <w:r w:rsidRPr="008F03E5">
        <w:rPr>
          <w:rFonts w:eastAsia="PMingLiU"/>
          <w:lang w:eastAsia="zh-TW"/>
        </w:rPr>
        <w:t>usayn</w:t>
      </w:r>
      <w:r w:rsidRPr="008F03E5">
        <w:tab/>
      </w:r>
    </w:p>
    <w:p w14:paraId="3949395D" w14:textId="77777777" w:rsidR="00625A5B" w:rsidRPr="008F03E5" w:rsidRDefault="00625A5B" w:rsidP="00900A82">
      <w:pPr>
        <w:pStyle w:val="Translit"/>
      </w:pPr>
      <w:r w:rsidRPr="008F03E5">
        <w:t>Ghulam-Rida</w:t>
      </w:r>
      <w:r w:rsidRPr="008F03E5">
        <w:tab/>
      </w:r>
      <w:r w:rsidRPr="008F03E5">
        <w:rPr>
          <w:u w:val="single"/>
        </w:rPr>
        <w:t>Gh</w:t>
      </w:r>
      <w:r w:rsidRPr="008F03E5">
        <w:t>ulám-Riḍá</w:t>
      </w:r>
      <w:r w:rsidRPr="008F03E5">
        <w:tab/>
      </w:r>
    </w:p>
    <w:p w14:paraId="492A6CB7" w14:textId="77777777" w:rsidR="00625A5B" w:rsidRPr="008F03E5" w:rsidRDefault="00625A5B" w:rsidP="00900A82">
      <w:pPr>
        <w:pStyle w:val="Translit"/>
        <w:rPr>
          <w:rFonts w:eastAsia="PMingLiU"/>
          <w:lang w:eastAsia="zh-TW"/>
        </w:rPr>
      </w:pPr>
      <w:r w:rsidRPr="008F03E5">
        <w:rPr>
          <w:rFonts w:eastAsia="PMingLiU"/>
          <w:lang w:eastAsia="zh-TW"/>
        </w:rPr>
        <w:t>Ghul</w:t>
      </w:r>
      <w:r w:rsidRPr="008F03E5">
        <w:t>a</w:t>
      </w:r>
      <w:r w:rsidRPr="008F03E5">
        <w:rPr>
          <w:rFonts w:eastAsia="PMingLiU"/>
          <w:lang w:eastAsia="zh-TW"/>
        </w:rPr>
        <w:t>m-Rid</w:t>
      </w:r>
      <w:r w:rsidRPr="008F03E5">
        <w:t>a</w:t>
      </w:r>
      <w:r w:rsidRPr="008F03E5">
        <w:rPr>
          <w:rFonts w:eastAsia="PMingLiU"/>
          <w:lang w:eastAsia="zh-TW"/>
        </w:rPr>
        <w:t>y-i-K</w:t>
      </w:r>
      <w:r w:rsidRPr="008F03E5">
        <w:t>u</w:t>
      </w:r>
      <w:r w:rsidRPr="008F03E5">
        <w:rPr>
          <w:rFonts w:eastAsia="PMingLiU"/>
          <w:lang w:eastAsia="zh-TW"/>
        </w:rPr>
        <w:t>chik</w:t>
      </w:r>
      <w:r w:rsidRPr="008F03E5">
        <w:tab/>
      </w:r>
      <w:r w:rsidRPr="008F03E5">
        <w:rPr>
          <w:u w:val="single"/>
        </w:rPr>
        <w:t>Gh</w:t>
      </w:r>
      <w:r w:rsidRPr="008F03E5">
        <w:rPr>
          <w:rFonts w:eastAsia="PMingLiU"/>
          <w:lang w:eastAsia="zh-TW"/>
        </w:rPr>
        <w:t>ul</w:t>
      </w:r>
      <w:r w:rsidRPr="008F03E5">
        <w:t>á</w:t>
      </w:r>
      <w:r w:rsidRPr="008F03E5">
        <w:rPr>
          <w:rFonts w:eastAsia="PMingLiU"/>
          <w:lang w:eastAsia="zh-TW"/>
        </w:rPr>
        <w:t>m-Ri</w:t>
      </w:r>
      <w:r w:rsidRPr="008F03E5">
        <w:t>ḍá</w:t>
      </w:r>
      <w:r w:rsidRPr="008F03E5">
        <w:rPr>
          <w:rFonts w:eastAsia="PMingLiU"/>
          <w:lang w:eastAsia="zh-TW"/>
        </w:rPr>
        <w:t>y-i-K</w:t>
      </w:r>
      <w:r w:rsidRPr="008F03E5">
        <w:t>ú</w:t>
      </w:r>
      <w:r w:rsidRPr="008F03E5">
        <w:rPr>
          <w:u w:val="single"/>
        </w:rPr>
        <w:t>ch</w:t>
      </w:r>
      <w:r w:rsidRPr="008F03E5">
        <w:rPr>
          <w:rFonts w:eastAsia="PMingLiU"/>
          <w:lang w:eastAsia="zh-TW"/>
        </w:rPr>
        <w:t>ik</w:t>
      </w:r>
      <w:r w:rsidRPr="008F03E5">
        <w:tab/>
      </w:r>
    </w:p>
    <w:p w14:paraId="7B9990B4" w14:textId="77777777" w:rsidR="00625A5B" w:rsidRPr="008F03E5" w:rsidRDefault="00625A5B" w:rsidP="00900A82">
      <w:pPr>
        <w:pStyle w:val="Translit"/>
        <w:rPr>
          <w:rFonts w:eastAsia="PMingLiU"/>
          <w:lang w:eastAsia="zh-TW"/>
        </w:rPr>
      </w:pPr>
      <w:r w:rsidRPr="008F03E5">
        <w:rPr>
          <w:rFonts w:eastAsia="PMingLiU"/>
          <w:lang w:eastAsia="zh-TW"/>
        </w:rPr>
        <w:t>Ghul</w:t>
      </w:r>
      <w:r w:rsidRPr="008F03E5">
        <w:t>a</w:t>
      </w:r>
      <w:r w:rsidRPr="008F03E5">
        <w:rPr>
          <w:rFonts w:eastAsia="PMingLiU"/>
          <w:lang w:eastAsia="zh-TW"/>
        </w:rPr>
        <w:t>m-Rid</w:t>
      </w:r>
      <w:r w:rsidRPr="008F03E5">
        <w:t>a</w:t>
      </w:r>
      <w:r w:rsidRPr="008F03E5">
        <w:rPr>
          <w:rFonts w:eastAsia="PMingLiU"/>
          <w:lang w:eastAsia="zh-TW"/>
        </w:rPr>
        <w:t>y-i-Yazd</w:t>
      </w:r>
      <w:r w:rsidRPr="008F03E5">
        <w:t>i</w:t>
      </w:r>
      <w:r w:rsidRPr="008F03E5">
        <w:tab/>
      </w:r>
      <w:r w:rsidRPr="008F03E5">
        <w:rPr>
          <w:u w:val="single"/>
        </w:rPr>
        <w:t>Gh</w:t>
      </w:r>
      <w:r w:rsidRPr="008F03E5">
        <w:rPr>
          <w:rFonts w:eastAsia="PMingLiU"/>
          <w:lang w:eastAsia="zh-TW"/>
        </w:rPr>
        <w:t>ul</w:t>
      </w:r>
      <w:r w:rsidRPr="008F03E5">
        <w:t>á</w:t>
      </w:r>
      <w:r w:rsidRPr="008F03E5">
        <w:rPr>
          <w:rFonts w:eastAsia="PMingLiU"/>
          <w:lang w:eastAsia="zh-TW"/>
        </w:rPr>
        <w:t>m-Ri</w:t>
      </w:r>
      <w:r w:rsidRPr="008F03E5">
        <w:t>ḍá</w:t>
      </w:r>
      <w:r w:rsidRPr="008F03E5">
        <w:rPr>
          <w:rFonts w:eastAsia="PMingLiU"/>
          <w:lang w:eastAsia="zh-TW"/>
        </w:rPr>
        <w:t>y-i-Yazd</w:t>
      </w:r>
      <w:r w:rsidRPr="008F03E5">
        <w:t>í</w:t>
      </w:r>
      <w:r w:rsidRPr="008F03E5">
        <w:tab/>
      </w:r>
    </w:p>
    <w:p w14:paraId="4D513CA1" w14:textId="77777777" w:rsidR="00625A5B" w:rsidRPr="008F03E5" w:rsidRDefault="00625A5B" w:rsidP="000F7909">
      <w:pPr>
        <w:pStyle w:val="Translit"/>
      </w:pPr>
      <w:r w:rsidRPr="008F03E5">
        <w:t>Ghulamu’llah</w:t>
      </w:r>
      <w:r w:rsidRPr="008F03E5">
        <w:tab/>
      </w:r>
      <w:r w:rsidRPr="008F03E5">
        <w:rPr>
          <w:u w:val="single"/>
        </w:rPr>
        <w:t>Gh</w:t>
      </w:r>
      <w:r w:rsidRPr="008F03E5">
        <w:t>ulámu’lláh</w:t>
      </w:r>
      <w:r w:rsidRPr="008F03E5">
        <w:tab/>
        <w:t>servant of God.  Son of Javád-i-Qazvíní.</w:t>
      </w:r>
    </w:p>
    <w:p w14:paraId="408FD444" w14:textId="77777777" w:rsidR="00625A5B" w:rsidRPr="008F03E5" w:rsidRDefault="00625A5B" w:rsidP="004A70E2">
      <w:pPr>
        <w:pStyle w:val="Translit"/>
      </w:pPr>
      <w:r w:rsidRPr="008F03E5">
        <w:t>Ghull, Aghlal, Ghullun</w:t>
      </w:r>
      <w:r w:rsidRPr="008F03E5">
        <w:tab/>
      </w:r>
      <w:r w:rsidRPr="008F03E5">
        <w:rPr>
          <w:u w:val="single"/>
        </w:rPr>
        <w:t>Gh</w:t>
      </w:r>
      <w:r w:rsidRPr="008F03E5">
        <w:t>ull, pl. A</w:t>
      </w:r>
      <w:r w:rsidRPr="008F03E5">
        <w:rPr>
          <w:u w:val="single"/>
        </w:rPr>
        <w:t>gh</w:t>
      </w:r>
      <w:r w:rsidRPr="008F03E5">
        <w:t xml:space="preserve">lál, </w:t>
      </w:r>
      <w:r w:rsidRPr="008F03E5">
        <w:rPr>
          <w:u w:val="single"/>
        </w:rPr>
        <w:t>Gh</w:t>
      </w:r>
      <w:r w:rsidRPr="008F03E5">
        <w:t>ullún</w:t>
      </w:r>
      <w:r w:rsidRPr="008F03E5">
        <w:tab/>
        <w:t>burning thirst; (—pl. a</w:t>
      </w:r>
      <w:r w:rsidRPr="008F03E5">
        <w:rPr>
          <w:u w:val="single"/>
        </w:rPr>
        <w:t>gh</w:t>
      </w:r>
      <w:r w:rsidRPr="008F03E5">
        <w:t>lál) iron collar; manacles, handcuffs;—pl. chains, shackles, fetters</w:t>
      </w:r>
    </w:p>
    <w:p w14:paraId="68CEFE21" w14:textId="77777777" w:rsidR="00625A5B" w:rsidRPr="008F03E5" w:rsidRDefault="00625A5B" w:rsidP="00BF63F1">
      <w:pPr>
        <w:pStyle w:val="Translit"/>
      </w:pPr>
      <w:r w:rsidRPr="008F03E5">
        <w:t>Ghuluw</w:t>
      </w:r>
      <w:r w:rsidRPr="008F03E5">
        <w:tab/>
      </w:r>
      <w:r w:rsidRPr="008F03E5">
        <w:rPr>
          <w:u w:val="single"/>
        </w:rPr>
        <w:t>Gh</w:t>
      </w:r>
      <w:r w:rsidRPr="008F03E5">
        <w:t>ulúw</w:t>
      </w:r>
      <w:r w:rsidRPr="008F03E5">
        <w:tab/>
        <w:t>exceeding of proper bounds, excess, extravagance; exaggeration</w:t>
      </w:r>
    </w:p>
    <w:p w14:paraId="67F8387D" w14:textId="77777777" w:rsidR="00625A5B" w:rsidRPr="008F03E5" w:rsidRDefault="00625A5B" w:rsidP="00155B44">
      <w:pPr>
        <w:pStyle w:val="Translit"/>
      </w:pPr>
      <w:r w:rsidRPr="008F03E5">
        <w:t>Ghuluww, Ghaliyya</w:t>
      </w:r>
      <w:r w:rsidRPr="008F03E5">
        <w:tab/>
      </w:r>
      <w:r w:rsidRPr="008F03E5">
        <w:rPr>
          <w:u w:val="single"/>
        </w:rPr>
        <w:t>Gh</w:t>
      </w:r>
      <w:r w:rsidRPr="008F03E5">
        <w:t xml:space="preserve">uluww, </w:t>
      </w:r>
      <w:r w:rsidRPr="008F03E5">
        <w:rPr>
          <w:u w:val="single"/>
        </w:rPr>
        <w:t>Gh</w:t>
      </w:r>
      <w:r w:rsidRPr="008F03E5">
        <w:t>áliyya</w:t>
      </w:r>
      <w:r w:rsidRPr="008F03E5">
        <w:tab/>
        <w:t>exaggeration, extremism</w:t>
      </w:r>
    </w:p>
    <w:p w14:paraId="389C00F5" w14:textId="77777777" w:rsidR="00625A5B" w:rsidRPr="008F03E5" w:rsidRDefault="00625A5B" w:rsidP="00AB7961">
      <w:pPr>
        <w:pStyle w:val="Translit"/>
      </w:pPr>
      <w:r w:rsidRPr="008F03E5">
        <w:t>Ghusl, Aghsal</w:t>
      </w:r>
      <w:r w:rsidRPr="008F03E5">
        <w:tab/>
      </w:r>
      <w:r w:rsidRPr="008F03E5">
        <w:rPr>
          <w:u w:val="single"/>
        </w:rPr>
        <w:t>Gh</w:t>
      </w:r>
      <w:r w:rsidRPr="008F03E5">
        <w:t>usl, pl. A</w:t>
      </w:r>
      <w:r w:rsidRPr="008F03E5">
        <w:rPr>
          <w:u w:val="single"/>
        </w:rPr>
        <w:t>gh</w:t>
      </w:r>
      <w:r w:rsidRPr="008F03E5">
        <w:t>sál</w:t>
      </w:r>
      <w:r w:rsidRPr="008F03E5">
        <w:tab/>
        <w:t>washing, ablution; the major ritual ablution, i.e., a washing of the whole body (Islamic Law); wash water</w:t>
      </w:r>
    </w:p>
    <w:p w14:paraId="53DD7FE9" w14:textId="77777777" w:rsidR="00625A5B" w:rsidRPr="008F03E5" w:rsidRDefault="00625A5B" w:rsidP="00BB1F5B">
      <w:pPr>
        <w:pStyle w:val="Translit"/>
      </w:pPr>
      <w:r w:rsidRPr="008F03E5">
        <w:t>Ghusn, Ghusun, Aghsan</w:t>
      </w:r>
      <w:r w:rsidRPr="008F03E5">
        <w:tab/>
      </w:r>
      <w:r w:rsidRPr="008F03E5">
        <w:rPr>
          <w:u w:val="single"/>
        </w:rPr>
        <w:t>Gh</w:t>
      </w:r>
      <w:r w:rsidRPr="008F03E5">
        <w:t xml:space="preserve">uṣn, dual </w:t>
      </w:r>
      <w:r w:rsidRPr="008F03E5">
        <w:rPr>
          <w:u w:val="single"/>
        </w:rPr>
        <w:t>Gh</w:t>
      </w:r>
      <w:r w:rsidRPr="008F03E5">
        <w:t>uṣún, pl. A</w:t>
      </w:r>
      <w:r w:rsidRPr="008F03E5">
        <w:rPr>
          <w:u w:val="single"/>
        </w:rPr>
        <w:t>gh</w:t>
      </w:r>
      <w:r w:rsidRPr="008F03E5">
        <w:t>ṣán</w:t>
      </w:r>
      <w:r w:rsidRPr="008F03E5">
        <w:tab/>
        <w:t>twig, bough, limb, branch.  A</w:t>
      </w:r>
      <w:r w:rsidRPr="008F03E5">
        <w:rPr>
          <w:u w:val="single"/>
        </w:rPr>
        <w:t>gh</w:t>
      </w:r>
      <w:r w:rsidRPr="008F03E5">
        <w:t>ṣán (branches) denotes the descendants of Bahá’u’lláh.  Only two A</w:t>
      </w:r>
      <w:r w:rsidRPr="008F03E5">
        <w:rPr>
          <w:u w:val="single"/>
        </w:rPr>
        <w:t>gh</w:t>
      </w:r>
      <w:r w:rsidRPr="008F03E5">
        <w:t xml:space="preserve">ṣán are mentioned in the Kitáb-i-‘Ahd:  </w:t>
      </w:r>
      <w:r w:rsidRPr="008F03E5">
        <w:rPr>
          <w:u w:val="single"/>
        </w:rPr>
        <w:t>Gh</w:t>
      </w:r>
      <w:r w:rsidRPr="008F03E5">
        <w:t xml:space="preserve">uṣn-i-A‘ẓám (‘Abdu’l-Bahá) and </w:t>
      </w:r>
      <w:r w:rsidRPr="008F03E5">
        <w:rPr>
          <w:u w:val="single"/>
        </w:rPr>
        <w:t>Gh</w:t>
      </w:r>
      <w:r w:rsidRPr="008F03E5">
        <w:t>uṣn-i-Akbar (Mírzá Muḥammad-‘Ali)</w:t>
      </w:r>
    </w:p>
    <w:p w14:paraId="7380DD5E" w14:textId="77777777" w:rsidR="00625A5B" w:rsidRPr="008F03E5" w:rsidRDefault="00625A5B" w:rsidP="00AB7961">
      <w:pPr>
        <w:pStyle w:val="Translit"/>
      </w:pPr>
      <w:r w:rsidRPr="008F03E5">
        <w:t>Ghusn-i-A’zam</w:t>
      </w:r>
      <w:r w:rsidRPr="008F03E5">
        <w:tab/>
      </w:r>
      <w:r w:rsidRPr="008F03E5">
        <w:rPr>
          <w:u w:val="single"/>
        </w:rPr>
        <w:t>Gh</w:t>
      </w:r>
      <w:r w:rsidRPr="008F03E5">
        <w:t>uṣn-i-A‘ẓám</w:t>
      </w:r>
      <w:r w:rsidRPr="008F03E5">
        <w:tab/>
        <w:t>Most Great or Greatest Branch, ‘Abdu’l-Bahá</w:t>
      </w:r>
    </w:p>
    <w:p w14:paraId="31B9432E" w14:textId="77777777" w:rsidR="00625A5B" w:rsidRPr="008F03E5" w:rsidRDefault="00625A5B" w:rsidP="001A4E82">
      <w:pPr>
        <w:pStyle w:val="Translit"/>
      </w:pPr>
      <w:r w:rsidRPr="008F03E5">
        <w:t>Ghusn-i-Akbar</w:t>
      </w:r>
      <w:r w:rsidRPr="008F03E5">
        <w:tab/>
      </w:r>
      <w:r w:rsidRPr="008F03E5">
        <w:rPr>
          <w:u w:val="single"/>
        </w:rPr>
        <w:t>Gh</w:t>
      </w:r>
      <w:r w:rsidRPr="008F03E5">
        <w:t>uṣn-i-Akbar</w:t>
      </w:r>
      <w:r w:rsidRPr="008F03E5">
        <w:tab/>
        <w:t>Greater Branch, Mírzá Muḥammad-‘Ali.  Later described as the Greater Firewood since his deeds demonstrated that a dead branch is worthy of a fire.</w:t>
      </w:r>
    </w:p>
    <w:p w14:paraId="2B530212" w14:textId="77777777" w:rsidR="00625A5B" w:rsidRPr="008F03E5" w:rsidRDefault="00625A5B" w:rsidP="00900A82">
      <w:pPr>
        <w:pStyle w:val="Translit"/>
      </w:pPr>
      <w:r w:rsidRPr="008F03E5">
        <w:t>Ghusn-i-Athar</w:t>
      </w:r>
      <w:r w:rsidRPr="008F03E5">
        <w:tab/>
      </w:r>
      <w:r w:rsidRPr="008F03E5">
        <w:rPr>
          <w:u w:val="single"/>
        </w:rPr>
        <w:t>Gh</w:t>
      </w:r>
      <w:r w:rsidRPr="008F03E5">
        <w:t>usn-i-Aṭhar</w:t>
      </w:r>
      <w:r w:rsidRPr="008F03E5">
        <w:tab/>
        <w:t>“Purest Branch” or “Purer Branch”.  Title given to Mírzá Mihdí.</w:t>
      </w:r>
    </w:p>
    <w:p w14:paraId="2A833585" w14:textId="77777777" w:rsidR="00625A5B" w:rsidRPr="008F03E5" w:rsidRDefault="00625A5B" w:rsidP="00900A82">
      <w:pPr>
        <w:pStyle w:val="Translit"/>
      </w:pPr>
      <w:r w:rsidRPr="008F03E5">
        <w:t>Ghusn-i-Mumtaz</w:t>
      </w:r>
      <w:r w:rsidRPr="008F03E5">
        <w:tab/>
      </w:r>
      <w:r w:rsidRPr="008F03E5">
        <w:rPr>
          <w:u w:val="single"/>
        </w:rPr>
        <w:t>Gh</w:t>
      </w:r>
      <w:r w:rsidRPr="008F03E5">
        <w:t>uṣn-i-Mumtáz</w:t>
      </w:r>
      <w:r w:rsidRPr="008F03E5">
        <w:tab/>
        <w:t>The Chosen Branch, i.e. Shoghi Effendi</w:t>
      </w:r>
    </w:p>
    <w:p w14:paraId="06A90603" w14:textId="77777777" w:rsidR="00625A5B" w:rsidRPr="008F03E5" w:rsidRDefault="00625A5B" w:rsidP="00DB1BF9">
      <w:pPr>
        <w:pStyle w:val="Translit"/>
      </w:pPr>
      <w:r w:rsidRPr="008F03E5">
        <w:t>Ghusniyyih</w:t>
      </w:r>
      <w:r w:rsidRPr="008F03E5">
        <w:tab/>
      </w:r>
      <w:r w:rsidRPr="008F03E5">
        <w:rPr>
          <w:u w:val="single"/>
        </w:rPr>
        <w:t>Gh</w:t>
      </w:r>
      <w:r w:rsidRPr="008F03E5">
        <w:t>uṣniyyih</w:t>
      </w:r>
      <w:r w:rsidRPr="008F03E5">
        <w:tab/>
        <w:t>Pers. followers of Mírzá Muḥammad ‘Alí, the “</w:t>
      </w:r>
      <w:r w:rsidRPr="008F03E5">
        <w:rPr>
          <w:u w:val="single"/>
        </w:rPr>
        <w:t>Gh</w:t>
      </w:r>
      <w:r w:rsidRPr="008F03E5">
        <w:t>uṣn-i-Akbar”, the half-brother of ‘Abdu’l-Bahá</w:t>
      </w:r>
    </w:p>
    <w:p w14:paraId="1D585AA3" w14:textId="77777777" w:rsidR="00625A5B" w:rsidRPr="008F03E5" w:rsidRDefault="00625A5B" w:rsidP="00102586">
      <w:pPr>
        <w:pStyle w:val="Translit"/>
      </w:pPr>
      <w:r w:rsidRPr="008F03E5">
        <w:t>Ghusnu’llahu’l-A’zam</w:t>
      </w:r>
      <w:r w:rsidRPr="008F03E5">
        <w:tab/>
      </w:r>
      <w:r w:rsidRPr="008F03E5">
        <w:rPr>
          <w:u w:val="single"/>
        </w:rPr>
        <w:t>Gh</w:t>
      </w:r>
      <w:r w:rsidRPr="008F03E5">
        <w:t>uṣnu’lláhu’l-A‘ẓam</w:t>
      </w:r>
      <w:r w:rsidRPr="008F03E5">
        <w:tab/>
        <w:t xml:space="preserve">“The Greatest Branch of God”  </w:t>
      </w:r>
      <w:r w:rsidRPr="008F03E5">
        <w:rPr>
          <w:sz w:val="16"/>
          <w:szCs w:val="16"/>
        </w:rPr>
        <w:t>BKG</w:t>
      </w:r>
      <w:r w:rsidRPr="008F03E5">
        <w:t xml:space="preserve"> 250, 311, 420, 485</w:t>
      </w:r>
    </w:p>
    <w:p w14:paraId="6199E5DF" w14:textId="77777777" w:rsidR="00625A5B" w:rsidRPr="008F03E5" w:rsidRDefault="00625A5B" w:rsidP="00854A26">
      <w:pPr>
        <w:pStyle w:val="Translit"/>
      </w:pPr>
      <w:r w:rsidRPr="008F03E5">
        <w:t>Ghusnu’llahu’l-Athar</w:t>
      </w:r>
      <w:r w:rsidRPr="008F03E5">
        <w:tab/>
      </w:r>
      <w:r w:rsidRPr="008F03E5">
        <w:rPr>
          <w:u w:val="single"/>
        </w:rPr>
        <w:t>Gh</w:t>
      </w:r>
      <w:r w:rsidRPr="008F03E5">
        <w:t>uṣnu’lláhu’l-Aṭhar</w:t>
      </w:r>
      <w:r w:rsidRPr="008F03E5">
        <w:tab/>
        <w:t>“The Purest Branch of God”</w:t>
      </w:r>
    </w:p>
    <w:p w14:paraId="681480DD" w14:textId="77777777" w:rsidR="00625A5B" w:rsidRPr="008F03E5" w:rsidRDefault="00625A5B" w:rsidP="00DB1BF9">
      <w:pPr>
        <w:pStyle w:val="Translit"/>
      </w:pPr>
      <w:r w:rsidRPr="008F03E5">
        <w:t>Gilan</w:t>
      </w:r>
      <w:r w:rsidRPr="008F03E5">
        <w:tab/>
        <w:t>Gílán</w:t>
      </w:r>
      <w:r w:rsidRPr="008F03E5">
        <w:tab/>
        <w:t>a northern province of Írán on the Caspian Sea.</w:t>
      </w:r>
    </w:p>
    <w:p w14:paraId="75A08ADA" w14:textId="77777777" w:rsidR="00625A5B" w:rsidRPr="008F03E5" w:rsidRDefault="00625A5B" w:rsidP="00BB1A42">
      <w:pPr>
        <w:pStyle w:val="Translit"/>
        <w:rPr>
          <w:rFonts w:eastAsia="PMingLiU"/>
          <w:lang w:eastAsia="zh-TW"/>
        </w:rPr>
      </w:pPr>
      <w:r w:rsidRPr="008F03E5">
        <w:t>Gilani</w:t>
      </w:r>
      <w:r w:rsidRPr="008F03E5">
        <w:tab/>
        <w:t>Gílání</w:t>
      </w:r>
      <w:r w:rsidRPr="008F03E5">
        <w:tab/>
        <w:t>Pers. a native of Gílán</w:t>
      </w:r>
    </w:p>
    <w:p w14:paraId="2AFBD4F8" w14:textId="77777777" w:rsidR="00625A5B" w:rsidRPr="008F03E5" w:rsidRDefault="00625A5B" w:rsidP="00102586">
      <w:pPr>
        <w:pStyle w:val="Translit"/>
        <w:rPr>
          <w:rFonts w:eastAsia="PMingLiU"/>
          <w:lang w:eastAsia="zh-TW"/>
        </w:rPr>
      </w:pPr>
      <w:r w:rsidRPr="008F03E5">
        <w:t>Gilim (Kilim)</w:t>
      </w:r>
      <w:r w:rsidRPr="008F03E5">
        <w:tab/>
        <w:t>Gilím</w:t>
      </w:r>
      <w:r w:rsidRPr="008F03E5">
        <w:tab/>
        <w:t>Pers. (Turkish kilim, Azerbaijani kílím) a garment made of goats’ hair or wool; a carpet or rug to lie on; a blanket</w:t>
      </w:r>
    </w:p>
    <w:p w14:paraId="1A25E6AB" w14:textId="77777777" w:rsidR="00625A5B" w:rsidRPr="008F03E5" w:rsidRDefault="00625A5B" w:rsidP="00102586">
      <w:pPr>
        <w:pStyle w:val="Translit"/>
        <w:rPr>
          <w:rFonts w:eastAsia="PMingLiU"/>
          <w:lang w:eastAsia="zh-TW"/>
        </w:rPr>
      </w:pPr>
      <w:r w:rsidRPr="008F03E5">
        <w:rPr>
          <w:rFonts w:eastAsia="PMingLiU"/>
          <w:lang w:eastAsia="zh-TW"/>
        </w:rPr>
        <w:t>Gilt</w:t>
      </w:r>
      <w:r w:rsidRPr="008F03E5">
        <w:t>u</w:t>
      </w:r>
      <w:r w:rsidRPr="008F03E5">
        <w:rPr>
          <w:rFonts w:eastAsia="PMingLiU"/>
          <w:lang w:eastAsia="zh-TW"/>
        </w:rPr>
        <w:t>gh</w:t>
      </w:r>
      <w:r w:rsidRPr="008F03E5">
        <w:t>i</w:t>
      </w:r>
      <w:r w:rsidRPr="008F03E5">
        <w:tab/>
      </w:r>
      <w:r w:rsidRPr="008F03E5">
        <w:rPr>
          <w:rFonts w:eastAsia="PMingLiU"/>
          <w:lang w:eastAsia="zh-TW"/>
        </w:rPr>
        <w:t>Gilt</w:t>
      </w:r>
      <w:r w:rsidRPr="008F03E5">
        <w:t>ú</w:t>
      </w:r>
      <w:r w:rsidRPr="008F03E5">
        <w:rPr>
          <w:u w:val="single"/>
        </w:rPr>
        <w:t>gh</w:t>
      </w:r>
      <w:r w:rsidRPr="008F03E5">
        <w:t>í</w:t>
      </w:r>
      <w:r w:rsidRPr="008F03E5">
        <w:tab/>
        <w:t xml:space="preserve">Ḥájí Káẓim </w:t>
      </w:r>
      <w:r w:rsidRPr="008F03E5">
        <w:rPr>
          <w:rFonts w:eastAsia="PMingLiU"/>
          <w:lang w:eastAsia="zh-TW"/>
        </w:rPr>
        <w:t>Gilt</w:t>
      </w:r>
      <w:r w:rsidRPr="008F03E5">
        <w:t>ú</w:t>
      </w:r>
      <w:r w:rsidRPr="008F03E5">
        <w:rPr>
          <w:u w:val="single"/>
        </w:rPr>
        <w:t>gh</w:t>
      </w:r>
      <w:r w:rsidRPr="008F03E5">
        <w:t>í</w:t>
      </w:r>
    </w:p>
    <w:p w14:paraId="3B0EE6EB" w14:textId="77777777" w:rsidR="00625A5B" w:rsidRPr="008F03E5" w:rsidRDefault="00625A5B" w:rsidP="00260569">
      <w:pPr>
        <w:pStyle w:val="Translit"/>
      </w:pPr>
      <w:r w:rsidRPr="008F03E5">
        <w:t>Giran (Garan)</w:t>
      </w:r>
      <w:r w:rsidRPr="008F03E5">
        <w:tab/>
        <w:t>Girán</w:t>
      </w:r>
      <w:r w:rsidRPr="008F03E5">
        <w:tab/>
        <w:t>Pers. heavy, weighty, ponderous; slow; great, important, difficult; precious, dear, valuable; gain, profit; penury</w:t>
      </w:r>
    </w:p>
    <w:p w14:paraId="45BD9312" w14:textId="77777777" w:rsidR="00625A5B" w:rsidRPr="008F03E5" w:rsidRDefault="00625A5B" w:rsidP="00400A0C">
      <w:pPr>
        <w:pStyle w:val="Translit"/>
      </w:pPr>
      <w:r w:rsidRPr="008F03E5">
        <w:t>Gird</w:t>
      </w:r>
      <w:r w:rsidRPr="008F03E5">
        <w:tab/>
        <w:t>Gird</w:t>
      </w:r>
      <w:r w:rsidRPr="008F03E5">
        <w:tab/>
        <w:t>Pers. round; a circle, orbit, circumference, circuit; environs, parts adjacent; a collection, assembly; a host; a city; a tent, pavilion; (adverb) around</w:t>
      </w:r>
    </w:p>
    <w:p w14:paraId="14C0013E" w14:textId="77777777" w:rsidR="00625A5B" w:rsidRPr="008F03E5" w:rsidRDefault="00625A5B" w:rsidP="00E207FF">
      <w:pPr>
        <w:pStyle w:val="Translit"/>
      </w:pPr>
      <w:r w:rsidRPr="008F03E5">
        <w:t>Girih</w:t>
      </w:r>
      <w:r w:rsidRPr="008F03E5">
        <w:tab/>
        <w:t>Girih</w:t>
      </w:r>
      <w:r w:rsidRPr="008F03E5">
        <w:tab/>
        <w:t>Pers. a knot, a knur (as in a thread or on wood), a knob, a joint; a button or anything for fastening garments; a gland; a kernel; a purse; an abscess; a knuckle; articulation; three finger-breadths; a difficulty; the seed of a thorny tree used for tanning; the heart</w:t>
      </w:r>
    </w:p>
    <w:p w14:paraId="24FC69FD" w14:textId="77777777" w:rsidR="00625A5B" w:rsidRPr="008F03E5" w:rsidRDefault="00625A5B" w:rsidP="003B0670">
      <w:pPr>
        <w:pStyle w:val="Translit"/>
      </w:pPr>
      <w:r w:rsidRPr="008F03E5">
        <w:t>Gisu (Gesu), Gisuwan (Gesuwan)</w:t>
      </w:r>
      <w:r w:rsidRPr="008F03E5">
        <w:tab/>
        <w:t>Gísú, pl. Gísúwán</w:t>
      </w:r>
      <w:r w:rsidRPr="008F03E5">
        <w:tab/>
        <w:t>Pers. a ringlet of hair, a forelock, a sidelock, curl;—pl. hair, locks.  Daughter of Dr Raḥmatu’lláh Muhájir.</w:t>
      </w:r>
    </w:p>
    <w:p w14:paraId="027AC6D0" w14:textId="77777777" w:rsidR="00625A5B" w:rsidRPr="008F03E5" w:rsidRDefault="00625A5B" w:rsidP="008249A0">
      <w:pPr>
        <w:pStyle w:val="Translit"/>
        <w:rPr>
          <w:rFonts w:eastAsia="PMingLiU"/>
          <w:lang w:eastAsia="zh-TW"/>
        </w:rPr>
      </w:pPr>
      <w:r w:rsidRPr="008F03E5">
        <w:rPr>
          <w:rFonts w:eastAsia="PMingLiU"/>
          <w:lang w:eastAsia="zh-TW"/>
        </w:rPr>
        <w:t>Giwah (Givah, Giveh, Giwa)</w:t>
      </w:r>
      <w:r w:rsidRPr="008F03E5">
        <w:rPr>
          <w:rFonts w:eastAsia="PMingLiU"/>
          <w:lang w:eastAsia="zh-TW"/>
        </w:rPr>
        <w:tab/>
        <w:t>Giwah</w:t>
      </w:r>
      <w:r w:rsidRPr="008F03E5">
        <w:rPr>
          <w:rFonts w:eastAsia="PMingLiU"/>
          <w:lang w:eastAsia="zh-TW"/>
        </w:rPr>
        <w:tab/>
        <w:t xml:space="preserve">Pers. a soft, comfortable, durable and hand woven-top shoe common in several parts of Iran especially in rural and mountainous areas of </w:t>
      </w:r>
      <w:r w:rsidRPr="008F03E5">
        <w:t>Kirmán</w:t>
      </w:r>
      <w:r w:rsidRPr="008F03E5">
        <w:rPr>
          <w:u w:val="single"/>
        </w:rPr>
        <w:t>sh</w:t>
      </w:r>
      <w:r w:rsidRPr="008F03E5">
        <w:t>áh</w:t>
      </w:r>
      <w:r w:rsidRPr="008F03E5">
        <w:rPr>
          <w:rFonts w:eastAsia="PMingLiU"/>
          <w:lang w:eastAsia="zh-TW"/>
        </w:rPr>
        <w:t xml:space="preserve"> Province.</w:t>
      </w:r>
    </w:p>
    <w:p w14:paraId="3B29BA02" w14:textId="77777777" w:rsidR="00625A5B" w:rsidRPr="008F03E5" w:rsidRDefault="00625A5B" w:rsidP="00CF283D">
      <w:pPr>
        <w:pStyle w:val="Translit"/>
      </w:pPr>
      <w:r w:rsidRPr="008F03E5">
        <w:t>Goumoens</w:t>
      </w:r>
      <w:r w:rsidRPr="008F03E5">
        <w:tab/>
        <w:t>Goumoëns</w:t>
      </w:r>
      <w:r w:rsidRPr="008F03E5">
        <w:tab/>
        <w:t xml:space="preserve">city in Switzerland.  Austrian Captain Alfred von Goumoëns witnessed and reported on the attempted assassination of Náṣir ad-Dín </w:t>
      </w:r>
      <w:r w:rsidRPr="008F03E5">
        <w:rPr>
          <w:u w:val="single"/>
        </w:rPr>
        <w:t>Sh</w:t>
      </w:r>
      <w:r w:rsidRPr="008F03E5">
        <w:t xml:space="preserve">áh on 15 August 1852.  His 29 August 1852 letter was first published in German in the Austrian newspaper </w:t>
      </w:r>
      <w:r w:rsidRPr="008F03E5">
        <w:rPr>
          <w:i/>
          <w:iCs/>
        </w:rPr>
        <w:t>Oesterreichischer Soldatenfruend</w:t>
      </w:r>
      <w:r w:rsidRPr="008F03E5">
        <w:t xml:space="preserve"> (“Austrian Soldier Friend”), 12 October 1852, vol. 123, p. 514.</w:t>
      </w:r>
    </w:p>
    <w:p w14:paraId="4AD1AB28" w14:textId="77777777" w:rsidR="00625A5B" w:rsidRPr="008F03E5" w:rsidRDefault="00625A5B" w:rsidP="00BB0DC1">
      <w:pPr>
        <w:pStyle w:val="Translit"/>
        <w:rPr>
          <w:rFonts w:eastAsia="PMingLiU"/>
          <w:lang w:eastAsia="zh-TW"/>
        </w:rPr>
      </w:pPr>
      <w:r w:rsidRPr="008F03E5">
        <w:rPr>
          <w:rFonts w:eastAsia="PMingLiU"/>
          <w:lang w:eastAsia="zh-TW"/>
        </w:rPr>
        <w:t>Guardian</w:t>
      </w:r>
      <w:r w:rsidRPr="008F03E5">
        <w:rPr>
          <w:rFonts w:eastAsia="PMingLiU"/>
          <w:lang w:eastAsia="zh-TW"/>
        </w:rPr>
        <w:tab/>
        <w:t>Guardian</w:t>
      </w:r>
      <w:r w:rsidRPr="008F03E5">
        <w:rPr>
          <w:rFonts w:eastAsia="PMingLiU"/>
          <w:lang w:eastAsia="zh-TW"/>
        </w:rPr>
        <w:tab/>
        <w:t xml:space="preserve">Title given to Shoghi Effendi by ‘Abdu’l-Bahá:  </w:t>
      </w:r>
      <w:r w:rsidRPr="008F03E5">
        <w:rPr>
          <w:i/>
          <w:iCs/>
        </w:rPr>
        <w:t>“After the passing away of this wronged one, it is incumbent upon the A</w:t>
      </w:r>
      <w:r w:rsidRPr="008F03E5">
        <w:rPr>
          <w:i/>
          <w:iCs/>
          <w:u w:val="single"/>
        </w:rPr>
        <w:t>gh</w:t>
      </w:r>
      <w:r w:rsidRPr="008F03E5">
        <w:rPr>
          <w:i/>
          <w:iCs/>
        </w:rPr>
        <w:t xml:space="preserve">sán, the Afnán of the Sacred Lote-Tree, the Hands of the Cause of God and the loved ones of the Abhá Beauty to turn unto Shoghi Effendi—the youthful branch branched from the two hallowed and sacred Lote-Trees and the fruit grown from the union of the two offshoots of the Tree of Holiness,—as he is the sign of God, the chosen branch, the Guardian of the Cause of God </w:t>
      </w:r>
      <w:r w:rsidRPr="008F03E5">
        <w:t>[Walí</w:t>
      </w:r>
      <w:r>
        <w:t>y</w:t>
      </w:r>
      <w:r w:rsidRPr="008F03E5">
        <w:t>-i-Amru’lláh]</w:t>
      </w:r>
      <w:r w:rsidRPr="008F03E5">
        <w:rPr>
          <w:i/>
          <w:iCs/>
        </w:rPr>
        <w:t>….  He is the Interpreter of the Word of God ….”</w:t>
      </w:r>
      <w:r w:rsidRPr="008F03E5">
        <w:rPr>
          <w:rFonts w:eastAsia="PMingLiU"/>
          <w:lang w:eastAsia="zh-TW"/>
        </w:rPr>
        <w:t xml:space="preserve"> (</w:t>
      </w:r>
      <w:r w:rsidRPr="008F03E5">
        <w:rPr>
          <w:i/>
          <w:iCs/>
        </w:rPr>
        <w:t>The Will and Testament</w:t>
      </w:r>
      <w:r w:rsidRPr="008F03E5">
        <w:rPr>
          <w:rFonts w:eastAsia="PMingLiU"/>
          <w:lang w:eastAsia="zh-TW"/>
        </w:rPr>
        <w:t>, p. 11)</w:t>
      </w:r>
    </w:p>
    <w:p w14:paraId="689FF27F" w14:textId="77777777" w:rsidR="00625A5B" w:rsidRPr="008F03E5" w:rsidRDefault="00625A5B" w:rsidP="008175E2">
      <w:pPr>
        <w:pStyle w:val="Translit"/>
        <w:rPr>
          <w:rFonts w:eastAsia="PMingLiU"/>
          <w:lang w:eastAsia="zh-TW"/>
        </w:rPr>
      </w:pPr>
      <w:r w:rsidRPr="008F03E5">
        <w:t>Guftar</w:t>
      </w:r>
      <w:r w:rsidRPr="008F03E5">
        <w:tab/>
        <w:t>Guftár</w:t>
      </w:r>
      <w:r w:rsidRPr="008F03E5">
        <w:tab/>
        <w:t>Pers. speech, conversation; a saying; a chapter</w:t>
      </w:r>
    </w:p>
    <w:p w14:paraId="5B26F197" w14:textId="77777777" w:rsidR="00625A5B" w:rsidRPr="008F03E5" w:rsidRDefault="00625A5B" w:rsidP="00501EB2">
      <w:pPr>
        <w:pStyle w:val="Translit"/>
      </w:pPr>
      <w:r w:rsidRPr="008F03E5">
        <w:t>Guftgu</w:t>
      </w:r>
      <w:r w:rsidRPr="008F03E5">
        <w:tab/>
        <w:t>Guftgú</w:t>
      </w:r>
      <w:r w:rsidRPr="008F03E5">
        <w:tab/>
        <w:t>Pers. parley</w:t>
      </w:r>
    </w:p>
    <w:p w14:paraId="000F0693" w14:textId="77777777" w:rsidR="00625A5B" w:rsidRPr="008F03E5" w:rsidRDefault="00625A5B" w:rsidP="00BB0DC1">
      <w:pPr>
        <w:pStyle w:val="Translit"/>
      </w:pPr>
      <w:r w:rsidRPr="008F03E5">
        <w:rPr>
          <w:rFonts w:eastAsia="PMingLiU"/>
          <w:lang w:eastAsia="zh-TW"/>
        </w:rPr>
        <w:t>Gugan (Gavgan (Gav-Gan), Gavkan)</w:t>
      </w:r>
      <w:r w:rsidRPr="008F03E5">
        <w:tab/>
        <w:t>Gúgán</w:t>
      </w:r>
      <w:r w:rsidRPr="008F03E5">
        <w:tab/>
        <w:t xml:space="preserve">village 50 km </w:t>
      </w:r>
      <w:r w:rsidRPr="008F03E5">
        <w:rPr>
          <w:sz w:val="16"/>
          <w:szCs w:val="16"/>
        </w:rPr>
        <w:t>SW</w:t>
      </w:r>
      <w:r w:rsidRPr="008F03E5">
        <w:t xml:space="preserve"> of Tabriz.  Letters transcribe as “Gawgán”.</w:t>
      </w:r>
    </w:p>
    <w:p w14:paraId="5B7BEB46" w14:textId="77777777" w:rsidR="00625A5B" w:rsidRPr="008F03E5" w:rsidRDefault="00625A5B" w:rsidP="00761A6D">
      <w:pPr>
        <w:pStyle w:val="Translit"/>
      </w:pPr>
      <w:r w:rsidRPr="008F03E5">
        <w:t>Guhar (Gohar), Gawhar (Gauhar)</w:t>
      </w:r>
      <w:r w:rsidRPr="008F03E5">
        <w:tab/>
        <w:t>Guhar, Gawhar</w:t>
      </w:r>
      <w:r w:rsidRPr="008F03E5">
        <w:tab/>
        <w:t>Pers. a gem, jewel, pearl, precious stone; lustre of a gem or sword; root, origin; of a noble family; essence, substance, form; offspring; any hidden virtue; intellect, wisdom</w:t>
      </w:r>
    </w:p>
    <w:p w14:paraId="3BFDCD46" w14:textId="77777777" w:rsidR="00625A5B" w:rsidRPr="008F03E5" w:rsidRDefault="00625A5B" w:rsidP="001824D8">
      <w:pPr>
        <w:pStyle w:val="Translit"/>
      </w:pPr>
      <w:r w:rsidRPr="008F03E5">
        <w:t>Gul, Gulan, Gulha</w:t>
      </w:r>
      <w:r w:rsidRPr="008F03E5">
        <w:tab/>
        <w:t>Gul, pl. Gulán (Gulhá)</w:t>
      </w:r>
      <w:r w:rsidRPr="008F03E5">
        <w:tab/>
        <w:t>Pers. a rose; a flower; embers; a red colour.  See Ar. Jull</w:t>
      </w:r>
    </w:p>
    <w:p w14:paraId="12B8CCAD" w14:textId="77777777" w:rsidR="00625A5B" w:rsidRPr="008F03E5" w:rsidRDefault="00625A5B" w:rsidP="005A3EAA">
      <w:pPr>
        <w:pStyle w:val="Translit"/>
      </w:pPr>
      <w:r w:rsidRPr="008F03E5">
        <w:t>Gulab</w:t>
      </w:r>
      <w:r w:rsidRPr="008F03E5">
        <w:tab/>
        <w:t>Guláb</w:t>
      </w:r>
      <w:r w:rsidRPr="008F03E5">
        <w:tab/>
        <w:t>Pers. rose water.  gul (flower) + áb (water).</w:t>
      </w:r>
    </w:p>
    <w:p w14:paraId="5690BEF2" w14:textId="77777777" w:rsidR="00625A5B" w:rsidRPr="008F03E5" w:rsidRDefault="00625A5B" w:rsidP="00655B2F">
      <w:pPr>
        <w:pStyle w:val="Translit"/>
      </w:pPr>
      <w:r w:rsidRPr="008F03E5">
        <w:t>Guldan, Guldana (Guldanih)</w:t>
      </w:r>
      <w:r w:rsidRPr="008F03E5">
        <w:tab/>
        <w:t>Guldán, fem. Guldána[h]</w:t>
      </w:r>
      <w:r w:rsidRPr="008F03E5">
        <w:tab/>
        <w:t>Pers. gul (flower) + dán (suffix, holder, pot, vase).  Guldánih ‘Alipúr</w:t>
      </w:r>
    </w:p>
    <w:p w14:paraId="09FA294D" w14:textId="77777777" w:rsidR="00625A5B" w:rsidRPr="008F03E5" w:rsidRDefault="00625A5B" w:rsidP="000B7978">
      <w:pPr>
        <w:pStyle w:val="Translit"/>
      </w:pPr>
      <w:r w:rsidRPr="008F03E5">
        <w:t>Gul-i-Gulab</w:t>
      </w:r>
      <w:r w:rsidRPr="008F03E5">
        <w:tab/>
        <w:t>Gul-i-Guláb</w:t>
      </w:r>
      <w:r w:rsidRPr="008F03E5">
        <w:tab/>
        <w:t>red rose, literally, “the flower of the rose-water”.  See Ar. Jull and Julláb</w:t>
      </w:r>
    </w:p>
    <w:p w14:paraId="5D0F2B37" w14:textId="77777777" w:rsidR="00625A5B" w:rsidRPr="008F03E5" w:rsidRDefault="00625A5B" w:rsidP="00C65715">
      <w:pPr>
        <w:pStyle w:val="Translit"/>
      </w:pPr>
      <w:r w:rsidRPr="008F03E5">
        <w:t>Gul-i-Mawla</w:t>
      </w:r>
      <w:r w:rsidRPr="008F03E5">
        <w:tab/>
        <w:t>Gul-i-Mawlá</w:t>
      </w:r>
      <w:r w:rsidRPr="008F03E5">
        <w:tab/>
        <w:t>“the master’s rose”.  name given to Darvi</w:t>
      </w:r>
      <w:r w:rsidRPr="008F03E5">
        <w:rPr>
          <w:u w:val="single"/>
        </w:rPr>
        <w:t>sh</w:t>
      </w:r>
      <w:r w:rsidRPr="008F03E5">
        <w:t xml:space="preserve"> Siḍq-‘Alí</w:t>
      </w:r>
    </w:p>
    <w:p w14:paraId="29F9B852" w14:textId="77777777" w:rsidR="00625A5B" w:rsidRPr="008F03E5" w:rsidRDefault="00625A5B" w:rsidP="00007F1C">
      <w:pPr>
        <w:pStyle w:val="Translit"/>
      </w:pPr>
      <w:r w:rsidRPr="008F03E5">
        <w:t>Gulistan</w:t>
      </w:r>
      <w:r>
        <w:t xml:space="preserve"> (Golestan)</w:t>
      </w:r>
      <w:r w:rsidRPr="008F03E5">
        <w:tab/>
        <w:t>Gulistán</w:t>
      </w:r>
      <w:r w:rsidRPr="008F03E5">
        <w:tab/>
        <w:t>Pers. flower garden, rose garden; place where flowers grow</w:t>
      </w:r>
      <w:r>
        <w:t xml:space="preserve">. </w:t>
      </w:r>
      <w:r w:rsidRPr="008F03E5">
        <w:t xml:space="preserve"> </w:t>
      </w:r>
      <w:r w:rsidRPr="00007F1C">
        <w:rPr>
          <w:i/>
          <w:iCs/>
        </w:rPr>
        <w:t>Gulistán-i-Sa‘dí</w:t>
      </w:r>
      <w:r>
        <w:t>,</w:t>
      </w:r>
      <w:r w:rsidRPr="008F03E5">
        <w:t xml:space="preserve"> a celebrated Persian book </w:t>
      </w:r>
      <w:r>
        <w:t>(</w:t>
      </w:r>
      <w:r w:rsidRPr="00442EAD">
        <w:rPr>
          <w:sz w:val="16"/>
          <w:szCs w:val="16"/>
        </w:rPr>
        <w:t>CE</w:t>
      </w:r>
      <w:r>
        <w:t xml:space="preserve"> 1258) </w:t>
      </w:r>
      <w:r w:rsidRPr="008F03E5">
        <w:t>in prose and verse, by Abú-Muḥammad Muṣliḥ a</w:t>
      </w:r>
      <w:r>
        <w:t>d</w:t>
      </w:r>
      <w:r w:rsidRPr="008F03E5">
        <w:t xml:space="preserve">-Dín bin ‘Abdu’lláh </w:t>
      </w:r>
      <w:r w:rsidRPr="008F03E5">
        <w:rPr>
          <w:u w:val="single"/>
        </w:rPr>
        <w:t>Sh</w:t>
      </w:r>
      <w:r w:rsidRPr="008F03E5">
        <w:t xml:space="preserve">írází (better known by his pen-name Sa‘dí) (1175–1291).  Book structure:  Introduction </w:t>
      </w:r>
      <w:r>
        <w:t>and</w:t>
      </w:r>
      <w:r w:rsidRPr="008F03E5">
        <w:t xml:space="preserve"> </w:t>
      </w:r>
      <w:r>
        <w:t>8</w:t>
      </w:r>
      <w:r w:rsidRPr="008F03E5">
        <w:t xml:space="preserve"> chapters, each consisting of a number of stories and poetry:  1.  The Manners of Kings; 2.  On the Morals of Dervishes; 3.  On the Excellence of Contentment; 4.  On the Advantages of Silence; 5.  On Love and Youth; 6.  On Weakness and Old Age; 7.  On the Effects of Education; 8.  On Rules for Conduct in Life.  Ká</w:t>
      </w:r>
      <w:r w:rsidRPr="008F03E5">
        <w:rPr>
          <w:u w:val="single"/>
        </w:rPr>
        <w:t>kh</w:t>
      </w:r>
      <w:r w:rsidRPr="008F03E5">
        <w:t>-i-Gulistán (Golestan Palace) is the former royal Qajar complex in Ṭihrán.</w:t>
      </w:r>
    </w:p>
    <w:p w14:paraId="6C20E55F" w14:textId="77777777" w:rsidR="00625A5B" w:rsidRPr="008F03E5" w:rsidRDefault="00625A5B" w:rsidP="00FC2CD3">
      <w:pPr>
        <w:pStyle w:val="Translit"/>
      </w:pPr>
      <w:r w:rsidRPr="008F03E5">
        <w:t>Gulistan-i-Javid</w:t>
      </w:r>
      <w:r w:rsidRPr="008F03E5">
        <w:tab/>
        <w:t>Gulistán-i-Jávid</w:t>
      </w:r>
      <w:r w:rsidRPr="008F03E5">
        <w:tab/>
        <w:t>Pers. “eternal garden”, name given to Bahá’í cemeteries in Iran</w:t>
      </w:r>
    </w:p>
    <w:p w14:paraId="450C6792" w14:textId="77777777" w:rsidR="00625A5B" w:rsidRPr="008F03E5" w:rsidRDefault="00625A5B" w:rsidP="007A1E4B">
      <w:pPr>
        <w:pStyle w:val="Translit"/>
      </w:pPr>
      <w:r w:rsidRPr="008F03E5">
        <w:t>Gul-Muhammad (Gulmuhammad)</w:t>
      </w:r>
      <w:r w:rsidRPr="008F03E5">
        <w:tab/>
        <w:t>Gul-Muḥammad</w:t>
      </w:r>
      <w:r w:rsidRPr="008F03E5">
        <w:tab/>
      </w:r>
      <w:r w:rsidRPr="008F03E5">
        <w:rPr>
          <w:sz w:val="16"/>
          <w:szCs w:val="16"/>
        </w:rPr>
        <w:t>GPB</w:t>
      </w:r>
      <w:r w:rsidRPr="008F03E5">
        <w:t xml:space="preserve"> p. 200</w:t>
      </w:r>
    </w:p>
    <w:p w14:paraId="07EE21D6" w14:textId="77777777" w:rsidR="00625A5B" w:rsidRPr="008F03E5" w:rsidRDefault="00625A5B" w:rsidP="00E0361B">
      <w:pPr>
        <w:pStyle w:val="Translit"/>
        <w:rPr>
          <w:rFonts w:eastAsia="PMingLiU"/>
          <w:lang w:eastAsia="zh-TW"/>
        </w:rPr>
      </w:pPr>
      <w:r w:rsidRPr="008F03E5">
        <w:rPr>
          <w:rFonts w:eastAsia="PMingLiU"/>
          <w:lang w:eastAsia="zh-TW"/>
        </w:rPr>
        <w:t>Gul-Muhammadi (Gulmuhammadi)</w:t>
      </w:r>
      <w:r w:rsidRPr="008F03E5">
        <w:tab/>
      </w:r>
      <w:r w:rsidRPr="008F03E5">
        <w:rPr>
          <w:rFonts w:eastAsia="PMingLiU"/>
          <w:lang w:eastAsia="zh-TW"/>
        </w:rPr>
        <w:t>Gul-Mu</w:t>
      </w:r>
      <w:r w:rsidRPr="008F03E5">
        <w:t>ḥ</w:t>
      </w:r>
      <w:r w:rsidRPr="008F03E5">
        <w:rPr>
          <w:rFonts w:eastAsia="PMingLiU"/>
          <w:lang w:eastAsia="zh-TW"/>
        </w:rPr>
        <w:t>ammadí</w:t>
      </w:r>
      <w:r w:rsidRPr="008F03E5">
        <w:tab/>
        <w:t xml:space="preserve">Ar. </w:t>
      </w:r>
      <w:r w:rsidRPr="008F03E5">
        <w:rPr>
          <w:u w:val="single"/>
        </w:rPr>
        <w:t>Dh</w:t>
      </w:r>
      <w:r w:rsidRPr="008F03E5">
        <w:t>abíḥ</w:t>
      </w:r>
      <w:r w:rsidRPr="008F03E5">
        <w:rPr>
          <w:rFonts w:eastAsia="PMingLiU"/>
          <w:lang w:eastAsia="zh-TW"/>
        </w:rPr>
        <w:t>u’lláh</w:t>
      </w:r>
      <w:r w:rsidRPr="008F03E5">
        <w:t xml:space="preserve"> </w:t>
      </w:r>
      <w:r w:rsidRPr="008F03E5">
        <w:rPr>
          <w:rFonts w:eastAsia="PMingLiU"/>
          <w:lang w:eastAsia="zh-TW"/>
        </w:rPr>
        <w:t>Gul-Mu</w:t>
      </w:r>
      <w:r w:rsidRPr="008F03E5">
        <w:t>ḥ</w:t>
      </w:r>
      <w:r w:rsidRPr="008F03E5">
        <w:rPr>
          <w:rFonts w:eastAsia="PMingLiU"/>
          <w:lang w:eastAsia="zh-TW"/>
        </w:rPr>
        <w:t>ammadí</w:t>
      </w:r>
      <w:r w:rsidRPr="008F03E5">
        <w:t xml:space="preserve"> or Pers. Zabíḥu’lláh </w:t>
      </w:r>
      <w:r w:rsidRPr="008F03E5">
        <w:rPr>
          <w:rFonts w:eastAsia="PMingLiU"/>
          <w:lang w:eastAsia="zh-TW"/>
        </w:rPr>
        <w:t>Gulmu</w:t>
      </w:r>
      <w:r w:rsidRPr="008F03E5">
        <w:t>ḥ</w:t>
      </w:r>
      <w:r w:rsidRPr="008F03E5">
        <w:rPr>
          <w:rFonts w:eastAsia="PMingLiU"/>
          <w:lang w:eastAsia="zh-TW"/>
        </w:rPr>
        <w:t>ammadí</w:t>
      </w:r>
    </w:p>
    <w:p w14:paraId="5594C165" w14:textId="77777777" w:rsidR="00625A5B" w:rsidRPr="004707AC" w:rsidRDefault="00625A5B" w:rsidP="004707AC">
      <w:pPr>
        <w:pStyle w:val="Translit"/>
      </w:pPr>
      <w:bookmarkStart w:id="76" w:name="_Hlk60745699"/>
      <w:r w:rsidRPr="008F03E5">
        <w:t>Gulnar (Golnar)</w:t>
      </w:r>
      <w:r w:rsidRPr="008F03E5">
        <w:tab/>
        <w:t>Gulnár</w:t>
      </w:r>
      <w:r w:rsidRPr="008F03E5">
        <w:tab/>
        <w:t>(for gul+anár) pomegranate flowers; sour cherry</w:t>
      </w:r>
      <w:r>
        <w:t xml:space="preserve">.  </w:t>
      </w:r>
      <w:r w:rsidRPr="007A0F51">
        <w:t>Gülnar</w:t>
      </w:r>
      <w:r>
        <w:t xml:space="preserve"> (Azerbaijani, Turkish), pseudonym of </w:t>
      </w:r>
      <w:r w:rsidRPr="0070704A">
        <w:t>Olga Sergeyevna Lebedeva (1854–193?), translator, linguist and Orientalist (first Russian woman) from the Russian Empire.</w:t>
      </w:r>
    </w:p>
    <w:bookmarkEnd w:id="76"/>
    <w:p w14:paraId="46CC1170" w14:textId="77777777" w:rsidR="00625A5B" w:rsidRPr="008F03E5" w:rsidRDefault="00625A5B" w:rsidP="00E06C94">
      <w:pPr>
        <w:pStyle w:val="Translit"/>
        <w:rPr>
          <w:b/>
          <w:bCs/>
        </w:rPr>
      </w:pPr>
      <w:r w:rsidRPr="008F03E5">
        <w:t>Gulpayigan, Gulpayagan (Gulpayegan)</w:t>
      </w:r>
      <w:r w:rsidRPr="008F03E5">
        <w:tab/>
        <w:t>Gulpáyigán, Gulpáyagán, Gulpáygán</w:t>
      </w:r>
      <w:r w:rsidRPr="008F03E5">
        <w:tab/>
        <w:t>Pers. (Bahá’ís use Gulpaygan) “fortress of flowers”, “land of red tulips” or “land of red flowers” (supposedly derived from sar-zamín-i-gul-háy</w:t>
      </w:r>
      <w:r>
        <w:t>-</w:t>
      </w:r>
      <w:r w:rsidRPr="008F03E5">
        <w:t>i-sur</w:t>
      </w:r>
      <w:r w:rsidRPr="008F03E5">
        <w:rPr>
          <w:u w:val="single"/>
        </w:rPr>
        <w:t>kh</w:t>
      </w:r>
      <w:r w:rsidRPr="008F03E5">
        <w:t xml:space="preserve">, “land, tulips/flowers, red”).  Gulpáyigán is a city (33.457344, 50.288305) in and the capital of Gulpáyigán County, Isfahan Province, Iran (about 160 km </w:t>
      </w:r>
      <w:r w:rsidRPr="008F03E5">
        <w:rPr>
          <w:sz w:val="16"/>
          <w:szCs w:val="16"/>
        </w:rPr>
        <w:t>NW</w:t>
      </w:r>
      <w:r w:rsidRPr="008F03E5">
        <w:t xml:space="preserve"> of Isfahan).  See Abu’l-Faḍl.</w:t>
      </w:r>
    </w:p>
    <w:p w14:paraId="1DC5D60C" w14:textId="77777777" w:rsidR="00625A5B" w:rsidRPr="008F03E5" w:rsidRDefault="00625A5B" w:rsidP="00EC711F">
      <w:pPr>
        <w:pStyle w:val="Translit"/>
      </w:pPr>
      <w:r w:rsidRPr="008F03E5">
        <w:t>Gulpayigani</w:t>
      </w:r>
      <w:r w:rsidRPr="008F03E5">
        <w:tab/>
        <w:t>Gulpáyigání</w:t>
      </w:r>
      <w:r w:rsidRPr="008F03E5">
        <w:tab/>
        <w:t>from or of Gulpáyigán.  Siyyid Muḥammad-i-Gulpáyigání, pen-name Ṭá’ir, styled Fatá’l-Malíḥ by Ṭáhirih.  Mullá Ibráhím-i-Gulpáyigání was martyred.  See Abu’l-Faḍl and Ka</w:t>
      </w:r>
      <w:r w:rsidRPr="008F03E5">
        <w:rPr>
          <w:u w:val="single"/>
        </w:rPr>
        <w:t>sh</w:t>
      </w:r>
      <w:r w:rsidRPr="008F03E5">
        <w:t>f al-</w:t>
      </w:r>
      <w:r w:rsidRPr="008F03E5">
        <w:rPr>
          <w:u w:val="single"/>
        </w:rPr>
        <w:t>Gh</w:t>
      </w:r>
      <w:r w:rsidRPr="008F03E5">
        <w:t>iṭá’.</w:t>
      </w:r>
    </w:p>
    <w:p w14:paraId="49B15477" w14:textId="77777777" w:rsidR="00625A5B" w:rsidRPr="008F03E5" w:rsidRDefault="00625A5B" w:rsidP="00815597">
      <w:pPr>
        <w:pStyle w:val="Translit"/>
      </w:pPr>
      <w:r w:rsidRPr="00D45A23">
        <w:rPr>
          <w:lang w:val="it-IT"/>
        </w:rPr>
        <w:t>Gul-Saba</w:t>
      </w:r>
      <w:r w:rsidRPr="00D45A23">
        <w:rPr>
          <w:lang w:val="it-IT"/>
        </w:rPr>
        <w:tab/>
        <w:t>Gul-Sabá</w:t>
      </w:r>
      <w:r w:rsidRPr="00D45A23">
        <w:rPr>
          <w:lang w:val="it-IT"/>
        </w:rPr>
        <w:tab/>
        <w:t xml:space="preserve">Pers. </w:t>
      </w:r>
      <w:r w:rsidRPr="008F03E5">
        <w:t>Sheba rose</w:t>
      </w:r>
    </w:p>
    <w:p w14:paraId="3302255C" w14:textId="77777777" w:rsidR="00625A5B" w:rsidRPr="008F03E5" w:rsidRDefault="00625A5B" w:rsidP="008338D4">
      <w:pPr>
        <w:pStyle w:val="Translit"/>
      </w:pPr>
      <w:r w:rsidRPr="008F03E5">
        <w:t>Gulshan (Golshan)</w:t>
      </w:r>
      <w:r w:rsidRPr="008F03E5">
        <w:tab/>
        <w:t>Gul</w:t>
      </w:r>
      <w:r w:rsidRPr="008F03E5">
        <w:rPr>
          <w:u w:val="single"/>
        </w:rPr>
        <w:t>sh</w:t>
      </w:r>
      <w:r w:rsidRPr="008F03E5">
        <w:t>án</w:t>
      </w:r>
      <w:r w:rsidRPr="008F03E5">
        <w:tab/>
        <w:t>Pers. a rose or flower-garden; a bed of roses or flowers; a delightful spot; a place where a person enjoys himself; a pleasure-palace; florid, cheerful, agreeable.  Former name of Ṭabas—city in South Khorasan Province, Iran.</w:t>
      </w:r>
    </w:p>
    <w:p w14:paraId="746002E0" w14:textId="77777777" w:rsidR="00625A5B" w:rsidRPr="008F03E5" w:rsidRDefault="00625A5B" w:rsidP="000C379F">
      <w:pPr>
        <w:pStyle w:val="Translit"/>
      </w:pPr>
      <w:r w:rsidRPr="008F03E5">
        <w:t>Gulshani</w:t>
      </w:r>
      <w:r w:rsidRPr="008F03E5">
        <w:tab/>
        <w:t>Gul</w:t>
      </w:r>
      <w:r w:rsidRPr="008F03E5">
        <w:rPr>
          <w:u w:val="single"/>
        </w:rPr>
        <w:t>sh</w:t>
      </w:r>
      <w:r w:rsidRPr="008F03E5">
        <w:t>aní</w:t>
      </w:r>
      <w:r w:rsidRPr="008F03E5">
        <w:tab/>
        <w:t>a Sufi order founded by Ibráhím al-Gul</w:t>
      </w:r>
      <w:r w:rsidRPr="008F03E5">
        <w:rPr>
          <w:u w:val="single"/>
        </w:rPr>
        <w:t>sh</w:t>
      </w:r>
      <w:r w:rsidRPr="008F03E5">
        <w:t>aní, an influential Sufi shaykh from Azerbaijan</w:t>
      </w:r>
    </w:p>
    <w:p w14:paraId="225B3E04" w14:textId="77777777" w:rsidR="00625A5B" w:rsidRPr="008F03E5" w:rsidRDefault="00625A5B" w:rsidP="003E3B5E">
      <w:pPr>
        <w:pStyle w:val="Translit"/>
      </w:pPr>
      <w:r w:rsidRPr="008F03E5">
        <w:t>Gulu, Galu</w:t>
      </w:r>
      <w:r w:rsidRPr="008F03E5">
        <w:tab/>
        <w:t>Gulú, Galú</w:t>
      </w:r>
      <w:r w:rsidRPr="008F03E5">
        <w:tab/>
        <w:t>Pers. the neck, gullet, throat; the wind-pipe; the voice</w:t>
      </w:r>
    </w:p>
    <w:p w14:paraId="2166F5D9" w14:textId="77777777" w:rsidR="00625A5B" w:rsidRPr="008F03E5" w:rsidRDefault="00625A5B" w:rsidP="003E3B5E">
      <w:pPr>
        <w:pStyle w:val="Translit"/>
      </w:pPr>
      <w:r w:rsidRPr="008F03E5">
        <w:t>Gumruk, Gamarik</w:t>
      </w:r>
      <w:r w:rsidRPr="008F03E5">
        <w:tab/>
        <w:t>Gumruk, pl. Gamárik</w:t>
      </w:r>
      <w:r w:rsidRPr="008F03E5">
        <w:tab/>
        <w:t>customs; customhouse</w:t>
      </w:r>
    </w:p>
    <w:p w14:paraId="05F249DF" w14:textId="77777777" w:rsidR="00625A5B" w:rsidRPr="008F03E5" w:rsidRDefault="00625A5B" w:rsidP="0078395C">
      <w:pPr>
        <w:pStyle w:val="Translit"/>
      </w:pPr>
      <w:r w:rsidRPr="008F03E5">
        <w:t>Gunabad (Gonabad)</w:t>
      </w:r>
      <w:r w:rsidRPr="008F03E5">
        <w:tab/>
        <w:t>Gunábád</w:t>
      </w:r>
      <w:r w:rsidRPr="008F03E5">
        <w:tab/>
        <w:t xml:space="preserve">city 225 km </w:t>
      </w:r>
      <w:r w:rsidRPr="008F03E5">
        <w:rPr>
          <w:sz w:val="16"/>
          <w:szCs w:val="16"/>
        </w:rPr>
        <w:t>SW</w:t>
      </w:r>
      <w:r w:rsidRPr="008F03E5">
        <w:t xml:space="preserve"> of Ma</w:t>
      </w:r>
      <w:r w:rsidRPr="008F03E5">
        <w:rPr>
          <w:u w:val="single"/>
        </w:rPr>
        <w:t>sh</w:t>
      </w:r>
      <w:r w:rsidRPr="008F03E5">
        <w:t>had, Khurasan province</w:t>
      </w:r>
    </w:p>
    <w:p w14:paraId="3B08A0CA" w14:textId="77777777" w:rsidR="00625A5B" w:rsidRPr="008F03E5" w:rsidRDefault="00625A5B" w:rsidP="00EC1C1C">
      <w:pPr>
        <w:pStyle w:val="Translit"/>
      </w:pPr>
      <w:r w:rsidRPr="00EC1C1C">
        <w:t>Gundishapur, Jund-i-Shapur</w:t>
      </w:r>
      <w:r w:rsidRPr="00EC1C1C">
        <w:tab/>
        <w:t>Gundí</w:t>
      </w:r>
      <w:r w:rsidRPr="00EC1C1C">
        <w:rPr>
          <w:u w:val="single"/>
        </w:rPr>
        <w:t>sh</w:t>
      </w:r>
      <w:r w:rsidRPr="00EC1C1C">
        <w:t>ápúr (Ar. Jundaysábúr)</w:t>
      </w:r>
      <w:r w:rsidRPr="00EC1C1C">
        <w:tab/>
        <w:t>(“Gundeshapur”; Jund-i-</w:t>
      </w:r>
      <w:r w:rsidRPr="00EC1C1C">
        <w:rPr>
          <w:u w:val="single"/>
        </w:rPr>
        <w:t>Sh</w:t>
      </w:r>
      <w:r w:rsidRPr="00EC1C1C">
        <w:t xml:space="preserve">ápúr) city ruins (32.286493, 48.514108) of what was once a major city of the Persian empire, 2 km south of the village of Islámábád (Eslamabad, or </w:t>
      </w:r>
      <w:r w:rsidRPr="00EC1C1C">
        <w:rPr>
          <w:u w:val="single"/>
        </w:rPr>
        <w:t>Sh</w:t>
      </w:r>
      <w:r w:rsidRPr="00EC1C1C">
        <w:t xml:space="preserve">áhábád), which is 12 km </w:t>
      </w:r>
      <w:r w:rsidRPr="00EC1C1C">
        <w:rPr>
          <w:sz w:val="16"/>
          <w:szCs w:val="16"/>
        </w:rPr>
        <w:t>SE</w:t>
      </w:r>
      <w:r w:rsidRPr="00EC1C1C">
        <w:t xml:space="preserve"> of Dizfúl (Dezful)</w:t>
      </w:r>
      <w:r>
        <w:t xml:space="preserve">; </w:t>
      </w:r>
      <w:r w:rsidRPr="00EC1C1C">
        <w:t>in Khuzestan province</w:t>
      </w:r>
      <w:r>
        <w:t>.</w:t>
      </w:r>
    </w:p>
    <w:p w14:paraId="550D48BD" w14:textId="77777777" w:rsidR="00625A5B" w:rsidRPr="008F03E5" w:rsidRDefault="00625A5B" w:rsidP="005D0F08">
      <w:pPr>
        <w:pStyle w:val="Translit"/>
      </w:pPr>
      <w:r w:rsidRPr="008F03E5">
        <w:t>Gunjishk</w:t>
      </w:r>
      <w:r w:rsidRPr="008F03E5">
        <w:tab/>
        <w:t>Gunji</w:t>
      </w:r>
      <w:r w:rsidRPr="008F03E5">
        <w:rPr>
          <w:u w:val="single"/>
        </w:rPr>
        <w:t>sh</w:t>
      </w:r>
      <w:r w:rsidRPr="008F03E5">
        <w:t>k</w:t>
      </w:r>
      <w:r w:rsidRPr="008F03E5">
        <w:tab/>
        <w:t xml:space="preserve">Pers. a sparrow; a chick; any small bird.  gáf or káf (kafara, “renounce”) + nún (nazih, “purify”) + jím (jánib, “draw back”) + </w:t>
      </w:r>
      <w:r w:rsidRPr="008F03E5">
        <w:rPr>
          <w:u w:val="single"/>
        </w:rPr>
        <w:t>sh</w:t>
      </w:r>
      <w:r w:rsidRPr="008F03E5">
        <w:t>ín (u</w:t>
      </w:r>
      <w:r w:rsidRPr="008F03E5">
        <w:rPr>
          <w:u w:val="single"/>
        </w:rPr>
        <w:t>sh</w:t>
      </w:r>
      <w:r w:rsidRPr="008F03E5">
        <w:t xml:space="preserve">’kur, “thank”, “be grateful”) + káf (kafara)—see </w:t>
      </w:r>
      <w:r w:rsidRPr="008F03E5">
        <w:rPr>
          <w:i/>
          <w:iCs/>
        </w:rPr>
        <w:t>The Seven Valleys</w:t>
      </w:r>
      <w:r w:rsidRPr="008F03E5">
        <w:t xml:space="preserve"> 1st edn.</w:t>
      </w:r>
    </w:p>
    <w:p w14:paraId="79AC4EF4" w14:textId="77777777" w:rsidR="00625A5B" w:rsidRPr="008F03E5" w:rsidRDefault="00625A5B" w:rsidP="0007437A">
      <w:pPr>
        <w:pStyle w:val="Translit"/>
      </w:pPr>
      <w:r w:rsidRPr="008F03E5">
        <w:t>Guran</w:t>
      </w:r>
      <w:r w:rsidRPr="008F03E5">
        <w:tab/>
        <w:t>Gúrán</w:t>
      </w:r>
      <w:r w:rsidRPr="008F03E5">
        <w:tab/>
        <w:t xml:space="preserve">Pers. the rendezvous of an army; an assembly-room; rice browned in the oven.  A village (33.297500, 49.758333) in Lorestan Province, 174 km </w:t>
      </w:r>
      <w:r w:rsidRPr="008F03E5">
        <w:rPr>
          <w:sz w:val="16"/>
          <w:szCs w:val="16"/>
        </w:rPr>
        <w:t>SW</w:t>
      </w:r>
      <w:r w:rsidRPr="008F03E5">
        <w:t xml:space="preserve"> of Ká</w:t>
      </w:r>
      <w:r w:rsidRPr="008F03E5">
        <w:rPr>
          <w:u w:val="single"/>
        </w:rPr>
        <w:t>sh</w:t>
      </w:r>
      <w:r w:rsidRPr="008F03E5">
        <w:t>án.</w:t>
      </w:r>
    </w:p>
    <w:p w14:paraId="625DCDBD" w14:textId="77777777" w:rsidR="00625A5B" w:rsidRPr="008F03E5" w:rsidRDefault="00625A5B" w:rsidP="00161A1D">
      <w:pPr>
        <w:pStyle w:val="Translit"/>
      </w:pPr>
      <w:r w:rsidRPr="008F03E5">
        <w:t>Gurgin (Gurgan, Gorgan), Jurjan</w:t>
      </w:r>
      <w:r w:rsidRPr="008F03E5">
        <w:tab/>
        <w:t>Gurgín or Gurgán, Jurján</w:t>
      </w:r>
      <w:r w:rsidRPr="008F03E5">
        <w:tab/>
        <w:t>city near the Caspian Sea (formerly Astrabád or Astarábád), east of Sárí (36.844352, 54.442692)</w:t>
      </w:r>
    </w:p>
    <w:p w14:paraId="43AAC977" w14:textId="77777777" w:rsidR="00625A5B" w:rsidRPr="008F03E5" w:rsidRDefault="00625A5B" w:rsidP="00900A82">
      <w:pPr>
        <w:pStyle w:val="Translit"/>
      </w:pPr>
      <w:r w:rsidRPr="008F03E5">
        <w:t>Gurgin Khan</w:t>
      </w:r>
      <w:r w:rsidRPr="008F03E5">
        <w:tab/>
        <w:t xml:space="preserve">Gurgín </w:t>
      </w:r>
      <w:r w:rsidRPr="008F03E5">
        <w:rPr>
          <w:u w:val="single"/>
        </w:rPr>
        <w:t>Kh</w:t>
      </w:r>
      <w:r w:rsidRPr="008F03E5">
        <w:t>án</w:t>
      </w:r>
      <w:r w:rsidRPr="008F03E5">
        <w:tab/>
        <w:t>nephew and successor of Governor Manú</w:t>
      </w:r>
      <w:r w:rsidRPr="008F03E5">
        <w:rPr>
          <w:u w:val="single"/>
        </w:rPr>
        <w:t>ch</w:t>
      </w:r>
      <w:r w:rsidRPr="008F03E5">
        <w:t xml:space="preserve">ihr </w:t>
      </w:r>
      <w:r w:rsidRPr="008F03E5">
        <w:rPr>
          <w:u w:val="single"/>
        </w:rPr>
        <w:t>Kh</w:t>
      </w:r>
      <w:r w:rsidRPr="008F03E5">
        <w:t>án in Iṣfahán.</w:t>
      </w:r>
    </w:p>
    <w:p w14:paraId="09FFB319" w14:textId="77777777" w:rsidR="00625A5B" w:rsidRPr="008F03E5" w:rsidRDefault="00625A5B" w:rsidP="00474457">
      <w:pPr>
        <w:pStyle w:val="Translit"/>
        <w:rPr>
          <w:rFonts w:eastAsia="PMingLiU"/>
          <w:lang w:eastAsia="zh-TW"/>
        </w:rPr>
      </w:pPr>
      <w:r w:rsidRPr="008F03E5">
        <w:rPr>
          <w:rFonts w:eastAsia="PMingLiU"/>
          <w:lang w:eastAsia="zh-TW"/>
        </w:rPr>
        <w:t>Gusha</w:t>
      </w:r>
      <w:r w:rsidRPr="008F03E5">
        <w:rPr>
          <w:rFonts w:eastAsia="PMingLiU"/>
          <w:lang w:eastAsia="zh-TW"/>
        </w:rPr>
        <w:tab/>
        <w:t>Gu</w:t>
      </w:r>
      <w:r w:rsidRPr="008F03E5">
        <w:rPr>
          <w:rFonts w:eastAsia="PMingLiU"/>
          <w:u w:val="single"/>
          <w:lang w:eastAsia="zh-TW"/>
        </w:rPr>
        <w:t>sh</w:t>
      </w:r>
      <w:r w:rsidRPr="008F03E5">
        <w:rPr>
          <w:rFonts w:eastAsia="PMingLiU"/>
          <w:lang w:eastAsia="zh-TW"/>
        </w:rPr>
        <w:t>á</w:t>
      </w:r>
      <w:r w:rsidRPr="008F03E5">
        <w:rPr>
          <w:rFonts w:eastAsia="PMingLiU"/>
          <w:lang w:eastAsia="zh-TW"/>
        </w:rPr>
        <w:tab/>
        <w:t>Pers. opening, loosening, solving</w:t>
      </w:r>
    </w:p>
    <w:p w14:paraId="318689E5" w14:textId="77777777" w:rsidR="00625A5B" w:rsidRPr="008F03E5" w:rsidRDefault="00625A5B" w:rsidP="006123D3">
      <w:pPr>
        <w:pStyle w:val="Translit"/>
      </w:pPr>
      <w:r w:rsidRPr="008F03E5">
        <w:t>Gusht, Gosht</w:t>
      </w:r>
      <w:r w:rsidRPr="008F03E5">
        <w:tab/>
        <w:t>Gú</w:t>
      </w:r>
      <w:r w:rsidRPr="008F03E5">
        <w:rPr>
          <w:u w:val="single"/>
        </w:rPr>
        <w:t>sh</w:t>
      </w:r>
      <w:r w:rsidRPr="008F03E5">
        <w:t>t</w:t>
      </w:r>
      <w:r w:rsidRPr="008F03E5">
        <w:tab/>
        <w:t>Pers. flesh, meat; pulp of fruit</w:t>
      </w:r>
    </w:p>
    <w:p w14:paraId="1164D86E" w14:textId="77777777" w:rsidR="00625A5B" w:rsidRPr="008F03E5" w:rsidRDefault="00625A5B" w:rsidP="00A86589">
      <w:pPr>
        <w:pStyle w:val="Translit"/>
      </w:pPr>
      <w:r w:rsidRPr="008F03E5">
        <w:rPr>
          <w:rFonts w:eastAsia="PMingLiU"/>
          <w:lang w:eastAsia="zh-TW"/>
        </w:rPr>
        <w:t>Gushtasb, Gushasb</w:t>
      </w:r>
      <w:r w:rsidRPr="008F03E5">
        <w:tab/>
      </w:r>
      <w:r w:rsidRPr="008F03E5">
        <w:rPr>
          <w:rFonts w:eastAsia="PMingLiU"/>
          <w:lang w:eastAsia="zh-TW"/>
        </w:rPr>
        <w:t>Gu</w:t>
      </w:r>
      <w:r w:rsidRPr="008F03E5">
        <w:rPr>
          <w:u w:val="single"/>
        </w:rPr>
        <w:t>sh</w:t>
      </w:r>
      <w:r w:rsidRPr="008F03E5">
        <w:rPr>
          <w:rFonts w:eastAsia="PMingLiU"/>
          <w:lang w:eastAsia="zh-TW"/>
        </w:rPr>
        <w:t>tásb, Gu</w:t>
      </w:r>
      <w:r w:rsidRPr="008F03E5">
        <w:rPr>
          <w:rFonts w:eastAsia="PMingLiU"/>
          <w:u w:val="single"/>
          <w:lang w:eastAsia="zh-TW"/>
        </w:rPr>
        <w:t>sh</w:t>
      </w:r>
      <w:r w:rsidRPr="008F03E5">
        <w:t>á</w:t>
      </w:r>
      <w:r w:rsidRPr="008F03E5">
        <w:rPr>
          <w:rFonts w:eastAsia="PMingLiU"/>
          <w:lang w:eastAsia="zh-TW"/>
        </w:rPr>
        <w:t>sb (also Gu</w:t>
      </w:r>
      <w:r w:rsidRPr="008F03E5">
        <w:rPr>
          <w:u w:val="single"/>
        </w:rPr>
        <w:t>sh</w:t>
      </w:r>
      <w:r w:rsidRPr="008F03E5">
        <w:rPr>
          <w:rFonts w:eastAsia="PMingLiU"/>
          <w:lang w:eastAsia="zh-TW"/>
        </w:rPr>
        <w:t>tásp)</w:t>
      </w:r>
      <w:r w:rsidRPr="008F03E5">
        <w:tab/>
        <w:t>Pers. an ancient king of Persia (Darius Hystaspes)</w:t>
      </w:r>
    </w:p>
    <w:p w14:paraId="64CFBD50" w14:textId="77777777" w:rsidR="00625A5B" w:rsidRPr="008F03E5" w:rsidRDefault="00625A5B" w:rsidP="00C57283">
      <w:pPr>
        <w:pStyle w:val="Translit"/>
      </w:pPr>
      <w:r w:rsidRPr="008F03E5">
        <w:t>Guzel (Guzal</w:t>
      </w:r>
      <w:r>
        <w:t>, Ghuzal</w:t>
      </w:r>
      <w:r w:rsidRPr="008F03E5">
        <w:t>)</w:t>
      </w:r>
      <w:r w:rsidRPr="008F03E5">
        <w:tab/>
        <w:t>G</w:t>
      </w:r>
      <w:r w:rsidRPr="00C57283">
        <w:t>ü</w:t>
      </w:r>
      <w:r w:rsidRPr="008F03E5">
        <w:t>zel (Guzal)</w:t>
      </w:r>
      <w:r w:rsidRPr="008F03E5">
        <w:tab/>
        <w:t xml:space="preserve">Turkish “beautiful” (Persian </w:t>
      </w:r>
      <w:r w:rsidRPr="008F03E5">
        <w:rPr>
          <w:rFonts w:eastAsia="Times New Roman"/>
        </w:rPr>
        <w:t>zíbá</w:t>
      </w:r>
      <w:r w:rsidRPr="008F03E5">
        <w:t xml:space="preserve">)  </w:t>
      </w:r>
      <w:r>
        <w:t>M</w:t>
      </w:r>
      <w:r w:rsidRPr="00C57283">
        <w:t>í</w:t>
      </w:r>
      <w:r>
        <w:t>rz</w:t>
      </w:r>
      <w:r w:rsidRPr="00C57283">
        <w:t>á</w:t>
      </w:r>
      <w:r>
        <w:t xml:space="preserve"> </w:t>
      </w:r>
      <w:r w:rsidRPr="008F03E5">
        <w:t>‘Ádí-Guzal</w:t>
      </w:r>
      <w:r>
        <w:t>-i-</w:t>
      </w:r>
      <w:r w:rsidRPr="008F03E5">
        <w:t>Mará</w:t>
      </w:r>
      <w:r w:rsidRPr="008F03E5">
        <w:rPr>
          <w:u w:val="single"/>
        </w:rPr>
        <w:t>gh</w:t>
      </w:r>
      <w:r w:rsidRPr="008F03E5">
        <w:t xml:space="preserve">ih’í, </w:t>
      </w:r>
      <w:r>
        <w:t>the messenger (</w:t>
      </w:r>
      <w:r w:rsidRPr="008F03E5">
        <w:t>Sayyáh</w:t>
      </w:r>
      <w:r>
        <w:t>) for the Báb</w:t>
      </w:r>
      <w:r w:rsidRPr="008F03E5">
        <w:t xml:space="preserve">, </w:t>
      </w:r>
      <w:r>
        <w:t xml:space="preserve">hence the title </w:t>
      </w:r>
      <w:r w:rsidRPr="00C57283">
        <w:t>‘Alíy-i-Sayyáḥ</w:t>
      </w:r>
      <w:r w:rsidRPr="008F03E5">
        <w:t xml:space="preserve"> (Mírzá ‘Alíy-i-Sayyáḥ-i-Mará</w:t>
      </w:r>
      <w:r w:rsidRPr="008F03E5">
        <w:rPr>
          <w:u w:val="single"/>
        </w:rPr>
        <w:t>gh</w:t>
      </w:r>
      <w:r w:rsidRPr="008F03E5">
        <w:t>ihí).</w:t>
      </w:r>
    </w:p>
    <w:p w14:paraId="109E9F99" w14:textId="77777777" w:rsidR="00625A5B" w:rsidRPr="008F03E5" w:rsidRDefault="00625A5B" w:rsidP="0094665F">
      <w:pPr>
        <w:pStyle w:val="Translit"/>
      </w:pPr>
      <w:r w:rsidRPr="008F03E5">
        <w:t>Gyawur-Kyuy</w:t>
      </w:r>
      <w:r w:rsidRPr="008F03E5">
        <w:tab/>
        <w:t>Gyáwur-Kyuy</w:t>
      </w:r>
      <w:r w:rsidRPr="008F03E5">
        <w:tab/>
        <w:t>probably the Turkish village of Güneyli Köyü (“Southern Village”), 11 km north of Gallipoli</w:t>
      </w:r>
    </w:p>
    <w:p w14:paraId="305D7BE3" w14:textId="77777777" w:rsidR="00625A5B" w:rsidRPr="00077779" w:rsidRDefault="00625A5B" w:rsidP="0024326A">
      <w:pPr>
        <w:pStyle w:val="Myhead"/>
      </w:pPr>
      <w:bookmarkStart w:id="77" w:name="H"/>
      <w:r w:rsidRPr="00077779">
        <w:t>H</w:t>
      </w:r>
      <w:bookmarkEnd w:id="77"/>
    </w:p>
    <w:p w14:paraId="0D667C00" w14:textId="77777777" w:rsidR="00625A5B" w:rsidRPr="00077779" w:rsidRDefault="00625A5B" w:rsidP="007A076C">
      <w:pPr>
        <w:pStyle w:val="Translit"/>
      </w:pPr>
      <w:r w:rsidRPr="00077779">
        <w:t>Ha, Ha’at</w:t>
      </w:r>
      <w:r w:rsidRPr="00077779">
        <w:tab/>
        <w:t>Há’, pl. Ha’át</w:t>
      </w:r>
      <w:r w:rsidRPr="00077779">
        <w:tab/>
        <w:t>name of the thirty-first letter (</w:t>
      </w:r>
      <w:r w:rsidRPr="008F03E5">
        <w:rPr>
          <w:rtl/>
        </w:rPr>
        <w:t>ه</w:t>
      </w:r>
      <w:r w:rsidRPr="00077779">
        <w:t xml:space="preserve">) of the </w:t>
      </w:r>
      <w:r w:rsidRPr="00077779">
        <w:rPr>
          <w:rFonts w:eastAsia="Times New Roman"/>
        </w:rPr>
        <w:t>Arabic-Persian alphabet, i</w:t>
      </w:r>
      <w:r w:rsidRPr="00077779">
        <w:t xml:space="preserve">t is a slight aspirate, like the </w:t>
      </w:r>
      <w:r w:rsidRPr="00077779">
        <w:rPr>
          <w:i/>
          <w:iCs/>
        </w:rPr>
        <w:t>h</w:t>
      </w:r>
      <w:r w:rsidRPr="00077779">
        <w:t xml:space="preserve"> in “hope”</w:t>
      </w:r>
    </w:p>
    <w:p w14:paraId="2FAFB8E2" w14:textId="77777777" w:rsidR="00625A5B" w:rsidRPr="008F03E5" w:rsidRDefault="00625A5B" w:rsidP="00C74C06">
      <w:pPr>
        <w:pStyle w:val="Translit"/>
      </w:pPr>
      <w:r w:rsidRPr="008F03E5">
        <w:t>Ha, Had, Hadihi, Hadi, Ha’ula’i, Hadani</w:t>
      </w:r>
      <w:r w:rsidRPr="008F03E5">
        <w:tab/>
        <w:t>Há</w:t>
      </w:r>
      <w:r w:rsidRPr="008F03E5">
        <w:tab/>
        <w:t xml:space="preserve">look! there!  </w:t>
      </w:r>
      <w:r w:rsidRPr="008F03E5">
        <w:rPr>
          <w:i/>
          <w:iCs/>
        </w:rPr>
        <w:t>há huwa</w:t>
      </w:r>
      <w:r w:rsidRPr="008F03E5">
        <w:t xml:space="preserve"> look, there he is!  </w:t>
      </w:r>
      <w:r w:rsidRPr="008F03E5">
        <w:rPr>
          <w:i/>
          <w:iCs/>
        </w:rPr>
        <w:t>há antum</w:t>
      </w:r>
      <w:r w:rsidRPr="008F03E5">
        <w:t xml:space="preserve"> you there!  as a prefix (mostly written defectively):  </w:t>
      </w:r>
      <w:r w:rsidRPr="008F03E5">
        <w:rPr>
          <w:i/>
          <w:iCs/>
        </w:rPr>
        <w:t>hádá</w:t>
      </w:r>
      <w:r w:rsidRPr="008F03E5">
        <w:t xml:space="preserve">, f. </w:t>
      </w:r>
      <w:r w:rsidRPr="008F03E5">
        <w:rPr>
          <w:i/>
          <w:iCs/>
        </w:rPr>
        <w:t>hádihí</w:t>
      </w:r>
      <w:r w:rsidRPr="008F03E5">
        <w:t xml:space="preserve">, </w:t>
      </w:r>
      <w:r w:rsidRPr="008F03E5">
        <w:rPr>
          <w:i/>
          <w:iCs/>
        </w:rPr>
        <w:t>hádí</w:t>
      </w:r>
      <w:r w:rsidRPr="008F03E5">
        <w:t xml:space="preserve">,—pl. </w:t>
      </w:r>
      <w:r w:rsidRPr="008F03E5">
        <w:rPr>
          <w:i/>
          <w:iCs/>
        </w:rPr>
        <w:t>há’ulá’i</w:t>
      </w:r>
      <w:r w:rsidRPr="008F03E5">
        <w:t xml:space="preserve">, dual m. </w:t>
      </w:r>
      <w:r w:rsidRPr="008F03E5">
        <w:rPr>
          <w:i/>
          <w:iCs/>
        </w:rPr>
        <w:t>hádání</w:t>
      </w:r>
      <w:r w:rsidRPr="008F03E5">
        <w:t xml:space="preserve">, f. </w:t>
      </w:r>
      <w:r w:rsidRPr="008F03E5">
        <w:rPr>
          <w:i/>
          <w:iCs/>
        </w:rPr>
        <w:t>hátáni</w:t>
      </w:r>
      <w:r w:rsidRPr="008F03E5">
        <w:t xml:space="preserve"> this one, this</w:t>
      </w:r>
    </w:p>
    <w:p w14:paraId="03548860" w14:textId="77777777" w:rsidR="00625A5B" w:rsidRPr="008F03E5" w:rsidRDefault="00625A5B" w:rsidP="007A076C">
      <w:pPr>
        <w:pStyle w:val="Translit"/>
      </w:pPr>
      <w:r w:rsidRPr="008F03E5">
        <w:t>Ha’</w:t>
      </w:r>
      <w:r w:rsidRPr="008F03E5">
        <w:tab/>
        <w:t>Ḥa’</w:t>
      </w:r>
      <w:r w:rsidRPr="008F03E5">
        <w:tab/>
        <w:t xml:space="preserve">name of the </w:t>
      </w:r>
      <w:r w:rsidRPr="008F03E5">
        <w:rPr>
          <w:rFonts w:eastAsia="Times New Roman"/>
        </w:rPr>
        <w:t>eighth letter (</w:t>
      </w:r>
      <w:r w:rsidRPr="008F03E5">
        <w:rPr>
          <w:rFonts w:eastAsia="Times New Roman"/>
          <w:rtl/>
        </w:rPr>
        <w:t>ح</w:t>
      </w:r>
      <w:r w:rsidRPr="008F03E5">
        <w:rPr>
          <w:rFonts w:eastAsia="Times New Roman"/>
        </w:rPr>
        <w:t xml:space="preserve">, transcripted as </w:t>
      </w:r>
      <w:r w:rsidRPr="008F03E5">
        <w:t>ḥ</w:t>
      </w:r>
      <w:r w:rsidRPr="008F03E5">
        <w:rPr>
          <w:rFonts w:eastAsia="Times New Roman"/>
        </w:rPr>
        <w:t>) of the Arabic-Persian alphabet, is a strong aspirate generated deep in the throat.</w:t>
      </w:r>
    </w:p>
    <w:p w14:paraId="5D008F48" w14:textId="77777777" w:rsidR="00625A5B" w:rsidRPr="008F03E5" w:rsidRDefault="00625A5B" w:rsidP="00566693">
      <w:pPr>
        <w:pStyle w:val="Translit"/>
      </w:pPr>
      <w:r w:rsidRPr="008F03E5">
        <w:t>Ha’ik, Haka</w:t>
      </w:r>
      <w:r w:rsidRPr="008F03E5">
        <w:tab/>
        <w:t>Ḥá’ik, pl. Ḥáka</w:t>
      </w:r>
      <w:r w:rsidRPr="008F03E5">
        <w:tab/>
        <w:t>weaver; (Moroccan) an outer garment consisting of a long piece of white material, covering body and head</w:t>
      </w:r>
    </w:p>
    <w:p w14:paraId="7985B723" w14:textId="77777777" w:rsidR="00625A5B" w:rsidRPr="008F03E5" w:rsidRDefault="00625A5B" w:rsidP="00566693">
      <w:pPr>
        <w:pStyle w:val="Translit"/>
      </w:pPr>
      <w:r w:rsidRPr="008F03E5">
        <w:rPr>
          <w:rFonts w:eastAsia="Times New Roman"/>
        </w:rPr>
        <w:t>Ha’it (Hait)</w:t>
      </w:r>
      <w:r w:rsidRPr="008F03E5">
        <w:rPr>
          <w:rFonts w:eastAsia="Times New Roman"/>
        </w:rPr>
        <w:tab/>
        <w:t>Ḥá’i</w:t>
      </w:r>
      <w:r w:rsidRPr="008F03E5">
        <w:t>ṭ</w:t>
      </w:r>
      <w:r w:rsidRPr="008F03E5">
        <w:tab/>
        <w:t>w</w:t>
      </w:r>
      <w:r w:rsidRPr="008F03E5">
        <w:rPr>
          <w:rFonts w:eastAsia="Times New Roman"/>
        </w:rPr>
        <w:t>all, enclosure, fence; a garden.  al-Ḥá’i</w:t>
      </w:r>
      <w:r w:rsidRPr="008F03E5">
        <w:t xml:space="preserve">ṭ (25.993191, 40.466906) is a city 191 km </w:t>
      </w:r>
      <w:r w:rsidRPr="008F03E5">
        <w:rPr>
          <w:sz w:val="16"/>
          <w:szCs w:val="16"/>
        </w:rPr>
        <w:t>NNE</w:t>
      </w:r>
      <w:r w:rsidRPr="008F03E5">
        <w:t xml:space="preserve"> of Medina and just to the north of the Fadak oasis.</w:t>
      </w:r>
    </w:p>
    <w:p w14:paraId="19CFC5D5" w14:textId="77777777" w:rsidR="00625A5B" w:rsidRPr="008F03E5" w:rsidRDefault="00625A5B" w:rsidP="00566693">
      <w:pPr>
        <w:pStyle w:val="Translit"/>
      </w:pPr>
      <w:r w:rsidRPr="008F03E5">
        <w:t>Habash, Ahbash</w:t>
      </w:r>
      <w:r w:rsidRPr="008F03E5">
        <w:tab/>
        <w:t>al-Ḥaba</w:t>
      </w:r>
      <w:r w:rsidRPr="008F03E5">
        <w:rPr>
          <w:u w:val="single"/>
        </w:rPr>
        <w:t>sh</w:t>
      </w:r>
      <w:r w:rsidRPr="008F03E5">
        <w:t>, pl. al-Aḥba</w:t>
      </w:r>
      <w:r w:rsidRPr="008F03E5">
        <w:rPr>
          <w:u w:val="single"/>
        </w:rPr>
        <w:t>sh</w:t>
      </w:r>
      <w:r w:rsidRPr="008F03E5">
        <w:tab/>
        <w:t>Abyssinia, Ethiopia;—pl. the Abyssinians, Ethiopians</w:t>
      </w:r>
    </w:p>
    <w:p w14:paraId="52E5497B" w14:textId="77777777" w:rsidR="00625A5B" w:rsidRPr="008F03E5" w:rsidRDefault="00625A5B" w:rsidP="00375052">
      <w:pPr>
        <w:pStyle w:val="Translit"/>
      </w:pPr>
      <w:r w:rsidRPr="008F03E5">
        <w:t>Habashi</w:t>
      </w:r>
      <w:r w:rsidRPr="008F03E5">
        <w:tab/>
        <w:t>Ḥaba</w:t>
      </w:r>
      <w:r w:rsidRPr="008F03E5">
        <w:rPr>
          <w:u w:val="single"/>
        </w:rPr>
        <w:t>sh</w:t>
      </w:r>
      <w:r w:rsidRPr="008F03E5">
        <w:t>í, pl. Aḥbá</w:t>
      </w:r>
      <w:r w:rsidRPr="008F03E5">
        <w:rPr>
          <w:u w:val="single"/>
        </w:rPr>
        <w:t>sh</w:t>
      </w:r>
      <w:r w:rsidRPr="008F03E5">
        <w:tab/>
        <w:t>Abyssinian, Ethiopian</w:t>
      </w:r>
    </w:p>
    <w:p w14:paraId="4140CA00" w14:textId="77777777" w:rsidR="00625A5B" w:rsidRPr="008F03E5" w:rsidRDefault="00625A5B" w:rsidP="00231EF6">
      <w:pPr>
        <w:pStyle w:val="Translit"/>
      </w:pPr>
      <w:r w:rsidRPr="008F03E5">
        <w:t>Habb, Hubub</w:t>
      </w:r>
      <w:r w:rsidRPr="008F03E5">
        <w:tab/>
        <w:t>Ḥabb, pl. Ḥubúb</w:t>
      </w:r>
      <w:r w:rsidRPr="008F03E5">
        <w:tab/>
        <w:t xml:space="preserve">(collective; </w:t>
      </w:r>
      <w:r w:rsidRPr="008F03E5">
        <w:rPr>
          <w:i/>
          <w:iCs/>
        </w:rPr>
        <w:t>nomen unitatis</w:t>
      </w:r>
      <w:r w:rsidRPr="008F03E5">
        <w:t xml:space="preserve"> </w:t>
      </w:r>
      <w:r w:rsidRPr="008F03E5">
        <w:rPr>
          <w:rtl/>
        </w:rPr>
        <w:t>ة</w:t>
      </w:r>
      <w:r w:rsidRPr="008F03E5">
        <w:t>) grains; seed;—pl. grain, cereals, corn; seed(s); grains, kernels; granules; pellets; pills, pastilles; berries; acne, pustules, pimple</w:t>
      </w:r>
    </w:p>
    <w:p w14:paraId="6D92456D" w14:textId="77777777" w:rsidR="00625A5B" w:rsidRPr="008F03E5" w:rsidRDefault="00625A5B" w:rsidP="00231EF6">
      <w:pPr>
        <w:pStyle w:val="Translit"/>
      </w:pPr>
      <w:r w:rsidRPr="00D45A23">
        <w:rPr>
          <w:lang w:val="it-IT"/>
        </w:rPr>
        <w:t>Habba, Habbat</w:t>
      </w:r>
      <w:r w:rsidRPr="00D45A23">
        <w:rPr>
          <w:lang w:val="it-IT"/>
        </w:rPr>
        <w:tab/>
        <w:t xml:space="preserve">Ḥabba[h], pl. </w:t>
      </w:r>
      <w:r w:rsidRPr="008F03E5">
        <w:t>Habbát</w:t>
      </w:r>
      <w:r w:rsidRPr="008F03E5">
        <w:tab/>
        <w:t>(</w:t>
      </w:r>
      <w:r w:rsidRPr="008F03E5">
        <w:rPr>
          <w:i/>
          <w:iCs/>
        </w:rPr>
        <w:t>nomen unitatis</w:t>
      </w:r>
      <w:r w:rsidRPr="008F03E5">
        <w:t>; see also ḥabb) grain, granule; seed; kernel; pill, pastille; berry; pustule, pimple; triviality; a square measure</w:t>
      </w:r>
    </w:p>
    <w:p w14:paraId="1F7E683A" w14:textId="77777777" w:rsidR="00625A5B" w:rsidRPr="008F03E5" w:rsidRDefault="00625A5B" w:rsidP="00566693">
      <w:pPr>
        <w:pStyle w:val="Translit"/>
      </w:pPr>
      <w:r w:rsidRPr="008F03E5">
        <w:t>Habba, Hubb</w:t>
      </w:r>
      <w:r w:rsidRPr="008F03E5">
        <w:tab/>
        <w:t>Ḥabba, Ḥubb</w:t>
      </w:r>
      <w:r w:rsidRPr="008F03E5">
        <w:tab/>
        <w:t xml:space="preserve">to love, like; form </w:t>
      </w:r>
      <w:r w:rsidRPr="008F03E5">
        <w:rPr>
          <w:sz w:val="16"/>
          <w:szCs w:val="16"/>
        </w:rPr>
        <w:t>II</w:t>
      </w:r>
      <w:r w:rsidRPr="008F03E5">
        <w:t xml:space="preserve"> to evoke (in someone), love or a liking (for something or someone); to endear (something to someone), make (something) dear, lovable, attractive (for someone), make (something) palatable, acceptable (to someone); to urge (something on someone), suggest (something to someone)</w:t>
      </w:r>
    </w:p>
    <w:p w14:paraId="4F7135B0" w14:textId="77777777" w:rsidR="00625A5B" w:rsidRPr="008F03E5" w:rsidRDefault="00625A5B" w:rsidP="00A86F0E">
      <w:pPr>
        <w:pStyle w:val="Translit"/>
      </w:pPr>
      <w:r w:rsidRPr="008F03E5">
        <w:t>Habib, Ahibba,</w:t>
      </w:r>
      <w:r w:rsidRPr="008F03E5">
        <w:tab/>
        <w:t>Ḥabíb, pl. Aḥabbá’, Aḥibba[h or t]</w:t>
      </w:r>
      <w:r w:rsidRPr="008F03E5">
        <w:tab/>
        <w:t>beloved, sweetheart, lover; darling; dear one, friend; dear</w:t>
      </w:r>
    </w:p>
    <w:p w14:paraId="452578C1" w14:textId="77777777" w:rsidR="00625A5B" w:rsidRPr="008F03E5" w:rsidRDefault="00625A5B" w:rsidP="0004327B">
      <w:pPr>
        <w:pStyle w:val="Translit"/>
      </w:pPr>
      <w:r w:rsidRPr="00077779">
        <w:rPr>
          <w:lang w:val="fr-FR"/>
        </w:rPr>
        <w:t>Habiba (Habibih, Habibeh), Haba’ib</w:t>
      </w:r>
      <w:r w:rsidRPr="00077779">
        <w:rPr>
          <w:lang w:val="fr-FR"/>
        </w:rPr>
        <w:tab/>
        <w:t xml:space="preserve">Ḥabíba[h or t], pl. </w:t>
      </w:r>
      <w:r w:rsidRPr="008F03E5">
        <w:t>Ḥabá’ib</w:t>
      </w:r>
      <w:r w:rsidRPr="008F03E5">
        <w:tab/>
        <w:t>(fem. of ḥabíb) sweet-heart, darling, beloved woman</w:t>
      </w:r>
    </w:p>
    <w:p w14:paraId="49965975" w14:textId="77777777" w:rsidR="00625A5B" w:rsidRPr="008F03E5" w:rsidRDefault="00625A5B" w:rsidP="00CA033B">
      <w:pPr>
        <w:pStyle w:val="Translit"/>
      </w:pPr>
      <w:r w:rsidRPr="008F03E5">
        <w:t>Habibi</w:t>
      </w:r>
      <w:r w:rsidRPr="008F03E5">
        <w:tab/>
        <w:t>Ḥabíbi</w:t>
      </w:r>
      <w:r w:rsidRPr="008F03E5">
        <w:tab/>
        <w:t>my love</w:t>
      </w:r>
      <w:r>
        <w:t>. my dear</w:t>
      </w:r>
    </w:p>
    <w:p w14:paraId="27F2B313" w14:textId="77777777" w:rsidR="00625A5B" w:rsidRPr="008F03E5" w:rsidRDefault="00625A5B" w:rsidP="00566693">
      <w:pPr>
        <w:pStyle w:val="Translit"/>
      </w:pPr>
      <w:r w:rsidRPr="008F03E5">
        <w:t>Habibu’llah, Ahibba</w:t>
      </w:r>
      <w:r w:rsidRPr="008F03E5">
        <w:tab/>
        <w:t>Ḥabíbu’lláh</w:t>
      </w:r>
      <w:r w:rsidRPr="008F03E5">
        <w:tab/>
        <w:t>“beloved of God”</w:t>
      </w:r>
    </w:p>
    <w:p w14:paraId="24CCA404" w14:textId="77777777" w:rsidR="00625A5B" w:rsidRPr="008F03E5" w:rsidRDefault="00625A5B" w:rsidP="00566693">
      <w:pPr>
        <w:pStyle w:val="Translit"/>
      </w:pPr>
      <w:r w:rsidRPr="008F03E5">
        <w:t>Habibu’llah-i-Afnan</w:t>
      </w:r>
      <w:r w:rsidRPr="008F03E5">
        <w:tab/>
        <w:t>Ḥabíbu’lláh-i-Afnán, Ḥájí Mírzá</w:t>
      </w:r>
      <w:r w:rsidRPr="008F03E5">
        <w:tab/>
      </w:r>
    </w:p>
    <w:p w14:paraId="59BCE533" w14:textId="77777777" w:rsidR="00625A5B" w:rsidRPr="008F03E5" w:rsidRDefault="00625A5B" w:rsidP="00441ABA">
      <w:pPr>
        <w:pStyle w:val="Translit"/>
      </w:pPr>
      <w:r w:rsidRPr="008F03E5">
        <w:t>Habr, Hibr, Ahbar</w:t>
      </w:r>
      <w:r w:rsidRPr="008F03E5">
        <w:tab/>
        <w:t>Ḥabr, Ḥibr, pl. Aḥbár</w:t>
      </w:r>
      <w:r w:rsidRPr="008F03E5">
        <w:tab/>
        <w:t>a non-Muslim religious authority, learned man, scribe; bishop; rabbi.—</w:t>
      </w:r>
      <w:r w:rsidRPr="008F03E5">
        <w:rPr>
          <w:rFonts w:eastAsia="Times New Roman"/>
          <w:i/>
          <w:iCs/>
        </w:rPr>
        <w:t>ḥabr</w:t>
      </w:r>
      <w:r w:rsidRPr="008F03E5">
        <w:rPr>
          <w:rFonts w:eastAsia="Times New Roman"/>
        </w:rPr>
        <w:t xml:space="preserve"> beautifying, adorning; putting ink into an inkstand; making glad; joy, gladness, cheerfulness;—</w:t>
      </w:r>
      <w:r w:rsidRPr="008F03E5">
        <w:rPr>
          <w:rFonts w:eastAsia="Times New Roman"/>
          <w:i/>
          <w:iCs/>
        </w:rPr>
        <w:t>ḥibr</w:t>
      </w:r>
      <w:r w:rsidRPr="008F03E5">
        <w:rPr>
          <w:rFonts w:eastAsia="Times New Roman"/>
        </w:rPr>
        <w:t>, ink; beauty; a sign; signs of joy.</w:t>
      </w:r>
    </w:p>
    <w:p w14:paraId="3EB1B4C3" w14:textId="77777777" w:rsidR="00625A5B" w:rsidRPr="008F03E5" w:rsidRDefault="00625A5B" w:rsidP="00DD45C0">
      <w:pPr>
        <w:pStyle w:val="Translit"/>
      </w:pPr>
      <w:r w:rsidRPr="008F03E5">
        <w:t>Habs, Hubus</w:t>
      </w:r>
      <w:r w:rsidRPr="008F03E5">
        <w:tab/>
        <w:t>Ḥabs, pl. Ḥubús</w:t>
      </w:r>
      <w:r w:rsidRPr="008F03E5">
        <w:tab/>
        <w:t>(act of) holding or keeping back, obstruction, check, repression; blocking off, barring, confinement; damming up, staving off; safekeeping, custody, retention; imprisonment, arrest, detention, jailing;—pl. prison, jail</w:t>
      </w:r>
    </w:p>
    <w:p w14:paraId="42707182" w14:textId="77777777" w:rsidR="00625A5B" w:rsidRPr="008F03E5" w:rsidRDefault="00625A5B" w:rsidP="00566693">
      <w:pPr>
        <w:pStyle w:val="Translit"/>
      </w:pPr>
      <w:r w:rsidRPr="008F03E5">
        <w:t>Hada, Hadihi, Hadi</w:t>
      </w:r>
      <w:r w:rsidRPr="008F03E5">
        <w:tab/>
        <w:t>Hádá, fem. Hádihí, Hádí, pl. Há’ulá’i</w:t>
      </w:r>
      <w:r w:rsidRPr="008F03E5">
        <w:tab/>
        <w:t>this one, this</w:t>
      </w:r>
    </w:p>
    <w:p w14:paraId="6EBF6BCE" w14:textId="77777777" w:rsidR="00625A5B" w:rsidRPr="008F03E5" w:rsidRDefault="00625A5B" w:rsidP="00566693">
      <w:pPr>
        <w:pStyle w:val="Translit"/>
      </w:pPr>
      <w:r w:rsidRPr="008F03E5">
        <w:t xml:space="preserve">Hada, Hadihi, Hadi, </w:t>
      </w:r>
      <w:r w:rsidRPr="008F03E5">
        <w:rPr>
          <w:i/>
          <w:iCs/>
        </w:rPr>
        <w:t>cont.</w:t>
      </w:r>
      <w:r w:rsidRPr="008F03E5">
        <w:tab/>
        <w:t>Hádání dual m., f. Hátáni</w:t>
      </w:r>
    </w:p>
    <w:p w14:paraId="4097A709" w14:textId="77777777" w:rsidR="00625A5B" w:rsidRPr="008F03E5" w:rsidRDefault="00625A5B" w:rsidP="00D54C80">
      <w:pPr>
        <w:pStyle w:val="Translit"/>
      </w:pPr>
      <w:r w:rsidRPr="008F03E5">
        <w:t>Hada, Hadihi, Hadi, Ha’ula’i, Hadani</w:t>
      </w:r>
      <w:r w:rsidRPr="008F03E5">
        <w:tab/>
        <w:t>Hádá (demonstrative pronoun)</w:t>
      </w:r>
      <w:r w:rsidRPr="008F03E5">
        <w:tab/>
        <w:t>fem. hádihí, hádí, dual masc. hádáni, dual fem. hátáni (hatani);—pl. há’ulá’i:  this one, this</w:t>
      </w:r>
    </w:p>
    <w:p w14:paraId="14EFDF03" w14:textId="77777777" w:rsidR="00625A5B" w:rsidRPr="008F03E5" w:rsidRDefault="00625A5B" w:rsidP="00566693">
      <w:pPr>
        <w:pStyle w:val="Translit"/>
      </w:pPr>
      <w:r w:rsidRPr="008F03E5">
        <w:t>Hadatha, Huduth</w:t>
      </w:r>
      <w:r w:rsidRPr="008F03E5">
        <w:tab/>
        <w:t>Ḥada</w:t>
      </w:r>
      <w:r w:rsidRPr="008F03E5">
        <w:rPr>
          <w:u w:val="single"/>
        </w:rPr>
        <w:t>th</w:t>
      </w:r>
      <w:r w:rsidRPr="008F03E5">
        <w:t>a (Ḥudú</w:t>
      </w:r>
      <w:r w:rsidRPr="008F03E5">
        <w:rPr>
          <w:u w:val="single"/>
        </w:rPr>
        <w:t>th</w:t>
      </w:r>
      <w:r w:rsidRPr="008F03E5">
        <w:t>)</w:t>
      </w:r>
      <w:r w:rsidRPr="008F03E5">
        <w:tab/>
        <w:t>to happen, occur, take place, come to pass.  Root of ḥadí</w:t>
      </w:r>
      <w:r w:rsidRPr="008F03E5">
        <w:rPr>
          <w:u w:val="single"/>
        </w:rPr>
        <w:t>th</w:t>
      </w:r>
    </w:p>
    <w:p w14:paraId="514B284B" w14:textId="77777777" w:rsidR="00625A5B" w:rsidRPr="008F03E5" w:rsidRDefault="00625A5B" w:rsidP="00782463">
      <w:pPr>
        <w:pStyle w:val="Translit"/>
      </w:pPr>
      <w:r w:rsidRPr="008F03E5">
        <w:t>Hadba, Ahdab</w:t>
      </w:r>
      <w:r w:rsidRPr="008F03E5">
        <w:tab/>
        <w:t>Ḥadbá’, fem. Aḥdab, pl. Ḥudb</w:t>
      </w:r>
      <w:r w:rsidRPr="008F03E5">
        <w:tab/>
        <w:t>hunchbacked, humped.  The historic Great Mosque of a</w:t>
      </w:r>
      <w:r>
        <w:t>n</w:t>
      </w:r>
      <w:r w:rsidRPr="008F03E5">
        <w:t>-Núrí in Mosul is famous for its leaning minaret which gave the city its nickname “the hunchback” (al-Ḥadbá’).  See root word Ḥadiba</w:t>
      </w:r>
    </w:p>
    <w:p w14:paraId="4B55938C" w14:textId="77777777" w:rsidR="00625A5B" w:rsidRPr="008F03E5" w:rsidRDefault="00625A5B" w:rsidP="00566693">
      <w:pPr>
        <w:pStyle w:val="Translit"/>
      </w:pPr>
      <w:r w:rsidRPr="008F03E5">
        <w:t>Hadd, Hudud</w:t>
      </w:r>
      <w:r w:rsidRPr="008F03E5">
        <w:tab/>
        <w:t>Ḥadd, pl. Ḥudúd</w:t>
      </w:r>
      <w:r w:rsidRPr="008F03E5">
        <w:tab/>
        <w:t>(cutting) edge (of a knife, of a sword); edge, border, brink, brim, verge; border (of a country), boundary, borderline; limit (figurative), the utmost, extremity, termination, end, terminal point, terminus; a (certain) measure, extent, or degree (attained); (mathematics) member (of an equation), term (of a fraction, of a proportion); divine ordinance, divine statute (limit, prohibition or penalty fixed by God); legal punishment (Islamic Law)</w:t>
      </w:r>
    </w:p>
    <w:p w14:paraId="2D0A3495" w14:textId="77777777" w:rsidR="00625A5B" w:rsidRPr="008F03E5" w:rsidRDefault="00625A5B" w:rsidP="00950B20">
      <w:pPr>
        <w:pStyle w:val="Translit"/>
      </w:pPr>
      <w:r w:rsidRPr="008F03E5">
        <w:t>Haddad</w:t>
      </w:r>
      <w:r w:rsidRPr="008F03E5">
        <w:tab/>
        <w:t>Ḥaddád</w:t>
      </w:r>
      <w:r w:rsidRPr="008F03E5">
        <w:tab/>
        <w:t>a</w:t>
      </w:r>
      <w:r w:rsidRPr="008F03E5">
        <w:rPr>
          <w:rFonts w:eastAsia="Times New Roman"/>
        </w:rPr>
        <w:t xml:space="preserve"> smith, a worker in iron, </w:t>
      </w:r>
      <w:r w:rsidRPr="008F03E5">
        <w:t>ironsmith, blacksmith</w:t>
      </w:r>
      <w:r w:rsidRPr="008F03E5">
        <w:rPr>
          <w:rFonts w:eastAsia="Times New Roman"/>
        </w:rPr>
        <w:t xml:space="preserve">; a farrier.  </w:t>
      </w:r>
      <w:r w:rsidRPr="008F03E5">
        <w:t>Anton F. Haddad (1862–1924) was a Lebanese Christian who became a Bahá’í.  He emigrated to the United States in 1892 and was the first Bahá’í there.  Haddad returned to Lebanon in later life where he reportedly became a Protestant Minister.</w:t>
      </w:r>
    </w:p>
    <w:p w14:paraId="7B8FFFFB" w14:textId="77777777" w:rsidR="00625A5B" w:rsidRPr="008F03E5" w:rsidRDefault="00625A5B" w:rsidP="00566693">
      <w:pPr>
        <w:pStyle w:val="Translit"/>
      </w:pPr>
      <w:r w:rsidRPr="008F03E5">
        <w:t>Hadha, Hadhihi, hadhi, Ha’ula’i</w:t>
      </w:r>
      <w:r w:rsidRPr="008F03E5">
        <w:tab/>
        <w:t>Há</w:t>
      </w:r>
      <w:r w:rsidRPr="008F03E5">
        <w:rPr>
          <w:u w:val="single"/>
        </w:rPr>
        <w:t>dh</w:t>
      </w:r>
      <w:r w:rsidRPr="008F03E5">
        <w:t>á (demonstrative pronoun)</w:t>
      </w:r>
      <w:r w:rsidRPr="008F03E5">
        <w:tab/>
        <w:t>fem. há</w:t>
      </w:r>
      <w:r w:rsidRPr="008F03E5">
        <w:rPr>
          <w:u w:val="single"/>
        </w:rPr>
        <w:t>dh</w:t>
      </w:r>
      <w:r w:rsidRPr="008F03E5">
        <w:t>ihí, há</w:t>
      </w:r>
      <w:r w:rsidRPr="008F03E5">
        <w:rPr>
          <w:u w:val="single"/>
        </w:rPr>
        <w:t>dh</w:t>
      </w:r>
      <w:r w:rsidRPr="008F03E5">
        <w:t>í, pl. há’ulá’i, dual m. há</w:t>
      </w:r>
      <w:r w:rsidRPr="008F03E5">
        <w:rPr>
          <w:u w:val="single"/>
        </w:rPr>
        <w:t>dh</w:t>
      </w:r>
      <w:r w:rsidRPr="008F03E5">
        <w:t>áni, fem. hátáni this one, this</w:t>
      </w:r>
    </w:p>
    <w:p w14:paraId="5E5C47CD" w14:textId="77777777" w:rsidR="00625A5B" w:rsidRPr="008F03E5" w:rsidRDefault="00625A5B" w:rsidP="00586B31">
      <w:pPr>
        <w:pStyle w:val="Translit"/>
      </w:pPr>
      <w:r w:rsidRPr="008F03E5">
        <w:t>Hadi, Hadiya</w:t>
      </w:r>
      <w:r w:rsidRPr="008F03E5">
        <w:tab/>
        <w:t>Hádí, fem. Hádíya[h</w:t>
      </w:r>
      <w:r>
        <w:t xml:space="preserve"> or t</w:t>
      </w:r>
      <w:r w:rsidRPr="008F03E5">
        <w:t>]</w:t>
      </w:r>
      <w:r w:rsidRPr="008F03E5">
        <w:tab/>
        <w:t>a director, leader, guide; one who enjoys rest or peace; the neck; head or point of an arrow; an ox in the centre of a threshing-floor, round which the other oxen move when treading out the grain.  ‘Alí ibn Muḥammad al-Hádí (829–868) was the tenth Imám.  He is commonly referred to by the title al-Hádí (the guide to the right path)</w:t>
      </w:r>
      <w:r>
        <w:t>,</w:t>
      </w:r>
      <w:r w:rsidRPr="008F03E5">
        <w:t xml:space="preserve"> and </w:t>
      </w:r>
      <w:r>
        <w:t xml:space="preserve">sometimes as </w:t>
      </w:r>
      <w:r w:rsidRPr="008F03E5">
        <w:t>‘Alí an-Naqí (the pure one).</w:t>
      </w:r>
    </w:p>
    <w:p w14:paraId="153B7AD6" w14:textId="77777777" w:rsidR="00625A5B" w:rsidRPr="008F03E5" w:rsidRDefault="00625A5B" w:rsidP="00566693">
      <w:pPr>
        <w:pStyle w:val="Translit"/>
      </w:pPr>
      <w:r w:rsidRPr="008F03E5">
        <w:t>Hadiba, Hadab</w:t>
      </w:r>
      <w:r w:rsidRPr="008F03E5">
        <w:tab/>
        <w:t>Ḥadiba, (verbal noun Ḥadab)</w:t>
      </w:r>
      <w:r w:rsidRPr="008F03E5">
        <w:tab/>
        <w:t>to be convex, dome-shaped, cambered, bent outward; to be hunchbacked; to be nice, kind, friendly</w:t>
      </w:r>
    </w:p>
    <w:p w14:paraId="25E424C8" w14:textId="77777777" w:rsidR="00625A5B" w:rsidRPr="008F03E5" w:rsidRDefault="00625A5B" w:rsidP="00566693">
      <w:pPr>
        <w:pStyle w:val="Translit"/>
      </w:pPr>
      <w:r w:rsidRPr="008F03E5">
        <w:t>Hadid, Hada’id</w:t>
      </w:r>
      <w:r w:rsidRPr="008F03E5">
        <w:tab/>
        <w:t>Ḥadíd, pl. Ḥadá’id</w:t>
      </w:r>
      <w:r w:rsidRPr="008F03E5">
        <w:tab/>
        <w:t>iron;—pl. iron parts (of a structure); forgings, hardware, ironware</w:t>
      </w:r>
    </w:p>
    <w:p w14:paraId="3C63D99C" w14:textId="77777777" w:rsidR="00625A5B" w:rsidRPr="008F03E5" w:rsidRDefault="00625A5B" w:rsidP="00566693">
      <w:pPr>
        <w:pStyle w:val="Translit"/>
      </w:pPr>
      <w:r w:rsidRPr="008F03E5">
        <w:t>Hadid, Hidad, Ahidda</w:t>
      </w:r>
      <w:r w:rsidRPr="008F03E5">
        <w:tab/>
        <w:t>Ḥadíd, pl. Ḥidád, Aḥiddá’, Aḥidda</w:t>
      </w:r>
      <w:r w:rsidRPr="008F03E5">
        <w:tab/>
        <w:t>sharp (knife, eye, tongue, etc.), keen (mind)</w:t>
      </w:r>
    </w:p>
    <w:p w14:paraId="5D9FFE0D" w14:textId="77777777" w:rsidR="00625A5B" w:rsidRPr="008F03E5" w:rsidRDefault="00625A5B" w:rsidP="00566693">
      <w:pPr>
        <w:pStyle w:val="Translit"/>
      </w:pPr>
      <w:r w:rsidRPr="008F03E5">
        <w:t>Hadin, Hadinun, Huha</w:t>
      </w:r>
      <w:r w:rsidRPr="008F03E5">
        <w:tab/>
        <w:t>Hádin, pl. Hádinún, Hudá[h]</w:t>
      </w:r>
      <w:r w:rsidRPr="008F03E5">
        <w:tab/>
        <w:t>leading, guiding; leader, guide</w:t>
      </w:r>
    </w:p>
    <w:p w14:paraId="5DE22465" w14:textId="77777777" w:rsidR="00625A5B" w:rsidRPr="008F03E5" w:rsidRDefault="00625A5B" w:rsidP="00566693">
      <w:pPr>
        <w:pStyle w:val="Translit"/>
      </w:pPr>
      <w:r w:rsidRPr="008F03E5">
        <w:t>Hadiqat, Hada’iq</w:t>
      </w:r>
      <w:r w:rsidRPr="008F03E5">
        <w:tab/>
        <w:t>Ḥadíqa[h or t], pl. Ḥadá’iq</w:t>
      </w:r>
      <w:r w:rsidRPr="008F03E5">
        <w:tab/>
        <w:t>an enclosed garden; an orchard, a palm-plantation</w:t>
      </w:r>
    </w:p>
    <w:p w14:paraId="479B1134" w14:textId="77777777" w:rsidR="00625A5B" w:rsidRPr="008F03E5" w:rsidRDefault="00625A5B" w:rsidP="005D5C8E">
      <w:pPr>
        <w:pStyle w:val="Translit"/>
      </w:pPr>
      <w:r w:rsidRPr="008F03E5">
        <w:t>Hadiqatu’r-Rahman</w:t>
      </w:r>
      <w:r w:rsidRPr="008F03E5">
        <w:tab/>
        <w:t>Ḥadíqatu’r-Raḥmán</w:t>
      </w:r>
      <w:r w:rsidRPr="008F03E5">
        <w:tab/>
        <w:t>the “Orchard of the Merciful”.  Name given by ‘Abdu’l-Bahá to the burial site (in Ábád</w:t>
      </w:r>
      <w:r>
        <w:t>a</w:t>
      </w:r>
      <w:r w:rsidRPr="008F03E5">
        <w:t>h</w:t>
      </w:r>
      <w:r>
        <w:t xml:space="preserve"> or Abadeh</w:t>
      </w:r>
      <w:r w:rsidRPr="008F03E5">
        <w:t>) of the heads (200?) of the martyrs of Nayríz.</w:t>
      </w:r>
      <w:r>
        <w:t xml:space="preserve">  </w:t>
      </w:r>
      <w:r w:rsidRPr="0079161A">
        <w:rPr>
          <w:sz w:val="16"/>
          <w:szCs w:val="16"/>
        </w:rPr>
        <w:t>NW</w:t>
      </w:r>
      <w:r>
        <w:t xml:space="preserve"> of the city and near the cemetary?  Wrecked by a fanatical mob in 1955.</w:t>
      </w:r>
    </w:p>
    <w:p w14:paraId="22EFE1EB" w14:textId="77777777" w:rsidR="00625A5B" w:rsidRPr="008F03E5" w:rsidRDefault="00625A5B" w:rsidP="004810D5">
      <w:pPr>
        <w:pStyle w:val="Translit"/>
      </w:pPr>
      <w:r w:rsidRPr="008F03E5">
        <w:t>Hadir, Huddar, Hudur, Hadara</w:t>
      </w:r>
      <w:r w:rsidRPr="008F03E5">
        <w:tab/>
        <w:t>Ḥáḍir, pl. Ḥuḍḍar, Ḥuḍúr, Ḥaḍara</w:t>
      </w:r>
      <w:r w:rsidRPr="008F03E5">
        <w:tab/>
        <w:t>present; attending;—(pl. ḥuḍḍár, ḥaḍara) settled, sedentary, resident, village or town dweller, not nomadic.  (pl. ḥuḍúr) presence; visit, participation, attendance.  ḥáḍirihim (their present, hadirihim).  See ḥáẓir</w:t>
      </w:r>
    </w:p>
    <w:p w14:paraId="67BAA8AB" w14:textId="77777777" w:rsidR="00625A5B" w:rsidRPr="008F03E5" w:rsidRDefault="00625A5B" w:rsidP="00566693">
      <w:pPr>
        <w:pStyle w:val="Translit"/>
      </w:pPr>
      <w:r w:rsidRPr="008F03E5">
        <w:t>Hadith, Ahadith</w:t>
      </w:r>
      <w:r w:rsidRPr="008F03E5">
        <w:tab/>
        <w:t>Ḥadí</w:t>
      </w:r>
      <w:r w:rsidRPr="008F03E5">
        <w:rPr>
          <w:u w:val="single"/>
        </w:rPr>
        <w:t>th</w:t>
      </w:r>
      <w:r w:rsidRPr="008F03E5">
        <w:t>, pl. Aḥádí</w:t>
      </w:r>
      <w:r w:rsidRPr="008F03E5">
        <w:rPr>
          <w:u w:val="single"/>
        </w:rPr>
        <w:t>th</w:t>
      </w:r>
      <w:r w:rsidRPr="008F03E5">
        <w:t>, Ḥádi</w:t>
      </w:r>
      <w:r w:rsidRPr="008F03E5">
        <w:rPr>
          <w:u w:val="single"/>
        </w:rPr>
        <w:t>th</w:t>
      </w:r>
      <w:r w:rsidRPr="008F03E5">
        <w:t>án</w:t>
      </w:r>
      <w:r w:rsidRPr="008F03E5">
        <w:tab/>
        <w:t>speech; chat, chitchat, small talk; conversation, talk, discussion; interview; prattle, gossip; report, account, tale, narrative; Prophetic tradition, hadith, narrative relating deeds and utterances of the Prophet and his Companions.  Root of ḥadí</w:t>
      </w:r>
      <w:r w:rsidRPr="008F03E5">
        <w:rPr>
          <w:u w:val="single"/>
        </w:rPr>
        <w:t>th</w:t>
      </w:r>
      <w:r w:rsidRPr="008F03E5">
        <w:t xml:space="preserve"> is ḥada</w:t>
      </w:r>
      <w:r w:rsidRPr="008F03E5">
        <w:rPr>
          <w:u w:val="single"/>
        </w:rPr>
        <w:t>th</w:t>
      </w:r>
      <w:r w:rsidRPr="008F03E5">
        <w:t>a.  Aḥádí</w:t>
      </w:r>
      <w:r w:rsidRPr="008F03E5">
        <w:rPr>
          <w:u w:val="single"/>
        </w:rPr>
        <w:t>th</w:t>
      </w:r>
      <w:r w:rsidRPr="008F03E5">
        <w:t xml:space="preserve"> are the oral sayings of the Prophet Muḥammad and the Imáms.  Two distinct types:  al-Ḥadí</w:t>
      </w:r>
      <w:r w:rsidRPr="008F03E5">
        <w:rPr>
          <w:u w:val="single"/>
        </w:rPr>
        <w:t>th</w:t>
      </w:r>
      <w:r w:rsidRPr="008F03E5">
        <w:t xml:space="preserve"> an-Nabawí and al-Ḥadí</w:t>
      </w:r>
      <w:r w:rsidRPr="008F03E5">
        <w:rPr>
          <w:u w:val="single"/>
        </w:rPr>
        <w:t>th</w:t>
      </w:r>
      <w:r w:rsidRPr="008F03E5">
        <w:t xml:space="preserve"> al-Qudsí.  The former (Prophetic or regular) being restricted to the sayings of Muḥammad (a ḥadí</w:t>
      </w:r>
      <w:r w:rsidRPr="008F03E5">
        <w:rPr>
          <w:u w:val="single"/>
        </w:rPr>
        <w:t>th</w:t>
      </w:r>
      <w:r w:rsidRPr="008F03E5">
        <w:t xml:space="preserve"> where one of the Companions reports Muḥammad’s statements, his deeds, or things that happened in his presence and he approved of them), while the latter (Divine) pertains to the sayings of the Prophet through the medium of Divine inspiration.  Note:  </w:t>
      </w:r>
      <w:r w:rsidRPr="008F03E5">
        <w:rPr>
          <w:rtl/>
        </w:rPr>
        <w:t>الأحاديث</w:t>
      </w:r>
      <w:r w:rsidRPr="008F03E5">
        <w:t xml:space="preserve"> is written al-aḥádí</w:t>
      </w:r>
      <w:r w:rsidRPr="008F03E5">
        <w:rPr>
          <w:u w:val="single"/>
        </w:rPr>
        <w:t>th</w:t>
      </w:r>
      <w:r w:rsidRPr="008F03E5">
        <w:t>.</w:t>
      </w:r>
    </w:p>
    <w:p w14:paraId="7EE5A014" w14:textId="77777777" w:rsidR="00625A5B" w:rsidRPr="008F03E5" w:rsidRDefault="00625A5B" w:rsidP="00566693">
      <w:pPr>
        <w:pStyle w:val="Translit"/>
      </w:pPr>
      <w:r w:rsidRPr="008F03E5">
        <w:t>Hadith, Hawadith</w:t>
      </w:r>
      <w:r w:rsidRPr="008F03E5">
        <w:tab/>
        <w:t>Ḥádi</w:t>
      </w:r>
      <w:r w:rsidRPr="008F03E5">
        <w:rPr>
          <w:u w:val="single"/>
        </w:rPr>
        <w:t>th</w:t>
      </w:r>
      <w:r w:rsidRPr="008F03E5">
        <w:t>, pl. Ḥawádi</w:t>
      </w:r>
      <w:r w:rsidRPr="008F03E5">
        <w:rPr>
          <w:u w:val="single"/>
        </w:rPr>
        <w:t>th</w:t>
      </w:r>
      <w:r w:rsidRPr="008F03E5">
        <w:t>, also Ḥáwádi</w:t>
      </w:r>
      <w:r w:rsidRPr="008F03E5">
        <w:rPr>
          <w:u w:val="single"/>
        </w:rPr>
        <w:t>th</w:t>
      </w:r>
      <w:r w:rsidRPr="008F03E5">
        <w:t>át</w:t>
      </w:r>
      <w:r w:rsidRPr="008F03E5">
        <w:tab/>
        <w:t>occurring, happening, taking place; new, recent; fresh;—(pl.) occurrence, incident, event, happening; episode; case (jurisprudence) accident, mishap</w:t>
      </w:r>
    </w:p>
    <w:p w14:paraId="4A3B180D" w14:textId="77777777" w:rsidR="00625A5B" w:rsidRPr="008F03E5" w:rsidRDefault="00625A5B" w:rsidP="00566693">
      <w:pPr>
        <w:pStyle w:val="Translit"/>
      </w:pPr>
      <w:r w:rsidRPr="008F03E5">
        <w:t>Haditha, Hawadith</w:t>
      </w:r>
      <w:r w:rsidRPr="008F03E5">
        <w:tab/>
        <w:t>Ḥádi</w:t>
      </w:r>
      <w:r w:rsidRPr="008F03E5">
        <w:rPr>
          <w:u w:val="single"/>
        </w:rPr>
        <w:t>th</w:t>
      </w:r>
      <w:r w:rsidRPr="008F03E5">
        <w:t>a, pl. Ḥawádi</w:t>
      </w:r>
      <w:r w:rsidRPr="008F03E5">
        <w:rPr>
          <w:u w:val="single"/>
        </w:rPr>
        <w:t>th</w:t>
      </w:r>
      <w:r w:rsidRPr="008F03E5">
        <w:tab/>
        <w:t>occurrence, event, happening; plot (of a play); incident, episode; accident, mishap</w:t>
      </w:r>
    </w:p>
    <w:p w14:paraId="58167D11" w14:textId="77777777" w:rsidR="00625A5B" w:rsidRPr="008F03E5" w:rsidRDefault="00625A5B" w:rsidP="00566693">
      <w:pPr>
        <w:pStyle w:val="Translit"/>
      </w:pPr>
      <w:r w:rsidRPr="008F03E5">
        <w:t>Hadith-i-Jabir</w:t>
      </w:r>
      <w:r w:rsidRPr="008F03E5">
        <w:tab/>
        <w:t>Ḥadí</w:t>
      </w:r>
      <w:r w:rsidRPr="008F03E5">
        <w:rPr>
          <w:u w:val="single"/>
        </w:rPr>
        <w:t>th</w:t>
      </w:r>
      <w:r w:rsidRPr="008F03E5">
        <w:t>-i-Jábir</w:t>
      </w:r>
      <w:r w:rsidRPr="008F03E5">
        <w:tab/>
        <w:t>ḥadí</w:t>
      </w:r>
      <w:r w:rsidRPr="008F03E5">
        <w:rPr>
          <w:u w:val="single"/>
        </w:rPr>
        <w:t>th</w:t>
      </w:r>
      <w:r w:rsidRPr="008F03E5">
        <w:t xml:space="preserve"> collection by Jábir ibn ‘Abdu’lláh ibn ‘Amr ibn Ḥarám al-Anṣárí, a companion of Muḥammad</w:t>
      </w:r>
    </w:p>
    <w:p w14:paraId="71C8E6EA" w14:textId="77777777" w:rsidR="00625A5B" w:rsidRPr="008F03E5" w:rsidRDefault="00625A5B" w:rsidP="00D302E1">
      <w:pPr>
        <w:pStyle w:val="Translit"/>
      </w:pPr>
      <w:r w:rsidRPr="008F03E5">
        <w:t>Hadiya</w:t>
      </w:r>
      <w:r w:rsidRPr="008F03E5">
        <w:tab/>
        <w:t>Ḥadiya</w:t>
      </w:r>
      <w:r w:rsidRPr="008F03E5">
        <w:tab/>
        <w:t>to remain, stay (at a place), stick (to a place)</w:t>
      </w:r>
    </w:p>
    <w:p w14:paraId="434F94DF" w14:textId="77777777" w:rsidR="00625A5B" w:rsidRPr="008F03E5" w:rsidRDefault="00625A5B" w:rsidP="00360AD3">
      <w:pPr>
        <w:pStyle w:val="Translit"/>
      </w:pPr>
      <w:r w:rsidRPr="004C63A4">
        <w:t>Hadiya, Hadaya</w:t>
      </w:r>
      <w:r w:rsidRPr="004C63A4">
        <w:tab/>
        <w:t>Hadíya[h or t], pl. Hadáyá</w:t>
      </w:r>
      <w:r w:rsidRPr="004C63A4">
        <w:tab/>
        <w:t xml:space="preserve">gift, present, donation; offering, sacrifice.  </w:t>
      </w:r>
      <w:r w:rsidRPr="004C63A4">
        <w:rPr>
          <w:u w:val="single"/>
        </w:rPr>
        <w:t>Sh</w:t>
      </w:r>
      <w:r w:rsidRPr="004C63A4">
        <w:t>ay</w:t>
      </w:r>
      <w:r w:rsidRPr="004C63A4">
        <w:rPr>
          <w:u w:val="single"/>
        </w:rPr>
        <w:t>kh</w:t>
      </w:r>
      <w:r w:rsidRPr="004C63A4">
        <w:t xml:space="preserve"> Aḥmad al-Aḥsá’í, the leader of the </w:t>
      </w:r>
      <w:r w:rsidRPr="004C63A4">
        <w:rPr>
          <w:u w:val="single"/>
        </w:rPr>
        <w:t>Sh</w:t>
      </w:r>
      <w:r w:rsidRPr="004C63A4">
        <w:t>ay</w:t>
      </w:r>
      <w:r w:rsidRPr="004C63A4">
        <w:rPr>
          <w:u w:val="single"/>
        </w:rPr>
        <w:t>kh</w:t>
      </w:r>
      <w:r w:rsidRPr="004C63A4">
        <w:t>ís, died near or in Hadíyah (</w:t>
      </w:r>
      <w:r w:rsidRPr="00360AD3">
        <w:t>25.533724, 38.749921</w:t>
      </w:r>
      <w:r>
        <w:t xml:space="preserve">, </w:t>
      </w:r>
      <w:r w:rsidRPr="004C63A4">
        <w:t>about 145 km NW of Medina) while travelling on pilgrimage to Medina.</w:t>
      </w:r>
    </w:p>
    <w:p w14:paraId="5F0EFE36" w14:textId="77777777" w:rsidR="00625A5B" w:rsidRPr="008F03E5" w:rsidRDefault="00625A5B" w:rsidP="00D54C80">
      <w:pPr>
        <w:pStyle w:val="Translit"/>
      </w:pPr>
      <w:r w:rsidRPr="008F03E5">
        <w:t>Hadiy-i-Dawlat-Abadi</w:t>
      </w:r>
      <w:r w:rsidRPr="008F03E5">
        <w:tab/>
        <w:t>Hádíy-i-Dawlat-Ábádí</w:t>
      </w:r>
      <w:r w:rsidRPr="008F03E5">
        <w:tab/>
      </w:r>
    </w:p>
    <w:p w14:paraId="5D3B373B" w14:textId="77777777" w:rsidR="00625A5B" w:rsidRPr="008F03E5" w:rsidRDefault="00625A5B" w:rsidP="000619E8">
      <w:pPr>
        <w:pStyle w:val="Translit"/>
      </w:pPr>
      <w:r w:rsidRPr="008F03E5">
        <w:t>Hadiy-i-Nahri</w:t>
      </w:r>
      <w:r w:rsidRPr="008F03E5">
        <w:tab/>
        <w:t>Hád</w:t>
      </w:r>
      <w:r w:rsidRPr="000619E8">
        <w:t>í</w:t>
      </w:r>
      <w:r w:rsidRPr="008F03E5">
        <w:t>y-i-Nahrí</w:t>
      </w:r>
      <w:r w:rsidRPr="008F03E5">
        <w:tab/>
        <w:t xml:space="preserve">Mírzá Hádíy-i-Nahrí, uncle of Munírih </w:t>
      </w:r>
      <w:r w:rsidRPr="008F03E5">
        <w:rPr>
          <w:u w:val="single"/>
        </w:rPr>
        <w:t>Kh</w:t>
      </w:r>
      <w:r w:rsidRPr="008F03E5">
        <w:t xml:space="preserve">ánum, married </w:t>
      </w:r>
      <w:r w:rsidRPr="008F03E5">
        <w:rPr>
          <w:u w:val="single"/>
        </w:rPr>
        <w:t>Sh</w:t>
      </w:r>
      <w:r w:rsidRPr="008F03E5">
        <w:t>amsu’ḍ-Ḍuḥá (</w:t>
      </w:r>
      <w:r w:rsidRPr="008F03E5">
        <w:rPr>
          <w:u w:val="single"/>
        </w:rPr>
        <w:t>Kh</w:t>
      </w:r>
      <w:r w:rsidRPr="008F03E5">
        <w:t>ur</w:t>
      </w:r>
      <w:r w:rsidRPr="004C63A4">
        <w:rPr>
          <w:u w:val="single"/>
        </w:rPr>
        <w:t>sh</w:t>
      </w:r>
      <w:r w:rsidRPr="008F03E5">
        <w:t>íd Bagum)</w:t>
      </w:r>
    </w:p>
    <w:p w14:paraId="43C2B590" w14:textId="77777777" w:rsidR="00625A5B" w:rsidRPr="008F03E5" w:rsidRDefault="00625A5B" w:rsidP="00566693">
      <w:pPr>
        <w:pStyle w:val="Translit"/>
      </w:pPr>
      <w:r w:rsidRPr="008F03E5">
        <w:t>Hadiy-i-Qazvini</w:t>
      </w:r>
      <w:r w:rsidRPr="008F03E5">
        <w:tab/>
        <w:t>Hádíy-i-Qazvíní</w:t>
      </w:r>
      <w:r w:rsidRPr="008F03E5">
        <w:tab/>
      </w:r>
    </w:p>
    <w:p w14:paraId="1FBC3B11" w14:textId="77777777" w:rsidR="00625A5B" w:rsidRPr="008F03E5" w:rsidRDefault="00625A5B" w:rsidP="00566693">
      <w:pPr>
        <w:pStyle w:val="Translit"/>
      </w:pPr>
      <w:r w:rsidRPr="008F03E5">
        <w:t>Hadj</w:t>
      </w:r>
      <w:r w:rsidRPr="008F03E5">
        <w:tab/>
        <w:t>Ḥadj</w:t>
      </w:r>
      <w:r w:rsidRPr="008F03E5">
        <w:tab/>
        <w:t>l</w:t>
      </w:r>
      <w:r w:rsidRPr="008F03E5">
        <w:rPr>
          <w:rFonts w:eastAsia="Times New Roman"/>
        </w:rPr>
        <w:t xml:space="preserve">oading a camel (particularly with a </w:t>
      </w:r>
      <w:r w:rsidRPr="008F03E5">
        <w:t>ḥidj</w:t>
      </w:r>
      <w:r w:rsidRPr="008F03E5">
        <w:rPr>
          <w:rFonts w:eastAsia="Times New Roman"/>
        </w:rPr>
        <w:t xml:space="preserve"> (litter); charging a man with fraud</w:t>
      </w:r>
    </w:p>
    <w:p w14:paraId="1332C848" w14:textId="77777777" w:rsidR="00625A5B" w:rsidRPr="008F03E5" w:rsidRDefault="00625A5B" w:rsidP="00566693">
      <w:pPr>
        <w:pStyle w:val="Translit"/>
      </w:pPr>
      <w:r w:rsidRPr="008F03E5">
        <w:t>Hadra (Hadrat), Hazrat</w:t>
      </w:r>
      <w:r w:rsidRPr="008F03E5">
        <w:tab/>
        <w:t>Ḥaḍra[t], Pers. Ḥaẓrat</w:t>
      </w:r>
      <w:r w:rsidRPr="008F03E5">
        <w:tab/>
        <w:t>presence, threshold; dignity; majesty; dominion, power; an epithet often joined with the names of the Deity; also a title by which kings and great men are addressed, similar to majesty, highness, lordship, worship.  Used broadly by mystics as a synonym of ḥuḍúr, “being in the presence [of Alláh]”.  Holiness (‘his excellency’ or ‘his honour’).  Placed before the name of the Manifestation or other figures with a high spiritual station.</w:t>
      </w:r>
    </w:p>
    <w:p w14:paraId="1E3A221D" w14:textId="77777777" w:rsidR="00625A5B" w:rsidRPr="008F03E5" w:rsidRDefault="00625A5B" w:rsidP="005A2AD0">
      <w:pPr>
        <w:pStyle w:val="Translit"/>
      </w:pPr>
      <w:r w:rsidRPr="008F03E5">
        <w:t>Hadramawt (Hadramaut), Hadhramaut</w:t>
      </w:r>
      <w:r w:rsidRPr="008F03E5">
        <w:tab/>
        <w:t>Ḥaḍramawt (Ḥaḍramút)</w:t>
      </w:r>
      <w:r w:rsidRPr="008F03E5">
        <w:tab/>
        <w:t>a region in the south of the Arabian peninsula—part of Yemen (claimed burial place of Húd)</w:t>
      </w:r>
    </w:p>
    <w:p w14:paraId="373B6F9A" w14:textId="77777777" w:rsidR="00625A5B" w:rsidRPr="008F03E5" w:rsidRDefault="00625A5B" w:rsidP="005A2AD0">
      <w:pPr>
        <w:pStyle w:val="Translit"/>
      </w:pPr>
      <w:r w:rsidRPr="008F03E5">
        <w:t>Hadrami, Hadarim</w:t>
      </w:r>
      <w:r w:rsidRPr="008F03E5">
        <w:tab/>
        <w:t>Ḥaḍramí, pl. Ḥaḍárim</w:t>
      </w:r>
      <w:r w:rsidRPr="008F03E5">
        <w:tab/>
        <w:t>man from Hadhramaut; Hadhramautian (adjective)</w:t>
      </w:r>
    </w:p>
    <w:p w14:paraId="7E354234" w14:textId="77777777" w:rsidR="00625A5B" w:rsidRPr="008F03E5" w:rsidRDefault="00625A5B" w:rsidP="005A2AD0">
      <w:pPr>
        <w:pStyle w:val="Translit"/>
      </w:pPr>
      <w:r w:rsidRPr="008F03E5">
        <w:t>Hadrat-i-A’la or Hadrat-i</w:t>
      </w:r>
      <w:r w:rsidRPr="008F03E5">
        <w:rPr>
          <w:rFonts w:eastAsia="PMingLiU"/>
          <w:lang w:eastAsia="zh-TW"/>
        </w:rPr>
        <w:t>-‘</w:t>
      </w:r>
      <w:r w:rsidRPr="008F03E5">
        <w:t>Ala</w:t>
      </w:r>
      <w:r w:rsidRPr="008F03E5">
        <w:tab/>
        <w:t>Ḥaḍrat-i-A‘lá</w:t>
      </w:r>
      <w:r w:rsidRPr="008F03E5">
        <w:tab/>
        <w:t>“His Holiness the Most Exalted One” (a designation of the Báb)</w:t>
      </w:r>
    </w:p>
    <w:p w14:paraId="5C39CE3C" w14:textId="77777777" w:rsidR="00625A5B" w:rsidRPr="008F03E5" w:rsidRDefault="00625A5B" w:rsidP="00CE7A53">
      <w:pPr>
        <w:pStyle w:val="Translit"/>
      </w:pPr>
      <w:r w:rsidRPr="008F03E5">
        <w:t>Hadrat-i-Ghusnu’llahu’l-Athar</w:t>
      </w:r>
      <w:r w:rsidRPr="008F03E5">
        <w:tab/>
        <w:t>Ḥaḍrat-i-</w:t>
      </w:r>
      <w:r w:rsidRPr="008F03E5">
        <w:rPr>
          <w:u w:val="single"/>
        </w:rPr>
        <w:t>Gh</w:t>
      </w:r>
      <w:r w:rsidRPr="008F03E5">
        <w:t>uṣnu’lláhu’l-Aṭhar</w:t>
      </w:r>
      <w:r w:rsidRPr="008F03E5">
        <w:tab/>
        <w:t>“His Holiness, the Most Pure Branch of God”.  Title by A. H. I</w:t>
      </w:r>
      <w:r w:rsidRPr="008F03E5">
        <w:rPr>
          <w:u w:val="single"/>
        </w:rPr>
        <w:t>sh</w:t>
      </w:r>
      <w:r w:rsidRPr="008F03E5">
        <w:t>ráq-</w:t>
      </w:r>
      <w:r w:rsidRPr="008F03E5">
        <w:rPr>
          <w:u w:val="single"/>
        </w:rPr>
        <w:t>Kh</w:t>
      </w:r>
      <w:r w:rsidRPr="008F03E5">
        <w:t>ávarí regarding Mírzá Mihdí (“Purest Branch”).</w:t>
      </w:r>
    </w:p>
    <w:p w14:paraId="30A9ABB0" w14:textId="77777777" w:rsidR="00625A5B" w:rsidRPr="008F03E5" w:rsidRDefault="00625A5B" w:rsidP="00566693">
      <w:pPr>
        <w:pStyle w:val="Translit"/>
      </w:pPr>
      <w:r w:rsidRPr="008F03E5">
        <w:t>Hadrat-i-Mubashshir</w:t>
      </w:r>
      <w:r w:rsidRPr="008F03E5">
        <w:tab/>
        <w:t>Ḥaḍrat-i-Muba</w:t>
      </w:r>
      <w:r w:rsidRPr="008F03E5">
        <w:rPr>
          <w:u w:val="single"/>
        </w:rPr>
        <w:t>shsh</w:t>
      </w:r>
      <w:r w:rsidRPr="008F03E5">
        <w:t>ir</w:t>
      </w:r>
      <w:r w:rsidRPr="008F03E5">
        <w:tab/>
        <w:t>“His holiness the Herald”</w:t>
      </w:r>
    </w:p>
    <w:p w14:paraId="782C5B3F" w14:textId="77777777" w:rsidR="00625A5B" w:rsidRPr="008F03E5" w:rsidRDefault="00625A5B" w:rsidP="006B34F1">
      <w:pPr>
        <w:pStyle w:val="Translit"/>
      </w:pPr>
      <w:r w:rsidRPr="008F03E5">
        <w:t>Hadrat-i-Nuqtiy-i-Bayan</w:t>
      </w:r>
      <w:r w:rsidRPr="008F03E5">
        <w:tab/>
        <w:t>Ḥaḍrat-i-Nuqṭiy-i-Bayán</w:t>
      </w:r>
      <w:r w:rsidRPr="008F03E5">
        <w:tab/>
        <w:t>Pers. His Holiness the Point of the Bayán, i.e. the Báb (Ḥaḍrat an-Nuqṭa al-Bayán)</w:t>
      </w:r>
    </w:p>
    <w:p w14:paraId="58B577B2" w14:textId="77777777" w:rsidR="00625A5B" w:rsidRPr="008F03E5" w:rsidRDefault="00625A5B" w:rsidP="00CE7A53">
      <w:pPr>
        <w:pStyle w:val="Translit"/>
      </w:pPr>
      <w:r w:rsidRPr="008F03E5">
        <w:t>Hadrat-i-Walidah</w:t>
      </w:r>
      <w:r w:rsidRPr="008F03E5">
        <w:tab/>
        <w:t>Ḥaḍrat-i-Wálidah (Ḥaḍrat-i-Válidih)</w:t>
      </w:r>
      <w:r w:rsidRPr="008F03E5">
        <w:tab/>
        <w:t xml:space="preserve">(her eminence, the Mother).  Form of address used by ‘Abdu’l-Bahá in His letters to His mother, Ásíyih </w:t>
      </w:r>
      <w:r w:rsidRPr="008F03E5">
        <w:rPr>
          <w:u w:val="single"/>
        </w:rPr>
        <w:t>Kh</w:t>
      </w:r>
      <w:r w:rsidRPr="008F03E5">
        <w:t>ánum.</w:t>
      </w:r>
    </w:p>
    <w:p w14:paraId="44BDD296" w14:textId="77777777" w:rsidR="00625A5B" w:rsidRPr="008F03E5" w:rsidRDefault="00625A5B" w:rsidP="00566693">
      <w:pPr>
        <w:pStyle w:val="Translit"/>
      </w:pPr>
      <w:r w:rsidRPr="008F03E5">
        <w:t>Hadratu’llah (Hazratu’llah)</w:t>
      </w:r>
      <w:r w:rsidRPr="008F03E5">
        <w:tab/>
        <w:t>Ḥaḍratu’lláh</w:t>
      </w:r>
      <w:r w:rsidRPr="008F03E5">
        <w:tab/>
        <w:t>The Lord God</w:t>
      </w:r>
    </w:p>
    <w:p w14:paraId="4144A60D" w14:textId="77777777" w:rsidR="00625A5B" w:rsidRPr="008F03E5" w:rsidRDefault="00625A5B" w:rsidP="00CE7A53">
      <w:pPr>
        <w:pStyle w:val="Translit"/>
      </w:pPr>
      <w:r w:rsidRPr="008F03E5">
        <w:t>Hafid, Ahfad, Hafada</w:t>
      </w:r>
      <w:r w:rsidRPr="008F03E5">
        <w:tab/>
        <w:t>Ḥafíd, pl. Aḥfád, Ḥafada[h]</w:t>
      </w:r>
      <w:r w:rsidRPr="008F03E5">
        <w:tab/>
        <w:t>grandson; descendant, offspring, scion.  Qur’án 16:74 sons (banín) and grandsons (ḥafadah) [male only]</w:t>
      </w:r>
    </w:p>
    <w:p w14:paraId="01A3073C" w14:textId="77777777" w:rsidR="00625A5B" w:rsidRPr="008F03E5" w:rsidRDefault="00625A5B" w:rsidP="00645E0C">
      <w:pPr>
        <w:pStyle w:val="Translit"/>
      </w:pPr>
      <w:r w:rsidRPr="008F03E5">
        <w:t>Hafiz, Huffaz</w:t>
      </w:r>
      <w:r w:rsidRPr="008F03E5">
        <w:tab/>
        <w:t>Ḥáfiẓ, pl. Ḥuffáz</w:t>
      </w:r>
      <w:r w:rsidRPr="008F03E5">
        <w:tab/>
        <w:t xml:space="preserve">a keeper, preserver, guardian; a commander, governor; the Preserver of all things (God); gifted with a good memory; one who has </w:t>
      </w:r>
      <w:r>
        <w:t>learnt</w:t>
      </w:r>
      <w:r w:rsidRPr="008F03E5">
        <w:t xml:space="preserve"> the whole Qur’án; a blind man (because such fall frequently under the preceding category); master of ḥadí</w:t>
      </w:r>
      <w:r w:rsidRPr="008F03E5">
        <w:rPr>
          <w:u w:val="single"/>
        </w:rPr>
        <w:t>th</w:t>
      </w:r>
      <w:r w:rsidRPr="008F03E5">
        <w:t xml:space="preserve">, known for the large quantity of ḥadíth expertly memorized; pen name of the greatest lyric, mystical poet of Persia, </w:t>
      </w:r>
      <w:r w:rsidRPr="008F03E5">
        <w:rPr>
          <w:u w:val="single"/>
        </w:rPr>
        <w:t>Kh</w:t>
      </w:r>
      <w:r w:rsidRPr="008F03E5">
        <w:t xml:space="preserve">wája </w:t>
      </w:r>
      <w:r w:rsidRPr="008F03E5">
        <w:rPr>
          <w:u w:val="single"/>
        </w:rPr>
        <w:t>Sh</w:t>
      </w:r>
      <w:r w:rsidRPr="008F03E5">
        <w:t>ams a</w:t>
      </w:r>
      <w:r>
        <w:t>d</w:t>
      </w:r>
      <w:r w:rsidRPr="008F03E5">
        <w:t>-Dín Muḥammad Ḥáf</w:t>
      </w:r>
      <w:r>
        <w:t>i</w:t>
      </w:r>
      <w:r w:rsidRPr="008F03E5">
        <w:t>ẓ-i-</w:t>
      </w:r>
      <w:r w:rsidRPr="008F03E5">
        <w:rPr>
          <w:u w:val="single"/>
        </w:rPr>
        <w:t>Sh</w:t>
      </w:r>
      <w:r w:rsidRPr="008F03E5">
        <w:t xml:space="preserve">írází (1320–1390), author of odes in the </w:t>
      </w:r>
      <w:r w:rsidRPr="008F03E5">
        <w:rPr>
          <w:u w:val="single"/>
        </w:rPr>
        <w:t>gh</w:t>
      </w:r>
      <w:r w:rsidRPr="008F03E5">
        <w:t>azal form.  The Tomb of Ḥáfiẓ and its associated memorial hall, the Ḥáfiẓih, are two memorial structures erected in the northern edge of Shiraz, in his memory.</w:t>
      </w:r>
    </w:p>
    <w:p w14:paraId="66593959" w14:textId="77777777" w:rsidR="00625A5B" w:rsidRPr="008F03E5" w:rsidRDefault="00625A5B" w:rsidP="001C372E">
      <w:pPr>
        <w:pStyle w:val="Translit"/>
      </w:pPr>
      <w:r w:rsidRPr="008F03E5">
        <w:t>Hafizu’llah</w:t>
      </w:r>
      <w:r w:rsidRPr="008F03E5">
        <w:tab/>
        <w:t>Ḥáfiẓu’lláh</w:t>
      </w:r>
      <w:r w:rsidRPr="008F03E5">
        <w:tab/>
        <w:t>“Remembrance of God”</w:t>
      </w:r>
    </w:p>
    <w:p w14:paraId="07FA0026" w14:textId="77777777" w:rsidR="00625A5B" w:rsidRPr="008F03E5" w:rsidRDefault="00625A5B" w:rsidP="00566693">
      <w:pPr>
        <w:pStyle w:val="Translit"/>
      </w:pPr>
      <w:r w:rsidRPr="008F03E5">
        <w:t>Hafizu’s-Sihhih</w:t>
      </w:r>
      <w:r w:rsidRPr="008F03E5">
        <w:tab/>
        <w:t>Ḥafiẓu’ṣ-Ṣiḥḥih</w:t>
      </w:r>
      <w:r w:rsidRPr="008F03E5">
        <w:tab/>
        <w:t xml:space="preserve">Mírzá ‘Abdu’r-Rahím </w:t>
      </w:r>
      <w:r w:rsidRPr="008F03E5">
        <w:rPr>
          <w:u w:val="single"/>
        </w:rPr>
        <w:t>Kh</w:t>
      </w:r>
      <w:r w:rsidRPr="008F03E5">
        <w:t xml:space="preserve">án Ḥafiẓu’ṣ-Ṣiḥḥih, </w:t>
      </w:r>
      <w:r w:rsidRPr="008F03E5">
        <w:rPr>
          <w:i/>
          <w:iCs/>
        </w:rPr>
        <w:t>Bahá’í World</w:t>
      </w:r>
      <w:r w:rsidRPr="008F03E5">
        <w:t>, vol. ix, pp. 613–4.</w:t>
      </w:r>
    </w:p>
    <w:p w14:paraId="1CE47791" w14:textId="77777777" w:rsidR="00625A5B" w:rsidRPr="008F03E5" w:rsidRDefault="00625A5B" w:rsidP="004C3CA5">
      <w:pPr>
        <w:pStyle w:val="Translit"/>
      </w:pPr>
      <w:r w:rsidRPr="008F03E5">
        <w:rPr>
          <w:rFonts w:eastAsia="Times New Roman"/>
        </w:rPr>
        <w:t>Hafs, Hafsa</w:t>
      </w:r>
      <w:r w:rsidRPr="008F03E5">
        <w:rPr>
          <w:rFonts w:eastAsia="Times New Roman"/>
        </w:rPr>
        <w:tab/>
        <w:t>Ḥafṣ, fem. Ḥafṣa[h or t]</w:t>
      </w:r>
      <w:r w:rsidRPr="008F03E5">
        <w:rPr>
          <w:rFonts w:eastAsia="Times New Roman"/>
        </w:rPr>
        <w:tab/>
        <w:t xml:space="preserve">collecting, gathering; throwing from the hand; a leathern sack with which they draw earth out of wells; a name given to </w:t>
      </w:r>
      <w:r w:rsidRPr="008F03E5">
        <w:t>‘Umar ibn al-</w:t>
      </w:r>
      <w:r w:rsidRPr="008F03E5">
        <w:rPr>
          <w:u w:val="single"/>
        </w:rPr>
        <w:t>Kh</w:t>
      </w:r>
      <w:r w:rsidRPr="008F03E5">
        <w:t>aṭṭáb</w:t>
      </w:r>
      <w:r w:rsidRPr="008F03E5">
        <w:rPr>
          <w:rFonts w:eastAsia="Times New Roman"/>
        </w:rPr>
        <w:t xml:space="preserve"> by Mu</w:t>
      </w:r>
      <w:r w:rsidRPr="008F03E5">
        <w:t>ḥ</w:t>
      </w:r>
      <w:r w:rsidRPr="008F03E5">
        <w:rPr>
          <w:rFonts w:eastAsia="Times New Roman"/>
        </w:rPr>
        <w:t>ammad.  Ḥafṣah bint ‘Umar, daughter of ‘Umar, married Muḥammad (625) after her husband was killed at Badr in 624.</w:t>
      </w:r>
    </w:p>
    <w:p w14:paraId="03CBAD47" w14:textId="77777777" w:rsidR="00625A5B" w:rsidRPr="00D45A23" w:rsidRDefault="00625A5B" w:rsidP="00566693">
      <w:pPr>
        <w:pStyle w:val="Translit"/>
        <w:rPr>
          <w:lang w:val="de-DE"/>
        </w:rPr>
      </w:pPr>
      <w:r w:rsidRPr="00D45A23">
        <w:rPr>
          <w:lang w:val="de-DE"/>
        </w:rPr>
        <w:t>Haft-Dast</w:t>
      </w:r>
      <w:r w:rsidRPr="00D45A23">
        <w:rPr>
          <w:lang w:val="de-DE"/>
        </w:rPr>
        <w:tab/>
        <w:t>Haft-Dast</w:t>
      </w:r>
      <w:r w:rsidRPr="00D45A23">
        <w:rPr>
          <w:lang w:val="de-DE"/>
        </w:rPr>
        <w:tab/>
        <w:t>Pers. seven hands</w:t>
      </w:r>
    </w:p>
    <w:p w14:paraId="37C327BA" w14:textId="77777777" w:rsidR="00625A5B" w:rsidRPr="00D45A23" w:rsidRDefault="00625A5B" w:rsidP="00FE3049">
      <w:pPr>
        <w:pStyle w:val="Translit"/>
        <w:rPr>
          <w:lang w:val="de-DE"/>
        </w:rPr>
      </w:pPr>
      <w:r w:rsidRPr="00D45A23">
        <w:rPr>
          <w:lang w:val="de-DE"/>
        </w:rPr>
        <w:t>Haft-Sad (Haftsad)</w:t>
      </w:r>
      <w:r w:rsidRPr="00D45A23">
        <w:rPr>
          <w:lang w:val="de-DE"/>
        </w:rPr>
        <w:tab/>
        <w:t>Haft-Ṣad</w:t>
      </w:r>
      <w:r w:rsidRPr="00D45A23">
        <w:rPr>
          <w:lang w:val="de-DE"/>
        </w:rPr>
        <w:tab/>
        <w:t>Pers. (Ar. influence) 700</w:t>
      </w:r>
    </w:p>
    <w:p w14:paraId="54D7E77B" w14:textId="77777777" w:rsidR="00625A5B" w:rsidRPr="00D45A23" w:rsidRDefault="00625A5B" w:rsidP="00FE3049">
      <w:pPr>
        <w:pStyle w:val="Translit"/>
        <w:rPr>
          <w:lang w:val="de-DE"/>
        </w:rPr>
      </w:pPr>
      <w:r w:rsidRPr="00D45A23">
        <w:rPr>
          <w:lang w:val="de-DE"/>
        </w:rPr>
        <w:t>Haft-Vadi</w:t>
      </w:r>
      <w:r w:rsidRPr="00D45A23">
        <w:rPr>
          <w:lang w:val="de-DE"/>
        </w:rPr>
        <w:tab/>
        <w:t>Haft-Vádí</w:t>
      </w:r>
      <w:r w:rsidRPr="00D45A23">
        <w:rPr>
          <w:lang w:val="de-DE"/>
        </w:rPr>
        <w:tab/>
        <w:t xml:space="preserve">“Seven Valleys” by Bahá’u’lláh written in anwer to questions from </w:t>
      </w:r>
      <w:r w:rsidRPr="00D45A23">
        <w:rPr>
          <w:u w:val="single"/>
          <w:lang w:val="de-DE"/>
        </w:rPr>
        <w:t>Sh</w:t>
      </w:r>
      <w:r w:rsidRPr="00D45A23">
        <w:rPr>
          <w:lang w:val="de-DE"/>
        </w:rPr>
        <w:t>ay</w:t>
      </w:r>
      <w:r w:rsidRPr="00D45A23">
        <w:rPr>
          <w:u w:val="single"/>
          <w:lang w:val="de-DE"/>
        </w:rPr>
        <w:t>kh</w:t>
      </w:r>
      <w:r w:rsidRPr="00D45A23">
        <w:rPr>
          <w:lang w:val="de-DE"/>
        </w:rPr>
        <w:t xml:space="preserve"> Muḥyi’d-Dín, the Qáḍí of </w:t>
      </w:r>
      <w:r w:rsidRPr="00D45A23">
        <w:rPr>
          <w:u w:val="single"/>
          <w:lang w:val="de-DE"/>
        </w:rPr>
        <w:t>Kh</w:t>
      </w:r>
      <w:r w:rsidRPr="00D45A23">
        <w:rPr>
          <w:lang w:val="de-DE"/>
        </w:rPr>
        <w:t>ániqayn</w:t>
      </w:r>
    </w:p>
    <w:p w14:paraId="79D83C83" w14:textId="77777777" w:rsidR="00625A5B" w:rsidRPr="008F03E5" w:rsidRDefault="00625A5B" w:rsidP="00AB7533">
      <w:pPr>
        <w:pStyle w:val="Translit"/>
      </w:pPr>
      <w:r w:rsidRPr="008F03E5">
        <w:t>Hahut</w:t>
      </w:r>
      <w:r w:rsidRPr="008F03E5">
        <w:tab/>
        <w:t>Háhút</w:t>
      </w:r>
      <w:r w:rsidRPr="008F03E5">
        <w:tab/>
        <w:t>the level of unknowable divinity; the essence of God unmanifestedt; the “Hidden Mystery”; the “Hidden Treasure”, the Absolute Unknown; the Primal Oneness.  Realm of the “Absolute Unknown”, where God’s essence has been hidden from time immemorial and will continue to remain so for eternity.</w:t>
      </w:r>
      <w:r w:rsidRPr="008F03E5">
        <w:rPr>
          <w:rStyle w:val="FootnoteReference"/>
        </w:rPr>
        <w:footnoteReference w:id="9"/>
      </w:r>
      <w:r w:rsidRPr="008F03E5">
        <w:t xml:space="preserve">  See Láhút, Jabarút, Malakút, and Násút.</w:t>
      </w:r>
    </w:p>
    <w:p w14:paraId="77965DD4" w14:textId="77777777" w:rsidR="00625A5B" w:rsidRPr="008F03E5" w:rsidRDefault="00625A5B" w:rsidP="00287A88">
      <w:pPr>
        <w:pStyle w:val="Translit"/>
      </w:pPr>
      <w:r w:rsidRPr="008F03E5">
        <w:t>Haja, Hajat, Hawa’ij</w:t>
      </w:r>
      <w:r w:rsidRPr="008F03E5">
        <w:tab/>
        <w:t>Ḥája[h or t], pl. Ḥáját</w:t>
      </w:r>
      <w:r w:rsidRPr="008F03E5">
        <w:tab/>
        <w:t>need; necessity, requirement, prerequisite; natural, bodily need; pressing need, neediness, poverty, indigence, destitution; object of need or desire; desire, wish, request; necessary article, requisite; matter, concern, business, job, work; thing, object;—pl. ḥawá’ij needs, necessities, necessaries; everyday objects, effects, belongings, possessions, stuff; clothes, clothing</w:t>
      </w:r>
    </w:p>
    <w:p w14:paraId="5E9A91F6" w14:textId="77777777" w:rsidR="00625A5B" w:rsidRPr="008F03E5" w:rsidRDefault="00625A5B" w:rsidP="002851E5">
      <w:pPr>
        <w:pStyle w:val="Translit"/>
      </w:pPr>
      <w:r w:rsidRPr="00077779">
        <w:rPr>
          <w:lang w:val="es-ES_tradnl"/>
        </w:rPr>
        <w:t>Hajar al-Aswad</w:t>
      </w:r>
      <w:r w:rsidRPr="00077779">
        <w:rPr>
          <w:lang w:val="es-ES_tradnl"/>
        </w:rPr>
        <w:tab/>
        <w:t>al-Ḥajar al-Aswad</w:t>
      </w:r>
      <w:r w:rsidRPr="00077779">
        <w:rPr>
          <w:lang w:val="es-ES_tradnl"/>
        </w:rPr>
        <w:tab/>
        <w:t xml:space="preserve">Pers. al-Ḥajaru’l-Aswad.  </w:t>
      </w:r>
      <w:r w:rsidRPr="008F03E5">
        <w:t>the Black Stone in the eastern corner of the Ka‘ba at Mecca.  Size about 160 (6.3”) × 200 (7.9”) mm.</w:t>
      </w:r>
    </w:p>
    <w:p w14:paraId="6ADE859F" w14:textId="77777777" w:rsidR="00625A5B" w:rsidRPr="008F03E5" w:rsidRDefault="00625A5B" w:rsidP="00566693">
      <w:pPr>
        <w:pStyle w:val="Translit"/>
      </w:pPr>
      <w:r w:rsidRPr="008F03E5">
        <w:t>Hajar</w:t>
      </w:r>
      <w:r w:rsidRPr="008F03E5">
        <w:tab/>
        <w:t>Hájar</w:t>
      </w:r>
      <w:r w:rsidRPr="008F03E5">
        <w:tab/>
        <w:t>Hagar, wife of Abraham and the mother of Ismá‘íl</w:t>
      </w:r>
    </w:p>
    <w:p w14:paraId="75B91D3E" w14:textId="77777777" w:rsidR="00625A5B" w:rsidRPr="008F03E5" w:rsidRDefault="00625A5B" w:rsidP="00566693">
      <w:pPr>
        <w:pStyle w:val="Translit"/>
      </w:pPr>
      <w:r w:rsidRPr="00077779">
        <w:rPr>
          <w:lang w:val="es-ES_tradnl"/>
        </w:rPr>
        <w:t>Hajar, Hijarat, Ahjar, Hijar</w:t>
      </w:r>
      <w:r w:rsidRPr="00077779">
        <w:rPr>
          <w:lang w:val="es-ES_tradnl"/>
        </w:rPr>
        <w:tab/>
        <w:t xml:space="preserve">Ḥajar, pl. </w:t>
      </w:r>
      <w:r w:rsidRPr="008F03E5">
        <w:t>Ḥijára[t], Aḥjár, Ḥijár</w:t>
      </w:r>
      <w:r w:rsidRPr="008F03E5">
        <w:tab/>
        <w:t>stone; the philosopher’s stone; weight (placed as an equipoise on the scale of a balance)</w:t>
      </w:r>
    </w:p>
    <w:p w14:paraId="59A3D6B9" w14:textId="77777777" w:rsidR="00625A5B" w:rsidRPr="008F03E5" w:rsidRDefault="00625A5B" w:rsidP="00566693">
      <w:pPr>
        <w:pStyle w:val="Translit"/>
      </w:pPr>
      <w:r w:rsidRPr="008F03E5">
        <w:t>Hajara, Hajr, Hijran</w:t>
      </w:r>
      <w:r w:rsidRPr="008F03E5">
        <w:tab/>
        <w:t>Hajara, Hajr, Hijrán</w:t>
      </w:r>
      <w:r w:rsidRPr="008F03E5">
        <w:tab/>
        <w:t>to emigrate; to dissociate oneself, separate, part, secede, keep away</w:t>
      </w:r>
    </w:p>
    <w:p w14:paraId="7D715324" w14:textId="77777777" w:rsidR="00625A5B" w:rsidRDefault="00625A5B" w:rsidP="00AE17B3">
      <w:pPr>
        <w:pStyle w:val="Translit"/>
      </w:pPr>
      <w:r>
        <w:t>Haji Abad, Hajiabad, Hajjiabad</w:t>
      </w:r>
      <w:r>
        <w:tab/>
      </w:r>
      <w:r w:rsidRPr="008F03E5">
        <w:t>Ḥájí</w:t>
      </w:r>
      <w:r>
        <w:t xml:space="preserve"> </w:t>
      </w:r>
      <w:r w:rsidRPr="00FC674B">
        <w:t>Á</w:t>
      </w:r>
      <w:r>
        <w:t>b</w:t>
      </w:r>
      <w:r w:rsidRPr="00FC674B">
        <w:t>á</w:t>
      </w:r>
      <w:r>
        <w:t>d</w:t>
      </w:r>
      <w:r>
        <w:tab/>
        <w:t>Pers. a small village (</w:t>
      </w:r>
      <w:r w:rsidRPr="00FC674B">
        <w:t>34.34059</w:t>
      </w:r>
      <w:r>
        <w:t>8</w:t>
      </w:r>
      <w:r w:rsidRPr="00FC674B">
        <w:t>, 47.351340</w:t>
      </w:r>
      <w:r>
        <w:t xml:space="preserve">) 25 km east of Kirmanshah.  This may be the meeting place (Tadj Abad) mentioned by </w:t>
      </w:r>
      <w:r w:rsidRPr="00936349">
        <w:t xml:space="preserve">A. L. M. Nicolas, </w:t>
      </w:r>
      <w:r w:rsidRPr="008F38ED">
        <w:rPr>
          <w:i/>
          <w:iCs/>
        </w:rPr>
        <w:t>Essai sur le Chéikhisme</w:t>
      </w:r>
      <w:r w:rsidRPr="00936349">
        <w:t>, I, p. 30</w:t>
      </w:r>
      <w:r>
        <w:t>, and DB, p. 13</w:t>
      </w:r>
      <w:r w:rsidRPr="00936349">
        <w:t>.</w:t>
      </w:r>
    </w:p>
    <w:p w14:paraId="7F8F8768" w14:textId="77777777" w:rsidR="00625A5B" w:rsidRPr="008F03E5" w:rsidRDefault="00625A5B" w:rsidP="004942C5">
      <w:pPr>
        <w:pStyle w:val="Translit"/>
      </w:pPr>
      <w:r w:rsidRPr="008F03E5">
        <w:t>Haji Baba Afshar</w:t>
      </w:r>
      <w:r w:rsidRPr="008F03E5">
        <w:tab/>
        <w:t>Ḥájí Bábá Af</w:t>
      </w:r>
      <w:r w:rsidRPr="008F03E5">
        <w:rPr>
          <w:u w:val="single"/>
        </w:rPr>
        <w:t>sh</w:t>
      </w:r>
      <w:r w:rsidRPr="008F03E5">
        <w:t>ár</w:t>
      </w:r>
      <w:r w:rsidRPr="008F03E5">
        <w:tab/>
        <w:t xml:space="preserve">He was one of the first medical practitioners in Iran who studied modern medicine in Europe.  Although he stayed for eight years in England, he did not receive a degree.  Upon return to Iran in 1819 he was the court physician under the Crown Prince, who later became Muḥammad </w:t>
      </w:r>
      <w:r w:rsidRPr="008F03E5">
        <w:rPr>
          <w:u w:val="single"/>
        </w:rPr>
        <w:t>Sh</w:t>
      </w:r>
      <w:r w:rsidRPr="008F03E5">
        <w:t xml:space="preserve">áh Qájár (r. 1834–1848).  He may have been an inspiration for the best-selling novels, </w:t>
      </w:r>
      <w:r w:rsidRPr="008F03E5">
        <w:rPr>
          <w:i/>
          <w:iCs/>
        </w:rPr>
        <w:t>The Adventures of Hajji Baba of Ispahan</w:t>
      </w:r>
      <w:r w:rsidRPr="008F03E5">
        <w:t xml:space="preserve"> (1824) and </w:t>
      </w:r>
      <w:r w:rsidRPr="008F03E5">
        <w:rPr>
          <w:i/>
          <w:iCs/>
        </w:rPr>
        <w:t>The Adventures of Hajji Baba of Ispahan</w:t>
      </w:r>
      <w:r w:rsidRPr="008F03E5">
        <w:t xml:space="preserve"> </w:t>
      </w:r>
      <w:r w:rsidRPr="008F03E5">
        <w:rPr>
          <w:i/>
          <w:iCs/>
        </w:rPr>
        <w:t>in England</w:t>
      </w:r>
      <w:r w:rsidRPr="008F03E5">
        <w:t xml:space="preserve"> (1828), by James Justinian Morier.  See Íl</w:t>
      </w:r>
      <w:r w:rsidRPr="008F03E5">
        <w:rPr>
          <w:u w:val="single"/>
        </w:rPr>
        <w:t>ch</w:t>
      </w:r>
      <w:r w:rsidRPr="008F03E5">
        <w:t>í.</w:t>
      </w:r>
    </w:p>
    <w:p w14:paraId="404AA03C" w14:textId="77777777" w:rsidR="00625A5B" w:rsidRPr="008F03E5" w:rsidRDefault="00625A5B" w:rsidP="00566693">
      <w:pPr>
        <w:pStyle w:val="Translit"/>
      </w:pPr>
      <w:r w:rsidRPr="008F03E5">
        <w:t>Haji Shah-Muhammad</w:t>
      </w:r>
      <w:r w:rsidRPr="008F03E5">
        <w:tab/>
        <w:t xml:space="preserve">Ḥájí </w:t>
      </w:r>
      <w:r w:rsidRPr="008F03E5">
        <w:rPr>
          <w:u w:val="single"/>
        </w:rPr>
        <w:t>Sh</w:t>
      </w:r>
      <w:r w:rsidRPr="008F03E5">
        <w:t>áh-Muḥammad</w:t>
      </w:r>
      <w:r w:rsidRPr="008F03E5">
        <w:tab/>
        <w:t xml:space="preserve">Ḥájí </w:t>
      </w:r>
      <w:r w:rsidRPr="008F03E5">
        <w:rPr>
          <w:u w:val="single"/>
        </w:rPr>
        <w:t>Sh</w:t>
      </w:r>
      <w:r w:rsidRPr="008F03E5">
        <w:t>áh-Muḥammad Man</w:t>
      </w:r>
      <w:r w:rsidRPr="008F03E5">
        <w:rPr>
          <w:u w:val="single"/>
        </w:rPr>
        <w:t>sh</w:t>
      </w:r>
      <w:r w:rsidRPr="008F03E5">
        <w:t>adí, Amín’l-Bayán (Trustee of Ḥuqúqu’lláh)</w:t>
      </w:r>
    </w:p>
    <w:p w14:paraId="09F1F697" w14:textId="77777777" w:rsidR="00625A5B" w:rsidRPr="008F03E5" w:rsidRDefault="00625A5B" w:rsidP="00D13794">
      <w:pPr>
        <w:pStyle w:val="Translit"/>
      </w:pPr>
      <w:r w:rsidRPr="008F03E5">
        <w:t>Hajib, Hujjab</w:t>
      </w:r>
      <w:r w:rsidRPr="008F03E5">
        <w:tab/>
        <w:t>Ḥájib, pl. Ḥujjáb, Ḥajaba</w:t>
      </w:r>
      <w:r w:rsidRPr="008F03E5">
        <w:tab/>
        <w:t>concealing, screening, protecting; doorman, gatekeeper; court official, equivalent to a chamberlain.  Classical Arabic grammarian ‘U</w:t>
      </w:r>
      <w:r w:rsidRPr="008F03E5">
        <w:rPr>
          <w:u w:val="single"/>
        </w:rPr>
        <w:t>th</w:t>
      </w:r>
      <w:r w:rsidRPr="008F03E5">
        <w:t>mán ibn ‘Umar ibn al-Ḥájib, author of grammars a</w:t>
      </w:r>
      <w:r w:rsidRPr="00D13794">
        <w:rPr>
          <w:u w:val="single"/>
        </w:rPr>
        <w:t>sh</w:t>
      </w:r>
      <w:r w:rsidRPr="008F03E5">
        <w:t>-</w:t>
      </w:r>
      <w:r w:rsidRPr="008F03E5">
        <w:rPr>
          <w:u w:val="single"/>
        </w:rPr>
        <w:t>Sh</w:t>
      </w:r>
      <w:r w:rsidRPr="008F03E5">
        <w:t>áfíya and al-Káfíya.</w:t>
      </w:r>
    </w:p>
    <w:p w14:paraId="228DBBB3" w14:textId="77777777" w:rsidR="00625A5B" w:rsidRPr="008F03E5" w:rsidRDefault="00625A5B" w:rsidP="00171300">
      <w:pPr>
        <w:pStyle w:val="Translit"/>
      </w:pPr>
      <w:r w:rsidRPr="008F03E5">
        <w:t>Hajibu’d-Dawla</w:t>
      </w:r>
      <w:r>
        <w:t xml:space="preserve"> (</w:t>
      </w:r>
      <w:r w:rsidRPr="008F03E5">
        <w:t>Hajibu’d-Dawl</w:t>
      </w:r>
      <w:r>
        <w:t>i</w:t>
      </w:r>
      <w:r w:rsidRPr="008F03E5">
        <w:t>h</w:t>
      </w:r>
      <w:r>
        <w:t>)</w:t>
      </w:r>
      <w:r w:rsidRPr="008F03E5">
        <w:tab/>
        <w:t>Ḥájibu’d-Dawla</w:t>
      </w:r>
      <w:r w:rsidRPr="008F03E5">
        <w:tab/>
        <w:t>grand usher.  Title given to the “bloodthirsty fiend”</w:t>
      </w:r>
      <w:r>
        <w:t xml:space="preserve"> (GPB</w:t>
      </w:r>
      <w:r w:rsidRPr="008F03E5">
        <w:t xml:space="preserve"> </w:t>
      </w:r>
      <w:r>
        <w:t xml:space="preserve">p. 83), </w:t>
      </w:r>
      <w:r w:rsidRPr="008F03E5">
        <w:t xml:space="preserve">Ḥájí ‘Alí </w:t>
      </w:r>
      <w:r w:rsidRPr="008F03E5">
        <w:rPr>
          <w:u w:val="single"/>
        </w:rPr>
        <w:t>Kh</w:t>
      </w:r>
      <w:r w:rsidRPr="008F03E5">
        <w:t>án Muqaddam Mará</w:t>
      </w:r>
      <w:r w:rsidRPr="008F03E5">
        <w:rPr>
          <w:u w:val="single"/>
        </w:rPr>
        <w:t>gh</w:t>
      </w:r>
      <w:r w:rsidRPr="008F03E5">
        <w:t>a’í (1807–1867).</w:t>
      </w:r>
    </w:p>
    <w:p w14:paraId="32668863" w14:textId="77777777" w:rsidR="00625A5B" w:rsidRPr="008F03E5" w:rsidRDefault="00625A5B" w:rsidP="00566693">
      <w:pPr>
        <w:pStyle w:val="Translit"/>
      </w:pPr>
      <w:r w:rsidRPr="008F03E5">
        <w:t>Hajipur</w:t>
      </w:r>
      <w:r w:rsidRPr="008F03E5">
        <w:tab/>
        <w:t>Ḥájípúr (Ḥájí + Púr)</w:t>
      </w:r>
      <w:r w:rsidRPr="008F03E5">
        <w:tab/>
        <w:t>Pers. Mr. Jamáli’d-Dín Ḥájípúr.  Also name of city in Indian state of Bihar.  It is to the north of Patna.</w:t>
      </w:r>
    </w:p>
    <w:p w14:paraId="228B06F2" w14:textId="77777777" w:rsidR="00625A5B" w:rsidRPr="008F03E5" w:rsidRDefault="00625A5B" w:rsidP="00566693">
      <w:pPr>
        <w:pStyle w:val="Translit"/>
      </w:pPr>
      <w:r w:rsidRPr="008F03E5">
        <w:t>Hajir</w:t>
      </w:r>
      <w:r w:rsidRPr="008F03E5">
        <w:tab/>
        <w:t>Hájir</w:t>
      </w:r>
      <w:r w:rsidRPr="008F03E5">
        <w:tab/>
        <w:t>elegant, excellent (thing); delirious, speaking foolishly or deliriously; emigrating; name of a tribe</w:t>
      </w:r>
    </w:p>
    <w:p w14:paraId="4A96489B" w14:textId="77777777" w:rsidR="00625A5B" w:rsidRPr="008F03E5" w:rsidRDefault="00625A5B" w:rsidP="002E7509">
      <w:pPr>
        <w:pStyle w:val="Translit"/>
      </w:pPr>
      <w:r w:rsidRPr="008F03E5">
        <w:t>Hajiyyat</w:t>
      </w:r>
      <w:r w:rsidRPr="008F03E5">
        <w:tab/>
        <w:t>Ḥájíyyát</w:t>
      </w:r>
      <w:r w:rsidRPr="008F03E5">
        <w:tab/>
        <w:t>everyday commodities, utensils, utilities, necessaries, necessities</w:t>
      </w:r>
    </w:p>
    <w:p w14:paraId="026C4239" w14:textId="77777777" w:rsidR="00625A5B" w:rsidRPr="008F03E5" w:rsidRDefault="00625A5B" w:rsidP="002F1ED9">
      <w:pPr>
        <w:pStyle w:val="Translit"/>
        <w:rPr>
          <w:rFonts w:eastAsia="PMingLiU"/>
          <w:lang w:eastAsia="zh-TW"/>
        </w:rPr>
      </w:pPr>
      <w:r>
        <w:rPr>
          <w:rFonts w:eastAsia="PMingLiU"/>
          <w:lang w:eastAsia="zh-TW"/>
        </w:rPr>
        <w:t xml:space="preserve">Hajj, </w:t>
      </w:r>
      <w:r w:rsidRPr="008F03E5">
        <w:rPr>
          <w:rFonts w:eastAsia="PMingLiU"/>
          <w:lang w:eastAsia="zh-TW"/>
        </w:rPr>
        <w:t>Haji (Hajji), Hajja, Hajjaj, Hajij, Hajjat</w:t>
      </w:r>
      <w:r w:rsidRPr="008F03E5">
        <w:tab/>
        <w:t>Ḥá</w:t>
      </w:r>
      <w:r w:rsidRPr="008F03E5">
        <w:rPr>
          <w:rFonts w:eastAsia="PMingLiU"/>
          <w:lang w:eastAsia="zh-TW"/>
        </w:rPr>
        <w:t xml:space="preserve">jj (Pers. </w:t>
      </w:r>
      <w:r w:rsidRPr="008F03E5">
        <w:t>Ḥá</w:t>
      </w:r>
      <w:r w:rsidRPr="008F03E5">
        <w:rPr>
          <w:rFonts w:eastAsia="PMingLiU"/>
          <w:lang w:eastAsia="zh-TW"/>
        </w:rPr>
        <w:t>j</w:t>
      </w:r>
      <w:r w:rsidRPr="008F03E5">
        <w:t>í</w:t>
      </w:r>
      <w:r w:rsidRPr="008F03E5">
        <w:rPr>
          <w:rFonts w:eastAsia="PMingLiU"/>
          <w:lang w:eastAsia="zh-TW"/>
        </w:rPr>
        <w:t xml:space="preserve">), pl. </w:t>
      </w:r>
      <w:r w:rsidRPr="008F03E5">
        <w:t>Ḥu</w:t>
      </w:r>
      <w:r w:rsidRPr="008F03E5">
        <w:rPr>
          <w:rFonts w:eastAsia="PMingLiU"/>
          <w:lang w:eastAsia="zh-TW"/>
        </w:rPr>
        <w:t xml:space="preserve">jjáj, </w:t>
      </w:r>
      <w:r w:rsidRPr="008F03E5">
        <w:t>Ḥ</w:t>
      </w:r>
      <w:r w:rsidRPr="008F03E5">
        <w:rPr>
          <w:rFonts w:eastAsia="PMingLiU"/>
          <w:lang w:eastAsia="zh-TW"/>
        </w:rPr>
        <w:t>aj</w:t>
      </w:r>
      <w:r w:rsidRPr="008F03E5">
        <w:t>í</w:t>
      </w:r>
      <w:r w:rsidRPr="008F03E5">
        <w:rPr>
          <w:rFonts w:eastAsia="PMingLiU"/>
          <w:lang w:eastAsia="zh-TW"/>
        </w:rPr>
        <w:t>j</w:t>
      </w:r>
      <w:r w:rsidRPr="008F03E5">
        <w:tab/>
        <w:t xml:space="preserve">pilgrim; hadji; Mecca pilgrim, honorific title of one who has performed the </w:t>
      </w:r>
      <w:r>
        <w:t xml:space="preserve">“greater” </w:t>
      </w:r>
      <w:r w:rsidRPr="008F03E5">
        <w:t>pilgrimage to Mecca.  Fem. ḥá</w:t>
      </w:r>
      <w:r w:rsidRPr="008F03E5">
        <w:rPr>
          <w:rFonts w:eastAsia="PMingLiU"/>
          <w:lang w:eastAsia="zh-TW"/>
        </w:rPr>
        <w:t>jja[h or t], pl.</w:t>
      </w:r>
      <w:r w:rsidRPr="008F03E5">
        <w:t xml:space="preserve"> ḥá</w:t>
      </w:r>
      <w:r w:rsidRPr="008F03E5">
        <w:rPr>
          <w:rFonts w:eastAsia="PMingLiU"/>
          <w:lang w:eastAsia="zh-TW"/>
        </w:rPr>
        <w:t>jj</w:t>
      </w:r>
      <w:r w:rsidRPr="008F03E5">
        <w:t>á</w:t>
      </w:r>
      <w:r w:rsidRPr="008F03E5">
        <w:rPr>
          <w:rFonts w:eastAsia="PMingLiU"/>
          <w:lang w:eastAsia="zh-TW"/>
        </w:rPr>
        <w:t xml:space="preserve">t. </w:t>
      </w:r>
      <w:r w:rsidRPr="008F03E5">
        <w:t xml:space="preserve"> Pers. also ḥájiya[h] (“ḥájíyyih”), pl. ḥájiyán.</w:t>
      </w:r>
    </w:p>
    <w:p w14:paraId="0E352501" w14:textId="77777777" w:rsidR="00625A5B" w:rsidRPr="008F03E5" w:rsidRDefault="00625A5B" w:rsidP="0086743D">
      <w:pPr>
        <w:pStyle w:val="Translit"/>
      </w:pPr>
      <w:r w:rsidRPr="008F03E5">
        <w:t>Hajj, Hijja, Hijaj</w:t>
      </w:r>
      <w:r w:rsidRPr="008F03E5">
        <w:tab/>
        <w:t xml:space="preserve">Ḥajj, </w:t>
      </w:r>
      <w:r>
        <w:t xml:space="preserve">fem. </w:t>
      </w:r>
      <w:r w:rsidRPr="008F03E5">
        <w:t>Ḥijja[h or t], pl. Ḥijaj</w:t>
      </w:r>
      <w:r w:rsidRPr="008F03E5">
        <w:tab/>
      </w:r>
      <w:r>
        <w:t xml:space="preserve">the official “greater” </w:t>
      </w:r>
      <w:r w:rsidRPr="008F03E5">
        <w:t>pilgrimage to Mecca</w:t>
      </w:r>
      <w:r>
        <w:t xml:space="preserve"> (performed over 5 days</w:t>
      </w:r>
      <w:r w:rsidRPr="008F03E5">
        <w:t>)</w:t>
      </w:r>
      <w:r>
        <w:t xml:space="preserve">.  English </w:t>
      </w:r>
      <w:r w:rsidRPr="008F03E5">
        <w:t xml:space="preserve">hadj.  Yawm al-Ḥajj al-Akbar (the day of the greater pilgrimage) understood as being on the 9th (if the evening is considered to be the next day) and 10th of </w:t>
      </w:r>
      <w:r w:rsidRPr="008F03E5">
        <w:rPr>
          <w:rFonts w:eastAsia="PMingLiU"/>
          <w:u w:val="single"/>
          <w:lang w:eastAsia="zh-TW"/>
        </w:rPr>
        <w:t>Dh</w:t>
      </w:r>
      <w:r w:rsidRPr="008F03E5">
        <w:rPr>
          <w:rFonts w:eastAsia="PMingLiU"/>
          <w:lang w:eastAsia="zh-TW"/>
        </w:rPr>
        <w:t>u’l-</w:t>
      </w:r>
      <w:r w:rsidRPr="008F03E5">
        <w:t>Ḥ</w:t>
      </w:r>
      <w:r w:rsidRPr="008F03E5">
        <w:rPr>
          <w:rFonts w:eastAsia="PMingLiU"/>
          <w:lang w:eastAsia="zh-TW"/>
        </w:rPr>
        <w:t xml:space="preserve">ijjah.  In </w:t>
      </w:r>
      <w:r w:rsidRPr="008F03E5">
        <w:rPr>
          <w:rFonts w:eastAsia="PMingLiU"/>
          <w:sz w:val="16"/>
          <w:szCs w:val="16"/>
          <w:lang w:eastAsia="zh-TW"/>
        </w:rPr>
        <w:t>AH</w:t>
      </w:r>
      <w:r w:rsidRPr="008F03E5">
        <w:rPr>
          <w:rFonts w:eastAsia="PMingLiU"/>
          <w:lang w:eastAsia="zh-TW"/>
        </w:rPr>
        <w:t xml:space="preserve"> 9 (</w:t>
      </w:r>
      <w:r>
        <w:rPr>
          <w:rFonts w:eastAsia="PMingLiU"/>
          <w:sz w:val="16"/>
          <w:szCs w:val="16"/>
          <w:lang w:eastAsia="zh-TW"/>
        </w:rPr>
        <w:t>CE</w:t>
      </w:r>
      <w:r w:rsidRPr="008F03E5">
        <w:rPr>
          <w:rFonts w:eastAsia="PMingLiU"/>
          <w:lang w:eastAsia="zh-TW"/>
        </w:rPr>
        <w:t xml:space="preserve"> 631) Muḥammad sent </w:t>
      </w:r>
      <w:r w:rsidRPr="008F03E5">
        <w:t>Abú Bakr and ‘Alí to perform the first Islamic Ḥajj al-Akbar (see Qur’án 9:3).</w:t>
      </w:r>
      <w:r w:rsidRPr="008F03E5">
        <w:rPr>
          <w:rFonts w:eastAsia="PMingLiU"/>
          <w:lang w:eastAsia="zh-TW"/>
        </w:rPr>
        <w:t xml:space="preserve">  al-</w:t>
      </w:r>
      <w:r w:rsidRPr="008F03E5">
        <w:t>Ḥ</w:t>
      </w:r>
      <w:r w:rsidRPr="008F03E5">
        <w:rPr>
          <w:rFonts w:eastAsia="PMingLiU"/>
          <w:lang w:eastAsia="zh-TW"/>
        </w:rPr>
        <w:t>ajj al-A</w:t>
      </w:r>
      <w:r w:rsidRPr="008F03E5">
        <w:t>ṣ</w:t>
      </w:r>
      <w:r w:rsidRPr="008F03E5">
        <w:rPr>
          <w:rFonts w:eastAsia="PMingLiU"/>
          <w:u w:val="single"/>
          <w:lang w:eastAsia="zh-TW"/>
        </w:rPr>
        <w:t>gh</w:t>
      </w:r>
      <w:r w:rsidRPr="008F03E5">
        <w:rPr>
          <w:rFonts w:eastAsia="PMingLiU"/>
          <w:lang w:eastAsia="zh-TW"/>
        </w:rPr>
        <w:t xml:space="preserve">ar is the minor pilgrimage performed at any time of the year.  Persians use the term </w:t>
      </w:r>
      <w:bookmarkStart w:id="78" w:name="_Hlk53299390"/>
      <w:r w:rsidRPr="008F03E5">
        <w:t xml:space="preserve">Ḥajj-i-Akbar (“Most Great Hajj”) </w:t>
      </w:r>
      <w:bookmarkEnd w:id="78"/>
      <w:r w:rsidRPr="008F03E5">
        <w:t xml:space="preserve">whenever the ‘Id-al-Adha (10 </w:t>
      </w:r>
      <w:r w:rsidRPr="008F03E5">
        <w:rPr>
          <w:rFonts w:eastAsia="PMingLiU"/>
          <w:u w:val="single"/>
          <w:lang w:eastAsia="zh-TW"/>
        </w:rPr>
        <w:t>Dh</w:t>
      </w:r>
      <w:r w:rsidRPr="008F03E5">
        <w:rPr>
          <w:rFonts w:eastAsia="PMingLiU"/>
          <w:lang w:eastAsia="zh-TW"/>
        </w:rPr>
        <w:t>u’l-</w:t>
      </w:r>
      <w:r w:rsidRPr="008F03E5">
        <w:t>Ḥ</w:t>
      </w:r>
      <w:r w:rsidRPr="008F03E5">
        <w:rPr>
          <w:rFonts w:eastAsia="PMingLiU"/>
          <w:lang w:eastAsia="zh-TW"/>
        </w:rPr>
        <w:t>ijjah</w:t>
      </w:r>
      <w:r w:rsidRPr="008F03E5">
        <w:t xml:space="preserve">) falls on an Islamic Friday as occurred for the only pilgrimage of Muḥammad in </w:t>
      </w:r>
      <w:r w:rsidRPr="008F03E5">
        <w:rPr>
          <w:rFonts w:eastAsia="PMingLiU"/>
          <w:sz w:val="16"/>
          <w:szCs w:val="16"/>
          <w:lang w:eastAsia="zh-TW"/>
        </w:rPr>
        <w:t>AH</w:t>
      </w:r>
      <w:r w:rsidRPr="008F03E5">
        <w:rPr>
          <w:rFonts w:eastAsia="PMingLiU"/>
          <w:lang w:eastAsia="zh-TW"/>
        </w:rPr>
        <w:t xml:space="preserve"> 10 (Sunday 8 March 632) and for the Báb in </w:t>
      </w:r>
      <w:r w:rsidRPr="008F03E5">
        <w:rPr>
          <w:sz w:val="16"/>
          <w:szCs w:val="16"/>
        </w:rPr>
        <w:t>AH</w:t>
      </w:r>
      <w:r w:rsidRPr="008F03E5">
        <w:t xml:space="preserve"> 1260 (Friday 20 December 1844)</w:t>
      </w:r>
      <w:r w:rsidRPr="008F03E5">
        <w:rPr>
          <w:rFonts w:eastAsia="PMingLiU"/>
          <w:lang w:eastAsia="zh-TW"/>
        </w:rPr>
        <w:t>.  There is an Islamic tradition that the Q</w:t>
      </w:r>
      <w:r w:rsidRPr="008F03E5">
        <w:t>á</w:t>
      </w:r>
      <w:r w:rsidRPr="008F03E5">
        <w:rPr>
          <w:rFonts w:eastAsia="PMingLiU"/>
          <w:lang w:eastAsia="zh-TW"/>
        </w:rPr>
        <w:t xml:space="preserve">’im will appear in a year of the </w:t>
      </w:r>
      <w:r w:rsidRPr="008F03E5">
        <w:t>Ḥajj-i-Akbar.</w:t>
      </w:r>
      <w:r w:rsidRPr="008F03E5">
        <w:rPr>
          <w:rFonts w:eastAsia="PMingLiU"/>
          <w:lang w:eastAsia="zh-TW"/>
        </w:rPr>
        <w:t xml:space="preserve">  See Yawm</w:t>
      </w:r>
      <w:r>
        <w:rPr>
          <w:rFonts w:eastAsia="PMingLiU"/>
          <w:lang w:eastAsia="zh-TW"/>
        </w:rPr>
        <w:t xml:space="preserve">, the </w:t>
      </w:r>
      <w:r w:rsidRPr="008F03E5">
        <w:rPr>
          <w:rFonts w:eastAsia="PMingLiU"/>
          <w:lang w:eastAsia="zh-TW"/>
        </w:rPr>
        <w:t>Báb</w:t>
      </w:r>
      <w:r>
        <w:rPr>
          <w:rFonts w:eastAsia="PMingLiU"/>
          <w:lang w:eastAsia="zh-TW"/>
        </w:rPr>
        <w:t xml:space="preserve"> and ‘umra</w:t>
      </w:r>
      <w:r w:rsidRPr="008F03E5">
        <w:rPr>
          <w:rFonts w:eastAsia="PMingLiU"/>
          <w:lang w:eastAsia="zh-TW"/>
        </w:rPr>
        <w:t>.</w:t>
      </w:r>
    </w:p>
    <w:p w14:paraId="27D955DC" w14:textId="77777777" w:rsidR="00625A5B" w:rsidRPr="008F03E5" w:rsidRDefault="00625A5B" w:rsidP="00566693">
      <w:pPr>
        <w:pStyle w:val="Translit"/>
        <w:rPr>
          <w:rFonts w:eastAsia="PMingLiU"/>
          <w:lang w:eastAsia="zh-TW"/>
        </w:rPr>
      </w:pPr>
      <w:r w:rsidRPr="008F03E5">
        <w:rPr>
          <w:rFonts w:eastAsia="Times New Roman"/>
        </w:rPr>
        <w:t>Hajjaj</w:t>
      </w:r>
      <w:r w:rsidRPr="008F03E5">
        <w:rPr>
          <w:rFonts w:eastAsia="Times New Roman"/>
        </w:rPr>
        <w:tab/>
        <w:t>Ḥajjáj</w:t>
      </w:r>
      <w:r w:rsidRPr="008F03E5">
        <w:rPr>
          <w:rFonts w:eastAsia="Times New Roman"/>
        </w:rPr>
        <w:tab/>
        <w:t xml:space="preserve">a litigious man, a squabbler; name of the celebrated governor of Arabia and Iraq, </w:t>
      </w:r>
      <w:r w:rsidRPr="008F03E5">
        <w:t>Abú Muḥammad al-Ḥajjáj ibn Yúsuf ibn al-Ḥakam ibn ʿAqíl a</w:t>
      </w:r>
      <w:r w:rsidRPr="008F03E5">
        <w:rPr>
          <w:u w:val="single"/>
        </w:rPr>
        <w:t>th</w:t>
      </w:r>
      <w:r w:rsidRPr="008F03E5">
        <w:t>-</w:t>
      </w:r>
      <w:r w:rsidRPr="008F03E5">
        <w:rPr>
          <w:u w:val="single"/>
        </w:rPr>
        <w:t>Th</w:t>
      </w:r>
      <w:r w:rsidRPr="008F03E5">
        <w:t>aqafí</w:t>
      </w:r>
    </w:p>
    <w:p w14:paraId="57BF8FC5" w14:textId="77777777" w:rsidR="00625A5B" w:rsidRPr="008F03E5" w:rsidRDefault="00625A5B" w:rsidP="00566693">
      <w:pPr>
        <w:pStyle w:val="Translit"/>
        <w:rPr>
          <w:rFonts w:eastAsia="PMingLiU"/>
          <w:lang w:eastAsia="zh-TW"/>
        </w:rPr>
      </w:pPr>
      <w:r w:rsidRPr="008F03E5">
        <w:rPr>
          <w:rFonts w:eastAsia="PMingLiU"/>
          <w:lang w:eastAsia="zh-TW"/>
        </w:rPr>
        <w:t>Hajr</w:t>
      </w:r>
      <w:r w:rsidRPr="008F03E5">
        <w:rPr>
          <w:rFonts w:eastAsia="PMingLiU"/>
          <w:lang w:eastAsia="zh-TW"/>
        </w:rPr>
        <w:tab/>
        <w:t>Hajr</w:t>
      </w:r>
      <w:r w:rsidRPr="008F03E5">
        <w:rPr>
          <w:rFonts w:eastAsia="PMingLiU"/>
          <w:lang w:eastAsia="zh-TW"/>
        </w:rPr>
        <w:tab/>
        <w:t>abandonment, forsaking, leaving, separation; avoidance, abstention; separation from the beloved one; hottest time of the day.  Variation hijr.</w:t>
      </w:r>
    </w:p>
    <w:p w14:paraId="6AFB50E8" w14:textId="77777777" w:rsidR="00625A5B" w:rsidRPr="008F03E5" w:rsidRDefault="00625A5B" w:rsidP="00566693">
      <w:pPr>
        <w:pStyle w:val="Translit"/>
        <w:rPr>
          <w:rFonts w:eastAsia="PMingLiU"/>
          <w:lang w:eastAsia="zh-TW"/>
        </w:rPr>
      </w:pPr>
      <w:r w:rsidRPr="008F03E5">
        <w:rPr>
          <w:rFonts w:eastAsia="PMingLiU"/>
          <w:lang w:eastAsia="zh-TW"/>
        </w:rPr>
        <w:t>Hajr</w:t>
      </w:r>
      <w:r w:rsidRPr="008F03E5">
        <w:rPr>
          <w:rFonts w:eastAsia="PMingLiU"/>
          <w:lang w:eastAsia="zh-TW"/>
        </w:rPr>
        <w:tab/>
        <w:t>Ḥajr</w:t>
      </w:r>
      <w:r w:rsidRPr="008F03E5">
        <w:rPr>
          <w:rFonts w:eastAsia="PMingLiU"/>
          <w:lang w:eastAsia="zh-TW"/>
        </w:rPr>
        <w:tab/>
        <w:t>restriction, curb(ing), check(ing), obstruction, impeding, limitation, curtailing (of something); barring, closing, debarment, preclusion; detention; blocking, confinement, containment, suppression (as a protective measure); interdiction, prohibition, ban.  Pre-Islamic name of modern Riyadh (</w:t>
      </w:r>
      <w:r w:rsidRPr="008F03E5">
        <w:t>ar-Riyáḍ</w:t>
      </w:r>
      <w:r w:rsidRPr="008F03E5">
        <w:rPr>
          <w:rFonts w:eastAsia="PMingLiU"/>
          <w:lang w:eastAsia="zh-TW"/>
        </w:rPr>
        <w:t>), capital of Saudi Arabia.</w:t>
      </w:r>
    </w:p>
    <w:p w14:paraId="465BB40A" w14:textId="77777777" w:rsidR="00625A5B" w:rsidRPr="008F03E5" w:rsidRDefault="00625A5B" w:rsidP="00883955">
      <w:pPr>
        <w:pStyle w:val="Translit"/>
      </w:pPr>
      <w:r w:rsidRPr="008F03E5">
        <w:t>Haka, Hikaya, Hikayat</w:t>
      </w:r>
      <w:r w:rsidRPr="008F03E5">
        <w:tab/>
        <w:t>Ḥaká</w:t>
      </w:r>
      <w:r>
        <w:t xml:space="preserve">, fem. </w:t>
      </w:r>
      <w:r w:rsidRPr="008F03E5">
        <w:t>Ḥikáya</w:t>
      </w:r>
      <w:r>
        <w:t>[h or t]</w:t>
      </w:r>
      <w:r w:rsidRPr="008F03E5">
        <w:t>, pl. Ḥikáyát</w:t>
      </w:r>
      <w:r w:rsidRPr="008F03E5">
        <w:tab/>
        <w:t>to tell, relate (something), report, give an account (of); to speak, talk (Syr., Leb.); to imitate, copy (something); to resemble (someone, something)</w:t>
      </w:r>
      <w:r>
        <w:t xml:space="preserve">.  Fem. </w:t>
      </w:r>
      <w:r w:rsidRPr="008F03E5">
        <w:t>story, tale, narrative, account; (grammar) literal quotation (of the words of others)</w:t>
      </w:r>
      <w:r>
        <w:t>.</w:t>
      </w:r>
    </w:p>
    <w:p w14:paraId="4716C2B7" w14:textId="77777777" w:rsidR="00625A5B" w:rsidRPr="008F03E5" w:rsidRDefault="00625A5B" w:rsidP="00566693">
      <w:pPr>
        <w:pStyle w:val="Translit"/>
      </w:pPr>
      <w:r w:rsidRPr="008F03E5">
        <w:rPr>
          <w:rFonts w:eastAsia="PMingLiU"/>
          <w:lang w:eastAsia="zh-TW"/>
        </w:rPr>
        <w:t>Hakam, Hukkam</w:t>
      </w:r>
      <w:r w:rsidRPr="008F03E5">
        <w:tab/>
        <w:t>Ḥ</w:t>
      </w:r>
      <w:r w:rsidRPr="008F03E5">
        <w:rPr>
          <w:rFonts w:eastAsia="PMingLiU"/>
          <w:lang w:eastAsia="zh-TW"/>
        </w:rPr>
        <w:t xml:space="preserve">akam, pl. </w:t>
      </w:r>
      <w:r w:rsidRPr="008F03E5">
        <w:t>Ḥ</w:t>
      </w:r>
      <w:r w:rsidRPr="008F03E5">
        <w:rPr>
          <w:rFonts w:eastAsia="PMingLiU"/>
          <w:lang w:eastAsia="zh-TW"/>
        </w:rPr>
        <w:t>ukk</w:t>
      </w:r>
      <w:r w:rsidRPr="008F03E5">
        <w:t>á</w:t>
      </w:r>
      <w:r w:rsidRPr="008F03E5">
        <w:rPr>
          <w:rFonts w:eastAsia="PMingLiU"/>
          <w:lang w:eastAsia="zh-TW"/>
        </w:rPr>
        <w:t>m</w:t>
      </w:r>
      <w:r w:rsidRPr="008F03E5">
        <w:tab/>
        <w:t>arbitrator, arbiter; umpire, referee</w:t>
      </w:r>
    </w:p>
    <w:p w14:paraId="4F38D393" w14:textId="77777777" w:rsidR="00625A5B" w:rsidRPr="008F03E5" w:rsidRDefault="00625A5B" w:rsidP="00566693">
      <w:pPr>
        <w:pStyle w:val="Translit"/>
      </w:pPr>
      <w:r w:rsidRPr="008F03E5">
        <w:t>Ḥakamanish</w:t>
      </w:r>
      <w:r w:rsidRPr="008F03E5">
        <w:tab/>
        <w:t>Ḥakámani</w:t>
      </w:r>
      <w:r w:rsidRPr="008F03E5">
        <w:rPr>
          <w:u w:val="single"/>
        </w:rPr>
        <w:t>sh</w:t>
      </w:r>
      <w:r w:rsidRPr="008F03E5">
        <w:t xml:space="preserve"> (Ḥaká + mani</w:t>
      </w:r>
      <w:r w:rsidRPr="008F03E5">
        <w:rPr>
          <w:u w:val="single"/>
        </w:rPr>
        <w:t>sh</w:t>
      </w:r>
      <w:r w:rsidRPr="008F03E5">
        <w:t>)</w:t>
      </w:r>
      <w:r w:rsidRPr="008F03E5">
        <w:tab/>
        <w:t>Pers. Írándu</w:t>
      </w:r>
      <w:r w:rsidRPr="008F03E5">
        <w:rPr>
          <w:u w:val="single"/>
        </w:rPr>
        <w:t>kh</w:t>
      </w:r>
      <w:r w:rsidRPr="008F03E5">
        <w:t>t Ḥakámani</w:t>
      </w:r>
      <w:r w:rsidRPr="008F03E5">
        <w:rPr>
          <w:u w:val="single"/>
        </w:rPr>
        <w:t>sh</w:t>
      </w:r>
    </w:p>
    <w:p w14:paraId="52199A39" w14:textId="77777777" w:rsidR="00625A5B" w:rsidRPr="008F03E5" w:rsidRDefault="00625A5B" w:rsidP="00566693">
      <w:pPr>
        <w:pStyle w:val="Translit"/>
      </w:pPr>
      <w:r w:rsidRPr="008F03E5">
        <w:t>Hakim Abu’l-Qasim Firdawsi Tusi</w:t>
      </w:r>
      <w:r w:rsidRPr="008F03E5">
        <w:tab/>
        <w:t>Ḥakím Abu’l-Qásim Firdawsí Ṭúsí</w:t>
      </w:r>
      <w:r w:rsidRPr="008F03E5">
        <w:tab/>
        <w:t xml:space="preserve">commonly referred to as Ferdowsi, is a revered Persian poet, the author of the epic of </w:t>
      </w:r>
      <w:r w:rsidRPr="008F03E5">
        <w:rPr>
          <w:i/>
          <w:iCs/>
        </w:rPr>
        <w:t>Shahnameh</w:t>
      </w:r>
      <w:r w:rsidRPr="008F03E5">
        <w:t xml:space="preserve"> (Book of Kings)</w:t>
      </w:r>
    </w:p>
    <w:p w14:paraId="3B3E6528" w14:textId="77777777" w:rsidR="00625A5B" w:rsidRPr="008F03E5" w:rsidRDefault="00625A5B" w:rsidP="006A6B70">
      <w:pPr>
        <w:pStyle w:val="Translit"/>
      </w:pPr>
      <w:r w:rsidRPr="008F03E5">
        <w:t>Hakim, Hakimun, Hukkam</w:t>
      </w:r>
      <w:r w:rsidRPr="008F03E5">
        <w:tab/>
        <w:t>Ḥákim, pl. Ḥákimún, Ḥukkam</w:t>
      </w:r>
      <w:r w:rsidRPr="008F03E5">
        <w:tab/>
        <w:t>ruling, governing; decisive;—pl. ruIer, sovereign; governor; judge</w:t>
      </w:r>
    </w:p>
    <w:p w14:paraId="63BB9150" w14:textId="77777777" w:rsidR="00625A5B" w:rsidRPr="008F03E5" w:rsidRDefault="00625A5B" w:rsidP="00566693">
      <w:pPr>
        <w:pStyle w:val="Translit"/>
      </w:pPr>
      <w:r w:rsidRPr="008F03E5">
        <w:t>Hakim, Hukama’</w:t>
      </w:r>
      <w:r w:rsidRPr="008F03E5">
        <w:tab/>
        <w:t>Ḥakím, pl. Ḥukamá’</w:t>
      </w:r>
      <w:r w:rsidRPr="008F03E5">
        <w:tab/>
        <w:t>wise, judicious; wise man, sage; philosopher; physician, doctor.  al-Ḥakím, the divine name for the All-Wise.</w:t>
      </w:r>
    </w:p>
    <w:p w14:paraId="2DC2857A" w14:textId="77777777" w:rsidR="00625A5B" w:rsidRPr="008F03E5" w:rsidRDefault="00625A5B" w:rsidP="006A6B70">
      <w:pPr>
        <w:pStyle w:val="Translit"/>
        <w:rPr>
          <w:rFonts w:eastAsia="PMingLiU"/>
          <w:lang w:eastAsia="zh-TW"/>
        </w:rPr>
      </w:pPr>
      <w:r w:rsidRPr="008F03E5">
        <w:rPr>
          <w:rFonts w:eastAsia="PMingLiU"/>
          <w:lang w:eastAsia="zh-TW"/>
        </w:rPr>
        <w:t>Hakiman</w:t>
      </w:r>
      <w:r w:rsidRPr="008F03E5">
        <w:rPr>
          <w:rFonts w:eastAsia="PMingLiU"/>
          <w:lang w:eastAsia="zh-TW"/>
        </w:rPr>
        <w:tab/>
      </w:r>
      <w:r w:rsidRPr="008F03E5">
        <w:t>Ḥ</w:t>
      </w:r>
      <w:r w:rsidRPr="008F03E5">
        <w:rPr>
          <w:rFonts w:eastAsia="PMingLiU"/>
          <w:lang w:eastAsia="zh-TW"/>
        </w:rPr>
        <w:t>akímán</w:t>
      </w:r>
      <w:r w:rsidRPr="008F03E5">
        <w:tab/>
        <w:t>Raḥmatu’lláh Ḥ</w:t>
      </w:r>
      <w:r w:rsidRPr="008F03E5">
        <w:rPr>
          <w:rFonts w:eastAsia="PMingLiU"/>
          <w:lang w:eastAsia="zh-TW"/>
        </w:rPr>
        <w:t>akímán</w:t>
      </w:r>
    </w:p>
    <w:p w14:paraId="1A8763E0" w14:textId="77777777" w:rsidR="00625A5B" w:rsidRPr="008F03E5" w:rsidRDefault="00625A5B" w:rsidP="00566693">
      <w:pPr>
        <w:pStyle w:val="Translit"/>
      </w:pPr>
      <w:r w:rsidRPr="008F03E5">
        <w:t>Hakim-Bashi</w:t>
      </w:r>
      <w:r w:rsidRPr="008F03E5">
        <w:tab/>
        <w:t>Ḥakím-Bá</w:t>
      </w:r>
      <w:r w:rsidRPr="008F03E5">
        <w:rPr>
          <w:u w:val="single"/>
        </w:rPr>
        <w:t>sh</w:t>
      </w:r>
      <w:r w:rsidRPr="008F03E5">
        <w:t>í</w:t>
      </w:r>
      <w:r w:rsidRPr="008F03E5">
        <w:tab/>
        <w:t>Chief physician</w:t>
      </w:r>
    </w:p>
    <w:p w14:paraId="570F57F3" w14:textId="77777777" w:rsidR="00625A5B" w:rsidRPr="008F03E5" w:rsidRDefault="00625A5B" w:rsidP="00566693">
      <w:pPr>
        <w:pStyle w:val="Translit"/>
      </w:pPr>
      <w:r w:rsidRPr="008F03E5">
        <w:t>Hakim-Ilahi</w:t>
      </w:r>
      <w:r w:rsidRPr="008F03E5">
        <w:tab/>
        <w:t>Ḥakím-Iláhí</w:t>
      </w:r>
      <w:r w:rsidRPr="008F03E5">
        <w:tab/>
        <w:t>the Divine Philosopher</w:t>
      </w:r>
    </w:p>
    <w:p w14:paraId="02ADDB60" w14:textId="77777777" w:rsidR="00625A5B" w:rsidRPr="008F03E5" w:rsidRDefault="00625A5B" w:rsidP="00566693">
      <w:pPr>
        <w:pStyle w:val="Translit"/>
      </w:pPr>
      <w:r w:rsidRPr="008F03E5">
        <w:t>Hakkak</w:t>
      </w:r>
      <w:r w:rsidRPr="008F03E5">
        <w:tab/>
        <w:t>Ḥakkák</w:t>
      </w:r>
      <w:r w:rsidRPr="008F03E5">
        <w:tab/>
        <w:t>a jeweller; a polisher of precious stones; a borer of pearls; a lapidary</w:t>
      </w:r>
    </w:p>
    <w:p w14:paraId="62C59A09" w14:textId="77777777" w:rsidR="00625A5B" w:rsidRPr="008F03E5" w:rsidRDefault="00625A5B" w:rsidP="00566693">
      <w:pPr>
        <w:pStyle w:val="Translit"/>
        <w:rPr>
          <w:rFonts w:eastAsia="PMingLiU"/>
          <w:lang w:eastAsia="zh-TW"/>
        </w:rPr>
      </w:pPr>
      <w:r w:rsidRPr="008F03E5">
        <w:t>Hal, Ahwal</w:t>
      </w:r>
      <w:r w:rsidRPr="008F03E5">
        <w:tab/>
        <w:t>Ḥál m. and f., pl. Aḥwál</w:t>
      </w:r>
      <w:r w:rsidRPr="008F03E5">
        <w:tab/>
        <w:t>condition, state; situation; position, status; circumstance; case; present, actuality (as opposed to future); circumstantial expression or phrase (grammar);—pl. conditions, circumstances; matters, affairs, concerns; cases; ḥála (preposition) during; immediately upon, right after; just at; in case of …, in the event of …, ḥálan presently, immediately, at once, right away, without delay; now, actually, at present.  Pers. Ḥal-i-</w:t>
      </w:r>
      <w:r w:rsidRPr="008F03E5">
        <w:rPr>
          <w:u w:val="single"/>
        </w:rPr>
        <w:t>Sh</w:t>
      </w:r>
      <w:r w:rsidRPr="008F03E5">
        <w:t>umá, (pl.) Aḥwál-i-</w:t>
      </w:r>
      <w:r w:rsidRPr="008F03E5">
        <w:rPr>
          <w:u w:val="single"/>
        </w:rPr>
        <w:t>Sh</w:t>
      </w:r>
      <w:r w:rsidRPr="008F03E5">
        <w:t>umá (How are you?)</w:t>
      </w:r>
    </w:p>
    <w:p w14:paraId="51B332E6" w14:textId="77777777" w:rsidR="00625A5B" w:rsidRPr="008F03E5" w:rsidRDefault="00625A5B" w:rsidP="00591DC9">
      <w:pPr>
        <w:pStyle w:val="Translit"/>
        <w:rPr>
          <w:rFonts w:eastAsia="PMingLiU"/>
          <w:lang w:eastAsia="zh-TW"/>
        </w:rPr>
      </w:pPr>
      <w:r w:rsidRPr="008F03E5">
        <w:rPr>
          <w:rFonts w:eastAsia="PMingLiU"/>
          <w:lang w:eastAsia="zh-TW"/>
        </w:rPr>
        <w:t>Hala, Halat</w:t>
      </w:r>
      <w:r w:rsidRPr="008F03E5">
        <w:rPr>
          <w:rFonts w:eastAsia="PMingLiU"/>
          <w:lang w:eastAsia="zh-TW"/>
        </w:rPr>
        <w:tab/>
        <w:t>Hála, pl. H</w:t>
      </w:r>
      <w:r w:rsidRPr="008F03E5">
        <w:t>á</w:t>
      </w:r>
      <w:r w:rsidRPr="008F03E5">
        <w:rPr>
          <w:rFonts w:eastAsia="PMingLiU"/>
          <w:lang w:eastAsia="zh-TW"/>
        </w:rPr>
        <w:t>l</w:t>
      </w:r>
      <w:r w:rsidRPr="008F03E5">
        <w:t>á</w:t>
      </w:r>
      <w:r w:rsidRPr="008F03E5">
        <w:rPr>
          <w:rFonts w:eastAsia="PMingLiU"/>
          <w:lang w:eastAsia="zh-TW"/>
        </w:rPr>
        <w:t>t</w:t>
      </w:r>
      <w:r w:rsidRPr="008F03E5">
        <w:rPr>
          <w:rFonts w:eastAsia="PMingLiU"/>
          <w:lang w:eastAsia="zh-TW"/>
        </w:rPr>
        <w:tab/>
        <w:t>halo (around moon or sun, also, e.g., of a saint); ring around the eye; nimbus, aureole, glory; fem. name</w:t>
      </w:r>
    </w:p>
    <w:p w14:paraId="62B4740D" w14:textId="77777777" w:rsidR="00625A5B" w:rsidRPr="008F03E5" w:rsidRDefault="00625A5B" w:rsidP="00591DC9">
      <w:pPr>
        <w:pStyle w:val="Translit"/>
        <w:rPr>
          <w:rFonts w:eastAsia="PMingLiU"/>
          <w:lang w:eastAsia="zh-TW"/>
        </w:rPr>
      </w:pPr>
      <w:r w:rsidRPr="008F03E5">
        <w:rPr>
          <w:rFonts w:eastAsia="PMingLiU"/>
          <w:lang w:eastAsia="zh-TW"/>
        </w:rPr>
        <w:t>Hala, Halat</w:t>
      </w:r>
      <w:r w:rsidRPr="008F03E5">
        <w:rPr>
          <w:rFonts w:eastAsia="PMingLiU"/>
          <w:lang w:eastAsia="zh-TW"/>
        </w:rPr>
        <w:tab/>
        <w:t>Ḥ</w:t>
      </w:r>
      <w:r w:rsidRPr="008F03E5">
        <w:t>á</w:t>
      </w:r>
      <w:r w:rsidRPr="008F03E5">
        <w:rPr>
          <w:rFonts w:eastAsia="PMingLiU"/>
          <w:lang w:eastAsia="zh-TW"/>
        </w:rPr>
        <w:t>la[h or t] (fem. of Ḥ</w:t>
      </w:r>
      <w:r w:rsidRPr="008F03E5">
        <w:t>á</w:t>
      </w:r>
      <w:r w:rsidRPr="008F03E5">
        <w:rPr>
          <w:rFonts w:eastAsia="PMingLiU"/>
          <w:lang w:eastAsia="zh-TW"/>
        </w:rPr>
        <w:t>l), pl. Ḥ</w:t>
      </w:r>
      <w:r w:rsidRPr="008F03E5">
        <w:t>á</w:t>
      </w:r>
      <w:r w:rsidRPr="008F03E5">
        <w:rPr>
          <w:rFonts w:eastAsia="PMingLiU"/>
          <w:lang w:eastAsia="zh-TW"/>
        </w:rPr>
        <w:t>lát</w:t>
      </w:r>
      <w:r w:rsidRPr="008F03E5">
        <w:rPr>
          <w:rFonts w:eastAsia="PMingLiU"/>
          <w:lang w:eastAsia="zh-TW"/>
        </w:rPr>
        <w:tab/>
        <w:t xml:space="preserve">condition, state; situation; (possible, actual) case; ḥálata (preposition) during.—pl. </w:t>
      </w:r>
      <w:r w:rsidRPr="008F03E5">
        <w:t>states, fleeting and ephemeral, of the Ṣúfí spiritual journey</w:t>
      </w:r>
    </w:p>
    <w:p w14:paraId="3FD4F00A" w14:textId="77777777" w:rsidR="00625A5B" w:rsidRPr="008F03E5" w:rsidRDefault="00625A5B" w:rsidP="009B32CF">
      <w:pPr>
        <w:pStyle w:val="Translit"/>
        <w:rPr>
          <w:rFonts w:eastAsia="PMingLiU"/>
          <w:lang w:eastAsia="zh-TW"/>
        </w:rPr>
      </w:pPr>
      <w:r w:rsidRPr="008F03E5">
        <w:rPr>
          <w:rFonts w:eastAsia="PMingLiU"/>
          <w:lang w:eastAsia="zh-TW"/>
        </w:rPr>
        <w:t>Halab</w:t>
      </w:r>
      <w:r w:rsidRPr="008F03E5">
        <w:rPr>
          <w:rFonts w:eastAsia="PMingLiU"/>
          <w:lang w:eastAsia="zh-TW"/>
        </w:rPr>
        <w:tab/>
      </w:r>
      <w:r w:rsidRPr="008F03E5">
        <w:t>Ḥ</w:t>
      </w:r>
      <w:r w:rsidRPr="008F03E5">
        <w:rPr>
          <w:rFonts w:eastAsia="PMingLiU"/>
          <w:lang w:eastAsia="zh-TW"/>
        </w:rPr>
        <w:t>alab</w:t>
      </w:r>
      <w:r w:rsidRPr="008F03E5">
        <w:rPr>
          <w:rFonts w:eastAsia="PMingLiU"/>
          <w:lang w:eastAsia="zh-TW"/>
        </w:rPr>
        <w:tab/>
        <w:t>milk</w:t>
      </w:r>
      <w:r>
        <w:rPr>
          <w:rFonts w:eastAsia="PMingLiU"/>
          <w:lang w:eastAsia="zh-TW"/>
        </w:rPr>
        <w:t>; milking; Aleppo in Syria</w:t>
      </w:r>
    </w:p>
    <w:p w14:paraId="670976E3" w14:textId="77777777" w:rsidR="00625A5B" w:rsidRPr="008F03E5" w:rsidRDefault="00625A5B" w:rsidP="00566693">
      <w:pPr>
        <w:pStyle w:val="Translit"/>
      </w:pPr>
      <w:r w:rsidRPr="008F03E5">
        <w:rPr>
          <w:rFonts w:eastAsia="PMingLiU"/>
          <w:lang w:eastAsia="zh-TW"/>
        </w:rPr>
        <w:t>Halabi</w:t>
      </w:r>
      <w:r w:rsidRPr="008F03E5">
        <w:tab/>
        <w:t>Ḥ</w:t>
      </w:r>
      <w:r w:rsidRPr="008F03E5">
        <w:rPr>
          <w:rFonts w:eastAsia="PMingLiU"/>
          <w:lang w:eastAsia="zh-TW"/>
        </w:rPr>
        <w:t>alabí</w:t>
      </w:r>
      <w:r w:rsidRPr="008F03E5">
        <w:tab/>
        <w:t>belonging to a milch cow; native of Aleppo; white iron, tin-plate</w:t>
      </w:r>
    </w:p>
    <w:p w14:paraId="7122D8B3" w14:textId="77777777" w:rsidR="00625A5B" w:rsidRPr="008F03E5" w:rsidRDefault="00625A5B" w:rsidP="00385252">
      <w:pPr>
        <w:pStyle w:val="Translit"/>
      </w:pPr>
      <w:r w:rsidRPr="008F03E5">
        <w:t>Halaku, Hulagu</w:t>
      </w:r>
      <w:r w:rsidRPr="008F03E5">
        <w:tab/>
        <w:t>Halákú, Pers. Hulágú</w:t>
      </w:r>
      <w:r w:rsidRPr="008F03E5">
        <w:tab/>
        <w:t>Hulagu Khan (c. 1217–1265).  Hülegü or Hulegu (Mongolian).  Grandson of Genghis Khan, conquered Baghdad (1258) and Syria (1260).</w:t>
      </w:r>
    </w:p>
    <w:p w14:paraId="60E03CFE" w14:textId="77777777" w:rsidR="00625A5B" w:rsidRPr="008F03E5" w:rsidRDefault="00625A5B" w:rsidP="00566693">
      <w:pPr>
        <w:pStyle w:val="Translit"/>
      </w:pPr>
      <w:r w:rsidRPr="008F03E5">
        <w:t>Halal</w:t>
      </w:r>
      <w:r w:rsidRPr="008F03E5">
        <w:tab/>
        <w:t>Ḥalál</w:t>
      </w:r>
      <w:r w:rsidRPr="008F03E5">
        <w:tab/>
        <w:t>that which is allowed, permitted or permissible; allowed, permitted, permissible, allowable, admissible, lawful, legal, licit, legitimate; lawful possession</w:t>
      </w:r>
    </w:p>
    <w:p w14:paraId="1590C0C1" w14:textId="77777777" w:rsidR="00625A5B" w:rsidRPr="008F03E5" w:rsidRDefault="00625A5B" w:rsidP="00D67351">
      <w:pPr>
        <w:pStyle w:val="Translit"/>
      </w:pPr>
      <w:r w:rsidRPr="008F03E5">
        <w:t>Halawa</w:t>
      </w:r>
      <w:r w:rsidRPr="008F03E5">
        <w:tab/>
        <w:t>Ḥaláwa</w:t>
      </w:r>
      <w:r w:rsidRPr="008F03E5">
        <w:tab/>
        <w:t>sweetness; candies, confectionery, sweetmeats; grace, gracefulness, charm, refinement, wittiness, wit; present of money; ransom</w:t>
      </w:r>
    </w:p>
    <w:p w14:paraId="6D3F75D7" w14:textId="77777777" w:rsidR="00625A5B" w:rsidRPr="008F03E5" w:rsidRDefault="00625A5B" w:rsidP="00D67351">
      <w:pPr>
        <w:pStyle w:val="Translit"/>
      </w:pPr>
      <w:r w:rsidRPr="008F03E5">
        <w:t>Halawi</w:t>
      </w:r>
      <w:r w:rsidRPr="008F03E5">
        <w:tab/>
        <w:t>Ḥaláwí</w:t>
      </w:r>
      <w:r w:rsidRPr="008F03E5">
        <w:tab/>
        <w:t>Ḥusayn-i-Ḥaláwí</w:t>
      </w:r>
    </w:p>
    <w:p w14:paraId="3698AF1E" w14:textId="77777777" w:rsidR="00625A5B" w:rsidRPr="008F03E5" w:rsidRDefault="00625A5B" w:rsidP="00A76B75">
      <w:pPr>
        <w:pStyle w:val="Translit"/>
      </w:pPr>
      <w:r w:rsidRPr="008F03E5">
        <w:t>Halih</w:t>
      </w:r>
      <w:r>
        <w:t xml:space="preserve"> </w:t>
      </w:r>
      <w:r w:rsidRPr="008F03E5">
        <w:t>Halih</w:t>
      </w:r>
      <w:r>
        <w:t xml:space="preserve"> </w:t>
      </w:r>
      <w:r w:rsidRPr="008F03E5">
        <w:t>Ya</w:t>
      </w:r>
      <w:r>
        <w:t xml:space="preserve"> </w:t>
      </w:r>
      <w:r w:rsidRPr="008F03E5">
        <w:t>Bisharat</w:t>
      </w:r>
      <w:r w:rsidRPr="008F03E5">
        <w:tab/>
        <w:t>Halih</w:t>
      </w:r>
      <w:r>
        <w:t xml:space="preserve"> </w:t>
      </w:r>
      <w:r w:rsidRPr="008F03E5">
        <w:t>Halih</w:t>
      </w:r>
      <w:r>
        <w:t xml:space="preserve"> </w:t>
      </w:r>
      <w:r w:rsidRPr="008F03E5">
        <w:t>Yá</w:t>
      </w:r>
      <w:r>
        <w:t xml:space="preserve"> </w:t>
      </w:r>
      <w:r w:rsidRPr="008F03E5">
        <w:t>Bi</w:t>
      </w:r>
      <w:r w:rsidRPr="008F03E5">
        <w:rPr>
          <w:u w:val="single"/>
        </w:rPr>
        <w:t>sh</w:t>
      </w:r>
      <w:r w:rsidRPr="008F03E5">
        <w:t>árát</w:t>
      </w:r>
      <w:r w:rsidRPr="008F03E5">
        <w:tab/>
        <w:t>“Hallelujah, Hallelujah, O Glad-Tidings” by Bahá’u’lláh</w:t>
      </w:r>
      <w:r>
        <w:t xml:space="preserve"> (</w:t>
      </w:r>
      <w:r w:rsidRPr="00A76B75">
        <w:t>hallil</w:t>
      </w:r>
      <w:r>
        <w:t>ú</w:t>
      </w:r>
      <w:r w:rsidRPr="00A76B75">
        <w:t>y</w:t>
      </w:r>
      <w:r>
        <w:t>á,</w:t>
      </w:r>
      <w:r w:rsidRPr="00A76B75">
        <w:t xml:space="preserve"> hallelujah</w:t>
      </w:r>
      <w:r>
        <w:t>)</w:t>
      </w:r>
    </w:p>
    <w:p w14:paraId="1A82EF09" w14:textId="77777777" w:rsidR="00625A5B" w:rsidRPr="008F03E5" w:rsidRDefault="00625A5B" w:rsidP="00DB607E">
      <w:pPr>
        <w:pStyle w:val="Translit"/>
        <w:rPr>
          <w:rFonts w:eastAsia="PMingLiU"/>
          <w:lang w:eastAsia="zh-TW"/>
        </w:rPr>
      </w:pPr>
      <w:r w:rsidRPr="00077779">
        <w:rPr>
          <w:rFonts w:eastAsia="PMingLiU"/>
          <w:lang w:eastAsia="zh-TW"/>
        </w:rPr>
        <w:t>Halim, Halima, Hulama</w:t>
      </w:r>
      <w:r w:rsidRPr="00077779">
        <w:rPr>
          <w:rFonts w:eastAsia="PMingLiU"/>
          <w:lang w:eastAsia="zh-TW"/>
        </w:rPr>
        <w:tab/>
        <w:t xml:space="preserve">Ḥalím, fem. </w:t>
      </w:r>
      <w:r w:rsidRPr="008F03E5">
        <w:t>Ḥ</w:t>
      </w:r>
      <w:r w:rsidRPr="008F03E5">
        <w:rPr>
          <w:rFonts w:eastAsia="PMingLiU"/>
          <w:lang w:eastAsia="zh-TW"/>
        </w:rPr>
        <w:t>al</w:t>
      </w:r>
      <w:r w:rsidRPr="008F03E5">
        <w:t>í</w:t>
      </w:r>
      <w:r w:rsidRPr="008F03E5">
        <w:rPr>
          <w:rFonts w:eastAsia="PMingLiU"/>
          <w:lang w:eastAsia="zh-TW"/>
        </w:rPr>
        <w:t>ma[h], pl. Ḥulamá</w:t>
      </w:r>
      <w:r w:rsidRPr="008F03E5">
        <w:rPr>
          <w:rFonts w:eastAsia="PMingLiU"/>
          <w:lang w:eastAsia="zh-TW"/>
        </w:rPr>
        <w:tab/>
        <w:t xml:space="preserve">mild, mild-tempered, gentle; patient; forbearing.  </w:t>
      </w:r>
      <w:r w:rsidRPr="008F03E5">
        <w:t>Ḥ</w:t>
      </w:r>
      <w:r w:rsidRPr="008F03E5">
        <w:rPr>
          <w:rFonts w:eastAsia="PMingLiU"/>
          <w:lang w:eastAsia="zh-TW"/>
        </w:rPr>
        <w:t>al</w:t>
      </w:r>
      <w:r w:rsidRPr="008F03E5">
        <w:t>í</w:t>
      </w:r>
      <w:r w:rsidRPr="008F03E5">
        <w:rPr>
          <w:rFonts w:eastAsia="PMingLiU"/>
          <w:lang w:eastAsia="zh-TW"/>
        </w:rPr>
        <w:t>mah was Muḥammad’s foster-mother until aged 6.</w:t>
      </w:r>
    </w:p>
    <w:p w14:paraId="2C18FDA5" w14:textId="77777777" w:rsidR="00625A5B" w:rsidRPr="008F03E5" w:rsidRDefault="00625A5B" w:rsidP="005E3B9E">
      <w:pPr>
        <w:pStyle w:val="Translit"/>
      </w:pPr>
      <w:r w:rsidRPr="008F03E5">
        <w:rPr>
          <w:rFonts w:eastAsia="PMingLiU"/>
          <w:lang w:eastAsia="zh-TW"/>
        </w:rPr>
        <w:t>Hallaj</w:t>
      </w:r>
      <w:r w:rsidRPr="008F03E5">
        <w:tab/>
        <w:t>Ḥ</w:t>
      </w:r>
      <w:r w:rsidRPr="008F03E5">
        <w:rPr>
          <w:rFonts w:eastAsia="PMingLiU"/>
          <w:lang w:eastAsia="zh-TW"/>
        </w:rPr>
        <w:t>alláj</w:t>
      </w:r>
      <w:r w:rsidRPr="008F03E5">
        <w:tab/>
        <w:t>cotton ginner.  Manṣúr al-Ḥalláj (Abú’l-Mu</w:t>
      </w:r>
      <w:r w:rsidRPr="008F03E5">
        <w:rPr>
          <w:u w:val="single"/>
        </w:rPr>
        <w:t>gh</w:t>
      </w:r>
      <w:r w:rsidRPr="008F03E5">
        <w:t>í</w:t>
      </w:r>
      <w:r w:rsidRPr="008F03E5">
        <w:rPr>
          <w:u w:val="single"/>
        </w:rPr>
        <w:t>th</w:t>
      </w:r>
      <w:r w:rsidRPr="008F03E5">
        <w:t xml:space="preserve"> al-Ḥusayn bin Manṣúr al-Ḥalláj) (c. 858–922) was a Persian mystic, poet and teacher of Sufism.  See Ṭáwásín.</w:t>
      </w:r>
    </w:p>
    <w:p w14:paraId="55C76075" w14:textId="77777777" w:rsidR="00625A5B" w:rsidRPr="008F03E5" w:rsidRDefault="00625A5B" w:rsidP="005D5AAC">
      <w:pPr>
        <w:pStyle w:val="Translit"/>
      </w:pPr>
      <w:r w:rsidRPr="008F03E5">
        <w:t>Halliluya</w:t>
      </w:r>
      <w:r w:rsidRPr="008F03E5">
        <w:tab/>
        <w:t>Hallilúyá</w:t>
      </w:r>
      <w:r w:rsidRPr="008F03E5">
        <w:tab/>
        <w:t>hallelujah (from Hebrew) or alleluia, praise (God).  Hallilúyá (praise) a</w:t>
      </w:r>
      <w:r w:rsidRPr="005D5AAC">
        <w:rPr>
          <w:u w:val="single"/>
        </w:rPr>
        <w:t>sh</w:t>
      </w:r>
      <w:r w:rsidRPr="008F03E5">
        <w:t>-</w:t>
      </w:r>
      <w:r w:rsidRPr="008F03E5">
        <w:rPr>
          <w:u w:val="single"/>
        </w:rPr>
        <w:t>sh</w:t>
      </w:r>
      <w:r w:rsidRPr="008F03E5">
        <w:t>ukr (returning thanks (to God) Alláh (God)</w:t>
      </w:r>
    </w:p>
    <w:p w14:paraId="5CCC4736" w14:textId="77777777" w:rsidR="00625A5B" w:rsidRPr="008F03E5" w:rsidRDefault="00625A5B" w:rsidP="00566693">
      <w:pPr>
        <w:pStyle w:val="Translit"/>
        <w:rPr>
          <w:rFonts w:eastAsia="PMingLiU"/>
          <w:lang w:eastAsia="zh-TW"/>
        </w:rPr>
      </w:pPr>
      <w:r w:rsidRPr="008F03E5">
        <w:rPr>
          <w:rFonts w:eastAsia="PMingLiU"/>
          <w:lang w:eastAsia="zh-TW"/>
        </w:rPr>
        <w:t>Halqa, Halaqa, Halaq, Halaqat</w:t>
      </w:r>
      <w:r w:rsidRPr="008F03E5">
        <w:rPr>
          <w:rFonts w:eastAsia="PMingLiU"/>
          <w:lang w:eastAsia="zh-TW"/>
        </w:rPr>
        <w:tab/>
        <w:t>Ḥalqa[t], Ḥalaqa pl. Ḥalaq, Ḥalaqát</w:t>
      </w:r>
      <w:r w:rsidRPr="008F03E5">
        <w:rPr>
          <w:rFonts w:eastAsia="PMingLiU"/>
          <w:lang w:eastAsia="zh-TW"/>
        </w:rPr>
        <w:tab/>
        <w:t>ring (also earring, etc.); link (of a chain); circle (also of people); group of students studying under a professor, hence:  lecture, course (e.g., at Al Azhar University); part of a sequence or series; ringlet; disk; decade; market</w:t>
      </w:r>
    </w:p>
    <w:p w14:paraId="23D4D33D" w14:textId="77777777" w:rsidR="00625A5B" w:rsidRPr="008F03E5" w:rsidRDefault="00625A5B" w:rsidP="00566693">
      <w:pPr>
        <w:pStyle w:val="Translit"/>
      </w:pPr>
      <w:r w:rsidRPr="008F03E5">
        <w:t>Halqat adh-Dhahabiyya</w:t>
      </w:r>
      <w:r w:rsidRPr="008F03E5">
        <w:tab/>
        <w:t>al-Ḥalqat a</w:t>
      </w:r>
      <w:r w:rsidRPr="008F03E5">
        <w:rPr>
          <w:u w:val="single"/>
        </w:rPr>
        <w:t>dh</w:t>
      </w:r>
      <w:r w:rsidRPr="008F03E5">
        <w:t>-</w:t>
      </w:r>
      <w:r w:rsidRPr="008F03E5">
        <w:rPr>
          <w:u w:val="single"/>
        </w:rPr>
        <w:t>Dh</w:t>
      </w:r>
      <w:r w:rsidRPr="008F03E5">
        <w:t>ahabiyya</w:t>
      </w:r>
      <w:r w:rsidRPr="008F03E5">
        <w:tab/>
        <w:t>the golden circle</w:t>
      </w:r>
    </w:p>
    <w:p w14:paraId="36B87EDD" w14:textId="77777777" w:rsidR="00625A5B" w:rsidRPr="008F03E5" w:rsidRDefault="00625A5B" w:rsidP="00926DEE">
      <w:pPr>
        <w:pStyle w:val="Translit"/>
        <w:rPr>
          <w:rFonts w:eastAsia="Times New Roman"/>
        </w:rPr>
      </w:pPr>
      <w:r w:rsidRPr="008F03E5">
        <w:rPr>
          <w:rFonts w:eastAsia="Times New Roman"/>
        </w:rPr>
        <w:t>Ham</w:t>
      </w:r>
      <w:r w:rsidRPr="008F03E5">
        <w:rPr>
          <w:rFonts w:eastAsia="Times New Roman"/>
        </w:rPr>
        <w:tab/>
        <w:t>Ḥám</w:t>
      </w:r>
      <w:r w:rsidRPr="008F03E5">
        <w:rPr>
          <w:rFonts w:eastAsia="Times New Roman"/>
        </w:rPr>
        <w:tab/>
        <w:t>Ham, son of Noah</w:t>
      </w:r>
    </w:p>
    <w:p w14:paraId="5EE7A47F" w14:textId="77777777" w:rsidR="00625A5B" w:rsidRPr="008F03E5" w:rsidRDefault="00625A5B" w:rsidP="00566693">
      <w:pPr>
        <w:pStyle w:val="Translit"/>
        <w:rPr>
          <w:rFonts w:eastAsia="PMingLiU"/>
          <w:lang w:eastAsia="zh-TW"/>
        </w:rPr>
      </w:pPr>
      <w:r w:rsidRPr="008F03E5">
        <w:rPr>
          <w:rFonts w:eastAsia="PMingLiU"/>
          <w:lang w:eastAsia="zh-TW"/>
        </w:rPr>
        <w:t>Hama, Hamw</w:t>
      </w:r>
      <w:r w:rsidRPr="008F03E5">
        <w:tab/>
      </w:r>
      <w:r w:rsidRPr="008F03E5">
        <w:rPr>
          <w:rFonts w:eastAsia="PMingLiU"/>
          <w:lang w:eastAsia="zh-TW"/>
        </w:rPr>
        <w:t>Hamá, Hamw</w:t>
      </w:r>
      <w:r w:rsidRPr="008F03E5">
        <w:tab/>
        <w:t>to flow; to pour forth</w:t>
      </w:r>
    </w:p>
    <w:p w14:paraId="779E8F86" w14:textId="77777777" w:rsidR="00625A5B" w:rsidRPr="008F03E5" w:rsidRDefault="00625A5B" w:rsidP="00926DEE">
      <w:pPr>
        <w:pStyle w:val="Translit"/>
      </w:pPr>
      <w:r w:rsidRPr="008F03E5">
        <w:t>Hamad</w:t>
      </w:r>
      <w:r w:rsidRPr="008F03E5">
        <w:tab/>
        <w:t>Ḥamád</w:t>
      </w:r>
      <w:r w:rsidRPr="008F03E5">
        <w:tab/>
        <w:t xml:space="preserve">Pers. a village in Mahshahr County, </w:t>
      </w:r>
      <w:r w:rsidRPr="008F03E5">
        <w:rPr>
          <w:u w:val="single"/>
        </w:rPr>
        <w:t>Kh</w:t>
      </w:r>
      <w:r w:rsidRPr="008F03E5">
        <w:t>úzistán Province, Iran (may no loner exist)</w:t>
      </w:r>
    </w:p>
    <w:p w14:paraId="18F4FD65" w14:textId="77777777" w:rsidR="00625A5B" w:rsidRPr="008F03E5" w:rsidRDefault="00625A5B" w:rsidP="00566693">
      <w:pPr>
        <w:pStyle w:val="Translit"/>
      </w:pPr>
      <w:r w:rsidRPr="008F03E5">
        <w:t>Hamadan</w:t>
      </w:r>
      <w:r w:rsidRPr="008F03E5">
        <w:tab/>
        <w:t>Hamadán</w:t>
      </w:r>
      <w:r w:rsidRPr="008F03E5">
        <w:tab/>
        <w:t xml:space="preserve">“quelled or subsided”.  Hamadán city in Írán, 144 km </w:t>
      </w:r>
      <w:r w:rsidRPr="008F03E5">
        <w:rPr>
          <w:sz w:val="16"/>
          <w:szCs w:val="16"/>
        </w:rPr>
        <w:t>NE</w:t>
      </w:r>
      <w:r w:rsidRPr="008F03E5">
        <w:t xml:space="preserve"> Kirmán</w:t>
      </w:r>
      <w:r w:rsidRPr="008F03E5">
        <w:rPr>
          <w:u w:val="single"/>
        </w:rPr>
        <w:t>sh</w:t>
      </w:r>
      <w:r w:rsidRPr="008F03E5">
        <w:t>áh.  Originally Ecbatana of the ancient Medes.</w:t>
      </w:r>
    </w:p>
    <w:p w14:paraId="09A9CCF5" w14:textId="77777777" w:rsidR="00625A5B" w:rsidRPr="008F03E5" w:rsidRDefault="00625A5B" w:rsidP="00C30BEA">
      <w:pPr>
        <w:pStyle w:val="Translit"/>
      </w:pPr>
      <w:r w:rsidRPr="008F03E5">
        <w:t>Hamadani</w:t>
      </w:r>
      <w:r w:rsidRPr="008F03E5">
        <w:tab/>
        <w:t>Hamadání</w:t>
      </w:r>
      <w:r w:rsidRPr="008F03E5">
        <w:tab/>
        <w:t>Badí‘ a</w:t>
      </w:r>
      <w:r>
        <w:t>z</w:t>
      </w:r>
      <w:r w:rsidRPr="008F03E5">
        <w:t>-Zamán (“The Wonder of the Age”) al-Hamadání (969–1007) was a medieval Arabo-Persian man of letters.</w:t>
      </w:r>
    </w:p>
    <w:p w14:paraId="52288E7F" w14:textId="77777777" w:rsidR="00625A5B" w:rsidRPr="008F03E5" w:rsidRDefault="00625A5B" w:rsidP="00566693">
      <w:pPr>
        <w:pStyle w:val="Translit"/>
      </w:pPr>
      <w:r w:rsidRPr="008F03E5">
        <w:t>Hamam, Hamama, Hamamat, Hama’im</w:t>
      </w:r>
      <w:r w:rsidRPr="008F03E5">
        <w:tab/>
        <w:t>Ḥamám, pl. Ḥamámát, Ḥamá’im</w:t>
      </w:r>
      <w:r w:rsidRPr="008F03E5">
        <w:tab/>
        <w:t>Ar. dove, pigeon.  nomen unitatis ḥamáma[h]</w:t>
      </w:r>
    </w:p>
    <w:p w14:paraId="78EF8084" w14:textId="77777777" w:rsidR="00625A5B" w:rsidRPr="008F03E5" w:rsidRDefault="00625A5B" w:rsidP="00566693">
      <w:pPr>
        <w:pStyle w:val="Translit"/>
      </w:pPr>
      <w:r w:rsidRPr="008F03E5">
        <w:t>Haman</w:t>
      </w:r>
      <w:r w:rsidRPr="008F03E5">
        <w:tab/>
        <w:t>Hamán</w:t>
      </w:r>
      <w:r w:rsidRPr="008F03E5">
        <w:tab/>
        <w:t xml:space="preserve">Pers. only, solely; self-same, all one, one and the same, even that, that very; in this manner, exactly so, thus, equally; always, continually.  Name of Abraham’s brother; name of Pharaoh’s vizier; name of a place in Kirmán where </w:t>
      </w:r>
      <w:r w:rsidRPr="008F03E5">
        <w:rPr>
          <w:u w:val="single"/>
        </w:rPr>
        <w:t>Sh</w:t>
      </w:r>
      <w:r w:rsidRPr="008F03E5">
        <w:t>áh Ni‘matu’lláh Walí is buried</w:t>
      </w:r>
    </w:p>
    <w:p w14:paraId="172234C0" w14:textId="77777777" w:rsidR="00625A5B" w:rsidRPr="008F03E5" w:rsidRDefault="00625A5B" w:rsidP="00566693">
      <w:pPr>
        <w:pStyle w:val="Translit"/>
      </w:pPr>
      <w:r w:rsidRPr="008F03E5">
        <w:t>Hamaza, Hamz</w:t>
      </w:r>
      <w:r w:rsidRPr="008F03E5">
        <w:tab/>
        <w:t>Ḥamaza, Ḥamz</w:t>
      </w:r>
      <w:r w:rsidRPr="008F03E5">
        <w:tab/>
        <w:t>to bite, or burn, the tongue (taste)</w:t>
      </w:r>
    </w:p>
    <w:p w14:paraId="164E79B4" w14:textId="77777777" w:rsidR="00625A5B" w:rsidRPr="008F03E5" w:rsidRDefault="00625A5B" w:rsidP="00566693">
      <w:pPr>
        <w:pStyle w:val="Translit"/>
      </w:pPr>
      <w:r w:rsidRPr="008F03E5">
        <w:t>Hamaza, Hamz</w:t>
      </w:r>
      <w:r w:rsidRPr="008F03E5">
        <w:tab/>
        <w:t>Hamaza, Hamz</w:t>
      </w:r>
      <w:r w:rsidRPr="008F03E5">
        <w:tab/>
        <w:t>to prick; to drive, urge on, prod, goad on (someone, something); to spur (one’s horse); (grammar) to provide with hamza (a letter or word)</w:t>
      </w:r>
    </w:p>
    <w:p w14:paraId="5B9F9A99" w14:textId="77777777" w:rsidR="00625A5B" w:rsidRPr="008F03E5" w:rsidRDefault="00625A5B" w:rsidP="00566693">
      <w:pPr>
        <w:pStyle w:val="Translit"/>
      </w:pPr>
      <w:r w:rsidRPr="008F03E5">
        <w:t>Hamd</w:t>
      </w:r>
      <w:r w:rsidRPr="008F03E5">
        <w:tab/>
        <w:t>Ḥamd</w:t>
      </w:r>
      <w:r w:rsidRPr="008F03E5">
        <w:tab/>
        <w:t>commendation, praise, laudation</w:t>
      </w:r>
    </w:p>
    <w:p w14:paraId="14FABFDE" w14:textId="77777777" w:rsidR="00625A5B" w:rsidRPr="008F03E5" w:rsidRDefault="00625A5B" w:rsidP="00566693">
      <w:pPr>
        <w:pStyle w:val="Translit"/>
      </w:pPr>
      <w:r w:rsidRPr="008F03E5">
        <w:t>Hamdan</w:t>
      </w:r>
      <w:r w:rsidRPr="008F03E5">
        <w:tab/>
        <w:t>Ḥamdán</w:t>
      </w:r>
      <w:r w:rsidRPr="008F03E5">
        <w:tab/>
        <w:t>praise, one who praises (God)</w:t>
      </w:r>
    </w:p>
    <w:p w14:paraId="729F6AC8" w14:textId="77777777" w:rsidR="00625A5B" w:rsidRPr="008F03E5" w:rsidRDefault="00625A5B" w:rsidP="0096590E">
      <w:pPr>
        <w:pStyle w:val="Translit"/>
      </w:pPr>
      <w:r w:rsidRPr="008F03E5">
        <w:t>Hamdan</w:t>
      </w:r>
      <w:r>
        <w:t>i</w:t>
      </w:r>
      <w:r w:rsidRPr="008F03E5">
        <w:t>yun</w:t>
      </w:r>
      <w:r w:rsidRPr="008F03E5">
        <w:tab/>
        <w:t>Ḥamdán</w:t>
      </w:r>
      <w:r w:rsidRPr="0096590E">
        <w:t>í</w:t>
      </w:r>
      <w:r w:rsidRPr="008F03E5">
        <w:t>yún</w:t>
      </w:r>
      <w:r w:rsidRPr="008F03E5">
        <w:tab/>
      </w:r>
      <w:r>
        <w:t>al-</w:t>
      </w:r>
      <w:r w:rsidRPr="008F03E5">
        <w:t>Ḥamdán</w:t>
      </w:r>
      <w:r>
        <w:t>í</w:t>
      </w:r>
      <w:r w:rsidRPr="008F03E5">
        <w:t>yún</w:t>
      </w:r>
      <w:r>
        <w:t>, t</w:t>
      </w:r>
      <w:r w:rsidRPr="008F03E5">
        <w:t>he Hamdanid dynasty</w:t>
      </w:r>
      <w:r>
        <w:t>,</w:t>
      </w:r>
      <w:r w:rsidRPr="008F03E5">
        <w:t xml:space="preserve"> was a </w:t>
      </w:r>
      <w:r w:rsidRPr="008F03E5">
        <w:rPr>
          <w:u w:val="single"/>
        </w:rPr>
        <w:t>Sh</w:t>
      </w:r>
      <w:r w:rsidRPr="008F03E5">
        <w:t>í‘a Muslim Arab dynasty of northern Mesopotamia and Syria (890–1004); was founded by Ḥamdán ibn Ḥamdún ibn al-Ḥári</w:t>
      </w:r>
      <w:r w:rsidRPr="008F03E5">
        <w:rPr>
          <w:u w:val="single"/>
        </w:rPr>
        <w:t>th</w:t>
      </w:r>
      <w:r w:rsidRPr="008F03E5">
        <w:t xml:space="preserve"> a</w:t>
      </w:r>
      <w:r>
        <w:t>t</w:t>
      </w:r>
      <w:r w:rsidRPr="008F03E5">
        <w:t>-Ta</w:t>
      </w:r>
      <w:r w:rsidRPr="008F03E5">
        <w:rPr>
          <w:u w:val="single"/>
        </w:rPr>
        <w:t>gh</w:t>
      </w:r>
      <w:r w:rsidRPr="008F03E5">
        <w:t>libí (flourished 868–895).</w:t>
      </w:r>
    </w:p>
    <w:p w14:paraId="68D07144" w14:textId="77777777" w:rsidR="00625A5B" w:rsidRPr="008F03E5" w:rsidRDefault="00625A5B" w:rsidP="00566693">
      <w:pPr>
        <w:pStyle w:val="Translit"/>
      </w:pPr>
      <w:r w:rsidRPr="008F03E5">
        <w:rPr>
          <w:rFonts w:eastAsia="Times New Roman"/>
        </w:rPr>
        <w:t>Hamdi</w:t>
      </w:r>
      <w:r w:rsidRPr="008F03E5">
        <w:rPr>
          <w:rFonts w:eastAsia="Times New Roman"/>
        </w:rPr>
        <w:tab/>
        <w:t>al-Ḥamdí</w:t>
      </w:r>
      <w:r w:rsidRPr="008F03E5">
        <w:rPr>
          <w:rFonts w:eastAsia="Times New Roman"/>
        </w:rPr>
        <w:tab/>
        <w:t>“praise be” to God</w:t>
      </w:r>
    </w:p>
    <w:p w14:paraId="1F962C3A" w14:textId="77777777" w:rsidR="00625A5B" w:rsidRPr="008F03E5" w:rsidRDefault="00625A5B" w:rsidP="00566693">
      <w:pPr>
        <w:pStyle w:val="Translit"/>
      </w:pPr>
      <w:r w:rsidRPr="008F03E5">
        <w:t>Hamdu lillah, al-</w:t>
      </w:r>
      <w:r w:rsidRPr="008F03E5">
        <w:tab/>
        <w:t>al-Ḥamdu Lilláh</w:t>
      </w:r>
      <w:r w:rsidRPr="008F03E5">
        <w:tab/>
        <w:t xml:space="preserve">thank God!, praise be to God! or praised be the Lord!  “Alhamdulillah”.  A longer variant is al-ḥamdu lilláhi rabbi </w:t>
      </w:r>
      <w:r>
        <w:t>a</w:t>
      </w:r>
      <w:r w:rsidRPr="008F03E5">
        <w:t>l-‘álamín, meaning “all praise is due to God, Lord of all the worlds” (Qur’án 1:2)</w:t>
      </w:r>
    </w:p>
    <w:p w14:paraId="5F2B5D79" w14:textId="77777777" w:rsidR="00625A5B" w:rsidRPr="008F03E5" w:rsidRDefault="00625A5B" w:rsidP="00566693">
      <w:pPr>
        <w:pStyle w:val="Translit"/>
      </w:pPr>
      <w:r w:rsidRPr="008F03E5">
        <w:t>Hamdu’llah</w:t>
      </w:r>
      <w:r w:rsidRPr="008F03E5">
        <w:tab/>
        <w:t>Ḥamdu’lláh</w:t>
      </w:r>
      <w:r w:rsidRPr="008F03E5">
        <w:tab/>
        <w:t>Praise of God.</w:t>
      </w:r>
    </w:p>
    <w:p w14:paraId="1DADD1D6" w14:textId="77777777" w:rsidR="00625A5B" w:rsidRPr="008F03E5" w:rsidRDefault="00625A5B" w:rsidP="00117856">
      <w:pPr>
        <w:pStyle w:val="Translit"/>
        <w:rPr>
          <w:rFonts w:eastAsia="PMingLiU"/>
          <w:lang w:eastAsia="zh-TW"/>
        </w:rPr>
      </w:pPr>
      <w:r w:rsidRPr="008F03E5">
        <w:rPr>
          <w:rFonts w:eastAsia="PMingLiU"/>
          <w:lang w:eastAsia="zh-TW"/>
        </w:rPr>
        <w:t>Hami</w:t>
      </w:r>
      <w:r w:rsidRPr="008F03E5">
        <w:rPr>
          <w:rFonts w:eastAsia="PMingLiU"/>
          <w:lang w:eastAsia="zh-TW"/>
        </w:rPr>
        <w:tab/>
        <w:t>Ḥámí</w:t>
      </w:r>
      <w:r w:rsidRPr="008F03E5">
        <w:rPr>
          <w:rFonts w:eastAsia="PMingLiU"/>
          <w:lang w:eastAsia="zh-TW"/>
        </w:rPr>
        <w:tab/>
        <w:t>a son or descendant of Ham, Hamitic</w:t>
      </w:r>
    </w:p>
    <w:p w14:paraId="3057C148" w14:textId="77777777" w:rsidR="00625A5B" w:rsidRPr="008F03E5" w:rsidRDefault="00625A5B" w:rsidP="00D20A3C">
      <w:pPr>
        <w:pStyle w:val="Translit"/>
      </w:pPr>
      <w:r w:rsidRPr="008F03E5">
        <w:t>Hamid</w:t>
      </w:r>
      <w:r w:rsidRPr="008F03E5">
        <w:tab/>
        <w:t>Ḥámid</w:t>
      </w:r>
      <w:r w:rsidRPr="008F03E5">
        <w:tab/>
        <w:t>one who praises, a praiser</w:t>
      </w:r>
    </w:p>
    <w:p w14:paraId="319EA606" w14:textId="77777777" w:rsidR="00625A5B" w:rsidRPr="008F03E5" w:rsidRDefault="00625A5B" w:rsidP="00566693">
      <w:pPr>
        <w:pStyle w:val="Translit"/>
      </w:pPr>
      <w:r w:rsidRPr="008F03E5">
        <w:t>Hamid, Hamida (Hamidih, Hamideh)</w:t>
      </w:r>
      <w:r w:rsidRPr="008F03E5">
        <w:tab/>
        <w:t>Ḥamíd, fem. Ḥamída[t] (Pers. Ḥamídih)</w:t>
      </w:r>
      <w:r w:rsidRPr="008F03E5">
        <w:tab/>
        <w:t>praiseworthy, laudable, commendable; benign, harmless (disease)</w:t>
      </w:r>
    </w:p>
    <w:p w14:paraId="2E53F6DE" w14:textId="77777777" w:rsidR="00625A5B" w:rsidRPr="008F03E5" w:rsidRDefault="00625A5B" w:rsidP="00566693">
      <w:pPr>
        <w:pStyle w:val="Translit"/>
      </w:pPr>
      <w:r w:rsidRPr="008F03E5">
        <w:t>Hamida</w:t>
      </w:r>
      <w:r w:rsidRPr="008F03E5">
        <w:tab/>
        <w:t>Ḥamida</w:t>
      </w:r>
      <w:r w:rsidRPr="008F03E5">
        <w:tab/>
        <w:t xml:space="preserve">to praise, commend, laud, extol (someone for something) Form </w:t>
      </w:r>
      <w:r w:rsidRPr="008F03E5">
        <w:rPr>
          <w:sz w:val="16"/>
          <w:szCs w:val="16"/>
        </w:rPr>
        <w:t>II</w:t>
      </w:r>
      <w:r w:rsidRPr="008F03E5">
        <w:t xml:space="preserve"> to praise highly (someone)</w:t>
      </w:r>
    </w:p>
    <w:p w14:paraId="66326F73" w14:textId="77777777" w:rsidR="00625A5B" w:rsidRPr="008F03E5" w:rsidRDefault="00625A5B" w:rsidP="00D20A3C">
      <w:pPr>
        <w:pStyle w:val="Translit"/>
      </w:pPr>
      <w:r w:rsidRPr="008F03E5">
        <w:t>Hamidu’llah</w:t>
      </w:r>
      <w:r w:rsidRPr="008F03E5">
        <w:tab/>
        <w:t>Ḥamídu’lláh</w:t>
      </w:r>
      <w:r w:rsidRPr="008F03E5">
        <w:tab/>
        <w:t>praised by God</w:t>
      </w:r>
    </w:p>
    <w:p w14:paraId="37EA6F96" w14:textId="77777777" w:rsidR="00625A5B" w:rsidRDefault="00625A5B" w:rsidP="00ED3BB9">
      <w:pPr>
        <w:pStyle w:val="Translit"/>
      </w:pPr>
      <w:r w:rsidRPr="008F03E5">
        <w:t>Hamma</w:t>
      </w:r>
      <w:r>
        <w:t>, Hammayat</w:t>
      </w:r>
      <w:r w:rsidRPr="008F03E5">
        <w:tab/>
        <w:t>Ḥamma[h or t]</w:t>
      </w:r>
      <w:r>
        <w:t xml:space="preserve">, pl. </w:t>
      </w:r>
      <w:r w:rsidRPr="00ED3BB9">
        <w:t>Ḥ</w:t>
      </w:r>
      <w:r>
        <w:t>ammay</w:t>
      </w:r>
      <w:r w:rsidRPr="00ED3BB9">
        <w:t>á</w:t>
      </w:r>
      <w:r>
        <w:t>t</w:t>
      </w:r>
      <w:r w:rsidRPr="008F03E5">
        <w:tab/>
      </w:r>
      <w:r>
        <w:t xml:space="preserve">fever or </w:t>
      </w:r>
      <w:r w:rsidRPr="008F03E5">
        <w:t xml:space="preserve">hot spring.  al-Ḥamma was a Palestinian Arab village 12 km </w:t>
      </w:r>
      <w:r w:rsidRPr="008F03E5">
        <w:rPr>
          <w:sz w:val="16"/>
          <w:szCs w:val="16"/>
        </w:rPr>
        <w:t>SE</w:t>
      </w:r>
      <w:r w:rsidRPr="008F03E5">
        <w:t xml:space="preserve"> of Tiberias, famous for its hot springs (on the south side of the village), which are considered therapeutic due to their high sulphur content.  ‘Abdu’l-Bahá visited the springs in 1914.  The village was depopulated in July 1949.  In 1977 the health resort of Hamat Gader, “hot springs of (the ancient city of) Gadara”, opened on the site of al-Ḥamma as-Súriyá (“the Syrian ḥamma”) hot springs (32.683087, 35.662995).</w:t>
      </w:r>
    </w:p>
    <w:p w14:paraId="37C79B0B" w14:textId="77777777" w:rsidR="00625A5B" w:rsidRPr="008F03E5" w:rsidRDefault="00625A5B" w:rsidP="003E7BF8">
      <w:pPr>
        <w:pStyle w:val="Translit"/>
      </w:pPr>
      <w:r w:rsidRPr="008F03E5">
        <w:t>Hamma, Humma</w:t>
      </w:r>
      <w:r w:rsidRPr="008F03E5">
        <w:tab/>
        <w:t>Ḥamma</w:t>
      </w:r>
      <w:r w:rsidRPr="008F03E5">
        <w:tab/>
        <w:t>heat, make hot (something); passive ḥumma to be feverish, have a fever.  Root of Ḥamma[h or t], Ḥumma[h or t].</w:t>
      </w:r>
    </w:p>
    <w:p w14:paraId="7F93CEC2" w14:textId="77777777" w:rsidR="00625A5B" w:rsidRPr="008F03E5" w:rsidRDefault="00625A5B" w:rsidP="00566693">
      <w:pPr>
        <w:pStyle w:val="Translit"/>
      </w:pPr>
      <w:r w:rsidRPr="008F03E5">
        <w:t>Hammad (Hamad)</w:t>
      </w:r>
      <w:r w:rsidRPr="008F03E5">
        <w:tab/>
        <w:t>Ḥammád</w:t>
      </w:r>
      <w:r w:rsidRPr="008F03E5">
        <w:tab/>
        <w:t>much praising (God)</w:t>
      </w:r>
    </w:p>
    <w:p w14:paraId="646FD98B" w14:textId="77777777" w:rsidR="00625A5B" w:rsidRPr="008F03E5" w:rsidRDefault="00625A5B" w:rsidP="003C0A45">
      <w:pPr>
        <w:pStyle w:val="Translit"/>
      </w:pPr>
      <w:r w:rsidRPr="008F03E5">
        <w:t>Hammal, Hammala</w:t>
      </w:r>
      <w:r w:rsidRPr="008F03E5">
        <w:tab/>
        <w:t>Ḥammál, fem. Ḥammála[h or t]</w:t>
      </w:r>
      <w:r w:rsidRPr="008F03E5">
        <w:tab/>
      </w:r>
      <w:r>
        <w:t xml:space="preserve">(pl. </w:t>
      </w:r>
      <w:r w:rsidRPr="008F03E5">
        <w:t>ḥammál</w:t>
      </w:r>
      <w:r w:rsidRPr="003C0A45">
        <w:t>ú</w:t>
      </w:r>
      <w:r>
        <w:t xml:space="preserve">n) </w:t>
      </w:r>
      <w:r w:rsidRPr="008F03E5">
        <w:t>a porter, carrier of burdens</w:t>
      </w:r>
      <w:r>
        <w:t>.  Fem. (carrier) beam, girder, support, base, post, pier, pillar; suspenders.</w:t>
      </w:r>
    </w:p>
    <w:p w14:paraId="31F98715" w14:textId="77777777" w:rsidR="00625A5B" w:rsidRPr="008F03E5" w:rsidRDefault="00625A5B" w:rsidP="00566693">
      <w:pPr>
        <w:pStyle w:val="Translit"/>
      </w:pPr>
      <w:r w:rsidRPr="008F03E5">
        <w:t>Hammam</w:t>
      </w:r>
      <w:r w:rsidRPr="008F03E5">
        <w:tab/>
        <w:t>Hammám</w:t>
      </w:r>
      <w:r w:rsidRPr="008F03E5">
        <w:tab/>
        <w:t>careworn, worried; anxious, solicitous; eager, active, energetic</w:t>
      </w:r>
    </w:p>
    <w:p w14:paraId="4CC00573" w14:textId="77777777" w:rsidR="00625A5B" w:rsidRPr="008F03E5" w:rsidRDefault="00625A5B" w:rsidP="00500FEB">
      <w:pPr>
        <w:pStyle w:val="Translit"/>
      </w:pPr>
      <w:r w:rsidRPr="008F03E5">
        <w:t>Hammam</w:t>
      </w:r>
      <w:r>
        <w:t>, Hammamat</w:t>
      </w:r>
      <w:r w:rsidRPr="008F03E5">
        <w:tab/>
        <w:t>Ḥammám, pl. Ḥammámát</w:t>
      </w:r>
      <w:r w:rsidRPr="008F03E5">
        <w:tab/>
      </w:r>
      <w:r>
        <w:t>(vulgate</w:t>
      </w:r>
      <w:r w:rsidRPr="0014111E">
        <w:rPr>
          <w:rFonts w:eastAsia="Times New Roman"/>
        </w:rPr>
        <w:t xml:space="preserve"> ḥamám</w:t>
      </w:r>
      <w:r>
        <w:t xml:space="preserve">) (warm or hot) </w:t>
      </w:r>
      <w:r w:rsidRPr="008F03E5">
        <w:t xml:space="preserve">bath; </w:t>
      </w:r>
      <w:r w:rsidRPr="00AF4D34">
        <w:rPr>
          <w:rFonts w:eastAsia="Times New Roman"/>
        </w:rPr>
        <w:t>a Turkish bath</w:t>
      </w:r>
      <w:r>
        <w:rPr>
          <w:rFonts w:eastAsia="Times New Roman"/>
        </w:rPr>
        <w:t>;</w:t>
      </w:r>
      <w:r w:rsidRPr="008F03E5">
        <w:t xml:space="preserve"> swimming pool; spa, watering place (public baths)</w:t>
      </w:r>
      <w:r>
        <w:t>.</w:t>
      </w:r>
      <w:r w:rsidRPr="008F03E5">
        <w:t xml:space="preserve"> </w:t>
      </w:r>
      <w:r>
        <w:t xml:space="preserve"> Error:  </w:t>
      </w:r>
      <w:r w:rsidRPr="008F03E5">
        <w:t>Bahá’í writings</w:t>
      </w:r>
      <w:r>
        <w:t xml:space="preserve"> may omit </w:t>
      </w:r>
      <w:r w:rsidRPr="008F03E5">
        <w:t>the underdot</w:t>
      </w:r>
      <w:r>
        <w:t>.</w:t>
      </w:r>
    </w:p>
    <w:p w14:paraId="7D9DD7ED" w14:textId="77777777" w:rsidR="00625A5B" w:rsidRPr="008F03E5" w:rsidRDefault="00625A5B" w:rsidP="00566693">
      <w:pPr>
        <w:pStyle w:val="Translit"/>
      </w:pPr>
      <w:r w:rsidRPr="008F03E5">
        <w:t>Hamsaya (Hamsayih), Hamsayagan</w:t>
      </w:r>
      <w:r w:rsidRPr="008F03E5">
        <w:tab/>
        <w:t>Hamsáya (Hamsáyih), pl. Hamsáyagán</w:t>
      </w:r>
      <w:r w:rsidRPr="008F03E5">
        <w:tab/>
        <w:t>Pers. under the same shade, i.e. neighbouring, neighbour</w:t>
      </w:r>
    </w:p>
    <w:p w14:paraId="2B71A66B" w14:textId="77777777" w:rsidR="00625A5B" w:rsidRPr="008F03E5" w:rsidRDefault="00625A5B" w:rsidP="00F00D71">
      <w:pPr>
        <w:pStyle w:val="Translit"/>
      </w:pPr>
      <w:r w:rsidRPr="008F03E5">
        <w:t>Hamza (Hamzeh)</w:t>
      </w:r>
      <w:r w:rsidRPr="008F03E5">
        <w:tab/>
        <w:t>Ḥamza[h or t]</w:t>
      </w:r>
      <w:r w:rsidRPr="008F03E5">
        <w:tab/>
        <w:t>t</w:t>
      </w:r>
      <w:r w:rsidRPr="008F03E5">
        <w:rPr>
          <w:rFonts w:eastAsia="Times New Roman"/>
        </w:rPr>
        <w:t>he herb rocket</w:t>
      </w:r>
      <w:r w:rsidRPr="008F03E5">
        <w:t>.  Muḥammad’s uncle, Ḥamzah ibn ‘Abdu’l-Muṭṭalib.</w:t>
      </w:r>
    </w:p>
    <w:p w14:paraId="420A325C" w14:textId="77777777" w:rsidR="00625A5B" w:rsidRPr="008F03E5" w:rsidRDefault="00625A5B" w:rsidP="00566693">
      <w:pPr>
        <w:pStyle w:val="Translit"/>
      </w:pPr>
      <w:r w:rsidRPr="008F03E5">
        <w:t>Hamza, Hamazat</w:t>
      </w:r>
      <w:r w:rsidRPr="008F03E5">
        <w:tab/>
        <w:t>Hamza[h or t], pl. Hamazát</w:t>
      </w:r>
      <w:r w:rsidRPr="008F03E5">
        <w:tab/>
        <w:t>Arabic glottal stop consonant that is pronounced as an a.  Since a hamza is not actually a letter, it is sometimes counted as an a, and sometimes it is disregarded.  Thus, the abjad value of Bahá’ (the hamza is usually dropped) can be read as either eight or nine.</w:t>
      </w:r>
    </w:p>
    <w:p w14:paraId="1C3AC4F2" w14:textId="77777777" w:rsidR="00625A5B" w:rsidRPr="008F03E5" w:rsidRDefault="00625A5B" w:rsidP="00566693">
      <w:pPr>
        <w:pStyle w:val="Translit"/>
        <w:rPr>
          <w:rFonts w:eastAsia="PMingLiU"/>
          <w:lang w:eastAsia="zh-TW"/>
        </w:rPr>
      </w:pPr>
      <w:r w:rsidRPr="008F03E5">
        <w:rPr>
          <w:rFonts w:eastAsia="PMingLiU"/>
          <w:lang w:eastAsia="zh-TW"/>
        </w:rPr>
        <w:t>Hana</w:t>
      </w:r>
      <w:r w:rsidRPr="008F03E5">
        <w:rPr>
          <w:rFonts w:eastAsia="PMingLiU"/>
          <w:lang w:eastAsia="zh-TW"/>
        </w:rPr>
        <w:tab/>
        <w:t>Ḥaná</w:t>
      </w:r>
      <w:r w:rsidRPr="008F03E5">
        <w:rPr>
          <w:rFonts w:eastAsia="PMingLiU"/>
          <w:lang w:eastAsia="zh-TW"/>
        </w:rPr>
        <w:tab/>
        <w:t>to bend, curve, twist, turn; to lean, incline (toward someone); to feel for someone, sympathize (with someone), commiserate, pity (someone), feel compassion, feel pity (for someone)</w:t>
      </w:r>
    </w:p>
    <w:p w14:paraId="15A2435F" w14:textId="77777777" w:rsidR="00625A5B" w:rsidRPr="008F03E5" w:rsidRDefault="00625A5B" w:rsidP="00566693">
      <w:pPr>
        <w:pStyle w:val="Translit"/>
      </w:pPr>
      <w:r w:rsidRPr="008F03E5">
        <w:t>Hanafi, Hanafyun</w:t>
      </w:r>
      <w:r w:rsidRPr="008F03E5">
        <w:tab/>
        <w:t>Ḥanafí, pl. Hanafyún, Ḥunafá’</w:t>
      </w:r>
      <w:r w:rsidRPr="008F03E5">
        <w:tab/>
        <w:t>orthodox.  One of the four (the Ḥanafí, the Ḥanbalí</w:t>
      </w:r>
      <w:r w:rsidRPr="008F03E5">
        <w:rPr>
          <w:cs/>
        </w:rPr>
        <w:t>‎</w:t>
      </w:r>
      <w:r w:rsidRPr="008F03E5">
        <w:t xml:space="preserve">, the Málikí and the </w:t>
      </w:r>
      <w:r w:rsidRPr="008F03E5">
        <w:rPr>
          <w:u w:val="single"/>
        </w:rPr>
        <w:t>Sh</w:t>
      </w:r>
      <w:r w:rsidRPr="008F03E5">
        <w:t xml:space="preserve">áfi‘í) religious Sunní Islamic schools of jurisprudence (fiqh).  It is named after the scholar Abú Ḥanífa an-Nu‘man ibn </w:t>
      </w:r>
      <w:r w:rsidRPr="008F03E5">
        <w:rPr>
          <w:u w:val="single"/>
        </w:rPr>
        <w:t>Th</w:t>
      </w:r>
      <w:r w:rsidRPr="008F03E5">
        <w:t>ábit.</w:t>
      </w:r>
    </w:p>
    <w:p w14:paraId="0CFF439E" w14:textId="77777777" w:rsidR="00625A5B" w:rsidRPr="008F03E5" w:rsidRDefault="00625A5B" w:rsidP="00566693">
      <w:pPr>
        <w:pStyle w:val="Translit"/>
        <w:rPr>
          <w:rFonts w:eastAsia="PMingLiU"/>
          <w:lang w:eastAsia="zh-TW"/>
        </w:rPr>
      </w:pPr>
      <w:r w:rsidRPr="008F03E5">
        <w:rPr>
          <w:rFonts w:eastAsia="PMingLiU"/>
          <w:lang w:eastAsia="zh-TW"/>
        </w:rPr>
        <w:t>Hanafiya, Hanafiyya</w:t>
      </w:r>
      <w:r w:rsidRPr="008F03E5">
        <w:tab/>
        <w:t>Ḥ</w:t>
      </w:r>
      <w:r w:rsidRPr="008F03E5">
        <w:rPr>
          <w:rFonts w:eastAsia="PMingLiU"/>
          <w:lang w:eastAsia="zh-TW"/>
        </w:rPr>
        <w:t>anaf</w:t>
      </w:r>
      <w:r w:rsidRPr="008F03E5">
        <w:t>í</w:t>
      </w:r>
      <w:r w:rsidRPr="008F03E5">
        <w:rPr>
          <w:rFonts w:eastAsia="PMingLiU"/>
          <w:lang w:eastAsia="zh-TW"/>
        </w:rPr>
        <w:t xml:space="preserve">ya[t], </w:t>
      </w:r>
      <w:r w:rsidRPr="008F03E5">
        <w:t>Ḥ</w:t>
      </w:r>
      <w:r w:rsidRPr="008F03E5">
        <w:rPr>
          <w:rFonts w:eastAsia="PMingLiU"/>
          <w:lang w:eastAsia="zh-TW"/>
        </w:rPr>
        <w:t>anafiyya[t]</w:t>
      </w:r>
      <w:r w:rsidRPr="008F03E5">
        <w:tab/>
        <w:t>true religion, orthodoxy</w:t>
      </w:r>
    </w:p>
    <w:p w14:paraId="37D1CF67" w14:textId="77777777" w:rsidR="00625A5B" w:rsidRPr="008F03E5" w:rsidRDefault="00625A5B" w:rsidP="00566693">
      <w:pPr>
        <w:pStyle w:val="Translit"/>
        <w:rPr>
          <w:rFonts w:eastAsia="PMingLiU"/>
          <w:lang w:eastAsia="zh-TW"/>
        </w:rPr>
      </w:pPr>
      <w:r w:rsidRPr="008F03E5">
        <w:rPr>
          <w:rFonts w:eastAsia="PMingLiU"/>
          <w:lang w:eastAsia="zh-TW"/>
        </w:rPr>
        <w:t>Hana-S</w:t>
      </w:r>
      <w:r w:rsidRPr="008F03E5">
        <w:t>a</w:t>
      </w:r>
      <w:r w:rsidRPr="008F03E5">
        <w:rPr>
          <w:rFonts w:eastAsia="PMingLiU"/>
          <w:lang w:eastAsia="zh-TW"/>
        </w:rPr>
        <w:t>b</w:t>
      </w:r>
      <w:r w:rsidRPr="008F03E5">
        <w:tab/>
        <w:t>Ḥ</w:t>
      </w:r>
      <w:r w:rsidRPr="008F03E5">
        <w:rPr>
          <w:rFonts w:eastAsia="PMingLiU"/>
          <w:lang w:eastAsia="zh-TW"/>
        </w:rPr>
        <w:t>aná-S</w:t>
      </w:r>
      <w:r w:rsidRPr="008F03E5">
        <w:t>á</w:t>
      </w:r>
      <w:r w:rsidRPr="008F03E5">
        <w:rPr>
          <w:rFonts w:eastAsia="PMingLiU"/>
          <w:lang w:eastAsia="zh-TW"/>
        </w:rPr>
        <w:t>b</w:t>
      </w:r>
      <w:r w:rsidRPr="008F03E5">
        <w:tab/>
        <w:t>Muḥammad-i-Ḥ</w:t>
      </w:r>
      <w:r w:rsidRPr="008F03E5">
        <w:rPr>
          <w:rFonts w:eastAsia="PMingLiU"/>
          <w:lang w:eastAsia="zh-TW"/>
        </w:rPr>
        <w:t>aná-S</w:t>
      </w:r>
      <w:r w:rsidRPr="008F03E5">
        <w:t>á</w:t>
      </w:r>
      <w:r w:rsidRPr="008F03E5">
        <w:rPr>
          <w:rFonts w:eastAsia="PMingLiU"/>
          <w:lang w:eastAsia="zh-TW"/>
        </w:rPr>
        <w:t>b</w:t>
      </w:r>
    </w:p>
    <w:p w14:paraId="070E7571" w14:textId="77777777" w:rsidR="00625A5B" w:rsidRPr="008F03E5" w:rsidRDefault="00625A5B" w:rsidP="00566693">
      <w:pPr>
        <w:pStyle w:val="Translit"/>
        <w:rPr>
          <w:rFonts w:eastAsia="PMingLiU"/>
          <w:lang w:eastAsia="zh-TW"/>
        </w:rPr>
      </w:pPr>
      <w:r w:rsidRPr="008F03E5">
        <w:rPr>
          <w:rFonts w:eastAsia="PMingLiU"/>
          <w:lang w:eastAsia="zh-TW"/>
        </w:rPr>
        <w:t>Hanbal</w:t>
      </w:r>
      <w:r w:rsidRPr="008F03E5">
        <w:tab/>
        <w:t>Ḥ</w:t>
      </w:r>
      <w:r w:rsidRPr="008F03E5">
        <w:rPr>
          <w:rFonts w:eastAsia="PMingLiU"/>
          <w:lang w:eastAsia="zh-TW"/>
        </w:rPr>
        <w:t>anbal</w:t>
      </w:r>
      <w:r w:rsidRPr="008F03E5">
        <w:tab/>
        <w:t>Aḥmad ibn Ḥ</w:t>
      </w:r>
      <w:r w:rsidRPr="008F03E5">
        <w:rPr>
          <w:rFonts w:eastAsia="PMingLiU"/>
          <w:lang w:eastAsia="zh-TW"/>
        </w:rPr>
        <w:t>anbal</w:t>
      </w:r>
    </w:p>
    <w:p w14:paraId="50BC2D6B" w14:textId="77777777" w:rsidR="00625A5B" w:rsidRPr="008F03E5" w:rsidRDefault="00625A5B" w:rsidP="003B6441">
      <w:pPr>
        <w:pStyle w:val="Translit"/>
      </w:pPr>
      <w:r w:rsidRPr="008F03E5">
        <w:t>Hanbali, Hanabilat</w:t>
      </w:r>
      <w:r w:rsidRPr="008F03E5">
        <w:tab/>
        <w:t>Ḥanbalí, pl. Ḥanábila[t]</w:t>
      </w:r>
      <w:r w:rsidRPr="008F03E5">
        <w:tab/>
        <w:t>Hanbalitic, of or pertaining to the ma</w:t>
      </w:r>
      <w:r w:rsidRPr="008F03E5">
        <w:rPr>
          <w:u w:val="single"/>
        </w:rPr>
        <w:t>dh</w:t>
      </w:r>
      <w:r w:rsidRPr="008F03E5">
        <w:t>ab of Aḥmad ibn Ḥanbal; puritanical, strict in religious matters.  A system of traditional Sunní jurisprudence—smallest of the four (the Ḥanafí, the Ḥanbalí</w:t>
      </w:r>
      <w:r w:rsidRPr="008F03E5">
        <w:rPr>
          <w:cs/>
        </w:rPr>
        <w:t>‎</w:t>
      </w:r>
      <w:r w:rsidRPr="008F03E5">
        <w:t xml:space="preserve">, the Málikí and the </w:t>
      </w:r>
      <w:r w:rsidRPr="008F03E5">
        <w:rPr>
          <w:u w:val="single"/>
        </w:rPr>
        <w:t>Sh</w:t>
      </w:r>
      <w:r w:rsidRPr="008F03E5">
        <w:t>áfi‘í)</w:t>
      </w:r>
    </w:p>
    <w:p w14:paraId="5E2732A4" w14:textId="77777777" w:rsidR="00625A5B" w:rsidRPr="008F03E5" w:rsidRDefault="00625A5B" w:rsidP="00566693">
      <w:pPr>
        <w:pStyle w:val="Translit"/>
        <w:rPr>
          <w:rFonts w:eastAsia="PMingLiU"/>
          <w:lang w:eastAsia="zh-TW"/>
        </w:rPr>
      </w:pPr>
      <w:r w:rsidRPr="008F03E5">
        <w:rPr>
          <w:rFonts w:eastAsia="PMingLiU"/>
          <w:lang w:eastAsia="zh-TW"/>
        </w:rPr>
        <w:t>Hani, Hani’a</w:t>
      </w:r>
      <w:r w:rsidRPr="008F03E5">
        <w:rPr>
          <w:rFonts w:eastAsia="PMingLiU"/>
          <w:lang w:eastAsia="zh-TW"/>
        </w:rPr>
        <w:tab/>
        <w:t>Háni’, fem. Háni’a[h]</w:t>
      </w:r>
      <w:r w:rsidRPr="008F03E5">
        <w:rPr>
          <w:rFonts w:eastAsia="PMingLiU"/>
          <w:lang w:eastAsia="zh-TW"/>
        </w:rPr>
        <w:tab/>
        <w:t>happy, delighted, glad; servant; fem. servant girl, maid</w:t>
      </w:r>
    </w:p>
    <w:p w14:paraId="20CEB671" w14:textId="77777777" w:rsidR="00625A5B" w:rsidRPr="008F03E5" w:rsidRDefault="00625A5B" w:rsidP="00566693">
      <w:pPr>
        <w:pStyle w:val="Translit"/>
        <w:rPr>
          <w:rFonts w:eastAsia="PMingLiU"/>
          <w:lang w:eastAsia="zh-TW"/>
        </w:rPr>
      </w:pPr>
      <w:r w:rsidRPr="008F03E5">
        <w:rPr>
          <w:rFonts w:eastAsia="PMingLiU"/>
          <w:lang w:eastAsia="zh-TW"/>
        </w:rPr>
        <w:t>Hani’</w:t>
      </w:r>
      <w:r w:rsidRPr="008F03E5">
        <w:rPr>
          <w:rFonts w:eastAsia="PMingLiU"/>
          <w:lang w:eastAsia="zh-TW"/>
        </w:rPr>
        <w:tab/>
        <w:t>Haní’</w:t>
      </w:r>
      <w:r w:rsidRPr="008F03E5">
        <w:rPr>
          <w:rFonts w:eastAsia="PMingLiU"/>
          <w:lang w:eastAsia="zh-TW"/>
        </w:rPr>
        <w:tab/>
        <w:t>healthful, salutary, salubrious, wholesome, beneficial; pleasant, agreeable; easy, smooth, comfortable</w:t>
      </w:r>
    </w:p>
    <w:p w14:paraId="3539C001" w14:textId="77777777" w:rsidR="00625A5B" w:rsidRPr="008F03E5" w:rsidRDefault="00625A5B" w:rsidP="00566693">
      <w:pPr>
        <w:pStyle w:val="Translit"/>
      </w:pPr>
      <w:r w:rsidRPr="008F03E5">
        <w:t>Hanif, Hunafa’</w:t>
      </w:r>
      <w:r w:rsidRPr="008F03E5">
        <w:tab/>
        <w:t>Ḥaníf, pl. Ḥunafá’</w:t>
      </w:r>
      <w:r w:rsidRPr="008F03E5">
        <w:tab/>
        <w:t>true believer, orthodox; one who scorns the false creeds surrounding him and professes the true religion; true (religion)</w:t>
      </w:r>
    </w:p>
    <w:p w14:paraId="0387ADA0" w14:textId="77777777" w:rsidR="00625A5B" w:rsidRPr="008F03E5" w:rsidRDefault="00625A5B" w:rsidP="00566693">
      <w:pPr>
        <w:pStyle w:val="Translit"/>
        <w:rPr>
          <w:rFonts w:eastAsia="PMingLiU"/>
          <w:lang w:eastAsia="zh-TW"/>
        </w:rPr>
      </w:pPr>
      <w:r w:rsidRPr="008F03E5">
        <w:rPr>
          <w:rFonts w:eastAsia="PMingLiU"/>
          <w:lang w:eastAsia="zh-TW"/>
        </w:rPr>
        <w:t>Hanifa</w:t>
      </w:r>
      <w:r w:rsidRPr="008F03E5">
        <w:rPr>
          <w:rFonts w:eastAsia="PMingLiU"/>
          <w:lang w:eastAsia="zh-TW"/>
        </w:rPr>
        <w:tab/>
      </w:r>
      <w:r w:rsidRPr="008F03E5">
        <w:t>Ḥ</w:t>
      </w:r>
      <w:r w:rsidRPr="008F03E5">
        <w:rPr>
          <w:rFonts w:eastAsia="PMingLiU"/>
          <w:lang w:eastAsia="zh-TW"/>
        </w:rPr>
        <w:t>an</w:t>
      </w:r>
      <w:r w:rsidRPr="008F03E5">
        <w:t>í</w:t>
      </w:r>
      <w:r w:rsidRPr="008F03E5">
        <w:rPr>
          <w:rFonts w:eastAsia="PMingLiU"/>
          <w:lang w:eastAsia="zh-TW"/>
        </w:rPr>
        <w:t>fa[h]</w:t>
      </w:r>
      <w:r w:rsidRPr="008F03E5">
        <w:rPr>
          <w:rFonts w:eastAsia="PMingLiU"/>
          <w:lang w:eastAsia="zh-TW"/>
        </w:rPr>
        <w:tab/>
        <w:t>al-ḥanífa as-samḥá’ the true and tolerant (religion, i.e., Isl</w:t>
      </w:r>
      <w:r w:rsidRPr="008F03E5">
        <w:t>á</w:t>
      </w:r>
      <w:r w:rsidRPr="008F03E5">
        <w:rPr>
          <w:rFonts w:eastAsia="PMingLiU"/>
          <w:lang w:eastAsia="zh-TW"/>
        </w:rPr>
        <w:t xml:space="preserve">m).  </w:t>
      </w:r>
      <w:r w:rsidRPr="008F03E5">
        <w:t>Ḥ</w:t>
      </w:r>
      <w:r w:rsidRPr="008F03E5">
        <w:rPr>
          <w:rFonts w:eastAsia="PMingLiU"/>
          <w:lang w:eastAsia="zh-TW"/>
        </w:rPr>
        <w:t>an</w:t>
      </w:r>
      <w:r w:rsidRPr="008F03E5">
        <w:t>í</w:t>
      </w:r>
      <w:r w:rsidRPr="008F03E5">
        <w:rPr>
          <w:rFonts w:eastAsia="PMingLiU"/>
          <w:lang w:eastAsia="zh-TW"/>
        </w:rPr>
        <w:t>fih (Pers. form)</w:t>
      </w:r>
    </w:p>
    <w:p w14:paraId="071C7CA4" w14:textId="77777777" w:rsidR="00625A5B" w:rsidRPr="008F03E5" w:rsidRDefault="00625A5B" w:rsidP="00566693">
      <w:pPr>
        <w:pStyle w:val="Translit"/>
        <w:rPr>
          <w:rFonts w:eastAsia="PMingLiU"/>
          <w:lang w:eastAsia="zh-TW"/>
        </w:rPr>
      </w:pPr>
      <w:r w:rsidRPr="008F03E5">
        <w:rPr>
          <w:rFonts w:eastAsia="PMingLiU"/>
          <w:lang w:eastAsia="zh-TW"/>
        </w:rPr>
        <w:t>Hanifiya</w:t>
      </w:r>
      <w:r w:rsidRPr="008F03E5">
        <w:rPr>
          <w:rFonts w:eastAsia="PMingLiU"/>
          <w:lang w:eastAsia="zh-TW"/>
        </w:rPr>
        <w:tab/>
        <w:t>al-Ḥanífíya[h]</w:t>
      </w:r>
      <w:r w:rsidRPr="008F03E5">
        <w:rPr>
          <w:rFonts w:eastAsia="PMingLiU"/>
          <w:lang w:eastAsia="zh-TW"/>
        </w:rPr>
        <w:tab/>
        <w:t>the true (i.e., Islamic) religion</w:t>
      </w:r>
    </w:p>
    <w:p w14:paraId="6AE644D1" w14:textId="77777777" w:rsidR="00625A5B" w:rsidRPr="008F03E5" w:rsidRDefault="00625A5B" w:rsidP="00566693">
      <w:pPr>
        <w:pStyle w:val="Translit"/>
        <w:rPr>
          <w:rFonts w:eastAsia="PMingLiU"/>
          <w:lang w:eastAsia="zh-TW"/>
        </w:rPr>
      </w:pPr>
      <w:r w:rsidRPr="008F03E5">
        <w:rPr>
          <w:rFonts w:eastAsia="PMingLiU"/>
          <w:lang w:eastAsia="zh-TW"/>
        </w:rPr>
        <w:t>Hanza</w:t>
      </w:r>
      <w:r w:rsidRPr="008F03E5">
        <w:tab/>
      </w:r>
      <w:r w:rsidRPr="008F03E5">
        <w:rPr>
          <w:rFonts w:eastAsia="PMingLiU"/>
          <w:lang w:eastAsia="zh-TW"/>
        </w:rPr>
        <w:t>Hanzá</w:t>
      </w:r>
      <w:r w:rsidRPr="008F03E5">
        <w:tab/>
        <w:t xml:space="preserve">village </w:t>
      </w:r>
      <w:r w:rsidRPr="008F03E5">
        <w:rPr>
          <w:rFonts w:eastAsia="PMingLiU"/>
          <w:lang w:eastAsia="zh-TW"/>
        </w:rPr>
        <w:t>110 km south of Kirm</w:t>
      </w:r>
      <w:r w:rsidRPr="008F03E5">
        <w:t>á</w:t>
      </w:r>
      <w:r w:rsidRPr="008F03E5">
        <w:rPr>
          <w:rFonts w:eastAsia="PMingLiU"/>
          <w:lang w:eastAsia="zh-TW"/>
        </w:rPr>
        <w:t xml:space="preserve">n, </w:t>
      </w:r>
      <w:r w:rsidRPr="008F03E5">
        <w:t xml:space="preserve">in Kirman Province, Irán (also known as </w:t>
      </w:r>
      <w:r w:rsidRPr="008F03E5">
        <w:rPr>
          <w:rFonts w:eastAsia="PMingLiU"/>
          <w:lang w:eastAsia="zh-TW"/>
        </w:rPr>
        <w:t>Hamzá)</w:t>
      </w:r>
    </w:p>
    <w:p w14:paraId="1EEAEA55" w14:textId="77777777" w:rsidR="00625A5B" w:rsidRPr="0038510A" w:rsidRDefault="00625A5B" w:rsidP="00057480">
      <w:pPr>
        <w:pStyle w:val="Translit"/>
      </w:pPr>
      <w:r w:rsidRPr="008F03E5">
        <w:t>Hanzal</w:t>
      </w:r>
      <w:r>
        <w:t xml:space="preserve"> (Handal)</w:t>
      </w:r>
      <w:r w:rsidRPr="008F03E5">
        <w:t>, Hanzala</w:t>
      </w:r>
      <w:r w:rsidRPr="008F03E5">
        <w:tab/>
        <w:t>Ḥanẓal, fem. Ḥanẓala[h</w:t>
      </w:r>
      <w:r>
        <w:t xml:space="preserve"> or t</w:t>
      </w:r>
      <w:r w:rsidRPr="008F03E5">
        <w:t>]</w:t>
      </w:r>
      <w:r w:rsidRPr="008F03E5">
        <w:tab/>
        <w:t xml:space="preserve">(collective noun; </w:t>
      </w:r>
      <w:r w:rsidRPr="008F03E5">
        <w:rPr>
          <w:i/>
          <w:iCs/>
        </w:rPr>
        <w:t>nomen unitatis</w:t>
      </w:r>
      <w:r w:rsidRPr="008F03E5">
        <w:t xml:space="preserve"> </w:t>
      </w:r>
      <w:r w:rsidRPr="008F03E5">
        <w:rPr>
          <w:rtl/>
        </w:rPr>
        <w:t>ة</w:t>
      </w:r>
      <w:r w:rsidRPr="008F03E5">
        <w:t>) colocynth (</w:t>
      </w:r>
      <w:r w:rsidRPr="008F03E5">
        <w:rPr>
          <w:i/>
          <w:iCs/>
        </w:rPr>
        <w:t>Citrullus colocynthis</w:t>
      </w:r>
      <w:r w:rsidRPr="008F03E5">
        <w:t xml:space="preserve">).  Also called a </w:t>
      </w:r>
      <w:r>
        <w:t xml:space="preserve">wild gourd, </w:t>
      </w:r>
      <w:r w:rsidRPr="008F03E5">
        <w:t>bitter apple and bitter cucumber.  Ḥan</w:t>
      </w:r>
      <w:r w:rsidRPr="00177273">
        <w:t>ḍ</w:t>
      </w:r>
      <w:r w:rsidRPr="008F03E5">
        <w:t>al</w:t>
      </w:r>
      <w:r>
        <w:t xml:space="preserve"> and </w:t>
      </w:r>
      <w:r w:rsidRPr="00057480">
        <w:t>ḥ</w:t>
      </w:r>
      <w:r>
        <w:t>an</w:t>
      </w:r>
      <w:r w:rsidRPr="00057480">
        <w:t>ḍ</w:t>
      </w:r>
      <w:r>
        <w:t xml:space="preserve">ala are dialect variations.  </w:t>
      </w:r>
      <w:r w:rsidRPr="00057480">
        <w:t>Ḥ</w:t>
      </w:r>
      <w:r>
        <w:t>an</w:t>
      </w:r>
      <w:r w:rsidRPr="00057480">
        <w:t>ḍ</w:t>
      </w:r>
      <w:r>
        <w:t xml:space="preserve">ala is the name given to a Palestinian cartoon defiance symbol. </w:t>
      </w:r>
      <w:r w:rsidRPr="008F03E5">
        <w:t xml:space="preserve"> </w:t>
      </w:r>
      <w:r>
        <w:t xml:space="preserve">Pre-Islamic Christian, </w:t>
      </w:r>
      <w:r w:rsidRPr="008F03E5">
        <w:t>Ḥanẓala ibn Abí</w:t>
      </w:r>
      <w:r>
        <w:t xml:space="preserve"> </w:t>
      </w:r>
      <w:r w:rsidRPr="008F03E5">
        <w:rPr>
          <w:u w:val="single"/>
        </w:rPr>
        <w:t>Gh</w:t>
      </w:r>
      <w:r w:rsidRPr="008F03E5">
        <w:t>afráy-i-Ṭá’</w:t>
      </w:r>
      <w:r>
        <w:t>i‘ (</w:t>
      </w:r>
      <w:r w:rsidRPr="008F03E5">
        <w:rPr>
          <w:i/>
          <w:iCs/>
          <w:sz w:val="16"/>
          <w:szCs w:val="16"/>
        </w:rPr>
        <w:t>SDC</w:t>
      </w:r>
      <w:r w:rsidRPr="008F03E5">
        <w:t xml:space="preserve"> p</w:t>
      </w:r>
      <w:r>
        <w:t>p</w:t>
      </w:r>
      <w:r w:rsidRPr="008F03E5">
        <w:t>. 48</w:t>
      </w:r>
      <w:r>
        <w:t>–51)</w:t>
      </w:r>
      <w:r w:rsidRPr="008F03E5">
        <w:t>.</w:t>
      </w:r>
      <w:r>
        <w:t xml:space="preserve">  </w:t>
      </w:r>
      <w:r w:rsidRPr="008F03E5">
        <w:t>Ḥanẓala ibn Abí ‘Ámir</w:t>
      </w:r>
      <w:r>
        <w:t xml:space="preserve"> </w:t>
      </w:r>
      <w:r w:rsidRPr="00BB30B3">
        <w:t>(c. 601–625),</w:t>
      </w:r>
      <w:r>
        <w:t xml:space="preserve"> son of</w:t>
      </w:r>
      <w:r w:rsidRPr="008F03E5">
        <w:t xml:space="preserve"> Abú Amír al-A</w:t>
      </w:r>
      <w:r w:rsidRPr="008F03E5">
        <w:rPr>
          <w:u w:val="single"/>
        </w:rPr>
        <w:t>sh</w:t>
      </w:r>
      <w:r w:rsidRPr="008F03E5">
        <w:t>arí</w:t>
      </w:r>
      <w:r>
        <w:t>), a</w:t>
      </w:r>
      <w:r w:rsidRPr="008F03E5">
        <w:t xml:space="preserve"> companion of Muḥammad</w:t>
      </w:r>
      <w:r>
        <w:t>,</w:t>
      </w:r>
      <w:r w:rsidRPr="008F03E5">
        <w:t xml:space="preserve"> </w:t>
      </w:r>
      <w:r>
        <w:t>entitled</w:t>
      </w:r>
      <w:r w:rsidRPr="008F03E5">
        <w:t xml:space="preserve"> </w:t>
      </w:r>
      <w:r w:rsidRPr="008F03E5">
        <w:rPr>
          <w:u w:val="single"/>
        </w:rPr>
        <w:t>Gh</w:t>
      </w:r>
      <w:r w:rsidRPr="008F03E5">
        <w:t>asíl al-Malá’ika (“the one cleansed by the angels”)</w:t>
      </w:r>
      <w:r>
        <w:t>;</w:t>
      </w:r>
      <w:r w:rsidRPr="008F03E5">
        <w:t xml:space="preserve"> </w:t>
      </w:r>
      <w:r>
        <w:t>father of</w:t>
      </w:r>
      <w:r w:rsidRPr="008F03E5">
        <w:t xml:space="preserve"> ‘Abdu’lláh ibn Ḥanẓala.  </w:t>
      </w:r>
      <w:r>
        <w:t xml:space="preserve">In </w:t>
      </w:r>
      <w:r w:rsidRPr="002C59F6">
        <w:t>the Lawḥ-i-Sarráj</w:t>
      </w:r>
      <w:r>
        <w:t xml:space="preserve">, </w:t>
      </w:r>
      <w:r w:rsidRPr="0038510A">
        <w:t>M</w:t>
      </w:r>
      <w:r w:rsidRPr="00177273">
        <w:t>í</w:t>
      </w:r>
      <w:r w:rsidRPr="0038510A">
        <w:t>rz</w:t>
      </w:r>
      <w:r w:rsidRPr="00177273">
        <w:t>á</w:t>
      </w:r>
      <w:r w:rsidRPr="0038510A">
        <w:t xml:space="preserve"> Ya</w:t>
      </w:r>
      <w:r w:rsidRPr="00177273">
        <w:t>ḥ</w:t>
      </w:r>
      <w:r w:rsidRPr="0038510A">
        <w:t>y</w:t>
      </w:r>
      <w:r w:rsidRPr="00177273">
        <w:t>á</w:t>
      </w:r>
      <w:r w:rsidRPr="0038510A">
        <w:t xml:space="preserve">, the </w:t>
      </w:r>
      <w:r>
        <w:t>“</w:t>
      </w:r>
      <w:r w:rsidRPr="0038510A">
        <w:t xml:space="preserve">one time </w:t>
      </w:r>
      <w:r>
        <w:t>‘</w:t>
      </w:r>
      <w:r w:rsidRPr="0038510A">
        <w:t>Blessed Fruit</w:t>
      </w:r>
      <w:r>
        <w:t>’”</w:t>
      </w:r>
      <w:r w:rsidRPr="0038510A">
        <w:t xml:space="preserve"> (</w:t>
      </w:r>
      <w:r w:rsidRPr="0038510A">
        <w:rPr>
          <w:u w:val="single"/>
        </w:rPr>
        <w:t>th</w:t>
      </w:r>
      <w:r w:rsidRPr="0038510A">
        <w:t>amara ṭ</w:t>
      </w:r>
      <w:r>
        <w:t>ú</w:t>
      </w:r>
      <w:r w:rsidRPr="0038510A">
        <w:t>ba)</w:t>
      </w:r>
      <w:r>
        <w:t>,</w:t>
      </w:r>
      <w:r w:rsidRPr="0038510A">
        <w:t xml:space="preserve"> </w:t>
      </w:r>
      <w:r>
        <w:t xml:space="preserve">whose rejection of Bahá’u’lláh is said have </w:t>
      </w:r>
      <w:r w:rsidRPr="0038510A">
        <w:t>transform</w:t>
      </w:r>
      <w:r>
        <w:t>ed</w:t>
      </w:r>
      <w:r w:rsidRPr="0038510A">
        <w:t xml:space="preserve"> </w:t>
      </w:r>
      <w:r>
        <w:t xml:space="preserve">him </w:t>
      </w:r>
      <w:r w:rsidRPr="0038510A">
        <w:t xml:space="preserve">into a mere </w:t>
      </w:r>
      <w:r w:rsidRPr="008F03E5">
        <w:t>ḥanẓal</w:t>
      </w:r>
      <w:r w:rsidRPr="0038510A">
        <w:t>.</w:t>
      </w:r>
    </w:p>
    <w:p w14:paraId="352C81A4" w14:textId="77777777" w:rsidR="00625A5B" w:rsidRPr="008F03E5" w:rsidRDefault="00625A5B" w:rsidP="00566693">
      <w:pPr>
        <w:pStyle w:val="Translit"/>
      </w:pPr>
      <w:r w:rsidRPr="008F03E5">
        <w:t>HaParsim</w:t>
      </w:r>
      <w:r w:rsidRPr="008F03E5">
        <w:tab/>
        <w:t>HaParsim</w:t>
      </w:r>
      <w:r w:rsidRPr="008F03E5">
        <w:tab/>
        <w:t>Hebrew.  Rechov HaParsim “Street of the Persians”.  House of ‘Abdu’l-Bahá is 7 Rechov HaParsim.</w:t>
      </w:r>
    </w:p>
    <w:p w14:paraId="0776445A" w14:textId="77777777" w:rsidR="00625A5B" w:rsidRPr="008F03E5" w:rsidRDefault="00625A5B" w:rsidP="00DA0190">
      <w:pPr>
        <w:pStyle w:val="Translit"/>
      </w:pPr>
      <w:r w:rsidRPr="008F03E5">
        <w:t>Haq-guy (Haq-goy, Haqguy)</w:t>
      </w:r>
      <w:r w:rsidRPr="008F03E5">
        <w:tab/>
        <w:t>Ḥaq-gúy (Ḥaqgúy)</w:t>
      </w:r>
      <w:r w:rsidRPr="008F03E5">
        <w:tab/>
        <w:t>Pers. (Ar. influence) speaking truth (“truth speaker”); the essence of a thing; name of a bird that hangs by a tree and vociferates all night</w:t>
      </w:r>
    </w:p>
    <w:p w14:paraId="5F28E704" w14:textId="77777777" w:rsidR="00625A5B" w:rsidRPr="008F03E5" w:rsidRDefault="00625A5B" w:rsidP="00566693">
      <w:pPr>
        <w:pStyle w:val="Translit"/>
      </w:pPr>
      <w:r w:rsidRPr="008F03E5">
        <w:t>Haqiq, Ahiqqa’</w:t>
      </w:r>
      <w:r w:rsidRPr="008F03E5">
        <w:tab/>
        <w:t>Ḥaqíq, pl. Aḥiqqá’</w:t>
      </w:r>
      <w:r w:rsidRPr="008F03E5">
        <w:tab/>
        <w:t>worthy, deserving (of something), fit, competent, qualified; entitled (to)</w:t>
      </w:r>
    </w:p>
    <w:p w14:paraId="3F3378BE" w14:textId="77777777" w:rsidR="00625A5B" w:rsidRPr="008F03E5" w:rsidRDefault="00625A5B" w:rsidP="00A9144E">
      <w:pPr>
        <w:pStyle w:val="Translit"/>
      </w:pPr>
      <w:r w:rsidRPr="008F03E5">
        <w:t>Haqiqa, Haqa’iq, Haqiqatan</w:t>
      </w:r>
      <w:r w:rsidRPr="008F03E5">
        <w:tab/>
        <w:t>Ḥaqíqa[h or t], pl. Ḥaqá’iq</w:t>
      </w:r>
      <w:r w:rsidRPr="008F03E5">
        <w:tab/>
        <w:t>truth, reality (also philosophy); fact; the true state of affairs, the facts; true nature, essence; real meaning, true sense; the object of the mystic searcher (ṣúfí).  ḥaqíqatan really, in reality, in effect, actually, in fact, indeed, truly, in truth</w:t>
      </w:r>
    </w:p>
    <w:p w14:paraId="34ABE744" w14:textId="77777777" w:rsidR="00625A5B" w:rsidRPr="008F03E5" w:rsidRDefault="00625A5B" w:rsidP="00D0220F">
      <w:pPr>
        <w:pStyle w:val="Translit"/>
      </w:pPr>
      <w:r w:rsidRPr="008F03E5">
        <w:t>Haqiqatu’l-Haqa’iq</w:t>
      </w:r>
      <w:r w:rsidRPr="008F03E5">
        <w:tab/>
        <w:t>Ḥaqíqatu’l-Ḥaqá’iq</w:t>
      </w:r>
      <w:r w:rsidRPr="008F03E5">
        <w:tab/>
        <w:t>reality of realities or truth of truths</w:t>
      </w:r>
    </w:p>
    <w:p w14:paraId="41D3F82A" w14:textId="77777777" w:rsidR="00625A5B" w:rsidRPr="008F03E5" w:rsidRDefault="00625A5B" w:rsidP="00566693">
      <w:pPr>
        <w:pStyle w:val="Translit"/>
        <w:rPr>
          <w:rFonts w:eastAsia="PMingLiU"/>
          <w:lang w:eastAsia="zh-TW"/>
        </w:rPr>
      </w:pPr>
      <w:r w:rsidRPr="008F03E5">
        <w:rPr>
          <w:rFonts w:eastAsia="PMingLiU"/>
          <w:lang w:eastAsia="zh-TW"/>
        </w:rPr>
        <w:t>Haqiqi</w:t>
      </w:r>
      <w:r w:rsidRPr="008F03E5">
        <w:rPr>
          <w:rFonts w:eastAsia="PMingLiU"/>
          <w:lang w:eastAsia="zh-TW"/>
        </w:rPr>
        <w:tab/>
        <w:t>Ḥaqíqí</w:t>
      </w:r>
      <w:r w:rsidRPr="008F03E5">
        <w:rPr>
          <w:rFonts w:eastAsia="PMingLiU"/>
          <w:lang w:eastAsia="zh-TW"/>
        </w:rPr>
        <w:tab/>
        <w:t>real, true; actual; proper, intrinsic, essential; genuine; authentic; positive</w:t>
      </w:r>
    </w:p>
    <w:p w14:paraId="7BE442A3" w14:textId="77777777" w:rsidR="00625A5B" w:rsidRPr="008F03E5" w:rsidRDefault="00625A5B" w:rsidP="00647F70">
      <w:pPr>
        <w:pStyle w:val="Translit"/>
      </w:pPr>
      <w:r w:rsidRPr="008F03E5">
        <w:rPr>
          <w:rFonts w:eastAsia="PMingLiU"/>
          <w:lang w:eastAsia="zh-TW"/>
        </w:rPr>
        <w:t>Haqq (Haq, Hagh), Huquq</w:t>
      </w:r>
      <w:r w:rsidRPr="008F03E5">
        <w:tab/>
        <w:t>Ḥ</w:t>
      </w:r>
      <w:r w:rsidRPr="008F03E5">
        <w:rPr>
          <w:rFonts w:eastAsia="PMingLiU"/>
          <w:lang w:eastAsia="zh-TW"/>
        </w:rPr>
        <w:t xml:space="preserve">aqq, Pers. also </w:t>
      </w:r>
      <w:r w:rsidRPr="008F03E5">
        <w:t>Ḥ</w:t>
      </w:r>
      <w:r w:rsidRPr="008F03E5">
        <w:rPr>
          <w:rFonts w:eastAsia="PMingLiU"/>
          <w:lang w:eastAsia="zh-TW"/>
        </w:rPr>
        <w:t xml:space="preserve">aq, pl. </w:t>
      </w:r>
      <w:r w:rsidRPr="008F03E5">
        <w:t>Ḥ</w:t>
      </w:r>
      <w:r w:rsidRPr="008F03E5">
        <w:rPr>
          <w:rFonts w:eastAsia="PMingLiU"/>
          <w:lang w:eastAsia="zh-TW"/>
        </w:rPr>
        <w:t>uq</w:t>
      </w:r>
      <w:r w:rsidRPr="008F03E5">
        <w:t>ú</w:t>
      </w:r>
      <w:r w:rsidRPr="008F03E5">
        <w:rPr>
          <w:rFonts w:eastAsia="PMingLiU"/>
          <w:lang w:eastAsia="zh-TW"/>
        </w:rPr>
        <w:t>q</w:t>
      </w:r>
      <w:r w:rsidRPr="008F03E5">
        <w:tab/>
        <w:t>truth; correctness, rightness; rightful possession; property; ones due; duty; proper manner; true, authentic, real; right, fair and reasonable; correct, sound, valid; al-Ḥaqq an attribute of God;—pl. right</w:t>
      </w:r>
      <w:r>
        <w:t>s</w:t>
      </w:r>
      <w:r w:rsidRPr="008F03E5">
        <w:t>, title</w:t>
      </w:r>
      <w:r>
        <w:t>s</w:t>
      </w:r>
      <w:r w:rsidRPr="008F03E5">
        <w:t>, claim</w:t>
      </w:r>
      <w:r>
        <w:t>s</w:t>
      </w:r>
      <w:r w:rsidRPr="008F03E5">
        <w:t>, legal claim</w:t>
      </w:r>
      <w:r>
        <w:t>s</w:t>
      </w:r>
      <w:r w:rsidRPr="008F03E5">
        <w:t>.</w:t>
      </w:r>
    </w:p>
    <w:p w14:paraId="7EDD702E" w14:textId="77777777" w:rsidR="00625A5B" w:rsidRPr="008F03E5" w:rsidRDefault="00625A5B" w:rsidP="009210DB">
      <w:pPr>
        <w:pStyle w:val="Translit"/>
      </w:pPr>
      <w:r>
        <w:t xml:space="preserve">Haqq, </w:t>
      </w:r>
      <w:r w:rsidRPr="008F03E5">
        <w:t>Haqqa</w:t>
      </w:r>
      <w:r w:rsidRPr="008F03E5">
        <w:tab/>
        <w:t>Ḥáqq</w:t>
      </w:r>
      <w:r>
        <w:t xml:space="preserve">, fem. </w:t>
      </w:r>
      <w:r w:rsidRPr="008F03E5">
        <w:t>Ḥáqqa[h</w:t>
      </w:r>
      <w:r>
        <w:t xml:space="preserve"> or t</w:t>
      </w:r>
      <w:r w:rsidRPr="008F03E5">
        <w:t>]</w:t>
      </w:r>
      <w:r w:rsidRPr="008F03E5">
        <w:tab/>
      </w:r>
      <w:r>
        <w:t xml:space="preserve">middle of anything; </w:t>
      </w:r>
      <w:r w:rsidRPr="008F03E5">
        <w:t>that which sorts out truth from falsehood; that which is inevitable (an epithet of the Day of Judgement).  Qur’án 69.  The Sure Reality or the Reality</w:t>
      </w:r>
    </w:p>
    <w:p w14:paraId="1025966A" w14:textId="77777777" w:rsidR="00625A5B" w:rsidRDefault="00625A5B" w:rsidP="00BF44E0">
      <w:pPr>
        <w:pStyle w:val="Translit"/>
      </w:pPr>
      <w:r>
        <w:t>Haqqa</w:t>
      </w:r>
      <w:r>
        <w:tab/>
      </w:r>
      <w:r w:rsidRPr="00BF44E0">
        <w:t>Ḥaqqa</w:t>
      </w:r>
      <w:r>
        <w:t>[h or t]</w:t>
      </w:r>
      <w:r>
        <w:tab/>
        <w:t xml:space="preserve">(fem. of </w:t>
      </w:r>
      <w:r w:rsidRPr="008F03E5">
        <w:t>ḥ</w:t>
      </w:r>
      <w:r w:rsidRPr="008F03E5">
        <w:rPr>
          <w:rFonts w:eastAsia="PMingLiU"/>
          <w:lang w:eastAsia="zh-TW"/>
        </w:rPr>
        <w:t>aqq</w:t>
      </w:r>
      <w:r>
        <w:rPr>
          <w:rFonts w:eastAsia="PMingLiU"/>
          <w:lang w:eastAsia="zh-TW"/>
        </w:rPr>
        <w:t>)</w:t>
      </w:r>
      <w:r w:rsidRPr="00BF44E0">
        <w:t xml:space="preserve"> to be true, turn out to be true, be confirmed; to be right, correct; (also pass</w:t>
      </w:r>
      <w:r>
        <w:t>ive</w:t>
      </w:r>
      <w:r w:rsidRPr="00BF44E0">
        <w:t xml:space="preserve"> ḥuqqa) to be necessary, obligatory, requisite</w:t>
      </w:r>
    </w:p>
    <w:p w14:paraId="0D08242C" w14:textId="77777777" w:rsidR="00625A5B" w:rsidRPr="008F03E5" w:rsidRDefault="00625A5B" w:rsidP="00566693">
      <w:pPr>
        <w:pStyle w:val="Translit"/>
        <w:rPr>
          <w:rFonts w:eastAsia="PMingLiU"/>
          <w:lang w:eastAsia="zh-TW"/>
        </w:rPr>
      </w:pPr>
      <w:r w:rsidRPr="008F03E5">
        <w:rPr>
          <w:rFonts w:eastAsia="PMingLiU"/>
          <w:lang w:eastAsia="zh-TW"/>
        </w:rPr>
        <w:t>Haqqan</w:t>
      </w:r>
      <w:r w:rsidRPr="008F03E5">
        <w:rPr>
          <w:rFonts w:eastAsia="PMingLiU"/>
          <w:lang w:eastAsia="zh-TW"/>
        </w:rPr>
        <w:tab/>
        <w:t>Ḥaqqan</w:t>
      </w:r>
      <w:r w:rsidRPr="008F03E5">
        <w:rPr>
          <w:rFonts w:eastAsia="PMingLiU"/>
          <w:lang w:eastAsia="zh-TW"/>
        </w:rPr>
        <w:tab/>
        <w:t>really, in reality, in effect, actually, in fact, indeed, truly, in truth; justly, rightly, by rights</w:t>
      </w:r>
    </w:p>
    <w:p w14:paraId="0C60604A" w14:textId="77777777" w:rsidR="00625A5B" w:rsidRPr="008F03E5" w:rsidRDefault="00625A5B" w:rsidP="00566693">
      <w:pPr>
        <w:pStyle w:val="Translit"/>
      </w:pPr>
      <w:r w:rsidRPr="008F03E5">
        <w:t>Haqqani</w:t>
      </w:r>
      <w:r w:rsidRPr="008F03E5">
        <w:tab/>
        <w:t>Ḥaqqání</w:t>
      </w:r>
      <w:r w:rsidRPr="008F03E5">
        <w:tab/>
        <w:t>correct, right, proper, sound, valid, legitimate, legal</w:t>
      </w:r>
    </w:p>
    <w:p w14:paraId="685AA21D" w14:textId="77777777" w:rsidR="00625A5B" w:rsidRPr="008F03E5" w:rsidRDefault="00625A5B" w:rsidP="00013A17">
      <w:pPr>
        <w:pStyle w:val="Translit"/>
      </w:pPr>
      <w:r w:rsidRPr="008F03E5">
        <w:t>Haqqu’llah, Huququ’llah</w:t>
      </w:r>
      <w:r w:rsidRPr="008F03E5">
        <w:tab/>
        <w:t>Ḥaqqu’lláh, pl. Ḥuqúqu’lláh</w:t>
      </w:r>
      <w:r w:rsidRPr="008F03E5">
        <w:tab/>
        <w:t>“Right of God”</w:t>
      </w:r>
    </w:p>
    <w:p w14:paraId="780A2B51" w14:textId="77777777" w:rsidR="00625A5B" w:rsidRPr="008F03E5" w:rsidRDefault="00625A5B" w:rsidP="00566693">
      <w:pPr>
        <w:pStyle w:val="Translit"/>
      </w:pPr>
      <w:r w:rsidRPr="008F03E5">
        <w:rPr>
          <w:rFonts w:eastAsia="Times New Roman"/>
        </w:rPr>
        <w:t>Haq-shinas (Haqshinas)</w:t>
      </w:r>
      <w:r w:rsidRPr="008F03E5">
        <w:rPr>
          <w:rFonts w:eastAsia="Times New Roman"/>
        </w:rPr>
        <w:tab/>
        <w:t>Ḥaq-</w:t>
      </w:r>
      <w:r w:rsidRPr="008F03E5">
        <w:rPr>
          <w:rFonts w:eastAsia="Times New Roman"/>
          <w:u w:val="single"/>
        </w:rPr>
        <w:t>sh</w:t>
      </w:r>
      <w:r w:rsidRPr="008F03E5">
        <w:rPr>
          <w:rFonts w:eastAsia="Times New Roman"/>
        </w:rPr>
        <w:t>inás (Ḥaq</w:t>
      </w:r>
      <w:r w:rsidRPr="008F03E5">
        <w:rPr>
          <w:rFonts w:eastAsia="Times New Roman"/>
          <w:u w:val="single"/>
        </w:rPr>
        <w:t>sh</w:t>
      </w:r>
      <w:r w:rsidRPr="008F03E5">
        <w:rPr>
          <w:rFonts w:eastAsia="Times New Roman"/>
        </w:rPr>
        <w:t>inás)</w:t>
      </w:r>
      <w:r w:rsidRPr="008F03E5">
        <w:rPr>
          <w:rFonts w:eastAsia="Times New Roman"/>
        </w:rPr>
        <w:tab/>
        <w:t>Pers. knowing and performing one’s duty; rendering to everyone his due; able to appreciate; grateful (“truth-knower”)</w:t>
      </w:r>
    </w:p>
    <w:p w14:paraId="392CBB23" w14:textId="77777777" w:rsidR="00625A5B" w:rsidRPr="008F03E5" w:rsidRDefault="00625A5B" w:rsidP="00904D06">
      <w:pPr>
        <w:pStyle w:val="Translit"/>
      </w:pPr>
      <w:r w:rsidRPr="008F03E5">
        <w:t>Hara</w:t>
      </w:r>
      <w:r w:rsidRPr="008F03E5">
        <w:tab/>
        <w:t>Hará[h or t]</w:t>
      </w:r>
      <w:r w:rsidRPr="008F03E5">
        <w:tab/>
        <w:t xml:space="preserve">Herat (city in </w:t>
      </w:r>
      <w:r w:rsidRPr="008F03E5">
        <w:rPr>
          <w:sz w:val="16"/>
          <w:szCs w:val="16"/>
        </w:rPr>
        <w:t>NW</w:t>
      </w:r>
      <w:r w:rsidRPr="008F03E5">
        <w:t xml:space="preserve"> Afghanistan)</w:t>
      </w:r>
    </w:p>
    <w:p w14:paraId="0413F92C" w14:textId="77777777" w:rsidR="00625A5B" w:rsidRPr="008F03E5" w:rsidRDefault="00625A5B" w:rsidP="0090104F">
      <w:pPr>
        <w:pStyle w:val="Translit"/>
      </w:pPr>
      <w:r w:rsidRPr="00D45A23">
        <w:rPr>
          <w:lang w:val="de-DE"/>
        </w:rPr>
        <w:t>Haraka, Harakat</w:t>
      </w:r>
      <w:r w:rsidRPr="00D45A23">
        <w:rPr>
          <w:lang w:val="de-DE"/>
        </w:rPr>
        <w:tab/>
        <w:t xml:space="preserve">Ḥaraka[h or t], pl. </w:t>
      </w:r>
      <w:r w:rsidRPr="008F03E5">
        <w:t>Harakát</w:t>
      </w:r>
      <w:r w:rsidRPr="008F03E5">
        <w:tab/>
        <w:t>movement, motion; commotion; physical exercise; stirring, impulse; proceeding, procedure, policy; action, undertaking, enterprise; military operation; continuation, progress; traffic (rail, shipping, street); movement (as a social phenomenon); vowel (grammar)</w:t>
      </w:r>
    </w:p>
    <w:p w14:paraId="0D4ABD17" w14:textId="77777777" w:rsidR="00625A5B" w:rsidRPr="008F03E5" w:rsidRDefault="00625A5B" w:rsidP="00566693">
      <w:pPr>
        <w:pStyle w:val="Translit"/>
      </w:pPr>
      <w:r w:rsidRPr="008F03E5">
        <w:t>Haram ash-Sharif</w:t>
      </w:r>
      <w:r w:rsidRPr="008F03E5">
        <w:tab/>
        <w:t>al-Ḥaram a</w:t>
      </w:r>
      <w:r w:rsidRPr="008F03E5">
        <w:rPr>
          <w:u w:val="single"/>
        </w:rPr>
        <w:t>sh</w:t>
      </w:r>
      <w:r w:rsidRPr="008F03E5">
        <w:t>-</w:t>
      </w:r>
      <w:r w:rsidRPr="008F03E5">
        <w:rPr>
          <w:u w:val="single"/>
        </w:rPr>
        <w:t>Sh</w:t>
      </w:r>
      <w:r w:rsidRPr="008F03E5">
        <w:t>aríf</w:t>
      </w:r>
      <w:r w:rsidRPr="008F03E5">
        <w:tab/>
        <w:t>“the Noble Sanctuary” or Temple Mount in Jerusalem</w:t>
      </w:r>
    </w:p>
    <w:p w14:paraId="0744E65D" w14:textId="77777777" w:rsidR="00625A5B" w:rsidRPr="008F03E5" w:rsidRDefault="00625A5B" w:rsidP="00C25921">
      <w:pPr>
        <w:pStyle w:val="Translit"/>
      </w:pPr>
      <w:r w:rsidRPr="008F03E5">
        <w:t>Haram, Ahram</w:t>
      </w:r>
      <w:r w:rsidRPr="008F03E5">
        <w:tab/>
        <w:t xml:space="preserve">Ḥaram, </w:t>
      </w:r>
      <w:r>
        <w:t xml:space="preserve">dual </w:t>
      </w:r>
      <w:r w:rsidRPr="00C94287">
        <w:t>Ḥ</w:t>
      </w:r>
      <w:r>
        <w:t xml:space="preserve">aramayn, </w:t>
      </w:r>
      <w:r w:rsidRPr="008F03E5">
        <w:t>pl. Aḥrám</w:t>
      </w:r>
      <w:r w:rsidRPr="008F03E5">
        <w:tab/>
        <w:t>forbidden, prohibited, interdicted; taboo; holy, sacred, sacrosanct; something sacred, sacred object; sacred possession; wife; sanctum, sanctuary, sacred precinct</w:t>
      </w:r>
      <w:r>
        <w:t xml:space="preserve">; </w:t>
      </w:r>
      <w:r w:rsidRPr="00C94287">
        <w:t>the two Holy Places, Mecca and Medina</w:t>
      </w:r>
      <w:r>
        <w:t>, and</w:t>
      </w:r>
      <w:r w:rsidRPr="00C94287">
        <w:t xml:space="preserve"> </w:t>
      </w:r>
      <w:r w:rsidRPr="00C94287">
        <w:rPr>
          <w:u w:val="single"/>
        </w:rPr>
        <w:t>th</w:t>
      </w:r>
      <w:r>
        <w:t>á</w:t>
      </w:r>
      <w:r w:rsidRPr="00C94287">
        <w:t>li</w:t>
      </w:r>
      <w:r w:rsidRPr="00C94287">
        <w:rPr>
          <w:u w:val="single"/>
        </w:rPr>
        <w:t>th</w:t>
      </w:r>
      <w:r w:rsidRPr="00C94287">
        <w:t xml:space="preserve"> al-ḥarama</w:t>
      </w:r>
      <w:r>
        <w:t>y</w:t>
      </w:r>
      <w:r w:rsidRPr="00C94287">
        <w:t>n the third Holy Place, i.e., Jerusalem</w:t>
      </w:r>
      <w:r>
        <w:t>.</w:t>
      </w:r>
      <w:r w:rsidRPr="008F03E5">
        <w:t xml:space="preserve">  The sacred sanctuary at Mecca where no blood may be spilled, and the four months with the same sanction in the Arabic calendar.  Fort Antonia or “Temple Mount” in Jerusalem is also known by Muslims (in the belief that it is the site of the Jewish Temples) as al-Ḥaram a</w:t>
      </w:r>
      <w:r w:rsidRPr="008F03E5">
        <w:rPr>
          <w:u w:val="single"/>
        </w:rPr>
        <w:t>sh</w:t>
      </w:r>
      <w:r w:rsidRPr="008F03E5">
        <w:t>-</w:t>
      </w:r>
      <w:r w:rsidRPr="008F03E5">
        <w:rPr>
          <w:u w:val="single"/>
        </w:rPr>
        <w:t>Sh</w:t>
      </w:r>
      <w:r w:rsidRPr="008F03E5">
        <w:t>aríf, “the Noble Sanctuary”, or al-Ḥaram al-Qudsí a</w:t>
      </w:r>
      <w:r w:rsidRPr="00F91EB1">
        <w:rPr>
          <w:u w:val="single"/>
        </w:rPr>
        <w:t>sh</w:t>
      </w:r>
      <w:r w:rsidRPr="008F03E5">
        <w:t>-</w:t>
      </w:r>
      <w:r w:rsidRPr="008F03E5">
        <w:rPr>
          <w:u w:val="single"/>
        </w:rPr>
        <w:t>Sh</w:t>
      </w:r>
      <w:r w:rsidRPr="008F03E5">
        <w:t>aríf, “the Noble Sanctuary of Jerusalem”.</w:t>
      </w:r>
      <w:r>
        <w:t xml:space="preserve">  </w:t>
      </w:r>
      <w:r w:rsidRPr="008F03E5">
        <w:t>Compare with Ḥill.</w:t>
      </w:r>
    </w:p>
    <w:p w14:paraId="79462A70" w14:textId="77777777" w:rsidR="00625A5B" w:rsidRPr="008F03E5" w:rsidRDefault="00625A5B" w:rsidP="00566693">
      <w:pPr>
        <w:pStyle w:val="Translit"/>
      </w:pPr>
      <w:r w:rsidRPr="008F03E5">
        <w:t>Haram, Ahram</w:t>
      </w:r>
      <w:r w:rsidRPr="008F03E5">
        <w:tab/>
        <w:t>Haram, pl. Ahrám, Ahrámát</w:t>
      </w:r>
      <w:r w:rsidRPr="008F03E5">
        <w:tab/>
        <w:t xml:space="preserve">pyramid.  </w:t>
      </w:r>
      <w:r w:rsidRPr="008F03E5">
        <w:rPr>
          <w:i/>
          <w:iCs/>
        </w:rPr>
        <w:t>al-Ahrám</w:t>
      </w:r>
      <w:r w:rsidRPr="008F03E5">
        <w:t xml:space="preserve"> (“The Pyramids”) (5 August 1875–) is the most widely circulating Egyptian daily newspaper, and the second oldest after </w:t>
      </w:r>
      <w:r w:rsidRPr="008F03E5">
        <w:rPr>
          <w:i/>
          <w:iCs/>
        </w:rPr>
        <w:t>al-Waqá’i‘ al-Maṣriyyah</w:t>
      </w:r>
      <w:r w:rsidRPr="008F03E5">
        <w:t>.  It is majority owned by the Egyptian government.</w:t>
      </w:r>
    </w:p>
    <w:p w14:paraId="13D714C9" w14:textId="77777777" w:rsidR="00625A5B" w:rsidRPr="008F03E5" w:rsidRDefault="00625A5B" w:rsidP="00AD26F4">
      <w:pPr>
        <w:pStyle w:val="Translit"/>
      </w:pPr>
      <w:r w:rsidRPr="008F03E5">
        <w:t>Haram, Hurum</w:t>
      </w:r>
      <w:r w:rsidRPr="008F03E5">
        <w:tab/>
        <w:t>Ḥarám, pl. Ḥurum</w:t>
      </w:r>
      <w:r w:rsidRPr="008F03E5">
        <w:tab/>
        <w:t>forbidden, interdicted, prohibited, unlawful; something forbidden, offense, sin; inviolable, taboo; sacred, sacrosanct; cursed, accursed.  Ḥarám</w:t>
      </w:r>
      <w:r>
        <w:t xml:space="preserve"> is a variation of </w:t>
      </w:r>
      <w:r w:rsidRPr="008F03E5">
        <w:t>Ḥar</w:t>
      </w:r>
      <w:r>
        <w:t>a</w:t>
      </w:r>
      <w:r w:rsidRPr="008F03E5">
        <w:t>m</w:t>
      </w:r>
      <w:r>
        <w:t>.</w:t>
      </w:r>
    </w:p>
    <w:p w14:paraId="3D450D81" w14:textId="77777777" w:rsidR="00625A5B" w:rsidRPr="008F03E5" w:rsidRDefault="00625A5B" w:rsidP="00AD50E5">
      <w:pPr>
        <w:pStyle w:val="Translit"/>
      </w:pPr>
      <w:r w:rsidRPr="008F03E5">
        <w:t>Haramayn (Haramain)</w:t>
      </w:r>
      <w:r w:rsidRPr="008F03E5">
        <w:tab/>
        <w:t>al-Ḥaramayn</w:t>
      </w:r>
      <w:r w:rsidRPr="008F03E5">
        <w:tab/>
        <w:t xml:space="preserve">(dual pl. form of Ḥaram, sanctuary) “The Two Holy Places” or “The Two Sanctuaries”, traditional Islamic appellations of the two holy cities of Islam, Mecca and Medina.  The “Twin Sacred Shrines” now refers to the places in </w:t>
      </w:r>
      <w:r w:rsidRPr="008F03E5">
        <w:rPr>
          <w:u w:val="single"/>
        </w:rPr>
        <w:t>Sh</w:t>
      </w:r>
      <w:r w:rsidRPr="008F03E5">
        <w:t xml:space="preserve">íráz where the Báb was born </w:t>
      </w:r>
      <w:r>
        <w:t xml:space="preserve">(house of His uncle, </w:t>
      </w:r>
      <w:r w:rsidRPr="008F03E5">
        <w:t>Ḥájí Mírzá Siyyid ‘Alí</w:t>
      </w:r>
      <w:r>
        <w:t>)</w:t>
      </w:r>
      <w:r w:rsidRPr="008F03E5">
        <w:t xml:space="preserve"> and where He made His public declaration</w:t>
      </w:r>
      <w:r>
        <w:t xml:space="preserve"> (House of the Báb)</w:t>
      </w:r>
      <w:r w:rsidRPr="008F03E5">
        <w:t>.</w:t>
      </w:r>
    </w:p>
    <w:p w14:paraId="1D23E755" w14:textId="77777777" w:rsidR="00625A5B" w:rsidRPr="008F03E5" w:rsidRDefault="00625A5B" w:rsidP="0073367C">
      <w:pPr>
        <w:pStyle w:val="Translit"/>
      </w:pPr>
      <w:r w:rsidRPr="008F03E5">
        <w:t>Haram-i-Aqdas</w:t>
      </w:r>
      <w:r w:rsidRPr="008F03E5">
        <w:tab/>
        <w:t>Ḥaram-i-Aqdas</w:t>
      </w:r>
      <w:r w:rsidRPr="008F03E5">
        <w:tab/>
        <w:t>Most Holy Sanctuary or Precincts</w:t>
      </w:r>
      <w:r>
        <w:t>, i.e. the</w:t>
      </w:r>
      <w:r w:rsidRPr="008F03E5">
        <w:t xml:space="preserve"> Shrine of Bahá’u’lláh </w:t>
      </w:r>
      <w:r>
        <w:t xml:space="preserve">in the </w:t>
      </w:r>
      <w:r w:rsidRPr="00A86DFE">
        <w:t>Jannat-i-Abhá (Abhá paradise)</w:t>
      </w:r>
      <w:r>
        <w:t xml:space="preserve"> (according to Shoghi Effendi) </w:t>
      </w:r>
      <w:r w:rsidRPr="008F03E5">
        <w:t>and the surrounding gardens</w:t>
      </w:r>
      <w:r>
        <w:t xml:space="preserve"> </w:t>
      </w:r>
      <w:r w:rsidRPr="008F03E5">
        <w:t>at Bahjí.</w:t>
      </w:r>
    </w:p>
    <w:p w14:paraId="056E56B7" w14:textId="77777777" w:rsidR="00625A5B" w:rsidRPr="008F03E5" w:rsidRDefault="00625A5B" w:rsidP="00C25921">
      <w:pPr>
        <w:pStyle w:val="Translit"/>
      </w:pPr>
      <w:r w:rsidRPr="00C25921">
        <w:t>Haram-i-Fatimih-i-Ma’sumih</w:t>
      </w:r>
      <w:r w:rsidRPr="00C25921">
        <w:tab/>
        <w:t>Ḥaram-i-Fáṭimih-i-Ma‘ṣúmih</w:t>
      </w:r>
      <w:r w:rsidRPr="00C25921">
        <w:tab/>
        <w:t>Pers. f</w:t>
      </w:r>
      <w:r>
        <w:t xml:space="preserve">orm of </w:t>
      </w:r>
      <w:r w:rsidRPr="00C25921">
        <w:rPr>
          <w:lang w:val="en-AU"/>
        </w:rPr>
        <w:t>Ḥaram</w:t>
      </w:r>
      <w:r w:rsidRPr="008F03E5">
        <w:t xml:space="preserve"> </w:t>
      </w:r>
      <w:r>
        <w:t>(</w:t>
      </w:r>
      <w:r w:rsidRPr="008F03E5">
        <w:t>Shrine of</w:t>
      </w:r>
      <w:r>
        <w:t>)</w:t>
      </w:r>
      <w:r w:rsidRPr="008F03E5">
        <w:t xml:space="preserve"> Fáṭima al-Ma‘</w:t>
      </w:r>
      <w:r w:rsidRPr="00EE4EF3">
        <w:t>ṣ</w:t>
      </w:r>
      <w:r w:rsidRPr="008F03E5">
        <w:t>úm</w:t>
      </w:r>
      <w:r>
        <w:t>a</w:t>
      </w:r>
      <w:r w:rsidRPr="008F03E5">
        <w:t xml:space="preserve"> (34.641822, 50.879045), sister of Imám ‘Alí ar-Riḍá (8th Imám), in Qum, Iran.  See Ma‘</w:t>
      </w:r>
      <w:r w:rsidRPr="00C25921">
        <w:t>ṣ</w:t>
      </w:r>
      <w:r w:rsidRPr="008F03E5">
        <w:t>úm</w:t>
      </w:r>
      <w:r>
        <w:t>.</w:t>
      </w:r>
    </w:p>
    <w:p w14:paraId="75014BBF" w14:textId="77777777" w:rsidR="00625A5B" w:rsidRPr="008F03E5" w:rsidRDefault="00625A5B" w:rsidP="00897739">
      <w:pPr>
        <w:pStyle w:val="Translit"/>
      </w:pPr>
      <w:r w:rsidRPr="00932D41">
        <w:rPr>
          <w:lang w:val="en-AU"/>
        </w:rPr>
        <w:t>Haram-zada</w:t>
      </w:r>
      <w:r w:rsidRPr="00932D41">
        <w:rPr>
          <w:lang w:val="en-AU"/>
        </w:rPr>
        <w:tab/>
        <w:t>Ḥarám-záda</w:t>
      </w:r>
      <w:r w:rsidRPr="00932D41">
        <w:rPr>
          <w:lang w:val="en-AU"/>
        </w:rPr>
        <w:tab/>
        <w:t xml:space="preserve">Pers. </w:t>
      </w:r>
      <w:r w:rsidRPr="008F03E5">
        <w:t>“illicit born”, i</w:t>
      </w:r>
      <w:r w:rsidRPr="008F03E5">
        <w:rPr>
          <w:rFonts w:eastAsia="Times New Roman"/>
        </w:rPr>
        <w:t>llegitimate, spurious; a bastard</w:t>
      </w:r>
    </w:p>
    <w:p w14:paraId="4DC3D11A" w14:textId="77777777" w:rsidR="00625A5B" w:rsidRPr="008F03E5" w:rsidRDefault="00625A5B" w:rsidP="007452DE">
      <w:pPr>
        <w:pStyle w:val="Translit"/>
      </w:pPr>
      <w:r w:rsidRPr="008F03E5">
        <w:t>Harat (Herat)</w:t>
      </w:r>
      <w:r w:rsidRPr="008F03E5">
        <w:tab/>
        <w:t>Harát</w:t>
      </w:r>
      <w:r w:rsidRPr="008F03E5">
        <w:tab/>
        <w:t xml:space="preserve">city (30.055184, 54.372201) in Iran, 180 km </w:t>
      </w:r>
      <w:r w:rsidRPr="008F03E5">
        <w:rPr>
          <w:sz w:val="16"/>
          <w:szCs w:val="16"/>
        </w:rPr>
        <w:t>ENE</w:t>
      </w:r>
      <w:r w:rsidRPr="008F03E5">
        <w:t xml:space="preserve"> Shiraz.  Also the third largest city in Afghanistan.</w:t>
      </w:r>
    </w:p>
    <w:p w14:paraId="6C39AFE1" w14:textId="77777777" w:rsidR="00625A5B" w:rsidRPr="008F03E5" w:rsidRDefault="00625A5B" w:rsidP="006A0143">
      <w:pPr>
        <w:pStyle w:val="Translit"/>
      </w:pPr>
      <w:r w:rsidRPr="008F03E5">
        <w:t>Harati</w:t>
      </w:r>
      <w:r w:rsidRPr="008F03E5">
        <w:tab/>
        <w:t>Harátí</w:t>
      </w:r>
      <w:r w:rsidRPr="008F03E5">
        <w:tab/>
        <w:t>from Harat (Herat), Iran</w:t>
      </w:r>
    </w:p>
    <w:p w14:paraId="7C1D37FB" w14:textId="77777777" w:rsidR="00625A5B" w:rsidRPr="008F03E5" w:rsidRDefault="00625A5B" w:rsidP="00BD3A7E">
      <w:pPr>
        <w:pStyle w:val="Translit"/>
      </w:pPr>
      <w:r w:rsidRPr="008F03E5">
        <w:t>Harawi, Hirawi</w:t>
      </w:r>
      <w:r w:rsidRPr="008F03E5">
        <w:tab/>
        <w:t>Harawí</w:t>
      </w:r>
      <w:r w:rsidRPr="008F03E5">
        <w:tab/>
        <w:t>from Herat, Afghanistan</w:t>
      </w:r>
    </w:p>
    <w:p w14:paraId="07F991F2" w14:textId="77777777" w:rsidR="00625A5B" w:rsidRPr="008F03E5" w:rsidRDefault="00625A5B" w:rsidP="00C85332">
      <w:pPr>
        <w:pStyle w:val="Translit"/>
      </w:pPr>
      <w:r w:rsidRPr="008F03E5">
        <w:t>Harb, Hurub</w:t>
      </w:r>
      <w:r w:rsidRPr="008F03E5">
        <w:tab/>
        <w:t>Ḥarb fem., pl. Ḥurúb</w:t>
      </w:r>
      <w:r w:rsidRPr="008F03E5">
        <w:tab/>
        <w:t>war, warfare; fight, combat, battle; enemy, enemies</w:t>
      </w:r>
    </w:p>
    <w:p w14:paraId="0C60AAD6" w14:textId="77777777" w:rsidR="00625A5B" w:rsidRPr="008F03E5" w:rsidRDefault="00625A5B" w:rsidP="005056B4">
      <w:pPr>
        <w:pStyle w:val="Translit"/>
      </w:pPr>
      <w:r w:rsidRPr="008F03E5">
        <w:t>Harf, Hiraf, Huruf, Ahruf</w:t>
      </w:r>
      <w:r w:rsidRPr="008F03E5">
        <w:tab/>
        <w:t>Ḥarf, pl. Ḥiraf, Ḥurúf, Aḥruf</w:t>
      </w:r>
      <w:r w:rsidRPr="008F03E5">
        <w:tab/>
        <w:t xml:space="preserve">(cutting) edge (of a knife, of a sword); sharp edge; border, edge, rim, brink, verge; a letter of the alphabet.—(pl. ḥurúf, aḥruf) letter; consonant; particle (grammar); type (typography).  Ḥurúf al-‘Arabíya (Arabic letters) </w:t>
      </w:r>
    </w:p>
    <w:p w14:paraId="738696E0" w14:textId="77777777" w:rsidR="00625A5B" w:rsidRPr="008F03E5" w:rsidRDefault="00625A5B" w:rsidP="00645E0C">
      <w:pPr>
        <w:pStyle w:val="Translit"/>
      </w:pPr>
      <w:r w:rsidRPr="008F03E5">
        <w:t>Harfi</w:t>
      </w:r>
      <w:r w:rsidRPr="008F03E5">
        <w:tab/>
        <w:t>Ḥarfí</w:t>
      </w:r>
      <w:r w:rsidRPr="008F03E5">
        <w:tab/>
        <w:t>literal</w:t>
      </w:r>
    </w:p>
    <w:p w14:paraId="0D5705FD" w14:textId="77777777" w:rsidR="00625A5B" w:rsidRPr="008F03E5" w:rsidRDefault="00625A5B" w:rsidP="00566693">
      <w:pPr>
        <w:pStyle w:val="Translit"/>
      </w:pPr>
      <w:r w:rsidRPr="008F03E5">
        <w:t>Harf-i-Baqa</w:t>
      </w:r>
      <w:r w:rsidRPr="008F03E5">
        <w:tab/>
        <w:t>Ḥarf-i-Baqá</w:t>
      </w:r>
      <w:r w:rsidRPr="008F03E5">
        <w:tab/>
        <w:t>“Letter of Eternity”</w:t>
      </w:r>
    </w:p>
    <w:p w14:paraId="5E8D8311" w14:textId="77777777" w:rsidR="00625A5B" w:rsidRPr="008F03E5" w:rsidRDefault="00625A5B" w:rsidP="00566693">
      <w:pPr>
        <w:pStyle w:val="Translit"/>
      </w:pPr>
      <w:r w:rsidRPr="008F03E5">
        <w:t>Hargah (Har-gah)</w:t>
      </w:r>
      <w:r w:rsidRPr="008F03E5">
        <w:tab/>
        <w:t>Hargáh</w:t>
      </w:r>
      <w:r w:rsidRPr="008F03E5">
        <w:tab/>
        <w:t>Pers. whenever, wherever; constantly</w:t>
      </w:r>
    </w:p>
    <w:p w14:paraId="75E9F9F1" w14:textId="77777777" w:rsidR="00625A5B" w:rsidRPr="008F03E5" w:rsidRDefault="00625A5B" w:rsidP="000059A9">
      <w:pPr>
        <w:pStyle w:val="Translit"/>
      </w:pPr>
      <w:r w:rsidRPr="008F03E5">
        <w:t>Harim, Hurum</w:t>
      </w:r>
      <w:r w:rsidRPr="008F03E5">
        <w:tab/>
        <w:t>Ḥarím, pl. Ḥurum</w:t>
      </w:r>
      <w:r w:rsidRPr="008F03E5">
        <w:tab/>
        <w:t>a sacred, inviolable place, sanctum, sanctuary, sacred, precinct; harem; female members of the family, women; wife</w:t>
      </w:r>
    </w:p>
    <w:p w14:paraId="2C26796E" w14:textId="77777777" w:rsidR="00625A5B" w:rsidRPr="008F03E5" w:rsidRDefault="00625A5B" w:rsidP="00566693">
      <w:pPr>
        <w:pStyle w:val="Translit"/>
      </w:pPr>
      <w:r w:rsidRPr="008F03E5">
        <w:t>Harir, Hara’ir</w:t>
      </w:r>
      <w:r w:rsidRPr="008F03E5">
        <w:tab/>
        <w:t>Ḥarír, pl. Ḥará’ir</w:t>
      </w:r>
      <w:r w:rsidRPr="008F03E5">
        <w:tab/>
        <w:t>silk;—pl. silken wares, silks</w:t>
      </w:r>
    </w:p>
    <w:p w14:paraId="5B0D3392" w14:textId="77777777" w:rsidR="00625A5B" w:rsidRPr="008F03E5" w:rsidRDefault="00625A5B" w:rsidP="00566693">
      <w:pPr>
        <w:pStyle w:val="Translit"/>
      </w:pPr>
      <w:r w:rsidRPr="008F03E5">
        <w:t>Hariri</w:t>
      </w:r>
      <w:r w:rsidRPr="008F03E5">
        <w:tab/>
        <w:t>Ḥarírí</w:t>
      </w:r>
      <w:r w:rsidRPr="008F03E5">
        <w:tab/>
        <w:t>silken, silky, of silk.  Abú Muḥammad al-Qásim ibn ‘Alí ibn Muḥammad ibn U</w:t>
      </w:r>
      <w:r w:rsidRPr="008F03E5">
        <w:rPr>
          <w:u w:val="single"/>
        </w:rPr>
        <w:t>th</w:t>
      </w:r>
      <w:r w:rsidRPr="008F03E5">
        <w:t>mán al-Ḥarírí, popularly known as al-Hariri of Basra (1054–1122) was an Arab poet, scholar of the Arabic language and a high government official of the Seljuk Empire.</w:t>
      </w:r>
    </w:p>
    <w:p w14:paraId="2480543D" w14:textId="77777777" w:rsidR="00625A5B" w:rsidRPr="008F03E5" w:rsidRDefault="00625A5B" w:rsidP="00566693">
      <w:pPr>
        <w:pStyle w:val="Translit"/>
      </w:pPr>
      <w:r w:rsidRPr="008F03E5">
        <w:t>Harith, Haritha, Hurrath</w:t>
      </w:r>
      <w:r w:rsidRPr="008F03E5">
        <w:tab/>
        <w:t>Ḥári</w:t>
      </w:r>
      <w:r w:rsidRPr="008F03E5">
        <w:rPr>
          <w:u w:val="single"/>
        </w:rPr>
        <w:t>th</w:t>
      </w:r>
      <w:r w:rsidRPr="008F03E5">
        <w:t>, fem. Ḥári</w:t>
      </w:r>
      <w:r w:rsidRPr="008F03E5">
        <w:rPr>
          <w:u w:val="single"/>
        </w:rPr>
        <w:t>th</w:t>
      </w:r>
      <w:r w:rsidRPr="008F03E5">
        <w:t>a[h], pl. Ḥurrá</w:t>
      </w:r>
      <w:r w:rsidRPr="008F03E5">
        <w:rPr>
          <w:u w:val="single"/>
        </w:rPr>
        <w:t>th</w:t>
      </w:r>
      <w:r w:rsidRPr="008F03E5">
        <w:tab/>
        <w:t>ploughman, cultivator, farmer.  Banú al-Ḥári</w:t>
      </w:r>
      <w:r w:rsidRPr="008F03E5">
        <w:rPr>
          <w:u w:val="single"/>
        </w:rPr>
        <w:t>th</w:t>
      </w:r>
      <w:r w:rsidRPr="008F03E5">
        <w:t xml:space="preserve"> Jewish tribe of Arabia.  Naḍr-ibn-i-Ḥári</w:t>
      </w:r>
      <w:r w:rsidRPr="008F03E5">
        <w:rPr>
          <w:u w:val="single"/>
        </w:rPr>
        <w:t>th</w:t>
      </w:r>
      <w:r w:rsidRPr="008F03E5">
        <w:t>:  religious leader during the time of Muḥammad.  Ubaydah ibn al-Ḥári</w:t>
      </w:r>
      <w:r w:rsidRPr="008F03E5">
        <w:rPr>
          <w:u w:val="single"/>
        </w:rPr>
        <w:t>th</w:t>
      </w:r>
      <w:r w:rsidRPr="008F03E5">
        <w:t xml:space="preserve"> (c. 562–624) was a cousin and a companion of Muḥammad.  Zayd ibn Ḥári</w:t>
      </w:r>
      <w:r w:rsidRPr="008F03E5">
        <w:rPr>
          <w:u w:val="single"/>
        </w:rPr>
        <w:t>th</w:t>
      </w:r>
      <w:r w:rsidRPr="008F03E5">
        <w:t>ah (c. 581–629) a companion of Muḥammad and adopted as his son.  He is the only Muslim apart from Muḥammad who is mentioned by name (as Zayd) in the Qur’án (33:37).</w:t>
      </w:r>
    </w:p>
    <w:p w14:paraId="6A2C66B9" w14:textId="77777777" w:rsidR="00625A5B" w:rsidRPr="008F03E5" w:rsidRDefault="00625A5B" w:rsidP="00566693">
      <w:pPr>
        <w:pStyle w:val="Translit"/>
      </w:pPr>
      <w:r w:rsidRPr="008F03E5">
        <w:t>Harj</w:t>
      </w:r>
      <w:r w:rsidRPr="008F03E5">
        <w:tab/>
        <w:t>Harj</w:t>
      </w:r>
      <w:r w:rsidRPr="008F03E5">
        <w:tab/>
        <w:t>excitement, agitation, commotion; disorder, muddle, confusion.  Harj can be interpreted as “killing”.</w:t>
      </w:r>
    </w:p>
    <w:p w14:paraId="446DBABF" w14:textId="77777777" w:rsidR="00625A5B" w:rsidRPr="008F03E5" w:rsidRDefault="00625A5B" w:rsidP="0071606A">
      <w:pPr>
        <w:pStyle w:val="Translit"/>
      </w:pPr>
      <w:r w:rsidRPr="008F03E5">
        <w:t>Harra, Harrat</w:t>
      </w:r>
      <w:r w:rsidRPr="008F03E5">
        <w:tab/>
        <w:t>Ḥarra[h or t], pl. Ḥarrát</w:t>
      </w:r>
      <w:r w:rsidRPr="008F03E5">
        <w:tab/>
        <w:t xml:space="preserve">stony area; volcanic country, lava field.  The Battle of al-Ḥarra (Yawm al-Ḥarra, “the day of al-Harra”) was fought between the Syrian army of the Umayyad caliph Yazíd I (r. 680–683) led by Muslim ibn ‘Uqba and the local defenders of Medina who had rebelled against the caliph.  The battle occurred at the lava field of Ḥarrat Wáqim (Black stone land of Waqim to the east of Medina) in the northeastern outskirts of Medina on 26 August 683.  Ḥarrat Raháṭ is a large volcanic lava field located south of Medina and extending 300 km south.  It has a number of volcanic cones.  In </w:t>
      </w:r>
      <w:r w:rsidRPr="008F03E5">
        <w:rPr>
          <w:sz w:val="16"/>
          <w:szCs w:val="16"/>
        </w:rPr>
        <w:t>CE</w:t>
      </w:r>
      <w:r w:rsidRPr="008F03E5">
        <w:t xml:space="preserve"> 1256 a lava flow travelled to within 4 km of Medina.</w:t>
      </w:r>
    </w:p>
    <w:p w14:paraId="40A20EAC" w14:textId="77777777" w:rsidR="00625A5B" w:rsidRPr="008F03E5" w:rsidRDefault="00625A5B" w:rsidP="000E5175">
      <w:pPr>
        <w:pStyle w:val="Translit"/>
      </w:pPr>
      <w:r w:rsidRPr="00077779">
        <w:rPr>
          <w:lang w:val="es-ES_tradnl"/>
        </w:rPr>
        <w:t>Harran, Harra, Hirar, Harara</w:t>
      </w:r>
      <w:r w:rsidRPr="00077779">
        <w:rPr>
          <w:lang w:val="es-ES_tradnl"/>
        </w:rPr>
        <w:tab/>
        <w:t xml:space="preserve">Ḥarrán, fem. </w:t>
      </w:r>
      <w:r w:rsidRPr="008F03E5">
        <w:t>Ḥarrá, pl. Ḥirár, Ḥarárá</w:t>
      </w:r>
      <w:r w:rsidRPr="008F03E5">
        <w:tab/>
        <w:t xml:space="preserve">thirsty; passionate, fervent, hot (figurative).  Ḥarrán (once the major ancient Parthian Empire city of Carrhae in Upper Mesopotamia; now Türkiye), 40 km </w:t>
      </w:r>
      <w:r w:rsidRPr="008F03E5">
        <w:rPr>
          <w:sz w:val="16"/>
          <w:szCs w:val="16"/>
        </w:rPr>
        <w:t>SE</w:t>
      </w:r>
      <w:r w:rsidRPr="008F03E5">
        <w:t xml:space="preserve"> of Urfa (officially Şanlıurfa, ancient Edessa) and 100 km north of ar-Raqqah (Syria).  See Battání</w:t>
      </w:r>
      <w:r>
        <w:t>.</w:t>
      </w:r>
    </w:p>
    <w:p w14:paraId="2419BBCC" w14:textId="77777777" w:rsidR="00625A5B" w:rsidRPr="008F03E5" w:rsidRDefault="00625A5B" w:rsidP="00451CC1">
      <w:pPr>
        <w:pStyle w:val="Translit"/>
      </w:pPr>
      <w:r w:rsidRPr="008F03E5">
        <w:t>Harun, Arina (Arna)</w:t>
      </w:r>
      <w:r w:rsidRPr="008F03E5">
        <w:tab/>
        <w:t>Hárún, fem. Arnína</w:t>
      </w:r>
      <w:r w:rsidRPr="008F03E5">
        <w:tab/>
        <w:t xml:space="preserve">Aaron (Hebrew </w:t>
      </w:r>
      <w:r w:rsidRPr="008F03E5">
        <w:rPr>
          <w:rtl/>
          <w:lang w:bidi="he-IL"/>
        </w:rPr>
        <w:t>אהרון</w:t>
      </w:r>
      <w:r w:rsidRPr="008F03E5">
        <w:rPr>
          <w:lang w:bidi="he-IL"/>
        </w:rPr>
        <w:t>,</w:t>
      </w:r>
      <w:r w:rsidRPr="008F03E5">
        <w:t xml:space="preserve"> Ahrwn); chief, leader; a messenger, courier; helplessness, indigence; astonishment; amazement.  Fem. Arnína (</w:t>
      </w:r>
      <w:r w:rsidRPr="008F03E5">
        <w:rPr>
          <w:rtl/>
          <w:lang w:bidi="he-IL"/>
        </w:rPr>
        <w:t>ארנינה</w:t>
      </w:r>
      <w:r w:rsidRPr="008F03E5">
        <w:rPr>
          <w:lang w:bidi="he-IL"/>
        </w:rPr>
        <w:t>, Arnính</w:t>
      </w:r>
      <w:r w:rsidRPr="008F03E5">
        <w:t>), can be shortened to Arna.</w:t>
      </w:r>
    </w:p>
    <w:p w14:paraId="0A463663" w14:textId="77777777" w:rsidR="00625A5B" w:rsidRPr="008F03E5" w:rsidRDefault="00625A5B" w:rsidP="00566693">
      <w:pPr>
        <w:pStyle w:val="Translit"/>
      </w:pPr>
      <w:r w:rsidRPr="008F03E5">
        <w:t>Harun-Abad</w:t>
      </w:r>
      <w:r w:rsidRPr="008F03E5">
        <w:tab/>
        <w:t>Hárún-Ábád</w:t>
      </w:r>
      <w:r w:rsidRPr="008F03E5">
        <w:tab/>
        <w:t>now Islám-Ábád-i-</w:t>
      </w:r>
      <w:r w:rsidRPr="008F03E5">
        <w:rPr>
          <w:u w:val="single"/>
        </w:rPr>
        <w:t>Gh</w:t>
      </w:r>
      <w:r w:rsidRPr="008F03E5">
        <w:t>arb, Írán</w:t>
      </w:r>
    </w:p>
    <w:p w14:paraId="42A12D0F" w14:textId="77777777" w:rsidR="00625A5B" w:rsidRPr="008F03E5" w:rsidRDefault="00625A5B" w:rsidP="00566693">
      <w:pPr>
        <w:pStyle w:val="Translit"/>
        <w:rPr>
          <w:rFonts w:eastAsia="PMingLiU"/>
          <w:lang w:eastAsia="zh-TW"/>
        </w:rPr>
      </w:pPr>
      <w:r w:rsidRPr="008F03E5">
        <w:rPr>
          <w:rFonts w:eastAsia="PMingLiU"/>
          <w:lang w:eastAsia="zh-TW"/>
        </w:rPr>
        <w:t>Harunu’r-Rashid</w:t>
      </w:r>
      <w:r w:rsidRPr="008F03E5">
        <w:tab/>
      </w:r>
      <w:r w:rsidRPr="008F03E5">
        <w:rPr>
          <w:rFonts w:eastAsia="PMingLiU"/>
          <w:lang w:eastAsia="zh-TW"/>
        </w:rPr>
        <w:t>Hár</w:t>
      </w:r>
      <w:r w:rsidRPr="008F03E5">
        <w:t>ú</w:t>
      </w:r>
      <w:r w:rsidRPr="008F03E5">
        <w:rPr>
          <w:rFonts w:eastAsia="PMingLiU"/>
          <w:lang w:eastAsia="zh-TW"/>
        </w:rPr>
        <w:t>nu’r-Ra</w:t>
      </w:r>
      <w:r w:rsidRPr="008F03E5">
        <w:rPr>
          <w:u w:val="single"/>
        </w:rPr>
        <w:t>sh</w:t>
      </w:r>
      <w:r w:rsidRPr="008F03E5">
        <w:rPr>
          <w:rFonts w:eastAsia="PMingLiU"/>
          <w:lang w:eastAsia="zh-TW"/>
        </w:rPr>
        <w:t>íd</w:t>
      </w:r>
      <w:r w:rsidRPr="008F03E5">
        <w:tab/>
        <w:t>Aaron the Just.  Fifth Abbasid Caliph.  See Zubayda.</w:t>
      </w:r>
    </w:p>
    <w:p w14:paraId="3C4A8206" w14:textId="77777777" w:rsidR="00625A5B" w:rsidRPr="008F03E5" w:rsidRDefault="00625A5B" w:rsidP="00566693">
      <w:pPr>
        <w:pStyle w:val="Translit"/>
      </w:pPr>
      <w:r w:rsidRPr="008F03E5">
        <w:t>Harut</w:t>
      </w:r>
      <w:r w:rsidRPr="008F03E5">
        <w:tab/>
        <w:t>Hárút</w:t>
      </w:r>
      <w:r w:rsidRPr="008F03E5">
        <w:tab/>
        <w:t>name of an angel, who, together with another named Márút (Qur’án 2:102), having severely censured mankind before the throne of God, was sent with him down to earth in human shapes to judge of the temptations to which man is subject.  They could not withstand them:  they were seduced by women, and committed every kind of iniquity; for which they were suspended by the feet in a well in Babylon, where they are to remain in great torment till the day of judgement.  They are said to be teachers of magic to man.  See Márút</w:t>
      </w:r>
    </w:p>
    <w:p w14:paraId="116AF766" w14:textId="77777777" w:rsidR="00625A5B" w:rsidRPr="008F03E5" w:rsidRDefault="00625A5B" w:rsidP="00844097">
      <w:pPr>
        <w:pStyle w:val="Translit"/>
      </w:pPr>
      <w:r w:rsidRPr="008F03E5">
        <w:t>Hasan, Hisan</w:t>
      </w:r>
      <w:r w:rsidRPr="008F03E5">
        <w:tab/>
        <w:t>Ḥasan (</w:t>
      </w:r>
      <w:r w:rsidRPr="008F03E5">
        <w:rPr>
          <w:rtl/>
        </w:rPr>
        <w:t>حسان</w:t>
      </w:r>
      <w:r w:rsidRPr="008F03E5">
        <w:t>), pl. Ḥisán</w:t>
      </w:r>
      <w:r w:rsidRPr="008F03E5">
        <w:tab/>
        <w:t>(masculine) beautiful, handsome, lovely; pretty, nice; good, agreeable; excellent, superior, exquisite.  Ḥasan is the name of the second Imám.  Compare Ḥassán.</w:t>
      </w:r>
    </w:p>
    <w:p w14:paraId="4FA1C804" w14:textId="77777777" w:rsidR="00625A5B" w:rsidRPr="008F03E5" w:rsidRDefault="00625A5B" w:rsidP="00566693">
      <w:pPr>
        <w:pStyle w:val="Translit"/>
      </w:pPr>
      <w:r w:rsidRPr="008F03E5">
        <w:t>Hasan</w:t>
      </w:r>
      <w:r w:rsidRPr="008F03E5">
        <w:rPr>
          <w:rFonts w:eastAsia="PMingLiU"/>
          <w:lang w:eastAsia="zh-TW"/>
        </w:rPr>
        <w:t>-‘</w:t>
      </w:r>
      <w:r w:rsidRPr="008F03E5">
        <w:t>Ali</w:t>
      </w:r>
      <w:r w:rsidRPr="008F03E5">
        <w:tab/>
        <w:t>Ḥasan-‘Alí</w:t>
      </w:r>
      <w:r w:rsidRPr="008F03E5">
        <w:tab/>
        <w:t>Siyyid Mírzá Ḥasan-‘Alí, youngest maternal uncle of the Báb</w:t>
      </w:r>
    </w:p>
    <w:p w14:paraId="0C8311A1" w14:textId="77777777" w:rsidR="00625A5B" w:rsidRPr="00077779" w:rsidRDefault="00625A5B" w:rsidP="00566693">
      <w:pPr>
        <w:pStyle w:val="Translit"/>
        <w:rPr>
          <w:lang w:val="es-ES_tradnl"/>
        </w:rPr>
      </w:pPr>
      <w:r w:rsidRPr="00077779">
        <w:rPr>
          <w:lang w:val="es-ES_tradnl"/>
        </w:rPr>
        <w:t>Hasan</w:t>
      </w:r>
      <w:r w:rsidRPr="00077779">
        <w:rPr>
          <w:rFonts w:eastAsia="PMingLiU"/>
          <w:lang w:val="es-ES_tradnl" w:eastAsia="zh-TW"/>
        </w:rPr>
        <w:t>-‘</w:t>
      </w:r>
      <w:r w:rsidRPr="00077779">
        <w:rPr>
          <w:lang w:val="es-ES_tradnl"/>
        </w:rPr>
        <w:t>Amu Murtada</w:t>
      </w:r>
      <w:r w:rsidRPr="00077779">
        <w:rPr>
          <w:lang w:val="es-ES_tradnl"/>
        </w:rPr>
        <w:tab/>
        <w:t>Ḥasan-‘Amú Murtaḍá</w:t>
      </w:r>
      <w:r w:rsidRPr="00077779">
        <w:rPr>
          <w:lang w:val="es-ES_tradnl"/>
        </w:rPr>
        <w:tab/>
        <w:t>(</w:t>
      </w:r>
      <w:r w:rsidRPr="00077779">
        <w:rPr>
          <w:sz w:val="16"/>
          <w:szCs w:val="16"/>
          <w:lang w:val="es-ES_tradnl"/>
        </w:rPr>
        <w:t>MF</w:t>
      </w:r>
      <w:r w:rsidRPr="00077779">
        <w:rPr>
          <w:lang w:val="es-ES_tradnl"/>
        </w:rPr>
        <w:t>)</w:t>
      </w:r>
    </w:p>
    <w:p w14:paraId="1B480E9B" w14:textId="77777777" w:rsidR="00625A5B" w:rsidRPr="00077779" w:rsidRDefault="00625A5B" w:rsidP="00844097">
      <w:pPr>
        <w:pStyle w:val="Translit"/>
        <w:rPr>
          <w:lang w:val="es-ES_tradnl"/>
        </w:rPr>
      </w:pPr>
      <w:r w:rsidRPr="00077779">
        <w:rPr>
          <w:lang w:val="es-ES_tradnl"/>
        </w:rPr>
        <w:t>Hasana, Hasanat</w:t>
      </w:r>
      <w:r w:rsidRPr="00077779">
        <w:rPr>
          <w:lang w:val="es-ES_tradnl"/>
        </w:rPr>
        <w:tab/>
        <w:t>Ḥasana[h or t] (</w:t>
      </w:r>
      <w:r w:rsidRPr="008F03E5">
        <w:rPr>
          <w:rFonts w:eastAsia="Times New Roman"/>
          <w:rtl/>
        </w:rPr>
        <w:t>حسنة</w:t>
      </w:r>
      <w:r w:rsidRPr="00077779">
        <w:rPr>
          <w:lang w:val="es-ES_tradnl"/>
        </w:rPr>
        <w:t>), pl. Ḥasanát</w:t>
      </w:r>
      <w:r w:rsidRPr="00077779">
        <w:rPr>
          <w:lang w:val="es-ES_tradnl"/>
        </w:rPr>
        <w:tab/>
        <w:t>(feminine of Ḥasan) good deed, benefaction; charity, alms; —pl. advantages, merits.</w:t>
      </w:r>
    </w:p>
    <w:p w14:paraId="3664FDDE" w14:textId="77777777" w:rsidR="00625A5B" w:rsidRPr="008F03E5" w:rsidRDefault="00625A5B" w:rsidP="00566693">
      <w:pPr>
        <w:pStyle w:val="Translit"/>
      </w:pPr>
      <w:r w:rsidRPr="008F03E5">
        <w:t>Hasan-Abad (Hasanabad)</w:t>
      </w:r>
      <w:r w:rsidRPr="008F03E5">
        <w:tab/>
        <w:t>Ḥasan Ábád</w:t>
      </w:r>
      <w:r w:rsidRPr="008F03E5">
        <w:tab/>
        <w:t>an old and historical area (District 3) to the north side of Ṭihrán (35.769492, 51.432398).  A town (also known as Ḥasanábád-i-Fa</w:t>
      </w:r>
      <w:r w:rsidRPr="008F03E5">
        <w:rPr>
          <w:u w:val="single"/>
        </w:rPr>
        <w:t>sh</w:t>
      </w:r>
      <w:r w:rsidRPr="008F03E5">
        <w:t>áfúyih) in Rayy County, Tehran Province (3rd stop from Ṭihrán for Bahá’u’lláh’s exile to Baghdad)</w:t>
      </w:r>
    </w:p>
    <w:p w14:paraId="5B6BF1E8" w14:textId="77777777" w:rsidR="00625A5B" w:rsidRPr="00077779" w:rsidRDefault="00625A5B" w:rsidP="00566693">
      <w:pPr>
        <w:pStyle w:val="Translit"/>
        <w:rPr>
          <w:rFonts w:eastAsia="PMingLiU"/>
          <w:lang w:val="es-ES_tradnl" w:eastAsia="zh-TW"/>
        </w:rPr>
      </w:pPr>
      <w:r w:rsidRPr="00077779">
        <w:rPr>
          <w:rFonts w:eastAsia="PMingLiU"/>
          <w:lang w:val="es-ES_tradnl" w:eastAsia="zh-TW"/>
        </w:rPr>
        <w:t>Hasani</w:t>
      </w:r>
      <w:r w:rsidRPr="00077779">
        <w:rPr>
          <w:lang w:val="es-ES_tradnl"/>
        </w:rPr>
        <w:tab/>
        <w:t>Ḥ</w:t>
      </w:r>
      <w:r w:rsidRPr="00077779">
        <w:rPr>
          <w:rFonts w:eastAsia="PMingLiU"/>
          <w:lang w:val="es-ES_tradnl" w:eastAsia="zh-TW"/>
        </w:rPr>
        <w:t>asaní</w:t>
      </w:r>
      <w:r w:rsidRPr="00077779">
        <w:rPr>
          <w:lang w:val="es-ES_tradnl"/>
        </w:rPr>
        <w:tab/>
        <w:t>of Ḥ</w:t>
      </w:r>
      <w:r w:rsidRPr="00077779">
        <w:rPr>
          <w:rFonts w:eastAsia="PMingLiU"/>
          <w:lang w:val="es-ES_tradnl" w:eastAsia="zh-TW"/>
        </w:rPr>
        <w:t xml:space="preserve">asaní, descendant of </w:t>
      </w:r>
      <w:r w:rsidRPr="00077779">
        <w:rPr>
          <w:lang w:val="es-ES_tradnl"/>
        </w:rPr>
        <w:t>Ḥ</w:t>
      </w:r>
      <w:r w:rsidRPr="00077779">
        <w:rPr>
          <w:rFonts w:eastAsia="PMingLiU"/>
          <w:lang w:val="es-ES_tradnl" w:eastAsia="zh-TW"/>
        </w:rPr>
        <w:t>asan</w:t>
      </w:r>
    </w:p>
    <w:p w14:paraId="572C3D54" w14:textId="77777777" w:rsidR="00625A5B" w:rsidRPr="00D45A23" w:rsidRDefault="00625A5B" w:rsidP="00566693">
      <w:pPr>
        <w:pStyle w:val="Translit"/>
        <w:rPr>
          <w:lang w:val="it-IT"/>
        </w:rPr>
      </w:pPr>
      <w:r w:rsidRPr="00D45A23">
        <w:rPr>
          <w:lang w:val="it-IT"/>
        </w:rPr>
        <w:t>Hasan-i</w:t>
      </w:r>
      <w:r w:rsidRPr="00D45A23">
        <w:rPr>
          <w:rFonts w:eastAsia="PMingLiU"/>
          <w:lang w:val="it-IT" w:eastAsia="zh-TW"/>
        </w:rPr>
        <w:t>-‘</w:t>
      </w:r>
      <w:r w:rsidRPr="00D45A23">
        <w:rPr>
          <w:lang w:val="it-IT"/>
        </w:rPr>
        <w:t>Ammu</w:t>
      </w:r>
      <w:r w:rsidRPr="00D45A23">
        <w:rPr>
          <w:lang w:val="it-IT"/>
        </w:rPr>
        <w:tab/>
        <w:t>Ḥasan-i-‘Ammú</w:t>
      </w:r>
      <w:r w:rsidRPr="00D45A23">
        <w:rPr>
          <w:lang w:val="it-IT"/>
        </w:rPr>
        <w:tab/>
      </w:r>
    </w:p>
    <w:p w14:paraId="57399682" w14:textId="77777777" w:rsidR="00625A5B" w:rsidRPr="00D45A23" w:rsidRDefault="00625A5B" w:rsidP="00566693">
      <w:pPr>
        <w:pStyle w:val="Translit"/>
        <w:rPr>
          <w:lang w:val="it-IT"/>
        </w:rPr>
      </w:pPr>
      <w:r w:rsidRPr="00D45A23">
        <w:rPr>
          <w:lang w:val="it-IT"/>
        </w:rPr>
        <w:t>Hasan-i-Hakim-Bashi</w:t>
      </w:r>
      <w:r w:rsidRPr="00D45A23">
        <w:rPr>
          <w:lang w:val="it-IT"/>
        </w:rPr>
        <w:tab/>
        <w:t>Ḥasan-i-Ḥakím-Bá</w:t>
      </w:r>
      <w:r w:rsidRPr="00D45A23">
        <w:rPr>
          <w:u w:val="single"/>
          <w:lang w:val="it-IT"/>
        </w:rPr>
        <w:t>sh</w:t>
      </w:r>
      <w:r w:rsidRPr="00D45A23">
        <w:rPr>
          <w:lang w:val="it-IT"/>
        </w:rPr>
        <w:t>í</w:t>
      </w:r>
      <w:r w:rsidRPr="00D45A23">
        <w:rPr>
          <w:lang w:val="it-IT"/>
        </w:rPr>
        <w:tab/>
      </w:r>
    </w:p>
    <w:p w14:paraId="574FCEA5" w14:textId="77777777" w:rsidR="00625A5B" w:rsidRPr="00D45A23" w:rsidRDefault="00625A5B" w:rsidP="00566693">
      <w:pPr>
        <w:pStyle w:val="Translit"/>
        <w:rPr>
          <w:lang w:val="it-IT"/>
        </w:rPr>
      </w:pPr>
      <w:r w:rsidRPr="00D45A23">
        <w:rPr>
          <w:lang w:val="it-IT"/>
        </w:rPr>
        <w:t>Hasan-i-Khurasani</w:t>
      </w:r>
      <w:r w:rsidRPr="00D45A23">
        <w:rPr>
          <w:lang w:val="it-IT"/>
        </w:rPr>
        <w:tab/>
        <w:t>Ḥasan-i-</w:t>
      </w:r>
      <w:r w:rsidRPr="00D45A23">
        <w:rPr>
          <w:u w:val="single"/>
          <w:lang w:val="it-IT"/>
        </w:rPr>
        <w:t>Kh</w:t>
      </w:r>
      <w:r w:rsidRPr="00D45A23">
        <w:rPr>
          <w:lang w:val="it-IT"/>
        </w:rPr>
        <w:t>urásání</w:t>
      </w:r>
      <w:r w:rsidRPr="00D45A23">
        <w:rPr>
          <w:lang w:val="it-IT"/>
        </w:rPr>
        <w:tab/>
      </w:r>
    </w:p>
    <w:p w14:paraId="2BB76C7B" w14:textId="77777777" w:rsidR="00625A5B" w:rsidRPr="00D45A23" w:rsidRDefault="00625A5B" w:rsidP="00566693">
      <w:pPr>
        <w:pStyle w:val="Translit"/>
        <w:rPr>
          <w:lang w:val="it-IT"/>
        </w:rPr>
      </w:pPr>
      <w:r w:rsidRPr="00D45A23">
        <w:rPr>
          <w:lang w:val="it-IT"/>
        </w:rPr>
        <w:t>Hasan-i-Mazindarani</w:t>
      </w:r>
      <w:r w:rsidRPr="00D45A23">
        <w:rPr>
          <w:lang w:val="it-IT"/>
        </w:rPr>
        <w:tab/>
        <w:t>Ḥasan-i-Mázindarání</w:t>
      </w:r>
      <w:r w:rsidRPr="00D45A23">
        <w:rPr>
          <w:lang w:val="it-IT"/>
        </w:rPr>
        <w:tab/>
      </w:r>
    </w:p>
    <w:p w14:paraId="36C96AAC" w14:textId="77777777" w:rsidR="00625A5B" w:rsidRPr="00D45A23" w:rsidRDefault="00625A5B" w:rsidP="00566693">
      <w:pPr>
        <w:pStyle w:val="Translit"/>
        <w:rPr>
          <w:lang w:val="pl-PL"/>
        </w:rPr>
      </w:pPr>
      <w:r w:rsidRPr="00D45A23">
        <w:rPr>
          <w:lang w:val="pl-PL"/>
        </w:rPr>
        <w:t>Hasan-i-Niku</w:t>
      </w:r>
      <w:r w:rsidRPr="00D45A23">
        <w:rPr>
          <w:lang w:val="pl-PL"/>
        </w:rPr>
        <w:tab/>
        <w:t>Ḥasan-i-Níkú</w:t>
      </w:r>
      <w:r w:rsidRPr="00D45A23">
        <w:rPr>
          <w:lang w:val="pl-PL"/>
        </w:rPr>
        <w:tab/>
      </w:r>
    </w:p>
    <w:p w14:paraId="680E26F8" w14:textId="77777777" w:rsidR="00625A5B" w:rsidRPr="00D45A23" w:rsidRDefault="00625A5B" w:rsidP="00566693">
      <w:pPr>
        <w:pStyle w:val="Translit"/>
        <w:rPr>
          <w:lang w:val="pl-PL"/>
        </w:rPr>
      </w:pPr>
      <w:r w:rsidRPr="00D45A23">
        <w:rPr>
          <w:lang w:val="pl-PL"/>
        </w:rPr>
        <w:t>Hasan-i-Safa</w:t>
      </w:r>
      <w:r w:rsidRPr="00D45A23">
        <w:rPr>
          <w:lang w:val="pl-PL"/>
        </w:rPr>
        <w:tab/>
        <w:t>Ḥasan-i-Ṣafá</w:t>
      </w:r>
      <w:r w:rsidRPr="00D45A23">
        <w:rPr>
          <w:lang w:val="pl-PL"/>
        </w:rPr>
        <w:tab/>
      </w:r>
    </w:p>
    <w:p w14:paraId="01F9D3CF" w14:textId="77777777" w:rsidR="00625A5B" w:rsidRPr="00D45A23" w:rsidRDefault="00625A5B" w:rsidP="00566693">
      <w:pPr>
        <w:pStyle w:val="Translit"/>
        <w:rPr>
          <w:lang w:val="pl-PL"/>
        </w:rPr>
      </w:pPr>
      <w:r w:rsidRPr="00D45A23">
        <w:rPr>
          <w:lang w:val="pl-PL"/>
        </w:rPr>
        <w:t>Hasan-i-Vazir</w:t>
      </w:r>
      <w:r w:rsidRPr="00D45A23">
        <w:rPr>
          <w:lang w:val="pl-PL"/>
        </w:rPr>
        <w:tab/>
        <w:t>Ḥasan-i-Vazír</w:t>
      </w:r>
      <w:r w:rsidRPr="00D45A23">
        <w:rPr>
          <w:lang w:val="pl-PL"/>
        </w:rPr>
        <w:tab/>
      </w:r>
    </w:p>
    <w:p w14:paraId="683F6C43" w14:textId="77777777" w:rsidR="00625A5B" w:rsidRPr="00D45A23" w:rsidRDefault="00625A5B" w:rsidP="00566693">
      <w:pPr>
        <w:pStyle w:val="Translit"/>
        <w:rPr>
          <w:lang w:val="pl-PL"/>
        </w:rPr>
      </w:pPr>
      <w:r w:rsidRPr="00D45A23">
        <w:rPr>
          <w:lang w:val="pl-PL"/>
        </w:rPr>
        <w:t>Hasan-i-Zunuzi</w:t>
      </w:r>
      <w:r w:rsidRPr="00D45A23">
        <w:rPr>
          <w:lang w:val="pl-PL"/>
        </w:rPr>
        <w:tab/>
        <w:t>Ḥasan-i-Zunúzí</w:t>
      </w:r>
      <w:r w:rsidRPr="00D45A23">
        <w:rPr>
          <w:lang w:val="pl-PL"/>
        </w:rPr>
        <w:tab/>
      </w:r>
    </w:p>
    <w:p w14:paraId="64292BCB" w14:textId="77777777" w:rsidR="00625A5B" w:rsidRPr="00D45A23" w:rsidRDefault="00625A5B" w:rsidP="00566693">
      <w:pPr>
        <w:pStyle w:val="Translit"/>
        <w:rPr>
          <w:lang w:val="pl-PL" w:eastAsia="zh-TW"/>
        </w:rPr>
      </w:pPr>
      <w:r w:rsidRPr="00D45A23">
        <w:rPr>
          <w:lang w:val="pl-PL" w:eastAsia="zh-TW"/>
        </w:rPr>
        <w:t>Hasanzadih-Shakiri</w:t>
      </w:r>
      <w:r w:rsidRPr="00D45A23">
        <w:rPr>
          <w:lang w:val="pl-PL"/>
        </w:rPr>
        <w:tab/>
        <w:t>Ḥ</w:t>
      </w:r>
      <w:r w:rsidRPr="00D45A23">
        <w:rPr>
          <w:lang w:val="pl-PL" w:eastAsia="zh-TW"/>
        </w:rPr>
        <w:t>asanzádih-</w:t>
      </w:r>
      <w:r w:rsidRPr="00D45A23">
        <w:rPr>
          <w:u w:val="single"/>
          <w:lang w:val="pl-PL"/>
        </w:rPr>
        <w:t>Sh</w:t>
      </w:r>
      <w:r w:rsidRPr="00D45A23">
        <w:rPr>
          <w:lang w:val="pl-PL"/>
        </w:rPr>
        <w:t>ákirí</w:t>
      </w:r>
      <w:r w:rsidRPr="00D45A23">
        <w:rPr>
          <w:lang w:val="pl-PL"/>
        </w:rPr>
        <w:tab/>
        <w:t>(Ḥasan-i-Zádih-</w:t>
      </w:r>
      <w:r w:rsidRPr="00D45A23">
        <w:rPr>
          <w:u w:val="single"/>
          <w:lang w:val="pl-PL"/>
        </w:rPr>
        <w:t>Sh</w:t>
      </w:r>
      <w:r w:rsidRPr="00D45A23">
        <w:rPr>
          <w:lang w:val="pl-PL" w:eastAsia="zh-TW"/>
        </w:rPr>
        <w:t>ákirí</w:t>
      </w:r>
      <w:r w:rsidRPr="00D45A23">
        <w:rPr>
          <w:lang w:val="pl-PL"/>
        </w:rPr>
        <w:t>)</w:t>
      </w:r>
    </w:p>
    <w:p w14:paraId="1A81F958" w14:textId="77777777" w:rsidR="00625A5B" w:rsidRPr="008F03E5" w:rsidRDefault="00625A5B" w:rsidP="00566693">
      <w:pPr>
        <w:pStyle w:val="Translit"/>
      </w:pPr>
      <w:r w:rsidRPr="008F03E5">
        <w:t>Hashara, Hashr</w:t>
      </w:r>
      <w:r w:rsidRPr="008F03E5">
        <w:tab/>
        <w:t>Ḥa</w:t>
      </w:r>
      <w:r w:rsidRPr="008F03E5">
        <w:rPr>
          <w:u w:val="single"/>
        </w:rPr>
        <w:t>sh</w:t>
      </w:r>
      <w:r w:rsidRPr="008F03E5">
        <w:t>ara, Ḥa</w:t>
      </w:r>
      <w:r w:rsidRPr="008F03E5">
        <w:rPr>
          <w:u w:val="single"/>
        </w:rPr>
        <w:t>sh</w:t>
      </w:r>
      <w:r w:rsidRPr="008F03E5">
        <w:t>r</w:t>
      </w:r>
      <w:r w:rsidRPr="008F03E5">
        <w:tab/>
        <w:t>1.  to gather, assemble, rally (people), raising from the dead; to cram, crowd, pack, jam (together); to squeeze, press, force, stuff.  2.  migration, evacuation, exile.</w:t>
      </w:r>
    </w:p>
    <w:p w14:paraId="07475C58" w14:textId="77777777" w:rsidR="00625A5B" w:rsidRPr="008F03E5" w:rsidRDefault="00625A5B" w:rsidP="000558A9">
      <w:pPr>
        <w:pStyle w:val="Translit"/>
      </w:pPr>
      <w:r w:rsidRPr="008F03E5">
        <w:t>Hashim</w:t>
      </w:r>
      <w:r w:rsidRPr="008F03E5">
        <w:tab/>
        <w:t>Há</w:t>
      </w:r>
      <w:r w:rsidRPr="008F03E5">
        <w:rPr>
          <w:u w:val="single"/>
        </w:rPr>
        <w:t>sh</w:t>
      </w:r>
      <w:r w:rsidRPr="008F03E5">
        <w:t>im</w:t>
      </w:r>
      <w:r w:rsidRPr="008F03E5">
        <w:tab/>
        <w:t>breaker of bread into a broth; surname of an ancestor (Há</w:t>
      </w:r>
      <w:r w:rsidRPr="008F03E5">
        <w:rPr>
          <w:u w:val="single"/>
        </w:rPr>
        <w:t>sh</w:t>
      </w:r>
      <w:r w:rsidRPr="008F03E5">
        <w:t>im ibn ‘Abd Manáf al-Mu</w:t>
      </w:r>
      <w:r w:rsidRPr="008F03E5">
        <w:rPr>
          <w:u w:val="single"/>
        </w:rPr>
        <w:t>gh</w:t>
      </w:r>
      <w:r w:rsidRPr="008F03E5">
        <w:t>írah, great grandfather) of Muḥammad, on account of his providing broth to the poor at the time of a great famine.  The Banú-Há</w:t>
      </w:r>
      <w:r w:rsidRPr="008F03E5">
        <w:rPr>
          <w:u w:val="single"/>
        </w:rPr>
        <w:t>sh</w:t>
      </w:r>
      <w:r w:rsidRPr="008F03E5">
        <w:t>im were Muḥammad’s ancestors, a tribal group in southern Arabia.  From ‘ha</w:t>
      </w:r>
      <w:r w:rsidRPr="008F03E5">
        <w:rPr>
          <w:u w:val="single"/>
        </w:rPr>
        <w:t>sh</w:t>
      </w:r>
      <w:r w:rsidRPr="008F03E5">
        <w:t>ama’, “to destroy or smash to pieces”.</w:t>
      </w:r>
    </w:p>
    <w:p w14:paraId="57AE585C" w14:textId="77777777" w:rsidR="00625A5B" w:rsidRPr="008F03E5" w:rsidRDefault="00625A5B" w:rsidP="000558A9">
      <w:pPr>
        <w:pStyle w:val="Translit"/>
      </w:pPr>
      <w:r w:rsidRPr="008F03E5">
        <w:t>Hashimi</w:t>
      </w:r>
      <w:r w:rsidRPr="008F03E5">
        <w:tab/>
        <w:t>Há</w:t>
      </w:r>
      <w:r w:rsidRPr="008F03E5">
        <w:rPr>
          <w:u w:val="single"/>
        </w:rPr>
        <w:t>sh</w:t>
      </w:r>
      <w:r w:rsidRPr="008F03E5">
        <w:t>imí, pl. Há</w:t>
      </w:r>
      <w:r w:rsidRPr="008F03E5">
        <w:rPr>
          <w:u w:val="single"/>
        </w:rPr>
        <w:t>sh</w:t>
      </w:r>
      <w:r w:rsidRPr="008F03E5">
        <w:t>imíyún</w:t>
      </w:r>
      <w:r w:rsidRPr="008F03E5">
        <w:tab/>
        <w:t>Hashemite, member of the Banú-Há</w:t>
      </w:r>
      <w:r w:rsidRPr="008F03E5">
        <w:rPr>
          <w:u w:val="single"/>
        </w:rPr>
        <w:t>sh</w:t>
      </w:r>
      <w:r w:rsidRPr="008F03E5">
        <w:t>im</w:t>
      </w:r>
    </w:p>
    <w:p w14:paraId="5680AAB2" w14:textId="77777777" w:rsidR="00625A5B" w:rsidRPr="008F03E5" w:rsidRDefault="00625A5B" w:rsidP="007972AB">
      <w:pPr>
        <w:pStyle w:val="Translit"/>
      </w:pPr>
      <w:r w:rsidRPr="008F03E5">
        <w:t>Hashish, Hasha’ish</w:t>
      </w:r>
      <w:r w:rsidRPr="008F03E5">
        <w:tab/>
        <w:t>Ḥa</w:t>
      </w:r>
      <w:r w:rsidRPr="008F03E5">
        <w:rPr>
          <w:u w:val="single"/>
        </w:rPr>
        <w:t>sh</w:t>
      </w:r>
      <w:r w:rsidRPr="008F03E5">
        <w:t>í</w:t>
      </w:r>
      <w:r w:rsidRPr="008F03E5">
        <w:rPr>
          <w:u w:val="single"/>
        </w:rPr>
        <w:t>sh</w:t>
      </w:r>
      <w:r w:rsidRPr="008F03E5">
        <w:t>, pl. Ḥa</w:t>
      </w:r>
      <w:r w:rsidRPr="008F03E5">
        <w:rPr>
          <w:u w:val="single"/>
        </w:rPr>
        <w:t>sh</w:t>
      </w:r>
      <w:r w:rsidRPr="008F03E5">
        <w:t>á’i</w:t>
      </w:r>
      <w:r w:rsidRPr="008F03E5">
        <w:rPr>
          <w:u w:val="single"/>
        </w:rPr>
        <w:t>sh</w:t>
      </w:r>
      <w:r w:rsidRPr="008F03E5">
        <w:tab/>
        <w:t>herbs, grasses; weeds; hay; hemp (</w:t>
      </w:r>
      <w:r w:rsidRPr="008F03E5">
        <w:rPr>
          <w:i/>
          <w:iCs/>
        </w:rPr>
        <w:t>Cannabis sativa</w:t>
      </w:r>
      <w:r w:rsidRPr="008F03E5">
        <w:t xml:space="preserve">), hashish, cannabis; stillborn child.  Known by many names in Persia:  ‘Parrot of all mysteries’, plain ‘Mysteries’; ‘Secrets’ or ‘Master Sayyid’—it being green, and the Sayyids, descendants of the Prophet, wear a turban as green as parrot feathers.  An ode of Ḥáfiẓ which must have puzzled translators is addressed to hashish and begins, ‘O thou parrot, speaker of secrets, may thy beak never lack for sugar!’ </w:t>
      </w:r>
      <w:r w:rsidRPr="008F03E5">
        <w:rPr>
          <w:i/>
          <w:iCs/>
        </w:rPr>
        <w:t>Summon up remembrance</w:t>
      </w:r>
      <w:r w:rsidRPr="008F03E5">
        <w:rPr>
          <w:lang w:eastAsia="en-US"/>
        </w:rPr>
        <w:t>, p. 87.</w:t>
      </w:r>
    </w:p>
    <w:p w14:paraId="2121505F" w14:textId="77777777" w:rsidR="00625A5B" w:rsidRPr="008F03E5" w:rsidRDefault="00625A5B" w:rsidP="00D97B19">
      <w:pPr>
        <w:pStyle w:val="Translit"/>
      </w:pPr>
      <w:r w:rsidRPr="008F03E5">
        <w:t>Hashishi, Hashishiyya, Hashishiyyin</w:t>
      </w:r>
      <w:r w:rsidRPr="008F03E5">
        <w:tab/>
        <w:t>Ḥa</w:t>
      </w:r>
      <w:r w:rsidRPr="008F03E5">
        <w:rPr>
          <w:u w:val="single"/>
        </w:rPr>
        <w:t>sh</w:t>
      </w:r>
      <w:r w:rsidRPr="008F03E5">
        <w:t>í</w:t>
      </w:r>
      <w:r w:rsidRPr="008F03E5">
        <w:rPr>
          <w:u w:val="single"/>
        </w:rPr>
        <w:t>sh</w:t>
      </w:r>
      <w:r w:rsidRPr="008F03E5">
        <w:t>í</w:t>
      </w:r>
      <w:r w:rsidRPr="008F03E5">
        <w:tab/>
        <w:t>(e.g.) sap-green, reseda green (</w:t>
      </w:r>
      <w:r w:rsidRPr="008F03E5">
        <w:rPr>
          <w:sz w:val="16"/>
          <w:szCs w:val="16"/>
        </w:rPr>
        <w:t>RGB</w:t>
      </w:r>
      <w:r w:rsidRPr="008F03E5">
        <w:t xml:space="preserve"> </w:t>
      </w:r>
      <w:r w:rsidRPr="008F03E5">
        <w:rPr>
          <w:lang w:eastAsia="en-US"/>
        </w:rPr>
        <w:t>108, 124, 89</w:t>
      </w:r>
      <w:r w:rsidRPr="008F03E5">
        <w:t xml:space="preserve">; </w:t>
      </w:r>
      <w:r w:rsidRPr="008F03E5">
        <w:rPr>
          <w:sz w:val="16"/>
          <w:szCs w:val="16"/>
        </w:rPr>
        <w:t>CMYK</w:t>
      </w:r>
      <w:r w:rsidRPr="008F03E5">
        <w:t xml:space="preserve"> </w:t>
      </w:r>
      <w:r w:rsidRPr="008F03E5">
        <w:rPr>
          <w:lang w:eastAsia="en-US"/>
        </w:rPr>
        <w:t>13, 0, 28, 51</w:t>
      </w:r>
      <w:r w:rsidRPr="008F03E5">
        <w:t xml:space="preserve">)—a standard colour whose name derives from the colour of the leaves of </w:t>
      </w:r>
      <w:r w:rsidRPr="008F03E5">
        <w:rPr>
          <w:i/>
          <w:iCs/>
        </w:rPr>
        <w:t>Reseda odorata</w:t>
      </w:r>
      <w:r w:rsidRPr="008F03E5">
        <w:t>, commonly known as mignonette;—pl. Ḥa</w:t>
      </w:r>
      <w:r w:rsidRPr="008F03E5">
        <w:rPr>
          <w:u w:val="single"/>
        </w:rPr>
        <w:t>sh</w:t>
      </w:r>
      <w:r w:rsidRPr="008F03E5">
        <w:t>í</w:t>
      </w:r>
      <w:r w:rsidRPr="008F03E5">
        <w:rPr>
          <w:u w:val="single"/>
        </w:rPr>
        <w:t>sh</w:t>
      </w:r>
      <w:r w:rsidRPr="008F03E5">
        <w:t>iyya or Ḥa</w:t>
      </w:r>
      <w:r w:rsidRPr="008F03E5">
        <w:rPr>
          <w:u w:val="single"/>
        </w:rPr>
        <w:t>sh</w:t>
      </w:r>
      <w:r w:rsidRPr="008F03E5">
        <w:t>í</w:t>
      </w:r>
      <w:r w:rsidRPr="008F03E5">
        <w:rPr>
          <w:u w:val="single"/>
        </w:rPr>
        <w:t>sh</w:t>
      </w:r>
      <w:r w:rsidRPr="008F03E5">
        <w:t>iyyín (Pers. Ḥa</w:t>
      </w:r>
      <w:r w:rsidRPr="008F03E5">
        <w:rPr>
          <w:u w:val="single"/>
        </w:rPr>
        <w:t>sh</w:t>
      </w:r>
      <w:r w:rsidRPr="008F03E5">
        <w:t>a</w:t>
      </w:r>
      <w:r w:rsidRPr="008F03E5">
        <w:rPr>
          <w:u w:val="single"/>
        </w:rPr>
        <w:t>sh</w:t>
      </w:r>
      <w:r w:rsidRPr="008F03E5">
        <w:t>iyan) known in English (due to a mispronunciation) as the Assassins, and applied to a Nizárí Ismá‘ílí sect who lived in the mountains of Persia and Syria (1090–1275).  See Asás.</w:t>
      </w:r>
    </w:p>
    <w:p w14:paraId="161520F5" w14:textId="77777777" w:rsidR="00625A5B" w:rsidRPr="008F03E5" w:rsidRDefault="00625A5B" w:rsidP="0041495F">
      <w:pPr>
        <w:pStyle w:val="Translit"/>
      </w:pPr>
      <w:r w:rsidRPr="008F03E5">
        <w:t>Hashiya, Hawashin</w:t>
      </w:r>
      <w:r w:rsidRPr="008F03E5">
        <w:tab/>
        <w:t>Ḥa</w:t>
      </w:r>
      <w:r w:rsidRPr="008F03E5">
        <w:rPr>
          <w:u w:val="single"/>
        </w:rPr>
        <w:t>sh</w:t>
      </w:r>
      <w:r w:rsidRPr="008F03E5">
        <w:t>iya, pl. Ḥawa</w:t>
      </w:r>
      <w:r w:rsidRPr="008F03E5">
        <w:rPr>
          <w:u w:val="single"/>
        </w:rPr>
        <w:t>sh</w:t>
      </w:r>
      <w:r w:rsidRPr="008F03E5">
        <w:t>in</w:t>
      </w:r>
      <w:r w:rsidRPr="008F03E5">
        <w:tab/>
        <w:t>border; seam, hem; edge; margin (of a book); marginal gives; marginal notes; commentary on certain words and passages of a book, supercommentary; footnote; postscript; retinue, entourage, suite, servants; dependents;—pl. critical apparatus</w:t>
      </w:r>
    </w:p>
    <w:p w14:paraId="439E25AE" w14:textId="77777777" w:rsidR="00625A5B" w:rsidRPr="008F03E5" w:rsidRDefault="00625A5B" w:rsidP="00706AE2">
      <w:pPr>
        <w:pStyle w:val="Translit"/>
      </w:pPr>
      <w:r w:rsidRPr="008F03E5">
        <w:t>Hashshash, Hashshashun, Hashshashin</w:t>
      </w:r>
      <w:r w:rsidRPr="008F03E5">
        <w:tab/>
        <w:t>Ḥa</w:t>
      </w:r>
      <w:r w:rsidRPr="008F03E5">
        <w:rPr>
          <w:u w:val="single"/>
        </w:rPr>
        <w:t>shsh</w:t>
      </w:r>
      <w:r w:rsidRPr="008F03E5">
        <w:t>á</w:t>
      </w:r>
      <w:r w:rsidRPr="008F03E5">
        <w:rPr>
          <w:u w:val="single"/>
        </w:rPr>
        <w:t>sh</w:t>
      </w:r>
      <w:r w:rsidRPr="008F03E5">
        <w:t>, pl. Ḥa</w:t>
      </w:r>
      <w:r w:rsidRPr="008F03E5">
        <w:rPr>
          <w:u w:val="single"/>
        </w:rPr>
        <w:t>shsh</w:t>
      </w:r>
      <w:r w:rsidRPr="008F03E5">
        <w:t>á</w:t>
      </w:r>
      <w:r w:rsidRPr="008F03E5">
        <w:rPr>
          <w:u w:val="single"/>
        </w:rPr>
        <w:t>sh</w:t>
      </w:r>
      <w:r w:rsidRPr="008F03E5">
        <w:t>ún</w:t>
      </w:r>
      <w:r w:rsidRPr="008F03E5">
        <w:tab/>
        <w:t>smoker or chewer of hashish, hashish addict.  Plural  also Ḥa</w:t>
      </w:r>
      <w:r w:rsidRPr="008F03E5">
        <w:rPr>
          <w:u w:val="single"/>
        </w:rPr>
        <w:t>shsh</w:t>
      </w:r>
      <w:r w:rsidRPr="008F03E5">
        <w:t>á</w:t>
      </w:r>
      <w:r w:rsidRPr="008F03E5">
        <w:rPr>
          <w:u w:val="single"/>
        </w:rPr>
        <w:t>sh</w:t>
      </w:r>
      <w:r w:rsidRPr="008F03E5">
        <w:t>ín.  See Asás.</w:t>
      </w:r>
    </w:p>
    <w:p w14:paraId="2518536A" w14:textId="77777777" w:rsidR="00625A5B" w:rsidRPr="008F03E5" w:rsidRDefault="00625A5B" w:rsidP="00566693">
      <w:pPr>
        <w:pStyle w:val="Translit"/>
      </w:pPr>
      <w:r w:rsidRPr="008F03E5">
        <w:t>Hasht Bihisht</w:t>
      </w:r>
      <w:r w:rsidRPr="008F03E5">
        <w:tab/>
        <w:t>Ha</w:t>
      </w:r>
      <w:r w:rsidRPr="008F03E5">
        <w:rPr>
          <w:u w:val="single"/>
        </w:rPr>
        <w:t>sh</w:t>
      </w:r>
      <w:r w:rsidRPr="008F03E5">
        <w:t>t Bihi</w:t>
      </w:r>
      <w:r w:rsidRPr="008F03E5">
        <w:rPr>
          <w:u w:val="single"/>
        </w:rPr>
        <w:t>sh</w:t>
      </w:r>
      <w:r w:rsidRPr="008F03E5">
        <w:t>t</w:t>
      </w:r>
      <w:r w:rsidRPr="008F03E5">
        <w:tab/>
        <w:t xml:space="preserve">The eight paradises by </w:t>
      </w:r>
      <w:r w:rsidRPr="008F03E5">
        <w:rPr>
          <w:u w:val="single"/>
        </w:rPr>
        <w:t>Sh</w:t>
      </w:r>
      <w:r w:rsidRPr="008F03E5">
        <w:t>ay</w:t>
      </w:r>
      <w:r w:rsidRPr="008F03E5">
        <w:rPr>
          <w:u w:val="single"/>
        </w:rPr>
        <w:t xml:space="preserve">kh </w:t>
      </w:r>
      <w:r w:rsidRPr="008F03E5">
        <w:t>Aḥmad-i-Rúḥí</w:t>
      </w:r>
    </w:p>
    <w:p w14:paraId="3144BCC3" w14:textId="77777777" w:rsidR="00625A5B" w:rsidRPr="008F03E5" w:rsidRDefault="00625A5B" w:rsidP="00566693">
      <w:pPr>
        <w:pStyle w:val="Translit"/>
      </w:pPr>
      <w:r w:rsidRPr="008F03E5">
        <w:t>Hasht</w:t>
      </w:r>
      <w:r w:rsidRPr="008F03E5">
        <w:tab/>
        <w:t>Ha</w:t>
      </w:r>
      <w:r w:rsidRPr="008F03E5">
        <w:rPr>
          <w:u w:val="single"/>
        </w:rPr>
        <w:t>sh</w:t>
      </w:r>
      <w:r w:rsidRPr="008F03E5">
        <w:t>t</w:t>
      </w:r>
      <w:r w:rsidRPr="008F03E5">
        <w:tab/>
        <w:t>eight</w:t>
      </w:r>
    </w:p>
    <w:p w14:paraId="350A419C" w14:textId="77777777" w:rsidR="00625A5B" w:rsidRPr="008F03E5" w:rsidRDefault="00625A5B" w:rsidP="008D0D97">
      <w:pPr>
        <w:pStyle w:val="Translit"/>
      </w:pPr>
      <w:r w:rsidRPr="008F03E5">
        <w:t>Hashtjird, Hashtgird (Savujbulagh)</w:t>
      </w:r>
      <w:r w:rsidRPr="008F03E5">
        <w:tab/>
        <w:t>Ha</w:t>
      </w:r>
      <w:r w:rsidRPr="008F03E5">
        <w:rPr>
          <w:u w:val="single"/>
        </w:rPr>
        <w:t>sh</w:t>
      </w:r>
      <w:r w:rsidRPr="008F03E5">
        <w:t>tjird, Ha</w:t>
      </w:r>
      <w:r w:rsidRPr="008F03E5">
        <w:rPr>
          <w:u w:val="single"/>
        </w:rPr>
        <w:t>sh</w:t>
      </w:r>
      <w:r w:rsidRPr="008F03E5">
        <w:t>tgird</w:t>
      </w:r>
      <w:r w:rsidRPr="008F03E5">
        <w:tab/>
        <w:t>city and capital of Sávujbula</w:t>
      </w:r>
      <w:r w:rsidRPr="008F03E5">
        <w:rPr>
          <w:u w:val="single"/>
        </w:rPr>
        <w:t>gh</w:t>
      </w:r>
      <w:r w:rsidRPr="008F03E5">
        <w:t xml:space="preserve"> County in Alborz Province, Iran.  27 km </w:t>
      </w:r>
      <w:r w:rsidRPr="008F03E5">
        <w:rPr>
          <w:sz w:val="16"/>
          <w:szCs w:val="16"/>
        </w:rPr>
        <w:t>NW</w:t>
      </w:r>
      <w:r w:rsidRPr="008F03E5">
        <w:t xml:space="preserve"> of Karaj</w:t>
      </w:r>
    </w:p>
    <w:p w14:paraId="6583BD0F" w14:textId="77777777" w:rsidR="00625A5B" w:rsidRPr="008F03E5" w:rsidRDefault="00625A5B" w:rsidP="00E64FCF">
      <w:pPr>
        <w:pStyle w:val="Translit"/>
      </w:pPr>
      <w:r w:rsidRPr="008F03E5">
        <w:t>Hashtrud (Hashtrood)</w:t>
      </w:r>
      <w:r w:rsidRPr="008F03E5">
        <w:tab/>
        <w:t>Ha</w:t>
      </w:r>
      <w:r w:rsidRPr="008F03E5">
        <w:rPr>
          <w:u w:val="single"/>
        </w:rPr>
        <w:t>sh</w:t>
      </w:r>
      <w:r w:rsidRPr="008F03E5">
        <w:t>trúd</w:t>
      </w:r>
      <w:r w:rsidRPr="008F03E5">
        <w:tab/>
        <w:t>(also known as Á</w:t>
      </w:r>
      <w:r w:rsidRPr="008F03E5">
        <w:rPr>
          <w:u w:val="single"/>
        </w:rPr>
        <w:t>dh</w:t>
      </w:r>
      <w:r w:rsidRPr="008F03E5">
        <w:t xml:space="preserve">arán, Saráskand, Sar Eskand, Sar Eskandar, and Sar Eskand Khan) is a city (93 km </w:t>
      </w:r>
      <w:r w:rsidRPr="008F03E5">
        <w:rPr>
          <w:sz w:val="16"/>
          <w:szCs w:val="16"/>
        </w:rPr>
        <w:t>SE</w:t>
      </w:r>
      <w:r w:rsidRPr="008F03E5">
        <w:t xml:space="preserve"> Tabríz) and capital of Hashtrud County, East Azerbaijan Province, Iran</w:t>
      </w:r>
    </w:p>
    <w:p w14:paraId="09F8DBEB" w14:textId="77777777" w:rsidR="00625A5B" w:rsidRPr="008F03E5" w:rsidRDefault="00625A5B" w:rsidP="00566693">
      <w:pPr>
        <w:pStyle w:val="Translit"/>
      </w:pPr>
      <w:r w:rsidRPr="008F03E5">
        <w:t>Hasib, Husaba’</w:t>
      </w:r>
      <w:r w:rsidRPr="008F03E5">
        <w:tab/>
        <w:t>Ḥasíb, pl. Ḥusabá</w:t>
      </w:r>
      <w:r w:rsidRPr="008F03E5">
        <w:tab/>
        <w:t>respected, esteemed; noble, of noble birth, highborn.  Also a revenger or resenter of an injury; a reckoner (al-Ḥasíb, an attribute of God).</w:t>
      </w:r>
    </w:p>
    <w:p w14:paraId="2B197654" w14:textId="77777777" w:rsidR="00625A5B" w:rsidRPr="008F03E5" w:rsidRDefault="00625A5B" w:rsidP="00FF5658">
      <w:pPr>
        <w:pStyle w:val="Translit"/>
      </w:pPr>
      <w:r w:rsidRPr="008F03E5">
        <w:t>Hassan</w:t>
      </w:r>
      <w:r w:rsidRPr="008F03E5">
        <w:tab/>
        <w:t>Ḥassán (</w:t>
      </w:r>
      <w:r w:rsidRPr="008F03E5">
        <w:rPr>
          <w:rtl/>
        </w:rPr>
        <w:t>حسَّان</w:t>
      </w:r>
      <w:r w:rsidRPr="008F03E5">
        <w:t>)</w:t>
      </w:r>
      <w:r w:rsidRPr="008F03E5">
        <w:tab/>
        <w:t xml:space="preserve">beautifier, doer of good, benefactor.  Ḥassán ibn </w:t>
      </w:r>
      <w:r w:rsidRPr="008F03E5">
        <w:rPr>
          <w:u w:val="single"/>
        </w:rPr>
        <w:t>Th</w:t>
      </w:r>
      <w:r w:rsidRPr="008F03E5">
        <w:t>ábit (c. 563–674) was an Arabian poet and a Ṣaḥába, hence he was best known for his poems in defence of Muḥammad.  Compare Ḥasán.</w:t>
      </w:r>
    </w:p>
    <w:p w14:paraId="0ADD3196" w14:textId="77777777" w:rsidR="00625A5B" w:rsidRPr="008F03E5" w:rsidRDefault="00625A5B" w:rsidP="00566693">
      <w:pPr>
        <w:pStyle w:val="Translit"/>
      </w:pPr>
      <w:r w:rsidRPr="008F03E5">
        <w:t>Hast</w:t>
      </w:r>
      <w:r w:rsidRPr="008F03E5">
        <w:tab/>
        <w:t>Hast</w:t>
      </w:r>
      <w:r w:rsidRPr="008F03E5">
        <w:tab/>
        <w:t>Pers. is, exists, remains; existence, being.  hastam (I am), hastí (you are), hast (he, she, it is), hastím (we are), hastíd (you are), hastand (they are)</w:t>
      </w:r>
    </w:p>
    <w:p w14:paraId="62C3FC64" w14:textId="77777777" w:rsidR="00625A5B" w:rsidRPr="008F03E5" w:rsidRDefault="00625A5B" w:rsidP="00743B00">
      <w:pPr>
        <w:pStyle w:val="Translit"/>
        <w:rPr>
          <w:rFonts w:eastAsia="PMingLiU"/>
          <w:lang w:eastAsia="zh-TW"/>
        </w:rPr>
      </w:pPr>
      <w:r w:rsidRPr="008F03E5">
        <w:rPr>
          <w:rFonts w:eastAsia="PMingLiU"/>
          <w:lang w:eastAsia="zh-TW"/>
        </w:rPr>
        <w:t>Hasur</w:t>
      </w:r>
      <w:r w:rsidRPr="008F03E5">
        <w:rPr>
          <w:rFonts w:eastAsia="PMingLiU"/>
          <w:lang w:eastAsia="zh-TW"/>
        </w:rPr>
        <w:tab/>
      </w:r>
      <w:r w:rsidRPr="008F03E5">
        <w:t>Ḥ</w:t>
      </w:r>
      <w:r w:rsidRPr="008F03E5">
        <w:rPr>
          <w:rFonts w:eastAsia="PMingLiU"/>
          <w:lang w:eastAsia="zh-TW"/>
        </w:rPr>
        <w:t>a</w:t>
      </w:r>
      <w:r w:rsidRPr="008F03E5">
        <w:t>ṣú</w:t>
      </w:r>
      <w:r w:rsidRPr="008F03E5">
        <w:rPr>
          <w:rFonts w:eastAsia="PMingLiU"/>
          <w:lang w:eastAsia="zh-TW"/>
        </w:rPr>
        <w:t>r</w:t>
      </w:r>
      <w:r w:rsidRPr="008F03E5">
        <w:rPr>
          <w:rFonts w:eastAsia="PMingLiU"/>
          <w:lang w:eastAsia="zh-TW"/>
        </w:rPr>
        <w:tab/>
        <w:t>close, confinement, avaricious; chaste</w:t>
      </w:r>
    </w:p>
    <w:p w14:paraId="13B66B50" w14:textId="77777777" w:rsidR="00625A5B" w:rsidRPr="008F03E5" w:rsidRDefault="00625A5B" w:rsidP="00566693">
      <w:pPr>
        <w:pStyle w:val="Translit"/>
      </w:pPr>
      <w:r w:rsidRPr="008F03E5">
        <w:rPr>
          <w:rFonts w:eastAsia="PMingLiU"/>
          <w:lang w:eastAsia="zh-TW"/>
        </w:rPr>
        <w:t>Hasuri</w:t>
      </w:r>
      <w:r w:rsidRPr="008F03E5">
        <w:tab/>
        <w:t>Ḥ</w:t>
      </w:r>
      <w:r w:rsidRPr="008F03E5">
        <w:rPr>
          <w:rFonts w:eastAsia="PMingLiU"/>
          <w:lang w:eastAsia="zh-TW"/>
        </w:rPr>
        <w:t>a</w:t>
      </w:r>
      <w:r w:rsidRPr="008F03E5">
        <w:t>ṣ</w:t>
      </w:r>
      <w:r w:rsidRPr="008F03E5">
        <w:rPr>
          <w:rFonts w:eastAsia="PMingLiU"/>
          <w:lang w:eastAsia="zh-TW"/>
        </w:rPr>
        <w:t>úrí</w:t>
      </w:r>
      <w:r w:rsidRPr="008F03E5">
        <w:rPr>
          <w:rFonts w:eastAsia="PMingLiU"/>
          <w:lang w:eastAsia="zh-TW"/>
        </w:rPr>
        <w:tab/>
      </w:r>
      <w:r w:rsidRPr="008F03E5">
        <w:t>Rúḥu’lláh Ḥ</w:t>
      </w:r>
      <w:r w:rsidRPr="008F03E5">
        <w:rPr>
          <w:rFonts w:eastAsia="PMingLiU"/>
          <w:lang w:eastAsia="zh-TW"/>
        </w:rPr>
        <w:t>a</w:t>
      </w:r>
      <w:r w:rsidRPr="008F03E5">
        <w:t>ṣ</w:t>
      </w:r>
      <w:r w:rsidRPr="008F03E5">
        <w:rPr>
          <w:rFonts w:eastAsia="PMingLiU"/>
          <w:lang w:eastAsia="zh-TW"/>
        </w:rPr>
        <w:t>úrí</w:t>
      </w:r>
    </w:p>
    <w:p w14:paraId="583F8D84" w14:textId="77777777" w:rsidR="00625A5B" w:rsidRPr="008F03E5" w:rsidRDefault="00625A5B" w:rsidP="00C461F1">
      <w:pPr>
        <w:pStyle w:val="Translit"/>
      </w:pPr>
      <w:r w:rsidRPr="008F03E5">
        <w:t>Hatib</w:t>
      </w:r>
      <w:r w:rsidRPr="008F03E5">
        <w:tab/>
        <w:t>Ḥátib</w:t>
      </w:r>
      <w:r w:rsidRPr="008F03E5">
        <w:tab/>
        <w:t xml:space="preserve">wood cutter.  Ḥáṭib ibn Abí-Balta‘ah was a ṣaḥábí (companion), a veteran of the Battle of Badr, who carried a letter to Muqawqis, an Egyptian Coptic Christian official.  He returned (CE 628) with gifts, including two slaves, Máríah al-Qibṭíyah (see Qibṭí) and her sister </w:t>
      </w:r>
      <w:r w:rsidRPr="008F03E5">
        <w:rPr>
          <w:u w:val="single"/>
        </w:rPr>
        <w:t>Sh</w:t>
      </w:r>
      <w:r w:rsidRPr="008F03E5">
        <w:t>írín.  Muhammad married Máríah.  The Maqawqis also sent a white mule, named Duldul, and a donkey named Ya‘fúr.</w:t>
      </w:r>
    </w:p>
    <w:p w14:paraId="1924D64D" w14:textId="77777777" w:rsidR="00625A5B" w:rsidRPr="008F03E5" w:rsidRDefault="00625A5B" w:rsidP="00512D97">
      <w:pPr>
        <w:pStyle w:val="Translit"/>
      </w:pPr>
      <w:r w:rsidRPr="008F03E5">
        <w:t>Hatif, Hawatif</w:t>
      </w:r>
      <w:r w:rsidRPr="008F03E5">
        <w:tab/>
        <w:t>Hátif, pl. Hawátif</w:t>
      </w:r>
      <w:r w:rsidRPr="008F03E5">
        <w:tab/>
        <w:t xml:space="preserve">shouting, calling loudly; (in earlier Sufism) invisible caller, voice;—pl. telephone; loudspeaker; exclamations, shouts, cries, calls.  Siyyid Aḥmad Hátif Iṣfahání (d. 1783), a famous Iranian poet of the 18th century.  He wrote:  </w:t>
      </w:r>
      <w:r w:rsidRPr="008F03E5">
        <w:rPr>
          <w:i/>
          <w:iCs/>
        </w:rPr>
        <w:t>Split the atom’s heart, and lo!  Within it thou wilt find a sun</w:t>
      </w:r>
      <w:r w:rsidRPr="008F03E5">
        <w:t xml:space="preserve">.  Quoted by Bahá’u’lláh, The Seven Valleys and the Four Valleys in </w:t>
      </w:r>
      <w:r w:rsidRPr="008F03E5">
        <w:rPr>
          <w:i/>
          <w:iCs/>
        </w:rPr>
        <w:t>Call of the Divine Beloved</w:t>
      </w:r>
      <w:r w:rsidRPr="008F03E5">
        <w:t>, p. 8.</w:t>
      </w:r>
    </w:p>
    <w:p w14:paraId="353DF72E" w14:textId="77777777" w:rsidR="00625A5B" w:rsidRPr="008F03E5" w:rsidRDefault="00625A5B" w:rsidP="00737649">
      <w:pPr>
        <w:pStyle w:val="Translit"/>
      </w:pPr>
      <w:r w:rsidRPr="008F03E5">
        <w:t>Hatim at-Ta’i, Hatim-i-Ta’i</w:t>
      </w:r>
      <w:r w:rsidRPr="008F03E5">
        <w:tab/>
        <w:t>Ḥátim aṭ-Ṭá’í, Pers. Ḥátim-i-Ṭá’í</w:t>
      </w:r>
      <w:r w:rsidRPr="008F03E5">
        <w:tab/>
        <w:t>Arab poet known for his generosity/liberality.  Also transcripted as Ḥátim aṭ-Ṭáyy (“Hatim a</w:t>
      </w:r>
      <w:r>
        <w:t>t</w:t>
      </w:r>
      <w:r w:rsidRPr="008F03E5">
        <w:t>-Tai” or “Hatim a</w:t>
      </w:r>
      <w:r>
        <w:t>t</w:t>
      </w:r>
      <w:r w:rsidRPr="008F03E5">
        <w:t>-Taaey”), Ḥátim of the Ṭáyy or Ṭá’í tribe, but formally Ḥátim bin ‘Abdu’lláh bin Sa‘d aṭ-Ṭá’iyy.  The nisba (patronymic) of Ṭayy is aṭ-Ṭá’í.</w:t>
      </w:r>
    </w:p>
    <w:p w14:paraId="254063D3" w14:textId="77777777" w:rsidR="00625A5B" w:rsidRPr="008F03E5" w:rsidRDefault="00625A5B" w:rsidP="00566693">
      <w:pPr>
        <w:pStyle w:val="Translit"/>
      </w:pPr>
      <w:r w:rsidRPr="008F03E5">
        <w:t>Hatim, Hatam</w:t>
      </w:r>
      <w:r w:rsidRPr="008F03E5">
        <w:tab/>
        <w:t>Ḥátim, Pers. Ḥátam</w:t>
      </w:r>
      <w:r w:rsidRPr="008F03E5">
        <w:tab/>
        <w:t>who or what renders necessary; one who decrees, ordains or pronounces judgement; a judge; a black crow, “the raven of separation”; name of a man of the Arabian tribe Tayy, celebrated for his liberality</w:t>
      </w:r>
    </w:p>
    <w:p w14:paraId="32424D66" w14:textId="77777777" w:rsidR="00625A5B" w:rsidRPr="008F03E5" w:rsidRDefault="00625A5B" w:rsidP="00566693">
      <w:pPr>
        <w:pStyle w:val="Translit"/>
      </w:pPr>
      <w:r w:rsidRPr="008F03E5">
        <w:t>Hatta</w:t>
      </w:r>
      <w:r w:rsidRPr="008F03E5">
        <w:tab/>
        <w:t>Ḥattá</w:t>
      </w:r>
      <w:r w:rsidRPr="008F03E5">
        <w:tab/>
        <w:t>(preposition) until, till, up to, as far as; (conjugated with perfect) until, so that; (with subjunctive) until, that, so that, in order that</w:t>
      </w:r>
    </w:p>
    <w:p w14:paraId="34A0214A" w14:textId="77777777" w:rsidR="00625A5B" w:rsidRPr="008F03E5" w:rsidRDefault="00625A5B" w:rsidP="00566693">
      <w:pPr>
        <w:pStyle w:val="Translit"/>
      </w:pPr>
      <w:r w:rsidRPr="008F03E5">
        <w:t>Hattab</w:t>
      </w:r>
      <w:r w:rsidRPr="008F03E5">
        <w:tab/>
        <w:t>Ḥaṭṭáb</w:t>
      </w:r>
      <w:r w:rsidRPr="008F03E5">
        <w:tab/>
        <w:t>wood gatherer; wood-cutter, lumberjack; vendor of firewood</w:t>
      </w:r>
    </w:p>
    <w:p w14:paraId="7E29E88C" w14:textId="77777777" w:rsidR="00625A5B" w:rsidRPr="008F03E5" w:rsidRDefault="00625A5B" w:rsidP="001005FC">
      <w:pPr>
        <w:pStyle w:val="Translit"/>
      </w:pPr>
      <w:r w:rsidRPr="008F03E5">
        <w:t>Hattin</w:t>
      </w:r>
      <w:r w:rsidRPr="008F03E5">
        <w:tab/>
        <w:t>Haṭṭín</w:t>
      </w:r>
      <w:r w:rsidRPr="008F03E5">
        <w:tab/>
        <w:t>Qurún Haṭṭín “The Horns of Hattin” (7 km west of Tiberias) is an extinct volcano with twin peaks overlooking the plains of Hattin, Israel.  It is the “supposed” site of the Mount of Beatitudes, where Jesus delivered his Sermon on the Mount.  The Battle of Hattin (Ma‘rakah Haṭṭín or the Battle of the Horns of Hattin) on 4 July 1187, was between the Crusader states of the Levant and the forces of the Ayyubid Sulṭán Ṣaláḥ ad-Dín.  The Muslim armies captured or killed the vast majority of the Crusader forces.  As a result, Muslims again became the eminent military power in the Holy Land, re-conquering Jerusalem and many other Crusader-held cities.  Two years later these Christian defeats prompted the Third Crusade.</w:t>
      </w:r>
    </w:p>
    <w:p w14:paraId="28CB4CCE" w14:textId="77777777" w:rsidR="00625A5B" w:rsidRPr="008F03E5" w:rsidRDefault="00625A5B" w:rsidP="00A177D6">
      <w:pPr>
        <w:pStyle w:val="Translit"/>
      </w:pPr>
      <w:r w:rsidRPr="008F03E5">
        <w:t>Hawari, Hawariyyun (“Hawariyun”)</w:t>
      </w:r>
      <w:r w:rsidRPr="008F03E5">
        <w:tab/>
        <w:t>Ḥawárí, pl. Ḥawáriyyún</w:t>
      </w:r>
      <w:r w:rsidRPr="008F03E5">
        <w:tab/>
        <w:t xml:space="preserve">disciple, apostle (but not a Rasúl) (of Jesus Christ); disciple, follower.  </w:t>
      </w:r>
      <w:r w:rsidRPr="008F03E5">
        <w:rPr>
          <w:rtl/>
        </w:rPr>
        <w:t>الْحَوَارِيُّونَ</w:t>
      </w:r>
      <w:r w:rsidRPr="008F03E5">
        <w:t>—the disciples in Qur’án 3:52.</w:t>
      </w:r>
    </w:p>
    <w:p w14:paraId="1A4E3DC0" w14:textId="77777777" w:rsidR="00625A5B" w:rsidRPr="008F03E5" w:rsidRDefault="00625A5B" w:rsidP="00DC3FF1">
      <w:pPr>
        <w:pStyle w:val="Translit"/>
        <w:rPr>
          <w:rFonts w:eastAsia="Times New Roman"/>
        </w:rPr>
      </w:pPr>
      <w:r w:rsidRPr="008F03E5">
        <w:t>Hawd (Haud), Ahwad, Hiyad</w:t>
      </w:r>
      <w:r w:rsidRPr="008F03E5">
        <w:tab/>
        <w:t>Ḥawḍ, pl. Aḥwáḍ, Ḥiyáḍ</w:t>
      </w:r>
      <w:r w:rsidRPr="008F03E5">
        <w:tab/>
        <w:t>basin; water basin; trough, tank, cistern, reservoir, container; basin of a river or sea; pool</w:t>
      </w:r>
      <w:r w:rsidRPr="008F03E5">
        <w:rPr>
          <w:rFonts w:eastAsia="Times New Roman"/>
        </w:rPr>
        <w:t>; (in the Egyptian irrigation system) a patch of land surrounded by dikes, flooded by high water of the Nile; pond; (garden) bed; dock; pl. (ḥiyāḍ) ground, area, domain (to be protected), sanctum</w:t>
      </w:r>
    </w:p>
    <w:p w14:paraId="46A3AA18" w14:textId="77777777" w:rsidR="00625A5B" w:rsidRPr="008F03E5" w:rsidRDefault="00625A5B" w:rsidP="00C5685C">
      <w:pPr>
        <w:pStyle w:val="Translit"/>
      </w:pPr>
      <w:r w:rsidRPr="008F03E5">
        <w:rPr>
          <w:rFonts w:eastAsia="Times New Roman"/>
        </w:rPr>
        <w:t>Hawda (Hauda)</w:t>
      </w:r>
      <w:r w:rsidRPr="008F03E5">
        <w:rPr>
          <w:rFonts w:eastAsia="Times New Roman"/>
        </w:rPr>
        <w:tab/>
        <w:t>Ḥaw</w:t>
      </w:r>
      <w:r w:rsidRPr="008F03E5">
        <w:t>ḍ</w:t>
      </w:r>
      <w:r w:rsidRPr="008F03E5">
        <w:rPr>
          <w:rFonts w:eastAsia="Times New Roman"/>
        </w:rPr>
        <w:t>a</w:t>
      </w:r>
      <w:r w:rsidRPr="008F03E5">
        <w:rPr>
          <w:rFonts w:eastAsia="Times New Roman"/>
        </w:rPr>
        <w:tab/>
        <w:t>Pers. basin, a basin-shaped litter to ride in upon an elephant</w:t>
      </w:r>
    </w:p>
    <w:p w14:paraId="0FC12F2B" w14:textId="77777777" w:rsidR="00625A5B" w:rsidRPr="008F03E5" w:rsidRDefault="00625A5B" w:rsidP="00566693">
      <w:pPr>
        <w:pStyle w:val="Translit"/>
      </w:pPr>
      <w:r w:rsidRPr="008F03E5">
        <w:t>Hawdaj (Haudaj, Houdaj)</w:t>
      </w:r>
      <w:r w:rsidRPr="008F03E5">
        <w:tab/>
        <w:t>Hawdaj, pl. Hawádij</w:t>
      </w:r>
      <w:r w:rsidRPr="008F03E5">
        <w:tab/>
        <w:t>camel litter or bed, howdah (from Hindi); sedan chair, litter.  Carried by a camel, mule, horse or elephant for travelling purposes.</w:t>
      </w:r>
    </w:p>
    <w:p w14:paraId="013B2CF0" w14:textId="77777777" w:rsidR="00625A5B" w:rsidRPr="008F03E5" w:rsidRDefault="00625A5B" w:rsidP="00566693">
      <w:pPr>
        <w:pStyle w:val="Translit"/>
      </w:pPr>
      <w:r w:rsidRPr="008F03E5">
        <w:t>Hawl (Haul), Ahwal, Hu’ul</w:t>
      </w:r>
      <w:r w:rsidRPr="008F03E5">
        <w:tab/>
        <w:t>Hawl, pl. Ahwál, Hu’úl</w:t>
      </w:r>
      <w:r w:rsidRPr="008F03E5">
        <w:tab/>
        <w:t>terror, fright, alarm, shook, horror, dismay; power</w:t>
      </w:r>
    </w:p>
    <w:p w14:paraId="56379C06" w14:textId="77777777" w:rsidR="00625A5B" w:rsidRPr="008F03E5" w:rsidRDefault="00625A5B" w:rsidP="00387926">
      <w:pPr>
        <w:pStyle w:val="Translit"/>
        <w:rPr>
          <w:rFonts w:eastAsia="PMingLiU"/>
          <w:lang w:eastAsia="zh-TW"/>
        </w:rPr>
      </w:pPr>
      <w:r w:rsidRPr="008F03E5">
        <w:t>Hawran, Hauran, Houran</w:t>
      </w:r>
      <w:r w:rsidRPr="008F03E5">
        <w:tab/>
        <w:t>Ḥawrán</w:t>
      </w:r>
      <w:r w:rsidRPr="008F03E5">
        <w:tab/>
        <w:t xml:space="preserve">the Hauran, a mountainous plateau in </w:t>
      </w:r>
      <w:r w:rsidRPr="008F03E5">
        <w:rPr>
          <w:sz w:val="16"/>
          <w:szCs w:val="16"/>
        </w:rPr>
        <w:t>SW</w:t>
      </w:r>
      <w:r w:rsidRPr="008F03E5">
        <w:t xml:space="preserve"> Syria and </w:t>
      </w:r>
      <w:r w:rsidRPr="008F03E5">
        <w:rPr>
          <w:sz w:val="16"/>
          <w:szCs w:val="16"/>
        </w:rPr>
        <w:t>N</w:t>
      </w:r>
      <w:r w:rsidRPr="008F03E5">
        <w:t xml:space="preserve"> Jordan.  The Druze of the area.</w:t>
      </w:r>
    </w:p>
    <w:p w14:paraId="2E696BCC" w14:textId="77777777" w:rsidR="00625A5B" w:rsidRPr="008F03E5" w:rsidRDefault="00625A5B" w:rsidP="00932FD1">
      <w:pPr>
        <w:pStyle w:val="Translit"/>
      </w:pPr>
      <w:r w:rsidRPr="008F03E5">
        <w:t>Hawz (Hauz), Ahwaz (Ahvaz)</w:t>
      </w:r>
      <w:r w:rsidRPr="008F03E5">
        <w:tab/>
        <w:t>Ḥawz, pl. Aḥwáz, Pers. also Aḥváz</w:t>
      </w:r>
      <w:r w:rsidRPr="008F03E5">
        <w:tab/>
        <w:t xml:space="preserve">possession, holding, tenure; obtainment, attainment, acquisition; taking possession, occupation, occupancy; (jurisprudence) tenancy;—pl. enclosed area, enclosure; precinct(s), boundary, city limits.  al-Aḥwáz, city in south-west Írán, 460 km </w:t>
      </w:r>
      <w:r w:rsidRPr="008F03E5">
        <w:rPr>
          <w:sz w:val="16"/>
          <w:szCs w:val="16"/>
        </w:rPr>
        <w:t>SE</w:t>
      </w:r>
      <w:r w:rsidRPr="008F03E5">
        <w:t xml:space="preserve"> of Baghdad.</w:t>
      </w:r>
    </w:p>
    <w:p w14:paraId="1D593958" w14:textId="77777777" w:rsidR="00625A5B" w:rsidRPr="008F03E5" w:rsidRDefault="00625A5B" w:rsidP="006D019C">
      <w:pPr>
        <w:pStyle w:val="Translit"/>
      </w:pPr>
      <w:r w:rsidRPr="008F03E5">
        <w:t>Hawza (Hauza)</w:t>
      </w:r>
      <w:r w:rsidRPr="008F03E5">
        <w:tab/>
        <w:t>Ḥawza[h or t]</w:t>
      </w:r>
      <w:r w:rsidRPr="008F03E5">
        <w:tab/>
        <w:t>possession, holding, tenure; property; area, territory</w:t>
      </w:r>
    </w:p>
    <w:p w14:paraId="02F99C58" w14:textId="77777777" w:rsidR="00625A5B" w:rsidRPr="008F03E5" w:rsidRDefault="00625A5B" w:rsidP="0006543F">
      <w:pPr>
        <w:pStyle w:val="Translit"/>
      </w:pPr>
      <w:r w:rsidRPr="008F03E5">
        <w:t>Hawzah ‘Ilmiyah</w:t>
      </w:r>
      <w:r w:rsidRPr="008F03E5">
        <w:tab/>
        <w:t>Ḥawzah ‘Ilmíyah</w:t>
      </w:r>
      <w:r w:rsidRPr="008F03E5">
        <w:tab/>
        <w:t xml:space="preserve">is a seminary where </w:t>
      </w:r>
      <w:r w:rsidRPr="008F03E5">
        <w:rPr>
          <w:u w:val="single"/>
        </w:rPr>
        <w:t>Sh</w:t>
      </w:r>
      <w:r w:rsidRPr="008F03E5">
        <w:t>í‘a Muslim scholars are educated</w:t>
      </w:r>
    </w:p>
    <w:p w14:paraId="3CEF985D" w14:textId="77777777" w:rsidR="00625A5B" w:rsidRPr="008F03E5" w:rsidRDefault="00625A5B" w:rsidP="00810E17">
      <w:pPr>
        <w:pStyle w:val="Translit"/>
      </w:pPr>
      <w:r w:rsidRPr="00077779">
        <w:rPr>
          <w:lang w:val="es-ES_tradnl"/>
        </w:rPr>
        <w:t>Haya, Hayawat</w:t>
      </w:r>
      <w:r w:rsidRPr="00077779">
        <w:rPr>
          <w:lang w:val="es-ES_tradnl"/>
        </w:rPr>
        <w:tab/>
        <w:t xml:space="preserve">Ḥayá[h or t], pl. </w:t>
      </w:r>
      <w:r w:rsidRPr="008F03E5">
        <w:t>Ḥayawát</w:t>
      </w:r>
      <w:r w:rsidRPr="008F03E5">
        <w:tab/>
        <w:t>life, life-time; life-blood</w:t>
      </w:r>
    </w:p>
    <w:p w14:paraId="4EB4EAB3" w14:textId="77777777" w:rsidR="00625A5B" w:rsidRPr="008F03E5" w:rsidRDefault="00625A5B" w:rsidP="00471751">
      <w:pPr>
        <w:pStyle w:val="Translit"/>
      </w:pPr>
      <w:r w:rsidRPr="008F03E5">
        <w:t>Hayat-i-Bagh</w:t>
      </w:r>
      <w:r w:rsidRPr="008F03E5">
        <w:tab/>
        <w:t>Ḥayát-i-Bá</w:t>
      </w:r>
      <w:r w:rsidRPr="008F03E5">
        <w:rPr>
          <w:u w:val="single"/>
        </w:rPr>
        <w:t>gh</w:t>
      </w:r>
      <w:r w:rsidRPr="008F03E5">
        <w:tab/>
        <w:t>land was purchased in ‘Udláján district 12 of Ṭihrán (35.680768, 51.429470; east of the Gulistan Palace) in 1800 by Mírzá Buzurg-i-Núrí.  A house completed in 1802 was called Saráy-i-Naw Sá</w:t>
      </w:r>
      <w:r w:rsidRPr="008F03E5">
        <w:rPr>
          <w:u w:val="single"/>
        </w:rPr>
        <w:t>kh</w:t>
      </w:r>
      <w:r w:rsidRPr="008F03E5">
        <w:t>t (“The newly built House”).  It was later known as Ḥayát-i-Bá</w:t>
      </w:r>
      <w:r w:rsidRPr="008F03E5">
        <w:rPr>
          <w:u w:val="single"/>
        </w:rPr>
        <w:t>gh</w:t>
      </w:r>
      <w:r w:rsidRPr="008F03E5">
        <w:t xml:space="preserve"> (“Garden life”) and the House of Bahá’u’lláh.  Bahá’u’lláh’s father later added six more houses.  He was forced to sell them about 1835.  ‘Abdu’l-Bahá later purchased an enclave of Bahá’í homes around a large garden (same?) and it was named Ḥayát-i-Bá</w:t>
      </w:r>
      <w:r w:rsidRPr="008F03E5">
        <w:rPr>
          <w:u w:val="single"/>
        </w:rPr>
        <w:t>gh</w:t>
      </w:r>
      <w:r w:rsidRPr="008F03E5">
        <w:t>.</w:t>
      </w:r>
    </w:p>
    <w:p w14:paraId="0D9CA760" w14:textId="77777777" w:rsidR="00625A5B" w:rsidRPr="008F03E5" w:rsidRDefault="00625A5B" w:rsidP="00566693">
      <w:pPr>
        <w:pStyle w:val="Translit"/>
      </w:pPr>
      <w:r w:rsidRPr="008F03E5">
        <w:t>Hayat-Quli Khan</w:t>
      </w:r>
      <w:r w:rsidRPr="008F03E5">
        <w:tab/>
        <w:t xml:space="preserve">Ḥayát-Qulí </w:t>
      </w:r>
      <w:r w:rsidRPr="008F03E5">
        <w:rPr>
          <w:u w:val="single"/>
        </w:rPr>
        <w:t>Kh</w:t>
      </w:r>
      <w:r w:rsidRPr="008F03E5">
        <w:t>án</w:t>
      </w:r>
      <w:r w:rsidRPr="008F03E5">
        <w:tab/>
        <w:t>Governor of Karand and a member of the ‘Alíyu’lláhís, a sect that equates Imám ‘Alí with God.</w:t>
      </w:r>
    </w:p>
    <w:p w14:paraId="4DCDD941" w14:textId="77777777" w:rsidR="00625A5B" w:rsidRPr="008F03E5" w:rsidRDefault="00625A5B" w:rsidP="009F279A">
      <w:pPr>
        <w:pStyle w:val="Translit"/>
      </w:pPr>
      <w:r w:rsidRPr="008F03E5">
        <w:t>Hayawan, Hayawanat</w:t>
      </w:r>
      <w:r w:rsidRPr="008F03E5">
        <w:tab/>
        <w:t>Ḥayawán, pl. Ḥayawánát</w:t>
      </w:r>
      <w:r w:rsidRPr="008F03E5">
        <w:tab/>
        <w:t>animal, beast; (collectively) animals, living creatures.  Alternative spelling:  ḥaywán (haiwan), etc.</w:t>
      </w:r>
    </w:p>
    <w:p w14:paraId="6D14621C" w14:textId="77777777" w:rsidR="00625A5B" w:rsidRPr="008F03E5" w:rsidRDefault="00625A5B" w:rsidP="009F279A">
      <w:pPr>
        <w:pStyle w:val="Translit"/>
      </w:pPr>
      <w:r w:rsidRPr="008F03E5">
        <w:t>Hayawaniya</w:t>
      </w:r>
      <w:r w:rsidRPr="008F03E5">
        <w:tab/>
        <w:t>Ḥayawáníya[h or t]</w:t>
      </w:r>
      <w:r w:rsidRPr="008F03E5">
        <w:tab/>
        <w:t>bestiality; animality, animal nature.  Alternative spelling ḥayawán (haiawan).</w:t>
      </w:r>
    </w:p>
    <w:p w14:paraId="4204C1A9" w14:textId="77777777" w:rsidR="00625A5B" w:rsidRPr="008F03E5" w:rsidRDefault="00625A5B" w:rsidP="009F279A">
      <w:pPr>
        <w:pStyle w:val="Translit"/>
      </w:pPr>
      <w:r w:rsidRPr="008F03E5">
        <w:t>Haydar</w:t>
      </w:r>
      <w:r>
        <w:t xml:space="preserve"> (Haidar)</w:t>
      </w:r>
      <w:r w:rsidRPr="008F03E5">
        <w:tab/>
        <w:t>Ḥaydar</w:t>
      </w:r>
      <w:r w:rsidRPr="008F03E5">
        <w:tab/>
        <w:t>Pers. a lion; a proper name</w:t>
      </w:r>
    </w:p>
    <w:p w14:paraId="4B86430A" w14:textId="77777777" w:rsidR="00625A5B" w:rsidRPr="008F03E5" w:rsidRDefault="00625A5B" w:rsidP="00566693">
      <w:pPr>
        <w:pStyle w:val="Translit"/>
      </w:pPr>
      <w:r w:rsidRPr="008F03E5">
        <w:t>Haydar</w:t>
      </w:r>
      <w:r w:rsidRPr="008F03E5">
        <w:rPr>
          <w:rFonts w:eastAsia="PMingLiU"/>
          <w:lang w:eastAsia="zh-TW"/>
        </w:rPr>
        <w:t>-‘</w:t>
      </w:r>
      <w:r w:rsidRPr="008F03E5">
        <w:t>Ali</w:t>
      </w:r>
      <w:r w:rsidRPr="008F03E5">
        <w:tab/>
        <w:t>Ḥaydar-‘Alí, Ḥájí Mírzá</w:t>
      </w:r>
      <w:r w:rsidRPr="008F03E5">
        <w:tab/>
        <w:t xml:space="preserve">noted early Bahá’í, born into </w:t>
      </w:r>
      <w:r w:rsidRPr="008F03E5">
        <w:rPr>
          <w:u w:val="single"/>
        </w:rPr>
        <w:t>Sh</w:t>
      </w:r>
      <w:r w:rsidRPr="008F03E5">
        <w:t>ay</w:t>
      </w:r>
      <w:r w:rsidRPr="008F03E5">
        <w:rPr>
          <w:u w:val="single"/>
        </w:rPr>
        <w:t>kh</w:t>
      </w:r>
      <w:r w:rsidRPr="008F03E5">
        <w:t>í family of Iṣfahán.  Known as the “Angel of Carmel”.</w:t>
      </w:r>
    </w:p>
    <w:p w14:paraId="78C6BDE1" w14:textId="77777777" w:rsidR="00625A5B" w:rsidRPr="008F03E5" w:rsidRDefault="00625A5B" w:rsidP="002251E6">
      <w:pPr>
        <w:pStyle w:val="Translit"/>
        <w:rPr>
          <w:rFonts w:eastAsia="PMingLiU"/>
          <w:lang w:eastAsia="zh-TW"/>
        </w:rPr>
      </w:pPr>
      <w:r w:rsidRPr="008F03E5">
        <w:rPr>
          <w:rFonts w:eastAsia="PMingLiU"/>
          <w:lang w:eastAsia="zh-TW"/>
        </w:rPr>
        <w:t>Haydari</w:t>
      </w:r>
      <w:r w:rsidRPr="008F03E5">
        <w:tab/>
        <w:t>Ḥ</w:t>
      </w:r>
      <w:r w:rsidRPr="008F03E5">
        <w:rPr>
          <w:rFonts w:eastAsia="PMingLiU"/>
          <w:lang w:eastAsia="zh-TW"/>
        </w:rPr>
        <w:t>aydarí</w:t>
      </w:r>
      <w:r w:rsidRPr="008F03E5">
        <w:tab/>
      </w:r>
      <w:r>
        <w:t xml:space="preserve">Pers. </w:t>
      </w:r>
      <w:r>
        <w:rPr>
          <w:rFonts w:eastAsia="Times New Roman"/>
        </w:rPr>
        <w:t>o</w:t>
      </w:r>
      <w:r w:rsidRPr="00AF4D34">
        <w:rPr>
          <w:rFonts w:eastAsia="Times New Roman"/>
        </w:rPr>
        <w:t xml:space="preserve">f or belonging to </w:t>
      </w:r>
      <w:r w:rsidRPr="005514EB">
        <w:t>Ḥ</w:t>
      </w:r>
      <w:r w:rsidRPr="00AF4D34">
        <w:rPr>
          <w:rFonts w:eastAsia="Times New Roman"/>
        </w:rPr>
        <w:t>a</w:t>
      </w:r>
      <w:r>
        <w:rPr>
          <w:rFonts w:eastAsia="Times New Roman"/>
        </w:rPr>
        <w:t>y</w:t>
      </w:r>
      <w:r w:rsidRPr="00AF4D34">
        <w:rPr>
          <w:rFonts w:eastAsia="Times New Roman"/>
        </w:rPr>
        <w:t>dar; an adherent of Qu</w:t>
      </w:r>
      <w:r w:rsidRPr="00654E5E">
        <w:t>ṭ</w:t>
      </w:r>
      <w:r w:rsidRPr="00AF4D34">
        <w:rPr>
          <w:rFonts w:eastAsia="Times New Roman"/>
        </w:rPr>
        <w:t>b</w:t>
      </w:r>
      <w:r>
        <w:rPr>
          <w:rFonts w:eastAsia="Times New Roman"/>
        </w:rPr>
        <w:t xml:space="preserve"> ad</w:t>
      </w:r>
      <w:r w:rsidRPr="00AF4D34">
        <w:rPr>
          <w:rFonts w:eastAsia="Times New Roman"/>
        </w:rPr>
        <w:t>-</w:t>
      </w:r>
      <w:r>
        <w:rPr>
          <w:rFonts w:eastAsia="Times New Roman"/>
        </w:rPr>
        <w:t>Dí</w:t>
      </w:r>
      <w:r w:rsidRPr="00AF4D34">
        <w:rPr>
          <w:rFonts w:eastAsia="Times New Roman"/>
        </w:rPr>
        <w:t xml:space="preserve">n </w:t>
      </w:r>
      <w:r w:rsidRPr="005514EB">
        <w:t>Ḥ</w:t>
      </w:r>
      <w:r>
        <w:rPr>
          <w:rFonts w:eastAsia="Times New Roman"/>
        </w:rPr>
        <w:t>aydar</w:t>
      </w:r>
      <w:r w:rsidRPr="00AF4D34">
        <w:rPr>
          <w:rFonts w:eastAsia="Times New Roman"/>
        </w:rPr>
        <w:t xml:space="preserve">, the founder of </w:t>
      </w:r>
      <w:r>
        <w:rPr>
          <w:rFonts w:eastAsia="Times New Roman"/>
        </w:rPr>
        <w:t xml:space="preserve">the </w:t>
      </w:r>
      <w:r w:rsidRPr="005514EB">
        <w:t>Ḥ</w:t>
      </w:r>
      <w:r w:rsidRPr="005514EB">
        <w:rPr>
          <w:rFonts w:eastAsia="Times New Roman"/>
          <w:lang w:val="en-AU"/>
        </w:rPr>
        <w:t>aydar</w:t>
      </w:r>
      <w:r w:rsidRPr="005514EB">
        <w:t>í</w:t>
      </w:r>
      <w:r>
        <w:rPr>
          <w:rFonts w:eastAsia="Times New Roman"/>
          <w:lang w:val="en-AU"/>
        </w:rPr>
        <w:t>ya</w:t>
      </w:r>
      <w:r w:rsidRPr="00AF4D34">
        <w:rPr>
          <w:rFonts w:eastAsia="Times New Roman"/>
        </w:rPr>
        <w:t xml:space="preserve"> mystic sect.</w:t>
      </w:r>
    </w:p>
    <w:p w14:paraId="7B6F6C7A" w14:textId="77777777" w:rsidR="00625A5B" w:rsidRPr="00A43908" w:rsidRDefault="00625A5B" w:rsidP="00A43908">
      <w:pPr>
        <w:pStyle w:val="Translit"/>
      </w:pPr>
      <w:r w:rsidRPr="008F03E5">
        <w:rPr>
          <w:rFonts w:eastAsia="PMingLiU"/>
          <w:lang w:eastAsia="zh-TW"/>
        </w:rPr>
        <w:t>Haydari</w:t>
      </w:r>
      <w:r>
        <w:rPr>
          <w:rFonts w:eastAsia="PMingLiU"/>
          <w:lang w:eastAsia="zh-TW"/>
        </w:rPr>
        <w:t>ya (Haydariyya)</w:t>
      </w:r>
      <w:r w:rsidRPr="008F03E5">
        <w:tab/>
        <w:t>Ḥ</w:t>
      </w:r>
      <w:r w:rsidRPr="008F03E5">
        <w:rPr>
          <w:rFonts w:eastAsia="PMingLiU"/>
          <w:lang w:eastAsia="zh-TW"/>
        </w:rPr>
        <w:t>aydarí</w:t>
      </w:r>
      <w:r>
        <w:rPr>
          <w:rFonts w:eastAsia="PMingLiU"/>
          <w:lang w:eastAsia="zh-TW"/>
        </w:rPr>
        <w:t>ya</w:t>
      </w:r>
      <w:r>
        <w:rPr>
          <w:rFonts w:eastAsia="PMingLiU"/>
          <w:lang w:eastAsia="zh-TW"/>
        </w:rPr>
        <w:tab/>
        <w:t>Persian Sufi</w:t>
      </w:r>
      <w:r w:rsidRPr="00A43908">
        <w:t xml:space="preserve"> mendicant</w:t>
      </w:r>
      <w:r>
        <w:t>, mystical</w:t>
      </w:r>
      <w:r w:rsidRPr="00A43908">
        <w:t xml:space="preserve"> </w:t>
      </w:r>
      <w:r>
        <w:t>order</w:t>
      </w:r>
      <w:r w:rsidRPr="00A43908">
        <w:t xml:space="preserve"> known for their celibacy and</w:t>
      </w:r>
      <w:r>
        <w:t xml:space="preserve"> </w:t>
      </w:r>
      <w:r w:rsidRPr="00A43908">
        <w:t>mortification of the flesh</w:t>
      </w:r>
      <w:r>
        <w:t xml:space="preserve"> </w:t>
      </w:r>
      <w:r w:rsidRPr="00A43908">
        <w:t>through piercing their bodies with iron rings</w:t>
      </w:r>
      <w:r>
        <w:t xml:space="preserve"> (cannabis was used to deaden the pain).  Compare with the </w:t>
      </w:r>
      <w:r w:rsidRPr="008F03E5">
        <w:t>Ni‘matu’lláhí</w:t>
      </w:r>
      <w:r>
        <w:t xml:space="preserve"> sufi order.</w:t>
      </w:r>
    </w:p>
    <w:p w14:paraId="7CA17B61" w14:textId="77777777" w:rsidR="00625A5B" w:rsidRDefault="00625A5B" w:rsidP="000D248B">
      <w:pPr>
        <w:pStyle w:val="Translit"/>
      </w:pPr>
      <w:r w:rsidRPr="008F03E5">
        <w:t>Hayf (Haif)</w:t>
      </w:r>
      <w:r w:rsidRPr="008F03E5">
        <w:tab/>
        <w:t>Ḥayf</w:t>
      </w:r>
      <w:r w:rsidRPr="008F03E5">
        <w:tab/>
      </w:r>
      <w:r>
        <w:t>wrong, injustice; harm, damage, prejudice</w:t>
      </w:r>
    </w:p>
    <w:p w14:paraId="5A072A34" w14:textId="77777777" w:rsidR="00625A5B" w:rsidRPr="008F03E5" w:rsidRDefault="00625A5B" w:rsidP="000D248B">
      <w:pPr>
        <w:pStyle w:val="Translit"/>
      </w:pPr>
      <w:r w:rsidRPr="008F03E5">
        <w:t>Hayfa’ (Haifa’)</w:t>
      </w:r>
      <w:r w:rsidRPr="008F03E5">
        <w:tab/>
        <w:t>Ḥayfá’</w:t>
      </w:r>
      <w:r w:rsidRPr="008F03E5">
        <w:tab/>
        <w:t>Haifa.  Heb. Hefa or Hepha</w:t>
      </w:r>
    </w:p>
    <w:p w14:paraId="5FEAF15E" w14:textId="77777777" w:rsidR="00625A5B" w:rsidRPr="008F03E5" w:rsidRDefault="00625A5B" w:rsidP="00566693">
      <w:pPr>
        <w:pStyle w:val="Translit"/>
      </w:pPr>
      <w:r w:rsidRPr="008F03E5">
        <w:t>Hayiya, Hayya, Yahya</w:t>
      </w:r>
      <w:r w:rsidRPr="008F03E5">
        <w:tab/>
        <w:t>Ḥayiya, Ḥayya, Yaḥyá (Ḥayáh)</w:t>
      </w:r>
      <w:r w:rsidRPr="008F03E5">
        <w:tab/>
        <w:t>to live; ḥayya to live to see, experience, witness (something), live (through a time)</w:t>
      </w:r>
    </w:p>
    <w:p w14:paraId="533A933E" w14:textId="77777777" w:rsidR="00625A5B" w:rsidRPr="008F03E5" w:rsidRDefault="00625A5B" w:rsidP="00BD5886">
      <w:pPr>
        <w:pStyle w:val="Translit"/>
      </w:pPr>
      <w:r w:rsidRPr="00077779">
        <w:rPr>
          <w:lang w:val="es-ES_tradnl"/>
        </w:rPr>
        <w:t>Haykal (Haikal), Hayakil</w:t>
      </w:r>
      <w:r w:rsidRPr="00077779">
        <w:rPr>
          <w:lang w:val="es-ES_tradnl"/>
        </w:rPr>
        <w:tab/>
        <w:t xml:space="preserve">Haykal, pl. </w:t>
      </w:r>
      <w:r w:rsidRPr="008F03E5">
        <w:t>Hayákil</w:t>
      </w:r>
      <w:r w:rsidRPr="008F03E5">
        <w:tab/>
        <w:t>temple; large building, edifice; altar; skeleton; framework (of a structure), frame; chassis (of an automobile); colossal, gigantic, huge.  Broader definition from:  a figure, image, face, form, stature or shape of the body; a long or tall horse; anything large-sized; a giant; a tall plant; a temple of idolaters; a palace, stately edifice; a Christian church; a monastery; an amulet or talisman inscribed with magic figures, hung round the body, as a defence against fascination or misfortune.  The haykal (as used by the Báb) represents the temple of a human being, the Perfect Man (the Manifestation of the names and attributes of God).  Hence, men are called the “possessors of the pentagram (</w:t>
      </w:r>
      <w:r w:rsidRPr="008F03E5">
        <w:rPr>
          <w:i/>
          <w:iCs/>
        </w:rPr>
        <w:t>haykal</w:t>
      </w:r>
      <w:r w:rsidRPr="008F03E5">
        <w:t>)” because the Manifestation of the names and attributes of God is enshrined within the heart of each individual.  See dá’ira.</w:t>
      </w:r>
    </w:p>
    <w:p w14:paraId="092F812D" w14:textId="77777777" w:rsidR="00625A5B" w:rsidRPr="008F03E5" w:rsidRDefault="00625A5B" w:rsidP="00566693">
      <w:pPr>
        <w:pStyle w:val="Translit"/>
      </w:pPr>
      <w:r w:rsidRPr="008F03E5">
        <w:t>Haykalu’t-tawhid</w:t>
      </w:r>
      <w:r w:rsidRPr="008F03E5">
        <w:tab/>
        <w:t>Haykalu’t-tawḥíd</w:t>
      </w:r>
      <w:r w:rsidRPr="008F03E5">
        <w:tab/>
        <w:t>“posture of unity”, or freely translated as cross-legged</w:t>
      </w:r>
    </w:p>
    <w:p w14:paraId="7E7B520B" w14:textId="77777777" w:rsidR="00625A5B" w:rsidRPr="008F03E5" w:rsidRDefault="00625A5B" w:rsidP="006E2954">
      <w:pPr>
        <w:pStyle w:val="Translit"/>
      </w:pPr>
      <w:r w:rsidRPr="008F03E5">
        <w:t>Hayra (Haira)</w:t>
      </w:r>
      <w:r w:rsidRPr="008F03E5">
        <w:tab/>
        <w:t>Ḥayra[h or t]</w:t>
      </w:r>
      <w:r w:rsidRPr="008F03E5">
        <w:tab/>
        <w:t>confusion, perplexity, bewilderment, embarrassment, helplessness, embarrassed, at a loss, helpless</w:t>
      </w:r>
    </w:p>
    <w:p w14:paraId="5C0760C3" w14:textId="77777777" w:rsidR="00625A5B" w:rsidRPr="008F03E5" w:rsidRDefault="00625A5B" w:rsidP="009E053B">
      <w:pPr>
        <w:pStyle w:val="Translit"/>
      </w:pPr>
      <w:r w:rsidRPr="00077779">
        <w:rPr>
          <w:lang w:val="es-ES_tradnl"/>
        </w:rPr>
        <w:t>Hayran (Hairan), Hayara, Huyara</w:t>
      </w:r>
      <w:r w:rsidRPr="00077779">
        <w:rPr>
          <w:lang w:val="es-ES_tradnl"/>
        </w:rPr>
        <w:tab/>
        <w:t xml:space="preserve">Ḥayrán, f. Ḥayrá, pl. </w:t>
      </w:r>
      <w:r w:rsidRPr="008F03E5">
        <w:t>Ḥayárá, Ḥuyárá</w:t>
      </w:r>
      <w:r w:rsidRPr="008F03E5">
        <w:tab/>
        <w:t>confused, perplexed, startled, dismayed, disconcerted, baffled, nonplused, bewildered, appalled, taken aback, stunned; embarrassed, at a loss, at one’s wit’s end; uncertain, helpless, sheepish (smile, etc.), confused, incoherent (words, and the like)</w:t>
      </w:r>
    </w:p>
    <w:p w14:paraId="221800EB" w14:textId="77777777" w:rsidR="00625A5B" w:rsidRPr="008F03E5" w:rsidRDefault="00625A5B" w:rsidP="009F279A">
      <w:pPr>
        <w:pStyle w:val="Translit"/>
      </w:pPr>
      <w:r w:rsidRPr="008F03E5">
        <w:t>Haytham (Haitham)</w:t>
      </w:r>
      <w:r w:rsidRPr="008F03E5">
        <w:tab/>
        <w:t>Hay</w:t>
      </w:r>
      <w:r w:rsidRPr="008F03E5">
        <w:rPr>
          <w:u w:val="single"/>
        </w:rPr>
        <w:t>th</w:t>
      </w:r>
      <w:r w:rsidRPr="008F03E5">
        <w:t>am</w:t>
      </w:r>
      <w:r w:rsidRPr="008F03E5">
        <w:tab/>
        <w:t xml:space="preserve">young eagle.  </w:t>
      </w:r>
      <w:r w:rsidRPr="00077779">
        <w:rPr>
          <w:lang w:val="es-ES_tradnl"/>
        </w:rPr>
        <w:t>Abú ‘Alí al-Ḥasan ibn al-Ḥasan ibn al-Hay</w:t>
      </w:r>
      <w:r w:rsidRPr="00077779">
        <w:rPr>
          <w:u w:val="single"/>
          <w:lang w:val="es-ES_tradnl"/>
        </w:rPr>
        <w:t>th</w:t>
      </w:r>
      <w:r w:rsidRPr="00077779">
        <w:rPr>
          <w:lang w:val="es-ES_tradnl"/>
        </w:rPr>
        <w:t xml:space="preserve">am (c.  </w:t>
      </w:r>
      <w:r w:rsidRPr="008F03E5">
        <w:t xml:space="preserve">965–c.  1040), Muslim Arab scientist, mathematician, astronomer, and philosopher.  Known in the West as Alhazen or Alhacen.  Author of </w:t>
      </w:r>
      <w:r w:rsidRPr="008F03E5">
        <w:rPr>
          <w:i/>
          <w:iCs/>
        </w:rPr>
        <w:t>Kitáb al-Manáẓir</w:t>
      </w:r>
      <w:r w:rsidRPr="008F03E5">
        <w:t xml:space="preserve"> (The Book of Optics).</w:t>
      </w:r>
    </w:p>
    <w:p w14:paraId="0DE7F650" w14:textId="77777777" w:rsidR="00625A5B" w:rsidRDefault="00625A5B" w:rsidP="001D4CF9">
      <w:pPr>
        <w:pStyle w:val="Translit"/>
      </w:pPr>
      <w:r>
        <w:t>Hayula, Hayyula</w:t>
      </w:r>
      <w:r>
        <w:tab/>
      </w:r>
      <w:r w:rsidRPr="001D4CF9">
        <w:t>Hay</w:t>
      </w:r>
      <w:r>
        <w:t>ú</w:t>
      </w:r>
      <w:r w:rsidRPr="001D4CF9">
        <w:t>l</w:t>
      </w:r>
      <w:r>
        <w:t>á</w:t>
      </w:r>
      <w:r w:rsidRPr="001D4CF9">
        <w:t>, Hayy</w:t>
      </w:r>
      <w:r>
        <w:t>ú</w:t>
      </w:r>
      <w:r w:rsidRPr="001D4CF9">
        <w:t>l</w:t>
      </w:r>
      <w:r>
        <w:t>á</w:t>
      </w:r>
      <w:r>
        <w:tab/>
      </w:r>
      <w:r w:rsidRPr="001D4CF9">
        <w:t>primordial matter; matter; substance</w:t>
      </w:r>
    </w:p>
    <w:p w14:paraId="16E124B8" w14:textId="77777777" w:rsidR="00625A5B" w:rsidRPr="008F03E5" w:rsidRDefault="00625A5B" w:rsidP="00D752EA">
      <w:pPr>
        <w:pStyle w:val="Translit"/>
      </w:pPr>
      <w:r w:rsidRPr="008F03E5">
        <w:t>Hayy</w:t>
      </w:r>
      <w:r w:rsidRPr="008F03E5">
        <w:tab/>
        <w:t>Ḥayy, pl. Aḥyá’</w:t>
      </w:r>
      <w:r w:rsidRPr="008F03E5">
        <w:tab/>
        <w:t>living, live, alive; lively, lusty, animated, active, energetic, unbroken, undaunted, undismayed; living being, organism; tribe, tribal community; block of apartment houses; section, quarter or neighbourhood (of a city).  al-Ḥayy, divine name the Ever-Living.  e.g. al-Ḥayy al-Manyal (El Manial district) of Cairo.</w:t>
      </w:r>
    </w:p>
    <w:p w14:paraId="564A6F86" w14:textId="77777777" w:rsidR="00625A5B" w:rsidRPr="008F03E5" w:rsidRDefault="00625A5B" w:rsidP="00566693">
      <w:pPr>
        <w:pStyle w:val="Translit"/>
      </w:pPr>
      <w:r w:rsidRPr="008F03E5">
        <w:t>Hayyan</w:t>
      </w:r>
      <w:r w:rsidRPr="008F03E5">
        <w:tab/>
        <w:t>Ḥayyán</w:t>
      </w:r>
      <w:r w:rsidRPr="008F03E5">
        <w:tab/>
        <w:t>lively, energetic.  Abú Músá Jábir ibn Hayyán (Geber)</w:t>
      </w:r>
    </w:p>
    <w:p w14:paraId="00A548DE" w14:textId="77777777" w:rsidR="00625A5B" w:rsidRPr="008F03E5" w:rsidRDefault="00625A5B" w:rsidP="00DD1B2C">
      <w:pPr>
        <w:pStyle w:val="Translit"/>
      </w:pPr>
      <w:r w:rsidRPr="005109CD">
        <w:rPr>
          <w:lang w:val="es-ES_tradnl"/>
        </w:rPr>
        <w:t>Hazar (Hizar), Hazaran</w:t>
      </w:r>
      <w:r w:rsidRPr="005109CD">
        <w:rPr>
          <w:lang w:val="es-ES_tradnl"/>
        </w:rPr>
        <w:tab/>
        <w:t xml:space="preserve">Hazár, pl. </w:t>
      </w:r>
      <w:r w:rsidRPr="008F03E5">
        <w:t>Hazárán</w:t>
      </w:r>
      <w:r w:rsidRPr="008F03E5">
        <w:tab/>
        <w:t>Pers. a thousand; a bird called the thousand voices, having an uncommon variety of melodious notes, a species of nightingale; a term employed in the game of nard.  Hazár dara (“thousand valleys”), a barren area of conical hillocks to the east of Iṣfahán.</w:t>
      </w:r>
    </w:p>
    <w:p w14:paraId="5FE91050" w14:textId="77777777" w:rsidR="00625A5B" w:rsidRPr="008F03E5" w:rsidRDefault="00625A5B" w:rsidP="00FD42B1">
      <w:pPr>
        <w:pStyle w:val="Translit"/>
      </w:pPr>
      <w:r w:rsidRPr="008F03E5">
        <w:t>Hazara (Hizara, Hizarih)</w:t>
      </w:r>
      <w:r w:rsidRPr="008F03E5">
        <w:tab/>
        <w:t>Hazára</w:t>
      </w:r>
      <w:r w:rsidRPr="008F03E5">
        <w:tab/>
        <w:t>Pers. a double flower; a divided stream or water jet; name of a tribe of Afghans.</w:t>
      </w:r>
    </w:p>
    <w:p w14:paraId="0B23B897" w14:textId="77777777" w:rsidR="00625A5B" w:rsidRPr="008F03E5" w:rsidRDefault="00625A5B" w:rsidP="00566693">
      <w:pPr>
        <w:pStyle w:val="Translit"/>
      </w:pPr>
      <w:r w:rsidRPr="008F03E5">
        <w:t>Hazir, Haziran</w:t>
      </w:r>
      <w:r w:rsidRPr="008F03E5">
        <w:tab/>
        <w:t>Ḥáẓir, pl. Ḥáẓirán</w:t>
      </w:r>
      <w:r w:rsidRPr="008F03E5">
        <w:tab/>
        <w:t>present, at hand, ready, prepared; at the service of, willing, content; (in grammar) the present tense; the second person; a large tribe;—pl. the people present, the audience.  See ḥáḍir</w:t>
      </w:r>
    </w:p>
    <w:p w14:paraId="746D2A88" w14:textId="77777777" w:rsidR="00625A5B" w:rsidRPr="008F03E5" w:rsidRDefault="00625A5B" w:rsidP="001049E5">
      <w:pPr>
        <w:pStyle w:val="Translit"/>
      </w:pPr>
      <w:r w:rsidRPr="008F03E5">
        <w:t>Hazira, Haza’ir</w:t>
      </w:r>
      <w:r w:rsidRPr="008F03E5">
        <w:tab/>
        <w:t>Ḥaẓíra[h or t], pl. Ḥaẓá’ir</w:t>
      </w:r>
      <w:r w:rsidRPr="008F03E5">
        <w:tab/>
        <w:t>enclosure, railing, fence, palisade, hedge; compound, yard, pound, pinfold; corral, pen, paddock, coop; hangar, shed; field, domain, realm (figurative).  Pers. a city, a fixed residence.</w:t>
      </w:r>
    </w:p>
    <w:p w14:paraId="1B058DA8" w14:textId="77777777" w:rsidR="00625A5B" w:rsidRPr="008F03E5" w:rsidRDefault="00625A5B" w:rsidP="008F53BD">
      <w:pPr>
        <w:pStyle w:val="Translit"/>
      </w:pPr>
      <w:r w:rsidRPr="008F03E5">
        <w:t>Haziratu’l-Quds, Haza’iru’l-Quds</w:t>
      </w:r>
      <w:r w:rsidRPr="008F03E5">
        <w:tab/>
        <w:t>Ḥaẓíratu’l-Quds, pl. Ḥaẓá’iru’l-Quds</w:t>
      </w:r>
      <w:r w:rsidRPr="008F03E5">
        <w:tab/>
        <w:t>Sacred Fold or Paradise.  al- used in transcription, but not in Persian script.  Title (sometimes shortened to Ḥaẓíra) given to Bahá’í administrative headquarters owned by the Bahá’ís—local, regional and national.  If rented it is a Bahá’í Centre.</w:t>
      </w:r>
    </w:p>
    <w:p w14:paraId="3F182F3D" w14:textId="77777777" w:rsidR="00625A5B" w:rsidRPr="008F03E5" w:rsidRDefault="00625A5B" w:rsidP="00566693">
      <w:pPr>
        <w:pStyle w:val="Translit"/>
      </w:pPr>
      <w:r w:rsidRPr="008F03E5">
        <w:t>Hiba, Hibat</w:t>
      </w:r>
      <w:r w:rsidRPr="008F03E5">
        <w:tab/>
        <w:t>Hiba[t], pl. Hibát</w:t>
      </w:r>
      <w:r w:rsidRPr="008F03E5">
        <w:tab/>
        <w:t>gift, present, donation, grant</w:t>
      </w:r>
    </w:p>
    <w:p w14:paraId="1DD8FC65" w14:textId="77777777" w:rsidR="00625A5B" w:rsidRPr="008F03E5" w:rsidRDefault="00625A5B" w:rsidP="00566693">
      <w:pPr>
        <w:pStyle w:val="Translit"/>
      </w:pPr>
      <w:r w:rsidRPr="008F03E5">
        <w:t>Hibatu’llah</w:t>
      </w:r>
      <w:r w:rsidRPr="008F03E5">
        <w:tab/>
        <w:t>Hibatu’lláh</w:t>
      </w:r>
      <w:r w:rsidRPr="008F03E5">
        <w:tab/>
        <w:t>gift from God</w:t>
      </w:r>
    </w:p>
    <w:p w14:paraId="2857823D" w14:textId="77777777" w:rsidR="00625A5B" w:rsidRPr="008F03E5" w:rsidRDefault="00625A5B" w:rsidP="006A6B70">
      <w:pPr>
        <w:pStyle w:val="Translit"/>
      </w:pPr>
      <w:r w:rsidRPr="008F03E5">
        <w:t>Hibb, Ahbab</w:t>
      </w:r>
      <w:r w:rsidRPr="008F03E5">
        <w:tab/>
        <w:t>Ḥibb, pl. Aḥbáb, Ḥababa[h or t]</w:t>
      </w:r>
      <w:r w:rsidRPr="008F03E5">
        <w:tab/>
        <w:t>darling, dear, dearest (one), lover, friend</w:t>
      </w:r>
    </w:p>
    <w:p w14:paraId="402C25F1" w14:textId="77777777" w:rsidR="00625A5B" w:rsidRPr="008F03E5" w:rsidRDefault="00625A5B" w:rsidP="00854E2F">
      <w:pPr>
        <w:pStyle w:val="Translit"/>
      </w:pPr>
      <w:r w:rsidRPr="008F03E5">
        <w:t>Hidayat (Hedayat)</w:t>
      </w:r>
      <w:r w:rsidRPr="008F03E5">
        <w:tab/>
        <w:t>Hidáya[</w:t>
      </w:r>
      <w:r>
        <w:t xml:space="preserve">h or </w:t>
      </w:r>
      <w:r w:rsidRPr="008F03E5">
        <w:t>t]</w:t>
      </w:r>
      <w:r w:rsidRPr="008F03E5">
        <w:tab/>
      </w:r>
      <w:r w:rsidRPr="00854E2F">
        <w:t>guidance</w:t>
      </w:r>
      <w:r>
        <w:t>;</w:t>
      </w:r>
      <w:r w:rsidRPr="00854E2F">
        <w:t xml:space="preserve"> </w:t>
      </w:r>
      <w:r w:rsidRPr="008F03E5">
        <w:t xml:space="preserve">showing the way and guiding in the right path to the goal of perfection.  Riḍá Qulí </w:t>
      </w:r>
      <w:r w:rsidRPr="008F03E5">
        <w:rPr>
          <w:u w:val="single"/>
        </w:rPr>
        <w:t>Kh</w:t>
      </w:r>
      <w:r w:rsidRPr="008F03E5">
        <w:t>án Hidáyat (1800–1871), Persian literary historian, administrator, and poet of the Qájár period.</w:t>
      </w:r>
    </w:p>
    <w:p w14:paraId="78B868D6" w14:textId="77777777" w:rsidR="00625A5B" w:rsidRPr="008F03E5" w:rsidRDefault="00625A5B" w:rsidP="00566693">
      <w:pPr>
        <w:pStyle w:val="Translit"/>
        <w:rPr>
          <w:rFonts w:eastAsia="PMingLiU"/>
          <w:lang w:eastAsia="zh-TW"/>
        </w:rPr>
      </w:pPr>
      <w:r w:rsidRPr="008F03E5">
        <w:rPr>
          <w:rFonts w:eastAsia="PMingLiU"/>
          <w:lang w:eastAsia="zh-TW"/>
        </w:rPr>
        <w:t>Hidayatu’llah</w:t>
      </w:r>
      <w:r w:rsidRPr="008F03E5">
        <w:tab/>
      </w:r>
      <w:r w:rsidRPr="008F03E5">
        <w:rPr>
          <w:rFonts w:eastAsia="PMingLiU"/>
          <w:lang w:eastAsia="zh-TW"/>
        </w:rPr>
        <w:t>Hidáyatu’lláh</w:t>
      </w:r>
      <w:r w:rsidRPr="008F03E5">
        <w:tab/>
        <w:t>Guidance of God</w:t>
      </w:r>
    </w:p>
    <w:p w14:paraId="559AD539" w14:textId="77777777" w:rsidR="00625A5B" w:rsidRDefault="00625A5B" w:rsidP="00102968">
      <w:pPr>
        <w:pStyle w:val="Translit"/>
        <w:rPr>
          <w:rFonts w:eastAsia="PMingLiU"/>
          <w:lang w:eastAsia="zh-TW"/>
        </w:rPr>
      </w:pPr>
      <w:r>
        <w:t>Hidayatu’t-Taliban (Hidayatu’t-Talibin)</w:t>
      </w:r>
      <w:r>
        <w:tab/>
      </w:r>
      <w:r w:rsidRPr="00936349">
        <w:t>Hidáyatu’ṭ-Ṭálib</w:t>
      </w:r>
      <w:r>
        <w:t>á</w:t>
      </w:r>
      <w:r w:rsidRPr="00936349">
        <w:t>n</w:t>
      </w:r>
      <w:r>
        <w:tab/>
        <w:t>Pers. “Guidance for students”</w:t>
      </w:r>
      <w:r w:rsidRPr="00936349">
        <w:t xml:space="preserve">, </w:t>
      </w:r>
      <w:r>
        <w:t xml:space="preserve">by </w:t>
      </w:r>
      <w:r w:rsidRPr="008F03E5">
        <w:t xml:space="preserve">Ḥájí Mírzá Muḥammad Karím </w:t>
      </w:r>
      <w:r w:rsidRPr="008F03E5">
        <w:rPr>
          <w:u w:val="single"/>
        </w:rPr>
        <w:t>Kh</w:t>
      </w:r>
      <w:r w:rsidRPr="008F03E5">
        <w:t>án Kirmání</w:t>
      </w:r>
    </w:p>
    <w:p w14:paraId="2FF2D2BC" w14:textId="77777777" w:rsidR="00625A5B" w:rsidRPr="008F03E5" w:rsidRDefault="00625A5B" w:rsidP="00566693">
      <w:pPr>
        <w:pStyle w:val="Translit"/>
      </w:pPr>
      <w:r w:rsidRPr="008F03E5">
        <w:t>Hidj, Huduj, Ahday</w:t>
      </w:r>
      <w:r w:rsidRPr="008F03E5">
        <w:tab/>
        <w:t>Ḥidj, pl. Ḥudúj, Aḥdáj</w:t>
      </w:r>
      <w:r w:rsidRPr="008F03E5">
        <w:tab/>
        <w:t>load, burden, encumbrance</w:t>
      </w:r>
      <w:r w:rsidRPr="008F03E5">
        <w:rPr>
          <w:rFonts w:eastAsia="Times New Roman"/>
        </w:rPr>
        <w:t>; a camel’s litter in which women ride</w:t>
      </w:r>
    </w:p>
    <w:p w14:paraId="118B46C6" w14:textId="77777777" w:rsidR="00625A5B" w:rsidRPr="008F03E5" w:rsidRDefault="00625A5B" w:rsidP="00795FB0">
      <w:pPr>
        <w:pStyle w:val="Translit"/>
      </w:pPr>
      <w:r w:rsidRPr="008F03E5">
        <w:t>Hifz</w:t>
      </w:r>
      <w:r w:rsidRPr="008F03E5">
        <w:tab/>
        <w:t>Ḥifẓ</w:t>
      </w:r>
      <w:r w:rsidRPr="008F03E5">
        <w:tab/>
        <w:t>preservation; maintenance, sustentation, conservation, upholding; protection, defense, guarding; custody, safekeeping, keeping, storage; retention; observance, compliance (with); memorizing, memorization; memory; (jurisprudence) discontinuance, stay, suspension (of legal action, of a judicial investigation); expert mastery of ḥadí</w:t>
      </w:r>
      <w:r w:rsidRPr="008F03E5">
        <w:rPr>
          <w:u w:val="single"/>
        </w:rPr>
        <w:t>th</w:t>
      </w:r>
      <w:r w:rsidRPr="008F03E5">
        <w:t xml:space="preserve"> (including expert memorization of a large number thereof.  See ḥáfiẓ.</w:t>
      </w:r>
    </w:p>
    <w:p w14:paraId="2726D08E" w14:textId="77777777" w:rsidR="00625A5B" w:rsidRPr="008F03E5" w:rsidRDefault="00625A5B" w:rsidP="00566693">
      <w:pPr>
        <w:pStyle w:val="Translit"/>
      </w:pPr>
      <w:r w:rsidRPr="008F03E5">
        <w:t>Hija’i</w:t>
      </w:r>
      <w:r w:rsidRPr="008F03E5">
        <w:tab/>
        <w:t>Hijá’í</w:t>
      </w:r>
      <w:r w:rsidRPr="008F03E5">
        <w:tab/>
        <w:t>alphabetical; satiric.  Modern dictionaries and other reference books use the hijá’í order wherein the Arabic letters are partially grouped together by similarity of shape.</w:t>
      </w:r>
    </w:p>
    <w:p w14:paraId="171B9B06" w14:textId="77777777" w:rsidR="00625A5B" w:rsidRPr="008F03E5" w:rsidRDefault="00625A5B" w:rsidP="00566693">
      <w:pPr>
        <w:pStyle w:val="Translit"/>
      </w:pPr>
      <w:r w:rsidRPr="008F03E5">
        <w:t>Hijab</w:t>
      </w:r>
      <w:r w:rsidRPr="008F03E5">
        <w:tab/>
        <w:t>Ḥijáb, pl. Ḥujub, Aḥjiba</w:t>
      </w:r>
      <w:r w:rsidRPr="008F03E5">
        <w:tab/>
        <w:t>cover, wrap, drape; curtain; woman’s veil, head scarf; screen, partition, folding screen; barrier, bar; diaphragm.  A veil that covers the head and chest.</w:t>
      </w:r>
    </w:p>
    <w:p w14:paraId="1916FAF1" w14:textId="77777777" w:rsidR="00625A5B" w:rsidRPr="008F03E5" w:rsidRDefault="00625A5B" w:rsidP="00566693">
      <w:pPr>
        <w:pStyle w:val="Translit"/>
      </w:pPr>
      <w:r w:rsidRPr="008F03E5">
        <w:t>Hijaz</w:t>
      </w:r>
      <w:r w:rsidRPr="008F03E5">
        <w:tab/>
        <w:t>Ḥijáz</w:t>
      </w:r>
      <w:r w:rsidRPr="008F03E5">
        <w:tab/>
        <w:t>prohibiting, keeping asunder; a barrier, or anything similar, by which two things are separated; a rope; one of the principal musical modes or styles of the Persians.  al-Ḥijáz (Hejaz, “the barrier”) is a region in the west of present-day Saudi Arabia.  It is bordered on the west by the Red Sea, on the north by Jordan, on the east by Najd, and on the south by Asir.</w:t>
      </w:r>
    </w:p>
    <w:p w14:paraId="21A5A726" w14:textId="77777777" w:rsidR="00625A5B" w:rsidRPr="009A0E46" w:rsidRDefault="00625A5B" w:rsidP="009A0E46">
      <w:pPr>
        <w:pStyle w:val="Translit"/>
      </w:pPr>
      <w:r>
        <w:t>Hijazi, Hijazun</w:t>
      </w:r>
      <w:r>
        <w:tab/>
        <w:t>Ḥijází, pl. Ḥijázūn</w:t>
      </w:r>
      <w:r>
        <w:tab/>
        <w:t>of or pertaining to Hejaz; an inhabitant of Hejaz; the 7th century dialect of Arabic of the Hejaz was selected as the basis of classical or Qur’anic Arabic</w:t>
      </w:r>
      <w:r w:rsidRPr="009A0E46">
        <w:t xml:space="preserve">. </w:t>
      </w:r>
      <w:r>
        <w:t xml:space="preserve"> The m</w:t>
      </w:r>
      <w:r w:rsidRPr="009A0E46">
        <w:t xml:space="preserve">other tongue </w:t>
      </w:r>
      <w:r>
        <w:t>of the P</w:t>
      </w:r>
      <w:r w:rsidRPr="009A0E46">
        <w:t xml:space="preserve">rophet </w:t>
      </w:r>
      <w:r>
        <w:t xml:space="preserve">Muḥammad </w:t>
      </w:r>
      <w:r w:rsidRPr="009A0E46">
        <w:t xml:space="preserve">was Arabic, </w:t>
      </w:r>
      <w:r>
        <w:t xml:space="preserve">and </w:t>
      </w:r>
      <w:r w:rsidRPr="009A0E46">
        <w:t xml:space="preserve">He spoke </w:t>
      </w:r>
      <w:r>
        <w:t xml:space="preserve">using the dialect </w:t>
      </w:r>
      <w:r w:rsidRPr="009A0E46">
        <w:t>of</w:t>
      </w:r>
      <w:r>
        <w:t xml:space="preserve"> the </w:t>
      </w:r>
      <w:r w:rsidRPr="009A0E46">
        <w:t>Quraysh</w:t>
      </w:r>
      <w:r>
        <w:t xml:space="preserve"> tribe</w:t>
      </w:r>
      <w:r w:rsidRPr="009A0E46">
        <w:t xml:space="preserve">, </w:t>
      </w:r>
      <w:r>
        <w:t xml:space="preserve">the </w:t>
      </w:r>
      <w:r w:rsidRPr="009A0E46">
        <w:t>people of Makkah</w:t>
      </w:r>
      <w:r>
        <w:t xml:space="preserve"> in the Ḥijáz region.</w:t>
      </w:r>
    </w:p>
    <w:p w14:paraId="6B0A2E19" w14:textId="77777777" w:rsidR="00625A5B" w:rsidRPr="008F03E5" w:rsidRDefault="00625A5B" w:rsidP="00566693">
      <w:pPr>
        <w:pStyle w:val="Translit"/>
      </w:pPr>
      <w:r w:rsidRPr="008F03E5">
        <w:t>Hijr</w:t>
      </w:r>
      <w:r w:rsidRPr="008F03E5">
        <w:tab/>
        <w:t>Ḥijr</w:t>
      </w:r>
      <w:r w:rsidRPr="008F03E5">
        <w:tab/>
        <w:t xml:space="preserve">forbidden, interdicted, prohibited; northern wall of the Ka‘ba; lap; mare.  Name of chapter 15 of the Qur’án (from 15:80, which refers to the rocky country of the </w:t>
      </w:r>
      <w:r w:rsidRPr="008F03E5">
        <w:rPr>
          <w:u w:val="single"/>
        </w:rPr>
        <w:t>Th</w:t>
      </w:r>
      <w:r w:rsidRPr="008F03E5">
        <w:t>amúd tribe to the north of al-Madínah) and translated as “rocky tract”.  For al-Ḥijr, see Madá’in Ṣáliḥ</w:t>
      </w:r>
    </w:p>
    <w:p w14:paraId="0097785C" w14:textId="77777777" w:rsidR="00625A5B" w:rsidRPr="008F03E5" w:rsidRDefault="00625A5B" w:rsidP="009F0588">
      <w:pPr>
        <w:pStyle w:val="Translit"/>
        <w:rPr>
          <w:rFonts w:eastAsia="PMingLiU"/>
          <w:lang w:eastAsia="zh-TW"/>
        </w:rPr>
      </w:pPr>
      <w:r w:rsidRPr="008F03E5">
        <w:t>Hijra</w:t>
      </w:r>
      <w:r w:rsidRPr="008F03E5">
        <w:tab/>
        <w:t>Hijra[h]</w:t>
      </w:r>
      <w:r w:rsidRPr="008F03E5">
        <w:tab/>
        <w:t xml:space="preserve">departure, exit; emigration, exodus; immigration to; al-Hijra (the Hegira), the emigration of the Prophet Muḥammad from Mecca to Medina in </w:t>
      </w:r>
      <w:r w:rsidRPr="008F03E5">
        <w:rPr>
          <w:sz w:val="16"/>
          <w:szCs w:val="16"/>
        </w:rPr>
        <w:t>CE</w:t>
      </w:r>
      <w:r w:rsidRPr="008F03E5">
        <w:t xml:space="preserve"> 622 and start of Islamic calendar (assumed to be 15 July 622).</w:t>
      </w:r>
    </w:p>
    <w:p w14:paraId="4DF11DE3" w14:textId="77777777" w:rsidR="00625A5B" w:rsidRPr="008F03E5" w:rsidRDefault="00625A5B" w:rsidP="00566693">
      <w:pPr>
        <w:pStyle w:val="Translit"/>
      </w:pPr>
      <w:r w:rsidRPr="008F03E5">
        <w:t>Hijri</w:t>
      </w:r>
      <w:r w:rsidRPr="008F03E5">
        <w:tab/>
        <w:t>Hijrí</w:t>
      </w:r>
      <w:r w:rsidRPr="008F03E5">
        <w:tab/>
        <w:t xml:space="preserve">of the Hegira pertaining to Muḥammad’s emigration in </w:t>
      </w:r>
      <w:r w:rsidRPr="008F03E5">
        <w:rPr>
          <w:sz w:val="16"/>
          <w:szCs w:val="16"/>
        </w:rPr>
        <w:t>CE</w:t>
      </w:r>
      <w:r w:rsidRPr="008F03E5">
        <w:t xml:space="preserve"> 622.  A year (sana) of the Hegira, a year of the Muslim era (beginning with Muḥammad’s emigration.  Muslim lunar calendar.</w:t>
      </w:r>
    </w:p>
    <w:p w14:paraId="36147DB6" w14:textId="77777777" w:rsidR="00625A5B" w:rsidRPr="008F03E5" w:rsidRDefault="00625A5B" w:rsidP="00566693">
      <w:pPr>
        <w:pStyle w:val="Translit"/>
      </w:pPr>
      <w:r w:rsidRPr="008F03E5">
        <w:t>Hijriya</w:t>
      </w:r>
      <w:r w:rsidRPr="008F03E5">
        <w:tab/>
        <w:t>Hijríya</w:t>
      </w:r>
      <w:r w:rsidRPr="008F03E5">
        <w:tab/>
        <w:t xml:space="preserve">Muslim era, after the Hegira, until the end of the time of the Imams in </w:t>
      </w:r>
      <w:r w:rsidRPr="008F03E5">
        <w:rPr>
          <w:sz w:val="16"/>
          <w:szCs w:val="16"/>
        </w:rPr>
        <w:t>CE</w:t>
      </w:r>
      <w:r w:rsidRPr="008F03E5">
        <w:t xml:space="preserve"> 873 (</w:t>
      </w:r>
      <w:r w:rsidRPr="008F03E5">
        <w:rPr>
          <w:sz w:val="16"/>
          <w:szCs w:val="16"/>
        </w:rPr>
        <w:t>AH</w:t>
      </w:r>
      <w:r w:rsidRPr="008F03E5">
        <w:t xml:space="preserve"> 260), i.e. 260 years</w:t>
      </w:r>
    </w:p>
    <w:p w14:paraId="4B2771CE" w14:textId="77777777" w:rsidR="00625A5B" w:rsidRPr="008F03E5" w:rsidRDefault="00625A5B" w:rsidP="00883955">
      <w:pPr>
        <w:pStyle w:val="Translit"/>
      </w:pPr>
      <w:r w:rsidRPr="008F03E5">
        <w:t>Hikaya, Hikayat</w:t>
      </w:r>
      <w:r w:rsidRPr="008F03E5">
        <w:tab/>
        <w:t>Ḥikáya, pl. Ḥikáyát</w:t>
      </w:r>
      <w:r w:rsidRPr="008F03E5">
        <w:tab/>
        <w:t>story, tale, narrative, account; (grammar) literal quotation (of the words of others)</w:t>
      </w:r>
    </w:p>
    <w:p w14:paraId="4345B8A3" w14:textId="77777777" w:rsidR="00625A5B" w:rsidRPr="008F03E5" w:rsidRDefault="00625A5B" w:rsidP="00566693">
      <w:pPr>
        <w:pStyle w:val="Translit"/>
      </w:pPr>
      <w:r w:rsidRPr="00F90AA7">
        <w:rPr>
          <w:lang w:val="en-AU"/>
        </w:rPr>
        <w:t>Hikma, Hikam</w:t>
      </w:r>
      <w:r w:rsidRPr="00F90AA7">
        <w:rPr>
          <w:lang w:val="en-AU"/>
        </w:rPr>
        <w:tab/>
        <w:t xml:space="preserve">Ḥikma[h or t], pl. </w:t>
      </w:r>
      <w:r w:rsidRPr="008F03E5">
        <w:t>Ḥikam</w:t>
      </w:r>
      <w:r w:rsidRPr="008F03E5">
        <w:tab/>
        <w:t>prudence and wisdom, philosophy</w:t>
      </w:r>
    </w:p>
    <w:p w14:paraId="64C92605" w14:textId="77777777" w:rsidR="00625A5B" w:rsidRPr="008F03E5" w:rsidRDefault="00625A5B" w:rsidP="00566693">
      <w:pPr>
        <w:pStyle w:val="Translit"/>
      </w:pPr>
      <w:r w:rsidRPr="008F03E5">
        <w:t>Hikmat-i-Ishraqi</w:t>
      </w:r>
      <w:r w:rsidRPr="008F03E5">
        <w:tab/>
        <w:t>Ḥikmat-i-I</w:t>
      </w:r>
      <w:r w:rsidRPr="008F03E5">
        <w:rPr>
          <w:u w:val="single"/>
        </w:rPr>
        <w:t>sh</w:t>
      </w:r>
      <w:r w:rsidRPr="008F03E5">
        <w:t>ráqí</w:t>
      </w:r>
      <w:r w:rsidRPr="008F03E5">
        <w:tab/>
        <w:t>(Hekmat-i-Eshrakieh)—a system of old philosophies</w:t>
      </w:r>
    </w:p>
    <w:p w14:paraId="13C481BC" w14:textId="77777777" w:rsidR="00625A5B" w:rsidRPr="008F03E5" w:rsidRDefault="00625A5B" w:rsidP="00566693">
      <w:pPr>
        <w:pStyle w:val="Translit"/>
      </w:pPr>
      <w:r w:rsidRPr="008F03E5">
        <w:t>Hila, Hiyal, Ahayil</w:t>
      </w:r>
      <w:r w:rsidRPr="008F03E5">
        <w:tab/>
        <w:t>Ḥíla, pl. Ḥiyal, Aḥáyíl</w:t>
      </w:r>
      <w:r w:rsidRPr="008F03E5">
        <w:tab/>
        <w:t xml:space="preserve">artifice, ruse, stratagem, manoeuver, subterfuge, wile, trick; device, shift; a means to accomplish an end; expedient, makeshift, dodge, way-out; legal stratagem (for the purpose of </w:t>
      </w:r>
      <w:r w:rsidRPr="008F03E5">
        <w:rPr>
          <w:i/>
          <w:iCs/>
        </w:rPr>
        <w:t>in fraudem legis agere</w:t>
      </w:r>
      <w:r w:rsidRPr="008F03E5">
        <w:t xml:space="preserve"> (in circumvention of the rules of law)</w:t>
      </w:r>
    </w:p>
    <w:p w14:paraId="74B1BCB2" w14:textId="77777777" w:rsidR="00625A5B" w:rsidRPr="008F03E5" w:rsidRDefault="00625A5B" w:rsidP="00566693">
      <w:pPr>
        <w:pStyle w:val="Translit"/>
      </w:pPr>
      <w:r w:rsidRPr="008F03E5">
        <w:t>Hilal, Ahilla, Ahalil</w:t>
      </w:r>
      <w:r w:rsidRPr="008F03E5">
        <w:tab/>
        <w:t>Hilál, pl. Ahilla[h], Ahálíl</w:t>
      </w:r>
      <w:r w:rsidRPr="008F03E5">
        <w:tab/>
        <w:t>new moon; half-moon, crescent; parenthesis; any crescent-shaped object</w:t>
      </w:r>
    </w:p>
    <w:p w14:paraId="61A0E9BB" w14:textId="77777777" w:rsidR="00625A5B" w:rsidRPr="008F03E5" w:rsidRDefault="00625A5B" w:rsidP="00C53419">
      <w:pPr>
        <w:pStyle w:val="Translit"/>
      </w:pPr>
      <w:r w:rsidRPr="008F03E5">
        <w:t>Hilali</w:t>
      </w:r>
      <w:r w:rsidRPr="008F03E5">
        <w:tab/>
      </w:r>
      <w:bookmarkStart w:id="79" w:name="_Hlk52368330"/>
      <w:r w:rsidRPr="008F03E5">
        <w:t>Hilálí</w:t>
      </w:r>
      <w:bookmarkEnd w:id="79"/>
      <w:r w:rsidRPr="008F03E5">
        <w:tab/>
        <w:t>lunar; crescent-shaped, lunate, sickle-shaped</w:t>
      </w:r>
    </w:p>
    <w:p w14:paraId="75338884" w14:textId="77777777" w:rsidR="00625A5B" w:rsidRPr="008F03E5" w:rsidRDefault="00625A5B" w:rsidP="00566693">
      <w:pPr>
        <w:pStyle w:val="Translit"/>
      </w:pPr>
      <w:r w:rsidRPr="008F03E5">
        <w:t>Hill</w:t>
      </w:r>
      <w:r w:rsidRPr="008F03E5">
        <w:tab/>
        <w:t>Ḥill</w:t>
      </w:r>
      <w:r w:rsidRPr="008F03E5">
        <w:tab/>
        <w:t>Pers. being lawful; a lawful thing; the dissolution of an oath; doffing the pilgrim’s garb; a butt or mark for archers</w:t>
      </w:r>
    </w:p>
    <w:p w14:paraId="55092B22" w14:textId="77777777" w:rsidR="00625A5B" w:rsidRPr="008F03E5" w:rsidRDefault="00625A5B" w:rsidP="00566693">
      <w:pPr>
        <w:pStyle w:val="Translit"/>
      </w:pPr>
      <w:r w:rsidRPr="008F03E5">
        <w:t>Hill, Hillin</w:t>
      </w:r>
      <w:r w:rsidRPr="008F03E5">
        <w:tab/>
        <w:t>Ḥill, Ḥillin</w:t>
      </w:r>
      <w:r w:rsidRPr="008F03E5">
        <w:tab/>
        <w:t>he was free to …, he was at liberty to …; he had free disposal of ….  The unprotected area (outside the Sanctuary) and the unprotected months.  Compare with Ḥaram.</w:t>
      </w:r>
    </w:p>
    <w:p w14:paraId="5BC8A8DE" w14:textId="77777777" w:rsidR="00625A5B" w:rsidRPr="008F03E5" w:rsidRDefault="00625A5B" w:rsidP="00177CB5">
      <w:pPr>
        <w:pStyle w:val="Translit"/>
        <w:rPr>
          <w:lang w:eastAsia="zh-TW"/>
        </w:rPr>
      </w:pPr>
      <w:r w:rsidRPr="008F03E5">
        <w:rPr>
          <w:lang w:eastAsia="zh-TW"/>
        </w:rPr>
        <w:t>Hilla, Hillih</w:t>
      </w:r>
      <w:r w:rsidRPr="008F03E5">
        <w:tab/>
        <w:t>Ḥ</w:t>
      </w:r>
      <w:r w:rsidRPr="008F03E5">
        <w:rPr>
          <w:lang w:eastAsia="zh-TW"/>
        </w:rPr>
        <w:t xml:space="preserve">illa[h], Pers. also </w:t>
      </w:r>
      <w:r w:rsidRPr="008F03E5">
        <w:t>Ḥ</w:t>
      </w:r>
      <w:r w:rsidRPr="008F03E5">
        <w:rPr>
          <w:lang w:eastAsia="zh-TW"/>
        </w:rPr>
        <w:t>illih</w:t>
      </w:r>
      <w:r w:rsidRPr="008F03E5">
        <w:tab/>
        <w:t>way station, stopping place, stop, stopover; encampment; absolution (Christian); dispensation (Christian).  A</w:t>
      </w:r>
      <w:r w:rsidRPr="008F03E5">
        <w:rPr>
          <w:lang w:eastAsia="zh-TW"/>
        </w:rPr>
        <w:t xml:space="preserve"> city in central ‘Iráq on the river Euphrates, 100 km south of Ba</w:t>
      </w:r>
      <w:r w:rsidRPr="008F03E5">
        <w:rPr>
          <w:u w:val="single"/>
        </w:rPr>
        <w:t>gh</w:t>
      </w:r>
      <w:r w:rsidRPr="008F03E5">
        <w:rPr>
          <w:lang w:eastAsia="zh-TW"/>
        </w:rPr>
        <w:t>dád</w:t>
      </w:r>
    </w:p>
    <w:p w14:paraId="3C032D9B" w14:textId="77777777" w:rsidR="00625A5B" w:rsidRPr="008F03E5" w:rsidRDefault="00625A5B" w:rsidP="00566693">
      <w:pPr>
        <w:pStyle w:val="Translit"/>
      </w:pPr>
      <w:r w:rsidRPr="008F03E5">
        <w:t>Hilm, Hulum, Ahlam</w:t>
      </w:r>
      <w:r w:rsidRPr="008F03E5">
        <w:tab/>
        <w:t>Ḥilm, pl. Ḥulúm, Aḥlám</w:t>
      </w:r>
      <w:r w:rsidRPr="008F03E5">
        <w:tab/>
        <w:t>gentleness, clemency, mildness; forbearance, indulgence; patience; insight, discernment, understanding, intelligence, reason</w:t>
      </w:r>
    </w:p>
    <w:p w14:paraId="60F96ECB" w14:textId="77777777" w:rsidR="00625A5B" w:rsidRPr="008F03E5" w:rsidRDefault="00625A5B" w:rsidP="00566693">
      <w:pPr>
        <w:pStyle w:val="Translit"/>
      </w:pPr>
      <w:r w:rsidRPr="008F03E5">
        <w:t>Hilmi</w:t>
      </w:r>
      <w:r w:rsidRPr="008F03E5">
        <w:tab/>
        <w:t>Ḥilmí</w:t>
      </w:r>
      <w:r w:rsidRPr="008F03E5">
        <w:tab/>
      </w:r>
    </w:p>
    <w:p w14:paraId="5C1C59A1" w14:textId="77777777" w:rsidR="00625A5B" w:rsidRPr="008F03E5" w:rsidRDefault="00625A5B" w:rsidP="002F3828">
      <w:pPr>
        <w:pStyle w:val="Translit"/>
      </w:pPr>
      <w:r w:rsidRPr="008F03E5">
        <w:t>Hiltit, Haltit, Hiltith, Angizha</w:t>
      </w:r>
      <w:r w:rsidRPr="008F03E5">
        <w:tab/>
        <w:t>Ḥiltít, Ḥaltít, Ḥiltí</w:t>
      </w:r>
      <w:r w:rsidRPr="008F03E5">
        <w:rPr>
          <w:u w:val="single"/>
        </w:rPr>
        <w:t>th</w:t>
      </w:r>
      <w:r w:rsidRPr="008F03E5">
        <w:t>, Pers. Angu</w:t>
      </w:r>
      <w:r w:rsidRPr="008F03E5">
        <w:rPr>
          <w:u w:val="single"/>
        </w:rPr>
        <w:t>zh</w:t>
      </w:r>
      <w:r w:rsidRPr="008F03E5">
        <w:t>a</w:t>
      </w:r>
      <w:r w:rsidRPr="008F03E5">
        <w:tab/>
        <w:t xml:space="preserve">asafoetida (assafoetida, asafoetida) hard, aromatic, resinous gum that is extruded from the rhizome or tap root of several species of </w:t>
      </w:r>
      <w:r w:rsidRPr="008F03E5">
        <w:rPr>
          <w:i/>
          <w:iCs/>
        </w:rPr>
        <w:t>Ferula</w:t>
      </w:r>
      <w:r w:rsidRPr="008F03E5">
        <w:t>, large perennial herbs of the Apiaceae or umbelliferae family.  The pungent odour of this resin-based spice dissipates upon cooking, where it delivers a smooth flavour reminiscent of leeks or other onion relatives.  The Báb banned its use.</w:t>
      </w:r>
    </w:p>
    <w:p w14:paraId="46A7674E" w14:textId="77777777" w:rsidR="00625A5B" w:rsidRPr="00832A13" w:rsidRDefault="00625A5B" w:rsidP="00566693">
      <w:pPr>
        <w:pStyle w:val="Translit"/>
        <w:rPr>
          <w:lang w:val="en-AU"/>
        </w:rPr>
      </w:pPr>
      <w:r w:rsidRPr="005C40FD">
        <w:rPr>
          <w:lang w:val="en-AU"/>
        </w:rPr>
        <w:t>Himar, Hamir, Humur, Ahmira</w:t>
      </w:r>
      <w:r w:rsidRPr="005C40FD">
        <w:rPr>
          <w:lang w:val="en-AU"/>
        </w:rPr>
        <w:tab/>
        <w:t xml:space="preserve">Ḥimár, pl. </w:t>
      </w:r>
      <w:r w:rsidRPr="00832A13">
        <w:rPr>
          <w:lang w:val="en-AU"/>
        </w:rPr>
        <w:t>Ḥamír, Ḥumur, Aḥmira</w:t>
      </w:r>
      <w:r w:rsidRPr="00832A13">
        <w:rPr>
          <w:lang w:val="en-AU"/>
        </w:rPr>
        <w:tab/>
        <w:t>donkey, ass</w:t>
      </w:r>
    </w:p>
    <w:p w14:paraId="1F32F1CE" w14:textId="77777777" w:rsidR="00625A5B" w:rsidRPr="005C40FD" w:rsidRDefault="00625A5B" w:rsidP="00566693">
      <w:pPr>
        <w:pStyle w:val="Translit"/>
        <w:rPr>
          <w:lang w:val="en-AU"/>
        </w:rPr>
      </w:pPr>
      <w:r w:rsidRPr="005C40FD">
        <w:rPr>
          <w:lang w:val="en-AU"/>
        </w:rPr>
        <w:t>Himma, Himam</w:t>
      </w:r>
      <w:r w:rsidRPr="005C40FD">
        <w:rPr>
          <w:lang w:val="en-AU"/>
        </w:rPr>
        <w:tab/>
        <w:t>Himma, pl. Himam</w:t>
      </w:r>
      <w:r w:rsidRPr="005C40FD">
        <w:rPr>
          <w:lang w:val="en-AU"/>
        </w:rPr>
        <w:tab/>
        <w:t>endeavour, ambition</w:t>
      </w:r>
    </w:p>
    <w:p w14:paraId="007336D8" w14:textId="77777777" w:rsidR="00625A5B" w:rsidRPr="005C40FD" w:rsidRDefault="00625A5B" w:rsidP="00566693">
      <w:pPr>
        <w:pStyle w:val="Translit"/>
        <w:rPr>
          <w:lang w:val="en-AU"/>
        </w:rPr>
      </w:pPr>
      <w:r w:rsidRPr="005C40FD">
        <w:rPr>
          <w:lang w:val="en-AU"/>
        </w:rPr>
        <w:t>Himmat-Abad</w:t>
      </w:r>
      <w:r w:rsidRPr="005C40FD">
        <w:rPr>
          <w:lang w:val="en-AU"/>
        </w:rPr>
        <w:tab/>
        <w:t>Himmat-Ábád</w:t>
      </w:r>
      <w:r w:rsidRPr="005C40FD">
        <w:rPr>
          <w:lang w:val="en-AU"/>
        </w:rPr>
        <w:tab/>
        <w:t xml:space="preserve">city in </w:t>
      </w:r>
      <w:r w:rsidRPr="005C40FD">
        <w:rPr>
          <w:lang w:val="en-AU" w:eastAsia="zh-TW"/>
        </w:rPr>
        <w:t>Ra</w:t>
      </w:r>
      <w:r w:rsidRPr="005C40FD">
        <w:rPr>
          <w:lang w:val="en-AU"/>
        </w:rPr>
        <w:t>ḍ</w:t>
      </w:r>
      <w:r w:rsidRPr="005C40FD">
        <w:rPr>
          <w:lang w:val="en-AU" w:eastAsia="zh-TW"/>
        </w:rPr>
        <w:t xml:space="preserve">awí </w:t>
      </w:r>
      <w:r w:rsidRPr="005C40FD">
        <w:rPr>
          <w:u w:val="single"/>
          <w:lang w:val="en-AU"/>
        </w:rPr>
        <w:t>Kh</w:t>
      </w:r>
      <w:r w:rsidRPr="005C40FD">
        <w:rPr>
          <w:lang w:val="en-AU"/>
        </w:rPr>
        <w:t>urásán Ústán Province, Iran</w:t>
      </w:r>
    </w:p>
    <w:p w14:paraId="5F0BA920" w14:textId="77777777" w:rsidR="00625A5B" w:rsidRPr="00C30BAF" w:rsidRDefault="00625A5B" w:rsidP="00ED7656">
      <w:pPr>
        <w:pStyle w:val="Translit"/>
        <w:rPr>
          <w:lang w:val="en-AU"/>
        </w:rPr>
      </w:pPr>
      <w:r w:rsidRPr="00C30BAF">
        <w:rPr>
          <w:lang w:val="en-AU"/>
        </w:rPr>
        <w:t>Himmis, Hammas, Hummus, Nukhud</w:t>
      </w:r>
      <w:r w:rsidRPr="00C30BAF">
        <w:rPr>
          <w:lang w:val="en-AU"/>
        </w:rPr>
        <w:tab/>
        <w:t>Ḥimmiṣ, Ḥimmaṣ, Pers. Nu</w:t>
      </w:r>
      <w:r w:rsidRPr="00C30BAF">
        <w:rPr>
          <w:u w:val="single"/>
          <w:lang w:val="en-AU"/>
        </w:rPr>
        <w:t>kh</w:t>
      </w:r>
      <w:r w:rsidRPr="00C30BAF">
        <w:rPr>
          <w:lang w:val="en-AU"/>
        </w:rPr>
        <w:t>úd</w:t>
      </w:r>
      <w:r w:rsidRPr="00C30BAF">
        <w:rPr>
          <w:lang w:val="en-AU"/>
        </w:rPr>
        <w:tab/>
        <w:t xml:space="preserve">(ḥummuṣ (collective; nomen unitatis </w:t>
      </w:r>
      <w:r w:rsidRPr="008F03E5">
        <w:rPr>
          <w:rtl/>
        </w:rPr>
        <w:t>ة</w:t>
      </w:r>
      <w:r w:rsidRPr="00C30BAF">
        <w:rPr>
          <w:lang w:val="en-AU"/>
        </w:rPr>
        <w:t>)) chickpea; dried pea unit of weight ≈ 0.2 gm,  Pers. a vetch [a legume], pulse [e.g. dried beans, chick peas and lentils].</w:t>
      </w:r>
    </w:p>
    <w:p w14:paraId="5D64145B" w14:textId="77777777" w:rsidR="00625A5B" w:rsidRPr="008F03E5" w:rsidRDefault="00625A5B" w:rsidP="00566693">
      <w:pPr>
        <w:pStyle w:val="Translit"/>
      </w:pPr>
      <w:r w:rsidRPr="008F03E5">
        <w:t>Hims</w:t>
      </w:r>
      <w:r w:rsidRPr="008F03E5">
        <w:tab/>
        <w:t>Ḥimṣ</w:t>
      </w:r>
      <w:r w:rsidRPr="008F03E5">
        <w:tab/>
        <w:t>Homs, city in Syria 140 km north of Damascus.  Previously known as Emesa or Emisa (Greek).</w:t>
      </w:r>
    </w:p>
    <w:p w14:paraId="636DC34B" w14:textId="77777777" w:rsidR="00625A5B" w:rsidRPr="008F03E5" w:rsidRDefault="00625A5B" w:rsidP="00566693">
      <w:pPr>
        <w:pStyle w:val="Translit"/>
      </w:pPr>
      <w:r w:rsidRPr="008F03E5">
        <w:t>Himyar</w:t>
      </w:r>
      <w:r w:rsidRPr="008F03E5">
        <w:tab/>
        <w:t>Ḥimyar</w:t>
      </w:r>
      <w:r w:rsidRPr="008F03E5">
        <w:tab/>
        <w:t>place and tribe of Yemen (Himyartes)</w:t>
      </w:r>
    </w:p>
    <w:p w14:paraId="04EA0518" w14:textId="77777777" w:rsidR="00625A5B" w:rsidRPr="008F03E5" w:rsidRDefault="00625A5B" w:rsidP="00566693">
      <w:pPr>
        <w:pStyle w:val="Translit"/>
      </w:pPr>
      <w:r w:rsidRPr="008F03E5">
        <w:t>Himyari</w:t>
      </w:r>
      <w:r w:rsidRPr="008F03E5">
        <w:tab/>
        <w:t>Ḥimyarí</w:t>
      </w:r>
      <w:r w:rsidRPr="008F03E5">
        <w:tab/>
        <w:t>of Ḥimyar.  Ḥarbí al-Ḥimyarí was an Arab scholar from Yemen</w:t>
      </w:r>
    </w:p>
    <w:p w14:paraId="20D20BF7" w14:textId="77777777" w:rsidR="00625A5B" w:rsidRPr="008F03E5" w:rsidRDefault="00625A5B" w:rsidP="00B54C65">
      <w:pPr>
        <w:pStyle w:val="Translit"/>
      </w:pPr>
      <w:r w:rsidRPr="00077779">
        <w:t>Hin, Ahyan, Ahayin</w:t>
      </w:r>
      <w:r w:rsidRPr="00077779">
        <w:tab/>
      </w:r>
      <w:bookmarkStart w:id="80" w:name="_Hlk54092232"/>
      <w:r w:rsidRPr="00077779">
        <w:t xml:space="preserve">Ḥín, pl. </w:t>
      </w:r>
      <w:r w:rsidRPr="008F03E5">
        <w:t>Aḥyán, Aḥáyín</w:t>
      </w:r>
      <w:r w:rsidRPr="008F03E5">
        <w:tab/>
        <w:t>time, an age; propitious time, good time, opportunity</w:t>
      </w:r>
      <w:bookmarkEnd w:id="80"/>
      <w:r w:rsidRPr="008F03E5">
        <w:t xml:space="preserve">; the day of judgement.  Abjad value of ḥín is 68.  Hence, </w:t>
      </w:r>
      <w:r w:rsidRPr="008F03E5">
        <w:rPr>
          <w:u w:val="single"/>
        </w:rPr>
        <w:t>Sh</w:t>
      </w:r>
      <w:r w:rsidRPr="008F03E5">
        <w:t>ay</w:t>
      </w:r>
      <w:r w:rsidRPr="008F03E5">
        <w:rPr>
          <w:u w:val="single"/>
        </w:rPr>
        <w:t>kh</w:t>
      </w:r>
      <w:r w:rsidRPr="008F03E5">
        <w:t xml:space="preserve"> Aḥmad’s “year of Ḥín” refers to </w:t>
      </w:r>
      <w:r w:rsidRPr="008F03E5">
        <w:rPr>
          <w:sz w:val="16"/>
          <w:szCs w:val="16"/>
        </w:rPr>
        <w:t>AH</w:t>
      </w:r>
      <w:r w:rsidRPr="008F03E5">
        <w:t xml:space="preserve"> 1268 or </w:t>
      </w:r>
      <w:r w:rsidRPr="008F03E5">
        <w:rPr>
          <w:sz w:val="16"/>
          <w:szCs w:val="16"/>
        </w:rPr>
        <w:t>CE</w:t>
      </w:r>
      <w:r w:rsidRPr="008F03E5">
        <w:t xml:space="preserve"> 1851–1852.  Hin is an ancient Hebrew liquid measurement (mentioned in the Bible) of 3.8 to 6 litres.</w:t>
      </w:r>
    </w:p>
    <w:p w14:paraId="3521B695" w14:textId="77777777" w:rsidR="00625A5B" w:rsidRPr="008F03E5" w:rsidRDefault="00625A5B" w:rsidP="00566693">
      <w:pPr>
        <w:pStyle w:val="Translit"/>
      </w:pPr>
      <w:r w:rsidRPr="008F03E5">
        <w:t>Hind, Hindat</w:t>
      </w:r>
      <w:r w:rsidRPr="008F03E5">
        <w:tab/>
        <w:t>Hind, pl. Hindát</w:t>
      </w:r>
      <w:r w:rsidRPr="008F03E5">
        <w:tab/>
        <w:t>India; the (East) Indians; fem. name (in particular Hind bint ‘Utbah, a wife of Abú Sufyán, and the mother of Mu</w:t>
      </w:r>
      <w:r w:rsidRPr="008F03E5">
        <w:rPr>
          <w:i/>
          <w:iCs/>
        </w:rPr>
        <w:t>‘</w:t>
      </w:r>
      <w:r w:rsidRPr="008F03E5">
        <w:t>áwiyah I)</w:t>
      </w:r>
    </w:p>
    <w:p w14:paraId="69664047" w14:textId="77777777" w:rsidR="00625A5B" w:rsidRPr="008F03E5" w:rsidRDefault="00625A5B" w:rsidP="00566693">
      <w:pPr>
        <w:pStyle w:val="Translit"/>
      </w:pPr>
      <w:r w:rsidRPr="008F03E5">
        <w:t>Hindi, Hunud</w:t>
      </w:r>
      <w:r w:rsidRPr="008F03E5">
        <w:tab/>
        <w:t>Hindí, pl. Hunúd</w:t>
      </w:r>
      <w:r w:rsidRPr="008F03E5">
        <w:tab/>
        <w:t>Indian</w:t>
      </w:r>
    </w:p>
    <w:p w14:paraId="12BCCEF2" w14:textId="77777777" w:rsidR="00625A5B" w:rsidRPr="008F03E5" w:rsidRDefault="00625A5B" w:rsidP="00566693">
      <w:pPr>
        <w:pStyle w:val="Translit"/>
      </w:pPr>
      <w:r w:rsidRPr="008F03E5">
        <w:t>Hindiya (Hindiyyih)</w:t>
      </w:r>
      <w:r w:rsidRPr="008F03E5">
        <w:tab/>
        <w:t>al-Hindiya[h] (Pers. Hindíyyih)</w:t>
      </w:r>
      <w:r w:rsidRPr="008F03E5">
        <w:tab/>
        <w:t xml:space="preserve">1.  city (on the Euphrates River, 20 km </w:t>
      </w:r>
      <w:r w:rsidRPr="008F03E5">
        <w:rPr>
          <w:sz w:val="16"/>
          <w:szCs w:val="16"/>
        </w:rPr>
        <w:t>SE</w:t>
      </w:r>
      <w:r w:rsidRPr="008F03E5">
        <w:t xml:space="preserve"> Karbilá) and district in the Karbilá Governorate.  The city used to be known as Ṭuwaíríj.  2.  Saddat al-Hindíya[h] is a city on the Euphrates River in Iraq, 25 km </w:t>
      </w:r>
      <w:r w:rsidRPr="008F03E5">
        <w:rPr>
          <w:sz w:val="16"/>
          <w:szCs w:val="16"/>
        </w:rPr>
        <w:t>NE</w:t>
      </w:r>
      <w:r w:rsidRPr="008F03E5">
        <w:t xml:space="preserve"> of Karbilá and 8 km south of Musayyib (</w:t>
      </w:r>
      <w:r w:rsidRPr="008F03E5">
        <w:rPr>
          <w:rtl/>
        </w:rPr>
        <w:t>المسيب</w:t>
      </w:r>
      <w:r w:rsidRPr="008F03E5">
        <w:t>).  Name derived from the Arabic word for “Indian”, in reference to the dozens of Indian manual labourers imported to the area by the British post World War I, to work on the cities vast agricultural lands.</w:t>
      </w:r>
    </w:p>
    <w:p w14:paraId="705BC3A6" w14:textId="77777777" w:rsidR="00625A5B" w:rsidRPr="008F03E5" w:rsidRDefault="00625A5B" w:rsidP="00566693">
      <w:pPr>
        <w:pStyle w:val="Translit"/>
      </w:pPr>
      <w:r w:rsidRPr="008F03E5">
        <w:t>Hindiyan (Hindian, Hinijan)</w:t>
      </w:r>
      <w:r w:rsidRPr="008F03E5">
        <w:tab/>
        <w:t>Hindíyán (Hindíján)</w:t>
      </w:r>
      <w:r w:rsidRPr="008F03E5">
        <w:tab/>
        <w:t xml:space="preserve">(Hendijan, Hendian) a city in and the capital of Hendijan County, Khuzestan Province, </w:t>
      </w:r>
      <w:r w:rsidRPr="008F03E5">
        <w:rPr>
          <w:sz w:val="16"/>
          <w:szCs w:val="16"/>
        </w:rPr>
        <w:t>SW</w:t>
      </w:r>
      <w:r w:rsidRPr="008F03E5">
        <w:t xml:space="preserve"> Iran</w:t>
      </w:r>
    </w:p>
    <w:p w14:paraId="0B6D97D1" w14:textId="77777777" w:rsidR="00625A5B" w:rsidRPr="008F03E5" w:rsidRDefault="00625A5B" w:rsidP="00566693">
      <w:pPr>
        <w:pStyle w:val="Translit"/>
      </w:pPr>
      <w:r w:rsidRPr="00D45A23">
        <w:rPr>
          <w:lang w:val="de-DE"/>
        </w:rPr>
        <w:t>Hindu, Hinduwan</w:t>
      </w:r>
      <w:r w:rsidRPr="00D45A23">
        <w:rPr>
          <w:lang w:val="de-DE"/>
        </w:rPr>
        <w:tab/>
        <w:t>Hindú, pl. Hinduwán</w:t>
      </w:r>
      <w:r w:rsidRPr="00D45A23">
        <w:rPr>
          <w:lang w:val="de-DE"/>
        </w:rPr>
        <w:tab/>
        <w:t xml:space="preserve">Pers. </w:t>
      </w:r>
      <w:r w:rsidRPr="008F03E5">
        <w:t>Indian; black; servant; slave; robber; infidel; watch-man</w:t>
      </w:r>
    </w:p>
    <w:p w14:paraId="0665DE9B" w14:textId="77777777" w:rsidR="00625A5B" w:rsidRPr="00396620" w:rsidRDefault="00625A5B" w:rsidP="00566693">
      <w:pPr>
        <w:pStyle w:val="Translit"/>
        <w:rPr>
          <w:lang w:val="en-AU"/>
        </w:rPr>
      </w:pPr>
      <w:r w:rsidRPr="00396620">
        <w:rPr>
          <w:lang w:val="en-AU"/>
        </w:rPr>
        <w:t>Hindustan</w:t>
      </w:r>
      <w:r w:rsidRPr="00396620">
        <w:rPr>
          <w:lang w:val="en-AU"/>
        </w:rPr>
        <w:tab/>
        <w:t>Hindústán</w:t>
      </w:r>
      <w:r w:rsidRPr="00396620">
        <w:rPr>
          <w:lang w:val="en-AU"/>
        </w:rPr>
        <w:tab/>
        <w:t>Pers. India</w:t>
      </w:r>
    </w:p>
    <w:p w14:paraId="0D19A432" w14:textId="77777777" w:rsidR="00625A5B" w:rsidRPr="00763E10" w:rsidRDefault="00625A5B" w:rsidP="0014111E">
      <w:pPr>
        <w:pStyle w:val="Translit"/>
        <w:rPr>
          <w:lang w:val="en-AU"/>
        </w:rPr>
      </w:pPr>
      <w:r w:rsidRPr="00763E10">
        <w:rPr>
          <w:lang w:val="en-AU"/>
        </w:rPr>
        <w:t>Hinna’ (Hina)</w:t>
      </w:r>
      <w:r w:rsidRPr="00763E10">
        <w:rPr>
          <w:lang w:val="en-AU"/>
        </w:rPr>
        <w:tab/>
        <w:t>Ḥinn</w:t>
      </w:r>
      <w:r>
        <w:rPr>
          <w:lang w:val="en-AU"/>
        </w:rPr>
        <w:t xml:space="preserve">á’ (vulgate </w:t>
      </w:r>
      <w:r w:rsidRPr="00763E10">
        <w:rPr>
          <w:lang w:val="en-AU"/>
        </w:rPr>
        <w:t>Ḥin</w:t>
      </w:r>
      <w:r>
        <w:rPr>
          <w:lang w:val="en-AU"/>
        </w:rPr>
        <w:t>á)</w:t>
      </w:r>
      <w:r>
        <w:rPr>
          <w:lang w:val="en-AU"/>
        </w:rPr>
        <w:tab/>
      </w:r>
      <w:r w:rsidRPr="00763E10">
        <w:rPr>
          <w:lang w:val="en-AU"/>
        </w:rPr>
        <w:t>henna</w:t>
      </w:r>
      <w:r>
        <w:rPr>
          <w:lang w:val="en-AU"/>
        </w:rPr>
        <w:t>,</w:t>
      </w:r>
      <w:r w:rsidRPr="00763E10">
        <w:rPr>
          <w:lang w:val="en-AU"/>
        </w:rPr>
        <w:t xml:space="preserve"> a reddish-orange </w:t>
      </w:r>
      <w:r>
        <w:rPr>
          <w:lang w:val="en-AU"/>
        </w:rPr>
        <w:t>dye</w:t>
      </w:r>
      <w:r w:rsidRPr="00763E10">
        <w:rPr>
          <w:lang w:val="en-AU"/>
        </w:rPr>
        <w:t xml:space="preserve"> </w:t>
      </w:r>
      <w:r>
        <w:rPr>
          <w:lang w:val="en-AU"/>
        </w:rPr>
        <w:t xml:space="preserve">contained in the leaves.  The leaves are crushed (to release the chemical lawsone) and sold as a powder.  The skin and hair is dyed by the application of freshly soaked powder.  </w:t>
      </w:r>
      <w:r w:rsidRPr="00763E10">
        <w:rPr>
          <w:lang w:val="en-AU"/>
        </w:rPr>
        <w:t>Muḥammad Ḥ</w:t>
      </w:r>
      <w:r>
        <w:rPr>
          <w:lang w:val="en-AU"/>
        </w:rPr>
        <w:t>i</w:t>
      </w:r>
      <w:r w:rsidRPr="00763E10">
        <w:rPr>
          <w:lang w:val="en-AU"/>
        </w:rPr>
        <w:t>ná-</w:t>
      </w:r>
      <w:r>
        <w:t>S</w:t>
      </w:r>
      <w:r w:rsidRPr="00763E10">
        <w:rPr>
          <w:lang w:val="en-AU"/>
        </w:rPr>
        <w:t>á</w:t>
      </w:r>
      <w:r>
        <w:rPr>
          <w:lang w:val="en-AU"/>
        </w:rPr>
        <w:t xml:space="preserve">z.  Pers. </w:t>
      </w:r>
      <w:r w:rsidRPr="005B1FD7">
        <w:t>ṣ</w:t>
      </w:r>
      <w:r>
        <w:rPr>
          <w:lang w:val="en-AU"/>
        </w:rPr>
        <w:t>ifat-i-</w:t>
      </w:r>
      <w:r w:rsidRPr="005B1FD7">
        <w:t>ḥ</w:t>
      </w:r>
      <w:r>
        <w:rPr>
          <w:lang w:val="en-AU"/>
        </w:rPr>
        <w:t>in</w:t>
      </w:r>
      <w:r w:rsidRPr="005B1FD7">
        <w:t>á</w:t>
      </w:r>
      <w:r>
        <w:t>-i-s</w:t>
      </w:r>
      <w:r w:rsidRPr="005B1FD7">
        <w:t>á</w:t>
      </w:r>
      <w:r>
        <w:t>z is a manufacturer of henna (a job done by a “m</w:t>
      </w:r>
      <w:r w:rsidRPr="005B1FD7">
        <w:t>á</w:t>
      </w:r>
      <w:r>
        <w:t>zár”).</w:t>
      </w:r>
    </w:p>
    <w:p w14:paraId="2BBCDB5F" w14:textId="77777777" w:rsidR="00625A5B" w:rsidRPr="008F03E5" w:rsidRDefault="00625A5B" w:rsidP="00421FE2">
      <w:pPr>
        <w:pStyle w:val="Translit"/>
      </w:pPr>
      <w:r w:rsidRPr="008F03E5">
        <w:t>Hiqf, Ahqaf</w:t>
      </w:r>
      <w:r w:rsidRPr="008F03E5">
        <w:tab/>
        <w:t>Ḥiqf, pl. Aḥqáf</w:t>
      </w:r>
      <w:r w:rsidRPr="008F03E5">
        <w:tab/>
        <w:t>wavy heap of sand;—pl. hills of sand extending a great way; name of a large district in Arabia formerly inhabited by the people of ‘Ád.  Qur’án 46:  al-Aḥqáf “The Wind-curved Sand Hills” or “The Winding Sand-tracts”.</w:t>
      </w:r>
    </w:p>
    <w:p w14:paraId="073890C0" w14:textId="77777777" w:rsidR="00625A5B" w:rsidRPr="008F03E5" w:rsidRDefault="00625A5B" w:rsidP="00782463">
      <w:pPr>
        <w:pStyle w:val="Translit"/>
      </w:pPr>
      <w:r w:rsidRPr="008F03E5">
        <w:t>Hira</w:t>
      </w:r>
      <w:r w:rsidRPr="008F03E5">
        <w:tab/>
        <w:t>Ḥirá’</w:t>
      </w:r>
      <w:r w:rsidRPr="008F03E5">
        <w:tab/>
      </w:r>
      <w:r w:rsidRPr="008F03E5">
        <w:rPr>
          <w:u w:val="single"/>
        </w:rPr>
        <w:t>Gh</w:t>
      </w:r>
      <w:r w:rsidRPr="008F03E5">
        <w:t>ár Ḥirá’ (the Cave of Hira, 21.457561, 39.859395) is located at the western end (6.3 km from the centre of Mecca) of Jabal Ḥirá’ (Mount Hira).  The “mountain” was renamed Jabal a</w:t>
      </w:r>
      <w:r>
        <w:t>n</w:t>
      </w:r>
      <w:r w:rsidRPr="008F03E5">
        <w:t>-Núr after Muḥammad’s revelation in the cave.  See Jabal an-Núr.</w:t>
      </w:r>
    </w:p>
    <w:p w14:paraId="2015C2EF" w14:textId="77777777" w:rsidR="00625A5B" w:rsidRPr="008F03E5" w:rsidRDefault="00625A5B" w:rsidP="00566693">
      <w:pPr>
        <w:pStyle w:val="Translit"/>
      </w:pPr>
      <w:r w:rsidRPr="008F03E5">
        <w:t>Hirah, Hirih</w:t>
      </w:r>
      <w:r w:rsidRPr="008F03E5">
        <w:tab/>
        <w:t>Ḥíra[h], Ḥíri[h]</w:t>
      </w:r>
      <w:r w:rsidRPr="008F03E5">
        <w:tab/>
        <w:t xml:space="preserve">al-Ḥírah was an ancient city (31.887078, 44.4804) in Mesopotamia.  Located in the modern city of al-Ḥírah, it is 18 km </w:t>
      </w:r>
      <w:r w:rsidRPr="008F03E5">
        <w:rPr>
          <w:sz w:val="16"/>
          <w:szCs w:val="16"/>
        </w:rPr>
        <w:t>SSE</w:t>
      </w:r>
      <w:r w:rsidRPr="008F03E5">
        <w:t xml:space="preserve"> of al-Kúfah.</w:t>
      </w:r>
    </w:p>
    <w:p w14:paraId="7DE4129A" w14:textId="77777777" w:rsidR="00625A5B" w:rsidRPr="008F03E5" w:rsidRDefault="00625A5B" w:rsidP="00B74F92">
      <w:pPr>
        <w:pStyle w:val="Translit"/>
      </w:pPr>
      <w:r w:rsidRPr="008F03E5">
        <w:t>Hirat</w:t>
      </w:r>
      <w:r w:rsidRPr="008F03E5">
        <w:tab/>
        <w:t>Hirát</w:t>
      </w:r>
      <w:r w:rsidRPr="008F03E5">
        <w:tab/>
        <w:t>Pers. good fortune; a man of good fortune.  Herat, Afghanistan</w:t>
      </w:r>
      <w:r>
        <w:t xml:space="preserve">, was once in Greater </w:t>
      </w:r>
      <w:r w:rsidRPr="00B74F92">
        <w:rPr>
          <w:u w:val="single"/>
        </w:rPr>
        <w:t>Kh</w:t>
      </w:r>
      <w:r>
        <w:t>ur</w:t>
      </w:r>
      <w:r w:rsidRPr="00B74F92">
        <w:t>á</w:t>
      </w:r>
      <w:r>
        <w:t>s</w:t>
      </w:r>
      <w:r w:rsidRPr="00B74F92">
        <w:t>á</w:t>
      </w:r>
      <w:r>
        <w:t xml:space="preserve">n, a </w:t>
      </w:r>
      <w:r w:rsidRPr="00B74F92">
        <w:t>historical eastern region in the Iranian Plateau between Western and Central Asia.</w:t>
      </w:r>
    </w:p>
    <w:p w14:paraId="31AA9E99" w14:textId="77777777" w:rsidR="00625A5B" w:rsidRPr="008F03E5" w:rsidRDefault="00625A5B" w:rsidP="00566693">
      <w:pPr>
        <w:pStyle w:val="Translit"/>
      </w:pPr>
      <w:r w:rsidRPr="008F03E5">
        <w:t>Hirawi</w:t>
      </w:r>
      <w:r w:rsidRPr="008F03E5">
        <w:tab/>
        <w:t>Hirawí</w:t>
      </w:r>
      <w:r w:rsidRPr="008F03E5">
        <w:tab/>
        <w:t>Pers. a native of Herat</w:t>
      </w:r>
    </w:p>
    <w:p w14:paraId="799328C6" w14:textId="77777777" w:rsidR="00625A5B" w:rsidRPr="008F03E5" w:rsidRDefault="00625A5B" w:rsidP="00425415">
      <w:pPr>
        <w:pStyle w:val="Translit"/>
      </w:pPr>
      <w:r w:rsidRPr="008F03E5">
        <w:t>Hirbud (Hirbod, Herbod, Herbud)</w:t>
      </w:r>
      <w:r w:rsidRPr="008F03E5">
        <w:tab/>
        <w:t>Hirbud</w:t>
      </w:r>
      <w:r w:rsidRPr="008F03E5">
        <w:tab/>
        <w:t>Zoroastrian religious teacher, lower in rank than a priest</w:t>
      </w:r>
    </w:p>
    <w:p w14:paraId="1D9021ED" w14:textId="77777777" w:rsidR="00625A5B" w:rsidRPr="008F03E5" w:rsidRDefault="00625A5B" w:rsidP="00566693">
      <w:pPr>
        <w:pStyle w:val="Translit"/>
      </w:pPr>
      <w:r w:rsidRPr="008F03E5">
        <w:t>Hirman</w:t>
      </w:r>
      <w:r w:rsidRPr="008F03E5">
        <w:tab/>
        <w:t>Ḥirmán</w:t>
      </w:r>
      <w:r w:rsidRPr="008F03E5">
        <w:tab/>
        <w:t>deprivation, bereavement, dispossession (of someone, of something) debarment, exclusion, preclusion (from); excommunication (Christian); privation</w:t>
      </w:r>
    </w:p>
    <w:p w14:paraId="3D724D73" w14:textId="77777777" w:rsidR="00625A5B" w:rsidRPr="008F03E5" w:rsidRDefault="00625A5B" w:rsidP="00472A06">
      <w:pPr>
        <w:pStyle w:val="Translit"/>
      </w:pPr>
      <w:r w:rsidRPr="008F03E5">
        <w:t>Hirz (Harz), Ahraz</w:t>
      </w:r>
      <w:r w:rsidRPr="008F03E5">
        <w:rPr>
          <w:rFonts w:eastAsia="Times New Roman"/>
        </w:rPr>
        <w:tab/>
      </w:r>
      <w:r w:rsidRPr="008F03E5">
        <w:t>Ḥirz (Ḥarz),</w:t>
      </w:r>
      <w:r w:rsidRPr="008F03E5">
        <w:rPr>
          <w:rFonts w:eastAsia="Times New Roman"/>
        </w:rPr>
        <w:t xml:space="preserve"> pl. A</w:t>
      </w:r>
      <w:r w:rsidRPr="008F03E5">
        <w:t>ḥ</w:t>
      </w:r>
      <w:r w:rsidRPr="008F03E5">
        <w:rPr>
          <w:rFonts w:eastAsia="Times New Roman"/>
        </w:rPr>
        <w:t>r</w:t>
      </w:r>
      <w:r w:rsidRPr="008F03E5">
        <w:t>á</w:t>
      </w:r>
      <w:r w:rsidRPr="008F03E5">
        <w:rPr>
          <w:rFonts w:eastAsia="Times New Roman"/>
        </w:rPr>
        <w:t>z</w:t>
      </w:r>
      <w:r w:rsidRPr="008F03E5">
        <w:rPr>
          <w:rFonts w:eastAsia="Times New Roman"/>
        </w:rPr>
        <w:tab/>
        <w:t xml:space="preserve">a fortification; garrison town, castle; an amulet or charm against fascination or enchantment.  </w:t>
      </w:r>
      <w:r w:rsidRPr="008F03E5">
        <w:t>Ḥ</w:t>
      </w:r>
      <w:r w:rsidRPr="008F03E5">
        <w:rPr>
          <w:rFonts w:eastAsia="Times New Roman"/>
        </w:rPr>
        <w:t>irz All</w:t>
      </w:r>
      <w:r w:rsidRPr="008F03E5">
        <w:t>á</w:t>
      </w:r>
      <w:r w:rsidRPr="008F03E5">
        <w:rPr>
          <w:rFonts w:eastAsia="Times New Roman"/>
        </w:rPr>
        <w:t>h, protection of God.</w:t>
      </w:r>
    </w:p>
    <w:p w14:paraId="65121223" w14:textId="77777777" w:rsidR="00625A5B" w:rsidRPr="008F03E5" w:rsidRDefault="00625A5B" w:rsidP="008C1BB0">
      <w:pPr>
        <w:pStyle w:val="Translit"/>
      </w:pPr>
      <w:r w:rsidRPr="008F03E5">
        <w:t>Hisa’, Ahsa’</w:t>
      </w:r>
      <w:r w:rsidRPr="008F03E5">
        <w:tab/>
        <w:t>Ḥisá’, pl. Aḥsá’</w:t>
      </w:r>
      <w:r w:rsidRPr="008F03E5">
        <w:tab/>
        <w:t xml:space="preserve">accumulated sand with an impermeable layer underneath.  Rain will soak through the sand, be protected from evaporation by the upper sand, and be retained by the base layer, forming an aquifer.  Wáḥat al-Aḥsá’ (25.429444, 49.621944) is largest oasis (also known as Wáḥat al-Ḥasá’ or Ḥadjár (locally Wáḥat al-Aḥasá)) in the world, largest date production, and birthplace of </w:t>
      </w:r>
      <w:r w:rsidRPr="008F03E5">
        <w:rPr>
          <w:u w:val="single"/>
        </w:rPr>
        <w:t>Sh</w:t>
      </w:r>
      <w:r w:rsidRPr="008F03E5">
        <w:t>ay</w:t>
      </w:r>
      <w:r w:rsidRPr="008F03E5">
        <w:rPr>
          <w:u w:val="single"/>
        </w:rPr>
        <w:t>kh</w:t>
      </w:r>
      <w:r w:rsidRPr="008F03E5">
        <w:t xml:space="preserve"> Aḥmad al-Aḥsá’í.  al-Hufúf (al-Hufuf) is the major urban centre in the oasis.  It is in eastern Saudi Arabia, about 125 km </w:t>
      </w:r>
      <w:r w:rsidRPr="008F03E5">
        <w:rPr>
          <w:sz w:val="16"/>
          <w:szCs w:val="16"/>
        </w:rPr>
        <w:t>SW</w:t>
      </w:r>
      <w:r w:rsidRPr="008F03E5">
        <w:t xml:space="preserve"> of Bahrain.  See Qurayn.</w:t>
      </w:r>
    </w:p>
    <w:p w14:paraId="014EAEFF" w14:textId="77777777" w:rsidR="00625A5B" w:rsidRPr="008F03E5" w:rsidRDefault="00625A5B" w:rsidP="00566693">
      <w:pPr>
        <w:pStyle w:val="Translit"/>
      </w:pPr>
      <w:r w:rsidRPr="008F03E5">
        <w:t>Hisab, Hisabat</w:t>
      </w:r>
      <w:r w:rsidRPr="008F03E5">
        <w:tab/>
        <w:t>Ḥisáb, pl. Ḥisábát</w:t>
      </w:r>
      <w:r w:rsidRPr="008F03E5">
        <w:tab/>
        <w:t>arithmetic, reckoning, calculus; computation; calculation, estimation, appraisal; accounting, settlement; consideration; caution;—pl. bill, invoice; statement of costs (bank) account</w:t>
      </w:r>
    </w:p>
    <w:p w14:paraId="429C1DCA" w14:textId="77777777" w:rsidR="00625A5B" w:rsidRPr="00077779" w:rsidRDefault="00625A5B" w:rsidP="00566693">
      <w:pPr>
        <w:pStyle w:val="Translit"/>
        <w:rPr>
          <w:lang w:val="es-ES_tradnl"/>
        </w:rPr>
      </w:pPr>
      <w:r w:rsidRPr="00077779">
        <w:rPr>
          <w:lang w:val="es-ES_tradnl"/>
        </w:rPr>
        <w:t>Hisan, Husan, Ahsina</w:t>
      </w:r>
      <w:r w:rsidRPr="00077779">
        <w:rPr>
          <w:lang w:val="es-ES_tradnl"/>
        </w:rPr>
        <w:tab/>
        <w:t>Ḥiṣán, pl. Ḥuṣun, Aḥsina</w:t>
      </w:r>
      <w:r w:rsidRPr="00077779">
        <w:rPr>
          <w:lang w:val="es-ES_tradnl"/>
        </w:rPr>
        <w:tab/>
        <w:t>horse; stallion; Ḥiṣán al-baḥr:  hippopotamus (Ancient Greek, Hippos, Aramaic, Sussita, names of ancient city east side Sea of Galilee)</w:t>
      </w:r>
    </w:p>
    <w:p w14:paraId="7A2FAE37" w14:textId="77777777" w:rsidR="00625A5B" w:rsidRPr="008F03E5" w:rsidRDefault="00625A5B" w:rsidP="00566693">
      <w:pPr>
        <w:pStyle w:val="Translit"/>
      </w:pPr>
      <w:r w:rsidRPr="00D45A23">
        <w:rPr>
          <w:lang w:val="de-DE"/>
        </w:rPr>
        <w:t>Hisar</w:t>
      </w:r>
      <w:r w:rsidRPr="00D45A23">
        <w:rPr>
          <w:lang w:val="de-DE"/>
        </w:rPr>
        <w:tab/>
        <w:t>Ḥiṣár</w:t>
      </w:r>
      <w:r w:rsidRPr="00D45A23">
        <w:rPr>
          <w:lang w:val="de-DE"/>
        </w:rPr>
        <w:tab/>
        <w:t xml:space="preserve">block, blockage, barrier; blockade; siege.  </w:t>
      </w:r>
      <w:r w:rsidRPr="008F03E5">
        <w:t xml:space="preserve">A town in </w:t>
      </w:r>
      <w:r w:rsidRPr="008F03E5">
        <w:rPr>
          <w:u w:val="single"/>
        </w:rPr>
        <w:t>Kh</w:t>
      </w:r>
      <w:r w:rsidRPr="008F03E5">
        <w:t>urásán province.</w:t>
      </w:r>
    </w:p>
    <w:p w14:paraId="123B6580" w14:textId="77777777" w:rsidR="00625A5B" w:rsidRPr="008F03E5" w:rsidRDefault="00625A5B" w:rsidP="00566693">
      <w:pPr>
        <w:pStyle w:val="Translit"/>
      </w:pPr>
      <w:r w:rsidRPr="008F03E5">
        <w:t>Hisham</w:t>
      </w:r>
      <w:r w:rsidRPr="008F03E5">
        <w:tab/>
        <w:t>Hi</w:t>
      </w:r>
      <w:r w:rsidRPr="008F03E5">
        <w:rPr>
          <w:u w:val="single"/>
        </w:rPr>
        <w:t>sh</w:t>
      </w:r>
      <w:r w:rsidRPr="008F03E5">
        <w:t>ám</w:t>
      </w:r>
      <w:r w:rsidRPr="008F03E5">
        <w:tab/>
        <w:t>Pers. beneficence, liberality.  Hi</w:t>
      </w:r>
      <w:r w:rsidRPr="008F03E5">
        <w:rPr>
          <w:u w:val="single"/>
        </w:rPr>
        <w:t>sh</w:t>
      </w:r>
      <w:r w:rsidRPr="008F03E5">
        <w:t>ám ibn ‘Abdu’l-Malik, 10th Umayyad Caliph</w:t>
      </w:r>
    </w:p>
    <w:p w14:paraId="0BB19A2C" w14:textId="77777777" w:rsidR="00625A5B" w:rsidRPr="008F03E5" w:rsidRDefault="00625A5B" w:rsidP="001571AD">
      <w:pPr>
        <w:pStyle w:val="Translit"/>
        <w:rPr>
          <w:rFonts w:eastAsia="PMingLiU"/>
          <w:lang w:eastAsia="zh-TW"/>
        </w:rPr>
      </w:pPr>
      <w:r w:rsidRPr="008F03E5">
        <w:rPr>
          <w:rFonts w:eastAsia="PMingLiU"/>
          <w:lang w:eastAsia="zh-TW"/>
        </w:rPr>
        <w:t>Hishma</w:t>
      </w:r>
      <w:r w:rsidRPr="008F03E5">
        <w:tab/>
        <w:t>Ḥ</w:t>
      </w:r>
      <w:r w:rsidRPr="008F03E5">
        <w:rPr>
          <w:rFonts w:eastAsia="PMingLiU"/>
          <w:lang w:eastAsia="zh-TW"/>
        </w:rPr>
        <w:t>i</w:t>
      </w:r>
      <w:r w:rsidRPr="008F03E5">
        <w:rPr>
          <w:u w:val="single"/>
        </w:rPr>
        <w:t>sh</w:t>
      </w:r>
      <w:r w:rsidRPr="008F03E5">
        <w:rPr>
          <w:rFonts w:eastAsia="PMingLiU"/>
          <w:lang w:eastAsia="zh-TW"/>
        </w:rPr>
        <w:t>ma[h or t] (fem.)</w:t>
      </w:r>
      <w:r w:rsidRPr="008F03E5">
        <w:tab/>
        <w:t>shame, bashfulness, timidity, diffidence; modesty; decency, decorum</w:t>
      </w:r>
    </w:p>
    <w:p w14:paraId="37744614" w14:textId="77777777" w:rsidR="00625A5B" w:rsidRPr="008F03E5" w:rsidRDefault="00625A5B" w:rsidP="00566693">
      <w:pPr>
        <w:pStyle w:val="Translit"/>
      </w:pPr>
      <w:r w:rsidRPr="008F03E5">
        <w:t>Hishmatu’d-Dawlih</w:t>
      </w:r>
      <w:r w:rsidRPr="008F03E5">
        <w:tab/>
        <w:t>Ḥi</w:t>
      </w:r>
      <w:r w:rsidRPr="008F03E5">
        <w:rPr>
          <w:u w:val="single"/>
        </w:rPr>
        <w:t>sh</w:t>
      </w:r>
      <w:r w:rsidRPr="008F03E5">
        <w:t>matu’d-Dawlih</w:t>
      </w:r>
      <w:r w:rsidRPr="008F03E5">
        <w:tab/>
      </w:r>
    </w:p>
    <w:p w14:paraId="02B13AAC" w14:textId="77777777" w:rsidR="00625A5B" w:rsidRPr="008F03E5" w:rsidRDefault="00625A5B" w:rsidP="00566693">
      <w:pPr>
        <w:pStyle w:val="Translit"/>
      </w:pPr>
      <w:r w:rsidRPr="008F03E5">
        <w:t>Hishmatu’llah</w:t>
      </w:r>
      <w:r w:rsidRPr="008F03E5">
        <w:tab/>
        <w:t>Ḥi</w:t>
      </w:r>
      <w:r w:rsidRPr="008F03E5">
        <w:rPr>
          <w:u w:val="single"/>
        </w:rPr>
        <w:t>sh</w:t>
      </w:r>
      <w:r w:rsidRPr="008F03E5">
        <w:t>matu’lláh</w:t>
      </w:r>
      <w:r w:rsidRPr="008F03E5">
        <w:tab/>
        <w:t>“chaste one of God”</w:t>
      </w:r>
    </w:p>
    <w:p w14:paraId="64247DF2" w14:textId="77777777" w:rsidR="00625A5B" w:rsidRPr="008F03E5" w:rsidRDefault="00625A5B" w:rsidP="00566693">
      <w:pPr>
        <w:pStyle w:val="Translit"/>
      </w:pPr>
      <w:r w:rsidRPr="008F03E5">
        <w:t>Hisn, Husun</w:t>
      </w:r>
      <w:r w:rsidRPr="008F03E5">
        <w:tab/>
        <w:t>Ḥiṣn, pl. Ḥuṣún</w:t>
      </w:r>
      <w:r w:rsidRPr="008F03E5">
        <w:tab/>
        <w:t>fortress, fort, castle, citadel, stronghold; fortification, entrenchment; protection</w:t>
      </w:r>
    </w:p>
    <w:p w14:paraId="6700A639" w14:textId="77777777" w:rsidR="00625A5B" w:rsidRPr="008F03E5" w:rsidRDefault="00625A5B" w:rsidP="00566693">
      <w:pPr>
        <w:pStyle w:val="Translit"/>
      </w:pPr>
      <w:r w:rsidRPr="008F03E5">
        <w:t>Hitta</w:t>
      </w:r>
      <w:r w:rsidRPr="008F03E5">
        <w:tab/>
        <w:t>Ḥiṭṭa[t]</w:t>
      </w:r>
      <w:r w:rsidRPr="008F03E5">
        <w:tab/>
        <w:t>r</w:t>
      </w:r>
      <w:r w:rsidRPr="008F03E5">
        <w:rPr>
          <w:rFonts w:eastAsia="Times New Roman"/>
        </w:rPr>
        <w:t xml:space="preserve">emission of sins (pardon), taxes, or burdens; a prayer for a remission (of sins); </w:t>
      </w:r>
      <w:r w:rsidRPr="008F03E5">
        <w:t>alleviation, relief, mitigation; abasement, debasement, demotion, degradation (in rank, dignity, prestige); humiliation, insult, indignity</w:t>
      </w:r>
    </w:p>
    <w:p w14:paraId="1EF5CC79" w14:textId="77777777" w:rsidR="00625A5B" w:rsidRPr="008F03E5" w:rsidRDefault="00625A5B" w:rsidP="00566693">
      <w:pPr>
        <w:pStyle w:val="Translit"/>
      </w:pPr>
      <w:r w:rsidRPr="008F03E5">
        <w:t>Hizam, Hizamat, Ahzima, Huzum</w:t>
      </w:r>
      <w:r w:rsidRPr="008F03E5">
        <w:tab/>
        <w:t>Ḥizám, pl. Ḥizámát, Aḥzima, Ḥuzum</w:t>
      </w:r>
      <w:r w:rsidRPr="008F03E5">
        <w:tab/>
        <w:t>belt, girth; girdle; cummerbund, waistband (worn over the caftan to fasten it); sword belt</w:t>
      </w:r>
    </w:p>
    <w:p w14:paraId="56B209C9" w14:textId="77777777" w:rsidR="00625A5B" w:rsidRPr="008F03E5" w:rsidRDefault="00625A5B" w:rsidP="006365D9">
      <w:pPr>
        <w:pStyle w:val="Translit"/>
        <w:rPr>
          <w:rFonts w:eastAsia="PMingLiU"/>
          <w:lang w:eastAsia="zh-TW"/>
        </w:rPr>
      </w:pPr>
      <w:r w:rsidRPr="008F03E5">
        <w:rPr>
          <w:rFonts w:eastAsia="PMingLiU"/>
          <w:lang w:eastAsia="zh-TW"/>
        </w:rPr>
        <w:t>Hizar</w:t>
      </w:r>
      <w:r>
        <w:rPr>
          <w:rFonts w:eastAsia="PMingLiU"/>
          <w:lang w:eastAsia="zh-TW"/>
        </w:rPr>
        <w:t xml:space="preserve"> (Hezar)</w:t>
      </w:r>
      <w:r w:rsidRPr="008F03E5">
        <w:tab/>
      </w:r>
      <w:r w:rsidRPr="008F03E5">
        <w:rPr>
          <w:rFonts w:eastAsia="PMingLiU"/>
          <w:lang w:eastAsia="zh-TW"/>
        </w:rPr>
        <w:t>Hizár</w:t>
      </w:r>
      <w:r w:rsidRPr="008F03E5">
        <w:tab/>
        <w:t>joking, jesting, fun-making.  Used in Persian with the same meaning as Hazár</w:t>
      </w:r>
      <w:r>
        <w:t>.  A village (</w:t>
      </w:r>
      <w:r w:rsidRPr="006365D9">
        <w:t>29.886533, 52.518113</w:t>
      </w:r>
      <w:r>
        <w:t>) in Fars Province.</w:t>
      </w:r>
    </w:p>
    <w:p w14:paraId="072E36F8" w14:textId="77777777" w:rsidR="00625A5B" w:rsidRPr="008F03E5" w:rsidRDefault="00625A5B" w:rsidP="00566693">
      <w:pPr>
        <w:pStyle w:val="Translit"/>
      </w:pPr>
      <w:r w:rsidRPr="005D5AAC">
        <w:rPr>
          <w:lang w:val="en-AU"/>
        </w:rPr>
        <w:t>Hizar Dastan</w:t>
      </w:r>
      <w:r w:rsidRPr="005D5AAC">
        <w:rPr>
          <w:lang w:val="en-AU"/>
        </w:rPr>
        <w:tab/>
        <w:t>Hizár Dastán</w:t>
      </w:r>
      <w:r w:rsidRPr="005D5AAC">
        <w:rPr>
          <w:lang w:val="en-AU"/>
        </w:rPr>
        <w:tab/>
        <w:t xml:space="preserve">Pers. </w:t>
      </w:r>
      <w:r w:rsidRPr="008F03E5">
        <w:t>“thousand songs”</w:t>
      </w:r>
    </w:p>
    <w:p w14:paraId="12FF7E7F" w14:textId="77777777" w:rsidR="00625A5B" w:rsidRPr="008F03E5" w:rsidRDefault="00625A5B" w:rsidP="00566693">
      <w:pPr>
        <w:pStyle w:val="Translit"/>
      </w:pPr>
      <w:r w:rsidRPr="008F03E5">
        <w:t>Hizavih</w:t>
      </w:r>
      <w:r w:rsidRPr="008F03E5">
        <w:tab/>
        <w:t>Hizávih</w:t>
      </w:r>
      <w:r w:rsidRPr="008F03E5">
        <w:tab/>
        <w:t xml:space="preserve">(Hazaveh, Hazareh, Hizaveh, and Hizawah) village 17 km </w:t>
      </w:r>
      <w:r w:rsidRPr="008F03E5">
        <w:rPr>
          <w:sz w:val="16"/>
          <w:szCs w:val="16"/>
        </w:rPr>
        <w:t>NW</w:t>
      </w:r>
      <w:r w:rsidRPr="008F03E5">
        <w:t xml:space="preserve"> of Arák (Sulṭán Ábád), Markazi Province, Iran</w:t>
      </w:r>
    </w:p>
    <w:p w14:paraId="6EA47CAA" w14:textId="77777777" w:rsidR="00625A5B" w:rsidRPr="008F03E5" w:rsidRDefault="00625A5B" w:rsidP="00F306B0">
      <w:pPr>
        <w:pStyle w:val="Translit"/>
      </w:pPr>
      <w:r w:rsidRPr="008F03E5">
        <w:t>Hizb ash-Shaytan</w:t>
      </w:r>
      <w:r w:rsidRPr="008F03E5">
        <w:tab/>
        <w:t>Ḥizb a</w:t>
      </w:r>
      <w:r w:rsidRPr="008F03E5">
        <w:rPr>
          <w:u w:val="single"/>
        </w:rPr>
        <w:t>sh</w:t>
      </w:r>
      <w:r w:rsidRPr="008F03E5">
        <w:t>-</w:t>
      </w:r>
      <w:r w:rsidRPr="008F03E5">
        <w:rPr>
          <w:u w:val="single"/>
        </w:rPr>
        <w:t>Sh</w:t>
      </w:r>
      <w:r w:rsidRPr="008F03E5">
        <w:t>ayṭán</w:t>
      </w:r>
      <w:r w:rsidRPr="008F03E5">
        <w:tab/>
        <w:t>“Party of Satan” Qur’án 58:19</w:t>
      </w:r>
    </w:p>
    <w:p w14:paraId="374F7E3E" w14:textId="77777777" w:rsidR="00625A5B" w:rsidRPr="008F03E5" w:rsidRDefault="00625A5B" w:rsidP="00566693">
      <w:pPr>
        <w:pStyle w:val="Translit"/>
      </w:pPr>
      <w:r w:rsidRPr="008F03E5">
        <w:t>Hizb, Ahzab</w:t>
      </w:r>
      <w:r w:rsidRPr="008F03E5">
        <w:tab/>
        <w:t>Ḥizb, pl. Aḥzab</w:t>
      </w:r>
      <w:r w:rsidRPr="008F03E5">
        <w:tab/>
        <w:t>group, troop, band, cohort, gang; associates, auxiliaries, confederates; arms, armour; party (politics); a 60th part of the Qur’án</w:t>
      </w:r>
    </w:p>
    <w:p w14:paraId="7FAAED5B" w14:textId="77777777" w:rsidR="00625A5B" w:rsidRPr="008F03E5" w:rsidRDefault="00625A5B" w:rsidP="00F306B0">
      <w:pPr>
        <w:pStyle w:val="Translit"/>
      </w:pPr>
      <w:r w:rsidRPr="008F03E5">
        <w:t>Hizbu’llah (Hezbollah, Hizbullah)</w:t>
      </w:r>
      <w:r w:rsidRPr="008F03E5">
        <w:tab/>
        <w:t>Ḥizbu’lláh</w:t>
      </w:r>
      <w:r w:rsidRPr="008F03E5">
        <w:tab/>
        <w:t xml:space="preserve">“Party of Allah” or “Party of God”.  Name of a </w:t>
      </w:r>
      <w:r w:rsidRPr="008F03E5">
        <w:rPr>
          <w:u w:val="single"/>
        </w:rPr>
        <w:t>Sh</w:t>
      </w:r>
      <w:r w:rsidRPr="008F03E5">
        <w:t>í‘a Islamist political party and militant group based in Lebanon.</w:t>
      </w:r>
    </w:p>
    <w:p w14:paraId="5B60BE48" w14:textId="77777777" w:rsidR="00625A5B" w:rsidRPr="008F03E5" w:rsidRDefault="00625A5B" w:rsidP="00566693">
      <w:pPr>
        <w:pStyle w:val="Translit"/>
      </w:pPr>
      <w:r w:rsidRPr="008F03E5">
        <w:t>Hizqil</w:t>
      </w:r>
      <w:r w:rsidRPr="008F03E5">
        <w:tab/>
        <w:t>Ḥizqíl</w:t>
      </w:r>
      <w:r w:rsidRPr="008F03E5">
        <w:tab/>
        <w:t>Pers. Ezekiel</w:t>
      </w:r>
    </w:p>
    <w:p w14:paraId="2970C486" w14:textId="77777777" w:rsidR="00625A5B" w:rsidRPr="008F03E5" w:rsidRDefault="00625A5B" w:rsidP="00776245">
      <w:pPr>
        <w:pStyle w:val="Translit"/>
      </w:pPr>
      <w:r w:rsidRPr="008F03E5">
        <w:t>Hubal (Hobal)</w:t>
      </w:r>
      <w:r w:rsidRPr="008F03E5">
        <w:tab/>
        <w:t>Hubal</w:t>
      </w:r>
      <w:r w:rsidRPr="008F03E5">
        <w:tab/>
        <w:t>a god worshipped in pre-Islamic Arabia, notably by Quraysh at the Ka‘bah in Mecca.  His idol was a human figure, believed to control acts of divination, which was in the form of tossing arrows before the statue.  The direction in which the arrows pointed answered questions asked of the idol.</w:t>
      </w:r>
    </w:p>
    <w:p w14:paraId="662FFF86" w14:textId="77777777" w:rsidR="00625A5B" w:rsidRPr="008F03E5" w:rsidRDefault="00625A5B" w:rsidP="008C37F5">
      <w:pPr>
        <w:pStyle w:val="Translit"/>
      </w:pPr>
      <w:r w:rsidRPr="008F03E5">
        <w:t>Hubb</w:t>
      </w:r>
      <w:r w:rsidRPr="008F03E5">
        <w:tab/>
        <w:t>Ḥubb</w:t>
      </w:r>
      <w:r w:rsidRPr="008F03E5">
        <w:tab/>
        <w:t xml:space="preserve">love; affection, attachment.  </w:t>
      </w:r>
      <w:r w:rsidRPr="008F03E5">
        <w:rPr>
          <w:rFonts w:eastAsia="Times New Roman"/>
        </w:rPr>
        <w:t>ḥubbu</w:t>
      </w:r>
      <w:r w:rsidRPr="008F03E5">
        <w:t>’l</w:t>
      </w:r>
      <w:r w:rsidRPr="008F03E5">
        <w:rPr>
          <w:rFonts w:eastAsia="Times New Roman"/>
        </w:rPr>
        <w:t>-wa</w:t>
      </w:r>
      <w:r w:rsidRPr="008F03E5">
        <w:t>ṭ</w:t>
      </w:r>
      <w:r w:rsidRPr="008F03E5">
        <w:rPr>
          <w:rFonts w:eastAsia="Times New Roman"/>
        </w:rPr>
        <w:t xml:space="preserve">an, love of one’s country, patriotism.  </w:t>
      </w:r>
      <w:r w:rsidRPr="008F03E5">
        <w:t xml:space="preserve">ḥubbu’l-waṭani mina’l-i’mán, love of country (is an article) of religion (a Muslim saying) (cited by Bahá’u’lláh, </w:t>
      </w:r>
      <w:r w:rsidRPr="008F03E5">
        <w:rPr>
          <w:i/>
          <w:iCs/>
        </w:rPr>
        <w:t>Gleanings</w:t>
      </w:r>
      <w:r w:rsidRPr="008F03E5">
        <w:t>, p. 95).</w:t>
      </w:r>
    </w:p>
    <w:p w14:paraId="5A6AB662" w14:textId="77777777" w:rsidR="00625A5B" w:rsidRPr="008F03E5" w:rsidRDefault="00625A5B" w:rsidP="00566693">
      <w:pPr>
        <w:pStyle w:val="Translit"/>
      </w:pPr>
      <w:r w:rsidRPr="008F03E5">
        <w:t>Hubbu’llah</w:t>
      </w:r>
      <w:r w:rsidRPr="008F03E5">
        <w:tab/>
        <w:t>Ḥubbu’lláh</w:t>
      </w:r>
      <w:r w:rsidRPr="008F03E5">
        <w:tab/>
        <w:t>Love of God</w:t>
      </w:r>
    </w:p>
    <w:p w14:paraId="4AE3AD5C" w14:textId="77777777" w:rsidR="00625A5B" w:rsidRPr="008F03E5" w:rsidRDefault="00625A5B" w:rsidP="00566693">
      <w:pPr>
        <w:pStyle w:val="Translit"/>
      </w:pPr>
      <w:r w:rsidRPr="008F03E5">
        <w:t>Hubur</w:t>
      </w:r>
      <w:r w:rsidRPr="008F03E5">
        <w:tab/>
        <w:t>Ḥubúr</w:t>
      </w:r>
      <w:r w:rsidRPr="008F03E5">
        <w:tab/>
        <w:t xml:space="preserve">joy.  Hubúr (Hobour) </w:t>
      </w:r>
      <w:r w:rsidRPr="008F03E5">
        <w:rPr>
          <w:u w:val="single"/>
        </w:rPr>
        <w:t>Kh</w:t>
      </w:r>
      <w:r w:rsidRPr="008F03E5">
        <w:t>ánum</w:t>
      </w:r>
    </w:p>
    <w:p w14:paraId="1B7E8182" w14:textId="77777777" w:rsidR="00625A5B" w:rsidRPr="008F03E5" w:rsidRDefault="00625A5B" w:rsidP="006463DB">
      <w:pPr>
        <w:pStyle w:val="Translit"/>
      </w:pPr>
      <w:r w:rsidRPr="008F03E5">
        <w:t>Hud</w:t>
      </w:r>
      <w:r w:rsidRPr="008F03E5">
        <w:tab/>
        <w:t>Húd</w:t>
      </w:r>
      <w:r w:rsidRPr="008F03E5">
        <w:tab/>
        <w:t>a prophet sent to the tribe of ‘Ád.  He is a descendant of Noah.</w:t>
      </w:r>
    </w:p>
    <w:p w14:paraId="5F3B1EF5" w14:textId="77777777" w:rsidR="00625A5B" w:rsidRPr="008F03E5" w:rsidRDefault="00625A5B" w:rsidP="00452159">
      <w:pPr>
        <w:pStyle w:val="Translit"/>
      </w:pPr>
      <w:r w:rsidRPr="008F03E5">
        <w:t>Huda</w:t>
      </w:r>
      <w:r w:rsidRPr="008F03E5">
        <w:tab/>
        <w:t>Hudá</w:t>
      </w:r>
      <w:r w:rsidRPr="008F03E5">
        <w:tab/>
        <w:t>guiding, showing the right way, right guidance</w:t>
      </w:r>
    </w:p>
    <w:p w14:paraId="7A1F88D3" w14:textId="77777777" w:rsidR="00625A5B" w:rsidRPr="008F03E5" w:rsidRDefault="00625A5B" w:rsidP="00427271">
      <w:pPr>
        <w:pStyle w:val="Translit"/>
      </w:pPr>
      <w:r w:rsidRPr="008F03E5">
        <w:t>Hudaybiyyah (Hudaibiyyah, Hudaybiyah)</w:t>
      </w:r>
      <w:r w:rsidRPr="008F03E5">
        <w:tab/>
        <w:t>Ḥudaybiyya[h]</w:t>
      </w:r>
      <w:r w:rsidRPr="008F03E5">
        <w:tab/>
        <w:t>Treaty of Ḥudaybiyyah (Ṣalaḥ al-Ḥadaybiyyah), in 628 (</w:t>
      </w:r>
      <w:r w:rsidRPr="008F03E5">
        <w:rPr>
          <w:sz w:val="16"/>
          <w:szCs w:val="16"/>
        </w:rPr>
        <w:t>AH</w:t>
      </w:r>
      <w:r w:rsidRPr="008F03E5">
        <w:t xml:space="preserve"> 6), at al-Ḥudaybiyyah spring 20 km </w:t>
      </w:r>
      <w:r w:rsidRPr="008F03E5">
        <w:rPr>
          <w:sz w:val="16"/>
          <w:szCs w:val="16"/>
        </w:rPr>
        <w:t>WNW</w:t>
      </w:r>
      <w:r w:rsidRPr="008F03E5">
        <w:t xml:space="preserve"> of Mecca on the Old Mecca-Jiddah Road.  This was a pivotal treaty between Muḥammad, representing the state of Medina, and the Quray</w:t>
      </w:r>
      <w:r w:rsidRPr="008F03E5">
        <w:rPr>
          <w:u w:val="single"/>
        </w:rPr>
        <w:t>sh</w:t>
      </w:r>
      <w:r w:rsidRPr="008F03E5">
        <w:t xml:space="preserve"> tribe of Mecca.  The ruins of an old mosque marking the site is at 21.441960, 39.625601.  Sometimes written as Ḥudaybiya and Ḥudaybíyya.</w:t>
      </w:r>
    </w:p>
    <w:p w14:paraId="26D0EF1B" w14:textId="77777777" w:rsidR="00625A5B" w:rsidRPr="008F03E5" w:rsidRDefault="00625A5B" w:rsidP="00652101">
      <w:pPr>
        <w:pStyle w:val="Translit"/>
      </w:pPr>
      <w:r w:rsidRPr="008F03E5">
        <w:t>Huduri</w:t>
      </w:r>
      <w:r w:rsidRPr="008F03E5">
        <w:tab/>
        <w:t>Ḥuḍúrí</w:t>
      </w:r>
      <w:r w:rsidRPr="008F03E5">
        <w:tab/>
        <w:t>ḥuḍúrí (presence of) aḥkám (judgements)—judgements delivered in the presence of the litigant parties after oral proceedings.  Imám’s knowledge is inspired since it is obtained “in the presence of” (</w:t>
      </w:r>
      <w:r w:rsidRPr="008F03E5">
        <w:rPr>
          <w:lang w:eastAsia="en-US"/>
        </w:rPr>
        <w:t>ḥuḍúrí</w:t>
      </w:r>
      <w:r w:rsidRPr="008F03E5">
        <w:t>) God.</w:t>
      </w:r>
    </w:p>
    <w:p w14:paraId="38719A3A" w14:textId="77777777" w:rsidR="00625A5B" w:rsidRPr="008F03E5" w:rsidRDefault="00625A5B" w:rsidP="001010BD">
      <w:pPr>
        <w:pStyle w:val="Translit"/>
      </w:pPr>
      <w:r w:rsidRPr="008F03E5">
        <w:t>Huduth</w:t>
      </w:r>
      <w:r w:rsidRPr="008F03E5">
        <w:tab/>
        <w:t>Ḥudú</w:t>
      </w:r>
      <w:r w:rsidRPr="008F03E5">
        <w:rPr>
          <w:u w:val="single"/>
        </w:rPr>
        <w:t>th</w:t>
      </w:r>
      <w:r w:rsidRPr="008F03E5">
        <w:tab/>
        <w:t>setting in (of a state or condition), occurrence, incidence (of a phenomenon); occurrence, incident, happening; a</w:t>
      </w:r>
      <w:r w:rsidRPr="008F03E5">
        <w:rPr>
          <w:rFonts w:eastAsia="Times New Roman"/>
        </w:rPr>
        <w:t>ppearing; being new, fresh, young; novelty, originality, invention (creation)</w:t>
      </w:r>
      <w:r w:rsidRPr="008F03E5">
        <w:t>.  “originated nature”—contrast with Imkán (</w:t>
      </w:r>
      <w:r w:rsidRPr="008F03E5">
        <w:rPr>
          <w:i/>
          <w:iCs/>
        </w:rPr>
        <w:t>Gate of the heart</w:t>
      </w:r>
      <w:r w:rsidRPr="008F03E5">
        <w:t>, p. 189)</w:t>
      </w:r>
    </w:p>
    <w:p w14:paraId="79367E7B" w14:textId="77777777" w:rsidR="00625A5B" w:rsidRPr="008F03E5" w:rsidRDefault="00625A5B" w:rsidP="00647B35">
      <w:pPr>
        <w:pStyle w:val="Translit"/>
      </w:pPr>
      <w:r w:rsidRPr="008F03E5">
        <w:t>Hujaja’l Bahiya</w:t>
      </w:r>
      <w:r w:rsidRPr="008F03E5">
        <w:tab/>
      </w:r>
      <w:r>
        <w:t>al-</w:t>
      </w:r>
      <w:r w:rsidRPr="008F03E5">
        <w:t>Ḥújaja’l-Bahíya</w:t>
      </w:r>
      <w:r w:rsidRPr="008F03E5">
        <w:tab/>
        <w:t xml:space="preserve">(Pers. </w:t>
      </w:r>
      <w:r>
        <w:t>al-</w:t>
      </w:r>
      <w:r w:rsidRPr="008F03E5">
        <w:t>Ḥújaja’l-Bah</w:t>
      </w:r>
      <w:r>
        <w:t>i</w:t>
      </w:r>
      <w:r w:rsidRPr="008F03E5">
        <w:t>yyih) beautiful proofs</w:t>
      </w:r>
      <w:r>
        <w:t>,</w:t>
      </w:r>
      <w:r w:rsidRPr="008F03E5">
        <w:t xml:space="preserve"> translated as </w:t>
      </w:r>
      <w:r w:rsidRPr="008F03E5">
        <w:rPr>
          <w:i/>
          <w:iCs/>
        </w:rPr>
        <w:t>The Bahá’í Proofs</w:t>
      </w:r>
      <w:r>
        <w:rPr>
          <w:i/>
          <w:iCs/>
        </w:rPr>
        <w:t>,</w:t>
      </w:r>
      <w:r w:rsidRPr="008F03E5">
        <w:t xml:space="preserve"> by Mírzá Abu’l-Faḍl</w:t>
      </w:r>
    </w:p>
    <w:p w14:paraId="3A9F259A" w14:textId="77777777" w:rsidR="00625A5B" w:rsidRPr="008F03E5" w:rsidRDefault="00625A5B" w:rsidP="00505A06">
      <w:pPr>
        <w:pStyle w:val="Translit"/>
      </w:pPr>
      <w:r w:rsidRPr="008F03E5">
        <w:t>Hujja ala al-kull</w:t>
      </w:r>
      <w:r w:rsidRPr="008F03E5">
        <w:tab/>
        <w:t>Ḥujja alá al-kull</w:t>
      </w:r>
      <w:r w:rsidRPr="008F03E5">
        <w:tab/>
        <w:t>“proof for all”.  The Báb’s praise for Qurratu’l-‘Ayn</w:t>
      </w:r>
    </w:p>
    <w:p w14:paraId="06725499" w14:textId="77777777" w:rsidR="00625A5B" w:rsidRPr="008F03E5" w:rsidRDefault="00625A5B" w:rsidP="00284600">
      <w:pPr>
        <w:pStyle w:val="Translit"/>
      </w:pPr>
      <w:r w:rsidRPr="008F03E5">
        <w:t>Hujja, Hujaj</w:t>
      </w:r>
      <w:r w:rsidRPr="008F03E5">
        <w:tab/>
        <w:t>Ḥujja[h or t], pl. Ḥújaj</w:t>
      </w:r>
      <w:r w:rsidRPr="008F03E5">
        <w:tab/>
        <w:t xml:space="preserve">argument; pretense, pretext, plea; proof, evidence; document, writ, deed, record; authority.  A term used in </w:t>
      </w:r>
      <w:r w:rsidRPr="008F03E5">
        <w:rPr>
          <w:u w:val="single"/>
        </w:rPr>
        <w:t>Sh</w:t>
      </w:r>
      <w:r w:rsidRPr="008F03E5">
        <w:t xml:space="preserve">í‘í terminology meaning “proof [implied:  proof of God]”.  It is usually used to refer to a single individual in any given human era who represents God’s “proof” to humanity.  The ḥujja is a prophet or an Imám who possess a relationship with God that is greater than anyone else.  “Ḥujahs” in </w:t>
      </w:r>
      <w:r w:rsidRPr="008F03E5">
        <w:rPr>
          <w:i/>
          <w:iCs/>
        </w:rPr>
        <w:t>The Promised Day is Come</w:t>
      </w:r>
      <w:r w:rsidRPr="008F03E5">
        <w:t>, p. 97 should be Ḥújaj.</w:t>
      </w:r>
    </w:p>
    <w:p w14:paraId="6B242847" w14:textId="77777777" w:rsidR="00625A5B" w:rsidRPr="008F03E5" w:rsidRDefault="00625A5B" w:rsidP="00566693">
      <w:pPr>
        <w:pStyle w:val="Translit"/>
        <w:rPr>
          <w:rFonts w:eastAsia="PMingLiU"/>
          <w:lang w:eastAsia="zh-TW"/>
        </w:rPr>
      </w:pPr>
      <w:r w:rsidRPr="008F03E5">
        <w:t>Hujjat’u’llah</w:t>
      </w:r>
      <w:r w:rsidRPr="008F03E5">
        <w:tab/>
        <w:t>Ḥujjat’u’lláh</w:t>
      </w:r>
      <w:r w:rsidRPr="008F03E5">
        <w:tab/>
        <w:t>the proof of God.  The last Imám is known as the Proof of God.  Title given to an aspiring mujtahid.</w:t>
      </w:r>
    </w:p>
    <w:p w14:paraId="652A1C8F" w14:textId="77777777" w:rsidR="00625A5B" w:rsidRPr="008F03E5" w:rsidRDefault="00625A5B" w:rsidP="00566693">
      <w:pPr>
        <w:pStyle w:val="Translit"/>
        <w:rPr>
          <w:rFonts w:eastAsia="PMingLiU"/>
          <w:lang w:eastAsia="zh-TW"/>
        </w:rPr>
      </w:pPr>
      <w:r w:rsidRPr="008F03E5">
        <w:t>Hujjatiya (Hojjatieh)</w:t>
      </w:r>
      <w:r w:rsidRPr="008F03E5">
        <w:tab/>
        <w:t>Ḥujjatíya[h]</w:t>
      </w:r>
      <w:r w:rsidRPr="008F03E5">
        <w:tab/>
        <w:t xml:space="preserve">Ḥujjatíyya Society, Iran, was started by </w:t>
      </w:r>
      <w:r w:rsidRPr="008F03E5">
        <w:rPr>
          <w:u w:val="single"/>
        </w:rPr>
        <w:t>Sh</w:t>
      </w:r>
      <w:r w:rsidRPr="008F03E5">
        <w:t>ay</w:t>
      </w:r>
      <w:r w:rsidRPr="008F03E5">
        <w:rPr>
          <w:u w:val="single"/>
        </w:rPr>
        <w:t>kh</w:t>
      </w:r>
      <w:r w:rsidRPr="008F03E5">
        <w:t xml:space="preserve"> Maḥmúd Ḥalabí to persecute and harass the Bahá’ís.  Ánjuman </w:t>
      </w:r>
      <w:r w:rsidRPr="008F03E5">
        <w:rPr>
          <w:u w:val="single"/>
        </w:rPr>
        <w:t>Kh</w:t>
      </w:r>
      <w:r w:rsidRPr="008F03E5">
        <w:t>ayríya Ḥujjatíyah Mahdíyah (“Charitable Society of Allah’s Proof Over Creation”).  The Hojjatieh Society (1953–1983), Iran, was a traditionalist Iranian Shi’a lay religious organization that promoted orthodoxy through non-violent evangelism.  Both groups aimed to counter the proofs offered by the Bahá’í Faith.</w:t>
      </w:r>
    </w:p>
    <w:p w14:paraId="1B968207" w14:textId="77777777" w:rsidR="00625A5B" w:rsidRPr="008F03E5" w:rsidRDefault="00625A5B" w:rsidP="00566693">
      <w:pPr>
        <w:pStyle w:val="Translit"/>
        <w:rPr>
          <w:rFonts w:eastAsia="PMingLiU"/>
          <w:lang w:eastAsia="zh-TW"/>
        </w:rPr>
      </w:pPr>
      <w:r w:rsidRPr="008F03E5">
        <w:rPr>
          <w:rFonts w:eastAsia="PMingLiU"/>
          <w:lang w:eastAsia="zh-TW"/>
        </w:rPr>
        <w:t>Hujjatu’l-Islam</w:t>
      </w:r>
      <w:r w:rsidRPr="008F03E5">
        <w:tab/>
        <w:t>Ḥ</w:t>
      </w:r>
      <w:r w:rsidRPr="008F03E5">
        <w:rPr>
          <w:rFonts w:eastAsia="PMingLiU"/>
          <w:lang w:eastAsia="zh-TW"/>
        </w:rPr>
        <w:t>ujjatu’l-Islám</w:t>
      </w:r>
      <w:r w:rsidRPr="008F03E5">
        <w:tab/>
        <w:t>Proof of Islám.  Mullá Muḥammad-‘Alí of Zanján was called Ḥujjatu’l-Islám.  The Báb called him Ḥujjatu’l-Zanjání.</w:t>
      </w:r>
    </w:p>
    <w:p w14:paraId="7807057B" w14:textId="77777777" w:rsidR="00625A5B" w:rsidRPr="008F03E5" w:rsidRDefault="00625A5B" w:rsidP="00566693">
      <w:pPr>
        <w:pStyle w:val="Translit"/>
        <w:rPr>
          <w:rFonts w:eastAsia="PMingLiU"/>
          <w:lang w:eastAsia="zh-TW"/>
        </w:rPr>
      </w:pPr>
      <w:r w:rsidRPr="008F03E5">
        <w:rPr>
          <w:rFonts w:eastAsia="PMingLiU"/>
          <w:lang w:eastAsia="zh-TW"/>
        </w:rPr>
        <w:t>Hujr, Hajara, Hijr, Hujr, Hijran, Hujran</w:t>
      </w:r>
      <w:r w:rsidRPr="008F03E5">
        <w:tab/>
        <w:t>Ḥ</w:t>
      </w:r>
      <w:r w:rsidRPr="008F03E5">
        <w:rPr>
          <w:rFonts w:eastAsia="PMingLiU"/>
          <w:lang w:eastAsia="zh-TW"/>
        </w:rPr>
        <w:t xml:space="preserve">ujr, </w:t>
      </w:r>
      <w:r w:rsidRPr="008F03E5">
        <w:t>Ḥ</w:t>
      </w:r>
      <w:r w:rsidRPr="008F03E5">
        <w:rPr>
          <w:rFonts w:eastAsia="PMingLiU"/>
          <w:lang w:eastAsia="zh-TW"/>
        </w:rPr>
        <w:t>ajara</w:t>
      </w:r>
      <w:r w:rsidRPr="008F03E5">
        <w:rPr>
          <w:rFonts w:eastAsia="PMingLiU"/>
          <w:lang w:eastAsia="zh-TW"/>
        </w:rPr>
        <w:tab/>
        <w:t>to deny access (</w:t>
      </w:r>
      <w:r w:rsidRPr="008F03E5">
        <w:t>Ḥ</w:t>
      </w:r>
      <w:r w:rsidRPr="008F03E5">
        <w:rPr>
          <w:rFonts w:eastAsia="PMingLiU"/>
          <w:lang w:eastAsia="zh-TW"/>
        </w:rPr>
        <w:t xml:space="preserve">ajr, </w:t>
      </w:r>
      <w:r w:rsidRPr="008F03E5">
        <w:t>Ḥ</w:t>
      </w:r>
      <w:r w:rsidRPr="008F03E5">
        <w:rPr>
          <w:rFonts w:eastAsia="PMingLiU"/>
          <w:lang w:eastAsia="zh-TW"/>
        </w:rPr>
        <w:t xml:space="preserve">ijr, </w:t>
      </w:r>
      <w:r w:rsidRPr="008F03E5">
        <w:t>Ḥ</w:t>
      </w:r>
      <w:r w:rsidRPr="008F03E5">
        <w:rPr>
          <w:rFonts w:eastAsia="PMingLiU"/>
          <w:lang w:eastAsia="zh-TW"/>
        </w:rPr>
        <w:t xml:space="preserve">ujr, </w:t>
      </w:r>
      <w:r w:rsidRPr="008F03E5">
        <w:t>Ḥ</w:t>
      </w:r>
      <w:r w:rsidRPr="008F03E5">
        <w:rPr>
          <w:rFonts w:eastAsia="PMingLiU"/>
          <w:lang w:eastAsia="zh-TW"/>
        </w:rPr>
        <w:t>ijr</w:t>
      </w:r>
      <w:r w:rsidRPr="008F03E5">
        <w:t>á</w:t>
      </w:r>
      <w:r w:rsidRPr="008F03E5">
        <w:rPr>
          <w:rFonts w:eastAsia="PMingLiU"/>
          <w:lang w:eastAsia="zh-TW"/>
        </w:rPr>
        <w:t xml:space="preserve">n, </w:t>
      </w:r>
      <w:r w:rsidRPr="008F03E5">
        <w:t>Ḥ</w:t>
      </w:r>
      <w:r w:rsidRPr="008F03E5">
        <w:rPr>
          <w:rFonts w:eastAsia="PMingLiU"/>
          <w:lang w:eastAsia="zh-TW"/>
        </w:rPr>
        <w:t>ujr</w:t>
      </w:r>
      <w:r w:rsidRPr="008F03E5">
        <w:t>á</w:t>
      </w:r>
      <w:r w:rsidRPr="008F03E5">
        <w:rPr>
          <w:rFonts w:eastAsia="PMingLiU"/>
          <w:lang w:eastAsia="zh-TW"/>
        </w:rPr>
        <w:t>n)</w:t>
      </w:r>
    </w:p>
    <w:p w14:paraId="406A2FB4" w14:textId="77777777" w:rsidR="00625A5B" w:rsidRPr="008F03E5" w:rsidRDefault="00625A5B" w:rsidP="00566693">
      <w:pPr>
        <w:pStyle w:val="Translit"/>
      </w:pPr>
      <w:r w:rsidRPr="008F03E5">
        <w:t>Hujra, Hujarat, Hujar</w:t>
      </w:r>
      <w:r w:rsidRPr="008F03E5">
        <w:tab/>
        <w:t>Ḥujra, pl. Ḥujarát, Ḥujar</w:t>
      </w:r>
      <w:r w:rsidRPr="008F03E5">
        <w:tab/>
        <w:t>Ar. room; cell; (railroad) compartment; chamber</w:t>
      </w:r>
    </w:p>
    <w:p w14:paraId="44B4D525" w14:textId="77777777" w:rsidR="00625A5B" w:rsidRPr="008F03E5" w:rsidRDefault="00625A5B" w:rsidP="00566693">
      <w:pPr>
        <w:pStyle w:val="Translit"/>
      </w:pPr>
      <w:r w:rsidRPr="008F03E5">
        <w:t>Hujrat (Hujrih), Hujra, Hujarat</w:t>
      </w:r>
      <w:r w:rsidRPr="008F03E5">
        <w:tab/>
        <w:t>Ḥujrat, Ḥujra, pl. Ḥujarát</w:t>
      </w:r>
      <w:r w:rsidRPr="008F03E5">
        <w:tab/>
        <w:t>Pers. a chamber, closet, cell; a box in a theatre, circus</w:t>
      </w:r>
    </w:p>
    <w:p w14:paraId="6861D497" w14:textId="77777777" w:rsidR="00625A5B" w:rsidRDefault="00625A5B" w:rsidP="00EF00B5">
      <w:pPr>
        <w:pStyle w:val="Translit"/>
      </w:pPr>
      <w:r>
        <w:t>Hujwiri</w:t>
      </w:r>
      <w:r>
        <w:tab/>
        <w:t>al-</w:t>
      </w:r>
      <w:r w:rsidRPr="00313919">
        <w:t>Hujw</w:t>
      </w:r>
      <w:r>
        <w:t>í</w:t>
      </w:r>
      <w:r w:rsidRPr="00313919">
        <w:t>r</w:t>
      </w:r>
      <w:r>
        <w:t>í</w:t>
      </w:r>
      <w:r>
        <w:tab/>
      </w:r>
      <w:r w:rsidRPr="00313919">
        <w:t>Ab</w:t>
      </w:r>
      <w:r>
        <w:t>u’</w:t>
      </w:r>
      <w:r w:rsidRPr="00313919">
        <w:t xml:space="preserve">l-Ḥasan </w:t>
      </w:r>
      <w:r>
        <w:t>‘</w:t>
      </w:r>
      <w:r w:rsidRPr="00313919">
        <w:t>Al</w:t>
      </w:r>
      <w:r>
        <w:t>í</w:t>
      </w:r>
      <w:r w:rsidRPr="00313919">
        <w:t xml:space="preserve"> b</w:t>
      </w:r>
      <w:r>
        <w:t>in</w:t>
      </w:r>
      <w:r w:rsidRPr="00313919">
        <w:t xml:space="preserve"> </w:t>
      </w:r>
      <w:r>
        <w:t>‘</w:t>
      </w:r>
      <w:r w:rsidRPr="00313919">
        <w:t>U</w:t>
      </w:r>
      <w:r w:rsidRPr="00313919">
        <w:rPr>
          <w:u w:val="single"/>
        </w:rPr>
        <w:t>th</w:t>
      </w:r>
      <w:r w:rsidRPr="00313919">
        <w:t>m</w:t>
      </w:r>
      <w:r>
        <w:t>á</w:t>
      </w:r>
      <w:r w:rsidRPr="00313919">
        <w:t>n b</w:t>
      </w:r>
      <w:r>
        <w:t>in</w:t>
      </w:r>
      <w:r w:rsidRPr="00313919">
        <w:t xml:space="preserve"> </w:t>
      </w:r>
      <w:r>
        <w:t>‘</w:t>
      </w:r>
      <w:r w:rsidRPr="00313919">
        <w:t>Al</w:t>
      </w:r>
      <w:r>
        <w:t>í</w:t>
      </w:r>
      <w:r w:rsidRPr="00313919">
        <w:t xml:space="preserve"> al-</w:t>
      </w:r>
      <w:r w:rsidRPr="00313919">
        <w:rPr>
          <w:u w:val="single"/>
        </w:rPr>
        <w:t>Gh</w:t>
      </w:r>
      <w:r w:rsidRPr="00313919">
        <w:t>aznaw</w:t>
      </w:r>
      <w:r>
        <w:t>í</w:t>
      </w:r>
      <w:r w:rsidRPr="00313919">
        <w:t xml:space="preserve"> al-Jull</w:t>
      </w:r>
      <w:r>
        <w:t>á</w:t>
      </w:r>
      <w:r w:rsidRPr="00313919">
        <w:t>bī al-Hujw</w:t>
      </w:r>
      <w:r>
        <w:t>í</w:t>
      </w:r>
      <w:r w:rsidRPr="00313919">
        <w:t>r</w:t>
      </w:r>
      <w:r>
        <w:t>í</w:t>
      </w:r>
      <w:r w:rsidRPr="00313919">
        <w:t xml:space="preserve"> (c. 1009</w:t>
      </w:r>
      <w:r>
        <w:t>–</w:t>
      </w:r>
      <w:r w:rsidRPr="00313919">
        <w:t xml:space="preserve">1072/77), known reverentially as </w:t>
      </w:r>
      <w:r w:rsidRPr="00313919">
        <w:rPr>
          <w:u w:val="single"/>
        </w:rPr>
        <w:t>Sh</w:t>
      </w:r>
      <w:r w:rsidRPr="00313919">
        <w:t>ay</w:t>
      </w:r>
      <w:r w:rsidRPr="00313919">
        <w:rPr>
          <w:u w:val="single"/>
        </w:rPr>
        <w:t>kh</w:t>
      </w:r>
      <w:r w:rsidRPr="00313919">
        <w:t xml:space="preserve"> Sayyid </w:t>
      </w:r>
      <w:r>
        <w:t>‘</w:t>
      </w:r>
      <w:r w:rsidRPr="00313919">
        <w:t>A</w:t>
      </w:r>
      <w:r>
        <w:t>lí</w:t>
      </w:r>
      <w:r w:rsidRPr="00313919">
        <w:t xml:space="preserve"> al-Hujw</w:t>
      </w:r>
      <w:r>
        <w:t>í</w:t>
      </w:r>
      <w:r w:rsidRPr="00313919">
        <w:t>r</w:t>
      </w:r>
      <w:r>
        <w:t>í</w:t>
      </w:r>
      <w:r w:rsidRPr="00313919">
        <w:t xml:space="preserve"> by Muslims of South Asia, was an 11th-century Sunn</w:t>
      </w:r>
      <w:r w:rsidRPr="00C27DF1">
        <w:t>í</w:t>
      </w:r>
      <w:r w:rsidRPr="00313919">
        <w:t xml:space="preserve"> Muslim mystic, theologian, and preacher from Ghaznavid Empire</w:t>
      </w:r>
      <w:r>
        <w:t>.</w:t>
      </w:r>
    </w:p>
    <w:p w14:paraId="0C259121" w14:textId="77777777" w:rsidR="00625A5B" w:rsidRPr="008F03E5" w:rsidRDefault="00625A5B" w:rsidP="00566693">
      <w:pPr>
        <w:pStyle w:val="Translit"/>
      </w:pPr>
      <w:r w:rsidRPr="008F03E5">
        <w:t>Hukm, Ahkam</w:t>
      </w:r>
      <w:r w:rsidRPr="008F03E5">
        <w:tab/>
        <w:t>Ḥukm, pl. Aḥkám</w:t>
      </w:r>
      <w:r w:rsidRPr="008F03E5">
        <w:tab/>
        <w:t>(logic) judgement, valuation, opinion; decision, (legal) judgement, verdict, sentence; condemnation, conviction; administration of justice; jurisdiction, legal consequence of the facts of a case (Islamic Law); regulation, rule, provision, order, ordinance, decree; judiciousness, wisdom, judgeship, command, authority, control, dominion, power; government, regime;—pl. statutes, by-laws, regulations, rules, provisions, stipulations, principles, precepts</w:t>
      </w:r>
    </w:p>
    <w:p w14:paraId="183D6486" w14:textId="77777777" w:rsidR="00625A5B" w:rsidRPr="008F03E5" w:rsidRDefault="00625A5B" w:rsidP="00566693">
      <w:pPr>
        <w:pStyle w:val="Translit"/>
      </w:pPr>
      <w:r w:rsidRPr="008F03E5">
        <w:t>Hukuma, Hukumat</w:t>
      </w:r>
      <w:r w:rsidRPr="008F03E5">
        <w:tab/>
        <w:t>Ḥukúma[t], pl. Ḥukúmát</w:t>
      </w:r>
      <w:r w:rsidRPr="008F03E5">
        <w:tab/>
        <w:t>government</w:t>
      </w:r>
    </w:p>
    <w:p w14:paraId="064631BD" w14:textId="77777777" w:rsidR="00625A5B" w:rsidRPr="008F03E5" w:rsidRDefault="00625A5B" w:rsidP="007878E8">
      <w:pPr>
        <w:pStyle w:val="Translit"/>
      </w:pPr>
      <w:r w:rsidRPr="008F03E5">
        <w:t>Hulayfa</w:t>
      </w:r>
      <w:r w:rsidRPr="008F03E5">
        <w:tab/>
        <w:t>Ḥulayfa[h]</w:t>
      </w:r>
      <w:r w:rsidRPr="008F03E5">
        <w:tab/>
        <w:t xml:space="preserve">a </w:t>
      </w:r>
      <w:r w:rsidRPr="008F03E5">
        <w:rPr>
          <w:rFonts w:eastAsia="Times New Roman"/>
        </w:rPr>
        <w:t xml:space="preserve">name of a medicinal seed.  </w:t>
      </w:r>
      <w:r w:rsidRPr="008F03E5">
        <w:rPr>
          <w:u w:val="single"/>
        </w:rPr>
        <w:t>Dh</w:t>
      </w:r>
      <w:r w:rsidRPr="008F03E5">
        <w:t xml:space="preserve">u’l-Ḥulayfah (now a suburb), 5 km </w:t>
      </w:r>
      <w:r w:rsidRPr="008F03E5">
        <w:rPr>
          <w:sz w:val="16"/>
          <w:szCs w:val="16"/>
        </w:rPr>
        <w:t>SW</w:t>
      </w:r>
      <w:r w:rsidRPr="008F03E5">
        <w:t xml:space="preserve"> of the centre of Medina one of several Mawáqí (places where the iḥrám is put on) for Muslims on pilgrimage to Mecca for ‘Umrah or Ḥajj.  Ritual established by Muḥammad in 628, when He and about sixteen hundred men set out on pilgrimage to Mecca.</w:t>
      </w:r>
    </w:p>
    <w:p w14:paraId="4DEED6F5" w14:textId="77777777" w:rsidR="00625A5B" w:rsidRPr="008F03E5" w:rsidRDefault="00625A5B" w:rsidP="007F0FB7">
      <w:pPr>
        <w:pStyle w:val="Translit"/>
      </w:pPr>
      <w:r w:rsidRPr="008F03E5">
        <w:t>Hulul</w:t>
      </w:r>
      <w:r w:rsidRPr="008F03E5">
        <w:tab/>
        <w:t>Ḥulúl</w:t>
      </w:r>
      <w:r w:rsidRPr="008F03E5">
        <w:tab/>
        <w:t>stopping, putting up, staying; descending, coming on, befalling, overtaking; incarnation; setting in, advent, arrival (of a time, of a deadline), beginning, dawn; substitution (for someone).  In the sense of incarnation:  the descent of God or the spirit of God into a person.</w:t>
      </w:r>
    </w:p>
    <w:p w14:paraId="5EB950CA" w14:textId="77777777" w:rsidR="00625A5B" w:rsidRPr="008F03E5" w:rsidRDefault="00625A5B" w:rsidP="00E64B38">
      <w:pPr>
        <w:pStyle w:val="Translit"/>
      </w:pPr>
      <w:r w:rsidRPr="008F03E5">
        <w:t>Huma (Homa)</w:t>
      </w:r>
      <w:r w:rsidRPr="008F03E5">
        <w:tab/>
        <w:t>Humá</w:t>
      </w:r>
      <w:r w:rsidRPr="008F03E5">
        <w:tab/>
        <w:t>Pers. a bird of Eastern fable, supposed to fly constantly in the air without touching the ground, and looked upon as a bird of happy omen, prognosticating a crown to every head it overshades; a bird of paradise, ph</w:t>
      </w:r>
      <w:r>
        <w:t>oe</w:t>
      </w:r>
      <w:r w:rsidRPr="008F03E5">
        <w:t>nix, large royal eagle, or pelican.  Fem. name.</w:t>
      </w:r>
    </w:p>
    <w:p w14:paraId="065D42C8" w14:textId="77777777" w:rsidR="00625A5B" w:rsidRPr="008F03E5" w:rsidRDefault="00625A5B" w:rsidP="00FD28F1">
      <w:pPr>
        <w:pStyle w:val="Translit"/>
      </w:pPr>
      <w:r w:rsidRPr="008F03E5">
        <w:t>Humay</w:t>
      </w:r>
      <w:r w:rsidRPr="008F03E5">
        <w:tab/>
        <w:t>Humáy</w:t>
      </w:r>
      <w:r w:rsidRPr="008F03E5">
        <w:tab/>
        <w:t xml:space="preserve">Pers. a queen of Persia, grandmother to Dáráb </w:t>
      </w:r>
      <w:r w:rsidRPr="008F03E5">
        <w:rPr>
          <w:sz w:val="16"/>
          <w:szCs w:val="16"/>
        </w:rPr>
        <w:t>II</w:t>
      </w:r>
      <w:r w:rsidRPr="008F03E5">
        <w:t>; name of a sister of Isfandyár; name of a daughter of Bahman; name of a daughter of the Emperor of Constantinople married to Bahrám Gúr; name of the lover of Humáyún; a standard bearing a figure of the bird humá.</w:t>
      </w:r>
    </w:p>
    <w:p w14:paraId="42D7ADA0" w14:textId="77777777" w:rsidR="00625A5B" w:rsidRPr="008F03E5" w:rsidRDefault="00625A5B" w:rsidP="00C65722">
      <w:pPr>
        <w:pStyle w:val="Translit"/>
      </w:pPr>
      <w:r w:rsidRPr="008F03E5">
        <w:t>Humayun</w:t>
      </w:r>
      <w:r w:rsidRPr="008F03E5">
        <w:tab/>
        <w:t>Humáyún</w:t>
      </w:r>
      <w:r w:rsidRPr="008F03E5">
        <w:tab/>
        <w:t>Pers. blessed, sacred, fortunate, august, royal, imperial; name of several kings; name of the mistress of Humáy</w:t>
      </w:r>
    </w:p>
    <w:p w14:paraId="672CAB17" w14:textId="77777777" w:rsidR="00625A5B" w:rsidRPr="008F03E5" w:rsidRDefault="00625A5B" w:rsidP="00F00D71">
      <w:pPr>
        <w:pStyle w:val="Translit"/>
      </w:pPr>
      <w:r w:rsidRPr="008F03E5">
        <w:t>Humaza</w:t>
      </w:r>
      <w:r w:rsidRPr="008F03E5">
        <w:tab/>
        <w:t>Humaza[h or t]</w:t>
      </w:r>
      <w:r w:rsidRPr="008F03E5">
        <w:tab/>
        <w:t>one who defames or reproaches (especially a person present)</w:t>
      </w:r>
    </w:p>
    <w:p w14:paraId="37AC74A3" w14:textId="77777777" w:rsidR="00625A5B" w:rsidRPr="008F03E5" w:rsidRDefault="00625A5B" w:rsidP="00F00D71">
      <w:pPr>
        <w:pStyle w:val="Translit"/>
      </w:pPr>
      <w:r w:rsidRPr="008F03E5">
        <w:t>Humazatun</w:t>
      </w:r>
      <w:r w:rsidRPr="008F03E5">
        <w:tab/>
        <w:t>Humazatun</w:t>
      </w:r>
      <w:r w:rsidRPr="008F03E5">
        <w:tab/>
        <w:t>one given to backbiting, defamer, slander-monger</w:t>
      </w:r>
    </w:p>
    <w:p w14:paraId="6E035E8A" w14:textId="77777777" w:rsidR="00625A5B" w:rsidRPr="008F03E5" w:rsidRDefault="00625A5B" w:rsidP="00ED3BB9">
      <w:pPr>
        <w:pStyle w:val="Translit"/>
      </w:pPr>
      <w:r>
        <w:t>Humma, H</w:t>
      </w:r>
      <w:r w:rsidRPr="00A920F6">
        <w:t>ummay</w:t>
      </w:r>
      <w:r>
        <w:t>a</w:t>
      </w:r>
      <w:r w:rsidRPr="00A920F6">
        <w:t>t</w:t>
      </w:r>
      <w:r>
        <w:tab/>
      </w:r>
      <w:r w:rsidRPr="008F03E5">
        <w:t>Ḥumma[h or t]</w:t>
      </w:r>
      <w:r>
        <w:t xml:space="preserve"> fem., </w:t>
      </w:r>
      <w:r w:rsidRPr="00A920F6">
        <w:t>Ḥummay</w:t>
      </w:r>
      <w:r>
        <w:t>á</w:t>
      </w:r>
      <w:r w:rsidRPr="00A920F6">
        <w:t>t</w:t>
      </w:r>
      <w:r>
        <w:tab/>
      </w:r>
      <w:r w:rsidRPr="008F03E5">
        <w:t>blackness, swarthiness, dark colouration; fever.</w:t>
      </w:r>
    </w:p>
    <w:p w14:paraId="124EBF5C" w14:textId="77777777" w:rsidR="00625A5B" w:rsidRPr="008F03E5" w:rsidRDefault="00625A5B" w:rsidP="003D070D">
      <w:pPr>
        <w:pStyle w:val="Translit"/>
        <w:rPr>
          <w:rFonts w:eastAsia="PMingLiU"/>
          <w:lang w:eastAsia="zh-TW"/>
        </w:rPr>
      </w:pPr>
      <w:r w:rsidRPr="008F03E5">
        <w:rPr>
          <w:rFonts w:eastAsia="PMingLiU"/>
          <w:lang w:eastAsia="zh-TW"/>
        </w:rPr>
        <w:t>Hums</w:t>
      </w:r>
      <w:r w:rsidRPr="008F03E5">
        <w:tab/>
        <w:t>Ḥ</w:t>
      </w:r>
      <w:r w:rsidRPr="008F03E5">
        <w:rPr>
          <w:rFonts w:eastAsia="PMingLiU"/>
          <w:lang w:eastAsia="zh-TW"/>
        </w:rPr>
        <w:t>um</w:t>
      </w:r>
      <w:r w:rsidRPr="008F03E5">
        <w:t>s</w:t>
      </w:r>
      <w:r w:rsidRPr="008F03E5">
        <w:tab/>
        <w:t>al-Ḥ</w:t>
      </w:r>
      <w:r w:rsidRPr="008F03E5">
        <w:rPr>
          <w:rFonts w:eastAsia="PMingLiU"/>
          <w:lang w:eastAsia="zh-TW"/>
        </w:rPr>
        <w:t>um</w:t>
      </w:r>
      <w:r w:rsidRPr="008F03E5">
        <w:t>s is the name traditionally given to the inhabitants of the ḥaram of Mecca at the time of Muḥammad’s appearance, in so far as they were distinguished by special customs during the iḥrám from the other tribes who were together known as al-Ḥilla.</w:t>
      </w:r>
    </w:p>
    <w:p w14:paraId="720FDD33" w14:textId="77777777" w:rsidR="00625A5B" w:rsidRPr="008F03E5" w:rsidRDefault="00625A5B" w:rsidP="00C254B0">
      <w:pPr>
        <w:pStyle w:val="Translit"/>
      </w:pPr>
      <w:r w:rsidRPr="008F03E5">
        <w:t>Hunar</w:t>
      </w:r>
      <w:r w:rsidRPr="008F03E5">
        <w:tab/>
        <w:t>Hunar</w:t>
      </w:r>
      <w:r w:rsidRPr="008F03E5">
        <w:tab/>
        <w:t>Pers. skill, science, knowledge, ingenuity, art, industry, excellence, virtue; profession; a bill of exchange</w:t>
      </w:r>
    </w:p>
    <w:p w14:paraId="65A5D0E1" w14:textId="77777777" w:rsidR="00625A5B" w:rsidRPr="008F03E5" w:rsidRDefault="00625A5B" w:rsidP="00273215">
      <w:pPr>
        <w:pStyle w:val="Translit"/>
        <w:rPr>
          <w:rFonts w:eastAsia="PMingLiU"/>
          <w:lang w:eastAsia="zh-TW"/>
        </w:rPr>
      </w:pPr>
      <w:r w:rsidRPr="008F03E5">
        <w:rPr>
          <w:rFonts w:eastAsia="PMingLiU"/>
          <w:lang w:eastAsia="zh-TW"/>
        </w:rPr>
        <w:t>Hunayn (Hunain)</w:t>
      </w:r>
      <w:r w:rsidRPr="008F03E5">
        <w:tab/>
        <w:t>Ḥ</w:t>
      </w:r>
      <w:r w:rsidRPr="008F03E5">
        <w:rPr>
          <w:rFonts w:eastAsia="PMingLiU"/>
          <w:lang w:eastAsia="zh-TW"/>
        </w:rPr>
        <w:t>unayn</w:t>
      </w:r>
      <w:r w:rsidRPr="008F03E5">
        <w:tab/>
        <w:t>Battle of Ḥunayn (Qur’án 9:25) in a valley (21.523122, 40.141720) between Mecca and the city of Ṭ</w:t>
      </w:r>
      <w:r w:rsidRPr="008F03E5">
        <w:rPr>
          <w:rFonts w:eastAsia="PMingLiU"/>
          <w:lang w:eastAsia="zh-TW"/>
        </w:rPr>
        <w:t>á’if to the east of Mecca</w:t>
      </w:r>
    </w:p>
    <w:p w14:paraId="254B4266" w14:textId="77777777" w:rsidR="00625A5B" w:rsidRPr="008F03E5" w:rsidRDefault="00625A5B" w:rsidP="00900A82">
      <w:pPr>
        <w:pStyle w:val="Translit"/>
      </w:pPr>
      <w:r w:rsidRPr="008F03E5">
        <w:t>Huquq</w:t>
      </w:r>
      <w:r w:rsidRPr="008F03E5">
        <w:tab/>
        <w:t>Ḥuqúq</w:t>
      </w:r>
      <w:r w:rsidRPr="008F03E5">
        <w:tab/>
        <w:t>rights</w:t>
      </w:r>
    </w:p>
    <w:p w14:paraId="533F03CB" w14:textId="77777777" w:rsidR="00625A5B" w:rsidRPr="008F03E5" w:rsidRDefault="00625A5B" w:rsidP="00A805FB">
      <w:pPr>
        <w:pStyle w:val="Translit"/>
      </w:pPr>
      <w:r w:rsidRPr="008F03E5">
        <w:t>Hurayra (Huraira), Hurayrih</w:t>
      </w:r>
      <w:r w:rsidRPr="008F03E5">
        <w:tab/>
        <w:t>Hurayra[h], Pers. also Hurayrih</w:t>
      </w:r>
      <w:r w:rsidRPr="008F03E5">
        <w:tab/>
        <w:t>a little cat or kitten.  Spelling variations of i or y, and endings of “ah” or “ih”.  Abú Hurayrih is a surname (“Father of the kitten”) given to ‘Abdu’r-Raḥmán bin Sa</w:t>
      </w:r>
      <w:r w:rsidRPr="008F03E5">
        <w:rPr>
          <w:u w:val="single"/>
        </w:rPr>
        <w:t>kh</w:t>
      </w:r>
      <w:r w:rsidRPr="008F03E5">
        <w:t>r Dawsí (a companion of Muḥammad, but there is uncertainty regarding his name) because he carried a kitten with him.  He is described as “the most prolific narrator (Sunní) of haḍí</w:t>
      </w:r>
      <w:r w:rsidRPr="008F03E5">
        <w:rPr>
          <w:u w:val="single"/>
        </w:rPr>
        <w:t>th</w:t>
      </w:r>
      <w:r w:rsidRPr="008F03E5">
        <w:t xml:space="preserve">”, but this and his reliability are questioned.  A village (33.669543, 36.120067) 24 km </w:t>
      </w:r>
      <w:r w:rsidRPr="008F03E5">
        <w:rPr>
          <w:sz w:val="16"/>
          <w:szCs w:val="16"/>
        </w:rPr>
        <w:t>NW</w:t>
      </w:r>
      <w:r w:rsidRPr="008F03E5">
        <w:t xml:space="preserve"> of central Damascus, Syria.</w:t>
      </w:r>
    </w:p>
    <w:p w14:paraId="33815A30" w14:textId="77777777" w:rsidR="00625A5B" w:rsidRPr="008F03E5" w:rsidRDefault="00625A5B" w:rsidP="00A33B63">
      <w:pPr>
        <w:pStyle w:val="Translit"/>
      </w:pPr>
      <w:r w:rsidRPr="008F03E5">
        <w:t>Hur-i-‘Ujab</w:t>
      </w:r>
      <w:r w:rsidRPr="008F03E5">
        <w:tab/>
        <w:t>Ḥúr-i-‘Ujáb</w:t>
      </w:r>
      <w:r w:rsidRPr="008F03E5">
        <w:tab/>
        <w:t>“The Wondrous Maiden” by Bahá’u’lláh</w:t>
      </w:r>
    </w:p>
    <w:p w14:paraId="046DBC4E" w14:textId="77777777" w:rsidR="00625A5B" w:rsidRPr="008F03E5" w:rsidRDefault="00625A5B" w:rsidP="001E5FAE">
      <w:pPr>
        <w:pStyle w:val="Translit"/>
      </w:pPr>
      <w:r w:rsidRPr="008F03E5">
        <w:t>Huriy, Huri, Hur (“Huris”), Huran</w:t>
      </w:r>
      <w:r w:rsidRPr="008F03E5">
        <w:tab/>
      </w:r>
      <w:r w:rsidRPr="008F03E5">
        <w:rPr>
          <w:rFonts w:eastAsia="Times New Roman"/>
        </w:rPr>
        <w:t>Ḥúr</w:t>
      </w:r>
      <w:r w:rsidRPr="008F03E5">
        <w:t>í</w:t>
      </w:r>
      <w:r w:rsidRPr="008F03E5">
        <w:rPr>
          <w:rFonts w:eastAsia="Times New Roman"/>
        </w:rPr>
        <w:t>y (Pers. Ḥúr</w:t>
      </w:r>
      <w:r w:rsidRPr="008F03E5">
        <w:t>í</w:t>
      </w:r>
      <w:r w:rsidRPr="008F03E5">
        <w:rPr>
          <w:rFonts w:eastAsia="Times New Roman"/>
        </w:rPr>
        <w:t xml:space="preserve">), pl. </w:t>
      </w:r>
      <w:r w:rsidRPr="008F03E5">
        <w:t>Ḥú</w:t>
      </w:r>
      <w:r w:rsidRPr="008F03E5">
        <w:rPr>
          <w:rFonts w:eastAsia="Times New Roman"/>
        </w:rPr>
        <w:t>r</w:t>
      </w:r>
      <w:r w:rsidRPr="008F03E5">
        <w:rPr>
          <w:rFonts w:eastAsia="Times New Roman"/>
        </w:rPr>
        <w:tab/>
        <w:t xml:space="preserve">Pers and Turkish short form for houri (“huri”).  Plural </w:t>
      </w:r>
      <w:r w:rsidRPr="008F03E5">
        <w:t>ḥú</w:t>
      </w:r>
      <w:r w:rsidRPr="008F03E5">
        <w:rPr>
          <w:rFonts w:eastAsia="Times New Roman"/>
        </w:rPr>
        <w:t xml:space="preserve">r also used as sing. with plural </w:t>
      </w:r>
      <w:r w:rsidRPr="008F03E5">
        <w:t>ḥú</w:t>
      </w:r>
      <w:r w:rsidRPr="008F03E5">
        <w:rPr>
          <w:rFonts w:eastAsia="Times New Roman"/>
        </w:rPr>
        <w:t>r</w:t>
      </w:r>
      <w:r w:rsidRPr="008F03E5">
        <w:t>á</w:t>
      </w:r>
      <w:r w:rsidRPr="008F03E5">
        <w:rPr>
          <w:rFonts w:eastAsia="Times New Roman"/>
        </w:rPr>
        <w:t xml:space="preserve">n.  See </w:t>
      </w:r>
      <w:r w:rsidRPr="008F03E5">
        <w:t>ḥúríya.</w:t>
      </w:r>
    </w:p>
    <w:p w14:paraId="00DDC026" w14:textId="77777777" w:rsidR="00625A5B" w:rsidRPr="008F03E5" w:rsidRDefault="00625A5B" w:rsidP="00A903D0">
      <w:pPr>
        <w:pStyle w:val="Translit"/>
      </w:pPr>
      <w:r w:rsidRPr="008F03E5">
        <w:t>Huriya, Huriyat, Hur</w:t>
      </w:r>
      <w:r w:rsidRPr="008F03E5">
        <w:tab/>
        <w:t>Ḥúríya[h or t] (fem.), pl. Ḥúríyát, Ḥúr</w:t>
      </w:r>
      <w:r w:rsidRPr="008F03E5">
        <w:tab/>
        <w:t>houri</w:t>
      </w:r>
      <w:r w:rsidRPr="008F03E5">
        <w:rPr>
          <w:rFonts w:eastAsia="Times New Roman"/>
        </w:rPr>
        <w:t xml:space="preserve"> (a beautriful young woman)</w:t>
      </w:r>
      <w:r w:rsidRPr="008F03E5">
        <w:t xml:space="preserve">, virgin of paradise; nymph; young locust.  </w:t>
      </w:r>
      <w:r w:rsidRPr="008F03E5">
        <w:rPr>
          <w:rFonts w:eastAsia="Times New Roman"/>
        </w:rPr>
        <w:t>A</w:t>
      </w:r>
      <w:r w:rsidRPr="008F03E5">
        <w:t xml:space="preserve">djective, literally, “white one”.  </w:t>
      </w:r>
      <w:r w:rsidRPr="008F03E5">
        <w:rPr>
          <w:rFonts w:eastAsia="Times New Roman"/>
        </w:rPr>
        <w:t xml:space="preserve">Assumed meaning attached to a number of verses in the Qur’án </w:t>
      </w:r>
      <w:r w:rsidRPr="008F03E5">
        <w:t>where “Companions” in Paradise, those with “with large and beautiful eyes” or biḥúrin (“fair ones (with) large eyes”) are mentioned.  “Most Great Spirit” symbolized by the “Maiden” (Bahá’u’lláh); formerly the “Sacred Fire” (Zoroastrian), “Burning Bush” (Mosaic), “Dove” (Christian) and “Angel Gabriel” (Islam).  See aḥwár.</w:t>
      </w:r>
    </w:p>
    <w:p w14:paraId="5621340A" w14:textId="77777777" w:rsidR="00625A5B" w:rsidRPr="008F03E5" w:rsidRDefault="00625A5B" w:rsidP="00362BC4">
      <w:pPr>
        <w:pStyle w:val="Translit"/>
      </w:pPr>
      <w:r w:rsidRPr="008F03E5">
        <w:t>Hurmuduk (Hurmuzak)</w:t>
      </w:r>
      <w:r w:rsidRPr="008F03E5">
        <w:tab/>
        <w:t>Húrmudúk</w:t>
      </w:r>
      <w:r w:rsidRPr="008F03E5">
        <w:tab/>
        <w:t xml:space="preserve">Hormodok, small village 55 km </w:t>
      </w:r>
      <w:r w:rsidRPr="008F03E5">
        <w:rPr>
          <w:sz w:val="16"/>
          <w:szCs w:val="16"/>
        </w:rPr>
        <w:t>SW</w:t>
      </w:r>
      <w:r w:rsidRPr="008F03E5">
        <w:t xml:space="preserve"> of Yazd.  5.5 km by road from the village of Sa</w:t>
      </w:r>
      <w:r w:rsidRPr="008F03E5">
        <w:rPr>
          <w:u w:val="single"/>
        </w:rPr>
        <w:t>kh</w:t>
      </w:r>
      <w:r w:rsidRPr="008F03E5">
        <w:t xml:space="preserve">víd (Sakhoid) (to the </w:t>
      </w:r>
      <w:r w:rsidRPr="008F03E5">
        <w:rPr>
          <w:sz w:val="16"/>
          <w:szCs w:val="16"/>
        </w:rPr>
        <w:t>NW</w:t>
      </w:r>
      <w:r w:rsidRPr="008F03E5">
        <w:t>)</w:t>
      </w:r>
    </w:p>
    <w:p w14:paraId="52D6535A" w14:textId="77777777" w:rsidR="00625A5B" w:rsidRPr="008F03E5" w:rsidRDefault="00625A5B" w:rsidP="00F547D3">
      <w:pPr>
        <w:pStyle w:val="Translit"/>
      </w:pPr>
      <w:r w:rsidRPr="008F03E5">
        <w:t>Hurmuz (Hormuz), Hurmuzd (Hormuzd)</w:t>
      </w:r>
      <w:r w:rsidRPr="008F03E5">
        <w:tab/>
        <w:t>Hurmúz, Hurmúzd</w:t>
      </w:r>
      <w:r w:rsidRPr="008F03E5">
        <w:tab/>
        <w:t>Pers. name of an angel; the first day of the solar month; the planet Jupiter; name of the grandson of Isfandíyár; Strait of Hurmúz (Tang-i-Hurmúz) between Iran and Oman</w:t>
      </w:r>
    </w:p>
    <w:p w14:paraId="03488255" w14:textId="77777777" w:rsidR="00625A5B" w:rsidRPr="008F03E5" w:rsidRDefault="00625A5B" w:rsidP="008714F1">
      <w:pPr>
        <w:pStyle w:val="Translit"/>
      </w:pPr>
      <w:r w:rsidRPr="008F03E5">
        <w:t>Hurmuzan (Hormuzan, Hormazdan)</w:t>
      </w:r>
      <w:r w:rsidRPr="008F03E5">
        <w:tab/>
        <w:t>Hurmuzán</w:t>
      </w:r>
      <w:r w:rsidRPr="008F03E5">
        <w:tab/>
        <w:t xml:space="preserve">was an Iranian aristocrat who served as the governor of Khuzestan, and was one of the Sasanian military officers at the Battle of al-Qádisiyyah.  He was later taken prisoner by the Muslims after the fall of </w:t>
      </w:r>
      <w:r w:rsidRPr="008F03E5">
        <w:rPr>
          <w:u w:val="single"/>
        </w:rPr>
        <w:t>Sh</w:t>
      </w:r>
      <w:r w:rsidRPr="008F03E5">
        <w:t>ú</w:t>
      </w:r>
      <w:r w:rsidRPr="008F03E5">
        <w:rPr>
          <w:u w:val="single"/>
        </w:rPr>
        <w:t>sh</w:t>
      </w:r>
      <w:r w:rsidRPr="008F03E5">
        <w:t>tar in 642.</w:t>
      </w:r>
    </w:p>
    <w:p w14:paraId="0FBCBA2B" w14:textId="77777777" w:rsidR="00625A5B" w:rsidRPr="008F03E5" w:rsidRDefault="00625A5B" w:rsidP="00647C97">
      <w:pPr>
        <w:pStyle w:val="Translit"/>
      </w:pPr>
      <w:r w:rsidRPr="008F03E5">
        <w:t>Hurqalya, Havarqalya</w:t>
      </w:r>
      <w:r w:rsidRPr="008F03E5">
        <w:tab/>
        <w:t>Húrqalyá, Havarqalyá (speculative Pers.)</w:t>
      </w:r>
      <w:r w:rsidRPr="008F03E5">
        <w:tab/>
        <w:t xml:space="preserve">intermediary world between the physical and spiritual worlds.  Everything in the physical world has its counterpart in the world of Húrqalyá.  Each individual human being has two bodies, one of which exists in the physical world and one in Húrqalyá.  The occulted but living twelfth Imám and the cities of Jábulsá and Jábulqá, where he is supposed to live, all exist in the realm of Húrqalyá.  </w:t>
      </w:r>
      <w:r w:rsidRPr="008F03E5">
        <w:rPr>
          <w:i/>
          <w:iCs/>
        </w:rPr>
        <w:t>Introduction to Shi‘i Islam</w:t>
      </w:r>
      <w:r w:rsidRPr="008F03E5">
        <w:t xml:space="preserve">, Moojan Momen, p. 227.  From Hebrew </w:t>
      </w:r>
      <w:r w:rsidRPr="008F03E5">
        <w:rPr>
          <w:rtl/>
          <w:lang w:bidi="he-IL"/>
        </w:rPr>
        <w:t>רָקִיעַ</w:t>
      </w:r>
      <w:r w:rsidRPr="008F03E5">
        <w:t xml:space="preserve"> (firmament, sky, ductile, heaven, expanse, canopy).</w:t>
      </w:r>
      <w:r w:rsidRPr="008F03E5">
        <w:rPr>
          <w:rStyle w:val="FootnoteReference"/>
        </w:rPr>
        <w:footnoteReference w:id="10"/>
      </w:r>
    </w:p>
    <w:p w14:paraId="563EBB72" w14:textId="77777777" w:rsidR="00625A5B" w:rsidRPr="008F03E5" w:rsidRDefault="00625A5B" w:rsidP="00607A3D">
      <w:pPr>
        <w:pStyle w:val="Translit"/>
      </w:pPr>
      <w:r w:rsidRPr="008F03E5">
        <w:t>Hurr, Ahrar, Hara’ir</w:t>
      </w:r>
      <w:r w:rsidRPr="008F03E5">
        <w:tab/>
        <w:t>Ḥurr, pl. m. Aḥrár, f. Ḥará’ir</w:t>
      </w:r>
      <w:r w:rsidRPr="008F03E5">
        <w:tab/>
        <w:t>noble, free-born; genuine (jewels, etc.), pure, unadulterated; free; living in freedom; freeman; independent; free unrestrained; liberal.  al-Ḥurr ibn Yazíd bin an-Nájiyah at-Tamímí al-Yarbú‘í ar-Riyáḥí was the general of the Umayyad army dispatched from Kúfa, ‘Iráq to intercept al-Ḥusayn ibn ‘Alí ibn Abú Ṭálib.</w:t>
      </w:r>
    </w:p>
    <w:p w14:paraId="3FA9DB42" w14:textId="77777777" w:rsidR="00625A5B" w:rsidRPr="00077779" w:rsidRDefault="00625A5B" w:rsidP="00B04BC5">
      <w:pPr>
        <w:pStyle w:val="Translit"/>
        <w:rPr>
          <w:lang w:val="es-ES_tradnl"/>
        </w:rPr>
      </w:pPr>
      <w:r w:rsidRPr="00077779">
        <w:rPr>
          <w:lang w:val="es-ES_tradnl"/>
        </w:rPr>
        <w:t>Hurriya al-‘Ibada</w:t>
      </w:r>
      <w:r w:rsidRPr="00077779">
        <w:rPr>
          <w:lang w:val="es-ES_tradnl"/>
        </w:rPr>
        <w:tab/>
        <w:t>Ḥurriya al-‘Ibada</w:t>
      </w:r>
      <w:r w:rsidRPr="00077779">
        <w:rPr>
          <w:lang w:val="es-ES_tradnl"/>
        </w:rPr>
        <w:tab/>
        <w:t>freedom of worship</w:t>
      </w:r>
    </w:p>
    <w:p w14:paraId="724D3A75" w14:textId="77777777" w:rsidR="00625A5B" w:rsidRPr="008F03E5" w:rsidRDefault="00625A5B" w:rsidP="00B04BC5">
      <w:pPr>
        <w:pStyle w:val="Translit"/>
      </w:pPr>
      <w:r w:rsidRPr="008F03E5">
        <w:t>Hurriya al-Fikr</w:t>
      </w:r>
      <w:r w:rsidRPr="008F03E5">
        <w:tab/>
        <w:t>Ḥurriya al-Fikr</w:t>
      </w:r>
      <w:r w:rsidRPr="008F03E5">
        <w:tab/>
        <w:t>freedom of thought</w:t>
      </w:r>
    </w:p>
    <w:p w14:paraId="17C87F49" w14:textId="77777777" w:rsidR="00625A5B" w:rsidRPr="008F03E5" w:rsidRDefault="00625A5B" w:rsidP="00B04BC5">
      <w:pPr>
        <w:pStyle w:val="Translit"/>
      </w:pPr>
      <w:r w:rsidRPr="008F03E5">
        <w:t>Hurriya al-Kalam</w:t>
      </w:r>
      <w:r w:rsidRPr="008F03E5">
        <w:tab/>
        <w:t>Ḥurriya al-Kalam</w:t>
      </w:r>
      <w:r w:rsidRPr="008F03E5">
        <w:tab/>
        <w:t>freedom of speech</w:t>
      </w:r>
    </w:p>
    <w:p w14:paraId="01C7D2D7" w14:textId="77777777" w:rsidR="00625A5B" w:rsidRPr="008F03E5" w:rsidRDefault="00625A5B" w:rsidP="00573560">
      <w:pPr>
        <w:pStyle w:val="Translit"/>
      </w:pPr>
      <w:r w:rsidRPr="008F03E5">
        <w:t>Hurriya an-Naṣr</w:t>
      </w:r>
      <w:r w:rsidRPr="008F03E5">
        <w:tab/>
        <w:t>Ḥurriya an-Naṣr</w:t>
      </w:r>
      <w:r w:rsidRPr="008F03E5">
        <w:tab/>
        <w:t>liberty of the press</w:t>
      </w:r>
    </w:p>
    <w:p w14:paraId="69F021DF" w14:textId="77777777" w:rsidR="00625A5B" w:rsidRPr="008F03E5" w:rsidRDefault="00625A5B" w:rsidP="007D3637">
      <w:pPr>
        <w:pStyle w:val="Translit"/>
      </w:pPr>
      <w:r w:rsidRPr="008F03E5">
        <w:t>Hurriya, Huriyat</w:t>
      </w:r>
      <w:r w:rsidRPr="008F03E5">
        <w:tab/>
        <w:t>Ḥurriya, Pers. Ḥurriyyah, pl. Ḥurriyát</w:t>
      </w:r>
      <w:r w:rsidRPr="008F03E5">
        <w:tab/>
        <w:t>freedom, liberty; independence, unrestraint, licence (e.g., poetic)</w:t>
      </w:r>
    </w:p>
    <w:p w14:paraId="3C5068D1" w14:textId="77777777" w:rsidR="00625A5B" w:rsidRPr="008F03E5" w:rsidRDefault="00625A5B" w:rsidP="004862C7">
      <w:pPr>
        <w:pStyle w:val="Translit"/>
      </w:pPr>
      <w:r w:rsidRPr="008F03E5">
        <w:t>Huruf al-Hayy, Huruf-i-Hayy</w:t>
      </w:r>
      <w:r w:rsidRPr="008F03E5">
        <w:tab/>
        <w:t>Ḥurúf al-Ḥayy, Pers. Ḥurúf-i-Ḥayy</w:t>
      </w:r>
      <w:r w:rsidRPr="008F03E5">
        <w:tab/>
        <w:t xml:space="preserve">Letters of the Living.  Supposedly 18 in Islam:  Muḥammad, Fáṭimah, 12 Imams, and 4 gates.  </w:t>
      </w:r>
      <w:r>
        <w:t xml:space="preserve">The </w:t>
      </w:r>
      <w:r w:rsidRPr="008F03E5">
        <w:t>18 Bábí</w:t>
      </w:r>
      <w:r>
        <w:t xml:space="preserve"> “Letters of the Living”</w:t>
      </w:r>
      <w:r w:rsidRPr="008F03E5">
        <w:t xml:space="preserve"> (see the table towards the end of this document), </w:t>
      </w:r>
      <w:r>
        <w:t xml:space="preserve">were </w:t>
      </w:r>
      <w:r w:rsidRPr="008F03E5">
        <w:t>the “first Letters generated from the Primal Point” (the Báb</w:t>
      </w:r>
      <w:r>
        <w:t>, who is not a “Letter of the Living”</w:t>
      </w:r>
      <w:r w:rsidRPr="008F03E5">
        <w:t xml:space="preserve">).  The abjad value of Ḥayy is 18, hence Ḥurúf al-Ḥayy refers to the number 18.  </w:t>
      </w:r>
      <w:r>
        <w:t>See Muḥammad Afn</w:t>
      </w:r>
      <w:r w:rsidRPr="00006F13">
        <w:t>á</w:t>
      </w:r>
      <w:r>
        <w:t>n, “</w:t>
      </w:r>
      <w:r w:rsidRPr="0085401C">
        <w:t>Number of the Letters of the Living</w:t>
      </w:r>
      <w:r>
        <w:t xml:space="preserve">”. </w:t>
      </w:r>
      <w:r w:rsidRPr="0085401C">
        <w:t xml:space="preserve"> </w:t>
      </w:r>
      <w:r w:rsidRPr="0085401C">
        <w:rPr>
          <w:i/>
          <w:iCs/>
        </w:rPr>
        <w:t>Lights of Irf</w:t>
      </w:r>
      <w:r w:rsidRPr="0081098E">
        <w:rPr>
          <w:i/>
          <w:iCs/>
        </w:rPr>
        <w:t>á</w:t>
      </w:r>
      <w:r w:rsidRPr="0085401C">
        <w:rPr>
          <w:i/>
          <w:iCs/>
        </w:rPr>
        <w:t>n</w:t>
      </w:r>
      <w:r w:rsidRPr="0085401C">
        <w:t>, Vol</w:t>
      </w:r>
      <w:r>
        <w:t>.</w:t>
      </w:r>
      <w:r w:rsidRPr="0085401C">
        <w:t xml:space="preserve"> 5, p</w:t>
      </w:r>
      <w:r>
        <w:t>.</w:t>
      </w:r>
      <w:r w:rsidRPr="0085401C">
        <w:t xml:space="preserve"> 217</w:t>
      </w:r>
      <w:r>
        <w:t xml:space="preserve">.  </w:t>
      </w:r>
      <w:r w:rsidRPr="0085401C">
        <w:t>https://bahai-library.com/afnan_number_letters_living</w:t>
      </w:r>
      <w:r>
        <w:t xml:space="preserve">. </w:t>
      </w:r>
      <w:r w:rsidRPr="008F03E5">
        <w:t xml:space="preserve"> See Ḥarf and Sábiq</w:t>
      </w:r>
      <w:r>
        <w:t>.</w:t>
      </w:r>
    </w:p>
    <w:p w14:paraId="73D1ED9E" w14:textId="77777777" w:rsidR="00625A5B" w:rsidRPr="008F03E5" w:rsidRDefault="00625A5B" w:rsidP="00092C5B">
      <w:pPr>
        <w:pStyle w:val="Translit"/>
        <w:rPr>
          <w:rFonts w:eastAsia="PMingLiU"/>
          <w:lang w:eastAsia="zh-TW"/>
        </w:rPr>
      </w:pPr>
      <w:r w:rsidRPr="008F03E5">
        <w:t>Huruf Muqatta’at</w:t>
      </w:r>
      <w:r w:rsidRPr="008F03E5">
        <w:tab/>
        <w:t>Ḥurúf Muqaṭṭa‘át (or just Muqaṭṭa‘át)</w:t>
      </w:r>
      <w:r w:rsidRPr="008F03E5">
        <w:tab/>
        <w:t xml:space="preserve">“disjoined letters”, “disconnected letters”, and also “mysterious letters” are combinations of one to five Arabic letters following the Bismi’lláh at the beginning of 29 suras of the Qur’án.  The Arabic text of the Qur’án is written with full diacritical marks.  However, the disconnected letters are written together </w:t>
      </w:r>
      <w:r w:rsidRPr="008F03E5">
        <w:rPr>
          <w:i/>
          <w:iCs/>
        </w:rPr>
        <w:t>without</w:t>
      </w:r>
      <w:r w:rsidRPr="008F03E5">
        <w:t xml:space="preserve"> diacritical marks and are pronounced </w:t>
      </w:r>
      <w:r w:rsidRPr="008F03E5">
        <w:rPr>
          <w:i/>
          <w:iCs/>
        </w:rPr>
        <w:t>individually</w:t>
      </w:r>
      <w:r w:rsidRPr="008F03E5">
        <w:t xml:space="preserve">.  The letters are also known as fawátiḥ or “openers” as they form the opening verse of their respective suras.  Four suras are named for their muqaṭṭa‘át:  Ṭá’ Há’, Yá-Sín, Ṣád and Qáf.  See </w:t>
      </w:r>
      <w:r w:rsidRPr="008F03E5">
        <w:rPr>
          <w:rFonts w:eastAsia="PMingLiU"/>
          <w:lang w:eastAsia="zh-TW"/>
        </w:rPr>
        <w:t xml:space="preserve">Muqaṭṭa‘ and </w:t>
      </w:r>
      <w:r w:rsidRPr="008F03E5">
        <w:t>Fátiḥa.</w:t>
      </w:r>
    </w:p>
    <w:p w14:paraId="5795C27B" w14:textId="77777777" w:rsidR="00625A5B" w:rsidRPr="008F03E5" w:rsidRDefault="00625A5B" w:rsidP="00141715">
      <w:pPr>
        <w:pStyle w:val="Translit"/>
      </w:pPr>
      <w:r w:rsidRPr="008F03E5">
        <w:rPr>
          <w:rFonts w:eastAsia="Times New Roman"/>
        </w:rPr>
        <w:t>Huruf Qamariya</w:t>
      </w:r>
      <w:r w:rsidRPr="008F03E5">
        <w:rPr>
          <w:rFonts w:eastAsia="Times New Roman"/>
        </w:rPr>
        <w:tab/>
        <w:t>al-Ḥurúf al-</w:t>
      </w:r>
      <w:r w:rsidRPr="008F03E5">
        <w:t>Qamaríya[h]</w:t>
      </w:r>
      <w:r w:rsidRPr="008F03E5">
        <w:rPr>
          <w:rFonts w:eastAsia="Times New Roman"/>
        </w:rPr>
        <w:tab/>
        <w:t xml:space="preserve">(Pers. Ḥurúfi </w:t>
      </w:r>
      <w:r w:rsidRPr="008F03E5">
        <w:t>Qamaríyya[h]</w:t>
      </w:r>
      <w:r w:rsidRPr="008F03E5">
        <w:rPr>
          <w:rFonts w:eastAsia="Times New Roman"/>
        </w:rPr>
        <w:t xml:space="preserve">) the moon letters </w:t>
      </w:r>
      <w:r w:rsidRPr="008F03E5">
        <w:t>(grammar) (to which the l of the definite article “al” does not assimilate</w:t>
      </w:r>
    </w:p>
    <w:p w14:paraId="2752BABB" w14:textId="77777777" w:rsidR="00625A5B" w:rsidRPr="008F03E5" w:rsidRDefault="00625A5B" w:rsidP="00141715">
      <w:pPr>
        <w:pStyle w:val="Translit"/>
      </w:pPr>
      <w:r w:rsidRPr="008F03E5">
        <w:rPr>
          <w:rFonts w:eastAsia="Times New Roman"/>
        </w:rPr>
        <w:t>Huruf Shamsiya</w:t>
      </w:r>
      <w:r w:rsidRPr="008F03E5">
        <w:rPr>
          <w:rFonts w:eastAsia="Times New Roman"/>
        </w:rPr>
        <w:tab/>
        <w:t>al-Ḥurúf a</w:t>
      </w:r>
      <w:r w:rsidRPr="008F03E5">
        <w:rPr>
          <w:rFonts w:eastAsia="Times New Roman"/>
          <w:u w:val="single"/>
        </w:rPr>
        <w:t>sh</w:t>
      </w:r>
      <w:r w:rsidRPr="008F03E5">
        <w:rPr>
          <w:rFonts w:eastAsia="Times New Roman"/>
        </w:rPr>
        <w:t>-</w:t>
      </w:r>
      <w:r w:rsidRPr="008F03E5">
        <w:rPr>
          <w:rFonts w:eastAsia="Times New Roman"/>
          <w:u w:val="single"/>
        </w:rPr>
        <w:t>Sh</w:t>
      </w:r>
      <w:r w:rsidRPr="008F03E5">
        <w:rPr>
          <w:rFonts w:eastAsia="Times New Roman"/>
        </w:rPr>
        <w:t>amsíya[h]</w:t>
      </w:r>
      <w:r w:rsidRPr="008F03E5">
        <w:rPr>
          <w:rFonts w:eastAsia="Times New Roman"/>
        </w:rPr>
        <w:tab/>
        <w:t xml:space="preserve">(Pers. Ḥurúfi </w:t>
      </w:r>
      <w:r w:rsidRPr="008F03E5">
        <w:rPr>
          <w:rFonts w:eastAsia="Times New Roman"/>
          <w:u w:val="single"/>
        </w:rPr>
        <w:t>Sh</w:t>
      </w:r>
      <w:r w:rsidRPr="008F03E5">
        <w:rPr>
          <w:rFonts w:eastAsia="Times New Roman"/>
        </w:rPr>
        <w:t xml:space="preserve">amsíyya[h]) the solar (sun) letters </w:t>
      </w:r>
      <w:r w:rsidRPr="008F03E5">
        <w:t>(grammar) which assimilate the l of the definite article “al”</w:t>
      </w:r>
    </w:p>
    <w:p w14:paraId="2BD26DCE" w14:textId="77777777" w:rsidR="00625A5B" w:rsidRPr="008F03E5" w:rsidRDefault="00625A5B" w:rsidP="00C60938">
      <w:pPr>
        <w:pStyle w:val="Translit"/>
      </w:pPr>
      <w:r w:rsidRPr="008F03E5">
        <w:t>Hurufat-i-‘Alin</w:t>
      </w:r>
      <w:r w:rsidRPr="008F03E5">
        <w:tab/>
        <w:t>Ḥurúfát-i-‘Álín</w:t>
      </w:r>
      <w:r w:rsidRPr="008F03E5">
        <w:tab/>
        <w:t>“The Exalted Letters” by Bahá’u’lláh.  See Ḥarf</w:t>
      </w:r>
    </w:p>
    <w:p w14:paraId="42CB3175" w14:textId="77777777" w:rsidR="00625A5B" w:rsidRPr="008F03E5" w:rsidRDefault="00625A5B" w:rsidP="00D4505B">
      <w:pPr>
        <w:pStyle w:val="Translit"/>
      </w:pPr>
      <w:r w:rsidRPr="008F03E5">
        <w:rPr>
          <w:rFonts w:eastAsia="PMingLiU"/>
          <w:lang w:eastAsia="zh-TW"/>
        </w:rPr>
        <w:t>Hurufi</w:t>
      </w:r>
      <w:r w:rsidRPr="008F03E5">
        <w:tab/>
        <w:t>Ḥ</w:t>
      </w:r>
      <w:r w:rsidRPr="008F03E5">
        <w:rPr>
          <w:rFonts w:eastAsia="PMingLiU"/>
          <w:lang w:eastAsia="zh-TW"/>
        </w:rPr>
        <w:t>urúfí</w:t>
      </w:r>
      <w:r w:rsidRPr="008F03E5">
        <w:tab/>
        <w:t>(Pers. with Ar. influence) a relator of traditions, a traditionist</w:t>
      </w:r>
      <w:r w:rsidRPr="008F03E5">
        <w:rPr>
          <w:rFonts w:eastAsia="PMingLiU"/>
          <w:lang w:eastAsia="zh-TW"/>
        </w:rPr>
        <w:t xml:space="preserve">.  See singular </w:t>
      </w:r>
      <w:r w:rsidRPr="008F03E5">
        <w:t>Ḥarf</w:t>
      </w:r>
    </w:p>
    <w:p w14:paraId="08352322" w14:textId="77777777" w:rsidR="00625A5B" w:rsidRPr="008F03E5" w:rsidRDefault="00625A5B" w:rsidP="00AB478E">
      <w:pPr>
        <w:pStyle w:val="Translit"/>
      </w:pPr>
      <w:r w:rsidRPr="008F03E5">
        <w:t>Hurufiyyya</w:t>
      </w:r>
      <w:r w:rsidRPr="008F03E5">
        <w:tab/>
        <w:t>Ḥurúfiyyya</w:t>
      </w:r>
      <w:r w:rsidRPr="008F03E5">
        <w:tab/>
        <w:t>Hurufism, Sufi doctrine.  Not ḥ</w:t>
      </w:r>
      <w:r w:rsidRPr="008F03E5">
        <w:rPr>
          <w:rFonts w:eastAsia="PMingLiU"/>
          <w:lang w:eastAsia="zh-TW"/>
        </w:rPr>
        <w:t>urúfís (</w:t>
      </w:r>
      <w:r w:rsidRPr="008F03E5">
        <w:rPr>
          <w:rFonts w:eastAsia="PMingLiU"/>
          <w:sz w:val="16"/>
          <w:szCs w:val="16"/>
          <w:lang w:eastAsia="zh-TW"/>
        </w:rPr>
        <w:t>MCI</w:t>
      </w:r>
      <w:r w:rsidRPr="008F03E5">
        <w:rPr>
          <w:rFonts w:eastAsia="PMingLiU"/>
          <w:lang w:eastAsia="zh-TW"/>
        </w:rPr>
        <w:t xml:space="preserve"> p. 403)</w:t>
      </w:r>
    </w:p>
    <w:p w14:paraId="799189B8" w14:textId="77777777" w:rsidR="00625A5B" w:rsidRPr="008F03E5" w:rsidRDefault="00625A5B" w:rsidP="00554142">
      <w:pPr>
        <w:pStyle w:val="Translit"/>
      </w:pPr>
      <w:r w:rsidRPr="008F03E5">
        <w:t>Husam (Hisam)</w:t>
      </w:r>
      <w:r w:rsidRPr="008F03E5">
        <w:tab/>
        <w:t>Ḥusám (Ḥisám)</w:t>
      </w:r>
      <w:r w:rsidRPr="008F03E5">
        <w:tab/>
        <w:t>(sharp) sword, sword edge</w:t>
      </w:r>
    </w:p>
    <w:p w14:paraId="5F5D44CA" w14:textId="77777777" w:rsidR="00625A5B" w:rsidRPr="008F03E5" w:rsidRDefault="00625A5B" w:rsidP="00483015">
      <w:pPr>
        <w:pStyle w:val="Translit"/>
      </w:pPr>
      <w:r w:rsidRPr="008F03E5">
        <w:t>Husam-i-Din, Hisam-i-Din</w:t>
      </w:r>
      <w:r w:rsidRPr="008F03E5">
        <w:tab/>
        <w:t>Ḥusám-i-Dín (Ḥisám-i-Dín)</w:t>
      </w:r>
      <w:r w:rsidRPr="008F03E5">
        <w:tab/>
        <w:t>sword of faith</w:t>
      </w:r>
    </w:p>
    <w:p w14:paraId="1824D745" w14:textId="77777777" w:rsidR="00625A5B" w:rsidRPr="008F03E5" w:rsidRDefault="00625A5B" w:rsidP="006F00D9">
      <w:pPr>
        <w:pStyle w:val="Translit"/>
      </w:pPr>
      <w:r w:rsidRPr="008F03E5">
        <w:t>Husamu’s-Sultana, Hisamu’s-Saltanih</w:t>
      </w:r>
      <w:r w:rsidRPr="008F03E5">
        <w:tab/>
        <w:t>Ḥusámu’s-Sulṭana (Ḥisámu’s-Salṭanih)</w:t>
      </w:r>
      <w:r w:rsidRPr="008F03E5">
        <w:tab/>
        <w:t xml:space="preserve">“Sword of the sovereign”.  Title of Prince Sulṭán Murád Mírzá, son of ‘Abbás Mírzá and grandson of Fatḥ-‘Alí </w:t>
      </w:r>
      <w:r w:rsidRPr="008F03E5">
        <w:rPr>
          <w:u w:val="single"/>
        </w:rPr>
        <w:t>Sh</w:t>
      </w:r>
      <w:r w:rsidRPr="008F03E5">
        <w:t>áh.</w:t>
      </w:r>
    </w:p>
    <w:p w14:paraId="58633C65" w14:textId="77777777" w:rsidR="00625A5B" w:rsidRPr="008F03E5" w:rsidRDefault="00625A5B" w:rsidP="00385363">
      <w:pPr>
        <w:pStyle w:val="Translit"/>
      </w:pPr>
      <w:r w:rsidRPr="008F03E5">
        <w:t>Husayn</w:t>
      </w:r>
      <w:r w:rsidRPr="008F03E5">
        <w:tab/>
        <w:t>Ḥusayn</w:t>
      </w:r>
      <w:r w:rsidRPr="008F03E5">
        <w:tab/>
        <w:t xml:space="preserve">(diminutive form of Haṣan “Good”)  Name of the third Imám, Ḥusayn.  </w:t>
      </w:r>
      <w:r w:rsidRPr="008F03E5">
        <w:rPr>
          <w:u w:val="single"/>
        </w:rPr>
        <w:t>Kh</w:t>
      </w:r>
      <w:r w:rsidRPr="008F03E5">
        <w:t>awlí bin Yazíd al-Aṣbaḥí al-Iyádí ad-Dárimí and Ḥumayd bin Muslim az-Azdí took Ḥusayn’s head to Ibn Ziyád</w:t>
      </w:r>
    </w:p>
    <w:p w14:paraId="7210CFB9" w14:textId="77777777" w:rsidR="00625A5B" w:rsidRPr="008F03E5" w:rsidRDefault="00625A5B" w:rsidP="00900A82">
      <w:pPr>
        <w:pStyle w:val="Translit"/>
      </w:pPr>
      <w:r w:rsidRPr="008F03E5">
        <w:t>Husayn</w:t>
      </w:r>
      <w:r w:rsidRPr="008F03E5">
        <w:rPr>
          <w:rFonts w:eastAsia="PMingLiU"/>
          <w:lang w:eastAsia="zh-TW"/>
        </w:rPr>
        <w:t>-‘</w:t>
      </w:r>
      <w:r w:rsidRPr="008F03E5">
        <w:t>Ali</w:t>
      </w:r>
      <w:r w:rsidRPr="008F03E5">
        <w:tab/>
        <w:t>Ḥusayn-‘Alí</w:t>
      </w:r>
      <w:r w:rsidRPr="008F03E5">
        <w:tab/>
      </w:r>
    </w:p>
    <w:p w14:paraId="09FDCEAB" w14:textId="77777777" w:rsidR="00625A5B" w:rsidRPr="008F03E5" w:rsidRDefault="00625A5B" w:rsidP="00900A82">
      <w:pPr>
        <w:pStyle w:val="Translit"/>
      </w:pPr>
      <w:r w:rsidRPr="008F03E5">
        <w:t>Husayn</w:t>
      </w:r>
      <w:r w:rsidRPr="008F03E5">
        <w:rPr>
          <w:rFonts w:eastAsia="PMingLiU"/>
          <w:lang w:eastAsia="zh-TW"/>
        </w:rPr>
        <w:t>-‘</w:t>
      </w:r>
      <w:r w:rsidRPr="008F03E5">
        <w:t>Aliy-i-Isfahani</w:t>
      </w:r>
      <w:r w:rsidRPr="008F03E5">
        <w:tab/>
        <w:t>Ḥusayn-‘Alíy-i-Iṣfahání</w:t>
      </w:r>
      <w:r w:rsidRPr="008F03E5">
        <w:tab/>
      </w:r>
    </w:p>
    <w:p w14:paraId="68EE1D28" w14:textId="77777777" w:rsidR="00625A5B" w:rsidRPr="008F03E5" w:rsidRDefault="00625A5B" w:rsidP="00900A82">
      <w:pPr>
        <w:pStyle w:val="Translit"/>
      </w:pPr>
      <w:r w:rsidRPr="008F03E5">
        <w:t>Husayn</w:t>
      </w:r>
      <w:r w:rsidRPr="008F03E5">
        <w:rPr>
          <w:rFonts w:eastAsia="PMingLiU"/>
          <w:lang w:eastAsia="zh-TW"/>
        </w:rPr>
        <w:t>-‘</w:t>
      </w:r>
      <w:r w:rsidRPr="008F03E5">
        <w:t>Aliy-i-Jahrumi</w:t>
      </w:r>
      <w:r w:rsidRPr="008F03E5">
        <w:tab/>
        <w:t>Ḥusayn-‘Alíy-i-Jahrúmí</w:t>
      </w:r>
      <w:r w:rsidRPr="008F03E5">
        <w:tab/>
      </w:r>
    </w:p>
    <w:p w14:paraId="11E179BA" w14:textId="77777777" w:rsidR="00625A5B" w:rsidRPr="008F03E5" w:rsidRDefault="00625A5B" w:rsidP="00900A82">
      <w:pPr>
        <w:pStyle w:val="Translit"/>
      </w:pPr>
      <w:r w:rsidRPr="008F03E5">
        <w:t>Husayn</w:t>
      </w:r>
      <w:r w:rsidRPr="008F03E5">
        <w:rPr>
          <w:rFonts w:eastAsia="PMingLiU"/>
          <w:lang w:eastAsia="zh-TW"/>
        </w:rPr>
        <w:t>-‘</w:t>
      </w:r>
      <w:r w:rsidRPr="008F03E5">
        <w:t>Aliy-i-Nur</w:t>
      </w:r>
      <w:r w:rsidRPr="008F03E5">
        <w:tab/>
        <w:t>Ḥusayn-‘Alíy-i-Núr</w:t>
      </w:r>
      <w:r w:rsidRPr="008F03E5">
        <w:tab/>
        <w:t>(</w:t>
      </w:r>
      <w:r w:rsidRPr="008F03E5">
        <w:rPr>
          <w:sz w:val="16"/>
          <w:szCs w:val="16"/>
        </w:rPr>
        <w:t>GPB</w:t>
      </w:r>
      <w:r w:rsidRPr="008F03E5">
        <w:t xml:space="preserve"> p. 338)</w:t>
      </w:r>
    </w:p>
    <w:p w14:paraId="12078128" w14:textId="77777777" w:rsidR="00625A5B" w:rsidRPr="008F03E5" w:rsidRDefault="00625A5B" w:rsidP="00900A82">
      <w:pPr>
        <w:pStyle w:val="Translit"/>
      </w:pPr>
      <w:r w:rsidRPr="008F03E5">
        <w:t>Husayn</w:t>
      </w:r>
      <w:r w:rsidRPr="008F03E5">
        <w:rPr>
          <w:rFonts w:eastAsia="PMingLiU"/>
          <w:lang w:eastAsia="zh-TW"/>
        </w:rPr>
        <w:t>-‘</w:t>
      </w:r>
      <w:r w:rsidRPr="008F03E5">
        <w:t>Aliy-i-Nuri</w:t>
      </w:r>
      <w:r w:rsidRPr="008F03E5">
        <w:tab/>
        <w:t>Ḥusayn-‘Alíy-i-Núrí</w:t>
      </w:r>
      <w:r w:rsidRPr="008F03E5">
        <w:tab/>
        <w:t>Ḥusayn-‘Alíy-i-Núrí, Mírzá  Bahá’u’lláh</w:t>
      </w:r>
    </w:p>
    <w:p w14:paraId="44F291EE" w14:textId="77777777" w:rsidR="00625A5B" w:rsidRPr="008F03E5" w:rsidRDefault="00625A5B" w:rsidP="00900A82">
      <w:pPr>
        <w:pStyle w:val="Translit"/>
        <w:rPr>
          <w:rFonts w:eastAsia="PMingLiU"/>
          <w:lang w:eastAsia="zh-TW"/>
        </w:rPr>
      </w:pPr>
      <w:r w:rsidRPr="008F03E5">
        <w:rPr>
          <w:rFonts w:eastAsia="PMingLiU"/>
          <w:lang w:eastAsia="zh-TW"/>
        </w:rPr>
        <w:t>Husayn-Abad</w:t>
      </w:r>
      <w:r w:rsidRPr="008F03E5">
        <w:tab/>
        <w:t>Ḥ</w:t>
      </w:r>
      <w:r w:rsidRPr="008F03E5">
        <w:rPr>
          <w:rFonts w:eastAsia="PMingLiU"/>
          <w:lang w:eastAsia="zh-TW"/>
        </w:rPr>
        <w:t>usayn-Ábád</w:t>
      </w:r>
      <w:r w:rsidRPr="008F03E5">
        <w:tab/>
      </w:r>
    </w:p>
    <w:p w14:paraId="28D52C5B" w14:textId="77777777" w:rsidR="00625A5B" w:rsidRPr="008F03E5" w:rsidRDefault="00625A5B" w:rsidP="00900A82">
      <w:pPr>
        <w:pStyle w:val="Translit"/>
      </w:pPr>
      <w:r w:rsidRPr="008F03E5">
        <w:t>Husayn-Aqa</w:t>
      </w:r>
      <w:r w:rsidRPr="008F03E5">
        <w:tab/>
        <w:t>Ḥusayn-Áqá</w:t>
      </w:r>
      <w:r w:rsidRPr="008F03E5">
        <w:tab/>
        <w:t>(</w:t>
      </w:r>
      <w:r w:rsidRPr="008F03E5">
        <w:rPr>
          <w:sz w:val="16"/>
          <w:szCs w:val="16"/>
        </w:rPr>
        <w:t>MF</w:t>
      </w:r>
      <w:r w:rsidRPr="008F03E5">
        <w:t>)</w:t>
      </w:r>
    </w:p>
    <w:p w14:paraId="1513712F" w14:textId="77777777" w:rsidR="00625A5B" w:rsidRPr="008F03E5" w:rsidRDefault="00625A5B" w:rsidP="00900A82">
      <w:pPr>
        <w:pStyle w:val="Translit"/>
      </w:pPr>
      <w:r w:rsidRPr="008F03E5">
        <w:t>Husayn-Aqay-i-Tabrizi</w:t>
      </w:r>
      <w:r w:rsidRPr="008F03E5">
        <w:tab/>
        <w:t>Ḥusayn-Áqáy-i-Tabrízí</w:t>
      </w:r>
      <w:r w:rsidRPr="008F03E5">
        <w:tab/>
        <w:t>(</w:t>
      </w:r>
      <w:r w:rsidRPr="008F03E5">
        <w:rPr>
          <w:sz w:val="16"/>
          <w:szCs w:val="16"/>
        </w:rPr>
        <w:t>MF</w:t>
      </w:r>
      <w:r w:rsidRPr="008F03E5">
        <w:t>)</w:t>
      </w:r>
    </w:p>
    <w:p w14:paraId="25E9CE8D" w14:textId="77777777" w:rsidR="00625A5B" w:rsidRPr="008F03E5" w:rsidRDefault="00625A5B" w:rsidP="00900A82">
      <w:pPr>
        <w:pStyle w:val="Translit"/>
        <w:rPr>
          <w:rFonts w:eastAsia="PMingLiU"/>
          <w:lang w:eastAsia="zh-TW"/>
        </w:rPr>
      </w:pPr>
      <w:r w:rsidRPr="008F03E5">
        <w:rPr>
          <w:rFonts w:eastAsia="PMingLiU"/>
          <w:lang w:eastAsia="zh-TW"/>
        </w:rPr>
        <w:t>Husayni</w:t>
      </w:r>
      <w:r w:rsidRPr="008F03E5">
        <w:tab/>
        <w:t>Ḥ</w:t>
      </w:r>
      <w:r w:rsidRPr="008F03E5">
        <w:rPr>
          <w:rFonts w:eastAsia="PMingLiU"/>
          <w:lang w:eastAsia="zh-TW"/>
        </w:rPr>
        <w:t>usayní</w:t>
      </w:r>
      <w:r w:rsidRPr="008F03E5">
        <w:tab/>
        <w:t>of Ḥ</w:t>
      </w:r>
      <w:r w:rsidRPr="008F03E5">
        <w:rPr>
          <w:rFonts w:eastAsia="PMingLiU"/>
          <w:lang w:eastAsia="zh-TW"/>
        </w:rPr>
        <w:t>usayn</w:t>
      </w:r>
    </w:p>
    <w:p w14:paraId="15A5ACB9" w14:textId="77777777" w:rsidR="00625A5B" w:rsidRPr="008F03E5" w:rsidRDefault="00625A5B" w:rsidP="00900A82">
      <w:pPr>
        <w:pStyle w:val="Translit"/>
      </w:pPr>
      <w:r w:rsidRPr="008F03E5">
        <w:t>Husayn-i-Ashchi</w:t>
      </w:r>
      <w:r w:rsidRPr="008F03E5">
        <w:tab/>
        <w:t>Ḥusayn-i-Á</w:t>
      </w:r>
      <w:r w:rsidRPr="008F03E5">
        <w:rPr>
          <w:u w:val="single"/>
        </w:rPr>
        <w:t>shch</w:t>
      </w:r>
      <w:r w:rsidRPr="008F03E5">
        <w:t>í</w:t>
      </w:r>
      <w:r w:rsidRPr="008F03E5">
        <w:tab/>
      </w:r>
    </w:p>
    <w:p w14:paraId="0FE00336" w14:textId="77777777" w:rsidR="00625A5B" w:rsidRPr="008F03E5" w:rsidRDefault="00625A5B" w:rsidP="00900A82">
      <w:pPr>
        <w:pStyle w:val="Translit"/>
      </w:pPr>
      <w:r w:rsidRPr="008F03E5">
        <w:t>Husayn-ibn-Ruh</w:t>
      </w:r>
      <w:r w:rsidRPr="008F03E5">
        <w:tab/>
        <w:t>Ḥusayn-ibn-Rúḥ</w:t>
      </w:r>
      <w:r w:rsidRPr="008F03E5">
        <w:tab/>
        <w:t>(one of “Four Gates”)</w:t>
      </w:r>
    </w:p>
    <w:p w14:paraId="1FE7E578" w14:textId="77777777" w:rsidR="00625A5B" w:rsidRPr="008F03E5" w:rsidRDefault="00625A5B" w:rsidP="009C76DA">
      <w:pPr>
        <w:pStyle w:val="Translit"/>
      </w:pPr>
      <w:r w:rsidRPr="008F03E5">
        <w:t>Husayn-i-Bushru’i</w:t>
      </w:r>
      <w:r w:rsidRPr="008F03E5">
        <w:tab/>
        <w:t>Ḥusayn-i-Bu</w:t>
      </w:r>
      <w:r w:rsidRPr="008F03E5">
        <w:rPr>
          <w:u w:val="single"/>
        </w:rPr>
        <w:t>sh</w:t>
      </w:r>
      <w:r w:rsidRPr="008F03E5">
        <w:t>rú’í</w:t>
      </w:r>
      <w:r w:rsidRPr="008F03E5">
        <w:tab/>
        <w:t xml:space="preserve">Mullá Muḥammad-Ḥusayn-i-Bushrú’í (1813–1849).  He was a </w:t>
      </w:r>
      <w:r w:rsidRPr="008F03E5">
        <w:rPr>
          <w:u w:val="single"/>
        </w:rPr>
        <w:t>Sh</w:t>
      </w:r>
      <w:r w:rsidRPr="008F03E5">
        <w:t>ay</w:t>
      </w:r>
      <w:r w:rsidRPr="008F03E5">
        <w:rPr>
          <w:u w:val="single"/>
        </w:rPr>
        <w:t>kh</w:t>
      </w:r>
      <w:r w:rsidRPr="008F03E5">
        <w:t>í and the first “Letter of the Living”.  He was given the titles “Jináb-i-Bábu</w:t>
      </w:r>
      <w:r>
        <w:t>’</w:t>
      </w:r>
      <w:r w:rsidRPr="008F03E5">
        <w:t>l-Báb” (“Gate of the Gate") and “Siyyid ‘Alí” by the Báb.</w:t>
      </w:r>
    </w:p>
    <w:p w14:paraId="1E5ADE93" w14:textId="77777777" w:rsidR="00625A5B" w:rsidRPr="008F03E5" w:rsidRDefault="00625A5B" w:rsidP="00900A82">
      <w:pPr>
        <w:pStyle w:val="Translit"/>
      </w:pPr>
      <w:r w:rsidRPr="008F03E5">
        <w:t>Husayn-i-Kashani</w:t>
      </w:r>
      <w:r w:rsidRPr="008F03E5">
        <w:tab/>
        <w:t>Ḥusayn-i-Ká</w:t>
      </w:r>
      <w:r w:rsidRPr="008F03E5">
        <w:rPr>
          <w:u w:val="single"/>
        </w:rPr>
        <w:t>sh</w:t>
      </w:r>
      <w:r w:rsidRPr="008F03E5">
        <w:t>ání</w:t>
      </w:r>
      <w:r w:rsidRPr="008F03E5">
        <w:tab/>
      </w:r>
    </w:p>
    <w:p w14:paraId="1F1966CD" w14:textId="77777777" w:rsidR="00625A5B" w:rsidRPr="008F03E5" w:rsidRDefault="00625A5B" w:rsidP="00900A82">
      <w:pPr>
        <w:pStyle w:val="Translit"/>
      </w:pPr>
      <w:r w:rsidRPr="008F03E5">
        <w:t>Husayn-i-Kashi</w:t>
      </w:r>
      <w:r w:rsidRPr="008F03E5">
        <w:tab/>
        <w:t>Ḥusayn-i-Ká</w:t>
      </w:r>
      <w:r w:rsidRPr="008F03E5">
        <w:rPr>
          <w:u w:val="single"/>
        </w:rPr>
        <w:t>sh</w:t>
      </w:r>
      <w:r w:rsidRPr="008F03E5">
        <w:t>í</w:t>
      </w:r>
      <w:r w:rsidRPr="008F03E5">
        <w:tab/>
      </w:r>
    </w:p>
    <w:p w14:paraId="2C897F32" w14:textId="77777777" w:rsidR="00625A5B" w:rsidRPr="008F03E5" w:rsidRDefault="00625A5B" w:rsidP="00900A82">
      <w:pPr>
        <w:pStyle w:val="Translit"/>
      </w:pPr>
      <w:r w:rsidRPr="008F03E5">
        <w:t>Husayn-i-Shiraziy-i-Khurtumi</w:t>
      </w:r>
      <w:r w:rsidRPr="008F03E5">
        <w:tab/>
        <w:t>Ḥusayn-i-</w:t>
      </w:r>
      <w:r w:rsidRPr="008F03E5">
        <w:rPr>
          <w:u w:val="single"/>
        </w:rPr>
        <w:t>Sh</w:t>
      </w:r>
      <w:r w:rsidRPr="008F03E5">
        <w:t>írázíy-i-</w:t>
      </w:r>
      <w:r w:rsidRPr="008F03E5">
        <w:rPr>
          <w:u w:val="single"/>
        </w:rPr>
        <w:t>Kh</w:t>
      </w:r>
      <w:r w:rsidRPr="008F03E5">
        <w:t>urṭúmí</w:t>
      </w:r>
      <w:r w:rsidRPr="008F03E5">
        <w:tab/>
      </w:r>
    </w:p>
    <w:p w14:paraId="31E167E6" w14:textId="77777777" w:rsidR="00625A5B" w:rsidRPr="008F03E5" w:rsidRDefault="00625A5B" w:rsidP="00900A82">
      <w:pPr>
        <w:pStyle w:val="Translit"/>
      </w:pPr>
      <w:r w:rsidRPr="008F03E5">
        <w:t>Husayn-i-Turshizi</w:t>
      </w:r>
      <w:r w:rsidRPr="008F03E5">
        <w:tab/>
        <w:t>Ḥusayn-i-Tur</w:t>
      </w:r>
      <w:r w:rsidRPr="008F03E5">
        <w:rPr>
          <w:u w:val="single"/>
        </w:rPr>
        <w:t>sh</w:t>
      </w:r>
      <w:r w:rsidRPr="008F03E5">
        <w:t>ízí</w:t>
      </w:r>
      <w:r w:rsidRPr="008F03E5">
        <w:tab/>
      </w:r>
    </w:p>
    <w:p w14:paraId="2F5BA804" w14:textId="77777777" w:rsidR="00625A5B" w:rsidRPr="008F03E5" w:rsidRDefault="00625A5B" w:rsidP="004C7F88">
      <w:pPr>
        <w:pStyle w:val="Translit"/>
      </w:pPr>
      <w:r w:rsidRPr="008F03E5">
        <w:t>Husayniya, Husayniyyih</w:t>
      </w:r>
      <w:r w:rsidRPr="008F03E5">
        <w:tab/>
        <w:t>Ḥusayníya, Pers. Ḥusayniyyih</w:t>
      </w:r>
      <w:r w:rsidRPr="008F03E5">
        <w:tab/>
        <w:t xml:space="preserve">a congregation hall for </w:t>
      </w:r>
      <w:r w:rsidRPr="008F03E5">
        <w:rPr>
          <w:u w:val="single"/>
        </w:rPr>
        <w:t>Sh</w:t>
      </w:r>
      <w:r w:rsidRPr="008F03E5">
        <w:t>í‘a Muslims to hold commemoration ceremonies to mourn the death of Imám Ḥusayn</w:t>
      </w:r>
    </w:p>
    <w:p w14:paraId="6A49638A" w14:textId="77777777" w:rsidR="00625A5B" w:rsidRPr="008F03E5" w:rsidRDefault="00625A5B" w:rsidP="00900A82">
      <w:pPr>
        <w:pStyle w:val="Translit"/>
      </w:pPr>
      <w:r w:rsidRPr="008F03E5">
        <w:t>Husayn-i-Yazdi</w:t>
      </w:r>
      <w:r w:rsidRPr="008F03E5">
        <w:tab/>
        <w:t>Ḥusayn-i-Yazdí</w:t>
      </w:r>
      <w:r w:rsidRPr="008F03E5">
        <w:tab/>
      </w:r>
    </w:p>
    <w:p w14:paraId="1C7C86EB" w14:textId="77777777" w:rsidR="00625A5B" w:rsidRPr="008F03E5" w:rsidRDefault="00625A5B" w:rsidP="00900A82">
      <w:pPr>
        <w:pStyle w:val="Translit"/>
      </w:pPr>
      <w:r w:rsidRPr="008F03E5">
        <w:t>Husayn-Khan</w:t>
      </w:r>
      <w:r w:rsidRPr="008F03E5">
        <w:tab/>
        <w:t>Ḥusayn-</w:t>
      </w:r>
      <w:r w:rsidRPr="008F03E5">
        <w:rPr>
          <w:u w:val="single"/>
        </w:rPr>
        <w:t>Kh</w:t>
      </w:r>
      <w:r w:rsidRPr="008F03E5">
        <w:t>án</w:t>
      </w:r>
      <w:r w:rsidRPr="008F03E5">
        <w:tab/>
        <w:t>(the Mu</w:t>
      </w:r>
      <w:r w:rsidRPr="008F03E5">
        <w:rPr>
          <w:u w:val="single"/>
        </w:rPr>
        <w:t>sh</w:t>
      </w:r>
      <w:r w:rsidRPr="008F03E5">
        <w:t>iru’d-Dawlih)</w:t>
      </w:r>
    </w:p>
    <w:p w14:paraId="70509A6B" w14:textId="77777777" w:rsidR="00625A5B" w:rsidRDefault="00625A5B" w:rsidP="00FF4F08">
      <w:pPr>
        <w:pStyle w:val="Translit"/>
      </w:pPr>
      <w:r>
        <w:t>Husaynzada</w:t>
      </w:r>
      <w:r>
        <w:tab/>
      </w:r>
      <w:r w:rsidRPr="008F03E5">
        <w:t>Ḥusayn</w:t>
      </w:r>
      <w:r>
        <w:t>z</w:t>
      </w:r>
      <w:r w:rsidRPr="00FF4F08">
        <w:t>á</w:t>
      </w:r>
      <w:r>
        <w:t>da</w:t>
      </w:r>
      <w:r>
        <w:tab/>
        <w:t>Pers. (</w:t>
      </w:r>
      <w:r w:rsidRPr="008F03E5">
        <w:t>Ḥusayn</w:t>
      </w:r>
      <w:r>
        <w:t>+z</w:t>
      </w:r>
      <w:r w:rsidRPr="00FF4F08">
        <w:t>á</w:t>
      </w:r>
      <w:r>
        <w:t>da), a surname</w:t>
      </w:r>
    </w:p>
    <w:p w14:paraId="5F40EBC9" w14:textId="77777777" w:rsidR="00625A5B" w:rsidRPr="008F03E5" w:rsidRDefault="00625A5B" w:rsidP="00407876">
      <w:pPr>
        <w:pStyle w:val="Translit"/>
      </w:pPr>
      <w:r w:rsidRPr="008F03E5">
        <w:t>Husban</w:t>
      </w:r>
      <w:r w:rsidRPr="008F03E5">
        <w:tab/>
        <w:t>Ḥusbán</w:t>
      </w:r>
      <w:r w:rsidRPr="008F03E5">
        <w:tab/>
        <w:t>calculation, reckoning, accounting; computation.  bi-Ḥuṣbán “by final calculation”</w:t>
      </w:r>
    </w:p>
    <w:p w14:paraId="58A27408" w14:textId="77777777" w:rsidR="00625A5B" w:rsidRPr="008F03E5" w:rsidRDefault="00625A5B" w:rsidP="00FC1E7F">
      <w:pPr>
        <w:pStyle w:val="Translit"/>
      </w:pPr>
      <w:r w:rsidRPr="008F03E5">
        <w:t>Hushang (Hoshang)</w:t>
      </w:r>
      <w:r w:rsidRPr="008F03E5">
        <w:tab/>
        <w:t>Hú</w:t>
      </w:r>
      <w:r w:rsidRPr="008F03E5">
        <w:rPr>
          <w:u w:val="single"/>
        </w:rPr>
        <w:t>sh</w:t>
      </w:r>
      <w:r w:rsidRPr="008F03E5">
        <w:t>ang</w:t>
      </w:r>
      <w:r w:rsidRPr="008F03E5">
        <w:tab/>
        <w:t>Pers. name of the second king of Persia, of the Peshdadian dynasty; wisdom, prudence, intellect.  “The first emanation, intelligence”</w:t>
      </w:r>
    </w:p>
    <w:p w14:paraId="6B4A33F7" w14:textId="77777777" w:rsidR="00625A5B" w:rsidRPr="008F03E5" w:rsidRDefault="00625A5B" w:rsidP="00FE1D98">
      <w:pPr>
        <w:pStyle w:val="Translit"/>
      </w:pPr>
      <w:r w:rsidRPr="008F03E5">
        <w:t>Hushidar (Hoshidar)</w:t>
      </w:r>
      <w:r w:rsidRPr="008F03E5">
        <w:tab/>
        <w:t>Hu</w:t>
      </w:r>
      <w:r w:rsidRPr="008F03E5">
        <w:rPr>
          <w:u w:val="single"/>
        </w:rPr>
        <w:t>sh</w:t>
      </w:r>
      <w:r w:rsidRPr="008F03E5">
        <w:t>idár</w:t>
      </w:r>
      <w:r w:rsidRPr="008F03E5">
        <w:tab/>
        <w:t>Pers. (or Ú</w:t>
      </w:r>
      <w:r w:rsidRPr="008F03E5">
        <w:rPr>
          <w:u w:val="single"/>
        </w:rPr>
        <w:t>sh</w:t>
      </w:r>
      <w:r w:rsidRPr="008F03E5">
        <w:t>ídar) attend, be careful, warning.  One who increases holiness or promotes righteousness; name of a future saviour (the Báb).  Zoroastrian origin.  See Ú</w:t>
      </w:r>
      <w:r w:rsidRPr="008F03E5">
        <w:rPr>
          <w:u w:val="single"/>
        </w:rPr>
        <w:t>sh</w:t>
      </w:r>
      <w:r w:rsidRPr="008F03E5">
        <w:t>ídar-Máh.</w:t>
      </w:r>
    </w:p>
    <w:p w14:paraId="18B87B80" w14:textId="77777777" w:rsidR="00625A5B" w:rsidRPr="008F03E5" w:rsidRDefault="00625A5B" w:rsidP="00D608B8">
      <w:pPr>
        <w:pStyle w:val="Translit"/>
      </w:pPr>
      <w:r w:rsidRPr="008F03E5">
        <w:t>Hushmand</w:t>
      </w:r>
      <w:r w:rsidRPr="008F03E5">
        <w:tab/>
        <w:t>Hú</w:t>
      </w:r>
      <w:r w:rsidRPr="008F03E5">
        <w:rPr>
          <w:u w:val="single"/>
        </w:rPr>
        <w:t>sh</w:t>
      </w:r>
      <w:r w:rsidRPr="008F03E5">
        <w:t>mand</w:t>
      </w:r>
      <w:r w:rsidRPr="008F03E5">
        <w:tab/>
        <w:t>Pers. wise</w:t>
      </w:r>
    </w:p>
    <w:p w14:paraId="78669F36" w14:textId="77777777" w:rsidR="00625A5B" w:rsidRPr="008F03E5" w:rsidRDefault="00625A5B" w:rsidP="001642F7">
      <w:pPr>
        <w:pStyle w:val="Translit"/>
      </w:pPr>
      <w:r w:rsidRPr="008F03E5">
        <w:t>Husn al-Madkhal</w:t>
      </w:r>
      <w:r w:rsidRPr="008F03E5">
        <w:tab/>
        <w:t>Ḥusn al-Mad</w:t>
      </w:r>
      <w:r w:rsidRPr="008F03E5">
        <w:rPr>
          <w:u w:val="single"/>
        </w:rPr>
        <w:t>kh</w:t>
      </w:r>
      <w:r w:rsidRPr="008F03E5">
        <w:t>al</w:t>
      </w:r>
      <w:r w:rsidRPr="008F03E5">
        <w:tab/>
        <w:t>good manners, good conduct</w:t>
      </w:r>
    </w:p>
    <w:p w14:paraId="13F6BFEC" w14:textId="77777777" w:rsidR="00625A5B" w:rsidRPr="008F03E5" w:rsidRDefault="00625A5B" w:rsidP="001642F7">
      <w:pPr>
        <w:pStyle w:val="Translit"/>
      </w:pPr>
      <w:r w:rsidRPr="008F03E5">
        <w:t>Husn</w:t>
      </w:r>
      <w:r w:rsidRPr="008F03E5">
        <w:tab/>
        <w:t>Ḥusn</w:t>
      </w:r>
      <w:r w:rsidRPr="008F03E5">
        <w:tab/>
        <w:t>beauty, handsomeness, prettiness, loveliness; excellence, superiority, perfection</w:t>
      </w:r>
    </w:p>
    <w:p w14:paraId="7C2D8A63" w14:textId="77777777" w:rsidR="00625A5B" w:rsidRPr="008F03E5" w:rsidRDefault="00625A5B" w:rsidP="002C5887">
      <w:pPr>
        <w:pStyle w:val="Translit"/>
      </w:pPr>
      <w:r w:rsidRPr="008F03E5">
        <w:t>Husni-Farang</w:t>
      </w:r>
      <w:r w:rsidRPr="008F03E5">
        <w:tab/>
        <w:t>Ḥusní-Farang</w:t>
      </w:r>
      <w:r w:rsidRPr="008F03E5">
        <w:tab/>
        <w:t>Pers. white, as the complexion of Europeans</w:t>
      </w:r>
    </w:p>
    <w:p w14:paraId="7A22E701" w14:textId="77777777" w:rsidR="00625A5B" w:rsidRPr="008F03E5" w:rsidRDefault="00625A5B" w:rsidP="0079191D">
      <w:pPr>
        <w:pStyle w:val="Translit"/>
      </w:pPr>
      <w:r w:rsidRPr="008F03E5">
        <w:t>Husniya, Husniyyih</w:t>
      </w:r>
      <w:r w:rsidRPr="008F03E5">
        <w:tab/>
        <w:t>Ḥusniya[h or t] fem., Pers. Ḥusníyyih</w:t>
      </w:r>
      <w:r w:rsidRPr="008F03E5">
        <w:tab/>
        <w:t>possessing beauty</w:t>
      </w:r>
    </w:p>
    <w:p w14:paraId="280518E9" w14:textId="77777777" w:rsidR="00625A5B" w:rsidRPr="003E6A29" w:rsidRDefault="00625A5B" w:rsidP="00B87D80">
      <w:pPr>
        <w:pStyle w:val="Translit"/>
        <w:rPr>
          <w:lang w:val="pl-PL"/>
        </w:rPr>
      </w:pPr>
      <w:r w:rsidRPr="008F03E5">
        <w:t>Huss</w:t>
      </w:r>
      <w:r w:rsidRPr="008F03E5">
        <w:tab/>
        <w:t>Ḥuṣṣ</w:t>
      </w:r>
      <w:r w:rsidRPr="008F03E5">
        <w:tab/>
        <w:t xml:space="preserve">saffron.  </w:t>
      </w:r>
      <w:r w:rsidRPr="003E6A29">
        <w:rPr>
          <w:lang w:val="pl-PL"/>
        </w:rPr>
        <w:t>See za‘farán</w:t>
      </w:r>
    </w:p>
    <w:p w14:paraId="66996CBF" w14:textId="77777777" w:rsidR="00625A5B" w:rsidRPr="008F03E5" w:rsidRDefault="00625A5B" w:rsidP="008C0383">
      <w:pPr>
        <w:pStyle w:val="Translit"/>
      </w:pPr>
      <w:r w:rsidRPr="003E6A29">
        <w:rPr>
          <w:lang w:val="pl-PL"/>
        </w:rPr>
        <w:t xml:space="preserve">Huwa (Pers. </w:t>
      </w:r>
      <w:r w:rsidRPr="008F03E5">
        <w:t>Huva), Hum</w:t>
      </w:r>
      <w:r w:rsidRPr="008F03E5">
        <w:tab/>
        <w:t>Huwa, pl. Hum</w:t>
      </w:r>
      <w:r w:rsidRPr="008F03E5">
        <w:tab/>
        <w:t>he; it (3rd pers. m. sing. of the pers. pronoun); God (or “the Most Great Name of God” according to the Báb).  Huwa (“he” or “he is”) in the context of “‘He is’ God” is often incorrectly understood (as in the definition) to be the name of God.  In the Bible it is represented in Hebrew by the tetragrammaton “</w:t>
      </w:r>
      <w:r w:rsidRPr="008F03E5">
        <w:rPr>
          <w:sz w:val="16"/>
          <w:szCs w:val="16"/>
        </w:rPr>
        <w:t>YHWH</w:t>
      </w:r>
      <w:r w:rsidRPr="008F03E5">
        <w:t xml:space="preserve">”, sometimes pronounced as Yahweh.  However, the Jews were forbidden to utter the name of God, and as ancient Hebrew script did not use vowels, it is not known how </w:t>
      </w:r>
      <w:r w:rsidRPr="008F03E5">
        <w:rPr>
          <w:sz w:val="16"/>
          <w:szCs w:val="16"/>
        </w:rPr>
        <w:t>YHWH</w:t>
      </w:r>
      <w:r w:rsidRPr="008F03E5">
        <w:t xml:space="preserve"> would have been pronounced, if it was permitted.  If we say “yá huwa” in Arabic in reference to God, it means “O He is …”.  Since Hebrew and Arabic are sister languages, it is not surprising that “yá huwa” sounds like Yahweh, which has commonly been represented by Jehovah.  (In some European languages the “</w:t>
      </w:r>
      <w:r w:rsidRPr="008F03E5">
        <w:rPr>
          <w:sz w:val="16"/>
          <w:szCs w:val="16"/>
        </w:rPr>
        <w:t>J</w:t>
      </w:r>
      <w:r w:rsidRPr="008F03E5">
        <w:t>” is pronounced as “</w:t>
      </w:r>
      <w:r w:rsidRPr="008F03E5">
        <w:rPr>
          <w:sz w:val="16"/>
          <w:szCs w:val="16"/>
        </w:rPr>
        <w:t>Y</w:t>
      </w:r>
      <w:r w:rsidRPr="008F03E5">
        <w:t>”, “</w:t>
      </w:r>
      <w:r w:rsidRPr="008F03E5">
        <w:rPr>
          <w:sz w:val="16"/>
          <w:szCs w:val="16"/>
        </w:rPr>
        <w:t>V</w:t>
      </w:r>
      <w:r w:rsidRPr="008F03E5">
        <w:t>” as “</w:t>
      </w:r>
      <w:r w:rsidRPr="008F03E5">
        <w:rPr>
          <w:sz w:val="16"/>
          <w:szCs w:val="16"/>
        </w:rPr>
        <w:t>U</w:t>
      </w:r>
      <w:r w:rsidRPr="008F03E5">
        <w:t>”, and “</w:t>
      </w:r>
      <w:r w:rsidRPr="008F03E5">
        <w:rPr>
          <w:sz w:val="16"/>
          <w:szCs w:val="16"/>
        </w:rPr>
        <w:t>W</w:t>
      </w:r>
      <w:r w:rsidRPr="008F03E5">
        <w:t>” as “</w:t>
      </w:r>
      <w:r w:rsidRPr="008F03E5">
        <w:rPr>
          <w:sz w:val="16"/>
          <w:szCs w:val="16"/>
        </w:rPr>
        <w:t>UU</w:t>
      </w:r>
      <w:r w:rsidRPr="008F03E5">
        <w:t>”.)  See note under Bahá’.</w:t>
      </w:r>
    </w:p>
    <w:p w14:paraId="26EDCDE1" w14:textId="77777777" w:rsidR="00625A5B" w:rsidRPr="008F03E5" w:rsidRDefault="00625A5B" w:rsidP="0054119D">
      <w:pPr>
        <w:pStyle w:val="Translit"/>
      </w:pPr>
      <w:r w:rsidRPr="008F03E5">
        <w:t>Huwa’llah</w:t>
      </w:r>
      <w:r w:rsidRPr="008F03E5">
        <w:tab/>
        <w:t>Huwa’lláh</w:t>
      </w:r>
      <w:r w:rsidRPr="008F03E5">
        <w:tab/>
        <w:t>“He is God” (Huwa + Alláh).  Replacement phrase for the Islamic “There is none other God but God” in this dispensation (removal of the negation) (see Lawḥ-i-Salmán I).  The command confirming the removal of the letter of negation, as described in the Tablet of Salmán I, is believed to be in the Kitáb-i-‘Ahd, the Will and Testament of Bahá’u’lláh, that established the Covenant of Bahá’u’lláh and appointed its Centre, ‘Abdu’l-Bahá.</w:t>
      </w:r>
    </w:p>
    <w:p w14:paraId="0BFFF933" w14:textId="77777777" w:rsidR="00625A5B" w:rsidRPr="008F03E5" w:rsidRDefault="00625A5B" w:rsidP="009E18DD">
      <w:pPr>
        <w:pStyle w:val="Translit"/>
      </w:pPr>
      <w:r w:rsidRPr="008F03E5">
        <w:t>Huwayda (Huwaida, Hoveida)</w:t>
      </w:r>
      <w:r w:rsidRPr="008F03E5">
        <w:tab/>
        <w:t>Huwaydá</w:t>
      </w:r>
      <w:r w:rsidRPr="008F03E5">
        <w:tab/>
        <w:t>Pers. clear, evident, open, manifest, conspicuous; pale; clearly, publicly.  Amír ‘Abbás Hoveyda (1919–1979) was an Iranian economist and politician.  He was tried by the new (1979) Revolutionary Court and executed.</w:t>
      </w:r>
    </w:p>
    <w:p w14:paraId="7607BF70" w14:textId="77777777" w:rsidR="00625A5B" w:rsidRPr="008F03E5" w:rsidRDefault="00625A5B" w:rsidP="009E18DD">
      <w:pPr>
        <w:pStyle w:val="Translit"/>
      </w:pPr>
      <w:r w:rsidRPr="008F03E5">
        <w:t>Huwaydar, Huvaydar</w:t>
      </w:r>
      <w:r w:rsidRPr="008F03E5">
        <w:tab/>
        <w:t>Huwaydar, Pers. Huvaydar</w:t>
      </w:r>
      <w:r w:rsidRPr="008F03E5">
        <w:tab/>
        <w:t xml:space="preserve">village north of the city Ba‘qúba, which is 60 km </w:t>
      </w:r>
      <w:r w:rsidRPr="008F03E5">
        <w:rPr>
          <w:sz w:val="16"/>
          <w:szCs w:val="16"/>
        </w:rPr>
        <w:t>NE</w:t>
      </w:r>
      <w:r w:rsidRPr="008F03E5">
        <w:t xml:space="preserve"> of Baghdad</w:t>
      </w:r>
    </w:p>
    <w:p w14:paraId="22482872" w14:textId="77777777" w:rsidR="00625A5B" w:rsidRPr="008F03E5" w:rsidRDefault="00625A5B" w:rsidP="000D6C30">
      <w:pPr>
        <w:pStyle w:val="Translit"/>
      </w:pPr>
      <w:r w:rsidRPr="008F03E5">
        <w:t>Huwiya (Huviyya)</w:t>
      </w:r>
      <w:r w:rsidRPr="008F03E5">
        <w:tab/>
        <w:t>Huwíya[h or t], Huwiyya[h or t]</w:t>
      </w:r>
      <w:r w:rsidRPr="008F03E5">
        <w:tab/>
        <w:t>essence, nature; co</w:t>
      </w:r>
      <w:r>
        <w:t>-</w:t>
      </w:r>
      <w:r w:rsidRPr="008F03E5">
        <w:t>essentiality, consubstantiality; identity; identity card</w:t>
      </w:r>
      <w:r>
        <w:t>;</w:t>
      </w:r>
      <w:r w:rsidRPr="008F03E5">
        <w:t xml:space="preserve">  “Essence of Divinity”</w:t>
      </w:r>
      <w:r>
        <w:t xml:space="preserve">; </w:t>
      </w:r>
      <w:r w:rsidRPr="000D1FE2">
        <w:rPr>
          <w:lang w:val="en-US"/>
        </w:rPr>
        <w:t>ipseity</w:t>
      </w:r>
      <w:r>
        <w:rPr>
          <w:lang w:val="en-US"/>
        </w:rPr>
        <w:t>, selfhood</w:t>
      </w:r>
      <w:r w:rsidRPr="008F03E5">
        <w:t xml:space="preserve">.  </w:t>
      </w:r>
      <w:r>
        <w:t>I</w:t>
      </w:r>
      <w:r w:rsidRPr="00A807E2">
        <w:t>ṣ</w:t>
      </w:r>
      <w:r>
        <w:t>fah</w:t>
      </w:r>
      <w:r w:rsidRPr="00A807E2">
        <w:t>á</w:t>
      </w:r>
      <w:r>
        <w:t>n</w:t>
      </w:r>
      <w:r w:rsidRPr="00A807E2">
        <w:t>í</w:t>
      </w:r>
      <w:r>
        <w:t xml:space="preserve"> </w:t>
      </w:r>
      <w:r w:rsidRPr="008F03E5">
        <w:t>Pers</w:t>
      </w:r>
      <w:r>
        <w:t>.</w:t>
      </w:r>
      <w:r w:rsidRPr="008F03E5">
        <w:t xml:space="preserve"> Huviyyih.  Name given by ‘Abdu’l-Bahá to Inez Cook (later Greeven) (1889–1983).  Also name of one of four daughters of </w:t>
      </w:r>
      <w:r>
        <w:t>i</w:t>
      </w:r>
      <w:r w:rsidRPr="008F03E5">
        <w:t>bn-i Aṣdaq and Ḍiyá’u’l-Ḥájiyyih.</w:t>
      </w:r>
    </w:p>
    <w:p w14:paraId="45446186" w14:textId="77777777" w:rsidR="00625A5B" w:rsidRPr="008F03E5" w:rsidRDefault="00625A5B" w:rsidP="001D4CF9">
      <w:pPr>
        <w:pStyle w:val="Translit"/>
      </w:pPr>
      <w:r w:rsidRPr="00077779">
        <w:rPr>
          <w:lang w:val="es-ES_tradnl"/>
        </w:rPr>
        <w:t>Huzn, Hazan, Ahzan</w:t>
      </w:r>
      <w:r w:rsidRPr="00077779">
        <w:rPr>
          <w:lang w:val="es-ES_tradnl"/>
        </w:rPr>
        <w:tab/>
        <w:t xml:space="preserve">Ḥuzn, Pers. </w:t>
      </w:r>
      <w:r w:rsidRPr="008F03E5">
        <w:t>Ḥazan, pl. Aḥzán</w:t>
      </w:r>
      <w:r w:rsidRPr="008F03E5">
        <w:tab/>
        <w:t>grief, sadness, affliction, sorrow</w:t>
      </w:r>
    </w:p>
    <w:p w14:paraId="6B5E2FCA" w14:textId="77777777" w:rsidR="00625A5B" w:rsidRPr="00D45A23" w:rsidRDefault="00625A5B" w:rsidP="00C21E1D">
      <w:pPr>
        <w:pStyle w:val="Myhead"/>
        <w:rPr>
          <w:lang w:val="it-IT"/>
        </w:rPr>
      </w:pPr>
      <w:bookmarkStart w:id="81" w:name="I"/>
      <w:r w:rsidRPr="00D45A23">
        <w:rPr>
          <w:lang w:val="it-IT"/>
        </w:rPr>
        <w:t>I</w:t>
      </w:r>
      <w:bookmarkEnd w:id="81"/>
    </w:p>
    <w:p w14:paraId="175C379F" w14:textId="77777777" w:rsidR="00625A5B" w:rsidRPr="00D45A23" w:rsidRDefault="00625A5B" w:rsidP="005672F9">
      <w:pPr>
        <w:pStyle w:val="Translit"/>
        <w:rPr>
          <w:lang w:val="it-IT"/>
        </w:rPr>
      </w:pPr>
      <w:r w:rsidRPr="00D45A23">
        <w:rPr>
          <w:lang w:val="it-IT"/>
        </w:rPr>
        <w:t>I‘tidal</w:t>
      </w:r>
      <w:r w:rsidRPr="00D45A23">
        <w:rPr>
          <w:lang w:val="it-IT"/>
        </w:rPr>
        <w:tab/>
        <w:t>I‘tidál</w:t>
      </w:r>
      <w:r w:rsidRPr="00D45A23">
        <w:rPr>
          <w:lang w:val="it-IT"/>
        </w:rPr>
        <w:tab/>
        <w:t>moderation</w:t>
      </w:r>
    </w:p>
    <w:p w14:paraId="47CE7D24" w14:textId="77777777" w:rsidR="00625A5B" w:rsidRPr="008F03E5" w:rsidRDefault="00625A5B" w:rsidP="0090104F">
      <w:pPr>
        <w:pStyle w:val="Translit"/>
      </w:pPr>
      <w:r w:rsidRPr="008F03E5">
        <w:rPr>
          <w:rFonts w:eastAsia="Times New Roman"/>
        </w:rPr>
        <w:t>I’jam</w:t>
      </w:r>
      <w:r w:rsidRPr="008F03E5">
        <w:rPr>
          <w:rFonts w:eastAsia="Times New Roman"/>
        </w:rPr>
        <w:tab/>
        <w:t>I‘jám</w:t>
      </w:r>
      <w:r w:rsidRPr="008F03E5">
        <w:rPr>
          <w:rFonts w:eastAsia="Times New Roman"/>
        </w:rPr>
        <w:tab/>
        <w:t>marking a consonant (Arabic) with diacritical points</w:t>
      </w:r>
    </w:p>
    <w:p w14:paraId="57A3B8A0" w14:textId="77777777" w:rsidR="00625A5B" w:rsidRPr="008F03E5" w:rsidRDefault="00625A5B" w:rsidP="007758DD">
      <w:pPr>
        <w:pStyle w:val="Translit"/>
      </w:pPr>
      <w:r w:rsidRPr="008F03E5">
        <w:t>I’jaz</w:t>
      </w:r>
      <w:r w:rsidRPr="008F03E5">
        <w:tab/>
        <w:t>I‘jáz</w:t>
      </w:r>
      <w:r w:rsidRPr="008F03E5">
        <w:tab/>
        <w:t>inimitability, wondrous nature (of the Qur’án—</w:t>
      </w:r>
      <w:r w:rsidRPr="008F03E5">
        <w:rPr>
          <w:lang w:eastAsia="en-US"/>
        </w:rPr>
        <w:t>I‘jáz al-Qur’án</w:t>
      </w:r>
      <w:r w:rsidRPr="008F03E5">
        <w:t>).  See ahdá</w:t>
      </w:r>
    </w:p>
    <w:p w14:paraId="3EEEB734" w14:textId="77777777" w:rsidR="00625A5B" w:rsidRPr="008F03E5" w:rsidRDefault="00625A5B" w:rsidP="00FA1EDB">
      <w:pPr>
        <w:pStyle w:val="Translit"/>
      </w:pPr>
      <w:r w:rsidRPr="008F03E5">
        <w:t>I’qilhá wa tawakkal</w:t>
      </w:r>
      <w:r w:rsidRPr="008F03E5">
        <w:tab/>
        <w:t>I‘qilhá wa tawakkal</w:t>
      </w:r>
      <w:r w:rsidRPr="008F03E5">
        <w:tab/>
        <w:t>Tie up (your camel) and trust (in God)—in Tirmi</w:t>
      </w:r>
      <w:r w:rsidRPr="008F03E5">
        <w:rPr>
          <w:u w:val="single"/>
        </w:rPr>
        <w:t>dh</w:t>
      </w:r>
      <w:r w:rsidRPr="008F03E5">
        <w:t>i’s collection of traditions</w:t>
      </w:r>
    </w:p>
    <w:p w14:paraId="66F72100" w14:textId="77777777" w:rsidR="00625A5B" w:rsidRPr="008F03E5" w:rsidRDefault="00625A5B" w:rsidP="00DD31D7">
      <w:pPr>
        <w:pStyle w:val="Translit"/>
      </w:pPr>
      <w:r w:rsidRPr="008F03E5">
        <w:rPr>
          <w:rFonts w:eastAsia="Times New Roman"/>
        </w:rPr>
        <w:t>I’rab (“a’rab”, “A’rabs”)</w:t>
      </w:r>
      <w:r w:rsidRPr="008F03E5">
        <w:rPr>
          <w:rFonts w:eastAsia="Times New Roman"/>
        </w:rPr>
        <w:tab/>
        <w:t>I‘ráb</w:t>
      </w:r>
      <w:r w:rsidRPr="008F03E5">
        <w:rPr>
          <w:rFonts w:eastAsia="Times New Roman"/>
        </w:rPr>
        <w:tab/>
        <w:t>manifestation, declaration, proclamation, pronouncement, utterance; expression (of a sentiment); desinential inflection (grammar:  inflectional endings (nom., accus. and gen,).  However, also more broadly defined as speaking or reasoning in Arabic; inflecting, declining in an Arabic noun or verb; the vowels and diacritical points in Arabic.</w:t>
      </w:r>
    </w:p>
    <w:p w14:paraId="31B9F868" w14:textId="77777777" w:rsidR="00625A5B" w:rsidRPr="008F03E5" w:rsidRDefault="00625A5B" w:rsidP="009D4749">
      <w:pPr>
        <w:pStyle w:val="Translit"/>
      </w:pPr>
      <w:r w:rsidRPr="008F03E5">
        <w:t>I’rab (A’rab)</w:t>
      </w:r>
      <w:r w:rsidRPr="008F03E5">
        <w:tab/>
        <w:t>I‘ráb</w:t>
      </w:r>
      <w:r w:rsidRPr="008F03E5">
        <w:tab/>
        <w:t>manifestation, declaration, proclamation, pronouncement, utterance;</w:t>
      </w:r>
      <w:r w:rsidRPr="008F03E5">
        <w:rPr>
          <w:rFonts w:eastAsia="Times New Roman"/>
        </w:rPr>
        <w:t xml:space="preserve"> </w:t>
      </w:r>
      <w:r w:rsidRPr="008F03E5">
        <w:t xml:space="preserve">speaking, reasoning in Arabic; inflecting, declining in an Arabic noun or verb; the vowels and diacritical points in Arabic.  An Arabic term for the system of nominal, adjectival, or verbal suffixes of Classical Arabic.  Literally means “making [the word] Arabic”, “making a thing expressed, disclosed or eloquent” </w:t>
      </w:r>
      <w:r w:rsidRPr="008F03E5">
        <w:rPr>
          <w:rFonts w:eastAsia="Times New Roman"/>
        </w:rPr>
        <w:t xml:space="preserve">(variation </w:t>
      </w:r>
      <w:r w:rsidRPr="008F03E5">
        <w:rPr>
          <w:sz w:val="16"/>
          <w:szCs w:val="16"/>
        </w:rPr>
        <w:t>IV</w:t>
      </w:r>
      <w:r w:rsidRPr="008F03E5">
        <w:rPr>
          <w:rFonts w:eastAsia="Times New Roman"/>
        </w:rPr>
        <w:t xml:space="preserve"> of ‘Arab)</w:t>
      </w:r>
      <w:r w:rsidRPr="008F03E5">
        <w:t xml:space="preserve">.  Grammatical cases:  the nominative (al-marfú‘); the accusative (al-manṣúb); the genitive case (al-majrúr).  For fully declined nouns the case endings are -u, -a, -i (nominative, accusative, and genitive case respectively), with the addition of a final “n” (nunnation, or tanwín) when the word is indefinite.  Also applies to feminine nouns ending in </w:t>
      </w:r>
      <w:r w:rsidRPr="008F03E5">
        <w:rPr>
          <w:rtl/>
        </w:rPr>
        <w:t>ة</w:t>
      </w:r>
      <w:r w:rsidRPr="008F03E5">
        <w:t xml:space="preserve"> (tá’ marbúṭah) </w:t>
      </w:r>
      <w:r>
        <w:t xml:space="preserve">(i.e. </w:t>
      </w:r>
      <w:r w:rsidRPr="008F03E5">
        <w:t xml:space="preserve">“-a” or “-at)and </w:t>
      </w:r>
      <w:r w:rsidRPr="008F03E5">
        <w:rPr>
          <w:rtl/>
        </w:rPr>
        <w:t>ء</w:t>
      </w:r>
      <w:r w:rsidRPr="008F03E5">
        <w:t xml:space="preserve"> </w:t>
      </w:r>
      <w:r>
        <w:t>(</w:t>
      </w:r>
      <w:r w:rsidRPr="008F03E5">
        <w:t>hamzah</w:t>
      </w:r>
      <w:r>
        <w:t>)</w:t>
      </w:r>
      <w:r w:rsidRPr="008F03E5">
        <w:t xml:space="preserve">, but for these, </w:t>
      </w:r>
      <w:r w:rsidRPr="008F03E5">
        <w:rPr>
          <w:rtl/>
        </w:rPr>
        <w:t>ا</w:t>
      </w:r>
      <w:r w:rsidRPr="008F03E5">
        <w:t xml:space="preserve"> </w:t>
      </w:r>
      <w:r>
        <w:t>(</w:t>
      </w:r>
      <w:r w:rsidRPr="008F03E5">
        <w:t>alif</w:t>
      </w:r>
      <w:r>
        <w:t>)</w:t>
      </w:r>
      <w:r w:rsidRPr="008F03E5">
        <w:t xml:space="preserve"> is not written in the accusative case.  When the noun is made definite, such as by adding the definite article (al-) to it, then there is no nunation, that is, without the “n” at the end of the suffix.  The masculine plural endings are:  -ún, -án and -ín.  Feminine plural endings are generally -át.</w:t>
      </w:r>
    </w:p>
    <w:p w14:paraId="467B8DD7" w14:textId="77777777" w:rsidR="00625A5B" w:rsidRPr="008F03E5" w:rsidRDefault="00625A5B" w:rsidP="00F219AD">
      <w:pPr>
        <w:pStyle w:val="Translit"/>
      </w:pPr>
      <w:r w:rsidRPr="008F03E5">
        <w:t>I’tidad (I’tizad, E’tezad)</w:t>
      </w:r>
      <w:r w:rsidRPr="008F03E5">
        <w:tab/>
        <w:t>I‘tiḍád</w:t>
      </w:r>
      <w:r w:rsidRPr="008F03E5">
        <w:tab/>
        <w:t>begging assistance; taking or putting under the arm</w:t>
      </w:r>
    </w:p>
    <w:p w14:paraId="0CFD45B4" w14:textId="77777777" w:rsidR="00625A5B" w:rsidRPr="008F03E5" w:rsidRDefault="00625A5B" w:rsidP="00F91EB1">
      <w:pPr>
        <w:pStyle w:val="Translit"/>
      </w:pPr>
      <w:r w:rsidRPr="008F03E5">
        <w:t>I’tidad a</w:t>
      </w:r>
      <w:r>
        <w:t>s</w:t>
      </w:r>
      <w:r w:rsidRPr="008F03E5">
        <w:t>-Saltana (E’tezadol-Saltaneh)</w:t>
      </w:r>
      <w:r w:rsidRPr="008F03E5">
        <w:tab/>
        <w:t>I‘tiḍád a</w:t>
      </w:r>
      <w:r>
        <w:t>s</w:t>
      </w:r>
      <w:r w:rsidRPr="008F03E5">
        <w:t>-Salṭana</w:t>
      </w:r>
      <w:r w:rsidRPr="008F03E5">
        <w:tab/>
        <w:t xml:space="preserve">honorary title, one given to ‘Alí Qulí Mírzá Qájár (1822-1880), a son of Fatḥ-‘Alí </w:t>
      </w:r>
      <w:r w:rsidRPr="008F03E5">
        <w:rPr>
          <w:u w:val="single"/>
        </w:rPr>
        <w:t>Sh</w:t>
      </w:r>
      <w:r w:rsidRPr="008F03E5">
        <w:t>áh.  Chancellor of the Dár’u</w:t>
      </w:r>
      <w:r>
        <w:t>’</w:t>
      </w:r>
      <w:r w:rsidRPr="008F03E5">
        <w:t>l-Funún (“polytechnic”) school, he established the Iranian Ministry of Science in 1855 and he was first minister of Science for its first 22 years.  He was also the Minister of Telegraphic Industries and served as head of Persia’s printing office a number of times.</w:t>
      </w:r>
    </w:p>
    <w:p w14:paraId="6B67C0A3" w14:textId="77777777" w:rsidR="00625A5B" w:rsidRPr="008F03E5" w:rsidRDefault="00625A5B" w:rsidP="006D567B">
      <w:pPr>
        <w:pStyle w:val="Translit"/>
      </w:pPr>
      <w:r w:rsidRPr="008F03E5">
        <w:t>I’tikaf</w:t>
      </w:r>
      <w:r w:rsidRPr="008F03E5">
        <w:tab/>
        <w:t>I‘tikáf</w:t>
      </w:r>
      <w:r w:rsidRPr="008F03E5">
        <w:tab/>
        <w:t>continuing in prayer, remaining constantly in the mosque; retirement, seclusion (in a place of worship); restraining one’s passions from religious motives; constant devotions.</w:t>
      </w:r>
    </w:p>
    <w:p w14:paraId="06561A8A" w14:textId="77777777" w:rsidR="00625A5B" w:rsidRPr="008F03E5" w:rsidRDefault="00625A5B" w:rsidP="00F17CFB">
      <w:pPr>
        <w:pStyle w:val="Translit"/>
      </w:pPr>
      <w:r w:rsidRPr="008F03E5">
        <w:t>I’timad, I’timadat</w:t>
      </w:r>
      <w:r w:rsidRPr="008F03E5">
        <w:tab/>
        <w:t>I‘timád, pl. I‘timádát</w:t>
      </w:r>
      <w:r w:rsidRPr="008F03E5">
        <w:tab/>
        <w:t>reliance, dependence (on), confidence, trust (in); confirmation; sanction, approbation, authorization; accreditation (of diplomats);—(pl.) credit, loan</w:t>
      </w:r>
    </w:p>
    <w:p w14:paraId="3044D436" w14:textId="77777777" w:rsidR="00625A5B" w:rsidRPr="008F03E5" w:rsidRDefault="00625A5B" w:rsidP="00FC1174">
      <w:pPr>
        <w:pStyle w:val="Translit"/>
      </w:pPr>
      <w:r w:rsidRPr="008F03E5">
        <w:t>I’timadu’d-Dawlih</w:t>
      </w:r>
      <w:r w:rsidRPr="008F03E5">
        <w:tab/>
        <w:t>I‘timádu’d-Dawlih</w:t>
      </w:r>
      <w:r w:rsidRPr="008F03E5">
        <w:tab/>
        <w:t xml:space="preserve">“Trusted of the state”.  Mírzá Áqá </w:t>
      </w:r>
      <w:r w:rsidRPr="008F03E5">
        <w:rPr>
          <w:u w:val="single"/>
        </w:rPr>
        <w:t>Kh</w:t>
      </w:r>
      <w:r w:rsidRPr="008F03E5">
        <w:t xml:space="preserve">án-i-Núrí, the I‘timádu’d-Dawlih, chief minister of state at time of the attempt on the </w:t>
      </w:r>
      <w:r w:rsidRPr="008F03E5">
        <w:rPr>
          <w:u w:val="single"/>
        </w:rPr>
        <w:t>Sh</w:t>
      </w:r>
      <w:r w:rsidRPr="008F03E5">
        <w:t>áh’s life by a crazed Bábi, August 1852.</w:t>
      </w:r>
    </w:p>
    <w:p w14:paraId="5B8DD84F" w14:textId="77777777" w:rsidR="00625A5B" w:rsidRPr="008F03E5" w:rsidRDefault="00625A5B" w:rsidP="00900A82">
      <w:pPr>
        <w:pStyle w:val="Translit"/>
      </w:pPr>
      <w:r w:rsidRPr="008F03E5">
        <w:t>I’timadu’t-Tujjar</w:t>
      </w:r>
      <w:r w:rsidRPr="008F03E5">
        <w:tab/>
        <w:t>I‘timádu’t-Tujjár</w:t>
      </w:r>
      <w:r w:rsidRPr="008F03E5">
        <w:tab/>
      </w:r>
    </w:p>
    <w:p w14:paraId="6BB02D7B" w14:textId="77777777" w:rsidR="00625A5B" w:rsidRPr="008F03E5" w:rsidRDefault="00625A5B" w:rsidP="00970C44">
      <w:pPr>
        <w:pStyle w:val="Translit"/>
      </w:pPr>
      <w:r w:rsidRPr="008F03E5">
        <w:t>I’tiqad, I’taqadat</w:t>
      </w:r>
      <w:r w:rsidRPr="008F03E5">
        <w:tab/>
        <w:t>I‘tiqád, pl. I‘tiqádát</w:t>
      </w:r>
      <w:r w:rsidRPr="008F03E5">
        <w:tab/>
        <w:t>(firm) belief, faith, trust, confidence, conviction;—pl. (religious) creed, faith; article of faith; principle of faith, tenet; doctrine; dogma</w:t>
      </w:r>
    </w:p>
    <w:p w14:paraId="60CDBF44" w14:textId="77777777" w:rsidR="00625A5B" w:rsidRPr="008F03E5" w:rsidRDefault="00625A5B" w:rsidP="008609B8">
      <w:pPr>
        <w:pStyle w:val="Translit"/>
      </w:pPr>
      <w:r w:rsidRPr="008F03E5">
        <w:t>I’tiraf, I’tirafat</w:t>
      </w:r>
      <w:r w:rsidRPr="008F03E5">
        <w:tab/>
        <w:t>I‘tiráf, pl. I‘tiráfát</w:t>
      </w:r>
      <w:r w:rsidRPr="008F03E5">
        <w:tab/>
        <w:t>recognition, acceptance; acknowledgment, avowal, admission, confession; (Christian) confession</w:t>
      </w:r>
    </w:p>
    <w:p w14:paraId="502F9002" w14:textId="77777777" w:rsidR="00625A5B" w:rsidRPr="008F03E5" w:rsidRDefault="00625A5B" w:rsidP="00154036">
      <w:pPr>
        <w:pStyle w:val="Translit"/>
      </w:pPr>
      <w:r w:rsidRPr="008F03E5">
        <w:t>I’tisam (E’tisam)</w:t>
      </w:r>
      <w:r w:rsidRPr="008F03E5">
        <w:tab/>
        <w:t>I‘tiṣám</w:t>
      </w:r>
      <w:r w:rsidRPr="008F03E5">
        <w:tab/>
        <w:t>clinging, adherence (to), maintenance, preservation, guarding, safeguarding</w:t>
      </w:r>
    </w:p>
    <w:p w14:paraId="4BB483AD" w14:textId="77777777" w:rsidR="00625A5B" w:rsidRPr="008F03E5" w:rsidRDefault="00625A5B" w:rsidP="00A065A2">
      <w:pPr>
        <w:pStyle w:val="Translit"/>
      </w:pPr>
      <w:r w:rsidRPr="00077779">
        <w:rPr>
          <w:lang w:val="es-ES_tradnl"/>
        </w:rPr>
        <w:t>Ibada, ‘Ibadat</w:t>
      </w:r>
      <w:r w:rsidRPr="00077779">
        <w:rPr>
          <w:lang w:val="es-ES_tradnl"/>
        </w:rPr>
        <w:tab/>
        <w:t xml:space="preserve">‘Ibáda[t], pl. </w:t>
      </w:r>
      <w:r w:rsidRPr="008F03E5">
        <w:t>‘Ibádát</w:t>
      </w:r>
      <w:r w:rsidRPr="008F03E5">
        <w:tab/>
        <w:t>worship, adoration, veneration; devotional service, divine service (Christian);—pl. acts of devotion, religious observances (Islamic Law)</w:t>
      </w:r>
    </w:p>
    <w:p w14:paraId="672C73B7" w14:textId="77777777" w:rsidR="00625A5B" w:rsidRPr="008F03E5" w:rsidRDefault="00625A5B" w:rsidP="00154036">
      <w:pPr>
        <w:pStyle w:val="Translit"/>
      </w:pPr>
      <w:r w:rsidRPr="008F03E5">
        <w:t>Ibadu’llah</w:t>
      </w:r>
      <w:r w:rsidRPr="008F03E5">
        <w:tab/>
        <w:t>‘Ibádu’lláh</w:t>
      </w:r>
      <w:r w:rsidRPr="008F03E5">
        <w:tab/>
        <w:t>worshippers of God</w:t>
      </w:r>
    </w:p>
    <w:p w14:paraId="2F601497" w14:textId="77777777" w:rsidR="00625A5B" w:rsidRPr="008F03E5" w:rsidRDefault="00625A5B" w:rsidP="00154036">
      <w:pPr>
        <w:pStyle w:val="Translit"/>
      </w:pPr>
      <w:r w:rsidRPr="00C54E6F">
        <w:t>Ibaha, Ibahih</w:t>
      </w:r>
      <w:r w:rsidRPr="00C54E6F">
        <w:tab/>
        <w:t xml:space="preserve">Ibáḥa[h], Pers. </w:t>
      </w:r>
      <w:r w:rsidRPr="008F03E5">
        <w:t>Ibáḥih</w:t>
      </w:r>
      <w:r w:rsidRPr="008F03E5">
        <w:tab/>
        <w:t>divulgence, disclosure (of a secret); permission, authorization; licentiousness.  “Permission” or abrogation of Islamic law on return of the Hidden Imám.</w:t>
      </w:r>
    </w:p>
    <w:p w14:paraId="1402A7EB" w14:textId="77777777" w:rsidR="00625A5B" w:rsidRPr="008F03E5" w:rsidRDefault="00625A5B" w:rsidP="00F11F60">
      <w:pPr>
        <w:pStyle w:val="Translit"/>
      </w:pPr>
      <w:r w:rsidRPr="008F03E5">
        <w:t>Ibda‘</w:t>
      </w:r>
      <w:r w:rsidRPr="008F03E5">
        <w:tab/>
        <w:t>Ibdá‘</w:t>
      </w:r>
      <w:r w:rsidRPr="008F03E5">
        <w:tab/>
        <w:t>creation, fashioning, shaping; a marvellous, unique achievement; uniqueness, singularity, originality; creative ability</w:t>
      </w:r>
    </w:p>
    <w:p w14:paraId="44F0ABA7" w14:textId="77777777" w:rsidR="00625A5B" w:rsidRPr="008F03E5" w:rsidRDefault="00625A5B" w:rsidP="00B611CE">
      <w:pPr>
        <w:pStyle w:val="Translit"/>
      </w:pPr>
      <w:r w:rsidRPr="008F03E5">
        <w:t>Ibda’i</w:t>
      </w:r>
      <w:r w:rsidRPr="008F03E5">
        <w:tab/>
        <w:t>Ibdá‘í</w:t>
      </w:r>
      <w:r w:rsidRPr="008F03E5">
        <w:tab/>
        <w:t>romantic (literally)</w:t>
      </w:r>
    </w:p>
    <w:p w14:paraId="5FF5F1DE" w14:textId="77777777" w:rsidR="00625A5B" w:rsidRPr="008F03E5" w:rsidRDefault="00625A5B" w:rsidP="00B611CE">
      <w:pPr>
        <w:pStyle w:val="Translit"/>
      </w:pPr>
      <w:r w:rsidRPr="008F03E5">
        <w:t>Ibda’iya</w:t>
      </w:r>
      <w:r w:rsidRPr="008F03E5">
        <w:tab/>
        <w:t>Ibdá‘íya</w:t>
      </w:r>
      <w:r w:rsidRPr="008F03E5">
        <w:tab/>
        <w:t>romanticism (literally)</w:t>
      </w:r>
    </w:p>
    <w:p w14:paraId="794CC76F" w14:textId="77777777" w:rsidR="00625A5B" w:rsidRPr="008F03E5" w:rsidRDefault="00625A5B" w:rsidP="00B611CE">
      <w:pPr>
        <w:pStyle w:val="Translit"/>
      </w:pPr>
      <w:r w:rsidRPr="008F03E5">
        <w:t>Ibdal</w:t>
      </w:r>
      <w:r w:rsidRPr="008F03E5">
        <w:tab/>
        <w:t>Ibdál</w:t>
      </w:r>
      <w:r w:rsidRPr="008F03E5">
        <w:tab/>
        <w:t>exchange, interchange, replacement (by), substitution (of); change; phonetic change.</w:t>
      </w:r>
    </w:p>
    <w:p w14:paraId="118BDBD9" w14:textId="77777777" w:rsidR="00625A5B" w:rsidRPr="008F03E5" w:rsidRDefault="00625A5B" w:rsidP="00B611CE">
      <w:pPr>
        <w:pStyle w:val="Translit"/>
      </w:pPr>
      <w:r w:rsidRPr="00077779">
        <w:rPr>
          <w:lang w:val="es-ES_tradnl"/>
        </w:rPr>
        <w:t>Iblis (Eblis), Abalisa</w:t>
      </w:r>
      <w:r w:rsidRPr="00077779">
        <w:rPr>
          <w:lang w:val="es-ES_tradnl"/>
        </w:rPr>
        <w:tab/>
        <w:t>Iblís, pl. Abálisa</w:t>
      </w:r>
      <w:r w:rsidRPr="00077779">
        <w:rPr>
          <w:lang w:val="es-ES_tradnl"/>
        </w:rPr>
        <w:tab/>
        <w:t xml:space="preserve">devil, Satan.  </w:t>
      </w:r>
      <w:r w:rsidRPr="008F03E5">
        <w:t>A figure often occurring in the Qur’án, regarded by many classical scholars as an angel, but as a jinn in most contemporary scholarship.</w:t>
      </w:r>
    </w:p>
    <w:p w14:paraId="3D7DC450" w14:textId="77777777" w:rsidR="00625A5B" w:rsidRPr="008F03E5" w:rsidRDefault="00625A5B" w:rsidP="00DA3B11">
      <w:pPr>
        <w:pStyle w:val="Translit"/>
      </w:pPr>
      <w:r w:rsidRPr="008F03E5">
        <w:t>Ibn ‘Arabi</w:t>
      </w:r>
      <w:r w:rsidRPr="008F03E5">
        <w:tab/>
        <w:t>Ibn ‘Arabí</w:t>
      </w:r>
      <w:r w:rsidRPr="008F03E5">
        <w:tab/>
        <w:t>ʻAbd Alláh Muḥammad ibn al-ʻArabí a</w:t>
      </w:r>
      <w:r w:rsidRPr="00DA3B11">
        <w:t>ṭ</w:t>
      </w:r>
      <w:r w:rsidRPr="008F03E5">
        <w:t>-Ṭá’í al-Ḥátimí (1165–1240), nicknamed al-Qushayrí and Sulṭán al-‘Árifín (‘Sultan of the Knowers’), was an Arab Andalusian Muslim scholar, mystic, poet, and philosopher.  He was extremely influential within Islamic thought.</w:t>
      </w:r>
    </w:p>
    <w:p w14:paraId="1CE0F88C" w14:textId="77777777" w:rsidR="00625A5B" w:rsidRPr="008F03E5" w:rsidRDefault="00625A5B" w:rsidP="00FE6CEB">
      <w:pPr>
        <w:pStyle w:val="Translit"/>
      </w:pPr>
      <w:r w:rsidRPr="008F03E5">
        <w:t>Ibn, Abna’, Banun, Bani, Banin, Banu</w:t>
      </w:r>
      <w:r w:rsidRPr="008F03E5">
        <w:tab/>
        <w:t>Ibn, (colloquial bin), pl. Abná’, Banún</w:t>
      </w:r>
      <w:r w:rsidRPr="008F03E5">
        <w:tab/>
        <w:t>son; descendant, scion; offspring, son (of a nation or people).  Use ibn at the start of a name, not bin.  Other plurals:  baní, banín and banú.  Sometimes bin is contracted as “b.”.  Usually lowercase used in names.  Turkish oğlu (son (of), u</w:t>
      </w:r>
      <w:r w:rsidRPr="008F03E5">
        <w:rPr>
          <w:u w:val="single"/>
        </w:rPr>
        <w:t>gh</w:t>
      </w:r>
      <w:r w:rsidRPr="008F03E5">
        <w:t>lú, “oghlu”, “oghlou”, is also used as a suffix).  In Persian also púr (“pur”), e.g. púri Síná.  See ‘Amm.</w:t>
      </w:r>
    </w:p>
    <w:p w14:paraId="7DABD145" w14:textId="77777777" w:rsidR="00625A5B" w:rsidRPr="008F03E5" w:rsidRDefault="00625A5B" w:rsidP="004C498F">
      <w:pPr>
        <w:pStyle w:val="Translit"/>
      </w:pPr>
      <w:r w:rsidRPr="00D45A23">
        <w:rPr>
          <w:lang w:val="fr-FR"/>
        </w:rPr>
        <w:t>Ibna, Bint, Banat</w:t>
      </w:r>
      <w:r w:rsidRPr="00D45A23">
        <w:rPr>
          <w:lang w:val="fr-FR"/>
        </w:rPr>
        <w:tab/>
        <w:t xml:space="preserve">Ibna[t] (colloquial bint), pl. </w:t>
      </w:r>
      <w:r w:rsidRPr="008F03E5">
        <w:t>Banát</w:t>
      </w:r>
      <w:r w:rsidRPr="008F03E5">
        <w:tab/>
        <w:t>feminine of ibn.  daughter; bint girl.  Usually lowercase used in names.  See ‘Amm.</w:t>
      </w:r>
    </w:p>
    <w:p w14:paraId="43885008" w14:textId="77777777" w:rsidR="00625A5B" w:rsidRPr="008F03E5" w:rsidRDefault="00625A5B" w:rsidP="003324CD">
      <w:pPr>
        <w:pStyle w:val="Translit"/>
      </w:pPr>
      <w:r w:rsidRPr="002B1AB3">
        <w:rPr>
          <w:lang w:val="en-AU"/>
        </w:rPr>
        <w:t>Ibnu’l-, Ibn-i-</w:t>
      </w:r>
      <w:r w:rsidRPr="002B1AB3">
        <w:rPr>
          <w:lang w:val="en-AU"/>
        </w:rPr>
        <w:tab/>
        <w:t xml:space="preserve">Ibnu’l-, Pers. </w:t>
      </w:r>
      <w:r w:rsidRPr="008F03E5">
        <w:t>Ibn-i-</w:t>
      </w:r>
      <w:r w:rsidRPr="008F03E5">
        <w:tab/>
        <w:t>elided forms of ibn</w:t>
      </w:r>
    </w:p>
    <w:p w14:paraId="5F73286F" w14:textId="77777777" w:rsidR="00625A5B" w:rsidRPr="008F03E5" w:rsidRDefault="00625A5B" w:rsidP="00143DF3">
      <w:pPr>
        <w:pStyle w:val="Translit"/>
      </w:pPr>
      <w:r w:rsidRPr="008F03E5">
        <w:t>Ibnu’l-Alusi</w:t>
      </w:r>
      <w:r w:rsidRPr="008F03E5">
        <w:tab/>
        <w:t>Ibnu’l-Álúsí</w:t>
      </w:r>
      <w:r w:rsidRPr="008F03E5">
        <w:tab/>
        <w:t>the chief jurisconsult [muftí] of Ba</w:t>
      </w:r>
      <w:r w:rsidRPr="008F03E5">
        <w:rPr>
          <w:u w:val="single"/>
        </w:rPr>
        <w:t>gh</w:t>
      </w:r>
      <w:r w:rsidRPr="008F03E5">
        <w:t xml:space="preserve">dád—one of the five sons of the famous </w:t>
      </w:r>
      <w:r w:rsidRPr="008F03E5">
        <w:rPr>
          <w:u w:val="single"/>
        </w:rPr>
        <w:t>Sh</w:t>
      </w:r>
      <w:r w:rsidRPr="008F03E5">
        <w:t>ay</w:t>
      </w:r>
      <w:r w:rsidRPr="008F03E5">
        <w:rPr>
          <w:u w:val="single"/>
        </w:rPr>
        <w:t>kh</w:t>
      </w:r>
      <w:r w:rsidRPr="008F03E5">
        <w:t xml:space="preserve"> Maḥmúd al-Álúsí.  Probably one of the three eldest:  ‘Abdu’lláh, Bahá’u’d-Dín; ‘Abdu’l-Baqí‘; and Siyyid Na‘mán, </w:t>
      </w:r>
      <w:r w:rsidRPr="008F03E5">
        <w:rPr>
          <w:u w:val="single"/>
        </w:rPr>
        <w:t>Kh</w:t>
      </w:r>
      <w:r w:rsidRPr="008F03E5">
        <w:t>ayru’d-Dín.</w:t>
      </w:r>
    </w:p>
    <w:p w14:paraId="5FE308E2" w14:textId="77777777" w:rsidR="00625A5B" w:rsidRPr="008F03E5" w:rsidRDefault="00625A5B" w:rsidP="00E33221">
      <w:pPr>
        <w:pStyle w:val="Translit"/>
      </w:pPr>
      <w:r w:rsidRPr="008F03E5">
        <w:t>Ibrahim</w:t>
      </w:r>
      <w:r w:rsidRPr="008F03E5">
        <w:tab/>
        <w:t>Ibráhím</w:t>
      </w:r>
      <w:r w:rsidRPr="008F03E5">
        <w:tab/>
        <w:t>Abraham.  Patriarch of the people of Israel.  Variations:  ibráhim, ibráhum,</w:t>
      </w:r>
      <w:r w:rsidRPr="008F03E5">
        <w:rPr>
          <w:rFonts w:eastAsia="Times New Roman"/>
        </w:rPr>
        <w:t xml:space="preserve"> </w:t>
      </w:r>
      <w:r w:rsidRPr="008F03E5">
        <w:t>ibráham,</w:t>
      </w:r>
      <w:r w:rsidRPr="008F03E5">
        <w:rPr>
          <w:rFonts w:eastAsia="Times New Roman"/>
        </w:rPr>
        <w:t xml:space="preserve"> or </w:t>
      </w:r>
      <w:r w:rsidRPr="008F03E5">
        <w:t>ibráhúm.</w:t>
      </w:r>
    </w:p>
    <w:p w14:paraId="23D8A8C9" w14:textId="77777777" w:rsidR="00625A5B" w:rsidRPr="008F03E5" w:rsidRDefault="00625A5B" w:rsidP="00900A82">
      <w:pPr>
        <w:pStyle w:val="Translit"/>
      </w:pPr>
      <w:r w:rsidRPr="008F03E5">
        <w:t>Ibrahim-i-Isfahani</w:t>
      </w:r>
      <w:r w:rsidRPr="008F03E5">
        <w:tab/>
        <w:t>Ibráhím-i-Iṣfahání</w:t>
      </w:r>
      <w:r w:rsidRPr="008F03E5">
        <w:tab/>
      </w:r>
    </w:p>
    <w:p w14:paraId="49CFE2F6" w14:textId="77777777" w:rsidR="00625A5B" w:rsidRPr="008F03E5" w:rsidRDefault="00625A5B" w:rsidP="00900A82">
      <w:pPr>
        <w:pStyle w:val="Translit"/>
      </w:pPr>
      <w:r w:rsidRPr="008F03E5">
        <w:t>Ibrahim-i-Khalil</w:t>
      </w:r>
      <w:r w:rsidRPr="008F03E5">
        <w:tab/>
        <w:t>Ibráhím-i-</w:t>
      </w:r>
      <w:r w:rsidRPr="008F03E5">
        <w:rPr>
          <w:u w:val="single"/>
        </w:rPr>
        <w:t>Kh</w:t>
      </w:r>
      <w:r w:rsidRPr="008F03E5">
        <w:t>alíl</w:t>
      </w:r>
      <w:r w:rsidRPr="008F03E5">
        <w:tab/>
      </w:r>
    </w:p>
    <w:p w14:paraId="4742DD32" w14:textId="77777777" w:rsidR="00625A5B" w:rsidRPr="008F03E5" w:rsidRDefault="00625A5B" w:rsidP="003A5C43">
      <w:pPr>
        <w:pStyle w:val="Translit"/>
      </w:pPr>
      <w:r w:rsidRPr="008F03E5">
        <w:t>Ibrahim-i-Khayru’llah</w:t>
      </w:r>
      <w:r w:rsidRPr="008F03E5">
        <w:tab/>
        <w:t>Ibráhím-i-</w:t>
      </w:r>
      <w:r w:rsidRPr="008F03E5">
        <w:rPr>
          <w:u w:val="single"/>
        </w:rPr>
        <w:t>Kh</w:t>
      </w:r>
      <w:r w:rsidRPr="008F03E5">
        <w:t>ayru’lláh</w:t>
      </w:r>
      <w:r w:rsidRPr="008F03E5">
        <w:tab/>
      </w:r>
      <w:r w:rsidRPr="008F03E5">
        <w:rPr>
          <w:lang w:eastAsia="en-US"/>
        </w:rPr>
        <w:t xml:space="preserve">Syrian doctor, </w:t>
      </w:r>
      <w:r w:rsidRPr="008F03E5">
        <w:t xml:space="preserve">the first Bahá’í teacher in America, </w:t>
      </w:r>
      <w:r w:rsidRPr="008F03E5">
        <w:rPr>
          <w:lang w:eastAsia="en-US"/>
        </w:rPr>
        <w:t>and later joined forces with Mu</w:t>
      </w:r>
      <w:r w:rsidRPr="008F03E5">
        <w:t>ḥ</w:t>
      </w:r>
      <w:r w:rsidRPr="008F03E5">
        <w:rPr>
          <w:lang w:eastAsia="en-US"/>
        </w:rPr>
        <w:t>ammad-‘Ali, the half-brother of ‘Abdu’l-Bahá.  His English wife, Miriam, remained loyal to ‘Abdu’l-Bahá, and later they were divorced.</w:t>
      </w:r>
      <w:r w:rsidRPr="008F03E5">
        <w:t xml:space="preserve">  Refer to Balyuzi:  </w:t>
      </w:r>
      <w:r w:rsidRPr="008F03E5">
        <w:rPr>
          <w:i/>
          <w:iCs/>
        </w:rPr>
        <w:t>Edward Granville Browne and the Bahá’í Faith</w:t>
      </w:r>
      <w:r w:rsidRPr="008F03E5">
        <w:t>, pp. 114–117.</w:t>
      </w:r>
    </w:p>
    <w:p w14:paraId="6B2C9B3B" w14:textId="77777777" w:rsidR="00625A5B" w:rsidRPr="008F03E5" w:rsidRDefault="00625A5B" w:rsidP="00B040F6">
      <w:pPr>
        <w:pStyle w:val="Translit"/>
      </w:pPr>
      <w:r w:rsidRPr="008F03E5">
        <w:t>Ibrani</w:t>
      </w:r>
      <w:r w:rsidRPr="008F03E5">
        <w:tab/>
        <w:t>Ibrání</w:t>
      </w:r>
      <w:r w:rsidRPr="008F03E5">
        <w:tab/>
        <w:t>Hebrew, Hebraic; a Hebrew</w:t>
      </w:r>
    </w:p>
    <w:p w14:paraId="294C1EFF" w14:textId="77777777" w:rsidR="00625A5B" w:rsidRPr="008F03E5" w:rsidRDefault="00625A5B" w:rsidP="007960DA">
      <w:pPr>
        <w:pStyle w:val="Translit"/>
      </w:pPr>
      <w:r w:rsidRPr="008F03E5">
        <w:t>Ibtihaj</w:t>
      </w:r>
      <w:r w:rsidRPr="008F03E5">
        <w:tab/>
        <w:t>Ibtiháj</w:t>
      </w:r>
      <w:r w:rsidRPr="008F03E5">
        <w:tab/>
        <w:t>joy, rejoicing, delight (at)</w:t>
      </w:r>
    </w:p>
    <w:p w14:paraId="684DDA27" w14:textId="77777777" w:rsidR="00625A5B" w:rsidRPr="008F03E5" w:rsidRDefault="00625A5B" w:rsidP="00900A82">
      <w:pPr>
        <w:pStyle w:val="Translit"/>
      </w:pPr>
      <w:r w:rsidRPr="008F03E5">
        <w:t>Ibtihaju’l-Mulk</w:t>
      </w:r>
      <w:r w:rsidRPr="008F03E5">
        <w:tab/>
        <w:t>Ibtiháju’l-Mulk</w:t>
      </w:r>
      <w:r w:rsidRPr="008F03E5">
        <w:tab/>
      </w:r>
      <w:r w:rsidRPr="008F03E5">
        <w:rPr>
          <w:lang w:eastAsia="en-US"/>
        </w:rPr>
        <w:t>Ibtiháju’l-Mulk of Gílán</w:t>
      </w:r>
    </w:p>
    <w:p w14:paraId="0DB6E8E1" w14:textId="77777777" w:rsidR="00625A5B" w:rsidRPr="008F03E5" w:rsidRDefault="00625A5B" w:rsidP="005343F8">
      <w:pPr>
        <w:pStyle w:val="Translit"/>
      </w:pPr>
      <w:r w:rsidRPr="008F03E5">
        <w:t>Id (Eid), ‘Ayad</w:t>
      </w:r>
      <w:r w:rsidRPr="008F03E5">
        <w:tab/>
        <w:t>‘Íd, pl. ‘Ayád</w:t>
      </w:r>
      <w:r w:rsidRPr="008F03E5">
        <w:tab/>
        <w:t>anything which returns (of care, grief, or sickness); a solemnity, feast, festival, holiday;—pl. manners, customs, habits</w:t>
      </w:r>
    </w:p>
    <w:p w14:paraId="3D10C9FE" w14:textId="77777777" w:rsidR="00625A5B" w:rsidRPr="008F03E5" w:rsidRDefault="00625A5B" w:rsidP="00BC1483">
      <w:pPr>
        <w:pStyle w:val="Translit"/>
      </w:pPr>
      <w:r w:rsidRPr="008F03E5">
        <w:t>Id al-Adha</w:t>
      </w:r>
      <w:r w:rsidRPr="008F03E5">
        <w:tab/>
        <w:t>‘Íd al-Aḍḥá</w:t>
      </w:r>
      <w:r w:rsidRPr="008F03E5">
        <w:tab/>
        <w:t xml:space="preserve">the Feast of Immolation (see Aḍḥan), or Greater Bayrám, on the 10th of </w:t>
      </w:r>
      <w:r w:rsidRPr="008F03E5">
        <w:rPr>
          <w:u w:val="single"/>
        </w:rPr>
        <w:t>Dh</w:t>
      </w:r>
      <w:r w:rsidRPr="008F03E5">
        <w:rPr>
          <w:rFonts w:eastAsia="PMingLiU"/>
          <w:lang w:eastAsia="zh-TW"/>
        </w:rPr>
        <w:t>u’l-</w:t>
      </w:r>
      <w:r w:rsidRPr="008F03E5">
        <w:t>Ḥ</w:t>
      </w:r>
      <w:r w:rsidRPr="008F03E5">
        <w:rPr>
          <w:rFonts w:eastAsia="PMingLiU"/>
          <w:lang w:eastAsia="zh-TW"/>
        </w:rPr>
        <w:t>ijjah</w:t>
      </w:r>
    </w:p>
    <w:p w14:paraId="4821EF56" w14:textId="77777777" w:rsidR="00625A5B" w:rsidRPr="008F03E5" w:rsidRDefault="00625A5B" w:rsidP="00B75CAE">
      <w:pPr>
        <w:pStyle w:val="Translit"/>
      </w:pPr>
      <w:r w:rsidRPr="008F03E5">
        <w:t>Id al-Fitr</w:t>
      </w:r>
      <w:r w:rsidRPr="008F03E5">
        <w:tab/>
        <w:t>‘Íd al-Fiṭr</w:t>
      </w:r>
      <w:r w:rsidRPr="008F03E5">
        <w:tab/>
        <w:t xml:space="preserve">Feast of Breaking the Ramaḍán Feast, or Lesser Bayrám, celebrated on the 1st of </w:t>
      </w:r>
      <w:r w:rsidRPr="008F03E5">
        <w:rPr>
          <w:u w:val="single"/>
        </w:rPr>
        <w:t>Sh</w:t>
      </w:r>
      <w:r w:rsidRPr="008F03E5">
        <w:t>awwál</w:t>
      </w:r>
    </w:p>
    <w:p w14:paraId="58E79CD1" w14:textId="77777777" w:rsidR="00625A5B" w:rsidRPr="008F03E5" w:rsidRDefault="00625A5B" w:rsidP="000D1460">
      <w:pPr>
        <w:pStyle w:val="Translit"/>
      </w:pPr>
      <w:r w:rsidRPr="008F03E5">
        <w:t>Id al-Mab’ath</w:t>
      </w:r>
      <w:r w:rsidRPr="008F03E5">
        <w:tab/>
        <w:t>‘Íd al-Mab‘a</w:t>
      </w:r>
      <w:r w:rsidRPr="008F03E5">
        <w:rPr>
          <w:u w:val="single"/>
        </w:rPr>
        <w:t>th</w:t>
      </w:r>
      <w:r w:rsidRPr="008F03E5">
        <w:tab/>
        <w:t xml:space="preserve">Feast of Resurgence commemorating revelation of first verses to Muḥammad in 10 August </w:t>
      </w:r>
      <w:r w:rsidRPr="008F03E5">
        <w:rPr>
          <w:sz w:val="16"/>
          <w:szCs w:val="16"/>
        </w:rPr>
        <w:t>CE</w:t>
      </w:r>
      <w:r w:rsidRPr="008F03E5">
        <w:t xml:space="preserve"> 610, celebrated on 27 Rajab</w:t>
      </w:r>
    </w:p>
    <w:p w14:paraId="4877F151" w14:textId="77777777" w:rsidR="00625A5B" w:rsidRPr="008F03E5" w:rsidRDefault="00625A5B" w:rsidP="00F36F1F">
      <w:pPr>
        <w:pStyle w:val="Translit"/>
      </w:pPr>
      <w:r w:rsidRPr="008F03E5">
        <w:t>Id ar-Ridwan</w:t>
      </w:r>
      <w:r w:rsidRPr="008F03E5">
        <w:tab/>
        <w:t>‘Íd ar-Riḍván</w:t>
      </w:r>
      <w:r w:rsidRPr="008F03E5">
        <w:tab/>
        <w:t>Feast of Riḍván.</w:t>
      </w:r>
    </w:p>
    <w:p w14:paraId="3C717FC6" w14:textId="77777777" w:rsidR="00625A5B" w:rsidRPr="008F03E5" w:rsidRDefault="00625A5B" w:rsidP="007B363D">
      <w:pPr>
        <w:pStyle w:val="Translit"/>
      </w:pPr>
      <w:r w:rsidRPr="008F03E5">
        <w:t>Idafa (Izafa, Izafe, Ezafe, Izofa)</w:t>
      </w:r>
      <w:r w:rsidRPr="008F03E5">
        <w:tab/>
        <w:t>Iḍáfa[h or t]</w:t>
      </w:r>
      <w:r w:rsidRPr="008F03E5">
        <w:tab/>
        <w:t>Arabic (</w:t>
      </w:r>
      <w:r w:rsidRPr="008F03E5">
        <w:rPr>
          <w:rtl/>
        </w:rPr>
        <w:t>إِضَافَة</w:t>
      </w:r>
      <w:r w:rsidRPr="008F03E5">
        <w:t>):  addition, apposition; annexation, appending, attachment, augmentation, supplementation; assignment, allocation; ascription, attribution (to); genitive construction (grammar) mostly used to indicate possession.  In Persian (</w:t>
      </w:r>
      <w:r w:rsidRPr="008F03E5">
        <w:rPr>
          <w:rtl/>
        </w:rPr>
        <w:t>اضافه</w:t>
      </w:r>
      <w:r w:rsidRPr="008F03E5">
        <w:t>, literal meaning “extra” or “added”), it is a grammatical particle (also Persian influenced languages, e.g. Turkish), that links two words together.  In Persian it consists of the unstressed short vowel -e or -i- (y-e or y-i- after long vowels) between the words it connects and often approximately corresponds to the English preposition “of”.  The iḍáfah is generally not indicated in Persian script, which is also normally written without short vowels.  Possessive:  barádar-i-Maryam “Maryam’s brother” (it can also apply to pronominal possession, barádar-i-man “my brother”.  Adjective-noun:  barádar-i-buzurg “the big brother”.  Given name/title-of family name:  Muḥammad-i-Muṣaddiq, á</w:t>
      </w:r>
      <w:r w:rsidRPr="008F03E5">
        <w:rPr>
          <w:u w:val="single"/>
        </w:rPr>
        <w:t>gh</w:t>
      </w:r>
      <w:r w:rsidRPr="008F03E5">
        <w:t xml:space="preserve">áy-i-Muṣaddiq “Mr Mosaddeq”.  Linking two nouns:  </w:t>
      </w:r>
      <w:r w:rsidRPr="008F03E5">
        <w:rPr>
          <w:u w:val="single"/>
        </w:rPr>
        <w:t>kh</w:t>
      </w:r>
      <w:r w:rsidRPr="008F03E5">
        <w:t>iyábán-i-Tiḥrán “Tehran Street” or “Road to Tehran”.</w:t>
      </w:r>
    </w:p>
    <w:p w14:paraId="693FB67A" w14:textId="77777777" w:rsidR="00625A5B" w:rsidRPr="008F03E5" w:rsidRDefault="00625A5B" w:rsidP="00355F58">
      <w:pPr>
        <w:pStyle w:val="Translit"/>
      </w:pPr>
      <w:r w:rsidRPr="008F03E5">
        <w:t>Idafiya (Idafiyyah)</w:t>
      </w:r>
      <w:r w:rsidRPr="008F03E5">
        <w:tab/>
        <w:t>Iḍáfíya[h]</w:t>
      </w:r>
      <w:r w:rsidRPr="008F03E5">
        <w:tab/>
        <w:t>relativity or correlational (philosophical)</w:t>
      </w:r>
    </w:p>
    <w:p w14:paraId="4C486792" w14:textId="77777777" w:rsidR="00625A5B" w:rsidRPr="008F03E5" w:rsidRDefault="00625A5B" w:rsidP="00355F58">
      <w:pPr>
        <w:pStyle w:val="Translit"/>
      </w:pPr>
      <w:r w:rsidRPr="008F03E5">
        <w:t>Idal</w:t>
      </w:r>
      <w:r w:rsidRPr="008F03E5">
        <w:tab/>
        <w:t>‘Idál</w:t>
      </w:r>
      <w:r w:rsidRPr="008F03E5">
        <w:tab/>
        <w:t>justice.  See ‘adl</w:t>
      </w:r>
    </w:p>
    <w:p w14:paraId="10BA328B" w14:textId="77777777" w:rsidR="00625A5B" w:rsidRPr="008F03E5" w:rsidRDefault="00625A5B" w:rsidP="00DD0D2E">
      <w:pPr>
        <w:pStyle w:val="Translit"/>
      </w:pPr>
      <w:r w:rsidRPr="008F03E5">
        <w:t>Idbar</w:t>
      </w:r>
      <w:r w:rsidRPr="008F03E5">
        <w:tab/>
        <w:t>Idbár</w:t>
      </w:r>
      <w:r w:rsidRPr="008F03E5">
        <w:tab/>
        <w:t>flight, retreat; “turn around”</w:t>
      </w:r>
    </w:p>
    <w:p w14:paraId="5231C48E" w14:textId="77777777" w:rsidR="00625A5B" w:rsidRPr="008F03E5" w:rsidRDefault="00625A5B" w:rsidP="00B236F8">
      <w:pPr>
        <w:pStyle w:val="Translit"/>
      </w:pPr>
      <w:r w:rsidRPr="008F03E5">
        <w:t>Idda (‘Iddah, ‘Iddat)</w:t>
      </w:r>
      <w:r w:rsidRPr="008F03E5">
        <w:tab/>
        <w:t>‘Idda</w:t>
      </w:r>
      <w:r w:rsidRPr="008F03E5">
        <w:tab/>
        <w:t>number; several, numerous, many.  ‘iddat, legally prescribed period of waiting during which a woman may not remarry after being widowed or divorced (Islamic Law)</w:t>
      </w:r>
    </w:p>
    <w:p w14:paraId="5A4E4F0E" w14:textId="77777777" w:rsidR="00625A5B" w:rsidRPr="008F03E5" w:rsidRDefault="00625A5B" w:rsidP="004B1D55">
      <w:pPr>
        <w:pStyle w:val="Translit"/>
      </w:pPr>
      <w:r w:rsidRPr="008F03E5">
        <w:t>Idha</w:t>
      </w:r>
      <w:r w:rsidRPr="008F03E5">
        <w:tab/>
        <w:t>I</w:t>
      </w:r>
      <w:r w:rsidRPr="008F03E5">
        <w:rPr>
          <w:u w:val="single"/>
        </w:rPr>
        <w:t>dh</w:t>
      </w:r>
      <w:r w:rsidRPr="008F03E5">
        <w:t>á</w:t>
      </w:r>
      <w:r w:rsidRPr="008F03E5">
        <w:tab/>
        <w:t xml:space="preserve">1.  (introducing a nominal clause the subject of which may he expressed by </w:t>
      </w:r>
      <w:r w:rsidRPr="008F03E5">
        <w:rPr>
          <w:rtl/>
        </w:rPr>
        <w:t>ب</w:t>
      </w:r>
      <w:r w:rsidRPr="008F03E5">
        <w:t xml:space="preserve"> (“b”) with following genitive) and then, and all of a sudden; (with noun in nominative case or with </w:t>
      </w:r>
      <w:r w:rsidRPr="008F03E5">
        <w:rPr>
          <w:rtl/>
        </w:rPr>
        <w:t>ب</w:t>
      </w:r>
      <w:r w:rsidRPr="008F03E5">
        <w:t>) there was … and all of a sudden there was …; 2.  (conjunction) when; if, whenever; whether, if (introducing indirect questions)</w:t>
      </w:r>
    </w:p>
    <w:p w14:paraId="093BB344" w14:textId="77777777" w:rsidR="00625A5B" w:rsidRPr="008F03E5" w:rsidRDefault="00625A5B" w:rsidP="00EA2BD3">
      <w:pPr>
        <w:pStyle w:val="Translit"/>
      </w:pPr>
      <w:r w:rsidRPr="008F03E5">
        <w:t>Idhn</w:t>
      </w:r>
      <w:r w:rsidRPr="008F03E5">
        <w:tab/>
        <w:t>I</w:t>
      </w:r>
      <w:r w:rsidRPr="008F03E5">
        <w:rPr>
          <w:u w:val="single"/>
        </w:rPr>
        <w:t>dh</w:t>
      </w:r>
      <w:r w:rsidRPr="008F03E5">
        <w:t>n</w:t>
      </w:r>
      <w:r w:rsidRPr="008F03E5">
        <w:tab/>
        <w:t>permission, authorization</w:t>
      </w:r>
    </w:p>
    <w:p w14:paraId="5258EFC0" w14:textId="77777777" w:rsidR="00625A5B" w:rsidRPr="008F03E5" w:rsidRDefault="00625A5B" w:rsidP="003122BF">
      <w:pPr>
        <w:pStyle w:val="Translit"/>
      </w:pPr>
      <w:r w:rsidRPr="008F03E5">
        <w:t>Idris (Edris)</w:t>
      </w:r>
      <w:r w:rsidRPr="008F03E5">
        <w:tab/>
        <w:t>Idrís</w:t>
      </w:r>
      <w:r w:rsidRPr="008F03E5">
        <w:tab/>
        <w:t>Idris.  Islamic Prophet typically identified as Enoch (</w:t>
      </w:r>
      <w:r w:rsidRPr="008F03E5">
        <w:rPr>
          <w:rFonts w:eastAsia="Times New Roman"/>
        </w:rPr>
        <w:t>a</w:t>
      </w:r>
      <w:r w:rsidRPr="008F03E5">
        <w:rPr>
          <w:rFonts w:eastAsia="Times New Roman"/>
          <w:u w:val="single"/>
        </w:rPr>
        <w:t>kh</w:t>
      </w:r>
      <w:r w:rsidRPr="008F03E5">
        <w:rPr>
          <w:rFonts w:eastAsia="Times New Roman"/>
        </w:rPr>
        <w:t>nú</w:t>
      </w:r>
      <w:r w:rsidRPr="008F03E5">
        <w:rPr>
          <w:rFonts w:eastAsia="Times New Roman"/>
          <w:u w:val="single"/>
        </w:rPr>
        <w:t>k</w:t>
      </w:r>
      <w:r w:rsidRPr="008F03E5">
        <w:t>), but Bahá’u’lláh identifies him with Hermes.  Mentioned in Qur’án 19:56 (Rodwell 19:57) and 21:85.  See Urmus.</w:t>
      </w:r>
    </w:p>
    <w:p w14:paraId="38F26D7F" w14:textId="77777777" w:rsidR="00625A5B" w:rsidRPr="008F03E5" w:rsidRDefault="00625A5B" w:rsidP="00112A7D">
      <w:pPr>
        <w:pStyle w:val="Translit"/>
      </w:pPr>
      <w:r w:rsidRPr="008F03E5">
        <w:t>Idrisiyah</w:t>
      </w:r>
      <w:r w:rsidRPr="008F03E5">
        <w:tab/>
        <w:t>Idrísiyah</w:t>
      </w:r>
      <w:r w:rsidRPr="008F03E5">
        <w:tab/>
        <w:t>Imárah ‘Asír Idrísiyah (the Idrisid Emirate of Asir) was a state located on the Arabian Peninsula.  See ‘Asír.</w:t>
      </w:r>
    </w:p>
    <w:p w14:paraId="475F6552" w14:textId="77777777" w:rsidR="00625A5B" w:rsidRPr="008F03E5" w:rsidRDefault="00625A5B" w:rsidP="004833E3">
      <w:pPr>
        <w:pStyle w:val="Translit"/>
      </w:pPr>
      <w:r w:rsidRPr="008F03E5">
        <w:t>Iffatiya</w:t>
      </w:r>
      <w:r>
        <w:t xml:space="preserve">, </w:t>
      </w:r>
      <w:r w:rsidRPr="008F03E5">
        <w:t>Iffatiyyah</w:t>
      </w:r>
      <w:r w:rsidRPr="008F03E5">
        <w:tab/>
      </w:r>
      <w:r>
        <w:t>‘</w:t>
      </w:r>
      <w:r w:rsidRPr="008F03E5">
        <w:t>Iffat</w:t>
      </w:r>
      <w:r w:rsidRPr="007931D6">
        <w:t>í</w:t>
      </w:r>
      <w:r w:rsidRPr="008F03E5">
        <w:t>ya</w:t>
      </w:r>
      <w:r>
        <w:t>[</w:t>
      </w:r>
      <w:r w:rsidRPr="008F03E5">
        <w:t>h</w:t>
      </w:r>
      <w:r>
        <w:t xml:space="preserve"> or t], Pers. ‘</w:t>
      </w:r>
      <w:r w:rsidRPr="008F03E5">
        <w:t>Iffatiyyah</w:t>
      </w:r>
      <w:r w:rsidRPr="008F03E5">
        <w:tab/>
        <w:t>place of chastity, used in the sense of ‘Iffat</w:t>
      </w:r>
      <w:r w:rsidRPr="007931D6">
        <w:t>í</w:t>
      </w:r>
      <w:r w:rsidRPr="008F03E5">
        <w:t>yah school for girls.</w:t>
      </w:r>
      <w:r>
        <w:t xml:space="preserve">  See ‘Affa.</w:t>
      </w:r>
    </w:p>
    <w:p w14:paraId="31BEDFDE" w14:textId="77777777" w:rsidR="00625A5B" w:rsidRPr="008F03E5" w:rsidRDefault="00625A5B" w:rsidP="002B7CAC">
      <w:pPr>
        <w:pStyle w:val="Translit"/>
      </w:pPr>
      <w:r w:rsidRPr="008F03E5">
        <w:t>Iflat</w:t>
      </w:r>
      <w:r w:rsidRPr="008F03E5">
        <w:tab/>
        <w:t>Iflát</w:t>
      </w:r>
      <w:r w:rsidRPr="008F03E5">
        <w:tab/>
        <w:t>(“Aflát”) escape</w:t>
      </w:r>
    </w:p>
    <w:p w14:paraId="029F22C4" w14:textId="77777777" w:rsidR="00625A5B" w:rsidRPr="008F03E5" w:rsidRDefault="00625A5B" w:rsidP="00D50BD7">
      <w:pPr>
        <w:pStyle w:val="Translit"/>
      </w:pPr>
      <w:r w:rsidRPr="009159F1">
        <w:t>Ifranj, Afranj</w:t>
      </w:r>
      <w:r w:rsidRPr="009159F1">
        <w:tab/>
        <w:t xml:space="preserve">al-Ifranj, Pers. </w:t>
      </w:r>
      <w:r w:rsidRPr="008F03E5">
        <w:t>Afranj</w:t>
      </w:r>
      <w:r w:rsidRPr="008F03E5">
        <w:tab/>
        <w:t xml:space="preserve">the Franks, </w:t>
      </w:r>
      <w:r w:rsidRPr="008F03E5">
        <w:rPr>
          <w:rFonts w:eastAsia="Times New Roman"/>
        </w:rPr>
        <w:t>French; the crusaders; the Europeans</w:t>
      </w:r>
    </w:p>
    <w:p w14:paraId="2E0567E3" w14:textId="77777777" w:rsidR="00625A5B" w:rsidRPr="008F03E5" w:rsidRDefault="00625A5B" w:rsidP="00355F58">
      <w:pPr>
        <w:pStyle w:val="Translit"/>
      </w:pPr>
      <w:r w:rsidRPr="008F03E5">
        <w:t>Ifranji</w:t>
      </w:r>
      <w:r w:rsidRPr="008F03E5">
        <w:tab/>
        <w:t>Ifranjí</w:t>
      </w:r>
      <w:r w:rsidRPr="008F03E5">
        <w:tab/>
        <w:t>European</w:t>
      </w:r>
    </w:p>
    <w:p w14:paraId="206F292A" w14:textId="77777777" w:rsidR="00625A5B" w:rsidRPr="008F03E5" w:rsidRDefault="00625A5B" w:rsidP="004B1A67">
      <w:pPr>
        <w:pStyle w:val="Translit"/>
      </w:pPr>
      <w:r w:rsidRPr="008F03E5">
        <w:t>Ifridaws</w:t>
      </w:r>
      <w:r w:rsidRPr="008F03E5">
        <w:tab/>
        <w:t>al-Ifrídaws</w:t>
      </w:r>
      <w:r w:rsidRPr="008F03E5">
        <w:tab/>
        <w:t>Garden of Innermost Paradise (</w:t>
      </w:r>
      <w:r w:rsidRPr="008F03E5">
        <w:rPr>
          <w:i/>
          <w:iCs/>
        </w:rPr>
        <w:t>Gate of the Heart</w:t>
      </w:r>
      <w:r w:rsidRPr="008F03E5">
        <w:t xml:space="preserve"> 60)</w:t>
      </w:r>
    </w:p>
    <w:p w14:paraId="638AF57D" w14:textId="77777777" w:rsidR="00625A5B" w:rsidRPr="008F03E5" w:rsidRDefault="00625A5B" w:rsidP="004B1A67">
      <w:pPr>
        <w:pStyle w:val="Translit"/>
      </w:pPr>
      <w:r w:rsidRPr="008F03E5">
        <w:rPr>
          <w:rFonts w:eastAsia="Times New Roman"/>
        </w:rPr>
        <w:t>Ifrit (‘Afrit), ‘Afarit</w:t>
      </w:r>
      <w:r w:rsidRPr="008F03E5">
        <w:rPr>
          <w:rFonts w:eastAsia="Times New Roman"/>
        </w:rPr>
        <w:tab/>
        <w:t>‘Ifrít, pl. ‘Afar</w:t>
      </w:r>
      <w:r w:rsidRPr="008F03E5">
        <w:t>í</w:t>
      </w:r>
      <w:r w:rsidRPr="008F03E5">
        <w:rPr>
          <w:rFonts w:eastAsia="Times New Roman"/>
        </w:rPr>
        <w:t>t</w:t>
      </w:r>
      <w:r w:rsidRPr="008F03E5">
        <w:rPr>
          <w:rFonts w:eastAsia="Times New Roman"/>
        </w:rPr>
        <w:tab/>
        <w:t>a giant, demon, any fancied spectre of a horrible appearance, a fright; powerful, independent; one who does a thing in a careful and masterly way, skilful, clever.  ‘ifrít, ‘afrít, a sly, dangerous, inhuman man (Qur’án 27:39).</w:t>
      </w:r>
    </w:p>
    <w:p w14:paraId="64F8B651" w14:textId="77777777" w:rsidR="00625A5B" w:rsidRPr="008F03E5" w:rsidRDefault="00625A5B" w:rsidP="00A55F97">
      <w:pPr>
        <w:pStyle w:val="Translit"/>
      </w:pPr>
      <w:r w:rsidRPr="008F03E5">
        <w:t>Iftar</w:t>
      </w:r>
      <w:r w:rsidRPr="008F03E5">
        <w:tab/>
        <w:t>Ifṭár</w:t>
      </w:r>
      <w:r w:rsidRPr="008F03E5">
        <w:tab/>
        <w:t>fast breaking; breakfast; first meal after sunset during Ramaḍán</w:t>
      </w:r>
    </w:p>
    <w:p w14:paraId="34772F92" w14:textId="77777777" w:rsidR="00625A5B" w:rsidRPr="008F03E5" w:rsidRDefault="00625A5B" w:rsidP="00431C71">
      <w:pPr>
        <w:pStyle w:val="Translit"/>
      </w:pPr>
      <w:r w:rsidRPr="008F03E5">
        <w:t>Ihata</w:t>
      </w:r>
      <w:r w:rsidRPr="008F03E5">
        <w:tab/>
        <w:t>Iḥáṭa</w:t>
      </w:r>
      <w:r w:rsidRPr="008F03E5">
        <w:tab/>
        <w:t>encirclement, encompassment; comprehension, grasp, understanding, knowledge, cognizance (of something), acquaintance, familiarity (with); information, communication</w:t>
      </w:r>
    </w:p>
    <w:p w14:paraId="5B68CE54" w14:textId="77777777" w:rsidR="00625A5B" w:rsidRPr="008F03E5" w:rsidRDefault="00625A5B" w:rsidP="00630919">
      <w:pPr>
        <w:pStyle w:val="Translit"/>
      </w:pPr>
      <w:r w:rsidRPr="008F03E5">
        <w:t>Ihram</w:t>
      </w:r>
      <w:r w:rsidRPr="008F03E5">
        <w:tab/>
        <w:t>Iḥrám</w:t>
      </w:r>
      <w:r w:rsidRPr="008F03E5">
        <w:tab/>
        <w:t>state of ritual consecration of the Mecca pilgrim (during which the pilgrim, wearing two seamless woollen or linen sheets, usually white, neither combs nor shaves, and observes sexual continence); garments of the Mecca pilgrim</w:t>
      </w:r>
    </w:p>
    <w:p w14:paraId="5EC041A2" w14:textId="77777777" w:rsidR="00625A5B" w:rsidRPr="008F03E5" w:rsidRDefault="00625A5B" w:rsidP="00EA2BD3">
      <w:pPr>
        <w:pStyle w:val="Translit"/>
        <w:rPr>
          <w:rFonts w:eastAsia="PMingLiU"/>
          <w:lang w:eastAsia="zh-TW"/>
        </w:rPr>
      </w:pPr>
      <w:r w:rsidRPr="008F03E5">
        <w:rPr>
          <w:rFonts w:eastAsia="PMingLiU"/>
          <w:lang w:eastAsia="zh-TW"/>
        </w:rPr>
        <w:t>Ihsan (Ehsan)</w:t>
      </w:r>
      <w:r w:rsidRPr="008F03E5">
        <w:tab/>
      </w:r>
      <w:r w:rsidRPr="008F03E5">
        <w:rPr>
          <w:rFonts w:eastAsia="PMingLiU"/>
          <w:lang w:eastAsia="zh-TW"/>
        </w:rPr>
        <w:t>I</w:t>
      </w:r>
      <w:r w:rsidRPr="008F03E5">
        <w:t>ḥ</w:t>
      </w:r>
      <w:r w:rsidRPr="008F03E5">
        <w:rPr>
          <w:rFonts w:eastAsia="PMingLiU"/>
          <w:lang w:eastAsia="zh-TW"/>
        </w:rPr>
        <w:t>sán</w:t>
      </w:r>
      <w:r w:rsidRPr="008F03E5">
        <w:tab/>
        <w:t>beneficence, charity, almsgiving, performance of good deeds</w:t>
      </w:r>
    </w:p>
    <w:p w14:paraId="10A2CAE2" w14:textId="77777777" w:rsidR="00625A5B" w:rsidRPr="008F03E5" w:rsidRDefault="00625A5B" w:rsidP="00D47062">
      <w:pPr>
        <w:pStyle w:val="Translit"/>
        <w:rPr>
          <w:rFonts w:eastAsia="PMingLiU"/>
          <w:lang w:eastAsia="zh-TW"/>
        </w:rPr>
      </w:pPr>
      <w:r w:rsidRPr="008F03E5">
        <w:rPr>
          <w:rFonts w:eastAsia="PMingLiU"/>
          <w:lang w:eastAsia="zh-TW"/>
        </w:rPr>
        <w:t>Ihsanu’llah</w:t>
      </w:r>
      <w:r w:rsidRPr="008F03E5">
        <w:tab/>
      </w:r>
      <w:r w:rsidRPr="008F03E5">
        <w:rPr>
          <w:rFonts w:eastAsia="PMingLiU"/>
          <w:lang w:eastAsia="zh-TW"/>
        </w:rPr>
        <w:t>I</w:t>
      </w:r>
      <w:r w:rsidRPr="008F03E5">
        <w:t>ḥ</w:t>
      </w:r>
      <w:r w:rsidRPr="008F03E5">
        <w:rPr>
          <w:rFonts w:eastAsia="PMingLiU"/>
          <w:lang w:eastAsia="zh-TW"/>
        </w:rPr>
        <w:t>sánu’lláh</w:t>
      </w:r>
      <w:r w:rsidRPr="008F03E5">
        <w:tab/>
        <w:t>beneficence of God</w:t>
      </w:r>
    </w:p>
    <w:p w14:paraId="504DEA36" w14:textId="77777777" w:rsidR="00625A5B" w:rsidRPr="008F03E5" w:rsidRDefault="00625A5B" w:rsidP="00D47062">
      <w:pPr>
        <w:pStyle w:val="Translit"/>
      </w:pPr>
      <w:r w:rsidRPr="008F03E5">
        <w:t>Ihtifal, Ihtifalat</w:t>
      </w:r>
      <w:r w:rsidRPr="008F03E5">
        <w:tab/>
        <w:t>Iḥtifál, pl. Iḥtifálát</w:t>
      </w:r>
      <w:r w:rsidRPr="008F03E5">
        <w:tab/>
        <w:t>celebration, ceremony, festival, festivities</w:t>
      </w:r>
    </w:p>
    <w:p w14:paraId="581EF69A" w14:textId="77777777" w:rsidR="00625A5B" w:rsidRPr="008F03E5" w:rsidRDefault="00625A5B" w:rsidP="00D82062">
      <w:pPr>
        <w:pStyle w:val="Translit"/>
      </w:pPr>
      <w:r w:rsidRPr="008F03E5">
        <w:t>Ihtiraq</w:t>
      </w:r>
      <w:r w:rsidRPr="008F03E5">
        <w:tab/>
        <w:t>Iḥtiráq</w:t>
      </w:r>
      <w:r w:rsidRPr="008F03E5">
        <w:tab/>
        <w:t>burning, combustion; fire, conflagration</w:t>
      </w:r>
    </w:p>
    <w:p w14:paraId="36E75BBF" w14:textId="77777777" w:rsidR="00625A5B" w:rsidRPr="008F03E5" w:rsidRDefault="00625A5B" w:rsidP="00E2297A">
      <w:pPr>
        <w:pStyle w:val="Translit"/>
      </w:pPr>
      <w:r w:rsidRPr="008F03E5">
        <w:t>Ihtisham a</w:t>
      </w:r>
      <w:r>
        <w:t>d</w:t>
      </w:r>
      <w:r w:rsidRPr="008F03E5">
        <w:t>-Dawla, Ihtisham-i-Dawlih</w:t>
      </w:r>
      <w:r w:rsidRPr="008F03E5">
        <w:tab/>
        <w:t>Iḥti</w:t>
      </w:r>
      <w:r w:rsidRPr="008F03E5">
        <w:rPr>
          <w:u w:val="single"/>
        </w:rPr>
        <w:t>sh</w:t>
      </w:r>
      <w:r w:rsidRPr="008F03E5">
        <w:t>ám a</w:t>
      </w:r>
      <w:r>
        <w:t>d</w:t>
      </w:r>
      <w:r w:rsidRPr="008F03E5">
        <w:t>-Dawla</w:t>
      </w:r>
      <w:r w:rsidRPr="008F03E5">
        <w:tab/>
      </w:r>
      <w:r>
        <w:t>(</w:t>
      </w:r>
      <w:r w:rsidRPr="008F03E5">
        <w:t>Pers. Iḥti</w:t>
      </w:r>
      <w:r w:rsidRPr="008F03E5">
        <w:rPr>
          <w:u w:val="single"/>
        </w:rPr>
        <w:t>sh</w:t>
      </w:r>
      <w:r w:rsidRPr="008F03E5">
        <w:t>ám-i-Dawlih</w:t>
      </w:r>
      <w:r>
        <w:t>) “The modesty of the state”</w:t>
      </w:r>
    </w:p>
    <w:p w14:paraId="64B77425" w14:textId="77777777" w:rsidR="00625A5B" w:rsidRPr="008F03E5" w:rsidRDefault="00625A5B" w:rsidP="000B7974">
      <w:pPr>
        <w:pStyle w:val="Translit"/>
      </w:pPr>
      <w:r w:rsidRPr="008F03E5">
        <w:t>Ihtisham</w:t>
      </w:r>
      <w:r w:rsidRPr="008F03E5">
        <w:tab/>
        <w:t>Iḥti</w:t>
      </w:r>
      <w:r w:rsidRPr="008F03E5">
        <w:rPr>
          <w:u w:val="single"/>
        </w:rPr>
        <w:t>sh</w:t>
      </w:r>
      <w:r w:rsidRPr="008F03E5">
        <w:t>ám</w:t>
      </w:r>
      <w:r w:rsidRPr="008F03E5">
        <w:tab/>
        <w:t>being ashamed; bashfulness, chastity, modesty, decency, decorum; having many dependants, followers, or domestics; pomp, retinue, magnificence, grandeur, state.  See Taḥa</w:t>
      </w:r>
      <w:r w:rsidRPr="008F03E5">
        <w:rPr>
          <w:u w:val="single"/>
        </w:rPr>
        <w:t>shsh</w:t>
      </w:r>
      <w:r w:rsidRPr="008F03E5">
        <w:t>um</w:t>
      </w:r>
    </w:p>
    <w:p w14:paraId="6CEF8D66" w14:textId="77777777" w:rsidR="00625A5B" w:rsidRPr="008F03E5" w:rsidRDefault="00625A5B" w:rsidP="00BA2F79">
      <w:pPr>
        <w:pStyle w:val="Translit"/>
      </w:pPr>
      <w:r w:rsidRPr="008F03E5">
        <w:t>Ihtiyaj, Ihtiyajat</w:t>
      </w:r>
      <w:r w:rsidRPr="008F03E5">
        <w:tab/>
        <w:t>Iḥtiyáj, pl. Iḥtiyáját</w:t>
      </w:r>
      <w:r w:rsidRPr="008F03E5">
        <w:tab/>
        <w:t>want, need, requirement, (pre)requisite, necessity;—pl. needs, necessities, necessaries</w:t>
      </w:r>
    </w:p>
    <w:p w14:paraId="3D1079B7" w14:textId="77777777" w:rsidR="00625A5B" w:rsidRPr="008F03E5" w:rsidRDefault="00625A5B" w:rsidP="004046B2">
      <w:pPr>
        <w:pStyle w:val="Translit"/>
      </w:pPr>
      <w:r w:rsidRPr="008F03E5">
        <w:t>Ihtiyat, Ihtiyatat</w:t>
      </w:r>
      <w:r w:rsidRPr="008F03E5">
        <w:tab/>
        <w:t>Iḥtiyáṭ, pl. Iḥtiyáṭát</w:t>
      </w:r>
      <w:r w:rsidRPr="008F03E5">
        <w:tab/>
        <w:t>caution, cautiousness, prudence, circumspection, carefulness; provision, care, attention, precaution, prevention; (pl.) precautionary measures, precautions</w:t>
      </w:r>
    </w:p>
    <w:p w14:paraId="3C1A3E78" w14:textId="77777777" w:rsidR="00625A5B" w:rsidRPr="008F03E5" w:rsidRDefault="00625A5B" w:rsidP="00E54C3C">
      <w:pPr>
        <w:pStyle w:val="Translit"/>
      </w:pPr>
      <w:r w:rsidRPr="008F03E5">
        <w:t>Ihya’</w:t>
      </w:r>
      <w:r w:rsidRPr="008F03E5">
        <w:tab/>
        <w:t>Iḥyá’</w:t>
      </w:r>
      <w:r w:rsidRPr="008F03E5">
        <w:tab/>
        <w:t>animation, enlivening; revival, revitalization, revivification; arranging, staging, conducting, putting on, holding (of a celebration)</w:t>
      </w:r>
    </w:p>
    <w:p w14:paraId="55DB4507" w14:textId="77777777" w:rsidR="00625A5B" w:rsidRDefault="00625A5B" w:rsidP="008670D8">
      <w:pPr>
        <w:pStyle w:val="Translit"/>
      </w:pPr>
      <w:r>
        <w:t>Ijaba</w:t>
      </w:r>
      <w:r>
        <w:tab/>
        <w:t>I</w:t>
      </w:r>
      <w:r w:rsidRPr="00C0360F">
        <w:t>j</w:t>
      </w:r>
      <w:r>
        <w:t>á</w:t>
      </w:r>
      <w:r w:rsidRPr="00C0360F">
        <w:t>ba</w:t>
      </w:r>
      <w:r>
        <w:t>[h or t]</w:t>
      </w:r>
      <w:r>
        <w:tab/>
      </w:r>
      <w:r w:rsidRPr="00C0360F">
        <w:t>answer(ing), reply(ing), response, respondence; compliance; fulfilment, granting (of a request); accession, consent, assent</w:t>
      </w:r>
    </w:p>
    <w:p w14:paraId="57F409AA" w14:textId="77777777" w:rsidR="00625A5B" w:rsidRPr="008F03E5" w:rsidRDefault="00625A5B" w:rsidP="00C0360F">
      <w:pPr>
        <w:pStyle w:val="Translit"/>
      </w:pPr>
      <w:r w:rsidRPr="008F03E5">
        <w:t>Ijad</w:t>
      </w:r>
      <w:r w:rsidRPr="008F03E5">
        <w:tab/>
        <w:t>Íjád</w:t>
      </w:r>
      <w:r w:rsidRPr="008F03E5">
        <w:tab/>
        <w:t>creation, procreation, production, origination; procuring, procurement, furnishing, supply; calculation, computation, evaluation</w:t>
      </w:r>
    </w:p>
    <w:p w14:paraId="48239CB8" w14:textId="77777777" w:rsidR="00625A5B" w:rsidRPr="008F03E5" w:rsidRDefault="00625A5B" w:rsidP="00EA4479">
      <w:pPr>
        <w:pStyle w:val="Translit"/>
      </w:pPr>
      <w:r w:rsidRPr="008F03E5">
        <w:t>Ijadiyah (Ijadiyyah)</w:t>
      </w:r>
      <w:r w:rsidRPr="008F03E5">
        <w:tab/>
        <w:t>Íjádíya[h]</w:t>
      </w:r>
      <w:r w:rsidRPr="008F03E5">
        <w:tab/>
        <w:t>an islamic school of mystical philosophy—creationists or transcendentalists, who believe in a God separate from His creation</w:t>
      </w:r>
    </w:p>
    <w:p w14:paraId="19401025" w14:textId="77777777" w:rsidR="00625A5B" w:rsidRPr="008F03E5" w:rsidRDefault="00625A5B" w:rsidP="00E16A83">
      <w:pPr>
        <w:pStyle w:val="Translit"/>
      </w:pPr>
      <w:r w:rsidRPr="008F03E5">
        <w:t>Ijaza (Ijazih), Ijazat</w:t>
      </w:r>
      <w:r w:rsidRPr="008F03E5">
        <w:tab/>
        <w:t>Ijáza[h], Pers. also Ijázih, pl. Ijázát</w:t>
      </w:r>
      <w:r w:rsidRPr="008F03E5">
        <w:tab/>
        <w:t>licence or diploma bestowed by higher-ranking members of the ulama on those deemed knowledgeable in particular aspects of Islamic sciences</w:t>
      </w:r>
    </w:p>
    <w:p w14:paraId="49B811FD" w14:textId="77777777" w:rsidR="00625A5B" w:rsidRPr="00077779" w:rsidRDefault="00625A5B" w:rsidP="006135E4">
      <w:pPr>
        <w:pStyle w:val="Translit"/>
        <w:rPr>
          <w:lang w:val="es-ES_tradnl"/>
        </w:rPr>
      </w:pPr>
      <w:r w:rsidRPr="00077779">
        <w:rPr>
          <w:lang w:val="es-ES_tradnl"/>
        </w:rPr>
        <w:t>Ijl, ‘Ujul, ‘Ijala</w:t>
      </w:r>
      <w:r w:rsidRPr="00077779">
        <w:rPr>
          <w:lang w:val="es-ES_tradnl"/>
        </w:rPr>
        <w:tab/>
        <w:t>‘Ijl, pl. ‘Ujúl, ‘Ijala</w:t>
      </w:r>
      <w:r w:rsidRPr="00077779">
        <w:rPr>
          <w:lang w:val="es-ES_tradnl"/>
        </w:rPr>
        <w:tab/>
        <w:t xml:space="preserve">calf (e.g. the golden calf, </w:t>
      </w:r>
      <w:bookmarkStart w:id="82" w:name="_Hlk54454310"/>
      <w:r w:rsidRPr="00077779">
        <w:rPr>
          <w:lang w:val="es-ES_tradnl"/>
        </w:rPr>
        <w:t>al-‘ijl a</w:t>
      </w:r>
      <w:r w:rsidRPr="00077779">
        <w:rPr>
          <w:u w:val="single"/>
          <w:lang w:val="es-ES_tradnl"/>
        </w:rPr>
        <w:t>dh</w:t>
      </w:r>
      <w:r w:rsidRPr="00077779">
        <w:rPr>
          <w:lang w:val="es-ES_tradnl"/>
        </w:rPr>
        <w:t>-</w:t>
      </w:r>
      <w:r w:rsidRPr="00077779">
        <w:rPr>
          <w:u w:val="single"/>
          <w:lang w:val="es-ES_tradnl"/>
        </w:rPr>
        <w:t>dh</w:t>
      </w:r>
      <w:r w:rsidRPr="00077779">
        <w:rPr>
          <w:lang w:val="es-ES_tradnl"/>
        </w:rPr>
        <w:t>ahabí</w:t>
      </w:r>
      <w:bookmarkEnd w:id="82"/>
      <w:r w:rsidRPr="00077779">
        <w:rPr>
          <w:lang w:val="es-ES_tradnl"/>
        </w:rPr>
        <w:t>)</w:t>
      </w:r>
    </w:p>
    <w:p w14:paraId="3596F9BE" w14:textId="77777777" w:rsidR="00625A5B" w:rsidRPr="008F03E5" w:rsidRDefault="00625A5B" w:rsidP="00750CDC">
      <w:pPr>
        <w:pStyle w:val="Translit"/>
      </w:pPr>
      <w:r w:rsidRPr="008F03E5">
        <w:t>Ijma’</w:t>
      </w:r>
      <w:r w:rsidRPr="008F03E5">
        <w:tab/>
        <w:t>Ijmá‘</w:t>
      </w:r>
      <w:r w:rsidRPr="008F03E5">
        <w:tab/>
        <w:t>agreement, unanimity; unanimous resolution; (Islamic Law) consensus (of the authorities in a legal question; one of the four uṣúl of Islamic Law)</w:t>
      </w:r>
    </w:p>
    <w:p w14:paraId="7BF7B7E6" w14:textId="77777777" w:rsidR="00625A5B" w:rsidRPr="008F03E5" w:rsidRDefault="00625A5B" w:rsidP="0082313A">
      <w:pPr>
        <w:pStyle w:val="Translit"/>
      </w:pPr>
      <w:r w:rsidRPr="008F03E5">
        <w:t>Ijtihad</w:t>
      </w:r>
      <w:r w:rsidRPr="008F03E5">
        <w:tab/>
        <w:t>Ijtihád</w:t>
      </w:r>
      <w:r w:rsidRPr="008F03E5">
        <w:tab/>
        <w:t xml:space="preserve">effort, exertion, endeavour, pains, trouble; application, industry, diligence; (Islamic Law) independent judgement in a legal or theological question, based on the interpretation and application of the four uṣúl, as opposed to taqlíd; individual judgement.  The power of a </w:t>
      </w:r>
      <w:r w:rsidRPr="008F03E5">
        <w:rPr>
          <w:u w:val="single"/>
        </w:rPr>
        <w:t>Sh</w:t>
      </w:r>
      <w:r w:rsidRPr="008F03E5">
        <w:t xml:space="preserve">í‘ih divine to issue </w:t>
      </w:r>
      <w:r w:rsidRPr="008F03E5">
        <w:rPr>
          <w:i/>
          <w:iCs/>
        </w:rPr>
        <w:t>ex cathedra</w:t>
      </w:r>
      <w:r w:rsidRPr="008F03E5">
        <w:t xml:space="preserve"> decrees and judgements.</w:t>
      </w:r>
    </w:p>
    <w:p w14:paraId="6956F680" w14:textId="77777777" w:rsidR="00625A5B" w:rsidRPr="008F03E5" w:rsidRDefault="00625A5B" w:rsidP="00112A7D">
      <w:pPr>
        <w:pStyle w:val="Translit"/>
      </w:pPr>
      <w:r w:rsidRPr="008F03E5">
        <w:t>Ijtihadi</w:t>
      </w:r>
      <w:r w:rsidRPr="008F03E5">
        <w:tab/>
        <w:t>Ijtihádí</w:t>
      </w:r>
      <w:r w:rsidRPr="008F03E5">
        <w:tab/>
        <w:t>term sometimes used for the Uṣúlí school in Shi’ism.</w:t>
      </w:r>
    </w:p>
    <w:p w14:paraId="483B87C2" w14:textId="77777777" w:rsidR="00625A5B" w:rsidRPr="008F03E5" w:rsidRDefault="00625A5B" w:rsidP="00750CDC">
      <w:pPr>
        <w:pStyle w:val="Translit"/>
      </w:pPr>
      <w:r w:rsidRPr="008F03E5">
        <w:t>Ijtima’, Ijyima’at, ijtima’yya</w:t>
      </w:r>
      <w:r w:rsidRPr="008F03E5">
        <w:tab/>
        <w:t>Ijtimá‘, pl. Ijtimá‘át</w:t>
      </w:r>
      <w:r w:rsidRPr="008F03E5">
        <w:tab/>
        <w:t>meeting; get-together, gathering, assembly; reunion; rally; convention; conjunction, constellation (astronomy); confluence (of rivers); life in a social group, community life, social life</w:t>
      </w:r>
    </w:p>
    <w:p w14:paraId="2ED3EF99" w14:textId="77777777" w:rsidR="00625A5B" w:rsidRPr="008F03E5" w:rsidRDefault="00625A5B" w:rsidP="00E76ADF">
      <w:pPr>
        <w:pStyle w:val="Translit"/>
      </w:pPr>
      <w:r w:rsidRPr="008F03E5">
        <w:t>Ijtima’i</w:t>
      </w:r>
      <w:r w:rsidRPr="008F03E5">
        <w:tab/>
        <w:t>Ijtimá‘í</w:t>
      </w:r>
      <w:r w:rsidRPr="008F03E5">
        <w:tab/>
        <w:t>community, group (used attributively); social; socialist(ic); sociological.  ijtimá‘íya[h] socialism</w:t>
      </w:r>
    </w:p>
    <w:p w14:paraId="139B9D6C" w14:textId="77777777" w:rsidR="00625A5B" w:rsidRPr="008F03E5" w:rsidRDefault="00625A5B" w:rsidP="00940237">
      <w:pPr>
        <w:pStyle w:val="Translit"/>
      </w:pPr>
      <w:r w:rsidRPr="008F03E5">
        <w:t>Ikhlas</w:t>
      </w:r>
      <w:r w:rsidRPr="008F03E5">
        <w:tab/>
        <w:t>I</w:t>
      </w:r>
      <w:r w:rsidRPr="008F03E5">
        <w:rPr>
          <w:u w:val="single"/>
        </w:rPr>
        <w:t>kh</w:t>
      </w:r>
      <w:r w:rsidRPr="008F03E5">
        <w:t>láṣ</w:t>
      </w:r>
      <w:r w:rsidRPr="008F03E5">
        <w:tab/>
        <w:t>p</w:t>
      </w:r>
      <w:r w:rsidRPr="008F03E5">
        <w:rPr>
          <w:rFonts w:eastAsia="Times New Roman"/>
        </w:rPr>
        <w:t>urifying, rendering sincere; purity, sincerity, candour; affection, pure friendship, sincere attachment; loyalty, fidelity; intimacy; show or pretence of friendship</w:t>
      </w:r>
    </w:p>
    <w:p w14:paraId="53F2EDBB" w14:textId="77777777" w:rsidR="00625A5B" w:rsidRPr="008F03E5" w:rsidRDefault="00625A5B" w:rsidP="006B2A5A">
      <w:pPr>
        <w:pStyle w:val="Translit"/>
      </w:pPr>
      <w:r w:rsidRPr="008F03E5">
        <w:rPr>
          <w:rFonts w:eastAsia="Times New Roman"/>
        </w:rPr>
        <w:t>Ikhtisas</w:t>
      </w:r>
      <w:r w:rsidRPr="008F03E5">
        <w:rPr>
          <w:rFonts w:eastAsia="Times New Roman"/>
        </w:rPr>
        <w:tab/>
        <w:t>I</w:t>
      </w:r>
      <w:r w:rsidRPr="008F03E5">
        <w:rPr>
          <w:rFonts w:eastAsia="Times New Roman"/>
          <w:u w:val="single"/>
        </w:rPr>
        <w:t>kh</w:t>
      </w:r>
      <w:r w:rsidRPr="008F03E5">
        <w:rPr>
          <w:rFonts w:eastAsia="Times New Roman"/>
        </w:rPr>
        <w:t>tiṣáṣ</w:t>
      </w:r>
      <w:r w:rsidRPr="008F03E5">
        <w:rPr>
          <w:rFonts w:eastAsia="Times New Roman"/>
        </w:rPr>
        <w:tab/>
        <w:t>distinguishing; peculiarity, speciality; appropriation</w:t>
      </w:r>
    </w:p>
    <w:p w14:paraId="2997134D" w14:textId="77777777" w:rsidR="00625A5B" w:rsidRPr="008F03E5" w:rsidRDefault="00625A5B" w:rsidP="00355F58">
      <w:pPr>
        <w:pStyle w:val="Translit"/>
      </w:pPr>
      <w:r w:rsidRPr="008F03E5">
        <w:t>Ikhtiyar, Ikhtiyarat</w:t>
      </w:r>
      <w:r w:rsidRPr="008F03E5">
        <w:tab/>
        <w:t>I</w:t>
      </w:r>
      <w:r w:rsidRPr="008F03E5">
        <w:rPr>
          <w:u w:val="single"/>
        </w:rPr>
        <w:t>kh</w:t>
      </w:r>
      <w:r w:rsidRPr="008F03E5">
        <w:t>tiyár, pl. I</w:t>
      </w:r>
      <w:r w:rsidRPr="008F03E5">
        <w:rPr>
          <w:u w:val="single"/>
        </w:rPr>
        <w:t>kh</w:t>
      </w:r>
      <w:r w:rsidRPr="008F03E5">
        <w:t>tiyárát</w:t>
      </w:r>
      <w:r w:rsidRPr="008F03E5">
        <w:tab/>
        <w:t>choice; election (pl. also politics); selection; preference (to); option; free will (philosophy)</w:t>
      </w:r>
    </w:p>
    <w:p w14:paraId="23CC27D2" w14:textId="77777777" w:rsidR="00625A5B" w:rsidRPr="008F03E5" w:rsidRDefault="00625A5B" w:rsidP="000D28B2">
      <w:pPr>
        <w:pStyle w:val="Translit"/>
      </w:pPr>
      <w:r w:rsidRPr="008F03E5">
        <w:t>Ikhwan as-Safa</w:t>
      </w:r>
      <w:r w:rsidRPr="008F03E5">
        <w:tab/>
        <w:t>I</w:t>
      </w:r>
      <w:r w:rsidRPr="008F03E5">
        <w:rPr>
          <w:u w:val="single"/>
        </w:rPr>
        <w:t>kh</w:t>
      </w:r>
      <w:r w:rsidRPr="008F03E5">
        <w:t>wán aṣ-Ṣafá</w:t>
      </w:r>
      <w:r w:rsidRPr="008F03E5">
        <w:tab/>
        <w:t xml:space="preserve">The Brethren of Purity, The Brethren of Sincerity.  A secret society of Muslim philosophers in Basra, Iraq, in the 8th or 10th century </w:t>
      </w:r>
      <w:r w:rsidRPr="008F03E5">
        <w:rPr>
          <w:sz w:val="16"/>
          <w:szCs w:val="16"/>
        </w:rPr>
        <w:t>CE</w:t>
      </w:r>
      <w:r w:rsidRPr="008F03E5">
        <w:t>.</w:t>
      </w:r>
    </w:p>
    <w:p w14:paraId="6A207BA1" w14:textId="77777777" w:rsidR="00625A5B" w:rsidRPr="008F03E5" w:rsidRDefault="00625A5B" w:rsidP="000D28B2">
      <w:pPr>
        <w:pStyle w:val="Translit"/>
      </w:pPr>
      <w:r w:rsidRPr="008F03E5">
        <w:t>Ikram</w:t>
      </w:r>
      <w:r w:rsidRPr="008F03E5">
        <w:tab/>
        <w:t>Ikrám</w:t>
      </w:r>
      <w:r w:rsidRPr="008F03E5">
        <w:tab/>
        <w:t>honour, respect, deference, tribute; hospitable reception, hospitality; kindness; honorarium</w:t>
      </w:r>
    </w:p>
    <w:p w14:paraId="7B33AF3E" w14:textId="77777777" w:rsidR="00625A5B" w:rsidRPr="008F03E5" w:rsidRDefault="00625A5B" w:rsidP="007F1C67">
      <w:pPr>
        <w:pStyle w:val="Translit"/>
      </w:pPr>
      <w:r w:rsidRPr="00D45A23">
        <w:rPr>
          <w:rFonts w:eastAsia="Times New Roman"/>
          <w:lang w:val="it-IT"/>
        </w:rPr>
        <w:t>Ikrima (‘Akrima, ‘Akrama)</w:t>
      </w:r>
      <w:r w:rsidRPr="00D45A23">
        <w:rPr>
          <w:rFonts w:eastAsia="Times New Roman"/>
          <w:lang w:val="it-IT"/>
        </w:rPr>
        <w:tab/>
        <w:t>‘Ikrima[h or t]</w:t>
      </w:r>
      <w:r w:rsidRPr="00D45A23">
        <w:rPr>
          <w:rFonts w:eastAsia="Times New Roman"/>
          <w:lang w:val="it-IT"/>
        </w:rPr>
        <w:tab/>
        <w:t xml:space="preserve">a female </w:t>
      </w:r>
      <w:r w:rsidRPr="00D45A23">
        <w:rPr>
          <w:lang w:val="it-IT"/>
        </w:rPr>
        <w:t xml:space="preserve">dove.  </w:t>
      </w:r>
      <w:r w:rsidRPr="008F03E5">
        <w:t>‘Ikrima ibn Abí Jahl Amr ibn Hi</w:t>
      </w:r>
      <w:r w:rsidRPr="008F03E5">
        <w:rPr>
          <w:u w:val="single"/>
        </w:rPr>
        <w:t>sh</w:t>
      </w:r>
      <w:r w:rsidRPr="008F03E5">
        <w:t>ám (598–634 or 636) was a leading opponent-turned companion of Muḥammad.  ‘Ikrima’s father was Amr ibn Hi</w:t>
      </w:r>
      <w:r w:rsidRPr="008F03E5">
        <w:rPr>
          <w:u w:val="single"/>
        </w:rPr>
        <w:t>sh</w:t>
      </w:r>
      <w:r w:rsidRPr="008F03E5">
        <w:t>ám ibn al-Mu</w:t>
      </w:r>
      <w:r w:rsidRPr="008F03E5">
        <w:rPr>
          <w:u w:val="single"/>
        </w:rPr>
        <w:t>gh</w:t>
      </w:r>
      <w:r w:rsidRPr="008F03E5">
        <w:t xml:space="preserve">íra.  See </w:t>
      </w:r>
      <w:r w:rsidRPr="008F03E5">
        <w:rPr>
          <w:rFonts w:eastAsia="PMingLiU"/>
          <w:lang w:eastAsia="zh-TW"/>
        </w:rPr>
        <w:t>Ab</w:t>
      </w:r>
      <w:r w:rsidRPr="008F03E5">
        <w:t>ú</w:t>
      </w:r>
      <w:r w:rsidRPr="008F03E5">
        <w:rPr>
          <w:rFonts w:eastAsia="PMingLiU"/>
          <w:lang w:eastAsia="zh-TW"/>
        </w:rPr>
        <w:t xml:space="preserve"> Jahl</w:t>
      </w:r>
      <w:r w:rsidRPr="008F03E5">
        <w:t>.</w:t>
      </w:r>
    </w:p>
    <w:p w14:paraId="08D6E2F9" w14:textId="77777777" w:rsidR="00625A5B" w:rsidRPr="008F03E5" w:rsidRDefault="00625A5B" w:rsidP="00E97663">
      <w:pPr>
        <w:pStyle w:val="Translit"/>
      </w:pPr>
      <w:r w:rsidRPr="008F03E5">
        <w:t>Iksir</w:t>
      </w:r>
      <w:r w:rsidRPr="008F03E5">
        <w:tab/>
        <w:t>Iksír</w:t>
      </w:r>
      <w:r w:rsidRPr="008F03E5">
        <w:tab/>
        <w:t>elixir, the philosopher’s stone; alchemy.  See Kímiyá’</w:t>
      </w:r>
    </w:p>
    <w:p w14:paraId="36CE3144" w14:textId="77777777" w:rsidR="00625A5B" w:rsidRPr="008F03E5" w:rsidRDefault="00625A5B" w:rsidP="007672E2">
      <w:pPr>
        <w:pStyle w:val="Translit"/>
      </w:pPr>
      <w:r w:rsidRPr="008F03E5">
        <w:t>Il, Ilat</w:t>
      </w:r>
      <w:r w:rsidRPr="008F03E5">
        <w:tab/>
        <w:t>Íl, pl. Ílat</w:t>
      </w:r>
      <w:r w:rsidRPr="008F03E5">
        <w:tab/>
        <w:t>Turkish.  tribe (especially nomadic)</w:t>
      </w:r>
    </w:p>
    <w:p w14:paraId="1F44CA22" w14:textId="77777777" w:rsidR="00625A5B" w:rsidRPr="008F03E5" w:rsidRDefault="00625A5B" w:rsidP="0002799F">
      <w:pPr>
        <w:pStyle w:val="Translit"/>
      </w:pPr>
      <w:r w:rsidRPr="008F03E5">
        <w:t>Ilah, Ilaha (Elahe), Aliha, Ilahat</w:t>
      </w:r>
      <w:r w:rsidRPr="008F03E5">
        <w:tab/>
        <w:t xml:space="preserve">Iláh, fem. </w:t>
      </w:r>
      <w:r w:rsidRPr="00000536">
        <w:rPr>
          <w:lang w:val="fr-FR"/>
        </w:rPr>
        <w:t xml:space="preserve">Iláha[t], pl. Áliha, fem. </w:t>
      </w:r>
      <w:r w:rsidRPr="008F03E5">
        <w:t>Ilahát</w:t>
      </w:r>
      <w:r w:rsidRPr="008F03E5">
        <w:tab/>
        <w:t>a god, deity, godhead.  Dual iláhayn.  Normally, if the dual form is used, the word for “two” (i</w:t>
      </w:r>
      <w:r w:rsidRPr="008F03E5">
        <w:rPr>
          <w:u w:val="single"/>
        </w:rPr>
        <w:t>th</w:t>
      </w:r>
      <w:r w:rsidRPr="008F03E5">
        <w:t>nán) is implied and is not added.  However, in Qur’án 16:51, not only is the word for “two” included, but it itself is used in its dual form:  “iláhayn i</w:t>
      </w:r>
      <w:r w:rsidRPr="008F03E5">
        <w:rPr>
          <w:u w:val="single"/>
        </w:rPr>
        <w:t>th</w:t>
      </w:r>
      <w:r w:rsidRPr="008F03E5">
        <w:t>nayn”.  This emphasizes the prohibition of worshipping “more than one deity”—i.e., anything but the One God (Alláh).</w:t>
      </w:r>
    </w:p>
    <w:p w14:paraId="2D0B3852" w14:textId="77777777" w:rsidR="00625A5B" w:rsidRPr="008F03E5" w:rsidRDefault="00625A5B" w:rsidP="00067945">
      <w:pPr>
        <w:pStyle w:val="Translit"/>
      </w:pPr>
      <w:r w:rsidRPr="008F03E5">
        <w:t>Ilahi (Alahi), Ilahiya, Ilahiyat</w:t>
      </w:r>
      <w:r w:rsidRPr="008F03E5">
        <w:tab/>
        <w:t xml:space="preserve">Iláhí, fem. </w:t>
      </w:r>
      <w:r w:rsidRPr="008F03E5">
        <w:rPr>
          <w:rFonts w:eastAsia="Times New Roman"/>
        </w:rPr>
        <w:t>Iláhíya[h or t], pl. Iláhíyát</w:t>
      </w:r>
      <w:r w:rsidRPr="008F03E5">
        <w:tab/>
        <w:t>divine, of God;</w:t>
      </w:r>
      <w:r w:rsidRPr="008F03E5">
        <w:rPr>
          <w:rFonts w:eastAsia="Times New Roman"/>
        </w:rPr>
        <w:t xml:space="preserve"> </w:t>
      </w:r>
      <w:r w:rsidRPr="008F03E5">
        <w:t>my God; theological; (Ar. influence) r</w:t>
      </w:r>
      <w:r w:rsidRPr="008F03E5">
        <w:rPr>
          <w:rFonts w:eastAsia="Times New Roman"/>
        </w:rPr>
        <w:t>eferring or belonging to God</w:t>
      </w:r>
      <w:r w:rsidRPr="008F03E5">
        <w:t>.  Ba</w:t>
      </w:r>
      <w:r w:rsidRPr="008F03E5">
        <w:rPr>
          <w:u w:val="single"/>
        </w:rPr>
        <w:t>sh</w:t>
      </w:r>
      <w:r w:rsidRPr="008F03E5">
        <w:t>ír-i-Iláhí</w:t>
      </w:r>
    </w:p>
    <w:p w14:paraId="227C5D95" w14:textId="77777777" w:rsidR="00625A5B" w:rsidRPr="008F03E5" w:rsidRDefault="00625A5B" w:rsidP="006C7BF4">
      <w:pPr>
        <w:pStyle w:val="Translit"/>
      </w:pPr>
      <w:r w:rsidRPr="008F03E5">
        <w:t>Ilahiya, Ilahiyat</w:t>
      </w:r>
      <w:r w:rsidRPr="008F03E5">
        <w:tab/>
        <w:t>Iláhíya[t], pl. Iláhíyát</w:t>
      </w:r>
      <w:r w:rsidRPr="008F03E5">
        <w:tab/>
        <w:t>divinity, deity, divine revelation; theophany (Christian).  al-iláhíyát theological, spiritual concerns.  ‘ilm al-iláhíyát theology.</w:t>
      </w:r>
    </w:p>
    <w:p w14:paraId="181EF506" w14:textId="77777777" w:rsidR="00625A5B" w:rsidRPr="008F03E5" w:rsidRDefault="00625A5B" w:rsidP="001F31DE">
      <w:pPr>
        <w:pStyle w:val="Translit"/>
      </w:pPr>
      <w:r w:rsidRPr="008F03E5">
        <w:t>Ilan</w:t>
      </w:r>
      <w:r w:rsidRPr="008F03E5">
        <w:tab/>
        <w:t>Ílán</w:t>
      </w:r>
      <w:r w:rsidRPr="008F03E5">
        <w:tab/>
        <w:t xml:space="preserve">a village 60 km </w:t>
      </w:r>
      <w:r w:rsidRPr="008F03E5">
        <w:rPr>
          <w:sz w:val="16"/>
          <w:szCs w:val="16"/>
        </w:rPr>
        <w:t>NE</w:t>
      </w:r>
      <w:r w:rsidRPr="008F03E5">
        <w:t xml:space="preserve"> of Qazvín and another 70 km </w:t>
      </w:r>
      <w:r w:rsidRPr="008F03E5">
        <w:rPr>
          <w:sz w:val="16"/>
          <w:szCs w:val="16"/>
        </w:rPr>
        <w:t>SW</w:t>
      </w:r>
      <w:r w:rsidRPr="008F03E5">
        <w:t xml:space="preserve"> </w:t>
      </w:r>
      <w:r w:rsidRPr="008F03E5">
        <w:rPr>
          <w:u w:val="single"/>
        </w:rPr>
        <w:t>Sh</w:t>
      </w:r>
      <w:r w:rsidRPr="008F03E5">
        <w:t>íráz</w:t>
      </w:r>
    </w:p>
    <w:p w14:paraId="76AA9D20" w14:textId="77777777" w:rsidR="00625A5B" w:rsidRPr="008F03E5" w:rsidRDefault="00625A5B" w:rsidP="001F31DE">
      <w:pPr>
        <w:pStyle w:val="Translit"/>
      </w:pPr>
      <w:r w:rsidRPr="008F03E5">
        <w:t>Ilchi</w:t>
      </w:r>
      <w:r w:rsidRPr="008F03E5">
        <w:tab/>
        <w:t>Íl</w:t>
      </w:r>
      <w:r w:rsidRPr="008F03E5">
        <w:rPr>
          <w:u w:val="single"/>
        </w:rPr>
        <w:t>ch</w:t>
      </w:r>
      <w:r w:rsidRPr="008F03E5">
        <w:t>í</w:t>
      </w:r>
      <w:r w:rsidRPr="008F03E5">
        <w:tab/>
        <w:t xml:space="preserve">Turkish, an envoy.  Mírzá Abu’l-Ḥasan </w:t>
      </w:r>
      <w:r w:rsidRPr="008F03E5">
        <w:rPr>
          <w:u w:val="single"/>
        </w:rPr>
        <w:t>Kh</w:t>
      </w:r>
      <w:r w:rsidRPr="008F03E5">
        <w:t>án-i-Íl</w:t>
      </w:r>
      <w:r w:rsidRPr="008F03E5">
        <w:rPr>
          <w:u w:val="single"/>
        </w:rPr>
        <w:t>ch</w:t>
      </w:r>
      <w:r w:rsidRPr="008F03E5">
        <w:t xml:space="preserve">í, Persian envoy to Britain, original for a character in </w:t>
      </w:r>
      <w:r w:rsidRPr="008F03E5">
        <w:rPr>
          <w:i/>
          <w:iCs/>
        </w:rPr>
        <w:t>The Adventures of Hajji Baba of Ispahan</w:t>
      </w:r>
      <w:r w:rsidRPr="008F03E5">
        <w:t>.  See Ḥájí Bábá Afshár.</w:t>
      </w:r>
    </w:p>
    <w:p w14:paraId="0A5ACC70" w14:textId="77777777" w:rsidR="00625A5B" w:rsidRPr="008F03E5" w:rsidRDefault="00625A5B" w:rsidP="00B47D9C">
      <w:pPr>
        <w:pStyle w:val="Translit"/>
      </w:pPr>
      <w:r w:rsidRPr="008F03E5">
        <w:t>Ildirim</w:t>
      </w:r>
      <w:r w:rsidRPr="008F03E5">
        <w:tab/>
        <w:t>Íldirím</w:t>
      </w:r>
      <w:r w:rsidRPr="008F03E5">
        <w:tab/>
        <w:t>from Turkis</w:t>
      </w:r>
      <w:r>
        <w:t>h</w:t>
      </w:r>
      <w:r w:rsidRPr="008F03E5">
        <w:t xml:space="preserve"> </w:t>
      </w:r>
      <w:r w:rsidRPr="002332DC">
        <w:t>yıldırım</w:t>
      </w:r>
      <w:r w:rsidRPr="008F03E5">
        <w:t xml:space="preserve"> (lightning</w:t>
      </w:r>
      <w:r>
        <w:t xml:space="preserve"> or thunderbolt</w:t>
      </w:r>
      <w:r w:rsidRPr="008F03E5">
        <w:t>)</w:t>
      </w:r>
      <w:r>
        <w:t xml:space="preserve">.  </w:t>
      </w:r>
      <w:r w:rsidRPr="008F03E5">
        <w:t>Íldirím</w:t>
      </w:r>
      <w:r w:rsidRPr="008D2F1D">
        <w:rPr>
          <w:rFonts w:eastAsia="Times New Roman"/>
        </w:rPr>
        <w:t xml:space="preserve"> </w:t>
      </w:r>
      <w:r>
        <w:rPr>
          <w:rFonts w:eastAsia="Times New Roman"/>
        </w:rPr>
        <w:t>(</w:t>
      </w:r>
      <w:r>
        <w:t>Y</w:t>
      </w:r>
      <w:r w:rsidRPr="002332DC">
        <w:t>ıldırım</w:t>
      </w:r>
      <w:r>
        <w:t>)</w:t>
      </w:r>
      <w:r>
        <w:rPr>
          <w:rFonts w:eastAsia="Times New Roman"/>
        </w:rPr>
        <w:t xml:space="preserve"> B</w:t>
      </w:r>
      <w:r w:rsidRPr="008D2F1D">
        <w:rPr>
          <w:rFonts w:eastAsia="Times New Roman"/>
        </w:rPr>
        <w:t>áyizíd</w:t>
      </w:r>
      <w:r>
        <w:rPr>
          <w:rFonts w:eastAsia="Times New Roman"/>
        </w:rPr>
        <w:t xml:space="preserve"> M</w:t>
      </w:r>
      <w:r w:rsidRPr="008D2F1D">
        <w:t xml:space="preserve">írzá, </w:t>
      </w:r>
      <w:r>
        <w:t xml:space="preserve">younger </w:t>
      </w:r>
      <w:r w:rsidRPr="000771B2">
        <w:t xml:space="preserve">brother of </w:t>
      </w:r>
      <w:r>
        <w:t>Muḥammad M</w:t>
      </w:r>
      <w:r w:rsidRPr="001E6E58">
        <w:t>í</w:t>
      </w:r>
      <w:r>
        <w:t>rz</w:t>
      </w:r>
      <w:r w:rsidRPr="001E6E58">
        <w:t>á</w:t>
      </w:r>
      <w:r>
        <w:t xml:space="preserve"> (later </w:t>
      </w:r>
      <w:r w:rsidRPr="008F03E5">
        <w:t xml:space="preserve">Muḥammad </w:t>
      </w:r>
      <w:r w:rsidRPr="008F03E5">
        <w:rPr>
          <w:u w:val="single"/>
        </w:rPr>
        <w:t>Sh</w:t>
      </w:r>
      <w:r w:rsidRPr="008F03E5">
        <w:t>áh Qájár</w:t>
      </w:r>
      <w:r>
        <w:t xml:space="preserve">) and </w:t>
      </w:r>
      <w:r w:rsidRPr="000771B2">
        <w:rPr>
          <w:u w:val="single"/>
        </w:rPr>
        <w:t>Kh</w:t>
      </w:r>
      <w:r w:rsidRPr="000771B2">
        <w:t>ánlar Mírzá</w:t>
      </w:r>
      <w:r>
        <w:t>,</w:t>
      </w:r>
      <w:r w:rsidRPr="008D2F1D">
        <w:t xml:space="preserve"> </w:t>
      </w:r>
      <w:r>
        <w:t>all were</w:t>
      </w:r>
      <w:r w:rsidRPr="008D2F1D">
        <w:t xml:space="preserve"> son</w:t>
      </w:r>
      <w:r>
        <w:t>s</w:t>
      </w:r>
      <w:r w:rsidRPr="008D2F1D">
        <w:t xml:space="preserve"> of ‘Abbas Mírzá </w:t>
      </w:r>
      <w:r>
        <w:t>(</w:t>
      </w:r>
      <w:r w:rsidRPr="008D2F1D">
        <w:t>1789</w:t>
      </w:r>
      <w:r>
        <w:t>–</w:t>
      </w:r>
      <w:r w:rsidRPr="008D2F1D">
        <w:t>1833)</w:t>
      </w:r>
      <w:r>
        <w:t xml:space="preserve"> and grandsons of </w:t>
      </w:r>
      <w:r w:rsidRPr="008F03E5">
        <w:t xml:space="preserve">Fatḥ-‘Alí </w:t>
      </w:r>
      <w:r w:rsidRPr="008F03E5">
        <w:rPr>
          <w:u w:val="single"/>
        </w:rPr>
        <w:t>Sh</w:t>
      </w:r>
      <w:r w:rsidRPr="008F03E5">
        <w:t>áh Qájár</w:t>
      </w:r>
      <w:r>
        <w:t xml:space="preserve">.  </w:t>
      </w:r>
      <w:r w:rsidRPr="008F03E5">
        <w:t>Íldirím</w:t>
      </w:r>
      <w:r>
        <w:rPr>
          <w:rFonts w:eastAsia="Times New Roman"/>
        </w:rPr>
        <w:t xml:space="preserve"> </w:t>
      </w:r>
      <w:r w:rsidRPr="008D2F1D">
        <w:t>Mírzá</w:t>
      </w:r>
      <w:r>
        <w:rPr>
          <w:rFonts w:eastAsia="Times New Roman"/>
        </w:rPr>
        <w:t xml:space="preserve"> died as a result of torture ordered by </w:t>
      </w:r>
      <w:r w:rsidRPr="000771B2">
        <w:rPr>
          <w:u w:val="single"/>
        </w:rPr>
        <w:t>Kh</w:t>
      </w:r>
      <w:r w:rsidRPr="000771B2">
        <w:t>ánlar</w:t>
      </w:r>
      <w:r w:rsidRPr="001E6E58">
        <w:t xml:space="preserve"> </w:t>
      </w:r>
      <w:r w:rsidRPr="008D2F1D">
        <w:t>Mírzá</w:t>
      </w:r>
      <w:r>
        <w:t>.</w:t>
      </w:r>
    </w:p>
    <w:p w14:paraId="5861A93F" w14:textId="77777777" w:rsidR="00625A5B" w:rsidRPr="008F03E5" w:rsidRDefault="00625A5B" w:rsidP="00073FC6">
      <w:pPr>
        <w:pStyle w:val="Translit"/>
      </w:pPr>
      <w:r w:rsidRPr="008F03E5">
        <w:t>Ilhad</w:t>
      </w:r>
      <w:r w:rsidRPr="008F03E5">
        <w:tab/>
        <w:t>Ilḥád</w:t>
      </w:r>
      <w:r w:rsidRPr="008F03E5">
        <w:tab/>
        <w:t>apostasy; heterodoxy, heresy</w:t>
      </w:r>
    </w:p>
    <w:p w14:paraId="35A6B772" w14:textId="77777777" w:rsidR="00625A5B" w:rsidRPr="008F03E5" w:rsidRDefault="00625A5B" w:rsidP="00343BCA">
      <w:pPr>
        <w:pStyle w:val="Translit"/>
      </w:pPr>
      <w:r w:rsidRPr="008F03E5">
        <w:t>Ilham, Ilhamat</w:t>
      </w:r>
      <w:r w:rsidRPr="008F03E5">
        <w:tab/>
        <w:t>Ilhám, pl. Ilhámát</w:t>
      </w:r>
      <w:r w:rsidRPr="008F03E5">
        <w:tab/>
        <w:t>inspiration; instinct; divine revelation</w:t>
      </w:r>
    </w:p>
    <w:p w14:paraId="57D856EC" w14:textId="77777777" w:rsidR="00625A5B" w:rsidRPr="008F03E5" w:rsidRDefault="00625A5B" w:rsidP="00C921DB">
      <w:pPr>
        <w:pStyle w:val="Translit"/>
      </w:pPr>
      <w:r w:rsidRPr="008F03E5">
        <w:t>Iliya’</w:t>
      </w:r>
      <w:r w:rsidRPr="008F03E5">
        <w:tab/>
        <w:t>Íliyá’,</w:t>
      </w:r>
      <w:r w:rsidRPr="008F03E5">
        <w:rPr>
          <w:rFonts w:eastAsia="Times New Roman"/>
        </w:rPr>
        <w:t xml:space="preserve"> </w:t>
      </w:r>
      <w:r w:rsidRPr="008F03E5">
        <w:t>Í</w:t>
      </w:r>
      <w:r w:rsidRPr="008F03E5">
        <w:rPr>
          <w:rFonts w:eastAsia="Times New Roman"/>
        </w:rPr>
        <w:t>líyá’</w:t>
      </w:r>
      <w:r w:rsidRPr="008F03E5">
        <w:rPr>
          <w:rFonts w:eastAsia="Times New Roman"/>
        </w:rPr>
        <w:tab/>
        <w:t>Elia</w:t>
      </w:r>
    </w:p>
    <w:p w14:paraId="218B72A7" w14:textId="77777777" w:rsidR="00625A5B" w:rsidRPr="008F03E5" w:rsidRDefault="00625A5B" w:rsidP="004A77C7">
      <w:pPr>
        <w:pStyle w:val="Translit"/>
      </w:pPr>
      <w:r w:rsidRPr="008F03E5">
        <w:t>Il-Khan or Ilkhan</w:t>
      </w:r>
      <w:r w:rsidRPr="008F03E5">
        <w:tab/>
        <w:t>Íl-</w:t>
      </w:r>
      <w:r w:rsidRPr="008F03E5">
        <w:rPr>
          <w:u w:val="single"/>
        </w:rPr>
        <w:t>Kh</w:t>
      </w:r>
      <w:r w:rsidRPr="008F03E5">
        <w:t>án or Íl</w:t>
      </w:r>
      <w:r w:rsidRPr="008F03E5">
        <w:rPr>
          <w:u w:val="single"/>
        </w:rPr>
        <w:t>kh</w:t>
      </w:r>
      <w:r w:rsidRPr="008F03E5">
        <w:t>án</w:t>
      </w:r>
      <w:r w:rsidRPr="008F03E5">
        <w:tab/>
        <w:t>Pers. a commander; a title of the Mogul emperors</w:t>
      </w:r>
    </w:p>
    <w:p w14:paraId="7DBA3F1D" w14:textId="77777777" w:rsidR="00625A5B" w:rsidRPr="008F03E5" w:rsidRDefault="00625A5B" w:rsidP="00F26747">
      <w:pPr>
        <w:pStyle w:val="Translit"/>
      </w:pPr>
      <w:r w:rsidRPr="008F03E5">
        <w:t>Ilkhani</w:t>
      </w:r>
      <w:r w:rsidRPr="008F03E5">
        <w:tab/>
        <w:t>Íl</w:t>
      </w:r>
      <w:r w:rsidRPr="008F03E5">
        <w:rPr>
          <w:u w:val="single"/>
        </w:rPr>
        <w:t>kh</w:t>
      </w:r>
      <w:r w:rsidRPr="008F03E5">
        <w:t>ání</w:t>
      </w:r>
      <w:r w:rsidRPr="008F03E5">
        <w:tab/>
        <w:t>Pers. belonging or referring to an Íl-</w:t>
      </w:r>
      <w:r w:rsidRPr="008F03E5">
        <w:rPr>
          <w:u w:val="single"/>
        </w:rPr>
        <w:t>kh</w:t>
      </w:r>
      <w:r w:rsidRPr="008F03E5">
        <w:t>án; the leader of an army.  Bagh-i-Íl</w:t>
      </w:r>
      <w:r w:rsidRPr="008F03E5">
        <w:rPr>
          <w:u w:val="single"/>
        </w:rPr>
        <w:t>kh</w:t>
      </w:r>
      <w:r w:rsidRPr="008F03E5">
        <w:t>ání, garden described as being “next” to the Russian legation, just outside the Ṭihrán city walls, where Ṭáhirih was martyred.</w:t>
      </w:r>
    </w:p>
    <w:p w14:paraId="6D14428E" w14:textId="77777777" w:rsidR="00625A5B" w:rsidRPr="008F03E5" w:rsidRDefault="00625A5B" w:rsidP="00335DFF">
      <w:pPr>
        <w:pStyle w:val="Translit"/>
      </w:pPr>
      <w:r w:rsidRPr="008F03E5">
        <w:t>Ilkhchi</w:t>
      </w:r>
      <w:r w:rsidRPr="008F03E5">
        <w:tab/>
        <w:t>Íl</w:t>
      </w:r>
      <w:r w:rsidRPr="008F03E5">
        <w:rPr>
          <w:u w:val="single"/>
        </w:rPr>
        <w:t>khch</w:t>
      </w:r>
      <w:r w:rsidRPr="008F03E5">
        <w:t>í</w:t>
      </w:r>
      <w:r w:rsidRPr="008F03E5">
        <w:tab/>
        <w:t>is a town and capital of Íl</w:t>
      </w:r>
      <w:r w:rsidRPr="008F03E5">
        <w:rPr>
          <w:u w:val="single"/>
        </w:rPr>
        <w:t>khch</w:t>
      </w:r>
      <w:r w:rsidRPr="008F03E5">
        <w:t>í District, East Azerbaijan Province, Iran.</w:t>
      </w:r>
    </w:p>
    <w:p w14:paraId="3D4A2790" w14:textId="77777777" w:rsidR="00625A5B" w:rsidRPr="008F03E5" w:rsidRDefault="00625A5B" w:rsidP="003A06A8">
      <w:pPr>
        <w:pStyle w:val="Translit"/>
      </w:pPr>
      <w:r w:rsidRPr="00D45A23">
        <w:rPr>
          <w:lang w:val="fr-FR"/>
        </w:rPr>
        <w:t>Illa, ‘Illat, ‘Ilal</w:t>
      </w:r>
      <w:r w:rsidRPr="00D45A23">
        <w:rPr>
          <w:lang w:val="fr-FR"/>
        </w:rPr>
        <w:tab/>
        <w:t xml:space="preserve">‘Illa[t], pl. </w:t>
      </w:r>
      <w:r w:rsidRPr="008F03E5">
        <w:t>‘Illát, ‘Ilal</w:t>
      </w:r>
      <w:r w:rsidRPr="008F03E5">
        <w:tab/>
        <w:t xml:space="preserve">illness, sickness, disease, malady; deficiency, defect, weakness; weakness, defectiveness (of a letter or word; grammar); a cause, reason; metrical variation or irregularity (prosody);—(pl. ‘Ilal) cause, reason, occasion; excuse, pretence, pretext, plea.  Aristotle claimed that there are four causes (or explanations) needed to explain change in the world:  </w:t>
      </w:r>
      <w:r w:rsidRPr="008F03E5">
        <w:rPr>
          <w:i/>
          <w:iCs/>
        </w:rPr>
        <w:t>‘illat al-máddí</w:t>
      </w:r>
      <w:r w:rsidRPr="008F03E5">
        <w:t xml:space="preserve">, material cause, matter of which a thing is made; </w:t>
      </w:r>
      <w:r w:rsidRPr="008F03E5">
        <w:rPr>
          <w:i/>
          <w:iCs/>
        </w:rPr>
        <w:t>‘illat aṣ-ṣúrí</w:t>
      </w:r>
      <w:r w:rsidRPr="008F03E5">
        <w:t xml:space="preserve">, formal cause, i.e. that form in which the essence of a thing consists; </w:t>
      </w:r>
      <w:r w:rsidRPr="008F03E5">
        <w:rPr>
          <w:i/>
          <w:iCs/>
        </w:rPr>
        <w:t>‘illat al-fá‘ilí</w:t>
      </w:r>
      <w:r w:rsidRPr="008F03E5">
        <w:t xml:space="preserve">, notional or efficient cause (as the maker, if the work of man); and </w:t>
      </w:r>
      <w:r w:rsidRPr="008F03E5">
        <w:rPr>
          <w:i/>
          <w:iCs/>
        </w:rPr>
        <w:t>‘illat a</w:t>
      </w:r>
      <w:r w:rsidRPr="008F03E5">
        <w:rPr>
          <w:i/>
          <w:iCs/>
          <w:u w:val="single"/>
        </w:rPr>
        <w:t>gh</w:t>
      </w:r>
      <w:r w:rsidRPr="008F03E5">
        <w:rPr>
          <w:i/>
          <w:iCs/>
        </w:rPr>
        <w:t xml:space="preserve"> </w:t>
      </w:r>
      <w:r w:rsidRPr="008F03E5">
        <w:rPr>
          <w:i/>
          <w:iCs/>
          <w:u w:val="single"/>
        </w:rPr>
        <w:t>g̠h</w:t>
      </w:r>
      <w:r w:rsidRPr="008F03E5">
        <w:rPr>
          <w:i/>
          <w:iCs/>
        </w:rPr>
        <w:t>á’í</w:t>
      </w:r>
      <w:r w:rsidRPr="008F03E5">
        <w:t>, final cause for which it was made.</w:t>
      </w:r>
    </w:p>
    <w:p w14:paraId="60DCA164" w14:textId="77777777" w:rsidR="00625A5B" w:rsidRPr="008F03E5" w:rsidRDefault="00625A5B" w:rsidP="004A3308">
      <w:pPr>
        <w:pStyle w:val="Translit"/>
      </w:pPr>
      <w:r w:rsidRPr="008F03E5">
        <w:t>Illa’llah</w:t>
      </w:r>
      <w:r w:rsidRPr="008F03E5">
        <w:tab/>
        <w:t>Illa’lláh</w:t>
      </w:r>
      <w:r w:rsidRPr="008F03E5">
        <w:tab/>
        <w:t>“but God” or “save God”</w:t>
      </w:r>
    </w:p>
    <w:p w14:paraId="0B28709E" w14:textId="77777777" w:rsidR="00625A5B" w:rsidRPr="008F03E5" w:rsidRDefault="00625A5B" w:rsidP="00C921DB">
      <w:pPr>
        <w:pStyle w:val="Translit"/>
      </w:pPr>
      <w:r w:rsidRPr="008F03E5">
        <w:t>Illiyun or ‘Illiyyun</w:t>
      </w:r>
      <w:r w:rsidRPr="008F03E5">
        <w:tab/>
        <w:t>‘Illíyún or ‘Illiyyún</w:t>
      </w:r>
      <w:r w:rsidRPr="008F03E5">
        <w:tab/>
        <w:t>(plural form of ‘ulúw or ‘illiyy) high, sublime; high places or the persons who sit in high places; the upper apartments of heaven; a place in the seventh heaven, where the records of men’s actions are laid up; the books themselves; a ledger for the righteous deeds.  See Qur’án 83:18–20.  The opposite of sajín.</w:t>
      </w:r>
    </w:p>
    <w:p w14:paraId="29751778" w14:textId="77777777" w:rsidR="00625A5B" w:rsidRPr="008F03E5" w:rsidRDefault="00625A5B" w:rsidP="00385A2B">
      <w:pPr>
        <w:pStyle w:val="Translit"/>
      </w:pPr>
      <w:r w:rsidRPr="008F03E5">
        <w:t>Ilm adh-Dhawqi</w:t>
      </w:r>
      <w:r w:rsidRPr="008F03E5">
        <w:tab/>
        <w:t>al-‘Ilm a</w:t>
      </w:r>
      <w:r w:rsidRPr="008F03E5">
        <w:rPr>
          <w:u w:val="single"/>
        </w:rPr>
        <w:t>dh</w:t>
      </w:r>
      <w:r w:rsidRPr="008F03E5">
        <w:t>-</w:t>
      </w:r>
      <w:r w:rsidRPr="008F03E5">
        <w:rPr>
          <w:u w:val="single"/>
        </w:rPr>
        <w:t>Dh</w:t>
      </w:r>
      <w:r w:rsidRPr="008F03E5">
        <w:t>awqi</w:t>
      </w:r>
      <w:r w:rsidRPr="008F03E5">
        <w:tab/>
        <w:t>intuitive insight (</w:t>
      </w:r>
      <w:r w:rsidRPr="008F03E5">
        <w:rPr>
          <w:i/>
          <w:iCs/>
        </w:rPr>
        <w:t>Remembrance of God</w:t>
      </w:r>
      <w:r w:rsidRPr="008F03E5">
        <w:t>, p. 5, Scholl)</w:t>
      </w:r>
    </w:p>
    <w:p w14:paraId="0C1227AB" w14:textId="77777777" w:rsidR="00625A5B" w:rsidRPr="00D45A23" w:rsidRDefault="00625A5B" w:rsidP="0058046F">
      <w:pPr>
        <w:pStyle w:val="Translit"/>
        <w:rPr>
          <w:lang w:val="it-IT"/>
        </w:rPr>
      </w:pPr>
      <w:r w:rsidRPr="00D45A23">
        <w:rPr>
          <w:lang w:val="it-IT"/>
        </w:rPr>
        <w:t>Ilm al-Ilahi</w:t>
      </w:r>
      <w:r w:rsidRPr="00D45A23">
        <w:rPr>
          <w:lang w:val="it-IT"/>
        </w:rPr>
        <w:tab/>
        <w:t>‘Ilm al-Iláhí</w:t>
      </w:r>
      <w:r w:rsidRPr="00D45A23">
        <w:rPr>
          <w:lang w:val="it-IT"/>
        </w:rPr>
        <w:tab/>
        <w:t>theology</w:t>
      </w:r>
    </w:p>
    <w:p w14:paraId="2F889321" w14:textId="77777777" w:rsidR="00625A5B" w:rsidRPr="008F03E5" w:rsidRDefault="00625A5B" w:rsidP="008D5C81">
      <w:pPr>
        <w:pStyle w:val="Translit"/>
      </w:pPr>
      <w:r w:rsidRPr="008F03E5">
        <w:t>Ilm al-wujudi</w:t>
      </w:r>
      <w:r w:rsidRPr="008F03E5">
        <w:tab/>
        <w:t>‘ilm al-Wujudi</w:t>
      </w:r>
      <w:r w:rsidRPr="008F03E5">
        <w:tab/>
        <w:t>existential knowledge</w:t>
      </w:r>
    </w:p>
    <w:p w14:paraId="258121D2" w14:textId="77777777" w:rsidR="00625A5B" w:rsidRPr="008F03E5" w:rsidRDefault="00625A5B" w:rsidP="008D5C81">
      <w:pPr>
        <w:pStyle w:val="Translit"/>
      </w:pPr>
      <w:r w:rsidRPr="008F03E5">
        <w:t>Ilm Ilahiyat, ‘Ilm Ilahiyun</w:t>
      </w:r>
      <w:r w:rsidRPr="008F03E5">
        <w:tab/>
        <w:t>‘Ílm Iláhíyat, pl. ‘Ílm Iláhíyún</w:t>
      </w:r>
      <w:r w:rsidRPr="008F03E5">
        <w:tab/>
        <w:t>theologian</w:t>
      </w:r>
    </w:p>
    <w:p w14:paraId="65FB3E0B" w14:textId="77777777" w:rsidR="00625A5B" w:rsidRPr="008F03E5" w:rsidRDefault="00625A5B" w:rsidP="00BE661D">
      <w:pPr>
        <w:pStyle w:val="Translit"/>
      </w:pPr>
      <w:r w:rsidRPr="008F03E5">
        <w:t>Ilm, ‘Ulum</w:t>
      </w:r>
      <w:r w:rsidRPr="008F03E5">
        <w:tab/>
        <w:t>‘Ilm, pl. ‘Ulúm</w:t>
      </w:r>
      <w:r w:rsidRPr="008F03E5">
        <w:tab/>
        <w:t>knowledge, learning, lore; cognizance, acquaintance; information; cognition, intellection, perception, knowledge; (pl.) science; al-‘ulúm, the (natural) sciences</w:t>
      </w:r>
    </w:p>
    <w:p w14:paraId="72881425" w14:textId="77777777" w:rsidR="00625A5B" w:rsidRPr="008F03E5" w:rsidRDefault="00625A5B" w:rsidP="001B2E6A">
      <w:pPr>
        <w:pStyle w:val="Translit"/>
      </w:pPr>
      <w:r w:rsidRPr="008F03E5">
        <w:t>Ilm-al-Yaqin</w:t>
      </w:r>
      <w:r w:rsidRPr="008F03E5">
        <w:tab/>
        <w:t>‘Ilm-al-Yaqín</w:t>
      </w:r>
      <w:r w:rsidRPr="008F03E5">
        <w:tab/>
        <w:t>“certain knowledge” or knowledge that is impossible to deny or disprove</w:t>
      </w:r>
    </w:p>
    <w:p w14:paraId="6979BBB6" w14:textId="77777777" w:rsidR="00625A5B" w:rsidRPr="008F03E5" w:rsidRDefault="00625A5B" w:rsidP="00074B11">
      <w:pPr>
        <w:pStyle w:val="Translit"/>
      </w:pPr>
      <w:r w:rsidRPr="008F03E5">
        <w:t>Ilmi</w:t>
      </w:r>
      <w:r w:rsidRPr="008F03E5">
        <w:tab/>
        <w:t>‘Ilmí</w:t>
      </w:r>
      <w:r w:rsidRPr="008F03E5">
        <w:tab/>
        <w:t>scientific; erudite (book); learned (society)</w:t>
      </w:r>
    </w:p>
    <w:p w14:paraId="7E232116" w14:textId="77777777" w:rsidR="00625A5B" w:rsidRPr="008F03E5" w:rsidRDefault="00625A5B" w:rsidP="00A43FBE">
      <w:pPr>
        <w:pStyle w:val="Translit"/>
      </w:pPr>
      <w:r w:rsidRPr="008F03E5">
        <w:t>Ilmiya, ‘Ilmiyyyih</w:t>
      </w:r>
      <w:r w:rsidRPr="008F03E5">
        <w:tab/>
        <w:t>‘Ilmíya[t], Pers. also ‘Ilm</w:t>
      </w:r>
      <w:r>
        <w:t>i</w:t>
      </w:r>
      <w:r w:rsidRPr="008F03E5">
        <w:t>yyih</w:t>
      </w:r>
      <w:r w:rsidRPr="008F03E5">
        <w:tab/>
        <w:t>learning, scholarship</w:t>
      </w:r>
    </w:p>
    <w:p w14:paraId="24B93F62" w14:textId="77777777" w:rsidR="00625A5B" w:rsidRPr="008F03E5" w:rsidRDefault="00625A5B" w:rsidP="00C45DAC">
      <w:pPr>
        <w:pStyle w:val="Translit"/>
      </w:pPr>
      <w:r w:rsidRPr="008F03E5">
        <w:t>Ilmu’t-Tajwid</w:t>
      </w:r>
      <w:r w:rsidRPr="008F03E5">
        <w:tab/>
        <w:t>‘Ilmu’t-Tajwíd</w:t>
      </w:r>
      <w:r w:rsidRPr="008F03E5">
        <w:tab/>
        <w:t>al-‘Ilmu’t-Tajwíd or ‘Ilmu’l-Qira’ah—the science of reading the Qur’an correctly.</w:t>
      </w:r>
    </w:p>
    <w:p w14:paraId="71C145C6" w14:textId="77777777" w:rsidR="00625A5B" w:rsidRPr="008F03E5" w:rsidRDefault="00625A5B" w:rsidP="00F74745">
      <w:pPr>
        <w:pStyle w:val="Translit"/>
      </w:pPr>
      <w:r w:rsidRPr="008F03E5">
        <w:t>Iltibas</w:t>
      </w:r>
      <w:r w:rsidRPr="008F03E5">
        <w:tab/>
        <w:t>Iltibás</w:t>
      </w:r>
      <w:r w:rsidRPr="008F03E5">
        <w:tab/>
        <w:t>confusion, tangle, intricacy, obscurity, ambiguity, dubiousness, doubt.  Also veiled or disguised.</w:t>
      </w:r>
    </w:p>
    <w:p w14:paraId="1E9EBF75" w14:textId="77777777" w:rsidR="00625A5B" w:rsidRPr="008F03E5" w:rsidRDefault="00625A5B" w:rsidP="00C363D4">
      <w:pPr>
        <w:pStyle w:val="Translit"/>
      </w:pPr>
      <w:r w:rsidRPr="008F03E5">
        <w:t>Ilya</w:t>
      </w:r>
      <w:r w:rsidRPr="008F03E5">
        <w:tab/>
        <w:t>Ílyá</w:t>
      </w:r>
      <w:r w:rsidRPr="008F03E5">
        <w:tab/>
        <w:t>Elia is a name which may be a variant of the names Elias, Elijah, Eli or Eliahu</w:t>
      </w:r>
    </w:p>
    <w:p w14:paraId="4B23AF04" w14:textId="77777777" w:rsidR="00625A5B" w:rsidRPr="008F03E5" w:rsidRDefault="00625A5B" w:rsidP="002032AF">
      <w:pPr>
        <w:pStyle w:val="Translit"/>
      </w:pPr>
      <w:r w:rsidRPr="008F03E5">
        <w:t>Ilyas, Alyas</w:t>
      </w:r>
      <w:r>
        <w:t xml:space="preserve"> (Alyaz)</w:t>
      </w:r>
      <w:r w:rsidRPr="008F03E5">
        <w:tab/>
      </w:r>
      <w:bookmarkStart w:id="83" w:name="_Hlk60317471"/>
      <w:r w:rsidRPr="008F03E5">
        <w:t>Ilyás</w:t>
      </w:r>
      <w:bookmarkEnd w:id="83"/>
      <w:r w:rsidRPr="008F03E5">
        <w:t>, Alyás</w:t>
      </w:r>
      <w:r w:rsidRPr="008F03E5">
        <w:tab/>
        <w:t xml:space="preserve">Hebrew </w:t>
      </w:r>
      <w:r w:rsidRPr="008F03E5">
        <w:rPr>
          <w:rtl/>
          <w:lang w:bidi="he-IL"/>
        </w:rPr>
        <w:t>ליהו</w:t>
      </w:r>
      <w:r w:rsidRPr="008F03E5">
        <w:rPr>
          <w:lang w:bidi="he-IL"/>
        </w:rPr>
        <w:t xml:space="preserve">, </w:t>
      </w:r>
      <w:r w:rsidRPr="008F03E5">
        <w:t>Eliahu or Eliyahu, “One whose God is the Lord”;</w:t>
      </w:r>
      <w:r w:rsidRPr="008F03E5">
        <w:rPr>
          <w:lang w:bidi="he-IL"/>
        </w:rPr>
        <w:t xml:space="preserve"> English </w:t>
      </w:r>
      <w:r w:rsidRPr="008F03E5">
        <w:t>Elijah (alternative spelling:  Elyas, Ilias, Eliasor, Elias, Eliahu, Elyahu, Eliyahu)</w:t>
      </w:r>
    </w:p>
    <w:p w14:paraId="32FDF92E" w14:textId="77777777" w:rsidR="00625A5B" w:rsidRPr="008F03E5" w:rsidRDefault="00625A5B" w:rsidP="00D42602">
      <w:pPr>
        <w:pStyle w:val="Translit"/>
      </w:pPr>
      <w:r w:rsidRPr="008F03E5">
        <w:t>Ilzam</w:t>
      </w:r>
      <w:r w:rsidRPr="008F03E5">
        <w:tab/>
        <w:t>Ilzám</w:t>
      </w:r>
      <w:r w:rsidRPr="008F03E5">
        <w:tab/>
        <w:t>coercion, compulsion</w:t>
      </w:r>
    </w:p>
    <w:p w14:paraId="544D338D" w14:textId="77777777" w:rsidR="00625A5B" w:rsidRPr="008F03E5" w:rsidRDefault="00625A5B" w:rsidP="00D42602">
      <w:pPr>
        <w:pStyle w:val="Translit"/>
      </w:pPr>
      <w:r w:rsidRPr="008F03E5">
        <w:t>Ilzami</w:t>
      </w:r>
      <w:r w:rsidRPr="008F03E5">
        <w:tab/>
        <w:t>Ilzámí</w:t>
      </w:r>
      <w:r w:rsidRPr="008F03E5">
        <w:tab/>
        <w:t>forced, compulsory, obligatory, required.  As a philosophical term, “necessary” may give a clearer meaning of the word.</w:t>
      </w:r>
    </w:p>
    <w:p w14:paraId="30BF79E5" w14:textId="77777777" w:rsidR="00625A5B" w:rsidRPr="008F03E5" w:rsidRDefault="00625A5B" w:rsidP="00132F7C">
      <w:pPr>
        <w:pStyle w:val="Translit"/>
      </w:pPr>
      <w:r w:rsidRPr="008F03E5">
        <w:t>Imad, Amad</w:t>
      </w:r>
      <w:r w:rsidRPr="008F03E5">
        <w:tab/>
        <w:t>‘Imád, pl. ‘Amad</w:t>
      </w:r>
      <w:r w:rsidRPr="008F03E5">
        <w:tab/>
        <w:t>support, prop, stay (also figuratively); bracket, buttress, post, pole, pillar.  Mír ‘Imád famous calligrapher.</w:t>
      </w:r>
    </w:p>
    <w:p w14:paraId="3CB41F95" w14:textId="77777777" w:rsidR="00625A5B" w:rsidRPr="008F03E5" w:rsidRDefault="00625A5B" w:rsidP="004B5E86">
      <w:pPr>
        <w:pStyle w:val="Translit"/>
      </w:pPr>
      <w:r w:rsidRPr="008F03E5">
        <w:t>Imadi’d-Dawlih</w:t>
      </w:r>
      <w:r w:rsidRPr="008F03E5">
        <w:tab/>
        <w:t>‘Imádi’d-Dawlih</w:t>
      </w:r>
      <w:r w:rsidRPr="008F03E5">
        <w:tab/>
        <w:t>“the Mainstay of the State”</w:t>
      </w:r>
    </w:p>
    <w:p w14:paraId="652C655A" w14:textId="77777777" w:rsidR="00625A5B" w:rsidRPr="008F03E5" w:rsidRDefault="00625A5B" w:rsidP="004B5E86">
      <w:pPr>
        <w:pStyle w:val="Translit"/>
      </w:pPr>
      <w:r w:rsidRPr="008F03E5">
        <w:t>Imadu’d-Din</w:t>
      </w:r>
      <w:r w:rsidRPr="008F03E5">
        <w:tab/>
        <w:t>Imádu’d-Dín</w:t>
      </w:r>
      <w:r w:rsidRPr="008F03E5">
        <w:tab/>
        <w:t>pillar of the Faith</w:t>
      </w:r>
    </w:p>
    <w:p w14:paraId="73391FCF" w14:textId="77777777" w:rsidR="00625A5B" w:rsidRPr="008F03E5" w:rsidRDefault="00625A5B" w:rsidP="00A66EA2">
      <w:pPr>
        <w:pStyle w:val="Translit"/>
      </w:pPr>
      <w:r w:rsidRPr="008F03E5">
        <w:t>Imam,</w:t>
      </w:r>
      <w:r>
        <w:t xml:space="preserve"> </w:t>
      </w:r>
      <w:r w:rsidRPr="008F03E5">
        <w:t>A’imma</w:t>
      </w:r>
      <w:r w:rsidRPr="008F03E5">
        <w:tab/>
        <w:t>Imám, pl. A’imma[h or t]</w:t>
      </w:r>
      <w:r w:rsidRPr="008F03E5">
        <w:tab/>
        <w:t>imam, prayer leader; leader; master; plumb line.  The person who leads the congregation in the mosque, in prayer (hence, “prayer leader”).  The A’imma are called the “Kindred of God”, “Suns of immaculacy and Moons of majesty” by Bahá’u’lláh (</w:t>
      </w:r>
      <w:r w:rsidRPr="008F03E5">
        <w:rPr>
          <w:sz w:val="16"/>
          <w:szCs w:val="16"/>
        </w:rPr>
        <w:t>GDM</w:t>
      </w:r>
      <w:r w:rsidRPr="008F03E5">
        <w:t>).</w:t>
      </w:r>
      <w:r>
        <w:t xml:space="preserve"> </w:t>
      </w:r>
      <w:r w:rsidRPr="001C1CBE">
        <w:t xml:space="preserve"> </w:t>
      </w:r>
      <w:r>
        <w:t>I</w:t>
      </w:r>
      <w:r w:rsidRPr="001C1CBE">
        <w:t>m</w:t>
      </w:r>
      <w:r>
        <w:t>á</w:t>
      </w:r>
      <w:r w:rsidRPr="001C1CBE">
        <w:t>ma</w:t>
      </w:r>
      <w:r>
        <w:t>[h or t]</w:t>
      </w:r>
      <w:r w:rsidRPr="001C1CBE">
        <w:t xml:space="preserve"> </w:t>
      </w:r>
      <w:r>
        <w:t xml:space="preserve">(English </w:t>
      </w:r>
      <w:r w:rsidRPr="001C1CBE">
        <w:t>imamah</w:t>
      </w:r>
      <w:r>
        <w:t>)</w:t>
      </w:r>
      <w:r w:rsidRPr="001C1CBE">
        <w:t>, function or office of the prayer leader; imamate; leading position; precedence</w:t>
      </w:r>
      <w:r>
        <w:t>.</w:t>
      </w:r>
    </w:p>
    <w:p w14:paraId="71863A89" w14:textId="77777777" w:rsidR="00625A5B" w:rsidRPr="008F03E5" w:rsidRDefault="00625A5B" w:rsidP="003A2557">
      <w:pPr>
        <w:pStyle w:val="Translit"/>
      </w:pPr>
      <w:r w:rsidRPr="008F03E5">
        <w:t>Imama</w:t>
      </w:r>
      <w:r w:rsidRPr="008F03E5">
        <w:tab/>
        <w:t>Imáma[h or t]</w:t>
      </w:r>
      <w:r w:rsidRPr="008F03E5">
        <w:tab/>
        <w:t>function or office of the prayer leader; imamate; leading position; precedence</w:t>
      </w:r>
    </w:p>
    <w:p w14:paraId="4580A104" w14:textId="77777777" w:rsidR="00625A5B" w:rsidRPr="008F03E5" w:rsidRDefault="00625A5B" w:rsidP="00EE732B">
      <w:pPr>
        <w:pStyle w:val="Translit"/>
      </w:pPr>
      <w:r w:rsidRPr="008F03E5">
        <w:t>Imam-Husayn</w:t>
      </w:r>
      <w:r w:rsidRPr="008F03E5">
        <w:tab/>
        <w:t>Imám-Ḥusayn</w:t>
      </w:r>
      <w:r w:rsidRPr="008F03E5">
        <w:tab/>
        <w:t xml:space="preserve">the third Imám.  One wife, </w:t>
      </w:r>
      <w:r w:rsidRPr="008F03E5">
        <w:rPr>
          <w:u w:val="single"/>
        </w:rPr>
        <w:t>Sh</w:t>
      </w:r>
      <w:r w:rsidRPr="008F03E5">
        <w:t xml:space="preserve">ahrbánú, was a daughter of Yazdigird </w:t>
      </w:r>
      <w:r w:rsidRPr="008F03E5">
        <w:rPr>
          <w:sz w:val="16"/>
          <w:szCs w:val="16"/>
        </w:rPr>
        <w:t>III</w:t>
      </w:r>
    </w:p>
    <w:p w14:paraId="72ADEB0B" w14:textId="77777777" w:rsidR="00625A5B" w:rsidRPr="008F03E5" w:rsidRDefault="00625A5B" w:rsidP="006924B5">
      <w:pPr>
        <w:pStyle w:val="Translit"/>
      </w:pPr>
      <w:r w:rsidRPr="008F03E5">
        <w:t>Imam-Jum’ih</w:t>
      </w:r>
      <w:r w:rsidRPr="008F03E5">
        <w:tab/>
        <w:t>Imám-Jum‘ih</w:t>
      </w:r>
      <w:r w:rsidRPr="008F03E5">
        <w:tab/>
        <w:t xml:space="preserve">Pers. (Imam-Jom’a or Imam Jomai)  The leader of the </w:t>
      </w:r>
      <w:r w:rsidRPr="008F03E5">
        <w:rPr>
          <w:u w:val="single"/>
        </w:rPr>
        <w:t>Sh</w:t>
      </w:r>
      <w:r w:rsidRPr="008F03E5">
        <w:t>í‘ah Friday prayers in the mosque of a city or town.</w:t>
      </w:r>
    </w:p>
    <w:p w14:paraId="151F07F9" w14:textId="77777777" w:rsidR="00625A5B" w:rsidRPr="008F03E5" w:rsidRDefault="00625A5B" w:rsidP="004917C0">
      <w:pPr>
        <w:pStyle w:val="Translit"/>
      </w:pPr>
      <w:r w:rsidRPr="00D45A23">
        <w:rPr>
          <w:lang w:val="pl-PL"/>
        </w:rPr>
        <w:t>Imam-Zada, Imam-Zadagan</w:t>
      </w:r>
      <w:r w:rsidRPr="00D45A23">
        <w:rPr>
          <w:lang w:val="pl-PL"/>
        </w:rPr>
        <w:tab/>
        <w:t xml:space="preserve">Imám-Záda, pl. </w:t>
      </w:r>
      <w:r w:rsidRPr="008F03E5">
        <w:t>Imám-Zádagán</w:t>
      </w:r>
      <w:r w:rsidRPr="008F03E5">
        <w:tab/>
        <w:t xml:space="preserve">Pers. </w:t>
      </w:r>
      <w:r>
        <w:t xml:space="preserve">(“Emamzadeh”, “Emamzadegan”) </w:t>
      </w:r>
      <w:r w:rsidRPr="008F03E5">
        <w:t xml:space="preserve">descendant of an Imám; son of a priest; term for a shrine-tomb of the descendants (not the Imám) of Imams, who are directly related to Muḥammad.  </w:t>
      </w:r>
      <w:r>
        <w:t xml:space="preserve">There are many </w:t>
      </w:r>
      <w:r w:rsidRPr="008F03E5">
        <w:t xml:space="preserve">Imám-Zádagán </w:t>
      </w:r>
      <w:r>
        <w:t xml:space="preserve">shrines in Qum.  </w:t>
      </w:r>
      <w:r w:rsidRPr="008F03E5">
        <w:t>Pers. imám-zádih.</w:t>
      </w:r>
    </w:p>
    <w:p w14:paraId="6281A26A" w14:textId="77777777" w:rsidR="00625A5B" w:rsidRPr="008F03E5" w:rsidRDefault="00625A5B" w:rsidP="00C21E1D">
      <w:pPr>
        <w:pStyle w:val="Translit"/>
      </w:pPr>
      <w:r w:rsidRPr="008F03E5">
        <w:t>Imam-Zadih Ma’sum</w:t>
      </w:r>
      <w:r w:rsidRPr="008F03E5">
        <w:tab/>
        <w:t>Imám-Zádih Ma‘ṣúm</w:t>
      </w:r>
      <w:r w:rsidRPr="008F03E5">
        <w:tab/>
        <w:t>also known as the Shrine of ibn Bábuyyih (Babawayh) in the ibn Bábuyyih Cemetery, south of Ṭihrán.  Place where the Báb’s body was kept at the instruction of Bahá’u’lláh.  Nabíl suggests the Shrine of Imám-Zádih-Ḥasan.</w:t>
      </w:r>
    </w:p>
    <w:p w14:paraId="224096E0" w14:textId="77777777" w:rsidR="00625A5B" w:rsidRPr="008F03E5" w:rsidRDefault="00625A5B" w:rsidP="00237035">
      <w:pPr>
        <w:pStyle w:val="Translit"/>
      </w:pPr>
      <w:r w:rsidRPr="008F03E5">
        <w:t>Iman</w:t>
      </w:r>
      <w:r w:rsidRPr="008F03E5">
        <w:tab/>
        <w:t>Ímán</w:t>
      </w:r>
      <w:r w:rsidRPr="008F03E5">
        <w:tab/>
        <w:t>faith, belief</w:t>
      </w:r>
    </w:p>
    <w:p w14:paraId="22E8C51A" w14:textId="77777777" w:rsidR="00625A5B" w:rsidRPr="008F03E5" w:rsidRDefault="00625A5B" w:rsidP="00237035">
      <w:pPr>
        <w:pStyle w:val="Translit"/>
      </w:pPr>
      <w:r w:rsidRPr="008F03E5">
        <w:t>Imanu’llah</w:t>
      </w:r>
      <w:r w:rsidRPr="008F03E5">
        <w:tab/>
        <w:t>Ímánu’lláh</w:t>
      </w:r>
      <w:r w:rsidRPr="008F03E5">
        <w:tab/>
        <w:t>Faith of God</w:t>
      </w:r>
    </w:p>
    <w:p w14:paraId="56DE32FC" w14:textId="77777777" w:rsidR="00625A5B" w:rsidRPr="008F03E5" w:rsidRDefault="00625A5B" w:rsidP="005C28D0">
      <w:pPr>
        <w:pStyle w:val="Translit"/>
      </w:pPr>
      <w:r w:rsidRPr="008F03E5">
        <w:t>Imara</w:t>
      </w:r>
      <w:r w:rsidRPr="008F03E5">
        <w:tab/>
        <w:t>Imára[h]</w:t>
      </w:r>
      <w:r w:rsidRPr="008F03E5">
        <w:tab/>
        <w:t>position or rank of an emir; princely bearing or manners; principality, emirate; authority, power</w:t>
      </w:r>
    </w:p>
    <w:p w14:paraId="2556E4C2" w14:textId="77777777" w:rsidR="00625A5B" w:rsidRPr="008F03E5" w:rsidRDefault="00625A5B" w:rsidP="000A10B6">
      <w:pPr>
        <w:pStyle w:val="Translit"/>
      </w:pPr>
      <w:r w:rsidRPr="008F03E5">
        <w:t>Imara, Imarat</w:t>
      </w:r>
      <w:r w:rsidRPr="008F03E5">
        <w:tab/>
        <w:t>‘Imára[h or t], pl. ‘Imárát, ‘Amá’ir</w:t>
      </w:r>
      <w:r w:rsidRPr="008F03E5">
        <w:tab/>
        <w:t>building, edifice, structure; real estate, tract, lot</w:t>
      </w:r>
    </w:p>
    <w:p w14:paraId="1192BFF2" w14:textId="77777777" w:rsidR="00625A5B" w:rsidRPr="008F03E5" w:rsidRDefault="00625A5B" w:rsidP="002D6B52">
      <w:pPr>
        <w:pStyle w:val="Translit"/>
      </w:pPr>
      <w:r w:rsidRPr="008F03E5">
        <w:t>Imarat-i-Khurshid</w:t>
      </w:r>
      <w:r w:rsidRPr="008F03E5">
        <w:tab/>
        <w:t>‘Imárat-i-</w:t>
      </w:r>
      <w:r w:rsidRPr="008F03E5">
        <w:rPr>
          <w:u w:val="single"/>
        </w:rPr>
        <w:t>Kh</w:t>
      </w:r>
      <w:r w:rsidRPr="008F03E5">
        <w:t>ur</w:t>
      </w:r>
      <w:r w:rsidRPr="008F03E5">
        <w:rPr>
          <w:u w:val="single"/>
        </w:rPr>
        <w:t>sh</w:t>
      </w:r>
      <w:r w:rsidRPr="008F03E5">
        <w:t>íd</w:t>
      </w:r>
      <w:r w:rsidRPr="008F03E5">
        <w:tab/>
        <w:t>structure of the sun or sun room.  Name of private house in Iṣfahán of the Mu‘tamidu’d-Dawlih (Manú</w:t>
      </w:r>
      <w:r w:rsidRPr="008F03E5">
        <w:rPr>
          <w:u w:val="single"/>
        </w:rPr>
        <w:t>ch</w:t>
      </w:r>
      <w:r w:rsidRPr="008F03E5">
        <w:t xml:space="preserve">ihr </w:t>
      </w:r>
      <w:r w:rsidRPr="008F03E5">
        <w:rPr>
          <w:u w:val="single"/>
        </w:rPr>
        <w:t>Kh</w:t>
      </w:r>
      <w:r w:rsidRPr="008F03E5">
        <w:t>án) where the Báb stayed for four months.</w:t>
      </w:r>
    </w:p>
    <w:p w14:paraId="45DA55BF" w14:textId="77777777" w:rsidR="00625A5B" w:rsidRPr="008F03E5" w:rsidRDefault="00625A5B" w:rsidP="001E06FC">
      <w:pPr>
        <w:pStyle w:val="Translit"/>
      </w:pPr>
      <w:r w:rsidRPr="008F03E5">
        <w:t>Imda’</w:t>
      </w:r>
      <w:r w:rsidRPr="008F03E5">
        <w:tab/>
        <w:t>Imḍá’</w:t>
      </w:r>
      <w:r w:rsidRPr="008F03E5">
        <w:tab/>
        <w:t>realization, execution, accomplishment, completion; signing, signature</w:t>
      </w:r>
    </w:p>
    <w:p w14:paraId="64184804" w14:textId="77777777" w:rsidR="00625A5B" w:rsidRPr="008F03E5" w:rsidRDefault="00625A5B" w:rsidP="006C3354">
      <w:pPr>
        <w:pStyle w:val="Translit"/>
      </w:pPr>
      <w:r w:rsidRPr="008F03E5">
        <w:t>Imkan, Imkanat</w:t>
      </w:r>
      <w:r w:rsidRPr="008F03E5">
        <w:tab/>
        <w:t>Imkán, pl. Imkánát</w:t>
      </w:r>
      <w:r w:rsidRPr="008F03E5">
        <w:tab/>
        <w:t>power, capacity, capability; faculty, ability; possibility.  “inherent contingency”—contrast with Ḥudú</w:t>
      </w:r>
      <w:r w:rsidRPr="008F03E5">
        <w:rPr>
          <w:u w:val="single"/>
        </w:rPr>
        <w:t>th</w:t>
      </w:r>
      <w:r w:rsidRPr="008F03E5">
        <w:t xml:space="preserve"> (</w:t>
      </w:r>
      <w:r w:rsidRPr="008F03E5">
        <w:rPr>
          <w:i/>
          <w:iCs/>
        </w:rPr>
        <w:t>Gate of the heart</w:t>
      </w:r>
      <w:r w:rsidRPr="008F03E5">
        <w:t>, p. 189)</w:t>
      </w:r>
    </w:p>
    <w:p w14:paraId="128FB42C" w14:textId="77777777" w:rsidR="00625A5B" w:rsidRPr="008F03E5" w:rsidRDefault="00625A5B" w:rsidP="001D6046">
      <w:pPr>
        <w:pStyle w:val="Translit"/>
      </w:pPr>
      <w:r w:rsidRPr="008F03E5">
        <w:t>Imkani</w:t>
      </w:r>
      <w:r w:rsidRPr="008F03E5">
        <w:tab/>
        <w:t>Imkání</w:t>
      </w:r>
      <w:r w:rsidRPr="008F03E5">
        <w:tab/>
        <w:t>possible, potential; contingent</w:t>
      </w:r>
    </w:p>
    <w:p w14:paraId="2DFFB2FC" w14:textId="77777777" w:rsidR="00625A5B" w:rsidRPr="008F03E5" w:rsidRDefault="00625A5B" w:rsidP="00F724EE">
      <w:pPr>
        <w:pStyle w:val="Translit"/>
      </w:pPr>
      <w:r w:rsidRPr="008F03E5">
        <w:t>Imma</w:t>
      </w:r>
      <w:r w:rsidRPr="008F03E5">
        <w:tab/>
        <w:t>Immá</w:t>
      </w:r>
      <w:r w:rsidRPr="008F03E5">
        <w:tab/>
        <w:t>if; be it—or, either—or</w:t>
      </w:r>
    </w:p>
    <w:p w14:paraId="45822D76" w14:textId="77777777" w:rsidR="00625A5B" w:rsidRPr="008F03E5" w:rsidRDefault="00625A5B" w:rsidP="006A5622">
      <w:pPr>
        <w:pStyle w:val="Translit"/>
      </w:pPr>
      <w:r w:rsidRPr="008F03E5">
        <w:t>Imra’, Imru’, al-Mar’</w:t>
      </w:r>
      <w:r w:rsidRPr="008F03E5">
        <w:tab/>
        <w:t>Imra’ and Imru’</w:t>
      </w:r>
      <w:r w:rsidRPr="008F03E5">
        <w:tab/>
        <w:t>(with definite article, al-mar’) a man; person, human being; al-mar’ frequently for son, human being; al-mar’ frequently for English “one”, as yaẓunnu’l-mir’ “one would think”.  See Rajul.</w:t>
      </w:r>
    </w:p>
    <w:p w14:paraId="2E16DF63" w14:textId="77777777" w:rsidR="00625A5B" w:rsidRPr="008F03E5" w:rsidRDefault="00625A5B" w:rsidP="00F724EE">
      <w:pPr>
        <w:pStyle w:val="Translit"/>
      </w:pPr>
      <w:r w:rsidRPr="008F03E5">
        <w:t>Imra’a, al-Mar’a, Niswa, Niswan, Nisa’</w:t>
      </w:r>
      <w:r w:rsidRPr="008F03E5">
        <w:tab/>
        <w:t>Imra’a[h or t]</w:t>
      </w:r>
      <w:r w:rsidRPr="008F03E5">
        <w:tab/>
        <w:t xml:space="preserve">(pl. Niswa[h or t], Niswán, Nisá’), fem. of Imra’.  With definite article, al-mar’a[h or t].  A woman, lady, a wife.  Nisá’ </w:t>
      </w:r>
      <w:r w:rsidRPr="008F03E5">
        <w:rPr>
          <w:u w:val="single"/>
        </w:rPr>
        <w:t>Kh</w:t>
      </w:r>
      <w:r w:rsidRPr="008F03E5">
        <w:t>ánum was a younger sister of Bahá’u’lláh.</w:t>
      </w:r>
    </w:p>
    <w:p w14:paraId="3E84926F" w14:textId="77777777" w:rsidR="00625A5B" w:rsidRPr="008F03E5" w:rsidRDefault="00625A5B" w:rsidP="009D631F">
      <w:pPr>
        <w:pStyle w:val="Translit"/>
      </w:pPr>
      <w:r w:rsidRPr="008F03E5">
        <w:t>Imran</w:t>
      </w:r>
      <w:r>
        <w:t xml:space="preserve"> (Omran)</w:t>
      </w:r>
      <w:r w:rsidRPr="008F03E5">
        <w:tab/>
        <w:t>‘Imrán</w:t>
      </w:r>
      <w:r w:rsidRPr="008F03E5">
        <w:tab/>
        <w:t>(Amran in Bible</w:t>
      </w:r>
      <w:r>
        <w:t>,</w:t>
      </w:r>
      <w:r w:rsidRPr="008F03E5">
        <w:t xml:space="preserve"> and Joachim is known as ‘Imrán in the al-Qur’án)</w:t>
      </w:r>
      <w:r>
        <w:t>;</w:t>
      </w:r>
      <w:r w:rsidRPr="008F03E5">
        <w:t xml:space="preserve"> </w:t>
      </w:r>
      <w:r>
        <w:t xml:space="preserve">prosperity; </w:t>
      </w:r>
      <w:r w:rsidRPr="008F03E5">
        <w:t>father of Moses, Mary and of Abú Tálib</w:t>
      </w:r>
    </w:p>
    <w:p w14:paraId="7EF2925F" w14:textId="77777777" w:rsidR="00625A5B" w:rsidRPr="008F03E5" w:rsidRDefault="00625A5B" w:rsidP="00431836">
      <w:pPr>
        <w:pStyle w:val="Translit"/>
      </w:pPr>
      <w:r w:rsidRPr="008F03E5">
        <w:t>Imru’ al-Qays (</w:t>
      </w:r>
      <w:r w:rsidRPr="008F03E5">
        <w:rPr>
          <w:lang w:eastAsia="en-US"/>
        </w:rPr>
        <w:t>Imru’u’l-Qays</w:t>
      </w:r>
      <w:r w:rsidRPr="008F03E5">
        <w:t>)</w:t>
      </w:r>
      <w:r w:rsidRPr="008F03E5">
        <w:tab/>
        <w:t>Imrú’ al-Qays ibn Ḥujr al-Kindí</w:t>
      </w:r>
      <w:r w:rsidRPr="008F03E5">
        <w:tab/>
        <w:t>6th century Arab poet</w:t>
      </w:r>
    </w:p>
    <w:p w14:paraId="3AE655DA" w14:textId="77777777" w:rsidR="00625A5B" w:rsidRPr="008F03E5" w:rsidRDefault="00625A5B" w:rsidP="00EC7A14">
      <w:pPr>
        <w:pStyle w:val="Translit"/>
      </w:pPr>
      <w:r w:rsidRPr="008F03E5">
        <w:t>Imruz</w:t>
      </w:r>
      <w:r w:rsidRPr="008F03E5">
        <w:tab/>
        <w:t>Imrúz</w:t>
      </w:r>
      <w:r w:rsidRPr="008F03E5">
        <w:tab/>
        <w:t>today or this day.  See yúm</w:t>
      </w:r>
    </w:p>
    <w:p w14:paraId="3178521B" w14:textId="77777777" w:rsidR="00625A5B" w:rsidRPr="008F03E5" w:rsidRDefault="00625A5B" w:rsidP="00FE2813">
      <w:pPr>
        <w:pStyle w:val="Translit"/>
      </w:pPr>
      <w:r w:rsidRPr="008F03E5">
        <w:t>Imtihan, Imtihanat</w:t>
      </w:r>
      <w:r w:rsidRPr="008F03E5">
        <w:tab/>
        <w:t>Imtiḥán, pl. Imtiḥánát</w:t>
      </w:r>
      <w:r w:rsidRPr="008F03E5">
        <w:tab/>
        <w:t>test, experiment; examination.</w:t>
      </w:r>
      <w:r w:rsidRPr="008F03E5">
        <w:rPr>
          <w:rFonts w:eastAsia="PMingLiU"/>
          <w:lang w:eastAsia="zh-TW"/>
        </w:rPr>
        <w:t xml:space="preserve">  Tests occur when a Manifestation appears.  See also </w:t>
      </w:r>
      <w:r w:rsidRPr="008F03E5">
        <w:t>Fitna.</w:t>
      </w:r>
    </w:p>
    <w:p w14:paraId="6FF29B57" w14:textId="77777777" w:rsidR="00625A5B" w:rsidRPr="008F03E5" w:rsidRDefault="00625A5B" w:rsidP="00A467CB">
      <w:pPr>
        <w:pStyle w:val="Translit"/>
      </w:pPr>
      <w:r w:rsidRPr="008F03E5">
        <w:t>Imtiyaz, Imtiyazat</w:t>
      </w:r>
      <w:r w:rsidRPr="008F03E5">
        <w:tab/>
        <w:t>Imtiyáz, pl. Imtiyazát</w:t>
      </w:r>
      <w:r w:rsidRPr="008F03E5">
        <w:tab/>
        <w:t>distinction, (mark of) honour; advantage, benefit, merit; difference, distinction, differentiation, discrimination; special right, privilege; concession, patent, permit, license, franchise; (oil) concession; prerogative, priority right</w:t>
      </w:r>
    </w:p>
    <w:p w14:paraId="493E4806" w14:textId="77777777" w:rsidR="00625A5B" w:rsidRPr="008F03E5" w:rsidRDefault="00625A5B" w:rsidP="00CA54B2">
      <w:pPr>
        <w:pStyle w:val="Translit"/>
        <w:rPr>
          <w:rFonts w:eastAsia="PMingLiU"/>
          <w:lang w:eastAsia="zh-TW"/>
        </w:rPr>
      </w:pPr>
      <w:r w:rsidRPr="008F03E5">
        <w:rPr>
          <w:rFonts w:eastAsia="Times New Roman"/>
        </w:rPr>
        <w:t>In</w:t>
      </w:r>
      <w:r w:rsidRPr="008F03E5">
        <w:rPr>
          <w:rFonts w:eastAsia="Times New Roman"/>
        </w:rPr>
        <w:tab/>
        <w:t>Ín</w:t>
      </w:r>
      <w:r w:rsidRPr="008F03E5">
        <w:rPr>
          <w:rFonts w:eastAsia="Times New Roman"/>
        </w:rPr>
        <w:tab/>
        <w:t>Pers. this, the demonstrative pronoun for the nearer object; doubt; irresolution</w:t>
      </w:r>
    </w:p>
    <w:p w14:paraId="755DEBE9" w14:textId="77777777" w:rsidR="00625A5B" w:rsidRPr="008F03E5" w:rsidRDefault="00625A5B" w:rsidP="00AB478E">
      <w:pPr>
        <w:pStyle w:val="Translit"/>
        <w:rPr>
          <w:rFonts w:eastAsia="PMingLiU"/>
          <w:lang w:eastAsia="zh-TW"/>
        </w:rPr>
      </w:pPr>
      <w:r w:rsidRPr="008F03E5">
        <w:rPr>
          <w:rFonts w:eastAsia="PMingLiU"/>
          <w:lang w:eastAsia="zh-TW"/>
        </w:rPr>
        <w:t>Inab, Inabun, A’nab</w:t>
      </w:r>
      <w:r w:rsidRPr="008F03E5">
        <w:rPr>
          <w:rFonts w:eastAsia="PMingLiU"/>
          <w:lang w:eastAsia="zh-TW"/>
        </w:rPr>
        <w:tab/>
        <w:t>‘Inab (coll.; n. ‘Inabun), pl. A‘náb</w:t>
      </w:r>
      <w:r w:rsidRPr="008F03E5">
        <w:rPr>
          <w:rFonts w:eastAsia="PMingLiU"/>
          <w:lang w:eastAsia="zh-TW"/>
        </w:rPr>
        <w:tab/>
        <w:t xml:space="preserve">grape(s).  Not ‘Anab as in </w:t>
      </w:r>
      <w:r w:rsidRPr="008F03E5">
        <w:rPr>
          <w:rFonts w:eastAsia="PMingLiU"/>
          <w:sz w:val="16"/>
          <w:szCs w:val="16"/>
          <w:lang w:eastAsia="zh-TW"/>
        </w:rPr>
        <w:t>PUP</w:t>
      </w:r>
      <w:r w:rsidRPr="008F03E5">
        <w:rPr>
          <w:rFonts w:eastAsia="PMingLiU"/>
          <w:lang w:eastAsia="zh-TW"/>
        </w:rPr>
        <w:t xml:space="preserve"> 248.</w:t>
      </w:r>
    </w:p>
    <w:p w14:paraId="2F3052C4" w14:textId="77777777" w:rsidR="00625A5B" w:rsidRPr="008F03E5" w:rsidRDefault="00625A5B" w:rsidP="001B72DD">
      <w:pPr>
        <w:pStyle w:val="Translit"/>
        <w:rPr>
          <w:rFonts w:eastAsia="PMingLiU"/>
          <w:lang w:eastAsia="zh-TW"/>
        </w:rPr>
      </w:pPr>
      <w:r w:rsidRPr="008F03E5">
        <w:rPr>
          <w:rFonts w:eastAsia="PMingLiU"/>
          <w:lang w:eastAsia="zh-TW"/>
        </w:rPr>
        <w:t>Inayatu’llah</w:t>
      </w:r>
      <w:r w:rsidRPr="008F03E5">
        <w:tab/>
      </w:r>
      <w:r w:rsidRPr="008F03E5">
        <w:rPr>
          <w:rFonts w:eastAsia="PMingLiU"/>
          <w:lang w:eastAsia="zh-TW"/>
        </w:rPr>
        <w:t>‘Ináyatu’lláh</w:t>
      </w:r>
      <w:r w:rsidRPr="008F03E5">
        <w:tab/>
        <w:t xml:space="preserve">(Enayet’o’llah) meaning or care of God.  Male given name and surname.  </w:t>
      </w:r>
      <w:r w:rsidRPr="008F03E5">
        <w:rPr>
          <w:rFonts w:eastAsia="PMingLiU"/>
          <w:lang w:eastAsia="zh-TW"/>
        </w:rPr>
        <w:t>‘Ináyatu’lláh I</w:t>
      </w:r>
      <w:r w:rsidRPr="008F03E5">
        <w:rPr>
          <w:u w:val="single"/>
        </w:rPr>
        <w:t>sh</w:t>
      </w:r>
      <w:r w:rsidRPr="008F03E5">
        <w:rPr>
          <w:rFonts w:eastAsia="PMingLiU"/>
          <w:lang w:eastAsia="zh-TW"/>
        </w:rPr>
        <w:t>r</w:t>
      </w:r>
      <w:r w:rsidRPr="008F03E5">
        <w:t>á</w:t>
      </w:r>
      <w:r w:rsidRPr="008F03E5">
        <w:rPr>
          <w:rFonts w:eastAsia="PMingLiU"/>
          <w:lang w:eastAsia="zh-TW"/>
        </w:rPr>
        <w:t>q</w:t>
      </w:r>
      <w:r w:rsidRPr="008F03E5">
        <w:t xml:space="preserve">í.  Mírzá ‘Ináyatu’lláh </w:t>
      </w:r>
      <w:r w:rsidRPr="008F03E5">
        <w:rPr>
          <w:u w:val="single"/>
        </w:rPr>
        <w:t>Kh</w:t>
      </w:r>
      <w:r w:rsidRPr="008F03E5">
        <w:t xml:space="preserve">án, the son of Ḥájí Mullá Ismá‘íl (martyred at </w:t>
      </w:r>
      <w:r w:rsidRPr="008F03E5">
        <w:rPr>
          <w:u w:val="single"/>
        </w:rPr>
        <w:t>Sh</w:t>
      </w:r>
      <w:r w:rsidRPr="008F03E5">
        <w:t>ay</w:t>
      </w:r>
      <w:r w:rsidRPr="008F03E5">
        <w:rPr>
          <w:u w:val="single"/>
        </w:rPr>
        <w:t>kh</w:t>
      </w:r>
      <w:r w:rsidRPr="008F03E5">
        <w:t xml:space="preserve"> Ṭabarsí)</w:t>
      </w:r>
    </w:p>
    <w:p w14:paraId="6BE3EC1D" w14:textId="77777777" w:rsidR="00625A5B" w:rsidRPr="008F03E5" w:rsidRDefault="00625A5B" w:rsidP="00867281">
      <w:pPr>
        <w:pStyle w:val="Translit"/>
      </w:pPr>
      <w:r w:rsidRPr="008F03E5">
        <w:t>Infi’al, Infi’alat</w:t>
      </w:r>
      <w:r w:rsidRPr="008F03E5">
        <w:tab/>
        <w:t>Infi‘ál, pl. Infi‘álát</w:t>
      </w:r>
      <w:r w:rsidRPr="008F03E5">
        <w:tab/>
        <w:t>(state of) being affected, acted upon, or influenced, passivity; stimulation, irritation (biology);—pl. agitation. excitement, excitation, commotion</w:t>
      </w:r>
    </w:p>
    <w:p w14:paraId="21E5F63E" w14:textId="77777777" w:rsidR="00625A5B" w:rsidRPr="008F03E5" w:rsidRDefault="00625A5B" w:rsidP="00867281">
      <w:pPr>
        <w:pStyle w:val="Translit"/>
      </w:pPr>
      <w:r w:rsidRPr="008F03E5">
        <w:t>Infi’ali</w:t>
      </w:r>
      <w:r w:rsidRPr="008F03E5">
        <w:tab/>
        <w:t>Infi‘álí</w:t>
      </w:r>
      <w:r w:rsidRPr="008F03E5">
        <w:tab/>
        <w:t>excitable, irritable, susceptible (biology); caused by affect, affective (philosophy)</w:t>
      </w:r>
    </w:p>
    <w:p w14:paraId="0E247CF9" w14:textId="77777777" w:rsidR="00625A5B" w:rsidRPr="00D45A23" w:rsidRDefault="00625A5B" w:rsidP="00360574">
      <w:pPr>
        <w:pStyle w:val="Translit"/>
        <w:rPr>
          <w:lang w:val="fr-FR"/>
        </w:rPr>
      </w:pPr>
      <w:r w:rsidRPr="00D45A23">
        <w:rPr>
          <w:lang w:val="fr-FR"/>
        </w:rPr>
        <w:t>Infisal</w:t>
      </w:r>
      <w:r w:rsidRPr="00D45A23">
        <w:rPr>
          <w:lang w:val="fr-FR"/>
        </w:rPr>
        <w:tab/>
        <w:t>Infiṣál</w:t>
      </w:r>
      <w:r w:rsidRPr="00D45A23">
        <w:rPr>
          <w:lang w:val="fr-FR"/>
        </w:rPr>
        <w:tab/>
        <w:t>separation; disengagement, dissociation, withdrawal; secession; interruption</w:t>
      </w:r>
    </w:p>
    <w:p w14:paraId="28DB04C5" w14:textId="77777777" w:rsidR="00625A5B" w:rsidRPr="008F03E5" w:rsidRDefault="00625A5B" w:rsidP="00867281">
      <w:pPr>
        <w:pStyle w:val="Translit"/>
      </w:pPr>
      <w:r w:rsidRPr="008F03E5">
        <w:t>Infitar</w:t>
      </w:r>
      <w:r w:rsidRPr="008F03E5">
        <w:tab/>
        <w:t>Infiṭár</w:t>
      </w:r>
      <w:r w:rsidRPr="008F03E5">
        <w:tab/>
        <w:t>being split, cleft, riven</w:t>
      </w:r>
    </w:p>
    <w:p w14:paraId="7552C8C3" w14:textId="77777777" w:rsidR="00625A5B" w:rsidRPr="008F03E5" w:rsidRDefault="00625A5B" w:rsidP="0009364C">
      <w:pPr>
        <w:pStyle w:val="Translit"/>
      </w:pPr>
      <w:r w:rsidRPr="008F03E5">
        <w:t>Inhitat</w:t>
      </w:r>
      <w:r w:rsidRPr="008F03E5">
        <w:tab/>
        <w:t>Inḥiṭáṭ</w:t>
      </w:r>
      <w:r w:rsidRPr="008F03E5">
        <w:tab/>
        <w:t>decline, fall, decay, decadence; inferiority</w:t>
      </w:r>
    </w:p>
    <w:p w14:paraId="03ECE0D2" w14:textId="77777777" w:rsidR="00625A5B" w:rsidRPr="008F03E5" w:rsidRDefault="00625A5B" w:rsidP="0009364C">
      <w:pPr>
        <w:pStyle w:val="Translit"/>
      </w:pPr>
      <w:r w:rsidRPr="008F03E5">
        <w:t>Inja</w:t>
      </w:r>
      <w:r w:rsidRPr="008F03E5">
        <w:tab/>
        <w:t>Ínjá</w:t>
      </w:r>
      <w:r w:rsidRPr="008F03E5">
        <w:tab/>
        <w:t>Pers. this place; here</w:t>
      </w:r>
    </w:p>
    <w:p w14:paraId="3179950F" w14:textId="77777777" w:rsidR="00625A5B" w:rsidRPr="008F03E5" w:rsidRDefault="00625A5B" w:rsidP="003217D4">
      <w:pPr>
        <w:pStyle w:val="Translit"/>
      </w:pPr>
      <w:r w:rsidRPr="008F03E5">
        <w:t>Injil, Anajil</w:t>
      </w:r>
      <w:r w:rsidRPr="008F03E5">
        <w:tab/>
        <w:t>Injíl, pl. Anájíl</w:t>
      </w:r>
      <w:r w:rsidRPr="008F03E5">
        <w:tab/>
        <w:t>(Gk. Evangel) gospel.  Injíl occurs twelve times in the Qur’án (as Gospel in English) and refers to the book given to Jesus by God.  It is believed to be the true lost original Gospel promulgated by Jesus.</w:t>
      </w:r>
    </w:p>
    <w:p w14:paraId="20581FD7" w14:textId="77777777" w:rsidR="00625A5B" w:rsidRPr="008F03E5" w:rsidRDefault="00625A5B" w:rsidP="00FA1E42">
      <w:pPr>
        <w:pStyle w:val="Translit"/>
      </w:pPr>
      <w:r w:rsidRPr="008F03E5">
        <w:t>Inkar</w:t>
      </w:r>
      <w:r w:rsidRPr="008F03E5">
        <w:tab/>
        <w:t>Inkár</w:t>
      </w:r>
      <w:r w:rsidRPr="008F03E5">
        <w:tab/>
        <w:t>denial, disavowal, negation, contestation; refusal, rejection, non-acceptance, e.g. of Imám ‘Alí</w:t>
      </w:r>
    </w:p>
    <w:p w14:paraId="6FCA4834" w14:textId="77777777" w:rsidR="00625A5B" w:rsidRPr="008F03E5" w:rsidRDefault="00625A5B" w:rsidP="00FA1E42">
      <w:pPr>
        <w:pStyle w:val="Translit"/>
      </w:pPr>
      <w:r w:rsidRPr="008F03E5">
        <w:t>Ins</w:t>
      </w:r>
      <w:r w:rsidRPr="008F03E5">
        <w:tab/>
        <w:t>Ins</w:t>
      </w:r>
      <w:r w:rsidRPr="008F03E5">
        <w:tab/>
        <w:t>(colloquial) man, mankind, human race</w:t>
      </w:r>
    </w:p>
    <w:p w14:paraId="3E40EF92" w14:textId="77777777" w:rsidR="00625A5B" w:rsidRPr="008F03E5" w:rsidRDefault="00625A5B" w:rsidP="00900A82">
      <w:pPr>
        <w:pStyle w:val="Translit"/>
      </w:pPr>
      <w:r w:rsidRPr="008F03E5">
        <w:t>Insaf</w:t>
      </w:r>
      <w:r w:rsidRPr="008F03E5">
        <w:tab/>
        <w:t>Inṣáf</w:t>
      </w:r>
      <w:r w:rsidRPr="008F03E5">
        <w:tab/>
        <w:t>justice, equity</w:t>
      </w:r>
    </w:p>
    <w:p w14:paraId="5C339778" w14:textId="77777777" w:rsidR="00625A5B" w:rsidRPr="008F03E5" w:rsidRDefault="00625A5B" w:rsidP="00E06B2E">
      <w:pPr>
        <w:pStyle w:val="Translit"/>
      </w:pPr>
      <w:r w:rsidRPr="008F03E5">
        <w:t>Insan, Insana</w:t>
      </w:r>
      <w:r w:rsidRPr="008F03E5">
        <w:tab/>
        <w:t>Insán, fem. Insána</w:t>
      </w:r>
      <w:r>
        <w:t>[h or t]</w:t>
      </w:r>
      <w:r w:rsidRPr="008F03E5">
        <w:tab/>
        <w:t>man</w:t>
      </w:r>
      <w:r>
        <w:t xml:space="preserve"> (in general)</w:t>
      </w:r>
      <w:r w:rsidRPr="008F03E5">
        <w:t>, human being.  Insán al-‘ain pupil (of the eye)</w:t>
      </w:r>
      <w:r>
        <w:t>.  See gender based words:  rajul and imra’.</w:t>
      </w:r>
    </w:p>
    <w:p w14:paraId="4246B1DB" w14:textId="77777777" w:rsidR="00625A5B" w:rsidRPr="008F03E5" w:rsidRDefault="00625A5B" w:rsidP="001F4642">
      <w:pPr>
        <w:pStyle w:val="Translit"/>
      </w:pPr>
      <w:r w:rsidRPr="008F03E5">
        <w:t>Insani</w:t>
      </w:r>
      <w:r w:rsidRPr="008F03E5">
        <w:tab/>
        <w:t>Insání</w:t>
      </w:r>
      <w:r w:rsidRPr="008F03E5">
        <w:tab/>
        <w:t>human; humane; humanitarian, philanthropist</w:t>
      </w:r>
    </w:p>
    <w:p w14:paraId="2D22018A" w14:textId="77777777" w:rsidR="00625A5B" w:rsidRPr="008F03E5" w:rsidRDefault="00625A5B" w:rsidP="00FA1439">
      <w:pPr>
        <w:pStyle w:val="Translit"/>
      </w:pPr>
      <w:r w:rsidRPr="008F03E5">
        <w:t>Insan-i-Kamil</w:t>
      </w:r>
      <w:r w:rsidRPr="008F03E5">
        <w:tab/>
        <w:t>Insán-i-Kámil</w:t>
      </w:r>
      <w:r w:rsidRPr="008F03E5">
        <w:tab/>
        <w:t>perfect human being</w:t>
      </w:r>
    </w:p>
    <w:p w14:paraId="0CA1E2F4" w14:textId="77777777" w:rsidR="00625A5B" w:rsidRPr="008F03E5" w:rsidRDefault="00625A5B" w:rsidP="009F279A">
      <w:pPr>
        <w:pStyle w:val="Translit"/>
      </w:pPr>
      <w:r w:rsidRPr="008F03E5">
        <w:t>Insaniya</w:t>
      </w:r>
      <w:r w:rsidRPr="008F03E5">
        <w:tab/>
        <w:t>Insáníya[h or t]</w:t>
      </w:r>
      <w:r w:rsidRPr="008F03E5">
        <w:tab/>
        <w:t>humanity, humaneness; politeness, civility; mankind, the human race</w:t>
      </w:r>
    </w:p>
    <w:p w14:paraId="398C599F" w14:textId="77777777" w:rsidR="00625A5B" w:rsidRPr="008F03E5" w:rsidRDefault="00625A5B" w:rsidP="0048279E">
      <w:pPr>
        <w:pStyle w:val="Translit"/>
      </w:pPr>
      <w:r w:rsidRPr="008F03E5">
        <w:t>Insha’</w:t>
      </w:r>
      <w:r w:rsidRPr="008F03E5">
        <w:tab/>
        <w:t>In</w:t>
      </w:r>
      <w:r w:rsidRPr="008F03E5">
        <w:rPr>
          <w:u w:val="single"/>
        </w:rPr>
        <w:t>sh</w:t>
      </w:r>
      <w:r w:rsidRPr="008F03E5">
        <w:t>á’</w:t>
      </w:r>
      <w:r w:rsidRPr="008F03E5">
        <w:tab/>
        <w:t xml:space="preserve">(from ’in </w:t>
      </w:r>
      <w:r w:rsidRPr="008F03E5">
        <w:rPr>
          <w:u w:val="single"/>
        </w:rPr>
        <w:t>sh</w:t>
      </w:r>
      <w:r w:rsidRPr="008F03E5">
        <w:t>á’a) creation; origination; bringing about; setting up.  Establishment, organization, institution; formation; making, manufacture, production; erection; building, construction; founding, foundation; installation; composition, compilation, writing; letter writing; style, art of composition; essay, treatise.</w:t>
      </w:r>
    </w:p>
    <w:p w14:paraId="5856FE54" w14:textId="77777777" w:rsidR="00625A5B" w:rsidRPr="008F03E5" w:rsidRDefault="00625A5B" w:rsidP="00074A90">
      <w:pPr>
        <w:pStyle w:val="Translit"/>
      </w:pPr>
      <w:r w:rsidRPr="008F03E5">
        <w:t>Insha’allah</w:t>
      </w:r>
      <w:r w:rsidRPr="008F03E5">
        <w:tab/>
        <w:t>In</w:t>
      </w:r>
      <w:r w:rsidRPr="008F03E5">
        <w:rPr>
          <w:u w:val="single"/>
        </w:rPr>
        <w:t>sh</w:t>
      </w:r>
      <w:r w:rsidRPr="008F03E5">
        <w:t xml:space="preserve">á’alláh (’in </w:t>
      </w:r>
      <w:r w:rsidRPr="008F03E5">
        <w:rPr>
          <w:u w:val="single"/>
        </w:rPr>
        <w:t>sh</w:t>
      </w:r>
      <w:r w:rsidRPr="008F03E5">
        <w:t>á’a lláhu)</w:t>
      </w:r>
      <w:r w:rsidRPr="008F03E5">
        <w:tab/>
        <w:t xml:space="preserve">literally “If God has willed (it)”, “God willing” or “if it is God’s will”; it is to be hoped; I hope; we hope so.  </w:t>
      </w:r>
      <w:r w:rsidRPr="008F03E5">
        <w:rPr>
          <w:rFonts w:eastAsia="Times New Roman"/>
        </w:rPr>
        <w:t>The phrase comes from a Quranic command (Qur’án 18:23–4) that commands Muslims to use it when speaking of future events.</w:t>
      </w:r>
    </w:p>
    <w:p w14:paraId="1C67C6FE" w14:textId="77777777" w:rsidR="00625A5B" w:rsidRPr="008F03E5" w:rsidRDefault="00625A5B" w:rsidP="009D1CEC">
      <w:pPr>
        <w:pStyle w:val="Translit"/>
      </w:pPr>
      <w:r w:rsidRPr="008F03E5">
        <w:t>Inshaqqa</w:t>
      </w:r>
      <w:r w:rsidRPr="008F03E5">
        <w:tab/>
        <w:t>In</w:t>
      </w:r>
      <w:r w:rsidRPr="008F03E5">
        <w:rPr>
          <w:u w:val="single"/>
        </w:rPr>
        <w:t>sh</w:t>
      </w:r>
      <w:r w:rsidRPr="008F03E5">
        <w:t>aqqa</w:t>
      </w:r>
      <w:r w:rsidRPr="008F03E5">
        <w:tab/>
        <w:t xml:space="preserve">(verb, form </w:t>
      </w:r>
      <w:r w:rsidRPr="008F03E5">
        <w:rPr>
          <w:sz w:val="16"/>
          <w:szCs w:val="16"/>
        </w:rPr>
        <w:t>VII</w:t>
      </w:r>
      <w:r w:rsidRPr="008F03E5">
        <w:t xml:space="preserve"> intransitive of </w:t>
      </w:r>
      <w:r w:rsidRPr="008F03E5">
        <w:rPr>
          <w:u w:val="single"/>
        </w:rPr>
        <w:t>Sh</w:t>
      </w:r>
      <w:r w:rsidRPr="008F03E5">
        <w:t>aqqa) to split up, to crack, be cleft; to split, crack, burst; to split off, separate, segregate, secede, break away (Qur’án 54:1)</w:t>
      </w:r>
    </w:p>
    <w:p w14:paraId="5449B605" w14:textId="77777777" w:rsidR="00625A5B" w:rsidRPr="008F03E5" w:rsidRDefault="00625A5B" w:rsidP="00F15C9D">
      <w:pPr>
        <w:pStyle w:val="Translit"/>
      </w:pPr>
      <w:r w:rsidRPr="008F03E5">
        <w:t>Inshaqqu’l-Qamar</w:t>
      </w:r>
      <w:r w:rsidRPr="008F03E5">
        <w:tab/>
        <w:t>’In</w:t>
      </w:r>
      <w:r w:rsidRPr="008F03E5">
        <w:rPr>
          <w:u w:val="single"/>
        </w:rPr>
        <w:t>sh</w:t>
      </w:r>
      <w:r w:rsidRPr="008F03E5">
        <w:t>aqqu’l-Qamar</w:t>
      </w:r>
      <w:r w:rsidRPr="008F03E5">
        <w:tab/>
        <w:t>splitting, cleaving or cracking the moon.  A miracle or “an impossible act”.  Refer to Qur’án 54:1.</w:t>
      </w:r>
    </w:p>
    <w:p w14:paraId="2AD8BD0D" w14:textId="77777777" w:rsidR="00625A5B" w:rsidRPr="008F03E5" w:rsidRDefault="00625A5B" w:rsidP="001F4642">
      <w:pPr>
        <w:pStyle w:val="Translit"/>
      </w:pPr>
      <w:r w:rsidRPr="008F03E5">
        <w:t>Inshiqaq</w:t>
      </w:r>
      <w:r w:rsidRPr="008F03E5">
        <w:tab/>
        <w:t>In</w:t>
      </w:r>
      <w:r w:rsidRPr="008F03E5">
        <w:rPr>
          <w:u w:val="single"/>
        </w:rPr>
        <w:t>sh</w:t>
      </w:r>
      <w:r w:rsidRPr="008F03E5">
        <w:t>iqáq</w:t>
      </w:r>
      <w:r w:rsidRPr="008F03E5">
        <w:tab/>
        <w:t>separation, segregation, dissociation, spilt; schism (Christian); dissension, discord, disunion</w:t>
      </w:r>
    </w:p>
    <w:p w14:paraId="57D97064" w14:textId="77777777" w:rsidR="00625A5B" w:rsidRPr="008F03E5" w:rsidRDefault="00625A5B" w:rsidP="00B67E97">
      <w:pPr>
        <w:pStyle w:val="Translit"/>
      </w:pPr>
      <w:r w:rsidRPr="008F03E5">
        <w:t>Inshirah</w:t>
      </w:r>
      <w:r w:rsidRPr="008F03E5">
        <w:tab/>
        <w:t>In</w:t>
      </w:r>
      <w:r w:rsidRPr="008F03E5">
        <w:rPr>
          <w:u w:val="single"/>
        </w:rPr>
        <w:t>sh</w:t>
      </w:r>
      <w:r w:rsidRPr="008F03E5">
        <w:t>iráḥ</w:t>
      </w:r>
      <w:r w:rsidRPr="008F03E5">
        <w:tab/>
        <w:t>relaxedness, relaxation, joy, delight, glee, gaiety</w:t>
      </w:r>
    </w:p>
    <w:p w14:paraId="4BB98FE8" w14:textId="77777777" w:rsidR="00625A5B" w:rsidRPr="008F03E5" w:rsidRDefault="00625A5B" w:rsidP="00A45E56">
      <w:pPr>
        <w:pStyle w:val="Translit"/>
      </w:pPr>
      <w:r w:rsidRPr="008F03E5">
        <w:t>Insi</w:t>
      </w:r>
      <w:r w:rsidRPr="008F03E5">
        <w:tab/>
        <w:t>Insí</w:t>
      </w:r>
      <w:r w:rsidRPr="008F03E5">
        <w:tab/>
        <w:t>human; human being</w:t>
      </w:r>
    </w:p>
    <w:p w14:paraId="28D2A07B" w14:textId="77777777" w:rsidR="00625A5B" w:rsidRPr="008F03E5" w:rsidRDefault="00625A5B" w:rsidP="00D60FFC">
      <w:pPr>
        <w:pStyle w:val="Translit"/>
      </w:pPr>
      <w:r w:rsidRPr="008F03E5">
        <w:t>Intifada</w:t>
      </w:r>
      <w:r w:rsidRPr="008F03E5">
        <w:tab/>
        <w:t>Intifáḍa[h]</w:t>
      </w:r>
      <w:r w:rsidRPr="008F03E5">
        <w:tab/>
        <w:t xml:space="preserve">(nomen vicis, single instance), (derived from Nafaḍ), </w:t>
      </w:r>
      <w:bookmarkStart w:id="84" w:name="_Hlk60729071"/>
      <w:r w:rsidRPr="008F03E5">
        <w:t>shiver, shudder, tremor</w:t>
      </w:r>
      <w:bookmarkEnd w:id="84"/>
      <w:r w:rsidRPr="008F03E5">
        <w:t>.  A key concept (as a rebellion, uprising or a resistance movement) in contemporary Arabic usage referring to a legitimate uprising against oppression.  In the Palestinian context, the word refers to attempts to “shake off” the Israeli occupation of the West Bank and Gaza Strip in the First and Second Intifadas, where it was originally chosen to connote “aggressive non-violent resistance”.</w:t>
      </w:r>
    </w:p>
    <w:p w14:paraId="3363696C" w14:textId="77777777" w:rsidR="00625A5B" w:rsidRPr="008F03E5" w:rsidRDefault="00625A5B" w:rsidP="00D60FFC">
      <w:pPr>
        <w:pStyle w:val="Translit"/>
      </w:pPr>
      <w:r w:rsidRPr="008F03E5">
        <w:t>Intizam</w:t>
      </w:r>
      <w:r w:rsidRPr="008F03E5">
        <w:tab/>
        <w:t>Intiẓám</w:t>
      </w:r>
      <w:r w:rsidRPr="008F03E5">
        <w:tab/>
        <w:t>(a variation of niẓám), being arranged, strung in a line; arrangement, regulation, disposition, order, method, system; plan, scheme; administration, government</w:t>
      </w:r>
    </w:p>
    <w:p w14:paraId="07D02CCE" w14:textId="77777777" w:rsidR="00625A5B" w:rsidRPr="008F03E5" w:rsidRDefault="00625A5B" w:rsidP="00807DEB">
      <w:pPr>
        <w:pStyle w:val="Translit"/>
      </w:pPr>
      <w:r w:rsidRPr="008F03E5">
        <w:t>Intizar</w:t>
      </w:r>
      <w:r w:rsidRPr="008F03E5">
        <w:tab/>
        <w:t>Intiẓár</w:t>
      </w:r>
      <w:r w:rsidRPr="008F03E5">
        <w:tab/>
        <w:t>waiting, wait; expectation</w:t>
      </w:r>
    </w:p>
    <w:p w14:paraId="585382C6" w14:textId="77777777" w:rsidR="00625A5B" w:rsidRPr="008F03E5" w:rsidRDefault="00625A5B" w:rsidP="00D60FFC">
      <w:pPr>
        <w:pStyle w:val="Translit"/>
      </w:pPr>
      <w:r w:rsidRPr="008F03E5">
        <w:t>Iqab</w:t>
      </w:r>
      <w:r w:rsidRPr="008F03E5">
        <w:tab/>
        <w:t>‘Iqáb</w:t>
      </w:r>
      <w:r w:rsidRPr="008F03E5">
        <w:tab/>
        <w:t xml:space="preserve">infliction of punishment, punishment; penalty.  Translated by Shoghi Effendi as “retribution” in </w:t>
      </w:r>
      <w:r w:rsidRPr="008F03E5">
        <w:rPr>
          <w:i/>
          <w:iCs/>
        </w:rPr>
        <w:t>The Hidden Words</w:t>
      </w:r>
      <w:r w:rsidRPr="008F03E5">
        <w:t xml:space="preserve"> #93 (Persian).  Mistaken for “eagle” in an early translation.  See ‘uqáb</w:t>
      </w:r>
    </w:p>
    <w:p w14:paraId="16CCB8A7" w14:textId="77777777" w:rsidR="00625A5B" w:rsidRPr="008F03E5" w:rsidRDefault="00625A5B" w:rsidP="00224EEF">
      <w:pPr>
        <w:pStyle w:val="Translit"/>
      </w:pPr>
      <w:r w:rsidRPr="008F03E5">
        <w:t>Iqal, ‘Uqal</w:t>
      </w:r>
      <w:r w:rsidRPr="008F03E5">
        <w:tab/>
        <w:t>‘Iqál, pl. ‘Uqul</w:t>
      </w:r>
      <w:r w:rsidRPr="008F03E5">
        <w:tab/>
        <w:t>cord used for hobbling the feet of a camel; a headband made of camel’s hair, holding the kúfíya (headdress) in place</w:t>
      </w:r>
    </w:p>
    <w:p w14:paraId="46D4A686" w14:textId="77777777" w:rsidR="00625A5B" w:rsidRPr="008F03E5" w:rsidRDefault="00625A5B" w:rsidP="00213A6B">
      <w:pPr>
        <w:pStyle w:val="Translit"/>
      </w:pPr>
      <w:r w:rsidRPr="008F03E5">
        <w:t>Iqan</w:t>
      </w:r>
      <w:r w:rsidRPr="008F03E5">
        <w:tab/>
        <w:t>Íqán</w:t>
      </w:r>
      <w:r w:rsidRPr="008F03E5">
        <w:tab/>
        <w:t>being sure, knowing for certain; certitude</w:t>
      </w:r>
    </w:p>
    <w:p w14:paraId="670543EF" w14:textId="77777777" w:rsidR="00625A5B" w:rsidRPr="008F03E5" w:rsidRDefault="00625A5B" w:rsidP="00B6191E">
      <w:pPr>
        <w:pStyle w:val="Translit"/>
      </w:pPr>
      <w:r w:rsidRPr="008F03E5">
        <w:t>Iqbal (Eqbal)</w:t>
      </w:r>
      <w:r w:rsidRPr="008F03E5">
        <w:tab/>
        <w:t>Iqbál</w:t>
      </w:r>
      <w:r w:rsidRPr="008F03E5">
        <w:tab/>
        <w:t>drawing near, advance, approach; coming, arrival, advent; turning, application, attention, response, responsiveness.  Sir Muhammad Iqbal (1877–1938), widely known as Allama Iqbal, was a poet, philosopher and politician, academic, barrister and scholar from the Punjab (now part of Pakistan).  He had close contact with Bahá’ís and was influenced by them.  ‘Abbás Iqbál A</w:t>
      </w:r>
      <w:r w:rsidRPr="008F03E5">
        <w:rPr>
          <w:u w:val="single"/>
        </w:rPr>
        <w:t>sh</w:t>
      </w:r>
      <w:r w:rsidRPr="008F03E5">
        <w:t>tiyání (1896/97–1956) was an Iranian literary scholar, historian, translator, and an attacker of the Bahá’í Faith.</w:t>
      </w:r>
    </w:p>
    <w:p w14:paraId="500C1F2F" w14:textId="77777777" w:rsidR="00625A5B" w:rsidRPr="00B6191E" w:rsidRDefault="00625A5B" w:rsidP="003926D8">
      <w:pPr>
        <w:pStyle w:val="Translit"/>
      </w:pPr>
      <w:r w:rsidRPr="00B6191E">
        <w:rPr>
          <w:lang w:eastAsia="en-US"/>
        </w:rPr>
        <w:t>Iqbal-i-Dawla (Iqbal-i-Dawl</w:t>
      </w:r>
      <w:r>
        <w:rPr>
          <w:lang w:eastAsia="en-US"/>
        </w:rPr>
        <w:t>ih</w:t>
      </w:r>
      <w:r w:rsidRPr="00B6191E">
        <w:rPr>
          <w:lang w:eastAsia="en-US"/>
        </w:rPr>
        <w:t>)</w:t>
      </w:r>
      <w:r w:rsidRPr="00B6191E">
        <w:rPr>
          <w:lang w:eastAsia="en-US"/>
        </w:rPr>
        <w:tab/>
        <w:t>Iqbál-i-Dawla (Iqb</w:t>
      </w:r>
      <w:r w:rsidRPr="00B6191E">
        <w:t>á</w:t>
      </w:r>
      <w:r w:rsidRPr="00B6191E">
        <w:rPr>
          <w:lang w:eastAsia="en-US"/>
        </w:rPr>
        <w:t>l-i-Dawl</w:t>
      </w:r>
      <w:r>
        <w:rPr>
          <w:lang w:eastAsia="en-US"/>
        </w:rPr>
        <w:t>ih</w:t>
      </w:r>
      <w:r w:rsidRPr="00B6191E">
        <w:rPr>
          <w:lang w:eastAsia="en-US"/>
        </w:rPr>
        <w:t>)</w:t>
      </w:r>
      <w:r w:rsidRPr="00B6191E">
        <w:rPr>
          <w:lang w:eastAsia="en-US"/>
        </w:rPr>
        <w:tab/>
        <w:t>“Fortun</w:t>
      </w:r>
      <w:r>
        <w:rPr>
          <w:lang w:eastAsia="en-US"/>
        </w:rPr>
        <w:t>e of the state”</w:t>
      </w:r>
    </w:p>
    <w:p w14:paraId="7C153579" w14:textId="77777777" w:rsidR="00625A5B" w:rsidRPr="008F03E5" w:rsidRDefault="00625A5B" w:rsidP="00DA4A20">
      <w:pPr>
        <w:pStyle w:val="Translit"/>
      </w:pPr>
      <w:r w:rsidRPr="008F03E5">
        <w:t>Iqd, ‘Uqud</w:t>
      </w:r>
      <w:r w:rsidRPr="008F03E5">
        <w:tab/>
        <w:t>‘Iqd, pl. ‘Uqúd</w:t>
      </w:r>
      <w:r w:rsidRPr="008F03E5">
        <w:tab/>
        <w:t>chaplet, necklace</w:t>
      </w:r>
    </w:p>
    <w:p w14:paraId="54B15645" w14:textId="77777777" w:rsidR="00625A5B" w:rsidRPr="008F03E5" w:rsidRDefault="00625A5B" w:rsidP="00CE3C11">
      <w:pPr>
        <w:pStyle w:val="Translit"/>
      </w:pPr>
      <w:r w:rsidRPr="008F03E5">
        <w:t>Iqlim, Aqalim</w:t>
      </w:r>
      <w:r w:rsidRPr="008F03E5">
        <w:tab/>
        <w:t>Iqlím, pl. Aqálím</w:t>
      </w:r>
      <w:r w:rsidRPr="008F03E5">
        <w:tab/>
        <w:t>climate; area, region; province, district; administrative district.</w:t>
      </w:r>
    </w:p>
    <w:p w14:paraId="324783E3" w14:textId="77777777" w:rsidR="00625A5B" w:rsidRPr="008F03E5" w:rsidRDefault="00625A5B" w:rsidP="00406E0D">
      <w:pPr>
        <w:pStyle w:val="Translit"/>
      </w:pPr>
      <w:r w:rsidRPr="008F03E5">
        <w:t>Iqrar</w:t>
      </w:r>
      <w:r w:rsidRPr="008F03E5">
        <w:tab/>
        <w:t>Iqrár</w:t>
      </w:r>
      <w:r w:rsidRPr="008F03E5">
        <w:tab/>
        <w:t>establishing, fixing (in a place); promise, agreement, assurance, pledge; consent, acquiescence, acceptance; confirmation, ratification, affirmation, attestation, declaration; settlement, compact, bargain; confession, acknowledgment.</w:t>
      </w:r>
    </w:p>
    <w:p w14:paraId="7C9B67BD" w14:textId="77777777" w:rsidR="00625A5B" w:rsidRPr="008F03E5" w:rsidRDefault="00625A5B" w:rsidP="00810EEA">
      <w:pPr>
        <w:pStyle w:val="Translit"/>
      </w:pPr>
      <w:r w:rsidRPr="008F03E5">
        <w:t>Iqtidar, Iqtidarat</w:t>
      </w:r>
      <w:r w:rsidRPr="008F03E5">
        <w:tab/>
        <w:t>Iqtidár, fem. pl. Iqtidárát</w:t>
      </w:r>
      <w:r w:rsidRPr="008F03E5">
        <w:tab/>
        <w:t xml:space="preserve">might, power, strength, potency; ability, capability, faculty, capacity, efficiency, aptitude.  </w:t>
      </w:r>
      <w:r w:rsidRPr="008F03E5">
        <w:rPr>
          <w:i/>
          <w:iCs/>
        </w:rPr>
        <w:t xml:space="preserve">Iqtidárát wa </w:t>
      </w:r>
      <w:r w:rsidRPr="008F03E5">
        <w:rPr>
          <w:i/>
          <w:iCs/>
          <w:u w:val="single"/>
        </w:rPr>
        <w:t>ch</w:t>
      </w:r>
      <w:r w:rsidRPr="008F03E5">
        <w:rPr>
          <w:i/>
          <w:iCs/>
        </w:rPr>
        <w:t>and lawḥ-i-dígár ḥaḍrat-i-Bahá’u’lláh</w:t>
      </w:r>
      <w:r w:rsidRPr="008F03E5">
        <w:t xml:space="preserve"> (Magnificences and select other Tablets of His Holiness Bahá’u’lláh)—a compilation of Tablets by Bahá’u’lláh.</w:t>
      </w:r>
    </w:p>
    <w:p w14:paraId="70E7BA6A" w14:textId="77777777" w:rsidR="00625A5B" w:rsidRPr="008F03E5" w:rsidRDefault="00625A5B" w:rsidP="00D2368B">
      <w:pPr>
        <w:pStyle w:val="Translit"/>
      </w:pPr>
      <w:r w:rsidRPr="008F03E5">
        <w:t>Iqtiran</w:t>
      </w:r>
      <w:r w:rsidRPr="008F03E5">
        <w:tab/>
        <w:t>Iqtirán</w:t>
      </w:r>
      <w:r w:rsidRPr="008F03E5">
        <w:tab/>
        <w:t>connection, conjunction, union, association, affiliation; link, connectedness, simultaneous interaction; conjunction (astron.); new moon (as an astronomical aspect); marriage, wedding</w:t>
      </w:r>
    </w:p>
    <w:p w14:paraId="04E75EFC" w14:textId="77777777" w:rsidR="00625A5B" w:rsidRPr="008F03E5" w:rsidRDefault="00625A5B" w:rsidP="001B2504">
      <w:pPr>
        <w:pStyle w:val="Translit"/>
      </w:pPr>
      <w:r w:rsidRPr="00D45A23">
        <w:rPr>
          <w:lang w:val="fr-FR"/>
        </w:rPr>
        <w:t>Irada (Iradih), Iradat</w:t>
      </w:r>
      <w:r w:rsidRPr="00D45A23">
        <w:rPr>
          <w:lang w:val="fr-FR"/>
        </w:rPr>
        <w:tab/>
        <w:t xml:space="preserve">Iráda[h or t], (Pers. </w:t>
      </w:r>
      <w:r w:rsidRPr="008F03E5">
        <w:t>Irádih), pl. Irádát</w:t>
      </w:r>
      <w:r w:rsidRPr="008F03E5">
        <w:tab/>
        <w:t>will, volition; wish; desire;—(pl.) irade (a decree of an Islamic ruler), decree (of a ruler); will power</w:t>
      </w:r>
    </w:p>
    <w:p w14:paraId="3B33A15E" w14:textId="77777777" w:rsidR="00625A5B" w:rsidRPr="008F03E5" w:rsidRDefault="00625A5B" w:rsidP="009066E3">
      <w:pPr>
        <w:pStyle w:val="Translit"/>
      </w:pPr>
      <w:r w:rsidRPr="008F03E5">
        <w:t>Iraj (Iradj, Eraj)</w:t>
      </w:r>
      <w:r w:rsidRPr="008F03E5">
        <w:tab/>
        <w:t>Íraj</w:t>
      </w:r>
      <w:r w:rsidRPr="008F03E5">
        <w:tab/>
        <w:t>Pers. the sun; name of the youngest son of Farídún; name of a king of Babylon.  Dih Íraj, a village, near Nayríz.</w:t>
      </w:r>
    </w:p>
    <w:p w14:paraId="46C2795A" w14:textId="77777777" w:rsidR="00625A5B" w:rsidRDefault="00625A5B" w:rsidP="00086486">
      <w:pPr>
        <w:pStyle w:val="Translit"/>
      </w:pPr>
      <w:r w:rsidRPr="00865C13">
        <w:t>Iram (Erum, Errum, Eyrom), Aram</w:t>
      </w:r>
      <w:r w:rsidRPr="00865C13">
        <w:tab/>
        <w:t xml:space="preserve">Iram (Arim), pl. </w:t>
      </w:r>
      <w:r w:rsidRPr="008F03E5">
        <w:t>Árám</w:t>
      </w:r>
      <w:r w:rsidRPr="008F03E5">
        <w:tab/>
      </w:r>
      <w:r w:rsidRPr="00C247F7">
        <w:rPr>
          <w:rFonts w:eastAsia="Times New Roman"/>
        </w:rPr>
        <w:t>Pers.</w:t>
      </w:r>
      <w:r w:rsidRPr="00AF4D34">
        <w:rPr>
          <w:rFonts w:eastAsia="Times New Roman"/>
        </w:rPr>
        <w:t xml:space="preserve"> </w:t>
      </w:r>
      <w:r>
        <w:rPr>
          <w:rFonts w:eastAsia="Times New Roman"/>
        </w:rPr>
        <w:t xml:space="preserve">heaven, paradise; </w:t>
      </w:r>
      <w:r w:rsidRPr="008F03E5">
        <w:t xml:space="preserve">stone </w:t>
      </w:r>
      <w:r>
        <w:t>placed</w:t>
      </w:r>
      <w:r w:rsidRPr="008F03E5">
        <w:t xml:space="preserve"> in the desert </w:t>
      </w:r>
      <w:r>
        <w:t>to guide trave</w:t>
      </w:r>
      <w:r w:rsidRPr="008F03E5">
        <w:t xml:space="preserve">llers.  Iram of the Pillars (Iram </w:t>
      </w:r>
      <w:r w:rsidRPr="008F03E5">
        <w:rPr>
          <w:u w:val="single"/>
        </w:rPr>
        <w:t>dh</w:t>
      </w:r>
      <w:r w:rsidRPr="008F03E5">
        <w:t>át al-‘imád), also called “Aram”, “Irum”, “Irem”, “Erum”, or the “City of the tent poles”, is a reference to a lost city, country or area mentioned in Qur’án 89:7.</w:t>
      </w:r>
      <w:r>
        <w:t xml:space="preserve">  F</w:t>
      </w:r>
      <w:r w:rsidRPr="00AF4D34">
        <w:rPr>
          <w:rFonts w:eastAsia="Times New Roman"/>
        </w:rPr>
        <w:t xml:space="preserve">abulous gardens said to have been devised by </w:t>
      </w:r>
      <w:r w:rsidRPr="00C247F7">
        <w:rPr>
          <w:rFonts w:eastAsia="Times New Roman"/>
          <w:u w:val="single"/>
        </w:rPr>
        <w:t>Sh</w:t>
      </w:r>
      <w:r w:rsidRPr="00AF4D34">
        <w:rPr>
          <w:rFonts w:eastAsia="Times New Roman"/>
        </w:rPr>
        <w:t xml:space="preserve">addád bin </w:t>
      </w:r>
      <w:r w:rsidRPr="00AF4D34">
        <w:rPr>
          <w:rFonts w:eastAsia="Times New Roman"/>
          <w:i/>
          <w:iCs/>
        </w:rPr>
        <w:t>‘</w:t>
      </w:r>
      <w:r w:rsidRPr="00AF4D34">
        <w:rPr>
          <w:rFonts w:eastAsia="Times New Roman"/>
        </w:rPr>
        <w:t>Ad in emulation of the gardens of Paradise</w:t>
      </w:r>
      <w:r>
        <w:rPr>
          <w:rFonts w:eastAsia="Times New Roman"/>
        </w:rPr>
        <w:t xml:space="preserve">.  </w:t>
      </w:r>
      <w:r w:rsidRPr="00C247F7">
        <w:rPr>
          <w:rFonts w:eastAsia="Times New Roman"/>
        </w:rPr>
        <w:t>Bá</w:t>
      </w:r>
      <w:r w:rsidRPr="00C247F7">
        <w:rPr>
          <w:u w:val="single"/>
        </w:rPr>
        <w:t>gh</w:t>
      </w:r>
      <w:r w:rsidRPr="00C247F7">
        <w:rPr>
          <w:rFonts w:eastAsia="Times New Roman"/>
        </w:rPr>
        <w:t xml:space="preserve">i Iram, </w:t>
      </w:r>
      <w:r>
        <w:rPr>
          <w:rFonts w:eastAsia="Times New Roman"/>
        </w:rPr>
        <w:t>“heaven on Earth”, t</w:t>
      </w:r>
      <w:r w:rsidRPr="00AF4D34">
        <w:rPr>
          <w:rFonts w:eastAsia="Times New Roman"/>
        </w:rPr>
        <w:t xml:space="preserve">he </w:t>
      </w:r>
      <w:r>
        <w:rPr>
          <w:rFonts w:eastAsia="Times New Roman"/>
        </w:rPr>
        <w:t>“</w:t>
      </w:r>
      <w:r w:rsidRPr="00AF4D34">
        <w:rPr>
          <w:rFonts w:eastAsia="Times New Roman"/>
        </w:rPr>
        <w:t>terrestrial paradise</w:t>
      </w:r>
      <w:r>
        <w:rPr>
          <w:rFonts w:eastAsia="Times New Roman"/>
        </w:rPr>
        <w:t>”</w:t>
      </w:r>
      <w:r w:rsidRPr="00AF4D34">
        <w:rPr>
          <w:rFonts w:eastAsia="Times New Roman"/>
        </w:rPr>
        <w:t>,</w:t>
      </w:r>
      <w:r>
        <w:rPr>
          <w:rFonts w:eastAsia="Times New Roman"/>
        </w:rPr>
        <w:t xml:space="preserve"> </w:t>
      </w:r>
      <w:r w:rsidRPr="00AF4D34">
        <w:rPr>
          <w:rFonts w:eastAsia="Times New Roman"/>
        </w:rPr>
        <w:t xml:space="preserve">fabulous gardens said to have been devised by </w:t>
      </w:r>
      <w:r w:rsidRPr="00C247F7">
        <w:rPr>
          <w:rFonts w:eastAsia="Times New Roman"/>
          <w:u w:val="single"/>
        </w:rPr>
        <w:t>Sh</w:t>
      </w:r>
      <w:r w:rsidRPr="00AF4D34">
        <w:rPr>
          <w:rFonts w:eastAsia="Times New Roman"/>
        </w:rPr>
        <w:t xml:space="preserve">addád bin </w:t>
      </w:r>
      <w:r w:rsidRPr="00AF4D34">
        <w:rPr>
          <w:rFonts w:eastAsia="Times New Roman"/>
          <w:i/>
          <w:iCs/>
        </w:rPr>
        <w:t>‘</w:t>
      </w:r>
      <w:r w:rsidRPr="00AF4D34">
        <w:rPr>
          <w:rFonts w:eastAsia="Times New Roman"/>
        </w:rPr>
        <w:t xml:space="preserve">Ad </w:t>
      </w:r>
      <w:r>
        <w:rPr>
          <w:rFonts w:eastAsia="Times New Roman"/>
        </w:rPr>
        <w:t>to</w:t>
      </w:r>
      <w:r w:rsidRPr="00AF4D34">
        <w:rPr>
          <w:rFonts w:eastAsia="Times New Roman"/>
        </w:rPr>
        <w:t xml:space="preserve"> emulat</w:t>
      </w:r>
      <w:r>
        <w:rPr>
          <w:rFonts w:eastAsia="Times New Roman"/>
        </w:rPr>
        <w:t>e</w:t>
      </w:r>
      <w:r w:rsidRPr="00AF4D34">
        <w:rPr>
          <w:rFonts w:eastAsia="Times New Roman"/>
        </w:rPr>
        <w:t xml:space="preserve"> </w:t>
      </w:r>
      <w:r>
        <w:rPr>
          <w:rFonts w:eastAsia="Times New Roman"/>
        </w:rPr>
        <w:t xml:space="preserve">and out compete with </w:t>
      </w:r>
      <w:r w:rsidRPr="00AF4D34">
        <w:rPr>
          <w:rFonts w:eastAsia="Times New Roman"/>
        </w:rPr>
        <w:t xml:space="preserve">the </w:t>
      </w:r>
      <w:r>
        <w:rPr>
          <w:rFonts w:eastAsia="Times New Roman"/>
        </w:rPr>
        <w:t xml:space="preserve">heavenly </w:t>
      </w:r>
      <w:r w:rsidRPr="00AF4D34">
        <w:rPr>
          <w:rFonts w:eastAsia="Times New Roman"/>
        </w:rPr>
        <w:t>gardens of Paradise</w:t>
      </w:r>
      <w:r>
        <w:rPr>
          <w:rFonts w:eastAsia="Times New Roman"/>
        </w:rPr>
        <w:t>.  B</w:t>
      </w:r>
      <w:r w:rsidRPr="00086486">
        <w:t>á</w:t>
      </w:r>
      <w:r w:rsidRPr="007F7081">
        <w:rPr>
          <w:rFonts w:eastAsia="Times New Roman"/>
          <w:u w:val="single"/>
        </w:rPr>
        <w:t>gh</w:t>
      </w:r>
      <w:r>
        <w:rPr>
          <w:rFonts w:eastAsia="Times New Roman"/>
        </w:rPr>
        <w:t xml:space="preserve"> </w:t>
      </w:r>
      <w:r w:rsidRPr="002C59F6">
        <w:t>Ba</w:t>
      </w:r>
      <w:r w:rsidRPr="00000AF3">
        <w:t>ḥ</w:t>
      </w:r>
      <w:r w:rsidRPr="002C59F6">
        <w:t xml:space="preserve">ru’l-Arim </w:t>
      </w:r>
      <w:r>
        <w:t xml:space="preserve">(≈500 m dia., centre </w:t>
      </w:r>
      <w:r w:rsidRPr="006B7F31">
        <w:t>36.531656, 52.676842</w:t>
      </w:r>
      <w:r>
        <w:t xml:space="preserve">), a famous Persian “island-garden”, set in the </w:t>
      </w:r>
      <w:r w:rsidRPr="002C59F6">
        <w:t>Ba</w:t>
      </w:r>
      <w:r w:rsidRPr="00000AF3">
        <w:t>ḥ</w:t>
      </w:r>
      <w:r w:rsidRPr="002C59F6">
        <w:t>ru’l-Arim</w:t>
      </w:r>
      <w:r>
        <w:t xml:space="preserve"> (</w:t>
      </w:r>
      <w:r w:rsidRPr="002C59F6">
        <w:t>“Sea of Paradise”</w:t>
      </w:r>
      <w:r>
        <w:t xml:space="preserve">), a lake (≈1 km dia., centre </w:t>
      </w:r>
      <w:r w:rsidRPr="006B7F31">
        <w:t>36.532487, 52.67599</w:t>
      </w:r>
      <w:r>
        <w:t>7), now reclaimed, in B</w:t>
      </w:r>
      <w:r w:rsidRPr="00124D85">
        <w:t>á</w:t>
      </w:r>
      <w:r>
        <w:t>rfur</w:t>
      </w:r>
      <w:r w:rsidRPr="00124D85">
        <w:t>ú</w:t>
      </w:r>
      <w:r w:rsidRPr="00124D85">
        <w:rPr>
          <w:u w:val="single"/>
        </w:rPr>
        <w:t>sh</w:t>
      </w:r>
      <w:r>
        <w:t>.  Now the campus of the Babol University of Medical Sciences.</w:t>
      </w:r>
    </w:p>
    <w:p w14:paraId="2DB6423F" w14:textId="77777777" w:rsidR="00625A5B" w:rsidRPr="008F03E5" w:rsidRDefault="00625A5B" w:rsidP="001B7160">
      <w:pPr>
        <w:pStyle w:val="Translit"/>
      </w:pPr>
      <w:r w:rsidRPr="008F03E5">
        <w:t>Iran</w:t>
      </w:r>
      <w:r w:rsidRPr="008F03E5">
        <w:tab/>
        <w:t>Írán</w:t>
      </w:r>
      <w:r w:rsidRPr="008F03E5">
        <w:tab/>
        <w:t xml:space="preserve">Iran; “land of the Aryans”, derived from 3rd-century Sasanian Middle Persian </w:t>
      </w:r>
      <w:r w:rsidRPr="00442EAD">
        <w:rPr>
          <w:i/>
          <w:iCs/>
        </w:rPr>
        <w:t>é</w:t>
      </w:r>
      <w:r w:rsidRPr="00187BEE">
        <w:rPr>
          <w:i/>
          <w:iCs/>
        </w:rPr>
        <w:t>r</w:t>
      </w:r>
      <w:r>
        <w:rPr>
          <w:i/>
          <w:iCs/>
        </w:rPr>
        <w:t>á</w:t>
      </w:r>
      <w:r w:rsidRPr="00187BEE">
        <w:rPr>
          <w:i/>
          <w:iCs/>
        </w:rPr>
        <w:t>n</w:t>
      </w:r>
      <w:r w:rsidRPr="008F03E5">
        <w:t xml:space="preserve"> (“of the Iranians”); a region in </w:t>
      </w:r>
      <w:r>
        <w:t>southw</w:t>
      </w:r>
      <w:r w:rsidRPr="008F03E5">
        <w:t>estern Asia</w:t>
      </w:r>
      <w:r>
        <w:t xml:space="preserve">—the </w:t>
      </w:r>
      <w:r w:rsidRPr="008F03E5">
        <w:t>Islamic Republic of Iran</w:t>
      </w:r>
      <w:r>
        <w:t xml:space="preserve"> managed to hold on to most of it</w:t>
      </w:r>
      <w:r w:rsidRPr="008F03E5">
        <w:t>.</w:t>
      </w:r>
      <w:r>
        <w:t xml:space="preserve">  Formerly known in the west as Persia until 21 March 1935 when </w:t>
      </w:r>
      <w:r w:rsidRPr="008F03E5">
        <w:t xml:space="preserve">Muḥammad Riḍá </w:t>
      </w:r>
      <w:r w:rsidRPr="008F03E5">
        <w:rPr>
          <w:u w:val="single"/>
        </w:rPr>
        <w:t>Sh</w:t>
      </w:r>
      <w:r w:rsidRPr="008F03E5">
        <w:t>áh Pahlaví</w:t>
      </w:r>
      <w:r>
        <w:t xml:space="preserve"> requested it be called </w:t>
      </w:r>
      <w:r w:rsidRPr="001B7160">
        <w:t>Í</w:t>
      </w:r>
      <w:r>
        <w:t>r</w:t>
      </w:r>
      <w:r w:rsidRPr="001B7160">
        <w:t>á</w:t>
      </w:r>
      <w:r>
        <w:t>n.</w:t>
      </w:r>
    </w:p>
    <w:p w14:paraId="4418287A" w14:textId="77777777" w:rsidR="00625A5B" w:rsidRPr="008F03E5" w:rsidRDefault="00625A5B" w:rsidP="00CE6CEC">
      <w:pPr>
        <w:pStyle w:val="Translit"/>
      </w:pPr>
      <w:r w:rsidRPr="008F03E5">
        <w:t>Irandukht</w:t>
      </w:r>
      <w:r w:rsidRPr="008F03E5">
        <w:tab/>
        <w:t>Írándu</w:t>
      </w:r>
      <w:r w:rsidRPr="008F03E5">
        <w:rPr>
          <w:u w:val="single"/>
        </w:rPr>
        <w:t>kh</w:t>
      </w:r>
      <w:r w:rsidRPr="008F03E5">
        <w:t>t</w:t>
      </w:r>
      <w:r w:rsidRPr="008F03E5">
        <w:tab/>
        <w:t>Írán + du</w:t>
      </w:r>
      <w:r w:rsidRPr="008F03E5">
        <w:rPr>
          <w:u w:val="single"/>
        </w:rPr>
        <w:t>kh</w:t>
      </w:r>
      <w:r w:rsidRPr="008F03E5">
        <w:t>t</w:t>
      </w:r>
    </w:p>
    <w:p w14:paraId="6DD5B5FF" w14:textId="77777777" w:rsidR="00625A5B" w:rsidRPr="008F03E5" w:rsidRDefault="00625A5B" w:rsidP="00132F7C">
      <w:pPr>
        <w:pStyle w:val="Translit"/>
      </w:pPr>
      <w:r w:rsidRPr="008F03E5">
        <w:t>Irani, Iranun</w:t>
      </w:r>
      <w:r w:rsidRPr="008F03E5">
        <w:tab/>
        <w:t>Írání, pl. Íránún</w:t>
      </w:r>
      <w:r w:rsidRPr="008F03E5">
        <w:tab/>
        <w:t>Iranian, Persian;—(pl.) a Persian, an Iranian</w:t>
      </w:r>
    </w:p>
    <w:p w14:paraId="3AB3E422" w14:textId="77777777" w:rsidR="00625A5B" w:rsidRPr="000D6C30" w:rsidRDefault="00625A5B" w:rsidP="00F859FA">
      <w:pPr>
        <w:pStyle w:val="Translit"/>
      </w:pPr>
      <w:r w:rsidRPr="000D6C30">
        <w:t>Iranzad</w:t>
      </w:r>
      <w:r w:rsidRPr="000D6C30">
        <w:tab/>
        <w:t>Íránzád</w:t>
      </w:r>
      <w:r w:rsidRPr="000D6C30">
        <w:tab/>
        <w:t>Pers. son of Iran</w:t>
      </w:r>
    </w:p>
    <w:p w14:paraId="2243C6CB" w14:textId="77777777" w:rsidR="00625A5B" w:rsidRPr="008F03E5" w:rsidRDefault="00625A5B" w:rsidP="008F22FC">
      <w:pPr>
        <w:pStyle w:val="Translit"/>
      </w:pPr>
      <w:r w:rsidRPr="000D6C30">
        <w:t>Iraq al</w:t>
      </w:r>
      <w:r w:rsidRPr="000D6C30">
        <w:rPr>
          <w:rFonts w:eastAsia="PMingLiU"/>
          <w:lang w:eastAsia="zh-TW"/>
        </w:rPr>
        <w:t>-‘</w:t>
      </w:r>
      <w:r w:rsidRPr="000D6C30">
        <w:t>Ajam</w:t>
      </w:r>
      <w:r w:rsidRPr="000D6C30">
        <w:tab/>
        <w:t>‘Iráq al-‘Ajam, ‘Iráq-i-‘Ajam</w:t>
      </w:r>
      <w:r w:rsidRPr="000D6C30">
        <w:tab/>
        <w:t xml:space="preserve">Persian ‘Iráq.  </w:t>
      </w:r>
      <w:r w:rsidRPr="008F03E5">
        <w:t>‘Iráq between the 11th to 19th centuries consisted of two neighbouring regions:  Arabic Iraq (‘Iráq al-‘Arab) and Persian Iraq (‘Iráq al-‘Ajam).  Arabic Iraq = ancient Babylonia (now central-southern Iraq), and Persian Iraq = ancient Media (now central-western Iran).  The two regions were separated by the Zagros Mountains.</w:t>
      </w:r>
    </w:p>
    <w:p w14:paraId="1D2E1671" w14:textId="77777777" w:rsidR="00625A5B" w:rsidRPr="008F03E5" w:rsidRDefault="00625A5B" w:rsidP="008F22FC">
      <w:pPr>
        <w:pStyle w:val="Translit"/>
      </w:pPr>
      <w:r w:rsidRPr="008F03E5">
        <w:t>Iraq al</w:t>
      </w:r>
      <w:r w:rsidRPr="008F03E5">
        <w:rPr>
          <w:rFonts w:eastAsia="PMingLiU"/>
          <w:lang w:eastAsia="zh-TW"/>
        </w:rPr>
        <w:t>-‘</w:t>
      </w:r>
      <w:r w:rsidRPr="008F03E5">
        <w:t>Arab</w:t>
      </w:r>
      <w:r w:rsidRPr="008F03E5">
        <w:tab/>
        <w:t>‘Iráq al-‘Arab, ‘Iráq-i-‘Arab</w:t>
      </w:r>
      <w:r w:rsidRPr="008F03E5">
        <w:tab/>
        <w:t>Arabic ‘Iráq.  See ‘Iráq al-‘Ajam.</w:t>
      </w:r>
    </w:p>
    <w:p w14:paraId="0C1FA57A" w14:textId="77777777" w:rsidR="00625A5B" w:rsidRPr="008F03E5" w:rsidRDefault="00625A5B" w:rsidP="008F22FC">
      <w:pPr>
        <w:pStyle w:val="Translit"/>
      </w:pPr>
      <w:r w:rsidRPr="008F03E5">
        <w:t>Iraq al-A’zam</w:t>
      </w:r>
      <w:r w:rsidRPr="008F03E5">
        <w:tab/>
        <w:t>‘Iráq al-A‘ẓam, ‘Iráq-i-A‘ẓam</w:t>
      </w:r>
      <w:r w:rsidRPr="008F03E5">
        <w:tab/>
        <w:t>historical region (Media or Mád) of western Iran, once incorrectly known as Persian ‘Iráq (‘Iráq-i-‘Ajamí).  It consisted roughly of a triangle formed by the ancient cities of Ecbatana (believed near Hamadan), Rhagae (southern Ṭihrán) and Aspadana (Iṣfahán).</w:t>
      </w:r>
    </w:p>
    <w:p w14:paraId="351BE42E" w14:textId="77777777" w:rsidR="00625A5B" w:rsidRPr="008F03E5" w:rsidRDefault="00625A5B" w:rsidP="00795B91">
      <w:pPr>
        <w:pStyle w:val="Translit"/>
      </w:pPr>
      <w:r w:rsidRPr="008F03E5">
        <w:t>Iraq</w:t>
      </w:r>
      <w:r w:rsidRPr="008F03E5">
        <w:tab/>
        <w:t>al-‘Iráq</w:t>
      </w:r>
      <w:r w:rsidRPr="008F03E5">
        <w:tab/>
        <w:t>Iraq</w:t>
      </w:r>
    </w:p>
    <w:p w14:paraId="0A0D8EA8" w14:textId="77777777" w:rsidR="00625A5B" w:rsidRPr="008F03E5" w:rsidRDefault="00625A5B" w:rsidP="000148E8">
      <w:pPr>
        <w:pStyle w:val="Translit"/>
      </w:pPr>
      <w:r w:rsidRPr="008F03E5">
        <w:t>Iraqan (Iraqain, Iraqayn)</w:t>
      </w:r>
      <w:r w:rsidRPr="008F03E5">
        <w:tab/>
        <w:t>al-‘Iráqán, Pers. al-‘Iráqayn</w:t>
      </w:r>
      <w:r w:rsidRPr="008F03E5">
        <w:tab/>
        <w:t>cities of Baṣra and Kúfa.  Shay</w:t>
      </w:r>
      <w:r w:rsidRPr="008F03E5">
        <w:rPr>
          <w:u w:val="single"/>
        </w:rPr>
        <w:t>kh</w:t>
      </w:r>
      <w:r w:rsidRPr="008F03E5">
        <w:t xml:space="preserve">u’l-‘Iráqayn (Mujtahid </w:t>
      </w:r>
      <w:r w:rsidRPr="008F03E5">
        <w:rPr>
          <w:u w:val="single"/>
        </w:rPr>
        <w:t>Sh</w:t>
      </w:r>
      <w:r w:rsidRPr="008F03E5">
        <w:t>ay</w:t>
      </w:r>
      <w:r w:rsidRPr="008F03E5">
        <w:rPr>
          <w:u w:val="single"/>
        </w:rPr>
        <w:t>kh</w:t>
      </w:r>
      <w:r w:rsidRPr="008F03E5">
        <w:t xml:space="preserve"> ‘Abdu’l-Ḥusayn-i-Ṭihrání) opposed Bahá’u’lláh when He was in Iraq.</w:t>
      </w:r>
    </w:p>
    <w:p w14:paraId="4526839F" w14:textId="77777777" w:rsidR="00625A5B" w:rsidRPr="008F03E5" w:rsidRDefault="00625A5B" w:rsidP="00795B91">
      <w:pPr>
        <w:pStyle w:val="Translit"/>
      </w:pPr>
      <w:r w:rsidRPr="008F03E5">
        <w:t>Iraqi, Iraqun</w:t>
      </w:r>
      <w:r w:rsidRPr="008F03E5">
        <w:tab/>
        <w:t>‘Iráqí, pl. ‘Iráqún</w:t>
      </w:r>
      <w:r w:rsidRPr="008F03E5">
        <w:tab/>
        <w:t>Iraqi, Iraqian;—pl. an Iraqi</w:t>
      </w:r>
    </w:p>
    <w:p w14:paraId="71943444" w14:textId="77777777" w:rsidR="00625A5B" w:rsidRPr="00077779" w:rsidRDefault="00625A5B" w:rsidP="00F44428">
      <w:pPr>
        <w:pStyle w:val="Translit"/>
        <w:rPr>
          <w:lang w:val="es-ES_tradnl"/>
        </w:rPr>
      </w:pPr>
      <w:r w:rsidRPr="00077779">
        <w:rPr>
          <w:lang w:val="es-ES_tradnl"/>
        </w:rPr>
        <w:t>Irbil</w:t>
      </w:r>
      <w:r w:rsidRPr="00077779">
        <w:rPr>
          <w:lang w:val="es-ES_tradnl"/>
        </w:rPr>
        <w:tab/>
        <w:t>Irbíl</w:t>
      </w:r>
      <w:r w:rsidRPr="00077779">
        <w:rPr>
          <w:lang w:val="es-ES_tradnl"/>
        </w:rPr>
        <w:tab/>
        <w:t>(Erbil) capital of ‘Iráqí Kurdistán</w:t>
      </w:r>
    </w:p>
    <w:p w14:paraId="5DA5F5CF" w14:textId="77777777" w:rsidR="00625A5B" w:rsidRPr="008F03E5" w:rsidRDefault="00625A5B" w:rsidP="00FF2A5B">
      <w:pPr>
        <w:pStyle w:val="Translit"/>
      </w:pPr>
      <w:r w:rsidRPr="008F03E5">
        <w:t>Irfan</w:t>
      </w:r>
      <w:r w:rsidRPr="008F03E5">
        <w:tab/>
        <w:t>‘Irfán</w:t>
      </w:r>
      <w:r w:rsidRPr="008F03E5">
        <w:tab/>
        <w:t>cognition, knowledge, perception; recognition, acknowledgment; gnosis, mystic knowledge, true or spiritual understanding</w:t>
      </w:r>
    </w:p>
    <w:p w14:paraId="42D3EFA0" w14:textId="77777777" w:rsidR="00625A5B" w:rsidRPr="008F03E5" w:rsidRDefault="00625A5B" w:rsidP="005520EA">
      <w:pPr>
        <w:pStyle w:val="Translit"/>
      </w:pPr>
      <w:r w:rsidRPr="008F03E5">
        <w:t>Irhaq</w:t>
      </w:r>
      <w:r w:rsidRPr="008F03E5">
        <w:tab/>
        <w:t>Irháq</w:t>
      </w:r>
      <w:r w:rsidRPr="008F03E5">
        <w:tab/>
        <w:t>pressure, oppression; suppression; heavy load (e.g., of work)</w:t>
      </w:r>
    </w:p>
    <w:p w14:paraId="579C9667" w14:textId="77777777" w:rsidR="00625A5B" w:rsidRPr="008F03E5" w:rsidRDefault="00625A5B" w:rsidP="003D2FE2">
      <w:pPr>
        <w:pStyle w:val="Translit"/>
      </w:pPr>
      <w:r w:rsidRPr="008F03E5">
        <w:t>Irhas, Irhasat</w:t>
      </w:r>
      <w:r w:rsidRPr="008F03E5">
        <w:tab/>
        <w:t>Irháṣ, pl. Irháṣát</w:t>
      </w:r>
      <w:r w:rsidRPr="008F03E5">
        <w:tab/>
        <w:t>“laying a foundation”; term used for any miracle performed by a prophet before his assumption of the prophetical office.</w:t>
      </w:r>
    </w:p>
    <w:p w14:paraId="2D42DFFC" w14:textId="77777777" w:rsidR="00625A5B" w:rsidRPr="008F03E5" w:rsidRDefault="00625A5B" w:rsidP="00284251">
      <w:pPr>
        <w:pStyle w:val="Translit"/>
      </w:pPr>
      <w:r w:rsidRPr="008F03E5">
        <w:t>Irivan, Iravan</w:t>
      </w:r>
      <w:r w:rsidRPr="008F03E5">
        <w:tab/>
        <w:t>Iriván, Iraván</w:t>
      </w:r>
      <w:r w:rsidRPr="008F03E5">
        <w:tab/>
        <w:t>(Azerbaijani) Yerevan, Erivan or Erevan (40.166688, 44.510875), capital of Armenia, west of Lake Sevan</w:t>
      </w:r>
    </w:p>
    <w:p w14:paraId="799795F8" w14:textId="77777777" w:rsidR="00625A5B" w:rsidRPr="008F03E5" w:rsidRDefault="00625A5B" w:rsidP="006C5356">
      <w:pPr>
        <w:pStyle w:val="Translit"/>
      </w:pPr>
      <w:r w:rsidRPr="008F03E5">
        <w:t>Irshad al-‘Awamm, Irshadu’l</w:t>
      </w:r>
      <w:r w:rsidRPr="008F03E5">
        <w:rPr>
          <w:rFonts w:eastAsia="PMingLiU"/>
          <w:lang w:eastAsia="zh-TW"/>
        </w:rPr>
        <w:t>-‘</w:t>
      </w:r>
      <w:r w:rsidRPr="008F03E5">
        <w:t>Avam</w:t>
      </w:r>
      <w:r w:rsidRPr="008F03E5">
        <w:tab/>
        <w:t>Ir</w:t>
      </w:r>
      <w:r w:rsidRPr="008F03E5">
        <w:rPr>
          <w:u w:val="single"/>
        </w:rPr>
        <w:t>sh</w:t>
      </w:r>
      <w:r w:rsidRPr="008F03E5">
        <w:t>ád al-‘Awámm, Pers. Ir</w:t>
      </w:r>
      <w:r w:rsidRPr="008F03E5">
        <w:rPr>
          <w:u w:val="single"/>
        </w:rPr>
        <w:t>sh</w:t>
      </w:r>
      <w:r w:rsidRPr="008F03E5">
        <w:t>ádu’l-‘Avám</w:t>
      </w:r>
      <w:r w:rsidRPr="008F03E5">
        <w:tab/>
        <w:t xml:space="preserve">“Guidance unto the ignorant” by Hájí Muḥammad-Karím </w:t>
      </w:r>
      <w:r w:rsidRPr="008F03E5">
        <w:rPr>
          <w:u w:val="single"/>
        </w:rPr>
        <w:t>Kh</w:t>
      </w:r>
      <w:r w:rsidRPr="008F03E5">
        <w:t>án</w:t>
      </w:r>
    </w:p>
    <w:p w14:paraId="4761399D" w14:textId="77777777" w:rsidR="00625A5B" w:rsidRPr="008F03E5" w:rsidRDefault="00625A5B" w:rsidP="00853428">
      <w:pPr>
        <w:pStyle w:val="Translit"/>
      </w:pPr>
      <w:r w:rsidRPr="008F03E5">
        <w:t>Irshad, Irshadat</w:t>
      </w:r>
      <w:r w:rsidRPr="008F03E5">
        <w:tab/>
        <w:t>Ir</w:t>
      </w:r>
      <w:r w:rsidRPr="008F03E5">
        <w:rPr>
          <w:u w:val="single"/>
        </w:rPr>
        <w:t>sh</w:t>
      </w:r>
      <w:r w:rsidRPr="008F03E5">
        <w:t>ád, pl. fem. Ir</w:t>
      </w:r>
      <w:r w:rsidRPr="008F03E5">
        <w:rPr>
          <w:u w:val="single"/>
        </w:rPr>
        <w:t>sh</w:t>
      </w:r>
      <w:r w:rsidRPr="008F03E5">
        <w:t>ádát</w:t>
      </w:r>
      <w:r w:rsidRPr="008F03E5">
        <w:tab/>
        <w:t>guidance; a conducting, showing the way (to); guiding hand; care; spiritual guidance; instruction; direction; directive; information; advising, advice;—pl. directives, directions, instructions, advice</w:t>
      </w:r>
    </w:p>
    <w:p w14:paraId="77EC12E0" w14:textId="77777777" w:rsidR="00625A5B" w:rsidRPr="008F03E5" w:rsidRDefault="00625A5B" w:rsidP="009A554E">
      <w:pPr>
        <w:pStyle w:val="Translit"/>
      </w:pPr>
      <w:r w:rsidRPr="008F03E5">
        <w:t>Irtidad</w:t>
      </w:r>
      <w:r w:rsidRPr="008F03E5">
        <w:tab/>
        <w:t>Irtidád</w:t>
      </w:r>
      <w:r w:rsidRPr="008F03E5">
        <w:tab/>
        <w:t>retreat, withdrawal; retrogression; renunciation, desertion; apostasy (withdraw from Islam)</w:t>
      </w:r>
    </w:p>
    <w:p w14:paraId="369D0939" w14:textId="77777777" w:rsidR="00625A5B" w:rsidRDefault="00625A5B" w:rsidP="00DD1731">
      <w:pPr>
        <w:pStyle w:val="Translit"/>
      </w:pPr>
      <w:r w:rsidRPr="008F03E5">
        <w:t>Irtifa’</w:t>
      </w:r>
      <w:r w:rsidRPr="008F03E5">
        <w:tab/>
        <w:t>Irtifá‘</w:t>
      </w:r>
      <w:r w:rsidRPr="008F03E5">
        <w:tab/>
        <w:t xml:space="preserve">rise (e.g., of prices); elevation; increase; height, altitude (e.g., of a mountain).  The Báb uses </w:t>
      </w:r>
      <w:r w:rsidRPr="008F03E5">
        <w:rPr>
          <w:i/>
          <w:iCs/>
        </w:rPr>
        <w:t>irtifá‘</w:t>
      </w:r>
      <w:r w:rsidRPr="008F03E5">
        <w:t xml:space="preserve"> to </w:t>
      </w:r>
      <w:r>
        <w:t xml:space="preserve">simultaneously have two meanings:  one is negation, abrogation or cancelation, and the other is exaltation and elevation; this is </w:t>
      </w:r>
      <w:r w:rsidRPr="008F03E5">
        <w:t xml:space="preserve">in relation to the abrogation of a former Dispensation and its fulfilment and exaltation by a new Dispensation.  “Each Revelation, in simultaneously abrogating and exalting the previous Dispensation, is the return of the previous Revelation in the station of its perfection.”  </w:t>
      </w:r>
      <w:r w:rsidRPr="008F03E5">
        <w:rPr>
          <w:i/>
          <w:iCs/>
        </w:rPr>
        <w:t>Gate of the heart</w:t>
      </w:r>
      <w:r w:rsidRPr="008F03E5">
        <w:t>, p. 277.</w:t>
      </w:r>
    </w:p>
    <w:p w14:paraId="41778E1F" w14:textId="77777777" w:rsidR="00625A5B" w:rsidRPr="008F03E5" w:rsidRDefault="00625A5B" w:rsidP="00FF1502">
      <w:pPr>
        <w:pStyle w:val="Translit"/>
      </w:pPr>
      <w:r w:rsidRPr="008F03E5">
        <w:t>Irtiqa’</w:t>
      </w:r>
      <w:r w:rsidRPr="008F03E5">
        <w:tab/>
        <w:t>Irtiqá‘</w:t>
      </w:r>
      <w:r w:rsidRPr="008F03E5">
        <w:tab/>
        <w:t>climbing, mounting; ascension; ascent; progress, rise, progressive development; “evolution”</w:t>
      </w:r>
    </w:p>
    <w:p w14:paraId="229420DE" w14:textId="77777777" w:rsidR="00625A5B" w:rsidRPr="008F03E5" w:rsidRDefault="00625A5B" w:rsidP="00FF1502">
      <w:pPr>
        <w:pStyle w:val="Translit"/>
      </w:pPr>
      <w:r w:rsidRPr="008F03E5">
        <w:t>Isa</w:t>
      </w:r>
      <w:r w:rsidRPr="008F03E5">
        <w:tab/>
        <w:t>‘Ísá</w:t>
      </w:r>
      <w:r w:rsidRPr="008F03E5">
        <w:tab/>
        <w:t>Jesus.  See Yasú’</w:t>
      </w:r>
    </w:p>
    <w:p w14:paraId="27BDA3D1" w14:textId="77777777" w:rsidR="00625A5B" w:rsidRPr="008F03E5" w:rsidRDefault="00625A5B" w:rsidP="00E16A83">
      <w:pPr>
        <w:pStyle w:val="Translit"/>
      </w:pPr>
      <w:r w:rsidRPr="008F03E5">
        <w:t>Isam, A’sima, ‘Usum</w:t>
      </w:r>
      <w:r w:rsidRPr="008F03E5">
        <w:tab/>
        <w:t xml:space="preserve">‘Iṣám, fem. ‘Iṣámí, pl. </w:t>
      </w:r>
      <w:r w:rsidRPr="000D6C30">
        <w:t>A‘ṣima, ‘Uṣum</w:t>
      </w:r>
      <w:r w:rsidRPr="000D6C30">
        <w:tab/>
        <w:t xml:space="preserve">(“Essam”) strap, thong.  </w:t>
      </w:r>
      <w:r w:rsidRPr="008F03E5">
        <w:t>Also safeguard.  Male given name and surname.  Derived from ‘Iṣma.</w:t>
      </w:r>
    </w:p>
    <w:p w14:paraId="31424120" w14:textId="77777777" w:rsidR="00625A5B" w:rsidRPr="008F03E5" w:rsidRDefault="00625A5B" w:rsidP="00FF1502">
      <w:pPr>
        <w:pStyle w:val="Translit"/>
      </w:pPr>
      <w:r w:rsidRPr="008F03E5">
        <w:t>Isawi</w:t>
      </w:r>
      <w:r w:rsidRPr="008F03E5">
        <w:tab/>
        <w:t>‘Ísáwí</w:t>
      </w:r>
      <w:r w:rsidRPr="008F03E5">
        <w:tab/>
        <w:t>Christian</w:t>
      </w:r>
    </w:p>
    <w:p w14:paraId="55C924F1" w14:textId="77777777" w:rsidR="00625A5B" w:rsidRPr="008F03E5" w:rsidRDefault="00625A5B" w:rsidP="000C0AAE">
      <w:pPr>
        <w:pStyle w:val="Translit"/>
      </w:pPr>
      <w:r w:rsidRPr="008F03E5">
        <w:t>Isfahan</w:t>
      </w:r>
      <w:r w:rsidRPr="008F03E5">
        <w:tab/>
        <w:t>Iṣfahán</w:t>
      </w:r>
      <w:r w:rsidRPr="008F03E5">
        <w:tab/>
        <w:t>Pers. city 340 km south of Ṭihrán (sometimes given as Iṣfáhán, Ispáhán and Ṣifáhán).  Described as Iṣfahán niṣf-i-jáhán</w:t>
      </w:r>
      <w:r w:rsidRPr="008F03E5">
        <w:rPr>
          <w:rtl/>
        </w:rPr>
        <w:t xml:space="preserve"> </w:t>
      </w:r>
      <w:r w:rsidRPr="008F03E5">
        <w:t>ást, “Isfahan is half (of) the world”.</w:t>
      </w:r>
    </w:p>
    <w:p w14:paraId="209B13DC" w14:textId="77777777" w:rsidR="00625A5B" w:rsidRPr="008F03E5" w:rsidRDefault="00625A5B" w:rsidP="00F85F1E">
      <w:pPr>
        <w:pStyle w:val="Translit"/>
      </w:pPr>
      <w:r w:rsidRPr="008F03E5">
        <w:t>Isfahani</w:t>
      </w:r>
      <w:r w:rsidRPr="008F03E5">
        <w:tab/>
        <w:t>Iṣfahání</w:t>
      </w:r>
      <w:r w:rsidRPr="008F03E5">
        <w:tab/>
      </w:r>
      <w:r>
        <w:t xml:space="preserve">of or from </w:t>
      </w:r>
      <w:r w:rsidRPr="008F03E5">
        <w:t>Iṣfahán</w:t>
      </w:r>
      <w:r>
        <w:t xml:space="preserve">. </w:t>
      </w:r>
      <w:r w:rsidRPr="008F03E5">
        <w:t xml:space="preserve"> Ḥájí Mírzá Ḥaydar ‘Alí</w:t>
      </w:r>
      <w:r>
        <w:t>y</w:t>
      </w:r>
      <w:r w:rsidRPr="008F03E5">
        <w:t>-i-Iṣfahání (b. Iṣfahán, 183</w:t>
      </w:r>
      <w:r>
        <w:t>4</w:t>
      </w:r>
      <w:r w:rsidRPr="008F03E5">
        <w:t>; d. Haifa, 1920).  Bahá’u’lláh gave him the titles “The Angel of Carmel” and “Sulṭán-i-Mu‘allimún” (The king of teachers).  Author of Bihjatu’ṣ-Ṣudúr (</w:t>
      </w:r>
      <w:r w:rsidRPr="008F03E5">
        <w:rPr>
          <w:i/>
          <w:iCs/>
        </w:rPr>
        <w:t>Delight of Hearts</w:t>
      </w:r>
      <w:r w:rsidRPr="008F03E5">
        <w:t>)</w:t>
      </w:r>
    </w:p>
    <w:p w14:paraId="78559E62" w14:textId="77777777" w:rsidR="00625A5B" w:rsidRPr="008F03E5" w:rsidRDefault="00625A5B" w:rsidP="00797E07">
      <w:pPr>
        <w:pStyle w:val="Translit"/>
      </w:pPr>
      <w:r w:rsidRPr="008F03E5">
        <w:t>Isfand</w:t>
      </w:r>
      <w:r w:rsidRPr="008F03E5">
        <w:tab/>
        <w:t>Isfand</w:t>
      </w:r>
      <w:r w:rsidRPr="008F03E5">
        <w:tab/>
        <w:t>Pers. a species of rue; a province of Ni</w:t>
      </w:r>
      <w:r w:rsidRPr="008F03E5">
        <w:rPr>
          <w:u w:val="single"/>
        </w:rPr>
        <w:t>sh</w:t>
      </w:r>
      <w:r w:rsidRPr="008F03E5">
        <w:t>ábúr; 12th month of Persian solar calendar</w:t>
      </w:r>
    </w:p>
    <w:p w14:paraId="07AA100A" w14:textId="77777777" w:rsidR="00625A5B" w:rsidRPr="008F03E5" w:rsidRDefault="00625A5B" w:rsidP="00306DF4">
      <w:pPr>
        <w:pStyle w:val="Translit"/>
      </w:pPr>
      <w:r w:rsidRPr="008F03E5">
        <w:t>Isfandabad (Esfandabad, Isfand-Abad)</w:t>
      </w:r>
      <w:r w:rsidRPr="008F03E5">
        <w:tab/>
        <w:t>Isfandábád</w:t>
      </w:r>
      <w:r w:rsidRPr="008F03E5">
        <w:tab/>
        <w:t>(Esfand Abad) village between Yazd and Shiraz (30.918674, 53.434260)</w:t>
      </w:r>
    </w:p>
    <w:p w14:paraId="2235FB78" w14:textId="77777777" w:rsidR="00625A5B" w:rsidRPr="008F03E5" w:rsidRDefault="00625A5B" w:rsidP="00873AC2">
      <w:pPr>
        <w:pStyle w:val="Translit"/>
      </w:pPr>
      <w:r w:rsidRPr="008F03E5">
        <w:t>Isfandiyar</w:t>
      </w:r>
      <w:r w:rsidRPr="008F03E5">
        <w:tab/>
        <w:t>Isfandíyár</w:t>
      </w:r>
      <w:r w:rsidRPr="008F03E5">
        <w:tab/>
        <w:t>Pers. Esfandiyár, Sepandiár, Sepandiyar, Esfandyar, Isfandiar, Isfandiyar or Esfandiar.  Legendary Iranian hero.  (“Created holy and pure”)  Name of loyal servant of Bahá.</w:t>
      </w:r>
    </w:p>
    <w:p w14:paraId="0BFCE80A" w14:textId="77777777" w:rsidR="00625A5B" w:rsidRPr="008F03E5" w:rsidRDefault="00625A5B" w:rsidP="00D74543">
      <w:pPr>
        <w:pStyle w:val="Translit"/>
      </w:pPr>
      <w:r w:rsidRPr="008F03E5">
        <w:t>Isfiya</w:t>
      </w:r>
      <w:r w:rsidRPr="008F03E5">
        <w:tab/>
        <w:t>‘Isfiya</w:t>
      </w:r>
      <w:r w:rsidRPr="008F03E5">
        <w:tab/>
        <w:t>is a Druze-majority town (32.717905, 35.064655) on Mount Carmel, to the south of the highest point.  ‘Abdu’l-Bahá owned land in the area.</w:t>
      </w:r>
    </w:p>
    <w:p w14:paraId="005E7904" w14:textId="77777777" w:rsidR="00625A5B" w:rsidRPr="008F03E5" w:rsidRDefault="00625A5B" w:rsidP="00CF7809">
      <w:pPr>
        <w:pStyle w:val="Translit"/>
      </w:pPr>
      <w:r w:rsidRPr="008F03E5">
        <w:t>Isha</w:t>
      </w:r>
      <w:r w:rsidRPr="008F03E5">
        <w:tab/>
      </w:r>
      <w:r w:rsidRPr="008F03E5">
        <w:rPr>
          <w:rFonts w:eastAsia="Times New Roman"/>
        </w:rPr>
        <w:t>Í</w:t>
      </w:r>
      <w:r w:rsidRPr="008F03E5">
        <w:rPr>
          <w:rFonts w:eastAsia="Times New Roman"/>
          <w:u w:val="single"/>
        </w:rPr>
        <w:t>sh</w:t>
      </w:r>
      <w:r w:rsidRPr="008F03E5">
        <w:rPr>
          <w:rFonts w:eastAsia="Times New Roman"/>
        </w:rPr>
        <w:t>á (for í</w:t>
      </w:r>
      <w:r w:rsidRPr="008F03E5">
        <w:rPr>
          <w:rFonts w:eastAsia="Times New Roman"/>
          <w:u w:val="single"/>
        </w:rPr>
        <w:t>sh</w:t>
      </w:r>
      <w:r w:rsidRPr="008F03E5">
        <w:rPr>
          <w:rFonts w:eastAsia="Times New Roman"/>
        </w:rPr>
        <w:t>án)</w:t>
      </w:r>
      <w:r w:rsidRPr="008F03E5">
        <w:rPr>
          <w:rFonts w:eastAsia="Times New Roman"/>
        </w:rPr>
        <w:tab/>
        <w:t>Pers. they.  A</w:t>
      </w:r>
      <w:r w:rsidRPr="008F03E5">
        <w:t>n honorific form of Persian pronoun for the third person singular.  Í</w:t>
      </w:r>
      <w:r w:rsidRPr="008F03E5">
        <w:rPr>
          <w:u w:val="single"/>
        </w:rPr>
        <w:t>sh</w:t>
      </w:r>
      <w:r w:rsidRPr="008F03E5">
        <w:t>á, a designation (also Jináb Í</w:t>
      </w:r>
      <w:r w:rsidRPr="008F03E5">
        <w:rPr>
          <w:u w:val="single"/>
        </w:rPr>
        <w:t>sh</w:t>
      </w:r>
      <w:r w:rsidRPr="008F03E5">
        <w:t>á, derived from Ṣúfí usage) by which Bahá’u’lláh was known:  “When the followers of the Báb gathered under special circumstances at Bada</w:t>
      </w:r>
      <w:r w:rsidRPr="008F03E5">
        <w:rPr>
          <w:u w:val="single"/>
        </w:rPr>
        <w:t>sh</w:t>
      </w:r>
      <w:r w:rsidRPr="008F03E5">
        <w:t>t, it was there that everyone received a new name.  It was then that they knew this shining diadem of majesty and might found its eternal manifestation, not on the forehead of one who was clad in the garments of the learned; but shone instead on that of a Youth who was majestic in appearance, glorious in gait and manners, and-godly in every atom of His being.  So exalted was He in the eyes of the people, so highly respected and adored, that out of sheer homage and love they did not dare to mention His name.  Instead He was referred to as ‘Í</w:t>
      </w:r>
      <w:r w:rsidRPr="008F03E5">
        <w:rPr>
          <w:u w:val="single"/>
        </w:rPr>
        <w:t>sh</w:t>
      </w:r>
      <w:r w:rsidRPr="008F03E5">
        <w:t xml:space="preserve">á’.” (Abu’l-Qasím Fayẓí, </w:t>
      </w:r>
      <w:r w:rsidRPr="008F03E5">
        <w:rPr>
          <w:i/>
          <w:iCs/>
        </w:rPr>
        <w:t>An Explanation of the Greatest Name</w:t>
      </w:r>
      <w:r w:rsidRPr="008F03E5">
        <w:t>, p. 9)</w:t>
      </w:r>
    </w:p>
    <w:p w14:paraId="43553677" w14:textId="77777777" w:rsidR="00625A5B" w:rsidRPr="008F03E5" w:rsidRDefault="00625A5B" w:rsidP="00CF7809">
      <w:pPr>
        <w:pStyle w:val="Translit"/>
      </w:pPr>
      <w:r w:rsidRPr="008F03E5">
        <w:t>Isha’</w:t>
      </w:r>
      <w:r w:rsidRPr="008F03E5">
        <w:tab/>
        <w:t>‘I</w:t>
      </w:r>
      <w:r w:rsidRPr="008F03E5">
        <w:rPr>
          <w:u w:val="single"/>
        </w:rPr>
        <w:t>sh</w:t>
      </w:r>
      <w:r w:rsidRPr="008F03E5">
        <w:t>á’</w:t>
      </w:r>
      <w:r w:rsidRPr="008F03E5">
        <w:tab/>
        <w:t>evening; (feminine) evening prayer (Islamic Law)</w:t>
      </w:r>
    </w:p>
    <w:p w14:paraId="37174CEC" w14:textId="77777777" w:rsidR="00625A5B" w:rsidRPr="008F03E5" w:rsidRDefault="00625A5B" w:rsidP="00C46107">
      <w:pPr>
        <w:pStyle w:val="Translit"/>
      </w:pPr>
      <w:r w:rsidRPr="008F03E5">
        <w:t>Ishan, Ishanan</w:t>
      </w:r>
      <w:r w:rsidRPr="008F03E5">
        <w:tab/>
        <w:t>Í</w:t>
      </w:r>
      <w:r w:rsidRPr="008F03E5">
        <w:rPr>
          <w:u w:val="single"/>
        </w:rPr>
        <w:t>sh</w:t>
      </w:r>
      <w:r w:rsidRPr="008F03E5">
        <w:t xml:space="preserve">án, pl. </w:t>
      </w:r>
      <w:r w:rsidRPr="008F03E5">
        <w:rPr>
          <w:rFonts w:eastAsia="Times New Roman"/>
        </w:rPr>
        <w:t>Í</w:t>
      </w:r>
      <w:r w:rsidRPr="008F03E5">
        <w:rPr>
          <w:rFonts w:eastAsia="Times New Roman"/>
          <w:u w:val="single"/>
        </w:rPr>
        <w:t>sh</w:t>
      </w:r>
      <w:r w:rsidRPr="008F03E5">
        <w:rPr>
          <w:rFonts w:eastAsia="Times New Roman"/>
        </w:rPr>
        <w:t>ánán</w:t>
      </w:r>
      <w:r w:rsidRPr="008F03E5">
        <w:tab/>
        <w:t>Pers. they (rational beings)</w:t>
      </w:r>
    </w:p>
    <w:p w14:paraId="13EECBDC" w14:textId="77777777" w:rsidR="00625A5B" w:rsidRPr="008F03E5" w:rsidRDefault="00625A5B" w:rsidP="002C7BB1">
      <w:pPr>
        <w:pStyle w:val="Translit"/>
      </w:pPr>
      <w:r w:rsidRPr="008F03E5">
        <w:t>Ishaq</w:t>
      </w:r>
      <w:r w:rsidRPr="008F03E5">
        <w:tab/>
        <w:t>Isḥáq</w:t>
      </w:r>
      <w:r w:rsidRPr="008F03E5">
        <w:tab/>
        <w:t xml:space="preserve">Isaac; becoming threadbare; shrinking after milking (the teats); drying up.  Muḥammad ibn Isḥáq ibn Yasár ibn </w:t>
      </w:r>
      <w:r w:rsidRPr="008F03E5">
        <w:rPr>
          <w:u w:val="single"/>
        </w:rPr>
        <w:t>Kh</w:t>
      </w:r>
      <w:r w:rsidRPr="008F03E5">
        <w:t xml:space="preserve">iyár; according to some sources, ibn </w:t>
      </w:r>
      <w:r w:rsidRPr="008F03E5">
        <w:rPr>
          <w:u w:val="single"/>
        </w:rPr>
        <w:t>Kh</w:t>
      </w:r>
      <w:r w:rsidRPr="008F03E5">
        <w:t xml:space="preserve">abbár, or Kúmán, or Kútán, or simply ibn Isḥáq (“the son of Isaac”) (d. 767) was an Arab Muslim historian and hagiographer.  Abú al-Faraj Muḥammad ibn Isḥáq an-Nadím; ibn Abí Ya’qúb Isḥáq ibn Muḥammad ibn Isḥáq al-Warráq and erroneously known as ibn an-Nadím (ca. 932–995 or 998).  Isḥáq an-Nadím was a 10th-century Arab Muslim bibliographer of Baghdad who compiled the bibliographic encyclopaedia </w:t>
      </w:r>
      <w:r w:rsidRPr="008F03E5">
        <w:rPr>
          <w:i/>
          <w:iCs/>
        </w:rPr>
        <w:t>Kitáb al-Fihrist</w:t>
      </w:r>
      <w:r w:rsidRPr="008F03E5">
        <w:t xml:space="preserve"> (“The Book Catalogue” of all books in Arabic).  His epithets were an-Nadím (“the Court Companion” and al-Warráq (“the copyist of manuscripts”.</w:t>
      </w:r>
    </w:p>
    <w:p w14:paraId="4B0F6D65" w14:textId="77777777" w:rsidR="00625A5B" w:rsidRPr="008F03E5" w:rsidRDefault="00625A5B" w:rsidP="004D70E5">
      <w:pPr>
        <w:pStyle w:val="Translit"/>
      </w:pPr>
      <w:r w:rsidRPr="008F03E5">
        <w:t>Ishara, Isharat</w:t>
      </w:r>
      <w:r w:rsidRPr="008F03E5">
        <w:tab/>
        <w:t>I</w:t>
      </w:r>
      <w:r w:rsidRPr="008F03E5">
        <w:rPr>
          <w:u w:val="single"/>
        </w:rPr>
        <w:t>sh</w:t>
      </w:r>
      <w:r w:rsidRPr="008F03E5">
        <w:t>ára[h or t], pl. I</w:t>
      </w:r>
      <w:r w:rsidRPr="008F03E5">
        <w:rPr>
          <w:u w:val="single"/>
        </w:rPr>
        <w:t>sh</w:t>
      </w:r>
      <w:r w:rsidRPr="008F03E5">
        <w:t>árát</w:t>
      </w:r>
      <w:r w:rsidRPr="008F03E5">
        <w:tab/>
        <w:t>sign, motion, nod, wink, wave; gesture; signal; indication; allusion, hint, intimation; symbolic expression; (silent) reminder; advice, counsel, suggestion; instruction, order, command</w:t>
      </w:r>
    </w:p>
    <w:p w14:paraId="29E4978E" w14:textId="77777777" w:rsidR="00625A5B" w:rsidRPr="008F03E5" w:rsidRDefault="00625A5B" w:rsidP="000933EC">
      <w:pPr>
        <w:pStyle w:val="Translit"/>
      </w:pPr>
      <w:r w:rsidRPr="008F03E5">
        <w:t>Ishq, ‘Ishiqa</w:t>
      </w:r>
      <w:r w:rsidRPr="008F03E5">
        <w:tab/>
        <w:t>‘I</w:t>
      </w:r>
      <w:r w:rsidRPr="008F03E5">
        <w:rPr>
          <w:u w:val="single"/>
        </w:rPr>
        <w:t>sh</w:t>
      </w:r>
      <w:r w:rsidRPr="008F03E5">
        <w:t>q, fem. ‘I</w:t>
      </w:r>
      <w:r w:rsidRPr="008F03E5">
        <w:rPr>
          <w:u w:val="single"/>
        </w:rPr>
        <w:t>sh</w:t>
      </w:r>
      <w:r w:rsidRPr="008F03E5">
        <w:t>qa[h or t]</w:t>
      </w:r>
      <w:r w:rsidRPr="008F03E5">
        <w:tab/>
        <w:t>love, ardour of love, passion.  e.g. ‘I</w:t>
      </w:r>
      <w:r w:rsidRPr="008F03E5">
        <w:rPr>
          <w:u w:val="single"/>
        </w:rPr>
        <w:t>sh</w:t>
      </w:r>
      <w:r w:rsidRPr="008F03E5">
        <w:t>qábád is also known as ‘I</w:t>
      </w:r>
      <w:r w:rsidRPr="008F03E5">
        <w:rPr>
          <w:u w:val="single"/>
        </w:rPr>
        <w:t>sh</w:t>
      </w:r>
      <w:r w:rsidRPr="008F03E5">
        <w:t>q.</w:t>
      </w:r>
    </w:p>
    <w:p w14:paraId="4196F096" w14:textId="77777777" w:rsidR="00625A5B" w:rsidRPr="008F03E5" w:rsidRDefault="00625A5B" w:rsidP="00D91D78">
      <w:pPr>
        <w:pStyle w:val="Translit"/>
        <w:tabs>
          <w:tab w:val="left" w:pos="7797"/>
        </w:tabs>
      </w:pPr>
      <w:r w:rsidRPr="008F03E5">
        <w:t>Ishqabad (‘Ishq-Abad)</w:t>
      </w:r>
      <w:r w:rsidRPr="008F03E5">
        <w:tab/>
        <w:t>‘I</w:t>
      </w:r>
      <w:r w:rsidRPr="008F03E5">
        <w:rPr>
          <w:u w:val="single"/>
        </w:rPr>
        <w:t>sh</w:t>
      </w:r>
      <w:r w:rsidRPr="008F03E5">
        <w:t>qábád</w:t>
      </w:r>
      <w:r w:rsidRPr="008F03E5">
        <w:tab/>
        <w:t>“City of Love” (Ashkhabad or Ashgabat) capital of Turkmenistan.  Location of the first Ma</w:t>
      </w:r>
      <w:r w:rsidRPr="008F03E5">
        <w:rPr>
          <w:u w:val="single"/>
        </w:rPr>
        <w:t>sh</w:t>
      </w:r>
      <w:r w:rsidRPr="008F03E5">
        <w:t>riqu’l-A</w:t>
      </w:r>
      <w:r w:rsidRPr="008F03E5">
        <w:rPr>
          <w:u w:val="single"/>
        </w:rPr>
        <w:t>dh</w:t>
      </w:r>
      <w:r w:rsidRPr="008F03E5">
        <w:t>kár.</w:t>
      </w:r>
    </w:p>
    <w:p w14:paraId="569887B4" w14:textId="77777777" w:rsidR="00625A5B" w:rsidRPr="008F03E5" w:rsidRDefault="00625A5B" w:rsidP="00900A82">
      <w:pPr>
        <w:pStyle w:val="Translit"/>
      </w:pPr>
      <w:r w:rsidRPr="008F03E5">
        <w:t>Ishqi</w:t>
      </w:r>
      <w:r w:rsidRPr="008F03E5">
        <w:tab/>
        <w:t>‘I</w:t>
      </w:r>
      <w:r w:rsidRPr="008F03E5">
        <w:rPr>
          <w:u w:val="single"/>
        </w:rPr>
        <w:t>sh</w:t>
      </w:r>
      <w:r w:rsidRPr="008F03E5">
        <w:t>qí</w:t>
      </w:r>
      <w:r w:rsidRPr="008F03E5">
        <w:tab/>
        <w:t>belonging to love</w:t>
      </w:r>
    </w:p>
    <w:p w14:paraId="349ADCBB" w14:textId="77777777" w:rsidR="00625A5B" w:rsidRPr="008F03E5" w:rsidRDefault="00625A5B" w:rsidP="00B54C65">
      <w:pPr>
        <w:pStyle w:val="Translit"/>
      </w:pPr>
      <w:r w:rsidRPr="008F03E5">
        <w:rPr>
          <w:rFonts w:eastAsia="PMingLiU"/>
          <w:lang w:eastAsia="zh-TW"/>
        </w:rPr>
        <w:t>Ishqiy-i-Qarn-i-Bistum</w:t>
      </w:r>
      <w:r w:rsidRPr="008F03E5">
        <w:tab/>
      </w:r>
      <w:r w:rsidRPr="008F03E5">
        <w:rPr>
          <w:rFonts w:eastAsia="PMingLiU"/>
          <w:lang w:eastAsia="zh-TW"/>
        </w:rPr>
        <w:t>‘I</w:t>
      </w:r>
      <w:r w:rsidRPr="008F03E5">
        <w:rPr>
          <w:u w:val="single"/>
        </w:rPr>
        <w:t>sh</w:t>
      </w:r>
      <w:r w:rsidRPr="008F03E5">
        <w:rPr>
          <w:rFonts w:eastAsia="PMingLiU"/>
          <w:lang w:eastAsia="zh-TW"/>
        </w:rPr>
        <w:t>qíy-i-Qarn-i-Bístum</w:t>
      </w:r>
      <w:r w:rsidRPr="008F03E5">
        <w:tab/>
        <w:t>“‘I</w:t>
      </w:r>
      <w:r w:rsidRPr="008F03E5">
        <w:rPr>
          <w:u w:val="single"/>
        </w:rPr>
        <w:t>sh</w:t>
      </w:r>
      <w:r w:rsidRPr="008F03E5">
        <w:t>qí of the twentieth century” (abjad value 1342 (</w:t>
      </w:r>
      <w:r w:rsidRPr="008F03E5">
        <w:rPr>
          <w:sz w:val="16"/>
          <w:szCs w:val="16"/>
        </w:rPr>
        <w:t>AH</w:t>
      </w:r>
      <w:r w:rsidRPr="008F03E5">
        <w:t xml:space="preserve"> 1342 or </w:t>
      </w:r>
      <w:r w:rsidRPr="008F03E5">
        <w:rPr>
          <w:sz w:val="16"/>
          <w:szCs w:val="16"/>
        </w:rPr>
        <w:t>CE</w:t>
      </w:r>
      <w:r w:rsidRPr="008F03E5">
        <w:t xml:space="preserve"> 1923.).  See </w:t>
      </w:r>
      <w:r w:rsidRPr="008F03E5">
        <w:rPr>
          <w:i/>
          <w:iCs/>
        </w:rPr>
        <w:t>Arches of the Years</w:t>
      </w:r>
      <w:r w:rsidRPr="008F03E5">
        <w:t>, p. 257.</w:t>
      </w:r>
    </w:p>
    <w:p w14:paraId="3412D1B1" w14:textId="77777777" w:rsidR="00625A5B" w:rsidRPr="008F03E5" w:rsidRDefault="00625A5B" w:rsidP="008750BE">
      <w:pPr>
        <w:pStyle w:val="Translit"/>
      </w:pPr>
      <w:r w:rsidRPr="008F03E5">
        <w:t>Ishraq, Ishraqa, Ishraqat</w:t>
      </w:r>
      <w:r w:rsidRPr="008F03E5">
        <w:tab/>
        <w:t>I</w:t>
      </w:r>
      <w:r w:rsidRPr="008F03E5">
        <w:rPr>
          <w:u w:val="single"/>
        </w:rPr>
        <w:t>sh</w:t>
      </w:r>
      <w:r w:rsidRPr="008F03E5">
        <w:t>ráq, fem. I</w:t>
      </w:r>
      <w:r w:rsidRPr="008F03E5">
        <w:rPr>
          <w:u w:val="single"/>
        </w:rPr>
        <w:t>sh</w:t>
      </w:r>
      <w:r w:rsidRPr="008F03E5">
        <w:t>ráqa[h or t], pl. I</w:t>
      </w:r>
      <w:r w:rsidRPr="008F03E5">
        <w:rPr>
          <w:u w:val="single"/>
        </w:rPr>
        <w:t>sh</w:t>
      </w:r>
      <w:r w:rsidRPr="008F03E5">
        <w:t>ráqát</w:t>
      </w:r>
      <w:r w:rsidRPr="008F03E5">
        <w:tab/>
        <w:t>radiance; radiation, eradiation, emanation; illumination; Pers. rising (the sun); sunrise, morning; splendour, lustre, beauty.  Tablet of I</w:t>
      </w:r>
      <w:r w:rsidRPr="008F03E5">
        <w:rPr>
          <w:u w:val="single"/>
        </w:rPr>
        <w:t>sh</w:t>
      </w:r>
      <w:r w:rsidRPr="008F03E5">
        <w:t xml:space="preserve">ráqát (Splendours) by Bahá’u’lláh published in </w:t>
      </w:r>
      <w:r w:rsidRPr="008F03E5">
        <w:rPr>
          <w:i/>
          <w:iCs/>
        </w:rPr>
        <w:t>Tablets of Bahá’u’lláh</w:t>
      </w:r>
      <w:r w:rsidRPr="008F03E5">
        <w:t>, pp. 99–134.  I</w:t>
      </w:r>
      <w:r w:rsidRPr="008F03E5">
        <w:rPr>
          <w:u w:val="single"/>
        </w:rPr>
        <w:t>sh</w:t>
      </w:r>
      <w:r w:rsidRPr="008F03E5">
        <w:t xml:space="preserve">ráq </w:t>
      </w:r>
      <w:r w:rsidRPr="008F03E5">
        <w:rPr>
          <w:u w:val="single"/>
        </w:rPr>
        <w:t>Kh</w:t>
      </w:r>
      <w:r w:rsidRPr="008F03E5">
        <w:t>ávarí ‘Adbu’l-Ḥamíd.</w:t>
      </w:r>
    </w:p>
    <w:p w14:paraId="51035262" w14:textId="77777777" w:rsidR="00625A5B" w:rsidRPr="008F03E5" w:rsidRDefault="00625A5B" w:rsidP="00C50981">
      <w:pPr>
        <w:pStyle w:val="Translit"/>
      </w:pPr>
      <w:r w:rsidRPr="008F03E5">
        <w:t>Ishraqi Namaz</w:t>
      </w:r>
      <w:r w:rsidRPr="008F03E5">
        <w:tab/>
        <w:t>I</w:t>
      </w:r>
      <w:r w:rsidRPr="008F03E5">
        <w:rPr>
          <w:u w:val="single"/>
        </w:rPr>
        <w:t>sh</w:t>
      </w:r>
      <w:r w:rsidRPr="008F03E5">
        <w:t>ráqí Namáz</w:t>
      </w:r>
      <w:r w:rsidRPr="008F03E5">
        <w:tab/>
        <w:t>Pers. morning prayer</w:t>
      </w:r>
    </w:p>
    <w:p w14:paraId="077C66B3" w14:textId="77777777" w:rsidR="00625A5B" w:rsidRPr="008F03E5" w:rsidRDefault="00625A5B" w:rsidP="002C6358">
      <w:pPr>
        <w:pStyle w:val="Translit"/>
      </w:pPr>
      <w:r w:rsidRPr="008F03E5">
        <w:rPr>
          <w:rFonts w:eastAsia="Times New Roman"/>
        </w:rPr>
        <w:t xml:space="preserve">Ishraqi, Ishraqiyan, </w:t>
      </w:r>
      <w:r w:rsidRPr="008F03E5">
        <w:t>Ishraqiyun</w:t>
      </w:r>
      <w:r w:rsidRPr="008F03E5">
        <w:rPr>
          <w:rFonts w:eastAsia="Times New Roman"/>
        </w:rPr>
        <w:tab/>
        <w:t>I</w:t>
      </w:r>
      <w:r w:rsidRPr="008F03E5">
        <w:rPr>
          <w:rFonts w:eastAsia="Times New Roman"/>
          <w:u w:val="single"/>
        </w:rPr>
        <w:t>sh</w:t>
      </w:r>
      <w:r w:rsidRPr="008F03E5">
        <w:rPr>
          <w:rFonts w:eastAsia="Times New Roman"/>
        </w:rPr>
        <w:t>ráqí, pl. I</w:t>
      </w:r>
      <w:r w:rsidRPr="008F03E5">
        <w:rPr>
          <w:rFonts w:eastAsia="Times New Roman"/>
          <w:u w:val="single"/>
        </w:rPr>
        <w:t>sh</w:t>
      </w:r>
      <w:r w:rsidRPr="008F03E5">
        <w:rPr>
          <w:rFonts w:eastAsia="Times New Roman"/>
        </w:rPr>
        <w:t>r</w:t>
      </w:r>
      <w:r w:rsidRPr="008F03E5">
        <w:t>á</w:t>
      </w:r>
      <w:r w:rsidRPr="008F03E5">
        <w:rPr>
          <w:rFonts w:eastAsia="Times New Roman"/>
        </w:rPr>
        <w:t>qiy</w:t>
      </w:r>
      <w:r w:rsidRPr="008F03E5">
        <w:t>á</w:t>
      </w:r>
      <w:r w:rsidRPr="008F03E5">
        <w:rPr>
          <w:rFonts w:eastAsia="Times New Roman"/>
        </w:rPr>
        <w:t>n, I</w:t>
      </w:r>
      <w:r w:rsidRPr="008F03E5">
        <w:rPr>
          <w:rFonts w:eastAsia="Times New Roman"/>
          <w:u w:val="single"/>
        </w:rPr>
        <w:t>sh</w:t>
      </w:r>
      <w:r w:rsidRPr="008F03E5">
        <w:rPr>
          <w:rFonts w:eastAsia="Times New Roman"/>
        </w:rPr>
        <w:t>r</w:t>
      </w:r>
      <w:r w:rsidRPr="008F03E5">
        <w:t>á</w:t>
      </w:r>
      <w:r w:rsidRPr="008F03E5">
        <w:rPr>
          <w:rFonts w:eastAsia="Times New Roman"/>
        </w:rPr>
        <w:t>qiyún</w:t>
      </w:r>
      <w:r w:rsidRPr="008F03E5">
        <w:rPr>
          <w:rFonts w:eastAsia="Times New Roman"/>
        </w:rPr>
        <w:tab/>
        <w:t xml:space="preserve">(Pers. with Ar. influence) of or pertaining to sunrise; eastern, oriental; having the splendour of the East.—pl. a sect of philosophers, </w:t>
      </w:r>
      <w:r w:rsidRPr="008F03E5">
        <w:t xml:space="preserve">illuminati, the Illuminists, adherents of Illuminism.  Platonists.  A term applied to a school of </w:t>
      </w:r>
      <w:r w:rsidRPr="008F03E5">
        <w:rPr>
          <w:u w:val="single"/>
        </w:rPr>
        <w:t>Sh</w:t>
      </w:r>
      <w:r w:rsidRPr="008F03E5">
        <w:t>í‘a mystical philosophers during the reign of the Safavids and, to a lesser extent, the present.</w:t>
      </w:r>
    </w:p>
    <w:p w14:paraId="4A7CA67C" w14:textId="77777777" w:rsidR="00625A5B" w:rsidRPr="008F03E5" w:rsidRDefault="00625A5B" w:rsidP="000329D8">
      <w:pPr>
        <w:pStyle w:val="Translit"/>
        <w:rPr>
          <w:rFonts w:eastAsia="PMingLiU"/>
          <w:lang w:eastAsia="zh-TW"/>
        </w:rPr>
      </w:pPr>
      <w:r w:rsidRPr="008F03E5">
        <w:rPr>
          <w:rFonts w:eastAsia="PMingLiU"/>
          <w:lang w:eastAsia="zh-TW"/>
        </w:rPr>
        <w:t>Ishraqiya, Ishraqiyyih</w:t>
      </w:r>
      <w:r w:rsidRPr="008F03E5">
        <w:tab/>
      </w:r>
      <w:r w:rsidRPr="008F03E5">
        <w:rPr>
          <w:rFonts w:eastAsia="PMingLiU"/>
          <w:lang w:eastAsia="zh-TW"/>
        </w:rPr>
        <w:t>I</w:t>
      </w:r>
      <w:r w:rsidRPr="008F03E5">
        <w:rPr>
          <w:u w:val="single"/>
        </w:rPr>
        <w:t>sh</w:t>
      </w:r>
      <w:r w:rsidRPr="008F03E5">
        <w:rPr>
          <w:rFonts w:eastAsia="PMingLiU"/>
          <w:lang w:eastAsia="zh-TW"/>
        </w:rPr>
        <w:t>ráq</w:t>
      </w:r>
      <w:r w:rsidRPr="008F03E5">
        <w:t>í</w:t>
      </w:r>
      <w:r w:rsidRPr="008F03E5">
        <w:rPr>
          <w:rFonts w:eastAsia="PMingLiU"/>
          <w:lang w:eastAsia="zh-TW"/>
        </w:rPr>
        <w:t>ya[h or t], Pers. I</w:t>
      </w:r>
      <w:r w:rsidRPr="008F03E5">
        <w:rPr>
          <w:u w:val="single"/>
        </w:rPr>
        <w:t>sh</w:t>
      </w:r>
      <w:r w:rsidRPr="008F03E5">
        <w:rPr>
          <w:rFonts w:eastAsia="PMingLiU"/>
          <w:lang w:eastAsia="zh-TW"/>
        </w:rPr>
        <w:t>ráqiyyih</w:t>
      </w:r>
      <w:r w:rsidRPr="008F03E5">
        <w:tab/>
        <w:t xml:space="preserve">a Persian mystical order founded by </w:t>
      </w:r>
      <w:r w:rsidRPr="008F03E5">
        <w:rPr>
          <w:u w:val="single"/>
        </w:rPr>
        <w:t>Sh</w:t>
      </w:r>
      <w:r w:rsidRPr="008F03E5">
        <w:t>aháb ad-Dín Yaḥyá ibn Ḥaba</w:t>
      </w:r>
      <w:r w:rsidRPr="008F03E5">
        <w:rPr>
          <w:u w:val="single"/>
        </w:rPr>
        <w:t>sh</w:t>
      </w:r>
      <w:r w:rsidRPr="008F03E5">
        <w:t xml:space="preserve"> Suhrawardí (c. 1155–1191), a Persian theologian and philosopher.  Ideas arose out of perpatetic philosophy.</w:t>
      </w:r>
    </w:p>
    <w:p w14:paraId="2B0BCB80" w14:textId="77777777" w:rsidR="00625A5B" w:rsidRPr="008F03E5" w:rsidRDefault="00625A5B" w:rsidP="00D04F06">
      <w:pPr>
        <w:pStyle w:val="Translit"/>
      </w:pPr>
      <w:r w:rsidRPr="008F03E5">
        <w:t>Ishraqu’llah</w:t>
      </w:r>
      <w:r w:rsidRPr="008F03E5">
        <w:tab/>
        <w:t>I</w:t>
      </w:r>
      <w:r w:rsidRPr="008F03E5">
        <w:rPr>
          <w:u w:val="single"/>
        </w:rPr>
        <w:t>sh</w:t>
      </w:r>
      <w:r w:rsidRPr="008F03E5">
        <w:t>raqu’lláh</w:t>
      </w:r>
      <w:r w:rsidRPr="008F03E5">
        <w:tab/>
        <w:t>“light or radiance of God”</w:t>
      </w:r>
    </w:p>
    <w:p w14:paraId="7E8AA8EA" w14:textId="77777777" w:rsidR="00625A5B" w:rsidRPr="008F03E5" w:rsidRDefault="00625A5B" w:rsidP="00BE7443">
      <w:pPr>
        <w:pStyle w:val="Translit"/>
      </w:pPr>
      <w:r w:rsidRPr="008F03E5">
        <w:t>Ishrun, Bist</w:t>
      </w:r>
      <w:r w:rsidRPr="008F03E5">
        <w:tab/>
        <w:t>‘I</w:t>
      </w:r>
      <w:r w:rsidRPr="008F03E5">
        <w:rPr>
          <w:u w:val="single"/>
        </w:rPr>
        <w:t>sh</w:t>
      </w:r>
      <w:r w:rsidRPr="008F03E5">
        <w:t>rún, Pers. Bíst</w:t>
      </w:r>
      <w:r w:rsidRPr="008F03E5">
        <w:tab/>
        <w:t>twenty</w:t>
      </w:r>
    </w:p>
    <w:p w14:paraId="287F1AC9" w14:textId="77777777" w:rsidR="00625A5B" w:rsidRPr="008F03E5" w:rsidRDefault="00625A5B" w:rsidP="00887351">
      <w:pPr>
        <w:pStyle w:val="Translit"/>
      </w:pPr>
      <w:r w:rsidRPr="008F03E5">
        <w:t>Ishti’al</w:t>
      </w:r>
      <w:r w:rsidRPr="008F03E5">
        <w:tab/>
        <w:t>I</w:t>
      </w:r>
      <w:r w:rsidRPr="008F03E5">
        <w:rPr>
          <w:u w:val="single"/>
        </w:rPr>
        <w:t>sh</w:t>
      </w:r>
      <w:r w:rsidRPr="008F03E5">
        <w:t>ti‘ál</w:t>
      </w:r>
      <w:r w:rsidRPr="008F03E5">
        <w:tab/>
        <w:t>ignition, inflammation, combustion, burning.  Name/pen name I</w:t>
      </w:r>
      <w:r w:rsidRPr="008F03E5">
        <w:rPr>
          <w:u w:val="single"/>
        </w:rPr>
        <w:t>sh</w:t>
      </w:r>
      <w:r w:rsidRPr="008F03E5">
        <w:t>ti‘ál (“aflame” or “blazing fire”) ibn-i-Kalantár given to Ali-Kuli Khan by ‘Abdu’l-Bahá.</w:t>
      </w:r>
    </w:p>
    <w:p w14:paraId="2F335B93" w14:textId="77777777" w:rsidR="00625A5B" w:rsidRPr="008F03E5" w:rsidRDefault="00625A5B" w:rsidP="009D5265">
      <w:pPr>
        <w:pStyle w:val="Translit"/>
      </w:pPr>
      <w:r w:rsidRPr="008F03E5">
        <w:t>Ishtihard (Eshtehard)</w:t>
      </w:r>
      <w:r w:rsidRPr="008F03E5">
        <w:tab/>
        <w:t>I</w:t>
      </w:r>
      <w:r w:rsidRPr="008F03E5">
        <w:rPr>
          <w:u w:val="single"/>
        </w:rPr>
        <w:t>sh</w:t>
      </w:r>
      <w:r w:rsidRPr="008F03E5">
        <w:t>tihárd</w:t>
      </w:r>
      <w:r w:rsidRPr="008F03E5">
        <w:tab/>
        <w:t xml:space="preserve">a village (35.721649, 50.368472) 69 km </w:t>
      </w:r>
      <w:r w:rsidRPr="008F03E5">
        <w:rPr>
          <w:sz w:val="16"/>
          <w:szCs w:val="16"/>
        </w:rPr>
        <w:t>SE</w:t>
      </w:r>
      <w:r w:rsidRPr="008F03E5">
        <w:t xml:space="preserve"> of Qazvín and 54 km </w:t>
      </w:r>
      <w:r w:rsidRPr="008F03E5">
        <w:rPr>
          <w:sz w:val="16"/>
          <w:szCs w:val="16"/>
        </w:rPr>
        <w:t>SW</w:t>
      </w:r>
      <w:r w:rsidRPr="008F03E5">
        <w:t xml:space="preserve"> of Karaj</w:t>
      </w:r>
    </w:p>
    <w:p w14:paraId="604CE5F9" w14:textId="77777777" w:rsidR="00625A5B" w:rsidRPr="008F03E5" w:rsidRDefault="00625A5B" w:rsidP="00A016C8">
      <w:pPr>
        <w:pStyle w:val="Translit"/>
      </w:pPr>
      <w:r w:rsidRPr="008F03E5">
        <w:t>Iskaf (Uskaf), Iskafi</w:t>
      </w:r>
      <w:r w:rsidRPr="008F03E5">
        <w:tab/>
        <w:t>Iskáf and Iskáfí, pl. Asákifa</w:t>
      </w:r>
      <w:r w:rsidRPr="008F03E5">
        <w:tab/>
        <w:t xml:space="preserve">shoemaker.  Iskáf (33.110695, 45.015302) was an ancient and medieval city on the Nahrawan Canal, about 65 km </w:t>
      </w:r>
      <w:r w:rsidRPr="008F03E5">
        <w:rPr>
          <w:sz w:val="16"/>
          <w:szCs w:val="16"/>
        </w:rPr>
        <w:t>ESE</w:t>
      </w:r>
      <w:r w:rsidRPr="008F03E5">
        <w:t xml:space="preserve"> of Baghdad.  Abú ‘Alí Muḥammad bin Aḥmad bin al-Junayd al-Kátib al-Iskáfí, known as Ibn al-Junayd al-Iskáfí, was an Imámí scholar of jurisprudence and theology in the tenth century.  See Yanbú‘.</w:t>
      </w:r>
    </w:p>
    <w:p w14:paraId="011F7DEB" w14:textId="77777777" w:rsidR="00625A5B" w:rsidRPr="008F03E5" w:rsidRDefault="00625A5B" w:rsidP="00BA6985">
      <w:pPr>
        <w:pStyle w:val="Translit"/>
      </w:pPr>
      <w:r w:rsidRPr="008F03E5">
        <w:t>Iskandar, Askandar</w:t>
      </w:r>
      <w:r w:rsidRPr="008F03E5">
        <w:tab/>
        <w:t>Iskandar, Askandar</w:t>
      </w:r>
      <w:r w:rsidRPr="008F03E5">
        <w:tab/>
        <w:t>Greek (iskandarús, garlic) Alexander</w:t>
      </w:r>
      <w:r w:rsidRPr="008F03E5">
        <w:rPr>
          <w:rFonts w:eastAsia="Times New Roman"/>
        </w:rPr>
        <w:t xml:space="preserve">, said to be the son of Dárá (Darius, the last king of the Kayanian dynasty), who married Náhíd, daughter of Fílqús (Philippus).  On account of her fetid breath, her husband sent her back to her father, who cured her by the use of </w:t>
      </w:r>
      <w:r w:rsidRPr="008F03E5">
        <w:rPr>
          <w:rFonts w:eastAsia="Times New Roman"/>
          <w:i/>
          <w:iCs/>
        </w:rPr>
        <w:t>iskandarús,</w:t>
      </w:r>
      <w:r w:rsidRPr="008F03E5">
        <w:rPr>
          <w:rFonts w:eastAsia="Times New Roman"/>
        </w:rPr>
        <w:t xml:space="preserve"> Garlic, whence her son’s name.</w:t>
      </w:r>
    </w:p>
    <w:p w14:paraId="302E4889" w14:textId="77777777" w:rsidR="00625A5B" w:rsidRPr="008F03E5" w:rsidRDefault="00625A5B" w:rsidP="00412EA8">
      <w:pPr>
        <w:pStyle w:val="Translit"/>
      </w:pPr>
      <w:r w:rsidRPr="008F03E5">
        <w:t>Iskandariya</w:t>
      </w:r>
      <w:r w:rsidRPr="008F03E5">
        <w:tab/>
        <w:t>al-Iskandaríya</w:t>
      </w:r>
      <w:r w:rsidRPr="008F03E5">
        <w:tab/>
        <w:t xml:space="preserve">Alexandria, Egypt </w:t>
      </w:r>
      <w:r w:rsidRPr="008F03E5">
        <w:rPr>
          <w:rFonts w:eastAsia="Times New Roman"/>
        </w:rPr>
        <w:t>(sixteen cities of this name are ascribed to Alexander)</w:t>
      </w:r>
    </w:p>
    <w:p w14:paraId="7AA17108" w14:textId="77777777" w:rsidR="00625A5B" w:rsidRPr="008F03E5" w:rsidRDefault="00625A5B" w:rsidP="00305372">
      <w:pPr>
        <w:pStyle w:val="Translit"/>
      </w:pPr>
      <w:r w:rsidRPr="008F03E5">
        <w:t>Iskandarun</w:t>
      </w:r>
      <w:r w:rsidRPr="008F03E5">
        <w:tab/>
        <w:t>Iskandarún</w:t>
      </w:r>
      <w:r w:rsidRPr="008F03E5">
        <w:tab/>
        <w:t>(Turkish İskenderun, Arabic Iskandarúna) originally Alexandria, later Alexandretta, on Turkish coast north of Syria</w:t>
      </w:r>
    </w:p>
    <w:p w14:paraId="1E7A2D44" w14:textId="77777777" w:rsidR="00625A5B" w:rsidRPr="008F03E5" w:rsidRDefault="00625A5B" w:rsidP="001755A1">
      <w:pPr>
        <w:pStyle w:val="Translit"/>
      </w:pPr>
      <w:r w:rsidRPr="008F03E5">
        <w:t>Iski-Shahr</w:t>
      </w:r>
      <w:r w:rsidRPr="008F03E5">
        <w:tab/>
        <w:t>Iskí-</w:t>
      </w:r>
      <w:r w:rsidRPr="008F03E5">
        <w:rPr>
          <w:u w:val="single"/>
        </w:rPr>
        <w:t>Sh</w:t>
      </w:r>
      <w:r w:rsidRPr="008F03E5">
        <w:t>ahr</w:t>
      </w:r>
      <w:r w:rsidRPr="008F03E5">
        <w:tab/>
        <w:t>Turkish eski şehir or eski+</w:t>
      </w:r>
      <w:r w:rsidRPr="008F03E5">
        <w:rPr>
          <w:u w:val="single"/>
        </w:rPr>
        <w:t>sh</w:t>
      </w:r>
      <w:r w:rsidRPr="008F03E5">
        <w:t xml:space="preserve">ahr, “old town”.  “Old” </w:t>
      </w:r>
      <w:r w:rsidRPr="008F03E5">
        <w:rPr>
          <w:u w:val="single"/>
        </w:rPr>
        <w:t>Ch</w:t>
      </w:r>
      <w:r w:rsidRPr="008F03E5">
        <w:t>ihríq?</w:t>
      </w:r>
    </w:p>
    <w:p w14:paraId="50275468" w14:textId="77777777" w:rsidR="00625A5B" w:rsidRPr="008F03E5" w:rsidRDefault="00625A5B" w:rsidP="00142FEB">
      <w:pPr>
        <w:pStyle w:val="Translit"/>
      </w:pPr>
      <w:r w:rsidRPr="008F03E5">
        <w:t>Islah, Islahat</w:t>
      </w:r>
      <w:r w:rsidRPr="008F03E5">
        <w:tab/>
        <w:t>Iṣláḥ, pl. Iṣláḥát</w:t>
      </w:r>
      <w:r w:rsidRPr="008F03E5">
        <w:tab/>
        <w:t>restoration, restitution, redressing, reparation; improvement, amelioration, betterment, mending, correction; reconstruction; reconditioning, repair; renovation, refurbishing; adjustment, settling, remedying, removal, elimination; restoration of order, establishment of peace, happiness and order; reformation, reform; reclamation, cultivation (of land); (re)</w:t>
      </w:r>
      <w:r>
        <w:t xml:space="preserve"> </w:t>
      </w:r>
      <w:r w:rsidRPr="008F03E5">
        <w:t>conciliation, settlement, compromise, peace making</w:t>
      </w:r>
      <w:r>
        <w:t>.  “</w:t>
      </w:r>
      <w:r w:rsidRPr="00C11CC0">
        <w:t xml:space="preserve">he who is the possessor of armaments </w:t>
      </w:r>
      <w:r>
        <w:t>(i</w:t>
      </w:r>
      <w:r w:rsidRPr="008F03E5">
        <w:t>ṣláḥát</w:t>
      </w:r>
      <w:r>
        <w:t xml:space="preserve">) </w:t>
      </w:r>
      <w:r w:rsidRPr="00C11CC0">
        <w:t>arose to redress the wrongs</w:t>
      </w:r>
      <w:r>
        <w:t xml:space="preserve"> [</w:t>
      </w:r>
      <w:r w:rsidRPr="008F03E5">
        <w:rPr>
          <w:rFonts w:eastAsia="PMingLiU"/>
          <w:lang w:eastAsia="zh-TW"/>
        </w:rPr>
        <w:t>asliḥa</w:t>
      </w:r>
      <w:r>
        <w:t>]” play on words in a Tablet of Bahá’u’lláh.</w:t>
      </w:r>
    </w:p>
    <w:p w14:paraId="0FDDF74C" w14:textId="77777777" w:rsidR="00625A5B" w:rsidRPr="008F03E5" w:rsidRDefault="00625A5B" w:rsidP="005D5AAC">
      <w:pPr>
        <w:pStyle w:val="Translit"/>
      </w:pPr>
      <w:r w:rsidRPr="008F03E5">
        <w:t>Islam</w:t>
      </w:r>
      <w:r w:rsidRPr="008F03E5">
        <w:tab/>
        <w:t>Islám</w:t>
      </w:r>
      <w:r w:rsidRPr="008F03E5">
        <w:tab/>
        <w:t>submission, resignation, reconciliation (to the will of God in every age); or the total surrender of oneself to God.  Titled “Perspicuous Religion” and “Well-established Path”.  Redefined by the Báb as “Verily, the essence of religion is none other than submission unto This Remembrance [the Báb].”  Root is a</w:t>
      </w:r>
      <w:r>
        <w:t>s</w:t>
      </w:r>
      <w:r w:rsidRPr="008F03E5">
        <w:t>-Silm rather than a</w:t>
      </w:r>
      <w:r>
        <w:t>s</w:t>
      </w:r>
      <w:r w:rsidRPr="008F03E5">
        <w:t>-Salima or a</w:t>
      </w:r>
      <w:r>
        <w:t>s</w:t>
      </w:r>
      <w:r w:rsidRPr="008F03E5">
        <w:t>-Salám.</w:t>
      </w:r>
    </w:p>
    <w:p w14:paraId="5164C619" w14:textId="77777777" w:rsidR="00625A5B" w:rsidRPr="008F03E5" w:rsidRDefault="00625A5B" w:rsidP="00306199">
      <w:pPr>
        <w:pStyle w:val="Translit"/>
      </w:pPr>
      <w:r w:rsidRPr="00077779">
        <w:rPr>
          <w:lang w:val="es-ES_tradnl"/>
        </w:rPr>
        <w:t>Islamabad</w:t>
      </w:r>
      <w:r w:rsidRPr="00077779">
        <w:rPr>
          <w:lang w:val="es-ES_tradnl"/>
        </w:rPr>
        <w:tab/>
        <w:t>Islámábád (Islám Ábád)</w:t>
      </w:r>
      <w:r w:rsidRPr="00077779">
        <w:rPr>
          <w:lang w:val="es-ES_tradnl"/>
        </w:rPr>
        <w:tab/>
        <w:t xml:space="preserve">Pers. </w:t>
      </w:r>
      <w:r w:rsidRPr="008F03E5">
        <w:t>&amp; Urdu “city of Islam”, capital city of Pakistan</w:t>
      </w:r>
    </w:p>
    <w:p w14:paraId="22107C5C" w14:textId="77777777" w:rsidR="00625A5B" w:rsidRPr="008F03E5" w:rsidRDefault="00625A5B" w:rsidP="004A0183">
      <w:pPr>
        <w:pStyle w:val="Translit"/>
      </w:pPr>
      <w:r w:rsidRPr="008F03E5">
        <w:t>Islami</w:t>
      </w:r>
      <w:r w:rsidRPr="008F03E5">
        <w:tab/>
        <w:t>Islámí</w:t>
      </w:r>
      <w:r w:rsidRPr="008F03E5">
        <w:tab/>
        <w:t>Islamic (no accents for the English Islamic).  Muslims object to the English words Muhammadan and Muhammadic because they imply Islam is the religion of Muḥammad.</w:t>
      </w:r>
    </w:p>
    <w:p w14:paraId="6D7F8FA4" w14:textId="77777777" w:rsidR="00625A5B" w:rsidRPr="008F03E5" w:rsidRDefault="00625A5B" w:rsidP="00CD1826">
      <w:pPr>
        <w:pStyle w:val="Translit"/>
      </w:pPr>
      <w:r w:rsidRPr="008F03E5">
        <w:t>Islamiya</w:t>
      </w:r>
      <w:r w:rsidRPr="008F03E5">
        <w:tab/>
        <w:t>Islámíya[h or t]</w:t>
      </w:r>
      <w:r w:rsidRPr="008F03E5">
        <w:tab/>
        <w:t>the idea of Islam, Islamism; status or capacity of a Muslim</w:t>
      </w:r>
    </w:p>
    <w:p w14:paraId="51B66596" w14:textId="77777777" w:rsidR="00625A5B" w:rsidRPr="008F03E5" w:rsidRDefault="00625A5B" w:rsidP="00CD1826">
      <w:pPr>
        <w:pStyle w:val="Translit"/>
      </w:pPr>
      <w:r w:rsidRPr="008F03E5">
        <w:t>Islamshahr (Eslamshahr, Islam-Shahr)</w:t>
      </w:r>
      <w:r w:rsidRPr="008F03E5">
        <w:tab/>
        <w:t>Islám</w:t>
      </w:r>
      <w:r w:rsidRPr="008F03E5">
        <w:rPr>
          <w:u w:val="single"/>
        </w:rPr>
        <w:t>sh</w:t>
      </w:r>
      <w:r w:rsidRPr="008F03E5">
        <w:t>ahr</w:t>
      </w:r>
      <w:r w:rsidRPr="008F03E5">
        <w:tab/>
        <w:t xml:space="preserve">city on </w:t>
      </w:r>
      <w:r w:rsidRPr="008F03E5">
        <w:rPr>
          <w:sz w:val="16"/>
          <w:szCs w:val="16"/>
        </w:rPr>
        <w:t>SW</w:t>
      </w:r>
      <w:r w:rsidRPr="008F03E5">
        <w:t xml:space="preserve"> side of Ṭihrán</w:t>
      </w:r>
    </w:p>
    <w:p w14:paraId="5D64119E" w14:textId="77777777" w:rsidR="00625A5B" w:rsidRDefault="00625A5B" w:rsidP="00AE73E2">
      <w:pPr>
        <w:pStyle w:val="Translit"/>
      </w:pPr>
      <w:r w:rsidRPr="008F03E5">
        <w:t>Ism al-A’zam, Ism-i-A’zam</w:t>
      </w:r>
      <w:r w:rsidRPr="008F03E5">
        <w:tab/>
        <w:t>al-Ism al-A‘ẓam, Pers. Ism-i-A‘ẓam</w:t>
      </w:r>
      <w:r w:rsidRPr="008F03E5">
        <w:tab/>
        <w:t>The Greatest Name (of God), the 100th, is Bahá’.  There is a Sufi tradition that the 99 names of God point to a mystical “Most Supreme and Superior Name” (al-Ismu’l al-A‘ẓam).  A ḥadí</w:t>
      </w:r>
      <w:r w:rsidRPr="008F03E5">
        <w:rPr>
          <w:u w:val="single"/>
        </w:rPr>
        <w:t>th</w:t>
      </w:r>
      <w:r w:rsidRPr="008F03E5">
        <w:t xml:space="preserve"> narrated by ‘Abdu’lláh ibn Masúd states some names of God have been hidden from mankind (they are not in the Qur’án).  See Asmá’u’l-Ḥusná and Ism Alláh al-A‘ẓam.</w:t>
      </w:r>
    </w:p>
    <w:p w14:paraId="6304CA57" w14:textId="77777777" w:rsidR="00625A5B" w:rsidRPr="008F03E5" w:rsidRDefault="00625A5B" w:rsidP="00FD2763">
      <w:pPr>
        <w:pStyle w:val="Translit"/>
      </w:pPr>
      <w:r>
        <w:t>Ism al-Abha, al-Ismu’l-Abha</w:t>
      </w:r>
      <w:r>
        <w:tab/>
        <w:t>al-Ism al-Abh</w:t>
      </w:r>
      <w:r w:rsidRPr="00FD2763">
        <w:t>á</w:t>
      </w:r>
      <w:r>
        <w:t>, al-Ismu’l-Abh</w:t>
      </w:r>
      <w:r w:rsidRPr="00FD2763">
        <w:t>á</w:t>
      </w:r>
      <w:r>
        <w:tab/>
        <w:t>“the most beautiful name” or “the most splendid name”</w:t>
      </w:r>
    </w:p>
    <w:p w14:paraId="49D353AE" w14:textId="77777777" w:rsidR="00625A5B" w:rsidRPr="008F03E5" w:rsidRDefault="00625A5B" w:rsidP="00FA4AA2">
      <w:pPr>
        <w:pStyle w:val="Translit"/>
      </w:pPr>
      <w:r w:rsidRPr="008F03E5">
        <w:t>Ism Allah al-A’zam</w:t>
      </w:r>
      <w:r w:rsidRPr="008F03E5">
        <w:tab/>
        <w:t>Ism Alláh al-A‘ẓam</w:t>
      </w:r>
      <w:r w:rsidRPr="008F03E5">
        <w:tab/>
        <w:t>The Greatest Name of God</w:t>
      </w:r>
    </w:p>
    <w:p w14:paraId="4B3E1F83" w14:textId="77777777" w:rsidR="00625A5B" w:rsidRPr="008F03E5" w:rsidRDefault="00625A5B" w:rsidP="00A43119">
      <w:pPr>
        <w:pStyle w:val="Translit"/>
      </w:pPr>
      <w:r w:rsidRPr="008F03E5">
        <w:t>Ism, Asma, Asamin</w:t>
      </w:r>
      <w:r w:rsidRPr="008F03E5">
        <w:tab/>
        <w:t>Ism, pl. Asmá’, Asámin</w:t>
      </w:r>
      <w:r w:rsidRPr="008F03E5">
        <w:tab/>
        <w:t>name; appellation; reputation, standing, prestige</w:t>
      </w:r>
    </w:p>
    <w:p w14:paraId="294BD49C" w14:textId="77777777" w:rsidR="00625A5B" w:rsidRPr="008F03E5" w:rsidRDefault="00625A5B" w:rsidP="00180C4E">
      <w:pPr>
        <w:pStyle w:val="Translit"/>
      </w:pPr>
      <w:r w:rsidRPr="008F03E5">
        <w:t>Isma (Asmat, Esmat), ‘Isam</w:t>
      </w:r>
      <w:r w:rsidRPr="008F03E5">
        <w:tab/>
        <w:t>‘Iṣma[h or t], pl. ‘Iṣam</w:t>
      </w:r>
      <w:r w:rsidRPr="008F03E5">
        <w:tab/>
        <w:t>hindering, hindrance, prevention, obviation; preservation, guarding, defending, safeguarding; keeping back (from sin or danger); a defence, guard; protection; chastity, purity, modesty, virtuousness; impeccant, sinlessness; a necklace, collar, belt.  A male and female given name meaning purity, chastity or modesty and in classical Arabic infallibility, immaculate, impeccability, faultlessness.  ‘immunity from sin and error’, (from ‘</w:t>
      </w:r>
      <w:r w:rsidRPr="008F03E5">
        <w:rPr>
          <w:i/>
          <w:iCs/>
        </w:rPr>
        <w:t>aṣama</w:t>
      </w:r>
      <w:r w:rsidRPr="008F03E5">
        <w:t xml:space="preserve">, </w:t>
      </w:r>
      <w:r w:rsidRPr="008F03E5">
        <w:rPr>
          <w:i/>
          <w:iCs/>
        </w:rPr>
        <w:t>ya‘ṣimu</w:t>
      </w:r>
      <w:r w:rsidRPr="008F03E5">
        <w:t xml:space="preserve"> = to protect, to save from)</w:t>
      </w:r>
    </w:p>
    <w:p w14:paraId="5D282D5A" w14:textId="77777777" w:rsidR="00625A5B" w:rsidRPr="008F03E5" w:rsidRDefault="00625A5B" w:rsidP="00900A82">
      <w:pPr>
        <w:pStyle w:val="Translit"/>
      </w:pPr>
      <w:r w:rsidRPr="008F03E5">
        <w:t>Isma adh-dhatiyya</w:t>
      </w:r>
      <w:r w:rsidRPr="008F03E5">
        <w:tab/>
        <w:t>al-‘Iṣma a</w:t>
      </w:r>
      <w:r w:rsidRPr="008F03E5">
        <w:rPr>
          <w:u w:val="single"/>
        </w:rPr>
        <w:t>dh</w:t>
      </w:r>
      <w:r w:rsidRPr="008F03E5">
        <w:t>-</w:t>
      </w:r>
      <w:r w:rsidRPr="008F03E5">
        <w:rPr>
          <w:u w:val="single"/>
        </w:rPr>
        <w:t>Dh</w:t>
      </w:r>
      <w:r w:rsidRPr="008F03E5">
        <w:t>átiyya</w:t>
      </w:r>
      <w:r w:rsidRPr="008F03E5">
        <w:tab/>
        <w:t>Essential infallibility</w:t>
      </w:r>
    </w:p>
    <w:p w14:paraId="6960B6E0" w14:textId="77777777" w:rsidR="00625A5B" w:rsidRPr="008F03E5" w:rsidRDefault="00625A5B" w:rsidP="006135E4">
      <w:pPr>
        <w:pStyle w:val="Translit"/>
      </w:pPr>
      <w:r w:rsidRPr="008F03E5">
        <w:t>Isma as-sifatiya</w:t>
      </w:r>
      <w:r w:rsidRPr="008F03E5">
        <w:tab/>
        <w:t>al-‘Iṣma aṣ-Ṣifátíya</w:t>
      </w:r>
      <w:r w:rsidRPr="008F03E5">
        <w:tab/>
        <w:t>Conferred infallibility (bestowed rather than innate).  Immunity from error and infallibility of judgement—not freedom from sin, sinlessness or immaculateness.</w:t>
      </w:r>
    </w:p>
    <w:p w14:paraId="3E549FC5" w14:textId="77777777" w:rsidR="00625A5B" w:rsidRPr="008F03E5" w:rsidRDefault="00625A5B" w:rsidP="00DC15C8">
      <w:pPr>
        <w:pStyle w:val="Translit"/>
      </w:pPr>
      <w:r w:rsidRPr="008F03E5">
        <w:t>Isma’il</w:t>
      </w:r>
      <w:r w:rsidRPr="008F03E5">
        <w:tab/>
      </w:r>
      <w:bookmarkStart w:id="85" w:name="_Hlk57117506"/>
      <w:r w:rsidRPr="008F03E5">
        <w:t>Ismá‘íl</w:t>
      </w:r>
      <w:bookmarkEnd w:id="85"/>
      <w:r w:rsidRPr="008F03E5">
        <w:tab/>
        <w:t>Ismael (Ishmael in Hebrew, “God listens or hears”), the son of Abraham and the Egyptian Hagar, who was considered to be the forerunner of the desert Arabs.</w:t>
      </w:r>
    </w:p>
    <w:p w14:paraId="4F820DB9" w14:textId="77777777" w:rsidR="00625A5B" w:rsidRPr="008F03E5" w:rsidRDefault="00625A5B" w:rsidP="009F5BF3">
      <w:pPr>
        <w:pStyle w:val="Translit"/>
      </w:pPr>
      <w:r w:rsidRPr="008F03E5">
        <w:t>Isma’ili, Isma’iliyyun</w:t>
      </w:r>
      <w:r w:rsidRPr="008F03E5">
        <w:tab/>
        <w:t>al-Ismá‘ílí, pl. al-Ismá‘íliyyún</w:t>
      </w:r>
      <w:r w:rsidRPr="008F03E5">
        <w:tab/>
        <w:t>disciple, follower, Ismaelite; descendant of Ismá‘íl</w:t>
      </w:r>
    </w:p>
    <w:p w14:paraId="4B556526" w14:textId="77777777" w:rsidR="00625A5B" w:rsidRPr="00D45A23" w:rsidRDefault="00625A5B" w:rsidP="00900A82">
      <w:pPr>
        <w:pStyle w:val="Translit"/>
        <w:rPr>
          <w:lang w:val="pl-PL"/>
        </w:rPr>
      </w:pPr>
      <w:r w:rsidRPr="00D45A23">
        <w:rPr>
          <w:lang w:val="pl-PL"/>
        </w:rPr>
        <w:t>Isma’il-i-Kashani</w:t>
      </w:r>
      <w:r w:rsidRPr="00D45A23">
        <w:rPr>
          <w:lang w:val="pl-PL"/>
        </w:rPr>
        <w:tab/>
        <w:t>Ismá‘íl-i-Ka</w:t>
      </w:r>
      <w:r w:rsidRPr="00D45A23">
        <w:rPr>
          <w:u w:val="single"/>
          <w:lang w:val="pl-PL"/>
        </w:rPr>
        <w:t>sh</w:t>
      </w:r>
      <w:r w:rsidRPr="00D45A23">
        <w:rPr>
          <w:lang w:val="pl-PL"/>
        </w:rPr>
        <w:t>ání</w:t>
      </w:r>
      <w:r w:rsidRPr="00D45A23">
        <w:rPr>
          <w:lang w:val="pl-PL"/>
        </w:rPr>
        <w:tab/>
      </w:r>
    </w:p>
    <w:p w14:paraId="26162EB5" w14:textId="77777777" w:rsidR="00625A5B" w:rsidRPr="00D45A23" w:rsidRDefault="00625A5B" w:rsidP="00900A82">
      <w:pPr>
        <w:pStyle w:val="Translit"/>
        <w:rPr>
          <w:lang w:val="pl-PL"/>
        </w:rPr>
      </w:pPr>
      <w:r w:rsidRPr="00D45A23">
        <w:rPr>
          <w:lang w:val="pl-PL"/>
        </w:rPr>
        <w:t>Isma’il-i-Kashi</w:t>
      </w:r>
      <w:r w:rsidRPr="00D45A23">
        <w:rPr>
          <w:lang w:val="pl-PL"/>
        </w:rPr>
        <w:tab/>
        <w:t>Ismá‘íl-i-Ká</w:t>
      </w:r>
      <w:r w:rsidRPr="00D45A23">
        <w:rPr>
          <w:u w:val="single"/>
          <w:lang w:val="pl-PL"/>
        </w:rPr>
        <w:t>sh</w:t>
      </w:r>
      <w:r w:rsidRPr="00D45A23">
        <w:rPr>
          <w:lang w:val="pl-PL"/>
        </w:rPr>
        <w:t>í</w:t>
      </w:r>
      <w:r w:rsidRPr="00D45A23">
        <w:rPr>
          <w:lang w:val="pl-PL"/>
        </w:rPr>
        <w:tab/>
      </w:r>
    </w:p>
    <w:p w14:paraId="3C0AAFAB" w14:textId="77777777" w:rsidR="00625A5B" w:rsidRPr="008F03E5" w:rsidRDefault="00625A5B" w:rsidP="0029430D">
      <w:pPr>
        <w:pStyle w:val="Translit"/>
      </w:pPr>
      <w:r w:rsidRPr="00D45A23">
        <w:rPr>
          <w:lang w:val="pl-PL"/>
        </w:rPr>
        <w:t>Isma’iliya, Isma’iliyya, Isma’iliyyun</w:t>
      </w:r>
      <w:r w:rsidRPr="00D45A23">
        <w:rPr>
          <w:lang w:val="pl-PL"/>
        </w:rPr>
        <w:tab/>
        <w:t xml:space="preserve">Ismá‘ílíya[h or t], pl. </w:t>
      </w:r>
      <w:r w:rsidRPr="008F03E5">
        <w:t>Ismá‘íliyyún</w:t>
      </w:r>
      <w:r w:rsidRPr="008F03E5">
        <w:tab/>
        <w:t xml:space="preserve">Pers. Ismá‘íliyya[h or t] (“Ismá‘íliyyih”) Isma’ilism—branch of </w:t>
      </w:r>
      <w:r w:rsidRPr="008F03E5">
        <w:rPr>
          <w:u w:val="single"/>
        </w:rPr>
        <w:t>Sh</w:t>
      </w:r>
      <w:r w:rsidRPr="008F03E5">
        <w:t xml:space="preserve">í‘a Islam that followed the Imam succession through the eldest son (he died before his father) of Ja‘far aṣ-Ṣádiq.  A </w:t>
      </w:r>
      <w:r w:rsidRPr="008F03E5">
        <w:rPr>
          <w:u w:val="single"/>
        </w:rPr>
        <w:t>Sh</w:t>
      </w:r>
      <w:r w:rsidRPr="008F03E5">
        <w:t xml:space="preserve">í‘a sect of great intellectual significance whose adherents believe that Ismá‘íl, eldest son of the sixth Imam, was the rightful seventh Imam (and last, hence called Seveners), and who diverge from the more numerous Twelver </w:t>
      </w:r>
      <w:r w:rsidRPr="008F03E5">
        <w:rPr>
          <w:u w:val="single"/>
        </w:rPr>
        <w:t>Sh</w:t>
      </w:r>
      <w:r w:rsidRPr="008F03E5">
        <w:t>í‘a.  Their imamate continues to the present day, running in the line of the Áqá Kháns.  al-Ismáʻílíyah (30.596618, 32.271465) is a city in north-eastern Egypt.</w:t>
      </w:r>
    </w:p>
    <w:p w14:paraId="01020BC4" w14:textId="77777777" w:rsidR="00625A5B" w:rsidRPr="008F03E5" w:rsidRDefault="00625A5B" w:rsidP="00E01FE8">
      <w:pPr>
        <w:pStyle w:val="Translit"/>
      </w:pPr>
      <w:r w:rsidRPr="008F03E5">
        <w:t>Isma’il-i-Zavari’i</w:t>
      </w:r>
      <w:r w:rsidRPr="008F03E5">
        <w:tab/>
        <w:t>Ismá‘íl-i-Zavari’í</w:t>
      </w:r>
      <w:r w:rsidRPr="008F03E5">
        <w:tab/>
      </w:r>
    </w:p>
    <w:p w14:paraId="468A0D1C" w14:textId="77777777" w:rsidR="00625A5B" w:rsidRPr="008F03E5" w:rsidRDefault="00625A5B" w:rsidP="000212CC">
      <w:pPr>
        <w:pStyle w:val="Translit"/>
      </w:pPr>
      <w:r w:rsidRPr="008F03E5">
        <w:t>Ismat Khanum</w:t>
      </w:r>
      <w:r w:rsidRPr="008F03E5">
        <w:tab/>
        <w:t xml:space="preserve">‘Iṣmat </w:t>
      </w:r>
      <w:r w:rsidRPr="008F03E5">
        <w:rPr>
          <w:u w:val="single"/>
        </w:rPr>
        <w:t>Kh</w:t>
      </w:r>
      <w:r w:rsidRPr="008F03E5">
        <w:t>ánum</w:t>
      </w:r>
      <w:r w:rsidRPr="008F03E5">
        <w:tab/>
        <w:t xml:space="preserve">‘Iṣmat </w:t>
      </w:r>
      <w:r w:rsidRPr="008F03E5">
        <w:rPr>
          <w:u w:val="single"/>
        </w:rPr>
        <w:t>Kh</w:t>
      </w:r>
      <w:r w:rsidRPr="008F03E5">
        <w:t>ánum Ṭihrání, Bahá’í, journalist, feminist, known as Ṭá’irih (“Bird”)</w:t>
      </w:r>
    </w:p>
    <w:p w14:paraId="3925B9C6" w14:textId="77777777" w:rsidR="00625A5B" w:rsidRPr="008F03E5" w:rsidRDefault="00625A5B" w:rsidP="007613C9">
      <w:pPr>
        <w:pStyle w:val="Translit"/>
      </w:pPr>
      <w:r w:rsidRPr="008F03E5">
        <w:t>Ismatu’l-Kubra, Ismat-i-Kubra</w:t>
      </w:r>
      <w:r w:rsidRPr="008F03E5">
        <w:tab/>
        <w:t>al-‘Iṣmatu’l-Kubrá, Pers. ‘Iṣmat-i-Kubrá</w:t>
      </w:r>
      <w:r w:rsidRPr="008F03E5">
        <w:tab/>
        <w:t>“the Great or Most Great Infallibility” of the Manifestation of the Names and attributes of God, doctrine enunciated by Bahá’u’lláh</w:t>
      </w:r>
    </w:p>
    <w:p w14:paraId="7754B49F" w14:textId="77777777" w:rsidR="00625A5B" w:rsidRPr="008F03E5" w:rsidRDefault="00625A5B" w:rsidP="00900A82">
      <w:pPr>
        <w:pStyle w:val="Translit"/>
      </w:pPr>
      <w:r w:rsidRPr="008F03E5">
        <w:t>Ismu’l-Azal</w:t>
      </w:r>
      <w:r w:rsidRPr="008F03E5">
        <w:tab/>
        <w:t>Ismu’l-Azal</w:t>
      </w:r>
      <w:r w:rsidRPr="008F03E5">
        <w:tab/>
        <w:t>Name of Eternity (Mírzá Yaḥyá)</w:t>
      </w:r>
    </w:p>
    <w:p w14:paraId="07A233D9" w14:textId="77777777" w:rsidR="00625A5B" w:rsidRPr="008F03E5" w:rsidRDefault="00625A5B" w:rsidP="00CC727D">
      <w:pPr>
        <w:pStyle w:val="Translit"/>
      </w:pPr>
      <w:r w:rsidRPr="008F03E5">
        <w:t>Ismu’llah</w:t>
      </w:r>
      <w:r w:rsidRPr="008F03E5">
        <w:tab/>
        <w:t>Ismu’lláh</w:t>
      </w:r>
      <w:r w:rsidRPr="008F03E5">
        <w:tab/>
        <w:t>“Name of God”</w:t>
      </w:r>
    </w:p>
    <w:p w14:paraId="74ABB783" w14:textId="77777777" w:rsidR="00625A5B" w:rsidRPr="008F03E5" w:rsidRDefault="00625A5B" w:rsidP="00432E4F">
      <w:pPr>
        <w:pStyle w:val="Translit"/>
      </w:pPr>
      <w:r w:rsidRPr="008F03E5">
        <w:t>Ismu’llah</w:t>
      </w:r>
      <w:r>
        <w:t>i</w:t>
      </w:r>
      <w:r w:rsidRPr="008F03E5">
        <w:t>’l-A’zam</w:t>
      </w:r>
      <w:r w:rsidRPr="008F03E5">
        <w:tab/>
        <w:t>Ismu’lláh</w:t>
      </w:r>
      <w:r>
        <w:t>i</w:t>
      </w:r>
      <w:r w:rsidRPr="008F03E5">
        <w:t>’l-A‘ẓam</w:t>
      </w:r>
      <w:r w:rsidRPr="008F03E5">
        <w:tab/>
        <w:t>Name of God, Greatest</w:t>
      </w:r>
    </w:p>
    <w:p w14:paraId="7AAC18D1" w14:textId="77777777" w:rsidR="00625A5B" w:rsidRPr="008F03E5" w:rsidRDefault="00625A5B" w:rsidP="00432E4F">
      <w:pPr>
        <w:pStyle w:val="Translit"/>
      </w:pPr>
      <w:r w:rsidRPr="008F03E5">
        <w:t>Ismu’llah</w:t>
      </w:r>
      <w:r>
        <w:t>i</w:t>
      </w:r>
      <w:r w:rsidRPr="008F03E5">
        <w:t>’l-Akhar</w:t>
      </w:r>
      <w:r w:rsidRPr="008F03E5">
        <w:tab/>
        <w:t>Ismu’lláh</w:t>
      </w:r>
      <w:r>
        <w:t>i</w:t>
      </w:r>
      <w:r w:rsidRPr="008F03E5">
        <w:t>’l-Á</w:t>
      </w:r>
      <w:r w:rsidRPr="008F03E5">
        <w:rPr>
          <w:u w:val="single"/>
        </w:rPr>
        <w:t>kh</w:t>
      </w:r>
      <w:r w:rsidRPr="008F03E5">
        <w:t>ar</w:t>
      </w:r>
      <w:r w:rsidRPr="008F03E5">
        <w:tab/>
        <w:t>“The Last Name of God”.  Name the Báb bestowed on Quddús.</w:t>
      </w:r>
    </w:p>
    <w:p w14:paraId="37411046" w14:textId="77777777" w:rsidR="00625A5B" w:rsidRPr="008F03E5" w:rsidRDefault="00625A5B" w:rsidP="00432E4F">
      <w:pPr>
        <w:pStyle w:val="Translit"/>
      </w:pPr>
      <w:r w:rsidRPr="008F03E5">
        <w:t>Ismu’llah</w:t>
      </w:r>
      <w:r>
        <w:t>i</w:t>
      </w:r>
      <w:r w:rsidRPr="008F03E5">
        <w:t>’l-Akhir</w:t>
      </w:r>
      <w:r w:rsidRPr="008F03E5">
        <w:tab/>
        <w:t>Ismu’lláh</w:t>
      </w:r>
      <w:r>
        <w:t>i</w:t>
      </w:r>
      <w:r w:rsidRPr="008F03E5">
        <w:t>’l-Á</w:t>
      </w:r>
      <w:r w:rsidRPr="008F03E5">
        <w:rPr>
          <w:u w:val="single"/>
        </w:rPr>
        <w:t>kh</w:t>
      </w:r>
      <w:r w:rsidRPr="008F03E5">
        <w:t>ir</w:t>
      </w:r>
      <w:r w:rsidRPr="008F03E5">
        <w:tab/>
        <w:t>The Last name of God.  Title given to Quddús by the Báb</w:t>
      </w:r>
      <w:r>
        <w:t>.</w:t>
      </w:r>
    </w:p>
    <w:p w14:paraId="561A1B21" w14:textId="77777777" w:rsidR="00625A5B" w:rsidRPr="008F03E5" w:rsidRDefault="00625A5B" w:rsidP="00432E4F">
      <w:pPr>
        <w:pStyle w:val="Translit"/>
      </w:pPr>
      <w:r w:rsidRPr="008F03E5">
        <w:t>Ismu’llah</w:t>
      </w:r>
      <w:r>
        <w:t>i</w:t>
      </w:r>
      <w:r w:rsidRPr="008F03E5">
        <w:t>’l-Asdaq</w:t>
      </w:r>
      <w:r w:rsidRPr="008F03E5">
        <w:tab/>
        <w:t>Ismu’lláh</w:t>
      </w:r>
      <w:r>
        <w:t>i</w:t>
      </w:r>
      <w:r w:rsidRPr="008F03E5">
        <w:t>’l-Aṣdaq</w:t>
      </w:r>
      <w:r w:rsidRPr="008F03E5">
        <w:tab/>
        <w:t>“The Name of God, the Most Truthful”, name given to Mullá Ṣádiq-i-</w:t>
      </w:r>
      <w:r w:rsidRPr="008F03E5">
        <w:rPr>
          <w:u w:val="single"/>
        </w:rPr>
        <w:t>Kh</w:t>
      </w:r>
      <w:r w:rsidRPr="008F03E5">
        <w:t>urásání (formerly known as Muqaddas).</w:t>
      </w:r>
    </w:p>
    <w:p w14:paraId="428FA8B0" w14:textId="77777777" w:rsidR="00625A5B" w:rsidRPr="008F03E5" w:rsidRDefault="00625A5B" w:rsidP="00432E4F">
      <w:pPr>
        <w:pStyle w:val="Translit"/>
      </w:pPr>
      <w:r w:rsidRPr="008F03E5">
        <w:t>Ismu’llah</w:t>
      </w:r>
      <w:r>
        <w:t>i</w:t>
      </w:r>
      <w:r w:rsidRPr="008F03E5">
        <w:t>’l-Fatiq</w:t>
      </w:r>
      <w:r w:rsidRPr="008F03E5">
        <w:tab/>
        <w:t>Ismu’lláh</w:t>
      </w:r>
      <w:r>
        <w:t>i</w:t>
      </w:r>
      <w:r w:rsidRPr="008F03E5">
        <w:t>’l-Fatíq</w:t>
      </w:r>
      <w:r w:rsidRPr="008F03E5">
        <w:tab/>
        <w:t>“In the Name of God, the Eloquent”</w:t>
      </w:r>
    </w:p>
    <w:p w14:paraId="1C4750C4" w14:textId="77777777" w:rsidR="00625A5B" w:rsidRPr="008F03E5" w:rsidRDefault="00625A5B" w:rsidP="00432E4F">
      <w:pPr>
        <w:pStyle w:val="Translit"/>
      </w:pPr>
      <w:r w:rsidRPr="008F03E5">
        <w:t>Ismu’llah</w:t>
      </w:r>
      <w:r>
        <w:t>i</w:t>
      </w:r>
      <w:r w:rsidRPr="008F03E5">
        <w:t>’l-Jamal</w:t>
      </w:r>
      <w:r w:rsidRPr="008F03E5">
        <w:tab/>
        <w:t>Ismu’lláh</w:t>
      </w:r>
      <w:r>
        <w:t>i</w:t>
      </w:r>
      <w:r w:rsidRPr="008F03E5">
        <w:t>’l-Jamál</w:t>
      </w:r>
      <w:r w:rsidRPr="008F03E5">
        <w:tab/>
        <w:t>“The Name of God, Jamál”.  Name given to Siyyid-i-Mihdíy-i-Dahají by Bahá’u’lláh.</w:t>
      </w:r>
    </w:p>
    <w:p w14:paraId="76F22719" w14:textId="77777777" w:rsidR="00625A5B" w:rsidRPr="008F03E5" w:rsidRDefault="00625A5B" w:rsidP="00432E4F">
      <w:pPr>
        <w:pStyle w:val="Translit"/>
      </w:pPr>
      <w:r w:rsidRPr="008F03E5">
        <w:t>Ismu’llah</w:t>
      </w:r>
      <w:r>
        <w:t>i</w:t>
      </w:r>
      <w:r w:rsidRPr="008F03E5">
        <w:t>’l-Javad</w:t>
      </w:r>
      <w:r w:rsidRPr="008F03E5">
        <w:tab/>
        <w:t>Ismu’lláh</w:t>
      </w:r>
      <w:r>
        <w:t>i</w:t>
      </w:r>
      <w:r w:rsidRPr="008F03E5">
        <w:t>’l-Javád</w:t>
      </w:r>
      <w:r w:rsidRPr="008F03E5">
        <w:tab/>
        <w:t>“The Name of God, the All-Bountiful”.  Title given to Muḥammad Javád-i-Qazvíní by Bahá’u’lláh.</w:t>
      </w:r>
    </w:p>
    <w:p w14:paraId="42D2D741" w14:textId="77777777" w:rsidR="00625A5B" w:rsidRPr="008F03E5" w:rsidRDefault="00625A5B" w:rsidP="00432E4F">
      <w:pPr>
        <w:pStyle w:val="Translit"/>
      </w:pPr>
      <w:r w:rsidRPr="008F03E5">
        <w:t>Ismu’llah</w:t>
      </w:r>
      <w:r>
        <w:t>i</w:t>
      </w:r>
      <w:r w:rsidRPr="008F03E5">
        <w:t>’l-Jud</w:t>
      </w:r>
      <w:r w:rsidRPr="008F03E5">
        <w:tab/>
        <w:t>Ismu’lláh</w:t>
      </w:r>
      <w:r>
        <w:t>i</w:t>
      </w:r>
      <w:r w:rsidRPr="008F03E5">
        <w:t>’l-Júd</w:t>
      </w:r>
      <w:r w:rsidRPr="008F03E5">
        <w:tab/>
        <w:t>“The Name of God, the Bounteous” (name given to Muḥammad Javád-i-Qazvíní by Bahá’u’lláh)</w:t>
      </w:r>
    </w:p>
    <w:p w14:paraId="2D98A51E" w14:textId="77777777" w:rsidR="00625A5B" w:rsidRPr="008F03E5" w:rsidRDefault="00625A5B" w:rsidP="00432E4F">
      <w:pPr>
        <w:pStyle w:val="Translit"/>
      </w:pPr>
      <w:r w:rsidRPr="008F03E5">
        <w:t>Ismu’llah</w:t>
      </w:r>
      <w:r>
        <w:t>i</w:t>
      </w:r>
      <w:r w:rsidRPr="008F03E5">
        <w:t>’l-Mihdi</w:t>
      </w:r>
      <w:r w:rsidRPr="008F03E5">
        <w:tab/>
        <w:t>Ismu’lláh</w:t>
      </w:r>
      <w:r>
        <w:t>i</w:t>
      </w:r>
      <w:r w:rsidRPr="008F03E5">
        <w:t>’l-Mihdí</w:t>
      </w:r>
      <w:r w:rsidRPr="008F03E5">
        <w:tab/>
        <w:t>“The Name of God, Mihdí”.  Name given to Siyyid Mihdíy-i-Dahají.</w:t>
      </w:r>
    </w:p>
    <w:p w14:paraId="540334D5" w14:textId="77777777" w:rsidR="00625A5B" w:rsidRPr="008F03E5" w:rsidRDefault="00625A5B" w:rsidP="00432E4F">
      <w:pPr>
        <w:pStyle w:val="Translit"/>
      </w:pPr>
      <w:r w:rsidRPr="008F03E5">
        <w:t>Ismu’llah</w:t>
      </w:r>
      <w:r>
        <w:t>i</w:t>
      </w:r>
      <w:r w:rsidRPr="008F03E5">
        <w:t>’l-Munib</w:t>
      </w:r>
      <w:r w:rsidRPr="008F03E5">
        <w:tab/>
        <w:t>Ismu’lláh</w:t>
      </w:r>
      <w:r>
        <w:t>i</w:t>
      </w:r>
      <w:r w:rsidRPr="008F03E5">
        <w:t>’l-Muníb</w:t>
      </w:r>
      <w:r w:rsidRPr="008F03E5">
        <w:tab/>
        <w:t>“The Name of God, the Patron”</w:t>
      </w:r>
    </w:p>
    <w:p w14:paraId="1A0EAD6B" w14:textId="77777777" w:rsidR="00625A5B" w:rsidRPr="008F03E5" w:rsidRDefault="00625A5B" w:rsidP="00601E1A">
      <w:pPr>
        <w:pStyle w:val="Translit"/>
      </w:pPr>
      <w:r w:rsidRPr="008F03E5">
        <w:t>Isnad, Asanid</w:t>
      </w:r>
      <w:r w:rsidRPr="008F03E5">
        <w:tab/>
        <w:t>Isnád, pl. Asáníd</w:t>
      </w:r>
      <w:r w:rsidRPr="008F03E5">
        <w:tab/>
        <w:t>ascription (of an Islamic tradition), the (uninterrupted) chain of authorities on which a tradition is based</w:t>
      </w:r>
    </w:p>
    <w:p w14:paraId="401F93C6" w14:textId="77777777" w:rsidR="00625A5B" w:rsidRPr="008F03E5" w:rsidRDefault="00625A5B" w:rsidP="00CC7C73">
      <w:pPr>
        <w:pStyle w:val="Translit"/>
      </w:pPr>
      <w:r w:rsidRPr="008F03E5">
        <w:t>Ispahan</w:t>
      </w:r>
      <w:r w:rsidRPr="008F03E5">
        <w:tab/>
        <w:t>Ispáhán</w:t>
      </w:r>
      <w:r w:rsidRPr="008F03E5">
        <w:tab/>
        <w:t>Middle Persian.  Arabicized modern form is Iṣfahán</w:t>
      </w:r>
    </w:p>
    <w:p w14:paraId="1674EBB9" w14:textId="77777777" w:rsidR="00625A5B" w:rsidRPr="008F03E5" w:rsidRDefault="00625A5B" w:rsidP="00E52B28">
      <w:pPr>
        <w:pStyle w:val="Translit"/>
      </w:pPr>
      <w:r w:rsidRPr="008F03E5">
        <w:t>Isr, Asar</w:t>
      </w:r>
      <w:r w:rsidRPr="008F03E5">
        <w:tab/>
        <w:t>Iṣr, pl. Áṣár</w:t>
      </w:r>
      <w:r w:rsidRPr="008F03E5">
        <w:tab/>
        <w:t>covenant, compact, contract; load, encumbrance, burden; sin;—pl. bonds, ties</w:t>
      </w:r>
    </w:p>
    <w:p w14:paraId="1E83D50D" w14:textId="77777777" w:rsidR="00625A5B" w:rsidRPr="008F03E5" w:rsidRDefault="00625A5B" w:rsidP="00413BA2">
      <w:pPr>
        <w:pStyle w:val="Translit"/>
      </w:pPr>
      <w:r w:rsidRPr="008F03E5">
        <w:t>Isra’</w:t>
      </w:r>
      <w:r w:rsidRPr="008F03E5">
        <w:tab/>
        <w:t>Isrá‘</w:t>
      </w:r>
      <w:r w:rsidRPr="008F03E5">
        <w:tab/>
        <w:t>acceleration, speed-up; hurry</w:t>
      </w:r>
    </w:p>
    <w:p w14:paraId="42911A15" w14:textId="77777777" w:rsidR="00625A5B" w:rsidRPr="008F03E5" w:rsidRDefault="00625A5B" w:rsidP="00562E85">
      <w:pPr>
        <w:pStyle w:val="Translit"/>
      </w:pPr>
      <w:r w:rsidRPr="008F03E5">
        <w:t>Isra’</w:t>
      </w:r>
      <w:r w:rsidRPr="008F03E5">
        <w:tab/>
        <w:t>Isrá’</w:t>
      </w:r>
      <w:r w:rsidRPr="008F03E5">
        <w:tab/>
        <w:t>nocturnal journey; al-Isrá’ (“the night journey”) of Muḥammad to al-Aqṣá [understood to be Jerusalem]</w:t>
      </w:r>
    </w:p>
    <w:p w14:paraId="53A2609C" w14:textId="77777777" w:rsidR="00625A5B" w:rsidRDefault="00625A5B" w:rsidP="0042044E">
      <w:pPr>
        <w:pStyle w:val="Translit"/>
      </w:pPr>
      <w:r w:rsidRPr="008F03E5">
        <w:t>Isra’il</w:t>
      </w:r>
      <w:r w:rsidRPr="008F03E5">
        <w:tab/>
        <w:t>Isrá’íl</w:t>
      </w:r>
      <w:r w:rsidRPr="008F03E5">
        <w:tab/>
        <w:t>Israel.  Banú Isrá’íl—the Israelites; Da</w:t>
      </w:r>
      <w:r>
        <w:t>w</w:t>
      </w:r>
      <w:r w:rsidRPr="008F03E5">
        <w:t>lat Isrá’íl</w:t>
      </w:r>
      <w:r w:rsidRPr="0042044E">
        <w:t>í</w:t>
      </w:r>
      <w:r>
        <w:t>ya[h or t]</w:t>
      </w:r>
      <w:r w:rsidRPr="008F03E5">
        <w:t xml:space="preserve"> the State of Israel.</w:t>
      </w:r>
    </w:p>
    <w:p w14:paraId="1761175E" w14:textId="77777777" w:rsidR="00625A5B" w:rsidRPr="00844757" w:rsidRDefault="00625A5B" w:rsidP="00844757">
      <w:pPr>
        <w:pStyle w:val="Translit"/>
      </w:pPr>
      <w:r w:rsidRPr="0042044E">
        <w:t>Isra’ili, Isra</w:t>
      </w:r>
      <w:r>
        <w:t>’</w:t>
      </w:r>
      <w:r w:rsidRPr="0042044E">
        <w:t>ili</w:t>
      </w:r>
      <w:r>
        <w:t>ya</w:t>
      </w:r>
      <w:r>
        <w:tab/>
        <w:t>I</w:t>
      </w:r>
      <w:r w:rsidRPr="0042044E">
        <w:t>sr</w:t>
      </w:r>
      <w:r>
        <w:t>á</w:t>
      </w:r>
      <w:r w:rsidRPr="0042044E">
        <w:t>’</w:t>
      </w:r>
      <w:r>
        <w:t>í</w:t>
      </w:r>
      <w:r w:rsidRPr="0042044E">
        <w:t>l</w:t>
      </w:r>
      <w:r>
        <w:t>í, fem. I</w:t>
      </w:r>
      <w:r w:rsidRPr="0042044E">
        <w:t>sr</w:t>
      </w:r>
      <w:r>
        <w:t>á</w:t>
      </w:r>
      <w:r w:rsidRPr="0042044E">
        <w:t>’</w:t>
      </w:r>
      <w:r>
        <w:t>í</w:t>
      </w:r>
      <w:r w:rsidRPr="0042044E">
        <w:t>l</w:t>
      </w:r>
      <w:r>
        <w:t>íya[h or t]</w:t>
      </w:r>
      <w:r>
        <w:tab/>
      </w:r>
      <w:r w:rsidRPr="0042044E">
        <w:t>Israelitish</w:t>
      </w:r>
      <w:r>
        <w:t xml:space="preserve"> (Jewishness)</w:t>
      </w:r>
      <w:r w:rsidRPr="0042044E">
        <w:t>; Israelite; Israeli (adj</w:t>
      </w:r>
      <w:r>
        <w:t>ective,</w:t>
      </w:r>
      <w:r w:rsidRPr="00844757">
        <w:t xml:space="preserve"> of or relating to the Israelites; Hebrew</w:t>
      </w:r>
      <w:r>
        <w:t>) and noun.  Uncommon usage since the 1910s:</w:t>
      </w:r>
      <w:r w:rsidRPr="00844757">
        <w:t xml:space="preserve"> </w:t>
      </w:r>
      <w:r>
        <w:t xml:space="preserve"> </w:t>
      </w:r>
      <w:r w:rsidRPr="00844757">
        <w:t>Israelite, Israelitic.</w:t>
      </w:r>
    </w:p>
    <w:p w14:paraId="02CA2AB3" w14:textId="77777777" w:rsidR="00625A5B" w:rsidRPr="008F03E5" w:rsidRDefault="00625A5B" w:rsidP="005E28BD">
      <w:pPr>
        <w:pStyle w:val="Translit"/>
      </w:pPr>
      <w:r w:rsidRPr="00844757">
        <w:t>Israfil</w:t>
      </w:r>
      <w:r w:rsidRPr="00844757">
        <w:tab/>
        <w:t>Isráfíl</w:t>
      </w:r>
      <w:r w:rsidRPr="00844757">
        <w:tab/>
        <w:t xml:space="preserve">“the burning one” (Israfel) seraph.  </w:t>
      </w:r>
      <w:r w:rsidRPr="008F03E5">
        <w:t>The angel whose function is to sound the trumpet (ram’s horn) on the Day of Judgement.  See ‘Izrá’íl.</w:t>
      </w:r>
    </w:p>
    <w:p w14:paraId="20D4B553" w14:textId="77777777" w:rsidR="00625A5B" w:rsidRPr="008F03E5" w:rsidRDefault="00625A5B" w:rsidP="00224594">
      <w:pPr>
        <w:pStyle w:val="Translit"/>
      </w:pPr>
      <w:r w:rsidRPr="008F03E5">
        <w:t>Istahbanat (Estahbanat), Istahban</w:t>
      </w:r>
      <w:r w:rsidRPr="008F03E5">
        <w:tab/>
        <w:t>Iṣṭahbánát, Pers. Istahbán</w:t>
      </w:r>
      <w:r w:rsidRPr="008F03E5">
        <w:tab/>
        <w:t xml:space="preserve">Istahbán (pre-1970 name was Iṣṭahbánát, “Iṣtạh-bánát”), is a city (29.127187, 54.038803) 29 km </w:t>
      </w:r>
      <w:r w:rsidRPr="008F03E5">
        <w:rPr>
          <w:sz w:val="16"/>
          <w:szCs w:val="16"/>
        </w:rPr>
        <w:t>WSW</w:t>
      </w:r>
      <w:r w:rsidRPr="008F03E5">
        <w:t xml:space="preserve"> of Nayríz and 150 km </w:t>
      </w:r>
      <w:r w:rsidRPr="008F03E5">
        <w:rPr>
          <w:sz w:val="16"/>
          <w:szCs w:val="16"/>
        </w:rPr>
        <w:t>ESE</w:t>
      </w:r>
      <w:r w:rsidRPr="008F03E5">
        <w:t xml:space="preserve"> </w:t>
      </w:r>
      <w:r w:rsidRPr="008F03E5">
        <w:rPr>
          <w:u w:val="single"/>
        </w:rPr>
        <w:t>Sh</w:t>
      </w:r>
      <w:r w:rsidRPr="008F03E5">
        <w:t>íráz) and capital of Estahban County, Fars Province, Iran.</w:t>
      </w:r>
    </w:p>
    <w:p w14:paraId="1B3CEFA6" w14:textId="77777777" w:rsidR="00625A5B" w:rsidRPr="008F03E5" w:rsidRDefault="00625A5B" w:rsidP="00645285">
      <w:pPr>
        <w:pStyle w:val="Translit"/>
      </w:pPr>
      <w:r w:rsidRPr="008F03E5">
        <w:t>Istanbul, Islambul</w:t>
      </w:r>
      <w:r w:rsidRPr="008F03E5">
        <w:tab/>
        <w:t>Istanbúl</w:t>
      </w:r>
      <w:r w:rsidRPr="008F03E5">
        <w:tab/>
        <w:t>Istanbul, Constantinople.  Islámbúl (“full of Islam”) appeared after Ottoman conquest in 1453.  Modern Turkish, İstanbul.</w:t>
      </w:r>
    </w:p>
    <w:p w14:paraId="0BC26A28" w14:textId="77777777" w:rsidR="00625A5B" w:rsidRPr="008F03E5" w:rsidRDefault="00625A5B" w:rsidP="00645285">
      <w:pPr>
        <w:pStyle w:val="Translit"/>
      </w:pPr>
      <w:r w:rsidRPr="008F03E5">
        <w:t>Istanbuli</w:t>
      </w:r>
      <w:r w:rsidRPr="008F03E5">
        <w:tab/>
        <w:t>Istanbúlí</w:t>
      </w:r>
      <w:r w:rsidRPr="008F03E5">
        <w:tab/>
        <w:t>of Istanbul</w:t>
      </w:r>
    </w:p>
    <w:p w14:paraId="3C6F3282" w14:textId="77777777" w:rsidR="00625A5B" w:rsidRPr="008F03E5" w:rsidRDefault="00625A5B" w:rsidP="00EA5632">
      <w:pPr>
        <w:pStyle w:val="Translit"/>
      </w:pPr>
      <w:r w:rsidRPr="008F03E5">
        <w:t>Isti’ara</w:t>
      </w:r>
      <w:r w:rsidRPr="008F03E5">
        <w:tab/>
        <w:t>Isti‘ára[h]</w:t>
      </w:r>
      <w:r w:rsidRPr="008F03E5">
        <w:tab/>
        <w:t>borrowing; metaphor</w:t>
      </w:r>
    </w:p>
    <w:p w14:paraId="10F184FD" w14:textId="77777777" w:rsidR="00625A5B" w:rsidRPr="008F03E5" w:rsidRDefault="00625A5B" w:rsidP="00316F10">
      <w:pPr>
        <w:pStyle w:val="Translit"/>
      </w:pPr>
      <w:r w:rsidRPr="008F03E5">
        <w:t>Istidlal</w:t>
      </w:r>
      <w:r w:rsidRPr="008F03E5">
        <w:tab/>
        <w:t>Istidlál</w:t>
      </w:r>
      <w:r w:rsidRPr="008F03E5">
        <w:tab/>
        <w:t>reasoning, argumentation, demonstration; conclusion, inference, deduction; proof, evidence (of)</w:t>
      </w:r>
    </w:p>
    <w:p w14:paraId="1C8796A2" w14:textId="77777777" w:rsidR="00625A5B" w:rsidRPr="008F03E5" w:rsidRDefault="00625A5B" w:rsidP="00316F10">
      <w:pPr>
        <w:pStyle w:val="Translit"/>
      </w:pPr>
      <w:r w:rsidRPr="008F03E5">
        <w:t>Istidlaliya, Istidlaliyy</w:t>
      </w:r>
      <w:r>
        <w:t>a</w:t>
      </w:r>
      <w:r w:rsidRPr="008F03E5">
        <w:tab/>
        <w:t>Istidlál</w:t>
      </w:r>
      <w:r w:rsidRPr="00316F10">
        <w:t>í</w:t>
      </w:r>
      <w:r w:rsidRPr="008F03E5">
        <w:t>ya</w:t>
      </w:r>
      <w:r>
        <w:t>[h or t]</w:t>
      </w:r>
      <w:r w:rsidRPr="008F03E5">
        <w:t>, Istidláliyy</w:t>
      </w:r>
      <w:r>
        <w:t>a[</w:t>
      </w:r>
      <w:r w:rsidRPr="008F03E5">
        <w:t>h</w:t>
      </w:r>
      <w:r>
        <w:t xml:space="preserve"> or t]</w:t>
      </w:r>
      <w:r w:rsidRPr="008F03E5">
        <w:tab/>
        <w:t>testimony (book) or (book) of apologetics</w:t>
      </w:r>
      <w:r>
        <w:t>.  I</w:t>
      </w:r>
      <w:r w:rsidRPr="00316F10">
        <w:t>ṣ</w:t>
      </w:r>
      <w:r>
        <w:t>fah</w:t>
      </w:r>
      <w:r w:rsidRPr="00316F10">
        <w:t>á</w:t>
      </w:r>
      <w:r>
        <w:t>n</w:t>
      </w:r>
      <w:r w:rsidRPr="00316F10">
        <w:t>í</w:t>
      </w:r>
      <w:r>
        <w:t xml:space="preserve"> Pers. </w:t>
      </w:r>
      <w:r w:rsidRPr="008F03E5">
        <w:t>Istidláliyy</w:t>
      </w:r>
      <w:r>
        <w:t>ih.</w:t>
      </w:r>
    </w:p>
    <w:p w14:paraId="18AA8B96" w14:textId="77777777" w:rsidR="00625A5B" w:rsidRPr="008F03E5" w:rsidRDefault="00625A5B" w:rsidP="00636D4A">
      <w:pPr>
        <w:pStyle w:val="Translit"/>
      </w:pPr>
      <w:r w:rsidRPr="008F03E5">
        <w:rPr>
          <w:rFonts w:eastAsia="Times New Roman"/>
        </w:rPr>
        <w:t>Istifham, Istifhamat</w:t>
      </w:r>
      <w:r w:rsidRPr="008F03E5">
        <w:rPr>
          <w:rFonts w:eastAsia="Times New Roman"/>
        </w:rPr>
        <w:tab/>
        <w:t>Istifhám, pl. Istifhámát</w:t>
      </w:r>
      <w:r w:rsidRPr="008F03E5">
        <w:rPr>
          <w:rFonts w:eastAsia="Times New Roman"/>
        </w:rPr>
        <w:tab/>
        <w:t>desiring to know or to be taught, informing oneself by asking questions; interrogation</w:t>
      </w:r>
    </w:p>
    <w:p w14:paraId="61B9BEF3" w14:textId="77777777" w:rsidR="00625A5B" w:rsidRPr="008F03E5" w:rsidRDefault="00625A5B" w:rsidP="00740852">
      <w:pPr>
        <w:pStyle w:val="Translit"/>
      </w:pPr>
      <w:r w:rsidRPr="008F03E5">
        <w:t>Istiftah</w:t>
      </w:r>
      <w:r w:rsidRPr="008F03E5">
        <w:tab/>
        <w:t>Istiftáḥ</w:t>
      </w:r>
      <w:r w:rsidRPr="008F03E5">
        <w:tab/>
        <w:t>start, beginning, commencement, inception, incipience; a</w:t>
      </w:r>
      <w:r w:rsidRPr="008F03E5">
        <w:rPr>
          <w:rFonts w:eastAsia="Times New Roman"/>
        </w:rPr>
        <w:t>sking assistance; opening; conquering</w:t>
      </w:r>
    </w:p>
    <w:p w14:paraId="2DDF58BB" w14:textId="77777777" w:rsidR="00625A5B" w:rsidRPr="008F03E5" w:rsidRDefault="00625A5B" w:rsidP="00636D4A">
      <w:pPr>
        <w:pStyle w:val="Translit"/>
      </w:pPr>
      <w:r w:rsidRPr="008F03E5">
        <w:t>Istijlal</w:t>
      </w:r>
      <w:r w:rsidRPr="008F03E5">
        <w:tab/>
        <w:t>Istijlál</w:t>
      </w:r>
      <w:r w:rsidRPr="008F03E5">
        <w:tab/>
        <w:t>majesty</w:t>
      </w:r>
    </w:p>
    <w:p w14:paraId="6C5BB959" w14:textId="77777777" w:rsidR="00625A5B" w:rsidRPr="008F03E5" w:rsidRDefault="00625A5B" w:rsidP="00285543">
      <w:pPr>
        <w:pStyle w:val="Translit"/>
      </w:pPr>
      <w:r w:rsidRPr="008F03E5">
        <w:t>Istikhlaf</w:t>
      </w:r>
      <w:r w:rsidRPr="008F03E5">
        <w:tab/>
        <w:t>Isti</w:t>
      </w:r>
      <w:r w:rsidRPr="008F03E5">
        <w:rPr>
          <w:u w:val="single"/>
        </w:rPr>
        <w:t>kh</w:t>
      </w:r>
      <w:r w:rsidRPr="008F03E5">
        <w:t>láf</w:t>
      </w:r>
      <w:r w:rsidRPr="008F03E5">
        <w:tab/>
        <w:t>appoint someone to be successor.  In the Qur’anic context, appointing a trustee or vicegerent, or “Law of Succession of Prophets”.</w:t>
      </w:r>
    </w:p>
    <w:p w14:paraId="15E28D1C" w14:textId="77777777" w:rsidR="00625A5B" w:rsidRPr="008F03E5" w:rsidRDefault="00625A5B" w:rsidP="00654145">
      <w:pPr>
        <w:pStyle w:val="Translit"/>
      </w:pPr>
      <w:r w:rsidRPr="008F03E5">
        <w:t>Istikhraj</w:t>
      </w:r>
      <w:r w:rsidRPr="008F03E5">
        <w:tab/>
        <w:t>Isti</w:t>
      </w:r>
      <w:r w:rsidRPr="008F03E5">
        <w:rPr>
          <w:u w:val="single"/>
        </w:rPr>
        <w:t>kh</w:t>
      </w:r>
      <w:r w:rsidRPr="008F03E5">
        <w:t>ráj</w:t>
      </w:r>
      <w:r w:rsidRPr="008F03E5">
        <w:tab/>
        <w:t xml:space="preserve">taking out, moving out, pulling out, removal; withdrawing; extraction, derivation, gaining (of industrial products, etc.), mining, recovery (of mineral resources); preparation of an extract; excerpting, copying; deduction, inference; solution (of a problem).  </w:t>
      </w:r>
      <w:r w:rsidRPr="008F03E5">
        <w:rPr>
          <w:i/>
          <w:iCs/>
        </w:rPr>
        <w:t>Isti</w:t>
      </w:r>
      <w:r w:rsidRPr="008F03E5">
        <w:rPr>
          <w:i/>
          <w:iCs/>
          <w:u w:val="single"/>
        </w:rPr>
        <w:t>kh</w:t>
      </w:r>
      <w:r w:rsidRPr="008F03E5">
        <w:rPr>
          <w:i/>
          <w:iCs/>
        </w:rPr>
        <w:t xml:space="preserve">ráj </w:t>
      </w:r>
      <w:r w:rsidRPr="008F03E5">
        <w:t xml:space="preserve">az </w:t>
      </w:r>
      <w:r w:rsidRPr="008F03E5">
        <w:rPr>
          <w:i/>
          <w:iCs/>
        </w:rPr>
        <w:t>Mufáwaḍát ‘Abdu’l-Bahá</w:t>
      </w:r>
      <w:r w:rsidRPr="008F03E5">
        <w:t xml:space="preserve"> (“Extracts from Talks by ‘Abdu’l-Bahá”).</w:t>
      </w:r>
    </w:p>
    <w:p w14:paraId="2F4C35BA" w14:textId="77777777" w:rsidR="00625A5B" w:rsidRPr="008F03E5" w:rsidRDefault="00625A5B" w:rsidP="00F456F8">
      <w:pPr>
        <w:pStyle w:val="Translit"/>
      </w:pPr>
      <w:r w:rsidRPr="008F03E5">
        <w:t>Istilah, Istilahat</w:t>
      </w:r>
      <w:r w:rsidRPr="008F03E5">
        <w:tab/>
        <w:t>Iṣṭiláḥ, pl. Iṣṭiláḥát</w:t>
      </w:r>
      <w:r w:rsidRPr="008F03E5">
        <w:tab/>
        <w:t>being reconciled; phraseology, phrase, idiom; technical term, terminology; cant, slang.—pl. forms of speech; idioms; technicalities.</w:t>
      </w:r>
    </w:p>
    <w:p w14:paraId="19B5F026" w14:textId="77777777" w:rsidR="00625A5B" w:rsidRPr="008F03E5" w:rsidRDefault="00625A5B" w:rsidP="00F456F8">
      <w:pPr>
        <w:pStyle w:val="Translit"/>
      </w:pPr>
      <w:r w:rsidRPr="008F03E5">
        <w:t>Istilahi</w:t>
      </w:r>
      <w:r w:rsidRPr="008F03E5">
        <w:tab/>
        <w:t>Iṣṭiláḥí</w:t>
      </w:r>
      <w:r w:rsidRPr="008F03E5">
        <w:tab/>
        <w:t>technical, conventional</w:t>
      </w:r>
    </w:p>
    <w:p w14:paraId="73CA9188" w14:textId="77777777" w:rsidR="00625A5B" w:rsidRPr="008F03E5" w:rsidRDefault="00625A5B" w:rsidP="003277BD">
      <w:pPr>
        <w:pStyle w:val="Translit"/>
      </w:pPr>
      <w:r w:rsidRPr="008F03E5">
        <w:t>Istintaq (Istintak)</w:t>
      </w:r>
      <w:r w:rsidRPr="008F03E5">
        <w:tab/>
        <w:t>Istinṭáq</w:t>
      </w:r>
      <w:r w:rsidRPr="008F03E5">
        <w:tab/>
        <w:t>examination, interrogation, hearing; questioning</w:t>
      </w:r>
    </w:p>
    <w:p w14:paraId="3D3E034B" w14:textId="77777777" w:rsidR="00625A5B" w:rsidRPr="008F03E5" w:rsidRDefault="00625A5B" w:rsidP="003277BD">
      <w:pPr>
        <w:pStyle w:val="Translit"/>
      </w:pPr>
      <w:r w:rsidRPr="008F03E5">
        <w:t>Istiqama</w:t>
      </w:r>
      <w:r w:rsidRPr="008F03E5">
        <w:tab/>
        <w:t>Istiqáma[t]</w:t>
      </w:r>
      <w:r w:rsidRPr="008F03E5">
        <w:tab/>
        <w:t>straightness; sincerity, uprightness, rectitude, integrity, probity, honesty; rightness, soundness, correctness.  Lawḥ Istiqámat, “Tablet of Constancy”, by Bahá’u’lláh.</w:t>
      </w:r>
    </w:p>
    <w:p w14:paraId="0F113BE0" w14:textId="77777777" w:rsidR="00625A5B" w:rsidRPr="008F03E5" w:rsidRDefault="00625A5B" w:rsidP="00271FCE">
      <w:pPr>
        <w:pStyle w:val="Translit"/>
      </w:pPr>
      <w:r w:rsidRPr="008F03E5">
        <w:t>Istiqbal, Istiqbalat</w:t>
      </w:r>
      <w:r w:rsidRPr="008F03E5">
        <w:tab/>
        <w:t>Istiqbál, pl. Istiqbálát</w:t>
      </w:r>
      <w:r w:rsidRPr="008F03E5">
        <w:tab/>
        <w:t>reception; opposition (astron.); full moon (as an astronomical aspect); the future</w:t>
      </w:r>
    </w:p>
    <w:p w14:paraId="2332BBDF" w14:textId="77777777" w:rsidR="00625A5B" w:rsidRPr="008F03E5" w:rsidRDefault="00625A5B" w:rsidP="00271FCE">
      <w:pPr>
        <w:pStyle w:val="Translit"/>
      </w:pPr>
      <w:r w:rsidRPr="008F03E5">
        <w:t>Istiqlal</w:t>
      </w:r>
      <w:r w:rsidRPr="008F03E5">
        <w:tab/>
        <w:t>Istiqlál</w:t>
      </w:r>
      <w:r w:rsidRPr="008F03E5">
        <w:tab/>
        <w:t>independence</w:t>
      </w:r>
    </w:p>
    <w:p w14:paraId="6C5E1607" w14:textId="77777777" w:rsidR="00625A5B" w:rsidRPr="008F03E5" w:rsidRDefault="00625A5B" w:rsidP="00840F61">
      <w:pPr>
        <w:pStyle w:val="Translit"/>
      </w:pPr>
      <w:r w:rsidRPr="008F03E5">
        <w:t>Itabaki-A’zam</w:t>
      </w:r>
      <w:r w:rsidRPr="008F03E5">
        <w:tab/>
        <w:t>Íṭábakí-A‘ẓam</w:t>
      </w:r>
      <w:r w:rsidRPr="008F03E5">
        <w:tab/>
        <w:t>“the greatest tutor”.  Probably should be Atábak-i-A‘ẓam</w:t>
      </w:r>
    </w:p>
    <w:p w14:paraId="707FF756" w14:textId="77777777" w:rsidR="00625A5B" w:rsidRPr="008F03E5" w:rsidRDefault="00625A5B" w:rsidP="00840F61">
      <w:pPr>
        <w:pStyle w:val="Translit"/>
      </w:pPr>
      <w:r w:rsidRPr="008F03E5">
        <w:t>Itabaki-Chupan</w:t>
      </w:r>
      <w:r w:rsidRPr="008F03E5">
        <w:tab/>
        <w:t>Íṭábakí-</w:t>
      </w:r>
      <w:r w:rsidRPr="008F03E5">
        <w:rPr>
          <w:u w:val="single"/>
        </w:rPr>
        <w:t>Ch</w:t>
      </w:r>
      <w:r w:rsidRPr="008F03E5">
        <w:t>úpán</w:t>
      </w:r>
      <w:r w:rsidRPr="008F03E5">
        <w:tab/>
        <w:t>probably should be Atábak-i-</w:t>
      </w:r>
      <w:r w:rsidRPr="008F03E5">
        <w:rPr>
          <w:u w:val="single"/>
        </w:rPr>
        <w:t>Ch</w:t>
      </w:r>
      <w:r w:rsidRPr="008F03E5">
        <w:t>úpán (</w:t>
      </w:r>
      <w:r w:rsidRPr="008F03E5">
        <w:rPr>
          <w:i/>
          <w:iCs/>
        </w:rPr>
        <w:t>The Dawn-Breakers</w:t>
      </w:r>
      <w:r w:rsidRPr="008F03E5">
        <w:t>, p. 421)</w:t>
      </w:r>
    </w:p>
    <w:p w14:paraId="7840948D" w14:textId="77777777" w:rsidR="00625A5B" w:rsidRPr="008F03E5" w:rsidRDefault="00625A5B" w:rsidP="00D16D84">
      <w:pPr>
        <w:pStyle w:val="Translit"/>
      </w:pPr>
      <w:r w:rsidRPr="008F03E5">
        <w:t>Ithbat</w:t>
      </w:r>
      <w:r w:rsidRPr="008F03E5">
        <w:tab/>
        <w:t>I</w:t>
      </w:r>
      <w:r w:rsidRPr="008F03E5">
        <w:rPr>
          <w:u w:val="single"/>
        </w:rPr>
        <w:t>th</w:t>
      </w:r>
      <w:r w:rsidRPr="008F03E5">
        <w:t>bát</w:t>
      </w:r>
      <w:r w:rsidRPr="008F03E5">
        <w:tab/>
        <w:t>establishment; assertion; confirmation; affirmation, attestation; demonstration; proof, evidence; registration, entering, listing, recording; documentation, authentication, verification</w:t>
      </w:r>
    </w:p>
    <w:p w14:paraId="608FDE3B" w14:textId="77777777" w:rsidR="00625A5B" w:rsidRDefault="00625A5B" w:rsidP="00E964FE">
      <w:pPr>
        <w:pStyle w:val="Translit"/>
        <w:rPr>
          <w:lang w:val="en-AU"/>
        </w:rPr>
      </w:pPr>
      <w:r w:rsidRPr="00E964FE">
        <w:t>Ithna ‘Ashara, Ithnata ‘Ashrata</w:t>
      </w:r>
      <w:r w:rsidRPr="00E964FE">
        <w:tab/>
        <w:t>I</w:t>
      </w:r>
      <w:r w:rsidRPr="00E964FE">
        <w:rPr>
          <w:u w:val="single"/>
        </w:rPr>
        <w:t>th</w:t>
      </w:r>
      <w:r w:rsidRPr="00E964FE">
        <w:t>ná ‘A</w:t>
      </w:r>
      <w:r w:rsidRPr="00E964FE">
        <w:rPr>
          <w:u w:val="single"/>
        </w:rPr>
        <w:t>sh</w:t>
      </w:r>
      <w:r w:rsidRPr="00E964FE">
        <w:t>ara</w:t>
      </w:r>
      <w:r w:rsidRPr="00E964FE">
        <w:tab/>
        <w:t xml:space="preserve">(fem. </w:t>
      </w:r>
      <w:r w:rsidRPr="000A41EB">
        <w:rPr>
          <w:lang w:val="en-AU"/>
        </w:rPr>
        <w:t>I</w:t>
      </w:r>
      <w:r w:rsidRPr="000A41EB">
        <w:rPr>
          <w:u w:val="single"/>
          <w:lang w:val="en-AU"/>
        </w:rPr>
        <w:t>th</w:t>
      </w:r>
      <w:r w:rsidRPr="000A41EB">
        <w:rPr>
          <w:lang w:val="en-AU"/>
        </w:rPr>
        <w:t>natá ‘A</w:t>
      </w:r>
      <w:r w:rsidRPr="000A41EB">
        <w:rPr>
          <w:u w:val="single"/>
          <w:lang w:val="en-AU"/>
        </w:rPr>
        <w:t>sh</w:t>
      </w:r>
      <w:r w:rsidRPr="000A41EB">
        <w:rPr>
          <w:lang w:val="en-AU"/>
        </w:rPr>
        <w:t>rata[h or</w:t>
      </w:r>
      <w:r>
        <w:rPr>
          <w:lang w:val="en-AU"/>
        </w:rPr>
        <w:t xml:space="preserve"> t]) </w:t>
      </w:r>
      <w:r w:rsidRPr="000A41EB">
        <w:rPr>
          <w:lang w:val="en-AU"/>
        </w:rPr>
        <w:t>twelve</w:t>
      </w:r>
    </w:p>
    <w:p w14:paraId="0A4D64C3" w14:textId="77777777" w:rsidR="00625A5B" w:rsidRPr="008F03E5" w:rsidRDefault="00625A5B" w:rsidP="00BB2005">
      <w:pPr>
        <w:pStyle w:val="Translit"/>
      </w:pPr>
      <w:r w:rsidRPr="007C70D4">
        <w:t>Ithn</w:t>
      </w:r>
      <w:r>
        <w:t>a</w:t>
      </w:r>
      <w:r w:rsidRPr="007C70D4">
        <w:t>-‘Ashar</w:t>
      </w:r>
      <w:r>
        <w:t>i</w:t>
      </w:r>
      <w:r w:rsidRPr="007C70D4">
        <w:t>y</w:t>
      </w:r>
      <w:r>
        <w:t>a,</w:t>
      </w:r>
      <w:r w:rsidRPr="007C70D4">
        <w:t xml:space="preserve"> Ithn</w:t>
      </w:r>
      <w:r>
        <w:t>a</w:t>
      </w:r>
      <w:r w:rsidRPr="007C70D4">
        <w:t>-‘Ashar</w:t>
      </w:r>
      <w:r>
        <w:t>i</w:t>
      </w:r>
      <w:r w:rsidRPr="007C70D4">
        <w:t>yy</w:t>
      </w:r>
      <w:r>
        <w:t>a</w:t>
      </w:r>
      <w:r>
        <w:tab/>
      </w:r>
      <w:r w:rsidRPr="008F03E5">
        <w:t>I</w:t>
      </w:r>
      <w:r w:rsidRPr="008F03E5">
        <w:rPr>
          <w:u w:val="single"/>
        </w:rPr>
        <w:t>th</w:t>
      </w:r>
      <w:r w:rsidRPr="008F03E5">
        <w:t>ná-‘A</w:t>
      </w:r>
      <w:r w:rsidRPr="008F03E5">
        <w:rPr>
          <w:u w:val="single"/>
        </w:rPr>
        <w:t>sh</w:t>
      </w:r>
      <w:r w:rsidRPr="008F03E5">
        <w:t>aríy</w:t>
      </w:r>
      <w:r>
        <w:t>a[h or t]</w:t>
      </w:r>
      <w:r>
        <w:tab/>
        <w:t xml:space="preserve">(Pers, </w:t>
      </w:r>
      <w:r w:rsidRPr="008F03E5">
        <w:t>I</w:t>
      </w:r>
      <w:r w:rsidRPr="008F03E5">
        <w:rPr>
          <w:u w:val="single"/>
        </w:rPr>
        <w:t>th</w:t>
      </w:r>
      <w:r w:rsidRPr="008F03E5">
        <w:t>ná-‘A</w:t>
      </w:r>
      <w:r w:rsidRPr="008F03E5">
        <w:rPr>
          <w:u w:val="single"/>
        </w:rPr>
        <w:t>sh</w:t>
      </w:r>
      <w:r w:rsidRPr="008F03E5">
        <w:t>ar</w:t>
      </w:r>
      <w:r>
        <w:t>iy</w:t>
      </w:r>
      <w:r w:rsidRPr="008F03E5">
        <w:t>y</w:t>
      </w:r>
      <w:r>
        <w:t xml:space="preserve">a[h or t]) “twelver”.  The followers of the twelve Imams, </w:t>
      </w:r>
      <w:r w:rsidRPr="007C70D4">
        <w:t>the Twelvers</w:t>
      </w:r>
      <w:r>
        <w:t xml:space="preserve">, or the </w:t>
      </w:r>
      <w:r w:rsidRPr="008F03E5">
        <w:t xml:space="preserve">Twelver </w:t>
      </w:r>
      <w:r w:rsidRPr="008F03E5">
        <w:rPr>
          <w:u w:val="single"/>
        </w:rPr>
        <w:t>Sh</w:t>
      </w:r>
      <w:r w:rsidRPr="008F03E5">
        <w:t>í‘í</w:t>
      </w:r>
      <w:r>
        <w:t xml:space="preserve"> Muslims (also known as Im</w:t>
      </w:r>
      <w:r w:rsidRPr="007C70D4">
        <w:t>á</w:t>
      </w:r>
      <w:r>
        <w:t>m</w:t>
      </w:r>
      <w:r w:rsidRPr="007C70D4">
        <w:t>í</w:t>
      </w:r>
      <w:r>
        <w:t xml:space="preserve">ya[h or t] or </w:t>
      </w:r>
      <w:r w:rsidRPr="007C70D4">
        <w:t>the Imamite</w:t>
      </w:r>
      <w:r w:rsidRPr="008F03E5">
        <w:t>s</w:t>
      </w:r>
      <w:r w:rsidRPr="007C70D4">
        <w:t>)</w:t>
      </w:r>
      <w:r>
        <w:t>.  It</w:t>
      </w:r>
      <w:r w:rsidRPr="007C70D4">
        <w:t xml:space="preserve"> </w:t>
      </w:r>
      <w:r>
        <w:t xml:space="preserve">is </w:t>
      </w:r>
      <w:r w:rsidRPr="007C70D4">
        <w:t>the largest branch of</w:t>
      </w:r>
      <w:r>
        <w:t xml:space="preserve"> </w:t>
      </w:r>
      <w:r w:rsidRPr="007C70D4">
        <w:rPr>
          <w:u w:val="single"/>
        </w:rPr>
        <w:t>Sh</w:t>
      </w:r>
      <w:r w:rsidRPr="007C70D4">
        <w:t>í</w:t>
      </w:r>
      <w:r>
        <w:t>‘a Isl</w:t>
      </w:r>
      <w:r w:rsidRPr="007C70D4">
        <w:t>á</w:t>
      </w:r>
      <w:r>
        <w:t>m that</w:t>
      </w:r>
      <w:r w:rsidRPr="008F03E5">
        <w:t xml:space="preserve"> believes 12 </w:t>
      </w:r>
      <w:r>
        <w:t>I</w:t>
      </w:r>
      <w:r w:rsidRPr="008F03E5">
        <w:t>mams</w:t>
      </w:r>
      <w:r>
        <w:t xml:space="preserve"> (</w:t>
      </w:r>
      <w:r w:rsidRPr="008F03E5">
        <w:t>A’imma</w:t>
      </w:r>
      <w:r>
        <w:t>) succeeded Muḥammad</w:t>
      </w:r>
      <w:r w:rsidRPr="008F03E5">
        <w:t>.</w:t>
      </w:r>
    </w:p>
    <w:p w14:paraId="561F52D2" w14:textId="77777777" w:rsidR="00625A5B" w:rsidRPr="008F03E5" w:rsidRDefault="00625A5B" w:rsidP="00F367EB">
      <w:pPr>
        <w:pStyle w:val="Translit"/>
      </w:pPr>
      <w:r w:rsidRPr="008F03E5">
        <w:t>Ithnan, Ithnatan</w:t>
      </w:r>
      <w:r w:rsidRPr="008F03E5">
        <w:tab/>
        <w:t>I</w:t>
      </w:r>
      <w:r w:rsidRPr="008F03E5">
        <w:rPr>
          <w:u w:val="single"/>
        </w:rPr>
        <w:t>th</w:t>
      </w:r>
      <w:r w:rsidRPr="008F03E5">
        <w:t>nán, fem. I</w:t>
      </w:r>
      <w:r w:rsidRPr="008F03E5">
        <w:rPr>
          <w:u w:val="single"/>
        </w:rPr>
        <w:t>th</w:t>
      </w:r>
      <w:r w:rsidRPr="008F03E5">
        <w:t>natán, dual I</w:t>
      </w:r>
      <w:r w:rsidRPr="008F03E5">
        <w:rPr>
          <w:u w:val="single"/>
        </w:rPr>
        <w:t>th</w:t>
      </w:r>
      <w:r w:rsidRPr="008F03E5">
        <w:t>nayn</w:t>
      </w:r>
      <w:r w:rsidRPr="008F03E5">
        <w:tab/>
        <w:t>two</w:t>
      </w:r>
    </w:p>
    <w:p w14:paraId="0AB93528" w14:textId="77777777" w:rsidR="00625A5B" w:rsidRPr="008F03E5" w:rsidRDefault="00625A5B" w:rsidP="001517C5">
      <w:pPr>
        <w:pStyle w:val="Translit"/>
      </w:pPr>
      <w:r w:rsidRPr="008F03E5">
        <w:t>Itmam</w:t>
      </w:r>
      <w:r w:rsidRPr="008F03E5">
        <w:tab/>
        <w:t>Itmám</w:t>
      </w:r>
      <w:r w:rsidRPr="008F03E5">
        <w:tab/>
        <w:t>completion; perfection; termination, conclusion; consummation, execution, fulfilment, realization, effectuation, accomplishment</w:t>
      </w:r>
    </w:p>
    <w:p w14:paraId="7E390476" w14:textId="77777777" w:rsidR="00625A5B" w:rsidRPr="008F03E5" w:rsidRDefault="00625A5B" w:rsidP="003151C8">
      <w:pPr>
        <w:pStyle w:val="Translit"/>
      </w:pPr>
      <w:r w:rsidRPr="008F03E5">
        <w:rPr>
          <w:lang w:eastAsia="en-US"/>
        </w:rPr>
        <w:t>Itmam-i-Ni’mat</w:t>
      </w:r>
      <w:r w:rsidRPr="008F03E5">
        <w:rPr>
          <w:lang w:eastAsia="en-US"/>
        </w:rPr>
        <w:tab/>
        <w:t>Itmám-i-Ni‘mat</w:t>
      </w:r>
      <w:r w:rsidRPr="008F03E5">
        <w:rPr>
          <w:lang w:eastAsia="en-US"/>
        </w:rPr>
        <w:tab/>
        <w:t>completion of favour</w:t>
      </w:r>
    </w:p>
    <w:p w14:paraId="6C6D2743" w14:textId="77777777" w:rsidR="00625A5B" w:rsidRPr="008F03E5" w:rsidRDefault="00625A5B" w:rsidP="00833BBB">
      <w:pPr>
        <w:pStyle w:val="Translit"/>
      </w:pPr>
      <w:r w:rsidRPr="008F03E5">
        <w:t>Itmi’nan (Itminan)</w:t>
      </w:r>
      <w:r w:rsidRPr="008F03E5">
        <w:tab/>
        <w:t>Iṭmi’nán</w:t>
      </w:r>
      <w:r w:rsidRPr="008F03E5">
        <w:tab/>
        <w:t>calm, repose, serenity, peace, peacefulness, tranquillity; reassurance, peace of mind, composure, calmness, equanimity; trust, confidence</w:t>
      </w:r>
    </w:p>
    <w:p w14:paraId="3288340B" w14:textId="77777777" w:rsidR="00625A5B" w:rsidRPr="008F03E5" w:rsidRDefault="00625A5B" w:rsidP="00FA23A1">
      <w:pPr>
        <w:pStyle w:val="Translit"/>
      </w:pPr>
      <w:r w:rsidRPr="008F03E5">
        <w:t>Itmi’nan-i-Qalb (Itminan-i-Qalb)</w:t>
      </w:r>
      <w:r w:rsidRPr="008F03E5">
        <w:tab/>
        <w:t>Iṭmi’nán-i-Qalb</w:t>
      </w:r>
      <w:r w:rsidRPr="008F03E5">
        <w:tab/>
        <w:t>heart attaining tranquillity or composure of the heart</w:t>
      </w:r>
    </w:p>
    <w:p w14:paraId="2E4169D5" w14:textId="77777777" w:rsidR="00625A5B" w:rsidRPr="00EC0BFA" w:rsidRDefault="00625A5B" w:rsidP="00EC0BFA">
      <w:pPr>
        <w:pStyle w:val="Translit"/>
        <w:rPr>
          <w:lang w:val="en-AU"/>
        </w:rPr>
      </w:pPr>
      <w:r>
        <w:rPr>
          <w:lang w:val="en-AU"/>
        </w:rPr>
        <w:t>Itqan</w:t>
      </w:r>
      <w:r>
        <w:rPr>
          <w:lang w:val="en-AU"/>
        </w:rPr>
        <w:tab/>
        <w:t>I</w:t>
      </w:r>
      <w:r w:rsidRPr="00EC0BFA">
        <w:rPr>
          <w:lang w:val="en-AU"/>
        </w:rPr>
        <w:t>tq</w:t>
      </w:r>
      <w:r>
        <w:rPr>
          <w:lang w:val="en-AU"/>
        </w:rPr>
        <w:t>á</w:t>
      </w:r>
      <w:r w:rsidRPr="00EC0BFA">
        <w:rPr>
          <w:lang w:val="en-AU"/>
        </w:rPr>
        <w:t>n</w:t>
      </w:r>
      <w:r>
        <w:rPr>
          <w:lang w:val="en-AU"/>
        </w:rPr>
        <w:tab/>
      </w:r>
      <w:r w:rsidRPr="00EC0BFA">
        <w:rPr>
          <w:lang w:val="en-AU"/>
        </w:rPr>
        <w:t>perfection; thoroughness, exactitude, precision; thorough skill, proficiency; mastery, command (e.g., of a special field, of a language)</w:t>
      </w:r>
    </w:p>
    <w:p w14:paraId="1E85D012" w14:textId="77777777" w:rsidR="00625A5B" w:rsidRPr="00546A69" w:rsidRDefault="00625A5B" w:rsidP="00E75673">
      <w:pPr>
        <w:pStyle w:val="Translit"/>
        <w:rPr>
          <w:lang w:val="en-AU"/>
        </w:rPr>
      </w:pPr>
      <w:r w:rsidRPr="00D45A23">
        <w:rPr>
          <w:lang w:val="fr-FR"/>
        </w:rPr>
        <w:t>Itr, ‘Utur, ‘Uturat</w:t>
      </w:r>
      <w:r w:rsidRPr="00D45A23">
        <w:rPr>
          <w:lang w:val="fr-FR"/>
        </w:rPr>
        <w:tab/>
        <w:t>‘Iṭr, pl. ‘Uṭúr, ‘Uṭúrát</w:t>
      </w:r>
      <w:r w:rsidRPr="00D45A23">
        <w:rPr>
          <w:lang w:val="fr-FR"/>
        </w:rPr>
        <w:tab/>
        <w:t xml:space="preserve">perfume, scent; essence, fragrance, attar, attar (of roses).  From the form </w:t>
      </w:r>
      <w:r w:rsidRPr="00D45A23">
        <w:rPr>
          <w:sz w:val="16"/>
          <w:szCs w:val="16"/>
          <w:lang w:val="fr-FR"/>
        </w:rPr>
        <w:t>II</w:t>
      </w:r>
      <w:r w:rsidRPr="00D45A23">
        <w:rPr>
          <w:lang w:val="fr-FR"/>
        </w:rPr>
        <w:t xml:space="preserve"> root </w:t>
      </w:r>
      <w:r w:rsidRPr="008F03E5">
        <w:rPr>
          <w:rtl/>
        </w:rPr>
        <w:t>عطّر</w:t>
      </w:r>
      <w:r w:rsidRPr="00D45A23">
        <w:rPr>
          <w:lang w:val="fr-FR"/>
        </w:rPr>
        <w:t xml:space="preserve">.  Pers. ‘Iṭr-sáz “perfume maker”.  </w:t>
      </w:r>
      <w:r w:rsidRPr="00546A69">
        <w:rPr>
          <w:lang w:val="en-AU"/>
        </w:rPr>
        <w:t>‘Iṭr al-ward attar of roses, rose oil.</w:t>
      </w:r>
    </w:p>
    <w:p w14:paraId="0E8C0527" w14:textId="77777777" w:rsidR="00625A5B" w:rsidRPr="008F03E5" w:rsidRDefault="00625A5B" w:rsidP="00782463">
      <w:pPr>
        <w:pStyle w:val="Translit"/>
      </w:pPr>
      <w:r w:rsidRPr="008F03E5">
        <w:t>Itra, ‘Itrat</w:t>
      </w:r>
      <w:r w:rsidRPr="008F03E5">
        <w:tab/>
        <w:t>‘Itra[t]</w:t>
      </w:r>
      <w:r w:rsidRPr="008F03E5">
        <w:tab/>
        <w:t>little balls formed of musk or other aromatics, and worn as a necklace; a progeny, family, near relations; a bit of pure musk; sweet marjoram;—‘Itrat a</w:t>
      </w:r>
      <w:r>
        <w:t>n</w:t>
      </w:r>
      <w:r w:rsidRPr="008F03E5">
        <w:t>-Nabí “Family of the Prophet”</w:t>
      </w:r>
    </w:p>
    <w:p w14:paraId="2CAE6F01" w14:textId="77777777" w:rsidR="00625A5B" w:rsidRPr="008F03E5" w:rsidRDefault="00625A5B" w:rsidP="005A3EAA">
      <w:pPr>
        <w:pStyle w:val="Translit"/>
      </w:pPr>
      <w:r w:rsidRPr="008F03E5">
        <w:t>Itri, ‘Atri</w:t>
      </w:r>
      <w:r w:rsidRPr="008F03E5">
        <w:tab/>
        <w:t>‘Iṭrí (Pers. ‘Aṭrí)</w:t>
      </w:r>
      <w:r w:rsidRPr="008F03E5">
        <w:tab/>
        <w:t>sweet-smelling, fragrant, aromatic.</w:t>
      </w:r>
    </w:p>
    <w:p w14:paraId="3AE537EE" w14:textId="77777777" w:rsidR="00625A5B" w:rsidRPr="008F03E5" w:rsidRDefault="00625A5B" w:rsidP="00DF5055">
      <w:pPr>
        <w:pStyle w:val="Translit"/>
      </w:pPr>
      <w:r w:rsidRPr="008F03E5">
        <w:t>Ittaqa, Ittaqu’lláh</w:t>
      </w:r>
      <w:r w:rsidRPr="008F03E5">
        <w:tab/>
        <w:t>Ittaqá, Ittaqú’lláh</w:t>
      </w:r>
      <w:r w:rsidRPr="008F03E5">
        <w:tab/>
        <w:t>to beware, be wary (of), guard, be on one’s guard, protect oneself, make sure (against).  Ittaqú’lláh, to fear God, is the command or imperative form of taqwá and Alláh.  It is found in several Qur’anic verses.  Variously translated as “fear God”, “keep your duty to God and fear Him”, “guard your duty to God”, “be careful of (your duty to) God”, “be pious to God”, “be aware of God”, and to “love and be faithful to God”.</w:t>
      </w:r>
    </w:p>
    <w:p w14:paraId="069F72A4" w14:textId="77777777" w:rsidR="00625A5B" w:rsidRPr="008F03E5" w:rsidRDefault="00625A5B" w:rsidP="00DF5055">
      <w:pPr>
        <w:pStyle w:val="Translit"/>
      </w:pPr>
      <w:r w:rsidRPr="008F03E5">
        <w:t>Ittihad</w:t>
      </w:r>
      <w:r w:rsidRPr="008F03E5">
        <w:tab/>
        <w:t>Ittiḥád</w:t>
      </w:r>
      <w:r w:rsidRPr="008F03E5">
        <w:tab/>
        <w:t>oneness, singleness, unity; concord, accord, unison, harmony, unanimity, agreement; combination; consolidation, amalgamation, merger, fusion; alliance, confederacy; association; federation; union.  Symbolically, the identification of man with God</w:t>
      </w:r>
    </w:p>
    <w:p w14:paraId="2DFDB481" w14:textId="77777777" w:rsidR="00625A5B" w:rsidRPr="008F03E5" w:rsidRDefault="00625A5B" w:rsidP="00CA0611">
      <w:pPr>
        <w:pStyle w:val="Translit"/>
      </w:pPr>
      <w:r w:rsidRPr="008F03E5">
        <w:t>Ittihadi, Ittihadiyyih</w:t>
      </w:r>
      <w:r w:rsidRPr="008F03E5">
        <w:tab/>
        <w:t>Ittiḥádí, Pers. also Ittiḥádiyyih</w:t>
      </w:r>
      <w:r w:rsidRPr="008F03E5">
        <w:tab/>
        <w:t>unionist; unionistic; federal</w:t>
      </w:r>
    </w:p>
    <w:p w14:paraId="790271CE" w14:textId="77777777" w:rsidR="00625A5B" w:rsidRPr="008F03E5" w:rsidRDefault="00625A5B" w:rsidP="00E571D0">
      <w:pPr>
        <w:pStyle w:val="Translit"/>
      </w:pPr>
      <w:r w:rsidRPr="008F03E5">
        <w:t>Ittila’, Ittila’a, Ittila’at</w:t>
      </w:r>
      <w:r w:rsidRPr="008F03E5">
        <w:tab/>
        <w:t>Iṭṭilá‘, fem. Ittila’a[h or t], pl. Iṭṭilá‘át</w:t>
      </w:r>
      <w:r w:rsidRPr="008F03E5">
        <w:tab/>
        <w:t>study, examination, inspection; perusal; information, intelligence, knowledge; notice, cognizance; acquaintance, conversance, familiarity</w:t>
      </w:r>
    </w:p>
    <w:p w14:paraId="6DD4EDD6" w14:textId="77777777" w:rsidR="00625A5B" w:rsidRPr="008F03E5" w:rsidRDefault="00625A5B" w:rsidP="00E67FDC">
      <w:pPr>
        <w:pStyle w:val="Translit"/>
      </w:pPr>
      <w:r w:rsidRPr="008F03E5">
        <w:t>Iwil, Ivil</w:t>
      </w:r>
      <w:r w:rsidRPr="008F03E5">
        <w:tab/>
        <w:t>Íwil, Ívil</w:t>
      </w:r>
      <w:r w:rsidRPr="008F03E5">
        <w:tab/>
        <w:t>(“Ivel”, also known as Ídel) is a small village</w:t>
      </w:r>
      <w:r>
        <w:t xml:space="preserve"> (</w:t>
      </w:r>
      <w:r w:rsidRPr="00E67FDC">
        <w:t>36.2402</w:t>
      </w:r>
      <w:r>
        <w:t>30</w:t>
      </w:r>
      <w:r w:rsidRPr="00E67FDC">
        <w:t>, 53.677921</w:t>
      </w:r>
      <w:r>
        <w:t>)</w:t>
      </w:r>
      <w:r w:rsidRPr="008F03E5">
        <w:t xml:space="preserve"> 12 km east of Kiyásar, 90 km </w:t>
      </w:r>
      <w:r w:rsidRPr="008F03E5">
        <w:rPr>
          <w:sz w:val="16"/>
          <w:szCs w:val="16"/>
        </w:rPr>
        <w:t>SE</w:t>
      </w:r>
      <w:r w:rsidRPr="008F03E5">
        <w:t xml:space="preserve"> of Sárí, 45 km west of Dámghán in Sari County, Mazandaran Province</w:t>
      </w:r>
      <w:r>
        <w:t>.</w:t>
      </w:r>
    </w:p>
    <w:p w14:paraId="1CB50A47" w14:textId="77777777" w:rsidR="00625A5B" w:rsidRPr="008F03E5" w:rsidRDefault="00625A5B" w:rsidP="0078355B">
      <w:pPr>
        <w:pStyle w:val="Translit"/>
      </w:pPr>
      <w:r w:rsidRPr="008F03E5">
        <w:t>Iyala (Iyalih), Iyalat</w:t>
      </w:r>
      <w:r w:rsidRPr="008F03E5">
        <w:tab/>
        <w:t>Iyála[h or t], pl. Iyálát</w:t>
      </w:r>
      <w:r w:rsidRPr="008F03E5">
        <w:tab/>
        <w:t>province; regency; g</w:t>
      </w:r>
      <w:r w:rsidRPr="008F03E5">
        <w:rPr>
          <w:rFonts w:eastAsia="Times New Roman"/>
        </w:rPr>
        <w:t>overning, administering; government, dominion</w:t>
      </w:r>
    </w:p>
    <w:p w14:paraId="6858100B" w14:textId="77777777" w:rsidR="00625A5B" w:rsidRPr="008F03E5" w:rsidRDefault="00625A5B" w:rsidP="00F70ADE">
      <w:pPr>
        <w:pStyle w:val="Translit"/>
      </w:pPr>
      <w:r w:rsidRPr="008F03E5">
        <w:t>Izadi</w:t>
      </w:r>
      <w:r w:rsidRPr="008F03E5">
        <w:tab/>
        <w:t>Ízadí</w:t>
      </w:r>
      <w:r w:rsidRPr="008F03E5">
        <w:tab/>
        <w:t>Pers. God; an angel</w:t>
      </w:r>
    </w:p>
    <w:p w14:paraId="156C766D" w14:textId="77777777" w:rsidR="00625A5B" w:rsidRPr="008F03E5" w:rsidRDefault="00625A5B" w:rsidP="008A410C">
      <w:pPr>
        <w:pStyle w:val="Translit"/>
      </w:pPr>
      <w:r w:rsidRPr="008F03E5">
        <w:t>Izar, Uzur</w:t>
      </w:r>
      <w:r w:rsidRPr="008F03E5">
        <w:tab/>
        <w:t>Izár m. and f., pl. Uzur</w:t>
      </w:r>
      <w:r w:rsidRPr="008F03E5">
        <w:tab/>
        <w:t>loincloth; wrap, shawl; wrapper, covering, cover</w:t>
      </w:r>
    </w:p>
    <w:p w14:paraId="7D07F3CF" w14:textId="77777777" w:rsidR="00625A5B" w:rsidRPr="008F03E5" w:rsidRDefault="00625A5B" w:rsidP="00BA2F79">
      <w:pPr>
        <w:pStyle w:val="Translit"/>
      </w:pPr>
      <w:r w:rsidRPr="008F03E5">
        <w:t>Izdiwaj (Izdivaj)</w:t>
      </w:r>
      <w:r w:rsidRPr="008F03E5">
        <w:tab/>
        <w:t>Izdiwáj</w:t>
      </w:r>
      <w:r w:rsidRPr="008F03E5">
        <w:tab/>
        <w:t>Pers. marrying; marriage, wedding</w:t>
      </w:r>
    </w:p>
    <w:p w14:paraId="35213F97" w14:textId="77777777" w:rsidR="00625A5B" w:rsidRDefault="00625A5B" w:rsidP="00550DAF">
      <w:pPr>
        <w:pStyle w:val="Translit"/>
      </w:pPr>
      <w:r>
        <w:t>Izhaq (Azhaq)</w:t>
      </w:r>
      <w:r>
        <w:tab/>
        <w:t>Izh</w:t>
      </w:r>
      <w:r w:rsidRPr="00550DAF">
        <w:t>á</w:t>
      </w:r>
      <w:r>
        <w:t>q</w:t>
      </w:r>
      <w:r>
        <w:tab/>
        <w:t>destroying, crushing</w:t>
      </w:r>
    </w:p>
    <w:p w14:paraId="57915334" w14:textId="77777777" w:rsidR="00625A5B" w:rsidRPr="008F03E5" w:rsidRDefault="00625A5B" w:rsidP="00760FD4">
      <w:pPr>
        <w:pStyle w:val="Translit"/>
      </w:pPr>
      <w:r w:rsidRPr="008F03E5">
        <w:t>Izhar</w:t>
      </w:r>
      <w:r w:rsidRPr="008F03E5">
        <w:tab/>
        <w:t>Iẓhár</w:t>
      </w:r>
      <w:r w:rsidRPr="008F03E5">
        <w:tab/>
        <w:t>presentation, exposition, demonstration, exhibition, disclosure, exposure, revelation, announcement, declaration, manifestation, display; developing (photography)</w:t>
      </w:r>
    </w:p>
    <w:p w14:paraId="7D31D970" w14:textId="77777777" w:rsidR="00625A5B" w:rsidRPr="008F03E5" w:rsidRDefault="00625A5B" w:rsidP="00B47D9C">
      <w:pPr>
        <w:pStyle w:val="Translit"/>
      </w:pPr>
      <w:r w:rsidRPr="008F03E5">
        <w:t>Izmir (Smyrna)</w:t>
      </w:r>
      <w:r w:rsidRPr="008F03E5">
        <w:tab/>
        <w:t>Izmír</w:t>
      </w:r>
      <w:r w:rsidRPr="008F03E5">
        <w:tab/>
        <w:t>city in western extremity of Anatolia, Türkiye.  Formerly ancient city of Smyrna</w:t>
      </w:r>
    </w:p>
    <w:p w14:paraId="7C6F9EEF" w14:textId="77777777" w:rsidR="00625A5B" w:rsidRPr="008F03E5" w:rsidRDefault="00625A5B" w:rsidP="008034D9">
      <w:pPr>
        <w:pStyle w:val="Translit"/>
      </w:pPr>
      <w:r w:rsidRPr="008F03E5">
        <w:t>Izra’il</w:t>
      </w:r>
      <w:r w:rsidRPr="008F03E5">
        <w:tab/>
        <w:t>‘Izrá’íl</w:t>
      </w:r>
      <w:r w:rsidRPr="008F03E5">
        <w:tab/>
        <w:t>Azrael, the angel of death</w:t>
      </w:r>
    </w:p>
    <w:p w14:paraId="613143C3" w14:textId="77777777" w:rsidR="00625A5B" w:rsidRPr="008F03E5" w:rsidRDefault="00625A5B" w:rsidP="00D952A9">
      <w:pPr>
        <w:pStyle w:val="Translit"/>
      </w:pPr>
      <w:r w:rsidRPr="008F03E5">
        <w:t>Izz, ‘Izza</w:t>
      </w:r>
      <w:r w:rsidRPr="008F03E5">
        <w:tab/>
        <w:t>‘Izz, fem. ‘Izza[h or t]</w:t>
      </w:r>
      <w:r w:rsidRPr="008F03E5">
        <w:tab/>
        <w:t>might, power, standing, weight; strength, force; honour, glory, high rank, fame, celebrity, renown; pride</w:t>
      </w:r>
    </w:p>
    <w:p w14:paraId="3A01834E" w14:textId="77777777" w:rsidR="00625A5B" w:rsidRPr="008F03E5" w:rsidRDefault="00625A5B" w:rsidP="00900A82">
      <w:pPr>
        <w:pStyle w:val="Translit"/>
      </w:pPr>
      <w:r w:rsidRPr="008F03E5">
        <w:t>Izzatu’llah Zahra’i</w:t>
      </w:r>
      <w:r w:rsidRPr="008F03E5">
        <w:tab/>
        <w:t>‘Izzatu’lláh Zahrá’í</w:t>
      </w:r>
      <w:r w:rsidRPr="008F03E5">
        <w:tab/>
        <w:t>(Ezzat Zahrai)</w:t>
      </w:r>
    </w:p>
    <w:p w14:paraId="67171DA7" w14:textId="77777777" w:rsidR="00625A5B" w:rsidRPr="008F03E5" w:rsidRDefault="00625A5B" w:rsidP="0097630F">
      <w:pPr>
        <w:pStyle w:val="Translit"/>
      </w:pPr>
      <w:r w:rsidRPr="008F03E5">
        <w:t>Izzatu’llah</w:t>
      </w:r>
      <w:r w:rsidRPr="008F03E5">
        <w:tab/>
        <w:t>‘Izzatu’lláh</w:t>
      </w:r>
      <w:r w:rsidRPr="008F03E5">
        <w:tab/>
        <w:t>Might or Power of God</w:t>
      </w:r>
    </w:p>
    <w:p w14:paraId="7CD97318" w14:textId="77777777" w:rsidR="00625A5B" w:rsidRDefault="00625A5B" w:rsidP="0009663D">
      <w:pPr>
        <w:pStyle w:val="Translit"/>
      </w:pPr>
      <w:r w:rsidRPr="00660F23">
        <w:rPr>
          <w:lang w:val="en-US" w:eastAsia="en-US"/>
        </w:rPr>
        <w:t>Izzu’d-Dawl</w:t>
      </w:r>
      <w:r>
        <w:rPr>
          <w:lang w:val="en-US" w:eastAsia="en-US"/>
        </w:rPr>
        <w:t>a (</w:t>
      </w:r>
      <w:r w:rsidRPr="00660F23">
        <w:rPr>
          <w:lang w:val="en-US" w:eastAsia="en-US"/>
        </w:rPr>
        <w:t>‘Izzu’d-Dawlih</w:t>
      </w:r>
      <w:r>
        <w:rPr>
          <w:lang w:val="en-US" w:eastAsia="en-US"/>
        </w:rPr>
        <w:t>)</w:t>
      </w:r>
      <w:r>
        <w:rPr>
          <w:lang w:val="en-US" w:eastAsia="en-US"/>
        </w:rPr>
        <w:tab/>
      </w:r>
      <w:r w:rsidRPr="00660F23">
        <w:rPr>
          <w:lang w:val="en-US" w:eastAsia="en-US"/>
        </w:rPr>
        <w:t>‘Izzu’d-Dawl</w:t>
      </w:r>
      <w:r>
        <w:rPr>
          <w:lang w:val="en-US" w:eastAsia="en-US"/>
        </w:rPr>
        <w:t>a (</w:t>
      </w:r>
      <w:r w:rsidRPr="00660F23">
        <w:rPr>
          <w:lang w:val="en-US" w:eastAsia="en-US"/>
        </w:rPr>
        <w:t>‘Izzu’d-Dawlih</w:t>
      </w:r>
      <w:r>
        <w:rPr>
          <w:lang w:val="en-US" w:eastAsia="en-US"/>
        </w:rPr>
        <w:t>)</w:t>
      </w:r>
      <w:r>
        <w:rPr>
          <w:lang w:val="en-US" w:eastAsia="en-US"/>
        </w:rPr>
        <w:tab/>
        <w:t>“glory of the state”</w:t>
      </w:r>
    </w:p>
    <w:p w14:paraId="3D216158" w14:textId="77777777" w:rsidR="00625A5B" w:rsidRPr="00D45A23" w:rsidRDefault="00625A5B" w:rsidP="0024326A">
      <w:pPr>
        <w:pStyle w:val="Myhead"/>
        <w:rPr>
          <w:lang w:val="pl-PL"/>
        </w:rPr>
      </w:pPr>
      <w:bookmarkStart w:id="86" w:name="J"/>
      <w:r w:rsidRPr="00D45A23">
        <w:rPr>
          <w:lang w:val="pl-PL"/>
        </w:rPr>
        <w:t>J</w:t>
      </w:r>
      <w:bookmarkEnd w:id="86"/>
    </w:p>
    <w:p w14:paraId="44A04FF3" w14:textId="77777777" w:rsidR="00625A5B" w:rsidRPr="00D45A23" w:rsidRDefault="00625A5B" w:rsidP="008B1A8E">
      <w:pPr>
        <w:pStyle w:val="Translit"/>
        <w:rPr>
          <w:lang w:val="pl-PL"/>
        </w:rPr>
      </w:pPr>
      <w:r w:rsidRPr="00D45A23">
        <w:rPr>
          <w:lang w:val="pl-PL"/>
        </w:rPr>
        <w:t>Ja’ba, Ji’ab</w:t>
      </w:r>
      <w:r w:rsidRPr="00D45A23">
        <w:rPr>
          <w:lang w:val="pl-PL"/>
        </w:rPr>
        <w:tab/>
        <w:t>Ja‘ba[t], pl. Ji‘áb</w:t>
      </w:r>
      <w:r w:rsidRPr="00D45A23">
        <w:rPr>
          <w:lang w:val="pl-PL"/>
        </w:rPr>
        <w:tab/>
        <w:t>quiver; tube, pipe; gun barrel</w:t>
      </w:r>
      <w:r w:rsidRPr="00D45A23">
        <w:rPr>
          <w:rFonts w:eastAsia="Times New Roman"/>
          <w:lang w:val="pl-PL"/>
        </w:rPr>
        <w:t>; a case, box, desk, a cabinet</w:t>
      </w:r>
    </w:p>
    <w:p w14:paraId="5527F518" w14:textId="77777777" w:rsidR="00625A5B" w:rsidRPr="008F03E5" w:rsidRDefault="00625A5B" w:rsidP="00E548F7">
      <w:pPr>
        <w:pStyle w:val="Translit"/>
      </w:pPr>
      <w:r w:rsidRPr="00D45A23">
        <w:rPr>
          <w:lang w:val="pl-PL"/>
        </w:rPr>
        <w:t>Ja’far as-Sadiq, Ja’far-i-Sadiq</w:t>
      </w:r>
      <w:r w:rsidRPr="00D45A23">
        <w:rPr>
          <w:lang w:val="pl-PL"/>
        </w:rPr>
        <w:tab/>
        <w:t xml:space="preserve">Ja‘far aṣ-Ṣádiq, Pers. </w:t>
      </w:r>
      <w:r w:rsidRPr="008F03E5">
        <w:t>Ja‘far-i-Ṣádiq</w:t>
      </w:r>
      <w:r w:rsidRPr="008F03E5">
        <w:tab/>
        <w:t>the sixth Imám</w:t>
      </w:r>
    </w:p>
    <w:p w14:paraId="78F26F0F" w14:textId="77777777" w:rsidR="00625A5B" w:rsidRPr="008F03E5" w:rsidRDefault="00625A5B" w:rsidP="00900A82">
      <w:pPr>
        <w:pStyle w:val="Translit"/>
      </w:pPr>
      <w:r w:rsidRPr="008F03E5">
        <w:t>Ja’far</w:t>
      </w:r>
      <w:r w:rsidRPr="008F03E5">
        <w:tab/>
        <w:t>Ja‘far</w:t>
      </w:r>
      <w:r w:rsidRPr="008F03E5">
        <w:tab/>
        <w:t>little river, creek (Djaffar).  Abu’l-‘Abbás Aḥmad ibn Ja‘far (c. 842–892, r. 870–892), better known by his regnal name al-Mu‘tamid ‘alá ’lláh (“Dependent on God”), was the 15th Caliph of the (restored) Abbasid Caliphate.</w:t>
      </w:r>
    </w:p>
    <w:p w14:paraId="079B8E62" w14:textId="77777777" w:rsidR="00625A5B" w:rsidRPr="008F03E5" w:rsidRDefault="00625A5B" w:rsidP="00683C3B">
      <w:pPr>
        <w:pStyle w:val="Translit"/>
        <w:rPr>
          <w:rFonts w:eastAsia="PMingLiU"/>
          <w:lang w:eastAsia="zh-TW"/>
        </w:rPr>
      </w:pPr>
      <w:r w:rsidRPr="008F03E5">
        <w:rPr>
          <w:rFonts w:eastAsia="PMingLiU"/>
          <w:lang w:eastAsia="zh-TW"/>
        </w:rPr>
        <w:t>Ja’fari</w:t>
      </w:r>
      <w:r w:rsidRPr="008F03E5">
        <w:tab/>
      </w:r>
      <w:r w:rsidRPr="008F03E5">
        <w:rPr>
          <w:rFonts w:eastAsia="PMingLiU"/>
          <w:lang w:eastAsia="zh-TW"/>
        </w:rPr>
        <w:t>Ja‘farí</w:t>
      </w:r>
      <w:r w:rsidRPr="008F03E5">
        <w:tab/>
        <w:t xml:space="preserve">Pers. the finest kind of gold (named after a celebrated alchemist); a kind of cupola; a sort of screen (the interstices of the frame being lozenged); lattice-work; name of a yellow flower; parsley; name of a fortress.  </w:t>
      </w:r>
      <w:r w:rsidRPr="008F03E5">
        <w:rPr>
          <w:rFonts w:eastAsia="PMingLiU"/>
          <w:lang w:eastAsia="zh-TW"/>
        </w:rPr>
        <w:t>Ja‘farí jurisprudence, derived from the name of the sixth Im</w:t>
      </w:r>
      <w:r w:rsidRPr="008F03E5">
        <w:t>á</w:t>
      </w:r>
      <w:r w:rsidRPr="008F03E5">
        <w:rPr>
          <w:rFonts w:eastAsia="PMingLiU"/>
          <w:lang w:eastAsia="zh-TW"/>
        </w:rPr>
        <w:t>m</w:t>
      </w:r>
    </w:p>
    <w:p w14:paraId="75B209B5" w14:textId="77777777" w:rsidR="00625A5B" w:rsidRPr="008F03E5" w:rsidRDefault="00625A5B" w:rsidP="00900A82">
      <w:pPr>
        <w:pStyle w:val="Translit"/>
        <w:rPr>
          <w:rFonts w:eastAsia="PMingLiU"/>
          <w:lang w:eastAsia="zh-TW"/>
        </w:rPr>
      </w:pPr>
      <w:r w:rsidRPr="008F03E5">
        <w:rPr>
          <w:rFonts w:eastAsia="PMingLiU"/>
          <w:lang w:eastAsia="zh-TW"/>
        </w:rPr>
        <w:t>Ja’far-i-Istarabadi</w:t>
      </w:r>
      <w:r w:rsidRPr="008F03E5">
        <w:tab/>
      </w:r>
      <w:r w:rsidRPr="008F03E5">
        <w:rPr>
          <w:rFonts w:eastAsia="PMingLiU"/>
          <w:lang w:eastAsia="zh-TW"/>
        </w:rPr>
        <w:t>Ja‘far-i-Istarábádí</w:t>
      </w:r>
      <w:r w:rsidRPr="008F03E5">
        <w:tab/>
      </w:r>
    </w:p>
    <w:p w14:paraId="4A2B693A" w14:textId="77777777" w:rsidR="00625A5B" w:rsidRPr="008F03E5" w:rsidRDefault="00625A5B" w:rsidP="00900A82">
      <w:pPr>
        <w:pStyle w:val="Translit"/>
      </w:pPr>
      <w:r w:rsidRPr="008F03E5">
        <w:t>Ja’far-i-Tabrizi</w:t>
      </w:r>
      <w:r w:rsidRPr="008F03E5">
        <w:tab/>
        <w:t>Ja‘far-i-Tabrízí</w:t>
      </w:r>
      <w:r w:rsidRPr="008F03E5">
        <w:tab/>
      </w:r>
    </w:p>
    <w:p w14:paraId="7E70B54D" w14:textId="77777777" w:rsidR="00625A5B" w:rsidRPr="008F03E5" w:rsidRDefault="00625A5B" w:rsidP="00E548F7">
      <w:pPr>
        <w:pStyle w:val="Translit"/>
      </w:pPr>
      <w:r w:rsidRPr="008F03E5">
        <w:t>Ja’fariya, Ja’fariyyih</w:t>
      </w:r>
      <w:r w:rsidRPr="008F03E5">
        <w:tab/>
        <w:t>Ja‘faríya[t], Pers. Ja‘fariyya, Ja‘fariyyih</w:t>
      </w:r>
      <w:r w:rsidRPr="008F03E5">
        <w:tab/>
        <w:t>followers of the sixth Imám</w:t>
      </w:r>
    </w:p>
    <w:p w14:paraId="44E84601" w14:textId="77777777" w:rsidR="00625A5B" w:rsidRPr="00D45A23" w:rsidRDefault="00625A5B" w:rsidP="00900A82">
      <w:pPr>
        <w:pStyle w:val="Translit"/>
        <w:rPr>
          <w:lang w:val="pl-PL"/>
        </w:rPr>
      </w:pPr>
      <w:r w:rsidRPr="00D45A23">
        <w:rPr>
          <w:lang w:val="pl-PL"/>
        </w:rPr>
        <w:t>Ja’far-i-Yazdi</w:t>
      </w:r>
      <w:r w:rsidRPr="00D45A23">
        <w:rPr>
          <w:lang w:val="pl-PL"/>
        </w:rPr>
        <w:tab/>
        <w:t>Ja‘far-i-Yazdí</w:t>
      </w:r>
      <w:r w:rsidRPr="00D45A23">
        <w:rPr>
          <w:lang w:val="pl-PL"/>
        </w:rPr>
        <w:tab/>
        <w:t>(</w:t>
      </w:r>
      <w:r w:rsidRPr="00D45A23">
        <w:rPr>
          <w:sz w:val="16"/>
          <w:szCs w:val="16"/>
          <w:lang w:val="pl-PL"/>
        </w:rPr>
        <w:t>MF</w:t>
      </w:r>
      <w:r w:rsidRPr="00D45A23">
        <w:rPr>
          <w:lang w:val="pl-PL"/>
        </w:rPr>
        <w:t>)</w:t>
      </w:r>
    </w:p>
    <w:p w14:paraId="1DD277F2" w14:textId="77777777" w:rsidR="00625A5B" w:rsidRPr="00D45A23" w:rsidRDefault="00625A5B" w:rsidP="00900A82">
      <w:pPr>
        <w:pStyle w:val="Translit"/>
        <w:rPr>
          <w:lang w:val="pl-PL"/>
        </w:rPr>
      </w:pPr>
      <w:r w:rsidRPr="00D45A23">
        <w:rPr>
          <w:lang w:val="pl-PL"/>
        </w:rPr>
        <w:t>Ja’far-Quli</w:t>
      </w:r>
      <w:r w:rsidRPr="00D45A23">
        <w:rPr>
          <w:lang w:val="pl-PL"/>
        </w:rPr>
        <w:tab/>
        <w:t>Ja‘far-Qulí</w:t>
      </w:r>
      <w:r w:rsidRPr="00D45A23">
        <w:rPr>
          <w:lang w:val="pl-PL"/>
        </w:rPr>
        <w:tab/>
      </w:r>
    </w:p>
    <w:p w14:paraId="2E5041C0" w14:textId="77777777" w:rsidR="00625A5B" w:rsidRPr="008F03E5" w:rsidRDefault="00625A5B" w:rsidP="0046637C">
      <w:pPr>
        <w:pStyle w:val="Translit"/>
      </w:pPr>
      <w:r w:rsidRPr="00D45A23">
        <w:rPr>
          <w:lang w:val="pl-PL"/>
        </w:rPr>
        <w:t>Jabal al-Basit, Jabal-i-Basit</w:t>
      </w:r>
      <w:r w:rsidRPr="00D45A23">
        <w:rPr>
          <w:lang w:val="pl-PL"/>
        </w:rPr>
        <w:tab/>
        <w:t xml:space="preserve">Jabal al-Básiṭ, Pers. </w:t>
      </w:r>
      <w:r w:rsidRPr="008F03E5">
        <w:t>Jabal-i-Básiṭ</w:t>
      </w:r>
      <w:r w:rsidRPr="008F03E5">
        <w:tab/>
        <w:t>“the Open Mountain”—Máh-Kú (same numerical value as Básiṭ, 72) al-Básiṭ “the one who expands or stretches”)</w:t>
      </w:r>
    </w:p>
    <w:p w14:paraId="57F73D7D" w14:textId="77777777" w:rsidR="00625A5B" w:rsidRPr="008F03E5" w:rsidRDefault="00625A5B" w:rsidP="007F74DD">
      <w:pPr>
        <w:pStyle w:val="Translit"/>
      </w:pPr>
      <w:r w:rsidRPr="008F03E5">
        <w:t>Jabal al-Lawz</w:t>
      </w:r>
      <w:r w:rsidRPr="008F03E5">
        <w:tab/>
        <w:t>Jabal al-Lawz</w:t>
      </w:r>
      <w:r w:rsidRPr="008F03E5">
        <w:tab/>
        <w:t>“</w:t>
      </w:r>
      <w:r>
        <w:t>A</w:t>
      </w:r>
      <w:r w:rsidRPr="008F03E5">
        <w:t xml:space="preserve">lmond mountain” (light-coloured granite), a mountain located in </w:t>
      </w:r>
      <w:r w:rsidRPr="008F03E5">
        <w:rPr>
          <w:sz w:val="16"/>
          <w:szCs w:val="16"/>
        </w:rPr>
        <w:t>NW</w:t>
      </w:r>
      <w:r w:rsidRPr="008F03E5">
        <w:t xml:space="preserve"> Saudi Arabia (28.654166, 35.305833) 72 km south of the Jordan border and 51 km east of the Gulf of Aqaba, and elevation </w:t>
      </w:r>
      <w:r>
        <w:t xml:space="preserve">of </w:t>
      </w:r>
      <w:r w:rsidRPr="008F03E5">
        <w:t>2,580 m.  Logic suggests that this is the true Mountain of Moses or the biblical “Mt. Sinai” (a modern name), also known (in Exodus, Deuteronomy, 1 Kings 8:9 and 2 Chronicles 5:10) as Mount Horeb (Jabal al-Ḥúríb).  See Jabal al-Maqlá, Ṭúr as-Sín</w:t>
      </w:r>
      <w:r>
        <w:t>á</w:t>
      </w:r>
      <w:r w:rsidRPr="008F03E5">
        <w:t>, and Ṭúr.</w:t>
      </w:r>
    </w:p>
    <w:p w14:paraId="42FEBCFA" w14:textId="77777777" w:rsidR="00625A5B" w:rsidRPr="008F03E5" w:rsidRDefault="00625A5B" w:rsidP="00E92F98">
      <w:pPr>
        <w:pStyle w:val="Translit"/>
      </w:pPr>
      <w:r w:rsidRPr="008F03E5">
        <w:t>Jabal al-Maqla</w:t>
      </w:r>
      <w:r w:rsidRPr="008F03E5">
        <w:tab/>
        <w:t>Jabal al-Maqlá</w:t>
      </w:r>
      <w:r w:rsidRPr="008F03E5">
        <w:tab/>
        <w:t>“burnt mountain” (dark-coloured hornfels), about 7 km to the south (28.596194, 35.334111), and slightly lower (2,326 m) than Jabal al-Lawz.</w:t>
      </w:r>
    </w:p>
    <w:p w14:paraId="41A4911F" w14:textId="77777777" w:rsidR="00625A5B" w:rsidRPr="008F03E5" w:rsidRDefault="00625A5B" w:rsidP="00782463">
      <w:pPr>
        <w:pStyle w:val="Translit"/>
      </w:pPr>
      <w:r w:rsidRPr="008F03E5">
        <w:t>Jabal an-Nur</w:t>
      </w:r>
      <w:r w:rsidRPr="008F03E5">
        <w:tab/>
        <w:t>Jabal an-Núr</w:t>
      </w:r>
      <w:r w:rsidRPr="008F03E5">
        <w:tab/>
        <w:t>(“Mountain of the Light” or “Hill of the Illumination”) a ridge of hills on the north side of Mecca.  The “mountain” (Jabal Ḥirá’) was renamed Jabal a</w:t>
      </w:r>
      <w:r>
        <w:t>n</w:t>
      </w:r>
      <w:r w:rsidRPr="008F03E5">
        <w:t xml:space="preserve">-Núr after Muḥammad’s revelation in </w:t>
      </w:r>
      <w:r w:rsidRPr="008F03E5">
        <w:rPr>
          <w:u w:val="single"/>
        </w:rPr>
        <w:t>Gh</w:t>
      </w:r>
      <w:r w:rsidRPr="008F03E5">
        <w:t>ár Ḥirá’ (the Cave of Hira).  See Ḥirá’.</w:t>
      </w:r>
    </w:p>
    <w:p w14:paraId="616024FB" w14:textId="77777777" w:rsidR="00625A5B" w:rsidRPr="008F03E5" w:rsidRDefault="00625A5B" w:rsidP="002A2BDD">
      <w:pPr>
        <w:pStyle w:val="Translit"/>
      </w:pPr>
      <w:r w:rsidRPr="008F03E5">
        <w:t>Jabal a</w:t>
      </w:r>
      <w:r>
        <w:t>sh</w:t>
      </w:r>
      <w:r w:rsidRPr="008F03E5">
        <w:t>-Shadid, Jabal-i-Shadid</w:t>
      </w:r>
      <w:r w:rsidRPr="008F03E5">
        <w:tab/>
        <w:t>Jabal a</w:t>
      </w:r>
      <w:r w:rsidRPr="002A2BDD">
        <w:rPr>
          <w:u w:val="single"/>
        </w:rPr>
        <w:t>sh</w:t>
      </w:r>
      <w:r w:rsidRPr="008F03E5">
        <w:t>-</w:t>
      </w:r>
      <w:r w:rsidRPr="008F03E5">
        <w:rPr>
          <w:u w:val="single"/>
        </w:rPr>
        <w:t>Sh</w:t>
      </w:r>
      <w:r w:rsidRPr="008F03E5">
        <w:t>adíd, Pers. Jabal-i-</w:t>
      </w:r>
      <w:r w:rsidRPr="008F03E5">
        <w:rPr>
          <w:u w:val="single"/>
        </w:rPr>
        <w:t>Sh</w:t>
      </w:r>
      <w:r w:rsidRPr="008F03E5">
        <w:t>adíd</w:t>
      </w:r>
      <w:r w:rsidRPr="008F03E5">
        <w:tab/>
        <w:t xml:space="preserve">“the Grievous Mountain”—fortress of </w:t>
      </w:r>
      <w:r w:rsidRPr="008F03E5">
        <w:rPr>
          <w:u w:val="single"/>
        </w:rPr>
        <w:t>Ch</w:t>
      </w:r>
      <w:r w:rsidRPr="008F03E5">
        <w:t>ihríq</w:t>
      </w:r>
    </w:p>
    <w:p w14:paraId="40779F67" w14:textId="77777777" w:rsidR="00625A5B" w:rsidRPr="008F03E5" w:rsidRDefault="00625A5B" w:rsidP="00041868">
      <w:pPr>
        <w:pStyle w:val="Translit"/>
      </w:pPr>
      <w:r w:rsidRPr="008F03E5">
        <w:t>Jabal Mar Ilyas</w:t>
      </w:r>
      <w:r w:rsidRPr="008F03E5">
        <w:tab/>
        <w:t>Jabal Már Ilyás</w:t>
      </w:r>
      <w:r w:rsidRPr="008F03E5">
        <w:tab/>
        <w:t>Mount Saint Elijah, Arabic name for Mt. Carmel</w:t>
      </w:r>
    </w:p>
    <w:p w14:paraId="482B13AD" w14:textId="77777777" w:rsidR="00625A5B" w:rsidRPr="008F03E5" w:rsidRDefault="00625A5B" w:rsidP="00041868">
      <w:pPr>
        <w:pStyle w:val="Translit"/>
      </w:pPr>
      <w:r w:rsidRPr="008F03E5">
        <w:t>Jabal Qaf, Qaf-Kuh (Kaf-Qaf)</w:t>
      </w:r>
      <w:r w:rsidRPr="008F03E5">
        <w:tab/>
        <w:t>Jabal Qáf, Pers. Qáf-Kúh, Kúh-Qáf</w:t>
      </w:r>
      <w:r w:rsidRPr="008F03E5">
        <w:tab/>
        <w:t>Mount Qaf (Koh-Qaf, Qaf-i-Kuh, and Gapkuh “unknown mountain”) is a legendary mountain in the popular mythology of the Middle East.  In Iranian tradition, the northern Caucasus mountains, and ancient lore shrouded these high mountains in mystery.  In Arabian tradition, a mysterious mountain renowned as the “farthest point of the earth” owing to its location at the far side of the ocean encircling the earth.  Also the mountains surrounding the terrestrial world.  The name of the Caucasus mountains is said to have ultimately come from Kapkof or Kafkaz, corrupted variants of Gapkuh.</w:t>
      </w:r>
    </w:p>
    <w:p w14:paraId="379EA4D9" w14:textId="77777777" w:rsidR="00625A5B" w:rsidRPr="008F03E5" w:rsidRDefault="00625A5B" w:rsidP="00BF121E">
      <w:pPr>
        <w:pStyle w:val="Translit"/>
      </w:pPr>
      <w:r w:rsidRPr="008F03E5">
        <w:t>Jabal Sahyun (Jabal Sahioun)</w:t>
      </w:r>
      <w:r w:rsidRPr="008F03E5">
        <w:tab/>
        <w:t>Jabal Ṣahyún</w:t>
      </w:r>
      <w:r w:rsidRPr="008F03E5">
        <w:tab/>
        <w:t>Mount Zion.  #1 the Lower Eastern Hill (southern end of the City of David), #2 the Upper Eastern Hill (“Temple Mount” to the north of the Jewish Temple site), and today #3 the Western Hill to the southwest of Old Jerusalem.</w:t>
      </w:r>
    </w:p>
    <w:p w14:paraId="5C26D9DE" w14:textId="77777777" w:rsidR="00625A5B" w:rsidRPr="008F03E5" w:rsidRDefault="00625A5B" w:rsidP="00BF121E">
      <w:pPr>
        <w:pStyle w:val="Translit"/>
      </w:pPr>
      <w:r w:rsidRPr="00077779">
        <w:rPr>
          <w:lang w:val="es-ES_tradnl"/>
        </w:rPr>
        <w:t>Jabal, Jibal, Ajbal</w:t>
      </w:r>
      <w:r w:rsidRPr="00077779">
        <w:rPr>
          <w:lang w:val="es-ES_tradnl"/>
        </w:rPr>
        <w:tab/>
        <w:t xml:space="preserve">Jabal, pl. </w:t>
      </w:r>
      <w:r w:rsidRPr="008F03E5">
        <w:t>Jibál, Ajbál</w:t>
      </w:r>
      <w:r w:rsidRPr="008F03E5">
        <w:tab/>
        <w:t>mountain; mountains, mountain range</w:t>
      </w:r>
    </w:p>
    <w:p w14:paraId="59810CF6" w14:textId="77777777" w:rsidR="00625A5B" w:rsidRPr="008F03E5" w:rsidRDefault="00625A5B" w:rsidP="00DF7DC0">
      <w:pPr>
        <w:pStyle w:val="Translit"/>
      </w:pPr>
      <w:r w:rsidRPr="008F03E5">
        <w:t>Jabalaq wa Jabalas, Jabulqa wa Jabulsa</w:t>
      </w:r>
      <w:r w:rsidRPr="008F03E5">
        <w:tab/>
        <w:t>Jábalaq wa Jábalaṣ</w:t>
      </w:r>
      <w:r w:rsidRPr="008F03E5">
        <w:tab/>
        <w:t xml:space="preserve">(Pers. Jábulqá wa Jábulsá, the west and the east) twin mythical cities (in </w:t>
      </w:r>
      <w:r w:rsidRPr="008F03E5">
        <w:rPr>
          <w:u w:val="single"/>
        </w:rPr>
        <w:t>Sh</w:t>
      </w:r>
      <w:r w:rsidRPr="008F03E5">
        <w:t>í‘í ḥadí</w:t>
      </w:r>
      <w:r w:rsidRPr="008F03E5">
        <w:rPr>
          <w:u w:val="single"/>
        </w:rPr>
        <w:t>th</w:t>
      </w:r>
      <w:r w:rsidRPr="008F03E5">
        <w:t>), the dwelling place of the Hidden Imám (the Promised One), whence He will appear on the Day of Resurrection.</w:t>
      </w:r>
    </w:p>
    <w:p w14:paraId="46DB281C" w14:textId="77777777" w:rsidR="00625A5B" w:rsidRPr="008F03E5" w:rsidRDefault="00625A5B" w:rsidP="00DF7DC0">
      <w:pPr>
        <w:pStyle w:val="Translit"/>
      </w:pPr>
      <w:r w:rsidRPr="008F03E5">
        <w:rPr>
          <w:rFonts w:eastAsia="Times New Roman"/>
        </w:rPr>
        <w:t>Jabalaq, Jabulqa</w:t>
      </w:r>
      <w:r w:rsidRPr="008F03E5">
        <w:rPr>
          <w:rFonts w:eastAsia="Times New Roman"/>
        </w:rPr>
        <w:tab/>
        <w:t>J</w:t>
      </w:r>
      <w:r w:rsidRPr="008F03E5">
        <w:t>á</w:t>
      </w:r>
      <w:r w:rsidRPr="008F03E5">
        <w:rPr>
          <w:rFonts w:eastAsia="Times New Roman"/>
        </w:rPr>
        <w:t>balaq, Pers. Jábulqá</w:t>
      </w:r>
      <w:r w:rsidRPr="008F03E5">
        <w:rPr>
          <w:rFonts w:eastAsia="Times New Roman"/>
        </w:rPr>
        <w:tab/>
        <w:t>the east; name of another city, the limits of the world towards the east</w:t>
      </w:r>
    </w:p>
    <w:p w14:paraId="609EA5D8" w14:textId="77777777" w:rsidR="00625A5B" w:rsidRPr="008F03E5" w:rsidRDefault="00625A5B" w:rsidP="00DF7DC0">
      <w:pPr>
        <w:pStyle w:val="Translit"/>
        <w:rPr>
          <w:rFonts w:eastAsia="Times New Roman"/>
        </w:rPr>
      </w:pPr>
      <w:r w:rsidRPr="00077779">
        <w:rPr>
          <w:rFonts w:eastAsia="Times New Roman"/>
          <w:lang w:val="es-ES_tradnl"/>
        </w:rPr>
        <w:t>Jabalas, Jabursa, Jabulsa</w:t>
      </w:r>
      <w:r w:rsidRPr="00077779">
        <w:rPr>
          <w:rFonts w:eastAsia="Times New Roman"/>
          <w:lang w:val="es-ES_tradnl"/>
        </w:rPr>
        <w:tab/>
        <w:t xml:space="preserve">Jábalaṣ, Pers. </w:t>
      </w:r>
      <w:r w:rsidRPr="008F03E5">
        <w:rPr>
          <w:rFonts w:eastAsia="Times New Roman"/>
        </w:rPr>
        <w:t>Jábursá, Jábulsá</w:t>
      </w:r>
      <w:r w:rsidRPr="008F03E5">
        <w:rPr>
          <w:rFonts w:eastAsia="Times New Roman"/>
        </w:rPr>
        <w:tab/>
        <w:t>the west; name of a city in the west, beyond which there is no habitation.</w:t>
      </w:r>
    </w:p>
    <w:p w14:paraId="414D29FB" w14:textId="77777777" w:rsidR="00625A5B" w:rsidRPr="008F03E5" w:rsidRDefault="00625A5B" w:rsidP="005A4EC9">
      <w:pPr>
        <w:pStyle w:val="Translit"/>
      </w:pPr>
      <w:r w:rsidRPr="008F03E5">
        <w:t>Jabari</w:t>
      </w:r>
      <w:r w:rsidRPr="008F03E5">
        <w:tab/>
        <w:t>Jabarí</w:t>
      </w:r>
      <w:r w:rsidRPr="008F03E5">
        <w:tab/>
        <w:t>an adherent of the doctrine of predestination and the inescapability of fate; fatalist</w:t>
      </w:r>
    </w:p>
    <w:p w14:paraId="48506C35" w14:textId="77777777" w:rsidR="00625A5B" w:rsidRPr="008F03E5" w:rsidRDefault="00625A5B" w:rsidP="00B6450A">
      <w:pPr>
        <w:pStyle w:val="Translit"/>
      </w:pPr>
      <w:r w:rsidRPr="008F03E5">
        <w:t>Jabarut</w:t>
      </w:r>
      <w:r w:rsidRPr="008F03E5">
        <w:tab/>
        <w:t>Jabarút</w:t>
      </w:r>
      <w:r w:rsidRPr="008F03E5">
        <w:tab/>
        <w:t xml:space="preserve">omnipotence; power, might; tyranny.  </w:t>
      </w:r>
      <w:r w:rsidRPr="008F03E5">
        <w:rPr>
          <w:rFonts w:eastAsia="Times New Roman"/>
          <w:i/>
          <w:iCs/>
        </w:rPr>
        <w:t>‘álami jabarút,</w:t>
      </w:r>
      <w:r w:rsidRPr="008F03E5">
        <w:rPr>
          <w:rFonts w:eastAsia="Times New Roman"/>
        </w:rPr>
        <w:t xml:space="preserve"> “the highest heaven”,</w:t>
      </w:r>
      <w:r w:rsidRPr="008F03E5">
        <w:t xml:space="preserve"> “the All-highest Dominion” or “the Empyrean Heaven”—realm of being.  See Háhút, Láhút and Násút.</w:t>
      </w:r>
    </w:p>
    <w:p w14:paraId="505407EB" w14:textId="77777777" w:rsidR="00625A5B" w:rsidRPr="008F03E5" w:rsidRDefault="00625A5B" w:rsidP="0087580A">
      <w:pPr>
        <w:pStyle w:val="Translit"/>
      </w:pPr>
      <w:r w:rsidRPr="008F03E5">
        <w:t>Jabban</w:t>
      </w:r>
      <w:r w:rsidRPr="008F03E5">
        <w:tab/>
        <w:t>Jabbán</w:t>
      </w:r>
      <w:r w:rsidRPr="008F03E5">
        <w:tab/>
        <w:t>cheese merchant</w:t>
      </w:r>
    </w:p>
    <w:p w14:paraId="42C093F8" w14:textId="77777777" w:rsidR="00625A5B" w:rsidRPr="008F03E5" w:rsidRDefault="00625A5B" w:rsidP="0087580A">
      <w:pPr>
        <w:pStyle w:val="Translit"/>
      </w:pPr>
      <w:r w:rsidRPr="008F03E5">
        <w:t>Jabbani</w:t>
      </w:r>
      <w:r w:rsidRPr="008F03E5">
        <w:tab/>
        <w:t>Jabbání</w:t>
      </w:r>
      <w:r w:rsidRPr="008F03E5">
        <w:tab/>
        <w:t>Siyyid Jabbání</w:t>
      </w:r>
    </w:p>
    <w:p w14:paraId="70F96383" w14:textId="77777777" w:rsidR="00625A5B" w:rsidRPr="008F03E5" w:rsidRDefault="00625A5B" w:rsidP="0087580A">
      <w:pPr>
        <w:pStyle w:val="Translit"/>
      </w:pPr>
      <w:r w:rsidRPr="008F03E5">
        <w:t>Jabbar, Jabbarun, Jababir, Jababira</w:t>
      </w:r>
      <w:r w:rsidRPr="008F03E5">
        <w:tab/>
        <w:t>Jabbár, pl. Jabbárún, Jabábir, Jabábira</w:t>
      </w:r>
      <w:r w:rsidRPr="008F03E5">
        <w:tab/>
        <w:t>giant; colossus; tyrant, oppressor; almighty, omnipotent (God); gigantic, giant, colossal, huge; Orion (astronomy)</w:t>
      </w:r>
    </w:p>
    <w:p w14:paraId="2A6B914D" w14:textId="77777777" w:rsidR="00625A5B" w:rsidRPr="008F03E5" w:rsidRDefault="00625A5B" w:rsidP="00BF6F3C">
      <w:pPr>
        <w:pStyle w:val="Translit"/>
      </w:pPr>
      <w:r w:rsidRPr="008F03E5">
        <w:t>Jabir and Mujabbir</w:t>
      </w:r>
      <w:r w:rsidRPr="008F03E5">
        <w:tab/>
        <w:t>Jábir and Mujabbir</w:t>
      </w:r>
      <w:r w:rsidRPr="008F03E5">
        <w:tab/>
        <w:t>bonesetter; a repairer of anything broken.  Abú Músá Jábir ibn-i-Ḥayyán (d. c. 806–816) was a follower of Imám Ṣádiq who handed down his traditions.</w:t>
      </w:r>
    </w:p>
    <w:p w14:paraId="7BB2026C" w14:textId="77777777" w:rsidR="00625A5B" w:rsidRPr="008F03E5" w:rsidRDefault="00625A5B" w:rsidP="001461C2">
      <w:pPr>
        <w:pStyle w:val="Translit"/>
      </w:pPr>
      <w:r w:rsidRPr="008F03E5">
        <w:t>Jabr wa’l-muqabala</w:t>
      </w:r>
      <w:r w:rsidRPr="008F03E5">
        <w:tab/>
        <w:t>Jabr wa’l-muqábala</w:t>
      </w:r>
      <w:r w:rsidRPr="008F03E5">
        <w:tab/>
      </w:r>
      <w:r w:rsidRPr="008F03E5">
        <w:rPr>
          <w:i/>
          <w:iCs/>
        </w:rPr>
        <w:t>al-Jabr wa’l-muqábala</w:t>
      </w:r>
      <w:r w:rsidRPr="008F03E5">
        <w:t xml:space="preserve"> (“completing” or “restoring”, and “simplifying” or “balancing”).  Part of a book title from which the word “algebra” is derived.  See </w:t>
      </w:r>
      <w:r w:rsidRPr="008F03E5">
        <w:rPr>
          <w:u w:val="single"/>
        </w:rPr>
        <w:t>Kh</w:t>
      </w:r>
      <w:r w:rsidRPr="008F03E5">
        <w:t>wárizmí</w:t>
      </w:r>
    </w:p>
    <w:p w14:paraId="7713E610" w14:textId="77777777" w:rsidR="00625A5B" w:rsidRPr="008F03E5" w:rsidRDefault="00625A5B" w:rsidP="0078221D">
      <w:pPr>
        <w:pStyle w:val="Translit"/>
      </w:pPr>
      <w:r w:rsidRPr="008F03E5">
        <w:t>Jabr</w:t>
      </w:r>
      <w:r w:rsidRPr="008F03E5">
        <w:tab/>
        <w:t>Jabr</w:t>
      </w:r>
      <w:r w:rsidRPr="008F03E5">
        <w:tab/>
        <w:t>setting (of broken bones); force, compulsion; coercion, duress; power, might; (predestined, inescapable) decree of fate.  ‘ilm al-jabr—algebra</w:t>
      </w:r>
    </w:p>
    <w:p w14:paraId="516DE52E" w14:textId="77777777" w:rsidR="00625A5B" w:rsidRPr="008F03E5" w:rsidRDefault="00625A5B" w:rsidP="0041768B">
      <w:pPr>
        <w:pStyle w:val="Translit"/>
      </w:pPr>
      <w:r w:rsidRPr="008F03E5">
        <w:t>Jabra’il (Jibra’il), Jibril</w:t>
      </w:r>
      <w:r w:rsidRPr="008F03E5">
        <w:tab/>
        <w:t>Jabra’íl (Jibra’íl), Jibríl</w:t>
      </w:r>
      <w:r w:rsidRPr="008F03E5">
        <w:tab/>
        <w:t>Gabriel</w:t>
      </w:r>
    </w:p>
    <w:p w14:paraId="7FFDE8CE" w14:textId="77777777" w:rsidR="00625A5B" w:rsidRPr="008F03E5" w:rsidRDefault="00625A5B" w:rsidP="005A4EC9">
      <w:pPr>
        <w:pStyle w:val="Translit"/>
      </w:pPr>
      <w:bookmarkStart w:id="87" w:name="_Hlk62370488"/>
      <w:r w:rsidRPr="008F03E5">
        <w:t>Jabri, Jabariyan</w:t>
      </w:r>
      <w:r w:rsidRPr="008F03E5">
        <w:tab/>
        <w:t>Jabrí, pl. Jabariyán</w:t>
      </w:r>
      <w:r w:rsidRPr="008F03E5">
        <w:tab/>
        <w:t>algebraic; compulsory, forced.  See Jabarí.</w:t>
      </w:r>
    </w:p>
    <w:p w14:paraId="4AD91189" w14:textId="77777777" w:rsidR="00625A5B" w:rsidRPr="008F03E5" w:rsidRDefault="00625A5B" w:rsidP="00E26893">
      <w:pPr>
        <w:pStyle w:val="Translit"/>
      </w:pPr>
      <w:r w:rsidRPr="008F03E5">
        <w:t>Jabríya and Mujabbira</w:t>
      </w:r>
      <w:r w:rsidRPr="008F03E5">
        <w:tab/>
        <w:t>Jabríya[h] and Mujabbira</w:t>
      </w:r>
      <w:r>
        <w:t>[h or t]</w:t>
      </w:r>
      <w:r w:rsidRPr="008F03E5">
        <w:tab/>
        <w:t xml:space="preserve">“believers in forceful fate”, an early Islamic philosophical school </w:t>
      </w:r>
      <w:r>
        <w:t xml:space="preserve">that believes man has no free-will and </w:t>
      </w:r>
      <w:r w:rsidRPr="008F03E5">
        <w:t xml:space="preserve">are controlled by predestination.  Mujabbira </w:t>
      </w:r>
      <w:r>
        <w:t xml:space="preserve">forced.  </w:t>
      </w:r>
      <w:r w:rsidRPr="008F03E5">
        <w:t>See Qadaríya.</w:t>
      </w:r>
    </w:p>
    <w:p w14:paraId="0482816D" w14:textId="77777777" w:rsidR="00625A5B" w:rsidRPr="008F03E5" w:rsidRDefault="00625A5B" w:rsidP="00AB0630">
      <w:pPr>
        <w:pStyle w:val="Translit"/>
      </w:pPr>
      <w:r w:rsidRPr="008F03E5">
        <w:t>Jadal</w:t>
      </w:r>
      <w:r w:rsidRPr="008F03E5">
        <w:tab/>
        <w:t>Jadal</w:t>
      </w:r>
      <w:r w:rsidRPr="008F03E5">
        <w:tab/>
        <w:t>quarrel, argument; debate, dispute, discussion, controversy</w:t>
      </w:r>
    </w:p>
    <w:bookmarkEnd w:id="87"/>
    <w:p w14:paraId="1DABDF1C" w14:textId="77777777" w:rsidR="00625A5B" w:rsidRPr="008F03E5" w:rsidRDefault="00625A5B" w:rsidP="00763355">
      <w:pPr>
        <w:pStyle w:val="Translit"/>
      </w:pPr>
      <w:r w:rsidRPr="008F03E5">
        <w:t>Jadhb (Jazb)</w:t>
      </w:r>
      <w:r w:rsidRPr="008F03E5">
        <w:tab/>
        <w:t>Ja</w:t>
      </w:r>
      <w:r w:rsidRPr="008F03E5">
        <w:rPr>
          <w:u w:val="single"/>
        </w:rPr>
        <w:t>dh</w:t>
      </w:r>
      <w:r w:rsidRPr="008F03E5">
        <w:t>b</w:t>
      </w:r>
      <w:r w:rsidRPr="008F03E5">
        <w:tab/>
        <w:t>attraction; gravitation; appeal, lure, enticement, captivation</w:t>
      </w:r>
    </w:p>
    <w:p w14:paraId="659AE499" w14:textId="77777777" w:rsidR="00625A5B" w:rsidRPr="008F03E5" w:rsidRDefault="00625A5B" w:rsidP="00E42501">
      <w:pPr>
        <w:pStyle w:val="Translit"/>
      </w:pPr>
      <w:r w:rsidRPr="008F03E5">
        <w:t>Jadhba (Jazba), Jadhbat (Jazbat)</w:t>
      </w:r>
      <w:r w:rsidRPr="008F03E5">
        <w:tab/>
        <w:t>Ja</w:t>
      </w:r>
      <w:r w:rsidRPr="008F03E5">
        <w:rPr>
          <w:u w:val="single"/>
        </w:rPr>
        <w:t>dh</w:t>
      </w:r>
      <w:r w:rsidRPr="008F03E5">
        <w:t>ba (Jaẓba), pl. Ja</w:t>
      </w:r>
      <w:r w:rsidRPr="008F03E5">
        <w:rPr>
          <w:u w:val="single"/>
        </w:rPr>
        <w:t>dh</w:t>
      </w:r>
      <w:r w:rsidRPr="008F03E5">
        <w:t>bát (Jaẓbat)</w:t>
      </w:r>
      <w:r w:rsidRPr="008F03E5">
        <w:tab/>
        <w:t>Pers. passion, rage, fury; strong desire, craving for</w:t>
      </w:r>
    </w:p>
    <w:p w14:paraId="0240C0F7" w14:textId="77777777" w:rsidR="00625A5B" w:rsidRPr="008F03E5" w:rsidRDefault="00625A5B" w:rsidP="00076E8C">
      <w:pPr>
        <w:pStyle w:val="Translit"/>
      </w:pPr>
      <w:r w:rsidRPr="008F03E5">
        <w:t>Jadhbatu’llah (Jazbatu’llah)</w:t>
      </w:r>
      <w:r w:rsidRPr="008F03E5">
        <w:tab/>
        <w:t>Ja</w:t>
      </w:r>
      <w:r w:rsidRPr="008F03E5">
        <w:rPr>
          <w:u w:val="single"/>
        </w:rPr>
        <w:t>dh</w:t>
      </w:r>
      <w:r w:rsidRPr="008F03E5">
        <w:t>bátu’lláh (Jaẓbátu’lláh)</w:t>
      </w:r>
      <w:r w:rsidRPr="008F03E5">
        <w:tab/>
        <w:t>Pers. rages of God</w:t>
      </w:r>
    </w:p>
    <w:p w14:paraId="09376F1E" w14:textId="77777777" w:rsidR="00625A5B" w:rsidRPr="008F03E5" w:rsidRDefault="00625A5B" w:rsidP="00F4433B">
      <w:pPr>
        <w:pStyle w:val="Translit"/>
      </w:pPr>
      <w:r w:rsidRPr="008F03E5">
        <w:t>Jadhdhab</w:t>
      </w:r>
      <w:r w:rsidRPr="008F03E5">
        <w:tab/>
        <w:t>Ja</w:t>
      </w:r>
      <w:r w:rsidRPr="008F03E5">
        <w:rPr>
          <w:u w:val="single"/>
        </w:rPr>
        <w:t>dhdh</w:t>
      </w:r>
      <w:r w:rsidRPr="008F03E5">
        <w:t>áb</w:t>
      </w:r>
      <w:r w:rsidRPr="008F03E5">
        <w:tab/>
        <w:t>attractive; magnetic; suction; winning; charming</w:t>
      </w:r>
    </w:p>
    <w:p w14:paraId="2EAE8BE6" w14:textId="77777777" w:rsidR="00625A5B" w:rsidRPr="008F03E5" w:rsidRDefault="00625A5B" w:rsidP="00456AEB">
      <w:pPr>
        <w:pStyle w:val="Translit"/>
      </w:pPr>
      <w:r w:rsidRPr="008F03E5">
        <w:t>Jadhib</w:t>
      </w:r>
      <w:r w:rsidRPr="008F03E5">
        <w:tab/>
        <w:t>Já</w:t>
      </w:r>
      <w:r w:rsidRPr="008F03E5">
        <w:rPr>
          <w:u w:val="single"/>
        </w:rPr>
        <w:t>dh</w:t>
      </w:r>
      <w:r w:rsidRPr="008F03E5">
        <w:t>ib</w:t>
      </w:r>
      <w:r w:rsidRPr="008F03E5">
        <w:tab/>
        <w:t>attractive; magnetic (figuratively); winning, fetching, engaging; charming, enticing, captivating, gripping</w:t>
      </w:r>
    </w:p>
    <w:p w14:paraId="7939B149" w14:textId="77777777" w:rsidR="00625A5B" w:rsidRPr="008F03E5" w:rsidRDefault="00625A5B" w:rsidP="001958BE">
      <w:pPr>
        <w:pStyle w:val="Translit"/>
      </w:pPr>
      <w:r w:rsidRPr="008F03E5">
        <w:t>Jadhibiya, Jadhbiyyih</w:t>
      </w:r>
      <w:r w:rsidRPr="008F03E5">
        <w:tab/>
        <w:t>Já</w:t>
      </w:r>
      <w:r w:rsidRPr="008F03E5">
        <w:rPr>
          <w:u w:val="single"/>
        </w:rPr>
        <w:t>dh</w:t>
      </w:r>
      <w:r w:rsidRPr="008F03E5">
        <w:t>ibíya[h], Pers. also Já</w:t>
      </w:r>
      <w:r w:rsidRPr="008F03E5">
        <w:rPr>
          <w:u w:val="single"/>
        </w:rPr>
        <w:t>dh</w:t>
      </w:r>
      <w:r w:rsidRPr="008F03E5">
        <w:t>ibíyyih</w:t>
      </w:r>
      <w:r w:rsidRPr="008F03E5">
        <w:tab/>
        <w:t xml:space="preserve">gravitation; attraction; attractiveness; charm; fascination; magnetism (figuratively); lure, enticement.  </w:t>
      </w:r>
      <w:r w:rsidRPr="008F03E5">
        <w:rPr>
          <w:i/>
          <w:iCs/>
        </w:rPr>
        <w:t>Eminent Bahá’ís in the Time of Bahá’u’lláh</w:t>
      </w:r>
      <w:r w:rsidRPr="008F03E5">
        <w:t xml:space="preserve"> has Ja</w:t>
      </w:r>
      <w:r w:rsidRPr="008F03E5">
        <w:rPr>
          <w:u w:val="single"/>
        </w:rPr>
        <w:t>dh</w:t>
      </w:r>
      <w:r w:rsidRPr="008F03E5">
        <w:t>bíyyih.</w:t>
      </w:r>
    </w:p>
    <w:p w14:paraId="35533E0F" w14:textId="77777777" w:rsidR="00625A5B" w:rsidRPr="008F03E5" w:rsidRDefault="00625A5B" w:rsidP="005C29CB">
      <w:pPr>
        <w:pStyle w:val="Translit"/>
      </w:pPr>
      <w:r w:rsidRPr="008F03E5">
        <w:t>Jadid, Jadida, Judud, Judad, Jadidan</w:t>
      </w:r>
      <w:r w:rsidRPr="008F03E5">
        <w:tab/>
        <w:t>Jadíd, fem. Jadída[h], pl. Judud, Judad</w:t>
      </w:r>
      <w:r w:rsidRPr="008F03E5">
        <w:tab/>
        <w:t>new, recent; renewed; modern; novel, unprecedented.  al-jadídán (dual form) day and night.  al-judayda (diminutive) “the little new”.</w:t>
      </w:r>
    </w:p>
    <w:p w14:paraId="5580A355" w14:textId="77777777" w:rsidR="00625A5B" w:rsidRPr="008F03E5" w:rsidRDefault="00625A5B" w:rsidP="008328D7">
      <w:pPr>
        <w:pStyle w:val="Translit"/>
        <w:rPr>
          <w:rFonts w:eastAsia="PMingLiU"/>
          <w:lang w:eastAsia="zh-TW"/>
        </w:rPr>
      </w:pPr>
      <w:r w:rsidRPr="008F03E5">
        <w:rPr>
          <w:rFonts w:eastAsia="PMingLiU"/>
          <w:lang w:eastAsia="zh-TW"/>
        </w:rPr>
        <w:t>Jadidu’llah</w:t>
      </w:r>
      <w:r w:rsidRPr="008F03E5">
        <w:tab/>
      </w:r>
      <w:r w:rsidRPr="008F03E5">
        <w:rPr>
          <w:rFonts w:eastAsia="PMingLiU"/>
          <w:lang w:eastAsia="zh-TW"/>
        </w:rPr>
        <w:t>Jadídu’lláh</w:t>
      </w:r>
      <w:r w:rsidRPr="008F03E5">
        <w:tab/>
        <w:t xml:space="preserve">“New one of God”  </w:t>
      </w:r>
      <w:r w:rsidRPr="008F03E5">
        <w:rPr>
          <w:rFonts w:eastAsia="PMingLiU"/>
          <w:lang w:eastAsia="zh-TW"/>
        </w:rPr>
        <w:t>Jadídu’lláh A</w:t>
      </w:r>
      <w:r w:rsidRPr="008F03E5">
        <w:rPr>
          <w:u w:val="single"/>
        </w:rPr>
        <w:t>sh</w:t>
      </w:r>
      <w:r w:rsidRPr="008F03E5">
        <w:rPr>
          <w:rFonts w:eastAsia="PMingLiU"/>
          <w:lang w:eastAsia="zh-TW"/>
        </w:rPr>
        <w:t>raf</w:t>
      </w:r>
    </w:p>
    <w:p w14:paraId="4306E492" w14:textId="77777777" w:rsidR="00625A5B" w:rsidRPr="008F03E5" w:rsidRDefault="00625A5B" w:rsidP="00E37570">
      <w:pPr>
        <w:pStyle w:val="Translit"/>
        <w:rPr>
          <w:rFonts w:eastAsia="PMingLiU"/>
          <w:lang w:eastAsia="zh-TW"/>
        </w:rPr>
      </w:pPr>
      <w:r w:rsidRPr="008F03E5">
        <w:rPr>
          <w:rFonts w:eastAsia="PMingLiU"/>
          <w:lang w:eastAsia="zh-TW"/>
        </w:rPr>
        <w:t>Jaffa, Jafaf, Jufuf</w:t>
      </w:r>
      <w:r w:rsidRPr="008F03E5">
        <w:rPr>
          <w:rFonts w:eastAsia="PMingLiU"/>
          <w:lang w:eastAsia="zh-TW"/>
        </w:rPr>
        <w:tab/>
        <w:t>Jaffa, Jafáf, Jufúf</w:t>
      </w:r>
      <w:r w:rsidRPr="008F03E5">
        <w:rPr>
          <w:rFonts w:eastAsia="PMingLiU"/>
          <w:lang w:eastAsia="zh-TW"/>
        </w:rPr>
        <w:tab/>
        <w:t>to dry, become dry; to dry out</w:t>
      </w:r>
    </w:p>
    <w:p w14:paraId="7A7B9611" w14:textId="77777777" w:rsidR="00625A5B" w:rsidRPr="008F03E5" w:rsidRDefault="00625A5B" w:rsidP="00A73901">
      <w:pPr>
        <w:pStyle w:val="Translit"/>
        <w:rPr>
          <w:lang w:eastAsia="zh-TW"/>
        </w:rPr>
      </w:pPr>
      <w:r w:rsidRPr="008F03E5">
        <w:rPr>
          <w:rFonts w:eastAsia="PMingLiU"/>
          <w:lang w:eastAsia="zh-TW"/>
        </w:rPr>
        <w:t>Jafr</w:t>
      </w:r>
      <w:r w:rsidRPr="008F03E5">
        <w:rPr>
          <w:rFonts w:eastAsia="PMingLiU"/>
          <w:lang w:eastAsia="zh-TW"/>
        </w:rPr>
        <w:tab/>
        <w:t>Jafr</w:t>
      </w:r>
      <w:r w:rsidRPr="008F03E5">
        <w:rPr>
          <w:rFonts w:eastAsia="PMingLiU"/>
          <w:lang w:eastAsia="zh-TW"/>
        </w:rPr>
        <w:tab/>
        <w:t xml:space="preserve">numerical symbolism, science of numbers, numerical symbolism of letters, numerology, science of letters, alphabetical symbolism or divination.  </w:t>
      </w:r>
      <w:r w:rsidRPr="008F03E5">
        <w:t xml:space="preserve">Islamic science of the numerical values of 28 letters of the Arabic alphabet, ‘ilm al-ḥurúf; numerology.  It is applied to words, phrases, and letters of the Qur’án, the prophetic traditions (hadith), and other sources considered divinely inspired.  </w:t>
      </w:r>
      <w:r w:rsidRPr="008F03E5">
        <w:rPr>
          <w:lang w:eastAsia="zh-TW"/>
        </w:rPr>
        <w:t>‘ilm al-jafr (“science of jafr”):  divination, fortune telling.</w:t>
      </w:r>
    </w:p>
    <w:p w14:paraId="723912FE" w14:textId="77777777" w:rsidR="00625A5B" w:rsidRPr="008F03E5" w:rsidRDefault="00625A5B" w:rsidP="00B400DD">
      <w:pPr>
        <w:pStyle w:val="Translit"/>
        <w:rPr>
          <w:rFonts w:eastAsia="PMingLiU"/>
          <w:lang w:eastAsia="zh-TW"/>
        </w:rPr>
      </w:pPr>
      <w:r w:rsidRPr="008F03E5">
        <w:rPr>
          <w:rFonts w:eastAsia="PMingLiU"/>
          <w:lang w:eastAsia="zh-TW"/>
        </w:rPr>
        <w:t>Jahada, Jahd</w:t>
      </w:r>
      <w:r w:rsidRPr="008F03E5">
        <w:rPr>
          <w:rFonts w:eastAsia="PMingLiU"/>
          <w:lang w:eastAsia="zh-TW"/>
        </w:rPr>
        <w:tab/>
        <w:t>Jahada (Jahd)</w:t>
      </w:r>
      <w:r w:rsidRPr="008F03E5">
        <w:rPr>
          <w:rFonts w:eastAsia="PMingLiU"/>
          <w:lang w:eastAsia="zh-TW"/>
        </w:rPr>
        <w:tab/>
        <w:t xml:space="preserve">to endeavour, strive, labour, take pains, put oneself out; to over-work, overtax, fatigue, exhaust (someone).  Form </w:t>
      </w:r>
      <w:r w:rsidRPr="008F03E5">
        <w:rPr>
          <w:rFonts w:eastAsia="PMingLiU"/>
          <w:sz w:val="16"/>
          <w:szCs w:val="16"/>
          <w:lang w:eastAsia="zh-TW"/>
        </w:rPr>
        <w:t>III</w:t>
      </w:r>
      <w:r w:rsidRPr="008F03E5">
        <w:rPr>
          <w:rFonts w:eastAsia="PMingLiU"/>
          <w:lang w:eastAsia="zh-TW"/>
        </w:rPr>
        <w:t xml:space="preserve"> to endeavour, strive; to fight (for something); to wage holy war against the infidels. Form </w:t>
      </w:r>
      <w:r w:rsidRPr="008F03E5">
        <w:rPr>
          <w:sz w:val="16"/>
          <w:szCs w:val="16"/>
        </w:rPr>
        <w:t>IV</w:t>
      </w:r>
      <w:r w:rsidRPr="008F03E5">
        <w:rPr>
          <w:rFonts w:eastAsia="PMingLiU"/>
          <w:lang w:eastAsia="zh-TW"/>
        </w:rPr>
        <w:t xml:space="preserve"> to strain, exert (something); to tire, wear out, fatigue (someone), give trouble (to).</w:t>
      </w:r>
    </w:p>
    <w:p w14:paraId="129A8E0A" w14:textId="77777777" w:rsidR="00625A5B" w:rsidRPr="008F03E5" w:rsidRDefault="00625A5B" w:rsidP="007667EE">
      <w:pPr>
        <w:pStyle w:val="Translit"/>
      </w:pPr>
      <w:r w:rsidRPr="008F03E5">
        <w:rPr>
          <w:rFonts w:eastAsia="PMingLiU"/>
          <w:lang w:eastAsia="zh-TW"/>
        </w:rPr>
        <w:t>Jahan (Jihan)</w:t>
      </w:r>
      <w:r w:rsidRPr="008F03E5">
        <w:tab/>
      </w:r>
      <w:r w:rsidRPr="008F03E5">
        <w:rPr>
          <w:rFonts w:eastAsia="PMingLiU"/>
          <w:lang w:eastAsia="zh-TW"/>
        </w:rPr>
        <w:t>Jahán (Jihán)</w:t>
      </w:r>
      <w:r w:rsidRPr="008F03E5">
        <w:rPr>
          <w:rFonts w:eastAsia="PMingLiU"/>
          <w:lang w:eastAsia="zh-TW"/>
        </w:rPr>
        <w:tab/>
        <w:t>Pers. the world</w:t>
      </w:r>
      <w:r w:rsidRPr="008F03E5">
        <w:rPr>
          <w:rFonts w:eastAsia="Times New Roman"/>
        </w:rPr>
        <w:t>; an age; worldly possessions</w:t>
      </w:r>
    </w:p>
    <w:p w14:paraId="4E47E189" w14:textId="77777777" w:rsidR="00625A5B" w:rsidRPr="008F03E5" w:rsidRDefault="00625A5B" w:rsidP="00CC4EC9">
      <w:pPr>
        <w:pStyle w:val="Translit"/>
      </w:pPr>
      <w:r w:rsidRPr="008F03E5">
        <w:rPr>
          <w:rFonts w:eastAsia="PMingLiU"/>
          <w:lang w:eastAsia="zh-TW"/>
        </w:rPr>
        <w:t>Jahangir</w:t>
      </w:r>
      <w:r w:rsidRPr="008F03E5">
        <w:tab/>
      </w:r>
      <w:r w:rsidRPr="008F03E5">
        <w:rPr>
          <w:rFonts w:eastAsia="PMingLiU"/>
          <w:lang w:eastAsia="zh-TW"/>
        </w:rPr>
        <w:t>Jahángír</w:t>
      </w:r>
      <w:r w:rsidRPr="008F03E5">
        <w:tab/>
        <w:t>Pers. “conqueror of the world” Núri’d-Dín Muḥammad Salím (Mu</w:t>
      </w:r>
      <w:r w:rsidRPr="008F03E5">
        <w:rPr>
          <w:u w:val="single"/>
        </w:rPr>
        <w:t>gh</w:t>
      </w:r>
      <w:r w:rsidRPr="008F03E5">
        <w:t>ul Emperor)</w:t>
      </w:r>
    </w:p>
    <w:p w14:paraId="36A41EAF" w14:textId="77777777" w:rsidR="00625A5B" w:rsidRPr="008F03E5" w:rsidRDefault="00625A5B" w:rsidP="00370FC2">
      <w:pPr>
        <w:pStyle w:val="Translit"/>
      </w:pPr>
      <w:r w:rsidRPr="008F03E5">
        <w:t>Jahansuz</w:t>
      </w:r>
      <w:r w:rsidRPr="008F03E5">
        <w:tab/>
        <w:t>Jahánsúz</w:t>
      </w:r>
      <w:r w:rsidRPr="008F03E5">
        <w:tab/>
        <w:t>Pers. Jahán + súz “the burning of the world”</w:t>
      </w:r>
    </w:p>
    <w:p w14:paraId="5139F837" w14:textId="77777777" w:rsidR="00625A5B" w:rsidRPr="008F03E5" w:rsidRDefault="00625A5B" w:rsidP="00370FC2">
      <w:pPr>
        <w:pStyle w:val="Translit"/>
      </w:pPr>
      <w:r w:rsidRPr="008F03E5">
        <w:t>Jahil, Jahala, Juhhal, Juhala</w:t>
      </w:r>
      <w:r w:rsidRPr="008F03E5">
        <w:tab/>
        <w:t>Jáhil, pl. Jahala, Juhhal, Juhhál, Juhalá’</w:t>
      </w:r>
      <w:r w:rsidRPr="008F03E5">
        <w:tab/>
        <w:t>not knowing (something, how to do something); ignorant, uneducated, illiterate; foolish; fool</w:t>
      </w:r>
    </w:p>
    <w:p w14:paraId="37F42B40" w14:textId="77777777" w:rsidR="00625A5B" w:rsidRPr="008F03E5" w:rsidRDefault="00625A5B" w:rsidP="00BB2964">
      <w:pPr>
        <w:pStyle w:val="Translit"/>
      </w:pPr>
      <w:r w:rsidRPr="008F03E5">
        <w:t>Jahiliya, Jahiliyyih</w:t>
      </w:r>
      <w:r w:rsidRPr="008F03E5">
        <w:tab/>
        <w:t>Jáhilíya[h or t], Pers. Jáhilíyyih</w:t>
      </w:r>
      <w:r w:rsidRPr="008F03E5">
        <w:tab/>
        <w:t xml:space="preserve">state of ignorance; pre-Islamic paganism, pre-Islamic times (before </w:t>
      </w:r>
      <w:r w:rsidRPr="008F03E5">
        <w:rPr>
          <w:sz w:val="16"/>
          <w:szCs w:val="16"/>
        </w:rPr>
        <w:t>CE</w:t>
      </w:r>
      <w:r w:rsidRPr="008F03E5">
        <w:t xml:space="preserve"> 610), often translated as “Age of Ignorance”.  The dark age of ignorance among the Arabs before the appearance of Muḥammad.</w:t>
      </w:r>
    </w:p>
    <w:p w14:paraId="2D2C04DA" w14:textId="77777777" w:rsidR="00625A5B" w:rsidRPr="008F03E5" w:rsidRDefault="00625A5B" w:rsidP="00E865A0">
      <w:pPr>
        <w:pStyle w:val="Translit"/>
      </w:pPr>
      <w:r w:rsidRPr="008F03E5">
        <w:t>Jahiz</w:t>
      </w:r>
      <w:r w:rsidRPr="008F03E5">
        <w:tab/>
        <w:t>Jáḥiẓ</w:t>
      </w:r>
      <w:r w:rsidRPr="008F03E5">
        <w:tab/>
        <w:t>one who has prominent eyes.  Abú ‘U</w:t>
      </w:r>
      <w:r w:rsidRPr="008F03E5">
        <w:rPr>
          <w:u w:val="single"/>
        </w:rPr>
        <w:t>th</w:t>
      </w:r>
      <w:r w:rsidRPr="008F03E5">
        <w:t>man ‘Amr ibn Baḥr al-Kinání al-Baṣrí, commonly known as al-Jáḥiẓ (The Bug Eyed, 776–c. Dec. 868/Jan. 869) was a prose writer and author of works of literature, theology, zoology, and politico-religious polemics.</w:t>
      </w:r>
    </w:p>
    <w:p w14:paraId="0CC2E76E" w14:textId="77777777" w:rsidR="00625A5B" w:rsidRPr="008F03E5" w:rsidRDefault="00625A5B" w:rsidP="00E865A0">
      <w:pPr>
        <w:pStyle w:val="Translit"/>
      </w:pPr>
      <w:r w:rsidRPr="008F03E5">
        <w:t>Jahiz</w:t>
      </w:r>
      <w:r w:rsidRPr="008F03E5">
        <w:tab/>
        <w:t>Jahíz</w:t>
      </w:r>
      <w:r w:rsidRPr="008F03E5">
        <w:tab/>
        <w:t>running, flowing; fleet, agile; (Pers.) vestments and furniture of every kind which a bride brings to her husband’s house; a dowry.  Also called jahízíya.  it is separate from mahr.</w:t>
      </w:r>
    </w:p>
    <w:p w14:paraId="2C351E56" w14:textId="77777777" w:rsidR="00625A5B" w:rsidRPr="008F03E5" w:rsidRDefault="00625A5B" w:rsidP="007B363D">
      <w:pPr>
        <w:pStyle w:val="Translit"/>
      </w:pPr>
      <w:r w:rsidRPr="008F03E5">
        <w:t>Jahl, Jahal</w:t>
      </w:r>
      <w:r w:rsidRPr="008F03E5">
        <w:tab/>
        <w:t>Jahl and Jahála</w:t>
      </w:r>
      <w:r w:rsidRPr="008F03E5">
        <w:tab/>
        <w:t>ignorance; folly, foolishness, stupidity.  Amr ibn Hi</w:t>
      </w:r>
      <w:r w:rsidRPr="008F03E5">
        <w:rPr>
          <w:u w:val="single"/>
        </w:rPr>
        <w:t>sh</w:t>
      </w:r>
      <w:r w:rsidRPr="008F03E5">
        <w:t>ám, often known as Abú Jahl (556–624), was one of the Meccan polytheist pagan Quray</w:t>
      </w:r>
      <w:r w:rsidRPr="008F03E5">
        <w:rPr>
          <w:u w:val="single"/>
        </w:rPr>
        <w:t>sh</w:t>
      </w:r>
      <w:r w:rsidRPr="008F03E5">
        <w:t>í leaders known for his critical opposition towards Muḥammad and early Muslims in Mecca.</w:t>
      </w:r>
    </w:p>
    <w:p w14:paraId="0CD985A3" w14:textId="77777777" w:rsidR="00625A5B" w:rsidRPr="008F03E5" w:rsidRDefault="00625A5B" w:rsidP="00E90387">
      <w:pPr>
        <w:pStyle w:val="Translit"/>
      </w:pPr>
      <w:r w:rsidRPr="008F03E5">
        <w:t>Jahrum (Jahram, Jahrom)</w:t>
      </w:r>
      <w:r w:rsidRPr="008F03E5">
        <w:tab/>
        <w:t>Jahrum</w:t>
      </w:r>
      <w:r w:rsidRPr="008F03E5">
        <w:tab/>
        <w:t xml:space="preserve">city and county 155 km </w:t>
      </w:r>
      <w:r w:rsidRPr="008F03E5">
        <w:rPr>
          <w:sz w:val="16"/>
          <w:szCs w:val="16"/>
        </w:rPr>
        <w:t>SE</w:t>
      </w:r>
      <w:r w:rsidRPr="008F03E5">
        <w:t xml:space="preserve"> of </w:t>
      </w:r>
      <w:r w:rsidRPr="008F03E5">
        <w:rPr>
          <w:u w:val="single"/>
        </w:rPr>
        <w:t>Sh</w:t>
      </w:r>
      <w:r w:rsidRPr="008F03E5">
        <w:t>íráz</w:t>
      </w:r>
    </w:p>
    <w:p w14:paraId="0FE88121" w14:textId="77777777" w:rsidR="00625A5B" w:rsidRPr="008F03E5" w:rsidRDefault="00625A5B" w:rsidP="005A2AD0">
      <w:pPr>
        <w:pStyle w:val="Translit"/>
      </w:pPr>
      <w:r w:rsidRPr="008F03E5">
        <w:t>Jahsha, Jihash, Jihshan, Ajhash, Juhush</w:t>
      </w:r>
      <w:r w:rsidRPr="008F03E5">
        <w:tab/>
        <w:t>Jaḥ</w:t>
      </w:r>
      <w:r w:rsidRPr="008F03E5">
        <w:rPr>
          <w:u w:val="single"/>
        </w:rPr>
        <w:t>sh</w:t>
      </w:r>
      <w:r w:rsidRPr="008F03E5">
        <w:t>, fem. Jaḥ</w:t>
      </w:r>
      <w:r w:rsidRPr="008F03E5">
        <w:rPr>
          <w:u w:val="single"/>
        </w:rPr>
        <w:t>sh</w:t>
      </w:r>
      <w:r w:rsidRPr="008F03E5">
        <w:t>a</w:t>
      </w:r>
      <w:r w:rsidRPr="008F03E5">
        <w:tab/>
        <w:t>pl. Jiḥá</w:t>
      </w:r>
      <w:r w:rsidRPr="008F03E5">
        <w:rPr>
          <w:u w:val="single"/>
        </w:rPr>
        <w:t>sh</w:t>
      </w:r>
      <w:r w:rsidRPr="008F03E5">
        <w:t>, Jiḥ</w:t>
      </w:r>
      <w:r w:rsidRPr="008F03E5">
        <w:rPr>
          <w:u w:val="single"/>
        </w:rPr>
        <w:t>shá</w:t>
      </w:r>
      <w:r w:rsidRPr="008F03E5">
        <w:t>n, Ajḥá</w:t>
      </w:r>
      <w:r w:rsidRPr="008F03E5">
        <w:rPr>
          <w:u w:val="single"/>
        </w:rPr>
        <w:t>sh</w:t>
      </w:r>
      <w:r w:rsidRPr="008F03E5">
        <w:t xml:space="preserve"> young donkey;—(pl. Juḥú</w:t>
      </w:r>
      <w:r w:rsidRPr="008F03E5">
        <w:rPr>
          <w:u w:val="single"/>
        </w:rPr>
        <w:t>sh</w:t>
      </w:r>
      <w:r w:rsidRPr="008F03E5">
        <w:t>) trestle, horse</w:t>
      </w:r>
    </w:p>
    <w:p w14:paraId="65AE8A54" w14:textId="77777777" w:rsidR="00625A5B" w:rsidRPr="008F03E5" w:rsidRDefault="00625A5B" w:rsidP="00531CA3">
      <w:pPr>
        <w:pStyle w:val="Translit"/>
      </w:pPr>
      <w:r w:rsidRPr="008F03E5">
        <w:t>Jahul</w:t>
      </w:r>
      <w:r w:rsidRPr="008F03E5">
        <w:tab/>
        <w:t>Jahúl</w:t>
      </w:r>
      <w:r w:rsidRPr="008F03E5">
        <w:tab/>
        <w:t xml:space="preserve">ignorant; foolish, stupid.  Jahúl (translated as “ignorant”) in Qur’án 33:72 is a different form of the word meaning “unknown” </w:t>
      </w:r>
      <w:r w:rsidRPr="008F03E5">
        <w:rPr>
          <w:rFonts w:eastAsia="Times New Roman"/>
        </w:rPr>
        <w:t>according to the Báb (see SWB, p. 70) and ‘Abdu’l-Bahá (</w:t>
      </w:r>
      <w:r w:rsidRPr="008F03E5">
        <w:t>Má’idiy-i-Ásmání, vol. 2, p. 50</w:t>
      </w:r>
      <w:r w:rsidRPr="008F03E5">
        <w:rPr>
          <w:rFonts w:eastAsia="Times New Roman"/>
        </w:rPr>
        <w:t xml:space="preserve">).  See </w:t>
      </w:r>
      <w:r w:rsidRPr="008F03E5">
        <w:t>ẓ</w:t>
      </w:r>
      <w:r w:rsidRPr="008F03E5">
        <w:rPr>
          <w:rFonts w:eastAsia="Times New Roman"/>
        </w:rPr>
        <w:t>alúm</w:t>
      </w:r>
      <w:r w:rsidRPr="008F03E5">
        <w:t>.</w:t>
      </w:r>
    </w:p>
    <w:p w14:paraId="73FDB352" w14:textId="77777777" w:rsidR="00625A5B" w:rsidRPr="008F03E5" w:rsidRDefault="00625A5B" w:rsidP="003A645D">
      <w:pPr>
        <w:pStyle w:val="Translit"/>
      </w:pPr>
      <w:r w:rsidRPr="008F03E5">
        <w:rPr>
          <w:rFonts w:eastAsia="Times New Roman"/>
        </w:rPr>
        <w:t>Jajim</w:t>
      </w:r>
      <w:r w:rsidRPr="008F03E5">
        <w:rPr>
          <w:rFonts w:eastAsia="Times New Roman"/>
        </w:rPr>
        <w:tab/>
        <w:t>Jájim, Jájím</w:t>
      </w:r>
      <w:r w:rsidRPr="008F03E5">
        <w:rPr>
          <w:rFonts w:eastAsia="Times New Roman"/>
        </w:rPr>
        <w:tab/>
        <w:t>Pers. a fine bedding or carpet (often wool and with vertical stripes)</w:t>
      </w:r>
    </w:p>
    <w:p w14:paraId="66D545D3" w14:textId="77777777" w:rsidR="00625A5B" w:rsidRPr="008F03E5" w:rsidRDefault="00625A5B" w:rsidP="00102BE8">
      <w:pPr>
        <w:pStyle w:val="Translit"/>
      </w:pPr>
      <w:r w:rsidRPr="008F03E5">
        <w:t>Jalal ad-Dawla, Jalalu’d-Dawlih</w:t>
      </w:r>
      <w:r w:rsidRPr="008F03E5">
        <w:tab/>
        <w:t>Jalál ad-Dawla, Pers. Jalálu’d-Dawlih</w:t>
      </w:r>
      <w:r w:rsidRPr="008F03E5">
        <w:tab/>
        <w:t>a title, “the glory of the state”</w:t>
      </w:r>
    </w:p>
    <w:p w14:paraId="1EE4A538" w14:textId="77777777" w:rsidR="00625A5B" w:rsidRPr="008F03E5" w:rsidRDefault="00625A5B" w:rsidP="007B363D">
      <w:pPr>
        <w:pStyle w:val="Translit"/>
      </w:pPr>
      <w:r w:rsidRPr="008F03E5">
        <w:t>Jalal Khadih</w:t>
      </w:r>
      <w:r w:rsidRPr="008F03E5">
        <w:tab/>
        <w:t xml:space="preserve">Jalál </w:t>
      </w:r>
      <w:r w:rsidRPr="008F03E5">
        <w:rPr>
          <w:u w:val="single"/>
        </w:rPr>
        <w:t>Kh</w:t>
      </w:r>
      <w:r w:rsidRPr="008F03E5">
        <w:t>áḍih</w:t>
      </w:r>
      <w:r w:rsidRPr="008F03E5">
        <w:tab/>
        <w:t xml:space="preserve">Jalál </w:t>
      </w:r>
      <w:r w:rsidRPr="008F03E5">
        <w:rPr>
          <w:u w:val="single"/>
        </w:rPr>
        <w:t>Kh</w:t>
      </w:r>
      <w:r w:rsidRPr="008F03E5">
        <w:t>ázeh (1897–1990) was a Hand of the Cause of God</w:t>
      </w:r>
    </w:p>
    <w:p w14:paraId="44A30898" w14:textId="77777777" w:rsidR="00625A5B" w:rsidRPr="00B76C2F" w:rsidRDefault="00625A5B" w:rsidP="00B76C2F">
      <w:pPr>
        <w:pStyle w:val="Translit"/>
        <w:rPr>
          <w:lang w:val="fr-FR"/>
        </w:rPr>
      </w:pPr>
      <w:r w:rsidRPr="00B76C2F">
        <w:rPr>
          <w:lang w:val="fr-FR"/>
        </w:rPr>
        <w:t>Jalal</w:t>
      </w:r>
      <w:r w:rsidRPr="00B76C2F">
        <w:rPr>
          <w:lang w:val="fr-FR"/>
        </w:rPr>
        <w:tab/>
      </w:r>
      <w:r>
        <w:rPr>
          <w:lang w:val="fr-FR"/>
        </w:rPr>
        <w:t>J</w:t>
      </w:r>
      <w:r w:rsidRPr="00B76C2F">
        <w:rPr>
          <w:lang w:val="fr-FR"/>
        </w:rPr>
        <w:t>alal</w:t>
      </w:r>
      <w:r>
        <w:rPr>
          <w:lang w:val="fr-FR"/>
        </w:rPr>
        <w:tab/>
      </w:r>
      <w:r w:rsidRPr="00B76C2F">
        <w:rPr>
          <w:lang w:val="fr-FR"/>
        </w:rPr>
        <w:t>important, significant, momentous, weighty</w:t>
      </w:r>
    </w:p>
    <w:p w14:paraId="3D8D9259" w14:textId="77777777" w:rsidR="00625A5B" w:rsidRPr="008F03E5" w:rsidRDefault="00625A5B" w:rsidP="00720FC7">
      <w:pPr>
        <w:pStyle w:val="Translit"/>
      </w:pPr>
      <w:r w:rsidRPr="008F03E5">
        <w:t>Jalal</w:t>
      </w:r>
      <w:r w:rsidRPr="008F03E5">
        <w:tab/>
        <w:t>Jalál</w:t>
      </w:r>
      <w:r w:rsidRPr="008F03E5">
        <w:tab/>
        <w:t>loftiness, sublimity, augustness; splendour, glory</w:t>
      </w:r>
    </w:p>
    <w:p w14:paraId="7B344615" w14:textId="77777777" w:rsidR="00625A5B" w:rsidRPr="008F03E5" w:rsidRDefault="00625A5B" w:rsidP="00412E4A">
      <w:pPr>
        <w:pStyle w:val="Translit"/>
      </w:pPr>
      <w:r w:rsidRPr="008F03E5">
        <w:t>Jalali</w:t>
      </w:r>
      <w:r w:rsidRPr="008F03E5">
        <w:tab/>
        <w:t>Jalálí</w:t>
      </w:r>
      <w:r w:rsidRPr="008F03E5">
        <w:tab/>
        <w:t xml:space="preserve">Ar.? great, illustrious, majestic, glorious; terrible, awe-inspiring; an era reckoned from Jalálu’d-Dín (Akbar </w:t>
      </w:r>
      <w:r w:rsidRPr="008F03E5">
        <w:rPr>
          <w:u w:val="single"/>
        </w:rPr>
        <w:t>Sh</w:t>
      </w:r>
      <w:r w:rsidRPr="008F03E5">
        <w:t xml:space="preserve">áh), and beginning </w:t>
      </w:r>
      <w:r w:rsidRPr="008F03E5">
        <w:rPr>
          <w:sz w:val="16"/>
          <w:szCs w:val="16"/>
        </w:rPr>
        <w:t>CE</w:t>
      </w:r>
      <w:r w:rsidRPr="008F03E5">
        <w:t xml:space="preserve"> 1079</w:t>
      </w:r>
    </w:p>
    <w:p w14:paraId="1F718719" w14:textId="77777777" w:rsidR="00625A5B" w:rsidRPr="008F03E5" w:rsidRDefault="00625A5B" w:rsidP="001D0100">
      <w:pPr>
        <w:pStyle w:val="Translit"/>
      </w:pPr>
      <w:r w:rsidRPr="008F03E5">
        <w:rPr>
          <w:rFonts w:eastAsia="PMingLiU"/>
          <w:lang w:eastAsia="zh-TW"/>
        </w:rPr>
        <w:t>Jalaliya, Jalaliyyih</w:t>
      </w:r>
      <w:r w:rsidRPr="008F03E5">
        <w:tab/>
        <w:t xml:space="preserve">Jalálíya[t], Pers. also </w:t>
      </w:r>
      <w:r w:rsidRPr="008F03E5">
        <w:rPr>
          <w:rFonts w:eastAsia="PMingLiU"/>
          <w:lang w:eastAsia="zh-TW"/>
        </w:rPr>
        <w:t>Jaláliyyih</w:t>
      </w:r>
      <w:r w:rsidRPr="008F03E5">
        <w:tab/>
        <w:t>name of a sect who worships the more terrible attributes of the deity; the followers of Jalál Bu</w:t>
      </w:r>
      <w:r w:rsidRPr="008F03E5">
        <w:rPr>
          <w:u w:val="single"/>
        </w:rPr>
        <w:t>kh</w:t>
      </w:r>
      <w:r w:rsidRPr="008F03E5">
        <w:t>árí</w:t>
      </w:r>
    </w:p>
    <w:p w14:paraId="61587A1C" w14:textId="77777777" w:rsidR="00625A5B" w:rsidRPr="008F03E5" w:rsidRDefault="00625A5B" w:rsidP="0085781B">
      <w:pPr>
        <w:pStyle w:val="Translit"/>
      </w:pPr>
      <w:r w:rsidRPr="008F03E5">
        <w:t>Jalalu’d-Din Rumi</w:t>
      </w:r>
      <w:r w:rsidRPr="008F03E5">
        <w:tab/>
        <w:t>Jalálu’d-Dín Rúmí</w:t>
      </w:r>
      <w:r w:rsidRPr="008F03E5">
        <w:tab/>
        <w:t>(called Mawláná (“our Master”), is the greatest of all Persian Súfí poets, and founder of the Mawlawí “whirling” dervish order)</w:t>
      </w:r>
    </w:p>
    <w:p w14:paraId="1A516E93" w14:textId="77777777" w:rsidR="00625A5B" w:rsidRPr="008F03E5" w:rsidRDefault="00625A5B" w:rsidP="00331F01">
      <w:pPr>
        <w:pStyle w:val="Translit"/>
      </w:pPr>
      <w:r w:rsidRPr="008F03E5">
        <w:t>Jalalu’d-Din</w:t>
      </w:r>
      <w:r w:rsidRPr="008F03E5">
        <w:tab/>
        <w:t>Jalálu’d-Dín</w:t>
      </w:r>
      <w:r w:rsidRPr="008F03E5">
        <w:tab/>
        <w:t>(or Jaláli’d-Dín or Jalála’d-Dín) “Glory of the Faith”</w:t>
      </w:r>
    </w:p>
    <w:p w14:paraId="410BAE2E" w14:textId="77777777" w:rsidR="00625A5B" w:rsidRPr="008F03E5" w:rsidRDefault="00625A5B" w:rsidP="00331F01">
      <w:pPr>
        <w:pStyle w:val="Translit"/>
      </w:pPr>
      <w:r w:rsidRPr="008F03E5">
        <w:t>Jalálu’d-Dín-Dawla, Jalálu’d-Dín-Dawlih</w:t>
      </w:r>
      <w:r w:rsidRPr="008F03E5">
        <w:tab/>
        <w:t>Jalálu’d-Dín-Dawla</w:t>
      </w:r>
      <w:r w:rsidRPr="008F03E5">
        <w:tab/>
        <w:t xml:space="preserve">(Pers. Jalálu’d-Dín-Dawlih) title, “Glory of the Faith of the State”.  Seven Bahá’ís were executed on the order of the governor of Yazd, Ḥusayn Mírzá (name also given as Maḥmúd Mírzá), the Jalálu’d-Dín-Dawlih (the grandson of Náṣir ad-Dín </w:t>
      </w:r>
      <w:r w:rsidRPr="008F03E5">
        <w:rPr>
          <w:u w:val="single"/>
        </w:rPr>
        <w:t>Sh</w:t>
      </w:r>
      <w:r w:rsidRPr="008F03E5">
        <w:t>áh and the son of Mas‘úd Mírzá, the Ẓillu’s-Sulṭán) in 1891.  As a result, Baha’u’llah referred to him as the tyrant of the land of Yá (Yazd).</w:t>
      </w:r>
    </w:p>
    <w:p w14:paraId="7825FE10" w14:textId="77777777" w:rsidR="00625A5B" w:rsidRPr="008F03E5" w:rsidRDefault="00625A5B" w:rsidP="00DB3771">
      <w:pPr>
        <w:pStyle w:val="Translit"/>
      </w:pPr>
      <w:r w:rsidRPr="008F03E5">
        <w:t>Jali, Jaliy</w:t>
      </w:r>
      <w:r w:rsidRPr="008F03E5">
        <w:tab/>
        <w:t>Jalí, Jálí, Jalíy</w:t>
      </w:r>
      <w:r w:rsidRPr="008F03E5">
        <w:tab/>
        <w:t>clear, plain, evident, patent, manifest, obvious, conspicuous; shining, polished.  Loudly and publicly, as in prayers, etc.</w:t>
      </w:r>
    </w:p>
    <w:p w14:paraId="6490A678" w14:textId="77777777" w:rsidR="00625A5B" w:rsidRPr="008F03E5" w:rsidRDefault="00625A5B" w:rsidP="00CE7B2A">
      <w:pPr>
        <w:pStyle w:val="Translit"/>
      </w:pPr>
      <w:r w:rsidRPr="008F03E5">
        <w:t>Jalil, Ajilla’, Ajilla, Jala’il</w:t>
      </w:r>
      <w:r w:rsidRPr="008F03E5">
        <w:tab/>
        <w:t>Jalíl, Ajillá’, Ajilla, Jalá’il</w:t>
      </w:r>
      <w:r w:rsidRPr="008F03E5">
        <w:tab/>
        <w:t>great, important, significant, weighty, momentous; lofty, exalted, sublime; revered, honourable, venerable; glorious, splendid</w:t>
      </w:r>
    </w:p>
    <w:p w14:paraId="1C4F30C6" w14:textId="77777777" w:rsidR="00625A5B" w:rsidRPr="00D45A23" w:rsidRDefault="00625A5B" w:rsidP="00900A82">
      <w:pPr>
        <w:pStyle w:val="Translit"/>
        <w:rPr>
          <w:lang w:val="pl-PL"/>
        </w:rPr>
      </w:pPr>
      <w:r w:rsidRPr="00D45A23">
        <w:rPr>
          <w:lang w:val="pl-PL"/>
        </w:rPr>
        <w:t>Jalil-i-Khu’i</w:t>
      </w:r>
      <w:r w:rsidRPr="00D45A23">
        <w:rPr>
          <w:lang w:val="pl-PL"/>
        </w:rPr>
        <w:tab/>
        <w:t>Jalíl-i-</w:t>
      </w:r>
      <w:r w:rsidRPr="00D45A23">
        <w:rPr>
          <w:u w:val="single"/>
          <w:lang w:val="pl-PL"/>
        </w:rPr>
        <w:t>Kh</w:t>
      </w:r>
      <w:r w:rsidRPr="00D45A23">
        <w:rPr>
          <w:lang w:val="pl-PL"/>
        </w:rPr>
        <w:t>u’í</w:t>
      </w:r>
      <w:r w:rsidRPr="00D45A23">
        <w:rPr>
          <w:lang w:val="pl-PL"/>
        </w:rPr>
        <w:tab/>
      </w:r>
    </w:p>
    <w:p w14:paraId="250ED3FA" w14:textId="77777777" w:rsidR="00625A5B" w:rsidRPr="00D45A23" w:rsidRDefault="00625A5B" w:rsidP="00900A82">
      <w:pPr>
        <w:pStyle w:val="Translit"/>
        <w:rPr>
          <w:lang w:val="pl-PL"/>
        </w:rPr>
      </w:pPr>
      <w:r w:rsidRPr="00D45A23">
        <w:rPr>
          <w:lang w:val="pl-PL"/>
        </w:rPr>
        <w:t>Jalil-i-Tabrizi</w:t>
      </w:r>
      <w:r w:rsidRPr="00D45A23">
        <w:rPr>
          <w:lang w:val="pl-PL"/>
        </w:rPr>
        <w:tab/>
        <w:t>Jalíl-i-Tabrízí</w:t>
      </w:r>
      <w:r w:rsidRPr="00D45A23">
        <w:rPr>
          <w:lang w:val="pl-PL"/>
        </w:rPr>
        <w:tab/>
      </w:r>
    </w:p>
    <w:p w14:paraId="44E6F290" w14:textId="77777777" w:rsidR="00625A5B" w:rsidRPr="008F03E5" w:rsidRDefault="00625A5B" w:rsidP="00A5166D">
      <w:pPr>
        <w:pStyle w:val="Translit"/>
      </w:pPr>
      <w:r w:rsidRPr="00D45A23">
        <w:rPr>
          <w:lang w:val="pl-PL"/>
        </w:rPr>
        <w:t>Jalinus, Ghalinua, Isqinus</w:t>
      </w:r>
      <w:r w:rsidRPr="00D45A23">
        <w:rPr>
          <w:lang w:val="pl-PL"/>
        </w:rPr>
        <w:tab/>
        <w:t>Jálínús</w:t>
      </w:r>
      <w:r w:rsidRPr="00D45A23">
        <w:rPr>
          <w:lang w:val="pl-PL"/>
        </w:rPr>
        <w:tab/>
        <w:t xml:space="preserve">from Greek Galenus.  </w:t>
      </w:r>
      <w:r w:rsidRPr="00D45A23">
        <w:rPr>
          <w:lang w:val="fr-FR"/>
        </w:rPr>
        <w:t>Aelius or Claudius Galenus (</w:t>
      </w:r>
      <w:r w:rsidRPr="00D45A23">
        <w:rPr>
          <w:sz w:val="16"/>
          <w:szCs w:val="16"/>
          <w:lang w:val="fr-FR"/>
        </w:rPr>
        <w:t>CE</w:t>
      </w:r>
      <w:r w:rsidRPr="00D45A23">
        <w:rPr>
          <w:lang w:val="fr-FR"/>
        </w:rPr>
        <w:t xml:space="preserve"> 129–c. </w:t>
      </w:r>
      <w:r w:rsidRPr="008F03E5">
        <w:t xml:space="preserve">200/ 216), commonly known as Galen of Pergamon, a very famous physician, surgeon and philosopher in the Roman Empire.  Also from Greek, </w:t>
      </w:r>
      <w:r w:rsidRPr="008F03E5">
        <w:rPr>
          <w:u w:val="single"/>
        </w:rPr>
        <w:t>Gh</w:t>
      </w:r>
      <w:r w:rsidRPr="008F03E5">
        <w:t>álínús or Isqilínus.</w:t>
      </w:r>
    </w:p>
    <w:p w14:paraId="6AF468DC" w14:textId="77777777" w:rsidR="00625A5B" w:rsidRPr="008F03E5" w:rsidRDefault="00625A5B" w:rsidP="00101E87">
      <w:pPr>
        <w:pStyle w:val="Translit"/>
      </w:pPr>
      <w:r w:rsidRPr="008F03E5">
        <w:t>Jallabiya, Jallabiyat, Jalalib, Jalabiya</w:t>
      </w:r>
      <w:r w:rsidRPr="008F03E5">
        <w:tab/>
        <w:t>Jallábíya, pl. Jallábíyát, Jalálíb, Jalabiya</w:t>
      </w:r>
      <w:r w:rsidRPr="008F03E5">
        <w:tab/>
        <w:t>(Egyptian) a loose, shirtlike garment, the common dress of the male population in Egypt.  Gallábíya, pl. Gallábíyát, Galálíb, Galabiya</w:t>
      </w:r>
    </w:p>
    <w:p w14:paraId="3D67A500" w14:textId="77777777" w:rsidR="00625A5B" w:rsidRPr="008F03E5" w:rsidRDefault="00625A5B" w:rsidP="00FB4866">
      <w:pPr>
        <w:pStyle w:val="Translit"/>
      </w:pPr>
      <w:r w:rsidRPr="008F03E5">
        <w:t>Jalwa, Jilwa</w:t>
      </w:r>
      <w:r w:rsidRPr="008F03E5">
        <w:tab/>
        <w:t>Jalwa[t], Jilwa[t]</w:t>
      </w:r>
      <w:r w:rsidRPr="008F03E5">
        <w:tab/>
        <w:t>splendour, lustre, effulgence, transfiguration; pesenting a bride to her husband adorned and unveiled; the meeting of the bride and bridegroom; the nuptial bed; the bridal ornaments.  See jilwa</w:t>
      </w:r>
    </w:p>
    <w:p w14:paraId="4C31CC30" w14:textId="77777777" w:rsidR="00625A5B" w:rsidRPr="008F03E5" w:rsidRDefault="00625A5B" w:rsidP="00BE224C">
      <w:pPr>
        <w:pStyle w:val="Translit"/>
      </w:pPr>
      <w:r w:rsidRPr="008F03E5">
        <w:t>Jam</w:t>
      </w:r>
      <w:r w:rsidRPr="008F03E5">
        <w:tab/>
        <w:t>Jam</w:t>
      </w:r>
      <w:r w:rsidRPr="008F03E5">
        <w:tab/>
        <w:t>Pers. name of an ancient king of Persia, whom they confound with Solomon and Alexander the Great; a monarch, a great king; the pupil of the eye; pure, free, exempt; essence, nature, person.  (Zend or Avestan:  yima and Sanskrit:  yama [“the twins”].  Yama became Jam).  See Jam</w:t>
      </w:r>
      <w:r w:rsidRPr="008F03E5">
        <w:rPr>
          <w:u w:val="single"/>
        </w:rPr>
        <w:t>sh</w:t>
      </w:r>
      <w:r w:rsidRPr="008F03E5">
        <w:t>íd</w:t>
      </w:r>
      <w:r>
        <w:t>.</w:t>
      </w:r>
    </w:p>
    <w:p w14:paraId="2D732973" w14:textId="77777777" w:rsidR="00625A5B" w:rsidRPr="008F03E5" w:rsidRDefault="00625A5B" w:rsidP="00340BBA">
      <w:pPr>
        <w:pStyle w:val="Translit"/>
      </w:pPr>
      <w:r w:rsidRPr="008F03E5">
        <w:t>Jam, Jamat</w:t>
      </w:r>
      <w:r w:rsidRPr="008F03E5">
        <w:tab/>
        <w:t>Jám, pl. Jámát</w:t>
      </w:r>
      <w:r w:rsidRPr="008F03E5">
        <w:tab/>
        <w:t>cup; drinking vessel; bowl</w:t>
      </w:r>
    </w:p>
    <w:p w14:paraId="3609FCB7" w14:textId="77777777" w:rsidR="00625A5B" w:rsidRPr="008F03E5" w:rsidRDefault="00625A5B" w:rsidP="009257C1">
      <w:pPr>
        <w:pStyle w:val="Translit"/>
      </w:pPr>
      <w:r w:rsidRPr="008F03E5">
        <w:t>Jam’, Jumu’</w:t>
      </w:r>
      <w:r w:rsidRPr="008F03E5">
        <w:tab/>
        <w:t>Jam‘, pl. Jumú‘</w:t>
      </w:r>
      <w:r w:rsidRPr="008F03E5">
        <w:tab/>
        <w:t>gathering; collection; combination; connection, coupling, joining; accumulation; (arithmetic) addition; union, merger, aggregation, integration (of) holding together (of divergent, separate things);—(pl.) gathering, crowd, throng; gang, troop</w:t>
      </w:r>
    </w:p>
    <w:p w14:paraId="3830CD73" w14:textId="77777777" w:rsidR="00625A5B" w:rsidRPr="008F03E5" w:rsidRDefault="00625A5B" w:rsidP="009257C1">
      <w:pPr>
        <w:pStyle w:val="Translit"/>
        <w:rPr>
          <w:rFonts w:eastAsia="Times New Roman"/>
        </w:rPr>
      </w:pPr>
      <w:r w:rsidRPr="008F03E5">
        <w:rPr>
          <w:rFonts w:eastAsia="Times New Roman"/>
        </w:rPr>
        <w:t>Jam’i</w:t>
      </w:r>
      <w:r w:rsidRPr="008F03E5">
        <w:rPr>
          <w:rFonts w:eastAsia="Times New Roman"/>
        </w:rPr>
        <w:tab/>
        <w:t>Jam‘í</w:t>
      </w:r>
      <w:r w:rsidRPr="008F03E5">
        <w:rPr>
          <w:rFonts w:eastAsia="Times New Roman"/>
        </w:rPr>
        <w:tab/>
        <w:t>a total, assembly, a many.</w:t>
      </w:r>
    </w:p>
    <w:p w14:paraId="43468DDE" w14:textId="77777777" w:rsidR="00625A5B" w:rsidRPr="008F03E5" w:rsidRDefault="00625A5B" w:rsidP="009257C1">
      <w:pPr>
        <w:pStyle w:val="Translit"/>
      </w:pPr>
      <w:r w:rsidRPr="00077779">
        <w:t>Jam’iya, Jam’iyat</w:t>
      </w:r>
      <w:r w:rsidRPr="00077779">
        <w:tab/>
        <w:t xml:space="preserve">Jam‘iya[t], pl. </w:t>
      </w:r>
      <w:r w:rsidRPr="008F03E5">
        <w:t>Jam‘iyát</w:t>
      </w:r>
      <w:r w:rsidRPr="008F03E5">
        <w:tab/>
        <w:t>club, association, society; corporation, organization; assembly, community</w:t>
      </w:r>
    </w:p>
    <w:p w14:paraId="04BD565E" w14:textId="77777777" w:rsidR="00625A5B" w:rsidRPr="008F03E5" w:rsidRDefault="00625A5B" w:rsidP="009257C1">
      <w:pPr>
        <w:pStyle w:val="Translit"/>
      </w:pPr>
      <w:r w:rsidRPr="008F03E5">
        <w:rPr>
          <w:rFonts w:eastAsia="Times New Roman"/>
        </w:rPr>
        <w:t>Jam’iyat</w:t>
      </w:r>
      <w:r w:rsidRPr="008F03E5">
        <w:rPr>
          <w:rFonts w:eastAsia="Times New Roman"/>
        </w:rPr>
        <w:tab/>
        <w:t>Jam‘íya[h or t]</w:t>
      </w:r>
      <w:r w:rsidRPr="008F03E5">
        <w:rPr>
          <w:rFonts w:eastAsia="Times New Roman"/>
        </w:rPr>
        <w:tab/>
        <w:t>a collection; a collected state; composure, tranquillity</w:t>
      </w:r>
    </w:p>
    <w:p w14:paraId="6EA70A05" w14:textId="77777777" w:rsidR="00625A5B" w:rsidRPr="008F03E5" w:rsidRDefault="00625A5B" w:rsidP="009257C1">
      <w:pPr>
        <w:pStyle w:val="Translit"/>
      </w:pPr>
      <w:r w:rsidRPr="00AC55A9">
        <w:t>Jama’a, Jama’at</w:t>
      </w:r>
      <w:r w:rsidRPr="00AC55A9">
        <w:tab/>
        <w:t xml:space="preserve">Jamá‘a[h or t], pl. </w:t>
      </w:r>
      <w:r w:rsidRPr="008F03E5">
        <w:t>Jamá‘át</w:t>
      </w:r>
      <w:r w:rsidRPr="008F03E5">
        <w:tab/>
        <w:t>group (of people); band, gang, party, troop; community; squad (military unit)</w:t>
      </w:r>
    </w:p>
    <w:p w14:paraId="193852A9" w14:textId="77777777" w:rsidR="00625A5B" w:rsidRPr="008F03E5" w:rsidRDefault="00625A5B" w:rsidP="0005129E">
      <w:pPr>
        <w:pStyle w:val="Translit"/>
      </w:pPr>
      <w:r w:rsidRPr="008F03E5">
        <w:t>Jamad, Jamadat</w:t>
      </w:r>
      <w:r w:rsidRPr="008F03E5">
        <w:tab/>
        <w:t>Jamád, pl. Jamádát</w:t>
      </w:r>
      <w:r w:rsidRPr="008F03E5">
        <w:tab/>
        <w:t>a solid; inorganic body; mineral; inanimate body, inanimate being</w:t>
      </w:r>
    </w:p>
    <w:p w14:paraId="20C7E601" w14:textId="77777777" w:rsidR="00625A5B" w:rsidRPr="008F03E5" w:rsidRDefault="00625A5B" w:rsidP="00B932FD">
      <w:pPr>
        <w:pStyle w:val="Translit"/>
      </w:pPr>
      <w:r w:rsidRPr="008F03E5">
        <w:t>Jamadiyu’l-Awwal (Jamadiyu’l-Avval)</w:t>
      </w:r>
      <w:r w:rsidRPr="008F03E5">
        <w:tab/>
        <w:t>Jamádíyu’l-Awwal</w:t>
      </w:r>
      <w:r w:rsidRPr="008F03E5">
        <w:tab/>
        <w:t xml:space="preserve">fifth month in Islamic calendar </w:t>
      </w:r>
      <w:r>
        <w:t xml:space="preserve">or </w:t>
      </w:r>
      <w:r w:rsidRPr="008F03E5">
        <w:t>Jamádíyu’l-</w:t>
      </w:r>
      <w:r>
        <w:t>‘</w:t>
      </w:r>
      <w:r w:rsidRPr="00936349">
        <w:t>Úla</w:t>
      </w:r>
      <w:r w:rsidRPr="008F03E5">
        <w:t xml:space="preserve"> (</w:t>
      </w:r>
      <w:r>
        <w:t>both as</w:t>
      </w:r>
      <w:r w:rsidRPr="008F03E5">
        <w:t xml:space="preserve"> transcripted </w:t>
      </w:r>
      <w:r>
        <w:t xml:space="preserve">in </w:t>
      </w:r>
      <w:r w:rsidRPr="008F03E5">
        <w:t>Bahá’í writings)</w:t>
      </w:r>
      <w:r>
        <w:t xml:space="preserve">.  See </w:t>
      </w:r>
      <w:r w:rsidRPr="008F03E5">
        <w:t>Jumádá al-Awwal</w:t>
      </w:r>
      <w:r>
        <w:t>.</w:t>
      </w:r>
    </w:p>
    <w:p w14:paraId="2FCF6837" w14:textId="77777777" w:rsidR="00625A5B" w:rsidRPr="00B932FD" w:rsidRDefault="00625A5B" w:rsidP="00B932FD">
      <w:pPr>
        <w:pStyle w:val="Translit"/>
      </w:pPr>
      <w:r w:rsidRPr="008F03E5">
        <w:rPr>
          <w:rFonts w:eastAsia="PMingLiU"/>
          <w:lang w:eastAsia="zh-TW"/>
        </w:rPr>
        <w:t>Jamadiyu’th-Thani</w:t>
      </w:r>
      <w:r w:rsidRPr="008F03E5">
        <w:tab/>
      </w:r>
      <w:r w:rsidRPr="008F03E5">
        <w:rPr>
          <w:rFonts w:eastAsia="PMingLiU"/>
          <w:lang w:eastAsia="zh-TW"/>
        </w:rPr>
        <w:t>Jamádíyu’</w:t>
      </w:r>
      <w:r w:rsidRPr="008F03E5">
        <w:rPr>
          <w:u w:val="single"/>
        </w:rPr>
        <w:t>th</w:t>
      </w:r>
      <w:r w:rsidRPr="008F03E5">
        <w:rPr>
          <w:rFonts w:eastAsia="PMingLiU"/>
          <w:lang w:eastAsia="zh-TW"/>
        </w:rPr>
        <w:t>-</w:t>
      </w:r>
      <w:r w:rsidRPr="008F03E5">
        <w:rPr>
          <w:u w:val="single"/>
        </w:rPr>
        <w:t>Th</w:t>
      </w:r>
      <w:r w:rsidRPr="008F03E5">
        <w:rPr>
          <w:rFonts w:eastAsia="PMingLiU"/>
          <w:lang w:eastAsia="zh-TW"/>
        </w:rPr>
        <w:t>ání</w:t>
      </w:r>
      <w:r w:rsidRPr="008F03E5">
        <w:tab/>
        <w:t xml:space="preserve">sixth month in Islamic calendar </w:t>
      </w:r>
      <w:r>
        <w:t xml:space="preserve">or </w:t>
      </w:r>
      <w:r w:rsidRPr="008F03E5">
        <w:t>Jamádíy</w:t>
      </w:r>
      <w:r w:rsidRPr="00B932FD">
        <w:t>u’l-‘Á</w:t>
      </w:r>
      <w:r w:rsidRPr="00B932FD">
        <w:rPr>
          <w:u w:val="single"/>
        </w:rPr>
        <w:t>kh</w:t>
      </w:r>
      <w:r w:rsidRPr="00B932FD">
        <w:t>irah (</w:t>
      </w:r>
      <w:r>
        <w:t xml:space="preserve">both </w:t>
      </w:r>
      <w:r w:rsidRPr="00B932FD">
        <w:t>as transcripted in Bahá’í writings)</w:t>
      </w:r>
      <w:r>
        <w:t xml:space="preserve">.  See </w:t>
      </w:r>
      <w:r w:rsidRPr="008F03E5">
        <w:t>Jumádá a</w:t>
      </w:r>
      <w:r w:rsidRPr="008F03E5">
        <w:rPr>
          <w:u w:val="single"/>
        </w:rPr>
        <w:t>th</w:t>
      </w:r>
      <w:r w:rsidRPr="008F03E5">
        <w:t>-</w:t>
      </w:r>
      <w:r w:rsidRPr="008F03E5">
        <w:rPr>
          <w:u w:val="single"/>
        </w:rPr>
        <w:t>Th</w:t>
      </w:r>
      <w:r w:rsidRPr="008F03E5">
        <w:t>ání</w:t>
      </w:r>
      <w:r>
        <w:t>.</w:t>
      </w:r>
    </w:p>
    <w:p w14:paraId="42DDD421" w14:textId="77777777" w:rsidR="00625A5B" w:rsidRPr="008F03E5" w:rsidRDefault="00625A5B" w:rsidP="003A0762">
      <w:pPr>
        <w:pStyle w:val="Translit"/>
      </w:pPr>
      <w:r w:rsidRPr="008F03E5">
        <w:t>Jamal Afandi (Jamal Effendi)</w:t>
      </w:r>
      <w:r w:rsidRPr="008F03E5">
        <w:tab/>
        <w:t>Jamál Afandí (Effendi)</w:t>
      </w:r>
      <w:r w:rsidRPr="008F03E5">
        <w:tab/>
        <w:t xml:space="preserve">name given to Sulaymán </w:t>
      </w:r>
      <w:r w:rsidRPr="008F03E5">
        <w:rPr>
          <w:u w:val="single"/>
        </w:rPr>
        <w:t>Kh</w:t>
      </w:r>
      <w:r w:rsidRPr="008F03E5">
        <w:t>án-i-Tunukábání</w:t>
      </w:r>
    </w:p>
    <w:p w14:paraId="531FE123" w14:textId="77777777" w:rsidR="00625A5B" w:rsidRPr="00546A69" w:rsidRDefault="00625A5B" w:rsidP="0097630F">
      <w:pPr>
        <w:pStyle w:val="Translit"/>
        <w:rPr>
          <w:lang w:val="fr-FR"/>
        </w:rPr>
      </w:pPr>
      <w:r w:rsidRPr="00546A69">
        <w:rPr>
          <w:lang w:val="fr-FR"/>
        </w:rPr>
        <w:t>Jamal</w:t>
      </w:r>
      <w:r w:rsidRPr="00546A69">
        <w:rPr>
          <w:lang w:val="fr-FR"/>
        </w:rPr>
        <w:tab/>
        <w:t>Jamál</w:t>
      </w:r>
      <w:r w:rsidRPr="00546A69">
        <w:rPr>
          <w:lang w:val="fr-FR"/>
        </w:rPr>
        <w:tab/>
        <w:t>beauty</w:t>
      </w:r>
    </w:p>
    <w:p w14:paraId="090CCBD1" w14:textId="77777777" w:rsidR="00625A5B" w:rsidRPr="008F03E5" w:rsidRDefault="00625A5B" w:rsidP="00456925">
      <w:pPr>
        <w:pStyle w:val="Translit"/>
      </w:pPr>
      <w:r w:rsidRPr="00546A69">
        <w:rPr>
          <w:lang w:val="fr-FR"/>
        </w:rPr>
        <w:t>Jamal, Jimal</w:t>
      </w:r>
      <w:r w:rsidRPr="00546A69">
        <w:rPr>
          <w:lang w:val="fr-FR"/>
        </w:rPr>
        <w:tab/>
        <w:t xml:space="preserve">Jamal, pl. </w:t>
      </w:r>
      <w:r w:rsidRPr="008F03E5">
        <w:t>Jimál, Ajmál</w:t>
      </w:r>
      <w:r w:rsidRPr="008F03E5">
        <w:tab/>
        <w:t xml:space="preserve">camel.  Qur’án 7:40 expresses an impossibility (“a camel passing through a needle’s eye”), and it is unlikely that al-jamal within the verse should be translated as “camel”.  A better reading is obtained using jummal (“a thick rope” or “a twisted cable”).  It is argued that God would not have coined such an inappropriate metaphor, whereas, “a twisted rope passing through a needle’s eye” has a relationship between the rope and needle.  Source Imám ‘Alí.  Muhammad Asad in </w:t>
      </w:r>
      <w:r w:rsidRPr="008F03E5">
        <w:rPr>
          <w:i/>
          <w:iCs/>
        </w:rPr>
        <w:t>The Message of the Qur’án</w:t>
      </w:r>
      <w:r w:rsidRPr="008F03E5">
        <w:t>, fn. 32, p. 292.</w:t>
      </w:r>
    </w:p>
    <w:p w14:paraId="4AF3CB12" w14:textId="77777777" w:rsidR="00625A5B" w:rsidRPr="008F03E5" w:rsidRDefault="00625A5B" w:rsidP="00183036">
      <w:pPr>
        <w:pStyle w:val="Translit"/>
      </w:pPr>
      <w:r w:rsidRPr="008F03E5">
        <w:t>Jamal-Abha</w:t>
      </w:r>
      <w:r w:rsidRPr="008F03E5">
        <w:tab/>
        <w:t>Jamál-Abhá</w:t>
      </w:r>
      <w:r w:rsidRPr="008F03E5">
        <w:tab/>
        <w:t>Abhá Beauty, a title of Bahá’u’lláh</w:t>
      </w:r>
    </w:p>
    <w:p w14:paraId="05C24995" w14:textId="77777777" w:rsidR="00625A5B" w:rsidRPr="00D45A23" w:rsidRDefault="00625A5B" w:rsidP="005571F4">
      <w:pPr>
        <w:pStyle w:val="Translit"/>
        <w:rPr>
          <w:lang w:val="fr-FR"/>
        </w:rPr>
      </w:pPr>
      <w:r w:rsidRPr="00D45A23">
        <w:rPr>
          <w:lang w:val="fr-FR"/>
        </w:rPr>
        <w:t>Jamali</w:t>
      </w:r>
      <w:r w:rsidRPr="00D45A23">
        <w:rPr>
          <w:lang w:val="fr-FR"/>
        </w:rPr>
        <w:tab/>
      </w:r>
      <w:r w:rsidRPr="00D45A23">
        <w:rPr>
          <w:rFonts w:eastAsia="Times New Roman"/>
          <w:lang w:val="fr-FR"/>
        </w:rPr>
        <w:t>Jamálí</w:t>
      </w:r>
      <w:r w:rsidRPr="00D45A23">
        <w:rPr>
          <w:rFonts w:eastAsia="Times New Roman"/>
          <w:lang w:val="fr-FR"/>
        </w:rPr>
        <w:tab/>
        <w:t>(Ar. influence) amiable, lovable</w:t>
      </w:r>
    </w:p>
    <w:p w14:paraId="098D9D05" w14:textId="77777777" w:rsidR="00625A5B" w:rsidRPr="008F03E5" w:rsidRDefault="00625A5B" w:rsidP="00900A82">
      <w:pPr>
        <w:pStyle w:val="Translit"/>
      </w:pPr>
      <w:r w:rsidRPr="008F03E5">
        <w:t>Jamali’d-Din</w:t>
      </w:r>
      <w:r w:rsidRPr="008F03E5">
        <w:tab/>
        <w:t>Jamáli’d-Dín</w:t>
      </w:r>
      <w:r w:rsidRPr="008F03E5">
        <w:tab/>
        <w:t>Beauty of the Faith</w:t>
      </w:r>
    </w:p>
    <w:p w14:paraId="18CD6BA9" w14:textId="77777777" w:rsidR="00625A5B" w:rsidRPr="00D45A23" w:rsidRDefault="00625A5B" w:rsidP="00900A82">
      <w:pPr>
        <w:pStyle w:val="Translit"/>
        <w:rPr>
          <w:lang w:val="pl-PL"/>
        </w:rPr>
      </w:pPr>
      <w:r w:rsidRPr="00D45A23">
        <w:rPr>
          <w:lang w:val="pl-PL"/>
        </w:rPr>
        <w:t>Jamal-i-Burujirdi</w:t>
      </w:r>
      <w:r w:rsidRPr="00D45A23">
        <w:rPr>
          <w:lang w:val="pl-PL"/>
        </w:rPr>
        <w:tab/>
        <w:t>Jamál-i-Burújirdí</w:t>
      </w:r>
      <w:r w:rsidRPr="00D45A23">
        <w:rPr>
          <w:lang w:val="pl-PL"/>
        </w:rPr>
        <w:tab/>
      </w:r>
    </w:p>
    <w:p w14:paraId="1BA7F7A1" w14:textId="77777777" w:rsidR="00625A5B" w:rsidRPr="008F03E5" w:rsidRDefault="00625A5B" w:rsidP="00693188">
      <w:pPr>
        <w:pStyle w:val="Translit"/>
      </w:pPr>
      <w:r w:rsidRPr="008F03E5">
        <w:t>Jamal-i-Mubarak</w:t>
      </w:r>
      <w:r w:rsidRPr="008F03E5">
        <w:tab/>
        <w:t>Jamál-i-Mubárak</w:t>
      </w:r>
      <w:r w:rsidRPr="008F03E5">
        <w:tab/>
        <w:t>“The Blessed Beauty”.  Title used by some Bahá’ís for Bahá’u’lláh.</w:t>
      </w:r>
    </w:p>
    <w:p w14:paraId="15D3AF09" w14:textId="77777777" w:rsidR="00625A5B" w:rsidRPr="008F03E5" w:rsidRDefault="00625A5B" w:rsidP="0097630F">
      <w:pPr>
        <w:pStyle w:val="Translit"/>
      </w:pPr>
      <w:r w:rsidRPr="008F03E5">
        <w:t>Jamal-i-Qidam</w:t>
      </w:r>
      <w:r w:rsidRPr="008F03E5">
        <w:tab/>
        <w:t>Jamál-i-Qidam</w:t>
      </w:r>
      <w:r w:rsidRPr="008F03E5">
        <w:tab/>
        <w:t>The Ancient Beauty.  A title of Bahá’u’lláh.</w:t>
      </w:r>
    </w:p>
    <w:p w14:paraId="74EEB40C" w14:textId="77777777" w:rsidR="00625A5B" w:rsidRPr="008F03E5" w:rsidRDefault="00625A5B" w:rsidP="00900A82">
      <w:pPr>
        <w:pStyle w:val="Translit"/>
      </w:pPr>
      <w:r w:rsidRPr="008F03E5">
        <w:t>Jamalu’d-Din-i-Afghani</w:t>
      </w:r>
      <w:r w:rsidRPr="008F03E5">
        <w:tab/>
        <w:t>Jamálu’d-Dín-i-Af</w:t>
      </w:r>
      <w:r w:rsidRPr="008F03E5">
        <w:rPr>
          <w:u w:val="single"/>
        </w:rPr>
        <w:t>gh</w:t>
      </w:r>
      <w:r w:rsidRPr="008F03E5">
        <w:t>ání</w:t>
      </w:r>
      <w:r w:rsidRPr="008F03E5">
        <w:tab/>
      </w:r>
    </w:p>
    <w:p w14:paraId="047E3104" w14:textId="77777777" w:rsidR="00625A5B" w:rsidRPr="008F03E5" w:rsidRDefault="00625A5B" w:rsidP="00E2297A">
      <w:pPr>
        <w:pStyle w:val="Translit"/>
      </w:pPr>
      <w:r w:rsidRPr="008F03E5">
        <w:t>Jami</w:t>
      </w:r>
      <w:r w:rsidRPr="008F03E5">
        <w:tab/>
        <w:t>Jámí</w:t>
      </w:r>
      <w:r w:rsidRPr="008F03E5">
        <w:tab/>
        <w:t>of or from Jámí (modern Ghor Province, Afghanistan) in Khorasan.  Núr ad-Dín ‘Abd ar-Raḥmán Jámí, also known as Mawlaná Núr a</w:t>
      </w:r>
      <w:r>
        <w:t>d</w:t>
      </w:r>
      <w:r w:rsidRPr="008F03E5">
        <w:t>-Dín ‘Abd a</w:t>
      </w:r>
      <w:r>
        <w:t>r</w:t>
      </w:r>
      <w:r w:rsidRPr="008F03E5">
        <w:t>-Raḥmán or ‘Abd ar-Raḥmán Núr ad-Dín Muḥammad Da</w:t>
      </w:r>
      <w:r w:rsidRPr="008F03E5">
        <w:rPr>
          <w:u w:val="single"/>
        </w:rPr>
        <w:t>sh</w:t>
      </w:r>
      <w:r w:rsidRPr="008F03E5">
        <w:t>tí, or simply as Jámí or Djámí (1414–1492), was a Persian Sunní poet who is known for his achievements as a prolific scholar and writer of mystical ṣúfí literature.</w:t>
      </w:r>
    </w:p>
    <w:p w14:paraId="782B1548" w14:textId="77777777" w:rsidR="00625A5B" w:rsidRPr="008F03E5" w:rsidRDefault="00625A5B" w:rsidP="002D1C36">
      <w:pPr>
        <w:pStyle w:val="Translit"/>
      </w:pPr>
      <w:r w:rsidRPr="008F03E5">
        <w:t>Jami’, Jami’ an-Nas, Jami’an</w:t>
      </w:r>
      <w:r w:rsidRPr="008F03E5">
        <w:tab/>
        <w:t>Jamí‘</w:t>
      </w:r>
      <w:r w:rsidRPr="008F03E5">
        <w:tab/>
        <w:t>(with following genitive) total; whole, entire; all; entirety; e.g., jamí‘ an-nás all men, all mankind; al-jamí‘ all people, everybody; the public at large; jamí‘an in a body, altogether, one and all, all of them; entirely, wholly, totally</w:t>
      </w:r>
    </w:p>
    <w:p w14:paraId="27DC5927" w14:textId="77777777" w:rsidR="00625A5B" w:rsidRPr="008F03E5" w:rsidRDefault="00625A5B" w:rsidP="00EE3DBC">
      <w:pPr>
        <w:pStyle w:val="Translit"/>
      </w:pPr>
      <w:r w:rsidRPr="008F03E5">
        <w:t>Jami’, Jawami’</w:t>
      </w:r>
      <w:r w:rsidRPr="008F03E5">
        <w:tab/>
        <w:t>Jámi‘, pl. Jawámi‘</w:t>
      </w:r>
      <w:r w:rsidRPr="008F03E5">
        <w:tab/>
        <w:t>comprehensive, extensive, broad, general, universal; collector; compiler (of a book); compositor, typesetter;—pl. c</w:t>
      </w:r>
      <w:r w:rsidRPr="008F03E5">
        <w:rPr>
          <w:rFonts w:eastAsia="Times New Roman"/>
        </w:rPr>
        <w:t>omprehensive, full; temples, mosques.  M</w:t>
      </w:r>
      <w:r w:rsidRPr="008F03E5">
        <w:t>asjid jámi‘ great, central mosque where the public prayer is performed on Fridays.  Jafr or Jafr al-Jámi‘ (“Universal Jafr”) is a collection of esoteric knowledge of an apocalyptic nature reserved to the Imams.</w:t>
      </w:r>
    </w:p>
    <w:p w14:paraId="4B54F985" w14:textId="77777777" w:rsidR="00625A5B" w:rsidRPr="008F03E5" w:rsidRDefault="00625A5B" w:rsidP="00EE3DBC">
      <w:pPr>
        <w:pStyle w:val="Translit"/>
      </w:pPr>
      <w:r w:rsidRPr="008F03E5">
        <w:t>Jami’a, Jami’at</w:t>
      </w:r>
      <w:r w:rsidRPr="008F03E5">
        <w:tab/>
        <w:t>Jámi‘a[h or t], pl. Jámi‘át</w:t>
      </w:r>
      <w:r w:rsidRPr="008F03E5">
        <w:tab/>
        <w:t>(fem. of jámi‘) league, union, association; community; federation; religious community, communion; commonness, community of interests or purpose; university</w:t>
      </w:r>
    </w:p>
    <w:p w14:paraId="15F540AE" w14:textId="77777777" w:rsidR="00625A5B" w:rsidRPr="008F03E5" w:rsidRDefault="00625A5B" w:rsidP="00EE3DBC">
      <w:pPr>
        <w:pStyle w:val="Translit"/>
      </w:pPr>
      <w:r w:rsidRPr="008F03E5">
        <w:t>Jami’i</w:t>
      </w:r>
      <w:r w:rsidRPr="008F03E5">
        <w:tab/>
        <w:t>Jámi‘í</w:t>
      </w:r>
      <w:r w:rsidRPr="008F03E5">
        <w:tab/>
        <w:t>academic, collegiate, university (adj.); university graduate</w:t>
      </w:r>
    </w:p>
    <w:p w14:paraId="7CBF131F" w14:textId="77777777" w:rsidR="00625A5B" w:rsidRPr="008F03E5" w:rsidRDefault="00625A5B" w:rsidP="00EE3DBC">
      <w:pPr>
        <w:pStyle w:val="Translit"/>
      </w:pPr>
      <w:r w:rsidRPr="008F03E5">
        <w:t>Jami’iya</w:t>
      </w:r>
      <w:r w:rsidRPr="008F03E5">
        <w:tab/>
        <w:t>Jámi‘íya[h or t]</w:t>
      </w:r>
      <w:r w:rsidRPr="008F03E5">
        <w:tab/>
        <w:t>universality, generality</w:t>
      </w:r>
    </w:p>
    <w:p w14:paraId="494D8A24" w14:textId="77777777" w:rsidR="00625A5B" w:rsidRPr="008F03E5" w:rsidRDefault="00625A5B" w:rsidP="002C38CC">
      <w:pPr>
        <w:pStyle w:val="Translit"/>
      </w:pPr>
      <w:r w:rsidRPr="00077779">
        <w:rPr>
          <w:lang w:val="en-AU"/>
        </w:rPr>
        <w:t>Jamil, Jamila, Jamilih</w:t>
      </w:r>
      <w:r w:rsidRPr="00077779">
        <w:rPr>
          <w:lang w:val="en-AU"/>
        </w:rPr>
        <w:tab/>
        <w:t xml:space="preserve">Jamíl, fem. </w:t>
      </w:r>
      <w:r w:rsidRPr="008F03E5">
        <w:t>Jamíla[h], Pers. Jamílih</w:t>
      </w:r>
      <w:r w:rsidRPr="008F03E5">
        <w:tab/>
        <w:t>beautiful, graceful, lovely, comely, pretty, handsome; friendly act, favour, service, good turn; courtesy</w:t>
      </w:r>
    </w:p>
    <w:p w14:paraId="3EB966E9" w14:textId="77777777" w:rsidR="00625A5B" w:rsidRPr="008F03E5" w:rsidRDefault="00625A5B" w:rsidP="00D24421">
      <w:pPr>
        <w:pStyle w:val="Translit"/>
      </w:pPr>
      <w:r w:rsidRPr="008F03E5">
        <w:t>Jammal, Jammalun</w:t>
      </w:r>
      <w:r w:rsidRPr="008F03E5">
        <w:tab/>
        <w:t>Jammál, pl. Jammálún</w:t>
      </w:r>
      <w:r w:rsidRPr="008F03E5">
        <w:tab/>
        <w:t>camel driver.  Gardens of Jammál are at the south entrance of the Mansion of Bahjí.</w:t>
      </w:r>
    </w:p>
    <w:p w14:paraId="69ADDEB2" w14:textId="77777777" w:rsidR="00625A5B" w:rsidRPr="008F03E5" w:rsidRDefault="00625A5B" w:rsidP="00A47C57">
      <w:pPr>
        <w:pStyle w:val="Translit"/>
      </w:pPr>
      <w:r w:rsidRPr="008F03E5">
        <w:t>Jamra, Jamarat</w:t>
      </w:r>
      <w:r w:rsidRPr="008F03E5">
        <w:tab/>
        <w:t>Jamra[t], Jamarát</w:t>
      </w:r>
      <w:r w:rsidRPr="008F03E5">
        <w:tab/>
        <w:t>a live coal; gravel or small pebbles; heat from the ground; vapours, a sacred solemnity or peregrination performed in the valley of Miná, near Mecca, in which pilgrims defy and throw stones at a figure (3 pillars, now walls) representing the devil:  Jamrat al-‘Aqaba (east, largest), Jarat al-Wusṭá (middle) and Jamrat aṣ-Ṣughra (west, smallest).  See ramy and Aṣ</w:t>
      </w:r>
      <w:r w:rsidRPr="008F03E5">
        <w:rPr>
          <w:u w:val="single"/>
        </w:rPr>
        <w:t>gh</w:t>
      </w:r>
      <w:r w:rsidRPr="008F03E5">
        <w:t>ar.</w:t>
      </w:r>
    </w:p>
    <w:p w14:paraId="4E453BA3" w14:textId="77777777" w:rsidR="00625A5B" w:rsidRPr="008F03E5" w:rsidRDefault="00625A5B" w:rsidP="00B43E0D">
      <w:pPr>
        <w:pStyle w:val="Translit"/>
      </w:pPr>
      <w:r w:rsidRPr="008F03E5">
        <w:t>Jamshid</w:t>
      </w:r>
      <w:r w:rsidRPr="008F03E5">
        <w:tab/>
        <w:t>Jam</w:t>
      </w:r>
      <w:r w:rsidRPr="008F03E5">
        <w:rPr>
          <w:u w:val="single"/>
        </w:rPr>
        <w:t>sh</w:t>
      </w:r>
      <w:r w:rsidRPr="008F03E5">
        <w:t>íd</w:t>
      </w:r>
      <w:r w:rsidRPr="008F03E5">
        <w:tab/>
        <w:t xml:space="preserve">(“Djemsheed”) mythical King in Iranian traditions and culture.  A compound of Jam and </w:t>
      </w:r>
      <w:r w:rsidRPr="008F03E5">
        <w:rPr>
          <w:u w:val="single"/>
        </w:rPr>
        <w:t>sh</w:t>
      </w:r>
      <w:r w:rsidRPr="008F03E5">
        <w:t>íd formed by changes to the original Avestran names.</w:t>
      </w:r>
    </w:p>
    <w:p w14:paraId="510DC869" w14:textId="77777777" w:rsidR="00625A5B" w:rsidRPr="008F03E5" w:rsidRDefault="00625A5B" w:rsidP="00900A82">
      <w:pPr>
        <w:pStyle w:val="Translit"/>
      </w:pPr>
      <w:r w:rsidRPr="008F03E5">
        <w:t>Jamshid-i-Gurji</w:t>
      </w:r>
      <w:r w:rsidRPr="008F03E5">
        <w:tab/>
        <w:t>Jam</w:t>
      </w:r>
      <w:r w:rsidRPr="008F03E5">
        <w:rPr>
          <w:u w:val="single"/>
        </w:rPr>
        <w:t>sh</w:t>
      </w:r>
      <w:r w:rsidRPr="008F03E5">
        <w:t>íd-i-Gurjí</w:t>
      </w:r>
      <w:r w:rsidRPr="008F03E5">
        <w:tab/>
        <w:t>(</w:t>
      </w:r>
      <w:r w:rsidRPr="008F03E5">
        <w:rPr>
          <w:sz w:val="16"/>
          <w:szCs w:val="16"/>
        </w:rPr>
        <w:t>MF</w:t>
      </w:r>
      <w:r w:rsidRPr="008F03E5">
        <w:t>)</w:t>
      </w:r>
    </w:p>
    <w:p w14:paraId="18CE4913" w14:textId="77777777" w:rsidR="00625A5B" w:rsidRPr="008F03E5" w:rsidRDefault="00625A5B" w:rsidP="00480A31">
      <w:pPr>
        <w:pStyle w:val="Translit"/>
      </w:pPr>
      <w:r w:rsidRPr="008F03E5">
        <w:t>Jan Aqa Big</w:t>
      </w:r>
      <w:r w:rsidRPr="008F03E5">
        <w:tab/>
        <w:t>Ján Áqá Big</w:t>
      </w:r>
      <w:r w:rsidRPr="008F03E5">
        <w:tab/>
        <w:t>known as a Kaj Kuláh</w:t>
      </w:r>
    </w:p>
    <w:p w14:paraId="3CD62B14" w14:textId="77777777" w:rsidR="00625A5B" w:rsidRPr="008F03E5" w:rsidRDefault="00625A5B" w:rsidP="0042480B">
      <w:pPr>
        <w:pStyle w:val="Translit"/>
      </w:pPr>
      <w:r w:rsidRPr="008F03E5">
        <w:t>Jan</w:t>
      </w:r>
      <w:r w:rsidRPr="008F03E5">
        <w:tab/>
        <w:t>Ján</w:t>
      </w:r>
      <w:r w:rsidRPr="008F03E5">
        <w:tab/>
        <w:t>Pers. soul, vital spirit, mind; self; life; spirit, courage; wind; the mouth; arms; the father of demons; name of a race said to have inhabited the world before Adam; in modern conversation a word of endearment.  See nafs</w:t>
      </w:r>
    </w:p>
    <w:p w14:paraId="7F3F7B8C" w14:textId="77777777" w:rsidR="00625A5B" w:rsidRPr="008F03E5" w:rsidRDefault="00625A5B" w:rsidP="001D3A3A">
      <w:pPr>
        <w:pStyle w:val="Translit"/>
      </w:pPr>
      <w:r w:rsidRPr="008F03E5">
        <w:rPr>
          <w:rFonts w:eastAsia="Times New Roman"/>
        </w:rPr>
        <w:t>Janab (Jinab)</w:t>
      </w:r>
      <w:r w:rsidRPr="008F03E5">
        <w:rPr>
          <w:rFonts w:eastAsia="Times New Roman"/>
        </w:rPr>
        <w:tab/>
        <w:t>Janáb (Jin</w:t>
      </w:r>
      <w:r w:rsidRPr="008F03E5">
        <w:t>á</w:t>
      </w:r>
      <w:r w:rsidRPr="008F03E5">
        <w:rPr>
          <w:rFonts w:eastAsia="Times New Roman"/>
        </w:rPr>
        <w:t>b)</w:t>
      </w:r>
      <w:r w:rsidRPr="008F03E5">
        <w:rPr>
          <w:rFonts w:eastAsia="Times New Roman"/>
        </w:rPr>
        <w:tab/>
        <w:t>side, margin, brink; an inner court, yard, vestibule; threshold; a place of refuge, hence, as a title of respect, your honour, excellency, majesty, etc.; power, dignity, dominion</w:t>
      </w:r>
    </w:p>
    <w:p w14:paraId="4173AF88" w14:textId="77777777" w:rsidR="00625A5B" w:rsidRPr="008F03E5" w:rsidRDefault="00625A5B" w:rsidP="008D2ABF">
      <w:pPr>
        <w:pStyle w:val="Translit"/>
        <w:rPr>
          <w:rFonts w:eastAsia="PMingLiU"/>
          <w:lang w:eastAsia="zh-TW"/>
        </w:rPr>
      </w:pPr>
      <w:r w:rsidRPr="008F03E5">
        <w:rPr>
          <w:rFonts w:eastAsia="PMingLiU"/>
          <w:lang w:eastAsia="zh-TW"/>
        </w:rPr>
        <w:t>Janami</w:t>
      </w:r>
      <w:r w:rsidRPr="008F03E5">
        <w:tab/>
      </w:r>
      <w:r w:rsidRPr="008F03E5">
        <w:rPr>
          <w:rFonts w:eastAsia="PMingLiU"/>
          <w:lang w:eastAsia="zh-TW"/>
        </w:rPr>
        <w:t>Jánamí</w:t>
      </w:r>
      <w:r w:rsidRPr="008F03E5">
        <w:tab/>
        <w:t>you are my life and soul; you are close to me</w:t>
      </w:r>
    </w:p>
    <w:p w14:paraId="0E21D00C" w14:textId="77777777" w:rsidR="00625A5B" w:rsidRPr="008F03E5" w:rsidRDefault="00625A5B" w:rsidP="00696FBF">
      <w:pPr>
        <w:pStyle w:val="Translit"/>
      </w:pPr>
      <w:r w:rsidRPr="008F03E5">
        <w:t>Jandal, Janadil</w:t>
      </w:r>
      <w:r w:rsidRPr="008F03E5">
        <w:tab/>
        <w:t>Jandal, pl. Janádil</w:t>
      </w:r>
      <w:r w:rsidRPr="008F03E5">
        <w:tab/>
        <w:t xml:space="preserve">stone.  Dúmat al-Jandal (“Dúmah of the Stone”, 29.8110412, 39.875476), also known as al-Jawf (“depression”, i.e. the Wádí Sirḥán), is an ancient city of ruins and town in north western Saudi Arabia.  It is located 37 km </w:t>
      </w:r>
      <w:r w:rsidRPr="008F03E5">
        <w:rPr>
          <w:sz w:val="16"/>
          <w:szCs w:val="16"/>
        </w:rPr>
        <w:t>SW</w:t>
      </w:r>
      <w:r w:rsidRPr="008F03E5">
        <w:t xml:space="preserve"> of the city of Sakáká.  Dúmah (Aramaic “silence”) was the sixth son (of 12) of Ishmael.  August 626 Muḥammad led an expedition to Dúmat al-Jandal.</w:t>
      </w:r>
    </w:p>
    <w:p w14:paraId="42371574" w14:textId="77777777" w:rsidR="00625A5B" w:rsidRPr="008F03E5" w:rsidRDefault="00625A5B" w:rsidP="00D77166">
      <w:pPr>
        <w:pStyle w:val="Translit"/>
      </w:pPr>
      <w:r w:rsidRPr="008F03E5">
        <w:t>Jandaq</w:t>
      </w:r>
      <w:r w:rsidRPr="008F03E5">
        <w:tab/>
        <w:t>Jandaq</w:t>
      </w:r>
      <w:r w:rsidRPr="008F03E5">
        <w:tab/>
        <w:t xml:space="preserve">city 230 km north of Yazd and 178 km </w:t>
      </w:r>
      <w:r w:rsidRPr="008F03E5">
        <w:rPr>
          <w:sz w:val="16"/>
          <w:szCs w:val="16"/>
        </w:rPr>
        <w:t>NE</w:t>
      </w:r>
      <w:r w:rsidRPr="008F03E5">
        <w:t xml:space="preserve"> of Ná’ín, Iran</w:t>
      </w:r>
    </w:p>
    <w:p w14:paraId="563EECB7" w14:textId="77777777" w:rsidR="00625A5B" w:rsidRPr="008F03E5" w:rsidRDefault="00625A5B" w:rsidP="00A02C85">
      <w:pPr>
        <w:pStyle w:val="Translit"/>
      </w:pPr>
      <w:r w:rsidRPr="008F03E5">
        <w:rPr>
          <w:rFonts w:eastAsia="Times New Roman"/>
        </w:rPr>
        <w:t>Jang</w:t>
      </w:r>
      <w:r w:rsidRPr="008F03E5">
        <w:rPr>
          <w:rFonts w:eastAsia="Times New Roman"/>
        </w:rPr>
        <w:tab/>
        <w:t>Jang</w:t>
      </w:r>
      <w:r w:rsidRPr="008F03E5">
        <w:rPr>
          <w:rFonts w:eastAsia="Times New Roman"/>
        </w:rPr>
        <w:tab/>
        <w:t>Pers. war, battle, combat, engagement, fight, skirmish, rencounter; brawling, squabbling, litigating</w:t>
      </w:r>
    </w:p>
    <w:p w14:paraId="470BFFB2" w14:textId="77777777" w:rsidR="00625A5B" w:rsidRPr="008F03E5" w:rsidRDefault="00625A5B" w:rsidP="00CF2891">
      <w:pPr>
        <w:pStyle w:val="Translit"/>
      </w:pPr>
      <w:r w:rsidRPr="008F03E5">
        <w:t>Jang</w:t>
      </w:r>
      <w:r w:rsidRPr="008F03E5">
        <w:tab/>
        <w:t>Jang</w:t>
      </w:r>
      <w:r w:rsidRPr="008F03E5">
        <w:tab/>
        <w:t>Pers.</w:t>
      </w:r>
      <w:r w:rsidRPr="008F03E5">
        <w:rPr>
          <w:rFonts w:eastAsia="Times New Roman"/>
        </w:rPr>
        <w:t xml:space="preserve"> war, battle, combat, engagement, fight, skirmish, rencounter; brawling, squabbling, litigating</w:t>
      </w:r>
    </w:p>
    <w:p w14:paraId="325D39FD" w14:textId="77777777" w:rsidR="00625A5B" w:rsidRPr="008F03E5" w:rsidRDefault="00625A5B" w:rsidP="00CB2336">
      <w:pPr>
        <w:pStyle w:val="Translit"/>
      </w:pPr>
      <w:r w:rsidRPr="008F03E5">
        <w:t>Jangal</w:t>
      </w:r>
      <w:r w:rsidRPr="008F03E5">
        <w:tab/>
        <w:t>Jangal</w:t>
      </w:r>
      <w:r w:rsidRPr="008F03E5">
        <w:tab/>
        <w:t>Pers. a wood, forest, thicket; a country overgrown with wood, reeds, or long grass; a jungle</w:t>
      </w:r>
    </w:p>
    <w:p w14:paraId="3D866F15" w14:textId="77777777" w:rsidR="00625A5B" w:rsidRPr="008F03E5" w:rsidRDefault="00625A5B" w:rsidP="00CF6697">
      <w:pPr>
        <w:pStyle w:val="Translit"/>
      </w:pPr>
      <w:r w:rsidRPr="008F03E5">
        <w:t>Jangali</w:t>
      </w:r>
      <w:r w:rsidRPr="008F03E5">
        <w:tab/>
        <w:t>Jangalí</w:t>
      </w:r>
      <w:r w:rsidRPr="008F03E5">
        <w:tab/>
        <w:t>Pers. wild, untilled, jungle-like.  Insult referring to uncultured people (raised in jungles)</w:t>
      </w:r>
    </w:p>
    <w:p w14:paraId="6960601A" w14:textId="77777777" w:rsidR="00625A5B" w:rsidRPr="008F03E5" w:rsidRDefault="00625A5B" w:rsidP="00B044C2">
      <w:pPr>
        <w:pStyle w:val="Translit"/>
      </w:pPr>
      <w:r w:rsidRPr="008F03E5">
        <w:t>Jani</w:t>
      </w:r>
      <w:r w:rsidRPr="008F03E5">
        <w:tab/>
        <w:t>Jání</w:t>
      </w:r>
      <w:r w:rsidRPr="008F03E5">
        <w:tab/>
        <w:t>Pers. soul; cordial, heartily loved, devoted.  Title of a merchant of Ka</w:t>
      </w:r>
      <w:r w:rsidRPr="008F03E5">
        <w:rPr>
          <w:u w:val="single"/>
        </w:rPr>
        <w:t>sh</w:t>
      </w:r>
      <w:r w:rsidRPr="008F03E5">
        <w:t>án, Ḥájí Mírzá Jání, early historian of the Bábí Cause and a martyr.</w:t>
      </w:r>
    </w:p>
    <w:p w14:paraId="3153BFBB" w14:textId="77777777" w:rsidR="00625A5B" w:rsidRPr="008F03E5" w:rsidRDefault="00625A5B" w:rsidP="0012322B">
      <w:pPr>
        <w:pStyle w:val="Translit"/>
      </w:pPr>
      <w:r w:rsidRPr="008F03E5">
        <w:t>Jani, Junat</w:t>
      </w:r>
      <w:r w:rsidRPr="008F03E5">
        <w:tab/>
        <w:t>Jání, pl. Junát</w:t>
      </w:r>
      <w:r w:rsidRPr="008F03E5">
        <w:tab/>
        <w:t>one who gathers fruit; sinning, a sinner</w:t>
      </w:r>
    </w:p>
    <w:p w14:paraId="74EF2D31" w14:textId="77777777" w:rsidR="00625A5B" w:rsidRPr="008F03E5" w:rsidRDefault="00625A5B" w:rsidP="00F261C2">
      <w:pPr>
        <w:pStyle w:val="Translit"/>
      </w:pPr>
      <w:r w:rsidRPr="008F03E5">
        <w:t>Janib, Jawanib</w:t>
      </w:r>
      <w:r w:rsidRPr="008F03E5">
        <w:tab/>
        <w:t>Jánib, pl. Jawánib</w:t>
      </w:r>
      <w:r w:rsidRPr="008F03E5">
        <w:tab/>
        <w:t xml:space="preserve">side; lateral portion; sidepiece; flank; wing; face (geometry); part, portion, partial amount; partial view, section (of a scene, picture or panorama); quantity, amount; a certain number (of), a few, some.  “draw back”? </w:t>
      </w:r>
      <w:r w:rsidRPr="008F03E5">
        <w:rPr>
          <w:i/>
          <w:iCs/>
        </w:rPr>
        <w:t>Seven Valleys,</w:t>
      </w:r>
      <w:r w:rsidRPr="008F03E5">
        <w:t xml:space="preserve"> p. 43</w:t>
      </w:r>
    </w:p>
    <w:p w14:paraId="16A59CDA" w14:textId="77777777" w:rsidR="00625A5B" w:rsidRPr="008F03E5" w:rsidRDefault="00625A5B" w:rsidP="00900A82">
      <w:pPr>
        <w:pStyle w:val="Translit"/>
      </w:pPr>
      <w:r w:rsidRPr="008F03E5">
        <w:t>Jan-i-Khamsih</w:t>
      </w:r>
      <w:r w:rsidRPr="008F03E5">
        <w:tab/>
        <w:t>Ján-i-</w:t>
      </w:r>
      <w:r w:rsidRPr="008F03E5">
        <w:rPr>
          <w:u w:val="single"/>
        </w:rPr>
        <w:t>Kh</w:t>
      </w:r>
      <w:r w:rsidRPr="008F03E5">
        <w:t>amsih</w:t>
      </w:r>
      <w:r w:rsidRPr="008F03E5">
        <w:tab/>
      </w:r>
    </w:p>
    <w:p w14:paraId="6A7F07D2" w14:textId="77777777" w:rsidR="00625A5B" w:rsidRPr="002F338E" w:rsidRDefault="00625A5B" w:rsidP="00CF2891">
      <w:pPr>
        <w:pStyle w:val="Translit"/>
        <w:rPr>
          <w:lang w:val="fr-FR"/>
        </w:rPr>
      </w:pPr>
      <w:r w:rsidRPr="002F338E">
        <w:rPr>
          <w:lang w:val="fr-FR"/>
        </w:rPr>
        <w:t>Janna, Jannat (“Jinnat”), Jinan</w:t>
      </w:r>
      <w:r w:rsidRPr="002F338E">
        <w:rPr>
          <w:lang w:val="fr-FR"/>
        </w:rPr>
        <w:tab/>
        <w:t>Janna[h or t], pl. Jannát, Jinán</w:t>
      </w:r>
      <w:r w:rsidRPr="002F338E">
        <w:rPr>
          <w:lang w:val="fr-FR"/>
        </w:rPr>
        <w:tab/>
        <w:t>garden; paradise, heaven</w:t>
      </w:r>
    </w:p>
    <w:p w14:paraId="265BFF13" w14:textId="77777777" w:rsidR="00625A5B" w:rsidRPr="002F338E" w:rsidRDefault="00625A5B" w:rsidP="00900A82">
      <w:pPr>
        <w:pStyle w:val="Translit"/>
        <w:rPr>
          <w:lang w:val="fr-FR"/>
        </w:rPr>
      </w:pPr>
      <w:r w:rsidRPr="002F338E">
        <w:rPr>
          <w:lang w:val="fr-FR"/>
        </w:rPr>
        <w:t>Jarib</w:t>
      </w:r>
      <w:r w:rsidRPr="002F338E">
        <w:rPr>
          <w:lang w:val="fr-FR"/>
        </w:rPr>
        <w:tab/>
        <w:t>Jaríb</w:t>
      </w:r>
      <w:r w:rsidRPr="002F338E">
        <w:rPr>
          <w:lang w:val="fr-FR"/>
        </w:rPr>
        <w:tab/>
        <w:t>10,000 sq metres</w:t>
      </w:r>
    </w:p>
    <w:p w14:paraId="32553214" w14:textId="77777777" w:rsidR="00625A5B" w:rsidRPr="007D6858" w:rsidRDefault="00625A5B" w:rsidP="00564584">
      <w:pPr>
        <w:pStyle w:val="Translit"/>
        <w:rPr>
          <w:lang w:val="en-AU"/>
        </w:rPr>
      </w:pPr>
      <w:r w:rsidRPr="002F338E">
        <w:rPr>
          <w:lang w:val="fr-FR"/>
        </w:rPr>
        <w:t>Jariya, Jariyat</w:t>
      </w:r>
      <w:r w:rsidRPr="002F338E">
        <w:rPr>
          <w:lang w:val="fr-FR"/>
        </w:rPr>
        <w:tab/>
        <w:t xml:space="preserve">Járiya[h], pl. </w:t>
      </w:r>
      <w:r w:rsidRPr="007D6858">
        <w:rPr>
          <w:lang w:val="en-AU"/>
        </w:rPr>
        <w:t>Járiyát, Jawárin</w:t>
      </w:r>
      <w:r w:rsidRPr="007D6858">
        <w:rPr>
          <w:lang w:val="en-AU"/>
        </w:rPr>
        <w:tab/>
        <w:t>girl; slave girl; maid, servant; ship, vessel.  Ḥadí</w:t>
      </w:r>
      <w:r w:rsidRPr="007D6858">
        <w:rPr>
          <w:u w:val="single"/>
          <w:lang w:val="en-AU"/>
        </w:rPr>
        <w:t>th</w:t>
      </w:r>
      <w:r w:rsidRPr="007D6858">
        <w:rPr>
          <w:lang w:val="en-AU"/>
        </w:rPr>
        <w:t xml:space="preserve"> al-Járiyah</w:t>
      </w:r>
    </w:p>
    <w:p w14:paraId="096EE942" w14:textId="77777777" w:rsidR="00625A5B" w:rsidRDefault="00625A5B" w:rsidP="00A76B75">
      <w:pPr>
        <w:pStyle w:val="Translit"/>
        <w:rPr>
          <w:lang w:val="en-AU"/>
        </w:rPr>
      </w:pPr>
      <w:r>
        <w:rPr>
          <w:lang w:val="en-AU"/>
        </w:rPr>
        <w:t>Jarra (Jarrih), Jirar</w:t>
      </w:r>
      <w:r>
        <w:rPr>
          <w:lang w:val="en-AU"/>
        </w:rPr>
        <w:tab/>
        <w:t>Jarra [</w:t>
      </w:r>
      <w:r w:rsidRPr="00A76B75">
        <w:rPr>
          <w:rFonts w:hint="eastAsia"/>
          <w:rtl/>
          <w:lang w:val="en-AU"/>
        </w:rPr>
        <w:t>جرة</w:t>
      </w:r>
      <w:r>
        <w:rPr>
          <w:lang w:val="en-AU"/>
        </w:rPr>
        <w:t>]</w:t>
      </w:r>
      <w:r>
        <w:rPr>
          <w:lang w:val="en-AU"/>
        </w:rPr>
        <w:tab/>
      </w:r>
      <w:r w:rsidRPr="00DD45C0">
        <w:rPr>
          <w:rFonts w:eastAsia="Times New Roman"/>
        </w:rPr>
        <w:t xml:space="preserve">a </w:t>
      </w:r>
      <w:r w:rsidRPr="00AF4D34">
        <w:rPr>
          <w:rFonts w:eastAsia="Times New Roman"/>
        </w:rPr>
        <w:t>jar</w:t>
      </w:r>
      <w:r>
        <w:rPr>
          <w:rFonts w:eastAsia="Times New Roman"/>
        </w:rPr>
        <w:t xml:space="preserve"> (earthenware or copper)</w:t>
      </w:r>
      <w:r w:rsidRPr="00AF4D34">
        <w:rPr>
          <w:rFonts w:eastAsia="Times New Roman"/>
        </w:rPr>
        <w:t xml:space="preserve"> water-vessel, ewer</w:t>
      </w:r>
    </w:p>
    <w:p w14:paraId="7EF74118" w14:textId="77777777" w:rsidR="00625A5B" w:rsidRPr="00E04E80" w:rsidRDefault="00625A5B" w:rsidP="00AC4F63">
      <w:pPr>
        <w:pStyle w:val="Translit"/>
        <w:rPr>
          <w:lang w:val="es-ES_tradnl"/>
        </w:rPr>
      </w:pPr>
      <w:r w:rsidRPr="007D6858">
        <w:rPr>
          <w:lang w:val="en-AU"/>
        </w:rPr>
        <w:t>Jarrah, Jarrahun</w:t>
      </w:r>
      <w:r w:rsidRPr="007D6858">
        <w:rPr>
          <w:lang w:val="en-AU"/>
        </w:rPr>
        <w:tab/>
        <w:t xml:space="preserve">Jarráḥ, pl. </w:t>
      </w:r>
      <w:r w:rsidRPr="00E04E80">
        <w:rPr>
          <w:lang w:val="es-ES_tradnl"/>
        </w:rPr>
        <w:t>Jarráḥún</w:t>
      </w:r>
      <w:r w:rsidRPr="00E04E80">
        <w:rPr>
          <w:lang w:val="es-ES_tradnl"/>
        </w:rPr>
        <w:tab/>
        <w:t>surgeon</w:t>
      </w:r>
    </w:p>
    <w:p w14:paraId="6E8937CB" w14:textId="77777777" w:rsidR="00625A5B" w:rsidRPr="008F03E5" w:rsidRDefault="00625A5B" w:rsidP="000B0D59">
      <w:pPr>
        <w:pStyle w:val="Translit"/>
      </w:pPr>
      <w:r w:rsidRPr="00E04E80">
        <w:rPr>
          <w:lang w:val="es-ES_tradnl"/>
        </w:rPr>
        <w:t>Jasad, Ajsad</w:t>
      </w:r>
      <w:r w:rsidRPr="00E04E80">
        <w:rPr>
          <w:lang w:val="es-ES_tradnl"/>
        </w:rPr>
        <w:tab/>
        <w:t xml:space="preserve">Jasad, pl. </w:t>
      </w:r>
      <w:r w:rsidRPr="000D6C30">
        <w:rPr>
          <w:lang w:val="en-AU"/>
        </w:rPr>
        <w:t>Ajsád</w:t>
      </w:r>
      <w:r w:rsidRPr="000D6C30">
        <w:rPr>
          <w:lang w:val="en-AU"/>
        </w:rPr>
        <w:tab/>
        <w:t xml:space="preserve">body.  </w:t>
      </w:r>
      <w:r w:rsidRPr="008F03E5">
        <w:t>Compare Jism</w:t>
      </w:r>
    </w:p>
    <w:p w14:paraId="212E4D2D" w14:textId="77777777" w:rsidR="00625A5B" w:rsidRPr="008F03E5" w:rsidRDefault="00625A5B" w:rsidP="0039741C">
      <w:pPr>
        <w:pStyle w:val="Translit"/>
        <w:rPr>
          <w:rFonts w:eastAsia="PMingLiU"/>
          <w:lang w:eastAsia="zh-TW"/>
        </w:rPr>
      </w:pPr>
      <w:r w:rsidRPr="008F03E5">
        <w:t>Jasb</w:t>
      </w:r>
      <w:r w:rsidRPr="008F03E5">
        <w:tab/>
        <w:t>Jásb</w:t>
      </w:r>
      <w:r w:rsidRPr="008F03E5">
        <w:tab/>
        <w:t xml:space="preserve">rural district, </w:t>
      </w:r>
      <w:r w:rsidRPr="008F03E5">
        <w:rPr>
          <w:rFonts w:eastAsia="PMingLiU"/>
          <w:lang w:eastAsia="zh-TW"/>
        </w:rPr>
        <w:t>Markazí Province, Iran</w:t>
      </w:r>
    </w:p>
    <w:p w14:paraId="08537684" w14:textId="77777777" w:rsidR="00625A5B" w:rsidRPr="008F03E5" w:rsidRDefault="00625A5B" w:rsidP="00317CBB">
      <w:pPr>
        <w:pStyle w:val="Translit"/>
      </w:pPr>
      <w:r w:rsidRPr="008F03E5">
        <w:t>Jashn</w:t>
      </w:r>
      <w:r w:rsidRPr="008F03E5">
        <w:tab/>
        <w:t>Ja</w:t>
      </w:r>
      <w:r w:rsidRPr="008F03E5">
        <w:rPr>
          <w:u w:val="single"/>
        </w:rPr>
        <w:t>sh</w:t>
      </w:r>
      <w:r w:rsidRPr="008F03E5">
        <w:t>n</w:t>
      </w:r>
      <w:r w:rsidRPr="008F03E5">
        <w:tab/>
        <w:t>Pers. a feast, social entertainment; convivial meeting; a solemn feast</w:t>
      </w:r>
    </w:p>
    <w:p w14:paraId="04F65E27" w14:textId="77777777" w:rsidR="00625A5B" w:rsidRPr="008F03E5" w:rsidRDefault="00625A5B" w:rsidP="00A60A16">
      <w:pPr>
        <w:pStyle w:val="Translit"/>
      </w:pPr>
      <w:r w:rsidRPr="008F03E5">
        <w:t>Jashn-i-A’zam</w:t>
      </w:r>
      <w:r w:rsidRPr="008F03E5">
        <w:tab/>
        <w:t>Ja</w:t>
      </w:r>
      <w:r w:rsidRPr="008F03E5">
        <w:rPr>
          <w:u w:val="single"/>
        </w:rPr>
        <w:t>sh</w:t>
      </w:r>
      <w:r w:rsidRPr="008F03E5">
        <w:t>n-i-A‘ẓam</w:t>
      </w:r>
      <w:r w:rsidRPr="008F03E5">
        <w:tab/>
        <w:t xml:space="preserve">the Greatest Festival because ‘Abdu’l-Bahá was known as the </w:t>
      </w:r>
      <w:r w:rsidRPr="008F03E5">
        <w:rPr>
          <w:u w:val="single"/>
        </w:rPr>
        <w:t>Gh</w:t>
      </w:r>
      <w:r w:rsidRPr="008F03E5">
        <w:t>usn-i-A’ẓám [the Greatest Branch]—Day of the Covenant</w:t>
      </w:r>
    </w:p>
    <w:p w14:paraId="7A86BA7B" w14:textId="77777777" w:rsidR="00625A5B" w:rsidRPr="008F03E5" w:rsidRDefault="00625A5B" w:rsidP="00AD0E5F">
      <w:pPr>
        <w:pStyle w:val="Translit"/>
      </w:pPr>
      <w:r w:rsidRPr="008F03E5">
        <w:t>Jasim</w:t>
      </w:r>
      <w:r w:rsidRPr="008F03E5">
        <w:tab/>
        <w:t>Jásim</w:t>
      </w:r>
      <w:r w:rsidRPr="008F03E5">
        <w:rPr>
          <w:cs/>
        </w:rPr>
        <w:t>‎</w:t>
      </w:r>
      <w:r w:rsidRPr="008F03E5">
        <w:rPr>
          <w:rtl/>
          <w:cs/>
        </w:rPr>
        <w:tab/>
        <w:t xml:space="preserve">healthy, strong, powerful, good health.  </w:t>
      </w:r>
      <w:r w:rsidRPr="008F03E5">
        <w:t>Bahá’u’lláh sent Ḥájí Jásim-i-Ba</w:t>
      </w:r>
      <w:r w:rsidRPr="008F03E5">
        <w:rPr>
          <w:u w:val="single"/>
        </w:rPr>
        <w:t>gh</w:t>
      </w:r>
      <w:r w:rsidRPr="008F03E5">
        <w:t>dádí to Sudan.  Small city in southern Syria.</w:t>
      </w:r>
    </w:p>
    <w:p w14:paraId="1DAD095B" w14:textId="77777777" w:rsidR="00625A5B" w:rsidRPr="008F03E5" w:rsidRDefault="00625A5B" w:rsidP="0091069F">
      <w:pPr>
        <w:pStyle w:val="Translit"/>
      </w:pPr>
      <w:r w:rsidRPr="008F03E5">
        <w:t>Jasim, Jisam</w:t>
      </w:r>
      <w:r w:rsidRPr="008F03E5">
        <w:tab/>
        <w:t>Jasím, pl. Jisám</w:t>
      </w:r>
      <w:r w:rsidRPr="008F03E5">
        <w:tab/>
        <w:t>great, big, large; voluminous, bulky, huge; vast, immense; stout, corpulent; weighty, most significant, momentous, prodigious</w:t>
      </w:r>
    </w:p>
    <w:p w14:paraId="124CA787" w14:textId="77777777" w:rsidR="00625A5B" w:rsidRPr="008F03E5" w:rsidRDefault="00625A5B" w:rsidP="00B42EB1">
      <w:pPr>
        <w:pStyle w:val="Translit"/>
      </w:pPr>
      <w:r w:rsidRPr="008F03E5">
        <w:t>Jasus</w:t>
      </w:r>
      <w:r w:rsidRPr="008F03E5">
        <w:tab/>
      </w:r>
      <w:r w:rsidRPr="008F03E5">
        <w:rPr>
          <w:rFonts w:eastAsia="Times New Roman"/>
        </w:rPr>
        <w:t>Jásús</w:t>
      </w:r>
      <w:r w:rsidRPr="008F03E5">
        <w:rPr>
          <w:rFonts w:eastAsia="Times New Roman"/>
        </w:rPr>
        <w:tab/>
        <w:t>Pers. a spy; an emissary</w:t>
      </w:r>
    </w:p>
    <w:p w14:paraId="21C393C0" w14:textId="77777777" w:rsidR="00625A5B" w:rsidRPr="008F03E5" w:rsidRDefault="00625A5B" w:rsidP="00EA54B4">
      <w:pPr>
        <w:pStyle w:val="Translit"/>
      </w:pPr>
      <w:r w:rsidRPr="008F03E5">
        <w:t>Jathiya</w:t>
      </w:r>
      <w:r w:rsidRPr="008F03E5">
        <w:tab/>
        <w:t>Já</w:t>
      </w:r>
      <w:r w:rsidRPr="008F03E5">
        <w:rPr>
          <w:u w:val="single"/>
        </w:rPr>
        <w:t>th</w:t>
      </w:r>
      <w:r w:rsidRPr="008F03E5">
        <w:t>iya[h or t]</w:t>
      </w:r>
      <w:r w:rsidRPr="008F03E5">
        <w:tab/>
        <w:t>fem., the kneeling or crouching one</w:t>
      </w:r>
    </w:p>
    <w:p w14:paraId="6707FEF2" w14:textId="77777777" w:rsidR="00625A5B" w:rsidRPr="008F03E5" w:rsidRDefault="00625A5B" w:rsidP="008E09D2">
      <w:pPr>
        <w:pStyle w:val="Translit"/>
      </w:pPr>
      <w:bookmarkStart w:id="88" w:name="_Hlk60759340"/>
      <w:r w:rsidRPr="008F03E5">
        <w:t>Jatt (Jat)</w:t>
      </w:r>
      <w:r w:rsidRPr="008F03E5">
        <w:tab/>
        <w:t>Jatt</w:t>
      </w:r>
      <w:r w:rsidRPr="008F03E5">
        <w:tab/>
        <w:t>Muslim town nearly 50 km south of Haifa.  Area is the source of strong atzmon or jatt stone used on the Bahá’í terraces.</w:t>
      </w:r>
    </w:p>
    <w:bookmarkEnd w:id="88"/>
    <w:p w14:paraId="38CC6DB8" w14:textId="77777777" w:rsidR="00625A5B" w:rsidRPr="00D45A23" w:rsidRDefault="00625A5B" w:rsidP="008E09D2">
      <w:pPr>
        <w:pStyle w:val="Translit"/>
        <w:rPr>
          <w:lang w:val="pl-PL"/>
        </w:rPr>
      </w:pPr>
      <w:r w:rsidRPr="00D45A23">
        <w:rPr>
          <w:lang w:val="pl-PL"/>
        </w:rPr>
        <w:t>Javad-i-Karbila’i</w:t>
      </w:r>
      <w:r w:rsidRPr="00D45A23">
        <w:rPr>
          <w:lang w:val="pl-PL"/>
        </w:rPr>
        <w:tab/>
        <w:t>Javád-i-Karbilá’í</w:t>
      </w:r>
      <w:r w:rsidRPr="00D45A23">
        <w:rPr>
          <w:lang w:val="pl-PL"/>
        </w:rPr>
        <w:tab/>
      </w:r>
    </w:p>
    <w:p w14:paraId="159A0396" w14:textId="77777777" w:rsidR="00625A5B" w:rsidRPr="008F03E5" w:rsidRDefault="00625A5B" w:rsidP="003B111B">
      <w:pPr>
        <w:pStyle w:val="Translit"/>
      </w:pPr>
      <w:r w:rsidRPr="00D45A23">
        <w:rPr>
          <w:lang w:val="pl-PL"/>
        </w:rPr>
        <w:t>Javad-i-Qazvini</w:t>
      </w:r>
      <w:r w:rsidRPr="00D45A23">
        <w:rPr>
          <w:lang w:val="pl-PL"/>
        </w:rPr>
        <w:tab/>
        <w:t>Javád-i-Qazvíní</w:t>
      </w:r>
      <w:r w:rsidRPr="00D45A23">
        <w:rPr>
          <w:lang w:val="pl-PL"/>
        </w:rPr>
        <w:tab/>
        <w:t xml:space="preserve">Muḥammad Javád-i-Qazvíní.  </w:t>
      </w:r>
      <w:r w:rsidRPr="008F03E5">
        <w:t>He went to Adrianople in 1867 and worked for many years as one of Bahá’u’lláh’s amanuenses.  Bahá’u’lláh gave him the title Ismu’llahu’l-Javad (The Name of God, the All-Bountiful).  He later joined Mírzá Muḥammad ‘Alí in opposing ‘Abdu’l-Bahá.</w:t>
      </w:r>
    </w:p>
    <w:p w14:paraId="50885FDE" w14:textId="77777777" w:rsidR="00625A5B" w:rsidRPr="008F03E5" w:rsidRDefault="00625A5B" w:rsidP="00900A82">
      <w:pPr>
        <w:pStyle w:val="Translit"/>
      </w:pPr>
      <w:r w:rsidRPr="008F03E5">
        <w:t>Javad-i-Tabataba’i</w:t>
      </w:r>
      <w:r w:rsidRPr="008F03E5">
        <w:tab/>
        <w:t>Javád-i-Ṭabáṭabá’í</w:t>
      </w:r>
      <w:r w:rsidRPr="008F03E5">
        <w:tab/>
      </w:r>
    </w:p>
    <w:p w14:paraId="1AD2A157" w14:textId="77777777" w:rsidR="00625A5B" w:rsidRPr="008F03E5" w:rsidRDefault="00625A5B" w:rsidP="001D3686">
      <w:pPr>
        <w:pStyle w:val="Translit"/>
      </w:pPr>
      <w:r w:rsidRPr="008F03E5">
        <w:t>Javahiru’l-Asrar</w:t>
      </w:r>
      <w:r w:rsidRPr="008F03E5">
        <w:tab/>
        <w:t>Javáhiru’l-Asrár</w:t>
      </w:r>
      <w:r w:rsidRPr="008F03E5">
        <w:tab/>
        <w:t>“Gems of Divine Mysteries” or “The Essence of Mysteries” by Bahá’u’lláh.  See jawhar and sirr</w:t>
      </w:r>
    </w:p>
    <w:p w14:paraId="1D844A58" w14:textId="77777777" w:rsidR="00625A5B" w:rsidRPr="008F03E5" w:rsidRDefault="00625A5B" w:rsidP="002B7C51">
      <w:pPr>
        <w:pStyle w:val="Translit"/>
      </w:pPr>
      <w:r w:rsidRPr="008F03E5">
        <w:t>Jaw’an (Jau’an), Jaw’a’ (Jau’a), Jiya’</w:t>
      </w:r>
      <w:r w:rsidRPr="008F03E5">
        <w:tab/>
        <w:t>Jaw‘án, fem. Jaw‘á’, pl. Jiyá‘</w:t>
      </w:r>
      <w:r w:rsidRPr="008F03E5">
        <w:tab/>
        <w:t>hungry, starved, famished</w:t>
      </w:r>
    </w:p>
    <w:p w14:paraId="7724CD3C" w14:textId="77777777" w:rsidR="00625A5B" w:rsidRPr="008F03E5" w:rsidRDefault="00625A5B" w:rsidP="0089574A">
      <w:pPr>
        <w:pStyle w:val="Translit"/>
        <w:rPr>
          <w:rFonts w:eastAsia="PMingLiU"/>
          <w:lang w:eastAsia="zh-TW"/>
        </w:rPr>
      </w:pPr>
      <w:r w:rsidRPr="008F03E5">
        <w:rPr>
          <w:rFonts w:eastAsia="PMingLiU"/>
          <w:lang w:eastAsia="zh-TW"/>
        </w:rPr>
        <w:t>Jawab (Javab), Ajwiba, Jawabat</w:t>
      </w:r>
      <w:r w:rsidRPr="008F03E5">
        <w:rPr>
          <w:rFonts w:eastAsia="PMingLiU"/>
          <w:lang w:eastAsia="zh-TW"/>
        </w:rPr>
        <w:tab/>
        <w:t>Jawáb, fem. Jawába[h or t]</w:t>
      </w:r>
      <w:r w:rsidRPr="008F03E5">
        <w:rPr>
          <w:rFonts w:eastAsia="PMingLiU"/>
          <w:lang w:eastAsia="zh-TW"/>
        </w:rPr>
        <w:tab/>
        <w:t>(pl. Ajwiba[h or t], fem. Jawabát) answer, reply;—pl. jawabát letter, message</w:t>
      </w:r>
    </w:p>
    <w:p w14:paraId="59E26AA2" w14:textId="77777777" w:rsidR="00625A5B" w:rsidRPr="008F03E5" w:rsidRDefault="00625A5B" w:rsidP="00C11F4D">
      <w:pPr>
        <w:pStyle w:val="Translit"/>
      </w:pPr>
      <w:r w:rsidRPr="008F03E5">
        <w:t>Jawad (Jaouad), Ajwad, Ajawid, Jud</w:t>
      </w:r>
      <w:r w:rsidRPr="008F03E5">
        <w:tab/>
        <w:t>Jawád, pl. Ajwád, Ajáwid, Ajawíd, Júd</w:t>
      </w:r>
      <w:r w:rsidRPr="008F03E5">
        <w:tab/>
        <w:t>openhanded, liberal, generous, magnanimous;—pl. jiyád, ajyád, ajáwíd race horse, racer; charger</w:t>
      </w:r>
    </w:p>
    <w:p w14:paraId="5E21C202" w14:textId="77777777" w:rsidR="00625A5B" w:rsidRPr="008F03E5" w:rsidRDefault="00625A5B" w:rsidP="00072794">
      <w:pPr>
        <w:pStyle w:val="Translit"/>
      </w:pPr>
      <w:r w:rsidRPr="008F03E5">
        <w:rPr>
          <w:rFonts w:eastAsia="Times New Roman"/>
        </w:rPr>
        <w:t>Jawahiri</w:t>
      </w:r>
      <w:r w:rsidRPr="008F03E5">
        <w:rPr>
          <w:rFonts w:eastAsia="Times New Roman"/>
        </w:rPr>
        <w:tab/>
        <w:t>Jawáhirí</w:t>
      </w:r>
      <w:r w:rsidRPr="008F03E5">
        <w:rPr>
          <w:rFonts w:eastAsia="Times New Roman"/>
        </w:rPr>
        <w:tab/>
        <w:t>Pers. (Ar influence) a dealer in jewels, a jeweller</w:t>
      </w:r>
    </w:p>
    <w:p w14:paraId="501CBBEA" w14:textId="77777777" w:rsidR="00625A5B" w:rsidRPr="008F03E5" w:rsidRDefault="00625A5B" w:rsidP="00FD3159">
      <w:pPr>
        <w:pStyle w:val="Translit"/>
      </w:pPr>
      <w:r w:rsidRPr="00077779">
        <w:t>Jawan (Javan), Jawanan</w:t>
      </w:r>
      <w:r w:rsidRPr="00077779">
        <w:tab/>
        <w:t xml:space="preserve">Jawán, pl. </w:t>
      </w:r>
      <w:r w:rsidRPr="008F03E5">
        <w:t>Jawánán</w:t>
      </w:r>
      <w:r w:rsidRPr="008F03E5">
        <w:tab/>
        <w:t>Pers. young; young man, youth, lad</w:t>
      </w:r>
    </w:p>
    <w:p w14:paraId="7961DD24" w14:textId="77777777" w:rsidR="00625A5B" w:rsidRPr="008F03E5" w:rsidRDefault="00625A5B" w:rsidP="00072794">
      <w:pPr>
        <w:pStyle w:val="Translit"/>
      </w:pPr>
      <w:r w:rsidRPr="008F03E5">
        <w:t>Jawanmardi</w:t>
      </w:r>
      <w:r w:rsidRPr="008F03E5">
        <w:tab/>
        <w:t>Jawánmardí</w:t>
      </w:r>
      <w:r w:rsidRPr="008F03E5">
        <w:tab/>
        <w:t>loosely translated as chivalry.  See lúṭígarí.</w:t>
      </w:r>
    </w:p>
    <w:p w14:paraId="3A6DA5D0" w14:textId="77777777" w:rsidR="00625A5B" w:rsidRPr="008F03E5" w:rsidRDefault="00625A5B" w:rsidP="001D3686">
      <w:pPr>
        <w:pStyle w:val="Translit"/>
      </w:pPr>
      <w:r w:rsidRPr="008F03E5">
        <w:t>Jawhar (Jauhar), Jawahir, Jawwal</w:t>
      </w:r>
      <w:r w:rsidRPr="008F03E5">
        <w:tab/>
        <w:t>Jawhar, pl. Jawáhir, Jawwál</w:t>
      </w:r>
      <w:r w:rsidRPr="008F03E5">
        <w:tab/>
        <w:t>wandering, migrant, itinerant, roving; cruising; traveling; ambulant; traveler, tourist</w:t>
      </w:r>
    </w:p>
    <w:p w14:paraId="1B7F0072" w14:textId="77777777" w:rsidR="00625A5B" w:rsidRPr="008F03E5" w:rsidRDefault="00625A5B" w:rsidP="00C422F6">
      <w:pPr>
        <w:pStyle w:val="Translit"/>
      </w:pPr>
      <w:r w:rsidRPr="008F03E5">
        <w:t>Jawhar (Jauhar), Jawhara, Jawahir</w:t>
      </w:r>
      <w:r w:rsidRPr="008F03E5">
        <w:tab/>
        <w:t>Jawhar, fem. Jawhara[h], pl. Jawáhir</w:t>
      </w:r>
      <w:r w:rsidRPr="008F03E5">
        <w:tab/>
        <w:t>intrinsic, essential nature, essence; content, substance (as opposed to form; philosophy); matter, substance; atom; jewel, gem, pearl;—pl. jewellry.  From Persian Gawhar</w:t>
      </w:r>
    </w:p>
    <w:p w14:paraId="7240CDC2" w14:textId="77777777" w:rsidR="00625A5B" w:rsidRPr="008F03E5" w:rsidRDefault="00625A5B" w:rsidP="00317CBB">
      <w:pPr>
        <w:pStyle w:val="Translit"/>
      </w:pPr>
      <w:r w:rsidRPr="008F03E5">
        <w:t>Jawhara (Jauhara), Jawharat</w:t>
      </w:r>
      <w:r w:rsidRPr="008F03E5">
        <w:tab/>
        <w:t>Jawhara[t], pl. Jawharát</w:t>
      </w:r>
      <w:r w:rsidRPr="008F03E5">
        <w:tab/>
        <w:t>jewel, gem</w:t>
      </w:r>
    </w:p>
    <w:p w14:paraId="3B227C18" w14:textId="77777777" w:rsidR="00625A5B" w:rsidRPr="008F03E5" w:rsidRDefault="00625A5B" w:rsidP="00166D0E">
      <w:pPr>
        <w:pStyle w:val="Translit"/>
      </w:pPr>
      <w:r w:rsidRPr="008F03E5">
        <w:t>Jawhari (Jauhari)</w:t>
      </w:r>
      <w:r w:rsidRPr="008F03E5">
        <w:tab/>
        <w:t>Jawharí</w:t>
      </w:r>
      <w:r w:rsidRPr="008F03E5">
        <w:tab/>
        <w:t>substantial (opposite to accidental); intrinsic, essential, inherent; fundamental, main, chief, principal; material; jeweler</w:t>
      </w:r>
    </w:p>
    <w:p w14:paraId="34FF7EDC" w14:textId="77777777" w:rsidR="00625A5B" w:rsidRPr="008F03E5" w:rsidRDefault="00625A5B" w:rsidP="00166D0E">
      <w:pPr>
        <w:pStyle w:val="Translit"/>
      </w:pPr>
      <w:r w:rsidRPr="008F03E5">
        <w:t>Jawhariya (Jauhariya, Jawhariyyah)</w:t>
      </w:r>
      <w:r w:rsidRPr="008F03E5">
        <w:tab/>
        <w:t>Jawharíya[h]</w:t>
      </w:r>
      <w:r w:rsidRPr="008F03E5">
        <w:tab/>
        <w:t>substantiality, essentiality</w:t>
      </w:r>
    </w:p>
    <w:p w14:paraId="48B2851B" w14:textId="77777777" w:rsidR="00625A5B" w:rsidRPr="008F03E5" w:rsidRDefault="00625A5B" w:rsidP="008766BF">
      <w:pPr>
        <w:pStyle w:val="Translit"/>
      </w:pPr>
      <w:r w:rsidRPr="008F03E5">
        <w:t>Jawid</w:t>
      </w:r>
      <w:r w:rsidRPr="008F03E5">
        <w:tab/>
        <w:t>Jáwid or Jáwíd</w:t>
      </w:r>
      <w:r w:rsidRPr="008F03E5">
        <w:tab/>
        <w:t>Pers. eternal; eternity</w:t>
      </w:r>
    </w:p>
    <w:p w14:paraId="03A925B8" w14:textId="77777777" w:rsidR="00625A5B" w:rsidRPr="008F03E5" w:rsidRDefault="00625A5B" w:rsidP="007F559E">
      <w:pPr>
        <w:pStyle w:val="Translit"/>
      </w:pPr>
      <w:r w:rsidRPr="008F03E5">
        <w:t>Jawidukht, Javidukht</w:t>
      </w:r>
      <w:r w:rsidRPr="008F03E5">
        <w:tab/>
        <w:t>Jáwidu</w:t>
      </w:r>
      <w:r w:rsidRPr="008F03E5">
        <w:rPr>
          <w:u w:val="single"/>
        </w:rPr>
        <w:t>kh</w:t>
      </w:r>
      <w:r w:rsidRPr="008F03E5">
        <w:t>t (Jáwid-u</w:t>
      </w:r>
      <w:r w:rsidRPr="008F03E5">
        <w:rPr>
          <w:u w:val="single"/>
        </w:rPr>
        <w:t>kh</w:t>
      </w:r>
      <w:r w:rsidRPr="008F03E5">
        <w:t>t)</w:t>
      </w:r>
      <w:r w:rsidRPr="008F03E5">
        <w:tab/>
        <w:t>sister of Jáwid.  Jávidu</w:t>
      </w:r>
      <w:r w:rsidRPr="008F03E5">
        <w:rPr>
          <w:u w:val="single"/>
        </w:rPr>
        <w:t>kh</w:t>
      </w:r>
      <w:r w:rsidRPr="008F03E5">
        <w:t xml:space="preserve">t, wife of </w:t>
      </w:r>
      <w:r w:rsidRPr="008F03E5">
        <w:rPr>
          <w:u w:val="single"/>
        </w:rPr>
        <w:t>Dh</w:t>
      </w:r>
      <w:r w:rsidRPr="008F03E5">
        <w:t xml:space="preserve">ikru’lláh </w:t>
      </w:r>
      <w:r w:rsidRPr="008F03E5">
        <w:rPr>
          <w:u w:val="single"/>
        </w:rPr>
        <w:t>Kh</w:t>
      </w:r>
      <w:r w:rsidRPr="008F03E5">
        <w:t>ádim (</w:t>
      </w:r>
      <w:r w:rsidRPr="008F03E5">
        <w:rPr>
          <w:u w:val="single"/>
        </w:rPr>
        <w:t>Kh</w:t>
      </w:r>
      <w:r w:rsidRPr="008F03E5">
        <w:t>ádem).  See u</w:t>
      </w:r>
      <w:r w:rsidRPr="008F03E5">
        <w:rPr>
          <w:u w:val="single"/>
        </w:rPr>
        <w:t>kh</w:t>
      </w:r>
      <w:r w:rsidRPr="008F03E5">
        <w:t>t</w:t>
      </w:r>
    </w:p>
    <w:p w14:paraId="0B18AD35" w14:textId="77777777" w:rsidR="00625A5B" w:rsidRPr="008F03E5" w:rsidRDefault="00625A5B" w:rsidP="005D2CEA">
      <w:pPr>
        <w:pStyle w:val="Translit"/>
      </w:pPr>
      <w:r w:rsidRPr="008F03E5">
        <w:t>Jawsh (Jaush)</w:t>
      </w:r>
      <w:r w:rsidRPr="008F03E5">
        <w:tab/>
        <w:t>Jaw</w:t>
      </w:r>
      <w:r w:rsidRPr="008F03E5">
        <w:rPr>
          <w:u w:val="single"/>
        </w:rPr>
        <w:t>sh</w:t>
      </w:r>
      <w:r w:rsidRPr="008F03E5">
        <w:tab/>
        <w:t>Pers. the breast; the middle of a man; midnight; a large section of the night, or the latter part of it; a march during the whole of the night.  See Jayb</w:t>
      </w:r>
    </w:p>
    <w:p w14:paraId="4CB987EB" w14:textId="77777777" w:rsidR="00625A5B" w:rsidRPr="008F03E5" w:rsidRDefault="00625A5B" w:rsidP="005D2CEA">
      <w:pPr>
        <w:pStyle w:val="Translit"/>
      </w:pPr>
      <w:r w:rsidRPr="008F03E5">
        <w:t>Jawshan (Jaushan)</w:t>
      </w:r>
      <w:r w:rsidRPr="008F03E5">
        <w:tab/>
        <w:t>Jaw</w:t>
      </w:r>
      <w:r w:rsidRPr="008F03E5">
        <w:rPr>
          <w:u w:val="single"/>
        </w:rPr>
        <w:t>sh</w:t>
      </w:r>
      <w:r w:rsidRPr="008F03E5">
        <w:t>an</w:t>
      </w:r>
      <w:r w:rsidRPr="008F03E5">
        <w:tab/>
        <w:t>breast plate, steel plate or chain mail</w:t>
      </w:r>
    </w:p>
    <w:p w14:paraId="04A02F05" w14:textId="77777777" w:rsidR="00625A5B" w:rsidRPr="008F03E5" w:rsidRDefault="00625A5B" w:rsidP="001A0478">
      <w:pPr>
        <w:pStyle w:val="Translit"/>
      </w:pPr>
      <w:r w:rsidRPr="008F03E5">
        <w:t>Jawshan Kabir</w:t>
      </w:r>
      <w:r w:rsidRPr="008F03E5">
        <w:tab/>
        <w:t>Jaw</w:t>
      </w:r>
      <w:r w:rsidRPr="008F03E5">
        <w:rPr>
          <w:u w:val="single"/>
        </w:rPr>
        <w:t>sh</w:t>
      </w:r>
      <w:r w:rsidRPr="008F03E5">
        <w:t>an Kabír</w:t>
      </w:r>
      <w:r w:rsidRPr="008F03E5">
        <w:tab/>
        <w:t>long (“big”) Islamic prayer with 1,000 names and attributes of God that is Muḥammad’s “coat of amour” to protect Him from injuries</w:t>
      </w:r>
    </w:p>
    <w:p w14:paraId="103894D5" w14:textId="77777777" w:rsidR="00625A5B" w:rsidRPr="008F03E5" w:rsidRDefault="00625A5B" w:rsidP="00E97103">
      <w:pPr>
        <w:pStyle w:val="Translit"/>
      </w:pPr>
      <w:r w:rsidRPr="008F03E5">
        <w:t>Jayb (Jaib), Juyub</w:t>
      </w:r>
      <w:r w:rsidRPr="008F03E5">
        <w:tab/>
        <w:t>Jayb, pl. Juyúb</w:t>
      </w:r>
      <w:r w:rsidRPr="008F03E5">
        <w:tab/>
        <w:t xml:space="preserve">breast, bosom, heart; hole, hollow, cavity, excavation, opening; pocket (Latin </w:t>
      </w:r>
      <w:r w:rsidRPr="008F03E5">
        <w:rPr>
          <w:i/>
          <w:iCs/>
        </w:rPr>
        <w:t>sinum,</w:t>
      </w:r>
      <w:r w:rsidRPr="008F03E5">
        <w:t xml:space="preserve"> English sine in mathematics); purse</w:t>
      </w:r>
    </w:p>
    <w:p w14:paraId="65B263D4" w14:textId="77777777" w:rsidR="00625A5B" w:rsidRPr="008F03E5" w:rsidRDefault="00625A5B" w:rsidP="00F37087">
      <w:pPr>
        <w:pStyle w:val="Translit"/>
      </w:pPr>
      <w:r w:rsidRPr="008F03E5">
        <w:t>Jayhun</w:t>
      </w:r>
      <w:r w:rsidRPr="008F03E5">
        <w:tab/>
        <w:t>Jayḥún</w:t>
      </w:r>
      <w:r w:rsidRPr="008F03E5">
        <w:tab/>
        <w:t>Bactrus River (now the Bal</w:t>
      </w:r>
      <w:r w:rsidRPr="008F03E5">
        <w:rPr>
          <w:u w:val="single"/>
        </w:rPr>
        <w:t>kh</w:t>
      </w:r>
      <w:r w:rsidRPr="008F03E5">
        <w:t>áb or Bal</w:t>
      </w:r>
      <w:r w:rsidRPr="008F03E5">
        <w:rPr>
          <w:u w:val="single"/>
        </w:rPr>
        <w:t>kh</w:t>
      </w:r>
      <w:r w:rsidRPr="008F03E5">
        <w:t xml:space="preserve"> River)—it once flowed into the Oxus River</w:t>
      </w:r>
    </w:p>
    <w:p w14:paraId="07AC9B8E" w14:textId="77777777" w:rsidR="00625A5B" w:rsidRPr="008F03E5" w:rsidRDefault="00625A5B" w:rsidP="00755514">
      <w:pPr>
        <w:pStyle w:val="Translit"/>
      </w:pPr>
      <w:r w:rsidRPr="008F03E5">
        <w:t>Jaysh (Jaish), Juyush</w:t>
      </w:r>
      <w:r w:rsidRPr="008F03E5">
        <w:tab/>
        <w:t>Jay</w:t>
      </w:r>
      <w:r w:rsidRPr="008F03E5">
        <w:rPr>
          <w:u w:val="single"/>
        </w:rPr>
        <w:t>sh</w:t>
      </w:r>
      <w:r w:rsidRPr="008F03E5">
        <w:t>, pl. Juyu</w:t>
      </w:r>
      <w:r w:rsidRPr="008F03E5">
        <w:rPr>
          <w:u w:val="single"/>
        </w:rPr>
        <w:t>sh</w:t>
      </w:r>
      <w:r w:rsidRPr="008F03E5">
        <w:tab/>
        <w:t>army, troops, armed forces</w:t>
      </w:r>
    </w:p>
    <w:p w14:paraId="03D83A68" w14:textId="77777777" w:rsidR="00625A5B" w:rsidRPr="008F03E5" w:rsidRDefault="00625A5B" w:rsidP="00755514">
      <w:pPr>
        <w:pStyle w:val="Translit"/>
      </w:pPr>
      <w:r w:rsidRPr="008F03E5">
        <w:t>Jaysh ‘Aramram</w:t>
      </w:r>
      <w:r w:rsidRPr="008F03E5">
        <w:tab/>
        <w:t>Jay</w:t>
      </w:r>
      <w:r w:rsidRPr="008F03E5">
        <w:rPr>
          <w:u w:val="single"/>
        </w:rPr>
        <w:t>sh</w:t>
      </w:r>
      <w:r w:rsidRPr="008F03E5">
        <w:t xml:space="preserve"> ‘Aramram</w:t>
      </w:r>
      <w:r w:rsidRPr="008F03E5">
        <w:tab/>
        <w:t>a numerous, huge army.  See furú</w:t>
      </w:r>
      <w:r w:rsidRPr="008F03E5">
        <w:rPr>
          <w:u w:val="single"/>
        </w:rPr>
        <w:t>gh</w:t>
      </w:r>
      <w:r w:rsidRPr="008F03E5">
        <w:t>í</w:t>
      </w:r>
    </w:p>
    <w:p w14:paraId="19455484" w14:textId="77777777" w:rsidR="00625A5B" w:rsidRPr="008F03E5" w:rsidRDefault="00625A5B" w:rsidP="00FD49F4">
      <w:pPr>
        <w:pStyle w:val="Translit"/>
      </w:pPr>
      <w:r w:rsidRPr="008F03E5">
        <w:t>Jaz</w:t>
      </w:r>
      <w:r w:rsidRPr="008F03E5">
        <w:tab/>
        <w:t>Jaz</w:t>
      </w:r>
      <w:r w:rsidRPr="008F03E5">
        <w:tab/>
        <w:t>Pers. an island; name of a country between Euphrates and Tigris (Mesopotamia, al-Jazírat)</w:t>
      </w:r>
    </w:p>
    <w:p w14:paraId="13C8104A" w14:textId="77777777" w:rsidR="00625A5B" w:rsidRPr="008F03E5" w:rsidRDefault="00625A5B" w:rsidP="007921EE">
      <w:pPr>
        <w:pStyle w:val="Translit"/>
        <w:tabs>
          <w:tab w:val="left" w:pos="7230"/>
        </w:tabs>
        <w:rPr>
          <w:lang w:eastAsia="en-US"/>
        </w:rPr>
      </w:pPr>
      <w:r w:rsidRPr="008F03E5">
        <w:rPr>
          <w:lang w:eastAsia="en-US"/>
        </w:rPr>
        <w:t>Jazira (Jazirih), Jaza’ir, Juzur</w:t>
      </w:r>
      <w:r w:rsidRPr="008F03E5">
        <w:rPr>
          <w:lang w:eastAsia="en-US"/>
        </w:rPr>
        <w:tab/>
        <w:t>Jazíra[h or t], pl. Jazá’ir, Juzur</w:t>
      </w:r>
      <w:r w:rsidRPr="008F03E5">
        <w:rPr>
          <w:lang w:eastAsia="en-US"/>
        </w:rPr>
        <w:tab/>
        <w:t xml:space="preserve">island.  </w:t>
      </w:r>
      <w:r w:rsidRPr="008F03E5">
        <w:t xml:space="preserve">Cizre (Kurdish), Jazírat ibn ‘Umar (Ar.), Jazírih (Pers.), town and district in </w:t>
      </w:r>
      <w:r w:rsidRPr="008F03E5">
        <w:rPr>
          <w:sz w:val="16"/>
          <w:szCs w:val="16"/>
        </w:rPr>
        <w:t>SE</w:t>
      </w:r>
      <w:r w:rsidRPr="008F03E5">
        <w:t xml:space="preserve"> Türkiye.  </w:t>
      </w:r>
      <w:r w:rsidRPr="008F03E5">
        <w:rPr>
          <w:sz w:val="16"/>
          <w:szCs w:val="16"/>
        </w:rPr>
        <w:t>NW</w:t>
      </w:r>
      <w:r w:rsidRPr="008F03E5">
        <w:t xml:space="preserve"> or upper Mesopotemia became known as al-Jazíra after the Arab Islamic conquest of the mid-7th century </w:t>
      </w:r>
      <w:r w:rsidRPr="008F03E5">
        <w:rPr>
          <w:sz w:val="16"/>
          <w:szCs w:val="16"/>
        </w:rPr>
        <w:t>CE</w:t>
      </w:r>
      <w:r w:rsidRPr="008F03E5">
        <w:t>.</w:t>
      </w:r>
    </w:p>
    <w:p w14:paraId="7D25B388" w14:textId="77777777" w:rsidR="00625A5B" w:rsidRPr="008F03E5" w:rsidRDefault="00625A5B" w:rsidP="00367145">
      <w:pPr>
        <w:pStyle w:val="Translit"/>
      </w:pPr>
      <w:r w:rsidRPr="00367145">
        <w:rPr>
          <w:lang w:val="it-IT"/>
        </w:rPr>
        <w:t>Jazir</w:t>
      </w:r>
      <w:r>
        <w:rPr>
          <w:lang w:val="it-IT"/>
        </w:rPr>
        <w:t>a</w:t>
      </w:r>
      <w:r w:rsidRPr="00367145">
        <w:rPr>
          <w:lang w:val="it-IT"/>
        </w:rPr>
        <w:t xml:space="preserve"> al-Khadra, Jazir</w:t>
      </w:r>
      <w:r>
        <w:rPr>
          <w:lang w:val="it-IT"/>
        </w:rPr>
        <w:t>a</w:t>
      </w:r>
      <w:r w:rsidRPr="00367145">
        <w:rPr>
          <w:lang w:val="it-IT"/>
        </w:rPr>
        <w:t>y-i-Khadra</w:t>
      </w:r>
      <w:r w:rsidRPr="00367145">
        <w:rPr>
          <w:lang w:val="it-IT"/>
        </w:rPr>
        <w:tab/>
        <w:t>al-Jazír</w:t>
      </w:r>
      <w:r>
        <w:rPr>
          <w:lang w:val="it-IT"/>
        </w:rPr>
        <w:t>a</w:t>
      </w:r>
      <w:r w:rsidRPr="00367145">
        <w:rPr>
          <w:lang w:val="it-IT"/>
        </w:rPr>
        <w:t xml:space="preserve"> al-</w:t>
      </w:r>
      <w:r w:rsidRPr="00367145">
        <w:rPr>
          <w:u w:val="single"/>
          <w:lang w:val="it-IT"/>
        </w:rPr>
        <w:t>Kh</w:t>
      </w:r>
      <w:r w:rsidRPr="00367145">
        <w:rPr>
          <w:lang w:val="it-IT"/>
        </w:rPr>
        <w:t>aḍrá’</w:t>
      </w:r>
      <w:r w:rsidRPr="00367145">
        <w:rPr>
          <w:lang w:val="it-IT"/>
        </w:rPr>
        <w:tab/>
        <w:t xml:space="preserve">(Pers. </w:t>
      </w:r>
      <w:r w:rsidRPr="008F03E5">
        <w:t>Jazír</w:t>
      </w:r>
      <w:r>
        <w:t>a</w:t>
      </w:r>
      <w:r w:rsidRPr="008F03E5">
        <w:t>y-i-</w:t>
      </w:r>
      <w:r w:rsidRPr="008F03E5">
        <w:rPr>
          <w:u w:val="single"/>
        </w:rPr>
        <w:t>Kh</w:t>
      </w:r>
      <w:r w:rsidRPr="008F03E5">
        <w:t>aḍrá’</w:t>
      </w:r>
      <w:r>
        <w:t xml:space="preserve">) </w:t>
      </w:r>
      <w:r w:rsidRPr="008F03E5">
        <w:t>“</w:t>
      </w:r>
      <w:r>
        <w:t xml:space="preserve">The </w:t>
      </w:r>
      <w:r w:rsidRPr="008F03E5">
        <w:t>Verdant Isle”</w:t>
      </w:r>
      <w:r>
        <w:t xml:space="preserve"> or </w:t>
      </w:r>
      <w:r w:rsidRPr="008F03E5">
        <w:t>“</w:t>
      </w:r>
      <w:r>
        <w:t>The Green</w:t>
      </w:r>
      <w:r w:rsidRPr="008F03E5">
        <w:t xml:space="preserve"> Isl</w:t>
      </w:r>
      <w:r>
        <w:t>and</w:t>
      </w:r>
      <w:r w:rsidRPr="008F03E5">
        <w:t xml:space="preserve">”, </w:t>
      </w:r>
      <w:r>
        <w:t xml:space="preserve">a </w:t>
      </w:r>
      <w:r w:rsidRPr="008F03E5">
        <w:t xml:space="preserve">reference </w:t>
      </w:r>
      <w:r>
        <w:t xml:space="preserve">by the Báb to the </w:t>
      </w:r>
      <w:r w:rsidRPr="008F03E5">
        <w:t>forest</w:t>
      </w:r>
      <w:r>
        <w:t>s</w:t>
      </w:r>
      <w:r w:rsidRPr="008F03E5">
        <w:t xml:space="preserve"> of Mázandarán</w:t>
      </w:r>
      <w:r>
        <w:t xml:space="preserve"> Province</w:t>
      </w:r>
      <w:r w:rsidRPr="008F03E5">
        <w:t xml:space="preserve"> (Quddús and Mullá Ḥusayn)</w:t>
      </w:r>
      <w:r>
        <w:t xml:space="preserve">, and Bahá’u’lláh </w:t>
      </w:r>
      <w:r w:rsidRPr="008F03E5">
        <w:t xml:space="preserve">to </w:t>
      </w:r>
      <w:r>
        <w:t xml:space="preserve">the </w:t>
      </w:r>
      <w:r w:rsidRPr="008F03E5">
        <w:t>Riḍván Garden of Na‘mayn near ‘Akká</w:t>
      </w:r>
      <w:r>
        <w:t>.</w:t>
      </w:r>
    </w:p>
    <w:p w14:paraId="2A6561A4" w14:textId="77777777" w:rsidR="00625A5B" w:rsidRPr="008F03E5" w:rsidRDefault="00625A5B" w:rsidP="00FD49F4">
      <w:pPr>
        <w:pStyle w:val="Translit"/>
      </w:pPr>
      <w:r w:rsidRPr="008F03E5">
        <w:rPr>
          <w:lang w:eastAsia="en-US"/>
        </w:rPr>
        <w:t>Jazirat al-Bahr</w:t>
      </w:r>
      <w:r w:rsidRPr="008F03E5">
        <w:rPr>
          <w:lang w:eastAsia="en-US"/>
        </w:rPr>
        <w:tab/>
        <w:t>Jazírat al-Ba</w:t>
      </w:r>
      <w:r w:rsidRPr="008F03E5">
        <w:t>ḥ</w:t>
      </w:r>
      <w:r w:rsidRPr="008F03E5">
        <w:rPr>
          <w:lang w:eastAsia="en-US"/>
        </w:rPr>
        <w:t>r</w:t>
      </w:r>
      <w:r w:rsidRPr="008F03E5">
        <w:rPr>
          <w:lang w:eastAsia="en-US"/>
        </w:rPr>
        <w:tab/>
        <w:t>name given to Bú</w:t>
      </w:r>
      <w:r w:rsidRPr="008F03E5">
        <w:rPr>
          <w:u w:val="single"/>
        </w:rPr>
        <w:t>sh</w:t>
      </w:r>
      <w:r w:rsidRPr="008F03E5">
        <w:rPr>
          <w:lang w:eastAsia="en-US"/>
        </w:rPr>
        <w:t>ihr by the Báb</w:t>
      </w:r>
    </w:p>
    <w:p w14:paraId="0E5FA660" w14:textId="77777777" w:rsidR="00625A5B" w:rsidRPr="008F03E5" w:rsidRDefault="00625A5B" w:rsidP="0073340C">
      <w:pPr>
        <w:pStyle w:val="Translit"/>
      </w:pPr>
      <w:r w:rsidRPr="008F03E5">
        <w:t>Jazzar, Jazzarun</w:t>
      </w:r>
      <w:r w:rsidRPr="008F03E5">
        <w:tab/>
        <w:t>Jazzár, pl. Jazzárún</w:t>
      </w:r>
      <w:r w:rsidRPr="008F03E5">
        <w:tab/>
        <w:t>butcher</w:t>
      </w:r>
    </w:p>
    <w:p w14:paraId="067E6388" w14:textId="77777777" w:rsidR="00625A5B" w:rsidRPr="008F03E5" w:rsidRDefault="00625A5B" w:rsidP="00273215">
      <w:pPr>
        <w:pStyle w:val="Translit"/>
      </w:pPr>
      <w:r w:rsidRPr="008F03E5">
        <w:t>Ji’rana (Jarana)</w:t>
      </w:r>
      <w:r w:rsidRPr="008F03E5">
        <w:tab/>
        <w:t>Ji‘rána[h]</w:t>
      </w:r>
      <w:r w:rsidRPr="008F03E5">
        <w:tab/>
        <w:t>al-Ji‘ránah (21.551166, 39.952983) is a town that Muḥammad returned to after the Battle of Hunayn.  The booty and the prisoners taken at Ḥunayn were gathered together at al-Ji‘ránah.  Masjid al-Ji‘ránah (on the north side) is one of the Míqát al-ḥájj rendezvous points.</w:t>
      </w:r>
    </w:p>
    <w:p w14:paraId="39BD03CA" w14:textId="77777777" w:rsidR="00625A5B" w:rsidRPr="008F03E5" w:rsidRDefault="00625A5B" w:rsidP="00CF4EBA">
      <w:pPr>
        <w:pStyle w:val="Translit"/>
      </w:pPr>
      <w:r w:rsidRPr="008F03E5">
        <w:t>Jibt</w:t>
      </w:r>
      <w:r w:rsidRPr="008F03E5">
        <w:tab/>
        <w:t>Jibt</w:t>
      </w:r>
      <w:r w:rsidRPr="008F03E5">
        <w:tab/>
        <w:t>sorcery, divination or any false belief.  Name of a pagan idol (Qur’án 4:51).</w:t>
      </w:r>
    </w:p>
    <w:p w14:paraId="23473CBE" w14:textId="77777777" w:rsidR="00625A5B" w:rsidRPr="00077779" w:rsidRDefault="00625A5B" w:rsidP="00705CD0">
      <w:pPr>
        <w:pStyle w:val="Translit"/>
        <w:rPr>
          <w:lang w:val="es-ES_tradnl"/>
        </w:rPr>
      </w:pPr>
      <w:r w:rsidRPr="00077779">
        <w:rPr>
          <w:lang w:val="es-ES_tradnl"/>
        </w:rPr>
        <w:t>Jidal, Mujadala, Mujadalat</w:t>
      </w:r>
      <w:r w:rsidRPr="00077779">
        <w:rPr>
          <w:lang w:val="es-ES_tradnl"/>
        </w:rPr>
        <w:tab/>
        <w:t>Jidál (m.), Mujádala (f.), pl. Mujádalát</w:t>
      </w:r>
      <w:r w:rsidRPr="00077779">
        <w:rPr>
          <w:lang w:val="es-ES_tradnl"/>
        </w:rPr>
        <w:tab/>
        <w:t>quarrel, argument; dispute, discussion, debate; “rational argumentation” (see Mujáhada)</w:t>
      </w:r>
    </w:p>
    <w:p w14:paraId="7EF20F20" w14:textId="77777777" w:rsidR="00625A5B" w:rsidRPr="00077779" w:rsidRDefault="00625A5B" w:rsidP="008327EB">
      <w:pPr>
        <w:pStyle w:val="Translit"/>
        <w:rPr>
          <w:lang w:val="es-ES_tradnl"/>
        </w:rPr>
      </w:pPr>
      <w:r w:rsidRPr="00077779">
        <w:rPr>
          <w:lang w:val="es-ES_tradnl"/>
        </w:rPr>
        <w:t>Jidda</w:t>
      </w:r>
      <w:r w:rsidRPr="00077779">
        <w:rPr>
          <w:lang w:val="es-ES_tradnl"/>
        </w:rPr>
        <w:tab/>
        <w:t>Jidda[h]</w:t>
      </w:r>
      <w:r w:rsidRPr="00077779">
        <w:rPr>
          <w:lang w:val="es-ES_tradnl"/>
        </w:rPr>
        <w:tab/>
        <w:t>newness, novelty; modernity; rebirth, renaissance.  Judda[h]—Jidda, seaport western Saudi Arabia.</w:t>
      </w:r>
    </w:p>
    <w:p w14:paraId="273B311E" w14:textId="77777777" w:rsidR="00625A5B" w:rsidRPr="008F03E5" w:rsidRDefault="00625A5B" w:rsidP="008327EB">
      <w:pPr>
        <w:pStyle w:val="Translit"/>
      </w:pPr>
      <w:r w:rsidRPr="00077779">
        <w:rPr>
          <w:lang w:val="es-ES_tradnl"/>
        </w:rPr>
        <w:t>Jiha, Jihat, Juhat</w:t>
      </w:r>
      <w:r w:rsidRPr="00077779">
        <w:rPr>
          <w:lang w:val="es-ES_tradnl"/>
        </w:rPr>
        <w:tab/>
        <w:t xml:space="preserve">Jiha (Pers. </w:t>
      </w:r>
      <w:r w:rsidRPr="00A66EA2">
        <w:rPr>
          <w:lang w:val="es-ES_tradnl"/>
        </w:rPr>
        <w:t xml:space="preserve">Jihat, Juhat), pl. </w:t>
      </w:r>
      <w:r w:rsidRPr="008F03E5">
        <w:t>Jihát</w:t>
      </w:r>
      <w:r w:rsidRPr="008F03E5">
        <w:tab/>
        <w:t>side; direction; region, part, section, area; district, precinct, city quarter; agency, authority; administrative agency</w:t>
      </w:r>
    </w:p>
    <w:p w14:paraId="24D8145B" w14:textId="77777777" w:rsidR="00625A5B" w:rsidRPr="008F03E5" w:rsidRDefault="00625A5B" w:rsidP="00303D0B">
      <w:pPr>
        <w:pStyle w:val="Translit"/>
      </w:pPr>
      <w:r w:rsidRPr="008F03E5">
        <w:t>Jihad</w:t>
      </w:r>
      <w:r w:rsidRPr="008F03E5">
        <w:tab/>
        <w:t>Jihád</w:t>
      </w:r>
      <w:r w:rsidRPr="008F03E5">
        <w:tab/>
        <w:t>fight, battle, combat; jihad (English), holy war (against the infidels, as a religious duty)</w:t>
      </w:r>
      <w:r w:rsidRPr="008F03E5">
        <w:rPr>
          <w:rFonts w:eastAsia="Times New Roman"/>
        </w:rPr>
        <w:t>; a crusade; endeavour, effort</w:t>
      </w:r>
      <w:r w:rsidRPr="008F03E5">
        <w:t xml:space="preserve">.  Literally means “striving” (see root </w:t>
      </w:r>
      <w:r w:rsidRPr="008F03E5">
        <w:rPr>
          <w:i/>
          <w:iCs/>
        </w:rPr>
        <w:t>jahada</w:t>
      </w:r>
      <w:r w:rsidRPr="008F03E5">
        <w:t>)—a witness or martyr.  During and immediately after the time of Muḥammad, jihád was directed against pagans and idolaters—the polytheists—and was undertaken in defence of the realm of Islám.  Two main forms:  1.  jihádí aṣ</w:t>
      </w:r>
      <w:r w:rsidRPr="008F03E5">
        <w:rPr>
          <w:u w:val="single"/>
        </w:rPr>
        <w:t>gh</w:t>
      </w:r>
      <w:r w:rsidRPr="008F03E5">
        <w:t xml:space="preserve">ar </w:t>
      </w:r>
      <w:r>
        <w:t>(</w:t>
      </w:r>
      <w:r w:rsidRPr="008F03E5">
        <w:t>the lesser warfare</w:t>
      </w:r>
      <w:r>
        <w:t>)</w:t>
      </w:r>
      <w:r w:rsidRPr="008F03E5">
        <w:t>, war against infidels (which is further subdivided into jihád of the pen/tongue (debate or persuasion) and jihád of the sword)</w:t>
      </w:r>
      <w:r w:rsidRPr="008F03E5">
        <w:rPr>
          <w:rFonts w:eastAsia="Times New Roman"/>
        </w:rPr>
        <w:t xml:space="preserve">; 2.  </w:t>
      </w:r>
      <w:r w:rsidRPr="008F03E5">
        <w:t>jihádí akbar (</w:t>
      </w:r>
      <w:r>
        <w:t xml:space="preserve">fem. </w:t>
      </w:r>
      <w:r w:rsidRPr="008F03E5">
        <w:t>kubrá</w:t>
      </w:r>
      <w:r>
        <w:t xml:space="preserve">; </w:t>
      </w:r>
      <w:r w:rsidRPr="008F03E5">
        <w:rPr>
          <w:rFonts w:eastAsia="Times New Roman"/>
        </w:rPr>
        <w:t>the greater warfare</w:t>
      </w:r>
      <w:r>
        <w:rPr>
          <w:rFonts w:eastAsia="Times New Roman"/>
        </w:rPr>
        <w:t xml:space="preserve">, </w:t>
      </w:r>
      <w:r w:rsidRPr="008F03E5">
        <w:rPr>
          <w:rFonts w:eastAsia="Times New Roman"/>
        </w:rPr>
        <w:t xml:space="preserve">and more important), war against one’s own inclinations. </w:t>
      </w:r>
      <w:r w:rsidRPr="008F03E5">
        <w:t xml:space="preserve"> Shoghi Effendi used the expressions “Jihád-i-Kabír-i-Akbar” (“The supremely great crusade”) and “Jihád-i-Kabír” (“The great crusade”) in Persian for the “Ten Year Crusade”.  See Qitál</w:t>
      </w:r>
      <w:r>
        <w:t>.</w:t>
      </w:r>
    </w:p>
    <w:p w14:paraId="1091B357" w14:textId="77777777" w:rsidR="00625A5B" w:rsidRPr="008F03E5" w:rsidRDefault="00625A5B" w:rsidP="00F2725E">
      <w:pPr>
        <w:pStyle w:val="Translit"/>
      </w:pPr>
      <w:r w:rsidRPr="008F03E5">
        <w:t>Jihadi</w:t>
      </w:r>
      <w:r w:rsidRPr="008F03E5">
        <w:tab/>
        <w:t>Jihádí</w:t>
      </w:r>
      <w:r w:rsidRPr="008F03E5">
        <w:tab/>
        <w:t>fighting, military; o</w:t>
      </w:r>
      <w:r w:rsidRPr="008F03E5">
        <w:rPr>
          <w:rFonts w:eastAsia="Times New Roman"/>
        </w:rPr>
        <w:t>ne who fights against the infidels, a crusader</w:t>
      </w:r>
    </w:p>
    <w:p w14:paraId="4099C0A3" w14:textId="77777777" w:rsidR="00625A5B" w:rsidRPr="008F03E5" w:rsidRDefault="00625A5B" w:rsidP="00A47D4B">
      <w:pPr>
        <w:pStyle w:val="Translit"/>
      </w:pPr>
      <w:r w:rsidRPr="008F03E5">
        <w:t>Jihan</w:t>
      </w:r>
      <w:r w:rsidRPr="008F03E5">
        <w:tab/>
        <w:t>Jihán</w:t>
      </w:r>
      <w:r w:rsidRPr="008F03E5">
        <w:tab/>
        <w:t>Pers. world</w:t>
      </w:r>
    </w:p>
    <w:p w14:paraId="657FF13F" w14:textId="77777777" w:rsidR="00625A5B" w:rsidRPr="008F03E5" w:rsidRDefault="00625A5B" w:rsidP="00FF49A5">
      <w:pPr>
        <w:pStyle w:val="Translit"/>
      </w:pPr>
      <w:r w:rsidRPr="008F03E5">
        <w:t>Jihat-i-Mahiyyati</w:t>
      </w:r>
      <w:r w:rsidRPr="008F03E5">
        <w:tab/>
        <w:t>Jihat-i-Máhíyyatí</w:t>
      </w:r>
      <w:r w:rsidRPr="008F03E5">
        <w:tab/>
        <w:t>Pers. essential aspect</w:t>
      </w:r>
    </w:p>
    <w:p w14:paraId="7856FB63" w14:textId="77777777" w:rsidR="00625A5B" w:rsidRPr="008F03E5" w:rsidRDefault="00625A5B" w:rsidP="002C2052">
      <w:pPr>
        <w:pStyle w:val="Translit"/>
      </w:pPr>
      <w:r w:rsidRPr="008F03E5">
        <w:t>Jihat-i-Vujudi</w:t>
      </w:r>
      <w:r w:rsidRPr="008F03E5">
        <w:tab/>
        <w:t>Jihat-i-Vujúdí</w:t>
      </w:r>
      <w:r w:rsidRPr="008F03E5">
        <w:tab/>
        <w:t>Pers. existential aspect</w:t>
      </w:r>
    </w:p>
    <w:p w14:paraId="3BF70EAF" w14:textId="77777777" w:rsidR="00625A5B" w:rsidRPr="008F03E5" w:rsidRDefault="00625A5B" w:rsidP="00A237F4">
      <w:pPr>
        <w:pStyle w:val="Translit"/>
      </w:pPr>
      <w:r w:rsidRPr="008F03E5">
        <w:t>Jihun</w:t>
      </w:r>
      <w:r w:rsidRPr="008F03E5">
        <w:tab/>
        <w:t>Jíhún</w:t>
      </w:r>
      <w:r w:rsidRPr="008F03E5">
        <w:tab/>
        <w:t>(from Gihon) Ar. for Oxus River</w:t>
      </w:r>
    </w:p>
    <w:p w14:paraId="0FFB23DF" w14:textId="77777777" w:rsidR="00625A5B" w:rsidRPr="008F03E5" w:rsidRDefault="00625A5B" w:rsidP="009E6ED4">
      <w:pPr>
        <w:pStyle w:val="Translit"/>
      </w:pPr>
      <w:r w:rsidRPr="008F03E5">
        <w:t>Jilard, Gilard (Jiliard, Giliard)</w:t>
      </w:r>
      <w:r w:rsidRPr="008F03E5">
        <w:tab/>
        <w:t>Jílárd, Gílárd</w:t>
      </w:r>
      <w:r w:rsidRPr="008F03E5">
        <w:tab/>
        <w:t xml:space="preserve">village 4 km </w:t>
      </w:r>
      <w:r w:rsidRPr="008F03E5">
        <w:rPr>
          <w:sz w:val="16"/>
          <w:szCs w:val="16"/>
        </w:rPr>
        <w:t>SSW</w:t>
      </w:r>
      <w:r w:rsidRPr="008F03E5">
        <w:t xml:space="preserve"> of Damávand.  Ṭáhirih was a guest of Áqá Naṣru’lláh Gílárdí in Wáz-i-‘Ulyá, in 1849.</w:t>
      </w:r>
    </w:p>
    <w:p w14:paraId="309BE2C0" w14:textId="77777777" w:rsidR="00625A5B" w:rsidRPr="008F03E5" w:rsidRDefault="00625A5B" w:rsidP="00735348">
      <w:pPr>
        <w:pStyle w:val="Translit"/>
      </w:pPr>
      <w:r w:rsidRPr="008F03E5">
        <w:t>Jilf, Ajlaf</w:t>
      </w:r>
      <w:r w:rsidRPr="008F03E5">
        <w:tab/>
        <w:t>Jilf, pl. Ajláf</w:t>
      </w:r>
      <w:r w:rsidRPr="008F03E5">
        <w:tab/>
        <w:t>Ar. boorish, rude, uncivil.  Pers. i)  any empty vessel, pot or pan; an animal disembowelled, and skinned; anything empty in the middle; ii)  silly, trifling</w:t>
      </w:r>
    </w:p>
    <w:p w14:paraId="6756B730" w14:textId="77777777" w:rsidR="00625A5B" w:rsidRPr="008F03E5" w:rsidRDefault="00625A5B" w:rsidP="00FC428F">
      <w:pPr>
        <w:pStyle w:val="Translit"/>
      </w:pPr>
      <w:r w:rsidRPr="008F03E5">
        <w:t>Jilf-ast</w:t>
      </w:r>
      <w:r w:rsidRPr="008F03E5">
        <w:tab/>
        <w:t>Jilf-ast</w:t>
      </w:r>
      <w:r w:rsidRPr="008F03E5">
        <w:tab/>
        <w:t>“he is a light-weight”</w:t>
      </w:r>
    </w:p>
    <w:p w14:paraId="04BEABAB" w14:textId="77777777" w:rsidR="00625A5B" w:rsidRPr="008F03E5" w:rsidRDefault="00625A5B" w:rsidP="005729DA">
      <w:pPr>
        <w:pStyle w:val="Translit"/>
      </w:pPr>
      <w:r w:rsidRPr="008F03E5">
        <w:t>Jillabiya (Jilabiya, Jellabiya, Gallabiya)</w:t>
      </w:r>
      <w:r w:rsidRPr="008F03E5">
        <w:tab/>
        <w:t>Jillábíya, pl. Jilábi</w:t>
      </w:r>
      <w:r w:rsidRPr="008F03E5">
        <w:tab/>
        <w:t>galabia or galabieh, a loose, shirt-like garment, the common dress of the male population in Egypt, Sudan and Eritrea.  Gallábíya, pl. Gallábíyát, Galálíb in Egyptian Arabic.</w:t>
      </w:r>
    </w:p>
    <w:p w14:paraId="21CC82EF" w14:textId="77777777" w:rsidR="00625A5B" w:rsidRPr="008F03E5" w:rsidRDefault="00625A5B" w:rsidP="000A4276">
      <w:pPr>
        <w:pStyle w:val="Translit"/>
      </w:pPr>
      <w:r w:rsidRPr="008F03E5">
        <w:t>Jilwa</w:t>
      </w:r>
      <w:r w:rsidRPr="008F03E5">
        <w:tab/>
        <w:t>Jilwa</w:t>
      </w:r>
      <w:r w:rsidRPr="008F03E5">
        <w:tab/>
        <w:t>Pers. (with Ar. influence) splendour; blandishment, loveliness; (metaphorically) the world.  See jalwat.</w:t>
      </w:r>
    </w:p>
    <w:p w14:paraId="3DC7CD10" w14:textId="77777777" w:rsidR="00625A5B" w:rsidRPr="008F03E5" w:rsidRDefault="00625A5B" w:rsidP="00370F57">
      <w:pPr>
        <w:pStyle w:val="Translit"/>
      </w:pPr>
      <w:r w:rsidRPr="008F03E5">
        <w:t>Jim</w:t>
      </w:r>
      <w:r w:rsidRPr="008F03E5">
        <w:tab/>
        <w:t>Jím</w:t>
      </w:r>
      <w:r w:rsidRPr="008F03E5">
        <w:tab/>
        <w:t>Arabic letter (j)</w:t>
      </w:r>
    </w:p>
    <w:p w14:paraId="3512A82B" w14:textId="77777777" w:rsidR="00625A5B" w:rsidRPr="008F03E5" w:rsidRDefault="00625A5B" w:rsidP="0073340C">
      <w:pPr>
        <w:pStyle w:val="Translit"/>
      </w:pPr>
      <w:r w:rsidRPr="008F03E5">
        <w:t>Jinab-i</w:t>
      </w:r>
      <w:r w:rsidRPr="008F03E5">
        <w:tab/>
        <w:t>Jináb-i-</w:t>
      </w:r>
      <w:r w:rsidRPr="008F03E5">
        <w:tab/>
        <w:t>(Janabe)</w:t>
      </w:r>
    </w:p>
    <w:p w14:paraId="27CA4CCB" w14:textId="77777777" w:rsidR="00625A5B" w:rsidRPr="00AA0995" w:rsidRDefault="00625A5B" w:rsidP="00900A82">
      <w:pPr>
        <w:pStyle w:val="Translit"/>
      </w:pPr>
      <w:r w:rsidRPr="00AA0995">
        <w:t>Jinab-i</w:t>
      </w:r>
      <w:r w:rsidRPr="00AA0995">
        <w:rPr>
          <w:rFonts w:eastAsia="PMingLiU"/>
          <w:lang w:eastAsia="zh-TW"/>
        </w:rPr>
        <w:t>-‘</w:t>
      </w:r>
      <w:r w:rsidRPr="00AA0995">
        <w:t>Azim</w:t>
      </w:r>
      <w:r w:rsidRPr="00AA0995">
        <w:tab/>
        <w:t>Jináb-i-‘Aẓím</w:t>
      </w:r>
      <w:r w:rsidRPr="00AA0995">
        <w:tab/>
      </w:r>
    </w:p>
    <w:p w14:paraId="16F0D30D" w14:textId="77777777" w:rsidR="00625A5B" w:rsidRPr="001457C8" w:rsidRDefault="00625A5B" w:rsidP="00900A82">
      <w:pPr>
        <w:pStyle w:val="Translit"/>
        <w:rPr>
          <w:lang w:val="pl-PL"/>
        </w:rPr>
      </w:pPr>
      <w:r w:rsidRPr="001457C8">
        <w:rPr>
          <w:lang w:val="pl-PL"/>
        </w:rPr>
        <w:t>Jinab-i-Amin</w:t>
      </w:r>
      <w:r w:rsidRPr="001457C8">
        <w:rPr>
          <w:lang w:val="pl-PL"/>
        </w:rPr>
        <w:tab/>
        <w:t>Jináb-i-Amín</w:t>
      </w:r>
      <w:r w:rsidRPr="001457C8">
        <w:rPr>
          <w:lang w:val="pl-PL"/>
        </w:rPr>
        <w:tab/>
      </w:r>
    </w:p>
    <w:p w14:paraId="2FDD6241" w14:textId="77777777" w:rsidR="00625A5B" w:rsidRPr="008F03E5" w:rsidRDefault="00625A5B" w:rsidP="00900A82">
      <w:pPr>
        <w:pStyle w:val="Translit"/>
      </w:pPr>
      <w:r w:rsidRPr="008F03E5">
        <w:t>Jinab-i-Avarih</w:t>
      </w:r>
      <w:r w:rsidRPr="008F03E5">
        <w:tab/>
        <w:t>Jináb-i-Ávárih</w:t>
      </w:r>
      <w:r w:rsidRPr="008F03E5">
        <w:tab/>
        <w:t>(</w:t>
      </w:r>
      <w:r w:rsidRPr="008F03E5">
        <w:rPr>
          <w:i/>
          <w:iCs/>
        </w:rPr>
        <w:t>Unfolding Destiny</w:t>
      </w:r>
      <w:r w:rsidRPr="008F03E5">
        <w:t>, p. 13.)</w:t>
      </w:r>
    </w:p>
    <w:p w14:paraId="5B0F2ADB" w14:textId="77777777" w:rsidR="00625A5B" w:rsidRPr="008F03E5" w:rsidRDefault="00625A5B" w:rsidP="00900A82">
      <w:pPr>
        <w:pStyle w:val="Translit"/>
      </w:pPr>
      <w:r w:rsidRPr="008F03E5">
        <w:t>Jinab-i-Fadil-i-Mazindarani</w:t>
      </w:r>
      <w:r w:rsidRPr="008F03E5">
        <w:tab/>
        <w:t>Jináb-i-Fáḍil-i-Mázindarání</w:t>
      </w:r>
      <w:r w:rsidRPr="008F03E5">
        <w:tab/>
        <w:t>(Jenabi Fazel)</w:t>
      </w:r>
    </w:p>
    <w:p w14:paraId="6FEC0C31" w14:textId="77777777" w:rsidR="00625A5B" w:rsidRPr="008F03E5" w:rsidRDefault="00625A5B" w:rsidP="00900A82">
      <w:pPr>
        <w:pStyle w:val="Translit"/>
      </w:pPr>
      <w:r w:rsidRPr="008F03E5">
        <w:t>Jinab-i-Husayn</w:t>
      </w:r>
      <w:r w:rsidRPr="008F03E5">
        <w:tab/>
        <w:t>Jináb-i-Ḥusayn</w:t>
      </w:r>
      <w:r w:rsidRPr="008F03E5">
        <w:tab/>
      </w:r>
    </w:p>
    <w:p w14:paraId="4D9C9E93" w14:textId="77777777" w:rsidR="00625A5B" w:rsidRPr="008F03E5" w:rsidRDefault="00625A5B" w:rsidP="00A17CB3">
      <w:pPr>
        <w:pStyle w:val="Translit"/>
      </w:pPr>
      <w:r w:rsidRPr="008F03E5">
        <w:t>Jinab-i-Ibn-</w:t>
      </w:r>
      <w:r w:rsidRPr="008F03E5">
        <w:rPr>
          <w:rFonts w:eastAsia="PMingLiU"/>
          <w:lang w:eastAsia="zh-TW"/>
        </w:rPr>
        <w:t>‘</w:t>
      </w:r>
      <w:r w:rsidRPr="008F03E5">
        <w:t>Abhar</w:t>
      </w:r>
      <w:r w:rsidRPr="008F03E5">
        <w:tab/>
        <w:t>Jináb-i-Ibn-‘Abhar</w:t>
      </w:r>
      <w:r w:rsidRPr="008F03E5">
        <w:tab/>
        <w:t>(Jenabe Ayadi, Ibn Abhar)</w:t>
      </w:r>
    </w:p>
    <w:p w14:paraId="0C7C411A" w14:textId="77777777" w:rsidR="00625A5B" w:rsidRPr="008F03E5" w:rsidRDefault="00625A5B" w:rsidP="00900A82">
      <w:pPr>
        <w:pStyle w:val="Translit"/>
      </w:pPr>
      <w:r w:rsidRPr="008F03E5">
        <w:t>Jinab-i-Ismu’llah</w:t>
      </w:r>
      <w:r w:rsidRPr="008F03E5">
        <w:tab/>
        <w:t>Jináb-i-Ismu’lláh</w:t>
      </w:r>
      <w:r w:rsidRPr="008F03E5">
        <w:tab/>
      </w:r>
    </w:p>
    <w:p w14:paraId="15DA31CE" w14:textId="77777777" w:rsidR="00625A5B" w:rsidRPr="008F03E5" w:rsidRDefault="00625A5B" w:rsidP="00900A82">
      <w:pPr>
        <w:pStyle w:val="Translit"/>
      </w:pPr>
      <w:r w:rsidRPr="008F03E5">
        <w:t>Jinab-i-Ismu’llahu’l-Asdaq</w:t>
      </w:r>
      <w:r w:rsidRPr="008F03E5">
        <w:tab/>
        <w:t>Jináb-i-Ismu’lláhu’l-Aṣdaq</w:t>
      </w:r>
      <w:r w:rsidRPr="008F03E5">
        <w:tab/>
      </w:r>
    </w:p>
    <w:p w14:paraId="6EB55784" w14:textId="77777777" w:rsidR="00625A5B" w:rsidRPr="001457C8" w:rsidRDefault="00625A5B" w:rsidP="00900A82">
      <w:pPr>
        <w:pStyle w:val="Translit"/>
        <w:rPr>
          <w:lang w:val="pl-PL"/>
        </w:rPr>
      </w:pPr>
      <w:r w:rsidRPr="001457C8">
        <w:rPr>
          <w:lang w:val="pl-PL"/>
        </w:rPr>
        <w:t>Jinab-i-Khan</w:t>
      </w:r>
      <w:r w:rsidRPr="001457C8">
        <w:rPr>
          <w:lang w:val="pl-PL"/>
        </w:rPr>
        <w:tab/>
        <w:t>Jináb-i-</w:t>
      </w:r>
      <w:r w:rsidRPr="001457C8">
        <w:rPr>
          <w:u w:val="single"/>
          <w:lang w:val="pl-PL"/>
        </w:rPr>
        <w:t>Kh</w:t>
      </w:r>
      <w:r w:rsidRPr="001457C8">
        <w:rPr>
          <w:lang w:val="pl-PL"/>
        </w:rPr>
        <w:t>án</w:t>
      </w:r>
      <w:r w:rsidRPr="001457C8">
        <w:rPr>
          <w:lang w:val="pl-PL"/>
        </w:rPr>
        <w:tab/>
      </w:r>
    </w:p>
    <w:p w14:paraId="3DEB5F2F" w14:textId="77777777" w:rsidR="00625A5B" w:rsidRPr="001457C8" w:rsidRDefault="00625A5B" w:rsidP="00900A82">
      <w:pPr>
        <w:pStyle w:val="Translit"/>
        <w:rPr>
          <w:lang w:val="pl-PL"/>
        </w:rPr>
      </w:pPr>
      <w:r w:rsidRPr="001457C8">
        <w:rPr>
          <w:lang w:val="pl-PL"/>
        </w:rPr>
        <w:t>Jinab-i-Mirza</w:t>
      </w:r>
      <w:r w:rsidRPr="001457C8">
        <w:rPr>
          <w:lang w:val="pl-PL"/>
        </w:rPr>
        <w:tab/>
        <w:t>Jináb-i-Mírzá</w:t>
      </w:r>
      <w:r w:rsidRPr="001457C8">
        <w:rPr>
          <w:lang w:val="pl-PL"/>
        </w:rPr>
        <w:tab/>
      </w:r>
    </w:p>
    <w:p w14:paraId="09AF6E10" w14:textId="77777777" w:rsidR="00625A5B" w:rsidRPr="001457C8" w:rsidRDefault="00625A5B" w:rsidP="00900A82">
      <w:pPr>
        <w:pStyle w:val="Translit"/>
        <w:rPr>
          <w:lang w:val="pl-PL"/>
        </w:rPr>
      </w:pPr>
      <w:r w:rsidRPr="001457C8">
        <w:rPr>
          <w:lang w:val="pl-PL"/>
        </w:rPr>
        <w:t>Jinab-i-Mishkin</w:t>
      </w:r>
      <w:r w:rsidRPr="001457C8">
        <w:rPr>
          <w:lang w:val="pl-PL"/>
        </w:rPr>
        <w:tab/>
        <w:t>Jináb-i-Mi</w:t>
      </w:r>
      <w:r w:rsidRPr="001457C8">
        <w:rPr>
          <w:u w:val="single"/>
          <w:lang w:val="pl-PL"/>
        </w:rPr>
        <w:t>sh</w:t>
      </w:r>
      <w:r w:rsidRPr="001457C8">
        <w:rPr>
          <w:lang w:val="pl-PL"/>
        </w:rPr>
        <w:t>kín</w:t>
      </w:r>
      <w:r w:rsidRPr="001457C8">
        <w:rPr>
          <w:lang w:val="pl-PL"/>
        </w:rPr>
        <w:tab/>
        <w:t>(</w:t>
      </w:r>
      <w:r w:rsidRPr="001457C8">
        <w:rPr>
          <w:sz w:val="16"/>
          <w:szCs w:val="16"/>
          <w:lang w:val="pl-PL"/>
        </w:rPr>
        <w:t>MF</w:t>
      </w:r>
      <w:r w:rsidRPr="001457C8">
        <w:rPr>
          <w:lang w:val="pl-PL"/>
        </w:rPr>
        <w:t xml:space="preserve"> p. 100)</w:t>
      </w:r>
    </w:p>
    <w:p w14:paraId="2A1E0314" w14:textId="77777777" w:rsidR="00625A5B" w:rsidRPr="001457C8" w:rsidRDefault="00625A5B" w:rsidP="00900A82">
      <w:pPr>
        <w:pStyle w:val="Translit"/>
        <w:rPr>
          <w:lang w:val="pl-PL"/>
        </w:rPr>
      </w:pPr>
      <w:r w:rsidRPr="001457C8">
        <w:rPr>
          <w:lang w:val="pl-PL"/>
        </w:rPr>
        <w:t>Jinab-i-Muhammad-Taqi</w:t>
      </w:r>
      <w:r w:rsidRPr="001457C8">
        <w:rPr>
          <w:lang w:val="pl-PL"/>
        </w:rPr>
        <w:tab/>
        <w:t>Jináb-i-Muḥammad-Taqí</w:t>
      </w:r>
      <w:r w:rsidRPr="001457C8">
        <w:rPr>
          <w:lang w:val="pl-PL"/>
        </w:rPr>
        <w:tab/>
      </w:r>
    </w:p>
    <w:p w14:paraId="5C68D0A2" w14:textId="77777777" w:rsidR="00625A5B" w:rsidRPr="001457C8" w:rsidRDefault="00625A5B" w:rsidP="00900A82">
      <w:pPr>
        <w:pStyle w:val="Translit"/>
        <w:rPr>
          <w:lang w:val="it-IT"/>
        </w:rPr>
      </w:pPr>
      <w:r w:rsidRPr="001457C8">
        <w:rPr>
          <w:lang w:val="it-IT"/>
        </w:rPr>
        <w:t>Jinab-i-Mulla</w:t>
      </w:r>
      <w:r w:rsidRPr="001457C8">
        <w:rPr>
          <w:lang w:val="it-IT"/>
        </w:rPr>
        <w:tab/>
        <w:t>Jináb-i-Mullá</w:t>
      </w:r>
      <w:r w:rsidRPr="001457C8">
        <w:rPr>
          <w:lang w:val="it-IT"/>
        </w:rPr>
        <w:tab/>
      </w:r>
    </w:p>
    <w:p w14:paraId="3C18C3CC" w14:textId="77777777" w:rsidR="00625A5B" w:rsidRPr="008F03E5" w:rsidRDefault="00625A5B" w:rsidP="00900A82">
      <w:pPr>
        <w:pStyle w:val="Translit"/>
      </w:pPr>
      <w:r w:rsidRPr="008F03E5">
        <w:t>Jinab-i-Munib</w:t>
      </w:r>
      <w:r w:rsidRPr="008F03E5">
        <w:tab/>
        <w:t>Jináb-i-Muníb</w:t>
      </w:r>
      <w:r w:rsidRPr="008F03E5">
        <w:tab/>
        <w:t>(</w:t>
      </w:r>
      <w:r w:rsidRPr="008F03E5">
        <w:rPr>
          <w:i/>
          <w:iCs/>
        </w:rPr>
        <w:t>Memorials of the Faithful</w:t>
      </w:r>
      <w:r w:rsidRPr="008F03E5">
        <w:t xml:space="preserve">, </w:t>
      </w:r>
      <w:r w:rsidRPr="008F03E5">
        <w:rPr>
          <w:sz w:val="16"/>
          <w:szCs w:val="16"/>
        </w:rPr>
        <w:t>GPB</w:t>
      </w:r>
      <w:r w:rsidRPr="008F03E5">
        <w:t xml:space="preserve"> &amp; </w:t>
      </w:r>
      <w:r w:rsidRPr="008F03E5">
        <w:rPr>
          <w:i/>
          <w:iCs/>
        </w:rPr>
        <w:t>Child of the Covenant</w:t>
      </w:r>
      <w:r w:rsidRPr="008F03E5">
        <w:t xml:space="preserve"> 73)</w:t>
      </w:r>
    </w:p>
    <w:p w14:paraId="1D1C46FF" w14:textId="77777777" w:rsidR="00625A5B" w:rsidRPr="008F03E5" w:rsidRDefault="00625A5B" w:rsidP="00900A82">
      <w:pPr>
        <w:pStyle w:val="Translit"/>
      </w:pPr>
      <w:r w:rsidRPr="008F03E5">
        <w:t>Jinab-i-Munir</w:t>
      </w:r>
      <w:r w:rsidRPr="008F03E5">
        <w:tab/>
        <w:t>Jináb-i-Munír</w:t>
      </w:r>
      <w:r w:rsidRPr="008F03E5">
        <w:tab/>
        <w:t>Bahá’í exile who died at Smyrna en route to ‘Akká prison</w:t>
      </w:r>
    </w:p>
    <w:p w14:paraId="60DC6EF7" w14:textId="77777777" w:rsidR="00625A5B" w:rsidRPr="001457C8" w:rsidRDefault="00625A5B" w:rsidP="00900A82">
      <w:pPr>
        <w:pStyle w:val="Translit"/>
        <w:rPr>
          <w:lang w:val="pl-PL"/>
        </w:rPr>
      </w:pPr>
      <w:r w:rsidRPr="001457C8">
        <w:rPr>
          <w:lang w:val="pl-PL"/>
        </w:rPr>
        <w:t>Jinab-i-Nabil-i-Akbar</w:t>
      </w:r>
      <w:r w:rsidRPr="001457C8">
        <w:rPr>
          <w:lang w:val="pl-PL"/>
        </w:rPr>
        <w:tab/>
        <w:t>Jináb-i-Nabíl-i-Akbar</w:t>
      </w:r>
      <w:r w:rsidRPr="001457C8">
        <w:rPr>
          <w:lang w:val="pl-PL"/>
        </w:rPr>
        <w:tab/>
      </w:r>
    </w:p>
    <w:p w14:paraId="0399DAC4" w14:textId="77777777" w:rsidR="00625A5B" w:rsidRPr="001457C8" w:rsidRDefault="00625A5B" w:rsidP="00900A82">
      <w:pPr>
        <w:pStyle w:val="Translit"/>
        <w:rPr>
          <w:lang w:val="pl-PL"/>
        </w:rPr>
      </w:pPr>
      <w:r w:rsidRPr="001457C8">
        <w:rPr>
          <w:lang w:val="pl-PL"/>
        </w:rPr>
        <w:t>Jinab-i-Quddus</w:t>
      </w:r>
      <w:r w:rsidRPr="001457C8">
        <w:rPr>
          <w:lang w:val="pl-PL"/>
        </w:rPr>
        <w:tab/>
        <w:t>Jináb-i-Quddús</w:t>
      </w:r>
      <w:r w:rsidRPr="001457C8">
        <w:rPr>
          <w:lang w:val="pl-PL"/>
        </w:rPr>
        <w:tab/>
      </w:r>
    </w:p>
    <w:p w14:paraId="406A4D4C" w14:textId="77777777" w:rsidR="00625A5B" w:rsidRPr="001457C8" w:rsidRDefault="00625A5B" w:rsidP="00900A82">
      <w:pPr>
        <w:pStyle w:val="Translit"/>
        <w:rPr>
          <w:lang w:val="pl-PL"/>
        </w:rPr>
      </w:pPr>
      <w:r w:rsidRPr="001457C8">
        <w:rPr>
          <w:lang w:val="pl-PL"/>
        </w:rPr>
        <w:t>Jinab-i-Sayyah</w:t>
      </w:r>
      <w:r w:rsidRPr="001457C8">
        <w:rPr>
          <w:lang w:val="pl-PL"/>
        </w:rPr>
        <w:tab/>
        <w:t>Jináb-i-Sayyáḥ</w:t>
      </w:r>
      <w:r w:rsidRPr="001457C8">
        <w:rPr>
          <w:lang w:val="pl-PL"/>
        </w:rPr>
        <w:tab/>
        <w:t>(</w:t>
      </w:r>
      <w:r w:rsidRPr="001457C8">
        <w:rPr>
          <w:sz w:val="16"/>
          <w:szCs w:val="16"/>
          <w:lang w:val="pl-PL"/>
        </w:rPr>
        <w:t>MF</w:t>
      </w:r>
      <w:r w:rsidRPr="001457C8">
        <w:rPr>
          <w:lang w:val="pl-PL"/>
        </w:rPr>
        <w:t>)</w:t>
      </w:r>
    </w:p>
    <w:p w14:paraId="49242A03" w14:textId="77777777" w:rsidR="00625A5B" w:rsidRPr="001457C8" w:rsidRDefault="00625A5B" w:rsidP="00900A82">
      <w:pPr>
        <w:pStyle w:val="Translit"/>
        <w:rPr>
          <w:lang w:val="pl-PL"/>
        </w:rPr>
      </w:pPr>
      <w:r w:rsidRPr="001457C8">
        <w:rPr>
          <w:lang w:val="pl-PL"/>
        </w:rPr>
        <w:t>Jinab-i-Shaykh</w:t>
      </w:r>
      <w:r w:rsidRPr="001457C8">
        <w:rPr>
          <w:lang w:val="pl-PL"/>
        </w:rPr>
        <w:tab/>
        <w:t>Jináb-i-</w:t>
      </w:r>
      <w:r w:rsidRPr="001457C8">
        <w:rPr>
          <w:u w:val="single"/>
          <w:lang w:val="pl-PL"/>
        </w:rPr>
        <w:t>Sh</w:t>
      </w:r>
      <w:r w:rsidRPr="001457C8">
        <w:rPr>
          <w:lang w:val="pl-PL"/>
        </w:rPr>
        <w:t>ay</w:t>
      </w:r>
      <w:r w:rsidRPr="001457C8">
        <w:rPr>
          <w:u w:val="single"/>
          <w:lang w:val="pl-PL"/>
        </w:rPr>
        <w:t>kh</w:t>
      </w:r>
      <w:r w:rsidRPr="001457C8">
        <w:rPr>
          <w:lang w:val="pl-PL"/>
        </w:rPr>
        <w:tab/>
      </w:r>
    </w:p>
    <w:p w14:paraId="0B6C80EC" w14:textId="77777777" w:rsidR="00625A5B" w:rsidRPr="001457C8" w:rsidRDefault="00625A5B" w:rsidP="00900A82">
      <w:pPr>
        <w:pStyle w:val="Translit"/>
        <w:rPr>
          <w:lang w:val="pl-PL"/>
        </w:rPr>
      </w:pPr>
      <w:r w:rsidRPr="001457C8">
        <w:rPr>
          <w:lang w:val="pl-PL"/>
        </w:rPr>
        <w:t>Jinab-i-Tahirih</w:t>
      </w:r>
      <w:r w:rsidRPr="001457C8">
        <w:rPr>
          <w:lang w:val="pl-PL"/>
        </w:rPr>
        <w:tab/>
        <w:t>Jináb-i-Ṭáhirih</w:t>
      </w:r>
      <w:r w:rsidRPr="001457C8">
        <w:rPr>
          <w:lang w:val="pl-PL"/>
        </w:rPr>
        <w:tab/>
      </w:r>
    </w:p>
    <w:p w14:paraId="5C9A8A51" w14:textId="77777777" w:rsidR="00625A5B" w:rsidRPr="001457C8" w:rsidRDefault="00625A5B" w:rsidP="00900A82">
      <w:pPr>
        <w:pStyle w:val="Translit"/>
        <w:rPr>
          <w:lang w:val="it-IT"/>
        </w:rPr>
      </w:pPr>
      <w:r w:rsidRPr="001457C8">
        <w:rPr>
          <w:lang w:val="it-IT"/>
        </w:rPr>
        <w:t>Jinab-i-Varqa</w:t>
      </w:r>
      <w:r w:rsidRPr="001457C8">
        <w:rPr>
          <w:lang w:val="it-IT"/>
        </w:rPr>
        <w:tab/>
        <w:t>Jináb-i-Varqá</w:t>
      </w:r>
      <w:r w:rsidRPr="001457C8">
        <w:rPr>
          <w:lang w:val="it-IT"/>
        </w:rPr>
        <w:tab/>
      </w:r>
    </w:p>
    <w:p w14:paraId="2FB92230" w14:textId="77777777" w:rsidR="00625A5B" w:rsidRPr="001457C8" w:rsidRDefault="00625A5B" w:rsidP="00370F57">
      <w:pPr>
        <w:pStyle w:val="Translit"/>
        <w:rPr>
          <w:lang w:val="pl-PL"/>
        </w:rPr>
      </w:pPr>
      <w:r w:rsidRPr="001457C8">
        <w:rPr>
          <w:lang w:val="pl-PL"/>
        </w:rPr>
        <w:t>Jináb-i-Zayn</w:t>
      </w:r>
      <w:r w:rsidRPr="001457C8">
        <w:rPr>
          <w:lang w:val="pl-PL"/>
        </w:rPr>
        <w:tab/>
        <w:t>Jináb-i-Zayn</w:t>
      </w:r>
      <w:r w:rsidRPr="001457C8">
        <w:rPr>
          <w:lang w:val="pl-PL"/>
        </w:rPr>
        <w:tab/>
        <w:t>(Jinabi Zain)</w:t>
      </w:r>
    </w:p>
    <w:p w14:paraId="6C616054" w14:textId="77777777" w:rsidR="00625A5B" w:rsidRPr="008F03E5" w:rsidRDefault="00625A5B" w:rsidP="00D14F4E">
      <w:pPr>
        <w:pStyle w:val="Translit"/>
      </w:pPr>
      <w:r w:rsidRPr="001457C8">
        <w:rPr>
          <w:lang w:val="pl-PL"/>
        </w:rPr>
        <w:t>Jinaza, Janaza, Jinazat, Janazat, Jana’iz</w:t>
      </w:r>
      <w:r w:rsidRPr="001457C8">
        <w:rPr>
          <w:lang w:val="pl-PL"/>
        </w:rPr>
        <w:tab/>
        <w:t>Jináza[t], Janáza[t], pl. -át, Janá’iz</w:t>
      </w:r>
      <w:r w:rsidRPr="001457C8">
        <w:rPr>
          <w:lang w:val="pl-PL"/>
        </w:rPr>
        <w:tab/>
        <w:t xml:space="preserve">bier; funeral procession.  </w:t>
      </w:r>
      <w:r w:rsidRPr="008F03E5">
        <w:t xml:space="preserve">Pers. singular also </w:t>
      </w:r>
      <w:r w:rsidRPr="008F03E5">
        <w:rPr>
          <w:lang w:eastAsia="en-US"/>
        </w:rPr>
        <w:t>jinázih.</w:t>
      </w:r>
    </w:p>
    <w:p w14:paraId="6EB96EFF" w14:textId="77777777" w:rsidR="00625A5B" w:rsidRPr="008F03E5" w:rsidRDefault="00625A5B" w:rsidP="00090097">
      <w:pPr>
        <w:pStyle w:val="Translit"/>
      </w:pPr>
      <w:r w:rsidRPr="008F03E5">
        <w:t>Jinn</w:t>
      </w:r>
      <w:r w:rsidRPr="008F03E5">
        <w:tab/>
        <w:t>Jinn (collective noun)</w:t>
      </w:r>
      <w:r w:rsidRPr="008F03E5">
        <w:tab/>
        <w:t xml:space="preserve">jinn, demons (invisible beings, either harmful or helpful, that interfere with the lives of mortals).  ‘Abdu’l-Bahá stated that jinn can be people whose faith or denial is veiled and concealed.  He also said it refers to evil passions in man, such as lusts (Louis Gregory, </w:t>
      </w:r>
      <w:r w:rsidRPr="008F03E5">
        <w:rPr>
          <w:i/>
          <w:iCs/>
        </w:rPr>
        <w:t>A Heavenly Vista</w:t>
      </w:r>
      <w:r w:rsidRPr="008F03E5">
        <w:t>, p. 9)  Others, including Sayyid Abul A‘lá Mawdúdí, state jinn can include foreigners from afar, or be those with hitherto unknown skills that appear magical to the uninitiated.</w:t>
      </w:r>
    </w:p>
    <w:p w14:paraId="5AE42FD6" w14:textId="77777777" w:rsidR="00625A5B" w:rsidRPr="008F03E5" w:rsidRDefault="00625A5B" w:rsidP="00225A20">
      <w:pPr>
        <w:pStyle w:val="Translit"/>
      </w:pPr>
      <w:r w:rsidRPr="008F03E5">
        <w:t>Jinni, Jinniya</w:t>
      </w:r>
      <w:r w:rsidRPr="008F03E5">
        <w:tab/>
        <w:t>Jinní, Jinníya (fem.)</w:t>
      </w:r>
      <w:r w:rsidRPr="008F03E5">
        <w:tab/>
        <w:t>jinní, (demonic); jinni (demon); Jinníya (female demon)</w:t>
      </w:r>
    </w:p>
    <w:p w14:paraId="7F0C00AD" w14:textId="77777777" w:rsidR="00625A5B" w:rsidRPr="008F03E5" w:rsidRDefault="00625A5B" w:rsidP="00976754">
      <w:pPr>
        <w:pStyle w:val="Translit"/>
      </w:pPr>
      <w:r w:rsidRPr="008F03E5">
        <w:t>Jins, Ajnas</w:t>
      </w:r>
      <w:r w:rsidRPr="008F03E5">
        <w:tab/>
        <w:t>Jins, pl. Ajnás</w:t>
      </w:r>
      <w:r w:rsidRPr="008F03E5">
        <w:tab/>
        <w:t>kind, sort, variety, species, class, genus; category; sex (male, female); gender (grammar); race; nation</w:t>
      </w:r>
    </w:p>
    <w:p w14:paraId="0A82E82F" w14:textId="77777777" w:rsidR="00625A5B" w:rsidRPr="008F03E5" w:rsidRDefault="00625A5B" w:rsidP="00976754">
      <w:pPr>
        <w:pStyle w:val="Translit"/>
      </w:pPr>
      <w:r w:rsidRPr="008F03E5">
        <w:t>Jirjis</w:t>
      </w:r>
      <w:r w:rsidRPr="008F03E5">
        <w:tab/>
        <w:t>Jirjís</w:t>
      </w:r>
      <w:r w:rsidRPr="008F03E5">
        <w:tab/>
        <w:t>Pers. George, particularly St. George of England; ranked among the prophets by Muslims.</w:t>
      </w:r>
    </w:p>
    <w:p w14:paraId="5B1205CD" w14:textId="77777777" w:rsidR="00625A5B" w:rsidRPr="008F03E5" w:rsidRDefault="00625A5B" w:rsidP="00BD5CDD">
      <w:pPr>
        <w:pStyle w:val="Translit"/>
      </w:pPr>
      <w:r w:rsidRPr="008F03E5">
        <w:t>Jism al-Kull</w:t>
      </w:r>
      <w:r w:rsidRPr="008F03E5">
        <w:tab/>
        <w:t>Jism al-Kull</w:t>
      </w:r>
      <w:r w:rsidRPr="008F03E5">
        <w:tab/>
        <w:t>the universal substance</w:t>
      </w:r>
    </w:p>
    <w:p w14:paraId="5D756230" w14:textId="77777777" w:rsidR="00625A5B" w:rsidRPr="008F03E5" w:rsidRDefault="00625A5B" w:rsidP="000B0D59">
      <w:pPr>
        <w:pStyle w:val="Translit"/>
      </w:pPr>
      <w:r w:rsidRPr="008F03E5">
        <w:t>Jism, Ajsam, Jusum</w:t>
      </w:r>
      <w:r w:rsidRPr="008F03E5">
        <w:tab/>
        <w:t>Jism, pl. Ajsám, Jusúm</w:t>
      </w:r>
      <w:r w:rsidRPr="008F03E5">
        <w:tab/>
        <w:t>body (also [new meaning] of an automobile); substance, matter; mass; form, shape.  Compare jasad</w:t>
      </w:r>
    </w:p>
    <w:p w14:paraId="7B44A7AC" w14:textId="77777777" w:rsidR="00625A5B" w:rsidRPr="008F03E5" w:rsidRDefault="00625A5B" w:rsidP="00B40BB9">
      <w:pPr>
        <w:pStyle w:val="Translit"/>
      </w:pPr>
      <w:r w:rsidRPr="008F03E5">
        <w:t xml:space="preserve">Jisr as-Sirat, </w:t>
      </w:r>
      <w:r w:rsidRPr="008F03E5">
        <w:rPr>
          <w:lang w:eastAsia="en-US"/>
        </w:rPr>
        <w:t>Pul-i-Sirat</w:t>
      </w:r>
      <w:r w:rsidRPr="008F03E5">
        <w:rPr>
          <w:lang w:eastAsia="en-US"/>
        </w:rPr>
        <w:tab/>
      </w:r>
      <w:r w:rsidRPr="008F03E5">
        <w:t xml:space="preserve">al-Jisr aṣ-Ṣiráṭ, Pers. </w:t>
      </w:r>
      <w:r w:rsidRPr="008F03E5">
        <w:rPr>
          <w:lang w:eastAsia="en-US"/>
        </w:rPr>
        <w:t>Pul-i-Ṣirá</w:t>
      </w:r>
      <w:r w:rsidRPr="008F03E5">
        <w:t>ṭ</w:t>
      </w:r>
      <w:r w:rsidRPr="008F03E5">
        <w:tab/>
        <w:t>The Bridge on the Path or the Bridge of Sirat.  The hair-narrow bridge (symbolic) that every person must cross on the Yawm ad-Dín (“Day of the Way of Life”, i.e. the Day of Judgement) to enter Paradise.  It is said to be covered in hooks similar to the thorns (</w:t>
      </w:r>
      <w:r w:rsidRPr="008F03E5">
        <w:rPr>
          <w:u w:val="single"/>
        </w:rPr>
        <w:t>sh</w:t>
      </w:r>
      <w:r w:rsidRPr="008F03E5">
        <w:t>awk) of as-Sa‘dán (a thorny tree).</w:t>
      </w:r>
    </w:p>
    <w:p w14:paraId="13E16254" w14:textId="77777777" w:rsidR="00625A5B" w:rsidRPr="00077779" w:rsidRDefault="00625A5B" w:rsidP="00C329B6">
      <w:pPr>
        <w:pStyle w:val="Translit"/>
        <w:rPr>
          <w:lang w:val="fr-FR"/>
        </w:rPr>
      </w:pPr>
      <w:r w:rsidRPr="001457C8">
        <w:rPr>
          <w:lang w:val="fr-FR"/>
        </w:rPr>
        <w:t>Jisr, Ajsur, Jusur, Jusura</w:t>
      </w:r>
      <w:r w:rsidRPr="001457C8">
        <w:rPr>
          <w:lang w:val="fr-FR"/>
        </w:rPr>
        <w:tab/>
        <w:t xml:space="preserve">Jisr, pl. </w:t>
      </w:r>
      <w:r w:rsidRPr="00077779">
        <w:rPr>
          <w:lang w:val="fr-FR"/>
        </w:rPr>
        <w:t>Ajsur, Jusúr</w:t>
      </w:r>
      <w:r w:rsidRPr="00077779">
        <w:rPr>
          <w:lang w:val="fr-FR"/>
        </w:rPr>
        <w:tab/>
        <w:t>bridge; dam, dike, embankment, levee;—pl. jusúra[h] beam, girder; axle, axletree.</w:t>
      </w:r>
    </w:p>
    <w:p w14:paraId="4885F91F" w14:textId="77777777" w:rsidR="00625A5B" w:rsidRPr="008F03E5" w:rsidRDefault="00625A5B" w:rsidP="00DB607E">
      <w:pPr>
        <w:pStyle w:val="Translit"/>
      </w:pPr>
      <w:r w:rsidRPr="000D6C30">
        <w:rPr>
          <w:rFonts w:eastAsia="Times New Roman"/>
          <w:lang w:val="fr-FR"/>
        </w:rPr>
        <w:t>Jiwar, Juwar</w:t>
      </w:r>
      <w:r w:rsidRPr="000D6C30">
        <w:rPr>
          <w:rFonts w:eastAsia="Times New Roman"/>
          <w:lang w:val="fr-FR"/>
        </w:rPr>
        <w:tab/>
        <w:t>Jiwár, Juwár</w:t>
      </w:r>
      <w:r w:rsidRPr="000D6C30">
        <w:rPr>
          <w:rFonts w:eastAsia="Times New Roman"/>
          <w:lang w:val="fr-FR"/>
        </w:rPr>
        <w:tab/>
        <w:t xml:space="preserve">becoming a neighbour; neighbourhood; remaining constantly in the mosque (for prayer); receiving under protection, giving security from oppression.  </w:t>
      </w:r>
      <w:r w:rsidRPr="008F03E5">
        <w:rPr>
          <w:rFonts w:eastAsia="Times New Roman"/>
        </w:rPr>
        <w:t>J</w:t>
      </w:r>
      <w:r w:rsidRPr="008F03E5">
        <w:t>iwár (protection, particularly for members of a tribal clan) was a governing custom in pre-Islamic times.</w:t>
      </w:r>
    </w:p>
    <w:p w14:paraId="56B2F479" w14:textId="77777777" w:rsidR="00625A5B" w:rsidRPr="008F03E5" w:rsidRDefault="00625A5B" w:rsidP="00EC09EE">
      <w:pPr>
        <w:pStyle w:val="Translit"/>
      </w:pPr>
      <w:r w:rsidRPr="008F03E5">
        <w:t>Jizya (Pers. Jizyah), Jizan, Jiza’</w:t>
      </w:r>
      <w:r w:rsidRPr="008F03E5">
        <w:tab/>
        <w:t>Jizya[h], pl. Jizan, Jizá’</w:t>
      </w:r>
      <w:r w:rsidRPr="008F03E5">
        <w:tab/>
        <w:t>tax; tribute; head tax on free non-Muslims under Muslim rule</w:t>
      </w:r>
    </w:p>
    <w:p w14:paraId="2A59BA79" w14:textId="77777777" w:rsidR="00625A5B" w:rsidRPr="001457C8" w:rsidRDefault="00625A5B" w:rsidP="00F74105">
      <w:pPr>
        <w:pStyle w:val="Translit"/>
        <w:rPr>
          <w:lang w:val="de-DE"/>
        </w:rPr>
      </w:pPr>
      <w:r w:rsidRPr="001457C8">
        <w:rPr>
          <w:lang w:val="de-DE"/>
        </w:rPr>
        <w:t>Ju</w:t>
      </w:r>
      <w:r w:rsidRPr="001457C8">
        <w:rPr>
          <w:lang w:val="de-DE"/>
        </w:rPr>
        <w:tab/>
        <w:t>Jú‘</w:t>
      </w:r>
      <w:r w:rsidRPr="001457C8">
        <w:rPr>
          <w:lang w:val="de-DE"/>
        </w:rPr>
        <w:tab/>
        <w:t>hunger, starvation</w:t>
      </w:r>
    </w:p>
    <w:p w14:paraId="4F5378BE" w14:textId="77777777" w:rsidR="00625A5B" w:rsidRPr="001457C8" w:rsidRDefault="00625A5B" w:rsidP="00963B29">
      <w:pPr>
        <w:pStyle w:val="Translit"/>
        <w:rPr>
          <w:lang w:val="de-DE"/>
        </w:rPr>
      </w:pPr>
      <w:r w:rsidRPr="001457C8">
        <w:rPr>
          <w:lang w:val="de-DE"/>
        </w:rPr>
        <w:t>Ju‘an</w:t>
      </w:r>
      <w:r w:rsidRPr="001457C8">
        <w:rPr>
          <w:lang w:val="de-DE"/>
        </w:rPr>
        <w:tab/>
        <w:t>Jú’án</w:t>
      </w:r>
      <w:r w:rsidRPr="001457C8">
        <w:rPr>
          <w:lang w:val="de-DE"/>
        </w:rPr>
        <w:tab/>
        <w:t>be hungry</w:t>
      </w:r>
    </w:p>
    <w:p w14:paraId="504BE11F" w14:textId="77777777" w:rsidR="00625A5B" w:rsidRPr="008F03E5" w:rsidRDefault="00625A5B" w:rsidP="00B00950">
      <w:pPr>
        <w:pStyle w:val="Translit"/>
      </w:pPr>
      <w:r w:rsidRPr="008F03E5">
        <w:t>Jubayl (Jubail, J(e)beil)</w:t>
      </w:r>
      <w:r w:rsidRPr="008F03E5">
        <w:tab/>
        <w:t>Jubayl</w:t>
      </w:r>
      <w:r w:rsidRPr="008F03E5">
        <w:tab/>
        <w:t xml:space="preserve">coastal city of Jubayl or Byblos in Lebanon, 30 km </w:t>
      </w:r>
      <w:r w:rsidRPr="008F03E5">
        <w:rPr>
          <w:sz w:val="16"/>
          <w:szCs w:val="16"/>
        </w:rPr>
        <w:t>NNE</w:t>
      </w:r>
      <w:r w:rsidRPr="008F03E5">
        <w:t xml:space="preserve"> of Beirut.  A tradition states ‘Akká is on a plain between Mt. Carmel and Mt. Jubayl (location unknown)</w:t>
      </w:r>
    </w:p>
    <w:p w14:paraId="0A0842C6" w14:textId="77777777" w:rsidR="00625A5B" w:rsidRPr="008F03E5" w:rsidRDefault="00625A5B" w:rsidP="00B00950">
      <w:pPr>
        <w:pStyle w:val="Translit"/>
      </w:pPr>
      <w:r w:rsidRPr="008F03E5">
        <w:t>Jubayr (Jubair)</w:t>
      </w:r>
      <w:r w:rsidRPr="008F03E5">
        <w:tab/>
        <w:t>Jubayr</w:t>
      </w:r>
      <w:r w:rsidRPr="008F03E5">
        <w:tab/>
        <w:t xml:space="preserve">masculine given name meaning mender, unbreaker.  Sa‘íd bin Jubayr (665–714), also known as Abú Muḥammad, was originally from Kufá.  He was a leading </w:t>
      </w:r>
      <w:r w:rsidRPr="008F03E5">
        <w:rPr>
          <w:u w:val="single"/>
        </w:rPr>
        <w:t>Sh</w:t>
      </w:r>
      <w:r w:rsidRPr="008F03E5">
        <w:t>í‘a jurist of the time.</w:t>
      </w:r>
    </w:p>
    <w:p w14:paraId="79F6579B" w14:textId="77777777" w:rsidR="00625A5B" w:rsidRPr="008F03E5" w:rsidRDefault="00625A5B" w:rsidP="008F5BD0">
      <w:pPr>
        <w:pStyle w:val="Translit"/>
      </w:pPr>
      <w:r w:rsidRPr="008F03E5">
        <w:t>Jubba, Jubab, Jibab, Jaba’ib</w:t>
      </w:r>
      <w:r w:rsidRPr="008F03E5">
        <w:tab/>
        <w:t>Jubba[h or t], pl. Jubab, Jibáb, Jabá’ib</w:t>
      </w:r>
      <w:r w:rsidRPr="008F03E5">
        <w:tab/>
        <w:t>a long outer garment, open in front, with wide sleeves.  Pers. also Jubbih.</w:t>
      </w:r>
    </w:p>
    <w:p w14:paraId="7A8BBF8E" w14:textId="77777777" w:rsidR="00625A5B" w:rsidRPr="008F03E5" w:rsidRDefault="00625A5B" w:rsidP="00735348">
      <w:pPr>
        <w:pStyle w:val="Translit"/>
      </w:pPr>
      <w:r w:rsidRPr="008F03E5">
        <w:t>Jubbiy-i-Hizari’i</w:t>
      </w:r>
      <w:r w:rsidRPr="008F03E5">
        <w:tab/>
        <w:t>Jubbiy-i-Hizári’í</w:t>
      </w:r>
      <w:r w:rsidRPr="008F03E5">
        <w:tab/>
        <w:t>a type of overcoat</w:t>
      </w:r>
    </w:p>
    <w:p w14:paraId="5E409A27" w14:textId="77777777" w:rsidR="00625A5B" w:rsidRPr="008F03E5" w:rsidRDefault="00625A5B" w:rsidP="007D1EE7">
      <w:pPr>
        <w:pStyle w:val="Translit"/>
      </w:pPr>
      <w:r w:rsidRPr="008F03E5">
        <w:t>Jud</w:t>
      </w:r>
      <w:r w:rsidRPr="008F03E5">
        <w:tab/>
        <w:t>Júd</w:t>
      </w:r>
      <w:r w:rsidRPr="008F03E5">
        <w:tab/>
        <w:t>open-handedness, liberality, generosity, bounty</w:t>
      </w:r>
    </w:p>
    <w:p w14:paraId="6F66B5D6" w14:textId="77777777" w:rsidR="00625A5B" w:rsidRPr="008F03E5" w:rsidRDefault="00625A5B" w:rsidP="007921EE">
      <w:pPr>
        <w:pStyle w:val="Translit"/>
      </w:pPr>
      <w:r w:rsidRPr="008F03E5">
        <w:t>Judi</w:t>
      </w:r>
      <w:r w:rsidRPr="008F03E5">
        <w:tab/>
        <w:t>al-Júdí</w:t>
      </w:r>
      <w:r w:rsidRPr="008F03E5">
        <w:tab/>
        <w:t xml:space="preserve">Jabal al-Júdí, Türkiye (Cudi Daǧi in Turkish, 2,089 m peak, the Tigris River flows along its western side), mentioned in Qur’án 11:44 as the landing site for Noah’s ark.  134 km </w:t>
      </w:r>
      <w:r w:rsidRPr="008F03E5">
        <w:rPr>
          <w:sz w:val="16"/>
          <w:szCs w:val="16"/>
        </w:rPr>
        <w:t>NW</w:t>
      </w:r>
      <w:r w:rsidRPr="008F03E5">
        <w:t xml:space="preserve"> Mosul, 15 km </w:t>
      </w:r>
      <w:r w:rsidRPr="008F03E5">
        <w:rPr>
          <w:sz w:val="16"/>
          <w:szCs w:val="16"/>
        </w:rPr>
        <w:t>WNW</w:t>
      </w:r>
      <w:r w:rsidRPr="008F03E5">
        <w:t xml:space="preserve"> Silopi and 15 km </w:t>
      </w:r>
      <w:r w:rsidRPr="008F03E5">
        <w:rPr>
          <w:sz w:val="16"/>
          <w:szCs w:val="16"/>
        </w:rPr>
        <w:t>ENE</w:t>
      </w:r>
      <w:r w:rsidRPr="008F03E5">
        <w:t xml:space="preserve"> of Cizre.  Modern Mt Ararat is 310 km </w:t>
      </w:r>
      <w:r w:rsidRPr="008F03E5">
        <w:rPr>
          <w:sz w:val="16"/>
          <w:szCs w:val="16"/>
        </w:rPr>
        <w:t>ENE</w:t>
      </w:r>
      <w:r w:rsidRPr="008F03E5">
        <w:t xml:space="preserve"> of Jabal al-Júdí.</w:t>
      </w:r>
    </w:p>
    <w:p w14:paraId="525AD39E" w14:textId="77777777" w:rsidR="00625A5B" w:rsidRPr="008F03E5" w:rsidRDefault="00625A5B" w:rsidP="00914702">
      <w:pPr>
        <w:pStyle w:val="Translit"/>
      </w:pPr>
      <w:r w:rsidRPr="008F03E5">
        <w:t>Juhd</w:t>
      </w:r>
      <w:r w:rsidRPr="008F03E5">
        <w:tab/>
        <w:t>Juhd</w:t>
      </w:r>
      <w:r w:rsidRPr="008F03E5">
        <w:tab/>
        <w:t>strain, exertion</w:t>
      </w:r>
    </w:p>
    <w:p w14:paraId="01753E6D" w14:textId="77777777" w:rsidR="00625A5B" w:rsidRPr="008F03E5" w:rsidRDefault="00625A5B" w:rsidP="004B60EF">
      <w:pPr>
        <w:pStyle w:val="Translit"/>
      </w:pPr>
      <w:r w:rsidRPr="008F03E5">
        <w:t>Juhfa, Jihfa (Jehfa)</w:t>
      </w:r>
      <w:r w:rsidRPr="008F03E5">
        <w:tab/>
        <w:t>Juḥfa[h], Jiḥfa[h]</w:t>
      </w:r>
      <w:r w:rsidRPr="008F03E5">
        <w:tab/>
        <w:t xml:space="preserve">al-Juḥfah (22.700209, 39.145654) is a small settlement 4.5 km </w:t>
      </w:r>
      <w:r w:rsidRPr="008F03E5">
        <w:rPr>
          <w:sz w:val="16"/>
          <w:szCs w:val="16"/>
        </w:rPr>
        <w:t>SSE</w:t>
      </w:r>
      <w:r w:rsidRPr="008F03E5">
        <w:t xml:space="preserve"> of </w:t>
      </w:r>
      <w:r w:rsidRPr="008F03E5">
        <w:rPr>
          <w:u w:val="single"/>
        </w:rPr>
        <w:t>Gh</w:t>
      </w:r>
      <w:r w:rsidRPr="008F03E5">
        <w:t xml:space="preserve">adír </w:t>
      </w:r>
      <w:r w:rsidRPr="008F03E5">
        <w:rPr>
          <w:u w:val="single"/>
        </w:rPr>
        <w:t>Kh</w:t>
      </w:r>
      <w:r w:rsidRPr="008F03E5">
        <w:t xml:space="preserve">umm and 13 km from the Red Sea.  It is 16 km </w:t>
      </w:r>
      <w:r w:rsidRPr="008F03E5">
        <w:rPr>
          <w:sz w:val="16"/>
          <w:szCs w:val="16"/>
        </w:rPr>
        <w:t>SE</w:t>
      </w:r>
      <w:r w:rsidRPr="008F03E5">
        <w:t xml:space="preserve"> of </w:t>
      </w:r>
      <w:r w:rsidRPr="008F03E5">
        <w:rPr>
          <w:rFonts w:eastAsia="Times New Roman"/>
        </w:rPr>
        <w:t>R</w:t>
      </w:r>
      <w:r w:rsidRPr="008F03E5">
        <w:t>á</w:t>
      </w:r>
      <w:r w:rsidRPr="008F03E5">
        <w:rPr>
          <w:rFonts w:eastAsia="Times New Roman"/>
        </w:rPr>
        <w:t>bi</w:t>
      </w:r>
      <w:r w:rsidRPr="008F03E5">
        <w:rPr>
          <w:u w:val="single"/>
        </w:rPr>
        <w:t>gh</w:t>
      </w:r>
      <w:r w:rsidRPr="008F03E5">
        <w:t xml:space="preserve"> and 158 km </w:t>
      </w:r>
      <w:r w:rsidRPr="008F03E5">
        <w:rPr>
          <w:sz w:val="16"/>
          <w:szCs w:val="16"/>
        </w:rPr>
        <w:t>NNW</w:t>
      </w:r>
      <w:r w:rsidRPr="008F03E5">
        <w:t xml:space="preserve"> of Mecca.  Muḥammad stopped near al-Juḥfah during His flight from Mecca to Medina.  It is now one of the five main meeting points (míqát, i.e. Míqát al-Juḥfah) for pilgrims before heading to Mecca.  See </w:t>
      </w:r>
      <w:r w:rsidRPr="008F03E5">
        <w:rPr>
          <w:u w:val="single"/>
          <w:lang w:eastAsia="en-US"/>
        </w:rPr>
        <w:t>Gh</w:t>
      </w:r>
      <w:r w:rsidRPr="008F03E5">
        <w:rPr>
          <w:lang w:eastAsia="en-US"/>
        </w:rPr>
        <w:t xml:space="preserve">adír </w:t>
      </w:r>
      <w:r w:rsidRPr="008F03E5">
        <w:rPr>
          <w:u w:val="single"/>
          <w:lang w:eastAsia="en-US"/>
        </w:rPr>
        <w:t>Kh</w:t>
      </w:r>
      <w:r w:rsidRPr="008F03E5">
        <w:rPr>
          <w:lang w:eastAsia="en-US"/>
        </w:rPr>
        <w:t>umm.</w:t>
      </w:r>
    </w:p>
    <w:p w14:paraId="09E88FE7" w14:textId="77777777" w:rsidR="00625A5B" w:rsidRPr="008F03E5" w:rsidRDefault="00625A5B" w:rsidP="00A16D78">
      <w:pPr>
        <w:pStyle w:val="Translit"/>
      </w:pPr>
      <w:r w:rsidRPr="008F03E5">
        <w:t>Juj (Jujih), Jawj (Jauj)</w:t>
      </w:r>
      <w:r w:rsidRPr="008F03E5">
        <w:tab/>
        <w:t>Júj, Jawj</w:t>
      </w:r>
      <w:r w:rsidRPr="008F03E5">
        <w:tab/>
        <w:t>Pers. a cock’s comb; a crest; a pennant, vane</w:t>
      </w:r>
    </w:p>
    <w:p w14:paraId="39E53C27" w14:textId="77777777" w:rsidR="00625A5B" w:rsidRPr="008F03E5" w:rsidRDefault="00625A5B" w:rsidP="00735348">
      <w:pPr>
        <w:pStyle w:val="Translit"/>
      </w:pPr>
      <w:r w:rsidRPr="008F03E5">
        <w:rPr>
          <w:lang w:eastAsia="en-US"/>
        </w:rPr>
        <w:t>Jujih Khanum</w:t>
      </w:r>
      <w:r w:rsidRPr="008F03E5">
        <w:rPr>
          <w:lang w:eastAsia="en-US"/>
        </w:rPr>
        <w:tab/>
        <w:t xml:space="preserve">Jújih </w:t>
      </w:r>
      <w:r w:rsidRPr="008F03E5">
        <w:rPr>
          <w:u w:val="single"/>
          <w:lang w:eastAsia="en-US"/>
        </w:rPr>
        <w:t>Kh</w:t>
      </w:r>
      <w:r w:rsidRPr="008F03E5">
        <w:rPr>
          <w:lang w:eastAsia="en-US"/>
        </w:rPr>
        <w:t>ánum</w:t>
      </w:r>
      <w:r w:rsidRPr="008F03E5">
        <w:rPr>
          <w:lang w:eastAsia="en-US"/>
        </w:rPr>
        <w:tab/>
        <w:t xml:space="preserve">The minuscule Leona Barnitz was called Jújih </w:t>
      </w:r>
      <w:r w:rsidRPr="008F03E5">
        <w:rPr>
          <w:u w:val="single"/>
          <w:lang w:eastAsia="en-US"/>
        </w:rPr>
        <w:t>Kh</w:t>
      </w:r>
      <w:r w:rsidRPr="008F03E5">
        <w:rPr>
          <w:lang w:eastAsia="en-US"/>
        </w:rPr>
        <w:t>ánum (Little Chick Lady) by ‘Abdu’l-Bahá</w:t>
      </w:r>
    </w:p>
    <w:p w14:paraId="2A418218" w14:textId="77777777" w:rsidR="00625A5B" w:rsidRPr="008F03E5" w:rsidRDefault="00625A5B" w:rsidP="004C66B2">
      <w:pPr>
        <w:pStyle w:val="Translit"/>
      </w:pPr>
      <w:r w:rsidRPr="008F03E5">
        <w:t>Juk</w:t>
      </w:r>
      <w:r w:rsidRPr="008F03E5">
        <w:tab/>
        <w:t>Júk</w:t>
      </w:r>
      <w:r w:rsidRPr="008F03E5">
        <w:tab/>
      </w:r>
      <w:r w:rsidRPr="008F03E5">
        <w:rPr>
          <w:i/>
          <w:iCs/>
        </w:rPr>
        <w:t>Jug-Basisht</w:t>
      </w:r>
      <w:r w:rsidRPr="008F03E5">
        <w:t xml:space="preserve"> (Book of Juk), the Persian translation of the Yoga Vasistha, a syncretic philosophic text</w:t>
      </w:r>
    </w:p>
    <w:p w14:paraId="2E288D64" w14:textId="77777777" w:rsidR="00625A5B" w:rsidRPr="008F03E5" w:rsidRDefault="00625A5B" w:rsidP="00F421A3">
      <w:pPr>
        <w:pStyle w:val="Translit"/>
      </w:pPr>
      <w:r w:rsidRPr="008F03E5">
        <w:t>Julab</w:t>
      </w:r>
      <w:r w:rsidRPr="008F03E5">
        <w:tab/>
        <w:t>Juláb, Julláb</w:t>
      </w:r>
      <w:r w:rsidRPr="008F03E5">
        <w:tab/>
        <w:t>rose water</w:t>
      </w:r>
    </w:p>
    <w:p w14:paraId="64C4F16B" w14:textId="77777777" w:rsidR="00625A5B" w:rsidRPr="008F03E5" w:rsidRDefault="00625A5B" w:rsidP="00407876">
      <w:pPr>
        <w:pStyle w:val="Translit"/>
      </w:pPr>
      <w:r w:rsidRPr="008F03E5">
        <w:t>Julfa (Jolfa)</w:t>
      </w:r>
      <w:r w:rsidRPr="008F03E5">
        <w:tab/>
        <w:t>Julfá</w:t>
      </w:r>
      <w:r w:rsidRPr="008F03E5">
        <w:tab/>
        <w:t xml:space="preserve">“new” Julfá (since </w:t>
      </w:r>
      <w:r w:rsidRPr="008F03E5">
        <w:rPr>
          <w:sz w:val="16"/>
          <w:szCs w:val="16"/>
        </w:rPr>
        <w:t>CE</w:t>
      </w:r>
      <w:r w:rsidRPr="008F03E5">
        <w:t xml:space="preserve"> 1606) is an Armenian-populated area (one of the world’s largest) of Iṣfahán, located south of the Záyandí-Rúd.  The people migrated from the Armenian city of Julfá in Azerbaijan.</w:t>
      </w:r>
    </w:p>
    <w:p w14:paraId="726E89A2" w14:textId="77777777" w:rsidR="00625A5B" w:rsidRPr="008F03E5" w:rsidRDefault="00625A5B" w:rsidP="00F22EC0">
      <w:pPr>
        <w:pStyle w:val="Translit"/>
      </w:pPr>
      <w:r w:rsidRPr="008F03E5">
        <w:t>Juljul, Jalajil</w:t>
      </w:r>
      <w:r w:rsidRPr="008F03E5">
        <w:tab/>
        <w:t>Juljul, pl. Jalájil</w:t>
      </w:r>
      <w:r w:rsidRPr="008F03E5">
        <w:tab/>
        <w:t>(little) bell, sleigh bell; cowbell; jingle</w:t>
      </w:r>
    </w:p>
    <w:p w14:paraId="15A2FE0C" w14:textId="77777777" w:rsidR="00625A5B" w:rsidRPr="008F03E5" w:rsidRDefault="00625A5B" w:rsidP="0078060D">
      <w:pPr>
        <w:pStyle w:val="Translit"/>
      </w:pPr>
      <w:r w:rsidRPr="008F03E5">
        <w:t>Jull, Gul</w:t>
      </w:r>
      <w:r w:rsidRPr="008F03E5">
        <w:tab/>
        <w:t>Jull, Pers. Gul</w:t>
      </w:r>
      <w:r w:rsidRPr="008F03E5">
        <w:tab/>
        <w:t>rose</w:t>
      </w:r>
    </w:p>
    <w:p w14:paraId="28F8BEF2" w14:textId="77777777" w:rsidR="00625A5B" w:rsidRPr="008F03E5" w:rsidRDefault="00625A5B" w:rsidP="00716871">
      <w:pPr>
        <w:pStyle w:val="Translit"/>
      </w:pPr>
      <w:r w:rsidRPr="008F03E5">
        <w:t>Jullah, Julah</w:t>
      </w:r>
      <w:r w:rsidRPr="008F03E5">
        <w:tab/>
        <w:t>Julláh, Juláh</w:t>
      </w:r>
      <w:r w:rsidRPr="008F03E5">
        <w:tab/>
        <w:t>Pers. a weaver.  Yulláh may be a variation.</w:t>
      </w:r>
    </w:p>
    <w:p w14:paraId="69C2004F" w14:textId="77777777" w:rsidR="00625A5B" w:rsidRPr="008F03E5" w:rsidRDefault="00625A5B" w:rsidP="002F2F4B">
      <w:pPr>
        <w:pStyle w:val="Translit"/>
      </w:pPr>
      <w:r w:rsidRPr="008F03E5">
        <w:t>Jum’a, Jum’ih, Juma’, Juma’at</w:t>
      </w:r>
      <w:r w:rsidRPr="008F03E5">
        <w:tab/>
        <w:t>Jum‘a[h</w:t>
      </w:r>
      <w:r>
        <w:t xml:space="preserve"> or t</w:t>
      </w:r>
      <w:r w:rsidRPr="008F03E5">
        <w:t>], pl. Juma‘, Juma‘át</w:t>
      </w:r>
      <w:r w:rsidRPr="008F03E5">
        <w:tab/>
      </w:r>
      <w:r>
        <w:t>(</w:t>
      </w:r>
      <w:r w:rsidRPr="008F03E5">
        <w:t>Pers. Jum‘ih</w:t>
      </w:r>
      <w:r>
        <w:t xml:space="preserve">) </w:t>
      </w:r>
      <w:r w:rsidRPr="008F03E5">
        <w:t>week; Friday, gathering, “the gathering together of people”.  See jam‘</w:t>
      </w:r>
    </w:p>
    <w:p w14:paraId="5292D1F5" w14:textId="77777777" w:rsidR="00625A5B" w:rsidRPr="008F03E5" w:rsidRDefault="00625A5B" w:rsidP="00A805FB">
      <w:pPr>
        <w:pStyle w:val="Translit"/>
      </w:pPr>
      <w:r w:rsidRPr="008F03E5">
        <w:t>Jum’a-Bazar, Jum’ih-Bazar</w:t>
      </w:r>
      <w:r w:rsidRPr="008F03E5">
        <w:tab/>
        <w:t>Jum‘a-Bázár, Jum‘ih-Bázár</w:t>
      </w:r>
      <w:r w:rsidRPr="008F03E5">
        <w:tab/>
        <w:t>Pers. Friday Bazaar.  Normal market with many temporary traders on Friday.</w:t>
      </w:r>
    </w:p>
    <w:p w14:paraId="658D7620" w14:textId="77777777" w:rsidR="00625A5B" w:rsidRPr="008F03E5" w:rsidRDefault="00625A5B" w:rsidP="00AD7F42">
      <w:pPr>
        <w:pStyle w:val="Translit"/>
      </w:pPr>
      <w:r w:rsidRPr="008F03E5">
        <w:t>Jumad, Jumada</w:t>
      </w:r>
      <w:r w:rsidRPr="008F03E5">
        <w:tab/>
        <w:t>Jumúd, fem. Jumúda[h or t]</w:t>
      </w:r>
      <w:r w:rsidRPr="008F03E5">
        <w:tab/>
        <w:t>frozen state; solid, compact state, compactness, solidity; rigor, rigidity, stiffness; inorganic state; hardening, induration; hardness, inflexibility; deadlock, standstill; inertia, inaction, inactivity; lethargy, apathy, passivity, indifference</w:t>
      </w:r>
    </w:p>
    <w:p w14:paraId="7EF98675" w14:textId="77777777" w:rsidR="00625A5B" w:rsidRPr="008F03E5" w:rsidRDefault="00625A5B" w:rsidP="00E548F7">
      <w:pPr>
        <w:pStyle w:val="Translit"/>
      </w:pPr>
      <w:r w:rsidRPr="008F03E5">
        <w:t>Jumada al-Awwal, Jumada al-Ula</w:t>
      </w:r>
      <w:r w:rsidRPr="008F03E5">
        <w:tab/>
        <w:t>Jumádá al-Awwal</w:t>
      </w:r>
      <w:r w:rsidRPr="008F03E5">
        <w:tab/>
      </w:r>
      <w:r>
        <w:t xml:space="preserve">“the initial </w:t>
      </w:r>
      <w:r w:rsidRPr="008F03E5">
        <w:t>Jumádá</w:t>
      </w:r>
      <w:r>
        <w:t xml:space="preserve">”, the </w:t>
      </w:r>
      <w:r w:rsidRPr="008F03E5">
        <w:t>fifth Islamic calendar month (the first of parched land).  Also known as Jumádá al-</w:t>
      </w:r>
      <w:r>
        <w:t>‘</w:t>
      </w:r>
      <w:r w:rsidRPr="008F03E5">
        <w:t>Úlá (fem.)</w:t>
      </w:r>
      <w:r>
        <w:t xml:space="preserve"> “the first </w:t>
      </w:r>
      <w:r w:rsidRPr="008F03E5">
        <w:t>Jumádá</w:t>
      </w:r>
      <w:r>
        <w:t>”</w:t>
      </w:r>
      <w:r w:rsidRPr="008F03E5">
        <w:t>.</w:t>
      </w:r>
    </w:p>
    <w:p w14:paraId="45A838BB" w14:textId="77777777" w:rsidR="00625A5B" w:rsidRPr="008F03E5" w:rsidRDefault="00625A5B" w:rsidP="00B932FD">
      <w:pPr>
        <w:pStyle w:val="Translit"/>
      </w:pPr>
      <w:r w:rsidRPr="008F03E5">
        <w:t>Jumada ath-Thani, Jumada al-Akhir</w:t>
      </w:r>
      <w:r w:rsidRPr="008F03E5">
        <w:tab/>
        <w:t>Jumádá a</w:t>
      </w:r>
      <w:r w:rsidRPr="008F03E5">
        <w:rPr>
          <w:u w:val="single"/>
        </w:rPr>
        <w:t>th</w:t>
      </w:r>
      <w:r w:rsidRPr="008F03E5">
        <w:t>-</w:t>
      </w:r>
      <w:r w:rsidRPr="008F03E5">
        <w:rPr>
          <w:u w:val="single"/>
        </w:rPr>
        <w:t>Th</w:t>
      </w:r>
      <w:r w:rsidRPr="008F03E5">
        <w:t>ání</w:t>
      </w:r>
      <w:r w:rsidRPr="008F03E5">
        <w:tab/>
      </w:r>
      <w:r>
        <w:t xml:space="preserve">“the second </w:t>
      </w:r>
      <w:r w:rsidRPr="008F03E5">
        <w:t>Jumádá</w:t>
      </w:r>
      <w:r>
        <w:t xml:space="preserve">”, </w:t>
      </w:r>
      <w:r w:rsidRPr="008F03E5">
        <w:t>sixth Islamic calendar month (the second/last of parched land).  Also known as Jumádá al-Á</w:t>
      </w:r>
      <w:r w:rsidRPr="008F03E5">
        <w:rPr>
          <w:u w:val="single"/>
        </w:rPr>
        <w:t>kh</w:t>
      </w:r>
      <w:r w:rsidRPr="008F03E5">
        <w:t>ir</w:t>
      </w:r>
      <w:r>
        <w:t xml:space="preserve">, “the last </w:t>
      </w:r>
      <w:r w:rsidRPr="008F03E5">
        <w:t>Jumádá</w:t>
      </w:r>
      <w:r>
        <w:t>”</w:t>
      </w:r>
      <w:r w:rsidRPr="008F03E5">
        <w:t>.</w:t>
      </w:r>
    </w:p>
    <w:p w14:paraId="61952BEF" w14:textId="77777777" w:rsidR="00625A5B" w:rsidRPr="008F03E5" w:rsidRDefault="00625A5B" w:rsidP="001F7F55">
      <w:pPr>
        <w:pStyle w:val="Translit"/>
      </w:pPr>
      <w:r w:rsidRPr="008F03E5">
        <w:t>Jumada</w:t>
      </w:r>
      <w:r w:rsidRPr="008F03E5">
        <w:tab/>
        <w:t>Jumádá</w:t>
      </w:r>
      <w:r w:rsidRPr="008F03E5">
        <w:tab/>
        <w:t>dry.  Name of the fifth and sixth months of the Muslim year.</w:t>
      </w:r>
    </w:p>
    <w:p w14:paraId="32C34D09" w14:textId="77777777" w:rsidR="00625A5B" w:rsidRPr="008F03E5" w:rsidRDefault="00625A5B" w:rsidP="006F1BB2">
      <w:pPr>
        <w:pStyle w:val="Translit"/>
        <w:rPr>
          <w:rFonts w:eastAsia="Times New Roman"/>
        </w:rPr>
      </w:pPr>
      <w:r w:rsidRPr="008F03E5">
        <w:rPr>
          <w:rFonts w:eastAsia="Times New Roman"/>
        </w:rPr>
        <w:t>Jumhur, Jamahir</w:t>
      </w:r>
      <w:r w:rsidRPr="008F03E5">
        <w:rPr>
          <w:rFonts w:eastAsia="Times New Roman"/>
        </w:rPr>
        <w:tab/>
        <w:t>Jumhúr, pl. Jamáhír</w:t>
      </w:r>
      <w:r w:rsidRPr="008F03E5">
        <w:rPr>
          <w:rFonts w:eastAsia="Times New Roman"/>
        </w:rPr>
        <w:tab/>
        <w:t>multitude; crowd, throng; general public, public; a community; a republic</w:t>
      </w:r>
    </w:p>
    <w:p w14:paraId="096F2A9D" w14:textId="77777777" w:rsidR="00625A5B" w:rsidRPr="008F03E5" w:rsidRDefault="00625A5B" w:rsidP="00FB43D0">
      <w:pPr>
        <w:pStyle w:val="Translit"/>
      </w:pPr>
      <w:r w:rsidRPr="008F03E5">
        <w:t>Jumhuriya, Jumhuriyat</w:t>
      </w:r>
      <w:r w:rsidRPr="008F03E5">
        <w:tab/>
        <w:t>Jumhúriya, pl. Jumhúriyát</w:t>
      </w:r>
      <w:r w:rsidRPr="008F03E5">
        <w:tab/>
        <w:t>republic</w:t>
      </w:r>
    </w:p>
    <w:p w14:paraId="08C2826F" w14:textId="77777777" w:rsidR="00625A5B" w:rsidRPr="008F03E5" w:rsidRDefault="00625A5B" w:rsidP="008714F1">
      <w:pPr>
        <w:pStyle w:val="Translit"/>
      </w:pPr>
      <w:r w:rsidRPr="008F03E5">
        <w:t>Juml, Jumal, Jummal</w:t>
      </w:r>
      <w:r w:rsidRPr="008F03E5">
        <w:tab/>
        <w:t>Juml, Jumal</w:t>
      </w:r>
      <w:r w:rsidRPr="008F03E5">
        <w:tab/>
        <w:t>a</w:t>
      </w:r>
      <w:r w:rsidRPr="008F03E5">
        <w:rPr>
          <w:rFonts w:eastAsia="Times New Roman"/>
        </w:rPr>
        <w:t xml:space="preserve"> cable.  J</w:t>
      </w:r>
      <w:r w:rsidRPr="008F03E5">
        <w:t>umal,</w:t>
      </w:r>
      <w:r w:rsidRPr="008F03E5">
        <w:rPr>
          <w:rFonts w:eastAsia="Times New Roman"/>
        </w:rPr>
        <w:t xml:space="preserve"> addition; the whole, aggregate, sum.  J</w:t>
      </w:r>
      <w:r w:rsidRPr="008F03E5">
        <w:t>ummal,</w:t>
      </w:r>
      <w:r w:rsidRPr="008F03E5">
        <w:rPr>
          <w:rFonts w:eastAsia="Times New Roman"/>
        </w:rPr>
        <w:t xml:space="preserve"> a cable; addition.  All consist of the letters </w:t>
      </w:r>
      <w:r w:rsidRPr="008F03E5">
        <w:rPr>
          <w:rFonts w:eastAsia="Times New Roman"/>
          <w:rtl/>
        </w:rPr>
        <w:t>جمل</w:t>
      </w:r>
      <w:r w:rsidRPr="008F03E5">
        <w:rPr>
          <w:rFonts w:eastAsia="Times New Roman"/>
        </w:rPr>
        <w:t>.</w:t>
      </w:r>
    </w:p>
    <w:p w14:paraId="2912950C" w14:textId="77777777" w:rsidR="00625A5B" w:rsidRPr="008F03E5" w:rsidRDefault="00625A5B" w:rsidP="008714F1">
      <w:pPr>
        <w:pStyle w:val="Translit"/>
      </w:pPr>
      <w:r w:rsidRPr="008F03E5">
        <w:t>Jumu’at</w:t>
      </w:r>
      <w:r w:rsidRPr="008F03E5">
        <w:tab/>
        <w:t>al-Jumu‘at</w:t>
      </w:r>
      <w:r w:rsidRPr="008F03E5">
        <w:tab/>
        <w:t>[a proper name] [the day of gathering, the day of congregating] Friday.  Súra 62 named al-Jumu‘ah because verse 9 mentions the call for the “Congregational Prayer on Friday”.  See jum‘a</w:t>
      </w:r>
    </w:p>
    <w:p w14:paraId="48ECB417" w14:textId="77777777" w:rsidR="00625A5B" w:rsidRPr="008F03E5" w:rsidRDefault="00625A5B" w:rsidP="00E200C3">
      <w:pPr>
        <w:pStyle w:val="Translit"/>
      </w:pPr>
      <w:r w:rsidRPr="008F03E5">
        <w:t>Junayd (Junaid)</w:t>
      </w:r>
      <w:r w:rsidRPr="008F03E5">
        <w:tab/>
        <w:t>Junayd</w:t>
      </w:r>
      <w:r w:rsidRPr="008F03E5">
        <w:tab/>
        <w:t>soldier or warrior</w:t>
      </w:r>
    </w:p>
    <w:p w14:paraId="3BC5C22E" w14:textId="77777777" w:rsidR="00625A5B" w:rsidRPr="00B94CBE" w:rsidRDefault="00625A5B" w:rsidP="00546FDC">
      <w:pPr>
        <w:pStyle w:val="Translit"/>
        <w:rPr>
          <w:lang w:val="de-DE"/>
        </w:rPr>
      </w:pPr>
      <w:r w:rsidRPr="008F03E5">
        <w:t>Junayn, Junayna, Junaynat</w:t>
      </w:r>
      <w:r w:rsidRPr="008F03E5">
        <w:tab/>
        <w:t xml:space="preserve">Junayn, fem. Junayna[h or t], pl. </w:t>
      </w:r>
      <w:r w:rsidRPr="001457C8">
        <w:rPr>
          <w:lang w:val="de-DE"/>
        </w:rPr>
        <w:t>Junaynát</w:t>
      </w:r>
      <w:r w:rsidRPr="001457C8">
        <w:rPr>
          <w:lang w:val="de-DE"/>
        </w:rPr>
        <w:tab/>
        <w:t xml:space="preserve">(“Junain”, “Junaina”) garden; little garden.  Junaynih Garden (32.993857, 35.095354)—a garden </w:t>
      </w:r>
      <w:r w:rsidRPr="001457C8">
        <w:rPr>
          <w:sz w:val="16"/>
          <w:szCs w:val="16"/>
          <w:lang w:val="de-DE"/>
        </w:rPr>
        <w:t>NW</w:t>
      </w:r>
      <w:r w:rsidRPr="001457C8">
        <w:rPr>
          <w:lang w:val="de-DE"/>
        </w:rPr>
        <w:t xml:space="preserve"> of Mazra‘ih, Israel.  </w:t>
      </w:r>
      <w:r w:rsidRPr="00B94CBE">
        <w:rPr>
          <w:lang w:val="de-DE"/>
        </w:rPr>
        <w:t>Pers. fem. also junaynih.</w:t>
      </w:r>
    </w:p>
    <w:p w14:paraId="2CB720CD" w14:textId="77777777" w:rsidR="00625A5B" w:rsidRPr="008F03E5" w:rsidRDefault="00625A5B" w:rsidP="00937738">
      <w:pPr>
        <w:pStyle w:val="Translit"/>
      </w:pPr>
      <w:r w:rsidRPr="00077779">
        <w:rPr>
          <w:lang w:val="en-AU"/>
        </w:rPr>
        <w:t>Jund, Junud, Ajnad, Junayd (Junaid)</w:t>
      </w:r>
      <w:r w:rsidRPr="00077779">
        <w:rPr>
          <w:lang w:val="en-AU"/>
        </w:rPr>
        <w:tab/>
        <w:t xml:space="preserve">Jund m. and f., pl. </w:t>
      </w:r>
      <w:r w:rsidRPr="008F03E5">
        <w:t>Junúd, Ajnád</w:t>
      </w:r>
      <w:r w:rsidRPr="008F03E5">
        <w:tab/>
        <w:t>soldiers; army.  Junayd (a name, soldier or warrior) is a diminutive of jund.  Abu’l-Qásim al-Junayd ibn Muḥammad ibn al-Junayd al-</w:t>
      </w:r>
      <w:r w:rsidRPr="008F03E5">
        <w:rPr>
          <w:u w:val="single"/>
        </w:rPr>
        <w:t>Kh</w:t>
      </w:r>
      <w:r w:rsidRPr="008F03E5">
        <w:t>azzáz al-Qawárírí was a mystic and one of the most famous of the early Saints of Islam.</w:t>
      </w:r>
    </w:p>
    <w:p w14:paraId="087213E5" w14:textId="77777777" w:rsidR="00625A5B" w:rsidRPr="008F03E5" w:rsidRDefault="00625A5B" w:rsidP="00C750CF">
      <w:pPr>
        <w:pStyle w:val="Translit"/>
      </w:pPr>
      <w:r w:rsidRPr="008F03E5">
        <w:t>Jundab</w:t>
      </w:r>
      <w:r w:rsidRPr="008F03E5">
        <w:tab/>
        <w:t>Jundab</w:t>
      </w:r>
      <w:r w:rsidRPr="008F03E5">
        <w:tab/>
        <w:t>(born Jundab bin Junáda) Jundab bin Junáda bin Sufyán al-</w:t>
      </w:r>
      <w:r w:rsidRPr="008F03E5">
        <w:rPr>
          <w:u w:val="single"/>
        </w:rPr>
        <w:t>Gh</w:t>
      </w:r>
      <w:r w:rsidRPr="008F03E5">
        <w:t xml:space="preserve">ifárí (590–653) known as Abú </w:t>
      </w:r>
      <w:r w:rsidRPr="008F03E5">
        <w:rPr>
          <w:u w:val="single"/>
        </w:rPr>
        <w:t>Dh</w:t>
      </w:r>
      <w:r w:rsidRPr="008F03E5">
        <w:t>ar al-</w:t>
      </w:r>
      <w:r w:rsidRPr="008F03E5">
        <w:rPr>
          <w:u w:val="single"/>
        </w:rPr>
        <w:t>Gh</w:t>
      </w:r>
      <w:r w:rsidRPr="008F03E5">
        <w:t>ifárí was one of the greatest companions of Muḥammad and a companion of Imám ‘Alí</w:t>
      </w:r>
    </w:p>
    <w:p w14:paraId="1B71ED3E" w14:textId="77777777" w:rsidR="00625A5B" w:rsidRPr="008F03E5" w:rsidRDefault="00625A5B" w:rsidP="00517CE9">
      <w:pPr>
        <w:pStyle w:val="Translit"/>
      </w:pPr>
      <w:r w:rsidRPr="008F03E5">
        <w:t>Jundub, Jundab, Janadib</w:t>
      </w:r>
      <w:r w:rsidRPr="008F03E5">
        <w:tab/>
        <w:t>Jundub, pl. Janádib</w:t>
      </w:r>
      <w:r w:rsidRPr="008F03E5">
        <w:tab/>
        <w:t>grasshopper</w:t>
      </w:r>
    </w:p>
    <w:p w14:paraId="7CA72E13" w14:textId="77777777" w:rsidR="00625A5B" w:rsidRPr="008F03E5" w:rsidRDefault="00625A5B" w:rsidP="00517CE9">
      <w:pPr>
        <w:pStyle w:val="Translit"/>
      </w:pPr>
      <w:r w:rsidRPr="008F03E5">
        <w:t>Junun</w:t>
      </w:r>
      <w:r w:rsidRPr="008F03E5">
        <w:tab/>
        <w:t>Junún</w:t>
      </w:r>
      <w:r w:rsidRPr="008F03E5">
        <w:tab/>
        <w:t>possession, obsession; mania, madness, insanity, dementia; foolishness, folly; frenzy, rage, fury; ecstasy, rapture.  Pen name of Mírzá Faraju’lláh Faná’yán, see Faná’yán.</w:t>
      </w:r>
    </w:p>
    <w:p w14:paraId="349F84D7" w14:textId="77777777" w:rsidR="00625A5B" w:rsidRPr="008F03E5" w:rsidRDefault="00625A5B" w:rsidP="002A4D2F">
      <w:pPr>
        <w:pStyle w:val="Translit"/>
      </w:pPr>
      <w:r w:rsidRPr="00347856">
        <w:t>Jurayn, Jurayna, Juraynat</w:t>
      </w:r>
      <w:r w:rsidRPr="00347856">
        <w:tab/>
        <w:t xml:space="preserve">Jurayn, fem. </w:t>
      </w:r>
      <w:r w:rsidRPr="008F03E5">
        <w:t>Jurayna[h or t], pl. Juraynát</w:t>
      </w:r>
      <w:r w:rsidRPr="008F03E5">
        <w:tab/>
        <w:t>(“Jurain”, “Juraina”) green.  Pers. fem. also juraynih.  Juraynah (31.766670, 35.799831) is a settlement in Jordan.</w:t>
      </w:r>
    </w:p>
    <w:p w14:paraId="66B80232" w14:textId="77777777" w:rsidR="00625A5B" w:rsidRPr="008F03E5" w:rsidRDefault="00625A5B" w:rsidP="00E12218">
      <w:pPr>
        <w:pStyle w:val="Translit"/>
      </w:pPr>
      <w:r w:rsidRPr="008F03E5">
        <w:t>Jurj</w:t>
      </w:r>
      <w:r w:rsidRPr="008F03E5">
        <w:tab/>
        <w:t>Jurj</w:t>
      </w:r>
      <w:r w:rsidRPr="008F03E5">
        <w:tab/>
        <w:t>Pers. wallets; saddlebags.  Jurjí Zaydán</w:t>
      </w:r>
    </w:p>
    <w:p w14:paraId="3C392D0E" w14:textId="77777777" w:rsidR="00625A5B" w:rsidRPr="008F03E5" w:rsidRDefault="00625A5B" w:rsidP="0046193C">
      <w:pPr>
        <w:pStyle w:val="Translit"/>
      </w:pPr>
      <w:r w:rsidRPr="008F03E5">
        <w:t>Justan</w:t>
      </w:r>
      <w:r w:rsidRPr="008F03E5">
        <w:tab/>
        <w:t>Justan</w:t>
      </w:r>
      <w:r w:rsidRPr="008F03E5">
        <w:tab/>
        <w:t>Pers. to search, seek, inquire, ask for, examine, investigate; to heap up, accumulate; to find, acquire.</w:t>
      </w:r>
    </w:p>
    <w:p w14:paraId="78823358" w14:textId="77777777" w:rsidR="00625A5B" w:rsidRPr="008F03E5" w:rsidRDefault="00625A5B" w:rsidP="00804199">
      <w:pPr>
        <w:pStyle w:val="Translit"/>
      </w:pPr>
      <w:r w:rsidRPr="008F03E5">
        <w:t>Juwayn, Juvayn</w:t>
      </w:r>
      <w:r w:rsidRPr="008F03E5">
        <w:tab/>
        <w:t>Juwayn, Pers. Juvayn</w:t>
      </w:r>
      <w:r w:rsidRPr="008F03E5">
        <w:tab/>
        <w:t xml:space="preserve">Joveyn, area about 50 km </w:t>
      </w:r>
      <w:r w:rsidRPr="008F03E5">
        <w:rPr>
          <w:sz w:val="16"/>
          <w:szCs w:val="16"/>
        </w:rPr>
        <w:t>NNW</w:t>
      </w:r>
      <w:r w:rsidRPr="008F03E5">
        <w:t xml:space="preserve"> of Sabzivár, Írán.</w:t>
      </w:r>
    </w:p>
    <w:p w14:paraId="35F8BF30" w14:textId="77777777" w:rsidR="00625A5B" w:rsidRPr="008F03E5" w:rsidRDefault="00625A5B" w:rsidP="00804199">
      <w:pPr>
        <w:pStyle w:val="Translit"/>
      </w:pPr>
      <w:r w:rsidRPr="008F03E5">
        <w:t>Juwayni</w:t>
      </w:r>
      <w:r w:rsidRPr="008F03E5">
        <w:tab/>
        <w:t>Juwayní</w:t>
      </w:r>
      <w:r w:rsidRPr="008F03E5">
        <w:tab/>
        <w:t>Imám al Ḥaramayn Ḍiyá’ ad-Dín ‘Abd al-Malik ibn Yúsuf al-Juwayní a</w:t>
      </w:r>
      <w:r w:rsidRPr="008F03E5">
        <w:rPr>
          <w:u w:val="single"/>
        </w:rPr>
        <w:t>sh</w:t>
      </w:r>
      <w:r w:rsidRPr="008F03E5">
        <w:t>-</w:t>
      </w:r>
      <w:r w:rsidRPr="008F03E5">
        <w:rPr>
          <w:u w:val="single"/>
        </w:rPr>
        <w:t>Sh</w:t>
      </w:r>
      <w:r w:rsidRPr="008F03E5">
        <w:t xml:space="preserve">áfi’í (1028–1085), abbreviated as al-Juwayní, was a Persian Sunní </w:t>
      </w:r>
      <w:r w:rsidRPr="008F03E5">
        <w:rPr>
          <w:u w:val="single"/>
        </w:rPr>
        <w:t>Sh</w:t>
      </w:r>
      <w:r w:rsidRPr="008F03E5">
        <w:t>áfi’í jurist and mutakallim theologian</w:t>
      </w:r>
    </w:p>
    <w:p w14:paraId="22CB76D2" w14:textId="77777777" w:rsidR="00625A5B" w:rsidRPr="008F03E5" w:rsidRDefault="00625A5B" w:rsidP="001F7533">
      <w:pPr>
        <w:pStyle w:val="Translit"/>
      </w:pPr>
      <w:r w:rsidRPr="008F03E5">
        <w:t>Juy (Joy)</w:t>
      </w:r>
      <w:r w:rsidRPr="008F03E5">
        <w:tab/>
        <w:t>Júy</w:t>
      </w:r>
      <w:r w:rsidRPr="008F03E5">
        <w:tab/>
        <w:t>Pers. (imperative and participle of justan), seek thou; seeking, desiring, wishing, asking.  A running stream, rivulet; a canal or gutter cut for the purposes of irrigation; a groove in the back of a sword.</w:t>
      </w:r>
    </w:p>
    <w:p w14:paraId="729A1CB8" w14:textId="77777777" w:rsidR="00625A5B" w:rsidRPr="008F03E5" w:rsidRDefault="00625A5B" w:rsidP="00703B69">
      <w:pPr>
        <w:pStyle w:val="Translit"/>
      </w:pPr>
      <w:r w:rsidRPr="008F03E5">
        <w:t>Juz’, Ajza’</w:t>
      </w:r>
      <w:r w:rsidRPr="008F03E5">
        <w:tab/>
        <w:t>Juz’, pl. Ajzá’</w:t>
      </w:r>
      <w:r w:rsidRPr="008F03E5">
        <w:tab/>
        <w:t>part, portion; constituent, component; fraction; division; section; a 30th part (of varying length) of the Qur’án (= 2 ḥizb), into which the Qur’án was divided due to printing costs in medieval times or to facilitate recitation of the Qurʼán in a month.</w:t>
      </w:r>
    </w:p>
    <w:p w14:paraId="1D4CB528" w14:textId="77777777" w:rsidR="00625A5B" w:rsidRPr="008F03E5" w:rsidRDefault="00625A5B" w:rsidP="0024326A">
      <w:pPr>
        <w:pStyle w:val="Myhead"/>
      </w:pPr>
      <w:bookmarkStart w:id="89" w:name="K"/>
      <w:r w:rsidRPr="008F03E5">
        <w:t>K</w:t>
      </w:r>
      <w:bookmarkEnd w:id="89"/>
    </w:p>
    <w:p w14:paraId="22CE922E" w14:textId="77777777" w:rsidR="00625A5B" w:rsidRPr="008F03E5" w:rsidRDefault="00625A5B" w:rsidP="00FB3901">
      <w:pPr>
        <w:pStyle w:val="Translit"/>
      </w:pPr>
      <w:r w:rsidRPr="008F03E5">
        <w:t>Ka</w:t>
      </w:r>
      <w:r w:rsidRPr="008F03E5">
        <w:tab/>
        <w:t>Ka</w:t>
      </w:r>
      <w:r w:rsidRPr="008F03E5">
        <w:tab/>
        <w:t>(an inseparable adverb of similitude prefixed to Arabic nouns or particles, never to pronouns), as, like; as though</w:t>
      </w:r>
    </w:p>
    <w:p w14:paraId="69CAAF99" w14:textId="77777777" w:rsidR="00625A5B" w:rsidRPr="008F03E5" w:rsidRDefault="00625A5B" w:rsidP="00FB3901">
      <w:pPr>
        <w:pStyle w:val="Translit"/>
      </w:pPr>
      <w:r w:rsidRPr="008F03E5">
        <w:t>Ka’aba, Ku’ub</w:t>
      </w:r>
      <w:r w:rsidRPr="008F03E5">
        <w:tab/>
        <w:t>Ka‘aba (Ku‘úb)</w:t>
      </w:r>
      <w:r w:rsidRPr="008F03E5">
        <w:tab/>
      </w:r>
      <w:r>
        <w:t xml:space="preserve">(verb) </w:t>
      </w:r>
      <w:r w:rsidRPr="008F03E5">
        <w:t xml:space="preserve">to be full and round, be swelling (breasts) Form </w:t>
      </w:r>
      <w:r w:rsidRPr="008F03E5">
        <w:rPr>
          <w:sz w:val="16"/>
          <w:szCs w:val="16"/>
        </w:rPr>
        <w:t>II</w:t>
      </w:r>
      <w:r w:rsidRPr="008F03E5">
        <w:t xml:space="preserve"> to make cubic, to cube (something); to dice (something)</w:t>
      </w:r>
    </w:p>
    <w:p w14:paraId="1FBF65F6" w14:textId="77777777" w:rsidR="00625A5B" w:rsidRPr="008F03E5" w:rsidRDefault="00625A5B" w:rsidP="002A61BD">
      <w:pPr>
        <w:pStyle w:val="Translit"/>
      </w:pPr>
      <w:r w:rsidRPr="008F03E5">
        <w:t>Ka’b, Ka’ba, Ka’aba, Ka’iba</w:t>
      </w:r>
      <w:r w:rsidRPr="008F03E5">
        <w:tab/>
        <w:t>Ka’b, Ka’ba[h], Ka’ába[h], Ka’iba</w:t>
      </w:r>
      <w:r w:rsidRPr="008F03E5">
        <w:tab/>
        <w:t>to be dejected, dispirited, downcast, sad</w:t>
      </w:r>
    </w:p>
    <w:p w14:paraId="0CB75EFE" w14:textId="77777777" w:rsidR="00625A5B" w:rsidRPr="008F03E5" w:rsidRDefault="00625A5B" w:rsidP="00A62AE3">
      <w:pPr>
        <w:pStyle w:val="Translit"/>
      </w:pPr>
      <w:r w:rsidRPr="008F03E5">
        <w:t>Ka’b, Ki’ab, Ku’ub</w:t>
      </w:r>
      <w:r w:rsidRPr="008F03E5">
        <w:tab/>
        <w:t>Ka‘b, pl. Ki‘áb, Ku‘úb</w:t>
      </w:r>
      <w:r w:rsidRPr="008F03E5">
        <w:tab/>
        <w:t>knot, knob, node (of cane); joint, articulation; ankle, anklebone; heel (of a shoe); ferrule; die; cube; high rank, fame, glory, honour</w:t>
      </w:r>
    </w:p>
    <w:p w14:paraId="71C3FAD5" w14:textId="77777777" w:rsidR="00625A5B" w:rsidRPr="008F03E5" w:rsidRDefault="00625A5B" w:rsidP="002A61BD">
      <w:pPr>
        <w:pStyle w:val="Translit"/>
      </w:pPr>
      <w:r w:rsidRPr="008F03E5">
        <w:t xml:space="preserve">Ka’ba </w:t>
      </w:r>
      <w:r>
        <w:t>(</w:t>
      </w:r>
      <w:r w:rsidRPr="008F03E5">
        <w:t>Ka’bih</w:t>
      </w:r>
      <w:r>
        <w:t xml:space="preserve">), </w:t>
      </w:r>
      <w:r w:rsidRPr="008F03E5">
        <w:t>Ka’abat</w:t>
      </w:r>
      <w:r w:rsidRPr="008F03E5">
        <w:tab/>
        <w:t>Ka‘ba[h</w:t>
      </w:r>
      <w:r>
        <w:t xml:space="preserve"> or t</w:t>
      </w:r>
      <w:r w:rsidRPr="008F03E5">
        <w:t xml:space="preserve">] </w:t>
      </w:r>
      <w:r>
        <w:t>(</w:t>
      </w:r>
      <w:r w:rsidRPr="008F03E5">
        <w:t>Pers. Ka‘bih</w:t>
      </w:r>
      <w:r>
        <w:t xml:space="preserve">), </w:t>
      </w:r>
      <w:r w:rsidRPr="008F03E5">
        <w:t>pl. Ka‘abát</w:t>
      </w:r>
      <w:r w:rsidRPr="008F03E5">
        <w:tab/>
        <w:t>cube, cubic structure; (figurative) shrine; object of veneration, focus of interest.  The cubic building (al-Ka‘ba or al-Ka‘ba al-Mu</w:t>
      </w:r>
      <w:r w:rsidRPr="008F03E5">
        <w:rPr>
          <w:u w:val="single"/>
        </w:rPr>
        <w:t>sh</w:t>
      </w:r>
      <w:r w:rsidRPr="008F03E5">
        <w:t xml:space="preserve">arrafah, </w:t>
      </w:r>
      <w:r>
        <w:t>“</w:t>
      </w:r>
      <w:r w:rsidRPr="008F03E5">
        <w:t xml:space="preserve">the exalted </w:t>
      </w:r>
      <w:r>
        <w:t>cube”</w:t>
      </w:r>
      <w:r w:rsidRPr="008F03E5">
        <w:t>) in the centre of the main Mosque in Mecca (Ma</w:t>
      </w:r>
      <w:r>
        <w:t>s</w:t>
      </w:r>
      <w:r w:rsidRPr="008F03E5">
        <w:t>j</w:t>
      </w:r>
      <w:r>
        <w:t>i</w:t>
      </w:r>
      <w:r w:rsidRPr="008F03E5">
        <w:t>d al-Ḥaram) that contains the Black Stone (</w:t>
      </w:r>
      <w:r w:rsidRPr="008F03E5">
        <w:rPr>
          <w:i/>
          <w:iCs/>
        </w:rPr>
        <w:t>al-Ḥajar al-Aswad</w:t>
      </w:r>
      <w:r w:rsidRPr="008F03E5">
        <w:t>).  The sanctuary is believed to have been originally built by Ibráhím (Abraham) and Ismá‘íl (Ishmael), and appointed by Muḥammad as the Qiblah (the Point of Adoration) to which people turn in prayer in Mecca.  The structure is 13.1 × 11.03 × 12.86 m (H × W × D)</w:t>
      </w:r>
    </w:p>
    <w:p w14:paraId="067A9EF0" w14:textId="77777777" w:rsidR="00625A5B" w:rsidRPr="008F03E5" w:rsidRDefault="00625A5B" w:rsidP="00393E4A">
      <w:pPr>
        <w:pStyle w:val="Translit"/>
      </w:pPr>
      <w:r w:rsidRPr="008F03E5">
        <w:t>Ka’b-ibn-i-Ashraf</w:t>
      </w:r>
      <w:r w:rsidRPr="008F03E5">
        <w:tab/>
        <w:t>Ka‘b-ibn-i-A</w:t>
      </w:r>
      <w:r w:rsidRPr="008F03E5">
        <w:rPr>
          <w:u w:val="single"/>
        </w:rPr>
        <w:t>sh</w:t>
      </w:r>
      <w:r w:rsidRPr="008F03E5">
        <w:t>raf</w:t>
      </w:r>
      <w:r w:rsidRPr="008F03E5">
        <w:tab/>
        <w:t>a Jewish leader in Medina and a poet.  He condemned by Muḥammad after the Battle of Badr (</w:t>
      </w:r>
      <w:r w:rsidRPr="008F03E5">
        <w:rPr>
          <w:sz w:val="16"/>
          <w:szCs w:val="16"/>
        </w:rPr>
        <w:t>CE</w:t>
      </w:r>
      <w:r w:rsidRPr="008F03E5">
        <w:t xml:space="preserve"> 624).</w:t>
      </w:r>
    </w:p>
    <w:p w14:paraId="293023B2" w14:textId="77777777" w:rsidR="00625A5B" w:rsidRPr="008F03E5" w:rsidRDefault="00625A5B" w:rsidP="00491F44">
      <w:pPr>
        <w:pStyle w:val="Translit"/>
      </w:pPr>
      <w:r w:rsidRPr="008F03E5">
        <w:t>Kabab (Kebab)</w:t>
      </w:r>
      <w:r w:rsidRPr="008F03E5">
        <w:tab/>
        <w:t>Kabáb</w:t>
      </w:r>
      <w:r w:rsidRPr="008F03E5">
        <w:tab/>
        <w:t>fried or broiled meat; meat roasted in small pieces on a skewer; meatballs made of finely chopped meat (Syria, Egypt)</w:t>
      </w:r>
    </w:p>
    <w:p w14:paraId="36D63A95" w14:textId="77777777" w:rsidR="00625A5B" w:rsidRPr="008F03E5" w:rsidRDefault="00625A5B" w:rsidP="00B30434">
      <w:pPr>
        <w:pStyle w:val="Translit"/>
      </w:pPr>
      <w:r w:rsidRPr="008F03E5">
        <w:t>Kabara, Kabr, Kabri</w:t>
      </w:r>
      <w:r w:rsidRPr="008F03E5">
        <w:tab/>
        <w:t>Kabara, Kabr</w:t>
      </w:r>
      <w:r w:rsidRPr="008F03E5">
        <w:tab/>
        <w:t>to exceed in age (someone by), be older (than someone).  Aqueduct from Kabrí (</w:t>
      </w:r>
      <w:r w:rsidRPr="008F03E5">
        <w:rPr>
          <w:sz w:val="16"/>
          <w:szCs w:val="16"/>
        </w:rPr>
        <w:t>NE</w:t>
      </w:r>
      <w:r w:rsidRPr="008F03E5">
        <w:t xml:space="preserve"> of Naháríya) to ‘Akká.</w:t>
      </w:r>
    </w:p>
    <w:p w14:paraId="53923494" w14:textId="77777777" w:rsidR="00625A5B" w:rsidRPr="008F03E5" w:rsidRDefault="00625A5B" w:rsidP="00F8389A">
      <w:pPr>
        <w:pStyle w:val="Translit"/>
      </w:pPr>
      <w:r w:rsidRPr="008F03E5">
        <w:t>Kabir, Kibar, Kubara, Akabir</w:t>
      </w:r>
      <w:r w:rsidRPr="008F03E5">
        <w:tab/>
        <w:t>Kabír, pl. Kibár, Kubará, Akabír</w:t>
      </w:r>
      <w:r w:rsidRPr="008F03E5">
        <w:tab/>
        <w:t>great, big, large, sizable; bulky, voluminous, spacious; extensive, comprehensive; significant, considerable, formidable, huge, vast, enormous; powerful, influential, distinguished, eminent; important; old.  e.g. Amír Kabír.  Superlative form of kabura.</w:t>
      </w:r>
    </w:p>
    <w:p w14:paraId="2AF7F26D" w14:textId="77777777" w:rsidR="00625A5B" w:rsidRPr="008F03E5" w:rsidRDefault="00625A5B" w:rsidP="00067483">
      <w:pPr>
        <w:pStyle w:val="Translit"/>
      </w:pPr>
      <w:r w:rsidRPr="008F03E5">
        <w:t>Kabira, Kabirat, Kaba’ir, Kubar</w:t>
      </w:r>
      <w:r w:rsidRPr="008F03E5">
        <w:tab/>
        <w:t>Kabíra[h], pl. Kabírát, Kabá’ir</w:t>
      </w:r>
      <w:r>
        <w:t>,</w:t>
      </w:r>
      <w:r w:rsidRPr="008F03E5">
        <w:t xml:space="preserve"> </w:t>
      </w:r>
      <w:r>
        <w:t>K</w:t>
      </w:r>
      <w:r w:rsidRPr="008F03E5">
        <w:t>ubur</w:t>
      </w:r>
      <w:r>
        <w:tab/>
        <w:t xml:space="preserve">(fem. </w:t>
      </w:r>
      <w:r w:rsidRPr="008F03E5">
        <w:t>Kabír</w:t>
      </w:r>
      <w:r>
        <w:t>)</w:t>
      </w:r>
      <w:r w:rsidRPr="008F03E5">
        <w:t xml:space="preserve"> great sin, grave offense, atrocious crime</w:t>
      </w:r>
    </w:p>
    <w:p w14:paraId="051BFF37" w14:textId="77777777" w:rsidR="00625A5B" w:rsidRPr="008F03E5" w:rsidRDefault="00625A5B" w:rsidP="005116F9">
      <w:pPr>
        <w:pStyle w:val="Translit"/>
      </w:pPr>
      <w:r w:rsidRPr="008F03E5">
        <w:t>Kabri</w:t>
      </w:r>
      <w:r w:rsidRPr="008F03E5">
        <w:tab/>
        <w:t>Kabrí</w:t>
      </w:r>
      <w:r w:rsidRPr="008F03E5">
        <w:tab/>
        <w:t>possibly derived from kabír refering to the plentiful water from the springs.  al-Kabrí (33.015543, 35.150862) former Arab town 0.25 km south of kibbutz Kabri (centre 33.020988, 35.147014).  Well known for its springs, including (</w:t>
      </w:r>
      <w:r w:rsidRPr="008F03E5">
        <w:rPr>
          <w:sz w:val="16"/>
          <w:szCs w:val="16"/>
        </w:rPr>
        <w:t>NE</w:t>
      </w:r>
      <w:r w:rsidRPr="008F03E5">
        <w:t xml:space="preserve"> to </w:t>
      </w:r>
      <w:r w:rsidRPr="008F03E5">
        <w:rPr>
          <w:sz w:val="16"/>
          <w:szCs w:val="16"/>
        </w:rPr>
        <w:t>SW</w:t>
      </w:r>
      <w:r w:rsidRPr="008F03E5">
        <w:t>):  Ein HaShayara (“the caravan”) or ‘Ayn Kabrí (33.015173, 35.151351—in al-Kabrí); Ein Tzuf (“nectar”) or ‘Ayn al-‘Asal (“honey”) (33.014761, 35.151093—in al-Kabrí); Ein Giah (or Gea) or ‘Ayn Fawwár (“effervescent”) 33.009398, 35.141897 (</w:t>
      </w:r>
      <w:r w:rsidRPr="008F03E5">
        <w:rPr>
          <w:sz w:val="16"/>
          <w:szCs w:val="16"/>
        </w:rPr>
        <w:t>ENE</w:t>
      </w:r>
      <w:r w:rsidRPr="008F03E5">
        <w:t xml:space="preserve"> of Tel Kabri); Ein Shefa (“abundance”) or ‘Ayn Maf</w:t>
      </w:r>
      <w:r w:rsidRPr="008F03E5">
        <w:rPr>
          <w:u w:val="single"/>
        </w:rPr>
        <w:t>sh</w:t>
      </w:r>
      <w:r w:rsidRPr="008F03E5">
        <w:t>uh (33.008332, 35.138160—on Tel Kabri).</w:t>
      </w:r>
      <w:r w:rsidRPr="008F03E5">
        <w:rPr>
          <w:rStyle w:val="FootnoteReference"/>
        </w:rPr>
        <w:footnoteReference w:id="11"/>
      </w:r>
      <w:r w:rsidRPr="008F03E5">
        <w:t xml:space="preserve">  The number of springs made al-Kabri the main supplier of water in the District of Acre.  Ancient aqueducts supplied water from the springs to Acre, and two additional canals were built in 1800 and 1814.</w:t>
      </w:r>
    </w:p>
    <w:p w14:paraId="1E1A9CA0" w14:textId="77777777" w:rsidR="00625A5B" w:rsidRPr="008F03E5" w:rsidRDefault="00625A5B" w:rsidP="005116F9">
      <w:pPr>
        <w:pStyle w:val="Translit"/>
      </w:pPr>
      <w:r w:rsidRPr="008F03E5">
        <w:t>Kabul</w:t>
      </w:r>
      <w:r w:rsidRPr="008F03E5">
        <w:tab/>
        <w:t>Kábul</w:t>
      </w:r>
      <w:r w:rsidRPr="008F03E5">
        <w:tab/>
        <w:t>capital of Afghanistan</w:t>
      </w:r>
    </w:p>
    <w:p w14:paraId="7DF77013" w14:textId="77777777" w:rsidR="00625A5B" w:rsidRPr="008F03E5" w:rsidRDefault="00625A5B" w:rsidP="001F1A29">
      <w:pPr>
        <w:pStyle w:val="Translit"/>
      </w:pPr>
      <w:r w:rsidRPr="008F03E5">
        <w:t>Kabura</w:t>
      </w:r>
      <w:r w:rsidRPr="008F03E5">
        <w:tab/>
        <w:t>Kabura</w:t>
      </w:r>
      <w:r w:rsidRPr="008F03E5">
        <w:tab/>
        <w:t>to be or become great, big, large, to grow, increase</w:t>
      </w:r>
    </w:p>
    <w:p w14:paraId="189393D2" w14:textId="77777777" w:rsidR="00625A5B" w:rsidRPr="008F03E5" w:rsidRDefault="00625A5B" w:rsidP="00CD6688">
      <w:pPr>
        <w:pStyle w:val="Translit"/>
      </w:pPr>
      <w:r w:rsidRPr="001457C8">
        <w:rPr>
          <w:lang w:val="pl-PL"/>
        </w:rPr>
        <w:t>Kad, Kad-ha</w:t>
      </w:r>
      <w:r w:rsidRPr="001457C8">
        <w:rPr>
          <w:lang w:val="pl-PL"/>
        </w:rPr>
        <w:tab/>
        <w:t xml:space="preserve">Kad, pl. </w:t>
      </w:r>
      <w:r w:rsidRPr="008F03E5">
        <w:t>Kad-há</w:t>
      </w:r>
      <w:r w:rsidRPr="008F03E5">
        <w:tab/>
        <w:t>Pers. a house; beginning, first</w:t>
      </w:r>
    </w:p>
    <w:p w14:paraId="709AAFFC" w14:textId="77777777" w:rsidR="00625A5B" w:rsidRPr="008F03E5" w:rsidRDefault="00625A5B" w:rsidP="00CD6688">
      <w:pPr>
        <w:pStyle w:val="Translit"/>
      </w:pPr>
      <w:r w:rsidRPr="008F03E5">
        <w:t>Kadhdhab</w:t>
      </w:r>
      <w:r w:rsidRPr="008F03E5">
        <w:tab/>
        <w:t>Ka</w:t>
      </w:r>
      <w:r w:rsidRPr="008F03E5">
        <w:rPr>
          <w:u w:val="single"/>
        </w:rPr>
        <w:t>dhdh</w:t>
      </w:r>
      <w:r w:rsidRPr="008F03E5">
        <w:t>áb</w:t>
      </w:r>
      <w:r w:rsidRPr="008F03E5">
        <w:tab/>
        <w:t>liar, swindler; lying, untruthful; false, deceitful</w:t>
      </w:r>
    </w:p>
    <w:p w14:paraId="795E486F" w14:textId="77777777" w:rsidR="00625A5B" w:rsidRPr="008F03E5" w:rsidRDefault="00625A5B" w:rsidP="00CD6688">
      <w:pPr>
        <w:pStyle w:val="Translit"/>
      </w:pPr>
      <w:r w:rsidRPr="008F03E5">
        <w:t>Kadhub</w:t>
      </w:r>
      <w:r w:rsidRPr="008F03E5">
        <w:tab/>
        <w:t>Ka</w:t>
      </w:r>
      <w:r w:rsidRPr="008F03E5">
        <w:rPr>
          <w:u w:val="single"/>
        </w:rPr>
        <w:t>dh</w:t>
      </w:r>
      <w:r w:rsidRPr="008F03E5">
        <w:t>úb</w:t>
      </w:r>
      <w:r w:rsidRPr="008F03E5">
        <w:tab/>
        <w:t>liar</w:t>
      </w:r>
    </w:p>
    <w:p w14:paraId="310DCE20" w14:textId="77777777" w:rsidR="00625A5B" w:rsidRPr="008F03E5" w:rsidRDefault="00625A5B" w:rsidP="00D214B9">
      <w:pPr>
        <w:pStyle w:val="Translit"/>
      </w:pPr>
      <w:r w:rsidRPr="008F03E5">
        <w:t>Kad-Khuda, Kad-Khudayan</w:t>
      </w:r>
      <w:r w:rsidRPr="008F03E5">
        <w:tab/>
        <w:t>Kad-</w:t>
      </w:r>
      <w:r w:rsidRPr="008F03E5">
        <w:rPr>
          <w:u w:val="single"/>
        </w:rPr>
        <w:t>Kh</w:t>
      </w:r>
      <w:r w:rsidRPr="008F03E5">
        <w:t>udá, pl. Kad-</w:t>
      </w:r>
      <w:r w:rsidRPr="008F03E5">
        <w:rPr>
          <w:u w:val="single"/>
        </w:rPr>
        <w:t>Kh</w:t>
      </w:r>
      <w:r w:rsidRPr="008F03E5">
        <w:t>udáyán</w:t>
      </w:r>
      <w:r w:rsidRPr="008F03E5">
        <w:tab/>
        <w:t>Pers. master of a family; a bridegroom, married man; anyone looked up to with reverence and respect; a magistrate; a king; an alderman, a sheriff (modern colloquialism); the soul; God; chief officer of a district; a mayor, magistrate, alderman or bailiff.  Head man of a village, town, district or ward.</w:t>
      </w:r>
    </w:p>
    <w:p w14:paraId="79A96894" w14:textId="77777777" w:rsidR="00625A5B" w:rsidRPr="008F03E5" w:rsidRDefault="00625A5B" w:rsidP="005116F9">
      <w:pPr>
        <w:pStyle w:val="Translit"/>
      </w:pPr>
      <w:r w:rsidRPr="008F03E5">
        <w:t>Kaf</w:t>
      </w:r>
      <w:r w:rsidRPr="008F03E5">
        <w:tab/>
        <w:t>Káf</w:t>
      </w:r>
      <w:r w:rsidRPr="008F03E5">
        <w:tab/>
        <w:t>Arabic letter (k)</w:t>
      </w:r>
    </w:p>
    <w:p w14:paraId="731DF67D" w14:textId="77777777" w:rsidR="00625A5B" w:rsidRPr="008F03E5" w:rsidRDefault="00625A5B" w:rsidP="008D29DB">
      <w:pPr>
        <w:pStyle w:val="Translit"/>
      </w:pPr>
      <w:r w:rsidRPr="008F03E5">
        <w:t>Kafan, Akfan</w:t>
      </w:r>
      <w:r w:rsidRPr="008F03E5">
        <w:tab/>
        <w:t>Kafan, pl. Akfán</w:t>
      </w:r>
      <w:r w:rsidRPr="008F03E5">
        <w:tab/>
        <w:t>shroud, winding sheet</w:t>
      </w:r>
    </w:p>
    <w:p w14:paraId="5F861BDC" w14:textId="77777777" w:rsidR="00625A5B" w:rsidRPr="008F03E5" w:rsidRDefault="00625A5B" w:rsidP="005D0F08">
      <w:pPr>
        <w:pStyle w:val="Translit"/>
      </w:pPr>
      <w:r w:rsidRPr="008F03E5">
        <w:t>Kafara</w:t>
      </w:r>
      <w:r w:rsidRPr="008F03E5">
        <w:tab/>
        <w:t>Kafara</w:t>
      </w:r>
      <w:r w:rsidRPr="008F03E5">
        <w:tab/>
        <w:t>to disbelieve (in), to close oneself off to; to be ungrateful; to disclaim association with, to renounce</w:t>
      </w:r>
    </w:p>
    <w:p w14:paraId="36E7A9E7" w14:textId="77777777" w:rsidR="00625A5B" w:rsidRPr="008F03E5" w:rsidRDefault="00625A5B" w:rsidP="005D0F08">
      <w:pPr>
        <w:pStyle w:val="Translit"/>
      </w:pPr>
      <w:r w:rsidRPr="008F03E5">
        <w:t>Kaffara</w:t>
      </w:r>
      <w:r w:rsidRPr="008F03E5">
        <w:tab/>
        <w:t>Kaffara[h]</w:t>
      </w:r>
      <w:r w:rsidRPr="008F03E5">
        <w:tab/>
        <w:t>to cover, hide; to expiate, do penance, atone; to forgive, grant pardon; to make an infidel, seduce to unbelief; to accuse of infidelity, charge with unbelief.  A religious donation of money or food, made to help those in need, when someone deliberately misses a fast or intentionally breaks their fast.</w:t>
      </w:r>
    </w:p>
    <w:p w14:paraId="706DDABB" w14:textId="77777777" w:rsidR="00625A5B" w:rsidRPr="008F03E5" w:rsidRDefault="00625A5B" w:rsidP="005D0F08">
      <w:pPr>
        <w:pStyle w:val="Translit"/>
      </w:pPr>
      <w:r w:rsidRPr="008F03E5">
        <w:t>Kaffara, Kaffarih</w:t>
      </w:r>
      <w:r w:rsidRPr="008F03E5">
        <w:tab/>
        <w:t>Kaffára[h], Pers. also Kaffárih</w:t>
      </w:r>
      <w:r w:rsidRPr="008F03E5">
        <w:tab/>
        <w:t>penance, atonement (</w:t>
      </w:r>
      <w:r w:rsidRPr="008F03E5">
        <w:rPr>
          <w:i/>
          <w:iCs/>
        </w:rPr>
        <w:t>‘an</w:t>
      </w:r>
      <w:r w:rsidRPr="008F03E5">
        <w:t xml:space="preserve"> for a sin), expiation (</w:t>
      </w:r>
      <w:r w:rsidRPr="008F03E5">
        <w:rPr>
          <w:i/>
          <w:iCs/>
        </w:rPr>
        <w:t>‘an</w:t>
      </w:r>
      <w:r w:rsidRPr="008F03E5">
        <w:t xml:space="preserve"> of); reparation, amends; expiatory gifts, expiations (distributed to the poor at a funeral)</w:t>
      </w:r>
    </w:p>
    <w:p w14:paraId="416D33A4" w14:textId="77777777" w:rsidR="00625A5B" w:rsidRPr="008F03E5" w:rsidRDefault="00625A5B" w:rsidP="00BB7A03">
      <w:pPr>
        <w:pStyle w:val="Translit"/>
      </w:pPr>
      <w:r w:rsidRPr="008F03E5">
        <w:t>Kafi</w:t>
      </w:r>
      <w:r w:rsidRPr="008F03E5">
        <w:tab/>
        <w:t>Káfí</w:t>
      </w:r>
      <w:r w:rsidRPr="008F03E5">
        <w:tab/>
        <w:t xml:space="preserve">Pers. sufficient, enough; efficacious, effective; entire, perfect.  </w:t>
      </w:r>
      <w:r w:rsidRPr="008F03E5">
        <w:rPr>
          <w:i/>
          <w:iCs/>
        </w:rPr>
        <w:t>Kitáb al-Káfí</w:t>
      </w:r>
      <w:r w:rsidRPr="008F03E5">
        <w:t xml:space="preserve"> (The Sufficient Book) is a Twelver </w:t>
      </w:r>
      <w:r w:rsidRPr="008F03E5">
        <w:rPr>
          <w:u w:val="single"/>
        </w:rPr>
        <w:t>Sh</w:t>
      </w:r>
      <w:r w:rsidRPr="008F03E5">
        <w:t>í‘í ḥadí</w:t>
      </w:r>
      <w:r w:rsidRPr="008F03E5">
        <w:rPr>
          <w:u w:val="single"/>
        </w:rPr>
        <w:t>th</w:t>
      </w:r>
      <w:r w:rsidRPr="008F03E5">
        <w:t xml:space="preserve"> collection compiled by Muḥammad ibn Ya‘qúb al-Kulayní.</w:t>
      </w:r>
    </w:p>
    <w:p w14:paraId="1562F039" w14:textId="77777777" w:rsidR="00625A5B" w:rsidRPr="008F03E5" w:rsidRDefault="00625A5B" w:rsidP="002B0541">
      <w:pPr>
        <w:pStyle w:val="Translit"/>
      </w:pPr>
      <w:r w:rsidRPr="008F03E5">
        <w:t>Kafir, Kafirun, Kuffar, Kafara, Kifar</w:t>
      </w:r>
      <w:r w:rsidRPr="008F03E5">
        <w:tab/>
        <w:t>Káfir, pl. Káfirún, Kuffár, Kafara, Kifár</w:t>
      </w:r>
      <w:r w:rsidRPr="008F03E5">
        <w:tab/>
        <w:t>irreligious, unbelieving; unbeliever, infidel, atheist; ungrateful</w:t>
      </w:r>
    </w:p>
    <w:p w14:paraId="0FA685CA" w14:textId="77777777" w:rsidR="00625A5B" w:rsidRPr="008F03E5" w:rsidRDefault="00625A5B" w:rsidP="005F1EDF">
      <w:pPr>
        <w:pStyle w:val="Translit"/>
      </w:pPr>
      <w:r w:rsidRPr="008F03E5">
        <w:t>Kafiya</w:t>
      </w:r>
      <w:r w:rsidRPr="008F03E5">
        <w:tab/>
        <w:t>Káfíya or Káfiya</w:t>
      </w:r>
      <w:r w:rsidRPr="008F03E5">
        <w:tab/>
        <w:t>Pers. name of a celebrated grammatical work by al-Ḥájíb</w:t>
      </w:r>
    </w:p>
    <w:p w14:paraId="02674A03" w14:textId="77777777" w:rsidR="00625A5B" w:rsidRPr="008F03E5" w:rsidRDefault="00625A5B" w:rsidP="00501AFC">
      <w:pPr>
        <w:pStyle w:val="Translit"/>
      </w:pPr>
      <w:r w:rsidRPr="008F03E5">
        <w:t>Kafshgarkula, Kafshgar Kula</w:t>
      </w:r>
      <w:r w:rsidRPr="008F03E5">
        <w:tab/>
        <w:t>Kaf</w:t>
      </w:r>
      <w:r w:rsidRPr="008F03E5">
        <w:rPr>
          <w:u w:val="single"/>
        </w:rPr>
        <w:t>sh</w:t>
      </w:r>
      <w:r w:rsidRPr="008F03E5">
        <w:t>garkulá, Kaf</w:t>
      </w:r>
      <w:r w:rsidRPr="008F03E5">
        <w:rPr>
          <w:u w:val="single"/>
        </w:rPr>
        <w:t>sh</w:t>
      </w:r>
      <w:r w:rsidRPr="008F03E5">
        <w:t>gar Kulá</w:t>
      </w:r>
      <w:r w:rsidRPr="008F03E5">
        <w:tab/>
        <w:t xml:space="preserve">(“Kafshgar Kola”, “Khafagarkolah”) 1) village 12 km south of Babol, in Babol County, Mazandaran Province.  It is near and to the west of the Shrine of </w:t>
      </w:r>
      <w:r w:rsidRPr="008F03E5">
        <w:rPr>
          <w:u w:val="single"/>
        </w:rPr>
        <w:t>Sh</w:t>
      </w:r>
      <w:r w:rsidRPr="008F03E5">
        <w:t>ay</w:t>
      </w:r>
      <w:r w:rsidRPr="008F03E5">
        <w:rPr>
          <w:u w:val="single"/>
        </w:rPr>
        <w:t>kh</w:t>
      </w:r>
      <w:r w:rsidRPr="008F03E5">
        <w:t xml:space="preserve"> Ṭabarsí.  2) Kaf</w:t>
      </w:r>
      <w:r w:rsidRPr="008F03E5">
        <w:rPr>
          <w:u w:val="single"/>
        </w:rPr>
        <w:t>sh</w:t>
      </w:r>
      <w:r w:rsidRPr="008F03E5">
        <w:t>gar Kulá-i-Áraṭah (also known as Kaf</w:t>
      </w:r>
      <w:r w:rsidRPr="008F03E5">
        <w:rPr>
          <w:u w:val="single"/>
        </w:rPr>
        <w:t>sh</w:t>
      </w:r>
      <w:r w:rsidRPr="008F03E5">
        <w:t xml:space="preserve">gar Kulá) is a village 8 km </w:t>
      </w:r>
      <w:r w:rsidRPr="008F03E5">
        <w:rPr>
          <w:sz w:val="16"/>
          <w:szCs w:val="16"/>
        </w:rPr>
        <w:t>NE</w:t>
      </w:r>
      <w:r w:rsidRPr="008F03E5">
        <w:t xml:space="preserve"> of Qá’im </w:t>
      </w:r>
      <w:r w:rsidRPr="008F03E5">
        <w:rPr>
          <w:u w:val="single"/>
        </w:rPr>
        <w:t>Sh</w:t>
      </w:r>
      <w:r w:rsidRPr="008F03E5">
        <w:t>ahr.</w:t>
      </w:r>
    </w:p>
    <w:p w14:paraId="4F8F0E56" w14:textId="77777777" w:rsidR="00625A5B" w:rsidRPr="008F03E5" w:rsidRDefault="00625A5B" w:rsidP="00C12A41">
      <w:pPr>
        <w:pStyle w:val="Translit"/>
        <w:rPr>
          <w:i/>
          <w:iCs/>
        </w:rPr>
      </w:pPr>
      <w:r w:rsidRPr="008F03E5">
        <w:t>Kafur</w:t>
      </w:r>
      <w:r w:rsidRPr="008F03E5">
        <w:tab/>
        <w:t>Káfúr</w:t>
      </w:r>
      <w:r w:rsidRPr="008F03E5">
        <w:tab/>
        <w:t>(kafur) (a fountain intended to be drunk by the true and firm believers)—literally camphor, a medicine that is given as a soothing tonic in Eastern medicine.  It is cool and it may have a good odour.  Symbolically it is referred to as a spring in heaven or an added spiritual flavour etc.  Used to denote whiteness—a compound of all colours</w:t>
      </w:r>
    </w:p>
    <w:p w14:paraId="3E25CA64" w14:textId="77777777" w:rsidR="00625A5B" w:rsidRPr="008F03E5" w:rsidRDefault="00625A5B" w:rsidP="005D2DE4">
      <w:pPr>
        <w:pStyle w:val="Translit"/>
      </w:pPr>
      <w:r w:rsidRPr="008F03E5">
        <w:t>Kahf, Kuhuf</w:t>
      </w:r>
      <w:r w:rsidRPr="008F03E5">
        <w:tab/>
        <w:t>Kahf, pl. Kuhúf</w:t>
      </w:r>
      <w:r w:rsidRPr="008F03E5">
        <w:tab/>
        <w:t>cave, cavern; depression, hollow, cavity</w:t>
      </w:r>
    </w:p>
    <w:p w14:paraId="4AD2444E" w14:textId="77777777" w:rsidR="00625A5B" w:rsidRPr="001457C8" w:rsidRDefault="00625A5B" w:rsidP="00D71186">
      <w:pPr>
        <w:pStyle w:val="Translit"/>
        <w:rPr>
          <w:lang w:val="it-IT"/>
        </w:rPr>
      </w:pPr>
      <w:r w:rsidRPr="001457C8">
        <w:rPr>
          <w:lang w:val="de-DE"/>
        </w:rPr>
        <w:t>Kahin, Kuhan, Kahana</w:t>
      </w:r>
      <w:r w:rsidRPr="001457C8">
        <w:rPr>
          <w:lang w:val="de-DE"/>
        </w:rPr>
        <w:tab/>
        <w:t xml:space="preserve">Káhin, pl. </w:t>
      </w:r>
      <w:r w:rsidRPr="001457C8">
        <w:rPr>
          <w:lang w:val="it-IT"/>
        </w:rPr>
        <w:t>Kuhhán, Kahana</w:t>
      </w:r>
      <w:r w:rsidRPr="001457C8">
        <w:rPr>
          <w:lang w:val="it-IT"/>
        </w:rPr>
        <w:tab/>
        <w:t>diviner, soothsayer, prognosticator, fortuneteller; priest</w:t>
      </w:r>
    </w:p>
    <w:p w14:paraId="7F934657" w14:textId="77777777" w:rsidR="00625A5B" w:rsidRPr="008F03E5" w:rsidRDefault="00625A5B" w:rsidP="00D71186">
      <w:pPr>
        <w:pStyle w:val="Translit"/>
      </w:pPr>
      <w:r w:rsidRPr="008F03E5">
        <w:t>Kahraba</w:t>
      </w:r>
      <w:r w:rsidRPr="008F03E5">
        <w:tab/>
        <w:t>Kahrabá’ and Kahrabá</w:t>
      </w:r>
      <w:r w:rsidRPr="008F03E5">
        <w:tab/>
        <w:t>amber; electricity</w:t>
      </w:r>
    </w:p>
    <w:p w14:paraId="4FFE67EC" w14:textId="77777777" w:rsidR="00625A5B" w:rsidRPr="008F03E5" w:rsidRDefault="00625A5B" w:rsidP="00516AC4">
      <w:pPr>
        <w:pStyle w:val="Translit"/>
      </w:pPr>
      <w:r w:rsidRPr="008F03E5">
        <w:t>Kahraba’i, Kahrabi</w:t>
      </w:r>
      <w:r w:rsidRPr="008F03E5">
        <w:tab/>
        <w:t>Kahrabá’í and Kahrabí</w:t>
      </w:r>
      <w:r w:rsidRPr="008F03E5">
        <w:tab/>
        <w:t>electric(al); electrician.  Áqá Muḥammad Ḥusayn ‘Alí Akbarúf (“Akbaroff”), known as Kahrubá’í because he worked on the electrical lighting of the holy shrines in Haifa and Bahjí.</w:t>
      </w:r>
    </w:p>
    <w:p w14:paraId="6DE5AD5C" w14:textId="77777777" w:rsidR="00625A5B" w:rsidRPr="008F03E5" w:rsidRDefault="00625A5B" w:rsidP="00C642CE">
      <w:pPr>
        <w:pStyle w:val="Translit"/>
      </w:pPr>
      <w:r w:rsidRPr="008F03E5">
        <w:t>Kahrabiya, Kahrabiya</w:t>
      </w:r>
      <w:r w:rsidRPr="008F03E5">
        <w:tab/>
        <w:t>Kahrabá’íya and Kahrabíya</w:t>
      </w:r>
      <w:r w:rsidRPr="008F03E5">
        <w:tab/>
        <w:t>electricity</w:t>
      </w:r>
    </w:p>
    <w:p w14:paraId="1F38A074" w14:textId="77777777" w:rsidR="00625A5B" w:rsidRPr="008F03E5" w:rsidRDefault="00625A5B" w:rsidP="00516AC4">
      <w:pPr>
        <w:pStyle w:val="Translit"/>
      </w:pPr>
      <w:r w:rsidRPr="008F03E5">
        <w:t>Kahruba’i</w:t>
      </w:r>
      <w:r w:rsidRPr="008F03E5">
        <w:tab/>
        <w:t>Kahrubá’í</w:t>
      </w:r>
      <w:r w:rsidRPr="008F03E5">
        <w:tab/>
        <w:t>Pers. electricity</w:t>
      </w:r>
    </w:p>
    <w:p w14:paraId="5A70498C" w14:textId="77777777" w:rsidR="00625A5B" w:rsidRPr="008F03E5" w:rsidRDefault="00625A5B" w:rsidP="003E0ABE">
      <w:pPr>
        <w:pStyle w:val="Translit"/>
      </w:pPr>
      <w:r w:rsidRPr="008F03E5">
        <w:t>Kaj Kulah (Kaj-Kulah)</w:t>
      </w:r>
      <w:r w:rsidRPr="008F03E5">
        <w:tab/>
        <w:t>Kaj Kuláh (or Kaj-Kuláh)</w:t>
      </w:r>
      <w:r w:rsidRPr="008F03E5">
        <w:tab/>
        <w:t>Pers. a beau, literally “wearing the cap awry” or “skew cap”; a beloved object.  A name given to Áqá Ján, a native of Salmás.</w:t>
      </w:r>
    </w:p>
    <w:p w14:paraId="20C25DAC" w14:textId="77777777" w:rsidR="00625A5B" w:rsidRPr="008F03E5" w:rsidRDefault="00625A5B" w:rsidP="003923D2">
      <w:pPr>
        <w:pStyle w:val="Translit"/>
      </w:pPr>
      <w:r w:rsidRPr="008F03E5">
        <w:t>Kaj</w:t>
      </w:r>
      <w:r w:rsidRPr="008F03E5">
        <w:tab/>
        <w:t>Kaj</w:t>
      </w:r>
      <w:r w:rsidRPr="008F03E5">
        <w:tab/>
        <w:t>Pers. crooked, curved, wry, distorted, bent, dislocated; a hook; a grappling iron; a kind of silk of little value.  A dishonest person is described in Persian as “his hat is kaj”.</w:t>
      </w:r>
    </w:p>
    <w:p w14:paraId="5B9052D8" w14:textId="77777777" w:rsidR="00625A5B" w:rsidRPr="008F03E5" w:rsidRDefault="00625A5B" w:rsidP="004F7DED">
      <w:pPr>
        <w:pStyle w:val="Translit"/>
      </w:pPr>
      <w:r w:rsidRPr="008F03E5">
        <w:t>Kajawa (Kajawih, Kajavih, Kijawih)</w:t>
      </w:r>
      <w:r w:rsidRPr="008F03E5">
        <w:tab/>
        <w:t>Kajawa, Kajáwa, Kazáwa</w:t>
      </w:r>
      <w:r w:rsidRPr="008F03E5">
        <w:tab/>
        <w:t xml:space="preserve">Pers. a type of pannier, </w:t>
      </w:r>
      <w:r>
        <w:t xml:space="preserve">a less elegant form of a </w:t>
      </w:r>
      <w:r w:rsidRPr="008F03E5">
        <w:t xml:space="preserve">howdah or litter for women, placed on camels </w:t>
      </w:r>
      <w:r>
        <w:t>and</w:t>
      </w:r>
      <w:r w:rsidRPr="008F03E5">
        <w:t xml:space="preserve"> mules.  See </w:t>
      </w:r>
      <w:r>
        <w:t>h</w:t>
      </w:r>
      <w:r w:rsidRPr="008F03E5">
        <w:t>awdaj</w:t>
      </w:r>
      <w:r>
        <w:t>.</w:t>
      </w:r>
    </w:p>
    <w:p w14:paraId="4AC70D9F" w14:textId="77777777" w:rsidR="00625A5B" w:rsidRPr="008F03E5" w:rsidRDefault="00625A5B" w:rsidP="00BA7981">
      <w:pPr>
        <w:pStyle w:val="Translit"/>
      </w:pPr>
      <w:r w:rsidRPr="008F03E5">
        <w:t>Kala</w:t>
      </w:r>
      <w:r w:rsidRPr="008F03E5">
        <w:tab/>
        <w:t>Kalá</w:t>
      </w:r>
      <w:r w:rsidRPr="008F03E5">
        <w:tab/>
        <w:t>Pers. a frog; potash</w:t>
      </w:r>
    </w:p>
    <w:p w14:paraId="51626ED8" w14:textId="77777777" w:rsidR="00625A5B" w:rsidRPr="008F03E5" w:rsidRDefault="00625A5B" w:rsidP="00BA7981">
      <w:pPr>
        <w:pStyle w:val="Translit"/>
      </w:pPr>
      <w:r w:rsidRPr="008F03E5">
        <w:t>Kalam</w:t>
      </w:r>
      <w:r w:rsidRPr="008F03E5">
        <w:tab/>
        <w:t>Kalám</w:t>
      </w:r>
      <w:r w:rsidRPr="008F03E5">
        <w:tab/>
        <w:t xml:space="preserve">talking, speaking; speech; language, mode of expression, style; talk, conversation, discussion; debate, dispute, controversy; words, word, saying, utterance, statement, remark; aphorism, maxim, phrase, idiom, figure of speech; (grammar) sentence, clause.  Described as “speculative theology” by Momen.  In Islam “the term ‘theology’ has never been used.  Instead, the term kalám (discourse on the divine) was coined because the term ‘theology’ was identified with the doctrine of the holy trinity.”  </w:t>
      </w:r>
      <w:r w:rsidRPr="008F03E5">
        <w:rPr>
          <w:i/>
          <w:iCs/>
        </w:rPr>
        <w:t>Making the crooked straight</w:t>
      </w:r>
      <w:r w:rsidRPr="008F03E5">
        <w:t>, p. 786.</w:t>
      </w:r>
    </w:p>
    <w:p w14:paraId="48432564" w14:textId="77777777" w:rsidR="00625A5B" w:rsidRPr="008F03E5" w:rsidRDefault="00625A5B" w:rsidP="00CA2C6B">
      <w:pPr>
        <w:pStyle w:val="Translit"/>
      </w:pPr>
      <w:r w:rsidRPr="008F03E5">
        <w:t>Kalantar, Kalantar-ha</w:t>
      </w:r>
      <w:r w:rsidRPr="008F03E5">
        <w:tab/>
        <w:t>Kalántar, pl. Kalántar-há</w:t>
      </w:r>
      <w:r w:rsidRPr="008F03E5">
        <w:tab/>
        <w:t xml:space="preserve">Pers. bigger, greater, larger; the chief man (especially for life) in a town, in whose name everything is done; sherrif—kalántarí </w:t>
      </w:r>
      <w:r w:rsidRPr="008F03E5">
        <w:rPr>
          <w:u w:val="single"/>
        </w:rPr>
        <w:t>sh</w:t>
      </w:r>
      <w:r w:rsidRPr="008F03E5">
        <w:t xml:space="preserve">ahr, mayor (of town).  Ḥájí Ibráhím Kalántar </w:t>
      </w:r>
      <w:r w:rsidRPr="008F03E5">
        <w:rPr>
          <w:u w:val="single"/>
        </w:rPr>
        <w:t>Sh</w:t>
      </w:r>
      <w:r w:rsidRPr="008F03E5">
        <w:t>írází (1745–1801), also known as I‘timád ad-Dawla.  Lord mayor (</w:t>
      </w:r>
      <w:r w:rsidRPr="008F03E5">
        <w:rPr>
          <w:i/>
          <w:iCs/>
        </w:rPr>
        <w:t>kalántar</w:t>
      </w:r>
      <w:r w:rsidRPr="008F03E5">
        <w:t xml:space="preserve">) of </w:t>
      </w:r>
      <w:r w:rsidRPr="008F03E5">
        <w:rPr>
          <w:u w:val="single"/>
        </w:rPr>
        <w:t>Sh</w:t>
      </w:r>
      <w:r w:rsidRPr="008F03E5">
        <w:t>íráz during the late Zand era, the first grand vizier (Ṣadr-i-A‘ẓam), and a major political figure of the Qájár period.  See ‘umad.</w:t>
      </w:r>
    </w:p>
    <w:p w14:paraId="52FE4DC3" w14:textId="77777777" w:rsidR="00625A5B" w:rsidRPr="008F03E5" w:rsidRDefault="00625A5B" w:rsidP="00811FAF">
      <w:pPr>
        <w:pStyle w:val="Translit"/>
      </w:pPr>
      <w:r w:rsidRPr="008063A9">
        <w:rPr>
          <w:lang w:val="en-AU"/>
        </w:rPr>
        <w:t>Kalardasht (Kelardasht, Kalar-Dasht)</w:t>
      </w:r>
      <w:r w:rsidRPr="008063A9">
        <w:rPr>
          <w:lang w:val="en-AU"/>
        </w:rPr>
        <w:tab/>
        <w:t>Kalárda</w:t>
      </w:r>
      <w:r w:rsidRPr="008063A9">
        <w:rPr>
          <w:u w:val="single"/>
          <w:lang w:val="en-AU"/>
        </w:rPr>
        <w:t>sh</w:t>
      </w:r>
      <w:r w:rsidRPr="008063A9">
        <w:rPr>
          <w:lang w:val="en-AU"/>
        </w:rPr>
        <w:t>t</w:t>
      </w:r>
      <w:r w:rsidRPr="008063A9">
        <w:rPr>
          <w:lang w:val="en-AU"/>
        </w:rPr>
        <w:tab/>
        <w:t xml:space="preserve">Pers. </w:t>
      </w:r>
      <w:r w:rsidRPr="008F03E5">
        <w:t>(kalár+da</w:t>
      </w:r>
      <w:r w:rsidRPr="008F03E5">
        <w:rPr>
          <w:u w:val="single"/>
        </w:rPr>
        <w:t>sh</w:t>
      </w:r>
      <w:r w:rsidRPr="008F03E5">
        <w:t>t, frog + desert) elevated (1,270 m) city (36.498399, 51.145966) in Mazandaran that is now often used as a summer retreat</w:t>
      </w:r>
    </w:p>
    <w:p w14:paraId="00FA02EB" w14:textId="77777777" w:rsidR="00625A5B" w:rsidRPr="008F03E5" w:rsidRDefault="00625A5B" w:rsidP="002C0FF0">
      <w:pPr>
        <w:pStyle w:val="Translit"/>
      </w:pPr>
      <w:r w:rsidRPr="008F03E5">
        <w:t>Kalat-i-Nadiri</w:t>
      </w:r>
      <w:r w:rsidRPr="008F03E5">
        <w:tab/>
        <w:t>Kalát-i-Nádirí</w:t>
      </w:r>
      <w:r w:rsidRPr="008F03E5">
        <w:tab/>
        <w:t>Kalat Nader, city 80 km north of Mashhad</w:t>
      </w:r>
    </w:p>
    <w:p w14:paraId="124E9304" w14:textId="77777777" w:rsidR="00625A5B" w:rsidRPr="008F03E5" w:rsidRDefault="00625A5B" w:rsidP="005028D6">
      <w:pPr>
        <w:pStyle w:val="Translit"/>
      </w:pPr>
      <w:r w:rsidRPr="008F03E5">
        <w:t>Kalb, Kilab</w:t>
      </w:r>
      <w:r w:rsidRPr="008F03E5">
        <w:tab/>
        <w:t>Kalb, pl. Kiláb</w:t>
      </w:r>
      <w:r w:rsidRPr="008F03E5">
        <w:tab/>
        <w:t xml:space="preserve">dog.  </w:t>
      </w:r>
      <w:r w:rsidRPr="008F03E5">
        <w:rPr>
          <w:rFonts w:eastAsia="Times New Roman"/>
        </w:rPr>
        <w:t>The Ban</w:t>
      </w:r>
      <w:r w:rsidRPr="008F03E5">
        <w:t>ú</w:t>
      </w:r>
      <w:r w:rsidRPr="008F03E5">
        <w:rPr>
          <w:rFonts w:eastAsia="Times New Roman"/>
        </w:rPr>
        <w:t xml:space="preserve"> Kalb (“Kalbites”) was an Arab tribe.  Nisba Kalbí.</w:t>
      </w:r>
    </w:p>
    <w:p w14:paraId="6B6AC948" w14:textId="77777777" w:rsidR="00625A5B" w:rsidRPr="008F03E5" w:rsidRDefault="00625A5B" w:rsidP="009B66D4">
      <w:pPr>
        <w:pStyle w:val="Translit"/>
      </w:pPr>
      <w:r w:rsidRPr="008F03E5">
        <w:t>Kalbasi</w:t>
      </w:r>
      <w:r w:rsidRPr="008F03E5">
        <w:tab/>
        <w:t>Kalbásí</w:t>
      </w:r>
      <w:r w:rsidRPr="008F03E5">
        <w:tab/>
        <w:t>Ḥájí Muḥammad-Ibráhím-i-Kalbásí</w:t>
      </w:r>
    </w:p>
    <w:p w14:paraId="7AB8C9C6" w14:textId="77777777" w:rsidR="00625A5B" w:rsidRPr="008F03E5" w:rsidRDefault="00625A5B" w:rsidP="00022311">
      <w:pPr>
        <w:pStyle w:val="Translit"/>
      </w:pPr>
      <w:r w:rsidRPr="008F03E5">
        <w:t>Kaldah (Kaldih)</w:t>
      </w:r>
      <w:r w:rsidRPr="008F03E5">
        <w:tab/>
        <w:t>Kaldah</w:t>
      </w:r>
      <w:r w:rsidRPr="008F03E5">
        <w:tab/>
        <w:t>Pers. dry, barren ground; a name</w:t>
      </w:r>
    </w:p>
    <w:p w14:paraId="1E21A7B2" w14:textId="77777777" w:rsidR="00625A5B" w:rsidRPr="008F03E5" w:rsidRDefault="00625A5B" w:rsidP="00E16A83">
      <w:pPr>
        <w:pStyle w:val="Translit"/>
      </w:pPr>
      <w:r w:rsidRPr="008F03E5">
        <w:t>Kaldah, Kalda</w:t>
      </w:r>
      <w:r w:rsidRPr="008F03E5">
        <w:tab/>
        <w:t>Kaldah (Kaldih), Kalda</w:t>
      </w:r>
      <w:r w:rsidRPr="008F03E5">
        <w:tab/>
        <w:t>Pers. dry, barren ground; a name.  Mas’súd-Kaldih</w:t>
      </w:r>
    </w:p>
    <w:p w14:paraId="0C2B0766" w14:textId="77777777" w:rsidR="00625A5B" w:rsidRPr="008F03E5" w:rsidRDefault="00625A5B" w:rsidP="00D03F1B">
      <w:pPr>
        <w:pStyle w:val="Translit"/>
      </w:pPr>
      <w:r w:rsidRPr="00E26893">
        <w:t>Kalim, Kalma, Kulama</w:t>
      </w:r>
      <w:r w:rsidRPr="00E26893">
        <w:tab/>
        <w:t>Kalím</w:t>
      </w:r>
      <w:r w:rsidRPr="00E26893">
        <w:tab/>
        <w:t xml:space="preserve">two meanings:  1.  </w:t>
      </w:r>
      <w:r w:rsidRPr="008F03E5">
        <w:t>wounded, injured; sore; (pl. kalmá).  2.  person addressed; speaker, spokesman, mouthpiece (pl. kulamá’).  Hence, “The Interlocutor” (i.e. Moses)—title of Mírzá Músá, Bahá’u’lláh’s faithful brother; also Áqáy-i Kalím, Master of Discourse, his usual full title.</w:t>
      </w:r>
    </w:p>
    <w:p w14:paraId="69C77C37" w14:textId="77777777" w:rsidR="00625A5B" w:rsidRPr="008F03E5" w:rsidRDefault="00625A5B" w:rsidP="00EE6E15">
      <w:pPr>
        <w:pStyle w:val="Translit"/>
      </w:pPr>
      <w:r w:rsidRPr="001457C8">
        <w:rPr>
          <w:lang w:val="de-DE"/>
        </w:rPr>
        <w:t>Kalima, Kalimat, Kalim</w:t>
      </w:r>
      <w:r w:rsidRPr="001457C8">
        <w:rPr>
          <w:lang w:val="de-DE"/>
        </w:rPr>
        <w:tab/>
        <w:t xml:space="preserve">Kalima[h or t] fem., pl. </w:t>
      </w:r>
      <w:r w:rsidRPr="008F03E5">
        <w:t>Kalimát, Kalim</w:t>
      </w:r>
      <w:r w:rsidRPr="008F03E5">
        <w:tab/>
        <w:t>(Kalim is the collective masc. pl.) word; speech, address; utterance, remark, saying; aphorism, maxim; brief announcement, a few (introductory) words; short treatise; importance, weight, influence, authority, ascendancy, powerful position</w:t>
      </w:r>
    </w:p>
    <w:p w14:paraId="24F5319C" w14:textId="3F766556" w:rsidR="00625A5B" w:rsidRPr="008F03E5" w:rsidRDefault="00560901" w:rsidP="008F7B73">
      <w:pPr>
        <w:pStyle w:val="Translit"/>
      </w:pPr>
      <w:r w:rsidRPr="008F03E5">
        <w:t>Kalimat</w:t>
      </w:r>
      <w:r>
        <w:t xml:space="preserve"> al-</w:t>
      </w:r>
      <w:r w:rsidRPr="008F03E5">
        <w:t>Firdawsiy</w:t>
      </w:r>
      <w:r>
        <w:t>a</w:t>
      </w:r>
      <w:r w:rsidR="008F7B73">
        <w:t>h</w:t>
      </w:r>
      <w:r w:rsidR="00625A5B" w:rsidRPr="008F03E5">
        <w:tab/>
        <w:t>Kalimát</w:t>
      </w:r>
      <w:r>
        <w:t xml:space="preserve"> al-</w:t>
      </w:r>
      <w:r w:rsidR="00625A5B" w:rsidRPr="008F03E5">
        <w:t>Firdawsíy</w:t>
      </w:r>
      <w:r>
        <w:t>ah</w:t>
      </w:r>
      <w:r w:rsidR="00625A5B" w:rsidRPr="008F03E5">
        <w:tab/>
        <w:t xml:space="preserve">“The Words of Paradise” </w:t>
      </w:r>
      <w:r w:rsidR="00DF49CA">
        <w:t xml:space="preserve">in Persian </w:t>
      </w:r>
      <w:r w:rsidR="00625A5B" w:rsidRPr="008F03E5">
        <w:t>by Bahá’u’lláh</w:t>
      </w:r>
      <w:r>
        <w:t xml:space="preserve">.  Pers. </w:t>
      </w:r>
      <w:r w:rsidRPr="008F03E5">
        <w:t>Kalimát-i-Firdaws</w:t>
      </w:r>
      <w:r>
        <w:t xml:space="preserve">iyah, </w:t>
      </w:r>
      <w:r w:rsidRPr="008F03E5">
        <w:t>Kalimát-i-Firdaws</w:t>
      </w:r>
      <w:r>
        <w:t>iyyah or I</w:t>
      </w:r>
      <w:r w:rsidRPr="00560901">
        <w:t>ṣ</w:t>
      </w:r>
      <w:r>
        <w:t>fah</w:t>
      </w:r>
      <w:r w:rsidRPr="00560901">
        <w:t>á</w:t>
      </w:r>
      <w:r>
        <w:t>n</w:t>
      </w:r>
      <w:r w:rsidRPr="00560901">
        <w:t>í</w:t>
      </w:r>
      <w:r>
        <w:t xml:space="preserve"> Pers. </w:t>
      </w:r>
      <w:r w:rsidRPr="008F03E5">
        <w:t>Kalimát-i-Firdaws</w:t>
      </w:r>
      <w:r w:rsidRPr="00560901">
        <w:t>í</w:t>
      </w:r>
      <w:r w:rsidRPr="008F03E5">
        <w:t>y</w:t>
      </w:r>
      <w:r>
        <w:t>y</w:t>
      </w:r>
      <w:r w:rsidRPr="008F03E5">
        <w:t>ih</w:t>
      </w:r>
      <w:r>
        <w:t xml:space="preserve"> (</w:t>
      </w:r>
      <w:r w:rsidRPr="008F03E5">
        <w:t>Kalimat-i-Firdawsiy</w:t>
      </w:r>
      <w:r>
        <w:t>y</w:t>
      </w:r>
      <w:r w:rsidRPr="008F03E5">
        <w:t>ih</w:t>
      </w:r>
      <w:r>
        <w:t>).</w:t>
      </w:r>
    </w:p>
    <w:p w14:paraId="6D7CE92A" w14:textId="77777777" w:rsidR="00625A5B" w:rsidRPr="008F03E5" w:rsidRDefault="00625A5B" w:rsidP="00641BB4">
      <w:pPr>
        <w:pStyle w:val="Translit"/>
      </w:pPr>
      <w:r w:rsidRPr="008F03E5">
        <w:t>Kalimat-i-Maknunih</w:t>
      </w:r>
      <w:r w:rsidRPr="008F03E5">
        <w:tab/>
        <w:t>Kalimát-i-Maknúnih</w:t>
      </w:r>
      <w:r w:rsidRPr="008F03E5">
        <w:tab/>
        <w:t>“The Hidden Words” by Bahá’u’lláh.  Once (1858 to c. 1885) known as  “Hidden Book of Fatimih” (Ṣaḥífiyyih-Maknúniyh-Fáṭimíyyih).  Now also known as Ṣaḥífiy-i-Fáṭimíyyih (Book of Fatimih) and Muṣḥaf Fáṭimah (“Book of Fatimah”).</w:t>
      </w:r>
    </w:p>
    <w:p w14:paraId="6C09D2A3" w14:textId="77777777" w:rsidR="00625A5B" w:rsidRPr="008F03E5" w:rsidRDefault="00625A5B" w:rsidP="00B27E8C">
      <w:pPr>
        <w:pStyle w:val="Translit"/>
      </w:pPr>
      <w:r w:rsidRPr="008F03E5">
        <w:t>Kalimu’llah</w:t>
      </w:r>
      <w:r w:rsidRPr="008F03E5">
        <w:tab/>
        <w:t>Kalímu’lláh</w:t>
      </w:r>
      <w:r w:rsidRPr="008F03E5">
        <w:tab/>
        <w:t>“One who converses with God”.  Title given to Moses in the Islamic Dispensation.</w:t>
      </w:r>
    </w:p>
    <w:p w14:paraId="4FE2A416" w14:textId="77777777" w:rsidR="00625A5B" w:rsidRPr="008F03E5" w:rsidRDefault="00625A5B" w:rsidP="004450B5">
      <w:pPr>
        <w:pStyle w:val="Translit"/>
      </w:pPr>
      <w:r w:rsidRPr="008F03E5">
        <w:t>Kalisa</w:t>
      </w:r>
      <w:r w:rsidRPr="008F03E5">
        <w:tab/>
        <w:t>Kalísá</w:t>
      </w:r>
      <w:r w:rsidRPr="008F03E5">
        <w:tab/>
        <w:t>Pers. a church, synagogue</w:t>
      </w:r>
    </w:p>
    <w:p w14:paraId="44BDB6FC" w14:textId="77777777" w:rsidR="00625A5B" w:rsidRPr="008F03E5" w:rsidRDefault="00625A5B" w:rsidP="004450B5">
      <w:pPr>
        <w:pStyle w:val="Translit"/>
      </w:pPr>
      <w:r w:rsidRPr="008F03E5">
        <w:t>Kam</w:t>
      </w:r>
      <w:r w:rsidRPr="008F03E5">
        <w:tab/>
        <w:t>Kam</w:t>
      </w:r>
      <w:r w:rsidRPr="008F03E5">
        <w:tab/>
        <w:t>Pers. few, little; deficient, defective, mutilated, wanting, diminished, scarce, less (hence frequently imparting a negative sense); worse; poor, wretched; base; abandonment; deficiency, destitution; excellent, precious, glorious, honoured; the waist, side.  Kam-kam, little by little</w:t>
      </w:r>
    </w:p>
    <w:p w14:paraId="3D21B6F7" w14:textId="77777777" w:rsidR="00625A5B" w:rsidRPr="008F03E5" w:rsidRDefault="00625A5B" w:rsidP="004450B5">
      <w:pPr>
        <w:pStyle w:val="Translit"/>
      </w:pPr>
      <w:r w:rsidRPr="008F03E5">
        <w:t>Kam, Chand</w:t>
      </w:r>
      <w:r w:rsidRPr="008F03E5">
        <w:tab/>
        <w:t xml:space="preserve">Kam, Pers. </w:t>
      </w:r>
      <w:r w:rsidRPr="008F03E5">
        <w:rPr>
          <w:u w:val="single"/>
        </w:rPr>
        <w:t>Ch</w:t>
      </w:r>
      <w:r w:rsidRPr="008F03E5">
        <w:t>and</w:t>
      </w:r>
      <w:r w:rsidRPr="008F03E5">
        <w:tab/>
        <w:t>(interrogative and exclamatory particle with following noun in accusative) how much? how many! how much!</w:t>
      </w:r>
    </w:p>
    <w:p w14:paraId="5174FE44" w14:textId="77777777" w:rsidR="00625A5B" w:rsidRPr="008F03E5" w:rsidRDefault="00625A5B" w:rsidP="00937643">
      <w:pPr>
        <w:pStyle w:val="Translit"/>
      </w:pPr>
      <w:r w:rsidRPr="008F03E5">
        <w:t>Kamal, Kamalat</w:t>
      </w:r>
      <w:r w:rsidRPr="008F03E5">
        <w:tab/>
        <w:t>Kamál, pl. Kamalát</w:t>
      </w:r>
      <w:r w:rsidRPr="008F03E5">
        <w:tab/>
        <w:t>perfection; completeness; completion, consummation, conclusion, termination, windup; maturity, ripeness</w:t>
      </w:r>
    </w:p>
    <w:p w14:paraId="104B5D0F" w14:textId="77777777" w:rsidR="00625A5B" w:rsidRPr="008F03E5" w:rsidRDefault="00625A5B" w:rsidP="00900A82">
      <w:pPr>
        <w:pStyle w:val="Translit"/>
      </w:pPr>
      <w:r w:rsidRPr="008F03E5">
        <w:t>Kamalu’d-Din-i-Naraqi</w:t>
      </w:r>
      <w:r w:rsidRPr="008F03E5">
        <w:tab/>
        <w:t>Kamálu’d-Dín-i-Naráqí</w:t>
      </w:r>
      <w:r w:rsidRPr="008F03E5">
        <w:tab/>
      </w:r>
    </w:p>
    <w:p w14:paraId="363DC092" w14:textId="77777777" w:rsidR="00625A5B" w:rsidRPr="008F03E5" w:rsidRDefault="00625A5B" w:rsidP="00937643">
      <w:pPr>
        <w:pStyle w:val="Translit"/>
      </w:pPr>
      <w:r w:rsidRPr="008F03E5">
        <w:t>Kamana, Kamina, Kumun</w:t>
      </w:r>
      <w:r w:rsidRPr="008F03E5">
        <w:tab/>
        <w:t>Kamana and Kamina (Kumún)</w:t>
      </w:r>
      <w:r w:rsidRPr="008F03E5">
        <w:tab/>
        <w:t>to hide; to be hidden, concealed, latent; to have its secret seat (in); to ambush, waylay (someone) Form V to lie in wait (for someone), ambush, waylay (someone) Form X to hide, lie concealed</w:t>
      </w:r>
    </w:p>
    <w:p w14:paraId="7A117CC0" w14:textId="77777777" w:rsidR="00625A5B" w:rsidRPr="008F03E5" w:rsidRDefault="00625A5B" w:rsidP="00E91485">
      <w:pPr>
        <w:pStyle w:val="Translit"/>
      </w:pPr>
      <w:r w:rsidRPr="00077779">
        <w:t>Kamil, Kamila, Kamala</w:t>
      </w:r>
      <w:r w:rsidRPr="00077779">
        <w:tab/>
        <w:t xml:space="preserve">Kámil, fem. </w:t>
      </w:r>
      <w:r w:rsidRPr="008F03E5">
        <w:t>Kámila, pl. Kamala[h]</w:t>
      </w:r>
      <w:r w:rsidRPr="008F03E5">
        <w:tab/>
        <w:t>perfect, consummate; genuine, sterling; complete, full, plenary, full-strength; completed, concluded; whole, entire, total, integral.  al-Kámil, the second commonest metre (after the aṭ-ṭawíl) used in pre-Islamic and classical Arabic poetry.</w:t>
      </w:r>
    </w:p>
    <w:p w14:paraId="0BEBB82E" w14:textId="77777777" w:rsidR="00625A5B" w:rsidRPr="008F03E5" w:rsidRDefault="00625A5B" w:rsidP="00900A82">
      <w:pPr>
        <w:pStyle w:val="Translit"/>
        <w:rPr>
          <w:rFonts w:eastAsia="PMingLiU"/>
          <w:lang w:eastAsia="zh-TW"/>
        </w:rPr>
      </w:pPr>
      <w:r w:rsidRPr="008F03E5">
        <w:rPr>
          <w:rFonts w:eastAsia="PMingLiU"/>
          <w:lang w:eastAsia="zh-TW"/>
        </w:rPr>
        <w:t>Kamil-Muqaddam</w:t>
      </w:r>
      <w:r w:rsidRPr="008F03E5">
        <w:tab/>
      </w:r>
      <w:r w:rsidRPr="008F03E5">
        <w:rPr>
          <w:rFonts w:eastAsia="PMingLiU"/>
          <w:lang w:eastAsia="zh-TW"/>
        </w:rPr>
        <w:t>Kámil-Muqaddam</w:t>
      </w:r>
      <w:r w:rsidRPr="008F03E5">
        <w:tab/>
      </w:r>
    </w:p>
    <w:p w14:paraId="6D057BE0" w14:textId="77777777" w:rsidR="00625A5B" w:rsidRPr="008F03E5" w:rsidRDefault="00625A5B" w:rsidP="00937643">
      <w:pPr>
        <w:pStyle w:val="Translit"/>
      </w:pPr>
      <w:r w:rsidRPr="008F03E5">
        <w:t>Kammun (Kumun, Kamoun)</w:t>
      </w:r>
      <w:r w:rsidRPr="008F03E5">
        <w:tab/>
        <w:t>Kammún</w:t>
      </w:r>
      <w:r w:rsidRPr="008F03E5">
        <w:tab/>
        <w:t>cumin-seed</w:t>
      </w:r>
    </w:p>
    <w:p w14:paraId="066E1EF0" w14:textId="77777777" w:rsidR="00625A5B" w:rsidRPr="008F03E5" w:rsidRDefault="00625A5B" w:rsidP="00113236">
      <w:pPr>
        <w:pStyle w:val="Translit"/>
      </w:pPr>
      <w:r w:rsidRPr="008F03E5">
        <w:t>Kamran</w:t>
      </w:r>
      <w:r w:rsidRPr="008F03E5">
        <w:tab/>
        <w:t>Kámrán</w:t>
      </w:r>
      <w:r w:rsidRPr="008F03E5">
        <w:tab/>
        <w:t>Pers. successful, blessed, fortunate</w:t>
      </w:r>
    </w:p>
    <w:p w14:paraId="49A59981" w14:textId="77777777" w:rsidR="00625A5B" w:rsidRPr="008F03E5" w:rsidRDefault="00625A5B" w:rsidP="00F0491F">
      <w:pPr>
        <w:pStyle w:val="Translit"/>
      </w:pPr>
      <w:r w:rsidRPr="008F03E5">
        <w:t>Kan</w:t>
      </w:r>
      <w:r w:rsidRPr="008F03E5">
        <w:tab/>
        <w:t>Kán</w:t>
      </w:r>
      <w:r w:rsidRPr="008F03E5">
        <w:tab/>
        <w:t>Pers. a sheath; a mine or quarry; digging, excavating</w:t>
      </w:r>
    </w:p>
    <w:p w14:paraId="70FECC2B" w14:textId="77777777" w:rsidR="00625A5B" w:rsidRPr="008F03E5" w:rsidRDefault="00625A5B" w:rsidP="00905355">
      <w:pPr>
        <w:pStyle w:val="Translit"/>
        <w:tabs>
          <w:tab w:val="left" w:pos="851"/>
        </w:tabs>
      </w:pPr>
      <w:r w:rsidRPr="008F03E5">
        <w:t>Kana, Kawn (Kaun), Kiyan, Kainina</w:t>
      </w:r>
      <w:r w:rsidRPr="008F03E5">
        <w:tab/>
        <w:t>Kána (Kawn, Kiyán, Kainína)</w:t>
      </w:r>
      <w:r w:rsidRPr="008F03E5">
        <w:tab/>
        <w:t>to be (past tense); to exist; to happen, occur, take place.  Kuntu (I was)</w:t>
      </w:r>
    </w:p>
    <w:p w14:paraId="79EB7372" w14:textId="77777777" w:rsidR="00625A5B" w:rsidRPr="008F03E5" w:rsidRDefault="00625A5B" w:rsidP="0081666A">
      <w:pPr>
        <w:pStyle w:val="Translit"/>
      </w:pPr>
      <w:r w:rsidRPr="008F03E5">
        <w:t>Kanad</w:t>
      </w:r>
      <w:r w:rsidRPr="008F03E5">
        <w:tab/>
        <w:t>Kanád</w:t>
      </w:r>
      <w:r w:rsidRPr="008F03E5">
        <w:tab/>
        <w:t>Pers. a turtle-dove</w:t>
      </w:r>
    </w:p>
    <w:p w14:paraId="58B8D6EC" w14:textId="77777777" w:rsidR="00625A5B" w:rsidRPr="008F03E5" w:rsidRDefault="00625A5B" w:rsidP="00D35066">
      <w:pPr>
        <w:pStyle w:val="Translit"/>
      </w:pPr>
      <w:r w:rsidRPr="004F7D3D">
        <w:t>Kand (Kond-e-olya, Kond Sofla)</w:t>
      </w:r>
      <w:r w:rsidRPr="004F7D3D">
        <w:tab/>
        <w:t>Kand</w:t>
      </w:r>
      <w:r w:rsidRPr="004F7D3D">
        <w:tab/>
        <w:t xml:space="preserve">Ar. cutting.  </w:t>
      </w:r>
      <w:r w:rsidRPr="00AE041B">
        <w:t xml:space="preserve">Pers. </w:t>
      </w:r>
      <w:r>
        <w:t>h</w:t>
      </w:r>
      <w:r w:rsidRPr="00AF4D34">
        <w:t>emp; sugar; a wound; a pick-axe; flight</w:t>
      </w:r>
      <w:r w:rsidRPr="00AE041B">
        <w:t xml:space="preserve">.  </w:t>
      </w:r>
      <w:r w:rsidRPr="008F03E5">
        <w:t xml:space="preserve">Kand-i-‘Ulyá </w:t>
      </w:r>
      <w:r>
        <w:t xml:space="preserve">(upper; </w:t>
      </w:r>
      <w:r w:rsidRPr="00AE041B">
        <w:t>35.871498, 51.653033</w:t>
      </w:r>
      <w:r>
        <w:t xml:space="preserve">) </w:t>
      </w:r>
      <w:r w:rsidRPr="008F03E5">
        <w:t>and Kand-i-Suflá (lower</w:t>
      </w:r>
      <w:r>
        <w:t xml:space="preserve">; </w:t>
      </w:r>
      <w:r w:rsidRPr="00AE041B">
        <w:t>35.86655</w:t>
      </w:r>
      <w:r>
        <w:t>3</w:t>
      </w:r>
      <w:r w:rsidRPr="00AE041B">
        <w:t>, 51.645985</w:t>
      </w:r>
      <w:r w:rsidRPr="008F03E5">
        <w:t>) village</w:t>
      </w:r>
      <w:r>
        <w:t>s</w:t>
      </w:r>
      <w:r w:rsidRPr="008F03E5">
        <w:t xml:space="preserve"> </w:t>
      </w:r>
      <w:r>
        <w:t>32</w:t>
      </w:r>
      <w:r w:rsidRPr="008F03E5">
        <w:t>.5</w:t>
      </w:r>
      <w:r>
        <w:t xml:space="preserve"> and 33.5 </w:t>
      </w:r>
      <w:r w:rsidRPr="008F03E5">
        <w:t xml:space="preserve">km </w:t>
      </w:r>
      <w:r w:rsidRPr="00BC5FC2">
        <w:rPr>
          <w:sz w:val="16"/>
          <w:szCs w:val="16"/>
        </w:rPr>
        <w:t>E</w:t>
      </w:r>
      <w:r w:rsidRPr="008F03E5">
        <w:rPr>
          <w:sz w:val="16"/>
          <w:szCs w:val="16"/>
        </w:rPr>
        <w:t>NE</w:t>
      </w:r>
      <w:r w:rsidRPr="008F03E5">
        <w:t xml:space="preserve"> from </w:t>
      </w:r>
      <w:r>
        <w:t xml:space="preserve">the </w:t>
      </w:r>
      <w:r w:rsidRPr="008F03E5">
        <w:t>centre of Ṭihrán</w:t>
      </w:r>
      <w:r>
        <w:t>.</w:t>
      </w:r>
    </w:p>
    <w:p w14:paraId="4619F4F9" w14:textId="77777777" w:rsidR="00625A5B" w:rsidRPr="008F03E5" w:rsidRDefault="00625A5B" w:rsidP="00300F64">
      <w:pPr>
        <w:pStyle w:val="Translit"/>
      </w:pPr>
      <w:r w:rsidRPr="008F03E5">
        <w:t>Kandag</w:t>
      </w:r>
      <w:r w:rsidRPr="008F03E5">
        <w:tab/>
        <w:t>Kandag</w:t>
      </w:r>
      <w:r w:rsidRPr="008F03E5">
        <w:tab/>
        <w:t xml:space="preserve">Pers. a ditch, a moat.  Middle Persian meaning “that which has been dug”.  See </w:t>
      </w:r>
      <w:r w:rsidRPr="008F03E5">
        <w:rPr>
          <w:rFonts w:eastAsia="PMingLiU"/>
          <w:u w:val="single"/>
          <w:lang w:eastAsia="zh-TW"/>
        </w:rPr>
        <w:t>Kh</w:t>
      </w:r>
      <w:r w:rsidRPr="008F03E5">
        <w:rPr>
          <w:rFonts w:eastAsia="PMingLiU"/>
          <w:lang w:eastAsia="zh-TW"/>
        </w:rPr>
        <w:t>andaq.</w:t>
      </w:r>
    </w:p>
    <w:p w14:paraId="6CD7DB1B" w14:textId="77777777" w:rsidR="00625A5B" w:rsidRPr="008F03E5" w:rsidRDefault="00625A5B" w:rsidP="00113236">
      <w:pPr>
        <w:pStyle w:val="Translit"/>
      </w:pPr>
      <w:r w:rsidRPr="008F03E5">
        <w:t>Kangavar</w:t>
      </w:r>
      <w:r w:rsidRPr="008F03E5">
        <w:tab/>
        <w:t>Kangávar</w:t>
      </w:r>
      <w:r w:rsidRPr="008F03E5">
        <w:tab/>
        <w:t xml:space="preserve">Persian town (34.502416, 47.960880) 50 km </w:t>
      </w:r>
      <w:r w:rsidRPr="008F03E5">
        <w:rPr>
          <w:sz w:val="16"/>
          <w:szCs w:val="16"/>
        </w:rPr>
        <w:t>SW</w:t>
      </w:r>
      <w:r w:rsidRPr="008F03E5">
        <w:t xml:space="preserve"> of Mt. Alvand (Qulla Alvand, 3,580 m) and 60 km </w:t>
      </w:r>
      <w:r w:rsidRPr="008F03E5">
        <w:rPr>
          <w:sz w:val="16"/>
          <w:szCs w:val="16"/>
        </w:rPr>
        <w:t>SW</w:t>
      </w:r>
      <w:r w:rsidRPr="008F03E5">
        <w:t xml:space="preserve"> of Hamadán.</w:t>
      </w:r>
    </w:p>
    <w:p w14:paraId="2FFD952B" w14:textId="77777777" w:rsidR="00625A5B" w:rsidRPr="008F03E5" w:rsidRDefault="00625A5B" w:rsidP="00D11687">
      <w:pPr>
        <w:pStyle w:val="Translit"/>
      </w:pPr>
      <w:r w:rsidRPr="008F03E5">
        <w:t>Kani</w:t>
      </w:r>
      <w:r w:rsidRPr="008F03E5">
        <w:tab/>
        <w:t>Kání</w:t>
      </w:r>
      <w:r w:rsidRPr="008F03E5">
        <w:tab/>
        <w:t>Pers. mineral.  Ḥájí Mullá ‘Alí Kání.</w:t>
      </w:r>
    </w:p>
    <w:p w14:paraId="2E505DED" w14:textId="77777777" w:rsidR="00625A5B" w:rsidRPr="008F03E5" w:rsidRDefault="00625A5B" w:rsidP="0058301A">
      <w:pPr>
        <w:pStyle w:val="Translit"/>
      </w:pPr>
      <w:r w:rsidRPr="001457C8">
        <w:rPr>
          <w:lang w:val="de-DE"/>
        </w:rPr>
        <w:t>Kanisa, Kana’is</w:t>
      </w:r>
      <w:r w:rsidRPr="001457C8">
        <w:rPr>
          <w:lang w:val="de-DE"/>
        </w:rPr>
        <w:tab/>
        <w:t xml:space="preserve">Kanísa[h or t], pl. </w:t>
      </w:r>
      <w:r w:rsidRPr="008F03E5">
        <w:t>Kaná’is</w:t>
      </w:r>
      <w:r w:rsidRPr="008F03E5">
        <w:tab/>
        <w:t>church (Christian); synagogue, temple (Judaism)</w:t>
      </w:r>
    </w:p>
    <w:p w14:paraId="5C3015A0" w14:textId="77777777" w:rsidR="00625A5B" w:rsidRPr="008F03E5" w:rsidRDefault="00625A5B" w:rsidP="00E77538">
      <w:pPr>
        <w:pStyle w:val="Translit"/>
      </w:pPr>
      <w:r w:rsidRPr="008F03E5">
        <w:t>Kaniz</w:t>
      </w:r>
      <w:r w:rsidRPr="008F03E5">
        <w:tab/>
        <w:t>Kaníz</w:t>
      </w:r>
      <w:r w:rsidRPr="008F03E5">
        <w:tab/>
        <w:t>Pers. a female slave, maid-servant; a maid, virgin, girl</w:t>
      </w:r>
    </w:p>
    <w:p w14:paraId="3BBA94BC" w14:textId="77777777" w:rsidR="00625A5B" w:rsidRPr="008F03E5" w:rsidRDefault="00625A5B" w:rsidP="00AF4FAA">
      <w:pPr>
        <w:pStyle w:val="Translit"/>
      </w:pPr>
      <w:r w:rsidRPr="008F03E5">
        <w:t>Kanz, Kunuz</w:t>
      </w:r>
      <w:r w:rsidRPr="008F03E5">
        <w:tab/>
        <w:t>Kanz, pl. Kunúz</w:t>
      </w:r>
      <w:r w:rsidRPr="008F03E5">
        <w:tab/>
        <w:t>treasure</w:t>
      </w:r>
    </w:p>
    <w:p w14:paraId="7FE8C291" w14:textId="77777777" w:rsidR="00625A5B" w:rsidRPr="008F03E5" w:rsidRDefault="00625A5B" w:rsidP="00233F33">
      <w:pPr>
        <w:pStyle w:val="Translit"/>
      </w:pPr>
      <w:r w:rsidRPr="008F03E5">
        <w:t>Kar, Karat</w:t>
      </w:r>
      <w:r w:rsidRPr="008F03E5">
        <w:tab/>
        <w:t>Kár, pl. Karát</w:t>
      </w:r>
      <w:r w:rsidRPr="008F03E5">
        <w:tab/>
        <w:t xml:space="preserve">work, job, occupation, business; calling, vocation, profession, trade.  e.g. </w:t>
      </w:r>
      <w:r w:rsidRPr="008F03E5">
        <w:rPr>
          <w:rFonts w:eastAsia="PMingLiU"/>
          <w:lang w:eastAsia="zh-TW"/>
        </w:rPr>
        <w:t>Ustá</w:t>
      </w:r>
      <w:r w:rsidRPr="008F03E5">
        <w:rPr>
          <w:rFonts w:eastAsia="PMingLiU"/>
          <w:u w:val="single"/>
          <w:lang w:eastAsia="zh-TW"/>
        </w:rPr>
        <w:t>dh</w:t>
      </w:r>
      <w:r w:rsidRPr="008F03E5">
        <w:rPr>
          <w:rFonts w:eastAsia="PMingLiU"/>
          <w:lang w:eastAsia="zh-TW"/>
        </w:rPr>
        <w:t>kár</w:t>
      </w:r>
    </w:p>
    <w:p w14:paraId="1F7D1F73" w14:textId="77777777" w:rsidR="00625A5B" w:rsidRPr="008F03E5" w:rsidRDefault="00625A5B" w:rsidP="00366D75">
      <w:pPr>
        <w:pStyle w:val="Translit"/>
      </w:pPr>
      <w:r w:rsidRPr="008F03E5">
        <w:t>Karaj</w:t>
      </w:r>
      <w:r w:rsidRPr="008F03E5">
        <w:tab/>
        <w:t>Karaj</w:t>
      </w:r>
      <w:r w:rsidRPr="008F03E5">
        <w:tab/>
        <w:t xml:space="preserve">becoming stale and mouldy (bread).  Karaj is the capital of Alborz Province, Iran, and effectively a suburb on the </w:t>
      </w:r>
      <w:r w:rsidRPr="008F03E5">
        <w:rPr>
          <w:sz w:val="16"/>
          <w:szCs w:val="16"/>
        </w:rPr>
        <w:t>NW</w:t>
      </w:r>
      <w:r w:rsidRPr="008F03E5">
        <w:t xml:space="preserve"> side of Tehran.</w:t>
      </w:r>
    </w:p>
    <w:p w14:paraId="1E2C527A" w14:textId="77777777" w:rsidR="00625A5B" w:rsidRPr="008F03E5" w:rsidRDefault="00625A5B" w:rsidP="00D83AA1">
      <w:pPr>
        <w:pStyle w:val="Translit"/>
      </w:pPr>
      <w:r w:rsidRPr="008F03E5">
        <w:t>Karam</w:t>
      </w:r>
      <w:r w:rsidRPr="008F03E5">
        <w:tab/>
        <w:t>Karam</w:t>
      </w:r>
      <w:r w:rsidRPr="008F03E5">
        <w:tab/>
        <w:t xml:space="preserve">noble nature; high-mindedness, noble-mindedness, noble-heartedness, generosity, magnanimity; kindness, friendliness, amicability; liberality, munificence.  Muḥammad Mahdí ibn Karbalá’í </w:t>
      </w:r>
      <w:r w:rsidRPr="008F03E5">
        <w:rPr>
          <w:u w:val="single"/>
        </w:rPr>
        <w:t>Sh</w:t>
      </w:r>
      <w:r w:rsidRPr="008F03E5">
        <w:t>áh-Karam</w:t>
      </w:r>
    </w:p>
    <w:p w14:paraId="2564C1AD" w14:textId="77777777" w:rsidR="00625A5B" w:rsidRPr="008F03E5" w:rsidRDefault="00625A5B" w:rsidP="00D83AA1">
      <w:pPr>
        <w:pStyle w:val="Translit"/>
      </w:pPr>
      <w:r w:rsidRPr="008F03E5">
        <w:t>Karama (Kirama, Kiramat), Karamat</w:t>
      </w:r>
      <w:r w:rsidRPr="008F03E5">
        <w:tab/>
        <w:t>Karáma[t], Karámát</w:t>
      </w:r>
      <w:r w:rsidRPr="008F03E5">
        <w:tab/>
        <w:t>nobility; high-mindedness, noble-heartedness; generosity, magnanimity; liberality, munificence; honour, dignity; respect, esteem, standing, prestige; mark of honour, token of esteem, favour;—(pl.) miracle (worked by a saint)</w:t>
      </w:r>
    </w:p>
    <w:p w14:paraId="2566DBE5" w14:textId="77777777" w:rsidR="00625A5B" w:rsidRPr="008F03E5" w:rsidRDefault="00625A5B" w:rsidP="00073914">
      <w:pPr>
        <w:pStyle w:val="Translit"/>
      </w:pPr>
      <w:r w:rsidRPr="008F03E5">
        <w:t>Karama, Karamat</w:t>
      </w:r>
      <w:r w:rsidRPr="008F03E5">
        <w:tab/>
        <w:t>Karáma, pl. Karámát</w:t>
      </w:r>
      <w:r w:rsidRPr="008F03E5">
        <w:tab/>
        <w:t>nobility; high-mindedness, noble-heartedness; generosity, magnanimity; liberality, munificence; honor, dignity; respect, esteem, standing, prestige; mark of honor, token of esteem, favour;—pl. miracle wonders wrought by saints for the good of the people as well as in proof of their own saintship.</w:t>
      </w:r>
    </w:p>
    <w:p w14:paraId="760EB60E" w14:textId="77777777" w:rsidR="00625A5B" w:rsidRPr="008F03E5" w:rsidRDefault="00625A5B" w:rsidP="006424B8">
      <w:pPr>
        <w:pStyle w:val="Translit"/>
      </w:pPr>
      <w:r w:rsidRPr="008F03E5">
        <w:t>Karand, Kirand (Kerand)</w:t>
      </w:r>
      <w:r w:rsidRPr="008F03E5">
        <w:tab/>
        <w:t>Karand, Kirand</w:t>
      </w:r>
      <w:r w:rsidRPr="008F03E5">
        <w:tab/>
        <w:t xml:space="preserve">a village about 100 km </w:t>
      </w:r>
      <w:r w:rsidRPr="008F03E5">
        <w:rPr>
          <w:sz w:val="16"/>
          <w:szCs w:val="16"/>
        </w:rPr>
        <w:t>SE</w:t>
      </w:r>
      <w:r w:rsidRPr="008F03E5">
        <w:t xml:space="preserve"> of Ṭihrán (35.231533, 52.339868), home of the ‘Alíyu’lláhís (an Islamic sect, followers of Imám ‘Alí).</w:t>
      </w:r>
    </w:p>
    <w:p w14:paraId="2D6B3D6F" w14:textId="77777777" w:rsidR="00625A5B" w:rsidRPr="008F03E5" w:rsidRDefault="00625A5B" w:rsidP="006424B8">
      <w:pPr>
        <w:pStyle w:val="Translit"/>
      </w:pPr>
      <w:r w:rsidRPr="008F03E5">
        <w:t>Karand-i-Gharb (Kerend-e Gharb)</w:t>
      </w:r>
      <w:r w:rsidRPr="008F03E5">
        <w:tab/>
        <w:t>Karand-i-</w:t>
      </w:r>
      <w:r w:rsidRPr="008F03E5">
        <w:rPr>
          <w:u w:val="single"/>
        </w:rPr>
        <w:t>Gh</w:t>
      </w:r>
      <w:r w:rsidRPr="008F03E5">
        <w:t>arb</w:t>
      </w:r>
      <w:r w:rsidRPr="008F03E5">
        <w:tab/>
        <w:t xml:space="preserve">a city 31 km </w:t>
      </w:r>
      <w:r w:rsidRPr="008F03E5">
        <w:rPr>
          <w:sz w:val="16"/>
          <w:szCs w:val="16"/>
        </w:rPr>
        <w:t>NW</w:t>
      </w:r>
      <w:r w:rsidRPr="008F03E5">
        <w:t xml:space="preserve"> of Islám-Ábád-i-</w:t>
      </w:r>
      <w:r w:rsidRPr="008F03E5">
        <w:rPr>
          <w:u w:val="single"/>
        </w:rPr>
        <w:t>Gh</w:t>
      </w:r>
      <w:r w:rsidRPr="008F03E5">
        <w:t>arb, Kermanshah Province, Iran</w:t>
      </w:r>
    </w:p>
    <w:p w14:paraId="06209907" w14:textId="77777777" w:rsidR="00625A5B" w:rsidRPr="008F03E5" w:rsidRDefault="00625A5B" w:rsidP="00224986">
      <w:pPr>
        <w:pStyle w:val="Translit"/>
      </w:pPr>
      <w:r w:rsidRPr="008F03E5">
        <w:t>Karb</w:t>
      </w:r>
      <w:r w:rsidRPr="008F03E5">
        <w:tab/>
        <w:t>Karb</w:t>
      </w:r>
      <w:r w:rsidRPr="008F03E5">
        <w:tab/>
        <w:t>pressing heavily, weighing down the spirits (grief); drawing tight (a fetter); ploughing; twisting a rope; being near setting (the sun), almost extinguished (fire); affliction, anguish, vexation, distress</w:t>
      </w:r>
    </w:p>
    <w:p w14:paraId="2B9B62E2" w14:textId="77777777" w:rsidR="00625A5B" w:rsidRPr="008F03E5" w:rsidRDefault="00625A5B" w:rsidP="00D43ED9">
      <w:pPr>
        <w:pStyle w:val="Translit"/>
      </w:pPr>
      <w:r w:rsidRPr="001457C8">
        <w:rPr>
          <w:lang w:val="pl-PL"/>
        </w:rPr>
        <w:t>Karbala, Karbila</w:t>
      </w:r>
      <w:r w:rsidRPr="001457C8">
        <w:rPr>
          <w:lang w:val="pl-PL"/>
        </w:rPr>
        <w:tab/>
        <w:t xml:space="preserve">Karbalá’, Karbilá’, Pers. </w:t>
      </w:r>
      <w:r w:rsidRPr="008F03E5">
        <w:t>Karbalá, Karbilá</w:t>
      </w:r>
      <w:r w:rsidRPr="008F03E5">
        <w:tab/>
        <w:t>Shi’ite holy city in ‘Iráq where the Ḥusayn ibn ‘Alí was murdered (</w:t>
      </w:r>
      <w:r w:rsidRPr="008F03E5">
        <w:rPr>
          <w:sz w:val="16"/>
          <w:szCs w:val="16"/>
        </w:rPr>
        <w:t>AH</w:t>
      </w:r>
      <w:r w:rsidRPr="008F03E5">
        <w:t xml:space="preserve"> 61/</w:t>
      </w:r>
      <w:r w:rsidRPr="008F03E5">
        <w:rPr>
          <w:sz w:val="16"/>
          <w:szCs w:val="16"/>
        </w:rPr>
        <w:t>CE</w:t>
      </w:r>
      <w:r w:rsidRPr="008F03E5">
        <w:t xml:space="preserve"> 680), along with most of his family and many companions, and is buried.  Imám Ḥusayn said of the name:  “Anguish and distress” (a combination of karb, the land that will cause many agonies; and balá’, afflictions).  There are two villages of the same name in Fars and Zanjan Provinces.  See Karb and Balá’.</w:t>
      </w:r>
    </w:p>
    <w:p w14:paraId="032D3A91" w14:textId="77777777" w:rsidR="00625A5B" w:rsidRPr="008F03E5" w:rsidRDefault="00625A5B" w:rsidP="00E774D4">
      <w:pPr>
        <w:pStyle w:val="Translit"/>
      </w:pPr>
      <w:r w:rsidRPr="008F03E5">
        <w:t>Karbala’i</w:t>
      </w:r>
      <w:r>
        <w:t xml:space="preserve">, </w:t>
      </w:r>
      <w:r w:rsidRPr="008F03E5">
        <w:t>Karb</w:t>
      </w:r>
      <w:r>
        <w:t>i</w:t>
      </w:r>
      <w:r w:rsidRPr="008F03E5">
        <w:t>la’i</w:t>
      </w:r>
      <w:r w:rsidRPr="008F03E5">
        <w:tab/>
        <w:t>Karbalá’í</w:t>
      </w:r>
      <w:r>
        <w:t xml:space="preserve">, </w:t>
      </w:r>
      <w:r w:rsidRPr="008F03E5">
        <w:t>Karb</w:t>
      </w:r>
      <w:r>
        <w:t>i</w:t>
      </w:r>
      <w:r w:rsidRPr="008F03E5">
        <w:t>l</w:t>
      </w:r>
      <w:r w:rsidRPr="00E774D4">
        <w:t>á</w:t>
      </w:r>
      <w:r w:rsidRPr="008F03E5">
        <w:t>’</w:t>
      </w:r>
      <w:r w:rsidRPr="00E774D4">
        <w:t>í</w:t>
      </w:r>
      <w:r w:rsidRPr="008F03E5">
        <w:tab/>
        <w:t>prefixed title given to those performing</w:t>
      </w:r>
      <w:r>
        <w:t>/performed</w:t>
      </w:r>
      <w:r w:rsidRPr="008F03E5">
        <w:t xml:space="preserve"> the pilgrimage to Karbalá.  Karbalá’í Mihdí Mílání (Kerbelaiy Mehdi Milani)</w:t>
      </w:r>
      <w:r>
        <w:t xml:space="preserve">.  </w:t>
      </w:r>
      <w:r w:rsidRPr="000771B2">
        <w:t>Ḥájí S</w:t>
      </w:r>
      <w:r>
        <w:t>a</w:t>
      </w:r>
      <w:r w:rsidRPr="000771B2">
        <w:t>yyid Javád-i-Karb</w:t>
      </w:r>
      <w:r>
        <w:t>i</w:t>
      </w:r>
      <w:r w:rsidRPr="000771B2">
        <w:t>lá’í</w:t>
      </w:r>
      <w:r>
        <w:t xml:space="preserve"> was given the title </w:t>
      </w:r>
      <w:r w:rsidRPr="000771B2">
        <w:t>S</w:t>
      </w:r>
      <w:r>
        <w:t>a</w:t>
      </w:r>
      <w:r w:rsidRPr="000771B2">
        <w:t>yyid-i-Núr</w:t>
      </w:r>
      <w:r>
        <w:t xml:space="preserve"> (“Radiant Sayyid”) by Bahá’u’lláh.  Abbreviation “Kal”.</w:t>
      </w:r>
    </w:p>
    <w:p w14:paraId="792C8492" w14:textId="77777777" w:rsidR="00625A5B" w:rsidRPr="008F03E5" w:rsidRDefault="00625A5B" w:rsidP="002578C1">
      <w:pPr>
        <w:pStyle w:val="Translit"/>
      </w:pPr>
      <w:r w:rsidRPr="008F03E5">
        <w:t>Karij</w:t>
      </w:r>
      <w:r w:rsidRPr="008F03E5">
        <w:tab/>
      </w:r>
      <w:r w:rsidRPr="008F03E5">
        <w:rPr>
          <w:u w:val="single"/>
        </w:rPr>
        <w:t>Kh</w:t>
      </w:r>
      <w:r w:rsidRPr="008F03E5">
        <w:t>árij</w:t>
      </w:r>
      <w:r w:rsidRPr="008F03E5">
        <w:tab/>
        <w:t>outer, outside, outward, exterior; external, foreign; outside, exterior (noun); foreign country or countries; quotient (arithmetic)</w:t>
      </w:r>
    </w:p>
    <w:p w14:paraId="3BE6C236" w14:textId="77777777" w:rsidR="00625A5B" w:rsidRPr="008F03E5" w:rsidRDefault="00625A5B" w:rsidP="00D24359">
      <w:pPr>
        <w:pStyle w:val="Translit"/>
      </w:pPr>
      <w:r w:rsidRPr="008F03E5">
        <w:t>Karim Khan</w:t>
      </w:r>
      <w:r w:rsidRPr="008F03E5">
        <w:tab/>
        <w:t xml:space="preserve">Karím </w:t>
      </w:r>
      <w:r w:rsidRPr="008F03E5">
        <w:rPr>
          <w:u w:val="single"/>
        </w:rPr>
        <w:t>Kh</w:t>
      </w:r>
      <w:r w:rsidRPr="008F03E5">
        <w:t>án</w:t>
      </w:r>
      <w:r w:rsidRPr="008F03E5">
        <w:tab/>
        <w:t xml:space="preserve">Ḥájí Mírzá Muḥammad Karím </w:t>
      </w:r>
      <w:r w:rsidRPr="008F03E5">
        <w:rPr>
          <w:u w:val="single"/>
        </w:rPr>
        <w:t>Kh</w:t>
      </w:r>
      <w:r w:rsidRPr="008F03E5">
        <w:t xml:space="preserve">án Kirmání (1810–1873), a </w:t>
      </w:r>
      <w:r w:rsidRPr="008F03E5">
        <w:rPr>
          <w:u w:val="single"/>
        </w:rPr>
        <w:t>Sh</w:t>
      </w:r>
      <w:r w:rsidRPr="008F03E5">
        <w:t xml:space="preserve">í‘a scholar, a self-appointed leader of the </w:t>
      </w:r>
      <w:r w:rsidRPr="008F03E5">
        <w:rPr>
          <w:u w:val="single"/>
        </w:rPr>
        <w:t>Sh</w:t>
      </w:r>
      <w:r w:rsidRPr="008F03E5">
        <w:t>ay</w:t>
      </w:r>
      <w:r w:rsidRPr="008F03E5">
        <w:rPr>
          <w:u w:val="single"/>
        </w:rPr>
        <w:t>kh</w:t>
      </w:r>
      <w:r w:rsidRPr="008F03E5">
        <w:t>í community after the death of his mentor, Sayyid Kaẓím Ra</w:t>
      </w:r>
      <w:r w:rsidRPr="008F03E5">
        <w:rPr>
          <w:u w:val="single"/>
        </w:rPr>
        <w:t>sh</w:t>
      </w:r>
      <w:r w:rsidRPr="008F03E5">
        <w:t>tí, a writer described as “ambitious and hypocritical” (</w:t>
      </w:r>
      <w:r w:rsidRPr="008F03E5">
        <w:rPr>
          <w:sz w:val="16"/>
          <w:szCs w:val="16"/>
        </w:rPr>
        <w:t>GPB</w:t>
      </w:r>
      <w:r w:rsidRPr="008F03E5">
        <w:t xml:space="preserve"> 91), and condemned by Bahá’u’lláh for advocating the study of the science of metaphysical abstractions, of alchemy and natural magic, which Bahá’u’lláh described as “vain and discarded learnings”.  He wrote a vicious attack on the Bábí Faith at the request of the </w:t>
      </w:r>
      <w:r w:rsidRPr="008F03E5">
        <w:rPr>
          <w:u w:val="single"/>
        </w:rPr>
        <w:t>Sh</w:t>
      </w:r>
      <w:r w:rsidRPr="008F03E5">
        <w:t>áh. (</w:t>
      </w:r>
      <w:r w:rsidRPr="008F03E5">
        <w:rPr>
          <w:sz w:val="16"/>
          <w:szCs w:val="16"/>
        </w:rPr>
        <w:t>GPB</w:t>
      </w:r>
      <w:r w:rsidRPr="008F03E5">
        <w:t xml:space="preserve"> 91)  He developed the doctrine of (and the claim to be) the Rukn ar-Rábi‘ (“the fourth pillar”) of Islam.</w:t>
      </w:r>
    </w:p>
    <w:p w14:paraId="1EB5750D" w14:textId="77777777" w:rsidR="00625A5B" w:rsidRPr="008F03E5" w:rsidRDefault="00625A5B" w:rsidP="00BC39A2">
      <w:pPr>
        <w:pStyle w:val="Translit"/>
      </w:pPr>
      <w:r w:rsidRPr="001457C8">
        <w:rPr>
          <w:lang w:val="pl-PL"/>
        </w:rPr>
        <w:t>Karim, Kurama’, Kiram</w:t>
      </w:r>
      <w:r w:rsidRPr="001457C8">
        <w:rPr>
          <w:lang w:val="pl-PL"/>
        </w:rPr>
        <w:tab/>
        <w:t xml:space="preserve">Karím, pl. </w:t>
      </w:r>
      <w:r w:rsidRPr="008F03E5">
        <w:t>Kuramá’, Kirám</w:t>
      </w:r>
      <w:r w:rsidRPr="008F03E5">
        <w:tab/>
        <w:t>noble; distinguished, high-ranking, eminent; high-minded, noble-minded, noble-hearted; generous, liberal, munificent, hospitable, beneficent; benefactor; kind, kindly, friendly, amicable, obliging, gracious; respectable, honourable, decent; precious, valuable, costly; thoroughbred; “All-Bountiful”</w:t>
      </w:r>
    </w:p>
    <w:p w14:paraId="325828A0" w14:textId="77777777" w:rsidR="00625A5B" w:rsidRPr="008F03E5" w:rsidRDefault="00625A5B" w:rsidP="001B1D67">
      <w:pPr>
        <w:pStyle w:val="Translit"/>
      </w:pPr>
      <w:r w:rsidRPr="008F03E5">
        <w:t>Karima, Kara’im</w:t>
      </w:r>
      <w:r w:rsidRPr="008F03E5">
        <w:tab/>
        <w:t>Karíma[h] (fem. of Karím), pl. Kará’im</w:t>
      </w:r>
      <w:r w:rsidRPr="008F03E5">
        <w:tab/>
        <w:t>noble, precious thing, object of value, valuable; vital part (of the body; especially the eye); the hand; generous; a princess, lady</w:t>
      </w:r>
    </w:p>
    <w:p w14:paraId="7B1B3EBD" w14:textId="77777777" w:rsidR="00625A5B" w:rsidRPr="008F03E5" w:rsidRDefault="00625A5B" w:rsidP="00B617B7">
      <w:pPr>
        <w:pStyle w:val="Translit"/>
      </w:pPr>
      <w:r w:rsidRPr="008F03E5">
        <w:t>Karkh</w:t>
      </w:r>
      <w:r w:rsidRPr="008F03E5">
        <w:tab/>
        <w:t>Kar</w:t>
      </w:r>
      <w:r w:rsidRPr="008F03E5">
        <w:rPr>
          <w:u w:val="single"/>
        </w:rPr>
        <w:t>kh</w:t>
      </w:r>
      <w:r w:rsidRPr="008F03E5">
        <w:tab/>
        <w:t>Pers. mansion, habitation, turreted building; al-Kar</w:t>
      </w:r>
      <w:r w:rsidRPr="008F03E5">
        <w:rPr>
          <w:u w:val="single"/>
        </w:rPr>
        <w:t>kh</w:t>
      </w:r>
      <w:r w:rsidRPr="008F03E5">
        <w:t xml:space="preserve"> is a quarter in Baghdad bounded by the west bank of the Tigris River.  Bahá’u’lláh’s family moved to al-Kar</w:t>
      </w:r>
      <w:r w:rsidRPr="008F03E5">
        <w:rPr>
          <w:u w:val="single"/>
        </w:rPr>
        <w:t>kh</w:t>
      </w:r>
      <w:r w:rsidRPr="008F03E5">
        <w:t xml:space="preserve"> prior to His return from Kurdistan</w:t>
      </w:r>
    </w:p>
    <w:p w14:paraId="5F42D6D6" w14:textId="77777777" w:rsidR="00625A5B" w:rsidRPr="008F03E5" w:rsidRDefault="00625A5B" w:rsidP="00B60569">
      <w:pPr>
        <w:pStyle w:val="Translit"/>
      </w:pPr>
      <w:r w:rsidRPr="008F03E5">
        <w:t>Karkuk (Kirkuk)</w:t>
      </w:r>
      <w:r w:rsidRPr="008F03E5">
        <w:tab/>
        <w:t>Karkúk</w:t>
      </w:r>
      <w:r w:rsidRPr="008F03E5">
        <w:tab/>
        <w:t>city (35.466009, 44.380987) in northern ‘Iráq between Mosul and Baghdad</w:t>
      </w:r>
    </w:p>
    <w:p w14:paraId="2238CB73" w14:textId="77777777" w:rsidR="00625A5B" w:rsidRPr="008F03E5" w:rsidRDefault="00625A5B" w:rsidP="008977A5">
      <w:pPr>
        <w:pStyle w:val="Translit"/>
      </w:pPr>
      <w:r w:rsidRPr="008F03E5">
        <w:t>Karm, Kurum</w:t>
      </w:r>
      <w:r w:rsidRPr="008F03E5">
        <w:tab/>
        <w:t>Karm, pl. Kurúm</w:t>
      </w:r>
      <w:r w:rsidRPr="008F03E5">
        <w:tab/>
        <w:t xml:space="preserve">(collective) (Hebrew </w:t>
      </w:r>
      <w:r w:rsidRPr="008F03E5">
        <w:rPr>
          <w:rtl/>
          <w:lang w:bidi="he-IL"/>
        </w:rPr>
        <w:t>כֶּרֶם</w:t>
      </w:r>
      <w:r w:rsidRPr="008F03E5">
        <w:t xml:space="preserve"> (k-r-m), plantation, etc.) vine, grapes, grapevines; vineyard; garden, orchard</w:t>
      </w:r>
    </w:p>
    <w:p w14:paraId="77E1D058" w14:textId="77777777" w:rsidR="00625A5B" w:rsidRPr="008F03E5" w:rsidRDefault="00625A5B" w:rsidP="006F5121">
      <w:pPr>
        <w:pStyle w:val="Translit"/>
        <w:rPr>
          <w:lang w:eastAsia="en-US"/>
        </w:rPr>
      </w:pPr>
      <w:r w:rsidRPr="008F03E5">
        <w:t>Karmal, Karmil, Karmel (Carmel)</w:t>
      </w:r>
      <w:r w:rsidRPr="008F03E5">
        <w:tab/>
        <w:t>Karmal, Karmil</w:t>
      </w:r>
      <w:r w:rsidRPr="008F03E5">
        <w:tab/>
        <w:t xml:space="preserve">Hebrew karm+el “fresh (planted)” or “vineyard (planted)” of God (assumed).  Karm+ suffix l may be used as the name for the scrubby woodland typical of the area.  Mount Carmel </w:t>
      </w:r>
      <w:bookmarkStart w:id="90" w:name="_Hlk60334147"/>
      <w:r w:rsidRPr="008F03E5">
        <w:t xml:space="preserve">(Har HaKarmel, Jabal al-Karmil) </w:t>
      </w:r>
      <w:bookmarkEnd w:id="90"/>
      <w:r w:rsidRPr="008F03E5">
        <w:t xml:space="preserve">is defined as:  1.  the 39 km long mountain range; 2.  North-western 19 km of the mountain range; and 3.  the headland at the north-western end of the range (Shoghi Effendi said the temple site (elev. 192 m) is the “Head” of Mt. Carmel and the Shrine of the Báb (elev. 134 m) is the “Heart” of Mt. Carmel).  The highest point (32.741851, 35.048391) is 545.9 m.  The Bahá’í terraces rise from 47 to 258 m over a length of 730 m, but the ridge above rises to 273 m.  The description Jabal al-Quds (the Holy Mountain) in </w:t>
      </w:r>
      <w:r w:rsidRPr="008F03E5">
        <w:rPr>
          <w:i/>
          <w:iCs/>
        </w:rPr>
        <w:t>Miracles &amp; Metaphors</w:t>
      </w:r>
      <w:r w:rsidRPr="008F03E5">
        <w:t>, p. 45, may refer to Mt. Carmel.  See Jabal Már Ilyás and Muḥraqa.</w:t>
      </w:r>
    </w:p>
    <w:p w14:paraId="2D02AA71" w14:textId="77777777" w:rsidR="00625A5B" w:rsidRPr="008F03E5" w:rsidRDefault="00625A5B" w:rsidP="0082124A">
      <w:pPr>
        <w:pStyle w:val="Translit"/>
      </w:pPr>
      <w:r w:rsidRPr="008F03E5">
        <w:t>Karmali</w:t>
      </w:r>
      <w:r w:rsidRPr="008F03E5">
        <w:tab/>
        <w:t>Karmalí</w:t>
      </w:r>
      <w:r w:rsidRPr="008F03E5">
        <w:tab/>
        <w:t>Carmelite.  Carmelite Monastery (Kamalí Dayr)</w:t>
      </w:r>
    </w:p>
    <w:p w14:paraId="5A518F3C" w14:textId="77777777" w:rsidR="00625A5B" w:rsidRPr="008F03E5" w:rsidRDefault="00625A5B" w:rsidP="007177D3">
      <w:pPr>
        <w:pStyle w:val="Translit"/>
        <w:rPr>
          <w:lang w:eastAsia="en-US"/>
        </w:rPr>
      </w:pPr>
      <w:r w:rsidRPr="008F03E5">
        <w:t>Karwan (Karvan)</w:t>
      </w:r>
      <w:r w:rsidRPr="008F03E5">
        <w:tab/>
        <w:t>Kárwán</w:t>
      </w:r>
      <w:r w:rsidRPr="008F03E5">
        <w:tab/>
        <w:t>Pers. a caravan</w:t>
      </w:r>
      <w:r>
        <w:t xml:space="preserve"> (derived from the Persian, as is “van”)</w:t>
      </w:r>
      <w:r w:rsidRPr="008F03E5">
        <w:t>, a large company of travellers or merchants</w:t>
      </w:r>
    </w:p>
    <w:p w14:paraId="05F0D701" w14:textId="77777777" w:rsidR="00625A5B" w:rsidRPr="008F03E5" w:rsidRDefault="00625A5B" w:rsidP="00A34ADC">
      <w:pPr>
        <w:pStyle w:val="Translit"/>
      </w:pPr>
      <w:r w:rsidRPr="008F03E5">
        <w:rPr>
          <w:lang w:eastAsia="en-US"/>
        </w:rPr>
        <w:t>Karwan-saray (Karvan-saray)</w:t>
      </w:r>
      <w:r w:rsidRPr="008F03E5">
        <w:rPr>
          <w:lang w:eastAsia="en-US"/>
        </w:rPr>
        <w:tab/>
        <w:t>Kárwán-saráy</w:t>
      </w:r>
      <w:r>
        <w:rPr>
          <w:lang w:eastAsia="en-US"/>
        </w:rPr>
        <w:t xml:space="preserve"> (</w:t>
      </w:r>
      <w:r w:rsidRPr="008F03E5">
        <w:rPr>
          <w:lang w:eastAsia="en-US"/>
        </w:rPr>
        <w:t>Kárwánsaráy</w:t>
      </w:r>
      <w:r>
        <w:rPr>
          <w:lang w:eastAsia="en-US"/>
        </w:rPr>
        <w:t>)</w:t>
      </w:r>
      <w:r w:rsidRPr="008F03E5">
        <w:rPr>
          <w:lang w:eastAsia="en-US"/>
        </w:rPr>
        <w:tab/>
        <w:t xml:space="preserve">Pers. </w:t>
      </w:r>
      <w:r>
        <w:t>“</w:t>
      </w:r>
      <w:r w:rsidRPr="00055CB2">
        <w:t>caravan</w:t>
      </w:r>
      <w:r>
        <w:t>”</w:t>
      </w:r>
      <w:r w:rsidRPr="00055CB2">
        <w:t xml:space="preserve"> </w:t>
      </w:r>
      <w:r>
        <w:t>+ “</w:t>
      </w:r>
      <w:r w:rsidRPr="00055CB2">
        <w:t>palace</w:t>
      </w:r>
      <w:r>
        <w:t>” or</w:t>
      </w:r>
      <w:r w:rsidRPr="00055CB2">
        <w:t xml:space="preserve"> </w:t>
      </w:r>
      <w:r>
        <w:t>“</w:t>
      </w:r>
      <w:r w:rsidRPr="00055CB2">
        <w:t>building with enclosed court</w:t>
      </w:r>
      <w:r>
        <w:t xml:space="preserve">yard”, a “caravan house”. </w:t>
      </w:r>
      <w:r w:rsidRPr="00055CB2">
        <w:t xml:space="preserve"> </w:t>
      </w:r>
      <w:r>
        <w:t xml:space="preserve">Derivation of the English a </w:t>
      </w:r>
      <w:r w:rsidRPr="008F03E5">
        <w:rPr>
          <w:lang w:eastAsia="en-US"/>
        </w:rPr>
        <w:t>caravanserai</w:t>
      </w:r>
      <w:r>
        <w:rPr>
          <w:lang w:eastAsia="en-US"/>
        </w:rPr>
        <w:t xml:space="preserve"> </w:t>
      </w:r>
      <w:r w:rsidRPr="00055CB2">
        <w:t>or caravansary (</w:t>
      </w:r>
      <w:r>
        <w:t xml:space="preserve">a </w:t>
      </w:r>
      <w:r w:rsidRPr="00055CB2">
        <w:t>r</w:t>
      </w:r>
      <w:r w:rsidRPr="008F03E5">
        <w:rPr>
          <w:lang w:eastAsia="en-US"/>
        </w:rPr>
        <w:t>oadside inn for travellers</w:t>
      </w:r>
      <w:r>
        <w:rPr>
          <w:lang w:eastAsia="en-US"/>
        </w:rPr>
        <w:t>, often travelling together as a caravan for safety</w:t>
      </w:r>
      <w:r w:rsidRPr="008F03E5">
        <w:rPr>
          <w:lang w:eastAsia="en-US"/>
        </w:rPr>
        <w:t>)</w:t>
      </w:r>
    </w:p>
    <w:p w14:paraId="0374EB8D" w14:textId="77777777" w:rsidR="00625A5B" w:rsidRPr="008F03E5" w:rsidRDefault="00625A5B" w:rsidP="00E830FD">
      <w:pPr>
        <w:pStyle w:val="Translit"/>
      </w:pPr>
      <w:r w:rsidRPr="008F03E5">
        <w:t>Kas</w:t>
      </w:r>
      <w:r w:rsidRPr="008F03E5">
        <w:tab/>
        <w:t>Kas</w:t>
      </w:r>
      <w:r w:rsidRPr="008F03E5">
        <w:tab/>
        <w:t>Pers. a man, person; one, anyone</w:t>
      </w:r>
    </w:p>
    <w:p w14:paraId="377D3DD1" w14:textId="77777777" w:rsidR="00625A5B" w:rsidRPr="008F03E5" w:rsidRDefault="00625A5B" w:rsidP="00CD7919">
      <w:pPr>
        <w:pStyle w:val="Translit"/>
      </w:pPr>
      <w:r w:rsidRPr="008F03E5">
        <w:t>Kasa (Kasih, Kase, Kasse)</w:t>
      </w:r>
      <w:r w:rsidRPr="008F03E5">
        <w:tab/>
        <w:t>Kása</w:t>
      </w:r>
      <w:r w:rsidRPr="008F03E5">
        <w:tab/>
        <w:t>Ar. to be smart, clever, intelligent; to be nice, fine, pretty, comely, handsome, attractive, chic.  Pers. a cup, goblet; a plate, saucer, large or small, of brass, wood, or clay; porcelain; the body of a violin or guitar; a large drum; the firmament; the sun; the earth, world.</w:t>
      </w:r>
    </w:p>
    <w:p w14:paraId="5AB93A3D" w14:textId="77777777" w:rsidR="00625A5B" w:rsidRPr="008F03E5" w:rsidRDefault="00625A5B" w:rsidP="00511BF4">
      <w:pPr>
        <w:pStyle w:val="Translit"/>
      </w:pPr>
      <w:r w:rsidRPr="008F03E5">
        <w:t>Kasagiran (Kasihgaran, Kasagaran)</w:t>
      </w:r>
      <w:r w:rsidRPr="008F03E5">
        <w:tab/>
        <w:t>Kásagirán (Kása+girán)</w:t>
      </w:r>
      <w:r w:rsidRPr="008F03E5">
        <w:tab/>
        <w:t>Pers. Madrasa Kásagirán is a school (built 1694) in the Grand Bazaar of Isfahan, Iran.  Also “Kasegaran” and “Kassegaran”.</w:t>
      </w:r>
    </w:p>
    <w:p w14:paraId="0EFC22A9" w14:textId="77777777" w:rsidR="00625A5B" w:rsidRPr="008F03E5" w:rsidRDefault="00625A5B" w:rsidP="00C1665F">
      <w:pPr>
        <w:pStyle w:val="Translit"/>
      </w:pPr>
      <w:r w:rsidRPr="008F03E5">
        <w:t>Kashan</w:t>
      </w:r>
      <w:r w:rsidRPr="008F03E5">
        <w:tab/>
        <w:t>Ká</w:t>
      </w:r>
      <w:r w:rsidRPr="008F03E5">
        <w:rPr>
          <w:u w:val="single"/>
        </w:rPr>
        <w:t>sh</w:t>
      </w:r>
      <w:r w:rsidRPr="008F03E5">
        <w:t>án</w:t>
      </w:r>
      <w:r w:rsidRPr="008F03E5">
        <w:tab/>
        <w:t>one of the oldest cities of Írán, located in north central Persia.</w:t>
      </w:r>
    </w:p>
    <w:p w14:paraId="79CA6177" w14:textId="77777777" w:rsidR="00625A5B" w:rsidRPr="008F03E5" w:rsidRDefault="00625A5B" w:rsidP="0094665F">
      <w:pPr>
        <w:pStyle w:val="Translit"/>
      </w:pPr>
      <w:r w:rsidRPr="008F03E5">
        <w:t>Kashani</w:t>
      </w:r>
      <w:r w:rsidRPr="008F03E5">
        <w:tab/>
        <w:t>Ká</w:t>
      </w:r>
      <w:r w:rsidRPr="008F03E5">
        <w:rPr>
          <w:u w:val="single"/>
        </w:rPr>
        <w:t>sh</w:t>
      </w:r>
      <w:r w:rsidRPr="008F03E5">
        <w:t>ání</w:t>
      </w:r>
      <w:r w:rsidRPr="008F03E5">
        <w:tab/>
        <w:t>from Ká</w:t>
      </w:r>
      <w:r w:rsidRPr="008F03E5">
        <w:rPr>
          <w:u w:val="single"/>
        </w:rPr>
        <w:t>sh</w:t>
      </w:r>
      <w:r w:rsidRPr="008F03E5">
        <w:t>án.  Mullá Muḥsin Fayḍ Ká</w:t>
      </w:r>
      <w:r w:rsidRPr="008F03E5">
        <w:rPr>
          <w:u w:val="single"/>
        </w:rPr>
        <w:t>sh</w:t>
      </w:r>
      <w:r w:rsidRPr="008F03E5">
        <w:t xml:space="preserve">ání, </w:t>
      </w:r>
      <w:r w:rsidRPr="008F03E5">
        <w:rPr>
          <w:i/>
          <w:iCs/>
        </w:rPr>
        <w:t>Kalimát al-Maknúnah</w:t>
      </w:r>
      <w:r w:rsidRPr="008F03E5">
        <w:t xml:space="preserve"> (Hidden Words)</w:t>
      </w:r>
    </w:p>
    <w:p w14:paraId="640A1BA6" w14:textId="77777777" w:rsidR="00625A5B" w:rsidRPr="008F03E5" w:rsidRDefault="00625A5B" w:rsidP="007921EE">
      <w:pPr>
        <w:pStyle w:val="Translit"/>
      </w:pPr>
      <w:r w:rsidRPr="008F03E5">
        <w:t>Kashanih</w:t>
      </w:r>
      <w:r w:rsidRPr="008F03E5">
        <w:tab/>
        <w:t>Ká</w:t>
      </w:r>
      <w:r w:rsidRPr="008F03E5">
        <w:rPr>
          <w:u w:val="single"/>
        </w:rPr>
        <w:t>sh</w:t>
      </w:r>
      <w:r w:rsidRPr="008F03E5">
        <w:t>ánih</w:t>
      </w:r>
      <w:r w:rsidRPr="008F03E5">
        <w:tab/>
        <w:t>town (Keşan, Türkiye) that Bahá’u’lláh passed through on His way to Gallipoli (100 km south of Edirne)</w:t>
      </w:r>
    </w:p>
    <w:p w14:paraId="72D38E16" w14:textId="77777777" w:rsidR="00625A5B" w:rsidRPr="008F03E5" w:rsidRDefault="00625A5B" w:rsidP="00C172F7">
      <w:pPr>
        <w:pStyle w:val="Translit"/>
      </w:pPr>
      <w:r w:rsidRPr="008F03E5">
        <w:t>Kashf al-Ghita’</w:t>
      </w:r>
      <w:r w:rsidRPr="008F03E5">
        <w:tab/>
        <w:t>Ka</w:t>
      </w:r>
      <w:r w:rsidRPr="008F03E5">
        <w:rPr>
          <w:u w:val="single"/>
        </w:rPr>
        <w:t>sh</w:t>
      </w:r>
      <w:r w:rsidRPr="008F03E5">
        <w:t>f al-</w:t>
      </w:r>
      <w:r w:rsidRPr="008F03E5">
        <w:rPr>
          <w:u w:val="single"/>
        </w:rPr>
        <w:t>Gh</w:t>
      </w:r>
      <w:r w:rsidRPr="008F03E5">
        <w:t>iṭá’ ‘an Ḥiyal al-A‘dá’</w:t>
      </w:r>
      <w:r w:rsidRPr="008F03E5">
        <w:tab/>
        <w:t xml:space="preserve">“Removal of the veil from the schemes of the enemies”, refutation of </w:t>
      </w:r>
      <w:r w:rsidRPr="008F03E5">
        <w:rPr>
          <w:i/>
          <w:iCs/>
        </w:rPr>
        <w:t>Nuqṭatu’l-Káf</w:t>
      </w:r>
      <w:r w:rsidRPr="008F03E5">
        <w:t xml:space="preserve"> started by Mírzá Abu’l-Faḍl-i-Gulpáygání and his notes used by nephew, Áqá Sayyid Mahdí Gulpáyigání, to complete it.</w:t>
      </w:r>
    </w:p>
    <w:p w14:paraId="38FED994" w14:textId="77777777" w:rsidR="00625A5B" w:rsidRPr="008F03E5" w:rsidRDefault="00625A5B" w:rsidP="00692375">
      <w:pPr>
        <w:pStyle w:val="Translit"/>
      </w:pPr>
      <w:r w:rsidRPr="008F03E5">
        <w:t>Kashf al-Hiyal’</w:t>
      </w:r>
      <w:r w:rsidRPr="008F03E5">
        <w:tab/>
        <w:t>Ka</w:t>
      </w:r>
      <w:r w:rsidRPr="008F03E5">
        <w:rPr>
          <w:u w:val="single"/>
        </w:rPr>
        <w:t>sh</w:t>
      </w:r>
      <w:r w:rsidRPr="008F03E5">
        <w:t>f al-Ḥiyal</w:t>
      </w:r>
      <w:r w:rsidRPr="008F03E5">
        <w:tab/>
        <w:t>“Uncovering the Deceptions” by ‘Abdu’l-Ḥusayn-i-Áyatí (Ávárih)</w:t>
      </w:r>
    </w:p>
    <w:p w14:paraId="23EDD8B6" w14:textId="77777777" w:rsidR="00625A5B" w:rsidRPr="008F03E5" w:rsidRDefault="00625A5B" w:rsidP="00B621CC">
      <w:pPr>
        <w:pStyle w:val="Translit"/>
      </w:pPr>
      <w:r w:rsidRPr="001457C8">
        <w:rPr>
          <w:lang w:val="de-DE"/>
        </w:rPr>
        <w:t>Kashf, Kushuf, Kushufat</w:t>
      </w:r>
      <w:r w:rsidRPr="001457C8">
        <w:rPr>
          <w:lang w:val="de-DE"/>
        </w:rPr>
        <w:tab/>
        <w:t>Ka</w:t>
      </w:r>
      <w:r w:rsidRPr="001457C8">
        <w:rPr>
          <w:u w:val="single"/>
          <w:lang w:val="de-DE"/>
        </w:rPr>
        <w:t>sh</w:t>
      </w:r>
      <w:r w:rsidRPr="001457C8">
        <w:rPr>
          <w:lang w:val="de-DE"/>
        </w:rPr>
        <w:t xml:space="preserve">f, pl. </w:t>
      </w:r>
      <w:r w:rsidRPr="008F03E5">
        <w:t>Ku</w:t>
      </w:r>
      <w:r w:rsidRPr="008F03E5">
        <w:rPr>
          <w:u w:val="single"/>
        </w:rPr>
        <w:t>sh</w:t>
      </w:r>
      <w:r w:rsidRPr="008F03E5">
        <w:t>úf, Ku</w:t>
      </w:r>
      <w:r w:rsidRPr="008F03E5">
        <w:rPr>
          <w:u w:val="single"/>
        </w:rPr>
        <w:t>sh</w:t>
      </w:r>
      <w:r w:rsidRPr="008F03E5">
        <w:t>úfát</w:t>
      </w:r>
      <w:r w:rsidRPr="008F03E5">
        <w:tab/>
        <w:t>uncovering, disclosure; baring, exposure, unveiling; revelation, illumination (mysticism); investigation, inquiry, search, quest, study; examination, scrutiny; inspection; boy scout movement;—pl. report, account; statement, specification, enumeration; table, schedule, chart; list, roster, index, register, inventory;—(pl. ku</w:t>
      </w:r>
      <w:r w:rsidRPr="008F03E5">
        <w:rPr>
          <w:u w:val="single"/>
        </w:rPr>
        <w:t>sh</w:t>
      </w:r>
      <w:r w:rsidRPr="008F03E5">
        <w:t>úfát) discoveries</w:t>
      </w:r>
    </w:p>
    <w:p w14:paraId="769F7EB4" w14:textId="77777777" w:rsidR="00625A5B" w:rsidRPr="008F03E5" w:rsidRDefault="00625A5B" w:rsidP="00506395">
      <w:pPr>
        <w:pStyle w:val="Translit"/>
      </w:pPr>
      <w:r w:rsidRPr="008F03E5">
        <w:t>Kashfi</w:t>
      </w:r>
      <w:r w:rsidRPr="008F03E5">
        <w:tab/>
        <w:t>Ka</w:t>
      </w:r>
      <w:r w:rsidRPr="008F03E5">
        <w:rPr>
          <w:u w:val="single"/>
        </w:rPr>
        <w:t>sh</w:t>
      </w:r>
      <w:r w:rsidRPr="008F03E5">
        <w:t>fí</w:t>
      </w:r>
      <w:r w:rsidRPr="008F03E5">
        <w:tab/>
        <w:t xml:space="preserve">of or pertaining to boy scouts.  </w:t>
      </w:r>
      <w:r>
        <w:t>T</w:t>
      </w:r>
      <w:r w:rsidRPr="008F03E5">
        <w:t xml:space="preserve">he </w:t>
      </w:r>
      <w:r>
        <w:t>“</w:t>
      </w:r>
      <w:r w:rsidRPr="008F03E5">
        <w:t>Discloser” or “one who discovers and explains the divine secrets”.</w:t>
      </w:r>
    </w:p>
    <w:p w14:paraId="5FCCAF42" w14:textId="77777777" w:rsidR="00625A5B" w:rsidRPr="008F03E5" w:rsidRDefault="00625A5B" w:rsidP="00A319C4">
      <w:pPr>
        <w:pStyle w:val="Translit"/>
      </w:pPr>
      <w:r w:rsidRPr="008F03E5">
        <w:rPr>
          <w:lang w:eastAsia="en-US"/>
        </w:rPr>
        <w:t>Kashfiya</w:t>
      </w:r>
      <w:r w:rsidRPr="008F03E5">
        <w:rPr>
          <w:lang w:eastAsia="en-US"/>
        </w:rPr>
        <w:tab/>
        <w:t>Ka</w:t>
      </w:r>
      <w:r w:rsidRPr="008F03E5">
        <w:rPr>
          <w:u w:val="single"/>
          <w:lang w:eastAsia="en-US"/>
        </w:rPr>
        <w:t>sh</w:t>
      </w:r>
      <w:r w:rsidRPr="008F03E5">
        <w:rPr>
          <w:lang w:eastAsia="en-US"/>
        </w:rPr>
        <w:t>fíya</w:t>
      </w:r>
      <w:r w:rsidRPr="008F03E5">
        <w:rPr>
          <w:lang w:eastAsia="en-US"/>
        </w:rPr>
        <w:tab/>
        <w:t>alternative name for the Shaykhis because God lifted (</w:t>
      </w:r>
      <w:r w:rsidRPr="008F03E5">
        <w:rPr>
          <w:i/>
          <w:iCs/>
          <w:lang w:eastAsia="en-US"/>
        </w:rPr>
        <w:t>ka</w:t>
      </w:r>
      <w:r w:rsidRPr="008F03E5">
        <w:rPr>
          <w:i/>
          <w:iCs/>
          <w:u w:val="single"/>
          <w:lang w:eastAsia="en-US"/>
        </w:rPr>
        <w:t>sh</w:t>
      </w:r>
      <w:r w:rsidRPr="008F03E5">
        <w:rPr>
          <w:i/>
          <w:iCs/>
          <w:lang w:eastAsia="en-US"/>
        </w:rPr>
        <w:t>f</w:t>
      </w:r>
      <w:r w:rsidRPr="008F03E5">
        <w:rPr>
          <w:lang w:eastAsia="en-US"/>
        </w:rPr>
        <w:t>) from their intellect and from their vision the veil of ignorance and lack of insight into the Religion, and removed the darkness of doubt and uncertainty from their minds and their hearts.  They are the ones whose hearts God illumined with the light of guidance.</w:t>
      </w:r>
      <w:r w:rsidRPr="008F03E5">
        <w:t xml:space="preserve">  </w:t>
      </w:r>
      <w:r w:rsidRPr="008F03E5">
        <w:rPr>
          <w:i/>
          <w:iCs/>
        </w:rPr>
        <w:t xml:space="preserve">The development of </w:t>
      </w:r>
      <w:r w:rsidRPr="008F03E5">
        <w:rPr>
          <w:i/>
          <w:iCs/>
          <w:u w:val="single"/>
        </w:rPr>
        <w:t>Sh</w:t>
      </w:r>
      <w:r w:rsidRPr="008F03E5">
        <w:rPr>
          <w:i/>
          <w:iCs/>
        </w:rPr>
        <w:t>ay</w:t>
      </w:r>
      <w:r w:rsidRPr="008F03E5">
        <w:rPr>
          <w:i/>
          <w:iCs/>
          <w:u w:val="single"/>
        </w:rPr>
        <w:t>kh</w:t>
      </w:r>
      <w:r w:rsidRPr="008F03E5">
        <w:rPr>
          <w:i/>
          <w:iCs/>
        </w:rPr>
        <w:t xml:space="preserve">í thought in </w:t>
      </w:r>
      <w:r w:rsidRPr="008F03E5">
        <w:rPr>
          <w:i/>
          <w:iCs/>
          <w:u w:val="single"/>
        </w:rPr>
        <w:t>Sh</w:t>
      </w:r>
      <w:r w:rsidRPr="008F03E5">
        <w:rPr>
          <w:i/>
          <w:iCs/>
        </w:rPr>
        <w:t>í‘í Islam</w:t>
      </w:r>
      <w:r w:rsidRPr="008F03E5">
        <w:t>, p. 48.</w:t>
      </w:r>
    </w:p>
    <w:p w14:paraId="4A6C5829" w14:textId="77777777" w:rsidR="00625A5B" w:rsidRPr="008F03E5" w:rsidRDefault="00625A5B" w:rsidP="00900A82">
      <w:pPr>
        <w:pStyle w:val="Translit"/>
      </w:pPr>
      <w:r w:rsidRPr="008F03E5">
        <w:t>Kashghar</w:t>
      </w:r>
      <w:r w:rsidRPr="008F03E5">
        <w:tab/>
        <w:t>Ká</w:t>
      </w:r>
      <w:r w:rsidRPr="008F03E5">
        <w:rPr>
          <w:u w:val="single"/>
        </w:rPr>
        <w:t>shgh</w:t>
      </w:r>
      <w:r w:rsidRPr="008F03E5">
        <w:t>ar</w:t>
      </w:r>
      <w:r w:rsidRPr="008F03E5">
        <w:tab/>
        <w:t>(Kashgar) part of Sinkiang, China</w:t>
      </w:r>
    </w:p>
    <w:p w14:paraId="397EE6ED" w14:textId="77777777" w:rsidR="00625A5B" w:rsidRPr="008F03E5" w:rsidRDefault="00625A5B" w:rsidP="00E5032F">
      <w:pPr>
        <w:pStyle w:val="Translit"/>
      </w:pPr>
      <w:r w:rsidRPr="008F03E5">
        <w:rPr>
          <w:rFonts w:eastAsia="PMingLiU"/>
          <w:lang w:eastAsia="zh-TW"/>
        </w:rPr>
        <w:t>Kashi</w:t>
      </w:r>
      <w:r w:rsidRPr="008F03E5">
        <w:tab/>
      </w:r>
      <w:r w:rsidRPr="008F03E5">
        <w:rPr>
          <w:rFonts w:eastAsia="PMingLiU"/>
          <w:lang w:eastAsia="zh-TW"/>
        </w:rPr>
        <w:t>Ká</w:t>
      </w:r>
      <w:r w:rsidRPr="008F03E5">
        <w:rPr>
          <w:u w:val="single"/>
        </w:rPr>
        <w:t>sh</w:t>
      </w:r>
      <w:r w:rsidRPr="008F03E5">
        <w:rPr>
          <w:rFonts w:eastAsia="PMingLiU"/>
          <w:lang w:eastAsia="zh-TW"/>
        </w:rPr>
        <w:t>í</w:t>
      </w:r>
      <w:r w:rsidRPr="008F03E5">
        <w:tab/>
        <w:t>Pers. short form of Ká</w:t>
      </w:r>
      <w:r w:rsidRPr="008F03E5">
        <w:rPr>
          <w:u w:val="single"/>
        </w:rPr>
        <w:t>sh</w:t>
      </w:r>
      <w:r w:rsidRPr="008F03E5">
        <w:t>ání</w:t>
      </w:r>
    </w:p>
    <w:p w14:paraId="546DD741" w14:textId="77777777" w:rsidR="00625A5B" w:rsidRPr="008F03E5" w:rsidRDefault="00625A5B" w:rsidP="00896278">
      <w:pPr>
        <w:pStyle w:val="Translit"/>
        <w:rPr>
          <w:rFonts w:eastAsia="PMingLiU"/>
          <w:lang w:eastAsia="zh-TW"/>
        </w:rPr>
      </w:pPr>
      <w:r w:rsidRPr="008F03E5">
        <w:rPr>
          <w:rFonts w:eastAsia="PMingLiU"/>
          <w:lang w:eastAsia="zh-TW"/>
        </w:rPr>
        <w:t>Kashif, Kashafa</w:t>
      </w:r>
      <w:r w:rsidRPr="008F03E5">
        <w:rPr>
          <w:rFonts w:eastAsia="PMingLiU"/>
          <w:lang w:eastAsia="zh-TW"/>
        </w:rPr>
        <w:tab/>
        <w:t>K</w:t>
      </w:r>
      <w:r w:rsidRPr="008F03E5">
        <w:t>á</w:t>
      </w:r>
      <w:r w:rsidRPr="008F03E5">
        <w:rPr>
          <w:rFonts w:eastAsia="PMingLiU"/>
          <w:u w:val="single"/>
          <w:lang w:eastAsia="zh-TW"/>
        </w:rPr>
        <w:t>sh</w:t>
      </w:r>
      <w:r w:rsidRPr="008F03E5">
        <w:rPr>
          <w:rFonts w:eastAsia="PMingLiU"/>
          <w:lang w:eastAsia="zh-TW"/>
        </w:rPr>
        <w:t>if, pl. Ka</w:t>
      </w:r>
      <w:r w:rsidRPr="008F03E5">
        <w:rPr>
          <w:rFonts w:eastAsia="PMingLiU"/>
          <w:u w:val="single"/>
          <w:lang w:eastAsia="zh-TW"/>
        </w:rPr>
        <w:t>sh</w:t>
      </w:r>
      <w:r w:rsidRPr="008F03E5">
        <w:rPr>
          <w:rFonts w:eastAsia="PMingLiU"/>
          <w:lang w:eastAsia="zh-TW"/>
        </w:rPr>
        <w:t>afa</w:t>
      </w:r>
      <w:r w:rsidRPr="008F03E5">
        <w:rPr>
          <w:rFonts w:eastAsia="PMingLiU"/>
          <w:lang w:eastAsia="zh-TW"/>
        </w:rPr>
        <w:tab/>
        <w:t>uncovering, revealing, etc.; serving exploratory purposes, instrumental in reconnaissance,</w:t>
      </w:r>
      <w:r w:rsidRPr="008F03E5">
        <w:t xml:space="preserve"> </w:t>
      </w:r>
      <w:r w:rsidRPr="008F03E5">
        <w:rPr>
          <w:rFonts w:eastAsia="PMingLiU"/>
          <w:lang w:eastAsia="zh-TW"/>
        </w:rPr>
        <w:t>conducive to discovery, detection or disclosure; examiner, investigator, discoverer; supervisor, inspector</w:t>
      </w:r>
    </w:p>
    <w:p w14:paraId="14E7CB8E" w14:textId="77777777" w:rsidR="00625A5B" w:rsidRPr="008F03E5" w:rsidRDefault="00625A5B" w:rsidP="0055122C">
      <w:pPr>
        <w:pStyle w:val="Translit"/>
        <w:rPr>
          <w:rFonts w:eastAsia="PMingLiU"/>
          <w:lang w:eastAsia="zh-TW"/>
        </w:rPr>
      </w:pPr>
      <w:r w:rsidRPr="008F03E5">
        <w:t>Kashifi (Kashefi)</w:t>
      </w:r>
      <w:r w:rsidRPr="008F03E5">
        <w:tab/>
        <w:t>Ká</w:t>
      </w:r>
      <w:r w:rsidRPr="008F03E5">
        <w:rPr>
          <w:u w:val="single"/>
        </w:rPr>
        <w:t>sh</w:t>
      </w:r>
      <w:r w:rsidRPr="008F03E5">
        <w:t>ifí</w:t>
      </w:r>
      <w:r w:rsidRPr="008F03E5">
        <w:tab/>
        <w:t>(Pers. with Ar influence) revelation, manifestation</w:t>
      </w:r>
    </w:p>
    <w:p w14:paraId="1B78D27E" w14:textId="77777777" w:rsidR="00625A5B" w:rsidRPr="008F03E5" w:rsidRDefault="00625A5B" w:rsidP="008656A3">
      <w:pPr>
        <w:pStyle w:val="Translit"/>
      </w:pPr>
      <w:r w:rsidRPr="008F03E5">
        <w:rPr>
          <w:rFonts w:eastAsia="PMingLiU"/>
          <w:lang w:eastAsia="zh-TW"/>
        </w:rPr>
        <w:t>Kashifu’l-Ghita</w:t>
      </w:r>
      <w:r w:rsidRPr="008F03E5">
        <w:tab/>
      </w:r>
      <w:r w:rsidRPr="008F03E5">
        <w:rPr>
          <w:rFonts w:eastAsia="PMingLiU"/>
          <w:lang w:eastAsia="zh-TW"/>
        </w:rPr>
        <w:t>K</w:t>
      </w:r>
      <w:r w:rsidRPr="008F03E5">
        <w:t>á</w:t>
      </w:r>
      <w:r w:rsidRPr="008F03E5">
        <w:rPr>
          <w:u w:val="single"/>
        </w:rPr>
        <w:t>sh</w:t>
      </w:r>
      <w:r w:rsidRPr="008F03E5">
        <w:rPr>
          <w:rFonts w:eastAsia="PMingLiU"/>
          <w:lang w:eastAsia="zh-TW"/>
        </w:rPr>
        <w:t>ifu’l-</w:t>
      </w:r>
      <w:r w:rsidRPr="008F03E5">
        <w:rPr>
          <w:u w:val="single"/>
        </w:rPr>
        <w:t>Gh</w:t>
      </w:r>
      <w:r w:rsidRPr="008F03E5">
        <w:rPr>
          <w:rFonts w:eastAsia="PMingLiU"/>
          <w:lang w:eastAsia="zh-TW"/>
        </w:rPr>
        <w:t>i</w:t>
      </w:r>
      <w:r w:rsidRPr="008F03E5">
        <w:t>ṭ</w:t>
      </w:r>
      <w:r w:rsidRPr="008F03E5">
        <w:rPr>
          <w:rFonts w:eastAsia="PMingLiU"/>
          <w:lang w:eastAsia="zh-TW"/>
        </w:rPr>
        <w:t>á’</w:t>
      </w:r>
      <w:r w:rsidRPr="008F03E5">
        <w:tab/>
        <w:t>Muḥammad Ḥusayn Ká</w:t>
      </w:r>
      <w:r w:rsidRPr="008F03E5">
        <w:rPr>
          <w:u w:val="single"/>
        </w:rPr>
        <w:t>sh</w:t>
      </w:r>
      <w:r w:rsidRPr="008F03E5">
        <w:t>if al-</w:t>
      </w:r>
      <w:r w:rsidRPr="008F03E5">
        <w:rPr>
          <w:u w:val="single"/>
        </w:rPr>
        <w:t>Gh</w:t>
      </w:r>
      <w:r w:rsidRPr="008F03E5">
        <w:t xml:space="preserve">iṭá’ (b. 1294/1877–d. 1373/1953), a </w:t>
      </w:r>
      <w:r w:rsidRPr="008F03E5">
        <w:rPr>
          <w:u w:val="single"/>
        </w:rPr>
        <w:t>Sh</w:t>
      </w:r>
      <w:r w:rsidRPr="008F03E5">
        <w:t>í‘a intellectual and marja‘ of Najaf.</w:t>
      </w:r>
    </w:p>
    <w:p w14:paraId="052FDF54" w14:textId="77777777" w:rsidR="00625A5B" w:rsidRPr="008F03E5" w:rsidRDefault="00625A5B" w:rsidP="00F75749">
      <w:pPr>
        <w:pStyle w:val="Translit"/>
      </w:pPr>
      <w:r w:rsidRPr="008F03E5">
        <w:t>Kashkul</w:t>
      </w:r>
      <w:r w:rsidRPr="008F03E5">
        <w:tab/>
        <w:t>Ka</w:t>
      </w:r>
      <w:r w:rsidRPr="008F03E5">
        <w:rPr>
          <w:u w:val="single"/>
        </w:rPr>
        <w:t>sh</w:t>
      </w:r>
      <w:r w:rsidRPr="008F03E5">
        <w:t>kúl</w:t>
      </w:r>
      <w:r w:rsidRPr="008F03E5">
        <w:tab/>
        <w:t>beggar’s bag; scrapbook; album.  Described as a globe-shaped alms-basket (originally made from a sea-coconut) carried by dervishes.</w:t>
      </w:r>
    </w:p>
    <w:p w14:paraId="18974BCC" w14:textId="77777777" w:rsidR="00625A5B" w:rsidRPr="008F03E5" w:rsidRDefault="00625A5B" w:rsidP="00903DDA">
      <w:pPr>
        <w:pStyle w:val="Translit"/>
      </w:pPr>
      <w:r w:rsidRPr="008F03E5">
        <w:t>Kashmar (Keshmar), Turshiz</w:t>
      </w:r>
      <w:r w:rsidRPr="008F03E5">
        <w:tab/>
        <w:t>Ká</w:t>
      </w:r>
      <w:r w:rsidRPr="008F03E5">
        <w:rPr>
          <w:u w:val="single"/>
        </w:rPr>
        <w:t>sh</w:t>
      </w:r>
      <w:r w:rsidRPr="008F03E5">
        <w:t>mar</w:t>
      </w:r>
      <w:r w:rsidRPr="008F03E5">
        <w:tab/>
        <w:t>formerly Tur</w:t>
      </w:r>
      <w:r w:rsidRPr="008F03E5">
        <w:rPr>
          <w:u w:val="single"/>
        </w:rPr>
        <w:t>sh</w:t>
      </w:r>
      <w:r w:rsidRPr="008F03E5">
        <w:t>íz (Torshiz), Ṭuray</w:t>
      </w:r>
      <w:r w:rsidRPr="008F03E5">
        <w:rPr>
          <w:u w:val="single"/>
        </w:rPr>
        <w:t>th</w:t>
      </w:r>
      <w:r w:rsidRPr="008F03E5">
        <w:t>í</w:t>
      </w:r>
      <w:r w:rsidRPr="008F03E5">
        <w:rPr>
          <w:u w:val="single"/>
        </w:rPr>
        <w:t>th</w:t>
      </w:r>
      <w:r w:rsidRPr="008F03E5">
        <w:t xml:space="preserve"> (Turaythith) or Sulṭánabád (Soltanabad); is a city (35.243022, 58.468591; 155 km </w:t>
      </w:r>
      <w:r w:rsidRPr="008F03E5">
        <w:rPr>
          <w:sz w:val="16"/>
          <w:szCs w:val="16"/>
        </w:rPr>
        <w:t>SW</w:t>
      </w:r>
      <w:r w:rsidRPr="008F03E5">
        <w:t xml:space="preserve"> Ma</w:t>
      </w:r>
      <w:r w:rsidRPr="008F03E5">
        <w:rPr>
          <w:u w:val="single"/>
        </w:rPr>
        <w:t>sh</w:t>
      </w:r>
      <w:r w:rsidRPr="008F03E5">
        <w:t>had) and the capital of Kashmar County, in Razavi (Raḍawí) Khorasan Province, Iran.</w:t>
      </w:r>
    </w:p>
    <w:p w14:paraId="7F438003" w14:textId="77777777" w:rsidR="00625A5B" w:rsidRPr="008F03E5" w:rsidRDefault="00625A5B" w:rsidP="00834332">
      <w:pPr>
        <w:pStyle w:val="Translit"/>
      </w:pPr>
      <w:r w:rsidRPr="008F03E5">
        <w:t>Kashmir</w:t>
      </w:r>
      <w:r w:rsidRPr="008F03E5">
        <w:tab/>
        <w:t>Ka</w:t>
      </w:r>
      <w:r w:rsidRPr="008F03E5">
        <w:rPr>
          <w:u w:val="single"/>
        </w:rPr>
        <w:t>sh</w:t>
      </w:r>
      <w:r w:rsidRPr="008F03E5">
        <w:t>mír</w:t>
      </w:r>
      <w:r w:rsidRPr="008F03E5">
        <w:tab/>
        <w:t>cashmir—a soft, twilled woolen fabric.  Jammu and Kashmir is a state in northern India.</w:t>
      </w:r>
    </w:p>
    <w:p w14:paraId="5B92E80D" w14:textId="77777777" w:rsidR="00625A5B" w:rsidRPr="008F03E5" w:rsidRDefault="00625A5B" w:rsidP="00834332">
      <w:pPr>
        <w:pStyle w:val="Translit"/>
      </w:pPr>
      <w:r w:rsidRPr="008F03E5">
        <w:t>Kashmiri</w:t>
      </w:r>
      <w:r w:rsidRPr="008F03E5">
        <w:tab/>
        <w:t>Ka</w:t>
      </w:r>
      <w:r w:rsidRPr="008F03E5">
        <w:rPr>
          <w:u w:val="single"/>
        </w:rPr>
        <w:t>sh</w:t>
      </w:r>
      <w:r w:rsidRPr="008F03E5">
        <w:t>mírí</w:t>
      </w:r>
      <w:r w:rsidRPr="008F03E5">
        <w:tab/>
        <w:t>a native of Ka</w:t>
      </w:r>
      <w:r w:rsidRPr="008F03E5">
        <w:rPr>
          <w:u w:val="single"/>
        </w:rPr>
        <w:t>sh</w:t>
      </w:r>
      <w:r w:rsidRPr="008F03E5">
        <w:t>mír</w:t>
      </w:r>
    </w:p>
    <w:p w14:paraId="2DDD2965" w14:textId="77777777" w:rsidR="00625A5B" w:rsidRPr="008F03E5" w:rsidRDefault="00625A5B" w:rsidP="00E4323A">
      <w:pPr>
        <w:pStyle w:val="Translit"/>
      </w:pPr>
      <w:r w:rsidRPr="008F03E5">
        <w:t>Kasr, Kusur</w:t>
      </w:r>
      <w:r w:rsidRPr="008F03E5">
        <w:tab/>
        <w:t>Kasr, pl. Kusúr</w:t>
      </w:r>
      <w:r w:rsidRPr="008F03E5">
        <w:tab/>
        <w:t>breaking, fracturing; shattering, fragmentation; (pl.) break, breach, fracture; crack, rupture; fracture of a bone</w:t>
      </w:r>
    </w:p>
    <w:p w14:paraId="1889C609" w14:textId="77777777" w:rsidR="00625A5B" w:rsidRPr="008F03E5" w:rsidRDefault="00625A5B" w:rsidP="005205B8">
      <w:pPr>
        <w:pStyle w:val="Translit"/>
      </w:pPr>
      <w:r w:rsidRPr="008F03E5">
        <w:t>Kasra</w:t>
      </w:r>
      <w:r w:rsidRPr="008F03E5">
        <w:tab/>
        <w:t>Kasra</w:t>
      </w:r>
      <w:r w:rsidRPr="008F03E5">
        <w:tab/>
        <w:t>defeat, breakdown, collapse; the vowel point for the short vowel i (grammar); nook of the house.  See ḍamma and fatḥa</w:t>
      </w:r>
    </w:p>
    <w:p w14:paraId="787EFF8A" w14:textId="77777777" w:rsidR="00625A5B" w:rsidRPr="008F03E5" w:rsidRDefault="00625A5B" w:rsidP="00D41B21">
      <w:pPr>
        <w:pStyle w:val="Translit"/>
      </w:pPr>
      <w:r w:rsidRPr="008F03E5">
        <w:t>Kasr-i-Hudud</w:t>
      </w:r>
      <w:r w:rsidRPr="008F03E5">
        <w:tab/>
        <w:t>Kasr-i-Ḥudúd</w:t>
      </w:r>
      <w:r w:rsidRPr="008F03E5">
        <w:tab/>
        <w:t>lift or break bounds imposed by God</w:t>
      </w:r>
    </w:p>
    <w:p w14:paraId="3B1E3AC8" w14:textId="77777777" w:rsidR="00625A5B" w:rsidRPr="008F03E5" w:rsidRDefault="00625A5B" w:rsidP="007334C4">
      <w:pPr>
        <w:pStyle w:val="Translit"/>
        <w:rPr>
          <w:rFonts w:eastAsia="PMingLiU"/>
        </w:rPr>
      </w:pPr>
      <w:r w:rsidRPr="008F03E5">
        <w:rPr>
          <w:rFonts w:eastAsia="PMingLiU"/>
        </w:rPr>
        <w:t>Katama, Katm, kitman</w:t>
      </w:r>
      <w:r w:rsidRPr="008F03E5">
        <w:rPr>
          <w:rFonts w:eastAsia="PMingLiU"/>
        </w:rPr>
        <w:tab/>
        <w:t>Katama (Katm, Kitmán)</w:t>
      </w:r>
      <w:r w:rsidRPr="008F03E5">
        <w:rPr>
          <w:rFonts w:eastAsia="PMingLiU"/>
        </w:rPr>
        <w:tab/>
        <w:t>to hide (something, from someone); to conceal, secrete, keep secret (something, from someone); to suppress, repress, restrain, check, curb, subdue (anger, passion); to hold (one’s breath); to lower, muffle (the voice); to stifle, smother, quench (fire)</w:t>
      </w:r>
    </w:p>
    <w:p w14:paraId="11C1E8D8" w14:textId="77777777" w:rsidR="00625A5B" w:rsidRPr="008F03E5" w:rsidRDefault="00625A5B" w:rsidP="0016632E">
      <w:pPr>
        <w:pStyle w:val="Translit"/>
        <w:rPr>
          <w:rFonts w:eastAsia="PMingLiU"/>
        </w:rPr>
      </w:pPr>
      <w:r w:rsidRPr="008F03E5">
        <w:rPr>
          <w:rFonts w:eastAsia="PMingLiU"/>
        </w:rPr>
        <w:t>Kathir, Kithar</w:t>
      </w:r>
      <w:r w:rsidRPr="008F03E5">
        <w:rPr>
          <w:rFonts w:eastAsia="PMingLiU"/>
        </w:rPr>
        <w:tab/>
        <w:t>Ka</w:t>
      </w:r>
      <w:r w:rsidRPr="008F03E5">
        <w:rPr>
          <w:rFonts w:eastAsia="PMingLiU"/>
          <w:u w:val="single"/>
        </w:rPr>
        <w:t>th</w:t>
      </w:r>
      <w:r w:rsidRPr="008F03E5">
        <w:rPr>
          <w:rFonts w:eastAsia="PMingLiU"/>
        </w:rPr>
        <w:t>ír, pl. Ki</w:t>
      </w:r>
      <w:r w:rsidRPr="008F03E5">
        <w:rPr>
          <w:rFonts w:eastAsia="PMingLiU"/>
          <w:u w:val="single"/>
        </w:rPr>
        <w:t>th</w:t>
      </w:r>
      <w:r w:rsidRPr="008F03E5">
        <w:rPr>
          <w:rFonts w:eastAsia="PMingLiU"/>
        </w:rPr>
        <w:t>ár</w:t>
      </w:r>
      <w:r w:rsidRPr="008F03E5">
        <w:rPr>
          <w:rFonts w:eastAsia="PMingLiU"/>
        </w:rPr>
        <w:tab/>
        <w:t>much, many, numerous, abundant, plentiful, copious; frequent; a large portion, a great deal, a great many, a lot</w:t>
      </w:r>
    </w:p>
    <w:p w14:paraId="570E664E" w14:textId="77777777" w:rsidR="00625A5B" w:rsidRPr="008F03E5" w:rsidRDefault="00625A5B" w:rsidP="00D77A45">
      <w:pPr>
        <w:pStyle w:val="Translit"/>
        <w:rPr>
          <w:rFonts w:eastAsia="PMingLiU"/>
        </w:rPr>
      </w:pPr>
      <w:r w:rsidRPr="008F03E5">
        <w:rPr>
          <w:rFonts w:eastAsia="PMingLiU"/>
        </w:rPr>
        <w:t>Kathiran</w:t>
      </w:r>
      <w:r w:rsidRPr="008F03E5">
        <w:rPr>
          <w:rFonts w:eastAsia="PMingLiU"/>
        </w:rPr>
        <w:tab/>
        <w:t>Ka</w:t>
      </w:r>
      <w:r w:rsidRPr="008F03E5">
        <w:rPr>
          <w:rFonts w:eastAsia="PMingLiU"/>
          <w:u w:val="single"/>
        </w:rPr>
        <w:t>th</w:t>
      </w:r>
      <w:r w:rsidRPr="008F03E5">
        <w:rPr>
          <w:rFonts w:eastAsia="PMingLiU"/>
        </w:rPr>
        <w:t>íran</w:t>
      </w:r>
      <w:r w:rsidRPr="008F03E5">
        <w:rPr>
          <w:rFonts w:eastAsia="PMingLiU"/>
        </w:rPr>
        <w:tab/>
        <w:t>very, much, to a large extent; often, frequently</w:t>
      </w:r>
    </w:p>
    <w:p w14:paraId="5E77B53F" w14:textId="77777777" w:rsidR="00625A5B" w:rsidRPr="008F03E5" w:rsidRDefault="00625A5B" w:rsidP="005F0512">
      <w:pPr>
        <w:pStyle w:val="Translit"/>
        <w:rPr>
          <w:rFonts w:eastAsia="PMingLiU"/>
          <w:lang w:eastAsia="zh-TW"/>
        </w:rPr>
      </w:pPr>
      <w:r w:rsidRPr="008F03E5">
        <w:rPr>
          <w:rFonts w:eastAsia="PMingLiU"/>
          <w:lang w:eastAsia="zh-TW"/>
        </w:rPr>
        <w:t>Kathiri</w:t>
      </w:r>
      <w:r w:rsidRPr="008F03E5">
        <w:tab/>
      </w:r>
      <w:r w:rsidRPr="008F03E5">
        <w:rPr>
          <w:rFonts w:eastAsia="PMingLiU"/>
          <w:lang w:eastAsia="zh-TW"/>
        </w:rPr>
        <w:t>Ka</w:t>
      </w:r>
      <w:r w:rsidRPr="008F03E5">
        <w:rPr>
          <w:u w:val="single"/>
        </w:rPr>
        <w:t>th</w:t>
      </w:r>
      <w:r w:rsidRPr="008F03E5">
        <w:rPr>
          <w:rFonts w:eastAsia="PMingLiU"/>
          <w:lang w:eastAsia="zh-TW"/>
        </w:rPr>
        <w:t>írí</w:t>
      </w:r>
      <w:r w:rsidRPr="008F03E5">
        <w:tab/>
        <w:t>al-Ka</w:t>
      </w:r>
      <w:r w:rsidRPr="00C04BB5">
        <w:rPr>
          <w:u w:val="single"/>
        </w:rPr>
        <w:t>th</w:t>
      </w:r>
      <w:r w:rsidRPr="008F03E5">
        <w:t>írí, officially the Kathiri State of Seiyun in Hadhramaut (Arabic:  a</w:t>
      </w:r>
      <w:r>
        <w:t>s</w:t>
      </w:r>
      <w:r w:rsidRPr="008F03E5">
        <w:t>-Salṭanah al-Ka</w:t>
      </w:r>
      <w:r w:rsidRPr="008F03E5">
        <w:rPr>
          <w:u w:val="single"/>
        </w:rPr>
        <w:t>th</w:t>
      </w:r>
      <w:r w:rsidRPr="008F03E5">
        <w:t>íríyah-Say’ún-Ḥaḍramawt) was a sultanate in the Hadhramaut region of the southern Arabian Peninsula, in what is now part of Yemen and the Dhofar region of Oman.</w:t>
      </w:r>
    </w:p>
    <w:p w14:paraId="317115D8" w14:textId="77777777" w:rsidR="00625A5B" w:rsidRPr="008F03E5" w:rsidRDefault="00625A5B" w:rsidP="001173CD">
      <w:pPr>
        <w:pStyle w:val="Translit"/>
      </w:pPr>
      <w:r w:rsidRPr="008F03E5">
        <w:t>Kathr</w:t>
      </w:r>
      <w:r w:rsidRPr="008F03E5">
        <w:tab/>
        <w:t>Ka</w:t>
      </w:r>
      <w:r w:rsidRPr="008F03E5">
        <w:rPr>
          <w:u w:val="single"/>
        </w:rPr>
        <w:t>th</w:t>
      </w:r>
      <w:r w:rsidRPr="008F03E5">
        <w:t>r</w:t>
      </w:r>
      <w:r w:rsidRPr="008F03E5">
        <w:tab/>
        <w:t>much; surplus</w:t>
      </w:r>
    </w:p>
    <w:p w14:paraId="5A5FBEC8" w14:textId="77777777" w:rsidR="00625A5B" w:rsidRPr="008F03E5" w:rsidRDefault="00625A5B" w:rsidP="00D77A45">
      <w:pPr>
        <w:pStyle w:val="Translit"/>
      </w:pPr>
      <w:r w:rsidRPr="008F03E5">
        <w:t>Kathra</w:t>
      </w:r>
      <w:r w:rsidRPr="008F03E5">
        <w:tab/>
        <w:t>Ka</w:t>
      </w:r>
      <w:r w:rsidRPr="008F03E5">
        <w:rPr>
          <w:u w:val="single"/>
        </w:rPr>
        <w:t>th</w:t>
      </w:r>
      <w:r w:rsidRPr="008F03E5">
        <w:t>ra[t]</w:t>
      </w:r>
      <w:r w:rsidRPr="008F03E5">
        <w:tab/>
        <w:t>large quantity, great number, multitude, abundance, copiousness, numerousness, frequency, multiplicity, plurality; majority, major portion (of)</w:t>
      </w:r>
    </w:p>
    <w:p w14:paraId="2626EB28" w14:textId="77777777" w:rsidR="00625A5B" w:rsidRPr="008F03E5" w:rsidRDefault="00625A5B" w:rsidP="00DD1610">
      <w:pPr>
        <w:pStyle w:val="Translit"/>
      </w:pPr>
      <w:r w:rsidRPr="008F03E5">
        <w:t>Katib, Katibun, Kuttab</w:t>
      </w:r>
      <w:r w:rsidRPr="008F03E5">
        <w:tab/>
        <w:t>Kátib, pl. Kátibún, Kuttáb, Kataba</w:t>
      </w:r>
      <w:r w:rsidRPr="008F03E5">
        <w:tab/>
        <w:t xml:space="preserve">writer; scribe, scrivener; secretary; clerk typist; office worker, clerical employee; clerk, registrar, actuary, court clerk; notary; writer, author.  Kátib áyát, “verse writer” or </w:t>
      </w:r>
      <w:r w:rsidRPr="008F03E5">
        <w:rPr>
          <w:lang w:eastAsia="en-AU"/>
        </w:rPr>
        <w:t>amanuensis.</w:t>
      </w:r>
    </w:p>
    <w:p w14:paraId="3E18119B" w14:textId="77777777" w:rsidR="00625A5B" w:rsidRPr="008F03E5" w:rsidRDefault="00625A5B" w:rsidP="00DC4CBF">
      <w:pPr>
        <w:pStyle w:val="Translit"/>
      </w:pPr>
      <w:r w:rsidRPr="008F03E5">
        <w:t>Katiba, Katibat</w:t>
      </w:r>
      <w:r w:rsidRPr="008F03E5">
        <w:tab/>
        <w:t>Kátiba[h or t], pl. Katibát</w:t>
      </w:r>
      <w:r w:rsidRPr="008F03E5">
        <w:tab/>
        <w:t>(fem. of kátib) woman secretary; authoress, writer</w:t>
      </w:r>
    </w:p>
    <w:p w14:paraId="3C684A5D" w14:textId="77777777" w:rsidR="00625A5B" w:rsidRPr="008F03E5" w:rsidRDefault="00625A5B" w:rsidP="004021C3">
      <w:pPr>
        <w:pStyle w:val="Translit"/>
        <w:rPr>
          <w:rFonts w:eastAsia="PMingLiU"/>
          <w:lang w:eastAsia="zh-TW"/>
        </w:rPr>
      </w:pPr>
      <w:r w:rsidRPr="008F03E5">
        <w:rPr>
          <w:rFonts w:eastAsia="PMingLiU"/>
          <w:lang w:eastAsia="zh-TW"/>
        </w:rPr>
        <w:t>Katibpur-Shahidi</w:t>
      </w:r>
      <w:r w:rsidRPr="008F03E5">
        <w:tab/>
      </w:r>
      <w:r w:rsidRPr="008F03E5">
        <w:rPr>
          <w:rFonts w:eastAsia="PMingLiU"/>
          <w:lang w:eastAsia="zh-TW"/>
        </w:rPr>
        <w:t>Kátibpúr-</w:t>
      </w:r>
      <w:r w:rsidRPr="008F03E5">
        <w:rPr>
          <w:u w:val="single"/>
        </w:rPr>
        <w:t>Sh</w:t>
      </w:r>
      <w:r w:rsidRPr="008F03E5">
        <w:rPr>
          <w:rFonts w:eastAsia="PMingLiU"/>
          <w:lang w:eastAsia="zh-TW"/>
        </w:rPr>
        <w:t>ahídí</w:t>
      </w:r>
      <w:r w:rsidRPr="008F03E5">
        <w:rPr>
          <w:rFonts w:eastAsia="PMingLiU"/>
          <w:lang w:eastAsia="zh-TW"/>
        </w:rPr>
        <w:tab/>
      </w:r>
      <w:r w:rsidRPr="008F03E5">
        <w:t xml:space="preserve">Ni‘matu’lláh </w:t>
      </w:r>
      <w:r w:rsidRPr="008F03E5">
        <w:rPr>
          <w:rFonts w:eastAsia="PMingLiU"/>
          <w:lang w:eastAsia="zh-TW"/>
        </w:rPr>
        <w:t>Kátibpúr-</w:t>
      </w:r>
      <w:r w:rsidRPr="008F03E5">
        <w:rPr>
          <w:u w:val="single"/>
        </w:rPr>
        <w:t>Sh</w:t>
      </w:r>
      <w:r w:rsidRPr="008F03E5">
        <w:rPr>
          <w:rFonts w:eastAsia="PMingLiU"/>
          <w:lang w:eastAsia="zh-TW"/>
        </w:rPr>
        <w:t>ahídí</w:t>
      </w:r>
    </w:p>
    <w:p w14:paraId="07F9B093" w14:textId="77777777" w:rsidR="00625A5B" w:rsidRPr="008F03E5" w:rsidRDefault="00625A5B" w:rsidP="00E36E6D">
      <w:pPr>
        <w:pStyle w:val="Translit"/>
        <w:rPr>
          <w:rFonts w:eastAsia="PMingLiU"/>
          <w:lang w:eastAsia="zh-TW"/>
        </w:rPr>
      </w:pPr>
      <w:r w:rsidRPr="008F03E5">
        <w:rPr>
          <w:rFonts w:eastAsia="PMingLiU"/>
          <w:lang w:eastAsia="zh-TW"/>
        </w:rPr>
        <w:t>Katibu’s-Sirr, Katib-i-Sirr</w:t>
      </w:r>
      <w:r w:rsidRPr="008F03E5">
        <w:tab/>
      </w:r>
      <w:r w:rsidRPr="008F03E5">
        <w:rPr>
          <w:rFonts w:eastAsia="PMingLiU"/>
          <w:lang w:eastAsia="zh-TW"/>
        </w:rPr>
        <w:t>K</w:t>
      </w:r>
      <w:r w:rsidRPr="008F03E5">
        <w:t>á</w:t>
      </w:r>
      <w:r w:rsidRPr="008F03E5">
        <w:rPr>
          <w:rFonts w:eastAsia="PMingLiU"/>
          <w:lang w:eastAsia="zh-TW"/>
        </w:rPr>
        <w:t xml:space="preserve">tibu’s-Sirr, </w:t>
      </w:r>
      <w:r w:rsidRPr="008F03E5">
        <w:t>Pers.</w:t>
      </w:r>
      <w:r w:rsidRPr="008F03E5">
        <w:rPr>
          <w:rFonts w:eastAsia="PMingLiU"/>
          <w:lang w:eastAsia="zh-TW"/>
        </w:rPr>
        <w:t xml:space="preserve"> K</w:t>
      </w:r>
      <w:r w:rsidRPr="008F03E5">
        <w:t>á</w:t>
      </w:r>
      <w:r w:rsidRPr="008F03E5">
        <w:rPr>
          <w:rFonts w:eastAsia="PMingLiU"/>
          <w:lang w:eastAsia="zh-TW"/>
        </w:rPr>
        <w:t>tib-i-Sirr</w:t>
      </w:r>
      <w:r w:rsidRPr="008F03E5">
        <w:tab/>
        <w:t>p</w:t>
      </w:r>
      <w:r w:rsidRPr="008F03E5">
        <w:rPr>
          <w:rFonts w:eastAsia="PMingLiU"/>
          <w:lang w:eastAsia="zh-TW"/>
        </w:rPr>
        <w:t>rivate secretary</w:t>
      </w:r>
    </w:p>
    <w:p w14:paraId="10F7A244" w14:textId="77777777" w:rsidR="00625A5B" w:rsidRPr="008F03E5" w:rsidRDefault="00625A5B" w:rsidP="00657578">
      <w:pPr>
        <w:pStyle w:val="Translit"/>
      </w:pPr>
      <w:r w:rsidRPr="008F03E5">
        <w:t>Katurah</w:t>
      </w:r>
      <w:r w:rsidRPr="008F03E5">
        <w:tab/>
        <w:t>Katúráh</w:t>
      </w:r>
      <w:r w:rsidRPr="008F03E5">
        <w:tab/>
        <w:t>Abraham’s third wife</w:t>
      </w:r>
    </w:p>
    <w:p w14:paraId="0718BA49" w14:textId="77777777" w:rsidR="00625A5B" w:rsidRPr="008F03E5" w:rsidRDefault="00625A5B" w:rsidP="004544A6">
      <w:pPr>
        <w:pStyle w:val="Translit"/>
      </w:pPr>
      <w:r w:rsidRPr="008F03E5">
        <w:t>Kawih (Kavih)</w:t>
      </w:r>
      <w:r w:rsidRPr="008F03E5">
        <w:tab/>
        <w:t>Káwih</w:t>
      </w:r>
      <w:r w:rsidRPr="008F03E5">
        <w:tab/>
        <w:t>Pers. “Kaveh” in Iranian mythology is a blacksmith (Áhangar) from Isfahan.  Pers./Kurdish Káwa.  May mean strength, vigour.  May have derived from the Ar. Qahwa.</w:t>
      </w:r>
    </w:p>
    <w:p w14:paraId="5AAF431B" w14:textId="77777777" w:rsidR="00625A5B" w:rsidRPr="008F03E5" w:rsidRDefault="00625A5B" w:rsidP="00853D84">
      <w:pPr>
        <w:pStyle w:val="Translit"/>
      </w:pPr>
      <w:r w:rsidRPr="004F7D3D">
        <w:t>Kawkab, Kawkaba, Kawakib</w:t>
      </w:r>
      <w:r w:rsidRPr="004F7D3D">
        <w:tab/>
        <w:t xml:space="preserve">Kawkab, fem. </w:t>
      </w:r>
      <w:r w:rsidRPr="008F03E5">
        <w:t>Kawkaba[h], pl. Kawákib</w:t>
      </w:r>
      <w:r w:rsidRPr="008F03E5">
        <w:tab/>
        <w:t>(Kaukab, Kokab) star (also, figuratively, of screen, stage, etc.); group, troop, party; white opacity in the cornea of the eye.  Name (Kawkab) given to Miss H. A. MacCutcheon.</w:t>
      </w:r>
    </w:p>
    <w:p w14:paraId="10AE52AE" w14:textId="77777777" w:rsidR="00625A5B" w:rsidRPr="008F03E5" w:rsidRDefault="00625A5B" w:rsidP="0079556A">
      <w:pPr>
        <w:pStyle w:val="Translit"/>
      </w:pPr>
      <w:r w:rsidRPr="008F03E5">
        <w:t>Kawm (Kaum), Akwam, Kiman</w:t>
      </w:r>
      <w:r w:rsidRPr="008F03E5">
        <w:tab/>
        <w:t>Kawm, pl. Akwám, Kímán</w:t>
      </w:r>
      <w:r w:rsidRPr="008F03E5">
        <w:tab/>
        <w:t>heap, pile; hill;—pl. kímán especially garbage piles, refuse dump</w:t>
      </w:r>
    </w:p>
    <w:p w14:paraId="0AA697F5" w14:textId="77777777" w:rsidR="00625A5B" w:rsidRPr="008F03E5" w:rsidRDefault="00625A5B" w:rsidP="004F5786">
      <w:pPr>
        <w:pStyle w:val="Translit"/>
      </w:pPr>
      <w:r w:rsidRPr="008F03E5">
        <w:t>Kawm as-Sa’ayidah, Kawmu’s-Sa’ayidih</w:t>
      </w:r>
      <w:r w:rsidRPr="008F03E5">
        <w:tab/>
        <w:t>Kawm aṣ-Ṣa‘áyidah</w:t>
      </w:r>
      <w:r w:rsidRPr="008F03E5">
        <w:tab/>
        <w:t xml:space="preserve">(“Kom al-Sa’ida”, Per. “Kawmu’ṣ-Ṣa‘áyidih”).  A village or town (28.887858, 30.913262) 7.5 km </w:t>
      </w:r>
      <w:r w:rsidRPr="008F03E5">
        <w:rPr>
          <w:sz w:val="16"/>
          <w:szCs w:val="16"/>
        </w:rPr>
        <w:t>WSW</w:t>
      </w:r>
      <w:r w:rsidRPr="008F03E5">
        <w:t xml:space="preserve"> of the city of Bibá, Egypt.  It is in Hayy al-Fuqqá‘í (district), Markaz Bibá (region), Muḥáfázah Baní Suwayf (governorate).  A fierce attack on a small band of Bahá’ís in this village ended in being the “initial step”, Shoghi Effendi said, in “the eventual universal acceptance of the Bahá’í Faith, as one of the independent recognized religious systems of the world” (</w:t>
      </w:r>
      <w:r w:rsidRPr="008F03E5">
        <w:rPr>
          <w:i/>
          <w:iCs/>
        </w:rPr>
        <w:t>Bahá’í Administration</w:t>
      </w:r>
      <w:r w:rsidRPr="008F03E5">
        <w:t>, p. 101) by the Appellate religious court of Bibá, which delivered its judgement on 10 May 1925. (</w:t>
      </w:r>
      <w:r w:rsidRPr="008F03E5">
        <w:rPr>
          <w:i/>
          <w:iCs/>
        </w:rPr>
        <w:t>Priceless Pearl</w:t>
      </w:r>
      <w:r w:rsidRPr="008F03E5">
        <w:t xml:space="preserve">, p. 318).  See entry for Bibá.  See also </w:t>
      </w:r>
      <w:r w:rsidRPr="008F03E5">
        <w:rPr>
          <w:i/>
          <w:iCs/>
        </w:rPr>
        <w:t>The Bahá’í World</w:t>
      </w:r>
      <w:r w:rsidRPr="008F03E5">
        <w:t xml:space="preserve">, </w:t>
      </w:r>
      <w:r w:rsidRPr="008F03E5">
        <w:rPr>
          <w:sz w:val="16"/>
          <w:szCs w:val="16"/>
        </w:rPr>
        <w:t>III</w:t>
      </w:r>
      <w:r w:rsidRPr="008F03E5">
        <w:t xml:space="preserve">:48–50, </w:t>
      </w:r>
      <w:r w:rsidRPr="008F03E5">
        <w:rPr>
          <w:i/>
          <w:iCs/>
        </w:rPr>
        <w:t>God Passes By</w:t>
      </w:r>
      <w:r w:rsidRPr="008F03E5">
        <w:t>, pp. 364–6.</w:t>
      </w:r>
    </w:p>
    <w:p w14:paraId="34205511" w14:textId="77777777" w:rsidR="00625A5B" w:rsidRPr="008F03E5" w:rsidRDefault="00625A5B" w:rsidP="00900A82">
      <w:pPr>
        <w:pStyle w:val="Translit"/>
      </w:pPr>
      <w:r w:rsidRPr="008F03E5">
        <w:t>Kawmu</w:t>
      </w:r>
      <w:r w:rsidRPr="008F03E5">
        <w:tab/>
        <w:t>Kawmú</w:t>
      </w:r>
      <w:r w:rsidRPr="008F03E5">
        <w:tab/>
        <w:t>gathering, assembly, group of people</w:t>
      </w:r>
    </w:p>
    <w:p w14:paraId="576C3674" w14:textId="77777777" w:rsidR="00625A5B" w:rsidRPr="008F03E5" w:rsidRDefault="00625A5B" w:rsidP="0042324C">
      <w:pPr>
        <w:pStyle w:val="Translit"/>
      </w:pPr>
      <w:r w:rsidRPr="008F03E5">
        <w:t>Kawn, Akwan</w:t>
      </w:r>
      <w:r w:rsidRPr="008F03E5">
        <w:tab/>
        <w:t>Kawn, pl. Akwán</w:t>
      </w:r>
      <w:r w:rsidRPr="008F03E5">
        <w:tab/>
        <w:t>being; existence; event, occurrence, incident.  al-kawn the existent, the existing, reality; the world; the cosmos, the universe  al-Kawn al-A‘lá, the Supreme Being, God.</w:t>
      </w:r>
    </w:p>
    <w:p w14:paraId="6D71F2B4" w14:textId="77777777" w:rsidR="00625A5B" w:rsidRPr="008F03E5" w:rsidRDefault="00625A5B" w:rsidP="005B116D">
      <w:pPr>
        <w:pStyle w:val="Translit"/>
      </w:pPr>
      <w:r w:rsidRPr="008F03E5">
        <w:t>Kawthar (Kauthar, Kawsar)</w:t>
      </w:r>
      <w:r w:rsidRPr="008F03E5">
        <w:tab/>
        <w:t>Kaw</w:t>
      </w:r>
      <w:r w:rsidRPr="008F03E5">
        <w:rPr>
          <w:u w:val="single"/>
        </w:rPr>
        <w:t>th</w:t>
      </w:r>
      <w:r w:rsidRPr="008F03E5">
        <w:t>ar</w:t>
      </w:r>
      <w:r w:rsidRPr="008F03E5">
        <w:tab/>
        <w:t>much, ample, abundant, plentiful, large quantity; al-Kaw</w:t>
      </w:r>
      <w:r w:rsidRPr="008F03E5">
        <w:rPr>
          <w:u w:val="single"/>
        </w:rPr>
        <w:t>th</w:t>
      </w:r>
      <w:r w:rsidRPr="008F03E5">
        <w:t>ar—name of a lake or river in Paradise (that Muḥammad saw on his mystic night journey, Qur’án 108:1) whence all the other rivers derive their source.</w:t>
      </w:r>
      <w:r>
        <w:t xml:space="preserve">  See </w:t>
      </w:r>
      <w:r w:rsidRPr="008F03E5">
        <w:t>Tasním</w:t>
      </w:r>
      <w:r>
        <w:t>.</w:t>
      </w:r>
    </w:p>
    <w:p w14:paraId="4778D92E" w14:textId="77777777" w:rsidR="00625A5B" w:rsidRPr="008F03E5" w:rsidRDefault="00625A5B" w:rsidP="0042324C">
      <w:pPr>
        <w:pStyle w:val="Translit"/>
      </w:pPr>
      <w:r w:rsidRPr="008F03E5">
        <w:t>Kawus (Kavus)</w:t>
      </w:r>
      <w:r w:rsidRPr="008F03E5">
        <w:tab/>
        <w:t>Káwús</w:t>
      </w:r>
      <w:r w:rsidRPr="008F03E5">
        <w:tab/>
        <w:t>Pers. name of an ancient king of Persia; pure; elegant, graceful; radical; firm, constant; generous, noble; strengthened by divine aid; a subduer, conqueror; a spark; light, splendour, coruscation; swiftness, impetuosity.</w:t>
      </w:r>
    </w:p>
    <w:p w14:paraId="023081DF" w14:textId="77777777" w:rsidR="00625A5B" w:rsidRPr="008F03E5" w:rsidRDefault="00625A5B" w:rsidP="00F07A65">
      <w:pPr>
        <w:pStyle w:val="Translit"/>
      </w:pPr>
      <w:r w:rsidRPr="008F03E5">
        <w:t>Kay (Kai), Kayan</w:t>
      </w:r>
      <w:r w:rsidRPr="008F03E5">
        <w:tab/>
        <w:t>Kay, pl. Kayán</w:t>
      </w:r>
      <w:r w:rsidRPr="008F03E5">
        <w:tab/>
        <w:t>Pers. a star; the point made by the compasses at the centre of a circle; (pl.) great kings; the surname of the second dynasty of the Persian kings</w:t>
      </w:r>
    </w:p>
    <w:p w14:paraId="19F2F86B" w14:textId="77777777" w:rsidR="00625A5B" w:rsidRPr="008F03E5" w:rsidRDefault="00625A5B" w:rsidP="00C03119">
      <w:pPr>
        <w:pStyle w:val="Translit"/>
      </w:pPr>
      <w:r w:rsidRPr="008F03E5">
        <w:t>Kayani, Kayaniyan</w:t>
      </w:r>
      <w:r w:rsidRPr="008F03E5">
        <w:tab/>
        <w:t>Kayání, pl. Kayániyán</w:t>
      </w:r>
      <w:r w:rsidRPr="008F03E5">
        <w:tab/>
        <w:t>Pers. of the Kayanian race; imperial, royal.  Dynasty [time of Alexander the Great] of the Kayániyán (Keyanian) kings of Persia.</w:t>
      </w:r>
      <w:r>
        <w:t xml:space="preserve">  See </w:t>
      </w:r>
      <w:r w:rsidRPr="008F03E5">
        <w:t>Kiyání</w:t>
      </w:r>
      <w:r>
        <w:t>.</w:t>
      </w:r>
    </w:p>
    <w:p w14:paraId="1930E164" w14:textId="77777777" w:rsidR="00625A5B" w:rsidRPr="008F03E5" w:rsidRDefault="00625A5B" w:rsidP="00600FA2">
      <w:pPr>
        <w:pStyle w:val="Translit"/>
      </w:pPr>
      <w:r w:rsidRPr="008F03E5">
        <w:t>Kayf (Kaif, Kief, Keef, Kif), Kuyuf</w:t>
      </w:r>
      <w:r w:rsidRPr="008F03E5">
        <w:tab/>
        <w:t>Kayf, pl. Kuyúf</w:t>
      </w:r>
      <w:r w:rsidRPr="008F03E5">
        <w:tab/>
        <w:t>state, condition; mood, humor, state of mind, frame of mind; pleasure, delight, well-being, good humor, high spirits; discretion, option, will;—pl. narcotic, opiate</w:t>
      </w:r>
    </w:p>
    <w:p w14:paraId="03436C82" w14:textId="77777777" w:rsidR="00625A5B" w:rsidRPr="008F03E5" w:rsidRDefault="00625A5B" w:rsidP="00BB0D61">
      <w:pPr>
        <w:pStyle w:val="Translit"/>
      </w:pPr>
      <w:r w:rsidRPr="008F03E5">
        <w:t>Kayfa (Kaiyha)</w:t>
      </w:r>
      <w:r w:rsidRPr="008F03E5">
        <w:tab/>
        <w:t>Kayfa</w:t>
      </w:r>
      <w:r w:rsidRPr="008F03E5">
        <w:tab/>
        <w:t>(interrogative and exclamatory particle) how? how …!  The Arabic phrase bi-la kayfa, also bilá kayfa, is roughly translated as “without asking how”.  It was a way of resolving theological problems in Islám over apparent questioning in áyát (verses of the Qur’án) by accepting without questioning.  This becomes an impediment to free thought and speculation.  al-A</w:t>
      </w:r>
      <w:r w:rsidRPr="008F03E5">
        <w:rPr>
          <w:u w:val="single"/>
        </w:rPr>
        <w:t>sh</w:t>
      </w:r>
      <w:r w:rsidRPr="008F03E5">
        <w:t>‘arí originated the use of the term in his development of the orthodox A</w:t>
      </w:r>
      <w:r w:rsidRPr="008F03E5">
        <w:rPr>
          <w:u w:val="single"/>
        </w:rPr>
        <w:t>sh</w:t>
      </w:r>
      <w:r w:rsidRPr="008F03E5">
        <w:t>‘arí school against some of the paradoxes of the rationalist Mu‘tazila.  This view was held by the vast majority of the early Sunní Muslims.</w:t>
      </w:r>
    </w:p>
    <w:p w14:paraId="4CA66D06" w14:textId="77777777" w:rsidR="00625A5B" w:rsidRPr="008F03E5" w:rsidRDefault="00625A5B" w:rsidP="00B434F2">
      <w:pPr>
        <w:pStyle w:val="Translit"/>
      </w:pPr>
      <w:r w:rsidRPr="008F03E5">
        <w:t>Kayfiya (Kayfiyya, Kaifiya)</w:t>
      </w:r>
      <w:r w:rsidRPr="008F03E5">
        <w:tab/>
        <w:t>Kayfíya[t], Pers. also Kayfiyya[t]</w:t>
      </w:r>
      <w:r w:rsidRPr="008F03E5">
        <w:tab/>
        <w:t>manner, mode, fashion; property, quality; nature, state, condition; particulars, particular circumstances (e.g., of an event); story, statement, account, relation; detailed circumstances, particulars, news</w:t>
      </w:r>
    </w:p>
    <w:p w14:paraId="27B1690F" w14:textId="77777777" w:rsidR="00625A5B" w:rsidRPr="008F03E5" w:rsidRDefault="00625A5B" w:rsidP="00E16E5A">
      <w:pPr>
        <w:pStyle w:val="Translit"/>
      </w:pPr>
      <w:r w:rsidRPr="008F03E5">
        <w:t>Kaykhusraw (Kaikhusraw)</w:t>
      </w:r>
      <w:r w:rsidRPr="008F03E5">
        <w:tab/>
        <w:t>Kay</w:t>
      </w:r>
      <w:r w:rsidRPr="008F03E5">
        <w:rPr>
          <w:u w:val="single"/>
        </w:rPr>
        <w:t>kh</w:t>
      </w:r>
      <w:r w:rsidRPr="008F03E5">
        <w:t>usraw</w:t>
      </w:r>
      <w:r w:rsidRPr="008F03E5">
        <w:tab/>
        <w:t xml:space="preserve">Pers. Also Kay </w:t>
      </w:r>
      <w:r w:rsidRPr="008F03E5">
        <w:rPr>
          <w:u w:val="single"/>
        </w:rPr>
        <w:t>Kh</w:t>
      </w:r>
      <w:r w:rsidRPr="008F03E5">
        <w:t>usraw, Kay-</w:t>
      </w:r>
      <w:r w:rsidRPr="008F03E5">
        <w:rPr>
          <w:u w:val="single"/>
        </w:rPr>
        <w:t>Kh</w:t>
      </w:r>
      <w:r w:rsidRPr="008F03E5">
        <w:t>usraw.  Legendary Persian warrior</w:t>
      </w:r>
    </w:p>
    <w:p w14:paraId="5C1821D0" w14:textId="77777777" w:rsidR="00625A5B" w:rsidRPr="008F03E5" w:rsidRDefault="00625A5B" w:rsidP="00DC3702">
      <w:pPr>
        <w:pStyle w:val="Translit"/>
      </w:pPr>
      <w:r w:rsidRPr="008F03E5">
        <w:t>Kaynuna (Kainuna), Kaynunat</w:t>
      </w:r>
      <w:r w:rsidRPr="008F03E5">
        <w:tab/>
        <w:t xml:space="preserve">Kaynúna[h or t], </w:t>
      </w:r>
      <w:r>
        <w:t xml:space="preserve">pl. </w:t>
      </w:r>
      <w:r w:rsidRPr="008F03E5">
        <w:t>Kaynúnát</w:t>
      </w:r>
      <w:r w:rsidRPr="008F03E5">
        <w:tab/>
        <w:t>being, existing; happening, coming to pass</w:t>
      </w:r>
    </w:p>
    <w:p w14:paraId="24D61FB3" w14:textId="77777777" w:rsidR="00625A5B" w:rsidRPr="008F03E5" w:rsidRDefault="00625A5B" w:rsidP="00451FDF">
      <w:pPr>
        <w:pStyle w:val="Translit"/>
      </w:pPr>
      <w:r w:rsidRPr="008F03E5">
        <w:t>Kaysaniya</w:t>
      </w:r>
      <w:r>
        <w:t>,</w:t>
      </w:r>
      <w:r w:rsidRPr="008F03E5">
        <w:t xml:space="preserve"> Kaysaniyya</w:t>
      </w:r>
      <w:r w:rsidRPr="008F03E5">
        <w:tab/>
        <w:t>Kaysán</w:t>
      </w:r>
      <w:r w:rsidRPr="00451FDF">
        <w:t>í</w:t>
      </w:r>
      <w:r w:rsidRPr="008F03E5">
        <w:t>ya</w:t>
      </w:r>
      <w:r>
        <w:t>,</w:t>
      </w:r>
      <w:r w:rsidRPr="008F03E5">
        <w:t xml:space="preserve"> Kaysániyya</w:t>
      </w:r>
      <w:r w:rsidRPr="008F03E5">
        <w:tab/>
        <w:t>Kaysanite, see Mu</w:t>
      </w:r>
      <w:r w:rsidRPr="008F03E5">
        <w:rPr>
          <w:u w:val="single"/>
        </w:rPr>
        <w:t>kh</w:t>
      </w:r>
      <w:r w:rsidRPr="008F03E5">
        <w:t xml:space="preserve">táriyya.  Name may have been based on the kunya (surname) Kaysán, allegedly given to </w:t>
      </w:r>
      <w:r>
        <w:t>a</w:t>
      </w:r>
      <w:r w:rsidRPr="008F03E5">
        <w:t>l-Mu</w:t>
      </w:r>
      <w:r w:rsidRPr="008F03E5">
        <w:rPr>
          <w:u w:val="single"/>
        </w:rPr>
        <w:t>kh</w:t>
      </w:r>
      <w:r w:rsidRPr="008F03E5">
        <w:t>tár (see Mu</w:t>
      </w:r>
      <w:r w:rsidRPr="008F03E5">
        <w:rPr>
          <w:u w:val="single"/>
        </w:rPr>
        <w:t>kh</w:t>
      </w:r>
      <w:r w:rsidRPr="008F03E5">
        <w:t>tár) by ‘Alí, or the name of a freed Mawlá of ‘Alí who was killed at the Battle of Ṣ</w:t>
      </w:r>
      <w:r w:rsidRPr="008F03E5">
        <w:rPr>
          <w:rFonts w:eastAsia="PMingLiU"/>
          <w:lang w:eastAsia="zh-TW"/>
        </w:rPr>
        <w:t>iffín</w:t>
      </w:r>
      <w:r w:rsidRPr="008F03E5">
        <w:t xml:space="preserve"> called Kaysán.  More likely named after Abú ‘Amra Kaysán, a prominent Mawlá and chief of </w:t>
      </w:r>
      <w:r>
        <w:t>a</w:t>
      </w:r>
      <w:r w:rsidRPr="008F03E5">
        <w:t>l-Mu</w:t>
      </w:r>
      <w:r w:rsidRPr="008F03E5">
        <w:rPr>
          <w:u w:val="single"/>
        </w:rPr>
        <w:t>kh</w:t>
      </w:r>
      <w:r w:rsidRPr="008F03E5">
        <w:t>tár’s personal bodyguard.  The Kaysanites were also known as Ḥ</w:t>
      </w:r>
      <w:r w:rsidRPr="008F03E5">
        <w:rPr>
          <w:rFonts w:eastAsia="PMingLiU"/>
          <w:lang w:eastAsia="zh-TW"/>
        </w:rPr>
        <w:t>anafiyya</w:t>
      </w:r>
      <w:r w:rsidRPr="008F03E5">
        <w:t xml:space="preserve"> (after Muḥammad ibn al-Ḥanafiyyah)</w:t>
      </w:r>
    </w:p>
    <w:p w14:paraId="458AE886" w14:textId="77777777" w:rsidR="00625A5B" w:rsidRPr="008F03E5" w:rsidRDefault="00625A5B" w:rsidP="00F22AD0">
      <w:pPr>
        <w:pStyle w:val="Translit"/>
      </w:pPr>
      <w:r w:rsidRPr="008F03E5">
        <w:t>Kayumarth (Kayumart, Kayumars)</w:t>
      </w:r>
      <w:r w:rsidRPr="008F03E5">
        <w:tab/>
        <w:t>Kayúmar</w:t>
      </w:r>
      <w:r w:rsidRPr="008F03E5">
        <w:rPr>
          <w:u w:val="single"/>
        </w:rPr>
        <w:t>th</w:t>
      </w:r>
      <w:r w:rsidRPr="008F03E5">
        <w:tab/>
        <w:t xml:space="preserve">Pers. </w:t>
      </w:r>
      <w:r w:rsidRPr="00AF4D34">
        <w:t>first of Adam</w:t>
      </w:r>
      <w:r>
        <w:t>’</w:t>
      </w:r>
      <w:r w:rsidRPr="00AF4D34">
        <w:t>s offspring who ever exercised regal authority; he is generally considered as the first king of the P</w:t>
      </w:r>
      <w:r>
        <w:t>i</w:t>
      </w:r>
      <w:r w:rsidRPr="00F22AD0">
        <w:rPr>
          <w:u w:val="single"/>
        </w:rPr>
        <w:t>sh</w:t>
      </w:r>
      <w:r w:rsidRPr="00AF4D34">
        <w:t>dádi</w:t>
      </w:r>
      <w:r>
        <w:t>y</w:t>
      </w:r>
      <w:r w:rsidRPr="00F22AD0">
        <w:t>á</w:t>
      </w:r>
      <w:r w:rsidRPr="00AF4D34">
        <w:t>n dynasty, and is sometimes confounded with Adam and Noah.</w:t>
      </w:r>
      <w:r>
        <w:t xml:space="preserve">  F</w:t>
      </w:r>
      <w:r w:rsidRPr="008F03E5">
        <w:t xml:space="preserve">irst mythical king mentioned at the beginning of the </w:t>
      </w:r>
      <w:r w:rsidRPr="008F03E5">
        <w:rPr>
          <w:u w:val="single"/>
        </w:rPr>
        <w:t>Sh</w:t>
      </w:r>
      <w:r w:rsidRPr="008F03E5">
        <w:t>áhnáma</w:t>
      </w:r>
      <w:r>
        <w:t>.</w:t>
      </w:r>
    </w:p>
    <w:p w14:paraId="7D0735FE" w14:textId="77777777" w:rsidR="00625A5B" w:rsidRPr="008F03E5" w:rsidRDefault="00625A5B" w:rsidP="00696273">
      <w:pPr>
        <w:pStyle w:val="Translit"/>
      </w:pPr>
      <w:r w:rsidRPr="008F03E5">
        <w:t>Kaywan (Kaiwan, Kayvan)</w:t>
      </w:r>
      <w:r w:rsidRPr="008F03E5">
        <w:tab/>
        <w:t>Kaywán</w:t>
      </w:r>
      <w:r w:rsidRPr="008F03E5">
        <w:tab/>
        <w:t>the planet Saturn; like-wise his orbit; a bow; the seventh heaven</w:t>
      </w:r>
    </w:p>
    <w:p w14:paraId="18AF3EE5" w14:textId="77777777" w:rsidR="00625A5B" w:rsidRPr="008F03E5" w:rsidRDefault="00625A5B" w:rsidP="003222AE">
      <w:pPr>
        <w:pStyle w:val="Translit"/>
      </w:pPr>
      <w:r w:rsidRPr="008F03E5">
        <w:t>Kazim (Kadhim)</w:t>
      </w:r>
      <w:r w:rsidRPr="008F03E5">
        <w:tab/>
        <w:t>Kaẓím</w:t>
      </w:r>
      <w:r w:rsidRPr="008F03E5">
        <w:tab/>
        <w:t>filled with anger</w:t>
      </w:r>
    </w:p>
    <w:p w14:paraId="160CA725" w14:textId="77777777" w:rsidR="00625A5B" w:rsidRPr="008F03E5" w:rsidRDefault="00625A5B" w:rsidP="003222AE">
      <w:pPr>
        <w:pStyle w:val="Translit"/>
      </w:pPr>
      <w:r w:rsidRPr="001457C8">
        <w:rPr>
          <w:lang w:val="pl-PL"/>
        </w:rPr>
        <w:t>Kazim (Kazem, Kadhim), Kazima</w:t>
      </w:r>
      <w:r w:rsidRPr="001457C8">
        <w:rPr>
          <w:lang w:val="pl-PL"/>
        </w:rPr>
        <w:tab/>
        <w:t xml:space="preserve">Káẓim, fem. </w:t>
      </w:r>
      <w:r w:rsidRPr="008F03E5">
        <w:t>Káẓima[h</w:t>
      </w:r>
      <w:r>
        <w:t xml:space="preserve"> or t</w:t>
      </w:r>
      <w:r w:rsidRPr="008F03E5">
        <w:t>]</w:t>
      </w:r>
      <w:r w:rsidRPr="008F03E5">
        <w:tab/>
        <w:t>tolerant, forgiving, and having patience.  “One who suppresses his passion or anger”</w:t>
      </w:r>
      <w:r>
        <w:t>.</w:t>
      </w:r>
      <w:r w:rsidRPr="008F03E5">
        <w:t xml:space="preserve">  The title of the seventh Imám of </w:t>
      </w:r>
      <w:r w:rsidRPr="008F03E5">
        <w:rPr>
          <w:u w:val="single"/>
        </w:rPr>
        <w:t>Sh</w:t>
      </w:r>
      <w:r w:rsidRPr="008F03E5">
        <w:t>í‘a Islám.</w:t>
      </w:r>
    </w:p>
    <w:p w14:paraId="7E74E2A5" w14:textId="77777777" w:rsidR="00625A5B" w:rsidRPr="008F03E5" w:rsidRDefault="00625A5B" w:rsidP="00756460">
      <w:pPr>
        <w:pStyle w:val="Translit"/>
      </w:pPr>
      <w:bookmarkStart w:id="91" w:name="_Hlk60336096"/>
      <w:r w:rsidRPr="008F03E5">
        <w:t>Kazimayn</w:t>
      </w:r>
      <w:r>
        <w:t xml:space="preserve"> (Kadhimayn)</w:t>
      </w:r>
      <w:r w:rsidRPr="008F03E5">
        <w:tab/>
        <w:t>Káẓimayn</w:t>
      </w:r>
      <w:r w:rsidRPr="008F03E5">
        <w:tab/>
        <w:t>(“Kazemain”) dual of Káẓim, “Two who swallow their anger”, referring to “the two Kazims” (Músá ibn Ja‘far al-Káẓim</w:t>
      </w:r>
      <w:r>
        <w:t xml:space="preserve"> (d. </w:t>
      </w:r>
      <w:r w:rsidRPr="00C213B7">
        <w:rPr>
          <w:sz w:val="16"/>
          <w:szCs w:val="16"/>
        </w:rPr>
        <w:t>CE</w:t>
      </w:r>
      <w:r>
        <w:t xml:space="preserve"> 799)</w:t>
      </w:r>
      <w:r w:rsidRPr="008F03E5">
        <w:t xml:space="preserve"> and his grandson Mu</w:t>
      </w:r>
      <w:r w:rsidRPr="00756460">
        <w:t xml:space="preserve">ḥammad ibn ‘Alí al-Jawád (d. </w:t>
      </w:r>
      <w:r w:rsidRPr="00C213B7">
        <w:rPr>
          <w:sz w:val="16"/>
          <w:szCs w:val="16"/>
        </w:rPr>
        <w:t>CE</w:t>
      </w:r>
      <w:r w:rsidRPr="00756460">
        <w:t xml:space="preserve"> 83</w:t>
      </w:r>
      <w:r>
        <w:t>5</w:t>
      </w:r>
      <w:r w:rsidRPr="00756460">
        <w:t>),</w:t>
      </w:r>
      <w:r w:rsidRPr="00C213B7">
        <w:t xml:space="preserve"> the seventh and ninth A’imma respectively).  al-Kaẓimayn Shrine (Ḥaram al-Káẓimayn), also known as Masjid al-Káẓimíyah, is a combined </w:t>
      </w:r>
      <w:r w:rsidRPr="00C213B7">
        <w:rPr>
          <w:u w:val="single"/>
        </w:rPr>
        <w:t>Sh</w:t>
      </w:r>
      <w:r w:rsidRPr="00C213B7">
        <w:t>í‘a Muslim mosque and shrine built over their graves.  It is now located in the al-Káẓimíyah suburb of Ba</w:t>
      </w:r>
      <w:r w:rsidRPr="00C213B7">
        <w:rPr>
          <w:u w:val="single"/>
        </w:rPr>
        <w:t>gh</w:t>
      </w:r>
      <w:r w:rsidRPr="00C213B7">
        <w:t>dád.  The mosque is also known as Jámi‘ al-Yásín, al-Yassin Mosque</w:t>
      </w:r>
      <w:r w:rsidRPr="008F03E5">
        <w:t>.</w:t>
      </w:r>
    </w:p>
    <w:bookmarkEnd w:id="91"/>
    <w:p w14:paraId="6527DA96" w14:textId="77777777" w:rsidR="00625A5B" w:rsidRPr="008F03E5" w:rsidRDefault="00625A5B" w:rsidP="00900A82">
      <w:pPr>
        <w:pStyle w:val="Translit"/>
        <w:rPr>
          <w:rFonts w:eastAsia="PMingLiU"/>
          <w:lang w:eastAsia="zh-TW"/>
        </w:rPr>
      </w:pPr>
      <w:r w:rsidRPr="008F03E5">
        <w:rPr>
          <w:rFonts w:eastAsia="PMingLiU"/>
          <w:lang w:eastAsia="zh-TW"/>
        </w:rPr>
        <w:t>Kazimi-Manshadi</w:t>
      </w:r>
      <w:r w:rsidRPr="008F03E5">
        <w:tab/>
      </w:r>
      <w:r w:rsidRPr="008F03E5">
        <w:rPr>
          <w:rFonts w:eastAsia="PMingLiU"/>
          <w:lang w:eastAsia="zh-TW"/>
        </w:rPr>
        <w:t>Ká</w:t>
      </w:r>
      <w:r w:rsidRPr="008F03E5">
        <w:t>ẓ</w:t>
      </w:r>
      <w:r w:rsidRPr="008F03E5">
        <w:rPr>
          <w:rFonts w:eastAsia="PMingLiU"/>
          <w:lang w:eastAsia="zh-TW"/>
        </w:rPr>
        <w:t>imí-Man</w:t>
      </w:r>
      <w:r w:rsidRPr="008F03E5">
        <w:rPr>
          <w:u w:val="single"/>
        </w:rPr>
        <w:t>sh</w:t>
      </w:r>
      <w:r w:rsidRPr="008F03E5">
        <w:rPr>
          <w:rFonts w:eastAsia="PMingLiU"/>
          <w:lang w:eastAsia="zh-TW"/>
        </w:rPr>
        <w:t>ádí</w:t>
      </w:r>
      <w:r w:rsidRPr="008F03E5">
        <w:tab/>
      </w:r>
    </w:p>
    <w:p w14:paraId="44F99611" w14:textId="77777777" w:rsidR="00625A5B" w:rsidRDefault="00625A5B" w:rsidP="00664383">
      <w:pPr>
        <w:pStyle w:val="Translit"/>
        <w:rPr>
          <w:rFonts w:eastAsia="PMingLiU"/>
          <w:lang w:eastAsia="zh-TW"/>
        </w:rPr>
      </w:pPr>
      <w:r w:rsidRPr="008F03E5">
        <w:t>Kazimiya (Kadhimiya)</w:t>
      </w:r>
      <w:r>
        <w:tab/>
      </w:r>
      <w:r w:rsidRPr="008F03E5">
        <w:t>Káẓimíya[h</w:t>
      </w:r>
      <w:r>
        <w:t xml:space="preserve"> or t</w:t>
      </w:r>
      <w:r w:rsidRPr="008F03E5">
        <w:t>]</w:t>
      </w:r>
      <w:r>
        <w:tab/>
        <w:t>followers of K</w:t>
      </w:r>
      <w:r w:rsidRPr="003B120C">
        <w:t>áẓ</w:t>
      </w:r>
      <w:r>
        <w:t>im or “Kazimism”.  al-</w:t>
      </w:r>
      <w:r w:rsidRPr="008F03E5">
        <w:t>Káẓimíya</w:t>
      </w:r>
      <w:r>
        <w:t xml:space="preserve">h </w:t>
      </w:r>
      <w:r w:rsidRPr="008F03E5">
        <w:t xml:space="preserve">was a city built around the shrines </w:t>
      </w:r>
      <w:r>
        <w:t xml:space="preserve">of two </w:t>
      </w:r>
      <w:r w:rsidRPr="008F03E5">
        <w:t>A’imma</w:t>
      </w:r>
      <w:r>
        <w:t xml:space="preserve"> (</w:t>
      </w:r>
      <w:r w:rsidRPr="008F03E5">
        <w:t xml:space="preserve">al-Káẓim </w:t>
      </w:r>
      <w:r>
        <w:t xml:space="preserve">and </w:t>
      </w:r>
      <w:r w:rsidRPr="008F03E5">
        <w:t>al-Jawád</w:t>
      </w:r>
      <w:r>
        <w:t xml:space="preserve">), and </w:t>
      </w:r>
      <w:r w:rsidRPr="008F03E5">
        <w:t>is now a suburb of Ba</w:t>
      </w:r>
      <w:r w:rsidRPr="008F03E5">
        <w:rPr>
          <w:u w:val="single"/>
        </w:rPr>
        <w:t>gh</w:t>
      </w:r>
      <w:r w:rsidRPr="008F03E5">
        <w:t>dád (about 7 km north of the city centre).</w:t>
      </w:r>
      <w:r>
        <w:t xml:space="preserve">  Pers. </w:t>
      </w:r>
      <w:r w:rsidRPr="008F03E5">
        <w:t>Káẓim</w:t>
      </w:r>
      <w:r>
        <w:t>i</w:t>
      </w:r>
      <w:r w:rsidRPr="008F03E5">
        <w:t>y</w:t>
      </w:r>
      <w:r>
        <w:t>y</w:t>
      </w:r>
      <w:r w:rsidRPr="008F03E5">
        <w:t>a[h</w:t>
      </w:r>
      <w:r>
        <w:t xml:space="preserve"> or t</w:t>
      </w:r>
      <w:r w:rsidRPr="008F03E5">
        <w:t>]</w:t>
      </w:r>
      <w:r>
        <w:t>.</w:t>
      </w:r>
    </w:p>
    <w:p w14:paraId="35FEE165" w14:textId="77777777" w:rsidR="00625A5B" w:rsidRPr="004F7D3D" w:rsidRDefault="00625A5B" w:rsidP="00900A82">
      <w:pPr>
        <w:pStyle w:val="Translit"/>
      </w:pPr>
      <w:r w:rsidRPr="004F7D3D">
        <w:t>Kazim-i-Zanjani</w:t>
      </w:r>
      <w:r w:rsidRPr="004F7D3D">
        <w:tab/>
        <w:t>Káẓim-i-Zanjání</w:t>
      </w:r>
      <w:r w:rsidRPr="004F7D3D">
        <w:tab/>
      </w:r>
    </w:p>
    <w:p w14:paraId="0E19A3A8" w14:textId="77777777" w:rsidR="00625A5B" w:rsidRPr="004F7D3D" w:rsidRDefault="00625A5B" w:rsidP="00A01875">
      <w:pPr>
        <w:pStyle w:val="Translit"/>
      </w:pPr>
      <w:r w:rsidRPr="004F7D3D">
        <w:t>Kazimzada (Kazenzadeh)</w:t>
      </w:r>
      <w:r w:rsidRPr="004F7D3D">
        <w:tab/>
        <w:t>Káẓimzáda (Káẓim + záda)</w:t>
      </w:r>
      <w:r w:rsidRPr="004F7D3D">
        <w:tab/>
        <w:t>son of Káẓim (Pers. Bahá’í Káẓimzádih)</w:t>
      </w:r>
    </w:p>
    <w:p w14:paraId="08A80DD8" w14:textId="77777777" w:rsidR="00625A5B" w:rsidRPr="00334509" w:rsidRDefault="00625A5B" w:rsidP="00B770D7">
      <w:pPr>
        <w:pStyle w:val="Translit"/>
      </w:pPr>
      <w:r w:rsidRPr="004F7D3D">
        <w:t>Kazirun, Kazrun</w:t>
      </w:r>
      <w:r w:rsidRPr="004F7D3D">
        <w:tab/>
        <w:t>Kázirún</w:t>
      </w:r>
      <w:r w:rsidRPr="004F7D3D">
        <w:tab/>
        <w:t xml:space="preserve">(Kazerun, Kázirán, Kázarún) also known as Kasrun, is a city (90 km west of </w:t>
      </w:r>
      <w:r w:rsidRPr="004F7D3D">
        <w:rPr>
          <w:u w:val="single"/>
        </w:rPr>
        <w:t>Sh</w:t>
      </w:r>
      <w:r w:rsidRPr="004F7D3D">
        <w:t xml:space="preserve">íráz) and capital of Kazeroon County, Fars Province, Iran.  </w:t>
      </w:r>
      <w:r>
        <w:t xml:space="preserve">See </w:t>
      </w:r>
      <w:r>
        <w:rPr>
          <w:rFonts w:eastAsia="Times New Roman"/>
        </w:rPr>
        <w:t>Darw</w:t>
      </w:r>
      <w:r w:rsidRPr="006014DE">
        <w:t>á</w:t>
      </w:r>
      <w:r>
        <w:rPr>
          <w:rFonts w:eastAsia="Times New Roman"/>
        </w:rPr>
        <w:t xml:space="preserve">za </w:t>
      </w:r>
      <w:r w:rsidRPr="00334509">
        <w:t>Kázirún</w:t>
      </w:r>
      <w:r>
        <w:t>.</w:t>
      </w:r>
    </w:p>
    <w:p w14:paraId="3227D895" w14:textId="77777777" w:rsidR="00625A5B" w:rsidRPr="008F03E5" w:rsidRDefault="00625A5B" w:rsidP="001D3982">
      <w:pPr>
        <w:pStyle w:val="Myhead"/>
        <w:rPr>
          <w:u w:val="single"/>
        </w:rPr>
      </w:pPr>
      <w:r w:rsidRPr="008F03E5">
        <w:rPr>
          <w:u w:val="single"/>
        </w:rPr>
        <w:t>Kh</w:t>
      </w:r>
      <w:bookmarkStart w:id="92" w:name="Kh"/>
      <w:bookmarkEnd w:id="92"/>
    </w:p>
    <w:p w14:paraId="3DACA00D" w14:textId="77777777" w:rsidR="00625A5B" w:rsidRPr="008F03E5" w:rsidRDefault="00625A5B" w:rsidP="002E3429">
      <w:pPr>
        <w:pStyle w:val="Translit"/>
      </w:pPr>
      <w:r w:rsidRPr="008F03E5">
        <w:t>Kha</w:t>
      </w:r>
      <w:r w:rsidRPr="008F03E5">
        <w:tab/>
      </w:r>
      <w:r w:rsidRPr="008F03E5">
        <w:rPr>
          <w:u w:val="single"/>
        </w:rPr>
        <w:t>Kh</w:t>
      </w:r>
      <w:r w:rsidRPr="008F03E5">
        <w:t>á</w:t>
      </w:r>
      <w:r w:rsidRPr="008F03E5">
        <w:tab/>
        <w:t xml:space="preserve">name of an Arabic letter.  Land of </w:t>
      </w:r>
      <w:r w:rsidRPr="008F03E5">
        <w:rPr>
          <w:u w:val="single"/>
        </w:rPr>
        <w:t>Kh</w:t>
      </w:r>
      <w:r w:rsidRPr="008F03E5">
        <w:t>á:  reference to the Khurasan Province and neighbouring areas, including the city of ‘I</w:t>
      </w:r>
      <w:r w:rsidRPr="008F03E5">
        <w:rPr>
          <w:u w:val="single"/>
        </w:rPr>
        <w:t>sh</w:t>
      </w:r>
      <w:r w:rsidRPr="008F03E5">
        <w:t>qábád (Ashkhabad).</w:t>
      </w:r>
    </w:p>
    <w:p w14:paraId="2284D6FC" w14:textId="77777777" w:rsidR="00625A5B" w:rsidRPr="008F03E5" w:rsidRDefault="00625A5B" w:rsidP="0046629A">
      <w:pPr>
        <w:pStyle w:val="Translit"/>
      </w:pPr>
      <w:r w:rsidRPr="008F03E5">
        <w:t>Khabar, Akhbar</w:t>
      </w:r>
      <w:r w:rsidRPr="008F03E5">
        <w:tab/>
      </w:r>
      <w:r w:rsidRPr="008F03E5">
        <w:rPr>
          <w:u w:val="single"/>
        </w:rPr>
        <w:t>Kh</w:t>
      </w:r>
      <w:r w:rsidRPr="008F03E5">
        <w:t>abar, pl. A</w:t>
      </w:r>
      <w:r w:rsidRPr="008F03E5">
        <w:rPr>
          <w:u w:val="single"/>
        </w:rPr>
        <w:t>kh</w:t>
      </w:r>
      <w:r w:rsidRPr="008F03E5">
        <w:t>bár</w:t>
      </w:r>
      <w:r w:rsidRPr="008F03E5">
        <w:tab/>
        <w:t>news; information, intelligence: report, communication, message; notification; rumour; story; matter, affair.  Traditions, sayings attributed to Muḥammad and to the Imams.</w:t>
      </w:r>
    </w:p>
    <w:p w14:paraId="5D38473B" w14:textId="77777777" w:rsidR="00625A5B" w:rsidRPr="008F03E5" w:rsidRDefault="00625A5B" w:rsidP="001B0A32">
      <w:pPr>
        <w:pStyle w:val="Translit"/>
      </w:pPr>
      <w:r w:rsidRPr="008F03E5">
        <w:rPr>
          <w:rFonts w:eastAsia="PMingLiU"/>
          <w:lang w:eastAsia="zh-TW"/>
        </w:rPr>
        <w:t>Khabar-Dar</w:t>
      </w:r>
      <w:r w:rsidRPr="008F03E5">
        <w:tab/>
      </w:r>
      <w:r w:rsidRPr="008F03E5">
        <w:rPr>
          <w:u w:val="single"/>
        </w:rPr>
        <w:t>Kh</w:t>
      </w:r>
      <w:r w:rsidRPr="008F03E5">
        <w:rPr>
          <w:rFonts w:eastAsia="PMingLiU"/>
          <w:lang w:eastAsia="zh-TW"/>
        </w:rPr>
        <w:t>abar-Dár</w:t>
      </w:r>
      <w:r w:rsidRPr="008F03E5">
        <w:tab/>
        <w:t>Pers. informed, appraised, certified; aware; careful, cautious; an informer, scout, spy; take care! beware! look out!</w:t>
      </w:r>
    </w:p>
    <w:p w14:paraId="5311796D" w14:textId="77777777" w:rsidR="00625A5B" w:rsidRPr="008F03E5" w:rsidRDefault="00625A5B" w:rsidP="0057201B">
      <w:pPr>
        <w:pStyle w:val="Translit"/>
      </w:pPr>
      <w:r w:rsidRPr="008F03E5">
        <w:t>Khabir</w:t>
      </w:r>
      <w:r w:rsidRPr="008F03E5">
        <w:tab/>
      </w:r>
      <w:r w:rsidRPr="008F03E5">
        <w:rPr>
          <w:u w:val="single"/>
        </w:rPr>
        <w:t>Kh</w:t>
      </w:r>
      <w:r w:rsidRPr="008F03E5">
        <w:t>abír</w:t>
      </w:r>
      <w:r w:rsidRPr="008F03E5">
        <w:tab/>
        <w:t>experienced, expert (in); familiar, conversant, well-acquainted (with), cognizant (of)</w:t>
      </w:r>
    </w:p>
    <w:p w14:paraId="606C2004" w14:textId="77777777" w:rsidR="00625A5B" w:rsidRPr="008F03E5" w:rsidRDefault="00625A5B" w:rsidP="007A70E9">
      <w:pPr>
        <w:pStyle w:val="Translit"/>
      </w:pPr>
      <w:r w:rsidRPr="008F03E5">
        <w:t>Khada (Khadih), Khawd, Khiyad</w:t>
      </w:r>
      <w:r w:rsidRPr="008F03E5">
        <w:tab/>
      </w:r>
      <w:r w:rsidRPr="008F03E5">
        <w:rPr>
          <w:u w:val="single"/>
        </w:rPr>
        <w:t>Kh</w:t>
      </w:r>
      <w:r w:rsidRPr="008F03E5">
        <w:t>áḍa (</w:t>
      </w:r>
      <w:r w:rsidRPr="008F03E5">
        <w:rPr>
          <w:u w:val="single"/>
        </w:rPr>
        <w:t>Kh</w:t>
      </w:r>
      <w:r w:rsidRPr="008F03E5">
        <w:t xml:space="preserve">awḍ, </w:t>
      </w:r>
      <w:r w:rsidRPr="008F03E5">
        <w:rPr>
          <w:u w:val="single"/>
        </w:rPr>
        <w:t>Kh</w:t>
      </w:r>
      <w:r w:rsidRPr="008F03E5">
        <w:t>iyáḍ)</w:t>
      </w:r>
      <w:r w:rsidRPr="008F03E5">
        <w:tab/>
        <w:t xml:space="preserve">to wade (into water); to plunge, dive, rush (into something), tackle courageously (something), embark boldly (on).  Pers. also </w:t>
      </w:r>
      <w:r w:rsidRPr="008F03E5">
        <w:rPr>
          <w:u w:val="single"/>
        </w:rPr>
        <w:t>kh</w:t>
      </w:r>
      <w:r w:rsidRPr="008F03E5">
        <w:t xml:space="preserve">áḍih (“khadeh” or “khazeh”).  Jalálu’lláh </w:t>
      </w:r>
      <w:r w:rsidRPr="008F03E5">
        <w:rPr>
          <w:u w:val="single"/>
        </w:rPr>
        <w:t>Kh</w:t>
      </w:r>
      <w:r w:rsidRPr="008F03E5">
        <w:t xml:space="preserve">áḍih, last name also transcripted </w:t>
      </w:r>
      <w:r w:rsidRPr="008F03E5">
        <w:rPr>
          <w:u w:val="single"/>
        </w:rPr>
        <w:t>Kh</w:t>
      </w:r>
      <w:r w:rsidRPr="008F03E5">
        <w:t xml:space="preserve">ázih or </w:t>
      </w:r>
      <w:r w:rsidRPr="008F03E5">
        <w:rPr>
          <w:u w:val="single"/>
        </w:rPr>
        <w:t>Kh</w:t>
      </w:r>
      <w:r w:rsidRPr="008F03E5">
        <w:t>ázeh (1897–21 February 1990), a Hand of the Cause of God appointed by Shoghi Effendi in 1953.</w:t>
      </w:r>
    </w:p>
    <w:p w14:paraId="2F1515FE" w14:textId="77777777" w:rsidR="00625A5B" w:rsidRPr="008F03E5" w:rsidRDefault="00625A5B" w:rsidP="00A51E09">
      <w:pPr>
        <w:pStyle w:val="Translit"/>
      </w:pPr>
      <w:r w:rsidRPr="008F03E5">
        <w:t>Khadar</w:t>
      </w:r>
      <w:r w:rsidRPr="008F03E5">
        <w:tab/>
      </w:r>
      <w:r w:rsidRPr="008F03E5">
        <w:rPr>
          <w:u w:val="single"/>
        </w:rPr>
        <w:t>Kh</w:t>
      </w:r>
      <w:r w:rsidRPr="008F03E5">
        <w:t>aḍár</w:t>
      </w:r>
      <w:r w:rsidRPr="008F03E5">
        <w:tab/>
        <w:t>green, greenness, green colour; greens, herbs, pot-herbs</w:t>
      </w:r>
    </w:p>
    <w:p w14:paraId="56F97143" w14:textId="77777777" w:rsidR="00625A5B" w:rsidRPr="008F03E5" w:rsidRDefault="00625A5B" w:rsidP="00EE65C8">
      <w:pPr>
        <w:pStyle w:val="Translit"/>
      </w:pPr>
      <w:r w:rsidRPr="008F03E5">
        <w:t>Khadhala, Khadhl, Khidhlan</w:t>
      </w:r>
      <w:r w:rsidRPr="008F03E5">
        <w:tab/>
      </w:r>
      <w:r w:rsidRPr="008F03E5">
        <w:rPr>
          <w:u w:val="single"/>
        </w:rPr>
        <w:t>Kh</w:t>
      </w:r>
      <w:r w:rsidRPr="008F03E5">
        <w:t>a</w:t>
      </w:r>
      <w:r w:rsidRPr="008F03E5">
        <w:rPr>
          <w:u w:val="single"/>
        </w:rPr>
        <w:t>dh</w:t>
      </w:r>
      <w:r w:rsidRPr="008F03E5">
        <w:t>ala (</w:t>
      </w:r>
      <w:r w:rsidRPr="008F03E5">
        <w:rPr>
          <w:u w:val="single"/>
        </w:rPr>
        <w:t>Kh</w:t>
      </w:r>
      <w:r w:rsidRPr="008F03E5">
        <w:t>a</w:t>
      </w:r>
      <w:r w:rsidRPr="008F03E5">
        <w:rPr>
          <w:u w:val="single"/>
        </w:rPr>
        <w:t>dh</w:t>
      </w:r>
      <w:r w:rsidRPr="008F03E5">
        <w:t xml:space="preserve">l, </w:t>
      </w:r>
      <w:r w:rsidRPr="008F03E5">
        <w:rPr>
          <w:u w:val="single"/>
        </w:rPr>
        <w:t>Kh</w:t>
      </w:r>
      <w:r w:rsidRPr="008F03E5">
        <w:t>i</w:t>
      </w:r>
      <w:r w:rsidRPr="008F03E5">
        <w:rPr>
          <w:u w:val="single"/>
        </w:rPr>
        <w:t>dh</w:t>
      </w:r>
      <w:r w:rsidRPr="008F03E5">
        <w:t>lán)</w:t>
      </w:r>
      <w:r w:rsidRPr="008F03E5">
        <w:tab/>
        <w:t>to leave, abandon, forsake, desert, leave in the lurch (or someone); to stay behind; to disappoint; pass</w:t>
      </w:r>
    </w:p>
    <w:p w14:paraId="3A7AF5D3" w14:textId="77777777" w:rsidR="00625A5B" w:rsidRPr="008F03E5" w:rsidRDefault="00625A5B" w:rsidP="004A6F24">
      <w:pPr>
        <w:pStyle w:val="Translit"/>
      </w:pPr>
      <w:r w:rsidRPr="008F03E5">
        <w:t>Khadi’, Khuda’, Khud’an, Khid’an</w:t>
      </w:r>
      <w:r w:rsidRPr="008F03E5">
        <w:tab/>
      </w:r>
      <w:r w:rsidRPr="008F03E5">
        <w:rPr>
          <w:u w:val="single"/>
        </w:rPr>
        <w:t>Kh</w:t>
      </w:r>
      <w:r w:rsidRPr="008F03E5">
        <w:t xml:space="preserve">áḍi‘ pl. </w:t>
      </w:r>
      <w:r w:rsidRPr="008F03E5">
        <w:rPr>
          <w:u w:val="single"/>
        </w:rPr>
        <w:t>Kh</w:t>
      </w:r>
      <w:r w:rsidRPr="008F03E5">
        <w:t xml:space="preserve">uḍa‘, </w:t>
      </w:r>
      <w:r w:rsidRPr="008F03E5">
        <w:rPr>
          <w:u w:val="single"/>
        </w:rPr>
        <w:t>Kh</w:t>
      </w:r>
      <w:r w:rsidRPr="008F03E5">
        <w:t xml:space="preserve">uḍ‘án, </w:t>
      </w:r>
      <w:r w:rsidRPr="008F03E5">
        <w:rPr>
          <w:u w:val="single"/>
        </w:rPr>
        <w:t>Kh</w:t>
      </w:r>
      <w:r w:rsidRPr="008F03E5">
        <w:t>iḍ‘án</w:t>
      </w:r>
      <w:r w:rsidRPr="008F03E5">
        <w:tab/>
        <w:t>submissive, humble; obedient, pliant, tractable; subject, liable, prone (to something).  Pers. “</w:t>
      </w:r>
      <w:r w:rsidRPr="008F03E5">
        <w:rPr>
          <w:u w:val="single"/>
        </w:rPr>
        <w:t>Kh</w:t>
      </w:r>
      <w:r w:rsidRPr="008F03E5">
        <w:t xml:space="preserve">ádih”.  Jalál </w:t>
      </w:r>
      <w:r w:rsidRPr="008F03E5">
        <w:rPr>
          <w:u w:val="single"/>
        </w:rPr>
        <w:t>Kh</w:t>
      </w:r>
      <w:r w:rsidRPr="008F03E5">
        <w:t>áḍih, Hand of the Cause of God.</w:t>
      </w:r>
    </w:p>
    <w:p w14:paraId="1A357B5E" w14:textId="77777777" w:rsidR="00625A5B" w:rsidRPr="008F03E5" w:rsidRDefault="00625A5B" w:rsidP="00DC1CF6">
      <w:pPr>
        <w:pStyle w:val="Translit"/>
        <w:rPr>
          <w:rFonts w:eastAsia="PMingLiU"/>
          <w:lang w:eastAsia="zh-TW"/>
        </w:rPr>
      </w:pPr>
      <w:r w:rsidRPr="008F03E5">
        <w:rPr>
          <w:rFonts w:eastAsia="PMingLiU"/>
          <w:lang w:eastAsia="zh-TW"/>
        </w:rPr>
        <w:t>Khadi’, Khudda’, Khud’an, Khid’an</w:t>
      </w:r>
      <w:r w:rsidRPr="008F03E5">
        <w:rPr>
          <w:rFonts w:eastAsia="PMingLiU"/>
          <w:lang w:eastAsia="zh-TW"/>
        </w:rPr>
        <w:tab/>
      </w:r>
      <w:r w:rsidRPr="008F03E5">
        <w:rPr>
          <w:rFonts w:eastAsia="PMingLiU"/>
          <w:u w:val="single"/>
          <w:lang w:eastAsia="zh-TW"/>
        </w:rPr>
        <w:t>Kh</w:t>
      </w:r>
      <w:r w:rsidRPr="008F03E5">
        <w:rPr>
          <w:rFonts w:eastAsia="PMingLiU"/>
          <w:lang w:eastAsia="zh-TW"/>
        </w:rPr>
        <w:t xml:space="preserve">áḍi‘, pl. </w:t>
      </w:r>
      <w:r w:rsidRPr="008F03E5">
        <w:rPr>
          <w:rFonts w:eastAsia="PMingLiU"/>
          <w:u w:val="single"/>
          <w:lang w:eastAsia="zh-TW"/>
        </w:rPr>
        <w:t>Kh</w:t>
      </w:r>
      <w:r w:rsidRPr="008F03E5">
        <w:rPr>
          <w:rFonts w:eastAsia="PMingLiU"/>
          <w:lang w:eastAsia="zh-TW"/>
        </w:rPr>
        <w:t>uḍ</w:t>
      </w:r>
      <w:r w:rsidRPr="008F03E5">
        <w:t>ḍ</w:t>
      </w:r>
      <w:r w:rsidRPr="008F03E5">
        <w:rPr>
          <w:rFonts w:eastAsia="PMingLiU"/>
          <w:lang w:eastAsia="zh-TW"/>
        </w:rPr>
        <w:t xml:space="preserve">a‘, </w:t>
      </w:r>
      <w:r w:rsidRPr="008F03E5">
        <w:rPr>
          <w:rFonts w:eastAsia="PMingLiU"/>
          <w:u w:val="single"/>
          <w:lang w:eastAsia="zh-TW"/>
        </w:rPr>
        <w:t>Kh</w:t>
      </w:r>
      <w:r w:rsidRPr="008F03E5">
        <w:rPr>
          <w:rFonts w:eastAsia="PMingLiU"/>
          <w:lang w:eastAsia="zh-TW"/>
        </w:rPr>
        <w:t xml:space="preserve">uḍ‘án, </w:t>
      </w:r>
      <w:r w:rsidRPr="008F03E5">
        <w:rPr>
          <w:rFonts w:eastAsia="PMingLiU"/>
          <w:u w:val="single"/>
          <w:lang w:eastAsia="zh-TW"/>
        </w:rPr>
        <w:t>Kh</w:t>
      </w:r>
      <w:r w:rsidRPr="008F03E5">
        <w:rPr>
          <w:rFonts w:eastAsia="PMingLiU"/>
          <w:lang w:eastAsia="zh-TW"/>
        </w:rPr>
        <w:t>iḍ‘án</w:t>
      </w:r>
      <w:r w:rsidRPr="008F03E5">
        <w:rPr>
          <w:rFonts w:eastAsia="PMingLiU"/>
          <w:lang w:eastAsia="zh-TW"/>
        </w:rPr>
        <w:tab/>
        <w:t>submissive, humble; obedient, pliant, tractable; subject, liable, prone (to something)</w:t>
      </w:r>
      <w:r w:rsidRPr="008F03E5">
        <w:t xml:space="preserve">.  Pers. may use </w:t>
      </w:r>
      <w:r w:rsidRPr="008F03E5">
        <w:rPr>
          <w:u w:val="single"/>
        </w:rPr>
        <w:t>Kh</w:t>
      </w:r>
      <w:r w:rsidRPr="008F03E5">
        <w:t>ázih (Khazih)</w:t>
      </w:r>
    </w:p>
    <w:p w14:paraId="10CA8537" w14:textId="77777777" w:rsidR="00625A5B" w:rsidRPr="008F03E5" w:rsidRDefault="00625A5B" w:rsidP="00B06524">
      <w:pPr>
        <w:pStyle w:val="Translit"/>
        <w:rPr>
          <w:rFonts w:eastAsia="PMingLiU"/>
          <w:lang w:eastAsia="zh-TW"/>
        </w:rPr>
      </w:pPr>
      <w:r w:rsidRPr="008F03E5">
        <w:rPr>
          <w:rFonts w:eastAsia="PMingLiU"/>
          <w:lang w:eastAsia="zh-TW"/>
        </w:rPr>
        <w:t>Khadi’i</w:t>
      </w:r>
      <w:r w:rsidRPr="008F03E5">
        <w:tab/>
      </w:r>
      <w:r w:rsidRPr="008F03E5">
        <w:rPr>
          <w:u w:val="single"/>
        </w:rPr>
        <w:t>Kh</w:t>
      </w:r>
      <w:r w:rsidRPr="008F03E5">
        <w:rPr>
          <w:rFonts w:eastAsia="PMingLiU"/>
          <w:lang w:eastAsia="zh-TW"/>
        </w:rPr>
        <w:t>á</w:t>
      </w:r>
      <w:r w:rsidRPr="008F03E5">
        <w:t>ḍ</w:t>
      </w:r>
      <w:r w:rsidRPr="008F03E5">
        <w:rPr>
          <w:rFonts w:eastAsia="PMingLiU"/>
          <w:lang w:eastAsia="zh-TW"/>
        </w:rPr>
        <w:t>i‘í</w:t>
      </w:r>
      <w:r w:rsidRPr="008F03E5">
        <w:tab/>
        <w:t xml:space="preserve">[Doubtful </w:t>
      </w:r>
      <w:r w:rsidRPr="008F03E5">
        <w:rPr>
          <w:u w:val="single"/>
        </w:rPr>
        <w:t>Kh</w:t>
      </w:r>
      <w:r w:rsidRPr="008F03E5">
        <w:rPr>
          <w:rFonts w:eastAsia="PMingLiU"/>
          <w:lang w:eastAsia="zh-TW"/>
        </w:rPr>
        <w:t>á</w:t>
      </w:r>
      <w:r w:rsidRPr="008F03E5">
        <w:t>ḍí</w:t>
      </w:r>
      <w:r w:rsidRPr="008F03E5">
        <w:rPr>
          <w:rFonts w:eastAsia="PMingLiU"/>
          <w:lang w:eastAsia="zh-TW"/>
        </w:rPr>
        <w:t xml:space="preserve">’í in </w:t>
      </w:r>
      <w:r w:rsidRPr="008F03E5">
        <w:rPr>
          <w:rFonts w:eastAsia="PMingLiU"/>
          <w:i/>
          <w:iCs/>
          <w:sz w:val="16"/>
          <w:szCs w:val="16"/>
          <w:lang w:eastAsia="zh-TW"/>
        </w:rPr>
        <w:t>MUHJ</w:t>
      </w:r>
      <w:r w:rsidRPr="008F03E5">
        <w:rPr>
          <w:rFonts w:eastAsia="PMingLiU"/>
          <w:i/>
          <w:iCs/>
          <w:lang w:eastAsia="zh-TW"/>
        </w:rPr>
        <w:t xml:space="preserve"> 1963–86</w:t>
      </w:r>
      <w:r w:rsidRPr="008F03E5">
        <w:rPr>
          <w:rFonts w:eastAsia="PMingLiU"/>
          <w:lang w:eastAsia="zh-TW"/>
        </w:rPr>
        <w:t>, p. 502.]</w:t>
      </w:r>
    </w:p>
    <w:p w14:paraId="44654E12" w14:textId="77777777" w:rsidR="00625A5B" w:rsidRPr="008F03E5" w:rsidRDefault="00625A5B" w:rsidP="00A80D27">
      <w:pPr>
        <w:pStyle w:val="Translit"/>
      </w:pPr>
      <w:r w:rsidRPr="008F03E5">
        <w:t>Khadij</w:t>
      </w:r>
      <w:r w:rsidRPr="008F03E5">
        <w:tab/>
      </w:r>
      <w:r w:rsidRPr="008F03E5">
        <w:rPr>
          <w:u w:val="single"/>
        </w:rPr>
        <w:t>Kh</w:t>
      </w:r>
      <w:r w:rsidRPr="008F03E5">
        <w:t>adíj</w:t>
      </w:r>
      <w:r w:rsidRPr="008F03E5">
        <w:tab/>
        <w:t>premature child</w:t>
      </w:r>
    </w:p>
    <w:p w14:paraId="7D70E020" w14:textId="77777777" w:rsidR="00625A5B" w:rsidRPr="008F03E5" w:rsidRDefault="00625A5B" w:rsidP="00A80D27">
      <w:pPr>
        <w:pStyle w:val="Translit"/>
      </w:pPr>
      <w:r w:rsidRPr="008F03E5">
        <w:t>Khadija, Khadijih</w:t>
      </w:r>
      <w:r w:rsidRPr="008F03E5">
        <w:tab/>
      </w:r>
      <w:r w:rsidRPr="008F03E5">
        <w:rPr>
          <w:u w:val="single"/>
        </w:rPr>
        <w:t>Kh</w:t>
      </w:r>
      <w:r w:rsidRPr="008F03E5">
        <w:t xml:space="preserve">adíja[h or t], Pers. </w:t>
      </w:r>
      <w:r w:rsidRPr="008F03E5">
        <w:rPr>
          <w:u w:val="single"/>
        </w:rPr>
        <w:t>Kh</w:t>
      </w:r>
      <w:r w:rsidRPr="008F03E5">
        <w:t>adíjih</w:t>
      </w:r>
      <w:r w:rsidRPr="008F03E5">
        <w:tab/>
      </w:r>
      <w:bookmarkStart w:id="93" w:name="_Hlk56273640"/>
      <w:r w:rsidRPr="008F03E5">
        <w:rPr>
          <w:u w:val="single"/>
        </w:rPr>
        <w:t>Kh</w:t>
      </w:r>
      <w:r w:rsidRPr="008F03E5">
        <w:t xml:space="preserve">adíjah bint </w:t>
      </w:r>
      <w:r w:rsidRPr="008F03E5">
        <w:rPr>
          <w:u w:val="single"/>
        </w:rPr>
        <w:t>Kh</w:t>
      </w:r>
      <w:r w:rsidRPr="008F03E5">
        <w:t>uwaylid (555–619)</w:t>
      </w:r>
      <w:bookmarkEnd w:id="93"/>
      <w:r w:rsidRPr="008F03E5">
        <w:t xml:space="preserve">, Muḥammad’s first wife and first female follower of Muḥammad.  </w:t>
      </w:r>
      <w:r w:rsidRPr="008F03E5">
        <w:rPr>
          <w:u w:val="single"/>
        </w:rPr>
        <w:t>Kh</w:t>
      </w:r>
      <w:r w:rsidRPr="008F03E5">
        <w:t xml:space="preserve">adíjah was the daughter of </w:t>
      </w:r>
      <w:r w:rsidRPr="008F03E5">
        <w:rPr>
          <w:u w:val="single"/>
        </w:rPr>
        <w:t>Kh</w:t>
      </w:r>
      <w:r w:rsidRPr="008F03E5">
        <w:t>uwaylid ibn Asad, a leader of Quray</w:t>
      </w:r>
      <w:r w:rsidRPr="008F03E5">
        <w:rPr>
          <w:u w:val="single"/>
        </w:rPr>
        <w:t>sh</w:t>
      </w:r>
      <w:r w:rsidRPr="008F03E5">
        <w:t xml:space="preserve"> tribe in Mecca, and a successful businesswoman in her own right.</w:t>
      </w:r>
    </w:p>
    <w:p w14:paraId="6E5338CA" w14:textId="77777777" w:rsidR="00625A5B" w:rsidRPr="008F03E5" w:rsidRDefault="00625A5B" w:rsidP="00734541">
      <w:pPr>
        <w:pStyle w:val="Translit"/>
      </w:pPr>
      <w:r w:rsidRPr="008F03E5">
        <w:t>Khadijih Khanum</w:t>
      </w:r>
      <w:r w:rsidRPr="008F03E5">
        <w:tab/>
      </w:r>
      <w:r w:rsidRPr="008F03E5">
        <w:rPr>
          <w:u w:val="single"/>
        </w:rPr>
        <w:t>Kh</w:t>
      </w:r>
      <w:r w:rsidRPr="008F03E5">
        <w:t xml:space="preserve">adíjih </w:t>
      </w:r>
      <w:r w:rsidRPr="008F03E5">
        <w:rPr>
          <w:u w:val="single"/>
        </w:rPr>
        <w:t>Kh</w:t>
      </w:r>
      <w:r w:rsidRPr="008F03E5">
        <w:t>ánum</w:t>
      </w:r>
      <w:r w:rsidRPr="008F03E5">
        <w:tab/>
        <w:t xml:space="preserve">Mother of Bahá’u’lláh.  Children of second marriage—Daughters Sárih </w:t>
      </w:r>
      <w:r w:rsidRPr="008F03E5">
        <w:rPr>
          <w:u w:val="single"/>
        </w:rPr>
        <w:t>Kh</w:t>
      </w:r>
      <w:r w:rsidRPr="008F03E5">
        <w:t xml:space="preserve">ánum and Nisá’ </w:t>
      </w:r>
      <w:r w:rsidRPr="008F03E5">
        <w:rPr>
          <w:u w:val="single"/>
        </w:rPr>
        <w:t>Kh</w:t>
      </w:r>
      <w:r w:rsidRPr="008F03E5">
        <w:t>ánum.  Sons Bahá’u’lláh, Mírzá Músá and Mírzá Mihdí.</w:t>
      </w:r>
    </w:p>
    <w:p w14:paraId="09B67F51" w14:textId="77777777" w:rsidR="00625A5B" w:rsidRDefault="00625A5B" w:rsidP="00291705">
      <w:pPr>
        <w:pStyle w:val="Translit"/>
      </w:pPr>
      <w:r w:rsidRPr="008F03E5">
        <w:t>Khadijih-Bagum</w:t>
      </w:r>
      <w:r w:rsidRPr="008F03E5">
        <w:tab/>
      </w:r>
      <w:r w:rsidRPr="008F03E5">
        <w:rPr>
          <w:u w:val="single"/>
        </w:rPr>
        <w:t>Kh</w:t>
      </w:r>
      <w:r w:rsidRPr="008F03E5">
        <w:t>adíjih-Bagum</w:t>
      </w:r>
      <w:r w:rsidRPr="008F03E5">
        <w:tab/>
      </w:r>
      <w:r w:rsidRPr="008F03E5">
        <w:rPr>
          <w:u w:val="single"/>
        </w:rPr>
        <w:t>Kh</w:t>
      </w:r>
      <w:r w:rsidRPr="008F03E5">
        <w:t xml:space="preserve">adíjih-Bagum </w:t>
      </w:r>
      <w:r w:rsidRPr="00417520">
        <w:t xml:space="preserve">(1820–1882) was the </w:t>
      </w:r>
      <w:r w:rsidRPr="008F03E5">
        <w:t xml:space="preserve">wife of </w:t>
      </w:r>
      <w:r>
        <w:t xml:space="preserve">her second cousin, </w:t>
      </w:r>
      <w:r w:rsidRPr="008F03E5">
        <w:t>the Báb.</w:t>
      </w:r>
      <w:r>
        <w:t xml:space="preserve">  She was the daughter of Sayyid M</w:t>
      </w:r>
      <w:r w:rsidRPr="00081062">
        <w:t>í</w:t>
      </w:r>
      <w:r>
        <w:t>rz</w:t>
      </w:r>
      <w:r w:rsidRPr="00081062">
        <w:t>á</w:t>
      </w:r>
      <w:r>
        <w:t xml:space="preserve"> ‘Al</w:t>
      </w:r>
      <w:r w:rsidRPr="00081062">
        <w:t>í</w:t>
      </w:r>
      <w:r>
        <w:t xml:space="preserve">, a merchant, the paternal uncle of the Báb’s mother.  Her brother, </w:t>
      </w:r>
      <w:r w:rsidRPr="007777AC">
        <w:rPr>
          <w:rFonts w:ascii="Times New Roman" w:hAnsi="Times New Roman"/>
        </w:rPr>
        <w:t>Ḥ</w:t>
      </w:r>
      <w:r w:rsidRPr="007777AC">
        <w:t>ájí Mírzá Abu’l-Qásim</w:t>
      </w:r>
      <w:r>
        <w:t>, was the father of Sayyid Muḥammad-</w:t>
      </w:r>
      <w:r w:rsidRPr="00540A52">
        <w:t>Ḥ</w:t>
      </w:r>
      <w:r>
        <w:t xml:space="preserve">usayn, the grandfather of </w:t>
      </w:r>
      <w:r w:rsidRPr="00081062">
        <w:t>Ḥá</w:t>
      </w:r>
      <w:r>
        <w:t>j</w:t>
      </w:r>
      <w:r w:rsidRPr="00081062">
        <w:t>í</w:t>
      </w:r>
      <w:r>
        <w:t xml:space="preserve"> M</w:t>
      </w:r>
      <w:r w:rsidRPr="00081062">
        <w:t>í</w:t>
      </w:r>
      <w:r>
        <w:t>rz</w:t>
      </w:r>
      <w:r w:rsidRPr="00081062">
        <w:t>á</w:t>
      </w:r>
      <w:r>
        <w:t xml:space="preserve"> H</w:t>
      </w:r>
      <w:r w:rsidRPr="00081062">
        <w:t>á</w:t>
      </w:r>
      <w:r>
        <w:t>d</w:t>
      </w:r>
      <w:r w:rsidRPr="00081062">
        <w:t>í</w:t>
      </w:r>
      <w:r>
        <w:t xml:space="preserve"> </w:t>
      </w:r>
      <w:r w:rsidRPr="00FF03FB">
        <w:rPr>
          <w:u w:val="single"/>
        </w:rPr>
        <w:t>Sh</w:t>
      </w:r>
      <w:r w:rsidRPr="00FF03FB">
        <w:t>í</w:t>
      </w:r>
      <w:r>
        <w:t>r</w:t>
      </w:r>
      <w:r w:rsidRPr="00FF03FB">
        <w:t>á</w:t>
      </w:r>
      <w:r>
        <w:t>z</w:t>
      </w:r>
      <w:r w:rsidRPr="00FF03FB">
        <w:t>í</w:t>
      </w:r>
      <w:r>
        <w:t>, and the great grandfather of Shoghi Effendi.</w:t>
      </w:r>
    </w:p>
    <w:p w14:paraId="393F097D" w14:textId="77777777" w:rsidR="00625A5B" w:rsidRPr="008F03E5" w:rsidRDefault="00625A5B" w:rsidP="00720781">
      <w:pPr>
        <w:pStyle w:val="Translit"/>
      </w:pPr>
      <w:r w:rsidRPr="008F03E5">
        <w:t>Khadijih-Sultan</w:t>
      </w:r>
      <w:r w:rsidRPr="008F03E5">
        <w:tab/>
      </w:r>
      <w:r w:rsidRPr="008F03E5">
        <w:rPr>
          <w:u w:val="single"/>
        </w:rPr>
        <w:t>Kh</w:t>
      </w:r>
      <w:r w:rsidRPr="008F03E5">
        <w:t>adíjih-Sulṭán</w:t>
      </w:r>
      <w:r w:rsidRPr="008F03E5">
        <w:tab/>
      </w:r>
    </w:p>
    <w:p w14:paraId="425BC9B1" w14:textId="77777777" w:rsidR="00625A5B" w:rsidRPr="008F03E5" w:rsidRDefault="00625A5B" w:rsidP="007E24DB">
      <w:pPr>
        <w:pStyle w:val="Translit"/>
      </w:pPr>
      <w:r w:rsidRPr="008F03E5">
        <w:t>Khadim (Khadem), Khuddam, Khudama</w:t>
      </w:r>
      <w:r w:rsidRPr="008F03E5">
        <w:tab/>
      </w:r>
      <w:bookmarkStart w:id="94" w:name="_Hlk60403466"/>
      <w:r w:rsidRPr="008F03E5">
        <w:rPr>
          <w:u w:val="single"/>
        </w:rPr>
        <w:t>Kh</w:t>
      </w:r>
      <w:r w:rsidRPr="008F03E5">
        <w:t>ádim</w:t>
      </w:r>
      <w:bookmarkEnd w:id="94"/>
      <w:r w:rsidRPr="008F03E5">
        <w:t xml:space="preserve">, fem. </w:t>
      </w:r>
      <w:r w:rsidRPr="008F03E5">
        <w:rPr>
          <w:u w:val="single"/>
        </w:rPr>
        <w:t>Kh</w:t>
      </w:r>
      <w:r w:rsidRPr="008F03E5">
        <w:t>ádima[h or t]</w:t>
      </w:r>
      <w:r w:rsidRPr="008F03E5">
        <w:tab/>
        <w:t xml:space="preserve">pl. </w:t>
      </w:r>
      <w:r w:rsidRPr="008F03E5">
        <w:rPr>
          <w:u w:val="single"/>
        </w:rPr>
        <w:t>Kh</w:t>
      </w:r>
      <w:r w:rsidRPr="008F03E5">
        <w:t xml:space="preserve">uddám, </w:t>
      </w:r>
      <w:r w:rsidRPr="008F03E5">
        <w:rPr>
          <w:u w:val="single"/>
        </w:rPr>
        <w:t>Kh</w:t>
      </w:r>
      <w:r w:rsidRPr="008F03E5">
        <w:t>udama.  domestic servant, help; manservant; woman servant; employee; attendant; waiter; deacon (Christian) (</w:t>
      </w:r>
      <w:r w:rsidRPr="008F03E5">
        <w:rPr>
          <w:u w:val="single"/>
        </w:rPr>
        <w:t>Dh</w:t>
      </w:r>
      <w:r w:rsidRPr="008F03E5">
        <w:t xml:space="preserve">ikru’lláh </w:t>
      </w:r>
      <w:r w:rsidRPr="008F03E5">
        <w:rPr>
          <w:u w:val="single"/>
        </w:rPr>
        <w:t>Kh</w:t>
      </w:r>
      <w:r w:rsidRPr="008F03E5">
        <w:t>ádem (sic), appointed Hand of the Cause of God, 1957)</w:t>
      </w:r>
    </w:p>
    <w:p w14:paraId="56555780" w14:textId="77777777" w:rsidR="00625A5B" w:rsidRPr="008F03E5" w:rsidRDefault="00625A5B" w:rsidP="007E24DB">
      <w:pPr>
        <w:pStyle w:val="Translit"/>
      </w:pPr>
      <w:r w:rsidRPr="008F03E5">
        <w:t>Khadimu’llah, Khadimatu’llah</w:t>
      </w:r>
      <w:r w:rsidRPr="008F03E5">
        <w:tab/>
      </w:r>
      <w:r w:rsidRPr="008F03E5">
        <w:rPr>
          <w:u w:val="single"/>
        </w:rPr>
        <w:t>Kh</w:t>
      </w:r>
      <w:r w:rsidRPr="008F03E5">
        <w:t xml:space="preserve">ádimu’lláh, fem. </w:t>
      </w:r>
      <w:r w:rsidRPr="008F03E5">
        <w:rPr>
          <w:u w:val="single"/>
        </w:rPr>
        <w:t>Kh</w:t>
      </w:r>
      <w:r w:rsidRPr="008F03E5">
        <w:t>ádimatu’lláh</w:t>
      </w:r>
      <w:r w:rsidRPr="008F03E5">
        <w:tab/>
        <w:t>“Servant of God” or “Maidservant of God”.  Bahá’u’lláh gave this title to Mírzá Áqá Ján (1837–1901), the first believer in Him, his personal attendant, later also His amanuensis.  He broke the Covenant after the death of Bahá’u’lláh.</w:t>
      </w:r>
    </w:p>
    <w:p w14:paraId="230ABF4A" w14:textId="77777777" w:rsidR="00625A5B" w:rsidRPr="008F03E5" w:rsidRDefault="00625A5B" w:rsidP="00B86E8D">
      <w:pPr>
        <w:pStyle w:val="Translit"/>
      </w:pPr>
      <w:r w:rsidRPr="008F03E5">
        <w:t>Khadir</w:t>
      </w:r>
      <w:r w:rsidRPr="008F03E5">
        <w:tab/>
      </w:r>
      <w:r w:rsidRPr="008F03E5">
        <w:rPr>
          <w:u w:val="single"/>
        </w:rPr>
        <w:t>Kh</w:t>
      </w:r>
      <w:r w:rsidRPr="008F03E5">
        <w:t>aḍir</w:t>
      </w:r>
      <w:r w:rsidRPr="008F03E5">
        <w:tab/>
        <w:t>green, verdant; verdure, greenery; young green crop (of grain)</w:t>
      </w:r>
    </w:p>
    <w:p w14:paraId="6E594209" w14:textId="77777777" w:rsidR="00625A5B" w:rsidRPr="008F03E5" w:rsidRDefault="00625A5B" w:rsidP="00EA60D9">
      <w:pPr>
        <w:pStyle w:val="Translit"/>
      </w:pPr>
      <w:r w:rsidRPr="008F03E5">
        <w:t>Khadir, Khidir, Khidr</w:t>
      </w:r>
      <w:r w:rsidRPr="008F03E5">
        <w:tab/>
        <w:t>al-</w:t>
      </w:r>
      <w:r w:rsidRPr="008F03E5">
        <w:rPr>
          <w:u w:val="single"/>
        </w:rPr>
        <w:t>Kh</w:t>
      </w:r>
      <w:r w:rsidRPr="008F03E5">
        <w:t>aḍir, al-</w:t>
      </w:r>
      <w:r w:rsidRPr="008F03E5">
        <w:rPr>
          <w:u w:val="single"/>
        </w:rPr>
        <w:t>Kh</w:t>
      </w:r>
      <w:r w:rsidRPr="008F03E5">
        <w:t>iḍir (al-</w:t>
      </w:r>
      <w:r w:rsidRPr="008F03E5">
        <w:rPr>
          <w:u w:val="single"/>
        </w:rPr>
        <w:t>Kh</w:t>
      </w:r>
      <w:r w:rsidRPr="008F03E5">
        <w:t>iḍr)</w:t>
      </w:r>
      <w:r w:rsidRPr="008F03E5">
        <w:tab/>
        <w:t xml:space="preserve">a well-known legendary figure (“The Green One”) or immortal saint.  Identified as “One of our servants”, Qur’án 18:65.  His name is not mentioned in the Qur’án, but tradition gives it as </w:t>
      </w:r>
      <w:r w:rsidRPr="008F03E5">
        <w:rPr>
          <w:u w:val="single"/>
        </w:rPr>
        <w:t>Kh</w:t>
      </w:r>
      <w:r w:rsidRPr="008F03E5">
        <w:t xml:space="preserve">iḍr.  His knowledge is fresh and green, and drawn out of the living sources of life (Alláh).  Equivalent in the Bible is considered to be Melchizedek.  </w:t>
      </w:r>
      <w:r w:rsidRPr="008F03E5">
        <w:rPr>
          <w:i/>
          <w:iCs/>
        </w:rPr>
        <w:t xml:space="preserve">Bahíyya </w:t>
      </w:r>
      <w:r w:rsidRPr="008F03E5">
        <w:rPr>
          <w:i/>
          <w:iCs/>
          <w:u w:val="single"/>
        </w:rPr>
        <w:t>Kh</w:t>
      </w:r>
      <w:r w:rsidRPr="008F03E5">
        <w:rPr>
          <w:i/>
          <w:iCs/>
        </w:rPr>
        <w:t>ánum</w:t>
      </w:r>
      <w:r w:rsidRPr="008F03E5">
        <w:t xml:space="preserve">, p. 99 states the Cave of </w:t>
      </w:r>
      <w:r w:rsidRPr="008F03E5">
        <w:rPr>
          <w:u w:val="single"/>
        </w:rPr>
        <w:t>Kh</w:t>
      </w:r>
      <w:r w:rsidRPr="008F03E5">
        <w:t>iḍr is the Cave of Elijah.</w:t>
      </w:r>
    </w:p>
    <w:p w14:paraId="71475066" w14:textId="77777777" w:rsidR="00625A5B" w:rsidRPr="008F03E5" w:rsidRDefault="00625A5B" w:rsidP="00B31D70">
      <w:pPr>
        <w:pStyle w:val="Translit"/>
      </w:pPr>
      <w:r w:rsidRPr="008F03E5">
        <w:t>Khafid</w:t>
      </w:r>
      <w:r w:rsidRPr="008F03E5">
        <w:tab/>
      </w:r>
      <w:r w:rsidRPr="008F03E5">
        <w:rPr>
          <w:u w:val="single"/>
        </w:rPr>
        <w:t>Kh</w:t>
      </w:r>
      <w:r w:rsidRPr="008F03E5">
        <w:t>áfiḍ</w:t>
      </w:r>
      <w:r w:rsidRPr="008F03E5">
        <w:tab/>
        <w:t>a depressor; one of the attributes of God (as depressing the proud)</w:t>
      </w:r>
    </w:p>
    <w:p w14:paraId="57E43FEE" w14:textId="77777777" w:rsidR="00625A5B" w:rsidRPr="008F03E5" w:rsidRDefault="00625A5B" w:rsidP="00DB52E6">
      <w:pPr>
        <w:pStyle w:val="Translit"/>
      </w:pPr>
      <w:r w:rsidRPr="008F03E5">
        <w:t>Khafiy</w:t>
      </w:r>
      <w:r w:rsidRPr="008F03E5">
        <w:tab/>
      </w:r>
      <w:r w:rsidRPr="008F03E5">
        <w:rPr>
          <w:u w:val="single"/>
        </w:rPr>
        <w:t>Kh</w:t>
      </w:r>
      <w:r w:rsidRPr="008F03E5">
        <w:t>afíy</w:t>
      </w:r>
      <w:r w:rsidRPr="008F03E5">
        <w:tab/>
        <w:t>hidden, concealed; secret, unknown; unseen, invisible; mysterious</w:t>
      </w:r>
    </w:p>
    <w:p w14:paraId="6A75766F" w14:textId="77777777" w:rsidR="00625A5B" w:rsidRPr="008F03E5" w:rsidRDefault="00625A5B" w:rsidP="00193300">
      <w:pPr>
        <w:pStyle w:val="Translit"/>
      </w:pPr>
      <w:r w:rsidRPr="008F03E5">
        <w:t>Khafiya, Khafiyyih, Khafaya</w:t>
      </w:r>
      <w:r w:rsidRPr="008F03E5">
        <w:tab/>
        <w:t>Khafíya[h], (Pers. Khafiyyih), pl. Khafáyá</w:t>
      </w:r>
      <w:r w:rsidRPr="008F03E5">
        <w:tab/>
        <w:t xml:space="preserve">fem. of </w:t>
      </w:r>
      <w:r w:rsidRPr="008F03E5">
        <w:rPr>
          <w:u w:val="single"/>
        </w:rPr>
        <w:t>kh</w:t>
      </w:r>
      <w:r w:rsidRPr="008F03E5">
        <w:t>afíy.  A secret, a secret affair.  Quietly and privately, as in prayers, etc.</w:t>
      </w:r>
    </w:p>
    <w:p w14:paraId="374D6C86" w14:textId="77777777" w:rsidR="00625A5B" w:rsidRPr="008F03E5" w:rsidRDefault="00625A5B" w:rsidP="00B621CC">
      <w:pPr>
        <w:pStyle w:val="Translit"/>
      </w:pPr>
      <w:r w:rsidRPr="008F03E5">
        <w:t>Khal, Akhwal, Khu’ul, Khu’la</w:t>
      </w:r>
      <w:r w:rsidRPr="008F03E5">
        <w:tab/>
      </w:r>
      <w:r w:rsidRPr="008F03E5">
        <w:rPr>
          <w:u w:val="single"/>
        </w:rPr>
        <w:t>Kh</w:t>
      </w:r>
      <w:r w:rsidRPr="008F03E5">
        <w:t>ál, pl. A</w:t>
      </w:r>
      <w:r w:rsidRPr="008F03E5">
        <w:rPr>
          <w:u w:val="single"/>
        </w:rPr>
        <w:t>kh</w:t>
      </w:r>
      <w:r w:rsidRPr="008F03E5">
        <w:t xml:space="preserve">wál, </w:t>
      </w:r>
      <w:r w:rsidRPr="008F03E5">
        <w:rPr>
          <w:u w:val="single"/>
        </w:rPr>
        <w:t>Kh</w:t>
      </w:r>
      <w:r w:rsidRPr="008F03E5">
        <w:t xml:space="preserve">u’úl, </w:t>
      </w:r>
      <w:r w:rsidRPr="008F03E5">
        <w:rPr>
          <w:u w:val="single"/>
        </w:rPr>
        <w:t>Kh</w:t>
      </w:r>
      <w:r w:rsidRPr="008F03E5">
        <w:t>u’úla</w:t>
      </w:r>
      <w:r w:rsidRPr="008F03E5">
        <w:tab/>
        <w:t xml:space="preserve">(maternal) uncle;—(pl. </w:t>
      </w:r>
      <w:r w:rsidRPr="008F03E5">
        <w:rPr>
          <w:u w:val="single"/>
        </w:rPr>
        <w:t>kh</w:t>
      </w:r>
      <w:r w:rsidRPr="008F03E5">
        <w:t>ílán) mole, birthmark (on the face); patch, beauty spot</w:t>
      </w:r>
    </w:p>
    <w:p w14:paraId="30490F3F" w14:textId="77777777" w:rsidR="00625A5B" w:rsidRPr="008F03E5" w:rsidRDefault="00625A5B" w:rsidP="00131F29">
      <w:pPr>
        <w:pStyle w:val="Translit"/>
      </w:pPr>
      <w:r w:rsidRPr="008F03E5">
        <w:t>Khalaf, Akhlaf</w:t>
      </w:r>
      <w:r w:rsidRPr="008F03E5">
        <w:tab/>
      </w:r>
      <w:r w:rsidRPr="008F03E5">
        <w:rPr>
          <w:u w:val="single"/>
        </w:rPr>
        <w:t>Kh</w:t>
      </w:r>
      <w:r w:rsidRPr="008F03E5">
        <w:t>alaf, pl. A</w:t>
      </w:r>
      <w:r w:rsidRPr="008F03E5">
        <w:rPr>
          <w:u w:val="single"/>
        </w:rPr>
        <w:t>kh</w:t>
      </w:r>
      <w:r w:rsidRPr="008F03E5">
        <w:t>láf</w:t>
      </w:r>
      <w:r w:rsidRPr="008F03E5">
        <w:tab/>
        <w:t>substitute; successor; descendant, offspring, scion</w:t>
      </w:r>
    </w:p>
    <w:p w14:paraId="7DDAB10F" w14:textId="77777777" w:rsidR="00625A5B" w:rsidRPr="008F03E5" w:rsidRDefault="00625A5B" w:rsidP="00884F4C">
      <w:pPr>
        <w:pStyle w:val="Translit"/>
      </w:pPr>
      <w:r w:rsidRPr="008F03E5">
        <w:t>Khalaj</w:t>
      </w:r>
      <w:r w:rsidRPr="008F03E5">
        <w:tab/>
      </w:r>
      <w:r w:rsidRPr="008F03E5">
        <w:rPr>
          <w:u w:val="single"/>
        </w:rPr>
        <w:t>Kh</w:t>
      </w:r>
      <w:r w:rsidRPr="008F03E5">
        <w:t>alaj</w:t>
      </w:r>
      <w:r w:rsidRPr="008F03E5">
        <w:tab/>
        <w:t>Pers. t</w:t>
      </w:r>
      <w:r w:rsidRPr="008F03E5">
        <w:rPr>
          <w:rFonts w:eastAsia="Times New Roman"/>
        </w:rPr>
        <w:t>he aching of the bones from excessive labour.  T</w:t>
      </w:r>
      <w:r w:rsidRPr="008F03E5">
        <w:t xml:space="preserve">he </w:t>
      </w:r>
      <w:r w:rsidRPr="008F03E5">
        <w:rPr>
          <w:u w:val="single"/>
        </w:rPr>
        <w:t>Kh</w:t>
      </w:r>
      <w:r w:rsidRPr="008F03E5">
        <w:t xml:space="preserve">alaj people (also spelt Xalaj or Khaladzh; Persian:  Xalajhá) are primarily classified as a Turkic people likely of Indo-Iranian origin that speak the </w:t>
      </w:r>
      <w:r w:rsidRPr="008F03E5">
        <w:rPr>
          <w:u w:val="single"/>
        </w:rPr>
        <w:t>Kh</w:t>
      </w:r>
      <w:r w:rsidRPr="008F03E5">
        <w:t>alaj language.  Became largely Persianized in the mid-20th century.</w:t>
      </w:r>
    </w:p>
    <w:p w14:paraId="49C79019" w14:textId="77777777" w:rsidR="00625A5B" w:rsidRPr="008F03E5" w:rsidRDefault="00625A5B" w:rsidP="00D36DF7">
      <w:pPr>
        <w:pStyle w:val="Translit"/>
      </w:pPr>
      <w:r w:rsidRPr="008F03E5">
        <w:t>Khalajabadi</w:t>
      </w:r>
      <w:r w:rsidRPr="008F03E5">
        <w:tab/>
      </w:r>
      <w:r w:rsidRPr="008F03E5">
        <w:rPr>
          <w:u w:val="single"/>
        </w:rPr>
        <w:t>Kh</w:t>
      </w:r>
      <w:r w:rsidRPr="008F03E5">
        <w:t>alajábádí (</w:t>
      </w:r>
      <w:r w:rsidRPr="008F03E5">
        <w:rPr>
          <w:u w:val="single"/>
        </w:rPr>
        <w:t>Kh</w:t>
      </w:r>
      <w:r w:rsidRPr="008F03E5">
        <w:t>alaj + Ábádí)</w:t>
      </w:r>
      <w:r w:rsidRPr="008F03E5">
        <w:tab/>
        <w:t xml:space="preserve">Pers. Kayván </w:t>
      </w:r>
      <w:r w:rsidRPr="008F03E5">
        <w:rPr>
          <w:u w:val="single"/>
        </w:rPr>
        <w:t>Kh</w:t>
      </w:r>
      <w:r w:rsidRPr="008F03E5">
        <w:t>alajábádí</w:t>
      </w:r>
    </w:p>
    <w:p w14:paraId="07EFEE78" w14:textId="77777777" w:rsidR="00625A5B" w:rsidRPr="008F03E5" w:rsidRDefault="00625A5B" w:rsidP="00FB43B3">
      <w:pPr>
        <w:pStyle w:val="Translit"/>
      </w:pPr>
      <w:r w:rsidRPr="008F03E5">
        <w:t>Khalal, Khilal</w:t>
      </w:r>
      <w:r w:rsidRPr="008F03E5">
        <w:tab/>
      </w:r>
      <w:r w:rsidRPr="008F03E5">
        <w:rPr>
          <w:u w:val="single"/>
        </w:rPr>
        <w:t>Kh</w:t>
      </w:r>
      <w:r w:rsidRPr="008F03E5">
        <w:t xml:space="preserve">alal, pl. </w:t>
      </w:r>
      <w:r w:rsidRPr="008F03E5">
        <w:rPr>
          <w:u w:val="single"/>
        </w:rPr>
        <w:t>Kh</w:t>
      </w:r>
      <w:r w:rsidRPr="008F03E5">
        <w:t>ilál</w:t>
      </w:r>
      <w:r w:rsidRPr="008F03E5">
        <w:tab/>
        <w:t xml:space="preserve">gap, interval, interstice; cleft, crack, rupture, fissure; a defective, unbalanced state, imbalance; defectiveness, imperfection; fault, flaw, defeat, shortcoming; disturbance, upset, disorder; damage, injury, harm (that something suffers or suffered); </w:t>
      </w:r>
      <w:r w:rsidRPr="008F03E5">
        <w:rPr>
          <w:u w:val="single"/>
        </w:rPr>
        <w:t>kh</w:t>
      </w:r>
      <w:r w:rsidRPr="008F03E5">
        <w:t>ilála during; between; through</w:t>
      </w:r>
    </w:p>
    <w:p w14:paraId="1A9C2DD7" w14:textId="77777777" w:rsidR="00625A5B" w:rsidRPr="008F03E5" w:rsidRDefault="00625A5B" w:rsidP="00951990">
      <w:pPr>
        <w:pStyle w:val="Translit"/>
      </w:pPr>
      <w:r w:rsidRPr="008F03E5">
        <w:t>Khalaqa, (Khalq)</w:t>
      </w:r>
      <w:r w:rsidRPr="008F03E5">
        <w:tab/>
      </w:r>
      <w:r w:rsidRPr="008F03E5">
        <w:rPr>
          <w:u w:val="single"/>
        </w:rPr>
        <w:t>Kh</w:t>
      </w:r>
      <w:r w:rsidRPr="008F03E5">
        <w:t>alaqa (</w:t>
      </w:r>
      <w:r w:rsidRPr="008F03E5">
        <w:rPr>
          <w:u w:val="single"/>
        </w:rPr>
        <w:t>Kh</w:t>
      </w:r>
      <w:r w:rsidRPr="008F03E5">
        <w:t>alq)</w:t>
      </w:r>
      <w:r w:rsidRPr="008F03E5">
        <w:tab/>
        <w:t>to create, make, originate (something); to shape, form, mould (something)</w:t>
      </w:r>
    </w:p>
    <w:p w14:paraId="74974614" w14:textId="77777777" w:rsidR="00625A5B" w:rsidRPr="008F03E5" w:rsidRDefault="00625A5B" w:rsidP="009752BA">
      <w:pPr>
        <w:pStyle w:val="Translit"/>
      </w:pPr>
      <w:r w:rsidRPr="008F03E5">
        <w:t>Khaldi, Khaldun</w:t>
      </w:r>
      <w:r w:rsidRPr="008F03E5">
        <w:tab/>
      </w:r>
      <w:r w:rsidRPr="008F03E5">
        <w:rPr>
          <w:u w:val="single"/>
        </w:rPr>
        <w:t>Kh</w:t>
      </w:r>
      <w:r w:rsidRPr="008F03E5">
        <w:t xml:space="preserve">aldí, pl. </w:t>
      </w:r>
      <w:r w:rsidRPr="008F03E5">
        <w:rPr>
          <w:u w:val="single"/>
        </w:rPr>
        <w:t>Kh</w:t>
      </w:r>
      <w:r w:rsidRPr="008F03E5">
        <w:t>aldún</w:t>
      </w:r>
      <w:r w:rsidRPr="008F03E5">
        <w:tab/>
        <w:t xml:space="preserve">adjective eternity (from root </w:t>
      </w:r>
      <w:r w:rsidRPr="008F03E5">
        <w:rPr>
          <w:u w:val="single"/>
        </w:rPr>
        <w:t>kh</w:t>
      </w:r>
      <w:r w:rsidRPr="008F03E5">
        <w:t xml:space="preserve">alada and noun </w:t>
      </w:r>
      <w:r w:rsidRPr="008F03E5">
        <w:rPr>
          <w:u w:val="single"/>
        </w:rPr>
        <w:t>kh</w:t>
      </w:r>
      <w:r w:rsidRPr="008F03E5">
        <w:t xml:space="preserve">ald).  ibn </w:t>
      </w:r>
      <w:r w:rsidRPr="008F03E5">
        <w:rPr>
          <w:u w:val="single"/>
        </w:rPr>
        <w:t>Kh</w:t>
      </w:r>
      <w:r w:rsidRPr="008F03E5">
        <w:t>aldún (1332–1406, “Ibn-Kaldoon”, “son of immortals”) is a famous Arab philosopher and historian.</w:t>
      </w:r>
    </w:p>
    <w:p w14:paraId="6A685736" w14:textId="77777777" w:rsidR="00625A5B" w:rsidRPr="008F03E5" w:rsidRDefault="00625A5B" w:rsidP="006D7E05">
      <w:pPr>
        <w:pStyle w:val="Translit"/>
      </w:pPr>
      <w:r w:rsidRPr="008F03E5">
        <w:rPr>
          <w:rFonts w:eastAsia="Times New Roman"/>
        </w:rPr>
        <w:t>Khali (Khalin)</w:t>
      </w:r>
      <w:r w:rsidRPr="008F03E5">
        <w:rPr>
          <w:rFonts w:eastAsia="Times New Roman"/>
        </w:rPr>
        <w:tab/>
      </w:r>
      <w:r w:rsidRPr="008F03E5">
        <w:rPr>
          <w:rFonts w:eastAsia="Times New Roman"/>
          <w:u w:val="single"/>
        </w:rPr>
        <w:t>Kh</w:t>
      </w:r>
      <w:r w:rsidRPr="008F03E5">
        <w:rPr>
          <w:rFonts w:eastAsia="Times New Roman"/>
        </w:rPr>
        <w:t>álí (</w:t>
      </w:r>
      <w:r w:rsidRPr="008F03E5">
        <w:rPr>
          <w:rFonts w:eastAsia="Times New Roman"/>
          <w:u w:val="single"/>
        </w:rPr>
        <w:t>Kh</w:t>
      </w:r>
      <w:r w:rsidRPr="008F03E5">
        <w:t>á</w:t>
      </w:r>
      <w:r w:rsidRPr="008F03E5">
        <w:rPr>
          <w:rFonts w:eastAsia="Times New Roman"/>
        </w:rPr>
        <w:t>lin)</w:t>
      </w:r>
      <w:r w:rsidRPr="008F03E5">
        <w:rPr>
          <w:rFonts w:eastAsia="Times New Roman"/>
        </w:rPr>
        <w:tab/>
        <w:t>free, unrestrained, open, vacant (office, position), void; idle, unemployed; free (from), devoid</w:t>
      </w:r>
    </w:p>
    <w:p w14:paraId="3FE6ACAD" w14:textId="77777777" w:rsidR="00625A5B" w:rsidRPr="008F03E5" w:rsidRDefault="00625A5B" w:rsidP="00570415">
      <w:pPr>
        <w:pStyle w:val="Translit"/>
      </w:pPr>
      <w:r w:rsidRPr="008F03E5">
        <w:t>Khal-i-A’zam</w:t>
      </w:r>
      <w:r w:rsidRPr="008F03E5">
        <w:tab/>
      </w:r>
      <w:r w:rsidRPr="008F03E5">
        <w:rPr>
          <w:u w:val="single"/>
        </w:rPr>
        <w:t>Kh</w:t>
      </w:r>
      <w:r w:rsidRPr="008F03E5">
        <w:t>ál-i-A‘ẓam</w:t>
      </w:r>
      <w:r w:rsidRPr="008F03E5">
        <w:tab/>
        <w:t>“the Greatest Uncle”, Ḥájí Mírzá Siyyid ‘Alí, middle maternal uncle and guardian of the Báb</w:t>
      </w:r>
    </w:p>
    <w:p w14:paraId="0F7B3E92" w14:textId="77777777" w:rsidR="00625A5B" w:rsidRPr="008F03E5" w:rsidRDefault="00625A5B" w:rsidP="00D625BF">
      <w:pPr>
        <w:pStyle w:val="Translit"/>
      </w:pPr>
      <w:r w:rsidRPr="008F03E5">
        <w:t>Khal-i-Akbar</w:t>
      </w:r>
      <w:r w:rsidRPr="008F03E5">
        <w:tab/>
      </w:r>
      <w:r w:rsidRPr="008F03E5">
        <w:rPr>
          <w:u w:val="single"/>
        </w:rPr>
        <w:t>Kh</w:t>
      </w:r>
      <w:r w:rsidRPr="008F03E5">
        <w:t>ál-i-Akbar</w:t>
      </w:r>
      <w:r w:rsidRPr="008F03E5">
        <w:tab/>
        <w:t>“the greater uncle”, Ḥájí Mírzá Siyyid Muḥammad, eldest maternal uncle</w:t>
      </w:r>
    </w:p>
    <w:p w14:paraId="061C12BA" w14:textId="77777777" w:rsidR="00625A5B" w:rsidRPr="008F03E5" w:rsidRDefault="00625A5B" w:rsidP="00900A82">
      <w:pPr>
        <w:pStyle w:val="Translit"/>
      </w:pPr>
      <w:r w:rsidRPr="008F03E5">
        <w:t>Khal-i-Asghar</w:t>
      </w:r>
      <w:r w:rsidRPr="008F03E5">
        <w:tab/>
      </w:r>
      <w:r w:rsidRPr="008F03E5">
        <w:rPr>
          <w:u w:val="single"/>
        </w:rPr>
        <w:t>Kh</w:t>
      </w:r>
      <w:r w:rsidRPr="008F03E5">
        <w:t>ál-i-Aṣ</w:t>
      </w:r>
      <w:r w:rsidRPr="008F03E5">
        <w:rPr>
          <w:u w:val="single"/>
        </w:rPr>
        <w:t>gh</w:t>
      </w:r>
      <w:r w:rsidRPr="008F03E5">
        <w:t>ar</w:t>
      </w:r>
      <w:r w:rsidRPr="008F03E5">
        <w:tab/>
        <w:t>“younger or junior uncle”, Siyyid Mírzá Ḥasan-‘Alí, youngest maternal uncle of the Báb</w:t>
      </w:r>
    </w:p>
    <w:p w14:paraId="7E071912" w14:textId="77777777" w:rsidR="00625A5B" w:rsidRPr="008F03E5" w:rsidRDefault="00625A5B" w:rsidP="006E7727">
      <w:pPr>
        <w:pStyle w:val="Translit"/>
      </w:pPr>
      <w:r w:rsidRPr="008F03E5">
        <w:t>Khalid, Khwalid</w:t>
      </w:r>
      <w:r w:rsidRPr="008F03E5">
        <w:tab/>
      </w:r>
      <w:r w:rsidRPr="008F03E5">
        <w:rPr>
          <w:u w:val="single"/>
        </w:rPr>
        <w:t>Kh</w:t>
      </w:r>
      <w:r w:rsidRPr="008F03E5">
        <w:t xml:space="preserve">álid, pl. </w:t>
      </w:r>
      <w:r w:rsidRPr="008F03E5">
        <w:rPr>
          <w:u w:val="single"/>
        </w:rPr>
        <w:t>Kh</w:t>
      </w:r>
      <w:r w:rsidRPr="008F03E5">
        <w:t>wálid</w:t>
      </w:r>
      <w:r w:rsidRPr="008F03E5">
        <w:tab/>
        <w:t>everlasting, perpetual, eternal; immortal, deathless, undying; unforgettable, glorious;—pl. mountains</w:t>
      </w:r>
    </w:p>
    <w:p w14:paraId="7159CDE2" w14:textId="77777777" w:rsidR="00625A5B" w:rsidRPr="008F03E5" w:rsidRDefault="00625A5B" w:rsidP="00637F88">
      <w:pPr>
        <w:pStyle w:val="Translit"/>
      </w:pPr>
      <w:r w:rsidRPr="008F03E5">
        <w:t>Khalidiya, Khalidiyyih</w:t>
      </w:r>
      <w:r w:rsidRPr="008F03E5">
        <w:tab/>
      </w:r>
      <w:r w:rsidRPr="008F03E5">
        <w:rPr>
          <w:u w:val="single"/>
        </w:rPr>
        <w:t>Kh</w:t>
      </w:r>
      <w:r w:rsidRPr="008F03E5">
        <w:t xml:space="preserve">álidíya[h], Pers. </w:t>
      </w:r>
      <w:r w:rsidRPr="008F03E5">
        <w:rPr>
          <w:u w:val="single"/>
        </w:rPr>
        <w:t>Kh</w:t>
      </w:r>
      <w:r w:rsidRPr="008F03E5">
        <w:t>álidíyyih</w:t>
      </w:r>
      <w:r w:rsidRPr="008F03E5">
        <w:tab/>
        <w:t>al-</w:t>
      </w:r>
      <w:r w:rsidRPr="008F03E5">
        <w:rPr>
          <w:u w:val="single"/>
        </w:rPr>
        <w:t>Kh</w:t>
      </w:r>
      <w:r w:rsidRPr="008F03E5">
        <w:t xml:space="preserve">álidíya “belonging to </w:t>
      </w:r>
      <w:r w:rsidRPr="008F03E5">
        <w:rPr>
          <w:u w:val="single"/>
        </w:rPr>
        <w:t>Kh</w:t>
      </w:r>
      <w:r w:rsidRPr="008F03E5">
        <w:t>álid”.  Naq</w:t>
      </w:r>
      <w:r w:rsidRPr="008F03E5">
        <w:rPr>
          <w:u w:val="single"/>
        </w:rPr>
        <w:t>sh</w:t>
      </w:r>
      <w:r w:rsidRPr="008F03E5">
        <w:t xml:space="preserve">bandíya </w:t>
      </w:r>
      <w:r w:rsidRPr="008F03E5">
        <w:rPr>
          <w:u w:val="single"/>
        </w:rPr>
        <w:t>Kh</w:t>
      </w:r>
      <w:r w:rsidRPr="008F03E5">
        <w:t xml:space="preserve">álidíya, </w:t>
      </w:r>
      <w:r w:rsidRPr="008F03E5">
        <w:rPr>
          <w:u w:val="single"/>
        </w:rPr>
        <w:t>Kh</w:t>
      </w:r>
      <w:r w:rsidRPr="008F03E5">
        <w:t xml:space="preserve">álidíya or </w:t>
      </w:r>
      <w:r w:rsidRPr="008F03E5">
        <w:rPr>
          <w:u w:val="single"/>
        </w:rPr>
        <w:t>Kh</w:t>
      </w:r>
      <w:r w:rsidRPr="008F03E5">
        <w:t>álidí is the title of a branch of the Naq</w:t>
      </w:r>
      <w:r w:rsidRPr="008F03E5">
        <w:rPr>
          <w:u w:val="single"/>
        </w:rPr>
        <w:t>sh</w:t>
      </w:r>
      <w:r w:rsidRPr="008F03E5">
        <w:t xml:space="preserve">bandíya Ṣúfí lineage, from the time of </w:t>
      </w:r>
      <w:r w:rsidRPr="008F03E5">
        <w:rPr>
          <w:u w:val="single"/>
        </w:rPr>
        <w:t>Kh</w:t>
      </w:r>
      <w:r w:rsidRPr="008F03E5">
        <w:t>álid al-Ba</w:t>
      </w:r>
      <w:r w:rsidRPr="008F03E5">
        <w:rPr>
          <w:u w:val="single"/>
        </w:rPr>
        <w:t>gh</w:t>
      </w:r>
      <w:r w:rsidRPr="008F03E5">
        <w:t>dádí</w:t>
      </w:r>
    </w:p>
    <w:p w14:paraId="1D3C4B2B" w14:textId="77777777" w:rsidR="00625A5B" w:rsidRPr="008F03E5" w:rsidRDefault="00625A5B" w:rsidP="00665696">
      <w:pPr>
        <w:pStyle w:val="Translit"/>
      </w:pPr>
      <w:r w:rsidRPr="008F03E5">
        <w:t>Khalifa, Khulafa, Khala’if</w:t>
      </w:r>
      <w:r w:rsidRPr="008F03E5">
        <w:tab/>
      </w:r>
      <w:bookmarkStart w:id="95" w:name="_Hlk57116794"/>
      <w:bookmarkStart w:id="96" w:name="_Hlk56272959"/>
      <w:r w:rsidRPr="008F03E5">
        <w:rPr>
          <w:u w:val="single"/>
        </w:rPr>
        <w:t>Kh</w:t>
      </w:r>
      <w:r w:rsidRPr="008F03E5">
        <w:t>alífa</w:t>
      </w:r>
      <w:bookmarkEnd w:id="95"/>
      <w:r w:rsidRPr="008F03E5">
        <w:t xml:space="preserve">[h or t], pl. </w:t>
      </w:r>
      <w:r w:rsidRPr="008F03E5">
        <w:rPr>
          <w:u w:val="single"/>
        </w:rPr>
        <w:t>Kh</w:t>
      </w:r>
      <w:r w:rsidRPr="008F03E5">
        <w:t>ulafá’</w:t>
      </w:r>
      <w:bookmarkEnd w:id="96"/>
      <w:r w:rsidRPr="008F03E5">
        <w:t xml:space="preserve">, </w:t>
      </w:r>
      <w:r w:rsidRPr="008F03E5">
        <w:rPr>
          <w:u w:val="single"/>
        </w:rPr>
        <w:t>Kh</w:t>
      </w:r>
      <w:r w:rsidRPr="008F03E5">
        <w:t>alá’if</w:t>
      </w:r>
      <w:r w:rsidRPr="008F03E5">
        <w:tab/>
        <w:t xml:space="preserve">caliph, literally successor.  The vicar, deputy, successor or representative of the Messenger of God.  See </w:t>
      </w:r>
      <w:r w:rsidRPr="008F03E5">
        <w:rPr>
          <w:u w:val="single"/>
        </w:rPr>
        <w:t>Kh</w:t>
      </w:r>
      <w:r w:rsidRPr="008F03E5">
        <w:t>iláfa.</w:t>
      </w:r>
    </w:p>
    <w:p w14:paraId="2D1C7209" w14:textId="77777777" w:rsidR="00625A5B" w:rsidRPr="00776849" w:rsidRDefault="00625A5B" w:rsidP="00776849">
      <w:pPr>
        <w:pStyle w:val="Translit"/>
      </w:pPr>
      <w:r w:rsidRPr="008F03E5">
        <w:t>Khalij, Khulj, Khuljan</w:t>
      </w:r>
      <w:r w:rsidRPr="008F03E5">
        <w:tab/>
      </w:r>
      <w:r w:rsidRPr="008F03E5">
        <w:rPr>
          <w:u w:val="single"/>
        </w:rPr>
        <w:t>Kh</w:t>
      </w:r>
      <w:r w:rsidRPr="008F03E5">
        <w:t xml:space="preserve">alíj, pl. </w:t>
      </w:r>
      <w:r w:rsidRPr="008F03E5">
        <w:rPr>
          <w:u w:val="single"/>
        </w:rPr>
        <w:t>Kh</w:t>
      </w:r>
      <w:r w:rsidRPr="008F03E5">
        <w:t xml:space="preserve">ulj, </w:t>
      </w:r>
      <w:r w:rsidRPr="008F03E5">
        <w:rPr>
          <w:u w:val="single"/>
        </w:rPr>
        <w:t>Kh</w:t>
      </w:r>
      <w:r w:rsidRPr="008F03E5">
        <w:t>ulján</w:t>
      </w:r>
      <w:r w:rsidRPr="008F03E5">
        <w:tab/>
        <w:t>bay, gulf; canal; al-</w:t>
      </w:r>
      <w:r w:rsidRPr="008F03E5">
        <w:rPr>
          <w:u w:val="single"/>
        </w:rPr>
        <w:t>Kh</w:t>
      </w:r>
      <w:r w:rsidRPr="008F03E5">
        <w:t>alíj—name of Cairo’s ancient city canal that was abandoned and leveled at the end of the 19th century.  al-</w:t>
      </w:r>
      <w:r w:rsidRPr="008F03E5">
        <w:rPr>
          <w:u w:val="single"/>
        </w:rPr>
        <w:t>Kh</w:t>
      </w:r>
      <w:r w:rsidRPr="008F03E5">
        <w:t>alíj F</w:t>
      </w:r>
      <w:r w:rsidRPr="00776849">
        <w:t>á</w:t>
      </w:r>
      <w:r w:rsidRPr="008F03E5">
        <w:t>rsí</w:t>
      </w:r>
      <w:r>
        <w:t xml:space="preserve">, </w:t>
      </w:r>
      <w:r w:rsidRPr="008F03E5">
        <w:t>the Persian Gulf</w:t>
      </w:r>
      <w:r>
        <w:t xml:space="preserve">.  </w:t>
      </w:r>
      <w:r w:rsidRPr="00776849">
        <w:rPr>
          <w:rFonts w:eastAsia="Times New Roman"/>
          <w:u w:val="single"/>
        </w:rPr>
        <w:t>Kh</w:t>
      </w:r>
      <w:r w:rsidRPr="00776849">
        <w:rPr>
          <w:rFonts w:eastAsia="Times New Roman"/>
        </w:rPr>
        <w:t>a</w:t>
      </w:r>
      <w:r w:rsidRPr="00776849">
        <w:t>líj Gurgán</w:t>
      </w:r>
      <w:r>
        <w:t xml:space="preserve">, Gulf of </w:t>
      </w:r>
      <w:r w:rsidRPr="00776849">
        <w:t xml:space="preserve">Gorgon </w:t>
      </w:r>
      <w:r>
        <w:t xml:space="preserve">or </w:t>
      </w:r>
      <w:r w:rsidRPr="00776849">
        <w:t>Gorgon</w:t>
      </w:r>
      <w:r>
        <w:t xml:space="preserve"> Bay, </w:t>
      </w:r>
      <w:r w:rsidRPr="00442EAD">
        <w:rPr>
          <w:sz w:val="16"/>
          <w:szCs w:val="16"/>
        </w:rPr>
        <w:t>SE</w:t>
      </w:r>
      <w:r>
        <w:t xml:space="preserve"> corner of the Caspian Sea.</w:t>
      </w:r>
    </w:p>
    <w:p w14:paraId="374F8CB3" w14:textId="77777777" w:rsidR="00625A5B" w:rsidRPr="008F03E5" w:rsidRDefault="00625A5B" w:rsidP="007C789A">
      <w:pPr>
        <w:pStyle w:val="Translit"/>
      </w:pPr>
      <w:r w:rsidRPr="008F03E5">
        <w:t>Khalil</w:t>
      </w:r>
      <w:r w:rsidRPr="008F03E5">
        <w:tab/>
      </w:r>
      <w:r w:rsidRPr="008F03E5">
        <w:rPr>
          <w:u w:val="single"/>
        </w:rPr>
        <w:t>Kh</w:t>
      </w:r>
      <w:r w:rsidRPr="008F03E5">
        <w:t>alíl, pl. A</w:t>
      </w:r>
      <w:r w:rsidRPr="008F03E5">
        <w:rPr>
          <w:u w:val="single"/>
        </w:rPr>
        <w:t>kh</w:t>
      </w:r>
      <w:r w:rsidRPr="008F03E5">
        <w:t xml:space="preserve">illá, </w:t>
      </w:r>
      <w:r w:rsidRPr="008F03E5">
        <w:rPr>
          <w:u w:val="single"/>
        </w:rPr>
        <w:t>Kh</w:t>
      </w:r>
      <w:r w:rsidRPr="008F03E5">
        <w:t>ullán</w:t>
      </w:r>
      <w:r w:rsidRPr="008F03E5">
        <w:tab/>
        <w:t>friend, bosom friend; lovers.  al-</w:t>
      </w:r>
      <w:r w:rsidRPr="008F03E5">
        <w:rPr>
          <w:u w:val="single"/>
        </w:rPr>
        <w:t>Kh</w:t>
      </w:r>
      <w:r w:rsidRPr="008F03E5">
        <w:t>alíl, the Friend, i.e. Abraham.</w:t>
      </w:r>
    </w:p>
    <w:p w14:paraId="01D5892C" w14:textId="77777777" w:rsidR="00625A5B" w:rsidRPr="002B1456" w:rsidRDefault="00625A5B" w:rsidP="0050358E">
      <w:pPr>
        <w:pStyle w:val="Translit"/>
      </w:pPr>
      <w:r w:rsidRPr="002B1456">
        <w:t>Khalil-i-Khu’i</w:t>
      </w:r>
      <w:r w:rsidRPr="002B1456">
        <w:tab/>
      </w:r>
      <w:r w:rsidRPr="002B1456">
        <w:rPr>
          <w:u w:val="single"/>
        </w:rPr>
        <w:t>Kh</w:t>
      </w:r>
      <w:r w:rsidRPr="002B1456">
        <w:t>alíl-i-</w:t>
      </w:r>
      <w:r w:rsidRPr="002B1456">
        <w:rPr>
          <w:u w:val="single"/>
        </w:rPr>
        <w:t>Kh</w:t>
      </w:r>
      <w:r w:rsidRPr="002B1456">
        <w:t>u’í</w:t>
      </w:r>
      <w:r w:rsidRPr="002B1456">
        <w:tab/>
      </w:r>
    </w:p>
    <w:p w14:paraId="77FBFDCD" w14:textId="77777777" w:rsidR="00625A5B" w:rsidRPr="008F03E5" w:rsidRDefault="00625A5B" w:rsidP="00900A82">
      <w:pPr>
        <w:pStyle w:val="Translit"/>
      </w:pPr>
      <w:r w:rsidRPr="008F03E5">
        <w:t>Khalilu’llah</w:t>
      </w:r>
      <w:r w:rsidRPr="008F03E5">
        <w:tab/>
      </w:r>
      <w:r w:rsidRPr="008F03E5">
        <w:rPr>
          <w:u w:val="single"/>
        </w:rPr>
        <w:t>Kh</w:t>
      </w:r>
      <w:r w:rsidRPr="008F03E5">
        <w:t>alílu’lláh</w:t>
      </w:r>
      <w:r w:rsidRPr="008F03E5">
        <w:tab/>
        <w:t>the Friend of God (Abraham is known as)</w:t>
      </w:r>
    </w:p>
    <w:p w14:paraId="194490BF" w14:textId="77777777" w:rsidR="00625A5B" w:rsidRPr="008F03E5" w:rsidRDefault="00625A5B" w:rsidP="00DB5F46">
      <w:pPr>
        <w:pStyle w:val="Translit"/>
      </w:pPr>
      <w:r w:rsidRPr="008F03E5">
        <w:t>Khaliq</w:t>
      </w:r>
      <w:r w:rsidRPr="008F03E5">
        <w:tab/>
      </w:r>
      <w:r w:rsidRPr="008F03E5">
        <w:rPr>
          <w:u w:val="single"/>
        </w:rPr>
        <w:t>Kh</w:t>
      </w:r>
      <w:r w:rsidRPr="008F03E5">
        <w:t>áliq</w:t>
      </w:r>
      <w:r w:rsidRPr="008F03E5">
        <w:tab/>
        <w:t>creative; Creator, Maker (God).  Used as a name, preceded by ‘Abd (servant)—‘Abdu’l-</w:t>
      </w:r>
      <w:r w:rsidRPr="008F03E5">
        <w:rPr>
          <w:u w:val="single"/>
        </w:rPr>
        <w:t>Kh</w:t>
      </w:r>
      <w:r w:rsidRPr="008F03E5">
        <w:t>áliq “Servant of the Creator”.</w:t>
      </w:r>
    </w:p>
    <w:p w14:paraId="7671AFBF" w14:textId="77777777" w:rsidR="00625A5B" w:rsidRPr="008F03E5" w:rsidRDefault="00625A5B" w:rsidP="00DF2AF7">
      <w:pPr>
        <w:pStyle w:val="Translit"/>
      </w:pPr>
      <w:r w:rsidRPr="008F03E5">
        <w:t>Khalis, Khalisa, Khullas</w:t>
      </w:r>
      <w:r w:rsidRPr="008F03E5">
        <w:tab/>
      </w:r>
      <w:r w:rsidRPr="008F03E5">
        <w:rPr>
          <w:u w:val="single"/>
        </w:rPr>
        <w:t>Kh</w:t>
      </w:r>
      <w:r w:rsidRPr="008F03E5">
        <w:t xml:space="preserve">áliṣ, fem. </w:t>
      </w:r>
      <w:r w:rsidRPr="008F03E5">
        <w:rPr>
          <w:u w:val="single"/>
        </w:rPr>
        <w:t>Kh</w:t>
      </w:r>
      <w:r w:rsidRPr="008F03E5">
        <w:t xml:space="preserve">áliṣa[h], pl. </w:t>
      </w:r>
      <w:r w:rsidRPr="008F03E5">
        <w:rPr>
          <w:u w:val="single"/>
        </w:rPr>
        <w:t>Kh</w:t>
      </w:r>
      <w:r w:rsidRPr="008F03E5">
        <w:t>ullaṣ</w:t>
      </w:r>
      <w:r w:rsidRPr="008F03E5">
        <w:tab/>
        <w:t>clear; pure, unmixed, unadulterated; sincere, frank, candid, true; free, exempt (from); name of a stream in the east of Baghdad on the banks of which a castle of the same name is situated.  In Persian, also government revenue department office; lands under government management.</w:t>
      </w:r>
    </w:p>
    <w:p w14:paraId="027033B8" w14:textId="77777777" w:rsidR="00625A5B" w:rsidRPr="008F03E5" w:rsidRDefault="00625A5B" w:rsidP="00DC32D8">
      <w:pPr>
        <w:pStyle w:val="Translit"/>
      </w:pPr>
      <w:r w:rsidRPr="008F03E5">
        <w:t>Khalisizádih</w:t>
      </w:r>
      <w:r w:rsidRPr="008F03E5">
        <w:tab/>
      </w:r>
      <w:r w:rsidRPr="008F03E5">
        <w:rPr>
          <w:u w:val="single"/>
        </w:rPr>
        <w:t>Kh</w:t>
      </w:r>
      <w:r w:rsidRPr="008F03E5">
        <w:t>áliṣízádih</w:t>
      </w:r>
      <w:r w:rsidRPr="008F03E5">
        <w:tab/>
        <w:t>itinerant traveller, Á</w:t>
      </w:r>
      <w:r w:rsidRPr="008F03E5">
        <w:rPr>
          <w:u w:val="single"/>
        </w:rPr>
        <w:t>kh</w:t>
      </w:r>
      <w:r w:rsidRPr="008F03E5">
        <w:t xml:space="preserve">únd Turábí, </w:t>
      </w:r>
      <w:r w:rsidRPr="008F03E5">
        <w:rPr>
          <w:u w:val="single"/>
        </w:rPr>
        <w:t>Sh</w:t>
      </w:r>
      <w:r w:rsidRPr="008F03E5">
        <w:t>ay</w:t>
      </w:r>
      <w:r w:rsidRPr="008F03E5">
        <w:rPr>
          <w:u w:val="single"/>
        </w:rPr>
        <w:t>kh</w:t>
      </w:r>
      <w:r w:rsidRPr="008F03E5">
        <w:t xml:space="preserve"> Muḥammad </w:t>
      </w:r>
      <w:r w:rsidRPr="008F03E5">
        <w:rPr>
          <w:u w:val="single"/>
        </w:rPr>
        <w:t>Kh</w:t>
      </w:r>
      <w:r w:rsidRPr="008F03E5">
        <w:t>áliṣízádih</w:t>
      </w:r>
    </w:p>
    <w:p w14:paraId="257CBA97" w14:textId="77777777" w:rsidR="00625A5B" w:rsidRPr="008F03E5" w:rsidRDefault="00625A5B" w:rsidP="0030702C">
      <w:pPr>
        <w:pStyle w:val="Translit"/>
      </w:pPr>
      <w:r w:rsidRPr="008F03E5">
        <w:rPr>
          <w:rFonts w:eastAsia="Times New Roman"/>
        </w:rPr>
        <w:t>Khalji</w:t>
      </w:r>
      <w:r w:rsidRPr="008F03E5">
        <w:rPr>
          <w:rFonts w:eastAsia="Times New Roman"/>
        </w:rPr>
        <w:tab/>
      </w:r>
      <w:r w:rsidRPr="008F03E5">
        <w:rPr>
          <w:rFonts w:eastAsia="Times New Roman"/>
          <w:u w:val="single"/>
        </w:rPr>
        <w:t>Kh</w:t>
      </w:r>
      <w:r w:rsidRPr="008F03E5">
        <w:rPr>
          <w:rFonts w:eastAsia="Times New Roman"/>
        </w:rPr>
        <w:t>alj</w:t>
      </w:r>
      <w:r w:rsidRPr="008F03E5">
        <w:t>í</w:t>
      </w:r>
      <w:r w:rsidRPr="008F03E5">
        <w:rPr>
          <w:rFonts w:eastAsia="Times New Roman"/>
        </w:rPr>
        <w:tab/>
        <w:t xml:space="preserve">‘Alá’ud-Dín </w:t>
      </w:r>
      <w:r w:rsidRPr="008F03E5">
        <w:rPr>
          <w:rFonts w:eastAsia="Times New Roman"/>
          <w:u w:val="single"/>
        </w:rPr>
        <w:t>Kh</w:t>
      </w:r>
      <w:r w:rsidRPr="008F03E5">
        <w:rPr>
          <w:rFonts w:eastAsia="Times New Roman"/>
        </w:rPr>
        <w:t xml:space="preserve">aljí (r. 1296–1316) was the second and the most powerful ruler of the </w:t>
      </w:r>
      <w:r w:rsidRPr="008F03E5">
        <w:rPr>
          <w:rFonts w:eastAsia="Times New Roman"/>
          <w:u w:val="single"/>
        </w:rPr>
        <w:t>Kh</w:t>
      </w:r>
      <w:r w:rsidRPr="008F03E5">
        <w:rPr>
          <w:rFonts w:eastAsia="Times New Roman"/>
        </w:rPr>
        <w:t>aljí dynasty in India</w:t>
      </w:r>
    </w:p>
    <w:p w14:paraId="3D0EF4CC" w14:textId="77777777" w:rsidR="00625A5B" w:rsidRPr="008F03E5" w:rsidRDefault="00625A5B" w:rsidP="00DC1CF6">
      <w:pPr>
        <w:pStyle w:val="Translit"/>
        <w:rPr>
          <w:u w:val="single"/>
        </w:rPr>
      </w:pPr>
      <w:r w:rsidRPr="008F03E5">
        <w:t>Khalkhal, Khalakhil</w:t>
      </w:r>
      <w:r w:rsidRPr="008F03E5">
        <w:tab/>
      </w:r>
      <w:r w:rsidRPr="008F03E5">
        <w:rPr>
          <w:u w:val="single"/>
        </w:rPr>
        <w:t>Kh</w:t>
      </w:r>
      <w:r w:rsidRPr="008F03E5">
        <w:t>al</w:t>
      </w:r>
      <w:r w:rsidRPr="008F03E5">
        <w:rPr>
          <w:u w:val="single"/>
        </w:rPr>
        <w:t>kh</w:t>
      </w:r>
      <w:r w:rsidRPr="008F03E5">
        <w:t xml:space="preserve">ál, </w:t>
      </w:r>
      <w:r w:rsidRPr="008F03E5">
        <w:rPr>
          <w:u w:val="single"/>
        </w:rPr>
        <w:t>Kh</w:t>
      </w:r>
      <w:r w:rsidRPr="008F03E5">
        <w:t>alá</w:t>
      </w:r>
      <w:r w:rsidRPr="008F03E5">
        <w:rPr>
          <w:u w:val="single"/>
        </w:rPr>
        <w:t>kh</w:t>
      </w:r>
      <w:r w:rsidRPr="008F03E5">
        <w:t>íl</w:t>
      </w:r>
      <w:r w:rsidRPr="008F03E5">
        <w:tab/>
        <w:t xml:space="preserve">anklet.  Azerbaijani </w:t>
      </w:r>
      <w:r w:rsidRPr="008F03E5">
        <w:rPr>
          <w:u w:val="single"/>
        </w:rPr>
        <w:t>Kh</w:t>
      </w:r>
      <w:r w:rsidRPr="008F03E5">
        <w:t>ál</w:t>
      </w:r>
      <w:r w:rsidRPr="008F03E5">
        <w:rPr>
          <w:u w:val="single"/>
        </w:rPr>
        <w:t>kh</w:t>
      </w:r>
      <w:r w:rsidRPr="008F03E5">
        <w:t xml:space="preserve">ál; formerly and local Azerbaijani Híruw; Persian Híruwábád or Hírábád.  A city and capital of </w:t>
      </w:r>
      <w:r w:rsidRPr="008F03E5">
        <w:rPr>
          <w:u w:val="single"/>
        </w:rPr>
        <w:t>Kh</w:t>
      </w:r>
      <w:r w:rsidRPr="008F03E5">
        <w:t>al</w:t>
      </w:r>
      <w:r w:rsidRPr="008F03E5">
        <w:rPr>
          <w:u w:val="single"/>
        </w:rPr>
        <w:t>kh</w:t>
      </w:r>
      <w:r w:rsidRPr="008F03E5">
        <w:t>ál County, in Ardabíl Province, Iran.</w:t>
      </w:r>
    </w:p>
    <w:p w14:paraId="01D1FA99" w14:textId="77777777" w:rsidR="00625A5B" w:rsidRPr="008F03E5" w:rsidRDefault="00625A5B" w:rsidP="00870635">
      <w:pPr>
        <w:pStyle w:val="Translit"/>
      </w:pPr>
      <w:r w:rsidRPr="008F03E5">
        <w:t>Khall</w:t>
      </w:r>
      <w:r w:rsidRPr="008F03E5">
        <w:tab/>
      </w:r>
      <w:r w:rsidRPr="008F03E5">
        <w:rPr>
          <w:u w:val="single"/>
        </w:rPr>
        <w:t>Kh</w:t>
      </w:r>
      <w:r w:rsidRPr="008F03E5">
        <w:t>all</w:t>
      </w:r>
      <w:r w:rsidRPr="008F03E5">
        <w:tab/>
        <w:t>vinegar.  See Pers. Sirka</w:t>
      </w:r>
    </w:p>
    <w:p w14:paraId="6F8773CE" w14:textId="77777777" w:rsidR="00625A5B" w:rsidRPr="008F03E5" w:rsidRDefault="00625A5B" w:rsidP="00D7526C">
      <w:pPr>
        <w:pStyle w:val="Translit"/>
      </w:pPr>
      <w:r w:rsidRPr="008F03E5">
        <w:t>Khalq</w:t>
      </w:r>
      <w:r w:rsidRPr="008F03E5">
        <w:tab/>
      </w:r>
      <w:r w:rsidRPr="008F03E5">
        <w:rPr>
          <w:u w:val="single"/>
        </w:rPr>
        <w:t>Kh</w:t>
      </w:r>
      <w:r w:rsidRPr="008F03E5">
        <w:t>alq</w:t>
      </w:r>
      <w:r w:rsidRPr="008F03E5">
        <w:tab/>
        <w:t xml:space="preserve">creation; making; origination; something which is created, a creation; creatures; people, man, mankind; physical constitution.  </w:t>
      </w:r>
      <w:r w:rsidRPr="008F03E5">
        <w:rPr>
          <w:u w:val="single"/>
        </w:rPr>
        <w:t>Kh</w:t>
      </w:r>
      <w:r w:rsidRPr="008F03E5">
        <w:t>alqan a creation</w:t>
      </w:r>
    </w:p>
    <w:p w14:paraId="3A7296D5" w14:textId="77777777" w:rsidR="00625A5B" w:rsidRPr="008F03E5" w:rsidRDefault="00625A5B" w:rsidP="006E6BF6">
      <w:pPr>
        <w:pStyle w:val="Translit"/>
      </w:pPr>
      <w:r w:rsidRPr="00F22AD0">
        <w:rPr>
          <w:lang w:val="en-AU" w:eastAsia="en-US"/>
        </w:rPr>
        <w:t>Khalq-i-Jadid</w:t>
      </w:r>
      <w:r w:rsidRPr="00F22AD0">
        <w:rPr>
          <w:lang w:val="en-AU" w:eastAsia="en-US"/>
        </w:rPr>
        <w:tab/>
      </w:r>
      <w:r w:rsidRPr="00F22AD0">
        <w:rPr>
          <w:u w:val="single"/>
          <w:lang w:val="en-AU" w:eastAsia="en-US"/>
        </w:rPr>
        <w:t>Kh</w:t>
      </w:r>
      <w:r w:rsidRPr="00F22AD0">
        <w:rPr>
          <w:lang w:val="en-AU" w:eastAsia="en-US"/>
        </w:rPr>
        <w:t>alq-i-Jadíd</w:t>
      </w:r>
      <w:r w:rsidRPr="00F22AD0">
        <w:rPr>
          <w:lang w:val="en-AU" w:eastAsia="en-US"/>
        </w:rPr>
        <w:tab/>
        <w:t xml:space="preserve">Pers. </w:t>
      </w:r>
      <w:r w:rsidRPr="008F03E5">
        <w:rPr>
          <w:lang w:eastAsia="en-US"/>
        </w:rPr>
        <w:t>(spiritual) rebirth</w:t>
      </w:r>
    </w:p>
    <w:p w14:paraId="5911307C" w14:textId="77777777" w:rsidR="00625A5B" w:rsidRPr="008F03E5" w:rsidRDefault="00625A5B" w:rsidP="00C644F2">
      <w:pPr>
        <w:pStyle w:val="Translit"/>
      </w:pPr>
      <w:r w:rsidRPr="008F03E5">
        <w:t>Khalwa, Khalawat</w:t>
      </w:r>
      <w:r w:rsidRPr="008F03E5">
        <w:tab/>
      </w:r>
      <w:r w:rsidRPr="008F03E5">
        <w:rPr>
          <w:u w:val="single"/>
        </w:rPr>
        <w:t>Kh</w:t>
      </w:r>
      <w:r w:rsidRPr="008F03E5">
        <w:t xml:space="preserve">alwa[t], pl. </w:t>
      </w:r>
      <w:r w:rsidRPr="008F03E5">
        <w:rPr>
          <w:u w:val="single"/>
        </w:rPr>
        <w:t>Kh</w:t>
      </w:r>
      <w:r w:rsidRPr="008F03E5">
        <w:t>alawát</w:t>
      </w:r>
      <w:r w:rsidRPr="008F03E5">
        <w:tab/>
        <w:t>privacy, solitude; seclusion, isolation, retirement; place of retirement or seclusion, retreat, recess; secluded room; hermitage; religious assembly hall of the Druses; booth, cabin</w:t>
      </w:r>
    </w:p>
    <w:p w14:paraId="037DED5A" w14:textId="77777777" w:rsidR="00625A5B" w:rsidRPr="008F03E5" w:rsidRDefault="00625A5B" w:rsidP="001C1984">
      <w:pPr>
        <w:pStyle w:val="Translit"/>
      </w:pPr>
      <w:r w:rsidRPr="008F03E5">
        <w:t>Khamanih Khamaneh, Khameneh</w:t>
      </w:r>
      <w:r w:rsidRPr="008F03E5">
        <w:tab/>
      </w:r>
      <w:r w:rsidRPr="008F03E5">
        <w:rPr>
          <w:u w:val="single"/>
        </w:rPr>
        <w:t>Kh</w:t>
      </w:r>
      <w:r w:rsidRPr="008F03E5">
        <w:t xml:space="preserve">ámanih, </w:t>
      </w:r>
      <w:r w:rsidRPr="008F03E5">
        <w:rPr>
          <w:u w:val="single"/>
        </w:rPr>
        <w:t>Kh</w:t>
      </w:r>
      <w:r w:rsidRPr="008F03E5">
        <w:t>áminih</w:t>
      </w:r>
      <w:r w:rsidRPr="008F03E5">
        <w:tab/>
        <w:t xml:space="preserve">Pers. (also Khamneh, Khumla and Khumna) is a town 60 km </w:t>
      </w:r>
      <w:r w:rsidRPr="008F03E5">
        <w:rPr>
          <w:sz w:val="16"/>
          <w:szCs w:val="16"/>
        </w:rPr>
        <w:t>WNW</w:t>
      </w:r>
      <w:r w:rsidRPr="008F03E5">
        <w:t xml:space="preserve"> of Tabriz.</w:t>
      </w:r>
    </w:p>
    <w:p w14:paraId="1107432E" w14:textId="77777777" w:rsidR="00625A5B" w:rsidRPr="008F03E5" w:rsidRDefault="00625A5B" w:rsidP="003717B7">
      <w:pPr>
        <w:pStyle w:val="Translit"/>
      </w:pPr>
      <w:r w:rsidRPr="008F03E5">
        <w:t>Khaminiy (Khamenei)</w:t>
      </w:r>
      <w:r w:rsidRPr="008F03E5">
        <w:tab/>
      </w:r>
      <w:r w:rsidRPr="008F03E5">
        <w:rPr>
          <w:u w:val="single"/>
        </w:rPr>
        <w:t>Kh</w:t>
      </w:r>
      <w:r w:rsidRPr="008F03E5">
        <w:t>áminíy</w:t>
      </w:r>
      <w:r w:rsidRPr="008F03E5">
        <w:tab/>
        <w:t xml:space="preserve">Pers. Sayyid ‘Alí Ḥusayní </w:t>
      </w:r>
      <w:r w:rsidRPr="008F03E5">
        <w:rPr>
          <w:u w:val="single"/>
        </w:rPr>
        <w:t>Kh</w:t>
      </w:r>
      <w:r w:rsidRPr="008F03E5">
        <w:t xml:space="preserve">áminíy (family are from </w:t>
      </w:r>
      <w:r w:rsidRPr="008F03E5">
        <w:rPr>
          <w:u w:val="single"/>
        </w:rPr>
        <w:t>Kh</w:t>
      </w:r>
      <w:r w:rsidRPr="008F03E5">
        <w:t>áminih, the h is silent in his name), known in the Western world as Ayatollah Khamenei (second “supreme leader” of Iran)</w:t>
      </w:r>
    </w:p>
    <w:p w14:paraId="5EA8F900" w14:textId="77777777" w:rsidR="00625A5B" w:rsidRPr="008F03E5" w:rsidRDefault="00625A5B" w:rsidP="00465428">
      <w:pPr>
        <w:pStyle w:val="Translit"/>
      </w:pPr>
      <w:r w:rsidRPr="008F03E5">
        <w:t>Khamir</w:t>
      </w:r>
      <w:r w:rsidRPr="008F03E5">
        <w:tab/>
      </w:r>
      <w:r w:rsidRPr="008F03E5">
        <w:rPr>
          <w:u w:val="single"/>
        </w:rPr>
        <w:t>Kh</w:t>
      </w:r>
      <w:r w:rsidRPr="008F03E5">
        <w:t>amír</w:t>
      </w:r>
      <w:r w:rsidRPr="008F03E5">
        <w:tab/>
        <w:t>leavened (dough); ripe, mature, mellow; leaven; leavened bread</w:t>
      </w:r>
    </w:p>
    <w:p w14:paraId="1365652C" w14:textId="77777777" w:rsidR="00625A5B" w:rsidRPr="008F03E5" w:rsidRDefault="00625A5B" w:rsidP="0002103B">
      <w:pPr>
        <w:pStyle w:val="Translit"/>
        <w:rPr>
          <w:rFonts w:eastAsia="Times New Roman"/>
        </w:rPr>
      </w:pPr>
      <w:r w:rsidRPr="008F03E5">
        <w:t>Khamis, Khamisa</w:t>
      </w:r>
      <w:r w:rsidRPr="008F03E5">
        <w:tab/>
      </w:r>
      <w:r w:rsidRPr="008F03E5">
        <w:rPr>
          <w:u w:val="single"/>
        </w:rPr>
        <w:t>Kh</w:t>
      </w:r>
      <w:r w:rsidRPr="008F03E5">
        <w:t xml:space="preserve">amís, fem. </w:t>
      </w:r>
      <w:r w:rsidRPr="008F03E5">
        <w:rPr>
          <w:rFonts w:eastAsia="Times New Roman"/>
          <w:u w:val="single"/>
        </w:rPr>
        <w:t>Kh</w:t>
      </w:r>
      <w:r w:rsidRPr="008F03E5">
        <w:rPr>
          <w:rFonts w:eastAsia="Times New Roman"/>
        </w:rPr>
        <w:t>am</w:t>
      </w:r>
      <w:r w:rsidRPr="008F03E5">
        <w:t>í</w:t>
      </w:r>
      <w:r w:rsidRPr="008F03E5">
        <w:rPr>
          <w:rFonts w:eastAsia="Times New Roman"/>
        </w:rPr>
        <w:t>sa[h]</w:t>
      </w:r>
      <w:r w:rsidRPr="008F03E5">
        <w:tab/>
        <w:t>a</w:t>
      </w:r>
      <w:r w:rsidRPr="008F03E5">
        <w:rPr>
          <w:rFonts w:eastAsia="Times New Roman"/>
        </w:rPr>
        <w:t xml:space="preserve"> fifth; the fifth day of the week (Thursday); a garment or piece of cloth of five cubits; anything consisting of five parts (especially an army composed of van, centre, rear, and two wings)</w:t>
      </w:r>
    </w:p>
    <w:p w14:paraId="33E6F93D" w14:textId="77777777" w:rsidR="00625A5B" w:rsidRPr="008F03E5" w:rsidRDefault="00625A5B" w:rsidP="0002103B">
      <w:pPr>
        <w:pStyle w:val="Translit"/>
      </w:pPr>
      <w:r w:rsidRPr="008F03E5">
        <w:t>Khammar</w:t>
      </w:r>
      <w:r w:rsidRPr="008F03E5">
        <w:tab/>
      </w:r>
      <w:r w:rsidRPr="008F03E5">
        <w:rPr>
          <w:u w:val="single"/>
        </w:rPr>
        <w:t>Kh</w:t>
      </w:r>
      <w:r w:rsidRPr="008F03E5">
        <w:t>ammár</w:t>
      </w:r>
      <w:r w:rsidRPr="008F03E5">
        <w:tab/>
        <w:t>vintner, wine merchant, keeper of a wineshop</w:t>
      </w:r>
    </w:p>
    <w:p w14:paraId="3EF4721A" w14:textId="77777777" w:rsidR="00625A5B" w:rsidRPr="008F03E5" w:rsidRDefault="00625A5B" w:rsidP="007925D8">
      <w:pPr>
        <w:pStyle w:val="Translit"/>
      </w:pPr>
      <w:bookmarkStart w:id="97" w:name="_Hlk62058243"/>
      <w:r w:rsidRPr="008F03E5">
        <w:t>Khammar, ‘Udi</w:t>
      </w:r>
      <w:r w:rsidRPr="008F03E5">
        <w:tab/>
      </w:r>
      <w:r w:rsidRPr="008F03E5">
        <w:rPr>
          <w:u w:val="single"/>
        </w:rPr>
        <w:t>Kh</w:t>
      </w:r>
      <w:r w:rsidRPr="008F03E5">
        <w:t>ammár, ‘Údí</w:t>
      </w:r>
      <w:r w:rsidRPr="008F03E5">
        <w:tab/>
        <w:t>d. 1879.  Previous owner of the House of ‘Abbúd, in ‘Akká.  In 1870 he completed the restoration and expansion of the mansion at Bahjí as a summer palace.  He placed the following interesting inscription over the mansion door:  “Greetings and salutations rest upon this mansion which increaseth in splendour through the passage of time.  Manifold wonders and marvels are found therein, and pens are baffled in attempting to describe them.”  (</w:t>
      </w:r>
      <w:r w:rsidRPr="008F03E5">
        <w:rPr>
          <w:i/>
          <w:iCs/>
        </w:rPr>
        <w:t>Shoghi Effendi:  recollections</w:t>
      </w:r>
      <w:r w:rsidRPr="008F03E5">
        <w:t>, p. 138).  Grid co-ordinates 32.921563, 35.067297.</w:t>
      </w:r>
    </w:p>
    <w:p w14:paraId="42CA1A39" w14:textId="77777777" w:rsidR="00625A5B" w:rsidRDefault="00625A5B" w:rsidP="005C1003">
      <w:pPr>
        <w:pStyle w:val="Translit"/>
        <w:rPr>
          <w:rFonts w:eastAsia="Times New Roman"/>
        </w:rPr>
      </w:pPr>
      <w:r w:rsidRPr="008F03E5">
        <w:t>Khamsa, Khams</w:t>
      </w:r>
      <w:r w:rsidRPr="008F03E5">
        <w:tab/>
      </w:r>
      <w:r w:rsidRPr="008F03E5">
        <w:rPr>
          <w:u w:val="single"/>
        </w:rPr>
        <w:t>Kh</w:t>
      </w:r>
      <w:r w:rsidRPr="008F03E5">
        <w:t xml:space="preserve">amsa[h or t], fem. </w:t>
      </w:r>
      <w:r w:rsidRPr="008F03E5">
        <w:rPr>
          <w:u w:val="single"/>
        </w:rPr>
        <w:t>Kh</w:t>
      </w:r>
      <w:r w:rsidRPr="008F03E5">
        <w:t>ams</w:t>
      </w:r>
      <w:r w:rsidRPr="008F03E5">
        <w:tab/>
        <w:t xml:space="preserve">five; </w:t>
      </w:r>
      <w:r w:rsidRPr="008F03E5">
        <w:rPr>
          <w:rFonts w:eastAsia="Times New Roman"/>
        </w:rPr>
        <w:t>the five fingers, the hand</w:t>
      </w:r>
    </w:p>
    <w:bookmarkEnd w:id="97"/>
    <w:p w14:paraId="5E5CE12F" w14:textId="77777777" w:rsidR="00625A5B" w:rsidRPr="008F03E5" w:rsidRDefault="00625A5B" w:rsidP="00D85103">
      <w:pPr>
        <w:pStyle w:val="Translit"/>
      </w:pPr>
      <w:r>
        <w:rPr>
          <w:rFonts w:eastAsia="Times New Roman"/>
        </w:rPr>
        <w:t>Khamsih (Khamseh)</w:t>
      </w:r>
      <w:r>
        <w:rPr>
          <w:rFonts w:eastAsia="Times New Roman"/>
        </w:rPr>
        <w:tab/>
      </w:r>
      <w:r w:rsidRPr="008F03E5">
        <w:rPr>
          <w:u w:val="single"/>
        </w:rPr>
        <w:t>Kh</w:t>
      </w:r>
      <w:r w:rsidRPr="008F03E5">
        <w:t>amsih</w:t>
      </w:r>
      <w:r>
        <w:tab/>
      </w:r>
      <w:r w:rsidRPr="008F03E5">
        <w:t>former name of Zanjan Province.</w:t>
      </w:r>
      <w:r>
        <w:t xml:space="preserve">  </w:t>
      </w:r>
      <w:r w:rsidRPr="008F03E5">
        <w:rPr>
          <w:u w:val="single"/>
        </w:rPr>
        <w:t>Kh</w:t>
      </w:r>
      <w:r w:rsidRPr="008F03E5">
        <w:t>amsih</w:t>
      </w:r>
      <w:r>
        <w:t xml:space="preserve">, “the five” tribes in an area that is now divided between the provinces of </w:t>
      </w:r>
      <w:r w:rsidRPr="009B5DC7">
        <w:t>Fárs, K</w:t>
      </w:r>
      <w:r>
        <w:t>i</w:t>
      </w:r>
      <w:r w:rsidRPr="009B5DC7">
        <w:t xml:space="preserve">rmán </w:t>
      </w:r>
      <w:r>
        <w:t xml:space="preserve">and </w:t>
      </w:r>
      <w:r w:rsidRPr="009B5DC7">
        <w:t>H</w:t>
      </w:r>
      <w:r>
        <w:t>u</w:t>
      </w:r>
      <w:r w:rsidRPr="009B5DC7">
        <w:t>rm</w:t>
      </w:r>
      <w:r>
        <w:t>u</w:t>
      </w:r>
      <w:r w:rsidRPr="009B5DC7">
        <w:t>zgán</w:t>
      </w:r>
      <w:r>
        <w:t>.</w:t>
      </w:r>
    </w:p>
    <w:p w14:paraId="2C37B82B" w14:textId="77777777" w:rsidR="00625A5B" w:rsidRPr="008F03E5" w:rsidRDefault="00625A5B" w:rsidP="00E41C24">
      <w:pPr>
        <w:pStyle w:val="Translit"/>
      </w:pPr>
      <w:r w:rsidRPr="008F03E5">
        <w:t>Khamsun, Khamsin, Khamasin</w:t>
      </w:r>
      <w:r w:rsidRPr="008F03E5">
        <w:tab/>
      </w:r>
      <w:r w:rsidRPr="008F03E5">
        <w:rPr>
          <w:u w:val="single"/>
        </w:rPr>
        <w:t>Kh</w:t>
      </w:r>
      <w:r w:rsidRPr="008F03E5">
        <w:t>amsún</w:t>
      </w:r>
      <w:r w:rsidRPr="008F03E5">
        <w:tab/>
        <w:t xml:space="preserve">(“chasin”, “hamsin”) fifty.  </w:t>
      </w:r>
      <w:r w:rsidRPr="008F03E5">
        <w:rPr>
          <w:u w:val="single"/>
        </w:rPr>
        <w:t>Kh</w:t>
      </w:r>
      <w:r w:rsidRPr="008F03E5">
        <w:t xml:space="preserve">amsín is derived from </w:t>
      </w:r>
      <w:r w:rsidRPr="008F03E5">
        <w:rPr>
          <w:u w:val="single"/>
        </w:rPr>
        <w:t>kh</w:t>
      </w:r>
      <w:r w:rsidRPr="008F03E5">
        <w:t>amsún.  ‘íd al-</w:t>
      </w:r>
      <w:r w:rsidRPr="008F03E5">
        <w:rPr>
          <w:u w:val="single"/>
        </w:rPr>
        <w:t>kh</w:t>
      </w:r>
      <w:r w:rsidRPr="008F03E5">
        <w:t>amsín Whitsuntide, Pentecost; aḥad al-khamsín Whitsunday; ayyám al-</w:t>
      </w:r>
      <w:r w:rsidRPr="008F03E5">
        <w:rPr>
          <w:u w:val="single"/>
        </w:rPr>
        <w:t>kh</w:t>
      </w:r>
      <w:r w:rsidRPr="008F03E5">
        <w:t xml:space="preserve">amásín the period of about 50 days between Easter and Whitsuntide; and </w:t>
      </w:r>
      <w:r w:rsidRPr="008F03E5">
        <w:rPr>
          <w:u w:val="single"/>
        </w:rPr>
        <w:t>kh</w:t>
      </w:r>
      <w:r w:rsidRPr="008F03E5">
        <w:t xml:space="preserve">amsín and </w:t>
      </w:r>
      <w:r w:rsidRPr="008F03E5">
        <w:rPr>
          <w:u w:val="single"/>
        </w:rPr>
        <w:t>kh</w:t>
      </w:r>
      <w:r w:rsidRPr="008F03E5">
        <w:t xml:space="preserve">amásín, khamsin (English), a dry, hot, sandy, southerly windstorm in Egypt—these windstorms blow sporadically over a fifty-day period in spring, hence the name.  Similar winds in North Africa and the Arabian Peninsula have local names, e.g. </w:t>
      </w:r>
      <w:r w:rsidRPr="008F03E5">
        <w:rPr>
          <w:u w:val="single"/>
        </w:rPr>
        <w:t>sh</w:t>
      </w:r>
      <w:r w:rsidRPr="008F03E5">
        <w:t>arav in Israel.</w:t>
      </w:r>
    </w:p>
    <w:p w14:paraId="70A11944" w14:textId="77777777" w:rsidR="00625A5B" w:rsidRPr="008F03E5" w:rsidRDefault="00625A5B" w:rsidP="00950D3B">
      <w:pPr>
        <w:pStyle w:val="Translit"/>
        <w:rPr>
          <w:rFonts w:eastAsia="Times New Roman"/>
        </w:rPr>
      </w:pPr>
      <w:r w:rsidRPr="008F03E5">
        <w:rPr>
          <w:rFonts w:eastAsia="Times New Roman"/>
        </w:rPr>
        <w:t>Khamush</w:t>
      </w:r>
      <w:r w:rsidRPr="008F03E5">
        <w:rPr>
          <w:rFonts w:eastAsia="Times New Roman"/>
        </w:rPr>
        <w:tab/>
      </w:r>
      <w:r w:rsidRPr="008F03E5">
        <w:rPr>
          <w:rFonts w:eastAsia="Times New Roman"/>
          <w:u w:val="single"/>
        </w:rPr>
        <w:t>Kh</w:t>
      </w:r>
      <w:r w:rsidRPr="008F03E5">
        <w:rPr>
          <w:rFonts w:eastAsia="Times New Roman"/>
        </w:rPr>
        <w:t>ámu</w:t>
      </w:r>
      <w:r w:rsidRPr="008F03E5">
        <w:rPr>
          <w:rFonts w:eastAsia="Times New Roman"/>
          <w:u w:val="single"/>
        </w:rPr>
        <w:t>sh</w:t>
      </w:r>
      <w:r w:rsidRPr="008F03E5">
        <w:rPr>
          <w:rFonts w:eastAsia="Times New Roman"/>
        </w:rPr>
        <w:tab/>
        <w:t>Pers. silent; discreet; tame; dead; extinguished.  O</w:t>
      </w:r>
      <w:r w:rsidRPr="008F03E5">
        <w:t>ften used in connection with the dead.</w:t>
      </w:r>
    </w:p>
    <w:p w14:paraId="6F534920" w14:textId="77777777" w:rsidR="00625A5B" w:rsidRPr="008F03E5" w:rsidRDefault="00625A5B" w:rsidP="00950D3B">
      <w:pPr>
        <w:pStyle w:val="Translit"/>
      </w:pPr>
      <w:r w:rsidRPr="008F03E5">
        <w:rPr>
          <w:rFonts w:eastAsia="Times New Roman"/>
        </w:rPr>
        <w:t>Khamushi</w:t>
      </w:r>
      <w:r w:rsidRPr="008F03E5">
        <w:rPr>
          <w:rFonts w:eastAsia="Times New Roman"/>
        </w:rPr>
        <w:tab/>
      </w:r>
      <w:r w:rsidRPr="008F03E5">
        <w:rPr>
          <w:rFonts w:eastAsia="Times New Roman"/>
          <w:u w:val="single"/>
        </w:rPr>
        <w:t>Kh</w:t>
      </w:r>
      <w:r w:rsidRPr="008F03E5">
        <w:rPr>
          <w:rFonts w:eastAsia="Times New Roman"/>
        </w:rPr>
        <w:t>ámu</w:t>
      </w:r>
      <w:r w:rsidRPr="008F03E5">
        <w:rPr>
          <w:rFonts w:eastAsia="Times New Roman"/>
          <w:u w:val="single"/>
        </w:rPr>
        <w:t>sh</w:t>
      </w:r>
      <w:r w:rsidRPr="008F03E5">
        <w:rPr>
          <w:rFonts w:eastAsia="Times New Roman"/>
        </w:rPr>
        <w:t>í</w:t>
      </w:r>
      <w:r w:rsidRPr="008F03E5">
        <w:rPr>
          <w:rFonts w:eastAsia="Times New Roman"/>
        </w:rPr>
        <w:tab/>
        <w:t>Pers. silence, taciturnity.</w:t>
      </w:r>
      <w:r w:rsidRPr="008F03E5">
        <w:t xml:space="preserve">  The dead are alluded to as being </w:t>
      </w:r>
      <w:r w:rsidRPr="008F03E5">
        <w:rPr>
          <w:rFonts w:eastAsia="Times New Roman"/>
          <w:u w:val="single"/>
        </w:rPr>
        <w:t>Kh</w:t>
      </w:r>
      <w:r w:rsidRPr="008F03E5">
        <w:rPr>
          <w:rFonts w:eastAsia="Times New Roman"/>
        </w:rPr>
        <w:t>ámu</w:t>
      </w:r>
      <w:r w:rsidRPr="008F03E5">
        <w:rPr>
          <w:rFonts w:eastAsia="Times New Roman"/>
          <w:u w:val="single"/>
        </w:rPr>
        <w:t>sh</w:t>
      </w:r>
      <w:r w:rsidRPr="008F03E5">
        <w:t>, i.e., silent.</w:t>
      </w:r>
    </w:p>
    <w:p w14:paraId="69294164" w14:textId="77777777" w:rsidR="00625A5B" w:rsidRPr="008F03E5" w:rsidRDefault="00625A5B" w:rsidP="0066120E">
      <w:pPr>
        <w:pStyle w:val="Translit"/>
      </w:pPr>
      <w:r w:rsidRPr="008F03E5">
        <w:t>Khan al-‘Umdan</w:t>
      </w:r>
      <w:r w:rsidRPr="008F03E5">
        <w:tab/>
      </w:r>
      <w:r w:rsidRPr="008F03E5">
        <w:rPr>
          <w:u w:val="single"/>
        </w:rPr>
        <w:t>Kh</w:t>
      </w:r>
      <w:r w:rsidRPr="008F03E5">
        <w:t>án al-‘Umdán</w:t>
      </w:r>
      <w:r w:rsidRPr="008F03E5">
        <w:tab/>
        <w:t xml:space="preserve">“the Inn of the Pillars” (32.919986, 35.069020), large merchant’s inn, ‘Akká.  Also known as </w:t>
      </w:r>
      <w:r w:rsidRPr="008F03E5">
        <w:rPr>
          <w:u w:val="single"/>
          <w:lang w:eastAsia="en-US"/>
        </w:rPr>
        <w:t>Kh</w:t>
      </w:r>
      <w:r w:rsidRPr="008F03E5">
        <w:rPr>
          <w:lang w:eastAsia="en-US"/>
        </w:rPr>
        <w:t xml:space="preserve">án al-‘Avámíd, </w:t>
      </w:r>
      <w:r w:rsidRPr="008F03E5">
        <w:rPr>
          <w:u w:val="single"/>
          <w:lang w:eastAsia="en-US"/>
        </w:rPr>
        <w:t>Kh</w:t>
      </w:r>
      <w:r w:rsidRPr="008F03E5">
        <w:rPr>
          <w:lang w:eastAsia="en-US"/>
        </w:rPr>
        <w:t>án al-Jurayní.</w:t>
      </w:r>
    </w:p>
    <w:p w14:paraId="6EBE8167" w14:textId="77777777" w:rsidR="00625A5B" w:rsidRPr="008F03E5" w:rsidRDefault="00625A5B" w:rsidP="00D50BD7">
      <w:pPr>
        <w:pStyle w:val="Translit"/>
      </w:pPr>
      <w:r w:rsidRPr="008F03E5">
        <w:t>Khan al-Ifranj (Khan al-Franj)</w:t>
      </w:r>
      <w:r w:rsidRPr="008F03E5">
        <w:tab/>
      </w:r>
      <w:r w:rsidRPr="008F03E5">
        <w:rPr>
          <w:u w:val="single"/>
        </w:rPr>
        <w:t>Kh</w:t>
      </w:r>
      <w:r w:rsidRPr="008F03E5">
        <w:t>án al-Ifranj</w:t>
      </w:r>
      <w:r w:rsidRPr="008F03E5">
        <w:tab/>
        <w:t>“the Franks (or Europeans) Inn” (32.921118, 35.069777), ‘Akká</w:t>
      </w:r>
    </w:p>
    <w:p w14:paraId="1D7731B9" w14:textId="77777777" w:rsidR="00625A5B" w:rsidRPr="008F03E5" w:rsidRDefault="00625A5B" w:rsidP="0066120E">
      <w:pPr>
        <w:pStyle w:val="Translit"/>
      </w:pPr>
      <w:r w:rsidRPr="008F03E5">
        <w:t>Khan ash-Shawarda or Khan at-Tujjar</w:t>
      </w:r>
      <w:r w:rsidRPr="008F03E5">
        <w:tab/>
      </w:r>
      <w:r w:rsidRPr="008F03E5">
        <w:rPr>
          <w:u w:val="single"/>
        </w:rPr>
        <w:t>Kh</w:t>
      </w:r>
      <w:r w:rsidRPr="008F03E5">
        <w:t>án a</w:t>
      </w:r>
      <w:r w:rsidRPr="008F03E5">
        <w:rPr>
          <w:u w:val="single"/>
        </w:rPr>
        <w:t>sh</w:t>
      </w:r>
      <w:r w:rsidRPr="008F03E5">
        <w:t>-</w:t>
      </w:r>
      <w:r w:rsidRPr="008F03E5">
        <w:rPr>
          <w:u w:val="single"/>
        </w:rPr>
        <w:t>Sh</w:t>
      </w:r>
      <w:r w:rsidRPr="008F03E5">
        <w:t xml:space="preserve">awárda or </w:t>
      </w:r>
      <w:r w:rsidRPr="008F03E5">
        <w:rPr>
          <w:u w:val="single"/>
        </w:rPr>
        <w:t>Kh</w:t>
      </w:r>
      <w:r w:rsidRPr="008F03E5">
        <w:t>án at-Tujjár</w:t>
      </w:r>
      <w:r w:rsidRPr="008F03E5">
        <w:tab/>
        <w:t>“the Merchant’s Inn” (32.921852, 35.071308), ‘Akká</w:t>
      </w:r>
    </w:p>
    <w:p w14:paraId="00BB4FDE" w14:textId="77777777" w:rsidR="00625A5B" w:rsidRPr="008F03E5" w:rsidRDefault="00625A5B" w:rsidP="00AD0A30">
      <w:pPr>
        <w:pStyle w:val="Translit"/>
      </w:pPr>
      <w:r w:rsidRPr="008F03E5">
        <w:t>Khan ash-Shuna</w:t>
      </w:r>
      <w:r w:rsidRPr="008F03E5">
        <w:tab/>
      </w:r>
      <w:r w:rsidRPr="008F03E5">
        <w:rPr>
          <w:u w:val="single"/>
        </w:rPr>
        <w:t>Kh</w:t>
      </w:r>
      <w:r w:rsidRPr="008F03E5">
        <w:t>án a</w:t>
      </w:r>
      <w:r w:rsidRPr="008F03E5">
        <w:rPr>
          <w:u w:val="single"/>
        </w:rPr>
        <w:t>sh</w:t>
      </w:r>
      <w:r w:rsidRPr="008F03E5">
        <w:t>-</w:t>
      </w:r>
      <w:r w:rsidRPr="008F03E5">
        <w:rPr>
          <w:u w:val="single"/>
        </w:rPr>
        <w:t>Sh</w:t>
      </w:r>
      <w:r w:rsidRPr="008F03E5">
        <w:t>úna</w:t>
      </w:r>
      <w:r w:rsidRPr="008F03E5">
        <w:tab/>
        <w:t>“the Granary Inn” (36.197565, 37.160959), oldest inn in ‘Akká</w:t>
      </w:r>
    </w:p>
    <w:p w14:paraId="2CF399F8" w14:textId="77777777" w:rsidR="00625A5B" w:rsidRPr="008F03E5" w:rsidRDefault="00625A5B" w:rsidP="00210E95">
      <w:pPr>
        <w:pStyle w:val="Translit"/>
      </w:pPr>
      <w:r w:rsidRPr="008F03E5">
        <w:t xml:space="preserve">Khan, </w:t>
      </w:r>
      <w:r>
        <w:t xml:space="preserve">Khana, </w:t>
      </w:r>
      <w:r w:rsidRPr="008F03E5">
        <w:t>Khanat,</w:t>
      </w:r>
      <w:r w:rsidRPr="008F03E5">
        <w:rPr>
          <w:rFonts w:eastAsia="Times New Roman"/>
        </w:rPr>
        <w:t xml:space="preserve"> Khawanin</w:t>
      </w:r>
      <w:r w:rsidRPr="008F03E5">
        <w:tab/>
      </w:r>
      <w:r w:rsidRPr="008F03E5">
        <w:rPr>
          <w:u w:val="single"/>
        </w:rPr>
        <w:t>Kh</w:t>
      </w:r>
      <w:r w:rsidRPr="008F03E5">
        <w:t xml:space="preserve">án, </w:t>
      </w:r>
      <w:r>
        <w:t xml:space="preserve">fem. </w:t>
      </w:r>
      <w:r w:rsidRPr="00210E95">
        <w:rPr>
          <w:u w:val="single"/>
        </w:rPr>
        <w:t>Kh</w:t>
      </w:r>
      <w:r w:rsidRPr="00210E95">
        <w:t>á</w:t>
      </w:r>
      <w:r>
        <w:t>na[h or t]</w:t>
      </w:r>
      <w:r>
        <w:tab/>
        <w:t>(</w:t>
      </w:r>
      <w:r w:rsidRPr="008F03E5">
        <w:t xml:space="preserve">pl. </w:t>
      </w:r>
      <w:r w:rsidRPr="008F03E5">
        <w:rPr>
          <w:u w:val="single"/>
        </w:rPr>
        <w:t>Kh</w:t>
      </w:r>
      <w:r w:rsidRPr="008F03E5">
        <w:t>áwánín</w:t>
      </w:r>
      <w:r>
        <w:t xml:space="preserve">, fem. </w:t>
      </w:r>
      <w:r w:rsidRPr="008F03E5">
        <w:rPr>
          <w:u w:val="single"/>
        </w:rPr>
        <w:t>Kh</w:t>
      </w:r>
      <w:r w:rsidRPr="008F03E5">
        <w:t>ánát</w:t>
      </w:r>
      <w:r>
        <w:t xml:space="preserve">) </w:t>
      </w:r>
      <w:r w:rsidRPr="008F03E5">
        <w:t xml:space="preserve">hostel, caravanserai; inn, pub, tavern.  </w:t>
      </w:r>
      <w:r>
        <w:t xml:space="preserve">Fem. </w:t>
      </w:r>
      <w:r w:rsidRPr="00210E95">
        <w:t>column (e.g., of a newspaper); square (e.g., on a chessboard)</w:t>
      </w:r>
      <w:r>
        <w:t>.  Pers., o</w:t>
      </w:r>
      <w:r w:rsidRPr="008F03E5">
        <w:t xml:space="preserve">riginally from the Mongolian term for a ruler; a title meaning prince, chieftain, warrior or man of rank.  The political entity ruled by a </w:t>
      </w:r>
      <w:r w:rsidRPr="008F03E5">
        <w:rPr>
          <w:u w:val="single"/>
        </w:rPr>
        <w:t>Kh</w:t>
      </w:r>
      <w:r w:rsidRPr="008F03E5">
        <w:t xml:space="preserve">án is a </w:t>
      </w:r>
      <w:r w:rsidRPr="008F03E5">
        <w:rPr>
          <w:u w:val="single"/>
        </w:rPr>
        <w:t>Kh</w:t>
      </w:r>
      <w:r w:rsidRPr="008F03E5">
        <w:t>ánát or Khanate (Khaganate).</w:t>
      </w:r>
    </w:p>
    <w:p w14:paraId="186679EB" w14:textId="77777777" w:rsidR="00625A5B" w:rsidRPr="008F03E5" w:rsidRDefault="00625A5B" w:rsidP="00210E95">
      <w:pPr>
        <w:pStyle w:val="Translit"/>
      </w:pPr>
      <w:r w:rsidRPr="008F03E5">
        <w:rPr>
          <w:rFonts w:eastAsia="Times New Roman"/>
        </w:rPr>
        <w:t>Khana (Khanih), Khana-ha</w:t>
      </w:r>
      <w:r w:rsidRPr="008F03E5">
        <w:rPr>
          <w:rFonts w:eastAsia="Times New Roman"/>
        </w:rPr>
        <w:tab/>
      </w:r>
      <w:r w:rsidRPr="008F03E5">
        <w:rPr>
          <w:rFonts w:eastAsia="Times New Roman"/>
          <w:u w:val="single"/>
        </w:rPr>
        <w:t>Kh</w:t>
      </w:r>
      <w:r w:rsidRPr="008F03E5">
        <w:rPr>
          <w:rFonts w:eastAsia="Times New Roman"/>
        </w:rPr>
        <w:t>ána</w:t>
      </w:r>
      <w:r>
        <w:rPr>
          <w:rFonts w:eastAsia="Times New Roman"/>
        </w:rPr>
        <w:t xml:space="preserve"> (</w:t>
      </w:r>
      <w:r w:rsidRPr="00AF4D34">
        <w:rPr>
          <w:rFonts w:eastAsia="Times New Roman"/>
          <w:rtl/>
        </w:rPr>
        <w:t>خانه</w:t>
      </w:r>
      <w:r>
        <w:rPr>
          <w:rFonts w:eastAsia="Times New Roman"/>
        </w:rPr>
        <w:t>)</w:t>
      </w:r>
      <w:r w:rsidRPr="008F03E5">
        <w:rPr>
          <w:rFonts w:eastAsia="Times New Roman"/>
        </w:rPr>
        <w:t xml:space="preserve">, pl. </w:t>
      </w:r>
      <w:r w:rsidRPr="008F03E5">
        <w:rPr>
          <w:rFonts w:eastAsia="Times New Roman"/>
          <w:u w:val="single"/>
        </w:rPr>
        <w:t>Kh</w:t>
      </w:r>
      <w:r w:rsidRPr="008F03E5">
        <w:t>á</w:t>
      </w:r>
      <w:r w:rsidRPr="008F03E5">
        <w:rPr>
          <w:rFonts w:eastAsia="Times New Roman"/>
        </w:rPr>
        <w:t>na-h</w:t>
      </w:r>
      <w:r w:rsidRPr="008F03E5">
        <w:t>á</w:t>
      </w:r>
      <w:r w:rsidRPr="008F03E5">
        <w:rPr>
          <w:rFonts w:eastAsia="Times New Roman"/>
        </w:rPr>
        <w:tab/>
      </w:r>
      <w:r>
        <w:rPr>
          <w:rFonts w:eastAsia="Times New Roman"/>
        </w:rPr>
        <w:t>(I</w:t>
      </w:r>
      <w:r w:rsidRPr="00210E95">
        <w:t>ṣ</w:t>
      </w:r>
      <w:r>
        <w:rPr>
          <w:rFonts w:eastAsia="Times New Roman"/>
        </w:rPr>
        <w:t>fah</w:t>
      </w:r>
      <w:r w:rsidRPr="00210E95">
        <w:t>á</w:t>
      </w:r>
      <w:r>
        <w:rPr>
          <w:rFonts w:eastAsia="Times New Roman"/>
        </w:rPr>
        <w:t>n</w:t>
      </w:r>
      <w:r w:rsidRPr="00210E95">
        <w:t>í</w:t>
      </w:r>
      <w:r>
        <w:rPr>
          <w:rFonts w:eastAsia="Times New Roman"/>
        </w:rPr>
        <w:t xml:space="preserve"> </w:t>
      </w:r>
      <w:r w:rsidRPr="008F03E5">
        <w:rPr>
          <w:rFonts w:eastAsia="Times New Roman"/>
          <w:u w:val="single"/>
        </w:rPr>
        <w:t>Kh</w:t>
      </w:r>
      <w:r w:rsidRPr="008F03E5">
        <w:t>á</w:t>
      </w:r>
      <w:r w:rsidRPr="008F03E5">
        <w:rPr>
          <w:rFonts w:eastAsia="Times New Roman"/>
        </w:rPr>
        <w:t>nih</w:t>
      </w:r>
      <w:r>
        <w:rPr>
          <w:rFonts w:eastAsia="Times New Roman"/>
        </w:rPr>
        <w:t xml:space="preserve">) </w:t>
      </w:r>
      <w:r w:rsidRPr="008F03E5">
        <w:rPr>
          <w:rFonts w:eastAsia="Times New Roman"/>
        </w:rPr>
        <w:t>Pers. a house, dwelling, habitation; a tent, pavilion; a receptacle; a drawer, partition, compartment; department; the arm from the shoulder to the elbow; a field; a woman; a page of paper; a heap of corn; a hillock of sand; verse, poetry</w:t>
      </w:r>
    </w:p>
    <w:p w14:paraId="2E5FDB8A" w14:textId="77777777" w:rsidR="00625A5B" w:rsidRPr="008F03E5" w:rsidRDefault="00625A5B" w:rsidP="00870635">
      <w:pPr>
        <w:pStyle w:val="Translit"/>
      </w:pPr>
      <w:r w:rsidRPr="008F03E5">
        <w:rPr>
          <w:rFonts w:eastAsia="Times New Roman"/>
        </w:rPr>
        <w:t>Khanadan (Khandan)</w:t>
      </w:r>
      <w:r w:rsidRPr="008F03E5">
        <w:rPr>
          <w:rFonts w:eastAsia="Times New Roman"/>
        </w:rPr>
        <w:tab/>
      </w:r>
      <w:r w:rsidRPr="008F03E5">
        <w:rPr>
          <w:rFonts w:eastAsia="Times New Roman"/>
          <w:u w:val="single"/>
        </w:rPr>
        <w:t>Kh</w:t>
      </w:r>
      <w:r w:rsidRPr="008F03E5">
        <w:rPr>
          <w:rFonts w:eastAsia="Times New Roman"/>
        </w:rPr>
        <w:t>ánadán (</w:t>
      </w:r>
      <w:r w:rsidRPr="008F03E5">
        <w:rPr>
          <w:rFonts w:eastAsia="Times New Roman"/>
          <w:u w:val="single"/>
        </w:rPr>
        <w:t>Kh</w:t>
      </w:r>
      <w:r w:rsidRPr="008F03E5">
        <w:rPr>
          <w:rFonts w:eastAsia="Times New Roman"/>
        </w:rPr>
        <w:t>ándán)</w:t>
      </w:r>
      <w:r w:rsidRPr="008F03E5">
        <w:tab/>
        <w:t>Pers. to echo; to obtain celebrity</w:t>
      </w:r>
    </w:p>
    <w:p w14:paraId="2E7610F1" w14:textId="77777777" w:rsidR="00625A5B" w:rsidRPr="008F03E5" w:rsidRDefault="00625A5B" w:rsidP="000F1A6C">
      <w:pPr>
        <w:pStyle w:val="Translit"/>
      </w:pPr>
      <w:r w:rsidRPr="008F03E5">
        <w:rPr>
          <w:rFonts w:eastAsia="Times New Roman"/>
        </w:rPr>
        <w:t>Khanadan</w:t>
      </w:r>
      <w:r w:rsidRPr="008F03E5">
        <w:rPr>
          <w:rFonts w:eastAsia="Times New Roman"/>
        </w:rPr>
        <w:tab/>
      </w:r>
      <w:r w:rsidRPr="008F03E5">
        <w:rPr>
          <w:rFonts w:eastAsia="Times New Roman"/>
          <w:u w:val="single"/>
        </w:rPr>
        <w:t>Kh</w:t>
      </w:r>
      <w:r w:rsidRPr="008F03E5">
        <w:rPr>
          <w:rFonts w:eastAsia="Times New Roman"/>
        </w:rPr>
        <w:t>ánadán</w:t>
      </w:r>
      <w:r w:rsidRPr="008F03E5">
        <w:rPr>
          <w:rFonts w:eastAsia="Times New Roman"/>
        </w:rPr>
        <w:tab/>
        <w:t>Pers. a family; house; household; the court, king’s household; of noble blood; the master of a family</w:t>
      </w:r>
    </w:p>
    <w:p w14:paraId="0274BA8B" w14:textId="77777777" w:rsidR="00625A5B" w:rsidRPr="008F03E5" w:rsidRDefault="00625A5B" w:rsidP="001E2093">
      <w:pPr>
        <w:pStyle w:val="Translit"/>
      </w:pPr>
      <w:r w:rsidRPr="008F03E5">
        <w:t>Khanaqin (Khanaqayn)</w:t>
      </w:r>
      <w:r w:rsidRPr="008F03E5">
        <w:tab/>
      </w:r>
      <w:r w:rsidRPr="008F03E5">
        <w:rPr>
          <w:u w:val="single"/>
        </w:rPr>
        <w:t>Kh</w:t>
      </w:r>
      <w:r w:rsidRPr="008F03E5">
        <w:t>ánaqín (</w:t>
      </w:r>
      <w:r w:rsidRPr="008F03E5">
        <w:rPr>
          <w:u w:val="single"/>
        </w:rPr>
        <w:t>Kh</w:t>
      </w:r>
      <w:r w:rsidRPr="008F03E5">
        <w:t>ánaqín-i-‘Iráqí)</w:t>
      </w:r>
      <w:r w:rsidRPr="008F03E5">
        <w:tab/>
        <w:t xml:space="preserve">a town in ‘Iráq on the border of Írán, 143 km </w:t>
      </w:r>
      <w:r w:rsidRPr="008F03E5">
        <w:rPr>
          <w:sz w:val="16"/>
          <w:szCs w:val="16"/>
        </w:rPr>
        <w:t>NE</w:t>
      </w:r>
      <w:r w:rsidRPr="008F03E5">
        <w:t xml:space="preserve"> Ba</w:t>
      </w:r>
      <w:r w:rsidRPr="008F03E5">
        <w:rPr>
          <w:u w:val="single"/>
        </w:rPr>
        <w:t>gh</w:t>
      </w:r>
      <w:r w:rsidRPr="008F03E5">
        <w:t>dád and 155 km west of Kermanshah</w:t>
      </w:r>
    </w:p>
    <w:p w14:paraId="53251F2E" w14:textId="77777777" w:rsidR="00625A5B" w:rsidRPr="008F03E5" w:rsidRDefault="00625A5B" w:rsidP="00216A72">
      <w:pPr>
        <w:pStyle w:val="Translit"/>
        <w:rPr>
          <w:rFonts w:eastAsia="PMingLiU"/>
          <w:lang w:eastAsia="zh-TW"/>
        </w:rPr>
      </w:pPr>
      <w:r w:rsidRPr="008F03E5">
        <w:rPr>
          <w:rFonts w:eastAsia="PMingLiU"/>
          <w:lang w:eastAsia="zh-TW"/>
        </w:rPr>
        <w:t>Khandaq, Khanadiq</w:t>
      </w:r>
      <w:r w:rsidRPr="008F03E5">
        <w:rPr>
          <w:rFonts w:eastAsia="PMingLiU"/>
          <w:lang w:eastAsia="zh-TW"/>
        </w:rPr>
        <w:tab/>
      </w:r>
      <w:r w:rsidRPr="008F03E5">
        <w:rPr>
          <w:rFonts w:eastAsia="PMingLiU"/>
          <w:u w:val="single"/>
          <w:lang w:eastAsia="zh-TW"/>
        </w:rPr>
        <w:t>Kh</w:t>
      </w:r>
      <w:r w:rsidRPr="008F03E5">
        <w:rPr>
          <w:rFonts w:eastAsia="PMingLiU"/>
          <w:lang w:eastAsia="zh-TW"/>
        </w:rPr>
        <w:t xml:space="preserve">andaq, pl. </w:t>
      </w:r>
      <w:r w:rsidRPr="008F03E5">
        <w:rPr>
          <w:rFonts w:eastAsia="PMingLiU"/>
          <w:u w:val="single"/>
          <w:lang w:eastAsia="zh-TW"/>
        </w:rPr>
        <w:t>Kh</w:t>
      </w:r>
      <w:r w:rsidRPr="008F03E5">
        <w:rPr>
          <w:rFonts w:eastAsia="PMingLiU"/>
          <w:lang w:eastAsia="zh-TW"/>
        </w:rPr>
        <w:t>anádiq</w:t>
      </w:r>
      <w:r w:rsidRPr="008F03E5">
        <w:rPr>
          <w:rFonts w:eastAsia="PMingLiU"/>
          <w:lang w:eastAsia="zh-TW"/>
        </w:rPr>
        <w:tab/>
        <w:t xml:space="preserve">ditch; trench.  Arabized form of kandag following suggestion of </w:t>
      </w:r>
      <w:r w:rsidRPr="008F03E5">
        <w:t xml:space="preserve">Salmán to build a trench north of Medina in December </w:t>
      </w:r>
      <w:r w:rsidRPr="008F03E5">
        <w:rPr>
          <w:sz w:val="16"/>
          <w:szCs w:val="16"/>
        </w:rPr>
        <w:t>CE</w:t>
      </w:r>
      <w:r w:rsidRPr="008F03E5">
        <w:t xml:space="preserve"> 626.</w:t>
      </w:r>
    </w:p>
    <w:p w14:paraId="5229FE24" w14:textId="77777777" w:rsidR="00625A5B" w:rsidRPr="008F03E5" w:rsidRDefault="00625A5B" w:rsidP="004715B7">
      <w:pPr>
        <w:pStyle w:val="Translit"/>
      </w:pPr>
      <w:r w:rsidRPr="008F03E5">
        <w:rPr>
          <w:rFonts w:eastAsia="PMingLiU"/>
          <w:lang w:eastAsia="zh-TW"/>
        </w:rPr>
        <w:t>Khandil</w:t>
      </w:r>
      <w:r w:rsidRPr="008F03E5">
        <w:tab/>
      </w:r>
      <w:r w:rsidRPr="008F03E5">
        <w:rPr>
          <w:u w:val="single"/>
        </w:rPr>
        <w:t>Kh</w:t>
      </w:r>
      <w:r w:rsidRPr="008F03E5">
        <w:rPr>
          <w:rFonts w:eastAsia="PMingLiU"/>
          <w:lang w:eastAsia="zh-TW"/>
        </w:rPr>
        <w:t>ándil</w:t>
      </w:r>
      <w:r w:rsidRPr="008F03E5">
        <w:tab/>
        <w:t>pronunciation of Turkish Kandil (candle or oil lamp).  Arabic q</w:t>
      </w:r>
      <w:r w:rsidRPr="008F03E5">
        <w:rPr>
          <w:rFonts w:eastAsia="PMingLiU"/>
          <w:lang w:eastAsia="zh-TW"/>
        </w:rPr>
        <w:t>indíl</w:t>
      </w:r>
    </w:p>
    <w:p w14:paraId="30079CBF" w14:textId="77777777" w:rsidR="00625A5B" w:rsidRPr="008F03E5" w:rsidRDefault="00625A5B" w:rsidP="00D37ACA">
      <w:pPr>
        <w:pStyle w:val="Translit"/>
      </w:pPr>
      <w:r w:rsidRPr="008F03E5">
        <w:rPr>
          <w:rFonts w:eastAsia="Times New Roman"/>
        </w:rPr>
        <w:t>Khangah, Khanagah Khan-gah, Khana-gah</w:t>
      </w:r>
      <w:r w:rsidRPr="008F03E5">
        <w:rPr>
          <w:rFonts w:eastAsia="Times New Roman"/>
        </w:rPr>
        <w:tab/>
      </w:r>
      <w:r w:rsidRPr="008F03E5">
        <w:rPr>
          <w:rFonts w:eastAsia="Times New Roman"/>
          <w:u w:val="single"/>
        </w:rPr>
        <w:t>Kh</w:t>
      </w:r>
      <w:r w:rsidRPr="008F03E5">
        <w:rPr>
          <w:rFonts w:eastAsia="Times New Roman"/>
        </w:rPr>
        <w:t xml:space="preserve">ánagáh </w:t>
      </w:r>
      <w:r w:rsidRPr="008F03E5">
        <w:t>(</w:t>
      </w:r>
      <w:r w:rsidRPr="008F03E5">
        <w:rPr>
          <w:rFonts w:eastAsia="Times New Roman"/>
          <w:u w:val="single"/>
        </w:rPr>
        <w:t>Kh</w:t>
      </w:r>
      <w:r w:rsidRPr="008F03E5">
        <w:rPr>
          <w:rFonts w:eastAsia="Times New Roman"/>
        </w:rPr>
        <w:t>ángáh</w:t>
      </w:r>
      <w:r w:rsidRPr="008F03E5">
        <w:t>)</w:t>
      </w:r>
      <w:r w:rsidRPr="008F03E5">
        <w:tab/>
        <w:t xml:space="preserve">Pers. </w:t>
      </w:r>
      <w:r w:rsidRPr="008F03E5">
        <w:rPr>
          <w:rFonts w:eastAsia="Times New Roman"/>
          <w:u w:val="single"/>
        </w:rPr>
        <w:t>kh</w:t>
      </w:r>
      <w:r w:rsidRPr="008F03E5">
        <w:rPr>
          <w:rFonts w:eastAsia="Times New Roman"/>
        </w:rPr>
        <w:t xml:space="preserve">ána-gah </w:t>
      </w:r>
      <w:r w:rsidRPr="008F03E5">
        <w:t>(</w:t>
      </w:r>
      <w:r w:rsidRPr="008F03E5">
        <w:rPr>
          <w:rFonts w:eastAsia="Times New Roman"/>
          <w:u w:val="single"/>
        </w:rPr>
        <w:t>kh</w:t>
      </w:r>
      <w:r w:rsidRPr="008F03E5">
        <w:rPr>
          <w:rFonts w:eastAsia="Times New Roman"/>
        </w:rPr>
        <w:t>án-gah</w:t>
      </w:r>
      <w:r w:rsidRPr="008F03E5">
        <w:t>)</w:t>
      </w:r>
      <w:r w:rsidRPr="008F03E5">
        <w:rPr>
          <w:rFonts w:eastAsia="Times New Roman"/>
        </w:rPr>
        <w:t>, a monastery for Sufis or Darwishes; a convent, chapel; a hospice.  Also with “q” instead of “g”.</w:t>
      </w:r>
    </w:p>
    <w:p w14:paraId="2F1513EB" w14:textId="77777777" w:rsidR="00625A5B" w:rsidRPr="008F03E5" w:rsidRDefault="00625A5B" w:rsidP="006E7F9B">
      <w:pPr>
        <w:pStyle w:val="Translit"/>
      </w:pPr>
      <w:r w:rsidRPr="008F03E5">
        <w:t>Khani Abad (Khan-i-Abad, Khaniabad)</w:t>
      </w:r>
      <w:r w:rsidRPr="008F03E5">
        <w:tab/>
      </w:r>
      <w:r w:rsidRPr="008F03E5">
        <w:rPr>
          <w:u w:val="single"/>
        </w:rPr>
        <w:t>Kh</w:t>
      </w:r>
      <w:r w:rsidRPr="008F03E5">
        <w:t>ání Ábád</w:t>
      </w:r>
      <w:r w:rsidRPr="008F03E5">
        <w:tab/>
        <w:t xml:space="preserve">Pers. a village “near” Ṭihrán may be:  35.663238, 51.409908 neighbourhood District 12, south of Gulistan Palace; 35.633734, 51.390302 North </w:t>
      </w:r>
      <w:r w:rsidRPr="008F03E5">
        <w:rPr>
          <w:u w:val="single"/>
        </w:rPr>
        <w:t>Kh</w:t>
      </w:r>
      <w:r w:rsidRPr="008F03E5">
        <w:t xml:space="preserve">ání Ábád, District 19; 35.619525, 51.394887 South </w:t>
      </w:r>
      <w:r w:rsidRPr="008F03E5">
        <w:rPr>
          <w:u w:val="single"/>
        </w:rPr>
        <w:t>Kh</w:t>
      </w:r>
      <w:r w:rsidRPr="008F03E5">
        <w:t xml:space="preserve">ání Ábád, District 19; or the village of village (35.568146, 51.526189) of </w:t>
      </w:r>
      <w:r w:rsidRPr="008F03E5">
        <w:rPr>
          <w:u w:val="single"/>
        </w:rPr>
        <w:t>Gh</w:t>
      </w:r>
      <w:r w:rsidRPr="008F03E5">
        <w:t>ání Ábád (</w:t>
      </w:r>
      <w:r w:rsidRPr="008F03E5">
        <w:rPr>
          <w:u w:val="single"/>
        </w:rPr>
        <w:t>Kh</w:t>
      </w:r>
      <w:r w:rsidRPr="008F03E5">
        <w:t>ání Ábád).</w:t>
      </w:r>
    </w:p>
    <w:p w14:paraId="56A9F19E" w14:textId="77777777" w:rsidR="00625A5B" w:rsidRPr="008F03E5" w:rsidRDefault="00625A5B" w:rsidP="00672CDB">
      <w:pPr>
        <w:pStyle w:val="Translit"/>
      </w:pPr>
      <w:r w:rsidRPr="008F03E5">
        <w:t>Khani</w:t>
      </w:r>
      <w:r w:rsidRPr="008F03E5">
        <w:tab/>
      </w:r>
      <w:r w:rsidRPr="008F03E5">
        <w:rPr>
          <w:u w:val="single"/>
        </w:rPr>
        <w:t>Kh</w:t>
      </w:r>
      <w:r w:rsidRPr="008F03E5">
        <w:t>ání</w:t>
      </w:r>
      <w:r w:rsidRPr="008F03E5">
        <w:tab/>
        <w:t xml:space="preserve">Pers. </w:t>
      </w:r>
      <w:r w:rsidRPr="008F03E5">
        <w:rPr>
          <w:rFonts w:eastAsia="Times New Roman"/>
        </w:rPr>
        <w:t>a fountain, pure water; a vessel in which water is cooled; a bath; gold; imperial rank</w:t>
      </w:r>
    </w:p>
    <w:p w14:paraId="50A70CAB" w14:textId="77777777" w:rsidR="00625A5B" w:rsidRPr="008F03E5" w:rsidRDefault="00625A5B" w:rsidP="00900A82">
      <w:pPr>
        <w:pStyle w:val="Translit"/>
      </w:pPr>
      <w:r w:rsidRPr="008F03E5">
        <w:t>Khan-i</w:t>
      </w:r>
      <w:r w:rsidRPr="008F03E5">
        <w:rPr>
          <w:rFonts w:eastAsia="PMingLiU"/>
          <w:lang w:eastAsia="zh-TW"/>
        </w:rPr>
        <w:t>-‘</w:t>
      </w:r>
      <w:r w:rsidRPr="008F03E5">
        <w:t>Arab</w:t>
      </w:r>
      <w:r w:rsidRPr="008F03E5">
        <w:tab/>
      </w:r>
      <w:r w:rsidRPr="008F03E5">
        <w:rPr>
          <w:u w:val="single"/>
        </w:rPr>
        <w:t>Kh</w:t>
      </w:r>
      <w:r w:rsidRPr="008F03E5">
        <w:t>án-i-‘Arab</w:t>
      </w:r>
      <w:r w:rsidRPr="008F03E5">
        <w:tab/>
      </w:r>
    </w:p>
    <w:p w14:paraId="339DE6E5" w14:textId="77777777" w:rsidR="00625A5B" w:rsidRPr="008F03E5" w:rsidRDefault="00625A5B" w:rsidP="00D60439">
      <w:pPr>
        <w:pStyle w:val="Translit"/>
      </w:pPr>
      <w:r w:rsidRPr="008F03E5">
        <w:t>Khan-i</w:t>
      </w:r>
      <w:r w:rsidRPr="008F03E5">
        <w:rPr>
          <w:rFonts w:eastAsia="PMingLiU"/>
          <w:lang w:eastAsia="zh-TW"/>
        </w:rPr>
        <w:t>-‘</w:t>
      </w:r>
      <w:r w:rsidRPr="008F03E5">
        <w:t>Avamid</w:t>
      </w:r>
      <w:r w:rsidRPr="008F03E5">
        <w:tab/>
      </w:r>
      <w:r w:rsidRPr="008F03E5">
        <w:rPr>
          <w:u w:val="single"/>
        </w:rPr>
        <w:t>Kh</w:t>
      </w:r>
      <w:r w:rsidRPr="008F03E5">
        <w:t>án-i-‘Avámíd</w:t>
      </w:r>
      <w:r w:rsidRPr="008F03E5">
        <w:tab/>
        <w:t xml:space="preserve">Inn of Pillars, ‘Akká.  Also known as </w:t>
      </w:r>
      <w:r w:rsidRPr="008F03E5">
        <w:rPr>
          <w:u w:val="single"/>
        </w:rPr>
        <w:t>Kh</w:t>
      </w:r>
      <w:r w:rsidRPr="008F03E5">
        <w:t xml:space="preserve">án-i-Jurayní or </w:t>
      </w:r>
      <w:r w:rsidRPr="008F03E5">
        <w:rPr>
          <w:u w:val="single"/>
        </w:rPr>
        <w:t>Kh</w:t>
      </w:r>
      <w:r w:rsidRPr="008F03E5">
        <w:t xml:space="preserve">án al-‘Umdán.  </w:t>
      </w:r>
      <w:r w:rsidRPr="008F03E5">
        <w:rPr>
          <w:i/>
          <w:iCs/>
        </w:rPr>
        <w:t>See</w:t>
      </w:r>
      <w:r w:rsidRPr="008F03E5">
        <w:t xml:space="preserve"> ‘awámíd.</w:t>
      </w:r>
    </w:p>
    <w:p w14:paraId="4BAFB2D0" w14:textId="77777777" w:rsidR="00625A5B" w:rsidRPr="008F03E5" w:rsidRDefault="00625A5B" w:rsidP="00951F18">
      <w:pPr>
        <w:pStyle w:val="Translit"/>
      </w:pPr>
      <w:r w:rsidRPr="008F03E5">
        <w:t>Khan-i-Ahi</w:t>
      </w:r>
      <w:r w:rsidRPr="008F03E5">
        <w:tab/>
      </w:r>
      <w:r w:rsidRPr="008F03E5">
        <w:rPr>
          <w:u w:val="single"/>
        </w:rPr>
        <w:t>Kh</w:t>
      </w:r>
      <w:r w:rsidRPr="008F03E5">
        <w:t>án-i-Áhí</w:t>
      </w:r>
      <w:r w:rsidRPr="008F03E5">
        <w:tab/>
        <w:t xml:space="preserve">Mírzá Majíd </w:t>
      </w:r>
      <w:r w:rsidRPr="008F03E5">
        <w:rPr>
          <w:u w:val="single"/>
        </w:rPr>
        <w:t>Kh</w:t>
      </w:r>
      <w:r w:rsidRPr="008F03E5">
        <w:t>án-i-Áhí, a secretary of Russian Legation</w:t>
      </w:r>
    </w:p>
    <w:p w14:paraId="2E6BA450" w14:textId="77777777" w:rsidR="00625A5B" w:rsidRPr="001457C8" w:rsidRDefault="00625A5B" w:rsidP="00900A82">
      <w:pPr>
        <w:pStyle w:val="Translit"/>
        <w:rPr>
          <w:lang w:val="pl-PL"/>
        </w:rPr>
      </w:pPr>
      <w:r w:rsidRPr="001457C8">
        <w:rPr>
          <w:lang w:val="pl-PL"/>
        </w:rPr>
        <w:t>Khan-i-Kalantar</w:t>
      </w:r>
      <w:r w:rsidRPr="001457C8">
        <w:rPr>
          <w:lang w:val="pl-PL"/>
        </w:rPr>
        <w:tab/>
      </w:r>
      <w:r w:rsidRPr="001457C8">
        <w:rPr>
          <w:u w:val="single"/>
          <w:lang w:val="pl-PL"/>
        </w:rPr>
        <w:t>Kh</w:t>
      </w:r>
      <w:r w:rsidRPr="001457C8">
        <w:rPr>
          <w:lang w:val="pl-PL"/>
        </w:rPr>
        <w:t>án-i-Kalántar</w:t>
      </w:r>
      <w:r w:rsidRPr="001457C8">
        <w:rPr>
          <w:lang w:val="pl-PL"/>
        </w:rPr>
        <w:tab/>
      </w:r>
    </w:p>
    <w:p w14:paraId="728B673A" w14:textId="77777777" w:rsidR="00625A5B" w:rsidRPr="001457C8" w:rsidRDefault="00625A5B" w:rsidP="00900A82">
      <w:pPr>
        <w:pStyle w:val="Translit"/>
        <w:rPr>
          <w:lang w:val="pl-PL"/>
        </w:rPr>
      </w:pPr>
      <w:r w:rsidRPr="001457C8">
        <w:rPr>
          <w:lang w:val="pl-PL"/>
        </w:rPr>
        <w:t>Khan-i-Kashi</w:t>
      </w:r>
      <w:r w:rsidRPr="001457C8">
        <w:rPr>
          <w:lang w:val="pl-PL"/>
        </w:rPr>
        <w:tab/>
      </w:r>
      <w:r w:rsidRPr="001457C8">
        <w:rPr>
          <w:u w:val="single"/>
          <w:lang w:val="pl-PL"/>
        </w:rPr>
        <w:t>Kh</w:t>
      </w:r>
      <w:r w:rsidRPr="001457C8">
        <w:rPr>
          <w:lang w:val="pl-PL"/>
        </w:rPr>
        <w:t>án-i-Ká</w:t>
      </w:r>
      <w:r w:rsidRPr="001457C8">
        <w:rPr>
          <w:u w:val="single"/>
          <w:lang w:val="pl-PL"/>
        </w:rPr>
        <w:t>sh</w:t>
      </w:r>
      <w:r w:rsidRPr="001457C8">
        <w:rPr>
          <w:lang w:val="pl-PL"/>
        </w:rPr>
        <w:t>í</w:t>
      </w:r>
      <w:r w:rsidRPr="001457C8">
        <w:rPr>
          <w:lang w:val="pl-PL"/>
        </w:rPr>
        <w:tab/>
      </w:r>
    </w:p>
    <w:p w14:paraId="690417ED" w14:textId="77777777" w:rsidR="00625A5B" w:rsidRPr="008D7669" w:rsidRDefault="00625A5B" w:rsidP="008D7669">
      <w:pPr>
        <w:pStyle w:val="Translit"/>
        <w:rPr>
          <w:lang w:val="en-AU"/>
        </w:rPr>
      </w:pPr>
      <w:r w:rsidRPr="008D7669">
        <w:rPr>
          <w:lang w:val="en-AU"/>
        </w:rPr>
        <w:t>Khan-i-Khudi (Khankowdi)</w:t>
      </w:r>
      <w:r w:rsidRPr="008D7669">
        <w:rPr>
          <w:lang w:val="en-AU"/>
        </w:rPr>
        <w:tab/>
      </w:r>
      <w:r w:rsidRPr="008D7669">
        <w:rPr>
          <w:u w:val="single"/>
          <w:lang w:val="en-AU"/>
        </w:rPr>
        <w:t>Kh</w:t>
      </w:r>
      <w:r w:rsidRPr="008D7669">
        <w:rPr>
          <w:lang w:val="en-AU"/>
        </w:rPr>
        <w:t>án-i-</w:t>
      </w:r>
      <w:r w:rsidRPr="008D7669">
        <w:rPr>
          <w:u w:val="single"/>
          <w:lang w:val="en-AU"/>
        </w:rPr>
        <w:t>Kh</w:t>
      </w:r>
      <w:r w:rsidRPr="008D7669">
        <w:rPr>
          <w:lang w:val="en-AU"/>
        </w:rPr>
        <w:t>údí</w:t>
      </w:r>
      <w:r w:rsidRPr="008D7669">
        <w:rPr>
          <w:lang w:val="en-AU"/>
        </w:rPr>
        <w:tab/>
        <w:t>small village (36.023428, 55.982993) in Semnan Province</w:t>
      </w:r>
    </w:p>
    <w:p w14:paraId="5D16C2AD" w14:textId="77777777" w:rsidR="00625A5B" w:rsidRPr="00074C6F" w:rsidRDefault="00625A5B" w:rsidP="00074C6F">
      <w:pPr>
        <w:pStyle w:val="Translit"/>
        <w:rPr>
          <w:lang w:val="en-AU"/>
        </w:rPr>
      </w:pPr>
      <w:r w:rsidRPr="00FB0ED7">
        <w:rPr>
          <w:lang w:val="en-AU"/>
        </w:rPr>
        <w:t>Khan-i-Kirmani</w:t>
      </w:r>
      <w:r w:rsidRPr="00FB0ED7">
        <w:rPr>
          <w:lang w:val="en-AU"/>
        </w:rPr>
        <w:tab/>
      </w:r>
      <w:r w:rsidRPr="00FB0ED7">
        <w:rPr>
          <w:u w:val="single"/>
          <w:lang w:val="en-AU"/>
        </w:rPr>
        <w:t>Kh</w:t>
      </w:r>
      <w:r w:rsidRPr="00FB0ED7">
        <w:rPr>
          <w:lang w:val="en-AU"/>
        </w:rPr>
        <w:t>án-i-Kirmání</w:t>
      </w:r>
      <w:r w:rsidRPr="00FB0ED7">
        <w:rPr>
          <w:lang w:val="en-AU"/>
        </w:rPr>
        <w:tab/>
        <w:t xml:space="preserve">Ḥaji Mírzá Muḥammad Karím </w:t>
      </w:r>
      <w:r w:rsidRPr="00FB0ED7">
        <w:rPr>
          <w:u w:val="single"/>
          <w:lang w:val="en-AU"/>
        </w:rPr>
        <w:t>Kh</w:t>
      </w:r>
      <w:r w:rsidRPr="00FB0ED7">
        <w:rPr>
          <w:lang w:val="en-AU"/>
        </w:rPr>
        <w:t xml:space="preserve">án Kirmání (1810–1873), was a </w:t>
      </w:r>
      <w:r w:rsidRPr="00FB0ED7">
        <w:rPr>
          <w:u w:val="single"/>
          <w:lang w:val="en-AU"/>
        </w:rPr>
        <w:t>Sh</w:t>
      </w:r>
      <w:r w:rsidRPr="00FB0ED7">
        <w:rPr>
          <w:lang w:val="en-AU"/>
        </w:rPr>
        <w:t>ay</w:t>
      </w:r>
      <w:r w:rsidRPr="00FB0ED7">
        <w:rPr>
          <w:u w:val="single"/>
          <w:lang w:val="en-AU"/>
        </w:rPr>
        <w:t>kh</w:t>
      </w:r>
      <w:r w:rsidRPr="00FB0ED7">
        <w:rPr>
          <w:lang w:val="en-AU"/>
        </w:rPr>
        <w:t>i-</w:t>
      </w:r>
      <w:r w:rsidRPr="00FB0ED7">
        <w:rPr>
          <w:u w:val="single"/>
          <w:lang w:val="en-AU"/>
        </w:rPr>
        <w:t>Sh</w:t>
      </w:r>
      <w:r w:rsidRPr="00FB0ED7">
        <w:rPr>
          <w:lang w:val="en-AU"/>
        </w:rPr>
        <w:t xml:space="preserve">í‘a Muslim scholar.  </w:t>
      </w:r>
      <w:r w:rsidRPr="00074C6F">
        <w:t>He was the third leader of K</w:t>
      </w:r>
      <w:r>
        <w:t>i</w:t>
      </w:r>
      <w:r w:rsidRPr="00074C6F">
        <w:t>rmání</w:t>
      </w:r>
      <w:r w:rsidRPr="00074C6F">
        <w:rPr>
          <w:u w:val="single"/>
          <w:lang w:val="en-AU"/>
        </w:rPr>
        <w:t xml:space="preserve"> Sh</w:t>
      </w:r>
      <w:r w:rsidRPr="00074C6F">
        <w:rPr>
          <w:lang w:val="en-AU"/>
        </w:rPr>
        <w:t>ay</w:t>
      </w:r>
      <w:r w:rsidRPr="00074C6F">
        <w:rPr>
          <w:u w:val="single"/>
          <w:lang w:val="en-AU"/>
        </w:rPr>
        <w:t>kh</w:t>
      </w:r>
      <w:r w:rsidRPr="00074C6F">
        <w:rPr>
          <w:lang w:val="en-AU"/>
        </w:rPr>
        <w:t>i</w:t>
      </w:r>
      <w:r w:rsidRPr="00074C6F">
        <w:t xml:space="preserve"> community.</w:t>
      </w:r>
      <w:r>
        <w:t xml:space="preserve">  </w:t>
      </w:r>
      <w:r w:rsidRPr="00074C6F">
        <w:t xml:space="preserve">He is believed to be among the first </w:t>
      </w:r>
      <w:r w:rsidRPr="00074C6F">
        <w:rPr>
          <w:u w:val="single"/>
        </w:rPr>
        <w:t>Sh</w:t>
      </w:r>
      <w:r w:rsidRPr="00074C6F">
        <w:t>ay</w:t>
      </w:r>
      <w:r w:rsidRPr="00074C6F">
        <w:rPr>
          <w:u w:val="single"/>
        </w:rPr>
        <w:t>kh</w:t>
      </w:r>
      <w:r w:rsidRPr="00074C6F">
        <w:t xml:space="preserve">í scholars to have rejected the messianic claims of the Báb. </w:t>
      </w:r>
      <w:r>
        <w:t xml:space="preserve"> </w:t>
      </w:r>
      <w:r w:rsidRPr="00074C6F">
        <w:t xml:space="preserve">He wrote a dozen anti-Bábí books, one such being </w:t>
      </w:r>
      <w:r w:rsidRPr="00074C6F">
        <w:rPr>
          <w:i/>
          <w:iCs/>
        </w:rPr>
        <w:t>Risála izháq al-báṭil fí radd al-bábíya</w:t>
      </w:r>
      <w:r w:rsidRPr="00074C6F">
        <w:t xml:space="preserve"> (</w:t>
      </w:r>
      <w:r>
        <w:t>“</w:t>
      </w:r>
      <w:r w:rsidRPr="00074C6F">
        <w:t>The Crushing of Falsehood in Refutation of B</w:t>
      </w:r>
      <w:r>
        <w:t>á</w:t>
      </w:r>
      <w:r w:rsidRPr="00074C6F">
        <w:t>bism</w:t>
      </w:r>
      <w:r>
        <w:t>”</w:t>
      </w:r>
      <w:r w:rsidRPr="00074C6F">
        <w:t>)</w:t>
      </w:r>
    </w:p>
    <w:p w14:paraId="4D37500C" w14:textId="77777777" w:rsidR="00625A5B" w:rsidRPr="00074C6F" w:rsidRDefault="00625A5B" w:rsidP="00900A82">
      <w:pPr>
        <w:pStyle w:val="Translit"/>
        <w:rPr>
          <w:lang w:val="en-AU"/>
        </w:rPr>
      </w:pPr>
      <w:r w:rsidRPr="00074C6F">
        <w:rPr>
          <w:lang w:val="en-AU"/>
        </w:rPr>
        <w:t>Khan-i-Larijani</w:t>
      </w:r>
      <w:r w:rsidRPr="00074C6F">
        <w:rPr>
          <w:lang w:val="en-AU"/>
        </w:rPr>
        <w:tab/>
      </w:r>
      <w:r w:rsidRPr="00074C6F">
        <w:rPr>
          <w:u w:val="single"/>
          <w:lang w:val="en-AU"/>
        </w:rPr>
        <w:t>Kh</w:t>
      </w:r>
      <w:r w:rsidRPr="00074C6F">
        <w:rPr>
          <w:lang w:val="en-AU"/>
        </w:rPr>
        <w:t>án-i-Laríjání</w:t>
      </w:r>
      <w:r w:rsidRPr="00074C6F">
        <w:rPr>
          <w:lang w:val="en-AU"/>
        </w:rPr>
        <w:tab/>
      </w:r>
    </w:p>
    <w:p w14:paraId="5E06B719" w14:textId="77777777" w:rsidR="00625A5B" w:rsidRPr="003222AE" w:rsidRDefault="00625A5B" w:rsidP="00900A82">
      <w:pPr>
        <w:pStyle w:val="Translit"/>
        <w:rPr>
          <w:lang w:val="en-AU"/>
        </w:rPr>
      </w:pPr>
      <w:r w:rsidRPr="003222AE">
        <w:rPr>
          <w:lang w:val="en-AU"/>
        </w:rPr>
        <w:t>Khan-i-Nuri</w:t>
      </w:r>
      <w:r w:rsidRPr="003222AE">
        <w:rPr>
          <w:lang w:val="en-AU"/>
        </w:rPr>
        <w:tab/>
      </w:r>
      <w:r w:rsidRPr="003222AE">
        <w:rPr>
          <w:u w:val="single"/>
          <w:lang w:val="en-AU"/>
        </w:rPr>
        <w:t>Kh</w:t>
      </w:r>
      <w:r w:rsidRPr="003222AE">
        <w:rPr>
          <w:lang w:val="en-AU"/>
        </w:rPr>
        <w:t>án-i-Núrí</w:t>
      </w:r>
      <w:r w:rsidRPr="003222AE">
        <w:rPr>
          <w:lang w:val="en-AU"/>
        </w:rPr>
        <w:tab/>
      </w:r>
    </w:p>
    <w:p w14:paraId="42AB12A6" w14:textId="77777777" w:rsidR="00625A5B" w:rsidRPr="008F03E5" w:rsidRDefault="00625A5B" w:rsidP="006E6CBC">
      <w:pPr>
        <w:pStyle w:val="Translit"/>
      </w:pPr>
      <w:r w:rsidRPr="008F03E5">
        <w:t>Khaniq, Khawaniq</w:t>
      </w:r>
      <w:r w:rsidRPr="008F03E5">
        <w:tab/>
      </w:r>
      <w:r w:rsidRPr="008F03E5">
        <w:rPr>
          <w:u w:val="single"/>
        </w:rPr>
        <w:t>Kh</w:t>
      </w:r>
      <w:r w:rsidRPr="008F03E5">
        <w:t xml:space="preserve">ániq, </w:t>
      </w:r>
      <w:r w:rsidRPr="008F03E5">
        <w:rPr>
          <w:u w:val="single"/>
        </w:rPr>
        <w:t>Kh</w:t>
      </w:r>
      <w:r w:rsidRPr="008F03E5">
        <w:t>awániq</w:t>
      </w:r>
      <w:r w:rsidRPr="008F03E5">
        <w:tab/>
        <w:t>choking, strangling; suffocating, asphyxiating, stifling, smothering; throttling, throttle (in compounds; tech.); (pl.) choke coil, reactor (radio); gorge, ravine, canyon</w:t>
      </w:r>
    </w:p>
    <w:p w14:paraId="37F7389B" w14:textId="77777777" w:rsidR="00625A5B" w:rsidRPr="008F03E5" w:rsidRDefault="00625A5B" w:rsidP="00900A82">
      <w:pPr>
        <w:pStyle w:val="Translit"/>
      </w:pPr>
      <w:r w:rsidRPr="008F03E5">
        <w:t>Khan-i-Qazvini</w:t>
      </w:r>
      <w:r w:rsidRPr="008F03E5">
        <w:tab/>
      </w:r>
      <w:r w:rsidRPr="008F03E5">
        <w:rPr>
          <w:u w:val="single"/>
        </w:rPr>
        <w:t>Kh</w:t>
      </w:r>
      <w:r w:rsidRPr="008F03E5">
        <w:t>án-i-Qazvíní</w:t>
      </w:r>
      <w:r w:rsidRPr="008F03E5">
        <w:tab/>
      </w:r>
    </w:p>
    <w:p w14:paraId="22436508" w14:textId="77777777" w:rsidR="00625A5B" w:rsidRPr="008F03E5" w:rsidRDefault="00625A5B" w:rsidP="00F178D0">
      <w:pPr>
        <w:pStyle w:val="Translit"/>
      </w:pPr>
      <w:r w:rsidRPr="008F03E5">
        <w:t>Khaniqiyi</w:t>
      </w:r>
      <w:r w:rsidRPr="008F03E5">
        <w:tab/>
      </w:r>
      <w:r w:rsidRPr="008F03E5">
        <w:rPr>
          <w:u w:val="single"/>
        </w:rPr>
        <w:t>Kh</w:t>
      </w:r>
      <w:r w:rsidRPr="008F03E5">
        <w:t>ángiyí</w:t>
      </w:r>
      <w:r w:rsidRPr="008F03E5">
        <w:tab/>
        <w:t>Pers. homemade</w:t>
      </w:r>
    </w:p>
    <w:p w14:paraId="0E87ABC4" w14:textId="77777777" w:rsidR="00625A5B" w:rsidRPr="00F22AD0" w:rsidRDefault="00625A5B" w:rsidP="00900A82">
      <w:pPr>
        <w:pStyle w:val="Translit"/>
        <w:rPr>
          <w:lang w:val="it-IT"/>
        </w:rPr>
      </w:pPr>
      <w:r w:rsidRPr="00F22AD0">
        <w:rPr>
          <w:lang w:val="it-IT"/>
        </w:rPr>
        <w:t>Khan-i-Shavirdi</w:t>
      </w:r>
      <w:r w:rsidRPr="00F22AD0">
        <w:rPr>
          <w:lang w:val="it-IT"/>
        </w:rPr>
        <w:tab/>
      </w:r>
      <w:r w:rsidRPr="00F22AD0">
        <w:rPr>
          <w:u w:val="single"/>
          <w:lang w:val="it-IT"/>
        </w:rPr>
        <w:t>Kh</w:t>
      </w:r>
      <w:r w:rsidRPr="00F22AD0">
        <w:rPr>
          <w:lang w:val="it-IT"/>
        </w:rPr>
        <w:t>án-i-</w:t>
      </w:r>
      <w:r w:rsidRPr="00F22AD0">
        <w:rPr>
          <w:u w:val="single"/>
          <w:lang w:val="it-IT"/>
        </w:rPr>
        <w:t>Sh</w:t>
      </w:r>
      <w:r w:rsidRPr="00F22AD0">
        <w:rPr>
          <w:lang w:val="it-IT"/>
        </w:rPr>
        <w:t>ávirdí</w:t>
      </w:r>
      <w:r w:rsidRPr="00F22AD0">
        <w:rPr>
          <w:lang w:val="it-IT"/>
        </w:rPr>
        <w:tab/>
        <w:t>(A caravanserai in ‘Akká)</w:t>
      </w:r>
    </w:p>
    <w:p w14:paraId="05D5391A" w14:textId="77777777" w:rsidR="00625A5B" w:rsidRPr="00F22AD0" w:rsidRDefault="00625A5B" w:rsidP="00900A82">
      <w:pPr>
        <w:pStyle w:val="Translit"/>
        <w:rPr>
          <w:lang w:val="it-IT"/>
        </w:rPr>
      </w:pPr>
      <w:r w:rsidRPr="00F22AD0">
        <w:rPr>
          <w:lang w:val="it-IT"/>
        </w:rPr>
        <w:t>Khan-i-Tanakabuni</w:t>
      </w:r>
      <w:r w:rsidRPr="00F22AD0">
        <w:rPr>
          <w:lang w:val="it-IT"/>
        </w:rPr>
        <w:tab/>
      </w:r>
      <w:r w:rsidRPr="00F22AD0">
        <w:rPr>
          <w:u w:val="single"/>
          <w:lang w:val="it-IT"/>
        </w:rPr>
        <w:t>Kh</w:t>
      </w:r>
      <w:r w:rsidRPr="00F22AD0">
        <w:rPr>
          <w:lang w:val="it-IT"/>
        </w:rPr>
        <w:t>án-i-Tanakábúní</w:t>
      </w:r>
      <w:r w:rsidRPr="00F22AD0">
        <w:rPr>
          <w:lang w:val="it-IT"/>
        </w:rPr>
        <w:tab/>
        <w:t>(</w:t>
      </w:r>
      <w:r w:rsidRPr="00F22AD0">
        <w:rPr>
          <w:sz w:val="16"/>
          <w:szCs w:val="16"/>
          <w:lang w:val="it-IT"/>
        </w:rPr>
        <w:t>GPB</w:t>
      </w:r>
      <w:r w:rsidRPr="00F22AD0">
        <w:rPr>
          <w:lang w:val="it-IT"/>
        </w:rPr>
        <w:t xml:space="preserve">) </w:t>
      </w:r>
      <w:r w:rsidRPr="00F22AD0">
        <w:rPr>
          <w:u w:val="single"/>
          <w:lang w:val="it-IT"/>
        </w:rPr>
        <w:t>Kh</w:t>
      </w:r>
      <w:r w:rsidRPr="00F22AD0">
        <w:rPr>
          <w:lang w:val="it-IT"/>
        </w:rPr>
        <w:t>án-i-Tunukábúní, Sulaymán (</w:t>
      </w:r>
      <w:r w:rsidRPr="00F22AD0">
        <w:rPr>
          <w:sz w:val="16"/>
          <w:szCs w:val="16"/>
          <w:lang w:val="it-IT"/>
        </w:rPr>
        <w:t>MF</w:t>
      </w:r>
      <w:r w:rsidRPr="00F22AD0">
        <w:rPr>
          <w:lang w:val="it-IT"/>
        </w:rPr>
        <w:t>)</w:t>
      </w:r>
    </w:p>
    <w:p w14:paraId="5FFC4514" w14:textId="77777777" w:rsidR="00625A5B" w:rsidRPr="008F03E5" w:rsidRDefault="00625A5B" w:rsidP="0012322B">
      <w:pPr>
        <w:pStyle w:val="Translit"/>
      </w:pPr>
      <w:r w:rsidRPr="00F22AD0">
        <w:rPr>
          <w:lang w:val="it-IT"/>
        </w:rPr>
        <w:t>Khanjar, Khanajir</w:t>
      </w:r>
      <w:r w:rsidRPr="00F22AD0">
        <w:rPr>
          <w:lang w:val="it-IT"/>
        </w:rPr>
        <w:tab/>
      </w:r>
      <w:r w:rsidRPr="00F22AD0">
        <w:rPr>
          <w:u w:val="single"/>
          <w:lang w:val="it-IT"/>
        </w:rPr>
        <w:t>Kh</w:t>
      </w:r>
      <w:r w:rsidRPr="00F22AD0">
        <w:rPr>
          <w:lang w:val="it-IT"/>
        </w:rPr>
        <w:t xml:space="preserve">anjar, pl. </w:t>
      </w:r>
      <w:r w:rsidRPr="00F22AD0">
        <w:rPr>
          <w:u w:val="single"/>
          <w:lang w:val="it-IT"/>
        </w:rPr>
        <w:t>Kh</w:t>
      </w:r>
      <w:r w:rsidRPr="00F22AD0">
        <w:rPr>
          <w:lang w:val="it-IT"/>
        </w:rPr>
        <w:t>anájir</w:t>
      </w:r>
      <w:r w:rsidRPr="00F22AD0">
        <w:rPr>
          <w:lang w:val="it-IT"/>
        </w:rPr>
        <w:tab/>
        <w:t xml:space="preserve">dagger.  </w:t>
      </w:r>
      <w:r w:rsidRPr="008F03E5">
        <w:rPr>
          <w:u w:val="single"/>
        </w:rPr>
        <w:t>Sh</w:t>
      </w:r>
      <w:r w:rsidRPr="008F03E5">
        <w:t>ay</w:t>
      </w:r>
      <w:r w:rsidRPr="008F03E5">
        <w:rPr>
          <w:u w:val="single"/>
        </w:rPr>
        <w:t>kh</w:t>
      </w:r>
      <w:r w:rsidRPr="008F03E5">
        <w:t xml:space="preserve"> </w:t>
      </w:r>
      <w:r w:rsidRPr="008F03E5">
        <w:rPr>
          <w:u w:val="single"/>
        </w:rPr>
        <w:t>Kh</w:t>
      </w:r>
      <w:r w:rsidRPr="008F03E5">
        <w:t xml:space="preserve">anjar was given the name Salmán by Bahá’u’lláh—thereafter known as </w:t>
      </w:r>
      <w:r w:rsidRPr="008F03E5">
        <w:rPr>
          <w:u w:val="single"/>
        </w:rPr>
        <w:t>Sh</w:t>
      </w:r>
      <w:r w:rsidRPr="008F03E5">
        <w:t>ay</w:t>
      </w:r>
      <w:r w:rsidRPr="008F03E5">
        <w:rPr>
          <w:u w:val="single"/>
        </w:rPr>
        <w:t>kh</w:t>
      </w:r>
      <w:r w:rsidRPr="008F03E5">
        <w:t xml:space="preserve"> Salmán</w:t>
      </w:r>
    </w:p>
    <w:p w14:paraId="6BF2F7AA" w14:textId="77777777" w:rsidR="00625A5B" w:rsidRPr="008F03E5" w:rsidRDefault="00625A5B" w:rsidP="0061695E">
      <w:pPr>
        <w:pStyle w:val="Translit"/>
      </w:pPr>
      <w:r w:rsidRPr="008F03E5">
        <w:t>Khanlar</w:t>
      </w:r>
      <w:r w:rsidRPr="008F03E5">
        <w:tab/>
      </w:r>
      <w:r w:rsidRPr="008F03E5">
        <w:rPr>
          <w:u w:val="single"/>
        </w:rPr>
        <w:t>Kh</w:t>
      </w:r>
      <w:r w:rsidRPr="008F03E5">
        <w:t>ánl</w:t>
      </w:r>
      <w:r>
        <w:t>a</w:t>
      </w:r>
      <w:r w:rsidRPr="008F03E5">
        <w:t>r</w:t>
      </w:r>
      <w:r w:rsidRPr="008F03E5">
        <w:tab/>
      </w:r>
      <w:r w:rsidRPr="008F03E5">
        <w:rPr>
          <w:u w:val="single"/>
        </w:rPr>
        <w:t>Kh</w:t>
      </w:r>
      <w:r w:rsidRPr="008F03E5">
        <w:t>ánl</w:t>
      </w:r>
      <w:r>
        <w:t>a</w:t>
      </w:r>
      <w:r w:rsidRPr="008F03E5">
        <w:t>r Mirza (1812–1856) (royal title Iḥtishám-i-Dawla)</w:t>
      </w:r>
    </w:p>
    <w:p w14:paraId="63142812" w14:textId="77777777" w:rsidR="00625A5B" w:rsidRDefault="00625A5B" w:rsidP="0061695E">
      <w:pPr>
        <w:pStyle w:val="Translit"/>
      </w:pPr>
      <w:r w:rsidRPr="008F03E5">
        <w:t>Khanlar</w:t>
      </w:r>
      <w:r w:rsidRPr="008F03E5">
        <w:tab/>
      </w:r>
      <w:r w:rsidRPr="008F03E5">
        <w:rPr>
          <w:u w:val="single"/>
        </w:rPr>
        <w:t>Kh</w:t>
      </w:r>
      <w:r w:rsidRPr="008F03E5">
        <w:t>ánlár</w:t>
      </w:r>
      <w:r w:rsidRPr="008F03E5">
        <w:tab/>
        <w:t>name of a village in Iran and Azerbayjan</w:t>
      </w:r>
    </w:p>
    <w:p w14:paraId="1752295C" w14:textId="77777777" w:rsidR="00625A5B" w:rsidRPr="008F03E5" w:rsidRDefault="00625A5B" w:rsidP="000E72E7">
      <w:pPr>
        <w:pStyle w:val="Translit"/>
      </w:pPr>
      <w:r w:rsidRPr="008F03E5">
        <w:t>Khannas</w:t>
      </w:r>
      <w:r w:rsidRPr="008F03E5">
        <w:tab/>
      </w:r>
      <w:r w:rsidRPr="008F03E5">
        <w:rPr>
          <w:u w:val="single"/>
        </w:rPr>
        <w:t>Kh</w:t>
      </w:r>
      <w:r w:rsidRPr="008F03E5">
        <w:t>annás</w:t>
      </w:r>
      <w:r w:rsidRPr="008F03E5">
        <w:tab/>
        <w:t>the devil; a wicked person; al-</w:t>
      </w:r>
      <w:r w:rsidRPr="008F03E5">
        <w:rPr>
          <w:u w:val="single"/>
        </w:rPr>
        <w:t>kh</w:t>
      </w:r>
      <w:r w:rsidRPr="008F03E5">
        <w:t>annás epithet of the Devil (properly speaking, “he who withdraws when the name of God is mentioned”), i.e. “Evil Whisperer”</w:t>
      </w:r>
    </w:p>
    <w:p w14:paraId="46097AB3" w14:textId="77777777" w:rsidR="00625A5B" w:rsidRPr="008F03E5" w:rsidRDefault="00625A5B" w:rsidP="00900A82">
      <w:pPr>
        <w:pStyle w:val="Translit"/>
      </w:pPr>
      <w:r w:rsidRPr="008F03E5">
        <w:t>Khanum (Khanam)</w:t>
      </w:r>
      <w:r w:rsidRPr="008F03E5">
        <w:tab/>
      </w:r>
      <w:r w:rsidRPr="008F03E5">
        <w:rPr>
          <w:u w:val="single"/>
        </w:rPr>
        <w:t>Kh</w:t>
      </w:r>
      <w:r w:rsidRPr="008F03E5">
        <w:t>ánum (</w:t>
      </w:r>
      <w:r w:rsidRPr="008F03E5">
        <w:rPr>
          <w:u w:val="single"/>
        </w:rPr>
        <w:t>Kh</w:t>
      </w:r>
      <w:r w:rsidRPr="008F03E5">
        <w:t>ánam)</w:t>
      </w:r>
      <w:r w:rsidRPr="008F03E5">
        <w:tab/>
        <w:t>Pers. fem. lady, wife (placed after the proper name)</w:t>
      </w:r>
    </w:p>
    <w:p w14:paraId="74B4FB6B" w14:textId="77777777" w:rsidR="00625A5B" w:rsidRPr="008F03E5" w:rsidRDefault="00625A5B" w:rsidP="00D77A45">
      <w:pPr>
        <w:pStyle w:val="Translit"/>
      </w:pPr>
      <w:r w:rsidRPr="008F03E5">
        <w:t>Khaqan, Khawaqin</w:t>
      </w:r>
      <w:r w:rsidRPr="008F03E5">
        <w:tab/>
      </w:r>
      <w:r w:rsidRPr="008F03E5">
        <w:rPr>
          <w:u w:val="single"/>
        </w:rPr>
        <w:t>Kh</w:t>
      </w:r>
      <w:r w:rsidRPr="008F03E5">
        <w:t xml:space="preserve">áqán, pl. </w:t>
      </w:r>
      <w:r w:rsidRPr="008F03E5">
        <w:rPr>
          <w:u w:val="single"/>
        </w:rPr>
        <w:t>Kh</w:t>
      </w:r>
      <w:r w:rsidRPr="008F03E5">
        <w:t>awáqín</w:t>
      </w:r>
      <w:r w:rsidRPr="008F03E5">
        <w:tab/>
        <w:t>overlord, ruler, sovereign, monarch, emperor</w:t>
      </w:r>
    </w:p>
    <w:p w14:paraId="5E1E2245" w14:textId="77777777" w:rsidR="00625A5B" w:rsidRPr="008F03E5" w:rsidRDefault="00625A5B" w:rsidP="0061523E">
      <w:pPr>
        <w:pStyle w:val="Translit"/>
      </w:pPr>
      <w:r w:rsidRPr="008F03E5">
        <w:t>Khar</w:t>
      </w:r>
      <w:r w:rsidRPr="008F03E5">
        <w:tab/>
      </w:r>
      <w:r w:rsidRPr="008F03E5">
        <w:rPr>
          <w:u w:val="single"/>
        </w:rPr>
        <w:t>Kh</w:t>
      </w:r>
      <w:r w:rsidRPr="008F03E5">
        <w:t>ar</w:t>
      </w:r>
      <w:r w:rsidRPr="008F03E5">
        <w:tab/>
        <w:t>Pers. an ass; a stupid fool; black viscous clay; sediment; the bridge of a violin; the commonest, ugliest, largest, or coarsest of its kind</w:t>
      </w:r>
    </w:p>
    <w:p w14:paraId="45158835" w14:textId="77777777" w:rsidR="00625A5B" w:rsidRPr="008F03E5" w:rsidRDefault="00625A5B" w:rsidP="0061523E">
      <w:pPr>
        <w:pStyle w:val="Translit"/>
      </w:pPr>
      <w:r w:rsidRPr="008F03E5">
        <w:t>Kharab, Akhriba</w:t>
      </w:r>
      <w:r w:rsidRPr="008F03E5">
        <w:tab/>
      </w:r>
      <w:r w:rsidRPr="008F03E5">
        <w:rPr>
          <w:u w:val="single"/>
        </w:rPr>
        <w:t>Kh</w:t>
      </w:r>
      <w:r w:rsidRPr="008F03E5">
        <w:t>aráb, pl. A</w:t>
      </w:r>
      <w:r w:rsidRPr="008F03E5">
        <w:rPr>
          <w:u w:val="single"/>
        </w:rPr>
        <w:t>kh</w:t>
      </w:r>
      <w:r w:rsidRPr="008F03E5">
        <w:t>riba</w:t>
      </w:r>
      <w:r w:rsidRPr="008F03E5">
        <w:tab/>
        <w:t>ruin, ruination; state of destruction or dilapidation; desolation;—pl. (site of) ruins</w:t>
      </w:r>
    </w:p>
    <w:p w14:paraId="66173C9B" w14:textId="77777777" w:rsidR="00625A5B" w:rsidRPr="008F03E5" w:rsidRDefault="00625A5B" w:rsidP="007C01D3">
      <w:pPr>
        <w:pStyle w:val="Translit"/>
      </w:pPr>
      <w:r w:rsidRPr="008F03E5">
        <w:t>Kharaba, Kharabat, Khara’ib</w:t>
      </w:r>
      <w:r w:rsidRPr="008F03E5">
        <w:tab/>
      </w:r>
      <w:r w:rsidRPr="008F03E5">
        <w:rPr>
          <w:u w:val="single"/>
        </w:rPr>
        <w:t>Kh</w:t>
      </w:r>
      <w:r w:rsidRPr="008F03E5">
        <w:t xml:space="preserve">arába, pl. </w:t>
      </w:r>
      <w:r w:rsidRPr="008F03E5">
        <w:rPr>
          <w:u w:val="single"/>
        </w:rPr>
        <w:t>Kh</w:t>
      </w:r>
      <w:r w:rsidRPr="008F03E5">
        <w:t xml:space="preserve">arábát, </w:t>
      </w:r>
      <w:r w:rsidRPr="008F03E5">
        <w:rPr>
          <w:u w:val="single"/>
        </w:rPr>
        <w:t>Kh</w:t>
      </w:r>
      <w:r w:rsidRPr="008F03E5">
        <w:t>ará’ib</w:t>
      </w:r>
      <w:r w:rsidRPr="008F03E5">
        <w:tab/>
        <w:t xml:space="preserve">(fem. of </w:t>
      </w:r>
      <w:r w:rsidRPr="008F03E5">
        <w:rPr>
          <w:u w:val="single"/>
        </w:rPr>
        <w:t>Kh</w:t>
      </w:r>
      <w:r w:rsidRPr="008F03E5">
        <w:t xml:space="preserve">aráb) disintegrating structure, ruin, ruins, </w:t>
      </w:r>
      <w:r w:rsidRPr="008F03E5">
        <w:rPr>
          <w:rFonts w:eastAsia="Times New Roman"/>
        </w:rPr>
        <w:t xml:space="preserve">desolation; destroyed, deserted, depopulated, spoiled; debauched; overcome by wine, drunk, intoxicated; reprobate; noxious, vicious; indecent; miserable.  (Pers. with Ar. influence) </w:t>
      </w:r>
      <w:r w:rsidRPr="008F03E5">
        <w:rPr>
          <w:u w:val="single"/>
        </w:rPr>
        <w:t>Kh</w:t>
      </w:r>
      <w:r w:rsidRPr="008F03E5">
        <w:t>arábát, a</w:t>
      </w:r>
      <w:r w:rsidRPr="008F03E5">
        <w:rPr>
          <w:rFonts w:eastAsia="Times New Roman"/>
        </w:rPr>
        <w:t xml:space="preserve"> tavern; a gaming-house.</w:t>
      </w:r>
    </w:p>
    <w:p w14:paraId="247D00F8" w14:textId="77777777" w:rsidR="00625A5B" w:rsidRPr="008F03E5" w:rsidRDefault="00625A5B" w:rsidP="008563FC">
      <w:pPr>
        <w:pStyle w:val="Translit"/>
      </w:pPr>
      <w:r w:rsidRPr="008F03E5">
        <w:t>Kharaj</w:t>
      </w:r>
      <w:r w:rsidRPr="008F03E5">
        <w:tab/>
      </w:r>
      <w:r w:rsidRPr="008F03E5">
        <w:rPr>
          <w:u w:val="single"/>
        </w:rPr>
        <w:t>Kh</w:t>
      </w:r>
      <w:r w:rsidRPr="008F03E5">
        <w:t>aráj</w:t>
      </w:r>
      <w:r w:rsidRPr="008F03E5">
        <w:tab/>
        <w:t>tax; land tax (Islamic Law)</w:t>
      </w:r>
    </w:p>
    <w:p w14:paraId="6A9AEAD4" w14:textId="77777777" w:rsidR="00625A5B" w:rsidRPr="008F03E5" w:rsidRDefault="00625A5B" w:rsidP="00973468">
      <w:pPr>
        <w:pStyle w:val="Translit"/>
      </w:pPr>
      <w:r w:rsidRPr="008F03E5">
        <w:t>Kharaja, Khuruj</w:t>
      </w:r>
      <w:r w:rsidRPr="008F03E5">
        <w:tab/>
      </w:r>
      <w:r w:rsidRPr="008F03E5">
        <w:rPr>
          <w:u w:val="single"/>
        </w:rPr>
        <w:t>Kh</w:t>
      </w:r>
      <w:r w:rsidRPr="008F03E5">
        <w:t xml:space="preserve">araja, </w:t>
      </w:r>
      <w:r w:rsidRPr="008F03E5">
        <w:rPr>
          <w:u w:val="single"/>
        </w:rPr>
        <w:t>Kh</w:t>
      </w:r>
      <w:r w:rsidRPr="008F03E5">
        <w:t>urúj</w:t>
      </w:r>
      <w:r w:rsidRPr="008F03E5">
        <w:tab/>
        <w:t>to go out, walk out; to come out.  An act of rebellion against authorities.</w:t>
      </w:r>
    </w:p>
    <w:p w14:paraId="542FC4D2" w14:textId="77777777" w:rsidR="00625A5B" w:rsidRDefault="00625A5B" w:rsidP="00525367">
      <w:pPr>
        <w:pStyle w:val="Translit"/>
        <w:rPr>
          <w:rFonts w:eastAsia="Times New Roman"/>
        </w:rPr>
      </w:pPr>
      <w:r w:rsidRPr="00417520">
        <w:t>Kharand</w:t>
      </w:r>
      <w:r w:rsidRPr="00417520">
        <w:tab/>
      </w:r>
      <w:r w:rsidRPr="00417520">
        <w:rPr>
          <w:u w:val="single"/>
        </w:rPr>
        <w:t>Kh</w:t>
      </w:r>
      <w:r w:rsidRPr="00417520">
        <w:t>arand</w:t>
      </w:r>
      <w:r w:rsidRPr="00417520">
        <w:tab/>
        <w:t>Pers. agricultur</w:t>
      </w:r>
      <w:r w:rsidRPr="00525367">
        <w:t>al settlement (35.935449, 53.441426) in Seman Province</w:t>
      </w:r>
    </w:p>
    <w:p w14:paraId="479E8527" w14:textId="77777777" w:rsidR="00625A5B" w:rsidRPr="008F03E5" w:rsidRDefault="00625A5B" w:rsidP="00D12C64">
      <w:pPr>
        <w:pStyle w:val="Translit"/>
      </w:pPr>
      <w:r w:rsidRPr="008F03E5">
        <w:rPr>
          <w:rFonts w:eastAsia="Times New Roman"/>
        </w:rPr>
        <w:t>Kharash</w:t>
      </w:r>
      <w:r w:rsidRPr="008F03E5">
        <w:rPr>
          <w:rFonts w:eastAsia="Times New Roman"/>
        </w:rPr>
        <w:tab/>
      </w:r>
      <w:r w:rsidRPr="008F03E5">
        <w:rPr>
          <w:rFonts w:eastAsia="Times New Roman"/>
          <w:u w:val="single"/>
        </w:rPr>
        <w:t>Kh</w:t>
      </w:r>
      <w:r w:rsidRPr="008F03E5">
        <w:rPr>
          <w:rFonts w:eastAsia="Times New Roman"/>
        </w:rPr>
        <w:t>ara</w:t>
      </w:r>
      <w:r w:rsidRPr="008F03E5">
        <w:rPr>
          <w:rFonts w:eastAsia="Times New Roman"/>
          <w:u w:val="single"/>
        </w:rPr>
        <w:t>sh</w:t>
      </w:r>
      <w:r w:rsidRPr="008F03E5">
        <w:rPr>
          <w:rFonts w:eastAsia="Times New Roman"/>
        </w:rPr>
        <w:tab/>
        <w:t xml:space="preserve">a wild ass.  </w:t>
      </w:r>
      <w:r w:rsidRPr="008F03E5">
        <w:rPr>
          <w:rFonts w:eastAsia="Times New Roman"/>
          <w:u w:val="single"/>
        </w:rPr>
        <w:t>Sh</w:t>
      </w:r>
      <w:r w:rsidRPr="008F03E5">
        <w:rPr>
          <w:rFonts w:eastAsia="Times New Roman"/>
        </w:rPr>
        <w:t>ay</w:t>
      </w:r>
      <w:r w:rsidRPr="008F03E5">
        <w:rPr>
          <w:rFonts w:eastAsia="Times New Roman"/>
          <w:u w:val="single"/>
        </w:rPr>
        <w:t>kh</w:t>
      </w:r>
      <w:r w:rsidRPr="008F03E5">
        <w:rPr>
          <w:rFonts w:eastAsia="Times New Roman"/>
        </w:rPr>
        <w:t xml:space="preserve"> al-</w:t>
      </w:r>
      <w:r w:rsidRPr="008F03E5">
        <w:rPr>
          <w:rFonts w:eastAsia="Times New Roman"/>
          <w:u w:val="single"/>
        </w:rPr>
        <w:t>Kh</w:t>
      </w:r>
      <w:r w:rsidRPr="008F03E5">
        <w:rPr>
          <w:rFonts w:eastAsia="Times New Roman"/>
        </w:rPr>
        <w:t>ara</w:t>
      </w:r>
      <w:r w:rsidRPr="008F03E5">
        <w:rPr>
          <w:rFonts w:eastAsia="Times New Roman"/>
          <w:u w:val="single"/>
        </w:rPr>
        <w:t>sh</w:t>
      </w:r>
      <w:r w:rsidRPr="008F03E5">
        <w:t>í.</w:t>
      </w:r>
    </w:p>
    <w:p w14:paraId="27671358" w14:textId="77777777" w:rsidR="00625A5B" w:rsidRPr="008F03E5" w:rsidRDefault="00625A5B" w:rsidP="00F37087">
      <w:pPr>
        <w:pStyle w:val="Translit"/>
      </w:pPr>
      <w:r w:rsidRPr="008F03E5">
        <w:t>Kharazm (Khwarazm)</w:t>
      </w:r>
      <w:r w:rsidRPr="008F03E5">
        <w:tab/>
      </w:r>
      <w:r w:rsidRPr="008F03E5">
        <w:rPr>
          <w:u w:val="single"/>
        </w:rPr>
        <w:t>Kh</w:t>
      </w:r>
      <w:r w:rsidRPr="008F03E5">
        <w:t>árazm</w:t>
      </w:r>
      <w:r w:rsidRPr="008F03E5">
        <w:tab/>
        <w:t>(Pers.) or Chorasmia, is a large (former) oasis region on the Ámú Daryá (river) delta in western Central Asia to the south of the (former) Aral Sea</w:t>
      </w:r>
    </w:p>
    <w:p w14:paraId="385DD935" w14:textId="77777777" w:rsidR="00625A5B" w:rsidRPr="008F03E5" w:rsidRDefault="00625A5B" w:rsidP="00F37087">
      <w:pPr>
        <w:pStyle w:val="Translit"/>
      </w:pPr>
      <w:r w:rsidRPr="008F03E5">
        <w:rPr>
          <w:rFonts w:eastAsia="Times New Roman"/>
        </w:rPr>
        <w:t>Kharazmi (Khwarazm)</w:t>
      </w:r>
      <w:r w:rsidRPr="008F03E5">
        <w:rPr>
          <w:rFonts w:eastAsia="Times New Roman"/>
        </w:rPr>
        <w:tab/>
      </w:r>
      <w:r w:rsidRPr="008F03E5">
        <w:rPr>
          <w:rFonts w:eastAsia="Times New Roman"/>
          <w:u w:val="single"/>
        </w:rPr>
        <w:t>Kh</w:t>
      </w:r>
      <w:r w:rsidRPr="008F03E5">
        <w:rPr>
          <w:rFonts w:eastAsia="Times New Roman"/>
        </w:rPr>
        <w:t>árazmí</w:t>
      </w:r>
      <w:r w:rsidRPr="008F03E5">
        <w:rPr>
          <w:rFonts w:eastAsia="Times New Roman"/>
        </w:rPr>
        <w:tab/>
        <w:t xml:space="preserve">from </w:t>
      </w:r>
      <w:r w:rsidRPr="008F03E5">
        <w:rPr>
          <w:rFonts w:eastAsia="Times New Roman"/>
          <w:u w:val="single"/>
        </w:rPr>
        <w:t>Kh</w:t>
      </w:r>
      <w:r w:rsidRPr="008F03E5">
        <w:rPr>
          <w:rFonts w:eastAsia="Times New Roman"/>
        </w:rPr>
        <w:t xml:space="preserve">árazm (a Khorasmian).  </w:t>
      </w:r>
      <w:r w:rsidRPr="008F03E5">
        <w:t>Muḥammad ibn Músá al-</w:t>
      </w:r>
      <w:r w:rsidRPr="008F03E5">
        <w:rPr>
          <w:u w:val="single"/>
        </w:rPr>
        <w:t>Kh</w:t>
      </w:r>
      <w:r w:rsidRPr="008F03E5">
        <w:t>árazmí (Persian and a native of Ba</w:t>
      </w:r>
      <w:r w:rsidRPr="008F03E5">
        <w:rPr>
          <w:u w:val="single"/>
        </w:rPr>
        <w:t>gh</w:t>
      </w:r>
      <w:r w:rsidRPr="008F03E5">
        <w:t>dád) extended the work in astronomy of Muḥammad ibn Ibráhím al-Fazárí and produced the famous Astronomical Tables (Zíj).  His work in the field of mathematics even more important.  He who adopted Indian numerals and made use of zero.  al-</w:t>
      </w:r>
      <w:r w:rsidRPr="008F03E5">
        <w:rPr>
          <w:u w:val="single"/>
        </w:rPr>
        <w:t>Kh</w:t>
      </w:r>
      <w:r w:rsidRPr="008F03E5">
        <w:t>árazmí was also the originator of algebra whose name appeared in Europe as Algorism or Algorithm.</w:t>
      </w:r>
    </w:p>
    <w:p w14:paraId="03628F9D" w14:textId="77777777" w:rsidR="00625A5B" w:rsidRPr="008F03E5" w:rsidRDefault="00625A5B" w:rsidP="00F37087">
      <w:pPr>
        <w:pStyle w:val="Translit"/>
        <w:rPr>
          <w:rFonts w:eastAsia="Times New Roman"/>
        </w:rPr>
      </w:pPr>
      <w:r w:rsidRPr="008F03E5">
        <w:rPr>
          <w:rFonts w:eastAsia="Times New Roman"/>
        </w:rPr>
        <w:t>Kharazmshah (Khwarazmshah)</w:t>
      </w:r>
      <w:r w:rsidRPr="008F03E5">
        <w:rPr>
          <w:rFonts w:eastAsia="Times New Roman"/>
        </w:rPr>
        <w:tab/>
      </w:r>
      <w:r w:rsidRPr="008F03E5">
        <w:rPr>
          <w:rFonts w:eastAsia="Times New Roman"/>
          <w:u w:val="single"/>
        </w:rPr>
        <w:t>Kh</w:t>
      </w:r>
      <w:r w:rsidRPr="008F03E5">
        <w:rPr>
          <w:rFonts w:eastAsia="Times New Roman"/>
        </w:rPr>
        <w:t>árazm</w:t>
      </w:r>
      <w:r w:rsidRPr="008F03E5">
        <w:rPr>
          <w:rFonts w:eastAsia="Times New Roman"/>
          <w:u w:val="single"/>
        </w:rPr>
        <w:t>sh</w:t>
      </w:r>
      <w:r w:rsidRPr="008F03E5">
        <w:rPr>
          <w:rFonts w:eastAsia="Times New Roman"/>
        </w:rPr>
        <w:t>áh</w:t>
      </w:r>
      <w:r w:rsidRPr="008F03E5">
        <w:rPr>
          <w:rFonts w:eastAsia="Times New Roman"/>
        </w:rPr>
        <w:tab/>
        <w:t xml:space="preserve">Pers. </w:t>
      </w:r>
      <w:r w:rsidRPr="008F03E5">
        <w:t xml:space="preserve">generic title of the rulers of two dynasties who were based on </w:t>
      </w:r>
      <w:r w:rsidRPr="008F03E5">
        <w:rPr>
          <w:u w:val="single"/>
        </w:rPr>
        <w:t>Kh</w:t>
      </w:r>
      <w:r w:rsidRPr="008F03E5">
        <w:t>árazm</w:t>
      </w:r>
      <w:r w:rsidRPr="008F03E5">
        <w:rPr>
          <w:rFonts w:eastAsia="Times New Roman"/>
        </w:rPr>
        <w:t xml:space="preserve">, especially of </w:t>
      </w:r>
      <w:r w:rsidRPr="008F03E5">
        <w:t xml:space="preserve">‘Alá’ ad-Dín Muḥammad </w:t>
      </w:r>
      <w:r w:rsidRPr="008F03E5">
        <w:rPr>
          <w:sz w:val="16"/>
          <w:szCs w:val="16"/>
        </w:rPr>
        <w:t>II</w:t>
      </w:r>
      <w:r w:rsidRPr="008F03E5">
        <w:t xml:space="preserve"> (r. 1</w:t>
      </w:r>
      <w:r w:rsidRPr="008F03E5">
        <w:rPr>
          <w:rFonts w:eastAsia="Times New Roman"/>
        </w:rPr>
        <w:t>200–1220).</w:t>
      </w:r>
    </w:p>
    <w:p w14:paraId="772C26D7" w14:textId="77777777" w:rsidR="00625A5B" w:rsidRPr="008F03E5" w:rsidRDefault="00625A5B" w:rsidP="000C0772">
      <w:pPr>
        <w:pStyle w:val="Translit"/>
      </w:pPr>
      <w:r w:rsidRPr="008F03E5">
        <w:t>Kharif</w:t>
      </w:r>
      <w:r w:rsidRPr="008F03E5">
        <w:tab/>
      </w:r>
      <w:r w:rsidRPr="008F03E5">
        <w:rPr>
          <w:u w:val="single"/>
        </w:rPr>
        <w:t>Kh</w:t>
      </w:r>
      <w:r w:rsidRPr="008F03E5">
        <w:t>aríf</w:t>
      </w:r>
      <w:r w:rsidRPr="008F03E5">
        <w:tab/>
        <w:t>autumn, fall</w:t>
      </w:r>
    </w:p>
    <w:p w14:paraId="73DAF7C5" w14:textId="77777777" w:rsidR="00625A5B" w:rsidRPr="008F03E5" w:rsidRDefault="00625A5B" w:rsidP="004305D1">
      <w:pPr>
        <w:pStyle w:val="Translit"/>
      </w:pPr>
      <w:r w:rsidRPr="008F03E5">
        <w:t xml:space="preserve">Khariji, </w:t>
      </w:r>
      <w:r w:rsidRPr="008F03E5">
        <w:rPr>
          <w:rFonts w:eastAsia="Times New Roman"/>
        </w:rPr>
        <w:t xml:space="preserve">Kharijiya, </w:t>
      </w:r>
      <w:r w:rsidRPr="008F03E5">
        <w:t>Khawarij</w:t>
      </w:r>
      <w:r w:rsidRPr="008F03E5">
        <w:tab/>
      </w:r>
      <w:r w:rsidRPr="008F03E5">
        <w:rPr>
          <w:u w:val="single"/>
        </w:rPr>
        <w:t>Kh</w:t>
      </w:r>
      <w:r w:rsidRPr="008F03E5">
        <w:t xml:space="preserve">árijí, fem. </w:t>
      </w:r>
      <w:r w:rsidRPr="008F03E5">
        <w:rPr>
          <w:u w:val="single"/>
        </w:rPr>
        <w:t>Kh</w:t>
      </w:r>
      <w:r w:rsidRPr="008F03E5">
        <w:t xml:space="preserve">árijíya, pl. </w:t>
      </w:r>
      <w:r w:rsidRPr="008F03E5">
        <w:rPr>
          <w:u w:val="single"/>
        </w:rPr>
        <w:t>Kh</w:t>
      </w:r>
      <w:r w:rsidRPr="008F03E5">
        <w:t>awárij</w:t>
      </w:r>
      <w:r w:rsidRPr="008F03E5">
        <w:tab/>
        <w:t>outer, out- (in compounds), outside, outward, exterior, external; foreign; non-resident; a member of the al-</w:t>
      </w:r>
      <w:r w:rsidRPr="008F03E5">
        <w:rPr>
          <w:rFonts w:eastAsia="Times New Roman"/>
          <w:u w:val="single"/>
        </w:rPr>
        <w:t>Kh</w:t>
      </w:r>
      <w:r w:rsidRPr="008F03E5">
        <w:rPr>
          <w:rFonts w:eastAsia="Times New Roman"/>
        </w:rPr>
        <w:t>árijíyat (the Kharijite sect), the first identifiable sect of Islam;</w:t>
      </w:r>
      <w:r w:rsidRPr="008F03E5">
        <w:t>—pl. dissenters, dissidents, backsliders, rebels, outsiders or seceders, especially those who</w:t>
      </w:r>
      <w:r w:rsidRPr="008F03E5">
        <w:rPr>
          <w:rFonts w:eastAsia="Times New Roman"/>
        </w:rPr>
        <w:t xml:space="preserve"> rebelled against </w:t>
      </w:r>
      <w:r w:rsidRPr="008F03E5">
        <w:rPr>
          <w:rFonts w:eastAsia="Times New Roman"/>
          <w:i/>
          <w:iCs/>
        </w:rPr>
        <w:t>‘</w:t>
      </w:r>
      <w:r w:rsidRPr="008F03E5">
        <w:rPr>
          <w:rFonts w:eastAsia="Times New Roman"/>
        </w:rPr>
        <w:t xml:space="preserve">Alí—the Kharijite sect (the oldest </w:t>
      </w:r>
      <w:r w:rsidRPr="008F03E5">
        <w:t>religious sect of Islam</w:t>
      </w:r>
      <w:r w:rsidRPr="008F03E5">
        <w:rPr>
          <w:rFonts w:eastAsia="Times New Roman"/>
        </w:rPr>
        <w:t>).  al-</w:t>
      </w:r>
      <w:r w:rsidRPr="008F03E5">
        <w:rPr>
          <w:rFonts w:eastAsia="Times New Roman"/>
          <w:u w:val="single"/>
        </w:rPr>
        <w:t>kh</w:t>
      </w:r>
      <w:r w:rsidRPr="008F03E5">
        <w:rPr>
          <w:rFonts w:eastAsia="Times New Roman"/>
        </w:rPr>
        <w:t>árijíya foreign affairs.</w:t>
      </w:r>
    </w:p>
    <w:p w14:paraId="32602F89" w14:textId="77777777" w:rsidR="00625A5B" w:rsidRPr="008F03E5" w:rsidRDefault="00625A5B" w:rsidP="00900A82">
      <w:pPr>
        <w:pStyle w:val="Translit"/>
      </w:pPr>
      <w:r w:rsidRPr="008F03E5">
        <w:t>Khariq-i</w:t>
      </w:r>
      <w:r w:rsidRPr="008F03E5">
        <w:rPr>
          <w:rFonts w:eastAsia="PMingLiU"/>
          <w:lang w:eastAsia="zh-TW"/>
        </w:rPr>
        <w:t>-‘</w:t>
      </w:r>
      <w:r w:rsidRPr="008F03E5">
        <w:t>Adat</w:t>
      </w:r>
      <w:r w:rsidRPr="008F03E5">
        <w:tab/>
      </w:r>
      <w:r w:rsidRPr="008F03E5">
        <w:rPr>
          <w:u w:val="single"/>
        </w:rPr>
        <w:t>Kh</w:t>
      </w:r>
      <w:r w:rsidRPr="008F03E5">
        <w:t>áriq-i-‘Ádat</w:t>
      </w:r>
      <w:r w:rsidRPr="008F03E5">
        <w:tab/>
        <w:t>(Khareki-Adat)  Things that are contrary, rend or change the habits of men.  Hence, sometimes ‘miracles’.</w:t>
      </w:r>
    </w:p>
    <w:p w14:paraId="2F0C750F" w14:textId="77777777" w:rsidR="00625A5B" w:rsidRPr="008F03E5" w:rsidRDefault="00625A5B" w:rsidP="007921EE">
      <w:pPr>
        <w:pStyle w:val="Translit"/>
      </w:pPr>
      <w:r w:rsidRPr="008F03E5">
        <w:t>Kharput</w:t>
      </w:r>
      <w:r w:rsidRPr="008F03E5">
        <w:tab/>
      </w:r>
      <w:r w:rsidRPr="008F03E5">
        <w:rPr>
          <w:u w:val="single"/>
        </w:rPr>
        <w:t>Kh</w:t>
      </w:r>
      <w:r w:rsidRPr="008F03E5">
        <w:t>árpút</w:t>
      </w:r>
      <w:r w:rsidRPr="008F03E5">
        <w:tab/>
        <w:t>Harput/</w:t>
      </w:r>
      <w:r w:rsidRPr="008F03E5">
        <w:rPr>
          <w:u w:val="single"/>
        </w:rPr>
        <w:t>Kh</w:t>
      </w:r>
      <w:r w:rsidRPr="008F03E5">
        <w:t xml:space="preserve">árpút, ancient fortress about 5 km </w:t>
      </w:r>
      <w:r w:rsidRPr="008F03E5">
        <w:rPr>
          <w:sz w:val="16"/>
          <w:szCs w:val="16"/>
        </w:rPr>
        <w:t>NE</w:t>
      </w:r>
      <w:r w:rsidRPr="008F03E5">
        <w:t xml:space="preserve"> of Elâziǧ, Türkiye</w:t>
      </w:r>
    </w:p>
    <w:p w14:paraId="0BF39592" w14:textId="77777777" w:rsidR="00625A5B" w:rsidRPr="008F03E5" w:rsidRDefault="00625A5B" w:rsidP="00286AEF">
      <w:pPr>
        <w:pStyle w:val="Translit"/>
        <w:rPr>
          <w:u w:val="single"/>
        </w:rPr>
      </w:pPr>
      <w:r w:rsidRPr="008F03E5">
        <w:t>Kharras (Kharraz), Kharrasun</w:t>
      </w:r>
      <w:r w:rsidRPr="008F03E5">
        <w:tab/>
      </w:r>
      <w:r w:rsidRPr="008F03E5">
        <w:rPr>
          <w:u w:val="single"/>
        </w:rPr>
        <w:t>Kh</w:t>
      </w:r>
      <w:r w:rsidRPr="008F03E5">
        <w:t xml:space="preserve">arráṣ, pl. </w:t>
      </w:r>
      <w:r w:rsidRPr="008F03E5">
        <w:rPr>
          <w:u w:val="single"/>
        </w:rPr>
        <w:t>Kh</w:t>
      </w:r>
      <w:r w:rsidRPr="008F03E5">
        <w:t>arráṣún</w:t>
      </w:r>
      <w:r w:rsidRPr="008F03E5">
        <w:tab/>
        <w:t>liar, slanderer, calumniator</w:t>
      </w:r>
    </w:p>
    <w:p w14:paraId="1ABDC2B4" w14:textId="77777777" w:rsidR="00625A5B" w:rsidRPr="008F03E5" w:rsidRDefault="00625A5B" w:rsidP="001A79A1">
      <w:pPr>
        <w:pStyle w:val="Translit"/>
      </w:pPr>
      <w:r w:rsidRPr="008F03E5">
        <w:t>Kharrat, Kharratun</w:t>
      </w:r>
      <w:r w:rsidRPr="008F03E5">
        <w:tab/>
      </w:r>
      <w:r w:rsidRPr="008F03E5">
        <w:rPr>
          <w:u w:val="single"/>
        </w:rPr>
        <w:t>Kh</w:t>
      </w:r>
      <w:r w:rsidRPr="008F03E5">
        <w:t xml:space="preserve">arráṭ pl. </w:t>
      </w:r>
      <w:r w:rsidRPr="008F03E5">
        <w:rPr>
          <w:u w:val="single"/>
        </w:rPr>
        <w:t>Kh</w:t>
      </w:r>
      <w:r w:rsidRPr="008F03E5">
        <w:t>arráṭún</w:t>
      </w:r>
      <w:r w:rsidRPr="008F03E5">
        <w:tab/>
        <w:t xml:space="preserve">turner (of wood), lather; braggart, bluffer, storyteller.  Ustád ‘Abdu’l-Karím </w:t>
      </w:r>
      <w:r w:rsidRPr="008F03E5">
        <w:rPr>
          <w:u w:val="single"/>
        </w:rPr>
        <w:t>Kh</w:t>
      </w:r>
      <w:r w:rsidRPr="008F03E5">
        <w:t>arráṭ from Isfahan secretly and stealthily associated with Covenant-breakers, he was their spy in Palestine.</w:t>
      </w:r>
    </w:p>
    <w:p w14:paraId="7CE343DC" w14:textId="77777777" w:rsidR="00625A5B" w:rsidRPr="008F03E5" w:rsidRDefault="00625A5B" w:rsidP="00B86080">
      <w:pPr>
        <w:pStyle w:val="Translit"/>
      </w:pPr>
      <w:r w:rsidRPr="008F03E5">
        <w:t>Kharrub, Kharnub, Khurnub</w:t>
      </w:r>
      <w:r w:rsidRPr="008F03E5">
        <w:tab/>
      </w:r>
      <w:r w:rsidRPr="008F03E5">
        <w:rPr>
          <w:u w:val="single"/>
        </w:rPr>
        <w:t>Kh</w:t>
      </w:r>
      <w:r w:rsidRPr="008F03E5">
        <w:t>arrúb</w:t>
      </w:r>
      <w:r w:rsidRPr="008F03E5">
        <w:tab/>
        <w:t xml:space="preserve">(collective; nomen unitatis </w:t>
      </w:r>
      <w:r w:rsidRPr="008F03E5">
        <w:rPr>
          <w:rtl/>
        </w:rPr>
        <w:t>ة</w:t>
      </w:r>
      <w:r w:rsidRPr="008F03E5">
        <w:t>) carob, locust; carob bean, locust pod, St. John’s-bread.  Also</w:t>
      </w:r>
      <w:r w:rsidRPr="008F03E5">
        <w:rPr>
          <w:rFonts w:eastAsia="Times New Roman"/>
          <w:i/>
          <w:iCs/>
        </w:rPr>
        <w:t xml:space="preserve"> </w:t>
      </w:r>
      <w:r w:rsidRPr="008F03E5">
        <w:rPr>
          <w:rFonts w:eastAsia="Times New Roman"/>
          <w:u w:val="single"/>
        </w:rPr>
        <w:t>kh</w:t>
      </w:r>
      <w:r w:rsidRPr="008F03E5">
        <w:rPr>
          <w:rFonts w:eastAsia="Times New Roman"/>
        </w:rPr>
        <w:t xml:space="preserve">arnúb, </w:t>
      </w:r>
      <w:r w:rsidRPr="008F03E5">
        <w:rPr>
          <w:rFonts w:eastAsia="Times New Roman"/>
          <w:u w:val="single"/>
        </w:rPr>
        <w:t>kh</w:t>
      </w:r>
      <w:r w:rsidRPr="008F03E5">
        <w:rPr>
          <w:rFonts w:eastAsia="Times New Roman"/>
        </w:rPr>
        <w:t>urnúb.</w:t>
      </w:r>
    </w:p>
    <w:p w14:paraId="35AF5246" w14:textId="77777777" w:rsidR="00625A5B" w:rsidRPr="008F03E5" w:rsidRDefault="00625A5B" w:rsidP="00185048">
      <w:pPr>
        <w:pStyle w:val="Translit"/>
      </w:pPr>
      <w:r w:rsidRPr="008F03E5">
        <w:t>Khartum, Kharatim</w:t>
      </w:r>
      <w:r w:rsidRPr="008F03E5">
        <w:tab/>
      </w:r>
      <w:r w:rsidRPr="008F03E5">
        <w:rPr>
          <w:u w:val="single"/>
        </w:rPr>
        <w:t>Kh</w:t>
      </w:r>
      <w:r w:rsidRPr="008F03E5">
        <w:t xml:space="preserve">arṭúm, pl. </w:t>
      </w:r>
      <w:r w:rsidRPr="008F03E5">
        <w:rPr>
          <w:u w:val="single"/>
        </w:rPr>
        <w:t>Kh</w:t>
      </w:r>
      <w:r w:rsidRPr="008F03E5">
        <w:t>aráṭím</w:t>
      </w:r>
      <w:r w:rsidRPr="008F03E5">
        <w:tab/>
        <w:t>proboscis, trunk (of the elephant); hose.  al-</w:t>
      </w:r>
      <w:r w:rsidRPr="008F03E5">
        <w:rPr>
          <w:u w:val="single"/>
        </w:rPr>
        <w:t>Kh</w:t>
      </w:r>
      <w:r w:rsidRPr="008F03E5">
        <w:t>arṭúm (Khartoum)—capital of the Sudanese Republic</w:t>
      </w:r>
    </w:p>
    <w:p w14:paraId="21F40AF1" w14:textId="77777777" w:rsidR="00625A5B" w:rsidRPr="008F03E5" w:rsidRDefault="00625A5B" w:rsidP="00851745">
      <w:pPr>
        <w:pStyle w:val="Translit"/>
      </w:pPr>
      <w:r w:rsidRPr="008F03E5">
        <w:t>Khasa’il-i-Sab’ih</w:t>
      </w:r>
      <w:r w:rsidRPr="008F03E5">
        <w:tab/>
      </w:r>
      <w:r w:rsidRPr="008F03E5">
        <w:rPr>
          <w:u w:val="single"/>
        </w:rPr>
        <w:t>Kh</w:t>
      </w:r>
      <w:r w:rsidRPr="008F03E5">
        <w:t>aṣá’il-i-Sab‘ih</w:t>
      </w:r>
      <w:r w:rsidRPr="008F03E5">
        <w:tab/>
        <w:t>“The Seven Proofs or Qualifications” by the Báb</w:t>
      </w:r>
    </w:p>
    <w:p w14:paraId="2A548C47" w14:textId="77777777" w:rsidR="00625A5B" w:rsidRPr="008F03E5" w:rsidRDefault="00625A5B" w:rsidP="0017210C">
      <w:pPr>
        <w:pStyle w:val="Translit"/>
      </w:pPr>
      <w:r w:rsidRPr="008F03E5">
        <w:t>Khash</w:t>
      </w:r>
      <w:r w:rsidRPr="008F03E5">
        <w:tab/>
      </w:r>
      <w:r w:rsidRPr="008F03E5">
        <w:rPr>
          <w:u w:val="single"/>
        </w:rPr>
        <w:t>Kh</w:t>
      </w:r>
      <w:r w:rsidRPr="008F03E5">
        <w:t>á</w:t>
      </w:r>
      <w:r w:rsidRPr="008F03E5">
        <w:rPr>
          <w:u w:val="single"/>
        </w:rPr>
        <w:t>sh</w:t>
      </w:r>
      <w:r w:rsidRPr="008F03E5">
        <w:tab/>
        <w:t xml:space="preserve">city in </w:t>
      </w:r>
      <w:r w:rsidRPr="008F03E5">
        <w:rPr>
          <w:sz w:val="16"/>
          <w:szCs w:val="16"/>
        </w:rPr>
        <w:t>SE</w:t>
      </w:r>
      <w:r w:rsidRPr="008F03E5">
        <w:t xml:space="preserve"> of Iran</w:t>
      </w:r>
    </w:p>
    <w:p w14:paraId="089659A3" w14:textId="77777777" w:rsidR="00625A5B" w:rsidRPr="008F03E5" w:rsidRDefault="00625A5B" w:rsidP="007A5773">
      <w:pPr>
        <w:pStyle w:val="Translit"/>
      </w:pPr>
      <w:r w:rsidRPr="008F03E5">
        <w:t>Khasilat, Khasa’il</w:t>
      </w:r>
      <w:r w:rsidRPr="008F03E5">
        <w:tab/>
      </w:r>
      <w:r w:rsidRPr="008F03E5">
        <w:rPr>
          <w:u w:val="single"/>
        </w:rPr>
        <w:t>Kh</w:t>
      </w:r>
      <w:r w:rsidRPr="008F03E5">
        <w:t xml:space="preserve">aṣílat, pl. </w:t>
      </w:r>
      <w:r w:rsidRPr="008F03E5">
        <w:rPr>
          <w:u w:val="single"/>
        </w:rPr>
        <w:t>Kh</w:t>
      </w:r>
      <w:r w:rsidRPr="008F03E5">
        <w:t>aṣá’il</w:t>
      </w:r>
      <w:r w:rsidRPr="008F03E5">
        <w:tab/>
        <w:t>Pers. manner, custom, usage, moral</w:t>
      </w:r>
    </w:p>
    <w:p w14:paraId="0AF96D87" w14:textId="77777777" w:rsidR="00625A5B" w:rsidRPr="008F03E5" w:rsidRDefault="00625A5B" w:rsidP="007A5773">
      <w:pPr>
        <w:pStyle w:val="Translit"/>
      </w:pPr>
      <w:r w:rsidRPr="008F03E5">
        <w:rPr>
          <w:lang w:eastAsia="en-US"/>
        </w:rPr>
        <w:t>Khasm, Khusum, Akhsam</w:t>
      </w:r>
      <w:r w:rsidRPr="008F03E5">
        <w:rPr>
          <w:lang w:eastAsia="en-US"/>
        </w:rPr>
        <w:tab/>
      </w:r>
      <w:r w:rsidRPr="008F03E5">
        <w:rPr>
          <w:u w:val="single"/>
          <w:lang w:eastAsia="en-US"/>
        </w:rPr>
        <w:t>Kh</w:t>
      </w:r>
      <w:r w:rsidRPr="008F03E5">
        <w:rPr>
          <w:lang w:eastAsia="en-US"/>
        </w:rPr>
        <w:t>a</w:t>
      </w:r>
      <w:r w:rsidRPr="008F03E5">
        <w:t>ṣ</w:t>
      </w:r>
      <w:r w:rsidRPr="008F03E5">
        <w:rPr>
          <w:lang w:eastAsia="en-US"/>
        </w:rPr>
        <w:t xml:space="preserve">m, pl. </w:t>
      </w:r>
      <w:r w:rsidRPr="008F03E5">
        <w:rPr>
          <w:u w:val="single"/>
          <w:lang w:eastAsia="en-US"/>
        </w:rPr>
        <w:t>Kh</w:t>
      </w:r>
      <w:r w:rsidRPr="008F03E5">
        <w:rPr>
          <w:lang w:eastAsia="en-US"/>
        </w:rPr>
        <w:t>uṣúm, A</w:t>
      </w:r>
      <w:r w:rsidRPr="008F03E5">
        <w:rPr>
          <w:u w:val="single"/>
          <w:lang w:eastAsia="en-US"/>
        </w:rPr>
        <w:t>kh</w:t>
      </w:r>
      <w:r w:rsidRPr="008F03E5">
        <w:rPr>
          <w:lang w:eastAsia="en-US"/>
        </w:rPr>
        <w:t>ṣám</w:t>
      </w:r>
      <w:r w:rsidRPr="008F03E5">
        <w:rPr>
          <w:lang w:eastAsia="en-US"/>
        </w:rPr>
        <w:tab/>
        <w:t>adversary, antagonist, opponent; opposing party (in a lawsuit)</w:t>
      </w:r>
    </w:p>
    <w:p w14:paraId="1DEB8712" w14:textId="77777777" w:rsidR="00625A5B" w:rsidRPr="008F03E5" w:rsidRDefault="00625A5B" w:rsidP="004717E0">
      <w:pPr>
        <w:pStyle w:val="Translit"/>
      </w:pPr>
      <w:r w:rsidRPr="008F03E5">
        <w:t>Khass (Khas), Khassan</w:t>
      </w:r>
      <w:r w:rsidRPr="008F03E5">
        <w:tab/>
      </w:r>
      <w:r w:rsidRPr="008F03E5">
        <w:rPr>
          <w:u w:val="single"/>
        </w:rPr>
        <w:t>Kh</w:t>
      </w:r>
      <w:r w:rsidRPr="008F03E5">
        <w:t xml:space="preserve">áṣṣ, pl. Pers. </w:t>
      </w:r>
      <w:r w:rsidRPr="008F03E5">
        <w:rPr>
          <w:u w:val="single"/>
        </w:rPr>
        <w:t>Kh</w:t>
      </w:r>
      <w:r w:rsidRPr="008F03E5">
        <w:t>áṣṣán</w:t>
      </w:r>
      <w:r w:rsidRPr="008F03E5">
        <w:tab/>
      </w:r>
      <w:r w:rsidRPr="008F03E5">
        <w:rPr>
          <w:rFonts w:eastAsia="Times New Roman"/>
        </w:rPr>
        <w:t>special, particular; specific, peculiar; relative, relevant, pertinent (to), concerning (something); earmarked, designated, destined, set aside (for); especially valid or true (for), especially applicable (to), characteristic (of); distinguished; private; exclusive, not public;—pl. men of rank</w:t>
      </w:r>
    </w:p>
    <w:p w14:paraId="6FA98BC3" w14:textId="77777777" w:rsidR="00625A5B" w:rsidRPr="008F03E5" w:rsidRDefault="00625A5B" w:rsidP="004B14D7">
      <w:pPr>
        <w:pStyle w:val="Translit"/>
      </w:pPr>
      <w:r w:rsidRPr="008F03E5">
        <w:t>Khassa, Khawass</w:t>
      </w:r>
      <w:r w:rsidRPr="008F03E5">
        <w:tab/>
      </w:r>
      <w:r w:rsidRPr="008F03E5">
        <w:rPr>
          <w:u w:val="single"/>
        </w:rPr>
        <w:t>Kh</w:t>
      </w:r>
      <w:r w:rsidRPr="008F03E5">
        <w:t xml:space="preserve">áṣṣa[h or t], pl. </w:t>
      </w:r>
      <w:r w:rsidRPr="008F03E5">
        <w:rPr>
          <w:u w:val="single"/>
        </w:rPr>
        <w:t>Kh</w:t>
      </w:r>
      <w:r w:rsidRPr="008F03E5">
        <w:t>awáṣṣ</w:t>
      </w:r>
      <w:r w:rsidRPr="008F03E5">
        <w:tab/>
        <w:t>exclusive property; private possession; specialty, particularity, peculiarity, characteristic, property, attribute; essence, intrinsic nature; leading personalities, people of distinction.  al-</w:t>
      </w:r>
      <w:r w:rsidRPr="008F03E5">
        <w:rPr>
          <w:u w:val="single"/>
        </w:rPr>
        <w:t>kh</w:t>
      </w:r>
      <w:r w:rsidRPr="008F03E5">
        <w:t>áṣṣa the upper class, the educated.  cf. ‘Ámma.</w:t>
      </w:r>
    </w:p>
    <w:p w14:paraId="5663A9F4" w14:textId="77777777" w:rsidR="00625A5B" w:rsidRPr="008F03E5" w:rsidRDefault="00625A5B" w:rsidP="00637F88">
      <w:pPr>
        <w:pStyle w:val="Translit"/>
      </w:pPr>
      <w:r w:rsidRPr="008F03E5">
        <w:t>Khassiya, Khassiyat, Khasa’is</w:t>
      </w:r>
      <w:r w:rsidRPr="008F03E5">
        <w:tab/>
      </w:r>
      <w:r w:rsidRPr="008F03E5">
        <w:rPr>
          <w:u w:val="single"/>
        </w:rPr>
        <w:t>Kh</w:t>
      </w:r>
      <w:r w:rsidRPr="008F03E5">
        <w:t xml:space="preserve">áṣṣíya, pl. </w:t>
      </w:r>
      <w:r w:rsidRPr="008F03E5">
        <w:rPr>
          <w:u w:val="single"/>
        </w:rPr>
        <w:t>Kh</w:t>
      </w:r>
      <w:r w:rsidRPr="008F03E5">
        <w:t xml:space="preserve">áṣṣíyát, </w:t>
      </w:r>
      <w:r w:rsidRPr="008F03E5">
        <w:rPr>
          <w:u w:val="single"/>
        </w:rPr>
        <w:t>Kh</w:t>
      </w:r>
      <w:r w:rsidRPr="008F03E5">
        <w:t>aṣá’iṣ</w:t>
      </w:r>
      <w:r w:rsidRPr="008F03E5">
        <w:tab/>
        <w:t>specialty, particularity, characteristic, peculiarity, property, special attribute, feature, trait, qualification; prerogative, privilege; jurisdiction, competence</w:t>
      </w:r>
    </w:p>
    <w:p w14:paraId="487BE80E" w14:textId="77777777" w:rsidR="00625A5B" w:rsidRPr="008F03E5" w:rsidRDefault="00625A5B" w:rsidP="000036A6">
      <w:pPr>
        <w:pStyle w:val="Translit"/>
      </w:pPr>
      <w:r w:rsidRPr="008F03E5">
        <w:t>Khata</w:t>
      </w:r>
      <w:r w:rsidRPr="008F03E5">
        <w:tab/>
      </w:r>
      <w:r w:rsidRPr="008F03E5">
        <w:rPr>
          <w:u w:val="single"/>
        </w:rPr>
        <w:t>Kh</w:t>
      </w:r>
      <w:r w:rsidRPr="008F03E5">
        <w:t>atá</w:t>
      </w:r>
      <w:r w:rsidRPr="008F03E5">
        <w:tab/>
        <w:t>Pers. region in Tibet known for musk production</w:t>
      </w:r>
    </w:p>
    <w:p w14:paraId="548248F0" w14:textId="77777777" w:rsidR="00625A5B" w:rsidRPr="008F03E5" w:rsidRDefault="00625A5B" w:rsidP="002C2496">
      <w:pPr>
        <w:pStyle w:val="Translit"/>
      </w:pPr>
      <w:r w:rsidRPr="008F03E5">
        <w:t>Khataba, Khutba, Khataba</w:t>
      </w:r>
      <w:r w:rsidRPr="008F03E5">
        <w:tab/>
      </w:r>
      <w:r w:rsidRPr="008F03E5">
        <w:rPr>
          <w:u w:val="single"/>
        </w:rPr>
        <w:t>Kh</w:t>
      </w:r>
      <w:r w:rsidRPr="008F03E5">
        <w:t xml:space="preserve">aṭaba, </w:t>
      </w:r>
      <w:r w:rsidRPr="008F03E5">
        <w:rPr>
          <w:u w:val="single"/>
        </w:rPr>
        <w:t>Kh</w:t>
      </w:r>
      <w:r w:rsidRPr="008F03E5">
        <w:t>u</w:t>
      </w:r>
      <w:r>
        <w:t>t</w:t>
      </w:r>
      <w:r w:rsidRPr="008F03E5">
        <w:t>ba[h</w:t>
      </w:r>
      <w:r>
        <w:t xml:space="preserve"> or t</w:t>
      </w:r>
      <w:r w:rsidRPr="008F03E5">
        <w:t xml:space="preserve">], </w:t>
      </w:r>
      <w:r w:rsidRPr="008F03E5">
        <w:rPr>
          <w:u w:val="single"/>
        </w:rPr>
        <w:t>Kh</w:t>
      </w:r>
      <w:r w:rsidRPr="008F03E5">
        <w:t>aṭába[</w:t>
      </w:r>
      <w:r>
        <w:t xml:space="preserve">h or </w:t>
      </w:r>
      <w:r w:rsidRPr="008F03E5">
        <w:t>t]</w:t>
      </w:r>
      <w:r w:rsidRPr="008F03E5">
        <w:tab/>
        <w:t>to deliver a public address, make a speech; to preach, deliver a sermon</w:t>
      </w:r>
    </w:p>
    <w:p w14:paraId="2534EF96" w14:textId="77777777" w:rsidR="00625A5B" w:rsidRPr="008F03E5" w:rsidRDefault="00625A5B" w:rsidP="00564584">
      <w:pPr>
        <w:pStyle w:val="Translit"/>
      </w:pPr>
      <w:r w:rsidRPr="008F03E5">
        <w:t>Khatam al-Abwab</w:t>
      </w:r>
      <w:r w:rsidRPr="008F03E5">
        <w:tab/>
      </w:r>
      <w:r w:rsidRPr="008F03E5">
        <w:rPr>
          <w:u w:val="single"/>
        </w:rPr>
        <w:t>Kh</w:t>
      </w:r>
      <w:r w:rsidRPr="008F03E5">
        <w:t>átam al-Abwáb</w:t>
      </w:r>
      <w:r w:rsidRPr="008F03E5">
        <w:tab/>
        <w:t>Seal of the Gates, an early title of the Báb</w:t>
      </w:r>
    </w:p>
    <w:p w14:paraId="7AD82382" w14:textId="77777777" w:rsidR="00625A5B" w:rsidRPr="008F03E5" w:rsidRDefault="00625A5B" w:rsidP="00C34AB2">
      <w:pPr>
        <w:pStyle w:val="Translit"/>
      </w:pPr>
      <w:r w:rsidRPr="008F03E5">
        <w:t>Khatam al-Anbiya’, Khatam an-Nabiyyun</w:t>
      </w:r>
      <w:r w:rsidRPr="008F03E5">
        <w:tab/>
      </w:r>
      <w:r w:rsidRPr="008F03E5">
        <w:rPr>
          <w:u w:val="single"/>
        </w:rPr>
        <w:t>Kh</w:t>
      </w:r>
      <w:r w:rsidRPr="008F03E5">
        <w:t xml:space="preserve">átam al-Anbiyá’, </w:t>
      </w:r>
      <w:r w:rsidRPr="008F03E5">
        <w:rPr>
          <w:u w:val="single"/>
        </w:rPr>
        <w:t>Kh</w:t>
      </w:r>
      <w:r w:rsidRPr="008F03E5">
        <w:t>átam an-Nabiyyún</w:t>
      </w:r>
      <w:r w:rsidRPr="008F03E5">
        <w:tab/>
        <w:t xml:space="preserve">the Seal (of approval, i.e. that he fulfilled or confirmed the earlier Revelations) of the Prophets.  Form used in Qur’án 33:40 is </w:t>
      </w:r>
      <w:r w:rsidRPr="008F03E5">
        <w:rPr>
          <w:u w:val="single"/>
        </w:rPr>
        <w:t>Kh</w:t>
      </w:r>
      <w:r w:rsidRPr="008F03E5">
        <w:t xml:space="preserve">átama’n-Nabiyyína (accusative) or “the best of prophets” </w:t>
      </w:r>
      <w:r w:rsidRPr="008F03E5">
        <w:rPr>
          <w:lang w:eastAsia="en-US"/>
        </w:rPr>
        <w:t>(</w:t>
      </w:r>
      <w:r w:rsidRPr="008F03E5">
        <w:rPr>
          <w:i/>
          <w:iCs/>
          <w:u w:val="single"/>
          <w:lang w:eastAsia="en-US"/>
        </w:rPr>
        <w:t>kh</w:t>
      </w:r>
      <w:r w:rsidRPr="008F03E5">
        <w:rPr>
          <w:i/>
          <w:iCs/>
          <w:lang w:eastAsia="en-US"/>
        </w:rPr>
        <w:t>ayr an-nabiyy</w:t>
      </w:r>
      <w:r w:rsidRPr="008F03E5">
        <w:rPr>
          <w:i/>
          <w:iCs/>
        </w:rPr>
        <w:t>í</w:t>
      </w:r>
      <w:r w:rsidRPr="008F03E5">
        <w:rPr>
          <w:i/>
          <w:iCs/>
          <w:lang w:eastAsia="en-US"/>
        </w:rPr>
        <w:t>n</w:t>
      </w:r>
      <w:r w:rsidRPr="008F03E5">
        <w:rPr>
          <w:lang w:eastAsia="en-US"/>
        </w:rPr>
        <w:t>).</w:t>
      </w:r>
      <w:r w:rsidRPr="008F03E5">
        <w:rPr>
          <w:rStyle w:val="FootnoteReference"/>
          <w:lang w:eastAsia="en-US"/>
        </w:rPr>
        <w:footnoteReference w:id="12"/>
      </w:r>
      <w:r w:rsidRPr="008F03E5">
        <w:rPr>
          <w:lang w:eastAsia="en-US"/>
        </w:rPr>
        <w:t xml:space="preserve">  Endings:  -</w:t>
      </w:r>
      <w:r w:rsidRPr="008F03E5">
        <w:t>ú</w:t>
      </w:r>
      <w:r w:rsidRPr="008F03E5">
        <w:rPr>
          <w:lang w:eastAsia="en-US"/>
        </w:rPr>
        <w:t xml:space="preserve">n (nom.), -ín (gen.) and -án (accus.).  </w:t>
      </w:r>
      <w:r w:rsidRPr="008F03E5">
        <w:t>Muḥammad was the last Manifestation to prophesy the coming of Bahá’u’lláh, and His Dispensation the last of the prophetic cycle of religion.  The appearance of the Báb closed this cycle.  The Báb’s Mission was to announce the Day of God, not to foretell it (</w:t>
      </w:r>
      <w:r w:rsidRPr="008F03E5">
        <w:rPr>
          <w:i/>
          <w:iCs/>
        </w:rPr>
        <w:t>Revelation of Bahá’u’lláh</w:t>
      </w:r>
      <w:r w:rsidRPr="008F03E5">
        <w:t xml:space="preserve"> I:66)  </w:t>
      </w:r>
      <w:r w:rsidRPr="008F03E5">
        <w:rPr>
          <w:lang w:eastAsia="en-US"/>
        </w:rPr>
        <w:t>Umayyah ibn Abí aṣ-Ṣalt (a contemporary of Mu</w:t>
      </w:r>
      <w:r w:rsidRPr="008F03E5">
        <w:t>ḥ</w:t>
      </w:r>
      <w:r w:rsidRPr="008F03E5">
        <w:rPr>
          <w:lang w:eastAsia="en-US"/>
        </w:rPr>
        <w:t>ammad) says Mu</w:t>
      </w:r>
      <w:r w:rsidRPr="008F03E5">
        <w:t>ḥ</w:t>
      </w:r>
      <w:r w:rsidRPr="008F03E5">
        <w:rPr>
          <w:lang w:eastAsia="en-US"/>
        </w:rPr>
        <w:t xml:space="preserve">ammad was the one through whom “Allah sealed the prophets before him and after him”, thus clearly </w:t>
      </w:r>
      <w:r w:rsidRPr="008F03E5">
        <w:t xml:space="preserve">indicating an expectation of prophets after Muḥammad.  See “A Bahá’í approach to the claim of finality in Islam”, Seena Fazel and Khazeh Fananapazir, </w:t>
      </w:r>
      <w:r w:rsidRPr="008F03E5">
        <w:rPr>
          <w:i/>
          <w:iCs/>
        </w:rPr>
        <w:t>Journal of Bahá’í Studies</w:t>
      </w:r>
      <w:r w:rsidRPr="008F03E5">
        <w:t xml:space="preserve">, 5:3, pp. 17–40; </w:t>
      </w:r>
      <w:r w:rsidRPr="008F03E5">
        <w:rPr>
          <w:i/>
          <w:iCs/>
        </w:rPr>
        <w:t>Islam and the Bahá’í Faith</w:t>
      </w:r>
      <w:r w:rsidRPr="008F03E5">
        <w:t>, Momen, chapter 3.  Some adult sons of Prophets were also known as prophets, but Muḥammad had none (Qur’án 33:40).  Zayd was an adopted slave and ‘Alí a son-in-law.  Pers. see Muhr-i-Payámbarán.</w:t>
      </w:r>
    </w:p>
    <w:p w14:paraId="50D72025" w14:textId="77777777" w:rsidR="00625A5B" w:rsidRPr="008F03E5" w:rsidRDefault="00625A5B" w:rsidP="009609C1">
      <w:pPr>
        <w:pStyle w:val="Translit"/>
        <w:rPr>
          <w:u w:val="single"/>
        </w:rPr>
      </w:pPr>
      <w:r w:rsidRPr="008F03E5">
        <w:t>Khatam al-Wasiyyun</w:t>
      </w:r>
      <w:r w:rsidRPr="008F03E5">
        <w:tab/>
      </w:r>
      <w:r w:rsidRPr="008F03E5">
        <w:rPr>
          <w:u w:val="single"/>
        </w:rPr>
        <w:t>Kh</w:t>
      </w:r>
      <w:r w:rsidRPr="008F03E5">
        <w:t>átam al-Wasiyyún</w:t>
      </w:r>
      <w:r w:rsidRPr="008F03E5">
        <w:tab/>
        <w:t>(nom.) Seal of the Successors (‘Alí, son-in-law of Muḥammad)</w:t>
      </w:r>
    </w:p>
    <w:p w14:paraId="67F91743" w14:textId="77777777" w:rsidR="00625A5B" w:rsidRPr="008F03E5" w:rsidRDefault="00625A5B" w:rsidP="00737649">
      <w:pPr>
        <w:pStyle w:val="Translit"/>
        <w:rPr>
          <w:rFonts w:eastAsia="PMingLiU"/>
          <w:lang w:eastAsia="zh-TW"/>
        </w:rPr>
      </w:pPr>
      <w:r w:rsidRPr="008F03E5">
        <w:t>Khatam, Khatim, Khawatim</w:t>
      </w:r>
      <w:r w:rsidRPr="008F03E5">
        <w:tab/>
      </w:r>
      <w:r w:rsidRPr="008F03E5">
        <w:rPr>
          <w:u w:val="single"/>
        </w:rPr>
        <w:t>Kh</w:t>
      </w:r>
      <w:r w:rsidRPr="008F03E5">
        <w:t xml:space="preserve">átam, </w:t>
      </w:r>
      <w:r w:rsidRPr="008F03E5">
        <w:rPr>
          <w:u w:val="single"/>
        </w:rPr>
        <w:t>Kh</w:t>
      </w:r>
      <w:r w:rsidRPr="008F03E5">
        <w:t xml:space="preserve">átim, pl. </w:t>
      </w:r>
      <w:r w:rsidRPr="008F03E5">
        <w:rPr>
          <w:u w:val="single"/>
        </w:rPr>
        <w:t>Kh</w:t>
      </w:r>
      <w:r w:rsidRPr="008F03E5">
        <w:t>awátim</w:t>
      </w:r>
      <w:r w:rsidRPr="008F03E5">
        <w:tab/>
        <w:t xml:space="preserve">seal or signet ring; ring, finger ring; seal, signet; stamp.  </w:t>
      </w:r>
      <w:r w:rsidRPr="008F03E5">
        <w:rPr>
          <w:u w:val="single"/>
        </w:rPr>
        <w:t>Kh</w:t>
      </w:r>
      <w:r w:rsidRPr="008F03E5">
        <w:t>átam in Qur’án 33:40 can be interpreted as a “seal of approval”, “seal of perfection”, “beauty of” or the “best of”.  a</w:t>
      </w:r>
      <w:r w:rsidRPr="00737649">
        <w:rPr>
          <w:u w:val="single"/>
        </w:rPr>
        <w:t>th</w:t>
      </w:r>
      <w:r w:rsidRPr="008F03E5">
        <w:t>-</w:t>
      </w:r>
      <w:r w:rsidRPr="008F03E5">
        <w:rPr>
          <w:u w:val="single"/>
        </w:rPr>
        <w:t>Th</w:t>
      </w:r>
      <w:r w:rsidRPr="008F03E5">
        <w:t>a‘labí stated that “al-</w:t>
      </w:r>
      <w:r w:rsidRPr="008F03E5">
        <w:rPr>
          <w:u w:val="single"/>
        </w:rPr>
        <w:t>kh</w:t>
      </w:r>
      <w:r w:rsidRPr="008F03E5">
        <w:t>átim is the one who sealed the prophets and al-</w:t>
      </w:r>
      <w:r w:rsidRPr="008F03E5">
        <w:rPr>
          <w:u w:val="single"/>
        </w:rPr>
        <w:t>kh</w:t>
      </w:r>
      <w:r w:rsidRPr="008F03E5">
        <w:t xml:space="preserve">átam is the best of the prophets in character and physical constitution”.  Do not confuse with </w:t>
      </w:r>
      <w:r w:rsidRPr="008F03E5">
        <w:rPr>
          <w:rFonts w:eastAsia="PMingLiU"/>
          <w:u w:val="single"/>
          <w:lang w:eastAsia="zh-TW"/>
        </w:rPr>
        <w:t>kh</w:t>
      </w:r>
      <w:r w:rsidRPr="008F03E5">
        <w:rPr>
          <w:rFonts w:eastAsia="PMingLiU"/>
          <w:lang w:eastAsia="zh-TW"/>
        </w:rPr>
        <w:t>itám (“last”).</w:t>
      </w:r>
    </w:p>
    <w:p w14:paraId="59FE4DCA" w14:textId="77777777" w:rsidR="00625A5B" w:rsidRPr="008F03E5" w:rsidRDefault="00625A5B" w:rsidP="0022173E">
      <w:pPr>
        <w:pStyle w:val="Translit"/>
      </w:pPr>
      <w:r w:rsidRPr="008F03E5">
        <w:t>Khatama</w:t>
      </w:r>
      <w:r w:rsidRPr="008F03E5">
        <w:tab/>
      </w:r>
      <w:r w:rsidRPr="008F03E5">
        <w:rPr>
          <w:u w:val="single"/>
        </w:rPr>
        <w:t>Kh</w:t>
      </w:r>
      <w:r w:rsidRPr="008F03E5">
        <w:t>atama</w:t>
      </w:r>
      <w:r w:rsidRPr="008F03E5">
        <w:tab/>
        <w:t xml:space="preserve">(derivatives </w:t>
      </w:r>
      <w:r w:rsidRPr="008F03E5">
        <w:rPr>
          <w:u w:val="single"/>
        </w:rPr>
        <w:t>kh</w:t>
      </w:r>
      <w:r w:rsidRPr="008F03E5">
        <w:t xml:space="preserve">atm and </w:t>
      </w:r>
      <w:r w:rsidRPr="008F03E5">
        <w:rPr>
          <w:u w:val="single"/>
        </w:rPr>
        <w:t>kh</w:t>
      </w:r>
      <w:r w:rsidRPr="008F03E5">
        <w:t>itám) to seal, provide with a seal or signet (something); to stamp, impress with a stamp (something); to seal off, close, make impervious or inaccessible (something); to put one’s seal (on), conclude, terminate (something); to wind up, finish, complete (something); to close, heal, cicatrize (wound).  Five forms in Qur’án 2:7, 6:46, 36.65, 42:24 and 45:23.</w:t>
      </w:r>
    </w:p>
    <w:p w14:paraId="0BFB202B" w14:textId="77777777" w:rsidR="00625A5B" w:rsidRDefault="00625A5B" w:rsidP="00791716">
      <w:pPr>
        <w:pStyle w:val="Translit"/>
      </w:pPr>
      <w:r>
        <w:t>Khatb, Khutb</w:t>
      </w:r>
      <w:r>
        <w:tab/>
      </w:r>
      <w:r w:rsidRPr="00791716">
        <w:rPr>
          <w:u w:val="single"/>
        </w:rPr>
        <w:t>Kh</w:t>
      </w:r>
      <w:r w:rsidRPr="00791716">
        <w:t>aṭb</w:t>
      </w:r>
      <w:r>
        <w:t>,</w:t>
      </w:r>
      <w:r w:rsidRPr="00791716">
        <w:t xml:space="preserve"> pl. </w:t>
      </w:r>
      <w:r w:rsidRPr="00791716">
        <w:rPr>
          <w:u w:val="single"/>
        </w:rPr>
        <w:t>Kh</w:t>
      </w:r>
      <w:r w:rsidRPr="00791716">
        <w:t>uṭb</w:t>
      </w:r>
      <w:r>
        <w:tab/>
      </w:r>
      <w:r w:rsidRPr="00791716">
        <w:t>matter, affair, concern, business; situation, conditions, circumstances; misadventure, mishap</w:t>
      </w:r>
    </w:p>
    <w:p w14:paraId="3C0DC6AC" w14:textId="77777777" w:rsidR="00625A5B" w:rsidRPr="008F03E5" w:rsidRDefault="00625A5B" w:rsidP="00491E2F">
      <w:pPr>
        <w:pStyle w:val="Translit"/>
      </w:pPr>
      <w:r w:rsidRPr="008F03E5">
        <w:t>Khatib, Khatiba, Khutaba, Khuttab</w:t>
      </w:r>
      <w:r w:rsidRPr="008F03E5">
        <w:tab/>
      </w:r>
      <w:r w:rsidRPr="008F03E5">
        <w:rPr>
          <w:u w:val="single"/>
        </w:rPr>
        <w:t>Kh</w:t>
      </w:r>
      <w:r w:rsidRPr="008F03E5">
        <w:t xml:space="preserve">áṭib, fem. </w:t>
      </w:r>
      <w:r w:rsidRPr="008F03E5">
        <w:rPr>
          <w:u w:val="single"/>
        </w:rPr>
        <w:t>Kh</w:t>
      </w:r>
      <w:r w:rsidRPr="008F03E5">
        <w:t>áṭiba[h]</w:t>
      </w:r>
      <w:r w:rsidRPr="008F03E5">
        <w:tab/>
      </w:r>
      <w:r w:rsidRPr="008F03E5">
        <w:rPr>
          <w:rFonts w:eastAsia="Times New Roman"/>
        </w:rPr>
        <w:t xml:space="preserve">public speaker, an orator, a preacher; </w:t>
      </w:r>
      <w:r w:rsidRPr="008F03E5">
        <w:t xml:space="preserve">suitor; matchmaker;—pl. </w:t>
      </w:r>
      <w:r w:rsidRPr="008F03E5">
        <w:rPr>
          <w:u w:val="single"/>
        </w:rPr>
        <w:t>Kh</w:t>
      </w:r>
      <w:r w:rsidRPr="008F03E5">
        <w:t xml:space="preserve">uṭabá’, </w:t>
      </w:r>
      <w:r w:rsidRPr="008F03E5">
        <w:rPr>
          <w:u w:val="single"/>
        </w:rPr>
        <w:t>Kh</w:t>
      </w:r>
      <w:r w:rsidRPr="008F03E5">
        <w:t>uṭṭáb</w:t>
      </w:r>
      <w:r w:rsidRPr="008F03E5">
        <w:tab/>
      </w:r>
    </w:p>
    <w:p w14:paraId="778B7F09" w14:textId="77777777" w:rsidR="00625A5B" w:rsidRPr="008F03E5" w:rsidRDefault="00625A5B" w:rsidP="003234D2">
      <w:pPr>
        <w:pStyle w:val="Translit"/>
      </w:pPr>
      <w:r w:rsidRPr="008F03E5">
        <w:t>Khatib, Khutaba’</w:t>
      </w:r>
      <w:r w:rsidRPr="008F03E5">
        <w:tab/>
      </w:r>
      <w:r w:rsidRPr="008F03E5">
        <w:rPr>
          <w:u w:val="single"/>
        </w:rPr>
        <w:t>Kh</w:t>
      </w:r>
      <w:r w:rsidRPr="008F03E5">
        <w:t xml:space="preserve">aṭíb, pl. </w:t>
      </w:r>
      <w:r w:rsidRPr="008F03E5">
        <w:rPr>
          <w:u w:val="single"/>
        </w:rPr>
        <w:t>Kh</w:t>
      </w:r>
      <w:r w:rsidRPr="008F03E5">
        <w:t>uṭabá’</w:t>
      </w:r>
      <w:r w:rsidRPr="008F03E5">
        <w:tab/>
        <w:t>(public) speaker; orator; lecturer; preacher; suitor (for the hand of a girl); fiancé</w:t>
      </w:r>
    </w:p>
    <w:p w14:paraId="3D957235" w14:textId="77777777" w:rsidR="00625A5B" w:rsidRPr="008F03E5" w:rsidRDefault="00625A5B" w:rsidP="002A66DE">
      <w:pPr>
        <w:pStyle w:val="Translit"/>
      </w:pPr>
      <w:r w:rsidRPr="008F03E5">
        <w:t>Khatima, Khwatim</w:t>
      </w:r>
      <w:r w:rsidRPr="008F03E5">
        <w:tab/>
      </w:r>
      <w:r w:rsidRPr="008F03E5">
        <w:rPr>
          <w:u w:val="single"/>
        </w:rPr>
        <w:t>Kh</w:t>
      </w:r>
      <w:r w:rsidRPr="008F03E5">
        <w:t xml:space="preserve">átima[h or t], pl. </w:t>
      </w:r>
      <w:r w:rsidRPr="008F03E5">
        <w:rPr>
          <w:u w:val="single"/>
        </w:rPr>
        <w:t>Kh</w:t>
      </w:r>
      <w:r w:rsidRPr="008F03E5">
        <w:t xml:space="preserve">awátim, </w:t>
      </w:r>
      <w:r w:rsidRPr="008F03E5">
        <w:rPr>
          <w:u w:val="single"/>
        </w:rPr>
        <w:t>Kh</w:t>
      </w:r>
      <w:r w:rsidRPr="008F03E5">
        <w:t>awátím</w:t>
      </w:r>
      <w:r w:rsidRPr="008F03E5">
        <w:tab/>
        <w:t xml:space="preserve">end, close, conclusion, termination; epilogue (of a book); final stage </w:t>
      </w:r>
      <w:r w:rsidRPr="008F03E5">
        <w:rPr>
          <w:u w:val="single"/>
        </w:rPr>
        <w:t>kh</w:t>
      </w:r>
      <w:r w:rsidRPr="008F03E5">
        <w:t>awátím</w:t>
      </w:r>
    </w:p>
    <w:p w14:paraId="294B3159" w14:textId="77777777" w:rsidR="00625A5B" w:rsidRPr="008F03E5" w:rsidRDefault="00625A5B" w:rsidP="002A66DE">
      <w:pPr>
        <w:pStyle w:val="Translit"/>
      </w:pPr>
      <w:r w:rsidRPr="008F03E5">
        <w:t>Khatir, Khatirat</w:t>
      </w:r>
      <w:r w:rsidRPr="008F03E5">
        <w:tab/>
      </w:r>
      <w:r w:rsidRPr="008F03E5">
        <w:rPr>
          <w:u w:val="single"/>
        </w:rPr>
        <w:t>Kh</w:t>
      </w:r>
      <w:r w:rsidRPr="008F03E5">
        <w:t xml:space="preserve">áṭir, pl. </w:t>
      </w:r>
      <w:bookmarkStart w:id="98" w:name="_Hlk60219750"/>
      <w:r w:rsidRPr="008F03E5">
        <w:rPr>
          <w:u w:val="single"/>
        </w:rPr>
        <w:t>Kh</w:t>
      </w:r>
      <w:r w:rsidRPr="008F03E5">
        <w:t>áṭirát</w:t>
      </w:r>
      <w:bookmarkEnd w:id="98"/>
      <w:r w:rsidRPr="008F03E5">
        <w:tab/>
        <w:t>Pers. whatever occurs to or passes in the mind; cogitation, thought, suggestion; memory, remembrance; mind, soul, heart; inclination, propensity; affection, favour; pleasure, will, choice; sake, account, behalf</w:t>
      </w:r>
    </w:p>
    <w:p w14:paraId="44B0F1DB" w14:textId="77777777" w:rsidR="00625A5B" w:rsidRPr="008F03E5" w:rsidRDefault="00625A5B" w:rsidP="00184FD8">
      <w:pPr>
        <w:pStyle w:val="Translit"/>
      </w:pPr>
      <w:r w:rsidRPr="008F03E5">
        <w:t>Khatirat-i-Malmiri</w:t>
      </w:r>
      <w:r w:rsidRPr="008F03E5">
        <w:tab/>
      </w:r>
      <w:r w:rsidRPr="008F03E5">
        <w:rPr>
          <w:u w:val="single"/>
        </w:rPr>
        <w:t>Kh</w:t>
      </w:r>
      <w:r w:rsidRPr="008F03E5">
        <w:t>áṭirát-i-Málmírí</w:t>
      </w:r>
      <w:r w:rsidRPr="008F03E5">
        <w:tab/>
        <w:t xml:space="preserve">Pers. </w:t>
      </w:r>
      <w:r w:rsidRPr="008F03E5">
        <w:rPr>
          <w:i/>
          <w:iCs/>
        </w:rPr>
        <w:t>Memoirs of Málmírí</w:t>
      </w:r>
    </w:p>
    <w:p w14:paraId="533B462F" w14:textId="77777777" w:rsidR="00625A5B" w:rsidRPr="008F03E5" w:rsidRDefault="00625A5B" w:rsidP="00901620">
      <w:pPr>
        <w:pStyle w:val="Translit"/>
        <w:rPr>
          <w:i/>
          <w:iCs/>
        </w:rPr>
      </w:pPr>
      <w:r w:rsidRPr="008F03E5">
        <w:t>Khatirat-i-Nuh-Saliy-i-‘Akka</w:t>
      </w:r>
      <w:r w:rsidRPr="008F03E5">
        <w:tab/>
      </w:r>
      <w:r w:rsidRPr="008F03E5">
        <w:rPr>
          <w:u w:val="single"/>
        </w:rPr>
        <w:t>Kh</w:t>
      </w:r>
      <w:r w:rsidRPr="008F03E5">
        <w:t>áṭirat-i-Nuh-Sáliy-i-‘Akká</w:t>
      </w:r>
      <w:r w:rsidRPr="008F03E5">
        <w:tab/>
        <w:t xml:space="preserve">Pers. Yúnis </w:t>
      </w:r>
      <w:r w:rsidRPr="008F03E5">
        <w:rPr>
          <w:u w:val="single"/>
        </w:rPr>
        <w:t>Kh</w:t>
      </w:r>
      <w:r w:rsidRPr="008F03E5">
        <w:t xml:space="preserve">án, </w:t>
      </w:r>
      <w:r w:rsidRPr="008F03E5">
        <w:rPr>
          <w:i/>
          <w:iCs/>
        </w:rPr>
        <w:t>Memories of Nine Years in ‘Akká</w:t>
      </w:r>
    </w:p>
    <w:p w14:paraId="24005AEF" w14:textId="77777777" w:rsidR="00625A5B" w:rsidRPr="008F03E5" w:rsidRDefault="00625A5B" w:rsidP="00C834D7">
      <w:pPr>
        <w:pStyle w:val="Translit"/>
      </w:pPr>
      <w:r w:rsidRPr="008F03E5">
        <w:t>Khatm, Akhtam, Khutum</w:t>
      </w:r>
      <w:r w:rsidRPr="008F03E5">
        <w:tab/>
      </w:r>
      <w:r w:rsidRPr="008F03E5">
        <w:rPr>
          <w:u w:val="single"/>
        </w:rPr>
        <w:t>Kh</w:t>
      </w:r>
      <w:r w:rsidRPr="008F03E5">
        <w:t>atm, pl. A</w:t>
      </w:r>
      <w:r w:rsidRPr="008F03E5">
        <w:rPr>
          <w:u w:val="single"/>
        </w:rPr>
        <w:t>kh</w:t>
      </w:r>
      <w:r w:rsidRPr="008F03E5">
        <w:t xml:space="preserve">tám, </w:t>
      </w:r>
      <w:r w:rsidRPr="008F03E5">
        <w:rPr>
          <w:u w:val="single"/>
        </w:rPr>
        <w:t>Kh</w:t>
      </w:r>
      <w:r w:rsidRPr="008F03E5">
        <w:t>utúm</w:t>
      </w:r>
      <w:r w:rsidRPr="008F03E5">
        <w:tab/>
        <w:t>sealing;—pl. seal, signet, seal imprint; stamp, stamp imprint</w:t>
      </w:r>
    </w:p>
    <w:p w14:paraId="3CAD3ED8" w14:textId="77777777" w:rsidR="00625A5B" w:rsidRPr="008F03E5" w:rsidRDefault="00625A5B" w:rsidP="00C834D7">
      <w:pPr>
        <w:pStyle w:val="Translit"/>
      </w:pPr>
      <w:r w:rsidRPr="008F03E5">
        <w:t>Khatt, Khutut</w:t>
      </w:r>
      <w:r w:rsidRPr="008F03E5">
        <w:tab/>
      </w:r>
      <w:r w:rsidRPr="008F03E5">
        <w:rPr>
          <w:u w:val="single"/>
        </w:rPr>
        <w:t>Kh</w:t>
      </w:r>
      <w:r w:rsidRPr="008F03E5">
        <w:t xml:space="preserve">aṭṭ (Pers. </w:t>
      </w:r>
      <w:r w:rsidRPr="008F03E5">
        <w:rPr>
          <w:u w:val="single"/>
        </w:rPr>
        <w:t>Kh</w:t>
      </w:r>
      <w:r w:rsidRPr="008F03E5">
        <w:t xml:space="preserve">aṭ), pl. </w:t>
      </w:r>
      <w:r w:rsidRPr="008F03E5">
        <w:rPr>
          <w:u w:val="single"/>
        </w:rPr>
        <w:t>Kh</w:t>
      </w:r>
      <w:r w:rsidRPr="008F03E5">
        <w:t>uṭúṭ</w:t>
      </w:r>
      <w:r w:rsidRPr="008F03E5">
        <w:tab/>
        <w:t>line; stroke; stripe, streak; (railroad) line, line of communication; telephone line; frontline (military); furrow, ridge; handwriting; writing, script; calligraphy, penmanship</w:t>
      </w:r>
    </w:p>
    <w:p w14:paraId="5D50AAE6" w14:textId="77777777" w:rsidR="00625A5B" w:rsidRPr="008F03E5" w:rsidRDefault="00625A5B" w:rsidP="00C16E4E">
      <w:pPr>
        <w:pStyle w:val="Translit"/>
      </w:pPr>
      <w:r w:rsidRPr="008F03E5">
        <w:t>Khattab</w:t>
      </w:r>
      <w:r w:rsidRPr="008F03E5">
        <w:tab/>
      </w:r>
      <w:r w:rsidRPr="008F03E5">
        <w:rPr>
          <w:u w:val="single"/>
        </w:rPr>
        <w:t>Kh</w:t>
      </w:r>
      <w:r w:rsidRPr="008F03E5">
        <w:t>aṭṭáb</w:t>
      </w:r>
      <w:r w:rsidRPr="008F03E5">
        <w:tab/>
        <w:t>a name derived from the word “sermon” (</w:t>
      </w:r>
      <w:r w:rsidRPr="008F03E5">
        <w:rPr>
          <w:u w:val="single"/>
        </w:rPr>
        <w:t>Kh</w:t>
      </w:r>
      <w:r w:rsidRPr="008F03E5">
        <w:t>aṭíb) (literally book-narration).  ʻUmar ibn al-</w:t>
      </w:r>
      <w:r w:rsidRPr="008F03E5">
        <w:rPr>
          <w:u w:val="single"/>
        </w:rPr>
        <w:t>Kh</w:t>
      </w:r>
      <w:r w:rsidRPr="008F03E5">
        <w:t>aṭṭáb, c. 584–3 November 644, was one of the most powerful and influential Muslim caliphs in history.</w:t>
      </w:r>
    </w:p>
    <w:p w14:paraId="7AB92FDD" w14:textId="77777777" w:rsidR="00625A5B" w:rsidRPr="008F03E5" w:rsidRDefault="00625A5B" w:rsidP="00646E0F">
      <w:pPr>
        <w:pStyle w:val="Translit"/>
      </w:pPr>
      <w:r w:rsidRPr="008F03E5">
        <w:t>Khatt-i-Badi’</w:t>
      </w:r>
      <w:r w:rsidRPr="008F03E5">
        <w:tab/>
      </w:r>
      <w:r w:rsidRPr="008F03E5">
        <w:rPr>
          <w:u w:val="single"/>
        </w:rPr>
        <w:t>Kh</w:t>
      </w:r>
      <w:r w:rsidRPr="008F03E5">
        <w:t>aṭṭ-i-Badí‘</w:t>
      </w:r>
      <w:r w:rsidRPr="008F03E5">
        <w:tab/>
        <w:t>Pers. an unauthorized new script devised by Mírzá Muḥammad ‘Alí, written from left to right and the letters are separated from one another.  Each letter is essentially an oblique straight line running downwards to the left, to which are appended various thin curved lines and hooks.</w:t>
      </w:r>
    </w:p>
    <w:p w14:paraId="2D6E2A39" w14:textId="77777777" w:rsidR="00625A5B" w:rsidRPr="008F03E5" w:rsidRDefault="00625A5B" w:rsidP="00646E0F">
      <w:pPr>
        <w:pStyle w:val="Translit"/>
      </w:pPr>
      <w:r w:rsidRPr="008F03E5">
        <w:t>Khatt-i-Murghi</w:t>
      </w:r>
      <w:r w:rsidRPr="008F03E5">
        <w:tab/>
      </w:r>
      <w:r w:rsidRPr="008F03E5">
        <w:rPr>
          <w:u w:val="single"/>
        </w:rPr>
        <w:t>Kh</w:t>
      </w:r>
      <w:r w:rsidRPr="008F03E5">
        <w:t>aṭṭ-i-Mur</w:t>
      </w:r>
      <w:r w:rsidRPr="008F03E5">
        <w:rPr>
          <w:u w:val="single"/>
        </w:rPr>
        <w:t>gh</w:t>
      </w:r>
      <w:r w:rsidRPr="008F03E5">
        <w:t>í</w:t>
      </w:r>
      <w:r w:rsidRPr="008F03E5">
        <w:tab/>
        <w:t>writing or calligraphy in the shape of a bird</w:t>
      </w:r>
    </w:p>
    <w:p w14:paraId="765686A0" w14:textId="77777777" w:rsidR="00625A5B" w:rsidRPr="008F03E5" w:rsidRDefault="00625A5B" w:rsidP="00C16E4E">
      <w:pPr>
        <w:pStyle w:val="Translit"/>
      </w:pPr>
      <w:r w:rsidRPr="008F03E5">
        <w:t>Khatun Jan</w:t>
      </w:r>
      <w:r w:rsidRPr="008F03E5">
        <w:tab/>
      </w:r>
      <w:r w:rsidRPr="008F03E5">
        <w:rPr>
          <w:u w:val="single"/>
        </w:rPr>
        <w:t>Kh</w:t>
      </w:r>
      <w:r w:rsidRPr="008F03E5">
        <w:t>átún Ján</w:t>
      </w:r>
      <w:r w:rsidRPr="008F03E5">
        <w:tab/>
        <w:t>wife of Hádíy-i-Qazvíní (</w:t>
      </w:r>
      <w:r w:rsidRPr="008F03E5">
        <w:rPr>
          <w:sz w:val="16"/>
          <w:szCs w:val="16"/>
        </w:rPr>
        <w:t>MF</w:t>
      </w:r>
      <w:r w:rsidRPr="008F03E5">
        <w:t>)</w:t>
      </w:r>
    </w:p>
    <w:p w14:paraId="7077919F" w14:textId="77777777" w:rsidR="00625A5B" w:rsidRPr="008F03E5" w:rsidRDefault="00625A5B" w:rsidP="000A60E5">
      <w:pPr>
        <w:pStyle w:val="Translit"/>
      </w:pPr>
      <w:r w:rsidRPr="008F03E5">
        <w:t>Khatun, Khawatin</w:t>
      </w:r>
      <w:r w:rsidRPr="008F03E5">
        <w:tab/>
      </w:r>
      <w:r w:rsidRPr="008F03E5">
        <w:rPr>
          <w:u w:val="single"/>
        </w:rPr>
        <w:t>Kh</w:t>
      </w:r>
      <w:r w:rsidRPr="008F03E5">
        <w:t xml:space="preserve">átún, pl. </w:t>
      </w:r>
      <w:r w:rsidRPr="008F03E5">
        <w:rPr>
          <w:u w:val="single"/>
        </w:rPr>
        <w:t>Kh</w:t>
      </w:r>
      <w:r w:rsidRPr="008F03E5">
        <w:t>awátín</w:t>
      </w:r>
      <w:r w:rsidRPr="008F03E5">
        <w:tab/>
        <w:t>Pers. lady, matron, socially prominent woman; proper fem. name</w:t>
      </w:r>
    </w:p>
    <w:p w14:paraId="361A7760" w14:textId="77777777" w:rsidR="00625A5B" w:rsidRPr="008F03E5" w:rsidRDefault="00625A5B" w:rsidP="00A32200">
      <w:pPr>
        <w:pStyle w:val="Translit"/>
      </w:pPr>
      <w:r w:rsidRPr="008F03E5">
        <w:t>Khatunabad</w:t>
      </w:r>
      <w:r w:rsidRPr="008F03E5">
        <w:tab/>
      </w:r>
      <w:r w:rsidRPr="008F03E5">
        <w:rPr>
          <w:u w:val="single"/>
        </w:rPr>
        <w:t>Kh</w:t>
      </w:r>
      <w:r w:rsidRPr="008F03E5">
        <w:t>átúnábád (</w:t>
      </w:r>
      <w:r w:rsidRPr="008F03E5">
        <w:rPr>
          <w:u w:val="single"/>
        </w:rPr>
        <w:t>Kh</w:t>
      </w:r>
      <w:r w:rsidRPr="008F03E5">
        <w:t>átún ábád)</w:t>
      </w:r>
      <w:r w:rsidRPr="008F03E5">
        <w:tab/>
        <w:t xml:space="preserve">Pers. a town (30.00805, 55.42111) 160 km </w:t>
      </w:r>
      <w:r w:rsidRPr="008F03E5">
        <w:rPr>
          <w:sz w:val="16"/>
          <w:szCs w:val="16"/>
        </w:rPr>
        <w:t>WSW</w:t>
      </w:r>
      <w:r w:rsidRPr="008F03E5">
        <w:t xml:space="preserve"> Kerman and 278 km </w:t>
      </w:r>
      <w:r w:rsidRPr="008F03E5">
        <w:rPr>
          <w:sz w:val="16"/>
          <w:szCs w:val="16"/>
        </w:rPr>
        <w:t>ENE</w:t>
      </w:r>
      <w:r w:rsidRPr="008F03E5">
        <w:t xml:space="preserve"> of Shiraz, in Kerman Province.  Name is written in Persian as two words.</w:t>
      </w:r>
    </w:p>
    <w:p w14:paraId="30626608" w14:textId="77777777" w:rsidR="00625A5B" w:rsidRPr="008F03E5" w:rsidRDefault="00625A5B" w:rsidP="00A32200">
      <w:pPr>
        <w:pStyle w:val="Translit"/>
      </w:pPr>
      <w:r w:rsidRPr="008F03E5">
        <w:t>Khatunabadi</w:t>
      </w:r>
      <w:r w:rsidRPr="008F03E5">
        <w:tab/>
      </w:r>
      <w:r w:rsidRPr="008F03E5">
        <w:rPr>
          <w:u w:val="single"/>
        </w:rPr>
        <w:t>Kh</w:t>
      </w:r>
      <w:r w:rsidRPr="008F03E5">
        <w:t>átúnábádí (</w:t>
      </w:r>
      <w:r w:rsidRPr="008F03E5">
        <w:rPr>
          <w:u w:val="single"/>
        </w:rPr>
        <w:t>Kh</w:t>
      </w:r>
      <w:r w:rsidRPr="008F03E5">
        <w:t>átún ábádí)</w:t>
      </w:r>
      <w:r w:rsidRPr="008F03E5">
        <w:tab/>
        <w:t xml:space="preserve">Pers. of or from </w:t>
      </w:r>
      <w:r w:rsidRPr="008F03E5">
        <w:rPr>
          <w:u w:val="single"/>
        </w:rPr>
        <w:t>Kh</w:t>
      </w:r>
      <w:r w:rsidRPr="008F03E5">
        <w:t xml:space="preserve">átúnábád.  The </w:t>
      </w:r>
      <w:r w:rsidRPr="008F03E5">
        <w:rPr>
          <w:u w:val="single"/>
        </w:rPr>
        <w:t>Kh</w:t>
      </w:r>
      <w:r w:rsidRPr="008F03E5">
        <w:t xml:space="preserve">átúnábádí family (i.e. </w:t>
      </w:r>
      <w:r w:rsidRPr="008F03E5">
        <w:rPr>
          <w:u w:val="single"/>
        </w:rPr>
        <w:t>kh</w:t>
      </w:r>
      <w:r w:rsidRPr="008F03E5">
        <w:t xml:space="preserve">ándán </w:t>
      </w:r>
      <w:r w:rsidRPr="008F03E5">
        <w:rPr>
          <w:u w:val="single"/>
        </w:rPr>
        <w:t>Kh</w:t>
      </w:r>
      <w:r w:rsidRPr="008F03E5">
        <w:t xml:space="preserve">átún ábádí) was a well-known and influential scholarly family in Isfahan and Tehran.  Its ancesters moved from Medina to Isfahan and Qum.  After an outbreak of plague in Isfahan, the head of the family sought temporary refuge in the village of </w:t>
      </w:r>
      <w:r w:rsidRPr="008F03E5">
        <w:rPr>
          <w:u w:val="single"/>
        </w:rPr>
        <w:t>Kh</w:t>
      </w:r>
      <w:r w:rsidRPr="008F03E5">
        <w:t>átúnábád.</w:t>
      </w:r>
    </w:p>
    <w:p w14:paraId="49F117AC" w14:textId="77777777" w:rsidR="00625A5B" w:rsidRPr="008F03E5" w:rsidRDefault="00625A5B" w:rsidP="00A00301">
      <w:pPr>
        <w:pStyle w:val="Translit"/>
      </w:pPr>
      <w:r w:rsidRPr="008F03E5">
        <w:t>Khawaja, Khawajat</w:t>
      </w:r>
      <w:r w:rsidRPr="008F03E5">
        <w:tab/>
      </w:r>
      <w:r w:rsidRPr="008F03E5">
        <w:rPr>
          <w:u w:val="single"/>
        </w:rPr>
        <w:t>Kh</w:t>
      </w:r>
      <w:r w:rsidRPr="008F03E5">
        <w:t xml:space="preserve">awája[h or t], pl. </w:t>
      </w:r>
      <w:r w:rsidRPr="008F03E5">
        <w:rPr>
          <w:u w:val="single"/>
        </w:rPr>
        <w:t>Kh</w:t>
      </w:r>
      <w:r w:rsidRPr="008F03E5">
        <w:t>awáját</w:t>
      </w:r>
      <w:r w:rsidRPr="008F03E5">
        <w:tab/>
        <w:t xml:space="preserve">sir, Mr (title and form of address, especially for Christians and Westerners, used with or without the name of the person so addressed), e.g. </w:t>
      </w:r>
      <w:r w:rsidRPr="008F03E5">
        <w:rPr>
          <w:u w:val="single"/>
        </w:rPr>
        <w:t>Kh</w:t>
      </w:r>
      <w:r w:rsidRPr="008F03E5">
        <w:t>wája Naṣíru’d-Dín Ṭúsí.</w:t>
      </w:r>
    </w:p>
    <w:p w14:paraId="4126085C" w14:textId="77777777" w:rsidR="00625A5B" w:rsidRPr="008F03E5" w:rsidRDefault="00625A5B" w:rsidP="002F4EFB">
      <w:pPr>
        <w:pStyle w:val="Translit"/>
      </w:pPr>
      <w:r w:rsidRPr="008F03E5">
        <w:t>Khawar (Khavar)</w:t>
      </w:r>
      <w:r w:rsidRPr="008F03E5">
        <w:tab/>
      </w:r>
      <w:r w:rsidRPr="008F03E5">
        <w:rPr>
          <w:u w:val="single"/>
        </w:rPr>
        <w:t>Kh</w:t>
      </w:r>
      <w:r w:rsidRPr="008F03E5">
        <w:t>áwar</w:t>
      </w:r>
      <w:r w:rsidRPr="008F03E5">
        <w:tab/>
        <w:t xml:space="preserve">Pers. the west, but often used by poets for the east; the sun; a thorn.  Pers. also </w:t>
      </w:r>
      <w:r w:rsidRPr="008F03E5">
        <w:rPr>
          <w:u w:val="single"/>
        </w:rPr>
        <w:t>Kh</w:t>
      </w:r>
      <w:r w:rsidRPr="008F03E5">
        <w:t>ávar.</w:t>
      </w:r>
    </w:p>
    <w:p w14:paraId="6B1B9A52" w14:textId="77777777" w:rsidR="00625A5B" w:rsidRPr="008F03E5" w:rsidRDefault="00625A5B" w:rsidP="001C4F5B">
      <w:pPr>
        <w:pStyle w:val="Translit"/>
      </w:pPr>
      <w:r w:rsidRPr="008F03E5">
        <w:rPr>
          <w:rFonts w:eastAsia="Times New Roman"/>
        </w:rPr>
        <w:t>Khawaran</w:t>
      </w:r>
      <w:r w:rsidRPr="008F03E5">
        <w:rPr>
          <w:rFonts w:eastAsia="Times New Roman"/>
        </w:rPr>
        <w:tab/>
      </w:r>
      <w:r w:rsidRPr="008F03E5">
        <w:rPr>
          <w:rFonts w:eastAsia="Times New Roman"/>
          <w:u w:val="single"/>
        </w:rPr>
        <w:t>Kh</w:t>
      </w:r>
      <w:r w:rsidRPr="008F03E5">
        <w:rPr>
          <w:rFonts w:eastAsia="Times New Roman"/>
        </w:rPr>
        <w:t>áwarán</w:t>
      </w:r>
      <w:r w:rsidRPr="008F03E5">
        <w:rPr>
          <w:rFonts w:eastAsia="Times New Roman"/>
        </w:rPr>
        <w:tab/>
        <w:t xml:space="preserve">Pers. east and west; a district in </w:t>
      </w:r>
      <w:r w:rsidRPr="008F03E5">
        <w:rPr>
          <w:rFonts w:eastAsia="Times New Roman"/>
          <w:u w:val="single"/>
        </w:rPr>
        <w:t>Kh</w:t>
      </w:r>
      <w:r w:rsidRPr="008F03E5">
        <w:rPr>
          <w:rFonts w:eastAsia="Times New Roman"/>
        </w:rPr>
        <w:t>urásán</w:t>
      </w:r>
    </w:p>
    <w:p w14:paraId="1CFC2105" w14:textId="77777777" w:rsidR="00625A5B" w:rsidRPr="008F03E5" w:rsidRDefault="00625A5B" w:rsidP="000566E6">
      <w:pPr>
        <w:pStyle w:val="Translit"/>
      </w:pPr>
      <w:r w:rsidRPr="008F03E5">
        <w:t>Khawari (Khavari)</w:t>
      </w:r>
      <w:r w:rsidRPr="008F03E5">
        <w:tab/>
      </w:r>
      <w:r w:rsidRPr="008F03E5">
        <w:rPr>
          <w:u w:val="single"/>
        </w:rPr>
        <w:t>Kh</w:t>
      </w:r>
      <w:r w:rsidRPr="008F03E5">
        <w:t xml:space="preserve">áwarí or </w:t>
      </w:r>
      <w:r w:rsidRPr="008F03E5">
        <w:rPr>
          <w:u w:val="single"/>
        </w:rPr>
        <w:t>Kh</w:t>
      </w:r>
      <w:r w:rsidRPr="008F03E5">
        <w:t>ávarí</w:t>
      </w:r>
      <w:r w:rsidRPr="008F03E5">
        <w:tab/>
        <w:t xml:space="preserve">Pers. western; (poetical) eastern; the sun; surname of the poet Anwárí; from </w:t>
      </w:r>
      <w:r w:rsidRPr="008F03E5">
        <w:rPr>
          <w:u w:val="single"/>
        </w:rPr>
        <w:t>Kh</w:t>
      </w:r>
      <w:r w:rsidRPr="008F03E5">
        <w:t>áwar.  ‘Abdu’l-Ḥamíd I</w:t>
      </w:r>
      <w:r w:rsidRPr="008F03E5">
        <w:rPr>
          <w:u w:val="single"/>
        </w:rPr>
        <w:t>sh</w:t>
      </w:r>
      <w:r w:rsidRPr="008F03E5">
        <w:t>ráq-</w:t>
      </w:r>
      <w:r w:rsidRPr="008F03E5">
        <w:rPr>
          <w:u w:val="single"/>
        </w:rPr>
        <w:t>Kh</w:t>
      </w:r>
      <w:r w:rsidRPr="008F03E5">
        <w:t>ávarí (1902–1972), a prominent Iranian Bahá’í scholar.</w:t>
      </w:r>
    </w:p>
    <w:p w14:paraId="0F8B7F95" w14:textId="77777777" w:rsidR="00625A5B" w:rsidRPr="008F03E5" w:rsidRDefault="00625A5B" w:rsidP="00D44C38">
      <w:pPr>
        <w:pStyle w:val="Translit"/>
        <w:rPr>
          <w:u w:val="single"/>
        </w:rPr>
      </w:pPr>
      <w:r w:rsidRPr="008F03E5">
        <w:t>Khawf (Khauf), Khawfan (Khaufan)</w:t>
      </w:r>
      <w:r w:rsidRPr="008F03E5">
        <w:tab/>
      </w:r>
      <w:r w:rsidRPr="008F03E5">
        <w:rPr>
          <w:u w:val="single"/>
        </w:rPr>
        <w:t>Kh</w:t>
      </w:r>
      <w:r w:rsidRPr="008F03E5">
        <w:t xml:space="preserve">awf, </w:t>
      </w:r>
      <w:r w:rsidRPr="008F03E5">
        <w:rPr>
          <w:u w:val="single"/>
        </w:rPr>
        <w:t>Kh</w:t>
      </w:r>
      <w:r w:rsidRPr="008F03E5">
        <w:t>awfan</w:t>
      </w:r>
      <w:r w:rsidRPr="008F03E5">
        <w:tab/>
        <w:t xml:space="preserve">fear, dread (of); </w:t>
      </w:r>
      <w:r w:rsidRPr="008F03E5">
        <w:rPr>
          <w:u w:val="single"/>
        </w:rPr>
        <w:t>kh</w:t>
      </w:r>
      <w:r w:rsidRPr="008F03E5">
        <w:t>awfan for fear (of), fearing (for).  al-</w:t>
      </w:r>
      <w:r w:rsidRPr="008F03E5">
        <w:rPr>
          <w:u w:val="single"/>
        </w:rPr>
        <w:t>Kh</w:t>
      </w:r>
      <w:r w:rsidRPr="008F03E5">
        <w:t>awf—mystical station of fear</w:t>
      </w:r>
      <w:r w:rsidRPr="008F03E5">
        <w:rPr>
          <w:i/>
          <w:iCs/>
        </w:rPr>
        <w:t xml:space="preserve"> </w:t>
      </w:r>
      <w:r w:rsidRPr="008F03E5">
        <w:t>of the wrath and displeasure of God.</w:t>
      </w:r>
    </w:p>
    <w:p w14:paraId="75AA2488" w14:textId="77777777" w:rsidR="00625A5B" w:rsidRPr="008F03E5" w:rsidRDefault="00625A5B" w:rsidP="0079556A">
      <w:pPr>
        <w:pStyle w:val="Translit"/>
      </w:pPr>
      <w:r w:rsidRPr="008F03E5">
        <w:t>Khawli (Khauli, Khuli)</w:t>
      </w:r>
      <w:r w:rsidRPr="008F03E5">
        <w:tab/>
      </w:r>
      <w:r w:rsidRPr="008F03E5">
        <w:rPr>
          <w:u w:val="single"/>
        </w:rPr>
        <w:t>Kh</w:t>
      </w:r>
      <w:r w:rsidRPr="008F03E5">
        <w:t>awlí</w:t>
      </w:r>
      <w:r w:rsidRPr="008F03E5">
        <w:tab/>
        <w:t>supervisor, overseer (of a plantation); gardener</w:t>
      </w:r>
    </w:p>
    <w:p w14:paraId="1B487875" w14:textId="77777777" w:rsidR="00625A5B" w:rsidRPr="008F03E5" w:rsidRDefault="00625A5B" w:rsidP="00F7036A">
      <w:pPr>
        <w:pStyle w:val="Translit"/>
      </w:pPr>
      <w:r w:rsidRPr="008F03E5">
        <w:t>Khawwam, Khavvam</w:t>
      </w:r>
      <w:r w:rsidRPr="008F03E5">
        <w:tab/>
      </w:r>
      <w:r w:rsidRPr="008F03E5">
        <w:rPr>
          <w:u w:val="single"/>
        </w:rPr>
        <w:t>Kh</w:t>
      </w:r>
      <w:r w:rsidRPr="008F03E5">
        <w:t xml:space="preserve">awwám, Pers. </w:t>
      </w:r>
      <w:r w:rsidRPr="008F03E5">
        <w:rPr>
          <w:u w:val="single"/>
        </w:rPr>
        <w:t>Kh</w:t>
      </w:r>
      <w:r w:rsidRPr="008F03E5">
        <w:t>avvám</w:t>
      </w:r>
      <w:r w:rsidRPr="008F03E5">
        <w:tab/>
        <w:t>a surname</w:t>
      </w:r>
    </w:p>
    <w:p w14:paraId="4641EE81" w14:textId="77777777" w:rsidR="00625A5B" w:rsidRPr="008F03E5" w:rsidRDefault="00625A5B" w:rsidP="00CE5F2A">
      <w:pPr>
        <w:pStyle w:val="Translit"/>
      </w:pPr>
      <w:r w:rsidRPr="008F03E5">
        <w:t>Khaybar</w:t>
      </w:r>
      <w:r w:rsidRPr="008F03E5">
        <w:tab/>
      </w:r>
      <w:r w:rsidRPr="008F03E5">
        <w:rPr>
          <w:u w:val="single"/>
        </w:rPr>
        <w:t>Kh</w:t>
      </w:r>
      <w:r w:rsidRPr="008F03E5">
        <w:t>aybar</w:t>
      </w:r>
      <w:r w:rsidRPr="008F03E5">
        <w:tab/>
        <w:t xml:space="preserve">a famous oasis 138 km north of Medina.  The Battle of </w:t>
      </w:r>
      <w:r w:rsidRPr="008F03E5">
        <w:rPr>
          <w:u w:val="single"/>
        </w:rPr>
        <w:t>Kh</w:t>
      </w:r>
      <w:r w:rsidRPr="008F03E5">
        <w:t xml:space="preserve">aybar was fought in the year 628 between Muslims and the Jews of </w:t>
      </w:r>
      <w:r w:rsidRPr="008F03E5">
        <w:rPr>
          <w:u w:val="single"/>
        </w:rPr>
        <w:t>Kh</w:t>
      </w:r>
      <w:r w:rsidRPr="008F03E5">
        <w:t>aybar.</w:t>
      </w:r>
    </w:p>
    <w:p w14:paraId="6A67A812" w14:textId="77777777" w:rsidR="00625A5B" w:rsidRPr="008F03E5" w:rsidRDefault="00625A5B" w:rsidP="00CE5F2A">
      <w:pPr>
        <w:pStyle w:val="Translit"/>
      </w:pPr>
      <w:r w:rsidRPr="008F03E5">
        <w:t>Khayl (Khail), Khuyul</w:t>
      </w:r>
      <w:r w:rsidRPr="008F03E5">
        <w:tab/>
      </w:r>
      <w:r w:rsidRPr="008F03E5">
        <w:rPr>
          <w:u w:val="single"/>
        </w:rPr>
        <w:t>Kh</w:t>
      </w:r>
      <w:r w:rsidRPr="008F03E5">
        <w:t xml:space="preserve">ayl, pl. </w:t>
      </w:r>
      <w:r w:rsidRPr="008F03E5">
        <w:rPr>
          <w:u w:val="single"/>
        </w:rPr>
        <w:t>Kh</w:t>
      </w:r>
      <w:r w:rsidRPr="008F03E5">
        <w:t>uyúl</w:t>
      </w:r>
      <w:r w:rsidRPr="008F03E5">
        <w:tab/>
        <w:t>(collective) i</w:t>
      </w:r>
      <w:r w:rsidRPr="008F03E5">
        <w:rPr>
          <w:rFonts w:eastAsia="Times New Roman"/>
        </w:rPr>
        <w:t xml:space="preserve">magining, thinking; horses; horsemen, cavalry; a tribe (especially of horsemen); </w:t>
      </w:r>
      <w:r w:rsidRPr="008F03E5">
        <w:t>horsepower (hp).  When Zayda’l-</w:t>
      </w:r>
      <w:r w:rsidRPr="008F03E5">
        <w:rPr>
          <w:u w:val="single"/>
        </w:rPr>
        <w:t>Kh</w:t>
      </w:r>
      <w:r w:rsidRPr="008F03E5">
        <w:t>ayl of the tribe of Ḥátim accepted Islám, Muḥammad called him Zayda’l-</w:t>
      </w:r>
      <w:r w:rsidRPr="008F03E5">
        <w:rPr>
          <w:u w:val="single"/>
        </w:rPr>
        <w:t>Kh</w:t>
      </w:r>
      <w:r w:rsidRPr="008F03E5">
        <w:t>ayr—Zayd of Goodness (or Zayd the Good).</w:t>
      </w:r>
    </w:p>
    <w:p w14:paraId="25A7B93F" w14:textId="77777777" w:rsidR="00625A5B" w:rsidRPr="008F03E5" w:rsidRDefault="00625A5B" w:rsidP="008D1CE0">
      <w:pPr>
        <w:pStyle w:val="Translit"/>
      </w:pPr>
      <w:r w:rsidRPr="008F03E5">
        <w:t>Khayli (Khaili)</w:t>
      </w:r>
      <w:r w:rsidRPr="008F03E5">
        <w:tab/>
      </w:r>
      <w:r w:rsidRPr="008F03E5">
        <w:rPr>
          <w:u w:val="single"/>
        </w:rPr>
        <w:t>Kh</w:t>
      </w:r>
      <w:r w:rsidRPr="008F03E5">
        <w:t>aylí</w:t>
      </w:r>
      <w:r w:rsidRPr="008F03E5">
        <w:tab/>
        <w:t>Pers. many, very much; very long</w:t>
      </w:r>
    </w:p>
    <w:p w14:paraId="2E7A5F48" w14:textId="77777777" w:rsidR="00625A5B" w:rsidRPr="008F03E5" w:rsidRDefault="00625A5B" w:rsidP="008D1CE0">
      <w:pPr>
        <w:pStyle w:val="Translit"/>
        <w:rPr>
          <w:u w:val="single"/>
        </w:rPr>
      </w:pPr>
      <w:r w:rsidRPr="008F03E5">
        <w:t>Khayli Khub</w:t>
      </w:r>
      <w:r w:rsidRPr="008F03E5">
        <w:tab/>
      </w:r>
      <w:r w:rsidRPr="008F03E5">
        <w:rPr>
          <w:u w:val="single"/>
        </w:rPr>
        <w:t>Kh</w:t>
      </w:r>
      <w:r w:rsidRPr="008F03E5">
        <w:t xml:space="preserve">aylí </w:t>
      </w:r>
      <w:r w:rsidRPr="008F03E5">
        <w:rPr>
          <w:u w:val="single"/>
        </w:rPr>
        <w:t>Kh</w:t>
      </w:r>
      <w:r w:rsidRPr="008F03E5">
        <w:t>úb</w:t>
      </w:r>
      <w:r w:rsidRPr="008F03E5">
        <w:tab/>
        <w:t>Pers. (“Kheili Khoob”) very good, very well, all right</w:t>
      </w:r>
    </w:p>
    <w:p w14:paraId="27A62C3E" w14:textId="77777777" w:rsidR="00625A5B" w:rsidRPr="008F03E5" w:rsidRDefault="00625A5B" w:rsidP="009C50CE">
      <w:pPr>
        <w:pStyle w:val="Translit"/>
      </w:pPr>
      <w:r w:rsidRPr="008F03E5">
        <w:t>Khayli khush (khosh) amidad</w:t>
      </w:r>
      <w:r w:rsidRPr="008F03E5">
        <w:tab/>
      </w:r>
      <w:r w:rsidRPr="008F03E5">
        <w:rPr>
          <w:u w:val="single"/>
        </w:rPr>
        <w:t>Kh</w:t>
      </w:r>
      <w:r w:rsidRPr="008F03E5">
        <w:t xml:space="preserve">aylí </w:t>
      </w:r>
      <w:r w:rsidRPr="008F03E5">
        <w:rPr>
          <w:u w:val="single"/>
        </w:rPr>
        <w:t>kh</w:t>
      </w:r>
      <w:r w:rsidRPr="008F03E5">
        <w:t>u</w:t>
      </w:r>
      <w:r w:rsidRPr="008F03E5">
        <w:rPr>
          <w:u w:val="single"/>
        </w:rPr>
        <w:t>sh</w:t>
      </w:r>
      <w:r w:rsidRPr="008F03E5">
        <w:t xml:space="preserve"> ámadíd</w:t>
      </w:r>
      <w:r w:rsidRPr="008F03E5">
        <w:tab/>
        <w:t xml:space="preserve">Pers. a very blessed/welcome arrival that can be translated as “your coming gives me most great pleasure and delight”.  See </w:t>
      </w:r>
      <w:r w:rsidRPr="008F03E5">
        <w:rPr>
          <w:u w:val="single"/>
        </w:rPr>
        <w:t>Kh</w:t>
      </w:r>
      <w:r w:rsidRPr="008F03E5">
        <w:t>wu</w:t>
      </w:r>
      <w:r w:rsidRPr="008F03E5">
        <w:rPr>
          <w:u w:val="single"/>
        </w:rPr>
        <w:t>sh</w:t>
      </w:r>
    </w:p>
    <w:p w14:paraId="2CFC0D42" w14:textId="77777777" w:rsidR="00625A5B" w:rsidRPr="008F03E5" w:rsidRDefault="00625A5B" w:rsidP="004674B7">
      <w:pPr>
        <w:pStyle w:val="Translit"/>
      </w:pPr>
      <w:r w:rsidRPr="008F03E5">
        <w:t>Khayma (Khaima), Khaymat</w:t>
      </w:r>
      <w:r w:rsidRPr="008F03E5">
        <w:tab/>
      </w:r>
      <w:r w:rsidRPr="008F03E5">
        <w:rPr>
          <w:u w:val="single"/>
        </w:rPr>
        <w:t>Kh</w:t>
      </w:r>
      <w:r w:rsidRPr="008F03E5">
        <w:t xml:space="preserve">ayma, pl. </w:t>
      </w:r>
      <w:r w:rsidRPr="008F03E5">
        <w:rPr>
          <w:u w:val="single"/>
        </w:rPr>
        <w:t>Kh</w:t>
      </w:r>
      <w:r w:rsidRPr="008F03E5">
        <w:t xml:space="preserve">aymát, </w:t>
      </w:r>
      <w:r w:rsidRPr="008F03E5">
        <w:rPr>
          <w:u w:val="single"/>
        </w:rPr>
        <w:t>Kh</w:t>
      </w:r>
      <w:r w:rsidRPr="008F03E5">
        <w:t xml:space="preserve">iyám, </w:t>
      </w:r>
      <w:r w:rsidRPr="008F03E5">
        <w:rPr>
          <w:u w:val="single"/>
        </w:rPr>
        <w:t>Kh</w:t>
      </w:r>
      <w:r w:rsidRPr="008F03E5">
        <w:t>iyam</w:t>
      </w:r>
      <w:r w:rsidRPr="008F03E5">
        <w:tab/>
        <w:t>tent; tarpaulin; arbor, bower; pavilion</w:t>
      </w:r>
    </w:p>
    <w:p w14:paraId="5C95626F" w14:textId="77777777" w:rsidR="00625A5B" w:rsidRPr="008F03E5" w:rsidRDefault="00625A5B" w:rsidP="00722DE8">
      <w:pPr>
        <w:pStyle w:val="Translit"/>
      </w:pPr>
      <w:r w:rsidRPr="008F03E5">
        <w:t>Khayr (Khair), Khiyar, Akhyar, Khuyur</w:t>
      </w:r>
      <w:r w:rsidRPr="008F03E5">
        <w:tab/>
      </w:r>
      <w:r w:rsidRPr="008F03E5">
        <w:rPr>
          <w:u w:val="single"/>
        </w:rPr>
        <w:t>Kh</w:t>
      </w:r>
      <w:r w:rsidRPr="008F03E5">
        <w:t xml:space="preserve">ayr, pl. </w:t>
      </w:r>
      <w:r w:rsidRPr="008F03E5">
        <w:rPr>
          <w:u w:val="single"/>
        </w:rPr>
        <w:t>Kh</w:t>
      </w:r>
      <w:r w:rsidRPr="008F03E5">
        <w:t>iyár, A</w:t>
      </w:r>
      <w:r w:rsidRPr="008F03E5">
        <w:rPr>
          <w:u w:val="single"/>
        </w:rPr>
        <w:t>kh</w:t>
      </w:r>
      <w:r w:rsidRPr="008F03E5">
        <w:t>yár</w:t>
      </w:r>
      <w:r w:rsidRPr="008F03E5">
        <w:tab/>
        <w:t xml:space="preserve">good; excellent, outstanding, superior, admirable; better; best;—(pl. </w:t>
      </w:r>
      <w:r w:rsidRPr="008F03E5">
        <w:rPr>
          <w:u w:val="single"/>
        </w:rPr>
        <w:t>Kh</w:t>
      </w:r>
      <w:r w:rsidRPr="008F03E5">
        <w:t>uyúr) good thing, blessing; wealth, property; good, benefit, interest, advantage; welfare; charity</w:t>
      </w:r>
    </w:p>
    <w:p w14:paraId="69EE24C6" w14:textId="77777777" w:rsidR="00625A5B" w:rsidRPr="008F03E5" w:rsidRDefault="00625A5B" w:rsidP="00937738">
      <w:pPr>
        <w:pStyle w:val="Translit"/>
      </w:pPr>
      <w:r w:rsidRPr="008F03E5">
        <w:t>Khayriya (Khairiya)</w:t>
      </w:r>
      <w:r w:rsidRPr="008F03E5">
        <w:tab/>
      </w:r>
      <w:r w:rsidRPr="008F03E5">
        <w:rPr>
          <w:u w:val="single"/>
        </w:rPr>
        <w:t>Kh</w:t>
      </w:r>
      <w:r w:rsidRPr="008F03E5">
        <w:t>ayríya</w:t>
      </w:r>
      <w:r w:rsidRPr="008F03E5">
        <w:tab/>
        <w:t>charity, charitableness, benevolence, beneficence</w:t>
      </w:r>
    </w:p>
    <w:p w14:paraId="7005A1B5" w14:textId="77777777" w:rsidR="00625A5B" w:rsidRPr="008F03E5" w:rsidRDefault="00625A5B" w:rsidP="001C3F63">
      <w:pPr>
        <w:pStyle w:val="Translit"/>
        <w:rPr>
          <w:rFonts w:eastAsia="PMingLiU"/>
          <w:lang w:eastAsia="zh-TW"/>
        </w:rPr>
      </w:pPr>
      <w:r w:rsidRPr="008F03E5">
        <w:rPr>
          <w:rFonts w:eastAsia="PMingLiU"/>
          <w:lang w:eastAsia="zh-TW"/>
        </w:rPr>
        <w:t>Khayrkhah</w:t>
      </w:r>
      <w:r w:rsidRPr="008F03E5">
        <w:tab/>
      </w:r>
      <w:r w:rsidRPr="008F03E5">
        <w:rPr>
          <w:u w:val="single"/>
        </w:rPr>
        <w:t>Kh</w:t>
      </w:r>
      <w:r w:rsidRPr="008F03E5">
        <w:rPr>
          <w:rFonts w:eastAsia="PMingLiU"/>
          <w:lang w:eastAsia="zh-TW"/>
        </w:rPr>
        <w:t>ayr</w:t>
      </w:r>
      <w:r w:rsidRPr="008F03E5">
        <w:rPr>
          <w:u w:val="single"/>
        </w:rPr>
        <w:t>kh</w:t>
      </w:r>
      <w:r w:rsidRPr="008F03E5">
        <w:rPr>
          <w:rFonts w:eastAsia="PMingLiU"/>
          <w:lang w:eastAsia="zh-TW"/>
        </w:rPr>
        <w:t>áh</w:t>
      </w:r>
      <w:r w:rsidRPr="008F03E5">
        <w:tab/>
        <w:t xml:space="preserve">Ibráhím </w:t>
      </w:r>
      <w:r w:rsidRPr="008F03E5">
        <w:rPr>
          <w:u w:val="single"/>
        </w:rPr>
        <w:t>Kh</w:t>
      </w:r>
      <w:r w:rsidRPr="008F03E5">
        <w:rPr>
          <w:rFonts w:eastAsia="PMingLiU"/>
          <w:lang w:eastAsia="zh-TW"/>
        </w:rPr>
        <w:t>ayr</w:t>
      </w:r>
      <w:r w:rsidRPr="008F03E5">
        <w:rPr>
          <w:u w:val="single"/>
        </w:rPr>
        <w:t>kh</w:t>
      </w:r>
      <w:r w:rsidRPr="008F03E5">
        <w:rPr>
          <w:rFonts w:eastAsia="PMingLiU"/>
          <w:lang w:eastAsia="zh-TW"/>
        </w:rPr>
        <w:t>áh from Bábulsar</w:t>
      </w:r>
    </w:p>
    <w:p w14:paraId="23199E88" w14:textId="77777777" w:rsidR="00625A5B" w:rsidRPr="008F03E5" w:rsidRDefault="00625A5B" w:rsidP="00444C9C">
      <w:pPr>
        <w:pStyle w:val="Translit"/>
      </w:pPr>
      <w:r w:rsidRPr="008F03E5">
        <w:t>Khayru’llah (Khairu’llah)</w:t>
      </w:r>
      <w:r w:rsidRPr="008F03E5">
        <w:tab/>
      </w:r>
      <w:r w:rsidRPr="008F03E5">
        <w:rPr>
          <w:u w:val="single"/>
        </w:rPr>
        <w:t>Kh</w:t>
      </w:r>
      <w:r w:rsidRPr="008F03E5">
        <w:t>ayru’lláh</w:t>
      </w:r>
      <w:r w:rsidRPr="008F03E5">
        <w:tab/>
        <w:t xml:space="preserve">“God’s Blessing” (“Kheiralla”).  Ibrahim George Kheiralla (1849–1929) [Ibrahim Jurj </w:t>
      </w:r>
      <w:r w:rsidRPr="008F03E5">
        <w:rPr>
          <w:u w:val="single"/>
        </w:rPr>
        <w:t>Kh</w:t>
      </w:r>
      <w:r w:rsidRPr="008F03E5">
        <w:t>ayru’lláh] (“PhD” was purchased)</w:t>
      </w:r>
    </w:p>
    <w:p w14:paraId="28E391F6" w14:textId="77777777" w:rsidR="00625A5B" w:rsidRPr="008F03E5" w:rsidRDefault="00625A5B" w:rsidP="003E3B6E">
      <w:pPr>
        <w:pStyle w:val="Translit"/>
      </w:pPr>
      <w:r w:rsidRPr="008F03E5">
        <w:t>Khayru’l-Qura (Kheirol-Gora)</w:t>
      </w:r>
      <w:r w:rsidRPr="008F03E5">
        <w:tab/>
      </w:r>
      <w:r w:rsidRPr="008F03E5">
        <w:rPr>
          <w:u w:val="single"/>
        </w:rPr>
        <w:t>Kh</w:t>
      </w:r>
      <w:r w:rsidRPr="008F03E5">
        <w:t>ayru’l-Qurá</w:t>
      </w:r>
      <w:r w:rsidRPr="008F03E5">
        <w:tab/>
        <w:t xml:space="preserve">“best of villages”.  Name given by Bahá’u’lláh to Zírak, a small village (33.811111, 57.306944) 13 km </w:t>
      </w:r>
      <w:r w:rsidRPr="008F03E5">
        <w:rPr>
          <w:sz w:val="16"/>
          <w:szCs w:val="16"/>
        </w:rPr>
        <w:t>SW</w:t>
      </w:r>
      <w:r w:rsidRPr="008F03E5">
        <w:t xml:space="preserve"> Bu</w:t>
      </w:r>
      <w:r w:rsidRPr="008F03E5">
        <w:rPr>
          <w:u w:val="single"/>
        </w:rPr>
        <w:t>sh</w:t>
      </w:r>
      <w:r w:rsidRPr="008F03E5">
        <w:t>rúyih.  See Zírak.</w:t>
      </w:r>
    </w:p>
    <w:p w14:paraId="3D6359F1" w14:textId="77777777" w:rsidR="00625A5B" w:rsidRPr="008F03E5" w:rsidRDefault="00625A5B" w:rsidP="00474615">
      <w:pPr>
        <w:pStyle w:val="Translit"/>
      </w:pPr>
      <w:r w:rsidRPr="008F03E5">
        <w:rPr>
          <w:lang w:eastAsia="en-US"/>
        </w:rPr>
        <w:t>Khayru’l-Ummah (Khairu’l-Ummah)</w:t>
      </w:r>
      <w:r w:rsidRPr="008F03E5">
        <w:rPr>
          <w:lang w:eastAsia="en-US"/>
        </w:rPr>
        <w:tab/>
      </w:r>
      <w:r w:rsidRPr="008F03E5">
        <w:rPr>
          <w:u w:val="single"/>
          <w:lang w:eastAsia="en-US"/>
        </w:rPr>
        <w:t>Kh</w:t>
      </w:r>
      <w:r w:rsidRPr="008F03E5">
        <w:rPr>
          <w:lang w:eastAsia="en-US"/>
        </w:rPr>
        <w:t>ayru’l-Ummah</w:t>
      </w:r>
      <w:r w:rsidRPr="008F03E5">
        <w:rPr>
          <w:lang w:eastAsia="en-US"/>
        </w:rPr>
        <w:tab/>
        <w:t>good people/community Qur’án 3:110</w:t>
      </w:r>
    </w:p>
    <w:p w14:paraId="277E48A5" w14:textId="77777777" w:rsidR="00625A5B" w:rsidRPr="008F03E5" w:rsidRDefault="00625A5B" w:rsidP="0067460F">
      <w:pPr>
        <w:pStyle w:val="Translit"/>
      </w:pPr>
      <w:r w:rsidRPr="008F03E5">
        <w:t>Khayru’n Nisa’ (Khairu’n Nisa’)</w:t>
      </w:r>
      <w:r w:rsidRPr="008F03E5">
        <w:tab/>
      </w:r>
      <w:r w:rsidRPr="008F03E5">
        <w:rPr>
          <w:u w:val="single"/>
        </w:rPr>
        <w:t>Kh</w:t>
      </w:r>
      <w:r w:rsidRPr="008F03E5">
        <w:t>ayru’n Nisá’</w:t>
      </w:r>
      <w:r w:rsidRPr="008F03E5">
        <w:tab/>
        <w:t xml:space="preserve">“The Most Virtuous among Women”—a title that Bahá’u’lláh gave to </w:t>
      </w:r>
      <w:r w:rsidRPr="008F03E5">
        <w:rPr>
          <w:u w:val="single"/>
        </w:rPr>
        <w:t>Kh</w:t>
      </w:r>
      <w:r w:rsidRPr="008F03E5">
        <w:t>adíjih Bagum (wife of the Báb), and forbade all women, save Fáṭimih Bagum (the Báb’s mother) from adopting the title.</w:t>
      </w:r>
    </w:p>
    <w:p w14:paraId="32B5B078" w14:textId="77777777" w:rsidR="00625A5B" w:rsidRPr="008F03E5" w:rsidRDefault="00625A5B" w:rsidP="00AB300E">
      <w:pPr>
        <w:pStyle w:val="Translit"/>
        <w:rPr>
          <w:rFonts w:eastAsia="PMingLiU"/>
          <w:lang w:eastAsia="zh-TW"/>
        </w:rPr>
      </w:pPr>
      <w:r w:rsidRPr="008F03E5">
        <w:rPr>
          <w:rFonts w:eastAsia="PMingLiU"/>
          <w:lang w:eastAsia="zh-TW"/>
        </w:rPr>
        <w:t>Khayyam</w:t>
      </w:r>
      <w:r w:rsidRPr="008F03E5">
        <w:tab/>
      </w:r>
      <w:r w:rsidRPr="008F03E5">
        <w:rPr>
          <w:u w:val="single"/>
        </w:rPr>
        <w:t>Kh</w:t>
      </w:r>
      <w:r w:rsidRPr="008F03E5">
        <w:rPr>
          <w:rFonts w:eastAsia="PMingLiU"/>
          <w:lang w:eastAsia="zh-TW"/>
        </w:rPr>
        <w:t>ayyám</w:t>
      </w:r>
      <w:r w:rsidRPr="008F03E5">
        <w:tab/>
      </w:r>
      <w:r w:rsidRPr="008F03E5">
        <w:rPr>
          <w:rFonts w:eastAsia="PMingLiU"/>
          <w:lang w:eastAsia="zh-TW"/>
        </w:rPr>
        <w:t>tentmaker</w:t>
      </w:r>
    </w:p>
    <w:p w14:paraId="7F3FACDA" w14:textId="77777777" w:rsidR="00625A5B" w:rsidRPr="008F03E5" w:rsidRDefault="00625A5B" w:rsidP="00AB300E">
      <w:pPr>
        <w:pStyle w:val="Translit"/>
        <w:rPr>
          <w:u w:val="single"/>
        </w:rPr>
      </w:pPr>
      <w:r w:rsidRPr="008F03E5">
        <w:t>Khayyat, Khayyatun</w:t>
      </w:r>
      <w:r w:rsidRPr="008F03E5">
        <w:tab/>
      </w:r>
      <w:r w:rsidRPr="008F03E5">
        <w:rPr>
          <w:u w:val="single"/>
        </w:rPr>
        <w:t>Kh</w:t>
      </w:r>
      <w:r w:rsidRPr="008F03E5">
        <w:t xml:space="preserve">ayyáṭ, pl. </w:t>
      </w:r>
      <w:r w:rsidRPr="008F03E5">
        <w:rPr>
          <w:u w:val="single"/>
        </w:rPr>
        <w:t>Kh</w:t>
      </w:r>
      <w:r w:rsidRPr="008F03E5">
        <w:t>ayyáṭún</w:t>
      </w:r>
      <w:r w:rsidRPr="008F03E5">
        <w:tab/>
        <w:t>tailor</w:t>
      </w:r>
    </w:p>
    <w:p w14:paraId="48D72F6A" w14:textId="77777777" w:rsidR="00625A5B" w:rsidRPr="008F03E5" w:rsidRDefault="00625A5B" w:rsidP="009F76AC">
      <w:pPr>
        <w:pStyle w:val="Translit"/>
      </w:pPr>
      <w:r w:rsidRPr="008F03E5">
        <w:rPr>
          <w:rFonts w:eastAsia="Times New Roman"/>
        </w:rPr>
        <w:t>Khazan</w:t>
      </w:r>
      <w:r w:rsidRPr="008F03E5">
        <w:rPr>
          <w:rFonts w:eastAsia="Times New Roman"/>
        </w:rPr>
        <w:tab/>
      </w:r>
      <w:r w:rsidRPr="008F03E5">
        <w:rPr>
          <w:rFonts w:eastAsia="Times New Roman"/>
          <w:u w:val="single"/>
        </w:rPr>
        <w:t>Kh</w:t>
      </w:r>
      <w:r w:rsidRPr="008F03E5">
        <w:rPr>
          <w:rFonts w:eastAsia="Times New Roman"/>
        </w:rPr>
        <w:t>azán</w:t>
      </w:r>
      <w:r w:rsidRPr="008F03E5">
        <w:rPr>
          <w:rFonts w:eastAsia="Times New Roman"/>
        </w:rPr>
        <w:tab/>
        <w:t xml:space="preserve">Pers. creeping, slow walk; reptiles; autumn.  </w:t>
      </w:r>
      <w:r w:rsidRPr="008F03E5">
        <w:rPr>
          <w:u w:val="single"/>
        </w:rPr>
        <w:t>Kh</w:t>
      </w:r>
      <w:r w:rsidRPr="008F03E5">
        <w:t xml:space="preserve">azán (also known as </w:t>
      </w:r>
      <w:r w:rsidRPr="008F03E5">
        <w:rPr>
          <w:u w:val="single"/>
        </w:rPr>
        <w:t>Kh</w:t>
      </w:r>
      <w:r w:rsidRPr="008F03E5">
        <w:t xml:space="preserve">ízu) is a village (62 km </w:t>
      </w:r>
      <w:r w:rsidRPr="008F03E5">
        <w:rPr>
          <w:sz w:val="16"/>
          <w:szCs w:val="16"/>
        </w:rPr>
        <w:t>ENE</w:t>
      </w:r>
      <w:r w:rsidRPr="008F03E5">
        <w:t xml:space="preserve"> of Birjand) in Shakhen Rural District, in the Central District of Birjand County, South Khorasan Province, Iran.</w:t>
      </w:r>
    </w:p>
    <w:p w14:paraId="0242D7E5" w14:textId="77777777" w:rsidR="00625A5B" w:rsidRPr="008F03E5" w:rsidRDefault="00625A5B" w:rsidP="00657ECB">
      <w:pPr>
        <w:pStyle w:val="Translit"/>
      </w:pPr>
      <w:r w:rsidRPr="008F03E5">
        <w:t>Khazana, Khazn</w:t>
      </w:r>
      <w:r w:rsidRPr="008F03E5">
        <w:tab/>
      </w:r>
      <w:r w:rsidRPr="008F03E5">
        <w:rPr>
          <w:u w:val="single"/>
        </w:rPr>
        <w:t>Kh</w:t>
      </w:r>
      <w:r w:rsidRPr="008F03E5">
        <w:t>azana (</w:t>
      </w:r>
      <w:r w:rsidRPr="008F03E5">
        <w:rPr>
          <w:u w:val="single"/>
        </w:rPr>
        <w:t>Kh</w:t>
      </w:r>
      <w:r w:rsidRPr="008F03E5">
        <w:t>azn)</w:t>
      </w:r>
      <w:r w:rsidRPr="008F03E5">
        <w:tab/>
        <w:t xml:space="preserve">to store, stock, lay up, hoard, amass, accumulate; to keep secret, keep (a secret) Form </w:t>
      </w:r>
      <w:r w:rsidRPr="008F03E5">
        <w:rPr>
          <w:sz w:val="16"/>
          <w:szCs w:val="16"/>
        </w:rPr>
        <w:t>II</w:t>
      </w:r>
      <w:r w:rsidRPr="008F03E5">
        <w:t xml:space="preserve"> and </w:t>
      </w:r>
      <w:r w:rsidRPr="008F03E5">
        <w:rPr>
          <w:sz w:val="16"/>
          <w:szCs w:val="16"/>
        </w:rPr>
        <w:t>VIII</w:t>
      </w:r>
      <w:r w:rsidRPr="008F03E5">
        <w:t xml:space="preserve"> to store, stock, lay up, warehouse (something); to store up, accumulate (something); to dam (something); to put in safekeeping, keep (something)</w:t>
      </w:r>
    </w:p>
    <w:p w14:paraId="59610C42" w14:textId="77777777" w:rsidR="00625A5B" w:rsidRPr="008F03E5" w:rsidRDefault="00625A5B" w:rsidP="00932850">
      <w:pPr>
        <w:pStyle w:val="Translit"/>
      </w:pPr>
      <w:r w:rsidRPr="008F03E5">
        <w:t>Khazar</w:t>
      </w:r>
      <w:r w:rsidRPr="008F03E5">
        <w:tab/>
      </w:r>
      <w:r w:rsidRPr="008F03E5">
        <w:rPr>
          <w:u w:val="single"/>
        </w:rPr>
        <w:t>Kh</w:t>
      </w:r>
      <w:r w:rsidRPr="008F03E5">
        <w:t>azar</w:t>
      </w:r>
      <w:r w:rsidRPr="008F03E5">
        <w:tab/>
      </w:r>
      <w:r w:rsidRPr="008F03E5">
        <w:rPr>
          <w:rFonts w:eastAsia="Times New Roman"/>
        </w:rPr>
        <w:t>inhabitants of the shores of the Caspian;</w:t>
      </w:r>
      <w:r w:rsidRPr="008F03E5">
        <w:t xml:space="preserve"> a member of a confederation of Turkic-speaking tribes that in the late 6th century </w:t>
      </w:r>
      <w:r w:rsidRPr="008F03E5">
        <w:rPr>
          <w:sz w:val="16"/>
          <w:szCs w:val="16"/>
        </w:rPr>
        <w:t xml:space="preserve">CE </w:t>
      </w:r>
      <w:r w:rsidRPr="008F03E5">
        <w:t>established a major commercial empire covering the southeastern section of modern European Russia.  Baḥr al-</w:t>
      </w:r>
      <w:r w:rsidRPr="008F03E5">
        <w:rPr>
          <w:u w:val="single"/>
        </w:rPr>
        <w:t>Kh</w:t>
      </w:r>
      <w:r w:rsidRPr="008F03E5">
        <w:t>azar (the Caspian Sea).</w:t>
      </w:r>
    </w:p>
    <w:p w14:paraId="7B20364A" w14:textId="77777777" w:rsidR="00625A5B" w:rsidRPr="008F03E5" w:rsidRDefault="00625A5B" w:rsidP="00A2434D">
      <w:pPr>
        <w:pStyle w:val="Translit"/>
      </w:pPr>
      <w:r w:rsidRPr="008F03E5">
        <w:t>Khazina (Khazinih), Khaza’in</w:t>
      </w:r>
      <w:r w:rsidRPr="008F03E5">
        <w:tab/>
      </w:r>
      <w:r w:rsidRPr="008F03E5">
        <w:rPr>
          <w:u w:val="single"/>
        </w:rPr>
        <w:t>Kh</w:t>
      </w:r>
      <w:r w:rsidRPr="008F03E5">
        <w:t xml:space="preserve">azína, pl. </w:t>
      </w:r>
      <w:r w:rsidRPr="008F03E5">
        <w:rPr>
          <w:u w:val="single"/>
        </w:rPr>
        <w:t>Kh</w:t>
      </w:r>
      <w:r w:rsidRPr="008F03E5">
        <w:t>azá’in</w:t>
      </w:r>
      <w:r w:rsidRPr="008F03E5">
        <w:tab/>
        <w:t xml:space="preserve">treasure house; public treasury, exchequer; treasury, treasury department (of an official agency), any office for the deposit and disbursement of funds; cashier’s office; vault, coffer, safe; cashbox, till (of a merchant).  Persian also </w:t>
      </w:r>
      <w:r w:rsidRPr="008F03E5">
        <w:rPr>
          <w:u w:val="single"/>
        </w:rPr>
        <w:t>kh</w:t>
      </w:r>
      <w:r w:rsidRPr="008F03E5">
        <w:t xml:space="preserve">azínih.  Root </w:t>
      </w:r>
      <w:r w:rsidRPr="008F03E5">
        <w:rPr>
          <w:u w:val="single"/>
        </w:rPr>
        <w:t>kh</w:t>
      </w:r>
      <w:r w:rsidRPr="008F03E5">
        <w:t>azana.</w:t>
      </w:r>
    </w:p>
    <w:p w14:paraId="1DCF9E76" w14:textId="77777777" w:rsidR="00625A5B" w:rsidRPr="008F03E5" w:rsidRDefault="00625A5B" w:rsidP="00F37087">
      <w:pPr>
        <w:pStyle w:val="Translit"/>
        <w:rPr>
          <w:rFonts w:eastAsia="Times New Roman"/>
        </w:rPr>
      </w:pPr>
      <w:r w:rsidRPr="008F03E5">
        <w:t>Khazmshahiyan (Khazmshahiyan)</w:t>
      </w:r>
      <w:r w:rsidRPr="008F03E5">
        <w:tab/>
      </w:r>
      <w:r w:rsidRPr="008F03E5">
        <w:rPr>
          <w:u w:val="single"/>
        </w:rPr>
        <w:t>Kh</w:t>
      </w:r>
      <w:r w:rsidRPr="008F03E5">
        <w:t>ázm</w:t>
      </w:r>
      <w:r w:rsidRPr="008F03E5">
        <w:rPr>
          <w:u w:val="single"/>
        </w:rPr>
        <w:t>sh</w:t>
      </w:r>
      <w:r w:rsidRPr="008F03E5">
        <w:t>áhiyán</w:t>
      </w:r>
      <w:r w:rsidRPr="008F03E5">
        <w:tab/>
        <w:t xml:space="preserve">Kharazmian dynasty centred on </w:t>
      </w:r>
      <w:r w:rsidRPr="008F03E5">
        <w:rPr>
          <w:u w:val="single"/>
        </w:rPr>
        <w:t>Kh</w:t>
      </w:r>
      <w:r w:rsidRPr="008F03E5">
        <w:t>árazm</w:t>
      </w:r>
    </w:p>
    <w:p w14:paraId="40FEC5CC" w14:textId="77777777" w:rsidR="00625A5B" w:rsidRPr="008F03E5" w:rsidRDefault="00625A5B" w:rsidP="00F740D4">
      <w:pPr>
        <w:pStyle w:val="Translit"/>
      </w:pPr>
      <w:r w:rsidRPr="008F03E5">
        <w:t>Khazraj</w:t>
      </w:r>
      <w:r w:rsidRPr="008F03E5">
        <w:tab/>
      </w:r>
      <w:r w:rsidRPr="008F03E5">
        <w:rPr>
          <w:u w:val="single"/>
        </w:rPr>
        <w:t>Kh</w:t>
      </w:r>
      <w:r w:rsidRPr="008F03E5">
        <w:t>azraj</w:t>
      </w:r>
      <w:r w:rsidRPr="008F03E5">
        <w:tab/>
        <w:t>Banú al-</w:t>
      </w:r>
      <w:r w:rsidRPr="008F03E5">
        <w:rPr>
          <w:u w:val="single"/>
        </w:rPr>
        <w:t>Kh</w:t>
      </w:r>
      <w:r w:rsidRPr="008F03E5">
        <w:t>azraj, a tribe of Arabia up to the time of Muḥammad; renowned for their generosity and hospitality</w:t>
      </w:r>
    </w:p>
    <w:p w14:paraId="08F6EE0B" w14:textId="77777777" w:rsidR="00625A5B" w:rsidRPr="008F03E5" w:rsidRDefault="00625A5B" w:rsidP="00CB3C26">
      <w:pPr>
        <w:pStyle w:val="Translit"/>
      </w:pPr>
      <w:r w:rsidRPr="008F03E5">
        <w:t xml:space="preserve">Khidiw, </w:t>
      </w:r>
      <w:r w:rsidRPr="008F03E5">
        <w:rPr>
          <w:rFonts w:eastAsia="Times New Roman"/>
        </w:rPr>
        <w:t>Khidiwar</w:t>
      </w:r>
      <w:r w:rsidRPr="008F03E5">
        <w:t>, Khidaywi</w:t>
      </w:r>
      <w:r w:rsidRPr="008F03E5">
        <w:tab/>
      </w:r>
      <w:bookmarkStart w:id="99" w:name="_Hlk60214759"/>
      <w:r w:rsidRPr="008F03E5">
        <w:rPr>
          <w:u w:val="single"/>
        </w:rPr>
        <w:t>Kh</w:t>
      </w:r>
      <w:r w:rsidRPr="008F03E5">
        <w:t>idíw</w:t>
      </w:r>
      <w:bookmarkEnd w:id="99"/>
      <w:r w:rsidRPr="008F03E5">
        <w:t xml:space="preserve"> (</w:t>
      </w:r>
      <w:r w:rsidRPr="008F03E5">
        <w:rPr>
          <w:rFonts w:eastAsia="Times New Roman"/>
          <w:u w:val="single"/>
        </w:rPr>
        <w:t>Kh</w:t>
      </w:r>
      <w:r w:rsidRPr="008F03E5">
        <w:rPr>
          <w:rFonts w:eastAsia="Times New Roman"/>
        </w:rPr>
        <w:t>idív</w:t>
      </w:r>
      <w:r w:rsidRPr="008F03E5">
        <w:t>),</w:t>
      </w:r>
      <w:r w:rsidRPr="008F03E5">
        <w:rPr>
          <w:rFonts w:eastAsia="Times New Roman"/>
        </w:rPr>
        <w:t xml:space="preserve"> </w:t>
      </w:r>
      <w:r w:rsidRPr="008F03E5">
        <w:rPr>
          <w:rFonts w:eastAsia="Times New Roman"/>
          <w:u w:val="single"/>
        </w:rPr>
        <w:t>Kh</w:t>
      </w:r>
      <w:r w:rsidRPr="008F03E5">
        <w:rPr>
          <w:rFonts w:eastAsia="Times New Roman"/>
        </w:rPr>
        <w:t>id</w:t>
      </w:r>
      <w:r w:rsidRPr="008F03E5">
        <w:t>í</w:t>
      </w:r>
      <w:r w:rsidRPr="008F03E5">
        <w:rPr>
          <w:rFonts w:eastAsia="Times New Roman"/>
        </w:rPr>
        <w:t xml:space="preserve">war, </w:t>
      </w:r>
      <w:r w:rsidRPr="008F03E5">
        <w:t xml:space="preserve">pl. </w:t>
      </w:r>
      <w:r w:rsidRPr="008F03E5">
        <w:rPr>
          <w:u w:val="single"/>
        </w:rPr>
        <w:t>Kh</w:t>
      </w:r>
      <w:r w:rsidRPr="008F03E5">
        <w:t>idaywí</w:t>
      </w:r>
      <w:r w:rsidRPr="008F03E5">
        <w:tab/>
        <w:t>(“</w:t>
      </w:r>
      <w:r w:rsidRPr="008F03E5">
        <w:rPr>
          <w:rFonts w:eastAsia="Times New Roman"/>
        </w:rPr>
        <w:t xml:space="preserve">Khidiw, Khidiv, </w:t>
      </w:r>
      <w:r w:rsidRPr="008F03E5">
        <w:t xml:space="preserve">Khidaiwi”) Pers. </w:t>
      </w:r>
      <w:r w:rsidRPr="008F03E5">
        <w:rPr>
          <w:u w:val="single"/>
        </w:rPr>
        <w:t>Kh</w:t>
      </w:r>
      <w:r w:rsidRPr="008F03E5">
        <w:t>idív (a king, great prince, sovereign; a benevolent, excellent man; master, possessor, rich man; a friend).  K</w:t>
      </w:r>
      <w:r w:rsidRPr="008F03E5">
        <w:rPr>
          <w:rFonts w:eastAsia="Times New Roman"/>
        </w:rPr>
        <w:t>hedive (English, title of the viceroy of Egypt under Turkish rule)</w:t>
      </w:r>
      <w:r w:rsidRPr="008F03E5">
        <w:t xml:space="preserve">, adjective </w:t>
      </w:r>
      <w:r w:rsidRPr="008F03E5">
        <w:rPr>
          <w:u w:val="single"/>
        </w:rPr>
        <w:t>Kh</w:t>
      </w:r>
      <w:r w:rsidRPr="008F03E5">
        <w:t xml:space="preserve">idíwí (English khedivial) and plural </w:t>
      </w:r>
      <w:r w:rsidRPr="008F03E5">
        <w:rPr>
          <w:u w:val="single"/>
        </w:rPr>
        <w:t>Kh</w:t>
      </w:r>
      <w:r w:rsidRPr="008F03E5">
        <w:t xml:space="preserve">idaywí (“ay” or “í” may better represent the </w:t>
      </w:r>
      <w:r w:rsidRPr="008F03E5">
        <w:rPr>
          <w:rtl/>
        </w:rPr>
        <w:t>ي</w:t>
      </w:r>
      <w:r w:rsidRPr="008F03E5">
        <w:t xml:space="preserve"> after the letter d in the singular and plural forms)</w:t>
      </w:r>
    </w:p>
    <w:p w14:paraId="0416C1B0" w14:textId="77777777" w:rsidR="00625A5B" w:rsidRPr="008F03E5" w:rsidRDefault="00625A5B" w:rsidP="00BA6F18">
      <w:pPr>
        <w:pStyle w:val="Translit"/>
      </w:pPr>
      <w:r w:rsidRPr="008F03E5">
        <w:t>Khidma, Khidam, Khidamat</w:t>
      </w:r>
      <w:r w:rsidRPr="008F03E5">
        <w:tab/>
      </w:r>
      <w:r w:rsidRPr="008F03E5">
        <w:rPr>
          <w:u w:val="single"/>
        </w:rPr>
        <w:t>Kh</w:t>
      </w:r>
      <w:r w:rsidRPr="008F03E5">
        <w:t xml:space="preserve">idma[t], pl. </w:t>
      </w:r>
      <w:r w:rsidRPr="008F03E5">
        <w:rPr>
          <w:u w:val="single"/>
        </w:rPr>
        <w:t>Kh</w:t>
      </w:r>
      <w:r w:rsidRPr="008F03E5">
        <w:t xml:space="preserve">idam, </w:t>
      </w:r>
      <w:r w:rsidRPr="008F03E5">
        <w:rPr>
          <w:u w:val="single"/>
        </w:rPr>
        <w:t>Kh</w:t>
      </w:r>
      <w:r w:rsidRPr="008F03E5">
        <w:t>idamát</w:t>
      </w:r>
      <w:r w:rsidRPr="008F03E5">
        <w:tab/>
        <w:t>a service (rendered); attendance, service; operation; office, employment, occupation, job; work</w:t>
      </w:r>
    </w:p>
    <w:p w14:paraId="78113E6C" w14:textId="77777777" w:rsidR="00625A5B" w:rsidRDefault="00625A5B" w:rsidP="00F800C9">
      <w:pPr>
        <w:pStyle w:val="Translit"/>
      </w:pPr>
      <w:r w:rsidRPr="003B3863">
        <w:t>Khil’a, Khila’</w:t>
      </w:r>
      <w:r w:rsidRPr="003B3863">
        <w:tab/>
      </w:r>
      <w:r w:rsidRPr="003B3863">
        <w:rPr>
          <w:u w:val="single"/>
        </w:rPr>
        <w:t>Kh</w:t>
      </w:r>
      <w:r w:rsidRPr="003B3863">
        <w:t xml:space="preserve">il‘a[h or t], pl. </w:t>
      </w:r>
      <w:r w:rsidRPr="003B3863">
        <w:rPr>
          <w:u w:val="single"/>
        </w:rPr>
        <w:t>Kh</w:t>
      </w:r>
      <w:r w:rsidRPr="003B3863">
        <w:t>ila‘</w:t>
      </w:r>
      <w:r w:rsidRPr="003B3863">
        <w:tab/>
        <w:t>robe of honor; a honorific dress with which princes confer dignity upon subjects, consisting at the least of turban, robe, and girdle</w:t>
      </w:r>
    </w:p>
    <w:p w14:paraId="4894ABFF" w14:textId="77777777" w:rsidR="00625A5B" w:rsidRPr="008F03E5" w:rsidRDefault="00625A5B" w:rsidP="00BA6F18">
      <w:pPr>
        <w:pStyle w:val="Translit"/>
      </w:pPr>
      <w:r w:rsidRPr="008F03E5">
        <w:t>Khilafa</w:t>
      </w:r>
      <w:r w:rsidRPr="008F03E5">
        <w:tab/>
      </w:r>
      <w:r w:rsidRPr="008F03E5">
        <w:rPr>
          <w:u w:val="single"/>
        </w:rPr>
        <w:t>Kh</w:t>
      </w:r>
      <w:r w:rsidRPr="008F03E5">
        <w:t>iláfa [h or t]</w:t>
      </w:r>
      <w:r w:rsidRPr="008F03E5">
        <w:tab/>
        <w:t>vicarship, deputyship; succession; caliphate, office or rule of a caliph; (formerly) administrative department of caliphate</w:t>
      </w:r>
    </w:p>
    <w:p w14:paraId="0A972BBC" w14:textId="77777777" w:rsidR="00625A5B" w:rsidRDefault="00625A5B" w:rsidP="00391E1B">
      <w:pPr>
        <w:pStyle w:val="Translit"/>
      </w:pPr>
      <w:r>
        <w:t>Khilqa, Khilaq</w:t>
      </w:r>
      <w:r>
        <w:tab/>
      </w:r>
      <w:r w:rsidRPr="00391E1B">
        <w:rPr>
          <w:u w:val="single"/>
        </w:rPr>
        <w:t>Kh</w:t>
      </w:r>
      <w:r w:rsidRPr="00391E1B">
        <w:t>ilqa</w:t>
      </w:r>
      <w:r>
        <w:t>[h or t],</w:t>
      </w:r>
      <w:r w:rsidRPr="00391E1B">
        <w:t xml:space="preserve"> pl. </w:t>
      </w:r>
      <w:r w:rsidRPr="00391E1B">
        <w:rPr>
          <w:u w:val="single"/>
        </w:rPr>
        <w:t>Kh</w:t>
      </w:r>
      <w:r w:rsidRPr="00391E1B">
        <w:t>ilaq</w:t>
      </w:r>
      <w:r>
        <w:tab/>
      </w:r>
      <w:r w:rsidRPr="00391E1B">
        <w:t>creation; innate peculiarity of character, natural disposition, nature; constitution; physiognomy</w:t>
      </w:r>
    </w:p>
    <w:p w14:paraId="64757375" w14:textId="77777777" w:rsidR="00625A5B" w:rsidRPr="008F03E5" w:rsidRDefault="00625A5B" w:rsidP="00B974BD">
      <w:pPr>
        <w:pStyle w:val="Translit"/>
      </w:pPr>
      <w:r w:rsidRPr="008F03E5">
        <w:t>Khilt, Akhlat</w:t>
      </w:r>
      <w:r w:rsidRPr="008F03E5">
        <w:tab/>
      </w:r>
      <w:r w:rsidRPr="008F03E5">
        <w:rPr>
          <w:u w:val="single"/>
        </w:rPr>
        <w:t>Kh</w:t>
      </w:r>
      <w:r w:rsidRPr="008F03E5">
        <w:t>ilṭ, pl. A</w:t>
      </w:r>
      <w:r w:rsidRPr="008F03E5">
        <w:rPr>
          <w:u w:val="single"/>
        </w:rPr>
        <w:t>kh</w:t>
      </w:r>
      <w:r w:rsidRPr="008F03E5">
        <w:t>láṭ</w:t>
      </w:r>
      <w:r w:rsidRPr="008F03E5">
        <w:tab/>
        <w:t>component of a mixture; ingredient;—pl. mixture, blend (Siyyid Muhammad Akhlate)</w:t>
      </w:r>
    </w:p>
    <w:p w14:paraId="08DB3722" w14:textId="77777777" w:rsidR="00625A5B" w:rsidRPr="008F03E5" w:rsidRDefault="00625A5B" w:rsidP="006537BD">
      <w:pPr>
        <w:pStyle w:val="Translit"/>
      </w:pPr>
      <w:r w:rsidRPr="008F03E5">
        <w:t>Khirman, Kharman</w:t>
      </w:r>
      <w:r w:rsidRPr="008F03E5">
        <w:tab/>
      </w:r>
      <w:r w:rsidRPr="008F03E5">
        <w:rPr>
          <w:u w:val="single"/>
        </w:rPr>
        <w:t>Kh</w:t>
      </w:r>
      <w:r w:rsidRPr="008F03E5">
        <w:t xml:space="preserve">irman, </w:t>
      </w:r>
      <w:r w:rsidRPr="008F03E5">
        <w:rPr>
          <w:u w:val="single"/>
        </w:rPr>
        <w:t>Kh</w:t>
      </w:r>
      <w:r w:rsidRPr="008F03E5">
        <w:t>arman</w:t>
      </w:r>
      <w:r w:rsidRPr="008F03E5">
        <w:tab/>
        <w:t>Pers. the harvest; reaped corn, but unthreshed, and piled up in a large circular stack</w:t>
      </w:r>
    </w:p>
    <w:p w14:paraId="5CDECED8" w14:textId="77777777" w:rsidR="00625A5B" w:rsidRPr="008F03E5" w:rsidRDefault="00625A5B" w:rsidP="00673CE8">
      <w:pPr>
        <w:pStyle w:val="Translit"/>
      </w:pPr>
      <w:r w:rsidRPr="008F03E5">
        <w:t>Khirqat, Khirqa</w:t>
      </w:r>
      <w:r w:rsidRPr="008F03E5">
        <w:tab/>
      </w:r>
      <w:r w:rsidRPr="008F03E5">
        <w:rPr>
          <w:u w:val="single"/>
        </w:rPr>
        <w:t>Kh</w:t>
      </w:r>
      <w:r w:rsidRPr="008F03E5">
        <w:t xml:space="preserve">irqat, </w:t>
      </w:r>
      <w:r w:rsidRPr="008F03E5">
        <w:rPr>
          <w:u w:val="single"/>
        </w:rPr>
        <w:t>Kh</w:t>
      </w:r>
      <w:r w:rsidRPr="008F03E5">
        <w:t>irqa</w:t>
      </w:r>
      <w:r w:rsidRPr="008F03E5">
        <w:tab/>
        <w:t>Pers. a patch, rag; a garment made of shreds and patches; a religious habit</w:t>
      </w:r>
    </w:p>
    <w:p w14:paraId="6AB216D9" w14:textId="77777777" w:rsidR="00625A5B" w:rsidRPr="008F03E5" w:rsidRDefault="00625A5B" w:rsidP="008E73B9">
      <w:pPr>
        <w:pStyle w:val="Translit"/>
      </w:pPr>
      <w:r w:rsidRPr="008F03E5">
        <w:t>Khirqiy-i-Sharif</w:t>
      </w:r>
      <w:r w:rsidRPr="008F03E5">
        <w:tab/>
      </w:r>
      <w:r w:rsidRPr="008F03E5">
        <w:rPr>
          <w:u w:val="single"/>
        </w:rPr>
        <w:t>Kh</w:t>
      </w:r>
      <w:r w:rsidRPr="008F03E5">
        <w:t>irqiy-i-</w:t>
      </w:r>
      <w:r w:rsidRPr="008F03E5">
        <w:rPr>
          <w:u w:val="single"/>
        </w:rPr>
        <w:t>Sh</w:t>
      </w:r>
      <w:r w:rsidRPr="008F03E5">
        <w:t>aríf al-Masjid</w:t>
      </w:r>
      <w:r w:rsidRPr="008F03E5">
        <w:tab/>
        <w:t xml:space="preserve">the Mosque of the Prophets’ Cloak, Istanbul.  See </w:t>
      </w:r>
      <w:r w:rsidRPr="008F03E5">
        <w:rPr>
          <w:u w:val="single"/>
        </w:rPr>
        <w:t>Kh</w:t>
      </w:r>
      <w:r w:rsidRPr="008F03E5">
        <w:t>irqa</w:t>
      </w:r>
    </w:p>
    <w:p w14:paraId="4D236FA1" w14:textId="77777777" w:rsidR="00625A5B" w:rsidRPr="008F03E5" w:rsidRDefault="00625A5B" w:rsidP="002571F7">
      <w:pPr>
        <w:pStyle w:val="Translit"/>
      </w:pPr>
      <w:r w:rsidRPr="008F03E5">
        <w:t>Khitab, Khitabat, Akhtiba</w:t>
      </w:r>
      <w:r w:rsidRPr="008F03E5">
        <w:tab/>
      </w:r>
      <w:r w:rsidRPr="008F03E5">
        <w:rPr>
          <w:u w:val="single"/>
        </w:rPr>
        <w:t>Kh</w:t>
      </w:r>
      <w:r w:rsidRPr="008F03E5">
        <w:t xml:space="preserve">iṭáb, pl. </w:t>
      </w:r>
      <w:r w:rsidRPr="008F03E5">
        <w:rPr>
          <w:u w:val="single"/>
        </w:rPr>
        <w:t>Kh</w:t>
      </w:r>
      <w:r w:rsidRPr="008F03E5">
        <w:t>iṭábát, A</w:t>
      </w:r>
      <w:r w:rsidRPr="008F03E5">
        <w:rPr>
          <w:u w:val="single"/>
        </w:rPr>
        <w:t>kh</w:t>
      </w:r>
      <w:r w:rsidRPr="008F03E5">
        <w:t>ṭiba</w:t>
      </w:r>
      <w:r w:rsidRPr="008F03E5">
        <w:tab/>
        <w:t xml:space="preserve">public address, speech; oration; letter, note, message.  </w:t>
      </w:r>
      <w:r w:rsidRPr="008F03E5">
        <w:rPr>
          <w:i/>
          <w:iCs/>
          <w:u w:val="single"/>
        </w:rPr>
        <w:t>Kh</w:t>
      </w:r>
      <w:r w:rsidRPr="008F03E5">
        <w:rPr>
          <w:i/>
          <w:iCs/>
        </w:rPr>
        <w:t>iṭábát</w:t>
      </w:r>
      <w:r w:rsidRPr="008F03E5">
        <w:t xml:space="preserve"> (Talks of ‘Abdu’l-Bahá, corresponds to </w:t>
      </w:r>
      <w:r w:rsidRPr="008F03E5">
        <w:rPr>
          <w:i/>
          <w:iCs/>
        </w:rPr>
        <w:t>Paris Talks</w:t>
      </w:r>
      <w:r w:rsidRPr="008F03E5">
        <w:t>)</w:t>
      </w:r>
    </w:p>
    <w:p w14:paraId="637E436F" w14:textId="77777777" w:rsidR="00625A5B" w:rsidRPr="008F03E5" w:rsidRDefault="00625A5B" w:rsidP="00900A82">
      <w:pPr>
        <w:pStyle w:val="Translit"/>
      </w:pPr>
      <w:r w:rsidRPr="008F03E5">
        <w:t>Khitabat dar Urupa va Imrika</w:t>
      </w:r>
      <w:r w:rsidRPr="008F03E5">
        <w:tab/>
      </w:r>
      <w:r w:rsidRPr="008F03E5">
        <w:rPr>
          <w:u w:val="single"/>
        </w:rPr>
        <w:t>Kh</w:t>
      </w:r>
      <w:r w:rsidRPr="008F03E5">
        <w:t>iṭábát dar Urúpá va Imríká</w:t>
      </w:r>
      <w:r w:rsidRPr="008F03E5">
        <w:tab/>
        <w:t>Letters to Europe and America by ‘Abdu’l-Bahá</w:t>
      </w:r>
    </w:p>
    <w:p w14:paraId="7DEDF241" w14:textId="77777777" w:rsidR="00625A5B" w:rsidRPr="008F03E5" w:rsidRDefault="00625A5B" w:rsidP="00C34AB2">
      <w:pPr>
        <w:pStyle w:val="Translit"/>
        <w:rPr>
          <w:b/>
          <w:bCs/>
        </w:rPr>
      </w:pPr>
      <w:r w:rsidRPr="008F03E5">
        <w:t>Khitam al-Anbiya’, Khitam an-nabiyun</w:t>
      </w:r>
      <w:r w:rsidRPr="008F03E5">
        <w:tab/>
      </w:r>
      <w:r w:rsidRPr="008F03E5">
        <w:rPr>
          <w:u w:val="single"/>
        </w:rPr>
        <w:t>Kh</w:t>
      </w:r>
      <w:r w:rsidRPr="008F03E5">
        <w:t xml:space="preserve">itám al-Anbiyá’, </w:t>
      </w:r>
      <w:r w:rsidRPr="008F03E5">
        <w:rPr>
          <w:u w:val="single"/>
        </w:rPr>
        <w:t>Kh</w:t>
      </w:r>
      <w:r w:rsidRPr="008F03E5">
        <w:t>itám an-Nabíyún</w:t>
      </w:r>
      <w:r w:rsidRPr="008F03E5">
        <w:tab/>
        <w:t>the “last” of the Prophets</w:t>
      </w:r>
    </w:p>
    <w:p w14:paraId="2C73AE43" w14:textId="77777777" w:rsidR="00625A5B" w:rsidRPr="008F03E5" w:rsidRDefault="00625A5B" w:rsidP="006559F3">
      <w:pPr>
        <w:pStyle w:val="Translit"/>
        <w:rPr>
          <w:rFonts w:eastAsia="PMingLiU"/>
          <w:lang w:eastAsia="zh-TW"/>
        </w:rPr>
      </w:pPr>
      <w:r w:rsidRPr="008F03E5">
        <w:rPr>
          <w:rFonts w:eastAsia="PMingLiU"/>
          <w:lang w:eastAsia="zh-TW"/>
        </w:rPr>
        <w:t>Khitam</w:t>
      </w:r>
      <w:r w:rsidRPr="008F03E5">
        <w:rPr>
          <w:rFonts w:eastAsia="PMingLiU"/>
          <w:lang w:eastAsia="zh-TW"/>
        </w:rPr>
        <w:tab/>
      </w:r>
      <w:r w:rsidRPr="008F03E5">
        <w:rPr>
          <w:rFonts w:eastAsia="PMingLiU"/>
          <w:u w:val="single"/>
          <w:lang w:eastAsia="zh-TW"/>
        </w:rPr>
        <w:t>Kh</w:t>
      </w:r>
      <w:r w:rsidRPr="008F03E5">
        <w:rPr>
          <w:rFonts w:eastAsia="PMingLiU"/>
          <w:lang w:eastAsia="zh-TW"/>
        </w:rPr>
        <w:t>itám</w:t>
      </w:r>
      <w:r w:rsidRPr="008F03E5">
        <w:rPr>
          <w:rFonts w:eastAsia="PMingLiU"/>
          <w:lang w:eastAsia="zh-TW"/>
        </w:rPr>
        <w:tab/>
        <w:t xml:space="preserve">sealing wax; end, close, conclusion, termination.  Qur’án 83:26.  </w:t>
      </w:r>
      <w:r w:rsidRPr="008F03E5">
        <w:t>fí al-</w:t>
      </w:r>
      <w:r w:rsidRPr="008F03E5">
        <w:rPr>
          <w:u w:val="single"/>
        </w:rPr>
        <w:t>kh</w:t>
      </w:r>
      <w:r w:rsidRPr="008F03E5">
        <w:t>itám, at the end, at last, finally, eventually.</w:t>
      </w:r>
    </w:p>
    <w:p w14:paraId="6CF1038C" w14:textId="77777777" w:rsidR="00625A5B" w:rsidRPr="008F03E5" w:rsidRDefault="00625A5B" w:rsidP="00EC7027">
      <w:pPr>
        <w:pStyle w:val="Translit"/>
      </w:pPr>
      <w:r w:rsidRPr="008F03E5">
        <w:t>Khiva, Khivah, Khiwah</w:t>
      </w:r>
      <w:r w:rsidRPr="008F03E5">
        <w:tab/>
        <w:t xml:space="preserve">Khiva, </w:t>
      </w:r>
      <w:r w:rsidRPr="008F03E5">
        <w:rPr>
          <w:u w:val="single"/>
        </w:rPr>
        <w:t>Kh</w:t>
      </w:r>
      <w:r w:rsidRPr="008F03E5">
        <w:t>ívah (Pers.)</w:t>
      </w:r>
      <w:r w:rsidRPr="008F03E5">
        <w:tab/>
        <w:t xml:space="preserve">modern name for </w:t>
      </w:r>
      <w:r w:rsidRPr="008F03E5">
        <w:rPr>
          <w:u w:val="single"/>
        </w:rPr>
        <w:t>Kh</w:t>
      </w:r>
      <w:r w:rsidRPr="008F03E5">
        <w:t xml:space="preserve">árazm.  Xiva (Uzbek) and </w:t>
      </w:r>
      <w:r w:rsidRPr="008F03E5">
        <w:rPr>
          <w:u w:val="single"/>
        </w:rPr>
        <w:t>Kh</w:t>
      </w:r>
      <w:r w:rsidRPr="008F03E5">
        <w:t xml:space="preserve">ívah (Persian).  Alternative or historical names include:  Kheeva, Khorasam, Khoresm, Chorezm, </w:t>
      </w:r>
      <w:r w:rsidRPr="008F03E5">
        <w:rPr>
          <w:u w:val="single"/>
        </w:rPr>
        <w:t>Kh</w:t>
      </w:r>
      <w:r w:rsidRPr="008F03E5">
        <w:t xml:space="preserve">árazm (Persian); Khwarezm, </w:t>
      </w:r>
      <w:r w:rsidRPr="008F03E5">
        <w:rPr>
          <w:u w:val="single"/>
        </w:rPr>
        <w:t>Kh</w:t>
      </w:r>
      <w:r w:rsidRPr="008F03E5">
        <w:t xml:space="preserve">wárizm, </w:t>
      </w:r>
      <w:r w:rsidRPr="008F03E5">
        <w:rPr>
          <w:u w:val="single"/>
        </w:rPr>
        <w:t>Kh</w:t>
      </w:r>
      <w:r w:rsidRPr="008F03E5">
        <w:t xml:space="preserve">wárazm, </w:t>
      </w:r>
      <w:r w:rsidRPr="008F03E5">
        <w:rPr>
          <w:u w:val="single"/>
        </w:rPr>
        <w:t>Kh</w:t>
      </w:r>
      <w:r w:rsidRPr="008F03E5">
        <w:t>awárzam (“Arabic”).</w:t>
      </w:r>
      <w:r w:rsidRPr="008F03E5">
        <w:rPr>
          <w:rStyle w:val="FootnoteReference"/>
        </w:rPr>
        <w:footnoteReference w:id="13"/>
      </w:r>
      <w:r w:rsidRPr="008F03E5">
        <w:t xml:space="preserve">  City in Uzbekistan (41.389706, 60.335722) located west of the Ámú (or Ámúya) Daryú (the ancient Oxus River).</w:t>
      </w:r>
    </w:p>
    <w:p w14:paraId="75220F70" w14:textId="77777777" w:rsidR="00625A5B" w:rsidRPr="008F03E5" w:rsidRDefault="00625A5B" w:rsidP="00882DA0">
      <w:pPr>
        <w:pStyle w:val="Translit"/>
      </w:pPr>
      <w:r w:rsidRPr="008F03E5">
        <w:rPr>
          <w:rFonts w:eastAsia="PMingLiU"/>
          <w:lang w:eastAsia="zh-TW"/>
        </w:rPr>
        <w:t>Kh</w:t>
      </w:r>
      <w:r w:rsidRPr="008F03E5">
        <w:t>i</w:t>
      </w:r>
      <w:r w:rsidRPr="008F03E5">
        <w:rPr>
          <w:rFonts w:eastAsia="PMingLiU"/>
          <w:lang w:eastAsia="zh-TW"/>
        </w:rPr>
        <w:t>yaban (Kheyaban, Khiaban)</w:t>
      </w:r>
      <w:r w:rsidRPr="008F03E5">
        <w:rPr>
          <w:rFonts w:eastAsia="PMingLiU"/>
          <w:lang w:eastAsia="zh-TW"/>
        </w:rPr>
        <w:tab/>
      </w:r>
      <w:r w:rsidRPr="008F03E5">
        <w:rPr>
          <w:u w:val="single"/>
        </w:rPr>
        <w:t>Kh</w:t>
      </w:r>
      <w:r w:rsidRPr="008F03E5">
        <w:t>í</w:t>
      </w:r>
      <w:r w:rsidRPr="008F03E5">
        <w:rPr>
          <w:rFonts w:eastAsia="PMingLiU"/>
          <w:lang w:eastAsia="zh-TW"/>
        </w:rPr>
        <w:t>y</w:t>
      </w:r>
      <w:r w:rsidRPr="008F03E5">
        <w:t>á</w:t>
      </w:r>
      <w:r w:rsidRPr="008F03E5">
        <w:rPr>
          <w:rFonts w:eastAsia="PMingLiU"/>
          <w:lang w:eastAsia="zh-TW"/>
        </w:rPr>
        <w:t>b</w:t>
      </w:r>
      <w:r w:rsidRPr="008F03E5">
        <w:t>á</w:t>
      </w:r>
      <w:r w:rsidRPr="008F03E5">
        <w:rPr>
          <w:rFonts w:eastAsia="PMingLiU"/>
          <w:lang w:eastAsia="zh-TW"/>
        </w:rPr>
        <w:t>n</w:t>
      </w:r>
      <w:r w:rsidRPr="008F03E5">
        <w:rPr>
          <w:rFonts w:eastAsia="PMingLiU"/>
          <w:lang w:eastAsia="zh-TW"/>
        </w:rPr>
        <w:tab/>
        <w:t>Pers. a</w:t>
      </w:r>
      <w:r w:rsidRPr="008F03E5">
        <w:t xml:space="preserve"> parterre (formal garden), flower-bed; an avenue (modern meaning).  Two central intersecting avenues in Ma</w:t>
      </w:r>
      <w:r w:rsidRPr="008F03E5">
        <w:rPr>
          <w:u w:val="single"/>
        </w:rPr>
        <w:t>sh</w:t>
      </w:r>
      <w:r w:rsidRPr="008F03E5">
        <w:t>had</w:t>
      </w:r>
      <w:r w:rsidRPr="008F03E5">
        <w:rPr>
          <w:rFonts w:eastAsia="PMingLiU"/>
          <w:lang w:eastAsia="zh-TW"/>
        </w:rPr>
        <w:t xml:space="preserve"> (Bala-</w:t>
      </w:r>
      <w:r w:rsidRPr="008F03E5">
        <w:rPr>
          <w:u w:val="single"/>
        </w:rPr>
        <w:t>Kh</w:t>
      </w:r>
      <w:r w:rsidRPr="008F03E5">
        <w:t>í</w:t>
      </w:r>
      <w:r w:rsidRPr="008F03E5">
        <w:rPr>
          <w:rFonts w:eastAsia="PMingLiU"/>
          <w:lang w:eastAsia="zh-TW"/>
        </w:rPr>
        <w:t>y</w:t>
      </w:r>
      <w:r w:rsidRPr="008F03E5">
        <w:t>á</w:t>
      </w:r>
      <w:r w:rsidRPr="008F03E5">
        <w:rPr>
          <w:rFonts w:eastAsia="PMingLiU"/>
          <w:lang w:eastAsia="zh-TW"/>
        </w:rPr>
        <w:t>b</w:t>
      </w:r>
      <w:r w:rsidRPr="008F03E5">
        <w:t>á</w:t>
      </w:r>
      <w:r w:rsidRPr="008F03E5">
        <w:rPr>
          <w:rFonts w:eastAsia="PMingLiU"/>
          <w:lang w:eastAsia="zh-TW"/>
        </w:rPr>
        <w:t>n (upper) and Pa’in-</w:t>
      </w:r>
      <w:r w:rsidRPr="008F03E5">
        <w:rPr>
          <w:u w:val="single"/>
        </w:rPr>
        <w:t>Kh</w:t>
      </w:r>
      <w:r w:rsidRPr="008F03E5">
        <w:t>í</w:t>
      </w:r>
      <w:r w:rsidRPr="008F03E5">
        <w:rPr>
          <w:rFonts w:eastAsia="PMingLiU"/>
          <w:lang w:eastAsia="zh-TW"/>
        </w:rPr>
        <w:t>y</w:t>
      </w:r>
      <w:r w:rsidRPr="008F03E5">
        <w:t>á</w:t>
      </w:r>
      <w:r w:rsidRPr="008F03E5">
        <w:rPr>
          <w:rFonts w:eastAsia="PMingLiU"/>
          <w:lang w:eastAsia="zh-TW"/>
        </w:rPr>
        <w:t>b</w:t>
      </w:r>
      <w:r w:rsidRPr="008F03E5">
        <w:t>á</w:t>
      </w:r>
      <w:r w:rsidRPr="008F03E5">
        <w:rPr>
          <w:rFonts w:eastAsia="PMingLiU"/>
          <w:lang w:eastAsia="zh-TW"/>
        </w:rPr>
        <w:t xml:space="preserve">n (lower)—since renamed Shirazi Ave and Ayotolah Bahjet Ave resp.); a village in eastern Iran 200 km </w:t>
      </w:r>
      <w:r w:rsidRPr="008F03E5">
        <w:rPr>
          <w:sz w:val="16"/>
          <w:szCs w:val="16"/>
        </w:rPr>
        <w:t>SE</w:t>
      </w:r>
      <w:r w:rsidRPr="008F03E5">
        <w:rPr>
          <w:rFonts w:eastAsia="PMingLiU"/>
          <w:lang w:eastAsia="zh-TW"/>
        </w:rPr>
        <w:t xml:space="preserve"> of Ma</w:t>
      </w:r>
      <w:r w:rsidRPr="008F03E5">
        <w:rPr>
          <w:rFonts w:eastAsia="PMingLiU"/>
          <w:u w:val="single"/>
          <w:lang w:eastAsia="zh-TW"/>
        </w:rPr>
        <w:t>sh</w:t>
      </w:r>
      <w:r w:rsidRPr="008F03E5">
        <w:rPr>
          <w:rFonts w:eastAsia="PMingLiU"/>
          <w:lang w:eastAsia="zh-TW"/>
        </w:rPr>
        <w:t>had (34.739307, 60.580232).</w:t>
      </w:r>
    </w:p>
    <w:p w14:paraId="36B72603" w14:textId="77777777" w:rsidR="00625A5B" w:rsidRPr="008F03E5" w:rsidRDefault="00625A5B" w:rsidP="00384279">
      <w:pPr>
        <w:pStyle w:val="Translit"/>
      </w:pPr>
      <w:r w:rsidRPr="008F03E5">
        <w:t>Khu’i (Kho’i)</w:t>
      </w:r>
      <w:r w:rsidRPr="008F03E5">
        <w:tab/>
      </w:r>
      <w:r w:rsidRPr="008F03E5">
        <w:rPr>
          <w:u w:val="single"/>
        </w:rPr>
        <w:t>Kh</w:t>
      </w:r>
      <w:r w:rsidRPr="008F03E5">
        <w:t>u’í</w:t>
      </w:r>
      <w:r w:rsidRPr="008F03E5">
        <w:tab/>
        <w:t>Pers. mood</w:t>
      </w:r>
    </w:p>
    <w:p w14:paraId="2B3A1157" w14:textId="77777777" w:rsidR="00625A5B" w:rsidRPr="008F03E5" w:rsidRDefault="00625A5B" w:rsidP="00CD2F81">
      <w:pPr>
        <w:pStyle w:val="Translit"/>
      </w:pPr>
      <w:r w:rsidRPr="008F03E5">
        <w:t>Khub</w:t>
      </w:r>
      <w:r w:rsidRPr="008F03E5">
        <w:tab/>
      </w:r>
      <w:r w:rsidRPr="008F03E5">
        <w:rPr>
          <w:u w:val="single"/>
        </w:rPr>
        <w:t>Kh</w:t>
      </w:r>
      <w:r w:rsidRPr="008F03E5">
        <w:t>úb</w:t>
      </w:r>
      <w:r w:rsidRPr="008F03E5">
        <w:tab/>
        <w:t>Pers. good; beautiful, elegant, pleasant, graceful, lovely, amiable, charming, excellent, gracious; beautifully, excellently; firm, strong</w:t>
      </w:r>
    </w:p>
    <w:p w14:paraId="6DB7FEAF" w14:textId="77777777" w:rsidR="00625A5B" w:rsidRPr="008F03E5" w:rsidRDefault="00625A5B" w:rsidP="009621A3">
      <w:pPr>
        <w:pStyle w:val="Translit"/>
      </w:pPr>
      <w:r w:rsidRPr="008F03E5">
        <w:t>Khuda (Khoda), Khudayan</w:t>
      </w:r>
      <w:r w:rsidRPr="008F03E5">
        <w:tab/>
      </w:r>
      <w:r w:rsidRPr="008F03E5">
        <w:rPr>
          <w:u w:val="single"/>
        </w:rPr>
        <w:t>Kh</w:t>
      </w:r>
      <w:r w:rsidRPr="008F03E5">
        <w:t xml:space="preserve">udá, pl. </w:t>
      </w:r>
      <w:r w:rsidRPr="008F03E5">
        <w:rPr>
          <w:u w:val="single"/>
        </w:rPr>
        <w:t>Kh</w:t>
      </w:r>
      <w:r w:rsidRPr="008F03E5">
        <w:t>udáyán</w:t>
      </w:r>
      <w:r w:rsidRPr="008F03E5">
        <w:tab/>
        <w:t>Pers. master, prince, Lord, God, owner</w:t>
      </w:r>
    </w:p>
    <w:p w14:paraId="46B275BC" w14:textId="77777777" w:rsidR="00625A5B" w:rsidRPr="008F03E5" w:rsidRDefault="00625A5B" w:rsidP="00900A82">
      <w:pPr>
        <w:pStyle w:val="Translit"/>
      </w:pPr>
      <w:r w:rsidRPr="008F03E5">
        <w:t>Khuda Bakhsh (Khudabakhsh)</w:t>
      </w:r>
      <w:r w:rsidRPr="008F03E5">
        <w:tab/>
      </w:r>
      <w:r w:rsidRPr="008F03E5">
        <w:rPr>
          <w:u w:val="single"/>
        </w:rPr>
        <w:t>Kh</w:t>
      </w:r>
      <w:r w:rsidRPr="008F03E5">
        <w:t>udá Ba</w:t>
      </w:r>
      <w:r w:rsidRPr="008F03E5">
        <w:rPr>
          <w:u w:val="single"/>
        </w:rPr>
        <w:t>khsh</w:t>
      </w:r>
      <w:r w:rsidRPr="008F03E5">
        <w:t xml:space="preserve"> (</w:t>
      </w:r>
      <w:r w:rsidRPr="008F03E5">
        <w:rPr>
          <w:u w:val="single"/>
        </w:rPr>
        <w:t>Kh</w:t>
      </w:r>
      <w:r w:rsidRPr="008F03E5">
        <w:t>udába</w:t>
      </w:r>
      <w:r w:rsidRPr="008F03E5">
        <w:rPr>
          <w:u w:val="single"/>
        </w:rPr>
        <w:t>khsh)</w:t>
      </w:r>
      <w:r w:rsidRPr="008F03E5">
        <w:tab/>
        <w:t>Pers. “Gift of God”</w:t>
      </w:r>
    </w:p>
    <w:p w14:paraId="475B985F" w14:textId="77777777" w:rsidR="00625A5B" w:rsidRPr="008F03E5" w:rsidRDefault="00625A5B" w:rsidP="00900A82">
      <w:pPr>
        <w:pStyle w:val="Translit"/>
        <w:rPr>
          <w:rFonts w:eastAsia="PMingLiU"/>
          <w:lang w:eastAsia="zh-TW"/>
        </w:rPr>
      </w:pPr>
      <w:r w:rsidRPr="008F03E5">
        <w:rPr>
          <w:rFonts w:eastAsia="PMingLiU"/>
          <w:lang w:eastAsia="zh-TW"/>
        </w:rPr>
        <w:t>Khudarahm</w:t>
      </w:r>
      <w:r w:rsidRPr="008F03E5">
        <w:tab/>
      </w:r>
      <w:r w:rsidRPr="008F03E5">
        <w:rPr>
          <w:u w:val="single"/>
        </w:rPr>
        <w:t>Kh</w:t>
      </w:r>
      <w:r w:rsidRPr="008F03E5">
        <w:rPr>
          <w:rFonts w:eastAsia="PMingLiU"/>
          <w:lang w:eastAsia="zh-TW"/>
        </w:rPr>
        <w:t>udára</w:t>
      </w:r>
      <w:r w:rsidRPr="008F03E5">
        <w:t>ḥ</w:t>
      </w:r>
      <w:r w:rsidRPr="008F03E5">
        <w:rPr>
          <w:rFonts w:eastAsia="PMingLiU"/>
          <w:lang w:eastAsia="zh-TW"/>
        </w:rPr>
        <w:t>m</w:t>
      </w:r>
      <w:r w:rsidRPr="008F03E5">
        <w:tab/>
        <w:t>Pers. compassion of God</w:t>
      </w:r>
    </w:p>
    <w:p w14:paraId="1FF13DA5" w14:textId="77777777" w:rsidR="00625A5B" w:rsidRPr="008F03E5" w:rsidRDefault="00625A5B" w:rsidP="009621A3">
      <w:pPr>
        <w:pStyle w:val="Translit"/>
      </w:pPr>
      <w:r w:rsidRPr="008F03E5">
        <w:t>Khudayar</w:t>
      </w:r>
      <w:r w:rsidRPr="008F03E5">
        <w:tab/>
      </w:r>
      <w:r w:rsidRPr="008F03E5">
        <w:rPr>
          <w:u w:val="single"/>
        </w:rPr>
        <w:t>Kh</w:t>
      </w:r>
      <w:r w:rsidRPr="008F03E5">
        <w:t>udáyár</w:t>
      </w:r>
      <w:r w:rsidRPr="008F03E5">
        <w:tab/>
        <w:t xml:space="preserve">Pers. </w:t>
      </w:r>
      <w:r w:rsidRPr="008F03E5">
        <w:rPr>
          <w:u w:val="single"/>
        </w:rPr>
        <w:t>kh</w:t>
      </w:r>
      <w:r w:rsidRPr="008F03E5">
        <w:t xml:space="preserve">udá + yár.  </w:t>
      </w:r>
      <w:r w:rsidRPr="008F03E5">
        <w:rPr>
          <w:u w:val="single"/>
        </w:rPr>
        <w:t>Kh</w:t>
      </w:r>
      <w:r w:rsidRPr="008F03E5">
        <w:t>udáyár A</w:t>
      </w:r>
      <w:r w:rsidRPr="008F03E5">
        <w:rPr>
          <w:u w:val="single"/>
        </w:rPr>
        <w:t>kh</w:t>
      </w:r>
      <w:r w:rsidRPr="008F03E5">
        <w:t>tar</w:t>
      </w:r>
      <w:r w:rsidRPr="008F03E5">
        <w:rPr>
          <w:u w:val="single"/>
        </w:rPr>
        <w:t>kh</w:t>
      </w:r>
      <w:r w:rsidRPr="008F03E5">
        <w:t>awárí (A</w:t>
      </w:r>
      <w:r w:rsidRPr="008F03E5">
        <w:rPr>
          <w:u w:val="single"/>
        </w:rPr>
        <w:t>kh</w:t>
      </w:r>
      <w:r w:rsidRPr="008F03E5">
        <w:t xml:space="preserve">tar + </w:t>
      </w:r>
      <w:r w:rsidRPr="008F03E5">
        <w:rPr>
          <w:u w:val="single"/>
        </w:rPr>
        <w:t>kh</w:t>
      </w:r>
      <w:r w:rsidRPr="008F03E5">
        <w:t>awárí)</w:t>
      </w:r>
    </w:p>
    <w:p w14:paraId="04D6A136" w14:textId="77777777" w:rsidR="00625A5B" w:rsidRPr="008F03E5" w:rsidRDefault="00625A5B" w:rsidP="00900A82">
      <w:pPr>
        <w:pStyle w:val="Translit"/>
      </w:pPr>
      <w:r w:rsidRPr="008F03E5">
        <w:t>Khujand, Khuqand, Khukand</w:t>
      </w:r>
      <w:r w:rsidRPr="008F03E5">
        <w:tab/>
      </w:r>
      <w:r w:rsidRPr="008F03E5">
        <w:rPr>
          <w:u w:val="single"/>
        </w:rPr>
        <w:t>Kh</w:t>
      </w:r>
      <w:r w:rsidRPr="008F03E5">
        <w:t xml:space="preserve">ujand, </w:t>
      </w:r>
      <w:r w:rsidRPr="008F03E5">
        <w:rPr>
          <w:u w:val="single"/>
        </w:rPr>
        <w:t>Kh</w:t>
      </w:r>
      <w:r w:rsidRPr="008F03E5">
        <w:t>úkand</w:t>
      </w:r>
      <w:r w:rsidRPr="008F03E5">
        <w:tab/>
        <w:t xml:space="preserve">city in Chinese Turestan about 110 km </w:t>
      </w:r>
      <w:r w:rsidRPr="008F03E5">
        <w:rPr>
          <w:sz w:val="16"/>
          <w:szCs w:val="16"/>
        </w:rPr>
        <w:t>SSE</w:t>
      </w:r>
      <w:r w:rsidRPr="008F03E5">
        <w:t xml:space="preserve"> Tashkent</w:t>
      </w:r>
    </w:p>
    <w:p w14:paraId="38F345EC" w14:textId="77777777" w:rsidR="00625A5B" w:rsidRPr="008F03E5" w:rsidRDefault="00625A5B" w:rsidP="00927D7C">
      <w:pPr>
        <w:pStyle w:val="Translit"/>
      </w:pPr>
      <w:r w:rsidRPr="008F03E5">
        <w:t>Khujasta, Khujastah (Khujasteh)</w:t>
      </w:r>
      <w:r w:rsidRPr="008F03E5">
        <w:tab/>
      </w:r>
      <w:r w:rsidRPr="008F03E5">
        <w:rPr>
          <w:u w:val="single"/>
        </w:rPr>
        <w:t>Kh</w:t>
      </w:r>
      <w:r w:rsidRPr="008F03E5">
        <w:t>ujasta (</w:t>
      </w:r>
      <w:r w:rsidRPr="008F03E5">
        <w:rPr>
          <w:u w:val="single"/>
        </w:rPr>
        <w:t>Kh</w:t>
      </w:r>
      <w:r w:rsidRPr="008F03E5">
        <w:t>ujastah)</w:t>
      </w:r>
      <w:r w:rsidRPr="008F03E5">
        <w:tab/>
        <w:t>Pers. (ends with an “h”) happy, fortunate, auspicious, blessed; a flower yellow without and black within; a woman’s name.</w:t>
      </w:r>
    </w:p>
    <w:p w14:paraId="67CE3624" w14:textId="77777777" w:rsidR="00625A5B" w:rsidRPr="008F03E5" w:rsidRDefault="00625A5B" w:rsidP="0073371D">
      <w:pPr>
        <w:pStyle w:val="Translit"/>
      </w:pPr>
      <w:r w:rsidRPr="008F03E5">
        <w:t>Khul</w:t>
      </w:r>
      <w:r w:rsidRPr="008F03E5">
        <w:tab/>
      </w:r>
      <w:r w:rsidRPr="008F03E5">
        <w:rPr>
          <w:u w:val="single"/>
        </w:rPr>
        <w:t>Kh</w:t>
      </w:r>
      <w:r w:rsidRPr="008F03E5">
        <w:t>ul</w:t>
      </w:r>
      <w:r w:rsidRPr="008F03E5">
        <w:tab/>
        <w:t xml:space="preserve">Pers. bent, curved, crooked; mad; ashes; fundament.  Possible word for ‘ashes’ in </w:t>
      </w:r>
      <w:r w:rsidRPr="008F03E5">
        <w:rPr>
          <w:i/>
          <w:iCs/>
        </w:rPr>
        <w:t>Arches of the years</w:t>
      </w:r>
      <w:r w:rsidRPr="008F03E5">
        <w:t>, p. 304.</w:t>
      </w:r>
    </w:p>
    <w:p w14:paraId="6CFFE0E3" w14:textId="77777777" w:rsidR="00625A5B" w:rsidRPr="008F03E5" w:rsidRDefault="00625A5B" w:rsidP="00DA35FF">
      <w:pPr>
        <w:pStyle w:val="Translit"/>
      </w:pPr>
      <w:r w:rsidRPr="008F03E5">
        <w:t>Khulafa’u’r Rashidun</w:t>
      </w:r>
      <w:r w:rsidRPr="008F03E5">
        <w:tab/>
        <w:t>al-</w:t>
      </w:r>
      <w:r w:rsidRPr="008F03E5">
        <w:rPr>
          <w:u w:val="single"/>
        </w:rPr>
        <w:t>Kh</w:t>
      </w:r>
      <w:r w:rsidRPr="008F03E5">
        <w:t>ulafá’u’r-Rá</w:t>
      </w:r>
      <w:r w:rsidRPr="008F03E5">
        <w:rPr>
          <w:u w:val="single"/>
        </w:rPr>
        <w:t>sh</w:t>
      </w:r>
      <w:r w:rsidRPr="008F03E5">
        <w:t>idún</w:t>
      </w:r>
      <w:r w:rsidRPr="008F03E5">
        <w:tab/>
        <w:t>The Rightly-Guided Caliphate—consisting of the first four caliphs in Islám’s history—was founded after Muḥammad’s death in 632.  (sometimes al-</w:t>
      </w:r>
      <w:r w:rsidRPr="008F03E5">
        <w:rPr>
          <w:u w:val="single"/>
        </w:rPr>
        <w:t>Kh</w:t>
      </w:r>
      <w:r w:rsidRPr="008F03E5">
        <w:t>ulafá’a’r-Rá</w:t>
      </w:r>
      <w:r w:rsidRPr="008F03E5">
        <w:rPr>
          <w:u w:val="single"/>
        </w:rPr>
        <w:t>sh</w:t>
      </w:r>
      <w:r w:rsidRPr="008F03E5">
        <w:t xml:space="preserve">idín, </w:t>
      </w:r>
      <w:r w:rsidRPr="008F03E5">
        <w:rPr>
          <w:u w:val="single"/>
        </w:rPr>
        <w:t>Kh</w:t>
      </w:r>
      <w:r w:rsidRPr="008F03E5">
        <w:t>ulafá’ Rá</w:t>
      </w:r>
      <w:r w:rsidRPr="008F03E5">
        <w:rPr>
          <w:u w:val="single"/>
        </w:rPr>
        <w:t>sh</w:t>
      </w:r>
      <w:r w:rsidRPr="008F03E5">
        <w:t>idún or al-</w:t>
      </w:r>
      <w:r w:rsidRPr="008F03E5">
        <w:rPr>
          <w:u w:val="single"/>
        </w:rPr>
        <w:t>Kh</w:t>
      </w:r>
      <w:r w:rsidRPr="008F03E5">
        <w:t>iláfah ar-Rá</w:t>
      </w:r>
      <w:r w:rsidRPr="008F03E5">
        <w:rPr>
          <w:u w:val="single"/>
        </w:rPr>
        <w:t>sh</w:t>
      </w:r>
      <w:r w:rsidRPr="008F03E5">
        <w:t>idún).  See Caliphs section below this alphabetical list.</w:t>
      </w:r>
    </w:p>
    <w:p w14:paraId="2F634E31" w14:textId="77777777" w:rsidR="00625A5B" w:rsidRPr="008F03E5" w:rsidRDefault="00625A5B" w:rsidP="000151ED">
      <w:pPr>
        <w:pStyle w:val="Translit"/>
      </w:pPr>
      <w:r w:rsidRPr="008F03E5">
        <w:t>Khulasa, Khulasat</w:t>
      </w:r>
      <w:r w:rsidRPr="008F03E5">
        <w:tab/>
      </w:r>
      <w:r w:rsidRPr="008F03E5">
        <w:rPr>
          <w:u w:val="single"/>
        </w:rPr>
        <w:t>Kh</w:t>
      </w:r>
      <w:r w:rsidRPr="008F03E5">
        <w:t xml:space="preserve">uláṣa[t], pl. </w:t>
      </w:r>
      <w:r w:rsidRPr="008F03E5">
        <w:rPr>
          <w:u w:val="single"/>
        </w:rPr>
        <w:t>Kh</w:t>
      </w:r>
      <w:r w:rsidRPr="008F03E5">
        <w:t>uláṣát</w:t>
      </w:r>
      <w:r w:rsidRPr="008F03E5">
        <w:tab/>
        <w:t>excerpt; extract, essence; quintessence, substance, gist (of something); abstract, resume, summary, epitome; synopsis</w:t>
      </w:r>
    </w:p>
    <w:p w14:paraId="0FBB6CAB" w14:textId="77777777" w:rsidR="00625A5B" w:rsidRPr="008F03E5" w:rsidRDefault="00625A5B" w:rsidP="002F0C91">
      <w:pPr>
        <w:pStyle w:val="Translit"/>
      </w:pPr>
      <w:r w:rsidRPr="008F03E5">
        <w:t>Khuld</w:t>
      </w:r>
      <w:r w:rsidRPr="008F03E5">
        <w:tab/>
      </w:r>
      <w:r w:rsidRPr="008F03E5">
        <w:rPr>
          <w:u w:val="single"/>
        </w:rPr>
        <w:t>Kh</w:t>
      </w:r>
      <w:r w:rsidRPr="008F03E5">
        <w:t>uld</w:t>
      </w:r>
      <w:r w:rsidRPr="008F03E5">
        <w:tab/>
        <w:t>infinite duration, endless time, perpetuity, eternity</w:t>
      </w:r>
    </w:p>
    <w:p w14:paraId="24449ECF" w14:textId="77777777" w:rsidR="00625A5B" w:rsidRPr="008F03E5" w:rsidRDefault="00625A5B" w:rsidP="00DE6398">
      <w:pPr>
        <w:pStyle w:val="Translit"/>
      </w:pPr>
      <w:r w:rsidRPr="008F03E5">
        <w:t>Khulq, Khuluq, Akhlaq</w:t>
      </w:r>
      <w:r w:rsidRPr="008F03E5">
        <w:tab/>
      </w:r>
      <w:r w:rsidRPr="008F03E5">
        <w:rPr>
          <w:u w:val="single"/>
        </w:rPr>
        <w:t>Kh</w:t>
      </w:r>
      <w:r w:rsidRPr="008F03E5">
        <w:t xml:space="preserve">ulq, </w:t>
      </w:r>
      <w:r w:rsidRPr="008F03E5">
        <w:rPr>
          <w:u w:val="single"/>
        </w:rPr>
        <w:t>Kh</w:t>
      </w:r>
      <w:r w:rsidRPr="008F03E5">
        <w:t>uluq, pl. A</w:t>
      </w:r>
      <w:r w:rsidRPr="008F03E5">
        <w:rPr>
          <w:u w:val="single"/>
        </w:rPr>
        <w:t>kh</w:t>
      </w:r>
      <w:r w:rsidRPr="008F03E5">
        <w:t>láq</w:t>
      </w:r>
      <w:r w:rsidRPr="008F03E5">
        <w:tab/>
        <w:t>innate peculiarity; natural disposition, character, temper, nature;—pl. character (of a person); morals; morality.  A</w:t>
      </w:r>
      <w:r w:rsidRPr="008F03E5">
        <w:rPr>
          <w:u w:val="single"/>
        </w:rPr>
        <w:t>kh</w:t>
      </w:r>
      <w:r w:rsidRPr="008F03E5">
        <w:t>laq is the practice of virtue, morality and manners in Islamic theology and falsafah (philosophy).  Bahá’í</w:t>
      </w:r>
      <w:r>
        <w:t>y</w:t>
      </w:r>
      <w:r w:rsidRPr="008F03E5">
        <w:t>-i-bihi’l-a</w:t>
      </w:r>
      <w:r w:rsidRPr="008F03E5">
        <w:rPr>
          <w:u w:val="single"/>
        </w:rPr>
        <w:t>kh</w:t>
      </w:r>
      <w:r w:rsidRPr="008F03E5">
        <w:t>láq (“a Bahá’í of high ethical standards”), can be used as a reference to Bahá’u’lláh.</w:t>
      </w:r>
    </w:p>
    <w:p w14:paraId="778D37FF" w14:textId="77777777" w:rsidR="00625A5B" w:rsidRPr="008F03E5" w:rsidRDefault="00625A5B" w:rsidP="00FE452C">
      <w:pPr>
        <w:pStyle w:val="Translit"/>
      </w:pPr>
      <w:r w:rsidRPr="008F03E5">
        <w:t>Khulus</w:t>
      </w:r>
      <w:r w:rsidRPr="008F03E5">
        <w:tab/>
      </w:r>
      <w:r w:rsidRPr="008F03E5">
        <w:rPr>
          <w:u w:val="single"/>
        </w:rPr>
        <w:t>Kh</w:t>
      </w:r>
      <w:r w:rsidRPr="008F03E5">
        <w:t>ulúṣ</w:t>
      </w:r>
      <w:r w:rsidRPr="008F03E5">
        <w:tab/>
        <w:t>clearness, purity; sincerity, candor; frankness</w:t>
      </w:r>
    </w:p>
    <w:p w14:paraId="7FAA38CE" w14:textId="77777777" w:rsidR="00625A5B" w:rsidRPr="008F03E5" w:rsidRDefault="00625A5B" w:rsidP="00052149">
      <w:pPr>
        <w:pStyle w:val="Translit"/>
        <w:rPr>
          <w:rFonts w:eastAsia="Times New Roman"/>
        </w:rPr>
      </w:pPr>
      <w:r w:rsidRPr="008F03E5">
        <w:rPr>
          <w:rFonts w:eastAsia="Times New Roman"/>
        </w:rPr>
        <w:t>Khulusiya</w:t>
      </w:r>
      <w:r w:rsidRPr="008F03E5">
        <w:rPr>
          <w:rFonts w:eastAsia="Times New Roman"/>
        </w:rPr>
        <w:tab/>
      </w:r>
      <w:r w:rsidRPr="008F03E5">
        <w:rPr>
          <w:rFonts w:eastAsia="Times New Roman"/>
          <w:u w:val="single"/>
        </w:rPr>
        <w:t>Kh</w:t>
      </w:r>
      <w:r w:rsidRPr="008F03E5">
        <w:rPr>
          <w:rFonts w:eastAsia="Times New Roman"/>
        </w:rPr>
        <w:t>ulúṣíya[t]</w:t>
      </w:r>
      <w:r w:rsidRPr="008F03E5">
        <w:rPr>
          <w:rFonts w:eastAsia="Times New Roman"/>
        </w:rPr>
        <w:tab/>
        <w:t>purity, candour, honesty.</w:t>
      </w:r>
    </w:p>
    <w:p w14:paraId="40522AC0" w14:textId="77777777" w:rsidR="00625A5B" w:rsidRPr="008F03E5" w:rsidRDefault="00625A5B" w:rsidP="001D2529">
      <w:pPr>
        <w:pStyle w:val="Translit"/>
      </w:pPr>
      <w:r w:rsidRPr="008F03E5">
        <w:t>Khumasi</w:t>
      </w:r>
      <w:r w:rsidRPr="008F03E5">
        <w:tab/>
      </w:r>
      <w:r w:rsidRPr="008F03E5">
        <w:rPr>
          <w:u w:val="single"/>
        </w:rPr>
        <w:t>Kh</w:t>
      </w:r>
      <w:r w:rsidRPr="008F03E5">
        <w:t>umásí</w:t>
      </w:r>
      <w:r w:rsidRPr="008F03E5">
        <w:tab/>
        <w:t>fivefold, quintuple; consisting of five consonants (grammar)</w:t>
      </w:r>
    </w:p>
    <w:p w14:paraId="2B3EE197" w14:textId="77777777" w:rsidR="00625A5B" w:rsidRPr="008F03E5" w:rsidRDefault="00625A5B" w:rsidP="00991FC6">
      <w:pPr>
        <w:pStyle w:val="Translit"/>
      </w:pPr>
      <w:r w:rsidRPr="008F03E5">
        <w:t>Khumayn</w:t>
      </w:r>
      <w:r w:rsidRPr="008F03E5">
        <w:tab/>
      </w:r>
      <w:r w:rsidRPr="008F03E5">
        <w:rPr>
          <w:u w:val="single"/>
        </w:rPr>
        <w:t>Kh</w:t>
      </w:r>
      <w:r w:rsidRPr="008F03E5">
        <w:t>umayn</w:t>
      </w:r>
      <w:r w:rsidRPr="008F03E5">
        <w:tab/>
        <w:t xml:space="preserve">Pers. (Khomein, Khomeyn, Khowmeyn, and Khumain) a city (28 km </w:t>
      </w:r>
      <w:r w:rsidRPr="008F03E5">
        <w:rPr>
          <w:sz w:val="16"/>
          <w:szCs w:val="16"/>
        </w:rPr>
        <w:t>NW</w:t>
      </w:r>
      <w:r w:rsidRPr="008F03E5">
        <w:t xml:space="preserve"> Gulpáygán) in and the capital of Khumayn County, </w:t>
      </w:r>
      <w:r w:rsidRPr="008F03E5">
        <w:rPr>
          <w:rFonts w:eastAsia="PMingLiU"/>
          <w:lang w:eastAsia="zh-TW"/>
        </w:rPr>
        <w:t>Markazí</w:t>
      </w:r>
      <w:r w:rsidRPr="008F03E5">
        <w:t xml:space="preserve"> Province, Iran</w:t>
      </w:r>
    </w:p>
    <w:p w14:paraId="26612F87" w14:textId="77777777" w:rsidR="00625A5B" w:rsidRPr="008F03E5" w:rsidRDefault="00625A5B" w:rsidP="00D14F4E">
      <w:pPr>
        <w:pStyle w:val="Translit"/>
      </w:pPr>
      <w:r w:rsidRPr="008F03E5">
        <w:t>Khumayni (Khomeini)</w:t>
      </w:r>
      <w:r w:rsidRPr="008F03E5">
        <w:tab/>
      </w:r>
      <w:r w:rsidRPr="008F03E5">
        <w:rPr>
          <w:u w:val="single"/>
        </w:rPr>
        <w:t>Kh</w:t>
      </w:r>
      <w:r w:rsidRPr="008F03E5">
        <w:t>umayní</w:t>
      </w:r>
      <w:r w:rsidRPr="008F03E5">
        <w:tab/>
        <w:t xml:space="preserve">Pers. of or from </w:t>
      </w:r>
      <w:r w:rsidRPr="008F03E5">
        <w:rPr>
          <w:u w:val="single"/>
        </w:rPr>
        <w:t>Kh</w:t>
      </w:r>
      <w:r w:rsidRPr="008F03E5">
        <w:t xml:space="preserve">umayn.  Sayyid Rúḥu’lláh Músaví </w:t>
      </w:r>
      <w:r w:rsidRPr="008F03E5">
        <w:rPr>
          <w:u w:val="single"/>
        </w:rPr>
        <w:t>Kh</w:t>
      </w:r>
      <w:r w:rsidRPr="008F03E5">
        <w:t xml:space="preserve">umayní (1902–1989), known in the Western world as Ayatollah Khomeini (first “Supreme Leader” of Iran), was an Iranian politician and cleric.  Succeeded by </w:t>
      </w:r>
      <w:r w:rsidRPr="008F03E5">
        <w:rPr>
          <w:lang w:eastAsia="en-US"/>
        </w:rPr>
        <w:t>Ayatollah Khamenei.</w:t>
      </w:r>
    </w:p>
    <w:p w14:paraId="7969276E" w14:textId="77777777" w:rsidR="00625A5B" w:rsidRPr="008F03E5" w:rsidRDefault="00625A5B" w:rsidP="00817192">
      <w:pPr>
        <w:pStyle w:val="Translit"/>
      </w:pPr>
      <w:r w:rsidRPr="008F03E5">
        <w:t>Khumm</w:t>
      </w:r>
      <w:r w:rsidRPr="008F03E5">
        <w:tab/>
      </w:r>
      <w:r w:rsidRPr="008F03E5">
        <w:rPr>
          <w:u w:val="single"/>
        </w:rPr>
        <w:t>Kh</w:t>
      </w:r>
      <w:r w:rsidRPr="008F03E5">
        <w:t>umm</w:t>
      </w:r>
      <w:r w:rsidRPr="008F03E5">
        <w:tab/>
        <w:t>name of a wádí with a spring that ran into a pond (</w:t>
      </w:r>
      <w:r w:rsidRPr="008F03E5">
        <w:rPr>
          <w:u w:val="single"/>
        </w:rPr>
        <w:t>gh</w:t>
      </w:r>
      <w:r w:rsidRPr="008F03E5">
        <w:t xml:space="preserve">adír).  Some believe </w:t>
      </w:r>
      <w:r w:rsidRPr="008F03E5">
        <w:rPr>
          <w:u w:val="single"/>
        </w:rPr>
        <w:t>kh</w:t>
      </w:r>
      <w:r w:rsidRPr="008F03E5">
        <w:t>umm means deceiver, and the valley was so named because the water of the pond was saline and unfit for consumption.</w:t>
      </w:r>
    </w:p>
    <w:p w14:paraId="521A9B8C" w14:textId="77777777" w:rsidR="00625A5B" w:rsidRPr="008F03E5" w:rsidRDefault="00625A5B" w:rsidP="002A7036">
      <w:pPr>
        <w:pStyle w:val="Translit"/>
      </w:pPr>
      <w:r w:rsidRPr="008F03E5">
        <w:t>Khums, Akhmas</w:t>
      </w:r>
      <w:r w:rsidRPr="008F03E5">
        <w:tab/>
      </w:r>
      <w:r w:rsidRPr="008F03E5">
        <w:rPr>
          <w:u w:val="single"/>
        </w:rPr>
        <w:t>Kh</w:t>
      </w:r>
      <w:r w:rsidRPr="008F03E5">
        <w:t>ums, pl. A</w:t>
      </w:r>
      <w:r w:rsidRPr="008F03E5">
        <w:rPr>
          <w:u w:val="single"/>
        </w:rPr>
        <w:t>kh</w:t>
      </w:r>
      <w:r w:rsidRPr="008F03E5">
        <w:t>más</w:t>
      </w:r>
      <w:r w:rsidRPr="008F03E5">
        <w:tab/>
        <w:t xml:space="preserve">one fifth.  An additional religious tax (one-fifth) paid by </w:t>
      </w:r>
      <w:r w:rsidRPr="008F03E5">
        <w:rPr>
          <w:u w:val="single"/>
        </w:rPr>
        <w:t>Sh</w:t>
      </w:r>
      <w:r w:rsidRPr="008F03E5">
        <w:t>í‘í Muslims to the Imám or his deputies</w:t>
      </w:r>
    </w:p>
    <w:p w14:paraId="61CE3BF9" w14:textId="77777777" w:rsidR="00625A5B" w:rsidRPr="008F03E5" w:rsidRDefault="00625A5B" w:rsidP="009B729F">
      <w:pPr>
        <w:pStyle w:val="Translit"/>
      </w:pPr>
      <w:r w:rsidRPr="008F03E5">
        <w:t>Khun</w:t>
      </w:r>
      <w:r w:rsidRPr="008F03E5">
        <w:tab/>
      </w:r>
      <w:r w:rsidRPr="008F03E5">
        <w:rPr>
          <w:u w:val="single"/>
        </w:rPr>
        <w:t>Kh</w:t>
      </w:r>
      <w:r w:rsidRPr="008F03E5">
        <w:t>ún</w:t>
      </w:r>
      <w:r w:rsidRPr="008F03E5">
        <w:tab/>
        <w:t>Pers. blood; bloody; killing; revenge; a shedder of blood; life, soul; selfishness; pride; a table; reading; singing</w:t>
      </w:r>
    </w:p>
    <w:p w14:paraId="3FDFB1CC" w14:textId="77777777" w:rsidR="00625A5B" w:rsidRPr="008F03E5" w:rsidRDefault="00625A5B" w:rsidP="001C42BA">
      <w:pPr>
        <w:pStyle w:val="Translit"/>
      </w:pPr>
      <w:r w:rsidRPr="008F03E5">
        <w:t>Khun-Baha</w:t>
      </w:r>
      <w:r w:rsidRPr="008F03E5">
        <w:tab/>
      </w:r>
      <w:r w:rsidRPr="008F03E5">
        <w:rPr>
          <w:u w:val="single"/>
        </w:rPr>
        <w:t>Kh</w:t>
      </w:r>
      <w:r w:rsidRPr="008F03E5">
        <w:t>ún-Bahá</w:t>
      </w:r>
      <w:r w:rsidRPr="008F03E5">
        <w:tab/>
        <w:t xml:space="preserve">blood price or value, “blood-money”.  See Bahá’i </w:t>
      </w:r>
      <w:r w:rsidRPr="008F03E5">
        <w:rPr>
          <w:u w:val="single"/>
        </w:rPr>
        <w:t>Kh</w:t>
      </w:r>
      <w:r w:rsidRPr="008F03E5">
        <w:t>un</w:t>
      </w:r>
    </w:p>
    <w:p w14:paraId="03B4BFFF" w14:textId="77777777" w:rsidR="00625A5B" w:rsidRPr="008F03E5" w:rsidRDefault="00625A5B" w:rsidP="00B63F10">
      <w:pPr>
        <w:pStyle w:val="Translit"/>
      </w:pPr>
      <w:r w:rsidRPr="008F03E5">
        <w:t>Khuqan</w:t>
      </w:r>
      <w:r w:rsidRPr="008F03E5">
        <w:tab/>
      </w:r>
      <w:r w:rsidRPr="008F03E5">
        <w:rPr>
          <w:u w:val="single"/>
        </w:rPr>
        <w:t>Kh</w:t>
      </w:r>
      <w:r w:rsidRPr="008F03E5">
        <w:t>úqand</w:t>
      </w:r>
      <w:r w:rsidRPr="008F03E5">
        <w:tab/>
      </w:r>
      <w:r w:rsidRPr="008F03E5">
        <w:rPr>
          <w:u w:val="single"/>
        </w:rPr>
        <w:t>Kh</w:t>
      </w:r>
      <w:r w:rsidRPr="008F03E5">
        <w:t xml:space="preserve">ánát </w:t>
      </w:r>
      <w:r w:rsidRPr="008F03E5">
        <w:rPr>
          <w:u w:val="single"/>
        </w:rPr>
        <w:t>Kh</w:t>
      </w:r>
      <w:r w:rsidRPr="008F03E5">
        <w:t>úqand was a Central Asian polity (1709–1876) in eastern part of the Fergana (Fir</w:t>
      </w:r>
      <w:r w:rsidRPr="008F03E5">
        <w:rPr>
          <w:u w:val="single"/>
        </w:rPr>
        <w:t>gh</w:t>
      </w:r>
      <w:r w:rsidRPr="008F03E5">
        <w:t>ána) Valley, Central Asia, within the territory of eastern Uzbekistan, modern Kyrgyzstan, eastern Tajikistan and south eastern Kazakhstan.</w:t>
      </w:r>
    </w:p>
    <w:p w14:paraId="483647CB" w14:textId="77777777" w:rsidR="00625A5B" w:rsidRPr="008F03E5" w:rsidRDefault="00625A5B" w:rsidP="00B63F10">
      <w:pPr>
        <w:pStyle w:val="Translit"/>
      </w:pPr>
      <w:r w:rsidRPr="008F03E5">
        <w:t>Khur</w:t>
      </w:r>
      <w:r w:rsidRPr="008F03E5">
        <w:tab/>
      </w:r>
      <w:r w:rsidRPr="008F03E5">
        <w:rPr>
          <w:u w:val="single"/>
        </w:rPr>
        <w:t>Kh</w:t>
      </w:r>
      <w:r w:rsidRPr="008F03E5">
        <w:t>ur</w:t>
      </w:r>
      <w:r w:rsidRPr="008F03E5">
        <w:tab/>
        <w:t>Pers. the sun</w:t>
      </w:r>
    </w:p>
    <w:p w14:paraId="656D0C63" w14:textId="77777777" w:rsidR="00625A5B" w:rsidRPr="008F03E5" w:rsidRDefault="00625A5B" w:rsidP="00873984">
      <w:pPr>
        <w:pStyle w:val="Translit"/>
      </w:pPr>
      <w:r w:rsidRPr="008F03E5">
        <w:t>Khurasan (Khorasan, Korasan)</w:t>
      </w:r>
      <w:r w:rsidRPr="008F03E5">
        <w:tab/>
      </w:r>
      <w:r w:rsidRPr="008F03E5">
        <w:rPr>
          <w:u w:val="single"/>
        </w:rPr>
        <w:t>Kh</w:t>
      </w:r>
      <w:r w:rsidRPr="008F03E5">
        <w:t>urásán</w:t>
      </w:r>
      <w:r w:rsidRPr="008F03E5">
        <w:tab/>
        <w:t xml:space="preserve">Pers. sunrise or east, “where the sun arrives from”.  Province in the northeastern part of Írán until 2004—replaced by North </w:t>
      </w:r>
      <w:r w:rsidRPr="008F03E5">
        <w:rPr>
          <w:u w:val="single"/>
        </w:rPr>
        <w:t>Kh</w:t>
      </w:r>
      <w:r w:rsidRPr="008F03E5">
        <w:t xml:space="preserve">urásán, South </w:t>
      </w:r>
      <w:r w:rsidRPr="008F03E5">
        <w:rPr>
          <w:u w:val="single"/>
        </w:rPr>
        <w:t>Kh</w:t>
      </w:r>
      <w:r w:rsidRPr="008F03E5">
        <w:t xml:space="preserve">urásán and </w:t>
      </w:r>
      <w:r w:rsidRPr="008F03E5">
        <w:rPr>
          <w:rFonts w:eastAsia="PMingLiU"/>
          <w:lang w:eastAsia="zh-TW"/>
        </w:rPr>
        <w:t>Ra</w:t>
      </w:r>
      <w:r w:rsidRPr="008F03E5">
        <w:t>ḍ</w:t>
      </w:r>
      <w:r w:rsidRPr="008F03E5">
        <w:rPr>
          <w:rFonts w:eastAsia="PMingLiU"/>
          <w:lang w:eastAsia="zh-TW"/>
        </w:rPr>
        <w:t>awí</w:t>
      </w:r>
      <w:r w:rsidRPr="00873984">
        <w:t xml:space="preserve"> </w:t>
      </w:r>
      <w:r>
        <w:t>(</w:t>
      </w:r>
      <w:r w:rsidRPr="008F03E5">
        <w:t>Razavi</w:t>
      </w:r>
      <w:r w:rsidRPr="008F03E5">
        <w:rPr>
          <w:rFonts w:eastAsia="PMingLiU"/>
          <w:lang w:eastAsia="zh-TW"/>
        </w:rPr>
        <w:t xml:space="preserve">) </w:t>
      </w:r>
      <w:r w:rsidRPr="008F03E5">
        <w:rPr>
          <w:u w:val="single"/>
        </w:rPr>
        <w:t>Kh</w:t>
      </w:r>
      <w:r w:rsidRPr="008F03E5">
        <w:t>urásán</w:t>
      </w:r>
      <w:r>
        <w:t xml:space="preserve"> (also called </w:t>
      </w:r>
      <w:r w:rsidRPr="008F03E5">
        <w:rPr>
          <w:rFonts w:eastAsia="PMingLiU"/>
          <w:lang w:eastAsia="zh-TW"/>
        </w:rPr>
        <w:t>Markazí</w:t>
      </w:r>
      <w:r>
        <w:rPr>
          <w:rFonts w:eastAsia="PMingLiU"/>
          <w:lang w:eastAsia="zh-TW"/>
        </w:rPr>
        <w:t xml:space="preserve"> (Central)</w:t>
      </w:r>
      <w:r w:rsidRPr="008F03E5">
        <w:rPr>
          <w:rFonts w:eastAsia="PMingLiU"/>
          <w:lang w:eastAsia="zh-TW"/>
        </w:rPr>
        <w:t xml:space="preserve"> </w:t>
      </w:r>
      <w:r w:rsidRPr="008F03E5">
        <w:rPr>
          <w:u w:val="single"/>
        </w:rPr>
        <w:t>Kh</w:t>
      </w:r>
      <w:r w:rsidRPr="008F03E5">
        <w:t>urásán</w:t>
      </w:r>
      <w:r>
        <w:t>)</w:t>
      </w:r>
      <w:r w:rsidRPr="008F03E5">
        <w:t xml:space="preserve"> </w:t>
      </w:r>
      <w:r w:rsidRPr="008F03E5">
        <w:rPr>
          <w:rFonts w:eastAsia="PMingLiU"/>
          <w:lang w:eastAsia="zh-TW"/>
        </w:rPr>
        <w:t>Provinces</w:t>
      </w:r>
      <w:r w:rsidRPr="008F03E5">
        <w:t xml:space="preserve">.  </w:t>
      </w:r>
      <w:r>
        <w:t xml:space="preserve">The former </w:t>
      </w:r>
      <w:r w:rsidRPr="008F03E5">
        <w:t xml:space="preserve">Greater Khorasan </w:t>
      </w:r>
      <w:r>
        <w:t>(with</w:t>
      </w:r>
      <w:r w:rsidRPr="00873984">
        <w:t xml:space="preserve"> </w:t>
      </w:r>
      <w:r>
        <w:t>4</w:t>
      </w:r>
      <w:r w:rsidRPr="00873984">
        <w:t xml:space="preserve"> main and historical quarters: </w:t>
      </w:r>
      <w:r>
        <w:t xml:space="preserve"> </w:t>
      </w:r>
      <w:r w:rsidRPr="00873984">
        <w:t>Nishapur, Merv, Herat, and Balkh</w:t>
      </w:r>
      <w:r>
        <w:t xml:space="preserve">) </w:t>
      </w:r>
      <w:r w:rsidRPr="008F03E5">
        <w:t>was a region that included parts that are today in Iran, Afghanistan, Tajikistan, Turkmenistan and Uzbekistan.</w:t>
      </w:r>
    </w:p>
    <w:p w14:paraId="23812369" w14:textId="77777777" w:rsidR="00625A5B" w:rsidRPr="008F03E5" w:rsidRDefault="00625A5B" w:rsidP="00900A82">
      <w:pPr>
        <w:pStyle w:val="Translit"/>
      </w:pPr>
      <w:r w:rsidRPr="008F03E5">
        <w:t>Khurasani</w:t>
      </w:r>
      <w:r w:rsidRPr="008F03E5">
        <w:tab/>
      </w:r>
      <w:r w:rsidRPr="008F03E5">
        <w:rPr>
          <w:u w:val="single"/>
        </w:rPr>
        <w:t>Kh</w:t>
      </w:r>
      <w:r w:rsidRPr="008F03E5">
        <w:t>urásání</w:t>
      </w:r>
      <w:r w:rsidRPr="008F03E5">
        <w:tab/>
        <w:t>Mírzá Abu’l-Qásim-i-</w:t>
      </w:r>
      <w:r w:rsidRPr="008F03E5">
        <w:rPr>
          <w:u w:val="single"/>
        </w:rPr>
        <w:t>Kh</w:t>
      </w:r>
      <w:r w:rsidRPr="008F03E5">
        <w:t>urásání caretaker of the Shrine of Bahá’u’lláh and the gardens</w:t>
      </w:r>
    </w:p>
    <w:p w14:paraId="2C3826C6" w14:textId="77777777" w:rsidR="00625A5B" w:rsidRPr="008F03E5" w:rsidRDefault="00625A5B" w:rsidP="00074BA7">
      <w:pPr>
        <w:pStyle w:val="Translit"/>
      </w:pPr>
      <w:r w:rsidRPr="008F03E5">
        <w:t>Khurdad (Khordad)</w:t>
      </w:r>
      <w:r w:rsidRPr="008F03E5">
        <w:tab/>
      </w:r>
      <w:r w:rsidRPr="008F03E5">
        <w:rPr>
          <w:u w:val="single"/>
        </w:rPr>
        <w:t>Kh</w:t>
      </w:r>
      <w:r w:rsidRPr="008F03E5">
        <w:t>urdád</w:t>
      </w:r>
      <w:r w:rsidRPr="008F03E5">
        <w:tab/>
        <w:t>Pers. third month of the Persian solar calendar</w:t>
      </w:r>
    </w:p>
    <w:p w14:paraId="0134332E" w14:textId="77777777" w:rsidR="00625A5B" w:rsidRPr="008F03E5" w:rsidRDefault="00625A5B" w:rsidP="00D35672">
      <w:pPr>
        <w:pStyle w:val="Translit"/>
        <w:rPr>
          <w:rFonts w:eastAsia="PMingLiU"/>
          <w:lang w:eastAsia="zh-TW"/>
        </w:rPr>
      </w:pPr>
      <w:r w:rsidRPr="008F03E5">
        <w:t>Khuri, Khawarina</w:t>
      </w:r>
      <w:r w:rsidRPr="008F03E5">
        <w:tab/>
      </w:r>
      <w:r w:rsidRPr="008F03E5">
        <w:rPr>
          <w:u w:val="single"/>
        </w:rPr>
        <w:t>Kh</w:t>
      </w:r>
      <w:r w:rsidRPr="008F03E5">
        <w:t xml:space="preserve">úrí, pl. </w:t>
      </w:r>
      <w:r w:rsidRPr="008F03E5">
        <w:rPr>
          <w:u w:val="single"/>
        </w:rPr>
        <w:t>Kh</w:t>
      </w:r>
      <w:r w:rsidRPr="008F03E5">
        <w:t>awárina[h]</w:t>
      </w:r>
      <w:r w:rsidRPr="008F03E5">
        <w:tab/>
        <w:t>parson, curate, priest</w:t>
      </w:r>
    </w:p>
    <w:p w14:paraId="4A9C167F" w14:textId="77777777" w:rsidR="00625A5B" w:rsidRDefault="00625A5B" w:rsidP="00EC38D8">
      <w:pPr>
        <w:pStyle w:val="Translit"/>
      </w:pPr>
      <w:r w:rsidRPr="00417520">
        <w:t>Khuriyih</w:t>
      </w:r>
      <w:r w:rsidRPr="00EC1F1A">
        <w:t xml:space="preserve"> (Khureyeh)</w:t>
      </w:r>
      <w:r w:rsidRPr="00417520">
        <w:tab/>
      </w:r>
      <w:r w:rsidRPr="00417520">
        <w:rPr>
          <w:u w:val="single"/>
        </w:rPr>
        <w:t>Kh</w:t>
      </w:r>
      <w:r w:rsidRPr="00417520">
        <w:t>úríyih</w:t>
      </w:r>
      <w:r w:rsidRPr="00417520">
        <w:tab/>
        <w:t xml:space="preserve">Pers. two small </w:t>
      </w:r>
      <w:r w:rsidRPr="00EC1F1A">
        <w:t xml:space="preserve">agricultural </w:t>
      </w:r>
      <w:r w:rsidRPr="00417520">
        <w:t xml:space="preserve">settlements in Semnan Province: </w:t>
      </w:r>
      <w:r w:rsidRPr="00417520">
        <w:rPr>
          <w:u w:val="single"/>
        </w:rPr>
        <w:t>Kh</w:t>
      </w:r>
      <w:r w:rsidRPr="00417520">
        <w:t>úríyih-</w:t>
      </w:r>
      <w:r w:rsidRPr="008F03E5">
        <w:t>Bálá</w:t>
      </w:r>
      <w:r w:rsidRPr="00417520">
        <w:t xml:space="preserve"> (35.907770, 53.364087; “upper”) and </w:t>
      </w:r>
      <w:r w:rsidRPr="00417520">
        <w:rPr>
          <w:u w:val="single"/>
        </w:rPr>
        <w:t>Kh</w:t>
      </w:r>
      <w:r w:rsidRPr="00417520">
        <w:t>úríyih-</w:t>
      </w:r>
      <w:r w:rsidRPr="008F03E5">
        <w:t>Pá’</w:t>
      </w:r>
      <w:r w:rsidRPr="006F3F28">
        <w:t>í</w:t>
      </w:r>
      <w:r w:rsidRPr="008F03E5">
        <w:t>n</w:t>
      </w:r>
      <w:r>
        <w:t xml:space="preserve"> (</w:t>
      </w:r>
      <w:r w:rsidRPr="00417520">
        <w:t>35.890498, 53.309956; “lower”</w:t>
      </w:r>
      <w:r>
        <w:t xml:space="preserve">) on the </w:t>
      </w:r>
      <w:r w:rsidRPr="00417520">
        <w:rPr>
          <w:u w:val="single"/>
        </w:rPr>
        <w:t>Kh</w:t>
      </w:r>
      <w:r w:rsidRPr="00417520">
        <w:t>úríyih Road.</w:t>
      </w:r>
    </w:p>
    <w:p w14:paraId="6117D51C" w14:textId="77777777" w:rsidR="00625A5B" w:rsidRPr="001457C8" w:rsidRDefault="00625A5B" w:rsidP="00ED160A">
      <w:pPr>
        <w:pStyle w:val="Translit"/>
        <w:rPr>
          <w:rFonts w:eastAsia="PMingLiU"/>
          <w:lang w:val="fr-FR" w:eastAsia="zh-TW"/>
        </w:rPr>
      </w:pPr>
      <w:r w:rsidRPr="001457C8">
        <w:rPr>
          <w:rFonts w:eastAsia="PMingLiU"/>
          <w:lang w:val="fr-FR" w:eastAsia="zh-TW"/>
        </w:rPr>
        <w:t>Khurma</w:t>
      </w:r>
      <w:r w:rsidRPr="001457C8">
        <w:rPr>
          <w:lang w:val="fr-FR"/>
        </w:rPr>
        <w:tab/>
      </w:r>
      <w:r w:rsidRPr="001457C8">
        <w:rPr>
          <w:u w:val="single"/>
          <w:lang w:val="fr-FR"/>
        </w:rPr>
        <w:t>Kh</w:t>
      </w:r>
      <w:r w:rsidRPr="001457C8">
        <w:rPr>
          <w:rFonts w:eastAsia="PMingLiU"/>
          <w:lang w:val="fr-FR" w:eastAsia="zh-TW"/>
        </w:rPr>
        <w:t>urmá</w:t>
      </w:r>
      <w:r w:rsidRPr="001457C8">
        <w:rPr>
          <w:lang w:val="fr-FR"/>
        </w:rPr>
        <w:tab/>
        <w:t>Pers. date (fruit)</w:t>
      </w:r>
    </w:p>
    <w:p w14:paraId="6A5789B5" w14:textId="77777777" w:rsidR="00625A5B" w:rsidRPr="001457C8" w:rsidRDefault="00625A5B" w:rsidP="00E6169A">
      <w:pPr>
        <w:pStyle w:val="Translit"/>
        <w:rPr>
          <w:rFonts w:eastAsia="PMingLiU"/>
          <w:lang w:val="fr-FR" w:eastAsia="zh-TW"/>
        </w:rPr>
      </w:pPr>
      <w:r w:rsidRPr="001457C8">
        <w:rPr>
          <w:rFonts w:eastAsia="PMingLiU"/>
          <w:lang w:val="fr-FR" w:eastAsia="zh-TW"/>
        </w:rPr>
        <w:t>Khurma’i</w:t>
      </w:r>
      <w:r w:rsidRPr="001457C8">
        <w:rPr>
          <w:lang w:val="fr-FR"/>
        </w:rPr>
        <w:tab/>
      </w:r>
      <w:r w:rsidRPr="001457C8">
        <w:rPr>
          <w:u w:val="single"/>
          <w:lang w:val="fr-FR"/>
        </w:rPr>
        <w:t>Kh</w:t>
      </w:r>
      <w:r w:rsidRPr="001457C8">
        <w:rPr>
          <w:rFonts w:eastAsia="PMingLiU"/>
          <w:lang w:val="fr-FR" w:eastAsia="zh-TW"/>
        </w:rPr>
        <w:t>urmá’í</w:t>
      </w:r>
      <w:r w:rsidRPr="001457C8">
        <w:rPr>
          <w:lang w:val="fr-FR"/>
        </w:rPr>
        <w:tab/>
        <w:t xml:space="preserve">Mrs Írán Raḥímpúr (née </w:t>
      </w:r>
      <w:r w:rsidRPr="001457C8">
        <w:rPr>
          <w:u w:val="single"/>
          <w:lang w:val="fr-FR"/>
        </w:rPr>
        <w:t>Kh</w:t>
      </w:r>
      <w:r w:rsidRPr="001457C8">
        <w:rPr>
          <w:rFonts w:eastAsia="PMingLiU"/>
          <w:lang w:val="fr-FR" w:eastAsia="zh-TW"/>
        </w:rPr>
        <w:t>urmá’í)</w:t>
      </w:r>
    </w:p>
    <w:p w14:paraId="3B4ACC3B" w14:textId="77777777" w:rsidR="00625A5B" w:rsidRPr="00120DEA" w:rsidRDefault="00625A5B" w:rsidP="00555409">
      <w:pPr>
        <w:pStyle w:val="Translit"/>
        <w:rPr>
          <w:lang w:val="fr-FR"/>
        </w:rPr>
      </w:pPr>
      <w:r w:rsidRPr="00120DEA">
        <w:rPr>
          <w:lang w:val="fr-FR"/>
        </w:rPr>
        <w:t>Khurramabad (Khorramabad)</w:t>
      </w:r>
      <w:r w:rsidRPr="00120DEA">
        <w:rPr>
          <w:lang w:val="fr-FR"/>
        </w:rPr>
        <w:tab/>
      </w:r>
      <w:r w:rsidRPr="00120DEA">
        <w:rPr>
          <w:u w:val="single"/>
          <w:lang w:val="fr-FR"/>
        </w:rPr>
        <w:t>Kh</w:t>
      </w:r>
      <w:r w:rsidRPr="00120DEA">
        <w:rPr>
          <w:lang w:val="fr-FR"/>
        </w:rPr>
        <w:t xml:space="preserve">urramábád, </w:t>
      </w:r>
      <w:r w:rsidRPr="00120DEA">
        <w:rPr>
          <w:u w:val="single"/>
          <w:lang w:val="fr-FR"/>
        </w:rPr>
        <w:t>Kh</w:t>
      </w:r>
      <w:r w:rsidRPr="00120DEA">
        <w:rPr>
          <w:lang w:val="fr-FR"/>
        </w:rPr>
        <w:t>urram</w:t>
      </w:r>
      <w:r>
        <w:rPr>
          <w:lang w:val="fr-FR"/>
        </w:rPr>
        <w:t>-</w:t>
      </w:r>
      <w:r w:rsidRPr="00120DEA">
        <w:rPr>
          <w:lang w:val="fr-FR"/>
        </w:rPr>
        <w:t>Abád</w:t>
      </w:r>
      <w:r w:rsidRPr="00120DEA">
        <w:rPr>
          <w:lang w:val="fr-FR"/>
        </w:rPr>
        <w:tab/>
        <w:t xml:space="preserve">Pers. </w:t>
      </w:r>
      <w:r>
        <w:rPr>
          <w:lang w:val="fr-FR"/>
        </w:rPr>
        <w:t>a city (</w:t>
      </w:r>
      <w:r w:rsidRPr="00E301C5">
        <w:rPr>
          <w:lang w:val="fr-FR"/>
        </w:rPr>
        <w:t>33.465808, 48.33987</w:t>
      </w:r>
      <w:r>
        <w:rPr>
          <w:lang w:val="fr-FR"/>
        </w:rPr>
        <w:t>5) in Loristan Province;</w:t>
      </w:r>
      <w:r w:rsidRPr="00E301C5">
        <w:rPr>
          <w:lang w:val="fr-FR"/>
        </w:rPr>
        <w:t xml:space="preserve"> </w:t>
      </w:r>
      <w:r w:rsidRPr="00120DEA">
        <w:rPr>
          <w:lang w:val="fr-FR"/>
        </w:rPr>
        <w:t xml:space="preserve">a city (36.539747, 51.924426) </w:t>
      </w:r>
      <w:r>
        <w:rPr>
          <w:lang w:val="fr-FR"/>
        </w:rPr>
        <w:t xml:space="preserve">in </w:t>
      </w:r>
      <w:r w:rsidRPr="00120DEA">
        <w:rPr>
          <w:lang w:val="fr-FR"/>
        </w:rPr>
        <w:t xml:space="preserve">Tunikábun (Tonekabon) County (formerly </w:t>
      </w:r>
      <w:r w:rsidRPr="00120DEA">
        <w:rPr>
          <w:u w:val="single"/>
          <w:lang w:val="fr-FR"/>
        </w:rPr>
        <w:t>Sh</w:t>
      </w:r>
      <w:r w:rsidRPr="00120DEA">
        <w:rPr>
          <w:lang w:val="fr-FR"/>
        </w:rPr>
        <w:t>ahsawár), Mazandaran Province.</w:t>
      </w:r>
    </w:p>
    <w:p w14:paraId="3F89C75B" w14:textId="77777777" w:rsidR="00625A5B" w:rsidRPr="008F03E5" w:rsidRDefault="00625A5B" w:rsidP="00A6117A">
      <w:pPr>
        <w:pStyle w:val="Translit"/>
      </w:pPr>
      <w:r w:rsidRPr="008F03E5">
        <w:t>Khursand, Khursanda</w:t>
      </w:r>
      <w:r w:rsidRPr="008F03E5">
        <w:tab/>
      </w:r>
      <w:r w:rsidRPr="008F03E5">
        <w:rPr>
          <w:u w:val="single"/>
        </w:rPr>
        <w:t>Kh</w:t>
      </w:r>
      <w:r w:rsidRPr="008F03E5">
        <w:t xml:space="preserve">ursand, </w:t>
      </w:r>
      <w:r w:rsidRPr="008F03E5">
        <w:rPr>
          <w:u w:val="single"/>
        </w:rPr>
        <w:t>Kh</w:t>
      </w:r>
      <w:r w:rsidRPr="008F03E5">
        <w:t>ursanda</w:t>
      </w:r>
      <w:r w:rsidRPr="008F03E5">
        <w:tab/>
        <w:t>Pers. (</w:t>
      </w:r>
      <w:r w:rsidRPr="008F03E5">
        <w:rPr>
          <w:u w:val="single"/>
        </w:rPr>
        <w:t>Kh</w:t>
      </w:r>
      <w:r w:rsidRPr="008F03E5">
        <w:t>ursanda ends with an “h”)</w:t>
      </w:r>
      <w:r w:rsidRPr="008F03E5">
        <w:rPr>
          <w:rFonts w:eastAsia="Times New Roman"/>
        </w:rPr>
        <w:t xml:space="preserve"> content, satisfied, pleased.  T</w:t>
      </w:r>
      <w:r w:rsidRPr="008F03E5">
        <w:t>own 190 km west of Kirman</w:t>
      </w:r>
    </w:p>
    <w:p w14:paraId="23B1B252" w14:textId="77777777" w:rsidR="00625A5B" w:rsidRPr="008F03E5" w:rsidRDefault="00625A5B" w:rsidP="002D6B52">
      <w:pPr>
        <w:pStyle w:val="Translit"/>
      </w:pPr>
      <w:r w:rsidRPr="008F03E5">
        <w:t>Khurshid (Khorshid, Khurshed)</w:t>
      </w:r>
      <w:r w:rsidRPr="008F03E5">
        <w:tab/>
      </w:r>
      <w:r w:rsidRPr="008F03E5">
        <w:rPr>
          <w:u w:val="single"/>
        </w:rPr>
        <w:t>Kh</w:t>
      </w:r>
      <w:r w:rsidRPr="008F03E5">
        <w:t>ur</w:t>
      </w:r>
      <w:r w:rsidRPr="008F03E5">
        <w:rPr>
          <w:u w:val="single"/>
        </w:rPr>
        <w:t>sh</w:t>
      </w:r>
      <w:r w:rsidRPr="008F03E5">
        <w:t>íd</w:t>
      </w:r>
      <w:r w:rsidRPr="008F03E5">
        <w:tab/>
        <w:t>Pers. a name; the sun; sunshine; radiant sunshine.  See Á</w:t>
      </w:r>
      <w:r w:rsidRPr="008F03E5">
        <w:rPr>
          <w:rFonts w:eastAsia="PMingLiU"/>
          <w:lang w:eastAsia="zh-TW"/>
        </w:rPr>
        <w:t>ft</w:t>
      </w:r>
      <w:r w:rsidRPr="008F03E5">
        <w:t>á</w:t>
      </w:r>
      <w:r w:rsidRPr="008F03E5">
        <w:rPr>
          <w:rFonts w:eastAsia="PMingLiU"/>
          <w:lang w:eastAsia="zh-TW"/>
        </w:rPr>
        <w:t>b.</w:t>
      </w:r>
    </w:p>
    <w:p w14:paraId="7312B978" w14:textId="77777777" w:rsidR="00625A5B" w:rsidRPr="008F03E5" w:rsidRDefault="00625A5B" w:rsidP="002479BD">
      <w:pPr>
        <w:pStyle w:val="Translit"/>
      </w:pPr>
      <w:r w:rsidRPr="008F03E5">
        <w:t>Khuruj</w:t>
      </w:r>
      <w:r w:rsidRPr="008F03E5">
        <w:tab/>
      </w:r>
      <w:r w:rsidRPr="008F03E5">
        <w:rPr>
          <w:u w:val="single"/>
        </w:rPr>
        <w:t>Kh</w:t>
      </w:r>
      <w:r w:rsidRPr="008F03E5">
        <w:t>urúj</w:t>
      </w:r>
      <w:r w:rsidRPr="008F03E5">
        <w:tab/>
        <w:t>exit; egression, emergence; departure; exodus; emigration; raid, foray, sortie (against), attack, assault (on)</w:t>
      </w:r>
    </w:p>
    <w:p w14:paraId="30622DF3" w14:textId="77777777" w:rsidR="00625A5B" w:rsidRPr="008F03E5" w:rsidRDefault="00625A5B" w:rsidP="00C60BE5">
      <w:pPr>
        <w:pStyle w:val="Translit"/>
      </w:pPr>
      <w:r w:rsidRPr="008F03E5">
        <w:t>Khusf (Khosf)</w:t>
      </w:r>
      <w:r w:rsidRPr="008F03E5">
        <w:tab/>
      </w:r>
      <w:r w:rsidRPr="008F03E5">
        <w:rPr>
          <w:u w:val="single"/>
        </w:rPr>
        <w:t>Kh</w:t>
      </w:r>
      <w:r w:rsidRPr="008F03E5">
        <w:t>úsf</w:t>
      </w:r>
      <w:r w:rsidRPr="008F03E5">
        <w:tab/>
        <w:t xml:space="preserve">name of towns in South Khorasan Province (32 km </w:t>
      </w:r>
      <w:r w:rsidRPr="008F03E5">
        <w:rPr>
          <w:sz w:val="16"/>
          <w:szCs w:val="16"/>
        </w:rPr>
        <w:t>WSW</w:t>
      </w:r>
      <w:r w:rsidRPr="008F03E5">
        <w:t xml:space="preserve"> Birjand; Bahá’í martyrs; mentioned in </w:t>
      </w:r>
      <w:r w:rsidRPr="008F03E5">
        <w:rPr>
          <w:i/>
          <w:iCs/>
        </w:rPr>
        <w:t xml:space="preserve">The Bahá’í World:  </w:t>
      </w:r>
      <w:r w:rsidRPr="008F03E5">
        <w:t xml:space="preserve">32.778556, 58.887931) and Kerman Province (31.594244, 56.096502).  It is possible that </w:t>
      </w:r>
      <w:r w:rsidRPr="008F03E5">
        <w:rPr>
          <w:u w:val="single"/>
        </w:rPr>
        <w:t>Kh</w:t>
      </w:r>
      <w:r w:rsidRPr="008F03E5">
        <w:t xml:space="preserve">úsif in </w:t>
      </w:r>
      <w:r w:rsidRPr="008F03E5">
        <w:rPr>
          <w:i/>
          <w:iCs/>
        </w:rPr>
        <w:t xml:space="preserve">Bahíyyih </w:t>
      </w:r>
      <w:r w:rsidRPr="008F03E5">
        <w:rPr>
          <w:i/>
          <w:iCs/>
          <w:u w:val="single"/>
        </w:rPr>
        <w:t>Kh</w:t>
      </w:r>
      <w:r w:rsidRPr="008F03E5">
        <w:rPr>
          <w:i/>
          <w:iCs/>
        </w:rPr>
        <w:t>ánum</w:t>
      </w:r>
      <w:r w:rsidRPr="008F03E5">
        <w:t xml:space="preserve"> should be </w:t>
      </w:r>
      <w:r w:rsidRPr="008F03E5">
        <w:rPr>
          <w:u w:val="single"/>
        </w:rPr>
        <w:t>Kh</w:t>
      </w:r>
      <w:r w:rsidRPr="008F03E5">
        <w:t>úsf.</w:t>
      </w:r>
    </w:p>
    <w:p w14:paraId="418998C5" w14:textId="77777777" w:rsidR="00625A5B" w:rsidRPr="008F03E5" w:rsidRDefault="00625A5B" w:rsidP="00DA07B7">
      <w:pPr>
        <w:pStyle w:val="Translit"/>
        <w:rPr>
          <w:rFonts w:eastAsia="PMingLiU"/>
          <w:lang w:eastAsia="zh-TW"/>
        </w:rPr>
      </w:pPr>
      <w:r w:rsidRPr="008F03E5">
        <w:rPr>
          <w:rFonts w:eastAsia="Times New Roman"/>
        </w:rPr>
        <w:t>Khusha (Khosha)</w:t>
      </w:r>
      <w:r w:rsidRPr="008F03E5">
        <w:rPr>
          <w:rFonts w:eastAsia="Times New Roman"/>
        </w:rPr>
        <w:tab/>
      </w:r>
      <w:r w:rsidRPr="008F03E5">
        <w:rPr>
          <w:rFonts w:eastAsia="Times New Roman"/>
          <w:u w:val="single"/>
        </w:rPr>
        <w:t>Kh</w:t>
      </w:r>
      <w:r w:rsidRPr="008F03E5">
        <w:rPr>
          <w:rFonts w:eastAsia="Times New Roman"/>
        </w:rPr>
        <w:t>ú</w:t>
      </w:r>
      <w:r w:rsidRPr="008F03E5">
        <w:rPr>
          <w:rFonts w:eastAsia="Times New Roman"/>
          <w:u w:val="single"/>
        </w:rPr>
        <w:t>sh</w:t>
      </w:r>
      <w:r w:rsidRPr="008F03E5">
        <w:rPr>
          <w:rFonts w:eastAsia="Times New Roman"/>
        </w:rPr>
        <w:t>a</w:t>
      </w:r>
      <w:r w:rsidRPr="008F03E5">
        <w:rPr>
          <w:rFonts w:eastAsia="Times New Roman"/>
        </w:rPr>
        <w:tab/>
        <w:t xml:space="preserve">Pers. a cluster or bunch of grapes or dates; an ear of corn; the constellation Virgo; gleaning; the rainbow.  </w:t>
      </w:r>
      <w:r w:rsidRPr="008F03E5">
        <w:rPr>
          <w:u w:val="single"/>
        </w:rPr>
        <w:t>Kh</w:t>
      </w:r>
      <w:r w:rsidRPr="008F03E5">
        <w:t>ú</w:t>
      </w:r>
      <w:r w:rsidRPr="008F03E5">
        <w:rPr>
          <w:u w:val="single"/>
        </w:rPr>
        <w:t>sh</w:t>
      </w:r>
      <w:r w:rsidRPr="008F03E5">
        <w:t xml:space="preserve">ih-i-Há’í Az </w:t>
      </w:r>
      <w:r w:rsidRPr="008F03E5">
        <w:rPr>
          <w:u w:val="single"/>
        </w:rPr>
        <w:t>Kh</w:t>
      </w:r>
      <w:r w:rsidRPr="008F03E5">
        <w:t>arman-i-Adab va Hunar “from the rich harvest of Persian culture and literature”, 20 volumes of scholarship in Persian, based on proceedings and papers from the Society of Persian Arts and Letters conferences (1989–2018).</w:t>
      </w:r>
    </w:p>
    <w:p w14:paraId="56B6A112" w14:textId="77777777" w:rsidR="00625A5B" w:rsidRPr="008F03E5" w:rsidRDefault="00625A5B" w:rsidP="00166620">
      <w:pPr>
        <w:pStyle w:val="Translit"/>
        <w:rPr>
          <w:rFonts w:eastAsia="PMingLiU"/>
          <w:lang w:eastAsia="zh-TW"/>
        </w:rPr>
      </w:pPr>
      <w:r w:rsidRPr="008F03E5">
        <w:rPr>
          <w:rFonts w:eastAsia="PMingLiU"/>
          <w:lang w:eastAsia="zh-TW"/>
        </w:rPr>
        <w:t>Khushk</w:t>
      </w:r>
      <w:r w:rsidRPr="008F03E5">
        <w:rPr>
          <w:rFonts w:eastAsia="PMingLiU"/>
          <w:lang w:eastAsia="zh-TW"/>
        </w:rPr>
        <w:tab/>
      </w:r>
      <w:r w:rsidRPr="008F03E5">
        <w:rPr>
          <w:rFonts w:eastAsia="PMingLiU"/>
          <w:u w:val="single"/>
          <w:lang w:eastAsia="zh-TW"/>
        </w:rPr>
        <w:t>Kh</w:t>
      </w:r>
      <w:r w:rsidRPr="008F03E5">
        <w:rPr>
          <w:rFonts w:eastAsia="PMingLiU"/>
          <w:lang w:eastAsia="zh-TW"/>
        </w:rPr>
        <w:t>u</w:t>
      </w:r>
      <w:r w:rsidRPr="008F03E5">
        <w:rPr>
          <w:rFonts w:eastAsia="PMingLiU"/>
          <w:u w:val="single"/>
          <w:lang w:eastAsia="zh-TW"/>
        </w:rPr>
        <w:t>sh</w:t>
      </w:r>
      <w:r w:rsidRPr="008F03E5">
        <w:rPr>
          <w:rFonts w:eastAsia="PMingLiU"/>
          <w:lang w:eastAsia="zh-TW"/>
        </w:rPr>
        <w:t>k</w:t>
      </w:r>
      <w:r w:rsidRPr="008F03E5">
        <w:rPr>
          <w:rFonts w:eastAsia="PMingLiU"/>
          <w:lang w:eastAsia="zh-TW"/>
        </w:rPr>
        <w:tab/>
        <w:t>Pers. dry, withered; useless, barren; pure, mere, genuine; avaricious, tenacious</w:t>
      </w:r>
    </w:p>
    <w:p w14:paraId="374E11C5" w14:textId="77777777" w:rsidR="00625A5B" w:rsidRPr="008F03E5" w:rsidRDefault="00625A5B" w:rsidP="000C5CF9">
      <w:pPr>
        <w:pStyle w:val="Translit"/>
      </w:pPr>
      <w:r w:rsidRPr="008F03E5">
        <w:rPr>
          <w:rFonts w:eastAsia="PMingLiU"/>
          <w:lang w:eastAsia="zh-TW"/>
        </w:rPr>
        <w:t>Khushkhu</w:t>
      </w:r>
      <w:r w:rsidRPr="008F03E5">
        <w:tab/>
      </w:r>
      <w:r w:rsidRPr="008F03E5">
        <w:rPr>
          <w:u w:val="single"/>
        </w:rPr>
        <w:t>Kh</w:t>
      </w:r>
      <w:r w:rsidRPr="008F03E5">
        <w:rPr>
          <w:rFonts w:eastAsia="PMingLiU"/>
          <w:lang w:eastAsia="zh-TW"/>
        </w:rPr>
        <w:t>u</w:t>
      </w:r>
      <w:r w:rsidRPr="008F03E5">
        <w:rPr>
          <w:u w:val="single"/>
        </w:rPr>
        <w:t>shkh</w:t>
      </w:r>
      <w:r w:rsidRPr="008F03E5">
        <w:rPr>
          <w:rFonts w:eastAsia="PMingLiU"/>
          <w:lang w:eastAsia="zh-TW"/>
        </w:rPr>
        <w:t>ú (</w:t>
      </w:r>
      <w:r w:rsidRPr="008F03E5">
        <w:rPr>
          <w:rFonts w:eastAsia="PMingLiU"/>
          <w:u w:val="single"/>
          <w:lang w:eastAsia="zh-TW"/>
        </w:rPr>
        <w:t>Kh</w:t>
      </w:r>
      <w:r w:rsidRPr="008F03E5">
        <w:rPr>
          <w:rFonts w:eastAsia="PMingLiU"/>
          <w:lang w:eastAsia="zh-TW"/>
        </w:rPr>
        <w:t>wu</w:t>
      </w:r>
      <w:r w:rsidRPr="008F03E5">
        <w:rPr>
          <w:rFonts w:eastAsia="PMingLiU"/>
          <w:u w:val="single"/>
          <w:lang w:eastAsia="zh-TW"/>
        </w:rPr>
        <w:t>sh</w:t>
      </w:r>
      <w:r w:rsidRPr="008F03E5">
        <w:rPr>
          <w:rFonts w:eastAsia="PMingLiU"/>
          <w:lang w:eastAsia="zh-TW"/>
        </w:rPr>
        <w:t>-</w:t>
      </w:r>
      <w:r w:rsidRPr="008F03E5">
        <w:rPr>
          <w:rFonts w:eastAsia="PMingLiU"/>
          <w:u w:val="single"/>
          <w:lang w:eastAsia="zh-TW"/>
        </w:rPr>
        <w:t>Kh</w:t>
      </w:r>
      <w:r w:rsidRPr="008F03E5">
        <w:t>ú</w:t>
      </w:r>
      <w:r w:rsidRPr="008F03E5">
        <w:rPr>
          <w:rFonts w:eastAsia="PMingLiU"/>
          <w:lang w:eastAsia="zh-TW"/>
        </w:rPr>
        <w:t>)</w:t>
      </w:r>
      <w:r w:rsidRPr="008F03E5">
        <w:tab/>
        <w:t>Pers. good-natured, of an excellent disposition</w:t>
      </w:r>
    </w:p>
    <w:p w14:paraId="490C916D" w14:textId="77777777" w:rsidR="00625A5B" w:rsidRPr="008F03E5" w:rsidRDefault="00625A5B" w:rsidP="00332B31">
      <w:pPr>
        <w:pStyle w:val="Translit"/>
      </w:pPr>
      <w:r w:rsidRPr="008F03E5">
        <w:rPr>
          <w:rFonts w:eastAsia="Times New Roman"/>
        </w:rPr>
        <w:t>Khushnud (Khoshnud), Khushnudan</w:t>
      </w:r>
      <w:r w:rsidRPr="008F03E5">
        <w:rPr>
          <w:rFonts w:eastAsia="Times New Roman"/>
        </w:rPr>
        <w:tab/>
      </w:r>
      <w:r w:rsidRPr="008F03E5">
        <w:rPr>
          <w:rFonts w:eastAsia="Times New Roman"/>
          <w:u w:val="single"/>
        </w:rPr>
        <w:t>Kh</w:t>
      </w:r>
      <w:r w:rsidRPr="008F03E5">
        <w:rPr>
          <w:rFonts w:eastAsia="Times New Roman"/>
        </w:rPr>
        <w:t>u</w:t>
      </w:r>
      <w:r w:rsidRPr="008F03E5">
        <w:rPr>
          <w:rFonts w:eastAsia="Times New Roman"/>
          <w:u w:val="single"/>
        </w:rPr>
        <w:t>sh</w:t>
      </w:r>
      <w:r w:rsidRPr="008F03E5">
        <w:rPr>
          <w:rFonts w:eastAsia="Times New Roman"/>
        </w:rPr>
        <w:t>n</w:t>
      </w:r>
      <w:r w:rsidRPr="008F03E5">
        <w:t>ú</w:t>
      </w:r>
      <w:r w:rsidRPr="008F03E5">
        <w:rPr>
          <w:rFonts w:eastAsia="Times New Roman"/>
        </w:rPr>
        <w:t>d</w:t>
      </w:r>
      <w:r w:rsidRPr="008F03E5">
        <w:rPr>
          <w:rFonts w:eastAsia="Times New Roman"/>
        </w:rPr>
        <w:tab/>
        <w:t xml:space="preserve">Pers. content, pleased, happy;—pl. </w:t>
      </w:r>
      <w:r w:rsidRPr="008F03E5">
        <w:rPr>
          <w:rFonts w:eastAsia="Times New Roman"/>
          <w:u w:val="single"/>
        </w:rPr>
        <w:t>kh</w:t>
      </w:r>
      <w:r w:rsidRPr="008F03E5">
        <w:rPr>
          <w:rFonts w:eastAsia="Times New Roman"/>
        </w:rPr>
        <w:t>u</w:t>
      </w:r>
      <w:r w:rsidRPr="008F03E5">
        <w:rPr>
          <w:rFonts w:eastAsia="Times New Roman"/>
          <w:u w:val="single"/>
        </w:rPr>
        <w:t>sh</w:t>
      </w:r>
      <w:r w:rsidRPr="008F03E5">
        <w:rPr>
          <w:rFonts w:eastAsia="Times New Roman"/>
        </w:rPr>
        <w:t>n</w:t>
      </w:r>
      <w:r w:rsidRPr="008F03E5">
        <w:t>ú</w:t>
      </w:r>
      <w:r w:rsidRPr="008F03E5">
        <w:rPr>
          <w:rFonts w:eastAsia="Times New Roman"/>
        </w:rPr>
        <w:t>d</w:t>
      </w:r>
      <w:r w:rsidRPr="008F03E5">
        <w:t>á</w:t>
      </w:r>
      <w:r w:rsidRPr="008F03E5">
        <w:rPr>
          <w:rFonts w:eastAsia="Times New Roman"/>
        </w:rPr>
        <w:t xml:space="preserve">n, happy people.  </w:t>
      </w:r>
      <w:r w:rsidRPr="008F03E5">
        <w:t>Rúzbih</w:t>
      </w:r>
      <w:r w:rsidRPr="008F03E5">
        <w:rPr>
          <w:lang w:bidi="ar"/>
        </w:rPr>
        <w:t xml:space="preserve"> </w:t>
      </w:r>
      <w:r w:rsidRPr="008F03E5">
        <w:rPr>
          <w:u w:val="single"/>
        </w:rPr>
        <w:t>Kh</w:t>
      </w:r>
      <w:r w:rsidRPr="008F03E5">
        <w:t>u</w:t>
      </w:r>
      <w:r w:rsidRPr="008F03E5">
        <w:rPr>
          <w:u w:val="single"/>
        </w:rPr>
        <w:t>sh</w:t>
      </w:r>
      <w:r w:rsidRPr="008F03E5">
        <w:t xml:space="preserve">núdán, born in Kázirún, Fars Province.  Later known as Salmán al-Fárisí.  A Zoroastrian who became a Christian and, being told a Prophet was about to arise in Arabia, journeyed there.  He met Muḥammad at Qubá’ on His migration to Medina, recognized His station and became a Muslim (the first Persian).  </w:t>
      </w:r>
      <w:r w:rsidRPr="008F03E5">
        <w:rPr>
          <w:lang w:bidi="ar"/>
        </w:rPr>
        <w:t>He became a Companion of Muḥammad and is credited with suggesting a trench be dug around Medina before it was attacked by non-Muslims in the Battle of the Trench.</w:t>
      </w:r>
    </w:p>
    <w:p w14:paraId="0233DACB" w14:textId="77777777" w:rsidR="00625A5B" w:rsidRPr="008F03E5" w:rsidRDefault="00625A5B" w:rsidP="00600604">
      <w:pPr>
        <w:pStyle w:val="Translit"/>
      </w:pPr>
      <w:r w:rsidRPr="008F03E5">
        <w:t>Khusraw (Khusrav, Khusrau)</w:t>
      </w:r>
      <w:r w:rsidRPr="008F03E5">
        <w:tab/>
      </w:r>
      <w:r w:rsidRPr="008F03E5">
        <w:rPr>
          <w:u w:val="single"/>
        </w:rPr>
        <w:t>Kh</w:t>
      </w:r>
      <w:r w:rsidRPr="008F03E5">
        <w:t>usraw</w:t>
      </w:r>
      <w:r w:rsidRPr="008F03E5">
        <w:tab/>
        <w:t xml:space="preserve">Pers. a celebrated Persian king (Khosrow, Khosroe, Khosru or Cyrus).  Kay </w:t>
      </w:r>
      <w:r w:rsidRPr="008F03E5">
        <w:rPr>
          <w:u w:val="single"/>
        </w:rPr>
        <w:t>Kh</w:t>
      </w:r>
      <w:r w:rsidRPr="008F03E5">
        <w:t xml:space="preserve">usraw </w:t>
      </w:r>
      <w:r w:rsidRPr="008F03E5">
        <w:rPr>
          <w:u w:val="single"/>
        </w:rPr>
        <w:t>Kh</w:t>
      </w:r>
      <w:r w:rsidRPr="008F03E5">
        <w:t>udádád, believed to be the first to embrace the Faith of Bahá’u’lláh from the Zoroastrian community.</w:t>
      </w:r>
    </w:p>
    <w:p w14:paraId="1A5D4935" w14:textId="77777777" w:rsidR="00625A5B" w:rsidRPr="008F03E5" w:rsidRDefault="00625A5B" w:rsidP="000D40EF">
      <w:pPr>
        <w:pStyle w:val="Translit"/>
      </w:pPr>
      <w:r w:rsidRPr="008F03E5">
        <w:t>Khusraw Parviz (Parvez)</w:t>
      </w:r>
      <w:r w:rsidRPr="008F03E5">
        <w:tab/>
      </w:r>
      <w:r w:rsidRPr="008F03E5">
        <w:rPr>
          <w:u w:val="single"/>
        </w:rPr>
        <w:t>Kh</w:t>
      </w:r>
      <w:r w:rsidRPr="008F03E5">
        <w:t>usraw Parvíz</w:t>
      </w:r>
      <w:r w:rsidRPr="008F03E5">
        <w:tab/>
        <w:t xml:space="preserve">(Chosroes </w:t>
      </w:r>
      <w:r w:rsidRPr="008F03E5">
        <w:rPr>
          <w:sz w:val="16"/>
          <w:szCs w:val="16"/>
        </w:rPr>
        <w:t>II</w:t>
      </w:r>
      <w:r w:rsidRPr="008F03E5">
        <w:t>), the Sasanian monarch</w:t>
      </w:r>
    </w:p>
    <w:p w14:paraId="07CE3739" w14:textId="77777777" w:rsidR="00625A5B" w:rsidRPr="008F03E5" w:rsidRDefault="00625A5B" w:rsidP="00600604">
      <w:pPr>
        <w:pStyle w:val="Translit"/>
      </w:pPr>
      <w:r w:rsidRPr="008F03E5">
        <w:t>Khusrawjird</w:t>
      </w:r>
      <w:r w:rsidRPr="008F03E5">
        <w:tab/>
        <w:t>Khusrawjird</w:t>
      </w:r>
      <w:r w:rsidRPr="008F03E5">
        <w:tab/>
        <w:t>village 7 km west of Sabzivár</w:t>
      </w:r>
    </w:p>
    <w:p w14:paraId="0D293C55" w14:textId="77777777" w:rsidR="00625A5B" w:rsidRPr="008F03E5" w:rsidRDefault="00625A5B" w:rsidP="009E4B00">
      <w:pPr>
        <w:pStyle w:val="Translit"/>
      </w:pPr>
      <w:r w:rsidRPr="008F03E5">
        <w:t>Khusus</w:t>
      </w:r>
      <w:r w:rsidRPr="008F03E5">
        <w:tab/>
      </w:r>
      <w:r w:rsidRPr="008F03E5">
        <w:rPr>
          <w:u w:val="single"/>
        </w:rPr>
        <w:t>Kh</w:t>
      </w:r>
      <w:r w:rsidRPr="008F03E5">
        <w:t>uṣúṣ</w:t>
      </w:r>
      <w:r w:rsidRPr="008F03E5">
        <w:tab/>
        <w:t>specialness</w:t>
      </w:r>
    </w:p>
    <w:p w14:paraId="01FC4C52" w14:textId="77777777" w:rsidR="00625A5B" w:rsidRPr="008F03E5" w:rsidRDefault="00625A5B" w:rsidP="00546A69">
      <w:pPr>
        <w:pStyle w:val="Translit"/>
      </w:pPr>
      <w:r w:rsidRPr="00546A69">
        <w:rPr>
          <w:lang w:val="en-AU"/>
        </w:rPr>
        <w:t>Khutan (Khotan, Khoten)</w:t>
      </w:r>
      <w:r w:rsidRPr="00546A69">
        <w:rPr>
          <w:lang w:val="en-AU"/>
        </w:rPr>
        <w:tab/>
      </w:r>
      <w:r w:rsidRPr="00546A69">
        <w:rPr>
          <w:u w:val="single"/>
          <w:lang w:val="en-AU"/>
        </w:rPr>
        <w:t>Kh</w:t>
      </w:r>
      <w:r w:rsidRPr="00546A69">
        <w:rPr>
          <w:lang w:val="en-AU"/>
        </w:rPr>
        <w:t>utan</w:t>
      </w:r>
      <w:r w:rsidRPr="00546A69">
        <w:rPr>
          <w:lang w:val="en-AU"/>
        </w:rPr>
        <w:tab/>
        <w:t xml:space="preserve">Pers. </w:t>
      </w:r>
      <w:r>
        <w:t>a</w:t>
      </w:r>
      <w:r w:rsidRPr="008F03E5">
        <w:t>ncient Buddhist city/region west of modern Hotan, Tibet, known for musk production</w:t>
      </w:r>
      <w:r>
        <w:t xml:space="preserve"> from th</w:t>
      </w:r>
      <w:r w:rsidRPr="00546A69">
        <w:t>e Siberian musk deer</w:t>
      </w:r>
      <w:r>
        <w:t xml:space="preserve"> </w:t>
      </w:r>
      <w:r w:rsidRPr="00546A69">
        <w:t>(</w:t>
      </w:r>
      <w:r w:rsidRPr="00546A69">
        <w:rPr>
          <w:i/>
          <w:iCs/>
        </w:rPr>
        <w:t>Moschus moschiferus</w:t>
      </w:r>
      <w:r w:rsidRPr="00546A69">
        <w:t>)</w:t>
      </w:r>
      <w:r>
        <w:t>.</w:t>
      </w:r>
    </w:p>
    <w:p w14:paraId="4708852F" w14:textId="77777777" w:rsidR="00625A5B" w:rsidRPr="008F03E5" w:rsidRDefault="00625A5B" w:rsidP="00791716">
      <w:pPr>
        <w:pStyle w:val="Translit"/>
      </w:pPr>
      <w:r w:rsidRPr="008F03E5">
        <w:t>Khutba, Khutbih, Khutab</w:t>
      </w:r>
      <w:r w:rsidRPr="008F03E5">
        <w:tab/>
      </w:r>
      <w:r w:rsidRPr="008F03E5">
        <w:rPr>
          <w:u w:val="single"/>
        </w:rPr>
        <w:t>Kh</w:t>
      </w:r>
      <w:r w:rsidRPr="008F03E5">
        <w:t xml:space="preserve">uṭba[t], Pers. </w:t>
      </w:r>
      <w:r w:rsidRPr="008F03E5">
        <w:rPr>
          <w:u w:val="single"/>
        </w:rPr>
        <w:t>Kh</w:t>
      </w:r>
      <w:r w:rsidRPr="008F03E5">
        <w:t xml:space="preserve">uṭbih, pl. </w:t>
      </w:r>
      <w:r w:rsidRPr="008F03E5">
        <w:rPr>
          <w:u w:val="single"/>
        </w:rPr>
        <w:t>Kh</w:t>
      </w:r>
      <w:r w:rsidRPr="008F03E5">
        <w:t>uṭab</w:t>
      </w:r>
      <w:r w:rsidRPr="008F03E5">
        <w:tab/>
      </w:r>
      <w:r>
        <w:t xml:space="preserve">fem. </w:t>
      </w:r>
      <w:r w:rsidRPr="008F03E5">
        <w:t>public address; speech; lecture, discourse; oration; sermon, specifically, Muslim Friday midday sermon</w:t>
      </w:r>
    </w:p>
    <w:p w14:paraId="2CEA3A0A" w14:textId="77777777" w:rsidR="00625A5B" w:rsidRPr="008F03E5" w:rsidRDefault="00625A5B" w:rsidP="00B922DE">
      <w:pPr>
        <w:pStyle w:val="Translit"/>
      </w:pPr>
      <w:r w:rsidRPr="008F03E5">
        <w:t>Khutbat</w:t>
      </w:r>
      <w:r>
        <w:t xml:space="preserve"> a</w:t>
      </w:r>
      <w:r w:rsidRPr="008F03E5">
        <w:t>sh-Sh</w:t>
      </w:r>
      <w:r>
        <w:t>a</w:t>
      </w:r>
      <w:r w:rsidRPr="008F03E5">
        <w:t>qsh</w:t>
      </w:r>
      <w:r>
        <w:t>a</w:t>
      </w:r>
      <w:r w:rsidRPr="008F03E5">
        <w:t>qiya</w:t>
      </w:r>
      <w:r w:rsidRPr="008F03E5">
        <w:tab/>
      </w:r>
      <w:r>
        <w:t>al-</w:t>
      </w:r>
      <w:r w:rsidRPr="008F03E5">
        <w:rPr>
          <w:u w:val="single"/>
        </w:rPr>
        <w:t>Kh</w:t>
      </w:r>
      <w:r w:rsidRPr="008F03E5">
        <w:t>uṭbat</w:t>
      </w:r>
      <w:r>
        <w:t xml:space="preserve"> a</w:t>
      </w:r>
      <w:r w:rsidRPr="000E1FF4">
        <w:rPr>
          <w:u w:val="single"/>
        </w:rPr>
        <w:t>sh</w:t>
      </w:r>
      <w:r w:rsidRPr="008F03E5">
        <w:t>-</w:t>
      </w:r>
      <w:r w:rsidRPr="008F03E5">
        <w:rPr>
          <w:u w:val="single"/>
        </w:rPr>
        <w:t>Sh</w:t>
      </w:r>
      <w:r>
        <w:t>a</w:t>
      </w:r>
      <w:r w:rsidRPr="008F03E5">
        <w:t>q</w:t>
      </w:r>
      <w:r w:rsidRPr="008F03E5">
        <w:rPr>
          <w:u w:val="single"/>
        </w:rPr>
        <w:t>sh</w:t>
      </w:r>
      <w:r>
        <w:t>a</w:t>
      </w:r>
      <w:r w:rsidRPr="008F03E5">
        <w:t>q</w:t>
      </w:r>
      <w:r w:rsidRPr="000E1FF4">
        <w:t>í</w:t>
      </w:r>
      <w:r w:rsidRPr="008F03E5">
        <w:t>ya</w:t>
      </w:r>
      <w:r w:rsidRPr="008F03E5">
        <w:tab/>
      </w:r>
      <w:r>
        <w:t>(al-</w:t>
      </w:r>
      <w:r w:rsidRPr="008F03E5">
        <w:rPr>
          <w:u w:val="single"/>
        </w:rPr>
        <w:t>Kh</w:t>
      </w:r>
      <w:r w:rsidRPr="008F03E5">
        <w:t>uṭbat</w:t>
      </w:r>
      <w:r>
        <w:t>u’</w:t>
      </w:r>
      <w:r w:rsidRPr="000E1FF4">
        <w:rPr>
          <w:u w:val="single"/>
        </w:rPr>
        <w:t>sh</w:t>
      </w:r>
      <w:r w:rsidRPr="008F03E5">
        <w:t>-</w:t>
      </w:r>
      <w:r w:rsidRPr="008F03E5">
        <w:rPr>
          <w:u w:val="single"/>
        </w:rPr>
        <w:t>Sh</w:t>
      </w:r>
      <w:r>
        <w:t>a</w:t>
      </w:r>
      <w:r w:rsidRPr="008F03E5">
        <w:t>q</w:t>
      </w:r>
      <w:r w:rsidRPr="008F03E5">
        <w:rPr>
          <w:u w:val="single"/>
        </w:rPr>
        <w:t>sh</w:t>
      </w:r>
      <w:r>
        <w:t>a</w:t>
      </w:r>
      <w:r w:rsidRPr="008F03E5">
        <w:t>q</w:t>
      </w:r>
      <w:r w:rsidRPr="000E1FF4">
        <w:t>í</w:t>
      </w:r>
      <w:r w:rsidRPr="008F03E5">
        <w:t>ya</w:t>
      </w:r>
      <w:r>
        <w:t>, also al-</w:t>
      </w:r>
      <w:r w:rsidRPr="008F03E5">
        <w:rPr>
          <w:u w:val="single"/>
        </w:rPr>
        <w:t>Kh</w:t>
      </w:r>
      <w:r w:rsidRPr="008F03E5">
        <w:t>uṭbat</w:t>
      </w:r>
      <w:r>
        <w:t xml:space="preserve"> a</w:t>
      </w:r>
      <w:r w:rsidRPr="000E1FF4">
        <w:rPr>
          <w:u w:val="single"/>
        </w:rPr>
        <w:t>sh</w:t>
      </w:r>
      <w:r w:rsidRPr="008F03E5">
        <w:t>-</w:t>
      </w:r>
      <w:r w:rsidRPr="008F03E5">
        <w:rPr>
          <w:u w:val="single"/>
        </w:rPr>
        <w:t>Sh</w:t>
      </w:r>
      <w:r>
        <w:t>i</w:t>
      </w:r>
      <w:r w:rsidRPr="008F03E5">
        <w:t>q</w:t>
      </w:r>
      <w:r w:rsidRPr="008F03E5">
        <w:rPr>
          <w:u w:val="single"/>
        </w:rPr>
        <w:t>sh</w:t>
      </w:r>
      <w:r>
        <w:t>i</w:t>
      </w:r>
      <w:r w:rsidRPr="008F03E5">
        <w:t>q</w:t>
      </w:r>
      <w:r w:rsidRPr="000E1FF4">
        <w:t>í</w:t>
      </w:r>
      <w:r w:rsidRPr="008F03E5">
        <w:t>ya</w:t>
      </w:r>
      <w:r>
        <w:t>)</w:t>
      </w:r>
      <w:r w:rsidRPr="008F03E5">
        <w:t xml:space="preserve"> </w:t>
      </w:r>
      <w:r>
        <w:t xml:space="preserve">“the roaring camel sermon” or the Shaqshaqiya sermon, </w:t>
      </w:r>
      <w:r w:rsidRPr="008F03E5">
        <w:t xml:space="preserve">a sermon preached by Imám ‘Alí (a favourite among </w:t>
      </w:r>
      <w:r w:rsidRPr="008F03E5">
        <w:rPr>
          <w:u w:val="single"/>
        </w:rPr>
        <w:t>Sh</w:t>
      </w:r>
      <w:r w:rsidRPr="008F03E5">
        <w:t xml:space="preserve">í‘í Muslims because it is a rare statement by ‘Alí on the usurpation of the caliphate by Abú Bakr) that was interrupted by a member of the audience asking a question.  When begged by Ibn ‘Abbás to continue his address, ‘Alí answered, “The </w:t>
      </w:r>
      <w:r w:rsidRPr="008F03E5">
        <w:rPr>
          <w:u w:val="single"/>
        </w:rPr>
        <w:t>sh</w:t>
      </w:r>
      <w:r w:rsidRPr="008F03E5">
        <w:t>iq</w:t>
      </w:r>
      <w:r w:rsidRPr="008F03E5">
        <w:rPr>
          <w:u w:val="single"/>
        </w:rPr>
        <w:t>sh</w:t>
      </w:r>
      <w:r w:rsidRPr="008F03E5">
        <w:t>iqa has roared and subsided”, meaning the inspiration of the moment has gone.</w:t>
      </w:r>
    </w:p>
    <w:p w14:paraId="30C15392" w14:textId="77777777" w:rsidR="00625A5B" w:rsidRPr="008F03E5" w:rsidRDefault="00625A5B" w:rsidP="00AC44D3">
      <w:pPr>
        <w:pStyle w:val="Translit"/>
      </w:pPr>
      <w:r w:rsidRPr="008F03E5">
        <w:t>Khutbat at-Tutunjiya</w:t>
      </w:r>
      <w:r w:rsidRPr="008F03E5">
        <w:tab/>
      </w:r>
      <w:r w:rsidRPr="008F03E5">
        <w:rPr>
          <w:u w:val="single"/>
        </w:rPr>
        <w:t>Kh</w:t>
      </w:r>
      <w:r w:rsidRPr="008F03E5">
        <w:t>uṭbat aṭ-Ṭutunjíya[h]</w:t>
      </w:r>
      <w:r w:rsidRPr="008F03E5">
        <w:tab/>
        <w:t xml:space="preserve">Ar. loosely “Sermon of the Gulf” or “Sermon of the Twin Gulfs”—a sermon or discourse attributed to Imám ‘Alí who delivered it between Kufah and Medina.  Name derived from the occurrence (5×—in singular and dual forms) of the Arabic quadrilateral </w:t>
      </w:r>
      <w:r w:rsidRPr="008F03E5">
        <w:rPr>
          <w:rtl/>
        </w:rPr>
        <w:t>طتنج</w:t>
      </w:r>
      <w:r w:rsidRPr="008F03E5">
        <w:t xml:space="preserve"> (Ṭ-T-N-J= ṭutunj) or </w:t>
      </w:r>
      <w:r w:rsidRPr="008F03E5">
        <w:rPr>
          <w:rtl/>
        </w:rPr>
        <w:t>تطنج</w:t>
      </w:r>
      <w:r w:rsidRPr="008F03E5">
        <w:t xml:space="preserve"> (T-Ṭ-N-J = ṭatanj).  Pers. </w:t>
      </w:r>
      <w:r w:rsidRPr="008F03E5">
        <w:rPr>
          <w:u w:val="single"/>
        </w:rPr>
        <w:t>Kh</w:t>
      </w:r>
      <w:r w:rsidRPr="008F03E5">
        <w:t xml:space="preserve">uṭbih-i-Ṭutunjiyya or </w:t>
      </w:r>
      <w:r w:rsidRPr="008F03E5">
        <w:rPr>
          <w:u w:val="single"/>
        </w:rPr>
        <w:t>Kh</w:t>
      </w:r>
      <w:r w:rsidRPr="008F03E5">
        <w:t>uṭbatu’l-Ṭutunjiyah.</w:t>
      </w:r>
    </w:p>
    <w:p w14:paraId="03AFDBE3" w14:textId="77777777" w:rsidR="00625A5B" w:rsidRPr="008F03E5" w:rsidRDefault="00625A5B" w:rsidP="005A4F31">
      <w:pPr>
        <w:pStyle w:val="Translit"/>
      </w:pPr>
      <w:r w:rsidRPr="008F03E5">
        <w:t>Khutbiy-i-Dhikriyyih</w:t>
      </w:r>
      <w:r w:rsidRPr="008F03E5">
        <w:tab/>
      </w:r>
      <w:r w:rsidRPr="008F03E5">
        <w:rPr>
          <w:u w:val="single"/>
        </w:rPr>
        <w:t>Kh</w:t>
      </w:r>
      <w:r w:rsidRPr="008F03E5">
        <w:t>uṭbiy-i-</w:t>
      </w:r>
      <w:r w:rsidRPr="008F03E5">
        <w:rPr>
          <w:u w:val="single"/>
        </w:rPr>
        <w:t>Dh</w:t>
      </w:r>
      <w:r w:rsidRPr="008F03E5">
        <w:t>ikríyyih</w:t>
      </w:r>
      <w:r w:rsidRPr="008F03E5">
        <w:tab/>
        <w:t>“Sermon of Remembrance” by the Báb.  Also called Tafsír-i-Há’ (Interpretation of the Letter Há’) and Ṣaḥifiy-i-Ja‘faríyyih (Epistle of Ja‘far)</w:t>
      </w:r>
    </w:p>
    <w:p w14:paraId="0C9350C2" w14:textId="77777777" w:rsidR="00625A5B" w:rsidRPr="008F03E5" w:rsidRDefault="00625A5B" w:rsidP="007114BE">
      <w:pPr>
        <w:pStyle w:val="Translit"/>
      </w:pPr>
      <w:r w:rsidRPr="008F03E5">
        <w:t>Khutbiy-i-Jiddah</w:t>
      </w:r>
      <w:r w:rsidRPr="008F03E5">
        <w:tab/>
      </w:r>
      <w:r w:rsidRPr="008F03E5">
        <w:rPr>
          <w:u w:val="single"/>
        </w:rPr>
        <w:t>Kh</w:t>
      </w:r>
      <w:r w:rsidRPr="008F03E5">
        <w:t>uṭbiy-i-Jiddah</w:t>
      </w:r>
      <w:r w:rsidRPr="008F03E5">
        <w:tab/>
        <w:t>“Sermon of Jiddah” by the Báb</w:t>
      </w:r>
    </w:p>
    <w:p w14:paraId="0A8DEC49" w14:textId="77777777" w:rsidR="00625A5B" w:rsidRPr="008F03E5" w:rsidRDefault="00625A5B" w:rsidP="00900A82">
      <w:pPr>
        <w:pStyle w:val="Translit"/>
      </w:pPr>
      <w:r w:rsidRPr="008F03E5">
        <w:t>Khutbiy-i-Qahriyyih</w:t>
      </w:r>
      <w:r w:rsidRPr="008F03E5">
        <w:tab/>
      </w:r>
      <w:r w:rsidRPr="008F03E5">
        <w:rPr>
          <w:u w:val="single"/>
        </w:rPr>
        <w:t>Kh</w:t>
      </w:r>
      <w:r w:rsidRPr="008F03E5">
        <w:t>uṭbiy-i-Qahríyyih</w:t>
      </w:r>
      <w:r w:rsidRPr="008F03E5">
        <w:tab/>
        <w:t>“Sermon of Wrath” by the Báb</w:t>
      </w:r>
    </w:p>
    <w:p w14:paraId="01AE5CC7" w14:textId="77777777" w:rsidR="00625A5B" w:rsidRPr="00305A66" w:rsidRDefault="00625A5B" w:rsidP="00305A66">
      <w:pPr>
        <w:pStyle w:val="Translit"/>
      </w:pPr>
      <w:r w:rsidRPr="00305A66">
        <w:rPr>
          <w:rFonts w:eastAsia="Times New Roman"/>
          <w:lang w:val="en-AU"/>
        </w:rPr>
        <w:t>Kh</w:t>
      </w:r>
      <w:r w:rsidRPr="001161C3">
        <w:rPr>
          <w:rFonts w:eastAsia="Times New Roman"/>
          <w:lang w:val="en-AU"/>
        </w:rPr>
        <w:t>u</w:t>
      </w:r>
      <w:r>
        <w:rPr>
          <w:rFonts w:eastAsia="Times New Roman"/>
          <w:lang w:val="en-AU"/>
        </w:rPr>
        <w:t>t</w:t>
      </w:r>
      <w:r w:rsidRPr="001161C3">
        <w:rPr>
          <w:rFonts w:eastAsia="Times New Roman"/>
          <w:lang w:val="en-AU"/>
        </w:rPr>
        <w:t>biy-i-</w:t>
      </w:r>
      <w:r>
        <w:rPr>
          <w:rFonts w:eastAsia="Times New Roman"/>
          <w:lang w:val="en-AU"/>
        </w:rPr>
        <w:t>S</w:t>
      </w:r>
      <w:r w:rsidRPr="001161C3">
        <w:rPr>
          <w:rFonts w:eastAsia="Times New Roman"/>
          <w:lang w:val="en-AU"/>
        </w:rPr>
        <w:t>ala</w:t>
      </w:r>
      <w:r>
        <w:rPr>
          <w:rFonts w:eastAsia="Times New Roman"/>
          <w:lang w:val="en-AU"/>
        </w:rPr>
        <w:t>wa</w:t>
      </w:r>
      <w:r w:rsidRPr="001161C3">
        <w:rPr>
          <w:rFonts w:eastAsia="Times New Roman"/>
          <w:lang w:val="en-AU"/>
        </w:rPr>
        <w:t>t</w:t>
      </w:r>
      <w:r>
        <w:rPr>
          <w:rFonts w:eastAsia="Times New Roman"/>
          <w:lang w:val="en-AU"/>
        </w:rPr>
        <w:tab/>
      </w:r>
      <w:r w:rsidRPr="001161C3">
        <w:rPr>
          <w:rFonts w:eastAsia="Times New Roman"/>
          <w:u w:val="single"/>
          <w:lang w:val="en-AU"/>
        </w:rPr>
        <w:t>Kh</w:t>
      </w:r>
      <w:r w:rsidRPr="001161C3">
        <w:rPr>
          <w:rFonts w:eastAsia="Times New Roman"/>
          <w:lang w:val="en-AU"/>
        </w:rPr>
        <w:t>uṭbiy-i-Ṣala</w:t>
      </w:r>
      <w:r>
        <w:rPr>
          <w:rFonts w:eastAsia="Times New Roman"/>
          <w:lang w:val="en-AU"/>
        </w:rPr>
        <w:t>w</w:t>
      </w:r>
      <w:r w:rsidRPr="001161C3">
        <w:rPr>
          <w:rFonts w:eastAsia="Times New Roman"/>
          <w:lang w:val="en-AU"/>
        </w:rPr>
        <w:t>át</w:t>
      </w:r>
      <w:r>
        <w:rPr>
          <w:rFonts w:eastAsia="Times New Roman"/>
          <w:lang w:val="en-AU"/>
        </w:rPr>
        <w:tab/>
        <w:t>“</w:t>
      </w:r>
      <w:r w:rsidRPr="001161C3">
        <w:rPr>
          <w:rFonts w:eastAsia="Times New Roman"/>
          <w:lang w:val="en-AU"/>
        </w:rPr>
        <w:t>Sermon</w:t>
      </w:r>
      <w:r>
        <w:rPr>
          <w:rFonts w:eastAsia="Times New Roman"/>
          <w:lang w:val="en-AU"/>
        </w:rPr>
        <w:t xml:space="preserve"> </w:t>
      </w:r>
      <w:r w:rsidRPr="001161C3">
        <w:rPr>
          <w:rFonts w:eastAsia="Times New Roman"/>
          <w:lang w:val="en-AU"/>
        </w:rPr>
        <w:t>of</w:t>
      </w:r>
      <w:r>
        <w:rPr>
          <w:rFonts w:eastAsia="Times New Roman"/>
          <w:lang w:val="en-AU"/>
        </w:rPr>
        <w:t xml:space="preserve"> </w:t>
      </w:r>
      <w:r w:rsidRPr="001161C3">
        <w:rPr>
          <w:rFonts w:eastAsia="Times New Roman"/>
          <w:lang w:val="en-AU"/>
        </w:rPr>
        <w:t>Salutations</w:t>
      </w:r>
      <w:r>
        <w:rPr>
          <w:rFonts w:eastAsia="Times New Roman"/>
          <w:lang w:val="en-AU"/>
        </w:rPr>
        <w:t>” by Bahá’u’l</w:t>
      </w:r>
      <w:r w:rsidRPr="00305A66">
        <w:t>láh.  “Extols the Cause of the Báb and encourages His followers to seek out and turn to the ‘countenance of light’.”</w:t>
      </w:r>
    </w:p>
    <w:p w14:paraId="1929F0DF" w14:textId="77777777" w:rsidR="00625A5B" w:rsidRDefault="00625A5B" w:rsidP="009E2472">
      <w:pPr>
        <w:pStyle w:val="Translit"/>
      </w:pPr>
      <w:r w:rsidRPr="009E2472">
        <w:t>Khu</w:t>
      </w:r>
      <w:r>
        <w:t>t</w:t>
      </w:r>
      <w:r w:rsidRPr="009E2472">
        <w:t>biy-i-Sh</w:t>
      </w:r>
      <w:r>
        <w:t>a</w:t>
      </w:r>
      <w:r w:rsidRPr="009E2472">
        <w:t>h</w:t>
      </w:r>
      <w:r>
        <w:t>a</w:t>
      </w:r>
      <w:r w:rsidRPr="009E2472">
        <w:t>dat-</w:t>
      </w:r>
      <w:r w:rsidRPr="008B290C">
        <w:t>i</w:t>
      </w:r>
      <w:r>
        <w:t>-</w:t>
      </w:r>
      <w:r w:rsidRPr="008B290C">
        <w:t>Azal</w:t>
      </w:r>
      <w:r>
        <w:t>i</w:t>
      </w:r>
      <w:r w:rsidRPr="008B290C">
        <w:t>ya</w:t>
      </w:r>
      <w:r>
        <w:tab/>
      </w:r>
      <w:r w:rsidRPr="008B290C">
        <w:rPr>
          <w:u w:val="single"/>
        </w:rPr>
        <w:t>Kh</w:t>
      </w:r>
      <w:r w:rsidRPr="008B290C">
        <w:t>uṭb</w:t>
      </w:r>
      <w:r>
        <w:t>i</w:t>
      </w:r>
      <w:r w:rsidRPr="008B290C">
        <w:t>y</w:t>
      </w:r>
      <w:r>
        <w:t>-</w:t>
      </w:r>
      <w:r w:rsidRPr="008B290C">
        <w:t>i</w:t>
      </w:r>
      <w:r>
        <w:t>-</w:t>
      </w:r>
      <w:r w:rsidRPr="008B290C">
        <w:rPr>
          <w:u w:val="single"/>
        </w:rPr>
        <w:t>Sh</w:t>
      </w:r>
      <w:r w:rsidRPr="008B290C">
        <w:t>áhádat-i</w:t>
      </w:r>
      <w:r>
        <w:t>-</w:t>
      </w:r>
      <w:r w:rsidRPr="008B290C">
        <w:t>Azalíya</w:t>
      </w:r>
      <w:r>
        <w:tab/>
        <w:t>Pers. “t</w:t>
      </w:r>
      <w:r w:rsidRPr="008B290C">
        <w:t xml:space="preserve">he </w:t>
      </w:r>
      <w:r>
        <w:t>s</w:t>
      </w:r>
      <w:r w:rsidRPr="008B290C">
        <w:t>ermon on the Eternal Witness</w:t>
      </w:r>
      <w:r>
        <w:t>” by Qudd</w:t>
      </w:r>
      <w:r w:rsidRPr="009E2472">
        <w:t>ú</w:t>
      </w:r>
      <w:r>
        <w:t>s</w:t>
      </w:r>
    </w:p>
    <w:p w14:paraId="790A65CA" w14:textId="77777777" w:rsidR="00625A5B" w:rsidRPr="008F03E5" w:rsidRDefault="00625A5B" w:rsidP="00D6667A">
      <w:pPr>
        <w:pStyle w:val="Translit"/>
      </w:pPr>
      <w:r w:rsidRPr="008F03E5">
        <w:t>Khuwan, Khiwan, Akhwina, Akhawin</w:t>
      </w:r>
      <w:r w:rsidRPr="008F03E5">
        <w:tab/>
      </w:r>
      <w:r w:rsidRPr="008F03E5">
        <w:rPr>
          <w:u w:val="single"/>
        </w:rPr>
        <w:t>Kh</w:t>
      </w:r>
      <w:r w:rsidRPr="008F03E5">
        <w:t xml:space="preserve">uwán, </w:t>
      </w:r>
      <w:r w:rsidRPr="008F03E5">
        <w:rPr>
          <w:u w:val="single"/>
        </w:rPr>
        <w:t>Kh</w:t>
      </w:r>
      <w:r w:rsidRPr="008F03E5">
        <w:t>iwán, pl. A</w:t>
      </w:r>
      <w:r w:rsidRPr="008F03E5">
        <w:rPr>
          <w:u w:val="single"/>
        </w:rPr>
        <w:t>kh</w:t>
      </w:r>
      <w:r w:rsidRPr="008F03E5">
        <w:t>wina, A</w:t>
      </w:r>
      <w:r w:rsidRPr="008F03E5">
        <w:rPr>
          <w:u w:val="single"/>
        </w:rPr>
        <w:t>kh</w:t>
      </w:r>
      <w:r w:rsidRPr="008F03E5">
        <w:t>áwín</w:t>
      </w:r>
      <w:r w:rsidRPr="008F03E5">
        <w:tab/>
        <w:t>table</w:t>
      </w:r>
    </w:p>
    <w:p w14:paraId="1EEFF1DE" w14:textId="77777777" w:rsidR="00625A5B" w:rsidRPr="008F03E5" w:rsidRDefault="00625A5B" w:rsidP="00B3648B">
      <w:pPr>
        <w:pStyle w:val="Translit"/>
      </w:pPr>
      <w:r w:rsidRPr="008F03E5">
        <w:t>Khuwar (“Khu’ar”)</w:t>
      </w:r>
      <w:r w:rsidRPr="008F03E5">
        <w:tab/>
      </w:r>
      <w:bookmarkStart w:id="100" w:name="_Hlk54454232"/>
      <w:r w:rsidRPr="008F03E5">
        <w:rPr>
          <w:u w:val="single"/>
        </w:rPr>
        <w:t>Kh</w:t>
      </w:r>
      <w:r w:rsidRPr="008F03E5">
        <w:t>uwár</w:t>
      </w:r>
      <w:bookmarkEnd w:id="100"/>
      <w:r w:rsidRPr="008F03E5">
        <w:tab/>
        <w:t>t</w:t>
      </w:r>
      <w:r w:rsidRPr="008F03E5">
        <w:rPr>
          <w:rFonts w:eastAsia="Times New Roman"/>
        </w:rPr>
        <w:t xml:space="preserve">he lowing or mooing of oxen, bleating of sheep, goats, or fallow deer; the whiz of an arrow.  </w:t>
      </w:r>
      <w:r w:rsidRPr="008F03E5">
        <w:t xml:space="preserve">Mullá Javád Qazvíní Baraqání (or </w:t>
      </w:r>
      <w:r w:rsidRPr="008F03E5">
        <w:rPr>
          <w:u w:val="single"/>
        </w:rPr>
        <w:t>Gh</w:t>
      </w:r>
      <w:r w:rsidRPr="008F03E5">
        <w:t>azvíní Bara</w:t>
      </w:r>
      <w:r w:rsidRPr="008F03E5">
        <w:rPr>
          <w:u w:val="single"/>
        </w:rPr>
        <w:t>gh</w:t>
      </w:r>
      <w:r w:rsidRPr="008F03E5">
        <w:t>ání) (cousin of Ṭáhirih), Mullá ‘Abdu’l-‘Alíy-i-Harátí and Mírzá Ibráhím-i-</w:t>
      </w:r>
      <w:r w:rsidRPr="008F03E5">
        <w:rPr>
          <w:u w:val="single"/>
        </w:rPr>
        <w:t>Sh</w:t>
      </w:r>
      <w:r w:rsidRPr="008F03E5">
        <w:t>írází were expelled by the Báb (</w:t>
      </w:r>
      <w:r w:rsidRPr="008F03E5">
        <w:rPr>
          <w:i/>
          <w:iCs/>
        </w:rPr>
        <w:t>The Dawn-Breakers</w:t>
      </w:r>
      <w:r w:rsidRPr="008F03E5">
        <w:t>, p. 161).  The first two were described by the Báb as “the Jibt and Tá</w:t>
      </w:r>
      <w:r w:rsidRPr="008F03E5">
        <w:rPr>
          <w:u w:val="single"/>
        </w:rPr>
        <w:t>gh</w:t>
      </w:r>
      <w:r w:rsidRPr="008F03E5">
        <w:t>út, the twin idols of this perverse people.”  (</w:t>
      </w:r>
      <w:r w:rsidRPr="008F03E5">
        <w:rPr>
          <w:i/>
          <w:iCs/>
        </w:rPr>
        <w:t>The Dawn-Breakers</w:t>
      </w:r>
      <w:r w:rsidRPr="008F03E5">
        <w:t>, p. 162; see Qur’án 4:51)  Nabíl-i-Zarandí likened all three to the lowing (</w:t>
      </w:r>
      <w:r w:rsidRPr="008F03E5">
        <w:rPr>
          <w:u w:val="single"/>
        </w:rPr>
        <w:t>kh</w:t>
      </w:r>
      <w:r w:rsidRPr="008F03E5">
        <w:t>uwár) of the golden calf (al-‘ijl a</w:t>
      </w:r>
      <w:r w:rsidRPr="008F03E5">
        <w:rPr>
          <w:u w:val="single"/>
        </w:rPr>
        <w:t>dh</w:t>
      </w:r>
      <w:r w:rsidRPr="008F03E5">
        <w:t>-</w:t>
      </w:r>
      <w:r w:rsidRPr="008F03E5">
        <w:rPr>
          <w:u w:val="single"/>
        </w:rPr>
        <w:t>dh</w:t>
      </w:r>
      <w:r w:rsidRPr="008F03E5">
        <w:t>ahabí).  Mullá Javád, in particular, is often referred to in Bábí and Bahá’í literature as “</w:t>
      </w:r>
      <w:r w:rsidRPr="008F03E5">
        <w:rPr>
          <w:u w:val="single"/>
        </w:rPr>
        <w:t>kh</w:t>
      </w:r>
      <w:r w:rsidRPr="008F03E5">
        <w:t>uwár”.  ‘Abdu’l-Bahá on the same topic includes other Covenant Breakers, such as Mírzá Yaḥyá.  See Sámirí.</w:t>
      </w:r>
    </w:p>
    <w:p w14:paraId="761E924F" w14:textId="77777777" w:rsidR="00625A5B" w:rsidRPr="008F03E5" w:rsidRDefault="00625A5B" w:rsidP="0096020F">
      <w:pPr>
        <w:pStyle w:val="Translit"/>
      </w:pPr>
      <w:r w:rsidRPr="008F03E5">
        <w:t>Khuwayt</w:t>
      </w:r>
      <w:r w:rsidRPr="008F03E5">
        <w:tab/>
      </w:r>
      <w:r w:rsidRPr="008F03E5">
        <w:rPr>
          <w:u w:val="single"/>
        </w:rPr>
        <w:t>Kh</w:t>
      </w:r>
      <w:r w:rsidRPr="008F03E5">
        <w:t>uwayt</w:t>
      </w:r>
      <w:r w:rsidRPr="008F03E5">
        <w:tab/>
        <w:t>diminuitive of kut (“a fort”).  al-</w:t>
      </w:r>
      <w:r w:rsidRPr="008F03E5">
        <w:rPr>
          <w:u w:val="single"/>
        </w:rPr>
        <w:t>Kh</w:t>
      </w:r>
      <w:r w:rsidRPr="008F03E5">
        <w:t>uwayt or State of Khuwait.</w:t>
      </w:r>
    </w:p>
    <w:p w14:paraId="0DDFD78A" w14:textId="77777777" w:rsidR="00625A5B" w:rsidRPr="008F03E5" w:rsidRDefault="00625A5B" w:rsidP="000F7EB5">
      <w:pPr>
        <w:pStyle w:val="Translit"/>
      </w:pPr>
      <w:r w:rsidRPr="008F03E5">
        <w:t>Khuy</w:t>
      </w:r>
      <w:r w:rsidRPr="008F03E5">
        <w:tab/>
        <w:t>Máh-Kú</w:t>
      </w:r>
      <w:r w:rsidRPr="008F03E5">
        <w:tab/>
        <w:t>(Khoy) city in and the capital of Khoy County, West Azerbaijan Province, Iran</w:t>
      </w:r>
    </w:p>
    <w:p w14:paraId="5F5C7FC1" w14:textId="77777777" w:rsidR="00625A5B" w:rsidRPr="008F03E5" w:rsidRDefault="00625A5B" w:rsidP="00C461F1">
      <w:pPr>
        <w:pStyle w:val="Translit"/>
      </w:pPr>
      <w:r w:rsidRPr="008F03E5">
        <w:rPr>
          <w:rFonts w:eastAsia="Times New Roman"/>
        </w:rPr>
        <w:t>Khuza’</w:t>
      </w:r>
      <w:r w:rsidRPr="008F03E5">
        <w:rPr>
          <w:rFonts w:eastAsia="Times New Roman"/>
        </w:rPr>
        <w:tab/>
      </w:r>
      <w:r w:rsidRPr="008F03E5">
        <w:rPr>
          <w:rFonts w:eastAsia="Times New Roman"/>
          <w:u w:val="single"/>
        </w:rPr>
        <w:t>Kh</w:t>
      </w:r>
      <w:r w:rsidRPr="008F03E5">
        <w:rPr>
          <w:rFonts w:eastAsia="Times New Roman"/>
        </w:rPr>
        <w:t>uzá‘</w:t>
      </w:r>
      <w:r w:rsidRPr="008F03E5">
        <w:rPr>
          <w:rFonts w:eastAsia="Times New Roman"/>
        </w:rPr>
        <w:tab/>
        <w:t>name of a great man at the time of Iskandar</w:t>
      </w:r>
    </w:p>
    <w:p w14:paraId="7A9DF8E9" w14:textId="77777777" w:rsidR="00625A5B" w:rsidRPr="008F03E5" w:rsidRDefault="00625A5B" w:rsidP="00C461F1">
      <w:pPr>
        <w:pStyle w:val="Translit"/>
      </w:pPr>
      <w:r w:rsidRPr="008F03E5">
        <w:t>Khuza’i</w:t>
      </w:r>
      <w:r w:rsidRPr="008F03E5">
        <w:tab/>
      </w:r>
      <w:r w:rsidRPr="008F03E5">
        <w:rPr>
          <w:u w:val="single"/>
        </w:rPr>
        <w:t>Kh</w:t>
      </w:r>
      <w:r w:rsidRPr="008F03E5">
        <w:t>uzá‘í</w:t>
      </w:r>
      <w:r w:rsidRPr="008F03E5">
        <w:tab/>
        <w:t>al-</w:t>
      </w:r>
      <w:r w:rsidRPr="008F03E5">
        <w:rPr>
          <w:u w:val="single"/>
        </w:rPr>
        <w:t>Kh</w:t>
      </w:r>
      <w:r w:rsidRPr="008F03E5">
        <w:t>uzá‘í is the nisbah for a member of the al-</w:t>
      </w:r>
      <w:r w:rsidRPr="008F03E5">
        <w:rPr>
          <w:u w:val="single"/>
        </w:rPr>
        <w:t>Kh</w:t>
      </w:r>
      <w:r w:rsidRPr="008F03E5">
        <w:t>uzá‘ah tribe founded by ‘Amr ibn Luḥay al-</w:t>
      </w:r>
      <w:r w:rsidRPr="008F03E5">
        <w:rPr>
          <w:u w:val="single"/>
        </w:rPr>
        <w:t>Kh</w:t>
      </w:r>
      <w:r w:rsidRPr="008F03E5">
        <w:t>uzá‘í.  Sa‘d bin Ḥári</w:t>
      </w:r>
      <w:r w:rsidRPr="008F03E5">
        <w:rPr>
          <w:u w:val="single"/>
        </w:rPr>
        <w:t>th</w:t>
      </w:r>
      <w:r w:rsidRPr="008F03E5">
        <w:t xml:space="preserve"> al-</w:t>
      </w:r>
      <w:r w:rsidRPr="008F03E5">
        <w:rPr>
          <w:u w:val="single"/>
        </w:rPr>
        <w:t>Kh</w:t>
      </w:r>
      <w:r w:rsidRPr="008F03E5">
        <w:t xml:space="preserve">uzá‘í (martyred 61/680 in Karbala), agent of Imám ‘Alí, the companion of Imám al-Ḥasan and Imám al-Ḥusayn.  Brigadier-General Ḥusayn </w:t>
      </w:r>
      <w:r w:rsidRPr="008F03E5">
        <w:rPr>
          <w:u w:val="single"/>
        </w:rPr>
        <w:t>Kh</w:t>
      </w:r>
      <w:r w:rsidRPr="008F03E5">
        <w:t>uzá‘í, army commander in Ma</w:t>
      </w:r>
      <w:r w:rsidRPr="008F03E5">
        <w:rPr>
          <w:u w:val="single"/>
        </w:rPr>
        <w:t>sh</w:t>
      </w:r>
      <w:r w:rsidRPr="008F03E5">
        <w:t>had, 1924.</w:t>
      </w:r>
    </w:p>
    <w:p w14:paraId="1962EEC5" w14:textId="77777777" w:rsidR="00625A5B" w:rsidRPr="008F03E5" w:rsidRDefault="00625A5B" w:rsidP="00D471CA">
      <w:pPr>
        <w:pStyle w:val="Translit"/>
      </w:pPr>
      <w:r w:rsidRPr="008F03E5">
        <w:t>Khuzistan</w:t>
      </w:r>
      <w:r w:rsidRPr="008F03E5">
        <w:tab/>
      </w:r>
      <w:r w:rsidRPr="008F03E5">
        <w:rPr>
          <w:u w:val="single"/>
        </w:rPr>
        <w:t>Kh</w:t>
      </w:r>
      <w:r w:rsidRPr="008F03E5">
        <w:t>úzistán</w:t>
      </w:r>
      <w:r w:rsidRPr="008F03E5">
        <w:tab/>
        <w:t>Iranian Province at the north end of Persian Gulf (Khuzestan)</w:t>
      </w:r>
    </w:p>
    <w:p w14:paraId="036EB33E" w14:textId="77777777" w:rsidR="00625A5B" w:rsidRPr="008F03E5" w:rsidRDefault="00625A5B" w:rsidP="00B86A02">
      <w:pPr>
        <w:pStyle w:val="Translit"/>
      </w:pPr>
      <w:r w:rsidRPr="008F03E5">
        <w:t>Khuzzan, Khuzzanat, Khazazin</w:t>
      </w:r>
      <w:r w:rsidRPr="008F03E5">
        <w:tab/>
      </w:r>
      <w:r w:rsidRPr="008F03E5">
        <w:rPr>
          <w:u w:val="single"/>
        </w:rPr>
        <w:t>Kh</w:t>
      </w:r>
      <w:r w:rsidRPr="008F03E5">
        <w:t xml:space="preserve">uzzán, pl. </w:t>
      </w:r>
      <w:r w:rsidRPr="008F03E5">
        <w:rPr>
          <w:u w:val="single"/>
        </w:rPr>
        <w:t>Kh</w:t>
      </w:r>
      <w:r w:rsidRPr="008F03E5">
        <w:t xml:space="preserve">uzzánát, </w:t>
      </w:r>
      <w:r w:rsidRPr="008F03E5">
        <w:rPr>
          <w:u w:val="single"/>
        </w:rPr>
        <w:t>Kh</w:t>
      </w:r>
      <w:r w:rsidRPr="008F03E5">
        <w:t>azázín</w:t>
      </w:r>
      <w:r w:rsidRPr="008F03E5">
        <w:tab/>
        <w:t xml:space="preserve">dam; reservoir; basin, sump, pool; storage tank (also for oil);—(pl. </w:t>
      </w:r>
      <w:r w:rsidRPr="008F03E5">
        <w:rPr>
          <w:u w:val="single"/>
        </w:rPr>
        <w:t>kh</w:t>
      </w:r>
      <w:r w:rsidRPr="008F03E5">
        <w:t xml:space="preserve">uzzánún) storehouse man, warehouse man.  Same root, </w:t>
      </w:r>
      <w:r w:rsidRPr="008F03E5">
        <w:rPr>
          <w:u w:val="single"/>
        </w:rPr>
        <w:t>kh</w:t>
      </w:r>
      <w:r w:rsidRPr="008F03E5">
        <w:t xml:space="preserve">azana, as </w:t>
      </w:r>
      <w:r w:rsidRPr="008F03E5">
        <w:rPr>
          <w:u w:val="single"/>
        </w:rPr>
        <w:t>kh</w:t>
      </w:r>
      <w:r w:rsidRPr="008F03E5">
        <w:t>azína.</w:t>
      </w:r>
    </w:p>
    <w:p w14:paraId="48DF036D" w14:textId="77777777" w:rsidR="00625A5B" w:rsidRPr="008F03E5" w:rsidRDefault="00625A5B" w:rsidP="00E426D6">
      <w:pPr>
        <w:pStyle w:val="Translit"/>
      </w:pPr>
      <w:r w:rsidRPr="008F03E5">
        <w:t>Khwaja, Khawaja, Khwajah, Khwajih</w:t>
      </w:r>
      <w:r w:rsidRPr="008F03E5">
        <w:tab/>
      </w:r>
      <w:r w:rsidRPr="008F03E5">
        <w:rPr>
          <w:u w:val="single"/>
        </w:rPr>
        <w:t>Kh</w:t>
      </w:r>
      <w:r w:rsidRPr="008F03E5">
        <w:t xml:space="preserve">wája, </w:t>
      </w:r>
      <w:r w:rsidRPr="008F03E5">
        <w:rPr>
          <w:u w:val="single"/>
        </w:rPr>
        <w:t>Kh</w:t>
      </w:r>
      <w:r w:rsidRPr="008F03E5">
        <w:t xml:space="preserve">wájah, </w:t>
      </w:r>
      <w:r w:rsidRPr="008F03E5">
        <w:rPr>
          <w:u w:val="single"/>
        </w:rPr>
        <w:t>Kh</w:t>
      </w:r>
      <w:r w:rsidRPr="008F03E5">
        <w:t>wájih</w:t>
      </w:r>
      <w:r w:rsidRPr="008F03E5">
        <w:tab/>
        <w:t xml:space="preserve">Pers. (variation </w:t>
      </w:r>
      <w:r w:rsidRPr="008F03E5">
        <w:rPr>
          <w:u w:val="single"/>
        </w:rPr>
        <w:t>kh</w:t>
      </w:r>
      <w:r w:rsidRPr="008F03E5">
        <w:t>ájih, “khajih”) master, lord; honorific title of a wazír or other great dignitary, particularly for Sufi teachers.  is a small village (29.177653, 54.330066) 2 km south of central Nayríz—site of the fort “outside of Nayríz” (</w:t>
      </w:r>
      <w:r w:rsidRPr="008F03E5">
        <w:rPr>
          <w:i/>
          <w:iCs/>
        </w:rPr>
        <w:t>The Báb</w:t>
      </w:r>
      <w:r w:rsidRPr="008F03E5">
        <w:t xml:space="preserve">, p. 179) that was “burned to the ground” (DB, p. 495).  See Arabic </w:t>
      </w:r>
      <w:r w:rsidRPr="008F03E5">
        <w:rPr>
          <w:u w:val="single"/>
        </w:rPr>
        <w:t>Kh</w:t>
      </w:r>
      <w:r w:rsidRPr="008F03E5">
        <w:t>awája.</w:t>
      </w:r>
    </w:p>
    <w:p w14:paraId="2E934564" w14:textId="77777777" w:rsidR="00625A5B" w:rsidRPr="008F03E5" w:rsidRDefault="00625A5B" w:rsidP="00F94D5A">
      <w:pPr>
        <w:pStyle w:val="Translit"/>
        <w:rPr>
          <w:rFonts w:eastAsia="Times New Roman"/>
        </w:rPr>
      </w:pPr>
      <w:r w:rsidRPr="008F03E5">
        <w:t>Khwan</w:t>
      </w:r>
      <w:r w:rsidRPr="008F03E5">
        <w:tab/>
      </w:r>
      <w:r w:rsidRPr="008F03E5">
        <w:rPr>
          <w:u w:val="single"/>
        </w:rPr>
        <w:t>Kh</w:t>
      </w:r>
      <w:r w:rsidRPr="008F03E5">
        <w:t>wán</w:t>
      </w:r>
      <w:r w:rsidRPr="008F03E5">
        <w:tab/>
        <w:t>Pers. a</w:t>
      </w:r>
      <w:r w:rsidRPr="008F03E5">
        <w:rPr>
          <w:rFonts w:eastAsia="Times New Roman"/>
        </w:rPr>
        <w:t xml:space="preserve"> table, covered table, and the meat upon it; a spacious tray; household furniture; rubbish of sticks and straws; weeds, tares; (imperative of </w:t>
      </w:r>
      <w:r w:rsidRPr="008F03E5">
        <w:rPr>
          <w:u w:val="single"/>
        </w:rPr>
        <w:t>kh</w:t>
      </w:r>
      <w:r w:rsidRPr="008F03E5">
        <w:t>wandan</w:t>
      </w:r>
      <w:r w:rsidRPr="008F03E5">
        <w:rPr>
          <w:rFonts w:eastAsia="Times New Roman"/>
          <w:i/>
          <w:iCs/>
        </w:rPr>
        <w:t>,</w:t>
      </w:r>
      <w:r w:rsidRPr="008F03E5">
        <w:rPr>
          <w:rFonts w:eastAsia="Times New Roman"/>
        </w:rPr>
        <w:t xml:space="preserve"> in compounds) reading; a reader; asking, begging; a chanter; a crier, invoker, inviter.  See </w:t>
      </w:r>
      <w:r w:rsidRPr="008F03E5">
        <w:rPr>
          <w:rFonts w:eastAsia="Times New Roman"/>
          <w:u w:val="single"/>
        </w:rPr>
        <w:t>kh</w:t>
      </w:r>
      <w:r w:rsidRPr="008F03E5">
        <w:rPr>
          <w:rFonts w:eastAsia="Times New Roman"/>
        </w:rPr>
        <w:t>uwan.</w:t>
      </w:r>
    </w:p>
    <w:p w14:paraId="62D9CA2B" w14:textId="77777777" w:rsidR="00625A5B" w:rsidRPr="008F03E5" w:rsidRDefault="00625A5B" w:rsidP="00F94D5A">
      <w:pPr>
        <w:pStyle w:val="Translit"/>
        <w:rPr>
          <w:rFonts w:eastAsia="Times New Roman"/>
        </w:rPr>
      </w:pPr>
      <w:r w:rsidRPr="008F03E5">
        <w:t>Khwanda, Khwandagan</w:t>
      </w:r>
      <w:r w:rsidRPr="008F03E5">
        <w:tab/>
      </w:r>
      <w:r w:rsidRPr="008F03E5">
        <w:rPr>
          <w:u w:val="single"/>
        </w:rPr>
        <w:t>Kh</w:t>
      </w:r>
      <w:r w:rsidRPr="008F03E5">
        <w:t>wánda</w:t>
      </w:r>
      <w:r w:rsidRPr="008F03E5">
        <w:rPr>
          <w:rFonts w:eastAsia="Times New Roman"/>
          <w:i/>
          <w:iCs/>
        </w:rPr>
        <w:t>,</w:t>
      </w:r>
      <w:r w:rsidRPr="008F03E5">
        <w:rPr>
          <w:rFonts w:eastAsia="Times New Roman"/>
        </w:rPr>
        <w:t xml:space="preserve"> pl. </w:t>
      </w:r>
      <w:r w:rsidRPr="008F03E5">
        <w:rPr>
          <w:u w:val="single"/>
        </w:rPr>
        <w:t>Kh</w:t>
      </w:r>
      <w:r w:rsidRPr="008F03E5">
        <w:t>wándagán</w:t>
      </w:r>
      <w:r w:rsidRPr="008F03E5">
        <w:tab/>
        <w:t>Pers. r</w:t>
      </w:r>
      <w:r w:rsidRPr="008F03E5">
        <w:rPr>
          <w:rFonts w:eastAsia="Times New Roman"/>
        </w:rPr>
        <w:t xml:space="preserve">ead, sung; called, invited; knowing how to read and write; a lecture or lesson; (in comp.) adopted;—pl. </w:t>
      </w:r>
      <w:r w:rsidRPr="008F03E5">
        <w:rPr>
          <w:u w:val="single"/>
        </w:rPr>
        <w:t>l</w:t>
      </w:r>
      <w:r w:rsidRPr="008F03E5">
        <w:rPr>
          <w:rFonts w:eastAsia="Times New Roman"/>
        </w:rPr>
        <w:t>earned people, readers</w:t>
      </w:r>
    </w:p>
    <w:p w14:paraId="582DC057" w14:textId="77777777" w:rsidR="00625A5B" w:rsidRPr="008F03E5" w:rsidRDefault="00625A5B" w:rsidP="00041868">
      <w:pPr>
        <w:pStyle w:val="Translit"/>
      </w:pPr>
      <w:r w:rsidRPr="008F03E5">
        <w:t>Khwandagi</w:t>
      </w:r>
      <w:r w:rsidRPr="008F03E5">
        <w:tab/>
      </w:r>
      <w:r w:rsidRPr="008F03E5">
        <w:rPr>
          <w:u w:val="single"/>
        </w:rPr>
        <w:t>Kh</w:t>
      </w:r>
      <w:r w:rsidRPr="008F03E5">
        <w:t>wándagí</w:t>
      </w:r>
      <w:r w:rsidRPr="008F03E5">
        <w:tab/>
        <w:t>reading, recital; invocation; calling; adoption</w:t>
      </w:r>
    </w:p>
    <w:p w14:paraId="6E38B8F2" w14:textId="77777777" w:rsidR="00625A5B" w:rsidRPr="008F03E5" w:rsidRDefault="00625A5B" w:rsidP="00041868">
      <w:pPr>
        <w:pStyle w:val="Translit"/>
      </w:pPr>
      <w:r w:rsidRPr="008F03E5">
        <w:t>Khwandan, Khundan</w:t>
      </w:r>
      <w:r w:rsidRPr="008F03E5">
        <w:tab/>
      </w:r>
      <w:r w:rsidRPr="008F03E5">
        <w:rPr>
          <w:u w:val="single"/>
        </w:rPr>
        <w:t>Kh</w:t>
      </w:r>
      <w:r w:rsidRPr="008F03E5">
        <w:t xml:space="preserve">wandan, </w:t>
      </w:r>
      <w:r w:rsidRPr="008F03E5">
        <w:rPr>
          <w:u w:val="single"/>
        </w:rPr>
        <w:t>Kh</w:t>
      </w:r>
      <w:r w:rsidRPr="008F03E5">
        <w:t>úndan</w:t>
      </w:r>
      <w:r w:rsidRPr="008F03E5">
        <w:tab/>
        <w:t>Pers. to read, to recite; to invite, invoke, convoke, call; to sing, to chant; to decipher, to explain; to study</w:t>
      </w:r>
    </w:p>
    <w:p w14:paraId="111C18F9" w14:textId="77777777" w:rsidR="00625A5B" w:rsidRPr="008F03E5" w:rsidRDefault="00625A5B" w:rsidP="00200131">
      <w:pPr>
        <w:pStyle w:val="Translit"/>
      </w:pPr>
      <w:r w:rsidRPr="008F03E5">
        <w:rPr>
          <w:rFonts w:eastAsia="Times New Roman"/>
        </w:rPr>
        <w:t>Khwani (Khani)</w:t>
      </w:r>
      <w:r w:rsidRPr="008F03E5">
        <w:rPr>
          <w:rFonts w:eastAsia="Times New Roman"/>
        </w:rPr>
        <w:tab/>
      </w:r>
      <w:r w:rsidRPr="008F03E5">
        <w:rPr>
          <w:rFonts w:eastAsia="Times New Roman"/>
          <w:u w:val="single"/>
        </w:rPr>
        <w:t>Kh</w:t>
      </w:r>
      <w:r w:rsidRPr="008F03E5">
        <w:rPr>
          <w:rFonts w:eastAsia="Times New Roman"/>
        </w:rPr>
        <w:t>w</w:t>
      </w:r>
      <w:r w:rsidRPr="008F03E5">
        <w:t>á</w:t>
      </w:r>
      <w:r w:rsidRPr="008F03E5">
        <w:rPr>
          <w:rFonts w:eastAsia="Times New Roman"/>
        </w:rPr>
        <w:t>n</w:t>
      </w:r>
      <w:r w:rsidRPr="008F03E5">
        <w:t>í</w:t>
      </w:r>
      <w:r w:rsidRPr="008F03E5">
        <w:rPr>
          <w:rFonts w:eastAsia="Times New Roman"/>
        </w:rPr>
        <w:tab/>
        <w:t xml:space="preserve">Pers. reading.  Note:  </w:t>
      </w:r>
      <w:r w:rsidRPr="008F03E5">
        <w:t xml:space="preserve">since a </w:t>
      </w:r>
      <w:r w:rsidRPr="008F03E5">
        <w:rPr>
          <w:rtl/>
        </w:rPr>
        <w:t>و</w:t>
      </w:r>
      <w:r w:rsidRPr="008F03E5">
        <w:t xml:space="preserve"> (wáw) after a </w:t>
      </w:r>
      <w:r w:rsidRPr="008F03E5">
        <w:rPr>
          <w:rtl/>
        </w:rPr>
        <w:t>خ</w:t>
      </w:r>
      <w:r w:rsidRPr="008F03E5">
        <w:t xml:space="preserve"> (</w:t>
      </w:r>
      <w:r w:rsidRPr="008F03E5">
        <w:rPr>
          <w:u w:val="single"/>
        </w:rPr>
        <w:t>kh</w:t>
      </w:r>
      <w:r w:rsidRPr="008F03E5">
        <w:t xml:space="preserve">) may not be pronounced, it may be written as </w:t>
      </w:r>
      <w:r w:rsidRPr="008F03E5">
        <w:rPr>
          <w:u w:val="single"/>
        </w:rPr>
        <w:t>kh</w:t>
      </w:r>
      <w:r w:rsidRPr="008F03E5">
        <w:t>ání (see PDC p. 93).</w:t>
      </w:r>
    </w:p>
    <w:p w14:paraId="7DF6C213" w14:textId="77777777" w:rsidR="00625A5B" w:rsidRPr="008F03E5" w:rsidRDefault="00625A5B" w:rsidP="00004A01">
      <w:pPr>
        <w:pStyle w:val="Translit"/>
      </w:pPr>
      <w:r w:rsidRPr="008F03E5">
        <w:t>Khwarazm</w:t>
      </w:r>
      <w:r w:rsidRPr="00004A01">
        <w:t xml:space="preserve"> (Chorasmia)</w:t>
      </w:r>
      <w:r w:rsidRPr="008F03E5">
        <w:tab/>
      </w:r>
      <w:r w:rsidRPr="008F03E5">
        <w:rPr>
          <w:u w:val="single"/>
        </w:rPr>
        <w:t>Kh</w:t>
      </w:r>
      <w:r w:rsidRPr="008F03E5">
        <w:t>wárazm</w:t>
      </w:r>
      <w:r w:rsidRPr="008F03E5">
        <w:tab/>
        <w:t xml:space="preserve">a </w:t>
      </w:r>
      <w:r>
        <w:t>huge</w:t>
      </w:r>
      <w:r w:rsidRPr="008F03E5">
        <w:t xml:space="preserve"> oasis region </w:t>
      </w:r>
      <w:r w:rsidRPr="00004A01">
        <w:t>(</w:t>
      </w:r>
      <w:r>
        <w:t xml:space="preserve">centred on </w:t>
      </w:r>
      <w:r w:rsidRPr="00004A01">
        <w:t>42.189608,</w:t>
      </w:r>
      <w:r>
        <w:t xml:space="preserve"> </w:t>
      </w:r>
      <w:r w:rsidRPr="00004A01">
        <w:t xml:space="preserve">59.326172) </w:t>
      </w:r>
      <w:r w:rsidRPr="008F03E5">
        <w:t>on the Ámú Daryá (Amu River, formerly the Oxus River) delta south of the (former) Aral Sea</w:t>
      </w:r>
      <w:r>
        <w:t xml:space="preserve"> (</w:t>
      </w:r>
      <w:r w:rsidRPr="00004A01">
        <w:t>45.338444, 59.946321</w:t>
      </w:r>
      <w:r>
        <w:t>; in Turkenistan, Uzbekistan and Kazakhstan) in Turkmenistan</w:t>
      </w:r>
      <w:r w:rsidRPr="008F03E5">
        <w:t xml:space="preserve">.  </w:t>
      </w:r>
      <w:r>
        <w:t xml:space="preserve">Near the centre of the oasis  is </w:t>
      </w:r>
      <w:r w:rsidRPr="008F03E5">
        <w:t xml:space="preserve">Köneürgench (Turkmen), Kuhnah Gurgánj (Pers.), a city </w:t>
      </w:r>
      <w:r>
        <w:t>(</w:t>
      </w:r>
      <w:r w:rsidRPr="00004A01">
        <w:t>42.32289</w:t>
      </w:r>
      <w:r>
        <w:t>0</w:t>
      </w:r>
      <w:r w:rsidRPr="00004A01">
        <w:t>, 59.168301</w:t>
      </w:r>
      <w:r>
        <w:t xml:space="preserve">) </w:t>
      </w:r>
      <w:r w:rsidRPr="008F03E5">
        <w:t xml:space="preserve">in north Turkmenistan.  </w:t>
      </w:r>
      <w:r>
        <w:t xml:space="preserve">Near the southern end of the oasis </w:t>
      </w:r>
      <w:r w:rsidRPr="008F03E5">
        <w:t>is the site of the ancient town of Ürgenç (Urgench</w:t>
      </w:r>
      <w:r>
        <w:t xml:space="preserve">; </w:t>
      </w:r>
      <w:r w:rsidRPr="00004A01">
        <w:t>41.553738, 60.621765</w:t>
      </w:r>
      <w:r w:rsidRPr="008F03E5">
        <w:t xml:space="preserve">), which contains the ruins of the capital of </w:t>
      </w:r>
      <w:r w:rsidRPr="008F03E5">
        <w:rPr>
          <w:u w:val="single"/>
        </w:rPr>
        <w:t>Kh</w:t>
      </w:r>
      <w:r w:rsidRPr="008F03E5">
        <w:t>wárazm</w:t>
      </w:r>
      <w:r>
        <w:t>.</w:t>
      </w:r>
      <w:r w:rsidRPr="008F03E5">
        <w:t xml:space="preserve"> </w:t>
      </w:r>
      <w:r>
        <w:t xml:space="preserve"> Oasis was </w:t>
      </w:r>
      <w:r w:rsidRPr="008F03E5">
        <w:t>part of the Achaemenid Empire</w:t>
      </w:r>
      <w:r>
        <w:t xml:space="preserve"> from about 550 </w:t>
      </w:r>
      <w:r w:rsidRPr="00015957">
        <w:rPr>
          <w:sz w:val="16"/>
          <w:szCs w:val="16"/>
        </w:rPr>
        <w:t>BCE</w:t>
      </w:r>
      <w:r>
        <w:t xml:space="preserve"> to about </w:t>
      </w:r>
      <w:r w:rsidRPr="00015957">
        <w:rPr>
          <w:sz w:val="16"/>
          <w:szCs w:val="16"/>
        </w:rPr>
        <w:t>CE</w:t>
      </w:r>
      <w:r>
        <w:t xml:space="preserve"> 100</w:t>
      </w:r>
      <w:r w:rsidRPr="008F03E5">
        <w:t>.</w:t>
      </w:r>
    </w:p>
    <w:p w14:paraId="7E8046E3" w14:textId="77777777" w:rsidR="00625A5B" w:rsidRPr="008F03E5" w:rsidRDefault="00625A5B" w:rsidP="00BA74E6">
      <w:pPr>
        <w:pStyle w:val="Translit"/>
      </w:pPr>
      <w:r w:rsidRPr="008F03E5">
        <w:t>Khwarizmi</w:t>
      </w:r>
      <w:r w:rsidRPr="008F03E5">
        <w:tab/>
      </w:r>
      <w:r w:rsidRPr="008F03E5">
        <w:rPr>
          <w:u w:val="single"/>
        </w:rPr>
        <w:t>Kh</w:t>
      </w:r>
      <w:r w:rsidRPr="008F03E5">
        <w:t>wárizmí</w:t>
      </w:r>
      <w:r w:rsidRPr="008F03E5">
        <w:tab/>
        <w:t>Muḥammad ibn Músá al-</w:t>
      </w:r>
      <w:r w:rsidRPr="008F03E5">
        <w:rPr>
          <w:u w:val="single"/>
        </w:rPr>
        <w:t>Kh</w:t>
      </w:r>
      <w:r w:rsidRPr="008F03E5">
        <w:t xml:space="preserve">wárizmí (c.  780–c.  850), a Persian scholar who produced works in mathematics, astronomy, and geography.  “Algorithm” derived from Latin form of surname.  His </w:t>
      </w:r>
      <w:r w:rsidRPr="008F03E5">
        <w:rPr>
          <w:i/>
          <w:iCs/>
        </w:rPr>
        <w:t xml:space="preserve">The Compendious Book on Calculation by Completion and Balancing </w:t>
      </w:r>
      <w:r w:rsidRPr="008F03E5">
        <w:t xml:space="preserve">(Arabic:  </w:t>
      </w:r>
      <w:r w:rsidRPr="008F03E5">
        <w:rPr>
          <w:i/>
          <w:iCs/>
        </w:rPr>
        <w:t>al-kitáb al-mu</w:t>
      </w:r>
      <w:r w:rsidRPr="008F03E5">
        <w:rPr>
          <w:i/>
          <w:iCs/>
          <w:u w:val="single"/>
        </w:rPr>
        <w:t>kh</w:t>
      </w:r>
      <w:r w:rsidRPr="008F03E5">
        <w:rPr>
          <w:i/>
          <w:iCs/>
        </w:rPr>
        <w:t>taṣar fí ḥisáb al-jabr wa’l-muqábala</w:t>
      </w:r>
      <w:r w:rsidRPr="008F03E5">
        <w:t>;</w:t>
      </w:r>
      <w:r w:rsidRPr="008F03E5">
        <w:rPr>
          <w:i/>
          <w:iCs/>
        </w:rPr>
        <w:t xml:space="preserve"> </w:t>
      </w:r>
      <w:r w:rsidRPr="008F03E5">
        <w:t xml:space="preserve">Latin:  </w:t>
      </w:r>
      <w:r w:rsidRPr="008F03E5">
        <w:rPr>
          <w:i/>
          <w:iCs/>
        </w:rPr>
        <w:t>Liber Algebrae et Almucabola</w:t>
      </w:r>
      <w:r w:rsidRPr="008F03E5">
        <w:t xml:space="preserve">), also known as </w:t>
      </w:r>
      <w:r w:rsidRPr="008F03E5">
        <w:rPr>
          <w:i/>
          <w:iCs/>
        </w:rPr>
        <w:t>al-jabr</w:t>
      </w:r>
      <w:r w:rsidRPr="008F03E5">
        <w:t>.  The Latin translation introduced his solution of quadratic equations and the codification of the various Indian numerals (including zero (ṣifr) and the decimal point) to the Western world.</w:t>
      </w:r>
    </w:p>
    <w:p w14:paraId="1A2C7990" w14:textId="77777777" w:rsidR="00625A5B" w:rsidRPr="008F03E5" w:rsidRDefault="00625A5B" w:rsidP="009A5EC6">
      <w:pPr>
        <w:pStyle w:val="Translit"/>
      </w:pPr>
      <w:r w:rsidRPr="008F03E5">
        <w:t>Khwush, Khwash</w:t>
      </w:r>
      <w:r w:rsidRPr="008F03E5">
        <w:tab/>
      </w:r>
      <w:r w:rsidRPr="008F03E5">
        <w:rPr>
          <w:u w:val="single"/>
        </w:rPr>
        <w:t>Kh</w:t>
      </w:r>
      <w:r w:rsidRPr="008F03E5">
        <w:t>wu</w:t>
      </w:r>
      <w:r w:rsidRPr="008F03E5">
        <w:rPr>
          <w:u w:val="single"/>
        </w:rPr>
        <w:t>sh</w:t>
      </w:r>
      <w:r w:rsidRPr="008F03E5">
        <w:t xml:space="preserve">, </w:t>
      </w:r>
      <w:r w:rsidRPr="008F03E5">
        <w:rPr>
          <w:u w:val="single"/>
        </w:rPr>
        <w:t>Kh</w:t>
      </w:r>
      <w:r w:rsidRPr="008F03E5">
        <w:t>wa</w:t>
      </w:r>
      <w:r w:rsidRPr="008F03E5">
        <w:rPr>
          <w:u w:val="single"/>
        </w:rPr>
        <w:t>sh</w:t>
      </w:r>
      <w:r w:rsidRPr="008F03E5">
        <w:tab/>
        <w:t>Pers. good, sweet, excellent, beautiful, fair, charming, pleasant, delightful, agreeable, cheerful, amiable, lovely, delicate, tender, kind, gentle, humane, mild, meek, elegant; healthy, wholesome, temperate; happy, well, pleased; willingly</w:t>
      </w:r>
    </w:p>
    <w:p w14:paraId="37404FF9" w14:textId="77777777" w:rsidR="00625A5B" w:rsidRDefault="00625A5B" w:rsidP="006B4E2A">
      <w:pPr>
        <w:pStyle w:val="Translit"/>
      </w:pPr>
      <w:r w:rsidRPr="008F03E5">
        <w:t>Khwush-Amad</w:t>
      </w:r>
      <w:r w:rsidRPr="008F03E5">
        <w:tab/>
      </w:r>
      <w:r w:rsidRPr="008F03E5">
        <w:rPr>
          <w:u w:val="single"/>
        </w:rPr>
        <w:t>Kh</w:t>
      </w:r>
      <w:r w:rsidRPr="008F03E5">
        <w:t>wu</w:t>
      </w:r>
      <w:r w:rsidRPr="008F03E5">
        <w:rPr>
          <w:u w:val="single"/>
        </w:rPr>
        <w:t>sh</w:t>
      </w:r>
      <w:r w:rsidRPr="008F03E5">
        <w:t>-Ámad</w:t>
      </w:r>
      <w:r w:rsidRPr="008F03E5">
        <w:tab/>
        <w:t>Pers</w:t>
      </w:r>
      <w:r>
        <w:t>. f</w:t>
      </w:r>
      <w:r w:rsidRPr="00AF4D34">
        <w:rPr>
          <w:rFonts w:eastAsia="Times New Roman"/>
        </w:rPr>
        <w:t>lattery; welcome; gratification</w:t>
      </w:r>
    </w:p>
    <w:p w14:paraId="3948C1F3" w14:textId="77777777" w:rsidR="00625A5B" w:rsidRPr="008F03E5" w:rsidRDefault="00625A5B" w:rsidP="00EF247B">
      <w:pPr>
        <w:pStyle w:val="Translit"/>
      </w:pPr>
      <w:r w:rsidRPr="008F03E5">
        <w:t>Khwush-Amadi (Khush Amadid)</w:t>
      </w:r>
      <w:r w:rsidRPr="008F03E5">
        <w:tab/>
      </w:r>
      <w:r w:rsidRPr="008F03E5">
        <w:rPr>
          <w:u w:val="single"/>
        </w:rPr>
        <w:t>Kh</w:t>
      </w:r>
      <w:r w:rsidRPr="008F03E5">
        <w:t>wu</w:t>
      </w:r>
      <w:r w:rsidRPr="008F03E5">
        <w:rPr>
          <w:u w:val="single"/>
        </w:rPr>
        <w:t>sh</w:t>
      </w:r>
      <w:r w:rsidRPr="008F03E5">
        <w:t>-Ámadí (“</w:t>
      </w:r>
      <w:r w:rsidRPr="008F03E5">
        <w:rPr>
          <w:u w:val="single"/>
        </w:rPr>
        <w:t>Kh</w:t>
      </w:r>
      <w:r w:rsidRPr="008F03E5">
        <w:t>u</w:t>
      </w:r>
      <w:r w:rsidRPr="008F03E5">
        <w:rPr>
          <w:u w:val="single"/>
        </w:rPr>
        <w:t>sh</w:t>
      </w:r>
      <w:r w:rsidRPr="008F03E5">
        <w:t xml:space="preserve"> Ámadíd”)</w:t>
      </w:r>
      <w:r w:rsidRPr="008F03E5">
        <w:tab/>
        <w:t>Pers. (“Khushamadid”) flattery; assenting; you are welcome.  A blessed arrival?</w:t>
      </w:r>
    </w:p>
    <w:p w14:paraId="37454D7C" w14:textId="77777777" w:rsidR="00625A5B" w:rsidRPr="008F03E5" w:rsidRDefault="00625A5B" w:rsidP="00EF247B">
      <w:pPr>
        <w:pStyle w:val="Translit"/>
        <w:rPr>
          <w:u w:val="single"/>
        </w:rPr>
      </w:pPr>
      <w:r w:rsidRPr="008F03E5">
        <w:t>Khwush-Qadam (Khush Ghadam)</w:t>
      </w:r>
      <w:r w:rsidRPr="008F03E5">
        <w:tab/>
      </w:r>
      <w:r w:rsidRPr="008F03E5">
        <w:rPr>
          <w:u w:val="single"/>
        </w:rPr>
        <w:t>Kh</w:t>
      </w:r>
      <w:r w:rsidRPr="008F03E5">
        <w:t>wu</w:t>
      </w:r>
      <w:r w:rsidRPr="008F03E5">
        <w:rPr>
          <w:u w:val="single"/>
        </w:rPr>
        <w:t>sh</w:t>
      </w:r>
      <w:r w:rsidRPr="008F03E5">
        <w:t>-Qadam (“</w:t>
      </w:r>
      <w:r w:rsidRPr="008F03E5">
        <w:rPr>
          <w:u w:val="single"/>
        </w:rPr>
        <w:t>Kh</w:t>
      </w:r>
      <w:r w:rsidRPr="008F03E5">
        <w:t>u</w:t>
      </w:r>
      <w:r w:rsidRPr="008F03E5">
        <w:rPr>
          <w:u w:val="single"/>
        </w:rPr>
        <w:t>sh</w:t>
      </w:r>
      <w:r w:rsidRPr="008F03E5">
        <w:t xml:space="preserve"> </w:t>
      </w:r>
      <w:r w:rsidRPr="008F03E5">
        <w:rPr>
          <w:u w:val="single"/>
        </w:rPr>
        <w:t>Gh</w:t>
      </w:r>
      <w:r w:rsidRPr="008F03E5">
        <w:t>adam”)</w:t>
      </w:r>
      <w:r w:rsidRPr="008F03E5">
        <w:tab/>
        <w:t>Pers. a person who brings good fortune, welcome news, good omen (</w:t>
      </w:r>
      <w:r w:rsidRPr="008F03E5">
        <w:rPr>
          <w:i/>
          <w:iCs/>
        </w:rPr>
        <w:t>Maḥmúd’s Diary)</w:t>
      </w:r>
    </w:p>
    <w:p w14:paraId="78BA6F73" w14:textId="77777777" w:rsidR="00625A5B" w:rsidRPr="008F03E5" w:rsidRDefault="00625A5B" w:rsidP="00BD4D98">
      <w:pPr>
        <w:pStyle w:val="Translit"/>
      </w:pPr>
      <w:r w:rsidRPr="008F03E5">
        <w:t>Kibdani (Kebdani)</w:t>
      </w:r>
      <w:r w:rsidRPr="008F03E5">
        <w:tab/>
        <w:t>Kibdání</w:t>
      </w:r>
      <w:r w:rsidRPr="008F03E5">
        <w:tab/>
        <w:t>Dar al-Kibdání, town in Morocco.  Kibdání Muḥammad Muḥammad ‘Alí, Bahá’í arrested in Morocco, 1962.</w:t>
      </w:r>
    </w:p>
    <w:p w14:paraId="23529414" w14:textId="77777777" w:rsidR="00625A5B" w:rsidRPr="008F03E5" w:rsidRDefault="00625A5B" w:rsidP="00BD4D98">
      <w:pPr>
        <w:pStyle w:val="Translit"/>
      </w:pPr>
      <w:r w:rsidRPr="008F03E5">
        <w:t>Kifl, Kiflayn</w:t>
      </w:r>
      <w:r w:rsidRPr="008F03E5">
        <w:tab/>
        <w:t>Kifl, dual Kiflayn</w:t>
      </w:r>
      <w:r w:rsidRPr="008F03E5">
        <w:tab/>
        <w:t>part, portion, share.  Also archaic Arabic “double” or “duplicate”, from a root meaning “to double” or “to fold”.  Kifl c</w:t>
      </w:r>
      <w:r w:rsidRPr="008F03E5">
        <w:rPr>
          <w:lang w:eastAsia="en-US"/>
        </w:rPr>
        <w:t>an be interpreted as a prophet or Messenger of God.  Kiflayn t</w:t>
      </w:r>
      <w:r w:rsidRPr="008F03E5">
        <w:t>wo share, double share or large share.  Qur’án 57:28 can be understood as referring to two Messengers of God.</w:t>
      </w:r>
    </w:p>
    <w:p w14:paraId="32077C23" w14:textId="77777777" w:rsidR="00625A5B" w:rsidRPr="008F03E5" w:rsidRDefault="00625A5B" w:rsidP="009C3BE8">
      <w:pPr>
        <w:pStyle w:val="Translit"/>
      </w:pPr>
      <w:r w:rsidRPr="008F03E5">
        <w:t>Kimiya’</w:t>
      </w:r>
      <w:r w:rsidRPr="008F03E5">
        <w:tab/>
        <w:t>Kímiyá’</w:t>
      </w:r>
      <w:r w:rsidRPr="008F03E5">
        <w:tab/>
        <w:t>chemistry, alchemy; the philosopher’s stone; al-Kímiyá’ alchemy</w:t>
      </w:r>
    </w:p>
    <w:p w14:paraId="64321F62" w14:textId="77777777" w:rsidR="00625A5B" w:rsidRPr="00AC55A9" w:rsidRDefault="00625A5B" w:rsidP="00D20A3C">
      <w:pPr>
        <w:pStyle w:val="Translit"/>
        <w:rPr>
          <w:lang w:val="de-DE"/>
        </w:rPr>
      </w:pPr>
      <w:r w:rsidRPr="008F03E5">
        <w:t>Kimiya’i, Kimawi, Kimiya’un</w:t>
      </w:r>
      <w:r w:rsidRPr="008F03E5">
        <w:tab/>
        <w:t>Kímiyá’í, Kímáwí</w:t>
      </w:r>
      <w:r w:rsidRPr="008F03E5">
        <w:tab/>
        <w:t xml:space="preserve">chemical;—pl. </w:t>
      </w:r>
      <w:r w:rsidRPr="00AC55A9">
        <w:rPr>
          <w:lang w:val="de-DE"/>
        </w:rPr>
        <w:t>Kímiyá’ún chemist; alchemist</w:t>
      </w:r>
    </w:p>
    <w:p w14:paraId="71EAD62E" w14:textId="77777777" w:rsidR="00625A5B" w:rsidRPr="008F03E5" w:rsidRDefault="00625A5B" w:rsidP="007067EF">
      <w:pPr>
        <w:pStyle w:val="Translit"/>
      </w:pPr>
      <w:r w:rsidRPr="00560901">
        <w:rPr>
          <w:lang w:val="de-DE"/>
        </w:rPr>
        <w:t>Kinan, Kinanat</w:t>
      </w:r>
      <w:r w:rsidRPr="00560901">
        <w:rPr>
          <w:lang w:val="de-DE"/>
        </w:rPr>
        <w:tab/>
        <w:t xml:space="preserve">Kinán, pl. </w:t>
      </w:r>
      <w:r w:rsidRPr="008F03E5">
        <w:t>Kinánát, Akinna</w:t>
      </w:r>
      <w:r w:rsidRPr="008F03E5">
        <w:tab/>
        <w:t>shed roof, pent roof, awning</w:t>
      </w:r>
    </w:p>
    <w:p w14:paraId="59278BE9" w14:textId="77777777" w:rsidR="00625A5B" w:rsidRPr="008F03E5" w:rsidRDefault="00625A5B" w:rsidP="00D31E46">
      <w:pPr>
        <w:pStyle w:val="Translit"/>
      </w:pPr>
      <w:r w:rsidRPr="008F03E5">
        <w:t>Kinana, Kanan’in</w:t>
      </w:r>
      <w:r w:rsidRPr="008F03E5">
        <w:tab/>
        <w:t>Kinána (Kinánih), pl. Kaná’in</w:t>
      </w:r>
      <w:r w:rsidRPr="008F03E5">
        <w:tab/>
        <w:t>quiver (for arrows).  The Banú Kinánah is a tribe south of Mecca.</w:t>
      </w:r>
    </w:p>
    <w:p w14:paraId="5D2F4462" w14:textId="77777777" w:rsidR="00625A5B" w:rsidRPr="008F03E5" w:rsidRDefault="00625A5B" w:rsidP="00BF2947">
      <w:pPr>
        <w:pStyle w:val="Translit"/>
      </w:pPr>
      <w:r w:rsidRPr="008F03E5">
        <w:t>Kinar</w:t>
      </w:r>
      <w:r w:rsidRPr="008F03E5">
        <w:tab/>
        <w:t>Kinár</w:t>
      </w:r>
      <w:r w:rsidRPr="008F03E5">
        <w:tab/>
        <w:t>Pers. the lap; the bosom; an embrace; dalliance</w:t>
      </w:r>
    </w:p>
    <w:p w14:paraId="795F3C2A" w14:textId="77777777" w:rsidR="00625A5B" w:rsidRPr="008F03E5" w:rsidRDefault="00625A5B" w:rsidP="00723706">
      <w:pPr>
        <w:pStyle w:val="Translit"/>
      </w:pPr>
      <w:r w:rsidRPr="008F03E5">
        <w:t>Kinar-Gird</w:t>
      </w:r>
      <w:r w:rsidRPr="008F03E5">
        <w:tab/>
        <w:t>Kinár-Gird</w:t>
      </w:r>
      <w:r w:rsidRPr="008F03E5">
        <w:tab/>
        <w:t xml:space="preserve">a small fortress (caravanserai 35.375999, 51.253600) and village about 40 km </w:t>
      </w:r>
      <w:r w:rsidRPr="008F03E5">
        <w:rPr>
          <w:sz w:val="16"/>
          <w:szCs w:val="16"/>
        </w:rPr>
        <w:t>SSW</w:t>
      </w:r>
      <w:r w:rsidRPr="008F03E5">
        <w:t xml:space="preserve"> of Ṭihrán on the old Iṣfahán road.  The Báb paused (28 March 1846, before being moved to the village of Kulayn) in the village on His exile journey to Máh-Kú.  Possibly the village of Kinár Gird-i-Pá’ín (Kenar Gerd-i-Pain, 35.368333, 51.269722), 4 km </w:t>
      </w:r>
      <w:r w:rsidRPr="008F03E5">
        <w:rPr>
          <w:sz w:val="16"/>
          <w:szCs w:val="16"/>
        </w:rPr>
        <w:t>NW</w:t>
      </w:r>
      <w:r w:rsidRPr="008F03E5">
        <w:t xml:space="preserve"> of the village of Kulayn.</w:t>
      </w:r>
    </w:p>
    <w:p w14:paraId="55940BEC" w14:textId="77777777" w:rsidR="00625A5B" w:rsidRPr="008F03E5" w:rsidRDefault="00625A5B" w:rsidP="00BF2947">
      <w:pPr>
        <w:pStyle w:val="Translit"/>
      </w:pPr>
      <w:r w:rsidRPr="008F03E5">
        <w:t>Kinari</w:t>
      </w:r>
      <w:r w:rsidRPr="008F03E5">
        <w:tab/>
        <w:t>Kinárí</w:t>
      </w:r>
      <w:r w:rsidRPr="008F03E5">
        <w:tab/>
        <w:t>Pers. (gold or silver) lace</w:t>
      </w:r>
    </w:p>
    <w:p w14:paraId="2B9A2F88" w14:textId="77777777" w:rsidR="00625A5B" w:rsidRPr="008F03E5" w:rsidRDefault="00625A5B" w:rsidP="00A82452">
      <w:pPr>
        <w:pStyle w:val="Translit"/>
      </w:pPr>
      <w:r w:rsidRPr="008F03E5">
        <w:t>Kindi</w:t>
      </w:r>
      <w:r w:rsidRPr="008F03E5">
        <w:tab/>
        <w:t>Kindí</w:t>
      </w:r>
      <w:r w:rsidRPr="008F03E5">
        <w:tab/>
        <w:t xml:space="preserve">from the South Arabia tribe of Kinda.  Abú Yúsuf Yaʻqúb ibn Isḥáq aṣ-Ṣabbáḥ al-Kindí (Latin:  Alkindus) (c. </w:t>
      </w:r>
      <w:r w:rsidRPr="008F03E5">
        <w:rPr>
          <w:sz w:val="16"/>
          <w:szCs w:val="16"/>
        </w:rPr>
        <w:t>CE</w:t>
      </w:r>
      <w:r w:rsidRPr="008F03E5">
        <w:t xml:space="preserve"> 801–873) was an Arab Muslim philosopher, polymath, mathematician, physician and music theorist.  al-Kindí was the first of the Islamic peripatetic philosophers and is hailed as the “father of Arab philosophy”.</w:t>
      </w:r>
    </w:p>
    <w:p w14:paraId="551E433B" w14:textId="77777777" w:rsidR="00625A5B" w:rsidRPr="008F03E5" w:rsidRDefault="00625A5B" w:rsidP="009E2C7F">
      <w:pPr>
        <w:pStyle w:val="Translit"/>
      </w:pPr>
      <w:r w:rsidRPr="008F03E5">
        <w:t>Kinya, Kunya, Kuna, Kaniy, Kani</w:t>
      </w:r>
      <w:r w:rsidRPr="008F03E5">
        <w:tab/>
        <w:t>Kinya[</w:t>
      </w:r>
      <w:r>
        <w:t xml:space="preserve">h or </w:t>
      </w:r>
      <w:r w:rsidRPr="008F03E5">
        <w:t>t], Kunya[</w:t>
      </w:r>
      <w:r>
        <w:t>h or t</w:t>
      </w:r>
      <w:r w:rsidRPr="008F03E5">
        <w:t>]</w:t>
      </w:r>
      <w:r>
        <w:tab/>
        <w:t>(</w:t>
      </w:r>
      <w:r w:rsidRPr="008F03E5">
        <w:t>pl. Kuná, Kaníy, Kaní</w:t>
      </w:r>
      <w:r>
        <w:t xml:space="preserve">) </w:t>
      </w:r>
      <w:r w:rsidRPr="008F03E5">
        <w:t xml:space="preserve">surname, </w:t>
      </w:r>
      <w:r>
        <w:t xml:space="preserve">teknonym, </w:t>
      </w:r>
      <w:r w:rsidRPr="008F03E5">
        <w:t xml:space="preserve">agnomen (honourable adult nickname consisting of </w:t>
      </w:r>
      <w:r w:rsidRPr="008F03E5">
        <w:rPr>
          <w:i/>
          <w:iCs/>
        </w:rPr>
        <w:t>abú</w:t>
      </w:r>
      <w:r w:rsidRPr="008F03E5">
        <w:t xml:space="preserve"> (father or ancestor, a patronymic) or </w:t>
      </w:r>
      <w:r w:rsidRPr="008F03E5">
        <w:rPr>
          <w:i/>
          <w:iCs/>
        </w:rPr>
        <w:t>umm</w:t>
      </w:r>
      <w:r w:rsidRPr="008F03E5">
        <w:t xml:space="preserve"> (mother) followed by the name of the eldest child (often a son, a filionymic)</w:t>
      </w:r>
      <w:r>
        <w:t xml:space="preserve">. </w:t>
      </w:r>
      <w:r w:rsidRPr="008F03E5">
        <w:t xml:space="preserve"> </w:t>
      </w:r>
      <w:r>
        <w:t>I</w:t>
      </w:r>
      <w:r w:rsidRPr="00DA128D">
        <w:t>ṣ</w:t>
      </w:r>
      <w:r>
        <w:t>fah</w:t>
      </w:r>
      <w:r w:rsidRPr="00DA128D">
        <w:t>á</w:t>
      </w:r>
      <w:r>
        <w:t>n</w:t>
      </w:r>
      <w:r w:rsidRPr="00DA128D">
        <w:t>í</w:t>
      </w:r>
      <w:r>
        <w:t xml:space="preserve"> </w:t>
      </w:r>
      <w:r w:rsidRPr="008F03E5">
        <w:t xml:space="preserve">Pers. also Kunyih.  Calling or naming (anyone) by a word that has another meaning.  By extension, it may also have hypothetical or metaphorical references, e.g. as a nickname or reference of an attachment (Abú Bakr, “father of the </w:t>
      </w:r>
      <w:r>
        <w:t xml:space="preserve">young </w:t>
      </w:r>
      <w:r w:rsidRPr="008F03E5">
        <w:t>camel”, given because of this person’s love for camels), without literally referring to a son or a daughter.</w:t>
      </w:r>
      <w:r>
        <w:t xml:space="preserve">  Contrast with nasab.</w:t>
      </w:r>
    </w:p>
    <w:p w14:paraId="05060B93" w14:textId="77777777" w:rsidR="00625A5B" w:rsidRPr="008F03E5" w:rsidRDefault="00625A5B" w:rsidP="001C3530">
      <w:pPr>
        <w:pStyle w:val="Translit"/>
      </w:pPr>
      <w:r w:rsidRPr="008F03E5">
        <w:t>Kirdar</w:t>
      </w:r>
      <w:r w:rsidRPr="008F03E5">
        <w:tab/>
        <w:t>Kirdár</w:t>
      </w:r>
      <w:r w:rsidRPr="008F03E5">
        <w:tab/>
        <w:t>Pers. work, business, continued labour; employment in which a man is constantly engaged; profession, trade, art, occupation; effect; manner, conduct; action (good or bad)</w:t>
      </w:r>
    </w:p>
    <w:p w14:paraId="53F6B169" w14:textId="77777777" w:rsidR="00625A5B" w:rsidRPr="008F03E5" w:rsidRDefault="00625A5B" w:rsidP="002B1121">
      <w:pPr>
        <w:pStyle w:val="Translit"/>
      </w:pPr>
      <w:r w:rsidRPr="001457C8">
        <w:rPr>
          <w:lang w:val="de-DE"/>
        </w:rPr>
        <w:t>Kirin, Kirind</w:t>
      </w:r>
      <w:r w:rsidRPr="001457C8">
        <w:rPr>
          <w:lang w:val="de-DE"/>
        </w:rPr>
        <w:tab/>
        <w:t>Kirin, Kirind</w:t>
      </w:r>
      <w:r w:rsidRPr="001457C8">
        <w:rPr>
          <w:lang w:val="de-DE"/>
        </w:rPr>
        <w:tab/>
        <w:t xml:space="preserve">(southern Kurdish:  Kirin, Persian:  Kirind-i-Gharb (“Kerend-e Gharb”); also known as Kerend (“Krend”), Karand, and Karínd.  </w:t>
      </w:r>
      <w:r w:rsidRPr="008F03E5">
        <w:t>A city 75 km west of Kirmán</w:t>
      </w:r>
      <w:r w:rsidRPr="008F03E5">
        <w:rPr>
          <w:u w:val="single"/>
        </w:rPr>
        <w:t>sh</w:t>
      </w:r>
      <w:r w:rsidRPr="008F03E5">
        <w:t>áh in Kermanshah Province.</w:t>
      </w:r>
    </w:p>
    <w:p w14:paraId="3A00ED06" w14:textId="77777777" w:rsidR="00625A5B" w:rsidRPr="008F03E5" w:rsidRDefault="00625A5B" w:rsidP="00900A82">
      <w:pPr>
        <w:pStyle w:val="Translit"/>
      </w:pPr>
      <w:r w:rsidRPr="008F03E5">
        <w:t>Kirman</w:t>
      </w:r>
      <w:r w:rsidRPr="008F03E5">
        <w:tab/>
        <w:t>Kirmán</w:t>
      </w:r>
      <w:r w:rsidRPr="008F03E5">
        <w:tab/>
        <w:t>capital city of Kirmán province, Iran</w:t>
      </w:r>
    </w:p>
    <w:p w14:paraId="5091DDE3" w14:textId="77777777" w:rsidR="00625A5B" w:rsidRPr="008F03E5" w:rsidRDefault="00625A5B" w:rsidP="00F171AB">
      <w:pPr>
        <w:pStyle w:val="Translit"/>
      </w:pPr>
      <w:r w:rsidRPr="008F03E5">
        <w:t>Kirmani</w:t>
      </w:r>
      <w:r w:rsidRPr="008F03E5">
        <w:tab/>
        <w:t>Kirmání</w:t>
      </w:r>
      <w:r w:rsidRPr="008F03E5">
        <w:tab/>
        <w:t xml:space="preserve">of or from Kirmán.  Ḥájí Mírzá Muḥammad Karím </w:t>
      </w:r>
      <w:r w:rsidRPr="008F03E5">
        <w:rPr>
          <w:u w:val="single"/>
        </w:rPr>
        <w:t>Kh</w:t>
      </w:r>
      <w:r w:rsidRPr="008F03E5">
        <w:t xml:space="preserve">án Kirmání (1810–1871), a polymath and polemical opponent of the Bábí‑Bahá’í religions.  Regarded by a proportion of the </w:t>
      </w:r>
      <w:r w:rsidRPr="008F03E5">
        <w:rPr>
          <w:u w:val="single"/>
        </w:rPr>
        <w:t>Sh</w:t>
      </w:r>
      <w:r w:rsidRPr="008F03E5">
        <w:t>ay</w:t>
      </w:r>
      <w:r w:rsidRPr="008F03E5">
        <w:rPr>
          <w:u w:val="single"/>
        </w:rPr>
        <w:t>kh</w:t>
      </w:r>
      <w:r w:rsidRPr="008F03E5">
        <w:t xml:space="preserve">í admirers or followers of </w:t>
      </w:r>
      <w:r w:rsidRPr="008F03E5">
        <w:rPr>
          <w:u w:val="single"/>
        </w:rPr>
        <w:t>Sh</w:t>
      </w:r>
      <w:r w:rsidRPr="008F03E5">
        <w:t>ay</w:t>
      </w:r>
      <w:r w:rsidRPr="008F03E5">
        <w:rPr>
          <w:u w:val="single"/>
        </w:rPr>
        <w:t>kh</w:t>
      </w:r>
      <w:r w:rsidRPr="008F03E5">
        <w:t xml:space="preserve"> Aḥmad and Sayyid Kazím Ra</w:t>
      </w:r>
      <w:r w:rsidRPr="008F03E5">
        <w:rPr>
          <w:u w:val="single"/>
        </w:rPr>
        <w:t>sh</w:t>
      </w:r>
      <w:r w:rsidRPr="008F03E5">
        <w:t xml:space="preserve">tí as the “third” </w:t>
      </w:r>
      <w:r w:rsidRPr="008F03E5">
        <w:rPr>
          <w:u w:val="single"/>
        </w:rPr>
        <w:t>Sh</w:t>
      </w:r>
      <w:r w:rsidRPr="008F03E5">
        <w:t>ay</w:t>
      </w:r>
      <w:r w:rsidRPr="008F03E5">
        <w:rPr>
          <w:u w:val="single"/>
        </w:rPr>
        <w:t>kh</w:t>
      </w:r>
      <w:r w:rsidRPr="008F03E5">
        <w:t xml:space="preserve">í leader and the first Kirmání </w:t>
      </w:r>
      <w:r w:rsidRPr="008F03E5">
        <w:rPr>
          <w:u w:val="single"/>
        </w:rPr>
        <w:t>Sh</w:t>
      </w:r>
      <w:r w:rsidRPr="008F03E5">
        <w:t>ay</w:t>
      </w:r>
      <w:r w:rsidRPr="008F03E5">
        <w:rPr>
          <w:u w:val="single"/>
        </w:rPr>
        <w:t>kh</w:t>
      </w:r>
      <w:r w:rsidRPr="008F03E5">
        <w:t>í leader.</w:t>
      </w:r>
    </w:p>
    <w:p w14:paraId="06FA3E16" w14:textId="77777777" w:rsidR="00625A5B" w:rsidRPr="008F03E5" w:rsidRDefault="00625A5B" w:rsidP="008249A0">
      <w:pPr>
        <w:pStyle w:val="Translit"/>
      </w:pPr>
      <w:r w:rsidRPr="008F03E5">
        <w:t>Kirmanshah (Kermanshah)</w:t>
      </w:r>
      <w:r w:rsidRPr="008F03E5">
        <w:tab/>
        <w:t>Kirmán</w:t>
      </w:r>
      <w:r w:rsidRPr="008F03E5">
        <w:rPr>
          <w:u w:val="single"/>
        </w:rPr>
        <w:t>sh</w:t>
      </w:r>
      <w:r w:rsidRPr="008F03E5">
        <w:t>áh</w:t>
      </w:r>
      <w:r w:rsidRPr="008F03E5">
        <w:tab/>
        <w:t>city and province in western Írán.</w:t>
      </w:r>
    </w:p>
    <w:p w14:paraId="492C85B1" w14:textId="77777777" w:rsidR="00625A5B" w:rsidRPr="008F03E5" w:rsidRDefault="00625A5B" w:rsidP="00AF2840">
      <w:pPr>
        <w:pStyle w:val="Translit"/>
      </w:pPr>
      <w:r w:rsidRPr="008F03E5">
        <w:t>Kisa’</w:t>
      </w:r>
      <w:r w:rsidRPr="008F03E5">
        <w:tab/>
        <w:t>Kisá’, pl. Aksiya</w:t>
      </w:r>
      <w:r w:rsidRPr="008F03E5">
        <w:tab/>
        <w:t>garment; dress</w:t>
      </w:r>
    </w:p>
    <w:p w14:paraId="4C11BDE1" w14:textId="77777777" w:rsidR="00625A5B" w:rsidRPr="008F03E5" w:rsidRDefault="00625A5B" w:rsidP="008E1814">
      <w:pPr>
        <w:pStyle w:val="Translit"/>
      </w:pPr>
      <w:r w:rsidRPr="008F03E5">
        <w:t>Kishik</w:t>
      </w:r>
      <w:r w:rsidRPr="008F03E5">
        <w:tab/>
        <w:t>Ki</w:t>
      </w:r>
      <w:r w:rsidRPr="008F03E5">
        <w:rPr>
          <w:u w:val="single"/>
        </w:rPr>
        <w:t>sh</w:t>
      </w:r>
      <w:r w:rsidRPr="008F03E5">
        <w:t>ík</w:t>
      </w:r>
      <w:r w:rsidRPr="008F03E5">
        <w:tab/>
        <w:t>Pers. a guards-man, a guard</w:t>
      </w:r>
    </w:p>
    <w:p w14:paraId="5FAE2DC3" w14:textId="77777777" w:rsidR="00625A5B" w:rsidRPr="008F03E5" w:rsidRDefault="00625A5B" w:rsidP="008E1814">
      <w:pPr>
        <w:pStyle w:val="Translit"/>
      </w:pPr>
      <w:r w:rsidRPr="008F03E5">
        <w:t>Kishikchi</w:t>
      </w:r>
      <w:r w:rsidRPr="008F03E5">
        <w:tab/>
        <w:t>Ki</w:t>
      </w:r>
      <w:r w:rsidRPr="008F03E5">
        <w:rPr>
          <w:u w:val="single"/>
        </w:rPr>
        <w:t>sh</w:t>
      </w:r>
      <w:r w:rsidRPr="008F03E5">
        <w:t>ík</w:t>
      </w:r>
      <w:r w:rsidRPr="008F03E5">
        <w:rPr>
          <w:u w:val="single"/>
        </w:rPr>
        <w:t>ch</w:t>
      </w:r>
      <w:r w:rsidRPr="008F03E5">
        <w:t>í</w:t>
      </w:r>
      <w:r w:rsidRPr="008F03E5">
        <w:tab/>
        <w:t>Pers. a sentinel, night watchman</w:t>
      </w:r>
    </w:p>
    <w:p w14:paraId="381E878E" w14:textId="77777777" w:rsidR="00625A5B" w:rsidRPr="008F03E5" w:rsidRDefault="00625A5B" w:rsidP="000C01D2">
      <w:pPr>
        <w:pStyle w:val="Translit"/>
      </w:pPr>
      <w:r w:rsidRPr="008F03E5">
        <w:t>Kishon</w:t>
      </w:r>
      <w:r w:rsidRPr="008F03E5">
        <w:tab/>
        <w:t>Kishon River, Nachal HaKishon</w:t>
      </w:r>
      <w:r w:rsidRPr="008F03E5">
        <w:tab/>
        <w:t>flows to the north side of Haifa into the Mediterranean Sea.  Arabic Naḥr al-Muquṭṭa‘ (the river of slaughter or dismemberment) or al-Kí</w:t>
      </w:r>
      <w:r w:rsidRPr="008F03E5">
        <w:rPr>
          <w:u w:val="single"/>
        </w:rPr>
        <w:t>sh</w:t>
      </w:r>
      <w:r w:rsidRPr="008F03E5">
        <w:t>wan.</w:t>
      </w:r>
    </w:p>
    <w:p w14:paraId="064313C7" w14:textId="77777777" w:rsidR="00625A5B" w:rsidRPr="008F03E5" w:rsidRDefault="00625A5B" w:rsidP="000C01D2">
      <w:pPr>
        <w:pStyle w:val="Translit"/>
      </w:pPr>
      <w:r w:rsidRPr="008F03E5">
        <w:t>Kisra, Akasira, Akasir</w:t>
      </w:r>
      <w:r w:rsidRPr="008F03E5">
        <w:tab/>
        <w:t>Kisrá, pl. Akásira, Akásir</w:t>
      </w:r>
      <w:r w:rsidRPr="008F03E5">
        <w:tab/>
        <w:t>(Khosraw) Chosroes; designation of the Persian kings in general</w:t>
      </w:r>
    </w:p>
    <w:p w14:paraId="565A6DD1" w14:textId="77777777" w:rsidR="00625A5B" w:rsidRPr="008F03E5" w:rsidRDefault="00625A5B" w:rsidP="002B5E2B">
      <w:pPr>
        <w:pStyle w:val="Translit"/>
      </w:pPr>
      <w:r w:rsidRPr="001457C8">
        <w:rPr>
          <w:lang w:val="de-DE"/>
        </w:rPr>
        <w:t>Kiswa, Kusan, Kisan, Kasawin</w:t>
      </w:r>
      <w:r w:rsidRPr="001457C8">
        <w:rPr>
          <w:lang w:val="de-DE"/>
        </w:rPr>
        <w:tab/>
        <w:t xml:space="preserve">Kiswa[h or t], pl. </w:t>
      </w:r>
      <w:r w:rsidRPr="008F03E5">
        <w:t>Kusan, Kisan, Kasáwin</w:t>
      </w:r>
      <w:r w:rsidRPr="008F03E5">
        <w:tab/>
        <w:t>clothing, clothes, apparel, attire, raiment; dress, garment; suit of clothes; uniform; draping, lining, casing, facing, panelling, wainscoting (e.g., of walls).  Persian Kiswat (Kisvat), Kuswat, pl. Kusá</w:t>
      </w:r>
    </w:p>
    <w:p w14:paraId="6633D16D" w14:textId="77777777" w:rsidR="00625A5B" w:rsidRPr="008F03E5" w:rsidRDefault="00625A5B" w:rsidP="009804C2">
      <w:pPr>
        <w:pStyle w:val="Translit"/>
      </w:pPr>
      <w:r w:rsidRPr="008F03E5">
        <w:t>Kitab al-Asma’</w:t>
      </w:r>
      <w:r w:rsidRPr="008F03E5">
        <w:tab/>
        <w:t>Kitáb al-Asmáʼ</w:t>
      </w:r>
      <w:r w:rsidRPr="008F03E5">
        <w:tab/>
        <w:t xml:space="preserve">Book of Divine Names (also known as the </w:t>
      </w:r>
      <w:r w:rsidRPr="008F03E5">
        <w:rPr>
          <w:u w:val="single"/>
        </w:rPr>
        <w:t>Ch</w:t>
      </w:r>
      <w:r w:rsidRPr="008F03E5">
        <w:t xml:space="preserve">ahár </w:t>
      </w:r>
      <w:r w:rsidRPr="008F03E5">
        <w:rPr>
          <w:u w:val="single"/>
        </w:rPr>
        <w:t>Sh</w:t>
      </w:r>
      <w:r w:rsidRPr="008F03E5">
        <w:t xml:space="preserve">a’n, “The [Book of the] Four Grades”) written by the Báb in Arabic during his imprisonment in Máh-Kú and </w:t>
      </w:r>
      <w:r w:rsidRPr="008F03E5">
        <w:rPr>
          <w:u w:val="single"/>
        </w:rPr>
        <w:t>Ch</w:t>
      </w:r>
      <w:r w:rsidRPr="008F03E5">
        <w:t>ihríq in Iran (1847–1850).  With over 3,000 pages, it is the largest revealed scripture in religious history.</w:t>
      </w:r>
    </w:p>
    <w:p w14:paraId="6CF62F04" w14:textId="77777777" w:rsidR="00625A5B" w:rsidRPr="008F03E5" w:rsidRDefault="00625A5B" w:rsidP="009804C2">
      <w:pPr>
        <w:pStyle w:val="Translit"/>
      </w:pPr>
      <w:r w:rsidRPr="00077779">
        <w:t>Kitab al-Badi’, Kitab-i-Badi’</w:t>
      </w:r>
      <w:r w:rsidRPr="00077779">
        <w:tab/>
        <w:t xml:space="preserve">al-Kitáb al-Badí‘, Pers. </w:t>
      </w:r>
      <w:r w:rsidRPr="008F03E5">
        <w:t>Kitáb-i-Badí‘</w:t>
      </w:r>
      <w:r w:rsidRPr="008F03E5">
        <w:tab/>
        <w:t>“The Wondrous or Unique Book” by Bahá’u’lláh in 1867–68 in Adrianople.  Written mainly in Persian, but it contains many passages in Arabic.  Twice the size of the Kitáb-i-Íqán, it contains insights into the prophecies of the Báb concerning “Him Whom God shall make manifest” and was written in defence of the Bahá’í Revelation.  Recipient was Mírzá Mihdíy-i-Gílání (a Bábí of “perfidy and hypocrisy”, Adib Taherzadeh).</w:t>
      </w:r>
    </w:p>
    <w:p w14:paraId="3B76A64A" w14:textId="77777777" w:rsidR="00625A5B" w:rsidRPr="00077779" w:rsidRDefault="00625A5B" w:rsidP="008D037F">
      <w:pPr>
        <w:pStyle w:val="Translit"/>
        <w:rPr>
          <w:b/>
          <w:bCs/>
        </w:rPr>
      </w:pPr>
      <w:r w:rsidRPr="008D037F">
        <w:t>Kitab al-Hayy</w:t>
      </w:r>
      <w:r w:rsidRPr="008D037F">
        <w:tab/>
        <w:t>al-Kitáb al-Ḥayy</w:t>
      </w:r>
      <w:r w:rsidRPr="008F03E5">
        <w:tab/>
        <w:t xml:space="preserve">“The Living Book”, the Manifestation of God for the time being considered.  An alternative exression is “The Speaking Book” (al-Kitáb an-Náṭiq).  </w:t>
      </w:r>
      <w:r w:rsidRPr="00077779">
        <w:t>See al-Kitáb aṣ-Ṣámit.</w:t>
      </w:r>
    </w:p>
    <w:p w14:paraId="51D625B2" w14:textId="77777777" w:rsidR="00625A5B" w:rsidRPr="008F03E5" w:rsidRDefault="00625A5B" w:rsidP="005C7DE7">
      <w:pPr>
        <w:pStyle w:val="Translit"/>
      </w:pPr>
      <w:r w:rsidRPr="00077779">
        <w:rPr>
          <w:rFonts w:eastAsia="PMingLiU"/>
          <w:lang w:val="en-AU" w:eastAsia="zh-TW"/>
        </w:rPr>
        <w:t>Kitab al-Mubin</w:t>
      </w:r>
      <w:r w:rsidRPr="00077779">
        <w:rPr>
          <w:lang w:val="en-AU"/>
        </w:rPr>
        <w:tab/>
        <w:t>al-</w:t>
      </w:r>
      <w:r w:rsidRPr="00077779">
        <w:rPr>
          <w:rFonts w:eastAsia="PMingLiU"/>
          <w:lang w:val="en-AU" w:eastAsia="zh-TW"/>
        </w:rPr>
        <w:t xml:space="preserve">Kitáb al-Mubín (Pers. </w:t>
      </w:r>
      <w:r w:rsidRPr="008F03E5">
        <w:rPr>
          <w:rFonts w:eastAsia="PMingLiU"/>
          <w:lang w:eastAsia="zh-TW"/>
        </w:rPr>
        <w:t>Kitáb-i-Mubín)</w:t>
      </w:r>
      <w:r w:rsidRPr="008F03E5">
        <w:tab/>
        <w:t>“the clear or perspicuous book”.  Expression used in Qur’án 5:15, 6:59, 11:6. 12:1, 26:2, 27:1, 28:2, 34:3, 37:117, 43:2 and 44:2.  Verses 12:1, 27:1, 28:2, 43:2 and 44:2 state that this expression refers to the Qur’án.  Qur’án 3:7 states there are muḥkamát (“precise”) and muta</w:t>
      </w:r>
      <w:r w:rsidRPr="008F03E5">
        <w:rPr>
          <w:u w:val="single"/>
        </w:rPr>
        <w:t>sh</w:t>
      </w:r>
      <w:r w:rsidRPr="008F03E5">
        <w:t>ábihát (“allegorical”) verses.</w:t>
      </w:r>
    </w:p>
    <w:p w14:paraId="1F70FC13" w14:textId="77777777" w:rsidR="00625A5B" w:rsidRPr="008F03E5" w:rsidRDefault="00625A5B" w:rsidP="00FF2CB0">
      <w:pPr>
        <w:pStyle w:val="Translit"/>
      </w:pPr>
      <w:r w:rsidRPr="008F03E5">
        <w:t>Kitab al-Yawaqit wa al-Jawahir</w:t>
      </w:r>
      <w:r w:rsidRPr="008F03E5">
        <w:tab/>
        <w:t>al-Kitáb al-Yawáqít wa al-Jawáhir</w:t>
      </w:r>
      <w:r w:rsidRPr="008F03E5">
        <w:tab/>
        <w:t>(Pers. Kitábu’l-Yawáqít-i-wa’l-Javáhir, also with v instead of w) by Siyyid ‘Abd al-Wahháb ibn Aḥmad a</w:t>
      </w:r>
      <w:r w:rsidRPr="008F03E5">
        <w:rPr>
          <w:u w:val="single"/>
        </w:rPr>
        <w:t>sh</w:t>
      </w:r>
      <w:r w:rsidRPr="008F03E5">
        <w:t>-</w:t>
      </w:r>
      <w:r w:rsidRPr="008F03E5">
        <w:rPr>
          <w:u w:val="single"/>
        </w:rPr>
        <w:t>Sh</w:t>
      </w:r>
      <w:r w:rsidRPr="008F03E5">
        <w:t xml:space="preserve">a‘rání (1492/3–1565, </w:t>
      </w:r>
      <w:r w:rsidRPr="008F03E5">
        <w:rPr>
          <w:sz w:val="16"/>
          <w:szCs w:val="16"/>
        </w:rPr>
        <w:t>AH</w:t>
      </w:r>
      <w:r w:rsidRPr="008F03E5">
        <w:t xml:space="preserve"> 898–973) was an Egyptian </w:t>
      </w:r>
      <w:r w:rsidRPr="008F03E5">
        <w:rPr>
          <w:u w:val="single"/>
        </w:rPr>
        <w:t>Sh</w:t>
      </w:r>
      <w:r w:rsidRPr="008F03E5">
        <w:t xml:space="preserve">áfi‘í scholar and mystic, founder of an Egyptian order of Sufism, eponymously known as </w:t>
      </w:r>
      <w:r w:rsidRPr="008F03E5">
        <w:rPr>
          <w:u w:val="single"/>
        </w:rPr>
        <w:t>Sh</w:t>
      </w:r>
      <w:r w:rsidRPr="008F03E5">
        <w:t>a‘ráwiyyah.  Full title:  Kitáb al-Yawáqít wa al-jawáhir fí bayán ‘aqá’id al-akábir (The book of rubies and jewels:  an explanation of the tenets of faith of mystic luminaries).</w:t>
      </w:r>
    </w:p>
    <w:p w14:paraId="4C8339A5" w14:textId="77777777" w:rsidR="00625A5B" w:rsidRPr="008F03E5" w:rsidRDefault="00625A5B" w:rsidP="002C25E9">
      <w:pPr>
        <w:pStyle w:val="Translit"/>
      </w:pPr>
      <w:r w:rsidRPr="008F03E5">
        <w:t>Kitab as-Samit</w:t>
      </w:r>
      <w:r w:rsidRPr="008F03E5">
        <w:tab/>
        <w:t>al-Kitáb aṣ-Ṣámit</w:t>
      </w:r>
      <w:r w:rsidRPr="008F03E5">
        <w:tab/>
        <w:t>“The Silent Book” is the previous Manifestation of God for the time being considered.  e.g. at the time of the Báb, Muḥammad and the Qur’án is His Mute Book (al-Kitáb al-Abkam)—it cannot be used to refute the “Living Book”, the Báb or now Bahá’u’lláh.  See al-Kitáb al-Ḥayy.</w:t>
      </w:r>
    </w:p>
    <w:p w14:paraId="6147597D" w14:textId="77777777" w:rsidR="00625A5B" w:rsidRPr="008F03E5" w:rsidRDefault="00625A5B" w:rsidP="00B41B8F">
      <w:pPr>
        <w:pStyle w:val="Translit"/>
      </w:pPr>
      <w:r w:rsidRPr="008F03E5">
        <w:t>Kitab, Kutub</w:t>
      </w:r>
      <w:r w:rsidRPr="008F03E5">
        <w:tab/>
        <w:t>Kitáb, pl. Kutub</w:t>
      </w:r>
      <w:r w:rsidRPr="008F03E5">
        <w:tab/>
        <w:t>piece of writing, record, paper; letter, note, message; document, deed; contract (esp. marriage contract); book.  Kitábun, a book</w:t>
      </w:r>
    </w:p>
    <w:p w14:paraId="0940F57E" w14:textId="77777777" w:rsidR="00625A5B" w:rsidRPr="008F03E5" w:rsidRDefault="00625A5B" w:rsidP="00276CB4">
      <w:pPr>
        <w:pStyle w:val="Translit"/>
      </w:pPr>
      <w:r w:rsidRPr="008F03E5">
        <w:t>Kitab-i</w:t>
      </w:r>
      <w:r w:rsidRPr="008F03E5">
        <w:rPr>
          <w:rFonts w:eastAsia="PMingLiU"/>
          <w:lang w:eastAsia="zh-TW"/>
        </w:rPr>
        <w:t>-‘</w:t>
      </w:r>
      <w:r w:rsidRPr="008F03E5">
        <w:t>Ahd</w:t>
      </w:r>
      <w:r w:rsidRPr="008F03E5">
        <w:tab/>
        <w:t>Kitáb-i-‘Ahd</w:t>
      </w:r>
      <w:r w:rsidRPr="008F03E5">
        <w:tab/>
        <w:t>“Book of the Covenant” or Testament of Bahá’u’lláh written in Persian, designated by Him as His “Most Great Tablet” and alluded to by Him as the “Crimson Book”</w:t>
      </w:r>
      <w:r>
        <w:t xml:space="preserve"> (once known as the “Red Epistle”)</w:t>
      </w:r>
      <w:r w:rsidRPr="008F03E5">
        <w:t xml:space="preserve">, and the ‘word’ recorded in it </w:t>
      </w:r>
      <w:r>
        <w:t>i</w:t>
      </w:r>
      <w:r w:rsidRPr="008F03E5">
        <w:t xml:space="preserve">s the power of the Covenant—the power for unity </w:t>
      </w:r>
      <w:r>
        <w:t>that</w:t>
      </w:r>
      <w:r w:rsidRPr="008F03E5">
        <w:t xml:space="preserve"> the Covenant possesses and radiates.</w:t>
      </w:r>
    </w:p>
    <w:p w14:paraId="1C169787" w14:textId="77777777" w:rsidR="00625A5B" w:rsidRPr="008F03E5" w:rsidRDefault="00625A5B" w:rsidP="000E08BC">
      <w:pPr>
        <w:pStyle w:val="Translit"/>
      </w:pPr>
      <w:r w:rsidRPr="008F03E5">
        <w:t>Kitab-i</w:t>
      </w:r>
      <w:r w:rsidRPr="008F03E5">
        <w:rPr>
          <w:rFonts w:eastAsia="PMingLiU"/>
          <w:lang w:eastAsia="zh-TW"/>
        </w:rPr>
        <w:t>-‘</w:t>
      </w:r>
      <w:r w:rsidRPr="008F03E5">
        <w:t>Ahdi</w:t>
      </w:r>
      <w:r w:rsidRPr="008F03E5">
        <w:tab/>
        <w:t>Kitáb-i-‘Ahdí</w:t>
      </w:r>
      <w:r w:rsidRPr="008F03E5">
        <w:tab/>
        <w:t>“Book of My Covenant” (a name that is sometimes used for Kitáb-i-‘Ahd)</w:t>
      </w:r>
    </w:p>
    <w:p w14:paraId="29BFC4BA" w14:textId="77777777" w:rsidR="00625A5B" w:rsidRPr="008F03E5" w:rsidRDefault="00625A5B" w:rsidP="00BF7FAE">
      <w:pPr>
        <w:pStyle w:val="Translit"/>
      </w:pPr>
      <w:r w:rsidRPr="008F03E5">
        <w:t>Kitab-i-Haykal</w:t>
      </w:r>
      <w:r w:rsidRPr="008F03E5">
        <w:tab/>
        <w:t>Kitáb-i-Haykal</w:t>
      </w:r>
      <w:r w:rsidRPr="008F03E5">
        <w:tab/>
        <w:t>“Book of the Temple” by the Báb.  Alternative name, Kitáb-i-Hayákil (Book of Temples or Talismans), or more loosely, as Kitábí dar Hayákil-i-Wáḥid (Book concerning the Temples (Talismans) of Unity).  Information provided by Bahá’u’lláh “</w:t>
      </w:r>
      <w:r w:rsidRPr="008F03E5">
        <w:rPr>
          <w:lang w:eastAsia="en-US"/>
        </w:rPr>
        <w:t xml:space="preserve">… serve to identify the work referred to by these varying titles as … the final five sections … of the” </w:t>
      </w:r>
      <w:r w:rsidRPr="008F03E5">
        <w:t>Kitáb-i-Panj-</w:t>
      </w:r>
      <w:r w:rsidRPr="008F03E5">
        <w:rPr>
          <w:u w:val="single"/>
        </w:rPr>
        <w:t>Sh</w:t>
      </w:r>
      <w:r w:rsidRPr="008F03E5">
        <w:t xml:space="preserve">a’n, </w:t>
      </w:r>
      <w:r w:rsidRPr="008F03E5">
        <w:rPr>
          <w:lang w:eastAsia="en-US"/>
        </w:rPr>
        <w:t xml:space="preserve">pp. 405–47.  </w:t>
      </w:r>
      <w:r w:rsidRPr="008F03E5">
        <w:rPr>
          <w:i/>
          <w:iCs/>
        </w:rPr>
        <w:t>The sources for early Bábí doctrine and history</w:t>
      </w:r>
      <w:r w:rsidRPr="008F03E5">
        <w:t>, Denis MacEoin p. 89.</w:t>
      </w:r>
    </w:p>
    <w:p w14:paraId="3CEACD44" w14:textId="77777777" w:rsidR="00625A5B" w:rsidRPr="008F03E5" w:rsidRDefault="00625A5B" w:rsidP="00900A82">
      <w:pPr>
        <w:pStyle w:val="Translit"/>
      </w:pPr>
      <w:r w:rsidRPr="008F03E5">
        <w:t>Kitab-i-Iqan</w:t>
      </w:r>
      <w:r w:rsidRPr="008F03E5">
        <w:tab/>
        <w:t>Kitáb-i-Íqán</w:t>
      </w:r>
      <w:r w:rsidRPr="008F03E5">
        <w:tab/>
        <w:t>“Book of Certitude” by Bahá’u’lláh</w:t>
      </w:r>
    </w:p>
    <w:p w14:paraId="16D17E4D" w14:textId="77777777" w:rsidR="00625A5B" w:rsidRPr="008F03E5" w:rsidRDefault="00625A5B" w:rsidP="00201898">
      <w:pPr>
        <w:pStyle w:val="Translit"/>
      </w:pPr>
      <w:r w:rsidRPr="008F03E5">
        <w:rPr>
          <w:rFonts w:eastAsia="PMingLiU"/>
          <w:lang w:eastAsia="zh-TW"/>
        </w:rPr>
        <w:t>Kitab-i-Mubin</w:t>
      </w:r>
      <w:r w:rsidRPr="008F03E5">
        <w:tab/>
      </w:r>
      <w:r w:rsidRPr="008F03E5">
        <w:rPr>
          <w:rFonts w:eastAsia="PMingLiU"/>
          <w:lang w:eastAsia="zh-TW"/>
        </w:rPr>
        <w:t>Kitáb-i-Mubín</w:t>
      </w:r>
      <w:r w:rsidRPr="008F03E5">
        <w:tab/>
        <w:t xml:space="preserve">Pers. form, “the clear book”, a selected compilation of Bahá’u’lláh’s Writings in the handwriting of his half brother, Mírzá Muḥammad-‘Alí.  He was sent to Bombay to have the compilation printed, but He altered passages (easily exposed when compared with the originals) that alluded to ‘Abdu’l-Bahá’s exalted station.  See </w:t>
      </w:r>
      <w:r w:rsidRPr="008F03E5">
        <w:rPr>
          <w:i/>
          <w:iCs/>
        </w:rPr>
        <w:t>The Covenant of Bahá’u’lláh</w:t>
      </w:r>
      <w:r w:rsidRPr="008F03E5">
        <w:t>, p. 130.</w:t>
      </w:r>
    </w:p>
    <w:p w14:paraId="7DE70638" w14:textId="77777777" w:rsidR="00625A5B" w:rsidRPr="008F03E5" w:rsidRDefault="00625A5B" w:rsidP="00FD3AF2">
      <w:pPr>
        <w:pStyle w:val="Translit"/>
      </w:pPr>
      <w:r w:rsidRPr="008F03E5">
        <w:t>Kitab-i-Natiq</w:t>
      </w:r>
      <w:r w:rsidRPr="008F03E5">
        <w:tab/>
        <w:t>Kitáb-i-Náṭiq</w:t>
      </w:r>
      <w:r w:rsidRPr="008F03E5">
        <w:tab/>
        <w:t>“The Speaking Book”</w:t>
      </w:r>
    </w:p>
    <w:p w14:paraId="22E67FAB" w14:textId="77777777" w:rsidR="00625A5B" w:rsidRPr="008F03E5" w:rsidRDefault="00625A5B" w:rsidP="00D864A9">
      <w:pPr>
        <w:pStyle w:val="Translit"/>
      </w:pPr>
      <w:r w:rsidRPr="008F03E5">
        <w:t>Kitab-i-Panj-Sha’n</w:t>
      </w:r>
      <w:r w:rsidRPr="008F03E5">
        <w:tab/>
        <w:t>Kitáb-i-Panj-</w:t>
      </w:r>
      <w:r w:rsidRPr="008F03E5">
        <w:rPr>
          <w:u w:val="single"/>
        </w:rPr>
        <w:t>Sh</w:t>
      </w:r>
      <w:r w:rsidRPr="008F03E5">
        <w:t>a’n</w:t>
      </w:r>
      <w:r w:rsidRPr="008F03E5">
        <w:tab/>
        <w:t>“Book of the Five Modes of Revelation” by the Báb</w:t>
      </w:r>
    </w:p>
    <w:p w14:paraId="7FBC7731" w14:textId="77777777" w:rsidR="00625A5B" w:rsidRPr="008F03E5" w:rsidRDefault="00625A5B" w:rsidP="009F7094">
      <w:pPr>
        <w:pStyle w:val="Translit"/>
      </w:pPr>
      <w:r w:rsidRPr="008F03E5">
        <w:t>Kitab-Khana</w:t>
      </w:r>
      <w:r w:rsidRPr="008F03E5">
        <w:tab/>
        <w:t>Kitáb-</w:t>
      </w:r>
      <w:r w:rsidRPr="008F03E5">
        <w:rPr>
          <w:rFonts w:eastAsia="Times New Roman"/>
          <w:u w:val="single"/>
        </w:rPr>
        <w:t>Kh</w:t>
      </w:r>
      <w:r w:rsidRPr="008F03E5">
        <w:t>ána</w:t>
      </w:r>
      <w:r w:rsidRPr="008F03E5">
        <w:tab/>
        <w:t>Pers. a library; a study; a bookseller’s shop</w:t>
      </w:r>
    </w:p>
    <w:p w14:paraId="7C359C37" w14:textId="77777777" w:rsidR="00625A5B" w:rsidRPr="008F03E5" w:rsidRDefault="00625A5B" w:rsidP="00CD7D28">
      <w:pPr>
        <w:pStyle w:val="Translit"/>
      </w:pPr>
      <w:r w:rsidRPr="008F03E5">
        <w:t>Kitabu’l-Aqdas, Kitab-i-Aqdas</w:t>
      </w:r>
      <w:r w:rsidRPr="008F03E5">
        <w:tab/>
        <w:t>al-Kitábu’l-Aqdas, Pers. Kitáb-i-Aqdas</w:t>
      </w:r>
      <w:r w:rsidRPr="008F03E5">
        <w:tab/>
        <w:t xml:space="preserve">“The Most Holy Book” by Bahá’u’lláh in Arabic.  The first authorised English translation was published in 1992 as </w:t>
      </w:r>
      <w:r w:rsidRPr="008F03E5">
        <w:rPr>
          <w:i/>
          <w:iCs/>
        </w:rPr>
        <w:t>The Kitáb-i-Aqdas:  The Most Holy Book</w:t>
      </w:r>
      <w:r w:rsidRPr="008F03E5">
        <w:t xml:space="preserve"> (the title is based on Persian pronunciation).  The book in Arabic has been given in both forms.  It is the main source of Bahá’í laws and practices, and is sometimes known as the “Book of Laws”.</w:t>
      </w:r>
    </w:p>
    <w:p w14:paraId="2FB6EF21" w14:textId="77777777" w:rsidR="00625A5B" w:rsidRPr="008F03E5" w:rsidRDefault="00625A5B" w:rsidP="000C01D2">
      <w:pPr>
        <w:pStyle w:val="Translit"/>
      </w:pPr>
      <w:r w:rsidRPr="008F03E5">
        <w:t>Kitabu’l-Asma’, Kitab-i-Asma’</w:t>
      </w:r>
      <w:r w:rsidRPr="008F03E5">
        <w:tab/>
        <w:t>Kitábu’l-Asmá’, Pers. Kitáb-i-Asmá’</w:t>
      </w:r>
      <w:r w:rsidRPr="008F03E5">
        <w:tab/>
        <w:t>“Book of Divine Names” by the Báb</w:t>
      </w:r>
    </w:p>
    <w:p w14:paraId="1800964A" w14:textId="77777777" w:rsidR="00625A5B" w:rsidRPr="008F03E5" w:rsidRDefault="00625A5B" w:rsidP="00900A82">
      <w:pPr>
        <w:pStyle w:val="Translit"/>
      </w:pPr>
      <w:r w:rsidRPr="008F03E5">
        <w:t>Kitabu’l-Fara’id</w:t>
      </w:r>
      <w:r w:rsidRPr="008F03E5">
        <w:tab/>
        <w:t>Kitábu’l-Fará’id</w:t>
      </w:r>
      <w:r w:rsidRPr="008F03E5">
        <w:tab/>
        <w:t>“</w:t>
      </w:r>
      <w:r w:rsidRPr="008F03E5">
        <w:rPr>
          <w:i/>
          <w:iCs/>
        </w:rPr>
        <w:t>Priceless Things”</w:t>
      </w:r>
      <w:r w:rsidRPr="008F03E5">
        <w:t xml:space="preserve"> (by Mírzá Abu’l-Faḍl)</w:t>
      </w:r>
    </w:p>
    <w:p w14:paraId="69924B6E" w14:textId="77777777" w:rsidR="00625A5B" w:rsidRPr="008F03E5" w:rsidRDefault="00625A5B" w:rsidP="00900A82">
      <w:pPr>
        <w:pStyle w:val="Translit"/>
      </w:pPr>
      <w:r w:rsidRPr="008F03E5">
        <w:t>Kitabu’l-Fihrist</w:t>
      </w:r>
      <w:r w:rsidRPr="008F03E5">
        <w:tab/>
        <w:t>Kitábu’l-Fihrist</w:t>
      </w:r>
      <w:r w:rsidRPr="008F03E5">
        <w:tab/>
        <w:t>“Indexical Tablet” by the Báb</w:t>
      </w:r>
    </w:p>
    <w:p w14:paraId="2C649DCB" w14:textId="77777777" w:rsidR="00625A5B" w:rsidRPr="008F204D" w:rsidRDefault="00625A5B" w:rsidP="00102968">
      <w:pPr>
        <w:pStyle w:val="Translit"/>
      </w:pPr>
      <w:r w:rsidRPr="008F204D">
        <w:t>Kitabu’l-Haramayn</w:t>
      </w:r>
      <w:r w:rsidRPr="008F204D">
        <w:tab/>
        <w:t>Kitábu’l-Ḥaramayn</w:t>
      </w:r>
      <w:r>
        <w:tab/>
        <w:t>“</w:t>
      </w:r>
      <w:r w:rsidRPr="008F204D">
        <w:t>Kitáb [Ṣaḥífa] bayn al-Ḥaramayn</w:t>
      </w:r>
      <w:r>
        <w:t>” (“</w:t>
      </w:r>
      <w:r w:rsidRPr="008F204D">
        <w:t>The Book [Treatise]</w:t>
      </w:r>
      <w:r>
        <w:t xml:space="preserve"> </w:t>
      </w:r>
      <w:r w:rsidRPr="008F204D">
        <w:t>revealed between the Two Shrines [Mecca and Medina]</w:t>
      </w:r>
      <w:r>
        <w:t>”</w:t>
      </w:r>
      <w:r w:rsidRPr="008F204D">
        <w:t>)</w:t>
      </w:r>
      <w:r>
        <w:t xml:space="preserve"> written by the Báb.</w:t>
      </w:r>
    </w:p>
    <w:p w14:paraId="2B063EA1" w14:textId="77777777" w:rsidR="00625A5B" w:rsidRPr="008F03E5" w:rsidRDefault="00625A5B" w:rsidP="00014D78">
      <w:pPr>
        <w:pStyle w:val="Translit"/>
      </w:pPr>
      <w:r w:rsidRPr="008F03E5">
        <w:t>Kitabu’l-Muqaddas</w:t>
      </w:r>
      <w:r w:rsidRPr="008F03E5">
        <w:tab/>
        <w:t>al-Kitábu’l-Muqaddas</w:t>
      </w:r>
      <w:r w:rsidRPr="008F03E5">
        <w:tab/>
        <w:t>The Most Holy Book</w:t>
      </w:r>
    </w:p>
    <w:p w14:paraId="299D5DB6" w14:textId="77777777" w:rsidR="00625A5B" w:rsidRPr="008F03E5" w:rsidRDefault="00625A5B" w:rsidP="00900A82">
      <w:pPr>
        <w:pStyle w:val="Translit"/>
      </w:pPr>
      <w:r w:rsidRPr="008F03E5">
        <w:t>Kitabu’r-Ruh</w:t>
      </w:r>
      <w:r w:rsidRPr="008F03E5">
        <w:tab/>
        <w:t>Kitábu’r-Rúḥ</w:t>
      </w:r>
      <w:r w:rsidRPr="008F03E5">
        <w:tab/>
        <w:t>“Book of the Spirit” by the Báb</w:t>
      </w:r>
    </w:p>
    <w:p w14:paraId="1520E3F0" w14:textId="77777777" w:rsidR="00625A5B" w:rsidRPr="008F03E5" w:rsidRDefault="00625A5B" w:rsidP="005C3DF4">
      <w:pPr>
        <w:pStyle w:val="Translit"/>
      </w:pPr>
      <w:r w:rsidRPr="008F03E5">
        <w:t>Kitman</w:t>
      </w:r>
      <w:r w:rsidRPr="008F03E5">
        <w:tab/>
        <w:t>Kitmán</w:t>
      </w:r>
      <w:r w:rsidRPr="008F03E5">
        <w:tab/>
        <w:t>Pers. the act of paying lip service to authority while holding personal opposition.  Saying something that is not true.  See Taqíya (Ar.)</w:t>
      </w:r>
    </w:p>
    <w:p w14:paraId="29D53958" w14:textId="77777777" w:rsidR="00625A5B" w:rsidRPr="008F03E5" w:rsidRDefault="00625A5B" w:rsidP="00637F88">
      <w:pPr>
        <w:pStyle w:val="Translit"/>
      </w:pPr>
      <w:r w:rsidRPr="008F03E5">
        <w:t>Kiya</w:t>
      </w:r>
      <w:r w:rsidRPr="008F03E5">
        <w:tab/>
        <w:t>Kiyá</w:t>
      </w:r>
      <w:r w:rsidRPr="008F03E5">
        <w:tab/>
        <w:t>Pers. a king, protector, defender; a hero, champion; a lord, master; a lord marcher, landgrave, margrave; a peasant; powerful; work, labour; the four elements; pure, clear, innocent; heat, cold, dryness, or moisture; the mouth; mastic.  [</w:t>
      </w:r>
      <w:r w:rsidRPr="008F03E5">
        <w:rPr>
          <w:sz w:val="16"/>
          <w:szCs w:val="16"/>
        </w:rPr>
        <w:t>MUHJ</w:t>
      </w:r>
      <w:r w:rsidRPr="008F03E5">
        <w:t xml:space="preserve"> 521 has Kíyá]</w:t>
      </w:r>
    </w:p>
    <w:p w14:paraId="74059F8F" w14:textId="77777777" w:rsidR="00625A5B" w:rsidRPr="008F03E5" w:rsidRDefault="00625A5B" w:rsidP="00C03119">
      <w:pPr>
        <w:pStyle w:val="Translit"/>
      </w:pPr>
      <w:r w:rsidRPr="008F03E5">
        <w:t>Kiyan</w:t>
      </w:r>
      <w:r w:rsidRPr="008F03E5">
        <w:tab/>
        <w:t>Kiyán</w:t>
      </w:r>
      <w:r w:rsidRPr="008F03E5">
        <w:tab/>
        <w:t>(keyan) being, existence; essence, substance; nature.</w:t>
      </w:r>
    </w:p>
    <w:p w14:paraId="16C732CE" w14:textId="77777777" w:rsidR="00625A5B" w:rsidRPr="008F03E5" w:rsidRDefault="00625A5B" w:rsidP="00003D37">
      <w:pPr>
        <w:pStyle w:val="Translit"/>
      </w:pPr>
      <w:r w:rsidRPr="008F03E5">
        <w:t>Kiyani</w:t>
      </w:r>
      <w:r w:rsidRPr="008F03E5">
        <w:tab/>
        <w:t>Kiyání, pl. K</w:t>
      </w:r>
      <w:r>
        <w:t>i</w:t>
      </w:r>
      <w:r w:rsidRPr="008F03E5">
        <w:t>yániyán</w:t>
      </w:r>
      <w:r w:rsidRPr="008F03E5">
        <w:tab/>
      </w:r>
      <w:r w:rsidRPr="008F03E5">
        <w:rPr>
          <w:u w:val="single"/>
        </w:rPr>
        <w:t>Kh</w:t>
      </w:r>
      <w:r w:rsidRPr="008F03E5">
        <w:t xml:space="preserve">ujastah </w:t>
      </w:r>
      <w:r w:rsidRPr="008F03E5">
        <w:rPr>
          <w:u w:val="single"/>
        </w:rPr>
        <w:t>Kh</w:t>
      </w:r>
      <w:r w:rsidRPr="008F03E5">
        <w:t xml:space="preserve">ursand (Khojasteh Khorshand) Kiyání (1917–2002) and Ḥusayn-Qulí (Hossein-Gholi) Kiyání.  See </w:t>
      </w:r>
      <w:r w:rsidRPr="008F03E5">
        <w:rPr>
          <w:sz w:val="16"/>
          <w:szCs w:val="16"/>
        </w:rPr>
        <w:t>MBW</w:t>
      </w:r>
      <w:r w:rsidRPr="008F03E5">
        <w:t xml:space="preserve"> p. “141” (143) and Hugh C. Adamson,</w:t>
      </w:r>
      <w:r w:rsidRPr="008F03E5">
        <w:rPr>
          <w:i/>
          <w:iCs/>
        </w:rPr>
        <w:t xml:space="preserve"> Historical Dictionary of the Bahá’í Faith</w:t>
      </w:r>
      <w:r w:rsidRPr="008F03E5">
        <w:t>, p. 276.</w:t>
      </w:r>
      <w:r>
        <w:t xml:space="preserve">  Pers. also </w:t>
      </w:r>
      <w:r w:rsidRPr="008F03E5">
        <w:t>Kiyání</w:t>
      </w:r>
      <w:r>
        <w:t xml:space="preserve">.  See </w:t>
      </w:r>
      <w:r w:rsidRPr="008F03E5">
        <w:t>Kayání</w:t>
      </w:r>
      <w:r>
        <w:t>.</w:t>
      </w:r>
    </w:p>
    <w:p w14:paraId="72F4B411" w14:textId="77777777" w:rsidR="00625A5B" w:rsidRPr="008F03E5" w:rsidRDefault="00625A5B" w:rsidP="00A55BD2">
      <w:pPr>
        <w:pStyle w:val="Translit"/>
      </w:pPr>
      <w:r w:rsidRPr="008F03E5">
        <w:t>Kiyasar</w:t>
      </w:r>
      <w:r w:rsidRPr="008F03E5">
        <w:tab/>
        <w:t>Kiyásar</w:t>
      </w:r>
      <w:r w:rsidRPr="008F03E5">
        <w:tab/>
        <w:t xml:space="preserve">(“Kiasar”, “Kíásar”, “Keyásar” and “Kíya Sar”) is a small city 57 km </w:t>
      </w:r>
      <w:r w:rsidRPr="008F03E5">
        <w:rPr>
          <w:sz w:val="16"/>
          <w:szCs w:val="16"/>
        </w:rPr>
        <w:t>SE</w:t>
      </w:r>
      <w:r w:rsidRPr="008F03E5">
        <w:t xml:space="preserve"> Sari, in Sari County, Mazandaran Province</w:t>
      </w:r>
    </w:p>
    <w:p w14:paraId="30ACE8F6" w14:textId="77777777" w:rsidR="00625A5B" w:rsidRPr="008F03E5" w:rsidRDefault="00625A5B" w:rsidP="00242679">
      <w:pPr>
        <w:pStyle w:val="Translit"/>
      </w:pPr>
      <w:r w:rsidRPr="008F03E5">
        <w:t>Kosher, Treyf (Taraf)</w:t>
      </w:r>
      <w:r w:rsidRPr="008F03E5">
        <w:tab/>
        <w:t>Kosher, Ṭreyf (Ṭaraf)</w:t>
      </w:r>
      <w:r w:rsidRPr="008F03E5">
        <w:tab/>
        <w:t>Yiddish ká</w:t>
      </w:r>
      <w:r w:rsidRPr="008F03E5">
        <w:rPr>
          <w:u w:val="single"/>
        </w:rPr>
        <w:t>sh</w:t>
      </w:r>
      <w:r w:rsidRPr="008F03E5">
        <w:t>’r (“fit”, “proper”), kosher.  Yiddish ṭreyf, derived from Hebrew “torn” (by wild animal), treyf (treyfe, treifa, treife, treif, trayf, traif, traife) or non-kosher.</w:t>
      </w:r>
    </w:p>
    <w:p w14:paraId="7471F7B6" w14:textId="77777777" w:rsidR="00625A5B" w:rsidRPr="008F03E5" w:rsidRDefault="00625A5B" w:rsidP="00765E48">
      <w:pPr>
        <w:pStyle w:val="Translit"/>
      </w:pPr>
      <w:r w:rsidRPr="008F03E5">
        <w:t>Ku</w:t>
      </w:r>
      <w:r w:rsidRPr="008F03E5">
        <w:tab/>
        <w:t>Kú</w:t>
      </w:r>
      <w:r w:rsidRPr="008F03E5">
        <w:tab/>
        <w:t>Pers. where? where is he gone? a broad street, square, market-place; a narrow street, an alley</w:t>
      </w:r>
    </w:p>
    <w:p w14:paraId="5338F2DC" w14:textId="77777777" w:rsidR="00625A5B" w:rsidRPr="008F03E5" w:rsidRDefault="00625A5B" w:rsidP="00765E48">
      <w:pPr>
        <w:pStyle w:val="Translit"/>
      </w:pPr>
      <w:r w:rsidRPr="008F03E5">
        <w:t>Kub</w:t>
      </w:r>
      <w:r w:rsidRPr="008F03E5">
        <w:tab/>
        <w:t>Kúb, pl. Akwáb</w:t>
      </w:r>
      <w:r w:rsidRPr="008F03E5">
        <w:tab/>
        <w:t>drinking glass, tumbler, (Iraq) cup, or any vessel without spout or handle, an ewer</w:t>
      </w:r>
    </w:p>
    <w:p w14:paraId="4AC9B16C" w14:textId="77777777" w:rsidR="00625A5B" w:rsidRPr="008F03E5" w:rsidRDefault="00625A5B" w:rsidP="006F137A">
      <w:pPr>
        <w:pStyle w:val="Translit"/>
      </w:pPr>
      <w:r w:rsidRPr="008F03E5">
        <w:t>Kubidan</w:t>
      </w:r>
      <w:r w:rsidRPr="008F03E5">
        <w:tab/>
        <w:t>Kúbídan</w:t>
      </w:r>
      <w:r w:rsidRPr="008F03E5">
        <w:tab/>
        <w:t>Pers. to beat, strike, bruise, pound</w:t>
      </w:r>
    </w:p>
    <w:p w14:paraId="36A84B5C" w14:textId="77777777" w:rsidR="00625A5B" w:rsidRPr="008F03E5" w:rsidRDefault="00625A5B" w:rsidP="0049153D">
      <w:pPr>
        <w:pStyle w:val="Translit"/>
      </w:pPr>
      <w:r w:rsidRPr="008F03E5">
        <w:t>Kucha (Kuchih)</w:t>
      </w:r>
      <w:r w:rsidRPr="008F03E5">
        <w:tab/>
        <w:t>Kú</w:t>
      </w:r>
      <w:r w:rsidRPr="008F03E5">
        <w:rPr>
          <w:u w:val="single"/>
        </w:rPr>
        <w:t>ch</w:t>
      </w:r>
      <w:r w:rsidRPr="008F03E5">
        <w:t>a</w:t>
      </w:r>
      <w:r w:rsidRPr="008F03E5">
        <w:tab/>
        <w:t>Pers. a narrow street; a lane, slum, row, passage; a street, square, market-place;—kú</w:t>
      </w:r>
      <w:r w:rsidRPr="008F03E5">
        <w:rPr>
          <w:u w:val="single"/>
        </w:rPr>
        <w:t>ch</w:t>
      </w:r>
      <w:r w:rsidRPr="008F03E5">
        <w:t>a’i bázár, a street leading to the market; the market-quarter;—kú</w:t>
      </w:r>
      <w:r w:rsidRPr="008F03E5">
        <w:rPr>
          <w:u w:val="single"/>
        </w:rPr>
        <w:t>ch</w:t>
      </w:r>
      <w:r w:rsidRPr="008F03E5">
        <w:t>a’i bá</w:t>
      </w:r>
      <w:r w:rsidRPr="008F03E5">
        <w:rPr>
          <w:rFonts w:eastAsia="Times New Roman"/>
          <w:u w:val="single"/>
        </w:rPr>
        <w:t>gh</w:t>
      </w:r>
      <w:r w:rsidRPr="008F03E5">
        <w:t>, the street leading to the gardens; the quarter of the gardens.</w:t>
      </w:r>
    </w:p>
    <w:p w14:paraId="715FDB11" w14:textId="77777777" w:rsidR="00625A5B" w:rsidRPr="008F03E5" w:rsidRDefault="00625A5B" w:rsidP="00407876">
      <w:pPr>
        <w:pStyle w:val="Translit"/>
      </w:pPr>
      <w:r w:rsidRPr="008F03E5">
        <w:t>Kuchak (Kuchik)</w:t>
      </w:r>
      <w:r w:rsidRPr="008F03E5">
        <w:tab/>
        <w:t>Kú</w:t>
      </w:r>
      <w:r w:rsidRPr="008F03E5">
        <w:rPr>
          <w:u w:val="single"/>
        </w:rPr>
        <w:t>ch</w:t>
      </w:r>
      <w:r w:rsidRPr="008F03E5">
        <w:t>ak (also Kú</w:t>
      </w:r>
      <w:r w:rsidRPr="008F03E5">
        <w:rPr>
          <w:u w:val="single"/>
        </w:rPr>
        <w:t>ch</w:t>
      </w:r>
      <w:r w:rsidRPr="008F03E5">
        <w:t>ik)</w:t>
      </w:r>
      <w:r w:rsidRPr="008F03E5">
        <w:tab/>
        <w:t>Pers. small, little; a musical mode or style; diminutive; younger, junior; a youngster, a child</w:t>
      </w:r>
    </w:p>
    <w:p w14:paraId="0564026E" w14:textId="77777777" w:rsidR="00625A5B" w:rsidRPr="008F03E5" w:rsidRDefault="00625A5B" w:rsidP="003F7A70">
      <w:pPr>
        <w:pStyle w:val="Translit"/>
      </w:pPr>
      <w:r w:rsidRPr="008F03E5">
        <w:t>Kuchik-Chakmachih</w:t>
      </w:r>
      <w:r w:rsidRPr="008F03E5">
        <w:tab/>
        <w:t>Kú</w:t>
      </w:r>
      <w:r w:rsidRPr="008F03E5">
        <w:rPr>
          <w:u w:val="single"/>
        </w:rPr>
        <w:t>ch</w:t>
      </w:r>
      <w:r w:rsidRPr="008F03E5">
        <w:t>ik-</w:t>
      </w:r>
      <w:r w:rsidRPr="008F03E5">
        <w:rPr>
          <w:u w:val="single"/>
        </w:rPr>
        <w:t>Ch</w:t>
      </w:r>
      <w:r w:rsidRPr="008F03E5">
        <w:t>akma</w:t>
      </w:r>
      <w:r w:rsidRPr="008F03E5">
        <w:rPr>
          <w:u w:val="single"/>
        </w:rPr>
        <w:t>ch</w:t>
      </w:r>
      <w:r w:rsidRPr="008F03E5">
        <w:t>ih</w:t>
      </w:r>
      <w:r w:rsidRPr="008F03E5">
        <w:tab/>
        <w:t>Küçükçekmece (“little depression”), now an eastern suburb of Istanbul, 23 km west of the city centre, on the European shore of the Sea of Marmara, Türkiye</w:t>
      </w:r>
    </w:p>
    <w:p w14:paraId="68BDF4F9" w14:textId="77777777" w:rsidR="00625A5B" w:rsidRDefault="00625A5B" w:rsidP="00D748A3">
      <w:pPr>
        <w:pStyle w:val="Translit"/>
      </w:pPr>
      <w:r w:rsidRPr="00983AE9">
        <w:t>Kuduk (Kodok, Kothok), Fash</w:t>
      </w:r>
      <w:r>
        <w:t>u</w:t>
      </w:r>
      <w:r w:rsidRPr="00983AE9">
        <w:t>da</w:t>
      </w:r>
      <w:r w:rsidRPr="00983AE9">
        <w:tab/>
      </w:r>
      <w:r w:rsidRPr="00074C6F">
        <w:t>Kúdúk, Fa</w:t>
      </w:r>
      <w:r w:rsidRPr="00074C6F">
        <w:rPr>
          <w:u w:val="single"/>
        </w:rPr>
        <w:t>sh</w:t>
      </w:r>
      <w:r w:rsidRPr="00074C6F">
        <w:t>úda[</w:t>
      </w:r>
      <w:r w:rsidRPr="00983AE9">
        <w:t>h or t]</w:t>
      </w:r>
      <w:r w:rsidRPr="00983AE9">
        <w:tab/>
      </w:r>
      <w:r w:rsidRPr="00074C6F">
        <w:t>Kúdúk</w:t>
      </w:r>
      <w:r w:rsidRPr="00983AE9">
        <w:t xml:space="preserve"> </w:t>
      </w:r>
      <w:r>
        <w:t xml:space="preserve">is a </w:t>
      </w:r>
      <w:r w:rsidRPr="00983AE9">
        <w:t xml:space="preserve">town (9.892291, 32.108312; 9.848296, 32.019305) </w:t>
      </w:r>
      <w:r>
        <w:t xml:space="preserve">on the west bank of the White Nile </w:t>
      </w:r>
      <w:r w:rsidRPr="00983AE9">
        <w:t>in South Sudan</w:t>
      </w:r>
      <w:r>
        <w:t xml:space="preserve">. </w:t>
      </w:r>
      <w:r w:rsidRPr="00983AE9">
        <w:t xml:space="preserve"> </w:t>
      </w:r>
      <w:r>
        <w:t>K</w:t>
      </w:r>
      <w:r w:rsidRPr="00983AE9">
        <w:t>nown as</w:t>
      </w:r>
      <w:r>
        <w:t xml:space="preserve"> </w:t>
      </w:r>
      <w:r w:rsidRPr="00983AE9">
        <w:t>F</w:t>
      </w:r>
      <w:r>
        <w:t>a</w:t>
      </w:r>
      <w:r w:rsidRPr="00D748A3">
        <w:rPr>
          <w:u w:val="single"/>
        </w:rPr>
        <w:t>sh</w:t>
      </w:r>
      <w:r>
        <w:t>úd</w:t>
      </w:r>
      <w:r w:rsidRPr="00983AE9">
        <w:t>a prior to 1904</w:t>
      </w:r>
      <w:r>
        <w:t>.</w:t>
      </w:r>
    </w:p>
    <w:p w14:paraId="5A6BEB71" w14:textId="77777777" w:rsidR="00625A5B" w:rsidRPr="008F03E5" w:rsidRDefault="00625A5B" w:rsidP="0030235D">
      <w:pPr>
        <w:pStyle w:val="Translit"/>
      </w:pPr>
      <w:r w:rsidRPr="008F03E5">
        <w:t>Kufa, Kufah, Kufih</w:t>
      </w:r>
      <w:r w:rsidRPr="008F03E5">
        <w:tab/>
        <w:t>Kúfa[h], Pers. Kúfih</w:t>
      </w:r>
      <w:r w:rsidRPr="008F03E5">
        <w:tab/>
        <w:t>a round tumulus of sand (especially red and mixed with gravel); a blemish.  al-Kúfah, city on the west bank of the Euphrates River 110 km south of Ba</w:t>
      </w:r>
      <w:r w:rsidRPr="008F03E5">
        <w:rPr>
          <w:u w:val="single"/>
        </w:rPr>
        <w:t>gh</w:t>
      </w:r>
      <w:r w:rsidRPr="008F03E5">
        <w:t>dád.  The Imám ‘Alí made it the centre of his operations, and was murdered in its mosque.</w:t>
      </w:r>
    </w:p>
    <w:p w14:paraId="793438F8" w14:textId="77777777" w:rsidR="00625A5B" w:rsidRPr="008F03E5" w:rsidRDefault="00625A5B" w:rsidP="0030235D">
      <w:pPr>
        <w:pStyle w:val="Translit"/>
      </w:pPr>
      <w:r w:rsidRPr="008F03E5">
        <w:t>Kufi, Kufiyun</w:t>
      </w:r>
      <w:r w:rsidRPr="008F03E5">
        <w:tab/>
        <w:t>Kúfí, pl. Kúfiyún</w:t>
      </w:r>
      <w:r w:rsidRPr="008F03E5">
        <w:tab/>
        <w:t xml:space="preserve">of or from al-Kúfah.  Kufic, Kufic writing—ancient Arabic letters.  Kúfiyún (English Kufan, school of) grammarians.  See </w:t>
      </w:r>
      <w:r w:rsidRPr="008F03E5">
        <w:rPr>
          <w:rFonts w:eastAsia="PMingLiU"/>
          <w:lang w:eastAsia="zh-TW"/>
        </w:rPr>
        <w:t>Ba</w:t>
      </w:r>
      <w:r w:rsidRPr="008F03E5">
        <w:t>ṣ</w:t>
      </w:r>
      <w:r w:rsidRPr="008F03E5">
        <w:rPr>
          <w:rFonts w:eastAsia="PMingLiU"/>
          <w:lang w:eastAsia="zh-TW"/>
        </w:rPr>
        <w:t>rí.</w:t>
      </w:r>
    </w:p>
    <w:p w14:paraId="637A8A03" w14:textId="77777777" w:rsidR="00625A5B" w:rsidRPr="008F03E5" w:rsidRDefault="00625A5B" w:rsidP="00675D96">
      <w:pPr>
        <w:pStyle w:val="Translit"/>
      </w:pPr>
      <w:r w:rsidRPr="008F03E5">
        <w:t>Kufiya, Kufiyat</w:t>
      </w:r>
      <w:r w:rsidRPr="008F03E5">
        <w:tab/>
        <w:t>Kúfíya, pl. Kúfíyát</w:t>
      </w:r>
      <w:r w:rsidRPr="008F03E5">
        <w:tab/>
        <w:t>English keffiyeh or kaffiyeh, square kerchief diagonally folded and worn under the ‘iqál as a headdress</w:t>
      </w:r>
    </w:p>
    <w:p w14:paraId="6F0D81F5" w14:textId="77777777" w:rsidR="00625A5B" w:rsidRPr="001457C8" w:rsidRDefault="00625A5B" w:rsidP="00E85A84">
      <w:pPr>
        <w:pStyle w:val="Translit"/>
        <w:rPr>
          <w:lang w:val="de-DE"/>
        </w:rPr>
      </w:pPr>
      <w:r w:rsidRPr="001457C8">
        <w:rPr>
          <w:lang w:val="de-DE"/>
        </w:rPr>
        <w:t>Kufr, Kufran</w:t>
      </w:r>
      <w:r w:rsidRPr="001457C8">
        <w:rPr>
          <w:lang w:val="de-DE"/>
        </w:rPr>
        <w:tab/>
        <w:t>Kufr and Kufrán</w:t>
      </w:r>
      <w:r w:rsidRPr="001457C8">
        <w:rPr>
          <w:lang w:val="de-DE"/>
        </w:rPr>
        <w:tab/>
        <w:t>unbelief, infidelity</w:t>
      </w:r>
    </w:p>
    <w:p w14:paraId="743F9148" w14:textId="77777777" w:rsidR="00625A5B" w:rsidRPr="008F03E5" w:rsidRDefault="00625A5B" w:rsidP="00B32523">
      <w:pPr>
        <w:pStyle w:val="Translit"/>
      </w:pPr>
      <w:r w:rsidRPr="00E622C2">
        <w:rPr>
          <w:lang w:val="de-DE"/>
        </w:rPr>
        <w:t>Kuh (Koh), Kuh</w:t>
      </w:r>
      <w:r>
        <w:rPr>
          <w:lang w:val="de-DE"/>
        </w:rPr>
        <w:t>-h</w:t>
      </w:r>
      <w:r w:rsidRPr="00E622C2">
        <w:rPr>
          <w:lang w:val="de-DE"/>
        </w:rPr>
        <w:t>a</w:t>
      </w:r>
      <w:r w:rsidRPr="00E622C2">
        <w:rPr>
          <w:lang w:val="de-DE"/>
        </w:rPr>
        <w:tab/>
        <w:t>Kúh, pl.</w:t>
      </w:r>
      <w:r>
        <w:rPr>
          <w:lang w:val="de-DE"/>
        </w:rPr>
        <w:t xml:space="preserve"> </w:t>
      </w:r>
      <w:r w:rsidRPr="00E622C2">
        <w:rPr>
          <w:lang w:val="en-AU"/>
        </w:rPr>
        <w:t>K</w:t>
      </w:r>
      <w:r w:rsidRPr="00E622C2">
        <w:t>ú</w:t>
      </w:r>
      <w:r>
        <w:rPr>
          <w:lang w:val="en-AU"/>
        </w:rPr>
        <w:t>h-h</w:t>
      </w:r>
      <w:r w:rsidRPr="00E622C2">
        <w:t>á</w:t>
      </w:r>
      <w:r w:rsidRPr="00E622C2">
        <w:rPr>
          <w:lang w:val="en-AU"/>
        </w:rPr>
        <w:tab/>
      </w:r>
      <w:r w:rsidRPr="008F03E5">
        <w:t>Pers. a mountain, hill</w:t>
      </w:r>
    </w:p>
    <w:p w14:paraId="45B56BF8" w14:textId="77777777" w:rsidR="00625A5B" w:rsidRPr="008F03E5" w:rsidRDefault="00625A5B" w:rsidP="001261D8">
      <w:pPr>
        <w:pStyle w:val="Translit"/>
      </w:pPr>
      <w:r w:rsidRPr="00C069DD">
        <w:rPr>
          <w:lang w:val="de-DE"/>
        </w:rPr>
        <w:t>Kuh-i-Nur, Jabal an-Nur</w:t>
      </w:r>
      <w:r w:rsidRPr="00C069DD">
        <w:rPr>
          <w:lang w:val="de-DE"/>
        </w:rPr>
        <w:tab/>
        <w:t>Kúh-i-Núr</w:t>
      </w:r>
      <w:r>
        <w:rPr>
          <w:lang w:val="de-DE"/>
        </w:rPr>
        <w:t xml:space="preserve"> (Ar. </w:t>
      </w:r>
      <w:r w:rsidRPr="00C069DD">
        <w:rPr>
          <w:lang w:val="en-AU"/>
        </w:rPr>
        <w:t>Jabal an-N</w:t>
      </w:r>
      <w:r w:rsidRPr="00C069DD">
        <w:t>ú</w:t>
      </w:r>
      <w:r w:rsidRPr="00C069DD">
        <w:rPr>
          <w:lang w:val="en-AU"/>
        </w:rPr>
        <w:t>r)</w:t>
      </w:r>
      <w:r w:rsidRPr="00C069DD">
        <w:rPr>
          <w:lang w:val="en-AU"/>
        </w:rPr>
        <w:tab/>
        <w:t>Pers. (</w:t>
      </w:r>
      <w:r w:rsidRPr="008F03E5">
        <w:t>Koh-i-Noor, Kohinoor and Koh-i-nur</w:t>
      </w:r>
      <w:r w:rsidRPr="00C069DD">
        <w:rPr>
          <w:lang w:val="en-AU"/>
        </w:rPr>
        <w:t xml:space="preserve">) </w:t>
      </w:r>
      <w:r>
        <w:rPr>
          <w:lang w:val="en-AU"/>
        </w:rPr>
        <w:t xml:space="preserve"> </w:t>
      </w:r>
      <w:r w:rsidRPr="008F03E5">
        <w:t xml:space="preserve">Mountain of Light—Shrine of the Báb.  </w:t>
      </w:r>
      <w:r>
        <w:t>N</w:t>
      </w:r>
      <w:r w:rsidRPr="008F03E5">
        <w:t xml:space="preserve">ame of a famous </w:t>
      </w:r>
      <w:r>
        <w:t xml:space="preserve">colourless </w:t>
      </w:r>
      <w:r w:rsidRPr="008F03E5">
        <w:t>diamond (once 191 carats, from India)</w:t>
      </w:r>
      <w:r>
        <w:t>.</w:t>
      </w:r>
      <w:r w:rsidRPr="008F03E5">
        <w:t xml:space="preserve">  See Daryáy-i-Núr.</w:t>
      </w:r>
    </w:p>
    <w:p w14:paraId="5BFBE9D3" w14:textId="77777777" w:rsidR="00625A5B" w:rsidRPr="008F03E5" w:rsidRDefault="00625A5B" w:rsidP="00181926">
      <w:pPr>
        <w:pStyle w:val="Translit"/>
      </w:pPr>
      <w:r w:rsidRPr="008F03E5">
        <w:t>Kujur (Kojur)</w:t>
      </w:r>
      <w:r w:rsidRPr="008F03E5">
        <w:tab/>
        <w:t>Kujúr</w:t>
      </w:r>
      <w:r w:rsidRPr="008F03E5">
        <w:tab/>
        <w:t>a town 23 km south of the Caspian Sea in Mazandaran Province, Iran (</w:t>
      </w:r>
      <w:r w:rsidRPr="008F03E5">
        <w:rPr>
          <w:lang w:eastAsia="en-US"/>
        </w:rPr>
        <w:t>36.384099, 51.729516</w:t>
      </w:r>
      <w:r w:rsidRPr="008F03E5">
        <w:t>)</w:t>
      </w:r>
    </w:p>
    <w:p w14:paraId="6A463099" w14:textId="77777777" w:rsidR="00625A5B" w:rsidRPr="008F03E5" w:rsidRDefault="00625A5B" w:rsidP="00A423A1">
      <w:pPr>
        <w:pStyle w:val="Translit"/>
      </w:pPr>
      <w:r w:rsidRPr="001457C8">
        <w:rPr>
          <w:lang w:val="de-DE"/>
        </w:rPr>
        <w:t>Kulah Darrih</w:t>
      </w:r>
      <w:r w:rsidRPr="001457C8">
        <w:rPr>
          <w:lang w:val="de-DE"/>
        </w:rPr>
        <w:tab/>
        <w:t>Kulah Darrih</w:t>
      </w:r>
      <w:r w:rsidRPr="001457C8">
        <w:rPr>
          <w:lang w:val="de-DE"/>
        </w:rPr>
        <w:tab/>
        <w:t xml:space="preserve">Pers. (Kolah Darreh, Kaleh Darreh, Kolá Darreh, Kulah Darreh, “Kuldarih“) is a small village in Zahray-i-Pain (Zahráy-i-Páyín) Rural District, Qazvín Province.  </w:t>
      </w:r>
      <w:r w:rsidRPr="008F03E5">
        <w:t xml:space="preserve">17 km </w:t>
      </w:r>
      <w:r w:rsidRPr="008F03E5">
        <w:rPr>
          <w:sz w:val="16"/>
          <w:szCs w:val="16"/>
        </w:rPr>
        <w:t>WNW</w:t>
      </w:r>
      <w:r w:rsidRPr="008F03E5">
        <w:t xml:space="preserve"> of the village of I</w:t>
      </w:r>
      <w:r w:rsidRPr="008F03E5">
        <w:rPr>
          <w:u w:val="single"/>
        </w:rPr>
        <w:t>sh</w:t>
      </w:r>
      <w:r w:rsidRPr="008F03E5">
        <w:t>tihárd.</w:t>
      </w:r>
    </w:p>
    <w:p w14:paraId="21C33B78" w14:textId="77777777" w:rsidR="00625A5B" w:rsidRPr="008F03E5" w:rsidRDefault="00625A5B" w:rsidP="009B729F">
      <w:pPr>
        <w:pStyle w:val="Translit"/>
      </w:pPr>
      <w:r w:rsidRPr="008F03E5">
        <w:t>Kulah</w:t>
      </w:r>
      <w:r w:rsidRPr="008F03E5">
        <w:tab/>
        <w:t>Kuláh</w:t>
      </w:r>
      <w:r w:rsidRPr="008F03E5">
        <w:tab/>
        <w:t>Pers. a conic hat of (usually) black lambskin worn by Muslim priests, dervishes, government employees and civilians; any head-gear, a Tartar cap, a turban; a mitre, tiara, fillet, wreath; a crown; a night-cap</w:t>
      </w:r>
    </w:p>
    <w:p w14:paraId="59CD34EC" w14:textId="77777777" w:rsidR="00625A5B" w:rsidRPr="008F03E5" w:rsidRDefault="00625A5B" w:rsidP="00E12BB6">
      <w:pPr>
        <w:pStyle w:val="Translit"/>
      </w:pPr>
      <w:r w:rsidRPr="008F03E5">
        <w:t>Kulah-i-Farangi</w:t>
      </w:r>
      <w:r w:rsidRPr="008F03E5">
        <w:tab/>
        <w:t>Kuláh-i-Farangí</w:t>
      </w:r>
      <w:r w:rsidRPr="008F03E5">
        <w:tab/>
        <w:t>(European hat—</w:t>
      </w:r>
      <w:r w:rsidRPr="008F03E5">
        <w:rPr>
          <w:sz w:val="16"/>
          <w:szCs w:val="16"/>
        </w:rPr>
        <w:t>PDC</w:t>
      </w:r>
      <w:r w:rsidRPr="008F03E5">
        <w:t xml:space="preserve"> p. 92)</w:t>
      </w:r>
    </w:p>
    <w:p w14:paraId="307422C5" w14:textId="77777777" w:rsidR="00625A5B" w:rsidRPr="008F03E5" w:rsidRDefault="00625A5B" w:rsidP="001751C3">
      <w:pPr>
        <w:pStyle w:val="Translit"/>
      </w:pPr>
      <w:r w:rsidRPr="008F03E5">
        <w:t>Kulayn (Koleyn, Kolin, Kulin)</w:t>
      </w:r>
      <w:r w:rsidRPr="008F03E5">
        <w:tab/>
        <w:t>Kulayn</w:t>
      </w:r>
      <w:r w:rsidRPr="008F03E5">
        <w:tab/>
        <w:t xml:space="preserve">a village (35.340106, 51.298575) near Rey.  41 km </w:t>
      </w:r>
      <w:r w:rsidRPr="008F03E5">
        <w:rPr>
          <w:sz w:val="16"/>
          <w:szCs w:val="16"/>
        </w:rPr>
        <w:t>SSW</w:t>
      </w:r>
      <w:r w:rsidRPr="008F03E5">
        <w:t xml:space="preserve"> of Tehran.  It was here that the Báb received some gifts and a message from Bahá’u’lláh.  The Báb’s response described in GPB p. 68 and that in DB p. 228 regarding a physical meeting are not to be taken literally, but merely a way of describing events in human terms.  See Kinár-Gird.</w:t>
      </w:r>
    </w:p>
    <w:p w14:paraId="72669BA8" w14:textId="77777777" w:rsidR="00625A5B" w:rsidRPr="008F03E5" w:rsidRDefault="00625A5B" w:rsidP="00285659">
      <w:pPr>
        <w:pStyle w:val="Translit"/>
      </w:pPr>
      <w:r w:rsidRPr="008F03E5">
        <w:t>Kull</w:t>
      </w:r>
      <w:r w:rsidRPr="008F03E5">
        <w:tab/>
        <w:t>Kull</w:t>
      </w:r>
      <w:r w:rsidRPr="008F03E5">
        <w:tab/>
        <w:t>totality, entirety; everyone, each one, anyone; (with following definite noun) whole, entire, all; (with following indefinite noun) every</w:t>
      </w:r>
    </w:p>
    <w:p w14:paraId="656E6FCB" w14:textId="77777777" w:rsidR="00625A5B" w:rsidRPr="008F03E5" w:rsidRDefault="00625A5B" w:rsidP="000054EF">
      <w:pPr>
        <w:pStyle w:val="Translit"/>
      </w:pPr>
      <w:r w:rsidRPr="008F03E5">
        <w:t>Kulli</w:t>
      </w:r>
      <w:r w:rsidRPr="008F03E5">
        <w:tab/>
        <w:t>Kull</w:t>
      </w:r>
      <w:r w:rsidRPr="000054EF">
        <w:t>í</w:t>
      </w:r>
      <w:r w:rsidRPr="008F03E5">
        <w:tab/>
        <w:t>total, entire, all-round, overall, sweeping, comprehensive, complete; absolute, universal</w:t>
      </w:r>
    </w:p>
    <w:p w14:paraId="58C3B103" w14:textId="77777777" w:rsidR="00625A5B" w:rsidRPr="008F03E5" w:rsidRDefault="00625A5B" w:rsidP="00900A82">
      <w:pPr>
        <w:pStyle w:val="Translit"/>
      </w:pPr>
      <w:r w:rsidRPr="001457C8">
        <w:rPr>
          <w:lang w:val="de-DE"/>
        </w:rPr>
        <w:t>Kulliya, Kulliyat</w:t>
      </w:r>
      <w:r w:rsidRPr="001457C8">
        <w:rPr>
          <w:lang w:val="de-DE"/>
        </w:rPr>
        <w:tab/>
        <w:t xml:space="preserve">Kullíya[t], pl. </w:t>
      </w:r>
      <w:r w:rsidRPr="008F03E5">
        <w:t>Kullíyát</w:t>
      </w:r>
      <w:r w:rsidRPr="008F03E5">
        <w:tab/>
        <w:t>totality, entirety; integrity, wholeness, entireness, completeness;—pl. faculty, school (of a university); college; institute of higher learning, academy, secondary school</w:t>
      </w:r>
    </w:p>
    <w:p w14:paraId="666A9A00" w14:textId="77777777" w:rsidR="00625A5B" w:rsidRPr="008F03E5" w:rsidRDefault="00625A5B" w:rsidP="00022393">
      <w:pPr>
        <w:pStyle w:val="Translit"/>
      </w:pPr>
      <w:r w:rsidRPr="008F03E5">
        <w:t>Kulliyya</w:t>
      </w:r>
      <w:r w:rsidRPr="008F03E5">
        <w:tab/>
        <w:t>Kulliyya fem.</w:t>
      </w:r>
      <w:r w:rsidRPr="008F03E5">
        <w:tab/>
        <w:t>totality, entirety; completeness, fullness, wholeness; universality, generality; integrity</w:t>
      </w:r>
    </w:p>
    <w:p w14:paraId="22A2F101" w14:textId="77777777" w:rsidR="00625A5B" w:rsidRPr="008F03E5" w:rsidRDefault="00625A5B" w:rsidP="00A378B0">
      <w:pPr>
        <w:pStyle w:val="Translit"/>
      </w:pPr>
      <w:r w:rsidRPr="008F03E5">
        <w:t>Kullu’t-Ta’am</w:t>
      </w:r>
      <w:r w:rsidRPr="008F03E5">
        <w:tab/>
        <w:t>Kullu’ṭ-Ṭa‘ám</w:t>
      </w:r>
      <w:r w:rsidRPr="008F03E5">
        <w:tab/>
        <w:t>“Tablet of All Food” by Bahá’u’lláh.  Qur’án 3:93 is known as Kullu’ṭ-Ṭa‘ám, begins with “All food …”.</w:t>
      </w:r>
      <w:r>
        <w:t xml:space="preserve">  Error:  </w:t>
      </w:r>
      <w:r w:rsidRPr="008F03E5">
        <w:t>Qullu’ṭ-Ṭa‘ám</w:t>
      </w:r>
      <w:r>
        <w:t xml:space="preserve"> (“</w:t>
      </w:r>
      <w:r w:rsidRPr="008F03E5">
        <w:t>Qullu’</w:t>
      </w:r>
      <w:r>
        <w:t>t</w:t>
      </w:r>
      <w:r w:rsidRPr="008F03E5">
        <w:t>-</w:t>
      </w:r>
      <w:r>
        <w:t>T</w:t>
      </w:r>
      <w:r w:rsidRPr="008F03E5">
        <w:t>a</w:t>
      </w:r>
      <w:r>
        <w:t>’a</w:t>
      </w:r>
      <w:r w:rsidRPr="008F03E5">
        <w:t>m</w:t>
      </w:r>
      <w:r>
        <w:t>”)</w:t>
      </w:r>
    </w:p>
    <w:p w14:paraId="600488A1" w14:textId="77777777" w:rsidR="00625A5B" w:rsidRPr="008F03E5" w:rsidRDefault="00625A5B" w:rsidP="00F551F6">
      <w:pPr>
        <w:pStyle w:val="Translit"/>
      </w:pPr>
      <w:r w:rsidRPr="008F03E5">
        <w:t>Kullu-Shay’, Kull-i-Shay’</w:t>
      </w:r>
      <w:r w:rsidRPr="008F03E5">
        <w:tab/>
      </w:r>
      <w:bookmarkStart w:id="101" w:name="_Hlk57117692"/>
      <w:r w:rsidRPr="008F03E5">
        <w:t>Kullu-</w:t>
      </w:r>
      <w:r w:rsidRPr="008F03E5">
        <w:rPr>
          <w:u w:val="single"/>
        </w:rPr>
        <w:t>Sh</w:t>
      </w:r>
      <w:r w:rsidRPr="008F03E5">
        <w:t>ay’</w:t>
      </w:r>
      <w:bookmarkEnd w:id="101"/>
      <w:r w:rsidRPr="008F03E5">
        <w:t>, Pers. Kull-i-</w:t>
      </w:r>
      <w:r w:rsidRPr="008F03E5">
        <w:rPr>
          <w:u w:val="single"/>
        </w:rPr>
        <w:t>Sh</w:t>
      </w:r>
      <w:r w:rsidRPr="008F03E5">
        <w:t>ay’</w:t>
      </w:r>
      <w:r w:rsidRPr="008F03E5">
        <w:tab/>
        <w:t xml:space="preserve">“all things”, abjad value of 361 (19 × 19) and a time period of 361 years).  Note:  </w:t>
      </w:r>
      <w:r w:rsidRPr="008F03E5">
        <w:rPr>
          <w:rFonts w:ascii="Times New Roman" w:hAnsi="Times New Roman"/>
          <w:rtl/>
        </w:rPr>
        <w:t>لّ</w:t>
      </w:r>
      <w:r w:rsidRPr="008F03E5">
        <w:rPr>
          <w:rFonts w:ascii="Times New Roman" w:hAnsi="Times New Roman"/>
        </w:rPr>
        <w:t xml:space="preserve"> or “ll” is counted once as 30.  </w:t>
      </w:r>
      <w:r w:rsidRPr="008F03E5">
        <w:t>See Váḥid (“unity”, 19)</w:t>
      </w:r>
    </w:p>
    <w:p w14:paraId="28FA7D74" w14:textId="77777777" w:rsidR="00625A5B" w:rsidRPr="008F03E5" w:rsidRDefault="00625A5B" w:rsidP="00C27FFA">
      <w:pPr>
        <w:pStyle w:val="Translit"/>
      </w:pPr>
      <w:r w:rsidRPr="008F03E5">
        <w:t>Kulthum</w:t>
      </w:r>
      <w:r w:rsidRPr="008F03E5">
        <w:tab/>
        <w:t>Kul</w:t>
      </w:r>
      <w:r w:rsidRPr="008F03E5">
        <w:rPr>
          <w:u w:val="single"/>
        </w:rPr>
        <w:t>th</w:t>
      </w:r>
      <w:r w:rsidRPr="008F03E5">
        <w:t>úm</w:t>
      </w:r>
      <w:r w:rsidRPr="008F03E5">
        <w:tab/>
        <w:t>full of flesh about the face and cheeks; an elephant; the silken pennant at the top of a standard</w:t>
      </w:r>
    </w:p>
    <w:p w14:paraId="2CAB935F" w14:textId="77777777" w:rsidR="00625A5B" w:rsidRPr="008F03E5" w:rsidRDefault="00625A5B" w:rsidP="00D848AE">
      <w:pPr>
        <w:pStyle w:val="Translit"/>
      </w:pPr>
      <w:r w:rsidRPr="008F03E5">
        <w:t>Kumayl</w:t>
      </w:r>
      <w:r w:rsidRPr="008F03E5">
        <w:tab/>
        <w:t>Kumayl bin-i-Ziyád an-Na</w:t>
      </w:r>
      <w:r w:rsidRPr="008F03E5">
        <w:rPr>
          <w:u w:val="single"/>
        </w:rPr>
        <w:t>kh</w:t>
      </w:r>
      <w:r w:rsidRPr="008F03E5">
        <w:t>a’í</w:t>
      </w:r>
      <w:r w:rsidRPr="008F03E5">
        <w:tab/>
        <w:t xml:space="preserve">Companion of Imám ‘Alí.  Known as Kumayl.  It is also the name of a prayer </w:t>
      </w:r>
      <w:r>
        <w:t>narrated to him by Im</w:t>
      </w:r>
      <w:r w:rsidRPr="00D848AE">
        <w:t>á</w:t>
      </w:r>
      <w:r>
        <w:t>m ‘Al</w:t>
      </w:r>
      <w:r w:rsidRPr="00D848AE">
        <w:t>í</w:t>
      </w:r>
      <w:r w:rsidRPr="008F03E5">
        <w:t>.</w:t>
      </w:r>
    </w:p>
    <w:p w14:paraId="4D41813F" w14:textId="77777777" w:rsidR="00625A5B" w:rsidRPr="008F03E5" w:rsidRDefault="00625A5B" w:rsidP="00093D30">
      <w:pPr>
        <w:pStyle w:val="Translit"/>
      </w:pPr>
      <w:r w:rsidRPr="008F03E5">
        <w:t>Kun fayakun</w:t>
      </w:r>
      <w:r w:rsidRPr="008F03E5">
        <w:tab/>
        <w:t>Kun Fayakún (Fa+ yakún)</w:t>
      </w:r>
      <w:r w:rsidRPr="008F03E5">
        <w:tab/>
        <w:t>(God said) Be, and it was or it is (Qur’án 2:117; 3:47, 59; 6:73; 16:40; 19:35; 36:82 &amp; 40:68).  Tablet of Visitation (</w:t>
      </w:r>
      <w:r w:rsidRPr="008F03E5">
        <w:rPr>
          <w:i/>
          <w:iCs/>
        </w:rPr>
        <w:t>Bahá’í Prayers</w:t>
      </w:r>
      <w:r w:rsidRPr="008F03E5">
        <w:t xml:space="preserve"> pp. 230–3) uses “Be Thou”.  An older translation in </w:t>
      </w:r>
      <w:r w:rsidRPr="008F03E5">
        <w:rPr>
          <w:i/>
          <w:iCs/>
        </w:rPr>
        <w:t>Star of the West</w:t>
      </w:r>
      <w:r w:rsidRPr="008F03E5">
        <w:t xml:space="preserve"> used “káf and nún” for “kun fayakún” (the first and last letters of the words).</w:t>
      </w:r>
    </w:p>
    <w:p w14:paraId="650830A4" w14:textId="77777777" w:rsidR="00625A5B" w:rsidRPr="008F03E5" w:rsidRDefault="00625A5B" w:rsidP="00A36BE0">
      <w:pPr>
        <w:pStyle w:val="Translit"/>
      </w:pPr>
      <w:r w:rsidRPr="008F03E5">
        <w:t>Kun</w:t>
      </w:r>
      <w:r w:rsidRPr="008F03E5">
        <w:tab/>
        <w:t>Kun</w:t>
      </w:r>
      <w:r w:rsidRPr="008F03E5">
        <w:tab/>
        <w:t>Pers. with Ar. influence (imperative Be!) b</w:t>
      </w:r>
      <w:r w:rsidRPr="008F03E5">
        <w:rPr>
          <w:rFonts w:eastAsia="Times New Roman"/>
        </w:rPr>
        <w:t>e thou, the creative word.</w:t>
      </w:r>
      <w:r w:rsidRPr="008F03E5">
        <w:t xml:space="preserve">  The word kun contains the consonants káf and nún (</w:t>
      </w:r>
      <w:r w:rsidRPr="008F03E5">
        <w:rPr>
          <w:i/>
          <w:iCs/>
        </w:rPr>
        <w:t>káf wa nún</w:t>
      </w:r>
      <w:r w:rsidRPr="008F03E5">
        <w:t>), which in English, by happy circumstance, Shoghi Effendi was able to represent using the letters ‘B’ and ‘E’.  The ‘B’ has been identified with the primal will and the ‘E’ with the divine purpose, which is the subsequent stage of unfoldment.  Alternatively, ‘B’ “means the creative Power of God Who through His command causes all things to come into being” and ‘E’ “the power of the Manifestation of God, His great spiritual creative force”.</w:t>
      </w:r>
    </w:p>
    <w:p w14:paraId="063EECDB" w14:textId="77777777" w:rsidR="00625A5B" w:rsidRPr="008F03E5" w:rsidRDefault="00625A5B" w:rsidP="003713C7">
      <w:pPr>
        <w:pStyle w:val="Translit"/>
        <w:rPr>
          <w:rFonts w:eastAsia="PMingLiU"/>
          <w:lang w:eastAsia="zh-TW"/>
        </w:rPr>
      </w:pPr>
      <w:r w:rsidRPr="008F03E5">
        <w:t>Kunar Takhteh, Konartakhteh</w:t>
      </w:r>
      <w:r w:rsidRPr="008F03E5">
        <w:tab/>
        <w:t>Kunár Ta</w:t>
      </w:r>
      <w:r w:rsidRPr="008F03E5">
        <w:rPr>
          <w:u w:val="single"/>
        </w:rPr>
        <w:t>kh</w:t>
      </w:r>
      <w:r w:rsidRPr="008F03E5">
        <w:t>ta</w:t>
      </w:r>
      <w:r w:rsidRPr="008F03E5">
        <w:tab/>
        <w:t>(Konar Takhteh) city on Bú</w:t>
      </w:r>
      <w:r w:rsidRPr="008F03E5">
        <w:rPr>
          <w:u w:val="single"/>
        </w:rPr>
        <w:t>sh</w:t>
      </w:r>
      <w:r w:rsidRPr="008F03E5">
        <w:t>ihr-</w:t>
      </w:r>
      <w:r w:rsidRPr="008F03E5">
        <w:rPr>
          <w:u w:val="single"/>
        </w:rPr>
        <w:t>Sh</w:t>
      </w:r>
      <w:r w:rsidRPr="008F03E5">
        <w:t xml:space="preserve">íráz road in Kazerun County, Fars Province.  15 km </w:t>
      </w:r>
      <w:r w:rsidRPr="008F03E5">
        <w:rPr>
          <w:sz w:val="16"/>
          <w:szCs w:val="16"/>
        </w:rPr>
        <w:t>NE</w:t>
      </w:r>
      <w:r w:rsidRPr="008F03E5">
        <w:t xml:space="preserve"> </w:t>
      </w:r>
      <w:r w:rsidRPr="008F03E5">
        <w:rPr>
          <w:rFonts w:eastAsia="PMingLiU"/>
          <w:lang w:eastAsia="zh-TW"/>
        </w:rPr>
        <w:t>D</w:t>
      </w:r>
      <w:r w:rsidRPr="008F03E5">
        <w:t>á</w:t>
      </w:r>
      <w:r w:rsidRPr="008F03E5">
        <w:rPr>
          <w:rFonts w:eastAsia="PMingLiU"/>
          <w:lang w:eastAsia="zh-TW"/>
        </w:rPr>
        <w:t>lak</w:t>
      </w:r>
      <w:r w:rsidRPr="008F03E5">
        <w:t>í.</w:t>
      </w:r>
    </w:p>
    <w:p w14:paraId="371148E7" w14:textId="77777777" w:rsidR="00625A5B" w:rsidRPr="0092062E" w:rsidRDefault="00625A5B" w:rsidP="007C1AD0">
      <w:pPr>
        <w:pStyle w:val="Translit"/>
        <w:rPr>
          <w:lang w:val="en-AU"/>
        </w:rPr>
      </w:pPr>
      <w:r w:rsidRPr="0092062E">
        <w:t>Kur (Kor, Qor, Qur)</w:t>
      </w:r>
      <w:r w:rsidRPr="0092062E">
        <w:tab/>
      </w:r>
      <w:r>
        <w:t>R</w:t>
      </w:r>
      <w:r w:rsidRPr="0092062E">
        <w:t>ú</w:t>
      </w:r>
      <w:r>
        <w:t xml:space="preserve">d </w:t>
      </w:r>
      <w:r w:rsidRPr="0092062E">
        <w:t>Kur</w:t>
      </w:r>
      <w:r w:rsidRPr="0092062E">
        <w:tab/>
        <w:t xml:space="preserve">Pers. </w:t>
      </w:r>
      <w:r w:rsidRPr="0092062E">
        <w:rPr>
          <w:lang w:val="en-AU"/>
        </w:rPr>
        <w:t xml:space="preserve">river runs </w:t>
      </w:r>
      <w:r w:rsidRPr="0092062E">
        <w:rPr>
          <w:sz w:val="16"/>
          <w:szCs w:val="16"/>
          <w:lang w:val="en-AU"/>
        </w:rPr>
        <w:t>NW</w:t>
      </w:r>
      <w:r w:rsidRPr="0092062E">
        <w:rPr>
          <w:lang w:val="en-AU"/>
        </w:rPr>
        <w:t xml:space="preserve"> to </w:t>
      </w:r>
      <w:r w:rsidRPr="0092062E">
        <w:rPr>
          <w:sz w:val="16"/>
          <w:szCs w:val="16"/>
          <w:lang w:val="en-AU"/>
        </w:rPr>
        <w:t>SE</w:t>
      </w:r>
      <w:r w:rsidRPr="0092062E">
        <w:rPr>
          <w:lang w:val="en-AU"/>
        </w:rPr>
        <w:t xml:space="preserve"> along the </w:t>
      </w:r>
      <w:r>
        <w:rPr>
          <w:lang w:val="en-AU"/>
        </w:rPr>
        <w:t xml:space="preserve">Zagros Mountains to the east of </w:t>
      </w:r>
      <w:r w:rsidRPr="0092062E">
        <w:rPr>
          <w:u w:val="single"/>
          <w:lang w:val="en-AU"/>
        </w:rPr>
        <w:t>Sh</w:t>
      </w:r>
      <w:r w:rsidRPr="0092062E">
        <w:t>í</w:t>
      </w:r>
      <w:r>
        <w:rPr>
          <w:lang w:val="en-AU"/>
        </w:rPr>
        <w:t>r</w:t>
      </w:r>
      <w:r w:rsidRPr="0092062E">
        <w:t>á</w:t>
      </w:r>
      <w:r>
        <w:rPr>
          <w:lang w:val="en-AU"/>
        </w:rPr>
        <w:t xml:space="preserve">z.  Possible water (Qor) mentioned by </w:t>
      </w:r>
      <w:r w:rsidRPr="00574704">
        <w:t>A. L. M. Nicolas, “Siyyid ‘Alí-Muḥammad dit le Báb”, p. 3</w:t>
      </w:r>
      <w:r>
        <w:t>3</w:t>
      </w:r>
      <w:r w:rsidRPr="00574704">
        <w:t>4.</w:t>
      </w:r>
    </w:p>
    <w:p w14:paraId="2D269A5D" w14:textId="77777777" w:rsidR="00625A5B" w:rsidRDefault="00625A5B" w:rsidP="008401F3">
      <w:pPr>
        <w:pStyle w:val="Translit"/>
      </w:pPr>
      <w:r w:rsidRPr="008F03E5">
        <w:t>Kur</w:t>
      </w:r>
      <w:r w:rsidRPr="008F03E5">
        <w:tab/>
        <w:t>Kúr</w:t>
      </w:r>
      <w:r w:rsidRPr="008F03E5">
        <w:tab/>
        <w:t>Pers. blind; one-eyed; blind in a moral sense</w:t>
      </w:r>
    </w:p>
    <w:p w14:paraId="3CFCB076" w14:textId="77777777" w:rsidR="00625A5B" w:rsidRPr="008F03E5" w:rsidRDefault="00625A5B" w:rsidP="00E7405C">
      <w:pPr>
        <w:pStyle w:val="Translit"/>
      </w:pPr>
      <w:r w:rsidRPr="001457C8">
        <w:rPr>
          <w:lang w:val="pl-PL"/>
        </w:rPr>
        <w:t>Kura, Kurat</w:t>
      </w:r>
      <w:r w:rsidRPr="001457C8">
        <w:rPr>
          <w:lang w:val="pl-PL"/>
        </w:rPr>
        <w:tab/>
        <w:t xml:space="preserve">Kura[h], pl. </w:t>
      </w:r>
      <w:r w:rsidRPr="001457C8">
        <w:rPr>
          <w:lang w:val="de-DE"/>
        </w:rPr>
        <w:t>Kurát, Kuran</w:t>
      </w:r>
      <w:r w:rsidRPr="001457C8">
        <w:rPr>
          <w:lang w:val="de-DE"/>
        </w:rPr>
        <w:tab/>
        <w:t xml:space="preserve">globe, sphere; ball.  </w:t>
      </w:r>
      <w:r w:rsidRPr="008F03E5">
        <w:t>Hence, kura al-a</w:t>
      </w:r>
      <w:r w:rsidRPr="008F03E5">
        <w:rPr>
          <w:u w:val="single"/>
        </w:rPr>
        <w:t>th</w:t>
      </w:r>
      <w:r w:rsidRPr="008F03E5">
        <w:t>íríy (the ethereal globe); kura al-hawá (the atmospheric globe); kura al-má’ (the water globe); kura at-turáb (the earth globe)</w:t>
      </w:r>
    </w:p>
    <w:p w14:paraId="450A6E11" w14:textId="77777777" w:rsidR="00625A5B" w:rsidRPr="008F03E5" w:rsidRDefault="00625A5B" w:rsidP="0011574A">
      <w:pPr>
        <w:pStyle w:val="Translit"/>
      </w:pPr>
      <w:r w:rsidRPr="008F03E5">
        <w:t>Kura’</w:t>
      </w:r>
      <w:r w:rsidRPr="008F03E5">
        <w:tab/>
        <w:t>Kurá</w:t>
      </w:r>
      <w:r w:rsidRPr="008F03E5">
        <w:rPr>
          <w:rFonts w:eastAsia="Times New Roman"/>
        </w:rPr>
        <w:t>‘</w:t>
      </w:r>
      <w:r w:rsidRPr="008F03E5">
        <w:rPr>
          <w:rFonts w:eastAsia="Times New Roman"/>
        </w:rPr>
        <w:tab/>
        <w:t>sheep or cow shin</w:t>
      </w:r>
      <w:r w:rsidRPr="008F03E5">
        <w:t>; the rocky projection of a mountain; a troop of horses; the side or extremity of anything</w:t>
      </w:r>
    </w:p>
    <w:p w14:paraId="3C2D5BCA" w14:textId="77777777" w:rsidR="00625A5B" w:rsidRPr="008F03E5" w:rsidRDefault="00625A5B" w:rsidP="006F1149">
      <w:pPr>
        <w:pStyle w:val="Translit"/>
      </w:pPr>
      <w:r w:rsidRPr="008F03E5">
        <w:t>Kurash (Kurush)</w:t>
      </w:r>
      <w:r w:rsidRPr="008F03E5">
        <w:tab/>
        <w:t>Kúra</w:t>
      </w:r>
      <w:r w:rsidRPr="008F03E5">
        <w:rPr>
          <w:u w:val="single"/>
        </w:rPr>
        <w:t>sh</w:t>
      </w:r>
      <w:r w:rsidRPr="008F03E5">
        <w:t xml:space="preserve"> (Kúru</w:t>
      </w:r>
      <w:r w:rsidRPr="008F03E5">
        <w:rPr>
          <w:u w:val="single"/>
        </w:rPr>
        <w:t>sh</w:t>
      </w:r>
      <w:r w:rsidRPr="008F03E5">
        <w:t>)</w:t>
      </w:r>
      <w:r w:rsidRPr="008F03E5">
        <w:tab/>
        <w:t>Pers. Cyrus, king of Persia</w:t>
      </w:r>
    </w:p>
    <w:p w14:paraId="33273784" w14:textId="77777777" w:rsidR="00625A5B" w:rsidRPr="008F03E5" w:rsidRDefault="00625A5B" w:rsidP="008675BF">
      <w:pPr>
        <w:pStyle w:val="Translit"/>
      </w:pPr>
      <w:r w:rsidRPr="008F03E5">
        <w:t>Kurd</w:t>
      </w:r>
      <w:r w:rsidRPr="008F03E5">
        <w:tab/>
        <w:t>al-Kurd</w:t>
      </w:r>
      <w:r w:rsidRPr="008F03E5">
        <w:tab/>
        <w:t>the Kurds</w:t>
      </w:r>
    </w:p>
    <w:p w14:paraId="02898259" w14:textId="77777777" w:rsidR="00625A5B" w:rsidRPr="008F03E5" w:rsidRDefault="00625A5B" w:rsidP="00630FB3">
      <w:pPr>
        <w:pStyle w:val="Translit"/>
      </w:pPr>
      <w:r w:rsidRPr="008F03E5">
        <w:t>Kurdi, Akrad</w:t>
      </w:r>
      <w:r w:rsidRPr="008F03E5">
        <w:tab/>
        <w:t>Kurdí, pl. Akrád</w:t>
      </w:r>
      <w:r w:rsidRPr="008F03E5">
        <w:tab/>
        <w:t>Kurdish;—pl. Kurd.  Pers. kurdí a native of Kurdistán</w:t>
      </w:r>
    </w:p>
    <w:p w14:paraId="705A3711" w14:textId="77777777" w:rsidR="00625A5B" w:rsidRPr="008F03E5" w:rsidRDefault="00625A5B" w:rsidP="00562A94">
      <w:pPr>
        <w:pStyle w:val="Translit"/>
      </w:pPr>
      <w:r w:rsidRPr="008F03E5">
        <w:t>Kurji (Gurji)</w:t>
      </w:r>
      <w:r w:rsidRPr="008F03E5">
        <w:tab/>
        <w:t>Kurjí</w:t>
      </w:r>
      <w:r w:rsidRPr="008F03E5">
        <w:tab/>
        <w:t>Georgian (adj and n).  al-Kurj the Georgians</w:t>
      </w:r>
    </w:p>
    <w:p w14:paraId="4FFF83DC" w14:textId="77777777" w:rsidR="00625A5B" w:rsidRPr="008F03E5" w:rsidRDefault="00625A5B" w:rsidP="007850A9">
      <w:pPr>
        <w:pStyle w:val="Translit"/>
      </w:pPr>
      <w:r w:rsidRPr="008F03E5">
        <w:t>Kurr</w:t>
      </w:r>
      <w:r w:rsidRPr="008F03E5">
        <w:tab/>
        <w:t>Kurr</w:t>
      </w:r>
      <w:r w:rsidRPr="008F03E5">
        <w:tab/>
        <w:t>sandy ground that filters and cleans water flowing through it; a well; a small cistern or reservoir; a Babylonian dry measure of six ass-loads (assumed to be 480 kg)—a volume of water that is considered pure in Islamic law</w:t>
      </w:r>
    </w:p>
    <w:p w14:paraId="187262EB" w14:textId="77777777" w:rsidR="00625A5B" w:rsidRPr="008F03E5" w:rsidRDefault="00625A5B" w:rsidP="00C97FDE">
      <w:pPr>
        <w:pStyle w:val="Translit"/>
      </w:pPr>
      <w:r w:rsidRPr="008F03E5">
        <w:t>Kursi, Karasiy</w:t>
      </w:r>
      <w:r w:rsidRPr="008F03E5">
        <w:tab/>
        <w:t>Kursí, pl. Karásíy, Karásin</w:t>
      </w:r>
      <w:r w:rsidRPr="008F03E5">
        <w:tab/>
        <w:t xml:space="preserve">chair; throne; seat; professorial chair; base, pedestal, socle (architecture); bearing (technology).  A low, square wooden table over which a large quilt is spread.  Under the kursí is placed a brazier of charcoal fire covered with ashes.  People sit on mattresses round the kursí and lean against cushions, their legs stretched under the kursí and covered with the quilt.  </w:t>
      </w:r>
      <w:r w:rsidRPr="008F03E5">
        <w:rPr>
          <w:i/>
          <w:iCs/>
        </w:rPr>
        <w:t>Fire on the mountain-top</w:t>
      </w:r>
      <w:r w:rsidRPr="008F03E5">
        <w:t>, p. 71.</w:t>
      </w:r>
    </w:p>
    <w:p w14:paraId="77499C99" w14:textId="77777777" w:rsidR="00625A5B" w:rsidRPr="008F03E5" w:rsidRDefault="00625A5B" w:rsidP="00551122">
      <w:pPr>
        <w:pStyle w:val="Translit"/>
      </w:pPr>
      <w:r w:rsidRPr="008F03E5">
        <w:t>Kurur</w:t>
      </w:r>
      <w:r w:rsidRPr="008F03E5">
        <w:tab/>
        <w:t>Kurúr</w:t>
      </w:r>
      <w:r w:rsidRPr="008F03E5">
        <w:tab/>
        <w:t>return, comeback, recurrence; succession, sequence, order.  A crore (10 million in India, 500,000 in Persia)</w:t>
      </w:r>
    </w:p>
    <w:p w14:paraId="5E098182" w14:textId="77777777" w:rsidR="00625A5B" w:rsidRPr="008F03E5" w:rsidRDefault="00625A5B" w:rsidP="0076252A">
      <w:pPr>
        <w:pStyle w:val="Translit"/>
      </w:pPr>
      <w:r w:rsidRPr="008F03E5">
        <w:t>Kurush</w:t>
      </w:r>
      <w:r w:rsidRPr="008F03E5">
        <w:tab/>
        <w:t>Kuru</w:t>
      </w:r>
      <w:r w:rsidRPr="008F03E5">
        <w:rPr>
          <w:u w:val="single"/>
        </w:rPr>
        <w:t>sh</w:t>
      </w:r>
      <w:r w:rsidRPr="008F03E5">
        <w:tab/>
        <w:t xml:space="preserve">Cyrus </w:t>
      </w:r>
      <w:r w:rsidRPr="008F03E5">
        <w:rPr>
          <w:sz w:val="16"/>
          <w:szCs w:val="16"/>
        </w:rPr>
        <w:t>II</w:t>
      </w:r>
      <w:r w:rsidRPr="008F03E5">
        <w:t xml:space="preserve"> of Persia c. 600–530 </w:t>
      </w:r>
      <w:r w:rsidRPr="008F03E5">
        <w:rPr>
          <w:sz w:val="16"/>
          <w:szCs w:val="16"/>
        </w:rPr>
        <w:t>BC</w:t>
      </w:r>
      <w:r w:rsidRPr="008F03E5">
        <w:t>, commonly known as Cyrus the Great .  Koresh in the Bible.</w:t>
      </w:r>
    </w:p>
    <w:p w14:paraId="2DBA2FAB" w14:textId="77777777" w:rsidR="00625A5B" w:rsidRPr="008F03E5" w:rsidRDefault="00625A5B" w:rsidP="00FE31A0">
      <w:pPr>
        <w:pStyle w:val="Translit"/>
      </w:pPr>
      <w:r w:rsidRPr="008F03E5">
        <w:t>Kush</w:t>
      </w:r>
      <w:r w:rsidRPr="008F03E5">
        <w:tab/>
        <w:t>Ku</w:t>
      </w:r>
      <w:r w:rsidRPr="008F03E5">
        <w:rPr>
          <w:u w:val="single"/>
        </w:rPr>
        <w:t>sh</w:t>
      </w:r>
      <w:r w:rsidRPr="008F03E5">
        <w:tab/>
        <w:t>Pers. a male; (imperative of ku</w:t>
      </w:r>
      <w:r w:rsidRPr="008F03E5">
        <w:rPr>
          <w:u w:val="single"/>
        </w:rPr>
        <w:t>sh</w:t>
      </w:r>
      <w:r w:rsidRPr="008F03E5">
        <w:t>tan (“kill”) in compound words) a killer, who kills, slays, murders, oppresses, as in azhdaha-ku</w:t>
      </w:r>
      <w:r w:rsidRPr="008F03E5">
        <w:rPr>
          <w:u w:val="single"/>
        </w:rPr>
        <w:t>sh</w:t>
      </w:r>
      <w:r w:rsidRPr="008F03E5">
        <w:t>, a dragon-killer</w:t>
      </w:r>
    </w:p>
    <w:p w14:paraId="5AC38BFC" w14:textId="77777777" w:rsidR="00625A5B" w:rsidRPr="008F03E5" w:rsidRDefault="00625A5B" w:rsidP="00D05C81">
      <w:pPr>
        <w:pStyle w:val="Translit"/>
      </w:pPr>
      <w:r w:rsidRPr="008F03E5">
        <w:t>Kushk</w:t>
      </w:r>
      <w:r w:rsidRPr="008F03E5">
        <w:tab/>
        <w:t>Ku</w:t>
      </w:r>
      <w:r w:rsidRPr="008F03E5">
        <w:rPr>
          <w:u w:val="single"/>
        </w:rPr>
        <w:t>sh</w:t>
      </w:r>
      <w:r w:rsidRPr="008F03E5">
        <w:t>k</w:t>
      </w:r>
      <w:r w:rsidRPr="008F03E5">
        <w:tab/>
        <w:t>Pers. an upper chamber, gallery, or balcony on the top of a house; a hall, parlour</w:t>
      </w:r>
    </w:p>
    <w:p w14:paraId="1ADE2CB9" w14:textId="77777777" w:rsidR="00625A5B" w:rsidRPr="008F03E5" w:rsidRDefault="00625A5B" w:rsidP="00F547D3">
      <w:pPr>
        <w:pStyle w:val="Translit"/>
      </w:pPr>
      <w:r w:rsidRPr="008F03E5">
        <w:rPr>
          <w:rFonts w:eastAsia="PMingLiU"/>
          <w:lang w:eastAsia="zh-TW"/>
        </w:rPr>
        <w:t>Kushk-i-Nusrat (Khooshk Nosrat)</w:t>
      </w:r>
      <w:r w:rsidRPr="008F03E5">
        <w:rPr>
          <w:rFonts w:eastAsia="PMingLiU"/>
          <w:lang w:eastAsia="zh-TW"/>
        </w:rPr>
        <w:tab/>
        <w:t>Ku</w:t>
      </w:r>
      <w:r w:rsidRPr="008F03E5">
        <w:rPr>
          <w:rFonts w:eastAsia="PMingLiU"/>
          <w:u w:val="single"/>
          <w:lang w:eastAsia="zh-TW"/>
        </w:rPr>
        <w:t>sh</w:t>
      </w:r>
      <w:r w:rsidRPr="008F03E5">
        <w:rPr>
          <w:rFonts w:eastAsia="PMingLiU"/>
          <w:lang w:eastAsia="zh-TW"/>
        </w:rPr>
        <w:t>k-i-</w:t>
      </w:r>
      <w:r w:rsidRPr="008F03E5">
        <w:t>Nuṣrat</w:t>
      </w:r>
      <w:r w:rsidRPr="008F03E5">
        <w:tab/>
        <w:t>A very small village (35.109773, 50.896706) on the Tihran-Qom Old Rd</w:t>
      </w:r>
    </w:p>
    <w:p w14:paraId="58667771" w14:textId="77777777" w:rsidR="00625A5B" w:rsidRPr="008F03E5" w:rsidRDefault="00625A5B" w:rsidP="00F547D3">
      <w:pPr>
        <w:pStyle w:val="Translit"/>
      </w:pPr>
      <w:r w:rsidRPr="008F03E5">
        <w:t>Kushtan</w:t>
      </w:r>
      <w:r w:rsidRPr="008F03E5">
        <w:tab/>
        <w:t>Ku</w:t>
      </w:r>
      <w:r w:rsidRPr="008F03E5">
        <w:rPr>
          <w:u w:val="single"/>
        </w:rPr>
        <w:t>sh</w:t>
      </w:r>
      <w:r w:rsidRPr="008F03E5">
        <w:t>tan</w:t>
      </w:r>
      <w:r w:rsidRPr="008F03E5">
        <w:tab/>
        <w:t>Pers. to kill, murder; to slay, sacrifice; to be killed, to beat, bruise; to extinguish (a fire or candle); to dilute (wine); to melt (metals)</w:t>
      </w:r>
    </w:p>
    <w:p w14:paraId="6E0119C4" w14:textId="77777777" w:rsidR="00625A5B" w:rsidRPr="008F03E5" w:rsidRDefault="00625A5B" w:rsidP="00F547D3">
      <w:pPr>
        <w:pStyle w:val="Translit"/>
      </w:pPr>
      <w:r w:rsidRPr="008F03E5">
        <w:t>Kusti (Kasti, Kushti, Koshti)</w:t>
      </w:r>
      <w:r w:rsidRPr="008F03E5">
        <w:tab/>
        <w:t>Kustí</w:t>
      </w:r>
      <w:r w:rsidRPr="008F03E5">
        <w:tab/>
        <w:t xml:space="preserve">Pers. wrestling; a belt or sacred cord worn by the Zoroastrians and Brahmins; also by the wrestlers of </w:t>
      </w:r>
      <w:r w:rsidRPr="008F03E5">
        <w:rPr>
          <w:u w:val="single"/>
        </w:rPr>
        <w:t>Kh</w:t>
      </w:r>
      <w:r w:rsidRPr="008F03E5">
        <w:t>urásán.  See ṣadrí.</w:t>
      </w:r>
    </w:p>
    <w:p w14:paraId="3B466DBD" w14:textId="77777777" w:rsidR="00625A5B" w:rsidRPr="008F03E5" w:rsidRDefault="00625A5B" w:rsidP="0024326A">
      <w:pPr>
        <w:pStyle w:val="Myhead"/>
      </w:pPr>
      <w:bookmarkStart w:id="102" w:name="L"/>
      <w:r w:rsidRPr="008F03E5">
        <w:t>L</w:t>
      </w:r>
      <w:bookmarkEnd w:id="102"/>
    </w:p>
    <w:p w14:paraId="17ECB6F7" w14:textId="77777777" w:rsidR="00625A5B" w:rsidRPr="008F03E5" w:rsidRDefault="00625A5B" w:rsidP="004A3308">
      <w:pPr>
        <w:pStyle w:val="Translit"/>
      </w:pPr>
      <w:r w:rsidRPr="008F03E5">
        <w:t>La ilaha illa Huwa</w:t>
      </w:r>
      <w:r w:rsidRPr="008F03E5">
        <w:tab/>
        <w:t>Lá iláha illá Huwa</w:t>
      </w:r>
      <w:r w:rsidRPr="008F03E5">
        <w:tab/>
        <w:t>[10 letters] “There is no God but He”</w:t>
      </w:r>
    </w:p>
    <w:p w14:paraId="6F33EA42" w14:textId="77777777" w:rsidR="00625A5B" w:rsidRPr="008F03E5" w:rsidRDefault="00625A5B" w:rsidP="004A3308">
      <w:pPr>
        <w:pStyle w:val="Translit"/>
      </w:pPr>
      <w:r w:rsidRPr="008F03E5">
        <w:t>La ilaha illa’llah</w:t>
      </w:r>
      <w:r w:rsidRPr="008F03E5">
        <w:tab/>
        <w:t>Lá iláha illa’lláh</w:t>
      </w:r>
      <w:r w:rsidRPr="008F03E5">
        <w:tab/>
        <w:t xml:space="preserve">[12 letters] “There is no God [Letters of Denial (5)] but/save God” [Letters of Affirmation (7)] or “There is none other god but God”.   The </w:t>
      </w:r>
      <w:r w:rsidRPr="008F03E5">
        <w:rPr>
          <w:u w:val="single"/>
        </w:rPr>
        <w:t>sh</w:t>
      </w:r>
      <w:r w:rsidRPr="008F03E5">
        <w:t xml:space="preserve">aháda, the Muslim profession of faith, starts with this phrase, and it contains the most fundamental truth upon which the religion of Islam is based.  All else besides the Letters of Paradise is in Denial, while whatsoever appertaineth to the Letters of Paradise is Affirmation.  </w:t>
      </w:r>
      <w:r w:rsidRPr="008F03E5">
        <w:rPr>
          <w:i/>
          <w:iCs/>
        </w:rPr>
        <w:t>Lá iláha illa’lláh, Muḥammadun rasúlu’lláh</w:t>
      </w:r>
      <w:r w:rsidRPr="008F03E5">
        <w:t xml:space="preserve"> (“There is no God but God and Muḥammad is His Messenger”), the </w:t>
      </w:r>
      <w:r w:rsidRPr="008F03E5">
        <w:rPr>
          <w:u w:val="single"/>
        </w:rPr>
        <w:t>Sh</w:t>
      </w:r>
      <w:r w:rsidRPr="008F03E5">
        <w:t>í‘a call to prayer (</w:t>
      </w:r>
      <w:r w:rsidRPr="008F03E5">
        <w:rPr>
          <w:i/>
          <w:iCs/>
        </w:rPr>
        <w:t>a</w:t>
      </w:r>
      <w:r w:rsidRPr="008F03E5">
        <w:rPr>
          <w:i/>
          <w:iCs/>
          <w:u w:val="single"/>
        </w:rPr>
        <w:t>dh</w:t>
      </w:r>
      <w:r w:rsidRPr="008F03E5">
        <w:rPr>
          <w:i/>
          <w:iCs/>
        </w:rPr>
        <w:t>án</w:t>
      </w:r>
      <w:r w:rsidRPr="008F03E5">
        <w:t xml:space="preserve">) contains the additional statement:  </w:t>
      </w:r>
      <w:r w:rsidRPr="008F03E5">
        <w:rPr>
          <w:i/>
          <w:iCs/>
        </w:rPr>
        <w:t>‘Alíun valíu’lláh</w:t>
      </w:r>
      <w:r w:rsidRPr="008F03E5">
        <w:t xml:space="preserve"> (“‘Alí is God’s friend, helper, defender and/or vice-gerent”).  See Huwa’lláh.</w:t>
      </w:r>
    </w:p>
    <w:p w14:paraId="35AEDF96" w14:textId="77777777" w:rsidR="00625A5B" w:rsidRPr="008F03E5" w:rsidRDefault="00625A5B" w:rsidP="00826633">
      <w:pPr>
        <w:pStyle w:val="Translit"/>
      </w:pPr>
      <w:r w:rsidRPr="008F03E5">
        <w:t>La</w:t>
      </w:r>
      <w:r w:rsidRPr="008F03E5">
        <w:tab/>
        <w:t>La</w:t>
      </w:r>
      <w:r w:rsidRPr="008F03E5">
        <w:tab/>
        <w:t>(intensifying particle) truly, verily; certainly, surely</w:t>
      </w:r>
    </w:p>
    <w:p w14:paraId="10C44FD7" w14:textId="77777777" w:rsidR="00625A5B" w:rsidRPr="008F03E5" w:rsidRDefault="00625A5B" w:rsidP="00ED27A5">
      <w:pPr>
        <w:pStyle w:val="Translit"/>
      </w:pPr>
      <w:r w:rsidRPr="008F03E5">
        <w:t>La</w:t>
      </w:r>
      <w:r w:rsidRPr="008F03E5">
        <w:tab/>
        <w:t>Lá</w:t>
      </w:r>
      <w:r w:rsidRPr="008F03E5">
        <w:tab/>
        <w:t>(particle) not, no!; (for laysa) it is not, there is no</w:t>
      </w:r>
    </w:p>
    <w:p w14:paraId="5637B67B" w14:textId="77777777" w:rsidR="00625A5B" w:rsidRPr="008F03E5" w:rsidRDefault="00625A5B" w:rsidP="00EB56BF">
      <w:pPr>
        <w:pStyle w:val="Translit"/>
      </w:pPr>
      <w:r w:rsidRPr="008F03E5">
        <w:t>La’ali al-Hikmat</w:t>
      </w:r>
      <w:r w:rsidRPr="008F03E5">
        <w:tab/>
        <w:t>La’álí al-Ḥikmat</w:t>
      </w:r>
      <w:r w:rsidRPr="008F03E5">
        <w:tab/>
        <w:t>“Pearls of Wisdom”</w:t>
      </w:r>
    </w:p>
    <w:p w14:paraId="3260828C" w14:textId="77777777" w:rsidR="00625A5B" w:rsidRPr="008F03E5" w:rsidRDefault="00625A5B" w:rsidP="00EB56BF">
      <w:pPr>
        <w:pStyle w:val="Translit"/>
      </w:pPr>
      <w:r w:rsidRPr="008F03E5">
        <w:t>La’ima, Lawa’im</w:t>
      </w:r>
      <w:r w:rsidRPr="008F03E5">
        <w:tab/>
        <w:t>Lá’ima, pl. Lawá’im</w:t>
      </w:r>
      <w:r w:rsidRPr="008F03E5">
        <w:tab/>
        <w:t>censure, rebuke, reproof, blame, reproach</w:t>
      </w:r>
    </w:p>
    <w:p w14:paraId="3B7D03FC" w14:textId="77777777" w:rsidR="00625A5B" w:rsidRPr="008F03E5" w:rsidRDefault="00625A5B" w:rsidP="004A1FCD">
      <w:pPr>
        <w:pStyle w:val="Translit"/>
      </w:pPr>
      <w:r w:rsidRPr="008F03E5">
        <w:t>La’in and Mal’un, Mala’in</w:t>
      </w:r>
      <w:r w:rsidRPr="008F03E5">
        <w:tab/>
        <w:t>La‘ín and Mal‘ún, pl. Malá‘ín</w:t>
      </w:r>
      <w:r w:rsidRPr="008F03E5">
        <w:tab/>
        <w:t>cursed; confounded; damned; outcast, execrable; detested, abhorred, abominable</w:t>
      </w:r>
    </w:p>
    <w:p w14:paraId="460EAD31" w14:textId="77777777" w:rsidR="00625A5B" w:rsidRPr="008F03E5" w:rsidRDefault="00625A5B" w:rsidP="006B7108">
      <w:pPr>
        <w:pStyle w:val="Translit"/>
      </w:pPr>
      <w:r w:rsidRPr="008F03E5">
        <w:t>La’nat</w:t>
      </w:r>
      <w:r w:rsidRPr="008F03E5">
        <w:tab/>
        <w:t>La</w:t>
      </w:r>
      <w:r w:rsidRPr="008F03E5">
        <w:rPr>
          <w:rFonts w:eastAsia="Times New Roman"/>
        </w:rPr>
        <w:t>‘</w:t>
      </w:r>
      <w:r w:rsidRPr="008F03E5">
        <w:t>nat</w:t>
      </w:r>
      <w:r w:rsidRPr="008F03E5">
        <w:tab/>
        <w:t>imprecation, curse, anathema; objurgation, reproach</w:t>
      </w:r>
    </w:p>
    <w:p w14:paraId="3C17180D" w14:textId="77777777" w:rsidR="00625A5B" w:rsidRPr="008F03E5" w:rsidRDefault="00625A5B" w:rsidP="002B0224">
      <w:pPr>
        <w:pStyle w:val="Translit"/>
      </w:pPr>
      <w:r w:rsidRPr="008F03E5">
        <w:t>Labad</w:t>
      </w:r>
      <w:r w:rsidRPr="008F03E5">
        <w:tab/>
        <w:t>Labád</w:t>
      </w:r>
      <w:r w:rsidRPr="008F03E5">
        <w:tab/>
        <w:t>Pers. any outer wet weather garment</w:t>
      </w:r>
    </w:p>
    <w:p w14:paraId="5D029019" w14:textId="77777777" w:rsidR="00625A5B" w:rsidRPr="008F03E5" w:rsidRDefault="00625A5B" w:rsidP="00312FB4">
      <w:pPr>
        <w:pStyle w:val="Translit"/>
      </w:pPr>
      <w:r w:rsidRPr="008F03E5">
        <w:t>Labada (Labbadih)</w:t>
      </w:r>
      <w:r w:rsidRPr="008F03E5">
        <w:tab/>
        <w:t>Labáda</w:t>
      </w:r>
      <w:r w:rsidRPr="008F03E5">
        <w:tab/>
        <w:t>Pers. (for Arabic lubbádát) a rain cloak; a quilted cloak; a ‘great-coat, pelisse; a wrapper</w:t>
      </w:r>
    </w:p>
    <w:p w14:paraId="465F0611" w14:textId="77777777" w:rsidR="00625A5B" w:rsidRPr="008F03E5" w:rsidRDefault="00625A5B" w:rsidP="00317F7C">
      <w:pPr>
        <w:pStyle w:val="Translit"/>
      </w:pPr>
      <w:r w:rsidRPr="00077779">
        <w:rPr>
          <w:lang w:val="es-ES_tradnl"/>
        </w:rPr>
        <w:t>Laban, Alban, Liban</w:t>
      </w:r>
      <w:r w:rsidRPr="00077779">
        <w:rPr>
          <w:lang w:val="es-ES_tradnl"/>
        </w:rPr>
        <w:tab/>
        <w:t xml:space="preserve">Laban, pl. </w:t>
      </w:r>
      <w:r w:rsidRPr="008F03E5">
        <w:t>Albán, Libán</w:t>
      </w:r>
      <w:r w:rsidRPr="008F03E5">
        <w:tab/>
        <w:t>milk; (Syrian) leban, coagulated sour milk;—pl. albán dairy products, milk products</w:t>
      </w:r>
    </w:p>
    <w:p w14:paraId="4678A519" w14:textId="77777777" w:rsidR="00625A5B" w:rsidRDefault="00625A5B" w:rsidP="00D87405">
      <w:pPr>
        <w:pStyle w:val="Translit"/>
      </w:pPr>
      <w:r>
        <w:t>Labba</w:t>
      </w:r>
      <w:r>
        <w:tab/>
        <w:t>Labb</w:t>
      </w:r>
      <w:r w:rsidRPr="00D87405">
        <w:t>á</w:t>
      </w:r>
      <w:r>
        <w:tab/>
      </w:r>
      <w:r w:rsidRPr="0068224F">
        <w:t>to follow, obey (a call, an invitation)</w:t>
      </w:r>
    </w:p>
    <w:p w14:paraId="1D6291A4" w14:textId="77777777" w:rsidR="00625A5B" w:rsidRPr="008F03E5" w:rsidRDefault="00625A5B" w:rsidP="00312FB4">
      <w:pPr>
        <w:pStyle w:val="Translit"/>
      </w:pPr>
      <w:r w:rsidRPr="008F03E5">
        <w:t>Labbad</w:t>
      </w:r>
      <w:r w:rsidRPr="008F03E5">
        <w:tab/>
        <w:t>Labbád</w:t>
      </w:r>
      <w:r w:rsidRPr="008F03E5">
        <w:tab/>
        <w:t>felt-maker; felt</w:t>
      </w:r>
    </w:p>
    <w:p w14:paraId="697A0715" w14:textId="77777777" w:rsidR="00625A5B" w:rsidRDefault="00625A5B" w:rsidP="00D87405">
      <w:pPr>
        <w:pStyle w:val="Translit"/>
      </w:pPr>
      <w:r w:rsidRPr="0068224F">
        <w:t>Labbayka (Labbayk</w:t>
      </w:r>
      <w:r>
        <w:t xml:space="preserve">, </w:t>
      </w:r>
      <w:r w:rsidRPr="008F03E5">
        <w:t>Labbaika</w:t>
      </w:r>
      <w:r>
        <w:t>,</w:t>
      </w:r>
      <w:r w:rsidRPr="00D87405">
        <w:t xml:space="preserve"> Labieck)</w:t>
      </w:r>
      <w:r w:rsidRPr="00D87405">
        <w:tab/>
        <w:t>Labbayka (Labbá + ká)</w:t>
      </w:r>
      <w:r w:rsidRPr="00D87405">
        <w:tab/>
        <w:t>a ph</w:t>
      </w:r>
      <w:r>
        <w:t xml:space="preserve">rase that can mean:  </w:t>
      </w:r>
      <w:r w:rsidRPr="008F03E5">
        <w:t>“here I am!”, “at your service!”</w:t>
      </w:r>
      <w:r>
        <w:t>,</w:t>
      </w:r>
      <w:r w:rsidRPr="008F03E5">
        <w:t xml:space="preserve"> “I am obedient to thee”, </w:t>
      </w:r>
      <w:r>
        <w:t xml:space="preserve">or </w:t>
      </w:r>
      <w:r w:rsidRPr="008F03E5">
        <w:t>“what is your command?”</w:t>
      </w:r>
    </w:p>
    <w:p w14:paraId="096EADEA" w14:textId="77777777" w:rsidR="00625A5B" w:rsidRPr="008F03E5" w:rsidRDefault="00625A5B" w:rsidP="00252205">
      <w:pPr>
        <w:pStyle w:val="Translit"/>
      </w:pPr>
      <w:r w:rsidRPr="008F03E5">
        <w:t>Labib, Alibba’</w:t>
      </w:r>
      <w:r w:rsidRPr="008F03E5">
        <w:tab/>
        <w:t>Labíb, pl. Alibbá’</w:t>
      </w:r>
      <w:r w:rsidRPr="008F03E5">
        <w:tab/>
        <w:t>understanding, reasonable, sensible, intelligent</w:t>
      </w:r>
    </w:p>
    <w:p w14:paraId="76129217" w14:textId="77777777" w:rsidR="00625A5B" w:rsidRPr="008F03E5" w:rsidRDefault="00625A5B" w:rsidP="007609FB">
      <w:pPr>
        <w:pStyle w:val="Translit"/>
      </w:pPr>
      <w:r w:rsidRPr="008F03E5">
        <w:t>Labid</w:t>
      </w:r>
      <w:r w:rsidRPr="008F03E5">
        <w:tab/>
        <w:t>Labíd</w:t>
      </w:r>
      <w:r w:rsidRPr="008F03E5">
        <w:tab/>
        <w:t>Pers. boast, brag; a historian; a poet</w:t>
      </w:r>
    </w:p>
    <w:p w14:paraId="417B8360" w14:textId="77777777" w:rsidR="00625A5B" w:rsidRPr="008F03E5" w:rsidRDefault="00625A5B" w:rsidP="00C66B5E">
      <w:pPr>
        <w:pStyle w:val="Translit"/>
      </w:pPr>
      <w:r w:rsidRPr="008F03E5">
        <w:t>Labs</w:t>
      </w:r>
      <w:r w:rsidRPr="008F03E5">
        <w:tab/>
        <w:t>Labs</w:t>
      </w:r>
      <w:r w:rsidRPr="008F03E5">
        <w:tab/>
        <w:t>proposing to anyone anything obscure or confused, mystifying; mixture, confusion, ambiguity</w:t>
      </w:r>
    </w:p>
    <w:p w14:paraId="3A6BDFDA" w14:textId="77777777" w:rsidR="00625A5B" w:rsidRPr="00077779" w:rsidRDefault="00625A5B" w:rsidP="008E4CF6">
      <w:pPr>
        <w:pStyle w:val="Translit"/>
        <w:rPr>
          <w:lang w:val="es-ES_tradnl"/>
        </w:rPr>
      </w:pPr>
      <w:r w:rsidRPr="00077779">
        <w:rPr>
          <w:lang w:val="es-ES_tradnl"/>
        </w:rPr>
        <w:t>Ladan, Ladin (Laden)</w:t>
      </w:r>
      <w:r w:rsidRPr="00077779">
        <w:rPr>
          <w:lang w:val="es-ES_tradnl"/>
        </w:rPr>
        <w:tab/>
        <w:t>Ládan, Ládin</w:t>
      </w:r>
      <w:r w:rsidRPr="00077779">
        <w:rPr>
          <w:lang w:val="es-ES_tradnl"/>
        </w:rPr>
        <w:tab/>
        <w:t>laudanum</w:t>
      </w:r>
    </w:p>
    <w:p w14:paraId="57779033" w14:textId="77777777" w:rsidR="00625A5B" w:rsidRPr="008F03E5" w:rsidRDefault="00625A5B" w:rsidP="006D60E1">
      <w:pPr>
        <w:pStyle w:val="Translit"/>
      </w:pPr>
      <w:r w:rsidRPr="00077779">
        <w:rPr>
          <w:lang w:val="es-ES_tradnl"/>
        </w:rPr>
        <w:t>Ladud, Aladd, Ladda’, Lidad, Alidda’</w:t>
      </w:r>
      <w:r w:rsidRPr="00077779">
        <w:rPr>
          <w:lang w:val="es-ES_tradnl"/>
        </w:rPr>
        <w:tab/>
        <w:t>Ladúd, Aladd, fem. Laddá’, pl. Ludd</w:t>
      </w:r>
      <w:r w:rsidRPr="00077779">
        <w:rPr>
          <w:lang w:val="es-ES_tradnl"/>
        </w:rPr>
        <w:tab/>
        <w:t xml:space="preserve">(other plurals:  Lidád, Aliddá’) fierce, grim, dogged, tough.  </w:t>
      </w:r>
      <w:r w:rsidRPr="008F03E5">
        <w:t xml:space="preserve">al-Ludd or the city of Lod 15 km </w:t>
      </w:r>
      <w:r w:rsidRPr="008F03E5">
        <w:rPr>
          <w:sz w:val="16"/>
          <w:szCs w:val="16"/>
        </w:rPr>
        <w:t>SE</w:t>
      </w:r>
      <w:r w:rsidRPr="008F03E5">
        <w:t xml:space="preserve"> Tel Aviv; formerly Lydda (Latin).</w:t>
      </w:r>
    </w:p>
    <w:p w14:paraId="20E3E4D9" w14:textId="77777777" w:rsidR="00625A5B" w:rsidRPr="008F03E5" w:rsidRDefault="00625A5B" w:rsidP="00213128">
      <w:pPr>
        <w:pStyle w:val="Translit"/>
      </w:pPr>
      <w:r w:rsidRPr="008F03E5">
        <w:t>Ladun</w:t>
      </w:r>
      <w:r w:rsidRPr="008F03E5">
        <w:tab/>
        <w:t>Ladun</w:t>
      </w:r>
      <w:r w:rsidRPr="008F03E5">
        <w:tab/>
        <w:t>(preposition) at, by, near, close to; in the presence of, in front of, before, with; in possession of</w:t>
      </w:r>
    </w:p>
    <w:p w14:paraId="61CF1705" w14:textId="77777777" w:rsidR="00625A5B" w:rsidRPr="008F03E5" w:rsidRDefault="00625A5B" w:rsidP="00213128">
      <w:pPr>
        <w:pStyle w:val="Translit"/>
      </w:pPr>
      <w:r w:rsidRPr="008F03E5">
        <w:t>Laduni</w:t>
      </w:r>
      <w:r w:rsidRPr="008F03E5">
        <w:tab/>
        <w:t>Laduní</w:t>
      </w:r>
      <w:r w:rsidRPr="008F03E5">
        <w:tab/>
        <w:t>(i.e. from near God) mystic; (from on high) inspired, infused (knowledge); “innate”; hidden (knowledge); ‘ilm al-laduní, “direct knowledge” (from God) or “divinely inspired knowledge” (from God)</w:t>
      </w:r>
    </w:p>
    <w:p w14:paraId="60B311E0" w14:textId="77777777" w:rsidR="00625A5B" w:rsidRPr="008F03E5" w:rsidRDefault="00625A5B" w:rsidP="009E7F12">
      <w:pPr>
        <w:pStyle w:val="Translit"/>
      </w:pPr>
      <w:r w:rsidRPr="008F03E5">
        <w:t>Lafz, Alfaz</w:t>
      </w:r>
      <w:r w:rsidRPr="008F03E5">
        <w:tab/>
        <w:t>Lafẓ, pl. Alfáẓ</w:t>
      </w:r>
      <w:r w:rsidRPr="008F03E5">
        <w:tab/>
        <w:t>sound-group, phonetic complex; expression, term; word; wording; formulation; articulation, enunciation, pronunciation (of Qur’anic text)</w:t>
      </w:r>
    </w:p>
    <w:p w14:paraId="50C1B044" w14:textId="77777777" w:rsidR="00625A5B" w:rsidRPr="008F03E5" w:rsidRDefault="00625A5B" w:rsidP="009B2252">
      <w:pPr>
        <w:pStyle w:val="Translit"/>
      </w:pPr>
      <w:r w:rsidRPr="008F03E5">
        <w:t>Lafzi</w:t>
      </w:r>
      <w:r w:rsidRPr="008F03E5">
        <w:tab/>
        <w:t>Lafẓí</w:t>
      </w:r>
      <w:r w:rsidRPr="008F03E5">
        <w:tab/>
        <w:t>of or pertaining to words, verbal; literal; pronounced; oral</w:t>
      </w:r>
    </w:p>
    <w:p w14:paraId="3193FE24" w14:textId="77777777" w:rsidR="00625A5B" w:rsidRPr="008F03E5" w:rsidRDefault="00625A5B" w:rsidP="000A7C4F">
      <w:pPr>
        <w:pStyle w:val="Translit"/>
      </w:pPr>
      <w:r w:rsidRPr="008F03E5">
        <w:t>Lahab, Lahib, Luhab</w:t>
      </w:r>
      <w:r w:rsidRPr="008F03E5">
        <w:tab/>
        <w:t>Lahab, Lahíb, Luháb</w:t>
      </w:r>
      <w:r w:rsidRPr="008F03E5">
        <w:tab/>
        <w:t>flame, blaze, flare.  Abú Lahab (the ‘Father of Flame’) is known for his hatred of his nephew, Muḥammad.</w:t>
      </w:r>
    </w:p>
    <w:p w14:paraId="158971F7" w14:textId="77777777" w:rsidR="00625A5B" w:rsidRPr="008F03E5" w:rsidRDefault="00625A5B" w:rsidP="00E5097A">
      <w:pPr>
        <w:pStyle w:val="Translit"/>
      </w:pPr>
      <w:r w:rsidRPr="008F03E5">
        <w:t>Lahay, Lahih</w:t>
      </w:r>
      <w:r w:rsidRPr="008F03E5">
        <w:tab/>
        <w:t>Láháy, Pers. Láhih</w:t>
      </w:r>
      <w:r w:rsidRPr="008F03E5">
        <w:tab/>
        <w:t xml:space="preserve">The Hague (city in </w:t>
      </w:r>
      <w:r w:rsidRPr="008F03E5">
        <w:rPr>
          <w:sz w:val="16"/>
          <w:szCs w:val="16"/>
        </w:rPr>
        <w:t>SW</w:t>
      </w:r>
      <w:r w:rsidRPr="008F03E5">
        <w:t xml:space="preserve"> Netherlands)</w:t>
      </w:r>
    </w:p>
    <w:p w14:paraId="54E5BDC3" w14:textId="77777777" w:rsidR="00625A5B" w:rsidRPr="008F03E5" w:rsidRDefault="00625A5B" w:rsidP="00F7702C">
      <w:pPr>
        <w:pStyle w:val="Translit"/>
      </w:pPr>
      <w:r w:rsidRPr="008F03E5">
        <w:t>Lahijan</w:t>
      </w:r>
      <w:r w:rsidRPr="008F03E5">
        <w:tab/>
        <w:t>Láhíján</w:t>
      </w:r>
      <w:r w:rsidRPr="008F03E5">
        <w:tab/>
        <w:t>(láh+ján, “a place to obtain silk fibre”) Caspian sea resort (37.206573, 50.003119) and the capital of Láhíján County</w:t>
      </w:r>
    </w:p>
    <w:p w14:paraId="0CADC20D" w14:textId="77777777" w:rsidR="00625A5B" w:rsidRPr="008F03E5" w:rsidRDefault="00625A5B" w:rsidP="00FB0ED7">
      <w:pPr>
        <w:pStyle w:val="Translit"/>
      </w:pPr>
      <w:r w:rsidRPr="008F03E5">
        <w:t>Lahijani</w:t>
      </w:r>
      <w:r w:rsidRPr="008F03E5">
        <w:tab/>
        <w:t>Láhíjání</w:t>
      </w:r>
      <w:r w:rsidRPr="008F03E5">
        <w:tab/>
        <w:t>‘Alí A</w:t>
      </w:r>
      <w:r w:rsidRPr="008F03E5">
        <w:rPr>
          <w:u w:val="single"/>
        </w:rPr>
        <w:t>sh</w:t>
      </w:r>
      <w:r w:rsidRPr="008F03E5">
        <w:t xml:space="preserve">raf Láhíjání (1853–1919), famous </w:t>
      </w:r>
      <w:r>
        <w:t xml:space="preserve">Bahá’í </w:t>
      </w:r>
      <w:r w:rsidRPr="008F03E5">
        <w:t xml:space="preserve">poet and </w:t>
      </w:r>
      <w:r>
        <w:t xml:space="preserve">known </w:t>
      </w:r>
      <w:r w:rsidRPr="00FB0ED7">
        <w:t>by his sobriquet</w:t>
      </w:r>
      <w:r>
        <w:t>,</w:t>
      </w:r>
      <w:r w:rsidRPr="008F03E5">
        <w:t xml:space="preserve"> </w:t>
      </w:r>
      <w:r w:rsidRPr="008F03E5">
        <w:rPr>
          <w:rFonts w:eastAsia="PMingLiU"/>
          <w:lang w:eastAsia="zh-TW"/>
        </w:rPr>
        <w:t>‘Andalíb (</w:t>
      </w:r>
      <w:r w:rsidRPr="008F03E5">
        <w:t>“nightingale”)</w:t>
      </w:r>
    </w:p>
    <w:p w14:paraId="00FA28E5" w14:textId="77777777" w:rsidR="00625A5B" w:rsidRPr="008F03E5" w:rsidRDefault="00625A5B" w:rsidP="00F20737">
      <w:pPr>
        <w:pStyle w:val="Translit"/>
      </w:pPr>
      <w:r w:rsidRPr="008F03E5">
        <w:t>Lahm, Luhum, Liham</w:t>
      </w:r>
      <w:r w:rsidRPr="008F03E5">
        <w:tab/>
        <w:t>Laḥm, pl. Luḥúm, Liḥám</w:t>
      </w:r>
      <w:r w:rsidRPr="008F03E5">
        <w:tab/>
        <w:t>flesh; meat</w:t>
      </w:r>
    </w:p>
    <w:p w14:paraId="17FF8733" w14:textId="77777777" w:rsidR="00625A5B" w:rsidRPr="008F03E5" w:rsidRDefault="00625A5B" w:rsidP="0078286C">
      <w:pPr>
        <w:pStyle w:val="Translit"/>
      </w:pPr>
      <w:r w:rsidRPr="008F03E5">
        <w:t>Lahut</w:t>
      </w:r>
      <w:r w:rsidRPr="008F03E5">
        <w:tab/>
        <w:t>Láhút</w:t>
      </w:r>
      <w:r w:rsidRPr="008F03E5">
        <w:tab/>
        <w:t>godhead, deity; divine nature, divinity.  (world of the Heavenly Court (</w:t>
      </w:r>
      <w:r w:rsidRPr="008F03E5">
        <w:rPr>
          <w:rFonts w:eastAsia="Times New Roman"/>
          <w:i/>
          <w:iCs/>
        </w:rPr>
        <w:t>‘álami láhút</w:t>
      </w:r>
      <w:r w:rsidRPr="008F03E5">
        <w:t>)—realm of being, “divinity”).  See Háhút, Jabarút, Malakút, and Násút</w:t>
      </w:r>
    </w:p>
    <w:p w14:paraId="40F2773C" w14:textId="77777777" w:rsidR="00625A5B" w:rsidRPr="008F03E5" w:rsidRDefault="00625A5B" w:rsidP="0078286C">
      <w:pPr>
        <w:pStyle w:val="Translit"/>
      </w:pPr>
      <w:r w:rsidRPr="008F03E5">
        <w:t>Lahuti</w:t>
      </w:r>
      <w:r w:rsidRPr="008F03E5">
        <w:tab/>
        <w:t>Láhútí</w:t>
      </w:r>
      <w:r w:rsidRPr="008F03E5">
        <w:tab/>
        <w:t>theological; theologian; divine</w:t>
      </w:r>
    </w:p>
    <w:p w14:paraId="30D5179F" w14:textId="77777777" w:rsidR="00625A5B" w:rsidRPr="008F03E5" w:rsidRDefault="00625A5B" w:rsidP="0078286C">
      <w:pPr>
        <w:pStyle w:val="Translit"/>
      </w:pPr>
      <w:r w:rsidRPr="008F03E5">
        <w:t>Lahutiya (Lahutiyya)</w:t>
      </w:r>
      <w:r w:rsidRPr="008F03E5">
        <w:tab/>
        <w:t>al-Láhútíya[h or t]</w:t>
      </w:r>
      <w:r w:rsidRPr="008F03E5">
        <w:tab/>
        <w:t>theology; “realm of the primal will”</w:t>
      </w:r>
    </w:p>
    <w:p w14:paraId="79F7F052" w14:textId="77777777" w:rsidR="00625A5B" w:rsidRPr="008F03E5" w:rsidRDefault="00625A5B" w:rsidP="009E7F12">
      <w:pPr>
        <w:pStyle w:val="Translit"/>
      </w:pPr>
      <w:r w:rsidRPr="008F03E5">
        <w:t>Lakhm</w:t>
      </w:r>
      <w:r w:rsidRPr="008F03E5">
        <w:tab/>
        <w:t>La</w:t>
      </w:r>
      <w:r w:rsidRPr="008F03E5">
        <w:rPr>
          <w:rFonts w:eastAsia="Times New Roman"/>
          <w:u w:val="single"/>
        </w:rPr>
        <w:t>kh</w:t>
      </w:r>
      <w:r w:rsidRPr="008F03E5">
        <w:t>m</w:t>
      </w:r>
      <w:r w:rsidRPr="008F03E5">
        <w:tab/>
        <w:t>a cutting, amputation; a box, a blow</w:t>
      </w:r>
    </w:p>
    <w:p w14:paraId="37CB7785" w14:textId="77777777" w:rsidR="00625A5B" w:rsidRPr="008F03E5" w:rsidRDefault="00625A5B" w:rsidP="00402F5E">
      <w:pPr>
        <w:pStyle w:val="Translit"/>
      </w:pPr>
      <w:r w:rsidRPr="008F03E5">
        <w:t>Lakhmiyun</w:t>
      </w:r>
      <w:r w:rsidRPr="008F03E5">
        <w:tab/>
        <w:t>al-La</w:t>
      </w:r>
      <w:r w:rsidRPr="008F03E5">
        <w:rPr>
          <w:u w:val="single"/>
        </w:rPr>
        <w:t>kh</w:t>
      </w:r>
      <w:r w:rsidRPr="008F03E5">
        <w:t>míyún</w:t>
      </w:r>
      <w:r w:rsidRPr="008F03E5">
        <w:tab/>
        <w:t xml:space="preserve">Lakhmids or Lakhmid (“Lakhmite”) dynasty </w:t>
      </w:r>
      <w:r w:rsidRPr="008F03E5">
        <w:rPr>
          <w:sz w:val="16"/>
          <w:szCs w:val="16"/>
        </w:rPr>
        <w:t>CE</w:t>
      </w:r>
      <w:r w:rsidRPr="008F03E5">
        <w:t xml:space="preserve"> 300–602.  Lakhmids (al-La</w:t>
      </w:r>
      <w:r w:rsidRPr="008F03E5">
        <w:rPr>
          <w:u w:val="single"/>
        </w:rPr>
        <w:t>kh</w:t>
      </w:r>
      <w:r w:rsidRPr="008F03E5">
        <w:t>míyún (</w:t>
      </w:r>
      <w:r w:rsidRPr="008F03E5">
        <w:rPr>
          <w:rtl/>
        </w:rPr>
        <w:t>اللخميون</w:t>
      </w:r>
      <w:r w:rsidRPr="008F03E5">
        <w:t>—“íwn” transcripted as “íyún”), in Arabic usually referred to as al-Maná</w:t>
      </w:r>
      <w:r w:rsidRPr="008F03E5">
        <w:rPr>
          <w:u w:val="single"/>
        </w:rPr>
        <w:t>dh</w:t>
      </w:r>
      <w:r w:rsidRPr="008F03E5">
        <w:t>irah or Banú La</w:t>
      </w:r>
      <w:r w:rsidRPr="008F03E5">
        <w:rPr>
          <w:u w:val="single"/>
        </w:rPr>
        <w:t>kh</w:t>
      </w:r>
      <w:r w:rsidRPr="008F03E5">
        <w:t>m) in southern Iraq (capital al-Ḥírah, near modern al-Kúfah).</w:t>
      </w:r>
    </w:p>
    <w:p w14:paraId="13B4FB37" w14:textId="77777777" w:rsidR="00625A5B" w:rsidRPr="008F03E5" w:rsidRDefault="00625A5B" w:rsidP="0019122B">
      <w:pPr>
        <w:pStyle w:val="Translit"/>
      </w:pPr>
      <w:r w:rsidRPr="008F03E5">
        <w:t>Lakin, Lakinna</w:t>
      </w:r>
      <w:r w:rsidRPr="008F03E5">
        <w:tab/>
        <w:t>Lákin, lákinna</w:t>
      </w:r>
      <w:r w:rsidRPr="008F03E5">
        <w:tab/>
        <w:t>however, yet, but</w:t>
      </w:r>
    </w:p>
    <w:p w14:paraId="211634EA" w14:textId="77777777" w:rsidR="00625A5B" w:rsidRDefault="00625A5B" w:rsidP="00AE132F">
      <w:pPr>
        <w:pStyle w:val="Translit"/>
      </w:pPr>
      <w:r>
        <w:t>Lala (Lalah, Laleh)</w:t>
      </w:r>
      <w:r>
        <w:tab/>
        <w:t>L</w:t>
      </w:r>
      <w:r w:rsidRPr="00CF1F19">
        <w:t>ála</w:t>
      </w:r>
      <w:r>
        <w:tab/>
        <w:t>Pers. a</w:t>
      </w:r>
      <w:r w:rsidRPr="00AF4D34">
        <w:t xml:space="preserve"> tulip; any wild flower; a passionate lover; the lip of a mistress</w:t>
      </w:r>
      <w:r>
        <w:t>.</w:t>
      </w:r>
    </w:p>
    <w:p w14:paraId="6BF8B6DE" w14:textId="77777777" w:rsidR="00625A5B" w:rsidRDefault="00625A5B" w:rsidP="00234D42">
      <w:pPr>
        <w:pStyle w:val="Translit"/>
      </w:pPr>
      <w:r>
        <w:t>Lala (Lalih)</w:t>
      </w:r>
      <w:r>
        <w:tab/>
        <w:t>L</w:t>
      </w:r>
      <w:r w:rsidRPr="00234D42">
        <w:t>ala</w:t>
      </w:r>
      <w:r>
        <w:tab/>
        <w:t>Pers. a</w:t>
      </w:r>
      <w:r w:rsidRPr="003F657C">
        <w:t xml:space="preserve"> mentor, a tutor</w:t>
      </w:r>
      <w:r>
        <w:t xml:space="preserve">.  </w:t>
      </w:r>
      <w:r w:rsidRPr="000771B2">
        <w:t xml:space="preserve">Riḍá-Qulí </w:t>
      </w:r>
      <w:r w:rsidRPr="000771B2">
        <w:rPr>
          <w:u w:val="single"/>
        </w:rPr>
        <w:t>Kh</w:t>
      </w:r>
      <w:r w:rsidRPr="000771B2">
        <w:t>án-i-Lalih-Bá</w:t>
      </w:r>
      <w:r w:rsidRPr="000771B2">
        <w:rPr>
          <w:u w:val="single"/>
        </w:rPr>
        <w:t>sh</w:t>
      </w:r>
      <w:r w:rsidRPr="000771B2">
        <w:t>í</w:t>
      </w:r>
      <w:r>
        <w:t>.</w:t>
      </w:r>
    </w:p>
    <w:p w14:paraId="3F8C55E3" w14:textId="77777777" w:rsidR="00625A5B" w:rsidRDefault="00625A5B" w:rsidP="00AE132F">
      <w:pPr>
        <w:pStyle w:val="Translit"/>
      </w:pPr>
      <w:r>
        <w:t>Lala-Rukh (</w:t>
      </w:r>
      <w:r w:rsidRPr="00AE132F">
        <w:t>Lalla Rookh</w:t>
      </w:r>
      <w:r>
        <w:t>)</w:t>
      </w:r>
      <w:r>
        <w:tab/>
        <w:t>L</w:t>
      </w:r>
      <w:r w:rsidRPr="00CF1F19">
        <w:t>ála</w:t>
      </w:r>
      <w:r>
        <w:t>-Rukn</w:t>
      </w:r>
      <w:r>
        <w:tab/>
        <w:t>“Tulip-cheeked”.  “</w:t>
      </w:r>
      <w:r w:rsidRPr="00FE5721">
        <w:t>Lalla Rookh</w:t>
      </w:r>
      <w:r>
        <w:t>”</w:t>
      </w:r>
      <w:r w:rsidRPr="00FE5721">
        <w:t xml:space="preserve"> is an Oriental romance by Irish poet Thomas Moore, published in 1817</w:t>
      </w:r>
      <w:r>
        <w:t>.</w:t>
      </w:r>
    </w:p>
    <w:p w14:paraId="05C7CD3F" w14:textId="77777777" w:rsidR="00625A5B" w:rsidRPr="008F03E5" w:rsidRDefault="00625A5B" w:rsidP="00FC772D">
      <w:pPr>
        <w:pStyle w:val="Translit"/>
      </w:pPr>
      <w:r w:rsidRPr="008F03E5">
        <w:t>Lam</w:t>
      </w:r>
      <w:r w:rsidRPr="008F03E5">
        <w:tab/>
        <w:t>Lám</w:t>
      </w:r>
      <w:r w:rsidRPr="008F03E5">
        <w:tab/>
        <w:t>Arabic letter transcripted as L</w:t>
      </w:r>
    </w:p>
    <w:p w14:paraId="5D198CF4" w14:textId="77777777" w:rsidR="00625A5B" w:rsidRDefault="00625A5B" w:rsidP="00BB2796">
      <w:pPr>
        <w:pStyle w:val="Translit"/>
      </w:pPr>
      <w:r>
        <w:t>Lam’, Lam’a, Lama’an, Lama’at</w:t>
      </w:r>
      <w:r>
        <w:tab/>
        <w:t>L</w:t>
      </w:r>
      <w:r w:rsidRPr="00B94CBE">
        <w:t xml:space="preserve">am‘ and </w:t>
      </w:r>
      <w:r>
        <w:t>L</w:t>
      </w:r>
      <w:r w:rsidRPr="00B94CBE">
        <w:t>ama‘</w:t>
      </w:r>
      <w:r>
        <w:t>á</w:t>
      </w:r>
      <w:r w:rsidRPr="00B94CBE">
        <w:t>n</w:t>
      </w:r>
      <w:r>
        <w:t>, fem. Lam‘a[h or t]</w:t>
      </w:r>
      <w:r>
        <w:tab/>
        <w:t>(pl. fem.</w:t>
      </w:r>
      <w:r w:rsidRPr="00BB2796">
        <w:t xml:space="preserve"> lama</w:t>
      </w:r>
      <w:r w:rsidRPr="00BB2796">
        <w:rPr>
          <w:rFonts w:eastAsia="Times New Roman"/>
        </w:rPr>
        <w:t>‘</w:t>
      </w:r>
      <w:r w:rsidRPr="00BB2796">
        <w:t>át</w:t>
      </w:r>
      <w:r>
        <w:t>, s</w:t>
      </w:r>
      <w:r w:rsidRPr="003F657C">
        <w:t>plendours, effulgencies</w:t>
      </w:r>
      <w:r>
        <w:t>)</w:t>
      </w:r>
      <w:r w:rsidRPr="00BB2796">
        <w:t xml:space="preserve"> </w:t>
      </w:r>
      <w:r w:rsidRPr="00B94CBE">
        <w:t>lustr</w:t>
      </w:r>
      <w:r>
        <w:t>e</w:t>
      </w:r>
      <w:r w:rsidRPr="00B94CBE">
        <w:t>, sheen, shine; shimmer, gleam, glow, brightness, light</w:t>
      </w:r>
    </w:p>
    <w:p w14:paraId="384146C8" w14:textId="77777777" w:rsidR="00625A5B" w:rsidRPr="008F03E5" w:rsidRDefault="00625A5B" w:rsidP="00826633">
      <w:pPr>
        <w:pStyle w:val="Translit"/>
      </w:pPr>
      <w:r w:rsidRPr="008F03E5">
        <w:t>La-Madhhab</w:t>
      </w:r>
      <w:r w:rsidRPr="008F03E5">
        <w:tab/>
        <w:t>Lá-Ma</w:t>
      </w:r>
      <w:r w:rsidRPr="008F03E5">
        <w:rPr>
          <w:u w:val="single"/>
        </w:rPr>
        <w:t>dh</w:t>
      </w:r>
      <w:r w:rsidRPr="008F03E5">
        <w:t>hab</w:t>
      </w:r>
      <w:r w:rsidRPr="008F03E5">
        <w:tab/>
        <w:t>Persian without religion, non-religious, “atheist”</w:t>
      </w:r>
    </w:p>
    <w:p w14:paraId="3B452DD7" w14:textId="77777777" w:rsidR="00625A5B" w:rsidRPr="008F03E5" w:rsidRDefault="00625A5B" w:rsidP="00D2179B">
      <w:pPr>
        <w:pStyle w:val="Translit"/>
      </w:pPr>
      <w:r w:rsidRPr="00077779">
        <w:rPr>
          <w:lang w:val="fr-FR"/>
        </w:rPr>
        <w:t>Lamha, Lamhat</w:t>
      </w:r>
      <w:r w:rsidRPr="00077779">
        <w:rPr>
          <w:lang w:val="fr-FR"/>
        </w:rPr>
        <w:tab/>
        <w:t xml:space="preserve">Lamḥa[t], pl. </w:t>
      </w:r>
      <w:r w:rsidRPr="008F03E5">
        <w:t>Lamaḥát</w:t>
      </w:r>
      <w:r w:rsidRPr="008F03E5">
        <w:tab/>
        <w:t>quick, casual look, glance; wink; glow of light, light, brightness, flash (of lightning)</w:t>
      </w:r>
    </w:p>
    <w:p w14:paraId="7044E5AF" w14:textId="77777777" w:rsidR="00245921" w:rsidRPr="008F03E5" w:rsidRDefault="00245921" w:rsidP="00110CE8">
      <w:pPr>
        <w:pStyle w:val="Translit"/>
      </w:pPr>
      <w:r w:rsidRPr="008F03E5">
        <w:t>Lami</w:t>
      </w:r>
      <w:r>
        <w:t>, Lamiya (Lamiyya)</w:t>
      </w:r>
      <w:r w:rsidRPr="008F03E5">
        <w:tab/>
        <w:t>Lámí</w:t>
      </w:r>
      <w:r>
        <w:t>, fem. L</w:t>
      </w:r>
      <w:r w:rsidRPr="00447D1F">
        <w:t>á</w:t>
      </w:r>
      <w:r>
        <w:t>m</w:t>
      </w:r>
      <w:r w:rsidRPr="00447D1F">
        <w:t>í</w:t>
      </w:r>
      <w:r>
        <w:t>ya[h or t]</w:t>
      </w:r>
      <w:r w:rsidRPr="008F03E5">
        <w:tab/>
        <w:t xml:space="preserve">lám-shaped, resembling the letter </w:t>
      </w:r>
      <w:r w:rsidRPr="008F03E5">
        <w:rPr>
          <w:rtl/>
        </w:rPr>
        <w:t>ل</w:t>
      </w:r>
      <w:r w:rsidRPr="008F03E5">
        <w:t>.</w:t>
      </w:r>
      <w:r>
        <w:t xml:space="preserve">  Fem. a</w:t>
      </w:r>
      <w:r w:rsidRPr="00AF4D34">
        <w:t xml:space="preserve"> poem rhyming on the letter </w:t>
      </w:r>
      <w:r w:rsidRPr="00AF4D34">
        <w:rPr>
          <w:rtl/>
        </w:rPr>
        <w:t>ل</w:t>
      </w:r>
      <w:r>
        <w:t xml:space="preserve">.  </w:t>
      </w:r>
      <w:r w:rsidRPr="00AF2C0B">
        <w:rPr>
          <w:i/>
          <w:iCs/>
          <w:u w:val="single"/>
          <w:lang w:val="en-AU" w:eastAsia="en-AU"/>
        </w:rPr>
        <w:t>Sh</w:t>
      </w:r>
      <w:r w:rsidRPr="009E59AB">
        <w:rPr>
          <w:i/>
          <w:iCs/>
          <w:lang w:val="en-AU" w:eastAsia="en-AU"/>
        </w:rPr>
        <w:t>ar</w:t>
      </w:r>
      <w:r w:rsidRPr="00D9777D">
        <w:rPr>
          <w:i/>
          <w:iCs/>
        </w:rPr>
        <w:t>ḥ</w:t>
      </w:r>
      <w:r>
        <w:rPr>
          <w:i/>
          <w:iCs/>
          <w:lang w:val="en-AU" w:eastAsia="en-AU"/>
        </w:rPr>
        <w:t xml:space="preserve"> </w:t>
      </w:r>
      <w:r w:rsidRPr="009E59AB">
        <w:rPr>
          <w:i/>
          <w:iCs/>
          <w:lang w:val="en-AU" w:eastAsia="en-AU"/>
        </w:rPr>
        <w:t>al-</w:t>
      </w:r>
      <w:r w:rsidRPr="00AF2C0B">
        <w:rPr>
          <w:i/>
          <w:iCs/>
        </w:rPr>
        <w:t>Qaṣída</w:t>
      </w:r>
      <w:r>
        <w:rPr>
          <w:i/>
          <w:iCs/>
        </w:rPr>
        <w:t>h</w:t>
      </w:r>
      <w:r>
        <w:rPr>
          <w:i/>
          <w:iCs/>
          <w:lang w:val="en-AU" w:eastAsia="en-AU"/>
        </w:rPr>
        <w:t xml:space="preserve"> </w:t>
      </w:r>
      <w:r w:rsidRPr="009E59AB">
        <w:rPr>
          <w:i/>
          <w:iCs/>
          <w:lang w:val="en-AU" w:eastAsia="en-AU"/>
        </w:rPr>
        <w:t>al-L</w:t>
      </w:r>
      <w:r w:rsidRPr="00D9777D">
        <w:rPr>
          <w:i/>
          <w:iCs/>
        </w:rPr>
        <w:t>á</w:t>
      </w:r>
      <w:r w:rsidRPr="009E59AB">
        <w:rPr>
          <w:i/>
          <w:iCs/>
          <w:lang w:val="en-AU" w:eastAsia="en-AU"/>
        </w:rPr>
        <w:t>m</w:t>
      </w:r>
      <w:r w:rsidRPr="00D9777D">
        <w:rPr>
          <w:i/>
          <w:iCs/>
        </w:rPr>
        <w:t>í</w:t>
      </w:r>
      <w:r w:rsidRPr="009E59AB">
        <w:rPr>
          <w:i/>
          <w:iCs/>
          <w:lang w:val="en-AU" w:eastAsia="en-AU"/>
        </w:rPr>
        <w:t>ya</w:t>
      </w:r>
      <w:r>
        <w:rPr>
          <w:i/>
          <w:iCs/>
          <w:lang w:val="en-AU" w:eastAsia="en-AU"/>
        </w:rPr>
        <w:t>h</w:t>
      </w:r>
      <w:r w:rsidRPr="00110CE8">
        <w:rPr>
          <w:lang w:val="en-AU" w:eastAsia="en-AU"/>
        </w:rPr>
        <w:t xml:space="preserve"> “Explanation of the </w:t>
      </w:r>
      <w:r>
        <w:t>L</w:t>
      </w:r>
      <w:r w:rsidRPr="00447D1F">
        <w:t>á</w:t>
      </w:r>
      <w:r>
        <w:t>m</w:t>
      </w:r>
      <w:r w:rsidRPr="00447D1F">
        <w:t>í</w:t>
      </w:r>
      <w:r>
        <w:t>ya poem” by ibn Q</w:t>
      </w:r>
      <w:r w:rsidRPr="00110CE8">
        <w:t>á</w:t>
      </w:r>
      <w:r>
        <w:t>’id.</w:t>
      </w:r>
    </w:p>
    <w:p w14:paraId="1E2C5101" w14:textId="77777777" w:rsidR="00245921" w:rsidRPr="008F03E5" w:rsidRDefault="00245921" w:rsidP="00E93C0F">
      <w:pPr>
        <w:pStyle w:val="Translit"/>
      </w:pPr>
      <w:r w:rsidRPr="008F03E5">
        <w:t>Lami’, Lami’a, Lawami’</w:t>
      </w:r>
      <w:r w:rsidRPr="008F03E5">
        <w:tab/>
        <w:t>Lámi‘, fem. Lámí‘a[h or t], pl. Lawámi‘</w:t>
      </w:r>
      <w:r w:rsidRPr="008F03E5">
        <w:tab/>
        <w:t>brilliant, lustrous, shining, gleaming, shimmering</w:t>
      </w:r>
    </w:p>
    <w:p w14:paraId="252C5288" w14:textId="77777777" w:rsidR="00245921" w:rsidRPr="008F03E5" w:rsidRDefault="00245921" w:rsidP="004F4BE8">
      <w:pPr>
        <w:pStyle w:val="Translit"/>
      </w:pPr>
      <w:r w:rsidRPr="008F03E5">
        <w:t>Landan</w:t>
      </w:r>
      <w:r w:rsidRPr="008F03E5">
        <w:tab/>
        <w:t>Landan</w:t>
      </w:r>
      <w:r w:rsidRPr="008F03E5">
        <w:tab/>
        <w:t>London</w:t>
      </w:r>
    </w:p>
    <w:p w14:paraId="3066E39B" w14:textId="77777777" w:rsidR="00245921" w:rsidRPr="008F03E5" w:rsidRDefault="00245921" w:rsidP="004F4BE8">
      <w:pPr>
        <w:pStyle w:val="Translit"/>
      </w:pPr>
      <w:r w:rsidRPr="008F03E5">
        <w:t>Lang</w:t>
      </w:r>
      <w:r w:rsidRPr="008F03E5">
        <w:tab/>
        <w:t>Lang</w:t>
      </w:r>
      <w:r w:rsidRPr="008F03E5">
        <w:tab/>
        <w:t>Pers. lame; maimed; the halting of a caravan for a day or two</w:t>
      </w:r>
    </w:p>
    <w:p w14:paraId="76366D9F" w14:textId="77777777" w:rsidR="00245921" w:rsidRPr="008F03E5" w:rsidRDefault="00245921" w:rsidP="000733AA">
      <w:pPr>
        <w:pStyle w:val="Translit"/>
      </w:pPr>
      <w:r w:rsidRPr="008F03E5">
        <w:t>Laqab, Alqab</w:t>
      </w:r>
      <w:r w:rsidRPr="008F03E5">
        <w:tab/>
        <w:t>Laqab, pl. Alqáb</w:t>
      </w:r>
      <w:r w:rsidRPr="008F03E5">
        <w:tab/>
        <w:t xml:space="preserve">agnomen; cognomen; nickname; title, honourific; last name, surname, family name (as opposed to </w:t>
      </w:r>
      <w:r w:rsidRPr="008F03E5">
        <w:rPr>
          <w:i/>
          <w:iCs/>
        </w:rPr>
        <w:t>ism</w:t>
      </w:r>
      <w:r w:rsidRPr="008F03E5">
        <w:t>, given name, first name).  The laqab is typically descriptive of the person.</w:t>
      </w:r>
    </w:p>
    <w:p w14:paraId="2118756F" w14:textId="77777777" w:rsidR="00245921" w:rsidRPr="008F03E5" w:rsidRDefault="00245921" w:rsidP="00FC5C14">
      <w:pPr>
        <w:pStyle w:val="Translit"/>
      </w:pPr>
      <w:r w:rsidRPr="008F03E5">
        <w:t>Lar</w:t>
      </w:r>
      <w:r w:rsidRPr="008F03E5">
        <w:tab/>
        <w:t>Lár</w:t>
      </w:r>
      <w:r w:rsidRPr="008F03E5">
        <w:tab/>
        <w:t>city in province of Fars</w:t>
      </w:r>
    </w:p>
    <w:p w14:paraId="425DE2CA" w14:textId="77777777" w:rsidR="00245921" w:rsidRPr="008F03E5" w:rsidRDefault="00245921" w:rsidP="00FC5C14">
      <w:pPr>
        <w:pStyle w:val="Translit"/>
      </w:pPr>
      <w:r w:rsidRPr="008F03E5">
        <w:t>Larijan</w:t>
      </w:r>
      <w:r w:rsidRPr="008F03E5">
        <w:tab/>
        <w:t>Láríján</w:t>
      </w:r>
      <w:r w:rsidRPr="008F03E5">
        <w:tab/>
        <w:t>district of Mazandaran Province</w:t>
      </w:r>
    </w:p>
    <w:p w14:paraId="26D23374" w14:textId="77777777" w:rsidR="00245921" w:rsidRPr="008F03E5" w:rsidRDefault="00245921" w:rsidP="003B3D27">
      <w:pPr>
        <w:pStyle w:val="Translit"/>
      </w:pPr>
      <w:r w:rsidRPr="008F03E5">
        <w:t>Las</w:t>
      </w:r>
      <w:r w:rsidRPr="008F03E5">
        <w:tab/>
        <w:t>Lás</w:t>
      </w:r>
      <w:r w:rsidRPr="008F03E5">
        <w:tab/>
        <w:t>Pers. refuse of silk; coarse silk</w:t>
      </w:r>
    </w:p>
    <w:p w14:paraId="690CBB56" w14:textId="77777777" w:rsidR="00245921" w:rsidRPr="008F03E5" w:rsidRDefault="00245921" w:rsidP="000B6091">
      <w:pPr>
        <w:pStyle w:val="Translit"/>
      </w:pPr>
      <w:r w:rsidRPr="008F03E5">
        <w:t>Las-Furush</w:t>
      </w:r>
      <w:r w:rsidRPr="008F03E5">
        <w:tab/>
        <w:t>Lás-Furú</w:t>
      </w:r>
      <w:r w:rsidRPr="008F03E5">
        <w:rPr>
          <w:u w:val="single"/>
        </w:rPr>
        <w:t>sh</w:t>
      </w:r>
      <w:r w:rsidRPr="008F03E5">
        <w:tab/>
        <w:t>Pers. silk merchant.  See Far</w:t>
      </w:r>
      <w:r w:rsidRPr="008F03E5">
        <w:rPr>
          <w:u w:val="single"/>
        </w:rPr>
        <w:t>sh</w:t>
      </w:r>
      <w:r w:rsidRPr="008F03E5">
        <w:t>.</w:t>
      </w:r>
    </w:p>
    <w:p w14:paraId="287BB60C" w14:textId="77777777" w:rsidR="00245921" w:rsidRPr="008F03E5" w:rsidRDefault="00245921" w:rsidP="00AB2610">
      <w:pPr>
        <w:pStyle w:val="Translit"/>
      </w:pPr>
      <w:r w:rsidRPr="008F03E5">
        <w:t>Lashkar-Nivis</w:t>
      </w:r>
      <w:r w:rsidRPr="008F03E5">
        <w:tab/>
        <w:t>La</w:t>
      </w:r>
      <w:r w:rsidRPr="008F03E5">
        <w:rPr>
          <w:u w:val="single"/>
        </w:rPr>
        <w:t>sh</w:t>
      </w:r>
      <w:r w:rsidRPr="008F03E5">
        <w:t>kar-Nivís</w:t>
      </w:r>
      <w:r w:rsidRPr="008F03E5">
        <w:tab/>
        <w:t>Paymaster-General</w:t>
      </w:r>
    </w:p>
    <w:p w14:paraId="2D03C21A" w14:textId="77777777" w:rsidR="00245921" w:rsidRPr="008F03E5" w:rsidRDefault="00245921" w:rsidP="00B006F9">
      <w:pPr>
        <w:pStyle w:val="Translit"/>
      </w:pPr>
      <w:r w:rsidRPr="008F03E5">
        <w:t>Lastu</w:t>
      </w:r>
      <w:r w:rsidRPr="008F03E5">
        <w:tab/>
        <w:t>Lastu</w:t>
      </w:r>
      <w:r w:rsidRPr="008F03E5">
        <w:tab/>
        <w:t>(from negative verb laysa), I am not</w:t>
      </w:r>
    </w:p>
    <w:p w14:paraId="043A2DD3" w14:textId="77777777" w:rsidR="00245921" w:rsidRPr="008F03E5" w:rsidRDefault="00245921" w:rsidP="00E92959">
      <w:pPr>
        <w:pStyle w:val="Translit"/>
      </w:pPr>
      <w:r w:rsidRPr="008F03E5">
        <w:t>Latafa</w:t>
      </w:r>
      <w:r w:rsidRPr="008F03E5">
        <w:tab/>
        <w:t>Laṭáfa[h</w:t>
      </w:r>
      <w:r>
        <w:t xml:space="preserve"> or t</w:t>
      </w:r>
      <w:r w:rsidRPr="008F03E5">
        <w:t>]</w:t>
      </w:r>
      <w:r w:rsidRPr="008F03E5">
        <w:tab/>
        <w:t>thinness fineness, delicateness; gracefulness, loveliness, charm; kindness, benevolence; friendliness; politeness, esprit, intellectual refinement, sophistication; suavity, urbaneness</w:t>
      </w:r>
    </w:p>
    <w:p w14:paraId="46FCAAFA" w14:textId="77777777" w:rsidR="00245921" w:rsidRPr="008F03E5" w:rsidRDefault="00245921" w:rsidP="00B006F9">
      <w:pPr>
        <w:pStyle w:val="Translit"/>
      </w:pPr>
      <w:r w:rsidRPr="008F03E5">
        <w:t>Latafa, lutf, Altaf</w:t>
      </w:r>
      <w:r w:rsidRPr="008F03E5">
        <w:tab/>
        <w:t>Laṭafa, Luṭf, pl. Alṭáf</w:t>
      </w:r>
      <w:r w:rsidRPr="008F03E5">
        <w:tab/>
        <w:t>to be kind and friendly;—pl. benefits, favours; kindnesses</w:t>
      </w:r>
    </w:p>
    <w:p w14:paraId="663822EB" w14:textId="77777777" w:rsidR="00245921" w:rsidRPr="008F03E5" w:rsidRDefault="00245921" w:rsidP="00560605">
      <w:pPr>
        <w:pStyle w:val="Translit"/>
      </w:pPr>
      <w:r w:rsidRPr="008F03E5">
        <w:t>Latif, Litaf, Lutafa’</w:t>
      </w:r>
      <w:r w:rsidRPr="008F03E5">
        <w:tab/>
        <w:t>Laṭíf, pl. Liṭáf, Luṭafá‘</w:t>
      </w:r>
      <w:r w:rsidRPr="008F03E5">
        <w:tab/>
        <w:t>thin; fine; delicate, dainty; little, small, insignificant; gentle, soft, light, mild; pleasant, agreeable; amiable, friendly, kind, nice; civil, courteous, polite; affable, genial; pretty, charming, lovely, graceful; intellectually refined, full of esprit, brilliant, witty; elegant; al-Laṭíf the Kind (one of the attributes of God)</w:t>
      </w:r>
    </w:p>
    <w:p w14:paraId="12A07301" w14:textId="77777777" w:rsidR="00245921" w:rsidRPr="008F03E5" w:rsidRDefault="00245921" w:rsidP="00294073">
      <w:pPr>
        <w:pStyle w:val="Translit"/>
      </w:pPr>
      <w:r w:rsidRPr="008F03E5">
        <w:t>Latifa (Latifih), Lata’if</w:t>
      </w:r>
      <w:r w:rsidRPr="008F03E5">
        <w:tab/>
        <w:t>Laṭífa[h or t], pl. Laṭá’if</w:t>
      </w:r>
      <w:r w:rsidRPr="008F03E5">
        <w:tab/>
        <w:t>(fem. Laṭíf) witticism, quip; joke, jest; subtlety, nicety.  Name given to Helen Hotchkiss Lielnors by ‘Abdu’l-Bahá.</w:t>
      </w:r>
    </w:p>
    <w:p w14:paraId="3068BAD7" w14:textId="77777777" w:rsidR="00245921" w:rsidRPr="008F03E5" w:rsidRDefault="00245921" w:rsidP="00900A82">
      <w:pPr>
        <w:pStyle w:val="Translit"/>
      </w:pPr>
      <w:r w:rsidRPr="008F03E5">
        <w:t>Lavasan</w:t>
      </w:r>
      <w:r w:rsidRPr="008F03E5">
        <w:tab/>
        <w:t>Lavásán</w:t>
      </w:r>
      <w:r w:rsidRPr="008F03E5">
        <w:tab/>
        <w:t xml:space="preserve">affluent town in Shemiranat County, Tehran Province.  23 km </w:t>
      </w:r>
      <w:r w:rsidRPr="008F03E5">
        <w:rPr>
          <w:sz w:val="16"/>
          <w:szCs w:val="16"/>
        </w:rPr>
        <w:t>NE</w:t>
      </w:r>
      <w:r w:rsidRPr="008F03E5">
        <w:t xml:space="preserve"> of the centre of Tehran.</w:t>
      </w:r>
    </w:p>
    <w:p w14:paraId="3CD49CE7" w14:textId="77777777" w:rsidR="00245921" w:rsidRPr="008F03E5" w:rsidRDefault="00245921" w:rsidP="00467F53">
      <w:pPr>
        <w:pStyle w:val="Translit"/>
      </w:pPr>
      <w:r w:rsidRPr="008F03E5">
        <w:t>Law (Lau)</w:t>
      </w:r>
      <w:r w:rsidRPr="008F03E5">
        <w:tab/>
        <w:t>Law</w:t>
      </w:r>
      <w:r w:rsidRPr="008F03E5">
        <w:tab/>
        <w:t>(conjunction) if (as a rule, introducing hypothetical conditional clauses)</w:t>
      </w:r>
    </w:p>
    <w:p w14:paraId="439418BE" w14:textId="77777777" w:rsidR="00245921" w:rsidRPr="008F03E5" w:rsidRDefault="00245921" w:rsidP="00C31478">
      <w:pPr>
        <w:pStyle w:val="Translit"/>
      </w:pPr>
      <w:r w:rsidRPr="008F03E5">
        <w:t>Lawh (Lauh), Alwah (Alavah), Alawih</w:t>
      </w:r>
      <w:r w:rsidRPr="008F03E5">
        <w:tab/>
        <w:t>Lawḥ (Lauḥ), pl. Alwáḥ, Aláwíḥ</w:t>
      </w:r>
      <w:r w:rsidRPr="008F03E5">
        <w:tab/>
        <w:t>(masculine) board, blackboard; slate; tablet, epistle; slab; plate, sheet; pane; plank, board, table; panel; small board, signboard; shoulder blade, scapula</w:t>
      </w:r>
    </w:p>
    <w:p w14:paraId="23860E29" w14:textId="77777777" w:rsidR="00245921" w:rsidRPr="008F03E5" w:rsidRDefault="00245921" w:rsidP="008A5A16">
      <w:pPr>
        <w:pStyle w:val="Translit"/>
      </w:pPr>
      <w:r w:rsidRPr="008F03E5">
        <w:t>Lawh Ahmad</w:t>
      </w:r>
      <w:r w:rsidRPr="008F03E5">
        <w:tab/>
        <w:t>Lawḥ Aḥmad</w:t>
      </w:r>
      <w:r w:rsidRPr="008F03E5">
        <w:tab/>
        <w:t>“Tablet of Aḥmad” in Arabic by Bahá’u’lláh.  Revealed for Aḥmad-i-Yazdí.</w:t>
      </w:r>
    </w:p>
    <w:p w14:paraId="68DA0C44" w14:textId="77777777" w:rsidR="00245921" w:rsidRPr="008F03E5" w:rsidRDefault="00245921" w:rsidP="00E96DD4">
      <w:pPr>
        <w:pStyle w:val="Translit"/>
      </w:pPr>
      <w:r w:rsidRPr="008F03E5">
        <w:t>Lawh al-Ayiy an-Nur</w:t>
      </w:r>
      <w:r w:rsidRPr="008F03E5">
        <w:tab/>
        <w:t>Lawḥ al-Áyiy an-Núr</w:t>
      </w:r>
      <w:r w:rsidRPr="008F03E5">
        <w:tab/>
        <w:t>“Tablet of the Verse of Light” by Bahá’u’lláh in Arabic.  Also known as Tafsír al-Ḥurúfát al-Muqaṭṭa‘ih</w:t>
      </w:r>
    </w:p>
    <w:p w14:paraId="10157096" w14:textId="77777777" w:rsidR="00245921" w:rsidRPr="008F03E5" w:rsidRDefault="00245921" w:rsidP="008063A9">
      <w:pPr>
        <w:pStyle w:val="Translit"/>
      </w:pPr>
      <w:r w:rsidRPr="008F03E5">
        <w:t>Lawh</w:t>
      </w:r>
      <w:r>
        <w:t xml:space="preserve"> al</w:t>
      </w:r>
      <w:r w:rsidRPr="008F03E5">
        <w:t>-Mahfuz</w:t>
      </w:r>
      <w:r>
        <w:t>,</w:t>
      </w:r>
      <w:r w:rsidRPr="008F03E5">
        <w:t xml:space="preserve"> Lawh-i-Mahfuz</w:t>
      </w:r>
      <w:r w:rsidRPr="008F03E5">
        <w:tab/>
      </w:r>
      <w:r>
        <w:t>al-</w:t>
      </w:r>
      <w:r w:rsidRPr="008F03E5">
        <w:t>Lawḥ</w:t>
      </w:r>
      <w:r>
        <w:t xml:space="preserve"> al</w:t>
      </w:r>
      <w:r w:rsidRPr="008F03E5">
        <w:t>-Maḥfúẓ</w:t>
      </w:r>
      <w:r>
        <w:t xml:space="preserve">, Pers. </w:t>
      </w:r>
      <w:r w:rsidRPr="008F03E5">
        <w:t>Lawḥ-i-Maḥfúẓ</w:t>
      </w:r>
      <w:r w:rsidRPr="008F03E5">
        <w:tab/>
        <w:t>Guarded or Preserved Tablet</w:t>
      </w:r>
      <w:r>
        <w:t>, a symbol for the knowledge of God Who “knoweth all things and is known of none”.  Mentioned in Qur’án 85:22.</w:t>
      </w:r>
    </w:p>
    <w:p w14:paraId="218CE2D7" w14:textId="77777777" w:rsidR="00245921" w:rsidRPr="008F03E5" w:rsidRDefault="00245921" w:rsidP="0070104F">
      <w:pPr>
        <w:pStyle w:val="Translit"/>
      </w:pPr>
      <w:r w:rsidRPr="008F03E5">
        <w:t>Lawh a</w:t>
      </w:r>
      <w:r>
        <w:t>z</w:t>
      </w:r>
      <w:r w:rsidRPr="008F03E5">
        <w:t>-Ziyara li-Tumas Brikwul</w:t>
      </w:r>
      <w:r w:rsidRPr="008F03E5">
        <w:tab/>
        <w:t>Lawh a</w:t>
      </w:r>
      <w:r>
        <w:t>z</w:t>
      </w:r>
      <w:r w:rsidRPr="008F03E5">
        <w:t>-Ziyara li-Tumás Bríkwúl</w:t>
      </w:r>
      <w:r w:rsidRPr="008F03E5">
        <w:rPr>
          <w:rtl/>
        </w:rPr>
        <w:tab/>
      </w:r>
      <w:r w:rsidRPr="008F03E5">
        <w:t>“Tablet of Visitation for Thomas Breakwell” by ‘Abdu’l-Bahá.  The first English Bahá’í.  Thomas Breakwell worked in a cotton mill in the south of the United States that was buttressed by child labour.  ‘Abdu’l-Bahá advised him to resign.  He did.  He returned to Paris from ‘Akká and made it his home.</w:t>
      </w:r>
    </w:p>
    <w:p w14:paraId="34E71C5C" w14:textId="77777777" w:rsidR="00245921" w:rsidRPr="008F03E5" w:rsidRDefault="00245921" w:rsidP="003E0566">
      <w:pPr>
        <w:pStyle w:val="Translit"/>
      </w:pPr>
      <w:r w:rsidRPr="008F03E5">
        <w:t>Lawh Basit al-Haqiqa</w:t>
      </w:r>
      <w:r w:rsidRPr="008F03E5">
        <w:tab/>
        <w:t>Lawḥ Basíṭ al-Ḥaqíqa</w:t>
      </w:r>
      <w:r w:rsidRPr="008F03E5">
        <w:tab/>
        <w:t>“Tablet of the Uncompounded Reality, of the Ground of Being” by Bahá’u’lláh</w:t>
      </w:r>
    </w:p>
    <w:p w14:paraId="2137CF7D" w14:textId="77777777" w:rsidR="00245921" w:rsidRPr="008F03E5" w:rsidRDefault="00245921" w:rsidP="001B1E8D">
      <w:pPr>
        <w:pStyle w:val="Translit"/>
      </w:pPr>
      <w:r w:rsidRPr="008F03E5">
        <w:t>Lawha (Lauha), Lawhat, Alwah (Alvah)</w:t>
      </w:r>
      <w:r w:rsidRPr="008F03E5">
        <w:tab/>
        <w:t>Lawḥa[h or t], pl. Lawḥát, Alwáḥ</w:t>
      </w:r>
      <w:r w:rsidRPr="008F03E5">
        <w:tab/>
        <w:t>(fem.) board; blackboard; slate; tablet; slab; plate, sheet; pane; panel; plaque; plane, surface; screen; placard, poster; picture, painting</w:t>
      </w:r>
    </w:p>
    <w:p w14:paraId="751FAE9F" w14:textId="77777777" w:rsidR="00245921" w:rsidRPr="008F03E5" w:rsidRDefault="00245921" w:rsidP="009903B2">
      <w:pPr>
        <w:pStyle w:val="Translit"/>
      </w:pPr>
      <w:r w:rsidRPr="008F03E5">
        <w:t>Lawh-i</w:t>
      </w:r>
      <w:r w:rsidRPr="008F03E5">
        <w:rPr>
          <w:rFonts w:eastAsia="PMingLiU"/>
          <w:lang w:eastAsia="zh-TW"/>
        </w:rPr>
        <w:t>-‘</w:t>
      </w:r>
      <w:r w:rsidRPr="008F03E5">
        <w:t>Abdu’l</w:t>
      </w:r>
      <w:r w:rsidRPr="008F03E5">
        <w:rPr>
          <w:rFonts w:eastAsia="PMingLiU"/>
          <w:lang w:eastAsia="zh-TW"/>
        </w:rPr>
        <w:t>-‘</w:t>
      </w:r>
      <w:r w:rsidRPr="008F03E5">
        <w:t>Aziz-Va-Vukala</w:t>
      </w:r>
      <w:r w:rsidRPr="008F03E5">
        <w:tab/>
        <w:t>Lawḥ-i-‘Abdu’l-‘Azíz-Va-Vukalá</w:t>
      </w:r>
      <w:r w:rsidRPr="008F03E5">
        <w:tab/>
        <w:t>“Tablet to ‘Abdu’l-‘Azíz and ministers” by Bahá’u’lláh</w:t>
      </w:r>
    </w:p>
    <w:p w14:paraId="5B7AFD26" w14:textId="77777777" w:rsidR="00245921" w:rsidRPr="008F03E5" w:rsidRDefault="00245921" w:rsidP="00900A82">
      <w:pPr>
        <w:pStyle w:val="Translit"/>
      </w:pPr>
      <w:r w:rsidRPr="008F03E5">
        <w:t>Lawh-i</w:t>
      </w:r>
      <w:r w:rsidRPr="008F03E5">
        <w:rPr>
          <w:rFonts w:eastAsia="PMingLiU"/>
          <w:lang w:eastAsia="zh-TW"/>
        </w:rPr>
        <w:t>-‘</w:t>
      </w:r>
      <w:r w:rsidRPr="008F03E5">
        <w:t>Abdu’l-Vahhab</w:t>
      </w:r>
      <w:r w:rsidRPr="008F03E5">
        <w:tab/>
        <w:t>Lawḥ-i-‘Abdu’l-Vahháb</w:t>
      </w:r>
      <w:r w:rsidRPr="008F03E5">
        <w:tab/>
        <w:t>“Tablet to ‘Abdu’l-Vahháb” by Bahá’u’lláh</w:t>
      </w:r>
    </w:p>
    <w:p w14:paraId="184E9085" w14:textId="77777777" w:rsidR="00245921" w:rsidRPr="008F03E5" w:rsidRDefault="00245921" w:rsidP="00900A82">
      <w:pPr>
        <w:pStyle w:val="Translit"/>
      </w:pPr>
      <w:r w:rsidRPr="008F03E5">
        <w:t>Lawh-i</w:t>
      </w:r>
      <w:r w:rsidRPr="008F03E5">
        <w:rPr>
          <w:rFonts w:eastAsia="PMingLiU"/>
          <w:lang w:eastAsia="zh-TW"/>
        </w:rPr>
        <w:t>-‘</w:t>
      </w:r>
      <w:r w:rsidRPr="008F03E5">
        <w:t>Abdu’r-Razzaq</w:t>
      </w:r>
      <w:r w:rsidRPr="008F03E5">
        <w:tab/>
        <w:t>Lawḥ-i-‘Abdu’r-Razzáq</w:t>
      </w:r>
      <w:r w:rsidRPr="008F03E5">
        <w:tab/>
        <w:t>“Tablet to ‘Abdu’r-Razzáq” by Bahá’u’lláh</w:t>
      </w:r>
    </w:p>
    <w:p w14:paraId="190AFF82" w14:textId="77777777" w:rsidR="00245921" w:rsidRPr="008F03E5" w:rsidRDefault="00245921" w:rsidP="002F72B7">
      <w:pPr>
        <w:pStyle w:val="Translit"/>
      </w:pPr>
      <w:r w:rsidRPr="008F03E5">
        <w:t>Lawh-i</w:t>
      </w:r>
      <w:r w:rsidRPr="008F03E5">
        <w:rPr>
          <w:rFonts w:eastAsia="PMingLiU"/>
          <w:lang w:eastAsia="zh-TW"/>
        </w:rPr>
        <w:t>-‘</w:t>
      </w:r>
      <w:r w:rsidRPr="008F03E5">
        <w:t>Ahd va Mithaq</w:t>
      </w:r>
      <w:r w:rsidRPr="008F03E5">
        <w:tab/>
        <w:t>Lawḥ-i-‘Ahd va Mi</w:t>
      </w:r>
      <w:r w:rsidRPr="008F03E5">
        <w:rPr>
          <w:u w:val="single"/>
        </w:rPr>
        <w:t>th</w:t>
      </w:r>
      <w:r w:rsidRPr="008F03E5">
        <w:t>áq (Imríká)</w:t>
      </w:r>
      <w:r w:rsidRPr="008F03E5">
        <w:tab/>
        <w:t>“Will and Testament” by ‘Abdu’l-Bahá</w:t>
      </w:r>
    </w:p>
    <w:p w14:paraId="55F8D2C0" w14:textId="77777777" w:rsidR="00245921" w:rsidRPr="008F03E5" w:rsidRDefault="00245921" w:rsidP="00900A82">
      <w:pPr>
        <w:pStyle w:val="Translit"/>
      </w:pPr>
      <w:r w:rsidRPr="008F03E5">
        <w:t>Lawh-i</w:t>
      </w:r>
      <w:r w:rsidRPr="008F03E5">
        <w:rPr>
          <w:rFonts w:eastAsia="PMingLiU"/>
          <w:lang w:eastAsia="zh-TW"/>
        </w:rPr>
        <w:t>-‘</w:t>
      </w:r>
      <w:r w:rsidRPr="008F03E5">
        <w:t>Ammih</w:t>
      </w:r>
      <w:r w:rsidRPr="008F03E5">
        <w:tab/>
        <w:t>Lawḥ-i-‘Ammih</w:t>
      </w:r>
      <w:r w:rsidRPr="008F03E5">
        <w:tab/>
        <w:t>“Tablet to the Aunt” by ‘Abdu’l-Bahá</w:t>
      </w:r>
    </w:p>
    <w:p w14:paraId="45B9F640" w14:textId="77777777" w:rsidR="00245921" w:rsidRPr="008F03E5" w:rsidRDefault="00245921" w:rsidP="00F55A4A">
      <w:pPr>
        <w:pStyle w:val="Translit"/>
      </w:pPr>
      <w:r w:rsidRPr="008F03E5">
        <w:t>Lawh-i-‘Ashiq va Ma‘shuq</w:t>
      </w:r>
      <w:r w:rsidRPr="008F03E5">
        <w:tab/>
        <w:t>Lawḥ-i-‘Á</w:t>
      </w:r>
      <w:r w:rsidRPr="008F03E5">
        <w:rPr>
          <w:u w:val="single"/>
        </w:rPr>
        <w:t>sh</w:t>
      </w:r>
      <w:r w:rsidRPr="008F03E5">
        <w:t>iq va Ma‘</w:t>
      </w:r>
      <w:r w:rsidRPr="008F03E5">
        <w:rPr>
          <w:u w:val="single"/>
        </w:rPr>
        <w:t>sh</w:t>
      </w:r>
      <w:r w:rsidRPr="008F03E5">
        <w:t>úq</w:t>
      </w:r>
      <w:r w:rsidRPr="008F03E5">
        <w:tab/>
        <w:t>“Tablet of the Lover and the Beloved”, Bahá’u’lláh</w:t>
      </w:r>
    </w:p>
    <w:p w14:paraId="0A28E1AD" w14:textId="77777777" w:rsidR="00245921" w:rsidRPr="008F03E5" w:rsidRDefault="00245921" w:rsidP="00900A82">
      <w:pPr>
        <w:pStyle w:val="Translit"/>
      </w:pPr>
      <w:r w:rsidRPr="008F03E5">
        <w:t>Lawh-i</w:t>
      </w:r>
      <w:r w:rsidRPr="008F03E5">
        <w:rPr>
          <w:rFonts w:eastAsia="PMingLiU"/>
          <w:lang w:eastAsia="zh-TW"/>
        </w:rPr>
        <w:t>-‘</w:t>
      </w:r>
      <w:r w:rsidRPr="008F03E5">
        <w:t>Ashiq-va-Ma’shuq</w:t>
      </w:r>
      <w:r w:rsidRPr="008F03E5">
        <w:tab/>
        <w:t>Lawḥ-i-‘A</w:t>
      </w:r>
      <w:r w:rsidRPr="008F03E5">
        <w:rPr>
          <w:u w:val="single"/>
        </w:rPr>
        <w:t>sh</w:t>
      </w:r>
      <w:r w:rsidRPr="008F03E5">
        <w:t>iq-va-Ma‘</w:t>
      </w:r>
      <w:r w:rsidRPr="008F03E5">
        <w:rPr>
          <w:u w:val="single"/>
        </w:rPr>
        <w:t>sh</w:t>
      </w:r>
      <w:r w:rsidRPr="008F03E5">
        <w:t>úq</w:t>
      </w:r>
      <w:r w:rsidRPr="008F03E5">
        <w:tab/>
        <w:t>“The Tablet of the Lover and the Beloved” by Bahá’u’lláh</w:t>
      </w:r>
    </w:p>
    <w:p w14:paraId="5D6656F4" w14:textId="77777777" w:rsidR="00245921" w:rsidRPr="008F03E5" w:rsidRDefault="00245921" w:rsidP="0038570C">
      <w:pPr>
        <w:pStyle w:val="Translit"/>
      </w:pPr>
      <w:r w:rsidRPr="008F03E5">
        <w:t>Lawh-i-Aflakiyyih</w:t>
      </w:r>
      <w:r w:rsidRPr="008F03E5">
        <w:tab/>
        <w:t>Lawḥ-i-Aflákiyyih</w:t>
      </w:r>
      <w:r w:rsidRPr="008F03E5">
        <w:tab/>
        <w:t>“Tablet of the universe” by ‘Abdu’l-Bahá (“Aflákíyyih” often used in Bahá’í writings)</w:t>
      </w:r>
    </w:p>
    <w:p w14:paraId="3A22B5D1" w14:textId="77777777" w:rsidR="00245921" w:rsidRPr="008F03E5" w:rsidRDefault="00245921" w:rsidP="00900A82">
      <w:pPr>
        <w:pStyle w:val="Translit"/>
      </w:pPr>
      <w:r w:rsidRPr="008F03E5">
        <w:t>Lawh-i-Ahbab</w:t>
      </w:r>
      <w:r w:rsidRPr="008F03E5">
        <w:tab/>
        <w:t>Lawḥ-i-Aḥbáb</w:t>
      </w:r>
      <w:r w:rsidRPr="008F03E5">
        <w:tab/>
        <w:t>“Tablet for the Friends” by Bahá’u’lláh</w:t>
      </w:r>
    </w:p>
    <w:p w14:paraId="60A5F155" w14:textId="77777777" w:rsidR="00245921" w:rsidRPr="008F03E5" w:rsidRDefault="00245921" w:rsidP="00900A82">
      <w:pPr>
        <w:pStyle w:val="Translit"/>
      </w:pPr>
      <w:r w:rsidRPr="008F03E5">
        <w:t>Lawh-i-Ahmad</w:t>
      </w:r>
      <w:r w:rsidRPr="008F03E5">
        <w:tab/>
        <w:t>Lawḥ-i-Aḥmad</w:t>
      </w:r>
      <w:r w:rsidRPr="008F03E5">
        <w:tab/>
        <w:t>“Tablet of Aḥmad” in Persian by Bahá’u’lláh.  Written in honour of Aḥmad-i-Ká</w:t>
      </w:r>
      <w:r w:rsidRPr="008F03E5">
        <w:rPr>
          <w:u w:val="single"/>
        </w:rPr>
        <w:t>sh</w:t>
      </w:r>
      <w:r w:rsidRPr="008F03E5">
        <w:t>ání.</w:t>
      </w:r>
    </w:p>
    <w:p w14:paraId="592844FC" w14:textId="77777777" w:rsidR="00245921" w:rsidRPr="008F03E5" w:rsidRDefault="00245921" w:rsidP="00900A82">
      <w:pPr>
        <w:pStyle w:val="Translit"/>
      </w:pPr>
      <w:r w:rsidRPr="008F03E5">
        <w:t>Lawh-i-Amr</w:t>
      </w:r>
      <w:r w:rsidRPr="008F03E5">
        <w:tab/>
        <w:t>Lawḥ-i-Amr</w:t>
      </w:r>
      <w:r w:rsidRPr="008F03E5">
        <w:tab/>
        <w:t>“Tablet of the Command” by Bahá’u’lláh</w:t>
      </w:r>
    </w:p>
    <w:p w14:paraId="78EB6217" w14:textId="77777777" w:rsidR="00245921" w:rsidRPr="008F03E5" w:rsidRDefault="00245921" w:rsidP="00900A82">
      <w:pPr>
        <w:pStyle w:val="Translit"/>
      </w:pPr>
      <w:r w:rsidRPr="008F03E5">
        <w:t>Lawh-i-Amvaj</w:t>
      </w:r>
      <w:r w:rsidRPr="008F03E5">
        <w:tab/>
        <w:t>Lawḥ-i-Amváj</w:t>
      </w:r>
      <w:r w:rsidRPr="008F03E5">
        <w:tab/>
        <w:t>“Tablet of the Waves” by Bahá’u’lláh</w:t>
      </w:r>
    </w:p>
    <w:p w14:paraId="791F17CB" w14:textId="77777777" w:rsidR="00245921" w:rsidRPr="008F03E5" w:rsidRDefault="00245921" w:rsidP="00900A82">
      <w:pPr>
        <w:pStyle w:val="Translit"/>
      </w:pPr>
      <w:r w:rsidRPr="008F03E5">
        <w:t>Lawh-i-Anta’l-Kafi</w:t>
      </w:r>
      <w:r w:rsidRPr="008F03E5">
        <w:tab/>
        <w:t>Lawḥ-i-Anta’l-Káfí</w:t>
      </w:r>
      <w:r w:rsidRPr="008F03E5">
        <w:tab/>
        <w:t>“Tablet of ‘Thou the Sufficing’, known as the long healing prayer, Tablet of protection” by Bahá’u’lláh</w:t>
      </w:r>
    </w:p>
    <w:p w14:paraId="38E0C84C" w14:textId="77777777" w:rsidR="00245921" w:rsidRPr="008F03E5" w:rsidRDefault="00245921" w:rsidP="00900A82">
      <w:pPr>
        <w:pStyle w:val="Translit"/>
      </w:pPr>
      <w:r w:rsidRPr="008F03E5">
        <w:t>Lawh-i-Aqdas</w:t>
      </w:r>
      <w:r w:rsidRPr="008F03E5">
        <w:tab/>
        <w:t>Lawḥ-i-Aqdas</w:t>
      </w:r>
      <w:r w:rsidRPr="008F03E5">
        <w:tab/>
        <w:t>“The Most Holy Tablet”, sometimes referred to as ‘Tablet to the Christians’ by Bahá’u’lláh</w:t>
      </w:r>
    </w:p>
    <w:p w14:paraId="2270E7B3" w14:textId="77777777" w:rsidR="00245921" w:rsidRPr="008F03E5" w:rsidRDefault="00245921" w:rsidP="00D41FB5">
      <w:pPr>
        <w:pStyle w:val="Translit"/>
      </w:pPr>
      <w:r w:rsidRPr="008F03E5">
        <w:t>Lawh-i-Ard-i-Ba</w:t>
      </w:r>
      <w:r w:rsidRPr="008F03E5">
        <w:tab/>
        <w:t>Lawḥ-i-Arḍ-i-Bá</w:t>
      </w:r>
      <w:r w:rsidRPr="008F03E5">
        <w:tab/>
        <w:t>“Tablet of the Land of Bá” by Bahá’u’lláh.  Tablet sent to ‘Abdu’l-Bahá while visiting Beirut (“Land of Bá”) 1–17 June 1880.</w:t>
      </w:r>
    </w:p>
    <w:p w14:paraId="60757A91" w14:textId="77777777" w:rsidR="00245921" w:rsidRPr="008F03E5" w:rsidRDefault="00245921" w:rsidP="00900A82">
      <w:pPr>
        <w:pStyle w:val="Translit"/>
      </w:pPr>
      <w:r w:rsidRPr="008F03E5">
        <w:t>Lawh-i-Ashraf</w:t>
      </w:r>
      <w:r w:rsidRPr="008F03E5">
        <w:tab/>
        <w:t>Lawḥ-i-A</w:t>
      </w:r>
      <w:r w:rsidRPr="008F03E5">
        <w:rPr>
          <w:u w:val="single"/>
        </w:rPr>
        <w:t>sh</w:t>
      </w:r>
      <w:r w:rsidRPr="008F03E5">
        <w:t>raf</w:t>
      </w:r>
      <w:r w:rsidRPr="008F03E5">
        <w:tab/>
        <w:t>“Tablet for Ashraf (the Noble)” by Bahá’u’lláh</w:t>
      </w:r>
    </w:p>
    <w:p w14:paraId="15EC03E4" w14:textId="77777777" w:rsidR="00245921" w:rsidRPr="008F03E5" w:rsidRDefault="00245921" w:rsidP="00900A82">
      <w:pPr>
        <w:pStyle w:val="Translit"/>
      </w:pPr>
      <w:r w:rsidRPr="008F03E5">
        <w:t>Lawh-i-Ayat</w:t>
      </w:r>
      <w:r w:rsidRPr="008F03E5">
        <w:tab/>
        <w:t>Lawḥ-i-Áyát</w:t>
      </w:r>
      <w:r w:rsidRPr="008F03E5">
        <w:tab/>
        <w:t>“Tablet of the Verses” by ‘Abdu’l-Bahá</w:t>
      </w:r>
    </w:p>
    <w:p w14:paraId="1A5DF4EF" w14:textId="77777777" w:rsidR="00245921" w:rsidRPr="00031B73" w:rsidRDefault="00245921" w:rsidP="00031B73">
      <w:pPr>
        <w:pStyle w:val="Translit"/>
        <w:rPr>
          <w:lang w:val="en-AU"/>
        </w:rPr>
      </w:pPr>
      <w:r w:rsidRPr="00031B73">
        <w:rPr>
          <w:lang w:val="en-AU"/>
        </w:rPr>
        <w:t>Lawh-i-</w:t>
      </w:r>
      <w:r>
        <w:rPr>
          <w:lang w:val="en-AU"/>
        </w:rPr>
        <w:t>A</w:t>
      </w:r>
      <w:r w:rsidRPr="00031B73">
        <w:rPr>
          <w:lang w:val="en-AU"/>
        </w:rPr>
        <w:t>yiy-i-N</w:t>
      </w:r>
      <w:r>
        <w:rPr>
          <w:lang w:val="en-AU"/>
        </w:rPr>
        <w:t>u</w:t>
      </w:r>
      <w:r w:rsidRPr="00031B73">
        <w:rPr>
          <w:lang w:val="en-AU"/>
        </w:rPr>
        <w:t>r</w:t>
      </w:r>
      <w:r w:rsidRPr="00031B73">
        <w:rPr>
          <w:lang w:val="en-AU"/>
        </w:rPr>
        <w:tab/>
        <w:t>Law</w:t>
      </w:r>
      <w:r w:rsidRPr="00031B73">
        <w:t>ḥ</w:t>
      </w:r>
      <w:r w:rsidRPr="00031B73">
        <w:rPr>
          <w:lang w:val="en-AU"/>
        </w:rPr>
        <w:t>-i-Áyiy-i-Núr</w:t>
      </w:r>
      <w:r w:rsidRPr="00031B73">
        <w:rPr>
          <w:lang w:val="en-AU"/>
        </w:rPr>
        <w:tab/>
      </w:r>
      <w:r>
        <w:rPr>
          <w:lang w:val="en-AU"/>
        </w:rPr>
        <w:t>“</w:t>
      </w:r>
      <w:r w:rsidRPr="00031B73">
        <w:rPr>
          <w:lang w:val="en-AU"/>
        </w:rPr>
        <w:t>Tablet of</w:t>
      </w:r>
      <w:r>
        <w:rPr>
          <w:lang w:val="en-AU"/>
        </w:rPr>
        <w:t xml:space="preserve"> the Light Verse” by Bahá’u’lláh written in response to questions from </w:t>
      </w:r>
      <w:r w:rsidRPr="000771B2">
        <w:t>Mírzá Áqáy-i-Rikáb-Sáz</w:t>
      </w:r>
      <w:r>
        <w:t xml:space="preserve">.  See </w:t>
      </w:r>
      <w:r w:rsidRPr="00031B73">
        <w:t>Qur’án 24:35.  Also known as Tafsír [</w:t>
      </w:r>
      <w:r>
        <w:t>L</w:t>
      </w:r>
      <w:r w:rsidRPr="00031B73">
        <w:t>awḥ-i] Ḥurúfát al-</w:t>
      </w:r>
      <w:r>
        <w:t>M</w:t>
      </w:r>
      <w:r w:rsidRPr="00031B73">
        <w:t>uqaṭṭ</w:t>
      </w:r>
      <w:r>
        <w:t>‘</w:t>
      </w:r>
      <w:r w:rsidRPr="00031B73">
        <w:t>ah</w:t>
      </w:r>
      <w:r>
        <w:t>.</w:t>
      </w:r>
    </w:p>
    <w:p w14:paraId="218A23A8" w14:textId="77777777" w:rsidR="00245921" w:rsidRPr="008F03E5" w:rsidRDefault="00245921" w:rsidP="00900A82">
      <w:pPr>
        <w:pStyle w:val="Translit"/>
      </w:pPr>
      <w:r w:rsidRPr="008F03E5">
        <w:t>Lawh-i-Baha</w:t>
      </w:r>
      <w:r w:rsidRPr="008F03E5">
        <w:tab/>
        <w:t>Lawḥ-i-Bahá</w:t>
      </w:r>
      <w:r w:rsidRPr="008F03E5">
        <w:tab/>
        <w:t>“Tablet of Glory” by Bahá’u’lláh</w:t>
      </w:r>
    </w:p>
    <w:p w14:paraId="4B86ABAA" w14:textId="77777777" w:rsidR="00245921" w:rsidRPr="008F03E5" w:rsidRDefault="00245921" w:rsidP="00900A82">
      <w:pPr>
        <w:pStyle w:val="Translit"/>
      </w:pPr>
      <w:r w:rsidRPr="008F03E5">
        <w:t>Lawh-i-Baqa</w:t>
      </w:r>
      <w:r w:rsidRPr="008F03E5">
        <w:tab/>
        <w:t>Lawḥ-i-Baqá</w:t>
      </w:r>
      <w:r w:rsidRPr="008F03E5">
        <w:tab/>
        <w:t>“Tablet of Eternity” by Bahá’u’lláh</w:t>
      </w:r>
    </w:p>
    <w:p w14:paraId="0874651D" w14:textId="77777777" w:rsidR="00245921" w:rsidRPr="008F03E5" w:rsidRDefault="00245921" w:rsidP="00387641">
      <w:pPr>
        <w:pStyle w:val="Translit"/>
      </w:pPr>
      <w:r w:rsidRPr="008F03E5">
        <w:t>Lawh-i-Bisharat</w:t>
      </w:r>
      <w:r w:rsidRPr="008F03E5">
        <w:tab/>
        <w:t>Lawḥ-i-Bi</w:t>
      </w:r>
      <w:r w:rsidRPr="008F03E5">
        <w:rPr>
          <w:u w:val="single"/>
        </w:rPr>
        <w:t>sh</w:t>
      </w:r>
      <w:r w:rsidRPr="008F03E5">
        <w:t>árát</w:t>
      </w:r>
      <w:r w:rsidRPr="008F03E5">
        <w:tab/>
        <w:t>“Tablet of Glad Tidings” by Bahá’u’lláh</w:t>
      </w:r>
    </w:p>
    <w:p w14:paraId="7457C088" w14:textId="77777777" w:rsidR="00245921" w:rsidRPr="008F03E5" w:rsidRDefault="00245921" w:rsidP="00900A82">
      <w:pPr>
        <w:pStyle w:val="Translit"/>
      </w:pPr>
      <w:r w:rsidRPr="008F03E5">
        <w:t>Lawh-i-Bismilih</w:t>
      </w:r>
      <w:r w:rsidRPr="008F03E5">
        <w:tab/>
        <w:t>Lawḥ-i-Bismilih</w:t>
      </w:r>
      <w:r w:rsidRPr="008F03E5">
        <w:tab/>
        <w:t>“Tablet of ‘In the Name of God’” by Bahá’u’lláh</w:t>
      </w:r>
    </w:p>
    <w:p w14:paraId="658207AE" w14:textId="77777777" w:rsidR="00245921" w:rsidRPr="008F03E5" w:rsidRDefault="00245921" w:rsidP="00900A82">
      <w:pPr>
        <w:pStyle w:val="Translit"/>
      </w:pPr>
      <w:r w:rsidRPr="008F03E5">
        <w:t>Lawh-i-Bulbulu’l-Firaq</w:t>
      </w:r>
      <w:r w:rsidRPr="008F03E5">
        <w:tab/>
        <w:t>Lawḥ-i-Bulbulu’l-Firáq</w:t>
      </w:r>
      <w:r w:rsidRPr="008F03E5">
        <w:tab/>
        <w:t>“Tablet of the Nightingale of Bereavement” by Bahá’u’lláh</w:t>
      </w:r>
    </w:p>
    <w:p w14:paraId="486D9C2A" w14:textId="77777777" w:rsidR="00245921" w:rsidRPr="008F03E5" w:rsidRDefault="00245921" w:rsidP="00900A82">
      <w:pPr>
        <w:pStyle w:val="Translit"/>
      </w:pPr>
      <w:r w:rsidRPr="008F03E5">
        <w:t>Lawh-i-Burhan</w:t>
      </w:r>
      <w:r w:rsidRPr="008F03E5">
        <w:tab/>
        <w:t>Lawḥ-i-Burhán</w:t>
      </w:r>
      <w:r w:rsidRPr="008F03E5">
        <w:tab/>
        <w:t xml:space="preserve">“Tablet of the Proof” by Bahá’u’lláh addressed to </w:t>
      </w:r>
      <w:r w:rsidRPr="008F03E5">
        <w:rPr>
          <w:u w:val="single"/>
        </w:rPr>
        <w:t>Sh</w:t>
      </w:r>
      <w:r w:rsidRPr="008F03E5">
        <w:t>ay</w:t>
      </w:r>
      <w:r w:rsidRPr="008F03E5">
        <w:rPr>
          <w:u w:val="single"/>
        </w:rPr>
        <w:t>kh</w:t>
      </w:r>
      <w:r w:rsidRPr="008F03E5">
        <w:t xml:space="preserve"> Muḥammad Báqir (the “Wolf”)</w:t>
      </w:r>
    </w:p>
    <w:p w14:paraId="300CDE10" w14:textId="77777777" w:rsidR="00245921" w:rsidRPr="008F03E5" w:rsidRDefault="00245921" w:rsidP="00900A82">
      <w:pPr>
        <w:pStyle w:val="Translit"/>
      </w:pPr>
      <w:r w:rsidRPr="008F03E5">
        <w:t>Lawh-i-Dr Forel</w:t>
      </w:r>
      <w:r w:rsidRPr="008F03E5">
        <w:tab/>
        <w:t>Lawḥ-i-Dr Forel</w:t>
      </w:r>
      <w:r w:rsidRPr="008F03E5">
        <w:tab/>
        <w:t>“Tablet to Dr Forel” by ‘Abdu’l-Bahá</w:t>
      </w:r>
    </w:p>
    <w:p w14:paraId="78AFC761" w14:textId="77777777" w:rsidR="00245921" w:rsidRPr="008F03E5" w:rsidRDefault="00245921" w:rsidP="001E7C20">
      <w:pPr>
        <w:pStyle w:val="Translit"/>
      </w:pPr>
      <w:r w:rsidRPr="008F03E5">
        <w:t>Lawh-i-Du-Niday-i-Falah va Najah</w:t>
      </w:r>
      <w:r w:rsidRPr="008F03E5">
        <w:tab/>
        <w:t>Lawḥ-i-Du-Nidáy-i-Faláḥ va Najáḥ</w:t>
      </w:r>
      <w:r w:rsidRPr="008F03E5">
        <w:tab/>
        <w:t>“Tablet of Supplication” by ‘Abdu’l-Bahá.  More literally the Tablet of two Calls (the Báb and Bahá’u’lláh) for salvation and emancipation”</w:t>
      </w:r>
    </w:p>
    <w:p w14:paraId="0A80BD97" w14:textId="77777777" w:rsidR="00245921" w:rsidRPr="008F03E5" w:rsidRDefault="00245921" w:rsidP="007E25AB">
      <w:pPr>
        <w:pStyle w:val="Translit"/>
      </w:pPr>
      <w:r w:rsidRPr="008F03E5">
        <w:t>Lawh-i-Dunya</w:t>
      </w:r>
      <w:r w:rsidRPr="008F03E5">
        <w:tab/>
        <w:t>Lawḥ-i-Dunyá</w:t>
      </w:r>
      <w:r w:rsidRPr="008F03E5">
        <w:tab/>
        <w:t>“Tablet of the World” by Bahá’u’lláh</w:t>
      </w:r>
    </w:p>
    <w:p w14:paraId="07F60C2C" w14:textId="77777777" w:rsidR="00245921" w:rsidRPr="008F03E5" w:rsidRDefault="00245921" w:rsidP="00900A82">
      <w:pPr>
        <w:pStyle w:val="Translit"/>
      </w:pPr>
      <w:r w:rsidRPr="008F03E5">
        <w:t>Lawh-i-Fitnih</w:t>
      </w:r>
      <w:r w:rsidRPr="008F03E5">
        <w:tab/>
        <w:t>Lawḥ-i-Fitnih</w:t>
      </w:r>
      <w:r w:rsidRPr="008F03E5">
        <w:tab/>
        <w:t>“Tablet of the Test” by Bahá’u’lláh</w:t>
      </w:r>
    </w:p>
    <w:p w14:paraId="053D9DF3" w14:textId="77777777" w:rsidR="00245921" w:rsidRPr="008F03E5" w:rsidRDefault="00245921" w:rsidP="009C76DA">
      <w:pPr>
        <w:pStyle w:val="Translit"/>
      </w:pPr>
      <w:r w:rsidRPr="008F03E5">
        <w:t>Lawh-i-Fu’ad</w:t>
      </w:r>
      <w:r w:rsidRPr="008F03E5">
        <w:tab/>
        <w:t>Lawḥ-i-Fu’ád</w:t>
      </w:r>
      <w:r w:rsidRPr="008F03E5">
        <w:tab/>
        <w:t>“Tablet to Fu’ád Pá</w:t>
      </w:r>
      <w:r w:rsidRPr="008F03E5">
        <w:rPr>
          <w:u w:val="single"/>
        </w:rPr>
        <w:t>sh</w:t>
      </w:r>
      <w:r w:rsidRPr="008F03E5">
        <w:t xml:space="preserve">á” by Bahá’u’lláh.  Addressed to </w:t>
      </w:r>
      <w:r w:rsidRPr="008F03E5">
        <w:rPr>
          <w:u w:val="single"/>
        </w:rPr>
        <w:t>Sh</w:t>
      </w:r>
      <w:r w:rsidRPr="008F03E5">
        <w:t>ay</w:t>
      </w:r>
      <w:r w:rsidRPr="008F03E5">
        <w:rPr>
          <w:u w:val="single"/>
        </w:rPr>
        <w:t>kh</w:t>
      </w:r>
      <w:r w:rsidRPr="008F03E5">
        <w:t xml:space="preserve"> Káẓim-i-Samandar of Qazvín, one of the apostles of Bahá</w:t>
      </w:r>
      <w:r>
        <w:t>’</w:t>
      </w:r>
      <w:r w:rsidRPr="008F03E5">
        <w:t>u</w:t>
      </w:r>
      <w:r>
        <w:t>’</w:t>
      </w:r>
      <w:r w:rsidRPr="008F03E5">
        <w:t>lláh.  Its subject, the former Ottoman statesman Fu’ád Pá</w:t>
      </w:r>
      <w:r w:rsidRPr="008F03E5">
        <w:rPr>
          <w:u w:val="single"/>
        </w:rPr>
        <w:t>sh</w:t>
      </w:r>
      <w:r w:rsidRPr="008F03E5">
        <w:t>á, died in France in 1869, the Tablet was revealed soon afterwards.  Tablet begins with the letters “Káf Ẓá’” for Káẓim.</w:t>
      </w:r>
    </w:p>
    <w:p w14:paraId="27E11BF7" w14:textId="77777777" w:rsidR="00245921" w:rsidRPr="008F03E5" w:rsidRDefault="00245921" w:rsidP="00EF7BCA">
      <w:pPr>
        <w:pStyle w:val="Translit"/>
      </w:pPr>
      <w:r w:rsidRPr="008F03E5">
        <w:t>Lawh-i-Ghulamu’l-Khuld</w:t>
      </w:r>
      <w:r w:rsidRPr="008F03E5">
        <w:tab/>
        <w:t>Lawḥ-i-</w:t>
      </w:r>
      <w:r w:rsidRPr="008F03E5">
        <w:rPr>
          <w:u w:val="single"/>
        </w:rPr>
        <w:t>Gh</w:t>
      </w:r>
      <w:r w:rsidRPr="008F03E5">
        <w:t>ulámu’l-</w:t>
      </w:r>
      <w:r w:rsidRPr="008F03E5">
        <w:rPr>
          <w:u w:val="single"/>
        </w:rPr>
        <w:t>Kh</w:t>
      </w:r>
      <w:r w:rsidRPr="008F03E5">
        <w:t>uld</w:t>
      </w:r>
      <w:r w:rsidRPr="008F03E5">
        <w:tab/>
        <w:t xml:space="preserve">“Tablet of the Deathless Youth, Eternal Youth, Youth of Paradise” by Bahá’u’lláh (Ar. Lawḥ </w:t>
      </w:r>
      <w:r w:rsidRPr="008F03E5">
        <w:rPr>
          <w:u w:val="single"/>
        </w:rPr>
        <w:t>Gh</w:t>
      </w:r>
      <w:r w:rsidRPr="008F03E5">
        <w:t>ulám al-</w:t>
      </w:r>
      <w:r w:rsidRPr="008F03E5">
        <w:rPr>
          <w:u w:val="single"/>
        </w:rPr>
        <w:t>Kh</w:t>
      </w:r>
      <w:r w:rsidRPr="008F03E5">
        <w:t>uld)</w:t>
      </w:r>
    </w:p>
    <w:p w14:paraId="01FA9E6A" w14:textId="77777777" w:rsidR="00245921" w:rsidRPr="008F03E5" w:rsidRDefault="00245921" w:rsidP="00900A82">
      <w:pPr>
        <w:pStyle w:val="Translit"/>
      </w:pPr>
      <w:r w:rsidRPr="008F03E5">
        <w:t>Lawh-i-Habib</w:t>
      </w:r>
      <w:r w:rsidRPr="008F03E5">
        <w:tab/>
        <w:t>Lawḥ-i-Ḥabíb</w:t>
      </w:r>
      <w:r w:rsidRPr="008F03E5">
        <w:tab/>
        <w:t>“Tablet of the Beloved” by Bahá’u’lláh</w:t>
      </w:r>
    </w:p>
    <w:p w14:paraId="069BE728" w14:textId="77777777" w:rsidR="00245921" w:rsidRPr="008F03E5" w:rsidRDefault="00245921" w:rsidP="004948A2">
      <w:pPr>
        <w:pStyle w:val="Translit"/>
      </w:pPr>
      <w:r w:rsidRPr="008F03E5">
        <w:t>Lawh-i-Haft Sham’ Wahdat</w:t>
      </w:r>
      <w:r w:rsidRPr="008F03E5">
        <w:tab/>
        <w:t xml:space="preserve">Lawḥ-i-Haft </w:t>
      </w:r>
      <w:r w:rsidRPr="008F03E5">
        <w:rPr>
          <w:u w:val="single"/>
        </w:rPr>
        <w:t>Sh</w:t>
      </w:r>
      <w:r w:rsidRPr="008F03E5">
        <w:t>am‘ Waḥdat</w:t>
      </w:r>
      <w:r w:rsidRPr="008F03E5">
        <w:tab/>
        <w:t>“Tablet of the Seven Candles of Unity” by ‘Abdu’l-Bahá</w:t>
      </w:r>
    </w:p>
    <w:p w14:paraId="25FFA82D" w14:textId="77777777" w:rsidR="00245921" w:rsidRPr="008F03E5" w:rsidRDefault="00245921" w:rsidP="00900A82">
      <w:pPr>
        <w:pStyle w:val="Translit"/>
      </w:pPr>
      <w:r w:rsidRPr="008F03E5">
        <w:t>Lawh-i-Haft-Pursish</w:t>
      </w:r>
      <w:r w:rsidRPr="008F03E5">
        <w:tab/>
        <w:t>Lawḥ-i-Haft-Pursi</w:t>
      </w:r>
      <w:r w:rsidRPr="008F03E5">
        <w:rPr>
          <w:u w:val="single"/>
        </w:rPr>
        <w:t>sh</w:t>
      </w:r>
      <w:r w:rsidRPr="008F03E5">
        <w:tab/>
        <w:t>“Tablet of Seven Questions” by Bahá’u’lláh</w:t>
      </w:r>
    </w:p>
    <w:p w14:paraId="5BE38B20" w14:textId="77777777" w:rsidR="00245921" w:rsidRPr="008F03E5" w:rsidRDefault="00245921" w:rsidP="00900A82">
      <w:pPr>
        <w:pStyle w:val="Translit"/>
      </w:pPr>
      <w:r w:rsidRPr="008F03E5">
        <w:t>Lawh-i-Hajj</w:t>
      </w:r>
      <w:r w:rsidRPr="008F03E5">
        <w:tab/>
        <w:t>Lawḥ-i-Ḥajj</w:t>
      </w:r>
      <w:r w:rsidRPr="008F03E5">
        <w:tab/>
        <w:t>Tablet of Visitation to be recited at Ba</w:t>
      </w:r>
      <w:r w:rsidRPr="008F03E5">
        <w:rPr>
          <w:u w:val="single"/>
        </w:rPr>
        <w:t>gh</w:t>
      </w:r>
      <w:r w:rsidRPr="008F03E5">
        <w:t>dád, by Bahá’u’lláh</w:t>
      </w:r>
    </w:p>
    <w:p w14:paraId="435D3972" w14:textId="77777777" w:rsidR="00245921" w:rsidRPr="008F03E5" w:rsidRDefault="00245921" w:rsidP="00C5685C">
      <w:pPr>
        <w:pStyle w:val="Translit"/>
      </w:pPr>
      <w:r w:rsidRPr="008F03E5">
        <w:t>Lawh-i-Hawdaj</w:t>
      </w:r>
      <w:r w:rsidRPr="008F03E5">
        <w:tab/>
        <w:t>Lawḥ-i-Hawdaj (or Lawḥ-i-Sámṣún)</w:t>
      </w:r>
      <w:r w:rsidRPr="008F03E5">
        <w:tab/>
        <w:t>“Tablet of the Howdah” by Bahá’u’lláh</w:t>
      </w:r>
    </w:p>
    <w:p w14:paraId="6A7196B0" w14:textId="77777777" w:rsidR="00245921" w:rsidRPr="008F03E5" w:rsidRDefault="00245921" w:rsidP="00900A82">
      <w:pPr>
        <w:pStyle w:val="Translit"/>
      </w:pPr>
      <w:r w:rsidRPr="008F03E5">
        <w:t>Lawh-i-Haykal</w:t>
      </w:r>
      <w:r w:rsidRPr="008F03E5">
        <w:tab/>
        <w:t>Lawḥ-i-Haykal</w:t>
      </w:r>
      <w:r w:rsidRPr="008F03E5">
        <w:tab/>
        <w:t>“Tablet of the Temple”, i.e. the body, by Bahá’u’lláh</w:t>
      </w:r>
    </w:p>
    <w:p w14:paraId="22AEDAB2" w14:textId="77777777" w:rsidR="00245921" w:rsidRPr="008F03E5" w:rsidRDefault="00245921" w:rsidP="00900A82">
      <w:pPr>
        <w:pStyle w:val="Translit"/>
      </w:pPr>
      <w:r w:rsidRPr="008F03E5">
        <w:t>Lawh-i-Haykalu’d-Din</w:t>
      </w:r>
      <w:r w:rsidRPr="008F03E5">
        <w:tab/>
        <w:t>Lawḥ-i-Haykalu’d-Dín</w:t>
      </w:r>
      <w:r w:rsidRPr="008F03E5">
        <w:tab/>
        <w:t>“Tablet of the Temple of the Faith” by the Báb</w:t>
      </w:r>
    </w:p>
    <w:p w14:paraId="2908A2B3" w14:textId="77777777" w:rsidR="00245921" w:rsidRPr="008F03E5" w:rsidRDefault="00245921" w:rsidP="00900A82">
      <w:pPr>
        <w:pStyle w:val="Translit"/>
      </w:pPr>
      <w:r w:rsidRPr="008F03E5">
        <w:t>Lawh-i-Hikmat</w:t>
      </w:r>
      <w:r w:rsidRPr="008F03E5">
        <w:tab/>
        <w:t>Lawḥ-i-Ḥikmat</w:t>
      </w:r>
      <w:r w:rsidRPr="008F03E5">
        <w:tab/>
        <w:t>“Tablet of Wisdom” by Bahá’u’lláh</w:t>
      </w:r>
    </w:p>
    <w:p w14:paraId="4B56842B" w14:textId="77777777" w:rsidR="00245921" w:rsidRPr="008F03E5" w:rsidRDefault="00245921" w:rsidP="003504CD">
      <w:pPr>
        <w:pStyle w:val="Translit"/>
      </w:pPr>
      <w:r w:rsidRPr="008F03E5">
        <w:t>Lawh-i-Hirtik</w:t>
      </w:r>
      <w:r w:rsidRPr="008F03E5">
        <w:tab/>
        <w:t>Lawḥ-i-Hirtík</w:t>
      </w:r>
      <w:r w:rsidRPr="008F03E5">
        <w:tab/>
        <w:t>“Tablet to Georg David Hardegg (Hirtík)” by Bahá’u’lláh</w:t>
      </w:r>
    </w:p>
    <w:p w14:paraId="511948FA" w14:textId="77777777" w:rsidR="00245921" w:rsidRPr="008F03E5" w:rsidRDefault="00245921" w:rsidP="00900A82">
      <w:pPr>
        <w:pStyle w:val="Translit"/>
      </w:pPr>
      <w:r w:rsidRPr="008F03E5">
        <w:t>Lawh-i-Hizar Bayti</w:t>
      </w:r>
      <w:r w:rsidRPr="008F03E5">
        <w:tab/>
        <w:t>Lawḥ-i-Hizár Baytí</w:t>
      </w:r>
      <w:r w:rsidRPr="008F03E5">
        <w:tab/>
        <w:t>“Tablet of One Thousand Verses” by ‘Abdu’l-Bahá</w:t>
      </w:r>
    </w:p>
    <w:p w14:paraId="5211731D" w14:textId="77777777" w:rsidR="00245921" w:rsidRPr="008F03E5" w:rsidRDefault="00245921" w:rsidP="00900A82">
      <w:pPr>
        <w:pStyle w:val="Translit"/>
      </w:pPr>
      <w:r w:rsidRPr="008F03E5">
        <w:t>Lawh-i-Huriyyih</w:t>
      </w:r>
      <w:r w:rsidRPr="008F03E5">
        <w:tab/>
        <w:t>Lawḥ-i-Ḥúríyyih</w:t>
      </w:r>
      <w:r w:rsidRPr="008F03E5">
        <w:tab/>
        <w:t>“Tablet of the Maiden” by Bahá’u’lláh</w:t>
      </w:r>
    </w:p>
    <w:p w14:paraId="027A06A4" w14:textId="77777777" w:rsidR="00245921" w:rsidRPr="008F03E5" w:rsidRDefault="00245921" w:rsidP="00900A82">
      <w:pPr>
        <w:pStyle w:val="Translit"/>
      </w:pPr>
      <w:r w:rsidRPr="008F03E5">
        <w:t>Lawh-i-Hurufat</w:t>
      </w:r>
      <w:r w:rsidRPr="008F03E5">
        <w:tab/>
        <w:t>Lawḥ-i-Ḥurúfát</w:t>
      </w:r>
      <w:r w:rsidRPr="008F03E5">
        <w:tab/>
        <w:t>“Tablet of the Letters” by the Báb</w:t>
      </w:r>
    </w:p>
    <w:p w14:paraId="1E5D72A9" w14:textId="77777777" w:rsidR="00245921" w:rsidRPr="008F03E5" w:rsidRDefault="00245921" w:rsidP="00900A82">
      <w:pPr>
        <w:pStyle w:val="Translit"/>
      </w:pPr>
      <w:r w:rsidRPr="008F03E5">
        <w:t>Lawh-i-Husayn</w:t>
      </w:r>
      <w:r w:rsidRPr="008F03E5">
        <w:tab/>
        <w:t>Lawḥ-i-Ḥusayn</w:t>
      </w:r>
      <w:r w:rsidRPr="008F03E5">
        <w:tab/>
        <w:t>by Bahá’u’lláh</w:t>
      </w:r>
    </w:p>
    <w:p w14:paraId="02046FE7" w14:textId="77777777" w:rsidR="00245921" w:rsidRPr="008F03E5" w:rsidRDefault="00245921" w:rsidP="007B0E07">
      <w:pPr>
        <w:pStyle w:val="Translit"/>
      </w:pPr>
      <w:r w:rsidRPr="008F03E5">
        <w:t>Lawh-i-ibn-i-Dhi’b</w:t>
      </w:r>
      <w:r w:rsidRPr="008F03E5">
        <w:tab/>
        <w:t>Lawḥ-i-ibn-i-</w:t>
      </w:r>
      <w:r w:rsidRPr="008F03E5">
        <w:rPr>
          <w:u w:val="single"/>
        </w:rPr>
        <w:t>Dh</w:t>
      </w:r>
      <w:r w:rsidRPr="008F03E5">
        <w:t>i’b</w:t>
      </w:r>
      <w:r w:rsidRPr="008F03E5">
        <w:tab/>
        <w:t>“The Epistle to the Son of the Wolf” by Bahá’u’lláh</w:t>
      </w:r>
    </w:p>
    <w:p w14:paraId="7F45A55D" w14:textId="77777777" w:rsidR="00245921" w:rsidRPr="008F03E5" w:rsidRDefault="00245921" w:rsidP="00387641">
      <w:pPr>
        <w:pStyle w:val="Translit"/>
      </w:pPr>
      <w:r w:rsidRPr="008F03E5">
        <w:t>Lawh-i-Ishraqat</w:t>
      </w:r>
      <w:r w:rsidRPr="008F03E5">
        <w:tab/>
        <w:t>Lawḥ-i-I</w:t>
      </w:r>
      <w:r w:rsidRPr="008F03E5">
        <w:rPr>
          <w:u w:val="single"/>
        </w:rPr>
        <w:t>sh</w:t>
      </w:r>
      <w:r w:rsidRPr="008F03E5">
        <w:t>ráqát</w:t>
      </w:r>
      <w:r w:rsidRPr="008F03E5">
        <w:tab/>
        <w:t>“Tablet of Splendours” by Bahá’u’lláh</w:t>
      </w:r>
    </w:p>
    <w:p w14:paraId="2DE5E6B0" w14:textId="77777777" w:rsidR="00245921" w:rsidRPr="00DB55A9" w:rsidRDefault="00245921" w:rsidP="00DB55A9">
      <w:pPr>
        <w:pStyle w:val="Translit"/>
        <w:rPr>
          <w:lang w:val="en-AU"/>
        </w:rPr>
      </w:pPr>
      <w:r w:rsidRPr="00DB55A9">
        <w:rPr>
          <w:lang w:val="en-AU"/>
        </w:rPr>
        <w:t>Lawh-i-Istintaq</w:t>
      </w:r>
      <w:r w:rsidRPr="00DB55A9">
        <w:rPr>
          <w:lang w:val="en-AU"/>
        </w:rPr>
        <w:tab/>
        <w:t>Lawḥ-i-Isti</w:t>
      </w:r>
      <w:r>
        <w:rPr>
          <w:lang w:val="en-AU"/>
        </w:rPr>
        <w:t>n</w:t>
      </w:r>
      <w:r w:rsidRPr="00DB55A9">
        <w:rPr>
          <w:lang w:val="en-AU"/>
        </w:rPr>
        <w:t>táq</w:t>
      </w:r>
      <w:r w:rsidRPr="00DB55A9">
        <w:rPr>
          <w:lang w:val="en-AU"/>
        </w:rPr>
        <w:tab/>
        <w:t>“Tablet of</w:t>
      </w:r>
      <w:r>
        <w:rPr>
          <w:lang w:val="en-AU"/>
        </w:rPr>
        <w:t xml:space="preserve"> the Interrogation” by Bahá’u’lláh</w:t>
      </w:r>
    </w:p>
    <w:p w14:paraId="67CFA8C1" w14:textId="77777777" w:rsidR="00245921" w:rsidRPr="008F03E5" w:rsidRDefault="00245921" w:rsidP="00900A82">
      <w:pPr>
        <w:pStyle w:val="Translit"/>
      </w:pPr>
      <w:r w:rsidRPr="008F03E5">
        <w:t>Lawh-i-Ittihad</w:t>
      </w:r>
      <w:r w:rsidRPr="008F03E5">
        <w:tab/>
        <w:t>Lawḥ-i-Ittiḥád</w:t>
      </w:r>
      <w:r w:rsidRPr="008F03E5">
        <w:tab/>
        <w:t>“Tablet of Unity” by Bahá’u’lláh</w:t>
      </w:r>
    </w:p>
    <w:p w14:paraId="2489E482" w14:textId="77777777" w:rsidR="00245921" w:rsidRPr="008F03E5" w:rsidRDefault="00245921" w:rsidP="00900A82">
      <w:pPr>
        <w:pStyle w:val="Translit"/>
      </w:pPr>
      <w:r w:rsidRPr="008F03E5">
        <w:t>Lawh-i-Jamal</w:t>
      </w:r>
      <w:r w:rsidRPr="008F03E5">
        <w:tab/>
        <w:t>Lawḥ-i-Jamál</w:t>
      </w:r>
      <w:r w:rsidRPr="008F03E5">
        <w:tab/>
        <w:t>Tablet to Áqá Jamál-i-Burújirdi, “Tablet of Beauty” by Bahá’u’lláh</w:t>
      </w:r>
    </w:p>
    <w:p w14:paraId="59101462" w14:textId="77777777" w:rsidR="00245921" w:rsidRPr="008F03E5" w:rsidRDefault="00245921" w:rsidP="007D4DE7">
      <w:pPr>
        <w:pStyle w:val="Translit"/>
      </w:pPr>
      <w:r w:rsidRPr="008F03E5">
        <w:t>Lawh-i-Karim</w:t>
      </w:r>
      <w:r w:rsidRPr="008F03E5">
        <w:tab/>
        <w:t>Lawḥ-i-Karím</w:t>
      </w:r>
      <w:r w:rsidRPr="008F03E5">
        <w:tab/>
        <w:t>“Tablet for Karím (the Noble)” by Bahá’u’lláh</w:t>
      </w:r>
    </w:p>
    <w:p w14:paraId="58EAE68A" w14:textId="77777777" w:rsidR="00245921" w:rsidRPr="008F03E5" w:rsidRDefault="00245921" w:rsidP="00900A82">
      <w:pPr>
        <w:pStyle w:val="Translit"/>
      </w:pPr>
      <w:r w:rsidRPr="008F03E5">
        <w:t>Lawh-i-Karmil</w:t>
      </w:r>
      <w:r w:rsidRPr="008F03E5">
        <w:tab/>
        <w:t>Lawḥ-i-Karmil</w:t>
      </w:r>
      <w:r w:rsidRPr="008F03E5">
        <w:tab/>
        <w:t>“Tablet of Carmel” by Bahá’u’lláh (1891)</w:t>
      </w:r>
    </w:p>
    <w:p w14:paraId="469B2E66" w14:textId="77777777" w:rsidR="00245921" w:rsidRPr="008F03E5" w:rsidRDefault="00245921" w:rsidP="00900A82">
      <w:pPr>
        <w:pStyle w:val="Translit"/>
      </w:pPr>
      <w:r w:rsidRPr="008F03E5">
        <w:t>Lawh-i-Khurasan</w:t>
      </w:r>
      <w:r w:rsidRPr="008F03E5">
        <w:tab/>
        <w:t>Lawḥ-i-</w:t>
      </w:r>
      <w:r w:rsidRPr="008F03E5">
        <w:rPr>
          <w:u w:val="single"/>
        </w:rPr>
        <w:t>Kh</w:t>
      </w:r>
      <w:r w:rsidRPr="008F03E5">
        <w:t>urásán</w:t>
      </w:r>
      <w:r w:rsidRPr="008F03E5">
        <w:tab/>
        <w:t>by ‘Abdu’l-Bahá</w:t>
      </w:r>
    </w:p>
    <w:p w14:paraId="4A4FD8F8" w14:textId="77777777" w:rsidR="00245921" w:rsidRPr="008F03E5" w:rsidRDefault="00245921" w:rsidP="00900A82">
      <w:pPr>
        <w:pStyle w:val="Translit"/>
      </w:pPr>
      <w:r w:rsidRPr="008F03E5">
        <w:t>Lawh-i-Kullu’t-Ta’am</w:t>
      </w:r>
      <w:r w:rsidRPr="008F03E5">
        <w:tab/>
        <w:t>Lawḥ-i-Kullu’ṭ-Ṭa‘ám</w:t>
      </w:r>
      <w:r w:rsidRPr="008F03E5">
        <w:tab/>
        <w:t>“Tablet of All Food” by Bahá’u’lláh</w:t>
      </w:r>
    </w:p>
    <w:p w14:paraId="74437ABB" w14:textId="77777777" w:rsidR="00245921" w:rsidRPr="008F03E5" w:rsidRDefault="00245921" w:rsidP="00DA53AE">
      <w:pPr>
        <w:pStyle w:val="Translit"/>
      </w:pPr>
      <w:r w:rsidRPr="008F03E5">
        <w:t>Lawh-i-Lahih</w:t>
      </w:r>
      <w:r w:rsidRPr="008F03E5">
        <w:tab/>
        <w:t>Lawḥ-i-Láhih</w:t>
      </w:r>
      <w:r w:rsidRPr="008F03E5">
        <w:tab/>
        <w:t>“Tablet to the Central Organization for a Durable Peace, The Hague” by ‘Abdu’l-Bahá</w:t>
      </w:r>
    </w:p>
    <w:p w14:paraId="5BC85390" w14:textId="77777777" w:rsidR="00245921" w:rsidRPr="008F03E5" w:rsidRDefault="00245921" w:rsidP="00900A82">
      <w:pPr>
        <w:pStyle w:val="Translit"/>
      </w:pPr>
      <w:r w:rsidRPr="008F03E5">
        <w:t>Lawh-i-Laylatu’l-Quds</w:t>
      </w:r>
      <w:r w:rsidRPr="008F03E5">
        <w:tab/>
        <w:t>Lawḥ-i-Laylatu’l-Quds</w:t>
      </w:r>
      <w:r w:rsidRPr="008F03E5">
        <w:tab/>
        <w:t>“Tablet of the Holy (Sacred) Night” by Bahá’u’lláh</w:t>
      </w:r>
    </w:p>
    <w:p w14:paraId="2F3AB047" w14:textId="77777777" w:rsidR="00245921" w:rsidRPr="008F03E5" w:rsidRDefault="00245921" w:rsidP="00900A82">
      <w:pPr>
        <w:pStyle w:val="Translit"/>
      </w:pPr>
      <w:r w:rsidRPr="008F03E5">
        <w:t>Lawh-i-Madinatu’r-Rida</w:t>
      </w:r>
      <w:r w:rsidRPr="008F03E5">
        <w:tab/>
        <w:t>Lawḥ-i-Madínatu’r-Riḍá</w:t>
      </w:r>
      <w:r w:rsidRPr="008F03E5">
        <w:tab/>
        <w:t>“The City of Radiant Acquiescence” by Bahá’u’lláh</w:t>
      </w:r>
    </w:p>
    <w:p w14:paraId="79895C05" w14:textId="77777777" w:rsidR="00245921" w:rsidRPr="008F03E5" w:rsidRDefault="00245921" w:rsidP="00900A82">
      <w:pPr>
        <w:pStyle w:val="Translit"/>
      </w:pPr>
      <w:r w:rsidRPr="008F03E5">
        <w:t>Lawh-i-Madinatu’t-Tawhid</w:t>
      </w:r>
      <w:r w:rsidRPr="008F03E5">
        <w:tab/>
        <w:t>Lawḥ-i-Madínatu’t-Tawḥíd</w:t>
      </w:r>
      <w:r w:rsidRPr="008F03E5">
        <w:tab/>
        <w:t>“Tablet of the City of Unity” by Bahá’u’lláh</w:t>
      </w:r>
    </w:p>
    <w:p w14:paraId="259C2FEB" w14:textId="77777777" w:rsidR="00245921" w:rsidRPr="008F03E5" w:rsidRDefault="00245921" w:rsidP="00357EB3">
      <w:pPr>
        <w:pStyle w:val="Translit"/>
      </w:pPr>
      <w:r w:rsidRPr="008F03E5">
        <w:t>Lawh-i-Mahfil-i-Shawr</w:t>
      </w:r>
      <w:r w:rsidRPr="008F03E5">
        <w:tab/>
        <w:t>Lawḥ-i-Maḥfil-i-</w:t>
      </w:r>
      <w:r w:rsidRPr="008F03E5">
        <w:rPr>
          <w:u w:val="single"/>
        </w:rPr>
        <w:t>Sh</w:t>
      </w:r>
      <w:r w:rsidRPr="008F03E5">
        <w:t>awr</w:t>
      </w:r>
      <w:r w:rsidRPr="008F03E5">
        <w:tab/>
        <w:t>Tablet (or prayer) for spiritual assemblies, regarding gathering and consulting (by ‘Abdu’l-Bahá)</w:t>
      </w:r>
    </w:p>
    <w:p w14:paraId="73E706D6" w14:textId="77777777" w:rsidR="00245921" w:rsidRPr="008F03E5" w:rsidRDefault="00245921" w:rsidP="00B0464D">
      <w:pPr>
        <w:pStyle w:val="Translit"/>
      </w:pPr>
      <w:r w:rsidRPr="008F03E5">
        <w:t>Lawh-i-Malika (Lawh-i-Malikih)</w:t>
      </w:r>
      <w:r w:rsidRPr="008F03E5">
        <w:tab/>
        <w:t>Lawḥ-i-Malika</w:t>
      </w:r>
      <w:r w:rsidRPr="008F03E5">
        <w:tab/>
        <w:t>“Tablet to the Queen” of England (Victoria) by Bahá’u’lláh</w:t>
      </w:r>
    </w:p>
    <w:p w14:paraId="00FE2FFD" w14:textId="77777777" w:rsidR="00245921" w:rsidRPr="008F03E5" w:rsidRDefault="00245921" w:rsidP="00900A82">
      <w:pPr>
        <w:pStyle w:val="Translit"/>
      </w:pPr>
      <w:r w:rsidRPr="008F03E5">
        <w:t>Lawh-i-Malik-i-Rus</w:t>
      </w:r>
      <w:r w:rsidRPr="008F03E5">
        <w:tab/>
        <w:t>Lawḥ-i-Malik-i-Rús</w:t>
      </w:r>
      <w:r w:rsidRPr="008F03E5">
        <w:tab/>
        <w:t xml:space="preserve">“Tablet to the Czar Alexander </w:t>
      </w:r>
      <w:r w:rsidRPr="008F03E5">
        <w:rPr>
          <w:sz w:val="16"/>
          <w:szCs w:val="16"/>
        </w:rPr>
        <w:t>III</w:t>
      </w:r>
      <w:r w:rsidRPr="008F03E5">
        <w:t>” by Bahá’u’lláh</w:t>
      </w:r>
    </w:p>
    <w:p w14:paraId="3283B422" w14:textId="77777777" w:rsidR="00245921" w:rsidRPr="008F03E5" w:rsidRDefault="00245921" w:rsidP="00900A82">
      <w:pPr>
        <w:pStyle w:val="Translit"/>
      </w:pPr>
      <w:r w:rsidRPr="008F03E5">
        <w:t>Lawh-i-Mallahu’l-Quds</w:t>
      </w:r>
      <w:r w:rsidRPr="008F03E5">
        <w:tab/>
        <w:t>Lawḥ-i-Malláḥu’l-Quds</w:t>
      </w:r>
      <w:r w:rsidRPr="008F03E5">
        <w:tab/>
        <w:t>“Tablet of the Holy Mariner” by Bahá’u’lláh</w:t>
      </w:r>
    </w:p>
    <w:p w14:paraId="01A2512D" w14:textId="77777777" w:rsidR="00245921" w:rsidRPr="008F03E5" w:rsidRDefault="00245921" w:rsidP="00900A82">
      <w:pPr>
        <w:pStyle w:val="Translit"/>
      </w:pPr>
      <w:r w:rsidRPr="008F03E5">
        <w:t>Lawh-i-Manikchi-Sahib</w:t>
      </w:r>
      <w:r w:rsidRPr="008F03E5">
        <w:tab/>
        <w:t>Lawḥ-i-Mánik</w:t>
      </w:r>
      <w:r w:rsidRPr="008F03E5">
        <w:rPr>
          <w:u w:val="single"/>
        </w:rPr>
        <w:t>ch</w:t>
      </w:r>
      <w:r w:rsidRPr="008F03E5">
        <w:t>í-Ṣáḥib</w:t>
      </w:r>
      <w:r w:rsidRPr="008F03E5">
        <w:tab/>
        <w:t>“Tablet to Mánik</w:t>
      </w:r>
      <w:r w:rsidRPr="008F03E5">
        <w:rPr>
          <w:u w:val="single"/>
        </w:rPr>
        <w:t>ch</w:t>
      </w:r>
      <w:r w:rsidRPr="008F03E5">
        <w:t>í-Ṣáḥib” by Bahá’u’lláh</w:t>
      </w:r>
    </w:p>
    <w:p w14:paraId="4B10DBA3" w14:textId="77777777" w:rsidR="00245921" w:rsidRPr="008F03E5" w:rsidRDefault="00245921" w:rsidP="00387641">
      <w:pPr>
        <w:pStyle w:val="Translit"/>
      </w:pPr>
      <w:r w:rsidRPr="008F03E5">
        <w:t>Lawh-i-Maqsud</w:t>
      </w:r>
      <w:r w:rsidRPr="008F03E5">
        <w:tab/>
        <w:t>Lawḥ-i-Maqṣúd</w:t>
      </w:r>
      <w:r w:rsidRPr="008F03E5">
        <w:tab/>
        <w:t>“Tablet of Maqṣúd (the Goal, the Desired One)” by Bahá’u’lláh</w:t>
      </w:r>
    </w:p>
    <w:p w14:paraId="60C6EBD2" w14:textId="77777777" w:rsidR="00245921" w:rsidRPr="008F03E5" w:rsidRDefault="00245921" w:rsidP="00856199">
      <w:pPr>
        <w:pStyle w:val="Translit"/>
      </w:pPr>
      <w:r w:rsidRPr="008F03E5">
        <w:t>Lawh-i-Maryam</w:t>
      </w:r>
      <w:r w:rsidRPr="008F03E5">
        <w:tab/>
        <w:t>Lawḥ-i-Maryam</w:t>
      </w:r>
      <w:r w:rsidRPr="008F03E5">
        <w:tab/>
        <w:t>“Tablet to Maryam” by Bahá’u’lláh</w:t>
      </w:r>
    </w:p>
    <w:p w14:paraId="4A51BEB1" w14:textId="77777777" w:rsidR="00245921" w:rsidRPr="008F03E5" w:rsidRDefault="00245921" w:rsidP="00856199">
      <w:pPr>
        <w:pStyle w:val="Translit"/>
      </w:pPr>
      <w:r w:rsidRPr="008F03E5">
        <w:t>Lawh-i-Mawlud</w:t>
      </w:r>
      <w:r w:rsidRPr="008F03E5">
        <w:tab/>
        <w:t>Lawḥ-i-Mawlúd</w:t>
      </w:r>
      <w:r w:rsidRPr="008F03E5">
        <w:tab/>
        <w:t>Tablet for the Birth of the Báb by Bahá’u’lláh</w:t>
      </w:r>
    </w:p>
    <w:p w14:paraId="3D0D5941" w14:textId="77777777" w:rsidR="00245921" w:rsidRPr="008F03E5" w:rsidRDefault="00245921" w:rsidP="00900A82">
      <w:pPr>
        <w:pStyle w:val="Translit"/>
      </w:pPr>
      <w:r w:rsidRPr="008F03E5">
        <w:t>Lawh-i-Mazzah</w:t>
      </w:r>
      <w:r w:rsidRPr="008F03E5">
        <w:tab/>
        <w:t>Lawḥ-i-Mazzaḥ</w:t>
      </w:r>
      <w:r w:rsidRPr="008F03E5">
        <w:tab/>
        <w:t>“Tablet of the Humorist” by Bahá’u’lláh.  Begins:  “Bismilláhi’l-Mazzaḥ …”</w:t>
      </w:r>
    </w:p>
    <w:p w14:paraId="4425DAFE" w14:textId="77777777" w:rsidR="00245921" w:rsidRPr="008F03E5" w:rsidRDefault="00245921" w:rsidP="00900A82">
      <w:pPr>
        <w:pStyle w:val="Translit"/>
      </w:pPr>
      <w:r w:rsidRPr="008F03E5">
        <w:t>Lawh-i-Mubahilih</w:t>
      </w:r>
      <w:r w:rsidRPr="008F03E5">
        <w:tab/>
        <w:t>Lawḥ-i-Mubáhilih</w:t>
      </w:r>
      <w:r w:rsidRPr="008F03E5">
        <w:tab/>
        <w:t>“Tablet of the Confrontation or Execration” by Bahá’u’lláh</w:t>
      </w:r>
    </w:p>
    <w:p w14:paraId="7B4F2DF1" w14:textId="77777777" w:rsidR="00245921" w:rsidRPr="008F03E5" w:rsidRDefault="00245921" w:rsidP="00900A82">
      <w:pPr>
        <w:pStyle w:val="Translit"/>
      </w:pPr>
      <w:r w:rsidRPr="008F03E5">
        <w:t>Lawh-i-Muhabbat</w:t>
      </w:r>
      <w:r w:rsidRPr="008F03E5">
        <w:tab/>
        <w:t>Lawḥ-i-Muḥabbat</w:t>
      </w:r>
      <w:r w:rsidRPr="008F03E5">
        <w:tab/>
        <w:t>“Tablet to Medina” by ‘Abdu’l-Bahá</w:t>
      </w:r>
    </w:p>
    <w:p w14:paraId="27A2776E" w14:textId="77777777" w:rsidR="00245921" w:rsidRPr="008F03E5" w:rsidRDefault="00245921" w:rsidP="0050356B">
      <w:pPr>
        <w:pStyle w:val="Translit"/>
      </w:pPr>
      <w:r w:rsidRPr="008F03E5">
        <w:t>Lawh-i-Napulyun</w:t>
      </w:r>
      <w:r w:rsidRPr="008F03E5">
        <w:tab/>
        <w:t xml:space="preserve">Lawḥ-i-Nápulyún </w:t>
      </w:r>
      <w:r w:rsidRPr="008F03E5">
        <w:rPr>
          <w:sz w:val="16"/>
          <w:szCs w:val="16"/>
        </w:rPr>
        <w:t>I</w:t>
      </w:r>
      <w:r w:rsidRPr="008F03E5">
        <w:t xml:space="preserve"> and </w:t>
      </w:r>
      <w:r w:rsidRPr="008F03E5">
        <w:rPr>
          <w:sz w:val="16"/>
          <w:szCs w:val="16"/>
        </w:rPr>
        <w:t>II</w:t>
      </w:r>
      <w:r w:rsidRPr="008F03E5">
        <w:tab/>
        <w:t xml:space="preserve">“Tablet to Napoleon </w:t>
      </w:r>
      <w:r w:rsidRPr="008F03E5">
        <w:rPr>
          <w:sz w:val="16"/>
          <w:szCs w:val="16"/>
        </w:rPr>
        <w:t>III</w:t>
      </w:r>
      <w:r w:rsidRPr="008F03E5">
        <w:t>” (1868 and 1869) by Bahá’u’lláh.  Can also be written as Lawḥ Málik Bárís.</w:t>
      </w:r>
    </w:p>
    <w:p w14:paraId="1ECC7AA0" w14:textId="77777777" w:rsidR="00245921" w:rsidRPr="008F03E5" w:rsidRDefault="00245921" w:rsidP="00D24510">
      <w:pPr>
        <w:pStyle w:val="Translit"/>
      </w:pPr>
      <w:r w:rsidRPr="008F03E5">
        <w:t>Lawh-i-Naqus</w:t>
      </w:r>
      <w:r w:rsidRPr="008F03E5">
        <w:tab/>
        <w:t>Lawḥ-i-Náqús</w:t>
      </w:r>
      <w:r w:rsidRPr="008F03E5">
        <w:tab/>
        <w:t>“Tablet of the Bell” by Bahá’u’lláh</w:t>
      </w:r>
    </w:p>
    <w:p w14:paraId="2589006D" w14:textId="77777777" w:rsidR="00245921" w:rsidRPr="008F03E5" w:rsidRDefault="00245921" w:rsidP="004918B8">
      <w:pPr>
        <w:pStyle w:val="Translit"/>
      </w:pPr>
      <w:r w:rsidRPr="008F03E5">
        <w:t>Lawh-i-Nasir</w:t>
      </w:r>
      <w:r w:rsidRPr="008F03E5">
        <w:tab/>
        <w:t>Lawḥ-i-Naṣír</w:t>
      </w:r>
      <w:r w:rsidRPr="008F03E5">
        <w:tab/>
        <w:t>Tablet to Ḥájí Muḥammad Naṣír of Qazvín by Bahá’u’lláh</w:t>
      </w:r>
    </w:p>
    <w:p w14:paraId="13E22733" w14:textId="77777777" w:rsidR="00245921" w:rsidRPr="009E20B8" w:rsidRDefault="00245921" w:rsidP="009E20B8">
      <w:pPr>
        <w:pStyle w:val="Translit"/>
        <w:rPr>
          <w:lang w:val="en-AU"/>
        </w:rPr>
      </w:pPr>
      <w:r w:rsidRPr="009E20B8">
        <w:rPr>
          <w:lang w:val="en-AU"/>
        </w:rPr>
        <w:t>Lawh-i-</w:t>
      </w:r>
      <w:r w:rsidRPr="009E20B8">
        <w:rPr>
          <w:rFonts w:eastAsia="PMingLiU"/>
          <w:lang w:val="en-AU" w:eastAsia="zh-TW"/>
        </w:rPr>
        <w:t>Nikah</w:t>
      </w:r>
      <w:r w:rsidRPr="009E20B8">
        <w:rPr>
          <w:lang w:val="en-AU"/>
        </w:rPr>
        <w:tab/>
        <w:t>Lawḥ-i-</w:t>
      </w:r>
      <w:r w:rsidRPr="009E20B8">
        <w:rPr>
          <w:rFonts w:eastAsia="PMingLiU"/>
          <w:lang w:val="en-AU" w:eastAsia="zh-TW"/>
        </w:rPr>
        <w:t>Nikáḥ</w:t>
      </w:r>
      <w:r w:rsidRPr="009E20B8">
        <w:rPr>
          <w:lang w:val="en-AU"/>
        </w:rPr>
        <w:tab/>
        <w:t xml:space="preserve">Tablet on Marriage by </w:t>
      </w:r>
      <w:r>
        <w:rPr>
          <w:lang w:val="en-AU"/>
        </w:rPr>
        <w:t>Bahá’u’lláh</w:t>
      </w:r>
    </w:p>
    <w:p w14:paraId="66067B95" w14:textId="77777777" w:rsidR="00245921" w:rsidRPr="008F03E5" w:rsidRDefault="00245921" w:rsidP="00BB7A57">
      <w:pPr>
        <w:pStyle w:val="Translit"/>
      </w:pPr>
      <w:r w:rsidRPr="008F03E5">
        <w:t>Lawh-i-Nuqtih</w:t>
      </w:r>
      <w:r w:rsidRPr="008F03E5">
        <w:tab/>
        <w:t>Lawḥ-i-Nuqṭih</w:t>
      </w:r>
      <w:r w:rsidRPr="008F03E5">
        <w:tab/>
        <w:t>“Tablet of the Point” by Bahá’u’lláh</w:t>
      </w:r>
    </w:p>
    <w:p w14:paraId="21BFFBD7" w14:textId="77777777" w:rsidR="00245921" w:rsidRPr="008F03E5" w:rsidRDefault="00245921" w:rsidP="00900A82">
      <w:pPr>
        <w:pStyle w:val="Translit"/>
      </w:pPr>
      <w:r w:rsidRPr="008F03E5">
        <w:t>Lawh-i-Pap</w:t>
      </w:r>
      <w:r w:rsidRPr="008F03E5">
        <w:tab/>
        <w:t>Lawḥ-i-Páp</w:t>
      </w:r>
      <w:r w:rsidRPr="008F03E5">
        <w:tab/>
        <w:t xml:space="preserve">“Tablet to the Pope” (Pope Pius </w:t>
      </w:r>
      <w:r w:rsidRPr="008F03E5">
        <w:rPr>
          <w:sz w:val="16"/>
          <w:szCs w:val="16"/>
        </w:rPr>
        <w:t>IX</w:t>
      </w:r>
      <w:r w:rsidRPr="008F03E5">
        <w:t>) by Bahá’u’lláh</w:t>
      </w:r>
    </w:p>
    <w:p w14:paraId="5D2D327B" w14:textId="77777777" w:rsidR="00245921" w:rsidRPr="008F03E5" w:rsidRDefault="00245921" w:rsidP="00900A82">
      <w:pPr>
        <w:pStyle w:val="Translit"/>
      </w:pPr>
      <w:r w:rsidRPr="008F03E5">
        <w:t>Lawh-i-Pisar</w:t>
      </w:r>
      <w:r w:rsidRPr="008F03E5">
        <w:rPr>
          <w:rFonts w:eastAsia="PMingLiU"/>
          <w:lang w:eastAsia="zh-TW"/>
        </w:rPr>
        <w:t>-‘</w:t>
      </w:r>
      <w:r w:rsidRPr="008F03E5">
        <w:t>Amm</w:t>
      </w:r>
      <w:r w:rsidRPr="008F03E5">
        <w:tab/>
        <w:t>Lawḥ-i-Pisar-‘Amm</w:t>
      </w:r>
      <w:r w:rsidRPr="008F03E5">
        <w:tab/>
        <w:t>“Tablet to the Cousin” in honour of Mírzá Hasan-i-Mázindarání by Bahá’u’lláh</w:t>
      </w:r>
    </w:p>
    <w:p w14:paraId="29F68E8C" w14:textId="77777777" w:rsidR="00245921" w:rsidRPr="008F03E5" w:rsidRDefault="00245921" w:rsidP="00991BF4">
      <w:pPr>
        <w:pStyle w:val="Translit"/>
      </w:pPr>
      <w:r w:rsidRPr="008F03E5">
        <w:t>Lawh-i-Qad-Ihtaraqa’l-Mukhlisun</w:t>
      </w:r>
      <w:r w:rsidRPr="008F03E5">
        <w:tab/>
        <w:t>Lawḥ-i-Qad-Iḥtaráqa’l-Mu</w:t>
      </w:r>
      <w:r w:rsidRPr="008F03E5">
        <w:rPr>
          <w:u w:val="single"/>
        </w:rPr>
        <w:t>kh</w:t>
      </w:r>
      <w:r w:rsidRPr="008F03E5">
        <w:t>liṣún</w:t>
      </w:r>
      <w:r w:rsidRPr="008F03E5">
        <w:tab/>
        <w:t>“The Tablet of the Faithful Ones (Mu</w:t>
      </w:r>
      <w:r w:rsidRPr="008F03E5">
        <w:rPr>
          <w:u w:val="single"/>
        </w:rPr>
        <w:t>kh</w:t>
      </w:r>
      <w:r w:rsidRPr="008F03E5">
        <w:t>liṣún) have burned (qad iḥtaráq)”, based on the first line that Shoghi Effendi translated as “… the hearts of the sincere are consumed in the fire of separation.”  Known in English as “The Fire Tablet” (see first and last lines) by Bahá’u’lláh.  See Iḥtiráq</w:t>
      </w:r>
    </w:p>
    <w:p w14:paraId="72C75FFB" w14:textId="77777777" w:rsidR="00245921" w:rsidRPr="008F03E5" w:rsidRDefault="00245921" w:rsidP="00B95C68">
      <w:pPr>
        <w:pStyle w:val="Translit"/>
      </w:pPr>
      <w:r w:rsidRPr="008F03E5">
        <w:t>Lawh-i-Qina’</w:t>
      </w:r>
      <w:r w:rsidRPr="008F03E5">
        <w:tab/>
        <w:t>Lawḥ-i-Qiná‘</w:t>
      </w:r>
      <w:r w:rsidRPr="008F03E5">
        <w:tab/>
        <w:t xml:space="preserve">“Tablet of the Veil” by Bahá’u’lláh.  Addressed primarily to the “third” </w:t>
      </w:r>
      <w:r w:rsidRPr="008F03E5">
        <w:rPr>
          <w:u w:val="single"/>
        </w:rPr>
        <w:t>Sh</w:t>
      </w:r>
      <w:r w:rsidRPr="008F03E5">
        <w:t>ay</w:t>
      </w:r>
      <w:r w:rsidRPr="008F03E5">
        <w:rPr>
          <w:u w:val="single"/>
        </w:rPr>
        <w:t>kh</w:t>
      </w:r>
      <w:r w:rsidRPr="008F03E5">
        <w:t xml:space="preserve">í leader, Ḥájí Mírzá Muḥammad Karím </w:t>
      </w:r>
      <w:r w:rsidRPr="008F03E5">
        <w:rPr>
          <w:u w:val="single"/>
        </w:rPr>
        <w:t>Kh</w:t>
      </w:r>
      <w:r w:rsidRPr="008F03E5">
        <w:t xml:space="preserve">án Kirmání (the first Kirmání </w:t>
      </w:r>
      <w:r w:rsidRPr="008F03E5">
        <w:rPr>
          <w:u w:val="single"/>
        </w:rPr>
        <w:t>Sh</w:t>
      </w:r>
      <w:r w:rsidRPr="008F03E5">
        <w:t>ay</w:t>
      </w:r>
      <w:r w:rsidRPr="008F03E5">
        <w:rPr>
          <w:u w:val="single"/>
        </w:rPr>
        <w:t>kh</w:t>
      </w:r>
      <w:r w:rsidRPr="008F03E5">
        <w:t>í leader). Provisional translation by Adib Masumian.  See Kirmání.</w:t>
      </w:r>
    </w:p>
    <w:p w14:paraId="65BA1931" w14:textId="77777777" w:rsidR="00245921" w:rsidRPr="008F03E5" w:rsidRDefault="00245921" w:rsidP="00900A82">
      <w:pPr>
        <w:pStyle w:val="Translit"/>
      </w:pPr>
      <w:r w:rsidRPr="008F03E5">
        <w:t>Lawh-i-Quds</w:t>
      </w:r>
      <w:r w:rsidRPr="008F03E5">
        <w:tab/>
        <w:t>Lawḥ-i-Quds</w:t>
      </w:r>
      <w:r w:rsidRPr="008F03E5">
        <w:tab/>
        <w:t>“Tablet of Holiness” by Bahá’u’lláh</w:t>
      </w:r>
    </w:p>
    <w:p w14:paraId="2F655421" w14:textId="77777777" w:rsidR="00245921" w:rsidRPr="008F03E5" w:rsidRDefault="00245921" w:rsidP="00900A82">
      <w:pPr>
        <w:pStyle w:val="Translit"/>
      </w:pPr>
      <w:r w:rsidRPr="008F03E5">
        <w:t>Lawh-i-Ra’is</w:t>
      </w:r>
      <w:r w:rsidRPr="008F03E5">
        <w:tab/>
        <w:t>Lawḥ-i-Ra’ís</w:t>
      </w:r>
      <w:r w:rsidRPr="008F03E5">
        <w:tab/>
        <w:t>“Tablet of the Ruler” (Tablet to Mehmed Emin ‘Alí Pá</w:t>
      </w:r>
      <w:r w:rsidRPr="008F03E5">
        <w:rPr>
          <w:u w:val="single"/>
        </w:rPr>
        <w:t>sh</w:t>
      </w:r>
      <w:r w:rsidRPr="008F03E5">
        <w:t>á) by Bahá’u’lláh</w:t>
      </w:r>
    </w:p>
    <w:p w14:paraId="5D593BF8" w14:textId="77777777" w:rsidR="00245921" w:rsidRPr="008F03E5" w:rsidRDefault="00245921" w:rsidP="00900A82">
      <w:pPr>
        <w:pStyle w:val="Translit"/>
      </w:pPr>
      <w:r w:rsidRPr="008F03E5">
        <w:t>Lawh-i-Rafi’</w:t>
      </w:r>
      <w:r w:rsidRPr="008F03E5">
        <w:tab/>
        <w:t>Lawḥ-i-Rafí‘</w:t>
      </w:r>
      <w:r w:rsidRPr="008F03E5">
        <w:tab/>
        <w:t>“Tablet of Elevation” by Bahá’u’lláh</w:t>
      </w:r>
    </w:p>
    <w:p w14:paraId="435E8BF5" w14:textId="77777777" w:rsidR="00245921" w:rsidRPr="008F03E5" w:rsidRDefault="00245921" w:rsidP="00900A82">
      <w:pPr>
        <w:pStyle w:val="Translit"/>
      </w:pPr>
      <w:r w:rsidRPr="008F03E5">
        <w:t>Lawh-i-Raqsha’</w:t>
      </w:r>
      <w:r w:rsidRPr="008F03E5">
        <w:tab/>
        <w:t>Lawḥ-i-Raq</w:t>
      </w:r>
      <w:r w:rsidRPr="008F03E5">
        <w:rPr>
          <w:u w:val="single"/>
        </w:rPr>
        <w:t>sh</w:t>
      </w:r>
      <w:r w:rsidRPr="008F03E5">
        <w:t>á’</w:t>
      </w:r>
      <w:r w:rsidRPr="008F03E5">
        <w:tab/>
        <w:t>“Tablet to the She-Serpent” (Imám-Jum‘ih of Iṣfahán) by Bahá’u’lláh</w:t>
      </w:r>
    </w:p>
    <w:p w14:paraId="1D2C214E" w14:textId="77777777" w:rsidR="00245921" w:rsidRPr="008F03E5" w:rsidRDefault="00245921" w:rsidP="00900A82">
      <w:pPr>
        <w:pStyle w:val="Translit"/>
      </w:pPr>
      <w:r w:rsidRPr="008F03E5">
        <w:t>Lawh-i-Rasul</w:t>
      </w:r>
      <w:r w:rsidRPr="008F03E5">
        <w:tab/>
        <w:t>Lawḥ-i-Rasúl</w:t>
      </w:r>
      <w:r w:rsidRPr="008F03E5">
        <w:tab/>
        <w:t>“Tablet of the Prophet” by Bahá’u’lláh</w:t>
      </w:r>
    </w:p>
    <w:p w14:paraId="41066502" w14:textId="77777777" w:rsidR="00245921" w:rsidRPr="008F03E5" w:rsidRDefault="00245921" w:rsidP="00900A82">
      <w:pPr>
        <w:pStyle w:val="Translit"/>
      </w:pPr>
      <w:r w:rsidRPr="008F03E5">
        <w:t>Lawh-i-Ru’ya</w:t>
      </w:r>
      <w:r w:rsidRPr="008F03E5">
        <w:tab/>
        <w:t>Lawḥ-i-Ru’yá</w:t>
      </w:r>
      <w:r w:rsidRPr="008F03E5">
        <w:tab/>
        <w:t>“Tablet of the Vision” by Bahá’u’lláh</w:t>
      </w:r>
    </w:p>
    <w:p w14:paraId="2D5DD5FE" w14:textId="77777777" w:rsidR="00245921" w:rsidRPr="008F03E5" w:rsidRDefault="00245921" w:rsidP="00900A82">
      <w:pPr>
        <w:pStyle w:val="Translit"/>
      </w:pPr>
      <w:r w:rsidRPr="008F03E5">
        <w:t>Lawh-i-Ruh</w:t>
      </w:r>
      <w:r w:rsidRPr="008F03E5">
        <w:tab/>
        <w:t>Lawḥ-i-Rúḥ</w:t>
      </w:r>
      <w:r w:rsidRPr="008F03E5">
        <w:tab/>
        <w:t>“Tablet of the Spirit” by Bahá’u’lláh</w:t>
      </w:r>
    </w:p>
    <w:p w14:paraId="03E74A11" w14:textId="77777777" w:rsidR="00245921" w:rsidRPr="008F03E5" w:rsidRDefault="00245921" w:rsidP="00900A82">
      <w:pPr>
        <w:pStyle w:val="Translit"/>
      </w:pPr>
      <w:r w:rsidRPr="008F03E5">
        <w:t>Lawh-i-Sahab</w:t>
      </w:r>
      <w:r w:rsidRPr="008F03E5">
        <w:tab/>
        <w:t>Lawḥ-i-Saḥáb</w:t>
      </w:r>
      <w:r w:rsidRPr="008F03E5">
        <w:tab/>
        <w:t>“Tablet of the Cloud” by Bahá’u’lláh</w:t>
      </w:r>
    </w:p>
    <w:p w14:paraId="5B112B04" w14:textId="77777777" w:rsidR="00245921" w:rsidRPr="008F03E5" w:rsidRDefault="00245921" w:rsidP="002D5FDC">
      <w:pPr>
        <w:pStyle w:val="Translit"/>
      </w:pPr>
      <w:r w:rsidRPr="008F03E5">
        <w:rPr>
          <w:lang w:eastAsia="en-US"/>
        </w:rPr>
        <w:t>Lawh-i-Sala</w:t>
      </w:r>
      <w:r>
        <w:rPr>
          <w:lang w:eastAsia="en-US"/>
        </w:rPr>
        <w:t>h</w:t>
      </w:r>
      <w:r w:rsidRPr="008F03E5">
        <w:rPr>
          <w:lang w:eastAsia="en-US"/>
        </w:rPr>
        <w:tab/>
        <w:t>Lawḥ-i-Ṣalá</w:t>
      </w:r>
      <w:r>
        <w:rPr>
          <w:lang w:eastAsia="en-US"/>
        </w:rPr>
        <w:t>h</w:t>
      </w:r>
      <w:r w:rsidRPr="008F03E5">
        <w:rPr>
          <w:lang w:eastAsia="en-US"/>
        </w:rPr>
        <w:tab/>
        <w:t xml:space="preserve">“Tablet of Obligatory Prayer” </w:t>
      </w:r>
      <w:r w:rsidRPr="008F03E5">
        <w:t>by Bahá’u’lláh</w:t>
      </w:r>
    </w:p>
    <w:p w14:paraId="3CAC252D" w14:textId="77777777" w:rsidR="00245921" w:rsidRPr="008F03E5" w:rsidRDefault="00245921" w:rsidP="00900A82">
      <w:pPr>
        <w:pStyle w:val="Translit"/>
      </w:pPr>
      <w:r w:rsidRPr="008F03E5">
        <w:t>Lawh-i-Salman</w:t>
      </w:r>
      <w:r w:rsidRPr="008F03E5">
        <w:tab/>
        <w:t>Lawḥ-i-Salmán</w:t>
      </w:r>
      <w:r w:rsidRPr="008F03E5">
        <w:tab/>
        <w:t xml:space="preserve">“Tablet of Salmán” </w:t>
      </w:r>
      <w:r w:rsidRPr="008F03E5">
        <w:rPr>
          <w:sz w:val="16"/>
          <w:szCs w:val="16"/>
        </w:rPr>
        <w:t>I</w:t>
      </w:r>
      <w:r w:rsidRPr="008F03E5">
        <w:t>–</w:t>
      </w:r>
      <w:r w:rsidRPr="008F03E5">
        <w:rPr>
          <w:sz w:val="16"/>
          <w:szCs w:val="16"/>
        </w:rPr>
        <w:t>III</w:t>
      </w:r>
      <w:r w:rsidRPr="008F03E5">
        <w:t xml:space="preserve"> by Bahá’u’lláh</w:t>
      </w:r>
    </w:p>
    <w:p w14:paraId="331AF854" w14:textId="77777777" w:rsidR="00245921" w:rsidRPr="008F03E5" w:rsidRDefault="00245921" w:rsidP="00900A82">
      <w:pPr>
        <w:pStyle w:val="Translit"/>
      </w:pPr>
      <w:r w:rsidRPr="008F03E5">
        <w:t>Lawh-i-Samsun</w:t>
      </w:r>
      <w:r w:rsidRPr="008F03E5">
        <w:tab/>
        <w:t>Lawḥ-i-Sámsún (or Lawḥ-i-Hawdaj)</w:t>
      </w:r>
      <w:r w:rsidRPr="008F03E5">
        <w:tab/>
        <w:t>“Tablet of Sámsún” by Bahá’u’lláh</w:t>
      </w:r>
    </w:p>
    <w:p w14:paraId="2CB58536" w14:textId="77777777" w:rsidR="00245921" w:rsidRPr="001B72B9" w:rsidRDefault="00245921" w:rsidP="001B72B9">
      <w:pPr>
        <w:pStyle w:val="Translit"/>
      </w:pPr>
      <w:r w:rsidRPr="008F03E5">
        <w:t>Lawh-i-Sa</w:t>
      </w:r>
      <w:r>
        <w:t>rraj</w:t>
      </w:r>
      <w:r w:rsidRPr="008F03E5">
        <w:tab/>
        <w:t>Lawḥ-i-S</w:t>
      </w:r>
      <w:r>
        <w:t>arr</w:t>
      </w:r>
      <w:r w:rsidRPr="008F03E5">
        <w:t>á</w:t>
      </w:r>
      <w:r>
        <w:t>j</w:t>
      </w:r>
      <w:r>
        <w:tab/>
        <w:t>“</w:t>
      </w:r>
      <w:r w:rsidRPr="002C59F6">
        <w:t>Tablet of the Saddler</w:t>
      </w:r>
      <w:r>
        <w:t xml:space="preserve">” </w:t>
      </w:r>
      <w:r w:rsidRPr="008F03E5">
        <w:t>by Bahá’u’lláh</w:t>
      </w:r>
      <w:r>
        <w:t xml:space="preserve"> (a long and fairly weighty tablet) </w:t>
      </w:r>
      <w:r w:rsidRPr="001B72B9">
        <w:t>to ‘Alí Muḥammad Sarráj</w:t>
      </w:r>
      <w:r>
        <w:t>.</w:t>
      </w:r>
    </w:p>
    <w:p w14:paraId="4AC42229" w14:textId="77777777" w:rsidR="00245921" w:rsidRPr="008F03E5" w:rsidRDefault="00245921" w:rsidP="00900A82">
      <w:pPr>
        <w:pStyle w:val="Translit"/>
      </w:pPr>
      <w:r w:rsidRPr="008F03E5">
        <w:t>Lawh-i-Sayyah</w:t>
      </w:r>
      <w:r w:rsidRPr="008F03E5">
        <w:tab/>
        <w:t>Lawḥ-i-Sayyáḥ</w:t>
      </w:r>
      <w:r w:rsidRPr="008F03E5">
        <w:tab/>
        <w:t>“Tablet of Sayyáḥ (the Traveller)” by Bahá’u’lláh</w:t>
      </w:r>
    </w:p>
    <w:p w14:paraId="615F6BEA" w14:textId="77777777" w:rsidR="00245921" w:rsidRPr="008F03E5" w:rsidRDefault="00245921" w:rsidP="00554ACD">
      <w:pPr>
        <w:pStyle w:val="Translit"/>
      </w:pPr>
      <w:r w:rsidRPr="008F03E5">
        <w:t>Lawh-i-Shaykh-Fani</w:t>
      </w:r>
      <w:r w:rsidRPr="008F03E5">
        <w:tab/>
        <w:t>Lawḥ-i-</w:t>
      </w:r>
      <w:r w:rsidRPr="008F03E5">
        <w:rPr>
          <w:u w:val="single"/>
        </w:rPr>
        <w:t>Sh</w:t>
      </w:r>
      <w:r w:rsidRPr="008F03E5">
        <w:t>ay</w:t>
      </w:r>
      <w:r w:rsidRPr="008F03E5">
        <w:rPr>
          <w:u w:val="single"/>
        </w:rPr>
        <w:t>kh</w:t>
      </w:r>
      <w:r w:rsidRPr="008F03E5">
        <w:t>-Fání</w:t>
      </w:r>
      <w:r w:rsidRPr="008F03E5">
        <w:tab/>
        <w:t xml:space="preserve">Tablet to the </w:t>
      </w:r>
      <w:r w:rsidRPr="008F03E5">
        <w:rPr>
          <w:u w:val="single"/>
        </w:rPr>
        <w:t>Sh</w:t>
      </w:r>
      <w:r w:rsidRPr="008F03E5">
        <w:t>ay</w:t>
      </w:r>
      <w:r w:rsidRPr="008F03E5">
        <w:rPr>
          <w:u w:val="single"/>
        </w:rPr>
        <w:t>kh</w:t>
      </w:r>
      <w:r w:rsidRPr="008F03E5">
        <w:t xml:space="preserve"> who has surrendered his will to God by Bahá’u’lláh</w:t>
      </w:r>
    </w:p>
    <w:p w14:paraId="24BBD4DD" w14:textId="77777777" w:rsidR="00245921" w:rsidRPr="008F03E5" w:rsidRDefault="00245921" w:rsidP="00AC66A3">
      <w:pPr>
        <w:pStyle w:val="Translit"/>
      </w:pPr>
      <w:r w:rsidRPr="008F03E5">
        <w:t>Lawh-i-Siyyid-i-Mihdiy-i-Dahaji</w:t>
      </w:r>
      <w:r w:rsidRPr="008F03E5">
        <w:tab/>
        <w:t>Lawḥ-i-Siyyid-i-Mihdíy-i-Dahají</w:t>
      </w:r>
      <w:r w:rsidRPr="008F03E5">
        <w:tab/>
        <w:t>by Bahá’u’lláh.  See Dahají</w:t>
      </w:r>
    </w:p>
    <w:p w14:paraId="54E1E87E" w14:textId="77777777" w:rsidR="00245921" w:rsidRPr="008F03E5" w:rsidRDefault="00245921" w:rsidP="00900A82">
      <w:pPr>
        <w:pStyle w:val="Translit"/>
      </w:pPr>
      <w:r w:rsidRPr="008F03E5">
        <w:t>Lawh-i-Sultan</w:t>
      </w:r>
      <w:r w:rsidRPr="008F03E5">
        <w:tab/>
        <w:t>Lawḥ-i-Sulṭán</w:t>
      </w:r>
      <w:r w:rsidRPr="008F03E5">
        <w:tab/>
        <w:t>“Tablet to the King of Persia” by Bahá’u’lláh</w:t>
      </w:r>
    </w:p>
    <w:p w14:paraId="79A10B2D" w14:textId="77777777" w:rsidR="00245921" w:rsidRPr="008F03E5" w:rsidRDefault="00245921" w:rsidP="00387641">
      <w:pPr>
        <w:pStyle w:val="Translit"/>
      </w:pPr>
      <w:r w:rsidRPr="008F03E5">
        <w:t>Lawh-i-Tajalliyat</w:t>
      </w:r>
      <w:r w:rsidRPr="008F03E5">
        <w:tab/>
        <w:t>Lawḥ-i-Tajallíyát</w:t>
      </w:r>
      <w:r w:rsidRPr="008F03E5">
        <w:tab/>
        <w:t>“Tablet of Effulgences” by Bahá’u’lláh</w:t>
      </w:r>
    </w:p>
    <w:p w14:paraId="3236C2A5" w14:textId="77777777" w:rsidR="00245921" w:rsidRPr="008F03E5" w:rsidRDefault="00245921" w:rsidP="001032E6">
      <w:pPr>
        <w:pStyle w:val="Translit"/>
      </w:pPr>
      <w:r w:rsidRPr="008F03E5">
        <w:t>Lawh-i-Tanzih va Taqdis</w:t>
      </w:r>
      <w:r w:rsidRPr="008F03E5">
        <w:tab/>
        <w:t>Lawḥ-i-Tanzíh va Taqdís</w:t>
      </w:r>
      <w:r w:rsidRPr="008F03E5">
        <w:tab/>
        <w:t>“Tablet of Purity” by ‘Abdu’l-Bahá</w:t>
      </w:r>
    </w:p>
    <w:p w14:paraId="79D6132C" w14:textId="77777777" w:rsidR="00245921" w:rsidRPr="008F03E5" w:rsidRDefault="00245921" w:rsidP="005D3357">
      <w:pPr>
        <w:pStyle w:val="Translit"/>
      </w:pPr>
      <w:r w:rsidRPr="008F03E5">
        <w:t>Lawh-i-Tarazat</w:t>
      </w:r>
      <w:r w:rsidRPr="008F03E5">
        <w:tab/>
        <w:t>Lawḥ-i-Ṭarázát</w:t>
      </w:r>
      <w:r w:rsidRPr="008F03E5">
        <w:tab/>
        <w:t>“Tablet of Ornaments” by Bahá’u’lláh</w:t>
      </w:r>
    </w:p>
    <w:p w14:paraId="24AA7A05" w14:textId="77777777" w:rsidR="00245921" w:rsidRPr="008F03E5" w:rsidRDefault="00245921" w:rsidP="00900A82">
      <w:pPr>
        <w:pStyle w:val="Translit"/>
      </w:pPr>
      <w:r w:rsidRPr="008F03E5">
        <w:t>Lawh-i-Tarbiyat</w:t>
      </w:r>
      <w:r w:rsidRPr="008F03E5">
        <w:tab/>
        <w:t>Lawḥ-i-Tarbíyat</w:t>
      </w:r>
      <w:r w:rsidRPr="008F03E5">
        <w:tab/>
        <w:t>“Tablet of Education” by ‘Abdu’l-Bahá</w:t>
      </w:r>
    </w:p>
    <w:p w14:paraId="3B17CF09" w14:textId="77777777" w:rsidR="00245921" w:rsidRPr="008F03E5" w:rsidRDefault="00245921" w:rsidP="00900A82">
      <w:pPr>
        <w:pStyle w:val="Translit"/>
      </w:pPr>
      <w:r w:rsidRPr="008F03E5">
        <w:t>Lawh-i-Tawhid</w:t>
      </w:r>
      <w:r w:rsidRPr="008F03E5">
        <w:tab/>
        <w:t>Lawḥ-i-Tawḥíd</w:t>
      </w:r>
      <w:r w:rsidRPr="008F03E5">
        <w:tab/>
        <w:t>“Tablet of Unity” by Bahá’u’lláh</w:t>
      </w:r>
    </w:p>
    <w:p w14:paraId="1B6E4F1C" w14:textId="77777777" w:rsidR="00245921" w:rsidRPr="008F03E5" w:rsidRDefault="00245921" w:rsidP="00900A82">
      <w:pPr>
        <w:pStyle w:val="Translit"/>
      </w:pPr>
      <w:r w:rsidRPr="008F03E5">
        <w:t>Lawh-i-Tibb</w:t>
      </w:r>
      <w:r w:rsidRPr="008F03E5">
        <w:tab/>
        <w:t>Lawḥ-i-Ṭibb</w:t>
      </w:r>
      <w:r w:rsidRPr="008F03E5">
        <w:tab/>
        <w:t>“Tablet of Medicine” by Bahá’u’lláh</w:t>
      </w:r>
    </w:p>
    <w:p w14:paraId="71DD998B" w14:textId="77777777" w:rsidR="00245921" w:rsidRPr="008F03E5" w:rsidRDefault="00245921" w:rsidP="00900A82">
      <w:pPr>
        <w:pStyle w:val="Translit"/>
      </w:pPr>
      <w:r w:rsidRPr="008F03E5">
        <w:t>Lawh-i-Tuqa</w:t>
      </w:r>
      <w:r w:rsidRPr="008F03E5">
        <w:tab/>
        <w:t>Lawḥ-i-Tuqá</w:t>
      </w:r>
      <w:r w:rsidRPr="008F03E5">
        <w:tab/>
        <w:t>“Tablet of Virtue” by Bahá’u’lláh  See Lawḥu’t-Tuqá</w:t>
      </w:r>
    </w:p>
    <w:p w14:paraId="5D58686C" w14:textId="77777777" w:rsidR="00245921" w:rsidRPr="008F03E5" w:rsidRDefault="00245921" w:rsidP="009B5F79">
      <w:pPr>
        <w:pStyle w:val="Translit"/>
      </w:pPr>
      <w:r w:rsidRPr="008F03E5">
        <w:t>Lawh-i-Wasiya (Lawh-i-Wasaya)</w:t>
      </w:r>
      <w:r w:rsidRPr="008F03E5">
        <w:tab/>
        <w:t>Lawḥ-i-Waṣíya</w:t>
      </w:r>
      <w:r w:rsidRPr="008F03E5">
        <w:tab/>
        <w:t>untitled brief document by the Báb, the so-called “Tablet of the Will” or the “Will and Testament”, addressed to Mírzá Yaḥyá in which he is “enjoined to promote and protect the Faith and to invite people to follow what has been revealed in the Bayán.” (Research Dept. 28 May 2004)</w:t>
      </w:r>
    </w:p>
    <w:p w14:paraId="23AAEBE6" w14:textId="77777777" w:rsidR="00245921" w:rsidRPr="008F03E5" w:rsidRDefault="00245921" w:rsidP="009B5F79">
      <w:pPr>
        <w:pStyle w:val="Translit"/>
      </w:pPr>
      <w:r w:rsidRPr="008F03E5">
        <w:t>Lawh-i-Yaquti</w:t>
      </w:r>
      <w:r w:rsidRPr="008F03E5">
        <w:tab/>
        <w:t>Lawḥ-i-Yáqútí</w:t>
      </w:r>
      <w:r w:rsidRPr="008F03E5">
        <w:tab/>
        <w:t>“The Ruby Tablet”</w:t>
      </w:r>
    </w:p>
    <w:p w14:paraId="6F28A946" w14:textId="77777777" w:rsidR="00245921" w:rsidRPr="008F03E5" w:rsidRDefault="00245921" w:rsidP="00900A82">
      <w:pPr>
        <w:pStyle w:val="Translit"/>
      </w:pPr>
      <w:r w:rsidRPr="008F03E5">
        <w:t>Lawh-i-Yusuf</w:t>
      </w:r>
      <w:r w:rsidRPr="008F03E5">
        <w:tab/>
        <w:t>Lawḥ-i-Yúsuf</w:t>
      </w:r>
      <w:r w:rsidRPr="008F03E5">
        <w:tab/>
        <w:t>“Tablet of Joseph” by Bahá’u’lláh</w:t>
      </w:r>
    </w:p>
    <w:p w14:paraId="05F2D0A7" w14:textId="77777777" w:rsidR="00245921" w:rsidRPr="008F03E5" w:rsidRDefault="00245921" w:rsidP="00900A82">
      <w:pPr>
        <w:pStyle w:val="Translit"/>
      </w:pPr>
      <w:r w:rsidRPr="008F03E5">
        <w:t>Lawh-i-Zaynu’l-Muqarrabin</w:t>
      </w:r>
      <w:r w:rsidRPr="008F03E5">
        <w:tab/>
        <w:t>Lawḥ-i-Zaynu’l-Muqarrabín</w:t>
      </w:r>
      <w:r w:rsidRPr="008F03E5">
        <w:tab/>
        <w:t>Tablet to Zaynu’l-Muqarrabín by Bahá’u’lláh</w:t>
      </w:r>
    </w:p>
    <w:p w14:paraId="4F3B51A3" w14:textId="77777777" w:rsidR="00245921" w:rsidRPr="008F03E5" w:rsidRDefault="00245921" w:rsidP="00900A82">
      <w:pPr>
        <w:pStyle w:val="Translit"/>
      </w:pPr>
      <w:r w:rsidRPr="008F03E5">
        <w:t>Lawh-i-Ziyarih</w:t>
      </w:r>
      <w:r w:rsidRPr="008F03E5">
        <w:tab/>
        <w:t>Lawḥ-i-Ziyárih</w:t>
      </w:r>
      <w:r w:rsidRPr="008F03E5">
        <w:tab/>
        <w:t>“Tablet of Visitation” by Bahá’u’lláh</w:t>
      </w:r>
    </w:p>
    <w:p w14:paraId="31B7B22F" w14:textId="77777777" w:rsidR="00245921" w:rsidRPr="008F03E5" w:rsidRDefault="00245921" w:rsidP="00DA53AE">
      <w:pPr>
        <w:pStyle w:val="Translit"/>
      </w:pPr>
      <w:r w:rsidRPr="008F03E5">
        <w:t>Lawhu’r-Ridvan</w:t>
      </w:r>
      <w:r w:rsidRPr="008F03E5">
        <w:tab/>
        <w:t>Lawḥu’r-Riḍván</w:t>
      </w:r>
      <w:r w:rsidRPr="008F03E5">
        <w:tab/>
        <w:t>“Tablet of Riḍván” by Bahá’u’lláh</w:t>
      </w:r>
    </w:p>
    <w:p w14:paraId="6F3B71FD" w14:textId="77777777" w:rsidR="00245921" w:rsidRPr="008F03E5" w:rsidRDefault="00245921" w:rsidP="00900A82">
      <w:pPr>
        <w:pStyle w:val="Translit"/>
      </w:pPr>
      <w:r w:rsidRPr="008F03E5">
        <w:t>Lawhu’r-Ruh</w:t>
      </w:r>
      <w:r w:rsidRPr="008F03E5">
        <w:tab/>
        <w:t>Lawḥu’r-Rúḥ</w:t>
      </w:r>
      <w:r w:rsidRPr="008F03E5">
        <w:tab/>
        <w:t>“Tablet of Spirit” by Bahá’u’lláh</w:t>
      </w:r>
    </w:p>
    <w:p w14:paraId="5690EA99" w14:textId="77777777" w:rsidR="00245921" w:rsidRPr="008F03E5" w:rsidRDefault="00245921" w:rsidP="00900A82">
      <w:pPr>
        <w:pStyle w:val="Translit"/>
      </w:pPr>
      <w:r w:rsidRPr="008F03E5">
        <w:t>Lawhu’t-Tuqa</w:t>
      </w:r>
      <w:r w:rsidRPr="008F03E5">
        <w:tab/>
        <w:t>Lawḥu’t-Tuqá</w:t>
      </w:r>
      <w:r w:rsidRPr="008F03E5">
        <w:tab/>
        <w:t>“The Tablet of Piety or the Fear of God” by Bahá’u’lláh</w:t>
      </w:r>
    </w:p>
    <w:p w14:paraId="1084DACF" w14:textId="77777777" w:rsidR="00245921" w:rsidRPr="008F03E5" w:rsidRDefault="00245921" w:rsidP="00E47ECF">
      <w:pPr>
        <w:pStyle w:val="Translit"/>
      </w:pPr>
      <w:r w:rsidRPr="008F03E5">
        <w:t>Lawlaka</w:t>
      </w:r>
      <w:r w:rsidRPr="008F03E5">
        <w:tab/>
        <w:t>Lawláka</w:t>
      </w:r>
      <w:r w:rsidRPr="008F03E5">
        <w:tab/>
        <w:t>Arabic “but for Thee”</w:t>
      </w:r>
    </w:p>
    <w:p w14:paraId="53CAE7E7" w14:textId="77777777" w:rsidR="00245921" w:rsidRPr="008F03E5" w:rsidRDefault="00245921" w:rsidP="002B41E3">
      <w:pPr>
        <w:pStyle w:val="Translit"/>
      </w:pPr>
      <w:r w:rsidRPr="008F03E5">
        <w:t>Lawz (Lauz)</w:t>
      </w:r>
      <w:r w:rsidRPr="008F03E5">
        <w:tab/>
        <w:t>Lawz, pl. Alwáz</w:t>
      </w:r>
      <w:r w:rsidRPr="008F03E5">
        <w:tab/>
        <w:t>fleeing unto, taking refuge; escaping, saving oneself; an almond; a kind of sweetmeat</w:t>
      </w:r>
    </w:p>
    <w:p w14:paraId="2A2F654E" w14:textId="77777777" w:rsidR="00245921" w:rsidRPr="008F03E5" w:rsidRDefault="00245921" w:rsidP="00944C2A">
      <w:pPr>
        <w:pStyle w:val="Translit"/>
      </w:pPr>
      <w:r w:rsidRPr="008F03E5">
        <w:t>Layl (Lail), Layali</w:t>
      </w:r>
      <w:r w:rsidRPr="008F03E5">
        <w:tab/>
        <w:t>Layl, pl. Layálí</w:t>
      </w:r>
      <w:r w:rsidRPr="008F03E5">
        <w:tab/>
        <w:t>(usually masc.) night-time, night (as opposed to nahár daytime);—pl. layálí (Syrian) a certain vocal style; laylan at night</w:t>
      </w:r>
    </w:p>
    <w:p w14:paraId="774E39C0" w14:textId="77777777" w:rsidR="00245921" w:rsidRPr="008F03E5" w:rsidRDefault="00245921" w:rsidP="00C9792D">
      <w:pPr>
        <w:pStyle w:val="Translit"/>
      </w:pPr>
      <w:r w:rsidRPr="008F03E5">
        <w:t>Layla (Laila), Layat, Layalin, Laya’il</w:t>
      </w:r>
      <w:r w:rsidRPr="008F03E5">
        <w:tab/>
        <w:t>Layla[h or t], pl. Laylát, Layálin, Layá’il</w:t>
      </w:r>
      <w:r w:rsidRPr="008F03E5">
        <w:tab/>
        <w:t>(feminine) (“Leila”) night; evening; soirée</w:t>
      </w:r>
    </w:p>
    <w:p w14:paraId="0F0A617B" w14:textId="77777777" w:rsidR="00245921" w:rsidRPr="008F03E5" w:rsidRDefault="00245921" w:rsidP="00F47D3B">
      <w:pPr>
        <w:pStyle w:val="Translit"/>
      </w:pPr>
      <w:r w:rsidRPr="001457C8">
        <w:rPr>
          <w:lang w:val="it-IT"/>
        </w:rPr>
        <w:t>Layla (Laila, Leila), Layali</w:t>
      </w:r>
      <w:r w:rsidRPr="001457C8">
        <w:rPr>
          <w:lang w:val="it-IT"/>
        </w:rPr>
        <w:tab/>
        <w:t xml:space="preserve">Laylá, pl. </w:t>
      </w:r>
      <w:r w:rsidRPr="008F03E5">
        <w:t>Layálí</w:t>
      </w:r>
      <w:r w:rsidRPr="008F03E5">
        <w:tab/>
        <w:t>scent of wine, or the commencement of its intoxicating influence; a female proper name, in particular that of the celebrated mistress of Majnún in a Persian folktale</w:t>
      </w:r>
    </w:p>
    <w:p w14:paraId="1C4A605C" w14:textId="77777777" w:rsidR="00245921" w:rsidRPr="008F03E5" w:rsidRDefault="00245921" w:rsidP="00935ABB">
      <w:pPr>
        <w:pStyle w:val="Translit"/>
      </w:pPr>
      <w:r w:rsidRPr="008F03E5">
        <w:t>Laylat al-Qadr, Laylatu’l-Qadr</w:t>
      </w:r>
      <w:r w:rsidRPr="008F03E5">
        <w:tab/>
        <w:t>Laylat al-Qadr, Pers. Laylatu’l-Qadr</w:t>
      </w:r>
      <w:r w:rsidRPr="008F03E5">
        <w:tab/>
        <w:t>Night of Power.  The night in which, according to sura 97, the Qur’án was revealed, celebrated during the night between the 26th and 27th of Ramaḍán.</w:t>
      </w:r>
    </w:p>
    <w:p w14:paraId="6C5F777F" w14:textId="77777777" w:rsidR="00245921" w:rsidRPr="008F03E5" w:rsidRDefault="00245921" w:rsidP="000A2F70">
      <w:pPr>
        <w:pStyle w:val="Translit"/>
      </w:pPr>
      <w:r w:rsidRPr="008F03E5">
        <w:t>Laylat al-Quds, Laylatu’l-Quds</w:t>
      </w:r>
      <w:r w:rsidRPr="008F03E5">
        <w:tab/>
        <w:t>Laylat al-Quds, Laylatu’l-Quds</w:t>
      </w:r>
      <w:r w:rsidRPr="008F03E5">
        <w:tab/>
        <w:t>“Holy Night”, “Sacred Night”</w:t>
      </w:r>
    </w:p>
    <w:p w14:paraId="25782751" w14:textId="77777777" w:rsidR="00245921" w:rsidRPr="008F03E5" w:rsidRDefault="00245921" w:rsidP="000E2FCD">
      <w:pPr>
        <w:pStyle w:val="Translit"/>
      </w:pPr>
      <w:r w:rsidRPr="008F03E5">
        <w:t>Layli (Laili)</w:t>
      </w:r>
      <w:r w:rsidRPr="008F03E5">
        <w:tab/>
        <w:t>Laylí</w:t>
      </w:r>
      <w:r w:rsidRPr="008F03E5">
        <w:tab/>
        <w:t>nocturnal, nightly; of night, night- (in compounds); evening (adjective).</w:t>
      </w:r>
    </w:p>
    <w:p w14:paraId="0D8922B9" w14:textId="77777777" w:rsidR="00245921" w:rsidRPr="008F03E5" w:rsidRDefault="00245921" w:rsidP="0019122B">
      <w:pPr>
        <w:pStyle w:val="Translit"/>
      </w:pPr>
      <w:r w:rsidRPr="008F03E5">
        <w:t>Laysa (Laisa)</w:t>
      </w:r>
      <w:r w:rsidRPr="008F03E5">
        <w:tab/>
        <w:t>Laysa</w:t>
      </w:r>
      <w:r w:rsidRPr="008F03E5">
        <w:tab/>
        <w:t>there is not; not; except</w:t>
      </w:r>
    </w:p>
    <w:p w14:paraId="6105D3F2" w14:textId="77777777" w:rsidR="00245921" w:rsidRPr="008F03E5" w:rsidRDefault="00245921" w:rsidP="00067F85">
      <w:pPr>
        <w:pStyle w:val="Translit"/>
      </w:pPr>
      <w:r w:rsidRPr="008F03E5">
        <w:t>Lazat, Laz</w:t>
      </w:r>
      <w:r w:rsidRPr="008F03E5">
        <w:tab/>
        <w:t>Lázat, pl. Láz</w:t>
      </w:r>
      <w:r w:rsidRPr="008F03E5">
        <w:tab/>
        <w:t>Pers. a dress of red Chinese silk;—pl. soft, thin silk</w:t>
      </w:r>
    </w:p>
    <w:p w14:paraId="37A0C25B" w14:textId="77777777" w:rsidR="00245921" w:rsidRPr="008F03E5" w:rsidRDefault="00245921" w:rsidP="00E97103">
      <w:pPr>
        <w:pStyle w:val="Translit"/>
      </w:pPr>
      <w:r w:rsidRPr="008F03E5">
        <w:t>li</w:t>
      </w:r>
      <w:r w:rsidRPr="008F03E5">
        <w:tab/>
        <w:t>li</w:t>
      </w:r>
      <w:r w:rsidRPr="008F03E5">
        <w:tab/>
        <w:t>1.  (preposition) for; on behalf of, in favor of; to (of the dative); because of; for the sake of; due to, owing to; for, for the purpose of; at the time of, when, as; by (designating the author or originator).  2.  (conjunction with the subjunctive) that, so that, in order that, in order to</w:t>
      </w:r>
    </w:p>
    <w:p w14:paraId="2D4CF5ED" w14:textId="77777777" w:rsidR="00245921" w:rsidRPr="00077779" w:rsidRDefault="00245921" w:rsidP="00E258AF">
      <w:pPr>
        <w:pStyle w:val="Translit"/>
        <w:rPr>
          <w:lang w:val="es-ES_tradnl"/>
        </w:rPr>
      </w:pPr>
      <w:r w:rsidRPr="00077779">
        <w:rPr>
          <w:lang w:val="es-ES_tradnl"/>
        </w:rPr>
        <w:t>Li</w:t>
      </w:r>
      <w:r w:rsidRPr="00077779">
        <w:rPr>
          <w:lang w:val="es-ES_tradnl"/>
        </w:rPr>
        <w:tab/>
        <w:t>Lí</w:t>
      </w:r>
      <w:r w:rsidRPr="00077779">
        <w:rPr>
          <w:lang w:val="es-ES_tradnl"/>
        </w:rPr>
        <w:tab/>
        <w:t>to me</w:t>
      </w:r>
    </w:p>
    <w:p w14:paraId="7C8348E8" w14:textId="77777777" w:rsidR="00245921" w:rsidRPr="008F03E5" w:rsidRDefault="00245921" w:rsidP="003324A5">
      <w:pPr>
        <w:pStyle w:val="Translit"/>
      </w:pPr>
      <w:r w:rsidRPr="00077779">
        <w:rPr>
          <w:lang w:val="es-ES_tradnl"/>
        </w:rPr>
        <w:t>Libas, Libasal, Albisa</w:t>
      </w:r>
      <w:r w:rsidRPr="00077779">
        <w:rPr>
          <w:lang w:val="es-ES_tradnl"/>
        </w:rPr>
        <w:tab/>
        <w:t xml:space="preserve">Libás, pl. </w:t>
      </w:r>
      <w:r w:rsidRPr="008F03E5">
        <w:t>Libásál, Albisa</w:t>
      </w:r>
      <w:r w:rsidRPr="008F03E5">
        <w:tab/>
        <w:t>clothes, clothing; costume; apparel; garment, robe, dress</w:t>
      </w:r>
    </w:p>
    <w:p w14:paraId="5390D4E1" w14:textId="77777777" w:rsidR="00245921" w:rsidRPr="008F03E5" w:rsidRDefault="00245921" w:rsidP="00C66B5E">
      <w:pPr>
        <w:pStyle w:val="Translit"/>
      </w:pPr>
      <w:r w:rsidRPr="008F03E5">
        <w:t>Libs</w:t>
      </w:r>
      <w:r w:rsidRPr="008F03E5">
        <w:tab/>
        <w:t>Libs</w:t>
      </w:r>
      <w:r w:rsidRPr="008F03E5">
        <w:tab/>
        <w:t xml:space="preserve">a covering, especially that of the </w:t>
      </w:r>
      <w:r w:rsidRPr="008F03E5">
        <w:rPr>
          <w:i/>
          <w:iCs/>
        </w:rPr>
        <w:t>ka‘bah</w:t>
      </w:r>
      <w:r w:rsidRPr="008F03E5">
        <w:t>; the covering of a camel-litter; a kind of dress; the membrane of the brain</w:t>
      </w:r>
    </w:p>
    <w:p w14:paraId="7643AB74" w14:textId="77777777" w:rsidR="00245921" w:rsidRPr="008F03E5" w:rsidRDefault="00245921" w:rsidP="00E97103">
      <w:pPr>
        <w:pStyle w:val="Translit"/>
      </w:pPr>
      <w:r w:rsidRPr="008F03E5">
        <w:t>li-Din Allah, li-Dini’llah</w:t>
      </w:r>
      <w:r w:rsidRPr="008F03E5">
        <w:tab/>
        <w:t>li-Dín Alláh or li-Díni’lláh</w:t>
      </w:r>
      <w:r w:rsidRPr="008F03E5">
        <w:tab/>
        <w:t>religion (or faith) of God</w:t>
      </w:r>
    </w:p>
    <w:p w14:paraId="1D157AAD" w14:textId="77777777" w:rsidR="00245921" w:rsidRPr="008F03E5" w:rsidRDefault="00245921" w:rsidP="00E97103">
      <w:pPr>
        <w:pStyle w:val="Translit"/>
      </w:pPr>
      <w:r w:rsidRPr="008F03E5">
        <w:t>li-Din</w:t>
      </w:r>
      <w:r w:rsidRPr="008F03E5">
        <w:tab/>
        <w:t>li-Dín</w:t>
      </w:r>
      <w:r w:rsidRPr="008F03E5">
        <w:tab/>
        <w:t>of/to God</w:t>
      </w:r>
    </w:p>
    <w:p w14:paraId="5C100A26" w14:textId="77777777" w:rsidR="00245921" w:rsidRPr="00245921" w:rsidRDefault="00245921" w:rsidP="00034967">
      <w:pPr>
        <w:pStyle w:val="Translit"/>
        <w:rPr>
          <w:lang w:val="es-ES_tradnl"/>
        </w:rPr>
      </w:pPr>
      <w:r w:rsidRPr="008F03E5">
        <w:t>Lillah (li-llah)</w:t>
      </w:r>
      <w:r w:rsidRPr="008F03E5">
        <w:tab/>
        <w:t>Lilláh</w:t>
      </w:r>
      <w:r w:rsidRPr="008F03E5">
        <w:tab/>
        <w:t xml:space="preserve">“for/to/towards Alláh”, for the love of God, for God’s sake.  The li- at the beginning is a prepositional prefix.  Morphologically, it would normally be li-Alláh with an abjad value of 96.  Since the á (dagger alif) represents a stressed “a”, and not an alif, the abjad value is 95.  </w:t>
      </w:r>
      <w:r w:rsidRPr="00245921">
        <w:rPr>
          <w:lang w:val="es-ES_tradnl"/>
        </w:rPr>
        <w:t>Compare al-Bayán.</w:t>
      </w:r>
    </w:p>
    <w:p w14:paraId="5D3BCEAA" w14:textId="77777777" w:rsidR="00625A5B" w:rsidRPr="00245921" w:rsidRDefault="00625A5B" w:rsidP="009373F4">
      <w:pPr>
        <w:pStyle w:val="Translit"/>
        <w:rPr>
          <w:lang w:val="es-ES_tradnl"/>
        </w:rPr>
      </w:pPr>
      <w:r w:rsidRPr="00245921">
        <w:rPr>
          <w:lang w:val="es-ES_tradnl"/>
        </w:rPr>
        <w:t>Liman</w:t>
      </w:r>
      <w:r w:rsidRPr="00245921">
        <w:rPr>
          <w:lang w:val="es-ES_tradnl"/>
        </w:rPr>
        <w:tab/>
        <w:t>Límán, pl. Límánát</w:t>
      </w:r>
      <w:r w:rsidRPr="00245921">
        <w:rPr>
          <w:lang w:val="es-ES_tradnl"/>
        </w:rPr>
        <w:tab/>
        <w:t>harbour, port; penitentiary</w:t>
      </w:r>
    </w:p>
    <w:p w14:paraId="5A7425D9" w14:textId="77777777" w:rsidR="00625A5B" w:rsidRPr="008F03E5" w:rsidRDefault="00625A5B" w:rsidP="00D3209B">
      <w:pPr>
        <w:pStyle w:val="Translit"/>
      </w:pPr>
      <w:r w:rsidRPr="00077779">
        <w:t xml:space="preserve">Liqa’ Rabb, </w:t>
      </w:r>
      <w:r w:rsidRPr="00077779">
        <w:rPr>
          <w:lang w:eastAsia="en-US"/>
        </w:rPr>
        <w:t>Liqa-i-Rabb</w:t>
      </w:r>
      <w:r w:rsidRPr="00077779">
        <w:rPr>
          <w:lang w:eastAsia="en-US"/>
        </w:rPr>
        <w:tab/>
      </w:r>
      <w:r w:rsidRPr="00077779">
        <w:t>Liqá’</w:t>
      </w:r>
      <w:r w:rsidRPr="00077779">
        <w:rPr>
          <w:lang w:eastAsia="en-US"/>
        </w:rPr>
        <w:t xml:space="preserve"> Rabb, Pers. </w:t>
      </w:r>
      <w:r w:rsidRPr="008F03E5">
        <w:rPr>
          <w:lang w:eastAsia="en-US"/>
        </w:rPr>
        <w:t>Liqá-i-Rabb</w:t>
      </w:r>
      <w:r w:rsidRPr="008F03E5">
        <w:rPr>
          <w:lang w:eastAsia="en-US"/>
        </w:rPr>
        <w:tab/>
        <w:t>“Visitation of God” on the Day of Qiy</w:t>
      </w:r>
      <w:r w:rsidRPr="008F03E5">
        <w:t>á</w:t>
      </w:r>
      <w:r w:rsidRPr="008F03E5">
        <w:rPr>
          <w:lang w:eastAsia="en-US"/>
        </w:rPr>
        <w:t>mah.  Since God is sanctified from all material existence and He can never be seen by the material eyes, this means seeing and meeting a Manifestation of the Names and attributes of God.</w:t>
      </w:r>
    </w:p>
    <w:p w14:paraId="34DCEAB9" w14:textId="77777777" w:rsidR="00625A5B" w:rsidRPr="008F03E5" w:rsidRDefault="00625A5B" w:rsidP="00867890">
      <w:pPr>
        <w:pStyle w:val="Translit"/>
      </w:pPr>
      <w:r w:rsidRPr="008F03E5">
        <w:t>Liqa’, Liqa’a</w:t>
      </w:r>
      <w:r w:rsidRPr="008F03E5">
        <w:tab/>
        <w:t>Liqá’</w:t>
      </w:r>
      <w:r>
        <w:t xml:space="preserve"> (Pers. </w:t>
      </w:r>
      <w:r w:rsidRPr="008F03E5">
        <w:t>Liqá</w:t>
      </w:r>
      <w:r>
        <w:t>)</w:t>
      </w:r>
      <w:r w:rsidRPr="008F03E5">
        <w:tab/>
        <w:t>encounter</w:t>
      </w:r>
      <w:r>
        <w:t>, battle</w:t>
      </w:r>
      <w:r w:rsidRPr="008F03E5">
        <w:t xml:space="preserve">; meeting; </w:t>
      </w:r>
      <w:r>
        <w:t xml:space="preserve">a visit, </w:t>
      </w:r>
      <w:r w:rsidRPr="008F03E5">
        <w:t>get together</w:t>
      </w:r>
      <w:r>
        <w:t>, interview (modern)</w:t>
      </w:r>
      <w:r w:rsidRPr="008F03E5">
        <w:t>; reunion</w:t>
      </w:r>
      <w:r>
        <w:t>; what meets the eye, hence the Persian meaning of face</w:t>
      </w:r>
      <w:r w:rsidRPr="00AF4D34">
        <w:t>, form, visage, countenance</w:t>
      </w:r>
      <w:r>
        <w:t xml:space="preserve">. </w:t>
      </w:r>
      <w:r w:rsidRPr="008F03E5">
        <w:t xml:space="preserve"> liqá’a (prep</w:t>
      </w:r>
      <w:r>
        <w:t>osition</w:t>
      </w:r>
      <w:r w:rsidRPr="008F03E5">
        <w:t>) in exchange for, in return for, for, on</w:t>
      </w:r>
      <w:r>
        <w:t>.</w:t>
      </w:r>
    </w:p>
    <w:p w14:paraId="1A257C79" w14:textId="77777777" w:rsidR="00625A5B" w:rsidRPr="008F03E5" w:rsidRDefault="00625A5B" w:rsidP="00B006F9">
      <w:pPr>
        <w:pStyle w:val="Translit"/>
      </w:pPr>
      <w:r w:rsidRPr="008F03E5">
        <w:t>Liqa’i</w:t>
      </w:r>
      <w:r w:rsidRPr="008F03E5">
        <w:tab/>
        <w:t>Liqá’í</w:t>
      </w:r>
      <w:r w:rsidRPr="008F03E5">
        <w:tab/>
        <w:t>my meeting</w:t>
      </w:r>
    </w:p>
    <w:p w14:paraId="2B24E974" w14:textId="77777777" w:rsidR="00625A5B" w:rsidRPr="008F03E5" w:rsidRDefault="00625A5B" w:rsidP="007131F0">
      <w:pPr>
        <w:pStyle w:val="Translit"/>
      </w:pPr>
      <w:r w:rsidRPr="008F03E5">
        <w:t>Liqa’iya, (Laqa’iyya, Laqa’iyyih)</w:t>
      </w:r>
      <w:r w:rsidRPr="008F03E5">
        <w:tab/>
        <w:t>Liqá’íya, Pers. Liqá’iyya</w:t>
      </w:r>
      <w:r w:rsidRPr="008F03E5">
        <w:tab/>
        <w:t xml:space="preserve">Liqá’íyyih </w:t>
      </w:r>
      <w:r w:rsidRPr="008F03E5">
        <w:rPr>
          <w:u w:val="single"/>
        </w:rPr>
        <w:t>Kh</w:t>
      </w:r>
      <w:r w:rsidRPr="008F03E5">
        <w:t>ánum, second wife of Mírzá ‘Alí-Muḥammad-i-Varqá.  Name of one of the four daughters of Ibn-i Aṣdaq and Ḍiyá’u’l-Ḥájiyyih.  Pers. “Liqá’iyyih” or “Liqá’íyyih”.</w:t>
      </w:r>
    </w:p>
    <w:p w14:paraId="421CC329" w14:textId="77777777" w:rsidR="00625A5B" w:rsidRDefault="00625A5B" w:rsidP="00867890">
      <w:pPr>
        <w:pStyle w:val="Translit"/>
      </w:pPr>
      <w:r>
        <w:t>L</w:t>
      </w:r>
      <w:r w:rsidRPr="00867890">
        <w:t>iq</w:t>
      </w:r>
      <w:r>
        <w:t>a</w:t>
      </w:r>
      <w:r w:rsidRPr="00867890">
        <w:t>’u</w:t>
      </w:r>
      <w:r w:rsidRPr="00867890">
        <w:rPr>
          <w:rFonts w:eastAsia="Times New Roman"/>
        </w:rPr>
        <w:t>’</w:t>
      </w:r>
      <w:r w:rsidRPr="00867890">
        <w:t>ll</w:t>
      </w:r>
      <w:r>
        <w:t>a</w:t>
      </w:r>
      <w:r w:rsidRPr="00867890">
        <w:t>h</w:t>
      </w:r>
      <w:r>
        <w:t xml:space="preserve"> (La</w:t>
      </w:r>
      <w:r w:rsidRPr="00867890">
        <w:t>q</w:t>
      </w:r>
      <w:r>
        <w:t>a</w:t>
      </w:r>
      <w:r w:rsidRPr="00867890">
        <w:t>’u</w:t>
      </w:r>
      <w:r w:rsidRPr="00867890">
        <w:rPr>
          <w:rFonts w:eastAsia="Times New Roman"/>
        </w:rPr>
        <w:t>’</w:t>
      </w:r>
      <w:r w:rsidRPr="00867890">
        <w:t>ll</w:t>
      </w:r>
      <w:r>
        <w:t>a</w:t>
      </w:r>
      <w:r w:rsidRPr="00867890">
        <w:t>h</w:t>
      </w:r>
      <w:r>
        <w:t>)</w:t>
      </w:r>
      <w:r>
        <w:tab/>
        <w:t>L</w:t>
      </w:r>
      <w:r w:rsidRPr="00867890">
        <w:t>iqá’u</w:t>
      </w:r>
      <w:r w:rsidRPr="00867890">
        <w:rPr>
          <w:rFonts w:eastAsia="Times New Roman"/>
        </w:rPr>
        <w:t>’</w:t>
      </w:r>
      <w:r w:rsidRPr="00867890">
        <w:t>lláh</w:t>
      </w:r>
      <w:r>
        <w:tab/>
        <w:t>t</w:t>
      </w:r>
      <w:r w:rsidRPr="00867890">
        <w:t>he meeting of God, resurrection.</w:t>
      </w:r>
      <w:r>
        <w:t xml:space="preserve">  A</w:t>
      </w:r>
      <w:r w:rsidRPr="008B5E32">
        <w:t xml:space="preserve"> reference to the Manifestation of God</w:t>
      </w:r>
      <w:r>
        <w:t>, i.e.</w:t>
      </w:r>
      <w:r w:rsidRPr="008B5E32">
        <w:t xml:space="preserve"> Ba</w:t>
      </w:r>
      <w:r w:rsidRPr="00BF31DB">
        <w:t>há’u’lláh</w:t>
      </w:r>
      <w:r>
        <w:t>.</w:t>
      </w:r>
    </w:p>
    <w:p w14:paraId="6477C253" w14:textId="77777777" w:rsidR="00625A5B" w:rsidRPr="008F03E5" w:rsidRDefault="00625A5B" w:rsidP="00900A82">
      <w:pPr>
        <w:pStyle w:val="Translit"/>
      </w:pPr>
      <w:r w:rsidRPr="008F03E5">
        <w:t>Liqa’u’llah</w:t>
      </w:r>
      <w:r w:rsidRPr="008F03E5">
        <w:tab/>
        <w:t>Liqá’u’lláh</w:t>
      </w:r>
      <w:r w:rsidRPr="008F03E5">
        <w:tab/>
        <w:t>‘attainment unto the Divine Presence’, resurection</w:t>
      </w:r>
    </w:p>
    <w:p w14:paraId="6166E076" w14:textId="77777777" w:rsidR="00625A5B" w:rsidRPr="00077779" w:rsidRDefault="00625A5B" w:rsidP="00E72498">
      <w:pPr>
        <w:pStyle w:val="Translit"/>
      </w:pPr>
      <w:r w:rsidRPr="00077779">
        <w:t>Lisan, Alsina, Alsun</w:t>
      </w:r>
      <w:r w:rsidRPr="00077779">
        <w:tab/>
        <w:t>Lisán, pl. Alsina[h], Alsun</w:t>
      </w:r>
      <w:r w:rsidRPr="00077779">
        <w:tab/>
        <w:t>tongue; language; mouthpiece (figuratively)</w:t>
      </w:r>
    </w:p>
    <w:p w14:paraId="42BE07CD" w14:textId="77777777" w:rsidR="00625A5B" w:rsidRPr="00077779" w:rsidRDefault="00625A5B" w:rsidP="00F01C46">
      <w:pPr>
        <w:pStyle w:val="Translit"/>
      </w:pPr>
      <w:r w:rsidRPr="00077779">
        <w:t>Lisanu’l</w:t>
      </w:r>
      <w:r w:rsidRPr="00077779">
        <w:rPr>
          <w:rFonts w:eastAsia="PMingLiU"/>
          <w:lang w:eastAsia="zh-TW"/>
        </w:rPr>
        <w:t>-‘</w:t>
      </w:r>
      <w:r w:rsidRPr="00077779">
        <w:t>Arab</w:t>
      </w:r>
      <w:r w:rsidRPr="00077779">
        <w:tab/>
        <w:t>Lisánu’l-‘Arab</w:t>
      </w:r>
      <w:r w:rsidRPr="00077779">
        <w:tab/>
        <w:t>The Arab tongue</w:t>
      </w:r>
    </w:p>
    <w:p w14:paraId="0F3E23C2" w14:textId="77777777" w:rsidR="00625A5B" w:rsidRPr="008F03E5" w:rsidRDefault="00625A5B" w:rsidP="00F01C46">
      <w:pPr>
        <w:pStyle w:val="Translit"/>
      </w:pPr>
      <w:r w:rsidRPr="008F03E5">
        <w:t>Lisanu’llah</w:t>
      </w:r>
      <w:r w:rsidRPr="008F03E5">
        <w:tab/>
        <w:t>Lisánu’lláh</w:t>
      </w:r>
      <w:r w:rsidRPr="008F03E5">
        <w:tab/>
        <w:t>the word (or tongue) of God</w:t>
      </w:r>
    </w:p>
    <w:p w14:paraId="5DEE8C9C" w14:textId="77777777" w:rsidR="00625A5B" w:rsidRPr="008F03E5" w:rsidRDefault="00625A5B" w:rsidP="00494915">
      <w:pPr>
        <w:pStyle w:val="Translit"/>
      </w:pPr>
      <w:r w:rsidRPr="008F03E5">
        <w:t>Lisanu’l-Mulk</w:t>
      </w:r>
      <w:r w:rsidRPr="008F03E5">
        <w:tab/>
        <w:t>Lisánu’l-Mulk</w:t>
      </w:r>
      <w:r w:rsidRPr="008F03E5">
        <w:tab/>
        <w:t>“Tongue of the Empire”.  Lisánu’l-Mulk-i-Sipihr (“Eloquent Tongue of the Empire”) of Ká</w:t>
      </w:r>
      <w:r w:rsidRPr="008F03E5">
        <w:rPr>
          <w:u w:val="single"/>
        </w:rPr>
        <w:t>sh</w:t>
      </w:r>
      <w:r w:rsidRPr="008F03E5">
        <w:t>án, 19th century Persian historian.  See Sipihr.</w:t>
      </w:r>
    </w:p>
    <w:p w14:paraId="23953349" w14:textId="77777777" w:rsidR="00625A5B" w:rsidRPr="00665F6A" w:rsidRDefault="00625A5B" w:rsidP="00FE1685">
      <w:pPr>
        <w:pStyle w:val="Translit"/>
      </w:pPr>
      <w:r w:rsidRPr="00665F6A">
        <w:t>Liss, Lusus, Alsas</w:t>
      </w:r>
      <w:r w:rsidRPr="00665F6A">
        <w:tab/>
        <w:t>Liṣṣ, pl. Luṣúṣ, Alṣáṣ</w:t>
      </w:r>
      <w:r w:rsidRPr="00665F6A">
        <w:tab/>
        <w:t>thief, robber</w:t>
      </w:r>
    </w:p>
    <w:p w14:paraId="2DDD3F9A" w14:textId="77777777" w:rsidR="00625A5B" w:rsidRPr="00665F6A" w:rsidRDefault="00625A5B" w:rsidP="00FE1685">
      <w:pPr>
        <w:pStyle w:val="Translit"/>
      </w:pPr>
      <w:r w:rsidRPr="00665F6A">
        <w:t>Litani River</w:t>
      </w:r>
      <w:r w:rsidRPr="00665F6A">
        <w:tab/>
        <w:t>Liṭání</w:t>
      </w:r>
      <w:r w:rsidRPr="00665F6A">
        <w:tab/>
        <w:t>Liṭání River</w:t>
      </w:r>
    </w:p>
    <w:p w14:paraId="1BDDC6BF" w14:textId="77777777" w:rsidR="00625A5B" w:rsidRPr="008F03E5" w:rsidRDefault="00625A5B" w:rsidP="006E0378">
      <w:pPr>
        <w:pStyle w:val="Translit"/>
      </w:pPr>
      <w:r w:rsidRPr="008F03E5">
        <w:t>Liwa’ (Liva), Alwiya, Alwiyat</w:t>
      </w:r>
      <w:r w:rsidRPr="008F03E5">
        <w:tab/>
        <w:t>Liwá’, pl.Alwiya, Alwiyát</w:t>
      </w:r>
      <w:r w:rsidRPr="008F03E5">
        <w:tab/>
        <w:t xml:space="preserve">banner, flag, standard; brigade; major general; rear admiral (Egypt.); province, district (Iran).  </w:t>
      </w:r>
      <w:r w:rsidRPr="008F03E5">
        <w:rPr>
          <w:i/>
          <w:iCs/>
        </w:rPr>
        <w:t>al-Liwá’</w:t>
      </w:r>
      <w:r w:rsidRPr="008F03E5">
        <w:t xml:space="preserve"> (“The Flag”) (1963–) is a Lebanese Arabic daily newspaper.</w:t>
      </w:r>
    </w:p>
    <w:p w14:paraId="261E5206" w14:textId="77777777" w:rsidR="00625A5B" w:rsidRPr="008F03E5" w:rsidRDefault="00625A5B" w:rsidP="00DB6DBF">
      <w:pPr>
        <w:pStyle w:val="Translit"/>
      </w:pPr>
      <w:r w:rsidRPr="008F03E5">
        <w:t>Lourenco Marques</w:t>
      </w:r>
      <w:r w:rsidRPr="008F03E5">
        <w:tab/>
        <w:t>Lourenço Marques</w:t>
      </w:r>
      <w:r w:rsidRPr="008F03E5">
        <w:tab/>
        <w:t>Portuguese explorer and pre-1975 name of Maputo, capital of Mozambique</w:t>
      </w:r>
    </w:p>
    <w:p w14:paraId="743D7257" w14:textId="77777777" w:rsidR="00625A5B" w:rsidRDefault="00625A5B" w:rsidP="00DA128D">
      <w:pPr>
        <w:pStyle w:val="Translit"/>
      </w:pPr>
      <w:r w:rsidRPr="00B007C7">
        <w:t>Lu</w:t>
      </w:r>
      <w:r>
        <w:t>’</w:t>
      </w:r>
      <w:r w:rsidRPr="00B007C7">
        <w:t xml:space="preserve">ayy ibn </w:t>
      </w:r>
      <w:r w:rsidRPr="008F03E5">
        <w:rPr>
          <w:u w:val="single"/>
        </w:rPr>
        <w:t>Gh</w:t>
      </w:r>
      <w:r w:rsidRPr="008F03E5">
        <w:t>álib</w:t>
      </w:r>
      <w:r w:rsidRPr="00B007C7">
        <w:t xml:space="preserve"> ibn Fihr</w:t>
      </w:r>
      <w:r>
        <w:tab/>
      </w:r>
      <w:r w:rsidRPr="00B007C7">
        <w:t>Lu</w:t>
      </w:r>
      <w:r>
        <w:t>’</w:t>
      </w:r>
      <w:r w:rsidRPr="00B007C7">
        <w:t xml:space="preserve">ayy ibn </w:t>
      </w:r>
      <w:r w:rsidRPr="008F03E5">
        <w:rPr>
          <w:u w:val="single"/>
        </w:rPr>
        <w:t>Gh</w:t>
      </w:r>
      <w:r w:rsidRPr="008F03E5">
        <w:t>álib</w:t>
      </w:r>
      <w:r w:rsidRPr="00B007C7">
        <w:t xml:space="preserve"> ibn Fihr</w:t>
      </w:r>
      <w:r>
        <w:tab/>
        <w:t xml:space="preserve">ancestor of Prophet Muḥammad and son of </w:t>
      </w:r>
      <w:r w:rsidRPr="00B007C7">
        <w:t>Lu</w:t>
      </w:r>
      <w:r>
        <w:t>’</w:t>
      </w:r>
      <w:r w:rsidRPr="00B007C7">
        <w:t xml:space="preserve">ayy ibn </w:t>
      </w:r>
      <w:r w:rsidRPr="008F03E5">
        <w:rPr>
          <w:u w:val="single"/>
        </w:rPr>
        <w:t>Gh</w:t>
      </w:r>
      <w:r w:rsidRPr="008F03E5">
        <w:t>álib</w:t>
      </w:r>
      <w:r w:rsidRPr="00B007C7">
        <w:t xml:space="preserve"> ibn Fihr</w:t>
      </w:r>
      <w:r>
        <w:t xml:space="preserve"> (fl. c. CE 230–240)</w:t>
      </w:r>
    </w:p>
    <w:p w14:paraId="74585C5A" w14:textId="77777777" w:rsidR="00625A5B" w:rsidRPr="008F03E5" w:rsidRDefault="00625A5B" w:rsidP="00E64780">
      <w:pPr>
        <w:pStyle w:val="Translit"/>
      </w:pPr>
      <w:r w:rsidRPr="008F03E5">
        <w:t>Lu’lu’, La’ali, Lu’lu’un</w:t>
      </w:r>
      <w:r w:rsidRPr="008F03E5">
        <w:tab/>
        <w:t>Lu’lu’ (Lúlú), pl. La’álí</w:t>
      </w:r>
      <w:r w:rsidRPr="008F03E5">
        <w:tab/>
        <w:t>(collective; nomen unitatis Lu’lu’un) pearls; gems, jewels</w:t>
      </w:r>
    </w:p>
    <w:p w14:paraId="7CDBE659" w14:textId="77777777" w:rsidR="00625A5B" w:rsidRPr="008F03E5" w:rsidRDefault="00625A5B" w:rsidP="00312FB4">
      <w:pPr>
        <w:pStyle w:val="Translit"/>
      </w:pPr>
      <w:r w:rsidRPr="008F03E5">
        <w:t>Lubbada, Lubbadat</w:t>
      </w:r>
      <w:r w:rsidRPr="008F03E5">
        <w:tab/>
        <w:t>Lubbáda, pl. Lubbádát</w:t>
      </w:r>
      <w:r w:rsidRPr="008F03E5">
        <w:tab/>
        <w:t>horse blanket, saddle blanket;—(pl. labábíd) felt cap</w:t>
      </w:r>
    </w:p>
    <w:p w14:paraId="1B20D5B3" w14:textId="77777777" w:rsidR="00625A5B" w:rsidRPr="008F03E5" w:rsidRDefault="00625A5B" w:rsidP="00FB0604">
      <w:pPr>
        <w:pStyle w:val="Translit"/>
      </w:pPr>
      <w:r w:rsidRPr="008F03E5">
        <w:t>Lubs</w:t>
      </w:r>
      <w:r w:rsidRPr="008F03E5">
        <w:tab/>
        <w:t>Lubs</w:t>
      </w:r>
      <w:r w:rsidRPr="008F03E5">
        <w:tab/>
        <w:t>putting on a garment; enjoying the company (of a wife, etc.)</w:t>
      </w:r>
    </w:p>
    <w:p w14:paraId="55B3071F" w14:textId="77777777" w:rsidR="00625A5B" w:rsidRDefault="00625A5B" w:rsidP="00CA2723">
      <w:pPr>
        <w:pStyle w:val="Translit"/>
        <w:rPr>
          <w:rFonts w:eastAsia="PMingLiU"/>
          <w:lang w:eastAsia="zh-TW"/>
        </w:rPr>
      </w:pPr>
      <w:r w:rsidRPr="008F03E5">
        <w:rPr>
          <w:rFonts w:eastAsia="PMingLiU"/>
          <w:lang w:eastAsia="zh-TW"/>
        </w:rPr>
        <w:t>Lugha, Lughat</w:t>
      </w:r>
      <w:r w:rsidRPr="008F03E5">
        <w:rPr>
          <w:rFonts w:eastAsia="PMingLiU"/>
          <w:lang w:eastAsia="zh-TW"/>
        </w:rPr>
        <w:tab/>
        <w:t>Lu</w:t>
      </w:r>
      <w:r w:rsidRPr="008F03E5">
        <w:rPr>
          <w:rFonts w:eastAsia="PMingLiU"/>
          <w:u w:val="single"/>
          <w:lang w:eastAsia="zh-TW"/>
        </w:rPr>
        <w:t>gh</w:t>
      </w:r>
      <w:r w:rsidRPr="008F03E5">
        <w:rPr>
          <w:rFonts w:eastAsia="PMingLiU"/>
          <w:lang w:eastAsia="zh-TW"/>
        </w:rPr>
        <w:t>a[h or t], pl. Lu</w:t>
      </w:r>
      <w:r w:rsidRPr="008F03E5">
        <w:rPr>
          <w:rFonts w:eastAsia="PMingLiU"/>
          <w:u w:val="single"/>
          <w:lang w:eastAsia="zh-TW"/>
        </w:rPr>
        <w:t>gh</w:t>
      </w:r>
      <w:r w:rsidRPr="008F03E5">
        <w:rPr>
          <w:rFonts w:eastAsia="PMingLiU"/>
          <w:lang w:eastAsia="zh-TW"/>
        </w:rPr>
        <w:t>át</w:t>
      </w:r>
      <w:r w:rsidRPr="008F03E5">
        <w:rPr>
          <w:rFonts w:eastAsia="PMingLiU"/>
          <w:lang w:eastAsia="zh-TW"/>
        </w:rPr>
        <w:tab/>
        <w:t>language; dialect; idiom; vernacular; lingo, jargon; word; expression, term</w:t>
      </w:r>
      <w:r w:rsidRPr="008F03E5">
        <w:t>; al-lu</w:t>
      </w:r>
      <w:r w:rsidRPr="008F03E5">
        <w:rPr>
          <w:u w:val="single"/>
        </w:rPr>
        <w:t>gh</w:t>
      </w:r>
      <w:r w:rsidRPr="008F03E5">
        <w:t>at al-‘arabíyat al-afṣaḥí,</w:t>
      </w:r>
      <w:r w:rsidRPr="008F03E5">
        <w:rPr>
          <w:rFonts w:eastAsia="PMingLiU"/>
          <w:lang w:eastAsia="zh-TW"/>
        </w:rPr>
        <w:t xml:space="preserve"> classical Arabic</w:t>
      </w:r>
    </w:p>
    <w:p w14:paraId="50251AF5" w14:textId="77777777" w:rsidR="00625A5B" w:rsidRPr="008F03E5" w:rsidRDefault="00625A5B" w:rsidP="00CA2723">
      <w:pPr>
        <w:pStyle w:val="Translit"/>
        <w:rPr>
          <w:rFonts w:eastAsia="PMingLiU"/>
          <w:lang w:eastAsia="zh-TW"/>
        </w:rPr>
      </w:pPr>
      <w:r>
        <w:rPr>
          <w:rFonts w:eastAsia="PMingLiU"/>
          <w:lang w:eastAsia="zh-TW"/>
        </w:rPr>
        <w:t>Lughat Nama (Lughat Namih)</w:t>
      </w:r>
      <w:r>
        <w:rPr>
          <w:rFonts w:eastAsia="PMingLiU"/>
          <w:lang w:eastAsia="zh-TW"/>
        </w:rPr>
        <w:tab/>
        <w:t>Lu</w:t>
      </w:r>
      <w:r w:rsidRPr="00CA2723">
        <w:rPr>
          <w:rFonts w:eastAsia="PMingLiU"/>
          <w:u w:val="single"/>
          <w:lang w:eastAsia="zh-TW"/>
        </w:rPr>
        <w:t>gh</w:t>
      </w:r>
      <w:r>
        <w:rPr>
          <w:rFonts w:eastAsia="PMingLiU"/>
          <w:lang w:eastAsia="zh-TW"/>
        </w:rPr>
        <w:t>at N</w:t>
      </w:r>
      <w:r w:rsidRPr="00CA2723">
        <w:t>á</w:t>
      </w:r>
      <w:r>
        <w:rPr>
          <w:rFonts w:eastAsia="PMingLiU"/>
          <w:lang w:eastAsia="zh-TW"/>
        </w:rPr>
        <w:t>ma</w:t>
      </w:r>
      <w:r>
        <w:rPr>
          <w:rFonts w:eastAsia="PMingLiU"/>
          <w:lang w:eastAsia="zh-TW"/>
        </w:rPr>
        <w:tab/>
        <w:t>Pers. 15 volume “</w:t>
      </w:r>
      <w:r w:rsidRPr="00993CFA">
        <w:t>The Dehkhoda Dictionary</w:t>
      </w:r>
      <w:r>
        <w:t>” in Persian by ‘Al</w:t>
      </w:r>
      <w:r w:rsidRPr="00CA2723">
        <w:t>í</w:t>
      </w:r>
      <w:r>
        <w:t xml:space="preserve"> Akbar </w:t>
      </w:r>
      <w:r w:rsidRPr="00EE5485">
        <w:t>D</w:t>
      </w:r>
      <w:r>
        <w:t>i</w:t>
      </w:r>
      <w:r w:rsidRPr="00EE5485">
        <w:t>h</w:t>
      </w:r>
      <w:r w:rsidRPr="00CA2723">
        <w:rPr>
          <w:u w:val="single"/>
        </w:rPr>
        <w:t>kh</w:t>
      </w:r>
      <w:r>
        <w:t>u</w:t>
      </w:r>
      <w:r w:rsidRPr="00EE5485">
        <w:t>d</w:t>
      </w:r>
      <w:r w:rsidRPr="00CA2723">
        <w:t>á</w:t>
      </w:r>
    </w:p>
    <w:p w14:paraId="3A881C05" w14:textId="77777777" w:rsidR="00625A5B" w:rsidRPr="008F03E5" w:rsidRDefault="00625A5B" w:rsidP="000365A6">
      <w:pPr>
        <w:pStyle w:val="Translit"/>
        <w:rPr>
          <w:rFonts w:eastAsia="PMingLiU"/>
          <w:lang w:eastAsia="zh-TW"/>
        </w:rPr>
      </w:pPr>
      <w:r w:rsidRPr="008F03E5">
        <w:rPr>
          <w:rFonts w:eastAsia="PMingLiU"/>
          <w:lang w:eastAsia="zh-TW"/>
        </w:rPr>
        <w:t>Lujj, Lujja, Lujaj, Lijaj</w:t>
      </w:r>
      <w:r w:rsidRPr="008F03E5">
        <w:rPr>
          <w:rFonts w:eastAsia="PMingLiU"/>
          <w:lang w:eastAsia="zh-TW"/>
        </w:rPr>
        <w:tab/>
        <w:t>Lujj and Lujja, pl. Lujaj, Lijáj</w:t>
      </w:r>
      <w:r w:rsidRPr="008F03E5">
        <w:rPr>
          <w:rFonts w:eastAsia="PMingLiU"/>
          <w:lang w:eastAsia="zh-TW"/>
        </w:rPr>
        <w:tab/>
        <w:t>depth of the sea; gulf, abyss, chasm, depth</w:t>
      </w:r>
    </w:p>
    <w:p w14:paraId="12A7BEB1" w14:textId="77777777" w:rsidR="00625A5B" w:rsidRPr="008F03E5" w:rsidRDefault="00625A5B" w:rsidP="000365A6">
      <w:pPr>
        <w:pStyle w:val="Translit"/>
        <w:rPr>
          <w:rFonts w:eastAsia="PMingLiU"/>
          <w:lang w:eastAsia="zh-TW"/>
        </w:rPr>
      </w:pPr>
      <w:r w:rsidRPr="008F03E5">
        <w:rPr>
          <w:rFonts w:eastAsia="PMingLiU"/>
          <w:lang w:eastAsia="zh-TW"/>
        </w:rPr>
        <w:t>Lujjat, Lujja</w:t>
      </w:r>
      <w:r w:rsidRPr="008F03E5">
        <w:rPr>
          <w:rFonts w:eastAsia="PMingLiU"/>
          <w:lang w:eastAsia="zh-TW"/>
        </w:rPr>
        <w:tab/>
        <w:t>Lujjat, Lujja</w:t>
      </w:r>
      <w:r w:rsidRPr="008F03E5">
        <w:rPr>
          <w:rFonts w:eastAsia="PMingLiU"/>
          <w:lang w:eastAsia="zh-TW"/>
        </w:rPr>
        <w:tab/>
        <w:t>Pers. a large body, multitude; plenty (of water), the great deep, main, middle of the sea; an abyss; silver; a looking-glass, mirror</w:t>
      </w:r>
    </w:p>
    <w:p w14:paraId="484B3BBB" w14:textId="77777777" w:rsidR="00625A5B" w:rsidRPr="008F03E5" w:rsidRDefault="00625A5B" w:rsidP="000365A6">
      <w:pPr>
        <w:pStyle w:val="Translit"/>
        <w:rPr>
          <w:rFonts w:eastAsia="PMingLiU"/>
          <w:lang w:eastAsia="zh-TW"/>
        </w:rPr>
      </w:pPr>
      <w:r w:rsidRPr="008F03E5">
        <w:rPr>
          <w:rFonts w:eastAsia="PMingLiU"/>
          <w:lang w:eastAsia="zh-TW"/>
        </w:rPr>
        <w:t>Lulin, Aftaba</w:t>
      </w:r>
      <w:r w:rsidRPr="008F03E5">
        <w:rPr>
          <w:rFonts w:eastAsia="PMingLiU"/>
          <w:lang w:eastAsia="zh-TW"/>
        </w:rPr>
        <w:tab/>
        <w:t>L</w:t>
      </w:r>
      <w:r w:rsidRPr="008F03E5">
        <w:t>ú</w:t>
      </w:r>
      <w:r w:rsidRPr="008F03E5">
        <w:rPr>
          <w:rFonts w:eastAsia="PMingLiU"/>
          <w:lang w:eastAsia="zh-TW"/>
        </w:rPr>
        <w:t>l</w:t>
      </w:r>
      <w:r w:rsidRPr="008F03E5">
        <w:t>í</w:t>
      </w:r>
      <w:r w:rsidRPr="008F03E5">
        <w:rPr>
          <w:rFonts w:eastAsia="PMingLiU"/>
          <w:lang w:eastAsia="zh-TW"/>
        </w:rPr>
        <w:t>n</w:t>
      </w:r>
      <w:r w:rsidRPr="008F03E5">
        <w:rPr>
          <w:rFonts w:eastAsia="PMingLiU"/>
          <w:lang w:eastAsia="zh-TW"/>
        </w:rPr>
        <w:tab/>
        <w:t xml:space="preserve">Pers. a jug, flagon, or any similar vessel with a spout, and made of clay (those made of metal are called </w:t>
      </w:r>
      <w:r w:rsidRPr="008F03E5">
        <w:t>á</w:t>
      </w:r>
      <w:r w:rsidRPr="008F03E5">
        <w:rPr>
          <w:rFonts w:eastAsia="PMingLiU"/>
          <w:lang w:eastAsia="zh-TW"/>
        </w:rPr>
        <w:t>ft</w:t>
      </w:r>
      <w:r w:rsidRPr="008F03E5">
        <w:t>á</w:t>
      </w:r>
      <w:r w:rsidRPr="008F03E5">
        <w:rPr>
          <w:rFonts w:eastAsia="PMingLiU"/>
          <w:lang w:eastAsia="zh-TW"/>
        </w:rPr>
        <w:t>ba).</w:t>
      </w:r>
    </w:p>
    <w:p w14:paraId="093F4DF4" w14:textId="77777777" w:rsidR="00625A5B" w:rsidRDefault="00625A5B" w:rsidP="00612679">
      <w:pPr>
        <w:pStyle w:val="Translit"/>
      </w:pPr>
      <w:r w:rsidRPr="00077779">
        <w:rPr>
          <w:lang w:val="fr-FR"/>
        </w:rPr>
        <w:t>Lum’a, Luma’, Lima’</w:t>
      </w:r>
      <w:r w:rsidRPr="00077779">
        <w:rPr>
          <w:lang w:val="fr-FR"/>
        </w:rPr>
        <w:tab/>
        <w:t xml:space="preserve">Lum‘a[h or t], pl. </w:t>
      </w:r>
      <w:r>
        <w:t>L</w:t>
      </w:r>
      <w:r w:rsidRPr="00C21BAA">
        <w:t>uma‘,</w:t>
      </w:r>
      <w:r>
        <w:t xml:space="preserve"> L</w:t>
      </w:r>
      <w:r w:rsidRPr="00C21BAA">
        <w:t>im</w:t>
      </w:r>
      <w:r>
        <w:t>á</w:t>
      </w:r>
      <w:r w:rsidRPr="00C21BAA">
        <w:t>‘</w:t>
      </w:r>
      <w:r>
        <w:tab/>
      </w:r>
      <w:r w:rsidRPr="00C21BAA">
        <w:t>shimmer, gleam, glow, flash, sparkle, glitter, brilliancy, radiance, beam; gloss, lustr</w:t>
      </w:r>
      <w:r>
        <w:t>e</w:t>
      </w:r>
      <w:r w:rsidRPr="00C21BAA">
        <w:t>, burnish, polish</w:t>
      </w:r>
    </w:p>
    <w:p w14:paraId="5C9E3506" w14:textId="77777777" w:rsidR="00625A5B" w:rsidRPr="008F03E5" w:rsidRDefault="00625A5B" w:rsidP="00C21BAA">
      <w:pPr>
        <w:pStyle w:val="Translit"/>
        <w:rPr>
          <w:rFonts w:eastAsia="PMingLiU"/>
          <w:lang w:eastAsia="zh-TW"/>
        </w:rPr>
      </w:pPr>
      <w:r w:rsidRPr="008F03E5">
        <w:t>Luqa</w:t>
      </w:r>
      <w:r w:rsidRPr="008F03E5">
        <w:tab/>
        <w:t>Lúqá</w:t>
      </w:r>
      <w:r w:rsidRPr="008F03E5">
        <w:tab/>
        <w:t>Pers. the evangelist Luke</w:t>
      </w:r>
    </w:p>
    <w:p w14:paraId="3C65078A" w14:textId="77777777" w:rsidR="00625A5B" w:rsidRPr="001457C8" w:rsidRDefault="00625A5B" w:rsidP="0069062E">
      <w:pPr>
        <w:pStyle w:val="Translit"/>
        <w:rPr>
          <w:lang w:val="fr-FR"/>
        </w:rPr>
      </w:pPr>
      <w:r w:rsidRPr="008F03E5">
        <w:t>Luqman</w:t>
      </w:r>
      <w:r w:rsidRPr="008F03E5">
        <w:tab/>
        <w:t>Luqmán</w:t>
      </w:r>
      <w:r w:rsidRPr="008F03E5">
        <w:tab/>
        <w:t xml:space="preserve">a famous legendary figure noted for his wisdom.  </w:t>
      </w:r>
      <w:r w:rsidRPr="001457C8">
        <w:rPr>
          <w:lang w:val="fr-FR"/>
        </w:rPr>
        <w:t>Prophet in Qur’án.</w:t>
      </w:r>
    </w:p>
    <w:p w14:paraId="0ADF033E" w14:textId="77777777" w:rsidR="00625A5B" w:rsidRPr="008F03E5" w:rsidRDefault="00625A5B" w:rsidP="00DF6268">
      <w:pPr>
        <w:pStyle w:val="Translit"/>
      </w:pPr>
      <w:r w:rsidRPr="001457C8">
        <w:rPr>
          <w:lang w:val="fr-FR"/>
        </w:rPr>
        <w:t>Luqmat</w:t>
      </w:r>
      <w:r w:rsidRPr="001457C8">
        <w:rPr>
          <w:lang w:val="fr-FR"/>
        </w:rPr>
        <w:tab/>
        <w:t xml:space="preserve">Luqmat, Laqmat, Luqma, pl. </w:t>
      </w:r>
      <w:r w:rsidRPr="008F03E5">
        <w:t>Luqam</w:t>
      </w:r>
      <w:r w:rsidRPr="008F03E5">
        <w:tab/>
        <w:t>Pers. a mouthful, morsel; a kind of fritter</w:t>
      </w:r>
    </w:p>
    <w:p w14:paraId="288C074A" w14:textId="77777777" w:rsidR="00625A5B" w:rsidRPr="008F03E5" w:rsidRDefault="00625A5B" w:rsidP="00DF6268">
      <w:pPr>
        <w:pStyle w:val="Translit"/>
      </w:pPr>
      <w:r w:rsidRPr="008F03E5">
        <w:t>Luqmatu’l-Qáḍí</w:t>
      </w:r>
      <w:r w:rsidRPr="008F03E5">
        <w:tab/>
        <w:t>Luqmatu’l-Qáḍí</w:t>
      </w:r>
      <w:r w:rsidRPr="008F03E5">
        <w:tab/>
        <w:t>Pers. the choice morsel for the judge</w:t>
      </w:r>
    </w:p>
    <w:p w14:paraId="1F006A57" w14:textId="77777777" w:rsidR="00625A5B" w:rsidRPr="008F03E5" w:rsidRDefault="00625A5B" w:rsidP="00900A82">
      <w:pPr>
        <w:pStyle w:val="Translit"/>
      </w:pPr>
      <w:r w:rsidRPr="008F03E5">
        <w:t>Lur</w:t>
      </w:r>
      <w:r w:rsidRPr="008F03E5">
        <w:tab/>
        <w:t>Lur</w:t>
      </w:r>
      <w:r w:rsidRPr="008F03E5">
        <w:tab/>
        <w:t>Name of a warlike tribe living in Luristán.</w:t>
      </w:r>
    </w:p>
    <w:p w14:paraId="6DFC57E1" w14:textId="77777777" w:rsidR="00625A5B" w:rsidRPr="008F03E5" w:rsidRDefault="00625A5B" w:rsidP="00BB1820">
      <w:pPr>
        <w:pStyle w:val="Translit"/>
      </w:pPr>
      <w:r w:rsidRPr="008F03E5">
        <w:t>Luristan (Lorestan)</w:t>
      </w:r>
      <w:r w:rsidRPr="008F03E5">
        <w:tab/>
        <w:t>Luristán</w:t>
      </w:r>
      <w:r w:rsidRPr="008F03E5">
        <w:tab/>
        <w:t>a province and an area in western Írán in the Zagros Mountains</w:t>
      </w:r>
    </w:p>
    <w:p w14:paraId="04C44F7F" w14:textId="77777777" w:rsidR="00625A5B" w:rsidRPr="008F03E5" w:rsidRDefault="00625A5B" w:rsidP="00E64A79">
      <w:pPr>
        <w:pStyle w:val="Translit"/>
      </w:pPr>
      <w:r w:rsidRPr="008F03E5">
        <w:t>Lut</w:t>
      </w:r>
      <w:r w:rsidRPr="008F03E5">
        <w:tab/>
        <w:t>Lúṭ</w:t>
      </w:r>
      <w:r w:rsidRPr="008F03E5">
        <w:tab/>
        <w:t>Lot</w:t>
      </w:r>
    </w:p>
    <w:p w14:paraId="7A2A7F3E" w14:textId="77777777" w:rsidR="00625A5B" w:rsidRPr="00015957" w:rsidRDefault="00625A5B" w:rsidP="00146FC0">
      <w:pPr>
        <w:pStyle w:val="Translit"/>
      </w:pPr>
      <w:r w:rsidRPr="00146FC0">
        <w:rPr>
          <w:lang w:val="en-AU"/>
        </w:rPr>
        <w:t>Lut</w:t>
      </w:r>
      <w:r w:rsidRPr="00146FC0">
        <w:rPr>
          <w:lang w:val="en-AU"/>
        </w:rPr>
        <w:tab/>
        <w:t>L</w:t>
      </w:r>
      <w:r w:rsidRPr="00146FC0">
        <w:t>ú</w:t>
      </w:r>
      <w:r w:rsidRPr="00146FC0">
        <w:rPr>
          <w:lang w:val="en-AU"/>
        </w:rPr>
        <w:t>t</w:t>
      </w:r>
      <w:r w:rsidRPr="00146FC0">
        <w:rPr>
          <w:lang w:val="en-AU"/>
        </w:rPr>
        <w:tab/>
        <w:t xml:space="preserve">Pers. naked, </w:t>
      </w:r>
      <w:r w:rsidRPr="00015957">
        <w:t>bare.  Da</w:t>
      </w:r>
      <w:r w:rsidRPr="00015957">
        <w:rPr>
          <w:u w:val="single"/>
        </w:rPr>
        <w:t>sh</w:t>
      </w:r>
      <w:r w:rsidRPr="00015957">
        <w:t>t-i-Lút, the “Emptiness Plain”, 51,800 km</w:t>
      </w:r>
      <w:r w:rsidRPr="00BF1597">
        <w:t>2</w:t>
      </w:r>
      <w:r w:rsidRPr="00146FC0">
        <w:t xml:space="preserve">, </w:t>
      </w:r>
      <w:r>
        <w:t xml:space="preserve">is a salt desert, one of the hottest and driest in the world, in Kirmán, and </w:t>
      </w:r>
      <w:r w:rsidRPr="00503BE9">
        <w:t>Sist</w:t>
      </w:r>
      <w:r>
        <w:t>á</w:t>
      </w:r>
      <w:r w:rsidRPr="00503BE9">
        <w:t xml:space="preserve">n and </w:t>
      </w:r>
      <w:r w:rsidRPr="008F03E5">
        <w:t>Balú</w:t>
      </w:r>
      <w:r w:rsidRPr="008F03E5">
        <w:rPr>
          <w:u w:val="single"/>
        </w:rPr>
        <w:t>ch</w:t>
      </w:r>
      <w:r w:rsidRPr="008F03E5">
        <w:t>istán</w:t>
      </w:r>
      <w:r w:rsidRPr="00503BE9">
        <w:t xml:space="preserve"> </w:t>
      </w:r>
      <w:r>
        <w:t>Provinces.</w:t>
      </w:r>
    </w:p>
    <w:p w14:paraId="4B6071FF" w14:textId="77777777" w:rsidR="00625A5B" w:rsidRPr="008F03E5" w:rsidRDefault="00625A5B" w:rsidP="00741383">
      <w:pPr>
        <w:pStyle w:val="Translit"/>
      </w:pPr>
      <w:r w:rsidRPr="008F03E5">
        <w:t xml:space="preserve">Lutf, </w:t>
      </w:r>
      <w:r>
        <w:t xml:space="preserve">Latafa, </w:t>
      </w:r>
      <w:r w:rsidRPr="008F03E5">
        <w:t>Altaf</w:t>
      </w:r>
      <w:r w:rsidRPr="008F03E5">
        <w:tab/>
        <w:t xml:space="preserve">Luṭf, </w:t>
      </w:r>
      <w:r>
        <w:t>fem. La</w:t>
      </w:r>
      <w:r w:rsidRPr="00741383">
        <w:t>ṭ</w:t>
      </w:r>
      <w:r>
        <w:t xml:space="preserve">áfa(h or t), </w:t>
      </w:r>
      <w:r w:rsidRPr="008F03E5">
        <w:t>pl. Alṭáf</w:t>
      </w:r>
      <w:r w:rsidRPr="008F03E5">
        <w:tab/>
        <w:t>approaching, drawing near; being propitious, favourable, gracious; being small, slender, delicate; the grace or protection of God; gentleness, humanity, kindness, generosity, benevolence; piquancy, point, wit</w:t>
      </w:r>
      <w:r>
        <w:t xml:space="preserve">;—fem. </w:t>
      </w:r>
      <w:r w:rsidRPr="00741383">
        <w:t>thinness fineness, delicateness; gracefulness, loveliness, charm; kindness, benevolence; friendliness; politeness, esprit, intellectual refinement, sophistication; suavity, urbaneness</w:t>
      </w:r>
    </w:p>
    <w:p w14:paraId="4E0222DF" w14:textId="77777777" w:rsidR="00625A5B" w:rsidRPr="008F03E5" w:rsidRDefault="00625A5B" w:rsidP="00EA750B">
      <w:pPr>
        <w:pStyle w:val="Translit"/>
      </w:pPr>
      <w:r w:rsidRPr="008F03E5">
        <w:t>Lutf</w:t>
      </w:r>
      <w:r w:rsidRPr="008F03E5">
        <w:rPr>
          <w:rFonts w:eastAsia="PMingLiU"/>
          <w:lang w:eastAsia="zh-TW"/>
        </w:rPr>
        <w:t>-‘</w:t>
      </w:r>
      <w:r w:rsidRPr="008F03E5">
        <w:t>Ali</w:t>
      </w:r>
      <w:r w:rsidRPr="008F03E5">
        <w:tab/>
        <w:t>Luṭf-‘Alí</w:t>
      </w:r>
      <w:r w:rsidRPr="008F03E5">
        <w:tab/>
      </w:r>
      <w:r w:rsidRPr="00712297">
        <w:t xml:space="preserve">Luṭf </w:t>
      </w:r>
      <w:r>
        <w:t>‘</w:t>
      </w:r>
      <w:r w:rsidRPr="00712297">
        <w:t xml:space="preserve">Alí Mírzá </w:t>
      </w:r>
      <w:r w:rsidRPr="00835558">
        <w:rPr>
          <w:u w:val="single"/>
        </w:rPr>
        <w:t>Sh</w:t>
      </w:r>
      <w:r w:rsidRPr="00712297">
        <w:t>írází</w:t>
      </w:r>
      <w:r>
        <w:t xml:space="preserve"> (M</w:t>
      </w:r>
      <w:r w:rsidRPr="00EA750B">
        <w:t>í</w:t>
      </w:r>
      <w:r>
        <w:t>rz</w:t>
      </w:r>
      <w:r w:rsidRPr="00EA750B">
        <w:t>á</w:t>
      </w:r>
      <w:r>
        <w:t>, “Prince”)</w:t>
      </w:r>
      <w:r w:rsidRPr="00712297">
        <w:t xml:space="preserve">, a descendant of the </w:t>
      </w:r>
      <w:r>
        <w:t>Af</w:t>
      </w:r>
      <w:r w:rsidRPr="00C75B24">
        <w:rPr>
          <w:u w:val="single"/>
        </w:rPr>
        <w:t>sh</w:t>
      </w:r>
      <w:r w:rsidRPr="00C75B24">
        <w:t>á</w:t>
      </w:r>
      <w:r>
        <w:t>riyán</w:t>
      </w:r>
      <w:r w:rsidRPr="00712297">
        <w:t xml:space="preserve"> royal dynasty</w:t>
      </w:r>
      <w:r>
        <w:t>, and a B</w:t>
      </w:r>
      <w:r w:rsidRPr="00EA750B">
        <w:t>á</w:t>
      </w:r>
      <w:r>
        <w:t>b</w:t>
      </w:r>
      <w:r w:rsidRPr="00EA750B">
        <w:t>í</w:t>
      </w:r>
      <w:r>
        <w:t>.</w:t>
      </w:r>
    </w:p>
    <w:p w14:paraId="430099AE" w14:textId="77777777" w:rsidR="00625A5B" w:rsidRPr="008F03E5" w:rsidRDefault="00625A5B" w:rsidP="0030665D">
      <w:pPr>
        <w:pStyle w:val="Translit"/>
      </w:pPr>
      <w:r w:rsidRPr="008F03E5">
        <w:t>Lutfi</w:t>
      </w:r>
      <w:r w:rsidRPr="008F03E5">
        <w:tab/>
        <w:t>Luṭfí</w:t>
      </w:r>
      <w:r w:rsidRPr="008F03E5">
        <w:tab/>
        <w:t>Pers. adopted, brought up in the family; an adopted child.  ‘Umar Lütfí Pá</w:t>
      </w:r>
      <w:r w:rsidRPr="008F03E5">
        <w:rPr>
          <w:u w:val="single"/>
        </w:rPr>
        <w:t>sh</w:t>
      </w:r>
      <w:r w:rsidRPr="008F03E5">
        <w:t>á [Lüṭfí Paşa (Turk</w:t>
      </w:r>
      <w:r>
        <w:t>ish</w:t>
      </w:r>
      <w:r w:rsidRPr="008F03E5">
        <w:t>)] (</w:t>
      </w:r>
      <w:r w:rsidRPr="008F03E5">
        <w:rPr>
          <w:sz w:val="16"/>
          <w:szCs w:val="16"/>
        </w:rPr>
        <w:t>BKG</w:t>
      </w:r>
      <w:r w:rsidRPr="008F03E5">
        <w:t xml:space="preserve"> p. 482)</w:t>
      </w:r>
    </w:p>
    <w:p w14:paraId="09148BCB" w14:textId="77777777" w:rsidR="00625A5B" w:rsidRPr="008F03E5" w:rsidRDefault="00625A5B" w:rsidP="00D44671">
      <w:pPr>
        <w:pStyle w:val="Translit"/>
      </w:pPr>
      <w:r w:rsidRPr="008F03E5">
        <w:t>Lutfu’llah (Lotfullah)</w:t>
      </w:r>
      <w:r w:rsidRPr="008F03E5">
        <w:tab/>
        <w:t>Luṭfu’lláh</w:t>
      </w:r>
      <w:r w:rsidRPr="008F03E5">
        <w:tab/>
        <w:t>favour or kindness of God</w:t>
      </w:r>
    </w:p>
    <w:p w14:paraId="7443AD94" w14:textId="77777777" w:rsidR="00625A5B" w:rsidRPr="008F03E5" w:rsidRDefault="00625A5B" w:rsidP="006123B8">
      <w:pPr>
        <w:pStyle w:val="Translit"/>
      </w:pPr>
      <w:r w:rsidRPr="008F03E5">
        <w:t>Luti</w:t>
      </w:r>
      <w:r w:rsidRPr="008F03E5">
        <w:tab/>
        <w:t>Lúṭí</w:t>
      </w:r>
      <w:r w:rsidRPr="008F03E5">
        <w:tab/>
        <w:t>The people of Lot or Sodom; a sodomite; an impudent, forward fellow; a bravo, bully, ruffian, villain; a jester, buffoon, clown</w:t>
      </w:r>
    </w:p>
    <w:p w14:paraId="636707DE" w14:textId="77777777" w:rsidR="00625A5B" w:rsidRPr="008F03E5" w:rsidRDefault="00625A5B" w:rsidP="006123B8">
      <w:pPr>
        <w:pStyle w:val="Translit"/>
      </w:pPr>
      <w:r w:rsidRPr="008F03E5">
        <w:t>Lutigari</w:t>
      </w:r>
      <w:r w:rsidRPr="008F03E5">
        <w:tab/>
        <w:t>Lúṭígarí</w:t>
      </w:r>
      <w:r w:rsidRPr="008F03E5">
        <w:tab/>
        <w:t>Pers. often used interchangeably with awbá</w:t>
      </w:r>
      <w:r w:rsidRPr="008F03E5">
        <w:rPr>
          <w:u w:val="single"/>
        </w:rPr>
        <w:t>sh</w:t>
      </w:r>
      <w:r w:rsidRPr="008F03E5">
        <w:t xml:space="preserve"> (see waba</w:t>
      </w:r>
      <w:r w:rsidRPr="008F03E5">
        <w:rPr>
          <w:u w:val="single"/>
        </w:rPr>
        <w:t>sh</w:t>
      </w:r>
      <w:r w:rsidRPr="008F03E5">
        <w:t>).  The lúṭígarí are groups of people organized around zúr-</w:t>
      </w:r>
      <w:r w:rsidRPr="008F03E5">
        <w:rPr>
          <w:u w:val="single"/>
        </w:rPr>
        <w:t>kh</w:t>
      </w:r>
      <w:r w:rsidRPr="008F03E5">
        <w:t>ánih (gymnasia) who professed certain ideals of jawánmardí (“chivalry”)—truthfulness, honesty, protecting the weak and oppressing the oppression.  In practice the difference between “Robin Hood” and robber is not clear-cut.  Lúṭígarí can sometimes refer to troupes of musicians and entertainers.</w:t>
      </w:r>
    </w:p>
    <w:p w14:paraId="02A5A84B" w14:textId="77777777" w:rsidR="00625A5B" w:rsidRPr="009C0A42" w:rsidRDefault="00625A5B" w:rsidP="0024326A">
      <w:pPr>
        <w:pStyle w:val="Myhead"/>
        <w:rPr>
          <w:lang w:val="it-IT"/>
        </w:rPr>
      </w:pPr>
      <w:bookmarkStart w:id="103" w:name="M"/>
      <w:r w:rsidRPr="009C0A42">
        <w:rPr>
          <w:lang w:val="it-IT"/>
        </w:rPr>
        <w:t>M</w:t>
      </w:r>
      <w:bookmarkEnd w:id="103"/>
    </w:p>
    <w:p w14:paraId="2835F427" w14:textId="77777777" w:rsidR="00625A5B" w:rsidRPr="009C0A42" w:rsidRDefault="00625A5B" w:rsidP="00E64A79">
      <w:pPr>
        <w:pStyle w:val="Translit"/>
        <w:rPr>
          <w:lang w:val="it-IT"/>
        </w:rPr>
      </w:pPr>
      <w:r w:rsidRPr="009C0A42">
        <w:rPr>
          <w:lang w:val="it-IT"/>
        </w:rPr>
        <w:t>Ma</w:t>
      </w:r>
      <w:r w:rsidRPr="009C0A42">
        <w:rPr>
          <w:lang w:val="it-IT"/>
        </w:rPr>
        <w:tab/>
        <w:t>Má</w:t>
      </w:r>
      <w:r w:rsidRPr="009C0A42">
        <w:rPr>
          <w:lang w:val="it-IT"/>
        </w:rPr>
        <w:tab/>
        <w:t>(interrogative pronoun) what</w:t>
      </w:r>
    </w:p>
    <w:p w14:paraId="38E44AC5" w14:textId="77777777" w:rsidR="00625A5B" w:rsidRPr="008F03E5" w:rsidRDefault="00625A5B" w:rsidP="003A6A2E">
      <w:pPr>
        <w:pStyle w:val="Translit"/>
      </w:pPr>
      <w:r w:rsidRPr="009C0A42">
        <w:rPr>
          <w:lang w:val="it-IT"/>
        </w:rPr>
        <w:t>Ma, ila ma, bi’ma, li-ma, hatta ma</w:t>
      </w:r>
      <w:r w:rsidRPr="009C0A42">
        <w:rPr>
          <w:lang w:val="it-IT"/>
        </w:rPr>
        <w:tab/>
        <w:t>Ma</w:t>
      </w:r>
      <w:r w:rsidRPr="009C0A42">
        <w:rPr>
          <w:lang w:val="it-IT"/>
        </w:rPr>
        <w:tab/>
        <w:t xml:space="preserve">for what? after prepositions:  </w:t>
      </w:r>
      <w:r w:rsidRPr="009C0A42">
        <w:rPr>
          <w:i/>
          <w:iCs/>
          <w:lang w:val="it-IT"/>
        </w:rPr>
        <w:t>ilá ma</w:t>
      </w:r>
      <w:r w:rsidRPr="009C0A42">
        <w:rPr>
          <w:lang w:val="it-IT"/>
        </w:rPr>
        <w:t xml:space="preserve"> whereto? where? which way? whither?  </w:t>
      </w:r>
      <w:r w:rsidRPr="008F03E5">
        <w:rPr>
          <w:i/>
          <w:iCs/>
        </w:rPr>
        <w:t>bi-ma</w:t>
      </w:r>
      <w:r w:rsidRPr="008F03E5">
        <w:t xml:space="preserve"> with what? wherewith?  </w:t>
      </w:r>
      <w:r w:rsidRPr="008F03E5">
        <w:rPr>
          <w:i/>
          <w:iCs/>
        </w:rPr>
        <w:t>li-ma</w:t>
      </w:r>
      <w:r w:rsidRPr="008F03E5">
        <w:t xml:space="preserve"> why? wherefore?  </w:t>
      </w:r>
      <w:r w:rsidRPr="008F03E5">
        <w:rPr>
          <w:i/>
          <w:iCs/>
        </w:rPr>
        <w:t>ḥattá ma</w:t>
      </w:r>
      <w:r w:rsidRPr="008F03E5">
        <w:t xml:space="preserve"> how far? to which point?</w:t>
      </w:r>
    </w:p>
    <w:p w14:paraId="291546CD" w14:textId="77777777" w:rsidR="00625A5B" w:rsidRPr="008F03E5" w:rsidRDefault="00625A5B" w:rsidP="00C50F92">
      <w:pPr>
        <w:pStyle w:val="Translit"/>
      </w:pPr>
      <w:r w:rsidRPr="008F03E5">
        <w:t>Ma’, Miyah, Amwah</w:t>
      </w:r>
      <w:r w:rsidRPr="008F03E5">
        <w:tab/>
        <w:t>Má’, pl. Miyáh, Amwáh</w:t>
      </w:r>
      <w:r w:rsidRPr="008F03E5">
        <w:tab/>
        <w:t>water; liquid, fluid; juice.  má’ al-ward (becomes máward), rose water.  Hence, the name Máwardí.</w:t>
      </w:r>
    </w:p>
    <w:p w14:paraId="3049FB25" w14:textId="77777777" w:rsidR="00625A5B" w:rsidRPr="008F03E5" w:rsidRDefault="00625A5B" w:rsidP="000652C7">
      <w:pPr>
        <w:pStyle w:val="Translit"/>
      </w:pPr>
      <w:r w:rsidRPr="008F03E5">
        <w:t>Ma’ab (Maab), Ma’awib, Ma’awiba</w:t>
      </w:r>
      <w:r w:rsidRPr="008F03E5">
        <w:tab/>
        <w:t>Ma’áb, pl. Ma’áwib, Ma’áwiba[t]</w:t>
      </w:r>
      <w:r w:rsidRPr="008F03E5">
        <w:tab/>
        <w:t>a place to which one returns; “beautiful place of return” (“Paradise”, Qur’án 13:29); (used as verbal noun) return; a receptacle, repository, a place where anything centres, or in which it is contained.  H. M. Balyuzi identifies Ma’áb with the Biblical kingdom of Moab, east of the Dead Sea in the area of Wádí al-Mújib, present day Jordan.</w:t>
      </w:r>
    </w:p>
    <w:p w14:paraId="213477A9" w14:textId="77777777" w:rsidR="00625A5B" w:rsidRPr="008F03E5" w:rsidRDefault="00625A5B" w:rsidP="005D7126">
      <w:pPr>
        <w:pStyle w:val="Translit"/>
      </w:pPr>
      <w:r w:rsidRPr="008F03E5">
        <w:t>Ma’ad</w:t>
      </w:r>
      <w:r w:rsidRPr="008F03E5">
        <w:tab/>
        <w:t>Ma‘ád</w:t>
      </w:r>
      <w:r w:rsidRPr="008F03E5">
        <w:tab/>
        <w:t>literally place or time of return.  Day of Resurrection.</w:t>
      </w:r>
    </w:p>
    <w:p w14:paraId="74DF513A" w14:textId="77777777" w:rsidR="00625A5B" w:rsidRPr="008F03E5" w:rsidRDefault="00625A5B" w:rsidP="00D02CB4">
      <w:pPr>
        <w:pStyle w:val="Translit"/>
      </w:pPr>
      <w:r w:rsidRPr="008F03E5">
        <w:t>Ma’adh</w:t>
      </w:r>
      <w:r w:rsidRPr="008F03E5">
        <w:tab/>
        <w:t>Ma‘á</w:t>
      </w:r>
      <w:r w:rsidRPr="008F03E5">
        <w:rPr>
          <w:u w:val="single"/>
        </w:rPr>
        <w:t>dh</w:t>
      </w:r>
      <w:r w:rsidRPr="008F03E5">
        <w:tab/>
        <w:t>(act or instance of) taking refuge; refuge, place of refuge, retreat, asylum, sanctuary</w:t>
      </w:r>
    </w:p>
    <w:p w14:paraId="363C1F2C" w14:textId="77777777" w:rsidR="00625A5B" w:rsidRPr="008F03E5" w:rsidRDefault="00625A5B" w:rsidP="00921E39">
      <w:pPr>
        <w:pStyle w:val="Translit"/>
      </w:pPr>
      <w:r w:rsidRPr="008F03E5">
        <w:t>Ma’an (Maan)</w:t>
      </w:r>
      <w:r w:rsidRPr="008F03E5">
        <w:tab/>
        <w:t>Ma‘án</w:t>
      </w:r>
      <w:r w:rsidRPr="008F03E5">
        <w:tab/>
        <w:t xml:space="preserve">a stage, halting-place; “son” of Lot (Lúṭ); a city in southern Jordan, 218 km </w:t>
      </w:r>
      <w:r w:rsidRPr="008F03E5">
        <w:rPr>
          <w:sz w:val="16"/>
          <w:szCs w:val="16"/>
        </w:rPr>
        <w:t>SW</w:t>
      </w:r>
      <w:r w:rsidRPr="008F03E5">
        <w:t xml:space="preserve"> of Amman; a town in northern Syria, 25 km north of Ḥamáh and 70 km north of Homs</w:t>
      </w:r>
    </w:p>
    <w:p w14:paraId="3B84B3A0" w14:textId="77777777" w:rsidR="00625A5B" w:rsidRPr="008F03E5" w:rsidRDefault="00625A5B" w:rsidP="00B36DD9">
      <w:pPr>
        <w:pStyle w:val="Translit"/>
      </w:pPr>
      <w:r w:rsidRPr="008F03E5">
        <w:t>Ma’dan</w:t>
      </w:r>
      <w:r w:rsidRPr="008F03E5">
        <w:tab/>
        <w:t>Ma‘dan (Syrian ma‘din)</w:t>
      </w:r>
      <w:r w:rsidRPr="008F03E5">
        <w:tab/>
        <w:t>very good! bravo! well done!</w:t>
      </w:r>
    </w:p>
    <w:p w14:paraId="6CEBD664" w14:textId="77777777" w:rsidR="00625A5B" w:rsidRPr="008F03E5" w:rsidRDefault="00625A5B" w:rsidP="002121E6">
      <w:pPr>
        <w:pStyle w:val="Translit"/>
      </w:pPr>
      <w:r w:rsidRPr="008F03E5">
        <w:t>Ma’dan-i-Mis</w:t>
      </w:r>
      <w:r w:rsidRPr="008F03E5">
        <w:tab/>
        <w:t>Ma‘dan-i-Mis</w:t>
      </w:r>
      <w:r w:rsidRPr="008F03E5">
        <w:tab/>
        <w:t>Pers. copper mine.  Maden, town in Türkiye between Kharput and Diyarbakir</w:t>
      </w:r>
    </w:p>
    <w:p w14:paraId="2E8CAF4B" w14:textId="77777777" w:rsidR="00625A5B" w:rsidRPr="008F03E5" w:rsidRDefault="00625A5B" w:rsidP="006B4488">
      <w:pPr>
        <w:pStyle w:val="Translit"/>
      </w:pPr>
      <w:r w:rsidRPr="008F03E5">
        <w:t>Ma’dan-i-Nuqrih</w:t>
      </w:r>
      <w:r w:rsidRPr="008F03E5">
        <w:tab/>
        <w:t>Ma‘dan-i-Nuqrih</w:t>
      </w:r>
      <w:r w:rsidRPr="008F03E5">
        <w:tab/>
        <w:t>Pers. Keban (Turkish) is a town and silver mine.  The town is about 1 km below the large Keban Dam on the Euphrates River.</w:t>
      </w:r>
    </w:p>
    <w:p w14:paraId="662D988D" w14:textId="77777777" w:rsidR="00625A5B" w:rsidRPr="008F03E5" w:rsidRDefault="00625A5B" w:rsidP="0019267E">
      <w:pPr>
        <w:pStyle w:val="Translit"/>
      </w:pPr>
      <w:r w:rsidRPr="001457C8">
        <w:rPr>
          <w:lang w:val="it-IT"/>
        </w:rPr>
        <w:t>Ma’din, Ma’adin</w:t>
      </w:r>
      <w:r w:rsidRPr="001457C8">
        <w:rPr>
          <w:lang w:val="it-IT"/>
        </w:rPr>
        <w:tab/>
        <w:t>Ma‘din, pl. Ma‘ádin</w:t>
      </w:r>
      <w:r w:rsidRPr="001457C8">
        <w:rPr>
          <w:lang w:val="it-IT"/>
        </w:rPr>
        <w:tab/>
        <w:t xml:space="preserve">mine; lode; metal; mineral; treasure-trove, bonanza (figuratively).  </w:t>
      </w:r>
      <w:r w:rsidRPr="008F03E5">
        <w:t xml:space="preserve">Panj-Ma‘ádin (Pers. “five mines”) may be located at 29.250012, 54.599990, 28 km </w:t>
      </w:r>
      <w:r w:rsidRPr="008F03E5">
        <w:rPr>
          <w:sz w:val="16"/>
          <w:szCs w:val="16"/>
        </w:rPr>
        <w:t>ENE</w:t>
      </w:r>
      <w:r w:rsidRPr="008F03E5">
        <w:t xml:space="preserve"> of Nayriz.</w:t>
      </w:r>
    </w:p>
    <w:p w14:paraId="7E423DEC" w14:textId="77777777" w:rsidR="00625A5B" w:rsidRPr="001457C8" w:rsidRDefault="00625A5B" w:rsidP="00C40607">
      <w:pPr>
        <w:pStyle w:val="Translit"/>
        <w:rPr>
          <w:lang w:val="it-IT"/>
        </w:rPr>
      </w:pPr>
      <w:r w:rsidRPr="001457C8">
        <w:rPr>
          <w:lang w:val="it-IT"/>
        </w:rPr>
        <w:t>Ma’din, Ma’adin</w:t>
      </w:r>
      <w:r w:rsidRPr="001457C8">
        <w:rPr>
          <w:lang w:val="it-IT"/>
        </w:rPr>
        <w:tab/>
        <w:t>Ma‘din, pl. Ma‘ádin</w:t>
      </w:r>
      <w:r w:rsidRPr="001457C8">
        <w:rPr>
          <w:lang w:val="it-IT"/>
        </w:rPr>
        <w:tab/>
        <w:t>mine; lode; metal; mineral; treasure-trove, bonanza (figurative); (place of) origin, source</w:t>
      </w:r>
    </w:p>
    <w:p w14:paraId="4E4E8BBB" w14:textId="77777777" w:rsidR="00625A5B" w:rsidRPr="001457C8" w:rsidRDefault="00625A5B" w:rsidP="00AB5481">
      <w:pPr>
        <w:pStyle w:val="Translit"/>
        <w:rPr>
          <w:lang w:val="it-IT"/>
        </w:rPr>
      </w:pPr>
      <w:r w:rsidRPr="001457C8">
        <w:rPr>
          <w:lang w:val="it-IT"/>
        </w:rPr>
        <w:t>Ma’dini, Ma’daniyat</w:t>
      </w:r>
      <w:r w:rsidRPr="001457C8">
        <w:rPr>
          <w:lang w:val="it-IT"/>
        </w:rPr>
        <w:tab/>
        <w:t>Ma‘diní, pl. Ma‘daníyát</w:t>
      </w:r>
      <w:r w:rsidRPr="001457C8">
        <w:rPr>
          <w:lang w:val="it-IT"/>
        </w:rPr>
        <w:tab/>
        <w:t>metallic, mineral; al-ma‘daníyát mineralogy</w:t>
      </w:r>
    </w:p>
    <w:p w14:paraId="36536EA9" w14:textId="77777777" w:rsidR="00625A5B" w:rsidRPr="00BD5ADE" w:rsidRDefault="00625A5B" w:rsidP="00BD5ADE">
      <w:pPr>
        <w:pStyle w:val="Translit"/>
        <w:rPr>
          <w:lang w:val="en-AU"/>
        </w:rPr>
      </w:pPr>
      <w:r w:rsidRPr="00BD5ADE">
        <w:rPr>
          <w:lang w:val="en-AU"/>
        </w:rPr>
        <w:t>Ma’gul</w:t>
      </w:r>
      <w:r w:rsidRPr="00BD5ADE">
        <w:rPr>
          <w:lang w:val="en-AU"/>
        </w:rPr>
        <w:tab/>
        <w:t>Ma‘qúl</w:t>
      </w:r>
      <w:r w:rsidRPr="00BD5ADE">
        <w:rPr>
          <w:lang w:val="en-AU"/>
        </w:rPr>
        <w:tab/>
        <w:t>reasonable, sensible, intelligible, comprehensible, understandable, plausible, logical; rational; apprehensive faculty, comprehension, intellect, discernment, judiciousness, judgment; common sense</w:t>
      </w:r>
    </w:p>
    <w:p w14:paraId="39C9082F" w14:textId="77777777" w:rsidR="00625A5B" w:rsidRPr="00BD5ADE" w:rsidRDefault="00625A5B" w:rsidP="00BD5ADE">
      <w:pPr>
        <w:pStyle w:val="Translit"/>
        <w:rPr>
          <w:lang w:val="en-AU"/>
        </w:rPr>
      </w:pPr>
      <w:r w:rsidRPr="00BD5ADE">
        <w:rPr>
          <w:lang w:val="en-AU"/>
        </w:rPr>
        <w:t>Ma’ida, Ma’idat</w:t>
      </w:r>
      <w:r w:rsidRPr="00BD5ADE">
        <w:rPr>
          <w:lang w:val="en-AU"/>
        </w:rPr>
        <w:tab/>
        <w:t>Má’idat, Má’ida</w:t>
      </w:r>
      <w:r w:rsidRPr="00BD5ADE">
        <w:rPr>
          <w:lang w:val="en-AU"/>
        </w:rPr>
        <w:tab/>
        <w:t>Pers. a table, especially one covered with victuals; a circle, circumference, circuit, orbit</w:t>
      </w:r>
    </w:p>
    <w:p w14:paraId="704BD527" w14:textId="77777777" w:rsidR="00625A5B" w:rsidRPr="008F03E5" w:rsidRDefault="00625A5B" w:rsidP="00AA7073">
      <w:pPr>
        <w:pStyle w:val="Translit"/>
      </w:pPr>
      <w:r w:rsidRPr="008F03E5">
        <w:t>Ma’ida, Mawaid</w:t>
      </w:r>
      <w:r w:rsidRPr="008F03E5">
        <w:tab/>
        <w:t>Má’ida, pl. Má’idát, Mawá’id</w:t>
      </w:r>
      <w:r w:rsidRPr="008F03E5">
        <w:tab/>
        <w:t>Ar. table</w:t>
      </w:r>
    </w:p>
    <w:p w14:paraId="283D3075" w14:textId="77777777" w:rsidR="00625A5B" w:rsidRPr="008F03E5" w:rsidRDefault="00625A5B" w:rsidP="0094202D">
      <w:pPr>
        <w:pStyle w:val="Translit"/>
      </w:pPr>
      <w:r w:rsidRPr="008F03E5">
        <w:t>Ma’idi</w:t>
      </w:r>
      <w:r>
        <w:t>-</w:t>
      </w:r>
      <w:r w:rsidRPr="008F03E5">
        <w:t>yi-Asmani</w:t>
      </w:r>
      <w:r w:rsidRPr="008F03E5">
        <w:tab/>
        <w:t>Má’idi</w:t>
      </w:r>
      <w:r>
        <w:t>-</w:t>
      </w:r>
      <w:r w:rsidRPr="008F03E5">
        <w:t>yi-Ásmání</w:t>
      </w:r>
      <w:r w:rsidRPr="008F03E5">
        <w:tab/>
        <w:t>Pers. “Heavenly Banquet” or “The Heavenly Bread”, compilation of writings by ‘Abdu’l-Bahá</w:t>
      </w:r>
    </w:p>
    <w:p w14:paraId="4E78B293" w14:textId="77777777" w:rsidR="00625A5B" w:rsidRPr="008F03E5" w:rsidRDefault="00625A5B" w:rsidP="00084A8F">
      <w:pPr>
        <w:pStyle w:val="Translit"/>
      </w:pPr>
      <w:r w:rsidRPr="008F03E5">
        <w:t>Ma’in, Mu’un</w:t>
      </w:r>
      <w:r w:rsidRPr="008F03E5">
        <w:tab/>
        <w:t>Ma</w:t>
      </w:r>
      <w:r w:rsidRPr="008F03E5">
        <w:rPr>
          <w:rFonts w:eastAsia="Times New Roman"/>
        </w:rPr>
        <w:t>‘</w:t>
      </w:r>
      <w:r w:rsidRPr="008F03E5">
        <w:t>ín, pl. Mu‘un</w:t>
      </w:r>
      <w:r w:rsidRPr="008F03E5">
        <w:tab/>
        <w:t>(water) flowing over the surface of ground.  The Minaean people were the inhabitants of the kingdom of Ma‘ín in modern-day Yemen.  Qarnáwu (16.128100, 44.815300), near al-Ḥazm, was a capital of Ma‘ín.</w:t>
      </w:r>
    </w:p>
    <w:p w14:paraId="0767827B" w14:textId="77777777" w:rsidR="00625A5B" w:rsidRPr="008F03E5" w:rsidRDefault="00625A5B" w:rsidP="00985800">
      <w:pPr>
        <w:pStyle w:val="Translit"/>
      </w:pPr>
      <w:r w:rsidRPr="008F03E5">
        <w:t>Ma’juj, Majuj</w:t>
      </w:r>
      <w:r w:rsidRPr="008F03E5">
        <w:tab/>
        <w:t>Ma’júj, Májúj</w:t>
      </w:r>
      <w:r w:rsidRPr="008F03E5">
        <w:tab/>
        <w:t>Magog, son of Japhet; Eastern Tartary.  See Yá’júj (Gog) and mu</w:t>
      </w:r>
      <w:r w:rsidRPr="008F03E5">
        <w:rPr>
          <w:rFonts w:eastAsia="Times New Roman"/>
        </w:rPr>
        <w:t>‘</w:t>
      </w:r>
      <w:r w:rsidRPr="008F03E5">
        <w:t>ẓam.</w:t>
      </w:r>
    </w:p>
    <w:p w14:paraId="29054A54" w14:textId="77777777" w:rsidR="00625A5B" w:rsidRPr="008F03E5" w:rsidRDefault="00625A5B" w:rsidP="00A75761">
      <w:pPr>
        <w:pStyle w:val="Translit"/>
      </w:pPr>
      <w:r w:rsidRPr="008F03E5">
        <w:t>Ma’mun</w:t>
      </w:r>
      <w:r w:rsidRPr="008F03E5">
        <w:tab/>
        <w:t>Ma’mún</w:t>
      </w:r>
      <w:r w:rsidRPr="008F03E5">
        <w:tab/>
        <w:t>reliable, trustworthy</w:t>
      </w:r>
    </w:p>
    <w:p w14:paraId="4B014158" w14:textId="77777777" w:rsidR="00625A5B" w:rsidRPr="008F03E5" w:rsidRDefault="00625A5B" w:rsidP="004E767E">
      <w:pPr>
        <w:pStyle w:val="Translit"/>
      </w:pPr>
      <w:r w:rsidRPr="008F03E5">
        <w:t>Ma’mur</w:t>
      </w:r>
      <w:r w:rsidRPr="008F03E5">
        <w:tab/>
        <w:t>Ma‘múr</w:t>
      </w:r>
      <w:r w:rsidRPr="008F03E5">
        <w:tab/>
        <w:t>inhabited, populated, populous; frequented</w:t>
      </w:r>
    </w:p>
    <w:p w14:paraId="0A34BC17" w14:textId="77777777" w:rsidR="00625A5B" w:rsidRPr="008F03E5" w:rsidRDefault="00625A5B" w:rsidP="009C45FA">
      <w:pPr>
        <w:pStyle w:val="Translit"/>
      </w:pPr>
      <w:r w:rsidRPr="008F03E5">
        <w:t>Ma’mur</w:t>
      </w:r>
      <w:r w:rsidRPr="008F03E5">
        <w:tab/>
        <w:t>Ma’múr</w:t>
      </w:r>
      <w:r w:rsidRPr="008F03E5">
        <w:tab/>
        <w:t>commissioned, charged; commissioner; civil officer, official, especially one in executive capacity; the head of a markaz and qism (Egypt)</w:t>
      </w:r>
    </w:p>
    <w:p w14:paraId="24208025" w14:textId="77777777" w:rsidR="00625A5B" w:rsidRPr="008F03E5" w:rsidRDefault="00625A5B" w:rsidP="00D83AA1">
      <w:pPr>
        <w:pStyle w:val="Translit"/>
      </w:pPr>
      <w:r w:rsidRPr="001457C8">
        <w:rPr>
          <w:lang w:val="it-IT"/>
        </w:rPr>
        <w:t>Ma’na, Ma’ani</w:t>
      </w:r>
      <w:r w:rsidRPr="001457C8">
        <w:rPr>
          <w:lang w:val="it-IT"/>
        </w:rPr>
        <w:tab/>
        <w:t xml:space="preserve">Ma‘ná, Ma‘ná[t], pl. </w:t>
      </w:r>
      <w:r w:rsidRPr="008F03E5">
        <w:t>Ma‘ání</w:t>
      </w:r>
      <w:r w:rsidRPr="008F03E5">
        <w:tab/>
        <w:t>in Pers. also Ma‘nát.  sense, meaning, signification, import, drift, reality; virtue, efficacy; the title or lettering of a book; spirituality; a thing; anything; a subject; a circumstance, an event.—pl. meanings or significances, significations, senses; imports; mental images; intrinsic qualities; qualities that are commended or approved, charms, graces; elegance of language; mystical meanings; sublime realities, spiritual matters.  A reference to the Imams as the repositories of the inner Word of God.  Baháriyyih Rúḥání Ma‘ání (Baharieh Rouhani Ma‘ani) author and translator.  See ma‘nan</w:t>
      </w:r>
    </w:p>
    <w:p w14:paraId="0DE0D15A" w14:textId="77777777" w:rsidR="00625A5B" w:rsidRPr="008F03E5" w:rsidRDefault="00625A5B" w:rsidP="00082A92">
      <w:pPr>
        <w:pStyle w:val="Translit"/>
      </w:pPr>
      <w:r w:rsidRPr="000955C6">
        <w:rPr>
          <w:lang w:val="en-AU"/>
        </w:rPr>
        <w:t>Ma’nan, Ma’anin</w:t>
      </w:r>
      <w:r w:rsidRPr="000955C6">
        <w:rPr>
          <w:lang w:val="en-AU"/>
        </w:rPr>
        <w:tab/>
        <w:t xml:space="preserve">Ma‘nan, pl. </w:t>
      </w:r>
      <w:r w:rsidRPr="008F03E5">
        <w:t>Ma‘ánin</w:t>
      </w:r>
      <w:r w:rsidRPr="008F03E5">
        <w:tab/>
        <w:t>sense, meaning, signification, import; concept, notion, idea, thought; thematic purport (e.g., of a work of art, as distinguished from its form); a rhetorical, figurative, or allegorical expression.  See ma‘ná</w:t>
      </w:r>
    </w:p>
    <w:p w14:paraId="04CC2F3C" w14:textId="77777777" w:rsidR="00625A5B" w:rsidRPr="008F03E5" w:rsidRDefault="00625A5B" w:rsidP="00F06682">
      <w:pPr>
        <w:pStyle w:val="Translit"/>
      </w:pPr>
      <w:r w:rsidRPr="008F03E5">
        <w:t>Ma’nawi (Manavi)</w:t>
      </w:r>
      <w:r w:rsidRPr="008F03E5">
        <w:tab/>
        <w:t>Ma‘nawí</w:t>
      </w:r>
      <w:r w:rsidRPr="008F03E5">
        <w:tab/>
        <w:t>relating to the sense or import (of a word or expression)</w:t>
      </w:r>
    </w:p>
    <w:p w14:paraId="283CB37E" w14:textId="77777777" w:rsidR="00625A5B" w:rsidRPr="008F03E5" w:rsidRDefault="00625A5B" w:rsidP="00492628">
      <w:pPr>
        <w:pStyle w:val="Translit"/>
      </w:pPr>
      <w:r w:rsidRPr="008F03E5">
        <w:t>Ma’qul</w:t>
      </w:r>
      <w:r w:rsidRPr="008F03E5">
        <w:tab/>
        <w:t>Ma‘qúl</w:t>
      </w:r>
      <w:r w:rsidRPr="008F03E5">
        <w:tab/>
        <w:t xml:space="preserve">reasonable, sensible, intelligible, comprehensible, understandable, plausible, logical; rational; apprehensive faculty, comprehension, intellect, discernment, judiciousness, judgment; common sense (ex-cogitated, </w:t>
      </w:r>
      <w:r w:rsidRPr="008F03E5">
        <w:rPr>
          <w:sz w:val="16"/>
          <w:szCs w:val="16"/>
        </w:rPr>
        <w:t>MF</w:t>
      </w:r>
      <w:r w:rsidRPr="008F03E5">
        <w:t xml:space="preserve"> 156)</w:t>
      </w:r>
    </w:p>
    <w:p w14:paraId="3BBEA012" w14:textId="77777777" w:rsidR="00625A5B" w:rsidRPr="008F03E5" w:rsidRDefault="00625A5B" w:rsidP="00165F74">
      <w:pPr>
        <w:pStyle w:val="Translit"/>
      </w:pPr>
      <w:r w:rsidRPr="008F03E5">
        <w:t>Ma’rab, Ma’rib</w:t>
      </w:r>
      <w:r w:rsidRPr="008F03E5">
        <w:tab/>
        <w:t>Ma’rab</w:t>
      </w:r>
      <w:r w:rsidRPr="008F03E5">
        <w:tab/>
      </w:r>
      <w:r w:rsidRPr="008F03E5">
        <w:rPr>
          <w:i/>
          <w:iCs/>
        </w:rPr>
        <w:t>t</w:t>
      </w:r>
      <w:r w:rsidRPr="008F03E5">
        <w:t xml:space="preserve">he time or place for any necessary business.  Ma’rib is the capital city of Ma’rib Governorate, Yemen.  It is 122 km east of Sana’a.  The ruins of Ma’rib, the capital of the ancient kingdom of Saba’ (unlikely to be that of Sheba), are 3.5 km south of the centre of the modern city.  The Sabaean kings built great irrigation works such as the Ma’rib Dam, whose ruins are still visible, is 3 km downstream of the modern dam and about 9 km </w:t>
      </w:r>
      <w:r w:rsidRPr="008F03E5">
        <w:rPr>
          <w:sz w:val="16"/>
          <w:szCs w:val="16"/>
        </w:rPr>
        <w:t>NE</w:t>
      </w:r>
      <w:r w:rsidRPr="008F03E5">
        <w:t xml:space="preserve"> of Ma’rib.</w:t>
      </w:r>
    </w:p>
    <w:p w14:paraId="1B0FAE54" w14:textId="77777777" w:rsidR="00625A5B" w:rsidRPr="001457C8" w:rsidRDefault="00625A5B" w:rsidP="00D76F8C">
      <w:pPr>
        <w:pStyle w:val="Translit"/>
        <w:rPr>
          <w:lang w:val="pl-PL"/>
        </w:rPr>
      </w:pPr>
      <w:r w:rsidRPr="001457C8">
        <w:rPr>
          <w:lang w:val="pl-PL"/>
        </w:rPr>
        <w:t>Ma’raj, Ma’arij</w:t>
      </w:r>
      <w:r w:rsidRPr="001457C8">
        <w:rPr>
          <w:lang w:val="pl-PL"/>
        </w:rPr>
        <w:tab/>
        <w:t xml:space="preserve">Ma‘raj, pl. </w:t>
      </w:r>
      <w:r w:rsidRPr="008F03E5">
        <w:t>Ma‘árij</w:t>
      </w:r>
      <w:r w:rsidRPr="008F03E5">
        <w:tab/>
        <w:t xml:space="preserve">place of ascent; (route of) ascent.  </w:t>
      </w:r>
      <w:r w:rsidRPr="001457C8">
        <w:rPr>
          <w:lang w:val="pl-PL"/>
        </w:rPr>
        <w:t>See Mi‘raj</w:t>
      </w:r>
    </w:p>
    <w:p w14:paraId="439F938C" w14:textId="77777777" w:rsidR="00625A5B" w:rsidRPr="008F03E5" w:rsidRDefault="00625A5B" w:rsidP="00112761">
      <w:pPr>
        <w:pStyle w:val="Translit"/>
      </w:pPr>
      <w:r w:rsidRPr="001457C8">
        <w:rPr>
          <w:lang w:val="pl-PL"/>
        </w:rPr>
        <w:t>Ma’raka, Ma’ruka, Ma’arik</w:t>
      </w:r>
      <w:r w:rsidRPr="001457C8">
        <w:rPr>
          <w:lang w:val="pl-PL"/>
        </w:rPr>
        <w:tab/>
        <w:t xml:space="preserve">Ma‘raka[h], Ma‘ruka[h], pl. </w:t>
      </w:r>
      <w:r w:rsidRPr="008F03E5">
        <w:t>Ma’árik</w:t>
      </w:r>
      <w:r w:rsidRPr="008F03E5">
        <w:tab/>
        <w:t>battlefield; battle.  See Mu’tah</w:t>
      </w:r>
    </w:p>
    <w:p w14:paraId="5BEC4331" w14:textId="77777777" w:rsidR="00625A5B" w:rsidRPr="008F03E5" w:rsidRDefault="00625A5B" w:rsidP="007E1110">
      <w:pPr>
        <w:pStyle w:val="Translit"/>
      </w:pPr>
      <w:r w:rsidRPr="008F03E5">
        <w:t>Ma’rakat Balat ash-Shuhada’</w:t>
      </w:r>
      <w:r w:rsidRPr="008F03E5">
        <w:tab/>
        <w:t>Ma‘rakat Baláṭ a</w:t>
      </w:r>
      <w:r w:rsidRPr="008F03E5">
        <w:rPr>
          <w:u w:val="single"/>
        </w:rPr>
        <w:t>sh</w:t>
      </w:r>
      <w:r w:rsidRPr="008F03E5">
        <w:t>-</w:t>
      </w:r>
      <w:r w:rsidRPr="008F03E5">
        <w:rPr>
          <w:u w:val="single"/>
        </w:rPr>
        <w:t>Sh</w:t>
      </w:r>
      <w:r w:rsidRPr="008F03E5">
        <w:t>uhadá’</w:t>
      </w:r>
      <w:r w:rsidRPr="008F03E5">
        <w:tab/>
        <w:t xml:space="preserve">the Battle of the Highway of the Martyrs, the Battle of Tours or the Battle of Poitiers (10 October 732)—it was an important victory of the Frankish and Burgundian forces under Charles Martel over the raiding parties of the Umayyad Caliphate led by ‘Abdu’l Raḥmán al </w:t>
      </w:r>
      <w:r w:rsidRPr="008F03E5">
        <w:rPr>
          <w:u w:val="single"/>
        </w:rPr>
        <w:t>Gh</w:t>
      </w:r>
      <w:r w:rsidRPr="008F03E5">
        <w:t>afiqí (he died), Governor-General of al-Andalus.</w:t>
      </w:r>
    </w:p>
    <w:p w14:paraId="11DA86C5" w14:textId="77777777" w:rsidR="00625A5B" w:rsidRPr="008F03E5" w:rsidRDefault="00625A5B" w:rsidP="00CE3826">
      <w:pPr>
        <w:pStyle w:val="Translit"/>
      </w:pPr>
      <w:r w:rsidRPr="008F03E5">
        <w:t>Ma’rifa, Ma’arif</w:t>
      </w:r>
      <w:r w:rsidRPr="008F03E5">
        <w:tab/>
        <w:t>Ma‘rifa[</w:t>
      </w:r>
      <w:r>
        <w:t xml:space="preserve">h or </w:t>
      </w:r>
      <w:r w:rsidRPr="008F03E5">
        <w:t>t], pl. Ma‘árif</w:t>
      </w:r>
      <w:r w:rsidRPr="008F03E5">
        <w:tab/>
        <w:t>knowledge, learning, lore, information, skill, know-how; cognition, intellection, perception, experience, realization; gnosis; acquaintance, cognizance, conversance; an acquainted person, an acquaintance, a friend; (grammar) definite noun;—pl. al-ma‘árif cultural affairs, education.  Pers. definition:  knowing; knowledge, science, learning; insight in divine matters or mysteries; art, skill, craft; account, reason, means; by means of, through</w:t>
      </w:r>
      <w:r>
        <w:t>.</w:t>
      </w:r>
    </w:p>
    <w:p w14:paraId="0770F07D" w14:textId="77777777" w:rsidR="00625A5B" w:rsidRPr="008F03E5" w:rsidRDefault="00625A5B" w:rsidP="00514661">
      <w:pPr>
        <w:pStyle w:val="Translit"/>
      </w:pPr>
      <w:r w:rsidRPr="008F03E5">
        <w:t>Ma’ruf</w:t>
      </w:r>
      <w:r w:rsidRPr="008F03E5">
        <w:tab/>
        <w:t>Ma‘rúf</w:t>
      </w:r>
      <w:r w:rsidRPr="008F03E5">
        <w:tab/>
        <w:t>known, well-known; universally accepted, generally recognized; conventional; that which is good, beneficial, or fitting, good, benefit; fairness, equity, equitableness; kindness, friendliness, amicability; beneficence; favour rendered, courtesy, mark of friendship; active voice (grammar)</w:t>
      </w:r>
    </w:p>
    <w:p w14:paraId="12C69260" w14:textId="77777777" w:rsidR="00625A5B" w:rsidRPr="008F03E5" w:rsidRDefault="00625A5B" w:rsidP="00FB3BAE">
      <w:pPr>
        <w:pStyle w:val="Translit"/>
      </w:pPr>
      <w:r w:rsidRPr="008F03E5">
        <w:t>Ma’shuq, Ma’shuqa</w:t>
      </w:r>
      <w:r w:rsidRPr="008F03E5">
        <w:tab/>
        <w:t>Ma‘</w:t>
      </w:r>
      <w:r w:rsidRPr="008F03E5">
        <w:rPr>
          <w:u w:val="single"/>
        </w:rPr>
        <w:t>sh</w:t>
      </w:r>
      <w:r w:rsidRPr="008F03E5">
        <w:t>úq, fem. Ma‘</w:t>
      </w:r>
      <w:r w:rsidRPr="008F03E5">
        <w:rPr>
          <w:u w:val="single"/>
        </w:rPr>
        <w:t>sh</w:t>
      </w:r>
      <w:r w:rsidRPr="008F03E5">
        <w:t>úqa[h or t]</w:t>
      </w:r>
      <w:r w:rsidRPr="008F03E5">
        <w:tab/>
        <w:t>lover, sweetheart; fem. beloved, sweetheart</w:t>
      </w:r>
    </w:p>
    <w:p w14:paraId="66EA31BB" w14:textId="77777777" w:rsidR="00625A5B" w:rsidRPr="008F03E5" w:rsidRDefault="00625A5B" w:rsidP="00616224">
      <w:pPr>
        <w:pStyle w:val="Translit"/>
      </w:pPr>
      <w:r w:rsidRPr="008F03E5">
        <w:t>Ma’sum, Ma’suma, Ma’sumun</w:t>
      </w:r>
      <w:r w:rsidRPr="008F03E5">
        <w:tab/>
        <w:t xml:space="preserve">Ma‘ṣúm, fem. </w:t>
      </w:r>
      <w:r w:rsidRPr="001457C8">
        <w:rPr>
          <w:lang w:val="fr-FR"/>
        </w:rPr>
        <w:t>Ma‘ṣúma[h or t]</w:t>
      </w:r>
      <w:r w:rsidRPr="001457C8">
        <w:rPr>
          <w:lang w:val="fr-FR"/>
        </w:rPr>
        <w:tab/>
        <w:t xml:space="preserve">(Pers. </w:t>
      </w:r>
      <w:r w:rsidRPr="008F03E5">
        <w:t>“Ma’sumih, Ma’sumeh”) inviolable, sacrosanct, protected by the laws of vendetta (Islamic Law); infallible, sinless, impeccant, impeccable; immaculate, morally infallible and rendered immune to error by God, infallible in judgements and decrees.—pl. Ma‘ṣúmún, Ma‘ṣúmát.  Fáṭimah bint Músá al-</w:t>
      </w:r>
      <w:r w:rsidRPr="008F03E5">
        <w:rPr>
          <w:u w:val="single"/>
        </w:rPr>
        <w:t>Kh</w:t>
      </w:r>
      <w:r w:rsidRPr="008F03E5">
        <w:t>á</w:t>
      </w:r>
      <w:r w:rsidRPr="008F03E5">
        <w:rPr>
          <w:u w:val="single"/>
        </w:rPr>
        <w:t>dh</w:t>
      </w:r>
      <w:r w:rsidRPr="008F03E5">
        <w:t>im, sister of Imám ‘Alí ar-Riḍá (8th Imám), is commonly known in Iran as Fáṭima al-Ma‘súmih.  The Shrine of Fatima Masumeh (Ḥarám Fáṭimah Ma‘ṣúmah) is in Qum.  al-Ma‘ṣúmín al-Arba‘ata ‘A</w:t>
      </w:r>
      <w:r w:rsidRPr="008F03E5">
        <w:rPr>
          <w:u w:val="single"/>
        </w:rPr>
        <w:t>sh</w:t>
      </w:r>
      <w:r w:rsidRPr="008F03E5">
        <w:t xml:space="preserve">ara, Pers. </w:t>
      </w:r>
      <w:r w:rsidRPr="008F03E5">
        <w:rPr>
          <w:u w:val="single"/>
        </w:rPr>
        <w:t>Ch</w:t>
      </w:r>
      <w:r w:rsidRPr="008F03E5">
        <w:t>ahárdah Ma‘ṣúm:  the fourteen infallible ones—</w:t>
      </w:r>
      <w:r w:rsidRPr="008F03E5">
        <w:rPr>
          <w:rFonts w:eastAsia="Times New Roman"/>
        </w:rPr>
        <w:t>the prophet Mu</w:t>
      </w:r>
      <w:r w:rsidRPr="008F03E5">
        <w:t>ḥ</w:t>
      </w:r>
      <w:r w:rsidRPr="008F03E5">
        <w:rPr>
          <w:rFonts w:eastAsia="Times New Roman"/>
        </w:rPr>
        <w:t>ammad, his daughter, and the twelve Imams.</w:t>
      </w:r>
    </w:p>
    <w:p w14:paraId="4182D05D" w14:textId="77777777" w:rsidR="00625A5B" w:rsidRPr="008F03E5" w:rsidRDefault="00625A5B" w:rsidP="007E5000">
      <w:pPr>
        <w:pStyle w:val="Translit"/>
      </w:pPr>
      <w:r w:rsidRPr="008F03E5">
        <w:t>Ma’thara, Mathara, Ma’athir</w:t>
      </w:r>
      <w:r w:rsidRPr="008F03E5">
        <w:tab/>
        <w:t>Ma’</w:t>
      </w:r>
      <w:r w:rsidRPr="008F03E5">
        <w:rPr>
          <w:u w:val="single"/>
        </w:rPr>
        <w:t>th</w:t>
      </w:r>
      <w:r w:rsidRPr="008F03E5">
        <w:t>ara[t], Má</w:t>
      </w:r>
      <w:r w:rsidRPr="008F03E5">
        <w:rPr>
          <w:u w:val="single"/>
        </w:rPr>
        <w:t>th</w:t>
      </w:r>
      <w:r w:rsidRPr="008F03E5">
        <w:t>ara[t], pl. Ma’á</w:t>
      </w:r>
      <w:r w:rsidRPr="008F03E5">
        <w:rPr>
          <w:u w:val="single"/>
        </w:rPr>
        <w:t>th</w:t>
      </w:r>
      <w:r w:rsidRPr="008F03E5">
        <w:t>ir</w:t>
      </w:r>
      <w:r w:rsidRPr="008F03E5">
        <w:tab/>
        <w:t>glory, nobility, greatness, hereditary honour</w:t>
      </w:r>
    </w:p>
    <w:p w14:paraId="52805C2C" w14:textId="77777777" w:rsidR="00625A5B" w:rsidRPr="008F03E5" w:rsidRDefault="00625A5B" w:rsidP="00D92737">
      <w:pPr>
        <w:pStyle w:val="Translit"/>
      </w:pPr>
      <w:r w:rsidRPr="008F03E5">
        <w:t>Ma’u’l-Furat</w:t>
      </w:r>
      <w:r w:rsidRPr="008F03E5">
        <w:tab/>
        <w:t>Má’u’l-Furát</w:t>
      </w:r>
      <w:r w:rsidRPr="008F03E5">
        <w:tab/>
        <w:t>sweet waters (“the fresh and thirst-quenching waters”)</w:t>
      </w:r>
    </w:p>
    <w:p w14:paraId="215CDC67" w14:textId="77777777" w:rsidR="00625A5B" w:rsidRPr="008F03E5" w:rsidRDefault="00625A5B" w:rsidP="009530E8">
      <w:pPr>
        <w:pStyle w:val="Translit"/>
      </w:pPr>
      <w:r w:rsidRPr="00077779">
        <w:rPr>
          <w:lang w:val="en-AU"/>
        </w:rPr>
        <w:t>Ma’una, Ma’un</w:t>
      </w:r>
      <w:r w:rsidRPr="00077779">
        <w:rPr>
          <w:lang w:val="en-AU"/>
        </w:rPr>
        <w:tab/>
        <w:t xml:space="preserve">Ma‘úna[h or t], pl. </w:t>
      </w:r>
      <w:r w:rsidRPr="008F03E5">
        <w:t>Ma‘ún</w:t>
      </w:r>
      <w:r w:rsidRPr="008F03E5">
        <w:tab/>
        <w:t xml:space="preserve">help, aid, assistance, succour, relief, support, backing.  Variously interpreted as assistance to neighbours in the form of lending household utensils; voluntary and obligatory alms; obedience to prescribed rules.  Saríya Bi’r Ma‘úna refers to an event in 625 when a large number of Muslims were sent by Muḥammad to the tribes of Banú Sálim and Banú ‘Ámir.  They were attacked by men of Banú-Sulaym at Bi’r Ma‘úna (Ma‘úna well or Aid well; location unknown, but about 80 km </w:t>
      </w:r>
      <w:r w:rsidRPr="008F03E5">
        <w:rPr>
          <w:sz w:val="16"/>
          <w:szCs w:val="16"/>
        </w:rPr>
        <w:t>SE</w:t>
      </w:r>
      <w:r w:rsidRPr="008F03E5">
        <w:t xml:space="preserve"> Medina) and all but two were killed.</w:t>
      </w:r>
    </w:p>
    <w:p w14:paraId="02801BC9" w14:textId="77777777" w:rsidR="00625A5B" w:rsidRPr="008F03E5" w:rsidRDefault="00625A5B" w:rsidP="00B52F23">
      <w:pPr>
        <w:pStyle w:val="Translit"/>
      </w:pPr>
      <w:r w:rsidRPr="008F03E5">
        <w:t>Mab’ath, Maba’ith</w:t>
      </w:r>
      <w:r w:rsidRPr="008F03E5">
        <w:tab/>
        <w:t>Mab‘a</w:t>
      </w:r>
      <w:r w:rsidRPr="008F03E5">
        <w:rPr>
          <w:u w:val="single"/>
        </w:rPr>
        <w:t>th</w:t>
      </w:r>
      <w:r w:rsidRPr="008F03E5">
        <w:t>, pl. Mabá‘i</w:t>
      </w:r>
      <w:r w:rsidRPr="008F03E5">
        <w:rPr>
          <w:u w:val="single"/>
        </w:rPr>
        <w:t>th</w:t>
      </w:r>
      <w:r w:rsidRPr="008F03E5">
        <w:tab/>
        <w:t>sending, forwarding, dispatch; emission; awakening, arousal;—pl. cause; factor</w:t>
      </w:r>
    </w:p>
    <w:p w14:paraId="07B6A29F" w14:textId="77777777" w:rsidR="00625A5B" w:rsidRPr="008F03E5" w:rsidRDefault="00625A5B" w:rsidP="00B31DDA">
      <w:pPr>
        <w:pStyle w:val="Translit"/>
      </w:pPr>
      <w:r w:rsidRPr="008F03E5">
        <w:t>Mabda’</w:t>
      </w:r>
      <w:r w:rsidRPr="008F03E5">
        <w:tab/>
        <w:t>Mabda’, pl. Mabádi</w:t>
      </w:r>
      <w:r w:rsidRPr="008F03E5">
        <w:tab/>
        <w:t>beginning, start, starting point; basis, foundation; principle; invention;—pl. principles, convictions (of a person); ideology; rudiments, fundamental concepts, elements</w:t>
      </w:r>
    </w:p>
    <w:p w14:paraId="048974E0" w14:textId="77777777" w:rsidR="00625A5B" w:rsidRPr="008F03E5" w:rsidRDefault="00625A5B" w:rsidP="008F7AAF">
      <w:pPr>
        <w:pStyle w:val="Translit"/>
      </w:pPr>
      <w:r w:rsidRPr="008F03E5">
        <w:t>Mabsut</w:t>
      </w:r>
      <w:r w:rsidRPr="008F03E5">
        <w:rPr>
          <w:i/>
          <w:iCs/>
        </w:rPr>
        <w:tab/>
      </w:r>
      <w:r w:rsidRPr="008F03E5">
        <w:t>Mabsúṭ</w:t>
      </w:r>
      <w:r w:rsidRPr="008F03E5">
        <w:tab/>
        <w:t>extended, outstretched; rim, spread out; extensive, large, sizeable; detailed, elaborate (book); cheerful, happy, gay; feeling well, in good health.  Nickname “happy”:  Dr Ḍíyá’ Mabsúṭ Ba</w:t>
      </w:r>
      <w:r w:rsidRPr="008F03E5">
        <w:rPr>
          <w:u w:val="single"/>
        </w:rPr>
        <w:t>gh</w:t>
      </w:r>
      <w:r w:rsidRPr="008F03E5">
        <w:t>dádí</w:t>
      </w:r>
    </w:p>
    <w:p w14:paraId="285567F2" w14:textId="77777777" w:rsidR="00625A5B" w:rsidRPr="008F03E5" w:rsidRDefault="00625A5B" w:rsidP="0049280C">
      <w:pPr>
        <w:pStyle w:val="Translit"/>
      </w:pPr>
      <w:r w:rsidRPr="008F03E5">
        <w:t>Mada’in Salih</w:t>
      </w:r>
      <w:r w:rsidRPr="008F03E5">
        <w:tab/>
        <w:t>Madá’in Ṣáliḥ</w:t>
      </w:r>
      <w:r w:rsidRPr="008F03E5">
        <w:tab/>
        <w:t xml:space="preserve">Mada’in Saleh (“Cities of Saleh”), also called “al-Ḥijr” or “Hegra”, is an archaeological site 309 km </w:t>
      </w:r>
      <w:r w:rsidRPr="008F03E5">
        <w:rPr>
          <w:sz w:val="16"/>
          <w:szCs w:val="16"/>
        </w:rPr>
        <w:t>NW</w:t>
      </w:r>
      <w:r w:rsidRPr="008F03E5">
        <w:t xml:space="preserve"> of Medina.  The site is thought to be near the ruins of the </w:t>
      </w:r>
      <w:r w:rsidRPr="008F03E5">
        <w:rPr>
          <w:u w:val="single"/>
        </w:rPr>
        <w:t>Th</w:t>
      </w:r>
      <w:r w:rsidRPr="008F03E5">
        <w:t>amúd.</w:t>
      </w:r>
    </w:p>
    <w:p w14:paraId="6F816A6F" w14:textId="77777777" w:rsidR="00625A5B" w:rsidRPr="008F03E5" w:rsidRDefault="00625A5B" w:rsidP="008F7AAF">
      <w:pPr>
        <w:pStyle w:val="Translit"/>
      </w:pPr>
      <w:r w:rsidRPr="008F03E5">
        <w:t>Madad, Amdad</w:t>
      </w:r>
      <w:r w:rsidRPr="008F03E5">
        <w:tab/>
        <w:t>Madad, pl. Amdád</w:t>
      </w:r>
      <w:r w:rsidRPr="008F03E5">
        <w:tab/>
        <w:t>help, aid, assistance, support, backing, reinforcement;—pl. resources; auxiliaries.  House of Ḥájí ‘Alí Madad, in Ba</w:t>
      </w:r>
      <w:r w:rsidRPr="008F03E5">
        <w:rPr>
          <w:u w:val="single"/>
        </w:rPr>
        <w:t>gh</w:t>
      </w:r>
      <w:r w:rsidRPr="008F03E5">
        <w:t>dád that Bahá’u’lláh and family first occupied on arrival.  This is not the Bayt-i-A‘ẓam.</w:t>
      </w:r>
    </w:p>
    <w:p w14:paraId="52DD0E1F" w14:textId="77777777" w:rsidR="00625A5B" w:rsidRPr="008F03E5" w:rsidRDefault="00625A5B" w:rsidP="006206F1">
      <w:pPr>
        <w:pStyle w:val="Translit"/>
      </w:pPr>
      <w:r w:rsidRPr="008F03E5">
        <w:t>Madaha, Madh, Midha</w:t>
      </w:r>
      <w:r w:rsidRPr="008F03E5">
        <w:tab/>
        <w:t>Madaḥa, Madḥ, Midḥa</w:t>
      </w:r>
      <w:r w:rsidRPr="008F03E5">
        <w:tab/>
        <w:t>to praise, commend, laud, extol</w:t>
      </w:r>
    </w:p>
    <w:p w14:paraId="0573A763" w14:textId="77777777" w:rsidR="00625A5B" w:rsidRPr="008F03E5" w:rsidRDefault="00625A5B" w:rsidP="00B1533F">
      <w:pPr>
        <w:pStyle w:val="Translit"/>
      </w:pPr>
      <w:r w:rsidRPr="008F03E5">
        <w:t>Madan</w:t>
      </w:r>
      <w:r w:rsidRPr="008F03E5">
        <w:tab/>
        <w:t>Madan</w:t>
      </w:r>
      <w:r w:rsidRPr="008F03E5">
        <w:tab/>
        <w:t>extension, expanse, stretch, spread, compass, range, scope, space, latitude, reach; distance, interval, interspace; extent, degree, measure, scale, proportion; utmost point, extreme, limit; space of time, duration, period</w:t>
      </w:r>
    </w:p>
    <w:p w14:paraId="40E93890" w14:textId="77777777" w:rsidR="00625A5B" w:rsidRPr="008F03E5" w:rsidRDefault="00625A5B" w:rsidP="00E2529A">
      <w:pPr>
        <w:pStyle w:val="Translit"/>
      </w:pPr>
      <w:r w:rsidRPr="008F03E5">
        <w:t>Madani</w:t>
      </w:r>
      <w:r w:rsidRPr="008F03E5">
        <w:tab/>
        <w:t>Madaní</w:t>
      </w:r>
      <w:r w:rsidRPr="008F03E5">
        <w:tab/>
        <w:t>urban, urbanized, city-dwelling, town-dwelling; civilized, refined, polished; civilian (as opposed to military), civil, civic; secular; town dweller, townsman, city dweller, urbanite, citizen, civilian; of Medina, Medinan (adj. and n.)</w:t>
      </w:r>
    </w:p>
    <w:p w14:paraId="4E2BBD9C" w14:textId="77777777" w:rsidR="00625A5B" w:rsidRPr="00077779" w:rsidRDefault="00625A5B" w:rsidP="003E56E3">
      <w:pPr>
        <w:pStyle w:val="Translit"/>
        <w:rPr>
          <w:lang w:val="es-ES_tradnl"/>
        </w:rPr>
      </w:pPr>
      <w:r w:rsidRPr="00077779">
        <w:rPr>
          <w:lang w:val="es-ES_tradnl"/>
        </w:rPr>
        <w:t>Madaniya, Madaniyyah</w:t>
      </w:r>
      <w:r w:rsidRPr="00077779">
        <w:rPr>
          <w:lang w:val="es-ES_tradnl"/>
        </w:rPr>
        <w:tab/>
        <w:t>Madaníya[t], Pers. Madaniyyih</w:t>
      </w:r>
      <w:r w:rsidRPr="00077779">
        <w:rPr>
          <w:lang w:val="es-ES_tradnl"/>
        </w:rPr>
        <w:tab/>
        <w:t>civilization.  Madaníyat al-Iláhíya, Divine Civilization.</w:t>
      </w:r>
    </w:p>
    <w:p w14:paraId="7F15E694" w14:textId="77777777" w:rsidR="00625A5B" w:rsidRPr="00077779" w:rsidRDefault="00625A5B" w:rsidP="00211D7B">
      <w:pPr>
        <w:pStyle w:val="Translit"/>
        <w:rPr>
          <w:lang w:val="es-ES_tradnl"/>
        </w:rPr>
      </w:pPr>
      <w:r w:rsidRPr="00077779">
        <w:rPr>
          <w:lang w:val="es-ES_tradnl"/>
        </w:rPr>
        <w:t>Madar</w:t>
      </w:r>
      <w:r w:rsidRPr="00077779">
        <w:rPr>
          <w:lang w:val="es-ES_tradnl"/>
        </w:rPr>
        <w:tab/>
        <w:t>Mádar</w:t>
      </w:r>
      <w:r w:rsidRPr="00077779">
        <w:rPr>
          <w:lang w:val="es-ES_tradnl"/>
        </w:rPr>
        <w:tab/>
        <w:t>Pers. a mother</w:t>
      </w:r>
    </w:p>
    <w:p w14:paraId="063BC4F7" w14:textId="77777777" w:rsidR="00625A5B" w:rsidRPr="00077779" w:rsidRDefault="00625A5B" w:rsidP="00165F74">
      <w:pPr>
        <w:pStyle w:val="Translit"/>
      </w:pPr>
      <w:r w:rsidRPr="00077779">
        <w:rPr>
          <w:lang w:val="es-ES_tradnl"/>
        </w:rPr>
        <w:t>Madar, Madarat, Madariyan</w:t>
      </w:r>
      <w:r w:rsidRPr="00077779">
        <w:rPr>
          <w:lang w:val="es-ES_tradnl"/>
        </w:rPr>
        <w:tab/>
        <w:t xml:space="preserve">Madár, pl. </w:t>
      </w:r>
      <w:r w:rsidRPr="008F03E5">
        <w:t>Madárát</w:t>
      </w:r>
      <w:r w:rsidRPr="008F03E5">
        <w:tab/>
        <w:t xml:space="preserve">orbit; circling, circuiting, circuit, revolution; axis; pivot; (figurative) that upon which something turns or depends, the central, cardinal, or crucial factor, the pivot; centre; subject, topic, theme (of a conversation, of negotiations); scope, range, extent, sphere.  </w:t>
      </w:r>
      <w:r w:rsidRPr="00077779">
        <w:t>Madáríyán two orbitals</w:t>
      </w:r>
    </w:p>
    <w:p w14:paraId="3DFFDB52" w14:textId="77777777" w:rsidR="00625A5B" w:rsidRPr="00646701" w:rsidRDefault="00625A5B" w:rsidP="00E466FC">
      <w:pPr>
        <w:pStyle w:val="Translit"/>
      </w:pPr>
      <w:r w:rsidRPr="00646701">
        <w:t>Madda al-Kulliya</w:t>
      </w:r>
      <w:r w:rsidRPr="00646701">
        <w:tab/>
        <w:t>al-Mádda al-Kullíya</w:t>
      </w:r>
      <w:r w:rsidRPr="00646701">
        <w:tab/>
        <w:t>the universal matter</w:t>
      </w:r>
    </w:p>
    <w:p w14:paraId="1B8DBD58" w14:textId="77777777" w:rsidR="00625A5B" w:rsidRPr="008F03E5" w:rsidRDefault="00625A5B" w:rsidP="0008588D">
      <w:pPr>
        <w:pStyle w:val="Translit"/>
      </w:pPr>
      <w:r w:rsidRPr="00646701">
        <w:t>Madda, Mawadd</w:t>
      </w:r>
      <w:r w:rsidRPr="00646701">
        <w:tab/>
        <w:t>Mádda[h</w:t>
      </w:r>
      <w:r>
        <w:t xml:space="preserve"> or t</w:t>
      </w:r>
      <w:r w:rsidRPr="00646701">
        <w:t xml:space="preserve">], pl. </w:t>
      </w:r>
      <w:r w:rsidRPr="008F03E5">
        <w:t>Mawádd</w:t>
      </w:r>
      <w:r w:rsidRPr="008F03E5">
        <w:tab/>
        <w:t>stuff, matter; material possession; substance; material; component, constituent, ingredient; fundamental constituent, radical, chemical element, base; subject, theme, topic; school subject, field of study; discipline, subject matter, curricular subject; article, paragraph (e.g., of a law, treaty or contract); stipulation, contractual term;—pl. material, materials; agents, elements</w:t>
      </w:r>
    </w:p>
    <w:p w14:paraId="27A5A9AB" w14:textId="77777777" w:rsidR="00625A5B" w:rsidRPr="008F03E5" w:rsidRDefault="00625A5B" w:rsidP="00D711B5">
      <w:pPr>
        <w:pStyle w:val="Translit"/>
      </w:pPr>
      <w:r w:rsidRPr="008F03E5">
        <w:t>Maddi, Maddiya, Maddiyat, Maddiyun</w:t>
      </w:r>
      <w:r w:rsidRPr="008F03E5">
        <w:tab/>
        <w:t>Máddí, fem. Máddíya[h or t]</w:t>
      </w:r>
      <w:r w:rsidRPr="008F03E5">
        <w:tab/>
        <w:t xml:space="preserve">pl. Máddíyún, fem. Máddíyát.  Material; corporeal, physical; materialistic; fem. materialism;—pl. fem. material beings or things;—pl. materialist; objective (as opposed to </w:t>
      </w:r>
      <w:r w:rsidRPr="008F03E5">
        <w:rPr>
          <w:u w:val="single"/>
        </w:rPr>
        <w:t>Sh</w:t>
      </w:r>
      <w:r w:rsidRPr="008F03E5">
        <w:t>a</w:t>
      </w:r>
      <w:r w:rsidRPr="008F03E5">
        <w:rPr>
          <w:u w:val="single"/>
        </w:rPr>
        <w:t>kh</w:t>
      </w:r>
      <w:r w:rsidRPr="008F03E5">
        <w:t>ṣí, subjective)</w:t>
      </w:r>
    </w:p>
    <w:p w14:paraId="196AD0A7" w14:textId="77777777" w:rsidR="00625A5B" w:rsidRPr="00077779" w:rsidRDefault="00625A5B" w:rsidP="00C53A13">
      <w:pPr>
        <w:pStyle w:val="Translit"/>
        <w:rPr>
          <w:lang w:val="es-ES_tradnl"/>
        </w:rPr>
      </w:pPr>
      <w:r w:rsidRPr="00077779">
        <w:rPr>
          <w:lang w:val="es-ES_tradnl"/>
        </w:rPr>
        <w:t>Maddiya al-Athiriya</w:t>
      </w:r>
      <w:r w:rsidRPr="00077779">
        <w:rPr>
          <w:lang w:val="es-ES_tradnl"/>
        </w:rPr>
        <w:tab/>
        <w:t>Máddíya al-A</w:t>
      </w:r>
      <w:r w:rsidRPr="00077779">
        <w:rPr>
          <w:u w:val="single"/>
          <w:lang w:val="es-ES_tradnl"/>
        </w:rPr>
        <w:t>th</w:t>
      </w:r>
      <w:r w:rsidRPr="00077779">
        <w:rPr>
          <w:lang w:val="es-ES_tradnl"/>
        </w:rPr>
        <w:t>íríya</w:t>
      </w:r>
      <w:r w:rsidRPr="00077779">
        <w:rPr>
          <w:lang w:val="es-ES_tradnl"/>
        </w:rPr>
        <w:tab/>
        <w:t>ethereal substance.  Persian Máddíyah-i-A</w:t>
      </w:r>
      <w:r w:rsidRPr="00077779">
        <w:rPr>
          <w:u w:val="single"/>
          <w:lang w:val="es-ES_tradnl"/>
        </w:rPr>
        <w:t>th</w:t>
      </w:r>
      <w:r w:rsidRPr="00077779">
        <w:rPr>
          <w:lang w:val="es-ES_tradnl"/>
        </w:rPr>
        <w:t>íriyyah (Maddíyah-i-Athiriyyah).</w:t>
      </w:r>
    </w:p>
    <w:p w14:paraId="31D34DBE" w14:textId="77777777" w:rsidR="00625A5B" w:rsidRPr="008F03E5" w:rsidRDefault="00625A5B" w:rsidP="00A9274D">
      <w:pPr>
        <w:pStyle w:val="Translit"/>
      </w:pPr>
      <w:r w:rsidRPr="008F03E5">
        <w:t>Madhhab, Madhhahib</w:t>
      </w:r>
      <w:r w:rsidRPr="008F03E5">
        <w:tab/>
        <w:t>Ma</w:t>
      </w:r>
      <w:r w:rsidRPr="008F03E5">
        <w:rPr>
          <w:u w:val="single"/>
        </w:rPr>
        <w:t>dh</w:t>
      </w:r>
      <w:r w:rsidRPr="008F03E5">
        <w:t>hab, pl. Ma</w:t>
      </w:r>
      <w:r w:rsidRPr="008F03E5">
        <w:rPr>
          <w:u w:val="single"/>
        </w:rPr>
        <w:t>dh</w:t>
      </w:r>
      <w:r w:rsidRPr="008F03E5">
        <w:t>háhib</w:t>
      </w:r>
      <w:r w:rsidRPr="008F03E5">
        <w:tab/>
        <w:t>going, leave, departure; way out, escape (from); manner followed, adopted procedure or policy, road entered upon; opinion, view, belief; ideology; teaching, doctrine; movement, orientation, trend (also politics); school; mazhab, orthodox rite of fiqh (Islamic Law); religious creed, faith, denomination.  Schools of law—the four Sunní legal schools (sing. ma</w:t>
      </w:r>
      <w:r w:rsidRPr="008F03E5">
        <w:rPr>
          <w:u w:val="single"/>
        </w:rPr>
        <w:t>dh</w:t>
      </w:r>
      <w:r w:rsidRPr="008F03E5">
        <w:t>hab) are:  (1) the Hanafíte school, founded by Abu Hanifah (d. 767); (2) the Malakite school, founded by Málik ibn Anas (d. 795); (3) the Sháf’íte, founded by Sháf’í (d. 820); and (4) the strictest and most conservative Hanbalite school, founded by Ahmad ibn Hanbal (d. 855).  Actions that might be considered lawful or unlawful are divided into five categories:  (i) obligatory, (ii) prohibited, (iii) recommended but not obligatory, (iv) indifferent, and (v) disapproved but not forbidden.</w:t>
      </w:r>
    </w:p>
    <w:p w14:paraId="125A38E9" w14:textId="77777777" w:rsidR="00625A5B" w:rsidRPr="008F03E5" w:rsidRDefault="00625A5B" w:rsidP="00941F4C">
      <w:pPr>
        <w:pStyle w:val="Translit"/>
      </w:pPr>
      <w:r w:rsidRPr="008F03E5">
        <w:t>Madhhab-i-Ithna-‘Ashariyyih</w:t>
      </w:r>
      <w:r w:rsidRPr="008F03E5">
        <w:tab/>
        <w:t>Ma</w:t>
      </w:r>
      <w:r w:rsidRPr="008F03E5">
        <w:rPr>
          <w:u w:val="single"/>
        </w:rPr>
        <w:t>dh</w:t>
      </w:r>
      <w:r w:rsidRPr="008F03E5">
        <w:t>hab-i-I</w:t>
      </w:r>
      <w:r w:rsidRPr="008F03E5">
        <w:rPr>
          <w:u w:val="single"/>
        </w:rPr>
        <w:t>th</w:t>
      </w:r>
      <w:r w:rsidRPr="008F03E5">
        <w:t>ná-‘A</w:t>
      </w:r>
      <w:r w:rsidRPr="008F03E5">
        <w:rPr>
          <w:u w:val="single"/>
        </w:rPr>
        <w:t>sh</w:t>
      </w:r>
      <w:r w:rsidRPr="008F03E5">
        <w:t>aríyyih</w:t>
      </w:r>
      <w:r w:rsidRPr="008F03E5">
        <w:tab/>
      </w:r>
      <w:r w:rsidRPr="008F03E5">
        <w:rPr>
          <w:u w:val="single"/>
        </w:rPr>
        <w:t>Sh</w:t>
      </w:r>
      <w:r w:rsidRPr="008F03E5">
        <w:t>í‘ahs or “Church of the Twelve”</w:t>
      </w:r>
      <w:r>
        <w:t xml:space="preserve">.  Ar. </w:t>
      </w:r>
      <w:r w:rsidRPr="008F03E5">
        <w:t>Ma</w:t>
      </w:r>
      <w:r w:rsidRPr="008F03E5">
        <w:rPr>
          <w:u w:val="single"/>
        </w:rPr>
        <w:t>dh</w:t>
      </w:r>
      <w:r w:rsidRPr="008F03E5">
        <w:t>hab I</w:t>
      </w:r>
      <w:r w:rsidRPr="008F03E5">
        <w:rPr>
          <w:u w:val="single"/>
        </w:rPr>
        <w:t>th</w:t>
      </w:r>
      <w:r w:rsidRPr="008F03E5">
        <w:t>ná ‘A</w:t>
      </w:r>
      <w:r w:rsidRPr="008F03E5">
        <w:rPr>
          <w:u w:val="single"/>
        </w:rPr>
        <w:t>sh</w:t>
      </w:r>
      <w:r w:rsidRPr="008F03E5">
        <w:t>ar</w:t>
      </w:r>
      <w:r w:rsidRPr="00941F4C">
        <w:t>í</w:t>
      </w:r>
      <w:r>
        <w:t>ya[h].</w:t>
      </w:r>
    </w:p>
    <w:p w14:paraId="2A45EFAE" w14:textId="77777777" w:rsidR="00625A5B" w:rsidRPr="008F03E5" w:rsidRDefault="00625A5B" w:rsidP="00747FAF">
      <w:pPr>
        <w:pStyle w:val="Translit"/>
      </w:pPr>
      <w:r w:rsidRPr="008F03E5">
        <w:t>Madhkur</w:t>
      </w:r>
      <w:r w:rsidRPr="008F03E5">
        <w:tab/>
        <w:t>Ma</w:t>
      </w:r>
      <w:r w:rsidRPr="008F03E5">
        <w:rPr>
          <w:u w:val="single"/>
        </w:rPr>
        <w:t>dh</w:t>
      </w:r>
      <w:r w:rsidRPr="008F03E5">
        <w:t>kúr</w:t>
      </w:r>
      <w:r w:rsidRPr="008F03E5">
        <w:tab/>
        <w:t>mentioned; said, above-mentioned; celebrated</w:t>
      </w:r>
    </w:p>
    <w:p w14:paraId="5808A00E" w14:textId="77777777" w:rsidR="00625A5B" w:rsidRPr="008F03E5" w:rsidRDefault="00625A5B" w:rsidP="006227EE">
      <w:pPr>
        <w:pStyle w:val="Translit"/>
      </w:pPr>
      <w:r w:rsidRPr="008F03E5">
        <w:t>Madi (Mazi)</w:t>
      </w:r>
      <w:r w:rsidRPr="008F03E5">
        <w:tab/>
        <w:t>Máḍí (Máẓí)</w:t>
      </w:r>
      <w:r w:rsidRPr="008F03E5">
        <w:tab/>
        <w:t>Pers. passing away; past; dead; swift, fleet, expeditious; sharp, piercing (sword); the past-tense, preterite.  Máḍíhim (Madihim) “their past”.</w:t>
      </w:r>
    </w:p>
    <w:p w14:paraId="5DF11B9D" w14:textId="77777777" w:rsidR="00625A5B" w:rsidRPr="008F03E5" w:rsidRDefault="00625A5B" w:rsidP="006227EE">
      <w:pPr>
        <w:pStyle w:val="Translit"/>
      </w:pPr>
      <w:r w:rsidRPr="008F03E5">
        <w:t>Madi Darad</w:t>
      </w:r>
      <w:r w:rsidRPr="008F03E5">
        <w:tab/>
        <w:t>Maḍí Dárad</w:t>
      </w:r>
      <w:r w:rsidRPr="008F03E5">
        <w:tab/>
        <w:t>Pers. a closing phrase</w:t>
      </w:r>
    </w:p>
    <w:p w14:paraId="05BD50C6" w14:textId="77777777" w:rsidR="00625A5B" w:rsidRPr="008F03E5" w:rsidRDefault="00625A5B" w:rsidP="006206F1">
      <w:pPr>
        <w:pStyle w:val="Translit"/>
      </w:pPr>
      <w:r w:rsidRPr="008F03E5">
        <w:t>Madih, Mada’ih</w:t>
      </w:r>
      <w:r w:rsidRPr="008F03E5">
        <w:tab/>
        <w:t>Madíḥ, pl. Madá’iḥ</w:t>
      </w:r>
      <w:r w:rsidRPr="008F03E5">
        <w:tab/>
        <w:t>praise, laudation, commendation; panegyrical poem, panegyric; eulogy, encomium, tribute</w:t>
      </w:r>
    </w:p>
    <w:p w14:paraId="4AD05D46" w14:textId="77777777" w:rsidR="00625A5B" w:rsidRPr="008F03E5" w:rsidRDefault="00625A5B" w:rsidP="0070207E">
      <w:pPr>
        <w:pStyle w:val="Translit"/>
      </w:pPr>
      <w:r w:rsidRPr="00077779">
        <w:rPr>
          <w:lang w:val="en-AU"/>
        </w:rPr>
        <w:t>Madina, Mudun, Mada’in</w:t>
      </w:r>
      <w:r w:rsidRPr="00077779">
        <w:rPr>
          <w:lang w:val="en-AU"/>
        </w:rPr>
        <w:tab/>
        <w:t xml:space="preserve">Madína[h], pl. </w:t>
      </w:r>
      <w:r w:rsidRPr="008F03E5">
        <w:t>Mudun, Madá’in</w:t>
      </w:r>
      <w:r w:rsidRPr="008F03E5">
        <w:tab/>
        <w:t xml:space="preserve">town, city; Medina (city in western Saudi Arabia).  Citizens, al-Anṣár, </w:t>
      </w:r>
      <w:r w:rsidRPr="008F03E5">
        <w:rPr>
          <w:rFonts w:eastAsia="Times New Roman"/>
        </w:rPr>
        <w:t>of Madína, who assisted Mu</w:t>
      </w:r>
      <w:r w:rsidRPr="008F03E5">
        <w:t>ḥ</w:t>
      </w:r>
      <w:r w:rsidRPr="008F03E5">
        <w:rPr>
          <w:rFonts w:eastAsia="Times New Roman"/>
        </w:rPr>
        <w:t>ammad when obliged to flee from Mecca</w:t>
      </w:r>
      <w:r w:rsidRPr="008F03E5">
        <w:t>.  Muḥammad migrated to Ya</w:t>
      </w:r>
      <w:r w:rsidRPr="008F03E5">
        <w:rPr>
          <w:u w:val="single"/>
        </w:rPr>
        <w:t>th</w:t>
      </w:r>
      <w:r w:rsidRPr="008F03E5">
        <w:t>rib in 622 and it was renamed al-Madínat an-Nabí (later shortened to al-Madínah, Medina).—pl. cities; collective name of seven cities flourishing during the reign of Nu</w:t>
      </w:r>
      <w:r w:rsidRPr="008F03E5">
        <w:rPr>
          <w:u w:val="single"/>
        </w:rPr>
        <w:t>sh</w:t>
      </w:r>
      <w:r w:rsidRPr="008F03E5">
        <w:t>írwán; mostly applied to Ctesiphon, also called Madá’in Kisrá</w:t>
      </w:r>
      <w:r w:rsidRPr="008F03E5">
        <w:rPr>
          <w:i/>
          <w:iCs/>
        </w:rPr>
        <w:t>,</w:t>
      </w:r>
      <w:r w:rsidRPr="008F03E5">
        <w:t xml:space="preserve"> the cities of Chosroes  See Madá’in Ṣáliḥ.</w:t>
      </w:r>
    </w:p>
    <w:p w14:paraId="369719C0" w14:textId="77777777" w:rsidR="00625A5B" w:rsidRPr="008F03E5" w:rsidRDefault="00625A5B" w:rsidP="00EA72BD">
      <w:pPr>
        <w:pStyle w:val="Translit"/>
      </w:pPr>
      <w:r w:rsidRPr="008F03E5">
        <w:t>Madinat an-Nabi</w:t>
      </w:r>
      <w:r w:rsidRPr="008F03E5">
        <w:tab/>
        <w:t>al-Madínat an-Nabí</w:t>
      </w:r>
      <w:r w:rsidRPr="008F03E5">
        <w:tab/>
        <w:t>City of the Prophet</w:t>
      </w:r>
    </w:p>
    <w:p w14:paraId="5DC3B3FD" w14:textId="77777777" w:rsidR="00625A5B" w:rsidRPr="008F03E5" w:rsidRDefault="00625A5B" w:rsidP="003B7D9D">
      <w:pPr>
        <w:pStyle w:val="Translit"/>
      </w:pPr>
      <w:r w:rsidRPr="008F03E5">
        <w:t>Madinatu’l-Khadra</w:t>
      </w:r>
      <w:r w:rsidRPr="008F03E5">
        <w:tab/>
        <w:t>Madínatu’l-</w:t>
      </w:r>
      <w:r w:rsidRPr="008F03E5">
        <w:rPr>
          <w:u w:val="single"/>
        </w:rPr>
        <w:t>Kh</w:t>
      </w:r>
      <w:r w:rsidRPr="008F03E5">
        <w:t>aḍrá’</w:t>
      </w:r>
      <w:r w:rsidRPr="008F03E5">
        <w:tab/>
        <w:t>(the Verdant City)</w:t>
      </w:r>
    </w:p>
    <w:p w14:paraId="37DCD790" w14:textId="77777777" w:rsidR="00625A5B" w:rsidRPr="008F03E5" w:rsidRDefault="00625A5B" w:rsidP="0000702E">
      <w:pPr>
        <w:pStyle w:val="Translit"/>
      </w:pPr>
      <w:r w:rsidRPr="008F03E5">
        <w:t>Madinatu’llah</w:t>
      </w:r>
      <w:r w:rsidRPr="008F03E5">
        <w:tab/>
        <w:t>Madínatu’lláh</w:t>
      </w:r>
      <w:r w:rsidRPr="008F03E5">
        <w:tab/>
        <w:t>City of God.  A title of Ba</w:t>
      </w:r>
      <w:r w:rsidRPr="008F03E5">
        <w:rPr>
          <w:u w:val="single"/>
        </w:rPr>
        <w:t>gh</w:t>
      </w:r>
      <w:r w:rsidRPr="008F03E5">
        <w:t>dád and also a title given by Bahá’u’lláh to the Shrine of the Báb.</w:t>
      </w:r>
    </w:p>
    <w:p w14:paraId="2E46834F" w14:textId="77777777" w:rsidR="00625A5B" w:rsidRPr="008F03E5" w:rsidRDefault="00625A5B" w:rsidP="00882DA5">
      <w:pPr>
        <w:pStyle w:val="Translit"/>
      </w:pPr>
      <w:r w:rsidRPr="008F03E5">
        <w:t>Madinatu’n-Nabi</w:t>
      </w:r>
      <w:r w:rsidRPr="008F03E5">
        <w:tab/>
        <w:t>Madínatu’n-Nabí</w:t>
      </w:r>
      <w:r w:rsidRPr="008F03E5">
        <w:tab/>
        <w:t>City of the Prophet (Medina)</w:t>
      </w:r>
    </w:p>
    <w:p w14:paraId="622838ED" w14:textId="77777777" w:rsidR="00625A5B" w:rsidRPr="008F03E5" w:rsidRDefault="00625A5B" w:rsidP="00AB478E">
      <w:pPr>
        <w:pStyle w:val="Translit"/>
      </w:pPr>
      <w:r w:rsidRPr="008F03E5">
        <w:t>Madinatu’s-Salam</w:t>
      </w:r>
      <w:r w:rsidRPr="008F03E5">
        <w:tab/>
        <w:t>Madínatu’s-Salám</w:t>
      </w:r>
      <w:r w:rsidRPr="008F03E5">
        <w:tab/>
        <w:t>the City of Peace (name given to Ba</w:t>
      </w:r>
      <w:r w:rsidRPr="008F03E5">
        <w:rPr>
          <w:u w:val="single"/>
        </w:rPr>
        <w:t>gh</w:t>
      </w:r>
      <w:r w:rsidRPr="008F03E5">
        <w:t xml:space="preserve">dád by ‘Abbásid Caliph al-Manṣúr)  </w:t>
      </w:r>
      <w:r w:rsidRPr="008F03E5">
        <w:rPr>
          <w:sz w:val="16"/>
          <w:szCs w:val="16"/>
        </w:rPr>
        <w:t>BKG</w:t>
      </w:r>
      <w:r w:rsidRPr="008F03E5">
        <w:t xml:space="preserve"> 106</w:t>
      </w:r>
    </w:p>
    <w:p w14:paraId="3C1CC406" w14:textId="77777777" w:rsidR="00625A5B" w:rsidRPr="008F03E5" w:rsidRDefault="00625A5B" w:rsidP="00CB5A68">
      <w:pPr>
        <w:pStyle w:val="Translit"/>
      </w:pPr>
      <w:r w:rsidRPr="008F03E5">
        <w:t>Madinatu’t-Tawhid</w:t>
      </w:r>
      <w:r w:rsidRPr="008F03E5">
        <w:tab/>
        <w:t>Madínatu’t-Tawḥíd</w:t>
      </w:r>
      <w:r w:rsidRPr="008F03E5">
        <w:tab/>
        <w:t>(The City of Unity) by Bahá’u’lláh</w:t>
      </w:r>
    </w:p>
    <w:p w14:paraId="3698F18C" w14:textId="77777777" w:rsidR="00625A5B" w:rsidRPr="008F03E5" w:rsidRDefault="00625A5B" w:rsidP="00FD0564">
      <w:pPr>
        <w:pStyle w:val="Translit"/>
      </w:pPr>
      <w:r w:rsidRPr="008F03E5">
        <w:t>Madkhal, Madakhil</w:t>
      </w:r>
      <w:r w:rsidRPr="008F03E5">
        <w:tab/>
        <w:t>Mad</w:t>
      </w:r>
      <w:r w:rsidRPr="008F03E5">
        <w:rPr>
          <w:u w:val="single"/>
        </w:rPr>
        <w:t>kh</w:t>
      </w:r>
      <w:r w:rsidRPr="008F03E5">
        <w:t>al, pl. Madá</w:t>
      </w:r>
      <w:r w:rsidRPr="008F03E5">
        <w:rPr>
          <w:u w:val="single"/>
        </w:rPr>
        <w:t>kh</w:t>
      </w:r>
      <w:r w:rsidRPr="008F03E5">
        <w:t>il</w:t>
      </w:r>
      <w:r w:rsidRPr="008F03E5">
        <w:tab/>
        <w:t>entrance; hallway, vestibule, anteroom; entrance hall, lobby, foyer; entrance (of a port, of a canal); anode (electricity); introduction (to a field of learning); behaviour, conduct</w:t>
      </w:r>
      <w:r>
        <w:t xml:space="preserve">;—pl. </w:t>
      </w:r>
      <w:r w:rsidRPr="00FD0564">
        <w:t>places of access, entrances</w:t>
      </w:r>
      <w:r>
        <w:t>;</w:t>
      </w:r>
      <w:r w:rsidRPr="00FD0564">
        <w:t xml:space="preserve"> </w:t>
      </w:r>
      <w:r w:rsidRPr="00797A5A">
        <w:t>incom</w:t>
      </w:r>
      <w:r w:rsidRPr="00FD0564">
        <w:t>e, revenue, rent, receipts.</w:t>
      </w:r>
    </w:p>
    <w:p w14:paraId="247759C2" w14:textId="77777777" w:rsidR="00625A5B" w:rsidRDefault="00625A5B" w:rsidP="009C0A42">
      <w:pPr>
        <w:pStyle w:val="Translit"/>
      </w:pPr>
      <w:r w:rsidRPr="008F03E5">
        <w:t>Madkhul, Madakhil</w:t>
      </w:r>
      <w:r w:rsidRPr="008F03E5">
        <w:tab/>
        <w:t>Mad</w:t>
      </w:r>
      <w:r w:rsidRPr="008F03E5">
        <w:rPr>
          <w:u w:val="single"/>
        </w:rPr>
        <w:t>kh</w:t>
      </w:r>
      <w:r w:rsidRPr="008F03E5">
        <w:t>úl, pl. Madá</w:t>
      </w:r>
      <w:r w:rsidRPr="008F03E5">
        <w:rPr>
          <w:u w:val="single"/>
        </w:rPr>
        <w:t>kh</w:t>
      </w:r>
      <w:r w:rsidRPr="008F03E5">
        <w:t>íl</w:t>
      </w:r>
      <w:r w:rsidRPr="008F03E5">
        <w:tab/>
        <w:t>sickly, diseased, abnormal; (mentally) disordered; of weak character, spineless;</w:t>
      </w:r>
      <w:r>
        <w:t>—</w:t>
      </w:r>
      <w:r w:rsidRPr="008F03E5">
        <w:t>pl. revenue, receipts, takings, returns</w:t>
      </w:r>
      <w:r>
        <w:t>.</w:t>
      </w:r>
    </w:p>
    <w:p w14:paraId="11BB2F69" w14:textId="77777777" w:rsidR="00625A5B" w:rsidRPr="008F03E5" w:rsidRDefault="00625A5B" w:rsidP="007931D6">
      <w:pPr>
        <w:pStyle w:val="Translit"/>
      </w:pPr>
      <w:r w:rsidRPr="00077779">
        <w:rPr>
          <w:lang w:val="es-ES_tradnl"/>
        </w:rPr>
        <w:t>Madrasa, Madaris</w:t>
      </w:r>
      <w:r w:rsidRPr="00077779">
        <w:rPr>
          <w:lang w:val="es-ES_tradnl"/>
        </w:rPr>
        <w:tab/>
        <w:t xml:space="preserve">Madrasa[h or t], pl. </w:t>
      </w:r>
      <w:r w:rsidRPr="008F03E5">
        <w:t>Madáris</w:t>
      </w:r>
      <w:r w:rsidRPr="008F03E5">
        <w:tab/>
      </w:r>
      <w:r>
        <w:t>literally, “</w:t>
      </w:r>
      <w:r w:rsidRPr="00982843">
        <w:t xml:space="preserve">a place where learning and studying </w:t>
      </w:r>
      <w:r>
        <w:t>occur”</w:t>
      </w:r>
      <w:r w:rsidRPr="00982843">
        <w:t xml:space="preserve"> or </w:t>
      </w:r>
      <w:r>
        <w:t>a “</w:t>
      </w:r>
      <w:r w:rsidRPr="00982843">
        <w:t>place of study</w:t>
      </w:r>
      <w:r>
        <w:t>”;</w:t>
      </w:r>
      <w:r w:rsidRPr="008F03E5">
        <w:t xml:space="preserve"> a religious boarding school associated with a mosque; school.  Pers. </w:t>
      </w:r>
      <w:r>
        <w:t>also</w:t>
      </w:r>
      <w:r w:rsidRPr="008F03E5">
        <w:t xml:space="preserve"> madrasih, madrisih.  Madrasah ‘Iffat</w:t>
      </w:r>
      <w:r w:rsidRPr="007931D6">
        <w:t>í</w:t>
      </w:r>
      <w:r w:rsidRPr="008F03E5">
        <w:t>yah (or just ‘Iffat</w:t>
      </w:r>
      <w:r w:rsidRPr="007931D6">
        <w:t>í</w:t>
      </w:r>
      <w:r w:rsidRPr="008F03E5">
        <w:t xml:space="preserve">yah), </w:t>
      </w:r>
      <w:r>
        <w:t xml:space="preserve">chaste </w:t>
      </w:r>
      <w:r w:rsidRPr="008F03E5">
        <w:t>school for girls.</w:t>
      </w:r>
    </w:p>
    <w:p w14:paraId="55169101" w14:textId="77777777" w:rsidR="00625A5B" w:rsidRDefault="00625A5B" w:rsidP="002F1A42">
      <w:pPr>
        <w:pStyle w:val="Translit"/>
      </w:pPr>
      <w:r>
        <w:t>Madrasah ‘Ilmiyat Ruhiya</w:t>
      </w:r>
      <w:r>
        <w:tab/>
        <w:t>Madrasah ‘Ilm</w:t>
      </w:r>
      <w:r w:rsidRPr="007D60B0">
        <w:t>í</w:t>
      </w:r>
      <w:r>
        <w:t>yat R</w:t>
      </w:r>
      <w:r w:rsidRPr="007D60B0">
        <w:t>úḥí</w:t>
      </w:r>
      <w:r>
        <w:t>ya</w:t>
      </w:r>
      <w:r>
        <w:tab/>
        <w:t>seminary school of spirituality.  A seminary (</w:t>
      </w:r>
      <w:r w:rsidRPr="007D60B0">
        <w:t>36.5484</w:t>
      </w:r>
      <w:r>
        <w:t>30</w:t>
      </w:r>
      <w:r w:rsidRPr="007D60B0">
        <w:t>, 52.682436</w:t>
      </w:r>
      <w:r>
        <w:t xml:space="preserve">) in </w:t>
      </w:r>
      <w:r w:rsidRPr="008F03E5">
        <w:t>Bárfurú</w:t>
      </w:r>
      <w:r w:rsidRPr="008F03E5">
        <w:rPr>
          <w:u w:val="single"/>
        </w:rPr>
        <w:t>sh</w:t>
      </w:r>
      <w:r w:rsidRPr="007D60B0">
        <w:t>.</w:t>
      </w:r>
      <w:r>
        <w:t xml:space="preserve">  In front (</w:t>
      </w:r>
      <w:r w:rsidRPr="002F1A42">
        <w:t>36.548471, 52.682296</w:t>
      </w:r>
      <w:r>
        <w:t xml:space="preserve">) is marked as the site of the former </w:t>
      </w:r>
      <w:r w:rsidRPr="002C59F6">
        <w:t>Mírzá Zakí</w:t>
      </w:r>
      <w:r>
        <w:t xml:space="preserve"> Seminary.</w:t>
      </w:r>
    </w:p>
    <w:p w14:paraId="5DC5C69A" w14:textId="77777777" w:rsidR="00625A5B" w:rsidRDefault="00625A5B" w:rsidP="001560E8">
      <w:pPr>
        <w:pStyle w:val="Translit"/>
      </w:pPr>
      <w:r>
        <w:t xml:space="preserve">Madrasi, </w:t>
      </w:r>
      <w:r w:rsidRPr="000F39EC">
        <w:rPr>
          <w:lang w:val="en-AU"/>
        </w:rPr>
        <w:t>Madrasiya</w:t>
      </w:r>
      <w:r>
        <w:tab/>
        <w:t>Madras</w:t>
      </w:r>
      <w:r w:rsidRPr="00982843">
        <w:t>í</w:t>
      </w:r>
      <w:r>
        <w:t xml:space="preserve">, fem. </w:t>
      </w:r>
      <w:r w:rsidRPr="000F39EC">
        <w:rPr>
          <w:lang w:val="en-AU"/>
        </w:rPr>
        <w:t>Madrasíya</w:t>
      </w:r>
      <w:r>
        <w:rPr>
          <w:lang w:val="en-AU"/>
        </w:rPr>
        <w:t>[h or t]</w:t>
      </w:r>
      <w:r>
        <w:tab/>
        <w:t>scholastic, school</w:t>
      </w:r>
    </w:p>
    <w:p w14:paraId="0760E9BA" w14:textId="77777777" w:rsidR="00625A5B" w:rsidRPr="008F03E5" w:rsidRDefault="00625A5B" w:rsidP="002B099E">
      <w:pPr>
        <w:pStyle w:val="Translit"/>
      </w:pPr>
      <w:r w:rsidRPr="008F03E5">
        <w:t>Madr</w:t>
      </w:r>
      <w:r>
        <w:t>a</w:t>
      </w:r>
      <w:r w:rsidRPr="008F03E5">
        <w:t>siy-i-Daru’sh-Shafay</w:t>
      </w:r>
      <w:r w:rsidRPr="008F03E5">
        <w:tab/>
        <w:t>Madr</w:t>
      </w:r>
      <w:r>
        <w:t>a</w:t>
      </w:r>
      <w:r w:rsidRPr="008F03E5">
        <w:t>siy-i-Dáru’</w:t>
      </w:r>
      <w:r w:rsidRPr="008F03E5">
        <w:rPr>
          <w:u w:val="single"/>
        </w:rPr>
        <w:t>sh</w:t>
      </w:r>
      <w:r w:rsidRPr="008F03E5">
        <w:t>-</w:t>
      </w:r>
      <w:r w:rsidRPr="008F03E5">
        <w:rPr>
          <w:u w:val="single"/>
        </w:rPr>
        <w:t>Sh</w:t>
      </w:r>
      <w:r w:rsidRPr="008F03E5">
        <w:t>afáy</w:t>
      </w:r>
      <w:r w:rsidRPr="008F03E5">
        <w:tab/>
        <w:t>Madr</w:t>
      </w:r>
      <w:r>
        <w:t>a</w:t>
      </w:r>
      <w:r w:rsidRPr="008F03E5">
        <w:t>siy-i-Dáru’</w:t>
      </w:r>
      <w:r w:rsidRPr="008F03E5">
        <w:rPr>
          <w:u w:val="single"/>
        </w:rPr>
        <w:t>sh</w:t>
      </w:r>
      <w:r w:rsidRPr="008F03E5">
        <w:t>-</w:t>
      </w:r>
      <w:r w:rsidRPr="008F03E5">
        <w:rPr>
          <w:u w:val="single"/>
        </w:rPr>
        <w:t>Sh</w:t>
      </w:r>
      <w:r w:rsidRPr="008F03E5">
        <w:t>afáy-i-Masjid-i-</w:t>
      </w:r>
      <w:r w:rsidRPr="008F03E5">
        <w:rPr>
          <w:u w:val="single"/>
        </w:rPr>
        <w:t>Sh</w:t>
      </w:r>
      <w:r w:rsidRPr="008F03E5">
        <w:t xml:space="preserve">áh.  </w:t>
      </w:r>
      <w:r>
        <w:t>Hospital school at the Shah’s mosque.  “</w:t>
      </w:r>
      <w:r w:rsidRPr="008F03E5">
        <w:t>Madr</w:t>
      </w:r>
      <w:r>
        <w:t>a</w:t>
      </w:r>
      <w:r w:rsidRPr="008F03E5">
        <w:t>si</w:t>
      </w:r>
      <w:r>
        <w:t xml:space="preserve">” (or “Madrisi”) probably represents </w:t>
      </w:r>
      <w:r w:rsidRPr="008F03E5">
        <w:t>Madr</w:t>
      </w:r>
      <w:r>
        <w:t>a</w:t>
      </w:r>
      <w:r w:rsidRPr="008F03E5">
        <w:t>si</w:t>
      </w:r>
      <w:r>
        <w:t>h (or “Madrisih”) and should be “</w:t>
      </w:r>
      <w:r w:rsidRPr="008F03E5">
        <w:t>Madr</w:t>
      </w:r>
      <w:r>
        <w:t>a</w:t>
      </w:r>
      <w:r w:rsidRPr="008F03E5">
        <w:t>s</w:t>
      </w:r>
      <w:r>
        <w:t>a”.</w:t>
      </w:r>
    </w:p>
    <w:p w14:paraId="2BF327A3" w14:textId="77777777" w:rsidR="00625A5B" w:rsidRPr="00982843" w:rsidRDefault="00625A5B" w:rsidP="00982843">
      <w:pPr>
        <w:pStyle w:val="Translit"/>
        <w:rPr>
          <w:lang w:val="it-IT"/>
        </w:rPr>
      </w:pPr>
      <w:r w:rsidRPr="00982843">
        <w:rPr>
          <w:lang w:val="it-IT"/>
        </w:rPr>
        <w:t>Madr</w:t>
      </w:r>
      <w:r>
        <w:rPr>
          <w:lang w:val="it-IT"/>
        </w:rPr>
        <w:t>a</w:t>
      </w:r>
      <w:r w:rsidRPr="00982843">
        <w:rPr>
          <w:lang w:val="it-IT"/>
        </w:rPr>
        <w:t>siy-i-Sadr</w:t>
      </w:r>
      <w:r w:rsidRPr="00982843">
        <w:rPr>
          <w:lang w:val="it-IT"/>
        </w:rPr>
        <w:tab/>
        <w:t>Madr</w:t>
      </w:r>
      <w:r>
        <w:rPr>
          <w:lang w:val="it-IT"/>
        </w:rPr>
        <w:t>a</w:t>
      </w:r>
      <w:r w:rsidRPr="00982843">
        <w:rPr>
          <w:lang w:val="it-IT"/>
        </w:rPr>
        <w:t>siy-i-Ṣadr</w:t>
      </w:r>
      <w:r w:rsidRPr="00982843">
        <w:rPr>
          <w:lang w:val="it-IT"/>
        </w:rPr>
        <w:tab/>
      </w:r>
    </w:p>
    <w:p w14:paraId="2A44725B" w14:textId="77777777" w:rsidR="00625A5B" w:rsidRPr="008F03E5" w:rsidRDefault="00625A5B" w:rsidP="00467F18">
      <w:pPr>
        <w:pStyle w:val="Translit"/>
      </w:pPr>
      <w:r w:rsidRPr="008F03E5">
        <w:t>Madyan</w:t>
      </w:r>
      <w:r>
        <w:t xml:space="preserve"> (Midian)</w:t>
      </w:r>
      <w:r w:rsidRPr="008F03E5">
        <w:tab/>
        <w:t>Madyan</w:t>
      </w:r>
      <w:r w:rsidRPr="008F03E5">
        <w:tab/>
        <w:t>a</w:t>
      </w:r>
      <w:r>
        <w:t xml:space="preserve">ncient </w:t>
      </w:r>
      <w:r w:rsidRPr="00467F18">
        <w:t>archeological</w:t>
      </w:r>
      <w:r>
        <w:t xml:space="preserve"> site (</w:t>
      </w:r>
      <w:r w:rsidRPr="00467F18">
        <w:t>28.487858, 35.003229</w:t>
      </w:r>
      <w:r>
        <w:t xml:space="preserve">), </w:t>
      </w:r>
      <w:r w:rsidRPr="008F03E5">
        <w:t xml:space="preserve">in </w:t>
      </w:r>
      <w:r>
        <w:t xml:space="preserve">Saudi </w:t>
      </w:r>
      <w:r w:rsidRPr="008F03E5">
        <w:t>Arabia</w:t>
      </w:r>
      <w:r>
        <w:t>, with houses cut out of large rocks a short distance to the west</w:t>
      </w:r>
      <w:r w:rsidRPr="008F03E5">
        <w:t xml:space="preserve">; the place of Jethro, </w:t>
      </w:r>
      <w:r>
        <w:t xml:space="preserve">also </w:t>
      </w:r>
      <w:r w:rsidRPr="008F03E5">
        <w:t xml:space="preserve">called </w:t>
      </w:r>
      <w:r w:rsidRPr="008F03E5">
        <w:rPr>
          <w:u w:val="single"/>
        </w:rPr>
        <w:t>Sh</w:t>
      </w:r>
      <w:r w:rsidRPr="008F03E5">
        <w:t>u‘ayb</w:t>
      </w:r>
      <w:r>
        <w:t>.</w:t>
      </w:r>
    </w:p>
    <w:p w14:paraId="1EE3D43E" w14:textId="77777777" w:rsidR="00625A5B" w:rsidRPr="008F03E5" w:rsidRDefault="00625A5B" w:rsidP="003E7C88">
      <w:pPr>
        <w:pStyle w:val="Translit"/>
      </w:pPr>
      <w:r w:rsidRPr="008F03E5">
        <w:t>Maf’ul, Mafa’il</w:t>
      </w:r>
      <w:r w:rsidRPr="008F03E5">
        <w:tab/>
        <w:t>Maf‘úl, pl. Mafá‘íl</w:t>
      </w:r>
      <w:r w:rsidRPr="008F03E5">
        <w:tab/>
        <w:t>object (grammar);—pl. effect, impression, impact; effectiveness, validity.  See fá‘il, manṣúb and marfú‘</w:t>
      </w:r>
    </w:p>
    <w:p w14:paraId="2552176E" w14:textId="77777777" w:rsidR="00625A5B" w:rsidRPr="008F03E5" w:rsidRDefault="00625A5B" w:rsidP="003E7C88">
      <w:pPr>
        <w:pStyle w:val="Translit"/>
      </w:pPr>
      <w:r w:rsidRPr="008F03E5">
        <w:t>Mafqud</w:t>
      </w:r>
      <w:r w:rsidRPr="008F03E5">
        <w:tab/>
        <w:t>Mafqúd</w:t>
      </w:r>
      <w:r w:rsidRPr="008F03E5">
        <w:tab/>
        <w:t>lost, missing, non-existent, absent, lacking, wanting; missing person</w:t>
      </w:r>
    </w:p>
    <w:p w14:paraId="5959A6AF" w14:textId="77777777" w:rsidR="00625A5B" w:rsidRPr="008F03E5" w:rsidRDefault="00625A5B" w:rsidP="00DF2D09">
      <w:pPr>
        <w:pStyle w:val="Translit"/>
      </w:pPr>
      <w:r w:rsidRPr="008F03E5">
        <w:t>Maftun</w:t>
      </w:r>
      <w:r w:rsidRPr="008F03E5">
        <w:tab/>
        <w:t>Maftún</w:t>
      </w:r>
      <w:r w:rsidRPr="008F03E5">
        <w:tab/>
        <w:t>fascinated, captivated, infatuated, enraptured, charmed (by); enamored (of), in love (with); madman, maniac</w:t>
      </w:r>
    </w:p>
    <w:p w14:paraId="5F5C6B9A" w14:textId="77777777" w:rsidR="00625A5B" w:rsidRPr="008F03E5" w:rsidRDefault="00625A5B" w:rsidP="00B52009">
      <w:pPr>
        <w:pStyle w:val="Translit"/>
      </w:pPr>
      <w:r w:rsidRPr="008F03E5">
        <w:t>Magdala, Migdal, Mijdal</w:t>
      </w:r>
      <w:r w:rsidRPr="008F03E5">
        <w:tab/>
        <w:t>Magdala, Migdal, Mijdal</w:t>
      </w:r>
      <w:r w:rsidRPr="008F03E5">
        <w:tab/>
        <w:t xml:space="preserve">Magdala (Aramaic “tower”; Hebrew Migdal; Arabic Mijdal) was an ancient city on the shore of the Sea of Galilee, 7 km </w:t>
      </w:r>
      <w:r w:rsidRPr="008F03E5">
        <w:rPr>
          <w:sz w:val="16"/>
          <w:szCs w:val="16"/>
        </w:rPr>
        <w:t>NW</w:t>
      </w:r>
      <w:r w:rsidRPr="008F03E5">
        <w:t xml:space="preserve"> of Tiberias.  It is believed to be the birthplace of Mary Magdalene.  Until the 1948, a small Palestinian Arab village, al-Mijdal, stood at the site of ancient Magdala.  Today the modern Israeli municipality of Migdal extends to the area.</w:t>
      </w:r>
    </w:p>
    <w:p w14:paraId="7798DF97" w14:textId="77777777" w:rsidR="00625A5B" w:rsidRPr="008F03E5" w:rsidRDefault="00625A5B" w:rsidP="00BC1B2C">
      <w:pPr>
        <w:pStyle w:val="Translit"/>
      </w:pPr>
      <w:r w:rsidRPr="008F03E5">
        <w:t>Maghdub</w:t>
      </w:r>
      <w:r w:rsidRPr="008F03E5">
        <w:tab/>
        <w:t>Ma</w:t>
      </w:r>
      <w:r w:rsidRPr="008F03E5">
        <w:rPr>
          <w:u w:val="single"/>
        </w:rPr>
        <w:t>gh</w:t>
      </w:r>
      <w:r w:rsidRPr="008F03E5">
        <w:t>ḍúb</w:t>
      </w:r>
      <w:r w:rsidRPr="008F03E5">
        <w:tab/>
        <w:t>object of anger</w:t>
      </w:r>
    </w:p>
    <w:p w14:paraId="3EC68C3B" w14:textId="77777777" w:rsidR="00625A5B" w:rsidRPr="008F03E5" w:rsidRDefault="00625A5B" w:rsidP="00E560C0">
      <w:pPr>
        <w:pStyle w:val="Translit"/>
      </w:pPr>
      <w:r w:rsidRPr="008F03E5">
        <w:t>Maghfarat, Maghfirat</w:t>
      </w:r>
      <w:r w:rsidRPr="008F03E5">
        <w:tab/>
        <w:t>Ma</w:t>
      </w:r>
      <w:r w:rsidRPr="008F03E5">
        <w:rPr>
          <w:u w:val="single"/>
        </w:rPr>
        <w:t>gh</w:t>
      </w:r>
      <w:r w:rsidRPr="008F03E5">
        <w:t>fara[t], Ma</w:t>
      </w:r>
      <w:r w:rsidRPr="008F03E5">
        <w:rPr>
          <w:u w:val="single"/>
        </w:rPr>
        <w:t>gh</w:t>
      </w:r>
      <w:r w:rsidRPr="008F03E5">
        <w:t>fira[t]</w:t>
      </w:r>
      <w:r w:rsidRPr="008F03E5">
        <w:tab/>
        <w:t>(Magfaret) pardon, forgiveness, remission</w:t>
      </w:r>
    </w:p>
    <w:p w14:paraId="61FE8E52" w14:textId="77777777" w:rsidR="00625A5B" w:rsidRPr="008F03E5" w:rsidRDefault="00625A5B" w:rsidP="00865C13">
      <w:pPr>
        <w:pStyle w:val="Translit"/>
      </w:pPr>
      <w:r w:rsidRPr="008F03E5">
        <w:t>Maghrib, Magharib</w:t>
      </w:r>
      <w:r w:rsidRPr="008F03E5">
        <w:tab/>
        <w:t>Ma</w:t>
      </w:r>
      <w:r w:rsidRPr="008F03E5">
        <w:rPr>
          <w:u w:val="single"/>
        </w:rPr>
        <w:t>gh</w:t>
      </w:r>
      <w:r w:rsidRPr="008F03E5">
        <w:t>rib, dual Ma</w:t>
      </w:r>
      <w:r w:rsidRPr="008F03E5">
        <w:rPr>
          <w:rFonts w:eastAsia="Times New Roman"/>
          <w:u w:val="single"/>
        </w:rPr>
        <w:t>gh</w:t>
      </w:r>
      <w:r w:rsidRPr="008F03E5">
        <w:t>ribán, pl. Ma</w:t>
      </w:r>
      <w:r w:rsidRPr="008F03E5">
        <w:rPr>
          <w:u w:val="single"/>
        </w:rPr>
        <w:t>gh</w:t>
      </w:r>
      <w:r w:rsidRPr="008F03E5">
        <w:t>árib</w:t>
      </w:r>
      <w:r w:rsidRPr="008F03E5">
        <w:tab/>
        <w:t>place or time of sunset; west, either of the heavens or earth; the western countries; Occident; ṣalát al-ma</w:t>
      </w:r>
      <w:r w:rsidRPr="008F03E5">
        <w:rPr>
          <w:u w:val="single"/>
        </w:rPr>
        <w:t>gh</w:t>
      </w:r>
      <w:r w:rsidRPr="008F03E5">
        <w:t>rib, prayer at sunset (Islamic law).  Dual</w:t>
      </w:r>
      <w:r>
        <w:t xml:space="preserve">: </w:t>
      </w:r>
      <w:r w:rsidRPr="008F03E5">
        <w:t xml:space="preserve"> East and West.</w:t>
      </w:r>
      <w:r>
        <w:t xml:space="preserve">  The “western countries” is normally understood to be the region of </w:t>
      </w:r>
      <w:r w:rsidRPr="00865C13">
        <w:t xml:space="preserve">western and central North Africa, including Algeria, Libya, Mauritania, Morocco, and Tunisia. </w:t>
      </w:r>
      <w:r>
        <w:t xml:space="preserve"> </w:t>
      </w:r>
      <w:r w:rsidRPr="00865C13">
        <w:t>The Ma</w:t>
      </w:r>
      <w:r w:rsidRPr="00865C13">
        <w:rPr>
          <w:u w:val="single"/>
        </w:rPr>
        <w:t>gh</w:t>
      </w:r>
      <w:r w:rsidRPr="00865C13">
        <w:t>r</w:t>
      </w:r>
      <w:r>
        <w:t>i</w:t>
      </w:r>
      <w:r w:rsidRPr="00865C13">
        <w:t>b also includes the disputed territory of Western Sahara</w:t>
      </w:r>
      <w:r>
        <w:t>.</w:t>
      </w:r>
    </w:p>
    <w:p w14:paraId="7DA6C64A" w14:textId="77777777" w:rsidR="00625A5B" w:rsidRPr="008F03E5" w:rsidRDefault="00625A5B" w:rsidP="0005606B">
      <w:pPr>
        <w:pStyle w:val="Translit"/>
      </w:pPr>
      <w:r w:rsidRPr="008F03E5">
        <w:t>Mah, Mahiyan</w:t>
      </w:r>
      <w:r w:rsidRPr="008F03E5">
        <w:tab/>
        <w:t>Máh, pl. Máhiyán</w:t>
      </w:r>
      <w:r w:rsidRPr="008F03E5">
        <w:tab/>
        <w:t>Pers. the moon; a month, whether lunar or solar; name of the twelfth day of every solar month; name of the angel set over the moon, and any business transacted on the twelfth day of the month; a mistress</w:t>
      </w:r>
    </w:p>
    <w:p w14:paraId="0211F14F" w14:textId="77777777" w:rsidR="00625A5B" w:rsidRPr="008F03E5" w:rsidRDefault="00625A5B" w:rsidP="00321F0D">
      <w:pPr>
        <w:pStyle w:val="Translit"/>
      </w:pPr>
      <w:r w:rsidRPr="008F03E5">
        <w:t>Mahabad (Mah-Abad)</w:t>
      </w:r>
      <w:r w:rsidRPr="008F03E5">
        <w:tab/>
        <w:t>Mahábád (Mah-Ábád)</w:t>
      </w:r>
      <w:r w:rsidRPr="008F03E5">
        <w:tab/>
        <w:t>Pers. (Mehabad, Mihabad, Muhabad) is a town in and the capital of Mahábád County, West Á</w:t>
      </w:r>
      <w:r w:rsidRPr="008F03E5">
        <w:rPr>
          <w:u w:val="single"/>
        </w:rPr>
        <w:t>dh</w:t>
      </w:r>
      <w:r w:rsidRPr="008F03E5">
        <w:rPr>
          <w:rFonts w:eastAsia="PMingLiU"/>
          <w:lang w:eastAsia="zh-TW"/>
        </w:rPr>
        <w:t>arbayj</w:t>
      </w:r>
      <w:r w:rsidRPr="008F03E5">
        <w:t>á</w:t>
      </w:r>
      <w:r w:rsidRPr="008F03E5">
        <w:rPr>
          <w:rFonts w:eastAsia="PMingLiU"/>
          <w:lang w:eastAsia="zh-TW"/>
        </w:rPr>
        <w:t>n</w:t>
      </w:r>
      <w:r w:rsidRPr="008F03E5">
        <w:t xml:space="preserve"> Province.  Mahábád is believed to be a pre-Zoroastrian prophet.  He is also called Á</w:t>
      </w:r>
      <w:r w:rsidRPr="008F03E5">
        <w:rPr>
          <w:u w:val="single"/>
        </w:rPr>
        <w:t>dh</w:t>
      </w:r>
      <w:r w:rsidRPr="008F03E5">
        <w:t>ar (Azar) Hú</w:t>
      </w:r>
      <w:r w:rsidRPr="008F03E5">
        <w:rPr>
          <w:u w:val="single"/>
        </w:rPr>
        <w:t>sh</w:t>
      </w:r>
      <w:r w:rsidRPr="008F03E5">
        <w:t>ang, the Fire of Wisdom (see Ábádí).</w:t>
      </w:r>
    </w:p>
    <w:p w14:paraId="056310E3" w14:textId="77777777" w:rsidR="00625A5B" w:rsidRPr="008F03E5" w:rsidRDefault="00625A5B" w:rsidP="00B34C41">
      <w:pPr>
        <w:pStyle w:val="Translit"/>
      </w:pPr>
      <w:r w:rsidRPr="008F03E5">
        <w:t>Mahabb (Mahab), Mahabba</w:t>
      </w:r>
      <w:r w:rsidRPr="008F03E5">
        <w:tab/>
        <w:t>Maḥabb, fem. Maḥabba[h or t]</w:t>
      </w:r>
      <w:r w:rsidRPr="008F03E5">
        <w:tab/>
        <w:t>love; beloved; affection, attachment; fondness, tender and kind feelings, inclination, and love.  Persian forms include maḥab, maḥabat.  Fem. expression often used by ‘Abdu’l-Bahá, but never by Shoghi Effendi.</w:t>
      </w:r>
    </w:p>
    <w:p w14:paraId="448B75E3" w14:textId="77777777" w:rsidR="00625A5B" w:rsidRPr="008F03E5" w:rsidRDefault="00625A5B" w:rsidP="007D655A">
      <w:pPr>
        <w:pStyle w:val="Translit"/>
      </w:pPr>
      <w:r w:rsidRPr="008F03E5">
        <w:t>Mahall, Mahalla, Mahallat</w:t>
      </w:r>
      <w:r w:rsidRPr="008F03E5">
        <w:tab/>
        <w:t>Maḥall, pl. Maḥáll</w:t>
      </w:r>
      <w:r>
        <w:t xml:space="preserve">, fem. </w:t>
      </w:r>
      <w:r w:rsidRPr="008F03E5">
        <w:t>Maḥallát</w:t>
      </w:r>
      <w:r w:rsidRPr="008F03E5">
        <w:tab/>
        <w:t>(Pers. also Maḥal) (fem. Maḥalla[h or t], Pers. “Maḥa</w:t>
      </w:r>
      <w:r>
        <w:t>l</w:t>
      </w:r>
      <w:r w:rsidRPr="008F03E5">
        <w:t xml:space="preserve">lih”) place, location, spot, site, locale, locality, centre, section, part, quarter (of a city); (place of) residence; business; business house, firm, commercial house; store, shop; object, cause (e.g., of dispute, admiration, etc.); gear (automobile).  Pers. </w:t>
      </w:r>
      <w:r>
        <w:t xml:space="preserve">also </w:t>
      </w:r>
      <w:r w:rsidRPr="008F03E5">
        <w:t xml:space="preserve">meaning of palace.  Maḥallát is the capital of Maḥallát County, Markazí Province, Iran.  See </w:t>
      </w:r>
      <w:r w:rsidRPr="00712297">
        <w:t>Fúlád Maḥallih</w:t>
      </w:r>
      <w:r w:rsidRPr="008F03E5">
        <w:t xml:space="preserve"> </w:t>
      </w:r>
      <w:r>
        <w:t xml:space="preserve"> and </w:t>
      </w:r>
      <w:r w:rsidRPr="008F03E5">
        <w:t>Mur</w:t>
      </w:r>
      <w:r w:rsidRPr="008F03E5">
        <w:rPr>
          <w:u w:val="single"/>
        </w:rPr>
        <w:t>gh</w:t>
      </w:r>
      <w:r w:rsidRPr="008F03E5">
        <w:t>-Maḥallih.</w:t>
      </w:r>
    </w:p>
    <w:p w14:paraId="35365064" w14:textId="77777777" w:rsidR="00625A5B" w:rsidRPr="008F03E5" w:rsidRDefault="00625A5B" w:rsidP="00484D55">
      <w:pPr>
        <w:pStyle w:val="Translit"/>
      </w:pPr>
      <w:r w:rsidRPr="008F03E5">
        <w:t>Mahalli, Mahalliya, Mahalliyat</w:t>
      </w:r>
      <w:r w:rsidRPr="008F03E5">
        <w:tab/>
        <w:t>Maḥallí, pl. Maḥallíyát</w:t>
      </w:r>
      <w:r w:rsidRPr="008F03E5">
        <w:tab/>
        <w:t>local, domestic; native, indigenous; parochial;—pl. local news, local page (of a newspaper).  Fem. Maḥallíya[h or t]</w:t>
      </w:r>
    </w:p>
    <w:p w14:paraId="7FB6D0BC" w14:textId="77777777" w:rsidR="00625A5B" w:rsidRPr="008F03E5" w:rsidRDefault="00625A5B" w:rsidP="00D57544">
      <w:pPr>
        <w:pStyle w:val="Translit"/>
      </w:pPr>
      <w:r w:rsidRPr="008F03E5">
        <w:t>Mahall-i-Darb</w:t>
      </w:r>
      <w:r w:rsidRPr="008F03E5">
        <w:tab/>
        <w:t>Maḥall-i-Ḍarb</w:t>
      </w:r>
      <w:r w:rsidRPr="008F03E5">
        <w:tab/>
        <w:t xml:space="preserve">Place of striking:  location in Tabriz where the </w:t>
      </w:r>
      <w:r w:rsidRPr="008F03E5">
        <w:rPr>
          <w:rFonts w:eastAsia="Arial"/>
        </w:rPr>
        <w:t>B</w:t>
      </w:r>
      <w:r w:rsidRPr="008F03E5">
        <w:t>á</w:t>
      </w:r>
      <w:r w:rsidRPr="008F03E5">
        <w:rPr>
          <w:rFonts w:eastAsia="Arial"/>
        </w:rPr>
        <w:t>b</w:t>
      </w:r>
      <w:r w:rsidRPr="008F03E5">
        <w:t xml:space="preserve"> was subjected to the bastinado after His examination by the divines.</w:t>
      </w:r>
    </w:p>
    <w:p w14:paraId="2372B648" w14:textId="77777777" w:rsidR="00625A5B" w:rsidRPr="008F03E5" w:rsidRDefault="00625A5B" w:rsidP="00EE7DE1">
      <w:pPr>
        <w:pStyle w:val="Translit"/>
      </w:pPr>
      <w:r w:rsidRPr="008F03E5">
        <w:rPr>
          <w:lang w:eastAsia="en-US"/>
        </w:rPr>
        <w:t>Mahallu’l-Barakah (Mahallu’l-Barakih)</w:t>
      </w:r>
      <w:r w:rsidRPr="008F03E5">
        <w:rPr>
          <w:lang w:eastAsia="en-US"/>
        </w:rPr>
        <w:tab/>
        <w:t>Ma</w:t>
      </w:r>
      <w:r w:rsidRPr="008F03E5">
        <w:t>ḥ</w:t>
      </w:r>
      <w:r w:rsidRPr="008F03E5">
        <w:rPr>
          <w:lang w:eastAsia="en-US"/>
        </w:rPr>
        <w:t>allu’l-Barakah</w:t>
      </w:r>
      <w:r w:rsidRPr="008F03E5">
        <w:rPr>
          <w:lang w:eastAsia="en-US"/>
        </w:rPr>
        <w:tab/>
        <w:t xml:space="preserve">literally “The Place of Blessing”.  A Bahá’í community enterprise in Iran to create a fund used to assist the poor and needy, the education of children, and the propagation of the Bahá’í Faith.  See </w:t>
      </w:r>
      <w:r w:rsidRPr="008F03E5">
        <w:rPr>
          <w:u w:val="single"/>
        </w:rPr>
        <w:t>Sh</w:t>
      </w:r>
      <w:r w:rsidRPr="008F03E5">
        <w:rPr>
          <w:rFonts w:eastAsia="PMingLiU"/>
          <w:lang w:eastAsia="zh-TW"/>
        </w:rPr>
        <w:t>irk</w:t>
      </w:r>
      <w:r w:rsidRPr="008F03E5">
        <w:t>á</w:t>
      </w:r>
      <w:r w:rsidRPr="008F03E5">
        <w:rPr>
          <w:rFonts w:eastAsia="PMingLiU"/>
          <w:lang w:eastAsia="zh-TW"/>
        </w:rPr>
        <w:t>t-i-Nawnahálán.</w:t>
      </w:r>
    </w:p>
    <w:p w14:paraId="02C7B6E9" w14:textId="77777777" w:rsidR="00625A5B" w:rsidRPr="008F03E5" w:rsidRDefault="00625A5B" w:rsidP="00E157DF">
      <w:pPr>
        <w:pStyle w:val="Translit"/>
      </w:pPr>
      <w:r w:rsidRPr="008F03E5">
        <w:t>Mahatta, Mahattat</w:t>
      </w:r>
      <w:r w:rsidRPr="008F03E5">
        <w:tab/>
        <w:t>Maḥaṭṭa[h or t], pl. Maḥaṭṭát</w:t>
      </w:r>
      <w:r w:rsidRPr="008F03E5">
        <w:tab/>
        <w:t>stopping place, stop (also of public conveyances); station, post; railroad station; broadcasting station, radio station.  Maḥaṭṭat ar-Raml (Sand Station, Mahatet el Raml or Ramleh) is a tram station and neighbourhood (in wasaṭ al-Balad, “Downtown”) of Alexandria, Egypt.</w:t>
      </w:r>
    </w:p>
    <w:p w14:paraId="42C0B873" w14:textId="77777777" w:rsidR="00625A5B" w:rsidRPr="008F03E5" w:rsidRDefault="00625A5B" w:rsidP="00D43ED9">
      <w:pPr>
        <w:pStyle w:val="Translit"/>
      </w:pPr>
      <w:r w:rsidRPr="008F03E5">
        <w:t>Mahbub, Mahabib</w:t>
      </w:r>
      <w:r w:rsidRPr="008F03E5">
        <w:tab/>
        <w:t>Maḥbúb, pl. Maḥábíb</w:t>
      </w:r>
      <w:r w:rsidRPr="008F03E5">
        <w:tab/>
        <w:t>beloved; dear; lovable, desirable; popular; favourite; beloved one, lover; (pl.) gold piece, sequin (in Ottoman times)  Title of the First Promised One expected by the Shi’ites.</w:t>
      </w:r>
    </w:p>
    <w:p w14:paraId="7670E945" w14:textId="77777777" w:rsidR="00625A5B" w:rsidRPr="008F03E5" w:rsidRDefault="00625A5B" w:rsidP="00752711">
      <w:pPr>
        <w:pStyle w:val="Translit"/>
      </w:pPr>
      <w:r w:rsidRPr="008F03E5">
        <w:t>Mahbuba</w:t>
      </w:r>
      <w:r w:rsidRPr="008F03E5">
        <w:tab/>
        <w:t>Maḥbúba</w:t>
      </w:r>
      <w:r w:rsidRPr="008F03E5">
        <w:tab/>
        <w:t>sweetheart, darling, beloved woman</w:t>
      </w:r>
    </w:p>
    <w:p w14:paraId="64B1F692" w14:textId="77777777" w:rsidR="00625A5B" w:rsidRPr="008F03E5" w:rsidRDefault="00625A5B" w:rsidP="001E4399">
      <w:pPr>
        <w:pStyle w:val="Translit"/>
      </w:pPr>
      <w:r w:rsidRPr="008F03E5">
        <w:t>Mahbubu’sh-Shuhada’</w:t>
      </w:r>
      <w:r w:rsidRPr="008F03E5">
        <w:tab/>
        <w:t>Maḥbúbu’</w:t>
      </w:r>
      <w:r w:rsidRPr="008F03E5">
        <w:rPr>
          <w:u w:val="single"/>
        </w:rPr>
        <w:t>sh</w:t>
      </w:r>
      <w:r w:rsidRPr="008F03E5">
        <w:t>-</w:t>
      </w:r>
      <w:r w:rsidRPr="008F03E5">
        <w:rPr>
          <w:u w:val="single"/>
        </w:rPr>
        <w:t>Sh</w:t>
      </w:r>
      <w:r w:rsidRPr="008F03E5">
        <w:t>uhadá’</w:t>
      </w:r>
      <w:r w:rsidRPr="008F03E5">
        <w:tab/>
        <w:t>(Beloved of Martyrs)  Mírzá Muḥammad-Ḥusayn  Brother of Mírzá Muḥammad-Ḥasan, both from Iṣfahán.</w:t>
      </w:r>
    </w:p>
    <w:p w14:paraId="1A4D3EA5" w14:textId="77777777" w:rsidR="00625A5B" w:rsidRPr="008F03E5" w:rsidRDefault="00625A5B" w:rsidP="00F51C76">
      <w:pPr>
        <w:pStyle w:val="Translit"/>
      </w:pPr>
      <w:r w:rsidRPr="001457C8">
        <w:rPr>
          <w:lang w:val="it-IT"/>
        </w:rPr>
        <w:t>Mahd al-‘Ulya, Mahd-i</w:t>
      </w:r>
      <w:r w:rsidRPr="001457C8">
        <w:rPr>
          <w:rFonts w:eastAsia="PMingLiU"/>
          <w:lang w:val="it-IT" w:eastAsia="zh-TW"/>
        </w:rPr>
        <w:t>-‘</w:t>
      </w:r>
      <w:r w:rsidRPr="001457C8">
        <w:rPr>
          <w:lang w:val="it-IT"/>
        </w:rPr>
        <w:t>Ulya</w:t>
      </w:r>
      <w:r w:rsidRPr="001457C8">
        <w:rPr>
          <w:lang w:val="it-IT"/>
        </w:rPr>
        <w:tab/>
        <w:t xml:space="preserve">Mahd al-‘Ulyá, Per. </w:t>
      </w:r>
      <w:r w:rsidRPr="008F03E5">
        <w:t>Mahd-i-‘Ulyá</w:t>
      </w:r>
      <w:r w:rsidRPr="008F03E5">
        <w:tab/>
        <w:t>highest cradle</w:t>
      </w:r>
    </w:p>
    <w:p w14:paraId="2069003B" w14:textId="77777777" w:rsidR="00625A5B" w:rsidRPr="008F03E5" w:rsidRDefault="00625A5B" w:rsidP="00F51C76">
      <w:pPr>
        <w:pStyle w:val="Translit"/>
      </w:pPr>
      <w:r w:rsidRPr="008F03E5">
        <w:t>Mahd al-Iman, Mahd-i-‘Iman</w:t>
      </w:r>
      <w:r w:rsidRPr="008F03E5">
        <w:tab/>
        <w:t>Mahd al-Ímán, Pers. Mahd-i-‘Ímán</w:t>
      </w:r>
      <w:r w:rsidRPr="008F03E5">
        <w:tab/>
        <w:t>cradle of the faith.  Iran is the cradle of the Bahá’í Faith.</w:t>
      </w:r>
    </w:p>
    <w:p w14:paraId="773AAB6D" w14:textId="77777777" w:rsidR="00625A5B" w:rsidRPr="008F03E5" w:rsidRDefault="00625A5B" w:rsidP="00646CC0">
      <w:pPr>
        <w:pStyle w:val="Translit"/>
      </w:pPr>
      <w:r w:rsidRPr="008F03E5">
        <w:t>Mahd</w:t>
      </w:r>
      <w:r w:rsidRPr="008F03E5">
        <w:tab/>
        <w:t>Maḥḍ</w:t>
      </w:r>
      <w:r w:rsidRPr="008F03E5">
        <w:tab/>
        <w:t>of pure descent, pureblood; pure, unmixed, unadulterated; genuine; sheer, downright, outright (e.g., lie, nonsense, etc.)</w:t>
      </w:r>
    </w:p>
    <w:p w14:paraId="20CF6631" w14:textId="77777777" w:rsidR="00625A5B" w:rsidRPr="008F03E5" w:rsidRDefault="00625A5B" w:rsidP="004A5C2A">
      <w:pPr>
        <w:pStyle w:val="Translit"/>
      </w:pPr>
      <w:r w:rsidRPr="008F03E5">
        <w:t>Mahd, Muhud</w:t>
      </w:r>
      <w:r w:rsidRPr="008F03E5">
        <w:tab/>
        <w:t>Mahd, pl. Muhúd</w:t>
      </w:r>
      <w:r w:rsidRPr="008F03E5">
        <w:tab/>
        <w:t>bed; cradle</w:t>
      </w:r>
    </w:p>
    <w:p w14:paraId="4F90275D" w14:textId="77777777" w:rsidR="00625A5B" w:rsidRPr="008F03E5" w:rsidRDefault="00625A5B" w:rsidP="00D97E0A">
      <w:pPr>
        <w:pStyle w:val="Translit"/>
      </w:pPr>
      <w:r w:rsidRPr="008F03E5">
        <w:t>Mahdi-Shahr (Mahdishahr)</w:t>
      </w:r>
      <w:r w:rsidRPr="008F03E5">
        <w:tab/>
        <w:t>Mahdí-</w:t>
      </w:r>
      <w:r w:rsidRPr="008F03E5">
        <w:rPr>
          <w:u w:val="single"/>
        </w:rPr>
        <w:t>Sh</w:t>
      </w:r>
      <w:r w:rsidRPr="008F03E5">
        <w:t>ahr (Mahdí</w:t>
      </w:r>
      <w:r w:rsidRPr="008F03E5">
        <w:rPr>
          <w:u w:val="single"/>
        </w:rPr>
        <w:t>sh</w:t>
      </w:r>
      <w:r w:rsidRPr="008F03E5">
        <w:t>ahr)</w:t>
      </w:r>
      <w:r w:rsidRPr="008F03E5">
        <w:tab/>
        <w:t>town of the Mahdí (Mehdishahr)  City (35.711616, 53.355456) 175 km east of Teheran in Semnan Province.  Formerly, Sang-Sar or Sangsar.</w:t>
      </w:r>
    </w:p>
    <w:p w14:paraId="6842F226" w14:textId="77777777" w:rsidR="00625A5B" w:rsidRPr="008F03E5" w:rsidRDefault="00625A5B" w:rsidP="00C22D41">
      <w:pPr>
        <w:pStyle w:val="Translit"/>
      </w:pPr>
      <w:bookmarkStart w:id="104" w:name="_Hlk62840272"/>
      <w:r w:rsidRPr="008F03E5">
        <w:t>Mahdiy, Mahdi, Mihdiy, Mihdi</w:t>
      </w:r>
      <w:r w:rsidRPr="008F03E5">
        <w:tab/>
        <w:t>Mahdíy (Pers. also Mihdíy, Mihdí)</w:t>
      </w:r>
      <w:r w:rsidRPr="008F03E5">
        <w:tab/>
        <w:t>fem. mahdíyya[h].  rightly guided; English Mahdi; one who guides aright, the Guided One.  A title of the twelfth (expected) Imám or Qá’im  al-Mahdíy (“He who is guided by God”).</w:t>
      </w:r>
    </w:p>
    <w:bookmarkEnd w:id="104"/>
    <w:p w14:paraId="6B509410" w14:textId="77777777" w:rsidR="00625A5B" w:rsidRPr="008F03E5" w:rsidRDefault="00625A5B" w:rsidP="008B33EA">
      <w:pPr>
        <w:pStyle w:val="Translit"/>
      </w:pPr>
      <w:r w:rsidRPr="008F03E5">
        <w:t>Mahdiya</w:t>
      </w:r>
      <w:r w:rsidRPr="008F03E5">
        <w:tab/>
        <w:t>Mahdíya[t]</w:t>
      </w:r>
      <w:r w:rsidRPr="008F03E5">
        <w:tab/>
        <w:t>a bride carried home to her husband’s house; a present, gift; “rightly guided (by God)”, state of being guided, mahdi-hood (avoid mahdí-hood, Arabic-English combination)</w:t>
      </w:r>
    </w:p>
    <w:p w14:paraId="0D4D181C" w14:textId="77777777" w:rsidR="00625A5B" w:rsidRPr="008F03E5" w:rsidRDefault="00625A5B" w:rsidP="00E5097A">
      <w:pPr>
        <w:pStyle w:val="Translit"/>
      </w:pPr>
      <w:r w:rsidRPr="008F03E5">
        <w:t>Mahdud</w:t>
      </w:r>
      <w:r w:rsidRPr="008F03E5">
        <w:tab/>
        <w:t>Maḥdúd</w:t>
      </w:r>
      <w:r w:rsidRPr="008F03E5">
        <w:tab/>
        <w:t>limited, bounded, separated, terminated, defined, definite</w:t>
      </w:r>
    </w:p>
    <w:p w14:paraId="61A2AC08" w14:textId="77777777" w:rsidR="00625A5B" w:rsidRPr="008F03E5" w:rsidRDefault="00625A5B" w:rsidP="00C14C02">
      <w:pPr>
        <w:pStyle w:val="Translit"/>
      </w:pPr>
      <w:r w:rsidRPr="008F03E5">
        <w:t>Mahduf (Mahzuf)</w:t>
      </w:r>
      <w:r w:rsidRPr="008F03E5">
        <w:tab/>
        <w:t>Maḥḍúf</w:t>
      </w:r>
      <w:r w:rsidRPr="008F03E5">
        <w:tab/>
        <w:t>taken away, cut off, elided (syllable from a word, or foot from a verse); apocopated; curtailed, docked, mutilated</w:t>
      </w:r>
    </w:p>
    <w:p w14:paraId="38AEA226" w14:textId="77777777" w:rsidR="00625A5B" w:rsidRPr="008F03E5" w:rsidRDefault="00625A5B" w:rsidP="008B40A3">
      <w:pPr>
        <w:pStyle w:val="Translit"/>
      </w:pPr>
      <w:r w:rsidRPr="001457C8">
        <w:rPr>
          <w:lang w:val="it-IT"/>
        </w:rPr>
        <w:t>Mahfil al-Murattab, Mahfil al-Murattab</w:t>
      </w:r>
      <w:r w:rsidRPr="001457C8">
        <w:rPr>
          <w:lang w:val="it-IT"/>
        </w:rPr>
        <w:tab/>
        <w:t>Maḥfil al-Murattab</w:t>
      </w:r>
      <w:r w:rsidRPr="001457C8">
        <w:rPr>
          <w:lang w:val="it-IT"/>
        </w:rPr>
        <w:tab/>
        <w:t xml:space="preserve">(Pers. </w:t>
      </w:r>
      <w:r w:rsidRPr="008F03E5">
        <w:t>Maḥfil-i-Murattab) “arranged assembly”, name given to the embryonic Central Assembly of Ṭihrán by the Hands of the Cause (about 1899), which was the predecessor of both the Local Spiritual Assembly of Ṭihrán (about 1913) and the National Spiritual Assembly of Iran (1934).</w:t>
      </w:r>
    </w:p>
    <w:p w14:paraId="1E8F4D38" w14:textId="77777777" w:rsidR="00625A5B" w:rsidRPr="008F03E5" w:rsidRDefault="00625A5B" w:rsidP="00E5097A">
      <w:pPr>
        <w:pStyle w:val="Translit"/>
      </w:pPr>
      <w:r w:rsidRPr="008F03E5">
        <w:t>Mahfil, Mahafil</w:t>
      </w:r>
      <w:r w:rsidRPr="008F03E5">
        <w:tab/>
        <w:t>Maḥfil, pl. Maḥáfil</w:t>
      </w:r>
      <w:r w:rsidRPr="008F03E5">
        <w:tab/>
        <w:t>assembly, congregation, meeting, gathering; party; body, collective whole; circle, quarter</w:t>
      </w:r>
    </w:p>
    <w:p w14:paraId="7A9226C5" w14:textId="77777777" w:rsidR="00625A5B" w:rsidRPr="008F03E5" w:rsidRDefault="00625A5B" w:rsidP="008F0E1E">
      <w:pPr>
        <w:pStyle w:val="Translit"/>
      </w:pPr>
      <w:r w:rsidRPr="008F03E5">
        <w:t>Mahfil-i-Rawhani</w:t>
      </w:r>
      <w:r w:rsidRPr="008F03E5">
        <w:tab/>
        <w:t>Maḥfil-i-Rawḥání</w:t>
      </w:r>
      <w:r w:rsidRPr="008F03E5">
        <w:tab/>
        <w:t>literally “spiritual gathering” or a “spiritual assembly”</w:t>
      </w:r>
    </w:p>
    <w:p w14:paraId="53E65411" w14:textId="77777777" w:rsidR="00625A5B" w:rsidRPr="008F03E5" w:rsidRDefault="00625A5B" w:rsidP="00281AA1">
      <w:pPr>
        <w:pStyle w:val="Translit"/>
      </w:pPr>
      <w:r w:rsidRPr="008F03E5">
        <w:t>Mahfurujak (</w:t>
      </w:r>
      <w:r w:rsidRPr="00281AA1">
        <w:t>Mahforuja</w:t>
      </w:r>
      <w:r>
        <w:t xml:space="preserve">k, </w:t>
      </w:r>
      <w:r w:rsidRPr="008F03E5">
        <w:t>Mahfaruzak)</w:t>
      </w:r>
      <w:r w:rsidRPr="008F03E5">
        <w:tab/>
        <w:t>Máhfurújak</w:t>
      </w:r>
      <w:r w:rsidRPr="008F03E5">
        <w:tab/>
        <w:t xml:space="preserve">(“Mahforujak”, “Mafroosak”, Máhforújak, Máhforujak, and Máhfrújak) a village </w:t>
      </w:r>
      <w:r>
        <w:t>(</w:t>
      </w:r>
      <w:r w:rsidRPr="005122C8">
        <w:t>36.50546</w:t>
      </w:r>
      <w:r>
        <w:t>6</w:t>
      </w:r>
      <w:r w:rsidRPr="005122C8">
        <w:t>, 52.969665</w:t>
      </w:r>
      <w:r>
        <w:t xml:space="preserve">) </w:t>
      </w:r>
      <w:r w:rsidRPr="008F03E5">
        <w:t xml:space="preserve">10 km </w:t>
      </w:r>
      <w:r w:rsidRPr="00417520">
        <w:rPr>
          <w:sz w:val="16"/>
          <w:szCs w:val="16"/>
        </w:rPr>
        <w:t>SW</w:t>
      </w:r>
      <w:r w:rsidRPr="008F03E5">
        <w:t xml:space="preserve"> of Sari, 11 km </w:t>
      </w:r>
      <w:r w:rsidRPr="008F03E5">
        <w:rPr>
          <w:sz w:val="16"/>
          <w:szCs w:val="16"/>
        </w:rPr>
        <w:t>NE</w:t>
      </w:r>
      <w:r w:rsidRPr="008F03E5">
        <w:t xml:space="preserve"> Qá’im </w:t>
      </w:r>
      <w:r w:rsidRPr="008F03E5">
        <w:rPr>
          <w:u w:val="single"/>
        </w:rPr>
        <w:t>Sh</w:t>
      </w:r>
      <w:r w:rsidRPr="008F03E5">
        <w:t xml:space="preserve">ahr and about 30 km from the Caspian Sea, </w:t>
      </w:r>
      <w:r w:rsidRPr="008F03E5">
        <w:rPr>
          <w:lang w:bidi="fa-IR"/>
        </w:rPr>
        <w:t>Mazandaran Province</w:t>
      </w:r>
      <w:r w:rsidRPr="008F03E5">
        <w:t>.</w:t>
      </w:r>
    </w:p>
    <w:p w14:paraId="4633FDCC" w14:textId="77777777" w:rsidR="00625A5B" w:rsidRPr="008F03E5" w:rsidRDefault="00625A5B" w:rsidP="004B1ADC">
      <w:pPr>
        <w:pStyle w:val="Translit"/>
      </w:pPr>
      <w:r w:rsidRPr="008F03E5">
        <w:t>Mahfuz</w:t>
      </w:r>
      <w:r w:rsidRPr="008F03E5">
        <w:tab/>
        <w:t>Maḥfúẓ</w:t>
      </w:r>
      <w:r w:rsidRPr="008F03E5">
        <w:tab/>
        <w:t>guarded or preserved</w:t>
      </w:r>
    </w:p>
    <w:p w14:paraId="539C4AFB" w14:textId="77777777" w:rsidR="00625A5B" w:rsidRPr="008F03E5" w:rsidRDefault="00625A5B" w:rsidP="00960D75">
      <w:pPr>
        <w:pStyle w:val="Translit"/>
      </w:pPr>
      <w:r w:rsidRPr="008F03E5">
        <w:t>Mahid</w:t>
      </w:r>
      <w:r w:rsidRPr="008F03E5">
        <w:tab/>
        <w:t>Mahíd</w:t>
      </w:r>
      <w:r w:rsidRPr="008F03E5">
        <w:tab/>
        <w:t>broken, shattered.  Mahída Ba</w:t>
      </w:r>
      <w:r w:rsidRPr="008F03E5">
        <w:rPr>
          <w:u w:val="single"/>
        </w:rPr>
        <w:t>gh</w:t>
      </w:r>
      <w:r w:rsidRPr="008F03E5">
        <w:t>dádí, wife of Adíb Raḍí Ba</w:t>
      </w:r>
      <w:r w:rsidRPr="008F03E5">
        <w:rPr>
          <w:u w:val="single"/>
        </w:rPr>
        <w:t>gh</w:t>
      </w:r>
      <w:r w:rsidRPr="008F03E5">
        <w:t>dádí (named by ‘Abdu’l-Bahá, “the pleasing one”)</w:t>
      </w:r>
    </w:p>
    <w:p w14:paraId="2DF57127" w14:textId="77777777" w:rsidR="00625A5B" w:rsidRPr="008F03E5" w:rsidRDefault="00625A5B" w:rsidP="00B36DD9">
      <w:pPr>
        <w:pStyle w:val="Translit"/>
      </w:pPr>
      <w:r w:rsidRPr="008F03E5">
        <w:t>Mahin, Muhana’</w:t>
      </w:r>
      <w:r w:rsidRPr="008F03E5">
        <w:tab/>
        <w:t>Mahín, pl. Muhaná’</w:t>
      </w:r>
      <w:r w:rsidRPr="008F03E5">
        <w:tab/>
        <w:t>despised, despicable, contemptible, vile</w:t>
      </w:r>
    </w:p>
    <w:p w14:paraId="3C02A336" w14:textId="77777777" w:rsidR="00625A5B" w:rsidRPr="008F03E5" w:rsidRDefault="00625A5B" w:rsidP="002C2052">
      <w:pPr>
        <w:pStyle w:val="Translit"/>
      </w:pPr>
      <w:r w:rsidRPr="008F03E5">
        <w:t>Mahiya, Mahiyat (Pers. Mahiyyat)</w:t>
      </w:r>
      <w:r w:rsidRPr="008F03E5">
        <w:tab/>
        <w:t>Máhíya[h or t], pl. Máhíyát</w:t>
      </w:r>
      <w:r w:rsidRPr="008F03E5">
        <w:tab/>
        <w:t>quality, quiddity (the inherent nature or essence of someone or something), essence, nature; salary, income; pay (military).</w:t>
      </w:r>
      <w:r w:rsidRPr="008F03E5">
        <w:rPr>
          <w:rStyle w:val="FootnoteReference"/>
        </w:rPr>
        <w:footnoteReference w:id="14"/>
      </w:r>
    </w:p>
    <w:p w14:paraId="4C3C1161" w14:textId="77777777" w:rsidR="00625A5B" w:rsidRDefault="00625A5B" w:rsidP="000261BC">
      <w:pPr>
        <w:pStyle w:val="Translit"/>
      </w:pPr>
      <w:r>
        <w:t>Mahjub, Mahjuba</w:t>
      </w:r>
      <w:r>
        <w:tab/>
        <w:t>M</w:t>
      </w:r>
      <w:r w:rsidRPr="00B635D0">
        <w:t>aḥj</w:t>
      </w:r>
      <w:r>
        <w:t>ú</w:t>
      </w:r>
      <w:r w:rsidRPr="00B635D0">
        <w:t>b</w:t>
      </w:r>
      <w:r>
        <w:t>, fem. Mahj</w:t>
      </w:r>
      <w:r w:rsidRPr="000261BC">
        <w:t>ú</w:t>
      </w:r>
      <w:r>
        <w:t>ba[h or t]</w:t>
      </w:r>
      <w:r>
        <w:tab/>
      </w:r>
      <w:r w:rsidRPr="00B635D0">
        <w:t>concealed, hidden, veiled</w:t>
      </w:r>
    </w:p>
    <w:p w14:paraId="37738A02" w14:textId="77777777" w:rsidR="00625A5B" w:rsidRPr="008F03E5" w:rsidRDefault="00625A5B" w:rsidP="00D621E1">
      <w:pPr>
        <w:pStyle w:val="Translit"/>
      </w:pPr>
      <w:r w:rsidRPr="008F03E5">
        <w:t>Mahjur</w:t>
      </w:r>
      <w:r w:rsidRPr="008F03E5">
        <w:tab/>
        <w:t>Mahjúr</w:t>
      </w:r>
      <w:r w:rsidRPr="008F03E5">
        <w:tab/>
        <w:t>abandoned, forsaken, deserted; lonely, lonesome; in disuse, out of use, obsolete, antiquated, archaic</w:t>
      </w:r>
    </w:p>
    <w:p w14:paraId="66824B69" w14:textId="77777777" w:rsidR="00625A5B" w:rsidRPr="008F03E5" w:rsidRDefault="00625A5B" w:rsidP="001042D9">
      <w:pPr>
        <w:pStyle w:val="Translit"/>
      </w:pPr>
      <w:r w:rsidRPr="008F03E5">
        <w:t>Mah-Ku</w:t>
      </w:r>
      <w:r w:rsidRPr="008F03E5">
        <w:tab/>
        <w:t>Máh-Kú</w:t>
      </w:r>
      <w:r w:rsidRPr="008F03E5">
        <w:tab/>
        <w:t>Pers. “Where is the moon?”  Name given to the ruins of a four-towered fortress (Máh-Kú Qal‘a (39.300399, 44.512666) 650 m north of Zagros River in eastern Mákú (4 km from the new city centre), 14 km from the Turkish border and 51 km from Armenia), because the overshadowing cliff cuts off sight of the sky above the fort.  It is in the NW Zá</w:t>
      </w:r>
      <w:r w:rsidRPr="008F03E5">
        <w:rPr>
          <w:u w:val="single"/>
        </w:rPr>
        <w:t>gh</w:t>
      </w:r>
      <w:r w:rsidRPr="008F03E5">
        <w:t>rús Mountains.  Named by the Báb the Jabal-i-Básiṭ (the Open Mountain), the numerical values of Máh-Kú and Básiṭ is 72.  See Mákú.</w:t>
      </w:r>
    </w:p>
    <w:p w14:paraId="2F93EF6F" w14:textId="77777777" w:rsidR="00625A5B" w:rsidRPr="008F03E5" w:rsidRDefault="00625A5B" w:rsidP="00210F0F">
      <w:pPr>
        <w:pStyle w:val="Translit"/>
      </w:pPr>
      <w:r w:rsidRPr="008F03E5">
        <w:t>Mah-Ku’i</w:t>
      </w:r>
      <w:r w:rsidRPr="008F03E5">
        <w:tab/>
        <w:t>Máh-Kú’í</w:t>
      </w:r>
      <w:r w:rsidRPr="008F03E5">
        <w:tab/>
        <w:t xml:space="preserve">Pers. ‘Alí </w:t>
      </w:r>
      <w:r w:rsidRPr="008F03E5">
        <w:rPr>
          <w:u w:val="single"/>
        </w:rPr>
        <w:t>Kh</w:t>
      </w:r>
      <w:r w:rsidRPr="008F03E5">
        <w:t>án-i-Máh-Kú’í (warden of the Castle of Máh-Kú)</w:t>
      </w:r>
    </w:p>
    <w:p w14:paraId="59554B91" w14:textId="77777777" w:rsidR="00625A5B" w:rsidRPr="008F03E5" w:rsidRDefault="00625A5B" w:rsidP="000B69EF">
      <w:pPr>
        <w:pStyle w:val="Translit"/>
      </w:pPr>
      <w:r w:rsidRPr="008F03E5">
        <w:t>Mahmid, Mahmad</w:t>
      </w:r>
      <w:r w:rsidRPr="008F03E5">
        <w:tab/>
        <w:t>Maḥmid, Maḥmad</w:t>
      </w:r>
      <w:r w:rsidRPr="008F03E5">
        <w:tab/>
        <w:t>praising; Turkish Mehmed</w:t>
      </w:r>
    </w:p>
    <w:p w14:paraId="3840D623" w14:textId="77777777" w:rsidR="00625A5B" w:rsidRPr="008F03E5" w:rsidRDefault="00625A5B" w:rsidP="000B69EF">
      <w:pPr>
        <w:pStyle w:val="Translit"/>
      </w:pPr>
      <w:r w:rsidRPr="008F03E5">
        <w:t>Mahmud Ghazan</w:t>
      </w:r>
      <w:r w:rsidRPr="008F03E5">
        <w:tab/>
        <w:t xml:space="preserve">Maḥmúd </w:t>
      </w:r>
      <w:r w:rsidRPr="008F03E5">
        <w:rPr>
          <w:u w:val="single"/>
        </w:rPr>
        <w:t>Gh</w:t>
      </w:r>
      <w:r w:rsidRPr="008F03E5">
        <w:t>ázán</w:t>
      </w:r>
      <w:r w:rsidRPr="008F03E5">
        <w:tab/>
        <w:t xml:space="preserve">Maḥmúd </w:t>
      </w:r>
      <w:r w:rsidRPr="008F03E5">
        <w:rPr>
          <w:u w:val="single"/>
        </w:rPr>
        <w:t>Gh</w:t>
      </w:r>
      <w:r w:rsidRPr="008F03E5">
        <w:t xml:space="preserve">ázán (1271–1304) (Mongolian </w:t>
      </w:r>
      <w:r w:rsidRPr="008F03E5">
        <w:rPr>
          <w:u w:val="single"/>
        </w:rPr>
        <w:t>Gh</w:t>
      </w:r>
      <w:r w:rsidRPr="008F03E5">
        <w:t xml:space="preserve">ázán </w:t>
      </w:r>
      <w:r w:rsidRPr="008F03E5">
        <w:rPr>
          <w:u w:val="single"/>
        </w:rPr>
        <w:t>Kh</w:t>
      </w:r>
      <w:r w:rsidRPr="008F03E5">
        <w:t>án) was the 7th ruler of the Mongol Empire’s Ilkhanate division in modern-day Iran (1295–1304).  He was the son of Ar</w:t>
      </w:r>
      <w:r w:rsidRPr="008F03E5">
        <w:rPr>
          <w:u w:val="single"/>
        </w:rPr>
        <w:t>gh</w:t>
      </w:r>
      <w:r w:rsidRPr="008F03E5">
        <w:t>ún, grandson of Abaqa Khan and a direct descendant of Genghis Khan.  He is best known for making a political conversion to Islam and meeting Imám ibn Taymiyya in 1295 when he took the throne, marking a turning point for the dominant religion of Mongols in Western Asia.  See Taymiyya.</w:t>
      </w:r>
    </w:p>
    <w:p w14:paraId="2A63DC1A" w14:textId="77777777" w:rsidR="00625A5B" w:rsidRPr="008F03E5" w:rsidRDefault="00625A5B" w:rsidP="00BE5E98">
      <w:pPr>
        <w:pStyle w:val="Translit"/>
      </w:pPr>
      <w:r w:rsidRPr="008F03E5">
        <w:t>Mahmud, Mahmuda</w:t>
      </w:r>
      <w:r w:rsidRPr="008F03E5">
        <w:tab/>
        <w:t>Maḥmúd, fem. Maḥmúda[h or t]</w:t>
      </w:r>
      <w:r w:rsidRPr="008F03E5">
        <w:tab/>
        <w:t>praised; commendable, laudable, praiseworthy</w:t>
      </w:r>
    </w:p>
    <w:p w14:paraId="53FF8DB0" w14:textId="77777777" w:rsidR="00625A5B" w:rsidRPr="008F03E5" w:rsidRDefault="00625A5B" w:rsidP="0078395C">
      <w:pPr>
        <w:pStyle w:val="Translit"/>
        <w:rPr>
          <w:rFonts w:eastAsia="PMingLiU"/>
          <w:lang w:eastAsia="zh-TW"/>
        </w:rPr>
      </w:pPr>
      <w:r w:rsidRPr="008F03E5">
        <w:t>Mahmudabad</w:t>
      </w:r>
      <w:r w:rsidRPr="008F03E5">
        <w:tab/>
        <w:t>Maḥmúdábád</w:t>
      </w:r>
      <w:r w:rsidRPr="008F03E5">
        <w:tab/>
        <w:t>city on southern coast of Caspian Sea, Iran</w:t>
      </w:r>
    </w:p>
    <w:p w14:paraId="0DEB7447" w14:textId="77777777" w:rsidR="00625A5B" w:rsidRPr="008F03E5" w:rsidRDefault="00625A5B" w:rsidP="00900A82">
      <w:pPr>
        <w:pStyle w:val="Translit"/>
      </w:pPr>
      <w:r w:rsidRPr="008F03E5">
        <w:t>Mahmudi</w:t>
      </w:r>
      <w:r w:rsidRPr="008F03E5">
        <w:tab/>
        <w:t>Maḥmúdí</w:t>
      </w:r>
      <w:r w:rsidRPr="008F03E5">
        <w:tab/>
      </w:r>
    </w:p>
    <w:p w14:paraId="1CD88B61" w14:textId="77777777" w:rsidR="00625A5B" w:rsidRPr="00142FEB" w:rsidRDefault="00625A5B" w:rsidP="00BE5E98">
      <w:pPr>
        <w:pStyle w:val="Translit"/>
      </w:pPr>
      <w:r w:rsidRPr="00142FEB">
        <w:t>Mahmud-i-Alusi</w:t>
      </w:r>
      <w:r w:rsidRPr="00142FEB">
        <w:tab/>
        <w:t>Maḥmúd-i-Álúsí</w:t>
      </w:r>
      <w:r w:rsidRPr="00142FEB">
        <w:tab/>
      </w:r>
    </w:p>
    <w:p w14:paraId="3A67DBEF" w14:textId="77777777" w:rsidR="00625A5B" w:rsidRPr="00142FEB" w:rsidRDefault="00625A5B" w:rsidP="00900A82">
      <w:pPr>
        <w:pStyle w:val="Translit"/>
      </w:pPr>
      <w:r w:rsidRPr="00142FEB">
        <w:t>Mahmud-i-Khu’i</w:t>
      </w:r>
      <w:r w:rsidRPr="00142FEB">
        <w:tab/>
        <w:t>Maḥmúd-i-</w:t>
      </w:r>
      <w:r w:rsidRPr="00142FEB">
        <w:rPr>
          <w:u w:val="single"/>
        </w:rPr>
        <w:t>Kh</w:t>
      </w:r>
      <w:r w:rsidRPr="00142FEB">
        <w:t>u’í</w:t>
      </w:r>
      <w:r w:rsidRPr="00142FEB">
        <w:tab/>
        <w:t>Mullá Maḥmúd-i-</w:t>
      </w:r>
      <w:r w:rsidRPr="00142FEB">
        <w:rPr>
          <w:u w:val="single"/>
        </w:rPr>
        <w:t>Kh</w:t>
      </w:r>
      <w:r w:rsidRPr="00142FEB">
        <w:t>u’í</w:t>
      </w:r>
    </w:p>
    <w:p w14:paraId="3D6D358B" w14:textId="77777777" w:rsidR="00625A5B" w:rsidRPr="00142FEB" w:rsidRDefault="00625A5B" w:rsidP="00900A82">
      <w:pPr>
        <w:pStyle w:val="Translit"/>
      </w:pPr>
      <w:r w:rsidRPr="00142FEB">
        <w:t>Mahmud-i-Muqari’i</w:t>
      </w:r>
      <w:r w:rsidRPr="00142FEB">
        <w:tab/>
        <w:t>Maḥmúd-i-Muqári’í</w:t>
      </w:r>
      <w:r w:rsidRPr="00142FEB">
        <w:tab/>
      </w:r>
      <w:r w:rsidRPr="00142FEB">
        <w:rPr>
          <w:sz w:val="16"/>
          <w:szCs w:val="16"/>
        </w:rPr>
        <w:t>DB</w:t>
      </w:r>
      <w:r w:rsidRPr="00142FEB">
        <w:t xml:space="preserve"> p. 422</w:t>
      </w:r>
    </w:p>
    <w:p w14:paraId="21ABE78B" w14:textId="77777777" w:rsidR="00625A5B" w:rsidRPr="00142FEB" w:rsidRDefault="00625A5B" w:rsidP="00900A82">
      <w:pPr>
        <w:pStyle w:val="Translit"/>
      </w:pPr>
      <w:r w:rsidRPr="00142FEB">
        <w:t>Mahmud-i-Qamsari</w:t>
      </w:r>
      <w:r w:rsidRPr="00142FEB">
        <w:tab/>
        <w:t>Maḥmúd-i-Qamṣarí</w:t>
      </w:r>
      <w:r w:rsidRPr="00142FEB">
        <w:tab/>
      </w:r>
      <w:r w:rsidRPr="00142FEB">
        <w:rPr>
          <w:sz w:val="16"/>
          <w:szCs w:val="16"/>
        </w:rPr>
        <w:t>DB</w:t>
      </w:r>
      <w:r w:rsidRPr="00142FEB">
        <w:t xml:space="preserve"> pp. 8, 9</w:t>
      </w:r>
    </w:p>
    <w:p w14:paraId="5ADE955D" w14:textId="77777777" w:rsidR="00625A5B" w:rsidRPr="00142FEB" w:rsidRDefault="00625A5B" w:rsidP="009A1F2F">
      <w:pPr>
        <w:pStyle w:val="Translit"/>
        <w:rPr>
          <w:rFonts w:eastAsia="PMingLiU"/>
          <w:lang w:eastAsia="zh-TW"/>
        </w:rPr>
      </w:pPr>
      <w:r w:rsidRPr="00142FEB">
        <w:rPr>
          <w:rFonts w:eastAsia="PMingLiU"/>
          <w:lang w:eastAsia="zh-TW"/>
        </w:rPr>
        <w:t>Mahmudnizhad</w:t>
      </w:r>
      <w:r w:rsidRPr="00142FEB">
        <w:tab/>
      </w:r>
      <w:r w:rsidRPr="00142FEB">
        <w:rPr>
          <w:rFonts w:eastAsia="PMingLiU"/>
          <w:lang w:eastAsia="zh-TW"/>
        </w:rPr>
        <w:t>Ma</w:t>
      </w:r>
      <w:r w:rsidRPr="00142FEB">
        <w:t>ḥ</w:t>
      </w:r>
      <w:r w:rsidRPr="00142FEB">
        <w:rPr>
          <w:rFonts w:eastAsia="PMingLiU"/>
          <w:lang w:eastAsia="zh-TW"/>
        </w:rPr>
        <w:t>múdni</w:t>
      </w:r>
      <w:r w:rsidRPr="00142FEB">
        <w:rPr>
          <w:u w:val="single"/>
        </w:rPr>
        <w:t>zh</w:t>
      </w:r>
      <w:r w:rsidRPr="00142FEB">
        <w:rPr>
          <w:rFonts w:eastAsia="PMingLiU"/>
          <w:lang w:eastAsia="zh-TW"/>
        </w:rPr>
        <w:t>ád</w:t>
      </w:r>
      <w:r w:rsidRPr="00142FEB">
        <w:tab/>
        <w:t>Pers. Muná Mahmúdni</w:t>
      </w:r>
      <w:r w:rsidRPr="00142FEB">
        <w:rPr>
          <w:u w:val="single"/>
        </w:rPr>
        <w:t>zh</w:t>
      </w:r>
      <w:r w:rsidRPr="00142FEB">
        <w:t>ád</w:t>
      </w:r>
    </w:p>
    <w:p w14:paraId="2814F0C5" w14:textId="77777777" w:rsidR="00625A5B" w:rsidRPr="00142FEB" w:rsidRDefault="00625A5B" w:rsidP="002C14A1">
      <w:pPr>
        <w:pStyle w:val="Translit"/>
        <w:rPr>
          <w:lang w:val="en-AU"/>
        </w:rPr>
      </w:pPr>
      <w:r w:rsidRPr="00142FEB">
        <w:t>Mahnaz</w:t>
      </w:r>
      <w:r w:rsidRPr="00142FEB">
        <w:tab/>
        <w:t>Mahnáz</w:t>
      </w:r>
      <w:r w:rsidRPr="00142FEB">
        <w:tab/>
        <w:t xml:space="preserve">Pers. </w:t>
      </w:r>
      <w:r w:rsidRPr="00142FEB">
        <w:rPr>
          <w:lang w:val="en-AU"/>
        </w:rPr>
        <w:t>(máh + náz) fem. name “glory or beauty of the moon”</w:t>
      </w:r>
    </w:p>
    <w:p w14:paraId="46658331" w14:textId="77777777" w:rsidR="00625A5B" w:rsidRPr="008F03E5" w:rsidRDefault="00625A5B" w:rsidP="00D678D5">
      <w:pPr>
        <w:pStyle w:val="Translit"/>
      </w:pPr>
      <w:r w:rsidRPr="008F03E5">
        <w:t>Mah-Parih</w:t>
      </w:r>
      <w:r w:rsidRPr="008F03E5">
        <w:tab/>
        <w:t>Máh-Párih</w:t>
      </w:r>
      <w:r w:rsidRPr="008F03E5">
        <w:tab/>
        <w:t>[Mahpareh  mah + pareh] = ‘a portion of the moon’</w:t>
      </w:r>
    </w:p>
    <w:p w14:paraId="3F66CF89" w14:textId="77777777" w:rsidR="00625A5B" w:rsidRPr="008F03E5" w:rsidRDefault="00625A5B" w:rsidP="00FA35B8">
      <w:pPr>
        <w:pStyle w:val="Translit"/>
      </w:pPr>
      <w:r w:rsidRPr="008F03E5">
        <w:t>Mahr, Muhur</w:t>
      </w:r>
      <w:r w:rsidRPr="008F03E5">
        <w:tab/>
        <w:t>Mahr, pl. Muhúr</w:t>
      </w:r>
      <w:r w:rsidRPr="008F03E5">
        <w:tab/>
        <w:t>dower, bridal money; price, stake; ransom.  In Islam, a mahr (in Persian mahríyah; Turkish: mehir; also transliterated mehr, meher, mehrieh, or mahriyeh) is the obligation, in the form of money or possessions paid by the groom, to the bride at the time of Islamic marriage (payment also has circumstances on when and how to pay).</w:t>
      </w:r>
    </w:p>
    <w:p w14:paraId="6634815A" w14:textId="77777777" w:rsidR="00625A5B" w:rsidRPr="008F03E5" w:rsidRDefault="00625A5B" w:rsidP="00B4649D">
      <w:pPr>
        <w:pStyle w:val="Translit"/>
        <w:rPr>
          <w:rFonts w:eastAsia="PMingLiU"/>
          <w:lang w:eastAsia="zh-TW"/>
        </w:rPr>
      </w:pPr>
      <w:r w:rsidRPr="008F03E5">
        <w:rPr>
          <w:rFonts w:eastAsia="PMingLiU"/>
          <w:lang w:eastAsia="zh-TW"/>
        </w:rPr>
        <w:t>Mahram, Maharim</w:t>
      </w:r>
      <w:r w:rsidRPr="008F03E5">
        <w:rPr>
          <w:rFonts w:eastAsia="PMingLiU"/>
          <w:lang w:eastAsia="zh-TW"/>
        </w:rPr>
        <w:tab/>
        <w:t>Ma</w:t>
      </w:r>
      <w:r w:rsidRPr="008F03E5">
        <w:t>ḥ</w:t>
      </w:r>
      <w:r w:rsidRPr="008F03E5">
        <w:rPr>
          <w:rFonts w:eastAsia="PMingLiU"/>
          <w:lang w:eastAsia="zh-TW"/>
        </w:rPr>
        <w:t>ram, pl. Ma</w:t>
      </w:r>
      <w:r w:rsidRPr="008F03E5">
        <w:t>ḥá</w:t>
      </w:r>
      <w:r w:rsidRPr="008F03E5">
        <w:rPr>
          <w:rFonts w:eastAsia="PMingLiU"/>
          <w:lang w:eastAsia="zh-TW"/>
        </w:rPr>
        <w:t>rim</w:t>
      </w:r>
      <w:r w:rsidRPr="008F03E5">
        <w:rPr>
          <w:rFonts w:eastAsia="PMingLiU"/>
          <w:lang w:eastAsia="zh-TW"/>
        </w:rPr>
        <w:tab/>
        <w:t>something forbidden, inviolable, taboo, sacrosanct, holy, or sacred; unmarriageable;</w:t>
      </w:r>
      <w:r w:rsidRPr="008F03E5">
        <w:t>—pl. things unlawful; dangerous times.</w:t>
      </w:r>
    </w:p>
    <w:p w14:paraId="07533796" w14:textId="77777777" w:rsidR="00625A5B" w:rsidRPr="008F03E5" w:rsidRDefault="00625A5B" w:rsidP="00AD0292">
      <w:pPr>
        <w:pStyle w:val="Translit"/>
      </w:pPr>
      <w:r w:rsidRPr="008F03E5">
        <w:t>Mahshar, Mashir</w:t>
      </w:r>
      <w:r w:rsidRPr="008F03E5">
        <w:tab/>
        <w:t>Maḥ</w:t>
      </w:r>
      <w:r w:rsidRPr="008F03E5">
        <w:rPr>
          <w:u w:val="single"/>
        </w:rPr>
        <w:t>sh</w:t>
      </w:r>
      <w:r w:rsidRPr="008F03E5">
        <w:t>ar, Maḥ</w:t>
      </w:r>
      <w:r w:rsidRPr="008F03E5">
        <w:rPr>
          <w:u w:val="single"/>
        </w:rPr>
        <w:t>sh</w:t>
      </w:r>
      <w:r w:rsidRPr="008F03E5">
        <w:t>ir</w:t>
      </w:r>
      <w:r w:rsidRPr="008F03E5">
        <w:tab/>
        <w:t>place of assembly; last judgement</w:t>
      </w:r>
    </w:p>
    <w:p w14:paraId="1E881976" w14:textId="77777777" w:rsidR="00625A5B" w:rsidRPr="008F03E5" w:rsidRDefault="00625A5B" w:rsidP="00D46617">
      <w:pPr>
        <w:pStyle w:val="Translit"/>
      </w:pPr>
      <w:r w:rsidRPr="008F03E5">
        <w:rPr>
          <w:rFonts w:eastAsia="PMingLiU"/>
          <w:lang w:eastAsia="zh-TW"/>
        </w:rPr>
        <w:t>Mahshid</w:t>
      </w:r>
      <w:r w:rsidRPr="008F03E5">
        <w:tab/>
      </w:r>
      <w:r w:rsidRPr="008F03E5">
        <w:rPr>
          <w:rFonts w:eastAsia="PMingLiU"/>
          <w:lang w:eastAsia="zh-TW"/>
        </w:rPr>
        <w:t>Mah</w:t>
      </w:r>
      <w:r w:rsidRPr="008F03E5">
        <w:rPr>
          <w:u w:val="single"/>
        </w:rPr>
        <w:t>sh</w:t>
      </w:r>
      <w:r w:rsidRPr="008F03E5">
        <w:rPr>
          <w:rFonts w:eastAsia="PMingLiU"/>
          <w:lang w:eastAsia="zh-TW"/>
        </w:rPr>
        <w:t>íd</w:t>
      </w:r>
      <w:r w:rsidRPr="008F03E5">
        <w:tab/>
        <w:t xml:space="preserve">Pers. moonlight; the moon.  mah [moon] + </w:t>
      </w:r>
      <w:r w:rsidRPr="008F03E5">
        <w:rPr>
          <w:u w:val="single"/>
        </w:rPr>
        <w:t>sh</w:t>
      </w:r>
      <w:r w:rsidRPr="008F03E5">
        <w:t xml:space="preserve">íd [light]; also máh [moon] + </w:t>
      </w:r>
      <w:r w:rsidRPr="008F03E5">
        <w:rPr>
          <w:u w:val="single"/>
        </w:rPr>
        <w:t>kh</w:t>
      </w:r>
      <w:r w:rsidRPr="008F03E5">
        <w:t>ur</w:t>
      </w:r>
      <w:r w:rsidRPr="008F03E5">
        <w:rPr>
          <w:u w:val="single"/>
        </w:rPr>
        <w:t>sh</w:t>
      </w:r>
      <w:r w:rsidRPr="008F03E5">
        <w:t>íd [sun], “moon and sun”</w:t>
      </w:r>
    </w:p>
    <w:p w14:paraId="66457E89" w14:textId="77777777" w:rsidR="00625A5B" w:rsidRPr="008F03E5" w:rsidRDefault="00625A5B" w:rsidP="00A61E1C">
      <w:pPr>
        <w:pStyle w:val="Translit"/>
      </w:pPr>
      <w:r w:rsidRPr="008F03E5">
        <w:t>Mah-tab (Mahtab)</w:t>
      </w:r>
      <w:r w:rsidRPr="008F03E5">
        <w:tab/>
        <w:t>Máh-táb</w:t>
      </w:r>
      <w:r>
        <w:t xml:space="preserve"> (</w:t>
      </w:r>
      <w:r w:rsidRPr="008F03E5">
        <w:t>M</w:t>
      </w:r>
      <w:r>
        <w:t>a</w:t>
      </w:r>
      <w:r w:rsidRPr="008F03E5">
        <w:t>h-táb</w:t>
      </w:r>
      <w:r>
        <w:t>)</w:t>
      </w:r>
      <w:r w:rsidRPr="008F03E5">
        <w:tab/>
        <w:t>Pers. moonlight, moonshine; the moon; the face of a mistress; breath, animal life</w:t>
      </w:r>
    </w:p>
    <w:p w14:paraId="1314303A" w14:textId="77777777" w:rsidR="00625A5B" w:rsidRDefault="00625A5B" w:rsidP="00A61E1C">
      <w:pPr>
        <w:pStyle w:val="Translit"/>
      </w:pPr>
      <w:r w:rsidRPr="008F03E5">
        <w:t>Mah-tabi (Mahtabi)</w:t>
      </w:r>
      <w:r w:rsidRPr="008F03E5">
        <w:tab/>
        <w:t>Máh-tábí</w:t>
      </w:r>
      <w:r>
        <w:t xml:space="preserve"> (</w:t>
      </w:r>
      <w:r w:rsidRPr="008F03E5">
        <w:t>M</w:t>
      </w:r>
      <w:r>
        <w:t>a</w:t>
      </w:r>
      <w:r w:rsidRPr="008F03E5">
        <w:t>h-tábí</w:t>
      </w:r>
      <w:r>
        <w:t>)</w:t>
      </w:r>
      <w:r w:rsidRPr="008F03E5">
        <w:tab/>
        <w:t>Pers. lit by the moon; a balcony or terrace (to enjoy the moonlight); blue light</w:t>
      </w:r>
      <w:r w:rsidRPr="00A61E1C">
        <w:t xml:space="preserve"> ; an open high terrace</w:t>
      </w:r>
    </w:p>
    <w:p w14:paraId="088AEE7A" w14:textId="77777777" w:rsidR="00625A5B" w:rsidRPr="008F03E5" w:rsidRDefault="00625A5B" w:rsidP="00797031">
      <w:pPr>
        <w:pStyle w:val="Translit"/>
      </w:pPr>
      <w:r w:rsidRPr="008F03E5">
        <w:t>Mahtum</w:t>
      </w:r>
      <w:r w:rsidRPr="008F03E5">
        <w:tab/>
        <w:t>Maḥtúm</w:t>
      </w:r>
      <w:r w:rsidRPr="008F03E5">
        <w:tab/>
        <w:t>imposed, enjoined, obligatory; determined, definitive, determinate, unalterable, inevitable; destined, predestined, ordained (fate)</w:t>
      </w:r>
    </w:p>
    <w:p w14:paraId="54EB63C9" w14:textId="77777777" w:rsidR="00625A5B" w:rsidRPr="008F03E5" w:rsidRDefault="00625A5B" w:rsidP="00FA35B8">
      <w:pPr>
        <w:pStyle w:val="Translit"/>
      </w:pPr>
      <w:r w:rsidRPr="008F03E5">
        <w:t>Mahut</w:t>
      </w:r>
      <w:r w:rsidRPr="008F03E5">
        <w:tab/>
        <w:t>Máhút</w:t>
      </w:r>
      <w:r w:rsidRPr="008F03E5">
        <w:tab/>
        <w:t>Pers. cloth.  Máhút-furú</w:t>
      </w:r>
      <w:r w:rsidRPr="008F03E5">
        <w:rPr>
          <w:u w:val="single"/>
        </w:rPr>
        <w:t>sh</w:t>
      </w:r>
      <w:r w:rsidRPr="008F03E5">
        <w:t xml:space="preserve"> (draper)</w:t>
      </w:r>
    </w:p>
    <w:p w14:paraId="655FE8F7" w14:textId="77777777" w:rsidR="00625A5B" w:rsidRPr="008F03E5" w:rsidRDefault="00625A5B" w:rsidP="007D343F">
      <w:pPr>
        <w:pStyle w:val="Translit"/>
      </w:pPr>
      <w:r w:rsidRPr="008F03E5">
        <w:t>Mahw (Mahv)</w:t>
      </w:r>
      <w:r w:rsidRPr="008F03E5">
        <w:tab/>
        <w:t>Maḥw</w:t>
      </w:r>
      <w:r w:rsidRPr="008F03E5">
        <w:tab/>
        <w:t>effacement, obliteration, blotting out; erasure, deletion; elimination; abolition, abolishment, annulment.  Compare ṣaḥw</w:t>
      </w:r>
    </w:p>
    <w:p w14:paraId="2B79287E" w14:textId="77777777" w:rsidR="00625A5B" w:rsidRPr="008F03E5" w:rsidRDefault="00625A5B" w:rsidP="00EA5632">
      <w:pPr>
        <w:pStyle w:val="Translit"/>
      </w:pPr>
      <w:r w:rsidRPr="008F03E5">
        <w:t>Majaz</w:t>
      </w:r>
      <w:r w:rsidRPr="008F03E5">
        <w:tab/>
        <w:t>Majáz</w:t>
      </w:r>
      <w:r w:rsidRPr="008F03E5">
        <w:tab/>
        <w:t>passing by, through, or beyond; way, road, passage; trope, figure, metaphor, simile, allegory; feigned, insincere, worldly, superficial, profane.  Non-literal or figurative meaning of a word or expression, in contrast to its ḥaqíqa (“real” or literal) sense.  Often translated by the more specific term “metaphor”, which is, more properly speaking, isti‘ára.</w:t>
      </w:r>
    </w:p>
    <w:p w14:paraId="62133EAA" w14:textId="77777777" w:rsidR="00625A5B" w:rsidRPr="008F03E5" w:rsidRDefault="00625A5B" w:rsidP="00A0249D">
      <w:pPr>
        <w:pStyle w:val="Translit"/>
      </w:pPr>
      <w:r w:rsidRPr="008F03E5">
        <w:t>Majd (Egyptian “Magd”)</w:t>
      </w:r>
      <w:r w:rsidRPr="008F03E5">
        <w:tab/>
        <w:t>Majd, pl. Amjád</w:t>
      </w:r>
      <w:r w:rsidRPr="008F03E5">
        <w:tab/>
        <w:t>glory; splendour, magnificence, grandeur; nobility, honour, distinction</w:t>
      </w:r>
    </w:p>
    <w:p w14:paraId="1757F83F" w14:textId="77777777" w:rsidR="00625A5B" w:rsidRPr="008F03E5" w:rsidRDefault="00625A5B" w:rsidP="009A1F2F">
      <w:pPr>
        <w:pStyle w:val="Translit"/>
      </w:pPr>
      <w:r w:rsidRPr="008F03E5">
        <w:t>Majdal (Majdil)</w:t>
      </w:r>
      <w:r w:rsidRPr="008F03E5">
        <w:tab/>
        <w:t>al-Majdal</w:t>
      </w:r>
      <w:r w:rsidRPr="008F03E5">
        <w:tab/>
        <w:t>(“tower”) a former Palestinian village about 12 km east of Haifa, depopulated in 1925, now part of Kibbutz Ramat Yohanan in Israel.  It is identified with the site of the ancient town of Magdala, reputed to be the birthplace of Mary Magdalene.</w:t>
      </w:r>
    </w:p>
    <w:p w14:paraId="24DB3F5D" w14:textId="77777777" w:rsidR="00625A5B" w:rsidRPr="008F03E5" w:rsidRDefault="00625A5B" w:rsidP="00D43B14">
      <w:pPr>
        <w:pStyle w:val="Translit"/>
      </w:pPr>
      <w:r w:rsidRPr="008F03E5">
        <w:t>Majdhub, Majadib</w:t>
      </w:r>
      <w:r w:rsidRPr="008F03E5">
        <w:tab/>
        <w:t>Maj</w:t>
      </w:r>
      <w:r w:rsidRPr="008F03E5">
        <w:rPr>
          <w:u w:val="single"/>
        </w:rPr>
        <w:t>dh</w:t>
      </w:r>
      <w:r w:rsidRPr="008F03E5">
        <w:t>úb, pl. Majá</w:t>
      </w:r>
      <w:r w:rsidRPr="008F03E5">
        <w:rPr>
          <w:u w:val="single"/>
        </w:rPr>
        <w:t>dh</w:t>
      </w:r>
      <w:r w:rsidRPr="008F03E5">
        <w:t>ib</w:t>
      </w:r>
      <w:r w:rsidRPr="008F03E5">
        <w:tab/>
        <w:t>attracted; possessed, maniacal, insane;—pl. maniac, lunatic, madman, idiot (not “Madzjoub”).  In Sufism, the maj</w:t>
      </w:r>
      <w:r w:rsidRPr="008F03E5">
        <w:rPr>
          <w:u w:val="single"/>
        </w:rPr>
        <w:t>dh</w:t>
      </w:r>
      <w:r w:rsidRPr="008F03E5">
        <w:t>úb is a mystical station (ḥál) that the Muslim saint (walíy) underwent in his journey within Islamic sufism to reach the posture (maqám) of reacher (wáṣil) and perfect man (al-Insán al-Kámil).  A d</w:t>
      </w:r>
      <w:r w:rsidRPr="008F03E5">
        <w:rPr>
          <w:rFonts w:eastAsia="PMingLiU"/>
          <w:lang w:eastAsia="zh-TW"/>
        </w:rPr>
        <w:t>arwí</w:t>
      </w:r>
      <w:r w:rsidRPr="008F03E5">
        <w:rPr>
          <w:u w:val="single"/>
        </w:rPr>
        <w:t>sh</w:t>
      </w:r>
      <w:r w:rsidRPr="008F03E5">
        <w:t>, Muṣṭafá Big-i-Sanandají, known as Maj</w:t>
      </w:r>
      <w:r w:rsidRPr="008F03E5">
        <w:rPr>
          <w:u w:val="single"/>
        </w:rPr>
        <w:t>dh</w:t>
      </w:r>
      <w:r w:rsidRPr="008F03E5">
        <w:t>úb, met Bahá’u’lláh and became the first to recognize His station.</w:t>
      </w:r>
    </w:p>
    <w:p w14:paraId="0A1A884A" w14:textId="77777777" w:rsidR="00625A5B" w:rsidRPr="008F03E5" w:rsidRDefault="00625A5B" w:rsidP="00152B48">
      <w:pPr>
        <w:pStyle w:val="Translit"/>
      </w:pPr>
      <w:r w:rsidRPr="008F03E5">
        <w:t>Majdi’d-Din</w:t>
      </w:r>
      <w:r w:rsidRPr="008F03E5">
        <w:tab/>
        <w:t>Majdi’d-Dín</w:t>
      </w:r>
      <w:r w:rsidRPr="008F03E5">
        <w:tab/>
        <w:t>son of Áqáy-i-Kalím, a brother of Bahá’u’lláh</w:t>
      </w:r>
    </w:p>
    <w:p w14:paraId="36EB2685" w14:textId="77777777" w:rsidR="00625A5B" w:rsidRPr="008F03E5" w:rsidRDefault="00625A5B" w:rsidP="00675939">
      <w:pPr>
        <w:pStyle w:val="Translit"/>
      </w:pPr>
      <w:r w:rsidRPr="008F03E5">
        <w:t>Majdu’d-Dawl</w:t>
      </w:r>
      <w:r>
        <w:t>a</w:t>
      </w:r>
      <w:r w:rsidRPr="008F03E5">
        <w:t>h</w:t>
      </w:r>
      <w:r>
        <w:t xml:space="preserve"> (</w:t>
      </w:r>
      <w:r w:rsidRPr="008F03E5">
        <w:t>Majdu’d-Dawl</w:t>
      </w:r>
      <w:r>
        <w:t>i</w:t>
      </w:r>
      <w:r w:rsidRPr="008F03E5">
        <w:t>h</w:t>
      </w:r>
      <w:r>
        <w:t>)</w:t>
      </w:r>
      <w:r w:rsidRPr="008F03E5">
        <w:tab/>
        <w:t>Majdu’d-Dawl</w:t>
      </w:r>
      <w:r>
        <w:t>a</w:t>
      </w:r>
      <w:r w:rsidRPr="008F03E5">
        <w:t>h</w:t>
      </w:r>
      <w:r w:rsidRPr="008F03E5">
        <w:tab/>
      </w:r>
      <w:r>
        <w:t>“Glory of the state” or “Glory of the dynasty”</w:t>
      </w:r>
    </w:p>
    <w:p w14:paraId="76319986" w14:textId="77777777" w:rsidR="00625A5B" w:rsidRPr="008F03E5" w:rsidRDefault="00625A5B" w:rsidP="002152FB">
      <w:pPr>
        <w:pStyle w:val="Translit"/>
      </w:pPr>
      <w:r w:rsidRPr="008F03E5">
        <w:t>Majdu’l-Ashraf</w:t>
      </w:r>
      <w:r w:rsidRPr="008F03E5">
        <w:tab/>
        <w:t>Majdu’l-A</w:t>
      </w:r>
      <w:r w:rsidRPr="008F03E5">
        <w:rPr>
          <w:u w:val="single"/>
        </w:rPr>
        <w:t>sh</w:t>
      </w:r>
      <w:r w:rsidRPr="008F03E5">
        <w:t>raf</w:t>
      </w:r>
      <w:r w:rsidRPr="008F03E5">
        <w:tab/>
      </w:r>
      <w:r w:rsidRPr="00BC710C">
        <w:t>honorific title</w:t>
      </w:r>
      <w:r>
        <w:t xml:space="preserve">: </w:t>
      </w:r>
      <w:r w:rsidRPr="00BC710C">
        <w:t xml:space="preserve"> “Glory of the </w:t>
      </w:r>
      <w:r>
        <w:t>n</w:t>
      </w:r>
      <w:r w:rsidRPr="00BC710C">
        <w:t xml:space="preserve">oble” or "Glory of the </w:t>
      </w:r>
      <w:r>
        <w:t>h</w:t>
      </w:r>
      <w:r w:rsidRPr="00BC710C">
        <w:t>ono</w:t>
      </w:r>
      <w:r>
        <w:t>u</w:t>
      </w:r>
      <w:r w:rsidRPr="00BC710C">
        <w:t>rable"</w:t>
      </w:r>
      <w:r>
        <w:t>.</w:t>
      </w:r>
    </w:p>
    <w:p w14:paraId="67DBA862" w14:textId="77777777" w:rsidR="00625A5B" w:rsidRPr="008F03E5" w:rsidRDefault="00625A5B" w:rsidP="0021621D">
      <w:pPr>
        <w:pStyle w:val="Translit"/>
      </w:pPr>
      <w:r w:rsidRPr="008F03E5">
        <w:t>Majdu’llah</w:t>
      </w:r>
      <w:r w:rsidRPr="008F03E5">
        <w:tab/>
        <w:t>Majdu’lláh</w:t>
      </w:r>
      <w:r w:rsidRPr="008F03E5">
        <w:tab/>
        <w:t>Glory of God</w:t>
      </w:r>
    </w:p>
    <w:p w14:paraId="70D7976F" w14:textId="77777777" w:rsidR="00625A5B" w:rsidRPr="008F03E5" w:rsidRDefault="00625A5B" w:rsidP="004D707B">
      <w:pPr>
        <w:pStyle w:val="Translit"/>
      </w:pPr>
      <w:r w:rsidRPr="008F03E5">
        <w:t>Majid</w:t>
      </w:r>
      <w:r w:rsidRPr="008F03E5">
        <w:tab/>
        <w:t>Majíd</w:t>
      </w:r>
      <w:r w:rsidRPr="008F03E5">
        <w:tab/>
        <w:t>glorious, illustrious; celebrated, famous; glorified, exalted; praiseworthy, laudable, admirable, excellent, splendid; noble</w:t>
      </w:r>
    </w:p>
    <w:p w14:paraId="19D96361" w14:textId="77777777" w:rsidR="00625A5B" w:rsidRPr="008F03E5" w:rsidRDefault="00625A5B" w:rsidP="006F5121">
      <w:pPr>
        <w:pStyle w:val="Translit"/>
      </w:pPr>
      <w:r w:rsidRPr="008F03E5">
        <w:t>Majid, Majida</w:t>
      </w:r>
      <w:r w:rsidRPr="008F03E5">
        <w:tab/>
        <w:t>Májid, fem. Májida</w:t>
      </w:r>
      <w:r w:rsidRPr="008F03E5">
        <w:tab/>
        <w:t>(a man) conspicuous for honour, nobility, glory, generosity.  al-Májid, an attribute of God, the Illustrious, the Magnificent.</w:t>
      </w:r>
    </w:p>
    <w:p w14:paraId="43C642DA" w14:textId="77777777" w:rsidR="00625A5B" w:rsidRPr="008F03E5" w:rsidRDefault="00625A5B" w:rsidP="00052E13">
      <w:pPr>
        <w:pStyle w:val="Translit"/>
      </w:pPr>
      <w:r w:rsidRPr="008F03E5">
        <w:t>Majidi</w:t>
      </w:r>
      <w:r w:rsidRPr="008F03E5">
        <w:tab/>
        <w:t>Majídí</w:t>
      </w:r>
      <w:r w:rsidRPr="008F03E5">
        <w:tab/>
        <w:t>(medjidie), a Turkish silver coin of 20 piasters coined under Sulṭán ‘Abdu’l-Majíd</w:t>
      </w:r>
    </w:p>
    <w:p w14:paraId="27FF6B08" w14:textId="77777777" w:rsidR="00625A5B" w:rsidRPr="008F03E5" w:rsidRDefault="00625A5B" w:rsidP="00072BF3">
      <w:pPr>
        <w:pStyle w:val="Translit"/>
      </w:pPr>
      <w:r w:rsidRPr="008F03E5">
        <w:t>Majlas</w:t>
      </w:r>
      <w:r w:rsidRPr="008F03E5">
        <w:tab/>
        <w:t>Majlas</w:t>
      </w:r>
      <w:r w:rsidRPr="008F03E5">
        <w:tab/>
        <w:t>Pers. sitting down</w:t>
      </w:r>
    </w:p>
    <w:p w14:paraId="0CB9D07A" w14:textId="77777777" w:rsidR="00625A5B" w:rsidRPr="008F03E5" w:rsidRDefault="00625A5B" w:rsidP="00CA3071">
      <w:pPr>
        <w:pStyle w:val="Translit"/>
      </w:pPr>
      <w:r w:rsidRPr="008F03E5">
        <w:t>Majlis Istintaq (Istintak)</w:t>
      </w:r>
      <w:r w:rsidRPr="008F03E5">
        <w:tab/>
        <w:t>Majlis Istinṭáq</w:t>
      </w:r>
      <w:r w:rsidRPr="008F03E5">
        <w:tab/>
        <w:t>council of enquiry</w:t>
      </w:r>
    </w:p>
    <w:p w14:paraId="4F7F7F22" w14:textId="77777777" w:rsidR="00625A5B" w:rsidRPr="008F03E5" w:rsidRDefault="00625A5B" w:rsidP="00FB5339">
      <w:pPr>
        <w:pStyle w:val="Translit"/>
      </w:pPr>
      <w:r w:rsidRPr="008F03E5">
        <w:t>Majlis, Majalis</w:t>
      </w:r>
      <w:r w:rsidRPr="008F03E5">
        <w:tab/>
        <w:t>Majlis, pl. Majális</w:t>
      </w:r>
      <w:r w:rsidRPr="008F03E5">
        <w:tab/>
        <w:t>seat; session room, conference room; party, gathering, meeting; social gathering; session, sitting; council meeting; council; concilium; collegium, college: board, committee, commission; administrative board; court, tribunal.  The Iranian Parliament, the Islamic Consultative Assembly (Majlis-i-</w:t>
      </w:r>
      <w:r w:rsidRPr="008F03E5">
        <w:rPr>
          <w:u w:val="single"/>
        </w:rPr>
        <w:t>Sh</w:t>
      </w:r>
      <w:r w:rsidRPr="008F03E5">
        <w:t>úráy-i-Islámí), or the Iranian Majlis is the national legislative body of Iran.</w:t>
      </w:r>
    </w:p>
    <w:p w14:paraId="693D18A3" w14:textId="77777777" w:rsidR="00625A5B" w:rsidRPr="008F03E5" w:rsidRDefault="00625A5B" w:rsidP="00E548F7">
      <w:pPr>
        <w:pStyle w:val="Translit"/>
      </w:pPr>
      <w:r w:rsidRPr="008F03E5">
        <w:t>Majlisi</w:t>
      </w:r>
      <w:r w:rsidRPr="008F03E5">
        <w:tab/>
        <w:t>Majlisí</w:t>
      </w:r>
      <w:r w:rsidRPr="008F03E5">
        <w:tab/>
        <w:t xml:space="preserve">a person invited to an assembly; an assessor.  Muḥammad Báqir bin Muḥammad Taqí bin Maqsúd ‘Alí al-Majlisí (b. 1628/29–1699) known as al-‘Alláma al-Majlisí or the second Majlisí was among the most famous </w:t>
      </w:r>
      <w:r w:rsidRPr="008F03E5">
        <w:rPr>
          <w:u w:val="single"/>
        </w:rPr>
        <w:t>Sh</w:t>
      </w:r>
      <w:r w:rsidRPr="008F03E5">
        <w:t>í‘a scholars in fiqh and ḥadí</w:t>
      </w:r>
      <w:r w:rsidRPr="008F03E5">
        <w:rPr>
          <w:u w:val="single"/>
        </w:rPr>
        <w:t>th</w:t>
      </w:r>
      <w:r w:rsidRPr="008F03E5">
        <w:t xml:space="preserve">—author of </w:t>
      </w:r>
      <w:r w:rsidRPr="008F03E5">
        <w:rPr>
          <w:i/>
          <w:iCs/>
        </w:rPr>
        <w:t>Biḥár al-‘Anwár</w:t>
      </w:r>
      <w:r w:rsidRPr="008F03E5">
        <w:t xml:space="preserve"> (Seas or oceans of lights).</w:t>
      </w:r>
    </w:p>
    <w:p w14:paraId="67E70486" w14:textId="77777777" w:rsidR="00625A5B" w:rsidRDefault="00625A5B" w:rsidP="00CF4AB0">
      <w:pPr>
        <w:pStyle w:val="Translit"/>
      </w:pPr>
      <w:r w:rsidRPr="0070704A">
        <w:t>Majlis-i-Khidmat</w:t>
      </w:r>
      <w:r w:rsidRPr="0070704A">
        <w:tab/>
        <w:t>Majlis-i-</w:t>
      </w:r>
      <w:r w:rsidRPr="0070704A">
        <w:rPr>
          <w:u w:val="single"/>
        </w:rPr>
        <w:t>Kh</w:t>
      </w:r>
      <w:r w:rsidRPr="0070704A">
        <w:t>idmat</w:t>
      </w:r>
      <w:r w:rsidRPr="0070704A">
        <w:tab/>
        <w:t>“service council”, a term used during the time of ‘Abdu’l-Bahá to denote a committee of an Assembly that would attend to all practical, functional matters and details of the Assembly, its meetings, or the organized gatherings of the friends.</w:t>
      </w:r>
    </w:p>
    <w:p w14:paraId="24A56452" w14:textId="77777777" w:rsidR="00625A5B" w:rsidRPr="008F03E5" w:rsidRDefault="00625A5B" w:rsidP="00AA52A1">
      <w:pPr>
        <w:pStyle w:val="Translit"/>
      </w:pPr>
      <w:r w:rsidRPr="008F03E5">
        <w:t>Majma, Majami</w:t>
      </w:r>
      <w:r w:rsidRPr="008F03E5">
        <w:tab/>
        <w:t>Majma‘, pl. Majámi‘</w:t>
      </w:r>
      <w:r w:rsidRPr="008F03E5">
        <w:tab/>
        <w:t>place where two or more things meet, place or point of union, junction; meeting, congregation, convention, assembly</w:t>
      </w:r>
    </w:p>
    <w:p w14:paraId="780656E2" w14:textId="77777777" w:rsidR="00625A5B" w:rsidRDefault="00625A5B" w:rsidP="00A83A20">
      <w:pPr>
        <w:pStyle w:val="Translit"/>
        <w:rPr>
          <w:lang w:val="en-AU"/>
        </w:rPr>
      </w:pPr>
      <w:r w:rsidRPr="00A83A20">
        <w:t>Majma</w:t>
      </w:r>
      <w:r>
        <w:t>’ al-</w:t>
      </w:r>
      <w:r w:rsidRPr="00A83A20">
        <w:t>Abr</w:t>
      </w:r>
      <w:r>
        <w:t>a</w:t>
      </w:r>
      <w:r w:rsidRPr="00A83A20">
        <w:t>r</w:t>
      </w:r>
      <w:r>
        <w:tab/>
      </w:r>
      <w:r w:rsidRPr="00A83A20">
        <w:t>Majma‘</w:t>
      </w:r>
      <w:r>
        <w:t xml:space="preserve"> al-</w:t>
      </w:r>
      <w:r w:rsidRPr="00A83A20">
        <w:t>Abrár</w:t>
      </w:r>
      <w:r>
        <w:tab/>
      </w:r>
      <w:r w:rsidRPr="00AF0087">
        <w:t xml:space="preserve">the gathering place of the righteous, </w:t>
      </w:r>
      <w:r>
        <w:t xml:space="preserve">i.e. </w:t>
      </w:r>
      <w:r w:rsidRPr="00AF0087">
        <w:t>the House of Justice</w:t>
      </w:r>
    </w:p>
    <w:p w14:paraId="264005AD" w14:textId="77777777" w:rsidR="00625A5B" w:rsidRDefault="00625A5B" w:rsidP="00BF1DA2">
      <w:pPr>
        <w:pStyle w:val="Translit"/>
        <w:rPr>
          <w:lang w:val="en-AU"/>
        </w:rPr>
      </w:pPr>
      <w:r>
        <w:rPr>
          <w:lang w:val="en-AU"/>
        </w:rPr>
        <w:t>Majma’, Majma’a, Majami’</w:t>
      </w:r>
      <w:r>
        <w:rPr>
          <w:lang w:val="en-AU"/>
        </w:rPr>
        <w:tab/>
        <w:t>M</w:t>
      </w:r>
      <w:r w:rsidRPr="00BF1DA2">
        <w:rPr>
          <w:lang w:val="en-AU"/>
        </w:rPr>
        <w:t>ajma‘</w:t>
      </w:r>
      <w:r>
        <w:rPr>
          <w:lang w:val="en-AU"/>
        </w:rPr>
        <w:t>,</w:t>
      </w:r>
      <w:r w:rsidRPr="00BF1DA2">
        <w:rPr>
          <w:lang w:val="en-AU"/>
        </w:rPr>
        <w:t xml:space="preserve"> </w:t>
      </w:r>
      <w:r>
        <w:rPr>
          <w:lang w:val="en-AU"/>
        </w:rPr>
        <w:t>fem. Majma‘a[h or t]</w:t>
      </w:r>
      <w:r>
        <w:rPr>
          <w:lang w:val="en-AU"/>
        </w:rPr>
        <w:tab/>
      </w:r>
      <w:r w:rsidRPr="00BF1DA2">
        <w:rPr>
          <w:lang w:val="en-AU"/>
        </w:rPr>
        <w:t xml:space="preserve">pl. </w:t>
      </w:r>
      <w:r>
        <w:rPr>
          <w:lang w:val="en-AU"/>
        </w:rPr>
        <w:t>M</w:t>
      </w:r>
      <w:r w:rsidRPr="00BF1DA2">
        <w:rPr>
          <w:lang w:val="en-AU"/>
        </w:rPr>
        <w:t>aj</w:t>
      </w:r>
      <w:r>
        <w:rPr>
          <w:lang w:val="en-AU"/>
        </w:rPr>
        <w:t>á</w:t>
      </w:r>
      <w:r w:rsidRPr="00BF1DA2">
        <w:rPr>
          <w:lang w:val="en-AU"/>
        </w:rPr>
        <w:t>mi‘</w:t>
      </w:r>
      <w:r>
        <w:rPr>
          <w:lang w:val="en-AU"/>
        </w:rPr>
        <w:t xml:space="preserve">.  </w:t>
      </w:r>
      <w:r w:rsidRPr="00BF1DA2">
        <w:rPr>
          <w:lang w:val="en-AU"/>
        </w:rPr>
        <w:t>place where two or more things meet, place or point of union, junction; meeting, congregation, convention, assembly</w:t>
      </w:r>
    </w:p>
    <w:p w14:paraId="01269525" w14:textId="77777777" w:rsidR="00625A5B" w:rsidRPr="008F03E5" w:rsidRDefault="00625A5B" w:rsidP="00234590">
      <w:pPr>
        <w:pStyle w:val="Translit"/>
      </w:pPr>
      <w:r w:rsidRPr="008F03E5">
        <w:t>Majma’-i-Abrar</w:t>
      </w:r>
      <w:r w:rsidRPr="008F03E5">
        <w:tab/>
        <w:t>Majma‘-i-Abrár</w:t>
      </w:r>
      <w:r w:rsidRPr="008F03E5">
        <w:tab/>
        <w:t>the gathering place of the righteous, e.g. the House of Justice.  See barr (reverent).</w:t>
      </w:r>
    </w:p>
    <w:p w14:paraId="40345102" w14:textId="77777777" w:rsidR="00625A5B" w:rsidRPr="008F03E5" w:rsidRDefault="00625A5B" w:rsidP="00F44D53">
      <w:pPr>
        <w:pStyle w:val="Translit"/>
      </w:pPr>
      <w:r w:rsidRPr="008F03E5">
        <w:t>Majma’ul-Fusaha’</w:t>
      </w:r>
      <w:r w:rsidRPr="008F03E5">
        <w:tab/>
        <w:t>Majma‘ul-Fuṣaḥá’</w:t>
      </w:r>
      <w:r w:rsidRPr="008F03E5">
        <w:tab/>
      </w:r>
      <w:r w:rsidRPr="00F44D53">
        <w:t>"The meeting place of the eloquent",</w:t>
      </w:r>
      <w:r>
        <w:t xml:space="preserve"> “Assembly of eloquent men” by Rid</w:t>
      </w:r>
      <w:r w:rsidRPr="00F44D53">
        <w:t>á</w:t>
      </w:r>
      <w:r>
        <w:t xml:space="preserve"> Qul</w:t>
      </w:r>
      <w:r w:rsidRPr="00F44D53">
        <w:t>í</w:t>
      </w:r>
      <w:r>
        <w:t xml:space="preserve"> </w:t>
      </w:r>
      <w:r w:rsidRPr="00F44D53">
        <w:rPr>
          <w:u w:val="single"/>
        </w:rPr>
        <w:t>Kh</w:t>
      </w:r>
      <w:r w:rsidRPr="00F44D53">
        <w:t>á</w:t>
      </w:r>
      <w:r>
        <w:t>n Hid</w:t>
      </w:r>
      <w:r w:rsidRPr="00F44D53">
        <w:t>á</w:t>
      </w:r>
      <w:r>
        <w:t>yat</w:t>
      </w:r>
    </w:p>
    <w:p w14:paraId="321485C8" w14:textId="77777777" w:rsidR="00625A5B" w:rsidRPr="008F03E5" w:rsidRDefault="00625A5B" w:rsidP="004301AF">
      <w:pPr>
        <w:pStyle w:val="Translit"/>
      </w:pPr>
      <w:r w:rsidRPr="008F03E5">
        <w:t>Majmu’</w:t>
      </w:r>
      <w:r w:rsidRPr="008F03E5">
        <w:tab/>
        <w:t>Majmú‘</w:t>
      </w:r>
      <w:r w:rsidRPr="008F03E5">
        <w:tab/>
        <w:t>collected, gathered; totality, whole; total, sum (arithmetic)</w:t>
      </w:r>
    </w:p>
    <w:p w14:paraId="585D169B" w14:textId="77777777" w:rsidR="00625A5B" w:rsidRPr="008F03E5" w:rsidRDefault="00625A5B" w:rsidP="00364373">
      <w:pPr>
        <w:pStyle w:val="Translit"/>
      </w:pPr>
      <w:r w:rsidRPr="008F03E5">
        <w:t>Majmu’a (Majmu’ih), Majmu’at, Majami’</w:t>
      </w:r>
      <w:r w:rsidRPr="008F03E5">
        <w:tab/>
        <w:t>Majmú‘a[h or t], pl. Majmú‘át, Majámí‘</w:t>
      </w:r>
      <w:r w:rsidRPr="008F03E5">
        <w:tab/>
        <w:t>(fem. of Majmú‘) collection (e.g., of works of art, of stamps, etc., also of stories); compilation, list; group (also, e.g., of trees, of islands, etc.); series (e.g., of articles in a newspaper; (new meaning) battery (electrical); alliance, league, bloc (e.g., of states); collective, collectivistic organization; aggregate; complex, block (of buildings); system; bulletin, periodical</w:t>
      </w:r>
    </w:p>
    <w:p w14:paraId="0639270E" w14:textId="77777777" w:rsidR="00625A5B" w:rsidRPr="008F03E5" w:rsidRDefault="00625A5B" w:rsidP="000A44C7">
      <w:pPr>
        <w:pStyle w:val="Translit"/>
      </w:pPr>
      <w:r w:rsidRPr="008F03E5">
        <w:t>Majmu’ih-i-Athar-i-Hadrat-i-A’la</w:t>
      </w:r>
      <w:r w:rsidRPr="008F03E5">
        <w:tab/>
        <w:t>Majmu‘ih-i-Á</w:t>
      </w:r>
      <w:r w:rsidRPr="008F03E5">
        <w:rPr>
          <w:u w:val="single"/>
        </w:rPr>
        <w:t>th</w:t>
      </w:r>
      <w:r w:rsidRPr="008F03E5">
        <w:t>ár-i-Ḥaḍrat-i-A‘lá</w:t>
      </w:r>
      <w:r w:rsidRPr="008F03E5">
        <w:tab/>
        <w:t>Collection of letters by “His Holiness the Most Exalted One” [the Báb]</w:t>
      </w:r>
    </w:p>
    <w:p w14:paraId="599C0965" w14:textId="77777777" w:rsidR="00625A5B" w:rsidRPr="008F03E5" w:rsidRDefault="00625A5B" w:rsidP="0003059E">
      <w:pPr>
        <w:pStyle w:val="Translit"/>
      </w:pPr>
      <w:r w:rsidRPr="008F03E5">
        <w:t>Majmu’ih-i-Khatabat-i-Hadrat</w:t>
      </w:r>
      <w:r w:rsidRPr="008F03E5">
        <w:tab/>
        <w:t>Majmú‘ih-i-</w:t>
      </w:r>
      <w:r w:rsidRPr="008F03E5">
        <w:rPr>
          <w:u w:val="single"/>
        </w:rPr>
        <w:t>Kh</w:t>
      </w:r>
      <w:r w:rsidRPr="008F03E5">
        <w:t>aṭábat-i-Ḥaḍrat</w:t>
      </w:r>
      <w:r w:rsidRPr="008F03E5">
        <w:tab/>
        <w:t>Pers. Majmú‘ih-i-</w:t>
      </w:r>
      <w:r w:rsidRPr="008F03E5">
        <w:rPr>
          <w:u w:val="single"/>
        </w:rPr>
        <w:t>Kh</w:t>
      </w:r>
      <w:r w:rsidRPr="008F03E5">
        <w:t xml:space="preserve">aṭábat-i-Ḥaḍrat-i-‘Abdu’l-Bahá “Collection of talks by His excellency ‘Abdu’l-Bahá”, published in English as </w:t>
      </w:r>
      <w:r w:rsidRPr="008F03E5">
        <w:rPr>
          <w:i/>
          <w:iCs/>
        </w:rPr>
        <w:t>The Promulgation of Universal Peace</w:t>
      </w:r>
    </w:p>
    <w:p w14:paraId="52214234" w14:textId="7AE4DAB2" w:rsidR="00625A5B" w:rsidRPr="008F03E5" w:rsidRDefault="00625A5B" w:rsidP="002025DB">
      <w:pPr>
        <w:pStyle w:val="Translit"/>
      </w:pPr>
      <w:r w:rsidRPr="008F03E5">
        <w:t>Majmu’iy-i-Alwah-i-Mubarak</w:t>
      </w:r>
      <w:r w:rsidRPr="008F03E5">
        <w:tab/>
        <w:t>Majmú‘iy-i-Alwáḥ-i-Mubárak</w:t>
      </w:r>
      <w:r w:rsidRPr="008F03E5">
        <w:tab/>
      </w:r>
      <w:r w:rsidR="002025DB">
        <w:t>“</w:t>
      </w:r>
      <w:r w:rsidRPr="008F03E5">
        <w:t>C</w:t>
      </w:r>
      <w:r w:rsidR="002025DB">
        <w:t>ompilation</w:t>
      </w:r>
      <w:r w:rsidRPr="008F03E5">
        <w:t xml:space="preserve"> of </w:t>
      </w:r>
      <w:r w:rsidR="002025DB">
        <w:t>T</w:t>
      </w:r>
      <w:r w:rsidRPr="008F03E5">
        <w:t xml:space="preserve">ablets </w:t>
      </w:r>
      <w:r w:rsidR="002025DB">
        <w:t xml:space="preserve">of medicine </w:t>
      </w:r>
      <w:r w:rsidRPr="008F03E5">
        <w:t>by the Blessed</w:t>
      </w:r>
      <w:r w:rsidR="002025DB">
        <w:t>”</w:t>
      </w:r>
      <w:r w:rsidRPr="008F03E5">
        <w:t xml:space="preserve"> [Bahá’u’lláh]</w:t>
      </w:r>
    </w:p>
    <w:p w14:paraId="3CC71ED7" w14:textId="5F484EA0" w:rsidR="002A118C" w:rsidRPr="002025DB" w:rsidRDefault="002A118C" w:rsidP="002025DB">
      <w:pPr>
        <w:pStyle w:val="Translit"/>
      </w:pPr>
      <w:r w:rsidRPr="002025DB">
        <w:t>Majmu’iy-i-Ishraqat</w:t>
      </w:r>
      <w:r w:rsidRPr="002025DB">
        <w:tab/>
        <w:t>Majmú‘iy-i-</w:t>
      </w:r>
      <w:r w:rsidR="00892C0B" w:rsidRPr="002025DB">
        <w:t>I</w:t>
      </w:r>
      <w:r w:rsidR="00892C0B" w:rsidRPr="002025DB">
        <w:rPr>
          <w:u w:val="single"/>
        </w:rPr>
        <w:t>sh</w:t>
      </w:r>
      <w:r w:rsidR="00892C0B" w:rsidRPr="002025DB">
        <w:t>ráqat</w:t>
      </w:r>
      <w:r w:rsidR="00892C0B" w:rsidRPr="002025DB">
        <w:tab/>
      </w:r>
      <w:r w:rsidR="002025DB">
        <w:t>“</w:t>
      </w:r>
      <w:r w:rsidR="002025DB" w:rsidRPr="008F03E5">
        <w:t>C</w:t>
      </w:r>
      <w:r w:rsidR="002025DB">
        <w:t>ompilation</w:t>
      </w:r>
      <w:r w:rsidR="002025DB" w:rsidRPr="002025DB">
        <w:t xml:space="preserve"> of Splendours</w:t>
      </w:r>
      <w:r w:rsidR="002025DB">
        <w:t>”</w:t>
      </w:r>
      <w:r w:rsidR="002025DB" w:rsidRPr="002025DB">
        <w:t xml:space="preserve"> by Bahá’u’lláh</w:t>
      </w:r>
    </w:p>
    <w:p w14:paraId="60F5AEEA" w14:textId="77777777" w:rsidR="00625A5B" w:rsidRPr="008F03E5" w:rsidRDefault="00625A5B" w:rsidP="00072BF3">
      <w:pPr>
        <w:pStyle w:val="Translit"/>
      </w:pPr>
      <w:r w:rsidRPr="008F03E5">
        <w:t>Majnun, Majanin</w:t>
      </w:r>
      <w:r w:rsidRPr="008F03E5">
        <w:tab/>
        <w:t>Majnún, pl. Majánín</w:t>
      </w:r>
      <w:r w:rsidRPr="008F03E5">
        <w:tab/>
        <w:t>possessed, obsessed; insane, mad; madman, maniac, lunatic; crazy, cracked; crackpot; foolish; fool.  Name of classical Persian lover who searches for his beloved Laylí.</w:t>
      </w:r>
    </w:p>
    <w:p w14:paraId="4C4421AC" w14:textId="77777777" w:rsidR="00625A5B" w:rsidRPr="008F03E5" w:rsidRDefault="00625A5B" w:rsidP="00CB1158">
      <w:pPr>
        <w:pStyle w:val="Translit"/>
      </w:pPr>
      <w:r w:rsidRPr="008F03E5">
        <w:t>Majrur, Magarir</w:t>
      </w:r>
      <w:r w:rsidRPr="008F03E5">
        <w:tab/>
        <w:t>Majrúr, pl. Magárir</w:t>
      </w:r>
      <w:r w:rsidRPr="008F03E5">
        <w:tab/>
        <w:t>drawn, dragged, towed, etc.; word governed by a preposition, word in the genitive form; (pl.) drain, sewer</w:t>
      </w:r>
    </w:p>
    <w:p w14:paraId="6CCC9514" w14:textId="77777777" w:rsidR="00625A5B" w:rsidRPr="008F03E5" w:rsidRDefault="00625A5B" w:rsidP="008345D0">
      <w:pPr>
        <w:pStyle w:val="Translit"/>
      </w:pPr>
      <w:r w:rsidRPr="008F03E5">
        <w:t>Majusi, Majus</w:t>
      </w:r>
      <w:r w:rsidRPr="008F03E5">
        <w:tab/>
        <w:t>Majúsí, pl. Majús</w:t>
      </w:r>
      <w:r w:rsidRPr="008F03E5">
        <w:tab/>
        <w:t>Magian; adherent of Mazdaism; a follower of Zoroaster; later translated as a “fire-worshipper”;—pl. Magian; Magus, magi; adherents of Mazdaism.  Zoroastrians are not fire-worshippers.  Zoroastrians believe that the elements are pure and that fire represents God’s light or wisdom.</w:t>
      </w:r>
    </w:p>
    <w:p w14:paraId="7F80190C" w14:textId="77777777" w:rsidR="00625A5B" w:rsidRPr="008F03E5" w:rsidRDefault="00625A5B" w:rsidP="008345D0">
      <w:pPr>
        <w:pStyle w:val="Translit"/>
      </w:pPr>
      <w:r w:rsidRPr="008F03E5">
        <w:t>Majusiyat</w:t>
      </w:r>
      <w:r w:rsidRPr="008F03E5">
        <w:tab/>
        <w:t>Majúsíyat</w:t>
      </w:r>
      <w:r w:rsidRPr="008F03E5">
        <w:tab/>
        <w:t>the religion of the Magi</w:t>
      </w:r>
    </w:p>
    <w:p w14:paraId="704DDA11" w14:textId="77777777" w:rsidR="00625A5B" w:rsidRPr="008F03E5" w:rsidRDefault="00625A5B" w:rsidP="004301AF">
      <w:pPr>
        <w:pStyle w:val="Translit"/>
      </w:pPr>
      <w:r w:rsidRPr="008F03E5">
        <w:t>Makatib-i</w:t>
      </w:r>
      <w:r w:rsidRPr="008F03E5">
        <w:rPr>
          <w:rFonts w:eastAsia="PMingLiU"/>
          <w:lang w:eastAsia="zh-TW"/>
        </w:rPr>
        <w:t>-‘</w:t>
      </w:r>
      <w:r w:rsidRPr="008F03E5">
        <w:t>Abdu’l-Baha</w:t>
      </w:r>
      <w:r w:rsidRPr="008F03E5">
        <w:tab/>
        <w:t>Makátíb-i-‘Abdu’l-Bahá</w:t>
      </w:r>
      <w:r w:rsidRPr="008F03E5">
        <w:tab/>
        <w:t>“Tablets of ‘Abdu’l-Bahá” by ‘Abdu’l-Bahá</w:t>
      </w:r>
    </w:p>
    <w:p w14:paraId="75B3AFFD" w14:textId="77777777" w:rsidR="00625A5B" w:rsidRPr="008F03E5" w:rsidRDefault="00625A5B" w:rsidP="00EC5DFD">
      <w:pPr>
        <w:pStyle w:val="Translit"/>
      </w:pPr>
      <w:r w:rsidRPr="008F03E5">
        <w:t>Makhdhumiya</w:t>
      </w:r>
      <w:r w:rsidRPr="008F03E5">
        <w:tab/>
        <w:t>Ma</w:t>
      </w:r>
      <w:r w:rsidRPr="008F03E5">
        <w:rPr>
          <w:u w:val="single"/>
        </w:rPr>
        <w:t>khdh</w:t>
      </w:r>
      <w:r w:rsidRPr="008F03E5">
        <w:t>úmíya[h]</w:t>
      </w:r>
      <w:r w:rsidRPr="008F03E5">
        <w:tab/>
        <w:t>status of the master or employer</w:t>
      </w:r>
    </w:p>
    <w:p w14:paraId="097379D2" w14:textId="77777777" w:rsidR="00625A5B" w:rsidRPr="008F03E5" w:rsidRDefault="00625A5B" w:rsidP="00156084">
      <w:pPr>
        <w:pStyle w:val="Translit"/>
      </w:pPr>
      <w:r w:rsidRPr="008F03E5">
        <w:t>Makhfi</w:t>
      </w:r>
      <w:r w:rsidRPr="008F03E5">
        <w:tab/>
        <w:t>Ma</w:t>
      </w:r>
      <w:r w:rsidRPr="008F03E5">
        <w:rPr>
          <w:u w:val="single"/>
        </w:rPr>
        <w:t>kh</w:t>
      </w:r>
      <w:r w:rsidRPr="008F03E5">
        <w:t>fí</w:t>
      </w:r>
      <w:r w:rsidRPr="008F03E5">
        <w:tab/>
        <w:t>hidden, concealed, covered, occult, clandestine, private.  Imám Ma</w:t>
      </w:r>
      <w:r w:rsidRPr="008F03E5">
        <w:rPr>
          <w:u w:val="single"/>
        </w:rPr>
        <w:t>kh</w:t>
      </w:r>
      <w:r w:rsidRPr="008F03E5">
        <w:t>fí, the Hidden Imam (Muḥammad ibn al-Ḥasan), has been given many titl</w:t>
      </w:r>
      <w:r w:rsidRPr="008F03E5">
        <w:rPr>
          <w:rFonts w:eastAsia="MS Mincho"/>
        </w:rPr>
        <w:t xml:space="preserve">es, including:  </w:t>
      </w:r>
      <w:r w:rsidRPr="008F03E5">
        <w:t>Ṣ</w:t>
      </w:r>
      <w:r w:rsidRPr="008F03E5">
        <w:rPr>
          <w:rFonts w:eastAsia="MS Mincho"/>
        </w:rPr>
        <w:t>á</w:t>
      </w:r>
      <w:r w:rsidRPr="008F03E5">
        <w:t>ḥ</w:t>
      </w:r>
      <w:r w:rsidRPr="008F03E5">
        <w:rPr>
          <w:rFonts w:eastAsia="MS Mincho"/>
        </w:rPr>
        <w:t>ib az-Zamán (“the Lord of the Age”), Ṣáḥíb al-Amr (“the Lord of Command”), al-</w:t>
      </w:r>
      <w:r w:rsidRPr="008F03E5">
        <w:t>Mihdí</w:t>
      </w:r>
      <w:r w:rsidRPr="008F03E5">
        <w:rPr>
          <w:rFonts w:eastAsia="MS Mincho"/>
        </w:rPr>
        <w:t xml:space="preserve"> (“the Rightly-Guided One”), al-Qá</w:t>
      </w:r>
      <w:r w:rsidRPr="008F03E5">
        <w:t>’</w:t>
      </w:r>
      <w:r w:rsidRPr="008F03E5">
        <w:rPr>
          <w:rFonts w:eastAsia="MS Mincho"/>
        </w:rPr>
        <w:t xml:space="preserve">im (“He who will arise”), al-Imám al-Munṭaẓar (“the Awaited Imám”) and the </w:t>
      </w:r>
      <w:r w:rsidRPr="008F03E5">
        <w:t>Baqíya Alláh</w:t>
      </w:r>
      <w:r w:rsidRPr="008F03E5">
        <w:rPr>
          <w:rFonts w:eastAsia="MS Mincho"/>
        </w:rPr>
        <w:t xml:space="preserve"> (“Remnant of God”).</w:t>
      </w:r>
    </w:p>
    <w:p w14:paraId="2E1518F9" w14:textId="77777777" w:rsidR="00625A5B" w:rsidRPr="008F03E5" w:rsidRDefault="00625A5B" w:rsidP="00AD5C9E">
      <w:pPr>
        <w:pStyle w:val="Translit"/>
      </w:pPr>
      <w:r w:rsidRPr="008F03E5">
        <w:t>Makhluq, Makhluqat, Makhliq</w:t>
      </w:r>
      <w:r w:rsidRPr="008F03E5">
        <w:tab/>
        <w:t>Ma</w:t>
      </w:r>
      <w:r w:rsidRPr="008F03E5">
        <w:rPr>
          <w:u w:val="single"/>
        </w:rPr>
        <w:t>kh</w:t>
      </w:r>
      <w:r w:rsidRPr="008F03E5">
        <w:t>lúq, pl. Ma</w:t>
      </w:r>
      <w:r w:rsidRPr="008F03E5">
        <w:rPr>
          <w:u w:val="single"/>
        </w:rPr>
        <w:t>kh</w:t>
      </w:r>
      <w:r w:rsidRPr="008F03E5">
        <w:t>lúqát, Má</w:t>
      </w:r>
      <w:r w:rsidRPr="008F03E5">
        <w:rPr>
          <w:u w:val="single"/>
        </w:rPr>
        <w:t>kh</w:t>
      </w:r>
      <w:r w:rsidRPr="008F03E5">
        <w:t>líq</w:t>
      </w:r>
      <w:r w:rsidRPr="008F03E5">
        <w:tab/>
        <w:t>created; creature, created being</w:t>
      </w:r>
    </w:p>
    <w:p w14:paraId="7A6BDE52" w14:textId="77777777" w:rsidR="00625A5B" w:rsidRPr="008F03E5" w:rsidRDefault="00625A5B" w:rsidP="00B430C2">
      <w:pPr>
        <w:pStyle w:val="Translit"/>
      </w:pPr>
      <w:r w:rsidRPr="008F03E5">
        <w:t>Makhluqat, Makhluqa, Makhaliq</w:t>
      </w:r>
      <w:r w:rsidRPr="008F03E5">
        <w:tab/>
        <w:t>Ma</w:t>
      </w:r>
      <w:r w:rsidRPr="008F03E5">
        <w:rPr>
          <w:u w:val="single"/>
        </w:rPr>
        <w:t>kh</w:t>
      </w:r>
      <w:r w:rsidRPr="008F03E5">
        <w:t>lúqat, Ma</w:t>
      </w:r>
      <w:r w:rsidRPr="008F03E5">
        <w:rPr>
          <w:u w:val="single"/>
        </w:rPr>
        <w:t>kh</w:t>
      </w:r>
      <w:r w:rsidRPr="008F03E5">
        <w:t>lúqa</w:t>
      </w:r>
      <w:r w:rsidRPr="008F03E5">
        <w:tab/>
        <w:t>a creature, a created thing;—pl. ma</w:t>
      </w:r>
      <w:r w:rsidRPr="008F03E5">
        <w:rPr>
          <w:u w:val="single"/>
        </w:rPr>
        <w:t>kh</w:t>
      </w:r>
      <w:r w:rsidRPr="008F03E5">
        <w:t>aliq, ma</w:t>
      </w:r>
      <w:r w:rsidRPr="008F03E5">
        <w:rPr>
          <w:u w:val="single"/>
        </w:rPr>
        <w:t>kh</w:t>
      </w:r>
      <w:r w:rsidRPr="008F03E5">
        <w:t>lúqát</w:t>
      </w:r>
    </w:p>
    <w:p w14:paraId="173CF623" w14:textId="77777777" w:rsidR="00625A5B" w:rsidRPr="008F03E5" w:rsidRDefault="00625A5B" w:rsidP="00F05303">
      <w:pPr>
        <w:pStyle w:val="Translit"/>
      </w:pPr>
      <w:r w:rsidRPr="008F03E5">
        <w:t>Makhsus</w:t>
      </w:r>
      <w:r w:rsidRPr="008F03E5">
        <w:tab/>
        <w:t>Ma</w:t>
      </w:r>
      <w:r w:rsidRPr="008F03E5">
        <w:rPr>
          <w:u w:val="single"/>
        </w:rPr>
        <w:t>kh</w:t>
      </w:r>
      <w:r w:rsidRPr="008F03E5">
        <w:t>ṣúṣ</w:t>
      </w:r>
      <w:r w:rsidRPr="008F03E5">
        <w:tab/>
        <w:t>special</w:t>
      </w:r>
    </w:p>
    <w:p w14:paraId="18BB6A6B" w14:textId="77777777" w:rsidR="00625A5B" w:rsidRPr="008F03E5" w:rsidRDefault="00625A5B" w:rsidP="00F05303">
      <w:pPr>
        <w:pStyle w:val="Translit"/>
      </w:pPr>
      <w:r w:rsidRPr="008F03E5">
        <w:t>Makhtum</w:t>
      </w:r>
      <w:r w:rsidRPr="008F03E5">
        <w:tab/>
        <w:t>Ma</w:t>
      </w:r>
      <w:r w:rsidRPr="008F03E5">
        <w:rPr>
          <w:u w:val="single"/>
        </w:rPr>
        <w:t>kh</w:t>
      </w:r>
      <w:r w:rsidRPr="008F03E5">
        <w:t>túm</w:t>
      </w:r>
      <w:r w:rsidRPr="008F03E5">
        <w:tab/>
        <w:t>Pers. sealed, finished, concluded</w:t>
      </w:r>
    </w:p>
    <w:p w14:paraId="68EE4C35" w14:textId="77777777" w:rsidR="00625A5B" w:rsidRPr="008F03E5" w:rsidRDefault="00625A5B" w:rsidP="00EF4F9E">
      <w:pPr>
        <w:pStyle w:val="Translit"/>
      </w:pPr>
      <w:r w:rsidRPr="008F03E5">
        <w:t>Makhzum</w:t>
      </w:r>
      <w:r w:rsidRPr="008F03E5">
        <w:tab/>
        <w:t>Ma</w:t>
      </w:r>
      <w:r w:rsidRPr="008F03E5">
        <w:rPr>
          <w:u w:val="single"/>
        </w:rPr>
        <w:t>kh</w:t>
      </w:r>
      <w:r w:rsidRPr="008F03E5">
        <w:t>zúm</w:t>
      </w:r>
      <w:r w:rsidRPr="008F03E5">
        <w:tab/>
        <w:t>pierced in the nose; name of the founder of a tribe, Banú Ma</w:t>
      </w:r>
      <w:r w:rsidRPr="008F03E5">
        <w:rPr>
          <w:u w:val="single"/>
        </w:rPr>
        <w:t>kh</w:t>
      </w:r>
      <w:r w:rsidRPr="008F03E5">
        <w:t>zúm clan of the Quray</w:t>
      </w:r>
      <w:r w:rsidRPr="008F03E5">
        <w:rPr>
          <w:u w:val="single"/>
        </w:rPr>
        <w:t>sh</w:t>
      </w:r>
      <w:r w:rsidRPr="008F03E5">
        <w:t xml:space="preserve"> tribe</w:t>
      </w:r>
    </w:p>
    <w:p w14:paraId="18EE7615" w14:textId="77777777" w:rsidR="00625A5B" w:rsidRPr="008F03E5" w:rsidRDefault="00625A5B" w:rsidP="00B66D44">
      <w:pPr>
        <w:pStyle w:val="Translit"/>
      </w:pPr>
      <w:r w:rsidRPr="008F03E5">
        <w:t>Makhzun, Makhzunat</w:t>
      </w:r>
      <w:r w:rsidRPr="008F03E5">
        <w:tab/>
        <w:t>Ma</w:t>
      </w:r>
      <w:r w:rsidRPr="008F03E5">
        <w:rPr>
          <w:u w:val="single"/>
        </w:rPr>
        <w:t>kh</w:t>
      </w:r>
      <w:r w:rsidRPr="008F03E5">
        <w:t>zún, pl. Ma</w:t>
      </w:r>
      <w:r w:rsidRPr="008F03E5">
        <w:rPr>
          <w:u w:val="single"/>
        </w:rPr>
        <w:t>kh</w:t>
      </w:r>
      <w:r w:rsidRPr="008F03E5">
        <w:t>zúnát</w:t>
      </w:r>
      <w:r w:rsidRPr="008F03E5">
        <w:tab/>
        <w:t>stored, stored up, deposited, warehoused;—pl. stock, supply, stock in trade</w:t>
      </w:r>
    </w:p>
    <w:p w14:paraId="0F34BB87" w14:textId="77777777" w:rsidR="00625A5B" w:rsidRPr="008F03E5" w:rsidRDefault="00625A5B" w:rsidP="00900A82">
      <w:pPr>
        <w:pStyle w:val="Translit"/>
      </w:pPr>
      <w:r w:rsidRPr="008F03E5">
        <w:t>Makkah</w:t>
      </w:r>
      <w:r w:rsidRPr="008F03E5">
        <w:tab/>
        <w:t>Makkah</w:t>
      </w:r>
      <w:r w:rsidRPr="008F03E5">
        <w:tab/>
        <w:t>more accurate spelling of Mecca,  Official name is Makkah al-Mukarramah (“Makkah the Noble”) and shortened to Makkah.  al-Bakka (Qur’án 3:96) may be an older name for al-Makkah.  Bahá’í Writings use Baṭḥá’ to mean Makkah (Mecca).</w:t>
      </w:r>
    </w:p>
    <w:p w14:paraId="750AF0D9" w14:textId="77777777" w:rsidR="00625A5B" w:rsidRPr="008F03E5" w:rsidRDefault="00625A5B" w:rsidP="00536323">
      <w:pPr>
        <w:pStyle w:val="Translit"/>
      </w:pPr>
      <w:r w:rsidRPr="00CF47FE">
        <w:t>Makki, Makkiya, Makkiy</w:t>
      </w:r>
      <w:r>
        <w:t>un</w:t>
      </w:r>
      <w:r w:rsidRPr="00CF47FE">
        <w:tab/>
        <w:t xml:space="preserve">Makkí, fem. </w:t>
      </w:r>
      <w:r w:rsidRPr="008F03E5">
        <w:t>Makkíya[h or t]</w:t>
      </w:r>
      <w:r>
        <w:tab/>
        <w:t xml:space="preserve">(also fem. </w:t>
      </w:r>
      <w:r w:rsidRPr="00077779">
        <w:t>Makk</w:t>
      </w:r>
      <w:r>
        <w:t>i</w:t>
      </w:r>
      <w:r w:rsidRPr="00077779">
        <w:t>y</w:t>
      </w:r>
      <w:r>
        <w:t>y</w:t>
      </w:r>
      <w:r w:rsidRPr="00077779">
        <w:t>a</w:t>
      </w:r>
      <w:r>
        <w:t>[h or t], pl. Makkiy</w:t>
      </w:r>
      <w:r w:rsidRPr="00CF47FE">
        <w:t>ú</w:t>
      </w:r>
      <w:r>
        <w:t xml:space="preserve">n) </w:t>
      </w:r>
      <w:r w:rsidRPr="008F03E5">
        <w:t>Meccan</w:t>
      </w:r>
      <w:r>
        <w:t>; revealed at Mecca (i.e. a chapter of the Qur’án, ≈90)</w:t>
      </w:r>
      <w:r w:rsidRPr="008F03E5">
        <w:t>.  Abú Ṭálib Muḥammad ibn ‘Alí al-Makkí (d. 996) was a hadith scholar, Shafi‘i jurist, and Sufi mystic.</w:t>
      </w:r>
    </w:p>
    <w:p w14:paraId="3FC6A79F" w14:textId="77777777" w:rsidR="00625A5B" w:rsidRPr="008F03E5" w:rsidRDefault="00625A5B" w:rsidP="00F612CE">
      <w:pPr>
        <w:pStyle w:val="Translit"/>
      </w:pPr>
      <w:r w:rsidRPr="008F03E5">
        <w:t>Maknun, Maknuna, Maknunih</w:t>
      </w:r>
      <w:r w:rsidRPr="008F03E5">
        <w:tab/>
        <w:t>Maknún, fem. Maknúna[t]</w:t>
      </w:r>
      <w:r w:rsidRPr="008F03E5">
        <w:tab/>
        <w:t>hidden, concealed; well-kept; hidden content.  Pers. also Maknúnih</w:t>
      </w:r>
    </w:p>
    <w:p w14:paraId="43196317" w14:textId="77777777" w:rsidR="00625A5B" w:rsidRPr="008F03E5" w:rsidRDefault="00625A5B" w:rsidP="00E4163D">
      <w:pPr>
        <w:pStyle w:val="Translit"/>
      </w:pPr>
      <w:r w:rsidRPr="008F03E5">
        <w:t>Maktab, Makatib</w:t>
      </w:r>
      <w:r w:rsidRPr="008F03E5">
        <w:tab/>
        <w:t>Maktab, pl. Makátib</w:t>
      </w:r>
      <w:r w:rsidRPr="008F03E5">
        <w:tab/>
        <w:t>office; bureau; business office; study; school, elementary school; department, agency, office; desk</w:t>
      </w:r>
    </w:p>
    <w:p w14:paraId="3FFB4B83" w14:textId="77777777" w:rsidR="00625A5B" w:rsidRPr="00077779" w:rsidRDefault="00625A5B" w:rsidP="00E4163D">
      <w:pPr>
        <w:pStyle w:val="Translit"/>
      </w:pPr>
      <w:r w:rsidRPr="00077779">
        <w:t>Maktaba, Maktabat, Makatib</w:t>
      </w:r>
      <w:r w:rsidRPr="00077779">
        <w:tab/>
        <w:t>Maktaba[h], pl. Maktabát, Makátib</w:t>
      </w:r>
      <w:r w:rsidRPr="00077779">
        <w:tab/>
        <w:t>library; bookstore; desk</w:t>
      </w:r>
    </w:p>
    <w:p w14:paraId="268CB87C" w14:textId="77777777" w:rsidR="00625A5B" w:rsidRPr="008F03E5" w:rsidRDefault="00625A5B" w:rsidP="0093536D">
      <w:pPr>
        <w:pStyle w:val="Translit"/>
      </w:pPr>
      <w:r w:rsidRPr="00077779">
        <w:t>Maktub, Makatib</w:t>
      </w:r>
      <w:r w:rsidRPr="00077779">
        <w:tab/>
        <w:t xml:space="preserve">Maktúb, pl. </w:t>
      </w:r>
      <w:r w:rsidRPr="008F03E5">
        <w:t>Makátíb</w:t>
      </w:r>
      <w:r w:rsidRPr="008F03E5">
        <w:tab/>
        <w:t>written, written down, recorded; fated, foreordained, destined; something written, writing;—pl. a writing, message, note; letter</w:t>
      </w:r>
    </w:p>
    <w:p w14:paraId="7F8E22FE" w14:textId="77777777" w:rsidR="00625A5B" w:rsidRPr="008F03E5" w:rsidRDefault="00625A5B" w:rsidP="00C1598C">
      <w:pPr>
        <w:pStyle w:val="Translit"/>
      </w:pPr>
      <w:r w:rsidRPr="008F03E5">
        <w:t>Maku</w:t>
      </w:r>
      <w:r w:rsidRPr="008F03E5">
        <w:tab/>
        <w:t>Mákú</w:t>
      </w:r>
      <w:r w:rsidRPr="008F03E5">
        <w:tab/>
        <w:t xml:space="preserve">Pers. from Azerbaijani.  A city in the West Azerbaijan Province, Iran and the capital of Maku County.  It is 130 km </w:t>
      </w:r>
      <w:r w:rsidRPr="008F03E5">
        <w:rPr>
          <w:sz w:val="16"/>
          <w:szCs w:val="16"/>
        </w:rPr>
        <w:t>NE</w:t>
      </w:r>
      <w:r w:rsidRPr="008F03E5">
        <w:t xml:space="preserve"> of Van and 205 km </w:t>
      </w:r>
      <w:r w:rsidRPr="008F03E5">
        <w:rPr>
          <w:sz w:val="16"/>
          <w:szCs w:val="16"/>
        </w:rPr>
        <w:t>NW</w:t>
      </w:r>
      <w:r w:rsidRPr="008F03E5">
        <w:t xml:space="preserve"> Tabriz.  Located in a mountain gorge of the Zangmár River.  Máh-Kú Qal‘a (fort or castle, now a ruin), 4 km east of the new city centre of Mákú, is where the Báb was imprisoned.  See Máh-Kú.</w:t>
      </w:r>
    </w:p>
    <w:p w14:paraId="0AE16216" w14:textId="77777777" w:rsidR="00625A5B" w:rsidRPr="008F03E5" w:rsidRDefault="00625A5B" w:rsidP="00A019B7">
      <w:pPr>
        <w:pStyle w:val="Translit"/>
      </w:pPr>
      <w:r w:rsidRPr="008F03E5">
        <w:t>Maku’i</w:t>
      </w:r>
      <w:r w:rsidRPr="008F03E5">
        <w:tab/>
        <w:t>Mákú’í</w:t>
      </w:r>
      <w:r w:rsidRPr="008F03E5">
        <w:tab/>
        <w:t>a native or inhabitant of Mákú.  Maḥmúd Pá</w:t>
      </w:r>
      <w:r w:rsidRPr="008F03E5">
        <w:rPr>
          <w:u w:val="single"/>
        </w:rPr>
        <w:t>sh</w:t>
      </w:r>
      <w:r w:rsidRPr="008F03E5">
        <w:t>áy-i-Mákú’í</w:t>
      </w:r>
    </w:p>
    <w:p w14:paraId="037CAA8E" w14:textId="77777777" w:rsidR="00625A5B" w:rsidRPr="008F03E5" w:rsidRDefault="00625A5B" w:rsidP="00A019B7">
      <w:pPr>
        <w:pStyle w:val="Translit"/>
      </w:pPr>
      <w:r w:rsidRPr="008F03E5">
        <w:t>Mal’ak, Malak, Mala’ik, Mala’ika</w:t>
      </w:r>
      <w:r w:rsidRPr="008F03E5">
        <w:tab/>
        <w:t>Mal’ak &amp; Malak, pl. Malá’ik, Malá’ika[h]</w:t>
      </w:r>
      <w:r w:rsidRPr="008F03E5">
        <w:tab/>
        <w:t xml:space="preserve">an angel (as sent by God); messenger, envoy; embassy, mission; an epistle.  Derived from the form </w:t>
      </w:r>
      <w:r w:rsidRPr="008F03E5">
        <w:rPr>
          <w:sz w:val="16"/>
          <w:szCs w:val="16"/>
        </w:rPr>
        <w:t>IV</w:t>
      </w:r>
      <w:r w:rsidRPr="008F03E5">
        <w:t xml:space="preserve"> root </w:t>
      </w:r>
      <w:r w:rsidRPr="008F03E5">
        <w:rPr>
          <w:rtl/>
        </w:rPr>
        <w:t>كلأ</w:t>
      </w:r>
      <w:r w:rsidRPr="008F03E5">
        <w:t xml:space="preserve"> (</w:t>
      </w:r>
      <w:r w:rsidRPr="008F03E5">
        <w:rPr>
          <w:sz w:val="16"/>
          <w:szCs w:val="16"/>
        </w:rPr>
        <w:t>L</w:t>
      </w:r>
      <w:r w:rsidRPr="008F03E5">
        <w:t>’</w:t>
      </w:r>
      <w:r w:rsidRPr="008F03E5">
        <w:rPr>
          <w:sz w:val="16"/>
          <w:szCs w:val="16"/>
        </w:rPr>
        <w:t>K</w:t>
      </w:r>
      <w:r w:rsidRPr="008F03E5">
        <w:t>) to send as a messenger.</w:t>
      </w:r>
    </w:p>
    <w:p w14:paraId="60A7C4C7" w14:textId="77777777" w:rsidR="00625A5B" w:rsidRPr="008F03E5" w:rsidRDefault="00625A5B" w:rsidP="00251A29">
      <w:pPr>
        <w:pStyle w:val="Translit"/>
      </w:pPr>
      <w:r w:rsidRPr="008F03E5">
        <w:t>Mala’, Amla’</w:t>
      </w:r>
      <w:r w:rsidRPr="008F03E5">
        <w:tab/>
        <w:t>Mala’, pl. Amlá’</w:t>
      </w:r>
      <w:r w:rsidRPr="008F03E5">
        <w:tab/>
        <w:t>being full, crowd, gathering, assembly, congregation; audience; (general) public; council of elders, notables</w:t>
      </w:r>
    </w:p>
    <w:p w14:paraId="4F5E4538" w14:textId="54332EC3" w:rsidR="00364102" w:rsidRPr="00364102" w:rsidRDefault="00364102" w:rsidP="00364102">
      <w:pPr>
        <w:pStyle w:val="Translit"/>
      </w:pPr>
      <w:r w:rsidRPr="00364102">
        <w:t>Mala al-A</w:t>
      </w:r>
      <w:r>
        <w:t>’</w:t>
      </w:r>
      <w:r w:rsidRPr="00364102">
        <w:t>l</w:t>
      </w:r>
      <w:r>
        <w:t>a</w:t>
      </w:r>
      <w:r>
        <w:tab/>
      </w:r>
      <w:r w:rsidRPr="00364102">
        <w:rPr>
          <w:lang w:val="en-US"/>
        </w:rPr>
        <w:t>al-</w:t>
      </w:r>
      <w:r w:rsidRPr="00364102">
        <w:t>Mala al-A‘lá</w:t>
      </w:r>
      <w:r>
        <w:tab/>
        <w:t>“</w:t>
      </w:r>
      <w:r w:rsidRPr="00364102">
        <w:rPr>
          <w:lang w:val="en-US"/>
        </w:rPr>
        <w:t>the Supreme Concourse”</w:t>
      </w:r>
    </w:p>
    <w:p w14:paraId="1F34F32B" w14:textId="77777777" w:rsidR="00625A5B" w:rsidRPr="008F03E5" w:rsidRDefault="00625A5B" w:rsidP="004A4AA5">
      <w:pPr>
        <w:pStyle w:val="Translit"/>
      </w:pPr>
      <w:r w:rsidRPr="008F03E5">
        <w:t>Maladh</w:t>
      </w:r>
      <w:r w:rsidRPr="008F03E5">
        <w:tab/>
        <w:t>Malá</w:t>
      </w:r>
      <w:r w:rsidRPr="008F03E5">
        <w:rPr>
          <w:u w:val="single"/>
        </w:rPr>
        <w:t>dh</w:t>
      </w:r>
      <w:r w:rsidRPr="008F03E5">
        <w:tab/>
        <w:t>refuge, protection; shelter; asylum, sanctuary; protector</w:t>
      </w:r>
    </w:p>
    <w:p w14:paraId="4D61692D" w14:textId="77777777" w:rsidR="00625A5B" w:rsidRPr="008F03E5" w:rsidRDefault="00625A5B" w:rsidP="002121E6">
      <w:pPr>
        <w:pStyle w:val="Translit"/>
      </w:pPr>
      <w:r w:rsidRPr="008F03E5">
        <w:t>Maladhgard, Manikert, Malazgirt</w:t>
      </w:r>
      <w:r w:rsidRPr="008F03E5">
        <w:tab/>
        <w:t>Malá</w:t>
      </w:r>
      <w:r w:rsidRPr="008F03E5">
        <w:rPr>
          <w:u w:val="single"/>
        </w:rPr>
        <w:t>dh</w:t>
      </w:r>
      <w:r w:rsidRPr="008F03E5">
        <w:t>gard</w:t>
      </w:r>
      <w:r w:rsidRPr="008F03E5">
        <w:tab/>
        <w:t>Manzikert (modern Malazgirt or Malâzgird) located north of Lake Van in Muş Province, eastern Türkiye.  The Battle of Manzikert was fought between the Byzantine Empire and the Seljuk Empire on 26 August 1071 near Manzikert.  The Byzantine army defeat led to the capture of the Romanus IV Diogenes (r. 1068–1071).</w:t>
      </w:r>
    </w:p>
    <w:p w14:paraId="2D0CB1CD" w14:textId="77777777" w:rsidR="00625A5B" w:rsidRPr="008F03E5" w:rsidRDefault="00625A5B" w:rsidP="00BD28F5">
      <w:pPr>
        <w:pStyle w:val="Translit"/>
      </w:pPr>
      <w:r w:rsidRPr="008F03E5">
        <w:t>Malaka, Malk, Mulk, Milk</w:t>
      </w:r>
      <w:r w:rsidRPr="008F03E5">
        <w:tab/>
        <w:t>Malaka (Malk, Mulk, Milk)</w:t>
      </w:r>
      <w:r w:rsidRPr="008F03E5">
        <w:tab/>
        <w:t>to take in possession, take over, acquire (something), seize, lay hands (on), possess oneself, take possession, lay hold (of); to possess, own, have (something), be the owner (of); to dominate, control (something): to be master (of); to role, reign, exercise power or authority, hold sway; to be capable (of), be equal (to).  Hence, milk al-yamín, those whom your right hand possesses, e.g. women slaves</w:t>
      </w:r>
    </w:p>
    <w:p w14:paraId="5B0DBFC4" w14:textId="77777777" w:rsidR="00625A5B" w:rsidRPr="008F03E5" w:rsidRDefault="00625A5B" w:rsidP="007E6BDF">
      <w:pPr>
        <w:pStyle w:val="Translit"/>
      </w:pPr>
      <w:r w:rsidRPr="008F03E5">
        <w:t>Malaki</w:t>
      </w:r>
      <w:r w:rsidRPr="008F03E5">
        <w:tab/>
        <w:t>Malakí</w:t>
      </w:r>
      <w:r w:rsidRPr="008F03E5">
        <w:tab/>
        <w:t>royal, kingly, regal; monarchic, sovereign; monarchist; angelic</w:t>
      </w:r>
    </w:p>
    <w:p w14:paraId="3982A82E" w14:textId="77777777" w:rsidR="00625A5B" w:rsidRPr="008F03E5" w:rsidRDefault="00625A5B" w:rsidP="00FB43D0">
      <w:pPr>
        <w:pStyle w:val="Translit"/>
      </w:pPr>
      <w:r w:rsidRPr="008F03E5">
        <w:t>Malakiya, Malakiyat</w:t>
      </w:r>
      <w:r w:rsidRPr="008F03E5">
        <w:tab/>
        <w:t>Malakíya, pl. Malakíyát</w:t>
      </w:r>
      <w:r w:rsidRPr="008F03E5">
        <w:tab/>
        <w:t>monarchy, kingship, royalty</w:t>
      </w:r>
    </w:p>
    <w:p w14:paraId="647ACEB7" w14:textId="77777777" w:rsidR="00625A5B" w:rsidRPr="008F03E5" w:rsidRDefault="00625A5B" w:rsidP="00585CEF">
      <w:pPr>
        <w:pStyle w:val="Translit"/>
      </w:pPr>
      <w:r w:rsidRPr="008F03E5">
        <w:t>Malakut</w:t>
      </w:r>
      <w:r w:rsidRPr="008F03E5">
        <w:tab/>
        <w:t>Malakút</w:t>
      </w:r>
      <w:r w:rsidRPr="008F03E5">
        <w:tab/>
        <w:t xml:space="preserve">realm, kingdom, empire; kingship, royalty, sovereignty.  </w:t>
      </w:r>
      <w:r w:rsidRPr="008F03E5">
        <w:rPr>
          <w:rFonts w:eastAsia="Times New Roman"/>
          <w:i/>
          <w:iCs/>
        </w:rPr>
        <w:t>‘</w:t>
      </w:r>
      <w:r w:rsidRPr="008F03E5">
        <w:rPr>
          <w:i/>
          <w:iCs/>
        </w:rPr>
        <w:t>álami malakút,</w:t>
      </w:r>
      <w:r w:rsidRPr="008F03E5">
        <w:t xml:space="preserve"> the invisible, contemplative, or intelligent world; the heavenly court, hall of angels; Kingdom of Angels—realm of being.  See Háhút, Láhút, Jabarút and Násút.</w:t>
      </w:r>
    </w:p>
    <w:p w14:paraId="565932CC" w14:textId="77777777" w:rsidR="00625A5B" w:rsidRPr="008F03E5" w:rsidRDefault="00625A5B" w:rsidP="00231E9A">
      <w:pPr>
        <w:pStyle w:val="Translit"/>
      </w:pPr>
      <w:r w:rsidRPr="008F03E5">
        <w:t>Malamat</w:t>
      </w:r>
      <w:r w:rsidRPr="008F03E5">
        <w:tab/>
        <w:t>Malámat</w:t>
      </w:r>
      <w:r w:rsidRPr="008F03E5">
        <w:tab/>
        <w:t>reproaching, reproving, blaming; reprehension, reproach, rebuke, censure; criticism; contumely</w:t>
      </w:r>
    </w:p>
    <w:p w14:paraId="36FEA0AA" w14:textId="77777777" w:rsidR="00625A5B" w:rsidRPr="008F03E5" w:rsidRDefault="00625A5B" w:rsidP="00B3062B">
      <w:pPr>
        <w:pStyle w:val="Translit"/>
      </w:pPr>
      <w:r w:rsidRPr="008F03E5">
        <w:t>Malayir</w:t>
      </w:r>
      <w:r w:rsidRPr="008F03E5">
        <w:tab/>
        <w:t>Maláyir</w:t>
      </w:r>
      <w:r w:rsidRPr="008F03E5">
        <w:tab/>
        <w:t xml:space="preserve">city 60 km </w:t>
      </w:r>
      <w:r w:rsidRPr="008F03E5">
        <w:rPr>
          <w:sz w:val="16"/>
          <w:szCs w:val="16"/>
        </w:rPr>
        <w:t>SSE</w:t>
      </w:r>
      <w:r w:rsidRPr="008F03E5">
        <w:t xml:space="preserve"> of Ḥamdán, Iran</w:t>
      </w:r>
    </w:p>
    <w:p w14:paraId="61666A74" w14:textId="77777777" w:rsidR="00625A5B" w:rsidRPr="008F03E5" w:rsidRDefault="00625A5B" w:rsidP="00376481">
      <w:pPr>
        <w:pStyle w:val="Translit"/>
      </w:pPr>
      <w:r w:rsidRPr="008F03E5">
        <w:t>Malfuf</w:t>
      </w:r>
      <w:r w:rsidRPr="008F03E5">
        <w:tab/>
        <w:t>Malfúf</w:t>
      </w:r>
      <w:r w:rsidRPr="008F03E5">
        <w:tab/>
        <w:t>wound, coiled; wrapped up (in); rolled up, rolled together, convolute; twisted, wound (around); fastened, attached (to); swathed (in or with); plump, stout (body)</w:t>
      </w:r>
    </w:p>
    <w:p w14:paraId="310ED608" w14:textId="77777777" w:rsidR="00625A5B" w:rsidRPr="008F03E5" w:rsidRDefault="00625A5B" w:rsidP="005F475D">
      <w:pPr>
        <w:pStyle w:val="Translit"/>
      </w:pPr>
      <w:r w:rsidRPr="008F03E5">
        <w:t>Malih, Maliha (Malihih), Millah, Amlah</w:t>
      </w:r>
      <w:r w:rsidRPr="008F03E5">
        <w:tab/>
        <w:t>Malíḥ, pl. Milláḥ, Amláḥ</w:t>
      </w:r>
      <w:r w:rsidRPr="008F03E5">
        <w:tab/>
        <w:t>(fem. Malíḥa[h or t]) salt, salty, briny, salted; pretty, handsome, comely; beautiful; nice, pleasant, agreeable; witty</w:t>
      </w:r>
    </w:p>
    <w:p w14:paraId="2135CE58" w14:textId="77777777" w:rsidR="00625A5B" w:rsidRDefault="00625A5B" w:rsidP="00B24743">
      <w:pPr>
        <w:pStyle w:val="Translit"/>
      </w:pPr>
      <w:r w:rsidRPr="00D9777D">
        <w:t>Malik Jahan Khanum</w:t>
      </w:r>
      <w:r w:rsidRPr="00D9777D">
        <w:tab/>
        <w:t xml:space="preserve">Malik Jahán </w:t>
      </w:r>
      <w:r w:rsidRPr="00D9777D">
        <w:rPr>
          <w:u w:val="single"/>
        </w:rPr>
        <w:t>Kh</w:t>
      </w:r>
      <w:r w:rsidRPr="00D9777D">
        <w:t>ánum</w:t>
      </w:r>
      <w:r w:rsidRPr="00D9777D">
        <w:tab/>
        <w:t xml:space="preserve">Malik Jahán </w:t>
      </w:r>
      <w:r w:rsidRPr="00D9777D">
        <w:rPr>
          <w:u w:val="single"/>
        </w:rPr>
        <w:t>Kh</w:t>
      </w:r>
      <w:r w:rsidRPr="00D9777D">
        <w:t>ánum Q</w:t>
      </w:r>
      <w:r w:rsidRPr="00B24743">
        <w:t>á</w:t>
      </w:r>
      <w:r w:rsidRPr="00D9777D">
        <w:t>j</w:t>
      </w:r>
      <w:r w:rsidRPr="00B24743">
        <w:t>á</w:t>
      </w:r>
      <w:r w:rsidRPr="00D9777D">
        <w:t xml:space="preserve">r (1805–1873) was the wife of Muḥammad </w:t>
      </w:r>
      <w:r w:rsidRPr="00D9777D">
        <w:rPr>
          <w:u w:val="single"/>
        </w:rPr>
        <w:t>Sh</w:t>
      </w:r>
      <w:r w:rsidRPr="00D9777D">
        <w:t xml:space="preserve">áh Qájár of Persia and the mother of Náṣir ad-Dín </w:t>
      </w:r>
      <w:r w:rsidRPr="00D9777D">
        <w:rPr>
          <w:u w:val="single"/>
        </w:rPr>
        <w:t>Sh</w:t>
      </w:r>
      <w:r w:rsidRPr="00D9777D">
        <w:t xml:space="preserve">áh.  She was the </w:t>
      </w:r>
      <w:r w:rsidRPr="00D9777D">
        <w:rPr>
          <w:i/>
          <w:iCs/>
        </w:rPr>
        <w:t xml:space="preserve">de facto </w:t>
      </w:r>
      <w:r w:rsidRPr="00D9777D">
        <w:t xml:space="preserve">regent of Persia for about 45 days.  See Náṣir ad-Dín </w:t>
      </w:r>
      <w:r w:rsidRPr="00D9777D">
        <w:rPr>
          <w:u w:val="single"/>
        </w:rPr>
        <w:t>Sh</w:t>
      </w:r>
      <w:r w:rsidRPr="00D9777D">
        <w:t>áh Qájár.</w:t>
      </w:r>
    </w:p>
    <w:p w14:paraId="2839CCDA" w14:textId="77777777" w:rsidR="00625A5B" w:rsidRPr="008F03E5" w:rsidRDefault="00625A5B" w:rsidP="00436230">
      <w:pPr>
        <w:pStyle w:val="Translit"/>
      </w:pPr>
      <w:r w:rsidRPr="00560901">
        <w:t>Malik, Malika, Mulaka</w:t>
      </w:r>
      <w:r w:rsidRPr="00560901">
        <w:tab/>
        <w:t xml:space="preserve">Malík, fem. </w:t>
      </w:r>
      <w:r w:rsidRPr="008F03E5">
        <w:t>Malíka, pl. Mulaká’</w:t>
      </w:r>
      <w:r w:rsidRPr="008F03E5">
        <w:tab/>
        <w:t>king, monarch, ruler; master, possessor, owner, proprietor.  See s</w:t>
      </w:r>
      <w:r w:rsidRPr="008F03E5">
        <w:rPr>
          <w:lang w:eastAsia="en-US"/>
        </w:rPr>
        <w:t>ulṭán (a higher level of sovereignty)</w:t>
      </w:r>
    </w:p>
    <w:p w14:paraId="4C749A97" w14:textId="77777777" w:rsidR="00625A5B" w:rsidRPr="008F03E5" w:rsidRDefault="00625A5B" w:rsidP="00364449">
      <w:pPr>
        <w:pStyle w:val="Translit"/>
      </w:pPr>
      <w:r w:rsidRPr="008F03E5">
        <w:t>Malik, Malika, Muluk, Amlak, Malikat</w:t>
      </w:r>
      <w:r w:rsidRPr="008F03E5">
        <w:tab/>
        <w:t>Malik, fem. Malika[h], pl. Mulúk, Amlák</w:t>
      </w:r>
      <w:r w:rsidRPr="008F03E5">
        <w:tab/>
        <w:t>king or queen, sovereign, monarch; present a gift to the king or queen.—pl. fem. Malikát</w:t>
      </w:r>
    </w:p>
    <w:p w14:paraId="305B7311" w14:textId="77777777" w:rsidR="00625A5B" w:rsidRPr="008F03E5" w:rsidRDefault="00625A5B" w:rsidP="009A5803">
      <w:pPr>
        <w:pStyle w:val="Translit"/>
      </w:pPr>
      <w:r w:rsidRPr="008F03E5">
        <w:t>Malik, Mullak</w:t>
      </w:r>
      <w:r w:rsidRPr="008F03E5">
        <w:tab/>
        <w:t>Málik, pl. Mullak, Mullák</w:t>
      </w:r>
      <w:r w:rsidRPr="008F03E5">
        <w:tab/>
        <w:t>reigning, ruling; owning, possessing, holding; owner, proprietor, master, possessor, holder.  ibn Málik, Abú ‘Abd Alláh Jamál ad-Dín Muḥammad (c. 1204–1274) was an Arab grammarian.</w:t>
      </w:r>
    </w:p>
    <w:p w14:paraId="3F5A0F58" w14:textId="77777777" w:rsidR="00625A5B" w:rsidRPr="008F03E5" w:rsidRDefault="00625A5B" w:rsidP="003B6441">
      <w:pPr>
        <w:pStyle w:val="Translit"/>
      </w:pPr>
      <w:r w:rsidRPr="008F03E5">
        <w:t>Maliki</w:t>
      </w:r>
      <w:r w:rsidRPr="008F03E5">
        <w:tab/>
        <w:t>Málikí, pl. Mullákí</w:t>
      </w:r>
      <w:r w:rsidRPr="008F03E5">
        <w:tab/>
        <w:t>state of master, mastership; royal, kingly; lordly.  A Malikite is a Sunní muslim sect member of al-málikíya—one of the four (the Ḥanafí, the Ḥanbalí</w:t>
      </w:r>
      <w:r w:rsidRPr="008F03E5">
        <w:rPr>
          <w:cs/>
        </w:rPr>
        <w:t>‎</w:t>
      </w:r>
      <w:r w:rsidRPr="008F03E5">
        <w:t xml:space="preserve">, the Málikí and the </w:t>
      </w:r>
      <w:r w:rsidRPr="008F03E5">
        <w:rPr>
          <w:u w:val="single"/>
        </w:rPr>
        <w:t>Sh</w:t>
      </w:r>
      <w:r w:rsidRPr="008F03E5">
        <w:t>áfi‘í) religious Sunní Islamic schools of jurisprudence (fiqh).  Founded by Málik ibn Anas of Medina.</w:t>
      </w:r>
    </w:p>
    <w:p w14:paraId="7D0B7756" w14:textId="77777777" w:rsidR="00625A5B" w:rsidRPr="008F03E5" w:rsidRDefault="00625A5B" w:rsidP="00CE59D9">
      <w:pPr>
        <w:pStyle w:val="Translit"/>
      </w:pPr>
      <w:r w:rsidRPr="008F03E5">
        <w:t>Maliku’l-Fadl</w:t>
      </w:r>
      <w:r w:rsidRPr="008F03E5">
        <w:tab/>
        <w:t>Malíku’l-Faḍl</w:t>
      </w:r>
      <w:r w:rsidRPr="008F03E5">
        <w:tab/>
        <w:t>the lord of grace</w:t>
      </w:r>
    </w:p>
    <w:p w14:paraId="3BEE0C50" w14:textId="77777777" w:rsidR="00625A5B" w:rsidRPr="008F03E5" w:rsidRDefault="00625A5B" w:rsidP="00B018DF">
      <w:pPr>
        <w:pStyle w:val="Translit"/>
      </w:pPr>
      <w:r w:rsidRPr="008F03E5">
        <w:t>Maliku’l-Mulk, Malik al-Mulk</w:t>
      </w:r>
      <w:r w:rsidRPr="008F03E5">
        <w:tab/>
        <w:t>Máliku’l-Mulk, Málik al-Mulk</w:t>
      </w:r>
      <w:r w:rsidRPr="008F03E5">
        <w:tab/>
        <w:t>“The Owner of All Sovereignty”</w:t>
      </w:r>
    </w:p>
    <w:p w14:paraId="365B2C75" w14:textId="77777777" w:rsidR="00625A5B" w:rsidRPr="008F03E5" w:rsidRDefault="00625A5B" w:rsidP="00886CD0">
      <w:pPr>
        <w:pStyle w:val="Translit"/>
      </w:pPr>
      <w:r w:rsidRPr="008F03E5">
        <w:t>Maliku’t-Tujjar</w:t>
      </w:r>
      <w:r w:rsidRPr="008F03E5">
        <w:tab/>
        <w:t>Maliku’t-Tujjár</w:t>
      </w:r>
      <w:r w:rsidRPr="008F03E5">
        <w:tab/>
        <w:t xml:space="preserve">“the King of the Merchants” </w:t>
      </w:r>
      <w:r w:rsidRPr="008F03E5">
        <w:rPr>
          <w:sz w:val="16"/>
          <w:szCs w:val="16"/>
        </w:rPr>
        <w:t>DB</w:t>
      </w:r>
      <w:r w:rsidRPr="008F03E5">
        <w:t xml:space="preserve"> p. 447</w:t>
      </w:r>
    </w:p>
    <w:p w14:paraId="62C564B6" w14:textId="77777777" w:rsidR="00625A5B" w:rsidRPr="008F03E5" w:rsidRDefault="00625A5B" w:rsidP="004A4AA5">
      <w:pPr>
        <w:pStyle w:val="Translit"/>
        <w:rPr>
          <w:lang w:eastAsia="zh-TW"/>
        </w:rPr>
      </w:pPr>
      <w:r w:rsidRPr="008F03E5">
        <w:rPr>
          <w:lang w:eastAsia="zh-TW"/>
        </w:rPr>
        <w:t>Maliya (Maliyyih), Maliyat</w:t>
      </w:r>
      <w:r w:rsidRPr="008F03E5">
        <w:rPr>
          <w:lang w:eastAsia="zh-TW"/>
        </w:rPr>
        <w:tab/>
        <w:t>Málíya[t], Pers also M</w:t>
      </w:r>
      <w:r w:rsidRPr="008F03E5">
        <w:t>á</w:t>
      </w:r>
      <w:r w:rsidRPr="008F03E5">
        <w:rPr>
          <w:lang w:eastAsia="zh-TW"/>
        </w:rPr>
        <w:t>liyyih, pl. M</w:t>
      </w:r>
      <w:r w:rsidRPr="008F03E5">
        <w:t>á</w:t>
      </w:r>
      <w:r w:rsidRPr="008F03E5">
        <w:rPr>
          <w:lang w:eastAsia="zh-TW"/>
        </w:rPr>
        <w:t>l</w:t>
      </w:r>
      <w:r w:rsidRPr="008F03E5">
        <w:t>í</w:t>
      </w:r>
      <w:r w:rsidRPr="008F03E5">
        <w:rPr>
          <w:lang w:eastAsia="zh-TW"/>
        </w:rPr>
        <w:t>y</w:t>
      </w:r>
      <w:r w:rsidRPr="008F03E5">
        <w:t>á</w:t>
      </w:r>
      <w:r w:rsidRPr="008F03E5">
        <w:rPr>
          <w:lang w:eastAsia="zh-TW"/>
        </w:rPr>
        <w:t>t</w:t>
      </w:r>
      <w:r w:rsidRPr="008F03E5">
        <w:rPr>
          <w:lang w:eastAsia="zh-TW"/>
        </w:rPr>
        <w:tab/>
        <w:t>monetary affairs, finance, public revenue; finances, financial situation</w:t>
      </w:r>
    </w:p>
    <w:p w14:paraId="49B57CA6" w14:textId="77777777" w:rsidR="00625A5B" w:rsidRPr="008F03E5" w:rsidRDefault="00625A5B" w:rsidP="004A4AA5">
      <w:pPr>
        <w:pStyle w:val="Translit"/>
        <w:rPr>
          <w:lang w:eastAsia="zh-TW"/>
        </w:rPr>
      </w:pPr>
      <w:r w:rsidRPr="008F03E5">
        <w:rPr>
          <w:lang w:eastAsia="zh-TW"/>
        </w:rPr>
        <w:t>Malja’, Malaji’</w:t>
      </w:r>
      <w:r w:rsidRPr="008F03E5">
        <w:rPr>
          <w:lang w:eastAsia="zh-TW"/>
        </w:rPr>
        <w:tab/>
        <w:t>Malja’, pl. Maláji’</w:t>
      </w:r>
      <w:r w:rsidRPr="008F03E5">
        <w:rPr>
          <w:lang w:eastAsia="zh-TW"/>
        </w:rPr>
        <w:tab/>
        <w:t>(place of) refuge, retreat; shelter; sanctuary, asylum; home; base; pillbox, bunker, dugout</w:t>
      </w:r>
    </w:p>
    <w:p w14:paraId="527BC0AC" w14:textId="77777777" w:rsidR="00625A5B" w:rsidRPr="008F03E5" w:rsidRDefault="00625A5B" w:rsidP="00A16D2A">
      <w:pPr>
        <w:pStyle w:val="Translit"/>
        <w:rPr>
          <w:rFonts w:eastAsia="PMingLiU"/>
          <w:lang w:eastAsia="zh-TW"/>
        </w:rPr>
      </w:pPr>
      <w:r w:rsidRPr="008F03E5">
        <w:t>Malkam</w:t>
      </w:r>
      <w:r w:rsidRPr="008F03E5">
        <w:tab/>
        <w:t>Malkam</w:t>
      </w:r>
      <w:r w:rsidRPr="008F03E5">
        <w:tab/>
        <w:t>name from Hebrew (</w:t>
      </w:r>
      <w:r w:rsidRPr="008F03E5">
        <w:rPr>
          <w:rtl/>
          <w:lang w:bidi="he-IL"/>
        </w:rPr>
        <w:t>מַלְכָּם</w:t>
      </w:r>
      <w:r w:rsidRPr="008F03E5">
        <w:t>) “their king”</w:t>
      </w:r>
    </w:p>
    <w:p w14:paraId="709B748D" w14:textId="77777777" w:rsidR="00625A5B" w:rsidRPr="008F03E5" w:rsidRDefault="00625A5B" w:rsidP="00CE6304">
      <w:pPr>
        <w:pStyle w:val="Translit"/>
        <w:rPr>
          <w:rFonts w:eastAsia="PMingLiU"/>
          <w:lang w:eastAsia="zh-TW"/>
        </w:rPr>
      </w:pPr>
      <w:r w:rsidRPr="008F03E5">
        <w:rPr>
          <w:rFonts w:eastAsia="PMingLiU"/>
          <w:lang w:eastAsia="zh-TW"/>
        </w:rPr>
        <w:t>Malmir</w:t>
      </w:r>
      <w:r w:rsidRPr="008F03E5">
        <w:tab/>
      </w:r>
      <w:r w:rsidRPr="008F03E5">
        <w:rPr>
          <w:rFonts w:eastAsia="PMingLiU"/>
          <w:lang w:eastAsia="zh-TW"/>
        </w:rPr>
        <w:t>Málmír</w:t>
      </w:r>
      <w:r w:rsidRPr="008F03E5">
        <w:tab/>
      </w:r>
      <w:r w:rsidRPr="008F03E5">
        <w:rPr>
          <w:rFonts w:eastAsia="PMingLiU"/>
          <w:lang w:eastAsia="zh-TW"/>
        </w:rPr>
        <w:t xml:space="preserve">a village 65 km </w:t>
      </w:r>
      <w:r w:rsidRPr="008F03E5">
        <w:rPr>
          <w:sz w:val="16"/>
          <w:szCs w:val="16"/>
        </w:rPr>
        <w:t>SW</w:t>
      </w:r>
      <w:r w:rsidRPr="008F03E5">
        <w:rPr>
          <w:rFonts w:eastAsia="PMingLiU"/>
          <w:lang w:eastAsia="zh-TW"/>
        </w:rPr>
        <w:t xml:space="preserve"> of Ar</w:t>
      </w:r>
      <w:r w:rsidRPr="008F03E5">
        <w:t>á</w:t>
      </w:r>
      <w:r w:rsidRPr="008F03E5">
        <w:rPr>
          <w:rFonts w:eastAsia="PMingLiU"/>
          <w:lang w:eastAsia="zh-TW"/>
        </w:rPr>
        <w:t>k, in Markazí province, Iran</w:t>
      </w:r>
    </w:p>
    <w:p w14:paraId="16D33EE9" w14:textId="77777777" w:rsidR="00625A5B" w:rsidRPr="008F03E5" w:rsidRDefault="00625A5B" w:rsidP="00CE6304">
      <w:pPr>
        <w:pStyle w:val="Translit"/>
        <w:rPr>
          <w:rFonts w:eastAsia="PMingLiU"/>
          <w:lang w:eastAsia="zh-TW"/>
        </w:rPr>
      </w:pPr>
      <w:r w:rsidRPr="008F03E5">
        <w:rPr>
          <w:rFonts w:eastAsia="PMingLiU"/>
          <w:lang w:eastAsia="zh-TW"/>
        </w:rPr>
        <w:t>Malmiri</w:t>
      </w:r>
      <w:r w:rsidRPr="008F03E5">
        <w:tab/>
      </w:r>
      <w:r w:rsidRPr="008F03E5">
        <w:rPr>
          <w:rFonts w:eastAsia="PMingLiU"/>
          <w:lang w:eastAsia="zh-TW"/>
        </w:rPr>
        <w:t>Málmírí</w:t>
      </w:r>
      <w:r w:rsidRPr="008F03E5">
        <w:tab/>
        <w:t xml:space="preserve">of or from </w:t>
      </w:r>
      <w:r w:rsidRPr="008F03E5">
        <w:rPr>
          <w:rFonts w:eastAsia="PMingLiU"/>
          <w:lang w:eastAsia="zh-TW"/>
        </w:rPr>
        <w:t>Málmír</w:t>
      </w:r>
    </w:p>
    <w:p w14:paraId="41212385" w14:textId="77777777" w:rsidR="00625A5B" w:rsidRPr="008F03E5" w:rsidRDefault="00625A5B" w:rsidP="00CE6304">
      <w:pPr>
        <w:pStyle w:val="Translit"/>
      </w:pPr>
      <w:r w:rsidRPr="008F03E5">
        <w:t>Mamaqan</w:t>
      </w:r>
      <w:r w:rsidRPr="008F03E5">
        <w:tab/>
        <w:t>Mamaqán</w:t>
      </w:r>
      <w:r w:rsidRPr="008F03E5">
        <w:tab/>
        <w:t>city 50 km south of Zanján, Írán.  Other variations are Mámáqán and Mamáqán.</w:t>
      </w:r>
    </w:p>
    <w:p w14:paraId="2F5C8BF8" w14:textId="77777777" w:rsidR="00625A5B" w:rsidRPr="008F03E5" w:rsidRDefault="00625A5B" w:rsidP="00F15736">
      <w:pPr>
        <w:pStyle w:val="Translit"/>
      </w:pPr>
      <w:r w:rsidRPr="008F03E5">
        <w:t>Mamduh, Mamduhin</w:t>
      </w:r>
      <w:r w:rsidRPr="008F03E5">
        <w:tab/>
        <w:t>Mamdúḥ, pl. Mamdúḥín</w:t>
      </w:r>
      <w:r w:rsidRPr="008F03E5">
        <w:tab/>
        <w:t>praised, celebrated, famous, laudable, commendable</w:t>
      </w:r>
    </w:p>
    <w:p w14:paraId="0C727D18" w14:textId="77777777" w:rsidR="00625A5B" w:rsidRDefault="00625A5B" w:rsidP="00140AD0">
      <w:pPr>
        <w:pStyle w:val="Translit"/>
      </w:pPr>
      <w:r w:rsidRPr="007D2E0B">
        <w:rPr>
          <w:lang w:val="pl-PL"/>
        </w:rPr>
        <w:t>Mamlaka, Mamalik</w:t>
      </w:r>
      <w:r w:rsidRPr="007D2E0B">
        <w:rPr>
          <w:lang w:val="pl-PL"/>
        </w:rPr>
        <w:tab/>
        <w:t xml:space="preserve">Mamlaka[h or t], pl. </w:t>
      </w:r>
      <w:r>
        <w:t>M</w:t>
      </w:r>
      <w:r w:rsidRPr="000B617B">
        <w:t>am</w:t>
      </w:r>
      <w:r>
        <w:t>á</w:t>
      </w:r>
      <w:r w:rsidRPr="000B617B">
        <w:t>lik</w:t>
      </w:r>
      <w:r>
        <w:tab/>
      </w:r>
      <w:r w:rsidRPr="000B617B">
        <w:t>kingdom, empire, state, country; royal power, sovereignty</w:t>
      </w:r>
      <w:r>
        <w:t xml:space="preserve">.  Mameluke Dynasty is </w:t>
      </w:r>
      <w:r w:rsidRPr="000C5EE8">
        <w:t>Salṭanat al-Mamál</w:t>
      </w:r>
      <w:r>
        <w:t>í</w:t>
      </w:r>
      <w:r w:rsidRPr="000C5EE8">
        <w:t>k</w:t>
      </w:r>
      <w:r>
        <w:t>.</w:t>
      </w:r>
    </w:p>
    <w:p w14:paraId="1F35A696" w14:textId="77777777" w:rsidR="00625A5B" w:rsidRPr="008F03E5" w:rsidRDefault="00625A5B" w:rsidP="00316287">
      <w:pPr>
        <w:pStyle w:val="Translit"/>
      </w:pPr>
      <w:r w:rsidRPr="00560901">
        <w:t>Mamluk, Mamluka, Mamalik</w:t>
      </w:r>
      <w:r w:rsidRPr="00560901">
        <w:tab/>
        <w:t xml:space="preserve">Mamlúk, fem. </w:t>
      </w:r>
      <w:r w:rsidRPr="008F03E5">
        <w:t>Mamlúka[t]</w:t>
      </w:r>
      <w:r w:rsidRPr="008F03E5">
        <w:rPr>
          <w:i/>
          <w:iCs/>
        </w:rPr>
        <w:t>,</w:t>
      </w:r>
      <w:r w:rsidRPr="008F03E5">
        <w:t xml:space="preserve"> pl. Mamálík</w:t>
      </w:r>
      <w:r w:rsidRPr="008F03E5">
        <w:tab/>
        <w:t>possessed, in one’s power; a purchased slave or captive;—pl. white slave; mameluke; Mameluke.  A term commonly used to refer to non-muslim slave soldiers and Muslim rulers of slave origin.</w:t>
      </w:r>
    </w:p>
    <w:p w14:paraId="68448A0D" w14:textId="77777777" w:rsidR="00625A5B" w:rsidRPr="008F03E5" w:rsidRDefault="00625A5B" w:rsidP="00AA4C7F">
      <w:pPr>
        <w:pStyle w:val="Translit"/>
      </w:pPr>
      <w:r w:rsidRPr="008F03E5">
        <w:t>Man Yuzhiruhu’llah</w:t>
      </w:r>
      <w:r w:rsidRPr="008F03E5">
        <w:tab/>
        <w:t>Man Yuẓhiruhu’lláh</w:t>
      </w:r>
      <w:r w:rsidRPr="008F03E5">
        <w:tab/>
        <w:t>(man + yu</w:t>
      </w:r>
      <w:r>
        <w:t xml:space="preserve"> + </w:t>
      </w:r>
      <w:r w:rsidRPr="008F03E5">
        <w:t>ẓahara + Alláh) “He/Him whom God shall make manifest”.  Title given by the Báb to the promised One.  “He Who is made manifest in the past and in the future” and “Him Whom God has manifested and will manifest” are other renderings.</w:t>
      </w:r>
    </w:p>
    <w:p w14:paraId="28711274" w14:textId="77777777" w:rsidR="00625A5B" w:rsidRPr="008F03E5" w:rsidRDefault="00625A5B" w:rsidP="00CE6304">
      <w:pPr>
        <w:pStyle w:val="Translit"/>
      </w:pPr>
      <w:r w:rsidRPr="008F03E5">
        <w:t>Man</w:t>
      </w:r>
      <w:r w:rsidRPr="008F03E5">
        <w:tab/>
        <w:t>Man</w:t>
      </w:r>
      <w:r w:rsidRPr="008F03E5">
        <w:tab/>
        <w:t>1.  (interrogative pronoun) who? which one? which ones?  2. (relative pronoun) who; the one who; those who; one who; whoever, whosoever, everyone who, he who.</w:t>
      </w:r>
    </w:p>
    <w:p w14:paraId="14DDBE0A" w14:textId="77777777" w:rsidR="00625A5B" w:rsidRPr="008F03E5" w:rsidRDefault="00625A5B" w:rsidP="0039710D">
      <w:pPr>
        <w:pStyle w:val="Translit"/>
      </w:pPr>
      <w:r w:rsidRPr="008F03E5">
        <w:t>Man</w:t>
      </w:r>
      <w:r w:rsidRPr="008F03E5">
        <w:tab/>
        <w:t>Mán</w:t>
      </w:r>
      <w:r w:rsidRPr="008F03E5">
        <w:tab/>
        <w:t xml:space="preserve">Pers. a lord; a family; household furniture; hereditary property, an heirloom; a house; grief, melancholy; disease; besides; like, resembling; agreeable; eternal, perpetual; (for </w:t>
      </w:r>
      <w:r w:rsidRPr="008F03E5">
        <w:rPr>
          <w:i/>
          <w:iCs/>
        </w:rPr>
        <w:t>má</w:t>
      </w:r>
      <w:r w:rsidRPr="008F03E5">
        <w:t>) we, us, our</w:t>
      </w:r>
    </w:p>
    <w:p w14:paraId="19D04D91" w14:textId="77777777" w:rsidR="00625A5B" w:rsidRPr="008F03E5" w:rsidRDefault="00625A5B" w:rsidP="0039710D">
      <w:pPr>
        <w:pStyle w:val="Translit"/>
      </w:pPr>
      <w:r w:rsidRPr="008F03E5">
        <w:t>Manaf</w:t>
      </w:r>
      <w:r w:rsidRPr="008F03E5">
        <w:tab/>
        <w:t>Manáf</w:t>
      </w:r>
      <w:r w:rsidRPr="008F03E5">
        <w:tab/>
        <w:t>name of a pagan Arabian idol.  ‘Abd Manáf al-Mu</w:t>
      </w:r>
      <w:r w:rsidRPr="008F03E5">
        <w:rPr>
          <w:u w:val="single"/>
        </w:rPr>
        <w:t>gh</w:t>
      </w:r>
      <w:r w:rsidRPr="008F03E5">
        <w:t>írah ibn Quṣayy was a Quray</w:t>
      </w:r>
      <w:r w:rsidRPr="008F03E5">
        <w:rPr>
          <w:u w:val="single"/>
        </w:rPr>
        <w:t>sh</w:t>
      </w:r>
      <w:r w:rsidRPr="008F03E5">
        <w:t>í and great-great-grandfather of Prophet Muhammad.</w:t>
      </w:r>
    </w:p>
    <w:p w14:paraId="673C7589" w14:textId="77777777" w:rsidR="00625A5B" w:rsidRPr="008F03E5" w:rsidRDefault="00625A5B" w:rsidP="00D11CC9">
      <w:pPr>
        <w:pStyle w:val="Translit"/>
        <w:rPr>
          <w:b/>
          <w:bCs/>
        </w:rPr>
      </w:pPr>
      <w:r w:rsidRPr="008F03E5">
        <w:t>Manakji (Manikji, Manekji, Manikchi)</w:t>
      </w:r>
      <w:r w:rsidRPr="008F03E5">
        <w:tab/>
        <w:t>Mánakjí</w:t>
      </w:r>
      <w:r w:rsidRPr="008F03E5">
        <w:tab/>
        <w:t>Mánakjí Límjí Hátariyá (1813–1890) (Maneckji Limji Hataria) was an Indian scholar and civil rights activist of Parsi Zoroastrian descent.  Sent as emissary of the Parsis of India to the Zoroastrians of Iran (1854–1890).  Known in India as Mánik</w:t>
      </w:r>
      <w:r w:rsidRPr="008F03E5">
        <w:rPr>
          <w:u w:val="single"/>
        </w:rPr>
        <w:t>ch</w:t>
      </w:r>
      <w:r w:rsidRPr="008F03E5">
        <w:t>í Ṣáḥíb.  Hindi suffix ‘jí’ appended to names and titles of venerated persons as a sign of respect and endearment.</w:t>
      </w:r>
    </w:p>
    <w:p w14:paraId="1575FC03" w14:textId="77777777" w:rsidR="00625A5B" w:rsidRPr="003101EF" w:rsidRDefault="00625A5B" w:rsidP="00D11CC9">
      <w:pPr>
        <w:pStyle w:val="Translit"/>
        <w:rPr>
          <w:lang w:val="en-AU"/>
        </w:rPr>
      </w:pPr>
      <w:r w:rsidRPr="008F03E5">
        <w:t>Manar, Manara, Manawir, Mana’ir</w:t>
      </w:r>
      <w:r w:rsidRPr="008F03E5">
        <w:tab/>
        <w:t>Manár and Manára[h or t]</w:t>
      </w:r>
      <w:r w:rsidRPr="008F03E5">
        <w:tab/>
        <w:t xml:space="preserve">pl. manáwir, maná’ir.  Lighthouse; minaret.  </w:t>
      </w:r>
      <w:r w:rsidRPr="003101EF">
        <w:rPr>
          <w:lang w:val="en-AU"/>
        </w:rPr>
        <w:t>Pers. variation minár (“minar”).</w:t>
      </w:r>
    </w:p>
    <w:p w14:paraId="6A51C080" w14:textId="77777777" w:rsidR="00625A5B" w:rsidRPr="000955C6" w:rsidRDefault="00625A5B" w:rsidP="000955C6">
      <w:pPr>
        <w:pStyle w:val="Translit"/>
        <w:rPr>
          <w:lang w:val="en-AU"/>
        </w:rPr>
      </w:pPr>
      <w:r w:rsidRPr="003101EF">
        <w:rPr>
          <w:lang w:val="en-AU"/>
        </w:rPr>
        <w:t>Manassa (Manassih), Manassat</w:t>
      </w:r>
      <w:r w:rsidRPr="003101EF">
        <w:rPr>
          <w:lang w:val="en-AU"/>
        </w:rPr>
        <w:tab/>
        <w:t xml:space="preserve">Manaṣṣa[h or t], pl. </w:t>
      </w:r>
      <w:r w:rsidRPr="000955C6">
        <w:rPr>
          <w:lang w:val="en-AU"/>
        </w:rPr>
        <w:t>Mana</w:t>
      </w:r>
      <w:r w:rsidRPr="000955C6">
        <w:t>ṣṣá</w:t>
      </w:r>
      <w:r w:rsidRPr="000955C6">
        <w:rPr>
          <w:lang w:val="en-AU"/>
        </w:rPr>
        <w:t>t</w:t>
      </w:r>
      <w:r w:rsidRPr="000955C6">
        <w:rPr>
          <w:lang w:val="en-AU"/>
        </w:rPr>
        <w:tab/>
        <w:t xml:space="preserve">platform, podium, rostrum; </w:t>
      </w:r>
      <w:r w:rsidRPr="00AF4D34">
        <w:t>a raised seat highly decorated, on which the bride is exhibited to public view; any place of exhibition, a theatre</w:t>
      </w:r>
      <w:r>
        <w:t>.</w:t>
      </w:r>
    </w:p>
    <w:p w14:paraId="5D52DE4B" w14:textId="77777777" w:rsidR="00625A5B" w:rsidRPr="008F03E5" w:rsidRDefault="00625A5B" w:rsidP="002D3470">
      <w:pPr>
        <w:pStyle w:val="Translit"/>
      </w:pPr>
      <w:r w:rsidRPr="003101EF">
        <w:rPr>
          <w:lang w:val="en-AU"/>
        </w:rPr>
        <w:t>Manba’, Manabi’</w:t>
      </w:r>
      <w:r w:rsidRPr="003101EF">
        <w:rPr>
          <w:lang w:val="en-AU"/>
        </w:rPr>
        <w:tab/>
        <w:t xml:space="preserve">Manba‘, pl. </w:t>
      </w:r>
      <w:r w:rsidRPr="008F03E5">
        <w:t>Manábi‘</w:t>
      </w:r>
      <w:r w:rsidRPr="008F03E5">
        <w:tab/>
        <w:t>spring, well; fountainhead, springhead, source, origin</w:t>
      </w:r>
    </w:p>
    <w:p w14:paraId="4F26BD62" w14:textId="77777777" w:rsidR="00625A5B" w:rsidRPr="008F03E5" w:rsidRDefault="00625A5B" w:rsidP="00DA3B11">
      <w:pPr>
        <w:pStyle w:val="Translit"/>
      </w:pPr>
      <w:r w:rsidRPr="008F03E5">
        <w:t>Manda’iyun</w:t>
      </w:r>
      <w:r w:rsidRPr="008F03E5">
        <w:tab/>
        <w:t>al-Mandá’iyún</w:t>
      </w:r>
      <w:r w:rsidRPr="008F03E5">
        <w:tab/>
        <w:t>Mandaean (“Gnostic”, from the Mandaic word manda meaning "knowledge").  Also known as Sabians (aṣ-Ṣábi’ah) or Sabian-Mandaeans (aṣ-Ṣábi’ah al-Mandá’iyún) are an ethno-religious group, native to the alluvial plain of southern Mesopotamia who are followers of Mandaeism. They were possibly the earliest to practice baptism and may have originated Gnosticism.  In Muslim countries, Mandaeans are mostly called Sabians (a</w:t>
      </w:r>
      <w:r w:rsidRPr="00DA3B11">
        <w:t>ṣ</w:t>
      </w:r>
      <w:r w:rsidRPr="008F03E5">
        <w:t xml:space="preserve">-Ṣábiʼún).  See </w:t>
      </w:r>
      <w:r w:rsidRPr="008F03E5">
        <w:rPr>
          <w:rFonts w:eastAsia="PMingLiU"/>
          <w:lang w:eastAsia="zh-TW"/>
        </w:rPr>
        <w:t>Ṣ</w:t>
      </w:r>
      <w:r w:rsidRPr="008F03E5">
        <w:t>á</w:t>
      </w:r>
      <w:r w:rsidRPr="008F03E5">
        <w:rPr>
          <w:rFonts w:eastAsia="PMingLiU"/>
          <w:lang w:eastAsia="zh-TW"/>
        </w:rPr>
        <w:t>bi’.</w:t>
      </w:r>
    </w:p>
    <w:p w14:paraId="1C3C4626" w14:textId="77777777" w:rsidR="00625A5B" w:rsidRDefault="00625A5B" w:rsidP="003D29B3">
      <w:pPr>
        <w:pStyle w:val="Translit"/>
      </w:pPr>
      <w:r>
        <w:t>Mandal</w:t>
      </w:r>
      <w:r>
        <w:tab/>
        <w:t>Mandal</w:t>
      </w:r>
      <w:r>
        <w:tab/>
        <w:t>Pers. a pivot or axis; a</w:t>
      </w:r>
      <w:r w:rsidRPr="00AF4D34">
        <w:t>n enchanter</w:t>
      </w:r>
      <w:r>
        <w:t>’</w:t>
      </w:r>
      <w:r w:rsidRPr="00AF4D34">
        <w:t xml:space="preserve">s circle </w:t>
      </w:r>
      <w:r>
        <w:t>marked</w:t>
      </w:r>
      <w:r w:rsidRPr="00AF4D34">
        <w:t xml:space="preserve"> on the ground, </w:t>
      </w:r>
      <w:r>
        <w:t xml:space="preserve">within which people </w:t>
      </w:r>
      <w:r w:rsidRPr="00AF4D34">
        <w:t>sit when endeavouring to conjure up demons or spirits; a kind of drum; latch of a door; a boot; wood of aloes</w:t>
      </w:r>
    </w:p>
    <w:p w14:paraId="4F5BE8B6" w14:textId="77777777" w:rsidR="00625A5B" w:rsidRPr="008F03E5" w:rsidRDefault="00625A5B" w:rsidP="00887F7F">
      <w:pPr>
        <w:pStyle w:val="Translit"/>
      </w:pPr>
      <w:r>
        <w:t>Mandali (</w:t>
      </w:r>
      <w:r w:rsidRPr="008F03E5">
        <w:t>Mandalij</w:t>
      </w:r>
      <w:r>
        <w:t>)</w:t>
      </w:r>
      <w:r w:rsidRPr="008F03E5">
        <w:tab/>
        <w:t>Mandalí</w:t>
      </w:r>
      <w:r w:rsidRPr="008F03E5">
        <w:tab/>
        <w:t xml:space="preserve">a town </w:t>
      </w:r>
      <w:r>
        <w:t>(</w:t>
      </w:r>
      <w:r w:rsidRPr="003D29B3">
        <w:t>33.747878, 45.552305</w:t>
      </w:r>
      <w:r>
        <w:t xml:space="preserve">) </w:t>
      </w:r>
      <w:r w:rsidRPr="008F03E5">
        <w:t xml:space="preserve">in Iraq </w:t>
      </w:r>
      <w:r>
        <w:t>near</w:t>
      </w:r>
      <w:r w:rsidRPr="008F03E5">
        <w:t xml:space="preserve"> the </w:t>
      </w:r>
      <w:r>
        <w:t xml:space="preserve">Iranian </w:t>
      </w:r>
      <w:r w:rsidRPr="008F03E5">
        <w:t>border</w:t>
      </w:r>
    </w:p>
    <w:p w14:paraId="13FB5DD8" w14:textId="77777777" w:rsidR="00625A5B" w:rsidRDefault="00625A5B" w:rsidP="00ED765E">
      <w:pPr>
        <w:pStyle w:val="Translit"/>
      </w:pPr>
      <w:r>
        <w:t>Mangul, Mangulat</w:t>
      </w:r>
      <w:r>
        <w:tab/>
        <w:t>M</w:t>
      </w:r>
      <w:r w:rsidRPr="00520B75">
        <w:t>an</w:t>
      </w:r>
      <w:r>
        <w:t>gú</w:t>
      </w:r>
      <w:r w:rsidRPr="00520B75">
        <w:t>l</w:t>
      </w:r>
      <w:r>
        <w:t>, pl. Mang</w:t>
      </w:r>
      <w:r w:rsidRPr="00520B75">
        <w:t>ú</w:t>
      </w:r>
      <w:r>
        <w:t>l</w:t>
      </w:r>
      <w:r w:rsidRPr="00520B75">
        <w:t>á</w:t>
      </w:r>
      <w:r>
        <w:t>t</w:t>
      </w:r>
      <w:r>
        <w:tab/>
      </w:r>
      <w:r w:rsidRPr="00520B75">
        <w:t>carried, conveyed, transported; transferred; transmitted; translated; copied, transcribed; movable, mobile, portable; handed down, traditional; traditional stock;</w:t>
      </w:r>
      <w:r>
        <w:t>—</w:t>
      </w:r>
      <w:r w:rsidRPr="00520B75">
        <w:t>pl. a movable thing</w:t>
      </w:r>
    </w:p>
    <w:p w14:paraId="2D4BE523" w14:textId="77777777" w:rsidR="00625A5B" w:rsidRPr="008F03E5" w:rsidRDefault="00625A5B" w:rsidP="00AE4727">
      <w:pPr>
        <w:pStyle w:val="Translit"/>
      </w:pPr>
      <w:r w:rsidRPr="008F03E5">
        <w:t>Manhaj, Minhaj, Manahij</w:t>
      </w:r>
      <w:r w:rsidRPr="008F03E5">
        <w:tab/>
        <w:t>Manhaj, Minhaj, pl. Manáhij</w:t>
      </w:r>
      <w:r w:rsidRPr="008F03E5">
        <w:tab/>
        <w:t>open, plain, easy road, highway, path; manner, procedure, method; program; course</w:t>
      </w:r>
    </w:p>
    <w:p w14:paraId="53A235FF" w14:textId="77777777" w:rsidR="00625A5B" w:rsidRPr="008F03E5" w:rsidRDefault="00625A5B" w:rsidP="002D3470">
      <w:pPr>
        <w:pStyle w:val="Translit"/>
      </w:pPr>
      <w:r w:rsidRPr="008F03E5">
        <w:rPr>
          <w:rFonts w:eastAsia="PMingLiU"/>
          <w:lang w:eastAsia="zh-TW"/>
        </w:rPr>
        <w:t>Mani</w:t>
      </w:r>
      <w:r w:rsidRPr="008F03E5">
        <w:tab/>
      </w:r>
      <w:r w:rsidRPr="008F03E5">
        <w:rPr>
          <w:rFonts w:eastAsia="PMingLiU"/>
          <w:lang w:eastAsia="zh-TW"/>
        </w:rPr>
        <w:t>Mání</w:t>
      </w:r>
      <w:r w:rsidRPr="008F03E5">
        <w:tab/>
        <w:t>Pers. thou remainest; thou resemblest; rare, uncommon; name of a celebrated Persian painter, the founder of the sect of the Manicheans.</w:t>
      </w:r>
    </w:p>
    <w:p w14:paraId="10FE6004" w14:textId="77777777" w:rsidR="00625A5B" w:rsidRPr="008F03E5" w:rsidRDefault="00625A5B" w:rsidP="005026F8">
      <w:pPr>
        <w:pStyle w:val="Translit"/>
        <w:rPr>
          <w:rFonts w:eastAsia="PMingLiU"/>
          <w:lang w:eastAsia="zh-TW"/>
        </w:rPr>
      </w:pPr>
      <w:r w:rsidRPr="008F03E5">
        <w:t>Mani’, Mawani’, Mani’at</w:t>
      </w:r>
      <w:r w:rsidRPr="008F03E5">
        <w:tab/>
        <w:t>Máni‘, pl. Mawáni‘, Máni‘át</w:t>
      </w:r>
      <w:r w:rsidRPr="008F03E5">
        <w:tab/>
        <w:t>refusing, denying, hindering, forbidding, etc.; preventive; prohibitive; difficult of access; impediment, obstacle, hindrance;—(pl. mawáni‘) hindrance, obstacle, obstruction; impediment; a preventive, preservative; objection;—(pl. máni‘át) cutout, anti-interference device (radio).  From the root mana‘a withholder, shielder, defender.</w:t>
      </w:r>
    </w:p>
    <w:p w14:paraId="09B62DE8" w14:textId="77777777" w:rsidR="00625A5B" w:rsidRPr="008F03E5" w:rsidRDefault="00625A5B" w:rsidP="00E80AAF">
      <w:pPr>
        <w:pStyle w:val="Translit"/>
        <w:rPr>
          <w:rFonts w:eastAsia="PMingLiU"/>
          <w:lang w:eastAsia="zh-TW"/>
        </w:rPr>
      </w:pPr>
      <w:r w:rsidRPr="008F03E5">
        <w:rPr>
          <w:rFonts w:eastAsia="PMingLiU"/>
          <w:lang w:eastAsia="zh-TW"/>
        </w:rPr>
        <w:t>Mani’, Muna’a</w:t>
      </w:r>
      <w:r w:rsidRPr="008F03E5">
        <w:rPr>
          <w:rFonts w:eastAsia="PMingLiU"/>
          <w:lang w:eastAsia="zh-TW"/>
        </w:rPr>
        <w:tab/>
        <w:t>Maní‘, pl. Muna‘á’</w:t>
      </w:r>
      <w:r w:rsidRPr="008F03E5">
        <w:rPr>
          <w:rFonts w:eastAsia="PMingLiU"/>
          <w:lang w:eastAsia="zh-TW"/>
        </w:rPr>
        <w:tab/>
        <w:t>unapproachable, inaccessible, impervious, impenetrable, forbidding; well-fortified; mighty, strong, powerful; impregnable, unconquerable; insurmountable, insuperable, invincible, immune</w:t>
      </w:r>
    </w:p>
    <w:p w14:paraId="2D0BD674" w14:textId="77777777" w:rsidR="00625A5B" w:rsidRPr="008F03E5" w:rsidRDefault="00625A5B" w:rsidP="00E80AAF">
      <w:pPr>
        <w:pStyle w:val="Translit"/>
        <w:rPr>
          <w:rFonts w:eastAsia="PMingLiU"/>
          <w:lang w:eastAsia="zh-TW"/>
        </w:rPr>
      </w:pPr>
      <w:r w:rsidRPr="008F03E5">
        <w:rPr>
          <w:rFonts w:eastAsia="PMingLiU"/>
          <w:lang w:eastAsia="zh-TW"/>
        </w:rPr>
        <w:t>Mani’i-Usku’i</w:t>
      </w:r>
      <w:r w:rsidRPr="008F03E5">
        <w:tab/>
      </w:r>
      <w:r w:rsidRPr="008F03E5">
        <w:rPr>
          <w:rFonts w:eastAsia="PMingLiU"/>
          <w:lang w:eastAsia="zh-TW"/>
        </w:rPr>
        <w:t>Maní’i-Uskú’í</w:t>
      </w:r>
      <w:r w:rsidRPr="008F03E5">
        <w:tab/>
      </w:r>
    </w:p>
    <w:p w14:paraId="3A2EEA52" w14:textId="77777777" w:rsidR="00625A5B" w:rsidRPr="008F03E5" w:rsidRDefault="00625A5B" w:rsidP="006D1E97">
      <w:pPr>
        <w:pStyle w:val="Translit"/>
      </w:pPr>
      <w:r w:rsidRPr="008F03E5">
        <w:t>Manish</w:t>
      </w:r>
      <w:r w:rsidRPr="008F03E5">
        <w:tab/>
        <w:t>Mani</w:t>
      </w:r>
      <w:r w:rsidRPr="008F03E5">
        <w:rPr>
          <w:u w:val="single"/>
        </w:rPr>
        <w:t>sh</w:t>
      </w:r>
      <w:r w:rsidRPr="008F03E5">
        <w:tab/>
        <w:t>Pers. greatness of soul, magnanimity, authority, gravity, dignity; liberality; nature, genius; constitution, temperament, disposition, good-nature, cheerfulness, content; the heart; pride, arrogance; desire, wish</w:t>
      </w:r>
    </w:p>
    <w:p w14:paraId="34E01EE3" w14:textId="77777777" w:rsidR="00625A5B" w:rsidRPr="008F03E5" w:rsidRDefault="00625A5B" w:rsidP="00745F4E">
      <w:pPr>
        <w:pStyle w:val="Translit"/>
      </w:pPr>
      <w:r w:rsidRPr="008F03E5">
        <w:t>Mankib, Manakib</w:t>
      </w:r>
      <w:r w:rsidRPr="008F03E5">
        <w:tab/>
        <w:t>Mankib, pl. Manákib</w:t>
      </w:r>
      <w:r w:rsidRPr="008F03E5">
        <w:tab/>
        <w:t>shoulder; side, flank; highland, upland.  Qur’án 67:15</w:t>
      </w:r>
    </w:p>
    <w:p w14:paraId="150DAECD" w14:textId="77777777" w:rsidR="00625A5B" w:rsidRPr="007B1A04" w:rsidRDefault="00625A5B" w:rsidP="007B1A04">
      <w:pPr>
        <w:pStyle w:val="Translit"/>
        <w:rPr>
          <w:b/>
          <w:bCs/>
          <w:lang w:val="en-AU"/>
        </w:rPr>
      </w:pPr>
      <w:r>
        <w:t>Manluki, Mamlukiya</w:t>
      </w:r>
      <w:r>
        <w:tab/>
      </w:r>
      <w:r w:rsidRPr="007B1A04">
        <w:t>Mamlúkí</w:t>
      </w:r>
      <w:r>
        <w:t xml:space="preserve">, fem. </w:t>
      </w:r>
      <w:r w:rsidRPr="007B1A04">
        <w:t>Mamlúkí</w:t>
      </w:r>
      <w:r>
        <w:t>ya[h or t]</w:t>
      </w:r>
      <w:r>
        <w:tab/>
        <w:t>s</w:t>
      </w:r>
      <w:r w:rsidRPr="00AF4D34">
        <w:t>lavery; captivity</w:t>
      </w:r>
    </w:p>
    <w:p w14:paraId="48F7BB20" w14:textId="77777777" w:rsidR="00625A5B" w:rsidRPr="008F03E5" w:rsidRDefault="00625A5B" w:rsidP="00152111">
      <w:pPr>
        <w:pStyle w:val="Translit"/>
      </w:pPr>
      <w:r w:rsidRPr="008F03E5">
        <w:t>Mann, Amnan</w:t>
      </w:r>
      <w:r w:rsidRPr="008F03E5">
        <w:tab/>
        <w:t>Mann, pl. Amnán</w:t>
      </w:r>
      <w:r w:rsidRPr="008F03E5">
        <w:tab/>
        <w:t>gracious bestowal; favour; benefit, blessing, boon; gift, present, largess; honeydew; manna; a measure for dry goods; a maund (weight); a weight of 2 raṭl (Persian weight)  There are two Pers. weights:  1) Normal mann—about 3 kg.  2) king mann or mann-i-</w:t>
      </w:r>
      <w:r w:rsidRPr="008F03E5">
        <w:rPr>
          <w:u w:val="single"/>
        </w:rPr>
        <w:t>sh</w:t>
      </w:r>
      <w:r w:rsidRPr="008F03E5">
        <w:t>áhí’ is equal to 6.6 kg.  The Writings usually refer to the later.</w:t>
      </w:r>
    </w:p>
    <w:p w14:paraId="62D28D7E" w14:textId="77777777" w:rsidR="00625A5B" w:rsidRPr="008F03E5" w:rsidRDefault="00625A5B" w:rsidP="00492628">
      <w:pPr>
        <w:pStyle w:val="Translit"/>
      </w:pPr>
      <w:r w:rsidRPr="008F03E5">
        <w:t>Mannan, Mannana</w:t>
      </w:r>
      <w:r w:rsidRPr="008F03E5">
        <w:tab/>
        <w:t>Mannán, fem. Mannána[h or t]</w:t>
      </w:r>
      <w:r w:rsidRPr="008F03E5">
        <w:tab/>
        <w:t>kind, kindly, benign, gracious; munificent, liberal, generous; benefactor; al-Mannán (one of the attributes of God) the Benefactor</w:t>
      </w:r>
    </w:p>
    <w:p w14:paraId="428B16EE" w14:textId="77777777" w:rsidR="00625A5B" w:rsidRPr="008F03E5" w:rsidRDefault="00625A5B" w:rsidP="00492628">
      <w:pPr>
        <w:pStyle w:val="Translit"/>
      </w:pPr>
      <w:r w:rsidRPr="008F03E5">
        <w:t>Manqul va ma’qul</w:t>
      </w:r>
      <w:r w:rsidRPr="008F03E5">
        <w:tab/>
        <w:t>Manqúl va ma‘qúl</w:t>
      </w:r>
      <w:r w:rsidRPr="008F03E5">
        <w:tab/>
        <w:t>“desumed” (select or borrow (from traditional) knowledge) versus “excognitated” (thought out, plan, devise) knowledge (</w:t>
      </w:r>
      <w:r w:rsidRPr="008F03E5">
        <w:rPr>
          <w:sz w:val="16"/>
          <w:szCs w:val="16"/>
        </w:rPr>
        <w:t>MF</w:t>
      </w:r>
      <w:r w:rsidRPr="008F03E5">
        <w:t>, p. 156)</w:t>
      </w:r>
    </w:p>
    <w:p w14:paraId="6CFB8179" w14:textId="77777777" w:rsidR="00625A5B" w:rsidRPr="008F03E5" w:rsidRDefault="00625A5B" w:rsidP="00D55310">
      <w:pPr>
        <w:pStyle w:val="Translit"/>
      </w:pPr>
      <w:r w:rsidRPr="008F03E5">
        <w:t>Manqul, Manqulat</w:t>
      </w:r>
      <w:r w:rsidRPr="008F03E5">
        <w:tab/>
        <w:t>Manqúl, pl. Manqúlát</w:t>
      </w:r>
      <w:r w:rsidRPr="008F03E5">
        <w:tab/>
        <w:t>carried, conveyed, transported; transferred; transmitted; translated; copied, transcribed; movable, mobile, portable; handed down, traditional; traditional stock</w:t>
      </w:r>
    </w:p>
    <w:p w14:paraId="07A2F712" w14:textId="77777777" w:rsidR="00625A5B" w:rsidRPr="008F03E5" w:rsidRDefault="00625A5B" w:rsidP="00CA5490">
      <w:pPr>
        <w:pStyle w:val="Translit"/>
      </w:pPr>
      <w:r w:rsidRPr="008F03E5">
        <w:t>Mansha’</w:t>
      </w:r>
      <w:r w:rsidRPr="008F03E5">
        <w:tab/>
        <w:t>Man</w:t>
      </w:r>
      <w:r w:rsidRPr="008F03E5">
        <w:rPr>
          <w:u w:val="single"/>
        </w:rPr>
        <w:t>sh</w:t>
      </w:r>
      <w:r w:rsidRPr="008F03E5">
        <w:t>a’, Man</w:t>
      </w:r>
      <w:r w:rsidRPr="008F03E5">
        <w:rPr>
          <w:u w:val="single"/>
        </w:rPr>
        <w:t>sh</w:t>
      </w:r>
      <w:r w:rsidRPr="008F03E5">
        <w:t>á</w:t>
      </w:r>
      <w:r w:rsidRPr="008F03E5">
        <w:tab/>
        <w:t>a place where anyone grows up; one’s native soil; principal, beginning, origin, source, spring, motive; object, design, purport, drift, provision (of a law, etc.); allusion; exordium, or argument of any composition</w:t>
      </w:r>
    </w:p>
    <w:p w14:paraId="11ED279D" w14:textId="77777777" w:rsidR="00625A5B" w:rsidRPr="008F03E5" w:rsidRDefault="00625A5B" w:rsidP="00224844">
      <w:pPr>
        <w:pStyle w:val="Translit"/>
      </w:pPr>
      <w:r w:rsidRPr="008F03E5">
        <w:t>Manshad</w:t>
      </w:r>
      <w:r w:rsidRPr="008F03E5">
        <w:tab/>
        <w:t>Man</w:t>
      </w:r>
      <w:r w:rsidRPr="008F03E5">
        <w:rPr>
          <w:u w:val="single"/>
        </w:rPr>
        <w:t>sh</w:t>
      </w:r>
      <w:r w:rsidRPr="008F03E5">
        <w:t>ád</w:t>
      </w:r>
      <w:r w:rsidRPr="008F03E5">
        <w:tab/>
        <w:t xml:space="preserve">village 43 km </w:t>
      </w:r>
      <w:r w:rsidRPr="008F03E5">
        <w:rPr>
          <w:sz w:val="16"/>
          <w:szCs w:val="16"/>
        </w:rPr>
        <w:t>SSW</w:t>
      </w:r>
      <w:r w:rsidRPr="008F03E5">
        <w:t xml:space="preserve"> of Yazd (31°31′45″</w:t>
      </w:r>
      <w:r w:rsidRPr="008F03E5">
        <w:rPr>
          <w:sz w:val="16"/>
          <w:szCs w:val="16"/>
        </w:rPr>
        <w:t>N</w:t>
      </w:r>
      <w:r w:rsidRPr="008F03E5">
        <w:t xml:space="preserve"> 54°13′11″</w:t>
      </w:r>
      <w:r w:rsidRPr="008F03E5">
        <w:rPr>
          <w:sz w:val="16"/>
          <w:szCs w:val="16"/>
        </w:rPr>
        <w:t>E</w:t>
      </w:r>
      <w:r w:rsidRPr="008F03E5">
        <w:t>)</w:t>
      </w:r>
    </w:p>
    <w:p w14:paraId="52155CBE" w14:textId="77777777" w:rsidR="00625A5B" w:rsidRPr="008F03E5" w:rsidRDefault="00625A5B" w:rsidP="00D1764F">
      <w:pPr>
        <w:pStyle w:val="Translit"/>
      </w:pPr>
      <w:r w:rsidRPr="008F03E5">
        <w:t>Manshadi</w:t>
      </w:r>
      <w:r w:rsidRPr="008F03E5">
        <w:tab/>
        <w:t>Man</w:t>
      </w:r>
      <w:r w:rsidRPr="008F03E5">
        <w:rPr>
          <w:u w:val="single"/>
        </w:rPr>
        <w:t>sh</w:t>
      </w:r>
      <w:r w:rsidRPr="008F03E5">
        <w:t>ádí</w:t>
      </w:r>
      <w:r w:rsidRPr="008F03E5">
        <w:tab/>
        <w:t>from Man</w:t>
      </w:r>
      <w:r w:rsidRPr="008F03E5">
        <w:rPr>
          <w:u w:val="single"/>
        </w:rPr>
        <w:t>sh</w:t>
      </w:r>
      <w:r w:rsidRPr="008F03E5">
        <w:t>ád</w:t>
      </w:r>
    </w:p>
    <w:p w14:paraId="1893D365" w14:textId="77777777" w:rsidR="00625A5B" w:rsidRPr="008F03E5" w:rsidRDefault="00625A5B" w:rsidP="00901620">
      <w:pPr>
        <w:pStyle w:val="Translit"/>
      </w:pPr>
      <w:r w:rsidRPr="008F03E5">
        <w:t>Manshiyya, Manshiyyih</w:t>
      </w:r>
      <w:r w:rsidRPr="008F03E5">
        <w:tab/>
        <w:t>Man</w:t>
      </w:r>
      <w:r w:rsidRPr="008F03E5">
        <w:rPr>
          <w:u w:val="single"/>
        </w:rPr>
        <w:t>sh</w:t>
      </w:r>
      <w:r w:rsidRPr="008F03E5">
        <w:t>iyyá, Pers. Man</w:t>
      </w:r>
      <w:r w:rsidRPr="008F03E5">
        <w:rPr>
          <w:u w:val="single"/>
        </w:rPr>
        <w:t>sh</w:t>
      </w:r>
      <w:r w:rsidRPr="008F03E5">
        <w:t>íyyih</w:t>
      </w:r>
      <w:r w:rsidRPr="008F03E5">
        <w:tab/>
        <w:t>Pers. the minister of a fire-temple.  al-Man</w:t>
      </w:r>
      <w:r w:rsidRPr="008F03E5">
        <w:rPr>
          <w:u w:val="single"/>
        </w:rPr>
        <w:t>sh</w:t>
      </w:r>
      <w:r w:rsidRPr="008F03E5">
        <w:t>iyyá was a Palestinian village near Bahjí—it was destroyed in 1948.</w:t>
      </w:r>
    </w:p>
    <w:p w14:paraId="7A219285" w14:textId="77777777" w:rsidR="00625A5B" w:rsidRPr="008F03E5" w:rsidRDefault="00625A5B" w:rsidP="00BF527E">
      <w:pPr>
        <w:pStyle w:val="Translit"/>
      </w:pPr>
      <w:r w:rsidRPr="008F03E5">
        <w:t>Mansub, Mansubat</w:t>
      </w:r>
      <w:r w:rsidRPr="008F03E5">
        <w:tab/>
        <w:t>Manṣúb, pl. Manṣúbát</w:t>
      </w:r>
      <w:r w:rsidRPr="008F03E5">
        <w:tab/>
        <w:t>erected; set-up, raised; planted in the ground; fixed, fastened, attached; installed in office; levelled, aimed (cannon; at); (pl.) word in the accusative or subjunctive.  See fá‘il, maf‘úl and marfú‘</w:t>
      </w:r>
    </w:p>
    <w:p w14:paraId="74FEE76F" w14:textId="77777777" w:rsidR="00625A5B" w:rsidRPr="008F03E5" w:rsidRDefault="00625A5B" w:rsidP="00E42AB3">
      <w:pPr>
        <w:pStyle w:val="Translit"/>
      </w:pPr>
      <w:r w:rsidRPr="002D7F98">
        <w:rPr>
          <w:lang w:val="en-AU"/>
        </w:rPr>
        <w:t>Mansur (Mansour), Mansura</w:t>
      </w:r>
      <w:r w:rsidRPr="002D7F98">
        <w:rPr>
          <w:lang w:val="en-AU"/>
        </w:rPr>
        <w:tab/>
        <w:t xml:space="preserve">Manṣúr, fem. </w:t>
      </w:r>
      <w:r w:rsidRPr="008F03E5">
        <w:t>Manṣúra[h or t]</w:t>
      </w:r>
      <w:r w:rsidRPr="008F03E5">
        <w:tab/>
        <w:t>supported, aided (by God); victorious, triumphant; victor; “rendered victorious”.  al-Manṣúr is a district in western Ba</w:t>
      </w:r>
      <w:r w:rsidRPr="008F03E5">
        <w:rPr>
          <w:u w:val="single"/>
        </w:rPr>
        <w:t>gh</w:t>
      </w:r>
      <w:r w:rsidRPr="008F03E5">
        <w:t xml:space="preserve">dád.  In the </w:t>
      </w:r>
      <w:r w:rsidRPr="008F03E5">
        <w:rPr>
          <w:sz w:val="16"/>
          <w:szCs w:val="16"/>
        </w:rPr>
        <w:t>NE</w:t>
      </w:r>
      <w:r w:rsidRPr="008F03E5">
        <w:t xml:space="preserve"> of the district is the Wa</w:t>
      </w:r>
      <w:r w:rsidRPr="008F03E5">
        <w:rPr>
          <w:u w:val="single"/>
        </w:rPr>
        <w:t>shsh</w:t>
      </w:r>
      <w:r w:rsidRPr="008F03E5">
        <w:t>a</w:t>
      </w:r>
      <w:r w:rsidRPr="008F03E5">
        <w:rPr>
          <w:u w:val="single"/>
        </w:rPr>
        <w:t>sh</w:t>
      </w:r>
      <w:r w:rsidRPr="008F03E5">
        <w:t xml:space="preserve"> neighbourhood.  al-Manṣúra is a city 115 km north of Cairo—named after the Egyptian victory over Louis IX of France during the Seventh Crusade.</w:t>
      </w:r>
    </w:p>
    <w:p w14:paraId="7201758C" w14:textId="77777777" w:rsidR="00625A5B" w:rsidRPr="008F03E5" w:rsidRDefault="00625A5B" w:rsidP="00E42AB3">
      <w:pPr>
        <w:pStyle w:val="Translit"/>
        <w:rPr>
          <w:rFonts w:eastAsia="PMingLiU"/>
          <w:lang w:eastAsia="zh-TW"/>
        </w:rPr>
      </w:pPr>
      <w:r w:rsidRPr="008F03E5">
        <w:rPr>
          <w:rFonts w:eastAsia="PMingLiU"/>
          <w:lang w:eastAsia="zh-TW"/>
        </w:rPr>
        <w:t>Mansuri</w:t>
      </w:r>
      <w:r w:rsidRPr="008F03E5">
        <w:tab/>
      </w:r>
      <w:r w:rsidRPr="008F03E5">
        <w:rPr>
          <w:rFonts w:eastAsia="PMingLiU"/>
          <w:lang w:eastAsia="zh-TW"/>
        </w:rPr>
        <w:t>Man</w:t>
      </w:r>
      <w:r w:rsidRPr="008F03E5">
        <w:t>ṣ</w:t>
      </w:r>
      <w:r w:rsidRPr="008F03E5">
        <w:rPr>
          <w:rFonts w:eastAsia="PMingLiU"/>
          <w:lang w:eastAsia="zh-TW"/>
        </w:rPr>
        <w:t>úrí</w:t>
      </w:r>
      <w:r w:rsidRPr="008F03E5">
        <w:tab/>
      </w:r>
    </w:p>
    <w:p w14:paraId="3D076F2D" w14:textId="77777777" w:rsidR="00625A5B" w:rsidRPr="008F03E5" w:rsidRDefault="00625A5B" w:rsidP="0037070E">
      <w:pPr>
        <w:pStyle w:val="Translit"/>
      </w:pPr>
      <w:r w:rsidRPr="008F03E5">
        <w:t>Mansus</w:t>
      </w:r>
      <w:r w:rsidRPr="008F03E5">
        <w:tab/>
        <w:t>Manṣúṣ</w:t>
      </w:r>
      <w:r w:rsidRPr="008F03E5">
        <w:tab/>
        <w:t>manifested, declared; expressly stated in a text, authoritative, indisputable</w:t>
      </w:r>
    </w:p>
    <w:p w14:paraId="6140D9CD" w14:textId="77777777" w:rsidR="00625A5B" w:rsidRPr="008F03E5" w:rsidRDefault="00625A5B" w:rsidP="00EB79EC">
      <w:pPr>
        <w:pStyle w:val="Translit"/>
      </w:pPr>
      <w:r w:rsidRPr="008F03E5">
        <w:t>Manthur</w:t>
      </w:r>
      <w:r w:rsidRPr="008F03E5">
        <w:tab/>
        <w:t>Man</w:t>
      </w:r>
      <w:r w:rsidRPr="008F03E5">
        <w:rPr>
          <w:u w:val="single"/>
        </w:rPr>
        <w:t>th</w:t>
      </w:r>
      <w:r w:rsidRPr="008F03E5">
        <w:t>úr</w:t>
      </w:r>
      <w:r w:rsidRPr="008F03E5">
        <w:tab/>
        <w:t>scattered, dispersed, strewn about; prosaic, prose; wall-flower, gillyflower</w:t>
      </w:r>
    </w:p>
    <w:p w14:paraId="0FF0801E" w14:textId="77777777" w:rsidR="00625A5B" w:rsidRPr="008F03E5" w:rsidRDefault="00625A5B" w:rsidP="00B967D9">
      <w:pPr>
        <w:pStyle w:val="Translit"/>
      </w:pPr>
      <w:r w:rsidRPr="008F03E5">
        <w:t>Mantiq</w:t>
      </w:r>
      <w:r w:rsidRPr="008F03E5">
        <w:tab/>
        <w:t>Manṭiq</w:t>
      </w:r>
      <w:r w:rsidRPr="008F03E5">
        <w:tab/>
        <w:t>(faculty of) speech; manner of speaking, diction, enunciation; eloquence; logic</w:t>
      </w:r>
    </w:p>
    <w:p w14:paraId="186FAEEE" w14:textId="77777777" w:rsidR="00625A5B" w:rsidRPr="008F03E5" w:rsidRDefault="00625A5B" w:rsidP="00DA415A">
      <w:pPr>
        <w:pStyle w:val="Translit"/>
      </w:pPr>
      <w:r w:rsidRPr="008F03E5">
        <w:t>Mantiqu’t-Tayr</w:t>
      </w:r>
      <w:r w:rsidRPr="008F03E5">
        <w:tab/>
        <w:t>Manṭiqu’ṭ-Ṭayr</w:t>
      </w:r>
      <w:r w:rsidRPr="008F03E5">
        <w:tab/>
        <w:t xml:space="preserve">“The Conference of the Birds” by </w:t>
      </w:r>
      <w:r w:rsidRPr="008F03E5">
        <w:rPr>
          <w:u w:val="single"/>
        </w:rPr>
        <w:t>Sh</w:t>
      </w:r>
      <w:r w:rsidRPr="008F03E5">
        <w:t>ay</w:t>
      </w:r>
      <w:r w:rsidRPr="008F03E5">
        <w:rPr>
          <w:u w:val="single"/>
        </w:rPr>
        <w:t>kh</w:t>
      </w:r>
      <w:r w:rsidRPr="008F03E5">
        <w:t xml:space="preserve"> Farídu’d-Dín ‘Aṭṭár, where birds search for Símur</w:t>
      </w:r>
      <w:r w:rsidRPr="008F03E5">
        <w:rPr>
          <w:u w:val="single"/>
        </w:rPr>
        <w:t>gh</w:t>
      </w:r>
      <w:r w:rsidRPr="008F03E5">
        <w:t>, and pass through the seven valleys of Search, Love, Knowledge, Independence, Unification, Amazement, Destitution and Annihilation.</w:t>
      </w:r>
    </w:p>
    <w:p w14:paraId="0F96A480" w14:textId="77777777" w:rsidR="00625A5B" w:rsidRPr="008F03E5" w:rsidRDefault="00625A5B" w:rsidP="0050288A">
      <w:pPr>
        <w:pStyle w:val="Translit"/>
      </w:pPr>
      <w:r w:rsidRPr="008F03E5">
        <w:t>Manu, Minu</w:t>
      </w:r>
      <w:r w:rsidRPr="008F03E5">
        <w:tab/>
        <w:t>Manú, Minú</w:t>
      </w:r>
      <w:r w:rsidRPr="008F03E5">
        <w:tab/>
        <w:t>Pers. paradise, heaven; high, sublime</w:t>
      </w:r>
    </w:p>
    <w:p w14:paraId="21317348" w14:textId="77777777" w:rsidR="00625A5B" w:rsidRPr="008F03E5" w:rsidRDefault="00625A5B" w:rsidP="00573243">
      <w:pPr>
        <w:pStyle w:val="Translit"/>
      </w:pPr>
      <w:r w:rsidRPr="008F03E5">
        <w:t>Manuchihr (Manuchehr, Minuchihr)</w:t>
      </w:r>
      <w:r w:rsidRPr="008F03E5">
        <w:tab/>
        <w:t>Manú</w:t>
      </w:r>
      <w:r w:rsidRPr="008F03E5">
        <w:rPr>
          <w:u w:val="single"/>
        </w:rPr>
        <w:t>ch</w:t>
      </w:r>
      <w:r w:rsidRPr="008F03E5">
        <w:t xml:space="preserve">ihr (Manú + </w:t>
      </w:r>
      <w:r w:rsidRPr="008F03E5">
        <w:rPr>
          <w:u w:val="single"/>
        </w:rPr>
        <w:t>ch</w:t>
      </w:r>
      <w:r w:rsidRPr="008F03E5">
        <w:t>ihr)</w:t>
      </w:r>
      <w:r w:rsidRPr="008F03E5">
        <w:tab/>
        <w:t xml:space="preserve">Old Per. the eighth mythical </w:t>
      </w:r>
      <w:r w:rsidRPr="008F03E5">
        <w:rPr>
          <w:u w:val="single"/>
        </w:rPr>
        <w:t>Sh</w:t>
      </w:r>
      <w:r w:rsidRPr="008F03E5">
        <w:t>áh of the Pishdadian (Pi</w:t>
      </w:r>
      <w:r w:rsidRPr="008F03E5">
        <w:rPr>
          <w:u w:val="single"/>
        </w:rPr>
        <w:t>sh</w:t>
      </w:r>
      <w:r w:rsidRPr="008F03E5">
        <w:t xml:space="preserve">dádiyan) dynasty of Persia according to </w:t>
      </w:r>
      <w:r w:rsidRPr="008F03E5">
        <w:rPr>
          <w:i/>
          <w:iCs/>
          <w:u w:val="single"/>
        </w:rPr>
        <w:t>Sh</w:t>
      </w:r>
      <w:r w:rsidRPr="008F03E5">
        <w:rPr>
          <w:i/>
          <w:iCs/>
        </w:rPr>
        <w:t>áhnámah</w:t>
      </w:r>
      <w:r w:rsidRPr="008F03E5">
        <w:t>.  His great-grandfather was Fereydun (Farídún).</w:t>
      </w:r>
    </w:p>
    <w:p w14:paraId="01204E27" w14:textId="77777777" w:rsidR="00625A5B" w:rsidRPr="008F03E5" w:rsidRDefault="00625A5B" w:rsidP="00226E00">
      <w:pPr>
        <w:pStyle w:val="Translit"/>
      </w:pPr>
      <w:r w:rsidRPr="008F03E5">
        <w:t>Manyal</w:t>
      </w:r>
      <w:r w:rsidRPr="008F03E5">
        <w:tab/>
        <w:t>Manyal</w:t>
      </w:r>
      <w:r w:rsidRPr="008F03E5">
        <w:tab/>
        <w:t>“Nilometre”.  Qaṣr al-Manyal (Manial Palace) in the El Manial district of Cairo.</w:t>
      </w:r>
    </w:p>
    <w:p w14:paraId="4F62DC19" w14:textId="77777777" w:rsidR="00625A5B" w:rsidRPr="008F03E5" w:rsidRDefault="00625A5B" w:rsidP="00E92F16">
      <w:pPr>
        <w:pStyle w:val="Translit"/>
      </w:pPr>
      <w:r w:rsidRPr="008F03E5">
        <w:t>Manzar, Manazir</w:t>
      </w:r>
      <w:r w:rsidRPr="008F03E5">
        <w:tab/>
        <w:t>Manẓar, pl. Manáẓir</w:t>
      </w:r>
      <w:r w:rsidRPr="008F03E5">
        <w:tab/>
        <w:t>sight; view, panorama; look(s), appearance, aspect; prospect, outlook, perspective; an object soon or viewed, photographic object; scene (of a play); spectacle; stage setting, set, scenery; place commanding a sweeping view; lookout, watchtower.  Used in Tablet of Aḥmad (appearance/manifestation).  See maẓhar and ẓuhúr</w:t>
      </w:r>
    </w:p>
    <w:p w14:paraId="1EA29230" w14:textId="77777777" w:rsidR="00625A5B" w:rsidRPr="008F03E5" w:rsidRDefault="00625A5B" w:rsidP="009B1987">
      <w:pPr>
        <w:pStyle w:val="Translit"/>
      </w:pPr>
      <w:r w:rsidRPr="008F03E5">
        <w:t>Manzara, Manazir</w:t>
      </w:r>
      <w:r w:rsidRPr="008F03E5">
        <w:tab/>
        <w:t>Manẓara[h or t], pl. Manáẓir</w:t>
      </w:r>
      <w:r w:rsidRPr="008F03E5">
        <w:tab/>
        <w:t>(fem. form of Manẓar) place commanding a scenic view; view, scenery, landscape, panorama; watchtower, observatory; guestroom, reception room, drawing room, parlour</w:t>
      </w:r>
    </w:p>
    <w:p w14:paraId="5DCEF7FA" w14:textId="77777777" w:rsidR="00625A5B" w:rsidRPr="008F03E5" w:rsidRDefault="00625A5B" w:rsidP="00723706">
      <w:pPr>
        <w:pStyle w:val="Translit"/>
      </w:pPr>
      <w:r w:rsidRPr="008F03E5">
        <w:t>Manzariyih, Manzariyeh</w:t>
      </w:r>
      <w:r w:rsidRPr="008F03E5">
        <w:tab/>
        <w:t>Manẓaríyih</w:t>
      </w:r>
      <w:r w:rsidRPr="008F03E5">
        <w:tab/>
        <w:t>city 81 km south of Iṣfahán.  Manẓariyyih caravanserai (34.891092, 50.819865) on Teheran-Qom Old Rd.</w:t>
      </w:r>
    </w:p>
    <w:p w14:paraId="680C2907" w14:textId="77777777" w:rsidR="00625A5B" w:rsidRPr="008F03E5" w:rsidRDefault="00625A5B" w:rsidP="00A26B03">
      <w:pPr>
        <w:pStyle w:val="Translit"/>
      </w:pPr>
      <w:r w:rsidRPr="00FC3392">
        <w:t>Manzil, Manzila, Manazil</w:t>
      </w:r>
      <w:r w:rsidRPr="00FC3392">
        <w:tab/>
        <w:t xml:space="preserve">Manzil, fem. </w:t>
      </w:r>
      <w:r w:rsidRPr="00726DA6">
        <w:t>Manzila[h or t]</w:t>
      </w:r>
      <w:r w:rsidRPr="00726DA6">
        <w:tab/>
        <w:t xml:space="preserve">(pl. Manázil, Manzil-há, fem. Manzilát) Turkish menzil.  </w:t>
      </w:r>
      <w:r w:rsidRPr="004839D5">
        <w:t>stopping place</w:t>
      </w:r>
      <w:r>
        <w:t xml:space="preserve"> (temporary)</w:t>
      </w:r>
      <w:r w:rsidRPr="004839D5">
        <w:t>, way station, camp site; apartment, f</w:t>
      </w:r>
      <w:r>
        <w:t>l</w:t>
      </w:r>
      <w:r w:rsidRPr="004839D5">
        <w:t>at; house;</w:t>
      </w:r>
      <w:r>
        <w:t xml:space="preserve"> a bow-shot distance (about 230 m);—fem. </w:t>
      </w:r>
      <w:r w:rsidRPr="004839D5">
        <w:t>degree, grade, rank; position, status, standing; dignity</w:t>
      </w:r>
      <w:r>
        <w:t>.</w:t>
      </w:r>
    </w:p>
    <w:p w14:paraId="358EF15F" w14:textId="77777777" w:rsidR="00625A5B" w:rsidRPr="008F03E5" w:rsidRDefault="00625A5B" w:rsidP="002B3ADE">
      <w:pPr>
        <w:pStyle w:val="Translit"/>
      </w:pPr>
      <w:r w:rsidRPr="008F03E5">
        <w:t>Maqal, Maqala, Maqalat</w:t>
      </w:r>
      <w:r w:rsidRPr="008F03E5">
        <w:tab/>
        <w:t>Maqál, fem. Maqála[h or t]</w:t>
      </w:r>
      <w:r w:rsidRPr="008F03E5">
        <w:tab/>
        <w:t>(fem. pl. maqálát) speech; proposition, contention, teaching, doctrine; article; treatise; piece of writing</w:t>
      </w:r>
    </w:p>
    <w:p w14:paraId="47CE9EB4" w14:textId="77777777" w:rsidR="00625A5B" w:rsidRPr="008F03E5" w:rsidRDefault="00625A5B" w:rsidP="00513A44">
      <w:pPr>
        <w:pStyle w:val="Translit"/>
      </w:pPr>
      <w:r w:rsidRPr="008F03E5">
        <w:t>Maqala Shakhsi Sayyah</w:t>
      </w:r>
      <w:r w:rsidRPr="008F03E5">
        <w:tab/>
        <w:t>Maqála-i-</w:t>
      </w:r>
      <w:r w:rsidRPr="008F03E5">
        <w:rPr>
          <w:u w:val="single"/>
        </w:rPr>
        <w:t>Sh</w:t>
      </w:r>
      <w:r w:rsidRPr="008F03E5">
        <w:t>a</w:t>
      </w:r>
      <w:r w:rsidRPr="008F03E5">
        <w:rPr>
          <w:u w:val="single"/>
        </w:rPr>
        <w:t>kh</w:t>
      </w:r>
      <w:r w:rsidRPr="008F03E5">
        <w:t>ṣí Sayyáḥ</w:t>
      </w:r>
      <w:r w:rsidRPr="008F03E5">
        <w:tab/>
        <w:t xml:space="preserve">‘Abdu’l-Bahá, given the English title </w:t>
      </w:r>
      <w:r w:rsidRPr="008F03E5">
        <w:rPr>
          <w:i/>
          <w:iCs/>
        </w:rPr>
        <w:t>A Traveller’s Narrative</w:t>
      </w:r>
      <w:r w:rsidRPr="008F03E5">
        <w:t>.  Full title Maqálát-i-</w:t>
      </w:r>
      <w:r w:rsidRPr="008F03E5">
        <w:rPr>
          <w:u w:val="single"/>
        </w:rPr>
        <w:t>Sh</w:t>
      </w:r>
      <w:r w:rsidRPr="008F03E5">
        <w:t>a</w:t>
      </w:r>
      <w:r w:rsidRPr="008F03E5">
        <w:rPr>
          <w:u w:val="single"/>
        </w:rPr>
        <w:t>kh</w:t>
      </w:r>
      <w:r w:rsidRPr="008F03E5">
        <w:t>ṣí Sayyáḥ kih dar qaḍíyat-i-Báb niwi</w:t>
      </w:r>
      <w:r w:rsidRPr="008F03E5">
        <w:rPr>
          <w:u w:val="single"/>
        </w:rPr>
        <w:t>s</w:t>
      </w:r>
      <w:r w:rsidRPr="008F03E5">
        <w:t>hta ast can be roughly translated as “A traveller’s personal narrative describing the Cause of the Báb”.</w:t>
      </w:r>
    </w:p>
    <w:p w14:paraId="5CAB4D62" w14:textId="77777777" w:rsidR="00625A5B" w:rsidRPr="008F03E5" w:rsidRDefault="00625A5B" w:rsidP="00DB5C2A">
      <w:pPr>
        <w:pStyle w:val="Translit"/>
      </w:pPr>
      <w:r w:rsidRPr="008F03E5">
        <w:t>Maqala, Maqalat, Maqalih</w:t>
      </w:r>
      <w:r w:rsidRPr="008F03E5">
        <w:tab/>
        <w:t>Maqála[h], (Pers. Maqálih), pl. Maqálát</w:t>
      </w:r>
      <w:r w:rsidRPr="008F03E5">
        <w:tab/>
        <w:t>article; essay; treatise; piece of writing; narrative</w:t>
      </w:r>
    </w:p>
    <w:p w14:paraId="32C49B51" w14:textId="77777777" w:rsidR="00625A5B" w:rsidRPr="008F03E5" w:rsidRDefault="00625A5B" w:rsidP="00E92B58">
      <w:pPr>
        <w:pStyle w:val="Translit"/>
      </w:pPr>
      <w:r w:rsidRPr="001457C8">
        <w:rPr>
          <w:lang w:val="pl-PL"/>
        </w:rPr>
        <w:t>Maqam (“Makam”, Magam), Maqamat</w:t>
      </w:r>
      <w:r w:rsidRPr="001457C8">
        <w:rPr>
          <w:lang w:val="pl-PL"/>
        </w:rPr>
        <w:tab/>
        <w:t xml:space="preserve">Maqám, pl. </w:t>
      </w:r>
      <w:r w:rsidRPr="008F03E5">
        <w:t>Maqámát</w:t>
      </w:r>
      <w:r w:rsidRPr="008F03E5">
        <w:tab/>
        <w:t>site, location, position; place, spot, point, locality; situation; station; standing, position, rank, dignity; tomb of a saint, sacred place; key, tonality, mode (music).  Melodic modes used in traditional Arabic music.  Ṣúfí spiritual stations.  The Shrine of the Báb was called Maqám by Persian Bahá’ís (</w:t>
      </w:r>
      <w:r w:rsidRPr="008F03E5">
        <w:rPr>
          <w:i/>
          <w:iCs/>
        </w:rPr>
        <w:t>The Priceless Pearl</w:t>
      </w:r>
      <w:r w:rsidRPr="008F03E5">
        <w:t>, p. 235).</w:t>
      </w:r>
    </w:p>
    <w:p w14:paraId="3B874FC9" w14:textId="77777777" w:rsidR="00625A5B" w:rsidRPr="008F03E5" w:rsidRDefault="00625A5B" w:rsidP="001457C8">
      <w:pPr>
        <w:pStyle w:val="Translit"/>
      </w:pPr>
      <w:r w:rsidRPr="001457C8">
        <w:rPr>
          <w:lang w:val="fr-FR"/>
        </w:rPr>
        <w:t>Maqama</w:t>
      </w:r>
      <w:r>
        <w:rPr>
          <w:lang w:val="fr-FR"/>
        </w:rPr>
        <w:t>,</w:t>
      </w:r>
      <w:r w:rsidRPr="001457C8">
        <w:rPr>
          <w:lang w:val="fr-FR"/>
        </w:rPr>
        <w:t xml:space="preserve"> Maqamat</w:t>
      </w:r>
      <w:r w:rsidRPr="001457C8">
        <w:rPr>
          <w:lang w:val="fr-FR"/>
        </w:rPr>
        <w:tab/>
        <w:t xml:space="preserve">Maqáma[h or t], pl. </w:t>
      </w:r>
      <w:r w:rsidRPr="008F03E5">
        <w:t>Maqámát</w:t>
      </w:r>
      <w:r w:rsidRPr="008F03E5">
        <w:tab/>
        <w:t>(fem. of maqám) sitting, session, meeting</w:t>
      </w:r>
    </w:p>
    <w:p w14:paraId="510CB84C" w14:textId="77777777" w:rsidR="00625A5B" w:rsidRPr="008F03E5" w:rsidRDefault="00625A5B" w:rsidP="007D6A67">
      <w:pPr>
        <w:pStyle w:val="Translit"/>
      </w:pPr>
      <w:r w:rsidRPr="008F03E5">
        <w:t>Maqami</w:t>
      </w:r>
      <w:r w:rsidRPr="008F03E5">
        <w:tab/>
        <w:t>Maqámí</w:t>
      </w:r>
      <w:r w:rsidRPr="008F03E5">
        <w:tab/>
        <w:t>local; resident, stationary</w:t>
      </w:r>
    </w:p>
    <w:p w14:paraId="7007131F" w14:textId="77777777" w:rsidR="00625A5B" w:rsidRPr="008F03E5" w:rsidRDefault="00625A5B" w:rsidP="00D54443">
      <w:pPr>
        <w:pStyle w:val="Translit"/>
      </w:pPr>
      <w:r w:rsidRPr="008F03E5">
        <w:t>Maqam-i-A’la</w:t>
      </w:r>
      <w:r w:rsidRPr="008F03E5">
        <w:tab/>
        <w:t>Maqám-i-A‘lá</w:t>
      </w:r>
      <w:r w:rsidRPr="008F03E5">
        <w:tab/>
        <w:t>“Exalted Spot”, a title given to the Shrine of the Báb by ‘Abdu’l-Bahá</w:t>
      </w:r>
    </w:p>
    <w:p w14:paraId="5A759275" w14:textId="77777777" w:rsidR="00625A5B" w:rsidRPr="008F03E5" w:rsidRDefault="00625A5B" w:rsidP="00234585">
      <w:pPr>
        <w:pStyle w:val="Translit"/>
      </w:pPr>
      <w:r w:rsidRPr="008F03E5">
        <w:t>Maqam-i-Khidr</w:t>
      </w:r>
      <w:r w:rsidRPr="008F03E5">
        <w:tab/>
        <w:t>Maqám-i-</w:t>
      </w:r>
      <w:r w:rsidRPr="008F03E5">
        <w:rPr>
          <w:u w:val="single"/>
        </w:rPr>
        <w:t>Kh</w:t>
      </w:r>
      <w:r w:rsidRPr="008F03E5">
        <w:t>iḍr</w:t>
      </w:r>
      <w:r w:rsidRPr="008F03E5">
        <w:tab/>
        <w:t xml:space="preserve">The Lower Cave of Elijah, blessed by the footsteps of Bahá’u’lláh for three days (according to Memoirs of Dr Ḥabíb Mu’ayyad, 2:258) and of ‘Abdu’l-Bahá for about two months (according to an unpublished manuscript).  See also David S. Ruhe, </w:t>
      </w:r>
      <w:r w:rsidRPr="008F03E5">
        <w:rPr>
          <w:i/>
          <w:iCs/>
        </w:rPr>
        <w:t>Door of Hope</w:t>
      </w:r>
      <w:r w:rsidRPr="008F03E5">
        <w:t>, pp. 186–88.</w:t>
      </w:r>
    </w:p>
    <w:p w14:paraId="6B8078A1" w14:textId="77777777" w:rsidR="00625A5B" w:rsidRPr="008F03E5" w:rsidRDefault="00625A5B" w:rsidP="00EA60D9">
      <w:pPr>
        <w:pStyle w:val="Translit"/>
      </w:pPr>
      <w:r w:rsidRPr="008F03E5">
        <w:t>Maqam-i-Mahmud</w:t>
      </w:r>
      <w:r w:rsidRPr="008F03E5">
        <w:tab/>
        <w:t>Maqám-i-Maḥmúd</w:t>
      </w:r>
      <w:r w:rsidRPr="008F03E5">
        <w:tab/>
        <w:t>“Praiseworthy Station”, the rank of Prophets endowed with constancy</w:t>
      </w:r>
    </w:p>
    <w:p w14:paraId="3AA0A86F" w14:textId="77777777" w:rsidR="00625A5B" w:rsidRPr="008F03E5" w:rsidRDefault="00625A5B" w:rsidP="004F0EB8">
      <w:pPr>
        <w:pStyle w:val="Translit"/>
      </w:pPr>
      <w:r w:rsidRPr="008F03E5">
        <w:t>Maqam-i-Nuzul, Maqam-i-‘Uruj</w:t>
      </w:r>
      <w:r w:rsidRPr="008F03E5">
        <w:tab/>
        <w:t>Maqám-i-Nuzúl, Maqám-i-‘Urúj</w:t>
      </w:r>
      <w:r w:rsidRPr="008F03E5">
        <w:tab/>
        <w:t>1.  Maqám-i-Nuzúl:  Stations of descent, literally “bringing forth”.  Ends in material realities (‘Abdu’l-Bahá)—going away from God.  2.  Maqám-i-‘Urúj:  the Stations of ascent (circle of existence) ends in spiritual realities.  Concept held by some Sufis.  See Qaws-i-Nuzúl, Qaws-i-‘Urúj</w:t>
      </w:r>
    </w:p>
    <w:p w14:paraId="406A6C09" w14:textId="77777777" w:rsidR="00625A5B" w:rsidRDefault="00625A5B" w:rsidP="007D6A67">
      <w:pPr>
        <w:pStyle w:val="Translit"/>
      </w:pPr>
      <w:r>
        <w:t>Maqbil</w:t>
      </w:r>
      <w:r>
        <w:tab/>
        <w:t>Maqbil</w:t>
      </w:r>
      <w:r>
        <w:tab/>
        <w:t>place of pilgrimage</w:t>
      </w:r>
    </w:p>
    <w:p w14:paraId="4DBF7A92" w14:textId="77777777" w:rsidR="00625A5B" w:rsidRPr="008F03E5" w:rsidRDefault="00625A5B" w:rsidP="00DE3B2E">
      <w:pPr>
        <w:pStyle w:val="Translit"/>
      </w:pPr>
      <w:r w:rsidRPr="008F03E5">
        <w:t>Maqbul</w:t>
      </w:r>
      <w:r>
        <w:t>, Maqbula</w:t>
      </w:r>
      <w:r w:rsidRPr="008F03E5">
        <w:tab/>
        <w:t>Maqbúl</w:t>
      </w:r>
      <w:r>
        <w:t>, fem. Maqb</w:t>
      </w:r>
      <w:r w:rsidRPr="00DE3B2E">
        <w:t>ú</w:t>
      </w:r>
      <w:r>
        <w:t>la[h or t]</w:t>
      </w:r>
      <w:r w:rsidRPr="008F03E5">
        <w:tab/>
        <w:t>acceptable, reasonable; satisfactory; pleasing, obliging, complaisant, amiable; well-liked, likable, popular, welcome</w:t>
      </w:r>
    </w:p>
    <w:p w14:paraId="45CE230F" w14:textId="77777777" w:rsidR="00625A5B" w:rsidRPr="008F03E5" w:rsidRDefault="00625A5B" w:rsidP="00014D78">
      <w:pPr>
        <w:pStyle w:val="Translit"/>
      </w:pPr>
      <w:r w:rsidRPr="008F03E5">
        <w:t>Maqdis</w:t>
      </w:r>
      <w:r w:rsidRPr="008F03E5">
        <w:tab/>
        <w:t>Maqdis</w:t>
      </w:r>
      <w:r w:rsidRPr="008F03E5">
        <w:tab/>
        <w:t>a holy place</w:t>
      </w:r>
    </w:p>
    <w:p w14:paraId="1023BF22" w14:textId="77777777" w:rsidR="00625A5B" w:rsidRPr="008F03E5" w:rsidRDefault="00625A5B" w:rsidP="006E00A8">
      <w:pPr>
        <w:pStyle w:val="Translit"/>
      </w:pPr>
      <w:r w:rsidRPr="008F03E5">
        <w:t>Maqsud</w:t>
      </w:r>
      <w:r w:rsidRPr="008F03E5">
        <w:tab/>
        <w:t>Maqṣúd</w:t>
      </w:r>
      <w:r w:rsidRPr="008F03E5">
        <w:tab/>
        <w:t>aimed at, intended; intentional, designed, deliberate; meant</w:t>
      </w:r>
    </w:p>
    <w:p w14:paraId="4668362C" w14:textId="77777777" w:rsidR="00625A5B" w:rsidRPr="008F03E5" w:rsidRDefault="00625A5B" w:rsidP="007305B9">
      <w:pPr>
        <w:pStyle w:val="Translit"/>
      </w:pPr>
      <w:r w:rsidRPr="008F03E5">
        <w:t>Maqsur</w:t>
      </w:r>
      <w:r w:rsidRPr="008F03E5">
        <w:tab/>
        <w:t>Maqṣúr</w:t>
      </w:r>
      <w:r w:rsidRPr="008F03E5">
        <w:tab/>
        <w:t>confined (to); restricted, limited</w:t>
      </w:r>
    </w:p>
    <w:p w14:paraId="26F30004" w14:textId="77777777" w:rsidR="00625A5B" w:rsidRPr="008F03E5" w:rsidRDefault="00625A5B" w:rsidP="007305B9">
      <w:pPr>
        <w:pStyle w:val="Translit"/>
      </w:pPr>
      <w:r w:rsidRPr="001457C8">
        <w:rPr>
          <w:lang w:val="fr-FR"/>
        </w:rPr>
        <w:t>Maqsura, Maqsurat, Maqasir</w:t>
      </w:r>
      <w:r w:rsidRPr="001457C8">
        <w:rPr>
          <w:lang w:val="fr-FR"/>
        </w:rPr>
        <w:tab/>
        <w:t xml:space="preserve">Maqṣúra[h or t], pl. </w:t>
      </w:r>
      <w:r w:rsidRPr="008F03E5">
        <w:t>Maqṣúrát, Maqáṣír</w:t>
      </w:r>
      <w:r w:rsidRPr="008F03E5">
        <w:tab/>
        <w:t>palace; cabinet, closet; compartment; box or stall in a mosque near the mihrab (miḥráb), reserved for the ruler; (theatre, cinema) box, loge; the detached portion of a mosque set aside for the communal prayer, and frequently enclosing the tomb of the patron saint; (prisoner’s) dock; chapel (in a church)</w:t>
      </w:r>
    </w:p>
    <w:p w14:paraId="53545E9C" w14:textId="77777777" w:rsidR="00625A5B" w:rsidRPr="008F03E5" w:rsidRDefault="00625A5B" w:rsidP="00E66672">
      <w:pPr>
        <w:pStyle w:val="Translit"/>
      </w:pPr>
      <w:r w:rsidRPr="008F03E5">
        <w:t>Maqtal, Maqatil</w:t>
      </w:r>
      <w:r w:rsidRPr="008F03E5">
        <w:tab/>
        <w:t>Maqtal, pl. Maqátil</w:t>
      </w:r>
      <w:r w:rsidRPr="008F03E5">
        <w:tab/>
        <w:t>murder, death; murderous battle;—(pl.) vital part of the body (the injury of which will bring about death), mortal spot, mortal organ; Achilles’ heel, vulnerable spot</w:t>
      </w:r>
    </w:p>
    <w:p w14:paraId="66BE799C" w14:textId="77777777" w:rsidR="00625A5B" w:rsidRPr="008F03E5" w:rsidRDefault="00625A5B" w:rsidP="004A233B">
      <w:pPr>
        <w:pStyle w:val="Translit"/>
      </w:pPr>
      <w:r w:rsidRPr="008F03E5">
        <w:t>Mar</w:t>
      </w:r>
      <w:r w:rsidRPr="008F03E5">
        <w:tab/>
        <w:t>Már</w:t>
      </w:r>
      <w:r w:rsidRPr="008F03E5">
        <w:tab/>
        <w:t>lord (Christian title preceding the names of saints), saint</w:t>
      </w:r>
    </w:p>
    <w:p w14:paraId="344C47F0" w14:textId="77777777" w:rsidR="00625A5B" w:rsidRPr="008F03E5" w:rsidRDefault="00625A5B" w:rsidP="004A233B">
      <w:pPr>
        <w:pStyle w:val="Translit"/>
      </w:pPr>
      <w:r w:rsidRPr="008F03E5">
        <w:t>Marad, Amrad</w:t>
      </w:r>
      <w:r w:rsidRPr="008F03E5">
        <w:tab/>
        <w:t>Maraḍ, pl. Amráḍ</w:t>
      </w:r>
      <w:r w:rsidRPr="008F03E5">
        <w:tab/>
        <w:t>disease, malady, ailment; illness, sickness</w:t>
      </w:r>
    </w:p>
    <w:p w14:paraId="6D709C19" w14:textId="77777777" w:rsidR="00625A5B" w:rsidRPr="008F03E5" w:rsidRDefault="00625A5B" w:rsidP="00E37B48">
      <w:pPr>
        <w:pStyle w:val="Translit"/>
      </w:pPr>
      <w:r w:rsidRPr="008F03E5">
        <w:t>Maragh, Maragha (Maragheh, Maraghih)</w:t>
      </w:r>
      <w:r w:rsidRPr="008F03E5">
        <w:tab/>
        <w:t>Mará</w:t>
      </w:r>
      <w:r w:rsidRPr="008F03E5">
        <w:rPr>
          <w:u w:val="single"/>
        </w:rPr>
        <w:t>gh</w:t>
      </w:r>
      <w:r w:rsidRPr="008F03E5">
        <w:t>, fem. Mará</w:t>
      </w:r>
      <w:r w:rsidRPr="008F03E5">
        <w:rPr>
          <w:u w:val="single"/>
        </w:rPr>
        <w:t>gh</w:t>
      </w:r>
      <w:r w:rsidRPr="008F03E5">
        <w:t>a[h or t]</w:t>
      </w:r>
      <w:r w:rsidRPr="008F03E5">
        <w:tab/>
        <w:t>a place where (a horse) rolls himself about or sleeps; (in Pers.) rolling about.  Mará</w:t>
      </w:r>
      <w:r w:rsidRPr="008F03E5">
        <w:rPr>
          <w:u w:val="single"/>
        </w:rPr>
        <w:t>gh</w:t>
      </w:r>
      <w:r w:rsidRPr="008F03E5">
        <w:t>a (37.390004, 46.236306) is a ancient city 77 km south of Tabriz, Azarbaiján.</w:t>
      </w:r>
    </w:p>
    <w:p w14:paraId="14216A17" w14:textId="77777777" w:rsidR="00625A5B" w:rsidRPr="008F03E5" w:rsidRDefault="00625A5B" w:rsidP="00FC5229">
      <w:pPr>
        <w:pStyle w:val="Translit"/>
      </w:pPr>
      <w:r w:rsidRPr="008F03E5">
        <w:t>Maraghi</w:t>
      </w:r>
      <w:r>
        <w:t xml:space="preserve">, </w:t>
      </w:r>
      <w:r w:rsidRPr="008F03E5">
        <w:t>Maraghi</w:t>
      </w:r>
      <w:r>
        <w:t>ya</w:t>
      </w:r>
      <w:r w:rsidRPr="008F03E5">
        <w:tab/>
        <w:t>Mará</w:t>
      </w:r>
      <w:r w:rsidRPr="008F03E5">
        <w:rPr>
          <w:u w:val="single"/>
        </w:rPr>
        <w:t>gh</w:t>
      </w:r>
      <w:r w:rsidRPr="008F03E5">
        <w:t>í</w:t>
      </w:r>
      <w:r>
        <w:t xml:space="preserve">, fem. </w:t>
      </w:r>
      <w:r w:rsidRPr="008F03E5">
        <w:t>Mará</w:t>
      </w:r>
      <w:r w:rsidRPr="008F03E5">
        <w:rPr>
          <w:u w:val="single"/>
        </w:rPr>
        <w:t>gh</w:t>
      </w:r>
      <w:r w:rsidRPr="008F03E5">
        <w:t>í</w:t>
      </w:r>
      <w:r>
        <w:t>ya[h or t]</w:t>
      </w:r>
      <w:r w:rsidRPr="008F03E5">
        <w:tab/>
        <w:t>from or of the city of Mará</w:t>
      </w:r>
      <w:r w:rsidRPr="008F03E5">
        <w:rPr>
          <w:u w:val="single"/>
        </w:rPr>
        <w:t>gh</w:t>
      </w:r>
      <w:r w:rsidRPr="008F03E5">
        <w:t>a</w:t>
      </w:r>
      <w:r>
        <w:t xml:space="preserve"> or the </w:t>
      </w:r>
      <w:r w:rsidRPr="008F03E5">
        <w:t>Mará</w:t>
      </w:r>
      <w:r w:rsidRPr="008F03E5">
        <w:rPr>
          <w:u w:val="single"/>
        </w:rPr>
        <w:t>gh</w:t>
      </w:r>
      <w:r>
        <w:t xml:space="preserve"> tribe</w:t>
      </w:r>
      <w:r w:rsidRPr="008F03E5">
        <w:t xml:space="preserve">.  ‘Abdu’l-‘Alí </w:t>
      </w:r>
      <w:r w:rsidRPr="008F03E5">
        <w:rPr>
          <w:u w:val="single"/>
        </w:rPr>
        <w:t>Kh</w:t>
      </w:r>
      <w:r w:rsidRPr="008F03E5">
        <w:t>án-i-Mará</w:t>
      </w:r>
      <w:r w:rsidRPr="008F03E5">
        <w:rPr>
          <w:u w:val="single"/>
        </w:rPr>
        <w:t>gh</w:t>
      </w:r>
      <w:r w:rsidRPr="008F03E5">
        <w:t>i’í.</w:t>
      </w:r>
    </w:p>
    <w:p w14:paraId="60EFA355" w14:textId="77777777" w:rsidR="00625A5B" w:rsidRDefault="00625A5B" w:rsidP="00D118DA">
      <w:pPr>
        <w:pStyle w:val="Translit"/>
      </w:pPr>
      <w:r>
        <w:t>Marand (Morand)</w:t>
      </w:r>
      <w:r>
        <w:tab/>
        <w:t>Marand</w:t>
      </w:r>
      <w:r>
        <w:tab/>
        <w:t>city (</w:t>
      </w:r>
      <w:r w:rsidRPr="00673F30">
        <w:t>38.43166</w:t>
      </w:r>
      <w:r>
        <w:t>2</w:t>
      </w:r>
      <w:r w:rsidRPr="00673F30">
        <w:t>, 45.773375</w:t>
      </w:r>
      <w:r>
        <w:t xml:space="preserve">) in </w:t>
      </w:r>
      <w:r w:rsidRPr="00673F30">
        <w:t xml:space="preserve">East </w:t>
      </w:r>
      <w:r w:rsidRPr="00D118DA">
        <w:t>Á</w:t>
      </w:r>
      <w:r w:rsidRPr="00673F30">
        <w:rPr>
          <w:u w:val="single"/>
        </w:rPr>
        <w:t>dh</w:t>
      </w:r>
      <w:r w:rsidRPr="00673F30">
        <w:t>arbá</w:t>
      </w:r>
      <w:r>
        <w:t>y</w:t>
      </w:r>
      <w:r w:rsidRPr="00673F30">
        <w:t>ján province</w:t>
      </w:r>
      <w:r>
        <w:t xml:space="preserve">, 60 km </w:t>
      </w:r>
      <w:r w:rsidRPr="00F24060">
        <w:rPr>
          <w:sz w:val="16"/>
          <w:szCs w:val="16"/>
        </w:rPr>
        <w:t>NW</w:t>
      </w:r>
      <w:r>
        <w:t xml:space="preserve"> of Tabr</w:t>
      </w:r>
      <w:r w:rsidRPr="00673F30">
        <w:t>í</w:t>
      </w:r>
      <w:r>
        <w:t>z.</w:t>
      </w:r>
    </w:p>
    <w:p w14:paraId="6459EFCF" w14:textId="77777777" w:rsidR="00625A5B" w:rsidRPr="008F03E5" w:rsidRDefault="00625A5B" w:rsidP="00953609">
      <w:pPr>
        <w:pStyle w:val="Translit"/>
      </w:pPr>
      <w:r w:rsidRPr="008F03E5">
        <w:t>Marathiyya-Khan</w:t>
      </w:r>
      <w:r w:rsidRPr="008F03E5">
        <w:tab/>
        <w:t>Mará</w:t>
      </w:r>
      <w:r w:rsidRPr="008F03E5">
        <w:rPr>
          <w:u w:val="single"/>
        </w:rPr>
        <w:t>th</w:t>
      </w:r>
      <w:r w:rsidRPr="008F03E5">
        <w:t>iyya-</w:t>
      </w:r>
      <w:r w:rsidRPr="008F03E5">
        <w:rPr>
          <w:u w:val="single"/>
        </w:rPr>
        <w:t>Kh</w:t>
      </w:r>
      <w:r w:rsidRPr="008F03E5">
        <w:t>án</w:t>
      </w:r>
      <w:r w:rsidRPr="008F03E5">
        <w:tab/>
      </w:r>
      <w:r w:rsidRPr="008F03E5">
        <w:rPr>
          <w:lang w:eastAsia="en-US"/>
        </w:rPr>
        <w:t>reciter of poems about the death of Im</w:t>
      </w:r>
      <w:r w:rsidRPr="008F03E5">
        <w:t>á</w:t>
      </w:r>
      <w:r w:rsidRPr="008F03E5">
        <w:rPr>
          <w:lang w:eastAsia="en-US"/>
        </w:rPr>
        <w:t xml:space="preserve">m </w:t>
      </w:r>
      <w:r w:rsidRPr="008F03E5">
        <w:t>Ḥ</w:t>
      </w:r>
      <w:r w:rsidRPr="008F03E5">
        <w:rPr>
          <w:lang w:eastAsia="en-US"/>
        </w:rPr>
        <w:t xml:space="preserve">usayn.  </w:t>
      </w:r>
      <w:r w:rsidRPr="008F03E5">
        <w:t>Pers. Mará</w:t>
      </w:r>
      <w:r w:rsidRPr="008F03E5">
        <w:rPr>
          <w:u w:val="single"/>
        </w:rPr>
        <w:t>th</w:t>
      </w:r>
      <w:r w:rsidRPr="008F03E5">
        <w:t>iyyih-</w:t>
      </w:r>
      <w:r w:rsidRPr="008F03E5">
        <w:rPr>
          <w:u w:val="single"/>
        </w:rPr>
        <w:t>Kh</w:t>
      </w:r>
      <w:r w:rsidRPr="008F03E5">
        <w:t>án</w:t>
      </w:r>
    </w:p>
    <w:p w14:paraId="6951C2AC" w14:textId="77777777" w:rsidR="00625A5B" w:rsidRPr="008F03E5" w:rsidRDefault="00625A5B" w:rsidP="00953609">
      <w:pPr>
        <w:pStyle w:val="Translit"/>
      </w:pPr>
      <w:r w:rsidRPr="008F03E5">
        <w:t>Marathiyya-Khani</w:t>
      </w:r>
      <w:r w:rsidRPr="008F03E5">
        <w:tab/>
        <w:t>Mará</w:t>
      </w:r>
      <w:r w:rsidRPr="008F03E5">
        <w:rPr>
          <w:u w:val="single"/>
        </w:rPr>
        <w:t>th</w:t>
      </w:r>
      <w:r w:rsidRPr="008F03E5">
        <w:t>iyya-</w:t>
      </w:r>
      <w:r w:rsidRPr="008F03E5">
        <w:rPr>
          <w:u w:val="single"/>
        </w:rPr>
        <w:t>Kh</w:t>
      </w:r>
      <w:r w:rsidRPr="008F03E5">
        <w:t>ání</w:t>
      </w:r>
      <w:r w:rsidRPr="008F03E5">
        <w:tab/>
      </w:r>
      <w:r w:rsidRPr="008F03E5">
        <w:rPr>
          <w:lang w:eastAsia="en-US"/>
        </w:rPr>
        <w:t>recitals of the sufferings of the Imams</w:t>
      </w:r>
    </w:p>
    <w:p w14:paraId="00A61E99" w14:textId="77777777" w:rsidR="00625A5B" w:rsidRPr="008F03E5" w:rsidRDefault="00625A5B" w:rsidP="006E00A8">
      <w:pPr>
        <w:pStyle w:val="Translit"/>
      </w:pPr>
      <w:r w:rsidRPr="008F03E5">
        <w:t>Mard, Mardan</w:t>
      </w:r>
      <w:r w:rsidRPr="008F03E5">
        <w:tab/>
        <w:t>Mard, pl. Mardán</w:t>
      </w:r>
      <w:r w:rsidRPr="008F03E5">
        <w:tab/>
        <w:t>Pers. man, hero, warrior; brave, bold</w:t>
      </w:r>
    </w:p>
    <w:p w14:paraId="7FF08C73" w14:textId="77777777" w:rsidR="00625A5B" w:rsidRPr="008F03E5" w:rsidRDefault="00625A5B" w:rsidP="00C75D18">
      <w:pPr>
        <w:pStyle w:val="Translit"/>
      </w:pPr>
      <w:r w:rsidRPr="008F03E5">
        <w:t>Mardah, Marzi</w:t>
      </w:r>
      <w:r w:rsidRPr="008F03E5">
        <w:tab/>
        <w:t>Marḍáh, Pers. Marẓí</w:t>
      </w:r>
      <w:r w:rsidRPr="008F03E5">
        <w:tab/>
        <w:t>a means affording satisfaction or gratification; satisfaction, pleasure.  See Raḍiya</w:t>
      </w:r>
    </w:p>
    <w:p w14:paraId="4A4912CF" w14:textId="77777777" w:rsidR="00625A5B" w:rsidRPr="008F03E5" w:rsidRDefault="00625A5B" w:rsidP="000059A9">
      <w:pPr>
        <w:pStyle w:val="Translit"/>
      </w:pPr>
      <w:r w:rsidRPr="008F03E5">
        <w:t>Mardana</w:t>
      </w:r>
      <w:r w:rsidRPr="008F03E5">
        <w:tab/>
        <w:t>Mardána</w:t>
      </w:r>
      <w:r w:rsidRPr="008F03E5">
        <w:tab/>
        <w:t>Pers. brave, manly; courageously, vigorously; what belongs to a man (as male apartments).  See zanána.</w:t>
      </w:r>
    </w:p>
    <w:p w14:paraId="70637E51" w14:textId="77777777" w:rsidR="00625A5B" w:rsidRPr="008F03E5" w:rsidRDefault="00625A5B" w:rsidP="00CA7C22">
      <w:pPr>
        <w:pStyle w:val="Translit"/>
      </w:pPr>
      <w:r w:rsidRPr="008F03E5">
        <w:t>Mardi</w:t>
      </w:r>
      <w:r w:rsidRPr="008F03E5">
        <w:tab/>
        <w:t>Mardí</w:t>
      </w:r>
      <w:r w:rsidRPr="008F03E5">
        <w:tab/>
        <w:t>Pers. manliness, virility, valour; bold, brave, warlike</w:t>
      </w:r>
    </w:p>
    <w:p w14:paraId="33F1D194" w14:textId="77777777" w:rsidR="00625A5B" w:rsidRPr="008F03E5" w:rsidRDefault="00625A5B" w:rsidP="00C91F2E">
      <w:pPr>
        <w:pStyle w:val="Translit"/>
      </w:pPr>
      <w:r w:rsidRPr="004279C3">
        <w:rPr>
          <w:lang w:val="it-IT"/>
        </w:rPr>
        <w:t>Mardi, Mardiya (Mardiyya, Marziyya)</w:t>
      </w:r>
      <w:r w:rsidRPr="004279C3">
        <w:rPr>
          <w:lang w:val="it-IT"/>
        </w:rPr>
        <w:tab/>
        <w:t xml:space="preserve">Mardí, fem. </w:t>
      </w:r>
      <w:r w:rsidRPr="00720508">
        <w:rPr>
          <w:lang w:val="en-AU"/>
        </w:rPr>
        <w:t>Marḍíyá[h or t], pl. Marḍíyát</w:t>
      </w:r>
      <w:r w:rsidRPr="00720508">
        <w:rPr>
          <w:lang w:val="en-AU"/>
        </w:rPr>
        <w:tab/>
        <w:t xml:space="preserve">(Pers. Marḍiyyih, Marẓiyyih, “Marzia”, “Marzieh”) accepted, well-pleased, one who is pleasing.  Marẓíya, sister of Qurratu’l-‘Ayn (Ṭáhirih).  </w:t>
      </w:r>
      <w:r w:rsidRPr="008F03E5">
        <w:t xml:space="preserve">‘Abdu’l-Bahá wrote to Marzieh Nabíl Carpenter Gail (neé </w:t>
      </w:r>
      <w:r w:rsidRPr="008F03E5">
        <w:rPr>
          <w:u w:val="single"/>
        </w:rPr>
        <w:t>Kh</w:t>
      </w:r>
      <w:r w:rsidRPr="008F03E5">
        <w:t xml:space="preserve">án) (1908–1993):  ‘O God, make her who is pleasing to God (Marzieh), well-pleased with God (Razieh).”  </w:t>
      </w:r>
      <w:r w:rsidRPr="008F03E5">
        <w:rPr>
          <w:i/>
          <w:iCs/>
        </w:rPr>
        <w:t>Arches of the years</w:t>
      </w:r>
      <w:r w:rsidRPr="008F03E5">
        <w:t>, p. 82, referring to Qur’án 89:28.  See Marḍáh and Ráḍíya</w:t>
      </w:r>
    </w:p>
    <w:p w14:paraId="5F01E0AC" w14:textId="77777777" w:rsidR="00625A5B" w:rsidRPr="008F03E5" w:rsidRDefault="00625A5B" w:rsidP="002121E6">
      <w:pPr>
        <w:pStyle w:val="Translit"/>
      </w:pPr>
      <w:r w:rsidRPr="008F03E5">
        <w:t>Mardin</w:t>
      </w:r>
      <w:r w:rsidRPr="008F03E5">
        <w:tab/>
        <w:t>Márdín</w:t>
      </w:r>
      <w:r w:rsidRPr="008F03E5">
        <w:tab/>
        <w:t xml:space="preserve">A city in </w:t>
      </w:r>
      <w:r w:rsidRPr="00417520">
        <w:rPr>
          <w:sz w:val="16"/>
          <w:szCs w:val="16"/>
        </w:rPr>
        <w:t>SE</w:t>
      </w:r>
      <w:r w:rsidRPr="008F03E5">
        <w:t xml:space="preserve"> Türkiye</w:t>
      </w:r>
    </w:p>
    <w:p w14:paraId="66151261" w14:textId="77777777" w:rsidR="00625A5B" w:rsidRPr="008F03E5" w:rsidRDefault="00625A5B" w:rsidP="00224E22">
      <w:pPr>
        <w:pStyle w:val="Translit"/>
      </w:pPr>
      <w:r w:rsidRPr="008F03E5">
        <w:t>Marfu’</w:t>
      </w:r>
      <w:r w:rsidRPr="008F03E5">
        <w:tab/>
        <w:t>Marfú‘</w:t>
      </w:r>
      <w:r w:rsidRPr="008F03E5">
        <w:tab/>
        <w:t>traceable in ascending order of traditions to Muḥammad (Prophetic tradition); (grammar) in the nominative or indicative, respectively.  See fá‘il, maf‘úl and manṣúb</w:t>
      </w:r>
    </w:p>
    <w:p w14:paraId="516F02A8" w14:textId="77777777" w:rsidR="00625A5B" w:rsidRPr="008F03E5" w:rsidRDefault="00625A5B" w:rsidP="002333EC">
      <w:pPr>
        <w:pStyle w:val="Translit"/>
      </w:pPr>
      <w:r w:rsidRPr="008F03E5">
        <w:t>Marhab, Marhaba</w:t>
      </w:r>
      <w:r w:rsidRPr="008F03E5">
        <w:tab/>
        <w:t>Marḥab, fem. Marḥab[h or t]</w:t>
      </w:r>
      <w:r w:rsidRPr="008F03E5">
        <w:tab/>
        <w:t>amplitude, largeness; spacious, wide; fem. “you are welcome!”</w:t>
      </w:r>
    </w:p>
    <w:p w14:paraId="2AC5C4B1" w14:textId="77777777" w:rsidR="00625A5B" w:rsidRPr="008F03E5" w:rsidRDefault="00625A5B" w:rsidP="00786DD0">
      <w:pPr>
        <w:pStyle w:val="Translit"/>
      </w:pPr>
      <w:r w:rsidRPr="008F03E5">
        <w:t>Marhaba, Marhaba-an</w:t>
      </w:r>
      <w:r w:rsidRPr="008F03E5">
        <w:tab/>
        <w:t>Marḥabá, Marḥab-an</w:t>
      </w:r>
      <w:r w:rsidRPr="008F03E5">
        <w:tab/>
        <w:t>make yourself at ease!  Welcome, may your arrival be happy!  God bless you!  Well done!</w:t>
      </w:r>
    </w:p>
    <w:p w14:paraId="00179618" w14:textId="77777777" w:rsidR="00625A5B" w:rsidRPr="008F03E5" w:rsidRDefault="00625A5B" w:rsidP="00886CD0">
      <w:pPr>
        <w:pStyle w:val="Translit"/>
      </w:pPr>
      <w:r w:rsidRPr="008F03E5">
        <w:t>Mariah</w:t>
      </w:r>
      <w:r w:rsidRPr="008F03E5">
        <w:tab/>
        <w:t>Máríah</w:t>
      </w:r>
      <w:r w:rsidRPr="008F03E5">
        <w:tab/>
        <w:t>Mary</w:t>
      </w:r>
    </w:p>
    <w:p w14:paraId="23E5B764" w14:textId="77777777" w:rsidR="00625A5B" w:rsidRPr="008F03E5" w:rsidRDefault="00625A5B" w:rsidP="00C40607">
      <w:pPr>
        <w:pStyle w:val="Translit"/>
      </w:pPr>
      <w:r w:rsidRPr="008F03E5">
        <w:t>Marj, Muruj</w:t>
      </w:r>
      <w:r w:rsidRPr="008F03E5">
        <w:tab/>
        <w:t>Marj, pl. Murúj</w:t>
      </w:r>
      <w:r w:rsidRPr="008F03E5">
        <w:tab/>
        <w:t>grass-covered steppe; pasture land; meadow; sending to pasture, allowing (cattle) to feed at liberty; mixing; permitting (the seas) to flow and mingle together (God); disturbance, mixture, confusion</w:t>
      </w:r>
    </w:p>
    <w:p w14:paraId="3EB9324C" w14:textId="77777777" w:rsidR="00625A5B" w:rsidRPr="008F03E5" w:rsidRDefault="00625A5B" w:rsidP="00E56053">
      <w:pPr>
        <w:pStyle w:val="Translit"/>
      </w:pPr>
      <w:r w:rsidRPr="008F03E5">
        <w:t>Marja’</w:t>
      </w:r>
      <w:r w:rsidRPr="008F03E5">
        <w:tab/>
        <w:t>Marja‘</w:t>
      </w:r>
      <w:r w:rsidRPr="008F03E5">
        <w:tab/>
        <w:t>bringing back, restoring; return; time or place of return; a rendezvous, place of reference, refuge; a goal; (in grammar) antecedent; repetition; ultimate object</w:t>
      </w:r>
    </w:p>
    <w:p w14:paraId="61CB7336" w14:textId="77777777" w:rsidR="00625A5B" w:rsidRPr="008F03E5" w:rsidRDefault="00625A5B" w:rsidP="00B52468">
      <w:pPr>
        <w:pStyle w:val="Translit"/>
      </w:pPr>
      <w:r w:rsidRPr="008F03E5">
        <w:t>Marja’u’t-Taqlid</w:t>
      </w:r>
      <w:r w:rsidRPr="008F03E5">
        <w:tab/>
        <w:t>Marja‘u’t-Taqlíd</w:t>
      </w:r>
      <w:r w:rsidRPr="008F03E5">
        <w:tab/>
        <w:t>lit. reference point for emulation.  Un-elided forms:  Marja‘ at-taqlíd (Pers. Marja‘-i-taqlíd).  One who through his learning and probity is qualified to be followed in all points of religious practice and law by the generality of Shi’is.</w:t>
      </w:r>
    </w:p>
    <w:p w14:paraId="550FC425" w14:textId="77777777" w:rsidR="00625A5B" w:rsidRPr="008F03E5" w:rsidRDefault="00625A5B" w:rsidP="005A5F52">
      <w:pPr>
        <w:pStyle w:val="Translit"/>
      </w:pPr>
      <w:r w:rsidRPr="00077779">
        <w:rPr>
          <w:lang w:val="es-ES_tradnl"/>
        </w:rPr>
        <w:t>Marjan, Murjan, Marjana</w:t>
      </w:r>
      <w:r w:rsidRPr="00077779">
        <w:rPr>
          <w:lang w:val="es-ES_tradnl"/>
        </w:rPr>
        <w:tab/>
        <w:t>Marján, Murján, fem. Marjána[h or t]</w:t>
      </w:r>
      <w:r w:rsidRPr="00077779">
        <w:rPr>
          <w:lang w:val="es-ES_tradnl"/>
        </w:rPr>
        <w:tab/>
        <w:t xml:space="preserve">(collective; nomen unitatis </w:t>
      </w:r>
      <w:r w:rsidRPr="008F03E5">
        <w:rPr>
          <w:rtl/>
        </w:rPr>
        <w:t>ة</w:t>
      </w:r>
      <w:r w:rsidRPr="00077779">
        <w:rPr>
          <w:lang w:val="es-ES_tradnl"/>
        </w:rPr>
        <w:t xml:space="preserve">) small pearls; corals.  Qur’án 55:22 contains the words lu’lu’ and maján, which are often translated as “pearls, both great and small” rather than as “pearls and coral”.  </w:t>
      </w:r>
      <w:r w:rsidRPr="008F03E5">
        <w:t>This is preceded by Qur’án 55:19 where “two seas” meet—it is assumed one is salty and the other fresh.  Although there are freshwater pearls, there are no freshwater corals.  These terms must be symbolic, as confirmed by the following:  “</w:t>
      </w:r>
      <w:r w:rsidRPr="008F03E5">
        <w:rPr>
          <w:i/>
          <w:iCs/>
        </w:rPr>
        <w:t>Happiness is the surging ocean in the depths of which the diver finds the pearls of resignation and the corals of renunciation</w:t>
      </w:r>
      <w:r w:rsidRPr="008F03E5">
        <w:t xml:space="preserve">.”  ‘Abdu’l-Bahá in </w:t>
      </w:r>
      <w:r w:rsidRPr="008F03E5">
        <w:rPr>
          <w:i/>
          <w:iCs/>
        </w:rPr>
        <w:t>Star of the West</w:t>
      </w:r>
      <w:r w:rsidRPr="008F03E5">
        <w:t>, vol. XIII, no. 6, p. 153, September 1922.  Persian meaning includes:  Pers. life, soul; a step-son; a robust man.  Marjánih was the mother of ‘Ubayd Alláh ibn Ziyád.</w:t>
      </w:r>
    </w:p>
    <w:p w14:paraId="58E49E00" w14:textId="77777777" w:rsidR="00625A5B" w:rsidRPr="008F03E5" w:rsidRDefault="00625A5B" w:rsidP="00604B0B">
      <w:pPr>
        <w:pStyle w:val="Translit"/>
      </w:pPr>
      <w:r w:rsidRPr="008F03E5">
        <w:t>Marji, Maraji</w:t>
      </w:r>
      <w:r w:rsidRPr="008F03E5">
        <w:tab/>
        <w:t>Marji‘, pl. Maráji‘</w:t>
      </w:r>
      <w:r w:rsidRPr="008F03E5">
        <w:tab/>
        <w:t>return; authority to which one turns or appeals; place of refuge, retreat; recourse resort; authority, responsible agency; source (esp. scientific), authoritative reference work; resource; starting point, origin; recourse</w:t>
      </w:r>
    </w:p>
    <w:p w14:paraId="558E48AE" w14:textId="77777777" w:rsidR="00625A5B" w:rsidRPr="008F03E5" w:rsidRDefault="00625A5B" w:rsidP="002B2994">
      <w:pPr>
        <w:pStyle w:val="Translit"/>
      </w:pPr>
      <w:r w:rsidRPr="008F03E5">
        <w:t>Marji’ at-Taqlid or Marji ad-Dini</w:t>
      </w:r>
      <w:r w:rsidRPr="008F03E5">
        <w:tab/>
        <w:t>Marji‘ at-Taqlíd or Marji‘ ad-Díní</w:t>
      </w:r>
      <w:r w:rsidRPr="008F03E5">
        <w:tab/>
        <w:t xml:space="preserve">“source to follow” or “religious reference”, is a title given to the highest level of </w:t>
      </w:r>
      <w:r w:rsidRPr="008F03E5">
        <w:rPr>
          <w:rFonts w:eastAsia="PMingLiU"/>
          <w:lang w:eastAsia="zh-TW"/>
        </w:rPr>
        <w:t>U</w:t>
      </w:r>
      <w:r w:rsidRPr="008F03E5">
        <w:t>ṣ</w:t>
      </w:r>
      <w:r w:rsidRPr="008F03E5">
        <w:rPr>
          <w:rFonts w:eastAsia="PMingLiU"/>
          <w:lang w:eastAsia="zh-TW"/>
        </w:rPr>
        <w:t>úlí</w:t>
      </w:r>
      <w:r w:rsidRPr="008F03E5">
        <w:t xml:space="preserve"> </w:t>
      </w:r>
      <w:r w:rsidRPr="008F03E5">
        <w:rPr>
          <w:u w:val="single"/>
        </w:rPr>
        <w:t>Sh</w:t>
      </w:r>
      <w:r w:rsidRPr="008F03E5">
        <w:t>í</w:t>
      </w:r>
      <w:r w:rsidRPr="008F03E5">
        <w:rPr>
          <w:rFonts w:eastAsia="PMingLiU"/>
          <w:lang w:eastAsia="zh-TW"/>
        </w:rPr>
        <w:t>‘a</w:t>
      </w:r>
      <w:r w:rsidRPr="008F03E5">
        <w:t xml:space="preserve"> authority, a Grand Ayatollah (‘Áyatu’lláh al-‘Uẓmá) with the authority given by a hawzah (ḥawzah ‘ilmíyah) to make legal decisions within the confines of Islamic law for followers and lower-ranking clerics</w:t>
      </w:r>
    </w:p>
    <w:p w14:paraId="4E871D84" w14:textId="77777777" w:rsidR="00625A5B" w:rsidRPr="008F03E5" w:rsidRDefault="00625A5B" w:rsidP="002B2994">
      <w:pPr>
        <w:pStyle w:val="Translit"/>
      </w:pPr>
      <w:r w:rsidRPr="008F03E5">
        <w:t>Marji’, Maraji’</w:t>
      </w:r>
      <w:r w:rsidRPr="008F03E5">
        <w:tab/>
        <w:t>Marji‘, pl. Maráji‘</w:t>
      </w:r>
      <w:r w:rsidRPr="008F03E5">
        <w:tab/>
        <w:t>return; authority to which one turns or appeals; place of refuge, retreat; recourse resort; authority, responsible agency; source (especially scientific), authoritative reference work; resource; source to which something goes back or to which something can be attributed; starting point, origin; recourse (jurispudence)</w:t>
      </w:r>
    </w:p>
    <w:p w14:paraId="308436C8" w14:textId="77777777" w:rsidR="00625A5B" w:rsidRPr="008F03E5" w:rsidRDefault="00625A5B" w:rsidP="00596C56">
      <w:pPr>
        <w:pStyle w:val="Translit"/>
      </w:pPr>
      <w:r w:rsidRPr="00077779">
        <w:rPr>
          <w:lang w:val="en-AU"/>
        </w:rPr>
        <w:t>Markaz al-‘Ahd, Markaz-i-‘Ahd</w:t>
      </w:r>
      <w:r w:rsidRPr="00077779">
        <w:rPr>
          <w:lang w:val="en-AU"/>
        </w:rPr>
        <w:tab/>
        <w:t xml:space="preserve">Markaz al-‘Ahd, Pers. </w:t>
      </w:r>
      <w:r w:rsidRPr="008F03E5">
        <w:t>Markaz-i-‘Ahd</w:t>
      </w:r>
      <w:r w:rsidRPr="008F03E5">
        <w:tab/>
        <w:t>“The Centre of the Covenant”, ‘Abdu’l-Bahá</w:t>
      </w:r>
    </w:p>
    <w:p w14:paraId="5B366AB9" w14:textId="77777777" w:rsidR="00625A5B" w:rsidRPr="00FF3745" w:rsidRDefault="00625A5B" w:rsidP="00D76226">
      <w:pPr>
        <w:pStyle w:val="Translit"/>
      </w:pPr>
      <w:r w:rsidRPr="00FF3745">
        <w:t>Markaz Mithaq</w:t>
      </w:r>
      <w:r>
        <w:t>ihi</w:t>
      </w:r>
      <w:r w:rsidRPr="00FF3745">
        <w:t>, Markaz-i-Mithaq</w:t>
      </w:r>
      <w:r>
        <w:t>ihi</w:t>
      </w:r>
      <w:r w:rsidRPr="00FF3745">
        <w:tab/>
        <w:t>Markaz</w:t>
      </w:r>
      <w:r>
        <w:t xml:space="preserve"> </w:t>
      </w:r>
      <w:r w:rsidRPr="00FF3745">
        <w:t>Mí</w:t>
      </w:r>
      <w:r w:rsidRPr="00FF3745">
        <w:rPr>
          <w:u w:val="single"/>
        </w:rPr>
        <w:t>th</w:t>
      </w:r>
      <w:r w:rsidRPr="00FF3745">
        <w:t>áq</w:t>
      </w:r>
      <w:r>
        <w:t>ihi</w:t>
      </w:r>
      <w:r>
        <w:tab/>
        <w:t xml:space="preserve">(Pers. </w:t>
      </w:r>
      <w:r w:rsidRPr="00FF3745">
        <w:t>Markaz-i-Mí</w:t>
      </w:r>
      <w:r w:rsidRPr="00FF3745">
        <w:rPr>
          <w:u w:val="single"/>
        </w:rPr>
        <w:t>th</w:t>
      </w:r>
      <w:r w:rsidRPr="00FF3745">
        <w:t>áq</w:t>
      </w:r>
      <w:r>
        <w:t>ihi), “Centre of His Covenant”.  ‘Abdu’l-Bahá was appointed as the Centre of the Covenant of Bahá’u’lláh with men.</w:t>
      </w:r>
    </w:p>
    <w:p w14:paraId="51A933C4" w14:textId="77777777" w:rsidR="00625A5B" w:rsidRPr="008F03E5" w:rsidRDefault="00625A5B" w:rsidP="00716505">
      <w:pPr>
        <w:pStyle w:val="Translit"/>
        <w:rPr>
          <w:rFonts w:eastAsia="PMingLiU"/>
          <w:lang w:eastAsia="zh-TW"/>
        </w:rPr>
      </w:pPr>
      <w:r w:rsidRPr="008F03E5">
        <w:rPr>
          <w:rFonts w:eastAsia="PMingLiU"/>
          <w:lang w:eastAsia="zh-TW"/>
        </w:rPr>
        <w:t>Markaz, Marakiz</w:t>
      </w:r>
      <w:r w:rsidRPr="008F03E5">
        <w:rPr>
          <w:rFonts w:eastAsia="PMingLiU"/>
          <w:lang w:eastAsia="zh-TW"/>
        </w:rPr>
        <w:tab/>
        <w:t>Markaz, pl. Marákiz</w:t>
      </w:r>
      <w:r w:rsidRPr="008F03E5">
        <w:rPr>
          <w:rFonts w:eastAsia="PMingLiU"/>
          <w:lang w:eastAsia="zh-TW"/>
        </w:rPr>
        <w:tab/>
        <w:t>foothold; stand, station; place where someone is posted or stationed; post; (police, etc.) station; office, branch office (commerce); locality where something takes place, scene, site, seat; position (military); headquarters; main office, central office; central exchange (telephone)</w:t>
      </w:r>
    </w:p>
    <w:p w14:paraId="6333CA01" w14:textId="77777777" w:rsidR="00625A5B" w:rsidRPr="008F03E5" w:rsidRDefault="00625A5B" w:rsidP="00986ED5">
      <w:pPr>
        <w:pStyle w:val="Translit"/>
        <w:rPr>
          <w:rFonts w:eastAsia="PMingLiU"/>
          <w:lang w:eastAsia="zh-TW"/>
        </w:rPr>
      </w:pPr>
      <w:r w:rsidRPr="008F03E5">
        <w:rPr>
          <w:rFonts w:eastAsia="PMingLiU"/>
          <w:lang w:eastAsia="zh-TW"/>
        </w:rPr>
        <w:t>Markazi</w:t>
      </w:r>
      <w:r w:rsidRPr="008F03E5">
        <w:tab/>
      </w:r>
      <w:r w:rsidRPr="008F03E5">
        <w:rPr>
          <w:rFonts w:eastAsia="PMingLiU"/>
          <w:lang w:eastAsia="zh-TW"/>
        </w:rPr>
        <w:t>Markazí</w:t>
      </w:r>
      <w:r w:rsidRPr="008F03E5">
        <w:tab/>
        <w:t xml:space="preserve">central; district (used attributively).  </w:t>
      </w:r>
      <w:r w:rsidRPr="008F03E5">
        <w:rPr>
          <w:rFonts w:eastAsia="PMingLiU"/>
          <w:lang w:eastAsia="zh-TW"/>
        </w:rPr>
        <w:t>Ra</w:t>
      </w:r>
      <w:r w:rsidRPr="008F03E5">
        <w:t>ḍ</w:t>
      </w:r>
      <w:r w:rsidRPr="008F03E5">
        <w:rPr>
          <w:rFonts w:eastAsia="PMingLiU"/>
          <w:lang w:eastAsia="zh-TW"/>
        </w:rPr>
        <w:t xml:space="preserve">awí </w:t>
      </w:r>
      <w:r w:rsidRPr="008F03E5">
        <w:rPr>
          <w:u w:val="single"/>
        </w:rPr>
        <w:t>Kh</w:t>
      </w:r>
      <w:r w:rsidRPr="008F03E5">
        <w:t>urásán</w:t>
      </w:r>
      <w:r>
        <w:t xml:space="preserve"> or </w:t>
      </w:r>
      <w:r w:rsidRPr="008F03E5">
        <w:rPr>
          <w:rFonts w:eastAsia="PMingLiU"/>
          <w:lang w:eastAsia="zh-TW"/>
        </w:rPr>
        <w:t xml:space="preserve">Markazí </w:t>
      </w:r>
      <w:r w:rsidRPr="008F03E5">
        <w:rPr>
          <w:u w:val="single"/>
        </w:rPr>
        <w:t>Kh</w:t>
      </w:r>
      <w:r w:rsidRPr="008F03E5">
        <w:t>urásán</w:t>
      </w:r>
      <w:r>
        <w:t>, a</w:t>
      </w:r>
      <w:r w:rsidRPr="008F03E5">
        <w:t xml:space="preserve"> province in Iran.</w:t>
      </w:r>
    </w:p>
    <w:p w14:paraId="54D98677" w14:textId="77777777" w:rsidR="00625A5B" w:rsidRPr="008F03E5" w:rsidRDefault="00625A5B" w:rsidP="00FA5D2C">
      <w:pPr>
        <w:pStyle w:val="Translit"/>
      </w:pPr>
      <w:r w:rsidRPr="008F03E5">
        <w:t>Markaz-i-Athar</w:t>
      </w:r>
      <w:r w:rsidRPr="008F03E5">
        <w:tab/>
        <w:t>Markaz-i-Á</w:t>
      </w:r>
      <w:r w:rsidRPr="008F03E5">
        <w:rPr>
          <w:u w:val="single"/>
        </w:rPr>
        <w:t>th</w:t>
      </w:r>
      <w:r w:rsidRPr="008F03E5">
        <w:t>ár</w:t>
      </w:r>
      <w:r w:rsidRPr="008F03E5">
        <w:tab/>
        <w:t>the centre of relics, the Archives</w:t>
      </w:r>
    </w:p>
    <w:p w14:paraId="380877F8" w14:textId="77777777" w:rsidR="00625A5B" w:rsidRPr="000D6C30" w:rsidRDefault="00625A5B" w:rsidP="00C43D16">
      <w:pPr>
        <w:pStyle w:val="Translit"/>
        <w:rPr>
          <w:lang w:val="es-ES_tradnl"/>
        </w:rPr>
      </w:pPr>
      <w:r w:rsidRPr="000D6C30">
        <w:rPr>
          <w:lang w:val="es-ES_tradnl"/>
        </w:rPr>
        <w:t>Martaba al-Jami’</w:t>
      </w:r>
      <w:r w:rsidRPr="000D6C30">
        <w:rPr>
          <w:lang w:val="es-ES_tradnl"/>
        </w:rPr>
        <w:tab/>
        <w:t>Martaba[t] al-Jámi‘</w:t>
      </w:r>
      <w:r w:rsidRPr="000D6C30">
        <w:rPr>
          <w:lang w:val="es-ES_tradnl"/>
        </w:rPr>
        <w:tab/>
        <w:t>the comprehensive stage</w:t>
      </w:r>
    </w:p>
    <w:p w14:paraId="37EF3EC9" w14:textId="77777777" w:rsidR="00625A5B" w:rsidRPr="008F03E5" w:rsidRDefault="00625A5B" w:rsidP="00034FD3">
      <w:pPr>
        <w:pStyle w:val="Translit"/>
      </w:pPr>
      <w:r w:rsidRPr="000D6C30">
        <w:rPr>
          <w:lang w:val="es-ES_tradnl"/>
        </w:rPr>
        <w:t>Martaba, Maratib</w:t>
      </w:r>
      <w:r w:rsidRPr="000D6C30">
        <w:rPr>
          <w:lang w:val="es-ES_tradnl"/>
        </w:rPr>
        <w:tab/>
        <w:t xml:space="preserve">Martaba[t], pl. </w:t>
      </w:r>
      <w:r w:rsidRPr="008F03E5">
        <w:t>Marátib</w:t>
      </w:r>
      <w:r w:rsidRPr="008F03E5">
        <w:tab/>
        <w:t>step, stage; a step-like elevation serving as a seat; mattress; grade, degree, rank, class</w:t>
      </w:r>
    </w:p>
    <w:p w14:paraId="704868C1" w14:textId="77777777" w:rsidR="00625A5B" w:rsidRPr="008F03E5" w:rsidRDefault="00625A5B" w:rsidP="004E2435">
      <w:pPr>
        <w:pStyle w:val="Translit"/>
      </w:pPr>
      <w:r w:rsidRPr="008F03E5">
        <w:t>Marthiya, Martha’, Maratin</w:t>
      </w:r>
      <w:r w:rsidRPr="008F03E5">
        <w:tab/>
        <w:t>Mar</w:t>
      </w:r>
      <w:r w:rsidRPr="008F03E5">
        <w:rPr>
          <w:u w:val="single"/>
        </w:rPr>
        <w:t>th</w:t>
      </w:r>
      <w:r w:rsidRPr="008F03E5">
        <w:t>iya[h], Mar</w:t>
      </w:r>
      <w:r w:rsidRPr="008F03E5">
        <w:rPr>
          <w:u w:val="single"/>
        </w:rPr>
        <w:t>th</w:t>
      </w:r>
      <w:r w:rsidRPr="008F03E5">
        <w:t>á’, pl. Mará</w:t>
      </w:r>
      <w:r w:rsidRPr="008F03E5">
        <w:rPr>
          <w:u w:val="single"/>
        </w:rPr>
        <w:t>th</w:t>
      </w:r>
      <w:r w:rsidRPr="008F03E5">
        <w:t>in</w:t>
      </w:r>
      <w:r w:rsidRPr="008F03E5">
        <w:tab/>
        <w:t>elegy, dirge, epicedium;—pl. funeral orations.  Pers. singular also Mar</w:t>
      </w:r>
      <w:r w:rsidRPr="008F03E5">
        <w:rPr>
          <w:u w:val="single"/>
        </w:rPr>
        <w:t>th</w:t>
      </w:r>
      <w:r w:rsidRPr="008F03E5">
        <w:t>iyyih</w:t>
      </w:r>
    </w:p>
    <w:p w14:paraId="24E795BF" w14:textId="77777777" w:rsidR="00625A5B" w:rsidRPr="008F03E5" w:rsidRDefault="00625A5B" w:rsidP="00953609">
      <w:pPr>
        <w:pStyle w:val="Translit"/>
      </w:pPr>
      <w:r w:rsidRPr="008F03E5">
        <w:t>Marut</w:t>
      </w:r>
      <w:r w:rsidRPr="008F03E5">
        <w:tab/>
        <w:t>Márút</w:t>
      </w:r>
      <w:r w:rsidRPr="008F03E5">
        <w:tab/>
        <w:t>great; name of a king; name of an angel, and companion of Hárút (Qur’án 2:102).  See Hárút</w:t>
      </w:r>
    </w:p>
    <w:p w14:paraId="63688DF0" w14:textId="77777777" w:rsidR="00625A5B" w:rsidRPr="008F03E5" w:rsidRDefault="00625A5B" w:rsidP="00900A82">
      <w:pPr>
        <w:pStyle w:val="Translit"/>
      </w:pPr>
      <w:r w:rsidRPr="008F03E5">
        <w:t>Marvdasht</w:t>
      </w:r>
      <w:r w:rsidRPr="008F03E5">
        <w:tab/>
        <w:t>Marvda</w:t>
      </w:r>
      <w:r w:rsidRPr="008F03E5">
        <w:rPr>
          <w:u w:val="single"/>
        </w:rPr>
        <w:t>sh</w:t>
      </w:r>
      <w:r w:rsidRPr="008F03E5">
        <w:t>t</w:t>
      </w:r>
      <w:r w:rsidRPr="008F03E5">
        <w:tab/>
        <w:t>town in Írán</w:t>
      </w:r>
    </w:p>
    <w:p w14:paraId="3D1A09F4" w14:textId="77777777" w:rsidR="00625A5B" w:rsidRPr="008F03E5" w:rsidRDefault="00625A5B" w:rsidP="006B6775">
      <w:pPr>
        <w:pStyle w:val="Translit"/>
      </w:pPr>
      <w:r w:rsidRPr="008F03E5">
        <w:t>Marw, Marv</w:t>
      </w:r>
      <w:r w:rsidRPr="008F03E5">
        <w:tab/>
        <w:t>Marw, Pers. Marv</w:t>
      </w:r>
      <w:r w:rsidRPr="008F03E5">
        <w:tab/>
        <w:t>Merv (37.666001, 62.174061), located near Mary, Turkenistan</w:t>
      </w:r>
    </w:p>
    <w:p w14:paraId="2AFCA059" w14:textId="77777777" w:rsidR="00625A5B" w:rsidRPr="008F03E5" w:rsidRDefault="00625A5B" w:rsidP="00DB72FE">
      <w:pPr>
        <w:pStyle w:val="Translit"/>
      </w:pPr>
      <w:r w:rsidRPr="008F03E5">
        <w:t>Marwa</w:t>
      </w:r>
      <w:r w:rsidRPr="008F03E5">
        <w:tab/>
        <w:t>Marwa[h or t]</w:t>
      </w:r>
      <w:r w:rsidRPr="008F03E5">
        <w:tab/>
        <w:t>a flint-stone.  al-Marwah is a small rock outcrop with flints in Mecca, which Muslims believe to be the biblical Moriah where Abraham went to sacrifice Ishmael (according to most Muslims, this is confirmed by Bahá’u’lláh).  Biblical Moriah is associaated with Mount Gerizim (near Nablus) or the Jerusalem Upper Eastern Hill (“Temple Mount”, Mt. Zion #2).  See Ṣahyún.</w:t>
      </w:r>
    </w:p>
    <w:p w14:paraId="38A02D7B" w14:textId="77777777" w:rsidR="00625A5B" w:rsidRPr="008F03E5" w:rsidRDefault="00625A5B" w:rsidP="00E42D04">
      <w:pPr>
        <w:pStyle w:val="Translit"/>
      </w:pPr>
      <w:r w:rsidRPr="008F03E5">
        <w:t>Marwan (Maruan), Marvan</w:t>
      </w:r>
      <w:r w:rsidRPr="008F03E5">
        <w:tab/>
        <w:t>Marwán, Pers. also Marván</w:t>
      </w:r>
      <w:r w:rsidRPr="008F03E5">
        <w:tab/>
        <w:t>stone from al-Marwah used to make fire in ancient times. Also it means a very strong lion and leader.  Name of 4th and 14th Umayyad Caliphs</w:t>
      </w:r>
    </w:p>
    <w:p w14:paraId="73FD9588" w14:textId="77777777" w:rsidR="00625A5B" w:rsidRPr="008F03E5" w:rsidRDefault="00625A5B" w:rsidP="002121E6">
      <w:pPr>
        <w:pStyle w:val="Translit"/>
      </w:pPr>
      <w:r w:rsidRPr="008F03E5">
        <w:t>Marwanid</w:t>
      </w:r>
      <w:r w:rsidRPr="008F03E5">
        <w:tab/>
        <w:t>Marwánid</w:t>
      </w:r>
      <w:r w:rsidRPr="008F03E5">
        <w:tab/>
        <w:t xml:space="preserve">Marwanids (990–1085) were a Kurdish Muslim dynasty in the Diyar Bakr region of Upper Mesopotamia (present day northern Iraq and </w:t>
      </w:r>
      <w:r w:rsidRPr="00417520">
        <w:rPr>
          <w:sz w:val="16"/>
          <w:szCs w:val="16"/>
        </w:rPr>
        <w:t>SE</w:t>
      </w:r>
      <w:r w:rsidRPr="008F03E5">
        <w:t xml:space="preserve"> Türkiye) and Armenia</w:t>
      </w:r>
    </w:p>
    <w:p w14:paraId="625E780B" w14:textId="77777777" w:rsidR="00625A5B" w:rsidRPr="008F03E5" w:rsidRDefault="00625A5B" w:rsidP="00856199">
      <w:pPr>
        <w:pStyle w:val="Translit"/>
      </w:pPr>
      <w:r w:rsidRPr="008F03E5">
        <w:t>Maryam</w:t>
      </w:r>
      <w:r w:rsidRPr="008F03E5">
        <w:tab/>
        <w:t>Maryam</w:t>
      </w:r>
      <w:r w:rsidRPr="008F03E5">
        <w:tab/>
        <w:t>Mary, Maria.  Maryam, Bahá’u’lláh’s cousin, sister-in-law, friend, and faithful follower</w:t>
      </w:r>
    </w:p>
    <w:p w14:paraId="5D301E94" w14:textId="77777777" w:rsidR="00625A5B" w:rsidRPr="008F03E5" w:rsidRDefault="00625A5B" w:rsidP="007662B3">
      <w:pPr>
        <w:pStyle w:val="Translit"/>
      </w:pPr>
      <w:r w:rsidRPr="008F03E5">
        <w:t>Maryam-Abad (Maryamabad)</w:t>
      </w:r>
      <w:r w:rsidRPr="008F03E5">
        <w:tab/>
        <w:t>Maryam-Ábád</w:t>
      </w:r>
      <w:r w:rsidRPr="008F03E5">
        <w:tab/>
        <w:t xml:space="preserve">Pers. a small village (31.141625, 53.242450) in Yazd Province, 180 km NNE of </w:t>
      </w:r>
      <w:r w:rsidRPr="008F03E5">
        <w:rPr>
          <w:u w:val="single"/>
        </w:rPr>
        <w:t>Sh</w:t>
      </w:r>
      <w:r w:rsidRPr="008F03E5">
        <w:t>íráz</w:t>
      </w:r>
    </w:p>
    <w:p w14:paraId="1A11F2C7" w14:textId="77777777" w:rsidR="00625A5B" w:rsidRPr="008F03E5" w:rsidRDefault="00625A5B" w:rsidP="00765A02">
      <w:pPr>
        <w:pStyle w:val="Translit"/>
      </w:pPr>
      <w:r w:rsidRPr="001457C8">
        <w:rPr>
          <w:lang w:val="fr-FR"/>
        </w:rPr>
        <w:t>Mas’ala, Masa’il</w:t>
      </w:r>
      <w:r w:rsidRPr="001457C8">
        <w:rPr>
          <w:lang w:val="fr-FR"/>
        </w:rPr>
        <w:tab/>
        <w:t xml:space="preserve">Masa’ala[h or t], pl. </w:t>
      </w:r>
      <w:r w:rsidRPr="008F03E5">
        <w:t>Masá’il</w:t>
      </w:r>
      <w:r w:rsidRPr="008F03E5">
        <w:tab/>
        <w:t>question; issue, problem; matter, affair, case; request</w:t>
      </w:r>
    </w:p>
    <w:p w14:paraId="3D9B7C0F" w14:textId="77777777" w:rsidR="00625A5B" w:rsidRPr="008F03E5" w:rsidRDefault="00625A5B" w:rsidP="009D2A5B">
      <w:pPr>
        <w:pStyle w:val="Translit"/>
      </w:pPr>
      <w:r w:rsidRPr="008F03E5">
        <w:t>Mas’ud Mirza</w:t>
      </w:r>
      <w:r w:rsidRPr="008F03E5">
        <w:tab/>
        <w:t>Mas‘úd Mírzá</w:t>
      </w:r>
      <w:r w:rsidRPr="008F03E5">
        <w:tab/>
        <w:t xml:space="preserve">(1850–1918), eldest son of Náṣir ad-Dín </w:t>
      </w:r>
      <w:r w:rsidRPr="008F03E5">
        <w:rPr>
          <w:u w:val="single"/>
        </w:rPr>
        <w:t>Sh</w:t>
      </w:r>
      <w:r w:rsidRPr="008F03E5">
        <w:t>áh, but not the crown prince since his mother was a concubine.  He was known as Yamín-a</w:t>
      </w:r>
      <w:r>
        <w:t>d</w:t>
      </w:r>
      <w:r w:rsidRPr="008F03E5">
        <w:t>-Dawla and as Ẓillu’s-Sulṭán, but Bahá’u’lláh referred to him as the Infernal Tree (Zaqqúm).</w:t>
      </w:r>
    </w:p>
    <w:p w14:paraId="10F31508" w14:textId="77777777" w:rsidR="00625A5B" w:rsidRPr="008F03E5" w:rsidRDefault="00625A5B" w:rsidP="003F415C">
      <w:pPr>
        <w:pStyle w:val="Translit"/>
      </w:pPr>
      <w:r w:rsidRPr="00077779">
        <w:rPr>
          <w:lang w:val="es-ES_tradnl"/>
        </w:rPr>
        <w:t>Mas’ud, Masa’id</w:t>
      </w:r>
      <w:r w:rsidRPr="00077779">
        <w:rPr>
          <w:lang w:val="es-ES_tradnl"/>
        </w:rPr>
        <w:tab/>
        <w:t xml:space="preserve">Mas‘úd, pl. </w:t>
      </w:r>
      <w:r w:rsidRPr="008F03E5">
        <w:t>Masá‘íd</w:t>
      </w:r>
      <w:r w:rsidRPr="008F03E5">
        <w:tab/>
        <w:t>happy, lucky, fortunate, prosperous, blessed; favourable; august; a proper name</w:t>
      </w:r>
    </w:p>
    <w:p w14:paraId="587A959E" w14:textId="77777777" w:rsidR="00625A5B" w:rsidRPr="008F03E5" w:rsidRDefault="00625A5B" w:rsidP="008F6DA8">
      <w:pPr>
        <w:pStyle w:val="Translit"/>
      </w:pPr>
      <w:r w:rsidRPr="008F03E5">
        <w:t>Mas’udi</w:t>
      </w:r>
      <w:r w:rsidRPr="008F03E5">
        <w:tab/>
        <w:t>Mas‘údí</w:t>
      </w:r>
      <w:r w:rsidRPr="008F03E5">
        <w:tab/>
        <w:t xml:space="preserve">happiness, prosperity.  Abú al-Ḥasan ‘Alí ibn al-Ḥusayn ibn ‘Alí al-Mas‘údí (c. 896–956) was an Arab historian, geographer and traveller.  al-Mas‘údí was one of the first to combine history and scientific geography in a large-scale work, </w:t>
      </w:r>
      <w:r w:rsidRPr="008F03E5">
        <w:rPr>
          <w:i/>
          <w:iCs/>
        </w:rPr>
        <w:t>The Meadows of Gold and Mines of Gems</w:t>
      </w:r>
      <w:r w:rsidRPr="008F03E5">
        <w:t xml:space="preserve"> (Murúj a</w:t>
      </w:r>
      <w:r w:rsidRPr="008F03E5">
        <w:rPr>
          <w:u w:val="single"/>
        </w:rPr>
        <w:t>dh</w:t>
      </w:r>
      <w:r w:rsidRPr="008F03E5">
        <w:t>-</w:t>
      </w:r>
      <w:r w:rsidRPr="008F03E5">
        <w:rPr>
          <w:u w:val="single"/>
        </w:rPr>
        <w:t>Dh</w:t>
      </w:r>
      <w:r w:rsidRPr="008F03E5">
        <w:t>ahab wa Ma‘ádin al-Jawhar), is an historical account in Arabic of the beginning of the world starting with Adam and Eve up to and through the late Abbasid Caliphate.</w:t>
      </w:r>
    </w:p>
    <w:p w14:paraId="71CAB3B3" w14:textId="77777777" w:rsidR="00625A5B" w:rsidRPr="00077779" w:rsidRDefault="00625A5B" w:rsidP="00900A82">
      <w:pPr>
        <w:pStyle w:val="Translit"/>
      </w:pPr>
      <w:r w:rsidRPr="00077779">
        <w:t>Mas’ud-Kaldih</w:t>
      </w:r>
      <w:r w:rsidRPr="00077779">
        <w:tab/>
        <w:t>Mas‘úd-Kaldih</w:t>
      </w:r>
      <w:r w:rsidRPr="00077779">
        <w:tab/>
      </w:r>
    </w:p>
    <w:p w14:paraId="085CCA0D" w14:textId="77777777" w:rsidR="00625A5B" w:rsidRPr="008F03E5" w:rsidRDefault="00625A5B" w:rsidP="00D10014">
      <w:pPr>
        <w:pStyle w:val="Translit"/>
      </w:pPr>
      <w:r w:rsidRPr="008F03E5">
        <w:t>Masabih as-Sunnah</w:t>
      </w:r>
      <w:r w:rsidRPr="008F03E5">
        <w:tab/>
        <w:t>Maṣábíḥ as-Sunnah</w:t>
      </w:r>
      <w:r w:rsidRPr="008F03E5">
        <w:tab/>
      </w:r>
      <w:r w:rsidRPr="008F03E5">
        <w:rPr>
          <w:i/>
          <w:iCs/>
        </w:rPr>
        <w:t>Lamps of Tradition</w:t>
      </w:r>
      <w:r w:rsidRPr="008F03E5">
        <w:t xml:space="preserve"> by al-Ḥusayn ibn Mas‘úd al-Ba</w:t>
      </w:r>
      <w:r w:rsidRPr="008F03E5">
        <w:rPr>
          <w:u w:val="single"/>
        </w:rPr>
        <w:t>gh</w:t>
      </w:r>
      <w:r w:rsidRPr="008F03E5">
        <w:t>awí.  See miṣbáḥ and Mi</w:t>
      </w:r>
      <w:r w:rsidRPr="008F03E5">
        <w:rPr>
          <w:u w:val="single"/>
        </w:rPr>
        <w:t>sh</w:t>
      </w:r>
      <w:r w:rsidRPr="008F03E5">
        <w:t>kátu’l-Maṣábíḥ</w:t>
      </w:r>
    </w:p>
    <w:p w14:paraId="6ABFF71D" w14:textId="77777777" w:rsidR="00625A5B" w:rsidRPr="008F03E5" w:rsidRDefault="00625A5B" w:rsidP="00E360EF">
      <w:pPr>
        <w:pStyle w:val="Translit"/>
      </w:pPr>
      <w:r w:rsidRPr="008F03E5">
        <w:rPr>
          <w:lang w:eastAsia="en-US"/>
        </w:rPr>
        <w:t>Masabih-i-Hidayat</w:t>
      </w:r>
      <w:r w:rsidRPr="008F03E5">
        <w:rPr>
          <w:lang w:eastAsia="en-US"/>
        </w:rPr>
        <w:tab/>
        <w:t>Maṣábíḥ-i-Hidáyat</w:t>
      </w:r>
      <w:r w:rsidRPr="008F03E5">
        <w:rPr>
          <w:lang w:eastAsia="en-US"/>
        </w:rPr>
        <w:tab/>
        <w:t xml:space="preserve">“Lamps of Guidance” </w:t>
      </w:r>
      <w:r w:rsidRPr="008F03E5">
        <w:t>(9 volumes, 1950–1975</w:t>
      </w:r>
      <w:r w:rsidRPr="008F03E5">
        <w:rPr>
          <w:lang w:eastAsia="en-US"/>
        </w:rPr>
        <w:t>) by ‘Azízu’lláh Sulaymání.</w:t>
      </w:r>
      <w:r w:rsidRPr="008F03E5">
        <w:t xml:space="preserve">  Biographical accounts of 99 prominent Bahá’ís.</w:t>
      </w:r>
    </w:p>
    <w:p w14:paraId="6177FBAF" w14:textId="77777777" w:rsidR="00625A5B" w:rsidRPr="00F97D0B" w:rsidRDefault="00625A5B" w:rsidP="009F5B79">
      <w:pPr>
        <w:pStyle w:val="Translit"/>
        <w:rPr>
          <w:lang w:val="es-ES_tradnl"/>
        </w:rPr>
      </w:pPr>
      <w:r w:rsidRPr="008F03E5">
        <w:t>Masad, Misad, Amsad</w:t>
      </w:r>
      <w:r w:rsidRPr="008F03E5">
        <w:tab/>
        <w:t xml:space="preserve">Masad (collective), pl. </w:t>
      </w:r>
      <w:r w:rsidRPr="00F97D0B">
        <w:rPr>
          <w:lang w:val="es-ES_tradnl"/>
        </w:rPr>
        <w:t>Misád, Amsád</w:t>
      </w:r>
      <w:r w:rsidRPr="00F97D0B">
        <w:rPr>
          <w:lang w:val="es-ES_tradnl"/>
        </w:rPr>
        <w:tab/>
        <w:t>palm fibres, raffia</w:t>
      </w:r>
    </w:p>
    <w:p w14:paraId="52FF54D8" w14:textId="77777777" w:rsidR="00625A5B" w:rsidRPr="008F03E5" w:rsidRDefault="00625A5B" w:rsidP="002D02CC">
      <w:pPr>
        <w:pStyle w:val="Translit"/>
      </w:pPr>
      <w:r w:rsidRPr="008063A9">
        <w:rPr>
          <w:lang w:val="en-AU"/>
        </w:rPr>
        <w:t>Masdar, Masadir</w:t>
      </w:r>
      <w:r w:rsidRPr="008063A9">
        <w:rPr>
          <w:lang w:val="en-AU"/>
        </w:rPr>
        <w:tab/>
        <w:t xml:space="preserve">Maṣdar, pl. </w:t>
      </w:r>
      <w:r w:rsidRPr="008F03E5">
        <w:t>Maṣádir</w:t>
      </w:r>
      <w:r w:rsidRPr="008F03E5">
        <w:tab/>
        <w:t>starting point, point of origin; origin, source (fig.); (grammar) infinitive, verbal noun; absolute or internal object</w:t>
      </w:r>
    </w:p>
    <w:p w14:paraId="2866CE5E" w14:textId="77777777" w:rsidR="00625A5B" w:rsidRPr="008F03E5" w:rsidRDefault="00625A5B" w:rsidP="00AA7D79">
      <w:pPr>
        <w:pStyle w:val="Translit"/>
      </w:pPr>
      <w:r w:rsidRPr="008F03E5">
        <w:t>Masdar-i-Amr</w:t>
      </w:r>
      <w:r w:rsidRPr="008F03E5">
        <w:tab/>
        <w:t>Maṣdar-i-Amr</w:t>
      </w:r>
      <w:r w:rsidRPr="008F03E5">
        <w:tab/>
        <w:t>mystic source, source divine command, source of revelation</w:t>
      </w:r>
    </w:p>
    <w:p w14:paraId="0B07B535" w14:textId="77777777" w:rsidR="00625A5B" w:rsidRPr="008F03E5" w:rsidRDefault="00625A5B" w:rsidP="00D82A28">
      <w:pPr>
        <w:pStyle w:val="Translit"/>
      </w:pPr>
      <w:r w:rsidRPr="008F03E5">
        <w:t>Mash’ar, Masha’ir</w:t>
      </w:r>
      <w:r w:rsidRPr="008F03E5">
        <w:tab/>
        <w:t>Ma</w:t>
      </w:r>
      <w:r w:rsidRPr="008F03E5">
        <w:rPr>
          <w:u w:val="single"/>
        </w:rPr>
        <w:t>sh</w:t>
      </w:r>
      <w:r w:rsidRPr="008F03E5">
        <w:t>‘ar, pl. Ma</w:t>
      </w:r>
      <w:r w:rsidRPr="008F03E5">
        <w:rPr>
          <w:u w:val="single"/>
        </w:rPr>
        <w:t>sh</w:t>
      </w:r>
      <w:r w:rsidRPr="008F03E5">
        <w:t>á‘ir</w:t>
      </w:r>
      <w:r w:rsidRPr="008F03E5">
        <w:tab/>
        <w:t>cultic shrine for ceremonies of the ḥajj; sensory organ;—pl. senses, feelings, sensations.  Pers. explanation:  a place dedicated to religious ceremonies, or where sacrifices are offered.</w:t>
      </w:r>
    </w:p>
    <w:p w14:paraId="41BF698D" w14:textId="77777777" w:rsidR="00625A5B" w:rsidRPr="008F03E5" w:rsidRDefault="00625A5B" w:rsidP="005A3DD3">
      <w:pPr>
        <w:pStyle w:val="Translit"/>
      </w:pPr>
      <w:r w:rsidRPr="008F03E5">
        <w:t>Mash’arihi’l-Fu’ad</w:t>
      </w:r>
      <w:r w:rsidRPr="008F03E5">
        <w:tab/>
        <w:t>Ma</w:t>
      </w:r>
      <w:r w:rsidRPr="008F03E5">
        <w:rPr>
          <w:u w:val="single"/>
        </w:rPr>
        <w:t>sh</w:t>
      </w:r>
      <w:r w:rsidRPr="008F03E5">
        <w:t>‘arihi’l-Fu’ád</w:t>
      </w:r>
      <w:r w:rsidRPr="008F03E5">
        <w:tab/>
        <w:t>“Sanctuary of His Heart”</w:t>
      </w:r>
    </w:p>
    <w:p w14:paraId="67412202" w14:textId="77777777" w:rsidR="00625A5B" w:rsidRPr="008F03E5" w:rsidRDefault="00625A5B" w:rsidP="00C06F00">
      <w:pPr>
        <w:pStyle w:val="Translit"/>
      </w:pPr>
      <w:r w:rsidRPr="008F03E5">
        <w:t>Masha’u’llah or Ma Sha’u’llah</w:t>
      </w:r>
      <w:r w:rsidRPr="008F03E5">
        <w:tab/>
        <w:t>Má</w:t>
      </w:r>
      <w:r w:rsidRPr="008F03E5">
        <w:rPr>
          <w:u w:val="single"/>
        </w:rPr>
        <w:t>sh</w:t>
      </w:r>
      <w:r w:rsidRPr="008F03E5">
        <w:t xml:space="preserve">á’u’lláh or Má </w:t>
      </w:r>
      <w:r w:rsidRPr="008F03E5">
        <w:rPr>
          <w:u w:val="single"/>
        </w:rPr>
        <w:t>Sh</w:t>
      </w:r>
      <w:r w:rsidRPr="008F03E5">
        <w:t>á’u’lláh</w:t>
      </w:r>
      <w:r w:rsidRPr="008F03E5">
        <w:tab/>
        <w:t xml:space="preserve">What God wills (Má + </w:t>
      </w:r>
      <w:r w:rsidRPr="008F03E5">
        <w:rPr>
          <w:u w:val="single"/>
        </w:rPr>
        <w:t>Sh</w:t>
      </w:r>
      <w:r w:rsidRPr="008F03E5">
        <w:t>á’a + Alláh, “Mashallah”)</w:t>
      </w:r>
    </w:p>
    <w:p w14:paraId="48C2941F" w14:textId="77777777" w:rsidR="00625A5B" w:rsidRDefault="00625A5B" w:rsidP="008A3D79">
      <w:pPr>
        <w:pStyle w:val="Translit"/>
      </w:pPr>
      <w:r w:rsidRPr="008F03E5">
        <w:t>Mashaf, Mushaf, Masahif</w:t>
      </w:r>
      <w:r w:rsidRPr="008F03E5">
        <w:tab/>
        <w:t xml:space="preserve">Maṣḥaf, Muṣḥaf, </w:t>
      </w:r>
      <w:r>
        <w:t xml:space="preserve">dual </w:t>
      </w:r>
      <w:r w:rsidRPr="008F03E5">
        <w:t>Maṣḥaf</w:t>
      </w:r>
      <w:r>
        <w:t>ayn</w:t>
      </w:r>
      <w:r>
        <w:tab/>
        <w:t>(</w:t>
      </w:r>
      <w:r w:rsidRPr="008F03E5">
        <w:t>pl. Maṣáḥif</w:t>
      </w:r>
      <w:r>
        <w:t xml:space="preserve">) </w:t>
      </w:r>
      <w:r w:rsidRPr="008F03E5">
        <w:t>volume; book</w:t>
      </w:r>
      <w:r w:rsidRPr="007954C2">
        <w:t>;</w:t>
      </w:r>
      <w:r w:rsidRPr="00AF4D34">
        <w:t xml:space="preserve"> a page, written leaf;</w:t>
      </w:r>
      <w:r w:rsidRPr="008F03E5">
        <w:t xml:space="preserve"> a </w:t>
      </w:r>
      <w:r w:rsidRPr="00EC1F1A">
        <w:rPr>
          <w:sz w:val="16"/>
          <w:szCs w:val="16"/>
        </w:rPr>
        <w:t>PHYSICAL</w:t>
      </w:r>
      <w:r w:rsidRPr="008D2DBD">
        <w:t>, written</w:t>
      </w:r>
      <w:r>
        <w:t xml:space="preserve"> </w:t>
      </w:r>
      <w:r w:rsidRPr="008F03E5">
        <w:t>copy of the Qur’án (</w:t>
      </w:r>
      <w:r w:rsidRPr="008F03E5">
        <w:rPr>
          <w:u w:val="single"/>
        </w:rPr>
        <w:t>Sh</w:t>
      </w:r>
      <w:r w:rsidRPr="008F03E5">
        <w:t xml:space="preserve">aríf maṣḥaf, the “Noble book”);—pl. books, volumes; multiple </w:t>
      </w:r>
      <w:r w:rsidRPr="00870979">
        <w:rPr>
          <w:sz w:val="16"/>
          <w:szCs w:val="16"/>
        </w:rPr>
        <w:t>PHYSICAL</w:t>
      </w:r>
      <w:r w:rsidRPr="008D2DBD">
        <w:t>, written</w:t>
      </w:r>
      <w:r>
        <w:t xml:space="preserve"> </w:t>
      </w:r>
      <w:r w:rsidRPr="008F03E5">
        <w:t xml:space="preserve">copies of the Qur’án (there is </w:t>
      </w:r>
      <w:r w:rsidRPr="008F03E5">
        <w:rPr>
          <w:sz w:val="16"/>
          <w:szCs w:val="16"/>
        </w:rPr>
        <w:t>ONLY</w:t>
      </w:r>
      <w:r w:rsidRPr="008F03E5">
        <w:t xml:space="preserve"> one Qur’án or revelation)</w:t>
      </w:r>
      <w:r>
        <w:t>.</w:t>
      </w:r>
      <w:r w:rsidRPr="008F03E5">
        <w:t xml:space="preserve">  Muṣḥaf Fáṭimah (“Book of Fatimah”)—there is a legend that Gabriel brought this book to console Fáṭima after the death of her father.  ‘Abdu’l-Bahá described it as “a name without form and a title without reality”.  See Kalimát-i-Maknúnih</w:t>
      </w:r>
      <w:r>
        <w:t>,</w:t>
      </w:r>
      <w:r w:rsidRPr="008F03E5">
        <w:t xml:space="preserve"> Ṣaḥífiy-i-Fáṭimíyyih</w:t>
      </w:r>
      <w:r>
        <w:t>, and Qur’án.</w:t>
      </w:r>
    </w:p>
    <w:p w14:paraId="6BB94A97" w14:textId="77777777" w:rsidR="00625A5B" w:rsidRPr="008F03E5" w:rsidRDefault="00625A5B" w:rsidP="00FE6C83">
      <w:pPr>
        <w:pStyle w:val="Translit"/>
      </w:pPr>
      <w:r w:rsidRPr="008F03E5">
        <w:t>Mashhad, Mashahid</w:t>
      </w:r>
      <w:r w:rsidRPr="008F03E5">
        <w:tab/>
        <w:t>Ma</w:t>
      </w:r>
      <w:r w:rsidRPr="008F03E5">
        <w:rPr>
          <w:u w:val="single"/>
        </w:rPr>
        <w:t>sh</w:t>
      </w:r>
      <w:r w:rsidRPr="008F03E5">
        <w:t>had, pl. Ma</w:t>
      </w:r>
      <w:r w:rsidRPr="008F03E5">
        <w:rPr>
          <w:u w:val="single"/>
        </w:rPr>
        <w:t>sh</w:t>
      </w:r>
      <w:r w:rsidRPr="008F03E5">
        <w:t>áhid</w:t>
      </w:r>
      <w:r w:rsidRPr="008F03E5">
        <w:tab/>
        <w:t xml:space="preserve">place of assembly, assembly, meeting; place where a martyr or hero died; religious shrine venerated by the people, especially the tomb of a saint; funeral cortege; profession; view, aspect, spectacle, sight, scenery; place or object of interest; scene (e.g., of a crime, of nature); act, number (as part of a program, e.g., in vaudeville), scene (in theatre, as part of a play); aspect.  Capital of </w:t>
      </w:r>
      <w:r w:rsidRPr="008F03E5">
        <w:rPr>
          <w:u w:val="single"/>
        </w:rPr>
        <w:t>Kh</w:t>
      </w:r>
      <w:r w:rsidRPr="008F03E5">
        <w:t>urásán (Khorasan), Írán, shrine city of Imám Riḍá.</w:t>
      </w:r>
    </w:p>
    <w:p w14:paraId="3E6F812F" w14:textId="77777777" w:rsidR="00625A5B" w:rsidRPr="008F03E5" w:rsidRDefault="00625A5B" w:rsidP="00CE5213">
      <w:pPr>
        <w:pStyle w:val="Translit"/>
      </w:pPr>
      <w:r w:rsidRPr="00454005">
        <w:rPr>
          <w:lang w:val="it-IT"/>
        </w:rPr>
        <w:t>Mashhadi</w:t>
      </w:r>
      <w:r>
        <w:rPr>
          <w:lang w:val="it-IT"/>
        </w:rPr>
        <w:t xml:space="preserve"> (“Mashdi”)</w:t>
      </w:r>
      <w:r w:rsidRPr="00454005">
        <w:rPr>
          <w:lang w:val="it-IT"/>
        </w:rPr>
        <w:t>, Mashhadi-</w:t>
      </w:r>
      <w:r>
        <w:rPr>
          <w:lang w:val="it-IT"/>
        </w:rPr>
        <w:t>h</w:t>
      </w:r>
      <w:r w:rsidRPr="00454005">
        <w:rPr>
          <w:lang w:val="it-IT"/>
        </w:rPr>
        <w:t>a</w:t>
      </w:r>
      <w:r w:rsidRPr="00454005">
        <w:rPr>
          <w:lang w:val="it-IT"/>
        </w:rPr>
        <w:tab/>
        <w:t>Ma</w:t>
      </w:r>
      <w:r w:rsidRPr="00454005">
        <w:rPr>
          <w:u w:val="single"/>
          <w:lang w:val="it-IT"/>
        </w:rPr>
        <w:t>sh</w:t>
      </w:r>
      <w:r w:rsidRPr="00454005">
        <w:rPr>
          <w:lang w:val="it-IT"/>
        </w:rPr>
        <w:t xml:space="preserve">hadí, pl. </w:t>
      </w:r>
      <w:r w:rsidRPr="00454005">
        <w:rPr>
          <w:lang w:val="en-AU"/>
        </w:rPr>
        <w:t>M</w:t>
      </w:r>
      <w:r>
        <w:rPr>
          <w:lang w:val="en-AU"/>
        </w:rPr>
        <w:t>a</w:t>
      </w:r>
      <w:r w:rsidRPr="00454005">
        <w:rPr>
          <w:u w:val="single"/>
          <w:lang w:val="en-AU"/>
        </w:rPr>
        <w:t>sh</w:t>
      </w:r>
      <w:r>
        <w:rPr>
          <w:lang w:val="en-AU"/>
        </w:rPr>
        <w:t>hadi-h</w:t>
      </w:r>
      <w:r w:rsidRPr="00454005">
        <w:t>á</w:t>
      </w:r>
      <w:r w:rsidRPr="00454005">
        <w:rPr>
          <w:lang w:val="en-AU"/>
        </w:rPr>
        <w:tab/>
      </w:r>
      <w:r>
        <w:t>of or from Ma</w:t>
      </w:r>
      <w:r w:rsidRPr="00454005">
        <w:rPr>
          <w:u w:val="single"/>
        </w:rPr>
        <w:t>sh</w:t>
      </w:r>
      <w:r>
        <w:t xml:space="preserve">had.  Also used for </w:t>
      </w:r>
      <w:r w:rsidRPr="008F03E5">
        <w:t>a Muslim who has performed the pilgrimage to Ma</w:t>
      </w:r>
      <w:r w:rsidRPr="008F03E5">
        <w:rPr>
          <w:u w:val="single"/>
        </w:rPr>
        <w:t>sh</w:t>
      </w:r>
      <w:r w:rsidRPr="008F03E5">
        <w:t>had.</w:t>
      </w:r>
      <w:r>
        <w:t xml:space="preserve">  Slang form is Ma</w:t>
      </w:r>
      <w:r w:rsidRPr="00454005">
        <w:rPr>
          <w:u w:val="single"/>
        </w:rPr>
        <w:t>sh</w:t>
      </w:r>
      <w:r w:rsidRPr="002B401B">
        <w:t>d</w:t>
      </w:r>
      <w:r w:rsidRPr="00454005">
        <w:t>í</w:t>
      </w:r>
      <w:r>
        <w:t>.</w:t>
      </w:r>
    </w:p>
    <w:p w14:paraId="56BBCB5A" w14:textId="77777777" w:rsidR="00625A5B" w:rsidRDefault="00625A5B" w:rsidP="00FC4213">
      <w:pPr>
        <w:pStyle w:val="Translit"/>
      </w:pPr>
      <w:r>
        <w:t>Mashhad-Sar (Mashhadsar)</w:t>
      </w:r>
      <w:r>
        <w:tab/>
        <w:t>Ma</w:t>
      </w:r>
      <w:r w:rsidRPr="00FC4213">
        <w:rPr>
          <w:u w:val="single"/>
        </w:rPr>
        <w:t>sh</w:t>
      </w:r>
      <w:r>
        <w:t>had-</w:t>
      </w:r>
      <w:r w:rsidRPr="00FC4213">
        <w:t>S</w:t>
      </w:r>
      <w:r>
        <w:t>ar (Ma</w:t>
      </w:r>
      <w:r w:rsidRPr="00FC4213">
        <w:rPr>
          <w:u w:val="single"/>
        </w:rPr>
        <w:t>sh</w:t>
      </w:r>
      <w:r>
        <w:t>had</w:t>
      </w:r>
      <w:r w:rsidRPr="00FC4213">
        <w:t>s</w:t>
      </w:r>
      <w:r>
        <w:t>ar)</w:t>
      </w:r>
      <w:r>
        <w:tab/>
      </w:r>
      <w:r w:rsidRPr="00417520">
        <w:t>“the special way to Ma</w:t>
      </w:r>
      <w:r w:rsidRPr="00417520">
        <w:rPr>
          <w:u w:val="single"/>
        </w:rPr>
        <w:t>sh</w:t>
      </w:r>
      <w:r w:rsidRPr="00417520">
        <w:t>had”, referring to the only road connecting the northwest of Iran to the northeast, including Ma</w:t>
      </w:r>
      <w:r w:rsidRPr="00417520">
        <w:rPr>
          <w:u w:val="single"/>
        </w:rPr>
        <w:t>sh</w:t>
      </w:r>
      <w:r w:rsidRPr="00417520">
        <w:t>had, which passed through Ma</w:t>
      </w:r>
      <w:r w:rsidRPr="00417520">
        <w:rPr>
          <w:u w:val="single"/>
        </w:rPr>
        <w:t>sh</w:t>
      </w:r>
      <w:r w:rsidRPr="00417520">
        <w:t>hadsar, a busy commercial port (36.703148, 52.650692) by the 18th century on the southern coast of the Caspian Sea.  Ren</w:t>
      </w:r>
      <w:r>
        <w:t>amed B</w:t>
      </w:r>
      <w:r w:rsidRPr="00FC4213">
        <w:t>á</w:t>
      </w:r>
      <w:r>
        <w:t xml:space="preserve">bulsar in 1927.  An important port for </w:t>
      </w:r>
      <w:r w:rsidRPr="00653E5A">
        <w:t>Bárfurú</w:t>
      </w:r>
      <w:r w:rsidRPr="005130F5">
        <w:rPr>
          <w:u w:val="single"/>
        </w:rPr>
        <w:t>sh</w:t>
      </w:r>
      <w:r w:rsidRPr="00F97316">
        <w:t xml:space="preserve">, 12 km to the south, </w:t>
      </w:r>
      <w:r>
        <w:t>but from 1895 increased competition came from p</w:t>
      </w:r>
      <w:r w:rsidRPr="00FC4213">
        <w:t>orts in Gilan</w:t>
      </w:r>
      <w:r>
        <w:t>.</w:t>
      </w:r>
    </w:p>
    <w:p w14:paraId="7D752F62" w14:textId="77777777" w:rsidR="00625A5B" w:rsidRPr="008F03E5" w:rsidRDefault="00625A5B" w:rsidP="008703C0">
      <w:pPr>
        <w:pStyle w:val="Translit"/>
      </w:pPr>
      <w:r w:rsidRPr="008F03E5">
        <w:t>Mashhud</w:t>
      </w:r>
      <w:r w:rsidRPr="008F03E5">
        <w:tab/>
        <w:t>Ma</w:t>
      </w:r>
      <w:r w:rsidRPr="008F03E5">
        <w:rPr>
          <w:u w:val="single"/>
        </w:rPr>
        <w:t>sh</w:t>
      </w:r>
      <w:r w:rsidRPr="008F03E5">
        <w:t>húd</w:t>
      </w:r>
      <w:r w:rsidRPr="008F03E5">
        <w:tab/>
        <w:t>taking place in the presence of spectators or witnesses; happening before a large audience, well-attended; memorable (day, event)</w:t>
      </w:r>
    </w:p>
    <w:p w14:paraId="13A7ADD4" w14:textId="77777777" w:rsidR="00625A5B" w:rsidRPr="008F03E5" w:rsidRDefault="00625A5B" w:rsidP="00A603AE">
      <w:pPr>
        <w:pStyle w:val="Translit"/>
      </w:pPr>
      <w:r w:rsidRPr="008F03E5">
        <w:t>Mashhur, Mashahir</w:t>
      </w:r>
      <w:r w:rsidRPr="008F03E5">
        <w:tab/>
        <w:t>Ma</w:t>
      </w:r>
      <w:r w:rsidRPr="008F03E5">
        <w:rPr>
          <w:u w:val="single"/>
        </w:rPr>
        <w:t>sh</w:t>
      </w:r>
      <w:r w:rsidRPr="008F03E5">
        <w:t>húr, pl. Ma</w:t>
      </w:r>
      <w:r w:rsidRPr="008F03E5">
        <w:rPr>
          <w:u w:val="single"/>
        </w:rPr>
        <w:t>shá</w:t>
      </w:r>
      <w:r w:rsidRPr="008F03E5">
        <w:t>hír</w:t>
      </w:r>
      <w:r w:rsidRPr="008F03E5">
        <w:tab/>
        <w:t>well-known, widely known, renowned, famous, celebrated; notorious, ill-reputed; wide-spread, common; a famous, celebrated personality, a celebrity; accepted, established, canonical (textual variant, version of the Qur’án)</w:t>
      </w:r>
    </w:p>
    <w:p w14:paraId="22C44ECC" w14:textId="77777777" w:rsidR="00625A5B" w:rsidRPr="008F03E5" w:rsidRDefault="00625A5B" w:rsidP="00281F04">
      <w:pPr>
        <w:pStyle w:val="Translit"/>
      </w:pPr>
      <w:r w:rsidRPr="008F03E5">
        <w:t>Mashi’a</w:t>
      </w:r>
      <w:r w:rsidRPr="008F03E5">
        <w:tab/>
        <w:t>Ma</w:t>
      </w:r>
      <w:r w:rsidRPr="008F03E5">
        <w:rPr>
          <w:u w:val="single"/>
        </w:rPr>
        <w:t>sh</w:t>
      </w:r>
      <w:r w:rsidRPr="008F03E5">
        <w:t>í’a[h or t]</w:t>
      </w:r>
      <w:r w:rsidRPr="008F03E5">
        <w:tab/>
        <w:t>volition, will; wish, desire</w:t>
      </w:r>
    </w:p>
    <w:p w14:paraId="600FA519" w14:textId="77777777" w:rsidR="00625A5B" w:rsidRPr="008F03E5" w:rsidRDefault="00625A5B" w:rsidP="00EF6732">
      <w:pPr>
        <w:pStyle w:val="Translit"/>
      </w:pPr>
      <w:r w:rsidRPr="008F03E5">
        <w:t>Mashi’a, Mashiya</w:t>
      </w:r>
      <w:r w:rsidRPr="008F03E5">
        <w:tab/>
        <w:t>Ma</w:t>
      </w:r>
      <w:r w:rsidRPr="008F03E5">
        <w:rPr>
          <w:u w:val="single"/>
        </w:rPr>
        <w:t>sh</w:t>
      </w:r>
      <w:r w:rsidRPr="008F03E5">
        <w:t>í’a[h or t] (Ma</w:t>
      </w:r>
      <w:r w:rsidRPr="008F03E5">
        <w:rPr>
          <w:u w:val="single"/>
        </w:rPr>
        <w:t>sh</w:t>
      </w:r>
      <w:r w:rsidRPr="008F03E5">
        <w:t>íya[h or t])</w:t>
      </w:r>
      <w:r w:rsidRPr="008F03E5">
        <w:tab/>
        <w:t>will, pleasure; will of God, fate</w:t>
      </w:r>
    </w:p>
    <w:p w14:paraId="533DAABD" w14:textId="77777777" w:rsidR="00625A5B" w:rsidRPr="008F03E5" w:rsidRDefault="00625A5B" w:rsidP="0036512A">
      <w:pPr>
        <w:pStyle w:val="Translit"/>
      </w:pPr>
      <w:r w:rsidRPr="008F03E5">
        <w:t>Mashkuk</w:t>
      </w:r>
      <w:r w:rsidRPr="008F03E5">
        <w:tab/>
        <w:t>Ma</w:t>
      </w:r>
      <w:r w:rsidRPr="008F03E5">
        <w:rPr>
          <w:u w:val="single"/>
        </w:rPr>
        <w:t>sh</w:t>
      </w:r>
      <w:r w:rsidRPr="008F03E5">
        <w:t>kúk</w:t>
      </w:r>
      <w:r w:rsidRPr="008F03E5">
        <w:tab/>
        <w:t>doubted, doubtful, uncertain, problematical; ambiguous; altered, tampered with</w:t>
      </w:r>
    </w:p>
    <w:p w14:paraId="7FCBFBC2" w14:textId="77777777" w:rsidR="00625A5B" w:rsidRPr="008F03E5" w:rsidRDefault="00625A5B" w:rsidP="004B77C2">
      <w:pPr>
        <w:pStyle w:val="Translit"/>
      </w:pPr>
      <w:r w:rsidRPr="008F03E5">
        <w:t>Mashriq, Mashariq</w:t>
      </w:r>
      <w:r w:rsidRPr="008F03E5">
        <w:tab/>
        <w:t>Ma</w:t>
      </w:r>
      <w:r w:rsidRPr="008F03E5">
        <w:rPr>
          <w:u w:val="single"/>
        </w:rPr>
        <w:t>sh</w:t>
      </w:r>
      <w:r w:rsidRPr="008F03E5">
        <w:t>riq, pl. Ma</w:t>
      </w:r>
      <w:r w:rsidRPr="008F03E5">
        <w:rPr>
          <w:u w:val="single"/>
        </w:rPr>
        <w:t>shá</w:t>
      </w:r>
      <w:r w:rsidRPr="008F03E5">
        <w:t>riq</w:t>
      </w:r>
      <w:r w:rsidRPr="008F03E5">
        <w:tab/>
        <w:t>place of sunrise, east; place of rise; the Orient, the East; resplendent, radient, shining</w:t>
      </w:r>
    </w:p>
    <w:p w14:paraId="4F863F48" w14:textId="77777777" w:rsidR="00625A5B" w:rsidRPr="008F03E5" w:rsidRDefault="00625A5B" w:rsidP="000D6EDD">
      <w:pPr>
        <w:pStyle w:val="Translit"/>
      </w:pPr>
      <w:r w:rsidRPr="008F03E5">
        <w:t>Mashriqu’l-Adhkar, Mashariqu’l-Adhkar</w:t>
      </w:r>
      <w:r w:rsidRPr="008F03E5">
        <w:tab/>
        <w:t>Ma</w:t>
      </w:r>
      <w:r w:rsidRPr="008F03E5">
        <w:rPr>
          <w:u w:val="single"/>
        </w:rPr>
        <w:t>sh</w:t>
      </w:r>
      <w:r w:rsidRPr="008F03E5">
        <w:t>riqu’l-A</w:t>
      </w:r>
      <w:r w:rsidRPr="008F03E5">
        <w:rPr>
          <w:u w:val="single"/>
        </w:rPr>
        <w:t>dh</w:t>
      </w:r>
      <w:r w:rsidRPr="008F03E5">
        <w:t>kár</w:t>
      </w:r>
      <w:r w:rsidRPr="008F03E5">
        <w:tab/>
        <w:t>Dawning-place of the praises, prayers, remembrances or mentions of God.  “The place of prayers”.  Title for a purpose built Bahá’í House of Worship (restrictive meaning as used by Shoghi Effendi).—pl. Ma</w:t>
      </w:r>
      <w:r w:rsidRPr="008F03E5">
        <w:rPr>
          <w:u w:val="single"/>
        </w:rPr>
        <w:t>sh</w:t>
      </w:r>
      <w:r w:rsidRPr="008F03E5">
        <w:t>áriqu’l-A</w:t>
      </w:r>
      <w:r w:rsidRPr="008F03E5">
        <w:rPr>
          <w:u w:val="single"/>
        </w:rPr>
        <w:t>dh</w:t>
      </w:r>
      <w:r w:rsidRPr="008F03E5">
        <w:t>kár “places of prayers”.</w:t>
      </w:r>
    </w:p>
    <w:p w14:paraId="6C368618" w14:textId="77777777" w:rsidR="00625A5B" w:rsidRPr="008F03E5" w:rsidRDefault="00625A5B" w:rsidP="005B4CD4">
      <w:pPr>
        <w:pStyle w:val="Translit"/>
      </w:pPr>
      <w:r w:rsidRPr="008F03E5">
        <w:t>Mashrut</w:t>
      </w:r>
      <w:r w:rsidRPr="008F03E5">
        <w:tab/>
        <w:t>Ma</w:t>
      </w:r>
      <w:r w:rsidRPr="008F03E5">
        <w:rPr>
          <w:u w:val="single"/>
        </w:rPr>
        <w:t>sh</w:t>
      </w:r>
      <w:r w:rsidRPr="008F03E5">
        <w:t>rúṭ</w:t>
      </w:r>
      <w:r w:rsidRPr="008F03E5">
        <w:tab/>
        <w:t>agreed upon, stipulated; pledged, under obligation; conditional, contingent</w:t>
      </w:r>
    </w:p>
    <w:p w14:paraId="02C337DD" w14:textId="77777777" w:rsidR="00625A5B" w:rsidRPr="008F03E5" w:rsidRDefault="00625A5B" w:rsidP="00165F74">
      <w:pPr>
        <w:pStyle w:val="Translit"/>
      </w:pPr>
      <w:r w:rsidRPr="008F03E5">
        <w:t>Mashrutah, Mashrutih</w:t>
      </w:r>
      <w:r w:rsidRPr="008F03E5">
        <w:tab/>
        <w:t>Ma</w:t>
      </w:r>
      <w:r w:rsidRPr="008F03E5">
        <w:rPr>
          <w:u w:val="single"/>
        </w:rPr>
        <w:t>sh</w:t>
      </w:r>
      <w:r w:rsidRPr="008F03E5">
        <w:t>rúṭah, Pers. Ma</w:t>
      </w:r>
      <w:r w:rsidRPr="008F03E5">
        <w:rPr>
          <w:u w:val="single"/>
        </w:rPr>
        <w:t>sh</w:t>
      </w:r>
      <w:r w:rsidRPr="008F03E5">
        <w:t>rúṭih</w:t>
      </w:r>
      <w:r w:rsidRPr="008F03E5">
        <w:tab/>
        <w:t>Ar. conditional; Pers. constitutional</w:t>
      </w:r>
    </w:p>
    <w:p w14:paraId="1642D767" w14:textId="77777777" w:rsidR="00625A5B" w:rsidRPr="008F03E5" w:rsidRDefault="00625A5B" w:rsidP="00BF00F0">
      <w:pPr>
        <w:pStyle w:val="Translit"/>
      </w:pPr>
      <w:r w:rsidRPr="008F03E5">
        <w:t>Mashsha’, Mashsha’un</w:t>
      </w:r>
      <w:r w:rsidRPr="008F03E5">
        <w:tab/>
        <w:t>Ma</w:t>
      </w:r>
      <w:r w:rsidRPr="008F03E5">
        <w:rPr>
          <w:u w:val="single"/>
        </w:rPr>
        <w:t>shsh</w:t>
      </w:r>
      <w:r w:rsidRPr="008F03E5">
        <w:t>á’, pl. Ma</w:t>
      </w:r>
      <w:r w:rsidRPr="008F03E5">
        <w:rPr>
          <w:u w:val="single"/>
        </w:rPr>
        <w:t>shsh</w:t>
      </w:r>
      <w:r w:rsidRPr="008F03E5">
        <w:t>á’ún</w:t>
      </w:r>
      <w:r w:rsidRPr="008F03E5">
        <w:tab/>
        <w:t>good walker; walker (athletics).  Word used in Arabic for a peripatetic—see peripatetic</w:t>
      </w:r>
    </w:p>
    <w:p w14:paraId="1D4E5427" w14:textId="77777777" w:rsidR="00625A5B" w:rsidRPr="005B4CD4" w:rsidRDefault="00625A5B" w:rsidP="005B4CD4">
      <w:pPr>
        <w:pStyle w:val="Translit"/>
      </w:pPr>
      <w:r w:rsidRPr="000A3BC7">
        <w:rPr>
          <w:lang w:val="en-AU"/>
        </w:rPr>
        <w:t>Mashwar, Mashura, Mashwarat</w:t>
      </w:r>
      <w:r w:rsidRPr="000A3BC7">
        <w:rPr>
          <w:lang w:val="en-AU"/>
        </w:rPr>
        <w:tab/>
        <w:t>Ma</w:t>
      </w:r>
      <w:r w:rsidRPr="000A3BC7">
        <w:rPr>
          <w:u w:val="single"/>
          <w:lang w:val="en-AU"/>
        </w:rPr>
        <w:t>sh</w:t>
      </w:r>
      <w:r w:rsidRPr="000A3BC7">
        <w:rPr>
          <w:lang w:val="en-AU"/>
        </w:rPr>
        <w:t>war, Ma</w:t>
      </w:r>
      <w:r w:rsidRPr="000A3BC7">
        <w:rPr>
          <w:u w:val="single"/>
          <w:lang w:val="en-AU"/>
        </w:rPr>
        <w:t>sh</w:t>
      </w:r>
      <w:r w:rsidRPr="000A3BC7">
        <w:rPr>
          <w:lang w:val="en-AU"/>
        </w:rPr>
        <w:t>úr</w:t>
      </w:r>
      <w:r w:rsidRPr="000A3BC7">
        <w:rPr>
          <w:lang w:val="en-AU"/>
        </w:rPr>
        <w:tab/>
        <w:t xml:space="preserve">(fem. </w:t>
      </w:r>
      <w:r w:rsidRPr="005B4CD4">
        <w:t>Ma</w:t>
      </w:r>
      <w:r w:rsidRPr="005B4CD4">
        <w:rPr>
          <w:u w:val="single"/>
        </w:rPr>
        <w:t>sh</w:t>
      </w:r>
      <w:r w:rsidRPr="005B4CD4">
        <w:t>wara[h or t]</w:t>
      </w:r>
      <w:r>
        <w:t xml:space="preserve">, </w:t>
      </w:r>
      <w:r w:rsidRPr="005B4CD4">
        <w:t>Ma</w:t>
      </w:r>
      <w:r w:rsidRPr="005B4CD4">
        <w:rPr>
          <w:u w:val="single"/>
        </w:rPr>
        <w:t>sh</w:t>
      </w:r>
      <w:r w:rsidRPr="005B4CD4">
        <w:t>úra[h or t]</w:t>
      </w:r>
      <w:r>
        <w:t>,</w:t>
      </w:r>
      <w:r w:rsidRPr="005B4CD4">
        <w:t xml:space="preserve"> pl. Ma</w:t>
      </w:r>
      <w:r w:rsidRPr="005B4CD4">
        <w:rPr>
          <w:u w:val="single"/>
        </w:rPr>
        <w:t>sh</w:t>
      </w:r>
      <w:r w:rsidRPr="005B4CD4">
        <w:t>warát) consultation, deliberation, conference; counsel, advice, suggestion</w:t>
      </w:r>
    </w:p>
    <w:p w14:paraId="60FF1C74" w14:textId="77777777" w:rsidR="00625A5B" w:rsidRDefault="00625A5B" w:rsidP="009467F5">
      <w:pPr>
        <w:pStyle w:val="Translit"/>
      </w:pPr>
      <w:r>
        <w:t>Mashy (Mashi)</w:t>
      </w:r>
      <w:r>
        <w:tab/>
        <w:t>M</w:t>
      </w:r>
      <w:r w:rsidRPr="009467F5">
        <w:t>a</w:t>
      </w:r>
      <w:r w:rsidRPr="009467F5">
        <w:rPr>
          <w:u w:val="single"/>
        </w:rPr>
        <w:t>sh</w:t>
      </w:r>
      <w:r w:rsidRPr="009467F5">
        <w:t>y</w:t>
      </w:r>
      <w:r>
        <w:tab/>
      </w:r>
      <w:r w:rsidRPr="009467F5">
        <w:t>going, walking; walk</w:t>
      </w:r>
    </w:p>
    <w:p w14:paraId="35F38880" w14:textId="77777777" w:rsidR="00625A5B" w:rsidRPr="008F03E5" w:rsidRDefault="00625A5B" w:rsidP="005D262D">
      <w:pPr>
        <w:pStyle w:val="Translit"/>
      </w:pPr>
      <w:r w:rsidRPr="008F03E5">
        <w:t>Mashyakha, Mashayikh, Masha’ikh</w:t>
      </w:r>
      <w:r w:rsidRPr="008F03E5">
        <w:tab/>
        <w:t>Ma</w:t>
      </w:r>
      <w:r w:rsidRPr="008F03E5">
        <w:rPr>
          <w:u w:val="single"/>
        </w:rPr>
        <w:t>sh</w:t>
      </w:r>
      <w:r w:rsidRPr="008F03E5">
        <w:t>ya</w:t>
      </w:r>
      <w:r w:rsidRPr="008F03E5">
        <w:rPr>
          <w:u w:val="single"/>
        </w:rPr>
        <w:t>kh</w:t>
      </w:r>
      <w:r w:rsidRPr="008F03E5">
        <w:t>a, pl. Ma</w:t>
      </w:r>
      <w:r w:rsidRPr="008F03E5">
        <w:rPr>
          <w:u w:val="single"/>
        </w:rPr>
        <w:t>shá</w:t>
      </w:r>
      <w:r w:rsidRPr="008F03E5">
        <w:t>yi</w:t>
      </w:r>
      <w:r w:rsidRPr="008F03E5">
        <w:rPr>
          <w:u w:val="single"/>
        </w:rPr>
        <w:t>kh</w:t>
      </w:r>
      <w:r w:rsidRPr="008F03E5">
        <w:t>, Ma</w:t>
      </w:r>
      <w:r w:rsidRPr="008F03E5">
        <w:rPr>
          <w:u w:val="single"/>
        </w:rPr>
        <w:t>shá</w:t>
      </w:r>
      <w:r w:rsidRPr="008F03E5">
        <w:t>’i</w:t>
      </w:r>
      <w:r w:rsidRPr="008F03E5">
        <w:rPr>
          <w:u w:val="single"/>
        </w:rPr>
        <w:t>kh</w:t>
      </w:r>
      <w:r w:rsidRPr="008F03E5">
        <w:tab/>
        <w:t xml:space="preserve">Ar. office, or dignity, of a sheik; sheikdom (in general, specifically, anyone of the semi-independent territories on the Persian Gulf); an administrative subdivision in Tunisia; professorate (e.g., of al-Azhar).  See </w:t>
      </w:r>
      <w:r w:rsidRPr="008F03E5">
        <w:rPr>
          <w:u w:val="single"/>
        </w:rPr>
        <w:t>Sh</w:t>
      </w:r>
      <w:r w:rsidRPr="008F03E5">
        <w:t>ay</w:t>
      </w:r>
      <w:r w:rsidRPr="008F03E5">
        <w:rPr>
          <w:u w:val="single"/>
        </w:rPr>
        <w:t>kh</w:t>
      </w:r>
    </w:p>
    <w:p w14:paraId="5AC861BA" w14:textId="77777777" w:rsidR="00625A5B" w:rsidRPr="008F03E5" w:rsidRDefault="00625A5B" w:rsidP="00B12CF5">
      <w:pPr>
        <w:pStyle w:val="Translit"/>
      </w:pPr>
      <w:r w:rsidRPr="005B4CD4">
        <w:t>Masih, Musaha’</w:t>
      </w:r>
      <w:r w:rsidRPr="005B4CD4">
        <w:tab/>
        <w:t>Masíḥ, pl. Musaḥá’</w:t>
      </w:r>
      <w:r w:rsidRPr="005B4CD4">
        <w:tab/>
        <w:t>anointed; wiped, clean, smooth; al-Masíḥ the Messiah, Christ (the Messiah, the Anoint</w:t>
      </w:r>
      <w:r w:rsidRPr="008F03E5">
        <w:t>ed).  From Meshiah (Hebrew).</w:t>
      </w:r>
    </w:p>
    <w:p w14:paraId="545A047F" w14:textId="77777777" w:rsidR="00625A5B" w:rsidRDefault="00625A5B" w:rsidP="00A34F8C">
      <w:pPr>
        <w:pStyle w:val="Translit"/>
      </w:pPr>
      <w:r>
        <w:t>Masiha</w:t>
      </w:r>
      <w:r>
        <w:tab/>
        <w:t>M</w:t>
      </w:r>
      <w:r w:rsidRPr="00A34F8C">
        <w:t>asíḥá</w:t>
      </w:r>
      <w:r>
        <w:tab/>
        <w:t xml:space="preserve">Pers. </w:t>
      </w:r>
      <w:r w:rsidRPr="00AF4D34">
        <w:t>Christ, the Messiah; a Christian</w:t>
      </w:r>
    </w:p>
    <w:p w14:paraId="1C6B5381" w14:textId="77777777" w:rsidR="00625A5B" w:rsidRDefault="00625A5B" w:rsidP="00A34F8C">
      <w:pPr>
        <w:pStyle w:val="Translit"/>
      </w:pPr>
      <w:r>
        <w:t>Masiha’i</w:t>
      </w:r>
      <w:r>
        <w:tab/>
        <w:t>M</w:t>
      </w:r>
      <w:r w:rsidRPr="00A34F8C">
        <w:t>asíḥá’í</w:t>
      </w:r>
      <w:r>
        <w:tab/>
        <w:t xml:space="preserve">Pers. </w:t>
      </w:r>
      <w:r w:rsidRPr="00AF4D34">
        <w:t>Christ-like; of the Messiah; the office or works of the Messiah</w:t>
      </w:r>
    </w:p>
    <w:p w14:paraId="5C6F4DC2" w14:textId="77777777" w:rsidR="00625A5B" w:rsidRPr="008F03E5" w:rsidRDefault="00625A5B" w:rsidP="004C2246">
      <w:pPr>
        <w:pStyle w:val="Translit"/>
      </w:pPr>
      <w:r w:rsidRPr="008F03E5">
        <w:t>Masihi, Masihiyat</w:t>
      </w:r>
      <w:r w:rsidRPr="008F03E5">
        <w:tab/>
        <w:t>Masíḥí, fem. Masíḥíya[h or t]</w:t>
      </w:r>
      <w:r w:rsidRPr="008F03E5">
        <w:tab/>
        <w:t>(pl. Masíḥíyát) Christian; appertaining to Christ; Messianic;—pl. a Christian.  al-masíḥíya Christendom; Christianity, the Christian faith.</w:t>
      </w:r>
    </w:p>
    <w:p w14:paraId="3506F9C6" w14:textId="77777777" w:rsidR="00625A5B" w:rsidRPr="008F03E5" w:rsidRDefault="00625A5B" w:rsidP="00751541">
      <w:pPr>
        <w:pStyle w:val="Translit"/>
      </w:pPr>
      <w:r w:rsidRPr="008F03E5">
        <w:t>Masikh</w:t>
      </w:r>
      <w:r w:rsidRPr="008F03E5">
        <w:tab/>
        <w:t>Masí</w:t>
      </w:r>
      <w:r w:rsidRPr="008F03E5">
        <w:rPr>
          <w:u w:val="single"/>
        </w:rPr>
        <w:t>kh</w:t>
      </w:r>
      <w:r w:rsidRPr="008F03E5">
        <w:tab/>
        <w:t xml:space="preserve">transformed; disfigured, defaced, deformed, ugly; tasteless, insipid, stale (“a monster”)—refer to </w:t>
      </w:r>
      <w:r w:rsidRPr="008F03E5">
        <w:rPr>
          <w:i/>
          <w:iCs/>
        </w:rPr>
        <w:t>Selections from the Writings of ‘Abdu’l-Bahá</w:t>
      </w:r>
      <w:r w:rsidRPr="008F03E5">
        <w:t>, p. 40</w:t>
      </w:r>
    </w:p>
    <w:p w14:paraId="67A8E2CA" w14:textId="77777777" w:rsidR="00625A5B" w:rsidRPr="008F03E5" w:rsidRDefault="00625A5B" w:rsidP="00A928AF">
      <w:pPr>
        <w:pStyle w:val="Translit"/>
      </w:pPr>
      <w:r w:rsidRPr="008F03E5">
        <w:t>Masil or Mawsil (Mausil)</w:t>
      </w:r>
      <w:r w:rsidRPr="008F03E5">
        <w:tab/>
        <w:t>Maṣil or Mawṣil</w:t>
      </w:r>
      <w:r w:rsidRPr="008F03E5">
        <w:tab/>
        <w:t>al-Maṣil, Mosul, Iraq</w:t>
      </w:r>
    </w:p>
    <w:p w14:paraId="5511529F" w14:textId="77777777" w:rsidR="00625A5B" w:rsidRPr="008F03E5" w:rsidRDefault="00625A5B" w:rsidP="00900A82">
      <w:pPr>
        <w:pStyle w:val="Translit"/>
      </w:pPr>
      <w:r w:rsidRPr="008F03E5">
        <w:t>Masjid al-Aqsa</w:t>
      </w:r>
      <w:r w:rsidRPr="008F03E5">
        <w:tab/>
        <w:t>al-Masjid al-Aqṣá</w:t>
      </w:r>
      <w:r w:rsidRPr="008F03E5">
        <w:tab/>
        <w:t>“remotest mosque”, Aqṣá Mosque, near the Dome of the Rock</w:t>
      </w:r>
    </w:p>
    <w:p w14:paraId="149B858A" w14:textId="77777777" w:rsidR="00625A5B" w:rsidRPr="008F03E5" w:rsidRDefault="00625A5B" w:rsidP="00AD50E5">
      <w:pPr>
        <w:pStyle w:val="Translit"/>
      </w:pPr>
      <w:r w:rsidRPr="008F03E5">
        <w:t>Ma</w:t>
      </w:r>
      <w:r>
        <w:t>s</w:t>
      </w:r>
      <w:r w:rsidRPr="008F03E5">
        <w:t>jid al-Haram</w:t>
      </w:r>
      <w:r w:rsidRPr="008F03E5">
        <w:tab/>
      </w:r>
      <w:r>
        <w:t>al-</w:t>
      </w:r>
      <w:r w:rsidRPr="008F03E5">
        <w:t>Ma</w:t>
      </w:r>
      <w:r>
        <w:t>s</w:t>
      </w:r>
      <w:r w:rsidRPr="008F03E5">
        <w:t>j</w:t>
      </w:r>
      <w:r>
        <w:t>i</w:t>
      </w:r>
      <w:r w:rsidRPr="008F03E5">
        <w:t>d al-Ḥar</w:t>
      </w:r>
      <w:r w:rsidRPr="00AD50E5">
        <w:t>á</w:t>
      </w:r>
      <w:r w:rsidRPr="008F03E5">
        <w:t>m</w:t>
      </w:r>
      <w:r w:rsidRPr="008F03E5">
        <w:tab/>
        <w:t>the Noble Mosque, the main Mosque in Mecca within which is the cubic building (al-Ka‘ba, the “Kaaba” or al-Ka‘ba al-Mu</w:t>
      </w:r>
      <w:r w:rsidRPr="008F03E5">
        <w:rPr>
          <w:u w:val="single"/>
        </w:rPr>
        <w:t>sh</w:t>
      </w:r>
      <w:r w:rsidRPr="008F03E5">
        <w:t>arrafah, the exalted “Kaaba”)</w:t>
      </w:r>
    </w:p>
    <w:p w14:paraId="2D5EC890" w14:textId="77777777" w:rsidR="00625A5B" w:rsidRPr="008F03E5" w:rsidRDefault="00625A5B" w:rsidP="00542C20">
      <w:pPr>
        <w:pStyle w:val="Translit"/>
      </w:pPr>
      <w:r w:rsidRPr="008F03E5">
        <w:t>Ma</w:t>
      </w:r>
      <w:r>
        <w:t>s</w:t>
      </w:r>
      <w:r w:rsidRPr="008F03E5">
        <w:t>jid an-Naw, Ma</w:t>
      </w:r>
      <w:r>
        <w:t>s</w:t>
      </w:r>
      <w:r w:rsidRPr="008F03E5">
        <w:t>jid-i-Naw</w:t>
      </w:r>
      <w:r w:rsidRPr="008F03E5">
        <w:tab/>
        <w:t>Ma</w:t>
      </w:r>
      <w:r>
        <w:t>s</w:t>
      </w:r>
      <w:r w:rsidRPr="008F03E5">
        <w:t xml:space="preserve">jid an-Naw, </w:t>
      </w:r>
      <w:r>
        <w:t xml:space="preserve">Pers. </w:t>
      </w:r>
      <w:r w:rsidRPr="008F03E5">
        <w:t>Ma</w:t>
      </w:r>
      <w:r>
        <w:t>s</w:t>
      </w:r>
      <w:r w:rsidRPr="008F03E5">
        <w:t>jid-i-Naw</w:t>
      </w:r>
      <w:r w:rsidRPr="008F03E5">
        <w:tab/>
        <w:t>The New Mosque in Shiraz (29.611165, 52.541850)</w:t>
      </w:r>
    </w:p>
    <w:p w14:paraId="28411674" w14:textId="77777777" w:rsidR="00625A5B" w:rsidRPr="008F03E5" w:rsidRDefault="00625A5B" w:rsidP="00990C92">
      <w:pPr>
        <w:pStyle w:val="Translit"/>
      </w:pPr>
      <w:r w:rsidRPr="008F03E5">
        <w:t xml:space="preserve">Masjid </w:t>
      </w:r>
      <w:r w:rsidRPr="008F03E5">
        <w:rPr>
          <w:rFonts w:eastAsia="PMingLiU"/>
          <w:lang w:eastAsia="zh-TW"/>
        </w:rPr>
        <w:t xml:space="preserve">Jami’, </w:t>
      </w:r>
      <w:r w:rsidRPr="008F03E5">
        <w:t>Masjid-i-</w:t>
      </w:r>
      <w:r w:rsidRPr="008F03E5">
        <w:rPr>
          <w:rFonts w:eastAsia="PMingLiU"/>
          <w:lang w:eastAsia="zh-TW"/>
        </w:rPr>
        <w:t>Jami’</w:t>
      </w:r>
      <w:r w:rsidRPr="008F03E5">
        <w:tab/>
        <w:t xml:space="preserve">Masjid </w:t>
      </w:r>
      <w:r w:rsidRPr="008F03E5">
        <w:rPr>
          <w:rFonts w:eastAsia="PMingLiU"/>
          <w:lang w:eastAsia="zh-TW"/>
        </w:rPr>
        <w:t xml:space="preserve">Jámi‘, Pers. </w:t>
      </w:r>
      <w:r w:rsidRPr="008F03E5">
        <w:t>Masjid-i-</w:t>
      </w:r>
      <w:r w:rsidRPr="008F03E5">
        <w:rPr>
          <w:rFonts w:eastAsia="PMingLiU"/>
          <w:lang w:eastAsia="zh-TW"/>
        </w:rPr>
        <w:t>Jámi‘</w:t>
      </w:r>
      <w:r w:rsidRPr="008F03E5">
        <w:rPr>
          <w:rFonts w:eastAsia="PMingLiU"/>
          <w:lang w:eastAsia="zh-TW"/>
        </w:rPr>
        <w:tab/>
      </w:r>
      <w:r w:rsidRPr="008F03E5">
        <w:t>“congregational mosque”, Friday mosque or grand mosque.  Often the main mosque of an area.</w:t>
      </w:r>
    </w:p>
    <w:p w14:paraId="64072752" w14:textId="77777777" w:rsidR="00625A5B" w:rsidRPr="008F03E5" w:rsidRDefault="00625A5B" w:rsidP="00B37F1E">
      <w:pPr>
        <w:pStyle w:val="Translit"/>
      </w:pPr>
      <w:r w:rsidRPr="008F03E5">
        <w:t>Masjid, Masajid</w:t>
      </w:r>
      <w:r w:rsidRPr="008F03E5">
        <w:tab/>
        <w:t>Masjid, pl. Masájid</w:t>
      </w:r>
      <w:r w:rsidRPr="008F03E5">
        <w:tab/>
        <w:t>(Literally, place of prostration)</w:t>
      </w:r>
      <w:r>
        <w:t xml:space="preserve"> </w:t>
      </w:r>
      <w:r w:rsidRPr="008F03E5">
        <w:t>mosque.</w:t>
      </w:r>
    </w:p>
    <w:p w14:paraId="017C6410" w14:textId="77777777" w:rsidR="00625A5B" w:rsidRPr="008F03E5" w:rsidRDefault="00625A5B" w:rsidP="00993D0A">
      <w:pPr>
        <w:pStyle w:val="Translit"/>
      </w:pPr>
      <w:r w:rsidRPr="007F62F4">
        <w:t>Masjid-i-Jahan Numa</w:t>
      </w:r>
      <w:r w:rsidRPr="007F62F4">
        <w:tab/>
        <w:t>Masjid-i-Jahán Numá</w:t>
      </w:r>
      <w:r w:rsidRPr="007F62F4">
        <w:tab/>
        <w:t xml:space="preserve">Pers. </w:t>
      </w:r>
      <w:r w:rsidRPr="008F03E5">
        <w:t>“mosque commanding view of the world”.  Mosque in Delhi, now commonly called Masjid-i-</w:t>
      </w:r>
      <w:r w:rsidRPr="008F03E5">
        <w:rPr>
          <w:rFonts w:eastAsia="PMingLiU"/>
          <w:lang w:eastAsia="zh-TW"/>
        </w:rPr>
        <w:t>Jámi‘.</w:t>
      </w:r>
    </w:p>
    <w:p w14:paraId="1C17632D" w14:textId="77777777" w:rsidR="00625A5B" w:rsidRPr="008063A9" w:rsidRDefault="00625A5B" w:rsidP="00900A82">
      <w:pPr>
        <w:pStyle w:val="Translit"/>
        <w:rPr>
          <w:lang w:val="en-AU"/>
        </w:rPr>
      </w:pPr>
      <w:r w:rsidRPr="008063A9">
        <w:rPr>
          <w:lang w:val="en-AU"/>
        </w:rPr>
        <w:t>Masjid-i-Kufih</w:t>
      </w:r>
      <w:r w:rsidRPr="008063A9">
        <w:rPr>
          <w:lang w:val="en-AU"/>
        </w:rPr>
        <w:tab/>
        <w:t>Masjid-i-Kúfih</w:t>
      </w:r>
      <w:r w:rsidRPr="008063A9">
        <w:rPr>
          <w:lang w:val="en-AU"/>
        </w:rPr>
        <w:tab/>
        <w:t>(</w:t>
      </w:r>
      <w:r w:rsidRPr="008063A9">
        <w:rPr>
          <w:sz w:val="16"/>
          <w:szCs w:val="16"/>
          <w:lang w:val="en-AU"/>
        </w:rPr>
        <w:t>MF</w:t>
      </w:r>
      <w:r w:rsidRPr="008063A9">
        <w:rPr>
          <w:lang w:val="en-AU"/>
        </w:rPr>
        <w:t>)</w:t>
      </w:r>
    </w:p>
    <w:p w14:paraId="48447304" w14:textId="77777777" w:rsidR="00625A5B" w:rsidRPr="008F03E5" w:rsidRDefault="00625A5B" w:rsidP="003B16E5">
      <w:pPr>
        <w:pStyle w:val="Translit"/>
      </w:pPr>
      <w:r w:rsidRPr="008F03E5">
        <w:t>Masjid-i-Masha’u’llah</w:t>
      </w:r>
      <w:r w:rsidRPr="008F03E5">
        <w:tab/>
        <w:t>Masjid-i-Ma</w:t>
      </w:r>
      <w:r w:rsidRPr="008F03E5">
        <w:rPr>
          <w:u w:val="single"/>
        </w:rPr>
        <w:t>sh</w:t>
      </w:r>
      <w:r w:rsidRPr="008F03E5">
        <w:t>á’u’lláh</w:t>
      </w:r>
      <w:r w:rsidRPr="008F03E5">
        <w:tab/>
        <w:t>the Báb’s remains were hidden overnight in this abandoned building near Ṭihrán</w:t>
      </w:r>
      <w:r>
        <w:t xml:space="preserve">, between the </w:t>
      </w:r>
      <w:r w:rsidRPr="00D20D12">
        <w:rPr>
          <w:u w:val="single"/>
        </w:rPr>
        <w:t>Sh</w:t>
      </w:r>
      <w:r w:rsidRPr="00D20D12">
        <w:t>á</w:t>
      </w:r>
      <w:r>
        <w:t>h ‘Abdu’l-</w:t>
      </w:r>
      <w:r w:rsidRPr="008F03E5">
        <w:t>‘Azím</w:t>
      </w:r>
      <w:r>
        <w:t xml:space="preserve"> Shrine and </w:t>
      </w:r>
      <w:r w:rsidRPr="008F03E5">
        <w:rPr>
          <w:u w:val="single"/>
        </w:rPr>
        <w:t>Ch</w:t>
      </w:r>
      <w:r w:rsidRPr="008F03E5">
        <w:t>a</w:t>
      </w:r>
      <w:r w:rsidRPr="008F03E5">
        <w:rPr>
          <w:u w:val="single"/>
        </w:rPr>
        <w:t>sh</w:t>
      </w:r>
      <w:r w:rsidRPr="008F03E5">
        <w:t>ma ‘Alí</w:t>
      </w:r>
      <w:r>
        <w:t>.</w:t>
      </w:r>
    </w:p>
    <w:p w14:paraId="04FD323E" w14:textId="77777777" w:rsidR="00625A5B" w:rsidRPr="008F03E5" w:rsidRDefault="00625A5B" w:rsidP="00D20D12">
      <w:pPr>
        <w:pStyle w:val="Translit"/>
      </w:pPr>
      <w:r w:rsidRPr="008F03E5">
        <w:t>Ma</w:t>
      </w:r>
      <w:r>
        <w:t>s</w:t>
      </w:r>
      <w:r w:rsidRPr="008F03E5">
        <w:t>jid-i-Masha’u’llah</w:t>
      </w:r>
      <w:r w:rsidRPr="008F03E5">
        <w:tab/>
        <w:t>Ma</w:t>
      </w:r>
      <w:r>
        <w:t>s</w:t>
      </w:r>
      <w:r w:rsidRPr="008F03E5">
        <w:t>j</w:t>
      </w:r>
      <w:r>
        <w:t>i</w:t>
      </w:r>
      <w:r w:rsidRPr="008F03E5">
        <w:t>d-i-Má</w:t>
      </w:r>
      <w:r w:rsidRPr="008F03E5">
        <w:rPr>
          <w:u w:val="single"/>
        </w:rPr>
        <w:t>sh</w:t>
      </w:r>
      <w:r w:rsidRPr="008F03E5">
        <w:t>á’u’lláh</w:t>
      </w:r>
      <w:r w:rsidRPr="008F03E5">
        <w:tab/>
        <w:t>the Báb’s remains were hidden overnight in this abandoned building near Ṭihrán</w:t>
      </w:r>
      <w:r>
        <w:t xml:space="preserve">, between the </w:t>
      </w:r>
      <w:r w:rsidRPr="00D20D12">
        <w:rPr>
          <w:u w:val="single"/>
        </w:rPr>
        <w:t>Sh</w:t>
      </w:r>
      <w:r w:rsidRPr="00D20D12">
        <w:t>á</w:t>
      </w:r>
      <w:r>
        <w:t>h ‘Abdu’l-</w:t>
      </w:r>
      <w:r w:rsidRPr="008F03E5">
        <w:t>‘Azím</w:t>
      </w:r>
      <w:r>
        <w:t xml:space="preserve"> Shrine and </w:t>
      </w:r>
      <w:r w:rsidRPr="008F03E5">
        <w:rPr>
          <w:u w:val="single"/>
        </w:rPr>
        <w:t>Ch</w:t>
      </w:r>
      <w:r w:rsidRPr="008F03E5">
        <w:t>a</w:t>
      </w:r>
      <w:r w:rsidRPr="008F03E5">
        <w:rPr>
          <w:u w:val="single"/>
        </w:rPr>
        <w:t>sh</w:t>
      </w:r>
      <w:r w:rsidRPr="008F03E5">
        <w:t>ma ‘Alí</w:t>
      </w:r>
      <w:r>
        <w:t>.</w:t>
      </w:r>
    </w:p>
    <w:p w14:paraId="007D1EDD" w14:textId="77777777" w:rsidR="00625A5B" w:rsidRPr="008F03E5" w:rsidRDefault="00625A5B" w:rsidP="00DF68E0">
      <w:pPr>
        <w:pStyle w:val="Translit"/>
      </w:pPr>
      <w:r w:rsidRPr="008F03E5">
        <w:t>Masjid-i-Shah or Masjid-i-Sultani</w:t>
      </w:r>
      <w:r w:rsidRPr="008F03E5">
        <w:tab/>
        <w:t>Masjid-i-</w:t>
      </w:r>
      <w:r w:rsidRPr="008F03E5">
        <w:rPr>
          <w:u w:val="single"/>
        </w:rPr>
        <w:t>Sh</w:t>
      </w:r>
      <w:r w:rsidRPr="008F03E5">
        <w:t>áh or Masjid-i-Sulṭání</w:t>
      </w:r>
      <w:r w:rsidRPr="008F03E5">
        <w:tab/>
        <w:t xml:space="preserve">Shah or Royal Mosque in Ṭihrán.  Renamed Masjid-i-Imám in 1979.  </w:t>
      </w:r>
      <w:r w:rsidRPr="008F03E5">
        <w:rPr>
          <w:u w:val="single"/>
        </w:rPr>
        <w:t>Sh</w:t>
      </w:r>
      <w:r w:rsidRPr="008F03E5">
        <w:t>ay</w:t>
      </w:r>
      <w:r w:rsidRPr="008F03E5">
        <w:rPr>
          <w:u w:val="single"/>
        </w:rPr>
        <w:t>kh</w:t>
      </w:r>
      <w:r w:rsidRPr="008F03E5">
        <w:t xml:space="preserve"> Muḥammad-Taqí Falsafí preached an incendiary sermon against the Bahá’ís during Ramaḍan 1955.</w:t>
      </w:r>
    </w:p>
    <w:p w14:paraId="5B15A973" w14:textId="77777777" w:rsidR="00625A5B" w:rsidRPr="008F03E5" w:rsidRDefault="00625A5B" w:rsidP="00FD3B8D">
      <w:pPr>
        <w:pStyle w:val="Translit"/>
      </w:pPr>
      <w:r w:rsidRPr="008F03E5">
        <w:t>Maslak, Masalik</w:t>
      </w:r>
      <w:r w:rsidRPr="008F03E5">
        <w:tab/>
        <w:t>Maslak, pl. Masálik</w:t>
      </w:r>
      <w:r w:rsidRPr="008F03E5">
        <w:tab/>
        <w:t>way, road, path; course of action, policy; procedure, method</w:t>
      </w:r>
    </w:p>
    <w:p w14:paraId="69127E36" w14:textId="77777777" w:rsidR="00625A5B" w:rsidRPr="008F03E5" w:rsidRDefault="00625A5B" w:rsidP="00FB7C6E">
      <w:pPr>
        <w:pStyle w:val="Translit"/>
      </w:pPr>
      <w:r w:rsidRPr="008F03E5">
        <w:t>Maslama</w:t>
      </w:r>
      <w:r w:rsidRPr="008F03E5">
        <w:tab/>
        <w:t>Maslama[h or t]</w:t>
      </w:r>
      <w:r w:rsidRPr="008F03E5">
        <w:tab/>
        <w:t>Maslamah bin Ḥabíb (the name was scorned by Muslims to Musaylimah, meaning reduced or little Maslamah), he was one of a series of people (including his wife, Sajáḥ) claiming to be a prophet, and he was a “rival” of Muḥammad.  The epithet ka</w:t>
      </w:r>
      <w:r w:rsidRPr="008F03E5">
        <w:rPr>
          <w:u w:val="single"/>
        </w:rPr>
        <w:t>dhdh</w:t>
      </w:r>
      <w:r w:rsidRPr="008F03E5">
        <w:t>áb</w:t>
      </w:r>
      <w:r w:rsidRPr="008F03E5">
        <w:rPr>
          <w:i/>
          <w:iCs/>
        </w:rPr>
        <w:t>,</w:t>
      </w:r>
      <w:r w:rsidRPr="008F03E5">
        <w:t xml:space="preserve"> “liar”, is usually affixed:  Musaylimah al-Ka</w:t>
      </w:r>
      <w:r w:rsidRPr="008F03E5">
        <w:rPr>
          <w:u w:val="single"/>
        </w:rPr>
        <w:t>dhdh</w:t>
      </w:r>
      <w:r w:rsidRPr="008F03E5">
        <w:t>áb (Musaylimah the Arch-Liar).  See Muṣa</w:t>
      </w:r>
      <w:r w:rsidRPr="008F03E5">
        <w:rPr>
          <w:u w:val="single"/>
        </w:rPr>
        <w:t>ghgh</w:t>
      </w:r>
      <w:r w:rsidRPr="008F03E5">
        <w:t>ara and Yamáma.</w:t>
      </w:r>
    </w:p>
    <w:p w14:paraId="0580D655" w14:textId="77777777" w:rsidR="00625A5B" w:rsidRPr="008F03E5" w:rsidRDefault="00625A5B" w:rsidP="005E0A5C">
      <w:pPr>
        <w:pStyle w:val="Translit"/>
      </w:pPr>
      <w:r w:rsidRPr="00984101">
        <w:t>Masqat, Masqit, Masaqit</w:t>
      </w:r>
      <w:r w:rsidRPr="00984101">
        <w:tab/>
        <w:t xml:space="preserve">Masqaṭ, Masqiṭ, pl. </w:t>
      </w:r>
      <w:r w:rsidRPr="008F03E5">
        <w:t>Masáqiṭ</w:t>
      </w:r>
      <w:r w:rsidRPr="008F03E5">
        <w:tab/>
        <w:t>place where a falling object lands; waterfall.  Masqaṭ (Muscat) is the capital of Oman</w:t>
      </w:r>
    </w:p>
    <w:p w14:paraId="3AAB1FE5" w14:textId="77777777" w:rsidR="00625A5B" w:rsidRPr="008F03E5" w:rsidRDefault="00625A5B" w:rsidP="00DB5C2A">
      <w:pPr>
        <w:pStyle w:val="Translit"/>
        <w:rPr>
          <w:rFonts w:eastAsia="PMingLiU"/>
          <w:lang w:eastAsia="zh-TW"/>
        </w:rPr>
      </w:pPr>
      <w:r w:rsidRPr="008F03E5">
        <w:rPr>
          <w:rFonts w:eastAsia="PMingLiU"/>
          <w:lang w:eastAsia="zh-TW"/>
        </w:rPr>
        <w:t>Masrur</w:t>
      </w:r>
      <w:r w:rsidRPr="008F03E5">
        <w:tab/>
      </w:r>
      <w:r w:rsidRPr="008F03E5">
        <w:rPr>
          <w:rFonts w:eastAsia="PMingLiU"/>
          <w:lang w:eastAsia="zh-TW"/>
        </w:rPr>
        <w:t>Masrúr</w:t>
      </w:r>
      <w:r w:rsidRPr="008F03E5">
        <w:tab/>
        <w:t>glad, happy, delighted (at), pleased (with)</w:t>
      </w:r>
    </w:p>
    <w:p w14:paraId="51F363B1" w14:textId="77777777" w:rsidR="00625A5B" w:rsidRPr="008F03E5" w:rsidRDefault="00625A5B" w:rsidP="00DF475E">
      <w:pPr>
        <w:pStyle w:val="Translit"/>
      </w:pPr>
      <w:r w:rsidRPr="008F03E5">
        <w:t>Mast</w:t>
      </w:r>
      <w:r w:rsidRPr="008F03E5">
        <w:tab/>
        <w:t>Mast</w:t>
      </w:r>
      <w:r w:rsidRPr="008F03E5">
        <w:tab/>
        <w:t xml:space="preserve">Pers. drunk, intoxicated; libidinous, lustful, wanton, furious; an animal in rut.  Ḥájjí Zayn al-‘Ábidín </w:t>
      </w:r>
      <w:r w:rsidRPr="008F03E5">
        <w:rPr>
          <w:u w:val="single"/>
        </w:rPr>
        <w:t>Sh</w:t>
      </w:r>
      <w:r w:rsidRPr="008F03E5">
        <w:t xml:space="preserve">írwání (Mast ‘Alí </w:t>
      </w:r>
      <w:r w:rsidRPr="008F03E5">
        <w:rPr>
          <w:u w:val="single"/>
        </w:rPr>
        <w:t>Sh</w:t>
      </w:r>
      <w:r w:rsidRPr="008F03E5">
        <w:t>áh)—Persian scholar and mystic (1193–1253 Sh./1779–1837)</w:t>
      </w:r>
    </w:p>
    <w:p w14:paraId="01444C6E" w14:textId="77777777" w:rsidR="00625A5B" w:rsidRPr="008F03E5" w:rsidRDefault="00625A5B" w:rsidP="005D1087">
      <w:pPr>
        <w:pStyle w:val="Translit"/>
      </w:pPr>
      <w:r w:rsidRPr="008F03E5">
        <w:t>Mast</w:t>
      </w:r>
      <w:r w:rsidRPr="008F03E5">
        <w:tab/>
        <w:t>Mást</w:t>
      </w:r>
      <w:r w:rsidRPr="008F03E5">
        <w:tab/>
        <w:t>Pers. sour, coagulated milk; mastic (Arabic gum)</w:t>
      </w:r>
    </w:p>
    <w:p w14:paraId="3434C43F" w14:textId="77777777" w:rsidR="00625A5B" w:rsidRPr="008F03E5" w:rsidRDefault="00625A5B" w:rsidP="00D84B69">
      <w:pPr>
        <w:pStyle w:val="Translit"/>
        <w:rPr>
          <w:b/>
          <w:bCs/>
        </w:rPr>
      </w:pPr>
      <w:r w:rsidRPr="008F03E5">
        <w:t>Mastar (Master)</w:t>
      </w:r>
      <w:r w:rsidRPr="008F03E5">
        <w:tab/>
        <w:t>Mástar</w:t>
      </w:r>
      <w:r w:rsidRPr="008F03E5">
        <w:tab/>
        <w:t>a very small village (34.631332, 49.777107) in Markazi Province, Iran.  Also known as Mu‘áṣir (“contemporary”).</w:t>
      </w:r>
    </w:p>
    <w:p w14:paraId="675965C6" w14:textId="77777777" w:rsidR="00625A5B" w:rsidRPr="008F03E5" w:rsidRDefault="00625A5B" w:rsidP="00C331A4">
      <w:pPr>
        <w:pStyle w:val="Translit"/>
      </w:pPr>
      <w:r w:rsidRPr="008F03E5">
        <w:t>Masud</w:t>
      </w:r>
      <w:r w:rsidRPr="008F03E5">
        <w:tab/>
        <w:t>Masúd</w:t>
      </w:r>
      <w:r w:rsidRPr="008F03E5">
        <w:tab/>
        <w:t>(probably for musauwad) who has been made a chief, who has become great</w:t>
      </w:r>
    </w:p>
    <w:p w14:paraId="6BA24DCF" w14:textId="77777777" w:rsidR="00625A5B" w:rsidRPr="008F03E5" w:rsidRDefault="00625A5B" w:rsidP="006C4AA0">
      <w:pPr>
        <w:pStyle w:val="Translit"/>
      </w:pPr>
      <w:r w:rsidRPr="008F03E5">
        <w:t>Matali’-i-Anwar</w:t>
      </w:r>
      <w:r w:rsidRPr="008F03E5">
        <w:tab/>
        <w:t>Maṭáli‘-i-Anwár</w:t>
      </w:r>
      <w:r w:rsidRPr="008F03E5">
        <w:tab/>
        <w:t xml:space="preserve">“The dawn rays” by Muḥammad Nabíl-i-A‘ẓam Zarandí.  Translated as </w:t>
      </w:r>
      <w:r w:rsidRPr="008F03E5">
        <w:rPr>
          <w:i/>
          <w:iCs/>
        </w:rPr>
        <w:t>The Dawn-Breakers</w:t>
      </w:r>
      <w:r w:rsidRPr="008F03E5">
        <w:t xml:space="preserve">  by Shoghi Effendi.</w:t>
      </w:r>
    </w:p>
    <w:p w14:paraId="4C8FDD82" w14:textId="77777777" w:rsidR="00625A5B" w:rsidRPr="008F03E5" w:rsidRDefault="00625A5B" w:rsidP="00DA0A75">
      <w:pPr>
        <w:pStyle w:val="Translit"/>
      </w:pPr>
      <w:r w:rsidRPr="00077779">
        <w:rPr>
          <w:lang w:val="es-ES_tradnl"/>
        </w:rPr>
        <w:t>Matba’a, Matabi’</w:t>
      </w:r>
      <w:r w:rsidRPr="00077779">
        <w:rPr>
          <w:lang w:val="es-ES_tradnl"/>
        </w:rPr>
        <w:tab/>
        <w:t xml:space="preserve">Maṭba‘a[h], pl. </w:t>
      </w:r>
      <w:r w:rsidRPr="008F03E5">
        <w:t>Maṭábi‘</w:t>
      </w:r>
      <w:r w:rsidRPr="008F03E5">
        <w:tab/>
        <w:t>print shop, printing office, printing house, press</w:t>
      </w:r>
    </w:p>
    <w:p w14:paraId="46319FDD" w14:textId="77777777" w:rsidR="00625A5B" w:rsidRPr="008F03E5" w:rsidRDefault="00625A5B" w:rsidP="00B52468">
      <w:pPr>
        <w:pStyle w:val="Translit"/>
      </w:pPr>
      <w:r w:rsidRPr="008F03E5">
        <w:t>Matbu’, Matbu’at</w:t>
      </w:r>
      <w:r w:rsidRPr="008F03E5">
        <w:tab/>
        <w:t>Maṭbú‘, fem. Maṭbú‘a[h or t], pl. Maṭbú‘át</w:t>
      </w:r>
      <w:r w:rsidRPr="008F03E5">
        <w:tab/>
        <w:t>printed, imprinted; stereotyped;—pl. printed material, prints; printed matter</w:t>
      </w:r>
    </w:p>
    <w:p w14:paraId="78CEC0BE" w14:textId="77777777" w:rsidR="00625A5B" w:rsidRPr="008F03E5" w:rsidRDefault="00625A5B" w:rsidP="00AE0803">
      <w:pPr>
        <w:pStyle w:val="Translit"/>
      </w:pPr>
      <w:r w:rsidRPr="008F03E5">
        <w:t>Mathal al-A’la</w:t>
      </w:r>
      <w:r w:rsidRPr="008F03E5">
        <w:tab/>
        <w:t>Ma</w:t>
      </w:r>
      <w:r w:rsidRPr="008F03E5">
        <w:rPr>
          <w:u w:val="single"/>
        </w:rPr>
        <w:t>th</w:t>
      </w:r>
      <w:r w:rsidRPr="008F03E5">
        <w:t>al al-A‘lá</w:t>
      </w:r>
      <w:r w:rsidRPr="008F03E5">
        <w:tab/>
        <w:t>likeness of the One without semblance, sublime simultude, Sublime Exemplar.  See Qur’án 16:60, 30:27.</w:t>
      </w:r>
    </w:p>
    <w:p w14:paraId="2EC52299" w14:textId="77777777" w:rsidR="00625A5B" w:rsidRPr="008F03E5" w:rsidRDefault="00625A5B" w:rsidP="00AD06A3">
      <w:pPr>
        <w:pStyle w:val="Translit"/>
      </w:pPr>
      <w:r w:rsidRPr="008F03E5">
        <w:t>Mathal, Amthal</w:t>
      </w:r>
      <w:r w:rsidRPr="008F03E5">
        <w:tab/>
        <w:t>Ma</w:t>
      </w:r>
      <w:r w:rsidRPr="008F03E5">
        <w:rPr>
          <w:u w:val="single"/>
        </w:rPr>
        <w:t>th</w:t>
      </w:r>
      <w:r w:rsidRPr="008F03E5">
        <w:t>al, pl. Am</w:t>
      </w:r>
      <w:r w:rsidRPr="008F03E5">
        <w:rPr>
          <w:u w:val="single"/>
        </w:rPr>
        <w:t>th</w:t>
      </w:r>
      <w:r w:rsidRPr="008F03E5">
        <w:t>ál</w:t>
      </w:r>
      <w:r w:rsidRPr="008F03E5">
        <w:tab/>
        <w:t>likeness; metaphor, simile, parable; proverb, adage; example; lesson, similar case; ideal, model</w:t>
      </w:r>
    </w:p>
    <w:p w14:paraId="5BCD1EDF" w14:textId="77777777" w:rsidR="00625A5B" w:rsidRPr="008F03E5" w:rsidRDefault="00625A5B" w:rsidP="00895C3F">
      <w:pPr>
        <w:pStyle w:val="Translit"/>
      </w:pPr>
      <w:r w:rsidRPr="00B03D50">
        <w:t>Mathani (Massani, Messan</w:t>
      </w:r>
      <w:r>
        <w:t>i</w:t>
      </w:r>
      <w:r w:rsidRPr="00B03D50">
        <w:t>)</w:t>
      </w:r>
      <w:r w:rsidRPr="00B03D50">
        <w:tab/>
        <w:t>Ma</w:t>
      </w:r>
      <w:r w:rsidRPr="00B03D50">
        <w:rPr>
          <w:u w:val="single"/>
        </w:rPr>
        <w:t>th</w:t>
      </w:r>
      <w:r w:rsidRPr="00B03D50">
        <w:t>ání</w:t>
      </w:r>
      <w:r w:rsidRPr="00B03D50">
        <w:tab/>
        <w:t>oft-repeated or repetition (see Qur’án 15:87).  See Fátiḥa</w:t>
      </w:r>
      <w:r>
        <w:t xml:space="preserve"> regarding the revealing of S</w:t>
      </w:r>
      <w:r w:rsidRPr="00895C3F">
        <w:t>ú</w:t>
      </w:r>
      <w:r>
        <w:t xml:space="preserve">ra </w:t>
      </w:r>
      <w:r w:rsidRPr="008F03E5">
        <w:t>al-Fátiḥa</w:t>
      </w:r>
      <w:r>
        <w:t xml:space="preserve"> twice</w:t>
      </w:r>
      <w:r w:rsidRPr="00B03D50">
        <w:t>.</w:t>
      </w:r>
    </w:p>
    <w:p w14:paraId="6726424D" w14:textId="77777777" w:rsidR="00625A5B" w:rsidRPr="008F03E5" w:rsidRDefault="00625A5B" w:rsidP="00900A82">
      <w:pPr>
        <w:pStyle w:val="Translit"/>
      </w:pPr>
      <w:r w:rsidRPr="008F03E5">
        <w:t>Mathnaviy-i-Mubarak</w:t>
      </w:r>
      <w:r w:rsidRPr="008F03E5">
        <w:tab/>
        <w:t>Ma</w:t>
      </w:r>
      <w:r w:rsidRPr="008F03E5">
        <w:rPr>
          <w:u w:val="single"/>
        </w:rPr>
        <w:t>th</w:t>
      </w:r>
      <w:r w:rsidRPr="008F03E5">
        <w:t>navíy-i-Mubárak</w:t>
      </w:r>
      <w:r w:rsidRPr="008F03E5">
        <w:tab/>
        <w:t>“Blessed Ma</w:t>
      </w:r>
      <w:r w:rsidRPr="008F03E5">
        <w:rPr>
          <w:u w:val="single"/>
        </w:rPr>
        <w:t>th</w:t>
      </w:r>
      <w:r w:rsidRPr="008F03E5">
        <w:t>naví”, 300 line Persian poem by Bahá’u’lláh</w:t>
      </w:r>
    </w:p>
    <w:p w14:paraId="41CA7663" w14:textId="77777777" w:rsidR="00625A5B" w:rsidRPr="008F03E5" w:rsidRDefault="00625A5B" w:rsidP="00CE5213">
      <w:pPr>
        <w:pStyle w:val="Translit"/>
      </w:pPr>
      <w:r w:rsidRPr="008F03E5">
        <w:t>Mathnawi (Masnawi), Mathnavi</w:t>
      </w:r>
      <w:r w:rsidRPr="008F03E5">
        <w:tab/>
        <w:t>Ma</w:t>
      </w:r>
      <w:r w:rsidRPr="008F03E5">
        <w:rPr>
          <w:u w:val="single"/>
        </w:rPr>
        <w:t>th</w:t>
      </w:r>
      <w:r w:rsidRPr="008F03E5">
        <w:t>nawí</w:t>
      </w:r>
      <w:r>
        <w:t>, Ma</w:t>
      </w:r>
      <w:r w:rsidRPr="00DA0A09">
        <w:rPr>
          <w:u w:val="single"/>
        </w:rPr>
        <w:t>th</w:t>
      </w:r>
      <w:r>
        <w:t>nawiyy</w:t>
      </w:r>
      <w:r w:rsidRPr="008F03E5">
        <w:tab/>
        <w:t>(</w:t>
      </w:r>
      <w:r>
        <w:t xml:space="preserve">Alternative transcription </w:t>
      </w:r>
      <w:r w:rsidRPr="008F03E5">
        <w:t xml:space="preserve">Masnawí and </w:t>
      </w:r>
      <w:r>
        <w:t>I</w:t>
      </w:r>
      <w:r w:rsidRPr="00DA0A09">
        <w:t>ṣ</w:t>
      </w:r>
      <w:r>
        <w:t>fah</w:t>
      </w:r>
      <w:r w:rsidRPr="00DA0A09">
        <w:t>á</w:t>
      </w:r>
      <w:r>
        <w:t>n</w:t>
      </w:r>
      <w:r w:rsidRPr="00DA0A09">
        <w:t>í</w:t>
      </w:r>
      <w:r>
        <w:t xml:space="preserve"> Pers. </w:t>
      </w:r>
      <w:r w:rsidRPr="008F03E5">
        <w:t>Ma</w:t>
      </w:r>
      <w:r w:rsidRPr="008F03E5">
        <w:rPr>
          <w:u w:val="single"/>
        </w:rPr>
        <w:t>th</w:t>
      </w:r>
      <w:r w:rsidRPr="008F03E5">
        <w:t>naví) double, twofold, two- (e.g., of a railroad: two-track)</w:t>
      </w:r>
      <w:r>
        <w:t>; r</w:t>
      </w:r>
      <w:r w:rsidRPr="00D47AE7">
        <w:t>hyme; poetry composed of distichs corresponding in measure, each consisting of a pair of rhymes; title of several works of this kind, especially the S</w:t>
      </w:r>
      <w:r>
        <w:t>u</w:t>
      </w:r>
      <w:r w:rsidRPr="00D47AE7">
        <w:t>fic poem of Jallálu</w:t>
      </w:r>
      <w:r w:rsidRPr="00D47AE7">
        <w:rPr>
          <w:i/>
          <w:iCs/>
        </w:rPr>
        <w:t>’</w:t>
      </w:r>
      <w:r w:rsidRPr="00D47AE7">
        <w:t>d-</w:t>
      </w:r>
      <w:r>
        <w:t>D</w:t>
      </w:r>
      <w:r w:rsidRPr="00D47AE7">
        <w:t>ín Rúmí</w:t>
      </w:r>
      <w:r w:rsidRPr="008F03E5">
        <w:t>.  Formed from ma+</w:t>
      </w:r>
      <w:r w:rsidRPr="008F03E5">
        <w:rPr>
          <w:u w:val="single"/>
        </w:rPr>
        <w:t>th</w:t>
      </w:r>
      <w:r w:rsidRPr="008F03E5">
        <w:t xml:space="preserve">anawí, refers to the metre and rhyme scheme of a type of Persian poem written in couplets.  </w:t>
      </w:r>
      <w:r>
        <w:t>Plurals:  Ma</w:t>
      </w:r>
      <w:r w:rsidRPr="00DA0A09">
        <w:rPr>
          <w:u w:val="single"/>
        </w:rPr>
        <w:t>th</w:t>
      </w:r>
      <w:r>
        <w:t>nawiyyát, Pers.</w:t>
      </w:r>
      <w:r w:rsidRPr="008F03E5">
        <w:t xml:space="preserve"> Ma</w:t>
      </w:r>
      <w:r w:rsidRPr="008F03E5">
        <w:rPr>
          <w:u w:val="single"/>
        </w:rPr>
        <w:t>th</w:t>
      </w:r>
      <w:r w:rsidRPr="008F03E5">
        <w:t>nawí</w:t>
      </w:r>
      <w:r>
        <w:t>-h</w:t>
      </w:r>
      <w:r w:rsidRPr="00DA0A09">
        <w:t>á</w:t>
      </w:r>
      <w:r>
        <w:t>.  Poetical</w:t>
      </w:r>
      <w:r w:rsidRPr="008F03E5">
        <w:t xml:space="preserve"> form commonly used for epic, mystical poems.  Two popular ma</w:t>
      </w:r>
      <w:r w:rsidRPr="008F03E5">
        <w:rPr>
          <w:u w:val="single"/>
        </w:rPr>
        <w:t>th</w:t>
      </w:r>
      <w:r w:rsidRPr="008F03E5">
        <w:t>nawí metres are:  mutaqárib mu</w:t>
      </w:r>
      <w:r w:rsidRPr="008F03E5">
        <w:rPr>
          <w:u w:val="single"/>
        </w:rPr>
        <w:t>th</w:t>
      </w:r>
      <w:r w:rsidRPr="008F03E5">
        <w:t xml:space="preserve">amman maḥḍúf, as in Firdawsí’s </w:t>
      </w:r>
      <w:r w:rsidRPr="008F03E5">
        <w:rPr>
          <w:i/>
          <w:iCs/>
          <w:u w:val="single"/>
        </w:rPr>
        <w:t>Sh</w:t>
      </w:r>
      <w:r w:rsidRPr="008F03E5">
        <w:rPr>
          <w:i/>
          <w:iCs/>
        </w:rPr>
        <w:t>áhnámih</w:t>
      </w:r>
      <w:r w:rsidRPr="008F03E5">
        <w:t xml:space="preserve">; and ramal musaddas maḥḍúf as in Mawláná Jalálu’d-Dín-i-Rúmí’s </w:t>
      </w:r>
      <w:r w:rsidRPr="008F03E5">
        <w:rPr>
          <w:i/>
          <w:iCs/>
        </w:rPr>
        <w:t>Ma</w:t>
      </w:r>
      <w:r w:rsidRPr="008F03E5">
        <w:rPr>
          <w:i/>
          <w:iCs/>
          <w:u w:val="single"/>
        </w:rPr>
        <w:t>th</w:t>
      </w:r>
      <w:r w:rsidRPr="008F03E5">
        <w:rPr>
          <w:i/>
          <w:iCs/>
        </w:rPr>
        <w:t>nawí</w:t>
      </w:r>
      <w:r w:rsidRPr="008F03E5">
        <w:t>-</w:t>
      </w:r>
      <w:r>
        <w:t>y</w:t>
      </w:r>
      <w:r w:rsidRPr="008F03E5">
        <w:rPr>
          <w:i/>
          <w:iCs/>
        </w:rPr>
        <w:t>i-Ma‘nawí</w:t>
      </w:r>
      <w:r w:rsidRPr="008F03E5">
        <w:t xml:space="preserve"> (“The Spiritual Couplets”).  See muzdawij and</w:t>
      </w:r>
      <w:r w:rsidRPr="00DA0A09">
        <w:t xml:space="preserve"> </w:t>
      </w:r>
      <w:r w:rsidRPr="008F03E5">
        <w:rPr>
          <w:u w:val="single"/>
        </w:rPr>
        <w:t>th</w:t>
      </w:r>
      <w:r w:rsidRPr="008F03E5">
        <w:t>anawí.</w:t>
      </w:r>
    </w:p>
    <w:p w14:paraId="0F2C9BD2" w14:textId="77777777" w:rsidR="00625A5B" w:rsidRPr="008F03E5" w:rsidRDefault="00625A5B" w:rsidP="00A43B43">
      <w:pPr>
        <w:pStyle w:val="Translit"/>
      </w:pPr>
      <w:r w:rsidRPr="008F03E5">
        <w:t>Matla’, Matali’</w:t>
      </w:r>
      <w:r w:rsidRPr="008F03E5">
        <w:tab/>
        <w:t>Maṭla‘, pl. Maṭáli‘</w:t>
      </w:r>
      <w:r w:rsidRPr="008F03E5">
        <w:tab/>
        <w:t>rise, time of rising (of celestial bodies); point of ascent; starting point, point, of departure; break (e.g., of day), dawn (e.g., of an era), dayspring; onset, outset, start, beginning; introduction, preface, proem; opening verses (of a poem); prelude; lookout; ladder, steps, stairs</w:t>
      </w:r>
    </w:p>
    <w:p w14:paraId="3D627153" w14:textId="77777777" w:rsidR="00625A5B" w:rsidRPr="008F03E5" w:rsidRDefault="00625A5B" w:rsidP="006C4AA0">
      <w:pPr>
        <w:pStyle w:val="Translit"/>
      </w:pPr>
      <w:r w:rsidRPr="008F03E5">
        <w:t>Matla’-i-Anwar</w:t>
      </w:r>
      <w:r w:rsidRPr="008F03E5">
        <w:tab/>
        <w:t>Maṭla‘-i-Anwár</w:t>
      </w:r>
      <w:r w:rsidRPr="008F03E5">
        <w:tab/>
        <w:t>the Dawning Place of Lights (the Shrine of the Báb)</w:t>
      </w:r>
    </w:p>
    <w:p w14:paraId="04A2532D" w14:textId="77777777" w:rsidR="00625A5B" w:rsidRPr="008F03E5" w:rsidRDefault="00625A5B" w:rsidP="009670D2">
      <w:pPr>
        <w:pStyle w:val="Translit"/>
      </w:pPr>
      <w:r w:rsidRPr="008F03E5">
        <w:t>Matla’u’l-Walayat</w:t>
      </w:r>
      <w:r w:rsidRPr="008F03E5">
        <w:tab/>
        <w:t>Maṭla‘u’l-Waláyat</w:t>
      </w:r>
      <w:r w:rsidRPr="008F03E5">
        <w:tab/>
        <w:t>Translated by Shoghi Effendi as “Representative of God”</w:t>
      </w:r>
    </w:p>
    <w:p w14:paraId="625D868A" w14:textId="77777777" w:rsidR="00625A5B" w:rsidRPr="008F03E5" w:rsidRDefault="00625A5B" w:rsidP="005333CA">
      <w:pPr>
        <w:pStyle w:val="Translit"/>
      </w:pPr>
      <w:r w:rsidRPr="008F03E5">
        <w:t>Matlab, Matalib</w:t>
      </w:r>
      <w:r w:rsidRPr="008F03E5">
        <w:tab/>
        <w:t>Maṭlab, pl. Maṭálib</w:t>
      </w:r>
      <w:r w:rsidRPr="008F03E5">
        <w:tab/>
        <w:t>search, quest, pursuit;—pl. demand, call (for); request, wish; claim; problem, issue; (claims of the government =) taxes</w:t>
      </w:r>
    </w:p>
    <w:p w14:paraId="38FF47E1" w14:textId="77777777" w:rsidR="00625A5B" w:rsidRPr="008F03E5" w:rsidRDefault="00625A5B" w:rsidP="006832EB">
      <w:pPr>
        <w:pStyle w:val="Translit"/>
      </w:pPr>
      <w:r w:rsidRPr="008F03E5">
        <w:t>Matlub, Matlib</w:t>
      </w:r>
      <w:r w:rsidRPr="008F03E5">
        <w:tab/>
        <w:t>Maṭlúb, pl. Maṭálib, Maṭálíb</w:t>
      </w:r>
      <w:r w:rsidRPr="008F03E5">
        <w:tab/>
        <w:t>wanted (in classified advertisements); due, owed (money); unknown (of a quantity; mathematics); (pl. maṭálib) wish, desire; pl. maṭálíb claims</w:t>
      </w:r>
    </w:p>
    <w:p w14:paraId="34756439" w14:textId="77777777" w:rsidR="00625A5B" w:rsidRPr="008F03E5" w:rsidRDefault="00625A5B" w:rsidP="00EA5632">
      <w:pPr>
        <w:pStyle w:val="Translit"/>
      </w:pPr>
      <w:r w:rsidRPr="008F03E5">
        <w:t>Matn, Matin, Mutun</w:t>
      </w:r>
      <w:r w:rsidRPr="008F03E5">
        <w:tab/>
        <w:t>Matn and Matín, pl. Mutún</w:t>
      </w:r>
      <w:r w:rsidRPr="008F03E5">
        <w:tab/>
        <w:t>firm, strong, solid, “mighty”.  The text of ḥadí</w:t>
      </w:r>
      <w:r w:rsidRPr="008F03E5">
        <w:rPr>
          <w:u w:val="single"/>
        </w:rPr>
        <w:t>th</w:t>
      </w:r>
      <w:r w:rsidRPr="008F03E5">
        <w:t>, as opposed to its isnád, or chain of transmission.</w:t>
      </w:r>
    </w:p>
    <w:p w14:paraId="16929E40" w14:textId="77777777" w:rsidR="00625A5B" w:rsidRPr="008F03E5" w:rsidRDefault="00625A5B" w:rsidP="00287AF1">
      <w:pPr>
        <w:pStyle w:val="Translit"/>
      </w:pPr>
      <w:r w:rsidRPr="008F03E5">
        <w:t>Mawbadh, Mubadhan, Mawabidha</w:t>
      </w:r>
      <w:r w:rsidRPr="008F03E5">
        <w:tab/>
        <w:t>Mawba</w:t>
      </w:r>
      <w:r w:rsidRPr="008F03E5">
        <w:rPr>
          <w:u w:val="single"/>
        </w:rPr>
        <w:t>dh</w:t>
      </w:r>
      <w:r w:rsidRPr="008F03E5">
        <w:t>, Múbi</w:t>
      </w:r>
      <w:r w:rsidRPr="008F03E5">
        <w:rPr>
          <w:u w:val="single"/>
        </w:rPr>
        <w:t>dh</w:t>
      </w:r>
      <w:r w:rsidRPr="008F03E5">
        <w:t>, Múba</w:t>
      </w:r>
      <w:r w:rsidRPr="008F03E5">
        <w:rPr>
          <w:u w:val="single"/>
        </w:rPr>
        <w:t>dh</w:t>
      </w:r>
      <w:r w:rsidRPr="008F03E5">
        <w:t>, Múba</w:t>
      </w:r>
      <w:r w:rsidRPr="008F03E5">
        <w:rPr>
          <w:u w:val="single"/>
        </w:rPr>
        <w:t>dh</w:t>
      </w:r>
      <w:r w:rsidRPr="008F03E5">
        <w:t>án</w:t>
      </w:r>
      <w:r w:rsidRPr="008F03E5">
        <w:tab/>
        <w:t>(“Mubidh”, “Mubadh”, “Mobed”, “Mobad”, “Maubadh”) Pers. a chief or learned doctor of the Magi, a Zoroastrian priest.—pl. Mawábi</w:t>
      </w:r>
      <w:r w:rsidRPr="008F03E5">
        <w:rPr>
          <w:u w:val="single"/>
        </w:rPr>
        <w:t>dh</w:t>
      </w:r>
      <w:r w:rsidRPr="008F03E5">
        <w:t>a[t]</w:t>
      </w:r>
    </w:p>
    <w:p w14:paraId="11CDB1EE" w14:textId="77777777" w:rsidR="00625A5B" w:rsidRPr="008F03E5" w:rsidRDefault="00625A5B" w:rsidP="00B727BE">
      <w:pPr>
        <w:pStyle w:val="Translit"/>
      </w:pPr>
      <w:r w:rsidRPr="008F03E5">
        <w:t>Mawbiq (Maubiq)</w:t>
      </w:r>
      <w:r w:rsidRPr="008F03E5">
        <w:tab/>
        <w:t>Mawbiq</w:t>
      </w:r>
      <w:r w:rsidRPr="008F03E5">
        <w:tab/>
        <w:t>place of destruction, of perdition; prison, jail; the valley of Gehenna, where children were sacrificed to Moloch (Mawlú</w:t>
      </w:r>
      <w:r w:rsidRPr="008F03E5">
        <w:rPr>
          <w:u w:val="single"/>
        </w:rPr>
        <w:t>kh</w:t>
      </w:r>
      <w:r w:rsidRPr="008F03E5">
        <w:t>, a Canaanite god associated with child sacrifice, through fire or war)</w:t>
      </w:r>
    </w:p>
    <w:p w14:paraId="1B2F9F2D" w14:textId="77777777" w:rsidR="00625A5B" w:rsidRPr="008F03E5" w:rsidRDefault="00625A5B" w:rsidP="009276F1">
      <w:pPr>
        <w:pStyle w:val="Translit"/>
      </w:pPr>
      <w:r w:rsidRPr="008F03E5">
        <w:t>Mawdud (Maudud)</w:t>
      </w:r>
      <w:r w:rsidRPr="008F03E5">
        <w:tab/>
        <w:t>Mawdúd</w:t>
      </w:r>
      <w:r w:rsidRPr="008F03E5">
        <w:tab/>
        <w:t>beloved, held dear</w:t>
      </w:r>
    </w:p>
    <w:p w14:paraId="0CFA3F2B" w14:textId="77777777" w:rsidR="00625A5B" w:rsidRPr="008F03E5" w:rsidRDefault="00625A5B" w:rsidP="008162D8">
      <w:pPr>
        <w:pStyle w:val="Translit"/>
      </w:pPr>
      <w:r w:rsidRPr="008F03E5">
        <w:t>Mawdudi (Maududi)</w:t>
      </w:r>
      <w:r w:rsidRPr="008F03E5">
        <w:tab/>
        <w:t>Mawdúdí</w:t>
      </w:r>
      <w:r w:rsidRPr="008F03E5">
        <w:tab/>
        <w:t xml:space="preserve">more beloved.  Sayyid Abul A‘lá Mawdúdí (1903–1979) Islamic scholar, Islamist ideologue, Muslim philosopher, jurist, historian, journalist, activist and scholar active in British India and later, following the partition, in Pakistan.  Author of </w:t>
      </w:r>
      <w:r w:rsidRPr="008F03E5">
        <w:rPr>
          <w:i/>
          <w:iCs/>
        </w:rPr>
        <w:t>Towards Understanding the Qur’án</w:t>
      </w:r>
      <w:r w:rsidRPr="008F03E5">
        <w:t>.  See Abú al-‘Alá’.</w:t>
      </w:r>
    </w:p>
    <w:p w14:paraId="77560279" w14:textId="77777777" w:rsidR="00625A5B" w:rsidRPr="008F03E5" w:rsidRDefault="00625A5B" w:rsidP="00FC4CA2">
      <w:pPr>
        <w:pStyle w:val="Translit"/>
      </w:pPr>
      <w:r w:rsidRPr="008F03E5">
        <w:t>Mawhiba (Mauhiba), Mawahib</w:t>
      </w:r>
      <w:r w:rsidRPr="008F03E5">
        <w:tab/>
        <w:t>Mawhiba[h or t], pl. Mawáhib</w:t>
      </w:r>
      <w:r w:rsidRPr="008F03E5">
        <w:tab/>
        <w:t>gift; talent; “bounty”; liberality, generosity</w:t>
      </w:r>
    </w:p>
    <w:p w14:paraId="39A9E274" w14:textId="77777777" w:rsidR="00625A5B" w:rsidRPr="00EA0610" w:rsidRDefault="00625A5B" w:rsidP="00EA0610">
      <w:pPr>
        <w:pStyle w:val="Translit"/>
      </w:pPr>
      <w:r w:rsidRPr="00EA0610">
        <w:t>Mawjud (Maujud), Mawjudat</w:t>
      </w:r>
      <w:r w:rsidRPr="00EA0610">
        <w:tab/>
      </w:r>
      <w:r>
        <w:t>M</w:t>
      </w:r>
      <w:r w:rsidRPr="00EA0610">
        <w:t xml:space="preserve">awjúd, pl. </w:t>
      </w:r>
      <w:r>
        <w:t>M</w:t>
      </w:r>
      <w:r w:rsidRPr="00EA0610">
        <w:t>awjúdát</w:t>
      </w:r>
      <w:r w:rsidRPr="00EA0610">
        <w:tab/>
        <w:t>found; available, on hand, existing, existent; present; living being, creature; stock, store, supply;—pl. everything in existence, the creation; (commerce) assets, stocks</w:t>
      </w:r>
    </w:p>
    <w:p w14:paraId="456157C7" w14:textId="77777777" w:rsidR="00625A5B" w:rsidRPr="008F03E5" w:rsidRDefault="00625A5B" w:rsidP="00BF2BB5">
      <w:pPr>
        <w:pStyle w:val="Translit"/>
      </w:pPr>
      <w:r w:rsidRPr="002332DC">
        <w:t>Mawla (Maula), Mawali</w:t>
      </w:r>
      <w:r w:rsidRPr="002332DC">
        <w:tab/>
        <w:t>Mawlá, fem. Mawl</w:t>
      </w:r>
      <w:r w:rsidRPr="00BF2BB5">
        <w:t>á</w:t>
      </w:r>
      <w:r>
        <w:t xml:space="preserve">[h or t], </w:t>
      </w:r>
      <w:r w:rsidRPr="002332DC">
        <w:t xml:space="preserve">pl. </w:t>
      </w:r>
      <w:r w:rsidRPr="008F03E5">
        <w:t>Mawálí</w:t>
      </w:r>
      <w:r w:rsidRPr="008F03E5">
        <w:tab/>
        <w:t>Pers. (Ar. influence) a magistrate of a large city; a lord, master; a schoolmaster, doctor, learned man, a judge, a priest.  See mullá</w:t>
      </w:r>
      <w:r>
        <w:t xml:space="preserve">; </w:t>
      </w:r>
      <w:r w:rsidRPr="008F03E5">
        <w:t>‘alím, pl. ‘ulamá’.</w:t>
      </w:r>
    </w:p>
    <w:p w14:paraId="42714CC0" w14:textId="77777777" w:rsidR="00625A5B" w:rsidRPr="008F03E5" w:rsidRDefault="00625A5B" w:rsidP="00A9731C">
      <w:pPr>
        <w:pStyle w:val="Translit"/>
      </w:pPr>
      <w:r w:rsidRPr="008F03E5">
        <w:t>Mawla al-Wara’</w:t>
      </w:r>
      <w:r w:rsidRPr="008F03E5">
        <w:tab/>
        <w:t>Mawla al-Wará’</w:t>
      </w:r>
      <w:r w:rsidRPr="008F03E5">
        <w:tab/>
        <w:t>Lord of Mankind, a title used by Persians when referring to ‘Abdu’l-Bahá.</w:t>
      </w:r>
    </w:p>
    <w:p w14:paraId="0F9A4B54" w14:textId="77777777" w:rsidR="00625A5B" w:rsidRPr="008F03E5" w:rsidRDefault="00625A5B" w:rsidP="002C7B47">
      <w:pPr>
        <w:pStyle w:val="Translit"/>
      </w:pPr>
      <w:r w:rsidRPr="008F03E5">
        <w:t>Mawla’, Mawali</w:t>
      </w:r>
      <w:r w:rsidRPr="008F03E5">
        <w:tab/>
        <w:t>Mawla’, pl. Mawálí</w:t>
      </w:r>
      <w:r w:rsidRPr="008F03E5">
        <w:tab/>
        <w:t>Pers. a king, prince, sovereign, lord, master, judge, magistrate.  A follower, client.  A benefactor, helper.  A companion, confederate, partner.  A stranger.  A visitor, guest.  See Mawlan</w:t>
      </w:r>
    </w:p>
    <w:p w14:paraId="2D48865F" w14:textId="77777777" w:rsidR="00625A5B" w:rsidRPr="008F03E5" w:rsidRDefault="00625A5B" w:rsidP="00015AEB">
      <w:pPr>
        <w:pStyle w:val="Translit"/>
      </w:pPr>
      <w:r w:rsidRPr="008F03E5">
        <w:t>Mawlan (Maulan), Mawalin</w:t>
      </w:r>
      <w:r w:rsidRPr="008F03E5">
        <w:tab/>
        <w:t>Mawlan, pl. Mawálin</w:t>
      </w:r>
      <w:r w:rsidRPr="008F03E5">
        <w:tab/>
        <w:t>master, lord; protector, patron; client; charge; mend, companion, associate; the Lord, God; Mawláya and Mawláná are forms of address to a sovereign</w:t>
      </w:r>
    </w:p>
    <w:p w14:paraId="5257AE79" w14:textId="77777777" w:rsidR="00625A5B" w:rsidRPr="008F03E5" w:rsidRDefault="00625A5B" w:rsidP="007758B8">
      <w:pPr>
        <w:pStyle w:val="Translit"/>
      </w:pPr>
      <w:r w:rsidRPr="008F03E5">
        <w:t>Mawlana (Maulana)</w:t>
      </w:r>
      <w:r w:rsidRPr="008F03E5">
        <w:tab/>
        <w:t>Mawláná (Mauláná)</w:t>
      </w:r>
      <w:r w:rsidRPr="008F03E5">
        <w:tab/>
        <w:t>our lord, master (a title); form of address to a sovereign, “our Master”</w:t>
      </w:r>
    </w:p>
    <w:p w14:paraId="08CD2822" w14:textId="77777777" w:rsidR="00625A5B" w:rsidRPr="008F03E5" w:rsidRDefault="00625A5B" w:rsidP="00186B1E">
      <w:pPr>
        <w:pStyle w:val="Translit"/>
      </w:pPr>
      <w:r w:rsidRPr="008F03E5">
        <w:t>Mawlawi, Malulawiya</w:t>
      </w:r>
      <w:r w:rsidRPr="008F03E5">
        <w:tab/>
        <w:t>Mawlawí, pl. Mawlawíya</w:t>
      </w:r>
      <w:r w:rsidRPr="008F03E5">
        <w:tab/>
        <w:t xml:space="preserve">judicial, belonging to a judge or magistrate; a doctor of Islamic law; an assistant lawyer; a learned man; divine, religious, belonging to God; a dervish, Muslim monk; dervish of the order (Mawlawiyya (Pers.)) of </w:t>
      </w:r>
      <w:bookmarkStart w:id="105" w:name="_Hlk54615011"/>
      <w:r w:rsidRPr="008F03E5">
        <w:t>Mawlá Jalál ad-Dín Muḥammad Rúmí</w:t>
      </w:r>
      <w:bookmarkEnd w:id="105"/>
      <w:r w:rsidRPr="008F03E5">
        <w:t xml:space="preserve">.  Mawlawí </w:t>
      </w:r>
      <w:r w:rsidRPr="008F03E5">
        <w:rPr>
          <w:u w:val="single"/>
        </w:rPr>
        <w:t>Sh</w:t>
      </w:r>
      <w:r w:rsidRPr="008F03E5">
        <w:t>ír ‘Alí (Mawlawí Sher ‘Alí) (1875–1947) was a prominent Aḥmadí scholar and translator of the Qur’án.  Variations Maulawi, Maulavi.</w:t>
      </w:r>
    </w:p>
    <w:p w14:paraId="41896177" w14:textId="77777777" w:rsidR="00625A5B" w:rsidRPr="008F03E5" w:rsidRDefault="00625A5B" w:rsidP="00353291">
      <w:pPr>
        <w:pStyle w:val="Translit"/>
      </w:pPr>
      <w:r w:rsidRPr="008F03E5">
        <w:t>Mawlawiya (Maulawiyat)</w:t>
      </w:r>
      <w:r w:rsidRPr="008F03E5">
        <w:tab/>
        <w:t>Mawlawíya[t]</w:t>
      </w:r>
      <w:r w:rsidRPr="008F03E5">
        <w:tab/>
        <w:t>Pers. a resemblance to, or equality with, a prince, lord, master or benefactor.</w:t>
      </w:r>
    </w:p>
    <w:p w14:paraId="4E6CE626" w14:textId="77777777" w:rsidR="00625A5B" w:rsidRPr="008F03E5" w:rsidRDefault="00625A5B" w:rsidP="00CD505E">
      <w:pPr>
        <w:pStyle w:val="Translit"/>
      </w:pPr>
      <w:r w:rsidRPr="008F03E5">
        <w:t>Mawlid (Maulid), Mawalid</w:t>
      </w:r>
      <w:r w:rsidRPr="008F03E5">
        <w:tab/>
        <w:t>Mawlid, pl. Mawálid</w:t>
      </w:r>
      <w:r w:rsidRPr="008F03E5">
        <w:tab/>
        <w:t>birthplace; birthday; anniversary, birthday of a saint (also Christian)</w:t>
      </w:r>
    </w:p>
    <w:p w14:paraId="42C62A6E" w14:textId="77777777" w:rsidR="00625A5B" w:rsidRPr="008F03E5" w:rsidRDefault="00625A5B" w:rsidP="00B621CC">
      <w:pPr>
        <w:pStyle w:val="Translit"/>
      </w:pPr>
      <w:r w:rsidRPr="008F03E5">
        <w:t>Mawlud (Maulud), Mawalid</w:t>
      </w:r>
      <w:r w:rsidRPr="008F03E5">
        <w:tab/>
        <w:t>Mawlúd, pl. Mawálíd</w:t>
      </w:r>
      <w:r w:rsidRPr="008F03E5">
        <w:tab/>
        <w:t>produced, born, come into the world; birth; birthday;—pl. newborn baby, infant; child, son; creations, novelties</w:t>
      </w:r>
    </w:p>
    <w:p w14:paraId="475683A5" w14:textId="77777777" w:rsidR="00625A5B" w:rsidRPr="008F03E5" w:rsidRDefault="00625A5B" w:rsidP="007A0A63">
      <w:pPr>
        <w:pStyle w:val="Translit"/>
      </w:pPr>
      <w:r w:rsidRPr="008F03E5">
        <w:t>Mawqif (Mauqif), Mawaqif</w:t>
      </w:r>
      <w:r w:rsidRPr="008F03E5">
        <w:tab/>
        <w:t>Mawqif, pl. Mawáqif</w:t>
      </w:r>
      <w:r w:rsidRPr="008F03E5">
        <w:tab/>
        <w:t>stopping place; station; (cab, etc.) stand; (bus, train, etc.) stop; parking lot, parking place; stopover, stop; place, site; scene, scenery; position, posture; situation; attitude; stand, position, opinion</w:t>
      </w:r>
    </w:p>
    <w:p w14:paraId="5D0527EF" w14:textId="77777777" w:rsidR="00625A5B" w:rsidRPr="008F03E5" w:rsidRDefault="00625A5B" w:rsidP="00424996">
      <w:pPr>
        <w:pStyle w:val="Translit"/>
      </w:pPr>
      <w:r w:rsidRPr="008F03E5">
        <w:t>Mawsil (Mausil)</w:t>
      </w:r>
      <w:r w:rsidRPr="008F03E5">
        <w:tab/>
        <w:t>al-Máwṣil</w:t>
      </w:r>
      <w:r w:rsidRPr="008F03E5">
        <w:tab/>
        <w:t>Mosul</w:t>
      </w:r>
    </w:p>
    <w:p w14:paraId="29D9D13F" w14:textId="77777777" w:rsidR="00625A5B" w:rsidRPr="008F03E5" w:rsidRDefault="00625A5B" w:rsidP="0095603F">
      <w:pPr>
        <w:pStyle w:val="Translit"/>
      </w:pPr>
      <w:r w:rsidRPr="008F03E5">
        <w:t>Mawt (Maut) Mawta, Amwat</w:t>
      </w:r>
      <w:r w:rsidRPr="008F03E5">
        <w:tab/>
        <w:t>Mawt, fem. Mawta[h or t], pl. Amwát</w:t>
      </w:r>
      <w:r w:rsidRPr="008F03E5">
        <w:tab/>
        <w:t>death; decease, demise</w:t>
      </w:r>
    </w:p>
    <w:p w14:paraId="243D1410" w14:textId="77777777" w:rsidR="00625A5B" w:rsidRPr="008F03E5" w:rsidRDefault="00625A5B" w:rsidP="000A2F79">
      <w:pPr>
        <w:pStyle w:val="Translit"/>
      </w:pPr>
      <w:r w:rsidRPr="008F03E5">
        <w:t>Mawthiq (Mauthiq), Mawathiq</w:t>
      </w:r>
      <w:r w:rsidRPr="008F03E5">
        <w:tab/>
        <w:t>Maw</w:t>
      </w:r>
      <w:r w:rsidRPr="008F03E5">
        <w:rPr>
          <w:u w:val="single"/>
        </w:rPr>
        <w:t>th</w:t>
      </w:r>
      <w:r w:rsidRPr="008F03E5">
        <w:t>iq, pl. Mawá</w:t>
      </w:r>
      <w:r w:rsidRPr="008F03E5">
        <w:rPr>
          <w:u w:val="single"/>
        </w:rPr>
        <w:t>th</w:t>
      </w:r>
      <w:r w:rsidRPr="008F03E5">
        <w:t>iq</w:t>
      </w:r>
      <w:r w:rsidRPr="008F03E5">
        <w:tab/>
        <w:t>covenant, agreement, contract, treaty, pact</w:t>
      </w:r>
    </w:p>
    <w:p w14:paraId="563769CD" w14:textId="77777777" w:rsidR="00625A5B" w:rsidRPr="008F03E5" w:rsidRDefault="00625A5B" w:rsidP="00FD0712">
      <w:pPr>
        <w:pStyle w:val="Translit"/>
      </w:pPr>
      <w:r w:rsidRPr="008F03E5">
        <w:t>May (Maya)</w:t>
      </w:r>
      <w:r w:rsidRPr="008F03E5">
        <w:tab/>
        <w:t>May</w:t>
      </w:r>
      <w:r w:rsidRPr="008F03E5">
        <w:tab/>
        <w:t>Pers. grape-wine; rose-water; spirituous liquor; a goblet.  The fem. name “May”:  May (grape-wine) or Mayá (possible meanings:  attractive, beautiful and intoxicating)</w:t>
      </w:r>
    </w:p>
    <w:p w14:paraId="26E2BBF6" w14:textId="77777777" w:rsidR="00625A5B" w:rsidRDefault="00625A5B" w:rsidP="00300596">
      <w:pPr>
        <w:pStyle w:val="Translit"/>
      </w:pPr>
      <w:r w:rsidRPr="008F03E5">
        <w:t>Mayamay, Miyamay</w:t>
      </w:r>
      <w:r>
        <w:t xml:space="preserve"> (</w:t>
      </w:r>
      <w:r w:rsidRPr="004A4BEF">
        <w:t>Mayamey</w:t>
      </w:r>
      <w:r>
        <w:t>)</w:t>
      </w:r>
      <w:r w:rsidRPr="008F03E5">
        <w:tab/>
        <w:t xml:space="preserve">Mayámay </w:t>
      </w:r>
      <w:r>
        <w:t xml:space="preserve">or </w:t>
      </w:r>
      <w:r w:rsidRPr="008F03E5">
        <w:t>M</w:t>
      </w:r>
      <w:r>
        <w:t>i</w:t>
      </w:r>
      <w:r w:rsidRPr="008F03E5">
        <w:t>yámay (</w:t>
      </w:r>
      <w:r w:rsidRPr="008F03E5">
        <w:rPr>
          <w:rtl/>
        </w:rPr>
        <w:t>میامی</w:t>
      </w:r>
      <w:r w:rsidRPr="008F03E5">
        <w:t xml:space="preserve"> m-y-á-m-y)</w:t>
      </w:r>
      <w:r w:rsidRPr="008F03E5">
        <w:tab/>
        <w:t>(</w:t>
      </w:r>
      <w:r>
        <w:t>“</w:t>
      </w:r>
      <w:r w:rsidRPr="008F03E5">
        <w:t>Meyami, Mayamey, Mayami, Maiamai</w:t>
      </w:r>
      <w:r>
        <w:t>”</w:t>
      </w:r>
      <w:r w:rsidRPr="008F03E5">
        <w:t xml:space="preserve">) is a </w:t>
      </w:r>
      <w:r w:rsidRPr="004A4BEF">
        <w:t>small city (36.410484, 55.653358) in Semnan Province</w:t>
      </w:r>
      <w:r>
        <w:t>,</w:t>
      </w:r>
      <w:r w:rsidRPr="008F03E5">
        <w:t xml:space="preserve"> Iran.  City is 60 km east of </w:t>
      </w:r>
      <w:r w:rsidRPr="008F03E5">
        <w:rPr>
          <w:u w:val="single"/>
        </w:rPr>
        <w:t>Sh</w:t>
      </w:r>
      <w:r w:rsidRPr="008F03E5">
        <w:t>áh-Rúd and 180 km west of Sabzivár</w:t>
      </w:r>
      <w:r w:rsidRPr="00E86FD5">
        <w:t xml:space="preserve">.  </w:t>
      </w:r>
      <w:r w:rsidRPr="008F03E5">
        <w:rPr>
          <w:i/>
          <w:iCs/>
        </w:rPr>
        <w:t>The Dawn-Breakers</w:t>
      </w:r>
      <w:r w:rsidRPr="008F03E5">
        <w:t xml:space="preserve"> uses Míyámay</w:t>
      </w:r>
      <w:r>
        <w:t xml:space="preserve"> (I</w:t>
      </w:r>
      <w:r w:rsidRPr="00842313">
        <w:t>ṣ</w:t>
      </w:r>
      <w:r>
        <w:t>fah</w:t>
      </w:r>
      <w:r w:rsidRPr="00842313">
        <w:t>á</w:t>
      </w:r>
      <w:r>
        <w:t>n</w:t>
      </w:r>
      <w:r w:rsidRPr="00842313">
        <w:t>í</w:t>
      </w:r>
      <w:r>
        <w:t>)</w:t>
      </w:r>
      <w:r w:rsidRPr="008F03E5">
        <w:t>.</w:t>
      </w:r>
    </w:p>
    <w:p w14:paraId="635181B7" w14:textId="77777777" w:rsidR="00625A5B" w:rsidRPr="008F03E5" w:rsidRDefault="00625A5B" w:rsidP="00842313">
      <w:pPr>
        <w:pStyle w:val="Translit"/>
      </w:pPr>
      <w:r w:rsidRPr="008F03E5">
        <w:t>Mayamay</w:t>
      </w:r>
      <w:r>
        <w:t>i</w:t>
      </w:r>
      <w:r w:rsidRPr="008F03E5">
        <w:t>, Miyamay</w:t>
      </w:r>
      <w:r>
        <w:t>i</w:t>
      </w:r>
      <w:r>
        <w:tab/>
      </w:r>
      <w:r w:rsidRPr="008F03E5">
        <w:t>May</w:t>
      </w:r>
      <w:r w:rsidRPr="00842313">
        <w:t>á</w:t>
      </w:r>
      <w:r w:rsidRPr="008F03E5">
        <w:t>may</w:t>
      </w:r>
      <w:r>
        <w:t>í or</w:t>
      </w:r>
      <w:r w:rsidRPr="008F03E5">
        <w:t xml:space="preserve"> Miy</w:t>
      </w:r>
      <w:r w:rsidRPr="00842313">
        <w:t>á</w:t>
      </w:r>
      <w:r w:rsidRPr="008F03E5">
        <w:t>may</w:t>
      </w:r>
      <w:r>
        <w:t>í</w:t>
      </w:r>
      <w:r>
        <w:tab/>
        <w:t xml:space="preserve">of or from </w:t>
      </w:r>
      <w:r w:rsidRPr="008F03E5">
        <w:t>May</w:t>
      </w:r>
      <w:r w:rsidRPr="00842313">
        <w:t>á</w:t>
      </w:r>
      <w:r w:rsidRPr="008F03E5">
        <w:t>may</w:t>
      </w:r>
    </w:p>
    <w:p w14:paraId="48EA2FE8" w14:textId="77777777" w:rsidR="00625A5B" w:rsidRDefault="00625A5B" w:rsidP="00A26B03">
      <w:pPr>
        <w:pStyle w:val="Translit"/>
      </w:pPr>
      <w:r w:rsidRPr="00842313">
        <w:rPr>
          <w:lang w:val="es-ES_tradnl"/>
        </w:rPr>
        <w:t>Maydan (Maidan), Midan, Mayadin</w:t>
      </w:r>
      <w:r w:rsidRPr="00842313">
        <w:rPr>
          <w:lang w:val="es-ES_tradnl"/>
        </w:rPr>
        <w:tab/>
        <w:t xml:space="preserve">Maydán, Mídán, pl. </w:t>
      </w:r>
      <w:r w:rsidRPr="008F03E5">
        <w:t>Mayádín</w:t>
      </w:r>
      <w:r w:rsidRPr="008F03E5">
        <w:tab/>
        <w:t>square, open place, open tract; field; arena; battleground, battlefield; combat area, fighting zone; race course, race track; playground (figuatively); field, domain, line, sphere of activity</w:t>
      </w:r>
      <w:r>
        <w:t xml:space="preserve">.  There is no meaning associated with a length as stated in </w:t>
      </w:r>
      <w:r w:rsidRPr="00A26B03">
        <w:rPr>
          <w:i/>
          <w:iCs/>
        </w:rPr>
        <w:t>The Dawn-Breakers</w:t>
      </w:r>
      <w:r>
        <w:t xml:space="preserve"> (see manzil).</w:t>
      </w:r>
    </w:p>
    <w:p w14:paraId="5B3CBCBC" w14:textId="77777777" w:rsidR="00625A5B" w:rsidRPr="008F03E5" w:rsidRDefault="00625A5B" w:rsidP="00A26B03">
      <w:pPr>
        <w:pStyle w:val="Translit"/>
      </w:pPr>
      <w:r w:rsidRPr="008F03E5">
        <w:t>Maydan-i-Khan</w:t>
      </w:r>
      <w:r w:rsidRPr="008F03E5">
        <w:tab/>
        <w:t>Maydán-i-</w:t>
      </w:r>
      <w:r w:rsidRPr="008F03E5">
        <w:rPr>
          <w:u w:val="single"/>
        </w:rPr>
        <w:t>Kh</w:t>
      </w:r>
      <w:r w:rsidRPr="008F03E5">
        <w:t>án</w:t>
      </w:r>
      <w:r w:rsidRPr="008F03E5">
        <w:tab/>
      </w:r>
    </w:p>
    <w:p w14:paraId="44214FE3" w14:textId="77777777" w:rsidR="00625A5B" w:rsidRPr="008F03E5" w:rsidRDefault="00625A5B" w:rsidP="00B26AB0">
      <w:pPr>
        <w:pStyle w:val="Translit"/>
      </w:pPr>
      <w:r w:rsidRPr="008F03E5">
        <w:t>Maydan-i-Shah</w:t>
      </w:r>
      <w:r w:rsidRPr="008F03E5">
        <w:tab/>
        <w:t>Maydán-i-</w:t>
      </w:r>
      <w:r w:rsidRPr="008F03E5">
        <w:rPr>
          <w:u w:val="single"/>
        </w:rPr>
        <w:t>Sh</w:t>
      </w:r>
      <w:r w:rsidRPr="008F03E5">
        <w:t>áh</w:t>
      </w:r>
      <w:r w:rsidRPr="008F03E5">
        <w:tab/>
      </w:r>
    </w:p>
    <w:p w14:paraId="4D029E44" w14:textId="77777777" w:rsidR="00625A5B" w:rsidRPr="008F03E5" w:rsidRDefault="00625A5B" w:rsidP="00E21A23">
      <w:pPr>
        <w:pStyle w:val="Translit"/>
      </w:pPr>
      <w:r w:rsidRPr="008F03E5">
        <w:t>Maykhana (Maikhana, Maykhanih)</w:t>
      </w:r>
      <w:r w:rsidRPr="008F03E5">
        <w:tab/>
        <w:t>May</w:t>
      </w:r>
      <w:r w:rsidRPr="008F03E5">
        <w:rPr>
          <w:u w:val="single"/>
        </w:rPr>
        <w:t>kh</w:t>
      </w:r>
      <w:r w:rsidRPr="008F03E5">
        <w:t>ána</w:t>
      </w:r>
      <w:r w:rsidRPr="008F03E5">
        <w:tab/>
        <w:t>Pers. a wine-cellar, tavern; drinking utensils, wine-service; hence also “spiritual wine”</w:t>
      </w:r>
    </w:p>
    <w:p w14:paraId="787E78A2" w14:textId="77777777" w:rsidR="00625A5B" w:rsidRPr="008F03E5" w:rsidRDefault="00625A5B" w:rsidP="002E5D4E">
      <w:pPr>
        <w:pStyle w:val="Translit"/>
      </w:pPr>
      <w:r w:rsidRPr="008F03E5">
        <w:t>Maymana (Maimana), Mayamin</w:t>
      </w:r>
      <w:r w:rsidRPr="008F03E5">
        <w:tab/>
        <w:t>Maymana[t], pl. Mayámin</w:t>
      </w:r>
      <w:r w:rsidRPr="008F03E5">
        <w:tab/>
        <w:t>right side; right wing (of an army); fortune; prosperity, happiness.  Maymanat Rural District in Tehran Province.</w:t>
      </w:r>
    </w:p>
    <w:p w14:paraId="26E6C834" w14:textId="77777777" w:rsidR="00625A5B" w:rsidRPr="008F03E5" w:rsidRDefault="00625A5B" w:rsidP="006A1F27">
      <w:pPr>
        <w:pStyle w:val="Translit"/>
      </w:pPr>
      <w:r w:rsidRPr="00187BEE">
        <w:rPr>
          <w:lang w:val="en-AU"/>
        </w:rPr>
        <w:t>Maymun, Maimun, Mayamin</w:t>
      </w:r>
      <w:r w:rsidRPr="00187BEE">
        <w:rPr>
          <w:lang w:val="en-AU"/>
        </w:rPr>
        <w:tab/>
        <w:t xml:space="preserve">Maymún, Maimún, pl. </w:t>
      </w:r>
      <w:r w:rsidRPr="008F03E5">
        <w:t>Mayamín</w:t>
      </w:r>
      <w:r w:rsidRPr="008F03E5">
        <w:tab/>
        <w:t>fortunate, lucky; blessed; monkey.  See Abú ‘Imrán Músá ibn Maymún (Maimonides)</w:t>
      </w:r>
    </w:p>
    <w:p w14:paraId="7E9B3533" w14:textId="77777777" w:rsidR="00625A5B" w:rsidRPr="008F03E5" w:rsidRDefault="00625A5B" w:rsidP="0011222C">
      <w:pPr>
        <w:pStyle w:val="Translit"/>
      </w:pPr>
      <w:r w:rsidRPr="008F03E5">
        <w:t>Mayyan, Ma’in</w:t>
      </w:r>
      <w:r w:rsidRPr="008F03E5">
        <w:tab/>
        <w:t>Mayyán</w:t>
      </w:r>
      <w:r>
        <w:t xml:space="preserve"> (</w:t>
      </w:r>
      <w:r w:rsidRPr="008F03E5">
        <w:rPr>
          <w:rtl/>
        </w:rPr>
        <w:t>نايم</w:t>
      </w:r>
      <w:r>
        <w:t>)</w:t>
      </w:r>
      <w:r w:rsidRPr="008F03E5">
        <w:t xml:space="preserve"> and</w:t>
      </w:r>
      <w:r>
        <w:t xml:space="preserve"> </w:t>
      </w:r>
      <w:r w:rsidRPr="008F03E5">
        <w:t>Má’in</w:t>
      </w:r>
      <w:r>
        <w:t xml:space="preserve"> (</w:t>
      </w:r>
      <w:r w:rsidRPr="008F03E5">
        <w:rPr>
          <w:rtl/>
        </w:rPr>
        <w:t>نئام</w:t>
      </w:r>
      <w:r>
        <w:t>)</w:t>
      </w:r>
      <w:r w:rsidRPr="008F03E5">
        <w:tab/>
        <w:t>liar.  (also Máyán).  Note transcription of “</w:t>
      </w:r>
      <w:r w:rsidRPr="008F03E5">
        <w:rPr>
          <w:rtl/>
        </w:rPr>
        <w:t>اي</w:t>
      </w:r>
      <w:r w:rsidRPr="008F03E5">
        <w:t>” (áí as “ayy”) and “</w:t>
      </w:r>
      <w:r w:rsidRPr="008F03E5">
        <w:rPr>
          <w:rtl/>
        </w:rPr>
        <w:t>ئا</w:t>
      </w:r>
      <w:r w:rsidRPr="008F03E5">
        <w:t>” (áy—y with Hamza—as “á’” or “áy”)</w:t>
      </w:r>
      <w:r>
        <w:t>.</w:t>
      </w:r>
    </w:p>
    <w:p w14:paraId="2354DC37" w14:textId="77777777" w:rsidR="00625A5B" w:rsidRPr="008F03E5" w:rsidRDefault="00625A5B" w:rsidP="002A7394">
      <w:pPr>
        <w:pStyle w:val="Translit"/>
      </w:pPr>
      <w:r w:rsidRPr="008F03E5">
        <w:t>Mayyit, Amwat</w:t>
      </w:r>
      <w:r w:rsidRPr="008F03E5">
        <w:tab/>
        <w:t>Mayyit, pl. Amwát</w:t>
      </w:r>
      <w:r w:rsidRPr="008F03E5">
        <w:tab/>
        <w:t>[</w:t>
      </w:r>
      <w:r w:rsidRPr="008F03E5">
        <w:rPr>
          <w:sz w:val="16"/>
          <w:szCs w:val="16"/>
        </w:rPr>
        <w:t>M-Y-T</w:t>
      </w:r>
      <w:r w:rsidRPr="008F03E5">
        <w:t xml:space="preserve"> (</w:t>
      </w:r>
      <w:r w:rsidRPr="008F03E5">
        <w:rPr>
          <w:rtl/>
        </w:rPr>
        <w:t>ميت</w:t>
      </w:r>
      <w:r w:rsidRPr="008F03E5">
        <w:t>)] dying, death.  al-mayyit the deceased; al-Bahr al-Mayyit the Dead Sea.</w:t>
      </w:r>
    </w:p>
    <w:p w14:paraId="0990F909" w14:textId="77777777" w:rsidR="00625A5B" w:rsidRPr="008F03E5" w:rsidRDefault="00625A5B" w:rsidP="001C33E6">
      <w:pPr>
        <w:pStyle w:val="Translit"/>
      </w:pPr>
      <w:r w:rsidRPr="008F03E5">
        <w:t>Mazandaran, Mazindaran</w:t>
      </w:r>
      <w:r w:rsidRPr="008F03E5">
        <w:tab/>
        <w:t>Mázandarán, Mázindarán</w:t>
      </w:r>
      <w:r w:rsidRPr="008F03E5">
        <w:tab/>
        <w:t xml:space="preserve">a province in northern Írán, on the Caspian </w:t>
      </w:r>
      <w:r>
        <w:t>south coast</w:t>
      </w:r>
      <w:r w:rsidRPr="008F03E5">
        <w:t>.</w:t>
      </w:r>
      <w:r>
        <w:t xml:space="preserve">  See </w:t>
      </w:r>
      <w:r w:rsidRPr="00F9029E">
        <w:t>Tabaristán</w:t>
      </w:r>
      <w:r>
        <w:t>.</w:t>
      </w:r>
    </w:p>
    <w:p w14:paraId="19AE7396" w14:textId="77777777" w:rsidR="00625A5B" w:rsidRPr="008F03E5" w:rsidRDefault="00625A5B" w:rsidP="001C33E6">
      <w:pPr>
        <w:pStyle w:val="Translit"/>
      </w:pPr>
      <w:r w:rsidRPr="00B73671">
        <w:t>Mazandarani, Mazindarani</w:t>
      </w:r>
      <w:r w:rsidRPr="00B73671">
        <w:tab/>
        <w:t>Mázandarání, Mázindarání</w:t>
      </w:r>
      <w:r w:rsidRPr="00B73671">
        <w:tab/>
        <w:t xml:space="preserve">(pl. </w:t>
      </w:r>
      <w:r w:rsidRPr="008F03E5">
        <w:t>Mázandarán</w:t>
      </w:r>
      <w:r w:rsidRPr="001C33E6">
        <w:t>í</w:t>
      </w:r>
      <w:r w:rsidRPr="008F03E5">
        <w:t>y</w:t>
      </w:r>
      <w:r>
        <w:t>ú</w:t>
      </w:r>
      <w:r w:rsidRPr="008F03E5">
        <w:t>n) from or of Mázandarán</w:t>
      </w:r>
    </w:p>
    <w:p w14:paraId="54950680" w14:textId="77777777" w:rsidR="00625A5B" w:rsidRPr="008F03E5" w:rsidRDefault="00625A5B" w:rsidP="00867C17">
      <w:pPr>
        <w:pStyle w:val="Translit"/>
      </w:pPr>
      <w:r w:rsidRPr="008F03E5">
        <w:t>Mazdak</w:t>
      </w:r>
      <w:r w:rsidRPr="008F03E5">
        <w:tab/>
        <w:t>Mazdak</w:t>
      </w:r>
      <w:r w:rsidRPr="008F03E5">
        <w:tab/>
        <w:t xml:space="preserve">The story of Mazdak [he preached a community of property and families, and a simple ascetic life], in the days of King Kobad [Kavi Kavata, Kai Kobad or Kavadh] sons were Kavi Usan (or Kai Kaus) and Kavi Haosravah (Kai Khosrau or Khosrau Anushirvan)], the father of the Great Anoshirwan [Anushirvan—“having an immortal soul”], is given in the history of </w:t>
      </w:r>
      <w:r w:rsidRPr="008F03E5">
        <w:rPr>
          <w:i/>
          <w:iCs/>
          <w:u w:val="single"/>
        </w:rPr>
        <w:t>Sh</w:t>
      </w:r>
      <w:r w:rsidRPr="008F03E5">
        <w:rPr>
          <w:i/>
          <w:iCs/>
        </w:rPr>
        <w:t>áh</w:t>
      </w:r>
      <w:r w:rsidRPr="008F03E5">
        <w:t>-</w:t>
      </w:r>
      <w:r w:rsidRPr="008F03E5">
        <w:rPr>
          <w:i/>
          <w:iCs/>
        </w:rPr>
        <w:t>Nameh</w:t>
      </w:r>
      <w:r w:rsidRPr="008F03E5">
        <w:t xml:space="preserve"> (Book of Kings)</w:t>
      </w:r>
      <w:r w:rsidRPr="008F03E5">
        <w:rPr>
          <w:i/>
          <w:iCs/>
        </w:rPr>
        <w:t xml:space="preserve"> </w:t>
      </w:r>
      <w:r w:rsidRPr="008F03E5">
        <w:t>of Firdawsí (Firdausi and Ferdowsi in English), and also in all the Persian histories. (</w:t>
      </w:r>
      <w:r w:rsidRPr="008F03E5">
        <w:rPr>
          <w:i/>
          <w:iCs/>
        </w:rPr>
        <w:t>The Bahá’í Proofs</w:t>
      </w:r>
      <w:r w:rsidRPr="008F03E5">
        <w:t>)</w:t>
      </w:r>
    </w:p>
    <w:p w14:paraId="74274180" w14:textId="77777777" w:rsidR="00625A5B" w:rsidRPr="008F03E5" w:rsidRDefault="00625A5B" w:rsidP="00046B22">
      <w:pPr>
        <w:pStyle w:val="Translit"/>
      </w:pPr>
      <w:r w:rsidRPr="008F03E5">
        <w:t>Mazgan</w:t>
      </w:r>
      <w:r w:rsidRPr="008F03E5">
        <w:tab/>
        <w:t>Mazgán</w:t>
      </w:r>
      <w:r w:rsidRPr="008F03E5">
        <w:tab/>
        <w:t>very small village in Markazi Province, Iran (34.010109, 50.381649)</w:t>
      </w:r>
    </w:p>
    <w:p w14:paraId="2108C603" w14:textId="77777777" w:rsidR="00625A5B" w:rsidRPr="008F03E5" w:rsidRDefault="00625A5B" w:rsidP="00BD5886">
      <w:pPr>
        <w:pStyle w:val="Translit"/>
      </w:pPr>
      <w:r w:rsidRPr="008F03E5">
        <w:t>Mazhar, Mazahir</w:t>
      </w:r>
      <w:r w:rsidRPr="008F03E5">
        <w:tab/>
        <w:t>Maẓhar, pl. Maẓáhir</w:t>
      </w:r>
      <w:r w:rsidRPr="008F03E5">
        <w:tab/>
        <w:t>(external) appearance, external make-up, guise; outward bearing, comportment, conduct, behaviour; exterior, look(s), sight, view; semblance, aspect; bearer or object of a phenomenon, object in which something manifests itself; phenomenon; symptom (medical);—pl. manifestations, expressions.  The place or bearer of divine revelation, a revealer of God’s Word.  Manifestation of the Names and attributes of God (also Manifestation of the Self of God) in the Bahá’í Writings.  Bahá’u’lláh did not claim to be a nabí nor a rasúl.  See manẓar and ẓuhúr</w:t>
      </w:r>
    </w:p>
    <w:p w14:paraId="68A113F7" w14:textId="77777777" w:rsidR="00625A5B" w:rsidRPr="008F03E5" w:rsidRDefault="00625A5B" w:rsidP="00477D28">
      <w:pPr>
        <w:pStyle w:val="Translit"/>
      </w:pPr>
      <w:r w:rsidRPr="008F03E5">
        <w:t>Mazhariya</w:t>
      </w:r>
      <w:r>
        <w:t>,</w:t>
      </w:r>
      <w:r w:rsidRPr="008F03E5">
        <w:t xml:space="preserve"> Mazhariyya</w:t>
      </w:r>
      <w:r w:rsidRPr="008F03E5">
        <w:tab/>
        <w:t>Maẓharíya</w:t>
      </w:r>
      <w:r>
        <w:t>[h or t],</w:t>
      </w:r>
      <w:r w:rsidRPr="008F03E5">
        <w:t xml:space="preserve"> Maẓhar</w:t>
      </w:r>
      <w:r>
        <w:t>i</w:t>
      </w:r>
      <w:r w:rsidRPr="008F03E5">
        <w:t>yya</w:t>
      </w:r>
      <w:r>
        <w:t>[h or t]</w:t>
      </w:r>
      <w:r w:rsidRPr="008F03E5">
        <w:tab/>
      </w:r>
      <w:r>
        <w:t>s</w:t>
      </w:r>
      <w:r w:rsidRPr="00AF4D34">
        <w:t>tate of being the object</w:t>
      </w:r>
      <w:r>
        <w:t>;</w:t>
      </w:r>
      <w:r w:rsidRPr="008F03E5">
        <w:t xml:space="preserve"> manifestation-hood</w:t>
      </w:r>
    </w:p>
    <w:p w14:paraId="0687D163" w14:textId="77777777" w:rsidR="00625A5B" w:rsidRPr="008F03E5" w:rsidRDefault="00625A5B" w:rsidP="00BD5886">
      <w:pPr>
        <w:pStyle w:val="Translit"/>
      </w:pPr>
      <w:r w:rsidRPr="008F03E5">
        <w:t>Mazharu’l-ilahi</w:t>
      </w:r>
      <w:r w:rsidRPr="008F03E5">
        <w:tab/>
        <w:t>Maẓharu’l-iláhí</w:t>
      </w:r>
      <w:r w:rsidRPr="008F03E5">
        <w:tab/>
        <w:t xml:space="preserve">“Manifestation of God”, meaning the Manifestation of the Self of God or the Manifestation of the Names and attributes of God.  Future possibility:  refer to mention of waraqát (leaves, female) in </w:t>
      </w:r>
      <w:r w:rsidRPr="008F03E5">
        <w:rPr>
          <w:i/>
          <w:iCs/>
        </w:rPr>
        <w:t>Tablets of Bahá’u’lláh</w:t>
      </w:r>
      <w:r w:rsidRPr="008F03E5">
        <w:t>, p. 185.</w:t>
      </w:r>
    </w:p>
    <w:p w14:paraId="23787099" w14:textId="77777777" w:rsidR="00625A5B" w:rsidRPr="0093526E" w:rsidRDefault="00625A5B" w:rsidP="0093526E">
      <w:pPr>
        <w:pStyle w:val="Translit"/>
        <w:rPr>
          <w:lang w:val="en-AU"/>
        </w:rPr>
      </w:pPr>
      <w:r w:rsidRPr="0093526E">
        <w:rPr>
          <w:lang w:val="en-AU"/>
        </w:rPr>
        <w:t>Mazinan</w:t>
      </w:r>
      <w:r w:rsidRPr="0093526E">
        <w:rPr>
          <w:lang w:val="en-AU"/>
        </w:rPr>
        <w:tab/>
        <w:t>Mazínán</w:t>
      </w:r>
      <w:r w:rsidRPr="0093526E">
        <w:rPr>
          <w:lang w:val="en-AU"/>
        </w:rPr>
        <w:tab/>
        <w:t xml:space="preserve">Pers. a village (36.309707, 56.817147) east of </w:t>
      </w:r>
      <w:r>
        <w:rPr>
          <w:lang w:val="en-AU"/>
        </w:rPr>
        <w:t>Ma</w:t>
      </w:r>
      <w:r w:rsidRPr="0093526E">
        <w:rPr>
          <w:u w:val="single"/>
          <w:lang w:val="en-AU"/>
        </w:rPr>
        <w:t>sh</w:t>
      </w:r>
      <w:r>
        <w:rPr>
          <w:lang w:val="en-AU"/>
        </w:rPr>
        <w:t>had.</w:t>
      </w:r>
    </w:p>
    <w:p w14:paraId="5E8468CF" w14:textId="77777777" w:rsidR="00625A5B" w:rsidRPr="008F03E5" w:rsidRDefault="00625A5B" w:rsidP="00EA22E4">
      <w:pPr>
        <w:pStyle w:val="Translit"/>
      </w:pPr>
      <w:r w:rsidRPr="008F03E5">
        <w:t>Mazlum</w:t>
      </w:r>
      <w:r w:rsidRPr="008F03E5">
        <w:tab/>
        <w:t>Maẓlúm</w:t>
      </w:r>
      <w:r w:rsidRPr="008F03E5">
        <w:tab/>
        <w:t>wronged, ill-treated, unjustly treated, tyrannized</w:t>
      </w:r>
    </w:p>
    <w:p w14:paraId="18B5B521" w14:textId="77777777" w:rsidR="00625A5B" w:rsidRPr="008F03E5" w:rsidRDefault="00625A5B" w:rsidP="00EA22E4">
      <w:pPr>
        <w:pStyle w:val="Translit"/>
      </w:pPr>
      <w:r w:rsidRPr="008F03E5">
        <w:t>Mazlumi, Mazlumiyat</w:t>
      </w:r>
      <w:r w:rsidRPr="008F03E5">
        <w:tab/>
        <w:t>Maẓlúmí, fem. Maẓlúmíya[h or t]</w:t>
      </w:r>
      <w:r w:rsidRPr="008F03E5">
        <w:tab/>
        <w:t>(Pers. with Ar. influence) oppression, misery; subduedness, gentleness, meekness; modesty</w:t>
      </w:r>
    </w:p>
    <w:p w14:paraId="0DF263FF" w14:textId="77777777" w:rsidR="00625A5B" w:rsidRPr="008F03E5" w:rsidRDefault="00625A5B" w:rsidP="00900A82">
      <w:pPr>
        <w:pStyle w:val="Translit"/>
      </w:pPr>
      <w:r w:rsidRPr="008F03E5">
        <w:t>Mazra</w:t>
      </w:r>
      <w:r w:rsidRPr="008F03E5">
        <w:tab/>
        <w:t>Mazra‘</w:t>
      </w:r>
      <w:r w:rsidRPr="008F03E5">
        <w:tab/>
        <w:t>(arable) land</w:t>
      </w:r>
    </w:p>
    <w:p w14:paraId="26F2D92C" w14:textId="77777777" w:rsidR="00625A5B" w:rsidRPr="008F03E5" w:rsidRDefault="00625A5B" w:rsidP="00E578D7">
      <w:pPr>
        <w:pStyle w:val="Translit"/>
      </w:pPr>
      <w:r w:rsidRPr="008F03E5">
        <w:t>Mazra’a, Mazra’ih</w:t>
      </w:r>
      <w:r w:rsidRPr="008F03E5">
        <w:tab/>
        <w:t>Mazra‘a[h], Pers. Mazra‘ih, Ar. pl. Mazári‘</w:t>
      </w:r>
      <w:r w:rsidRPr="008F03E5">
        <w:tab/>
        <w:t>field under cultivation; farm; plantation; country estate.  A town 6 km north of ‘Akká and about 0.5 km from the sea.  House (built by Muḥammad Pá</w:t>
      </w:r>
      <w:r w:rsidRPr="008F03E5">
        <w:rPr>
          <w:u w:val="single"/>
        </w:rPr>
        <w:t>sh</w:t>
      </w:r>
      <w:r w:rsidRPr="008F03E5">
        <w:t>á Ṣafwat) of Bahá’u’lláh is just north of this village (32.987227, 35.099427).</w:t>
      </w:r>
    </w:p>
    <w:p w14:paraId="4D8234EA" w14:textId="77777777" w:rsidR="00625A5B" w:rsidRPr="008F03E5" w:rsidRDefault="00625A5B" w:rsidP="00393DB3">
      <w:pPr>
        <w:pStyle w:val="Translit"/>
      </w:pPr>
      <w:r w:rsidRPr="008F03E5">
        <w:t>Mazra’iy-i-Vashshash</w:t>
      </w:r>
      <w:r w:rsidRPr="008F03E5">
        <w:tab/>
        <w:t>Mazra‘iy-i-Va</w:t>
      </w:r>
      <w:r w:rsidRPr="008F03E5">
        <w:rPr>
          <w:u w:val="single"/>
        </w:rPr>
        <w:t>shsh</w:t>
      </w:r>
      <w:r w:rsidRPr="008F03E5">
        <w:t>á</w:t>
      </w:r>
      <w:r w:rsidRPr="008F03E5">
        <w:rPr>
          <w:u w:val="single"/>
        </w:rPr>
        <w:t>sh</w:t>
      </w:r>
      <w:r w:rsidRPr="008F03E5">
        <w:tab/>
        <w:t>Pers. once a field on the northern outskirts of Ba</w:t>
      </w:r>
      <w:r w:rsidRPr="008F03E5">
        <w:rPr>
          <w:u w:val="single"/>
        </w:rPr>
        <w:t>gh</w:t>
      </w:r>
      <w:r w:rsidRPr="008F03E5">
        <w:t>dád between the city centre and Káẓimayn where Bahá’u’lláh celebrated Riḍván (1863).  It is now the neighbourhood of al-Wa</w:t>
      </w:r>
      <w:r w:rsidRPr="008F03E5">
        <w:rPr>
          <w:u w:val="single"/>
        </w:rPr>
        <w:t>shsh</w:t>
      </w:r>
      <w:r w:rsidRPr="008F03E5">
        <w:t>á</w:t>
      </w:r>
      <w:r w:rsidRPr="008F03E5">
        <w:rPr>
          <w:u w:val="single"/>
        </w:rPr>
        <w:t>sh</w:t>
      </w:r>
      <w:r w:rsidRPr="008F03E5">
        <w:t xml:space="preserve">, in </w:t>
      </w:r>
      <w:r w:rsidRPr="008F03E5">
        <w:rPr>
          <w:sz w:val="16"/>
          <w:szCs w:val="16"/>
        </w:rPr>
        <w:t>NE</w:t>
      </w:r>
      <w:r w:rsidRPr="008F03E5">
        <w:t xml:space="preserve"> area of Manṣúr district.</w:t>
      </w:r>
    </w:p>
    <w:p w14:paraId="1734DD3C" w14:textId="77777777" w:rsidR="00625A5B" w:rsidRPr="008F03E5" w:rsidRDefault="00625A5B" w:rsidP="009B2A64">
      <w:pPr>
        <w:pStyle w:val="Translit"/>
      </w:pPr>
      <w:r w:rsidRPr="008F03E5">
        <w:t>Mazzah, Mazih</w:t>
      </w:r>
      <w:r w:rsidRPr="008F03E5">
        <w:tab/>
        <w:t>Mazzaḥ and Maziḥ</w:t>
      </w:r>
      <w:r w:rsidRPr="008F03E5">
        <w:tab/>
        <w:t>joker, jester, buffoon, wag, “Humorist or Playful”, an attribute of God according to Bahá’u’lláh</w:t>
      </w:r>
    </w:p>
    <w:p w14:paraId="621813AC" w14:textId="77777777" w:rsidR="00625A5B" w:rsidRPr="008F03E5" w:rsidRDefault="00625A5B" w:rsidP="006F21BE">
      <w:pPr>
        <w:pStyle w:val="Translit"/>
      </w:pPr>
      <w:r w:rsidRPr="008F03E5">
        <w:t>Mi’a, Mi’un, Mi’in, Mi’at</w:t>
      </w:r>
      <w:r w:rsidRPr="008F03E5">
        <w:tab/>
        <w:t>Mi’a[h], pl. Mi’ún (Mi’ín, nom.), Mi’át</w:t>
      </w:r>
      <w:r w:rsidRPr="008F03E5">
        <w:tab/>
        <w:t>hundred</w:t>
      </w:r>
    </w:p>
    <w:p w14:paraId="50B79542" w14:textId="77777777" w:rsidR="00625A5B" w:rsidRPr="008F03E5" w:rsidRDefault="00625A5B" w:rsidP="006F21BE">
      <w:pPr>
        <w:pStyle w:val="Translit"/>
      </w:pPr>
      <w:r w:rsidRPr="008063A9">
        <w:rPr>
          <w:lang w:val="es-ES_tradnl"/>
        </w:rPr>
        <w:t>Mi’ad, Mawa’id</w:t>
      </w:r>
      <w:r w:rsidRPr="008063A9">
        <w:rPr>
          <w:lang w:val="es-ES_tradnl"/>
        </w:rPr>
        <w:tab/>
        <w:t xml:space="preserve">Mí‘ád, pl. </w:t>
      </w:r>
      <w:r w:rsidRPr="008F03E5">
        <w:t>Mawá‘íd</w:t>
      </w:r>
      <w:r w:rsidRPr="008F03E5">
        <w:tab/>
        <w:t>promise; appointment, date, rendezvous; appointed time; time agreed on, time fixed by appointment; deadline, date (especially also due date for repaying a debt); consulting hour, office hour(s) (of a doctor, etc.); visiting hours (in museums, etc.); (time of) departure (of trains, buses, etc.).  Qur’án 34:30</w:t>
      </w:r>
    </w:p>
    <w:p w14:paraId="2DE5F4C5" w14:textId="77777777" w:rsidR="00625A5B" w:rsidRPr="008F03E5" w:rsidRDefault="00625A5B" w:rsidP="006F4D58">
      <w:pPr>
        <w:pStyle w:val="Translit"/>
      </w:pPr>
      <w:r w:rsidRPr="008F03E5">
        <w:t>Mi’mar</w:t>
      </w:r>
      <w:r w:rsidRPr="008F03E5">
        <w:tab/>
        <w:t>Mi‘már</w:t>
      </w:r>
      <w:r w:rsidRPr="008F03E5">
        <w:tab/>
        <w:t>builder, architect; mason</w:t>
      </w:r>
    </w:p>
    <w:p w14:paraId="69EC03B4" w14:textId="77777777" w:rsidR="00625A5B" w:rsidRPr="008F03E5" w:rsidRDefault="00625A5B" w:rsidP="0017690C">
      <w:pPr>
        <w:pStyle w:val="Translit"/>
      </w:pPr>
      <w:r w:rsidRPr="008F03E5">
        <w:t>Mi’marbashi</w:t>
      </w:r>
      <w:r w:rsidRPr="008F03E5">
        <w:tab/>
        <w:t>Mi‘márbá</w:t>
      </w:r>
      <w:r w:rsidRPr="008F03E5">
        <w:rPr>
          <w:u w:val="single"/>
        </w:rPr>
        <w:t>sh</w:t>
      </w:r>
      <w:r w:rsidRPr="008F03E5">
        <w:t>í</w:t>
      </w:r>
      <w:r w:rsidRPr="008F03E5">
        <w:tab/>
        <w:t>Pers. (mi‘már+bá</w:t>
      </w:r>
      <w:r w:rsidRPr="008F03E5">
        <w:rPr>
          <w:u w:val="single"/>
        </w:rPr>
        <w:t>sh</w:t>
      </w:r>
      <w:r w:rsidRPr="008F03E5">
        <w:t>í) be an architect</w:t>
      </w:r>
    </w:p>
    <w:p w14:paraId="1E56FDF0" w14:textId="77777777" w:rsidR="00625A5B" w:rsidRPr="008F03E5" w:rsidRDefault="00625A5B" w:rsidP="00752ADA">
      <w:pPr>
        <w:pStyle w:val="Translit"/>
      </w:pPr>
      <w:r w:rsidRPr="001457C8">
        <w:rPr>
          <w:lang w:val="pl-PL"/>
        </w:rPr>
        <w:t>Mi’raj, Ma’arij</w:t>
      </w:r>
      <w:r w:rsidRPr="001457C8">
        <w:rPr>
          <w:lang w:val="pl-PL"/>
        </w:rPr>
        <w:tab/>
        <w:t xml:space="preserve">Mi‘raj or Mi‘ráj, pl. </w:t>
      </w:r>
      <w:r w:rsidRPr="008F03E5">
        <w:t>Ma‘áríj</w:t>
      </w:r>
      <w:r w:rsidRPr="008F03E5">
        <w:tab/>
        <w:t>ladder, stairs.  al-Mi‘ráj (“The ascent”) Muḥammad’s vision of His night journey to the outermost mosque and His ascent to the heavens on His steed al-Buráq.  See ma‘raj</w:t>
      </w:r>
    </w:p>
    <w:p w14:paraId="0A58A919" w14:textId="77777777" w:rsidR="00625A5B" w:rsidRPr="008F03E5" w:rsidRDefault="00625A5B" w:rsidP="00F12494">
      <w:pPr>
        <w:pStyle w:val="Translit"/>
      </w:pPr>
      <w:r w:rsidRPr="008F03E5">
        <w:t>Midhat</w:t>
      </w:r>
      <w:r w:rsidRPr="008F03E5">
        <w:tab/>
        <w:t>Midḥat Pá</w:t>
      </w:r>
      <w:r w:rsidRPr="008F03E5">
        <w:rPr>
          <w:u w:val="single"/>
        </w:rPr>
        <w:t>sh</w:t>
      </w:r>
      <w:r w:rsidRPr="008F03E5">
        <w:t>á</w:t>
      </w:r>
      <w:r w:rsidRPr="008F03E5">
        <w:tab/>
        <w:t>Pers. see Midḥat</w:t>
      </w:r>
    </w:p>
    <w:p w14:paraId="065BCD72" w14:textId="77777777" w:rsidR="00625A5B" w:rsidRPr="008F03E5" w:rsidRDefault="00625A5B" w:rsidP="00F12494">
      <w:pPr>
        <w:pStyle w:val="Translit"/>
      </w:pPr>
      <w:r w:rsidRPr="008F03E5">
        <w:t>Midhat</w:t>
      </w:r>
      <w:r w:rsidRPr="008F03E5">
        <w:tab/>
        <w:t>Midḥat</w:t>
      </w:r>
      <w:r w:rsidRPr="008F03E5">
        <w:tab/>
        <w:t>Pers. praising; praise, encomium; a laudable action, anything deserving commendation</w:t>
      </w:r>
    </w:p>
    <w:p w14:paraId="0AE54C15" w14:textId="77777777" w:rsidR="00625A5B" w:rsidRPr="008F03E5" w:rsidRDefault="00625A5B" w:rsidP="00E466FC">
      <w:pPr>
        <w:pStyle w:val="Translit"/>
      </w:pPr>
      <w:r w:rsidRPr="008F03E5">
        <w:t>Midilli (Madelli)</w:t>
      </w:r>
      <w:r w:rsidRPr="008F03E5">
        <w:tab/>
        <w:t>Midillí</w:t>
      </w:r>
      <w:r w:rsidRPr="008F03E5">
        <w:tab/>
        <w:t>Turkish for Lesbos (Levos) Island.  Capital city and main port is Mitilíni (Mytilene).</w:t>
      </w:r>
    </w:p>
    <w:p w14:paraId="19A487EA" w14:textId="77777777" w:rsidR="00625A5B" w:rsidRPr="008F03E5" w:rsidRDefault="00625A5B" w:rsidP="004668B3">
      <w:pPr>
        <w:pStyle w:val="Translit"/>
      </w:pPr>
      <w:r w:rsidRPr="008F03E5">
        <w:t>Midmar, Madamir</w:t>
      </w:r>
      <w:r w:rsidRPr="008F03E5">
        <w:tab/>
        <w:t>Miḍmár, pl. Maḍámír</w:t>
      </w:r>
      <w:r w:rsidRPr="008F03E5">
        <w:tab/>
        <w:t>race course, race track; arena; field of activity, field, domain</w:t>
      </w:r>
    </w:p>
    <w:p w14:paraId="57FEDE05" w14:textId="77777777" w:rsidR="00625A5B" w:rsidRPr="008F03E5" w:rsidRDefault="00625A5B" w:rsidP="00952C78">
      <w:pPr>
        <w:pStyle w:val="Translit"/>
      </w:pPr>
      <w:r w:rsidRPr="008F03E5">
        <w:t>Midyan (Midian), Madyan</w:t>
      </w:r>
      <w:r w:rsidRPr="008F03E5">
        <w:tab/>
        <w:t>Midyan, Madyan</w:t>
      </w:r>
      <w:r w:rsidRPr="008F03E5">
        <w:tab/>
        <w:t>Midianites, believed to have lived in the northwest Arabian Peninsula.  Also known as Aṣḥábu’l-’Aykah, “Companions of the Wood”, since they used to worship a large tree.  See Aykatún</w:t>
      </w:r>
    </w:p>
    <w:p w14:paraId="679840A1" w14:textId="77777777" w:rsidR="00625A5B" w:rsidRPr="008F03E5" w:rsidRDefault="00625A5B" w:rsidP="00DF475E">
      <w:pPr>
        <w:pStyle w:val="Translit"/>
      </w:pPr>
      <w:r w:rsidRPr="008F03E5">
        <w:t>Miftah, Mafatih</w:t>
      </w:r>
      <w:r w:rsidRPr="008F03E5">
        <w:tab/>
        <w:t>Miftáḥ, pl. Mafátíḥ</w:t>
      </w:r>
      <w:r w:rsidRPr="008F03E5">
        <w:tab/>
        <w:t>key (to a door, of a keyboard, especially that of a piano); switch (electrical, railroad); lever, pedal (of a vehicle); knob (on a radio); stop (of a wind instrument); valve (of a trumpet); peg, pin (of a stringed instrument)</w:t>
      </w:r>
    </w:p>
    <w:p w14:paraId="56F44005" w14:textId="77777777" w:rsidR="00625A5B" w:rsidRPr="008F03E5" w:rsidRDefault="00625A5B" w:rsidP="00DF475E">
      <w:pPr>
        <w:pStyle w:val="Translit"/>
      </w:pPr>
      <w:r w:rsidRPr="008F03E5">
        <w:t>Miftahu Babi’l-Abwab</w:t>
      </w:r>
      <w:r w:rsidRPr="008F03E5">
        <w:tab/>
        <w:t>Miftáḥu Bábi’l-Abwáb</w:t>
      </w:r>
      <w:r w:rsidRPr="008F03E5">
        <w:tab/>
        <w:t xml:space="preserve">(Meftah Bab-el-Abwab)  “The Key to the Gate of Gates”—book written by Mírzá Muḥammad-Mihdí </w:t>
      </w:r>
      <w:r w:rsidRPr="008F03E5">
        <w:rPr>
          <w:u w:val="single"/>
        </w:rPr>
        <w:t>Kh</w:t>
      </w:r>
      <w:r w:rsidRPr="008F03E5">
        <w:t>án</w:t>
      </w:r>
    </w:p>
    <w:p w14:paraId="7348F05B" w14:textId="77777777" w:rsidR="00625A5B" w:rsidRPr="008F03E5" w:rsidRDefault="00625A5B" w:rsidP="004311D6">
      <w:pPr>
        <w:pStyle w:val="Translit"/>
      </w:pPr>
      <w:r w:rsidRPr="008F03E5">
        <w:t>Mihal</w:t>
      </w:r>
      <w:r w:rsidRPr="008F03E5">
        <w:tab/>
        <w:t>Míḥál, Pers. Míká’íl</w:t>
      </w:r>
      <w:r w:rsidRPr="008F03E5">
        <w:tab/>
        <w:t>Michael (a Christian name)</w:t>
      </w:r>
    </w:p>
    <w:p w14:paraId="5039CC84" w14:textId="77777777" w:rsidR="00625A5B" w:rsidRPr="008F03E5" w:rsidRDefault="00625A5B" w:rsidP="006206F1">
      <w:pPr>
        <w:pStyle w:val="Translit"/>
      </w:pPr>
      <w:r w:rsidRPr="008F03E5">
        <w:t>Mihdala, Mahadil</w:t>
      </w:r>
      <w:r w:rsidRPr="008F03E5">
        <w:tab/>
        <w:t>Miḥdala, pl. Maḥádil</w:t>
      </w:r>
      <w:r w:rsidRPr="008F03E5">
        <w:tab/>
        <w:t>roller, steamroller</w:t>
      </w:r>
    </w:p>
    <w:p w14:paraId="5467CEBA" w14:textId="77777777" w:rsidR="00625A5B" w:rsidRPr="008F03E5" w:rsidRDefault="00625A5B" w:rsidP="00900A82">
      <w:pPr>
        <w:pStyle w:val="Translit"/>
      </w:pPr>
      <w:r w:rsidRPr="008F03E5">
        <w:t>Mihdi-Quli</w:t>
      </w:r>
      <w:r w:rsidRPr="008F03E5">
        <w:tab/>
        <w:t>Mihdí-Qulí</w:t>
      </w:r>
      <w:r w:rsidRPr="008F03E5">
        <w:tab/>
      </w:r>
    </w:p>
    <w:p w14:paraId="2D728931" w14:textId="77777777" w:rsidR="00625A5B" w:rsidRPr="008F03E5" w:rsidRDefault="00625A5B" w:rsidP="002179EB">
      <w:pPr>
        <w:pStyle w:val="Translit"/>
      </w:pPr>
      <w:r w:rsidRPr="008F03E5">
        <w:t>Mihdishahr (Mehdishahr), Mahdi-Shahr</w:t>
      </w:r>
      <w:r w:rsidRPr="008F03E5">
        <w:tab/>
        <w:t>Mihdí</w:t>
      </w:r>
      <w:r w:rsidRPr="008F03E5">
        <w:rPr>
          <w:u w:val="single"/>
        </w:rPr>
        <w:t>sh</w:t>
      </w:r>
      <w:r w:rsidRPr="008F03E5">
        <w:t>ahr (Mihdí-</w:t>
      </w:r>
      <w:r w:rsidRPr="008F03E5">
        <w:rPr>
          <w:u w:val="single"/>
        </w:rPr>
        <w:t>Sh</w:t>
      </w:r>
      <w:r w:rsidRPr="008F03E5">
        <w:t>ahr)</w:t>
      </w:r>
      <w:r w:rsidRPr="008F03E5">
        <w:tab/>
        <w:t xml:space="preserve">(formerly, Sang-i-Sar or Sangsar,) is a city (15 km </w:t>
      </w:r>
      <w:r w:rsidRPr="008F03E5">
        <w:rPr>
          <w:sz w:val="16"/>
          <w:szCs w:val="16"/>
        </w:rPr>
        <w:t>NNW</w:t>
      </w:r>
      <w:r w:rsidRPr="008F03E5">
        <w:t xml:space="preserve"> of Semnan and 175 km east of Teheran) and capital of Mehdishahr County, Semnan Province, Iran.  Also spelt Mahdí-</w:t>
      </w:r>
      <w:r w:rsidRPr="008F03E5">
        <w:rPr>
          <w:u w:val="single"/>
        </w:rPr>
        <w:t>Sh</w:t>
      </w:r>
      <w:r w:rsidRPr="008F03E5">
        <w:t>ahr (Mahdí</w:t>
      </w:r>
      <w:r w:rsidRPr="008F03E5">
        <w:rPr>
          <w:u w:val="single"/>
        </w:rPr>
        <w:t>sh</w:t>
      </w:r>
      <w:r w:rsidRPr="008F03E5">
        <w:t>ahr) (“Mahdi-Shahr or Mahdishahr”).</w:t>
      </w:r>
    </w:p>
    <w:p w14:paraId="1E05EB8E" w14:textId="77777777" w:rsidR="00625A5B" w:rsidRPr="008F03E5" w:rsidRDefault="00625A5B" w:rsidP="00900A82">
      <w:pPr>
        <w:pStyle w:val="Translit"/>
      </w:pPr>
      <w:r w:rsidRPr="008F03E5">
        <w:t>Mihdiyabad (Mehdi Abad)</w:t>
      </w:r>
      <w:r w:rsidRPr="008F03E5">
        <w:tab/>
        <w:t>Mihdíyábád</w:t>
      </w:r>
      <w:r w:rsidRPr="008F03E5">
        <w:tab/>
        <w:t xml:space="preserve">a very small village (31.450768, 54.161375) 11 km </w:t>
      </w:r>
      <w:r w:rsidRPr="008F03E5">
        <w:rPr>
          <w:sz w:val="16"/>
          <w:szCs w:val="16"/>
        </w:rPr>
        <w:t>SW</w:t>
      </w:r>
      <w:r w:rsidRPr="008F03E5">
        <w:t xml:space="preserve"> Man</w:t>
      </w:r>
      <w:r w:rsidRPr="008F03E5">
        <w:rPr>
          <w:u w:val="single"/>
        </w:rPr>
        <w:t>sh</w:t>
      </w:r>
      <w:r w:rsidRPr="008F03E5">
        <w:t>ád</w:t>
      </w:r>
    </w:p>
    <w:p w14:paraId="642A5663" w14:textId="77777777" w:rsidR="00625A5B" w:rsidRPr="008F03E5" w:rsidRDefault="00625A5B" w:rsidP="00900A82">
      <w:pPr>
        <w:pStyle w:val="Translit"/>
      </w:pPr>
      <w:r w:rsidRPr="008F03E5">
        <w:t>Mihdiy-i</w:t>
      </w:r>
      <w:r w:rsidRPr="008F03E5">
        <w:rPr>
          <w:rFonts w:eastAsia="PMingLiU"/>
          <w:lang w:eastAsia="zh-TW"/>
        </w:rPr>
        <w:t>-‘</w:t>
      </w:r>
      <w:r w:rsidRPr="008F03E5">
        <w:t>Atri</w:t>
      </w:r>
      <w:r w:rsidRPr="008F03E5">
        <w:tab/>
        <w:t>Mihdíy-i-‘Aṭrí, Hájí Mullá</w:t>
      </w:r>
      <w:r w:rsidRPr="008F03E5">
        <w:tab/>
        <w:t>so named, because he was a distiller of ‘Aṭṭár</w:t>
      </w:r>
    </w:p>
    <w:p w14:paraId="47410FD2" w14:textId="77777777" w:rsidR="00625A5B" w:rsidRPr="001457C8" w:rsidRDefault="00625A5B" w:rsidP="00900A82">
      <w:pPr>
        <w:pStyle w:val="Translit"/>
        <w:rPr>
          <w:lang w:val="pl-PL"/>
        </w:rPr>
      </w:pPr>
      <w:r w:rsidRPr="001457C8">
        <w:rPr>
          <w:lang w:val="pl-PL"/>
        </w:rPr>
        <w:t>Mihdiy-i-Dahaji</w:t>
      </w:r>
      <w:r w:rsidRPr="001457C8">
        <w:rPr>
          <w:lang w:val="pl-PL"/>
        </w:rPr>
        <w:tab/>
        <w:t>Mihdíy-i-Dahají</w:t>
      </w:r>
      <w:r w:rsidRPr="001457C8">
        <w:rPr>
          <w:lang w:val="pl-PL"/>
        </w:rPr>
        <w:tab/>
      </w:r>
    </w:p>
    <w:p w14:paraId="2608CECC" w14:textId="77777777" w:rsidR="00625A5B" w:rsidRPr="001457C8" w:rsidRDefault="00625A5B" w:rsidP="00900A82">
      <w:pPr>
        <w:pStyle w:val="Translit"/>
        <w:rPr>
          <w:lang w:val="pl-PL"/>
        </w:rPr>
      </w:pPr>
      <w:r w:rsidRPr="001457C8">
        <w:rPr>
          <w:lang w:val="pl-PL"/>
        </w:rPr>
        <w:t>Mihdiy-i-Kandi</w:t>
      </w:r>
      <w:r w:rsidRPr="001457C8">
        <w:rPr>
          <w:lang w:val="pl-PL"/>
        </w:rPr>
        <w:tab/>
        <w:t>Mihdíy-i-Kandí</w:t>
      </w:r>
      <w:r w:rsidRPr="001457C8">
        <w:rPr>
          <w:lang w:val="pl-PL"/>
        </w:rPr>
        <w:tab/>
      </w:r>
    </w:p>
    <w:p w14:paraId="3AF223FA" w14:textId="77777777" w:rsidR="00625A5B" w:rsidRPr="001457C8" w:rsidRDefault="00625A5B" w:rsidP="00900A82">
      <w:pPr>
        <w:pStyle w:val="Translit"/>
        <w:rPr>
          <w:lang w:val="pl-PL"/>
        </w:rPr>
      </w:pPr>
      <w:r w:rsidRPr="001457C8">
        <w:rPr>
          <w:lang w:val="pl-PL"/>
        </w:rPr>
        <w:t>Mihdiy-i-Kashani</w:t>
      </w:r>
      <w:r w:rsidRPr="001457C8">
        <w:rPr>
          <w:lang w:val="pl-PL"/>
        </w:rPr>
        <w:tab/>
        <w:t>Mihdíy-i-Ká</w:t>
      </w:r>
      <w:r w:rsidRPr="001457C8">
        <w:rPr>
          <w:u w:val="single"/>
          <w:lang w:val="pl-PL"/>
        </w:rPr>
        <w:t>sh</w:t>
      </w:r>
      <w:r w:rsidRPr="001457C8">
        <w:rPr>
          <w:lang w:val="pl-PL"/>
        </w:rPr>
        <w:t>ání</w:t>
      </w:r>
      <w:r w:rsidRPr="001457C8">
        <w:rPr>
          <w:lang w:val="pl-PL"/>
        </w:rPr>
        <w:tab/>
        <w:t>(</w:t>
      </w:r>
      <w:r w:rsidRPr="001457C8">
        <w:rPr>
          <w:sz w:val="16"/>
          <w:szCs w:val="16"/>
          <w:lang w:val="pl-PL"/>
        </w:rPr>
        <w:t>MF</w:t>
      </w:r>
      <w:r w:rsidRPr="001457C8">
        <w:rPr>
          <w:lang w:val="pl-PL"/>
        </w:rPr>
        <w:t>)</w:t>
      </w:r>
    </w:p>
    <w:p w14:paraId="765B0CAD" w14:textId="77777777" w:rsidR="00625A5B" w:rsidRPr="001457C8" w:rsidRDefault="00625A5B" w:rsidP="00900A82">
      <w:pPr>
        <w:pStyle w:val="Translit"/>
        <w:rPr>
          <w:lang w:val="pl-PL"/>
        </w:rPr>
      </w:pPr>
      <w:r w:rsidRPr="001457C8">
        <w:rPr>
          <w:lang w:val="pl-PL"/>
        </w:rPr>
        <w:t>Mihdiy-i-Khu’i</w:t>
      </w:r>
      <w:r w:rsidRPr="001457C8">
        <w:rPr>
          <w:lang w:val="pl-PL"/>
        </w:rPr>
        <w:tab/>
        <w:t>Mihdíy-i-</w:t>
      </w:r>
      <w:r w:rsidRPr="001457C8">
        <w:rPr>
          <w:u w:val="single"/>
          <w:lang w:val="pl-PL"/>
        </w:rPr>
        <w:t>Kh</w:t>
      </w:r>
      <w:r w:rsidRPr="001457C8">
        <w:rPr>
          <w:lang w:val="pl-PL"/>
        </w:rPr>
        <w:t>u’í</w:t>
      </w:r>
      <w:r w:rsidRPr="001457C8">
        <w:rPr>
          <w:lang w:val="pl-PL"/>
        </w:rPr>
        <w:tab/>
      </w:r>
    </w:p>
    <w:p w14:paraId="1E024767" w14:textId="77777777" w:rsidR="00625A5B" w:rsidRPr="001457C8" w:rsidRDefault="00625A5B" w:rsidP="00900A82">
      <w:pPr>
        <w:pStyle w:val="Translit"/>
        <w:rPr>
          <w:lang w:val="it-IT"/>
        </w:rPr>
      </w:pPr>
      <w:r w:rsidRPr="001457C8">
        <w:rPr>
          <w:lang w:val="it-IT"/>
        </w:rPr>
        <w:t>Mihdiy-i-Rashti</w:t>
      </w:r>
      <w:r w:rsidRPr="001457C8">
        <w:rPr>
          <w:lang w:val="it-IT"/>
        </w:rPr>
        <w:tab/>
        <w:t>Mihdíy-i-Ra</w:t>
      </w:r>
      <w:r w:rsidRPr="001457C8">
        <w:rPr>
          <w:u w:val="single"/>
          <w:lang w:val="it-IT"/>
        </w:rPr>
        <w:t>sh</w:t>
      </w:r>
      <w:r w:rsidRPr="001457C8">
        <w:rPr>
          <w:lang w:val="it-IT"/>
        </w:rPr>
        <w:t>tí</w:t>
      </w:r>
      <w:r w:rsidRPr="001457C8">
        <w:rPr>
          <w:lang w:val="it-IT"/>
        </w:rPr>
        <w:tab/>
      </w:r>
    </w:p>
    <w:p w14:paraId="587A0C50" w14:textId="77777777" w:rsidR="00625A5B" w:rsidRPr="001457C8" w:rsidRDefault="00625A5B" w:rsidP="00900A82">
      <w:pPr>
        <w:pStyle w:val="Translit"/>
        <w:rPr>
          <w:lang w:val="it-IT"/>
        </w:rPr>
      </w:pPr>
      <w:r w:rsidRPr="001457C8">
        <w:rPr>
          <w:lang w:val="it-IT"/>
        </w:rPr>
        <w:t>Mihdiy-i-Yazdi</w:t>
      </w:r>
      <w:r w:rsidRPr="001457C8">
        <w:rPr>
          <w:lang w:val="it-IT"/>
        </w:rPr>
        <w:tab/>
        <w:t>Mihdíy-i-Yazdí</w:t>
      </w:r>
      <w:r w:rsidRPr="001457C8">
        <w:rPr>
          <w:lang w:val="it-IT"/>
        </w:rPr>
        <w:tab/>
        <w:t>(</w:t>
      </w:r>
      <w:r w:rsidRPr="001457C8">
        <w:rPr>
          <w:sz w:val="16"/>
          <w:szCs w:val="16"/>
          <w:lang w:val="it-IT"/>
        </w:rPr>
        <w:t>MF</w:t>
      </w:r>
      <w:r w:rsidRPr="001457C8">
        <w:rPr>
          <w:lang w:val="it-IT"/>
        </w:rPr>
        <w:t>)</w:t>
      </w:r>
    </w:p>
    <w:p w14:paraId="5D37475B" w14:textId="77777777" w:rsidR="00625A5B" w:rsidRPr="002376BE" w:rsidRDefault="00625A5B" w:rsidP="00CB683F">
      <w:pPr>
        <w:pStyle w:val="Translit"/>
        <w:rPr>
          <w:rFonts w:eastAsia="PMingLiU"/>
          <w:lang w:val="it-IT" w:eastAsia="zh-TW"/>
        </w:rPr>
      </w:pPr>
      <w:r w:rsidRPr="002376BE">
        <w:rPr>
          <w:rFonts w:eastAsia="PMingLiU"/>
          <w:lang w:val="it-IT" w:eastAsia="zh-TW"/>
        </w:rPr>
        <w:t>Mihdizadih</w:t>
      </w:r>
      <w:r w:rsidRPr="002376BE">
        <w:rPr>
          <w:lang w:val="it-IT"/>
        </w:rPr>
        <w:tab/>
      </w:r>
      <w:r w:rsidRPr="002376BE">
        <w:rPr>
          <w:rFonts w:eastAsia="PMingLiU"/>
          <w:lang w:val="it-IT" w:eastAsia="zh-TW"/>
        </w:rPr>
        <w:t>Mihdízádih (Mihdí-Zádih)</w:t>
      </w:r>
      <w:r w:rsidRPr="002376BE">
        <w:rPr>
          <w:lang w:val="it-IT"/>
        </w:rPr>
        <w:tab/>
      </w:r>
    </w:p>
    <w:p w14:paraId="2CB95649" w14:textId="77777777" w:rsidR="00625A5B" w:rsidRPr="00AD6915" w:rsidRDefault="00625A5B" w:rsidP="000C140F">
      <w:pPr>
        <w:pStyle w:val="Translit"/>
        <w:rPr>
          <w:lang w:val="it-IT"/>
        </w:rPr>
      </w:pPr>
      <w:r w:rsidRPr="00AD6915">
        <w:rPr>
          <w:lang w:val="it-IT"/>
        </w:rPr>
        <w:t>Mihman (Mehman)</w:t>
      </w:r>
      <w:r w:rsidRPr="00AD6915">
        <w:rPr>
          <w:lang w:val="it-IT"/>
        </w:rPr>
        <w:tab/>
        <w:t>Mihmán</w:t>
      </w:r>
      <w:r w:rsidRPr="00AD6915">
        <w:rPr>
          <w:lang w:val="it-IT"/>
        </w:rPr>
        <w:tab/>
        <w:t>Pers. a guest; a son-in-law</w:t>
      </w:r>
    </w:p>
    <w:p w14:paraId="5D2FFB65" w14:textId="77777777" w:rsidR="00625A5B" w:rsidRPr="000C140F" w:rsidRDefault="00625A5B" w:rsidP="000C140F">
      <w:pPr>
        <w:pStyle w:val="Translit"/>
        <w:rPr>
          <w:lang w:val="en-AU"/>
        </w:rPr>
      </w:pPr>
      <w:r w:rsidRPr="000C140F">
        <w:rPr>
          <w:lang w:val="en-AU"/>
        </w:rPr>
        <w:t>Mihman-Dust</w:t>
      </w:r>
      <w:r w:rsidRPr="000C140F">
        <w:rPr>
          <w:lang w:val="en-AU"/>
        </w:rPr>
        <w:tab/>
        <w:t>Mihmán-Dust</w:t>
      </w:r>
      <w:r w:rsidRPr="000C140F">
        <w:rPr>
          <w:lang w:val="en-AU"/>
        </w:rPr>
        <w:tab/>
        <w:t>Pers. name of</w:t>
      </w:r>
      <w:r>
        <w:rPr>
          <w:lang w:val="en-AU"/>
        </w:rPr>
        <w:t xml:space="preserve"> small villages.  </w:t>
      </w:r>
      <w:r w:rsidRPr="000C140F">
        <w:rPr>
          <w:lang w:val="en-AU"/>
        </w:rPr>
        <w:t>Mihmán-Dust</w:t>
      </w:r>
      <w:r w:rsidRPr="00685ABE">
        <w:t xml:space="preserve"> (36.218755, 54.556551) village in Sem</w:t>
      </w:r>
      <w:r w:rsidRPr="000C140F">
        <w:t>nan province.</w:t>
      </w:r>
    </w:p>
    <w:p w14:paraId="14CC3978" w14:textId="77777777" w:rsidR="00625A5B" w:rsidRPr="008F03E5" w:rsidRDefault="00625A5B" w:rsidP="00B6707C">
      <w:pPr>
        <w:pStyle w:val="Translit"/>
      </w:pPr>
      <w:r w:rsidRPr="008F03E5">
        <w:t>Mihr</w:t>
      </w:r>
      <w:r w:rsidRPr="008F03E5">
        <w:tab/>
        <w:t>Mihr</w:t>
      </w:r>
      <w:r w:rsidRPr="008F03E5">
        <w:tab/>
        <w:t>Pers. the sun; love, friendship, affection, kindness; mercy, pity; 7th month of the Persian solar year; the 16th day of every month; death; a mandrake; a red stone; a gilded ball fixed on a canopy or standard; name of a fire-temple</w:t>
      </w:r>
    </w:p>
    <w:p w14:paraId="79C57A05" w14:textId="77777777" w:rsidR="00625A5B" w:rsidRPr="001457C8" w:rsidRDefault="00625A5B" w:rsidP="00B606AE">
      <w:pPr>
        <w:pStyle w:val="Translit"/>
        <w:rPr>
          <w:lang w:val="de-DE"/>
        </w:rPr>
      </w:pPr>
      <w:r w:rsidRPr="001457C8">
        <w:rPr>
          <w:lang w:val="de-DE"/>
        </w:rPr>
        <w:t>Mihr</w:t>
      </w:r>
      <w:r w:rsidRPr="001457C8">
        <w:rPr>
          <w:rFonts w:eastAsia="PMingLiU"/>
          <w:lang w:val="de-DE" w:eastAsia="zh-TW"/>
        </w:rPr>
        <w:t>-‘</w:t>
      </w:r>
      <w:r w:rsidRPr="001457C8">
        <w:rPr>
          <w:lang w:val="de-DE"/>
        </w:rPr>
        <w:t>Ali</w:t>
      </w:r>
      <w:r w:rsidRPr="001457C8">
        <w:rPr>
          <w:lang w:val="de-DE"/>
        </w:rPr>
        <w:tab/>
        <w:t xml:space="preserve">Mihr-‘Alí </w:t>
      </w:r>
      <w:r w:rsidRPr="001457C8">
        <w:rPr>
          <w:u w:val="single"/>
          <w:lang w:val="de-DE"/>
        </w:rPr>
        <w:t>Kh</w:t>
      </w:r>
      <w:r w:rsidRPr="001457C8">
        <w:rPr>
          <w:lang w:val="de-DE"/>
        </w:rPr>
        <w:t>án</w:t>
      </w:r>
      <w:r w:rsidRPr="001457C8">
        <w:rPr>
          <w:lang w:val="de-DE"/>
        </w:rPr>
        <w:tab/>
      </w:r>
    </w:p>
    <w:p w14:paraId="27E71252" w14:textId="77777777" w:rsidR="00625A5B" w:rsidRPr="008F03E5" w:rsidRDefault="00625A5B" w:rsidP="00A5332F">
      <w:pPr>
        <w:pStyle w:val="Translit"/>
      </w:pPr>
      <w:r w:rsidRPr="008F03E5">
        <w:t>Mihrab</w:t>
      </w:r>
      <w:r w:rsidRPr="008F03E5">
        <w:tab/>
        <w:t>Mihráb</w:t>
      </w:r>
      <w:r w:rsidRPr="008F03E5">
        <w:tab/>
        <w:t xml:space="preserve">Pers. name of a champion of Túrán; father of Rúdábah (mythological woman) who was the bride of Zál (legendary Iranian king from Sístán) in Firdawsí’s </w:t>
      </w:r>
      <w:r w:rsidRPr="008F03E5">
        <w:rPr>
          <w:i/>
          <w:iCs/>
          <w:u w:val="single"/>
        </w:rPr>
        <w:t>Sh</w:t>
      </w:r>
      <w:r w:rsidRPr="008F03E5">
        <w:rPr>
          <w:i/>
          <w:iCs/>
        </w:rPr>
        <w:t>áhnámah</w:t>
      </w:r>
      <w:r w:rsidRPr="008F03E5">
        <w:t>.  Manṣur Mihrábí</w:t>
      </w:r>
    </w:p>
    <w:p w14:paraId="66B69B0B" w14:textId="77777777" w:rsidR="00625A5B" w:rsidRPr="008F03E5" w:rsidRDefault="00625A5B" w:rsidP="0054395F">
      <w:pPr>
        <w:pStyle w:val="Translit"/>
      </w:pPr>
      <w:r w:rsidRPr="008F03E5">
        <w:t>Mihrab, Maharib</w:t>
      </w:r>
      <w:r w:rsidRPr="008F03E5">
        <w:tab/>
        <w:t>Miḥráb, pl. Maḥárib</w:t>
      </w:r>
      <w:r w:rsidRPr="008F03E5">
        <w:tab/>
        <w:t>prayer niche in a mosque showing the direction of Mecca.  The principle place in a mosque where the imám prays with his face turned towards Mecca.</w:t>
      </w:r>
    </w:p>
    <w:p w14:paraId="0666EB3D" w14:textId="77777777" w:rsidR="00625A5B" w:rsidRDefault="00625A5B" w:rsidP="00C919AA">
      <w:pPr>
        <w:pStyle w:val="Translit"/>
      </w:pPr>
      <w:r w:rsidRPr="008F03E5">
        <w:t>Mihr</w:t>
      </w:r>
      <w:r>
        <w:t>a</w:t>
      </w:r>
      <w:r w:rsidRPr="008F03E5">
        <w:t>ban</w:t>
      </w:r>
      <w:r>
        <w:t xml:space="preserve"> (</w:t>
      </w:r>
      <w:r w:rsidRPr="008F03E5">
        <w:t>Mehr</w:t>
      </w:r>
      <w:r>
        <w:t>i</w:t>
      </w:r>
      <w:r w:rsidRPr="008F03E5">
        <w:t>ban</w:t>
      </w:r>
      <w:r>
        <w:t>)</w:t>
      </w:r>
      <w:r w:rsidRPr="008F03E5">
        <w:tab/>
        <w:t>Mihr</w:t>
      </w:r>
      <w:r>
        <w:t>a</w:t>
      </w:r>
      <w:r w:rsidRPr="008F03E5">
        <w:t>bán</w:t>
      </w:r>
      <w:r w:rsidRPr="008F03E5">
        <w:tab/>
        <w:t xml:space="preserve">city </w:t>
      </w:r>
      <w:r>
        <w:t>(</w:t>
      </w:r>
      <w:r w:rsidRPr="00C919AA">
        <w:t>38.082010, 47.132856</w:t>
      </w:r>
      <w:r>
        <w:t xml:space="preserve">) </w:t>
      </w:r>
      <w:r w:rsidRPr="008F03E5">
        <w:t>75 km east of Tabriz.  Turkish</w:t>
      </w:r>
      <w:r>
        <w:t xml:space="preserve"> </w:t>
      </w:r>
      <w:r w:rsidRPr="00C919AA">
        <w:t xml:space="preserve">mähriban </w:t>
      </w:r>
      <w:r>
        <w:t>from Persian</w:t>
      </w:r>
      <w:r w:rsidRPr="008F03E5">
        <w:t>, loving friend</w:t>
      </w:r>
      <w:r>
        <w:t>.  Pers. mihr</w:t>
      </w:r>
      <w:r w:rsidRPr="00C919AA">
        <w:t>á</w:t>
      </w:r>
      <w:r>
        <w:t>b</w:t>
      </w:r>
      <w:r w:rsidRPr="00C919AA">
        <w:t>á</w:t>
      </w:r>
      <w:r>
        <w:t>n, kind, generous.</w:t>
      </w:r>
    </w:p>
    <w:p w14:paraId="355B2867" w14:textId="77777777" w:rsidR="00625A5B" w:rsidRPr="008F03E5" w:rsidRDefault="00625A5B" w:rsidP="00A5332F">
      <w:pPr>
        <w:pStyle w:val="Translit"/>
      </w:pPr>
      <w:r w:rsidRPr="008F03E5">
        <w:t>Mihrabi</w:t>
      </w:r>
      <w:r w:rsidRPr="008F03E5">
        <w:tab/>
        <w:t>Miḥrábí</w:t>
      </w:r>
      <w:r w:rsidRPr="008F03E5">
        <w:tab/>
        <w:t>Pers. (Ar. influence) having a miḥráb; like a miḥráb; arched; cut in the shape of a miḥráb</w:t>
      </w:r>
      <w:r w:rsidRPr="008F03E5">
        <w:rPr>
          <w:i/>
          <w:iCs/>
        </w:rPr>
        <w:t>,</w:t>
      </w:r>
      <w:r w:rsidRPr="008F03E5">
        <w:t xml:space="preserve"> round (a beard).</w:t>
      </w:r>
    </w:p>
    <w:p w14:paraId="0529B576" w14:textId="77777777" w:rsidR="00625A5B" w:rsidRPr="008F03E5" w:rsidRDefault="00625A5B" w:rsidP="001C2A01">
      <w:pPr>
        <w:pStyle w:val="Translit"/>
      </w:pPr>
      <w:r w:rsidRPr="008F03E5">
        <w:t>Mihrabkhani</w:t>
      </w:r>
      <w:r w:rsidRPr="008F03E5">
        <w:tab/>
        <w:t>Miḥráb</w:t>
      </w:r>
      <w:r w:rsidRPr="008F03E5">
        <w:rPr>
          <w:u w:val="single"/>
        </w:rPr>
        <w:t>kh</w:t>
      </w:r>
      <w:r w:rsidRPr="008F03E5">
        <w:t>ání</w:t>
      </w:r>
      <w:r w:rsidRPr="008F03E5">
        <w:tab/>
        <w:t>Pers. Rúḥu’lláh Miḥráb</w:t>
      </w:r>
      <w:r w:rsidRPr="008F03E5">
        <w:rPr>
          <w:u w:val="single"/>
        </w:rPr>
        <w:t>kh</w:t>
      </w:r>
      <w:r w:rsidRPr="008F03E5">
        <w:t xml:space="preserve">ání, </w:t>
      </w:r>
      <w:r w:rsidRPr="008F03E5">
        <w:rPr>
          <w:i/>
          <w:iCs/>
          <w:u w:val="single"/>
        </w:rPr>
        <w:t>Sh</w:t>
      </w:r>
      <w:r w:rsidRPr="008F03E5">
        <w:rPr>
          <w:i/>
          <w:iCs/>
        </w:rPr>
        <w:t>arḥ-i-Aḥwál-i-Jináb-i-</w:t>
      </w:r>
      <w:r w:rsidRPr="008F03E5">
        <w:t>‘</w:t>
      </w:r>
      <w:r w:rsidRPr="008F03E5">
        <w:rPr>
          <w:i/>
          <w:iCs/>
        </w:rPr>
        <w:t>Abu’l Faḍl-i-Gulpáygání</w:t>
      </w:r>
      <w:r w:rsidRPr="008F03E5">
        <w:t xml:space="preserve"> [“Description of the life of Mirza ‘Abu’l Faḍl-i-Gulpáygání]</w:t>
      </w:r>
    </w:p>
    <w:p w14:paraId="2C2332A1" w14:textId="77777777" w:rsidR="00625A5B" w:rsidRPr="008F03E5" w:rsidRDefault="00625A5B" w:rsidP="005D6016">
      <w:pPr>
        <w:pStyle w:val="Translit"/>
      </w:pPr>
      <w:r w:rsidRPr="001457C8">
        <w:rPr>
          <w:lang w:val="de-DE"/>
        </w:rPr>
        <w:t>Mihrangiz (Mehrangiz)</w:t>
      </w:r>
      <w:r w:rsidRPr="001457C8">
        <w:rPr>
          <w:lang w:val="de-DE"/>
        </w:rPr>
        <w:tab/>
        <w:t>Mihrángíz</w:t>
      </w:r>
      <w:r w:rsidRPr="001457C8">
        <w:rPr>
          <w:lang w:val="de-DE"/>
        </w:rPr>
        <w:tab/>
        <w:t xml:space="preserve">(“Mehrengiz” and “Mehrenguiz”) Pers. </w:t>
      </w:r>
      <w:r w:rsidRPr="008F03E5">
        <w:t>(mihr + ángíz). “raising affection”.  Mihrángíz Rabbání, a sister of Shoghi Effendi.</w:t>
      </w:r>
    </w:p>
    <w:p w14:paraId="5D5A1E42" w14:textId="77777777" w:rsidR="00625A5B" w:rsidRPr="008F03E5" w:rsidRDefault="00625A5B" w:rsidP="00900A82">
      <w:pPr>
        <w:pStyle w:val="Translit"/>
      </w:pPr>
      <w:r w:rsidRPr="008F03E5">
        <w:t>Mihriz (Mehriz)</w:t>
      </w:r>
      <w:r w:rsidRPr="008F03E5">
        <w:tab/>
        <w:t>Mihríz</w:t>
      </w:r>
      <w:r w:rsidRPr="008F03E5">
        <w:tab/>
        <w:t>Pers. city 36 km south Yazd and a gate in Yazd</w:t>
      </w:r>
    </w:p>
    <w:p w14:paraId="6547A6A9" w14:textId="77777777" w:rsidR="00625A5B" w:rsidRPr="00077779" w:rsidRDefault="00625A5B" w:rsidP="0007288D">
      <w:pPr>
        <w:pStyle w:val="Translit"/>
        <w:rPr>
          <w:lang w:val="pl-PL"/>
        </w:rPr>
      </w:pPr>
      <w:r w:rsidRPr="008F03E5">
        <w:t>Mihryar (Mehryar)</w:t>
      </w:r>
      <w:r w:rsidRPr="008F03E5">
        <w:tab/>
        <w:t>Mihryár (Mihr + Yár)</w:t>
      </w:r>
      <w:r w:rsidRPr="008F03E5">
        <w:tab/>
        <w:t xml:space="preserve">kind friend.  </w:t>
      </w:r>
      <w:r w:rsidRPr="00077779">
        <w:rPr>
          <w:lang w:val="pl-PL"/>
        </w:rPr>
        <w:t>(</w:t>
      </w:r>
      <w:r w:rsidRPr="00077779">
        <w:rPr>
          <w:sz w:val="16"/>
          <w:szCs w:val="16"/>
          <w:lang w:val="pl-PL"/>
        </w:rPr>
        <w:t>TN</w:t>
      </w:r>
      <w:r w:rsidRPr="00077779">
        <w:rPr>
          <w:lang w:val="pl-PL"/>
        </w:rPr>
        <w:t xml:space="preserve"> p. 16) ibn-i-Mihríyár (?)</w:t>
      </w:r>
    </w:p>
    <w:p w14:paraId="08D195B0" w14:textId="77777777" w:rsidR="00625A5B" w:rsidRPr="008F03E5" w:rsidRDefault="00625A5B" w:rsidP="00E127F6">
      <w:pPr>
        <w:pStyle w:val="Translit"/>
      </w:pPr>
      <w:r w:rsidRPr="001457C8">
        <w:rPr>
          <w:lang w:val="de-DE"/>
        </w:rPr>
        <w:t>Mihtar (Mehtar), Mihtarani</w:t>
      </w:r>
      <w:r w:rsidRPr="001457C8">
        <w:rPr>
          <w:lang w:val="de-DE"/>
        </w:rPr>
        <w:tab/>
        <w:t xml:space="preserve">Mihtar, fem. </w:t>
      </w:r>
      <w:r w:rsidRPr="008F03E5">
        <w:t>Mihtarání</w:t>
      </w:r>
      <w:r w:rsidRPr="008F03E5">
        <w:tab/>
        <w:t>Pers. greater; elder; prince, lord, chief, governor; a sweeper, a menial who removes filth; a groom</w:t>
      </w:r>
    </w:p>
    <w:p w14:paraId="6B6830D0" w14:textId="77777777" w:rsidR="00625A5B" w:rsidRPr="008F03E5" w:rsidRDefault="00625A5B" w:rsidP="00153FD7">
      <w:pPr>
        <w:pStyle w:val="Translit"/>
      </w:pPr>
      <w:r w:rsidRPr="008F03E5">
        <w:t>Mika’il, Maka’in</w:t>
      </w:r>
      <w:r w:rsidRPr="008F03E5">
        <w:tab/>
        <w:t>Míká’íl, Míká’ín</w:t>
      </w:r>
      <w:r w:rsidRPr="008F03E5">
        <w:tab/>
        <w:t>Pers. Michael “who is like God”</w:t>
      </w:r>
    </w:p>
    <w:p w14:paraId="17259E64" w14:textId="77777777" w:rsidR="00625A5B" w:rsidRPr="008F03E5" w:rsidRDefault="00625A5B" w:rsidP="00900A82">
      <w:pPr>
        <w:pStyle w:val="Translit"/>
      </w:pPr>
      <w:r w:rsidRPr="008F03E5">
        <w:t>Milad, Mawalid</w:t>
      </w:r>
      <w:r w:rsidRPr="008F03E5">
        <w:tab/>
        <w:t>Mílád, pl. Mawálíd</w:t>
      </w:r>
      <w:r w:rsidRPr="008F03E5">
        <w:tab/>
        <w:t>birth; time of birth, nativity; birthday—pl. age classes, age groups (recruitment, etc.); ‘Íd al-Mílád, Christmas (Christian)</w:t>
      </w:r>
    </w:p>
    <w:p w14:paraId="193A1B5A" w14:textId="77777777" w:rsidR="00625A5B" w:rsidRDefault="00625A5B" w:rsidP="008F4DA4">
      <w:pPr>
        <w:pStyle w:val="Translit"/>
      </w:pPr>
      <w:r w:rsidRPr="008F03E5">
        <w:t>Milan</w:t>
      </w:r>
      <w:r>
        <w:t xml:space="preserve"> (Meelan)</w:t>
      </w:r>
      <w:r w:rsidRPr="008F03E5">
        <w:tab/>
        <w:t>Mílán</w:t>
      </w:r>
      <w:r w:rsidRPr="008F03E5">
        <w:tab/>
        <w:t>a village</w:t>
      </w:r>
      <w:r>
        <w:t xml:space="preserve"> (</w:t>
      </w:r>
      <w:r w:rsidRPr="008F4DA4">
        <w:t>37.927348, 46.113078</w:t>
      </w:r>
      <w:r>
        <w:t>)</w:t>
      </w:r>
      <w:r w:rsidRPr="008F03E5">
        <w:t xml:space="preserve"> 23 km </w:t>
      </w:r>
      <w:r w:rsidRPr="008F03E5">
        <w:rPr>
          <w:sz w:val="16"/>
          <w:szCs w:val="16"/>
        </w:rPr>
        <w:t>SW</w:t>
      </w:r>
      <w:r w:rsidRPr="008F03E5">
        <w:t xml:space="preserve"> Tabríz, in </w:t>
      </w:r>
      <w:r>
        <w:t>Ádhirbayján</w:t>
      </w:r>
      <w:r w:rsidRPr="008F03E5">
        <w:t xml:space="preserve"> (Azerbaijan), </w:t>
      </w:r>
      <w:r w:rsidRPr="008F03E5">
        <w:rPr>
          <w:sz w:val="16"/>
          <w:szCs w:val="16"/>
        </w:rPr>
        <w:t>NW</w:t>
      </w:r>
      <w:r w:rsidRPr="008F03E5">
        <w:t xml:space="preserve"> Írán.  It is between the villages of Bávíl and Uskú’</w:t>
      </w:r>
      <w:r>
        <w:t>.</w:t>
      </w:r>
    </w:p>
    <w:p w14:paraId="653807F0" w14:textId="77777777" w:rsidR="00625A5B" w:rsidRPr="008F03E5" w:rsidRDefault="00625A5B" w:rsidP="009C6A5D">
      <w:pPr>
        <w:pStyle w:val="Translit"/>
      </w:pPr>
      <w:r>
        <w:t>Milani</w:t>
      </w:r>
      <w:r>
        <w:tab/>
        <w:t>M</w:t>
      </w:r>
      <w:r w:rsidRPr="000E5095">
        <w:t>í</w:t>
      </w:r>
      <w:r>
        <w:t>l</w:t>
      </w:r>
      <w:r w:rsidRPr="000E5095">
        <w:t>á</w:t>
      </w:r>
      <w:r>
        <w:t>n</w:t>
      </w:r>
      <w:r w:rsidRPr="000E5095">
        <w:t>í</w:t>
      </w:r>
      <w:r>
        <w:tab/>
        <w:t>of or from M</w:t>
      </w:r>
      <w:r w:rsidRPr="000E5095">
        <w:t>í</w:t>
      </w:r>
      <w:r>
        <w:t>l</w:t>
      </w:r>
      <w:r w:rsidRPr="000E5095">
        <w:t>á</w:t>
      </w:r>
      <w:r>
        <w:t xml:space="preserve">n.  </w:t>
      </w:r>
      <w:r w:rsidRPr="000E5095">
        <w:t>Ḥ</w:t>
      </w:r>
      <w:r>
        <w:t>usay-i-M</w:t>
      </w:r>
      <w:r w:rsidRPr="000E5095">
        <w:t>í</w:t>
      </w:r>
      <w:r>
        <w:t>l</w:t>
      </w:r>
      <w:r w:rsidRPr="000E5095">
        <w:t>á</w:t>
      </w:r>
      <w:r>
        <w:t>n</w:t>
      </w:r>
      <w:r w:rsidRPr="000E5095">
        <w:t>í</w:t>
      </w:r>
      <w:r>
        <w:t xml:space="preserve">, known as </w:t>
      </w:r>
      <w:r w:rsidRPr="000E5095">
        <w:t>Ḥ</w:t>
      </w:r>
      <w:r>
        <w:t>usayn J</w:t>
      </w:r>
      <w:r w:rsidRPr="000E5095">
        <w:t>á</w:t>
      </w:r>
      <w:r>
        <w:t xml:space="preserve">n, weaver, helped to recover the body of the Báb, later went to </w:t>
      </w:r>
      <w:r w:rsidRPr="000E5095">
        <w:t>Ṭ</w:t>
      </w:r>
      <w:r>
        <w:t>ihr</w:t>
      </w:r>
      <w:r w:rsidRPr="000E5095">
        <w:t>á</w:t>
      </w:r>
      <w:r>
        <w:t>n, where he claimed to be the return of Im</w:t>
      </w:r>
      <w:r w:rsidRPr="000E5095">
        <w:t>á</w:t>
      </w:r>
      <w:r>
        <w:t xml:space="preserve">m </w:t>
      </w:r>
      <w:r w:rsidRPr="000E5095">
        <w:t>Ḥ</w:t>
      </w:r>
      <w:r>
        <w:t xml:space="preserve">usayn.  He may have claimed to be a successor of the Báb.  Schemed to provoke militant attack on </w:t>
      </w:r>
      <w:r w:rsidRPr="008F03E5">
        <w:t xml:space="preserve">Náṣir ad-Dín </w:t>
      </w:r>
      <w:r w:rsidRPr="008F03E5">
        <w:rPr>
          <w:u w:val="single"/>
        </w:rPr>
        <w:t>Sh</w:t>
      </w:r>
      <w:r w:rsidRPr="008F03E5">
        <w:t>áh Qájár</w:t>
      </w:r>
      <w:r>
        <w:t xml:space="preserve"> August 1852.  One of those executed soon afterwards.</w:t>
      </w:r>
    </w:p>
    <w:p w14:paraId="31955D87" w14:textId="77777777" w:rsidR="00625A5B" w:rsidRPr="008F03E5" w:rsidRDefault="00625A5B" w:rsidP="008D3460">
      <w:pPr>
        <w:pStyle w:val="Translit"/>
      </w:pPr>
      <w:r w:rsidRPr="008F03E5">
        <w:t>Milh, Amlah, Milah</w:t>
      </w:r>
      <w:r w:rsidRPr="008F03E5">
        <w:tab/>
        <w:t>Milḥ m. and f., pl. Amláḥ, Miláḥ</w:t>
      </w:r>
      <w:r w:rsidRPr="008F03E5">
        <w:tab/>
        <w:t>salt; gunpowder; witticism, wittiness, wit</w:t>
      </w:r>
    </w:p>
    <w:p w14:paraId="4A31C7A1" w14:textId="77777777" w:rsidR="00625A5B" w:rsidRPr="00077779" w:rsidRDefault="00625A5B" w:rsidP="00866AD2">
      <w:pPr>
        <w:pStyle w:val="Translit"/>
        <w:rPr>
          <w:lang w:val="en-AU"/>
        </w:rPr>
      </w:pPr>
      <w:r w:rsidRPr="008F03E5">
        <w:t>Milhu’l-Ujaj</w:t>
      </w:r>
      <w:r w:rsidRPr="008F03E5">
        <w:tab/>
        <w:t>Milḥu’l-Ujáj</w:t>
      </w:r>
      <w:r w:rsidRPr="008F03E5">
        <w:tab/>
        <w:t xml:space="preserve">“salt that burneth bitterly”.  </w:t>
      </w:r>
      <w:r w:rsidRPr="00077779">
        <w:rPr>
          <w:lang w:val="en-AU"/>
        </w:rPr>
        <w:t>See ajja</w:t>
      </w:r>
    </w:p>
    <w:p w14:paraId="72C43F2E" w14:textId="77777777" w:rsidR="00625A5B" w:rsidRPr="008F03E5" w:rsidRDefault="00625A5B" w:rsidP="00755038">
      <w:pPr>
        <w:pStyle w:val="Translit"/>
      </w:pPr>
      <w:r w:rsidRPr="00077779">
        <w:rPr>
          <w:lang w:val="en-AU"/>
        </w:rPr>
        <w:t>Milla, Milal</w:t>
      </w:r>
      <w:r w:rsidRPr="00077779">
        <w:rPr>
          <w:lang w:val="en-AU"/>
        </w:rPr>
        <w:tab/>
        <w:t xml:space="preserve">Milla[h], pl. </w:t>
      </w:r>
      <w:r w:rsidRPr="008F03E5">
        <w:t>Milal</w:t>
      </w:r>
      <w:r w:rsidRPr="008F03E5">
        <w:tab/>
        <w:t>religious community; religion, creed, faith, confession, denomination</w:t>
      </w:r>
    </w:p>
    <w:p w14:paraId="6DB8C3CA" w14:textId="77777777" w:rsidR="00625A5B" w:rsidRPr="008F03E5" w:rsidRDefault="00625A5B" w:rsidP="00A960A3">
      <w:pPr>
        <w:pStyle w:val="Translit"/>
      </w:pPr>
      <w:r w:rsidRPr="001457C8">
        <w:rPr>
          <w:lang w:val="it-IT"/>
        </w:rPr>
        <w:t>Milli (Melli), Milliya</w:t>
      </w:r>
      <w:r w:rsidRPr="001457C8">
        <w:rPr>
          <w:lang w:val="it-IT"/>
        </w:rPr>
        <w:tab/>
        <w:t xml:space="preserve">Millí, fem. </w:t>
      </w:r>
      <w:r w:rsidRPr="008F03E5">
        <w:t>Millíya[h or t]</w:t>
      </w:r>
      <w:r w:rsidRPr="008F03E5">
        <w:tab/>
        <w:t>popular, national</w:t>
      </w:r>
    </w:p>
    <w:p w14:paraId="643C14CA" w14:textId="77777777" w:rsidR="00625A5B" w:rsidRPr="008F03E5" w:rsidRDefault="00625A5B" w:rsidP="00881BE5">
      <w:pPr>
        <w:pStyle w:val="Translit"/>
      </w:pPr>
      <w:r w:rsidRPr="008F03E5">
        <w:t>Mim</w:t>
      </w:r>
      <w:r w:rsidRPr="008F03E5">
        <w:tab/>
        <w:t>Mím</w:t>
      </w:r>
      <w:r w:rsidRPr="008F03E5">
        <w:tab/>
        <w:t>24th Arabic letter.  Mázandarán</w:t>
      </w:r>
    </w:p>
    <w:p w14:paraId="6FF685B0" w14:textId="77777777" w:rsidR="00625A5B" w:rsidRPr="008F03E5" w:rsidRDefault="00625A5B" w:rsidP="0077635B">
      <w:pPr>
        <w:pStyle w:val="Translit"/>
      </w:pPr>
      <w:r w:rsidRPr="008F03E5">
        <w:t>Min</w:t>
      </w:r>
      <w:r w:rsidRPr="008F03E5">
        <w:tab/>
        <w:t>Min</w:t>
      </w:r>
      <w:r w:rsidRPr="008F03E5">
        <w:tab/>
        <w:t>(preposition) 1.  of; some, some of, (a) part of; belonging to, pertaining to, from among.  2.  from, away from, out of, from the direction of.</w:t>
      </w:r>
    </w:p>
    <w:p w14:paraId="5F7397E3" w14:textId="77777777" w:rsidR="00625A5B" w:rsidRPr="008F03E5" w:rsidRDefault="00625A5B" w:rsidP="00407907">
      <w:pPr>
        <w:pStyle w:val="Translit"/>
      </w:pPr>
      <w:r w:rsidRPr="008F03E5">
        <w:t>Mina, Mawanin, Miyan</w:t>
      </w:r>
      <w:r w:rsidRPr="008F03E5">
        <w:tab/>
        <w:t>Míná’ fem. and Mína[h or t]</w:t>
      </w:r>
      <w:r w:rsidRPr="008F03E5">
        <w:tab/>
        <w:t>(pl. Mawánin, Miyan) port, harbour, anchorage</w:t>
      </w:r>
    </w:p>
    <w:p w14:paraId="7096CF55" w14:textId="77777777" w:rsidR="00625A5B" w:rsidRPr="008F03E5" w:rsidRDefault="00625A5B" w:rsidP="00787E3E">
      <w:pPr>
        <w:pStyle w:val="Translit"/>
      </w:pPr>
      <w:r w:rsidRPr="008F03E5">
        <w:t>Minahiju’l-Ahkam</w:t>
      </w:r>
      <w:r w:rsidRPr="008F03E5">
        <w:tab/>
        <w:t>Mináhiju’l-Aḥkám</w:t>
      </w:r>
      <w:r w:rsidRPr="008F03E5">
        <w:tab/>
        <w:t>“Paths to understanding the laws and ordinances”, 2 vol. hand written work in Persian by Fáḍil-i-Yazdí.  Distribution not permitted by Shoghi Effendi.</w:t>
      </w:r>
    </w:p>
    <w:p w14:paraId="649CD0FC" w14:textId="77777777" w:rsidR="00625A5B" w:rsidRPr="008F03E5" w:rsidRDefault="00625A5B" w:rsidP="00CE5213">
      <w:pPr>
        <w:pStyle w:val="Translit"/>
      </w:pPr>
      <w:r w:rsidRPr="008F03E5">
        <w:t>Minar, Minar-</w:t>
      </w:r>
      <w:r>
        <w:t>h</w:t>
      </w:r>
      <w:r w:rsidRPr="008F03E5">
        <w:t>a</w:t>
      </w:r>
      <w:r w:rsidRPr="008F03E5">
        <w:tab/>
        <w:t>Minár, pl, Minár-</w:t>
      </w:r>
      <w:r>
        <w:t>h</w:t>
      </w:r>
      <w:r w:rsidRPr="008F03E5">
        <w:t>á</w:t>
      </w:r>
      <w:r w:rsidRPr="008F03E5">
        <w:tab/>
        <w:t>Pers. a tower, turret, steeple, spire, minaret; an obelisk.</w:t>
      </w:r>
    </w:p>
    <w:p w14:paraId="6F0A3CF8" w14:textId="77777777" w:rsidR="00625A5B" w:rsidRPr="001457C8" w:rsidRDefault="00625A5B" w:rsidP="001D68A8">
      <w:pPr>
        <w:pStyle w:val="Translit"/>
        <w:rPr>
          <w:lang w:val="de-DE"/>
        </w:rPr>
      </w:pPr>
      <w:r w:rsidRPr="001457C8">
        <w:rPr>
          <w:lang w:val="de-DE"/>
        </w:rPr>
        <w:t>Minbar (Mimber), Manabir</w:t>
      </w:r>
      <w:r w:rsidRPr="001457C8">
        <w:rPr>
          <w:lang w:val="de-DE"/>
        </w:rPr>
        <w:tab/>
        <w:t>Minbar, pl. Manábír</w:t>
      </w:r>
      <w:r w:rsidRPr="001457C8">
        <w:rPr>
          <w:lang w:val="de-DE"/>
        </w:rPr>
        <w:tab/>
        <w:t>mimbar; pulpit; rostrum, platform, dais</w:t>
      </w:r>
    </w:p>
    <w:p w14:paraId="76D1E5BC" w14:textId="77777777" w:rsidR="00625A5B" w:rsidRPr="008F03E5" w:rsidRDefault="00625A5B" w:rsidP="00D73DB6">
      <w:pPr>
        <w:pStyle w:val="Translit"/>
      </w:pPr>
      <w:r w:rsidRPr="008F03E5">
        <w:t>Minhu, Minha</w:t>
      </w:r>
      <w:r w:rsidRPr="008F03E5">
        <w:tab/>
        <w:t>Minhu, fem. Minhá</w:t>
      </w:r>
      <w:r w:rsidRPr="008F03E5">
        <w:tab/>
        <w:t>from him, from it</w:t>
      </w:r>
    </w:p>
    <w:p w14:paraId="6D674FDC" w14:textId="77777777" w:rsidR="00625A5B" w:rsidRPr="008F03E5" w:rsidRDefault="00625A5B" w:rsidP="00DF07A2">
      <w:pPr>
        <w:pStyle w:val="Translit"/>
      </w:pPr>
      <w:r w:rsidRPr="008F03E5">
        <w:t>Minu</w:t>
      </w:r>
      <w:r w:rsidRPr="008F03E5">
        <w:tab/>
        <w:t>Mínú</w:t>
      </w:r>
      <w:r w:rsidRPr="008F03E5">
        <w:tab/>
        <w:t>Pers. female name:  heaven; an emerald; white or blue glass; a glass gem; hair.  Mínú Zamání</w:t>
      </w:r>
    </w:p>
    <w:p w14:paraId="2F6FA0C9" w14:textId="77777777" w:rsidR="00625A5B" w:rsidRPr="008F03E5" w:rsidRDefault="00625A5B" w:rsidP="00EB06E9">
      <w:pPr>
        <w:pStyle w:val="Translit"/>
      </w:pPr>
      <w:r w:rsidRPr="008F03E5">
        <w:t>Miqat, Mawaqit</w:t>
      </w:r>
      <w:r w:rsidRPr="008F03E5">
        <w:tab/>
        <w:t>Míqát, pl. Mawáqí</w:t>
      </w:r>
      <w:r w:rsidRPr="008F03E5">
        <w:tab/>
        <w:t>appointed time; date, deadline; time; season, time of the year; meeting point, rendezvous;—pl. times of departure and arrival, timetable.  Míqát al-ḥájj, one of the five rendezvous points for Meccan pilgrims, where they must be in a state of iḥrám before proceeding to Mecca.  See “Meccan pilgrim meeting points” section.</w:t>
      </w:r>
    </w:p>
    <w:p w14:paraId="68780E37" w14:textId="77777777" w:rsidR="00625A5B" w:rsidRPr="008F03E5" w:rsidRDefault="00625A5B" w:rsidP="007910D4">
      <w:pPr>
        <w:pStyle w:val="Translit"/>
      </w:pPr>
      <w:r w:rsidRPr="008F03E5">
        <w:t>Miqdad</w:t>
      </w:r>
      <w:r w:rsidRPr="008F03E5">
        <w:tab/>
        <w:t>Miqdád</w:t>
      </w:r>
      <w:r w:rsidRPr="008F03E5">
        <w:tab/>
        <w:t>al-Miqdád ibn al-Aswad al-Kindí (or just Miqdád), a companion of Muḥammad.</w:t>
      </w:r>
    </w:p>
    <w:p w14:paraId="60C653F5" w14:textId="77777777" w:rsidR="00625A5B" w:rsidRPr="008F03E5" w:rsidRDefault="00625A5B" w:rsidP="00024B69">
      <w:pPr>
        <w:pStyle w:val="Translit"/>
      </w:pPr>
      <w:r w:rsidRPr="008F03E5">
        <w:t>Mir Muhammad-Husayn</w:t>
      </w:r>
      <w:r w:rsidRPr="008F03E5">
        <w:tab/>
        <w:t>Mír Muḥammad-Ḥusayn</w:t>
      </w:r>
      <w:r w:rsidRPr="008F03E5">
        <w:tab/>
        <w:t xml:space="preserve">Mír Muḥammad-Ḥusayn </w:t>
      </w:r>
      <w:r w:rsidRPr="008F03E5">
        <w:rPr>
          <w:u w:val="single"/>
        </w:rPr>
        <w:t>Kh</w:t>
      </w:r>
      <w:r w:rsidRPr="008F03E5">
        <w:t>átúnábádí (d. 1881), surnamed the “She-Serpent” (Raq</w:t>
      </w:r>
      <w:r w:rsidRPr="008F03E5">
        <w:rPr>
          <w:u w:val="single"/>
        </w:rPr>
        <w:t>sh</w:t>
      </w:r>
      <w:r w:rsidRPr="008F03E5">
        <w:t xml:space="preserve">á’) by Bahá’u’lláh.  Responsible for the deaths of the brothers named the “King of Martyrs” and “Beloved of Martyrs”.  See </w:t>
      </w:r>
      <w:r w:rsidRPr="008F03E5">
        <w:rPr>
          <w:u w:val="single"/>
        </w:rPr>
        <w:t>Sh</w:t>
      </w:r>
      <w:r w:rsidRPr="008F03E5">
        <w:t>ay</w:t>
      </w:r>
      <w:r w:rsidRPr="008F03E5">
        <w:rPr>
          <w:u w:val="single"/>
        </w:rPr>
        <w:t>kh</w:t>
      </w:r>
      <w:r w:rsidRPr="008F03E5">
        <w:t xml:space="preserve"> Muḥammad Báqir.</w:t>
      </w:r>
    </w:p>
    <w:p w14:paraId="338FC123" w14:textId="77777777" w:rsidR="00625A5B" w:rsidRPr="008F03E5" w:rsidRDefault="00625A5B" w:rsidP="005F3BE1">
      <w:pPr>
        <w:pStyle w:val="Translit"/>
      </w:pPr>
      <w:r w:rsidRPr="008F03E5">
        <w:t>Mir, Miran</w:t>
      </w:r>
      <w:r w:rsidRPr="008F03E5">
        <w:tab/>
        <w:t>Mír, pl. Mírán</w:t>
      </w:r>
      <w:r w:rsidRPr="008F03E5">
        <w:tab/>
        <w:t>Pers. contraction of Amír.  Also descendant of Muḥammad or Sayyid.</w:t>
      </w:r>
    </w:p>
    <w:p w14:paraId="2CF11B1B" w14:textId="77777777" w:rsidR="00625A5B" w:rsidRPr="008F03E5" w:rsidRDefault="00625A5B" w:rsidP="00AC55A9">
      <w:pPr>
        <w:pStyle w:val="Translit"/>
      </w:pPr>
      <w:r w:rsidRPr="00AC55A9">
        <w:rPr>
          <w:lang w:val="fr-FR"/>
        </w:rPr>
        <w:t>Mir’ah, Miraya, Mara’in, Marayat</w:t>
      </w:r>
      <w:r w:rsidRPr="00AC55A9">
        <w:rPr>
          <w:lang w:val="fr-FR"/>
        </w:rPr>
        <w:tab/>
        <w:t xml:space="preserve">Mir’á[h or t], pl. </w:t>
      </w:r>
      <w:r w:rsidRPr="008F03E5">
        <w:t>Mará’in</w:t>
      </w:r>
      <w:r>
        <w:tab/>
        <w:t>(fem. Mir</w:t>
      </w:r>
      <w:r w:rsidRPr="00AC55A9">
        <w:t>á</w:t>
      </w:r>
      <w:r>
        <w:t xml:space="preserve">ya[h or t], pl. </w:t>
      </w:r>
      <w:r w:rsidRPr="008F03E5">
        <w:t>Maráyá</w:t>
      </w:r>
      <w:r>
        <w:t xml:space="preserve">t) </w:t>
      </w:r>
      <w:r w:rsidRPr="008F03E5">
        <w:t>looking glass, mirror; reflection, reflected image</w:t>
      </w:r>
    </w:p>
    <w:p w14:paraId="38A9A7E9" w14:textId="77777777" w:rsidR="00625A5B" w:rsidRPr="008F03E5" w:rsidRDefault="00625A5B" w:rsidP="00024E54">
      <w:pPr>
        <w:pStyle w:val="Translit"/>
      </w:pPr>
      <w:r w:rsidRPr="008F03E5">
        <w:t>Mir’at al-Wadiyyah</w:t>
      </w:r>
      <w:r w:rsidRPr="008F03E5">
        <w:tab/>
        <w:t>Mir’át al-Waḍiyyah</w:t>
      </w:r>
      <w:r w:rsidRPr="008F03E5">
        <w:tab/>
        <w:t>“Polished Mirrors” by Cornelius van Dyck.  See waḍí’</w:t>
      </w:r>
    </w:p>
    <w:p w14:paraId="5F9B6BF6" w14:textId="77777777" w:rsidR="00625A5B" w:rsidRPr="008F03E5" w:rsidRDefault="00625A5B" w:rsidP="00CC3232">
      <w:pPr>
        <w:pStyle w:val="Translit"/>
      </w:pPr>
      <w:r w:rsidRPr="008F03E5">
        <w:t>Mir’at</w:t>
      </w:r>
      <w:r w:rsidRPr="008F03E5">
        <w:tab/>
        <w:t>Mir’át</w:t>
      </w:r>
      <w:r w:rsidRPr="008F03E5">
        <w:tab/>
        <w:t>Pers. a looking-glass, mirror.  See miráya</w:t>
      </w:r>
    </w:p>
    <w:p w14:paraId="68899FCB" w14:textId="77777777" w:rsidR="00625A5B" w:rsidRPr="008F03E5" w:rsidRDefault="00625A5B" w:rsidP="00F10C92">
      <w:pPr>
        <w:pStyle w:val="Translit"/>
      </w:pPr>
      <w:r w:rsidRPr="008F03E5">
        <w:t>Mir’atu’l-Azaliyyih</w:t>
      </w:r>
      <w:r w:rsidRPr="008F03E5">
        <w:tab/>
        <w:t>Mir’átu’l-Azalíyyih</w:t>
      </w:r>
      <w:r w:rsidRPr="008F03E5">
        <w:tab/>
        <w:t>“Everlasting mirror”, a title of Mírzá Yaḥyá</w:t>
      </w:r>
    </w:p>
    <w:p w14:paraId="02C43060" w14:textId="77777777" w:rsidR="00625A5B" w:rsidRDefault="00625A5B" w:rsidP="00D2659A">
      <w:pPr>
        <w:pStyle w:val="Translit"/>
      </w:pPr>
      <w:r>
        <w:t>Mir’atu’l-Buldan</w:t>
      </w:r>
      <w:r>
        <w:tab/>
        <w:t>Mír’átu’l-Buldán</w:t>
      </w:r>
      <w:r>
        <w:tab/>
        <w:t xml:space="preserve">“The Mirror of the Lands”.  Possibly by Yáqút </w:t>
      </w:r>
      <w:r w:rsidRPr="00D2659A">
        <w:rPr>
          <w:u w:val="single"/>
        </w:rPr>
        <w:t>Sh</w:t>
      </w:r>
      <w:r>
        <w:t>iháb al-Dín ibn-‘Abdulláh al-Rúmí al-Ḥamawí (1179–1229) or a later (1860-1870) incomplete Q</w:t>
      </w:r>
      <w:r w:rsidRPr="00D2659A">
        <w:t>á</w:t>
      </w:r>
      <w:r>
        <w:t>j</w:t>
      </w:r>
      <w:r w:rsidRPr="00D2659A">
        <w:t>á</w:t>
      </w:r>
      <w:r>
        <w:t>r project.</w:t>
      </w:r>
    </w:p>
    <w:p w14:paraId="3B808F7E" w14:textId="77777777" w:rsidR="00625A5B" w:rsidRPr="008F03E5" w:rsidRDefault="00625A5B" w:rsidP="006206F1">
      <w:pPr>
        <w:pStyle w:val="Translit"/>
      </w:pPr>
      <w:r w:rsidRPr="008F03E5">
        <w:t>Miraya, Mirayat</w:t>
      </w:r>
      <w:r w:rsidRPr="008F03E5">
        <w:tab/>
        <w:t>Miráya, pl. Miráyát</w:t>
      </w:r>
      <w:r w:rsidRPr="008F03E5">
        <w:tab/>
        <w:t>looking glass mirror</w:t>
      </w:r>
    </w:p>
    <w:p w14:paraId="4E0DAC97" w14:textId="77777777" w:rsidR="00625A5B" w:rsidRPr="008F03E5" w:rsidRDefault="00625A5B" w:rsidP="002E1800">
      <w:pPr>
        <w:pStyle w:val="Translit"/>
      </w:pPr>
      <w:r w:rsidRPr="008F03E5">
        <w:t>Miri</w:t>
      </w:r>
      <w:r w:rsidRPr="008F03E5">
        <w:tab/>
        <w:t>Mírí</w:t>
      </w:r>
      <w:r w:rsidRPr="008F03E5">
        <w:tab/>
        <w:t>(Meeri) public, governmental, government-, state- (in compounds); fiscal</w:t>
      </w:r>
    </w:p>
    <w:p w14:paraId="7DA30933" w14:textId="77777777" w:rsidR="00625A5B" w:rsidRPr="008F03E5" w:rsidRDefault="00625A5B" w:rsidP="00E048D8">
      <w:pPr>
        <w:pStyle w:val="Translit"/>
      </w:pPr>
      <w:r w:rsidRPr="008F03E5">
        <w:t>Mirrikh</w:t>
      </w:r>
      <w:r w:rsidRPr="008F03E5">
        <w:tab/>
        <w:t>Mirrí</w:t>
      </w:r>
      <w:r w:rsidRPr="008F03E5">
        <w:rPr>
          <w:u w:val="single"/>
        </w:rPr>
        <w:t>kh</w:t>
      </w:r>
      <w:r w:rsidRPr="008F03E5">
        <w:tab/>
        <w:t>Mars (astronomy)</w:t>
      </w:r>
    </w:p>
    <w:p w14:paraId="72A4DC64" w14:textId="77777777" w:rsidR="00625A5B" w:rsidRPr="008F03E5" w:rsidRDefault="00625A5B" w:rsidP="00F54695">
      <w:pPr>
        <w:pStyle w:val="Translit"/>
      </w:pPr>
      <w:r w:rsidRPr="00800667">
        <w:t>Mirza (Morza), Amir-Zadih, Amirzada</w:t>
      </w:r>
      <w:r w:rsidRPr="00800667">
        <w:tab/>
        <w:t xml:space="preserve">Mírzá (Amírzáda or Pers. </w:t>
      </w:r>
      <w:r w:rsidRPr="008F03E5">
        <w:t>Amírzádih)</w:t>
      </w:r>
      <w:r w:rsidRPr="008F03E5">
        <w:tab/>
        <w:t>Pers. contraction of amír-záda (“child or addition of a prince”).  A title of nobility (a son of a prince) when placed after a name (Turkish style; previously placed before a name); but a gentleman, an educated person, a scholar, worthy person, mister when placed before a name.  Mírzá as a noun, secretary.</w:t>
      </w:r>
    </w:p>
    <w:p w14:paraId="39A7D3B3" w14:textId="77777777" w:rsidR="00625A5B" w:rsidRPr="008F03E5" w:rsidRDefault="00625A5B" w:rsidP="00444347">
      <w:pPr>
        <w:pStyle w:val="Translit"/>
      </w:pPr>
      <w:bookmarkStart w:id="106" w:name="_Hlk57118508"/>
      <w:r w:rsidRPr="008F03E5">
        <w:t>Mirza Mihdi</w:t>
      </w:r>
      <w:r w:rsidRPr="008F03E5">
        <w:tab/>
        <w:t>Mírzá Mihdí</w:t>
      </w:r>
      <w:bookmarkEnd w:id="106"/>
      <w:r w:rsidRPr="008F03E5">
        <w:tab/>
        <w:t xml:space="preserve">(1848–1870) was the youngest child of Bahá’u’lláh and his wife Ásíyih </w:t>
      </w:r>
      <w:r w:rsidRPr="008F03E5">
        <w:rPr>
          <w:u w:val="single"/>
        </w:rPr>
        <w:t>Kh</w:t>
      </w:r>
      <w:r w:rsidRPr="008F03E5">
        <w:t xml:space="preserve">ánum.  He was given the title </w:t>
      </w:r>
      <w:r w:rsidRPr="008F03E5">
        <w:rPr>
          <w:u w:val="single"/>
        </w:rPr>
        <w:t>Gh</w:t>
      </w:r>
      <w:r w:rsidRPr="008F03E5">
        <w:t>usn-i-Aṭhar (“Purest Branch” or “Purer Branch”).</w:t>
      </w:r>
    </w:p>
    <w:p w14:paraId="76715F1A" w14:textId="77777777" w:rsidR="00625A5B" w:rsidRPr="008F03E5" w:rsidRDefault="00625A5B" w:rsidP="00900A82">
      <w:pPr>
        <w:pStyle w:val="Translit"/>
      </w:pPr>
      <w:r w:rsidRPr="008F03E5">
        <w:t>Mirzay-i-Halabi-Saz</w:t>
      </w:r>
      <w:r w:rsidRPr="008F03E5">
        <w:tab/>
        <w:t>Mírzáy-i-Ḥalabí-Sáz, Ḥájí</w:t>
      </w:r>
      <w:r w:rsidRPr="008F03E5">
        <w:tab/>
      </w:r>
    </w:p>
    <w:p w14:paraId="765A69EB" w14:textId="77777777" w:rsidR="00625A5B" w:rsidRPr="008F03E5" w:rsidRDefault="00625A5B" w:rsidP="00123817">
      <w:pPr>
        <w:pStyle w:val="Translit"/>
      </w:pPr>
      <w:r w:rsidRPr="008F03E5">
        <w:t>Misbah (Mezbah), Masabih</w:t>
      </w:r>
      <w:r w:rsidRPr="008F03E5">
        <w:tab/>
        <w:t>Miṣbáḥ, pl. Maṣábíḥ</w:t>
      </w:r>
      <w:r w:rsidRPr="008F03E5">
        <w:tab/>
        <w:t>lamp; light, luminary (also figuratively); head-light (of an automobile)</w:t>
      </w:r>
    </w:p>
    <w:p w14:paraId="059E57C8" w14:textId="77777777" w:rsidR="00625A5B" w:rsidRPr="008F03E5" w:rsidRDefault="00625A5B" w:rsidP="00256138">
      <w:pPr>
        <w:pStyle w:val="Translit"/>
      </w:pPr>
      <w:r w:rsidRPr="008F03E5">
        <w:t>Misgarabad, Miskarabad</w:t>
      </w:r>
      <w:r w:rsidRPr="008F03E5">
        <w:tab/>
        <w:t>Misgarábád (Miskarábád)</w:t>
      </w:r>
      <w:r w:rsidRPr="008F03E5">
        <w:tab/>
        <w:t xml:space="preserve">village 11 km </w:t>
      </w:r>
      <w:r w:rsidRPr="008F03E5">
        <w:rPr>
          <w:sz w:val="16"/>
          <w:szCs w:val="16"/>
        </w:rPr>
        <w:t>SE</w:t>
      </w:r>
      <w:r w:rsidRPr="008F03E5">
        <w:t xml:space="preserve"> of the centre of Ṭihrán (Mesgar Abad, Mesgar Abad, Mesker Abad)</w:t>
      </w:r>
    </w:p>
    <w:p w14:paraId="269A4D6E" w14:textId="77777777" w:rsidR="00625A5B" w:rsidRPr="008F03E5" w:rsidRDefault="00625A5B" w:rsidP="00917ADF">
      <w:pPr>
        <w:pStyle w:val="Translit"/>
        <w:rPr>
          <w:rtl/>
        </w:rPr>
      </w:pPr>
      <w:r w:rsidRPr="008F03E5">
        <w:t>Misha (Mishih)</w:t>
      </w:r>
      <w:r w:rsidRPr="008F03E5">
        <w:tab/>
        <w:t>Mí</w:t>
      </w:r>
      <w:r w:rsidRPr="008F03E5">
        <w:rPr>
          <w:u w:val="single"/>
        </w:rPr>
        <w:t>sh</w:t>
      </w:r>
      <w:r w:rsidRPr="008F03E5">
        <w:t>a</w:t>
      </w:r>
      <w:r w:rsidRPr="008F03E5">
        <w:tab/>
        <w:t>Pers. name of the first man</w:t>
      </w:r>
    </w:p>
    <w:p w14:paraId="08992A2A" w14:textId="77777777" w:rsidR="00625A5B" w:rsidRPr="008F03E5" w:rsidRDefault="00625A5B" w:rsidP="0069228D">
      <w:pPr>
        <w:pStyle w:val="Translit"/>
      </w:pPr>
      <w:r w:rsidRPr="008F03E5">
        <w:t>Mishah, Mishkawat, Mashakin</w:t>
      </w:r>
      <w:r w:rsidRPr="008F03E5">
        <w:tab/>
        <w:t>Mi</w:t>
      </w:r>
      <w:r w:rsidRPr="008F03E5">
        <w:rPr>
          <w:u w:val="single"/>
        </w:rPr>
        <w:t>sh</w:t>
      </w:r>
      <w:r w:rsidRPr="008F03E5">
        <w:t>káh, pl. Mi</w:t>
      </w:r>
      <w:r w:rsidRPr="008F03E5">
        <w:rPr>
          <w:u w:val="single"/>
        </w:rPr>
        <w:t>sh</w:t>
      </w:r>
      <w:r w:rsidRPr="008F03E5">
        <w:t>káwát, Ma</w:t>
      </w:r>
      <w:r w:rsidRPr="008F03E5">
        <w:rPr>
          <w:u w:val="single"/>
        </w:rPr>
        <w:t>sh</w:t>
      </w:r>
      <w:r w:rsidRPr="008F03E5">
        <w:t>ákin</w:t>
      </w:r>
      <w:r w:rsidRPr="008F03E5">
        <w:tab/>
        <w:t>niche (for a lamp); lamp, pendent lamp</w:t>
      </w:r>
    </w:p>
    <w:p w14:paraId="76F33F62" w14:textId="77777777" w:rsidR="00625A5B" w:rsidRPr="008F03E5" w:rsidRDefault="00625A5B" w:rsidP="00071489">
      <w:pPr>
        <w:pStyle w:val="Translit"/>
      </w:pPr>
      <w:r w:rsidRPr="008F03E5">
        <w:t>Mishkar (Mishgar)</w:t>
      </w:r>
      <w:r w:rsidRPr="008F03E5">
        <w:tab/>
        <w:t>Mí</w:t>
      </w:r>
      <w:r w:rsidRPr="008F03E5">
        <w:rPr>
          <w:u w:val="single"/>
        </w:rPr>
        <w:t>sh</w:t>
      </w:r>
      <w:r w:rsidRPr="008F03E5">
        <w:t>kar</w:t>
      </w:r>
      <w:r w:rsidRPr="008F03E5">
        <w:tab/>
        <w:t xml:space="preserve">small village 33° 34′ 40″ </w:t>
      </w:r>
      <w:r w:rsidRPr="008F03E5">
        <w:rPr>
          <w:sz w:val="16"/>
          <w:szCs w:val="16"/>
        </w:rPr>
        <w:t>N</w:t>
      </w:r>
      <w:r w:rsidRPr="008F03E5">
        <w:t xml:space="preserve"> 47° 58′ 19″ </w:t>
      </w:r>
      <w:r w:rsidRPr="008F03E5">
        <w:rPr>
          <w:sz w:val="16"/>
          <w:szCs w:val="16"/>
        </w:rPr>
        <w:t>E</w:t>
      </w:r>
      <w:r w:rsidRPr="008F03E5">
        <w:t xml:space="preserve"> in Luristán province, western Iran.  Ḥabíb Miskar (probably </w:t>
      </w:r>
      <w:bookmarkStart w:id="107" w:name="_Hlk60472383"/>
      <w:r w:rsidRPr="008F03E5">
        <w:t>Mí</w:t>
      </w:r>
      <w:r w:rsidRPr="008F03E5">
        <w:rPr>
          <w:u w:val="single"/>
        </w:rPr>
        <w:t>sh</w:t>
      </w:r>
      <w:r w:rsidRPr="008F03E5">
        <w:t>kar</w:t>
      </w:r>
      <w:bookmarkEnd w:id="107"/>
      <w:r w:rsidRPr="008F03E5">
        <w:t xml:space="preserve">) </w:t>
      </w:r>
      <w:r w:rsidRPr="008F03E5">
        <w:rPr>
          <w:i/>
          <w:iCs/>
        </w:rPr>
        <w:t>Bahá’í World</w:t>
      </w:r>
      <w:r w:rsidRPr="008F03E5">
        <w:t xml:space="preserve"> 8:679</w:t>
      </w:r>
    </w:p>
    <w:p w14:paraId="6CD3804B" w14:textId="77777777" w:rsidR="00625A5B" w:rsidRPr="008F03E5" w:rsidRDefault="00625A5B" w:rsidP="004862B2">
      <w:pPr>
        <w:pStyle w:val="Translit"/>
      </w:pPr>
      <w:r w:rsidRPr="008F03E5">
        <w:t>Mishkat</w:t>
      </w:r>
      <w:r w:rsidRPr="008F03E5">
        <w:tab/>
        <w:t>Mi</w:t>
      </w:r>
      <w:r w:rsidRPr="008F03E5">
        <w:rPr>
          <w:u w:val="single"/>
        </w:rPr>
        <w:t>sh</w:t>
      </w:r>
      <w:r w:rsidRPr="008F03E5">
        <w:t>kát</w:t>
      </w:r>
      <w:r w:rsidRPr="008F03E5">
        <w:tab/>
        <w:t>Pers. a recess in the wall, a niche (in which a lamp is placed)</w:t>
      </w:r>
    </w:p>
    <w:p w14:paraId="08EDBA74" w14:textId="77777777" w:rsidR="00625A5B" w:rsidRPr="008F03E5" w:rsidRDefault="00625A5B" w:rsidP="00737649">
      <w:pPr>
        <w:pStyle w:val="Translit"/>
      </w:pPr>
      <w:r w:rsidRPr="008F03E5">
        <w:t>Mishkatu’l-Masabih</w:t>
      </w:r>
      <w:r w:rsidRPr="008F03E5">
        <w:tab/>
        <w:t>Mi</w:t>
      </w:r>
      <w:r w:rsidRPr="008F03E5">
        <w:rPr>
          <w:u w:val="single"/>
        </w:rPr>
        <w:t>sh</w:t>
      </w:r>
      <w:r w:rsidRPr="008F03E5">
        <w:t>kátu’l-Maṣábíḥ</w:t>
      </w:r>
      <w:r w:rsidRPr="008F03E5">
        <w:tab/>
        <w:t xml:space="preserve">“A niche for lamps”.  A book of Sunní traditions by Muḥammad ibn ‘Abd Alláh </w:t>
      </w:r>
      <w:r w:rsidRPr="008F03E5">
        <w:rPr>
          <w:u w:val="single"/>
        </w:rPr>
        <w:t>Kh</w:t>
      </w:r>
      <w:r w:rsidRPr="008F03E5">
        <w:t>aṭíb a</w:t>
      </w:r>
      <w:r>
        <w:t>t</w:t>
      </w:r>
      <w:r w:rsidRPr="008F03E5">
        <w:t xml:space="preserve">-Tabrízí is an expanded version of </w:t>
      </w:r>
      <w:r w:rsidRPr="008F03E5">
        <w:rPr>
          <w:i/>
          <w:iCs/>
        </w:rPr>
        <w:t>Maṣábíḥ as-Sunnah</w:t>
      </w:r>
      <w:r w:rsidRPr="008F03E5">
        <w:t xml:space="preserve"> by al-Ḥusayn ibn Mas‘úd al-Ba</w:t>
      </w:r>
      <w:r w:rsidRPr="008F03E5">
        <w:rPr>
          <w:u w:val="single"/>
        </w:rPr>
        <w:t>gh</w:t>
      </w:r>
      <w:r w:rsidRPr="008F03E5">
        <w:t>awí.</w:t>
      </w:r>
    </w:p>
    <w:p w14:paraId="2316BBB3" w14:textId="77777777" w:rsidR="00625A5B" w:rsidRPr="008F03E5" w:rsidRDefault="00625A5B" w:rsidP="00163D91">
      <w:pPr>
        <w:pStyle w:val="Translit"/>
      </w:pPr>
      <w:r w:rsidRPr="008F03E5">
        <w:t>Mishkin</w:t>
      </w:r>
      <w:r w:rsidRPr="008F03E5">
        <w:tab/>
        <w:t>Mi</w:t>
      </w:r>
      <w:r w:rsidRPr="008F03E5">
        <w:rPr>
          <w:u w:val="single"/>
        </w:rPr>
        <w:t>sh</w:t>
      </w:r>
      <w:r w:rsidRPr="008F03E5">
        <w:t>kín</w:t>
      </w:r>
      <w:r w:rsidRPr="008F03E5">
        <w:tab/>
        <w:t xml:space="preserve">Pers. “musk-scented”; “jet-black” (dried musk powder is black—”black like musk”, </w:t>
      </w:r>
      <w:r w:rsidRPr="008F03E5">
        <w:rPr>
          <w:u w:val="single"/>
        </w:rPr>
        <w:t>Gh</w:t>
      </w:r>
      <w:r w:rsidRPr="008F03E5">
        <w:t>ulám al-</w:t>
      </w:r>
      <w:r w:rsidRPr="008F03E5">
        <w:rPr>
          <w:u w:val="single"/>
        </w:rPr>
        <w:t>Kh</w:t>
      </w:r>
      <w:r w:rsidRPr="008F03E5">
        <w:t>uld, Bahá’u’lláh)</w:t>
      </w:r>
    </w:p>
    <w:p w14:paraId="3A2B8769" w14:textId="77777777" w:rsidR="00625A5B" w:rsidRPr="008F03E5" w:rsidRDefault="00625A5B" w:rsidP="007D16FD">
      <w:pPr>
        <w:pStyle w:val="Translit"/>
      </w:pPr>
      <w:r w:rsidRPr="008F03E5">
        <w:t>Mishkin-Qalam</w:t>
      </w:r>
      <w:r w:rsidRPr="008F03E5">
        <w:tab/>
        <w:t>Mi</w:t>
      </w:r>
      <w:r w:rsidRPr="008F03E5">
        <w:rPr>
          <w:u w:val="single"/>
        </w:rPr>
        <w:t>sh</w:t>
      </w:r>
      <w:r w:rsidRPr="008F03E5">
        <w:t>kín-Qalam</w:t>
      </w:r>
      <w:r w:rsidRPr="008F03E5">
        <w:tab/>
        <w:t>Pers. Mírzá Ḥusayn-i-Iṣfahání (surnamed Mi</w:t>
      </w:r>
      <w:r w:rsidRPr="008F03E5">
        <w:rPr>
          <w:u w:val="single"/>
        </w:rPr>
        <w:t>sh</w:t>
      </w:r>
      <w:r w:rsidRPr="008F03E5">
        <w:t xml:space="preserve">kín-Qalam, meaning “musk-scented pen” or “jet-black pen”, by Muḥammad </w:t>
      </w:r>
      <w:r w:rsidRPr="008F03E5">
        <w:rPr>
          <w:u w:val="single"/>
        </w:rPr>
        <w:t>Sh</w:t>
      </w:r>
      <w:r w:rsidRPr="008F03E5">
        <w:t>áh because of the beauty and inner mystical message of his works); 1826–1912.  He was one of the nineteen Apostles of Bahá’u’lláh, as well as a famous calligrapher of 19th century Persia.  He is the author of a calligraphic rendering of the Greatest Name used by Bahá’ís.  Mi</w:t>
      </w:r>
      <w:r w:rsidRPr="008F03E5">
        <w:rPr>
          <w:u w:val="single"/>
        </w:rPr>
        <w:t>sh</w:t>
      </w:r>
      <w:r w:rsidRPr="008F03E5">
        <w:t>kín-Qalam signed works as “Servant at the gate of Bahá, Mi</w:t>
      </w:r>
      <w:r w:rsidRPr="008F03E5">
        <w:rPr>
          <w:u w:val="single"/>
        </w:rPr>
        <w:t>sh</w:t>
      </w:r>
      <w:r w:rsidRPr="008F03E5">
        <w:t>kín-Qalam”.  See Díyár-i-</w:t>
      </w:r>
      <w:r w:rsidRPr="008F03E5">
        <w:rPr>
          <w:u w:val="single"/>
        </w:rPr>
        <w:t>Kh</w:t>
      </w:r>
      <w:r w:rsidRPr="008F03E5">
        <w:t>aṭṭ</w:t>
      </w:r>
    </w:p>
    <w:p w14:paraId="32F6A8A1" w14:textId="77777777" w:rsidR="00625A5B" w:rsidRPr="008F03E5" w:rsidRDefault="00625A5B" w:rsidP="0054395F">
      <w:pPr>
        <w:pStyle w:val="Translit"/>
        <w:rPr>
          <w:rFonts w:eastAsia="PMingLiU"/>
          <w:lang w:eastAsia="zh-TW"/>
        </w:rPr>
      </w:pPr>
      <w:r w:rsidRPr="008F03E5">
        <w:rPr>
          <w:rFonts w:eastAsia="PMingLiU"/>
          <w:lang w:eastAsia="zh-TW"/>
        </w:rPr>
        <w:t>Misk, Mashmum</w:t>
      </w:r>
      <w:r w:rsidRPr="008F03E5">
        <w:rPr>
          <w:rFonts w:eastAsia="PMingLiU"/>
          <w:lang w:eastAsia="zh-TW"/>
        </w:rPr>
        <w:tab/>
        <w:t>Misk (m. &amp; f.), also Ma</w:t>
      </w:r>
      <w:r w:rsidRPr="008F03E5">
        <w:rPr>
          <w:u w:val="single"/>
        </w:rPr>
        <w:t>sh</w:t>
      </w:r>
      <w:r w:rsidRPr="008F03E5">
        <w:rPr>
          <w:rFonts w:eastAsia="PMingLiU"/>
          <w:lang w:eastAsia="zh-TW"/>
        </w:rPr>
        <w:t>m</w:t>
      </w:r>
      <w:r w:rsidRPr="008F03E5">
        <w:t>ú</w:t>
      </w:r>
      <w:r w:rsidRPr="008F03E5">
        <w:rPr>
          <w:rFonts w:eastAsia="PMingLiU"/>
          <w:lang w:eastAsia="zh-TW"/>
        </w:rPr>
        <w:t>m</w:t>
      </w:r>
      <w:r w:rsidRPr="008F03E5">
        <w:rPr>
          <w:rFonts w:eastAsia="PMingLiU"/>
          <w:lang w:eastAsia="zh-TW"/>
        </w:rPr>
        <w:tab/>
        <w:t>musk</w:t>
      </w:r>
    </w:p>
    <w:p w14:paraId="3BAFE807" w14:textId="77777777" w:rsidR="00625A5B" w:rsidRPr="008F03E5" w:rsidRDefault="00625A5B" w:rsidP="00FF3745">
      <w:pPr>
        <w:pStyle w:val="Translit"/>
        <w:rPr>
          <w:rFonts w:eastAsia="PMingLiU"/>
          <w:lang w:eastAsia="zh-TW"/>
        </w:rPr>
      </w:pPr>
      <w:r w:rsidRPr="008F03E5">
        <w:t>Miskawayh</w:t>
      </w:r>
      <w:r w:rsidRPr="008F03E5">
        <w:tab/>
        <w:t>Miskawayh</w:t>
      </w:r>
      <w:r w:rsidRPr="008F03E5">
        <w:tab/>
        <w:t>ibn Miskawayh (932–1030) (Abú ‘Alí Aḥmad ibn Muḥammad ibn Ya‘qúb ibn Miskawayh) was a Persian chancery official, philosopher and historian.  He wrote the first major Islamic work on philosophical ethics entitled Tah</w:t>
      </w:r>
      <w:r w:rsidRPr="008F03E5">
        <w:rPr>
          <w:u w:val="single"/>
        </w:rPr>
        <w:t>dh</w:t>
      </w:r>
      <w:r w:rsidRPr="008F03E5">
        <w:t>íb al-A</w:t>
      </w:r>
      <w:r w:rsidRPr="008F03E5">
        <w:rPr>
          <w:u w:val="single"/>
        </w:rPr>
        <w:t>kh</w:t>
      </w:r>
      <w:r w:rsidRPr="008F03E5">
        <w:t>láq, the “Refinement of Character”.</w:t>
      </w:r>
    </w:p>
    <w:p w14:paraId="66652F94" w14:textId="77777777" w:rsidR="00625A5B" w:rsidRPr="008F03E5" w:rsidRDefault="00625A5B" w:rsidP="009F6F2E">
      <w:pPr>
        <w:pStyle w:val="Translit"/>
      </w:pPr>
      <w:r w:rsidRPr="001457C8">
        <w:rPr>
          <w:rFonts w:eastAsia="PMingLiU"/>
          <w:lang w:val="de-DE" w:eastAsia="zh-TW"/>
        </w:rPr>
        <w:t>Misr, Amsar, Masr</w:t>
      </w:r>
      <w:r w:rsidRPr="001457C8">
        <w:rPr>
          <w:rFonts w:eastAsia="PMingLiU"/>
          <w:lang w:val="de-DE" w:eastAsia="zh-TW"/>
        </w:rPr>
        <w:tab/>
        <w:t xml:space="preserve">Miṣr, pl. </w:t>
      </w:r>
      <w:r w:rsidRPr="008F03E5">
        <w:rPr>
          <w:rFonts w:eastAsia="PMingLiU"/>
          <w:lang w:eastAsia="zh-TW"/>
        </w:rPr>
        <w:t>Amṣár</w:t>
      </w:r>
      <w:r w:rsidRPr="008F03E5">
        <w:rPr>
          <w:rFonts w:eastAsia="PMingLiU"/>
          <w:lang w:eastAsia="zh-TW"/>
        </w:rPr>
        <w:tab/>
        <w:t xml:space="preserve">big city; metropolis, capital;—miṣr, (colloquial) maṣr Egypt; Cairo.  Egypt has </w:t>
      </w:r>
      <w:r w:rsidRPr="008F03E5">
        <w:t>27 governorates (muḥáfẓah); second level are regions (markaz or qism); third-level are the districts (ḥayy) and villages (qaryah).</w:t>
      </w:r>
    </w:p>
    <w:p w14:paraId="52DF3534" w14:textId="77777777" w:rsidR="00625A5B" w:rsidRPr="008F03E5" w:rsidRDefault="00625A5B" w:rsidP="005010F8">
      <w:pPr>
        <w:pStyle w:val="Translit"/>
      </w:pPr>
      <w:r w:rsidRPr="008F03E5">
        <w:t>Misri, Misriyun</w:t>
      </w:r>
      <w:r w:rsidRPr="008F03E5">
        <w:tab/>
        <w:t>Miṣrí, pl. Miṣríyún</w:t>
      </w:r>
      <w:r w:rsidRPr="008F03E5">
        <w:tab/>
        <w:t>Egyptian; Cairene (a native of Cairo); an Egyptian</w:t>
      </w:r>
    </w:p>
    <w:p w14:paraId="5808F012" w14:textId="77777777" w:rsidR="00625A5B" w:rsidRPr="008F03E5" w:rsidRDefault="00625A5B" w:rsidP="00123817">
      <w:pPr>
        <w:pStyle w:val="Translit"/>
      </w:pPr>
      <w:r w:rsidRPr="008F03E5">
        <w:t>Misriya, Misriyat</w:t>
      </w:r>
      <w:r w:rsidRPr="008F03E5">
        <w:tab/>
        <w:t>Miṣríya[h], pl. Miṣríyát</w:t>
      </w:r>
      <w:r w:rsidRPr="008F03E5">
        <w:tab/>
        <w:t xml:space="preserve">Egyptianism, Egyptian national character; Egyptian woman or girl.  </w:t>
      </w:r>
      <w:r w:rsidRPr="008F03E5">
        <w:rPr>
          <w:i/>
          <w:iCs/>
        </w:rPr>
        <w:t>al-Waqá’i‘ al-Maṣriyyah</w:t>
      </w:r>
      <w:r w:rsidRPr="008F03E5">
        <w:t xml:space="preserve"> (“The Egyptian affairs or events”), was an Egyptian newspaper established in 1828 written in Ottoman Turkish and Arabic, later, only Arabic.</w:t>
      </w:r>
    </w:p>
    <w:p w14:paraId="69EEB6C2" w14:textId="77777777" w:rsidR="00625A5B" w:rsidRPr="008F03E5" w:rsidRDefault="00625A5B" w:rsidP="00B3154E">
      <w:pPr>
        <w:pStyle w:val="Translit"/>
      </w:pPr>
      <w:r w:rsidRPr="008F03E5">
        <w:t>Mithal, Amthila, Muthul</w:t>
      </w:r>
      <w:r w:rsidRPr="008F03E5">
        <w:tab/>
        <w:t>Mi</w:t>
      </w:r>
      <w:r w:rsidRPr="008F03E5">
        <w:rPr>
          <w:u w:val="single"/>
        </w:rPr>
        <w:t>th</w:t>
      </w:r>
      <w:r w:rsidRPr="008F03E5">
        <w:t>ál, pl. Am</w:t>
      </w:r>
      <w:r w:rsidRPr="008F03E5">
        <w:rPr>
          <w:u w:val="single"/>
        </w:rPr>
        <w:t>th</w:t>
      </w:r>
      <w:r w:rsidRPr="008F03E5">
        <w:t>ila[h or t], Mu</w:t>
      </w:r>
      <w:r w:rsidRPr="008F03E5">
        <w:rPr>
          <w:u w:val="single"/>
        </w:rPr>
        <w:t>th</w:t>
      </w:r>
      <w:r w:rsidRPr="008F03E5">
        <w:t>ul</w:t>
      </w:r>
      <w:r w:rsidRPr="008F03E5">
        <w:tab/>
        <w:t>something equal; something similar; simile, parable, allegory; example; pattern, standard; exemplary punishment; model; image, picture</w:t>
      </w:r>
    </w:p>
    <w:p w14:paraId="05E6109D" w14:textId="77777777" w:rsidR="00625A5B" w:rsidRPr="008F03E5" w:rsidRDefault="00625A5B" w:rsidP="00FF3745">
      <w:pPr>
        <w:pStyle w:val="Translit"/>
      </w:pPr>
      <w:r w:rsidRPr="008F03E5">
        <w:t>Mithaq (Missagh or Missaq), Mayathiq</w:t>
      </w:r>
      <w:r w:rsidRPr="008F03E5">
        <w:tab/>
        <w:t>Mí</w:t>
      </w:r>
      <w:r w:rsidRPr="008F03E5">
        <w:rPr>
          <w:u w:val="single"/>
        </w:rPr>
        <w:t>th</w:t>
      </w:r>
      <w:r w:rsidRPr="008F03E5">
        <w:t>áq, pl. Mayá</w:t>
      </w:r>
      <w:r w:rsidRPr="008F03E5">
        <w:rPr>
          <w:u w:val="single"/>
        </w:rPr>
        <w:t>th</w:t>
      </w:r>
      <w:r w:rsidRPr="008F03E5">
        <w:t>íq, Mayá</w:t>
      </w:r>
      <w:r w:rsidRPr="008F03E5">
        <w:rPr>
          <w:u w:val="single"/>
        </w:rPr>
        <w:t>th</w:t>
      </w:r>
      <w:r w:rsidRPr="008F03E5">
        <w:t>iq</w:t>
      </w:r>
      <w:r w:rsidRPr="008F03E5">
        <w:tab/>
        <w:t>a promise, covenant, contract, agreement, bargain, compact, confederacy, alliance, league; a testament; treaty, pact; charter.  al-mí</w:t>
      </w:r>
      <w:r w:rsidRPr="008F03E5">
        <w:rPr>
          <w:u w:val="single"/>
        </w:rPr>
        <w:t>th</w:t>
      </w:r>
      <w:r w:rsidRPr="008F03E5">
        <w:t>áq:  the “primordial covenant” (Qur’án 7:172), in which all human souls to bear witness that He is their Lord.  pl. also Mawá</w:t>
      </w:r>
      <w:r w:rsidRPr="008F03E5">
        <w:rPr>
          <w:u w:val="single"/>
        </w:rPr>
        <w:t>th</w:t>
      </w:r>
      <w:r w:rsidRPr="008F03E5">
        <w:t>íq.</w:t>
      </w:r>
    </w:p>
    <w:p w14:paraId="66180C3B" w14:textId="77777777" w:rsidR="00625A5B" w:rsidRPr="008F03E5" w:rsidRDefault="00625A5B" w:rsidP="0002355F">
      <w:pPr>
        <w:pStyle w:val="Translit"/>
        <w:rPr>
          <w:rFonts w:eastAsia="PMingLiU"/>
          <w:lang w:eastAsia="zh-TW"/>
        </w:rPr>
      </w:pPr>
      <w:r w:rsidRPr="008F03E5">
        <w:rPr>
          <w:rFonts w:eastAsia="PMingLiU"/>
          <w:lang w:eastAsia="zh-TW"/>
        </w:rPr>
        <w:t>Mithaqiya (Mithaqiyya), Mithaqiyan</w:t>
      </w:r>
      <w:r w:rsidRPr="008F03E5">
        <w:tab/>
      </w:r>
      <w:r w:rsidRPr="008F03E5">
        <w:rPr>
          <w:rFonts w:eastAsia="PMingLiU"/>
          <w:lang w:eastAsia="zh-TW"/>
        </w:rPr>
        <w:t>Mí</w:t>
      </w:r>
      <w:r w:rsidRPr="008F03E5">
        <w:rPr>
          <w:u w:val="single"/>
        </w:rPr>
        <w:t>th</w:t>
      </w:r>
      <w:r w:rsidRPr="008F03E5">
        <w:rPr>
          <w:rFonts w:eastAsia="PMingLiU"/>
          <w:lang w:eastAsia="zh-TW"/>
        </w:rPr>
        <w:t>áqíya, pl. Mí</w:t>
      </w:r>
      <w:r w:rsidRPr="008F03E5">
        <w:rPr>
          <w:u w:val="single"/>
        </w:rPr>
        <w:t>th</w:t>
      </w:r>
      <w:r w:rsidRPr="008F03E5">
        <w:rPr>
          <w:rFonts w:eastAsia="PMingLiU"/>
          <w:lang w:eastAsia="zh-TW"/>
        </w:rPr>
        <w:t>áqíyán</w:t>
      </w:r>
      <w:r w:rsidRPr="008F03E5">
        <w:tab/>
        <w:t xml:space="preserve">(Ar. adjective) agreement, covenant, pact.  Former </w:t>
      </w:r>
      <w:r w:rsidRPr="008F03E5">
        <w:rPr>
          <w:rFonts w:eastAsia="PMingLiU"/>
          <w:lang w:eastAsia="zh-TW"/>
        </w:rPr>
        <w:t>Mí</w:t>
      </w:r>
      <w:r w:rsidRPr="008F03E5">
        <w:rPr>
          <w:u w:val="single"/>
        </w:rPr>
        <w:t>th</w:t>
      </w:r>
      <w:r w:rsidRPr="008F03E5">
        <w:rPr>
          <w:rFonts w:eastAsia="PMingLiU"/>
          <w:lang w:eastAsia="zh-TW"/>
        </w:rPr>
        <w:t>áqíya (Mí</w:t>
      </w:r>
      <w:r w:rsidRPr="008F03E5">
        <w:rPr>
          <w:u w:val="single"/>
        </w:rPr>
        <w:t>th</w:t>
      </w:r>
      <w:r w:rsidRPr="008F03E5">
        <w:rPr>
          <w:rFonts w:eastAsia="PMingLiU"/>
          <w:lang w:eastAsia="zh-TW"/>
        </w:rPr>
        <w:t>áqiyya)</w:t>
      </w:r>
      <w:r w:rsidRPr="008F03E5">
        <w:t xml:space="preserve"> Hospital run by Bahá’ís in Ṭihrán.  Firaydún </w:t>
      </w:r>
      <w:r w:rsidRPr="008F03E5">
        <w:rPr>
          <w:rFonts w:eastAsia="PMingLiU"/>
          <w:lang w:eastAsia="zh-TW"/>
        </w:rPr>
        <w:t>Mí</w:t>
      </w:r>
      <w:r w:rsidRPr="008F03E5">
        <w:rPr>
          <w:u w:val="single"/>
        </w:rPr>
        <w:t>th</w:t>
      </w:r>
      <w:r w:rsidRPr="008F03E5">
        <w:rPr>
          <w:rFonts w:eastAsia="PMingLiU"/>
          <w:lang w:eastAsia="zh-TW"/>
        </w:rPr>
        <w:t>áqíyán.</w:t>
      </w:r>
    </w:p>
    <w:p w14:paraId="439A324A" w14:textId="77777777" w:rsidR="00625A5B" w:rsidRPr="008F03E5" w:rsidRDefault="00625A5B" w:rsidP="00E42B77">
      <w:pPr>
        <w:pStyle w:val="Translit"/>
      </w:pPr>
      <w:r w:rsidRPr="008F03E5">
        <w:t>Mithl, Amthal</w:t>
      </w:r>
      <w:r w:rsidRPr="008F03E5">
        <w:tab/>
        <w:t>Mi</w:t>
      </w:r>
      <w:r w:rsidRPr="008F03E5">
        <w:rPr>
          <w:u w:val="single"/>
        </w:rPr>
        <w:t>th</w:t>
      </w:r>
      <w:r w:rsidRPr="008F03E5">
        <w:t>l, pl. Am</w:t>
      </w:r>
      <w:r w:rsidRPr="008F03E5">
        <w:rPr>
          <w:u w:val="single"/>
        </w:rPr>
        <w:t>th</w:t>
      </w:r>
      <w:r w:rsidRPr="008F03E5">
        <w:t>ál</w:t>
      </w:r>
      <w:r w:rsidRPr="008F03E5">
        <w:tab/>
        <w:t>something similar, something of the same kind; resemblance, similarity, similitude, likeness; image; equivalent</w:t>
      </w:r>
    </w:p>
    <w:p w14:paraId="0D880838" w14:textId="77777777" w:rsidR="00625A5B" w:rsidRPr="008F03E5" w:rsidRDefault="00625A5B" w:rsidP="00696D0A">
      <w:pPr>
        <w:pStyle w:val="Translit"/>
      </w:pPr>
      <w:r w:rsidRPr="008F03E5">
        <w:t>Mithqal, Mathaqil</w:t>
      </w:r>
      <w:r w:rsidRPr="008F03E5">
        <w:tab/>
        <w:t>Mi</w:t>
      </w:r>
      <w:r w:rsidRPr="008F03E5">
        <w:rPr>
          <w:u w:val="single"/>
        </w:rPr>
        <w:t>th</w:t>
      </w:r>
      <w:r w:rsidRPr="008F03E5">
        <w:t>qál, pl. Ma</w:t>
      </w:r>
      <w:r w:rsidRPr="008F03E5">
        <w:rPr>
          <w:u w:val="single"/>
        </w:rPr>
        <w:t>th</w:t>
      </w:r>
      <w:r w:rsidRPr="008F03E5">
        <w:t>áqíl</w:t>
      </w:r>
      <w:r w:rsidRPr="008F03E5">
        <w:tab/>
        <w:t>a unit of weight used for weighing gold, silver and saffron (4.68 gm).  Traditionally, 24 chickpeas, changed by the Báb to 19 chickpeas (3.641666 gm).</w:t>
      </w:r>
    </w:p>
    <w:p w14:paraId="36AFFCD3" w14:textId="77777777" w:rsidR="00625A5B" w:rsidRDefault="00625A5B" w:rsidP="002016C0">
      <w:pPr>
        <w:pStyle w:val="Translit"/>
      </w:pPr>
      <w:r w:rsidRPr="002016C0">
        <w:t>Miyan, Miyana</w:t>
      </w:r>
      <w:r w:rsidRPr="002016C0">
        <w:tab/>
        <w:t>Miyán, Miyána</w:t>
      </w:r>
      <w:r w:rsidRPr="002016C0">
        <w:tab/>
        <w:t>Pers. w</w:t>
      </w:r>
      <w:r w:rsidRPr="00AF4D34">
        <w:t>aist, loins; middle, centre; interior (</w:t>
      </w:r>
      <w:r>
        <w:t>modern</w:t>
      </w:r>
      <w:r w:rsidRPr="00AF4D34">
        <w:t>); among, between, mean</w:t>
      </w:r>
      <w:r>
        <w:t xml:space="preserve">.  </w:t>
      </w:r>
      <w:r w:rsidRPr="002016C0">
        <w:t>Miyána</w:t>
      </w:r>
      <w:r>
        <w:t xml:space="preserve"> (</w:t>
      </w:r>
      <w:r w:rsidRPr="00964171">
        <w:t>Mey</w:t>
      </w:r>
      <w:r>
        <w:t>a</w:t>
      </w:r>
      <w:r w:rsidRPr="00964171">
        <w:t>neh, Miane, Meyaneh, Miy</w:t>
      </w:r>
      <w:r>
        <w:t>a</w:t>
      </w:r>
      <w:r w:rsidRPr="00964171">
        <w:t>neh, and Miy</w:t>
      </w:r>
      <w:r>
        <w:t>a</w:t>
      </w:r>
      <w:r w:rsidRPr="00964171">
        <w:t>nah)</w:t>
      </w:r>
      <w:r>
        <w:t xml:space="preserve"> </w:t>
      </w:r>
      <w:r w:rsidRPr="00964171">
        <w:t xml:space="preserve">a city </w:t>
      </w:r>
      <w:r>
        <w:t>(</w:t>
      </w:r>
      <w:r w:rsidRPr="00964171">
        <w:t>37.429145, 47.706986</w:t>
      </w:r>
      <w:r>
        <w:t xml:space="preserve">) </w:t>
      </w:r>
      <w:r w:rsidRPr="00964171">
        <w:t>in East Azerbaijan province, Iran</w:t>
      </w:r>
      <w:r>
        <w:t>.</w:t>
      </w:r>
    </w:p>
    <w:p w14:paraId="1882F223" w14:textId="77777777" w:rsidR="00625A5B" w:rsidRPr="002016C0" w:rsidRDefault="00625A5B" w:rsidP="002016C0">
      <w:pPr>
        <w:pStyle w:val="Translit"/>
      </w:pPr>
      <w:r w:rsidRPr="002016C0">
        <w:t>Miyanaj (Mia</w:t>
      </w:r>
      <w:r>
        <w:t>n</w:t>
      </w:r>
      <w:r w:rsidRPr="002016C0">
        <w:t>aj, Meyanaj</w:t>
      </w:r>
      <w:r>
        <w:t>)</w:t>
      </w:r>
      <w:r w:rsidRPr="002016C0">
        <w:tab/>
        <w:t>Miyánaj</w:t>
      </w:r>
      <w:r>
        <w:tab/>
        <w:t>Pers. (“</w:t>
      </w:r>
      <w:r w:rsidRPr="002016C0">
        <w:t>Míánaj</w:t>
      </w:r>
      <w:r>
        <w:t>”) village (</w:t>
      </w:r>
      <w:r w:rsidRPr="002016C0">
        <w:t>36.905745, 47.442704</w:t>
      </w:r>
      <w:r>
        <w:t>) in Zanjan Province</w:t>
      </w:r>
    </w:p>
    <w:p w14:paraId="728FE721" w14:textId="77777777" w:rsidR="00625A5B" w:rsidRPr="008F03E5" w:rsidRDefault="00625A5B" w:rsidP="002016C0">
      <w:pPr>
        <w:pStyle w:val="Translit"/>
      </w:pPr>
      <w:r w:rsidRPr="008F03E5">
        <w:t>Miyandu’ab (Miyan-Du’ab), Qushachay</w:t>
      </w:r>
      <w:r w:rsidRPr="008F03E5">
        <w:tab/>
        <w:t>M</w:t>
      </w:r>
      <w:r>
        <w:t>i</w:t>
      </w:r>
      <w:r w:rsidRPr="008F03E5">
        <w:t>yándu’áb</w:t>
      </w:r>
      <w:r>
        <w:t xml:space="preserve"> (</w:t>
      </w:r>
      <w:r w:rsidRPr="008F03E5">
        <w:t>M</w:t>
      </w:r>
      <w:r>
        <w:t>i</w:t>
      </w:r>
      <w:r w:rsidRPr="008F03E5">
        <w:t>yán</w:t>
      </w:r>
      <w:r>
        <w:t>-D</w:t>
      </w:r>
      <w:r w:rsidRPr="008F03E5">
        <w:t>u’áb</w:t>
      </w:r>
      <w:r>
        <w:t>)</w:t>
      </w:r>
      <w:r w:rsidRPr="008F03E5">
        <w:t xml:space="preserve"> or Qú</w:t>
      </w:r>
      <w:r w:rsidRPr="008F03E5">
        <w:rPr>
          <w:u w:val="single"/>
        </w:rPr>
        <w:t>sh</w:t>
      </w:r>
      <w:r w:rsidRPr="008F03E5">
        <w:t>á</w:t>
      </w:r>
      <w:r w:rsidRPr="008F03E5">
        <w:rPr>
          <w:u w:val="single"/>
        </w:rPr>
        <w:t>ch</w:t>
      </w:r>
      <w:r w:rsidRPr="008F03E5">
        <w:t>áy</w:t>
      </w:r>
      <w:r w:rsidRPr="008F03E5">
        <w:tab/>
        <w:t>Pers. “between two rivers” (Miandoab or Qushachay; Azerbaijani Qoşaçay) is a city (36.966890, 46.107130) and capital of M</w:t>
      </w:r>
      <w:r>
        <w:t>i</w:t>
      </w:r>
      <w:r w:rsidRPr="008F03E5">
        <w:t xml:space="preserve">yándu’áb County, West </w:t>
      </w:r>
      <w:r>
        <w:t>Ádhirbayján</w:t>
      </w:r>
      <w:r w:rsidRPr="008F03E5">
        <w:t>, Írán.  As its name suggests, it is situated in a delta region between the Zarrínah-Rúd and Símínah-Rúd (the golden and the silverized) that flow into Lake Urmia.  See Miyán and Dú’áb.</w:t>
      </w:r>
    </w:p>
    <w:p w14:paraId="15A2C298" w14:textId="77777777" w:rsidR="00625A5B" w:rsidRPr="008F03E5" w:rsidRDefault="00625A5B" w:rsidP="002016C0">
      <w:pPr>
        <w:pStyle w:val="Translit"/>
      </w:pPr>
      <w:r w:rsidRPr="008F03E5">
        <w:t>Miyanrud (Mianrud, Mian Rud)</w:t>
      </w:r>
      <w:r w:rsidRPr="008F03E5">
        <w:tab/>
        <w:t>M</w:t>
      </w:r>
      <w:r>
        <w:t>i</w:t>
      </w:r>
      <w:r w:rsidRPr="008F03E5">
        <w:t>yánrúd</w:t>
      </w:r>
      <w:r>
        <w:t xml:space="preserve"> (</w:t>
      </w:r>
      <w:r w:rsidRPr="008F03E5">
        <w:t>M</w:t>
      </w:r>
      <w:r>
        <w:t>i</w:t>
      </w:r>
      <w:r w:rsidRPr="008F03E5">
        <w:t>yán</w:t>
      </w:r>
      <w:r>
        <w:t>-R</w:t>
      </w:r>
      <w:r w:rsidRPr="008F03E5">
        <w:t>úd</w:t>
      </w:r>
      <w:r>
        <w:t>)</w:t>
      </w:r>
      <w:r w:rsidRPr="008F03E5">
        <w:tab/>
        <w:t>Pers. a city (32.153776, 48.440236) in Khuzestan Province.  Also several villages near Ámul, Mazindaran Province.</w:t>
      </w:r>
    </w:p>
    <w:p w14:paraId="20100063" w14:textId="77777777" w:rsidR="00625A5B" w:rsidRPr="008F03E5" w:rsidRDefault="00625A5B" w:rsidP="009C46E5">
      <w:pPr>
        <w:pStyle w:val="Translit"/>
      </w:pPr>
      <w:r w:rsidRPr="008F03E5">
        <w:t>Mizan, Mawazin</w:t>
      </w:r>
      <w:r w:rsidRPr="008F03E5">
        <w:tab/>
        <w:t>Mízán, pl. Mawázín</w:t>
      </w:r>
      <w:r w:rsidRPr="008F03E5">
        <w:tab/>
        <w:t xml:space="preserve">balance, scales; weight; measure; poetic measure, metre; rule, method; justice, equity, fairness, impartiality.  Qur’án </w:t>
      </w:r>
      <w:r w:rsidRPr="008F03E5">
        <w:rPr>
          <w:lang w:eastAsia="en-US"/>
        </w:rPr>
        <w:t xml:space="preserve"> 42:17 &amp; 57:25 (balance to weigh conduct or to balance right and wrong respectively).</w:t>
      </w:r>
    </w:p>
    <w:p w14:paraId="20EB8E2A" w14:textId="77777777" w:rsidR="00625A5B" w:rsidRPr="008F03E5" w:rsidRDefault="00625A5B" w:rsidP="00E649CB">
      <w:pPr>
        <w:pStyle w:val="Translit"/>
      </w:pPr>
      <w:r w:rsidRPr="008F03E5">
        <w:t>Mu-</w:t>
      </w:r>
      <w:r w:rsidRPr="008F03E5">
        <w:tab/>
        <w:t>Mu-</w:t>
      </w:r>
      <w:r w:rsidRPr="008F03E5">
        <w:tab/>
        <w:t>as pronoun prefix—he who or those who</w:t>
      </w:r>
    </w:p>
    <w:p w14:paraId="07B99D94" w14:textId="77777777" w:rsidR="00625A5B" w:rsidRPr="008F03E5" w:rsidRDefault="00625A5B" w:rsidP="00E6065E">
      <w:pPr>
        <w:pStyle w:val="Translit"/>
      </w:pPr>
      <w:r w:rsidRPr="008F03E5">
        <w:t>Mu’abbid, Mu’abadan</w:t>
      </w:r>
      <w:r w:rsidRPr="008F03E5">
        <w:tab/>
        <w:t>Mu‘abbid, pl. Mu‘abadán</w:t>
      </w:r>
      <w:r w:rsidRPr="008F03E5">
        <w:tab/>
        <w:t>Pers. (fire) worshipper</w:t>
      </w:r>
    </w:p>
    <w:p w14:paraId="76DEF2B5" w14:textId="77777777" w:rsidR="00625A5B" w:rsidRPr="008F03E5" w:rsidRDefault="00625A5B" w:rsidP="00444347">
      <w:pPr>
        <w:pStyle w:val="Translit"/>
      </w:pPr>
      <w:r w:rsidRPr="00397500">
        <w:rPr>
          <w:lang w:val="de-DE"/>
        </w:rPr>
        <w:t>Mu’abbir, Mu’abbirun</w:t>
      </w:r>
      <w:r w:rsidRPr="00397500">
        <w:rPr>
          <w:lang w:val="de-DE"/>
        </w:rPr>
        <w:tab/>
        <w:t xml:space="preserve">Mu‘abbir, pl. </w:t>
      </w:r>
      <w:r w:rsidRPr="008F03E5">
        <w:t>Mu‘abbirún</w:t>
      </w:r>
      <w:r w:rsidRPr="008F03E5">
        <w:tab/>
        <w:t>interpreter (of feelings, of dreams); expressive, significant.  Soothsayer (</w:t>
      </w:r>
      <w:r w:rsidRPr="008F03E5">
        <w:rPr>
          <w:sz w:val="16"/>
          <w:szCs w:val="16"/>
        </w:rPr>
        <w:t>PDC</w:t>
      </w:r>
      <w:r w:rsidRPr="008F03E5">
        <w:t>).  pl. also -án (accusative), -ín (genitive).</w:t>
      </w:r>
    </w:p>
    <w:p w14:paraId="6211EF94" w14:textId="77777777" w:rsidR="00625A5B" w:rsidRPr="008F03E5" w:rsidRDefault="00625A5B" w:rsidP="0054395F">
      <w:pPr>
        <w:pStyle w:val="Translit"/>
      </w:pPr>
      <w:r w:rsidRPr="008F03E5">
        <w:t>Mu’abbiri</w:t>
      </w:r>
      <w:r w:rsidRPr="008F03E5">
        <w:tab/>
        <w:t>Mu‘abbirí</w:t>
      </w:r>
      <w:r w:rsidRPr="008F03E5">
        <w:tab/>
        <w:t>Pers. interpretation of dreams</w:t>
      </w:r>
    </w:p>
    <w:p w14:paraId="6520FB45" w14:textId="77777777" w:rsidR="00625A5B" w:rsidRPr="008F03E5" w:rsidRDefault="00625A5B" w:rsidP="006A3480">
      <w:pPr>
        <w:pStyle w:val="Translit"/>
      </w:pPr>
      <w:r w:rsidRPr="008F03E5">
        <w:t>Mu’adh, Mu’az</w:t>
      </w:r>
      <w:r w:rsidRPr="008F03E5">
        <w:tab/>
        <w:t>Mu‘á</w:t>
      </w:r>
      <w:r w:rsidRPr="008F03E5">
        <w:rPr>
          <w:u w:val="single"/>
        </w:rPr>
        <w:t>dh</w:t>
      </w:r>
      <w:r w:rsidRPr="008F03E5">
        <w:tab/>
        <w:t>protected.  Mu‘á</w:t>
      </w:r>
      <w:r w:rsidRPr="008F03E5">
        <w:rPr>
          <w:u w:val="single"/>
        </w:rPr>
        <w:t>dh</w:t>
      </w:r>
      <w:r w:rsidRPr="008F03E5">
        <w:t xml:space="preserve"> ibn Jabal (603–639) was a ṣaḥábí Muḥammad.  Mu‘ádh was an Anṣár of Banú </w:t>
      </w:r>
      <w:r w:rsidRPr="008F03E5">
        <w:rPr>
          <w:u w:val="single"/>
        </w:rPr>
        <w:t>Kh</w:t>
      </w:r>
      <w:r w:rsidRPr="008F03E5">
        <w:t>azráj and compiled the Qur’án with five companions while Muḥammad was still alive.</w:t>
      </w:r>
    </w:p>
    <w:p w14:paraId="3D548598" w14:textId="77777777" w:rsidR="00625A5B" w:rsidRPr="008F03E5" w:rsidRDefault="00625A5B" w:rsidP="00A671CC">
      <w:pPr>
        <w:pStyle w:val="Translit"/>
      </w:pPr>
      <w:r w:rsidRPr="008F03E5">
        <w:t>Mu’adhdhin (Mu’azzin), Mu’adhdhun</w:t>
      </w:r>
      <w:r w:rsidRPr="008F03E5">
        <w:tab/>
        <w:t>Mu’a</w:t>
      </w:r>
      <w:r w:rsidRPr="008F03E5">
        <w:rPr>
          <w:u w:val="single"/>
        </w:rPr>
        <w:t>dhdh</w:t>
      </w:r>
      <w:r w:rsidRPr="008F03E5">
        <w:t>in, pl. Mu’a</w:t>
      </w:r>
      <w:r w:rsidRPr="008F03E5">
        <w:rPr>
          <w:u w:val="single"/>
        </w:rPr>
        <w:t>dhdh</w:t>
      </w:r>
      <w:r w:rsidRPr="008F03E5">
        <w:t>ún</w:t>
      </w:r>
      <w:r w:rsidRPr="008F03E5">
        <w:tab/>
        <w:t>a public crier, or muezzin (Turkish müezzin), who assembles the people to prayers by proclamation from a minaret (or the tower of a mosque) at the hour of prayer.  Persian may use Mu’aẓẓin.</w:t>
      </w:r>
    </w:p>
    <w:p w14:paraId="6E95F7E6" w14:textId="77777777" w:rsidR="00625A5B" w:rsidRPr="008F03E5" w:rsidRDefault="00625A5B" w:rsidP="009B2A64">
      <w:pPr>
        <w:pStyle w:val="Translit"/>
      </w:pPr>
      <w:r w:rsidRPr="008F03E5">
        <w:t>Mu’akhkhir</w:t>
      </w:r>
      <w:r w:rsidRPr="008F03E5">
        <w:tab/>
        <w:t>Mu’a</w:t>
      </w:r>
      <w:r w:rsidRPr="008F03E5">
        <w:rPr>
          <w:u w:val="single"/>
        </w:rPr>
        <w:t>khkh</w:t>
      </w:r>
      <w:r w:rsidRPr="008F03E5">
        <w:t>ir</w:t>
      </w:r>
      <w:r w:rsidRPr="008F03E5">
        <w:tab/>
        <w:t>one who keeps back or puts things in their proper places; hence, an attribute of God.</w:t>
      </w:r>
    </w:p>
    <w:p w14:paraId="0A54310A" w14:textId="77777777" w:rsidR="00625A5B" w:rsidRPr="008F03E5" w:rsidRDefault="00625A5B" w:rsidP="008C0BA0">
      <w:pPr>
        <w:pStyle w:val="Translit"/>
      </w:pPr>
      <w:r w:rsidRPr="008F03E5">
        <w:t>Mu’allim, Mu’allima, Mu’allimun</w:t>
      </w:r>
      <w:r w:rsidRPr="008F03E5">
        <w:tab/>
        <w:t>Mu‘allim, pl. Mu‘allimún</w:t>
      </w:r>
      <w:r w:rsidRPr="008F03E5">
        <w:tab/>
        <w:t xml:space="preserve">a teacher or tutor.  </w:t>
      </w:r>
      <w:r w:rsidRPr="001457C8">
        <w:rPr>
          <w:lang w:val="de-DE"/>
        </w:rPr>
        <w:t xml:space="preserve">Fem. mu‘allima[h or t].  Pers. also mu‘allimih.  </w:t>
      </w:r>
      <w:r w:rsidRPr="008F03E5">
        <w:t>al-Mu‘allimu’</w:t>
      </w:r>
      <w:r w:rsidRPr="008F03E5">
        <w:rPr>
          <w:u w:val="single"/>
        </w:rPr>
        <w:t>th</w:t>
      </w:r>
      <w:r w:rsidRPr="008F03E5">
        <w:t>-</w:t>
      </w:r>
      <w:r w:rsidRPr="008F03E5">
        <w:rPr>
          <w:u w:val="single"/>
        </w:rPr>
        <w:t>Th</w:t>
      </w:r>
      <w:r w:rsidRPr="008F03E5">
        <w:t>ání (The Second Teacher—a title of Avicenna (2nd after Abú Rayḥán al-Bírúní)</w:t>
      </w:r>
    </w:p>
    <w:p w14:paraId="5AE9F11F" w14:textId="77777777" w:rsidR="00625A5B" w:rsidRPr="008F03E5" w:rsidRDefault="00625A5B" w:rsidP="008A4A22">
      <w:pPr>
        <w:pStyle w:val="Translit"/>
      </w:pPr>
      <w:r w:rsidRPr="00077779">
        <w:t>Mu’amala, Mu’amalat</w:t>
      </w:r>
      <w:r w:rsidRPr="00077779">
        <w:tab/>
        <w:t xml:space="preserve">Mu‘ámala[h or t], pl. </w:t>
      </w:r>
      <w:r w:rsidRPr="008F03E5">
        <w:t>Mu‘ámalát</w:t>
      </w:r>
      <w:r w:rsidRPr="008F03E5">
        <w:tab/>
        <w:t>treatment; procedure; social intercourse, social life, association (with one another); behaviour, conduct (toward others); business; transaction; (especially in pl.) mutual relations, business relations</w:t>
      </w:r>
    </w:p>
    <w:p w14:paraId="5BD41DB5" w14:textId="77777777" w:rsidR="00625A5B" w:rsidRDefault="00625A5B" w:rsidP="004269C6">
      <w:pPr>
        <w:pStyle w:val="Translit"/>
      </w:pPr>
      <w:r w:rsidRPr="004269C6">
        <w:t>Mu’ammad</w:t>
      </w:r>
      <w:r>
        <w:tab/>
        <w:t>M</w:t>
      </w:r>
      <w:r w:rsidRPr="004269C6">
        <w:t>u</w:t>
      </w:r>
      <w:r w:rsidRPr="004269C6">
        <w:rPr>
          <w:rFonts w:eastAsia="Times New Roman"/>
        </w:rPr>
        <w:t>‘</w:t>
      </w:r>
      <w:r w:rsidRPr="004269C6">
        <w:t>ammad</w:t>
      </w:r>
      <w:r>
        <w:tab/>
      </w:r>
      <w:r w:rsidRPr="004269C6">
        <w:t>(</w:t>
      </w:r>
      <w:r>
        <w:t>a</w:t>
      </w:r>
      <w:r w:rsidRPr="004269C6">
        <w:t xml:space="preserve"> tent) supported, propped by columns; baptized</w:t>
      </w:r>
    </w:p>
    <w:p w14:paraId="738494B9" w14:textId="77777777" w:rsidR="00625A5B" w:rsidRPr="001457C8" w:rsidRDefault="00625A5B" w:rsidP="004269C6">
      <w:pPr>
        <w:pStyle w:val="Translit"/>
        <w:rPr>
          <w:lang w:val="de-DE"/>
        </w:rPr>
      </w:pPr>
      <w:r w:rsidRPr="006F4664">
        <w:rPr>
          <w:lang w:val="de-DE"/>
        </w:rPr>
        <w:t>Mu’ammar</w:t>
      </w:r>
      <w:r w:rsidRPr="006F4664">
        <w:rPr>
          <w:lang w:val="de-DE"/>
        </w:rPr>
        <w:tab/>
        <w:t xml:space="preserve">Mu‘ammar, pl. </w:t>
      </w:r>
      <w:r w:rsidRPr="001457C8">
        <w:rPr>
          <w:lang w:val="de-DE"/>
        </w:rPr>
        <w:t>Mu‘ammarún</w:t>
      </w:r>
      <w:r w:rsidRPr="001457C8">
        <w:rPr>
          <w:lang w:val="de-DE"/>
        </w:rPr>
        <w:tab/>
        <w:t>senior (in sports)</w:t>
      </w:r>
    </w:p>
    <w:p w14:paraId="404A7398" w14:textId="77777777" w:rsidR="00625A5B" w:rsidRDefault="00625A5B" w:rsidP="00B4773B">
      <w:pPr>
        <w:pStyle w:val="Translit"/>
      </w:pPr>
      <w:r>
        <w:t>Mu’ammid (Moamid)</w:t>
      </w:r>
      <w:r>
        <w:tab/>
        <w:t>M</w:t>
      </w:r>
      <w:r w:rsidRPr="004269C6">
        <w:t>u</w:t>
      </w:r>
      <w:r w:rsidRPr="004269C6">
        <w:rPr>
          <w:rFonts w:eastAsia="Times New Roman"/>
        </w:rPr>
        <w:t>‘</w:t>
      </w:r>
      <w:r w:rsidRPr="004269C6">
        <w:t>ammid</w:t>
      </w:r>
      <w:r>
        <w:tab/>
        <w:t>a</w:t>
      </w:r>
      <w:r w:rsidRPr="004269C6">
        <w:t xml:space="preserve"> </w:t>
      </w:r>
      <w:r w:rsidRPr="00AF4D34">
        <w:t xml:space="preserve">baptizer, </w:t>
      </w:r>
      <w:r>
        <w:t xml:space="preserve">Baptist.  There is no indication that a “Moamid” paper in Egypt exists, so it is assumed to be </w:t>
      </w:r>
      <w:r w:rsidRPr="008F03E5">
        <w:rPr>
          <w:i/>
          <w:iCs/>
        </w:rPr>
        <w:t>al-Mu’ayyad</w:t>
      </w:r>
      <w:r>
        <w:rPr>
          <w:i/>
          <w:iCs/>
        </w:rPr>
        <w:t>.</w:t>
      </w:r>
    </w:p>
    <w:p w14:paraId="034167C3" w14:textId="77777777" w:rsidR="00625A5B" w:rsidRPr="008F03E5" w:rsidRDefault="00625A5B" w:rsidP="008A4A22">
      <w:pPr>
        <w:pStyle w:val="Translit"/>
      </w:pPr>
      <w:r w:rsidRPr="008F03E5">
        <w:t>Mu’annath</w:t>
      </w:r>
      <w:r w:rsidRPr="008F03E5">
        <w:tab/>
        <w:t>Mu’anna</w:t>
      </w:r>
      <w:r w:rsidRPr="008F03E5">
        <w:rPr>
          <w:u w:val="single"/>
        </w:rPr>
        <w:t>th</w:t>
      </w:r>
      <w:r w:rsidRPr="008F03E5">
        <w:tab/>
        <w:t>(grammar) feminine (adj.)</w:t>
      </w:r>
    </w:p>
    <w:p w14:paraId="7F3659A3" w14:textId="77777777" w:rsidR="00625A5B" w:rsidRPr="008F03E5" w:rsidRDefault="00625A5B" w:rsidP="00693DDD">
      <w:pPr>
        <w:pStyle w:val="Translit"/>
      </w:pPr>
      <w:r w:rsidRPr="008F03E5">
        <w:t>Mu’arra</w:t>
      </w:r>
      <w:r w:rsidRPr="008F03E5">
        <w:rPr>
          <w:rFonts w:eastAsia="Times New Roman"/>
        </w:rPr>
        <w:t>kh</w:t>
      </w:r>
      <w:r w:rsidRPr="008F03E5">
        <w:t>, Muwarra</w:t>
      </w:r>
      <w:r w:rsidRPr="008F03E5">
        <w:rPr>
          <w:rFonts w:eastAsia="Times New Roman"/>
          <w:u w:val="single"/>
        </w:rPr>
        <w:t>kh</w:t>
      </w:r>
      <w:r w:rsidRPr="008F03E5">
        <w:rPr>
          <w:rFonts w:eastAsia="Times New Roman"/>
        </w:rPr>
        <w:t>,</w:t>
      </w:r>
      <w:r w:rsidRPr="008F03E5">
        <w:t xml:space="preserve"> Mu’arrakhun</w:t>
      </w:r>
      <w:r w:rsidRPr="008F03E5">
        <w:rPr>
          <w:rFonts w:eastAsia="Times New Roman"/>
        </w:rPr>
        <w:tab/>
      </w:r>
      <w:r w:rsidRPr="008F03E5">
        <w:t>Mu’arra</w:t>
      </w:r>
      <w:r w:rsidRPr="008F03E5">
        <w:rPr>
          <w:rFonts w:eastAsia="Times New Roman"/>
          <w:u w:val="single"/>
        </w:rPr>
        <w:t>kh</w:t>
      </w:r>
      <w:r w:rsidRPr="008F03E5">
        <w:t>, Muwarra</w:t>
      </w:r>
      <w:r w:rsidRPr="008F03E5">
        <w:rPr>
          <w:rFonts w:eastAsia="Times New Roman"/>
          <w:u w:val="single"/>
        </w:rPr>
        <w:t>kh</w:t>
      </w:r>
      <w:r w:rsidRPr="008F03E5">
        <w:rPr>
          <w:rFonts w:eastAsia="Times New Roman"/>
        </w:rPr>
        <w:t xml:space="preserve">, pl. </w:t>
      </w:r>
      <w:r w:rsidRPr="008F03E5">
        <w:t>Mu’arra</w:t>
      </w:r>
      <w:r w:rsidRPr="008F03E5">
        <w:rPr>
          <w:u w:val="single"/>
        </w:rPr>
        <w:t>kh</w:t>
      </w:r>
      <w:r w:rsidRPr="008F03E5">
        <w:t>ún</w:t>
      </w:r>
      <w:r w:rsidRPr="008F03E5">
        <w:rPr>
          <w:rFonts w:eastAsia="Times New Roman"/>
        </w:rPr>
        <w:tab/>
      </w:r>
      <w:r w:rsidRPr="008F03E5">
        <w:t>dated (earlier); chronicled</w:t>
      </w:r>
    </w:p>
    <w:p w14:paraId="6319AC17" w14:textId="77777777" w:rsidR="00625A5B" w:rsidRPr="008F03E5" w:rsidRDefault="00625A5B" w:rsidP="0043647E">
      <w:pPr>
        <w:pStyle w:val="Translit"/>
      </w:pPr>
      <w:r w:rsidRPr="008F03E5">
        <w:t>Mu’arrikh, Muwarrikh, Mu’arrikhun</w:t>
      </w:r>
      <w:r w:rsidRPr="008F03E5">
        <w:tab/>
        <w:t>Mu’arri</w:t>
      </w:r>
      <w:r w:rsidRPr="008F03E5">
        <w:rPr>
          <w:rFonts w:eastAsia="Times New Roman"/>
          <w:u w:val="single"/>
        </w:rPr>
        <w:t>kh</w:t>
      </w:r>
      <w:r w:rsidRPr="008F03E5">
        <w:t>, Muwarri</w:t>
      </w:r>
      <w:r w:rsidRPr="008F03E5">
        <w:rPr>
          <w:rFonts w:eastAsia="Times New Roman"/>
          <w:u w:val="single"/>
        </w:rPr>
        <w:t>kh</w:t>
      </w:r>
      <w:r w:rsidRPr="008F03E5">
        <w:rPr>
          <w:rFonts w:eastAsia="Times New Roman"/>
        </w:rPr>
        <w:t xml:space="preserve">, pl. </w:t>
      </w:r>
      <w:r w:rsidRPr="008F03E5">
        <w:t>Mu’arri</w:t>
      </w:r>
      <w:r w:rsidRPr="008F03E5">
        <w:rPr>
          <w:u w:val="single"/>
        </w:rPr>
        <w:t>kh</w:t>
      </w:r>
      <w:r w:rsidRPr="008F03E5">
        <w:t>ún</w:t>
      </w:r>
      <w:r w:rsidRPr="008F03E5">
        <w:rPr>
          <w:rFonts w:eastAsia="Times New Roman"/>
        </w:rPr>
        <w:tab/>
        <w:t>w</w:t>
      </w:r>
      <w:r w:rsidRPr="008F03E5">
        <w:t>ho dates (a letter); who marks the time of any event; chronicler, annalist, historian.  Mu’arri</w:t>
      </w:r>
      <w:r w:rsidRPr="008F03E5">
        <w:rPr>
          <w:rFonts w:eastAsia="Times New Roman"/>
          <w:u w:val="single"/>
        </w:rPr>
        <w:t>kh</w:t>
      </w:r>
      <w:r w:rsidRPr="008F03E5">
        <w:t>ín, muwarri</w:t>
      </w:r>
      <w:r w:rsidRPr="008F03E5">
        <w:rPr>
          <w:rFonts w:eastAsia="Times New Roman"/>
          <w:u w:val="single"/>
        </w:rPr>
        <w:t>kh</w:t>
      </w:r>
      <w:r w:rsidRPr="008F03E5">
        <w:t>ín (oblique case dual, also used as nominative)</w:t>
      </w:r>
    </w:p>
    <w:p w14:paraId="6AEBD215" w14:textId="77777777" w:rsidR="00625A5B" w:rsidRPr="008063A9" w:rsidRDefault="00625A5B" w:rsidP="0043647E">
      <w:pPr>
        <w:pStyle w:val="Translit"/>
      </w:pPr>
      <w:r w:rsidRPr="008F03E5">
        <w:t>Mu’asir, Mu’asirin</w:t>
      </w:r>
      <w:r w:rsidRPr="008F03E5">
        <w:tab/>
        <w:t xml:space="preserve">Mu‘áṣir, pl. </w:t>
      </w:r>
      <w:r w:rsidRPr="008063A9">
        <w:t>Mu‘áṣirín</w:t>
      </w:r>
      <w:r w:rsidRPr="008063A9">
        <w:tab/>
        <w:t>contemporary, contemporaneous; a contemporary</w:t>
      </w:r>
    </w:p>
    <w:p w14:paraId="73E766C3" w14:textId="77777777" w:rsidR="00625A5B" w:rsidRPr="008F03E5" w:rsidRDefault="00625A5B" w:rsidP="006D70EE">
      <w:pPr>
        <w:pStyle w:val="Translit"/>
      </w:pPr>
      <w:r w:rsidRPr="00397500">
        <w:rPr>
          <w:lang w:val="en-AU"/>
        </w:rPr>
        <w:t>Mu’assasa, Mu’assasat</w:t>
      </w:r>
      <w:r w:rsidRPr="00397500">
        <w:rPr>
          <w:lang w:val="en-AU"/>
        </w:rPr>
        <w:tab/>
        <w:t xml:space="preserve">Mu’assasa, pl. </w:t>
      </w:r>
      <w:r w:rsidRPr="008F03E5">
        <w:t>Mu’assasát</w:t>
      </w:r>
      <w:r w:rsidRPr="008F03E5">
        <w:tab/>
        <w:t>foundation, establishment; firm (commerce); institution; organization</w:t>
      </w:r>
    </w:p>
    <w:p w14:paraId="0F5E3FB4" w14:textId="77777777" w:rsidR="00625A5B" w:rsidRPr="008F03E5" w:rsidRDefault="00625A5B" w:rsidP="005D2C41">
      <w:pPr>
        <w:pStyle w:val="Translit"/>
      </w:pPr>
      <w:r w:rsidRPr="008F03E5">
        <w:t>Mu’assis</w:t>
      </w:r>
      <w:r w:rsidRPr="008F03E5">
        <w:tab/>
        <w:t>Mu’assis</w:t>
      </w:r>
      <w:r w:rsidRPr="008F03E5">
        <w:tab/>
        <w:t>he who lays a foundation; founder; a strengthener; enactor (e.g. founder of a law, school, sect, etc.)</w:t>
      </w:r>
    </w:p>
    <w:p w14:paraId="2DBE8F6B" w14:textId="77777777" w:rsidR="00625A5B" w:rsidRPr="008F03E5" w:rsidRDefault="00625A5B" w:rsidP="00D51DF1">
      <w:pPr>
        <w:pStyle w:val="Translit"/>
      </w:pPr>
      <w:r w:rsidRPr="008F03E5">
        <w:t>Mu’assisiy-i-Ayadiy-i-Amru’llah</w:t>
      </w:r>
      <w:r w:rsidRPr="008F03E5">
        <w:tab/>
        <w:t>Mu’assisiy-i-Ayádíy-i-Amru’lláh</w:t>
      </w:r>
      <w:r w:rsidRPr="008F03E5">
        <w:tab/>
        <w:t>Pers. Bahá’u’lláh:  “The institution of the Hands of the Cause of God”</w:t>
      </w:r>
    </w:p>
    <w:p w14:paraId="0290CA1A" w14:textId="77777777" w:rsidR="00625A5B" w:rsidRPr="008F03E5" w:rsidRDefault="00625A5B" w:rsidP="00D51DF1">
      <w:pPr>
        <w:pStyle w:val="Translit"/>
      </w:pPr>
      <w:r w:rsidRPr="008F03E5">
        <w:t>Mu’assisiy-i-Ma’arif-i-Baha’i</w:t>
      </w:r>
      <w:r w:rsidRPr="008F03E5">
        <w:tab/>
        <w:t>Mu’assisiy-i-Ma‘árif-i-Bahá’í</w:t>
      </w:r>
      <w:r w:rsidRPr="008F03E5">
        <w:tab/>
        <w:t>name of Iranian Bahá’í Publishing Trust</w:t>
      </w:r>
    </w:p>
    <w:p w14:paraId="07A5ECD7" w14:textId="77777777" w:rsidR="00625A5B" w:rsidRPr="008F03E5" w:rsidRDefault="00625A5B" w:rsidP="001227B0">
      <w:pPr>
        <w:pStyle w:val="Translit"/>
      </w:pPr>
      <w:r w:rsidRPr="008F03E5">
        <w:t>Mu’aththir, Mu’aththirat</w:t>
      </w:r>
      <w:r w:rsidRPr="008F03E5">
        <w:tab/>
        <w:t>Mu’a</w:t>
      </w:r>
      <w:r w:rsidRPr="008F03E5">
        <w:rPr>
          <w:u w:val="single"/>
        </w:rPr>
        <w:t>thth</w:t>
      </w:r>
      <w:r w:rsidRPr="008F03E5">
        <w:t>ir, pl. Mu’a</w:t>
      </w:r>
      <w:r w:rsidRPr="008F03E5">
        <w:rPr>
          <w:u w:val="single"/>
        </w:rPr>
        <w:t>thth</w:t>
      </w:r>
      <w:r w:rsidRPr="008F03E5">
        <w:t>irát</w:t>
      </w:r>
      <w:r w:rsidRPr="008F03E5">
        <w:tab/>
        <w:t>affecting, acting upon; effective; impressive; moving, touching, pathetic;—pl. influencing factor, influence</w:t>
      </w:r>
    </w:p>
    <w:p w14:paraId="037B99BA" w14:textId="77777777" w:rsidR="00625A5B" w:rsidRPr="008F03E5" w:rsidRDefault="00625A5B" w:rsidP="009505C6">
      <w:pPr>
        <w:pStyle w:val="Translit"/>
      </w:pPr>
      <w:r w:rsidRPr="008F03E5">
        <w:t>Mu’attar</w:t>
      </w:r>
      <w:r w:rsidRPr="008F03E5">
        <w:tab/>
        <w:t>Mu‘aṭṭar</w:t>
      </w:r>
      <w:r w:rsidRPr="008F03E5">
        <w:tab/>
        <w:t>perfumed, scented, fragrant</w:t>
      </w:r>
    </w:p>
    <w:p w14:paraId="37C51FB8" w14:textId="77777777" w:rsidR="00625A5B" w:rsidRPr="008F03E5" w:rsidRDefault="00625A5B" w:rsidP="0043647E">
      <w:pPr>
        <w:pStyle w:val="Translit"/>
      </w:pPr>
      <w:r w:rsidRPr="008F03E5">
        <w:t>Mu’awin</w:t>
      </w:r>
      <w:r w:rsidRPr="008F03E5">
        <w:tab/>
        <w:t>Mu‘áwin</w:t>
      </w:r>
      <w:r w:rsidRPr="008F03E5">
        <w:tab/>
        <w:t>helper, supporter, stand-by; aide; assistant; adjutant, aide-de-camp; police officer heading a city precinct (Iraqi)</w:t>
      </w:r>
    </w:p>
    <w:p w14:paraId="205EB868" w14:textId="77777777" w:rsidR="00625A5B" w:rsidRPr="008F03E5" w:rsidRDefault="00625A5B" w:rsidP="00290155">
      <w:pPr>
        <w:pStyle w:val="Translit"/>
      </w:pPr>
      <w:r w:rsidRPr="008F03E5">
        <w:t>Mu’awiya, Mu’awiyya, Mu’aviya</w:t>
      </w:r>
      <w:r w:rsidRPr="008F03E5">
        <w:tab/>
        <w:t>Mu‘áwiya[h or t] (</w:t>
      </w:r>
      <w:r w:rsidRPr="008F03E5">
        <w:rPr>
          <w:rtl/>
        </w:rPr>
        <w:t>معاوية</w:t>
      </w:r>
      <w:r w:rsidRPr="008F03E5">
        <w:t>)</w:t>
      </w:r>
      <w:r w:rsidRPr="008F03E5">
        <w:tab/>
        <w:t>Ar. (Pers. with v instead of w, and with -ih endings) a fox’s whelp.  Masculine name and that of the first (Mu‘áwiya ibn Abí Sufyán, c. 597, 603 or 605—680) and third Umayyad caliphs.  The first founded the Umayyad dynasty (based in Damascus).  Mu‘áwíya, etc., used because it is easier to pronounce (H. M. Balyuzi).</w:t>
      </w:r>
    </w:p>
    <w:p w14:paraId="6CD52334" w14:textId="77777777" w:rsidR="00625A5B" w:rsidRPr="008F03E5" w:rsidRDefault="00625A5B" w:rsidP="0045244D">
      <w:pPr>
        <w:pStyle w:val="Translit"/>
      </w:pPr>
      <w:r w:rsidRPr="008F03E5">
        <w:t>Mu’awwil</w:t>
      </w:r>
      <w:r w:rsidRPr="008F03E5">
        <w:tab/>
        <w:t>Mu‘awwil</w:t>
      </w:r>
      <w:r w:rsidRPr="008F03E5">
        <w:tab/>
        <w:t>interpreter</w:t>
      </w:r>
    </w:p>
    <w:p w14:paraId="47B46F49" w14:textId="77777777" w:rsidR="00625A5B" w:rsidRPr="008F03E5" w:rsidRDefault="00625A5B" w:rsidP="003B5F3E">
      <w:pPr>
        <w:pStyle w:val="Translit"/>
      </w:pPr>
      <w:r w:rsidRPr="008F03E5">
        <w:rPr>
          <w:rFonts w:eastAsia="PMingLiU"/>
          <w:lang w:eastAsia="zh-TW"/>
        </w:rPr>
        <w:t>Mu’ayyad (Mu’aiyad, Moaid, Muayyad)</w:t>
      </w:r>
      <w:r w:rsidRPr="008F03E5">
        <w:rPr>
          <w:rFonts w:eastAsia="PMingLiU"/>
          <w:lang w:eastAsia="zh-TW"/>
        </w:rPr>
        <w:tab/>
        <w:t>Mu’ayyad</w:t>
      </w:r>
      <w:r w:rsidRPr="008F03E5">
        <w:rPr>
          <w:rFonts w:eastAsia="PMingLiU"/>
          <w:lang w:eastAsia="zh-TW"/>
        </w:rPr>
        <w:tab/>
      </w:r>
      <w:r w:rsidRPr="008F03E5">
        <w:t xml:space="preserve">confirmed, fortified, assisted.  </w:t>
      </w:r>
      <w:r w:rsidRPr="008F03E5">
        <w:rPr>
          <w:i/>
          <w:iCs/>
        </w:rPr>
        <w:t>al-Mu’ayyad</w:t>
      </w:r>
      <w:r w:rsidRPr="008F03E5">
        <w:t xml:space="preserve"> (“The Strengthened”) newspaper (1889–1915), Cairo.  </w:t>
      </w:r>
      <w:bookmarkStart w:id="108" w:name="_Hlk60220633"/>
      <w:r w:rsidRPr="008F03E5">
        <w:t xml:space="preserve">Dr Hábibu’llah </w:t>
      </w:r>
      <w:r w:rsidRPr="008F03E5">
        <w:rPr>
          <w:u w:val="single"/>
        </w:rPr>
        <w:t>Kh</w:t>
      </w:r>
      <w:r w:rsidRPr="008F03E5">
        <w:t>udába</w:t>
      </w:r>
      <w:r w:rsidRPr="008F03E5">
        <w:rPr>
          <w:u w:val="single"/>
        </w:rPr>
        <w:t>khsh</w:t>
      </w:r>
      <w:r w:rsidRPr="008F03E5">
        <w:t xml:space="preserve"> (1888–1971) or Dr </w:t>
      </w:r>
      <w:bookmarkStart w:id="109" w:name="_Hlk60218754"/>
      <w:r w:rsidRPr="008F03E5">
        <w:t>Ḥabíb</w:t>
      </w:r>
      <w:bookmarkEnd w:id="109"/>
      <w:r w:rsidRPr="008F03E5">
        <w:t xml:space="preserve"> Mu’ayyad (he was named Mu’ayyad (“confirmed”) by ‘Abdu’l-Bahá);</w:t>
      </w:r>
      <w:bookmarkEnd w:id="108"/>
      <w:r w:rsidRPr="008F03E5">
        <w:t xml:space="preserve"> wrote </w:t>
      </w:r>
      <w:r w:rsidRPr="008F03E5">
        <w:rPr>
          <w:i/>
          <w:iCs/>
          <w:u w:val="single"/>
        </w:rPr>
        <w:t>Kh</w:t>
      </w:r>
      <w:r w:rsidRPr="008F03E5">
        <w:rPr>
          <w:i/>
          <w:iCs/>
        </w:rPr>
        <w:t>áṭirát-i-Ḥabíb</w:t>
      </w:r>
      <w:r w:rsidRPr="008F03E5">
        <w:t xml:space="preserve"> (“Memoirs or Diary of Habib”).</w:t>
      </w:r>
    </w:p>
    <w:p w14:paraId="701E24D9" w14:textId="77777777" w:rsidR="00625A5B" w:rsidRPr="008F03E5" w:rsidRDefault="00625A5B" w:rsidP="00BB3888">
      <w:pPr>
        <w:pStyle w:val="Translit"/>
      </w:pPr>
      <w:r w:rsidRPr="008F03E5">
        <w:t>Mu’ayyad fi ad-Din</w:t>
      </w:r>
      <w:r w:rsidRPr="008F03E5">
        <w:tab/>
        <w:t>Mu’ayyad fí ad-Dín (fí’d-Dín)</w:t>
      </w:r>
      <w:r w:rsidRPr="008F03E5">
        <w:tab/>
        <w:t>“The one aided in religion”, a title</w:t>
      </w:r>
    </w:p>
    <w:p w14:paraId="4F789729" w14:textId="77777777" w:rsidR="00625A5B" w:rsidRDefault="00625A5B" w:rsidP="009C4842">
      <w:pPr>
        <w:pStyle w:val="Translit"/>
      </w:pPr>
      <w:r w:rsidRPr="00936349">
        <w:t>Mu’ayyadu’d-Dawl</w:t>
      </w:r>
      <w:r>
        <w:t>a</w:t>
      </w:r>
      <w:r>
        <w:tab/>
      </w:r>
      <w:r w:rsidRPr="00936349">
        <w:t>Mu’ayyadu’d-Dawl</w:t>
      </w:r>
      <w:r>
        <w:t>a</w:t>
      </w:r>
      <w:r>
        <w:tab/>
        <w:t>“Helper of the state”, honorific title</w:t>
      </w:r>
    </w:p>
    <w:p w14:paraId="604BE32C" w14:textId="77777777" w:rsidR="00625A5B" w:rsidRPr="008F03E5" w:rsidRDefault="00625A5B" w:rsidP="004B5E86">
      <w:pPr>
        <w:pStyle w:val="Translit"/>
      </w:pPr>
      <w:r w:rsidRPr="008F03E5">
        <w:t>Mu’ayyir</w:t>
      </w:r>
      <w:r w:rsidRPr="008F03E5">
        <w:tab/>
        <w:t>Mu‘ayyir</w:t>
      </w:r>
      <w:r w:rsidRPr="008F03E5">
        <w:tab/>
        <w:t>an assayer of precious metals</w:t>
      </w:r>
    </w:p>
    <w:p w14:paraId="5A5702AC" w14:textId="77777777" w:rsidR="00625A5B" w:rsidRPr="008F03E5" w:rsidRDefault="00625A5B" w:rsidP="004B5E86">
      <w:pPr>
        <w:pStyle w:val="Translit"/>
      </w:pPr>
      <w:r w:rsidRPr="008F03E5">
        <w:t>Mu’ayyiru’l-Mamalik</w:t>
      </w:r>
      <w:r w:rsidRPr="008F03E5">
        <w:tab/>
        <w:t>Mu‘ayyiru’l-Mamálik</w:t>
      </w:r>
      <w:r w:rsidRPr="008F03E5">
        <w:tab/>
        <w:t>“assayer of the kingdoms”</w:t>
      </w:r>
    </w:p>
    <w:p w14:paraId="570E6BB5" w14:textId="77777777" w:rsidR="00625A5B" w:rsidRPr="008F03E5" w:rsidRDefault="00625A5B" w:rsidP="004B5E86">
      <w:pPr>
        <w:pStyle w:val="Translit"/>
      </w:pPr>
      <w:r w:rsidRPr="001457C8">
        <w:rPr>
          <w:lang w:val="pl-PL"/>
        </w:rPr>
        <w:t>Mu’azzam, Mu’azzama</w:t>
      </w:r>
      <w:r w:rsidRPr="001457C8">
        <w:rPr>
          <w:lang w:val="pl-PL"/>
        </w:rPr>
        <w:tab/>
        <w:t xml:space="preserve">Mu‘aẓẓam, fem. </w:t>
      </w:r>
      <w:r w:rsidRPr="008F03E5">
        <w:t>Mu‘aẓẓam[h or t]</w:t>
      </w:r>
      <w:r w:rsidRPr="008F03E5">
        <w:tab/>
        <w:t>glorified, exalted, revered, venerated; sublime, august (especially of rulers); splendid, gorgeous, glorious, magnificent, resplendent; bony; ossified</w:t>
      </w:r>
    </w:p>
    <w:p w14:paraId="5F46D5D2" w14:textId="77777777" w:rsidR="00625A5B" w:rsidRPr="008F03E5" w:rsidRDefault="00625A5B" w:rsidP="0055502C">
      <w:pPr>
        <w:pStyle w:val="Translit"/>
      </w:pPr>
      <w:r w:rsidRPr="008F03E5">
        <w:t>Mu’bid</w:t>
      </w:r>
      <w:r w:rsidRPr="008F03E5">
        <w:tab/>
        <w:t>Mu’bid</w:t>
      </w:r>
      <w:r w:rsidRPr="008F03E5">
        <w:tab/>
      </w:r>
      <w:r w:rsidRPr="008F03E5">
        <w:rPr>
          <w:u w:val="single"/>
        </w:rPr>
        <w:t>Sh</w:t>
      </w:r>
      <w:r w:rsidRPr="008F03E5">
        <w:t xml:space="preserve">áh Bahrám Mu’bidzádih, Indian Bahá’í, son (zádih) of Mu’bid </w:t>
      </w:r>
      <w:r w:rsidRPr="008F03E5">
        <w:rPr>
          <w:u w:val="single"/>
        </w:rPr>
        <w:t>Kh</w:t>
      </w:r>
      <w:r w:rsidRPr="008F03E5">
        <w:t>udába</w:t>
      </w:r>
      <w:r w:rsidRPr="008F03E5">
        <w:rPr>
          <w:u w:val="single"/>
        </w:rPr>
        <w:t>khsh</w:t>
      </w:r>
      <w:r w:rsidRPr="008F03E5">
        <w:t xml:space="preserve"> (</w:t>
      </w:r>
      <w:r w:rsidRPr="008F03E5">
        <w:rPr>
          <w:u w:val="single"/>
        </w:rPr>
        <w:t>Kh</w:t>
      </w:r>
      <w:r w:rsidRPr="008F03E5">
        <w:t>udá Ba</w:t>
      </w:r>
      <w:r w:rsidRPr="008F03E5">
        <w:rPr>
          <w:u w:val="single"/>
        </w:rPr>
        <w:t>khsh</w:t>
      </w:r>
      <w:r w:rsidRPr="008F03E5">
        <w:t>)</w:t>
      </w:r>
    </w:p>
    <w:p w14:paraId="3B85B5AD" w14:textId="77777777" w:rsidR="00625A5B" w:rsidRPr="008F03E5" w:rsidRDefault="00625A5B" w:rsidP="003800EA">
      <w:pPr>
        <w:pStyle w:val="Translit"/>
      </w:pPr>
      <w:r w:rsidRPr="001457C8">
        <w:rPr>
          <w:lang w:val="de-DE"/>
        </w:rPr>
        <w:t>Mu’id, Mu‘idun</w:t>
      </w:r>
      <w:r w:rsidRPr="001457C8">
        <w:rPr>
          <w:lang w:val="de-DE"/>
        </w:rPr>
        <w:tab/>
        <w:t xml:space="preserve">Mu‘íd, pl. </w:t>
      </w:r>
      <w:r w:rsidRPr="008F03E5">
        <w:t>Mu‘ídún</w:t>
      </w:r>
      <w:r w:rsidRPr="008F03E5">
        <w:tab/>
        <w:t>skilful, clever, experienced, able, powerful; (God) the restorer or bringer again; repetitor, tutor, trainer, coach; assistant conducting drill sessions (university)</w:t>
      </w:r>
    </w:p>
    <w:p w14:paraId="13978644" w14:textId="77777777" w:rsidR="00625A5B" w:rsidRPr="008F03E5" w:rsidRDefault="00625A5B" w:rsidP="00FD04FE">
      <w:pPr>
        <w:pStyle w:val="Translit"/>
      </w:pPr>
      <w:r w:rsidRPr="008F03E5">
        <w:t>Mu’in</w:t>
      </w:r>
      <w:r w:rsidRPr="008F03E5">
        <w:tab/>
        <w:t>Mu‘ín</w:t>
      </w:r>
      <w:r w:rsidRPr="008F03E5">
        <w:tab/>
        <w:t>Pers. an assistant</w:t>
      </w:r>
    </w:p>
    <w:p w14:paraId="37069F11" w14:textId="77777777" w:rsidR="00625A5B" w:rsidRPr="008F03E5" w:rsidRDefault="00625A5B" w:rsidP="003A4E5C">
      <w:pPr>
        <w:pStyle w:val="Translit"/>
      </w:pPr>
      <w:r w:rsidRPr="008F03E5">
        <w:t>Mu’ina</w:t>
      </w:r>
      <w:r w:rsidRPr="008F03E5">
        <w:tab/>
        <w:t>Mu‘íná</w:t>
      </w:r>
      <w:r w:rsidRPr="008F03E5">
        <w:tab/>
        <w:t xml:space="preserve">abbreviation of Mu’ín </w:t>
      </w:r>
      <w:r w:rsidRPr="008F03E5">
        <w:rPr>
          <w:rFonts w:eastAsia="PMingLiU"/>
          <w:lang w:eastAsia="zh-TW"/>
        </w:rPr>
        <w:t>Á</w:t>
      </w:r>
      <w:r w:rsidRPr="008F03E5">
        <w:rPr>
          <w:u w:val="single"/>
        </w:rPr>
        <w:t>gh</w:t>
      </w:r>
      <w:r w:rsidRPr="008F03E5">
        <w:rPr>
          <w:rFonts w:eastAsia="PMingLiU"/>
          <w:lang w:eastAsia="zh-TW"/>
        </w:rPr>
        <w:t>á</w:t>
      </w:r>
    </w:p>
    <w:p w14:paraId="14112A24" w14:textId="77777777" w:rsidR="00625A5B" w:rsidRPr="008F03E5" w:rsidRDefault="00625A5B" w:rsidP="00900A82">
      <w:pPr>
        <w:pStyle w:val="Translit"/>
      </w:pPr>
      <w:r w:rsidRPr="008F03E5">
        <w:t>Mu’inu’l-Mulk</w:t>
      </w:r>
      <w:r w:rsidRPr="008F03E5">
        <w:tab/>
        <w:t>Mu‘ínu’l-Mulk</w:t>
      </w:r>
      <w:r w:rsidRPr="008F03E5">
        <w:tab/>
      </w:r>
      <w:r w:rsidRPr="008F03E5">
        <w:rPr>
          <w:sz w:val="16"/>
          <w:szCs w:val="16"/>
        </w:rPr>
        <w:t>BKG</w:t>
      </w:r>
      <w:r w:rsidRPr="008F03E5">
        <w:t xml:space="preserve"> 397</w:t>
      </w:r>
    </w:p>
    <w:p w14:paraId="718A6E2F" w14:textId="77777777" w:rsidR="00625A5B" w:rsidRPr="008F03E5" w:rsidRDefault="00625A5B" w:rsidP="00900A82">
      <w:pPr>
        <w:pStyle w:val="Translit"/>
      </w:pPr>
      <w:r w:rsidRPr="008F03E5">
        <w:t>Mu’inu’s-Saltanih</w:t>
      </w:r>
      <w:r w:rsidRPr="008F03E5">
        <w:tab/>
        <w:t>Mu‘ínu’s-Salṭanih</w:t>
      </w:r>
      <w:r w:rsidRPr="008F03E5">
        <w:tab/>
      </w:r>
      <w:r w:rsidRPr="008F03E5">
        <w:rPr>
          <w:sz w:val="16"/>
          <w:szCs w:val="16"/>
        </w:rPr>
        <w:t>DB</w:t>
      </w:r>
      <w:r w:rsidRPr="008F03E5">
        <w:t xml:space="preserve"> 76</w:t>
      </w:r>
    </w:p>
    <w:p w14:paraId="66B1E95F" w14:textId="77777777" w:rsidR="00625A5B" w:rsidRPr="008F03E5" w:rsidRDefault="00625A5B" w:rsidP="003844B8">
      <w:pPr>
        <w:pStyle w:val="Translit"/>
      </w:pPr>
      <w:r w:rsidRPr="008F03E5">
        <w:t>Mu’issu’s-Saltanih</w:t>
      </w:r>
      <w:r w:rsidRPr="008F03E5">
        <w:tab/>
        <w:t>Mu‘íssu’s-Salṭanih</w:t>
      </w:r>
    </w:p>
    <w:p w14:paraId="5252DBB8" w14:textId="77777777" w:rsidR="00625A5B" w:rsidRPr="008F03E5" w:rsidRDefault="00625A5B" w:rsidP="00B245AB">
      <w:pPr>
        <w:pStyle w:val="Translit"/>
      </w:pPr>
      <w:r w:rsidRPr="008F03E5">
        <w:t>Mu’izz</w:t>
      </w:r>
      <w:r w:rsidRPr="008F03E5">
        <w:tab/>
        <w:t>Mu‘izz</w:t>
      </w:r>
      <w:r w:rsidRPr="008F03E5">
        <w:tab/>
        <w:t>one who honours or worships; one who strengthens; name of God, the Giver of Honour</w:t>
      </w:r>
    </w:p>
    <w:p w14:paraId="4FC4057F" w14:textId="77777777" w:rsidR="00625A5B" w:rsidRPr="008F03E5" w:rsidRDefault="00625A5B" w:rsidP="002E6752">
      <w:pPr>
        <w:pStyle w:val="Translit"/>
      </w:pPr>
      <w:r w:rsidRPr="008F03E5">
        <w:t>Mu’izzi</w:t>
      </w:r>
      <w:r w:rsidRPr="008F03E5">
        <w:tab/>
        <w:t>Mu‘izzi</w:t>
      </w:r>
      <w:r w:rsidRPr="008F03E5">
        <w:tab/>
        <w:t>Amír a</w:t>
      </w:r>
      <w:r w:rsidRPr="008F03E5">
        <w:rPr>
          <w:u w:val="single"/>
        </w:rPr>
        <w:t>sh</w:t>
      </w:r>
      <w:r w:rsidRPr="008F03E5">
        <w:t>-</w:t>
      </w:r>
      <w:r w:rsidRPr="008F03E5">
        <w:rPr>
          <w:u w:val="single"/>
        </w:rPr>
        <w:t>Sh</w:t>
      </w:r>
      <w:r w:rsidRPr="008F03E5">
        <w:t>u‘ará’ Abú ‘Abdu’lláh Muḥammad bin ‘Abd al-Malik Mu‘izzí (1048–1125) was a Persian poet.  He ranks as one of the great masters of the Persian panegyric form known as Qaṣídah.</w:t>
      </w:r>
    </w:p>
    <w:p w14:paraId="2E13C94E" w14:textId="77777777" w:rsidR="00625A5B" w:rsidRPr="008F03E5" w:rsidRDefault="00625A5B" w:rsidP="00B245AB">
      <w:pPr>
        <w:pStyle w:val="Translit"/>
      </w:pPr>
      <w:r w:rsidRPr="008F03E5">
        <w:t>Mu’jam al-Buldan</w:t>
      </w:r>
      <w:r w:rsidRPr="008F03E5">
        <w:tab/>
        <w:t>Mu‘jam al-Buldán</w:t>
      </w:r>
      <w:r w:rsidRPr="008F03E5">
        <w:tab/>
      </w:r>
      <w:r w:rsidRPr="008F03E5">
        <w:rPr>
          <w:i/>
          <w:iCs/>
        </w:rPr>
        <w:t>Dictionary of the Countries</w:t>
      </w:r>
      <w:r w:rsidRPr="008F03E5">
        <w:t xml:space="preserve"> by Yáqút</w:t>
      </w:r>
    </w:p>
    <w:p w14:paraId="481E8BF4" w14:textId="77777777" w:rsidR="00625A5B" w:rsidRPr="008F03E5" w:rsidRDefault="00625A5B" w:rsidP="00B245AB">
      <w:pPr>
        <w:pStyle w:val="Translit"/>
      </w:pPr>
      <w:r w:rsidRPr="001457C8">
        <w:rPr>
          <w:lang w:val="pl-PL"/>
        </w:rPr>
        <w:t>Mu’jam, Ma’ajim</w:t>
      </w:r>
      <w:r w:rsidRPr="001457C8">
        <w:rPr>
          <w:lang w:val="pl-PL"/>
        </w:rPr>
        <w:tab/>
        <w:t xml:space="preserve">Mu‘jam, pl. </w:t>
      </w:r>
      <w:r w:rsidRPr="008F03E5">
        <w:t>Ma‘ájim</w:t>
      </w:r>
      <w:r w:rsidRPr="008F03E5">
        <w:tab/>
        <w:t>incomprehensible, unintelligible, obscure (language, speech); dotted, provided with a diacritical point (letter);—(pl.) dictionary, lexicon</w:t>
      </w:r>
    </w:p>
    <w:p w14:paraId="56EBE894" w14:textId="77777777" w:rsidR="00625A5B" w:rsidRPr="008F03E5" w:rsidRDefault="00625A5B" w:rsidP="00353E89">
      <w:pPr>
        <w:pStyle w:val="Translit"/>
      </w:pPr>
      <w:r w:rsidRPr="00077779">
        <w:t>Mu’jiza, Mu’jizat</w:t>
      </w:r>
      <w:r w:rsidRPr="00077779">
        <w:tab/>
        <w:t xml:space="preserve">Mu‘jizá, pl. </w:t>
      </w:r>
      <w:r w:rsidRPr="008F03E5">
        <w:t>Mu‘jizát</w:t>
      </w:r>
      <w:r w:rsidRPr="008F03E5">
        <w:tab/>
        <w:t>(Mo’jaza) “making weak or feeble”, or that which renders the adversaries to the truth weak and feeble; a term used only for miracles performed by prophets</w:t>
      </w:r>
    </w:p>
    <w:p w14:paraId="334666E9" w14:textId="77777777" w:rsidR="00625A5B" w:rsidRPr="008F03E5" w:rsidRDefault="00625A5B" w:rsidP="00AB3B99">
      <w:pPr>
        <w:pStyle w:val="Translit"/>
      </w:pPr>
      <w:r w:rsidRPr="008F03E5">
        <w:t>Mu’min, Mu’minun, Mu’minin, Mu’minat</w:t>
      </w:r>
      <w:r w:rsidRPr="008F03E5">
        <w:tab/>
        <w:t>Mu’min, pl. Mu’minún and Mu’minín</w:t>
      </w:r>
      <w:r w:rsidRPr="008F03E5">
        <w:tab/>
        <w:t>(“Mumin”, Momen) believing, faithful; believer (Muslim); orthodox; an orthodox Muslim; (God) protecting, the protector or the guarantor.  Feminine mu’mina, pl. mu’minát.</w:t>
      </w:r>
    </w:p>
    <w:p w14:paraId="2EE6B6C3" w14:textId="77777777" w:rsidR="00625A5B" w:rsidRPr="008F03E5" w:rsidRDefault="00625A5B" w:rsidP="00112761">
      <w:pPr>
        <w:pStyle w:val="Translit"/>
      </w:pPr>
      <w:r w:rsidRPr="008F03E5">
        <w:t>Mu’ta, Muta</w:t>
      </w:r>
      <w:r w:rsidRPr="008F03E5">
        <w:tab/>
        <w:t>Mu’ta[h or t], Múta[h or t]</w:t>
      </w:r>
      <w:r w:rsidRPr="008F03E5">
        <w:tab/>
        <w:t xml:space="preserve">Mu’tah (where swords were formerly made) is a town 10 km </w:t>
      </w:r>
      <w:r w:rsidRPr="008F03E5">
        <w:rPr>
          <w:sz w:val="16"/>
          <w:szCs w:val="16"/>
        </w:rPr>
        <w:t>SW</w:t>
      </w:r>
      <w:r w:rsidRPr="008F03E5">
        <w:t xml:space="preserve"> al-Karak and 100 km </w:t>
      </w:r>
      <w:r w:rsidRPr="008F03E5">
        <w:rPr>
          <w:sz w:val="16"/>
          <w:szCs w:val="16"/>
        </w:rPr>
        <w:t>SSW</w:t>
      </w:r>
      <w:r w:rsidRPr="008F03E5">
        <w:t xml:space="preserve"> of Amman, in Jordan.  In Islamic tradition it is known for the Battle of Mu’tah (Ma’raka Mu’tah or </w:t>
      </w:r>
      <w:r w:rsidRPr="008F03E5">
        <w:rPr>
          <w:u w:val="single"/>
        </w:rPr>
        <w:t>Gh</w:t>
      </w:r>
      <w:r w:rsidRPr="008F03E5">
        <w:t xml:space="preserve">azwah Mu’tah) in </w:t>
      </w:r>
      <w:r w:rsidRPr="008F03E5">
        <w:rPr>
          <w:sz w:val="16"/>
          <w:szCs w:val="16"/>
        </w:rPr>
        <w:t>CE</w:t>
      </w:r>
      <w:r w:rsidRPr="008F03E5">
        <w:t xml:space="preserve"> 629, the first military engagement between Arab Muslims and the Byzantine Empire (with their Arab Christian Ghassanid vassals).  The Muslim army travelled about 860 km north from Medina to Ma‘án (Jordan), and then a further 130 km to Mu’tah).</w:t>
      </w:r>
    </w:p>
    <w:p w14:paraId="63FE2091" w14:textId="77777777" w:rsidR="00625A5B" w:rsidRPr="008F03E5" w:rsidRDefault="00625A5B" w:rsidP="00A70CF5">
      <w:pPr>
        <w:pStyle w:val="Translit"/>
      </w:pPr>
      <w:r w:rsidRPr="008F03E5">
        <w:t>Mu’tadid</w:t>
      </w:r>
      <w:r w:rsidRPr="008F03E5">
        <w:tab/>
        <w:t>Mu‘taḍid</w:t>
      </w:r>
      <w:r w:rsidRPr="008F03E5">
        <w:tab/>
        <w:t>a petitioner for justice, a plaintiff</w:t>
      </w:r>
    </w:p>
    <w:p w14:paraId="273450B1" w14:textId="77777777" w:rsidR="00625A5B" w:rsidRPr="008F03E5" w:rsidRDefault="00625A5B" w:rsidP="0048485A">
      <w:pPr>
        <w:pStyle w:val="Translit"/>
      </w:pPr>
      <w:r w:rsidRPr="008F03E5">
        <w:t>Mu’tamad</w:t>
      </w:r>
      <w:r w:rsidRPr="008F03E5">
        <w:tab/>
        <w:t>Mu‘tamad</w:t>
      </w:r>
      <w:r w:rsidRPr="008F03E5">
        <w:tab/>
        <w:t>reliable, dependable; object of reliance, support; sanctioned, approved, authorized; accredited; commissioner, authorized agent, proxy, envoy, representative; commissary, commissar</w:t>
      </w:r>
    </w:p>
    <w:p w14:paraId="1D084D00" w14:textId="77777777" w:rsidR="00625A5B" w:rsidRPr="008F03E5" w:rsidRDefault="00625A5B" w:rsidP="0077670E">
      <w:pPr>
        <w:pStyle w:val="Translit"/>
      </w:pPr>
      <w:r w:rsidRPr="008F03E5">
        <w:t>Mu’tamadu’l-Mulk</w:t>
      </w:r>
      <w:r w:rsidRPr="008F03E5">
        <w:tab/>
        <w:t>Mu‘tamadu’l-Mulk</w:t>
      </w:r>
      <w:r w:rsidRPr="008F03E5">
        <w:tab/>
        <w:t>The Trust of the Empire (official title).  Title of Manú</w:t>
      </w:r>
      <w:r w:rsidRPr="008F03E5">
        <w:rPr>
          <w:u w:val="single"/>
        </w:rPr>
        <w:t>ch</w:t>
      </w:r>
      <w:r w:rsidRPr="008F03E5">
        <w:t xml:space="preserve">ihr </w:t>
      </w:r>
      <w:r w:rsidRPr="008F03E5">
        <w:rPr>
          <w:u w:val="single"/>
        </w:rPr>
        <w:t>Kh</w:t>
      </w:r>
      <w:r w:rsidRPr="008F03E5">
        <w:t>án, Governor of Iṣfahán</w:t>
      </w:r>
    </w:p>
    <w:p w14:paraId="627EC367" w14:textId="77777777" w:rsidR="00625A5B" w:rsidRPr="008F03E5" w:rsidRDefault="00625A5B" w:rsidP="00900A82">
      <w:pPr>
        <w:pStyle w:val="Translit"/>
      </w:pPr>
      <w:r w:rsidRPr="008F03E5">
        <w:t>Mu’taman</w:t>
      </w:r>
      <w:r w:rsidRPr="008F03E5">
        <w:tab/>
        <w:t>Mu’taman</w:t>
      </w:r>
      <w:r w:rsidRPr="008F03E5">
        <w:tab/>
        <w:t>entrusted; confidant</w:t>
      </w:r>
    </w:p>
    <w:p w14:paraId="341B2E6B" w14:textId="77777777" w:rsidR="00625A5B" w:rsidRPr="008F03E5" w:rsidRDefault="00625A5B" w:rsidP="0023133F">
      <w:pPr>
        <w:pStyle w:val="Translit"/>
      </w:pPr>
      <w:r w:rsidRPr="008F03E5">
        <w:t>Mu’tamid</w:t>
      </w:r>
      <w:r w:rsidRPr="008F03E5">
        <w:tab/>
        <w:t>Mu‘tamid</w:t>
      </w:r>
      <w:r w:rsidRPr="008F03E5">
        <w:tab/>
        <w:t>one who rests or leans upon; a believer; resolved, determined</w:t>
      </w:r>
    </w:p>
    <w:p w14:paraId="11D09D35" w14:textId="77777777" w:rsidR="00625A5B" w:rsidRPr="008F03E5" w:rsidRDefault="00625A5B" w:rsidP="00F141A5">
      <w:pPr>
        <w:pStyle w:val="Translit"/>
      </w:pPr>
      <w:r w:rsidRPr="008F03E5">
        <w:t>Mu’tamidu’d-Dawl</w:t>
      </w:r>
      <w:r>
        <w:t>a</w:t>
      </w:r>
      <w:r w:rsidRPr="008F03E5">
        <w:tab/>
        <w:t>Mu‘tamidu’d-Dawl</w:t>
      </w:r>
      <w:r>
        <w:t>a</w:t>
      </w:r>
      <w:r w:rsidRPr="008F03E5">
        <w:tab/>
      </w:r>
      <w:r>
        <w:t>“</w:t>
      </w:r>
      <w:r w:rsidRPr="00F141A5">
        <w:t>State accreditor</w:t>
      </w:r>
      <w:r>
        <w:t>”, “State certifier”, “S</w:t>
      </w:r>
      <w:r w:rsidRPr="008F03E5">
        <w:t>upport of the dynasty</w:t>
      </w:r>
      <w:r>
        <w:t>”</w:t>
      </w:r>
    </w:p>
    <w:p w14:paraId="0B2BC808" w14:textId="77777777" w:rsidR="00625A5B" w:rsidRPr="00F141A5" w:rsidRDefault="00625A5B" w:rsidP="00F141A5">
      <w:pPr>
        <w:pStyle w:val="Translit"/>
      </w:pPr>
      <w:r w:rsidRPr="00F141A5">
        <w:t>Mu’tamidu’s-Saltana</w:t>
      </w:r>
      <w:r>
        <w:t>h</w:t>
      </w:r>
      <w:r w:rsidRPr="00F141A5">
        <w:tab/>
        <w:t>Mu‘tamidu’s-Salṭanah</w:t>
      </w:r>
      <w:r w:rsidRPr="00F141A5">
        <w:tab/>
        <w:t>“Reliant on</w:t>
      </w:r>
      <w:r>
        <w:t xml:space="preserve"> the Sultanate”</w:t>
      </w:r>
    </w:p>
    <w:p w14:paraId="29A5A337" w14:textId="77777777" w:rsidR="00625A5B" w:rsidRPr="0014111E" w:rsidRDefault="00625A5B" w:rsidP="0014111E">
      <w:pPr>
        <w:pStyle w:val="Translit"/>
        <w:rPr>
          <w:rFonts w:eastAsia="PMingLiU"/>
          <w:lang w:val="en-AU" w:eastAsia="zh-TW"/>
        </w:rPr>
      </w:pPr>
      <w:r w:rsidRPr="0014111E">
        <w:t>Mu’tasam</w:t>
      </w:r>
      <w:r w:rsidRPr="0014111E">
        <w:tab/>
        <w:t>Mu</w:t>
      </w:r>
      <w:r w:rsidRPr="0014111E">
        <w:rPr>
          <w:rFonts w:eastAsia="Times New Roman"/>
        </w:rPr>
        <w:t>‘</w:t>
      </w:r>
      <w:r>
        <w:rPr>
          <w:rFonts w:eastAsia="Times New Roman"/>
        </w:rPr>
        <w:t>t</w:t>
      </w:r>
      <w:r w:rsidRPr="0014111E">
        <w:t>aṣam</w:t>
      </w:r>
      <w:r>
        <w:tab/>
        <w:t>a</w:t>
      </w:r>
      <w:r w:rsidRPr="00AF4D34">
        <w:t xml:space="preserve"> place of refuge</w:t>
      </w:r>
    </w:p>
    <w:p w14:paraId="52733352" w14:textId="77777777" w:rsidR="00625A5B" w:rsidRDefault="00625A5B" w:rsidP="0011399A">
      <w:pPr>
        <w:pStyle w:val="Translit"/>
        <w:rPr>
          <w:rFonts w:eastAsia="PMingLiU"/>
          <w:lang w:eastAsia="zh-TW"/>
        </w:rPr>
      </w:pPr>
      <w:r w:rsidRPr="0014111E">
        <w:rPr>
          <w:rFonts w:eastAsia="PMingLiU"/>
          <w:lang w:val="en-AU" w:eastAsia="zh-TW"/>
        </w:rPr>
        <w:t>Mu’tasim</w:t>
      </w:r>
      <w:r w:rsidRPr="0014111E">
        <w:rPr>
          <w:lang w:val="en-AU"/>
        </w:rPr>
        <w:tab/>
      </w:r>
      <w:r w:rsidRPr="0014111E">
        <w:rPr>
          <w:rFonts w:eastAsia="PMingLiU"/>
          <w:lang w:val="en-AU" w:eastAsia="zh-TW"/>
        </w:rPr>
        <w:t>Mu‘ta</w:t>
      </w:r>
      <w:r w:rsidRPr="0014111E">
        <w:rPr>
          <w:lang w:val="en-AU"/>
        </w:rPr>
        <w:t>ṣ</w:t>
      </w:r>
      <w:r w:rsidRPr="0014111E">
        <w:rPr>
          <w:rFonts w:eastAsia="PMingLiU"/>
          <w:lang w:val="en-AU" w:eastAsia="zh-TW"/>
        </w:rPr>
        <w:t>im</w:t>
      </w:r>
      <w:r w:rsidRPr="0014111E">
        <w:rPr>
          <w:lang w:val="en-AU"/>
        </w:rPr>
        <w:tab/>
      </w:r>
      <w:r>
        <w:t>h</w:t>
      </w:r>
      <w:r w:rsidRPr="00AF4D34">
        <w:t xml:space="preserve">olding fast, clinging (to), relying (on); attendant (on); preserved, defended; abstaining, or refraining (from disobedience, </w:t>
      </w:r>
      <w:r>
        <w:t>etc.</w:t>
      </w:r>
      <w:r w:rsidRPr="00AF4D34">
        <w:t>, by the grace of God); a servant (of God)</w:t>
      </w:r>
      <w:r>
        <w:t xml:space="preserve">.  </w:t>
      </w:r>
      <w:r w:rsidRPr="0011399A">
        <w:rPr>
          <w:rFonts w:eastAsia="PMingLiU"/>
          <w:lang w:eastAsia="zh-TW"/>
        </w:rPr>
        <w:t>Abú Isḥáq Muḥammad ibn Hárún ar-Ra</w:t>
      </w:r>
      <w:r w:rsidRPr="0011399A">
        <w:rPr>
          <w:rFonts w:eastAsia="PMingLiU"/>
          <w:u w:val="single"/>
          <w:lang w:eastAsia="zh-TW"/>
        </w:rPr>
        <w:t>sh</w:t>
      </w:r>
      <w:r w:rsidRPr="0011399A">
        <w:rPr>
          <w:rFonts w:eastAsia="PMingLiU"/>
          <w:lang w:eastAsia="zh-TW"/>
        </w:rPr>
        <w:t>íd (796–842), better known by his regnal name al-Mu‘taṣim bi’lláh (literally “”He who seeks refuge in God”), was the eighth Abbasid caliph (r. 833–842).</w:t>
      </w:r>
    </w:p>
    <w:p w14:paraId="2884AF6D" w14:textId="77777777" w:rsidR="00625A5B" w:rsidRPr="006165F9" w:rsidRDefault="00625A5B" w:rsidP="00F7030A">
      <w:pPr>
        <w:pStyle w:val="Translit"/>
        <w:rPr>
          <w:lang w:val="en-AU"/>
        </w:rPr>
      </w:pPr>
      <w:r w:rsidRPr="006165F9">
        <w:rPr>
          <w:lang w:val="en-AU"/>
        </w:rPr>
        <w:t>Mu’tazil</w:t>
      </w:r>
      <w:r w:rsidRPr="006165F9">
        <w:rPr>
          <w:lang w:val="en-AU"/>
        </w:rPr>
        <w:tab/>
        <w:t>Mu‘tazil</w:t>
      </w:r>
      <w:r w:rsidRPr="006165F9">
        <w:rPr>
          <w:lang w:val="en-AU"/>
        </w:rPr>
        <w:tab/>
        <w:t>seceder, dissenter, separatist</w:t>
      </w:r>
    </w:p>
    <w:p w14:paraId="054AABE3" w14:textId="77777777" w:rsidR="00625A5B" w:rsidRPr="008F03E5" w:rsidRDefault="00625A5B" w:rsidP="00DA2F91">
      <w:pPr>
        <w:pStyle w:val="Translit"/>
      </w:pPr>
      <w:r w:rsidRPr="00ED3BB9">
        <w:rPr>
          <w:lang w:val="en-AU"/>
        </w:rPr>
        <w:t>Mu’tazila</w:t>
      </w:r>
      <w:r w:rsidRPr="00ED3BB9">
        <w:rPr>
          <w:lang w:val="en-AU"/>
        </w:rPr>
        <w:tab/>
        <w:t>Mu‘tazila[h or t]</w:t>
      </w:r>
      <w:r w:rsidRPr="00ED3BB9">
        <w:rPr>
          <w:lang w:val="en-AU"/>
        </w:rPr>
        <w:tab/>
        <w:t xml:space="preserve">followers in English:  Mu‘tazilite.  </w:t>
      </w:r>
      <w:r w:rsidRPr="008F03E5">
        <w:t>An offshoot sect of the qadaríyat.  They believed in monotheism, divine unity, justice and free will; use of reasoning and logic by a sane mind to analyze religious texts and doctrines.  If a literal meaning of the Qur’án is consistent with the rest of scripture, the main themes of the Qur’án, the basic tenets of Islám, and the well-known facts, then interpretation, in the sense of moving away from the literal meaning, is not justified.  If a contradiction results from adopting the literal meaning, then an interpretation (closest to the literal) is warranted.  The transmission of the oral ḥadí</w:t>
      </w:r>
      <w:r w:rsidRPr="008F03E5">
        <w:rPr>
          <w:u w:val="single"/>
        </w:rPr>
        <w:t>th</w:t>
      </w:r>
      <w:r w:rsidRPr="008F03E5">
        <w:t xml:space="preserve"> was considered not sufficiently reliable.</w:t>
      </w:r>
    </w:p>
    <w:p w14:paraId="1CB0DB4A" w14:textId="77777777" w:rsidR="00625A5B" w:rsidRPr="001457C8" w:rsidRDefault="00625A5B" w:rsidP="00EC5787">
      <w:pPr>
        <w:pStyle w:val="Translit"/>
        <w:rPr>
          <w:lang w:val="de-DE"/>
        </w:rPr>
      </w:pPr>
      <w:r w:rsidRPr="001457C8">
        <w:rPr>
          <w:lang w:val="de-DE"/>
        </w:rPr>
        <w:t>Mu’tazili</w:t>
      </w:r>
      <w:r w:rsidRPr="001457C8">
        <w:rPr>
          <w:lang w:val="de-DE"/>
        </w:rPr>
        <w:tab/>
        <w:t>Mu‘tazilí</w:t>
      </w:r>
      <w:r w:rsidRPr="001457C8">
        <w:rPr>
          <w:lang w:val="de-DE"/>
        </w:rPr>
        <w:tab/>
        <w:t>dissenter, separatist, seceder; an infidel, an atheist</w:t>
      </w:r>
    </w:p>
    <w:p w14:paraId="47D965B9" w14:textId="77777777" w:rsidR="00625A5B" w:rsidRPr="008F03E5" w:rsidRDefault="00625A5B" w:rsidP="00360574">
      <w:pPr>
        <w:pStyle w:val="Translit"/>
      </w:pPr>
      <w:r w:rsidRPr="008F03E5">
        <w:t>Mu’zam</w:t>
      </w:r>
      <w:r w:rsidRPr="008F03E5">
        <w:tab/>
        <w:t>Mu</w:t>
      </w:r>
      <w:r w:rsidRPr="008F03E5">
        <w:rPr>
          <w:rFonts w:eastAsia="Times New Roman"/>
        </w:rPr>
        <w:t>‘</w:t>
      </w:r>
      <w:r w:rsidRPr="008F03E5">
        <w:t>ẓam</w:t>
      </w:r>
      <w:r w:rsidRPr="008F03E5">
        <w:tab/>
        <w:t>the greater part, or better sort (of anything); the mass or major part, the gross, the bulk (of).  Mu‘ẓam al-Infiṣál al-‘Aẓím (Most Great Separation), 10 March 1866 in Edirne (Adrianople), of “believers” into Bahá’ís and Azalís, and of the separation of believers from Gog and Magog (Mírzá Yaḥyá and Siyyid Muḥammad-i-Iṣfahání).</w:t>
      </w:r>
    </w:p>
    <w:p w14:paraId="7A203AC0" w14:textId="77777777" w:rsidR="00625A5B" w:rsidRPr="0070704A" w:rsidRDefault="00625A5B" w:rsidP="003277C7">
      <w:pPr>
        <w:pStyle w:val="Translit"/>
      </w:pPr>
      <w:r w:rsidRPr="0070704A">
        <w:t>Mubagajian</w:t>
      </w:r>
      <w:r w:rsidRPr="0070704A">
        <w:tab/>
        <w:t>Mubagajian</w:t>
      </w:r>
      <w:r w:rsidRPr="0070704A">
        <w:tab/>
        <w:t xml:space="preserve">Armenian.  </w:t>
      </w:r>
      <w:r>
        <w:t xml:space="preserve">Sargis (Latin Sergius) </w:t>
      </w:r>
      <w:r w:rsidRPr="0070704A">
        <w:t>Mubagajian (1860–1937), better known by his pen name “Atrpet” (“Master”), was a prolific and multifarious Armenian writer.  He published two books about the Bábí Faith with purported photographs and drawings of the Báb and some prominent Bábí figures.</w:t>
      </w:r>
    </w:p>
    <w:p w14:paraId="417AE211" w14:textId="77777777" w:rsidR="00625A5B" w:rsidRPr="008F03E5" w:rsidRDefault="00625A5B" w:rsidP="003A0B42">
      <w:pPr>
        <w:pStyle w:val="Translit"/>
      </w:pPr>
      <w:r w:rsidRPr="00077779">
        <w:t>Mubahala, Mubahilih</w:t>
      </w:r>
      <w:r w:rsidRPr="00077779">
        <w:tab/>
        <w:t xml:space="preserve">Mubáhala[h or t], Pers. </w:t>
      </w:r>
      <w:r w:rsidRPr="008F03E5">
        <w:t>Mubáhilih</w:t>
      </w:r>
      <w:r w:rsidRPr="008F03E5">
        <w:tab/>
        <w:t>cursing; wishing evil to another; execration; “withdrawing mercy from one who lies or engages in falsehood”.  In Qur’án 3.61, invocation of God’s curse (</w:t>
      </w:r>
      <w:r w:rsidRPr="008F03E5">
        <w:rPr>
          <w:i/>
          <w:iCs/>
        </w:rPr>
        <w:t>la‘nat Alláh</w:t>
      </w:r>
      <w:r w:rsidRPr="008F03E5">
        <w:t>) was mentioned as a decisive solution to the dispute over Jesus between the Christians of Najrán and Muḥammad.  Alláh ordered Muḥammad to call on the Christians to invoke God’s curse (</w:t>
      </w:r>
      <w:r w:rsidRPr="008F03E5">
        <w:rPr>
          <w:i/>
          <w:iCs/>
        </w:rPr>
        <w:t>mubáhala</w:t>
      </w:r>
      <w:r w:rsidRPr="008F03E5">
        <w:t>) upon those who are intentionally unjust in their claim in order to determine who was telling the truth, they refused.  Praying for God to curse the liar regarding religious disputes is an ancient Arabic tradition.</w:t>
      </w:r>
    </w:p>
    <w:p w14:paraId="223F8BDB" w14:textId="77777777" w:rsidR="00625A5B" w:rsidRPr="008F03E5" w:rsidRDefault="00625A5B" w:rsidP="0042453B">
      <w:pPr>
        <w:pStyle w:val="Translit"/>
      </w:pPr>
      <w:r w:rsidRPr="008F03E5">
        <w:t>Muballigh, Muballighat, Muballighun</w:t>
      </w:r>
      <w:r w:rsidRPr="008F03E5">
        <w:tab/>
        <w:t>Muballi</w:t>
      </w:r>
      <w:r w:rsidRPr="008F03E5">
        <w:rPr>
          <w:u w:val="single"/>
        </w:rPr>
        <w:t>gh</w:t>
      </w:r>
      <w:r w:rsidRPr="008F03E5">
        <w:t>, pl. Muballi</w:t>
      </w:r>
      <w:r w:rsidRPr="008F03E5">
        <w:rPr>
          <w:u w:val="single"/>
        </w:rPr>
        <w:t>gh</w:t>
      </w:r>
      <w:r w:rsidRPr="008F03E5">
        <w:t>át, Muballi</w:t>
      </w:r>
      <w:r w:rsidRPr="008F03E5">
        <w:rPr>
          <w:u w:val="single"/>
        </w:rPr>
        <w:t>gh</w:t>
      </w:r>
      <w:r w:rsidRPr="008F03E5">
        <w:t>ún</w:t>
      </w:r>
      <w:r w:rsidRPr="008F03E5">
        <w:tab/>
        <w:t>(Mu + balli</w:t>
      </w:r>
      <w:r w:rsidRPr="008F03E5">
        <w:rPr>
          <w:u w:val="single"/>
        </w:rPr>
        <w:t>gh</w:t>
      </w:r>
      <w:r w:rsidRPr="008F03E5">
        <w:t>) bearer (of news), messenger; informer, denouncer; detective.  Fem. mubalá</w:t>
      </w:r>
      <w:r w:rsidRPr="008F03E5">
        <w:rPr>
          <w:u w:val="single"/>
        </w:rPr>
        <w:t>gh</w:t>
      </w:r>
      <w:r w:rsidRPr="008F03E5">
        <w:t>a[h].  Name given to Bahá’í teachers or “missionaries” (especially those on journeys to spread the Bahá’í Faith).  In Írán, very knowledgeable Bahá’ís (usually scholars of high stature and good communicators) whose responsibility was to travel and teach the Bahá’í Faith.</w:t>
      </w:r>
    </w:p>
    <w:p w14:paraId="7AE516B0" w14:textId="77777777" w:rsidR="00625A5B" w:rsidRPr="008F03E5" w:rsidRDefault="00625A5B" w:rsidP="00AE3635">
      <w:pPr>
        <w:pStyle w:val="Translit"/>
      </w:pPr>
      <w:r w:rsidRPr="008F03E5">
        <w:t>Mubarak</w:t>
      </w:r>
      <w:r w:rsidRPr="008F03E5">
        <w:tab/>
        <w:t>Mubárak</w:t>
      </w:r>
      <w:r w:rsidRPr="008F03E5">
        <w:tab/>
        <w:t>blessed, happy, fortunate, lucky auspicious; august; sacred, holy; welcome.  A title of Bahá’u’lláh:  Jamál-i-Mubárak, the Blessed Beauty.</w:t>
      </w:r>
    </w:p>
    <w:p w14:paraId="41A45EBD" w14:textId="77777777" w:rsidR="00625A5B" w:rsidRPr="008F03E5" w:rsidRDefault="00625A5B" w:rsidP="003A5E43">
      <w:pPr>
        <w:pStyle w:val="Translit"/>
      </w:pPr>
      <w:r w:rsidRPr="008F03E5">
        <w:t>Mubaraka</w:t>
      </w:r>
      <w:r w:rsidRPr="008F03E5">
        <w:tab/>
        <w:t>Mubáraka[t], Pers. Mubárakih</w:t>
      </w:r>
      <w:r w:rsidRPr="008F03E5">
        <w:tab/>
        <w:t>(God) blessing (man), prospering (him)</w:t>
      </w:r>
    </w:p>
    <w:p w14:paraId="59D35BCA" w14:textId="77777777" w:rsidR="00625A5B" w:rsidRPr="008F03E5" w:rsidRDefault="00625A5B" w:rsidP="00732978">
      <w:pPr>
        <w:pStyle w:val="Translit"/>
      </w:pPr>
      <w:r w:rsidRPr="008F03E5">
        <w:t>Mubashshir, Mubashshirat</w:t>
      </w:r>
      <w:r w:rsidRPr="008F03E5">
        <w:tab/>
        <w:t>Muba</w:t>
      </w:r>
      <w:r w:rsidRPr="008F03E5">
        <w:rPr>
          <w:u w:val="single"/>
        </w:rPr>
        <w:t>shsh</w:t>
      </w:r>
      <w:r w:rsidRPr="008F03E5">
        <w:t>ir, pl. Muba</w:t>
      </w:r>
      <w:r w:rsidRPr="008F03E5">
        <w:rPr>
          <w:u w:val="single"/>
        </w:rPr>
        <w:t>shsh</w:t>
      </w:r>
      <w:r w:rsidRPr="008F03E5">
        <w:t>irát</w:t>
      </w:r>
      <w:r w:rsidRPr="008F03E5">
        <w:tab/>
        <w:t>announcer, messenger (of glad tidings); evangelist (Chr.); preacher; missionary (Christian)</w:t>
      </w:r>
    </w:p>
    <w:p w14:paraId="1C753A23" w14:textId="77777777" w:rsidR="00625A5B" w:rsidRPr="008F03E5" w:rsidRDefault="00625A5B" w:rsidP="00AF2AC5">
      <w:pPr>
        <w:pStyle w:val="Translit"/>
      </w:pPr>
      <w:r w:rsidRPr="008F03E5">
        <w:t>Mubassir</w:t>
      </w:r>
      <w:r w:rsidRPr="008F03E5">
        <w:tab/>
        <w:t>Mubaṣṣir</w:t>
      </w:r>
      <w:r w:rsidRPr="008F03E5">
        <w:tab/>
        <w:t>one who shows, renders quick-sighted, or causes to understand; provident, penetrating</w:t>
      </w:r>
    </w:p>
    <w:p w14:paraId="58441DD1" w14:textId="77777777" w:rsidR="00625A5B" w:rsidRPr="008F03E5" w:rsidRDefault="00625A5B" w:rsidP="00E5288C">
      <w:pPr>
        <w:pStyle w:val="Translit"/>
      </w:pPr>
      <w:r w:rsidRPr="008F03E5">
        <w:t>Mubayyin (Mubaiyin)</w:t>
      </w:r>
      <w:r w:rsidRPr="008F03E5">
        <w:tab/>
        <w:t>Mubayyin</w:t>
      </w:r>
      <w:r w:rsidRPr="008F03E5">
        <w:tab/>
        <w:t>(mu-bayyin) illustrative, explanatory; a declarer; the “expounder” and the “interpreter” (W&amp;T of ‘Abdu’l-Bahá)</w:t>
      </w:r>
    </w:p>
    <w:p w14:paraId="4838B13E" w14:textId="77777777" w:rsidR="00625A5B" w:rsidRPr="008F03E5" w:rsidRDefault="00625A5B" w:rsidP="00CA716A">
      <w:pPr>
        <w:pStyle w:val="Translit"/>
      </w:pPr>
      <w:r w:rsidRPr="008F03E5">
        <w:t>Mubayyin-i-kitab</w:t>
      </w:r>
      <w:r w:rsidRPr="008F03E5">
        <w:tab/>
        <w:t>Mubayyin-i-Kitáb</w:t>
      </w:r>
      <w:r w:rsidRPr="008F03E5">
        <w:tab/>
        <w:t>“Interpreter of the Book” (‘Abdu’l-Bahá, p. 11)</w:t>
      </w:r>
    </w:p>
    <w:p w14:paraId="41F47AF4" w14:textId="77777777" w:rsidR="00625A5B" w:rsidRPr="008F03E5" w:rsidRDefault="00625A5B" w:rsidP="0049520E">
      <w:pPr>
        <w:pStyle w:val="Translit"/>
      </w:pPr>
      <w:r w:rsidRPr="008F03E5">
        <w:t>Mubdi</w:t>
      </w:r>
      <w:r w:rsidRPr="008F03E5">
        <w:tab/>
        <w:t>Mubdi‘</w:t>
      </w:r>
      <w:r w:rsidRPr="008F03E5">
        <w:tab/>
        <w:t>who first produces, creator, author, originator, inventor, founder; a heretic, heresiarch, religious innovator</w:t>
      </w:r>
    </w:p>
    <w:p w14:paraId="5B1DBDE7" w14:textId="77777777" w:rsidR="00625A5B" w:rsidRPr="008F03E5" w:rsidRDefault="00625A5B" w:rsidP="003C4F7D">
      <w:pPr>
        <w:pStyle w:val="Translit"/>
      </w:pPr>
      <w:r w:rsidRPr="008F03E5">
        <w:t>Mubid, Mawbad (Maubid), Mubad</w:t>
      </w:r>
      <w:r w:rsidRPr="008F03E5">
        <w:tab/>
        <w:t>Múbid, Mawbad, Múbad</w:t>
      </w:r>
      <w:r w:rsidRPr="008F03E5">
        <w:tab/>
        <w:t>Pers., from ma</w:t>
      </w:r>
      <w:r w:rsidRPr="008F03E5">
        <w:rPr>
          <w:u w:val="single"/>
        </w:rPr>
        <w:t>gh</w:t>
      </w:r>
      <w:r w:rsidRPr="008F03E5">
        <w:t>ú (mu</w:t>
      </w:r>
      <w:r w:rsidRPr="008F03E5">
        <w:rPr>
          <w:u w:val="single"/>
        </w:rPr>
        <w:t>gh</w:t>
      </w:r>
      <w:r w:rsidRPr="008F03E5">
        <w:t>) + bid.  mobad, chief of the Magi (Zoroastrian priest); a Pársí, especially one of their priests; a doctor, philosopher, any man of great wisdom whose sayings are quoted; one who administers justice; a judge, especially of the Jews; a wazír, a councillor of state</w:t>
      </w:r>
    </w:p>
    <w:p w14:paraId="1F0B29E7" w14:textId="77777777" w:rsidR="00625A5B" w:rsidRPr="008F03E5" w:rsidRDefault="00625A5B" w:rsidP="00CE0888">
      <w:pPr>
        <w:pStyle w:val="Translit"/>
      </w:pPr>
      <w:r w:rsidRPr="008F03E5">
        <w:t>Mubin</w:t>
      </w:r>
      <w:r w:rsidRPr="008F03E5">
        <w:tab/>
        <w:t>Mubín</w:t>
      </w:r>
      <w:r w:rsidRPr="008F03E5">
        <w:tab/>
        <w:t>(“mobine”) clear, plain, evident, obvious, patent (particularly with respect to the meaning of revelation).  A range of meanings as used in the Qur’án:  1.  eloquent, expressing things clearly, perspicuous (5:92); 2.  clear, manifest (6:16); 3.  flagrant (7:60); 4.  plainly visible (7:107); and 5.  clearly decisive (48:1).</w:t>
      </w:r>
    </w:p>
    <w:p w14:paraId="0A533460" w14:textId="77777777" w:rsidR="00625A5B" w:rsidRPr="008F03E5" w:rsidRDefault="00625A5B" w:rsidP="0082313A">
      <w:pPr>
        <w:pStyle w:val="Translit"/>
      </w:pPr>
      <w:r w:rsidRPr="008F03E5">
        <w:t>Mubtadi’, Mubtadi’un</w:t>
      </w:r>
      <w:r w:rsidRPr="008F03E5">
        <w:tab/>
        <w:t>Mubtadi’, pl. Mubtadi’ún</w:t>
      </w:r>
      <w:r w:rsidRPr="008F03E5">
        <w:tab/>
        <w:t>beginning; beginner; novice (Christian)</w:t>
      </w:r>
    </w:p>
    <w:p w14:paraId="350CF5DB" w14:textId="77777777" w:rsidR="00625A5B" w:rsidRPr="008F03E5" w:rsidRDefault="00625A5B" w:rsidP="00723D73">
      <w:pPr>
        <w:pStyle w:val="Translit"/>
      </w:pPr>
      <w:r w:rsidRPr="008F03E5">
        <w:t>Mubtil, Mubattil, Mubtilun</w:t>
      </w:r>
      <w:r w:rsidRPr="008F03E5">
        <w:tab/>
        <w:t>Mubṭil, Mubaṭṭal, pl. Mubṭilún</w:t>
      </w:r>
      <w:r w:rsidRPr="008F03E5">
        <w:tab/>
        <w:t>Pers. who or what invalidates; frustrative; a defacer, destroyer; one who embellishes his speech with lies</w:t>
      </w:r>
    </w:p>
    <w:p w14:paraId="4D40A820" w14:textId="77777777" w:rsidR="00625A5B" w:rsidRPr="008F03E5" w:rsidRDefault="00625A5B" w:rsidP="008A7DE7">
      <w:pPr>
        <w:pStyle w:val="Translit"/>
      </w:pPr>
      <w:r w:rsidRPr="008F03E5">
        <w:t>Mudabbir</w:t>
      </w:r>
      <w:r w:rsidRPr="008F03E5">
        <w:tab/>
        <w:t>Mudabbir</w:t>
      </w:r>
      <w:r w:rsidRPr="008F03E5">
        <w:tab/>
        <w:t>manager, director; ruler, disposer; leader; ringleader</w:t>
      </w:r>
    </w:p>
    <w:p w14:paraId="447EBE19" w14:textId="77777777" w:rsidR="00625A5B" w:rsidRPr="008F03E5" w:rsidRDefault="00625A5B" w:rsidP="00C23C45">
      <w:pPr>
        <w:pStyle w:val="Translit"/>
      </w:pPr>
      <w:r w:rsidRPr="008F03E5">
        <w:t>Mudaf</w:t>
      </w:r>
      <w:r w:rsidRPr="008F03E5">
        <w:tab/>
        <w:t>Muḍáf</w:t>
      </w:r>
      <w:r w:rsidRPr="008F03E5">
        <w:tab/>
        <w:t xml:space="preserve">added, subjoined, adjoined, apposed; construct state (grammar).  muḍáf ilayh the second, or governed, noun of a genitive construction (grammar).  Muḍáf in Islamic jurisprudence (Fiqh) refers to mixed water.  c.f. </w:t>
      </w:r>
      <w:r w:rsidRPr="008F03E5">
        <w:rPr>
          <w:rFonts w:eastAsia="PMingLiU"/>
          <w:lang w:eastAsia="zh-TW"/>
        </w:rPr>
        <w:t>Mu</w:t>
      </w:r>
      <w:r w:rsidRPr="008F03E5">
        <w:t>ṭ</w:t>
      </w:r>
      <w:r w:rsidRPr="008F03E5">
        <w:rPr>
          <w:rFonts w:eastAsia="PMingLiU"/>
          <w:lang w:eastAsia="zh-TW"/>
        </w:rPr>
        <w:t>laq.</w:t>
      </w:r>
    </w:p>
    <w:p w14:paraId="4D4FA331" w14:textId="77777777" w:rsidR="00625A5B" w:rsidRPr="008F03E5" w:rsidRDefault="00625A5B" w:rsidP="008B06FC">
      <w:pPr>
        <w:pStyle w:val="Translit"/>
      </w:pPr>
      <w:r w:rsidRPr="008F03E5">
        <w:t>Mudafa’at</w:t>
      </w:r>
      <w:r w:rsidRPr="008F03E5">
        <w:tab/>
        <w:t>Mudáfa‘at</w:t>
      </w:r>
      <w:r w:rsidRPr="008F03E5">
        <w:tab/>
        <w:t>repulsing, defending oneself, resisting, averting, prohibiting, checking; protracting, delaying; deferring payment of a debt</w:t>
      </w:r>
    </w:p>
    <w:p w14:paraId="03346E0A" w14:textId="77777777" w:rsidR="00625A5B" w:rsidRPr="008F03E5" w:rsidRDefault="00625A5B" w:rsidP="00852714">
      <w:pPr>
        <w:pStyle w:val="Translit"/>
      </w:pPr>
      <w:r w:rsidRPr="008F03E5">
        <w:t>Mudallil</w:t>
      </w:r>
      <w:r w:rsidRPr="008F03E5">
        <w:tab/>
        <w:t>Mudallil</w:t>
      </w:r>
      <w:r w:rsidRPr="008F03E5">
        <w:tab/>
        <w:t>dallying, fondling; coquettish; a coaxer, wheedler</w:t>
      </w:r>
    </w:p>
    <w:p w14:paraId="0D6E23F1" w14:textId="77777777" w:rsidR="00625A5B" w:rsidRPr="008F03E5" w:rsidRDefault="00625A5B" w:rsidP="00433143">
      <w:pPr>
        <w:pStyle w:val="Translit"/>
      </w:pPr>
      <w:r w:rsidRPr="008F03E5">
        <w:t>Mudammira, Mudammirat</w:t>
      </w:r>
      <w:r w:rsidRPr="008F03E5">
        <w:tab/>
        <w:t>Mudammira, pl. Mudammirát</w:t>
      </w:r>
      <w:r w:rsidRPr="008F03E5">
        <w:tab/>
        <w:t>destroyer (nautics)</w:t>
      </w:r>
    </w:p>
    <w:p w14:paraId="556591C5" w14:textId="77777777" w:rsidR="00625A5B" w:rsidRPr="008F03E5" w:rsidRDefault="00625A5B" w:rsidP="00F25347">
      <w:pPr>
        <w:pStyle w:val="Translit"/>
      </w:pPr>
      <w:r w:rsidRPr="008F03E5">
        <w:t>Mudarris, Mudarrisun</w:t>
      </w:r>
      <w:r w:rsidRPr="008F03E5">
        <w:tab/>
        <w:t>Mudarris, pl. Mudarrisún</w:t>
      </w:r>
      <w:r w:rsidRPr="008F03E5">
        <w:tab/>
        <w:t>teacher, instructor; lecturer, professor</w:t>
      </w:r>
    </w:p>
    <w:p w14:paraId="34960C68" w14:textId="77777777" w:rsidR="00625A5B" w:rsidRPr="008F03E5" w:rsidRDefault="00625A5B" w:rsidP="00D15736">
      <w:pPr>
        <w:pStyle w:val="Translit"/>
      </w:pPr>
      <w:r w:rsidRPr="008F03E5">
        <w:t>Mudda, Mudad</w:t>
      </w:r>
      <w:r w:rsidRPr="008F03E5">
        <w:tab/>
        <w:t>Mudda[h or t], pl. Mudad</w:t>
      </w:r>
      <w:r w:rsidRPr="008F03E5">
        <w:tab/>
        <w:t>period (of time), space of time, interval; while; duration; limited or appointed time, term</w:t>
      </w:r>
    </w:p>
    <w:p w14:paraId="7B66C373" w14:textId="77777777" w:rsidR="00625A5B" w:rsidRPr="008F03E5" w:rsidRDefault="00625A5B" w:rsidP="00FA45AC">
      <w:pPr>
        <w:pStyle w:val="Translit"/>
      </w:pPr>
      <w:r w:rsidRPr="008F03E5">
        <w:t>Muddaththir</w:t>
      </w:r>
      <w:r w:rsidRPr="008F03E5">
        <w:tab/>
        <w:t>Mudda</w:t>
      </w:r>
      <w:r w:rsidRPr="008F03E5">
        <w:rPr>
          <w:u w:val="single"/>
        </w:rPr>
        <w:t>thth</w:t>
      </w:r>
      <w:r w:rsidRPr="008F03E5">
        <w:t>ir</w:t>
      </w:r>
      <w:r w:rsidRPr="008F03E5">
        <w:tab/>
        <w:t>one who is wrapping himself up</w:t>
      </w:r>
    </w:p>
    <w:p w14:paraId="30651288" w14:textId="77777777" w:rsidR="00625A5B" w:rsidRPr="008F03E5" w:rsidRDefault="00625A5B" w:rsidP="008350B3">
      <w:pPr>
        <w:pStyle w:val="Translit"/>
      </w:pPr>
      <w:r w:rsidRPr="008F03E5">
        <w:t>Mudgha, Mudagh</w:t>
      </w:r>
      <w:r w:rsidRPr="008F03E5">
        <w:tab/>
        <w:t>Muḍ</w:t>
      </w:r>
      <w:r w:rsidRPr="008F03E5">
        <w:rPr>
          <w:u w:val="single"/>
        </w:rPr>
        <w:t>gh</w:t>
      </w:r>
      <w:r w:rsidRPr="008F03E5">
        <w:t>a, pl. Muḍa</w:t>
      </w:r>
      <w:r w:rsidRPr="008F03E5">
        <w:rPr>
          <w:u w:val="single"/>
        </w:rPr>
        <w:t>gh</w:t>
      </w:r>
      <w:r w:rsidRPr="008F03E5">
        <w:tab/>
        <w:t xml:space="preserve">something to be chewed; bite, bit, morsel; small chunk of meat; embryo.  </w:t>
      </w:r>
      <w:r w:rsidRPr="008F03E5">
        <w:rPr>
          <w:lang w:eastAsia="en-US"/>
        </w:rPr>
        <w:t>Qur’án 23:13–14:  stages of embryo development:  1.  life-germ (</w:t>
      </w:r>
      <w:r w:rsidRPr="008F03E5">
        <w:rPr>
          <w:i/>
          <w:iCs/>
          <w:lang w:eastAsia="en-US"/>
        </w:rPr>
        <w:t>nuṭfa</w:t>
      </w:r>
      <w:r w:rsidRPr="008F03E5">
        <w:rPr>
          <w:lang w:eastAsia="en-US"/>
        </w:rPr>
        <w:t>)  2.  clot (</w:t>
      </w:r>
      <w:r w:rsidRPr="008F03E5">
        <w:rPr>
          <w:i/>
          <w:iCs/>
          <w:lang w:eastAsia="en-US"/>
        </w:rPr>
        <w:t>‘alaqa</w:t>
      </w:r>
      <w:r w:rsidRPr="008F03E5">
        <w:rPr>
          <w:lang w:eastAsia="en-US"/>
        </w:rPr>
        <w:t>)  3.  a morsel of flesh (</w:t>
      </w:r>
      <w:r w:rsidRPr="008F03E5">
        <w:rPr>
          <w:i/>
          <w:iCs/>
          <w:lang w:eastAsia="en-US"/>
        </w:rPr>
        <w:t>muḍ</w:t>
      </w:r>
      <w:r w:rsidRPr="008F03E5">
        <w:rPr>
          <w:i/>
          <w:iCs/>
          <w:u w:val="single"/>
          <w:lang w:eastAsia="en-US"/>
        </w:rPr>
        <w:t>gh</w:t>
      </w:r>
      <w:r w:rsidRPr="008F03E5">
        <w:rPr>
          <w:i/>
          <w:iCs/>
          <w:lang w:eastAsia="en-US"/>
        </w:rPr>
        <w:t>a</w:t>
      </w:r>
      <w:r w:rsidRPr="008F03E5">
        <w:rPr>
          <w:lang w:eastAsia="en-US"/>
        </w:rPr>
        <w:t>)  4.  bones (</w:t>
      </w:r>
      <w:r w:rsidRPr="008F03E5">
        <w:rPr>
          <w:i/>
          <w:iCs/>
          <w:lang w:eastAsia="en-US"/>
        </w:rPr>
        <w:t>‘iẓám</w:t>
      </w:r>
      <w:r w:rsidRPr="008F03E5">
        <w:rPr>
          <w:lang w:eastAsia="en-US"/>
        </w:rPr>
        <w:t>)  5.  flesh (</w:t>
      </w:r>
      <w:r w:rsidRPr="008F03E5">
        <w:rPr>
          <w:i/>
          <w:iCs/>
          <w:lang w:eastAsia="en-US"/>
        </w:rPr>
        <w:t>laḥm</w:t>
      </w:r>
      <w:r w:rsidRPr="008F03E5">
        <w:rPr>
          <w:lang w:eastAsia="en-US"/>
        </w:rPr>
        <w:t>) and 6.  another creation (</w:t>
      </w:r>
      <w:r w:rsidRPr="008F03E5">
        <w:rPr>
          <w:i/>
          <w:iCs/>
          <w:u w:val="single"/>
          <w:lang w:eastAsia="en-US"/>
        </w:rPr>
        <w:t>kh</w:t>
      </w:r>
      <w:r w:rsidRPr="008F03E5">
        <w:rPr>
          <w:i/>
          <w:iCs/>
          <w:lang w:eastAsia="en-US"/>
        </w:rPr>
        <w:t>alqan á</w:t>
      </w:r>
      <w:r w:rsidRPr="008F03E5">
        <w:rPr>
          <w:i/>
          <w:iCs/>
          <w:u w:val="single"/>
          <w:lang w:eastAsia="en-US"/>
        </w:rPr>
        <w:t>kh</w:t>
      </w:r>
      <w:r w:rsidRPr="008F03E5">
        <w:rPr>
          <w:i/>
          <w:iCs/>
          <w:lang w:eastAsia="en-US"/>
        </w:rPr>
        <w:t>ar</w:t>
      </w:r>
      <w:r w:rsidRPr="008F03E5">
        <w:rPr>
          <w:lang w:eastAsia="en-US"/>
        </w:rPr>
        <w:t>), during which the spirit enters the body.  Interpeted by Sayyid Káẓim Ra</w:t>
      </w:r>
      <w:r w:rsidRPr="008F03E5">
        <w:rPr>
          <w:u w:val="single"/>
          <w:lang w:eastAsia="en-US"/>
        </w:rPr>
        <w:t>sh</w:t>
      </w:r>
      <w:r w:rsidRPr="008F03E5">
        <w:rPr>
          <w:lang w:eastAsia="en-US"/>
        </w:rPr>
        <w:t xml:space="preserve">tí as stages in human spiritual progress corresponding to the appearance of Adam; Noah; Abraham; Moses; Jesus; and Muḥammad.  </w:t>
      </w:r>
      <w:r w:rsidRPr="008F03E5">
        <w:t>Stages refer also to the six days of creation in (Qur’án 11:7) and in formation of the universe (</w:t>
      </w:r>
      <w:r w:rsidRPr="008F03E5">
        <w:rPr>
          <w:u w:val="single"/>
          <w:lang w:eastAsia="en-US"/>
        </w:rPr>
        <w:t>Sh</w:t>
      </w:r>
      <w:r w:rsidRPr="008F03E5">
        <w:rPr>
          <w:lang w:eastAsia="en-US"/>
        </w:rPr>
        <w:t>ay</w:t>
      </w:r>
      <w:r w:rsidRPr="008F03E5">
        <w:rPr>
          <w:u w:val="single"/>
          <w:lang w:eastAsia="en-US"/>
        </w:rPr>
        <w:t>kh</w:t>
      </w:r>
      <w:r w:rsidRPr="008F03E5">
        <w:rPr>
          <w:lang w:eastAsia="en-US"/>
        </w:rPr>
        <w:t xml:space="preserve"> Aḥmad Aḥsá’í).  </w:t>
      </w:r>
      <w:r w:rsidRPr="008F03E5">
        <w:rPr>
          <w:i/>
          <w:iCs/>
        </w:rPr>
        <w:t>The development of Shaykhí thought in Shí‘í Islam</w:t>
      </w:r>
      <w:r w:rsidRPr="008F03E5">
        <w:t>, p. 170.</w:t>
      </w:r>
    </w:p>
    <w:p w14:paraId="3084B9B5" w14:textId="77777777" w:rsidR="00625A5B" w:rsidRPr="008F03E5" w:rsidRDefault="00625A5B" w:rsidP="006F346F">
      <w:pPr>
        <w:pStyle w:val="Translit"/>
      </w:pPr>
      <w:r w:rsidRPr="008F03E5">
        <w:t>Mudhahhab</w:t>
      </w:r>
      <w:r w:rsidRPr="008F03E5">
        <w:tab/>
        <w:t>Mu</w:t>
      </w:r>
      <w:r w:rsidRPr="008F03E5">
        <w:rPr>
          <w:u w:val="single"/>
        </w:rPr>
        <w:t>dh</w:t>
      </w:r>
      <w:r w:rsidRPr="008F03E5">
        <w:t>ahhab</w:t>
      </w:r>
      <w:r w:rsidRPr="008F03E5">
        <w:tab/>
        <w:t>gilded; worked with gold thread</w:t>
      </w:r>
    </w:p>
    <w:p w14:paraId="6ED52779" w14:textId="77777777" w:rsidR="00625A5B" w:rsidRPr="008F03E5" w:rsidRDefault="00625A5B" w:rsidP="006F346F">
      <w:pPr>
        <w:pStyle w:val="Translit"/>
      </w:pPr>
      <w:r w:rsidRPr="008F03E5">
        <w:t>Mudhahhib</w:t>
      </w:r>
      <w:r w:rsidRPr="008F03E5">
        <w:tab/>
        <w:t>Mu</w:t>
      </w:r>
      <w:r w:rsidRPr="008F03E5">
        <w:rPr>
          <w:u w:val="single"/>
        </w:rPr>
        <w:t>dh</w:t>
      </w:r>
      <w:r w:rsidRPr="008F03E5">
        <w:t>ahhib</w:t>
      </w:r>
      <w:r w:rsidRPr="008F03E5">
        <w:tab/>
        <w:t>a gilder; a gold embroiderer</w:t>
      </w:r>
    </w:p>
    <w:p w14:paraId="02583B2E" w14:textId="77777777" w:rsidR="00625A5B" w:rsidRPr="008F03E5" w:rsidRDefault="00625A5B" w:rsidP="006544FF">
      <w:pPr>
        <w:pStyle w:val="Translit"/>
      </w:pPr>
      <w:r w:rsidRPr="008F03E5">
        <w:t>Mudhakkar</w:t>
      </w:r>
      <w:r w:rsidRPr="008F03E5">
        <w:tab/>
        <w:t>Mu</w:t>
      </w:r>
      <w:r w:rsidRPr="008F03E5">
        <w:rPr>
          <w:u w:val="single"/>
        </w:rPr>
        <w:t>dh</w:t>
      </w:r>
      <w:r w:rsidRPr="008F03E5">
        <w:t>akkar</w:t>
      </w:r>
      <w:r w:rsidRPr="008F03E5">
        <w:tab/>
        <w:t>(grammar) masculine</w:t>
      </w:r>
    </w:p>
    <w:p w14:paraId="0DE30EAF" w14:textId="77777777" w:rsidR="00625A5B" w:rsidRPr="008F03E5" w:rsidRDefault="00625A5B" w:rsidP="006F346F">
      <w:pPr>
        <w:pStyle w:val="Translit"/>
      </w:pPr>
      <w:r w:rsidRPr="008F03E5">
        <w:t>Mudhhab</w:t>
      </w:r>
      <w:r w:rsidRPr="008F03E5">
        <w:tab/>
        <w:t>Mu</w:t>
      </w:r>
      <w:r w:rsidRPr="008F03E5">
        <w:rPr>
          <w:u w:val="single"/>
        </w:rPr>
        <w:t>dh</w:t>
      </w:r>
      <w:r w:rsidRPr="008F03E5">
        <w:t>hab</w:t>
      </w:r>
      <w:r w:rsidRPr="008F03E5">
        <w:tab/>
        <w:t>gilded</w:t>
      </w:r>
    </w:p>
    <w:p w14:paraId="5AB7012E" w14:textId="77777777" w:rsidR="00625A5B" w:rsidRPr="008F03E5" w:rsidRDefault="00625A5B" w:rsidP="00FE1655">
      <w:pPr>
        <w:pStyle w:val="Translit"/>
      </w:pPr>
      <w:r w:rsidRPr="008F03E5">
        <w:t>Mudhill</w:t>
      </w:r>
      <w:r w:rsidRPr="008F03E5">
        <w:tab/>
        <w:t>Mu</w:t>
      </w:r>
      <w:r w:rsidRPr="008F03E5">
        <w:rPr>
          <w:u w:val="single"/>
        </w:rPr>
        <w:t>dh</w:t>
      </w:r>
      <w:r w:rsidRPr="008F03E5">
        <w:t>ill</w:t>
      </w:r>
      <w:r w:rsidRPr="008F03E5">
        <w:tab/>
        <w:t>dishonourer, disgracer, degrader, humiliator, debasing; who renders vile or abject; who discovers one to be so; a name of God</w:t>
      </w:r>
    </w:p>
    <w:p w14:paraId="39B515A2" w14:textId="77777777" w:rsidR="00625A5B" w:rsidRPr="008F03E5" w:rsidRDefault="00625A5B" w:rsidP="00A15DB1">
      <w:pPr>
        <w:pStyle w:val="Translit"/>
      </w:pPr>
      <w:r w:rsidRPr="00077779">
        <w:rPr>
          <w:lang w:val="es-ES_tradnl"/>
        </w:rPr>
        <w:t>Mudir, Mudira, Mudara</w:t>
      </w:r>
      <w:r w:rsidRPr="00077779">
        <w:rPr>
          <w:lang w:val="es-ES_tradnl"/>
        </w:rPr>
        <w:tab/>
        <w:t xml:space="preserve">Mudír, fem. </w:t>
      </w:r>
      <w:r w:rsidRPr="008F03E5">
        <w:t>Mudirá, Mudará</w:t>
      </w:r>
      <w:r w:rsidRPr="008F03E5">
        <w:tab/>
        <w:t>head, chief, director; administrator; manager; intendant, superintendent; rector (of a university);—pl. administrative officer at the head of a county</w:t>
      </w:r>
    </w:p>
    <w:p w14:paraId="730BAC1C" w14:textId="77777777" w:rsidR="00625A5B" w:rsidRPr="008F03E5" w:rsidRDefault="00625A5B" w:rsidP="001353B6">
      <w:pPr>
        <w:pStyle w:val="Translit"/>
      </w:pPr>
      <w:r w:rsidRPr="008F03E5">
        <w:t>Mudiriya, Mudiriyat</w:t>
      </w:r>
      <w:r w:rsidRPr="008F03E5">
        <w:tab/>
        <w:t>Mudíríya[t], pl. Mudíríyát</w:t>
      </w:r>
      <w:r w:rsidRPr="008F03E5">
        <w:tab/>
        <w:t>direction; administration; management;—pl. mudiria, province (Egypt); approximately:  main department of a ministry (Iran)</w:t>
      </w:r>
    </w:p>
    <w:p w14:paraId="21D69A38" w14:textId="77777777" w:rsidR="00625A5B" w:rsidRPr="008F03E5" w:rsidRDefault="00625A5B" w:rsidP="00D36DA0">
      <w:pPr>
        <w:pStyle w:val="Translit"/>
      </w:pPr>
      <w:r w:rsidRPr="008F03E5">
        <w:t>Mudiy</w:t>
      </w:r>
      <w:r w:rsidRPr="008F03E5">
        <w:tab/>
        <w:t>Muḍíy</w:t>
      </w:r>
      <w:r w:rsidRPr="008F03E5">
        <w:tab/>
        <w:t>departure, leave; passing; lapse, elapsing, expiration (of a period of time); continuation (of something); deeper penetration, deeper insight (into); carrying out, execution, pursuit (of an intention, of a plan)</w:t>
      </w:r>
    </w:p>
    <w:p w14:paraId="40E72D56" w14:textId="77777777" w:rsidR="00625A5B" w:rsidRDefault="00625A5B" w:rsidP="009C0A42">
      <w:pPr>
        <w:pStyle w:val="Translit"/>
      </w:pPr>
      <w:r w:rsidRPr="008F03E5">
        <w:t>M</w:t>
      </w:r>
      <w:r>
        <w:t>u</w:t>
      </w:r>
      <w:r w:rsidRPr="008F03E5">
        <w:t>dkh</w:t>
      </w:r>
      <w:r>
        <w:t>a</w:t>
      </w:r>
      <w:r w:rsidRPr="008F03E5">
        <w:t xml:space="preserve">l, </w:t>
      </w:r>
      <w:r>
        <w:t xml:space="preserve">Mudkhala, </w:t>
      </w:r>
      <w:r w:rsidRPr="008F03E5">
        <w:t>Madakhil</w:t>
      </w:r>
      <w:r w:rsidRPr="008F03E5">
        <w:tab/>
        <w:t>M</w:t>
      </w:r>
      <w:r>
        <w:t>u</w:t>
      </w:r>
      <w:r w:rsidRPr="008F03E5">
        <w:t>d</w:t>
      </w:r>
      <w:r w:rsidRPr="008F03E5">
        <w:rPr>
          <w:u w:val="single"/>
        </w:rPr>
        <w:t>kh</w:t>
      </w:r>
      <w:r>
        <w:t>a</w:t>
      </w:r>
      <w:r w:rsidRPr="008F03E5">
        <w:t xml:space="preserve">l, </w:t>
      </w:r>
      <w:r>
        <w:t xml:space="preserve">fem </w:t>
      </w:r>
      <w:r w:rsidRPr="008F03E5">
        <w:t>M</w:t>
      </w:r>
      <w:r>
        <w:t>u</w:t>
      </w:r>
      <w:r w:rsidRPr="008F03E5">
        <w:t>d</w:t>
      </w:r>
      <w:r w:rsidRPr="008F03E5">
        <w:rPr>
          <w:u w:val="single"/>
        </w:rPr>
        <w:t>kh</w:t>
      </w:r>
      <w:r>
        <w:t>a</w:t>
      </w:r>
      <w:r w:rsidRPr="008F03E5">
        <w:t>l</w:t>
      </w:r>
      <w:r>
        <w:t>a[h or t]</w:t>
      </w:r>
      <w:r>
        <w:tab/>
        <w:t>(</w:t>
      </w:r>
      <w:r w:rsidRPr="008F03E5">
        <w:t>pl. M</w:t>
      </w:r>
      <w:r>
        <w:t>u</w:t>
      </w:r>
      <w:r w:rsidRPr="008F03E5">
        <w:t>dá</w:t>
      </w:r>
      <w:r w:rsidRPr="008F03E5">
        <w:rPr>
          <w:u w:val="single"/>
        </w:rPr>
        <w:t>kh</w:t>
      </w:r>
      <w:r w:rsidRPr="008F03E5">
        <w:t>íl</w:t>
      </w:r>
      <w:r>
        <w:t>) i</w:t>
      </w:r>
      <w:r w:rsidRPr="00974E1A">
        <w:t>ntroduced; spurious, illegitimate; worthless, base; an introductory treaty; time or place of introduction</w:t>
      </w:r>
      <w:r>
        <w:t xml:space="preserve">.  In Safavid Persia, </w:t>
      </w:r>
      <w:r w:rsidRPr="008F03E5">
        <w:t>M</w:t>
      </w:r>
      <w:r>
        <w:t>u</w:t>
      </w:r>
      <w:r w:rsidRPr="008F03E5">
        <w:t>dá</w:t>
      </w:r>
      <w:r w:rsidRPr="008F03E5">
        <w:rPr>
          <w:u w:val="single"/>
        </w:rPr>
        <w:t>kh</w:t>
      </w:r>
      <w:r w:rsidRPr="008F03E5">
        <w:t>íl</w:t>
      </w:r>
      <w:r>
        <w:t xml:space="preserve"> became known as a </w:t>
      </w:r>
      <w:r w:rsidRPr="008F03E5">
        <w:t>“commission, perquisite, douceur, consideration, pickings and stealings, profit</w:t>
      </w:r>
      <w:r>
        <w:t>”</w:t>
      </w:r>
      <w:r w:rsidRPr="00FD0564">
        <w:t xml:space="preserve">, </w:t>
      </w:r>
      <w:r>
        <w:t>“official swindling”, etc</w:t>
      </w:r>
      <w:r w:rsidRPr="00FD0564">
        <w:t xml:space="preserve">. </w:t>
      </w:r>
      <w:r>
        <w:t xml:space="preserve"> I</w:t>
      </w:r>
      <w:r w:rsidRPr="00FD0564">
        <w:t xml:space="preserve">t </w:t>
      </w:r>
      <w:r>
        <w:t xml:space="preserve">came to </w:t>
      </w:r>
      <w:r w:rsidRPr="00FD0564">
        <w:t>signif</w:t>
      </w:r>
      <w:r>
        <w:t>y</w:t>
      </w:r>
      <w:r w:rsidRPr="00FD0564">
        <w:t xml:space="preserve"> th</w:t>
      </w:r>
      <w:r>
        <w:t>e</w:t>
      </w:r>
      <w:r w:rsidRPr="00FD0564">
        <w:t xml:space="preserve"> balance of personal advantage, usually mone</w:t>
      </w:r>
      <w:r>
        <w:t>tary</w:t>
      </w:r>
      <w:r w:rsidRPr="00FD0564">
        <w:t>, which can be squeezed out of any and every transaction</w:t>
      </w:r>
      <w:r>
        <w:t>; see P</w:t>
      </w:r>
      <w:r w:rsidRPr="008F03E5">
        <w:t>í</w:t>
      </w:r>
      <w:r w:rsidRPr="008F03E5">
        <w:rPr>
          <w:u w:val="single"/>
        </w:rPr>
        <w:t>sh</w:t>
      </w:r>
      <w:r w:rsidRPr="008F03E5">
        <w:t>ki</w:t>
      </w:r>
      <w:r w:rsidRPr="008F03E5">
        <w:rPr>
          <w:u w:val="single"/>
        </w:rPr>
        <w:t>sh</w:t>
      </w:r>
      <w:r>
        <w:t>.</w:t>
      </w:r>
    </w:p>
    <w:p w14:paraId="7FC311A8" w14:textId="77777777" w:rsidR="00625A5B" w:rsidRPr="008F03E5" w:rsidRDefault="00625A5B" w:rsidP="00900A82">
      <w:pPr>
        <w:pStyle w:val="Translit"/>
      </w:pPr>
      <w:r w:rsidRPr="008F03E5">
        <w:t>Mufaddal</w:t>
      </w:r>
      <w:r w:rsidRPr="008F03E5">
        <w:tab/>
        <w:t>Mufaḍḍal</w:t>
      </w:r>
      <w:r w:rsidRPr="008F03E5">
        <w:tab/>
        <w:t>a devoted follower of Imám Ṣádiq who handed down many of his traditions.</w:t>
      </w:r>
    </w:p>
    <w:p w14:paraId="79895CEE" w14:textId="77777777" w:rsidR="00625A5B" w:rsidRPr="008F03E5" w:rsidRDefault="00625A5B" w:rsidP="004C75C6">
      <w:pPr>
        <w:pStyle w:val="Translit"/>
      </w:pPr>
      <w:r w:rsidRPr="008F03E5">
        <w:t>Mufakhir</w:t>
      </w:r>
      <w:r w:rsidRPr="008F03E5">
        <w:tab/>
        <w:t>Mufá</w:t>
      </w:r>
      <w:r w:rsidRPr="008F03E5">
        <w:rPr>
          <w:u w:val="single"/>
        </w:rPr>
        <w:t>kh</w:t>
      </w:r>
      <w:r w:rsidRPr="008F03E5">
        <w:t>ir</w:t>
      </w:r>
      <w:r w:rsidRPr="008F03E5">
        <w:tab/>
        <w:t>boastful, vainglorious, proud</w:t>
      </w:r>
    </w:p>
    <w:p w14:paraId="25BEFCE4" w14:textId="77777777" w:rsidR="00625A5B" w:rsidRPr="008F03E5" w:rsidRDefault="00625A5B" w:rsidP="001F6859">
      <w:pPr>
        <w:pStyle w:val="Translit"/>
      </w:pPr>
      <w:r w:rsidRPr="008F03E5">
        <w:t>Mufakhkham</w:t>
      </w:r>
      <w:r w:rsidRPr="008F03E5">
        <w:tab/>
        <w:t>Mufa</w:t>
      </w:r>
      <w:r w:rsidRPr="008F03E5">
        <w:rPr>
          <w:u w:val="single"/>
        </w:rPr>
        <w:t>khkh</w:t>
      </w:r>
      <w:r w:rsidRPr="008F03E5">
        <w:t>am</w:t>
      </w:r>
      <w:r w:rsidRPr="008F03E5">
        <w:tab/>
      </w:r>
      <w:r w:rsidRPr="00AF4D34">
        <w:t>Magnified, great, glorious, illustrious</w:t>
      </w:r>
      <w:r>
        <w:t>,</w:t>
      </w:r>
      <w:r w:rsidRPr="008F03E5">
        <w:t xml:space="preserve"> honoured</w:t>
      </w:r>
    </w:p>
    <w:p w14:paraId="2AF875FF" w14:textId="77777777" w:rsidR="00625A5B" w:rsidRPr="008F03E5" w:rsidRDefault="00625A5B" w:rsidP="00C9378C">
      <w:pPr>
        <w:pStyle w:val="Translit"/>
      </w:pPr>
      <w:r w:rsidRPr="008F03E5">
        <w:rPr>
          <w:lang w:eastAsia="en-US"/>
        </w:rPr>
        <w:t>Mufakhkhamu’d-Dawl</w:t>
      </w:r>
      <w:r>
        <w:rPr>
          <w:lang w:eastAsia="en-US"/>
        </w:rPr>
        <w:t>a</w:t>
      </w:r>
      <w:r w:rsidRPr="008F03E5">
        <w:rPr>
          <w:lang w:eastAsia="en-US"/>
        </w:rPr>
        <w:tab/>
        <w:t>Mufa</w:t>
      </w:r>
      <w:r w:rsidRPr="008F03E5">
        <w:rPr>
          <w:u w:val="single"/>
          <w:lang w:eastAsia="en-US"/>
        </w:rPr>
        <w:t>khkh</w:t>
      </w:r>
      <w:r w:rsidRPr="008F03E5">
        <w:rPr>
          <w:lang w:eastAsia="en-US"/>
        </w:rPr>
        <w:t>amu’d-Dawl</w:t>
      </w:r>
      <w:r>
        <w:rPr>
          <w:lang w:eastAsia="en-US"/>
        </w:rPr>
        <w:t>a</w:t>
      </w:r>
      <w:r w:rsidRPr="008F03E5">
        <w:rPr>
          <w:lang w:eastAsia="en-US"/>
        </w:rPr>
        <w:tab/>
      </w:r>
      <w:r>
        <w:rPr>
          <w:lang w:eastAsia="en-US"/>
        </w:rPr>
        <w:t>(I</w:t>
      </w:r>
      <w:r w:rsidRPr="00C9378C">
        <w:t>ṣ</w:t>
      </w:r>
      <w:r>
        <w:rPr>
          <w:lang w:eastAsia="en-US"/>
        </w:rPr>
        <w:t>fah</w:t>
      </w:r>
      <w:r w:rsidRPr="00C9378C">
        <w:t>á</w:t>
      </w:r>
      <w:r>
        <w:rPr>
          <w:lang w:eastAsia="en-US"/>
        </w:rPr>
        <w:t>n</w:t>
      </w:r>
      <w:r w:rsidRPr="00C9378C">
        <w:t>í</w:t>
      </w:r>
      <w:r>
        <w:rPr>
          <w:lang w:eastAsia="en-US"/>
        </w:rPr>
        <w:t xml:space="preserve"> Pers. </w:t>
      </w:r>
      <w:r w:rsidRPr="008F03E5">
        <w:rPr>
          <w:lang w:eastAsia="en-US"/>
        </w:rPr>
        <w:t>Mufa</w:t>
      </w:r>
      <w:r w:rsidRPr="008F03E5">
        <w:rPr>
          <w:u w:val="single"/>
          <w:lang w:eastAsia="en-US"/>
        </w:rPr>
        <w:t>khkh</w:t>
      </w:r>
      <w:r w:rsidRPr="008F03E5">
        <w:rPr>
          <w:lang w:eastAsia="en-US"/>
        </w:rPr>
        <w:t>amu’d-Dawl</w:t>
      </w:r>
      <w:r>
        <w:rPr>
          <w:lang w:eastAsia="en-US"/>
        </w:rPr>
        <w:t xml:space="preserve">ih) “the honoured of the state”, </w:t>
      </w:r>
      <w:r w:rsidRPr="008F03E5">
        <w:rPr>
          <w:lang w:eastAsia="en-US"/>
        </w:rPr>
        <w:t xml:space="preserve">state title of </w:t>
      </w:r>
      <w:r>
        <w:rPr>
          <w:lang w:eastAsia="en-US"/>
        </w:rPr>
        <w:t xml:space="preserve">General </w:t>
      </w:r>
      <w:r w:rsidRPr="008F03E5">
        <w:rPr>
          <w:lang w:eastAsia="en-US"/>
        </w:rPr>
        <w:t xml:space="preserve">Isḥáq </w:t>
      </w:r>
      <w:r w:rsidRPr="008F03E5">
        <w:rPr>
          <w:u w:val="single"/>
          <w:lang w:eastAsia="en-US"/>
        </w:rPr>
        <w:t>Kh</w:t>
      </w:r>
      <w:r w:rsidRPr="008F03E5">
        <w:rPr>
          <w:lang w:eastAsia="en-US"/>
        </w:rPr>
        <w:t>án, went as Persian Minister to the United States in 1901</w:t>
      </w:r>
    </w:p>
    <w:p w14:paraId="18D36FD6" w14:textId="77777777" w:rsidR="00625A5B" w:rsidRPr="008F03E5" w:rsidRDefault="00625A5B" w:rsidP="004C75C6">
      <w:pPr>
        <w:pStyle w:val="Translit"/>
      </w:pPr>
      <w:r w:rsidRPr="008F03E5">
        <w:t>Mufassal</w:t>
      </w:r>
      <w:r w:rsidRPr="008F03E5">
        <w:tab/>
        <w:t>Mufaṣṣal</w:t>
      </w:r>
      <w:r w:rsidRPr="008F03E5">
        <w:tab/>
        <w:t>distinct, partitioned (as a pearl bracelet having a larger gem or one of a different kind between every pearl); divided, separated, particularized, detailed; fully described; separate, distinct, clear, ample; divisions of a district (opposite to ṣadr “the chief seat of government”); the Qur’án from al-ḥujurát (49th chapter) to the end</w:t>
      </w:r>
    </w:p>
    <w:p w14:paraId="02762110" w14:textId="77777777" w:rsidR="00625A5B" w:rsidRPr="008F03E5" w:rsidRDefault="00625A5B" w:rsidP="003D469B">
      <w:pPr>
        <w:pStyle w:val="Translit"/>
      </w:pPr>
      <w:r w:rsidRPr="008F03E5">
        <w:t>Mufassir</w:t>
      </w:r>
      <w:r w:rsidRPr="008F03E5">
        <w:tab/>
        <w:t>Mufassir</w:t>
      </w:r>
      <w:r w:rsidRPr="008F03E5">
        <w:tab/>
        <w:t>commentator, expositor or interpreter (of the Qur’án)</w:t>
      </w:r>
    </w:p>
    <w:p w14:paraId="08DF1EC2" w14:textId="77777777" w:rsidR="00625A5B" w:rsidRPr="008F03E5" w:rsidRDefault="00625A5B" w:rsidP="009A5AC6">
      <w:pPr>
        <w:pStyle w:val="Translit"/>
      </w:pPr>
      <w:r w:rsidRPr="008F03E5">
        <w:t>Mufawada, Mufavadat (Mufavadat)</w:t>
      </w:r>
      <w:r w:rsidRPr="008F03E5">
        <w:tab/>
        <w:t>Mufáwaḍa[h or t], pl. Mufawaḍát</w:t>
      </w:r>
      <w:r w:rsidRPr="008F03E5">
        <w:tab/>
        <w:t xml:space="preserve">negotiation, parley, talk, conference; partnership (Islamic law).  Pers. “variations”:  Mufávaḍa, pl. Mufavaḍát.  </w:t>
      </w:r>
      <w:r w:rsidRPr="008F03E5">
        <w:rPr>
          <w:i/>
          <w:iCs/>
        </w:rPr>
        <w:t>an-Núr al-Abhá fi Mufáwaḍát ‘Abdu’l-Bahá:  Guftgú bar sar-i-nahár</w:t>
      </w:r>
      <w:r w:rsidRPr="008F03E5">
        <w:t xml:space="preserve"> (“A glorious light on ‘Abdu’l-Bahá’s Words:  Conversations around the dining table” (2nd edn, Cairo 1920)—collected and published by Laura Clifford Barney.  She translated these “Table Talks” by ‘Abdu’l-Bahá as </w:t>
      </w:r>
      <w:r w:rsidRPr="008F03E5">
        <w:rPr>
          <w:i/>
          <w:iCs/>
        </w:rPr>
        <w:t>Some Answered Questions</w:t>
      </w:r>
      <w:r w:rsidRPr="008F03E5">
        <w:t xml:space="preserve"> (1908).</w:t>
      </w:r>
    </w:p>
    <w:p w14:paraId="72ABB7F1" w14:textId="77777777" w:rsidR="00625A5B" w:rsidRPr="008F03E5" w:rsidRDefault="00625A5B" w:rsidP="00900A82">
      <w:pPr>
        <w:pStyle w:val="Translit"/>
      </w:pPr>
      <w:r w:rsidRPr="008F03E5">
        <w:t>Mufrad, Mufradat</w:t>
      </w:r>
      <w:r w:rsidRPr="008F03E5">
        <w:tab/>
        <w:t>Mufrad, pl. Mufradát</w:t>
      </w:r>
      <w:r w:rsidRPr="008F03E5">
        <w:tab/>
        <w:t>single, solitary, lone, detached, isolated; (grammar) simple, consisting of only one word (expression); being in the singular; singular (grammar);—pl. words, terms, names, expressions (of a scientific field); details</w:t>
      </w:r>
    </w:p>
    <w:p w14:paraId="40BC839D" w14:textId="77777777" w:rsidR="00625A5B" w:rsidRPr="008F03E5" w:rsidRDefault="00625A5B" w:rsidP="00900A82">
      <w:pPr>
        <w:pStyle w:val="Translit"/>
      </w:pPr>
      <w:r w:rsidRPr="008F03E5">
        <w:t>Mufsid fi’l-ard</w:t>
      </w:r>
      <w:r w:rsidRPr="008F03E5">
        <w:tab/>
        <w:t>Mufsid fí’l-arḍ</w:t>
      </w:r>
      <w:r w:rsidRPr="008F03E5">
        <w:tab/>
        <w:t>“the corrupt upon the land” Qur’án 18:94</w:t>
      </w:r>
    </w:p>
    <w:p w14:paraId="1B11FE52" w14:textId="77777777" w:rsidR="00625A5B" w:rsidRPr="008F03E5" w:rsidRDefault="00625A5B" w:rsidP="00900A82">
      <w:pPr>
        <w:pStyle w:val="Translit"/>
      </w:pPr>
      <w:r w:rsidRPr="008F03E5">
        <w:t>Mufsid</w:t>
      </w:r>
      <w:r w:rsidRPr="008F03E5">
        <w:tab/>
        <w:t>Mufsid</w:t>
      </w:r>
      <w:r w:rsidRPr="008F03E5">
        <w:tab/>
        <w:t>mischievous, pernicious, destructive, corruptive; vitiating; a corrupter, depraver, destroyer, author of evil, malefactor, seditious man, breed-bate, mischief-maker</w:t>
      </w:r>
    </w:p>
    <w:p w14:paraId="1C5652ED" w14:textId="77777777" w:rsidR="00625A5B" w:rsidRPr="008F03E5" w:rsidRDefault="00625A5B" w:rsidP="00F01324">
      <w:pPr>
        <w:pStyle w:val="Translit"/>
      </w:pPr>
      <w:r w:rsidRPr="008F03E5">
        <w:t>Muftakhir</w:t>
      </w:r>
      <w:r w:rsidRPr="008F03E5">
        <w:tab/>
        <w:t>Mufta</w:t>
      </w:r>
      <w:r w:rsidRPr="008F03E5">
        <w:rPr>
          <w:u w:val="single"/>
        </w:rPr>
        <w:t>kh</w:t>
      </w:r>
      <w:r w:rsidRPr="008F03E5">
        <w:t>ir</w:t>
      </w:r>
      <w:r w:rsidRPr="008F03E5">
        <w:tab/>
        <w:t>proud, vainglorious, boastful, bragging; outstanding, excellent, first-rate, perfect, splendid, superb, glorious, magnificent; sumptuous, deluxe</w:t>
      </w:r>
    </w:p>
    <w:p w14:paraId="36B81E59" w14:textId="77777777" w:rsidR="00625A5B" w:rsidRPr="008F03E5" w:rsidRDefault="00625A5B" w:rsidP="00F01324">
      <w:pPr>
        <w:pStyle w:val="Translit"/>
      </w:pPr>
      <w:r w:rsidRPr="008F03E5">
        <w:t>Mufti, Muftiyun</w:t>
      </w:r>
      <w:r w:rsidRPr="008F03E5">
        <w:tab/>
        <w:t>Muftí, pl. Muftíyun</w:t>
      </w:r>
      <w:r w:rsidRPr="008F03E5">
        <w:tab/>
        <w:t xml:space="preserve">one whose sentence has the authority of the law, an expounder of the Muslim law, giver of a </w:t>
      </w:r>
      <w:r w:rsidRPr="008F03E5">
        <w:rPr>
          <w:i/>
          <w:iCs/>
        </w:rPr>
        <w:t>fatwá;</w:t>
      </w:r>
      <w:r w:rsidRPr="008F03E5">
        <w:t xml:space="preserve"> a muftí.  In Sunní Islám, a consulting Canon lawyer, who delivers legal opinions on points of Islamic law to the qáḍí (judge)</w:t>
      </w:r>
    </w:p>
    <w:p w14:paraId="5071046A" w14:textId="77777777" w:rsidR="00625A5B" w:rsidRPr="008F03E5" w:rsidRDefault="00625A5B" w:rsidP="00B36A7B">
      <w:pPr>
        <w:pStyle w:val="Translit"/>
      </w:pPr>
      <w:r w:rsidRPr="008F03E5">
        <w:t>Mugh</w:t>
      </w:r>
      <w:r w:rsidRPr="008F03E5">
        <w:tab/>
        <w:t>Mu</w:t>
      </w:r>
      <w:r w:rsidRPr="008F03E5">
        <w:rPr>
          <w:u w:val="single"/>
        </w:rPr>
        <w:t>gh</w:t>
      </w:r>
      <w:r w:rsidRPr="008F03E5">
        <w:tab/>
        <w:t>Pers. one of the Magi (Zoroastrian priest), worshipper of fire, infidel, pagan; a Christian monk</w:t>
      </w:r>
    </w:p>
    <w:p w14:paraId="1AC3264F" w14:textId="77777777" w:rsidR="00625A5B" w:rsidRPr="008F03E5" w:rsidRDefault="00625A5B" w:rsidP="005B3229">
      <w:pPr>
        <w:pStyle w:val="Translit"/>
      </w:pPr>
      <w:r w:rsidRPr="008F03E5">
        <w:t>Mughill</w:t>
      </w:r>
      <w:r w:rsidRPr="008F03E5">
        <w:tab/>
        <w:t>Mu</w:t>
      </w:r>
      <w:r w:rsidRPr="008F03E5">
        <w:rPr>
          <w:u w:val="single"/>
        </w:rPr>
        <w:t>gh</w:t>
      </w:r>
      <w:r w:rsidRPr="008F03E5">
        <w:t>ill</w:t>
      </w:r>
      <w:r w:rsidRPr="008F03E5">
        <w:tab/>
        <w:t>1.  a traitor, deceiver, spiteful or deceitful person who bears malice and ill-will; 2.  (land, soil) productive, fruitful (in grain and produce), fertile</w:t>
      </w:r>
    </w:p>
    <w:p w14:paraId="4BA16955" w14:textId="77777777" w:rsidR="00625A5B" w:rsidRPr="008F03E5" w:rsidRDefault="00625A5B" w:rsidP="004C75C6">
      <w:pPr>
        <w:pStyle w:val="Translit"/>
      </w:pPr>
      <w:r w:rsidRPr="008F03E5">
        <w:t>Mughir</w:t>
      </w:r>
      <w:r w:rsidRPr="008F03E5">
        <w:tab/>
        <w:t>Mu</w:t>
      </w:r>
      <w:r w:rsidRPr="008F03E5">
        <w:rPr>
          <w:u w:val="single"/>
        </w:rPr>
        <w:t>gh</w:t>
      </w:r>
      <w:r w:rsidRPr="008F03E5">
        <w:t>ír</w:t>
      </w:r>
      <w:r w:rsidRPr="008F03E5">
        <w:tab/>
        <w:t>one who makes a predatory incursion, a spoiler, plunderer</w:t>
      </w:r>
    </w:p>
    <w:p w14:paraId="0A52CA68" w14:textId="77777777" w:rsidR="00625A5B" w:rsidRPr="008F03E5" w:rsidRDefault="00625A5B" w:rsidP="00C47549">
      <w:pPr>
        <w:pStyle w:val="Translit"/>
      </w:pPr>
      <w:r w:rsidRPr="008F03E5">
        <w:t>Mughira</w:t>
      </w:r>
      <w:r w:rsidRPr="008F03E5">
        <w:tab/>
        <w:t>Mu</w:t>
      </w:r>
      <w:r w:rsidRPr="008F03E5">
        <w:rPr>
          <w:u w:val="single"/>
        </w:rPr>
        <w:t>gh</w:t>
      </w:r>
      <w:r w:rsidRPr="008F03E5">
        <w:t>íra[h or t]</w:t>
      </w:r>
      <w:r w:rsidRPr="008F03E5">
        <w:tab/>
        <w:t>“attacker/raider”; light horsemen, when making a plundering excursion into an enemy’s country.  al-Walíd ibn al-Mu</w:t>
      </w:r>
      <w:r w:rsidRPr="008F03E5">
        <w:rPr>
          <w:u w:val="single"/>
        </w:rPr>
        <w:t>gh</w:t>
      </w:r>
      <w:r w:rsidRPr="008F03E5">
        <w:t>írah al-Ma</w:t>
      </w:r>
      <w:r w:rsidRPr="008F03E5">
        <w:rPr>
          <w:u w:val="single"/>
        </w:rPr>
        <w:t>kh</w:t>
      </w:r>
      <w:r w:rsidRPr="008F03E5">
        <w:t>zúmí was a very wealthy chief of the Banú Ma</w:t>
      </w:r>
      <w:r w:rsidRPr="008F03E5">
        <w:rPr>
          <w:u w:val="single"/>
        </w:rPr>
        <w:t>kh</w:t>
      </w:r>
      <w:r w:rsidRPr="008F03E5">
        <w:t>zúm clan of the Quray</w:t>
      </w:r>
      <w:r w:rsidRPr="008F03E5">
        <w:rPr>
          <w:u w:val="single"/>
        </w:rPr>
        <w:t>sh</w:t>
      </w:r>
      <w:r w:rsidRPr="008F03E5">
        <w:t xml:space="preserve"> tribe during Muḥammad’s time and was indirectly mentioned in a number of verses of the Qur’án.</w:t>
      </w:r>
    </w:p>
    <w:p w14:paraId="252BBA2B" w14:textId="77777777" w:rsidR="00625A5B" w:rsidRPr="008F03E5" w:rsidRDefault="00625A5B" w:rsidP="00554FEA">
      <w:pPr>
        <w:pStyle w:val="Translit"/>
      </w:pPr>
      <w:r w:rsidRPr="008F03E5">
        <w:t>Mughith</w:t>
      </w:r>
      <w:r w:rsidRPr="008F03E5">
        <w:tab/>
        <w:t>Mu</w:t>
      </w:r>
      <w:r w:rsidRPr="008F03E5">
        <w:rPr>
          <w:rFonts w:eastAsia="Times New Roman"/>
          <w:u w:val="single"/>
        </w:rPr>
        <w:t>gh</w:t>
      </w:r>
      <w:r w:rsidRPr="008F03E5">
        <w:t>í</w:t>
      </w:r>
      <w:r w:rsidRPr="008F03E5">
        <w:rPr>
          <w:u w:val="single"/>
        </w:rPr>
        <w:t>th</w:t>
      </w:r>
      <w:r w:rsidRPr="008F03E5">
        <w:tab/>
        <w:t>who gives aid, auxiliary</w:t>
      </w:r>
    </w:p>
    <w:p w14:paraId="1991DAEA" w14:textId="77777777" w:rsidR="00625A5B" w:rsidRPr="008F03E5" w:rsidRDefault="00625A5B" w:rsidP="003052B2">
      <w:pPr>
        <w:pStyle w:val="Translit"/>
      </w:pPr>
      <w:r w:rsidRPr="008F03E5">
        <w:t>Mughni</w:t>
      </w:r>
      <w:r w:rsidRPr="008F03E5">
        <w:tab/>
        <w:t>Mu</w:t>
      </w:r>
      <w:r w:rsidRPr="008F03E5">
        <w:rPr>
          <w:u w:val="single"/>
        </w:rPr>
        <w:t>gh</w:t>
      </w:r>
      <w:r w:rsidRPr="008F03E5">
        <w:t>ní</w:t>
      </w:r>
      <w:r w:rsidRPr="008F03E5">
        <w:tab/>
        <w:t>who or what supplies the place of, excuses, or dispenses with; independent</w:t>
      </w:r>
    </w:p>
    <w:p w14:paraId="0B880DF1" w14:textId="77777777" w:rsidR="00625A5B" w:rsidRPr="008F03E5" w:rsidRDefault="00625A5B" w:rsidP="00EA290D">
      <w:pPr>
        <w:pStyle w:val="Translit"/>
      </w:pPr>
      <w:r w:rsidRPr="008F03E5">
        <w:t>Mugul, Mughul</w:t>
      </w:r>
      <w:r w:rsidRPr="008F03E5">
        <w:tab/>
        <w:t>Mugúl, Pers. Mu</w:t>
      </w:r>
      <w:r w:rsidRPr="008F03E5">
        <w:rPr>
          <w:u w:val="single"/>
        </w:rPr>
        <w:t>gh</w:t>
      </w:r>
      <w:r w:rsidRPr="008F03E5">
        <w:t>ul</w:t>
      </w:r>
      <w:r w:rsidRPr="008F03E5">
        <w:tab/>
        <w:t>a Mogul, Mongol, Mughal; the Great Mogul, emperor of Hindustan; the Tartars, natives of Túrán, Scythia, or Transoxiana; the Georgian Christians.  al-Mugúl, the Mongols, the Moguls.</w:t>
      </w:r>
    </w:p>
    <w:p w14:paraId="7D8B7C3C" w14:textId="77777777" w:rsidR="00625A5B" w:rsidRPr="008F03E5" w:rsidRDefault="00625A5B" w:rsidP="00E16A83">
      <w:pPr>
        <w:pStyle w:val="Translit"/>
      </w:pPr>
      <w:r w:rsidRPr="008F03E5">
        <w:t>Muguli, Mughuli</w:t>
      </w:r>
      <w:r w:rsidRPr="008F03E5">
        <w:tab/>
        <w:t>Mugúlí, Pers. Mu</w:t>
      </w:r>
      <w:r w:rsidRPr="008F03E5">
        <w:rPr>
          <w:u w:val="single"/>
        </w:rPr>
        <w:t>gh</w:t>
      </w:r>
      <w:r w:rsidRPr="008F03E5">
        <w:t>ulí</w:t>
      </w:r>
      <w:r w:rsidRPr="008F03E5">
        <w:tab/>
        <w:t>Pers. of or relating to the Moguls (Mongolian); Mogul, Mongol, Tartar; (metaphorical) fearless; cruel, severe, terrible. the Great Mogul, emperor of Hindustan; the Tartars, natives of Túrán, Scythia, or Transoxiana; the Georgian Christians.  al-Mugúl, the Mongols or Moguls.</w:t>
      </w:r>
    </w:p>
    <w:p w14:paraId="6B2A1802" w14:textId="77777777" w:rsidR="00625A5B" w:rsidRPr="008F03E5" w:rsidRDefault="00625A5B" w:rsidP="00847B91">
      <w:pPr>
        <w:pStyle w:val="Translit"/>
      </w:pPr>
      <w:r w:rsidRPr="008F03E5">
        <w:t>Muhabbat, Muhabba</w:t>
      </w:r>
      <w:r w:rsidRPr="008F03E5">
        <w:tab/>
        <w:t>Muḥabbat, Muḥabba</w:t>
      </w:r>
      <w:r w:rsidRPr="008F03E5">
        <w:tab/>
        <w:t>The city of Madínah</w:t>
      </w:r>
    </w:p>
    <w:p w14:paraId="48E7FB7D" w14:textId="77777777" w:rsidR="00625A5B" w:rsidRPr="008F03E5" w:rsidRDefault="00625A5B" w:rsidP="00366D75">
      <w:pPr>
        <w:pStyle w:val="Translit"/>
      </w:pPr>
      <w:r w:rsidRPr="008F03E5">
        <w:t>Muhadara, Muhadarat</w:t>
      </w:r>
      <w:r w:rsidRPr="008F03E5">
        <w:tab/>
        <w:t>Muḥáḍara, pl. Muḥáḍarát</w:t>
      </w:r>
      <w:r w:rsidRPr="008F03E5">
        <w:tab/>
        <w:t>lecture</w:t>
      </w:r>
    </w:p>
    <w:p w14:paraId="06A7C082" w14:textId="77777777" w:rsidR="00625A5B" w:rsidRPr="008F03E5" w:rsidRDefault="00625A5B" w:rsidP="00EF680F">
      <w:pPr>
        <w:pStyle w:val="Translit"/>
      </w:pPr>
      <w:r w:rsidRPr="008F03E5">
        <w:t>Muhaddith, Muhaddithun</w:t>
      </w:r>
      <w:r w:rsidRPr="008F03E5">
        <w:tab/>
        <w:t>Muḥaddi</w:t>
      </w:r>
      <w:r w:rsidRPr="008F03E5">
        <w:rPr>
          <w:u w:val="single"/>
        </w:rPr>
        <w:t>th</w:t>
      </w:r>
      <w:r w:rsidRPr="008F03E5">
        <w:t>, pl. Muḥaddi</w:t>
      </w:r>
      <w:r w:rsidRPr="008F03E5">
        <w:rPr>
          <w:u w:val="single"/>
        </w:rPr>
        <w:t>th</w:t>
      </w:r>
      <w:r w:rsidRPr="008F03E5">
        <w:t>ún</w:t>
      </w:r>
      <w:r w:rsidRPr="008F03E5">
        <w:tab/>
        <w:t>speaker, talker; spokesman; conversation partner, interlocutor; relator, narrator; a transmitter of Prophetic traditions, traditionary, representative of the science or study of Hadith;—pl. Muḥaddi</w:t>
      </w:r>
      <w:r w:rsidRPr="008F03E5">
        <w:rPr>
          <w:u w:val="single"/>
        </w:rPr>
        <w:t>th</w:t>
      </w:r>
      <w:r w:rsidRPr="008F03E5">
        <w:t>ín</w:t>
      </w:r>
    </w:p>
    <w:p w14:paraId="6C90E363" w14:textId="77777777" w:rsidR="00625A5B" w:rsidRPr="008F03E5" w:rsidRDefault="00625A5B" w:rsidP="00366D75">
      <w:pPr>
        <w:pStyle w:val="Translit"/>
      </w:pPr>
      <w:r w:rsidRPr="008F03E5">
        <w:t>Muhadir, Muhadirat</w:t>
      </w:r>
      <w:r w:rsidRPr="008F03E5">
        <w:tab/>
        <w:t>Muḥáḍir, pl. Muḥáḍirát</w:t>
      </w:r>
      <w:r w:rsidRPr="008F03E5">
        <w:tab/>
        <w:t>lecturer, speaker</w:t>
      </w:r>
    </w:p>
    <w:p w14:paraId="0D703498" w14:textId="77777777" w:rsidR="00625A5B" w:rsidRPr="008F03E5" w:rsidRDefault="00625A5B" w:rsidP="005B6F59">
      <w:pPr>
        <w:pStyle w:val="Translit"/>
      </w:pPr>
      <w:r w:rsidRPr="008F03E5">
        <w:t>Muhafaza, Muhafazat</w:t>
      </w:r>
      <w:r w:rsidRPr="008F03E5">
        <w:tab/>
        <w:t>Muḥáfaẓa[h or t], pl. Muḥáfaẓát</w:t>
      </w:r>
      <w:r w:rsidRPr="008F03E5">
        <w:tab/>
        <w:t>guarding; safeguarding; preservation; protection, defence; conservation, sustaining, upholding; retention, maintenance (of something) conservativism (politics), conservative attitude; following, observance (of something), compliance (with something), adherence (to); guarding (against misfortune), saving (from misadventure); garrison (military);—(pl.) governorate (one of five administrative divisions of Egypt, in addition to a mudíríyát); office of the muḥáfiẓ (head of a governorate); province, anyone of the larger administrative districts (Syria)</w:t>
      </w:r>
    </w:p>
    <w:p w14:paraId="249E66CA" w14:textId="77777777" w:rsidR="00625A5B" w:rsidRPr="008F03E5" w:rsidRDefault="00625A5B" w:rsidP="006138D1">
      <w:pPr>
        <w:pStyle w:val="Translit"/>
      </w:pPr>
      <w:r w:rsidRPr="008F03E5">
        <w:t>Muhajir, Muhajirun</w:t>
      </w:r>
      <w:r w:rsidRPr="008F03E5">
        <w:tab/>
        <w:t>Muhájir, pl. Muhájirún</w:t>
      </w:r>
      <w:r w:rsidRPr="008F03E5">
        <w:tab/>
        <w:t>emigrant (moderm colloquialism), émigré; a fugitive (i.e. those Meccans who emigrated to Medina in the early period of Islam, al-Muhájirún).  In Islám, someone who moves from non-Islamic lands to a Muslim community; in the Bahá’í Faith, one who moves, “pioneers”, from a larger Bahá’í community to a place with no or few Bahá’ís in order to propagate the religion.  Dr Raḥmatu’lláh Muhájir (1923–1979), Hand of the Cause of God, married Írán Furútan (b. 1933) in 1951.</w:t>
      </w:r>
    </w:p>
    <w:p w14:paraId="6BDA165E" w14:textId="77777777" w:rsidR="00625A5B" w:rsidRPr="008F03E5" w:rsidRDefault="00625A5B" w:rsidP="00745103">
      <w:pPr>
        <w:pStyle w:val="Translit"/>
      </w:pPr>
      <w:r w:rsidRPr="008F03E5">
        <w:t>Muhallal, Muhallil</w:t>
      </w:r>
      <w:r w:rsidRPr="008F03E5">
        <w:tab/>
        <w:t>Muḥallal</w:t>
      </w:r>
      <w:r w:rsidRPr="008F03E5">
        <w:tab/>
        <w:t>a place whither anyone frequently goes; lawful; made lawful; a small matter;—muḥallil, one who makes lawful, especially one who marries a thrice-divorced</w:t>
      </w:r>
      <w:r w:rsidRPr="008F03E5">
        <w:rPr>
          <w:rStyle w:val="FootnoteReference"/>
        </w:rPr>
        <w:footnoteReference w:id="15"/>
      </w:r>
      <w:r w:rsidRPr="008F03E5">
        <w:t xml:space="preserve"> woman and dismisses her after consummation, so that she may lawfully return to her former husband; one who solves.</w:t>
      </w:r>
    </w:p>
    <w:p w14:paraId="2898FCD3" w14:textId="77777777" w:rsidR="00625A5B" w:rsidRPr="008F03E5" w:rsidRDefault="00625A5B" w:rsidP="008C2671">
      <w:pPr>
        <w:pStyle w:val="Translit"/>
      </w:pPr>
      <w:r w:rsidRPr="008F03E5">
        <w:t>Muhammad ibn ‘Abdu’llah</w:t>
      </w:r>
      <w:r w:rsidRPr="008F03E5">
        <w:tab/>
        <w:t>Muḥammad ibn ‘Abdu’lláh</w:t>
      </w:r>
      <w:r w:rsidRPr="008F03E5">
        <w:tab/>
        <w:t xml:space="preserve">(c.  570–632) was an Arab religious, social, and political leader and the founder of Islam.  He was a Rasúl (Messenger of God) and a Nabí (“Prophet”).  Given a previously unknown name in the Arabian Peninsula by His grandfather.  </w:t>
      </w:r>
      <w:r>
        <w:t xml:space="preserve">Muḥammad had two stations:  the </w:t>
      </w:r>
      <w:r w:rsidRPr="0043255A">
        <w:t>Point of the Qur’án, in the station of divinity</w:t>
      </w:r>
      <w:r>
        <w:t>,</w:t>
      </w:r>
      <w:r w:rsidRPr="0043255A">
        <w:t xml:space="preserve"> when </w:t>
      </w:r>
      <w:r>
        <w:t xml:space="preserve">He </w:t>
      </w:r>
      <w:r w:rsidRPr="0043255A">
        <w:t>was the recipient of the words of God</w:t>
      </w:r>
      <w:r>
        <w:t xml:space="preserve">, </w:t>
      </w:r>
      <w:r w:rsidRPr="0043255A">
        <w:t xml:space="preserve">whose return in the </w:t>
      </w:r>
      <w:r w:rsidRPr="0043255A">
        <w:rPr>
          <w:rFonts w:eastAsia="Arial"/>
        </w:rPr>
        <w:t>B</w:t>
      </w:r>
      <w:r w:rsidRPr="0043255A">
        <w:t>á</w:t>
      </w:r>
      <w:r w:rsidRPr="0043255A">
        <w:rPr>
          <w:rFonts w:eastAsia="Arial"/>
        </w:rPr>
        <w:t>b</w:t>
      </w:r>
      <w:r w:rsidRPr="0043255A">
        <w:t xml:space="preserve">í Dispensation is the </w:t>
      </w:r>
      <w:r w:rsidRPr="0043255A">
        <w:rPr>
          <w:rFonts w:eastAsia="Arial"/>
        </w:rPr>
        <w:t>B</w:t>
      </w:r>
      <w:r w:rsidRPr="0043255A">
        <w:t>á</w:t>
      </w:r>
      <w:r w:rsidRPr="0043255A">
        <w:rPr>
          <w:rFonts w:eastAsia="Arial"/>
        </w:rPr>
        <w:t>b</w:t>
      </w:r>
      <w:r w:rsidRPr="0043255A">
        <w:t xml:space="preserve"> (the Point of the Bayán)</w:t>
      </w:r>
      <w:r>
        <w:t xml:space="preserve">; </w:t>
      </w:r>
      <w:r w:rsidRPr="008C2671">
        <w:t>the Apostle of God</w:t>
      </w:r>
      <w:r>
        <w:t xml:space="preserve"> in t</w:t>
      </w:r>
      <w:r w:rsidRPr="008C2671">
        <w:t xml:space="preserve">he station of servitude </w:t>
      </w:r>
      <w:r>
        <w:t xml:space="preserve">(or </w:t>
      </w:r>
      <w:r w:rsidRPr="008C2671">
        <w:t>prophethood</w:t>
      </w:r>
      <w:r>
        <w:t>),</w:t>
      </w:r>
      <w:r w:rsidRPr="0043255A">
        <w:t xml:space="preserve"> whose return is represented by </w:t>
      </w:r>
      <w:r>
        <w:t>Mull</w:t>
      </w:r>
      <w:r w:rsidRPr="008C2671">
        <w:t>á</w:t>
      </w:r>
      <w:r>
        <w:t xml:space="preserve"> </w:t>
      </w:r>
      <w:r w:rsidRPr="008C2671">
        <w:t>Ḥ</w:t>
      </w:r>
      <w:r>
        <w:t>usayn. (</w:t>
      </w:r>
      <w:r w:rsidRPr="00603FDC">
        <w:rPr>
          <w:i/>
          <w:iCs/>
        </w:rPr>
        <w:t>Gate of the Heart</w:t>
      </w:r>
      <w:r>
        <w:t xml:space="preserve">, p. 270) </w:t>
      </w:r>
      <w:r w:rsidRPr="0043255A">
        <w:t xml:space="preserve"> </w:t>
      </w:r>
      <w:r w:rsidRPr="008F03E5">
        <w:rPr>
          <w:u w:val="single"/>
        </w:rPr>
        <w:t>Sh</w:t>
      </w:r>
      <w:r w:rsidRPr="008F03E5">
        <w:t xml:space="preserve">í‘í traditions maintain that immediately after His death only three remained faithful to ‘Alí:  Salmán, Abú </w:t>
      </w:r>
      <w:r w:rsidRPr="008F03E5">
        <w:rPr>
          <w:u w:val="single"/>
        </w:rPr>
        <w:t>Dh</w:t>
      </w:r>
      <w:r w:rsidRPr="008F03E5">
        <w:t>arr and Miqdád. (</w:t>
      </w:r>
      <w:r w:rsidRPr="008F03E5">
        <w:rPr>
          <w:i/>
          <w:iCs/>
        </w:rPr>
        <w:t>SWB</w:t>
      </w:r>
      <w:r w:rsidRPr="008F03E5">
        <w:t xml:space="preserve"> 5:11)</w:t>
      </w:r>
    </w:p>
    <w:p w14:paraId="1027FB0E" w14:textId="77777777" w:rsidR="00625A5B" w:rsidRPr="008F03E5" w:rsidRDefault="00625A5B" w:rsidP="00732A89">
      <w:pPr>
        <w:pStyle w:val="Translit"/>
      </w:pPr>
      <w:r w:rsidRPr="008F03E5">
        <w:t>Muhammad Pasha Safwat</w:t>
      </w:r>
      <w:r w:rsidRPr="008F03E5">
        <w:tab/>
        <w:t>Muḥammad Pá</w:t>
      </w:r>
      <w:r w:rsidRPr="008F03E5">
        <w:rPr>
          <w:u w:val="single"/>
        </w:rPr>
        <w:t>sh</w:t>
      </w:r>
      <w:r w:rsidRPr="008F03E5">
        <w:t>á Ṣafwat</w:t>
      </w:r>
      <w:r w:rsidRPr="008F03E5">
        <w:tab/>
        <w:t>(Safouat) in ‘Akká</w:t>
      </w:r>
    </w:p>
    <w:p w14:paraId="68D6F7BD" w14:textId="77777777" w:rsidR="00625A5B" w:rsidRPr="008F03E5" w:rsidRDefault="00625A5B" w:rsidP="00CE28D6">
      <w:pPr>
        <w:pStyle w:val="Translit"/>
      </w:pPr>
      <w:r w:rsidRPr="008F03E5">
        <w:t>Muhammad Rida Shah Pahlavi</w:t>
      </w:r>
      <w:r w:rsidRPr="008F03E5">
        <w:tab/>
        <w:t xml:space="preserve">Muḥammad Riḍá </w:t>
      </w:r>
      <w:r w:rsidRPr="008F03E5">
        <w:rPr>
          <w:u w:val="single"/>
        </w:rPr>
        <w:t>Sh</w:t>
      </w:r>
      <w:r w:rsidRPr="008F03E5">
        <w:t>áh Pahlaví</w:t>
      </w:r>
      <w:r w:rsidRPr="008F03E5">
        <w:tab/>
        <w:t>(“Reza Shah Pahlavi”) (1878–1944; r. 1925–1941) an Iranian military officer, politician, first shah of the House of Pahlavi and father of the last shah of Iran.</w:t>
      </w:r>
    </w:p>
    <w:p w14:paraId="19EAFB95" w14:textId="77777777" w:rsidR="00625A5B" w:rsidRPr="008F03E5" w:rsidRDefault="00625A5B" w:rsidP="00444347">
      <w:pPr>
        <w:pStyle w:val="Translit"/>
      </w:pPr>
      <w:r w:rsidRPr="008F03E5">
        <w:t>Muhammad Shah Qajar</w:t>
      </w:r>
      <w:r w:rsidRPr="008F03E5">
        <w:tab/>
        <w:t xml:space="preserve">Muḥammad </w:t>
      </w:r>
      <w:r w:rsidRPr="008F03E5">
        <w:rPr>
          <w:u w:val="single"/>
        </w:rPr>
        <w:t>Sh</w:t>
      </w:r>
      <w:r w:rsidRPr="008F03E5">
        <w:t>áh Qájár</w:t>
      </w:r>
      <w:r w:rsidRPr="008F03E5">
        <w:tab/>
        <w:t xml:space="preserve">born Muḥammad Mírzá (1808–1848; r. 1834–1848).  Qájár king of Iran.  Succeeded by his son Náṣir ad-Dín </w:t>
      </w:r>
      <w:r w:rsidRPr="008F03E5">
        <w:rPr>
          <w:u w:val="single"/>
        </w:rPr>
        <w:t>Sh</w:t>
      </w:r>
      <w:r w:rsidRPr="008F03E5">
        <w:t>áh Qájár.</w:t>
      </w:r>
    </w:p>
    <w:p w14:paraId="66C24883" w14:textId="77777777" w:rsidR="00625A5B" w:rsidRPr="008F03E5" w:rsidRDefault="00625A5B" w:rsidP="00403DF9">
      <w:pPr>
        <w:pStyle w:val="Translit"/>
      </w:pPr>
      <w:r w:rsidRPr="008F03E5">
        <w:t>Muhammad Taqi</w:t>
      </w:r>
      <w:r w:rsidRPr="008F03E5">
        <w:tab/>
        <w:t>Ḥájí Mírzá Muḥammad Taqí</w:t>
      </w:r>
      <w:r w:rsidRPr="008F03E5">
        <w:tab/>
        <w:t>cousin of the Báb (an Afnán) and chief builder of the ‘I</w:t>
      </w:r>
      <w:r w:rsidRPr="008F03E5">
        <w:rPr>
          <w:u w:val="single"/>
        </w:rPr>
        <w:t>sh</w:t>
      </w:r>
      <w:r w:rsidRPr="008F03E5">
        <w:t>qábád Bahá’í Temple, to which he dedicated his entire resources.  His state title was Vakílu’d-Dawlih.</w:t>
      </w:r>
    </w:p>
    <w:p w14:paraId="4664AB12" w14:textId="77777777" w:rsidR="00625A5B" w:rsidRPr="008F03E5" w:rsidRDefault="00625A5B" w:rsidP="001D49F1">
      <w:pPr>
        <w:pStyle w:val="Translit"/>
      </w:pPr>
      <w:r w:rsidRPr="008F03E5">
        <w:t>Muhammad</w:t>
      </w:r>
      <w:r w:rsidRPr="008F03E5">
        <w:tab/>
        <w:t>Muḥammad</w:t>
      </w:r>
      <w:r w:rsidRPr="008F03E5">
        <w:tab/>
        <w:t>praised; commendable, laudable; the Praised One.</w:t>
      </w:r>
      <w:r w:rsidRPr="008F03E5">
        <w:rPr>
          <w:rStyle w:val="FootnoteReference"/>
        </w:rPr>
        <w:footnoteReference w:id="16"/>
      </w:r>
      <w:r w:rsidRPr="008F03E5">
        <w:t xml:space="preserve">  Derived from ḥamd (praise).</w:t>
      </w:r>
    </w:p>
    <w:p w14:paraId="1F03B772" w14:textId="77777777" w:rsidR="00625A5B" w:rsidRPr="008F03E5" w:rsidRDefault="00625A5B" w:rsidP="00826897">
      <w:pPr>
        <w:pStyle w:val="Translit"/>
      </w:pPr>
      <w:r w:rsidRPr="008F03E5">
        <w:t>Muhammad</w:t>
      </w:r>
      <w:r w:rsidRPr="008F03E5">
        <w:rPr>
          <w:rFonts w:eastAsia="PMingLiU"/>
          <w:lang w:eastAsia="zh-TW"/>
        </w:rPr>
        <w:t>-‘</w:t>
      </w:r>
      <w:r w:rsidRPr="008F03E5">
        <w:t>Ali</w:t>
      </w:r>
      <w:r>
        <w:t xml:space="preserve"> (Mamdali)</w:t>
      </w:r>
      <w:r w:rsidRPr="008F03E5">
        <w:tab/>
        <w:t>Muḥammad-‘Alí</w:t>
      </w:r>
      <w:r w:rsidRPr="008F03E5">
        <w:tab/>
        <w:t>Mírzá Muḥammad-‘Alí (c. 1853–1937), half-brother of ‘Abdu’l-Bahá who became a Covenant-breaker in 1892.</w:t>
      </w:r>
      <w:r>
        <w:t xml:space="preserve">  Abbreviation Mamdal</w:t>
      </w:r>
      <w:r w:rsidRPr="00826897">
        <w:t>í</w:t>
      </w:r>
      <w:r>
        <w:t xml:space="preserve"> (“Mamdali”).</w:t>
      </w:r>
    </w:p>
    <w:p w14:paraId="6CA14516" w14:textId="77777777" w:rsidR="00625A5B" w:rsidRPr="008F03E5" w:rsidRDefault="00625A5B" w:rsidP="00900A82">
      <w:pPr>
        <w:pStyle w:val="Translit"/>
      </w:pPr>
      <w:r w:rsidRPr="008F03E5">
        <w:t>Muhammad</w:t>
      </w:r>
      <w:r w:rsidRPr="008F03E5">
        <w:rPr>
          <w:rFonts w:eastAsia="PMingLiU"/>
          <w:lang w:eastAsia="zh-TW"/>
        </w:rPr>
        <w:t>-‘</w:t>
      </w:r>
      <w:r w:rsidRPr="008F03E5">
        <w:t>Ali Sabbaq</w:t>
      </w:r>
      <w:r w:rsidRPr="008F03E5">
        <w:tab/>
        <w:t>Muḥammad-‘Alí Ṣabbáq</w:t>
      </w:r>
      <w:r w:rsidRPr="008F03E5">
        <w:tab/>
        <w:t>(</w:t>
      </w:r>
      <w:r w:rsidRPr="008F03E5">
        <w:rPr>
          <w:sz w:val="16"/>
          <w:szCs w:val="16"/>
        </w:rPr>
        <w:t>MF</w:t>
      </w:r>
      <w:r w:rsidRPr="008F03E5">
        <w:t>)</w:t>
      </w:r>
    </w:p>
    <w:p w14:paraId="01E4516F" w14:textId="77777777" w:rsidR="00625A5B" w:rsidRPr="00077779" w:rsidRDefault="00625A5B" w:rsidP="00900A82">
      <w:pPr>
        <w:pStyle w:val="Translit"/>
      </w:pPr>
      <w:r w:rsidRPr="00077779">
        <w:t>Muhammad</w:t>
      </w:r>
      <w:r w:rsidRPr="00077779">
        <w:rPr>
          <w:rFonts w:eastAsia="PMingLiU"/>
          <w:lang w:eastAsia="zh-TW"/>
        </w:rPr>
        <w:t>-‘</w:t>
      </w:r>
      <w:r w:rsidRPr="00077779">
        <w:t>Aliy-i-Ardikani</w:t>
      </w:r>
      <w:r w:rsidRPr="00077779">
        <w:tab/>
        <w:t>Muḥammad-‘Alíy-i-Ardikání</w:t>
      </w:r>
      <w:r w:rsidRPr="00077779">
        <w:tab/>
        <w:t>(</w:t>
      </w:r>
      <w:r w:rsidRPr="00077779">
        <w:rPr>
          <w:sz w:val="16"/>
          <w:szCs w:val="16"/>
        </w:rPr>
        <w:t>MF</w:t>
      </w:r>
      <w:r w:rsidRPr="00077779">
        <w:t>)</w:t>
      </w:r>
    </w:p>
    <w:p w14:paraId="2F14CD24" w14:textId="77777777" w:rsidR="00625A5B" w:rsidRPr="005C13DF" w:rsidRDefault="00625A5B" w:rsidP="00165A2B">
      <w:pPr>
        <w:pStyle w:val="Translit"/>
      </w:pPr>
      <w:r w:rsidRPr="00077779">
        <w:t>Muhammad</w:t>
      </w:r>
      <w:r w:rsidRPr="00077779">
        <w:rPr>
          <w:rFonts w:eastAsia="PMingLiU"/>
          <w:lang w:eastAsia="zh-TW"/>
        </w:rPr>
        <w:t>-‘</w:t>
      </w:r>
      <w:r w:rsidRPr="00077779">
        <w:t>Aliy-i-Barfurushi</w:t>
      </w:r>
      <w:r w:rsidRPr="00077779">
        <w:tab/>
        <w:t>Muḥammad-‘Alíy-i-Bárfurú</w:t>
      </w:r>
      <w:r w:rsidRPr="00077779">
        <w:rPr>
          <w:u w:val="single"/>
        </w:rPr>
        <w:t>sh</w:t>
      </w:r>
      <w:r w:rsidRPr="00077779">
        <w:t>í</w:t>
      </w:r>
      <w:r w:rsidRPr="00077779">
        <w:tab/>
      </w:r>
      <w:r>
        <w:t>given the title Qud</w:t>
      </w:r>
      <w:r w:rsidRPr="005C13DF">
        <w:t xml:space="preserve">dús </w:t>
      </w:r>
      <w:r>
        <w:t>(</w:t>
      </w:r>
      <w:r w:rsidRPr="005C13DF">
        <w:t>c.</w:t>
      </w:r>
      <w:r>
        <w:t xml:space="preserve"> </w:t>
      </w:r>
      <w:r w:rsidRPr="005C13DF">
        <w:t>1820–1849)</w:t>
      </w:r>
      <w:r>
        <w:t xml:space="preserve"> by Bahá’u’lláh at Bada</w:t>
      </w:r>
      <w:r w:rsidRPr="00165A2B">
        <w:rPr>
          <w:u w:val="single"/>
        </w:rPr>
        <w:t>sh</w:t>
      </w:r>
      <w:r>
        <w:t>t and later confirmed in a Tablet by the Báb.</w:t>
      </w:r>
    </w:p>
    <w:p w14:paraId="4C0EB24D" w14:textId="77777777" w:rsidR="00625A5B" w:rsidRPr="001457C8" w:rsidRDefault="00625A5B" w:rsidP="00900A82">
      <w:pPr>
        <w:pStyle w:val="Translit"/>
        <w:rPr>
          <w:lang w:val="it-IT"/>
        </w:rPr>
      </w:pPr>
      <w:r w:rsidRPr="001457C8">
        <w:rPr>
          <w:lang w:val="it-IT"/>
        </w:rPr>
        <w:t>Muhammad</w:t>
      </w:r>
      <w:r w:rsidRPr="001457C8">
        <w:rPr>
          <w:rFonts w:eastAsia="PMingLiU"/>
          <w:lang w:val="it-IT" w:eastAsia="zh-TW"/>
        </w:rPr>
        <w:t>-‘</w:t>
      </w:r>
      <w:r w:rsidRPr="001457C8">
        <w:rPr>
          <w:lang w:val="it-IT"/>
        </w:rPr>
        <w:t>Aliy-i-Dallak</w:t>
      </w:r>
      <w:r w:rsidRPr="001457C8">
        <w:rPr>
          <w:lang w:val="it-IT"/>
        </w:rPr>
        <w:tab/>
        <w:t>Muḥammad-‘Alíy-i-Dallák</w:t>
      </w:r>
      <w:r w:rsidRPr="001457C8">
        <w:rPr>
          <w:lang w:val="it-IT"/>
        </w:rPr>
        <w:tab/>
        <w:t>(</w:t>
      </w:r>
      <w:r w:rsidRPr="001457C8">
        <w:rPr>
          <w:sz w:val="16"/>
          <w:szCs w:val="16"/>
          <w:lang w:val="it-IT"/>
        </w:rPr>
        <w:t>MF</w:t>
      </w:r>
      <w:r w:rsidRPr="001457C8">
        <w:rPr>
          <w:lang w:val="it-IT"/>
        </w:rPr>
        <w:t>)</w:t>
      </w:r>
    </w:p>
    <w:p w14:paraId="6ADB04BE" w14:textId="77777777" w:rsidR="00625A5B" w:rsidRPr="001457C8" w:rsidRDefault="00625A5B" w:rsidP="0091221D">
      <w:pPr>
        <w:pStyle w:val="Translit"/>
        <w:rPr>
          <w:lang w:val="it-IT"/>
        </w:rPr>
      </w:pPr>
      <w:r w:rsidRPr="001457C8">
        <w:rPr>
          <w:lang w:val="it-IT"/>
        </w:rPr>
        <w:t>Muhammad</w:t>
      </w:r>
      <w:r w:rsidRPr="001457C8">
        <w:rPr>
          <w:rFonts w:eastAsia="PMingLiU"/>
          <w:lang w:val="it-IT" w:eastAsia="zh-TW"/>
        </w:rPr>
        <w:t>-‘</w:t>
      </w:r>
      <w:r w:rsidRPr="001457C8">
        <w:rPr>
          <w:lang w:val="it-IT"/>
        </w:rPr>
        <w:t>Aliy-i-Isfahani</w:t>
      </w:r>
      <w:r w:rsidRPr="001457C8">
        <w:rPr>
          <w:lang w:val="it-IT"/>
        </w:rPr>
        <w:tab/>
        <w:t>Muḥammad-‘Alíy-i-Iṣfahání</w:t>
      </w:r>
      <w:r w:rsidRPr="001457C8">
        <w:rPr>
          <w:lang w:val="it-IT"/>
        </w:rPr>
        <w:tab/>
        <w:t>(</w:t>
      </w:r>
      <w:r w:rsidRPr="001457C8">
        <w:rPr>
          <w:sz w:val="16"/>
          <w:szCs w:val="16"/>
          <w:lang w:val="it-IT"/>
        </w:rPr>
        <w:t>MF</w:t>
      </w:r>
      <w:r w:rsidRPr="001457C8">
        <w:rPr>
          <w:lang w:val="it-IT"/>
        </w:rPr>
        <w:t>)</w:t>
      </w:r>
    </w:p>
    <w:p w14:paraId="6F51E5E1" w14:textId="77777777" w:rsidR="00625A5B" w:rsidRPr="001457C8" w:rsidRDefault="00625A5B" w:rsidP="00900A82">
      <w:pPr>
        <w:pStyle w:val="Translit"/>
        <w:rPr>
          <w:lang w:val="it-IT"/>
        </w:rPr>
      </w:pPr>
      <w:r w:rsidRPr="001457C8">
        <w:rPr>
          <w:lang w:val="it-IT"/>
        </w:rPr>
        <w:t>Muhammad</w:t>
      </w:r>
      <w:r w:rsidRPr="001457C8">
        <w:rPr>
          <w:rFonts w:eastAsia="PMingLiU"/>
          <w:lang w:val="it-IT" w:eastAsia="zh-TW"/>
        </w:rPr>
        <w:t>-‘</w:t>
      </w:r>
      <w:r w:rsidRPr="001457C8">
        <w:rPr>
          <w:lang w:val="it-IT"/>
        </w:rPr>
        <w:t>Aliy-i-Nahri</w:t>
      </w:r>
      <w:r w:rsidRPr="001457C8">
        <w:rPr>
          <w:lang w:val="it-IT"/>
        </w:rPr>
        <w:tab/>
        <w:t>Muḥammad-‘Alíy-i-Nahrí</w:t>
      </w:r>
      <w:r w:rsidRPr="001457C8">
        <w:rPr>
          <w:lang w:val="it-IT"/>
        </w:rPr>
        <w:tab/>
      </w:r>
    </w:p>
    <w:p w14:paraId="33ECE87E" w14:textId="77777777" w:rsidR="00625A5B" w:rsidRPr="001457C8" w:rsidRDefault="00625A5B" w:rsidP="00900A82">
      <w:pPr>
        <w:pStyle w:val="Translit"/>
        <w:rPr>
          <w:lang w:val="it-IT"/>
        </w:rPr>
      </w:pPr>
      <w:r w:rsidRPr="001457C8">
        <w:rPr>
          <w:lang w:val="it-IT"/>
        </w:rPr>
        <w:t>Muhammad</w:t>
      </w:r>
      <w:r w:rsidRPr="001457C8">
        <w:rPr>
          <w:rFonts w:eastAsia="PMingLiU"/>
          <w:lang w:val="it-IT" w:eastAsia="zh-TW"/>
        </w:rPr>
        <w:t>-‘</w:t>
      </w:r>
      <w:r w:rsidRPr="001457C8">
        <w:rPr>
          <w:lang w:val="it-IT"/>
        </w:rPr>
        <w:t>Aliy-i-Salmani</w:t>
      </w:r>
      <w:r w:rsidRPr="001457C8">
        <w:rPr>
          <w:lang w:val="it-IT"/>
        </w:rPr>
        <w:tab/>
        <w:t>Muḥammad-‘Alíy-i-Salmání</w:t>
      </w:r>
      <w:r w:rsidRPr="001457C8">
        <w:rPr>
          <w:lang w:val="it-IT"/>
        </w:rPr>
        <w:tab/>
        <w:t>Ustád Muḥammad‐‘Al</w:t>
      </w:r>
      <w:r w:rsidRPr="001457C8">
        <w:rPr>
          <w:rStyle w:val="TextChar"/>
          <w:lang w:val="it-IT"/>
        </w:rPr>
        <w:t>í</w:t>
      </w:r>
      <w:r w:rsidRPr="001457C8">
        <w:rPr>
          <w:lang w:val="it-IT"/>
        </w:rPr>
        <w:t>y‐i‐Salm</w:t>
      </w:r>
      <w:r w:rsidRPr="001457C8">
        <w:rPr>
          <w:rStyle w:val="TextChar"/>
          <w:lang w:val="it-IT"/>
        </w:rPr>
        <w:t>á</w:t>
      </w:r>
      <w:r w:rsidRPr="001457C8">
        <w:rPr>
          <w:lang w:val="it-IT"/>
        </w:rPr>
        <w:t>n</w:t>
      </w:r>
      <w:r w:rsidRPr="001457C8">
        <w:rPr>
          <w:rStyle w:val="TextChar"/>
          <w:lang w:val="it-IT"/>
        </w:rPr>
        <w:t>í,</w:t>
      </w:r>
      <w:r w:rsidRPr="001457C8">
        <w:rPr>
          <w:lang w:val="it-IT"/>
        </w:rPr>
        <w:t xml:space="preserve"> barber, memoirs </w:t>
      </w:r>
      <w:r w:rsidRPr="001457C8">
        <w:rPr>
          <w:u w:val="single"/>
          <w:lang w:val="it-IT"/>
        </w:rPr>
        <w:t>Sh</w:t>
      </w:r>
      <w:r w:rsidRPr="001457C8">
        <w:rPr>
          <w:lang w:val="it-IT"/>
        </w:rPr>
        <w:t>arḥ-i-</w:t>
      </w:r>
      <w:r w:rsidRPr="001457C8">
        <w:rPr>
          <w:rFonts w:eastAsia="PMingLiU"/>
          <w:lang w:val="it-IT" w:eastAsia="zh-TW"/>
        </w:rPr>
        <w:t>Ḥ</w:t>
      </w:r>
      <w:r w:rsidRPr="001457C8">
        <w:rPr>
          <w:lang w:val="it-IT"/>
        </w:rPr>
        <w:t>á</w:t>
      </w:r>
      <w:r w:rsidRPr="001457C8">
        <w:rPr>
          <w:rFonts w:eastAsia="PMingLiU"/>
          <w:lang w:val="it-IT" w:eastAsia="zh-TW"/>
        </w:rPr>
        <w:t xml:space="preserve">l, </w:t>
      </w:r>
      <w:r w:rsidRPr="001457C8">
        <w:rPr>
          <w:lang w:val="it-IT"/>
        </w:rPr>
        <w:t xml:space="preserve">translated as </w:t>
      </w:r>
      <w:r w:rsidRPr="001457C8">
        <w:rPr>
          <w:i/>
          <w:iCs/>
          <w:lang w:val="it-IT"/>
        </w:rPr>
        <w:t>My Memories of Bahá’u’lláh.</w:t>
      </w:r>
    </w:p>
    <w:p w14:paraId="229FF813" w14:textId="77777777" w:rsidR="00625A5B" w:rsidRPr="001457C8" w:rsidRDefault="00625A5B" w:rsidP="00900A82">
      <w:pPr>
        <w:pStyle w:val="Translit"/>
        <w:rPr>
          <w:lang w:val="it-IT"/>
        </w:rPr>
      </w:pPr>
      <w:r w:rsidRPr="001457C8">
        <w:rPr>
          <w:lang w:val="it-IT"/>
        </w:rPr>
        <w:t>Muhammad</w:t>
      </w:r>
      <w:r w:rsidRPr="001457C8">
        <w:rPr>
          <w:rFonts w:eastAsia="PMingLiU"/>
          <w:lang w:val="it-IT" w:eastAsia="zh-TW"/>
        </w:rPr>
        <w:t>-‘</w:t>
      </w:r>
      <w:r w:rsidRPr="001457C8">
        <w:rPr>
          <w:lang w:val="it-IT"/>
        </w:rPr>
        <w:t>Aliy-i-Zanjani</w:t>
      </w:r>
      <w:r w:rsidRPr="001457C8">
        <w:rPr>
          <w:lang w:val="it-IT"/>
        </w:rPr>
        <w:tab/>
        <w:t>Muḥammad-‘Alíy-i-Zanjání</w:t>
      </w:r>
      <w:r w:rsidRPr="001457C8">
        <w:rPr>
          <w:lang w:val="it-IT"/>
        </w:rPr>
        <w:tab/>
      </w:r>
    </w:p>
    <w:p w14:paraId="6DFCC39F" w14:textId="77777777" w:rsidR="00625A5B" w:rsidRPr="001457C8" w:rsidRDefault="00625A5B" w:rsidP="00900A82">
      <w:pPr>
        <w:pStyle w:val="Translit"/>
        <w:rPr>
          <w:lang w:val="it-IT"/>
        </w:rPr>
      </w:pPr>
      <w:r w:rsidRPr="001457C8">
        <w:rPr>
          <w:lang w:val="it-IT"/>
        </w:rPr>
        <w:t>Muhammad</w:t>
      </w:r>
      <w:r w:rsidRPr="001457C8">
        <w:rPr>
          <w:rFonts w:eastAsia="PMingLiU"/>
          <w:lang w:val="it-IT" w:eastAsia="zh-TW"/>
        </w:rPr>
        <w:t>-‘</w:t>
      </w:r>
      <w:r w:rsidRPr="001457C8">
        <w:rPr>
          <w:lang w:val="it-IT"/>
        </w:rPr>
        <w:t>Aliy-i-Zunuzi</w:t>
      </w:r>
      <w:r w:rsidRPr="001457C8">
        <w:rPr>
          <w:lang w:val="it-IT"/>
        </w:rPr>
        <w:tab/>
        <w:t>Muḥammad-‘Alíy-i-Zunúzí</w:t>
      </w:r>
      <w:r w:rsidRPr="001457C8">
        <w:rPr>
          <w:lang w:val="it-IT"/>
        </w:rPr>
        <w:tab/>
        <w:t>surnamed Anís, martyred with the Báb (variation Muḥammad-‘Alí</w:t>
      </w:r>
      <w:r>
        <w:rPr>
          <w:lang w:val="it-IT"/>
        </w:rPr>
        <w:t>y</w:t>
      </w:r>
      <w:r w:rsidRPr="001457C8">
        <w:rPr>
          <w:lang w:val="it-IT"/>
        </w:rPr>
        <w:t>-i-Zunúzí)</w:t>
      </w:r>
    </w:p>
    <w:p w14:paraId="14E998FC" w14:textId="77777777" w:rsidR="00625A5B" w:rsidRPr="001457C8" w:rsidRDefault="00625A5B" w:rsidP="00A36CFF">
      <w:pPr>
        <w:pStyle w:val="Translit"/>
        <w:rPr>
          <w:lang w:val="it-IT"/>
        </w:rPr>
      </w:pPr>
      <w:r w:rsidRPr="001457C8">
        <w:rPr>
          <w:lang w:val="it-IT"/>
        </w:rPr>
        <w:t>Muhammadabadi</w:t>
      </w:r>
      <w:r w:rsidRPr="001457C8">
        <w:rPr>
          <w:lang w:val="it-IT"/>
        </w:rPr>
        <w:tab/>
        <w:t>Muḥammadábádí</w:t>
      </w:r>
      <w:r w:rsidRPr="001457C8">
        <w:rPr>
          <w:lang w:val="it-IT"/>
        </w:rPr>
        <w:tab/>
        <w:t>Áqá Muḥammad-Riḍáy-i-Muḥammadábádí</w:t>
      </w:r>
    </w:p>
    <w:p w14:paraId="609EB684" w14:textId="77777777" w:rsidR="00625A5B" w:rsidRPr="001457C8" w:rsidRDefault="00625A5B" w:rsidP="00900A82">
      <w:pPr>
        <w:pStyle w:val="Translit"/>
        <w:rPr>
          <w:lang w:val="it-IT"/>
        </w:rPr>
      </w:pPr>
      <w:r w:rsidRPr="001457C8">
        <w:rPr>
          <w:lang w:val="it-IT"/>
        </w:rPr>
        <w:t>Muhammad-Baqir</w:t>
      </w:r>
      <w:r w:rsidRPr="001457C8">
        <w:rPr>
          <w:lang w:val="it-IT"/>
        </w:rPr>
        <w:tab/>
        <w:t xml:space="preserve">Muḥammad-Báqir, </w:t>
      </w:r>
      <w:r w:rsidRPr="001457C8">
        <w:rPr>
          <w:u w:val="single"/>
          <w:lang w:val="it-IT"/>
        </w:rPr>
        <w:t>Sh</w:t>
      </w:r>
      <w:r w:rsidRPr="001457C8">
        <w:rPr>
          <w:lang w:val="it-IT"/>
        </w:rPr>
        <w:t>ay</w:t>
      </w:r>
      <w:r w:rsidRPr="001457C8">
        <w:rPr>
          <w:u w:val="single"/>
          <w:lang w:val="it-IT"/>
        </w:rPr>
        <w:t>kh</w:t>
      </w:r>
      <w:r w:rsidRPr="001457C8">
        <w:rPr>
          <w:lang w:val="it-IT"/>
        </w:rPr>
        <w:tab/>
        <w:t>Named by Bahá’u’lláh ‘The Wolf’ (</w:t>
      </w:r>
      <w:r w:rsidRPr="001457C8">
        <w:rPr>
          <w:u w:val="single"/>
          <w:lang w:val="it-IT"/>
        </w:rPr>
        <w:t>Dh</w:t>
      </w:r>
      <w:r w:rsidRPr="001457C8">
        <w:rPr>
          <w:lang w:val="it-IT"/>
        </w:rPr>
        <w:t>i’b)</w:t>
      </w:r>
    </w:p>
    <w:p w14:paraId="43CCBDEB" w14:textId="77777777" w:rsidR="00625A5B" w:rsidRPr="001457C8" w:rsidRDefault="00625A5B" w:rsidP="00900A82">
      <w:pPr>
        <w:pStyle w:val="Translit"/>
        <w:rPr>
          <w:lang w:val="it-IT"/>
        </w:rPr>
      </w:pPr>
      <w:r w:rsidRPr="001457C8">
        <w:rPr>
          <w:lang w:val="it-IT"/>
        </w:rPr>
        <w:t>Muhammad-Hadi</w:t>
      </w:r>
      <w:r w:rsidRPr="001457C8">
        <w:rPr>
          <w:lang w:val="it-IT"/>
        </w:rPr>
        <w:tab/>
        <w:t>Muḥammad-Hádí</w:t>
      </w:r>
      <w:r w:rsidRPr="001457C8">
        <w:rPr>
          <w:lang w:val="it-IT"/>
        </w:rPr>
        <w:tab/>
      </w:r>
    </w:p>
    <w:p w14:paraId="209EC3A7" w14:textId="77777777" w:rsidR="00625A5B" w:rsidRPr="001457C8" w:rsidRDefault="00625A5B" w:rsidP="00554C9A">
      <w:pPr>
        <w:pStyle w:val="Translit"/>
        <w:rPr>
          <w:lang w:val="it-IT"/>
        </w:rPr>
      </w:pPr>
      <w:r w:rsidRPr="001457C8">
        <w:rPr>
          <w:lang w:val="it-IT"/>
        </w:rPr>
        <w:t>Muhammad-Hadiy-i-Farhadi</w:t>
      </w:r>
      <w:r w:rsidRPr="001457C8">
        <w:rPr>
          <w:lang w:val="it-IT"/>
        </w:rPr>
        <w:tab/>
        <w:t>Muḥammad-Hádíy-i-Farhádí</w:t>
      </w:r>
      <w:r w:rsidRPr="001457C8">
        <w:rPr>
          <w:lang w:val="it-IT"/>
        </w:rPr>
        <w:tab/>
      </w:r>
      <w:r w:rsidRPr="001457C8">
        <w:rPr>
          <w:i/>
          <w:iCs/>
          <w:lang w:val="it-IT"/>
        </w:rPr>
        <w:t>The Revelation of Bahá’u’lláh</w:t>
      </w:r>
      <w:r w:rsidRPr="001457C8">
        <w:rPr>
          <w:lang w:val="it-IT"/>
        </w:rPr>
        <w:t xml:space="preserve">, vol. </w:t>
      </w:r>
      <w:r w:rsidRPr="001457C8">
        <w:rPr>
          <w:sz w:val="16"/>
          <w:szCs w:val="16"/>
          <w:lang w:val="it-IT"/>
        </w:rPr>
        <w:t>II</w:t>
      </w:r>
      <w:r w:rsidRPr="001457C8">
        <w:rPr>
          <w:lang w:val="it-IT"/>
        </w:rPr>
        <w:t>, p. 172.</w:t>
      </w:r>
    </w:p>
    <w:p w14:paraId="05C4AAFF" w14:textId="77777777" w:rsidR="00625A5B" w:rsidRPr="001457C8" w:rsidRDefault="00625A5B" w:rsidP="00900A82">
      <w:pPr>
        <w:pStyle w:val="Translit"/>
        <w:rPr>
          <w:lang w:val="it-IT"/>
        </w:rPr>
      </w:pPr>
      <w:r w:rsidRPr="001457C8">
        <w:rPr>
          <w:lang w:val="it-IT"/>
        </w:rPr>
        <w:t>Muhammad-Hadiy-i-Sahhaf</w:t>
      </w:r>
      <w:r w:rsidRPr="001457C8">
        <w:rPr>
          <w:lang w:val="it-IT"/>
        </w:rPr>
        <w:tab/>
        <w:t>Muḥammad-Hádíy-i-Ṣaḥḥáf</w:t>
      </w:r>
      <w:r w:rsidRPr="001457C8">
        <w:rPr>
          <w:lang w:val="it-IT"/>
        </w:rPr>
        <w:tab/>
      </w:r>
    </w:p>
    <w:p w14:paraId="64E0BD7E" w14:textId="77777777" w:rsidR="00625A5B" w:rsidRPr="001457C8" w:rsidRDefault="00625A5B" w:rsidP="00900A82">
      <w:pPr>
        <w:pStyle w:val="Translit"/>
        <w:rPr>
          <w:lang w:val="it-IT"/>
        </w:rPr>
      </w:pPr>
      <w:r w:rsidRPr="001457C8">
        <w:rPr>
          <w:lang w:val="it-IT"/>
        </w:rPr>
        <w:t>Muhammad-Hasan</w:t>
      </w:r>
      <w:r w:rsidRPr="001457C8">
        <w:rPr>
          <w:lang w:val="it-IT"/>
        </w:rPr>
        <w:tab/>
        <w:t>Muḥammad-Ḥasan</w:t>
      </w:r>
      <w:r w:rsidRPr="001457C8">
        <w:rPr>
          <w:lang w:val="it-IT"/>
        </w:rPr>
        <w:tab/>
        <w:t>Muḥammad-Ḥasan-i-Qazvíní was given the name Fata’l-Qazvíní by Ṭáhirih</w:t>
      </w:r>
    </w:p>
    <w:p w14:paraId="1CD28835" w14:textId="77777777" w:rsidR="00625A5B" w:rsidRPr="001457C8" w:rsidRDefault="00625A5B" w:rsidP="00900A82">
      <w:pPr>
        <w:pStyle w:val="Translit"/>
        <w:rPr>
          <w:lang w:val="it-IT"/>
        </w:rPr>
      </w:pPr>
      <w:r w:rsidRPr="001457C8">
        <w:rPr>
          <w:lang w:val="it-IT"/>
        </w:rPr>
        <w:t>Muhammad-Husayn</w:t>
      </w:r>
      <w:r w:rsidRPr="001457C8">
        <w:rPr>
          <w:lang w:val="it-IT"/>
        </w:rPr>
        <w:tab/>
        <w:t>Muḥammad-Ḥusayn</w:t>
      </w:r>
      <w:r w:rsidRPr="001457C8">
        <w:rPr>
          <w:lang w:val="it-IT"/>
        </w:rPr>
        <w:tab/>
      </w:r>
    </w:p>
    <w:p w14:paraId="53C00F47" w14:textId="77777777" w:rsidR="00625A5B" w:rsidRPr="00560901" w:rsidRDefault="00625A5B" w:rsidP="00C55FDC">
      <w:pPr>
        <w:pStyle w:val="Translit"/>
        <w:rPr>
          <w:lang w:val="it-IT"/>
        </w:rPr>
      </w:pPr>
      <w:r w:rsidRPr="00560901">
        <w:rPr>
          <w:lang w:val="it-IT"/>
        </w:rPr>
        <w:t>Muhammadi</w:t>
      </w:r>
      <w:r w:rsidRPr="00560901">
        <w:rPr>
          <w:lang w:val="it-IT"/>
        </w:rPr>
        <w:tab/>
        <w:t>Muḥammadí</w:t>
      </w:r>
      <w:r w:rsidRPr="00560901">
        <w:rPr>
          <w:lang w:val="it-IT"/>
        </w:rPr>
        <w:tab/>
        <w:t>pertaining or attributable to Muḥammad, Muhammadic</w:t>
      </w:r>
    </w:p>
    <w:p w14:paraId="0A16EF36" w14:textId="77777777" w:rsidR="00625A5B" w:rsidRPr="00EE3760" w:rsidRDefault="00625A5B" w:rsidP="00172534">
      <w:pPr>
        <w:pStyle w:val="Translit"/>
        <w:rPr>
          <w:lang w:val="en-AU"/>
        </w:rPr>
      </w:pPr>
      <w:r w:rsidRPr="00560901">
        <w:rPr>
          <w:lang w:val="en-AU"/>
        </w:rPr>
        <w:t>Muhammadi</w:t>
      </w:r>
      <w:r w:rsidRPr="00560901">
        <w:rPr>
          <w:lang w:val="en-AU"/>
        </w:rPr>
        <w:tab/>
        <w:t>Muḥammadí</w:t>
      </w:r>
      <w:r w:rsidRPr="00560901">
        <w:rPr>
          <w:lang w:val="en-AU"/>
        </w:rPr>
        <w:tab/>
        <w:t xml:space="preserve">pertaining or attributable to Muḥammad.  </w:t>
      </w:r>
      <w:r>
        <w:t>Use Islamic instead of Muhammadic.</w:t>
      </w:r>
    </w:p>
    <w:p w14:paraId="2CE3AAFB" w14:textId="77777777" w:rsidR="00625A5B" w:rsidRPr="00EE3760" w:rsidRDefault="00625A5B" w:rsidP="00900A82">
      <w:pPr>
        <w:pStyle w:val="Translit"/>
        <w:rPr>
          <w:lang w:val="en-AU"/>
        </w:rPr>
      </w:pPr>
      <w:r w:rsidRPr="00EE3760">
        <w:rPr>
          <w:lang w:val="en-AU"/>
        </w:rPr>
        <w:t>Muhammad-i-Adhirbayjani</w:t>
      </w:r>
      <w:r w:rsidRPr="00EE3760">
        <w:rPr>
          <w:lang w:val="en-AU"/>
        </w:rPr>
        <w:tab/>
        <w:t>Muḥammad-i-Á</w:t>
      </w:r>
      <w:r w:rsidRPr="00EE3760">
        <w:rPr>
          <w:u w:val="single"/>
          <w:lang w:val="en-AU"/>
        </w:rPr>
        <w:t>dh</w:t>
      </w:r>
      <w:r w:rsidRPr="00EE3760">
        <w:rPr>
          <w:lang w:val="en-AU"/>
        </w:rPr>
        <w:t>irbayjání</w:t>
      </w:r>
      <w:r w:rsidRPr="00EE3760">
        <w:rPr>
          <w:lang w:val="en-AU"/>
        </w:rPr>
        <w:tab/>
      </w:r>
    </w:p>
    <w:p w14:paraId="35233A26" w14:textId="77777777" w:rsidR="00625A5B" w:rsidRPr="00EE3760" w:rsidRDefault="00625A5B" w:rsidP="00900A82">
      <w:pPr>
        <w:pStyle w:val="Translit"/>
        <w:rPr>
          <w:lang w:val="en-AU"/>
        </w:rPr>
      </w:pPr>
      <w:r w:rsidRPr="00EE3760">
        <w:rPr>
          <w:lang w:val="en-AU"/>
        </w:rPr>
        <w:t>Muhammad-Ibrahim</w:t>
      </w:r>
      <w:r w:rsidRPr="00EE3760">
        <w:rPr>
          <w:lang w:val="en-AU"/>
        </w:rPr>
        <w:tab/>
        <w:t>Muḥammad-Ibráhím</w:t>
      </w:r>
      <w:r w:rsidRPr="00EE3760">
        <w:rPr>
          <w:lang w:val="en-AU"/>
        </w:rPr>
        <w:tab/>
      </w:r>
    </w:p>
    <w:p w14:paraId="237A8AEA" w14:textId="77777777" w:rsidR="00625A5B" w:rsidRPr="00EE3760" w:rsidRDefault="00625A5B" w:rsidP="00900A82">
      <w:pPr>
        <w:pStyle w:val="Translit"/>
        <w:rPr>
          <w:lang w:val="en-AU"/>
        </w:rPr>
      </w:pPr>
      <w:r w:rsidRPr="00EE3760">
        <w:rPr>
          <w:lang w:val="en-AU"/>
        </w:rPr>
        <w:t>Muhammad-Ibrahim-i-Tabrizi</w:t>
      </w:r>
      <w:r w:rsidRPr="00EE3760">
        <w:rPr>
          <w:lang w:val="en-AU"/>
        </w:rPr>
        <w:tab/>
        <w:t>Muḥammad-Ibráhím-i-Tabrízí</w:t>
      </w:r>
      <w:r w:rsidRPr="00EE3760">
        <w:rPr>
          <w:lang w:val="en-AU"/>
        </w:rPr>
        <w:tab/>
      </w:r>
    </w:p>
    <w:p w14:paraId="2F2FF4F2" w14:textId="77777777" w:rsidR="00625A5B" w:rsidRPr="001457C8" w:rsidRDefault="00625A5B" w:rsidP="00900A82">
      <w:pPr>
        <w:pStyle w:val="Translit"/>
        <w:rPr>
          <w:lang w:val="it-IT"/>
        </w:rPr>
      </w:pPr>
      <w:r w:rsidRPr="001457C8">
        <w:rPr>
          <w:lang w:val="it-IT"/>
        </w:rPr>
        <w:t>Muhammad-i-Furughi</w:t>
      </w:r>
      <w:r w:rsidRPr="001457C8">
        <w:rPr>
          <w:lang w:val="it-IT"/>
        </w:rPr>
        <w:tab/>
        <w:t>Muḥammad-i-Fúrú</w:t>
      </w:r>
      <w:r w:rsidRPr="001457C8">
        <w:rPr>
          <w:u w:val="single"/>
          <w:lang w:val="it-IT"/>
        </w:rPr>
        <w:t>gh</w:t>
      </w:r>
      <w:r w:rsidRPr="001457C8">
        <w:rPr>
          <w:lang w:val="it-IT"/>
        </w:rPr>
        <w:t>í</w:t>
      </w:r>
      <w:r w:rsidRPr="001457C8">
        <w:rPr>
          <w:lang w:val="it-IT"/>
        </w:rPr>
        <w:tab/>
      </w:r>
    </w:p>
    <w:p w14:paraId="5DD4BBC2" w14:textId="77777777" w:rsidR="00625A5B" w:rsidRPr="001457C8" w:rsidRDefault="00625A5B" w:rsidP="00900A82">
      <w:pPr>
        <w:pStyle w:val="Translit"/>
        <w:rPr>
          <w:lang w:val="it-IT"/>
        </w:rPr>
      </w:pPr>
      <w:r w:rsidRPr="001457C8">
        <w:rPr>
          <w:lang w:val="it-IT"/>
        </w:rPr>
        <w:t>Muhammad-i-Hadiy-i-Sahhaf</w:t>
      </w:r>
      <w:r w:rsidRPr="001457C8">
        <w:rPr>
          <w:lang w:val="it-IT"/>
        </w:rPr>
        <w:tab/>
        <w:t>Muḥammad-i-Hádíy-i-Ṣaḥḥáf</w:t>
      </w:r>
      <w:r w:rsidRPr="001457C8">
        <w:rPr>
          <w:lang w:val="it-IT"/>
        </w:rPr>
        <w:tab/>
      </w:r>
    </w:p>
    <w:p w14:paraId="4533E522" w14:textId="77777777" w:rsidR="00625A5B" w:rsidRPr="001457C8" w:rsidRDefault="00625A5B" w:rsidP="00900A82">
      <w:pPr>
        <w:pStyle w:val="Translit"/>
        <w:rPr>
          <w:lang w:val="it-IT"/>
        </w:rPr>
      </w:pPr>
      <w:r w:rsidRPr="001457C8">
        <w:rPr>
          <w:lang w:val="it-IT"/>
        </w:rPr>
        <w:t>Muhammad-i-Hana-Sab</w:t>
      </w:r>
      <w:r w:rsidRPr="001457C8">
        <w:rPr>
          <w:lang w:val="it-IT"/>
        </w:rPr>
        <w:tab/>
        <w:t>Muḥammad-i-Ḥaná-Sáb</w:t>
      </w:r>
      <w:r w:rsidRPr="001457C8">
        <w:rPr>
          <w:lang w:val="it-IT"/>
        </w:rPr>
        <w:tab/>
      </w:r>
    </w:p>
    <w:p w14:paraId="72EA1327" w14:textId="77777777" w:rsidR="00625A5B" w:rsidRPr="001457C8" w:rsidRDefault="00625A5B" w:rsidP="00EE4109">
      <w:pPr>
        <w:pStyle w:val="Translit"/>
        <w:rPr>
          <w:lang w:val="it-IT"/>
        </w:rPr>
      </w:pPr>
      <w:r w:rsidRPr="001457C8">
        <w:rPr>
          <w:lang w:val="it-IT"/>
        </w:rPr>
        <w:t>Muhammad-i-Isfahani, Siyyid</w:t>
      </w:r>
      <w:r w:rsidRPr="001457C8">
        <w:rPr>
          <w:lang w:val="it-IT"/>
        </w:rPr>
        <w:tab/>
        <w:t>Muḥammad-i-Iṣfahání, Siyyid</w:t>
      </w:r>
      <w:r w:rsidRPr="001457C8">
        <w:rPr>
          <w:lang w:val="it-IT"/>
        </w:rPr>
        <w:tab/>
        <w:t>d. 1872, Anti-Christ of the Bahá’í Revelation.</w:t>
      </w:r>
    </w:p>
    <w:p w14:paraId="18EDBC27" w14:textId="77777777" w:rsidR="00625A5B" w:rsidRPr="001457C8" w:rsidRDefault="00625A5B" w:rsidP="00900A82">
      <w:pPr>
        <w:pStyle w:val="Translit"/>
        <w:rPr>
          <w:lang w:val="it-IT"/>
        </w:rPr>
      </w:pPr>
      <w:r w:rsidRPr="001457C8">
        <w:rPr>
          <w:lang w:val="it-IT"/>
        </w:rPr>
        <w:t>Muhammad-i-Mamaqani</w:t>
      </w:r>
      <w:r w:rsidRPr="001457C8">
        <w:rPr>
          <w:lang w:val="it-IT"/>
        </w:rPr>
        <w:tab/>
        <w:t>Muḥammad-i-Mamáqání</w:t>
      </w:r>
      <w:r w:rsidRPr="001457C8">
        <w:rPr>
          <w:lang w:val="it-IT"/>
        </w:rPr>
        <w:tab/>
      </w:r>
    </w:p>
    <w:p w14:paraId="7357D6BE" w14:textId="77777777" w:rsidR="00625A5B" w:rsidRPr="001457C8" w:rsidRDefault="00625A5B" w:rsidP="00900A82">
      <w:pPr>
        <w:pStyle w:val="Translit"/>
        <w:rPr>
          <w:lang w:val="it-IT"/>
        </w:rPr>
      </w:pPr>
      <w:r w:rsidRPr="001457C8">
        <w:rPr>
          <w:lang w:val="it-IT"/>
        </w:rPr>
        <w:t>Muhammad-i-Manshadi</w:t>
      </w:r>
      <w:r w:rsidRPr="001457C8">
        <w:rPr>
          <w:lang w:val="it-IT"/>
        </w:rPr>
        <w:tab/>
        <w:t>Muḥammad-i-Man</w:t>
      </w:r>
      <w:r w:rsidRPr="001457C8">
        <w:rPr>
          <w:u w:val="single"/>
          <w:lang w:val="it-IT"/>
        </w:rPr>
        <w:t>sh</w:t>
      </w:r>
      <w:r w:rsidRPr="001457C8">
        <w:rPr>
          <w:lang w:val="it-IT"/>
        </w:rPr>
        <w:t>ádí</w:t>
      </w:r>
      <w:r w:rsidRPr="001457C8">
        <w:rPr>
          <w:lang w:val="it-IT"/>
        </w:rPr>
        <w:tab/>
      </w:r>
    </w:p>
    <w:p w14:paraId="0BD6282B" w14:textId="77777777" w:rsidR="00625A5B" w:rsidRPr="001457C8" w:rsidRDefault="00625A5B" w:rsidP="00900A82">
      <w:pPr>
        <w:pStyle w:val="Translit"/>
        <w:rPr>
          <w:lang w:val="it-IT"/>
        </w:rPr>
      </w:pPr>
      <w:r w:rsidRPr="001457C8">
        <w:rPr>
          <w:lang w:val="it-IT"/>
        </w:rPr>
        <w:t>Muhammad-i-Mazindarani</w:t>
      </w:r>
      <w:r w:rsidRPr="001457C8">
        <w:rPr>
          <w:lang w:val="it-IT"/>
        </w:rPr>
        <w:tab/>
        <w:t>Muḥammad-i-Mázindarání</w:t>
      </w:r>
      <w:r w:rsidRPr="001457C8">
        <w:rPr>
          <w:lang w:val="it-IT"/>
        </w:rPr>
        <w:tab/>
      </w:r>
    </w:p>
    <w:p w14:paraId="31CFB7BD" w14:textId="77777777" w:rsidR="00625A5B" w:rsidRPr="001457C8" w:rsidRDefault="00625A5B" w:rsidP="00900A82">
      <w:pPr>
        <w:pStyle w:val="Translit"/>
        <w:rPr>
          <w:lang w:val="it-IT"/>
        </w:rPr>
      </w:pPr>
      <w:r w:rsidRPr="001457C8">
        <w:rPr>
          <w:lang w:val="it-IT"/>
        </w:rPr>
        <w:t>Muhammad-i-Mukari</w:t>
      </w:r>
      <w:r w:rsidRPr="001457C8">
        <w:rPr>
          <w:lang w:val="it-IT"/>
        </w:rPr>
        <w:tab/>
        <w:t>Muḥammad-i-Mukárí</w:t>
      </w:r>
      <w:r w:rsidRPr="001457C8">
        <w:rPr>
          <w:lang w:val="it-IT"/>
        </w:rPr>
        <w:tab/>
        <w:t>Mír Muḥammad-i-Mukárí</w:t>
      </w:r>
    </w:p>
    <w:p w14:paraId="08C89765" w14:textId="77777777" w:rsidR="00625A5B" w:rsidRPr="001457C8" w:rsidRDefault="00625A5B" w:rsidP="00900A82">
      <w:pPr>
        <w:pStyle w:val="Translit"/>
        <w:rPr>
          <w:lang w:val="it-IT"/>
        </w:rPr>
      </w:pPr>
      <w:r w:rsidRPr="001457C8">
        <w:rPr>
          <w:lang w:val="it-IT"/>
        </w:rPr>
        <w:t>Muhammad-i-Mustafay</w:t>
      </w:r>
      <w:r w:rsidRPr="001457C8">
        <w:rPr>
          <w:lang w:val="it-IT"/>
        </w:rPr>
        <w:tab/>
        <w:t>Muḥammad-i-Muṣṭafáy-i-Ba</w:t>
      </w:r>
      <w:r w:rsidRPr="001457C8">
        <w:rPr>
          <w:u w:val="single"/>
          <w:lang w:val="it-IT"/>
        </w:rPr>
        <w:t>gh</w:t>
      </w:r>
      <w:r w:rsidRPr="001457C8">
        <w:rPr>
          <w:lang w:val="it-IT"/>
        </w:rPr>
        <w:t>dádí</w:t>
      </w:r>
      <w:r w:rsidRPr="001457C8">
        <w:rPr>
          <w:lang w:val="it-IT"/>
        </w:rPr>
        <w:tab/>
      </w:r>
    </w:p>
    <w:p w14:paraId="1264A6FB" w14:textId="77777777" w:rsidR="00625A5B" w:rsidRPr="001457C8" w:rsidRDefault="00625A5B" w:rsidP="00900A82">
      <w:pPr>
        <w:pStyle w:val="Translit"/>
        <w:rPr>
          <w:lang w:val="it-IT"/>
        </w:rPr>
      </w:pPr>
      <w:r w:rsidRPr="001457C8">
        <w:rPr>
          <w:lang w:val="it-IT"/>
        </w:rPr>
        <w:t>Muhammad-i-Qa’ini</w:t>
      </w:r>
      <w:r w:rsidRPr="001457C8">
        <w:rPr>
          <w:lang w:val="it-IT"/>
        </w:rPr>
        <w:tab/>
        <w:t>Muḥammad-i-Qá’iní</w:t>
      </w:r>
      <w:r w:rsidRPr="001457C8">
        <w:rPr>
          <w:lang w:val="it-IT"/>
        </w:rPr>
        <w:tab/>
        <w:t>(Nabíl-i-Akbar)</w:t>
      </w:r>
    </w:p>
    <w:p w14:paraId="3A66A1E2" w14:textId="77777777" w:rsidR="00625A5B" w:rsidRPr="001457C8" w:rsidRDefault="00625A5B" w:rsidP="00900A82">
      <w:pPr>
        <w:pStyle w:val="Translit"/>
        <w:rPr>
          <w:lang w:val="it-IT"/>
        </w:rPr>
      </w:pPr>
      <w:r w:rsidRPr="001457C8">
        <w:rPr>
          <w:lang w:val="it-IT"/>
        </w:rPr>
        <w:t>Muhammad-i-Sarraf</w:t>
      </w:r>
      <w:r w:rsidRPr="001457C8">
        <w:rPr>
          <w:lang w:val="it-IT"/>
        </w:rPr>
        <w:tab/>
        <w:t>Muḥammad-i-Sarraf</w:t>
      </w:r>
      <w:r w:rsidRPr="001457C8">
        <w:rPr>
          <w:lang w:val="it-IT"/>
        </w:rPr>
        <w:tab/>
        <w:t>(</w:t>
      </w:r>
      <w:r w:rsidRPr="001457C8">
        <w:rPr>
          <w:sz w:val="16"/>
          <w:szCs w:val="16"/>
          <w:lang w:val="it-IT"/>
        </w:rPr>
        <w:t>MF</w:t>
      </w:r>
      <w:r w:rsidRPr="001457C8">
        <w:rPr>
          <w:lang w:val="it-IT"/>
        </w:rPr>
        <w:t xml:space="preserve"> 13)</w:t>
      </w:r>
    </w:p>
    <w:p w14:paraId="0E5D2582" w14:textId="77777777" w:rsidR="00625A5B" w:rsidRPr="001457C8" w:rsidRDefault="00625A5B" w:rsidP="00900A82">
      <w:pPr>
        <w:pStyle w:val="Translit"/>
        <w:rPr>
          <w:lang w:val="it-IT"/>
        </w:rPr>
      </w:pPr>
      <w:r w:rsidRPr="001457C8">
        <w:rPr>
          <w:lang w:val="it-IT"/>
        </w:rPr>
        <w:t>Muhammad-i-Shibl</w:t>
      </w:r>
      <w:r w:rsidRPr="001457C8">
        <w:rPr>
          <w:lang w:val="it-IT"/>
        </w:rPr>
        <w:tab/>
        <w:t>Muḥammad-i-</w:t>
      </w:r>
      <w:r w:rsidRPr="001457C8">
        <w:rPr>
          <w:u w:val="single"/>
          <w:lang w:val="it-IT"/>
        </w:rPr>
        <w:t>Sh</w:t>
      </w:r>
      <w:r w:rsidRPr="001457C8">
        <w:rPr>
          <w:lang w:val="it-IT"/>
        </w:rPr>
        <w:t>ibl</w:t>
      </w:r>
      <w:r w:rsidRPr="001457C8">
        <w:rPr>
          <w:lang w:val="it-IT"/>
        </w:rPr>
        <w:tab/>
        <w:t>(</w:t>
      </w:r>
      <w:r w:rsidRPr="001457C8">
        <w:rPr>
          <w:sz w:val="16"/>
          <w:szCs w:val="16"/>
          <w:lang w:val="it-IT"/>
        </w:rPr>
        <w:t>MF</w:t>
      </w:r>
      <w:r w:rsidRPr="001457C8">
        <w:rPr>
          <w:lang w:val="it-IT"/>
        </w:rPr>
        <w:t>)</w:t>
      </w:r>
    </w:p>
    <w:p w14:paraId="2674ADDE" w14:textId="77777777" w:rsidR="00625A5B" w:rsidRPr="001457C8" w:rsidRDefault="00625A5B" w:rsidP="00900A82">
      <w:pPr>
        <w:pStyle w:val="Translit"/>
        <w:rPr>
          <w:lang w:val="it-IT"/>
        </w:rPr>
      </w:pPr>
      <w:r w:rsidRPr="001457C8">
        <w:rPr>
          <w:lang w:val="it-IT"/>
        </w:rPr>
        <w:t>Muhammad-Isma’il</w:t>
      </w:r>
      <w:r w:rsidRPr="001457C8">
        <w:rPr>
          <w:lang w:val="it-IT"/>
        </w:rPr>
        <w:tab/>
        <w:t>Muḥammad-Ismá‘íl</w:t>
      </w:r>
      <w:r w:rsidRPr="001457C8">
        <w:rPr>
          <w:lang w:val="it-IT"/>
        </w:rPr>
        <w:tab/>
      </w:r>
    </w:p>
    <w:p w14:paraId="653ED59E" w14:textId="77777777" w:rsidR="00625A5B" w:rsidRPr="001457C8" w:rsidRDefault="00625A5B" w:rsidP="00900A82">
      <w:pPr>
        <w:pStyle w:val="Translit"/>
        <w:rPr>
          <w:lang w:val="it-IT"/>
        </w:rPr>
      </w:pPr>
      <w:r w:rsidRPr="001457C8">
        <w:rPr>
          <w:lang w:val="it-IT"/>
        </w:rPr>
        <w:t>Muhammad-i-Tabrizi</w:t>
      </w:r>
      <w:r w:rsidRPr="001457C8">
        <w:rPr>
          <w:lang w:val="it-IT"/>
        </w:rPr>
        <w:tab/>
        <w:t>Muḥammad-i-Tabrízí</w:t>
      </w:r>
      <w:r w:rsidRPr="001457C8">
        <w:rPr>
          <w:lang w:val="it-IT"/>
        </w:rPr>
        <w:tab/>
      </w:r>
    </w:p>
    <w:p w14:paraId="3696028A" w14:textId="77777777" w:rsidR="00625A5B" w:rsidRPr="001457C8" w:rsidRDefault="00625A5B" w:rsidP="003C3BFD">
      <w:pPr>
        <w:pStyle w:val="Translit"/>
        <w:rPr>
          <w:lang w:val="it-IT"/>
        </w:rPr>
      </w:pPr>
      <w:r w:rsidRPr="001457C8">
        <w:rPr>
          <w:lang w:val="it-IT"/>
        </w:rPr>
        <w:t>Muhammad-i-Tahir-i-Malmiri, Haji</w:t>
      </w:r>
      <w:r w:rsidRPr="001457C8">
        <w:rPr>
          <w:lang w:val="it-IT"/>
        </w:rPr>
        <w:tab/>
        <w:t>Muḥammad-i-Ṭáhir-i-Málmírí, Ḥájí</w:t>
      </w:r>
      <w:r w:rsidRPr="001457C8">
        <w:rPr>
          <w:lang w:val="it-IT"/>
        </w:rPr>
        <w:tab/>
        <w:t>father of Habib and Adib Taherzadeh</w:t>
      </w:r>
    </w:p>
    <w:p w14:paraId="33EC3071" w14:textId="77777777" w:rsidR="00625A5B" w:rsidRPr="001457C8" w:rsidRDefault="00625A5B" w:rsidP="00900A82">
      <w:pPr>
        <w:pStyle w:val="Translit"/>
        <w:rPr>
          <w:lang w:val="it-IT"/>
        </w:rPr>
      </w:pPr>
      <w:r w:rsidRPr="001457C8">
        <w:rPr>
          <w:lang w:val="it-IT"/>
        </w:rPr>
        <w:t>Muhammad-i-Vakil</w:t>
      </w:r>
      <w:r w:rsidRPr="001457C8">
        <w:rPr>
          <w:lang w:val="it-IT"/>
        </w:rPr>
        <w:tab/>
        <w:t>Muḥammad-i-Vakíl</w:t>
      </w:r>
      <w:r w:rsidRPr="001457C8">
        <w:rPr>
          <w:lang w:val="it-IT"/>
        </w:rPr>
        <w:tab/>
        <w:t>(</w:t>
      </w:r>
      <w:r w:rsidRPr="001457C8">
        <w:rPr>
          <w:sz w:val="16"/>
          <w:szCs w:val="16"/>
          <w:lang w:val="it-IT"/>
        </w:rPr>
        <w:t>MF</w:t>
      </w:r>
      <w:r w:rsidRPr="001457C8">
        <w:rPr>
          <w:lang w:val="it-IT"/>
        </w:rPr>
        <w:t>)</w:t>
      </w:r>
    </w:p>
    <w:p w14:paraId="070B1D65" w14:textId="77777777" w:rsidR="00625A5B" w:rsidRPr="001457C8" w:rsidRDefault="00625A5B" w:rsidP="00900A82">
      <w:pPr>
        <w:pStyle w:val="Translit"/>
        <w:rPr>
          <w:lang w:val="it-IT"/>
        </w:rPr>
      </w:pPr>
      <w:r w:rsidRPr="001457C8">
        <w:rPr>
          <w:lang w:val="it-IT"/>
        </w:rPr>
        <w:t>Muhammad-i-Zarandi</w:t>
      </w:r>
      <w:r w:rsidRPr="001457C8">
        <w:rPr>
          <w:lang w:val="it-IT"/>
        </w:rPr>
        <w:tab/>
        <w:t>Muḥammad-i-Zarandí</w:t>
      </w:r>
      <w:r w:rsidRPr="001457C8">
        <w:rPr>
          <w:lang w:val="it-IT"/>
        </w:rPr>
        <w:tab/>
        <w:t>Mullá Muḥammad-i-Zarandí (title Nabíl-i-A’ẓam)</w:t>
      </w:r>
    </w:p>
    <w:p w14:paraId="507363F6" w14:textId="77777777" w:rsidR="00625A5B" w:rsidRPr="001457C8" w:rsidRDefault="00625A5B" w:rsidP="00900A82">
      <w:pPr>
        <w:pStyle w:val="Translit"/>
        <w:rPr>
          <w:lang w:val="it-IT"/>
        </w:rPr>
      </w:pPr>
      <w:r w:rsidRPr="001457C8">
        <w:rPr>
          <w:lang w:val="it-IT"/>
        </w:rPr>
        <w:t>Muhammad-Ja’far</w:t>
      </w:r>
      <w:r w:rsidRPr="001457C8">
        <w:rPr>
          <w:lang w:val="it-IT"/>
        </w:rPr>
        <w:tab/>
        <w:t>Muḥammad-Ja‘far</w:t>
      </w:r>
      <w:r w:rsidRPr="001457C8">
        <w:rPr>
          <w:lang w:val="it-IT"/>
        </w:rPr>
        <w:tab/>
      </w:r>
    </w:p>
    <w:p w14:paraId="75CEBE03" w14:textId="77777777" w:rsidR="00625A5B" w:rsidRPr="001457C8" w:rsidRDefault="00625A5B" w:rsidP="00900A82">
      <w:pPr>
        <w:pStyle w:val="Translit"/>
        <w:rPr>
          <w:lang w:val="it-IT"/>
        </w:rPr>
      </w:pPr>
      <w:r w:rsidRPr="001457C8">
        <w:rPr>
          <w:lang w:val="it-IT"/>
        </w:rPr>
        <w:t>Muhammad-Javad-i-Qazvini</w:t>
      </w:r>
      <w:r w:rsidRPr="001457C8">
        <w:rPr>
          <w:lang w:val="it-IT"/>
        </w:rPr>
        <w:tab/>
        <w:t>Muḥammad-Javád-i-Qazvíní</w:t>
      </w:r>
      <w:r w:rsidRPr="001457C8">
        <w:rPr>
          <w:lang w:val="it-IT"/>
        </w:rPr>
        <w:tab/>
      </w:r>
    </w:p>
    <w:p w14:paraId="175C7DA4" w14:textId="77777777" w:rsidR="00625A5B" w:rsidRPr="001457C8" w:rsidRDefault="00625A5B" w:rsidP="00900A82">
      <w:pPr>
        <w:pStyle w:val="Translit"/>
        <w:rPr>
          <w:lang w:val="it-IT"/>
        </w:rPr>
      </w:pPr>
      <w:r w:rsidRPr="001457C8">
        <w:rPr>
          <w:lang w:val="it-IT"/>
        </w:rPr>
        <w:t>Muhammad-Kamal</w:t>
      </w:r>
      <w:r w:rsidRPr="001457C8">
        <w:rPr>
          <w:lang w:val="it-IT"/>
        </w:rPr>
        <w:tab/>
        <w:t>Muḥammad-Kamál</w:t>
      </w:r>
      <w:r w:rsidRPr="001457C8">
        <w:rPr>
          <w:lang w:val="it-IT"/>
        </w:rPr>
        <w:tab/>
      </w:r>
    </w:p>
    <w:p w14:paraId="524CBC7E" w14:textId="77777777" w:rsidR="00625A5B" w:rsidRPr="001457C8" w:rsidRDefault="00625A5B" w:rsidP="00900A82">
      <w:pPr>
        <w:pStyle w:val="Translit"/>
        <w:rPr>
          <w:lang w:val="it-IT"/>
        </w:rPr>
      </w:pPr>
      <w:r w:rsidRPr="001457C8">
        <w:rPr>
          <w:lang w:val="it-IT"/>
        </w:rPr>
        <w:t>Muhammad-Karim</w:t>
      </w:r>
      <w:r w:rsidRPr="001457C8">
        <w:rPr>
          <w:lang w:val="it-IT"/>
        </w:rPr>
        <w:tab/>
        <w:t>Muḥammad-Karím</w:t>
      </w:r>
      <w:r w:rsidRPr="001457C8">
        <w:rPr>
          <w:lang w:val="it-IT"/>
        </w:rPr>
        <w:tab/>
      </w:r>
    </w:p>
    <w:p w14:paraId="64E8054A" w14:textId="77777777" w:rsidR="00625A5B" w:rsidRPr="001457C8" w:rsidRDefault="00625A5B" w:rsidP="00900A82">
      <w:pPr>
        <w:pStyle w:val="Translit"/>
        <w:rPr>
          <w:lang w:val="it-IT"/>
        </w:rPr>
      </w:pPr>
      <w:r w:rsidRPr="001457C8">
        <w:rPr>
          <w:lang w:val="it-IT"/>
        </w:rPr>
        <w:t>Muhammad-Karim-i</w:t>
      </w:r>
      <w:r w:rsidRPr="001457C8">
        <w:rPr>
          <w:rFonts w:eastAsia="PMingLiU"/>
          <w:lang w:val="it-IT" w:eastAsia="zh-TW"/>
        </w:rPr>
        <w:t>-‘</w:t>
      </w:r>
      <w:r w:rsidRPr="001457C8">
        <w:rPr>
          <w:lang w:val="it-IT"/>
        </w:rPr>
        <w:t>Attar</w:t>
      </w:r>
      <w:r w:rsidRPr="001457C8">
        <w:rPr>
          <w:lang w:val="it-IT"/>
        </w:rPr>
        <w:tab/>
        <w:t>Muḥammad-Karím-i-‘Aṭṭár</w:t>
      </w:r>
      <w:r w:rsidRPr="001457C8">
        <w:rPr>
          <w:lang w:val="it-IT"/>
        </w:rPr>
        <w:tab/>
      </w:r>
    </w:p>
    <w:p w14:paraId="341FC7B8" w14:textId="77777777" w:rsidR="00625A5B" w:rsidRPr="001457C8" w:rsidRDefault="00625A5B" w:rsidP="00900A82">
      <w:pPr>
        <w:pStyle w:val="Translit"/>
        <w:rPr>
          <w:lang w:val="it-IT"/>
        </w:rPr>
      </w:pPr>
      <w:r w:rsidRPr="001457C8">
        <w:rPr>
          <w:lang w:val="it-IT"/>
        </w:rPr>
        <w:t>Muhammad-Mihdi</w:t>
      </w:r>
      <w:r w:rsidRPr="001457C8">
        <w:rPr>
          <w:lang w:val="it-IT"/>
        </w:rPr>
        <w:tab/>
        <w:t>Muḥammad-Mihdí</w:t>
      </w:r>
      <w:r w:rsidRPr="001457C8">
        <w:rPr>
          <w:lang w:val="it-IT"/>
        </w:rPr>
        <w:tab/>
      </w:r>
    </w:p>
    <w:p w14:paraId="423D9D88" w14:textId="77777777" w:rsidR="00625A5B" w:rsidRPr="001457C8" w:rsidRDefault="00625A5B" w:rsidP="00900A82">
      <w:pPr>
        <w:pStyle w:val="Translit"/>
        <w:rPr>
          <w:lang w:val="it-IT"/>
        </w:rPr>
      </w:pPr>
      <w:r w:rsidRPr="001457C8">
        <w:rPr>
          <w:lang w:val="it-IT"/>
        </w:rPr>
        <w:t>Muhammad-Mustafa</w:t>
      </w:r>
      <w:r w:rsidRPr="001457C8">
        <w:rPr>
          <w:lang w:val="it-IT"/>
        </w:rPr>
        <w:tab/>
        <w:t>Muḥammad-Muṣṭafá</w:t>
      </w:r>
      <w:r w:rsidRPr="001457C8">
        <w:rPr>
          <w:lang w:val="it-IT"/>
        </w:rPr>
        <w:tab/>
      </w:r>
    </w:p>
    <w:p w14:paraId="50D15361" w14:textId="77777777" w:rsidR="00625A5B" w:rsidRPr="001457C8" w:rsidRDefault="00625A5B" w:rsidP="00900A82">
      <w:pPr>
        <w:pStyle w:val="Translit"/>
        <w:rPr>
          <w:lang w:val="it-IT"/>
        </w:rPr>
      </w:pPr>
      <w:r w:rsidRPr="001457C8">
        <w:rPr>
          <w:lang w:val="it-IT"/>
        </w:rPr>
        <w:t>Muhammad-Quli</w:t>
      </w:r>
      <w:r w:rsidRPr="001457C8">
        <w:rPr>
          <w:lang w:val="it-IT"/>
        </w:rPr>
        <w:tab/>
        <w:t>Muḥammad-Qulí</w:t>
      </w:r>
      <w:r w:rsidRPr="001457C8">
        <w:rPr>
          <w:lang w:val="it-IT"/>
        </w:rPr>
        <w:tab/>
        <w:t>Mírzá Muḥammad-Qulí  Faithful half-brother of Bahá’u’lláh.</w:t>
      </w:r>
    </w:p>
    <w:p w14:paraId="09789C70" w14:textId="77777777" w:rsidR="00625A5B" w:rsidRPr="008F03E5" w:rsidRDefault="00625A5B" w:rsidP="00420496">
      <w:pPr>
        <w:pStyle w:val="Translit"/>
      </w:pPr>
      <w:r w:rsidRPr="008F03E5">
        <w:t>Muhammad-Rida</w:t>
      </w:r>
      <w:r w:rsidRPr="008F03E5">
        <w:tab/>
        <w:t>Muḥammad-Riḍá</w:t>
      </w:r>
      <w:r w:rsidRPr="008F03E5">
        <w:tab/>
        <w:t>Mírzá Muḥammad-Riḍá, father of the Báb, who died 1828 when the Báb was 9 years old</w:t>
      </w:r>
    </w:p>
    <w:p w14:paraId="73163340" w14:textId="77777777" w:rsidR="00625A5B" w:rsidRPr="008F03E5" w:rsidRDefault="00625A5B" w:rsidP="00900A82">
      <w:pPr>
        <w:pStyle w:val="Translit"/>
      </w:pPr>
      <w:r w:rsidRPr="008F03E5">
        <w:t>Muhammad-Riday-i-Isfahani</w:t>
      </w:r>
      <w:r w:rsidRPr="008F03E5">
        <w:tab/>
        <w:t>Muḥammad-Riḍáy-i-Iṣfahání</w:t>
      </w:r>
      <w:r w:rsidRPr="008F03E5">
        <w:tab/>
      </w:r>
    </w:p>
    <w:p w14:paraId="35B911CA" w14:textId="77777777" w:rsidR="00625A5B" w:rsidRPr="008F03E5" w:rsidRDefault="00625A5B" w:rsidP="00900A82">
      <w:pPr>
        <w:pStyle w:val="Translit"/>
      </w:pPr>
      <w:r w:rsidRPr="008F03E5">
        <w:t>Muhammad-Riday-i-Shirazi</w:t>
      </w:r>
      <w:r w:rsidRPr="008F03E5">
        <w:tab/>
        <w:t>Muḥammad-Riḍáy-i-</w:t>
      </w:r>
      <w:r w:rsidRPr="008F03E5">
        <w:rPr>
          <w:u w:val="single"/>
        </w:rPr>
        <w:t>Sh</w:t>
      </w:r>
      <w:r w:rsidRPr="008F03E5">
        <w:t>írází</w:t>
      </w:r>
      <w:r w:rsidRPr="008F03E5">
        <w:tab/>
        <w:t>(</w:t>
      </w:r>
      <w:r w:rsidRPr="008F03E5">
        <w:rPr>
          <w:sz w:val="16"/>
          <w:szCs w:val="16"/>
        </w:rPr>
        <w:t>MF</w:t>
      </w:r>
      <w:r w:rsidRPr="008F03E5">
        <w:t>)</w:t>
      </w:r>
    </w:p>
    <w:p w14:paraId="17EC4FAC" w14:textId="77777777" w:rsidR="00625A5B" w:rsidRPr="008F03E5" w:rsidRDefault="00625A5B" w:rsidP="00900A82">
      <w:pPr>
        <w:pStyle w:val="Translit"/>
      </w:pPr>
      <w:r w:rsidRPr="008F03E5">
        <w:t>Muhammad-Riday-i-Yazdi</w:t>
      </w:r>
      <w:r w:rsidRPr="008F03E5">
        <w:tab/>
        <w:t>Muḥammad-Riḍáy-i-Yazdí</w:t>
      </w:r>
      <w:r w:rsidRPr="008F03E5">
        <w:tab/>
      </w:r>
    </w:p>
    <w:p w14:paraId="5FB9326E" w14:textId="77777777" w:rsidR="00625A5B" w:rsidRPr="008F03E5" w:rsidRDefault="00625A5B" w:rsidP="00900A82">
      <w:pPr>
        <w:pStyle w:val="Translit"/>
      </w:pPr>
      <w:r w:rsidRPr="008F03E5">
        <w:t>Muhammad-Sadiq</w:t>
      </w:r>
      <w:r w:rsidRPr="008F03E5">
        <w:tab/>
        <w:t>Muḥammad-Ṣádiq</w:t>
      </w:r>
      <w:r w:rsidRPr="008F03E5">
        <w:tab/>
      </w:r>
    </w:p>
    <w:p w14:paraId="5ED08199" w14:textId="77777777" w:rsidR="00625A5B" w:rsidRPr="008F03E5" w:rsidRDefault="00625A5B" w:rsidP="00403DF9">
      <w:pPr>
        <w:pStyle w:val="Translit"/>
      </w:pPr>
      <w:r w:rsidRPr="008F03E5">
        <w:t>Muhammad-Taqi</w:t>
      </w:r>
      <w:r w:rsidRPr="008F03E5">
        <w:tab/>
        <w:t>Muḥammad-Taqí</w:t>
      </w:r>
      <w:r w:rsidRPr="008F03E5">
        <w:tab/>
        <w:t>Ḥájí Mírzá Muḥammad-Taqí (Hand of the Cause of God addressed by Bahá’u’lláh as ibn-i-Abhar—”the son of Abhar”), son of Ḥájí Mírzá Siyyid Muḥammad, eldest maternal uncle of the Báb.  He was Vakílu’d-Dawlih, very wealthy, a former Russian consular agent in Yazd.  In about 1900 he moved to ‘I</w:t>
      </w:r>
      <w:r w:rsidRPr="008F03E5">
        <w:rPr>
          <w:u w:val="single"/>
        </w:rPr>
        <w:t>sh</w:t>
      </w:r>
      <w:r w:rsidRPr="008F03E5">
        <w:t>qábád where he consecrated his wealth to the building of the first Ma</w:t>
      </w:r>
      <w:r w:rsidRPr="008F03E5">
        <w:rPr>
          <w:u w:val="single"/>
        </w:rPr>
        <w:t>sh</w:t>
      </w:r>
      <w:r w:rsidRPr="008F03E5">
        <w:t>riqu’l-A</w:t>
      </w:r>
      <w:r w:rsidRPr="008F03E5">
        <w:rPr>
          <w:u w:val="single"/>
        </w:rPr>
        <w:t>dh</w:t>
      </w:r>
      <w:r w:rsidRPr="008F03E5">
        <w:t>kár of the Bahá’í world.  He moved to ‘Akká in 1906 (the temple structure was almost complete), where he died five years later.</w:t>
      </w:r>
    </w:p>
    <w:p w14:paraId="0008AA0B" w14:textId="77777777" w:rsidR="00625A5B" w:rsidRPr="008F03E5" w:rsidRDefault="00625A5B" w:rsidP="00900A82">
      <w:pPr>
        <w:pStyle w:val="Translit"/>
      </w:pPr>
      <w:r w:rsidRPr="008F03E5">
        <w:t>Muhammad-Taqiy-i-Najafi</w:t>
      </w:r>
      <w:r w:rsidRPr="008F03E5">
        <w:tab/>
        <w:t>Muḥammad-Taqíy-i-Najafí</w:t>
      </w:r>
      <w:r w:rsidRPr="008F03E5">
        <w:tab/>
      </w:r>
      <w:r w:rsidRPr="008F03E5">
        <w:rPr>
          <w:u w:val="single"/>
        </w:rPr>
        <w:t>Sh</w:t>
      </w:r>
      <w:r w:rsidRPr="008F03E5">
        <w:t>ay</w:t>
      </w:r>
      <w:r w:rsidRPr="008F03E5">
        <w:rPr>
          <w:u w:val="single"/>
        </w:rPr>
        <w:t>kh</w:t>
      </w:r>
      <w:r w:rsidRPr="008F03E5">
        <w:t xml:space="preserve"> Muḥammad-Taqíy-i-Najafí.  Also known as Áqá Najafí, ‘The Son of the Wolf’</w:t>
      </w:r>
    </w:p>
    <w:p w14:paraId="67702B34" w14:textId="77777777" w:rsidR="00625A5B" w:rsidRPr="008F03E5" w:rsidRDefault="00625A5B" w:rsidP="00C55FDC">
      <w:pPr>
        <w:pStyle w:val="Translit"/>
      </w:pPr>
      <w:r w:rsidRPr="008F03E5">
        <w:t>Muhammadun Rasulu’llah</w:t>
      </w:r>
      <w:r w:rsidRPr="008F03E5">
        <w:tab/>
        <w:t>Muḥammadun Rasúlu’lláh</w:t>
      </w:r>
      <w:r w:rsidRPr="008F03E5">
        <w:tab/>
        <w:t xml:space="preserve">Lá Iláha Illa’lláh, Muḥammadun Rasúlu’lláh (There is no God but God and Muḥammad is his messenger—split into Letters of Denial (5) followed by Letters of Affirmation (5) [Muḥammad, ‘Alí, Fáṭima, al-Ḥasan and al-Ḥusayn]).  The </w:t>
      </w:r>
      <w:r w:rsidRPr="008F03E5">
        <w:rPr>
          <w:u w:val="single"/>
        </w:rPr>
        <w:t>Sh</w:t>
      </w:r>
      <w:r w:rsidRPr="008F03E5">
        <w:t>í‘ah call to prayer (</w:t>
      </w:r>
      <w:r w:rsidRPr="008F03E5">
        <w:rPr>
          <w:i/>
          <w:iCs/>
        </w:rPr>
        <w:t>a</w:t>
      </w:r>
      <w:r w:rsidRPr="008F03E5">
        <w:rPr>
          <w:i/>
          <w:iCs/>
          <w:u w:val="single"/>
        </w:rPr>
        <w:t>dh</w:t>
      </w:r>
      <w:r w:rsidRPr="008F03E5">
        <w:rPr>
          <w:i/>
          <w:iCs/>
        </w:rPr>
        <w:t>án</w:t>
      </w:r>
      <w:r w:rsidRPr="008F03E5">
        <w:t xml:space="preserve">) contains the additional statement </w:t>
      </w:r>
      <w:r w:rsidRPr="008F03E5">
        <w:rPr>
          <w:i/>
          <w:iCs/>
        </w:rPr>
        <w:t>‘Alíun valíu’lláh</w:t>
      </w:r>
      <w:r w:rsidRPr="008F03E5">
        <w:t xml:space="preserve"> (‘Alí is God’s “friend”, “helper”, “defender” and or “vicegerent”).</w:t>
      </w:r>
    </w:p>
    <w:p w14:paraId="55366779" w14:textId="77777777" w:rsidR="00625A5B" w:rsidRPr="008F03E5" w:rsidRDefault="00625A5B" w:rsidP="007030C5">
      <w:pPr>
        <w:pStyle w:val="Translit"/>
      </w:pPr>
      <w:r w:rsidRPr="008F03E5">
        <w:t>Muhammar</w:t>
      </w:r>
      <w:r w:rsidRPr="008F03E5">
        <w:tab/>
        <w:t>Muḥammar</w:t>
      </w:r>
      <w:r w:rsidRPr="008F03E5">
        <w:tab/>
        <w:t>roasted</w:t>
      </w:r>
    </w:p>
    <w:p w14:paraId="232C5E8E" w14:textId="77777777" w:rsidR="00625A5B" w:rsidRPr="008F03E5" w:rsidRDefault="00625A5B" w:rsidP="0039797A">
      <w:pPr>
        <w:pStyle w:val="Translit"/>
      </w:pPr>
      <w:r w:rsidRPr="008F03E5">
        <w:t>Muhammara (Muhammerah)</w:t>
      </w:r>
      <w:r w:rsidRPr="008F03E5">
        <w:tab/>
        <w:t>Muḥammara[h or t]</w:t>
      </w:r>
      <w:r w:rsidRPr="008F03E5">
        <w:tab/>
        <w:t xml:space="preserve">reddish (from aḥmar).  al-Muḥammarah was renamed </w:t>
      </w:r>
      <w:r w:rsidRPr="008F03E5">
        <w:rPr>
          <w:u w:val="single"/>
        </w:rPr>
        <w:t>Kh</w:t>
      </w:r>
      <w:r w:rsidRPr="008F03E5">
        <w:t>urram</w:t>
      </w:r>
      <w:r w:rsidRPr="008F03E5">
        <w:rPr>
          <w:u w:val="single"/>
        </w:rPr>
        <w:t>sh</w:t>
      </w:r>
      <w:r w:rsidRPr="008F03E5">
        <w:t xml:space="preserve">ahr (30.427181, 48.187628; 43 km </w:t>
      </w:r>
      <w:r w:rsidRPr="008F03E5">
        <w:rPr>
          <w:sz w:val="16"/>
          <w:szCs w:val="16"/>
        </w:rPr>
        <w:t>ESE</w:t>
      </w:r>
      <w:r w:rsidRPr="008F03E5">
        <w:t xml:space="preserve"> al-Baṣrah) in the mid-1920s.  Pers. also Muḥammarih.</w:t>
      </w:r>
    </w:p>
    <w:p w14:paraId="78344001" w14:textId="77777777" w:rsidR="00625A5B" w:rsidRPr="008F03E5" w:rsidRDefault="00625A5B" w:rsidP="00D40E48">
      <w:pPr>
        <w:pStyle w:val="Translit"/>
      </w:pPr>
      <w:r w:rsidRPr="008F03E5">
        <w:t>Muhandis</w:t>
      </w:r>
      <w:r w:rsidRPr="008F03E5">
        <w:tab/>
        <w:t>Muhandis</w:t>
      </w:r>
      <w:r w:rsidRPr="008F03E5">
        <w:tab/>
        <w:t>architect, engineer, technician</w:t>
      </w:r>
    </w:p>
    <w:p w14:paraId="07885F14" w14:textId="77777777" w:rsidR="00625A5B" w:rsidRPr="008F03E5" w:rsidRDefault="00625A5B" w:rsidP="00215623">
      <w:pPr>
        <w:pStyle w:val="Translit"/>
      </w:pPr>
      <w:r w:rsidRPr="008F03E5">
        <w:t>Muhaqqiq</w:t>
      </w:r>
      <w:r w:rsidRPr="008F03E5">
        <w:tab/>
        <w:t>Muḥaqqiq</w:t>
      </w:r>
      <w:r w:rsidRPr="008F03E5">
        <w:tab/>
        <w:t>investigator; inquirer; examining magistrate; researcher</w:t>
      </w:r>
    </w:p>
    <w:p w14:paraId="15B4275C" w14:textId="77777777" w:rsidR="00625A5B" w:rsidRPr="008F03E5" w:rsidRDefault="00625A5B" w:rsidP="00215623">
      <w:pPr>
        <w:pStyle w:val="Translit"/>
      </w:pPr>
      <w:r w:rsidRPr="008F03E5">
        <w:t>Muharib</w:t>
      </w:r>
      <w:r w:rsidRPr="008F03E5">
        <w:tab/>
        <w:t>Muḥárib</w:t>
      </w:r>
      <w:r w:rsidRPr="008F03E5">
        <w:tab/>
        <w:t>warring, belligerent; warrior, combatant, fighter</w:t>
      </w:r>
    </w:p>
    <w:p w14:paraId="3B56A487" w14:textId="77777777" w:rsidR="00625A5B" w:rsidRPr="008F03E5" w:rsidRDefault="00625A5B" w:rsidP="00EE55CA">
      <w:pPr>
        <w:pStyle w:val="Translit"/>
      </w:pPr>
      <w:r w:rsidRPr="008F03E5">
        <w:t>Muharram</w:t>
      </w:r>
      <w:r w:rsidRPr="008F03E5">
        <w:tab/>
        <w:t>Muḥarram</w:t>
      </w:r>
      <w:r w:rsidRPr="008F03E5">
        <w:tab/>
        <w:t>forbidden, unlawful; the sacred enclosure of Mecca; the first month in the Islamic calendar.</w:t>
      </w:r>
    </w:p>
    <w:p w14:paraId="05F29A0D" w14:textId="77777777" w:rsidR="00625A5B" w:rsidRPr="008F03E5" w:rsidRDefault="00625A5B" w:rsidP="00215623">
      <w:pPr>
        <w:pStyle w:val="Translit"/>
      </w:pPr>
      <w:r w:rsidRPr="008F03E5">
        <w:t>Muharraq</w:t>
      </w:r>
      <w:r w:rsidRPr="008F03E5">
        <w:tab/>
      </w:r>
      <w:bookmarkStart w:id="110" w:name="_Hlk60320096"/>
      <w:r w:rsidRPr="008F03E5">
        <w:t>Muḥarraq</w:t>
      </w:r>
      <w:r w:rsidRPr="008F03E5">
        <w:tab/>
        <w:t>burned</w:t>
      </w:r>
      <w:bookmarkEnd w:id="110"/>
    </w:p>
    <w:p w14:paraId="470C9161" w14:textId="77777777" w:rsidR="00625A5B" w:rsidRPr="008F03E5" w:rsidRDefault="00625A5B" w:rsidP="00EA290D">
      <w:pPr>
        <w:pStyle w:val="Translit"/>
      </w:pPr>
      <w:r w:rsidRPr="008F03E5">
        <w:t>Muhasib, Muhasibgi</w:t>
      </w:r>
      <w:r w:rsidRPr="008F03E5">
        <w:tab/>
        <w:t>Muḥásib, Muḥásibgí</w:t>
      </w:r>
      <w:r w:rsidRPr="008F03E5">
        <w:tab/>
        <w:t>accountant, bookkeeper; comptroller, auditor; a calculator; an arithmetician</w:t>
      </w:r>
    </w:p>
    <w:p w14:paraId="483219F8" w14:textId="77777777" w:rsidR="00625A5B" w:rsidRPr="008F03E5" w:rsidRDefault="00625A5B" w:rsidP="00EA290D">
      <w:pPr>
        <w:pStyle w:val="Translit"/>
      </w:pPr>
      <w:r w:rsidRPr="008F03E5">
        <w:t>Muhasibi</w:t>
      </w:r>
      <w:r w:rsidRPr="008F03E5">
        <w:tab/>
        <w:t>Muḥásibí</w:t>
      </w:r>
      <w:r w:rsidRPr="008F03E5">
        <w:tab/>
        <w:t>self-inspection/audit.  al-Muḥásibí (Abú ‘Abdu’lláh Ḥári</w:t>
      </w:r>
      <w:r w:rsidRPr="008F03E5">
        <w:rPr>
          <w:u w:val="single"/>
        </w:rPr>
        <w:t>th</w:t>
      </w:r>
      <w:r w:rsidRPr="008F03E5">
        <w:t xml:space="preserve"> bin Asad al-Baṣrí) (781–857), was a founder of Sufi doctrine, and wrote about theology and (Sufism).</w:t>
      </w:r>
    </w:p>
    <w:p w14:paraId="451B0FDE" w14:textId="77777777" w:rsidR="00625A5B" w:rsidRPr="008F03E5" w:rsidRDefault="00625A5B" w:rsidP="00C32F5E">
      <w:pPr>
        <w:pStyle w:val="Translit"/>
      </w:pPr>
      <w:r w:rsidRPr="008F03E5">
        <w:t>Muhassan</w:t>
      </w:r>
      <w:r w:rsidRPr="008F03E5">
        <w:tab/>
        <w:t>Muḥaṣṣan</w:t>
      </w:r>
      <w:r w:rsidRPr="008F03E5">
        <w:tab/>
        <w:t>fortified (surrounded by a wall); entrenched; immune, proof (ḍidda, against)</w:t>
      </w:r>
    </w:p>
    <w:p w14:paraId="3A3C8A25" w14:textId="77777777" w:rsidR="00625A5B" w:rsidRDefault="00625A5B" w:rsidP="009C64CD">
      <w:pPr>
        <w:pStyle w:val="Translit"/>
      </w:pPr>
      <w:r>
        <w:t>Muhawwil, Muhawwilat</w:t>
      </w:r>
      <w:r>
        <w:tab/>
        <w:t>M</w:t>
      </w:r>
      <w:r w:rsidRPr="009C64CD">
        <w:t>uḥawwil</w:t>
      </w:r>
      <w:r>
        <w:t xml:space="preserve">, </w:t>
      </w:r>
      <w:r w:rsidRPr="009C64CD">
        <w:t xml:space="preserve"> pl. </w:t>
      </w:r>
      <w:r>
        <w:t>M</w:t>
      </w:r>
      <w:r w:rsidRPr="009C64CD">
        <w:t>uḥawwil</w:t>
      </w:r>
      <w:r>
        <w:t>á</w:t>
      </w:r>
      <w:r w:rsidRPr="009C64CD">
        <w:t>t</w:t>
      </w:r>
      <w:r>
        <w:tab/>
      </w:r>
      <w:r w:rsidRPr="009C64CD">
        <w:t>converter, transformer (el</w:t>
      </w:r>
      <w:r>
        <w:t>ectrical</w:t>
      </w:r>
      <w:r w:rsidRPr="009C64CD">
        <w:t>); endorser</w:t>
      </w:r>
    </w:p>
    <w:p w14:paraId="3F8C86C2" w14:textId="77777777" w:rsidR="00625A5B" w:rsidRPr="008F03E5" w:rsidRDefault="00625A5B" w:rsidP="00CB3BD6">
      <w:pPr>
        <w:pStyle w:val="Translit"/>
      </w:pPr>
      <w:r w:rsidRPr="008F03E5">
        <w:t>Muhaymin (Muhaiman, Muhaimin)</w:t>
      </w:r>
      <w:r w:rsidRPr="008F03E5">
        <w:tab/>
        <w:t>Muhaymin, Muhayman</w:t>
      </w:r>
      <w:r w:rsidRPr="008F03E5">
        <w:tab/>
        <w:t>supervising, superintending, controlling; guardian; protector, defender from fear and danger; one of the names of God; a witness confirming his evidence by oath; master (of something, also, e.g., of a situation).  al-Muhaymin, the Guardian, the Preserver, one of the names of God.</w:t>
      </w:r>
    </w:p>
    <w:p w14:paraId="0D1A87BD" w14:textId="77777777" w:rsidR="00625A5B" w:rsidRPr="008F03E5" w:rsidRDefault="00625A5B" w:rsidP="0054177C">
      <w:pPr>
        <w:pStyle w:val="Translit"/>
      </w:pPr>
      <w:r w:rsidRPr="008F03E5">
        <w:t>Muhib</w:t>
      </w:r>
      <w:r w:rsidRPr="008F03E5">
        <w:tab/>
        <w:t>Múhib</w:t>
      </w:r>
      <w:r w:rsidRPr="008F03E5">
        <w:tab/>
        <w:t>one who accepts a present; ready, prepared; able</w:t>
      </w:r>
    </w:p>
    <w:p w14:paraId="4DD6072B" w14:textId="77777777" w:rsidR="00625A5B" w:rsidRPr="008F03E5" w:rsidRDefault="00625A5B" w:rsidP="0054177C">
      <w:pPr>
        <w:pStyle w:val="Translit"/>
      </w:pPr>
      <w:r w:rsidRPr="008F03E5">
        <w:t>Muhibb</w:t>
      </w:r>
      <w:r w:rsidRPr="008F03E5">
        <w:tab/>
        <w:t>Muḥibb, pl. Muḥibbún</w:t>
      </w:r>
      <w:r w:rsidRPr="008F03E5">
        <w:tab/>
        <w:t>loving; lover; fancier, amateur, fan; friend</w:t>
      </w:r>
    </w:p>
    <w:p w14:paraId="26DDEE97" w14:textId="77777777" w:rsidR="00625A5B" w:rsidRPr="008F03E5" w:rsidRDefault="00625A5B" w:rsidP="007717A9">
      <w:pPr>
        <w:pStyle w:val="Translit"/>
      </w:pPr>
      <w:r w:rsidRPr="008F03E5">
        <w:t>Muhit, Muhitat</w:t>
      </w:r>
      <w:r w:rsidRPr="008F03E5">
        <w:tab/>
        <w:t>Muḥíṭ, fem. Muḥíṭa, pl. Muḥíṭát</w:t>
      </w:r>
      <w:r w:rsidRPr="008F03E5">
        <w:tab/>
        <w:t xml:space="preserve">surrounding (something); comprehensive; familiar, acquainted (with); ocean;—pl. circumference, periphery; extent, range, scope, compass, reach, domain, area; milieu, environment, surroundings; oceans.  Muḥíṭa surrounding land or country; environs; land; land within the supply of a well.  </w:t>
      </w:r>
      <w:r w:rsidRPr="008F03E5">
        <w:rPr>
          <w:i/>
          <w:iCs/>
        </w:rPr>
        <w:t>al-Muḥiṭ al-muḥiṭ</w:t>
      </w:r>
      <w:r w:rsidRPr="008F03E5">
        <w:t xml:space="preserve"> “The Ocean of Oceans” (the first Arabic encyclopedia) by Buṭrus al-Bustání.</w:t>
      </w:r>
    </w:p>
    <w:p w14:paraId="2B16D4E6" w14:textId="77777777" w:rsidR="00625A5B" w:rsidRPr="008F03E5" w:rsidRDefault="00625A5B" w:rsidP="00B80D75">
      <w:pPr>
        <w:pStyle w:val="Translit"/>
      </w:pPr>
      <w:r w:rsidRPr="008F03E5">
        <w:t>Muhit-i-Sha’ir-i-Kirmani</w:t>
      </w:r>
      <w:r w:rsidRPr="008F03E5">
        <w:tab/>
        <w:t>Muḥíṭ-i-</w:t>
      </w:r>
      <w:r w:rsidRPr="008F03E5">
        <w:rPr>
          <w:u w:val="single"/>
        </w:rPr>
        <w:t>Sh</w:t>
      </w:r>
      <w:r w:rsidRPr="008F03E5">
        <w:t>á‘ir-i-Kirmání</w:t>
      </w:r>
      <w:r w:rsidRPr="008F03E5">
        <w:tab/>
        <w:t xml:space="preserve">Alternative Muḥíṭ-i-Kirmání (Mírzá Muḥammad-i-Ḥusayn-i-Kirmání  See </w:t>
      </w:r>
      <w:r w:rsidRPr="008F03E5">
        <w:rPr>
          <w:sz w:val="16"/>
          <w:szCs w:val="16"/>
        </w:rPr>
        <w:t>DB</w:t>
      </w:r>
      <w:r w:rsidRPr="008F03E5">
        <w:t xml:space="preserve"> 39 and </w:t>
      </w:r>
      <w:r w:rsidRPr="008F03E5">
        <w:rPr>
          <w:sz w:val="16"/>
          <w:szCs w:val="16"/>
        </w:rPr>
        <w:t>BKG</w:t>
      </w:r>
      <w:r w:rsidRPr="008F03E5">
        <w:t xml:space="preserve"> 152</w:t>
      </w:r>
    </w:p>
    <w:p w14:paraId="25F23E51" w14:textId="77777777" w:rsidR="00625A5B" w:rsidRPr="008F03E5" w:rsidRDefault="00625A5B" w:rsidP="00547C12">
      <w:pPr>
        <w:pStyle w:val="Translit"/>
      </w:pPr>
      <w:r w:rsidRPr="008F03E5">
        <w:t>Muhkam, Muhkama, Muhkamat</w:t>
      </w:r>
      <w:r w:rsidRPr="008F03E5">
        <w:tab/>
        <w:t>Muḥkam, fem. Muḥkama [h or t]</w:t>
      </w:r>
      <w:r w:rsidRPr="008F03E5">
        <w:tab/>
        <w:t>pl. Muḥkamát.  Strengthened, reinforced; firm, solid, fortified, robust, sturdy, strong; tight, taut; perfect, masterly, masterful; well-aimed (blow, hit); accurate, precise, exact; decisive, fundamental and clear, plain, conspicuous, perspicuous (thing), incontrovertible; not ambiguous, un-repealed, not been abrogated (chapter or verse of the Qur’án).  See muta</w:t>
      </w:r>
      <w:r w:rsidRPr="008F03E5">
        <w:rPr>
          <w:u w:val="single"/>
        </w:rPr>
        <w:t>sh</w:t>
      </w:r>
      <w:r w:rsidRPr="008F03E5">
        <w:t>ábih.  Qur’án 3:7 states there are muḥkamát (“precise”) and muta</w:t>
      </w:r>
      <w:r w:rsidRPr="008F03E5">
        <w:rPr>
          <w:u w:val="single"/>
        </w:rPr>
        <w:t>sh</w:t>
      </w:r>
      <w:r w:rsidRPr="008F03E5">
        <w:t>ábihát (“allegorical”) verses.</w:t>
      </w:r>
    </w:p>
    <w:p w14:paraId="594D7D32" w14:textId="77777777" w:rsidR="00625A5B" w:rsidRPr="008F03E5" w:rsidRDefault="00625A5B" w:rsidP="002D5FDC">
      <w:pPr>
        <w:pStyle w:val="Translit"/>
      </w:pPr>
      <w:r w:rsidRPr="008F03E5">
        <w:t>Muhr (Mohr), Muhur</w:t>
      </w:r>
      <w:r w:rsidRPr="008F03E5">
        <w:tab/>
        <w:t>Muhr, Muhur</w:t>
      </w:r>
      <w:r w:rsidRPr="008F03E5">
        <w:tab/>
        <w:t>Pers. seal, seal-ring, signet; stamp.  Also a small piece of soil or clay, often a clay tablet, used during ṣalá</w:t>
      </w:r>
      <w:r>
        <w:t>h</w:t>
      </w:r>
      <w:r w:rsidRPr="008F03E5">
        <w:t xml:space="preserve"> (Islamic daily prayers) to symbolize earth.  Muhr ta’yíd “seal of approval”.  For the Arabic, see </w:t>
      </w:r>
      <w:r w:rsidRPr="008F03E5">
        <w:rPr>
          <w:u w:val="single"/>
        </w:rPr>
        <w:t>kh</w:t>
      </w:r>
      <w:r w:rsidRPr="008F03E5">
        <w:t>átam and turba.</w:t>
      </w:r>
    </w:p>
    <w:p w14:paraId="0CC8C3DB" w14:textId="77777777" w:rsidR="00625A5B" w:rsidRPr="008F03E5" w:rsidRDefault="00625A5B" w:rsidP="00CF098E">
      <w:pPr>
        <w:pStyle w:val="Translit"/>
      </w:pPr>
      <w:r w:rsidRPr="00077779">
        <w:rPr>
          <w:lang w:val="es-ES_tradnl"/>
        </w:rPr>
        <w:t>Muhr Payambaran</w:t>
      </w:r>
      <w:r w:rsidRPr="00077779">
        <w:rPr>
          <w:lang w:val="es-ES_tradnl"/>
        </w:rPr>
        <w:tab/>
        <w:t>Muhr Payámbarán</w:t>
      </w:r>
      <w:r w:rsidRPr="00077779">
        <w:rPr>
          <w:lang w:val="es-ES_tradnl"/>
        </w:rPr>
        <w:tab/>
        <w:t xml:space="preserve">Pers. </w:t>
      </w:r>
      <w:r w:rsidRPr="008F03E5">
        <w:t xml:space="preserve">“seal of the prophets”.  Ar. see </w:t>
      </w:r>
      <w:r w:rsidRPr="008F03E5">
        <w:rPr>
          <w:u w:val="single"/>
        </w:rPr>
        <w:t>Kh</w:t>
      </w:r>
      <w:r w:rsidRPr="008F03E5">
        <w:t>átam al-Anbiyá’</w:t>
      </w:r>
    </w:p>
    <w:p w14:paraId="0D0E5020" w14:textId="77777777" w:rsidR="00625A5B" w:rsidRPr="008F03E5" w:rsidRDefault="00625A5B" w:rsidP="00B121BB">
      <w:pPr>
        <w:pStyle w:val="Translit"/>
      </w:pPr>
      <w:r w:rsidRPr="008F03E5">
        <w:t>Muhraq, Muhraqa</w:t>
      </w:r>
      <w:r w:rsidRPr="008F03E5">
        <w:tab/>
        <w:t>Muḥraq, fem. Muḥraqa[h or t]</w:t>
      </w:r>
      <w:r w:rsidRPr="008F03E5">
        <w:tab/>
        <w:t>crematory, inflamed; fem. a burnt-offering.  al-Muḥraqa (near or at the highest point of the Carmel mountain range with an incredible view of the Jezreel valley, the hills of lower Galilee and Samaria, the Kishon River, and the Mediterranean) is the “site” of the burnt sacrifice of Elijah in a contest with the prophets of Baal (1 Kings 18:38) where the Discalced Carmelite Order built their priory (32.672654, 35.088325) of Elijah (1911).  The monastery is Dayr (“Deir”) al-Muḥraqa.  See Jabal Már Ilyás and Karmel.</w:t>
      </w:r>
    </w:p>
    <w:p w14:paraId="79248B80" w14:textId="77777777" w:rsidR="00625A5B" w:rsidRPr="008F03E5" w:rsidRDefault="00625A5B" w:rsidP="00B121BB">
      <w:pPr>
        <w:pStyle w:val="Translit"/>
      </w:pPr>
      <w:r w:rsidRPr="008F03E5">
        <w:t>Muhriq, Muharriq</w:t>
      </w:r>
      <w:r w:rsidRPr="008F03E5">
        <w:tab/>
        <w:t>Muḥriq, Pers. Muḥarriq</w:t>
      </w:r>
      <w:r w:rsidRPr="008F03E5">
        <w:tab/>
        <w:t>an incendiary</w:t>
      </w:r>
    </w:p>
    <w:p w14:paraId="0A08B054" w14:textId="77777777" w:rsidR="00625A5B" w:rsidRPr="008F03E5" w:rsidRDefault="00625A5B" w:rsidP="002D253F">
      <w:pPr>
        <w:pStyle w:val="Translit"/>
      </w:pPr>
      <w:r w:rsidRPr="008F03E5">
        <w:t>Muhriqu’l-Qulub</w:t>
      </w:r>
      <w:r w:rsidRPr="008F03E5">
        <w:tab/>
        <w:t>Muḥriqu’l-Qulúb</w:t>
      </w:r>
      <w:r w:rsidRPr="008F03E5">
        <w:tab/>
        <w:t>“Burner of Hearts”, by Ḥájí Mullá Aḥmad ibn Muḥammad Mihdí ibn ‘Abí-Dárr Naráqí, the great-grandfather of Ḥájí Mírzá Kamálu’d-Dín-i-Naráqí, in which the author extols the virtues, laments the death, and narrates the circumstances of the martyrdom of the Imám Ḥusayn.</w:t>
      </w:r>
    </w:p>
    <w:p w14:paraId="0A613F8A" w14:textId="77777777" w:rsidR="00625A5B" w:rsidRPr="008F03E5" w:rsidRDefault="00625A5B" w:rsidP="0049520E">
      <w:pPr>
        <w:pStyle w:val="Translit"/>
      </w:pPr>
      <w:r w:rsidRPr="008F03E5">
        <w:t>Muhsi</w:t>
      </w:r>
      <w:r w:rsidRPr="008F03E5">
        <w:tab/>
        <w:t>Muḥṣí</w:t>
      </w:r>
      <w:r w:rsidRPr="008F03E5">
        <w:tab/>
        <w:t>a numberer</w:t>
      </w:r>
    </w:p>
    <w:p w14:paraId="4FCF4D60" w14:textId="77777777" w:rsidR="00625A5B" w:rsidRPr="008F03E5" w:rsidRDefault="00625A5B" w:rsidP="007030C5">
      <w:pPr>
        <w:pStyle w:val="Translit"/>
      </w:pPr>
      <w:r w:rsidRPr="008F03E5">
        <w:t>Muhsin</w:t>
      </w:r>
      <w:r w:rsidRPr="008F03E5">
        <w:tab/>
        <w:t>Muḥsin</w:t>
      </w:r>
      <w:r w:rsidRPr="008F03E5">
        <w:tab/>
        <w:t>(Mohsen) beneficent, charitable</w:t>
      </w:r>
    </w:p>
    <w:p w14:paraId="5ED83736" w14:textId="77777777" w:rsidR="00625A5B" w:rsidRPr="008F03E5" w:rsidRDefault="00625A5B" w:rsidP="00CE7472">
      <w:pPr>
        <w:pStyle w:val="Translit"/>
        <w:rPr>
          <w:rFonts w:eastAsia="PMingLiU"/>
          <w:lang w:eastAsia="zh-TW"/>
        </w:rPr>
      </w:pPr>
      <w:r w:rsidRPr="008F03E5">
        <w:rPr>
          <w:rFonts w:eastAsia="PMingLiU"/>
          <w:lang w:eastAsia="zh-TW"/>
        </w:rPr>
        <w:t>Muhtad</w:t>
      </w:r>
      <w:r w:rsidRPr="008F03E5">
        <w:rPr>
          <w:rFonts w:eastAsia="PMingLiU"/>
          <w:lang w:eastAsia="zh-TW"/>
        </w:rPr>
        <w:tab/>
        <w:t>Muhtad</w:t>
      </w:r>
      <w:r w:rsidRPr="008F03E5">
        <w:tab/>
        <w:t>rightly guided</w:t>
      </w:r>
    </w:p>
    <w:p w14:paraId="27CAFC91" w14:textId="77777777" w:rsidR="00625A5B" w:rsidRPr="008F03E5" w:rsidRDefault="00625A5B" w:rsidP="00B80D75">
      <w:pPr>
        <w:pStyle w:val="Translit"/>
      </w:pPr>
      <w:r w:rsidRPr="008F03E5">
        <w:rPr>
          <w:rFonts w:eastAsia="PMingLiU"/>
          <w:lang w:eastAsia="zh-TW"/>
        </w:rPr>
        <w:t>Muhtadi</w:t>
      </w:r>
      <w:r w:rsidRPr="008F03E5">
        <w:rPr>
          <w:rFonts w:eastAsia="PMingLiU"/>
          <w:lang w:eastAsia="zh-TW"/>
        </w:rPr>
        <w:tab/>
        <w:t>Muhtad</w:t>
      </w:r>
      <w:r w:rsidRPr="008F03E5">
        <w:t>í</w:t>
      </w:r>
      <w:r w:rsidRPr="008F03E5">
        <w:tab/>
        <w:t>directed, conducted, led (into the way of salvation); guided aright</w:t>
      </w:r>
    </w:p>
    <w:p w14:paraId="31481A5F" w14:textId="77777777" w:rsidR="00625A5B" w:rsidRPr="008F03E5" w:rsidRDefault="00625A5B" w:rsidP="00CE7472">
      <w:pPr>
        <w:pStyle w:val="Translit"/>
        <w:rPr>
          <w:lang w:eastAsia="en-US"/>
        </w:rPr>
      </w:pPr>
      <w:r w:rsidRPr="008F03E5">
        <w:rPr>
          <w:lang w:eastAsia="en-US"/>
        </w:rPr>
        <w:t>Muhtaram</w:t>
      </w:r>
      <w:r w:rsidRPr="008F03E5">
        <w:rPr>
          <w:lang w:eastAsia="en-US"/>
        </w:rPr>
        <w:tab/>
        <w:t>Muḥtaram</w:t>
      </w:r>
      <w:r w:rsidRPr="008F03E5">
        <w:rPr>
          <w:lang w:eastAsia="en-US"/>
        </w:rPr>
        <w:tab/>
        <w:t>honoured, revered, venerated, esteemed, respected; (in the salutation of letters:) my dear …; venerable, reverend; notable, remarkable, considerable</w:t>
      </w:r>
    </w:p>
    <w:p w14:paraId="3628843B" w14:textId="77777777" w:rsidR="00625A5B" w:rsidRPr="008F03E5" w:rsidRDefault="00625A5B" w:rsidP="00AA750A">
      <w:pPr>
        <w:pStyle w:val="Translit"/>
      </w:pPr>
      <w:r w:rsidRPr="008F03E5">
        <w:t>Muhtasib</w:t>
      </w:r>
      <w:r w:rsidRPr="008F03E5">
        <w:tab/>
        <w:t>Muḥtasib</w:t>
      </w:r>
      <w:r w:rsidRPr="008F03E5">
        <w:tab/>
        <w:t xml:space="preserve">a supervisor of bazaars and trade in medieval Islamic countries.  His duty was to ensure that public business was conducted in accordance with the law of </w:t>
      </w:r>
      <w:r w:rsidRPr="008F03E5">
        <w:rPr>
          <w:u w:val="single"/>
        </w:rPr>
        <w:t>sh</w:t>
      </w:r>
      <w:r w:rsidRPr="008F03E5">
        <w:t>arí‘a.</w:t>
      </w:r>
    </w:p>
    <w:p w14:paraId="4B659D7B" w14:textId="77777777" w:rsidR="00625A5B" w:rsidRPr="008F03E5" w:rsidRDefault="00625A5B" w:rsidP="009D2A5B">
      <w:pPr>
        <w:pStyle w:val="Translit"/>
        <w:rPr>
          <w:rFonts w:eastAsia="PMingLiU"/>
          <w:lang w:eastAsia="zh-TW"/>
        </w:rPr>
      </w:pPr>
      <w:r w:rsidRPr="008F03E5">
        <w:rPr>
          <w:lang w:eastAsia="en-US"/>
        </w:rPr>
        <w:t>Muhyi a</w:t>
      </w:r>
      <w:r>
        <w:rPr>
          <w:lang w:eastAsia="en-US"/>
        </w:rPr>
        <w:t>d</w:t>
      </w:r>
      <w:r w:rsidRPr="008F03E5">
        <w:rPr>
          <w:lang w:eastAsia="en-US"/>
        </w:rPr>
        <w:t xml:space="preserve">-Din, </w:t>
      </w:r>
      <w:r w:rsidRPr="008F03E5">
        <w:t>Muhyi’d-Din</w:t>
      </w:r>
      <w:r w:rsidRPr="008F03E5">
        <w:tab/>
      </w:r>
      <w:r w:rsidRPr="008F03E5">
        <w:rPr>
          <w:lang w:eastAsia="en-US"/>
        </w:rPr>
        <w:t>Muḥyí a</w:t>
      </w:r>
      <w:r>
        <w:rPr>
          <w:lang w:eastAsia="en-US"/>
        </w:rPr>
        <w:t>d</w:t>
      </w:r>
      <w:r w:rsidRPr="008F03E5">
        <w:rPr>
          <w:lang w:eastAsia="en-US"/>
        </w:rPr>
        <w:t xml:space="preserve">-Dín, </w:t>
      </w:r>
      <w:r w:rsidRPr="008F03E5">
        <w:t>Muḥyí’d-Dín</w:t>
      </w:r>
      <w:r w:rsidRPr="008F03E5">
        <w:tab/>
        <w:t>reviver of religion (“Moheyddin”, “</w:t>
      </w:r>
      <w:r w:rsidRPr="008F03E5">
        <w:rPr>
          <w:rFonts w:eastAsia="PMingLiU"/>
          <w:lang w:eastAsia="zh-TW"/>
        </w:rPr>
        <w:t>Mu</w:t>
      </w:r>
      <w:r w:rsidRPr="008F03E5">
        <w:t>ḥ</w:t>
      </w:r>
      <w:r w:rsidRPr="008F03E5">
        <w:rPr>
          <w:rFonts w:eastAsia="PMingLiU"/>
          <w:lang w:eastAsia="zh-TW"/>
        </w:rPr>
        <w:t>iyu’d-Dín</w:t>
      </w:r>
      <w:r w:rsidRPr="008F03E5">
        <w:t>”, Mujaddid)</w:t>
      </w:r>
    </w:p>
    <w:p w14:paraId="14574D8E" w14:textId="77777777" w:rsidR="00625A5B" w:rsidRPr="008F03E5" w:rsidRDefault="00625A5B" w:rsidP="009D2A5B">
      <w:pPr>
        <w:pStyle w:val="Translit"/>
      </w:pPr>
      <w:r w:rsidRPr="008F03E5">
        <w:t>Muhyi</w:t>
      </w:r>
      <w:r w:rsidRPr="008F03E5">
        <w:tab/>
        <w:t>Muḥyí</w:t>
      </w:r>
      <w:r w:rsidRPr="008F03E5">
        <w:tab/>
        <w:t>a reviver, giver of life, quickener</w:t>
      </w:r>
    </w:p>
    <w:p w14:paraId="7446FA34" w14:textId="77777777" w:rsidR="00625A5B" w:rsidRPr="008F03E5" w:rsidRDefault="00625A5B" w:rsidP="00C52029">
      <w:pPr>
        <w:pStyle w:val="Translit"/>
      </w:pPr>
      <w:r w:rsidRPr="008F03E5">
        <w:t>Muhyi’d-Din-i</w:t>
      </w:r>
      <w:r w:rsidRPr="008F03E5">
        <w:rPr>
          <w:rFonts w:eastAsia="PMingLiU"/>
          <w:lang w:eastAsia="zh-TW"/>
        </w:rPr>
        <w:t>-‘</w:t>
      </w:r>
      <w:r w:rsidRPr="008F03E5">
        <w:t>Arabi</w:t>
      </w:r>
      <w:r w:rsidRPr="008F03E5">
        <w:tab/>
        <w:t>Muḥyí’d-Dín-i-‘Arabí</w:t>
      </w:r>
      <w:r w:rsidRPr="008F03E5">
        <w:tab/>
        <w:t>Arab reviver of religion</w:t>
      </w:r>
    </w:p>
    <w:p w14:paraId="61F990E1" w14:textId="77777777" w:rsidR="00625A5B" w:rsidRPr="008F03E5" w:rsidRDefault="00625A5B" w:rsidP="00B80D75">
      <w:pPr>
        <w:pStyle w:val="Translit"/>
      </w:pPr>
      <w:r w:rsidRPr="008F03E5">
        <w:t>Mujaddid, Mujaddidun</w:t>
      </w:r>
      <w:r w:rsidRPr="008F03E5">
        <w:tab/>
        <w:t>Mujaddid, pl. Mujaddidún</w:t>
      </w:r>
      <w:r w:rsidRPr="008F03E5">
        <w:tab/>
        <w:t>renewer (i.e. of Islám); innovator; reformer.  Mujaddid is an Islamic term for one who brings “renewal” (tajdíd) to the religion.  There is a tradition that it refers to a person who appears at the turn of every century of the Islamic calendar to revive Islam, cleansing it of extraneous elements and restoring it to its pristine purity.</w:t>
      </w:r>
    </w:p>
    <w:p w14:paraId="3E37E879" w14:textId="77777777" w:rsidR="00625A5B" w:rsidRPr="008F03E5" w:rsidRDefault="00625A5B" w:rsidP="005F1CAA">
      <w:pPr>
        <w:pStyle w:val="Translit"/>
      </w:pPr>
      <w:r w:rsidRPr="008F03E5">
        <w:t>Mujadil</w:t>
      </w:r>
      <w:r w:rsidRPr="008F03E5">
        <w:tab/>
        <w:t>Mujádil</w:t>
      </w:r>
      <w:r w:rsidRPr="008F03E5">
        <w:tab/>
        <w:t>contentious, disputatious, quarrelsome.  al-Mujádilah (The pleading woman) Qur’án súra 58.</w:t>
      </w:r>
    </w:p>
    <w:p w14:paraId="01DE308B" w14:textId="77777777" w:rsidR="00625A5B" w:rsidRPr="008F03E5" w:rsidRDefault="00625A5B" w:rsidP="00A522E3">
      <w:pPr>
        <w:pStyle w:val="Translit"/>
      </w:pPr>
      <w:r w:rsidRPr="00077779">
        <w:rPr>
          <w:lang w:val="es-ES_tradnl"/>
        </w:rPr>
        <w:t>Mujahada, Mujahadat</w:t>
      </w:r>
      <w:r w:rsidRPr="00077779">
        <w:rPr>
          <w:lang w:val="es-ES_tradnl"/>
        </w:rPr>
        <w:tab/>
        <w:t xml:space="preserve">Mujáhada[t], pl. </w:t>
      </w:r>
      <w:r w:rsidRPr="008F03E5">
        <w:t>Mujáhadát</w:t>
      </w:r>
      <w:r w:rsidRPr="008F03E5">
        <w:tab/>
        <w:t>fight, battle (for the faith); “spiritual endeavour” (see mujádala under jidál entry).  Ṭáhirih distinguishes two complementary concepts and prescribes mujáhada as opposed to mujádala as the essential approach to the truth.</w:t>
      </w:r>
    </w:p>
    <w:p w14:paraId="43F8FC05" w14:textId="77777777" w:rsidR="00625A5B" w:rsidRPr="008F03E5" w:rsidRDefault="00625A5B" w:rsidP="00636B43">
      <w:pPr>
        <w:pStyle w:val="Translit"/>
      </w:pPr>
      <w:r w:rsidRPr="008F03E5">
        <w:t>Mujahid, Mujahidun (Mujahidin)</w:t>
      </w:r>
      <w:r w:rsidRPr="008F03E5">
        <w:tab/>
        <w:t>Mujáhid, pl. Mujáhidún</w:t>
      </w:r>
      <w:r w:rsidRPr="008F03E5">
        <w:tab/>
        <w:t>fighter, freedom fighter; warrior</w:t>
      </w:r>
    </w:p>
    <w:p w14:paraId="41E91626" w14:textId="77777777" w:rsidR="00625A5B" w:rsidRDefault="00625A5B" w:rsidP="00284C5B">
      <w:pPr>
        <w:pStyle w:val="Translit"/>
      </w:pPr>
      <w:r>
        <w:t>Mujalal ad-Dawla</w:t>
      </w:r>
      <w:r>
        <w:tab/>
        <w:t>Mujalal ad-Dawla</w:t>
      </w:r>
      <w:r>
        <w:tab/>
        <w:t>“The Glorified State”</w:t>
      </w:r>
    </w:p>
    <w:p w14:paraId="2603817A" w14:textId="77777777" w:rsidR="00625A5B" w:rsidRPr="008F03E5" w:rsidRDefault="00625A5B" w:rsidP="009C0204">
      <w:pPr>
        <w:pStyle w:val="Translit"/>
      </w:pPr>
      <w:r w:rsidRPr="008F03E5">
        <w:t>Mujallad, Mujalladat</w:t>
      </w:r>
      <w:r w:rsidRPr="008F03E5">
        <w:tab/>
        <w:t>Mujallad, pl. Mujalladát</w:t>
      </w:r>
      <w:r w:rsidRPr="008F03E5">
        <w:tab/>
        <w:t>frozen, icy, ice-covered; bound (book);—pl. volume (book)</w:t>
      </w:r>
    </w:p>
    <w:p w14:paraId="6F8AFEB5" w14:textId="77777777" w:rsidR="00625A5B" w:rsidRPr="008F03E5" w:rsidRDefault="00625A5B" w:rsidP="00932D32">
      <w:pPr>
        <w:pStyle w:val="Translit"/>
      </w:pPr>
      <w:r w:rsidRPr="008F03E5">
        <w:t>Mujan (Moojan)</w:t>
      </w:r>
      <w:r w:rsidRPr="008F03E5">
        <w:tab/>
        <w:t>Múján</w:t>
      </w:r>
      <w:r w:rsidRPr="008F03E5">
        <w:tab/>
        <w:t>Pers. a beautiful, languishing eye.  Name of two villages in Iran.</w:t>
      </w:r>
    </w:p>
    <w:p w14:paraId="425A5A58" w14:textId="77777777" w:rsidR="00625A5B" w:rsidRPr="008F03E5" w:rsidRDefault="00625A5B" w:rsidP="00636B43">
      <w:pPr>
        <w:pStyle w:val="Translit"/>
      </w:pPr>
      <w:r w:rsidRPr="008F03E5">
        <w:t>Mujib</w:t>
      </w:r>
      <w:r w:rsidRPr="008F03E5">
        <w:tab/>
        <w:t>Mujíb</w:t>
      </w:r>
      <w:r w:rsidRPr="008F03E5">
        <w:tab/>
        <w:t>one who listens to, grants, accepts, takes well, humours, complies with, consents, or gives an answer; obedient; an auditor</w:t>
      </w:r>
    </w:p>
    <w:p w14:paraId="1F48ADB9" w14:textId="77777777" w:rsidR="00625A5B" w:rsidRPr="008F03E5" w:rsidRDefault="00625A5B" w:rsidP="00CC492D">
      <w:pPr>
        <w:pStyle w:val="Translit"/>
      </w:pPr>
      <w:r w:rsidRPr="008F03E5">
        <w:t>Mujtaba</w:t>
      </w:r>
      <w:r w:rsidRPr="008F03E5">
        <w:tab/>
        <w:t>Mujtabá</w:t>
      </w:r>
      <w:r w:rsidRPr="008F03E5">
        <w:tab/>
        <w:t>chosen</w:t>
      </w:r>
    </w:p>
    <w:p w14:paraId="423D5E2F" w14:textId="77777777" w:rsidR="00625A5B" w:rsidRPr="008F03E5" w:rsidRDefault="00625A5B" w:rsidP="00D43ED9">
      <w:pPr>
        <w:pStyle w:val="Translit"/>
      </w:pPr>
      <w:r w:rsidRPr="008F03E5">
        <w:t>Mujtahid, Mujtahidun</w:t>
      </w:r>
      <w:r w:rsidRPr="008F03E5">
        <w:tab/>
        <w:t>Mujtahid, pl. Mujtahidún</w:t>
      </w:r>
      <w:r w:rsidRPr="008F03E5">
        <w:tab/>
        <w:t>one who strives or one who exerts himself; diligent, industrious; a legist formulating independent decisions in legal or theological matters, based on the interpretation and application of the four uṣúl, as opposed to muqallid.  A person accepted as an original authority (a muftí) in Islamic law.  Highest rank of Shi’ite divine—doctor of law.  A mujtahid in contemporary Iran is now called an áyatu’lláh.</w:t>
      </w:r>
    </w:p>
    <w:p w14:paraId="475311F5" w14:textId="77777777" w:rsidR="00625A5B" w:rsidRPr="008F03E5" w:rsidRDefault="00625A5B" w:rsidP="0033496D">
      <w:pPr>
        <w:pStyle w:val="Translit"/>
      </w:pPr>
      <w:r w:rsidRPr="008F03E5">
        <w:t>Mujtahidi</w:t>
      </w:r>
      <w:r w:rsidRPr="008F03E5">
        <w:tab/>
        <w:t>Mujtáhidí</w:t>
      </w:r>
      <w:r w:rsidRPr="008F03E5">
        <w:tab/>
        <w:t>term sometimes used to designate the Uṣúlí branch of Twelver Shi’ism (cf. Ijtihádí)</w:t>
      </w:r>
    </w:p>
    <w:p w14:paraId="58E4B886" w14:textId="77777777" w:rsidR="00625A5B" w:rsidRPr="008F03E5" w:rsidRDefault="00625A5B" w:rsidP="00636B43">
      <w:pPr>
        <w:pStyle w:val="Translit"/>
      </w:pPr>
      <w:r w:rsidRPr="008F03E5">
        <w:t>Mujudalat, Mujadala</w:t>
      </w:r>
      <w:r w:rsidRPr="008F03E5">
        <w:tab/>
        <w:t>Mujúdalat, Mujádala</w:t>
      </w:r>
      <w:r w:rsidRPr="008F03E5">
        <w:tab/>
        <w:t>Pers.  Contending, disputing; contention, dispute, altercation, conflict.  Mujádalih Mosque and area (</w:t>
      </w:r>
      <w:r w:rsidRPr="008F03E5">
        <w:rPr>
          <w:sz w:val="16"/>
          <w:szCs w:val="16"/>
        </w:rPr>
        <w:t>NW</w:t>
      </w:r>
      <w:r w:rsidRPr="008F03E5">
        <w:t>) of old ‘Akká.</w:t>
      </w:r>
    </w:p>
    <w:p w14:paraId="5987C252" w14:textId="77777777" w:rsidR="00625A5B" w:rsidRPr="008F03E5" w:rsidRDefault="00625A5B" w:rsidP="002F04B1">
      <w:pPr>
        <w:pStyle w:val="Translit"/>
      </w:pPr>
      <w:r w:rsidRPr="008F03E5">
        <w:t>Mukarram</w:t>
      </w:r>
      <w:r w:rsidRPr="008F03E5">
        <w:tab/>
        <w:t>Mukarram</w:t>
      </w:r>
      <w:r w:rsidRPr="008F03E5">
        <w:tab/>
        <w:t>honoured, revered, venerated; venerable; al-Mukarram, epithet of Mecca</w:t>
      </w:r>
    </w:p>
    <w:p w14:paraId="4836B53B" w14:textId="77777777" w:rsidR="00625A5B" w:rsidRPr="008F03E5" w:rsidRDefault="00625A5B" w:rsidP="00FB43D0">
      <w:pPr>
        <w:pStyle w:val="Translit"/>
      </w:pPr>
      <w:r w:rsidRPr="008F03E5">
        <w:t>Mukashafa, Mukashafat</w:t>
      </w:r>
      <w:r w:rsidRPr="008F03E5">
        <w:tab/>
        <w:t>Muká</w:t>
      </w:r>
      <w:r w:rsidRPr="008F03E5">
        <w:rPr>
          <w:u w:val="single"/>
        </w:rPr>
        <w:t>sh</w:t>
      </w:r>
      <w:r w:rsidRPr="008F03E5">
        <w:t>afa[h or t], pl. Muká</w:t>
      </w:r>
      <w:r w:rsidRPr="008F03E5">
        <w:rPr>
          <w:u w:val="single"/>
        </w:rPr>
        <w:t>sh</w:t>
      </w:r>
      <w:r w:rsidRPr="008F03E5">
        <w:t>afát</w:t>
      </w:r>
      <w:r w:rsidRPr="008F03E5">
        <w:tab/>
        <w:t>acting openly (with); showing open enmity, persecuting; displaying (anything); revelation, apocalypse; (in the language of the Ṣúfiyyún, “Sufis”) ecstatic contemplation of God.</w:t>
      </w:r>
    </w:p>
    <w:p w14:paraId="75D3726B" w14:textId="77777777" w:rsidR="00625A5B" w:rsidRDefault="00625A5B" w:rsidP="00EE169A">
      <w:pPr>
        <w:pStyle w:val="Translit"/>
        <w:rPr>
          <w:rFonts w:eastAsia="PMingLiU"/>
          <w:lang w:eastAsia="zh-TW"/>
        </w:rPr>
      </w:pPr>
      <w:r>
        <w:rPr>
          <w:rFonts w:eastAsia="PMingLiU"/>
          <w:lang w:eastAsia="zh-TW"/>
        </w:rPr>
        <w:t>Mukha</w:t>
      </w:r>
      <w:r>
        <w:rPr>
          <w:rFonts w:eastAsia="PMingLiU"/>
          <w:lang w:eastAsia="zh-TW"/>
        </w:rPr>
        <w:tab/>
        <w:t>Mu</w:t>
      </w:r>
      <w:r w:rsidRPr="00EE169A">
        <w:rPr>
          <w:rFonts w:eastAsia="PMingLiU"/>
          <w:u w:val="single"/>
          <w:lang w:eastAsia="zh-TW"/>
        </w:rPr>
        <w:t>kh</w:t>
      </w:r>
      <w:r w:rsidRPr="00EE169A">
        <w:t>á</w:t>
      </w:r>
      <w:r>
        <w:rPr>
          <w:rFonts w:eastAsia="PMingLiU"/>
          <w:lang w:eastAsia="zh-TW"/>
        </w:rPr>
        <w:tab/>
      </w:r>
      <w:r w:rsidRPr="002376BE">
        <w:rPr>
          <w:rFonts w:eastAsia="PMingLiU"/>
          <w:lang w:eastAsia="zh-TW"/>
        </w:rPr>
        <w:t>al-</w:t>
      </w:r>
      <w:r>
        <w:rPr>
          <w:rFonts w:eastAsia="PMingLiU"/>
          <w:lang w:eastAsia="zh-TW"/>
        </w:rPr>
        <w:t>M</w:t>
      </w:r>
      <w:r w:rsidRPr="002376BE">
        <w:rPr>
          <w:rFonts w:eastAsia="PMingLiU"/>
          <w:lang w:eastAsia="zh-TW"/>
        </w:rPr>
        <w:t>u</w:t>
      </w:r>
      <w:r w:rsidRPr="00EE169A">
        <w:rPr>
          <w:rFonts w:eastAsia="PMingLiU"/>
          <w:u w:val="single"/>
          <w:lang w:eastAsia="zh-TW"/>
        </w:rPr>
        <w:t>kh</w:t>
      </w:r>
      <w:r>
        <w:rPr>
          <w:rFonts w:eastAsia="PMingLiU"/>
          <w:lang w:eastAsia="zh-TW"/>
        </w:rPr>
        <w:t xml:space="preserve">á, </w:t>
      </w:r>
      <w:r w:rsidRPr="002376BE">
        <w:rPr>
          <w:rFonts w:eastAsia="PMingLiU"/>
          <w:lang w:eastAsia="zh-TW"/>
        </w:rPr>
        <w:t xml:space="preserve">Mocha (seaport in </w:t>
      </w:r>
      <w:r w:rsidRPr="00417520">
        <w:rPr>
          <w:sz w:val="16"/>
          <w:szCs w:val="16"/>
        </w:rPr>
        <w:t>SW</w:t>
      </w:r>
      <w:r w:rsidRPr="002376BE">
        <w:rPr>
          <w:rFonts w:eastAsia="PMingLiU"/>
          <w:lang w:eastAsia="zh-TW"/>
        </w:rPr>
        <w:t xml:space="preserve"> Yemen)</w:t>
      </w:r>
    </w:p>
    <w:p w14:paraId="4BD978D8" w14:textId="77777777" w:rsidR="00625A5B" w:rsidRPr="008F03E5" w:rsidRDefault="00625A5B" w:rsidP="00547C12">
      <w:pPr>
        <w:pStyle w:val="Translit"/>
        <w:rPr>
          <w:rFonts w:eastAsia="PMingLiU"/>
          <w:lang w:eastAsia="zh-TW"/>
        </w:rPr>
      </w:pPr>
      <w:r w:rsidRPr="008F03E5">
        <w:rPr>
          <w:rFonts w:eastAsia="PMingLiU"/>
          <w:lang w:eastAsia="zh-TW"/>
        </w:rPr>
        <w:t>Mukhabara, Mukhabarat</w:t>
      </w:r>
      <w:r w:rsidRPr="008F03E5">
        <w:rPr>
          <w:rFonts w:eastAsia="PMingLiU"/>
          <w:lang w:eastAsia="zh-TW"/>
        </w:rPr>
        <w:tab/>
        <w:t>Mu</w:t>
      </w:r>
      <w:r w:rsidRPr="008F03E5">
        <w:rPr>
          <w:u w:val="single"/>
        </w:rPr>
        <w:t>kh</w:t>
      </w:r>
      <w:r w:rsidRPr="008F03E5">
        <w:rPr>
          <w:rFonts w:eastAsia="PMingLiU"/>
          <w:lang w:eastAsia="zh-TW"/>
        </w:rPr>
        <w:t>ábara, pl. Mu</w:t>
      </w:r>
      <w:r w:rsidRPr="008F03E5">
        <w:rPr>
          <w:u w:val="single"/>
        </w:rPr>
        <w:t>kh</w:t>
      </w:r>
      <w:r w:rsidRPr="008F03E5">
        <w:rPr>
          <w:rFonts w:eastAsia="PMingLiU"/>
          <w:lang w:eastAsia="zh-TW"/>
        </w:rPr>
        <w:t>ábarát</w:t>
      </w:r>
      <w:r w:rsidRPr="008F03E5">
        <w:rPr>
          <w:rFonts w:eastAsia="PMingLiU"/>
          <w:lang w:eastAsia="zh-TW"/>
        </w:rPr>
        <w:tab/>
        <w:t>correspondence, (especially written) information.  Qalam al-Mu</w:t>
      </w:r>
      <w:r w:rsidRPr="008F03E5">
        <w:rPr>
          <w:u w:val="single"/>
        </w:rPr>
        <w:t>kh</w:t>
      </w:r>
      <w:r w:rsidRPr="008F03E5">
        <w:rPr>
          <w:rFonts w:eastAsia="PMingLiU"/>
          <w:lang w:eastAsia="zh-TW"/>
        </w:rPr>
        <w:t>ábarát—intelligence bureau (“secret police”)</w:t>
      </w:r>
    </w:p>
    <w:p w14:paraId="70FDC79D" w14:textId="77777777" w:rsidR="00625A5B" w:rsidRPr="008F03E5" w:rsidRDefault="00625A5B" w:rsidP="00F101DC">
      <w:pPr>
        <w:pStyle w:val="Translit"/>
        <w:rPr>
          <w:rFonts w:eastAsia="PMingLiU"/>
          <w:lang w:eastAsia="zh-TW"/>
        </w:rPr>
      </w:pPr>
      <w:r w:rsidRPr="008F03E5">
        <w:rPr>
          <w:rFonts w:eastAsia="PMingLiU"/>
          <w:lang w:eastAsia="zh-TW"/>
        </w:rPr>
        <w:t>Mukhaddira</w:t>
      </w:r>
      <w:r w:rsidRPr="008F03E5">
        <w:rPr>
          <w:rFonts w:eastAsia="PMingLiU"/>
          <w:lang w:eastAsia="zh-TW"/>
        </w:rPr>
        <w:tab/>
        <w:t>Mu</w:t>
      </w:r>
      <w:r w:rsidRPr="008F03E5">
        <w:rPr>
          <w:rFonts w:eastAsia="PMingLiU"/>
          <w:u w:val="single"/>
          <w:lang w:eastAsia="zh-TW"/>
        </w:rPr>
        <w:t>kh</w:t>
      </w:r>
      <w:r w:rsidRPr="008F03E5">
        <w:rPr>
          <w:rFonts w:eastAsia="PMingLiU"/>
          <w:lang w:eastAsia="zh-TW"/>
        </w:rPr>
        <w:t>addira, Pers. Mu</w:t>
      </w:r>
      <w:r w:rsidRPr="008F03E5">
        <w:rPr>
          <w:rFonts w:eastAsia="PMingLiU"/>
          <w:u w:val="single"/>
          <w:lang w:eastAsia="zh-TW"/>
        </w:rPr>
        <w:t>kh</w:t>
      </w:r>
      <w:r w:rsidRPr="008F03E5">
        <w:rPr>
          <w:rFonts w:eastAsia="PMingLiU"/>
          <w:lang w:eastAsia="zh-TW"/>
        </w:rPr>
        <w:t>addirih</w:t>
      </w:r>
      <w:r w:rsidRPr="008F03E5">
        <w:rPr>
          <w:rFonts w:eastAsia="PMingLiU"/>
          <w:lang w:eastAsia="zh-TW"/>
        </w:rPr>
        <w:tab/>
        <w:t>a girl kept in seclusion from the outside world, “veiled”</w:t>
      </w:r>
    </w:p>
    <w:p w14:paraId="52DFC75F" w14:textId="77777777" w:rsidR="00625A5B" w:rsidRPr="008F03E5" w:rsidRDefault="00625A5B" w:rsidP="007D7083">
      <w:pPr>
        <w:pStyle w:val="Translit"/>
      </w:pPr>
      <w:r w:rsidRPr="008F03E5">
        <w:t>Mukhatab</w:t>
      </w:r>
      <w:r w:rsidRPr="008F03E5">
        <w:tab/>
        <w:t>Mu</w:t>
      </w:r>
      <w:r w:rsidRPr="008F03E5">
        <w:rPr>
          <w:u w:val="single"/>
        </w:rPr>
        <w:t>kh</w:t>
      </w:r>
      <w:r w:rsidRPr="008F03E5">
        <w:t>áṭab</w:t>
      </w:r>
      <w:r w:rsidRPr="008F03E5">
        <w:tab/>
        <w:t>addressed, spoken to; (grammar) second person</w:t>
      </w:r>
    </w:p>
    <w:p w14:paraId="6DF07295" w14:textId="77777777" w:rsidR="00625A5B" w:rsidRPr="008F03E5" w:rsidRDefault="00625A5B" w:rsidP="007D7083">
      <w:pPr>
        <w:pStyle w:val="Translit"/>
        <w:rPr>
          <w:rFonts w:eastAsia="PMingLiU"/>
          <w:lang w:eastAsia="zh-TW"/>
        </w:rPr>
      </w:pPr>
      <w:r w:rsidRPr="008F03E5">
        <w:rPr>
          <w:rFonts w:eastAsia="PMingLiU"/>
          <w:lang w:eastAsia="zh-TW"/>
        </w:rPr>
        <w:t>Mukhataba, Mukhatabaat</w:t>
      </w:r>
      <w:r w:rsidRPr="008F03E5">
        <w:rPr>
          <w:rFonts w:eastAsia="PMingLiU"/>
          <w:lang w:eastAsia="zh-TW"/>
        </w:rPr>
        <w:tab/>
        <w:t>Mu</w:t>
      </w:r>
      <w:r w:rsidRPr="008F03E5">
        <w:rPr>
          <w:rFonts w:eastAsia="PMingLiU"/>
          <w:u w:val="single"/>
          <w:lang w:eastAsia="zh-TW"/>
        </w:rPr>
        <w:t>kh</w:t>
      </w:r>
      <w:r w:rsidRPr="008F03E5">
        <w:rPr>
          <w:rFonts w:eastAsia="PMingLiU"/>
          <w:lang w:eastAsia="zh-TW"/>
        </w:rPr>
        <w:t>áṭaba, pl. Mu</w:t>
      </w:r>
      <w:r w:rsidRPr="008F03E5">
        <w:rPr>
          <w:rFonts w:eastAsia="PMingLiU"/>
          <w:u w:val="single"/>
          <w:lang w:eastAsia="zh-TW"/>
        </w:rPr>
        <w:t>kh</w:t>
      </w:r>
      <w:r w:rsidRPr="008F03E5">
        <w:rPr>
          <w:rFonts w:eastAsia="PMingLiU"/>
          <w:lang w:eastAsia="zh-TW"/>
        </w:rPr>
        <w:t>áṭabát</w:t>
      </w:r>
      <w:r w:rsidRPr="008F03E5">
        <w:rPr>
          <w:rFonts w:eastAsia="PMingLiU"/>
          <w:lang w:eastAsia="zh-TW"/>
        </w:rPr>
        <w:tab/>
        <w:t>address; public address, speech; proclamation; conversation, talk; conference, parley</w:t>
      </w:r>
    </w:p>
    <w:p w14:paraId="3C68AD9F" w14:textId="77777777" w:rsidR="00625A5B" w:rsidRPr="008F03E5" w:rsidRDefault="00625A5B" w:rsidP="00FA70C5">
      <w:pPr>
        <w:pStyle w:val="Translit"/>
        <w:rPr>
          <w:rFonts w:eastAsia="PMingLiU"/>
          <w:lang w:eastAsia="zh-TW"/>
        </w:rPr>
      </w:pPr>
      <w:r w:rsidRPr="008F03E5">
        <w:rPr>
          <w:rFonts w:eastAsia="PMingLiU"/>
          <w:lang w:eastAsia="zh-TW"/>
        </w:rPr>
        <w:t>Mukhbir, Mukhbirun</w:t>
      </w:r>
      <w:r w:rsidRPr="008F03E5">
        <w:rPr>
          <w:rFonts w:eastAsia="PMingLiU"/>
          <w:lang w:eastAsia="zh-TW"/>
        </w:rPr>
        <w:tab/>
        <w:t>Mu</w:t>
      </w:r>
      <w:r w:rsidRPr="008F03E5">
        <w:rPr>
          <w:rFonts w:eastAsia="PMingLiU"/>
          <w:u w:val="single"/>
          <w:lang w:eastAsia="zh-TW"/>
        </w:rPr>
        <w:t>kh</w:t>
      </w:r>
      <w:r w:rsidRPr="008F03E5">
        <w:rPr>
          <w:rFonts w:eastAsia="PMingLiU"/>
          <w:lang w:eastAsia="zh-TW"/>
        </w:rPr>
        <w:t>bir, pl. Mu</w:t>
      </w:r>
      <w:r w:rsidRPr="008F03E5">
        <w:rPr>
          <w:rFonts w:eastAsia="PMingLiU"/>
          <w:u w:val="single"/>
          <w:lang w:eastAsia="zh-TW"/>
        </w:rPr>
        <w:t>kh</w:t>
      </w:r>
      <w:r w:rsidRPr="008F03E5">
        <w:rPr>
          <w:rFonts w:eastAsia="PMingLiU"/>
          <w:lang w:eastAsia="zh-TW"/>
        </w:rPr>
        <w:t>bir</w:t>
      </w:r>
      <w:r w:rsidRPr="008F03E5">
        <w:t>ú</w:t>
      </w:r>
      <w:r w:rsidRPr="008F03E5">
        <w:rPr>
          <w:rFonts w:eastAsia="PMingLiU"/>
          <w:lang w:eastAsia="zh-TW"/>
        </w:rPr>
        <w:t>n</w:t>
      </w:r>
      <w:r w:rsidRPr="008F03E5">
        <w:rPr>
          <w:rFonts w:eastAsia="PMingLiU"/>
          <w:lang w:eastAsia="zh-TW"/>
        </w:rPr>
        <w:tab/>
        <w:t>reporter; detective</w:t>
      </w:r>
    </w:p>
    <w:p w14:paraId="16D99165" w14:textId="77777777" w:rsidR="00625A5B" w:rsidRPr="008F03E5" w:rsidRDefault="00625A5B" w:rsidP="00FA70C5">
      <w:pPr>
        <w:pStyle w:val="Translit"/>
      </w:pPr>
      <w:r w:rsidRPr="008F03E5">
        <w:t>Mukhbiru’d-Dawlih</w:t>
      </w:r>
      <w:r w:rsidRPr="008F03E5">
        <w:tab/>
        <w:t>Mu</w:t>
      </w:r>
      <w:r w:rsidRPr="008F03E5">
        <w:rPr>
          <w:u w:val="single"/>
        </w:rPr>
        <w:t>kh</w:t>
      </w:r>
      <w:r w:rsidRPr="008F03E5">
        <w:t>biru’d-Dawlih</w:t>
      </w:r>
      <w:r w:rsidRPr="008F03E5">
        <w:tab/>
        <w:t>a title meaning ‘the Empire’s Chief of Communications’</w:t>
      </w:r>
    </w:p>
    <w:p w14:paraId="33AB80FF" w14:textId="77777777" w:rsidR="00625A5B" w:rsidRPr="008F03E5" w:rsidRDefault="00625A5B" w:rsidP="00DB3C38">
      <w:pPr>
        <w:pStyle w:val="Translit"/>
        <w:rPr>
          <w:rFonts w:eastAsia="PMingLiU"/>
          <w:lang w:eastAsia="zh-TW"/>
        </w:rPr>
      </w:pPr>
      <w:r w:rsidRPr="008F03E5">
        <w:rPr>
          <w:rFonts w:eastAsia="PMingLiU"/>
          <w:lang w:eastAsia="zh-TW"/>
        </w:rPr>
        <w:t>Mukhlis, Mukhlisun</w:t>
      </w:r>
      <w:r w:rsidRPr="008F03E5">
        <w:rPr>
          <w:rFonts w:eastAsia="PMingLiU"/>
          <w:lang w:eastAsia="zh-TW"/>
        </w:rPr>
        <w:tab/>
        <w:t>Mu</w:t>
      </w:r>
      <w:r w:rsidRPr="008F03E5">
        <w:rPr>
          <w:rFonts w:eastAsia="PMingLiU"/>
          <w:u w:val="single"/>
          <w:lang w:eastAsia="zh-TW"/>
        </w:rPr>
        <w:t>kh</w:t>
      </w:r>
      <w:r w:rsidRPr="008F03E5">
        <w:rPr>
          <w:rFonts w:eastAsia="PMingLiU"/>
          <w:lang w:eastAsia="zh-TW"/>
        </w:rPr>
        <w:t>liṣ, pl. Mu</w:t>
      </w:r>
      <w:r w:rsidRPr="008F03E5">
        <w:rPr>
          <w:rFonts w:eastAsia="PMingLiU"/>
          <w:u w:val="single"/>
          <w:lang w:eastAsia="zh-TW"/>
        </w:rPr>
        <w:t>kh</w:t>
      </w:r>
      <w:r w:rsidRPr="008F03E5">
        <w:rPr>
          <w:rFonts w:eastAsia="PMingLiU"/>
          <w:lang w:eastAsia="zh-TW"/>
        </w:rPr>
        <w:t>liṣún</w:t>
      </w:r>
      <w:r w:rsidRPr="008F03E5">
        <w:rPr>
          <w:rFonts w:eastAsia="PMingLiU"/>
          <w:lang w:eastAsia="zh-TW"/>
        </w:rPr>
        <w:tab/>
        <w:t>devoted; sincere, frank, candid; loyal; faithful (to someone, to something); pure-hearted, virtuous, righteous; (in letters) approx.:  yours truly …, sincerely yours …</w:t>
      </w:r>
    </w:p>
    <w:p w14:paraId="55807E0B" w14:textId="77777777" w:rsidR="00625A5B" w:rsidRPr="008F03E5" w:rsidRDefault="00625A5B" w:rsidP="000524C7">
      <w:pPr>
        <w:pStyle w:val="Translit"/>
      </w:pPr>
      <w:r w:rsidRPr="008F03E5">
        <w:t>Mukhtalif, Mukhtalifa</w:t>
      </w:r>
      <w:r w:rsidRPr="008F03E5">
        <w:tab/>
        <w:t>Mu</w:t>
      </w:r>
      <w:r w:rsidRPr="008F03E5">
        <w:rPr>
          <w:u w:val="single"/>
        </w:rPr>
        <w:t>kh</w:t>
      </w:r>
      <w:r w:rsidRPr="008F03E5">
        <w:t>talif, fem, Mu</w:t>
      </w:r>
      <w:r w:rsidRPr="008F03E5">
        <w:rPr>
          <w:u w:val="single"/>
        </w:rPr>
        <w:t>kh</w:t>
      </w:r>
      <w:r w:rsidRPr="008F03E5">
        <w:t>talifa[t]</w:t>
      </w:r>
      <w:r w:rsidRPr="008F03E5">
        <w:tab/>
        <w:t>different, varying, divergent (from); varied, various, diverse; having a different opinion</w:t>
      </w:r>
    </w:p>
    <w:p w14:paraId="3D7049CF" w14:textId="77777777" w:rsidR="00625A5B" w:rsidRPr="008F03E5" w:rsidRDefault="00625A5B" w:rsidP="005C40FD">
      <w:pPr>
        <w:pStyle w:val="Translit"/>
        <w:rPr>
          <w:rFonts w:eastAsia="PMingLiU"/>
          <w:lang w:eastAsia="zh-TW"/>
        </w:rPr>
      </w:pPr>
      <w:r w:rsidRPr="008F03E5">
        <w:rPr>
          <w:rFonts w:eastAsia="PMingLiU"/>
          <w:lang w:eastAsia="zh-TW"/>
        </w:rPr>
        <w:t>Mukhtar</w:t>
      </w:r>
      <w:r w:rsidRPr="008F03E5">
        <w:tab/>
      </w:r>
      <w:r w:rsidRPr="008F03E5">
        <w:rPr>
          <w:rFonts w:eastAsia="PMingLiU"/>
          <w:lang w:eastAsia="zh-TW"/>
        </w:rPr>
        <w:t>Mu</w:t>
      </w:r>
      <w:r w:rsidRPr="008F03E5">
        <w:rPr>
          <w:u w:val="single"/>
        </w:rPr>
        <w:t>kh</w:t>
      </w:r>
      <w:r w:rsidRPr="008F03E5">
        <w:rPr>
          <w:rFonts w:eastAsia="PMingLiU"/>
          <w:lang w:eastAsia="zh-TW"/>
        </w:rPr>
        <w:t>tár</w:t>
      </w:r>
      <w:r w:rsidRPr="008F03E5">
        <w:tab/>
        <w:t>free to choose, having the choice or option.  al-Mu</w:t>
      </w:r>
      <w:r w:rsidRPr="008F03E5">
        <w:rPr>
          <w:u w:val="single"/>
        </w:rPr>
        <w:t>kh</w:t>
      </w:r>
      <w:r w:rsidRPr="008F03E5">
        <w:t xml:space="preserve">tár Abú ‘Ubayd Masúd </w:t>
      </w:r>
      <w:r w:rsidRPr="008F03E5">
        <w:rPr>
          <w:u w:val="single"/>
        </w:rPr>
        <w:t>Th</w:t>
      </w:r>
      <w:r w:rsidRPr="008F03E5">
        <w:t xml:space="preserve">aqafí( born in Ṭá’if in </w:t>
      </w:r>
      <w:r w:rsidRPr="008F03E5">
        <w:rPr>
          <w:sz w:val="16"/>
          <w:szCs w:val="16"/>
        </w:rPr>
        <w:t xml:space="preserve">CE </w:t>
      </w:r>
      <w:r w:rsidRPr="008F03E5">
        <w:t xml:space="preserve">622, </w:t>
      </w:r>
      <w:r w:rsidRPr="008F03E5">
        <w:rPr>
          <w:sz w:val="16"/>
          <w:szCs w:val="16"/>
        </w:rPr>
        <w:t>AH</w:t>
      </w:r>
      <w:r w:rsidRPr="008F03E5">
        <w:t xml:space="preserve"> 1)</w:t>
      </w:r>
    </w:p>
    <w:p w14:paraId="17CC4D90" w14:textId="77777777" w:rsidR="00625A5B" w:rsidRPr="008F03E5" w:rsidRDefault="00625A5B" w:rsidP="000524C7">
      <w:pPr>
        <w:pStyle w:val="Translit"/>
      </w:pPr>
      <w:r w:rsidRPr="008F03E5">
        <w:t>Mukhtariyya</w:t>
      </w:r>
      <w:r w:rsidRPr="008F03E5">
        <w:tab/>
        <w:t>Mu</w:t>
      </w:r>
      <w:r w:rsidRPr="008F03E5">
        <w:rPr>
          <w:u w:val="single"/>
        </w:rPr>
        <w:t>kh</w:t>
      </w:r>
      <w:r w:rsidRPr="008F03E5">
        <w:t>táriyya</w:t>
      </w:r>
      <w:r w:rsidRPr="008F03E5">
        <w:tab/>
      </w:r>
      <w:r w:rsidRPr="008F03E5">
        <w:rPr>
          <w:u w:val="single"/>
        </w:rPr>
        <w:t>Sh</w:t>
      </w:r>
      <w:r w:rsidRPr="008F03E5">
        <w:t>í‘a sect of Islam.  The followers of Al-Mu</w:t>
      </w:r>
      <w:r w:rsidRPr="008F03E5">
        <w:rPr>
          <w:u w:val="single"/>
        </w:rPr>
        <w:t>kh</w:t>
      </w:r>
      <w:r w:rsidRPr="008F03E5">
        <w:t>tár Abú (see Mu</w:t>
      </w:r>
      <w:r w:rsidRPr="008F03E5">
        <w:rPr>
          <w:u w:val="single"/>
        </w:rPr>
        <w:t>kh</w:t>
      </w:r>
      <w:r w:rsidRPr="008F03E5">
        <w:t>tár) were initially named Mu</w:t>
      </w:r>
      <w:r w:rsidRPr="008F03E5">
        <w:rPr>
          <w:u w:val="single"/>
        </w:rPr>
        <w:t>kh</w:t>
      </w:r>
      <w:r w:rsidRPr="008F03E5">
        <w:t>táriyya, but were soon more commonly referred to as the Kaysániyya (i.e. Kaysanites).  See Kaysániyya</w:t>
      </w:r>
    </w:p>
    <w:p w14:paraId="13C84C1B" w14:textId="77777777" w:rsidR="00625A5B" w:rsidRPr="008F03E5" w:rsidRDefault="00625A5B" w:rsidP="000524C7">
      <w:pPr>
        <w:pStyle w:val="Translit"/>
      </w:pPr>
      <w:r w:rsidRPr="008F03E5">
        <w:t>Mukhtarsar, Mukhtarsarat</w:t>
      </w:r>
      <w:r w:rsidRPr="008F03E5">
        <w:tab/>
        <w:t>Mu</w:t>
      </w:r>
      <w:r w:rsidRPr="008F03E5">
        <w:rPr>
          <w:u w:val="single"/>
        </w:rPr>
        <w:t>kh</w:t>
      </w:r>
      <w:r w:rsidRPr="008F03E5">
        <w:t>taṣar, pl. Mu</w:t>
      </w:r>
      <w:r w:rsidRPr="008F03E5">
        <w:rPr>
          <w:u w:val="single"/>
        </w:rPr>
        <w:t>kh</w:t>
      </w:r>
      <w:r w:rsidRPr="008F03E5">
        <w:t>taṣarát</w:t>
      </w:r>
      <w:r w:rsidRPr="008F03E5">
        <w:tab/>
        <w:t>shortened, condensed, abridged; brief, short; concise, terse, succinct;—pl. short excerpt, brief exposition, synopsis, outline, summary, abstract, epitome, compendium</w:t>
      </w:r>
    </w:p>
    <w:p w14:paraId="061C6388" w14:textId="77777777" w:rsidR="00625A5B" w:rsidRPr="008F03E5" w:rsidRDefault="00625A5B" w:rsidP="00BD36CC">
      <w:pPr>
        <w:pStyle w:val="Translit"/>
        <w:rPr>
          <w:rFonts w:eastAsia="PMingLiU"/>
          <w:lang w:eastAsia="zh-TW"/>
        </w:rPr>
      </w:pPr>
      <w:r w:rsidRPr="008F03E5">
        <w:rPr>
          <w:rFonts w:eastAsia="PMingLiU"/>
          <w:lang w:eastAsia="zh-TW"/>
        </w:rPr>
        <w:t>Mukhti’</w:t>
      </w:r>
      <w:r w:rsidRPr="008F03E5">
        <w:rPr>
          <w:rFonts w:eastAsia="PMingLiU"/>
          <w:lang w:eastAsia="zh-TW"/>
        </w:rPr>
        <w:tab/>
        <w:t>Mu</w:t>
      </w:r>
      <w:r w:rsidRPr="008F03E5">
        <w:rPr>
          <w:u w:val="single"/>
        </w:rPr>
        <w:t>kh</w:t>
      </w:r>
      <w:r w:rsidRPr="008F03E5">
        <w:t>ṭ</w:t>
      </w:r>
      <w:r w:rsidRPr="008F03E5">
        <w:rPr>
          <w:rFonts w:eastAsia="PMingLiU"/>
          <w:lang w:eastAsia="zh-TW"/>
        </w:rPr>
        <w:t>i’</w:t>
      </w:r>
      <w:r w:rsidRPr="008F03E5">
        <w:rPr>
          <w:rFonts w:eastAsia="PMingLiU"/>
          <w:lang w:eastAsia="zh-TW"/>
        </w:rPr>
        <w:tab/>
        <w:t>mistaken, at fault, wrong; incorrect, wrong, erroneous.  Hence, Mu</w:t>
      </w:r>
      <w:r w:rsidRPr="008F03E5">
        <w:rPr>
          <w:u w:val="single"/>
        </w:rPr>
        <w:t>kh</w:t>
      </w:r>
      <w:r w:rsidRPr="008F03E5">
        <w:t>ṭ</w:t>
      </w:r>
      <w:r w:rsidRPr="008F03E5">
        <w:rPr>
          <w:rFonts w:eastAsia="PMingLiU"/>
          <w:lang w:eastAsia="zh-TW"/>
        </w:rPr>
        <w:t>i’ah, the Errant.</w:t>
      </w:r>
    </w:p>
    <w:p w14:paraId="0A2302F8" w14:textId="77777777" w:rsidR="00625A5B" w:rsidRPr="008F03E5" w:rsidRDefault="00625A5B" w:rsidP="000C34F4">
      <w:pPr>
        <w:pStyle w:val="Translit"/>
      </w:pPr>
      <w:r w:rsidRPr="008F03E5">
        <w:t>Mulham, Mulhaman</w:t>
      </w:r>
      <w:r w:rsidRPr="008F03E5">
        <w:tab/>
        <w:t>Mulham, Pers. pl. Mulhamán</w:t>
      </w:r>
      <w:r w:rsidRPr="008F03E5">
        <w:tab/>
        <w:t>inspired.  Mulhamah inspiring, inspirational</w:t>
      </w:r>
    </w:p>
    <w:p w14:paraId="7C359E29" w14:textId="77777777" w:rsidR="00625A5B" w:rsidRPr="008F03E5" w:rsidRDefault="00625A5B" w:rsidP="005C79AB">
      <w:pPr>
        <w:pStyle w:val="Translit"/>
      </w:pPr>
      <w:r w:rsidRPr="008F03E5">
        <w:t>Mulhaq, Mulhaqat, Malahiq, Mulhaqun</w:t>
      </w:r>
      <w:r w:rsidRPr="008F03E5">
        <w:tab/>
        <w:t>Mulḥaq</w:t>
      </w:r>
      <w:r w:rsidRPr="008F03E5">
        <w:tab/>
        <w:t>(“mulhaqq”) added, affixed, appended, attached, subjoined (to something), enclosed (in something); adjoining, adjacent, contiguous; written or printed in the margin, marginal; appertaining, appurtenant, incident, pertinent, accompanying; incorporated, annexed; supplement;—(pl. mulḥaqát, maláḥiq) appendix; addition, addendum, postscript; supplement, extra sheet (of a newspaper, periodical, book); enclosure (in a letter); appendage; pendant, locket; tag, label; trailer (of a truck, etc.); annex, subsidiary building, wing or addition to a building;—(pl. mulḥaqún) attaché; assistant;—(pl. mulḥaqán, “mulhaqan”) also:  annexed provinces, dependent territories, dependencies</w:t>
      </w:r>
    </w:p>
    <w:p w14:paraId="30018255" w14:textId="77777777" w:rsidR="00625A5B" w:rsidRPr="008F03E5" w:rsidRDefault="00625A5B" w:rsidP="0046193C">
      <w:pPr>
        <w:pStyle w:val="Translit"/>
      </w:pPr>
      <w:r w:rsidRPr="008F03E5">
        <w:t>Muli, Muliyan</w:t>
      </w:r>
      <w:r w:rsidRPr="008F03E5">
        <w:tab/>
        <w:t>Múlí, pl. Múliyán</w:t>
      </w:r>
      <w:r w:rsidRPr="008F03E5">
        <w:tab/>
        <w:t>Pers. one who has a lover; delay; an ogler; name of a people given to robbery;—pl. robbers, plunderers; Múliyán is a river at Bu</w:t>
      </w:r>
      <w:r w:rsidRPr="008F03E5">
        <w:rPr>
          <w:u w:val="single"/>
        </w:rPr>
        <w:t>kh</w:t>
      </w:r>
      <w:r w:rsidRPr="008F03E5">
        <w:t>árá.</w:t>
      </w:r>
    </w:p>
    <w:p w14:paraId="44F1BEE3" w14:textId="77777777" w:rsidR="00625A5B" w:rsidRPr="008F03E5" w:rsidRDefault="00625A5B" w:rsidP="008826D4">
      <w:pPr>
        <w:pStyle w:val="Translit"/>
      </w:pPr>
      <w:r w:rsidRPr="008F03E5">
        <w:t>Muljam, Maljum</w:t>
      </w:r>
      <w:r w:rsidRPr="008F03E5">
        <w:tab/>
        <w:t>Muljam, Muljúm</w:t>
      </w:r>
      <w:r w:rsidRPr="008F03E5">
        <w:tab/>
        <w:t>bridled, curbed, harnessed</w:t>
      </w:r>
    </w:p>
    <w:p w14:paraId="0934D34C" w14:textId="77777777" w:rsidR="00625A5B" w:rsidRPr="008F03E5" w:rsidRDefault="00625A5B" w:rsidP="0007288D">
      <w:pPr>
        <w:pStyle w:val="Translit"/>
      </w:pPr>
      <w:r w:rsidRPr="008F03E5">
        <w:t>Mulk al-Qadin</w:t>
      </w:r>
      <w:r w:rsidRPr="008F03E5">
        <w:tab/>
        <w:t>al-Mulk al-Qadim</w:t>
      </w:r>
      <w:r w:rsidRPr="008F03E5">
        <w:tab/>
        <w:t>the ancient king, a title of Bahá’u’lláh</w:t>
      </w:r>
    </w:p>
    <w:p w14:paraId="4A9AD35D" w14:textId="77777777" w:rsidR="00625A5B" w:rsidRPr="008F03E5" w:rsidRDefault="00625A5B" w:rsidP="0064053B">
      <w:pPr>
        <w:pStyle w:val="Translit"/>
      </w:pPr>
      <w:r w:rsidRPr="008F03E5">
        <w:t>Mulk</w:t>
      </w:r>
      <w:r w:rsidRPr="008F03E5">
        <w:tab/>
        <w:t>Mulk</w:t>
      </w:r>
      <w:r w:rsidRPr="008F03E5">
        <w:tab/>
        <w:t>rule, reign, supreme authority, dominion, domination, dominance, sway, power; sovereignty, kingship, royalty; monarchy; tenure, holding, right of possession, possessory right, ownership</w:t>
      </w:r>
    </w:p>
    <w:p w14:paraId="30AB7EF0" w14:textId="77777777" w:rsidR="00625A5B" w:rsidRPr="008F03E5" w:rsidRDefault="00625A5B" w:rsidP="00D61281">
      <w:pPr>
        <w:pStyle w:val="Translit"/>
      </w:pPr>
      <w:r w:rsidRPr="008F03E5">
        <w:t>Mulla Muhammad-Riday-i-Manshadi</w:t>
      </w:r>
      <w:r w:rsidRPr="008F03E5">
        <w:tab/>
        <w:t>Mullá Muḥammad-Riḍáy-i-Man</w:t>
      </w:r>
      <w:r w:rsidRPr="008F03E5">
        <w:rPr>
          <w:u w:val="single"/>
        </w:rPr>
        <w:t>sh</w:t>
      </w:r>
      <w:r w:rsidRPr="008F03E5">
        <w:t>ádí</w:t>
      </w:r>
      <w:r w:rsidRPr="008F03E5">
        <w:tab/>
        <w:t xml:space="preserve">See </w:t>
      </w:r>
      <w:r w:rsidRPr="008F03E5">
        <w:rPr>
          <w:rFonts w:eastAsia="PMingLiU"/>
          <w:lang w:eastAsia="zh-TW"/>
        </w:rPr>
        <w:t>Ra</w:t>
      </w:r>
      <w:r w:rsidRPr="008F03E5">
        <w:t>ḍí’</w:t>
      </w:r>
      <w:r w:rsidRPr="008F03E5">
        <w:rPr>
          <w:rFonts w:eastAsia="PMingLiU"/>
          <w:lang w:eastAsia="zh-TW"/>
        </w:rPr>
        <w:t>ur-R</w:t>
      </w:r>
      <w:r w:rsidRPr="008F03E5">
        <w:t>úḥ.</w:t>
      </w:r>
    </w:p>
    <w:p w14:paraId="3E318319" w14:textId="77777777" w:rsidR="00625A5B" w:rsidRPr="008F03E5" w:rsidRDefault="00625A5B" w:rsidP="00AE1704">
      <w:pPr>
        <w:pStyle w:val="Translit"/>
      </w:pPr>
      <w:r w:rsidRPr="001457C8">
        <w:rPr>
          <w:lang w:val="it-IT"/>
        </w:rPr>
        <w:t>Mulla, Mulla-ha</w:t>
      </w:r>
      <w:r w:rsidRPr="001457C8">
        <w:rPr>
          <w:lang w:val="it-IT"/>
        </w:rPr>
        <w:tab/>
        <w:t xml:space="preserve">Mullá, pl. </w:t>
      </w:r>
      <w:r w:rsidRPr="008F03E5">
        <w:t>Mullá-há</w:t>
      </w:r>
      <w:r w:rsidRPr="008F03E5">
        <w:tab/>
        <w:t xml:space="preserve">Pers. school master, doctor, learned man, judge, priest.  The Persian mullá (mullah in English) is derived from the Qur’anic mawlá.  Common modern usage for village or neighbourhood mosque leaders, who may not have high levels of religious education.  In Iran, since the use of mullá has degenerated into a derogatory term for a semi-literate, backward, often bigoted village religious leader.  </w:t>
      </w:r>
      <w:r w:rsidRPr="008F03E5">
        <w:rPr>
          <w:u w:val="single"/>
        </w:rPr>
        <w:t>Sh</w:t>
      </w:r>
      <w:r w:rsidRPr="008F03E5">
        <w:t>í‘a clerics may now use imám, áyatu’lláh and rúḥání as alternatives.  Mawálí (“mawali”) or ‘ulamá’ (“‘ulama’” or “‘ulama”) may be used as plurals.</w:t>
      </w:r>
    </w:p>
    <w:p w14:paraId="0C7F1B9E" w14:textId="77777777" w:rsidR="00625A5B" w:rsidRPr="008F03E5" w:rsidRDefault="00625A5B" w:rsidP="00560645">
      <w:pPr>
        <w:pStyle w:val="Translit"/>
      </w:pPr>
      <w:r w:rsidRPr="008F03E5">
        <w:t>Mulla’i</w:t>
      </w:r>
      <w:r w:rsidRPr="008F03E5">
        <w:tab/>
        <w:t>Mullá’í</w:t>
      </w:r>
      <w:r w:rsidRPr="008F03E5">
        <w:tab/>
        <w:t>Pers. of or relating to a mullá; office or profession of a mullá; doctorship; teaching</w:t>
      </w:r>
    </w:p>
    <w:p w14:paraId="03534575" w14:textId="77777777" w:rsidR="00625A5B" w:rsidRPr="001457C8" w:rsidRDefault="00625A5B" w:rsidP="00900A82">
      <w:pPr>
        <w:pStyle w:val="Translit"/>
        <w:rPr>
          <w:lang w:val="it-IT"/>
        </w:rPr>
      </w:pPr>
      <w:r w:rsidRPr="001457C8">
        <w:rPr>
          <w:lang w:val="it-IT"/>
        </w:rPr>
        <w:t>Mulla-Bashi</w:t>
      </w:r>
      <w:r w:rsidRPr="001457C8">
        <w:rPr>
          <w:lang w:val="it-IT"/>
        </w:rPr>
        <w:tab/>
        <w:t>Mullá-Bá</w:t>
      </w:r>
      <w:r w:rsidRPr="001457C8">
        <w:rPr>
          <w:u w:val="single"/>
          <w:lang w:val="it-IT"/>
        </w:rPr>
        <w:t>sh</w:t>
      </w:r>
      <w:r w:rsidRPr="001457C8">
        <w:rPr>
          <w:lang w:val="it-IT"/>
        </w:rPr>
        <w:t>í</w:t>
      </w:r>
      <w:r w:rsidRPr="001457C8">
        <w:rPr>
          <w:lang w:val="it-IT"/>
        </w:rPr>
        <w:tab/>
        <w:t>(</w:t>
      </w:r>
      <w:r w:rsidRPr="001457C8">
        <w:rPr>
          <w:sz w:val="16"/>
          <w:szCs w:val="16"/>
          <w:lang w:val="it-IT"/>
        </w:rPr>
        <w:t>MF</w:t>
      </w:r>
      <w:r w:rsidRPr="001457C8">
        <w:rPr>
          <w:lang w:val="it-IT"/>
        </w:rPr>
        <w:t xml:space="preserve"> p. 172)</w:t>
      </w:r>
    </w:p>
    <w:p w14:paraId="2C9C50CD" w14:textId="77777777" w:rsidR="00625A5B" w:rsidRPr="008F03E5" w:rsidRDefault="00625A5B" w:rsidP="00560645">
      <w:pPr>
        <w:pStyle w:val="Translit"/>
      </w:pPr>
      <w:r w:rsidRPr="008F03E5">
        <w:t>Mullani</w:t>
      </w:r>
      <w:r w:rsidRPr="008F03E5">
        <w:tab/>
        <w:t>Mullání</w:t>
      </w:r>
      <w:r w:rsidRPr="008F03E5">
        <w:tab/>
        <w:t>Pers. wife of a mullá, a learned woman; a schoolmistress.  See Mawlá.</w:t>
      </w:r>
    </w:p>
    <w:p w14:paraId="03D4A444" w14:textId="77777777" w:rsidR="00625A5B" w:rsidRPr="008F03E5" w:rsidRDefault="00625A5B" w:rsidP="00F34858">
      <w:pPr>
        <w:pStyle w:val="Translit"/>
      </w:pPr>
      <w:r w:rsidRPr="008F03E5">
        <w:t>Multabis</w:t>
      </w:r>
      <w:r w:rsidRPr="008F03E5">
        <w:tab/>
        <w:t>Multabis</w:t>
      </w:r>
      <w:r w:rsidRPr="008F03E5">
        <w:tab/>
        <w:t>involved, intricate, ambiguous, equivocal; dubious, doubtful, uncertain, unclear</w:t>
      </w:r>
    </w:p>
    <w:p w14:paraId="0FAE7C61" w14:textId="77777777" w:rsidR="00625A5B" w:rsidRPr="008F03E5" w:rsidRDefault="00625A5B" w:rsidP="00E41E62">
      <w:pPr>
        <w:pStyle w:val="Translit"/>
      </w:pPr>
      <w:r w:rsidRPr="00960BB6">
        <w:rPr>
          <w:lang w:val="en-AU"/>
        </w:rPr>
        <w:t>Multan</w:t>
      </w:r>
      <w:r w:rsidRPr="00960BB6">
        <w:rPr>
          <w:lang w:val="en-AU"/>
        </w:rPr>
        <w:tab/>
        <w:t>Multán</w:t>
      </w:r>
      <w:r w:rsidRPr="00960BB6">
        <w:rPr>
          <w:lang w:val="en-AU"/>
        </w:rPr>
        <w:tab/>
        <w:t xml:space="preserve">from Turkish.  </w:t>
      </w:r>
      <w:r w:rsidRPr="008F03E5">
        <w:t xml:space="preserve">A type of vest or smock; city 314 km </w:t>
      </w:r>
      <w:r w:rsidRPr="008F03E5">
        <w:rPr>
          <w:sz w:val="16"/>
          <w:szCs w:val="16"/>
        </w:rPr>
        <w:t>NSW</w:t>
      </w:r>
      <w:r w:rsidRPr="008F03E5">
        <w:t xml:space="preserve"> of Lahore.  Birthplace of </w:t>
      </w:r>
      <w:r w:rsidRPr="008F03E5">
        <w:rPr>
          <w:u w:val="single"/>
        </w:rPr>
        <w:t>Sh</w:t>
      </w:r>
      <w:r w:rsidRPr="008F03E5">
        <w:t>ay</w:t>
      </w:r>
      <w:r w:rsidRPr="008F03E5">
        <w:rPr>
          <w:u w:val="single"/>
        </w:rPr>
        <w:t>kh</w:t>
      </w:r>
      <w:r w:rsidRPr="008F03E5">
        <w:t xml:space="preserve"> Sa‘íd-i-Hindí, before it became part of Parkistan.</w:t>
      </w:r>
    </w:p>
    <w:p w14:paraId="33E64724" w14:textId="77777777" w:rsidR="00625A5B" w:rsidRDefault="00625A5B" w:rsidP="00E942AF">
      <w:pPr>
        <w:pStyle w:val="Translit"/>
      </w:pPr>
      <w:r>
        <w:t>Multaqa (Maltaqa)</w:t>
      </w:r>
      <w:r>
        <w:tab/>
        <w:t>M</w:t>
      </w:r>
      <w:r w:rsidRPr="00420BE5">
        <w:t>ultaqá</w:t>
      </w:r>
      <w:r>
        <w:tab/>
        <w:t>a</w:t>
      </w:r>
      <w:r w:rsidRPr="00AF4D34">
        <w:t xml:space="preserve"> place of meeting; confluence of two rivers, meeting of seas (</w:t>
      </w:r>
      <w:r>
        <w:t xml:space="preserve">e.g. </w:t>
      </w:r>
      <w:r w:rsidRPr="00AF4D34">
        <w:t xml:space="preserve">the </w:t>
      </w:r>
      <w:r w:rsidRPr="00E942AF">
        <w:t>Sea of Marmara a</w:t>
      </w:r>
      <w:r w:rsidRPr="00AF4D34">
        <w:t xml:space="preserve">nd </w:t>
      </w:r>
      <w:r>
        <w:t xml:space="preserve">the </w:t>
      </w:r>
      <w:r w:rsidRPr="00AF4D34">
        <w:t>Black Sea at the Thracian Bosphorus or the Straits of Constantinople</w:t>
      </w:r>
      <w:r>
        <w:t>).</w:t>
      </w:r>
    </w:p>
    <w:p w14:paraId="244408DF" w14:textId="77777777" w:rsidR="00625A5B" w:rsidRPr="00E942AF" w:rsidRDefault="00625A5B" w:rsidP="00960BB6">
      <w:pPr>
        <w:pStyle w:val="Translit"/>
        <w:rPr>
          <w:lang w:val="en-AU"/>
        </w:rPr>
      </w:pPr>
      <w:r w:rsidRPr="00E942AF">
        <w:rPr>
          <w:lang w:val="en-AU"/>
        </w:rPr>
        <w:t>Multaqa al-A’la</w:t>
      </w:r>
      <w:r w:rsidRPr="00E942AF">
        <w:rPr>
          <w:lang w:val="en-AU"/>
        </w:rPr>
        <w:tab/>
        <w:t>al-Multaqá al-A‘lá</w:t>
      </w:r>
      <w:r w:rsidRPr="00E942AF">
        <w:rPr>
          <w:lang w:val="en-AU"/>
        </w:rPr>
        <w:tab/>
        <w:t>“highest meeting place” or Supreme concourse</w:t>
      </w:r>
    </w:p>
    <w:p w14:paraId="61150FDA" w14:textId="77777777" w:rsidR="00625A5B" w:rsidRPr="008F03E5" w:rsidRDefault="00625A5B" w:rsidP="009D2A5B">
      <w:pPr>
        <w:pStyle w:val="Translit"/>
      </w:pPr>
      <w:r w:rsidRPr="008F03E5">
        <w:t>Mumit a</w:t>
      </w:r>
      <w:r>
        <w:t>d</w:t>
      </w:r>
      <w:r w:rsidRPr="008F03E5">
        <w:t>-Din</w:t>
      </w:r>
      <w:r w:rsidRPr="008F03E5">
        <w:tab/>
        <w:t>Mumít a</w:t>
      </w:r>
      <w:r>
        <w:t>d</w:t>
      </w:r>
      <w:r w:rsidRPr="008F03E5">
        <w:t>-Dín</w:t>
      </w:r>
      <w:r w:rsidRPr="008F03E5">
        <w:tab/>
        <w:t xml:space="preserve">slayer of religion, a term frequently used by </w:t>
      </w:r>
      <w:r w:rsidRPr="008F03E5">
        <w:rPr>
          <w:u w:val="single"/>
          <w:lang w:eastAsia="en-US"/>
        </w:rPr>
        <w:t>Sh</w:t>
      </w:r>
      <w:r w:rsidRPr="008F03E5">
        <w:rPr>
          <w:lang w:eastAsia="en-US"/>
        </w:rPr>
        <w:t>ay</w:t>
      </w:r>
      <w:r w:rsidRPr="008F03E5">
        <w:rPr>
          <w:u w:val="single"/>
          <w:lang w:eastAsia="en-US"/>
        </w:rPr>
        <w:t>kh</w:t>
      </w:r>
      <w:r w:rsidRPr="008F03E5">
        <w:rPr>
          <w:lang w:eastAsia="en-US"/>
        </w:rPr>
        <w:t xml:space="preserve"> Aḥmad</w:t>
      </w:r>
    </w:p>
    <w:p w14:paraId="000E0AEC" w14:textId="77777777" w:rsidR="00625A5B" w:rsidRPr="008F03E5" w:rsidRDefault="00625A5B" w:rsidP="007350E3">
      <w:pPr>
        <w:pStyle w:val="Translit"/>
      </w:pPr>
      <w:r w:rsidRPr="008F03E5">
        <w:t>Mumit</w:t>
      </w:r>
      <w:r w:rsidRPr="008F03E5">
        <w:tab/>
        <w:t>Mumít</w:t>
      </w:r>
      <w:r w:rsidRPr="008F03E5">
        <w:tab/>
        <w:t>lethal, fatal, mortal, deadly</w:t>
      </w:r>
    </w:p>
    <w:p w14:paraId="35C5A25A" w14:textId="77777777" w:rsidR="00625A5B" w:rsidRPr="008F03E5" w:rsidRDefault="00625A5B" w:rsidP="00AF6681">
      <w:pPr>
        <w:pStyle w:val="Translit"/>
      </w:pPr>
      <w:r w:rsidRPr="008F03E5">
        <w:t xml:space="preserve">Mumkin, </w:t>
      </w:r>
      <w:r>
        <w:t xml:space="preserve">Mumkina, </w:t>
      </w:r>
      <w:r w:rsidRPr="008F03E5">
        <w:t>Mumkinat</w:t>
      </w:r>
      <w:r w:rsidRPr="008F03E5">
        <w:tab/>
        <w:t xml:space="preserve">Mumkin, </w:t>
      </w:r>
      <w:r>
        <w:t xml:space="preserve">fem. </w:t>
      </w:r>
      <w:r w:rsidRPr="008F03E5">
        <w:t>Mumkin</w:t>
      </w:r>
      <w:r>
        <w:t>a[h or t]</w:t>
      </w:r>
      <w:r>
        <w:tab/>
        <w:t>(</w:t>
      </w:r>
      <w:r w:rsidRPr="008F03E5">
        <w:t>pl. Mumkinát</w:t>
      </w:r>
      <w:r>
        <w:t xml:space="preserve">) </w:t>
      </w:r>
      <w:r w:rsidRPr="008F03E5">
        <w:t>possible; thinkable, conceivable; contingent on something;—pl. possibilities</w:t>
      </w:r>
      <w:r>
        <w:t>.</w:t>
      </w:r>
    </w:p>
    <w:p w14:paraId="79F22D63" w14:textId="77777777" w:rsidR="00625A5B" w:rsidRPr="008F03E5" w:rsidRDefault="00625A5B" w:rsidP="004B60EF">
      <w:pPr>
        <w:pStyle w:val="Translit"/>
      </w:pPr>
      <w:r w:rsidRPr="008F03E5">
        <w:t>Mumtahan, Mumtahana</w:t>
      </w:r>
      <w:r w:rsidRPr="008F03E5">
        <w:tab/>
        <w:t>Mumtaḥan, fem. Mumtaḥana[h]</w:t>
      </w:r>
      <w:r w:rsidRPr="008F03E5">
        <w:tab/>
        <w:t>examined; tried, tested; examinee, candidate.  Qur’án surá 60.</w:t>
      </w:r>
    </w:p>
    <w:p w14:paraId="5AC41C82" w14:textId="77777777" w:rsidR="00625A5B" w:rsidRPr="008F03E5" w:rsidRDefault="00625A5B" w:rsidP="00CB69AA">
      <w:pPr>
        <w:pStyle w:val="Translit"/>
      </w:pPr>
      <w:r w:rsidRPr="008F03E5">
        <w:t>Mumtahin</w:t>
      </w:r>
      <w:r w:rsidRPr="008F03E5">
        <w:tab/>
        <w:t>Mumtaḥin</w:t>
      </w:r>
      <w:r w:rsidRPr="008F03E5">
        <w:tab/>
        <w:t>one who tries, proves, examines, or weighs (words); an expert; tester; examiner</w:t>
      </w:r>
    </w:p>
    <w:p w14:paraId="3086967F" w14:textId="77777777" w:rsidR="00625A5B" w:rsidRPr="008F03E5" w:rsidRDefault="00625A5B" w:rsidP="000022B8">
      <w:pPr>
        <w:pStyle w:val="Translit"/>
      </w:pPr>
      <w:r w:rsidRPr="008F03E5">
        <w:t>Mumtaz</w:t>
      </w:r>
      <w:r w:rsidRPr="008F03E5">
        <w:tab/>
        <w:t>Mumtáz</w:t>
      </w:r>
      <w:r w:rsidRPr="008F03E5">
        <w:tab/>
        <w:t>distinguished, differentiated; exquisite, select, choice, rare; outstanding, superior, first-rate, first-class, top-notch, exceptional, excellent; privileged; special, extra; (as an examination grade) passed with distinction, excellent</w:t>
      </w:r>
    </w:p>
    <w:p w14:paraId="364855DD" w14:textId="77777777" w:rsidR="00625A5B" w:rsidRPr="008F03E5" w:rsidRDefault="00625A5B" w:rsidP="005B5951">
      <w:pPr>
        <w:pStyle w:val="Translit"/>
      </w:pPr>
      <w:r w:rsidRPr="008F03E5">
        <w:t>Munadi</w:t>
      </w:r>
      <w:r w:rsidRPr="008F03E5">
        <w:tab/>
        <w:t>Munádí</w:t>
      </w:r>
      <w:r w:rsidRPr="008F03E5">
        <w:tab/>
        <w:t>(“Monadi”) a crier, herald, proclaimer; a small drum that is beaten to notify or proclaim anything.  Nephew of Hand of Cause Ibn Ábhar</w:t>
      </w:r>
    </w:p>
    <w:p w14:paraId="1012BCF4" w14:textId="77777777" w:rsidR="00625A5B" w:rsidRPr="008F03E5" w:rsidRDefault="00625A5B" w:rsidP="00CF7956">
      <w:pPr>
        <w:pStyle w:val="Translit"/>
      </w:pPr>
      <w:r w:rsidRPr="008F03E5">
        <w:t>Munadin, Munad</w:t>
      </w:r>
      <w:r w:rsidRPr="008F03E5">
        <w:tab/>
        <w:t>Munádin</w:t>
      </w:r>
      <w:r w:rsidRPr="008F03E5">
        <w:tab/>
        <w:t>caller; herald; town crier; auctioneer; O announcer (radio).  al-munád, the caller, Qur’án 50:41</w:t>
      </w:r>
    </w:p>
    <w:p w14:paraId="39E7A2ED" w14:textId="77777777" w:rsidR="00625A5B" w:rsidRPr="008F03E5" w:rsidRDefault="00625A5B" w:rsidP="00590D08">
      <w:pPr>
        <w:pStyle w:val="Translit"/>
      </w:pPr>
      <w:r w:rsidRPr="008F03E5">
        <w:t>Munadiy-i</w:t>
      </w:r>
      <w:r w:rsidRPr="008F03E5">
        <w:rPr>
          <w:rFonts w:eastAsia="PMingLiU"/>
          <w:lang w:eastAsia="zh-TW"/>
        </w:rPr>
        <w:t>-‘</w:t>
      </w:r>
      <w:r w:rsidRPr="008F03E5">
        <w:t>Ahd</w:t>
      </w:r>
      <w:r w:rsidRPr="008F03E5">
        <w:tab/>
        <w:t>Munádíy-i-‘Ahd</w:t>
      </w:r>
      <w:r w:rsidRPr="008F03E5">
        <w:tab/>
        <w:t>Herald of the Covenant</w:t>
      </w:r>
    </w:p>
    <w:p w14:paraId="0662201D" w14:textId="77777777" w:rsidR="00625A5B" w:rsidRPr="001457C8" w:rsidRDefault="00625A5B" w:rsidP="00E51A5F">
      <w:pPr>
        <w:pStyle w:val="Translit"/>
        <w:rPr>
          <w:lang w:val="fr-FR"/>
        </w:rPr>
      </w:pPr>
      <w:r w:rsidRPr="001457C8">
        <w:rPr>
          <w:lang w:val="fr-FR"/>
        </w:rPr>
        <w:t>Munafiq, Munafiqun</w:t>
      </w:r>
      <w:r w:rsidRPr="001457C8">
        <w:rPr>
          <w:lang w:val="fr-FR"/>
        </w:rPr>
        <w:tab/>
        <w:t>Munafiq, pl. Munáfiqún</w:t>
      </w:r>
      <w:r w:rsidRPr="001457C8">
        <w:rPr>
          <w:lang w:val="fr-FR"/>
        </w:rPr>
        <w:tab/>
        <w:t>hypocrite, dissembler</w:t>
      </w:r>
    </w:p>
    <w:p w14:paraId="7D76ACFB" w14:textId="77777777" w:rsidR="00625A5B" w:rsidRPr="009478A9" w:rsidRDefault="00625A5B" w:rsidP="00E51A5F">
      <w:pPr>
        <w:pStyle w:val="Translit"/>
        <w:rPr>
          <w:lang w:val="fr-FR"/>
        </w:rPr>
      </w:pPr>
      <w:r w:rsidRPr="009478A9">
        <w:rPr>
          <w:lang w:val="fr-FR"/>
        </w:rPr>
        <w:t>Munafiqa</w:t>
      </w:r>
      <w:r w:rsidRPr="009478A9">
        <w:rPr>
          <w:lang w:val="fr-FR"/>
        </w:rPr>
        <w:tab/>
        <w:t>Munáfaqa</w:t>
      </w:r>
      <w:r w:rsidRPr="009478A9">
        <w:rPr>
          <w:lang w:val="fr-FR"/>
        </w:rPr>
        <w:tab/>
        <w:t>hypocrisy, dissimulation, dissemblance</w:t>
      </w:r>
    </w:p>
    <w:p w14:paraId="4CD71F14" w14:textId="77777777" w:rsidR="00625A5B" w:rsidRPr="008F03E5" w:rsidRDefault="00625A5B" w:rsidP="00D97E0A">
      <w:pPr>
        <w:pStyle w:val="Translit"/>
      </w:pPr>
      <w:r w:rsidRPr="009478A9">
        <w:rPr>
          <w:lang w:val="fr-FR"/>
        </w:rPr>
        <w:t>Munaja, Munajat-ha</w:t>
      </w:r>
      <w:r w:rsidRPr="009478A9">
        <w:rPr>
          <w:lang w:val="fr-FR"/>
        </w:rPr>
        <w:tab/>
        <w:t xml:space="preserve">Munájá[h or t], Pers. pl. </w:t>
      </w:r>
      <w:r w:rsidRPr="008F03E5">
        <w:t>Munáját-há</w:t>
      </w:r>
      <w:r w:rsidRPr="008F03E5">
        <w:tab/>
        <w:t>secret conversation; confidential talk; whispering, prayer, longing or yearning; supplication for repentance of sins.  Name given to prayers by Bahá’u’lláh, Báb, ‘Abdu’l-Bahá and Shoghi Effendi for communing with God.  Pers. adding Há’ to a noun forms the plural, hence the unusual Tá’ Há’ (i.e. th, not “</w:t>
      </w:r>
      <w:r w:rsidRPr="008F03E5">
        <w:rPr>
          <w:u w:val="single"/>
        </w:rPr>
        <w:t>th</w:t>
      </w:r>
      <w:r w:rsidRPr="008F03E5">
        <w:t>”) combination of letters.</w:t>
      </w:r>
    </w:p>
    <w:p w14:paraId="73D032E1" w14:textId="77777777" w:rsidR="00625A5B" w:rsidRPr="008F03E5" w:rsidRDefault="00625A5B" w:rsidP="003323AF">
      <w:pPr>
        <w:pStyle w:val="Translit"/>
      </w:pPr>
      <w:r w:rsidRPr="008F03E5">
        <w:t>Munajathay-i-Siyam</w:t>
      </w:r>
      <w:r w:rsidRPr="008F03E5">
        <w:tab/>
        <w:t>Munájátháy-i-Ṣiyám</w:t>
      </w:r>
      <w:r w:rsidRPr="008F03E5">
        <w:tab/>
        <w:t>“Prayers for Fasting” by Bahá’u’lláh.  Note “t” and “h”, not “</w:t>
      </w:r>
      <w:r w:rsidRPr="008F03E5">
        <w:rPr>
          <w:u w:val="single"/>
        </w:rPr>
        <w:t>th</w:t>
      </w:r>
      <w:r w:rsidRPr="008F03E5">
        <w:t>”.  Hasan Balyuzi, Shoghi Effendi and Adib Taherzadeh and others use ṣíyám.</w:t>
      </w:r>
    </w:p>
    <w:p w14:paraId="153CE22B" w14:textId="77777777" w:rsidR="00625A5B" w:rsidRPr="008F03E5" w:rsidRDefault="00625A5B" w:rsidP="00120CC6">
      <w:pPr>
        <w:pStyle w:val="Translit"/>
      </w:pPr>
      <w:r w:rsidRPr="008F03E5">
        <w:rPr>
          <w:rFonts w:eastAsia="PMingLiU"/>
          <w:lang w:eastAsia="zh-TW"/>
        </w:rPr>
        <w:t>Munajjim, Munajjimun, Najjam</w:t>
      </w:r>
      <w:r w:rsidRPr="008F03E5">
        <w:rPr>
          <w:rFonts w:eastAsia="PMingLiU"/>
          <w:lang w:eastAsia="zh-TW"/>
        </w:rPr>
        <w:tab/>
        <w:t>Munajjim and Najj</w:t>
      </w:r>
      <w:r w:rsidRPr="008F03E5">
        <w:t>á</w:t>
      </w:r>
      <w:r w:rsidRPr="008F03E5">
        <w:rPr>
          <w:rFonts w:eastAsia="PMingLiU"/>
          <w:lang w:eastAsia="zh-TW"/>
        </w:rPr>
        <w:t>m, pl. Munajjimún</w:t>
      </w:r>
      <w:r w:rsidRPr="008F03E5">
        <w:rPr>
          <w:rFonts w:eastAsia="PMingLiU"/>
          <w:lang w:eastAsia="zh-TW"/>
        </w:rPr>
        <w:tab/>
        <w:t>(Monadjem)</w:t>
      </w:r>
      <w:r w:rsidRPr="008F03E5">
        <w:t xml:space="preserve"> an astrologer</w:t>
      </w:r>
    </w:p>
    <w:p w14:paraId="5BBD4BD5" w14:textId="77777777" w:rsidR="00625A5B" w:rsidRPr="008F03E5" w:rsidRDefault="00625A5B" w:rsidP="005E01A7">
      <w:pPr>
        <w:pStyle w:val="Translit"/>
      </w:pPr>
      <w:r w:rsidRPr="008F03E5">
        <w:t>Munamnam</w:t>
      </w:r>
      <w:r w:rsidRPr="008F03E5">
        <w:tab/>
        <w:t>Munamnam</w:t>
      </w:r>
      <w:r w:rsidRPr="008F03E5">
        <w:tab/>
        <w:t>(adj) decorated embellished adorned</w:t>
      </w:r>
    </w:p>
    <w:p w14:paraId="08131DC6" w14:textId="77777777" w:rsidR="00625A5B" w:rsidRPr="008F03E5" w:rsidRDefault="00625A5B" w:rsidP="005E01A7">
      <w:pPr>
        <w:pStyle w:val="Translit"/>
      </w:pPr>
      <w:r w:rsidRPr="008F03E5">
        <w:t>Munamnama</w:t>
      </w:r>
      <w:r w:rsidRPr="008F03E5">
        <w:tab/>
        <w:t>Munamnama</w:t>
      </w:r>
      <w:r w:rsidRPr="008F03E5">
        <w:tab/>
        <w:t>(noun) miniature</w:t>
      </w:r>
    </w:p>
    <w:p w14:paraId="6069DDEA" w14:textId="77777777" w:rsidR="00625A5B" w:rsidRPr="008F03E5" w:rsidRDefault="00625A5B" w:rsidP="00E27A4D">
      <w:pPr>
        <w:pStyle w:val="Translit"/>
      </w:pPr>
      <w:r w:rsidRPr="008F03E5">
        <w:t>Munasabat</w:t>
      </w:r>
      <w:r w:rsidRPr="008F03E5">
        <w:tab/>
        <w:t>Munásabat</w:t>
      </w:r>
      <w:r w:rsidRPr="008F03E5">
        <w:tab/>
        <w:t>relation, connection; proportion, analogy, comparison; accordance, correspondence, consistence; suitableness, convenience; propriety, aptness, fitness</w:t>
      </w:r>
    </w:p>
    <w:p w14:paraId="5873418F" w14:textId="77777777" w:rsidR="00625A5B" w:rsidRPr="008F03E5" w:rsidRDefault="00625A5B" w:rsidP="001F0D0D">
      <w:pPr>
        <w:pStyle w:val="Translit"/>
      </w:pPr>
      <w:r w:rsidRPr="008F03E5">
        <w:t>Munawwar, Munavvar</w:t>
      </w:r>
      <w:r w:rsidRPr="008F03E5">
        <w:tab/>
        <w:t>Munawwar, Munavvar</w:t>
      </w:r>
      <w:r w:rsidRPr="008F03E5">
        <w:tab/>
        <w:t xml:space="preserve">brilliant, illuminated, radiant.  Munavvar </w:t>
      </w:r>
      <w:r w:rsidRPr="008F03E5">
        <w:rPr>
          <w:u w:val="single"/>
        </w:rPr>
        <w:t>Kh</w:t>
      </w:r>
      <w:r w:rsidRPr="008F03E5">
        <w:t>ánum, daughter of ‘Abdu’l-Bahá.</w:t>
      </w:r>
    </w:p>
    <w:p w14:paraId="58A6E5D6" w14:textId="77777777" w:rsidR="00625A5B" w:rsidRPr="008F03E5" w:rsidRDefault="00625A5B" w:rsidP="008B6692">
      <w:pPr>
        <w:pStyle w:val="Translit"/>
      </w:pPr>
      <w:r w:rsidRPr="008F03E5">
        <w:t>Mundhir</w:t>
      </w:r>
      <w:r w:rsidRPr="008F03E5">
        <w:tab/>
        <w:t>Mun</w:t>
      </w:r>
      <w:r w:rsidRPr="008F03E5">
        <w:rPr>
          <w:u w:val="single"/>
        </w:rPr>
        <w:t>dh</w:t>
      </w:r>
      <w:r w:rsidRPr="008F03E5">
        <w:t>ir</w:t>
      </w:r>
      <w:r w:rsidRPr="008F03E5">
        <w:tab/>
        <w:t>warner, cautioner</w:t>
      </w:r>
    </w:p>
    <w:p w14:paraId="15CC293F" w14:textId="77777777" w:rsidR="00625A5B" w:rsidRPr="008F03E5" w:rsidRDefault="00625A5B" w:rsidP="0021288A">
      <w:pPr>
        <w:pStyle w:val="Translit"/>
      </w:pPr>
      <w:r w:rsidRPr="008F03E5">
        <w:t>Munib</w:t>
      </w:r>
      <w:r w:rsidRPr="008F03E5">
        <w:tab/>
        <w:t>Muníb</w:t>
      </w:r>
      <w:r w:rsidRPr="008F03E5">
        <w:tab/>
        <w:t>repentent</w:t>
      </w:r>
    </w:p>
    <w:p w14:paraId="54571BF2" w14:textId="77777777" w:rsidR="00625A5B" w:rsidRPr="009210DB" w:rsidRDefault="00625A5B" w:rsidP="008D60AE">
      <w:pPr>
        <w:pStyle w:val="Translit"/>
        <w:rPr>
          <w:lang w:val="en-AU"/>
        </w:rPr>
      </w:pPr>
      <w:bookmarkStart w:id="111" w:name="_Hlk533517457"/>
      <w:r w:rsidRPr="009210DB">
        <w:rPr>
          <w:lang w:val="es-ES_tradnl"/>
        </w:rPr>
        <w:t>Munir, Munira, Munirih</w:t>
      </w:r>
      <w:r w:rsidRPr="009210DB">
        <w:rPr>
          <w:lang w:val="es-ES_tradnl"/>
        </w:rPr>
        <w:tab/>
      </w:r>
      <w:bookmarkStart w:id="112" w:name="_Hlk60402766"/>
      <w:r w:rsidRPr="009210DB">
        <w:rPr>
          <w:lang w:val="es-ES_tradnl"/>
        </w:rPr>
        <w:t>Munír</w:t>
      </w:r>
      <w:bookmarkEnd w:id="112"/>
      <w:r w:rsidRPr="009210DB">
        <w:rPr>
          <w:lang w:val="es-ES_tradnl"/>
        </w:rPr>
        <w:t xml:space="preserve">, fem. </w:t>
      </w:r>
      <w:r w:rsidRPr="00665F6A">
        <w:rPr>
          <w:lang w:val="es-ES_tradnl"/>
        </w:rPr>
        <w:t>Muníra[h or t], Pers. Munírih</w:t>
      </w:r>
      <w:r w:rsidRPr="00665F6A">
        <w:rPr>
          <w:lang w:val="es-ES_tradnl"/>
        </w:rPr>
        <w:tab/>
        <w:t xml:space="preserve">luminous, radiant, brilliant, shining; enlightening, illuminative.  Fáṭimah Naḥrí aka Munírih </w:t>
      </w:r>
      <w:r w:rsidRPr="00665F6A">
        <w:rPr>
          <w:u w:val="single"/>
          <w:lang w:val="es-ES_tradnl"/>
        </w:rPr>
        <w:t>Kh</w:t>
      </w:r>
      <w:r w:rsidRPr="00665F6A">
        <w:rPr>
          <w:lang w:val="es-ES_tradnl"/>
        </w:rPr>
        <w:t xml:space="preserve">ánum, wife of ‘Abdu’l-Bahá (1848–1938).  </w:t>
      </w:r>
      <w:r w:rsidRPr="009210DB">
        <w:rPr>
          <w:lang w:val="en-AU"/>
        </w:rPr>
        <w:t>Brother Ḥájí Sayyid Yaḥyá (b. c. 1851), and sisters Raḍiyyih Bagum (b. c. 1854) and Gawhar Bagum (b. c. 1859)</w:t>
      </w:r>
    </w:p>
    <w:bookmarkEnd w:id="111"/>
    <w:p w14:paraId="2CD7E663" w14:textId="77777777" w:rsidR="00625A5B" w:rsidRPr="008F03E5" w:rsidRDefault="00625A5B" w:rsidP="005C43E3">
      <w:pPr>
        <w:pStyle w:val="Translit"/>
      </w:pPr>
      <w:r w:rsidRPr="008F03E5">
        <w:t>Munis</w:t>
      </w:r>
      <w:r w:rsidRPr="008F03E5">
        <w:tab/>
        <w:t>Múnis</w:t>
      </w:r>
      <w:r w:rsidRPr="008F03E5">
        <w:tab/>
        <w:t xml:space="preserve">comforting friend.  </w:t>
      </w:r>
      <w:r w:rsidRPr="008F03E5">
        <w:rPr>
          <w:lang w:eastAsia="en-US"/>
        </w:rPr>
        <w:t>Ḥájí Múnis (a dervish)</w:t>
      </w:r>
    </w:p>
    <w:p w14:paraId="71AE24C6" w14:textId="77777777" w:rsidR="00625A5B" w:rsidRPr="008F03E5" w:rsidRDefault="00625A5B" w:rsidP="00056AF1">
      <w:pPr>
        <w:pStyle w:val="Translit"/>
      </w:pPr>
      <w:r w:rsidRPr="008F03E5">
        <w:t>Munkar</w:t>
      </w:r>
      <w:r w:rsidRPr="008F03E5">
        <w:tab/>
        <w:t>Munkar, pl. Manákír</w:t>
      </w:r>
      <w:r w:rsidRPr="008F03E5">
        <w:tab/>
        <w:t>denied; not recognized, unacknowledged, disowned, disavowed, disclaimed; disagreeable, shocking, detestable, abominable; abomination, atrocity.  “The Denied”—one of the angels (of death) who test the faith of the dead in their graves.  See Nakír</w:t>
      </w:r>
    </w:p>
    <w:p w14:paraId="40C5C4B4" w14:textId="77777777" w:rsidR="00625A5B" w:rsidRPr="008F03E5" w:rsidRDefault="00625A5B" w:rsidP="00354417">
      <w:pPr>
        <w:pStyle w:val="Translit"/>
      </w:pPr>
      <w:r w:rsidRPr="008F03E5">
        <w:t>Munkir</w:t>
      </w:r>
      <w:r w:rsidRPr="008F03E5">
        <w:tab/>
        <w:t>Munkir</w:t>
      </w:r>
      <w:r w:rsidRPr="008F03E5">
        <w:tab/>
        <w:t>one who denies, rejects, disapproves, ignores, repudiates, takes ill or feels disobliged; averse, disapproving; a renegade, an apostate; one who places no confidence in another, but disbelieves what he professes; ungrateful</w:t>
      </w:r>
    </w:p>
    <w:p w14:paraId="7E180222" w14:textId="77777777" w:rsidR="00625A5B" w:rsidRDefault="00625A5B" w:rsidP="00D95EC8">
      <w:pPr>
        <w:pStyle w:val="Translit"/>
      </w:pPr>
      <w:r>
        <w:t>Munqata’</w:t>
      </w:r>
      <w:r>
        <w:tab/>
        <w:t>M</w:t>
      </w:r>
      <w:r w:rsidRPr="00D95EC8">
        <w:t>unqaṭa</w:t>
      </w:r>
      <w:r>
        <w:t>‘</w:t>
      </w:r>
      <w:r>
        <w:tab/>
        <w:t>a</w:t>
      </w:r>
      <w:r w:rsidRPr="00D95EC8">
        <w:t xml:space="preserve"> place where (anything) finishes or breaks off; extremity (of a sand-hill or valley)</w:t>
      </w:r>
    </w:p>
    <w:p w14:paraId="7A16BCE5" w14:textId="77777777" w:rsidR="00625A5B" w:rsidRPr="008F03E5" w:rsidRDefault="00625A5B" w:rsidP="00C527A2">
      <w:pPr>
        <w:pStyle w:val="Translit"/>
      </w:pPr>
      <w:r w:rsidRPr="008F03E5">
        <w:t>Munqati’</w:t>
      </w:r>
      <w:r w:rsidRPr="008F03E5">
        <w:tab/>
        <w:t>Munqaṭi‘</w:t>
      </w:r>
      <w:r w:rsidRPr="008F03E5">
        <w:tab/>
        <w:t>cut off; severed, disjoined, separate(d), detached; chopped off, detruncated; cut, cut in two, sundered, torn, ruptured, disrupted; broken; broken off; interrupted, discontinued, stopped, blocked; disconnected, turned off, switched off (electric current); halting, discontinuous, intermittent, fitful; outlying, remote, out-of-the-way (region); devoted.  Compare with dá’im.</w:t>
      </w:r>
    </w:p>
    <w:p w14:paraId="5559A8A2" w14:textId="77777777" w:rsidR="00625A5B" w:rsidRPr="008F03E5" w:rsidRDefault="00625A5B" w:rsidP="00913C81">
      <w:pPr>
        <w:pStyle w:val="Translit"/>
      </w:pPr>
      <w:r w:rsidRPr="008F03E5">
        <w:t>Munsha’a, Munsha’at</w:t>
      </w:r>
      <w:r w:rsidRPr="008F03E5">
        <w:tab/>
        <w:t>Mun</w:t>
      </w:r>
      <w:r w:rsidRPr="008F03E5">
        <w:rPr>
          <w:u w:val="single"/>
        </w:rPr>
        <w:t>sh</w:t>
      </w:r>
      <w:r w:rsidRPr="008F03E5">
        <w:t>a’a[t], pl. Mun</w:t>
      </w:r>
      <w:r w:rsidRPr="008F03E5">
        <w:rPr>
          <w:u w:val="single"/>
        </w:rPr>
        <w:t>sh</w:t>
      </w:r>
      <w:r w:rsidRPr="008F03E5">
        <w:t>a’át</w:t>
      </w:r>
      <w:r w:rsidRPr="008F03E5">
        <w:tab/>
        <w:t>creation, product, work, opus; foundation, establishment; installation; institution, institute; pl. installations (e.g., industrial, military)</w:t>
      </w:r>
    </w:p>
    <w:p w14:paraId="6BA72A09" w14:textId="77777777" w:rsidR="00625A5B" w:rsidRPr="008F03E5" w:rsidRDefault="00625A5B" w:rsidP="00913C81">
      <w:pPr>
        <w:pStyle w:val="Translit"/>
      </w:pPr>
      <w:r w:rsidRPr="008F03E5">
        <w:t>Munshi</w:t>
      </w:r>
      <w:r w:rsidRPr="008F03E5">
        <w:tab/>
        <w:t>Mun</w:t>
      </w:r>
      <w:r w:rsidRPr="008F03E5">
        <w:rPr>
          <w:u w:val="single"/>
        </w:rPr>
        <w:t>sh</w:t>
      </w:r>
      <w:r w:rsidRPr="008F03E5">
        <w:t>i’</w:t>
      </w:r>
      <w:r w:rsidRPr="008F03E5">
        <w:tab/>
        <w:t>creating; creative; creator; organizer, promoter, founder; author, writer; secretary</w:t>
      </w:r>
    </w:p>
    <w:p w14:paraId="07049DA6" w14:textId="77777777" w:rsidR="00625A5B" w:rsidRPr="008F03E5" w:rsidRDefault="00625A5B" w:rsidP="001A0F76">
      <w:pPr>
        <w:pStyle w:val="Translit"/>
      </w:pPr>
      <w:r w:rsidRPr="008F03E5">
        <w:t>Munsif (Munsiff)</w:t>
      </w:r>
      <w:r w:rsidRPr="008F03E5">
        <w:tab/>
        <w:t>Munṣif</w:t>
      </w:r>
      <w:r w:rsidRPr="008F03E5">
        <w:tab/>
        <w:t>a righteous, just man; equitable, fair, just</w:t>
      </w:r>
    </w:p>
    <w:p w14:paraId="57209EE1" w14:textId="77777777" w:rsidR="00625A5B" w:rsidRPr="008F03E5" w:rsidRDefault="00625A5B" w:rsidP="001B3D71">
      <w:pPr>
        <w:pStyle w:val="Translit"/>
      </w:pPr>
      <w:r w:rsidRPr="008F03E5">
        <w:t>Muntaha</w:t>
      </w:r>
      <w:r w:rsidRPr="008F03E5">
        <w:tab/>
        <w:t>Muntahá</w:t>
      </w:r>
      <w:r w:rsidRPr="008F03E5">
        <w:tab/>
        <w:t>finished, terminated, ending; end, conclusion, term, boundary, extremity; utmost extent, height, summit; prohibited; place of ending, a terminus or limit; time of ending, a term, a fixed term.  Form 8 derivative of nahá.</w:t>
      </w:r>
    </w:p>
    <w:p w14:paraId="197BF2B6" w14:textId="77777777" w:rsidR="00625A5B" w:rsidRPr="007E6695" w:rsidRDefault="00625A5B" w:rsidP="00E66FB1">
      <w:pPr>
        <w:pStyle w:val="Translit"/>
        <w:rPr>
          <w:rtl/>
        </w:rPr>
      </w:pPr>
      <w:r w:rsidRPr="007E6695">
        <w:t>Muntakhab al-Suwar</w:t>
      </w:r>
      <w:r w:rsidRPr="007E6695">
        <w:tab/>
        <w:t>Munta</w:t>
      </w:r>
      <w:r w:rsidRPr="007E6695">
        <w:rPr>
          <w:u w:val="single"/>
        </w:rPr>
        <w:t>kh</w:t>
      </w:r>
      <w:r w:rsidRPr="007E6695">
        <w:t>ab al-Suwar</w:t>
      </w:r>
      <w:r w:rsidRPr="007E6695">
        <w:tab/>
        <w:t>a selection of Qur</w:t>
      </w:r>
      <w:r>
        <w:t>’</w:t>
      </w:r>
      <w:r w:rsidRPr="007E6695">
        <w:t>anic chapters</w:t>
      </w:r>
      <w:r>
        <w:t xml:space="preserve">.  Many </w:t>
      </w:r>
      <w:r w:rsidRPr="00870979">
        <w:rPr>
          <w:sz w:val="16"/>
          <w:szCs w:val="16"/>
        </w:rPr>
        <w:t>PHYSICAL</w:t>
      </w:r>
      <w:r w:rsidRPr="008D2DBD">
        <w:t>, written</w:t>
      </w:r>
      <w:r>
        <w:t xml:space="preserve"> copies of the Qur’án consist of a selection of chapters.</w:t>
      </w:r>
    </w:p>
    <w:p w14:paraId="431AE2D8" w14:textId="77777777" w:rsidR="00625A5B" w:rsidRDefault="00625A5B" w:rsidP="004861F9">
      <w:pPr>
        <w:pStyle w:val="Translit"/>
      </w:pPr>
      <w:r w:rsidRPr="008F03E5">
        <w:t>Muntakhab, Muntakhab</w:t>
      </w:r>
      <w:r>
        <w:t>a,</w:t>
      </w:r>
      <w:r w:rsidRPr="008F03E5">
        <w:t xml:space="preserve"> Muntakhabat</w:t>
      </w:r>
      <w:r w:rsidRPr="008F03E5">
        <w:tab/>
        <w:t>Munta</w:t>
      </w:r>
      <w:r w:rsidRPr="008F03E5">
        <w:rPr>
          <w:u w:val="single"/>
        </w:rPr>
        <w:t>kh</w:t>
      </w:r>
      <w:r w:rsidRPr="008F03E5">
        <w:t>ab, pl. Munta</w:t>
      </w:r>
      <w:r w:rsidRPr="008F03E5">
        <w:rPr>
          <w:u w:val="single"/>
        </w:rPr>
        <w:t>kh</w:t>
      </w:r>
      <w:r w:rsidRPr="008F03E5">
        <w:t>abát</w:t>
      </w:r>
      <w:r w:rsidRPr="008F03E5">
        <w:tab/>
        <w:t>chosen, elected, selected</w:t>
      </w:r>
      <w:r w:rsidRPr="007E6695">
        <w:t>, a selection</w:t>
      </w:r>
      <w:r w:rsidRPr="008F03E5">
        <w:t>, hand-picked; elected candidate;</w:t>
      </w:r>
      <w:r>
        <w:t xml:space="preserve"> fem. </w:t>
      </w:r>
      <w:r w:rsidRPr="008F03E5">
        <w:t>Munta</w:t>
      </w:r>
      <w:r w:rsidRPr="008F03E5">
        <w:rPr>
          <w:u w:val="single"/>
        </w:rPr>
        <w:t>kh</w:t>
      </w:r>
      <w:r w:rsidRPr="008F03E5">
        <w:t>ab</w:t>
      </w:r>
      <w:r>
        <w:t>a[h or t];</w:t>
      </w:r>
      <w:r w:rsidRPr="008F03E5">
        <w:t xml:space="preserve">—pl. </w:t>
      </w:r>
      <w:r>
        <w:t xml:space="preserve">team (in sports); </w:t>
      </w:r>
      <w:r w:rsidRPr="008F03E5">
        <w:t>selected pieces, selected items, selected passages</w:t>
      </w:r>
    </w:p>
    <w:p w14:paraId="797D512E" w14:textId="0D89B69E" w:rsidR="00625A5B" w:rsidRPr="008F03E5" w:rsidRDefault="00625A5B" w:rsidP="00397500">
      <w:pPr>
        <w:pStyle w:val="Translit"/>
      </w:pPr>
      <w:r w:rsidRPr="008F03E5">
        <w:t>Muntakhabati az Makatib-i-Hadrat</w:t>
      </w:r>
      <w:r w:rsidRPr="008F03E5">
        <w:tab/>
        <w:t>Munta</w:t>
      </w:r>
      <w:r w:rsidRPr="008F03E5">
        <w:rPr>
          <w:u w:val="single"/>
        </w:rPr>
        <w:t>kh</w:t>
      </w:r>
      <w:r w:rsidRPr="008F03E5">
        <w:t>abátí az Makátíb-i-Ḥaḍrat</w:t>
      </w:r>
      <w:r w:rsidRPr="008F03E5">
        <w:tab/>
        <w:t>Munta</w:t>
      </w:r>
      <w:r w:rsidRPr="008F03E5">
        <w:rPr>
          <w:u w:val="single"/>
        </w:rPr>
        <w:t>kh</w:t>
      </w:r>
      <w:r w:rsidRPr="008F03E5">
        <w:t xml:space="preserve">abátí az Makátíb-i-Ḥaḍrat-i-‘Abdu’l-Bahá </w:t>
      </w:r>
      <w:r w:rsidR="00397500">
        <w:t>(</w:t>
      </w:r>
      <w:r w:rsidRPr="00397500">
        <w:rPr>
          <w:i/>
          <w:iCs/>
        </w:rPr>
        <w:t>Selection of Tablets from ‘Abdu’l-Bahá</w:t>
      </w:r>
      <w:r w:rsidR="00397500">
        <w:t>)</w:t>
      </w:r>
    </w:p>
    <w:p w14:paraId="57A0544F" w14:textId="77777777" w:rsidR="00625A5B" w:rsidRPr="008F03E5" w:rsidRDefault="00625A5B" w:rsidP="00913C81">
      <w:pPr>
        <w:pStyle w:val="Translit"/>
      </w:pPr>
      <w:r w:rsidRPr="008F03E5">
        <w:t>Muntaqim</w:t>
      </w:r>
      <w:r w:rsidRPr="008F03E5">
        <w:tab/>
        <w:t>Muntaqim</w:t>
      </w:r>
      <w:r w:rsidRPr="008F03E5">
        <w:tab/>
        <w:t>avenger; vindictive, revengeful</w:t>
      </w:r>
    </w:p>
    <w:p w14:paraId="3CCF4B9E" w14:textId="77777777" w:rsidR="00625A5B" w:rsidRPr="008F03E5" w:rsidRDefault="00625A5B" w:rsidP="003F0EBF">
      <w:pPr>
        <w:pStyle w:val="Translit"/>
      </w:pPr>
      <w:r w:rsidRPr="008F03E5">
        <w:t>Muntasib, Muntasibun</w:t>
      </w:r>
      <w:r w:rsidRPr="008F03E5">
        <w:tab/>
        <w:t>Muntasib, pl. Muntasibún</w:t>
      </w:r>
      <w:r w:rsidRPr="008F03E5">
        <w:tab/>
        <w:t>member, affiliate; related to; connected by blood (Muntasibyn, Muntasebeen)</w:t>
      </w:r>
    </w:p>
    <w:p w14:paraId="7794BBF8" w14:textId="77777777" w:rsidR="00625A5B" w:rsidRPr="008F03E5" w:rsidRDefault="00625A5B" w:rsidP="006B4809">
      <w:pPr>
        <w:pStyle w:val="Translit"/>
        <w:rPr>
          <w:rFonts w:eastAsia="PMingLiU"/>
          <w:lang w:eastAsia="zh-TW"/>
        </w:rPr>
      </w:pPr>
      <w:r w:rsidRPr="008F03E5">
        <w:rPr>
          <w:rFonts w:eastAsia="PMingLiU"/>
          <w:lang w:eastAsia="zh-TW"/>
        </w:rPr>
        <w:t>Muntazar</w:t>
      </w:r>
      <w:r w:rsidRPr="008F03E5">
        <w:tab/>
      </w:r>
      <w:r w:rsidRPr="008F03E5">
        <w:rPr>
          <w:rFonts w:eastAsia="PMingLiU"/>
          <w:lang w:eastAsia="zh-TW"/>
        </w:rPr>
        <w:t>Munta</w:t>
      </w:r>
      <w:r w:rsidRPr="008F03E5">
        <w:t>ẓ</w:t>
      </w:r>
      <w:r w:rsidRPr="008F03E5">
        <w:rPr>
          <w:rFonts w:eastAsia="PMingLiU"/>
          <w:lang w:eastAsia="zh-TW"/>
        </w:rPr>
        <w:t>ar</w:t>
      </w:r>
      <w:r w:rsidRPr="008F03E5">
        <w:tab/>
        <w:t xml:space="preserve">awaited, expected (not Munṭaẓar, </w:t>
      </w:r>
      <w:r w:rsidRPr="008F03E5">
        <w:rPr>
          <w:sz w:val="16"/>
          <w:szCs w:val="16"/>
        </w:rPr>
        <w:t>MCI</w:t>
      </w:r>
      <w:r w:rsidRPr="008F03E5">
        <w:t xml:space="preserve"> p. 254).  al-Imám al-Mahdí (12th Imám) is called al-</w:t>
      </w:r>
      <w:r w:rsidRPr="008F03E5">
        <w:rPr>
          <w:rFonts w:eastAsia="PMingLiU"/>
          <w:lang w:eastAsia="zh-TW"/>
        </w:rPr>
        <w:t>Munta</w:t>
      </w:r>
      <w:r w:rsidRPr="008F03E5">
        <w:t>ẓ</w:t>
      </w:r>
      <w:r w:rsidRPr="008F03E5">
        <w:rPr>
          <w:rFonts w:eastAsia="PMingLiU"/>
          <w:lang w:eastAsia="zh-TW"/>
        </w:rPr>
        <w:t>ar</w:t>
      </w:r>
      <w:r w:rsidRPr="008F03E5">
        <w:t>.</w:t>
      </w:r>
    </w:p>
    <w:p w14:paraId="1FFC158D" w14:textId="77777777" w:rsidR="00625A5B" w:rsidRPr="008F03E5" w:rsidRDefault="00625A5B" w:rsidP="00116D21">
      <w:pPr>
        <w:pStyle w:val="Translit"/>
      </w:pPr>
      <w:r w:rsidRPr="008F03E5">
        <w:t>Muntazi’</w:t>
      </w:r>
      <w:r w:rsidRPr="008F03E5">
        <w:tab/>
        <w:t>Muntazi‘</w:t>
      </w:r>
      <w:r w:rsidRPr="008F03E5">
        <w:tab/>
        <w:t>a remover, tearer away, plucker up; one who restrains himself, abstains from, refuses, desists, or renounces; seizing, taking</w:t>
      </w:r>
    </w:p>
    <w:p w14:paraId="24D390D3" w14:textId="77777777" w:rsidR="00625A5B" w:rsidRPr="008F03E5" w:rsidRDefault="00625A5B" w:rsidP="000D5FB0">
      <w:pPr>
        <w:pStyle w:val="Translit"/>
      </w:pPr>
      <w:r w:rsidRPr="008F03E5">
        <w:t>Muntazir</w:t>
      </w:r>
      <w:r w:rsidRPr="008F03E5">
        <w:tab/>
        <w:t>Muntaẓir</w:t>
      </w:r>
      <w:r w:rsidRPr="008F03E5">
        <w:tab/>
        <w:t>one who expects with impatience; watching for; expectant of; looking out for</w:t>
      </w:r>
    </w:p>
    <w:p w14:paraId="6367B6E2" w14:textId="77777777" w:rsidR="00625A5B" w:rsidRPr="008F03E5" w:rsidRDefault="00625A5B" w:rsidP="004176F3">
      <w:pPr>
        <w:pStyle w:val="Translit"/>
        <w:rPr>
          <w:rFonts w:eastAsia="PMingLiU"/>
          <w:lang w:eastAsia="zh-TW"/>
        </w:rPr>
      </w:pPr>
      <w:r w:rsidRPr="004176F3">
        <w:rPr>
          <w:rFonts w:eastAsia="PMingLiU"/>
          <w:lang w:val="en-AU" w:eastAsia="zh-TW"/>
        </w:rPr>
        <w:t xml:space="preserve">Munya, </w:t>
      </w:r>
      <w:r>
        <w:rPr>
          <w:rFonts w:eastAsia="PMingLiU"/>
          <w:lang w:val="en-AU" w:eastAsia="zh-TW"/>
        </w:rPr>
        <w:t xml:space="preserve">Minya, </w:t>
      </w:r>
      <w:r w:rsidRPr="004176F3">
        <w:rPr>
          <w:rFonts w:eastAsia="PMingLiU"/>
          <w:lang w:val="en-AU" w:eastAsia="zh-TW"/>
        </w:rPr>
        <w:t>Minan, Mina, Muna</w:t>
      </w:r>
      <w:r w:rsidRPr="004176F3">
        <w:rPr>
          <w:rFonts w:eastAsia="PMingLiU"/>
          <w:lang w:val="en-AU" w:eastAsia="zh-TW"/>
        </w:rPr>
        <w:tab/>
        <w:t>Munya[h or t], Minya[h or t]</w:t>
      </w:r>
      <w:r w:rsidRPr="004176F3">
        <w:rPr>
          <w:rFonts w:eastAsia="PMingLiU"/>
          <w:lang w:val="en-AU" w:eastAsia="zh-TW"/>
        </w:rPr>
        <w:tab/>
      </w:r>
      <w:r>
        <w:rPr>
          <w:rFonts w:eastAsia="PMingLiU"/>
          <w:lang w:val="en-AU" w:eastAsia="zh-TW"/>
        </w:rPr>
        <w:t>(</w:t>
      </w:r>
      <w:r w:rsidRPr="004176F3">
        <w:rPr>
          <w:rFonts w:eastAsia="PMingLiU"/>
          <w:lang w:val="en-AU" w:eastAsia="zh-TW"/>
        </w:rPr>
        <w:t>pl. m. Minan, f</w:t>
      </w:r>
      <w:r>
        <w:rPr>
          <w:rFonts w:eastAsia="PMingLiU"/>
          <w:lang w:val="en-AU" w:eastAsia="zh-TW"/>
        </w:rPr>
        <w:t>em</w:t>
      </w:r>
      <w:r w:rsidRPr="004176F3">
        <w:rPr>
          <w:rFonts w:eastAsia="PMingLiU"/>
          <w:lang w:val="en-AU" w:eastAsia="zh-TW"/>
        </w:rPr>
        <w:t xml:space="preserve">. </w:t>
      </w:r>
      <w:r w:rsidRPr="008F03E5">
        <w:t>Muná</w:t>
      </w:r>
      <w:r>
        <w:t>, Min</w:t>
      </w:r>
      <w:r w:rsidRPr="004176F3">
        <w:t>á</w:t>
      </w:r>
      <w:r>
        <w:t xml:space="preserve">) </w:t>
      </w:r>
      <w:r w:rsidRPr="008F03E5">
        <w:t xml:space="preserve">wish, desire, hope, longing.  valley of Miná </w:t>
      </w:r>
      <w:r>
        <w:t>(</w:t>
      </w:r>
      <w:r w:rsidRPr="004176F3">
        <w:t>21.41420</w:t>
      </w:r>
      <w:r>
        <w:t>9</w:t>
      </w:r>
      <w:r w:rsidRPr="004176F3">
        <w:t>, 39.89450</w:t>
      </w:r>
      <w:r>
        <w:t>1)</w:t>
      </w:r>
      <w:r w:rsidRPr="008F03E5">
        <w:t xml:space="preserve"> is a tent city and </w:t>
      </w:r>
      <w:r>
        <w:t xml:space="preserve">a </w:t>
      </w:r>
      <w:r w:rsidRPr="008F03E5">
        <w:t xml:space="preserve">place where animal sacrifices are made.  </w:t>
      </w:r>
      <w:r>
        <w:t xml:space="preserve">It is </w:t>
      </w:r>
      <w:r w:rsidRPr="008F03E5">
        <w:t>5 km east of Mecca on the road from Mecca’s city centre to the Hill of ‘Arafát</w:t>
      </w:r>
      <w:r>
        <w:t xml:space="preserve">. </w:t>
      </w:r>
      <w:r w:rsidRPr="008F03E5">
        <w:t xml:space="preserve"> Muná (Mona) Mahmúdni</w:t>
      </w:r>
      <w:r w:rsidRPr="008F03E5">
        <w:rPr>
          <w:u w:val="single"/>
        </w:rPr>
        <w:t>zh</w:t>
      </w:r>
      <w:r w:rsidRPr="008F03E5">
        <w:t>ád.</w:t>
      </w:r>
    </w:p>
    <w:p w14:paraId="1CDFD9D7" w14:textId="77777777" w:rsidR="00625A5B" w:rsidRPr="008F03E5" w:rsidRDefault="00625A5B" w:rsidP="00974A51">
      <w:pPr>
        <w:pStyle w:val="Translit"/>
        <w:rPr>
          <w:rFonts w:eastAsia="PMingLiU"/>
          <w:lang w:eastAsia="zh-TW"/>
        </w:rPr>
      </w:pPr>
      <w:r w:rsidRPr="008F03E5">
        <w:rPr>
          <w:rFonts w:eastAsia="PMingLiU"/>
          <w:lang w:eastAsia="zh-TW"/>
        </w:rPr>
        <w:t>Munzawi, Munzawin</w:t>
      </w:r>
      <w:r w:rsidRPr="008F03E5">
        <w:rPr>
          <w:rFonts w:eastAsia="PMingLiU"/>
          <w:lang w:eastAsia="zh-TW"/>
        </w:rPr>
        <w:tab/>
        <w:t>Munzaw</w:t>
      </w:r>
      <w:r w:rsidRPr="008F03E5">
        <w:t xml:space="preserve">í, pl. </w:t>
      </w:r>
      <w:r w:rsidRPr="008F03E5">
        <w:rPr>
          <w:rFonts w:eastAsia="PMingLiU"/>
          <w:lang w:eastAsia="zh-TW"/>
        </w:rPr>
        <w:t>Munzaw</w:t>
      </w:r>
      <w:r w:rsidRPr="008F03E5">
        <w:t>ín</w:t>
      </w:r>
      <w:r w:rsidRPr="008F03E5">
        <w:tab/>
      </w:r>
      <w:r w:rsidRPr="008F03E5">
        <w:rPr>
          <w:rFonts w:eastAsia="PMingLiU"/>
          <w:lang w:eastAsia="zh-TW"/>
        </w:rPr>
        <w:t xml:space="preserve">(Pers. Munzavi or the hybrid “Munzavis”) </w:t>
      </w:r>
      <w:r w:rsidRPr="008F03E5">
        <w:t>s</w:t>
      </w:r>
      <w:r w:rsidRPr="008F03E5">
        <w:rPr>
          <w:rFonts w:eastAsia="PMingLiU"/>
          <w:lang w:eastAsia="zh-TW"/>
        </w:rPr>
        <w:t>olitary, recluse; a hermit; enclosed; shrivelled, puckered (leather).  See Mutawa</w:t>
      </w:r>
      <w:r w:rsidRPr="008F03E5">
        <w:t>ḥḥ</w:t>
      </w:r>
      <w:r w:rsidRPr="008F03E5">
        <w:rPr>
          <w:rFonts w:eastAsia="PMingLiU"/>
          <w:lang w:eastAsia="zh-TW"/>
        </w:rPr>
        <w:t>id</w:t>
      </w:r>
    </w:p>
    <w:p w14:paraId="52B4C97F" w14:textId="77777777" w:rsidR="00625A5B" w:rsidRPr="008F03E5" w:rsidRDefault="00625A5B" w:rsidP="00D9226C">
      <w:pPr>
        <w:pStyle w:val="Translit"/>
      </w:pPr>
      <w:r w:rsidRPr="008F03E5">
        <w:t>Munzawin</w:t>
      </w:r>
      <w:r w:rsidRPr="008F03E5">
        <w:tab/>
        <w:t>Munzawin</w:t>
      </w:r>
      <w:r w:rsidRPr="008F03E5">
        <w:tab/>
        <w:t>secluding; retired, secluded, outlying, remote, out-of-the-way, obscure</w:t>
      </w:r>
    </w:p>
    <w:p w14:paraId="7CA2F668" w14:textId="77777777" w:rsidR="00625A5B" w:rsidRPr="008F03E5" w:rsidRDefault="00625A5B" w:rsidP="00384543">
      <w:pPr>
        <w:pStyle w:val="Translit"/>
      </w:pPr>
      <w:r w:rsidRPr="008F03E5">
        <w:t>Muqabala</w:t>
      </w:r>
      <w:r w:rsidRPr="008F03E5">
        <w:tab/>
        <w:t>Muqábala[h]</w:t>
      </w:r>
      <w:r w:rsidRPr="008F03E5">
        <w:tab/>
        <w:t xml:space="preserve">encounter; meeting; conversation, talk, discussion; interview; audience; reception; comparison, collation </w:t>
      </w:r>
    </w:p>
    <w:p w14:paraId="12D3FBDB" w14:textId="77777777" w:rsidR="00625A5B" w:rsidRPr="008F03E5" w:rsidRDefault="00625A5B" w:rsidP="0079649C">
      <w:pPr>
        <w:pStyle w:val="Translit"/>
      </w:pPr>
      <w:r w:rsidRPr="008F03E5">
        <w:t>Muqaddam, Magadim</w:t>
      </w:r>
      <w:r w:rsidRPr="008F03E5">
        <w:tab/>
        <w:t>Muqaddam, pl. Maqádím</w:t>
      </w:r>
      <w:r w:rsidRPr="008F03E5">
        <w:tab/>
        <w:t>placed before; preferred; antecedent, prior, preceding; a leader, chief, commander; the advanced guard; the major proposition of a syllogism; a superior officer of the revenue in a village; a title of respect amongst villagers</w:t>
      </w:r>
    </w:p>
    <w:p w14:paraId="6971AEA3" w14:textId="77777777" w:rsidR="00625A5B" w:rsidRPr="008F03E5" w:rsidRDefault="00625A5B" w:rsidP="004E419A">
      <w:pPr>
        <w:pStyle w:val="Translit"/>
      </w:pPr>
      <w:r w:rsidRPr="008F03E5">
        <w:t>Muqaddas, Muqaddasat, Muqaddasun</w:t>
      </w:r>
      <w:r w:rsidRPr="008F03E5">
        <w:tab/>
        <w:t>Muqaddas, fem. Muqaddasa[h or t]</w:t>
      </w:r>
      <w:r w:rsidRPr="008F03E5">
        <w:tab/>
        <w:t>hallowed, sanctified, dedicated, consecrated; holy, sacred;—(</w:t>
      </w:r>
      <w:r>
        <w:t xml:space="preserve">fem. </w:t>
      </w:r>
      <w:r w:rsidRPr="008F03E5">
        <w:t>pl. muqaddasát) sacred things, sacrosanct things</w:t>
      </w:r>
      <w:r>
        <w:t>;</w:t>
      </w:r>
      <w:r w:rsidRPr="008F03E5">
        <w:t>—(pl. muqaddasún) are sanctified, “saints”.</w:t>
      </w:r>
    </w:p>
    <w:p w14:paraId="49459841" w14:textId="77777777" w:rsidR="00625A5B" w:rsidRPr="008F03E5" w:rsidRDefault="00625A5B" w:rsidP="00266039">
      <w:pPr>
        <w:pStyle w:val="Translit"/>
      </w:pPr>
      <w:r w:rsidRPr="008F03E5">
        <w:t>Muqaddim</w:t>
      </w:r>
      <w:r w:rsidRPr="008F03E5">
        <w:tab/>
        <w:t>Muqaddim</w:t>
      </w:r>
      <w:r w:rsidRPr="008F03E5">
        <w:tab/>
        <w:t>offerer, tenderer, presenter, giver, donor</w:t>
      </w:r>
    </w:p>
    <w:p w14:paraId="0DEEC4D1" w14:textId="77777777" w:rsidR="00625A5B" w:rsidRPr="008F03E5" w:rsidRDefault="00625A5B" w:rsidP="005A2AD0">
      <w:pPr>
        <w:pStyle w:val="Translit"/>
      </w:pPr>
      <w:r w:rsidRPr="008F03E5">
        <w:t>Muqaffa’</w:t>
      </w:r>
      <w:r w:rsidRPr="008F03E5">
        <w:tab/>
        <w:t>Muqaffa</w:t>
      </w:r>
      <w:r w:rsidRPr="008F03E5">
        <w:rPr>
          <w:rFonts w:eastAsia="Times New Roman"/>
        </w:rPr>
        <w:t>‘</w:t>
      </w:r>
      <w:r w:rsidRPr="008F03E5">
        <w:rPr>
          <w:rFonts w:eastAsia="Times New Roman"/>
        </w:rPr>
        <w:tab/>
        <w:t>c</w:t>
      </w:r>
      <w:r w:rsidRPr="008F03E5">
        <w:t>ontracted, shrunk; one who has shrivelled (and contracted hands)</w:t>
      </w:r>
    </w:p>
    <w:p w14:paraId="1C01392E" w14:textId="77777777" w:rsidR="00625A5B" w:rsidRPr="008F03E5" w:rsidRDefault="00625A5B" w:rsidP="00571A03">
      <w:pPr>
        <w:pStyle w:val="Translit"/>
      </w:pPr>
      <w:r w:rsidRPr="008F03E5">
        <w:t>Muqallad</w:t>
      </w:r>
      <w:r w:rsidRPr="008F03E5">
        <w:tab/>
        <w:t>Muqallad</w:t>
      </w:r>
      <w:r w:rsidRPr="008F03E5">
        <w:tab/>
        <w:t>imitated, imitation, forged, counterfeit(ed), fake, sham, spurious, false; tradition-bound.  See taqlíd</w:t>
      </w:r>
    </w:p>
    <w:p w14:paraId="75FB567A" w14:textId="77777777" w:rsidR="00625A5B" w:rsidRPr="008F03E5" w:rsidRDefault="00625A5B" w:rsidP="006135E4">
      <w:pPr>
        <w:pStyle w:val="Translit"/>
      </w:pPr>
      <w:r w:rsidRPr="008F03E5">
        <w:t>Muqallid</w:t>
      </w:r>
      <w:r w:rsidRPr="008F03E5">
        <w:tab/>
        <w:t>Muqallid</w:t>
      </w:r>
      <w:r w:rsidRPr="008F03E5">
        <w:tab/>
        <w:t>(a woman) adorning herself with a necklace; a follower, imitator, disciple; tutor, mimic, mime, mummer, buffoon; a comedian.  A term applied to the majority of Twelver Shi’is, who are required to obey the rulings of one or another marja‘ at-taqlíd (cf. taqlíd).</w:t>
      </w:r>
    </w:p>
    <w:p w14:paraId="46316C13" w14:textId="77777777" w:rsidR="00625A5B" w:rsidRPr="008F03E5" w:rsidRDefault="00625A5B" w:rsidP="00F338CA">
      <w:pPr>
        <w:pStyle w:val="Translit"/>
      </w:pPr>
      <w:r w:rsidRPr="008F03E5">
        <w:t>Muqanna</w:t>
      </w:r>
      <w:r w:rsidRPr="008F03E5">
        <w:tab/>
        <w:t>Muqanna‘</w:t>
      </w:r>
      <w:r w:rsidRPr="008F03E5">
        <w:tab/>
        <w:t>veiled, masked.  Há</w:t>
      </w:r>
      <w:r w:rsidRPr="008F03E5">
        <w:rPr>
          <w:u w:val="single"/>
        </w:rPr>
        <w:t>sh</w:t>
      </w:r>
      <w:r w:rsidRPr="008F03E5">
        <w:t>im, Persian chemist, better known as al-Muqanna‘ (“The Veiled”, died ca. 783).  He claimed to be a prophet.  Part of his face was burnt in a chemical explosion, which he covered with a veil.  Thus he was known as “Há</w:t>
      </w:r>
      <w:r w:rsidRPr="008F03E5">
        <w:rPr>
          <w:u w:val="single"/>
        </w:rPr>
        <w:t>sh</w:t>
      </w:r>
      <w:r w:rsidRPr="008F03E5">
        <w:t>imí al-Muqanna‘”.</w:t>
      </w:r>
    </w:p>
    <w:p w14:paraId="710BE200" w14:textId="77777777" w:rsidR="00625A5B" w:rsidRPr="008F03E5" w:rsidRDefault="00625A5B" w:rsidP="00E568BC">
      <w:pPr>
        <w:pStyle w:val="Translit"/>
      </w:pPr>
      <w:r w:rsidRPr="008F03E5">
        <w:t>Muqaramat</w:t>
      </w:r>
      <w:r w:rsidRPr="008F03E5">
        <w:tab/>
        <w:t>Muqarmaṭ</w:t>
      </w:r>
      <w:r w:rsidRPr="008F03E5">
        <w:tab/>
        <w:t>Pers. shortened, short.  A názuk style of calligraphy.  See qarmaṭ.</w:t>
      </w:r>
    </w:p>
    <w:p w14:paraId="6FEA16AE" w14:textId="77777777" w:rsidR="00625A5B" w:rsidRPr="008F03E5" w:rsidRDefault="00625A5B" w:rsidP="00F338CA">
      <w:pPr>
        <w:pStyle w:val="Translit"/>
        <w:rPr>
          <w:rFonts w:eastAsia="PMingLiU"/>
          <w:lang w:eastAsia="zh-TW"/>
        </w:rPr>
      </w:pPr>
      <w:r w:rsidRPr="008F03E5">
        <w:rPr>
          <w:rFonts w:eastAsia="PMingLiU"/>
          <w:lang w:eastAsia="zh-TW"/>
        </w:rPr>
        <w:t>Muqarrab, Muqarrabun</w:t>
      </w:r>
      <w:r w:rsidRPr="008F03E5">
        <w:tab/>
      </w:r>
      <w:r w:rsidRPr="008F03E5">
        <w:rPr>
          <w:rFonts w:eastAsia="PMingLiU"/>
          <w:lang w:eastAsia="zh-TW"/>
        </w:rPr>
        <w:t>Muqarrab, pl. Muqarrab</w:t>
      </w:r>
      <w:r w:rsidRPr="008F03E5">
        <w:t>ú</w:t>
      </w:r>
      <w:r w:rsidRPr="008F03E5">
        <w:rPr>
          <w:rFonts w:eastAsia="PMingLiU"/>
          <w:lang w:eastAsia="zh-TW"/>
        </w:rPr>
        <w:t>n</w:t>
      </w:r>
      <w:r w:rsidRPr="008F03E5">
        <w:tab/>
        <w:t>close companion, favorite, protégé, intimate</w:t>
      </w:r>
    </w:p>
    <w:p w14:paraId="0274F4A5" w14:textId="77777777" w:rsidR="00625A5B" w:rsidRPr="008F03E5" w:rsidRDefault="00625A5B" w:rsidP="00DA5E6A">
      <w:pPr>
        <w:pStyle w:val="Translit"/>
      </w:pPr>
      <w:r w:rsidRPr="008F03E5">
        <w:rPr>
          <w:rFonts w:eastAsia="PMingLiU"/>
          <w:lang w:eastAsia="zh-TW"/>
        </w:rPr>
        <w:t>Muqarrabin</w:t>
      </w:r>
      <w:r w:rsidRPr="008F03E5">
        <w:rPr>
          <w:rFonts w:eastAsia="PMingLiU"/>
          <w:lang w:eastAsia="zh-TW"/>
        </w:rPr>
        <w:tab/>
        <w:t>M</w:t>
      </w:r>
      <w:r w:rsidRPr="008F03E5">
        <w:t>uqarrabín</w:t>
      </w:r>
      <w:r w:rsidRPr="008F03E5">
        <w:tab/>
        <w:t>cherubims; relations, nearest kindred</w:t>
      </w:r>
    </w:p>
    <w:p w14:paraId="5BDA12EA" w14:textId="77777777" w:rsidR="00625A5B" w:rsidRPr="008F03E5" w:rsidRDefault="00625A5B" w:rsidP="005E3B9E">
      <w:pPr>
        <w:pStyle w:val="Translit"/>
      </w:pPr>
      <w:r w:rsidRPr="008F03E5">
        <w:rPr>
          <w:rFonts w:eastAsia="PMingLiU"/>
          <w:lang w:eastAsia="zh-TW"/>
        </w:rPr>
        <w:t>Muqatta’, Muqatta’at</w:t>
      </w:r>
      <w:r w:rsidRPr="008F03E5">
        <w:rPr>
          <w:rFonts w:eastAsia="PMingLiU"/>
          <w:lang w:eastAsia="zh-TW"/>
        </w:rPr>
        <w:tab/>
        <w:t xml:space="preserve">Muqaṭṭa‘, pl. fem. </w:t>
      </w:r>
      <w:r w:rsidRPr="008F03E5">
        <w:t>Muqaṭṭa‘át</w:t>
      </w:r>
      <w:r w:rsidRPr="008F03E5">
        <w:rPr>
          <w:rFonts w:eastAsia="PMingLiU"/>
          <w:lang w:eastAsia="zh-TW"/>
        </w:rPr>
        <w:tab/>
        <w:t>torn, shredded</w:t>
      </w:r>
      <w:r w:rsidRPr="008F03E5">
        <w:t>; cut out, shaped, trimmed according to law (as a beard); well-dressed; comely, beautiful; short, dwarfish;—pl. small garments, especially made of coarse silk; narrow (cloths); short poems; printed stuffs.  See Ḥurúf Muqaṭṭa‘át.</w:t>
      </w:r>
    </w:p>
    <w:p w14:paraId="581484F5" w14:textId="77777777" w:rsidR="00625A5B" w:rsidRPr="008F03E5" w:rsidRDefault="00625A5B" w:rsidP="00412E45">
      <w:pPr>
        <w:pStyle w:val="Translit"/>
      </w:pPr>
      <w:r w:rsidRPr="008F03E5">
        <w:t>Muqattam (Mokattam)</w:t>
      </w:r>
      <w:r w:rsidRPr="008F03E5">
        <w:tab/>
        <w:t>Muqaṭṭam</w:t>
      </w:r>
      <w:r w:rsidRPr="008F03E5">
        <w:tab/>
        <w:t>cut off or broken off, torn.  al-Muqaṭṭam is a range of hills east of Cairo that was an important ancient Egyptian quarry site for limestone; also a Cairo newspaper (1889–1952).</w:t>
      </w:r>
    </w:p>
    <w:p w14:paraId="263D95B4" w14:textId="77777777" w:rsidR="00625A5B" w:rsidRPr="008F03E5" w:rsidRDefault="00625A5B" w:rsidP="00F338CA">
      <w:pPr>
        <w:pStyle w:val="Translit"/>
        <w:rPr>
          <w:rFonts w:eastAsia="PMingLiU"/>
          <w:lang w:eastAsia="zh-TW"/>
        </w:rPr>
      </w:pPr>
      <w:r w:rsidRPr="008F03E5">
        <w:rPr>
          <w:rFonts w:eastAsia="PMingLiU"/>
          <w:lang w:eastAsia="zh-TW"/>
        </w:rPr>
        <w:t>Muqimi-Abyanih</w:t>
      </w:r>
      <w:r w:rsidRPr="008F03E5">
        <w:tab/>
      </w:r>
      <w:r w:rsidRPr="008F03E5">
        <w:rPr>
          <w:rFonts w:eastAsia="PMingLiU"/>
          <w:lang w:eastAsia="zh-TW"/>
        </w:rPr>
        <w:t>Muqímí</w:t>
      </w:r>
      <w:r w:rsidRPr="008F03E5">
        <w:rPr>
          <w:rFonts w:eastAsia="PMingLiU"/>
          <w:lang w:eastAsia="zh-TW"/>
        </w:rPr>
        <w:tab/>
        <w:t>residential  Muqímí-Abyánih</w:t>
      </w:r>
    </w:p>
    <w:p w14:paraId="23A4E70B" w14:textId="77777777" w:rsidR="00625A5B" w:rsidRPr="008F03E5" w:rsidRDefault="00625A5B" w:rsidP="00277515">
      <w:pPr>
        <w:pStyle w:val="Translit"/>
      </w:pPr>
      <w:r w:rsidRPr="008F03E5">
        <w:t>Muqit</w:t>
      </w:r>
      <w:r w:rsidRPr="008F03E5">
        <w:tab/>
        <w:t>Muqít</w:t>
      </w:r>
      <w:r w:rsidRPr="008F03E5">
        <w:tab/>
        <w:t>powerful; one who maintains in victuals and takes care of; a guardian, keeper, inspector; al-Muqít one of the names of God</w:t>
      </w:r>
    </w:p>
    <w:p w14:paraId="084063DF" w14:textId="77777777" w:rsidR="00625A5B" w:rsidRPr="008F03E5" w:rsidRDefault="00625A5B" w:rsidP="000D28B2">
      <w:pPr>
        <w:pStyle w:val="Translit"/>
      </w:pPr>
      <w:r w:rsidRPr="008F03E5">
        <w:t>Muqsit</w:t>
      </w:r>
      <w:r w:rsidRPr="008F03E5">
        <w:tab/>
        <w:t>Muqsiṭ</w:t>
      </w:r>
      <w:r w:rsidRPr="008F03E5">
        <w:tab/>
        <w:t>acting justly or with fairness, doing right; just, fair</w:t>
      </w:r>
    </w:p>
    <w:p w14:paraId="29441171" w14:textId="77777777" w:rsidR="00625A5B" w:rsidRPr="008F03E5" w:rsidRDefault="00625A5B" w:rsidP="00266039">
      <w:pPr>
        <w:pStyle w:val="Translit"/>
      </w:pPr>
      <w:r w:rsidRPr="008F03E5">
        <w:t>Muqtadir</w:t>
      </w:r>
      <w:r w:rsidRPr="008F03E5">
        <w:tab/>
        <w:t>Muqtadir</w:t>
      </w:r>
      <w:r w:rsidRPr="008F03E5">
        <w:tab/>
        <w:t>possessing power or strength, powerful, potent; having mastery (over something), being equal (to something); able (to do something), capable (of); efficient capable, talented</w:t>
      </w:r>
    </w:p>
    <w:p w14:paraId="335DF511" w14:textId="77777777" w:rsidR="00625A5B" w:rsidRPr="008F03E5" w:rsidRDefault="00625A5B" w:rsidP="002353A6">
      <w:pPr>
        <w:pStyle w:val="Translit"/>
      </w:pPr>
      <w:r w:rsidRPr="008F03E5">
        <w:t>Muqtataf, Muqtatafat</w:t>
      </w:r>
      <w:r w:rsidRPr="008F03E5">
        <w:tab/>
        <w:t>Muqtaṭaf, pl. Muqtaṭafát</w:t>
      </w:r>
      <w:r w:rsidRPr="008F03E5">
        <w:tab/>
        <w:t>selected or select piece; selection</w:t>
      </w:r>
      <w:r>
        <w:t>.  a</w:t>
      </w:r>
      <w:r w:rsidRPr="002353A6">
        <w:t>l-Muqtaṭaf (</w:t>
      </w:r>
      <w:r>
        <w:t>“</w:t>
      </w:r>
      <w:r w:rsidRPr="002353A6">
        <w:t>The Digest</w:t>
      </w:r>
      <w:r>
        <w:t>”</w:t>
      </w:r>
      <w:r w:rsidRPr="002353A6">
        <w:t>) was an Arabic journal of popular science published monthly from 1876 to 1952 in Beirut and Cairo</w:t>
      </w:r>
      <w:r>
        <w:t>.</w:t>
      </w:r>
    </w:p>
    <w:p w14:paraId="368F5EEC" w14:textId="77777777" w:rsidR="00625A5B" w:rsidRPr="008F03E5" w:rsidRDefault="00625A5B" w:rsidP="00534960">
      <w:pPr>
        <w:pStyle w:val="Translit"/>
        <w:rPr>
          <w:rFonts w:eastAsia="PMingLiU"/>
          <w:lang w:eastAsia="zh-TW"/>
        </w:rPr>
      </w:pPr>
      <w:r w:rsidRPr="008F03E5">
        <w:t>Murabba’, Murabba’a, Murabba’at</w:t>
      </w:r>
      <w:r w:rsidRPr="008F03E5">
        <w:tab/>
        <w:t xml:space="preserve">Murabba‘, fem. </w:t>
      </w:r>
      <w:r w:rsidRPr="001457C8">
        <w:rPr>
          <w:lang w:val="it-IT"/>
        </w:rPr>
        <w:t>Murabba‘a[h or t]</w:t>
      </w:r>
      <w:r w:rsidRPr="001457C8">
        <w:rPr>
          <w:lang w:val="it-IT"/>
        </w:rPr>
        <w:tab/>
        <w:t xml:space="preserve">fourfold, quadruple; quadrangular; tetragonal; square, quadratic; quadrangle; square;—pl. </w:t>
      </w:r>
      <w:r w:rsidRPr="008F03E5">
        <w:t>Murabba‘át quadrangular piece; quartet.  Fem. section, district, area</w:t>
      </w:r>
    </w:p>
    <w:p w14:paraId="35396418" w14:textId="77777777" w:rsidR="00625A5B" w:rsidRPr="008F03E5" w:rsidRDefault="00625A5B" w:rsidP="00277515">
      <w:pPr>
        <w:pStyle w:val="Translit"/>
      </w:pPr>
      <w:r w:rsidRPr="008F03E5">
        <w:t>Murad</w:t>
      </w:r>
      <w:r w:rsidRPr="008F03E5">
        <w:tab/>
        <w:t>Murád</w:t>
      </w:r>
      <w:r w:rsidRPr="008F03E5">
        <w:tab/>
        <w:t>wanted</w:t>
      </w:r>
      <w:r>
        <w:t xml:space="preserve"> (wish)</w:t>
      </w:r>
      <w:r w:rsidRPr="008F03E5">
        <w:t>, desired, intended; design, purpose, intention</w:t>
      </w:r>
      <w:r>
        <w:t xml:space="preserve"> (goal)</w:t>
      </w:r>
    </w:p>
    <w:p w14:paraId="75C1B6D2" w14:textId="77777777" w:rsidR="00625A5B" w:rsidRPr="008F03E5" w:rsidRDefault="00625A5B" w:rsidP="00462A96">
      <w:pPr>
        <w:pStyle w:val="Translit"/>
      </w:pPr>
      <w:r w:rsidRPr="008F03E5">
        <w:t>Muradi, Muradiyyih, Muradiyat</w:t>
      </w:r>
      <w:r w:rsidRPr="008F03E5">
        <w:tab/>
        <w:t>Murádí, fem. Murádiya[h]</w:t>
      </w:r>
      <w:r w:rsidRPr="008F03E5">
        <w:tab/>
      </w:r>
      <w:r>
        <w:t>(</w:t>
      </w:r>
      <w:r w:rsidRPr="008F03E5">
        <w:t>pl. fem. Murádiyát</w:t>
      </w:r>
      <w:r>
        <w:t>)</w:t>
      </w:r>
      <w:r w:rsidRPr="008F03E5">
        <w:t xml:space="preserve">  Pers.</w:t>
      </w:r>
      <w:r>
        <w:t xml:space="preserve"> derived from Ar. m</w:t>
      </w:r>
      <w:r w:rsidRPr="008F03E5">
        <w:t>urád</w:t>
      </w:r>
      <w:r>
        <w:t xml:space="preserve">: </w:t>
      </w:r>
      <w:r w:rsidRPr="008F03E5">
        <w:t xml:space="preserve"> favourably, agreeably to ones wish; understood, implied; secondary; figurative; metaphorical; change, small money.  Pers. fem. sing. Murádíyyih (Turk</w:t>
      </w:r>
      <w:r>
        <w:t>ish</w:t>
      </w:r>
      <w:r w:rsidRPr="008F03E5">
        <w:t xml:space="preserve"> Muradiye)—the name of a mosque (Turk</w:t>
      </w:r>
      <w:r>
        <w:t>ish</w:t>
      </w:r>
      <w:r w:rsidRPr="008F03E5">
        <w:t xml:space="preserve"> cammii) and area of Edirne, Türkiye.</w:t>
      </w:r>
      <w:r>
        <w:t xml:space="preserve">  ‘</w:t>
      </w:r>
      <w:r w:rsidRPr="00330BD8">
        <w:t>Abd a</w:t>
      </w:r>
      <w:r>
        <w:t>r</w:t>
      </w:r>
      <w:r w:rsidRPr="00330BD8">
        <w:t>-Raḥm</w:t>
      </w:r>
      <w:r>
        <w:t>á</w:t>
      </w:r>
      <w:r w:rsidRPr="00330BD8">
        <w:t>n ibn Muljam al-Mur</w:t>
      </w:r>
      <w:r>
        <w:t>á</w:t>
      </w:r>
      <w:r w:rsidRPr="00330BD8">
        <w:t>d</w:t>
      </w:r>
      <w:r>
        <w:t>í</w:t>
      </w:r>
      <w:r w:rsidRPr="00330BD8">
        <w:t xml:space="preserve"> (d. 661</w:t>
      </w:r>
      <w:r>
        <w:t xml:space="preserve">) </w:t>
      </w:r>
      <w:r w:rsidRPr="00330BD8">
        <w:t xml:space="preserve">was a Kharijite primarily known for having assassinated </w:t>
      </w:r>
      <w:r w:rsidRPr="00536823">
        <w:t>‘Alí ibn Abí Ṭálib</w:t>
      </w:r>
      <w:r w:rsidRPr="00330BD8">
        <w:t xml:space="preserve">, the fourth caliph of the Rashidun Caliphate and the first </w:t>
      </w:r>
      <w:r>
        <w:t>Im</w:t>
      </w:r>
      <w:r w:rsidRPr="00330BD8">
        <w:t>á</w:t>
      </w:r>
      <w:r>
        <w:t>m</w:t>
      </w:r>
      <w:r w:rsidRPr="00330BD8">
        <w:t>.</w:t>
      </w:r>
    </w:p>
    <w:p w14:paraId="238F88C8" w14:textId="77777777" w:rsidR="00625A5B" w:rsidRPr="008F03E5" w:rsidRDefault="00625A5B" w:rsidP="00D262BA">
      <w:pPr>
        <w:pStyle w:val="Translit"/>
      </w:pPr>
      <w:r w:rsidRPr="008F03E5">
        <w:t>Murattab</w:t>
      </w:r>
      <w:r w:rsidRPr="008F03E5">
        <w:tab/>
        <w:t>Murattab</w:t>
      </w:r>
      <w:r w:rsidRPr="008F03E5">
        <w:tab/>
        <w:t>place in order, arranged; regulated, prepared; classified; compiled, digested; garnished</w:t>
      </w:r>
    </w:p>
    <w:p w14:paraId="547F291C" w14:textId="77777777" w:rsidR="00625A5B" w:rsidRPr="008F03E5" w:rsidRDefault="00625A5B" w:rsidP="007C02B8">
      <w:pPr>
        <w:pStyle w:val="Translit"/>
      </w:pPr>
      <w:r w:rsidRPr="008F03E5">
        <w:t>Murawwih (Muravvih)</w:t>
      </w:r>
      <w:r w:rsidRPr="008F03E5">
        <w:tab/>
        <w:t>Murawwiḥ</w:t>
      </w:r>
      <w:r w:rsidRPr="008F03E5">
        <w:tab/>
        <w:t>“one who is wearing musk or perfume” or “one who is praying (or prays) the Taráwíḥ prayer”.</w:t>
      </w:r>
    </w:p>
    <w:p w14:paraId="2D5909D0" w14:textId="77777777" w:rsidR="00625A5B" w:rsidRPr="008F03E5" w:rsidRDefault="00625A5B" w:rsidP="00FF2753">
      <w:pPr>
        <w:pStyle w:val="Translit"/>
      </w:pPr>
      <w:r w:rsidRPr="008F03E5">
        <w:t>Murawwihu’s-Saltanih</w:t>
      </w:r>
      <w:r w:rsidRPr="008F03E5">
        <w:tab/>
        <w:t>Murawwiḥu’s-Salṭanih</w:t>
      </w:r>
      <w:r w:rsidRPr="008F03E5">
        <w:tab/>
        <w:t xml:space="preserve">“Who Gives the Kingdom Life”, title given to Florence Breed, see </w:t>
      </w:r>
      <w:r w:rsidRPr="008F03E5">
        <w:rPr>
          <w:i/>
          <w:iCs/>
        </w:rPr>
        <w:t>Arches of the Years</w:t>
      </w:r>
      <w:r w:rsidRPr="008F03E5">
        <w:t>, p. 65.</w:t>
      </w:r>
    </w:p>
    <w:p w14:paraId="4BDA46F4" w14:textId="77777777" w:rsidR="00625A5B" w:rsidRPr="008F03E5" w:rsidRDefault="00625A5B" w:rsidP="00B30198">
      <w:pPr>
        <w:pStyle w:val="Translit"/>
      </w:pPr>
      <w:r w:rsidRPr="008F03E5">
        <w:t>Murawwij, Murawwijin</w:t>
      </w:r>
      <w:r w:rsidRPr="008F03E5">
        <w:tab/>
        <w:t>Murawwij, pl. Murawwijín</w:t>
      </w:r>
      <w:r w:rsidRPr="008F03E5">
        <w:tab/>
        <w:t>promoter</w:t>
      </w:r>
    </w:p>
    <w:p w14:paraId="0FE0E90B" w14:textId="77777777" w:rsidR="00625A5B" w:rsidRPr="008F03E5" w:rsidRDefault="00625A5B" w:rsidP="00005AF4">
      <w:pPr>
        <w:pStyle w:val="Translit"/>
      </w:pPr>
      <w:r w:rsidRPr="008F03E5">
        <w:t>Muraysi’</w:t>
      </w:r>
      <w:r w:rsidRPr="008F03E5">
        <w:tab/>
        <w:t>Muraysí‘</w:t>
      </w:r>
      <w:r w:rsidRPr="008F03E5">
        <w:tab/>
        <w:t>al-Muraysí‘, a well on the outskirts of Qudayd (22.345601, 39.320985) used by the Banú’l-Muṣṭaliq and site of an military expedition by Muḥammad in December 627.</w:t>
      </w:r>
    </w:p>
    <w:p w14:paraId="4258FBC6" w14:textId="77777777" w:rsidR="00625A5B" w:rsidRPr="008F03E5" w:rsidRDefault="00625A5B" w:rsidP="00005AF4">
      <w:pPr>
        <w:pStyle w:val="Translit"/>
      </w:pPr>
      <w:r w:rsidRPr="008F03E5">
        <w:t>Murcha (Murchah, Murchih)</w:t>
      </w:r>
      <w:r w:rsidRPr="008F03E5">
        <w:tab/>
        <w:t>Múr</w:t>
      </w:r>
      <w:r w:rsidRPr="008F03E5">
        <w:rPr>
          <w:u w:val="single"/>
        </w:rPr>
        <w:t>ch</w:t>
      </w:r>
      <w:r w:rsidRPr="008F03E5">
        <w:t>a</w:t>
      </w:r>
      <w:r w:rsidRPr="008F03E5">
        <w:tab/>
        <w:t>Pers. a little ant; the waving lustre of a sword; rust; a small black glass; a poor, weak, contemptible fellow; a battery</w:t>
      </w:r>
    </w:p>
    <w:p w14:paraId="6ABFBE48" w14:textId="77777777" w:rsidR="00625A5B" w:rsidRPr="008F03E5" w:rsidRDefault="00625A5B" w:rsidP="00064115">
      <w:pPr>
        <w:pStyle w:val="Translit"/>
      </w:pPr>
      <w:r w:rsidRPr="00064115">
        <w:t>Murcha-Khurt, Murchih-Khurt</w:t>
      </w:r>
      <w:r w:rsidRPr="00064115">
        <w:tab/>
        <w:t>Múr</w:t>
      </w:r>
      <w:r w:rsidRPr="00064115">
        <w:rPr>
          <w:u w:val="single"/>
        </w:rPr>
        <w:t>ch</w:t>
      </w:r>
      <w:r w:rsidRPr="00064115">
        <w:t>a-</w:t>
      </w:r>
      <w:r w:rsidRPr="00064115">
        <w:rPr>
          <w:u w:val="single"/>
        </w:rPr>
        <w:t>Kh</w:t>
      </w:r>
      <w:r w:rsidRPr="00064115">
        <w:t>úrt,</w:t>
      </w:r>
      <w:r w:rsidRPr="008F03E5">
        <w:t xml:space="preserve"> </w:t>
      </w:r>
      <w:r>
        <w:t>(</w:t>
      </w:r>
      <w:r w:rsidRPr="008F03E5">
        <w:t>Múr</w:t>
      </w:r>
      <w:r w:rsidRPr="008F03E5">
        <w:rPr>
          <w:u w:val="single"/>
        </w:rPr>
        <w:t>ch</w:t>
      </w:r>
      <w:r w:rsidRPr="008F03E5">
        <w:t>ih-</w:t>
      </w:r>
      <w:r w:rsidRPr="008F03E5">
        <w:rPr>
          <w:u w:val="single"/>
        </w:rPr>
        <w:t>Kh</w:t>
      </w:r>
      <w:r w:rsidRPr="008F03E5">
        <w:t>úrt</w:t>
      </w:r>
      <w:r>
        <w:t>)</w:t>
      </w:r>
      <w:r w:rsidRPr="008F03E5">
        <w:tab/>
        <w:t xml:space="preserve">Pers. (Murcheh Khvort and Murcheh Khowrt; Morcha-Khurt, Morcheh Khort (Murchehkhort), Murcheh Khort, Murcheh Khur, and Murcheh Khurd) is a village </w:t>
      </w:r>
      <w:r>
        <w:t>(</w:t>
      </w:r>
      <w:r w:rsidRPr="00064115">
        <w:t>33.088239, 51.47876</w:t>
      </w:r>
      <w:r>
        <w:t xml:space="preserve">8) </w:t>
      </w:r>
      <w:r w:rsidRPr="008F03E5">
        <w:t xml:space="preserve">51 km </w:t>
      </w:r>
      <w:r w:rsidRPr="008F03E5">
        <w:rPr>
          <w:sz w:val="16"/>
          <w:szCs w:val="16"/>
        </w:rPr>
        <w:t>NNW</w:t>
      </w:r>
      <w:r w:rsidRPr="008F03E5">
        <w:t xml:space="preserve"> of Iṣfahán.  Battle of Múr</w:t>
      </w:r>
      <w:r w:rsidRPr="008F03E5">
        <w:rPr>
          <w:u w:val="single"/>
        </w:rPr>
        <w:t>ch</w:t>
      </w:r>
      <w:r w:rsidRPr="008F03E5">
        <w:t xml:space="preserve">a </w:t>
      </w:r>
      <w:r w:rsidRPr="008F03E5">
        <w:rPr>
          <w:u w:val="single"/>
        </w:rPr>
        <w:t>Kh</w:t>
      </w:r>
      <w:r w:rsidRPr="008F03E5">
        <w:t xml:space="preserve">úrt fought by Safavids against the Afghans a few km </w:t>
      </w:r>
      <w:r w:rsidRPr="008F03E5">
        <w:rPr>
          <w:sz w:val="16"/>
          <w:szCs w:val="16"/>
        </w:rPr>
        <w:t>NW</w:t>
      </w:r>
      <w:r w:rsidRPr="008F03E5">
        <w:t xml:space="preserve"> Múr</w:t>
      </w:r>
      <w:r w:rsidRPr="008F03E5">
        <w:rPr>
          <w:u w:val="single"/>
        </w:rPr>
        <w:t>ch</w:t>
      </w:r>
      <w:r>
        <w:t>a</w:t>
      </w:r>
      <w:r w:rsidRPr="008F03E5">
        <w:t>-</w:t>
      </w:r>
      <w:r w:rsidRPr="008F03E5">
        <w:rPr>
          <w:u w:val="single"/>
        </w:rPr>
        <w:t>Kh</w:t>
      </w:r>
      <w:r w:rsidRPr="008F03E5">
        <w:t>úrt on 12 November 1792.  “Múr</w:t>
      </w:r>
      <w:r w:rsidRPr="008F03E5">
        <w:rPr>
          <w:u w:val="single"/>
        </w:rPr>
        <w:t>ch</w:t>
      </w:r>
      <w:r w:rsidRPr="008F03E5">
        <w:t>ih-</w:t>
      </w:r>
      <w:r w:rsidRPr="008F03E5">
        <w:rPr>
          <w:u w:val="single"/>
        </w:rPr>
        <w:t>Khá</w:t>
      </w:r>
      <w:r w:rsidRPr="008F03E5">
        <w:t>r” (DB 211 &amp; TN p. 16).  This was as far as the Báb was escorted in late 1846 to Ṭihrán before being secretly returned to Iṣfahán.</w:t>
      </w:r>
    </w:p>
    <w:p w14:paraId="58F3CAD0" w14:textId="77777777" w:rsidR="00625A5B" w:rsidRPr="008F03E5" w:rsidRDefault="00625A5B" w:rsidP="00032EE3">
      <w:pPr>
        <w:pStyle w:val="Translit"/>
      </w:pPr>
      <w:r w:rsidRPr="008F03E5">
        <w:t>Murdad</w:t>
      </w:r>
      <w:r w:rsidRPr="008F03E5">
        <w:tab/>
        <w:t>Murdád</w:t>
      </w:r>
      <w:r w:rsidRPr="008F03E5">
        <w:tab/>
        <w:t>Pers. 5th month of the Persian solar calendar</w:t>
      </w:r>
    </w:p>
    <w:p w14:paraId="1BB874AB" w14:textId="77777777" w:rsidR="00625A5B" w:rsidRPr="008F03E5" w:rsidRDefault="00625A5B" w:rsidP="00294F53">
      <w:pPr>
        <w:pStyle w:val="Translit"/>
      </w:pPr>
      <w:r w:rsidRPr="008F03E5">
        <w:t>Murgh</w:t>
      </w:r>
      <w:r w:rsidRPr="008F03E5">
        <w:tab/>
        <w:t>Mur</w:t>
      </w:r>
      <w:r w:rsidRPr="008F03E5">
        <w:rPr>
          <w:u w:val="single"/>
        </w:rPr>
        <w:t>gh</w:t>
      </w:r>
      <w:r w:rsidRPr="008F03E5">
        <w:tab/>
        <w:t xml:space="preserve">Pers. a bird, fowl; anything flying either on the wings as a bee or by means of membranes as a bat; the sun; a lump or branched stick of ginger.  Name of a market in </w:t>
      </w:r>
      <w:r w:rsidRPr="008F03E5">
        <w:rPr>
          <w:u w:val="single"/>
        </w:rPr>
        <w:t>Sh</w:t>
      </w:r>
      <w:r w:rsidRPr="008F03E5">
        <w:t>íráz.</w:t>
      </w:r>
    </w:p>
    <w:p w14:paraId="0E607534" w14:textId="77777777" w:rsidR="00625A5B" w:rsidRPr="008F03E5" w:rsidRDefault="00625A5B" w:rsidP="007D655A">
      <w:pPr>
        <w:pStyle w:val="Translit"/>
      </w:pPr>
      <w:r w:rsidRPr="008F03E5">
        <w:t xml:space="preserve">Murgh-Mahallih </w:t>
      </w:r>
      <w:r>
        <w:t>(</w:t>
      </w:r>
      <w:r w:rsidRPr="008F03E5">
        <w:t>Murgh-Mahallih</w:t>
      </w:r>
      <w:r>
        <w:t>)</w:t>
      </w:r>
      <w:r w:rsidRPr="008F03E5">
        <w:tab/>
        <w:t>Mur</w:t>
      </w:r>
      <w:r w:rsidRPr="008F03E5">
        <w:rPr>
          <w:u w:val="single"/>
        </w:rPr>
        <w:t>gh</w:t>
      </w:r>
      <w:r w:rsidRPr="008F03E5">
        <w:t>-Maḥall</w:t>
      </w:r>
      <w:r>
        <w:t>a</w:t>
      </w:r>
      <w:r w:rsidRPr="008F03E5">
        <w:t>h</w:t>
      </w:r>
      <w:r>
        <w:t xml:space="preserve"> (</w:t>
      </w:r>
      <w:r w:rsidRPr="008F03E5">
        <w:t>Mur</w:t>
      </w:r>
      <w:r w:rsidRPr="008F03E5">
        <w:rPr>
          <w:u w:val="single"/>
        </w:rPr>
        <w:t>gh</w:t>
      </w:r>
      <w:r w:rsidRPr="008F03E5">
        <w:t>-Maḥallih</w:t>
      </w:r>
      <w:r>
        <w:t>)</w:t>
      </w:r>
      <w:r w:rsidRPr="008F03E5">
        <w:tab/>
        <w:t xml:space="preserve">“Abode of the birds”.  Name given by Bahá’u’lláh to a garden belonging to Ḥájí-Báqir on the slopes of Mt Alborz that was the summer residence of Bahá’u’lláh a couple of times.  It is in the </w:t>
      </w:r>
      <w:r w:rsidRPr="008F03E5">
        <w:rPr>
          <w:u w:val="single"/>
        </w:rPr>
        <w:t>Sh</w:t>
      </w:r>
      <w:r w:rsidRPr="008F03E5">
        <w:t xml:space="preserve">imrán </w:t>
      </w:r>
      <w:r>
        <w:t>(</w:t>
      </w:r>
      <w:r w:rsidRPr="008F03E5">
        <w:rPr>
          <w:u w:val="single"/>
        </w:rPr>
        <w:t>Sh</w:t>
      </w:r>
      <w:r w:rsidRPr="008F03E5">
        <w:t xml:space="preserve">imírán or </w:t>
      </w:r>
      <w:r w:rsidRPr="008F03E5">
        <w:rPr>
          <w:u w:val="single"/>
        </w:rPr>
        <w:t>Sh</w:t>
      </w:r>
      <w:r w:rsidRPr="008F03E5">
        <w:t>imránát</w:t>
      </w:r>
      <w:r>
        <w:t>)</w:t>
      </w:r>
      <w:r w:rsidRPr="008F03E5">
        <w:t xml:space="preserve"> district on the north side of Ṭihrán.</w:t>
      </w:r>
    </w:p>
    <w:p w14:paraId="257CFE65" w14:textId="77777777" w:rsidR="00625A5B" w:rsidRPr="004F2E08" w:rsidRDefault="00625A5B" w:rsidP="004F2E08">
      <w:pPr>
        <w:pStyle w:val="Translit"/>
      </w:pPr>
      <w:r w:rsidRPr="004F2E08">
        <w:rPr>
          <w:lang w:val="es-ES_tradnl"/>
        </w:rPr>
        <w:t>Murid, Murida, Muriduna, Muridat</w:t>
      </w:r>
      <w:r w:rsidRPr="004F2E08">
        <w:rPr>
          <w:lang w:val="es-ES_tradnl"/>
        </w:rPr>
        <w:tab/>
      </w:r>
      <w:r>
        <w:rPr>
          <w:lang w:val="es-ES_tradnl"/>
        </w:rPr>
        <w:t>M</w:t>
      </w:r>
      <w:r w:rsidRPr="004F2E08">
        <w:rPr>
          <w:lang w:val="es-ES_tradnl"/>
        </w:rPr>
        <w:t xml:space="preserve">uríd, fem. </w:t>
      </w:r>
      <w:r w:rsidRPr="004F2E08">
        <w:rPr>
          <w:lang w:val="en-AU"/>
        </w:rPr>
        <w:t>Murída[h or t]</w:t>
      </w:r>
      <w:r w:rsidRPr="004F2E08">
        <w:rPr>
          <w:lang w:val="en-AU"/>
        </w:rPr>
        <w:tab/>
      </w:r>
      <w:r w:rsidRPr="004F2E08">
        <w:t>(pl. masc. murídúna, fem.</w:t>
      </w:r>
      <w:r w:rsidRPr="004F2E08">
        <w:rPr>
          <w:rtl/>
          <w:cs/>
        </w:rPr>
        <w:t xml:space="preserve"> </w:t>
      </w:r>
      <w:r w:rsidRPr="004F2E08">
        <w:t>murídát) desirous, willing; a scholar, disciple, the obsequious follower of another.  A Ṣúfí term meaning “one who seeks”, “a novice committed to spiritual enlightenment under a spiritual guide, often from the works of Murshidún”.</w:t>
      </w:r>
    </w:p>
    <w:p w14:paraId="47382C80" w14:textId="77777777" w:rsidR="00625A5B" w:rsidRPr="00D436EB" w:rsidRDefault="00625A5B" w:rsidP="00D436EB">
      <w:pPr>
        <w:pStyle w:val="Translit"/>
      </w:pPr>
      <w:r w:rsidRPr="008F03E5">
        <w:t>Muristus, Murtus</w:t>
      </w:r>
      <w:r>
        <w:t xml:space="preserve"> (Martos)</w:t>
      </w:r>
      <w:r w:rsidRPr="008F03E5">
        <w:tab/>
        <w:t>Múrisṭus (Múrṭus)</w:t>
      </w:r>
      <w:r w:rsidRPr="008F03E5">
        <w:tab/>
      </w:r>
      <w:r>
        <w:t>Arabic name for the p</w:t>
      </w:r>
      <w:r w:rsidRPr="008F03E5">
        <w:t xml:space="preserve">resumed author </w:t>
      </w:r>
      <w:r>
        <w:t xml:space="preserve">(could refer to </w:t>
      </w:r>
      <w:r w:rsidRPr="00D436EB">
        <w:t>Ctesibius</w:t>
      </w:r>
      <w:r>
        <w:t xml:space="preserve"> </w:t>
      </w:r>
      <w:r w:rsidRPr="00D436EB">
        <w:t>of Alexandria or another Greek writer</w:t>
      </w:r>
      <w:r>
        <w:t xml:space="preserve">) </w:t>
      </w:r>
      <w:r w:rsidRPr="008F03E5">
        <w:t xml:space="preserve">of technical treatises on </w:t>
      </w:r>
      <w:r w:rsidRPr="00710E10">
        <w:t>musical pneumatic pipe organs</w:t>
      </w:r>
      <w:r>
        <w:t>, whose sound could travel great distances</w:t>
      </w:r>
      <w:r w:rsidRPr="00D436EB">
        <w:t>.</w:t>
      </w:r>
    </w:p>
    <w:p w14:paraId="51101319" w14:textId="77777777" w:rsidR="00625A5B" w:rsidRPr="008F03E5" w:rsidRDefault="00625A5B" w:rsidP="00EF1C4C">
      <w:pPr>
        <w:pStyle w:val="Translit"/>
      </w:pPr>
      <w:r w:rsidRPr="008F03E5">
        <w:t>Murji’, Murji</w:t>
      </w:r>
      <w:r w:rsidRPr="008F03E5">
        <w:tab/>
        <w:t>Murji’, Murjí</w:t>
      </w:r>
      <w:r w:rsidRPr="008F03E5">
        <w:tab/>
        <w:t>one who delays doing what he promises.</w:t>
      </w:r>
    </w:p>
    <w:p w14:paraId="70B995CC" w14:textId="77777777" w:rsidR="00625A5B" w:rsidRPr="008F03E5" w:rsidRDefault="00625A5B" w:rsidP="00CE6B96">
      <w:pPr>
        <w:pStyle w:val="Translit"/>
      </w:pPr>
      <w:r w:rsidRPr="008F03E5">
        <w:t>Murji’a, Murjiya</w:t>
      </w:r>
      <w:r w:rsidRPr="008F03E5">
        <w:tab/>
        <w:t>Murji’a[t], Murjiya[t]</w:t>
      </w:r>
      <w:r w:rsidRPr="008F03E5">
        <w:tab/>
        <w:t>name of an early Muslim sect who procrastinate, or think good works unnecessary, and faith sufficient.  The attitude of the Imáms of the House of ‘Alí towards passing sentence on the state of a Muslim earned them the designation Murji’a.  al-Murji’a:  Murjites or Murji’ites.  Transcripted in some sources as Mur</w:t>
      </w:r>
      <w:r w:rsidRPr="008F03E5">
        <w:rPr>
          <w:u w:val="single"/>
        </w:rPr>
        <w:t>dj</w:t>
      </w:r>
      <w:r w:rsidRPr="008F03E5">
        <w:t xml:space="preserve">i’a[t].  Contrast with the attitudes of </w:t>
      </w:r>
      <w:r w:rsidRPr="008F03E5">
        <w:rPr>
          <w:rFonts w:eastAsia="Times New Roman"/>
        </w:rPr>
        <w:t>al-Azáriqah.</w:t>
      </w:r>
    </w:p>
    <w:p w14:paraId="1AB4ACA5" w14:textId="77777777" w:rsidR="00625A5B" w:rsidRPr="008F03E5" w:rsidRDefault="00625A5B" w:rsidP="00C211E8">
      <w:pPr>
        <w:pStyle w:val="Translit"/>
      </w:pPr>
      <w:r w:rsidRPr="008F03E5">
        <w:t>Murra</w:t>
      </w:r>
      <w:r w:rsidRPr="008F03E5">
        <w:tab/>
        <w:t>Murra[h or t]</w:t>
      </w:r>
      <w:r w:rsidRPr="008F03E5">
        <w:tab/>
        <w:t>a species of bitter tree or herb; name of a man;—abú murrat, father of bitterness, i.e. the devil</w:t>
      </w:r>
    </w:p>
    <w:p w14:paraId="2050013F" w14:textId="77777777" w:rsidR="00625A5B" w:rsidRPr="008F03E5" w:rsidRDefault="00625A5B" w:rsidP="00B82B70">
      <w:pPr>
        <w:pStyle w:val="Translit"/>
      </w:pPr>
      <w:r w:rsidRPr="001457C8">
        <w:rPr>
          <w:lang w:val="fr-FR"/>
        </w:rPr>
        <w:t>Mursal, Mursala, Mursalun, Marasil</w:t>
      </w:r>
      <w:r w:rsidRPr="001457C8">
        <w:rPr>
          <w:lang w:val="fr-FR"/>
        </w:rPr>
        <w:tab/>
        <w:t xml:space="preserve">Mursal, fem. Mursala[h or t], pl. </w:t>
      </w:r>
      <w:r w:rsidRPr="008F03E5">
        <w:t>Mursalún</w:t>
      </w:r>
      <w:r w:rsidRPr="008F03E5">
        <w:tab/>
        <w:t>sent (to others), sender (of a letter), missive, forwarded; dispatched; a prophet, apostle; delegated; transmitted (radio); long and flowing (hair);—mursalá[h or t] fem. pl. sent; letters, missives;—pl. marásíl, Traditions traced or referred immediately to Muḥammad;—pl. mursalún millionary (consisting of, or relating to, millions) (Christian); incompletely transmitted (of a Prophetic tradition resting on a chain of authorities that lacks the first link)</w:t>
      </w:r>
    </w:p>
    <w:p w14:paraId="384C966B" w14:textId="77777777" w:rsidR="00625A5B" w:rsidRPr="008F03E5" w:rsidRDefault="00625A5B" w:rsidP="001A3B1D">
      <w:pPr>
        <w:pStyle w:val="Translit"/>
      </w:pPr>
      <w:r w:rsidRPr="008F03E5">
        <w:t>Murshid, Murshida, Mushidun</w:t>
      </w:r>
      <w:r w:rsidRPr="008F03E5">
        <w:tab/>
        <w:t>Mur</w:t>
      </w:r>
      <w:r w:rsidRPr="008F03E5">
        <w:rPr>
          <w:u w:val="single"/>
        </w:rPr>
        <w:t>sh</w:t>
      </w:r>
      <w:r w:rsidRPr="008F03E5">
        <w:t>id, fem. Mur</w:t>
      </w:r>
      <w:r w:rsidRPr="008F03E5">
        <w:rPr>
          <w:u w:val="single"/>
        </w:rPr>
        <w:t>sh</w:t>
      </w:r>
      <w:r w:rsidRPr="008F03E5">
        <w:t>ida, pl. Mur</w:t>
      </w:r>
      <w:r w:rsidRPr="008F03E5">
        <w:rPr>
          <w:u w:val="single"/>
        </w:rPr>
        <w:t>sh</w:t>
      </w:r>
      <w:r w:rsidRPr="008F03E5">
        <w:t>idún</w:t>
      </w:r>
      <w:r w:rsidRPr="008F03E5">
        <w:tab/>
        <w:t>leader; guide to the right way; adviser; spiritual guide; informer; instructor</w:t>
      </w:r>
    </w:p>
    <w:p w14:paraId="6D335A1D" w14:textId="77777777" w:rsidR="00625A5B" w:rsidRPr="008F03E5" w:rsidRDefault="00625A5B" w:rsidP="00452159">
      <w:pPr>
        <w:pStyle w:val="Translit"/>
      </w:pPr>
      <w:r w:rsidRPr="008F03E5">
        <w:t>Murtada (Murtida, Murtaza)</w:t>
      </w:r>
      <w:r w:rsidRPr="008F03E5">
        <w:tab/>
        <w:t>Murtaḍá (Murtaẓa)</w:t>
      </w:r>
      <w:r w:rsidRPr="008F03E5">
        <w:tab/>
        <w:t>agreeable; chosen, approved; a title of ‘Alí (ḍ or ẓ depends on transcription used).  Abú al-Qásim ‘Alí ibn Ḥusayn a</w:t>
      </w:r>
      <w:r w:rsidRPr="008F03E5">
        <w:rPr>
          <w:u w:val="single"/>
        </w:rPr>
        <w:t>sh</w:t>
      </w:r>
      <w:r w:rsidRPr="008F03E5">
        <w:t>-</w:t>
      </w:r>
      <w:r w:rsidRPr="008F03E5">
        <w:rPr>
          <w:u w:val="single"/>
        </w:rPr>
        <w:t>Sh</w:t>
      </w:r>
      <w:r w:rsidRPr="008F03E5">
        <w:t xml:space="preserve">aríf al-Murtaḍá (965–1044) acquired the epithet of “‘Alam al-Hudá” (“The banner of guidance”), was one of the greatest </w:t>
      </w:r>
      <w:r w:rsidRPr="008F03E5">
        <w:rPr>
          <w:u w:val="single"/>
        </w:rPr>
        <w:t>Sh</w:t>
      </w:r>
      <w:r w:rsidRPr="008F03E5">
        <w:t>í‘a scholars of his time.</w:t>
      </w:r>
    </w:p>
    <w:p w14:paraId="6615032B" w14:textId="77777777" w:rsidR="00625A5B" w:rsidRPr="008F03E5" w:rsidRDefault="00625A5B" w:rsidP="00900A82">
      <w:pPr>
        <w:pStyle w:val="Translit"/>
      </w:pPr>
      <w:r w:rsidRPr="008F03E5">
        <w:t>Murtada-Quli</w:t>
      </w:r>
      <w:r w:rsidRPr="008F03E5">
        <w:tab/>
        <w:t>Murtaḍá-Qulí</w:t>
      </w:r>
      <w:r w:rsidRPr="008F03E5">
        <w:tab/>
      </w:r>
    </w:p>
    <w:p w14:paraId="4F277365" w14:textId="77777777" w:rsidR="00625A5B" w:rsidRPr="008F03E5" w:rsidRDefault="00625A5B" w:rsidP="00900A82">
      <w:pPr>
        <w:pStyle w:val="Translit"/>
      </w:pPr>
      <w:r w:rsidRPr="008F03E5">
        <w:t>Murtaday-i-Ansari</w:t>
      </w:r>
      <w:r w:rsidRPr="008F03E5">
        <w:tab/>
        <w:t xml:space="preserve">Murtaḍáy-i-Anṣárí, </w:t>
      </w:r>
      <w:r w:rsidRPr="008F03E5">
        <w:rPr>
          <w:u w:val="single"/>
        </w:rPr>
        <w:t>Sh</w:t>
      </w:r>
      <w:r w:rsidRPr="008F03E5">
        <w:t>ay</w:t>
      </w:r>
      <w:r w:rsidRPr="008F03E5">
        <w:rPr>
          <w:u w:val="single"/>
        </w:rPr>
        <w:t>kh</w:t>
      </w:r>
      <w:r w:rsidRPr="008F03E5">
        <w:tab/>
      </w:r>
    </w:p>
    <w:p w14:paraId="3782BD50" w14:textId="77777777" w:rsidR="00625A5B" w:rsidRPr="008F03E5" w:rsidRDefault="00625A5B" w:rsidP="003C55E5">
      <w:pPr>
        <w:pStyle w:val="Translit"/>
      </w:pPr>
      <w:r w:rsidRPr="008F03E5">
        <w:t>Murtadi (Murtazi)</w:t>
      </w:r>
      <w:r w:rsidRPr="008F03E5">
        <w:tab/>
        <w:t>Murtaḍí (Murtaẓí)</w:t>
      </w:r>
      <w:r w:rsidRPr="008F03E5">
        <w:tab/>
        <w:t>Pers. one who makes choice of, or approves; content, satisfied; belonging or referring to ‘Alí (ḍ or ẓ depends on transcription used)</w:t>
      </w:r>
    </w:p>
    <w:p w14:paraId="2DA574D0" w14:textId="77777777" w:rsidR="00625A5B" w:rsidRPr="008F03E5" w:rsidRDefault="00625A5B" w:rsidP="00557F23">
      <w:pPr>
        <w:pStyle w:val="Translit"/>
      </w:pPr>
      <w:r w:rsidRPr="008F03E5">
        <w:t>Murtash</w:t>
      </w:r>
      <w:r w:rsidRPr="008F03E5">
        <w:tab/>
        <w:t>Murtá</w:t>
      </w:r>
      <w:r w:rsidRPr="008F03E5">
        <w:rPr>
          <w:u w:val="single"/>
        </w:rPr>
        <w:t>sh</w:t>
      </w:r>
      <w:r w:rsidRPr="008F03E5">
        <w:tab/>
        <w:t>in good condition, in easy circumstances (whose nest is well-feathered)</w:t>
      </w:r>
    </w:p>
    <w:p w14:paraId="3F7F25BB" w14:textId="77777777" w:rsidR="00625A5B" w:rsidRPr="008F03E5" w:rsidRDefault="00625A5B" w:rsidP="00847934">
      <w:pPr>
        <w:pStyle w:val="Translit"/>
      </w:pPr>
      <w:r w:rsidRPr="008F03E5">
        <w:t>Murtus, Mirtus, Muristus</w:t>
      </w:r>
      <w:r w:rsidRPr="008F03E5">
        <w:tab/>
        <w:t>Múrṭus, Mírṭus, Múrisṭus</w:t>
      </w:r>
      <w:r w:rsidRPr="008F03E5">
        <w:tab/>
        <w:t>inventer of organ-like intruments (in particular the hydraulis), who is mentioned in medieval Arabic sources.  Possible Arabic name for Ctesibius (or Ktesibios) of Alexandria.</w:t>
      </w:r>
    </w:p>
    <w:p w14:paraId="0BD74C6E" w14:textId="77777777" w:rsidR="00625A5B" w:rsidRPr="008F03E5" w:rsidRDefault="00625A5B" w:rsidP="00F54020">
      <w:pPr>
        <w:pStyle w:val="Translit"/>
      </w:pPr>
      <w:r w:rsidRPr="008F03E5">
        <w:t>Mus’ab</w:t>
      </w:r>
      <w:r w:rsidRPr="008F03E5">
        <w:tab/>
        <w:t>Muṣ‘ab</w:t>
      </w:r>
      <w:r w:rsidRPr="008F03E5">
        <w:tab/>
        <w:t>male camel</w:t>
      </w:r>
    </w:p>
    <w:p w14:paraId="5D9BD51A" w14:textId="77777777" w:rsidR="00625A5B" w:rsidRPr="008F03E5" w:rsidRDefault="00625A5B" w:rsidP="00900A82">
      <w:pPr>
        <w:pStyle w:val="Translit"/>
      </w:pPr>
      <w:r w:rsidRPr="008F03E5">
        <w:t>Musa Banani</w:t>
      </w:r>
      <w:r w:rsidRPr="008F03E5">
        <w:tab/>
        <w:t>Músá Banání</w:t>
      </w:r>
      <w:r w:rsidRPr="008F03E5">
        <w:tab/>
      </w:r>
    </w:p>
    <w:p w14:paraId="3E4B28AD" w14:textId="77777777" w:rsidR="00625A5B" w:rsidRPr="008F03E5" w:rsidRDefault="00625A5B" w:rsidP="00E57E7F">
      <w:pPr>
        <w:pStyle w:val="Translit"/>
      </w:pPr>
      <w:r w:rsidRPr="008F03E5">
        <w:t>Musa, Mawasi, Mawasin, Amwas</w:t>
      </w:r>
      <w:r w:rsidRPr="008F03E5">
        <w:tab/>
        <w:t>Músá, pl. Mawásí</w:t>
      </w:r>
      <w:r w:rsidRPr="008F03E5">
        <w:tab/>
        <w:t>Moses; a razor; the apex of the crest of a helmet.  Fem. músá, pl. mawásin, amwás, straight razor.  Bahá’u’lláh’s faithful brother, Jináb Mírzá Músá (he was known as Áqáy-i-Kalím).</w:t>
      </w:r>
    </w:p>
    <w:p w14:paraId="646453B4" w14:textId="77777777" w:rsidR="00625A5B" w:rsidRPr="008F03E5" w:rsidRDefault="00625A5B" w:rsidP="00BF0F0E">
      <w:pPr>
        <w:pStyle w:val="Translit"/>
      </w:pPr>
      <w:r w:rsidRPr="008F03E5">
        <w:t>Musaddaq (Musaddagh, Mosaddagh)</w:t>
      </w:r>
      <w:r w:rsidRPr="008F03E5">
        <w:tab/>
        <w:t>Muṣaddaq</w:t>
      </w:r>
      <w:r w:rsidRPr="008F03E5">
        <w:tab/>
        <w:t>verified, proved true; believed; affirmed</w:t>
      </w:r>
    </w:p>
    <w:p w14:paraId="77EC1EF1" w14:textId="77777777" w:rsidR="00625A5B" w:rsidRPr="008F03E5" w:rsidRDefault="00625A5B" w:rsidP="0073130F">
      <w:pPr>
        <w:pStyle w:val="Translit"/>
      </w:pPr>
      <w:r w:rsidRPr="008F03E5">
        <w:t>Musaddas</w:t>
      </w:r>
      <w:r w:rsidRPr="008F03E5">
        <w:tab/>
        <w:t>Musaddas</w:t>
      </w:r>
      <w:r w:rsidRPr="008F03E5">
        <w:tab/>
        <w:t>composed of six; verse consisting of six lines, hexameter; six-sided, hexagonal; cubic; a cube, hexagon</w:t>
      </w:r>
    </w:p>
    <w:p w14:paraId="386BFBBD" w14:textId="77777777" w:rsidR="00625A5B" w:rsidRPr="008F03E5" w:rsidRDefault="00625A5B" w:rsidP="00BF0F0E">
      <w:pPr>
        <w:pStyle w:val="Translit"/>
      </w:pPr>
      <w:r w:rsidRPr="008F03E5">
        <w:t>Musaddiq (Musaddegh, Mosaddegh)</w:t>
      </w:r>
      <w:r w:rsidRPr="008F03E5">
        <w:tab/>
        <w:t>Muṣaddiq</w:t>
      </w:r>
      <w:r w:rsidRPr="008F03E5">
        <w:tab/>
        <w:t>a verifier, affirmer; one who believes another; a receiver or collector of alms, or whatever is due to God; one who bestows alms or asks for such</w:t>
      </w:r>
    </w:p>
    <w:p w14:paraId="21A542A0" w14:textId="77777777" w:rsidR="00625A5B" w:rsidRPr="008F03E5" w:rsidRDefault="00625A5B" w:rsidP="00CC5AFF">
      <w:pPr>
        <w:pStyle w:val="Translit"/>
      </w:pPr>
      <w:r w:rsidRPr="008F03E5">
        <w:t>Musafahah, Musafihih</w:t>
      </w:r>
      <w:r w:rsidRPr="008F03E5">
        <w:tab/>
        <w:t>Muṣáfaḥah, Pers. Muṣáfiḥih</w:t>
      </w:r>
      <w:r w:rsidRPr="008F03E5">
        <w:tab/>
        <w:t>shaking hands and/or touching cheeks—welcome or acceptance of an agreement.  The Arabic form of greeting, later adopted by the Persians, of embracing and touching the right cheeks and then the left cheeks.</w:t>
      </w:r>
    </w:p>
    <w:p w14:paraId="5BF9BA1B" w14:textId="77777777" w:rsidR="00625A5B" w:rsidRPr="008F03E5" w:rsidRDefault="00625A5B" w:rsidP="007D4F7D">
      <w:pPr>
        <w:pStyle w:val="Translit"/>
      </w:pPr>
      <w:r w:rsidRPr="008F03E5">
        <w:t>Musafir Khanih</w:t>
      </w:r>
      <w:r w:rsidRPr="008F03E5">
        <w:tab/>
        <w:t xml:space="preserve">Musáfir </w:t>
      </w:r>
      <w:r w:rsidRPr="008F03E5">
        <w:rPr>
          <w:u w:val="single"/>
        </w:rPr>
        <w:t>Kh</w:t>
      </w:r>
      <w:r w:rsidRPr="008F03E5">
        <w:t>ánih</w:t>
      </w:r>
      <w:r w:rsidRPr="008F03E5">
        <w:tab/>
        <w:t>[Mossafer or Mosafer Kaneh]—Persian Hospice for men or Pilgrim House (Guest House)</w:t>
      </w:r>
    </w:p>
    <w:p w14:paraId="166590AD" w14:textId="77777777" w:rsidR="00625A5B" w:rsidRPr="008F03E5" w:rsidRDefault="00625A5B" w:rsidP="00E84DDD">
      <w:pPr>
        <w:pStyle w:val="Translit"/>
      </w:pPr>
      <w:r w:rsidRPr="008F03E5">
        <w:t>Musafir</w:t>
      </w:r>
      <w:r w:rsidRPr="008F03E5">
        <w:tab/>
        <w:t>Musáfir, pl. Musáfirún</w:t>
      </w:r>
      <w:r w:rsidRPr="008F03E5">
        <w:tab/>
        <w:t>a traveller, passenger, temporary sojourner, visiting stranger</w:t>
      </w:r>
    </w:p>
    <w:p w14:paraId="516C01C8" w14:textId="77777777" w:rsidR="00625A5B" w:rsidRPr="008F03E5" w:rsidRDefault="00625A5B" w:rsidP="00C54E07">
      <w:pPr>
        <w:pStyle w:val="Translit"/>
      </w:pPr>
      <w:r w:rsidRPr="008F03E5">
        <w:t>Musaghghara</w:t>
      </w:r>
      <w:r w:rsidRPr="008F03E5">
        <w:tab/>
        <w:t>Muṣa</w:t>
      </w:r>
      <w:r w:rsidRPr="008F03E5">
        <w:rPr>
          <w:u w:val="single"/>
        </w:rPr>
        <w:t>ghgh</w:t>
      </w:r>
      <w:r w:rsidRPr="008F03E5">
        <w:t>ara[h]</w:t>
      </w:r>
      <w:r w:rsidRPr="008F03E5">
        <w:tab/>
        <w:t>on a reduced scale, in miniature; (a noun) put into the diminutive form</w:t>
      </w:r>
    </w:p>
    <w:p w14:paraId="378D33B1" w14:textId="77777777" w:rsidR="00625A5B" w:rsidRPr="008F03E5" w:rsidRDefault="00625A5B" w:rsidP="00C84644">
      <w:pPr>
        <w:pStyle w:val="Translit"/>
      </w:pPr>
      <w:r w:rsidRPr="008F03E5">
        <w:t>Musakhkhir, Musakhkhirun</w:t>
      </w:r>
      <w:r w:rsidRPr="008F03E5">
        <w:tab/>
        <w:t>Musa</w:t>
      </w:r>
      <w:r w:rsidRPr="008F03E5">
        <w:rPr>
          <w:u w:val="single"/>
        </w:rPr>
        <w:t>khkh</w:t>
      </w:r>
      <w:r w:rsidRPr="008F03E5">
        <w:t>ir, pl. Musa</w:t>
      </w:r>
      <w:r w:rsidRPr="008F03E5">
        <w:rPr>
          <w:u w:val="single"/>
        </w:rPr>
        <w:t>khkh</w:t>
      </w:r>
      <w:r w:rsidRPr="008F03E5">
        <w:t>irún</w:t>
      </w:r>
      <w:r w:rsidRPr="008F03E5">
        <w:tab/>
        <w:t>oppressor; one who compels to work for nothing; a taker (of a town); a subduer, breaker in; spirit-subduer.  For example, a wakil (“authorized representative”) musa</w:t>
      </w:r>
      <w:r w:rsidRPr="008F03E5">
        <w:rPr>
          <w:u w:val="single"/>
        </w:rPr>
        <w:t>khkh</w:t>
      </w:r>
      <w:r w:rsidRPr="008F03E5">
        <w:t>ir is appointed by a judge to represent a defendant (to subdue the plaintiff’s case?) who fails to appear at a court.</w:t>
      </w:r>
    </w:p>
    <w:p w14:paraId="3F04E591" w14:textId="77777777" w:rsidR="00625A5B" w:rsidRPr="008F03E5" w:rsidRDefault="00625A5B" w:rsidP="006100F0">
      <w:pPr>
        <w:pStyle w:val="Translit"/>
      </w:pPr>
      <w:r w:rsidRPr="008F03E5">
        <w:t>Musalla</w:t>
      </w:r>
      <w:r w:rsidRPr="008F03E5">
        <w:tab/>
        <w:t>Muṣallá</w:t>
      </w:r>
      <w:r w:rsidRPr="008F03E5">
        <w:tab/>
        <w:t xml:space="preserve">(Mosallah). prayed; merciful, propitious (God); an oratory, pulpit; a carpet for praying upon; name of a place (open space outside a mosque used for prayer).  Musalla Gardens, </w:t>
      </w:r>
      <w:r w:rsidRPr="008F03E5">
        <w:rPr>
          <w:u w:val="single"/>
        </w:rPr>
        <w:t>Sh</w:t>
      </w:r>
      <w:r w:rsidRPr="008F03E5">
        <w:t>íraz were much celebrated by the poet Ḥáfiẓ—he was buried there.  A mosque in Yazd (</w:t>
      </w:r>
      <w:r w:rsidRPr="008F03E5">
        <w:rPr>
          <w:rFonts w:eastAsia="Times New Roman"/>
        </w:rPr>
        <w:t>M</w:t>
      </w:r>
      <w:r w:rsidRPr="008F03E5">
        <w:t>asjid Jámi‘?).</w:t>
      </w:r>
    </w:p>
    <w:p w14:paraId="39E7C477" w14:textId="77777777" w:rsidR="00625A5B" w:rsidRPr="008F03E5" w:rsidRDefault="00625A5B" w:rsidP="00D526BE">
      <w:pPr>
        <w:pStyle w:val="Translit"/>
      </w:pPr>
      <w:r w:rsidRPr="008F03E5">
        <w:t>Musallam</w:t>
      </w:r>
      <w:r w:rsidRPr="008F03E5">
        <w:tab/>
        <w:t>Musallam</w:t>
      </w:r>
      <w:r w:rsidRPr="008F03E5">
        <w:tab/>
        <w:t>unimpaired, intact, unblemished, flawless</w:t>
      </w:r>
    </w:p>
    <w:p w14:paraId="0B68EC70" w14:textId="77777777" w:rsidR="00625A5B" w:rsidRPr="008F03E5" w:rsidRDefault="00625A5B" w:rsidP="00DF08A5">
      <w:pPr>
        <w:pStyle w:val="Translit"/>
      </w:pPr>
      <w:r w:rsidRPr="00077779">
        <w:rPr>
          <w:lang w:val="es-ES_tradnl"/>
        </w:rPr>
        <w:t>Musar (Musir), Musarun, Mayasir</w:t>
      </w:r>
      <w:r w:rsidRPr="00077779">
        <w:rPr>
          <w:lang w:val="es-ES_tradnl"/>
        </w:rPr>
        <w:tab/>
        <w:t xml:space="preserve">Músar, pl. </w:t>
      </w:r>
      <w:r w:rsidRPr="008F03E5">
        <w:t>Músarún, Mayásír</w:t>
      </w:r>
      <w:r w:rsidRPr="008F03E5">
        <w:tab/>
        <w:t>prosperous, well-to-do, wealthy, rich</w:t>
      </w:r>
    </w:p>
    <w:p w14:paraId="53434B0B" w14:textId="77777777" w:rsidR="00625A5B" w:rsidRPr="008F03E5" w:rsidRDefault="00625A5B" w:rsidP="00EA77D1">
      <w:pPr>
        <w:pStyle w:val="Translit"/>
      </w:pPr>
      <w:r w:rsidRPr="008F03E5">
        <w:t>Musawa, Musawat (Musavat)</w:t>
      </w:r>
      <w:r w:rsidRPr="008F03E5">
        <w:tab/>
        <w:t>Musáwá[h]</w:t>
      </w:r>
      <w:r w:rsidRPr="008F03E5">
        <w:tab/>
      </w:r>
      <w:r w:rsidRPr="008F03E5">
        <w:rPr>
          <w:rFonts w:eastAsia="PMingLiU"/>
          <w:lang w:eastAsia="zh-TW"/>
        </w:rPr>
        <w:t>(</w:t>
      </w:r>
      <w:r>
        <w:t>convention, m</w:t>
      </w:r>
      <w:r w:rsidRPr="008F03E5">
        <w:t>usáwá</w:t>
      </w:r>
      <w:r>
        <w:t xml:space="preserve"> or m</w:t>
      </w:r>
      <w:r w:rsidRPr="008F03E5">
        <w:t>usáwáh</w:t>
      </w:r>
      <w:r>
        <w:t>, but is pronounced m</w:t>
      </w:r>
      <w:r w:rsidRPr="008F03E5">
        <w:t>usáwá</w:t>
      </w:r>
      <w:r>
        <w:rPr>
          <w:rFonts w:eastAsia="PMingLiU"/>
          <w:lang w:eastAsia="zh-TW"/>
        </w:rPr>
        <w:t>t</w:t>
      </w:r>
      <w:r>
        <w:t xml:space="preserve"> when in combination with a word starting with a vowel, e.g. al-) </w:t>
      </w:r>
      <w:r w:rsidRPr="008F03E5">
        <w:t>equality, equivalence; equal rights, equality before the law; settlement.  T</w:t>
      </w:r>
      <w:r w:rsidRPr="008F03E5">
        <w:rPr>
          <w:lang w:eastAsia="en-US"/>
        </w:rPr>
        <w:t>reating others equally to oneself</w:t>
      </w:r>
      <w:r w:rsidRPr="008F03E5">
        <w:t xml:space="preserve">.  See </w:t>
      </w:r>
      <w:r>
        <w:t xml:space="preserve">comment for </w:t>
      </w:r>
      <w:r w:rsidRPr="008F03E5">
        <w:t>muwásá.</w:t>
      </w:r>
    </w:p>
    <w:p w14:paraId="57A2D457" w14:textId="77777777" w:rsidR="00625A5B" w:rsidRPr="008F03E5" w:rsidRDefault="00625A5B" w:rsidP="00C86489">
      <w:pPr>
        <w:pStyle w:val="Translit"/>
      </w:pPr>
      <w:r w:rsidRPr="008F03E5">
        <w:t>Musawi</w:t>
      </w:r>
      <w:r w:rsidRPr="008F03E5">
        <w:tab/>
        <w:t>Músawí</w:t>
      </w:r>
      <w:r w:rsidRPr="008F03E5">
        <w:tab/>
        <w:t>Mosaic(al).  Abu’l-Ḥasan Muḥammad ibn al-Ḥusayn al-Músawí, known as a</w:t>
      </w:r>
      <w:r w:rsidRPr="008F03E5">
        <w:rPr>
          <w:u w:val="single"/>
        </w:rPr>
        <w:t>sh</w:t>
      </w:r>
      <w:r w:rsidRPr="008F03E5">
        <w:t>-</w:t>
      </w:r>
      <w:r w:rsidRPr="008F03E5">
        <w:rPr>
          <w:u w:val="single"/>
        </w:rPr>
        <w:t>Sh</w:t>
      </w:r>
      <w:r w:rsidRPr="008F03E5">
        <w:t>aríf a</w:t>
      </w:r>
      <w:r>
        <w:t>r</w:t>
      </w:r>
      <w:r w:rsidRPr="008F03E5">
        <w:t>-Raḍí (Pers. alt. Sharif Razi) (970–1015) was a Shi’ite Muslim scholar and poet.</w:t>
      </w:r>
    </w:p>
    <w:p w14:paraId="1CB8E44D" w14:textId="77777777" w:rsidR="00625A5B" w:rsidRPr="008F03E5" w:rsidRDefault="00625A5B" w:rsidP="00E43613">
      <w:pPr>
        <w:pStyle w:val="Translit"/>
      </w:pPr>
      <w:r w:rsidRPr="008F03E5">
        <w:t>Musawwad, Musawwada, Musawadda</w:t>
      </w:r>
      <w:r w:rsidRPr="008F03E5">
        <w:tab/>
        <w:t>Musawwad</w:t>
      </w:r>
      <w:r w:rsidRPr="008F03E5">
        <w:tab/>
        <w:t>fem. Musawwada[t], Musawadda[t] blackened; made a chief; a black thing; a note or memorandum-book, the first sketch, draft, conception or rough draft of anything with many blottings and corrections; a rough copy; rough sketch, notes; day-book</w:t>
      </w:r>
    </w:p>
    <w:p w14:paraId="7C1B1784" w14:textId="77777777" w:rsidR="00625A5B" w:rsidRPr="008F03E5" w:rsidRDefault="00625A5B" w:rsidP="00D25C43">
      <w:pPr>
        <w:pStyle w:val="Translit"/>
      </w:pPr>
      <w:r w:rsidRPr="008F03E5">
        <w:t>Musawwir, Musawwira</w:t>
      </w:r>
      <w:r w:rsidRPr="008F03E5">
        <w:tab/>
        <w:t>Muṣawwir, pl. Muṣawwirát</w:t>
      </w:r>
      <w:r w:rsidRPr="008F03E5">
        <w:tab/>
        <w:t>former, shaper, fashioner, creator; painter; photographer; cameraman (motion pictures); draftsman, commercial artist, illustrator</w:t>
      </w:r>
    </w:p>
    <w:p w14:paraId="36620FFA" w14:textId="77777777" w:rsidR="00625A5B" w:rsidRPr="001457C8" w:rsidRDefault="00625A5B" w:rsidP="002169A2">
      <w:pPr>
        <w:pStyle w:val="Translit"/>
        <w:rPr>
          <w:lang w:val="it-IT"/>
        </w:rPr>
      </w:pPr>
      <w:r w:rsidRPr="001457C8">
        <w:rPr>
          <w:lang w:val="it-IT"/>
        </w:rPr>
        <w:t>Musay-i-Qumi</w:t>
      </w:r>
      <w:r w:rsidRPr="001457C8">
        <w:rPr>
          <w:lang w:val="it-IT"/>
        </w:rPr>
        <w:tab/>
        <w:t>Músáy-i-Qumí</w:t>
      </w:r>
      <w:r w:rsidRPr="001457C8">
        <w:rPr>
          <w:lang w:val="it-IT"/>
        </w:rPr>
        <w:tab/>
      </w:r>
    </w:p>
    <w:p w14:paraId="6B0BA862" w14:textId="77777777" w:rsidR="00625A5B" w:rsidRPr="008F03E5" w:rsidRDefault="00625A5B" w:rsidP="000A7906">
      <w:pPr>
        <w:pStyle w:val="Translit"/>
      </w:pPr>
      <w:r w:rsidRPr="008F03E5">
        <w:t>Musaylima (Musailima)</w:t>
      </w:r>
      <w:r w:rsidRPr="008F03E5">
        <w:tab/>
        <w:t>Musaylima[h or t]</w:t>
      </w:r>
      <w:r w:rsidRPr="008F03E5">
        <w:tab/>
        <w:t>“name” of a famous impostor, and “rival” of Muḥammad.  See Maslama.</w:t>
      </w:r>
    </w:p>
    <w:p w14:paraId="3947AB24" w14:textId="77777777" w:rsidR="00625A5B" w:rsidRDefault="00625A5B" w:rsidP="005E4AEA">
      <w:pPr>
        <w:pStyle w:val="Translit"/>
      </w:pPr>
      <w:r>
        <w:t>Musayyib</w:t>
      </w:r>
      <w:r>
        <w:tab/>
        <w:t>Musayyib</w:t>
      </w:r>
      <w:r>
        <w:tab/>
        <w:t>al-Musayyib is a town (</w:t>
      </w:r>
      <w:r w:rsidRPr="005E4AEA">
        <w:t>32.764890, 44.281026</w:t>
      </w:r>
      <w:r>
        <w:t>) on the left bank of the Euphrates River south of Baghdad.</w:t>
      </w:r>
    </w:p>
    <w:p w14:paraId="0D7D615E" w14:textId="77777777" w:rsidR="00625A5B" w:rsidRPr="008F03E5" w:rsidRDefault="00625A5B" w:rsidP="0079026E">
      <w:pPr>
        <w:pStyle w:val="Translit"/>
      </w:pPr>
      <w:r w:rsidRPr="008F03E5">
        <w:t>Musha’arat, Musha’ara (Musha’arih)</w:t>
      </w:r>
      <w:r w:rsidRPr="008F03E5">
        <w:tab/>
        <w:t>Mu</w:t>
      </w:r>
      <w:r w:rsidRPr="008F03E5">
        <w:rPr>
          <w:u w:val="single"/>
        </w:rPr>
        <w:t>sh</w:t>
      </w:r>
      <w:r w:rsidRPr="008F03E5">
        <w:t>á‘arat, Mu</w:t>
      </w:r>
      <w:r w:rsidRPr="008F03E5">
        <w:rPr>
          <w:u w:val="single"/>
        </w:rPr>
        <w:t>sh</w:t>
      </w:r>
      <w:r w:rsidRPr="008F03E5">
        <w:t>á‘ara</w:t>
      </w:r>
      <w:r w:rsidRPr="008F03E5">
        <w:tab/>
        <w:t>Pers. contending with, or excelling in poetry</w:t>
      </w:r>
    </w:p>
    <w:p w14:paraId="1E0D0C19" w14:textId="77777777" w:rsidR="00625A5B" w:rsidRPr="008F03E5" w:rsidRDefault="00625A5B" w:rsidP="00A56972">
      <w:pPr>
        <w:pStyle w:val="Translit"/>
      </w:pPr>
      <w:r w:rsidRPr="008F03E5">
        <w:t>Mushabaha, Mushabahat</w:t>
      </w:r>
      <w:r w:rsidRPr="008F03E5">
        <w:tab/>
        <w:t>Mu</w:t>
      </w:r>
      <w:r w:rsidRPr="008F03E5">
        <w:rPr>
          <w:u w:val="single"/>
        </w:rPr>
        <w:t>sh</w:t>
      </w:r>
      <w:r w:rsidRPr="008F03E5">
        <w:t>ábaha[t], pl. Mu</w:t>
      </w:r>
      <w:r w:rsidRPr="008F03E5">
        <w:rPr>
          <w:u w:val="single"/>
        </w:rPr>
        <w:t>sh</w:t>
      </w:r>
      <w:r w:rsidRPr="008F03E5">
        <w:t>ábahát</w:t>
      </w:r>
      <w:r w:rsidRPr="008F03E5">
        <w:tab/>
        <w:t>resemblance, similarity, likeness</w:t>
      </w:r>
    </w:p>
    <w:p w14:paraId="7595D05A" w14:textId="77777777" w:rsidR="00625A5B" w:rsidRPr="008F03E5" w:rsidRDefault="00625A5B" w:rsidP="00252C28">
      <w:pPr>
        <w:pStyle w:val="Translit"/>
      </w:pPr>
      <w:r w:rsidRPr="008F03E5">
        <w:t>Musharraf, Musharrafa</w:t>
      </w:r>
      <w:r w:rsidRPr="008F03E5">
        <w:tab/>
        <w:t>Mu</w:t>
      </w:r>
      <w:r w:rsidRPr="008F03E5">
        <w:rPr>
          <w:u w:val="single"/>
        </w:rPr>
        <w:t>sh</w:t>
      </w:r>
      <w:r w:rsidRPr="008F03E5">
        <w:t>arraf, fem. Mu</w:t>
      </w:r>
      <w:r w:rsidRPr="008F03E5">
        <w:rPr>
          <w:u w:val="single"/>
        </w:rPr>
        <w:t>sh</w:t>
      </w:r>
      <w:r w:rsidRPr="008F03E5">
        <w:t>arrafa[h or t]</w:t>
      </w:r>
      <w:r w:rsidRPr="008F03E5">
        <w:tab/>
        <w:t>exalted, honoured, ennobled; (a house) ornamented with pinnacles, turrets, or battlements; a margin, brink, edge; —mu</w:t>
      </w:r>
      <w:r w:rsidRPr="008F03E5">
        <w:rPr>
          <w:u w:val="single"/>
        </w:rPr>
        <w:t>sh</w:t>
      </w:r>
      <w:r w:rsidRPr="008F03E5">
        <w:t>arrif, one who exalts, etc.</w:t>
      </w:r>
    </w:p>
    <w:p w14:paraId="0F671285" w14:textId="77777777" w:rsidR="00625A5B" w:rsidRPr="008F03E5" w:rsidRDefault="00625A5B" w:rsidP="002A2348">
      <w:pPr>
        <w:pStyle w:val="Translit"/>
      </w:pPr>
      <w:r w:rsidRPr="008F03E5">
        <w:t>Mushawar (Mushavar), Mushawir</w:t>
      </w:r>
      <w:r w:rsidRPr="008F03E5">
        <w:tab/>
        <w:t>Mu</w:t>
      </w:r>
      <w:r w:rsidRPr="008F03E5">
        <w:rPr>
          <w:u w:val="single"/>
        </w:rPr>
        <w:t>sh</w:t>
      </w:r>
      <w:r w:rsidRPr="008F03E5">
        <w:t>áwar</w:t>
      </w:r>
      <w:r w:rsidRPr="008F03E5">
        <w:tab/>
        <w:t>adviser, counsellor.  Mu</w:t>
      </w:r>
      <w:r w:rsidRPr="008F03E5">
        <w:rPr>
          <w:u w:val="single"/>
        </w:rPr>
        <w:t>sh</w:t>
      </w:r>
      <w:r w:rsidRPr="008F03E5">
        <w:t>áwir is seeker of advice or counsel.</w:t>
      </w:r>
    </w:p>
    <w:p w14:paraId="003E3B88" w14:textId="77777777" w:rsidR="00625A5B" w:rsidRPr="008F03E5" w:rsidRDefault="00625A5B" w:rsidP="00116F9C">
      <w:pPr>
        <w:pStyle w:val="Translit"/>
      </w:pPr>
      <w:r w:rsidRPr="008F03E5">
        <w:t>Mushir</w:t>
      </w:r>
      <w:r w:rsidRPr="008F03E5">
        <w:tab/>
        <w:t>Mu</w:t>
      </w:r>
      <w:r w:rsidRPr="008F03E5">
        <w:rPr>
          <w:u w:val="single"/>
        </w:rPr>
        <w:t>sh</w:t>
      </w:r>
      <w:r w:rsidRPr="008F03E5">
        <w:t>ír</w:t>
      </w:r>
      <w:r w:rsidRPr="008F03E5">
        <w:tab/>
        <w:t>indicative (of); adviser, counsellor, consultant</w:t>
      </w:r>
    </w:p>
    <w:p w14:paraId="6E7E8142" w14:textId="77777777" w:rsidR="00625A5B" w:rsidRPr="008F03E5" w:rsidRDefault="00625A5B" w:rsidP="00900A82">
      <w:pPr>
        <w:pStyle w:val="Translit"/>
      </w:pPr>
      <w:r w:rsidRPr="008F03E5">
        <w:t>Mushiru’d-Dawla (Mushiru’d-Dawlih)</w:t>
      </w:r>
      <w:r w:rsidRPr="008F03E5">
        <w:tab/>
        <w:t>Mu</w:t>
      </w:r>
      <w:r w:rsidRPr="008F03E5">
        <w:rPr>
          <w:u w:val="single"/>
        </w:rPr>
        <w:t>sh</w:t>
      </w:r>
      <w:r w:rsidRPr="008F03E5">
        <w:t>íru’d-Dawla</w:t>
      </w:r>
      <w:r w:rsidRPr="008F03E5">
        <w:tab/>
        <w:t>government adviser</w:t>
      </w:r>
    </w:p>
    <w:p w14:paraId="0631AB4E" w14:textId="77777777" w:rsidR="00625A5B" w:rsidRPr="008F03E5" w:rsidRDefault="00625A5B" w:rsidP="00EC64F2">
      <w:pPr>
        <w:pStyle w:val="Translit"/>
      </w:pPr>
      <w:r w:rsidRPr="008F03E5">
        <w:t>Mushk, Mishk</w:t>
      </w:r>
      <w:r w:rsidRPr="008F03E5">
        <w:tab/>
        <w:t>Mu</w:t>
      </w:r>
      <w:r w:rsidRPr="008F03E5">
        <w:rPr>
          <w:u w:val="single"/>
        </w:rPr>
        <w:t>sh</w:t>
      </w:r>
      <w:r w:rsidRPr="008F03E5">
        <w:t>k</w:t>
      </w:r>
      <w:r w:rsidRPr="008F03E5">
        <w:tab/>
        <w:t>Pers. musk (</w:t>
      </w:r>
      <w:r w:rsidRPr="008F03E5">
        <w:rPr>
          <w:sz w:val="16"/>
          <w:szCs w:val="16"/>
        </w:rPr>
        <w:t>MF</w:t>
      </w:r>
      <w:r w:rsidRPr="008F03E5">
        <w:t xml:space="preserve"> 98)</w:t>
      </w:r>
    </w:p>
    <w:p w14:paraId="3A858775" w14:textId="77777777" w:rsidR="00625A5B" w:rsidRPr="008F03E5" w:rsidRDefault="00625A5B" w:rsidP="005D0A64">
      <w:pPr>
        <w:pStyle w:val="Translit"/>
      </w:pPr>
      <w:r w:rsidRPr="008F03E5">
        <w:t>Mushkan (Meshkan, Moshkan)</w:t>
      </w:r>
      <w:r w:rsidRPr="008F03E5">
        <w:tab/>
        <w:t>Mu</w:t>
      </w:r>
      <w:r w:rsidRPr="008F03E5">
        <w:rPr>
          <w:u w:val="single"/>
        </w:rPr>
        <w:t>sh</w:t>
      </w:r>
      <w:r w:rsidRPr="008F03E5">
        <w:t>kán</w:t>
      </w:r>
      <w:r w:rsidRPr="008F03E5">
        <w:tab/>
        <w:t>town 30 km north of Nayríz (29.471073, 54.356037)</w:t>
      </w:r>
    </w:p>
    <w:p w14:paraId="2FAA6F38" w14:textId="77777777" w:rsidR="00625A5B" w:rsidRPr="008F03E5" w:rsidRDefault="00625A5B" w:rsidP="007D7D92">
      <w:pPr>
        <w:pStyle w:val="Translit"/>
      </w:pPr>
      <w:r w:rsidRPr="008F03E5">
        <w:t>Mushkin</w:t>
      </w:r>
      <w:r w:rsidRPr="008F03E5">
        <w:tab/>
        <w:t>Mu</w:t>
      </w:r>
      <w:r w:rsidRPr="008F03E5">
        <w:rPr>
          <w:u w:val="single"/>
        </w:rPr>
        <w:t>sh</w:t>
      </w:r>
      <w:r w:rsidRPr="008F03E5">
        <w:t>kín</w:t>
      </w:r>
      <w:r w:rsidRPr="008F03E5">
        <w:tab/>
        <w:t>Pers. musky, black, of a dark colour</w:t>
      </w:r>
    </w:p>
    <w:p w14:paraId="38797769" w14:textId="77777777" w:rsidR="00625A5B" w:rsidRPr="008F03E5" w:rsidRDefault="00625A5B" w:rsidP="00A17B15">
      <w:pPr>
        <w:pStyle w:val="Translit"/>
      </w:pPr>
      <w:r w:rsidRPr="008F03E5">
        <w:t>Mushrik, Mushrikun</w:t>
      </w:r>
      <w:r w:rsidRPr="008F03E5">
        <w:tab/>
        <w:t>Mu</w:t>
      </w:r>
      <w:r w:rsidRPr="008F03E5">
        <w:rPr>
          <w:u w:val="single"/>
        </w:rPr>
        <w:t>sh</w:t>
      </w:r>
      <w:r w:rsidRPr="008F03E5">
        <w:t>rik, pl. Mu</w:t>
      </w:r>
      <w:r w:rsidRPr="008F03E5">
        <w:rPr>
          <w:u w:val="single"/>
        </w:rPr>
        <w:t>sh</w:t>
      </w:r>
      <w:r w:rsidRPr="008F03E5">
        <w:t>rikún</w:t>
      </w:r>
      <w:r w:rsidRPr="008F03E5">
        <w:tab/>
        <w:t>one who makes a partner, admits into partnership; one who believes in a plurality of gods, a polytheist, idolater, pagan, idol worshipper.  Followers of Muḥammad ‘Alí after the death of Bahá’u’lláh described the followers of ‘Abdu’l-Bahá as mu</w:t>
      </w:r>
      <w:r w:rsidRPr="008F03E5">
        <w:rPr>
          <w:u w:val="single"/>
        </w:rPr>
        <w:t>sh</w:t>
      </w:r>
      <w:r w:rsidRPr="008F03E5">
        <w:t xml:space="preserve">rikún (polytheists).  See </w:t>
      </w:r>
      <w:r w:rsidRPr="008F03E5">
        <w:rPr>
          <w:rFonts w:eastAsia="PMingLiU"/>
          <w:lang w:eastAsia="zh-TW"/>
        </w:rPr>
        <w:t>muwa</w:t>
      </w:r>
      <w:r w:rsidRPr="008F03E5">
        <w:t>ḥḥ</w:t>
      </w:r>
      <w:r w:rsidRPr="008F03E5">
        <w:rPr>
          <w:rFonts w:eastAsia="PMingLiU"/>
          <w:lang w:eastAsia="zh-TW"/>
        </w:rPr>
        <w:t>id</w:t>
      </w:r>
      <w:r w:rsidRPr="008F03E5">
        <w:t>ú</w:t>
      </w:r>
      <w:r w:rsidRPr="008F03E5">
        <w:rPr>
          <w:rFonts w:eastAsia="PMingLiU"/>
          <w:lang w:eastAsia="zh-TW"/>
        </w:rPr>
        <w:t xml:space="preserve">n and </w:t>
      </w:r>
      <w:r w:rsidRPr="008F03E5">
        <w:rPr>
          <w:u w:val="single"/>
        </w:rPr>
        <w:t>th</w:t>
      </w:r>
      <w:r w:rsidRPr="008F03E5">
        <w:t>ábit.</w:t>
      </w:r>
    </w:p>
    <w:p w14:paraId="26E6B63C" w14:textId="77777777" w:rsidR="00625A5B" w:rsidRPr="008F03E5" w:rsidRDefault="00625A5B" w:rsidP="001A1014">
      <w:pPr>
        <w:pStyle w:val="Translit"/>
        <w:rPr>
          <w:rFonts w:eastAsia="PMingLiU"/>
          <w:lang w:eastAsia="zh-TW"/>
        </w:rPr>
      </w:pPr>
      <w:r w:rsidRPr="008F03E5">
        <w:rPr>
          <w:rFonts w:eastAsia="PMingLiU"/>
          <w:lang w:eastAsia="zh-TW"/>
        </w:rPr>
        <w:t>Mushta’</w:t>
      </w:r>
      <w:r w:rsidRPr="008F03E5">
        <w:rPr>
          <w:rFonts w:eastAsia="PMingLiU"/>
          <w:lang w:eastAsia="zh-TW"/>
        </w:rPr>
        <w:tab/>
        <w:t>Mu</w:t>
      </w:r>
      <w:r w:rsidRPr="008F03E5">
        <w:rPr>
          <w:u w:val="single"/>
        </w:rPr>
        <w:t>sh</w:t>
      </w:r>
      <w:r w:rsidRPr="008F03E5">
        <w:rPr>
          <w:rFonts w:eastAsia="PMingLiU"/>
          <w:lang w:eastAsia="zh-TW"/>
        </w:rPr>
        <w:t>tá‘</w:t>
      </w:r>
      <w:r w:rsidRPr="008F03E5">
        <w:rPr>
          <w:rFonts w:eastAsia="PMingLiU"/>
          <w:lang w:eastAsia="zh-TW"/>
        </w:rPr>
        <w:tab/>
        <w:t>partner, co-partner, co-owner</w:t>
      </w:r>
    </w:p>
    <w:p w14:paraId="7BE9F362" w14:textId="77777777" w:rsidR="00625A5B" w:rsidRPr="008F03E5" w:rsidRDefault="00625A5B" w:rsidP="001A1014">
      <w:pPr>
        <w:pStyle w:val="Translit"/>
        <w:rPr>
          <w:rFonts w:eastAsia="PMingLiU"/>
          <w:lang w:eastAsia="zh-TW"/>
        </w:rPr>
      </w:pPr>
      <w:r w:rsidRPr="008F03E5">
        <w:rPr>
          <w:rFonts w:eastAsia="PMingLiU"/>
          <w:lang w:eastAsia="zh-TW"/>
        </w:rPr>
        <w:t>Mushta’il-Usku’i</w:t>
      </w:r>
      <w:r w:rsidRPr="008F03E5">
        <w:tab/>
      </w:r>
      <w:r w:rsidRPr="008F03E5">
        <w:rPr>
          <w:rFonts w:eastAsia="PMingLiU"/>
          <w:lang w:eastAsia="zh-TW"/>
        </w:rPr>
        <w:t>Mu</w:t>
      </w:r>
      <w:r w:rsidRPr="008F03E5">
        <w:rPr>
          <w:u w:val="single"/>
        </w:rPr>
        <w:t>sh</w:t>
      </w:r>
      <w:r w:rsidRPr="008F03E5">
        <w:rPr>
          <w:rFonts w:eastAsia="PMingLiU"/>
          <w:lang w:eastAsia="zh-TW"/>
        </w:rPr>
        <w:t>tá‘il-Uskú’í</w:t>
      </w:r>
      <w:r w:rsidRPr="008F03E5">
        <w:tab/>
      </w:r>
    </w:p>
    <w:p w14:paraId="592B03C4" w14:textId="77777777" w:rsidR="00625A5B" w:rsidRPr="008F03E5" w:rsidRDefault="00625A5B" w:rsidP="002A2348">
      <w:pPr>
        <w:pStyle w:val="Translit"/>
      </w:pPr>
      <w:r w:rsidRPr="008F03E5">
        <w:t>Mushtaq, Mushtaqat</w:t>
      </w:r>
      <w:r w:rsidRPr="008F03E5">
        <w:tab/>
        <w:t>Mu</w:t>
      </w:r>
      <w:r w:rsidRPr="008F03E5">
        <w:rPr>
          <w:u w:val="single"/>
        </w:rPr>
        <w:t>sh</w:t>
      </w:r>
      <w:r w:rsidRPr="008F03E5">
        <w:t>táq, pl. Mu</w:t>
      </w:r>
      <w:r w:rsidRPr="008F03E5">
        <w:rPr>
          <w:u w:val="single"/>
        </w:rPr>
        <w:t>sh</w:t>
      </w:r>
      <w:r w:rsidRPr="008F03E5">
        <w:t>táqát</w:t>
      </w:r>
      <w:r w:rsidRPr="008F03E5">
        <w:tab/>
        <w:t>longing, yearning, craving, desirous, covetous</w:t>
      </w:r>
    </w:p>
    <w:p w14:paraId="623C5822" w14:textId="77777777" w:rsidR="00625A5B" w:rsidRPr="00077779" w:rsidRDefault="00625A5B" w:rsidP="00E048D8">
      <w:pPr>
        <w:pStyle w:val="Translit"/>
      </w:pPr>
      <w:r w:rsidRPr="00077779">
        <w:t>Mushtari</w:t>
      </w:r>
      <w:r w:rsidRPr="00077779">
        <w:tab/>
        <w:t>al-Mu</w:t>
      </w:r>
      <w:r w:rsidRPr="00077779">
        <w:rPr>
          <w:u w:val="single"/>
        </w:rPr>
        <w:t>sh</w:t>
      </w:r>
      <w:r w:rsidRPr="00077779">
        <w:t>tarí</w:t>
      </w:r>
      <w:r w:rsidRPr="00077779">
        <w:tab/>
        <w:t>Jupiter (astronomy)</w:t>
      </w:r>
    </w:p>
    <w:p w14:paraId="400DF9B3" w14:textId="77777777" w:rsidR="00625A5B" w:rsidRPr="00077779" w:rsidRDefault="00625A5B" w:rsidP="006D4D4E">
      <w:pPr>
        <w:pStyle w:val="Translit"/>
      </w:pPr>
      <w:r w:rsidRPr="00077779">
        <w:t>Musiba, Musibat, Masa’ib</w:t>
      </w:r>
      <w:r w:rsidRPr="00077779">
        <w:tab/>
        <w:t>Muṣíba[h or t], pl. Muṣíbát, Maṣá’ib</w:t>
      </w:r>
      <w:r w:rsidRPr="00077779">
        <w:tab/>
        <w:t>misfortune, calamity, disaster</w:t>
      </w:r>
    </w:p>
    <w:p w14:paraId="733130B3" w14:textId="77777777" w:rsidR="00625A5B" w:rsidRPr="008F03E5" w:rsidRDefault="00625A5B" w:rsidP="00440EC6">
      <w:pPr>
        <w:pStyle w:val="Translit"/>
      </w:pPr>
      <w:r w:rsidRPr="008F03E5">
        <w:t>Musibat-i-Hurufat-i</w:t>
      </w:r>
      <w:r w:rsidRPr="008F03E5">
        <w:rPr>
          <w:rFonts w:eastAsia="PMingLiU"/>
          <w:lang w:eastAsia="zh-TW"/>
        </w:rPr>
        <w:t>-‘</w:t>
      </w:r>
      <w:r w:rsidRPr="008F03E5">
        <w:t>Aliyat</w:t>
      </w:r>
      <w:r w:rsidRPr="008F03E5">
        <w:tab/>
        <w:t>Muṣíbát-i-Ḥurúfát-i-‘Álíyát</w:t>
      </w:r>
      <w:r w:rsidRPr="008F03E5">
        <w:tab/>
        <w:t>“The Calamities of the Letters of Loftiness” Bahá’u’lláh (written in ‘Iráq before declaration)</w:t>
      </w:r>
    </w:p>
    <w:p w14:paraId="412639B7" w14:textId="77777777" w:rsidR="00625A5B" w:rsidRPr="008F03E5" w:rsidRDefault="00625A5B" w:rsidP="004F4907">
      <w:pPr>
        <w:pStyle w:val="Translit"/>
      </w:pPr>
      <w:r w:rsidRPr="008F03E5">
        <w:t>Musiqa, Misiqa, Musiqi, Muzik</w:t>
      </w:r>
      <w:r w:rsidRPr="008F03E5">
        <w:tab/>
        <w:t>Músíqá, fem. Mísíqa</w:t>
      </w:r>
      <w:r w:rsidRPr="008F03E5">
        <w:tab/>
        <w:t>music.  Pers. músíqí from Greek and múzík from French.</w:t>
      </w:r>
    </w:p>
    <w:p w14:paraId="7280F087" w14:textId="77777777" w:rsidR="00625A5B" w:rsidRPr="008F03E5" w:rsidRDefault="00625A5B" w:rsidP="008C3A0F">
      <w:pPr>
        <w:pStyle w:val="Translit"/>
      </w:pPr>
      <w:r w:rsidRPr="008F03E5">
        <w:t>Musiqar</w:t>
      </w:r>
      <w:r w:rsidRPr="008F03E5">
        <w:tab/>
        <w:t>Músíqár</w:t>
      </w:r>
      <w:r w:rsidRPr="008F03E5">
        <w:tab/>
        <w:t>musician</w:t>
      </w:r>
    </w:p>
    <w:p w14:paraId="57985D15" w14:textId="77777777" w:rsidR="00625A5B" w:rsidRPr="008F03E5" w:rsidRDefault="00625A5B" w:rsidP="009B127B">
      <w:pPr>
        <w:pStyle w:val="Translit"/>
      </w:pPr>
      <w:r w:rsidRPr="008F03E5">
        <w:t>Musiqi</w:t>
      </w:r>
      <w:r w:rsidRPr="008F03E5">
        <w:tab/>
        <w:t>Músíqí</w:t>
      </w:r>
      <w:r w:rsidRPr="008F03E5">
        <w:tab/>
        <w:t>(from Greek) musician; musical</w:t>
      </w:r>
    </w:p>
    <w:p w14:paraId="0B37DA01" w14:textId="77777777" w:rsidR="00625A5B" w:rsidRPr="008F03E5" w:rsidRDefault="00625A5B" w:rsidP="00DF08A5">
      <w:pPr>
        <w:pStyle w:val="Translit"/>
      </w:pPr>
      <w:r w:rsidRPr="008F03E5">
        <w:t>Muslih, Muslihun</w:t>
      </w:r>
      <w:r w:rsidRPr="008F03E5">
        <w:tab/>
        <w:t>Muṣliḥ, pl. Muṣliḥún</w:t>
      </w:r>
      <w:r w:rsidRPr="008F03E5">
        <w:tab/>
        <w:t>peacemaker, conciliator; reformer, reformist; salt</w:t>
      </w:r>
    </w:p>
    <w:p w14:paraId="78B31700" w14:textId="77777777" w:rsidR="00625A5B" w:rsidRPr="008F03E5" w:rsidRDefault="00625A5B" w:rsidP="00900A82">
      <w:pPr>
        <w:pStyle w:val="Translit"/>
      </w:pPr>
      <w:r w:rsidRPr="008F03E5">
        <w:t>Muslihu’d-Din</w:t>
      </w:r>
      <w:r w:rsidRPr="008F03E5">
        <w:tab/>
        <w:t xml:space="preserve">Muṣliḥu’d-Dín of </w:t>
      </w:r>
      <w:r w:rsidRPr="008F03E5">
        <w:rPr>
          <w:u w:val="single"/>
        </w:rPr>
        <w:t>Sh</w:t>
      </w:r>
      <w:r w:rsidRPr="008F03E5">
        <w:t>íráz</w:t>
      </w:r>
      <w:r w:rsidRPr="008F03E5">
        <w:tab/>
      </w:r>
    </w:p>
    <w:p w14:paraId="09865583" w14:textId="77777777" w:rsidR="00625A5B" w:rsidRPr="008F03E5" w:rsidRDefault="00625A5B" w:rsidP="009B64AE">
      <w:pPr>
        <w:pStyle w:val="Translit"/>
      </w:pPr>
      <w:r w:rsidRPr="001457C8">
        <w:rPr>
          <w:lang w:val="de-DE"/>
        </w:rPr>
        <w:t>Muslim, Muslimun</w:t>
      </w:r>
      <w:r w:rsidRPr="001457C8">
        <w:rPr>
          <w:lang w:val="de-DE"/>
        </w:rPr>
        <w:tab/>
        <w:t xml:space="preserve">Muslim, fem. Muslima[t], pl. </w:t>
      </w:r>
      <w:r w:rsidRPr="008F03E5">
        <w:t>Muslimún</w:t>
      </w:r>
      <w:r w:rsidRPr="008F03E5">
        <w:tab/>
        <w:t>form IV of root salima, submitter (to God), “one who has surrendered to God’s will”; narrow meaning “a follower of Islám”.  English Muslim.—pl. muslimán (Pers.), muslimín (nom.), fem. pl. muslimát</w:t>
      </w:r>
    </w:p>
    <w:p w14:paraId="018B3578" w14:textId="77777777" w:rsidR="00625A5B" w:rsidRPr="008F03E5" w:rsidRDefault="00625A5B" w:rsidP="008A7832">
      <w:pPr>
        <w:pStyle w:val="Translit"/>
      </w:pPr>
      <w:r w:rsidRPr="007F0C1F">
        <w:t>Musnad, Masnad, Masanid</w:t>
      </w:r>
      <w:r w:rsidRPr="007F0C1F">
        <w:tab/>
        <w:t xml:space="preserve">Musnad, Masnad, pl. </w:t>
      </w:r>
      <w:r w:rsidRPr="008F03E5">
        <w:t>Masánid</w:t>
      </w:r>
      <w:r w:rsidRPr="008F03E5">
        <w:tab/>
        <w:t>support, prop, stay; rest, back (of an armchair); cushion, pillow</w:t>
      </w:r>
    </w:p>
    <w:p w14:paraId="548EFCE2" w14:textId="77777777" w:rsidR="00625A5B" w:rsidRPr="008F03E5" w:rsidRDefault="00625A5B" w:rsidP="00CA5490">
      <w:pPr>
        <w:pStyle w:val="Translit"/>
      </w:pPr>
      <w:r w:rsidRPr="008F03E5">
        <w:t>Musta’idd</w:t>
      </w:r>
      <w:r w:rsidRPr="008F03E5">
        <w:tab/>
        <w:t>Musta‘idd</w:t>
      </w:r>
      <w:r w:rsidRPr="008F03E5">
        <w:tab/>
        <w:t>prepared, arranged, put in order; prompt, ready; on the alert; able, capable, apt, fit, proper, worthy; a candidate</w:t>
      </w:r>
    </w:p>
    <w:p w14:paraId="0C883E1A" w14:textId="77777777" w:rsidR="00625A5B" w:rsidRPr="008F03E5" w:rsidRDefault="00625A5B" w:rsidP="003B2308">
      <w:pPr>
        <w:pStyle w:val="Translit"/>
      </w:pPr>
      <w:r w:rsidRPr="008F03E5">
        <w:t>Musta’in</w:t>
      </w:r>
      <w:r w:rsidRPr="008F03E5">
        <w:tab/>
        <w:t>Musta‘ín</w:t>
      </w:r>
      <w:r w:rsidRPr="008F03E5">
        <w:tab/>
        <w:t xml:space="preserve">One who asks for assistance, help, aid, support.  Abbassid Caliph </w:t>
      </w:r>
      <w:r w:rsidRPr="008F03E5">
        <w:rPr>
          <w:sz w:val="16"/>
          <w:szCs w:val="16"/>
        </w:rPr>
        <w:t>CE</w:t>
      </w:r>
      <w:r w:rsidRPr="008F03E5">
        <w:t xml:space="preserve"> 862–866.</w:t>
      </w:r>
    </w:p>
    <w:p w14:paraId="61C31BC6" w14:textId="77777777" w:rsidR="00625A5B" w:rsidRPr="006165F9" w:rsidRDefault="00625A5B" w:rsidP="00A35A7F">
      <w:pPr>
        <w:pStyle w:val="Translit"/>
        <w:rPr>
          <w:rFonts w:eastAsia="PMingLiU"/>
          <w:lang w:val="en-AU" w:eastAsia="zh-TW"/>
        </w:rPr>
      </w:pPr>
      <w:r w:rsidRPr="00A35A7F">
        <w:t>Musta’s</w:t>
      </w:r>
      <w:r>
        <w:t>i</w:t>
      </w:r>
      <w:r w:rsidRPr="00A35A7F">
        <w:t>m</w:t>
      </w:r>
      <w:r w:rsidRPr="00A35A7F">
        <w:tab/>
      </w:r>
      <w:r>
        <w:t>M</w:t>
      </w:r>
      <w:r w:rsidRPr="00A35A7F">
        <w:t>usta</w:t>
      </w:r>
      <w:r w:rsidRPr="00A35A7F">
        <w:rPr>
          <w:rFonts w:eastAsia="Times New Roman"/>
        </w:rPr>
        <w:t>‘</w:t>
      </w:r>
      <w:r w:rsidRPr="00A35A7F">
        <w:t>ṣim</w:t>
      </w:r>
      <w:r>
        <w:tab/>
        <w:t>o</w:t>
      </w:r>
      <w:r w:rsidRPr="00AF4D34">
        <w:t>ne who takes fast hold</w:t>
      </w:r>
      <w:r>
        <w:t xml:space="preserve">. </w:t>
      </w:r>
      <w:r w:rsidRPr="0011399A">
        <w:rPr>
          <w:rFonts w:eastAsia="PMingLiU"/>
          <w:lang w:eastAsia="zh-TW"/>
        </w:rPr>
        <w:t xml:space="preserve"> Ab</w:t>
      </w:r>
      <w:r w:rsidRPr="0011399A">
        <w:t>ú</w:t>
      </w:r>
      <w:r w:rsidRPr="0011399A">
        <w:rPr>
          <w:rFonts w:eastAsia="PMingLiU"/>
          <w:lang w:eastAsia="zh-TW"/>
        </w:rPr>
        <w:t xml:space="preserve"> A</w:t>
      </w:r>
      <w:r w:rsidRPr="0011399A">
        <w:t>ḥ</w:t>
      </w:r>
      <w:r w:rsidRPr="0011399A">
        <w:rPr>
          <w:rFonts w:eastAsia="PMingLiU"/>
          <w:lang w:eastAsia="zh-TW"/>
        </w:rPr>
        <w:t>mad ‘Abd All</w:t>
      </w:r>
      <w:r w:rsidRPr="0011399A">
        <w:t>á</w:t>
      </w:r>
      <w:r w:rsidRPr="0011399A">
        <w:rPr>
          <w:rFonts w:eastAsia="PMingLiU"/>
          <w:lang w:eastAsia="zh-TW"/>
        </w:rPr>
        <w:t>h ibn al-Mustan</w:t>
      </w:r>
      <w:r w:rsidRPr="0011399A">
        <w:t>ṣ</w:t>
      </w:r>
      <w:r w:rsidRPr="0011399A">
        <w:rPr>
          <w:rFonts w:eastAsia="PMingLiU"/>
          <w:lang w:eastAsia="zh-TW"/>
        </w:rPr>
        <w:t>ir bi’ll</w:t>
      </w:r>
      <w:r w:rsidRPr="0011399A">
        <w:t>á</w:t>
      </w:r>
      <w:r w:rsidRPr="0011399A">
        <w:rPr>
          <w:rFonts w:eastAsia="PMingLiU"/>
          <w:lang w:eastAsia="zh-TW"/>
        </w:rPr>
        <w:t>h, better known by his regnal title al-Musta‘ṣim bi’lláh (</w:t>
      </w:r>
      <w:r w:rsidRPr="0011399A">
        <w:rPr>
          <w:rFonts w:eastAsia="PMingLiU"/>
          <w:lang w:val="en-AU" w:eastAsia="zh-TW"/>
        </w:rPr>
        <w:t>1213–1258) was the 37th and last Abbasid caliph ruling from Ba</w:t>
      </w:r>
      <w:r w:rsidRPr="0011399A">
        <w:rPr>
          <w:rFonts w:eastAsia="PMingLiU"/>
          <w:u w:val="single"/>
          <w:lang w:val="en-AU" w:eastAsia="zh-TW"/>
        </w:rPr>
        <w:t>gh</w:t>
      </w:r>
      <w:r w:rsidRPr="0011399A">
        <w:rPr>
          <w:rFonts w:eastAsia="PMingLiU"/>
          <w:lang w:val="en-AU" w:eastAsia="zh-TW"/>
        </w:rPr>
        <w:t>d</w:t>
      </w:r>
      <w:r w:rsidRPr="0011399A">
        <w:t>á</w:t>
      </w:r>
      <w:r w:rsidRPr="0011399A">
        <w:rPr>
          <w:rFonts w:eastAsia="PMingLiU"/>
          <w:lang w:val="en-AU" w:eastAsia="zh-TW"/>
        </w:rPr>
        <w:t>d.  Reigned 1242–1258.</w:t>
      </w:r>
    </w:p>
    <w:p w14:paraId="150D5AD7" w14:textId="77777777" w:rsidR="00625A5B" w:rsidRPr="008F03E5" w:rsidRDefault="00625A5B" w:rsidP="00444347">
      <w:pPr>
        <w:pStyle w:val="Translit"/>
      </w:pPr>
      <w:r w:rsidRPr="008F03E5">
        <w:t>Musta’sim</w:t>
      </w:r>
      <w:r w:rsidRPr="008F03E5">
        <w:tab/>
        <w:t>Musta‘ṣim</w:t>
      </w:r>
      <w:r w:rsidRPr="008F03E5">
        <w:tab/>
        <w:t>one who takes fast hold.  al-Musta‘ṣim-Bi’lláh Abú-Aḥmad ‘Abdu’lláh bin al-Mustanṣir-Bi’lláh (1213–1258) was the 37th and last Caliph of the Abbasid Caliphate.</w:t>
      </w:r>
    </w:p>
    <w:p w14:paraId="3C62B0C3" w14:textId="77777777" w:rsidR="00625A5B" w:rsidRPr="008F03E5" w:rsidRDefault="00625A5B" w:rsidP="00904055">
      <w:pPr>
        <w:pStyle w:val="Translit"/>
      </w:pPr>
      <w:r w:rsidRPr="008F03E5">
        <w:t>Mustafa</w:t>
      </w:r>
      <w:r w:rsidRPr="008F03E5">
        <w:tab/>
        <w:t>Muṣṭafá</w:t>
      </w:r>
      <w:r w:rsidRPr="008F03E5">
        <w:tab/>
        <w:t>Pers. chosen, elected; a man’s name, particularly a name of Muḥammad</w:t>
      </w:r>
    </w:p>
    <w:p w14:paraId="31240DB2" w14:textId="77777777" w:rsidR="00625A5B" w:rsidRPr="008F03E5" w:rsidRDefault="00625A5B" w:rsidP="001E17E2">
      <w:pPr>
        <w:pStyle w:val="Translit"/>
      </w:pPr>
      <w:r w:rsidRPr="008F03E5">
        <w:t>Mustaghath</w:t>
      </w:r>
      <w:r w:rsidRPr="008F03E5">
        <w:tab/>
        <w:t>Musta</w:t>
      </w:r>
      <w:r w:rsidRPr="008F03E5">
        <w:rPr>
          <w:u w:val="single"/>
        </w:rPr>
        <w:t>gh</w:t>
      </w:r>
      <w:r w:rsidRPr="008F03E5">
        <w:t>á</w:t>
      </w:r>
      <w:r w:rsidRPr="008F03E5">
        <w:rPr>
          <w:u w:val="single"/>
        </w:rPr>
        <w:t>th</w:t>
      </w:r>
      <w:r w:rsidRPr="008F03E5">
        <w:tab/>
        <w:t>the one called upon for help; the one invoked.  “He Who is invoked or called to help” (by Shoghi Effendi) or “the time of invocation”.  Used as the name of God by the Báb.  He stated its abjab value (2,001) is the fixed time limit for the advent of the Promised One [Manifestation, i.e. Bahá’u’lláh] of the Báb.  In the Writings of the Báb, “Musta</w:t>
      </w:r>
      <w:r w:rsidRPr="008F03E5">
        <w:rPr>
          <w:u w:val="single"/>
        </w:rPr>
        <w:t>gh</w:t>
      </w:r>
      <w:r w:rsidRPr="008F03E5">
        <w:t>á</w:t>
      </w:r>
      <w:r w:rsidRPr="008F03E5">
        <w:rPr>
          <w:u w:val="single"/>
        </w:rPr>
        <w:t>th</w:t>
      </w:r>
      <w:r w:rsidRPr="008F03E5">
        <w:t>” refers to Bahá’u’lláh, and “the time of ‘Musta</w:t>
      </w:r>
      <w:r w:rsidRPr="008F03E5">
        <w:rPr>
          <w:u w:val="single"/>
        </w:rPr>
        <w:t>gh</w:t>
      </w:r>
      <w:r w:rsidRPr="008F03E5">
        <w:t>á</w:t>
      </w:r>
      <w:r w:rsidRPr="008F03E5">
        <w:rPr>
          <w:u w:val="single"/>
        </w:rPr>
        <w:t>th</w:t>
      </w:r>
      <w:r w:rsidRPr="008F03E5">
        <w:t xml:space="preserve">’” refers to the time of Bahá’u’lláh’s Dispensation.  See also </w:t>
      </w:r>
      <w:r w:rsidRPr="008F03E5">
        <w:rPr>
          <w:u w:val="single"/>
        </w:rPr>
        <w:t>Gh</w:t>
      </w:r>
      <w:r w:rsidRPr="008F03E5">
        <w:t>iyá</w:t>
      </w:r>
      <w:r w:rsidRPr="008F03E5">
        <w:rPr>
          <w:u w:val="single"/>
        </w:rPr>
        <w:t>th</w:t>
      </w:r>
      <w:r w:rsidRPr="008F03E5">
        <w:t xml:space="preserve"> (1,511)</w:t>
      </w:r>
    </w:p>
    <w:p w14:paraId="4F2E2BDF" w14:textId="77777777" w:rsidR="00625A5B" w:rsidRPr="008F03E5" w:rsidRDefault="00625A5B" w:rsidP="00132EF5">
      <w:pPr>
        <w:pStyle w:val="Translit"/>
      </w:pPr>
      <w:r w:rsidRPr="008F03E5">
        <w:t>Mustaghith</w:t>
      </w:r>
      <w:r w:rsidRPr="008F03E5">
        <w:tab/>
        <w:t>Musta</w:t>
      </w:r>
      <w:r w:rsidRPr="008F03E5">
        <w:rPr>
          <w:u w:val="single"/>
        </w:rPr>
        <w:t>gh</w:t>
      </w:r>
      <w:r w:rsidRPr="008F03E5">
        <w:t>í</w:t>
      </w:r>
      <w:r w:rsidRPr="008F03E5">
        <w:rPr>
          <w:u w:val="single"/>
        </w:rPr>
        <w:t>th</w:t>
      </w:r>
      <w:r w:rsidRPr="008F03E5">
        <w:tab/>
        <w:t>complainant, plaintiff; the person who is asking for help and delivery.  The Báb may have used Musta</w:t>
      </w:r>
      <w:r w:rsidRPr="008F03E5">
        <w:rPr>
          <w:u w:val="single"/>
        </w:rPr>
        <w:t>gh</w:t>
      </w:r>
      <w:r w:rsidRPr="008F03E5">
        <w:t>í</w:t>
      </w:r>
      <w:r w:rsidRPr="008F03E5">
        <w:rPr>
          <w:u w:val="single"/>
        </w:rPr>
        <w:t>th</w:t>
      </w:r>
      <w:r w:rsidRPr="008F03E5">
        <w:t xml:space="preserve"> as an abbreviation of Huwa’l-</w:t>
      </w:r>
      <w:r w:rsidRPr="008F03E5">
        <w:rPr>
          <w:u w:val="single"/>
        </w:rPr>
        <w:t>Gh</w:t>
      </w:r>
      <w:r w:rsidRPr="008F03E5">
        <w:t>iyá</w:t>
      </w:r>
      <w:r w:rsidRPr="008F03E5">
        <w:rPr>
          <w:u w:val="single"/>
        </w:rPr>
        <w:t>th</w:t>
      </w:r>
      <w:r w:rsidRPr="008F03E5">
        <w:t xml:space="preserve"> al-Musta</w:t>
      </w:r>
      <w:r w:rsidRPr="008F03E5">
        <w:rPr>
          <w:u w:val="single"/>
        </w:rPr>
        <w:t>gh</w:t>
      </w:r>
      <w:r w:rsidRPr="008F03E5">
        <w:t>í</w:t>
      </w:r>
      <w:r w:rsidRPr="008F03E5">
        <w:rPr>
          <w:u w:val="single"/>
        </w:rPr>
        <w:t>th</w:t>
      </w:r>
      <w:r w:rsidRPr="008F03E5">
        <w:t xml:space="preserve"> (“He is the help unto the invoker of help”).  Alternatively, He is defining the realm of absolute unity where the true Musta</w:t>
      </w:r>
      <w:r w:rsidRPr="008F03E5">
        <w:rPr>
          <w:u w:val="single"/>
        </w:rPr>
        <w:t>gh</w:t>
      </w:r>
      <w:r w:rsidRPr="008F03E5">
        <w:t>í</w:t>
      </w:r>
      <w:r w:rsidRPr="008F03E5">
        <w:rPr>
          <w:u w:val="single"/>
        </w:rPr>
        <w:t>th</w:t>
      </w:r>
      <w:r w:rsidRPr="008F03E5">
        <w:t xml:space="preserve"> is none but God, e.g. Bahá’u’lláh apparently asks for Musta</w:t>
      </w:r>
      <w:r w:rsidRPr="008F03E5">
        <w:rPr>
          <w:u w:val="single"/>
        </w:rPr>
        <w:t>gh</w:t>
      </w:r>
      <w:r w:rsidRPr="008F03E5">
        <w:t>á</w:t>
      </w:r>
      <w:r w:rsidRPr="008F03E5">
        <w:rPr>
          <w:u w:val="single"/>
        </w:rPr>
        <w:t>th</w:t>
      </w:r>
      <w:r w:rsidRPr="008F03E5">
        <w:t xml:space="preserve"> (</w:t>
      </w:r>
      <w:r w:rsidRPr="008F03E5">
        <w:rPr>
          <w:i/>
          <w:iCs/>
        </w:rPr>
        <w:t>The Kitáb-i-Íqán</w:t>
      </w:r>
      <w:r w:rsidRPr="008F03E5">
        <w:t>, pp. 229, 248) while in reality He is the Musta</w:t>
      </w:r>
      <w:r w:rsidRPr="008F03E5">
        <w:rPr>
          <w:u w:val="single"/>
        </w:rPr>
        <w:t>gh</w:t>
      </w:r>
      <w:r w:rsidRPr="008F03E5">
        <w:t>á</w:t>
      </w:r>
      <w:r w:rsidRPr="008F03E5">
        <w:rPr>
          <w:u w:val="single"/>
        </w:rPr>
        <w:t>th</w:t>
      </w:r>
      <w:r w:rsidRPr="008F03E5">
        <w:t>.  The Báb uses Musta</w:t>
      </w:r>
      <w:r w:rsidRPr="008F03E5">
        <w:rPr>
          <w:u w:val="single"/>
        </w:rPr>
        <w:t>gh</w:t>
      </w:r>
      <w:r w:rsidRPr="008F03E5">
        <w:t>í</w:t>
      </w:r>
      <w:r w:rsidRPr="008F03E5">
        <w:rPr>
          <w:u w:val="single"/>
        </w:rPr>
        <w:t>th</w:t>
      </w:r>
      <w:r w:rsidRPr="008F03E5">
        <w:t xml:space="preserve"> as the name of God, Who is not the seeker of help but the desired Saviour.  (Explanation based on notes from Nader Saiedi, Oct. 2016)</w:t>
      </w:r>
    </w:p>
    <w:p w14:paraId="3955EB6B" w14:textId="77777777" w:rsidR="00625A5B" w:rsidRPr="008F03E5" w:rsidRDefault="00625A5B" w:rsidP="00E1081B">
      <w:pPr>
        <w:pStyle w:val="Translit"/>
      </w:pPr>
      <w:r w:rsidRPr="008F03E5">
        <w:t>Mustahil</w:t>
      </w:r>
      <w:r w:rsidRPr="008F03E5">
        <w:tab/>
        <w:t>Mustaḥíl al-Wújud</w:t>
      </w:r>
      <w:r w:rsidRPr="008F03E5">
        <w:tab/>
        <w:t>imposible being</w:t>
      </w:r>
    </w:p>
    <w:p w14:paraId="303546CE" w14:textId="77777777" w:rsidR="00625A5B" w:rsidRPr="008F03E5" w:rsidRDefault="00625A5B" w:rsidP="00E1081B">
      <w:pPr>
        <w:pStyle w:val="Translit"/>
      </w:pPr>
      <w:r w:rsidRPr="008F03E5">
        <w:t>Mustahil</w:t>
      </w:r>
      <w:r w:rsidRPr="008F03E5">
        <w:tab/>
        <w:t>Mustaḥíl</w:t>
      </w:r>
      <w:r w:rsidRPr="008F03E5">
        <w:tab/>
        <w:t>impossible, absurd, preposterous</w:t>
      </w:r>
    </w:p>
    <w:p w14:paraId="06EA2C00" w14:textId="77777777" w:rsidR="00625A5B" w:rsidRPr="008F03E5" w:rsidRDefault="00625A5B" w:rsidP="00612844">
      <w:pPr>
        <w:pStyle w:val="Translit"/>
      </w:pPr>
      <w:r w:rsidRPr="008F03E5">
        <w:t>Mustakfi</w:t>
      </w:r>
      <w:r w:rsidRPr="008F03E5">
        <w:tab/>
        <w:t>Mustakfí</w:t>
      </w:r>
      <w:r w:rsidRPr="008F03E5">
        <w:tab/>
        <w:t>one who desires (another) to do (a thing) effectually or sufficiently.  ‘Abda’lláh ibn al-Mustakfí (905–949), better known by his regnal name al-Mustakfí bi’lláh (“Desirous of being satisfied with God alone”) was the Abbasid Caliph in Baghdad from 944 to 946.</w:t>
      </w:r>
    </w:p>
    <w:p w14:paraId="60A6A356" w14:textId="77777777" w:rsidR="00625A5B" w:rsidRPr="008F03E5" w:rsidRDefault="00625A5B" w:rsidP="00A023B0">
      <w:pPr>
        <w:pStyle w:val="Translit"/>
      </w:pPr>
      <w:r w:rsidRPr="008F03E5">
        <w:t>Mustamand (Mustmand)</w:t>
      </w:r>
      <w:r w:rsidRPr="008F03E5">
        <w:tab/>
        <w:t>Mustamand</w:t>
      </w:r>
      <w:r w:rsidRPr="008F03E5">
        <w:tab/>
        <w:t>Pers. poor, wretched, miserable, unhappy, afflicted, melancholy, lamentable, plaintive; a poor, unfortunate man; a complainant.</w:t>
      </w:r>
    </w:p>
    <w:p w14:paraId="73D501F1" w14:textId="77777777" w:rsidR="00625A5B" w:rsidRPr="008F03E5" w:rsidRDefault="00625A5B" w:rsidP="00250E70">
      <w:pPr>
        <w:pStyle w:val="Translit"/>
        <w:rPr>
          <w:rFonts w:eastAsia="PMingLiU"/>
          <w:lang w:eastAsia="zh-TW"/>
        </w:rPr>
      </w:pPr>
      <w:r w:rsidRPr="008F03E5">
        <w:rPr>
          <w:rFonts w:eastAsia="PMingLiU"/>
          <w:lang w:eastAsia="zh-TW"/>
        </w:rPr>
        <w:t>Mustamirr, Mustamarr</w:t>
      </w:r>
      <w:r w:rsidRPr="008F03E5">
        <w:rPr>
          <w:rFonts w:eastAsia="PMingLiU"/>
          <w:lang w:eastAsia="zh-TW"/>
        </w:rPr>
        <w:tab/>
        <w:t>Mustamirr, Pers. Mustamarr</w:t>
      </w:r>
      <w:r w:rsidRPr="008F03E5">
        <w:rPr>
          <w:rFonts w:eastAsia="PMingLiU"/>
          <w:lang w:eastAsia="zh-TW"/>
        </w:rPr>
        <w:tab/>
        <w:t>lasting, permanent, enduring, constant, continual, uninterrupted, unceasing, incessant; continuous, unbroken.  Mustamarr</w:t>
      </w:r>
      <w:r w:rsidRPr="008F03E5">
        <w:t>í</w:t>
      </w:r>
      <w:r w:rsidRPr="008F03E5">
        <w:rPr>
          <w:rFonts w:eastAsia="PMingLiU"/>
          <w:lang w:eastAsia="zh-TW"/>
        </w:rPr>
        <w:t>, “Perpetual” annual stipend</w:t>
      </w:r>
    </w:p>
    <w:p w14:paraId="4DB86360" w14:textId="77777777" w:rsidR="00625A5B" w:rsidRPr="008F03E5" w:rsidRDefault="00625A5B" w:rsidP="000D79C9">
      <w:pPr>
        <w:pStyle w:val="Translit"/>
        <w:rPr>
          <w:rFonts w:eastAsia="PMingLiU"/>
          <w:lang w:eastAsia="zh-TW"/>
        </w:rPr>
      </w:pPr>
      <w:r w:rsidRPr="008F03E5">
        <w:t>Mustaqill</w:t>
      </w:r>
      <w:r w:rsidRPr="008F03E5">
        <w:tab/>
      </w:r>
      <w:r w:rsidRPr="008F03E5">
        <w:rPr>
          <w:rFonts w:eastAsia="PMingLiU"/>
          <w:lang w:eastAsia="zh-TW"/>
        </w:rPr>
        <w:t>Mustaqill</w:t>
      </w:r>
      <w:r w:rsidRPr="008F03E5">
        <w:rPr>
          <w:rFonts w:eastAsia="PMingLiU"/>
          <w:lang w:eastAsia="zh-TW"/>
        </w:rPr>
        <w:tab/>
        <w:t>independent; autonomous; separate, distinct, particular</w:t>
      </w:r>
    </w:p>
    <w:p w14:paraId="35C93836" w14:textId="77777777" w:rsidR="00625A5B" w:rsidRPr="008F03E5" w:rsidRDefault="00625A5B" w:rsidP="000D79C9">
      <w:pPr>
        <w:pStyle w:val="Translit"/>
      </w:pPr>
      <w:r w:rsidRPr="008F03E5">
        <w:rPr>
          <w:rFonts w:eastAsia="PMingLiU"/>
          <w:lang w:eastAsia="zh-TW"/>
        </w:rPr>
        <w:t>Mustaqim, Mustaqimat</w:t>
      </w:r>
      <w:r w:rsidRPr="008F03E5">
        <w:tab/>
      </w:r>
      <w:r w:rsidRPr="008F03E5">
        <w:rPr>
          <w:rFonts w:eastAsia="PMingLiU"/>
          <w:lang w:eastAsia="zh-TW"/>
        </w:rPr>
        <w:t>Mustaqím, pl. Mustaqím</w:t>
      </w:r>
      <w:r w:rsidRPr="008F03E5">
        <w:t>á</w:t>
      </w:r>
      <w:r w:rsidRPr="008F03E5">
        <w:rPr>
          <w:rFonts w:eastAsia="PMingLiU"/>
          <w:lang w:eastAsia="zh-TW"/>
        </w:rPr>
        <w:t>t</w:t>
      </w:r>
      <w:r w:rsidRPr="008F03E5">
        <w:tab/>
        <w:t>upright, erect; straight; dead straight, straight as a die; directed straight ahead; correct, right, sound, proper, in order; even, regular, symmetrical, proportionate, harmonious; honest, straightforward, upright, righteous, honourable;—pl. a straight, straight line (mathematics); rectum (anatomy)</w:t>
      </w:r>
    </w:p>
    <w:p w14:paraId="037E3D66" w14:textId="77777777" w:rsidR="00625A5B" w:rsidRPr="008F03E5" w:rsidRDefault="00625A5B" w:rsidP="00C7439E">
      <w:pPr>
        <w:pStyle w:val="Translit"/>
      </w:pPr>
      <w:r w:rsidRPr="008F03E5">
        <w:t>Mustas’ab</w:t>
      </w:r>
      <w:r w:rsidRPr="008F03E5">
        <w:tab/>
        <w:t>Mustaṣ‘ab</w:t>
      </w:r>
      <w:r w:rsidRPr="008F03E5">
        <w:tab/>
        <w:t>an intransitive verb meaning to become hard and unbearable; and as a noun, refers to everything that is unsuitable; and therefore, it has the same meaning as ṣa‘b.  Some references consider it to be an intensive form of ṣa‘b, and others consider ṣa‘b as referring to what is unbearable in itself, and mustaṣ‘ab as what people consider to be unbearable.</w:t>
      </w:r>
    </w:p>
    <w:p w14:paraId="1D061400" w14:textId="77777777" w:rsidR="00625A5B" w:rsidRPr="008F03E5" w:rsidRDefault="00625A5B" w:rsidP="000774AB">
      <w:pPr>
        <w:pStyle w:val="Translit"/>
      </w:pPr>
      <w:r w:rsidRPr="008F03E5">
        <w:t>Mustashar</w:t>
      </w:r>
      <w:r w:rsidRPr="008F03E5">
        <w:tab/>
        <w:t>Musta</w:t>
      </w:r>
      <w:r w:rsidRPr="008F03E5">
        <w:rPr>
          <w:u w:val="single"/>
        </w:rPr>
        <w:t>sh</w:t>
      </w:r>
      <w:r w:rsidRPr="008F03E5">
        <w:t>ár</w:t>
      </w:r>
      <w:r w:rsidRPr="008F03E5">
        <w:tab/>
        <w:t>adviser, counsellor, consultant, councillor; chancellor</w:t>
      </w:r>
    </w:p>
    <w:p w14:paraId="0D3A0258" w14:textId="77777777" w:rsidR="00625A5B" w:rsidRPr="008F03E5" w:rsidRDefault="00625A5B" w:rsidP="000774AB">
      <w:pPr>
        <w:pStyle w:val="Translit"/>
      </w:pPr>
      <w:r w:rsidRPr="008F03E5">
        <w:t>Mustasharu’l-Mulk</w:t>
      </w:r>
      <w:r w:rsidRPr="008F03E5">
        <w:tab/>
        <w:t>Musta</w:t>
      </w:r>
      <w:r w:rsidRPr="008F03E5">
        <w:rPr>
          <w:u w:val="single"/>
        </w:rPr>
        <w:t>sh</w:t>
      </w:r>
      <w:r w:rsidRPr="008F03E5">
        <w:t>áru’l-Mulk</w:t>
      </w:r>
      <w:r w:rsidRPr="008F03E5">
        <w:tab/>
      </w:r>
      <w:r>
        <w:t>“King’s advisor”</w:t>
      </w:r>
    </w:p>
    <w:p w14:paraId="0578A23E" w14:textId="77777777" w:rsidR="00625A5B" w:rsidRDefault="00625A5B" w:rsidP="0057116D">
      <w:pPr>
        <w:pStyle w:val="Translit"/>
      </w:pPr>
      <w:r>
        <w:t>Mustatab</w:t>
      </w:r>
      <w:r>
        <w:tab/>
        <w:t>M</w:t>
      </w:r>
      <w:r w:rsidRPr="0057116D">
        <w:t>usta</w:t>
      </w:r>
      <w:r w:rsidRPr="0070704A">
        <w:t>ṭ</w:t>
      </w:r>
      <w:r w:rsidRPr="0057116D">
        <w:t>áb</w:t>
      </w:r>
      <w:r>
        <w:tab/>
        <w:t>g</w:t>
      </w:r>
      <w:r w:rsidRPr="00AF4D34">
        <w:t>ood, agreeable, elegant; graciou</w:t>
      </w:r>
      <w:r w:rsidRPr="0057116D">
        <w:t>s</w:t>
      </w:r>
      <w:r>
        <w:t xml:space="preserve">. </w:t>
      </w:r>
      <w:r w:rsidRPr="0057116D">
        <w:t xml:space="preserve"> </w:t>
      </w:r>
      <w:r>
        <w:t>al-K</w:t>
      </w:r>
      <w:r w:rsidRPr="0057116D">
        <w:t>itáb</w:t>
      </w:r>
      <w:r>
        <w:t>u’l-M</w:t>
      </w:r>
      <w:r w:rsidRPr="0057116D">
        <w:t>usta</w:t>
      </w:r>
      <w:r w:rsidRPr="0070704A">
        <w:t>ṭ</w:t>
      </w:r>
      <w:r w:rsidRPr="0057116D">
        <w:t xml:space="preserve">áb, </w:t>
      </w:r>
      <w:r>
        <w:t>a</w:t>
      </w:r>
      <w:r w:rsidRPr="0057116D">
        <w:t xml:space="preserve">n excellent book, </w:t>
      </w:r>
      <w:r>
        <w:t>t</w:t>
      </w:r>
      <w:r w:rsidRPr="00AF4D34">
        <w:t>he Qur</w:t>
      </w:r>
      <w:r>
        <w:t>’</w:t>
      </w:r>
      <w:r w:rsidRPr="00AF4D34">
        <w:t>án</w:t>
      </w:r>
      <w:r>
        <w:t>.</w:t>
      </w:r>
    </w:p>
    <w:p w14:paraId="7FF4E7CE" w14:textId="77777777" w:rsidR="00625A5B" w:rsidRPr="008F03E5" w:rsidRDefault="00625A5B" w:rsidP="00A47D4B">
      <w:pPr>
        <w:pStyle w:val="Translit"/>
      </w:pPr>
      <w:r w:rsidRPr="008F03E5">
        <w:t>Mustawfi (mustaufi)</w:t>
      </w:r>
      <w:r w:rsidRPr="008F03E5">
        <w:tab/>
        <w:t>Mustawfí</w:t>
      </w:r>
      <w:r w:rsidRPr="008F03E5">
        <w:tab/>
        <w:t>Pers. examiner or auditor of accounts</w:t>
      </w:r>
    </w:p>
    <w:p w14:paraId="716DCE62" w14:textId="77777777" w:rsidR="00625A5B" w:rsidRPr="00A50AA0" w:rsidRDefault="00625A5B" w:rsidP="00A50AA0">
      <w:pPr>
        <w:pStyle w:val="Translit"/>
      </w:pPr>
      <w:r w:rsidRPr="008F03E5">
        <w:t>Mustawfiyu’l-Mamalik</w:t>
      </w:r>
      <w:r w:rsidRPr="008F03E5">
        <w:tab/>
        <w:t>Mustawfíyu’l-Mamálík</w:t>
      </w:r>
      <w:r w:rsidRPr="008F03E5">
        <w:tab/>
      </w:r>
      <w:r>
        <w:t>“</w:t>
      </w:r>
      <w:r w:rsidRPr="00A50AA0">
        <w:t>Chancellor of the Realm</w:t>
      </w:r>
      <w:r>
        <w:t>”</w:t>
      </w:r>
    </w:p>
    <w:p w14:paraId="1C936BE2" w14:textId="77777777" w:rsidR="00625A5B" w:rsidRPr="008F03E5" w:rsidRDefault="00625A5B" w:rsidP="00900A82">
      <w:pPr>
        <w:pStyle w:val="Translit"/>
        <w:rPr>
          <w:rFonts w:eastAsia="PMingLiU"/>
          <w:lang w:eastAsia="zh-TW"/>
        </w:rPr>
      </w:pPr>
      <w:r w:rsidRPr="008F03E5">
        <w:rPr>
          <w:rFonts w:eastAsia="PMingLiU"/>
          <w:lang w:eastAsia="zh-TW"/>
        </w:rPr>
        <w:t>Mustayqiz (Mustaiqiz)</w:t>
      </w:r>
      <w:r w:rsidRPr="008F03E5">
        <w:rPr>
          <w:rFonts w:eastAsia="PMingLiU"/>
          <w:lang w:eastAsia="zh-TW"/>
        </w:rPr>
        <w:tab/>
        <w:t>Mustayqi</w:t>
      </w:r>
      <w:r w:rsidRPr="008F03E5">
        <w:t>ẓ</w:t>
      </w:r>
      <w:r w:rsidRPr="008F03E5">
        <w:rPr>
          <w:rFonts w:eastAsia="PMingLiU"/>
          <w:lang w:eastAsia="zh-TW"/>
        </w:rPr>
        <w:tab/>
        <w:t>w</w:t>
      </w:r>
      <w:r w:rsidRPr="008F03E5">
        <w:t xml:space="preserve">atchful, awake; vigilant, provident.  </w:t>
      </w:r>
      <w:r w:rsidRPr="008F03E5">
        <w:rPr>
          <w:rFonts w:eastAsia="PMingLiU"/>
          <w:lang w:eastAsia="zh-TW"/>
        </w:rPr>
        <w:t>“Sleeper Awakened” by M</w:t>
      </w:r>
      <w:r w:rsidRPr="008F03E5">
        <w:t>í</w:t>
      </w:r>
      <w:r w:rsidRPr="008F03E5">
        <w:rPr>
          <w:rFonts w:eastAsia="PMingLiU"/>
          <w:lang w:eastAsia="zh-TW"/>
        </w:rPr>
        <w:t>rz</w:t>
      </w:r>
      <w:r w:rsidRPr="008F03E5">
        <w:t>á</w:t>
      </w:r>
      <w:r w:rsidRPr="008F03E5">
        <w:rPr>
          <w:rFonts w:eastAsia="PMingLiU"/>
          <w:lang w:eastAsia="zh-TW"/>
        </w:rPr>
        <w:t xml:space="preserve"> Ya</w:t>
      </w:r>
      <w:r w:rsidRPr="008F03E5">
        <w:t>ḥ</w:t>
      </w:r>
      <w:r w:rsidRPr="008F03E5">
        <w:rPr>
          <w:rFonts w:eastAsia="PMingLiU"/>
          <w:lang w:eastAsia="zh-TW"/>
        </w:rPr>
        <w:t>y</w:t>
      </w:r>
      <w:r w:rsidRPr="008F03E5">
        <w:t>á</w:t>
      </w:r>
    </w:p>
    <w:p w14:paraId="5E9E6E54" w14:textId="77777777" w:rsidR="00625A5B" w:rsidRPr="008F03E5" w:rsidRDefault="00625A5B" w:rsidP="00D703DF">
      <w:pPr>
        <w:pStyle w:val="Translit"/>
      </w:pPr>
      <w:r w:rsidRPr="008F03E5">
        <w:t>Musulman, Muslima</w:t>
      </w:r>
      <w:r w:rsidRPr="008F03E5">
        <w:tab/>
        <w:t>Musulmán, fem. Muslima[t]</w:t>
      </w:r>
      <w:r w:rsidRPr="008F03E5">
        <w:tab/>
        <w:t>Pers (Ar. influence) a Muslim, believer</w:t>
      </w:r>
    </w:p>
    <w:p w14:paraId="7EFB7350" w14:textId="77777777" w:rsidR="00625A5B" w:rsidRPr="008F03E5" w:rsidRDefault="00625A5B" w:rsidP="00C52029">
      <w:pPr>
        <w:pStyle w:val="Translit"/>
      </w:pPr>
      <w:r w:rsidRPr="008F03E5">
        <w:t>Mut’a (Mit’a), Muta’ (Nikah al-Mut’ah)</w:t>
      </w:r>
      <w:r w:rsidRPr="008F03E5">
        <w:tab/>
        <w:t>Mut‘a[h or t], pl. Muta‘</w:t>
      </w:r>
      <w:r w:rsidRPr="008F03E5">
        <w:tab/>
        <w:t>enjoyment, pleasure, delight, gratification; recreation; compensation paid to a divorced woman (Islamic Law); nikáḥ al-mut‘ah (“pleasure marriage”), temporary marriage. usufruct</w:t>
      </w:r>
      <w:r w:rsidRPr="008F03E5">
        <w:rPr>
          <w:rStyle w:val="FootnoteReference"/>
        </w:rPr>
        <w:footnoteReference w:id="17"/>
      </w:r>
      <w:r w:rsidRPr="008F03E5">
        <w:t xml:space="preserve"> marriage contracted for a specified time and exclusively for the purpose of sexual pleasure (Islamic Law).  See ṣí</w:t>
      </w:r>
      <w:r w:rsidRPr="008F03E5">
        <w:rPr>
          <w:u w:val="single"/>
        </w:rPr>
        <w:t>gh</w:t>
      </w:r>
      <w:r w:rsidRPr="008F03E5">
        <w:t>a.</w:t>
      </w:r>
    </w:p>
    <w:p w14:paraId="0F83CC5C" w14:textId="77777777" w:rsidR="00625A5B" w:rsidRPr="008F03E5" w:rsidRDefault="00625A5B" w:rsidP="00C52029">
      <w:pPr>
        <w:pStyle w:val="Translit"/>
      </w:pPr>
      <w:r w:rsidRPr="008F03E5">
        <w:t>Muta’ali</w:t>
      </w:r>
      <w:r w:rsidRPr="008F03E5">
        <w:tab/>
        <w:t>Muta‘álí</w:t>
      </w:r>
      <w:r w:rsidRPr="008F03E5">
        <w:tab/>
        <w:t>high, lofty, exalted; one who draws near</w:t>
      </w:r>
    </w:p>
    <w:p w14:paraId="4E43A87B" w14:textId="77777777" w:rsidR="00625A5B" w:rsidRPr="008F03E5" w:rsidRDefault="00625A5B" w:rsidP="00300DAF">
      <w:pPr>
        <w:pStyle w:val="Translit"/>
      </w:pPr>
      <w:r w:rsidRPr="008F03E5">
        <w:t>Muta’allih, Muta’allih</w:t>
      </w:r>
      <w:r>
        <w:t>u</w:t>
      </w:r>
      <w:r w:rsidRPr="008F03E5">
        <w:t>n</w:t>
      </w:r>
      <w:r>
        <w:t xml:space="preserve"> (</w:t>
      </w:r>
      <w:r w:rsidRPr="008F03E5">
        <w:t>Muta’allih</w:t>
      </w:r>
      <w:r>
        <w:t>i</w:t>
      </w:r>
      <w:r w:rsidRPr="008F03E5">
        <w:t>n</w:t>
      </w:r>
      <w:r>
        <w:t>)</w:t>
      </w:r>
      <w:r w:rsidRPr="008F03E5">
        <w:tab/>
        <w:t>Muta’allih, pl. Muta’allih</w:t>
      </w:r>
      <w:r>
        <w:t>ú</w:t>
      </w:r>
      <w:r w:rsidRPr="008F03E5">
        <w:t>n</w:t>
      </w:r>
      <w:r>
        <w:t xml:space="preserve"> (</w:t>
      </w:r>
      <w:r w:rsidRPr="008F03E5">
        <w:t>Muta’allih</w:t>
      </w:r>
      <w:r>
        <w:t>í</w:t>
      </w:r>
      <w:r w:rsidRPr="008F03E5">
        <w:t>n</w:t>
      </w:r>
      <w:r>
        <w:t>)</w:t>
      </w:r>
      <w:r w:rsidRPr="008F03E5">
        <w:tab/>
        <w:t>divine, heavenly, becoming divine-like</w:t>
      </w:r>
    </w:p>
    <w:p w14:paraId="14A36654" w14:textId="77777777" w:rsidR="00625A5B" w:rsidRPr="000079AB" w:rsidRDefault="00625A5B" w:rsidP="008F227E">
      <w:pPr>
        <w:pStyle w:val="Translit"/>
      </w:pPr>
      <w:r w:rsidRPr="008F227E">
        <w:t>Mutadayf, Mutadayfan</w:t>
      </w:r>
      <w:r w:rsidRPr="008F227E">
        <w:tab/>
        <w:t>Mutadáyf, Mutadáyfán</w:t>
      </w:r>
      <w:r w:rsidRPr="008F227E">
        <w:tab/>
        <w:t>(</w:t>
      </w:r>
      <w:r>
        <w:t>d</w:t>
      </w:r>
      <w:r w:rsidRPr="008F227E">
        <w:t>á</w:t>
      </w:r>
      <w:r>
        <w:t>y</w:t>
      </w:r>
      <w:r w:rsidRPr="008F227E">
        <w:t>f:</w:t>
      </w:r>
      <w:r>
        <w:t xml:space="preserve"> </w:t>
      </w:r>
      <w:r w:rsidRPr="008F227E">
        <w:t xml:space="preserve"> weak, feeble, or fragile</w:t>
      </w:r>
      <w:r>
        <w:t xml:space="preserve">) </w:t>
      </w:r>
      <w:r w:rsidRPr="00067E88">
        <w:t>single entity or item</w:t>
      </w:r>
      <w:r>
        <w:t>;—</w:t>
      </w:r>
      <w:r w:rsidRPr="00067E88">
        <w:t>pl. supporters or items that support or connect</w:t>
      </w:r>
      <w:r>
        <w:t>, as in connected arguments.  See m</w:t>
      </w:r>
      <w:r>
        <w:rPr>
          <w:rFonts w:eastAsia="PMingLiU"/>
          <w:lang w:eastAsia="zh-TW"/>
        </w:rPr>
        <w:t>uta</w:t>
      </w:r>
      <w:r w:rsidRPr="008F03E5">
        <w:rPr>
          <w:rFonts w:eastAsia="PMingLiU"/>
          <w:lang w:eastAsia="zh-TW"/>
        </w:rPr>
        <w:t>ṣadíq</w:t>
      </w:r>
      <w:r>
        <w:rPr>
          <w:rFonts w:eastAsia="PMingLiU"/>
          <w:lang w:eastAsia="zh-TW"/>
        </w:rPr>
        <w:t>.</w:t>
      </w:r>
    </w:p>
    <w:p w14:paraId="5B9970B7" w14:textId="77777777" w:rsidR="00625A5B" w:rsidRPr="008F03E5" w:rsidRDefault="00625A5B" w:rsidP="00B92DC3">
      <w:pPr>
        <w:pStyle w:val="Translit"/>
      </w:pPr>
      <w:r w:rsidRPr="008F03E5">
        <w:t>Mutafarriq, Mutafarriqat</w:t>
      </w:r>
      <w:r w:rsidRPr="008F03E5">
        <w:tab/>
        <w:t>Mutafarriq, pl. Mutafarriqát</w:t>
      </w:r>
      <w:r w:rsidRPr="008F03E5">
        <w:tab/>
        <w:t>dispersed, scattered; sporadic</w:t>
      </w:r>
    </w:p>
    <w:p w14:paraId="28861245" w14:textId="77777777" w:rsidR="00625A5B" w:rsidRPr="008F03E5" w:rsidRDefault="00625A5B" w:rsidP="001B6066">
      <w:pPr>
        <w:pStyle w:val="Translit"/>
      </w:pPr>
      <w:r w:rsidRPr="008F03E5">
        <w:t>Mutaffif, Mutaffifin</w:t>
      </w:r>
      <w:r w:rsidRPr="008F03E5">
        <w:tab/>
        <w:t>Muṭaffif, pl. Muṭaffifín</w:t>
      </w:r>
      <w:r w:rsidRPr="008F03E5">
        <w:tab/>
        <w:t>one who does not give full measure, one who gives less than is due, a swindler</w:t>
      </w:r>
    </w:p>
    <w:p w14:paraId="3A77A939" w14:textId="77777777" w:rsidR="00625A5B" w:rsidRPr="008F03E5" w:rsidRDefault="00625A5B" w:rsidP="00D817DD">
      <w:pPr>
        <w:pStyle w:val="Translit"/>
        <w:rPr>
          <w:rFonts w:eastAsia="PMingLiU"/>
          <w:lang w:eastAsia="zh-TW"/>
        </w:rPr>
      </w:pPr>
      <w:r w:rsidRPr="008F03E5">
        <w:rPr>
          <w:rFonts w:eastAsia="PMingLiU"/>
          <w:lang w:eastAsia="zh-TW"/>
        </w:rPr>
        <w:t>Mutahhar</w:t>
      </w:r>
      <w:r w:rsidRPr="008F03E5">
        <w:tab/>
      </w:r>
      <w:r w:rsidRPr="008F03E5">
        <w:rPr>
          <w:rFonts w:eastAsia="PMingLiU"/>
          <w:lang w:eastAsia="zh-TW"/>
        </w:rPr>
        <w:t>Mu</w:t>
      </w:r>
      <w:r w:rsidRPr="008F03E5">
        <w:t>ṭ</w:t>
      </w:r>
      <w:r w:rsidRPr="008F03E5">
        <w:rPr>
          <w:rFonts w:eastAsia="PMingLiU"/>
          <w:lang w:eastAsia="zh-TW"/>
        </w:rPr>
        <w:t>ahhar</w:t>
      </w:r>
      <w:r w:rsidRPr="008F03E5">
        <w:tab/>
        <w:t>pure, immaculate</w:t>
      </w:r>
    </w:p>
    <w:p w14:paraId="1BA3C67A" w14:textId="77777777" w:rsidR="00625A5B" w:rsidRPr="008F03E5" w:rsidRDefault="00625A5B" w:rsidP="00404762">
      <w:pPr>
        <w:pStyle w:val="Translit"/>
        <w:rPr>
          <w:rFonts w:eastAsia="PMingLiU"/>
          <w:lang w:eastAsia="zh-TW"/>
        </w:rPr>
      </w:pPr>
      <w:r w:rsidRPr="008F03E5">
        <w:rPr>
          <w:rFonts w:eastAsia="PMingLiU"/>
          <w:lang w:eastAsia="zh-TW"/>
        </w:rPr>
        <w:t>Mutahhari</w:t>
      </w:r>
      <w:r w:rsidRPr="008F03E5">
        <w:tab/>
      </w:r>
      <w:r w:rsidRPr="008F03E5">
        <w:rPr>
          <w:rFonts w:eastAsia="PMingLiU"/>
          <w:lang w:eastAsia="zh-TW"/>
        </w:rPr>
        <w:t>Mu</w:t>
      </w:r>
      <w:r w:rsidRPr="008F03E5">
        <w:t>ṭ</w:t>
      </w:r>
      <w:r w:rsidRPr="008F03E5">
        <w:rPr>
          <w:rFonts w:eastAsia="PMingLiU"/>
          <w:lang w:eastAsia="zh-TW"/>
        </w:rPr>
        <w:t>ahharí</w:t>
      </w:r>
      <w:r w:rsidRPr="008F03E5">
        <w:tab/>
      </w:r>
    </w:p>
    <w:p w14:paraId="7501F6D5" w14:textId="77777777" w:rsidR="00625A5B" w:rsidRPr="008F03E5" w:rsidRDefault="00625A5B" w:rsidP="0078210A">
      <w:pPr>
        <w:pStyle w:val="Translit"/>
      </w:pPr>
      <w:r w:rsidRPr="008F03E5">
        <w:t>Mutakabbir</w:t>
      </w:r>
      <w:r w:rsidRPr="008F03E5">
        <w:tab/>
        <w:t>Mutakabbir</w:t>
      </w:r>
      <w:r w:rsidRPr="008F03E5">
        <w:tab/>
        <w:t>proud, imperious, high-handed, haughty, supercilious, overweening; lofty; a name of God</w:t>
      </w:r>
    </w:p>
    <w:p w14:paraId="67673247" w14:textId="77777777" w:rsidR="00625A5B" w:rsidRPr="008F03E5" w:rsidRDefault="00625A5B" w:rsidP="003C22E6">
      <w:pPr>
        <w:pStyle w:val="Translit"/>
      </w:pPr>
      <w:r w:rsidRPr="008F03E5">
        <w:t>Mutakallim, Mutakallimin</w:t>
      </w:r>
      <w:r w:rsidRPr="008F03E5">
        <w:tab/>
        <w:t>Mutakallim, pl. Mutakallimín</w:t>
      </w:r>
      <w:r w:rsidRPr="008F03E5">
        <w:tab/>
        <w:t>speaking (active particle); speaker, spokesman; first person (grammar); Muslim theologian, scholastic</w:t>
      </w:r>
    </w:p>
    <w:p w14:paraId="7D00B305" w14:textId="77777777" w:rsidR="00625A5B" w:rsidRPr="008F03E5" w:rsidRDefault="00625A5B" w:rsidP="00616EE5">
      <w:pPr>
        <w:pStyle w:val="Translit"/>
      </w:pPr>
      <w:r w:rsidRPr="008F03E5">
        <w:t>Mutamaddin</w:t>
      </w:r>
      <w:r w:rsidRPr="008F03E5">
        <w:tab/>
        <w:t>Mutamaddin</w:t>
      </w:r>
      <w:r w:rsidRPr="008F03E5">
        <w:tab/>
        <w:t>civilized; sophisticated, refined, educated</w:t>
      </w:r>
    </w:p>
    <w:p w14:paraId="1EE0AFDE" w14:textId="77777777" w:rsidR="00625A5B" w:rsidRPr="008F03E5" w:rsidRDefault="00625A5B" w:rsidP="00076D84">
      <w:pPr>
        <w:pStyle w:val="Translit"/>
      </w:pPr>
      <w:r w:rsidRPr="008F03E5">
        <w:t>Mutammin</w:t>
      </w:r>
      <w:r w:rsidRPr="008F03E5">
        <w:tab/>
        <w:t>Mutammim</w:t>
      </w:r>
      <w:r w:rsidRPr="008F03E5">
        <w:tab/>
        <w:t>Pers. a completer, perfecter, finisher; (in mathematics) a complement; one who runs to despatch a wounded man; one who hangs an amulet round the neck of an infant to protect it against fascination</w:t>
      </w:r>
    </w:p>
    <w:p w14:paraId="2CC7A474" w14:textId="77777777" w:rsidR="00625A5B" w:rsidRPr="008F03E5" w:rsidRDefault="00625A5B" w:rsidP="002656B8">
      <w:pPr>
        <w:pStyle w:val="Translit"/>
      </w:pPr>
      <w:r w:rsidRPr="008F03E5">
        <w:t>Mutammin-i-Bayan</w:t>
      </w:r>
      <w:r w:rsidRPr="008F03E5">
        <w:tab/>
        <w:t>Mutammin-i-Bayán</w:t>
      </w:r>
      <w:r w:rsidRPr="008F03E5">
        <w:tab/>
        <w:t>“Completion of the Bayán” written by Mírzá Yaḥyá</w:t>
      </w:r>
    </w:p>
    <w:p w14:paraId="01FCB097" w14:textId="77777777" w:rsidR="00625A5B" w:rsidRPr="008F03E5" w:rsidRDefault="00625A5B" w:rsidP="00630794">
      <w:pPr>
        <w:pStyle w:val="Translit"/>
      </w:pPr>
      <w:r w:rsidRPr="008F03E5">
        <w:t>Mutanabbi, Mutanabbiyun</w:t>
      </w:r>
      <w:r w:rsidRPr="008F03E5">
        <w:tab/>
        <w:t>Mutanabbí, pl. Mutanabbiyún</w:t>
      </w:r>
      <w:r w:rsidRPr="008F03E5">
        <w:tab/>
        <w:t>one who calls himself a prophet; a pseudo-prophet.  Abú aṭ-Ṭayyib Aḥmad ibn al-Ḥusayn al-Mutanabbí al-Kindí (915–965) from al-Kúfah, Iraq, was a famous ‘Abbásid Arab poet in Aleppo.  He was one of the greatest, most prominent and influential poets in the Arabic language.  Much of his poetry revolves around praising the kings he visited during his lifetime in return for money and gifts.  He claimed to be a Nabí’—hence the name al-Mutanabbí (“The would-be prophet”), but recanted in 935 and became a wandering poet.  a</w:t>
      </w:r>
      <w:r w:rsidRPr="008F03E5">
        <w:rPr>
          <w:i/>
          <w:iCs/>
        </w:rPr>
        <w:t>l-Mutanabbiyún</w:t>
      </w:r>
      <w:r w:rsidRPr="008F03E5">
        <w:t xml:space="preserve"> by I‘tiḍád as-Salṭana.</w:t>
      </w:r>
    </w:p>
    <w:p w14:paraId="560F380B" w14:textId="77777777" w:rsidR="00625A5B" w:rsidRPr="008F03E5" w:rsidRDefault="00625A5B" w:rsidP="001410BB">
      <w:pPr>
        <w:pStyle w:val="Translit"/>
      </w:pPr>
      <w:r w:rsidRPr="008F03E5">
        <w:t>Mutaqarib</w:t>
      </w:r>
      <w:r w:rsidRPr="008F03E5">
        <w:tab/>
        <w:t>Mutaqárib</w:t>
      </w:r>
      <w:r w:rsidRPr="008F03E5">
        <w:tab/>
        <w:t>near to each other, proximate; a metre (fa‘úlun repeated eight times)</w:t>
      </w:r>
    </w:p>
    <w:p w14:paraId="20E5D7C4" w14:textId="77777777" w:rsidR="00625A5B" w:rsidRPr="008F03E5" w:rsidRDefault="00625A5B" w:rsidP="000657C9">
      <w:pPr>
        <w:pStyle w:val="Translit"/>
      </w:pPr>
      <w:r w:rsidRPr="008F03E5">
        <w:t>Mutarjam</w:t>
      </w:r>
      <w:r w:rsidRPr="008F03E5">
        <w:tab/>
        <w:t>Mutarjam</w:t>
      </w:r>
      <w:r w:rsidRPr="008F03E5">
        <w:tab/>
        <w:t>translated</w:t>
      </w:r>
    </w:p>
    <w:p w14:paraId="2C93358C" w14:textId="77777777" w:rsidR="00625A5B" w:rsidRPr="008F03E5" w:rsidRDefault="00625A5B" w:rsidP="000657C9">
      <w:pPr>
        <w:pStyle w:val="Translit"/>
      </w:pPr>
      <w:r w:rsidRPr="008F03E5">
        <w:t>Mutarjim</w:t>
      </w:r>
      <w:r w:rsidRPr="008F03E5">
        <w:tab/>
        <w:t>Mutarjim</w:t>
      </w:r>
      <w:r w:rsidRPr="008F03E5">
        <w:tab/>
        <w:t>translator, interpreter; biographer</w:t>
      </w:r>
    </w:p>
    <w:p w14:paraId="267A104E" w14:textId="77777777" w:rsidR="00625A5B" w:rsidRDefault="00625A5B" w:rsidP="00616FDF">
      <w:pPr>
        <w:pStyle w:val="Translit"/>
      </w:pPr>
      <w:r>
        <w:rPr>
          <w:rFonts w:eastAsia="PMingLiU"/>
          <w:lang w:eastAsia="zh-TW"/>
        </w:rPr>
        <w:t>Mutasadiq, Mutasadiqan</w:t>
      </w:r>
      <w:r>
        <w:rPr>
          <w:rFonts w:eastAsia="PMingLiU"/>
          <w:lang w:eastAsia="zh-TW"/>
        </w:rPr>
        <w:tab/>
        <w:t>Muta</w:t>
      </w:r>
      <w:r w:rsidRPr="008F03E5">
        <w:rPr>
          <w:rFonts w:eastAsia="PMingLiU"/>
          <w:lang w:eastAsia="zh-TW"/>
        </w:rPr>
        <w:t>ṣadíq</w:t>
      </w:r>
      <w:r>
        <w:rPr>
          <w:rFonts w:eastAsia="PMingLiU"/>
          <w:lang w:eastAsia="zh-TW"/>
        </w:rPr>
        <w:t>, pl. Muta</w:t>
      </w:r>
      <w:r w:rsidRPr="008F03E5">
        <w:rPr>
          <w:rFonts w:eastAsia="PMingLiU"/>
          <w:lang w:eastAsia="zh-TW"/>
        </w:rPr>
        <w:t>ṣadíq</w:t>
      </w:r>
      <w:r w:rsidRPr="000079AB">
        <w:t>á</w:t>
      </w:r>
      <w:r>
        <w:rPr>
          <w:rFonts w:eastAsia="PMingLiU"/>
          <w:lang w:eastAsia="zh-TW"/>
        </w:rPr>
        <w:t>n</w:t>
      </w:r>
      <w:r>
        <w:rPr>
          <w:rFonts w:eastAsia="PMingLiU"/>
          <w:lang w:eastAsia="zh-TW"/>
        </w:rPr>
        <w:tab/>
        <w:t xml:space="preserve">friendly or unconnected, “independent” arguments.  </w:t>
      </w:r>
      <w:r w:rsidRPr="000079AB">
        <w:t>See mutadáyf.</w:t>
      </w:r>
    </w:p>
    <w:p w14:paraId="33D04F03" w14:textId="77777777" w:rsidR="00625A5B" w:rsidRPr="008F03E5" w:rsidRDefault="00625A5B" w:rsidP="00424F19">
      <w:pPr>
        <w:pStyle w:val="Translit"/>
      </w:pPr>
      <w:r w:rsidRPr="008F03E5">
        <w:t>Mutasarrif</w:t>
      </w:r>
      <w:r w:rsidRPr="008F03E5">
        <w:tab/>
        <w:t>Mutaṣarrif</w:t>
      </w:r>
      <w:r w:rsidRPr="008F03E5">
        <w:tab/>
        <w:t>provincial governor</w:t>
      </w:r>
    </w:p>
    <w:p w14:paraId="5973F54A" w14:textId="77777777" w:rsidR="00625A5B" w:rsidRPr="008F03E5" w:rsidRDefault="00625A5B" w:rsidP="00D76340">
      <w:pPr>
        <w:pStyle w:val="Translit"/>
      </w:pPr>
      <w:r w:rsidRPr="008F03E5">
        <w:t>Mutasawwifa</w:t>
      </w:r>
      <w:r w:rsidRPr="008F03E5">
        <w:tab/>
        <w:t>al-Mutaṣawwifa</w:t>
      </w:r>
      <w:r w:rsidRPr="008F03E5">
        <w:tab/>
        <w:t>the Sufis, members of Sufi communities, mystics</w:t>
      </w:r>
    </w:p>
    <w:p w14:paraId="5095F17F" w14:textId="77777777" w:rsidR="00625A5B" w:rsidRPr="008F03E5" w:rsidRDefault="00625A5B" w:rsidP="00846165">
      <w:pPr>
        <w:pStyle w:val="Translit"/>
      </w:pPr>
      <w:r w:rsidRPr="008F03E5">
        <w:t>Mutashabih (Mutishabih), Mutashabihat</w:t>
      </w:r>
      <w:r w:rsidRPr="008F03E5">
        <w:tab/>
        <w:t>Muta</w:t>
      </w:r>
      <w:r w:rsidRPr="008F03E5">
        <w:rPr>
          <w:u w:val="single"/>
        </w:rPr>
        <w:t>sh</w:t>
      </w:r>
      <w:r w:rsidRPr="008F03E5">
        <w:t>ábih, pl. Muta</w:t>
      </w:r>
      <w:r w:rsidRPr="008F03E5">
        <w:rPr>
          <w:u w:val="single"/>
        </w:rPr>
        <w:t>sh</w:t>
      </w:r>
      <w:r w:rsidRPr="008F03E5">
        <w:t>ábihát</w:t>
      </w:r>
      <w:r w:rsidRPr="008F03E5">
        <w:tab/>
        <w:t>ambiguous, equivocal and allegorical.  Refer to Qur’án 3:7.</w:t>
      </w:r>
    </w:p>
    <w:p w14:paraId="235E7845" w14:textId="77777777" w:rsidR="00625A5B" w:rsidRPr="008F03E5" w:rsidRDefault="00625A5B" w:rsidP="00F07891">
      <w:pPr>
        <w:pStyle w:val="Translit"/>
      </w:pPr>
      <w:r w:rsidRPr="008F03E5">
        <w:t>Mutasharri’, Mutasharri’in</w:t>
      </w:r>
      <w:r w:rsidRPr="008F03E5">
        <w:tab/>
        <w:t>Muta</w:t>
      </w:r>
      <w:r w:rsidRPr="008F03E5">
        <w:rPr>
          <w:u w:val="single"/>
        </w:rPr>
        <w:t>sh</w:t>
      </w:r>
      <w:r w:rsidRPr="008F03E5">
        <w:t>arri‘, pl. Muta</w:t>
      </w:r>
      <w:r w:rsidRPr="008F03E5">
        <w:rPr>
          <w:u w:val="single"/>
        </w:rPr>
        <w:t>sh</w:t>
      </w:r>
      <w:r w:rsidRPr="008F03E5">
        <w:t>arri‘ín</w:t>
      </w:r>
      <w:r w:rsidRPr="008F03E5">
        <w:tab/>
        <w:t xml:space="preserve">skilled in law; orthodox.  (plural not formed by adding an “s” – </w:t>
      </w:r>
      <w:r w:rsidRPr="008F03E5">
        <w:rPr>
          <w:i/>
          <w:iCs/>
        </w:rPr>
        <w:t>A Traveller’s Narrative</w:t>
      </w:r>
      <w:r w:rsidRPr="008F03E5">
        <w:t xml:space="preserve"> 89)</w:t>
      </w:r>
    </w:p>
    <w:p w14:paraId="7A38AE74" w14:textId="77777777" w:rsidR="00625A5B" w:rsidRPr="008F03E5" w:rsidRDefault="00625A5B" w:rsidP="003303FA">
      <w:pPr>
        <w:pStyle w:val="Translit"/>
      </w:pPr>
      <w:r w:rsidRPr="008F03E5">
        <w:t>Mutatabbib</w:t>
      </w:r>
      <w:r w:rsidRPr="008F03E5">
        <w:tab/>
        <w:t>Mutaṭabbib</w:t>
      </w:r>
      <w:r w:rsidRPr="008F03E5">
        <w:tab/>
        <w:t>a student of the art of medicine; a medical practitioner.  Meaning may have changed to quack.</w:t>
      </w:r>
    </w:p>
    <w:p w14:paraId="6B898B9A" w14:textId="77777777" w:rsidR="00625A5B" w:rsidRPr="008F03E5" w:rsidRDefault="00625A5B" w:rsidP="00424F19">
      <w:pPr>
        <w:pStyle w:val="Translit"/>
      </w:pPr>
      <w:r w:rsidRPr="008F03E5">
        <w:t>Mutawahhid</w:t>
      </w:r>
      <w:r w:rsidRPr="008F03E5">
        <w:tab/>
        <w:t>Mutawaḥḥid</w:t>
      </w:r>
      <w:r w:rsidRPr="008F03E5">
        <w:tab/>
        <w:t>solitary, rare, sporadic, isolated; recluse, hermit.  See Munzawí</w:t>
      </w:r>
    </w:p>
    <w:p w14:paraId="16BD8FB4" w14:textId="77777777" w:rsidR="00625A5B" w:rsidRPr="008F03E5" w:rsidRDefault="00625A5B" w:rsidP="00AA0995">
      <w:pPr>
        <w:pStyle w:val="Translit"/>
      </w:pPr>
      <w:r w:rsidRPr="008F03E5">
        <w:t>Mutawakil</w:t>
      </w:r>
      <w:r w:rsidRPr="008F03E5">
        <w:tab/>
        <w:t>Mutawakkil</w:t>
      </w:r>
      <w:r w:rsidRPr="008F03E5">
        <w:tab/>
        <w:t xml:space="preserve">trusting in God, resigned to one’s fate, trustworthy.  </w:t>
      </w:r>
      <w:r>
        <w:t>‘</w:t>
      </w:r>
      <w:r w:rsidRPr="004240CD">
        <w:t>Ab</w:t>
      </w:r>
      <w:r>
        <w:t>ú</w:t>
      </w:r>
      <w:r w:rsidRPr="004240CD">
        <w:t xml:space="preserve"> al-Faḍl Ja</w:t>
      </w:r>
      <w:r>
        <w:t>‘</w:t>
      </w:r>
      <w:r w:rsidRPr="004240CD">
        <w:t>far ibn Muḥammad ibn H</w:t>
      </w:r>
      <w:r>
        <w:t>á</w:t>
      </w:r>
      <w:r w:rsidRPr="004240CD">
        <w:t>r</w:t>
      </w:r>
      <w:r>
        <w:t>ú</w:t>
      </w:r>
      <w:r w:rsidRPr="004240CD">
        <w:t>n</w:t>
      </w:r>
      <w:r>
        <w:t xml:space="preserve"> (</w:t>
      </w:r>
      <w:r w:rsidRPr="004240CD">
        <w:t>822</w:t>
      </w:r>
      <w:r>
        <w:t>–</w:t>
      </w:r>
      <w:r w:rsidRPr="004240CD">
        <w:t xml:space="preserve">861), commonly known by his regnal name al-Mutawakkil </w:t>
      </w:r>
      <w:r>
        <w:t>‘</w:t>
      </w:r>
      <w:r w:rsidRPr="004240CD">
        <w:t>al</w:t>
      </w:r>
      <w:r>
        <w:t>á</w:t>
      </w:r>
      <w:r w:rsidRPr="004240CD">
        <w:t xml:space="preserve"> All</w:t>
      </w:r>
      <w:r>
        <w:t>á</w:t>
      </w:r>
      <w:r w:rsidRPr="004240CD">
        <w:t>h</w:t>
      </w:r>
      <w:r>
        <w:t xml:space="preserve"> (“</w:t>
      </w:r>
      <w:r w:rsidRPr="004240CD">
        <w:t>He who relies on God</w:t>
      </w:r>
      <w:r>
        <w:t>”</w:t>
      </w:r>
      <w:r w:rsidRPr="004240CD">
        <w:t>), was the tenth Abbasid caliph</w:t>
      </w:r>
      <w:r>
        <w:t xml:space="preserve"> (r. </w:t>
      </w:r>
      <w:r w:rsidRPr="004240CD">
        <w:t>847</w:t>
      </w:r>
      <w:r>
        <w:t>–</w:t>
      </w:r>
      <w:r w:rsidRPr="004240CD">
        <w:t>861</w:t>
      </w:r>
      <w:r>
        <w:t>)</w:t>
      </w:r>
      <w:r w:rsidRPr="004240CD">
        <w:t>.</w:t>
      </w:r>
      <w:r>
        <w:t xml:space="preserve">  </w:t>
      </w:r>
      <w:r w:rsidRPr="008F03E5">
        <w:t>al-Mutawakkil III (Mutawakkil A‘lá Alláh a</w:t>
      </w:r>
      <w:r w:rsidRPr="008F03E5">
        <w:rPr>
          <w:u w:val="single"/>
        </w:rPr>
        <w:t>th</w:t>
      </w:r>
      <w:r w:rsidRPr="008F03E5">
        <w:t>-</w:t>
      </w:r>
      <w:r w:rsidRPr="008F03E5">
        <w:rPr>
          <w:u w:val="single"/>
        </w:rPr>
        <w:t>th</w:t>
      </w:r>
      <w:r w:rsidRPr="008F03E5">
        <w:t>áli</w:t>
      </w:r>
      <w:r w:rsidRPr="008F03E5">
        <w:rPr>
          <w:u w:val="single"/>
        </w:rPr>
        <w:t>th</w:t>
      </w:r>
      <w:r w:rsidRPr="008F03E5">
        <w:t xml:space="preserve">) (died 1543) was the 17th Caliph of Cairo for the Mamluk Sultanate from 1508 to 1516, and again in 1517.  He was the last caliph of the later Egyptian-based Caliphate.  In 1517, Ottoman Sulṭán Salím </w:t>
      </w:r>
      <w:r w:rsidRPr="008F03E5">
        <w:rPr>
          <w:sz w:val="16"/>
          <w:szCs w:val="16"/>
        </w:rPr>
        <w:t>I</w:t>
      </w:r>
      <w:r w:rsidRPr="008F03E5">
        <w:t xml:space="preserve"> defeated the Mamluk Sultanate. al-Mutawakkil </w:t>
      </w:r>
      <w:r w:rsidRPr="008F03E5">
        <w:rPr>
          <w:sz w:val="16"/>
          <w:szCs w:val="16"/>
        </w:rPr>
        <w:t>III</w:t>
      </w:r>
      <w:r w:rsidRPr="008F03E5">
        <w:t xml:space="preserve"> and it is claimed that he formally surrendered the title of caliph to Salím.</w:t>
      </w:r>
    </w:p>
    <w:p w14:paraId="013EB081" w14:textId="77777777" w:rsidR="00625A5B" w:rsidRPr="008F03E5" w:rsidRDefault="00625A5B" w:rsidP="00AA0995">
      <w:pPr>
        <w:pStyle w:val="Translit"/>
      </w:pPr>
      <w:r w:rsidRPr="008F03E5">
        <w:t>Mutawakil</w:t>
      </w:r>
      <w:r w:rsidRPr="008F03E5">
        <w:tab/>
        <w:t>Mutawakkil</w:t>
      </w:r>
      <w:r w:rsidRPr="008F03E5">
        <w:tab/>
        <w:t>trusting in God, resigned to one’s fate, trustworthy.  al-Mutawakkil III (Mutawakkil A‘lá Alláh a</w:t>
      </w:r>
      <w:r w:rsidRPr="008F03E5">
        <w:rPr>
          <w:u w:val="single"/>
        </w:rPr>
        <w:t>th</w:t>
      </w:r>
      <w:r w:rsidRPr="008F03E5">
        <w:t>-</w:t>
      </w:r>
      <w:r w:rsidRPr="008F03E5">
        <w:rPr>
          <w:u w:val="single"/>
        </w:rPr>
        <w:t>th</w:t>
      </w:r>
      <w:r w:rsidRPr="008F03E5">
        <w:t>áli</w:t>
      </w:r>
      <w:r w:rsidRPr="008F03E5">
        <w:rPr>
          <w:u w:val="single"/>
        </w:rPr>
        <w:t>th</w:t>
      </w:r>
      <w:r w:rsidRPr="008F03E5">
        <w:t xml:space="preserve">) (died 1543) was the 17th Caliph of Cairo for the Mamluk Sultanate from 1508 to 1516, and again in 1517.  He was the last caliph of the later Egyptian-based Caliphate.  In 1517, Ottoman Sulṭán Salím </w:t>
      </w:r>
      <w:r w:rsidRPr="008F03E5">
        <w:rPr>
          <w:sz w:val="16"/>
          <w:szCs w:val="16"/>
        </w:rPr>
        <w:t>I</w:t>
      </w:r>
      <w:r w:rsidRPr="008F03E5">
        <w:t xml:space="preserve"> defeated the Mamluk Sultanate. al-Mutawakkil </w:t>
      </w:r>
      <w:r w:rsidRPr="008F03E5">
        <w:rPr>
          <w:sz w:val="16"/>
          <w:szCs w:val="16"/>
        </w:rPr>
        <w:t>III</w:t>
      </w:r>
      <w:r w:rsidRPr="008F03E5">
        <w:t xml:space="preserve"> and it is claimed that he formally surrendered the title of caliph to Salím.</w:t>
      </w:r>
    </w:p>
    <w:p w14:paraId="5D05FC9C" w14:textId="77777777" w:rsidR="00625A5B" w:rsidRPr="008F03E5" w:rsidRDefault="00625A5B" w:rsidP="00DF475E">
      <w:pPr>
        <w:pStyle w:val="Translit"/>
      </w:pPr>
      <w:r w:rsidRPr="004240CD">
        <w:rPr>
          <w:lang w:val="it-IT"/>
        </w:rPr>
        <w:t>Mutawalli (Mutavalli), Mutawalliyun</w:t>
      </w:r>
      <w:r w:rsidRPr="004240CD">
        <w:rPr>
          <w:lang w:val="it-IT"/>
        </w:rPr>
        <w:tab/>
        <w:t xml:space="preserve">Mutawallí, pl. </w:t>
      </w:r>
      <w:r w:rsidRPr="008F03E5">
        <w:t>Mutawalliyún</w:t>
      </w:r>
      <w:r w:rsidRPr="008F03E5">
        <w:tab/>
        <w:t>Pers. superintendent (manager, administrator), treasurer (custodian) or trustee of a mosque; an administrator or procurator of any religious or charitable foundation; a prefect, governor; one who turns his back, a fugitive; near; a kinsman, a friend; one who receives another as such.  For similar, see náẓir and qayyim.</w:t>
      </w:r>
    </w:p>
    <w:p w14:paraId="49B8CBE8" w14:textId="77777777" w:rsidR="00625A5B" w:rsidRPr="008F03E5" w:rsidRDefault="00625A5B" w:rsidP="00EC25FB">
      <w:pPr>
        <w:pStyle w:val="Translit"/>
      </w:pPr>
      <w:r w:rsidRPr="008F03E5">
        <w:t>Mutawassit</w:t>
      </w:r>
      <w:r w:rsidRPr="008F03E5">
        <w:tab/>
        <w:t>Mutawassiṭ</w:t>
      </w:r>
      <w:r w:rsidRPr="008F03E5">
        <w:tab/>
        <w:t>middle, medium; medial, median, intermediate; centrally located, central; mediating, intermediary; mediator, go between; mean, average.  al-Baḥr [al-Abyaḍ] al-Mutawassiṭ “the sea [white] middle”, an Arabic name for the Mediterranean Sea.</w:t>
      </w:r>
    </w:p>
    <w:p w14:paraId="5173636A" w14:textId="77777777" w:rsidR="00625A5B" w:rsidRPr="008F03E5" w:rsidRDefault="00625A5B" w:rsidP="009B2252">
      <w:pPr>
        <w:pStyle w:val="Translit"/>
      </w:pPr>
      <w:r w:rsidRPr="008F03E5">
        <w:t>Mutawatir, Mutawatirat</w:t>
      </w:r>
      <w:r w:rsidRPr="008F03E5">
        <w:tab/>
        <w:t>Mutawátir, pl. Mutawátirát</w:t>
      </w:r>
      <w:r w:rsidRPr="008F03E5">
        <w:tab/>
        <w:t>successive</w:t>
      </w:r>
    </w:p>
    <w:p w14:paraId="52B9B512" w14:textId="77777777" w:rsidR="00625A5B" w:rsidRPr="008F03E5" w:rsidRDefault="00625A5B" w:rsidP="00C14C02">
      <w:pPr>
        <w:pStyle w:val="Translit"/>
      </w:pPr>
      <w:r w:rsidRPr="008F03E5">
        <w:t>Muthamman</w:t>
      </w:r>
      <w:r w:rsidRPr="008F03E5">
        <w:tab/>
        <w:t>Mu</w:t>
      </w:r>
      <w:r w:rsidRPr="008F03E5">
        <w:rPr>
          <w:u w:val="single"/>
        </w:rPr>
        <w:t>th</w:t>
      </w:r>
      <w:r w:rsidRPr="008F03E5">
        <w:t>amman</w:t>
      </w:r>
      <w:r w:rsidRPr="008F03E5">
        <w:tab/>
        <w:t>eight-sided, eight-fold; an octagon</w:t>
      </w:r>
    </w:p>
    <w:p w14:paraId="39644C08" w14:textId="77777777" w:rsidR="00625A5B" w:rsidRPr="008F03E5" w:rsidRDefault="00625A5B" w:rsidP="0015246A">
      <w:pPr>
        <w:pStyle w:val="Translit"/>
      </w:pPr>
      <w:r w:rsidRPr="008F03E5">
        <w:t>Muthannan (Muthanna)</w:t>
      </w:r>
      <w:r w:rsidRPr="008F03E5">
        <w:tab/>
        <w:t>Mu</w:t>
      </w:r>
      <w:r w:rsidRPr="008F03E5">
        <w:rPr>
          <w:u w:val="single"/>
        </w:rPr>
        <w:t>th</w:t>
      </w:r>
      <w:r w:rsidRPr="008F03E5">
        <w:t>annan (with nunation)</w:t>
      </w:r>
      <w:r w:rsidRPr="008F03E5">
        <w:tab/>
        <w:t xml:space="preserve">double, twofold; doubled, (a letter) marked with two points, double-dotted (as </w:t>
      </w:r>
      <w:r w:rsidRPr="008F03E5">
        <w:rPr>
          <w:rtl/>
        </w:rPr>
        <w:t>ت</w:t>
      </w:r>
      <w:r w:rsidRPr="008F03E5">
        <w:t>); in the dual (grammar).  al-mu</w:t>
      </w:r>
      <w:r w:rsidRPr="008F03E5">
        <w:rPr>
          <w:u w:val="single"/>
        </w:rPr>
        <w:t>th</w:t>
      </w:r>
      <w:r w:rsidRPr="008F03E5">
        <w:t>anná (no nunation) “the dual” form.  Arabic has three forms of words:  the singular (al-mufrad), the dual (al-mu</w:t>
      </w:r>
      <w:r w:rsidRPr="008F03E5">
        <w:rPr>
          <w:u w:val="single"/>
        </w:rPr>
        <w:t>th</w:t>
      </w:r>
      <w:r w:rsidRPr="008F03E5">
        <w:t>anná), and the plural (al-jam‘).  A singular noun is changed to a dual by adding the suffix -áni (</w:t>
      </w:r>
      <w:r w:rsidRPr="008F03E5">
        <w:rPr>
          <w:rtl/>
        </w:rPr>
        <w:t>انِ</w:t>
      </w:r>
      <w:r w:rsidRPr="008F03E5">
        <w:t>) for the nominative case (e.g. kitábán) or -ayni (</w:t>
      </w:r>
      <w:r w:rsidRPr="008F03E5">
        <w:rPr>
          <w:rtl/>
        </w:rPr>
        <w:t>ايِ</w:t>
      </w:r>
      <w:r w:rsidRPr="008F03E5">
        <w:t>) for the genitive and accusative cases (e.g. kitábayn).  The tá’ marbúṭa (</w:t>
      </w:r>
      <w:r w:rsidRPr="008F03E5">
        <w:rPr>
          <w:rtl/>
        </w:rPr>
        <w:t>ۃ</w:t>
      </w:r>
      <w:r w:rsidRPr="008F03E5">
        <w:t>) ending of a feminine noun is changed to a “t” (</w:t>
      </w:r>
      <w:r w:rsidRPr="008F03E5">
        <w:rPr>
          <w:rtl/>
        </w:rPr>
        <w:t>ت</w:t>
      </w:r>
      <w:r w:rsidRPr="008F03E5">
        <w:t>), before adding the previous suffixes (e.g. jamíla becomes jamílatán and jamílatayn repectively).</w:t>
      </w:r>
    </w:p>
    <w:p w14:paraId="57C5963D" w14:textId="77777777" w:rsidR="00625A5B" w:rsidRPr="008F03E5" w:rsidRDefault="00625A5B" w:rsidP="00327C63">
      <w:pPr>
        <w:pStyle w:val="Translit"/>
      </w:pPr>
      <w:r w:rsidRPr="00077779">
        <w:rPr>
          <w:lang w:val="es-ES_tradnl"/>
        </w:rPr>
        <w:t>Mutisarrif, Mutasarrifa, Mutisarrifun</w:t>
      </w:r>
      <w:r w:rsidRPr="00077779">
        <w:rPr>
          <w:lang w:val="es-ES_tradnl"/>
        </w:rPr>
        <w:tab/>
        <w:t xml:space="preserve">Mutiṣarrif, pl. </w:t>
      </w:r>
      <w:r w:rsidRPr="008F03E5">
        <w:t>Mutiṣarrifún</w:t>
      </w:r>
      <w:r w:rsidRPr="008F03E5">
        <w:tab/>
        <w:t>also Mutaṣarrif (fem. mutaṣarrifa[t]) a possessor, occupant, enjoyer, master; one who uses his own discretion; profuse, extravagant; dexterous; declined.  An administrative authority of an Ottoman region.  Approximates as a provincial governor.</w:t>
      </w:r>
    </w:p>
    <w:p w14:paraId="52217900" w14:textId="77777777" w:rsidR="00625A5B" w:rsidRPr="008F03E5" w:rsidRDefault="00625A5B" w:rsidP="00C43773">
      <w:pPr>
        <w:pStyle w:val="Translit"/>
        <w:rPr>
          <w:rFonts w:eastAsia="PMingLiU"/>
          <w:lang w:eastAsia="zh-TW"/>
        </w:rPr>
      </w:pPr>
      <w:r w:rsidRPr="008F03E5">
        <w:rPr>
          <w:rFonts w:eastAsia="PMingLiU"/>
          <w:lang w:eastAsia="zh-TW"/>
        </w:rPr>
        <w:t>Mutlaq (Motlaq, Motlagh)</w:t>
      </w:r>
      <w:r w:rsidRPr="008F03E5">
        <w:tab/>
      </w:r>
      <w:r w:rsidRPr="008F03E5">
        <w:rPr>
          <w:rFonts w:eastAsia="PMingLiU"/>
          <w:lang w:eastAsia="zh-TW"/>
        </w:rPr>
        <w:t>Mu</w:t>
      </w:r>
      <w:r w:rsidRPr="008F03E5">
        <w:t>ṭ</w:t>
      </w:r>
      <w:r w:rsidRPr="008F03E5">
        <w:rPr>
          <w:rFonts w:eastAsia="PMingLiU"/>
          <w:lang w:eastAsia="zh-TW"/>
        </w:rPr>
        <w:t>laq</w:t>
      </w:r>
      <w:r w:rsidRPr="008F03E5">
        <w:tab/>
        <w:t xml:space="preserve">free, exempt, unrestrained; unconditional; indefinite, not shackled; independent, absolute, entire, universal; principal, supreme.  </w:t>
      </w:r>
      <w:r w:rsidRPr="008F03E5">
        <w:rPr>
          <w:rFonts w:eastAsia="PMingLiU"/>
          <w:lang w:eastAsia="zh-TW"/>
        </w:rPr>
        <w:t>Mu</w:t>
      </w:r>
      <w:r w:rsidRPr="008F03E5">
        <w:t>ṭ</w:t>
      </w:r>
      <w:r w:rsidRPr="008F03E5">
        <w:rPr>
          <w:rFonts w:eastAsia="PMingLiU"/>
          <w:lang w:eastAsia="zh-TW"/>
        </w:rPr>
        <w:t>laq</w:t>
      </w:r>
      <w:r w:rsidRPr="008F03E5">
        <w:t xml:space="preserve"> (free, pure, natural) in Islamic jurisprudence (Fiqh) refers to pure water.  A small quantity of muṭlaq water (qalíl) becomes impure if it comes into contact with impure substances, whereas a kurr (or larger) quantity does not.  c.f. muḍáf.</w:t>
      </w:r>
    </w:p>
    <w:p w14:paraId="692BE2D8" w14:textId="77777777" w:rsidR="00625A5B" w:rsidRPr="008F03E5" w:rsidRDefault="00625A5B" w:rsidP="00C56574">
      <w:pPr>
        <w:pStyle w:val="Translit"/>
        <w:rPr>
          <w:rFonts w:eastAsia="PMingLiU"/>
          <w:lang w:eastAsia="zh-TW"/>
        </w:rPr>
      </w:pPr>
      <w:r w:rsidRPr="008F03E5">
        <w:rPr>
          <w:rFonts w:eastAsia="PMingLiU"/>
          <w:lang w:eastAsia="zh-TW"/>
        </w:rPr>
        <w:t>Mutlaqan</w:t>
      </w:r>
      <w:r w:rsidRPr="008F03E5">
        <w:rPr>
          <w:rFonts w:eastAsia="PMingLiU"/>
          <w:lang w:eastAsia="zh-TW"/>
        </w:rPr>
        <w:tab/>
        <w:t>Muṭlaqan</w:t>
      </w:r>
      <w:r w:rsidRPr="008F03E5">
        <w:rPr>
          <w:rFonts w:eastAsia="PMingLiU"/>
          <w:lang w:eastAsia="zh-TW"/>
        </w:rPr>
        <w:tab/>
        <w:t>absolutely, unrestrictedly, without exception, in any respect, under any circumstances</w:t>
      </w:r>
    </w:p>
    <w:p w14:paraId="53AA5D3F" w14:textId="77777777" w:rsidR="00625A5B" w:rsidRPr="008F03E5" w:rsidRDefault="00625A5B" w:rsidP="006012BA">
      <w:pPr>
        <w:pStyle w:val="Translit"/>
        <w:rPr>
          <w:rFonts w:eastAsia="PMingLiU"/>
          <w:lang w:eastAsia="zh-TW"/>
        </w:rPr>
      </w:pPr>
      <w:r w:rsidRPr="008F03E5">
        <w:rPr>
          <w:rFonts w:eastAsia="PMingLiU"/>
          <w:lang w:eastAsia="zh-TW"/>
        </w:rPr>
        <w:t>Mutma’inn</w:t>
      </w:r>
      <w:r w:rsidRPr="008F03E5">
        <w:rPr>
          <w:rFonts w:eastAsia="PMingLiU"/>
          <w:lang w:eastAsia="zh-TW"/>
        </w:rPr>
        <w:tab/>
        <w:t>Muṭma’inn</w:t>
      </w:r>
      <w:r w:rsidRPr="008F03E5">
        <w:rPr>
          <w:rFonts w:eastAsia="PMingLiU"/>
          <w:lang w:eastAsia="zh-TW"/>
        </w:rPr>
        <w:tab/>
        <w:t>low, low-lying (of land); calm, quiet, at ease, composed, (re)assured, tranquil, serene, peaceable, peaceful, safe, secure; sure, certain; trusting, confident, of good hope</w:t>
      </w:r>
    </w:p>
    <w:p w14:paraId="49C81F7D" w14:textId="77777777" w:rsidR="00625A5B" w:rsidRPr="008F03E5" w:rsidRDefault="00625A5B" w:rsidP="00741855">
      <w:pPr>
        <w:pStyle w:val="Translit"/>
        <w:rPr>
          <w:rFonts w:eastAsia="PMingLiU"/>
          <w:lang w:eastAsia="zh-TW"/>
        </w:rPr>
      </w:pPr>
      <w:r w:rsidRPr="008F03E5">
        <w:rPr>
          <w:rFonts w:eastAsia="PMingLiU"/>
          <w:lang w:eastAsia="zh-TW"/>
        </w:rPr>
        <w:t>Muttahid, Muttahida (Muttahidih)</w:t>
      </w:r>
      <w:r w:rsidRPr="008F03E5">
        <w:rPr>
          <w:rFonts w:eastAsia="PMingLiU"/>
          <w:lang w:eastAsia="zh-TW"/>
        </w:rPr>
        <w:tab/>
        <w:t>Mutta</w:t>
      </w:r>
      <w:r w:rsidRPr="008F03E5">
        <w:t>ḥ</w:t>
      </w:r>
      <w:r w:rsidRPr="008F03E5">
        <w:rPr>
          <w:rFonts w:eastAsia="PMingLiU"/>
          <w:lang w:eastAsia="zh-TW"/>
        </w:rPr>
        <w:t>id, fem. Mutta</w:t>
      </w:r>
      <w:r w:rsidRPr="008F03E5">
        <w:t>ḥ</w:t>
      </w:r>
      <w:r w:rsidRPr="008F03E5">
        <w:rPr>
          <w:rFonts w:eastAsia="PMingLiU"/>
          <w:lang w:eastAsia="zh-TW"/>
        </w:rPr>
        <w:t>id[h or t]</w:t>
      </w:r>
      <w:r w:rsidRPr="008F03E5">
        <w:rPr>
          <w:rFonts w:eastAsia="PMingLiU"/>
          <w:lang w:eastAsia="zh-TW"/>
        </w:rPr>
        <w:tab/>
        <w:t>(Pers. “Mutta</w:t>
      </w:r>
      <w:r w:rsidRPr="008F03E5">
        <w:t>ḥ</w:t>
      </w:r>
      <w:r w:rsidRPr="008F03E5">
        <w:rPr>
          <w:rFonts w:eastAsia="PMingLiU"/>
          <w:lang w:eastAsia="zh-TW"/>
        </w:rPr>
        <w:t>idih”, “Mutahidih”, “</w:t>
      </w:r>
      <w:r w:rsidRPr="008F03E5">
        <w:t>Mottahedeh”</w:t>
      </w:r>
      <w:r w:rsidRPr="008F03E5">
        <w:rPr>
          <w:rFonts w:eastAsia="PMingLiU"/>
          <w:lang w:eastAsia="zh-TW"/>
        </w:rPr>
        <w:t>) united, combined, consolidated, amalgamated; uniform, standardized; harmonious, unanimous, in agreement, concordant</w:t>
      </w:r>
    </w:p>
    <w:p w14:paraId="1D6CE3F1" w14:textId="77777777" w:rsidR="00625A5B" w:rsidRPr="008F03E5" w:rsidRDefault="00625A5B" w:rsidP="00900A82">
      <w:pPr>
        <w:pStyle w:val="Translit"/>
      </w:pPr>
      <w:r w:rsidRPr="008F03E5">
        <w:rPr>
          <w:rFonts w:eastAsia="PMingLiU"/>
          <w:lang w:eastAsia="zh-TW"/>
        </w:rPr>
        <w:t>Muttalib</w:t>
      </w:r>
      <w:r w:rsidRPr="008F03E5">
        <w:tab/>
      </w:r>
      <w:r w:rsidRPr="008F03E5">
        <w:rPr>
          <w:rFonts w:eastAsia="PMingLiU"/>
          <w:lang w:eastAsia="zh-TW"/>
        </w:rPr>
        <w:t>Mu</w:t>
      </w:r>
      <w:r w:rsidRPr="008F03E5">
        <w:t>ṭṭ</w:t>
      </w:r>
      <w:r w:rsidRPr="008F03E5">
        <w:rPr>
          <w:rFonts w:eastAsia="PMingLiU"/>
          <w:lang w:eastAsia="zh-TW"/>
        </w:rPr>
        <w:t>alib</w:t>
      </w:r>
      <w:r w:rsidRPr="008F03E5">
        <w:tab/>
        <w:t xml:space="preserve">a seeker.  ‘Abdu’l-Muṭṭallib </w:t>
      </w:r>
      <w:r w:rsidRPr="008F03E5">
        <w:rPr>
          <w:u w:val="single"/>
        </w:rPr>
        <w:t>Sh</w:t>
      </w:r>
      <w:r w:rsidRPr="008F03E5">
        <w:t>aybah ibn Há</w:t>
      </w:r>
      <w:r w:rsidRPr="008F03E5">
        <w:rPr>
          <w:u w:val="single"/>
        </w:rPr>
        <w:t>sh</w:t>
      </w:r>
      <w:r w:rsidRPr="008F03E5">
        <w:t>im (c. 497–578, grandfather of Muḥammad).  Há</w:t>
      </w:r>
      <w:r w:rsidRPr="008F03E5">
        <w:rPr>
          <w:u w:val="single"/>
        </w:rPr>
        <w:t>sh</w:t>
      </w:r>
      <w:r w:rsidRPr="008F03E5">
        <w:t>im ibn ‘Abd Manáf (c. 464–497, born ‘Amr al-‘Ulá, great grandfather of Muḥammad).  ‘Abd Alláh ibn ‘Abd al-Muṭṭalib (c. 546–570, father of the Prophet Muḥammad ibn ‘Abdu’lláh).</w:t>
      </w:r>
    </w:p>
    <w:p w14:paraId="75714CBE" w14:textId="77777777" w:rsidR="00625A5B" w:rsidRPr="008F03E5" w:rsidRDefault="00625A5B" w:rsidP="00851478">
      <w:pPr>
        <w:pStyle w:val="Translit"/>
      </w:pPr>
      <w:r w:rsidRPr="008F03E5">
        <w:t>Muttaqi</w:t>
      </w:r>
      <w:r w:rsidRPr="008F03E5">
        <w:tab/>
        <w:t>Muttaqí</w:t>
      </w:r>
      <w:r w:rsidRPr="008F03E5">
        <w:tab/>
        <w:t>abstinent, abstemious, temperate, sober; cautious; God-fearing, pious</w:t>
      </w:r>
    </w:p>
    <w:p w14:paraId="169A1E12" w14:textId="77777777" w:rsidR="00625A5B" w:rsidRPr="008F03E5" w:rsidRDefault="00625A5B" w:rsidP="008161DD">
      <w:pPr>
        <w:pStyle w:val="Translit"/>
        <w:rPr>
          <w:rFonts w:eastAsia="PMingLiU"/>
          <w:lang w:eastAsia="zh-TW"/>
        </w:rPr>
      </w:pPr>
      <w:r w:rsidRPr="008F03E5">
        <w:rPr>
          <w:rFonts w:eastAsia="PMingLiU"/>
          <w:lang w:eastAsia="zh-TW"/>
        </w:rPr>
        <w:t>Muttaqin, Muttaqun</w:t>
      </w:r>
      <w:r w:rsidRPr="008F03E5">
        <w:rPr>
          <w:rFonts w:eastAsia="PMingLiU"/>
          <w:lang w:eastAsia="zh-TW"/>
        </w:rPr>
        <w:tab/>
        <w:t>Muttaqin, pl. Muttaqún</w:t>
      </w:r>
      <w:r w:rsidRPr="008F03E5">
        <w:rPr>
          <w:rFonts w:eastAsia="PMingLiU"/>
          <w:lang w:eastAsia="zh-TW"/>
        </w:rPr>
        <w:tab/>
        <w:t>god-fearing, godly, devout, pious</w:t>
      </w:r>
    </w:p>
    <w:p w14:paraId="3180548F" w14:textId="77777777" w:rsidR="00625A5B" w:rsidRPr="008F03E5" w:rsidRDefault="00625A5B" w:rsidP="0034409D">
      <w:pPr>
        <w:pStyle w:val="Translit"/>
        <w:rPr>
          <w:rFonts w:eastAsia="PMingLiU"/>
          <w:lang w:eastAsia="zh-TW"/>
        </w:rPr>
      </w:pPr>
      <w:r w:rsidRPr="008F03E5">
        <w:rPr>
          <w:rFonts w:eastAsia="PMingLiU"/>
          <w:lang w:eastAsia="zh-TW"/>
        </w:rPr>
        <w:t>Muwahhad</w:t>
      </w:r>
      <w:r w:rsidRPr="008F03E5">
        <w:tab/>
      </w:r>
      <w:r w:rsidRPr="008F03E5">
        <w:rPr>
          <w:rFonts w:eastAsia="PMingLiU"/>
          <w:lang w:eastAsia="zh-TW"/>
        </w:rPr>
        <w:t>Muwa</w:t>
      </w:r>
      <w:r w:rsidRPr="008F03E5">
        <w:t>ḥḥa</w:t>
      </w:r>
      <w:r w:rsidRPr="008F03E5">
        <w:rPr>
          <w:rFonts w:eastAsia="PMingLiU"/>
          <w:lang w:eastAsia="zh-TW"/>
        </w:rPr>
        <w:t>d</w:t>
      </w:r>
      <w:r w:rsidRPr="008F03E5">
        <w:tab/>
        <w:t>combined, consolidated, amalgamated; united; unified; standardized, regularized; having one diacritical point (letter)</w:t>
      </w:r>
    </w:p>
    <w:p w14:paraId="2338B862" w14:textId="77777777" w:rsidR="00625A5B" w:rsidRPr="008F03E5" w:rsidRDefault="00625A5B" w:rsidP="005F3DB5">
      <w:pPr>
        <w:pStyle w:val="Translit"/>
        <w:rPr>
          <w:rFonts w:eastAsia="PMingLiU"/>
          <w:lang w:eastAsia="zh-TW"/>
        </w:rPr>
      </w:pPr>
      <w:r w:rsidRPr="008F03E5">
        <w:rPr>
          <w:rFonts w:eastAsia="PMingLiU"/>
          <w:lang w:eastAsia="zh-TW"/>
        </w:rPr>
        <w:t>Muwahhid (Muvahhid), Muwahhidun</w:t>
      </w:r>
      <w:r w:rsidRPr="008F03E5">
        <w:tab/>
      </w:r>
      <w:r w:rsidRPr="008F03E5">
        <w:rPr>
          <w:rFonts w:eastAsia="PMingLiU"/>
          <w:lang w:eastAsia="zh-TW"/>
        </w:rPr>
        <w:t>Muwa</w:t>
      </w:r>
      <w:r w:rsidRPr="008F03E5">
        <w:t>ḥḥ</w:t>
      </w:r>
      <w:r w:rsidRPr="008F03E5">
        <w:rPr>
          <w:rFonts w:eastAsia="PMingLiU"/>
          <w:lang w:eastAsia="zh-TW"/>
        </w:rPr>
        <w:t>id, pl. Muwa</w:t>
      </w:r>
      <w:r w:rsidRPr="008F03E5">
        <w:t>ḥḥ</w:t>
      </w:r>
      <w:r w:rsidRPr="008F03E5">
        <w:rPr>
          <w:rFonts w:eastAsia="PMingLiU"/>
          <w:lang w:eastAsia="zh-TW"/>
        </w:rPr>
        <w:t>id</w:t>
      </w:r>
      <w:r w:rsidRPr="008F03E5">
        <w:t>ú</w:t>
      </w:r>
      <w:r w:rsidRPr="008F03E5">
        <w:rPr>
          <w:rFonts w:eastAsia="PMingLiU"/>
          <w:lang w:eastAsia="zh-TW"/>
        </w:rPr>
        <w:t>n</w:t>
      </w:r>
      <w:r w:rsidRPr="008F03E5">
        <w:tab/>
        <w:t xml:space="preserve">one who believes in the unity of God, orthodox; a Unitarian.  Followers of Muḥammad ‘Alí after the death of Bahá’u’lláh (the náqiḍín) described themselves as </w:t>
      </w:r>
      <w:r w:rsidRPr="008F03E5">
        <w:rPr>
          <w:rFonts w:eastAsia="PMingLiU"/>
          <w:lang w:eastAsia="zh-TW"/>
        </w:rPr>
        <w:t>muwa</w:t>
      </w:r>
      <w:r w:rsidRPr="008F03E5">
        <w:t>ḥḥ</w:t>
      </w:r>
      <w:r w:rsidRPr="008F03E5">
        <w:rPr>
          <w:rFonts w:eastAsia="PMingLiU"/>
          <w:lang w:eastAsia="zh-TW"/>
        </w:rPr>
        <w:t>id</w:t>
      </w:r>
      <w:r w:rsidRPr="008F03E5">
        <w:t>ú</w:t>
      </w:r>
      <w:r w:rsidRPr="008F03E5">
        <w:rPr>
          <w:rFonts w:eastAsia="PMingLiU"/>
          <w:lang w:eastAsia="zh-TW"/>
        </w:rPr>
        <w:t>n.</w:t>
      </w:r>
      <w:r w:rsidRPr="008F03E5">
        <w:t xml:space="preserve">  See mu</w:t>
      </w:r>
      <w:r w:rsidRPr="008F03E5">
        <w:rPr>
          <w:u w:val="single"/>
        </w:rPr>
        <w:t>sh</w:t>
      </w:r>
      <w:r w:rsidRPr="008F03E5">
        <w:t xml:space="preserve">rikún and </w:t>
      </w:r>
      <w:r w:rsidRPr="008F03E5">
        <w:rPr>
          <w:u w:val="single"/>
        </w:rPr>
        <w:t>th</w:t>
      </w:r>
      <w:r w:rsidRPr="008F03E5">
        <w:t>ábit.</w:t>
      </w:r>
    </w:p>
    <w:p w14:paraId="5206578D" w14:textId="77777777" w:rsidR="00625A5B" w:rsidRPr="008F03E5" w:rsidRDefault="00625A5B" w:rsidP="00D8115B">
      <w:pPr>
        <w:pStyle w:val="Translit"/>
      </w:pPr>
      <w:r w:rsidRPr="008F03E5">
        <w:t>Muwallad, Muwallada, Muwalladat</w:t>
      </w:r>
      <w:r w:rsidRPr="008F03E5">
        <w:tab/>
        <w:t>Muwallad, fem. Muwallada[t]</w:t>
      </w:r>
      <w:r w:rsidRPr="008F03E5">
        <w:tab/>
        <w:t>born, begotten, produced, generated; brought up, raised; born and raised among Arabs (but not of pure Arab blood); not truly old Arabic, introduced later into the language, post-classical (especially of words); half-breed, half-caste, half-blood;—pl. Muwalladát, Muwalladún</w:t>
      </w:r>
    </w:p>
    <w:p w14:paraId="58598ECB" w14:textId="77777777" w:rsidR="00625A5B" w:rsidRPr="008F03E5" w:rsidRDefault="00625A5B" w:rsidP="0034409D">
      <w:pPr>
        <w:pStyle w:val="Translit"/>
      </w:pPr>
      <w:r w:rsidRPr="008F03E5">
        <w:t>Muwaqqar (Muvaqqar)</w:t>
      </w:r>
      <w:r w:rsidRPr="008F03E5">
        <w:tab/>
        <w:t>Muwaqqar</w:t>
      </w:r>
      <w:r w:rsidRPr="008F03E5">
        <w:tab/>
        <w:t>respected, held in respect; venerable, reverend</w:t>
      </w:r>
    </w:p>
    <w:p w14:paraId="7EC7E207" w14:textId="77777777" w:rsidR="00625A5B" w:rsidRPr="008F03E5" w:rsidRDefault="00625A5B" w:rsidP="00FE42B4">
      <w:pPr>
        <w:pStyle w:val="Translit"/>
      </w:pPr>
      <w:r w:rsidRPr="008F03E5">
        <w:t>Muwaqqari’d-Dawla</w:t>
      </w:r>
      <w:r w:rsidRPr="008F03E5">
        <w:tab/>
        <w:t>Muwaqqari’d-Dawla</w:t>
      </w:r>
      <w:r w:rsidRPr="008F03E5">
        <w:tab/>
        <w:t>(“Pers.” Muwaqqari’d-Dawlih, “Mu</w:t>
      </w:r>
      <w:r>
        <w:t>v</w:t>
      </w:r>
      <w:r w:rsidRPr="008F03E5">
        <w:t>aqqari’d-Dawlih”) “revered state”, a title.  Mírzá ‘Alí Muḥammad Áqá, Muvaqqaru’d-Dawlih, father of Ḥasan Muwaqqar Bályúzí, a governor of the Persian Gulf Ports and Islands, and later a Vazír.</w:t>
      </w:r>
    </w:p>
    <w:p w14:paraId="5537100B" w14:textId="77777777" w:rsidR="00625A5B" w:rsidRPr="008F03E5" w:rsidRDefault="00625A5B" w:rsidP="00EA77D1">
      <w:pPr>
        <w:pStyle w:val="Translit"/>
        <w:rPr>
          <w:b/>
          <w:bCs/>
        </w:rPr>
      </w:pPr>
      <w:r w:rsidRPr="008F03E5">
        <w:rPr>
          <w:rFonts w:eastAsia="PMingLiU"/>
          <w:lang w:eastAsia="zh-TW"/>
        </w:rPr>
        <w:t>Muwasa</w:t>
      </w:r>
      <w:r>
        <w:rPr>
          <w:rFonts w:eastAsia="PMingLiU"/>
          <w:lang w:eastAsia="zh-TW"/>
        </w:rPr>
        <w:t xml:space="preserve">, </w:t>
      </w:r>
      <w:r w:rsidRPr="008F03E5">
        <w:rPr>
          <w:rFonts w:eastAsia="PMingLiU"/>
          <w:lang w:eastAsia="zh-TW"/>
        </w:rPr>
        <w:t>Muwasa</w:t>
      </w:r>
      <w:r>
        <w:rPr>
          <w:rFonts w:eastAsia="PMingLiU"/>
          <w:lang w:eastAsia="zh-TW"/>
        </w:rPr>
        <w:t>t</w:t>
      </w:r>
      <w:r w:rsidRPr="008F03E5">
        <w:rPr>
          <w:rFonts w:eastAsia="PMingLiU"/>
          <w:lang w:eastAsia="zh-TW"/>
        </w:rPr>
        <w:t xml:space="preserve"> (Muvasat)</w:t>
      </w:r>
      <w:r w:rsidRPr="008F03E5">
        <w:rPr>
          <w:rFonts w:eastAsia="PMingLiU"/>
          <w:lang w:eastAsia="zh-TW"/>
        </w:rPr>
        <w:tab/>
        <w:t>Muwásá</w:t>
      </w:r>
      <w:r>
        <w:rPr>
          <w:rFonts w:eastAsia="PMingLiU"/>
          <w:lang w:eastAsia="zh-TW"/>
        </w:rPr>
        <w:t>[h]</w:t>
      </w:r>
      <w:r>
        <w:rPr>
          <w:rFonts w:eastAsia="PMingLiU"/>
          <w:lang w:eastAsia="zh-TW"/>
        </w:rPr>
        <w:tab/>
      </w:r>
      <w:r w:rsidRPr="008F03E5">
        <w:rPr>
          <w:rFonts w:eastAsia="PMingLiU"/>
          <w:lang w:eastAsia="zh-TW"/>
        </w:rPr>
        <w:t>(</w:t>
      </w:r>
      <w:r>
        <w:rPr>
          <w:rFonts w:eastAsia="PMingLiU"/>
          <w:lang w:eastAsia="zh-TW"/>
        </w:rPr>
        <w:t xml:space="preserve">fem. </w:t>
      </w:r>
      <w:r w:rsidRPr="008F03E5">
        <w:rPr>
          <w:rFonts w:eastAsia="PMingLiU"/>
          <w:lang w:eastAsia="zh-TW"/>
        </w:rPr>
        <w:t xml:space="preserve">for </w:t>
      </w:r>
      <w:r>
        <w:rPr>
          <w:rFonts w:eastAsia="PMingLiU"/>
          <w:lang w:eastAsia="zh-TW"/>
        </w:rPr>
        <w:t>m</w:t>
      </w:r>
      <w:r w:rsidRPr="008F03E5">
        <w:rPr>
          <w:rFonts w:eastAsia="PMingLiU"/>
          <w:lang w:eastAsia="zh-TW"/>
        </w:rPr>
        <w:t>u’ásá</w:t>
      </w:r>
      <w:r>
        <w:rPr>
          <w:rFonts w:eastAsia="PMingLiU"/>
          <w:lang w:eastAsia="zh-TW"/>
        </w:rPr>
        <w:t xml:space="preserve"> or m</w:t>
      </w:r>
      <w:r w:rsidRPr="008F03E5">
        <w:rPr>
          <w:rFonts w:eastAsia="PMingLiU"/>
          <w:lang w:eastAsia="zh-TW"/>
        </w:rPr>
        <w:t>u’ásáh</w:t>
      </w:r>
      <w:r>
        <w:rPr>
          <w:rFonts w:eastAsia="PMingLiU"/>
          <w:lang w:eastAsia="zh-TW"/>
        </w:rPr>
        <w:t xml:space="preserve">; </w:t>
      </w:r>
      <w:r>
        <w:t xml:space="preserve">convention, </w:t>
      </w:r>
      <w:r>
        <w:rPr>
          <w:rFonts w:eastAsia="PMingLiU"/>
          <w:lang w:eastAsia="zh-TW"/>
        </w:rPr>
        <w:t>m</w:t>
      </w:r>
      <w:r w:rsidRPr="008F03E5">
        <w:rPr>
          <w:rFonts w:eastAsia="PMingLiU"/>
          <w:lang w:eastAsia="zh-TW"/>
        </w:rPr>
        <w:t>uwásá</w:t>
      </w:r>
      <w:r>
        <w:rPr>
          <w:rFonts w:eastAsia="PMingLiU"/>
          <w:lang w:eastAsia="zh-TW"/>
        </w:rPr>
        <w:t>h</w:t>
      </w:r>
      <w:r>
        <w:t>, but is pronounced m</w:t>
      </w:r>
      <w:r w:rsidRPr="008F03E5">
        <w:rPr>
          <w:rFonts w:eastAsia="PMingLiU"/>
          <w:lang w:eastAsia="zh-TW"/>
        </w:rPr>
        <w:t>uwásá</w:t>
      </w:r>
      <w:r>
        <w:rPr>
          <w:rFonts w:eastAsia="PMingLiU"/>
          <w:lang w:eastAsia="zh-TW"/>
        </w:rPr>
        <w:t>t</w:t>
      </w:r>
      <w:r>
        <w:t xml:space="preserve"> when in combination with a word starting with a vowel, e.g. al-) </w:t>
      </w:r>
      <w:r w:rsidRPr="008F03E5">
        <w:rPr>
          <w:rFonts w:eastAsia="PMingLiU"/>
          <w:lang w:eastAsia="zh-TW"/>
        </w:rPr>
        <w:t>consolation; charity; beneficence</w:t>
      </w:r>
      <w:r>
        <w:rPr>
          <w:rFonts w:eastAsia="PMingLiU"/>
          <w:lang w:eastAsia="zh-TW"/>
        </w:rPr>
        <w:t>; fem.</w:t>
      </w:r>
      <w:r w:rsidRPr="008F03E5">
        <w:rPr>
          <w:rFonts w:eastAsia="PMingLiU"/>
          <w:lang w:eastAsia="zh-TW"/>
        </w:rPr>
        <w:t xml:space="preserve"> </w:t>
      </w:r>
      <w:r>
        <w:rPr>
          <w:rFonts w:eastAsia="PMingLiU"/>
          <w:lang w:eastAsia="zh-TW"/>
        </w:rPr>
        <w:t>s</w:t>
      </w:r>
      <w:r w:rsidRPr="008F03E5">
        <w:t xml:space="preserve">acrifice needs for others, </w:t>
      </w:r>
      <w:r w:rsidRPr="008F03E5">
        <w:rPr>
          <w:lang w:eastAsia="en-US"/>
        </w:rPr>
        <w:t xml:space="preserve">preferring others to oneself.  See </w:t>
      </w:r>
      <w:r>
        <w:rPr>
          <w:lang w:eastAsia="en-US"/>
        </w:rPr>
        <w:t xml:space="preserve">comment for </w:t>
      </w:r>
      <w:r w:rsidRPr="008F03E5">
        <w:rPr>
          <w:lang w:eastAsia="en-US"/>
        </w:rPr>
        <w:t>m</w:t>
      </w:r>
      <w:r w:rsidRPr="008F03E5">
        <w:t>usáwá.</w:t>
      </w:r>
    </w:p>
    <w:p w14:paraId="3C6F463F" w14:textId="77777777" w:rsidR="00625A5B" w:rsidRPr="008F03E5" w:rsidRDefault="00625A5B" w:rsidP="004E0F24">
      <w:pPr>
        <w:pStyle w:val="Translit"/>
        <w:rPr>
          <w:rFonts w:eastAsia="PMingLiU"/>
          <w:lang w:eastAsia="zh-TW"/>
        </w:rPr>
      </w:pPr>
      <w:r w:rsidRPr="008F03E5">
        <w:rPr>
          <w:rFonts w:eastAsia="PMingLiU"/>
          <w:lang w:eastAsia="zh-TW"/>
        </w:rPr>
        <w:t>Muzaffar</w:t>
      </w:r>
      <w:r w:rsidRPr="008F03E5">
        <w:rPr>
          <w:rFonts w:eastAsia="PMingLiU"/>
          <w:lang w:eastAsia="zh-TW"/>
        </w:rPr>
        <w:tab/>
        <w:t>Mu</w:t>
      </w:r>
      <w:r w:rsidRPr="008F03E5">
        <w:t>ẓ</w:t>
      </w:r>
      <w:r w:rsidRPr="008F03E5">
        <w:rPr>
          <w:rFonts w:eastAsia="PMingLiU"/>
          <w:lang w:eastAsia="zh-TW"/>
        </w:rPr>
        <w:t>affar</w:t>
      </w:r>
      <w:r w:rsidRPr="008F03E5">
        <w:rPr>
          <w:rFonts w:eastAsia="PMingLiU"/>
          <w:lang w:eastAsia="zh-TW"/>
        </w:rPr>
        <w:tab/>
      </w:r>
      <w:r w:rsidRPr="008F03E5">
        <w:t>(Muzaffer, Mozaffar, Mosafir)</w:t>
      </w:r>
      <w:r w:rsidRPr="008F03E5">
        <w:rPr>
          <w:rFonts w:eastAsia="PMingLiU"/>
          <w:lang w:eastAsia="zh-TW"/>
        </w:rPr>
        <w:t xml:space="preserve"> victorious, successful, triumphant</w:t>
      </w:r>
    </w:p>
    <w:p w14:paraId="13E6A6F9" w14:textId="77777777" w:rsidR="00625A5B" w:rsidRPr="008F03E5" w:rsidRDefault="00625A5B" w:rsidP="003C69B9">
      <w:pPr>
        <w:pStyle w:val="Translit"/>
      </w:pPr>
      <w:r w:rsidRPr="008F03E5">
        <w:t>Muzaffari’d-Din</w:t>
      </w:r>
      <w:r w:rsidRPr="008F03E5">
        <w:tab/>
        <w:t xml:space="preserve">Muẓaffari’d-Dín, </w:t>
      </w:r>
      <w:r w:rsidRPr="008F03E5">
        <w:rPr>
          <w:u w:val="single"/>
        </w:rPr>
        <w:t>Sh</w:t>
      </w:r>
      <w:r w:rsidRPr="008F03E5">
        <w:t>áh</w:t>
      </w:r>
    </w:p>
    <w:p w14:paraId="12A047E5" w14:textId="77777777" w:rsidR="00625A5B" w:rsidRPr="008F03E5" w:rsidRDefault="00625A5B" w:rsidP="003C69B9">
      <w:pPr>
        <w:pStyle w:val="Translit"/>
      </w:pPr>
      <w:r w:rsidRPr="008F03E5">
        <w:t>Muzammal</w:t>
      </w:r>
      <w:r w:rsidRPr="008F03E5">
        <w:tab/>
        <w:t>Muzammal</w:t>
      </w:r>
      <w:r w:rsidRPr="008F03E5">
        <w:tab/>
        <w:t>muffled up, concealed in one’s garments</w:t>
      </w:r>
    </w:p>
    <w:p w14:paraId="29F2E0D4" w14:textId="77777777" w:rsidR="00625A5B" w:rsidRPr="008F03E5" w:rsidRDefault="00625A5B" w:rsidP="00D32AFC">
      <w:pPr>
        <w:pStyle w:val="Translit"/>
      </w:pPr>
      <w:r w:rsidRPr="008F03E5">
        <w:t>Muzdalifa</w:t>
      </w:r>
      <w:r w:rsidRPr="008F03E5">
        <w:tab/>
        <w:t>Muzdalifa[h or t]</w:t>
      </w:r>
      <w:r w:rsidRPr="008F03E5">
        <w:tab/>
        <w:t>an open, level area near Mecca associated with the Ḥajj.  It lies just southeast of Miná, on the route between Miná and ‘Arafát.</w:t>
      </w:r>
    </w:p>
    <w:p w14:paraId="65A7E72D" w14:textId="77777777" w:rsidR="00625A5B" w:rsidRPr="008F03E5" w:rsidRDefault="00625A5B" w:rsidP="00C5517C">
      <w:pPr>
        <w:pStyle w:val="Translit"/>
      </w:pPr>
      <w:r w:rsidRPr="008F03E5">
        <w:t>Muzdawij</w:t>
      </w:r>
      <w:r w:rsidRPr="008F03E5">
        <w:tab/>
        <w:t>Muzdawij</w:t>
      </w:r>
      <w:r w:rsidRPr="008F03E5">
        <w:tab/>
        <w:t>coupled, united, wedded.  A poetic style that includes alliteration or a rhyme scheme within the ending words of two lines, and follows a specific meter.  It is very similar to the Persian, Urdu, and Turkish ma</w:t>
      </w:r>
      <w:r w:rsidRPr="008F03E5">
        <w:rPr>
          <w:u w:val="single"/>
        </w:rPr>
        <w:t>th</w:t>
      </w:r>
      <w:r w:rsidRPr="008F03E5">
        <w:t>nawí, with one major difference:  most muzdawij follows an aaa/bbb/ccc pattern, while the other ma</w:t>
      </w:r>
      <w:r w:rsidRPr="008F03E5">
        <w:rPr>
          <w:u w:val="single"/>
        </w:rPr>
        <w:t>th</w:t>
      </w:r>
      <w:r w:rsidRPr="008F03E5">
        <w:t>nawí follow an aa/bb/cc pattern.</w:t>
      </w:r>
    </w:p>
    <w:p w14:paraId="755C9218" w14:textId="77777777" w:rsidR="00625A5B" w:rsidRPr="008F03E5" w:rsidRDefault="00625A5B" w:rsidP="00DC0746">
      <w:pPr>
        <w:pStyle w:val="Translit"/>
      </w:pPr>
      <w:r w:rsidRPr="008F03E5">
        <w:t>Muzha, Muzhgan</w:t>
      </w:r>
      <w:r w:rsidRPr="008F03E5">
        <w:tab/>
        <w:t>Mu</w:t>
      </w:r>
      <w:r w:rsidRPr="008F03E5">
        <w:rPr>
          <w:u w:val="single"/>
        </w:rPr>
        <w:t>zh</w:t>
      </w:r>
      <w:r w:rsidRPr="008F03E5">
        <w:t>a (</w:t>
      </w:r>
      <w:r w:rsidRPr="008F03E5">
        <w:rPr>
          <w:rtl/>
        </w:rPr>
        <w:t>مژه</w:t>
      </w:r>
      <w:r w:rsidRPr="008F03E5">
        <w:t>), pl. Mu</w:t>
      </w:r>
      <w:r w:rsidRPr="008F03E5">
        <w:rPr>
          <w:u w:val="single"/>
        </w:rPr>
        <w:t>zh</w:t>
      </w:r>
      <w:r w:rsidRPr="008F03E5">
        <w:t>gán</w:t>
      </w:r>
      <w:r w:rsidRPr="008F03E5">
        <w:tab/>
        <w:t>Pers. (“Mozha”, “Mozhgan”, “Mozhan”, “Mojan”) eyelash</w:t>
      </w:r>
    </w:p>
    <w:p w14:paraId="7B5DA05F" w14:textId="77777777" w:rsidR="00625A5B" w:rsidRPr="008F03E5" w:rsidRDefault="00625A5B" w:rsidP="003C69B9">
      <w:pPr>
        <w:pStyle w:val="Translit"/>
      </w:pPr>
      <w:r w:rsidRPr="008F03E5">
        <w:t>Muzzammil</w:t>
      </w:r>
      <w:r w:rsidRPr="008F03E5">
        <w:tab/>
        <w:t>Muzzammil</w:t>
      </w:r>
      <w:r w:rsidRPr="008F03E5">
        <w:tab/>
        <w:t>one who wraps up and hides in his garments</w:t>
      </w:r>
    </w:p>
    <w:p w14:paraId="51DE4DE1" w14:textId="77777777" w:rsidR="00625A5B" w:rsidRPr="001457C8" w:rsidRDefault="00625A5B" w:rsidP="0024326A">
      <w:pPr>
        <w:pStyle w:val="Myhead"/>
        <w:rPr>
          <w:lang w:val="pl-PL"/>
        </w:rPr>
      </w:pPr>
      <w:bookmarkStart w:id="113" w:name="N"/>
      <w:r w:rsidRPr="001457C8">
        <w:rPr>
          <w:lang w:val="pl-PL"/>
        </w:rPr>
        <w:t>N</w:t>
      </w:r>
      <w:bookmarkEnd w:id="113"/>
    </w:p>
    <w:p w14:paraId="585E83D5" w14:textId="77777777" w:rsidR="00625A5B" w:rsidRPr="008F03E5" w:rsidRDefault="00625A5B" w:rsidP="00836ADB">
      <w:pPr>
        <w:pStyle w:val="Translit"/>
      </w:pPr>
      <w:r w:rsidRPr="001457C8">
        <w:rPr>
          <w:lang w:val="pl-PL"/>
        </w:rPr>
        <w:t>Na (Nah)</w:t>
      </w:r>
      <w:r w:rsidRPr="001457C8">
        <w:rPr>
          <w:lang w:val="pl-PL"/>
        </w:rPr>
        <w:tab/>
        <w:t>Na</w:t>
      </w:r>
      <w:r w:rsidRPr="001457C8">
        <w:rPr>
          <w:lang w:val="pl-PL"/>
        </w:rPr>
        <w:tab/>
        <w:t xml:space="preserve">Pers. </w:t>
      </w:r>
      <w:r w:rsidRPr="008F03E5">
        <w:t>(sometimes, in poetry, nah), no, not, neither, not yet</w:t>
      </w:r>
    </w:p>
    <w:p w14:paraId="3CF46D14" w14:textId="77777777" w:rsidR="00625A5B" w:rsidRPr="008F03E5" w:rsidRDefault="00625A5B" w:rsidP="00A56238">
      <w:pPr>
        <w:pStyle w:val="Translit"/>
      </w:pPr>
      <w:r w:rsidRPr="008F03E5">
        <w:t>Na Khayr (Na Khair)</w:t>
      </w:r>
      <w:r w:rsidRPr="008F03E5">
        <w:tab/>
        <w:t xml:space="preserve">Na </w:t>
      </w:r>
      <w:r w:rsidRPr="008F03E5">
        <w:rPr>
          <w:u w:val="single"/>
        </w:rPr>
        <w:t>Kh</w:t>
      </w:r>
      <w:r w:rsidRPr="008F03E5">
        <w:t>ayr</w:t>
      </w:r>
      <w:r w:rsidRPr="008F03E5">
        <w:tab/>
        <w:t>Pers. no, not at all (“modern colloquialism”)</w:t>
      </w:r>
    </w:p>
    <w:p w14:paraId="080964EC" w14:textId="77777777" w:rsidR="00625A5B" w:rsidRPr="008F03E5" w:rsidRDefault="00625A5B" w:rsidP="004E55BA">
      <w:pPr>
        <w:pStyle w:val="Translit"/>
      </w:pPr>
      <w:r w:rsidRPr="008F03E5">
        <w:t>Na’am</w:t>
      </w:r>
      <w:r w:rsidRPr="008F03E5">
        <w:tab/>
        <w:t>Na‘am</w:t>
      </w:r>
      <w:r w:rsidRPr="008F03E5">
        <w:tab/>
        <w:t>(interjection) yes!  yes indeed!  certainly!  surely!  (introducing a verbal clause:) to be sure … (usually isolated word),  Na‘am’ (colloquial) I beg your pardon? what did you say?</w:t>
      </w:r>
    </w:p>
    <w:p w14:paraId="6B715E3D" w14:textId="77777777" w:rsidR="00625A5B" w:rsidRPr="008F03E5" w:rsidRDefault="00625A5B" w:rsidP="00FF7899">
      <w:pPr>
        <w:pStyle w:val="Translit"/>
      </w:pPr>
      <w:r w:rsidRPr="001457C8">
        <w:rPr>
          <w:lang w:val="pl-PL"/>
        </w:rPr>
        <w:t>Na’am, An’am</w:t>
      </w:r>
      <w:r w:rsidRPr="001457C8">
        <w:rPr>
          <w:lang w:val="pl-PL"/>
        </w:rPr>
        <w:tab/>
        <w:t xml:space="preserve">Na‘am, pl. </w:t>
      </w:r>
      <w:r w:rsidRPr="008F03E5">
        <w:t>An‘ám</w:t>
      </w:r>
      <w:r w:rsidRPr="008F03E5">
        <w:tab/>
        <w:t>(noun) grazing livestock (e.g. sheep, camels, cattle, goats); hence “common herd” (people)</w:t>
      </w:r>
    </w:p>
    <w:p w14:paraId="77394650" w14:textId="77777777" w:rsidR="00625A5B" w:rsidRPr="001457C8" w:rsidRDefault="00625A5B" w:rsidP="00240AD3">
      <w:pPr>
        <w:pStyle w:val="Translit"/>
        <w:rPr>
          <w:lang w:val="de-DE"/>
        </w:rPr>
      </w:pPr>
      <w:r w:rsidRPr="001457C8">
        <w:rPr>
          <w:lang w:val="de-DE"/>
        </w:rPr>
        <w:t>Na’am, La; Balih, Nah</w:t>
      </w:r>
      <w:r w:rsidRPr="001457C8">
        <w:rPr>
          <w:lang w:val="de-DE"/>
        </w:rPr>
        <w:tab/>
        <w:t>Na‘am, Lá; Pers. Balih, Na (Nah)</w:t>
      </w:r>
      <w:r w:rsidRPr="001457C8">
        <w:rPr>
          <w:lang w:val="de-DE"/>
        </w:rPr>
        <w:tab/>
        <w:t>yes/no</w:t>
      </w:r>
    </w:p>
    <w:p w14:paraId="6B4B6A83" w14:textId="77777777" w:rsidR="00625A5B" w:rsidRPr="00077779" w:rsidRDefault="00625A5B" w:rsidP="00606190">
      <w:pPr>
        <w:pStyle w:val="Translit"/>
        <w:rPr>
          <w:lang w:val="de-DE"/>
        </w:rPr>
      </w:pPr>
      <w:r w:rsidRPr="001457C8">
        <w:rPr>
          <w:lang w:val="de-DE"/>
        </w:rPr>
        <w:t>Na’ib (1), Nuwwab</w:t>
      </w:r>
      <w:r w:rsidRPr="001457C8">
        <w:rPr>
          <w:lang w:val="de-DE"/>
        </w:rPr>
        <w:tab/>
        <w:t xml:space="preserve">Ná’ib, pl. </w:t>
      </w:r>
      <w:r w:rsidRPr="00077779">
        <w:rPr>
          <w:lang w:val="de-DE"/>
        </w:rPr>
        <w:t>Nuwwáb</w:t>
      </w:r>
      <w:r w:rsidRPr="00077779">
        <w:rPr>
          <w:lang w:val="de-DE"/>
        </w:rPr>
        <w:tab/>
        <w:t>representative, agent, proxy, intermediary, substitute, alternate; delegate; deputy (of a dárú</w:t>
      </w:r>
      <w:r w:rsidRPr="00077779">
        <w:rPr>
          <w:u w:val="single"/>
          <w:lang w:val="de-DE"/>
        </w:rPr>
        <w:t>gh</w:t>
      </w:r>
      <w:r w:rsidRPr="00077779">
        <w:rPr>
          <w:lang w:val="de-DE"/>
        </w:rPr>
        <w:t>a)</w:t>
      </w:r>
    </w:p>
    <w:p w14:paraId="474222BE" w14:textId="77777777" w:rsidR="00625A5B" w:rsidRPr="008F03E5" w:rsidRDefault="00625A5B" w:rsidP="00A1540F">
      <w:pPr>
        <w:pStyle w:val="Translit"/>
      </w:pPr>
      <w:r w:rsidRPr="00077779">
        <w:rPr>
          <w:lang w:val="de-DE"/>
        </w:rPr>
        <w:t>Na’ib (2), Na’iba, Na’ibat</w:t>
      </w:r>
      <w:r w:rsidRPr="00077779">
        <w:rPr>
          <w:lang w:val="de-DE"/>
        </w:rPr>
        <w:tab/>
        <w:t xml:space="preserve">Ná’ib, fem. </w:t>
      </w:r>
      <w:r w:rsidRPr="008F03E5">
        <w:t>Ná’iba[h or t], fem. pl. Ná’ibát</w:t>
      </w:r>
      <w:r w:rsidRPr="008F03E5">
        <w:tab/>
        <w:t>share, portion; allotment; contingent, quota; distributive share in estate, statutory portion.  Fem. vicissitudes, ups and downs (of luck, of a battle, etc.); heavy blow, disaster, calamity, misfortune.  Fem. pl. also nawá’ib.</w:t>
      </w:r>
    </w:p>
    <w:p w14:paraId="4F3BB64E" w14:textId="77777777" w:rsidR="00625A5B" w:rsidRPr="008F03E5" w:rsidRDefault="00625A5B" w:rsidP="00782463">
      <w:pPr>
        <w:pStyle w:val="Translit"/>
      </w:pPr>
      <w:r w:rsidRPr="008F03E5">
        <w:t>Na’ib al-‘Amm</w:t>
      </w:r>
      <w:r w:rsidRPr="008F03E5">
        <w:tab/>
        <w:t>a</w:t>
      </w:r>
      <w:r>
        <w:t>n</w:t>
      </w:r>
      <w:r w:rsidRPr="008F03E5">
        <w:t>-Ná’ib al-‘Ámm</w:t>
      </w:r>
      <w:r w:rsidRPr="008F03E5">
        <w:tab/>
        <w:t>general representative of the Hidden Imám without specific appointment by him</w:t>
      </w:r>
    </w:p>
    <w:p w14:paraId="40CD9BAA" w14:textId="77777777" w:rsidR="00625A5B" w:rsidRPr="008F03E5" w:rsidRDefault="00625A5B" w:rsidP="00487DD0">
      <w:pPr>
        <w:pStyle w:val="Translit"/>
      </w:pPr>
      <w:r w:rsidRPr="008F03E5">
        <w:t>Na’ib al-Ghayba</w:t>
      </w:r>
      <w:r w:rsidRPr="008F03E5">
        <w:tab/>
        <w:t>Ná’ib al-</w:t>
      </w:r>
      <w:r w:rsidRPr="008F03E5">
        <w:rPr>
          <w:u w:val="single"/>
        </w:rPr>
        <w:t>Gh</w:t>
      </w:r>
      <w:r w:rsidRPr="008F03E5">
        <w:t>ayba</w:t>
      </w:r>
      <w:r w:rsidRPr="008F03E5">
        <w:tab/>
        <w:t>“viceroy of the absence”</w:t>
      </w:r>
    </w:p>
    <w:p w14:paraId="2AD98D9E" w14:textId="77777777" w:rsidR="00625A5B" w:rsidRPr="008F03E5" w:rsidRDefault="00625A5B" w:rsidP="003551EF">
      <w:pPr>
        <w:pStyle w:val="Translit"/>
      </w:pPr>
      <w:r w:rsidRPr="008F03E5">
        <w:t>Na’ib al-Imam</w:t>
      </w:r>
      <w:r w:rsidRPr="008F03E5">
        <w:tab/>
        <w:t>Ná’ib al-Imám</w:t>
      </w:r>
      <w:r w:rsidRPr="008F03E5">
        <w:tab/>
        <w:t>representative of the Imám</w:t>
      </w:r>
    </w:p>
    <w:p w14:paraId="771ABD76" w14:textId="77777777" w:rsidR="00625A5B" w:rsidRPr="008F03E5" w:rsidRDefault="00625A5B" w:rsidP="00651E15">
      <w:pPr>
        <w:pStyle w:val="Translit"/>
      </w:pPr>
      <w:r w:rsidRPr="008F03E5">
        <w:t>Na’ib al-Iyala, Na’ibu’l-Iyalih</w:t>
      </w:r>
      <w:r w:rsidRPr="008F03E5">
        <w:tab/>
        <w:t>Ná’ib al-Iyála, Ná’ibu’l-Iyálih</w:t>
      </w:r>
      <w:r w:rsidRPr="008F03E5">
        <w:tab/>
        <w:t xml:space="preserve">“government agent”.  Íyálih incorrectly used in </w:t>
      </w:r>
      <w:r w:rsidRPr="008F03E5">
        <w:rPr>
          <w:sz w:val="16"/>
          <w:szCs w:val="16"/>
        </w:rPr>
        <w:t>GPB</w:t>
      </w:r>
      <w:r w:rsidRPr="008F03E5">
        <w:t xml:space="preserve"> and </w:t>
      </w:r>
      <w:r w:rsidRPr="008F03E5">
        <w:rPr>
          <w:sz w:val="16"/>
          <w:szCs w:val="16"/>
        </w:rPr>
        <w:t>BKG</w:t>
      </w:r>
      <w:r w:rsidRPr="008F03E5">
        <w:t>.</w:t>
      </w:r>
    </w:p>
    <w:p w14:paraId="57E35A9E" w14:textId="77777777" w:rsidR="00625A5B" w:rsidRPr="008F03E5" w:rsidRDefault="00625A5B" w:rsidP="005E2B3F">
      <w:pPr>
        <w:pStyle w:val="Translit"/>
      </w:pPr>
      <w:r w:rsidRPr="008F03E5">
        <w:t>Na’ib a</w:t>
      </w:r>
      <w:r>
        <w:t>s</w:t>
      </w:r>
      <w:r w:rsidRPr="008F03E5">
        <w:t>-Sadr</w:t>
      </w:r>
      <w:r w:rsidRPr="008F03E5">
        <w:tab/>
        <w:t>Ná’ib a</w:t>
      </w:r>
      <w:r>
        <w:t>s</w:t>
      </w:r>
      <w:r w:rsidRPr="008F03E5">
        <w:t>-Ṣadr</w:t>
      </w:r>
      <w:r w:rsidRPr="008F03E5">
        <w:tab/>
        <w:t>vice president</w:t>
      </w:r>
    </w:p>
    <w:p w14:paraId="481837E3" w14:textId="77777777" w:rsidR="00625A5B" w:rsidRPr="008F03E5" w:rsidRDefault="00625A5B" w:rsidP="00E658EC">
      <w:pPr>
        <w:pStyle w:val="Translit"/>
      </w:pPr>
      <w:r w:rsidRPr="008F03E5">
        <w:t>Na’ib-i-Khass</w:t>
      </w:r>
      <w:r w:rsidRPr="008F03E5">
        <w:tab/>
        <w:t>Ná’ib al-</w:t>
      </w:r>
      <w:r w:rsidRPr="008F03E5">
        <w:rPr>
          <w:u w:val="single"/>
        </w:rPr>
        <w:t>Kh</w:t>
      </w:r>
      <w:r w:rsidRPr="008F03E5">
        <w:t>áṣṣ, Pers. Ná’ib-i-</w:t>
      </w:r>
      <w:r w:rsidRPr="008F03E5">
        <w:rPr>
          <w:u w:val="single"/>
        </w:rPr>
        <w:t>Kh</w:t>
      </w:r>
      <w:r w:rsidRPr="008F03E5">
        <w:t>áṣṣ</w:t>
      </w:r>
      <w:r w:rsidRPr="008F03E5">
        <w:tab/>
        <w:t xml:space="preserve">exclusive representative of the </w:t>
      </w:r>
      <w:r>
        <w:t xml:space="preserve">Twelfth </w:t>
      </w:r>
      <w:r w:rsidRPr="008F03E5">
        <w:t>Imám (“Naib-i-Khas”), appointed by the four abwáb</w:t>
      </w:r>
      <w:r>
        <w:t>.  A title attributed by others to the Báb.</w:t>
      </w:r>
    </w:p>
    <w:p w14:paraId="6424ED28" w14:textId="77777777" w:rsidR="00625A5B" w:rsidRPr="008F03E5" w:rsidRDefault="00625A5B" w:rsidP="003227DB">
      <w:pPr>
        <w:pStyle w:val="Translit"/>
      </w:pPr>
      <w:r w:rsidRPr="008F03E5">
        <w:t>Na’im</w:t>
      </w:r>
      <w:r w:rsidRPr="008F03E5">
        <w:tab/>
        <w:t>Na‘ím</w:t>
      </w:r>
      <w:r w:rsidRPr="008F03E5">
        <w:tab/>
        <w:t>amenity, comfort, ease, happiness, felicity; gentle, tranquil, peaceful; blissful.  Mirza Muḥammad, sobriquet</w:t>
      </w:r>
      <w:r w:rsidRPr="008F03E5">
        <w:rPr>
          <w:rFonts w:eastAsia="PMingLiU"/>
          <w:lang w:eastAsia="zh-TW"/>
        </w:rPr>
        <w:t xml:space="preserve"> Na‘</w:t>
      </w:r>
      <w:r w:rsidRPr="008F03E5">
        <w:t>í</w:t>
      </w:r>
      <w:r w:rsidRPr="008F03E5">
        <w:rPr>
          <w:rFonts w:eastAsia="PMingLiU"/>
          <w:lang w:eastAsia="zh-TW"/>
        </w:rPr>
        <w:t xml:space="preserve">m, was a Bahá’í poet from </w:t>
      </w:r>
      <w:r w:rsidRPr="008F03E5">
        <w:t>Furú</w:t>
      </w:r>
      <w:r w:rsidRPr="008F03E5">
        <w:rPr>
          <w:u w:val="single"/>
        </w:rPr>
        <w:t>sh</w:t>
      </w:r>
      <w:r w:rsidRPr="008F03E5">
        <w:t>án</w:t>
      </w:r>
      <w:r w:rsidRPr="008F03E5">
        <w:rPr>
          <w:rFonts w:eastAsia="PMingLiU"/>
          <w:lang w:eastAsia="zh-TW"/>
        </w:rPr>
        <w:t>.</w:t>
      </w:r>
      <w:r>
        <w:rPr>
          <w:rFonts w:eastAsia="PMingLiU"/>
          <w:lang w:eastAsia="zh-TW"/>
        </w:rPr>
        <w:t xml:space="preserve">  </w:t>
      </w:r>
      <w:r w:rsidRPr="00AF0087">
        <w:t>Na</w:t>
      </w:r>
      <w:r>
        <w:t>‘í</w:t>
      </w:r>
      <w:r w:rsidRPr="00AF0087">
        <w:t xml:space="preserve">m </w:t>
      </w:r>
      <w:r>
        <w:t xml:space="preserve">noted that </w:t>
      </w:r>
      <w:r w:rsidRPr="00AF0087">
        <w:t>Du</w:t>
      </w:r>
      <w:r>
        <w:t>‘</w:t>
      </w:r>
      <w:r w:rsidRPr="00AF0087">
        <w:t>á</w:t>
      </w:r>
      <w:r>
        <w:t>’ as</w:t>
      </w:r>
      <w:r w:rsidRPr="00AF0087">
        <w:t>-Sa</w:t>
      </w:r>
      <w:r w:rsidRPr="00EC6B95">
        <w:t>ḥ</w:t>
      </w:r>
      <w:r w:rsidRPr="00AF0087">
        <w:t xml:space="preserve">ar </w:t>
      </w:r>
      <w:r>
        <w:t>(</w:t>
      </w:r>
      <w:r w:rsidRPr="00AF0087">
        <w:t>the Dawn prayer</w:t>
      </w:r>
      <w:r>
        <w:t>)</w:t>
      </w:r>
      <w:r w:rsidRPr="00AF0087">
        <w:t xml:space="preserve"> begins with the name of Bahá</w:t>
      </w:r>
      <w:r>
        <w:t>’</w:t>
      </w:r>
      <w:r w:rsidRPr="00AF0087">
        <w:t xml:space="preserve"> (Splendo</w:t>
      </w:r>
      <w:r>
        <w:t>u</w:t>
      </w:r>
      <w:r w:rsidRPr="00AF0087">
        <w:t>r) and ends with the name of ‘Al</w:t>
      </w:r>
      <w:r w:rsidRPr="00A5286B">
        <w:t>á</w:t>
      </w:r>
      <w:r w:rsidRPr="00AF0087">
        <w:t>’ (Loftiness), the latter the exalted name of the B</w:t>
      </w:r>
      <w:r w:rsidRPr="00A5286B">
        <w:t>á</w:t>
      </w:r>
      <w:r w:rsidRPr="00AF0087">
        <w:t xml:space="preserve">b, the two names of the </w:t>
      </w:r>
      <w:r>
        <w:t>1st</w:t>
      </w:r>
      <w:r w:rsidRPr="00AF0087">
        <w:t xml:space="preserve"> and </w:t>
      </w:r>
      <w:r>
        <w:t>19th</w:t>
      </w:r>
      <w:r w:rsidRPr="00AF0087">
        <w:t xml:space="preserve"> months of the Bad</w:t>
      </w:r>
      <w:r>
        <w:t>í‘</w:t>
      </w:r>
      <w:r w:rsidRPr="00AF0087">
        <w:t xml:space="preserve"> calendar.</w:t>
      </w:r>
    </w:p>
    <w:p w14:paraId="77AB14BC" w14:textId="77777777" w:rsidR="00625A5B" w:rsidRPr="008F03E5" w:rsidRDefault="00625A5B" w:rsidP="007B5E7E">
      <w:pPr>
        <w:pStyle w:val="Translit"/>
        <w:rPr>
          <w:rFonts w:eastAsia="PMingLiU"/>
          <w:lang w:eastAsia="zh-TW"/>
        </w:rPr>
      </w:pPr>
      <w:r w:rsidRPr="008F03E5">
        <w:rPr>
          <w:rFonts w:eastAsia="PMingLiU"/>
          <w:lang w:eastAsia="zh-TW"/>
        </w:rPr>
        <w:t>Na’im</w:t>
      </w:r>
      <w:r w:rsidRPr="008F03E5">
        <w:rPr>
          <w:rFonts w:eastAsia="PMingLiU"/>
          <w:lang w:eastAsia="zh-TW"/>
        </w:rPr>
        <w:tab/>
        <w:t>Ná‘im, fem. Ná‘ima[h or t]</w:t>
      </w:r>
      <w:r w:rsidRPr="008F03E5">
        <w:rPr>
          <w:rFonts w:eastAsia="PMingLiU"/>
          <w:lang w:eastAsia="zh-TW"/>
        </w:rPr>
        <w:tab/>
        <w:t xml:space="preserve">soft; smooth; tender; fine, powdery.  Fem. </w:t>
      </w:r>
      <w:r w:rsidRPr="008F03E5">
        <w:t>a garden, meadow; delicate (woman), well fed and healthy.</w:t>
      </w:r>
    </w:p>
    <w:p w14:paraId="79475E23" w14:textId="77777777" w:rsidR="00625A5B" w:rsidRPr="008F03E5" w:rsidRDefault="00625A5B" w:rsidP="00404762">
      <w:pPr>
        <w:pStyle w:val="Translit"/>
        <w:rPr>
          <w:rFonts w:eastAsia="PMingLiU"/>
          <w:lang w:eastAsia="zh-TW"/>
        </w:rPr>
      </w:pPr>
      <w:r w:rsidRPr="008F03E5">
        <w:rPr>
          <w:rFonts w:eastAsia="PMingLiU"/>
          <w:lang w:eastAsia="zh-TW"/>
        </w:rPr>
        <w:t>Na’imi</w:t>
      </w:r>
      <w:r w:rsidRPr="008F03E5">
        <w:tab/>
      </w:r>
      <w:r w:rsidRPr="008F03E5">
        <w:rPr>
          <w:rFonts w:eastAsia="PMingLiU"/>
          <w:lang w:eastAsia="zh-TW"/>
        </w:rPr>
        <w:t>Na‘ímí</w:t>
      </w:r>
      <w:r w:rsidRPr="008F03E5">
        <w:tab/>
      </w:r>
    </w:p>
    <w:p w14:paraId="41F36FDB" w14:textId="77777777" w:rsidR="00625A5B" w:rsidRPr="008F03E5" w:rsidRDefault="00625A5B" w:rsidP="00A1540F">
      <w:pPr>
        <w:pStyle w:val="Translit"/>
        <w:rPr>
          <w:rFonts w:eastAsia="PMingLiU"/>
          <w:lang w:eastAsia="zh-TW"/>
        </w:rPr>
      </w:pPr>
      <w:r w:rsidRPr="008F03E5">
        <w:rPr>
          <w:rFonts w:eastAsia="PMingLiU"/>
          <w:lang w:eastAsia="zh-TW"/>
        </w:rPr>
        <w:t>Na’imiyan</w:t>
      </w:r>
      <w:r w:rsidRPr="008F03E5">
        <w:tab/>
      </w:r>
      <w:r w:rsidRPr="008F03E5">
        <w:rPr>
          <w:rFonts w:eastAsia="PMingLiU"/>
          <w:lang w:eastAsia="zh-TW"/>
        </w:rPr>
        <w:t>Na‘ímíyán</w:t>
      </w:r>
      <w:r w:rsidRPr="008F03E5">
        <w:tab/>
        <w:t xml:space="preserve">‘Alí </w:t>
      </w:r>
      <w:r w:rsidRPr="008F03E5">
        <w:rPr>
          <w:rFonts w:eastAsia="PMingLiU"/>
          <w:lang w:eastAsia="zh-TW"/>
        </w:rPr>
        <w:t>Na‘ímíyán</w:t>
      </w:r>
    </w:p>
    <w:p w14:paraId="33170A3D" w14:textId="77777777" w:rsidR="00625A5B" w:rsidRDefault="00625A5B" w:rsidP="003F2D40">
      <w:pPr>
        <w:pStyle w:val="Translit"/>
      </w:pPr>
      <w:r>
        <w:t>Na’in (Nain, Naeen)</w:t>
      </w:r>
      <w:r>
        <w:tab/>
        <w:t>N</w:t>
      </w:r>
      <w:r w:rsidRPr="003F2D40">
        <w:t>á</w:t>
      </w:r>
      <w:r>
        <w:t>’</w:t>
      </w:r>
      <w:r w:rsidRPr="003F2D40">
        <w:t>í</w:t>
      </w:r>
      <w:r>
        <w:t>n</w:t>
      </w:r>
      <w:r>
        <w:tab/>
        <w:t>city (</w:t>
      </w:r>
      <w:r w:rsidRPr="003F2D40">
        <w:t>32.863536, 53.094398</w:t>
      </w:r>
      <w:r>
        <w:t>) 136 km east of Isfahan</w:t>
      </w:r>
    </w:p>
    <w:p w14:paraId="15F08C4C" w14:textId="77777777" w:rsidR="00625A5B" w:rsidRPr="008F03E5" w:rsidRDefault="00625A5B" w:rsidP="007B5E7E">
      <w:pPr>
        <w:pStyle w:val="Translit"/>
      </w:pPr>
      <w:r w:rsidRPr="008F03E5">
        <w:t>Na’ir, Na’ira, Nawa’ir</w:t>
      </w:r>
      <w:r w:rsidRPr="008F03E5">
        <w:tab/>
        <w:t>Ná’ir, fem. Ná’ira[h or t], pl. fem. Nawá’ir</w:t>
      </w:r>
      <w:r w:rsidRPr="008F03E5">
        <w:tab/>
        <w:t>Bright, clear, shining, luminous.  Fem. fire, heat, warmth, inflammation, flame, blaze; enmity, hatred; a fireplace; charcoal.</w:t>
      </w:r>
    </w:p>
    <w:p w14:paraId="4842F3AF" w14:textId="77777777" w:rsidR="00625A5B" w:rsidRPr="008F03E5" w:rsidRDefault="00625A5B" w:rsidP="0021350C">
      <w:pPr>
        <w:pStyle w:val="Translit"/>
      </w:pPr>
      <w:r w:rsidRPr="001457C8">
        <w:rPr>
          <w:lang w:val="pl-PL"/>
        </w:rPr>
        <w:t>Na’l, Ni’al, An’ul</w:t>
      </w:r>
      <w:r w:rsidRPr="001457C8">
        <w:rPr>
          <w:lang w:val="pl-PL"/>
        </w:rPr>
        <w:tab/>
        <w:t xml:space="preserve">Na‘l, pl. </w:t>
      </w:r>
      <w:r w:rsidRPr="008F03E5">
        <w:t>Ni‘ál, An‘ul</w:t>
      </w:r>
      <w:r w:rsidRPr="008F03E5">
        <w:tab/>
        <w:t>sandal; shoe; horseshoe</w:t>
      </w:r>
    </w:p>
    <w:p w14:paraId="4B8B63A1" w14:textId="77777777" w:rsidR="00625A5B" w:rsidRPr="008F03E5" w:rsidRDefault="00625A5B" w:rsidP="00296579">
      <w:pPr>
        <w:pStyle w:val="Translit"/>
      </w:pPr>
      <w:r w:rsidRPr="008F03E5">
        <w:t>Na’l-Band</w:t>
      </w:r>
      <w:r w:rsidRPr="008F03E5">
        <w:tab/>
        <w:t>Na‘l-Band</w:t>
      </w:r>
      <w:r w:rsidRPr="008F03E5">
        <w:tab/>
        <w:t>Arabic element.  A smith, farrier.  Blacksmith Ustád Ḥusayn-i-Na‘l-Band.</w:t>
      </w:r>
    </w:p>
    <w:p w14:paraId="3D79F646" w14:textId="77777777" w:rsidR="00625A5B" w:rsidRPr="008F03E5" w:rsidRDefault="00625A5B" w:rsidP="00D874E6">
      <w:pPr>
        <w:pStyle w:val="Translit"/>
      </w:pPr>
      <w:r w:rsidRPr="008F03E5">
        <w:t>Na’mayn (Na’aman)</w:t>
      </w:r>
      <w:r w:rsidRPr="008F03E5">
        <w:tab/>
        <w:t>Na‘mayn (Na‘amayn)</w:t>
      </w:r>
      <w:r w:rsidRPr="008F03E5">
        <w:tab/>
        <w:t xml:space="preserve">“two yeses”.  Riḍván Garden of Na‘mayn (a small island in a stream (an-Na‘mayn) 2.5 km </w:t>
      </w:r>
      <w:r w:rsidRPr="008F03E5">
        <w:rPr>
          <w:sz w:val="16"/>
          <w:szCs w:val="16"/>
        </w:rPr>
        <w:t>SE</w:t>
      </w:r>
      <w:r w:rsidRPr="008F03E5">
        <w:t xml:space="preserve"> of old ‘Akká).</w:t>
      </w:r>
      <w:r w:rsidRPr="008F03E5">
        <w:rPr>
          <w:rStyle w:val="FootnoteReference"/>
        </w:rPr>
        <w:footnoteReference w:customMarkFollows="1" w:id="18"/>
        <w:t>*</w:t>
      </w:r>
      <w:r w:rsidRPr="008F03E5">
        <w:t xml:space="preserve">  The garden is also described as “The New Jerusalem” and “Verdant Isle” (</w:t>
      </w:r>
      <w:r w:rsidRPr="008F03E5">
        <w:rPr>
          <w:sz w:val="16"/>
          <w:szCs w:val="16"/>
        </w:rPr>
        <w:t>GPB</w:t>
      </w:r>
      <w:r w:rsidRPr="008F03E5">
        <w:t xml:space="preserve"> 193).  There is a tradition in Islám that on the last Day in response to the Divine Call, “Am I not your Lord?” two yeses will be heard.  The Na‘mayn Garden (32.915208, 35.090687), a ‘verdant knoll’ less than a kilometre east of the walls of ‘Akká, around which the Na‘mayn Stream (Tayyár Na‘mayn?, now largely dry due to ground water extraction for irrigation) divides before it empties (&lt;0.5 km) into the Nahr Na‘mayn (Hebrew Na‘aman River), and 1 km further on, the sea.  The river was once known as the Belus or Belos River of Phoenicia.  The source of the river is said to be Tel Afiq (32.846499, 35.111614; the biblical town of Aphik, also known as Tel Kufrdani or Kurdani).  See Na‘am and Riḍwán.</w:t>
      </w:r>
    </w:p>
    <w:p w14:paraId="0AE9ACA8" w14:textId="77777777" w:rsidR="00625A5B" w:rsidRPr="008F03E5" w:rsidRDefault="00625A5B" w:rsidP="00E62FD4">
      <w:pPr>
        <w:pStyle w:val="Translit"/>
      </w:pPr>
      <w:r w:rsidRPr="008F03E5">
        <w:t>Na’um</w:t>
      </w:r>
      <w:r w:rsidRPr="008F03E5">
        <w:tab/>
        <w:t>Na’úm</w:t>
      </w:r>
      <w:r w:rsidRPr="008F03E5">
        <w:tab/>
        <w:t>sound asleep; one given to sleep, sleeper; late riser</w:t>
      </w:r>
    </w:p>
    <w:p w14:paraId="4191589C" w14:textId="77777777" w:rsidR="00625A5B" w:rsidRPr="008F03E5" w:rsidRDefault="00625A5B" w:rsidP="002261D8">
      <w:pPr>
        <w:pStyle w:val="Translit"/>
      </w:pPr>
      <w:r w:rsidRPr="008F03E5">
        <w:t>Na’uma, Nu’uma</w:t>
      </w:r>
      <w:r w:rsidRPr="008F03E5">
        <w:tab/>
        <w:t>Na‘úma[t], Nu‘úma[t]</w:t>
      </w:r>
      <w:r w:rsidRPr="008F03E5">
        <w:tab/>
        <w:t xml:space="preserve">(variation of na‘ím) being soft and flexible; affording repose; softness, smoothness.  Na‘úm (Na‘úma?) in </w:t>
      </w:r>
      <w:r w:rsidRPr="008F03E5">
        <w:rPr>
          <w:i/>
          <w:iCs/>
        </w:rPr>
        <w:t>The Chosen Highway</w:t>
      </w:r>
      <w:r w:rsidRPr="008F03E5">
        <w:t>, p. 101.</w:t>
      </w:r>
    </w:p>
    <w:p w14:paraId="00013FA1" w14:textId="77777777" w:rsidR="00625A5B" w:rsidRPr="008F03E5" w:rsidRDefault="00625A5B" w:rsidP="009D582A">
      <w:pPr>
        <w:pStyle w:val="Translit"/>
      </w:pPr>
      <w:r w:rsidRPr="008F03E5">
        <w:t>Na’ura (Noria), Nawa’ir</w:t>
      </w:r>
      <w:r w:rsidRPr="008F03E5">
        <w:tab/>
        <w:t>Ná‘úra[h or t], pl. Nawá‘ir</w:t>
      </w:r>
      <w:r w:rsidRPr="008F03E5">
        <w:tab/>
        <w:t>literally “growler”, “groan” or “grunt”, in reference to the sound made when turning, Persian water wheel.  A water powered, undershot, scoop wheel used to lift water into a small aqueduct, either for irrigation or supply water to cities and villages.  Compare with sáqiya.</w:t>
      </w:r>
    </w:p>
    <w:p w14:paraId="4AF2A6A1" w14:textId="77777777" w:rsidR="00625A5B" w:rsidRPr="008F03E5" w:rsidRDefault="00625A5B" w:rsidP="000A2005">
      <w:pPr>
        <w:pStyle w:val="Translit"/>
      </w:pPr>
      <w:r w:rsidRPr="008F03E5">
        <w:t>Naba’, Anba’</w:t>
      </w:r>
      <w:r w:rsidRPr="008F03E5">
        <w:tab/>
        <w:t>Naba’, pl. Anbá’</w:t>
      </w:r>
      <w:r w:rsidRPr="008F03E5">
        <w:tab/>
        <w:t>news, tidings information, intelligence; announcement, report, news item, dispatch</w:t>
      </w:r>
    </w:p>
    <w:p w14:paraId="59EF4F98" w14:textId="77777777" w:rsidR="00625A5B" w:rsidRPr="008F03E5" w:rsidRDefault="00625A5B" w:rsidP="00000ED1">
      <w:pPr>
        <w:pStyle w:val="Translit"/>
        <w:rPr>
          <w:lang w:eastAsia="en-US"/>
        </w:rPr>
      </w:pPr>
      <w:r w:rsidRPr="008F03E5">
        <w:t xml:space="preserve">Naba’u’l-‘Azim, </w:t>
      </w:r>
      <w:r w:rsidRPr="008F03E5">
        <w:rPr>
          <w:lang w:eastAsia="en-US"/>
        </w:rPr>
        <w:t>Naba’-i-‘Azim</w:t>
      </w:r>
      <w:r w:rsidRPr="008F03E5">
        <w:tab/>
        <w:t xml:space="preserve">an-Naba’u’l-‘Aẓím, Pers. </w:t>
      </w:r>
      <w:r w:rsidRPr="008F03E5">
        <w:rPr>
          <w:lang w:eastAsia="en-US"/>
        </w:rPr>
        <w:t>Naba’-i-‘Aẓím</w:t>
      </w:r>
      <w:r w:rsidRPr="008F03E5">
        <w:tab/>
        <w:t>The Great Announcement, or The Great News of the Day of the Lord regarding the Promised One (Bahá’u’lláh) (an-Naba’ al-‘Aẓím)</w:t>
      </w:r>
    </w:p>
    <w:p w14:paraId="4CCD7181" w14:textId="77777777" w:rsidR="00625A5B" w:rsidRPr="008F03E5" w:rsidRDefault="00625A5B" w:rsidP="00E810E5">
      <w:pPr>
        <w:pStyle w:val="Translit"/>
      </w:pPr>
      <w:r w:rsidRPr="008F03E5">
        <w:t xml:space="preserve">Naba’u’l-A’zam, </w:t>
      </w:r>
      <w:r w:rsidRPr="008F03E5">
        <w:rPr>
          <w:lang w:eastAsia="en-US"/>
        </w:rPr>
        <w:t>Naba’-i-</w:t>
      </w:r>
      <w:r w:rsidRPr="008F03E5">
        <w:t>A’zam</w:t>
      </w:r>
      <w:r w:rsidRPr="008F03E5">
        <w:tab/>
        <w:t xml:space="preserve">an-Naba’u’l-A‘ẓam, Pers. </w:t>
      </w:r>
      <w:r w:rsidRPr="008F03E5">
        <w:rPr>
          <w:lang w:eastAsia="en-US"/>
        </w:rPr>
        <w:t>Naba’-i-</w:t>
      </w:r>
      <w:r w:rsidRPr="008F03E5">
        <w:t>A‘ẓam</w:t>
      </w:r>
      <w:r w:rsidRPr="008F03E5">
        <w:tab/>
        <w:t>The Greatest Announcement, The Exalted News or The Greatest News of the Day of the Lord regarding the Promised One (Bahá’u’lláh)</w:t>
      </w:r>
    </w:p>
    <w:p w14:paraId="0088424D" w14:textId="77777777" w:rsidR="00625A5B" w:rsidRPr="008F03E5" w:rsidRDefault="00625A5B" w:rsidP="00530824">
      <w:pPr>
        <w:pStyle w:val="Translit"/>
      </w:pPr>
      <w:r w:rsidRPr="001457C8">
        <w:rPr>
          <w:lang w:val="pl-PL"/>
        </w:rPr>
        <w:t>Nabat, Nabata, Nabatat</w:t>
      </w:r>
      <w:r w:rsidRPr="001457C8">
        <w:rPr>
          <w:lang w:val="pl-PL"/>
        </w:rPr>
        <w:tab/>
        <w:t xml:space="preserve">Nabát, fem. </w:t>
      </w:r>
      <w:r w:rsidRPr="008F03E5">
        <w:t>Nabáta[h or t], pl. Nabátát</w:t>
      </w:r>
      <w:r w:rsidRPr="008F03E5">
        <w:tab/>
        <w:t>a plant, herb, vegetable; vegetation; fine sugar, white, candied, refined; sweetmeat</w:t>
      </w:r>
    </w:p>
    <w:p w14:paraId="06642EB0" w14:textId="77777777" w:rsidR="00625A5B" w:rsidRPr="008F03E5" w:rsidRDefault="00625A5B" w:rsidP="00782463">
      <w:pPr>
        <w:pStyle w:val="Translit"/>
      </w:pPr>
      <w:r w:rsidRPr="008F03E5">
        <w:t>Nabawi</w:t>
      </w:r>
      <w:r w:rsidRPr="008F03E5">
        <w:tab/>
        <w:t>Nabawí</w:t>
      </w:r>
      <w:r w:rsidRPr="008F03E5">
        <w:tab/>
        <w:t>prophetic, of or pertaining to a prophet or specifically to the Prophet Muḥammad.  al-Masjid an-Nabawí (“The Prophetic Mosque”), known in English as The Prophet’s Mosque, and also known as al-Ḥaram al-Madaní and al-Ḥaram a</w:t>
      </w:r>
      <w:r>
        <w:t>n</w:t>
      </w:r>
      <w:r w:rsidRPr="008F03E5">
        <w:t>-Nabawí by locals, is a huge mosque in Medina on the site of the second mosque built by Muḥammad.</w:t>
      </w:r>
    </w:p>
    <w:p w14:paraId="4C5FB795" w14:textId="77777777" w:rsidR="00625A5B" w:rsidRPr="008F03E5" w:rsidRDefault="00625A5B" w:rsidP="00FD02D8">
      <w:pPr>
        <w:pStyle w:val="Translit"/>
      </w:pPr>
      <w:r w:rsidRPr="008F03E5">
        <w:t>Nabbal, Nabbala, Nabil, Nubbal, Nabiliyun</w:t>
      </w:r>
      <w:r w:rsidRPr="008F03E5">
        <w:tab/>
        <w:t>Nabbál, pl. Nabbála[h]</w:t>
      </w:r>
      <w:r w:rsidRPr="008F03E5">
        <w:tab/>
        <w:t>also nábil, pl. nubbál, nábilíyún.  archer, bowman</w:t>
      </w:r>
    </w:p>
    <w:p w14:paraId="0F12A377" w14:textId="77777777" w:rsidR="00625A5B" w:rsidRPr="008F03E5" w:rsidRDefault="00625A5B" w:rsidP="00EB543C">
      <w:pPr>
        <w:pStyle w:val="Translit"/>
      </w:pPr>
      <w:r w:rsidRPr="008F03E5">
        <w:t>Nabi (Nebi), Nabiya, Nuba’a’, Nabiyun</w:t>
      </w:r>
      <w:r w:rsidRPr="008F03E5">
        <w:tab/>
        <w:t>Nabí, fem. Nabiya[t], pl. Nuba’á’, Nabíyún</w:t>
      </w:r>
      <w:r w:rsidRPr="008F03E5">
        <w:tab/>
        <w:t xml:space="preserve">Pers. from Arabic.  a figure of salvation—prophet, but </w:t>
      </w:r>
      <w:r w:rsidRPr="008F03E5">
        <w:rPr>
          <w:sz w:val="16"/>
          <w:szCs w:val="16"/>
        </w:rPr>
        <w:t>NOT</w:t>
      </w:r>
      <w:r w:rsidRPr="008F03E5">
        <w:t xml:space="preserve"> a Messenger of God.—pl. also Anbiyá’.  For Persian form, see Payámbar.</w:t>
      </w:r>
    </w:p>
    <w:p w14:paraId="5915BD4F" w14:textId="77777777" w:rsidR="00625A5B" w:rsidRPr="008F03E5" w:rsidRDefault="00625A5B" w:rsidP="00161F2A">
      <w:pPr>
        <w:pStyle w:val="Translit"/>
      </w:pPr>
      <w:r w:rsidRPr="008F03E5">
        <w:t>Nabi Salih</w:t>
      </w:r>
      <w:r w:rsidRPr="008F03E5">
        <w:tab/>
        <w:t>an-Nabí Ṣáliḥ</w:t>
      </w:r>
      <w:r w:rsidRPr="008F03E5">
        <w:tab/>
        <w:t xml:space="preserve">the Prophet Saleh.  The old Acre Muslim cemetery (just </w:t>
      </w:r>
      <w:r w:rsidRPr="008F03E5">
        <w:rPr>
          <w:sz w:val="16"/>
          <w:szCs w:val="16"/>
        </w:rPr>
        <w:t>NE</w:t>
      </w:r>
      <w:r w:rsidRPr="008F03E5">
        <w:t xml:space="preserve"> of the old land gate and east of the old city wall; 32.923046, 35.074435) is named after the Prophet.  Initial burial place of Mírzá Mihdí.  The other old Muslim cemetery where many early Bahá’ís were buried is 500 m to the </w:t>
      </w:r>
      <w:r w:rsidRPr="008F03E5">
        <w:rPr>
          <w:sz w:val="16"/>
          <w:szCs w:val="16"/>
        </w:rPr>
        <w:t>SE</w:t>
      </w:r>
      <w:r w:rsidRPr="008F03E5">
        <w:t>.</w:t>
      </w:r>
    </w:p>
    <w:p w14:paraId="320C5891" w14:textId="77777777" w:rsidR="00625A5B" w:rsidRPr="008F03E5" w:rsidRDefault="00625A5B" w:rsidP="00BC390B">
      <w:pPr>
        <w:pStyle w:val="Translit"/>
      </w:pPr>
      <w:r w:rsidRPr="008F03E5">
        <w:t>Nabigha (Nabighih), Nawabigh</w:t>
      </w:r>
      <w:r w:rsidRPr="008F03E5">
        <w:tab/>
        <w:t>Nábi</w:t>
      </w:r>
      <w:r w:rsidRPr="008F03E5">
        <w:rPr>
          <w:rFonts w:eastAsia="Times New Roman"/>
          <w:u w:val="single"/>
        </w:rPr>
        <w:t>gh</w:t>
      </w:r>
      <w:r w:rsidRPr="008F03E5">
        <w:t>a[t], pl. Nawábi</w:t>
      </w:r>
      <w:r w:rsidRPr="008F03E5">
        <w:rPr>
          <w:u w:val="single"/>
        </w:rPr>
        <w:t>gh</w:t>
      </w:r>
      <w:r w:rsidRPr="008F03E5">
        <w:tab/>
        <w:t>a distinguished, famous or outstanding man, a poetic genius; a man of magnificence or of exalted rank; a name common to several Arabian poets.</w:t>
      </w:r>
    </w:p>
    <w:p w14:paraId="1EAE767D" w14:textId="77777777" w:rsidR="00625A5B" w:rsidRPr="008F03E5" w:rsidRDefault="00625A5B" w:rsidP="00BC390B">
      <w:pPr>
        <w:pStyle w:val="Translit"/>
      </w:pPr>
      <w:r w:rsidRPr="008F03E5">
        <w:t>Nabih, Nabiha, Nubaha’</w:t>
      </w:r>
      <w:r w:rsidRPr="008F03E5">
        <w:tab/>
        <w:t>Nabih &amp; Nabíh, pl. Nubahá’</w:t>
      </w:r>
      <w:r w:rsidRPr="008F03E5">
        <w:tab/>
        <w:t>(fem. Nabíha[h]) noble, highborn, patrician; outstanding, eminent, distinguished, excellent; famous, renowned, celebrated; understanding, sensible, discerning, judicious, perspicacious</w:t>
      </w:r>
    </w:p>
    <w:p w14:paraId="26045BA6" w14:textId="77777777" w:rsidR="00625A5B" w:rsidRPr="008F03E5" w:rsidRDefault="00625A5B" w:rsidP="00133C10">
      <w:pPr>
        <w:pStyle w:val="Translit"/>
      </w:pPr>
      <w:r w:rsidRPr="00133C10">
        <w:t>Nabil-i-A’zam</w:t>
      </w:r>
      <w:r w:rsidRPr="00133C10">
        <w:tab/>
        <w:t>Nabíl-i-A‘ẓam</w:t>
      </w:r>
      <w:r w:rsidRPr="00133C10">
        <w:tab/>
        <w:t xml:space="preserve">title given to Mullá Muḥammad-i-Zarandí by Bahá’u’lláh.  </w:t>
      </w:r>
      <w:r w:rsidRPr="008F03E5">
        <w:t>See Nabíl-i-Zarandí</w:t>
      </w:r>
      <w:r>
        <w:t>.</w:t>
      </w:r>
    </w:p>
    <w:p w14:paraId="103CB8AA" w14:textId="77777777" w:rsidR="00625A5B" w:rsidRPr="008F03E5" w:rsidRDefault="00625A5B" w:rsidP="00DF475E">
      <w:pPr>
        <w:pStyle w:val="Translit"/>
      </w:pPr>
      <w:r w:rsidRPr="008F03E5">
        <w:t>Nabil-i-Akbar</w:t>
      </w:r>
      <w:r w:rsidRPr="008F03E5">
        <w:tab/>
        <w:t>Nabíl-i-Akbar</w:t>
      </w:r>
      <w:r w:rsidRPr="008F03E5">
        <w:tab/>
        <w:t>title given to Áqá Muḥammad-i-Qá’iní by Bahá’u’lláh</w:t>
      </w:r>
    </w:p>
    <w:p w14:paraId="0484FE92" w14:textId="77777777" w:rsidR="00625A5B" w:rsidRPr="00F10B02" w:rsidRDefault="00625A5B" w:rsidP="00F10B02">
      <w:pPr>
        <w:pStyle w:val="Translit"/>
      </w:pPr>
      <w:r w:rsidRPr="00F10B02">
        <w:rPr>
          <w:lang w:eastAsia="en-US"/>
        </w:rPr>
        <w:t>Nabil-i-Dawla (Nabil-i-Dawlih)</w:t>
      </w:r>
      <w:r w:rsidRPr="00F10B02">
        <w:rPr>
          <w:lang w:eastAsia="en-US"/>
        </w:rPr>
        <w:tab/>
        <w:t>Nabíl-i-Dawla (Nabíl-i-Dawlih)</w:t>
      </w:r>
      <w:r w:rsidRPr="00F10B02">
        <w:rPr>
          <w:lang w:eastAsia="en-US"/>
        </w:rPr>
        <w:tab/>
      </w:r>
      <w:r>
        <w:rPr>
          <w:lang w:eastAsia="en-US"/>
        </w:rPr>
        <w:t>“</w:t>
      </w:r>
      <w:r w:rsidRPr="00F10B02">
        <w:rPr>
          <w:lang w:eastAsia="en-US"/>
        </w:rPr>
        <w:t>the noble state”</w:t>
      </w:r>
      <w:r>
        <w:rPr>
          <w:lang w:eastAsia="en-US"/>
        </w:rPr>
        <w:t>,</w:t>
      </w:r>
      <w:r w:rsidRPr="00F10B02">
        <w:rPr>
          <w:lang w:eastAsia="en-US"/>
        </w:rPr>
        <w:t xml:space="preserve"> state title of </w:t>
      </w:r>
      <w:r w:rsidRPr="00F10B02">
        <w:t>Ali-Kuli Khan</w:t>
      </w:r>
    </w:p>
    <w:p w14:paraId="7D26CBFA" w14:textId="77777777" w:rsidR="00625A5B" w:rsidRPr="00F10B02" w:rsidRDefault="00625A5B" w:rsidP="00900A82">
      <w:pPr>
        <w:pStyle w:val="Translit"/>
        <w:rPr>
          <w:lang w:val="pl-PL"/>
        </w:rPr>
      </w:pPr>
      <w:r w:rsidRPr="00F10B02">
        <w:rPr>
          <w:lang w:val="pl-PL"/>
        </w:rPr>
        <w:t>Nabil-i-Qa’ini</w:t>
      </w:r>
      <w:r w:rsidRPr="00F10B02">
        <w:rPr>
          <w:lang w:val="pl-PL"/>
        </w:rPr>
        <w:tab/>
        <w:t>Nabíl-i-Qá’iní</w:t>
      </w:r>
      <w:r w:rsidRPr="00F10B02">
        <w:rPr>
          <w:lang w:val="pl-PL"/>
        </w:rPr>
        <w:tab/>
        <w:t>(</w:t>
      </w:r>
      <w:r w:rsidRPr="00F10B02">
        <w:rPr>
          <w:sz w:val="16"/>
          <w:szCs w:val="16"/>
          <w:lang w:val="pl-PL"/>
        </w:rPr>
        <w:t>MF</w:t>
      </w:r>
      <w:r w:rsidRPr="00F10B02">
        <w:rPr>
          <w:lang w:val="pl-PL"/>
        </w:rPr>
        <w:t>)</w:t>
      </w:r>
    </w:p>
    <w:p w14:paraId="546C24B7" w14:textId="77777777" w:rsidR="00625A5B" w:rsidRPr="008F03E5" w:rsidRDefault="00625A5B" w:rsidP="004C6EE8">
      <w:pPr>
        <w:pStyle w:val="Translit"/>
      </w:pPr>
      <w:r w:rsidRPr="004A76A8">
        <w:rPr>
          <w:lang w:val="pl-PL"/>
        </w:rPr>
        <w:t>Nabil-i-Zarandi</w:t>
      </w:r>
      <w:r w:rsidRPr="004A76A8">
        <w:rPr>
          <w:lang w:val="pl-PL"/>
        </w:rPr>
        <w:tab/>
        <w:t>Nabíl-i-Zarandí</w:t>
      </w:r>
      <w:r w:rsidRPr="004A76A8">
        <w:rPr>
          <w:lang w:val="pl-PL"/>
        </w:rPr>
        <w:tab/>
        <w:t xml:space="preserve">Mullá Muḥammad-i-Zarandí (1831–1892), more commonly known as Nabíl-i-Aʻẓam (“the Great Nabíl”) or Nabíl-i-Zarandí.  </w:t>
      </w:r>
      <w:r w:rsidRPr="008F03E5">
        <w:t xml:space="preserve">Author of </w:t>
      </w:r>
      <w:r w:rsidRPr="008F03E5">
        <w:rPr>
          <w:i/>
          <w:iCs/>
        </w:rPr>
        <w:t>The Dawn-Breakers</w:t>
      </w:r>
      <w:r w:rsidRPr="008F03E5">
        <w:t>.  See Nabíl-i-A‘ẓam.</w:t>
      </w:r>
    </w:p>
    <w:p w14:paraId="53C953BA" w14:textId="77777777" w:rsidR="00625A5B" w:rsidRPr="008F03E5" w:rsidRDefault="00625A5B" w:rsidP="00904AE5">
      <w:pPr>
        <w:pStyle w:val="Translit"/>
      </w:pPr>
      <w:r w:rsidRPr="008F03E5">
        <w:t>Nabiy, Anbiya’, Nabiyun</w:t>
      </w:r>
      <w:r w:rsidRPr="008F03E5">
        <w:tab/>
        <w:t>Nabíy, pl. Anbiyá’, Nabíyún</w:t>
      </w:r>
      <w:r w:rsidRPr="008F03E5">
        <w:tab/>
        <w:t xml:space="preserve">prophet, but </w:t>
      </w:r>
      <w:r w:rsidRPr="008F03E5">
        <w:rPr>
          <w:sz w:val="16"/>
          <w:szCs w:val="16"/>
        </w:rPr>
        <w:t>NOT</w:t>
      </w:r>
      <w:r w:rsidRPr="008F03E5">
        <w:t xml:space="preserve"> a Messenger of God.  Genitive pl. nabíyín.</w:t>
      </w:r>
    </w:p>
    <w:p w14:paraId="6D9DD8D7" w14:textId="77777777" w:rsidR="00625A5B" w:rsidRPr="008F03E5" w:rsidRDefault="00625A5B" w:rsidP="00330C0B">
      <w:pPr>
        <w:pStyle w:val="Translit"/>
      </w:pPr>
      <w:r w:rsidRPr="008F03E5">
        <w:t>Nabiyu’llah Salih</w:t>
      </w:r>
      <w:r w:rsidRPr="008F03E5">
        <w:tab/>
        <w:t>Nabíyu’lláh Ṣáliḥ</w:t>
      </w:r>
      <w:r w:rsidRPr="008F03E5">
        <w:tab/>
        <w:t>(</w:t>
      </w:r>
      <w:r w:rsidRPr="008F03E5">
        <w:rPr>
          <w:sz w:val="16"/>
          <w:szCs w:val="16"/>
        </w:rPr>
        <w:t>MF</w:t>
      </w:r>
      <w:r w:rsidRPr="008F03E5">
        <w:t xml:space="preserve"> 53)</w:t>
      </w:r>
    </w:p>
    <w:p w14:paraId="5B949AE0" w14:textId="77777777" w:rsidR="00625A5B" w:rsidRPr="008F03E5" w:rsidRDefault="00625A5B" w:rsidP="00900A82">
      <w:pPr>
        <w:pStyle w:val="Translit"/>
      </w:pPr>
      <w:r w:rsidRPr="008F03E5">
        <w:t>Nabiyu’llah</w:t>
      </w:r>
      <w:r w:rsidRPr="008F03E5">
        <w:tab/>
        <w:t>Nabíyu’lláh</w:t>
      </w:r>
      <w:r w:rsidRPr="008F03E5">
        <w:tab/>
        <w:t>“Prophet of God”</w:t>
      </w:r>
    </w:p>
    <w:p w14:paraId="6F067D6E" w14:textId="77777777" w:rsidR="00625A5B" w:rsidRPr="008F03E5" w:rsidRDefault="00625A5B" w:rsidP="00BA6E8E">
      <w:pPr>
        <w:pStyle w:val="Translit"/>
      </w:pPr>
      <w:r w:rsidRPr="00077779">
        <w:rPr>
          <w:lang w:val="es-ES_tradnl"/>
        </w:rPr>
        <w:t>Nabl, Nabil, Nibal, Nubala</w:t>
      </w:r>
      <w:r w:rsidRPr="00077779">
        <w:rPr>
          <w:lang w:val="es-ES_tradnl"/>
        </w:rPr>
        <w:tab/>
        <w:t xml:space="preserve">Nabl &amp; Nabíl, pl. </w:t>
      </w:r>
      <w:r w:rsidRPr="008F03E5">
        <w:t>Nibál, Nubalá</w:t>
      </w:r>
      <w:r w:rsidRPr="008F03E5">
        <w:tab/>
        <w:t>noble; lofty, exalted, sublime, august; aristocratic, highborn, highbred, patrician, distinguished; noble-minded, high-minded, generous, magnanimous; excellent, outstanding, superior; magnificent, splendid, glorious;—pl. (formerly a title of members of the Egyptian royal family).  Same numerical value as Muḥammad (92) and ‘Akká (referred to as the “Vale of Nabíl” in Bahá’u’lláh’s Lawḥ-i-Sayyáh, revealed in Adrianople).</w:t>
      </w:r>
    </w:p>
    <w:p w14:paraId="6706E10A" w14:textId="77777777" w:rsidR="00625A5B" w:rsidRPr="008F03E5" w:rsidRDefault="00625A5B" w:rsidP="00254572">
      <w:pPr>
        <w:pStyle w:val="Translit"/>
        <w:rPr>
          <w:lang w:bidi="fa-IR"/>
        </w:rPr>
      </w:pPr>
      <w:r w:rsidRPr="008F03E5">
        <w:t>Nabwat, Nubuwat</w:t>
      </w:r>
      <w:r w:rsidRPr="008F03E5">
        <w:tab/>
        <w:t>Nabwat, Nubúwat</w:t>
      </w:r>
      <w:r w:rsidRPr="008F03E5">
        <w:tab/>
        <w:t>Pers. prophecy</w:t>
      </w:r>
      <w:r w:rsidRPr="008F03E5">
        <w:rPr>
          <w:lang w:bidi="fa-IR"/>
        </w:rPr>
        <w:t>, forecast and prediction</w:t>
      </w:r>
    </w:p>
    <w:p w14:paraId="0DF4350C" w14:textId="77777777" w:rsidR="00625A5B" w:rsidRPr="008F03E5" w:rsidRDefault="00625A5B" w:rsidP="0064468C">
      <w:pPr>
        <w:pStyle w:val="Translit"/>
      </w:pPr>
      <w:r w:rsidRPr="008F03E5">
        <w:t>Nad</w:t>
      </w:r>
      <w:r w:rsidRPr="008F03E5">
        <w:tab/>
        <w:t>Nád</w:t>
      </w:r>
      <w:r w:rsidRPr="008F03E5">
        <w:tab/>
        <w:t>Pers. voice, sound</w:t>
      </w:r>
    </w:p>
    <w:p w14:paraId="6CA3BCDD" w14:textId="77777777" w:rsidR="00625A5B" w:rsidRPr="008F03E5" w:rsidRDefault="00625A5B" w:rsidP="0064468C">
      <w:pPr>
        <w:pStyle w:val="Translit"/>
      </w:pPr>
      <w:r w:rsidRPr="008F03E5">
        <w:t>Nadara, Nadira, Nadura, Nadra, Nudur</w:t>
      </w:r>
      <w:r w:rsidRPr="008F03E5">
        <w:tab/>
        <w:t>Naḍara, Naḍira, Naḍura, Naḍra, Nuḍúr</w:t>
      </w:r>
      <w:r w:rsidRPr="008F03E5">
        <w:tab/>
        <w:t xml:space="preserve">to be flourishing, blooming, verdant, fresh, beautiful; to be bright, brilliant, luminous, radiant </w:t>
      </w:r>
    </w:p>
    <w:p w14:paraId="60914A44" w14:textId="77777777" w:rsidR="00625A5B" w:rsidRPr="008F03E5" w:rsidRDefault="00625A5B" w:rsidP="00064637">
      <w:pPr>
        <w:pStyle w:val="Translit"/>
      </w:pPr>
      <w:r w:rsidRPr="008F03E5">
        <w:t>Naddaf</w:t>
      </w:r>
      <w:r w:rsidRPr="008F03E5">
        <w:tab/>
        <w:t>Naddáf</w:t>
      </w:r>
      <w:r w:rsidRPr="008F03E5">
        <w:tab/>
        <w:t>cotton carder, cotton teaser</w:t>
      </w:r>
    </w:p>
    <w:p w14:paraId="40DB06C4" w14:textId="77777777" w:rsidR="00625A5B" w:rsidRPr="008F03E5" w:rsidRDefault="00625A5B" w:rsidP="001011DF">
      <w:pPr>
        <w:pStyle w:val="Translit"/>
      </w:pPr>
      <w:r w:rsidRPr="008F03E5">
        <w:t>Nadhir, Nudhur</w:t>
      </w:r>
      <w:r w:rsidRPr="008F03E5">
        <w:tab/>
        <w:t>Na</w:t>
      </w:r>
      <w:r w:rsidRPr="008F03E5">
        <w:rPr>
          <w:u w:val="single"/>
        </w:rPr>
        <w:t>dh</w:t>
      </w:r>
      <w:r w:rsidRPr="008F03E5">
        <w:t>ír, pl. Nu</w:t>
      </w:r>
      <w:r w:rsidRPr="008F03E5">
        <w:rPr>
          <w:u w:val="single"/>
        </w:rPr>
        <w:t>dh</w:t>
      </w:r>
      <w:r w:rsidRPr="008F03E5">
        <w:t>ur</w:t>
      </w:r>
      <w:r w:rsidRPr="008F03E5">
        <w:tab/>
        <w:t>consecrated to God; vowed, solemnly pledged; warner; herald, harbinger, forerunner; warning; alarm</w:t>
      </w:r>
    </w:p>
    <w:p w14:paraId="2D9F74E8" w14:textId="77777777" w:rsidR="00625A5B" w:rsidRPr="008F03E5" w:rsidRDefault="00625A5B" w:rsidP="00DE15D6">
      <w:pPr>
        <w:pStyle w:val="Translit"/>
        <w:rPr>
          <w:rFonts w:eastAsia="PMingLiU"/>
          <w:lang w:eastAsia="zh-TW"/>
        </w:rPr>
      </w:pPr>
      <w:r w:rsidRPr="008F03E5">
        <w:t>Nadi</w:t>
      </w:r>
      <w:r w:rsidRPr="008F03E5">
        <w:tab/>
        <w:t>Nádí</w:t>
      </w:r>
      <w:r w:rsidRPr="008F03E5">
        <w:tab/>
        <w:t>one who calls or convokes; a public crier; a council, assembly, mote, congregation, or place of meeting; a generation, tribe, race</w:t>
      </w:r>
    </w:p>
    <w:p w14:paraId="5954AABE" w14:textId="77777777" w:rsidR="00625A5B" w:rsidRPr="00077779" w:rsidRDefault="00625A5B" w:rsidP="00DE15D6">
      <w:pPr>
        <w:pStyle w:val="Translit"/>
        <w:rPr>
          <w:rFonts w:eastAsia="PMingLiU"/>
          <w:lang w:val="es-ES_tradnl" w:eastAsia="zh-TW"/>
        </w:rPr>
      </w:pPr>
      <w:r w:rsidRPr="00077779">
        <w:rPr>
          <w:lang w:val="es-ES_tradnl"/>
        </w:rPr>
        <w:t>Nadi, Nadiya (Nadiye)</w:t>
      </w:r>
      <w:r w:rsidRPr="00077779">
        <w:rPr>
          <w:lang w:val="es-ES_tradnl"/>
        </w:rPr>
        <w:tab/>
        <w:t>Nadí, fem. Nadiya[h or t]</w:t>
      </w:r>
      <w:r w:rsidRPr="00077779">
        <w:rPr>
          <w:lang w:val="es-ES_tradnl"/>
        </w:rPr>
        <w:tab/>
        <w:t>moist, damp, tender, delicate</w:t>
      </w:r>
    </w:p>
    <w:p w14:paraId="20271949" w14:textId="77777777" w:rsidR="00625A5B" w:rsidRPr="008F03E5" w:rsidRDefault="00625A5B" w:rsidP="00227E60">
      <w:pPr>
        <w:pStyle w:val="Translit"/>
        <w:rPr>
          <w:rFonts w:eastAsia="PMingLiU"/>
          <w:lang w:eastAsia="zh-TW"/>
        </w:rPr>
      </w:pPr>
      <w:r w:rsidRPr="00077779">
        <w:rPr>
          <w:rFonts w:eastAsia="PMingLiU"/>
          <w:lang w:val="es-ES_tradnl" w:eastAsia="zh-TW"/>
        </w:rPr>
        <w:t>Nadim, Nudama’, Nidam</w:t>
      </w:r>
      <w:r w:rsidRPr="00077779">
        <w:rPr>
          <w:rFonts w:eastAsia="PMingLiU"/>
          <w:lang w:val="es-ES_tradnl" w:eastAsia="zh-TW"/>
        </w:rPr>
        <w:tab/>
        <w:t>Nadím, pl. Nudamá’, Nidám</w:t>
      </w:r>
      <w:r w:rsidRPr="00077779">
        <w:rPr>
          <w:rFonts w:eastAsia="PMingLiU"/>
          <w:lang w:val="es-ES_tradnl" w:eastAsia="zh-TW"/>
        </w:rPr>
        <w:tab/>
        <w:t xml:space="preserve">drinking companion; friend, intimate, confidant.  </w:t>
      </w:r>
      <w:r w:rsidRPr="008F03E5">
        <w:rPr>
          <w:rFonts w:eastAsia="PMingLiU"/>
          <w:lang w:eastAsia="zh-TW"/>
        </w:rPr>
        <w:t>Fem. nad</w:t>
      </w:r>
      <w:r w:rsidRPr="008F03E5">
        <w:t>í</w:t>
      </w:r>
      <w:r w:rsidRPr="008F03E5">
        <w:rPr>
          <w:rFonts w:eastAsia="PMingLiU"/>
          <w:lang w:eastAsia="zh-TW"/>
        </w:rPr>
        <w:t>ma[h]</w:t>
      </w:r>
    </w:p>
    <w:p w14:paraId="1701CC54" w14:textId="77777777" w:rsidR="00625A5B" w:rsidRPr="008F03E5" w:rsidRDefault="00625A5B" w:rsidP="00942E97">
      <w:pPr>
        <w:pStyle w:val="Translit"/>
        <w:rPr>
          <w:rFonts w:eastAsia="PMingLiU"/>
          <w:lang w:eastAsia="zh-TW"/>
        </w:rPr>
      </w:pPr>
      <w:r w:rsidRPr="008F03E5">
        <w:rPr>
          <w:rFonts w:eastAsia="PMingLiU"/>
          <w:lang w:eastAsia="zh-TW"/>
        </w:rPr>
        <w:t>Nadir</w:t>
      </w:r>
      <w:r w:rsidRPr="008F03E5">
        <w:tab/>
      </w:r>
      <w:r w:rsidRPr="008F03E5">
        <w:rPr>
          <w:rFonts w:eastAsia="PMingLiU"/>
          <w:lang w:eastAsia="zh-TW"/>
        </w:rPr>
        <w:t>Nádir</w:t>
      </w:r>
      <w:r w:rsidRPr="008F03E5">
        <w:tab/>
        <w:t>rare; infrequent; strange, odd, unusual, uncommon; excellent, precious, priceless; an eccentric, a crank, an odd fellow</w:t>
      </w:r>
    </w:p>
    <w:p w14:paraId="3B087EF1" w14:textId="77777777" w:rsidR="00625A5B" w:rsidRPr="008F03E5" w:rsidRDefault="00625A5B" w:rsidP="00712F04">
      <w:pPr>
        <w:pStyle w:val="Translit"/>
      </w:pPr>
      <w:r w:rsidRPr="008F03E5">
        <w:t>Nadr ibn al-Harith</w:t>
      </w:r>
      <w:r w:rsidRPr="008F03E5">
        <w:tab/>
        <w:t>Naḍr ibn al-Ḥári</w:t>
      </w:r>
      <w:r w:rsidRPr="008F03E5">
        <w:rPr>
          <w:u w:val="single"/>
        </w:rPr>
        <w:t>th</w:t>
      </w:r>
      <w:r w:rsidRPr="008F03E5">
        <w:tab/>
        <w:t>(d. 624) was an Arab pagan physician who was captured after the Battle of Badr and then executed for persecuting and torturing Muslims as well as for ridiculing the Qur’án.</w:t>
      </w:r>
    </w:p>
    <w:p w14:paraId="4FFAC7E1" w14:textId="77777777" w:rsidR="00625A5B" w:rsidRPr="008F03E5" w:rsidRDefault="00625A5B" w:rsidP="00742156">
      <w:pPr>
        <w:pStyle w:val="Translit"/>
      </w:pPr>
      <w:r w:rsidRPr="008F03E5">
        <w:t>Nadr, Nidar</w:t>
      </w:r>
      <w:r w:rsidRPr="008F03E5">
        <w:tab/>
        <w:t>Naḍr, pl. Niḍar</w:t>
      </w:r>
      <w:r w:rsidRPr="008F03E5">
        <w:tab/>
        <w:t>endowing with beauty and every ornamental excellence (God); gold or silver</w:t>
      </w:r>
    </w:p>
    <w:p w14:paraId="62D2E4E4" w14:textId="77777777" w:rsidR="00625A5B" w:rsidRPr="008F03E5" w:rsidRDefault="00625A5B" w:rsidP="0095634A">
      <w:pPr>
        <w:pStyle w:val="Translit"/>
      </w:pPr>
      <w:r w:rsidRPr="008F03E5">
        <w:t>Nadushan, Nudushan, Nadushun</w:t>
      </w:r>
      <w:r w:rsidRPr="008F03E5">
        <w:tab/>
        <w:t>Nadú</w:t>
      </w:r>
      <w:r w:rsidRPr="008F03E5">
        <w:rPr>
          <w:u w:val="single"/>
        </w:rPr>
        <w:t>sh</w:t>
      </w:r>
      <w:r w:rsidRPr="008F03E5">
        <w:t>an (Nudú</w:t>
      </w:r>
      <w:r w:rsidRPr="008F03E5">
        <w:rPr>
          <w:u w:val="single"/>
        </w:rPr>
        <w:t>sh</w:t>
      </w:r>
      <w:r w:rsidRPr="008F03E5">
        <w:t>an, Nuwdú</w:t>
      </w:r>
      <w:r w:rsidRPr="008F03E5">
        <w:rPr>
          <w:u w:val="single"/>
        </w:rPr>
        <w:t>sh</w:t>
      </w:r>
      <w:r w:rsidRPr="008F03E5">
        <w:t>án)</w:t>
      </w:r>
      <w:r w:rsidRPr="008F03E5">
        <w:tab/>
        <w:t xml:space="preserve">small city 78 km </w:t>
      </w:r>
      <w:r w:rsidRPr="008F03E5">
        <w:rPr>
          <w:sz w:val="16"/>
          <w:szCs w:val="16"/>
        </w:rPr>
        <w:t>WNW</w:t>
      </w:r>
      <w:r w:rsidRPr="008F03E5">
        <w:t xml:space="preserve"> Yazd</w:t>
      </w:r>
    </w:p>
    <w:p w14:paraId="4FA3FD15" w14:textId="77777777" w:rsidR="00625A5B" w:rsidRPr="008F03E5" w:rsidRDefault="00625A5B" w:rsidP="00F55D20">
      <w:pPr>
        <w:pStyle w:val="Translit"/>
      </w:pPr>
      <w:r w:rsidRPr="008F03E5">
        <w:t>Nafada</w:t>
      </w:r>
      <w:r w:rsidRPr="008F03E5">
        <w:tab/>
        <w:t>Nafaḍa</w:t>
      </w:r>
      <w:r w:rsidRPr="008F03E5">
        <w:tab/>
        <w:t>to shake (something), shake off (something from), shake out, dust, dust off (something); to make (someone) shiver (fever)</w:t>
      </w:r>
    </w:p>
    <w:p w14:paraId="6130EAF0" w14:textId="77777777" w:rsidR="00625A5B" w:rsidRPr="008F03E5" w:rsidRDefault="00625A5B" w:rsidP="007626E4">
      <w:pPr>
        <w:pStyle w:val="Translit"/>
      </w:pPr>
      <w:r w:rsidRPr="008F03E5">
        <w:t>Nafadha, Nafadh, Nufudh</w:t>
      </w:r>
      <w:r w:rsidRPr="008F03E5">
        <w:tab/>
        <w:t>Nafa</w:t>
      </w:r>
      <w:r w:rsidRPr="008F03E5">
        <w:rPr>
          <w:u w:val="single"/>
        </w:rPr>
        <w:t>dh</w:t>
      </w:r>
      <w:r w:rsidRPr="008F03E5">
        <w:t>a, Nafá</w:t>
      </w:r>
      <w:r w:rsidRPr="008F03E5">
        <w:rPr>
          <w:u w:val="single"/>
        </w:rPr>
        <w:t>dh</w:t>
      </w:r>
      <w:r w:rsidRPr="008F03E5">
        <w:t>, Nufú</w:t>
      </w:r>
      <w:r w:rsidRPr="008F03E5">
        <w:rPr>
          <w:u w:val="single"/>
        </w:rPr>
        <w:t>dh</w:t>
      </w:r>
      <w:r w:rsidRPr="008F03E5">
        <w:tab/>
      </w:r>
      <w:r w:rsidRPr="008F03E5">
        <w:rPr>
          <w:rFonts w:eastAsia="Times New Roman"/>
        </w:rPr>
        <w:t>to pierce, bore (something or through something), penetrate (something), go or pass (through something); to penetrate (into)</w:t>
      </w:r>
    </w:p>
    <w:p w14:paraId="2CB1F100" w14:textId="77777777" w:rsidR="00625A5B" w:rsidRPr="008F03E5" w:rsidRDefault="00625A5B" w:rsidP="00215AAD">
      <w:pPr>
        <w:pStyle w:val="Translit"/>
      </w:pPr>
      <w:r w:rsidRPr="008F03E5">
        <w:t>Nafal, Anfal, Nuful, Nifal</w:t>
      </w:r>
      <w:r w:rsidRPr="008F03E5">
        <w:tab/>
        <w:t>Nafal, pl. Anfál, Nufúl, Nifál</w:t>
      </w:r>
      <w:r w:rsidRPr="008F03E5">
        <w:tab/>
        <w:t>booty, loot, spoil; present</w:t>
      </w:r>
    </w:p>
    <w:p w14:paraId="4177517C" w14:textId="77777777" w:rsidR="00625A5B" w:rsidRPr="008F03E5" w:rsidRDefault="00625A5B" w:rsidP="00AC44D3">
      <w:pPr>
        <w:pStyle w:val="Translit"/>
      </w:pPr>
      <w:r w:rsidRPr="008F03E5">
        <w:t>Nafaqa, Nafaqat, Nifaq</w:t>
      </w:r>
      <w:r w:rsidRPr="008F03E5">
        <w:tab/>
        <w:t>Nafaqa[h or t], pl. Nafaqát, Nifáq</w:t>
      </w:r>
      <w:r w:rsidRPr="008F03E5">
        <w:tab/>
        <w:t>expense; cost; outlay, expenditure, disbursement; cost of living, maintenance, support; (Islamic Law) adequate support, especially of the wife; charitable gift, handout (to the poor)</w:t>
      </w:r>
    </w:p>
    <w:p w14:paraId="197DDCA3" w14:textId="77777777" w:rsidR="00625A5B" w:rsidRPr="008F03E5" w:rsidRDefault="00625A5B" w:rsidP="00BD6640">
      <w:pPr>
        <w:pStyle w:val="Translit"/>
      </w:pPr>
      <w:r w:rsidRPr="008F03E5">
        <w:t>Nafas, Anfas</w:t>
      </w:r>
      <w:r w:rsidRPr="008F03E5">
        <w:tab/>
        <w:t>Nafas, pl. Anfás</w:t>
      </w:r>
      <w:r w:rsidRPr="008F03E5">
        <w:tab/>
        <w:t>breath; whiff; puff (from a smoking pipe, from a cigarette); swallow, gulp, draught; style of an author; freedom, liberty, convenience, discretion</w:t>
      </w:r>
    </w:p>
    <w:p w14:paraId="0C8623D9" w14:textId="77777777" w:rsidR="00625A5B" w:rsidRPr="008F03E5" w:rsidRDefault="00625A5B" w:rsidP="00BD6640">
      <w:pPr>
        <w:pStyle w:val="Translit"/>
      </w:pPr>
      <w:r w:rsidRPr="008F03E5">
        <w:t>Nafas-i-Rahman</w:t>
      </w:r>
      <w:r w:rsidRPr="008F03E5">
        <w:tab/>
        <w:t>Nafas-i-Raḥmán</w:t>
      </w:r>
      <w:r w:rsidRPr="008F03E5">
        <w:tab/>
        <w:t>“Breath of the All-Merciful”</w:t>
      </w:r>
    </w:p>
    <w:p w14:paraId="1119EC04" w14:textId="77777777" w:rsidR="00625A5B" w:rsidRPr="008F03E5" w:rsidRDefault="00625A5B" w:rsidP="00A933EC">
      <w:pPr>
        <w:pStyle w:val="Translit"/>
      </w:pPr>
      <w:r w:rsidRPr="008F03E5">
        <w:t>Nafi’</w:t>
      </w:r>
      <w:r w:rsidRPr="008F03E5">
        <w:tab/>
        <w:t>Náfi‘</w:t>
      </w:r>
      <w:r w:rsidRPr="008F03E5">
        <w:tab/>
        <w:t>useful, beneficial, advantageous, profitable, usable, serviceable; wholesome, salutary</w:t>
      </w:r>
    </w:p>
    <w:p w14:paraId="2A800110" w14:textId="77777777" w:rsidR="00625A5B" w:rsidRPr="008F03E5" w:rsidRDefault="00625A5B" w:rsidP="00573D02">
      <w:pPr>
        <w:pStyle w:val="Translit"/>
      </w:pPr>
      <w:r w:rsidRPr="008F03E5">
        <w:t>Nafila, Nawafil</w:t>
      </w:r>
      <w:r w:rsidRPr="008F03E5">
        <w:tab/>
        <w:t>Náfila, Pers. Nafl, Ar. pl. Nawáfil</w:t>
      </w:r>
      <w:r w:rsidRPr="008F03E5">
        <w:tab/>
        <w:t>supererogatory (beyond religious(?) requirements, voluntary) performance; work of supererogation; gift, present; booty, loot, spoil</w:t>
      </w:r>
    </w:p>
    <w:p w14:paraId="0BB591B7" w14:textId="77777777" w:rsidR="00625A5B" w:rsidRPr="008F03E5" w:rsidRDefault="00625A5B" w:rsidP="00FC52B0">
      <w:pPr>
        <w:pStyle w:val="Translit"/>
      </w:pPr>
      <w:r w:rsidRPr="00077779">
        <w:rPr>
          <w:lang w:val="es-ES_tradnl"/>
        </w:rPr>
        <w:t>Nafir, Anfar, Anfira</w:t>
      </w:r>
      <w:r w:rsidRPr="00077779">
        <w:rPr>
          <w:lang w:val="es-ES_tradnl"/>
        </w:rPr>
        <w:tab/>
        <w:t xml:space="preserve">Nafír, pl. </w:t>
      </w:r>
      <w:r w:rsidRPr="008F03E5">
        <w:t>Anfár, Anfira[h or t]</w:t>
      </w:r>
      <w:r w:rsidRPr="008F03E5">
        <w:tab/>
        <w:t xml:space="preserve">band, party, group, troop; departure into battle; trumpet.  </w:t>
      </w:r>
      <w:r w:rsidRPr="008F03E5">
        <w:rPr>
          <w:i/>
          <w:iCs/>
        </w:rPr>
        <w:t>an-Nafír</w:t>
      </w:r>
      <w:r w:rsidRPr="008F03E5">
        <w:t xml:space="preserve"> (“The Bugle”)</w:t>
      </w:r>
      <w:r w:rsidRPr="008F03E5">
        <w:rPr>
          <w:i/>
          <w:iCs/>
        </w:rPr>
        <w:t>,</w:t>
      </w:r>
      <w:r w:rsidRPr="008F03E5">
        <w:t xml:space="preserve"> a political and current events newspaper published in Alexandria in 1902–1908 (as </w:t>
      </w:r>
      <w:r w:rsidRPr="008F03E5">
        <w:rPr>
          <w:i/>
          <w:iCs/>
        </w:rPr>
        <w:t>an-Nafír al-‘U</w:t>
      </w:r>
      <w:r w:rsidRPr="008F03E5">
        <w:rPr>
          <w:i/>
          <w:iCs/>
          <w:u w:val="single"/>
        </w:rPr>
        <w:t>th</w:t>
      </w:r>
      <w:r w:rsidRPr="008F03E5">
        <w:rPr>
          <w:i/>
          <w:iCs/>
        </w:rPr>
        <w:t>mání</w:t>
      </w:r>
      <w:r w:rsidRPr="008F03E5">
        <w:t>); 1908–1913 in Jerusalem (</w:t>
      </w:r>
      <w:r w:rsidRPr="008F03E5">
        <w:rPr>
          <w:i/>
          <w:iCs/>
        </w:rPr>
        <w:t>an-Nafír</w:t>
      </w:r>
      <w:r w:rsidRPr="008F03E5">
        <w:t xml:space="preserve">); and 1913–1914, 1919–1945 (renamed sometime in ’30s or ’40s </w:t>
      </w:r>
      <w:r w:rsidRPr="008F03E5">
        <w:rPr>
          <w:i/>
          <w:iCs/>
        </w:rPr>
        <w:t>aṣ-Ṣá‘iqa</w:t>
      </w:r>
      <w:r w:rsidRPr="008F03E5">
        <w:t>, “The Thunderbolt”), Haifa.</w:t>
      </w:r>
    </w:p>
    <w:p w14:paraId="4FA3D739" w14:textId="77777777" w:rsidR="00625A5B" w:rsidRPr="008F03E5" w:rsidRDefault="00625A5B" w:rsidP="00B31C65">
      <w:pPr>
        <w:pStyle w:val="Translit"/>
      </w:pPr>
      <w:r w:rsidRPr="008F03E5">
        <w:t>Nafkha</w:t>
      </w:r>
      <w:r w:rsidRPr="008F03E5">
        <w:tab/>
        <w:t>Naf</w:t>
      </w:r>
      <w:r w:rsidRPr="008F03E5">
        <w:rPr>
          <w:u w:val="single"/>
        </w:rPr>
        <w:t>kh</w:t>
      </w:r>
      <w:r w:rsidRPr="008F03E5">
        <w:t>a</w:t>
      </w:r>
      <w:r w:rsidRPr="008F03E5">
        <w:tab/>
        <w:t>(expressing single action) blow, puff; breath; gust; distention, inflation, swelling; conceit, overweeningness, haughtiness</w:t>
      </w:r>
    </w:p>
    <w:p w14:paraId="5B8472F5" w14:textId="77777777" w:rsidR="00625A5B" w:rsidRPr="008F03E5" w:rsidRDefault="00625A5B" w:rsidP="00335D4B">
      <w:pPr>
        <w:pStyle w:val="Translit"/>
      </w:pPr>
      <w:r w:rsidRPr="008F03E5">
        <w:t>Nafkha’i-Sur</w:t>
      </w:r>
      <w:r w:rsidRPr="008F03E5">
        <w:tab/>
        <w:t>Naf</w:t>
      </w:r>
      <w:r w:rsidRPr="008F03E5">
        <w:rPr>
          <w:u w:val="single"/>
        </w:rPr>
        <w:t>kh</w:t>
      </w:r>
      <w:r w:rsidRPr="008F03E5">
        <w:t>a’i-Ṣúr</w:t>
      </w:r>
      <w:r w:rsidRPr="008F03E5">
        <w:tab/>
        <w:t>blowing of a trumpet, proclamation.  Latest is the announcement of the Advent of Bahá’u’lláh</w:t>
      </w:r>
    </w:p>
    <w:p w14:paraId="033B0543" w14:textId="77777777" w:rsidR="00625A5B" w:rsidRPr="008F03E5" w:rsidRDefault="00625A5B" w:rsidP="009C225D">
      <w:pPr>
        <w:pStyle w:val="Translit"/>
      </w:pPr>
      <w:r w:rsidRPr="008F03E5">
        <w:t>Nafl</w:t>
      </w:r>
      <w:r w:rsidRPr="008F03E5">
        <w:tab/>
        <w:t>Nafl</w:t>
      </w:r>
      <w:r w:rsidRPr="008F03E5">
        <w:tab/>
        <w:t>a voluntary act of religion, the observance of which is not prescribed, a work of supererogation; clear gain; a gift</w:t>
      </w:r>
    </w:p>
    <w:p w14:paraId="0A45902B" w14:textId="77777777" w:rsidR="00625A5B" w:rsidRPr="008F03E5" w:rsidRDefault="00625A5B" w:rsidP="00E466FC">
      <w:pPr>
        <w:pStyle w:val="Translit"/>
        <w:rPr>
          <w:lang w:eastAsia="en-US"/>
        </w:rPr>
      </w:pPr>
      <w:r w:rsidRPr="008F03E5">
        <w:rPr>
          <w:lang w:eastAsia="en-US"/>
        </w:rPr>
        <w:t>Nafs al-Kulliya</w:t>
      </w:r>
      <w:r w:rsidRPr="008F03E5">
        <w:rPr>
          <w:lang w:eastAsia="en-US"/>
        </w:rPr>
        <w:tab/>
        <w:t>an-Nafs al-Kull</w:t>
      </w:r>
      <w:r w:rsidRPr="008F03E5">
        <w:t>í</w:t>
      </w:r>
      <w:r w:rsidRPr="008F03E5">
        <w:rPr>
          <w:lang w:eastAsia="en-US"/>
        </w:rPr>
        <w:t>ya</w:t>
      </w:r>
      <w:r w:rsidRPr="008F03E5">
        <w:rPr>
          <w:lang w:eastAsia="en-US"/>
        </w:rPr>
        <w:tab/>
        <w:t>the universal soul</w:t>
      </w:r>
    </w:p>
    <w:p w14:paraId="29B87746" w14:textId="77777777" w:rsidR="00625A5B" w:rsidRPr="008F03E5" w:rsidRDefault="00625A5B" w:rsidP="002B4138">
      <w:pPr>
        <w:pStyle w:val="Translit"/>
      </w:pPr>
      <w:r w:rsidRPr="008F03E5">
        <w:rPr>
          <w:lang w:eastAsia="en-US"/>
        </w:rPr>
        <w:t>Nafs al-Qudsíya</w:t>
      </w:r>
      <w:r w:rsidRPr="008F03E5">
        <w:rPr>
          <w:lang w:eastAsia="en-US"/>
        </w:rPr>
        <w:tab/>
        <w:t>an-Nafs al-Qudsíya</w:t>
      </w:r>
      <w:r w:rsidRPr="008F03E5">
        <w:rPr>
          <w:lang w:eastAsia="en-US"/>
        </w:rPr>
        <w:tab/>
        <w:t>the purified soul</w:t>
      </w:r>
    </w:p>
    <w:p w14:paraId="24C48500" w14:textId="77777777" w:rsidR="00625A5B" w:rsidRPr="008F03E5" w:rsidRDefault="00625A5B" w:rsidP="00D00D9C">
      <w:pPr>
        <w:pStyle w:val="Translit"/>
      </w:pPr>
      <w:r w:rsidRPr="008F03E5">
        <w:t>Nafs, Nufus, Anfus</w:t>
      </w:r>
      <w:r w:rsidRPr="008F03E5">
        <w:tab/>
        <w:t>Nafs fem., pl. Nufús, Anfus</w:t>
      </w:r>
      <w:r w:rsidRPr="008F03E5">
        <w:tab/>
        <w:t>soul; psyche; spirit, mind; life; animate being, living creature, human being, person, individual (in this sense, masculine); essence, nature; inclination, liking, appetite, desire; personal identity, self (used to paraphrase the reflexive pronoun) or desire) (</w:t>
      </w:r>
      <w:r w:rsidRPr="008F03E5">
        <w:rPr>
          <w:i/>
          <w:iCs/>
        </w:rPr>
        <w:t>Logos and Civilization</w:t>
      </w:r>
      <w:r w:rsidRPr="008F03E5">
        <w:t xml:space="preserve">, p. 101)  Ten stages of nafs (‘Abdu’l-Bahá):  the desiring and aggressive soul </w:t>
      </w:r>
      <w:r w:rsidRPr="008F03E5">
        <w:rPr>
          <w:i/>
          <w:iCs/>
        </w:rPr>
        <w:t xml:space="preserve">(nafs-i-ammárih), </w:t>
      </w:r>
      <w:r w:rsidRPr="008F03E5">
        <w:t xml:space="preserve">the blaming soul </w:t>
      </w:r>
      <w:r w:rsidRPr="008F03E5">
        <w:rPr>
          <w:i/>
          <w:iCs/>
        </w:rPr>
        <w:t xml:space="preserve">(nafs-i-lawwámih), </w:t>
      </w:r>
      <w:r w:rsidRPr="008F03E5">
        <w:t xml:space="preserve">the inspired soul </w:t>
      </w:r>
      <w:r w:rsidRPr="008F03E5">
        <w:rPr>
          <w:i/>
          <w:iCs/>
        </w:rPr>
        <w:t xml:space="preserve">(nafs-i-mulhamih), </w:t>
      </w:r>
      <w:r w:rsidRPr="008F03E5">
        <w:t xml:space="preserve">the well-assured soul </w:t>
      </w:r>
      <w:r w:rsidRPr="008F03E5">
        <w:rPr>
          <w:i/>
          <w:iCs/>
        </w:rPr>
        <w:t xml:space="preserve">(nafs-i-muṭma’innih), </w:t>
      </w:r>
      <w:r w:rsidRPr="008F03E5">
        <w:t xml:space="preserve">the pleased soul </w:t>
      </w:r>
      <w:r w:rsidRPr="008F03E5">
        <w:rPr>
          <w:i/>
          <w:iCs/>
        </w:rPr>
        <w:t xml:space="preserve">(nafs-i-ráḍíyih), </w:t>
      </w:r>
      <w:r w:rsidRPr="008F03E5">
        <w:t xml:space="preserve">the soul pleasing unto God </w:t>
      </w:r>
      <w:r w:rsidRPr="008F03E5">
        <w:rPr>
          <w:i/>
          <w:iCs/>
        </w:rPr>
        <w:t xml:space="preserve">(nafs-i-marḍíyyih), </w:t>
      </w:r>
      <w:r w:rsidRPr="008F03E5">
        <w:t xml:space="preserve">the perfect soul </w:t>
      </w:r>
      <w:r w:rsidRPr="008F03E5">
        <w:rPr>
          <w:i/>
          <w:iCs/>
        </w:rPr>
        <w:t xml:space="preserve">(nafs-i-kámilih), </w:t>
      </w:r>
      <w:r w:rsidRPr="008F03E5">
        <w:t xml:space="preserve">the celestial Soul </w:t>
      </w:r>
      <w:r w:rsidRPr="008F03E5">
        <w:rPr>
          <w:i/>
          <w:iCs/>
        </w:rPr>
        <w:t xml:space="preserve">(nafs-i-malakútíyyih), </w:t>
      </w:r>
      <w:r w:rsidRPr="008F03E5">
        <w:t xml:space="preserve">the heavenly </w:t>
      </w:r>
      <w:r w:rsidRPr="008F03E5">
        <w:rPr>
          <w:i/>
          <w:iCs/>
        </w:rPr>
        <w:t xml:space="preserve">Soul (nafs-i-jabarútíyyih), </w:t>
      </w:r>
      <w:r w:rsidRPr="008F03E5">
        <w:t xml:space="preserve">and the Holy Divine Soul </w:t>
      </w:r>
      <w:r w:rsidRPr="008F03E5">
        <w:rPr>
          <w:i/>
          <w:iCs/>
        </w:rPr>
        <w:t>(nafs-i-láhútíyyih qudsíyyih)</w:t>
      </w:r>
      <w:r w:rsidRPr="008F03E5">
        <w:t>.  See ján</w:t>
      </w:r>
    </w:p>
    <w:p w14:paraId="222F0DA8" w14:textId="77777777" w:rsidR="00625A5B" w:rsidRPr="008F03E5" w:rsidRDefault="00625A5B" w:rsidP="00833DDA">
      <w:pPr>
        <w:pStyle w:val="Translit"/>
      </w:pPr>
      <w:r w:rsidRPr="008F03E5">
        <w:t>Nafsaniya</w:t>
      </w:r>
      <w:r w:rsidRPr="008F03E5">
        <w:tab/>
        <w:t>Nafsáníya</w:t>
      </w:r>
      <w:r w:rsidRPr="008F03E5">
        <w:tab/>
        <w:t>psychology</w:t>
      </w:r>
    </w:p>
    <w:p w14:paraId="022BAE27" w14:textId="77777777" w:rsidR="00625A5B" w:rsidRPr="008F03E5" w:rsidRDefault="00625A5B" w:rsidP="003A56B4">
      <w:pPr>
        <w:pStyle w:val="Translit"/>
      </w:pPr>
      <w:r w:rsidRPr="008F03E5">
        <w:t>Nafsi, Nafsiyun</w:t>
      </w:r>
      <w:r w:rsidRPr="008F03E5">
        <w:tab/>
        <w:t>Nafsí, pl. Nafsiyún</w:t>
      </w:r>
      <w:r w:rsidRPr="008F03E5">
        <w:tab/>
        <w:t>spiritual, mental, psychic(al);—pl. psychologist</w:t>
      </w:r>
    </w:p>
    <w:p w14:paraId="60C4CE44" w14:textId="77777777" w:rsidR="00625A5B" w:rsidRPr="008F03E5" w:rsidRDefault="00625A5B" w:rsidP="001A5685">
      <w:pPr>
        <w:pStyle w:val="Translit"/>
      </w:pPr>
      <w:r w:rsidRPr="008F03E5">
        <w:t>Nafsiya (Nafsiyya)</w:t>
      </w:r>
      <w:r w:rsidRPr="008F03E5">
        <w:tab/>
        <w:t>Nafsíya</w:t>
      </w:r>
      <w:r w:rsidRPr="008F03E5">
        <w:tab/>
        <w:t>mental life, inner life, psyche; frame of mind; mentality, mental attitude, disposition; psychology</w:t>
      </w:r>
    </w:p>
    <w:p w14:paraId="792A02D2" w14:textId="77777777" w:rsidR="00625A5B" w:rsidRPr="008F03E5" w:rsidRDefault="00625A5B" w:rsidP="00AA7DFA">
      <w:pPr>
        <w:pStyle w:val="Translit"/>
      </w:pPr>
      <w:r w:rsidRPr="008F03E5">
        <w:t>Nafy wa Ithbat</w:t>
      </w:r>
      <w:r w:rsidRPr="008F03E5">
        <w:tab/>
        <w:t>Nafy wa I</w:t>
      </w:r>
      <w:r w:rsidRPr="008F03E5">
        <w:rPr>
          <w:u w:val="single"/>
        </w:rPr>
        <w:t>th</w:t>
      </w:r>
      <w:r w:rsidRPr="008F03E5">
        <w:t>bát</w:t>
      </w:r>
      <w:r w:rsidRPr="008F03E5">
        <w:tab/>
        <w:t>negation and affirmation</w:t>
      </w:r>
    </w:p>
    <w:p w14:paraId="5BBB31F7" w14:textId="77777777" w:rsidR="00625A5B" w:rsidRPr="008F03E5" w:rsidRDefault="00625A5B" w:rsidP="002C39C1">
      <w:pPr>
        <w:pStyle w:val="Translit"/>
      </w:pPr>
      <w:r w:rsidRPr="008F03E5">
        <w:t>Nafy</w:t>
      </w:r>
      <w:r w:rsidRPr="008F03E5">
        <w:tab/>
        <w:t>Nafy</w:t>
      </w:r>
      <w:r w:rsidRPr="008F03E5">
        <w:tab/>
        <w:t>expulsion; banishment, exile, expatriation; ejection, ousting, eviction, ostracism; deportation; denial, disclaimer, disavowal, repudiation, disproof, refutation, rebuttal, refusal, rejection, disallowance, prohibition, ban; negation, specifically of the divine attributes</w:t>
      </w:r>
    </w:p>
    <w:p w14:paraId="3778BE5A" w14:textId="77777777" w:rsidR="00625A5B" w:rsidRPr="008F03E5" w:rsidRDefault="00625A5B" w:rsidP="00017ADF">
      <w:pPr>
        <w:pStyle w:val="Translit"/>
      </w:pPr>
      <w:r w:rsidRPr="008F03E5">
        <w:t>Naha</w:t>
      </w:r>
      <w:r w:rsidRPr="008F03E5">
        <w:tab/>
        <w:t>Nahá</w:t>
      </w:r>
      <w:r w:rsidRPr="008F03E5">
        <w:tab/>
        <w:t>to forbid (someone something, to do something), prohibit, ban (</w:t>
      </w:r>
      <w:r w:rsidRPr="008F03E5">
        <w:rPr>
          <w:rtl/>
        </w:rPr>
        <w:t>نع</w:t>
      </w:r>
      <w:r w:rsidRPr="008F03E5">
        <w:t xml:space="preserve"> s.o. from doing something), interdict; to restrain, hold back; Form VIII to be concluded, terminated, finished, done with, settled, decided, come to an end (appointed time); to end, end up, wind up (by, in or with); to finish, terminate, conclude.  See Form VIII muntahá.</w:t>
      </w:r>
    </w:p>
    <w:p w14:paraId="2E2B5292" w14:textId="77777777" w:rsidR="00625A5B" w:rsidRPr="008F03E5" w:rsidRDefault="00625A5B" w:rsidP="002F62D4">
      <w:pPr>
        <w:pStyle w:val="Translit"/>
      </w:pPr>
      <w:r w:rsidRPr="008F03E5">
        <w:t>Nahar, Anhur, Nuhur, Nahariya</w:t>
      </w:r>
      <w:r w:rsidRPr="008F03E5">
        <w:tab/>
        <w:t>Nahár, pl. Anhur, Nuhur</w:t>
      </w:r>
      <w:r w:rsidRPr="008F03E5">
        <w:tab/>
        <w:t>daytime, day (from dawn to dusk, as distinguished from yawm = day of 24 hours).  Naháríya is the northernmost coastal city in Israel.</w:t>
      </w:r>
    </w:p>
    <w:p w14:paraId="4F0B76A4" w14:textId="77777777" w:rsidR="00625A5B" w:rsidRPr="008F03E5" w:rsidRDefault="00625A5B" w:rsidP="00682077">
      <w:pPr>
        <w:pStyle w:val="Translit"/>
      </w:pPr>
      <w:r w:rsidRPr="008F03E5">
        <w:t>Nahariyat</w:t>
      </w:r>
      <w:r w:rsidRPr="008F03E5">
        <w:tab/>
        <w:t>Naḥáríya[t]</w:t>
      </w:r>
      <w:r w:rsidRPr="008F03E5">
        <w:tab/>
        <w:t>Islamic sect</w:t>
      </w:r>
    </w:p>
    <w:p w14:paraId="05D355FC" w14:textId="77777777" w:rsidR="00625A5B" w:rsidRPr="008F03E5" w:rsidRDefault="00625A5B" w:rsidP="00520EC4">
      <w:pPr>
        <w:pStyle w:val="Translit"/>
      </w:pPr>
      <w:r w:rsidRPr="008F03E5">
        <w:t>Nahavand (Nehavend)</w:t>
      </w:r>
      <w:r w:rsidRPr="008F03E5">
        <w:tab/>
        <w:t>Nahavand</w:t>
      </w:r>
      <w:r w:rsidRPr="008F03E5">
        <w:tab/>
        <w:t>Pers. a city and capital of Nahavand County, 69 km south Hamadán</w:t>
      </w:r>
    </w:p>
    <w:p w14:paraId="17966750" w14:textId="77777777" w:rsidR="00625A5B" w:rsidRPr="008F03E5" w:rsidRDefault="00625A5B" w:rsidP="00CD7D8A">
      <w:pPr>
        <w:pStyle w:val="Translit"/>
      </w:pPr>
      <w:r w:rsidRPr="001457C8">
        <w:rPr>
          <w:lang w:val="de-DE"/>
        </w:rPr>
        <w:t>Nahda, Nahdat</w:t>
      </w:r>
      <w:r w:rsidRPr="001457C8">
        <w:rPr>
          <w:lang w:val="de-DE"/>
        </w:rPr>
        <w:tab/>
        <w:t xml:space="preserve">Nahḍa[t], pl. </w:t>
      </w:r>
      <w:r w:rsidRPr="008F03E5">
        <w:t>Nahḍát</w:t>
      </w:r>
      <w:r w:rsidRPr="008F03E5">
        <w:tab/>
        <w:t>getting up, rising; awakening (especially, national), rise, growth, boom, upswing, advancement, progress; resurgence, revival, rebirth, renaissance; (spiritual) movement; ability, capability, power</w:t>
      </w:r>
    </w:p>
    <w:p w14:paraId="00061579" w14:textId="77777777" w:rsidR="00625A5B" w:rsidRPr="008F03E5" w:rsidRDefault="00625A5B" w:rsidP="00520EC4">
      <w:pPr>
        <w:pStyle w:val="Translit"/>
      </w:pPr>
      <w:r w:rsidRPr="008F03E5">
        <w:t>Nahid (Anahita)</w:t>
      </w:r>
      <w:r w:rsidRPr="008F03E5">
        <w:tab/>
        <w:t>Náhíd</w:t>
      </w:r>
      <w:r w:rsidRPr="008F03E5">
        <w:tab/>
        <w:t>Pers. (old Persian Anáhítá) (planet:  az-zuhara in Arabic) Venus (Roman goddess and planet).  Name of the mother of Alexander the Great.  Anáhítá was one of the supreme ‘izids’ of the Mazdean (Zoroastrian) Faith.  Greeks knew Anáhítá as Aphrodite and Romans as Venus Erucina</w:t>
      </w:r>
    </w:p>
    <w:p w14:paraId="04727949" w14:textId="77777777" w:rsidR="00625A5B" w:rsidRDefault="00625A5B" w:rsidP="00220845">
      <w:pPr>
        <w:pStyle w:val="Translit"/>
      </w:pPr>
      <w:r>
        <w:t>Nahiya, Nawahin</w:t>
      </w:r>
      <w:r>
        <w:tab/>
        <w:t>Ná</w:t>
      </w:r>
      <w:r w:rsidRPr="00220845">
        <w:t>ḥiya</w:t>
      </w:r>
      <w:r>
        <w:t>[h or t].</w:t>
      </w:r>
      <w:r w:rsidRPr="00220845">
        <w:t xml:space="preserve"> pl. </w:t>
      </w:r>
      <w:r>
        <w:t>N</w:t>
      </w:r>
      <w:r w:rsidRPr="00220845">
        <w:t>aw</w:t>
      </w:r>
      <w:r>
        <w:t>á</w:t>
      </w:r>
      <w:r w:rsidRPr="00220845">
        <w:t>ḥin</w:t>
      </w:r>
      <w:r>
        <w:tab/>
      </w:r>
      <w:r w:rsidRPr="00220845">
        <w:t>side; direction; viewpoint, standpoint, aspect; region, area, section; sphere, domain, field; district, canton</w:t>
      </w:r>
    </w:p>
    <w:p w14:paraId="36A38D15" w14:textId="77777777" w:rsidR="00625A5B" w:rsidRPr="00890AA8" w:rsidRDefault="00625A5B" w:rsidP="00890AA8">
      <w:pPr>
        <w:pStyle w:val="Translit"/>
      </w:pPr>
      <w:r w:rsidRPr="00890AA8">
        <w:t>Nahiya</w:t>
      </w:r>
      <w:r>
        <w:t>h</w:t>
      </w:r>
      <w:r w:rsidRPr="00890AA8">
        <w:t xml:space="preserve"> al-Muqaddasah</w:t>
      </w:r>
      <w:r w:rsidRPr="00890AA8">
        <w:tab/>
        <w:t>an-Náḥiyah al-Muqaddasah</w:t>
      </w:r>
      <w:r>
        <w:tab/>
        <w:t>the holy side or direction</w:t>
      </w:r>
    </w:p>
    <w:p w14:paraId="3B684287" w14:textId="77777777" w:rsidR="00625A5B" w:rsidRDefault="00625A5B" w:rsidP="00DA4385">
      <w:pPr>
        <w:pStyle w:val="Translit"/>
      </w:pPr>
      <w:r w:rsidRPr="008F03E5">
        <w:t>Nahj</w:t>
      </w:r>
      <w:r>
        <w:t xml:space="preserve"> (Pers. Nahaj, Nahia)</w:t>
      </w:r>
      <w:r w:rsidRPr="008F03E5">
        <w:t>, Nuhuj</w:t>
      </w:r>
      <w:r w:rsidRPr="008F03E5">
        <w:tab/>
        <w:t>Nahj, pl. Nuhúj</w:t>
      </w:r>
      <w:r w:rsidRPr="008F03E5">
        <w:tab/>
        <w:t>open way; road; method, procedure, manner</w:t>
      </w:r>
      <w:r>
        <w:t>; p</w:t>
      </w:r>
      <w:r w:rsidRPr="00AF4D34">
        <w:t>ointing out (the way), making clear, prescribing, giving directions; the right way; a high road, beaten path</w:t>
      </w:r>
    </w:p>
    <w:p w14:paraId="29CD0BE3" w14:textId="77777777" w:rsidR="00625A5B" w:rsidRPr="008F03E5" w:rsidRDefault="00625A5B" w:rsidP="005C3025">
      <w:pPr>
        <w:pStyle w:val="Translit"/>
      </w:pPr>
      <w:r w:rsidRPr="008F03E5">
        <w:t>Nahj al-Balagha</w:t>
      </w:r>
      <w:r w:rsidRPr="008F03E5">
        <w:tab/>
        <w:t>Nahj al-Balá</w:t>
      </w:r>
      <w:r w:rsidRPr="008F03E5">
        <w:rPr>
          <w:u w:val="single"/>
        </w:rPr>
        <w:t>gh</w:t>
      </w:r>
      <w:r w:rsidRPr="008F03E5">
        <w:t>a[h]</w:t>
      </w:r>
      <w:r w:rsidRPr="008F03E5">
        <w:tab/>
        <w:t>“Path (or Peak) of Eloquence”, is the most famous collection of sermons, letters, Tafásír and narrations attributed to Imám ‘Alí.  Compiled by Abu’l-Ḥasan Muḥammad ibn al-Ḥusayn al-Músawí.</w:t>
      </w:r>
    </w:p>
    <w:p w14:paraId="3A4DCAF2" w14:textId="77777777" w:rsidR="00625A5B" w:rsidRPr="008F03E5" w:rsidRDefault="00625A5B" w:rsidP="00DA4385">
      <w:pPr>
        <w:pStyle w:val="Translit"/>
      </w:pPr>
      <w:r>
        <w:t>Nahj Muqadassa (Nahia Mocaddassah)</w:t>
      </w:r>
      <w:r>
        <w:tab/>
        <w:t xml:space="preserve">Nahj </w:t>
      </w:r>
      <w:r w:rsidRPr="008F03E5">
        <w:t>Muqaddasa</w:t>
      </w:r>
      <w:r>
        <w:tab/>
        <w:t>the holy direction</w:t>
      </w:r>
    </w:p>
    <w:p w14:paraId="556F8AB1" w14:textId="77777777" w:rsidR="00625A5B" w:rsidRPr="008F03E5" w:rsidRDefault="00625A5B" w:rsidP="005300DD">
      <w:pPr>
        <w:pStyle w:val="Translit"/>
      </w:pPr>
      <w:r w:rsidRPr="008F03E5">
        <w:t>Nahl, Nahla</w:t>
      </w:r>
      <w:r w:rsidRPr="008F03E5">
        <w:tab/>
        <w:t>Naḥl, fem. Naḥla[h or t]</w:t>
      </w:r>
      <w:r w:rsidRPr="008F03E5">
        <w:tab/>
        <w:t>(collective) attributing, imputing (to one the verses or sayings of another); reproaching, reviling; a free gift; bees; fem. one bee</w:t>
      </w:r>
    </w:p>
    <w:p w14:paraId="33288DE8" w14:textId="77777777" w:rsidR="00625A5B" w:rsidRPr="008F03E5" w:rsidRDefault="00625A5B" w:rsidP="00444347">
      <w:pPr>
        <w:pStyle w:val="Translit"/>
      </w:pPr>
      <w:r w:rsidRPr="008F03E5">
        <w:t>Nahla, Nihal</w:t>
      </w:r>
      <w:r w:rsidRPr="008F03E5">
        <w:tab/>
        <w:t>Naḥla[h], pl. Niḥal</w:t>
      </w:r>
      <w:r w:rsidRPr="008F03E5">
        <w:tab/>
        <w:t xml:space="preserve">present, gift, donation; creed, faith, seat.  </w:t>
      </w:r>
      <w:r w:rsidRPr="008F03E5">
        <w:rPr>
          <w:i/>
          <w:iCs/>
        </w:rPr>
        <w:t>Kitáb al-Milal wa an-Niḥal</w:t>
      </w:r>
      <w:r w:rsidRPr="008F03E5">
        <w:t xml:space="preserve"> (“The Book of Sects and Creeds”), by Muḥammad a</w:t>
      </w:r>
      <w:r w:rsidRPr="008F03E5">
        <w:rPr>
          <w:u w:val="single"/>
        </w:rPr>
        <w:t>sh</w:t>
      </w:r>
      <w:r w:rsidRPr="008F03E5">
        <w:t>-</w:t>
      </w:r>
      <w:r w:rsidRPr="008F03E5">
        <w:rPr>
          <w:u w:val="single"/>
        </w:rPr>
        <w:t>Sh</w:t>
      </w:r>
      <w:r w:rsidRPr="008F03E5">
        <w:t>ahrastání, is a non-polemical study of religious communities and philosophies that had existed up to his time, considered to be the first systematic study of religion.</w:t>
      </w:r>
    </w:p>
    <w:p w14:paraId="35D8BC72" w14:textId="77777777" w:rsidR="00625A5B" w:rsidRPr="008F03E5" w:rsidRDefault="00625A5B" w:rsidP="006877FC">
      <w:pPr>
        <w:pStyle w:val="Translit"/>
      </w:pPr>
      <w:r w:rsidRPr="008F03E5">
        <w:t>Nahnu</w:t>
      </w:r>
      <w:r w:rsidRPr="008F03E5">
        <w:tab/>
        <w:t>Naḥnu</w:t>
      </w:r>
      <w:r w:rsidRPr="008F03E5">
        <w:tab/>
        <w:t>we</w:t>
      </w:r>
    </w:p>
    <w:p w14:paraId="56C23FF9" w14:textId="77777777" w:rsidR="00625A5B" w:rsidRPr="008F03E5" w:rsidRDefault="00625A5B" w:rsidP="001B4E5D">
      <w:pPr>
        <w:pStyle w:val="Translit"/>
      </w:pPr>
      <w:r w:rsidRPr="008F03E5">
        <w:t>Nahr</w:t>
      </w:r>
      <w:r w:rsidRPr="008F03E5">
        <w:tab/>
        <w:t>Naḥr</w:t>
      </w:r>
      <w:r w:rsidRPr="008F03E5">
        <w:tab/>
        <w:t xml:space="preserve">killing, slaughtering, butchering.  Yawmu’n-naḥr, “The day of sacrifice”, being the tenth of the month </w:t>
      </w:r>
      <w:r w:rsidRPr="008F03E5">
        <w:rPr>
          <w:u w:val="single"/>
        </w:rPr>
        <w:t>dh</w:t>
      </w:r>
      <w:r w:rsidRPr="008F03E5">
        <w:t>ú’l-ḥijjah, when the pilgrims assemble at Mecca.</w:t>
      </w:r>
    </w:p>
    <w:p w14:paraId="751D1622" w14:textId="77777777" w:rsidR="00625A5B" w:rsidRPr="008F03E5" w:rsidRDefault="00625A5B" w:rsidP="00B878EC">
      <w:pPr>
        <w:pStyle w:val="Translit"/>
      </w:pPr>
      <w:r w:rsidRPr="001457C8">
        <w:rPr>
          <w:lang w:val="de-DE"/>
        </w:rPr>
        <w:t>Nahr, Anhur, Anhar, Nuhur</w:t>
      </w:r>
      <w:r w:rsidRPr="001457C8">
        <w:rPr>
          <w:lang w:val="de-DE"/>
        </w:rPr>
        <w:tab/>
        <w:t xml:space="preserve">Nahr, pl. </w:t>
      </w:r>
      <w:r w:rsidRPr="008F03E5">
        <w:t>Anhur, Anhár, Nuhúr</w:t>
      </w:r>
      <w:r w:rsidRPr="008F03E5">
        <w:tab/>
        <w:t xml:space="preserve">stream, river;—(pl. anhur and anhár) column (of a newspaper).  Also used as suffix to a proper name.  an-Nahr (33.006941, 35.141304) on </w:t>
      </w:r>
      <w:r w:rsidRPr="008F03E5">
        <w:rPr>
          <w:sz w:val="16"/>
          <w:szCs w:val="16"/>
        </w:rPr>
        <w:t>SE</w:t>
      </w:r>
      <w:r w:rsidRPr="008F03E5">
        <w:t xml:space="preserve"> part of Tel Kabri, 1.7 km </w:t>
      </w:r>
      <w:r w:rsidRPr="008F03E5">
        <w:rPr>
          <w:sz w:val="16"/>
          <w:szCs w:val="16"/>
        </w:rPr>
        <w:t>SW</w:t>
      </w:r>
      <w:r w:rsidRPr="008F03E5">
        <w:t xml:space="preserve"> of Kabrí) is a former Arab village that Bahá’u’lláh visited in 1880.</w:t>
      </w:r>
    </w:p>
    <w:p w14:paraId="77E71F05" w14:textId="77777777" w:rsidR="00625A5B" w:rsidRPr="008F03E5" w:rsidRDefault="00625A5B" w:rsidP="00B878EC">
      <w:pPr>
        <w:pStyle w:val="Translit"/>
      </w:pPr>
      <w:r w:rsidRPr="008F03E5">
        <w:t>Nahri</w:t>
      </w:r>
      <w:r w:rsidRPr="008F03E5">
        <w:tab/>
        <w:t>Nahrí</w:t>
      </w:r>
      <w:r w:rsidRPr="008F03E5">
        <w:tab/>
        <w:t xml:space="preserve">river- (in compounds), riverine, fluvial (belonging to a river), fluviatic.  Siyyid Muḥammad-‘Alí y-i-Nahrí, father of ‘Abdu’l-Bahá’s wife, Munírih </w:t>
      </w:r>
      <w:r w:rsidRPr="008F03E5">
        <w:rPr>
          <w:u w:val="single"/>
        </w:rPr>
        <w:t>Kh</w:t>
      </w:r>
      <w:r w:rsidRPr="008F03E5">
        <w:t>ánum.</w:t>
      </w:r>
    </w:p>
    <w:p w14:paraId="789DE8A4" w14:textId="77777777" w:rsidR="00625A5B" w:rsidRPr="008F03E5" w:rsidRDefault="00625A5B" w:rsidP="00236E11">
      <w:pPr>
        <w:pStyle w:val="Translit"/>
      </w:pPr>
      <w:r w:rsidRPr="008F03E5">
        <w:t>Nahw (Nahv), Anha</w:t>
      </w:r>
      <w:r w:rsidRPr="008F03E5">
        <w:tab/>
        <w:t>Naḥw, pl. Anḥá’</w:t>
      </w:r>
      <w:r w:rsidRPr="008F03E5">
        <w:tab/>
        <w:t>direction; side; section, part; way, course, method, manner, mode, fashion; (with following genitive) corresponding to, analogous to, similar to, like, somewhat like; (grammar) grammar; syntax.  Hence possessive forms:  Naḥwí or Naḥví</w:t>
      </w:r>
    </w:p>
    <w:p w14:paraId="5CF2D616" w14:textId="77777777" w:rsidR="00625A5B" w:rsidRPr="008F03E5" w:rsidRDefault="00625A5B" w:rsidP="00A34DB9">
      <w:pPr>
        <w:pStyle w:val="Translit"/>
      </w:pPr>
      <w:r w:rsidRPr="008F03E5">
        <w:t>Naja, Najw, Najah</w:t>
      </w:r>
      <w:r w:rsidRPr="008F03E5">
        <w:tab/>
        <w:t>Najá (Najw, Najá’, Najáh)</w:t>
      </w:r>
      <w:r w:rsidRPr="008F03E5">
        <w:tab/>
        <w:t>to save oneself, be saved, be rescued, make for safety, get away (from), escape (something), be delivered (from)</w:t>
      </w:r>
    </w:p>
    <w:p w14:paraId="6B0BE33B" w14:textId="77777777" w:rsidR="00625A5B" w:rsidRPr="008F03E5" w:rsidRDefault="00625A5B" w:rsidP="00D43ED9">
      <w:pPr>
        <w:pStyle w:val="Translit"/>
      </w:pPr>
      <w:r w:rsidRPr="008F03E5">
        <w:t>Najaf</w:t>
      </w:r>
      <w:r w:rsidRPr="008F03E5">
        <w:tab/>
        <w:t>Najaf</w:t>
      </w:r>
      <w:r w:rsidRPr="008F03E5">
        <w:tab/>
        <w:t>third holiest Shi’ite city.  It is 47 km south of Baghdad.  Najaf-‘Alí, Najaf-‘Alíy-i-Zanjání.</w:t>
      </w:r>
    </w:p>
    <w:p w14:paraId="42193516" w14:textId="77777777" w:rsidR="00625A5B" w:rsidRPr="008F03E5" w:rsidRDefault="00625A5B" w:rsidP="008A0E36">
      <w:pPr>
        <w:pStyle w:val="Translit"/>
        <w:tabs>
          <w:tab w:val="left" w:pos="7230"/>
        </w:tabs>
      </w:pPr>
      <w:r w:rsidRPr="008F03E5">
        <w:t>Najafabad or Najaf-Abad</w:t>
      </w:r>
      <w:r w:rsidRPr="008F03E5">
        <w:tab/>
        <w:t>Najafábád or Najaf-Ábád</w:t>
      </w:r>
      <w:r w:rsidRPr="008F03E5">
        <w:tab/>
        <w:t>Pers. a city and capital of Najafábád County, Iṣfahán Province, Iran.  It is located 28 km west of Iṣfahán and is increasingly becoming a part of Iṣfahán metropolitan area.</w:t>
      </w:r>
    </w:p>
    <w:p w14:paraId="5C1660FC" w14:textId="77777777" w:rsidR="00625A5B" w:rsidRPr="008F03E5" w:rsidRDefault="00625A5B" w:rsidP="00E85900">
      <w:pPr>
        <w:pStyle w:val="Translit"/>
      </w:pPr>
      <w:r w:rsidRPr="008F03E5">
        <w:t>Najafi</w:t>
      </w:r>
      <w:r w:rsidRPr="008F03E5">
        <w:tab/>
        <w:t>Najafi</w:t>
      </w:r>
      <w:r w:rsidRPr="008F03E5">
        <w:tab/>
        <w:t xml:space="preserve">of or from Najaf.  Áyatu’lláh al-‘Uẓmá (“Grand Ayatu’llah”) </w:t>
      </w:r>
      <w:r w:rsidRPr="008F03E5">
        <w:rPr>
          <w:u w:val="single"/>
        </w:rPr>
        <w:t>Sh</w:t>
      </w:r>
      <w:r w:rsidRPr="008F03E5">
        <w:t>ay</w:t>
      </w:r>
      <w:r w:rsidRPr="008F03E5">
        <w:rPr>
          <w:u w:val="single"/>
        </w:rPr>
        <w:t>kh</w:t>
      </w:r>
      <w:r w:rsidRPr="008F03E5">
        <w:t xml:space="preserve"> Ba</w:t>
      </w:r>
      <w:r w:rsidRPr="008F03E5">
        <w:rPr>
          <w:u w:val="single"/>
        </w:rPr>
        <w:t>sh</w:t>
      </w:r>
      <w:r w:rsidRPr="008F03E5">
        <w:t>ír Ḥusayn an-Najafí (1942–, India) is a Twelver Shia Marja‘ and one of the Four Grand Ayatollahs of Najaf, Iraq.</w:t>
      </w:r>
    </w:p>
    <w:p w14:paraId="61939523" w14:textId="77777777" w:rsidR="00625A5B" w:rsidRPr="008F03E5" w:rsidRDefault="00625A5B" w:rsidP="009D2AB1">
      <w:pPr>
        <w:pStyle w:val="Translit"/>
      </w:pPr>
      <w:r w:rsidRPr="008F03E5">
        <w:t>Najah</w:t>
      </w:r>
      <w:r w:rsidRPr="008F03E5">
        <w:tab/>
        <w:t>Najáḥ</w:t>
      </w:r>
      <w:r w:rsidRPr="008F03E5">
        <w:tab/>
        <w:t>favourable, successful outcome, happy ending; success; satisfactory development, good progress; passing (of an examination)</w:t>
      </w:r>
    </w:p>
    <w:p w14:paraId="75CD47A3" w14:textId="77777777" w:rsidR="00625A5B" w:rsidRPr="008F03E5" w:rsidRDefault="00625A5B" w:rsidP="00286356">
      <w:pPr>
        <w:pStyle w:val="Translit"/>
      </w:pPr>
      <w:r w:rsidRPr="005B53FB">
        <w:t>Najas, Najasa, Najasat</w:t>
      </w:r>
      <w:r w:rsidRPr="005B53FB">
        <w:tab/>
        <w:t xml:space="preserve">Najas, fem. Najása[h or t], pl. </w:t>
      </w:r>
      <w:r w:rsidRPr="008F03E5">
        <w:t>Najását</w:t>
      </w:r>
      <w:r w:rsidRPr="008F03E5">
        <w:tab/>
        <w:t>impurity, uncleanness, uncleanliness, dirt, filth, squalor</w:t>
      </w:r>
    </w:p>
    <w:p w14:paraId="5F4235F1" w14:textId="77777777" w:rsidR="00625A5B" w:rsidRPr="00B06F9C" w:rsidRDefault="00625A5B" w:rsidP="00126C04">
      <w:pPr>
        <w:pStyle w:val="Translit"/>
      </w:pPr>
      <w:r w:rsidRPr="008F03E5">
        <w:t>Najashi, Nijashi</w:t>
      </w:r>
      <w:r w:rsidRPr="008F03E5">
        <w:tab/>
        <w:t>Najá</w:t>
      </w:r>
      <w:r w:rsidRPr="008F03E5">
        <w:rPr>
          <w:u w:val="single"/>
        </w:rPr>
        <w:t>sh</w:t>
      </w:r>
      <w:r w:rsidRPr="008F03E5">
        <w:t>í, Nijá</w:t>
      </w:r>
      <w:r w:rsidRPr="008F03E5">
        <w:rPr>
          <w:u w:val="single"/>
        </w:rPr>
        <w:t>sh</w:t>
      </w:r>
      <w:r w:rsidRPr="008F03E5">
        <w:t>í</w:t>
      </w:r>
      <w:r w:rsidRPr="008F03E5">
        <w:tab/>
        <w:t>Negu</w:t>
      </w:r>
      <w:r w:rsidRPr="003B45BF">
        <w:t xml:space="preserve">s (“king” in the Ethiopian Semitic languages), </w:t>
      </w:r>
      <w:r>
        <w:t xml:space="preserve">Emperor of Ethiopia. </w:t>
      </w:r>
      <w:r w:rsidRPr="008F03E5">
        <w:t xml:space="preserve"> </w:t>
      </w:r>
      <w:r>
        <w:t>an-</w:t>
      </w:r>
      <w:r w:rsidRPr="008F03E5">
        <w:t>Najá</w:t>
      </w:r>
      <w:r w:rsidRPr="008F03E5">
        <w:rPr>
          <w:u w:val="single"/>
        </w:rPr>
        <w:t>sh</w:t>
      </w:r>
      <w:r w:rsidRPr="008F03E5">
        <w:t xml:space="preserve">í </w:t>
      </w:r>
      <w:r w:rsidRPr="00B06F9C">
        <w:t>ruler of the Kingdom of Aksum</w:t>
      </w:r>
      <w:r>
        <w:t xml:space="preserve"> (r.</w:t>
      </w:r>
      <w:r w:rsidRPr="00B06F9C">
        <w:t xml:space="preserve"> </w:t>
      </w:r>
      <w:r w:rsidRPr="00D87405">
        <w:rPr>
          <w:sz w:val="16"/>
          <w:szCs w:val="16"/>
        </w:rPr>
        <w:t>CE</w:t>
      </w:r>
      <w:r>
        <w:t xml:space="preserve"> </w:t>
      </w:r>
      <w:r w:rsidRPr="00B06F9C">
        <w:t>614</w:t>
      </w:r>
      <w:r>
        <w:t>–</w:t>
      </w:r>
      <w:r w:rsidRPr="00B06F9C">
        <w:t>630</w:t>
      </w:r>
      <w:r>
        <w:t xml:space="preserve">). </w:t>
      </w:r>
      <w:r w:rsidRPr="00B06F9C">
        <w:t xml:space="preserve"> </w:t>
      </w:r>
      <w:r>
        <w:t>He</w:t>
      </w:r>
      <w:r w:rsidRPr="00B06F9C">
        <w:t xml:space="preserve"> </w:t>
      </w:r>
      <w:r>
        <w:t xml:space="preserve">gave </w:t>
      </w:r>
      <w:r w:rsidRPr="00B06F9C">
        <w:t xml:space="preserve">shelter to Muslim emigrants from Mecca, around </w:t>
      </w:r>
      <w:r w:rsidRPr="00D87405">
        <w:rPr>
          <w:sz w:val="16"/>
          <w:szCs w:val="16"/>
        </w:rPr>
        <w:t>CE</w:t>
      </w:r>
      <w:r>
        <w:t xml:space="preserve"> </w:t>
      </w:r>
      <w:r w:rsidRPr="00B06F9C">
        <w:t>615–616 at Axum.</w:t>
      </w:r>
    </w:p>
    <w:p w14:paraId="0A1C56D0" w14:textId="77777777" w:rsidR="00625A5B" w:rsidRPr="008F03E5" w:rsidRDefault="00625A5B" w:rsidP="00FE1FFE">
      <w:pPr>
        <w:pStyle w:val="Translit"/>
      </w:pPr>
      <w:r w:rsidRPr="008F03E5">
        <w:t>Najat</w:t>
      </w:r>
      <w:r w:rsidRPr="008F03E5">
        <w:tab/>
        <w:t>Naját</w:t>
      </w:r>
      <w:r w:rsidRPr="008F03E5">
        <w:tab/>
        <w:t>Pers. escaping; liberation, freedom, salvation, escape, flight; avidity; envy</w:t>
      </w:r>
    </w:p>
    <w:p w14:paraId="7C3B317E" w14:textId="77777777" w:rsidR="00625A5B" w:rsidRPr="008F03E5" w:rsidRDefault="00625A5B" w:rsidP="009D2AB1">
      <w:pPr>
        <w:pStyle w:val="Translit"/>
      </w:pPr>
      <w:r w:rsidRPr="008F03E5">
        <w:t>Najb, Nujaba</w:t>
      </w:r>
      <w:r w:rsidRPr="008F03E5">
        <w:tab/>
        <w:t>Najb and Nujaba</w:t>
      </w:r>
      <w:r w:rsidRPr="008F03E5">
        <w:tab/>
        <w:t>noble, highminded, generous, magnanimous</w:t>
      </w:r>
    </w:p>
    <w:p w14:paraId="05E69701" w14:textId="77777777" w:rsidR="00625A5B" w:rsidRPr="008F03E5" w:rsidRDefault="00625A5B" w:rsidP="00A673EF">
      <w:pPr>
        <w:pStyle w:val="Translit"/>
      </w:pPr>
      <w:r w:rsidRPr="008F03E5">
        <w:t>Najd, Nijad</w:t>
      </w:r>
      <w:r w:rsidRPr="008F03E5">
        <w:tab/>
        <w:t>Najd, pl. Nijád</w:t>
      </w:r>
      <w:r w:rsidRPr="008F03E5">
        <w:tab/>
        <w:t>highland, upland, tableland, plateau; the Arabian highland, Nejd.  Modern Najd is the geographical central region of Saudi Arabia (25% of the area and 30% of the population).</w:t>
      </w:r>
    </w:p>
    <w:p w14:paraId="7A3BA7F3" w14:textId="77777777" w:rsidR="00625A5B" w:rsidRPr="008F03E5" w:rsidRDefault="00625A5B" w:rsidP="008C6211">
      <w:pPr>
        <w:pStyle w:val="Translit"/>
      </w:pPr>
      <w:r w:rsidRPr="008F03E5">
        <w:t>Naji</w:t>
      </w:r>
      <w:r w:rsidRPr="008F03E5">
        <w:tab/>
        <w:t>Nájí</w:t>
      </w:r>
      <w:r w:rsidRPr="008F03E5">
        <w:tab/>
        <w:t>one who escapes; swift; free, liberated, excused; a deliverer (an epithet of Noah)</w:t>
      </w:r>
    </w:p>
    <w:p w14:paraId="5DA70405" w14:textId="77777777" w:rsidR="00625A5B" w:rsidRPr="008F03E5" w:rsidRDefault="00625A5B" w:rsidP="005D7309">
      <w:pPr>
        <w:pStyle w:val="Translit"/>
      </w:pPr>
      <w:r w:rsidRPr="008F03E5">
        <w:t>Najib, Nujub, Nujaba, Anjab</w:t>
      </w:r>
      <w:r w:rsidRPr="008F03E5">
        <w:tab/>
        <w:t>Najíb, pl. Nujub, Nujabá, Anjáb</w:t>
      </w:r>
      <w:r w:rsidRPr="008F03E5">
        <w:tab/>
        <w:t xml:space="preserve">of noble breed; highborn, highbred, of noble descent, noble, distinguished, aristocratic, patrician; excellent, superior, outstanding.  </w:t>
      </w:r>
      <w:r w:rsidRPr="008F03E5">
        <w:rPr>
          <w:u w:val="single"/>
        </w:rPr>
        <w:t>Sh</w:t>
      </w:r>
      <w:r w:rsidRPr="008F03E5">
        <w:t>í‘a saint.</w:t>
      </w:r>
    </w:p>
    <w:p w14:paraId="6B521F7C" w14:textId="77777777" w:rsidR="00625A5B" w:rsidRPr="008F03E5" w:rsidRDefault="00625A5B" w:rsidP="00DA3B11">
      <w:pPr>
        <w:pStyle w:val="Translit"/>
      </w:pPr>
      <w:r w:rsidRPr="008F03E5">
        <w:t>Najibiya, Najibiyyih</w:t>
      </w:r>
      <w:r w:rsidRPr="008F03E5">
        <w:tab/>
        <w:t>Najíbíya[h</w:t>
      </w:r>
      <w:r>
        <w:t xml:space="preserve"> or t</w:t>
      </w:r>
      <w:r w:rsidRPr="008F03E5">
        <w:t>], Pers. Najíb</w:t>
      </w:r>
      <w:r>
        <w:t>i</w:t>
      </w:r>
      <w:r w:rsidRPr="008F03E5">
        <w:t>yyih</w:t>
      </w:r>
      <w:r w:rsidRPr="008F03E5">
        <w:tab/>
        <w:t>Najíbíyah Garden (named after Muḥammad Najíb Pá</w:t>
      </w:r>
      <w:r w:rsidRPr="008F03E5">
        <w:rPr>
          <w:u w:val="single"/>
        </w:rPr>
        <w:t>sh</w:t>
      </w:r>
      <w:r w:rsidRPr="008F03E5">
        <w:t>á, Ottoman governor of Ba</w:t>
      </w:r>
      <w:r w:rsidRPr="008F03E5">
        <w:rPr>
          <w:u w:val="single"/>
        </w:rPr>
        <w:t>gh</w:t>
      </w:r>
      <w:r w:rsidRPr="008F03E5">
        <w:t>dád 1842–1847, d. 1851) on the east bank of the Tigris River (east of the former citadel and the modern bridge, Jisr Báb al-Mu‘aẓẓim, 33.345294, 44.377532) just outside the upstream corner of the old city walls of Ba</w:t>
      </w:r>
      <w:r w:rsidRPr="008F03E5">
        <w:rPr>
          <w:u w:val="single"/>
        </w:rPr>
        <w:t>gh</w:t>
      </w:r>
      <w:r w:rsidRPr="008F03E5">
        <w:t>dád (now occupied by the Baghdad Medical City (Madína a</w:t>
      </w:r>
      <w:r w:rsidRPr="00DA3B11">
        <w:t>ṭ</w:t>
      </w:r>
      <w:r w:rsidRPr="008F03E5">
        <w:t xml:space="preserve">-Ṭibb, “City of Medicine”) where Bahá’u’lláh made His public declaration, sometime during 3–14 of </w:t>
      </w:r>
      <w:r w:rsidRPr="008F03E5">
        <w:rPr>
          <w:u w:val="single"/>
        </w:rPr>
        <w:t>Dh</w:t>
      </w:r>
      <w:r w:rsidRPr="008F03E5">
        <w:t xml:space="preserve">u’l-Qa‘da </w:t>
      </w:r>
      <w:r w:rsidRPr="008F03E5">
        <w:rPr>
          <w:sz w:val="16"/>
          <w:szCs w:val="16"/>
        </w:rPr>
        <w:t>AH</w:t>
      </w:r>
      <w:r w:rsidRPr="008F03E5">
        <w:t xml:space="preserve"> 1279 (22 April–2 May 1863).</w:t>
      </w:r>
    </w:p>
    <w:p w14:paraId="488ED8EC" w14:textId="77777777" w:rsidR="00625A5B" w:rsidRPr="008F03E5" w:rsidRDefault="00625A5B" w:rsidP="00834320">
      <w:pPr>
        <w:pStyle w:val="Translit"/>
      </w:pPr>
      <w:r w:rsidRPr="008F03E5">
        <w:t>Najis, Anjas</w:t>
      </w:r>
      <w:r w:rsidRPr="008F03E5">
        <w:tab/>
        <w:t>Najis, pl. Anjás</w:t>
      </w:r>
      <w:r w:rsidRPr="008F03E5">
        <w:tab/>
        <w:t>impure, unclean, defiled, polluted, contaminated, soiled, sullied, dirty, filthy, squalid</w:t>
      </w:r>
    </w:p>
    <w:p w14:paraId="2B24BFC2" w14:textId="77777777" w:rsidR="00625A5B" w:rsidRPr="008F03E5" w:rsidRDefault="00625A5B" w:rsidP="00DF5A0D">
      <w:pPr>
        <w:pStyle w:val="Translit"/>
      </w:pPr>
      <w:r w:rsidRPr="008F03E5">
        <w:t>Najiya</w:t>
      </w:r>
      <w:r w:rsidRPr="008F03E5">
        <w:tab/>
        <w:t>Nájiya[h or t]</w:t>
      </w:r>
      <w:r w:rsidRPr="008F03E5">
        <w:tab/>
        <w:t>a swift she-camel running away with the rider; banú nájiyat, name of an Arabian tribe</w:t>
      </w:r>
    </w:p>
    <w:p w14:paraId="3BDD5024" w14:textId="77777777" w:rsidR="00625A5B" w:rsidRPr="008F03E5" w:rsidRDefault="00625A5B" w:rsidP="00CF7F28">
      <w:pPr>
        <w:pStyle w:val="Translit"/>
      </w:pPr>
      <w:r w:rsidRPr="008F03E5">
        <w:t>Najjar, Najjarun</w:t>
      </w:r>
      <w:r w:rsidRPr="008F03E5">
        <w:tab/>
        <w:t>Najjár, pl. Najjárún</w:t>
      </w:r>
      <w:r w:rsidRPr="008F03E5">
        <w:tab/>
        <w:t>carpenter, cabinetmaker, joiner</w:t>
      </w:r>
    </w:p>
    <w:p w14:paraId="345846AD" w14:textId="77777777" w:rsidR="00625A5B" w:rsidRPr="008F03E5" w:rsidRDefault="00625A5B" w:rsidP="00C927A1">
      <w:pPr>
        <w:pStyle w:val="Translit"/>
      </w:pPr>
      <w:r w:rsidRPr="008F03E5">
        <w:t>Najm a</w:t>
      </w:r>
      <w:r>
        <w:t>th</w:t>
      </w:r>
      <w:r w:rsidRPr="008F03E5">
        <w:t>-thaqib</w:t>
      </w:r>
      <w:r w:rsidRPr="008F03E5">
        <w:tab/>
        <w:t>a</w:t>
      </w:r>
      <w:r>
        <w:t>n</w:t>
      </w:r>
      <w:r w:rsidRPr="008F03E5">
        <w:t>-Najm a</w:t>
      </w:r>
      <w:r w:rsidRPr="00737649">
        <w:rPr>
          <w:u w:val="single"/>
        </w:rPr>
        <w:t>th</w:t>
      </w:r>
      <w:r w:rsidRPr="008F03E5">
        <w:t>-</w:t>
      </w:r>
      <w:r w:rsidRPr="008F03E5">
        <w:rPr>
          <w:u w:val="single"/>
        </w:rPr>
        <w:t>th</w:t>
      </w:r>
      <w:r w:rsidRPr="008F03E5">
        <w:t>áqib</w:t>
      </w:r>
      <w:r w:rsidRPr="008F03E5">
        <w:tab/>
      </w:r>
      <w:r>
        <w:t xml:space="preserve">Full title:  </w:t>
      </w:r>
      <w:r w:rsidRPr="008F03E5">
        <w:t>a</w:t>
      </w:r>
      <w:r>
        <w:t>n</w:t>
      </w:r>
      <w:r w:rsidRPr="008F03E5">
        <w:t>-Najm a</w:t>
      </w:r>
      <w:r w:rsidRPr="00737649">
        <w:rPr>
          <w:u w:val="single"/>
        </w:rPr>
        <w:t>th</w:t>
      </w:r>
      <w:r w:rsidRPr="008F03E5">
        <w:t>-</w:t>
      </w:r>
      <w:r w:rsidRPr="008F03E5">
        <w:rPr>
          <w:u w:val="single"/>
        </w:rPr>
        <w:t>th</w:t>
      </w:r>
      <w:r w:rsidRPr="008F03E5">
        <w:t>áqib fí aḥwál al-imám al-</w:t>
      </w:r>
      <w:r w:rsidRPr="008F03E5">
        <w:rPr>
          <w:u w:val="single"/>
        </w:rPr>
        <w:t>gh</w:t>
      </w:r>
      <w:r w:rsidRPr="008F03E5">
        <w:t>á’ib, “The star of piercing brightness, concerning the circumstances of the Hidden Imam”</w:t>
      </w:r>
      <w:r>
        <w:t xml:space="preserve">. </w:t>
      </w:r>
      <w:r w:rsidRPr="008F03E5">
        <w:t xml:space="preserve"> </w:t>
      </w:r>
      <w:r>
        <w:t xml:space="preserve">It </w:t>
      </w:r>
      <w:r w:rsidRPr="008F03E5">
        <w:t>is a book written in Farsi about Imám al-Mahdí by Mírzá Ḥusayn Núrí.</w:t>
      </w:r>
    </w:p>
    <w:p w14:paraId="399C2D45" w14:textId="77777777" w:rsidR="00625A5B" w:rsidRPr="00101ACF" w:rsidRDefault="00625A5B" w:rsidP="003D0CD5">
      <w:pPr>
        <w:pStyle w:val="Translit"/>
        <w:rPr>
          <w:lang w:val="en-AU"/>
        </w:rPr>
      </w:pPr>
      <w:r w:rsidRPr="001457C8">
        <w:rPr>
          <w:lang w:val="pl-PL"/>
        </w:rPr>
        <w:t>Najm, Najma, Najman, Nujum, Anjum</w:t>
      </w:r>
      <w:r w:rsidRPr="001457C8">
        <w:rPr>
          <w:lang w:val="pl-PL"/>
        </w:rPr>
        <w:tab/>
        <w:t xml:space="preserve">Najm, fem. </w:t>
      </w:r>
      <w:r w:rsidRPr="00101ACF">
        <w:rPr>
          <w:lang w:val="en-AU"/>
        </w:rPr>
        <w:t>Najma[h], pl. Nujúm, Anjum</w:t>
      </w:r>
      <w:r w:rsidRPr="00101ACF">
        <w:rPr>
          <w:lang w:val="en-AU"/>
        </w:rPr>
        <w:tab/>
        <w:t>celestial body; star; lucky star; constellation, asterism; (colloquial) herbs, herbage, grass.  Dual najmán.</w:t>
      </w:r>
    </w:p>
    <w:p w14:paraId="3781826A" w14:textId="77777777" w:rsidR="00625A5B" w:rsidRPr="00101ACF" w:rsidRDefault="00625A5B" w:rsidP="001A571C">
      <w:pPr>
        <w:pStyle w:val="Translit"/>
        <w:rPr>
          <w:lang w:val="en-AU"/>
        </w:rPr>
      </w:pPr>
      <w:r w:rsidRPr="00101ACF">
        <w:rPr>
          <w:lang w:val="en-AU"/>
        </w:rPr>
        <w:t>Najm’abadi</w:t>
      </w:r>
      <w:r w:rsidRPr="00101ACF">
        <w:rPr>
          <w:lang w:val="en-AU"/>
        </w:rPr>
        <w:tab/>
        <w:t>Najm’ábádí (Najm Ábádí)</w:t>
      </w:r>
      <w:r w:rsidRPr="00101ACF">
        <w:rPr>
          <w:lang w:val="en-AU"/>
        </w:rPr>
        <w:tab/>
        <w:t>square in Ṭihrán.  Áfsánih Najm’ábádí, historian.</w:t>
      </w:r>
    </w:p>
    <w:p w14:paraId="7E74E7E2" w14:textId="77777777" w:rsidR="00625A5B" w:rsidRPr="00101ACF" w:rsidRDefault="00625A5B" w:rsidP="008D3973">
      <w:pPr>
        <w:pStyle w:val="Translit"/>
        <w:rPr>
          <w:lang w:val="en-AU"/>
        </w:rPr>
      </w:pPr>
      <w:r w:rsidRPr="00101ACF">
        <w:rPr>
          <w:lang w:val="en-AU"/>
        </w:rPr>
        <w:t>Najmiya, Najmiyyah (Najmiyyih)</w:t>
      </w:r>
      <w:r w:rsidRPr="00101ACF">
        <w:rPr>
          <w:lang w:val="en-AU"/>
        </w:rPr>
        <w:tab/>
        <w:t>Najmiya[h], Najmiyya[h]</w:t>
      </w:r>
      <w:r w:rsidRPr="00101ACF">
        <w:rPr>
          <w:lang w:val="en-AU"/>
        </w:rPr>
        <w:tab/>
        <w:t>fem. name; “star-like”, one who is like a star in radiance and beauty.</w:t>
      </w:r>
    </w:p>
    <w:p w14:paraId="65F0BEF6" w14:textId="77777777" w:rsidR="00625A5B" w:rsidRPr="008F03E5" w:rsidRDefault="00625A5B" w:rsidP="001A571C">
      <w:pPr>
        <w:pStyle w:val="Translit"/>
      </w:pPr>
      <w:r w:rsidRPr="008F03E5">
        <w:t>Najmu’l-Mulk</w:t>
      </w:r>
      <w:r w:rsidRPr="008F03E5">
        <w:tab/>
        <w:t>Najmu’l-Mulk</w:t>
      </w:r>
      <w:r w:rsidRPr="008F03E5">
        <w:tab/>
        <w:t xml:space="preserve">star of empire.  Name given to a </w:t>
      </w:r>
      <w:r w:rsidRPr="008F03E5">
        <w:rPr>
          <w:lang w:eastAsia="en-US"/>
        </w:rPr>
        <w:t>famous mathematician-astronomer who issued Persia’s annual calendar-almanac.</w:t>
      </w:r>
    </w:p>
    <w:p w14:paraId="5FDAD8EE" w14:textId="77777777" w:rsidR="00625A5B" w:rsidRPr="008F03E5" w:rsidRDefault="00625A5B" w:rsidP="003541CC">
      <w:pPr>
        <w:pStyle w:val="Translit"/>
      </w:pPr>
      <w:r w:rsidRPr="008F03E5">
        <w:t>Najran</w:t>
      </w:r>
      <w:r w:rsidRPr="008F03E5">
        <w:tab/>
        <w:t>Najrán</w:t>
      </w:r>
      <w:r w:rsidRPr="008F03E5">
        <w:tab/>
        <w:t xml:space="preserve">city </w:t>
      </w:r>
      <w:r>
        <w:t>(</w:t>
      </w:r>
      <w:r w:rsidRPr="003541CC">
        <w:t>17.563655, 44.2295</w:t>
      </w:r>
      <w:r>
        <w:t xml:space="preserve">80) </w:t>
      </w:r>
      <w:r w:rsidRPr="008F03E5">
        <w:t>in south western Saudi Arabia near the border with Yemen</w:t>
      </w:r>
    </w:p>
    <w:p w14:paraId="69C0FC13" w14:textId="77777777" w:rsidR="00625A5B" w:rsidRPr="008F03E5" w:rsidRDefault="00625A5B" w:rsidP="009F5BF3">
      <w:pPr>
        <w:pStyle w:val="Translit"/>
      </w:pPr>
      <w:r w:rsidRPr="008F03E5">
        <w:t>Najwa, Najawa</w:t>
      </w:r>
      <w:r w:rsidRPr="008F03E5">
        <w:tab/>
        <w:t>Najwá, pl. Najáwá</w:t>
      </w:r>
      <w:r w:rsidRPr="008F03E5">
        <w:tab/>
        <w:t>confidential talk, secret conversation,  See Qur’án 58:10.</w:t>
      </w:r>
    </w:p>
    <w:p w14:paraId="2B934809" w14:textId="77777777" w:rsidR="00625A5B" w:rsidRPr="008F03E5" w:rsidRDefault="00625A5B" w:rsidP="00DF75E7">
      <w:pPr>
        <w:pStyle w:val="Translit"/>
      </w:pPr>
      <w:r w:rsidRPr="008F03E5">
        <w:t>Nakha’i</w:t>
      </w:r>
      <w:r w:rsidRPr="008F03E5">
        <w:tab/>
        <w:t>Na</w:t>
      </w:r>
      <w:r w:rsidRPr="008F03E5">
        <w:rPr>
          <w:u w:val="single"/>
        </w:rPr>
        <w:t>kh</w:t>
      </w:r>
      <w:r w:rsidRPr="008F03E5">
        <w:t>a’í</w:t>
      </w:r>
      <w:r w:rsidRPr="008F03E5">
        <w:tab/>
        <w:t>Kumayl bin Ziyad an-Na</w:t>
      </w:r>
      <w:r w:rsidRPr="008F03E5">
        <w:rPr>
          <w:u w:val="single"/>
        </w:rPr>
        <w:t>kh</w:t>
      </w:r>
      <w:r w:rsidRPr="008F03E5">
        <w:t>a’í was among the most loyal companions of Imám ‘Alí ibn Abí Ṭálib</w:t>
      </w:r>
    </w:p>
    <w:p w14:paraId="4C3F40A9" w14:textId="77777777" w:rsidR="00625A5B" w:rsidRPr="008F03E5" w:rsidRDefault="00625A5B" w:rsidP="003D3BC5">
      <w:pPr>
        <w:pStyle w:val="Translit"/>
      </w:pPr>
      <w:r w:rsidRPr="008F03E5">
        <w:t>Nakhjawan, (Nakhjavan), Nakhchuwan</w:t>
      </w:r>
      <w:r w:rsidRPr="008F03E5">
        <w:tab/>
        <w:t>Na</w:t>
      </w:r>
      <w:r w:rsidRPr="008F03E5">
        <w:rPr>
          <w:u w:val="single"/>
        </w:rPr>
        <w:t>kh</w:t>
      </w:r>
      <w:r w:rsidRPr="008F03E5">
        <w:t>jawán, Nakhchivan</w:t>
      </w:r>
      <w:r w:rsidRPr="008F03E5">
        <w:tab/>
        <w:t>Nakhchivan is Armenian name meaning “the place of descent”, a Biblical reference to the descent of Noah’s Ark on Mount Ararat.  Nakhchivan Autonomous Republic (capital city is Nakhchivan) is a landlocked exclave of the Republic of Azerbaijan.  Formerly part of Iran from the 16th century to 1828.  Numerous spellings, including Na</w:t>
      </w:r>
      <w:r w:rsidRPr="008F03E5">
        <w:rPr>
          <w:u w:val="single"/>
        </w:rPr>
        <w:t>kh</w:t>
      </w:r>
      <w:r w:rsidRPr="008F03E5">
        <w:t>javán.  Persian name is Na</w:t>
      </w:r>
      <w:r w:rsidRPr="008F03E5">
        <w:rPr>
          <w:u w:val="single"/>
        </w:rPr>
        <w:t>khch</w:t>
      </w:r>
      <w:r w:rsidRPr="008F03E5">
        <w:t>uwán</w:t>
      </w:r>
    </w:p>
    <w:p w14:paraId="31A0607F" w14:textId="77777777" w:rsidR="00625A5B" w:rsidRPr="008F03E5" w:rsidRDefault="00625A5B" w:rsidP="00716871">
      <w:pPr>
        <w:pStyle w:val="Translit"/>
      </w:pPr>
      <w:r w:rsidRPr="008F03E5">
        <w:t>Nakhjawani, Nakhjavani</w:t>
      </w:r>
      <w:r w:rsidRPr="008F03E5">
        <w:tab/>
        <w:t>Na</w:t>
      </w:r>
      <w:r w:rsidRPr="008F03E5">
        <w:rPr>
          <w:u w:val="single"/>
        </w:rPr>
        <w:t>kh</w:t>
      </w:r>
      <w:r w:rsidRPr="008F03E5">
        <w:t>jawání, Na</w:t>
      </w:r>
      <w:r w:rsidRPr="008F03E5">
        <w:rPr>
          <w:u w:val="single"/>
        </w:rPr>
        <w:t>kh</w:t>
      </w:r>
      <w:r w:rsidRPr="008F03E5">
        <w:t>javání</w:t>
      </w:r>
      <w:r w:rsidRPr="008F03E5">
        <w:tab/>
        <w:t>of or from Na</w:t>
      </w:r>
      <w:r w:rsidRPr="008F03E5">
        <w:rPr>
          <w:u w:val="single"/>
        </w:rPr>
        <w:t>kh</w:t>
      </w:r>
      <w:r w:rsidRPr="008F03E5">
        <w:t>jawán (Na</w:t>
      </w:r>
      <w:r w:rsidRPr="008F03E5">
        <w:rPr>
          <w:u w:val="single"/>
        </w:rPr>
        <w:t>khch</w:t>
      </w:r>
      <w:r w:rsidRPr="008F03E5">
        <w:t>uwán).  ‘Alí-Yulláh Na</w:t>
      </w:r>
      <w:r w:rsidRPr="008F03E5">
        <w:rPr>
          <w:u w:val="single"/>
        </w:rPr>
        <w:t>kh</w:t>
      </w:r>
      <w:r w:rsidRPr="008F03E5">
        <w:t>javání (see Julláh)</w:t>
      </w:r>
    </w:p>
    <w:p w14:paraId="70A2BE74" w14:textId="77777777" w:rsidR="00625A5B" w:rsidRPr="008F03E5" w:rsidRDefault="00625A5B" w:rsidP="001D6E2D">
      <w:pPr>
        <w:pStyle w:val="Translit"/>
      </w:pPr>
      <w:r w:rsidRPr="008F03E5">
        <w:t>Nakhl</w:t>
      </w:r>
      <w:r w:rsidRPr="008F03E5">
        <w:tab/>
        <w:t>Na</w:t>
      </w:r>
      <w:r w:rsidRPr="008F03E5">
        <w:rPr>
          <w:u w:val="single"/>
        </w:rPr>
        <w:t>kh</w:t>
      </w:r>
      <w:r w:rsidRPr="008F03E5">
        <w:t>l</w:t>
      </w:r>
      <w:r w:rsidRPr="008F03E5">
        <w:tab/>
        <w:t>sifting meal; separating or choosing the best; filtering; the palm-tree (and often used for a young tree of any kind), a plant; (in Pers. also) a tree</w:t>
      </w:r>
    </w:p>
    <w:p w14:paraId="2E714B92" w14:textId="77777777" w:rsidR="00625A5B" w:rsidRPr="008F03E5" w:rsidRDefault="00625A5B" w:rsidP="001D6E2D">
      <w:pPr>
        <w:pStyle w:val="Translit"/>
      </w:pPr>
      <w:r w:rsidRPr="008F03E5">
        <w:t>Nakhla</w:t>
      </w:r>
      <w:r w:rsidRPr="008F03E5">
        <w:tab/>
        <w:t>Na</w:t>
      </w:r>
      <w:r w:rsidRPr="008F03E5">
        <w:rPr>
          <w:u w:val="single"/>
        </w:rPr>
        <w:t>kh</w:t>
      </w:r>
      <w:r w:rsidRPr="008F03E5">
        <w:t>la[h or t]</w:t>
      </w:r>
      <w:r w:rsidRPr="008F03E5">
        <w:tab/>
        <w:t>one palm-tree; name of a valley (Wádí Na</w:t>
      </w:r>
      <w:r w:rsidRPr="008F03E5">
        <w:rPr>
          <w:u w:val="single"/>
        </w:rPr>
        <w:t>kh</w:t>
      </w:r>
      <w:r w:rsidRPr="008F03E5">
        <w:t>lah, now part of Mecca) in Hijáz between Mecca and Ṭá’if</w:t>
      </w:r>
    </w:p>
    <w:p w14:paraId="4B6CFB60" w14:textId="77777777" w:rsidR="00625A5B" w:rsidRPr="008F03E5" w:rsidRDefault="00625A5B" w:rsidP="005F1755">
      <w:pPr>
        <w:pStyle w:val="Translit"/>
      </w:pPr>
      <w:r w:rsidRPr="008F03E5">
        <w:t>Nakhud</w:t>
      </w:r>
      <w:r w:rsidRPr="008F03E5">
        <w:tab/>
        <w:t>Ná</w:t>
      </w:r>
      <w:r w:rsidRPr="008F03E5">
        <w:rPr>
          <w:u w:val="single"/>
        </w:rPr>
        <w:t>kh</w:t>
      </w:r>
      <w:r w:rsidRPr="008F03E5">
        <w:t>ud</w:t>
      </w:r>
      <w:r w:rsidRPr="008F03E5">
        <w:tab/>
        <w:t>traditionally, 24 mi</w:t>
      </w:r>
      <w:r w:rsidRPr="008F03E5">
        <w:rPr>
          <w:u w:val="single"/>
        </w:rPr>
        <w:t>th</w:t>
      </w:r>
      <w:r w:rsidRPr="008F03E5">
        <w:t>áqíl.  Changed by the Báb to 19 mi</w:t>
      </w:r>
      <w:r w:rsidRPr="008F03E5">
        <w:rPr>
          <w:u w:val="single"/>
        </w:rPr>
        <w:t>th</w:t>
      </w:r>
      <w:r w:rsidRPr="008F03E5">
        <w:t>áqíl (0.191666 gm)</w:t>
      </w:r>
    </w:p>
    <w:p w14:paraId="2EF47BD3" w14:textId="77777777" w:rsidR="00625A5B" w:rsidRPr="008F03E5" w:rsidRDefault="00625A5B" w:rsidP="00847076">
      <w:pPr>
        <w:pStyle w:val="Translit"/>
      </w:pPr>
      <w:r w:rsidRPr="008F03E5">
        <w:t>Nakhustin, Nukhustin</w:t>
      </w:r>
      <w:r w:rsidRPr="008F03E5">
        <w:tab/>
        <w:t>Na</w:t>
      </w:r>
      <w:r w:rsidRPr="008F03E5">
        <w:rPr>
          <w:rFonts w:eastAsia="Times New Roman"/>
          <w:u w:val="single"/>
        </w:rPr>
        <w:t>kh</w:t>
      </w:r>
      <w:r w:rsidRPr="008F03E5">
        <w:t>ustin, Nu</w:t>
      </w:r>
      <w:r w:rsidRPr="008F03E5">
        <w:rPr>
          <w:rFonts w:eastAsia="Times New Roman"/>
          <w:u w:val="single"/>
        </w:rPr>
        <w:t>kh</w:t>
      </w:r>
      <w:r w:rsidRPr="008F03E5">
        <w:t>ustin, Nu</w:t>
      </w:r>
      <w:r w:rsidRPr="008F03E5">
        <w:rPr>
          <w:rFonts w:eastAsia="Times New Roman"/>
          <w:u w:val="single"/>
        </w:rPr>
        <w:t>kh</w:t>
      </w:r>
      <w:r w:rsidRPr="008F03E5">
        <w:t>ustín</w:t>
      </w:r>
      <w:r w:rsidRPr="008F03E5">
        <w:tab/>
        <w:t>Pers. the first</w:t>
      </w:r>
    </w:p>
    <w:p w14:paraId="743F2158" w14:textId="77777777" w:rsidR="00625A5B" w:rsidRPr="008F03E5" w:rsidRDefault="00625A5B" w:rsidP="00847076">
      <w:pPr>
        <w:pStyle w:val="Translit"/>
      </w:pPr>
      <w:r w:rsidRPr="008F03E5">
        <w:t>Nakhuz</w:t>
      </w:r>
      <w:r w:rsidRPr="008F03E5">
        <w:tab/>
        <w:t>Na</w:t>
      </w:r>
      <w:r w:rsidRPr="008F03E5">
        <w:rPr>
          <w:rFonts w:eastAsia="Times New Roman"/>
          <w:u w:val="single"/>
        </w:rPr>
        <w:t>kh</w:t>
      </w:r>
      <w:r w:rsidRPr="008F03E5">
        <w:t>uz</w:t>
      </w:r>
      <w:r w:rsidRPr="008F03E5">
        <w:tab/>
        <w:t>Pers. first (cf. nu</w:t>
      </w:r>
      <w:r w:rsidRPr="008F03E5">
        <w:rPr>
          <w:rFonts w:eastAsia="Times New Roman"/>
          <w:u w:val="single"/>
        </w:rPr>
        <w:t>kh</w:t>
      </w:r>
      <w:r w:rsidRPr="008F03E5">
        <w:t>ust)</w:t>
      </w:r>
    </w:p>
    <w:p w14:paraId="34EF290D" w14:textId="77777777" w:rsidR="00625A5B" w:rsidRPr="008F03E5" w:rsidRDefault="00625A5B" w:rsidP="00EB7B07">
      <w:pPr>
        <w:pStyle w:val="Translit"/>
      </w:pPr>
      <w:r w:rsidRPr="008F03E5">
        <w:t>Nakir</w:t>
      </w:r>
      <w:r w:rsidRPr="008F03E5">
        <w:tab/>
        <w:t>Nakír</w:t>
      </w:r>
      <w:r w:rsidRPr="008F03E5">
        <w:tab/>
        <w:t>denial, disavowal; disapproval, rejection; negation; reprehensible, repugnant, disgusting, vile, revolting, loathsome, abominable, atrocious.  “The Denier”—one of the angels (of death) who test the faith of the dead in their graves.  See Munkar</w:t>
      </w:r>
    </w:p>
    <w:p w14:paraId="5606A9C5" w14:textId="77777777" w:rsidR="00625A5B" w:rsidRPr="008F03E5" w:rsidRDefault="00625A5B" w:rsidP="00EB7B07">
      <w:pPr>
        <w:pStyle w:val="Translit"/>
      </w:pPr>
      <w:r w:rsidRPr="008F03E5">
        <w:t>Nam</w:t>
      </w:r>
      <w:r w:rsidRPr="008F03E5">
        <w:tab/>
        <w:t>Nám</w:t>
      </w:r>
      <w:r w:rsidRPr="008F03E5">
        <w:tab/>
        <w:t>Pers. a name; fame, reputation, renown</w:t>
      </w:r>
    </w:p>
    <w:p w14:paraId="58ABC06F" w14:textId="77777777" w:rsidR="00625A5B" w:rsidRPr="008F03E5" w:rsidRDefault="00625A5B" w:rsidP="00CE5213">
      <w:pPr>
        <w:pStyle w:val="Translit"/>
      </w:pPr>
      <w:r w:rsidRPr="008F03E5">
        <w:t>Nama, Namah, Namih, Nama-</w:t>
      </w:r>
      <w:r>
        <w:t>h</w:t>
      </w:r>
      <w:r w:rsidRPr="008F03E5">
        <w:t>Ha</w:t>
      </w:r>
      <w:r w:rsidRPr="008F03E5">
        <w:tab/>
        <w:t>Náma (</w:t>
      </w:r>
      <w:r w:rsidRPr="008F03E5">
        <w:rPr>
          <w:rtl/>
        </w:rPr>
        <w:t>نامه</w:t>
      </w:r>
      <w:r w:rsidRPr="008F03E5">
        <w:t>), pl. Náma-</w:t>
      </w:r>
      <w:r>
        <w:t>h</w:t>
      </w:r>
      <w:r w:rsidRPr="008F03E5">
        <w:t>á (Námahá)</w:t>
      </w:r>
      <w:r w:rsidRPr="008F03E5">
        <w:tab/>
        <w:t xml:space="preserve">Pers. (written with </w:t>
      </w:r>
      <w:r w:rsidRPr="008F03E5">
        <w:rPr>
          <w:rtl/>
        </w:rPr>
        <w:t>ه</w:t>
      </w:r>
      <w:r w:rsidRPr="008F03E5">
        <w:t xml:space="preserve"> ending) a writing, letter, epistle; a diploma; a history, work, book; exemplar, model, type; a mirror, looking-glass; a flood, torrent.  Námaját (Ar. pl.), Náma-ját, etc., possible in some sources.</w:t>
      </w:r>
    </w:p>
    <w:p w14:paraId="5002424F" w14:textId="77777777" w:rsidR="00625A5B" w:rsidRPr="008F03E5" w:rsidRDefault="00625A5B" w:rsidP="00614D26">
      <w:pPr>
        <w:pStyle w:val="Translit"/>
      </w:pPr>
      <w:r w:rsidRPr="008F03E5">
        <w:t>Nama, Numa</w:t>
      </w:r>
      <w:r w:rsidRPr="008F03E5">
        <w:tab/>
        <w:t>Namá, Numá</w:t>
      </w:r>
      <w:r w:rsidRPr="008F03E5">
        <w:tab/>
        <w:t>Pers. (in comp.) showing, pointing out; an index</w:t>
      </w:r>
    </w:p>
    <w:p w14:paraId="01B69E54" w14:textId="77777777" w:rsidR="00625A5B" w:rsidRPr="008F03E5" w:rsidRDefault="00625A5B" w:rsidP="0071738F">
      <w:pPr>
        <w:pStyle w:val="Translit"/>
      </w:pPr>
      <w:r w:rsidRPr="008F03E5">
        <w:t>Namad</w:t>
      </w:r>
      <w:r w:rsidRPr="008F03E5">
        <w:tab/>
        <w:t>Namad</w:t>
      </w:r>
      <w:r w:rsidRPr="008F03E5">
        <w:tab/>
        <w:t>Pers. felt; a garment of coarse cloth; a cloak worn during rain; a rug or coarse carpet on which people sit; a thick veil</w:t>
      </w:r>
    </w:p>
    <w:p w14:paraId="55E4B6E2" w14:textId="77777777" w:rsidR="00625A5B" w:rsidRPr="008F03E5" w:rsidRDefault="00625A5B" w:rsidP="006C6FDC">
      <w:pPr>
        <w:pStyle w:val="Translit"/>
      </w:pPr>
      <w:r w:rsidRPr="008F03E5">
        <w:t>Namad-Saz (Namad-Sadh), Namadgar</w:t>
      </w:r>
      <w:r w:rsidRPr="008F03E5">
        <w:tab/>
        <w:t>Namad-Sáz, Namadgar</w:t>
      </w:r>
      <w:r w:rsidRPr="008F03E5">
        <w:tab/>
        <w:t>Pers. a felt-manufacturer</w:t>
      </w:r>
    </w:p>
    <w:p w14:paraId="4248E90D" w14:textId="77777777" w:rsidR="00625A5B" w:rsidRPr="008F03E5" w:rsidRDefault="00625A5B" w:rsidP="009830DC">
      <w:pPr>
        <w:pStyle w:val="Translit"/>
      </w:pPr>
      <w:r w:rsidRPr="008F03E5">
        <w:t>Namak, Nimak</w:t>
      </w:r>
      <w:r w:rsidRPr="008F03E5">
        <w:tab/>
        <w:t>Namak, Nimak</w:t>
      </w:r>
      <w:r w:rsidRPr="008F03E5">
        <w:tab/>
        <w:t>Pers. salt; spirit, animation; wit, graces, elegance; bread, subsistence</w:t>
      </w:r>
    </w:p>
    <w:p w14:paraId="02216640" w14:textId="77777777" w:rsidR="00625A5B" w:rsidRPr="008F03E5" w:rsidRDefault="00625A5B" w:rsidP="0054405B">
      <w:pPr>
        <w:pStyle w:val="Translit"/>
      </w:pPr>
      <w:r w:rsidRPr="008F03E5">
        <w:t>Namari</w:t>
      </w:r>
      <w:r w:rsidRPr="008F03E5">
        <w:tab/>
        <w:t>Namarí</w:t>
      </w:r>
      <w:r w:rsidRPr="008F03E5">
        <w:tab/>
        <w:t>Pers. resembling a leopard; of the tribe of Namir</w:t>
      </w:r>
    </w:p>
    <w:p w14:paraId="565C6683" w14:textId="77777777" w:rsidR="00625A5B" w:rsidRPr="008F03E5" w:rsidRDefault="00625A5B" w:rsidP="00E5032F">
      <w:pPr>
        <w:pStyle w:val="Translit"/>
      </w:pPr>
      <w:r w:rsidRPr="008F03E5">
        <w:t>Namat, Nimat, Anmat</w:t>
      </w:r>
      <w:r w:rsidRPr="008F03E5">
        <w:tab/>
        <w:t>Namaṭ, pl. Nimáṭ, Anmáṭ</w:t>
      </w:r>
      <w:r w:rsidRPr="008F03E5">
        <w:tab/>
        <w:t>way, manner, mode, fashion; form, shape; sort, kind.</w:t>
      </w:r>
    </w:p>
    <w:p w14:paraId="31D59173" w14:textId="77777777" w:rsidR="00625A5B" w:rsidRPr="008F03E5" w:rsidRDefault="00625A5B" w:rsidP="002D5FDC">
      <w:pPr>
        <w:pStyle w:val="Translit"/>
      </w:pPr>
      <w:r w:rsidRPr="008F03E5">
        <w:t>Namaz</w:t>
      </w:r>
      <w:r w:rsidRPr="008F03E5">
        <w:tab/>
        <w:t>Namáz</w:t>
      </w:r>
      <w:r w:rsidRPr="008F03E5">
        <w:tab/>
        <w:t>Pers. prayer</w:t>
      </w:r>
      <w:r>
        <w:t xml:space="preserve">. </w:t>
      </w:r>
      <w:r w:rsidRPr="008F03E5">
        <w:t xml:space="preserve"> </w:t>
      </w:r>
      <w:r>
        <w:t>S</w:t>
      </w:r>
      <w:r w:rsidRPr="008F03E5">
        <w:t>ee ṣalá</w:t>
      </w:r>
      <w:r>
        <w:t>h.</w:t>
      </w:r>
    </w:p>
    <w:p w14:paraId="6939BBCC" w14:textId="77777777" w:rsidR="00625A5B" w:rsidRPr="008F03E5" w:rsidRDefault="00625A5B" w:rsidP="00900A82">
      <w:pPr>
        <w:pStyle w:val="Translit"/>
      </w:pPr>
      <w:r w:rsidRPr="008F03E5">
        <w:t>Namaz-Khanih</w:t>
      </w:r>
      <w:r w:rsidRPr="008F03E5">
        <w:tab/>
        <w:t>Namáz-</w:t>
      </w:r>
      <w:r w:rsidRPr="008F03E5">
        <w:rPr>
          <w:u w:val="single"/>
        </w:rPr>
        <w:t>Kh</w:t>
      </w:r>
      <w:r w:rsidRPr="008F03E5">
        <w:t>ánih</w:t>
      </w:r>
      <w:r w:rsidRPr="008F03E5">
        <w:tab/>
        <w:t>Pers. “Prayer-house”</w:t>
      </w:r>
    </w:p>
    <w:p w14:paraId="66E664D6" w14:textId="77777777" w:rsidR="00625A5B" w:rsidRPr="008F03E5" w:rsidRDefault="00625A5B" w:rsidP="00A47D4B">
      <w:pPr>
        <w:pStyle w:val="Translit"/>
      </w:pPr>
      <w:r w:rsidRPr="008F03E5">
        <w:t>Namdar</w:t>
      </w:r>
      <w:r w:rsidRPr="008F03E5">
        <w:tab/>
        <w:t>Námdár</w:t>
      </w:r>
      <w:r w:rsidRPr="008F03E5">
        <w:tab/>
        <w:t>Pers. renowned, celebrated, illustrious, famous, glorious</w:t>
      </w:r>
    </w:p>
    <w:p w14:paraId="2FB75CE1" w14:textId="77777777" w:rsidR="00625A5B" w:rsidRPr="008F03E5" w:rsidRDefault="00625A5B" w:rsidP="00FA3921">
      <w:pPr>
        <w:pStyle w:val="Translit"/>
      </w:pPr>
      <w:r w:rsidRPr="008F03E5">
        <w:t>Nami</w:t>
      </w:r>
      <w:r w:rsidRPr="008F03E5">
        <w:tab/>
        <w:t>Námí</w:t>
      </w:r>
      <w:r w:rsidRPr="008F03E5">
        <w:tab/>
        <w:t>growing, whatever grows.</w:t>
      </w:r>
    </w:p>
    <w:p w14:paraId="2872F63C" w14:textId="77777777" w:rsidR="00625A5B" w:rsidRPr="008F03E5" w:rsidRDefault="00625A5B" w:rsidP="00832D7E">
      <w:pPr>
        <w:pStyle w:val="Translit"/>
      </w:pPr>
      <w:r w:rsidRPr="008F03E5">
        <w:t>Namiq</w:t>
      </w:r>
      <w:r w:rsidRPr="008F03E5">
        <w:tab/>
        <w:t>Námiq</w:t>
      </w:r>
      <w:r w:rsidRPr="008F03E5">
        <w:tab/>
        <w:t>adorner, decorator, embellisher.  Námiq Pá</w:t>
      </w:r>
      <w:r w:rsidRPr="008F03E5">
        <w:rPr>
          <w:u w:val="single"/>
        </w:rPr>
        <w:t>sh</w:t>
      </w:r>
      <w:r w:rsidRPr="008F03E5">
        <w:t>á was governor of Ba</w:t>
      </w:r>
      <w:r w:rsidRPr="008F03E5">
        <w:rPr>
          <w:u w:val="single"/>
        </w:rPr>
        <w:t>gh</w:t>
      </w:r>
      <w:r w:rsidRPr="008F03E5">
        <w:t>dád in 1863.</w:t>
      </w:r>
    </w:p>
    <w:p w14:paraId="5D5D351C" w14:textId="77777777" w:rsidR="00625A5B" w:rsidRPr="008F03E5" w:rsidRDefault="00625A5B" w:rsidP="005D267C">
      <w:pPr>
        <w:pStyle w:val="Translit"/>
      </w:pPr>
      <w:r w:rsidRPr="001457C8">
        <w:rPr>
          <w:lang w:val="de-DE"/>
        </w:rPr>
        <w:t xml:space="preserve">Namir, </w:t>
      </w:r>
      <w:r>
        <w:rPr>
          <w:lang w:val="de-DE"/>
        </w:rPr>
        <w:t xml:space="preserve">Namira, </w:t>
      </w:r>
      <w:r w:rsidRPr="001457C8">
        <w:rPr>
          <w:lang w:val="de-DE"/>
        </w:rPr>
        <w:t>Numur, Anmur</w:t>
      </w:r>
      <w:r w:rsidRPr="001457C8">
        <w:rPr>
          <w:lang w:val="de-DE"/>
        </w:rPr>
        <w:tab/>
        <w:t xml:space="preserve">Namir, </w:t>
      </w:r>
      <w:r>
        <w:rPr>
          <w:lang w:val="de-DE"/>
        </w:rPr>
        <w:t xml:space="preserve">fem. </w:t>
      </w:r>
      <w:r w:rsidRPr="005D267C">
        <w:rPr>
          <w:lang w:val="fr-FR"/>
        </w:rPr>
        <w:t>Namira[h or t]</w:t>
      </w:r>
      <w:r w:rsidRPr="005D267C">
        <w:rPr>
          <w:lang w:val="fr-FR"/>
        </w:rPr>
        <w:tab/>
      </w:r>
      <w:r>
        <w:rPr>
          <w:lang w:val="fr-FR"/>
        </w:rPr>
        <w:t>(</w:t>
      </w:r>
      <w:r w:rsidRPr="005D267C">
        <w:rPr>
          <w:lang w:val="fr-FR"/>
        </w:rPr>
        <w:t xml:space="preserve">pl. </w:t>
      </w:r>
      <w:r w:rsidRPr="008F03E5">
        <w:t>Numur, Anmár</w:t>
      </w:r>
      <w:r>
        <w:t xml:space="preserve">) </w:t>
      </w:r>
      <w:r w:rsidRPr="008F03E5">
        <w:t>leopard; tiger; clean, pure, healthy, wholesome.</w:t>
      </w:r>
    </w:p>
    <w:p w14:paraId="5BCB60CA" w14:textId="77777777" w:rsidR="00625A5B" w:rsidRPr="008F03E5" w:rsidRDefault="00625A5B" w:rsidP="00832D7E">
      <w:pPr>
        <w:pStyle w:val="Translit"/>
      </w:pPr>
      <w:r w:rsidRPr="008F03E5">
        <w:t>Namiri, Namiriyyah</w:t>
      </w:r>
      <w:r w:rsidRPr="008F03E5">
        <w:tab/>
        <w:t>Namírí, pl. Namíríyyah</w:t>
      </w:r>
      <w:r w:rsidRPr="008F03E5">
        <w:tab/>
        <w:t>Another name for the Nuṣayríyyah sect</w:t>
      </w:r>
    </w:p>
    <w:p w14:paraId="244D1B9F" w14:textId="77777777" w:rsidR="00625A5B" w:rsidRPr="008F03E5" w:rsidRDefault="00625A5B" w:rsidP="00FA3921">
      <w:pPr>
        <w:pStyle w:val="Translit"/>
      </w:pPr>
      <w:r w:rsidRPr="008F03E5">
        <w:t>Namiya</w:t>
      </w:r>
      <w:r w:rsidRPr="008F03E5">
        <w:tab/>
        <w:t>Námiya[h or t]</w:t>
      </w:r>
      <w:r w:rsidRPr="008F03E5">
        <w:tab/>
        <w:t>a creature; anything created by God; growth, vegetation</w:t>
      </w:r>
    </w:p>
    <w:p w14:paraId="3D296E5D" w14:textId="77777777" w:rsidR="00625A5B" w:rsidRPr="008F03E5" w:rsidRDefault="00625A5B" w:rsidP="004D6C60">
      <w:pPr>
        <w:pStyle w:val="Translit"/>
      </w:pPr>
      <w:r w:rsidRPr="001457C8">
        <w:rPr>
          <w:lang w:val="de-DE"/>
        </w:rPr>
        <w:t>Naml, Namlun, Nimal</w:t>
      </w:r>
      <w:r w:rsidRPr="001457C8">
        <w:rPr>
          <w:lang w:val="de-DE"/>
        </w:rPr>
        <w:tab/>
        <w:t xml:space="preserve">Naml, Namlun, pl. </w:t>
      </w:r>
      <w:r w:rsidRPr="008F03E5">
        <w:t>Nimál</w:t>
      </w:r>
      <w:r w:rsidRPr="008F03E5">
        <w:tab/>
        <w:t>slandering, back-biting; an ant;—pl. ants</w:t>
      </w:r>
    </w:p>
    <w:p w14:paraId="797BCA30" w14:textId="77777777" w:rsidR="00625A5B" w:rsidRPr="008F03E5" w:rsidRDefault="00625A5B" w:rsidP="006A6FC6">
      <w:pPr>
        <w:pStyle w:val="Translit"/>
      </w:pPr>
      <w:r w:rsidRPr="008F03E5">
        <w:t>Namus al-A’zam, Namus-i-A’zam</w:t>
      </w:r>
      <w:r w:rsidRPr="008F03E5">
        <w:tab/>
        <w:t>Námús al-A‘ẓam, Pers. Námús-i-A‘ẓam</w:t>
      </w:r>
      <w:r w:rsidRPr="008F03E5">
        <w:tab/>
        <w:t xml:space="preserve">“The Most Great Law”—the </w:t>
      </w:r>
      <w:r w:rsidRPr="008F03E5">
        <w:rPr>
          <w:sz w:val="16"/>
          <w:szCs w:val="16"/>
        </w:rPr>
        <w:t>UHJ</w:t>
      </w:r>
      <w:r w:rsidRPr="008F03E5">
        <w:t xml:space="preserve"> constitution</w:t>
      </w:r>
      <w:r w:rsidRPr="008F03E5">
        <w:rPr>
          <w:rStyle w:val="FootnoteReference"/>
        </w:rPr>
        <w:footnoteReference w:id="19"/>
      </w:r>
    </w:p>
    <w:p w14:paraId="1D087C90" w14:textId="77777777" w:rsidR="00625A5B" w:rsidRPr="008F03E5" w:rsidRDefault="00625A5B" w:rsidP="006A6FC6">
      <w:pPr>
        <w:pStyle w:val="Translit"/>
      </w:pPr>
      <w:r w:rsidRPr="00077779">
        <w:rPr>
          <w:lang w:val="en-AU"/>
        </w:rPr>
        <w:t>Namus al-Akbar, Namus-i-Akbar</w:t>
      </w:r>
      <w:r w:rsidRPr="00077779">
        <w:rPr>
          <w:lang w:val="en-AU"/>
        </w:rPr>
        <w:tab/>
        <w:t xml:space="preserve">Námús al-Akbar, Pers. </w:t>
      </w:r>
      <w:r w:rsidRPr="008F03E5">
        <w:t>Námús-i-Akbar</w:t>
      </w:r>
      <w:r w:rsidRPr="008F03E5">
        <w:tab/>
        <w:t xml:space="preserve">“The Greater Law”—the </w:t>
      </w:r>
      <w:r w:rsidRPr="008F03E5">
        <w:rPr>
          <w:sz w:val="16"/>
          <w:szCs w:val="16"/>
        </w:rPr>
        <w:t>NSA</w:t>
      </w:r>
      <w:r w:rsidRPr="008F03E5">
        <w:t>s constitution</w:t>
      </w:r>
    </w:p>
    <w:p w14:paraId="699F7428" w14:textId="77777777" w:rsidR="00625A5B" w:rsidRPr="008F03E5" w:rsidRDefault="00625A5B" w:rsidP="000F5C24">
      <w:pPr>
        <w:pStyle w:val="Translit"/>
      </w:pPr>
      <w:r w:rsidRPr="008F03E5">
        <w:t>Namus, Nawamis</w:t>
      </w:r>
      <w:r w:rsidRPr="008F03E5">
        <w:tab/>
        <w:t>Námús, pl. Nawámís</w:t>
      </w:r>
      <w:r w:rsidRPr="008F03E5">
        <w:tab/>
        <w:t>(from Greek law, county, statute, department) law; rule; honour.  Also:  reputation, fame, renown, esteem; dignity; divine decrees or judgements; disgrace, reproach, shame; bashfulness, modesty, chastity.</w:t>
      </w:r>
    </w:p>
    <w:p w14:paraId="25380630" w14:textId="77777777" w:rsidR="00625A5B" w:rsidRPr="008F03E5" w:rsidRDefault="00625A5B" w:rsidP="00B81F73">
      <w:pPr>
        <w:pStyle w:val="Translit"/>
      </w:pPr>
      <w:r w:rsidRPr="008F03E5">
        <w:t>Nanih</w:t>
      </w:r>
      <w:r w:rsidRPr="008F03E5">
        <w:tab/>
        <w:t>Nanih</w:t>
      </w:r>
      <w:r w:rsidRPr="008F03E5">
        <w:tab/>
        <w:t>Pers. nanny or middle-aged woman servant.  Also a mother or grandmother.</w:t>
      </w:r>
    </w:p>
    <w:p w14:paraId="7152293D" w14:textId="77777777" w:rsidR="00625A5B" w:rsidRPr="008F03E5" w:rsidRDefault="00625A5B" w:rsidP="00B774F1">
      <w:pPr>
        <w:pStyle w:val="Translit"/>
      </w:pPr>
      <w:r w:rsidRPr="008F03E5">
        <w:t>Naqib, Nuqaba’</w:t>
      </w:r>
      <w:r w:rsidRPr="008F03E5">
        <w:tab/>
        <w:t>Naqíb, pl. Nuqabá’</w:t>
      </w:r>
      <w:r w:rsidRPr="008F03E5">
        <w:tab/>
        <w:t>leader, head, headman; guardian; director, principal, chief; chairman of a guild; president; syndic, corporation lawyer; (military) captain (army), lieutenant (navy).</w:t>
      </w:r>
    </w:p>
    <w:p w14:paraId="78050623" w14:textId="77777777" w:rsidR="00625A5B" w:rsidRPr="008F03E5" w:rsidRDefault="00625A5B" w:rsidP="00200896">
      <w:pPr>
        <w:pStyle w:val="Translit"/>
      </w:pPr>
      <w:r w:rsidRPr="008F03E5">
        <w:t>Naqid, Naqidin</w:t>
      </w:r>
      <w:r w:rsidRPr="008F03E5">
        <w:tab/>
        <w:t>Naqíḍ, pl. Náqiḍín</w:t>
      </w:r>
      <w:r w:rsidRPr="008F03E5">
        <w:tab/>
        <w:t>opposed, opposite, contrary, antithetical, contradictory; antithesis, opposition, contrast, opposite;—pl. opposers or violators.  Term used by Bahá’ís for Covenant-breakers (so-called “nakazeen” or Ná</w:t>
      </w:r>
      <w:r w:rsidRPr="008F03E5">
        <w:rPr>
          <w:u w:val="single"/>
        </w:rPr>
        <w:t>gh</w:t>
      </w:r>
      <w:r w:rsidRPr="008F03E5">
        <w:t>i dín)</w:t>
      </w:r>
    </w:p>
    <w:p w14:paraId="73C96C04" w14:textId="77777777" w:rsidR="00625A5B" w:rsidRPr="008F03E5" w:rsidRDefault="00625A5B" w:rsidP="00344FEC">
      <w:pPr>
        <w:pStyle w:val="Translit"/>
      </w:pPr>
      <w:r w:rsidRPr="008F03E5">
        <w:t>Naqida, Naqa’id</w:t>
      </w:r>
      <w:r w:rsidRPr="008F03E5">
        <w:tab/>
        <w:t>Naqíḍa[h or t] (fem. of Naqíḍ), pl. Naqá’iḍ</w:t>
      </w:r>
      <w:r w:rsidRPr="008F03E5">
        <w:tab/>
        <w:t>polemic poem; contrast</w:t>
      </w:r>
    </w:p>
    <w:p w14:paraId="1141C6AC" w14:textId="77777777" w:rsidR="00625A5B" w:rsidRPr="008F03E5" w:rsidRDefault="00625A5B" w:rsidP="007D7E79">
      <w:pPr>
        <w:pStyle w:val="Translit"/>
      </w:pPr>
      <w:r w:rsidRPr="008F03E5">
        <w:t>Naqidu’l-Mithaq</w:t>
      </w:r>
      <w:r w:rsidRPr="008F03E5">
        <w:tab/>
        <w:t>Náqiḍu’l-Mi</w:t>
      </w:r>
      <w:r w:rsidRPr="008F03E5">
        <w:rPr>
          <w:u w:val="single"/>
        </w:rPr>
        <w:t>th</w:t>
      </w:r>
      <w:r w:rsidRPr="008F03E5">
        <w:t>áq</w:t>
      </w:r>
      <w:r w:rsidRPr="008F03E5">
        <w:tab/>
        <w:t>“breaker of the covenant”</w:t>
      </w:r>
    </w:p>
    <w:p w14:paraId="236F79A5" w14:textId="77777777" w:rsidR="00625A5B" w:rsidRPr="008F03E5" w:rsidRDefault="00625A5B" w:rsidP="00F9427F">
      <w:pPr>
        <w:pStyle w:val="Translit"/>
      </w:pPr>
      <w:r w:rsidRPr="008F03E5">
        <w:t>Naqiy (Naqi), Naqiya, Niqa’, Anqiya’</w:t>
      </w:r>
      <w:r w:rsidRPr="008F03E5">
        <w:tab/>
        <w:t>Naqíy, pl. Niqá’, Anqiyá’</w:t>
      </w:r>
      <w:r w:rsidRPr="008F03E5">
        <w:tab/>
        <w:t>pure, clean, immaculate, unstained; clear, limpid, free of dirt or extraneous matter.  Implied from the root word is selection, elite; hence, distinguished.  Fem. Naqíya[h or t].  See Hádí.</w:t>
      </w:r>
    </w:p>
    <w:p w14:paraId="069A7B86" w14:textId="77777777" w:rsidR="00625A5B" w:rsidRPr="008F03E5" w:rsidRDefault="00625A5B" w:rsidP="00376051">
      <w:pPr>
        <w:pStyle w:val="Translit"/>
      </w:pPr>
      <w:r w:rsidRPr="008F03E5">
        <w:t>Naqqash</w:t>
      </w:r>
      <w:r w:rsidRPr="008F03E5">
        <w:tab/>
        <w:t>Naqqá</w:t>
      </w:r>
      <w:r w:rsidRPr="008F03E5">
        <w:rPr>
          <w:u w:val="single"/>
        </w:rPr>
        <w:t>sh</w:t>
      </w:r>
      <w:r w:rsidRPr="008F03E5">
        <w:tab/>
        <w:t>painter; house painter; artist; sculptor</w:t>
      </w:r>
    </w:p>
    <w:p w14:paraId="6F816937" w14:textId="77777777" w:rsidR="00625A5B" w:rsidRPr="008F03E5" w:rsidRDefault="00625A5B" w:rsidP="00376051">
      <w:pPr>
        <w:pStyle w:val="Translit"/>
      </w:pPr>
      <w:r w:rsidRPr="008F03E5">
        <w:t>Naqqash-Bashi</w:t>
      </w:r>
      <w:r w:rsidRPr="008F03E5">
        <w:tab/>
        <w:t>Naqqá</w:t>
      </w:r>
      <w:r w:rsidRPr="008F03E5">
        <w:rPr>
          <w:u w:val="single"/>
        </w:rPr>
        <w:t>sh</w:t>
      </w:r>
      <w:r w:rsidRPr="008F03E5">
        <w:t>-Bá</w:t>
      </w:r>
      <w:r w:rsidRPr="008F03E5">
        <w:rPr>
          <w:u w:val="single"/>
        </w:rPr>
        <w:t>sh</w:t>
      </w:r>
      <w:r w:rsidRPr="008F03E5">
        <w:t>í</w:t>
      </w:r>
      <w:r w:rsidRPr="008F03E5">
        <w:tab/>
        <w:t>Head Court Painter</w:t>
      </w:r>
    </w:p>
    <w:p w14:paraId="52AE6342" w14:textId="77777777" w:rsidR="00625A5B" w:rsidRPr="008F03E5" w:rsidRDefault="00625A5B" w:rsidP="005325BC">
      <w:pPr>
        <w:pStyle w:val="Translit"/>
      </w:pPr>
      <w:r w:rsidRPr="008F03E5">
        <w:t>Naqsh fi al-Hajar, Naqsh-i-fil Hajar</w:t>
      </w:r>
      <w:r w:rsidRPr="008F03E5">
        <w:tab/>
        <w:t>an-Naq</w:t>
      </w:r>
      <w:r w:rsidRPr="008F03E5">
        <w:rPr>
          <w:u w:val="single"/>
        </w:rPr>
        <w:t>sh</w:t>
      </w:r>
      <w:r w:rsidRPr="008F03E5">
        <w:t xml:space="preserve"> fí al-Ḥajar</w:t>
      </w:r>
      <w:r w:rsidRPr="008F03E5">
        <w:tab/>
        <w:t>“Engraving on Stone” by Cornelius V. A. van Dyck</w:t>
      </w:r>
    </w:p>
    <w:p w14:paraId="0722B39F" w14:textId="77777777" w:rsidR="00625A5B" w:rsidRPr="008F03E5" w:rsidRDefault="00625A5B" w:rsidP="00DC7CEC">
      <w:pPr>
        <w:pStyle w:val="Translit"/>
      </w:pPr>
      <w:r w:rsidRPr="008F03E5">
        <w:t>Naqsh, Nuqush</w:t>
      </w:r>
      <w:r w:rsidRPr="008F03E5">
        <w:tab/>
        <w:t>Naq</w:t>
      </w:r>
      <w:r w:rsidRPr="008F03E5">
        <w:rPr>
          <w:u w:val="single"/>
        </w:rPr>
        <w:t>sh</w:t>
      </w:r>
      <w:r w:rsidRPr="008F03E5">
        <w:t>, pl. Nuqú</w:t>
      </w:r>
      <w:r w:rsidRPr="008F03E5">
        <w:rPr>
          <w:u w:val="single"/>
        </w:rPr>
        <w:t>sh</w:t>
      </w:r>
      <w:r w:rsidRPr="008F03E5">
        <w:tab/>
        <w:t>painting, picture, drawing; engraving; inscription; sculpture, figure</w:t>
      </w:r>
    </w:p>
    <w:p w14:paraId="595189AA" w14:textId="77777777" w:rsidR="00625A5B" w:rsidRPr="008F03E5" w:rsidRDefault="00625A5B" w:rsidP="00ED17B7">
      <w:pPr>
        <w:pStyle w:val="Translit"/>
      </w:pPr>
      <w:r w:rsidRPr="008F03E5">
        <w:t>Naqshband</w:t>
      </w:r>
      <w:r w:rsidRPr="008F03E5">
        <w:tab/>
        <w:t>Naq</w:t>
      </w:r>
      <w:r w:rsidRPr="008F03E5">
        <w:rPr>
          <w:u w:val="single"/>
        </w:rPr>
        <w:t>sh</w:t>
      </w:r>
      <w:r w:rsidRPr="008F03E5">
        <w:t>band</w:t>
      </w:r>
      <w:r w:rsidRPr="008F03E5">
        <w:tab/>
        <w:t>“chaser”.  Bahá’ ad-Dín Naq</w:t>
      </w:r>
      <w:r w:rsidRPr="008F03E5">
        <w:rPr>
          <w:u w:val="single"/>
        </w:rPr>
        <w:t>sh</w:t>
      </w:r>
      <w:r w:rsidRPr="008F03E5">
        <w:t>band (1318–1389) was the eponymous founder of what would become one of the largest Sufi Sunni orders, the Naq</w:t>
      </w:r>
      <w:r w:rsidRPr="008F03E5">
        <w:rPr>
          <w:u w:val="single"/>
        </w:rPr>
        <w:t>sh</w:t>
      </w:r>
      <w:r w:rsidRPr="008F03E5">
        <w:t>bandí</w:t>
      </w:r>
    </w:p>
    <w:p w14:paraId="281B33B9" w14:textId="77777777" w:rsidR="00625A5B" w:rsidRPr="008F03E5" w:rsidRDefault="00625A5B" w:rsidP="00637F88">
      <w:pPr>
        <w:pStyle w:val="Translit"/>
      </w:pPr>
      <w:r w:rsidRPr="008F03E5">
        <w:t>Naqshbandi</w:t>
      </w:r>
      <w:r w:rsidRPr="008F03E5">
        <w:tab/>
        <w:t>Naq</w:t>
      </w:r>
      <w:r w:rsidRPr="008F03E5">
        <w:rPr>
          <w:u w:val="single"/>
        </w:rPr>
        <w:t>sh</w:t>
      </w:r>
      <w:r w:rsidRPr="008F03E5">
        <w:t>bandí</w:t>
      </w:r>
      <w:r w:rsidRPr="008F03E5">
        <w:tab/>
        <w:t>a Ṣúfí Order</w:t>
      </w:r>
    </w:p>
    <w:p w14:paraId="369C0870" w14:textId="77777777" w:rsidR="00625A5B" w:rsidRPr="008F03E5" w:rsidRDefault="00625A5B" w:rsidP="002C59DC">
      <w:pPr>
        <w:pStyle w:val="Translit"/>
      </w:pPr>
      <w:r w:rsidRPr="008F03E5">
        <w:t>Naqur, Nawaqir</w:t>
      </w:r>
      <w:r w:rsidRPr="008F03E5">
        <w:tab/>
        <w:t>Náqúr, pl. Nawáqír</w:t>
      </w:r>
      <w:r w:rsidRPr="008F03E5">
        <w:tab/>
        <w:t>(Quranic) a wind instrument (trumpet).  Qur’án 74:8</w:t>
      </w:r>
    </w:p>
    <w:p w14:paraId="1AFC8E6D" w14:textId="77777777" w:rsidR="00625A5B" w:rsidRPr="008F03E5" w:rsidRDefault="00625A5B" w:rsidP="00D24510">
      <w:pPr>
        <w:pStyle w:val="Translit"/>
      </w:pPr>
      <w:r w:rsidRPr="008F03E5">
        <w:t>Naqus, Nawaqis</w:t>
      </w:r>
      <w:r w:rsidRPr="008F03E5">
        <w:tab/>
        <w:t>Náqús, pl. Nawáqís</w:t>
      </w:r>
      <w:r w:rsidRPr="008F03E5">
        <w:tab/>
        <w:t>(church) bell; gong; hand bell (used, e.g., in Coptic liturgy); bell jar, globe</w:t>
      </w:r>
    </w:p>
    <w:p w14:paraId="65F0A7FD" w14:textId="77777777" w:rsidR="00625A5B" w:rsidRPr="008F03E5" w:rsidRDefault="00625A5B" w:rsidP="00471887">
      <w:pPr>
        <w:pStyle w:val="Translit"/>
      </w:pPr>
      <w:r w:rsidRPr="00077779">
        <w:rPr>
          <w:lang w:val="en-AU"/>
        </w:rPr>
        <w:t>Nar, Niran</w:t>
      </w:r>
      <w:r w:rsidRPr="00077779">
        <w:rPr>
          <w:lang w:val="en-AU"/>
        </w:rPr>
        <w:tab/>
        <w:t xml:space="preserve">Nár fem., pl. </w:t>
      </w:r>
      <w:r w:rsidRPr="008F03E5">
        <w:t>Nírán</w:t>
      </w:r>
      <w:r w:rsidRPr="008F03E5">
        <w:tab/>
        <w:t>fire; rifle fire, gunfire; conflagration; inferno (abjad 251).  Bábí doctrine:  State of ignorance, and social sphere to which belong all opponents</w:t>
      </w:r>
    </w:p>
    <w:p w14:paraId="5C697E2F" w14:textId="77777777" w:rsidR="00625A5B" w:rsidRPr="008F03E5" w:rsidRDefault="00625A5B" w:rsidP="00FF2CB0">
      <w:pPr>
        <w:pStyle w:val="Translit"/>
      </w:pPr>
      <w:r w:rsidRPr="008F03E5">
        <w:t>Narajil, Narajila</w:t>
      </w:r>
      <w:r w:rsidRPr="008F03E5">
        <w:tab/>
        <w:t>Nárajíl, fem. Nárajíla[h or t]</w:t>
      </w:r>
      <w:r w:rsidRPr="008F03E5">
        <w:tab/>
        <w:t>Ar. coconut(s) (collective).  Fem. (</w:t>
      </w:r>
      <w:r w:rsidRPr="008F03E5">
        <w:rPr>
          <w:i/>
          <w:iCs/>
        </w:rPr>
        <w:t>nomen unitatis</w:t>
      </w:r>
      <w:r w:rsidRPr="008F03E5">
        <w:t>) coconut; Persian water pipe (nárjíl, Pers. nárgíl, English narghile).  See Qalyán.</w:t>
      </w:r>
    </w:p>
    <w:p w14:paraId="561AB2C8" w14:textId="77777777" w:rsidR="00625A5B" w:rsidRPr="008F03E5" w:rsidRDefault="00625A5B" w:rsidP="009B177E">
      <w:pPr>
        <w:pStyle w:val="Translit"/>
      </w:pPr>
      <w:r w:rsidRPr="008F03E5">
        <w:t>Naraq, Naragh, Narak</w:t>
      </w:r>
      <w:r w:rsidRPr="008F03E5">
        <w:tab/>
        <w:t>Naráq (Nará</w:t>
      </w:r>
      <w:r w:rsidRPr="008F03E5">
        <w:rPr>
          <w:u w:val="single"/>
        </w:rPr>
        <w:t>gh</w:t>
      </w:r>
      <w:r w:rsidRPr="008F03E5">
        <w:t>, Narák)</w:t>
      </w:r>
      <w:r w:rsidRPr="008F03E5">
        <w:tab/>
        <w:t>town 53 km west of Ká</w:t>
      </w:r>
      <w:r w:rsidRPr="008F03E5">
        <w:rPr>
          <w:u w:val="single"/>
        </w:rPr>
        <w:t>sh</w:t>
      </w:r>
      <w:r w:rsidRPr="008F03E5">
        <w:t>án</w:t>
      </w:r>
    </w:p>
    <w:p w14:paraId="59497719" w14:textId="77777777" w:rsidR="00625A5B" w:rsidRPr="008F03E5" w:rsidRDefault="00625A5B" w:rsidP="00900A82">
      <w:pPr>
        <w:pStyle w:val="Translit"/>
      </w:pPr>
      <w:r w:rsidRPr="008F03E5">
        <w:t>Naraqi, Naraghi, Naraki</w:t>
      </w:r>
      <w:r w:rsidRPr="008F03E5">
        <w:tab/>
        <w:t>Naráqí (Nará</w:t>
      </w:r>
      <w:r w:rsidRPr="008F03E5">
        <w:rPr>
          <w:u w:val="single"/>
        </w:rPr>
        <w:t>gh</w:t>
      </w:r>
      <w:r w:rsidRPr="008F03E5">
        <w:t>í, Narákí)</w:t>
      </w:r>
      <w:r w:rsidRPr="008F03E5">
        <w:tab/>
        <w:t>of or from Naráq</w:t>
      </w:r>
    </w:p>
    <w:p w14:paraId="726AEF1E" w14:textId="77777777" w:rsidR="00625A5B" w:rsidRPr="008F03E5" w:rsidRDefault="00625A5B" w:rsidP="00AA0E76">
      <w:pPr>
        <w:pStyle w:val="Translit"/>
      </w:pPr>
      <w:r w:rsidRPr="008F03E5">
        <w:t>Nard</w:t>
      </w:r>
      <w:r w:rsidRPr="008F03E5">
        <w:tab/>
        <w:t>Nard</w:t>
      </w:r>
      <w:r w:rsidRPr="008F03E5">
        <w:tab/>
        <w:t>chess, draughts, backgammon</w:t>
      </w:r>
    </w:p>
    <w:p w14:paraId="0B644777" w14:textId="77777777" w:rsidR="00625A5B" w:rsidRPr="008F03E5" w:rsidRDefault="00625A5B" w:rsidP="00AC5E84">
      <w:pPr>
        <w:pStyle w:val="Translit"/>
      </w:pPr>
      <w:r w:rsidRPr="008F03E5">
        <w:t>Nari</w:t>
      </w:r>
      <w:r w:rsidRPr="008F03E5">
        <w:tab/>
        <w:t>Nárí</w:t>
      </w:r>
      <w:r w:rsidRPr="008F03E5">
        <w:tab/>
        <w:t>fiery, igneous, fire- (in compound words); burning, blazing, red-hot</w:t>
      </w:r>
    </w:p>
    <w:p w14:paraId="2116538F" w14:textId="77777777" w:rsidR="00625A5B" w:rsidRPr="008F03E5" w:rsidRDefault="00625A5B" w:rsidP="00AC5E84">
      <w:pPr>
        <w:pStyle w:val="Translit"/>
      </w:pPr>
      <w:r w:rsidRPr="008F03E5">
        <w:t>Narim, Nariman</w:t>
      </w:r>
      <w:r w:rsidRPr="008F03E5">
        <w:tab/>
        <w:t>Narím, Narímán</w:t>
      </w:r>
      <w:r w:rsidRPr="008F03E5">
        <w:tab/>
        <w:t>Pers. name of a famous hero of Persia; a verybrave and courageous man</w:t>
      </w:r>
    </w:p>
    <w:p w14:paraId="709058AF" w14:textId="77777777" w:rsidR="00625A5B" w:rsidRPr="008F03E5" w:rsidRDefault="00625A5B" w:rsidP="00900551">
      <w:pPr>
        <w:pStyle w:val="Translit"/>
      </w:pPr>
      <w:r w:rsidRPr="008F03E5">
        <w:t>Narin Qal’ah</w:t>
      </w:r>
      <w:r w:rsidRPr="008F03E5">
        <w:tab/>
        <w:t>Nárín Qal‘ah</w:t>
      </w:r>
      <w:r w:rsidRPr="008F03E5">
        <w:tab/>
        <w:t xml:space="preserve">Narin Castle is a mud-brick fort or castle on the south (2.7 km from the centre) of the town of Maybud (Meybod), which is 51 km </w:t>
      </w:r>
      <w:r w:rsidRPr="008F03E5">
        <w:rPr>
          <w:sz w:val="16"/>
          <w:szCs w:val="16"/>
        </w:rPr>
        <w:t>NW</w:t>
      </w:r>
      <w:r w:rsidRPr="008F03E5">
        <w:t xml:space="preserve"> Yazd</w:t>
      </w:r>
    </w:p>
    <w:p w14:paraId="6CA71334" w14:textId="77777777" w:rsidR="00625A5B" w:rsidRPr="001457C8" w:rsidRDefault="00625A5B" w:rsidP="00AF686D">
      <w:pPr>
        <w:pStyle w:val="Translit"/>
        <w:rPr>
          <w:lang w:val="fr-FR"/>
        </w:rPr>
      </w:pPr>
      <w:r w:rsidRPr="001457C8">
        <w:rPr>
          <w:lang w:val="fr-FR"/>
        </w:rPr>
        <w:t>Narjis (Pers. Nargis), Nirjis</w:t>
      </w:r>
      <w:r w:rsidRPr="001457C8">
        <w:rPr>
          <w:lang w:val="fr-FR"/>
        </w:rPr>
        <w:tab/>
        <w:t>Narjis, Nirjis (Pers. Nargis)</w:t>
      </w:r>
      <w:r w:rsidRPr="001457C8">
        <w:rPr>
          <w:lang w:val="fr-FR"/>
        </w:rPr>
        <w:tab/>
        <w:t>narcissus (botanical)</w:t>
      </w:r>
    </w:p>
    <w:p w14:paraId="6098A5CE" w14:textId="77777777" w:rsidR="00625A5B" w:rsidRPr="008F03E5" w:rsidRDefault="00625A5B" w:rsidP="0074537D">
      <w:pPr>
        <w:pStyle w:val="Translit"/>
      </w:pPr>
      <w:r w:rsidRPr="008F03E5">
        <w:t>Nas</w:t>
      </w:r>
      <w:r w:rsidRPr="008F03E5">
        <w:tab/>
        <w:t>Nás (collective) and Unás</w:t>
      </w:r>
      <w:r w:rsidRPr="008F03E5">
        <w:tab/>
        <w:t>men, people, mankind</w:t>
      </w:r>
    </w:p>
    <w:p w14:paraId="5B1DA9AC" w14:textId="77777777" w:rsidR="00625A5B" w:rsidRPr="008F03E5" w:rsidRDefault="00625A5B" w:rsidP="009E2C7F">
      <w:pPr>
        <w:pStyle w:val="Translit"/>
      </w:pPr>
      <w:r w:rsidRPr="008F03E5">
        <w:t>Nasab, Anasib</w:t>
      </w:r>
      <w:r w:rsidRPr="008F03E5">
        <w:tab/>
        <w:t>Nasab, pl. Anásib</w:t>
      </w:r>
      <w:r w:rsidRPr="008F03E5">
        <w:tab/>
        <w:t>lineage</w:t>
      </w:r>
      <w:r>
        <w:t xml:space="preserve"> (</w:t>
      </w:r>
      <w:r w:rsidRPr="009E2C7F">
        <w:t>patronymic or matronymic, or a series thereof</w:t>
      </w:r>
      <w:r>
        <w:t xml:space="preserve">; </w:t>
      </w:r>
      <w:r w:rsidRPr="009E2C7F">
        <w:t>indicate</w:t>
      </w:r>
      <w:r>
        <w:t>d</w:t>
      </w:r>
      <w:r w:rsidRPr="009E2C7F">
        <w:t xml:space="preserve"> by ibn (colloquially bin) or ibnat (</w:t>
      </w:r>
      <w:r>
        <w:t>a</w:t>
      </w:r>
      <w:r w:rsidRPr="009E2C7F">
        <w:t>lso bint</w:t>
      </w:r>
      <w:r>
        <w:t>))</w:t>
      </w:r>
      <w:r w:rsidRPr="008F03E5">
        <w:t>, descent; origin, extraction, derivation, provenience; kinship, relationship, affinity, relationship by marriage</w:t>
      </w:r>
      <w:r>
        <w:t>.  See kinya.</w:t>
      </w:r>
    </w:p>
    <w:p w14:paraId="1C032386" w14:textId="77777777" w:rsidR="00625A5B" w:rsidRPr="008F03E5" w:rsidRDefault="00625A5B" w:rsidP="006E0C52">
      <w:pPr>
        <w:pStyle w:val="Translit"/>
      </w:pPr>
      <w:r w:rsidRPr="008F03E5">
        <w:t>Nasafa, Nasf</w:t>
      </w:r>
      <w:r w:rsidRPr="008F03E5">
        <w:tab/>
        <w:t>Nasafa, Nasf</w:t>
      </w:r>
      <w:r w:rsidRPr="008F03E5">
        <w:tab/>
        <w:t>to pulverize, atomize, spray (something); to carry away and scatter (wind—the dust); to blow up, blast (something) Qur’án 20:105 (nasafa) and 20:105 (nasf)</w:t>
      </w:r>
    </w:p>
    <w:p w14:paraId="3F767EB5" w14:textId="77777777" w:rsidR="00625A5B" w:rsidRPr="008F03E5" w:rsidRDefault="00625A5B" w:rsidP="00C47D1A">
      <w:pPr>
        <w:pStyle w:val="Translit"/>
      </w:pPr>
      <w:r w:rsidRPr="008F03E5">
        <w:t>Nasafi</w:t>
      </w:r>
      <w:r w:rsidRPr="008F03E5">
        <w:tab/>
        <w:t>Nasafí</w:t>
      </w:r>
      <w:r w:rsidRPr="008F03E5">
        <w:tab/>
        <w:t>Pers. (Ar. influence) native of Nasaf.  Najm ad-Dín Abú Ḥafṣ ‘Umar ibn Muḥammad an-Nasafí (1067–1142) was a Muslim jurist, theologian, mufassir, muḥaddi</w:t>
      </w:r>
      <w:r w:rsidRPr="008F03E5">
        <w:rPr>
          <w:u w:val="single"/>
        </w:rPr>
        <w:t>th</w:t>
      </w:r>
      <w:r w:rsidRPr="008F03E5">
        <w:t xml:space="preserve"> and historian.  See Qar</w:t>
      </w:r>
      <w:r w:rsidRPr="008F03E5">
        <w:rPr>
          <w:u w:val="single"/>
        </w:rPr>
        <w:t>sh</w:t>
      </w:r>
      <w:r w:rsidRPr="008F03E5">
        <w:t>í</w:t>
      </w:r>
    </w:p>
    <w:p w14:paraId="3FE7B3FB" w14:textId="77777777" w:rsidR="00625A5B" w:rsidRPr="008F03E5" w:rsidRDefault="00625A5B" w:rsidP="00473361">
      <w:pPr>
        <w:pStyle w:val="Translit"/>
      </w:pPr>
      <w:r w:rsidRPr="008F03E5">
        <w:t>Nash, Nush</w:t>
      </w:r>
      <w:r w:rsidRPr="008F03E5">
        <w:tab/>
        <w:t>Naṣḥ, Nuṣḥ</w:t>
      </w:r>
      <w:r w:rsidRPr="008F03E5">
        <w:tab/>
        <w:t>good advice; counseling, counsel; guidance</w:t>
      </w:r>
    </w:p>
    <w:p w14:paraId="36F06FF0" w14:textId="77777777" w:rsidR="00625A5B" w:rsidRPr="008F03E5" w:rsidRDefault="00625A5B" w:rsidP="0074537D">
      <w:pPr>
        <w:pStyle w:val="Translit"/>
      </w:pPr>
      <w:r w:rsidRPr="008F03E5">
        <w:t>Nasha’a, Nashu’a, Nash’, Nushu’, Nash’a</w:t>
      </w:r>
      <w:r w:rsidRPr="008F03E5">
        <w:tab/>
        <w:t>Na</w:t>
      </w:r>
      <w:r w:rsidRPr="008F03E5">
        <w:rPr>
          <w:u w:val="single"/>
        </w:rPr>
        <w:t>sh</w:t>
      </w:r>
      <w:r w:rsidRPr="008F03E5">
        <w:t>a’a and Na</w:t>
      </w:r>
      <w:r w:rsidRPr="008F03E5">
        <w:rPr>
          <w:u w:val="single"/>
        </w:rPr>
        <w:t>sh</w:t>
      </w:r>
      <w:r w:rsidRPr="008F03E5">
        <w:t>ú’a</w:t>
      </w:r>
      <w:r w:rsidRPr="008F03E5">
        <w:tab/>
        <w:t>(Na</w:t>
      </w:r>
      <w:r w:rsidRPr="008F03E5">
        <w:rPr>
          <w:u w:val="single"/>
        </w:rPr>
        <w:t>sh</w:t>
      </w:r>
      <w:r w:rsidRPr="008F03E5">
        <w:t>’, Nu</w:t>
      </w:r>
      <w:r w:rsidRPr="008F03E5">
        <w:rPr>
          <w:u w:val="single"/>
        </w:rPr>
        <w:t>sh</w:t>
      </w:r>
      <w:r w:rsidRPr="008F03E5">
        <w:t>ú’, Na</w:t>
      </w:r>
      <w:r w:rsidRPr="008F03E5">
        <w:rPr>
          <w:u w:val="single"/>
        </w:rPr>
        <w:t>sh</w:t>
      </w:r>
      <w:r w:rsidRPr="008F03E5">
        <w:t>’a) to rise, rise aloft, emerge, appear, loom up; to come into being, come into existence, originate, form, arise, come about, crop up; to proceed</w:t>
      </w:r>
    </w:p>
    <w:p w14:paraId="4103162A" w14:textId="77777777" w:rsidR="00625A5B" w:rsidRPr="008F03E5" w:rsidRDefault="00625A5B" w:rsidP="00D243FB">
      <w:pPr>
        <w:pStyle w:val="Translit"/>
      </w:pPr>
      <w:r w:rsidRPr="008F03E5">
        <w:t>Nashr</w:t>
      </w:r>
      <w:r w:rsidRPr="008F03E5">
        <w:tab/>
        <w:t>Na</w:t>
      </w:r>
      <w:r w:rsidRPr="008F03E5">
        <w:rPr>
          <w:u w:val="single"/>
        </w:rPr>
        <w:t>sh</w:t>
      </w:r>
      <w:r w:rsidRPr="008F03E5">
        <w:t>r</w:t>
      </w:r>
      <w:r w:rsidRPr="008F03E5">
        <w:tab/>
        <w:t>unfolding; spreading, diffusion; propagation; promulgation; publication; notification, announcement; resurrection</w:t>
      </w:r>
    </w:p>
    <w:p w14:paraId="2E762A24" w14:textId="77777777" w:rsidR="00625A5B" w:rsidRPr="008F03E5" w:rsidRDefault="00625A5B" w:rsidP="00D243FB">
      <w:pPr>
        <w:pStyle w:val="Translit"/>
      </w:pPr>
      <w:r w:rsidRPr="008F03E5">
        <w:t>Nasi’</w:t>
      </w:r>
      <w:r w:rsidRPr="008F03E5">
        <w:tab/>
        <w:t>Nasí’</w:t>
      </w:r>
      <w:r w:rsidRPr="008F03E5">
        <w:tab/>
        <w:t>delayed, postponed, deferred; delay; a selling on credit; intercalary day of a lunar year; a month which the Pagan Arabians kept holy instead of another, as ṣafar for muḥarram</w:t>
      </w:r>
      <w:r w:rsidRPr="008F03E5">
        <w:rPr>
          <w:i/>
          <w:iCs/>
        </w:rPr>
        <w:t>,</w:t>
      </w:r>
      <w:r w:rsidRPr="008F03E5">
        <w:t xml:space="preserve"> in order that three months, during which they were prohibited from fighting, might not follow one another.  See Qur’án 9:37.</w:t>
      </w:r>
    </w:p>
    <w:p w14:paraId="063B7B9A" w14:textId="77777777" w:rsidR="00625A5B" w:rsidRPr="008F03E5" w:rsidRDefault="00625A5B" w:rsidP="00D243FB">
      <w:pPr>
        <w:pStyle w:val="Translit"/>
        <w:rPr>
          <w:lang w:eastAsia="en-US"/>
        </w:rPr>
      </w:pPr>
      <w:r w:rsidRPr="008F03E5">
        <w:t>Nasif</w:t>
      </w:r>
      <w:r w:rsidRPr="008F03E5">
        <w:tab/>
        <w:t>Naṣíf</w:t>
      </w:r>
      <w:r w:rsidRPr="008F03E5">
        <w:tab/>
        <w:t xml:space="preserve">veil.  Naṣíf Ḥawwá’ </w:t>
      </w:r>
      <w:r w:rsidRPr="008F03E5">
        <w:rPr>
          <w:u w:val="single"/>
        </w:rPr>
        <w:t>Kh</w:t>
      </w:r>
      <w:r w:rsidRPr="008F03E5">
        <w:rPr>
          <w:lang w:eastAsia="en-US"/>
        </w:rPr>
        <w:t>ammár, ‘Akká</w:t>
      </w:r>
    </w:p>
    <w:p w14:paraId="3301723A" w14:textId="77777777" w:rsidR="00625A5B" w:rsidRPr="008F03E5" w:rsidRDefault="00625A5B" w:rsidP="00796F58">
      <w:pPr>
        <w:pStyle w:val="Translit"/>
      </w:pPr>
      <w:r w:rsidRPr="008F03E5">
        <w:t>Nasikh at-Tawarikh, Nasikhu’t-Tavarikh</w:t>
      </w:r>
      <w:r w:rsidRPr="008F03E5">
        <w:tab/>
        <w:t>Nási</w:t>
      </w:r>
      <w:r w:rsidRPr="008F03E5">
        <w:rPr>
          <w:u w:val="single"/>
        </w:rPr>
        <w:t>kh</w:t>
      </w:r>
      <w:r w:rsidRPr="008F03E5">
        <w:t xml:space="preserve"> at-Tawárí</w:t>
      </w:r>
      <w:r w:rsidRPr="008F03E5">
        <w:rPr>
          <w:u w:val="single"/>
        </w:rPr>
        <w:t>kh</w:t>
      </w:r>
      <w:r w:rsidRPr="008F03E5">
        <w:tab/>
        <w:t>(Pers. Nási</w:t>
      </w:r>
      <w:r w:rsidRPr="008F03E5">
        <w:rPr>
          <w:u w:val="single"/>
        </w:rPr>
        <w:t>kh</w:t>
      </w:r>
      <w:r w:rsidRPr="008F03E5">
        <w:t>u’t-Tavárí</w:t>
      </w:r>
      <w:r w:rsidRPr="008F03E5">
        <w:rPr>
          <w:u w:val="single"/>
        </w:rPr>
        <w:t>kh</w:t>
      </w:r>
      <w:r w:rsidRPr="008F03E5">
        <w:t>) Superceder of Histories or “</w:t>
      </w:r>
      <w:r w:rsidRPr="008F03E5">
        <w:rPr>
          <w:lang w:eastAsia="en-US"/>
        </w:rPr>
        <w:t>history to abrogate all previous histories”</w:t>
      </w:r>
      <w:r w:rsidRPr="008F03E5">
        <w:t xml:space="preserve"> (“Nasikhut-Tawarikh”) by Muḥammad-Taqí </w:t>
      </w:r>
      <w:r w:rsidRPr="008F03E5">
        <w:rPr>
          <w:u w:val="single"/>
        </w:rPr>
        <w:t>Kh</w:t>
      </w:r>
      <w:r w:rsidRPr="008F03E5">
        <w:t>án.  See Ta’rí</w:t>
      </w:r>
      <w:r w:rsidRPr="008F03E5">
        <w:rPr>
          <w:u w:val="single"/>
        </w:rPr>
        <w:t>kh</w:t>
      </w:r>
      <w:r w:rsidRPr="008F03E5">
        <w:t>.</w:t>
      </w:r>
    </w:p>
    <w:p w14:paraId="5987E626" w14:textId="77777777" w:rsidR="00625A5B" w:rsidRPr="008F03E5" w:rsidRDefault="00625A5B" w:rsidP="00324752">
      <w:pPr>
        <w:pStyle w:val="Translit"/>
      </w:pPr>
      <w:r w:rsidRPr="008F03E5">
        <w:t>Nasikh, Nussakh</w:t>
      </w:r>
      <w:r w:rsidRPr="008F03E5">
        <w:tab/>
        <w:t>Nási</w:t>
      </w:r>
      <w:r w:rsidRPr="008F03E5">
        <w:rPr>
          <w:u w:val="single"/>
        </w:rPr>
        <w:t>kh</w:t>
      </w:r>
      <w:r w:rsidRPr="008F03E5">
        <w:t>, pl. Nussá</w:t>
      </w:r>
      <w:r w:rsidRPr="008F03E5">
        <w:rPr>
          <w:u w:val="single"/>
        </w:rPr>
        <w:t>kh</w:t>
      </w:r>
      <w:r w:rsidRPr="008F03E5">
        <w:tab/>
        <w:t>abrogative, abolishing; copyist, transcriber</w:t>
      </w:r>
    </w:p>
    <w:p w14:paraId="4D9519CB" w14:textId="77777777" w:rsidR="00625A5B" w:rsidRPr="008F03E5" w:rsidRDefault="00625A5B" w:rsidP="00DA10E2">
      <w:pPr>
        <w:pStyle w:val="Translit"/>
      </w:pPr>
      <w:r w:rsidRPr="00DA10E2">
        <w:t>Nasir Abad, Nasirabad</w:t>
      </w:r>
      <w:r w:rsidRPr="00DA10E2">
        <w:tab/>
        <w:t>Naṣír Ábád, Naṣírábád</w:t>
      </w:r>
      <w:r w:rsidRPr="00DA10E2">
        <w:tab/>
        <w:t>name of a number of places.</w:t>
      </w:r>
    </w:p>
    <w:p w14:paraId="6C0B605A" w14:textId="77777777" w:rsidR="00625A5B" w:rsidRPr="008F03E5" w:rsidRDefault="00625A5B" w:rsidP="008556E4">
      <w:pPr>
        <w:pStyle w:val="Translit"/>
      </w:pPr>
      <w:r w:rsidRPr="008F03E5">
        <w:t>Nasir ad-Din Shah Qajar</w:t>
      </w:r>
      <w:r w:rsidRPr="008F03E5">
        <w:tab/>
        <w:t xml:space="preserve">Náṣir ad-Dín </w:t>
      </w:r>
      <w:r w:rsidRPr="008F03E5">
        <w:rPr>
          <w:u w:val="single"/>
        </w:rPr>
        <w:t>Sh</w:t>
      </w:r>
      <w:r w:rsidRPr="008F03E5">
        <w:t>áh Qájár</w:t>
      </w:r>
      <w:r w:rsidRPr="008F03E5">
        <w:tab/>
      </w:r>
      <w:r w:rsidRPr="002C59F6">
        <w:t>Náṣir</w:t>
      </w:r>
      <w:r>
        <w:t xml:space="preserve"> a</w:t>
      </w:r>
      <w:r w:rsidRPr="002C59F6">
        <w:t xml:space="preserve">d-Dín </w:t>
      </w:r>
      <w:r>
        <w:t>Mírzá</w:t>
      </w:r>
      <w:r w:rsidRPr="008F03E5">
        <w:t xml:space="preserve"> </w:t>
      </w:r>
      <w:r>
        <w:t xml:space="preserve">was </w:t>
      </w:r>
      <w:r w:rsidRPr="008F03E5">
        <w:t xml:space="preserve">born </w:t>
      </w:r>
      <w:r>
        <w:t>in</w:t>
      </w:r>
      <w:r w:rsidRPr="008F03E5">
        <w:t xml:space="preserve"> 1831.  </w:t>
      </w:r>
      <w:r>
        <w:t>His father (</w:t>
      </w:r>
      <w:r w:rsidRPr="008F03E5">
        <w:t xml:space="preserve">Muḥammad </w:t>
      </w:r>
      <w:r w:rsidRPr="008F03E5">
        <w:rPr>
          <w:u w:val="single"/>
        </w:rPr>
        <w:t>Sh</w:t>
      </w:r>
      <w:r w:rsidRPr="008F03E5">
        <w:t>áh Qájár</w:t>
      </w:r>
      <w:r>
        <w:t xml:space="preserve">) died on 5 September 1848 and he is assumed to have reigned from that date even though there was uncertainty regarding the succession.  His mother, </w:t>
      </w:r>
      <w:r w:rsidRPr="00D9777D">
        <w:t xml:space="preserve">Malik Jahán </w:t>
      </w:r>
      <w:r w:rsidRPr="00D9777D">
        <w:rPr>
          <w:u w:val="single"/>
        </w:rPr>
        <w:t>Kh</w:t>
      </w:r>
      <w:r w:rsidRPr="00D9777D">
        <w:t xml:space="preserve">ánum, was the </w:t>
      </w:r>
      <w:r w:rsidRPr="00D9777D">
        <w:rPr>
          <w:i/>
          <w:iCs/>
        </w:rPr>
        <w:t xml:space="preserve">de facto </w:t>
      </w:r>
      <w:r w:rsidRPr="00D9777D">
        <w:t xml:space="preserve">regent of Persia for about 45 days.  </w:t>
      </w:r>
      <w:r>
        <w:t xml:space="preserve">He arrived at sunset on 20 Ocrober 1848 in </w:t>
      </w:r>
      <w:r w:rsidRPr="00E42558">
        <w:t>Ṭ</w:t>
      </w:r>
      <w:r>
        <w:t>ihr</w:t>
      </w:r>
      <w:r w:rsidRPr="00E42558">
        <w:t>á</w:t>
      </w:r>
      <w:r>
        <w:t xml:space="preserve">n and was crowned </w:t>
      </w:r>
      <w:r w:rsidRPr="006D10E6">
        <w:rPr>
          <w:u w:val="single"/>
        </w:rPr>
        <w:t>Sh</w:t>
      </w:r>
      <w:r w:rsidRPr="006D10E6">
        <w:t>á</w:t>
      </w:r>
      <w:r>
        <w:t xml:space="preserve">h </w:t>
      </w:r>
      <w:r w:rsidRPr="008F03E5">
        <w:t xml:space="preserve">Qájár of </w:t>
      </w:r>
      <w:r>
        <w:t>Persia</w:t>
      </w:r>
      <w:r w:rsidRPr="008F03E5">
        <w:t xml:space="preserve"> </w:t>
      </w:r>
      <w:r>
        <w:t>seven hours and twenty minutes past sunset (in the early hours of 21 October 1848).  He was assassinated on</w:t>
      </w:r>
      <w:r w:rsidRPr="008F03E5">
        <w:t xml:space="preserve"> 1 May 1896.</w:t>
      </w:r>
      <w:r>
        <w:t xml:space="preserve">  See </w:t>
      </w:r>
      <w:r w:rsidRPr="00D9777D">
        <w:t xml:space="preserve">Malik Jahán </w:t>
      </w:r>
      <w:r w:rsidRPr="00D9777D">
        <w:rPr>
          <w:u w:val="single"/>
        </w:rPr>
        <w:t>Kh</w:t>
      </w:r>
      <w:r w:rsidRPr="00D9777D">
        <w:t>ánum.</w:t>
      </w:r>
    </w:p>
    <w:p w14:paraId="0B7C5436" w14:textId="77777777" w:rsidR="00625A5B" w:rsidRPr="008F03E5" w:rsidRDefault="00625A5B" w:rsidP="005E3BFE">
      <w:pPr>
        <w:pStyle w:val="Translit"/>
      </w:pPr>
      <w:r w:rsidRPr="008F03E5">
        <w:t>Nasir ad-Din Tusi</w:t>
      </w:r>
      <w:r w:rsidRPr="008F03E5">
        <w:tab/>
        <w:t>Naṣír ad-Dín Ṭúsí</w:t>
      </w:r>
      <w:r w:rsidRPr="008F03E5">
        <w:tab/>
        <w:t>Muḥammad ibn Muḥammad ibn al-Ḥasan aṭ-Ṭúsí (1201–1274), better known as Naṣír ad-Dín Ṭúsí or simply Ṭúsí in the West, was a Persian polymath, architect, philosopher, physician, scientist, and theologian.  He is considered the creator of trigonometry as a mathematical discipline in its own right.  Elided forms:  Naṣíru’d-Dín (nominative, use in English), Naṣíri’d-Dín (genitive), Naṣíra’d-Dín (accusative) [“Nasiru’d-Din, Nasiri’d-Din, Nasira’d-Din”]</w:t>
      </w:r>
    </w:p>
    <w:p w14:paraId="3BB7444E" w14:textId="77777777" w:rsidR="00625A5B" w:rsidRDefault="00625A5B" w:rsidP="00D73542">
      <w:pPr>
        <w:pStyle w:val="Translit"/>
      </w:pPr>
      <w:r w:rsidRPr="00225B90">
        <w:t>Nasir Khusraw</w:t>
      </w:r>
      <w:r>
        <w:tab/>
      </w:r>
      <w:r w:rsidRPr="00225B90">
        <w:t xml:space="preserve">Náṣir </w:t>
      </w:r>
      <w:r w:rsidRPr="00225B90">
        <w:rPr>
          <w:u w:val="single"/>
        </w:rPr>
        <w:t>Kh</w:t>
      </w:r>
      <w:r w:rsidRPr="00225B90">
        <w:t>usraw</w:t>
      </w:r>
      <w:r>
        <w:tab/>
        <w:t>Pers. (1004</w:t>
      </w:r>
      <w:r w:rsidRPr="009A14EA">
        <w:t>–c.</w:t>
      </w:r>
      <w:r w:rsidRPr="00225B90">
        <w:t xml:space="preserve"> 1072</w:t>
      </w:r>
      <w:r>
        <w:t>–</w:t>
      </w:r>
      <w:r w:rsidRPr="00225B90">
        <w:t>1088) was an Ismá</w:t>
      </w:r>
      <w:r>
        <w:t>‘</w:t>
      </w:r>
      <w:r w:rsidRPr="00225B90">
        <w:t>ílí poet, philosopher, trave</w:t>
      </w:r>
      <w:r>
        <w:t>l</w:t>
      </w:r>
      <w:r w:rsidRPr="00225B90">
        <w:t>ler, and missionary (d</w:t>
      </w:r>
      <w:r w:rsidRPr="00D73542">
        <w:t>á</w:t>
      </w:r>
      <w:r>
        <w:t>‘</w:t>
      </w:r>
      <w:r w:rsidRPr="00D73542">
        <w:t>í</w:t>
      </w:r>
      <w:r w:rsidRPr="00225B90">
        <w:t>) for the Ismá</w:t>
      </w:r>
      <w:r>
        <w:t>‘</w:t>
      </w:r>
      <w:r w:rsidRPr="00225B90">
        <w:t>ílí Fatimid Caliphate.</w:t>
      </w:r>
    </w:p>
    <w:p w14:paraId="00C43005" w14:textId="77777777" w:rsidR="00625A5B" w:rsidRPr="008F03E5" w:rsidRDefault="00625A5B" w:rsidP="00151EDC">
      <w:pPr>
        <w:pStyle w:val="Translit"/>
      </w:pPr>
      <w:r w:rsidRPr="008F03E5">
        <w:t>Nasir li-Dinu’llah</w:t>
      </w:r>
      <w:r w:rsidRPr="008F03E5">
        <w:tab/>
        <w:t>Náṣir li-Dínu’lláh</w:t>
      </w:r>
      <w:r w:rsidRPr="008F03E5">
        <w:tab/>
        <w:t>the Defender of the Religion of God</w:t>
      </w:r>
    </w:p>
    <w:p w14:paraId="0172CE77" w14:textId="77777777" w:rsidR="00625A5B" w:rsidRPr="008F03E5" w:rsidRDefault="00625A5B" w:rsidP="00E8575A">
      <w:pPr>
        <w:pStyle w:val="Translit"/>
      </w:pPr>
      <w:r w:rsidRPr="00077779">
        <w:rPr>
          <w:lang w:val="es-ES_tradnl"/>
        </w:rPr>
        <w:t>Nasir, Nasirun, Ansar, Nussar</w:t>
      </w:r>
      <w:r>
        <w:rPr>
          <w:lang w:val="es-ES_tradnl"/>
        </w:rPr>
        <w:t>,</w:t>
      </w:r>
      <w:r w:rsidRPr="00077779">
        <w:rPr>
          <w:lang w:val="es-ES_tradnl"/>
        </w:rPr>
        <w:t xml:space="preserve"> Nassar</w:t>
      </w:r>
      <w:r w:rsidRPr="00077779">
        <w:rPr>
          <w:lang w:val="es-ES_tradnl"/>
        </w:rPr>
        <w:tab/>
        <w:t xml:space="preserve">Náṣir, pl. </w:t>
      </w:r>
      <w:r w:rsidRPr="008F03E5">
        <w:t>Náṣirún, Anṣár, Nuṣṣár</w:t>
      </w:r>
      <w:r w:rsidRPr="008F03E5">
        <w:tab/>
        <w:t xml:space="preserve">helper; protector; granting victory.—pl. adherents, followers, partisans, sponsors, patrons, friends.  The Medinites who rallied around Muḥammad after His migration from Mecca to Medina were called the al-Anṣár.  Fem. náṣira[h or t]; an-Náṣira, Nazareth (derivation of the name and link with naṣárá is unclear, as is the town where Jesus lived).  Naṣṣár </w:t>
      </w:r>
      <w:r>
        <w:t xml:space="preserve">(pl. of </w:t>
      </w:r>
      <w:r w:rsidRPr="000D1026">
        <w:rPr>
          <w:lang w:val="en-AU"/>
        </w:rPr>
        <w:t>Náṣir</w:t>
      </w:r>
      <w:r>
        <w:t xml:space="preserve">) </w:t>
      </w:r>
      <w:r w:rsidRPr="008F03E5">
        <w:t>is a commonly used name.</w:t>
      </w:r>
    </w:p>
    <w:p w14:paraId="2C6769E0" w14:textId="77777777" w:rsidR="00625A5B" w:rsidRDefault="00625A5B" w:rsidP="00693DDD">
      <w:pPr>
        <w:pStyle w:val="Translit"/>
      </w:pPr>
      <w:r w:rsidRPr="008F03E5">
        <w:t>Nasir, Nusara</w:t>
      </w:r>
      <w:r w:rsidRPr="008F03E5">
        <w:tab/>
        <w:t>Naṣír, pl. Nuṣará’</w:t>
      </w:r>
      <w:r w:rsidRPr="008F03E5">
        <w:tab/>
        <w:t>helper; supporter, defender, protector; ally, confederate; adherent, follower, partisan; furtherer, promoter, patron</w:t>
      </w:r>
    </w:p>
    <w:p w14:paraId="16556FA9" w14:textId="77777777" w:rsidR="00625A5B" w:rsidRPr="008F03E5" w:rsidRDefault="00625A5B" w:rsidP="00052331">
      <w:pPr>
        <w:pStyle w:val="Translit"/>
      </w:pPr>
      <w:r w:rsidRPr="008F03E5">
        <w:t>Nasiri, Ansari</w:t>
      </w:r>
      <w:r w:rsidRPr="008F03E5">
        <w:tab/>
        <w:t xml:space="preserve">Náṣirí, pl. </w:t>
      </w:r>
      <w:r w:rsidRPr="008F03E5">
        <w:rPr>
          <w:rFonts w:eastAsia="Times New Roman"/>
        </w:rPr>
        <w:t>Anṣárí</w:t>
      </w:r>
      <w:r w:rsidRPr="008F03E5">
        <w:rPr>
          <w:rFonts w:eastAsia="Times New Roman"/>
        </w:rPr>
        <w:tab/>
        <w:t>belonging to a helper (of Mu</w:t>
      </w:r>
      <w:r w:rsidRPr="008F03E5">
        <w:t>ḥ</w:t>
      </w:r>
      <w:r w:rsidRPr="008F03E5">
        <w:rPr>
          <w:rFonts w:eastAsia="Times New Roman"/>
        </w:rPr>
        <w:t>ammad), particularly to a citizen of Madína, who assisted Mu</w:t>
      </w:r>
      <w:r w:rsidRPr="008F03E5">
        <w:t>ḥ</w:t>
      </w:r>
      <w:r w:rsidRPr="008F03E5">
        <w:rPr>
          <w:rFonts w:eastAsia="Times New Roman"/>
        </w:rPr>
        <w:t>ammad when He was obliged to migrate from Mecca</w:t>
      </w:r>
    </w:p>
    <w:p w14:paraId="66A950D7" w14:textId="77777777" w:rsidR="00625A5B" w:rsidRPr="008F03E5" w:rsidRDefault="00625A5B" w:rsidP="00366C07">
      <w:pPr>
        <w:pStyle w:val="Translit"/>
      </w:pPr>
      <w:r w:rsidRPr="008F03E5">
        <w:t>Nasiriyah (Nasiriyyih)</w:t>
      </w:r>
      <w:r w:rsidRPr="008F03E5">
        <w:tab/>
        <w:t>Náṣiríyah (Pers. Náṣiriyyih)</w:t>
      </w:r>
      <w:r w:rsidRPr="008F03E5">
        <w:tab/>
        <w:t>city on the Tigris between Baghdad and Basrah,  City was founded in 1872 by Náṣir as-Sa‘idún Pá</w:t>
      </w:r>
      <w:r w:rsidRPr="008F03E5">
        <w:rPr>
          <w:u w:val="single"/>
        </w:rPr>
        <w:t>sh</w:t>
      </w:r>
      <w:r w:rsidRPr="008F03E5">
        <w:t>á, and named after him.</w:t>
      </w:r>
    </w:p>
    <w:p w14:paraId="088F3145" w14:textId="77777777" w:rsidR="00625A5B" w:rsidRPr="008F03E5" w:rsidRDefault="00625A5B" w:rsidP="00AC1D0B">
      <w:pPr>
        <w:pStyle w:val="Translit"/>
        <w:rPr>
          <w:rFonts w:eastAsia="PMingLiU"/>
          <w:lang w:eastAsia="zh-TW"/>
        </w:rPr>
      </w:pPr>
      <w:r w:rsidRPr="008F03E5">
        <w:rPr>
          <w:rFonts w:eastAsia="PMingLiU"/>
          <w:lang w:eastAsia="zh-TW"/>
        </w:rPr>
        <w:t>Nasiya, Nasy, Nisyan</w:t>
      </w:r>
      <w:r w:rsidRPr="008F03E5">
        <w:rPr>
          <w:rFonts w:eastAsia="PMingLiU"/>
          <w:lang w:eastAsia="zh-TW"/>
        </w:rPr>
        <w:tab/>
        <w:t>Nasiya (Nasy, Nisyán)</w:t>
      </w:r>
      <w:r w:rsidRPr="008F03E5">
        <w:rPr>
          <w:rFonts w:eastAsia="PMingLiU"/>
          <w:lang w:eastAsia="zh-TW"/>
        </w:rPr>
        <w:tab/>
        <w:t>to forget (something)</w:t>
      </w:r>
    </w:p>
    <w:p w14:paraId="7861E82C" w14:textId="77777777" w:rsidR="00625A5B" w:rsidRPr="008F03E5" w:rsidRDefault="00625A5B" w:rsidP="00B859F8">
      <w:pPr>
        <w:pStyle w:val="Translit"/>
      </w:pPr>
      <w:r w:rsidRPr="008F03E5">
        <w:t>Nasiya, Nawasin</w:t>
      </w:r>
      <w:r w:rsidRPr="008F03E5">
        <w:tab/>
        <w:t>Náṣiya[t], pl. Nawáṣin</w:t>
      </w:r>
      <w:r w:rsidRPr="008F03E5">
        <w:tab/>
        <w:t>forelock; fore part of the head</w:t>
      </w:r>
    </w:p>
    <w:p w14:paraId="5F14E475" w14:textId="77777777" w:rsidR="00625A5B" w:rsidRPr="008F03E5" w:rsidRDefault="00625A5B" w:rsidP="00695E9F">
      <w:pPr>
        <w:pStyle w:val="Translit"/>
        <w:rPr>
          <w:rFonts w:eastAsia="PMingLiU"/>
          <w:lang w:eastAsia="zh-TW"/>
        </w:rPr>
      </w:pPr>
      <w:r w:rsidRPr="008F03E5">
        <w:rPr>
          <w:rFonts w:eastAsia="PMingLiU"/>
          <w:lang w:eastAsia="zh-TW"/>
        </w:rPr>
        <w:t>Naskh</w:t>
      </w:r>
      <w:r w:rsidRPr="008F03E5">
        <w:rPr>
          <w:rFonts w:eastAsia="PMingLiU"/>
          <w:lang w:eastAsia="zh-TW"/>
        </w:rPr>
        <w:tab/>
        <w:t>Nas</w:t>
      </w:r>
      <w:r w:rsidRPr="008F03E5">
        <w:rPr>
          <w:rFonts w:eastAsia="PMingLiU"/>
          <w:u w:val="single"/>
          <w:lang w:eastAsia="zh-TW"/>
        </w:rPr>
        <w:t>kh</w:t>
      </w:r>
      <w:r w:rsidRPr="008F03E5">
        <w:rPr>
          <w:rFonts w:eastAsia="PMingLiU"/>
          <w:lang w:eastAsia="zh-TW"/>
        </w:rPr>
        <w:tab/>
        <w:t>abolition, abolishment, abrogation, cancellation, invalidation; copying, transcription.  M</w:t>
      </w:r>
      <w:r w:rsidRPr="008F03E5">
        <w:t>any Muslim scholars adhere to the concept of abrogation (</w:t>
      </w:r>
      <w:r w:rsidRPr="008F03E5">
        <w:rPr>
          <w:i/>
          <w:iCs/>
        </w:rPr>
        <w:t>nas</w:t>
      </w:r>
      <w:r w:rsidRPr="008F03E5">
        <w:rPr>
          <w:i/>
          <w:iCs/>
          <w:u w:val="single"/>
        </w:rPr>
        <w:t>kh</w:t>
      </w:r>
      <w:r w:rsidRPr="008F03E5">
        <w:t xml:space="preserve">) of verses </w:t>
      </w:r>
      <w:r w:rsidRPr="008F03E5">
        <w:rPr>
          <w:i/>
          <w:iCs/>
        </w:rPr>
        <w:t>within</w:t>
      </w:r>
      <w:r w:rsidRPr="008F03E5">
        <w:t xml:space="preserve"> the Qur’án.  However, only pre-Islamic laws are abrogated in the Qur’án, since each set of verses was revealed for a particular period, place and purpose to bring justice and security to mankind under the law of God.</w:t>
      </w:r>
    </w:p>
    <w:p w14:paraId="3F8D3BBD" w14:textId="77777777" w:rsidR="00625A5B" w:rsidRPr="008F03E5" w:rsidRDefault="00625A5B" w:rsidP="00695E9F">
      <w:pPr>
        <w:pStyle w:val="Translit"/>
        <w:rPr>
          <w:rFonts w:eastAsia="PMingLiU"/>
          <w:lang w:eastAsia="zh-TW"/>
        </w:rPr>
      </w:pPr>
      <w:r w:rsidRPr="008F03E5">
        <w:rPr>
          <w:rFonts w:eastAsia="PMingLiU"/>
          <w:lang w:eastAsia="zh-TW"/>
        </w:rPr>
        <w:t>Naskhi</w:t>
      </w:r>
      <w:r w:rsidRPr="008F03E5">
        <w:rPr>
          <w:rFonts w:eastAsia="PMingLiU"/>
          <w:lang w:eastAsia="zh-TW"/>
        </w:rPr>
        <w:tab/>
        <w:t>Nas</w:t>
      </w:r>
      <w:r w:rsidRPr="008F03E5">
        <w:rPr>
          <w:rFonts w:eastAsia="PMingLiU"/>
          <w:u w:val="single"/>
          <w:lang w:eastAsia="zh-TW"/>
        </w:rPr>
        <w:t>kh</w:t>
      </w:r>
      <w:r w:rsidRPr="008F03E5">
        <w:t>í</w:t>
      </w:r>
      <w:r w:rsidRPr="008F03E5">
        <w:tab/>
      </w:r>
      <w:r w:rsidRPr="008F03E5">
        <w:rPr>
          <w:rFonts w:eastAsia="PMingLiU"/>
          <w:lang w:eastAsia="zh-TW"/>
        </w:rPr>
        <w:t>Neskhi, the ordinary cursive Arabic script, the common calligraphic style.  See n</w:t>
      </w:r>
      <w:r w:rsidRPr="008F03E5">
        <w:t>asta‘líq</w:t>
      </w:r>
    </w:p>
    <w:p w14:paraId="28399655" w14:textId="77777777" w:rsidR="00625A5B" w:rsidRPr="008F03E5" w:rsidRDefault="00625A5B" w:rsidP="00B20FF4">
      <w:pPr>
        <w:pStyle w:val="Translit"/>
        <w:rPr>
          <w:rFonts w:eastAsia="PMingLiU"/>
          <w:lang w:eastAsia="zh-TW"/>
        </w:rPr>
      </w:pPr>
      <w:r w:rsidRPr="008F03E5">
        <w:t>Nasnas, Nisnas</w:t>
      </w:r>
      <w:r w:rsidRPr="008F03E5">
        <w:tab/>
        <w:t>Nasnás, Nisnás</w:t>
      </w:r>
      <w:r w:rsidRPr="008F03E5">
        <w:tab/>
        <w:t>a monstrous race of men or demons who have only one leg and one arm, and move by leaping; a kind of ape, a marmoset, an orangutan; satyr, faun.  Alternatively, deceitful and evil.  Word used by Mírzá Buzurg to describe Ḥájí Mírzá Áqásí.</w:t>
      </w:r>
    </w:p>
    <w:p w14:paraId="4448F818" w14:textId="77777777" w:rsidR="00625A5B" w:rsidRPr="00077779" w:rsidRDefault="00625A5B" w:rsidP="00B264B6">
      <w:pPr>
        <w:pStyle w:val="Translit"/>
      </w:pPr>
      <w:r w:rsidRPr="001457C8">
        <w:rPr>
          <w:lang w:val="de-DE"/>
        </w:rPr>
        <w:t>Nasr, Nusra, Nusrat</w:t>
      </w:r>
      <w:r w:rsidRPr="001457C8">
        <w:rPr>
          <w:lang w:val="de-DE"/>
        </w:rPr>
        <w:tab/>
        <w:t xml:space="preserve">Naṣr, fem. </w:t>
      </w:r>
      <w:r w:rsidRPr="008F03E5">
        <w:t>Nuṣra[h or t]</w:t>
      </w:r>
      <w:r w:rsidRPr="008F03E5">
        <w:tab/>
        <w:t xml:space="preserve">(Pers. </w:t>
      </w:r>
      <w:r w:rsidRPr="008F03E5">
        <w:rPr>
          <w:rFonts w:eastAsia="PMingLiU"/>
          <w:lang w:eastAsia="zh-TW"/>
        </w:rPr>
        <w:t>Na</w:t>
      </w:r>
      <w:r w:rsidRPr="008F03E5">
        <w:t>ṣ</w:t>
      </w:r>
      <w:r w:rsidRPr="008F03E5">
        <w:rPr>
          <w:rFonts w:eastAsia="PMingLiU"/>
          <w:lang w:eastAsia="zh-TW"/>
        </w:rPr>
        <w:t>ar</w:t>
      </w:r>
      <w:r w:rsidRPr="008F03E5">
        <w:t xml:space="preserve">) help, aid, assistance, support, backing; victory; triumph.  “assisting, proclaiming, serving the Cause of God and rendering it victorious”.  In Islám, nuṣrat was traditionally understood to include coercion, fighting and war.  [See, for example, the Qur’án 4:74–6; 22:40–1; 47:5–8.]  However, Bahá’u’lláh creates an entirely new meaning for the term by rejecting holy war, forbidding the coercion of people to faith, and annulling the denial of rights to non-believers.  He replaces those traditional meanings of nuṣrat with a concept of assisting the Cause of God that is based on non-violence and communication.  </w:t>
      </w:r>
      <w:r w:rsidRPr="00077779">
        <w:t xml:space="preserve">Refer to </w:t>
      </w:r>
      <w:r w:rsidRPr="00077779">
        <w:rPr>
          <w:i/>
          <w:iCs/>
        </w:rPr>
        <w:t>The Kitáb-i-Aqdas,</w:t>
      </w:r>
      <w:r w:rsidRPr="00077779">
        <w:t xml:space="preserve"> para. 73.</w:t>
      </w:r>
    </w:p>
    <w:p w14:paraId="3E6299EB" w14:textId="77777777" w:rsidR="00625A5B" w:rsidRPr="008F03E5" w:rsidRDefault="00625A5B" w:rsidP="00337B4E">
      <w:pPr>
        <w:pStyle w:val="Translit"/>
        <w:rPr>
          <w:rFonts w:eastAsia="PMingLiU"/>
          <w:lang w:eastAsia="zh-TW"/>
        </w:rPr>
      </w:pPr>
      <w:r w:rsidRPr="00077779">
        <w:t>Nasran, Nasrana, Nasara</w:t>
      </w:r>
      <w:r w:rsidRPr="00077779">
        <w:tab/>
        <w:t xml:space="preserve">Naṣrán, fem. </w:t>
      </w:r>
      <w:r w:rsidRPr="008F03E5">
        <w:t>Naṣrána[h or t], pl. Naṣárá</w:t>
      </w:r>
      <w:r w:rsidRPr="008F03E5">
        <w:tab/>
        <w:t>(dual Naṣánún) helper.  Since the apostles of Jesus claimed to come to the assistance of God, they were called ‘Naṣárá’, a name which was given to all those who followed in their footsteps.  Hence, a name applied to a Christian.  From the root naṣara to help, aid, assist.  See DB p. 85, fn. 1.</w:t>
      </w:r>
    </w:p>
    <w:p w14:paraId="67B7A71B" w14:textId="77777777" w:rsidR="00625A5B" w:rsidRPr="008F03E5" w:rsidRDefault="00625A5B" w:rsidP="004C2246">
      <w:pPr>
        <w:pStyle w:val="Translit"/>
      </w:pPr>
      <w:r w:rsidRPr="008F03E5">
        <w:t>Nasrani, Nasraniya, Nasara</w:t>
      </w:r>
      <w:r w:rsidRPr="008F03E5">
        <w:tab/>
        <w:t>Naṣrání, fem. Naṣráníya[h or t]</w:t>
      </w:r>
      <w:r w:rsidRPr="008F03E5">
        <w:tab/>
        <w:t xml:space="preserve">of or belonging to a helper, hence a name applied to those belonging to Christianity.  Hence, Christianity is known as an-naṣráníyat.  In the Qur’án, Christians are referred to as naṣárá, meaning “followers of an-Náṣirí”, “those who follow Jesus” who came to assist God, i.e. the Nazareans or Nazarenes (an early Jewish Christian sect in first century </w:t>
      </w:r>
      <w:r w:rsidRPr="008F03E5">
        <w:rPr>
          <w:sz w:val="16"/>
          <w:szCs w:val="16"/>
        </w:rPr>
        <w:t>CE</w:t>
      </w:r>
      <w:r w:rsidRPr="008F03E5">
        <w:t xml:space="preserve"> whose teachings are rejected by Christians).  See Náṣir.</w:t>
      </w:r>
    </w:p>
    <w:p w14:paraId="0B92B5BE" w14:textId="77777777" w:rsidR="00625A5B" w:rsidRPr="008F03E5" w:rsidRDefault="00625A5B" w:rsidP="00682077">
      <w:pPr>
        <w:pStyle w:val="Translit"/>
      </w:pPr>
      <w:r w:rsidRPr="008F03E5">
        <w:t>Nasru’llah Bagiruf</w:t>
      </w:r>
      <w:r w:rsidRPr="008F03E5">
        <w:tab/>
        <w:t>Naṣru’lláh Bágirúf</w:t>
      </w:r>
      <w:r w:rsidRPr="008F03E5">
        <w:tab/>
        <w:t>(Áqá Siyyid Nasru’lláh Bakeroff)</w:t>
      </w:r>
    </w:p>
    <w:p w14:paraId="1652E1F7" w14:textId="77777777" w:rsidR="00625A5B" w:rsidRPr="008F03E5" w:rsidRDefault="00625A5B" w:rsidP="00900A82">
      <w:pPr>
        <w:pStyle w:val="Translit"/>
      </w:pPr>
      <w:r w:rsidRPr="008F03E5">
        <w:t>Nasru’llah</w:t>
      </w:r>
      <w:r w:rsidRPr="008F03E5">
        <w:tab/>
        <w:t>Naṣru’lláh</w:t>
      </w:r>
      <w:r w:rsidRPr="008F03E5">
        <w:tab/>
        <w:t>“Victory of God”</w:t>
      </w:r>
    </w:p>
    <w:p w14:paraId="04B36D18" w14:textId="77777777" w:rsidR="00625A5B" w:rsidRPr="008F03E5" w:rsidRDefault="00625A5B" w:rsidP="005D7309">
      <w:pPr>
        <w:pStyle w:val="Translit"/>
        <w:rPr>
          <w:rFonts w:eastAsia="PMingLiU"/>
          <w:lang w:eastAsia="zh-TW"/>
        </w:rPr>
      </w:pPr>
      <w:r w:rsidRPr="008F03E5">
        <w:rPr>
          <w:rFonts w:eastAsia="PMingLiU"/>
          <w:lang w:eastAsia="zh-TW"/>
        </w:rPr>
        <w:t>Nass, Nusus</w:t>
      </w:r>
      <w:r w:rsidRPr="008F03E5">
        <w:rPr>
          <w:rFonts w:eastAsia="PMingLiU"/>
          <w:lang w:eastAsia="zh-TW"/>
        </w:rPr>
        <w:tab/>
        <w:t>Naṣṣ, pl. Nuṣúṣ</w:t>
      </w:r>
      <w:r w:rsidRPr="008F03E5">
        <w:rPr>
          <w:rFonts w:eastAsia="PMingLiU"/>
          <w:lang w:eastAsia="zh-TW"/>
        </w:rPr>
        <w:tab/>
        <w:t>text; wording, version; passage, word, phrase, sentence, clause; expression, manner of expression, language, phraseology, style; provision, term, stipulation, condition; arrangement; manifestation, evidence.  The direct verbal appointment of an Imam by his predecessor.</w:t>
      </w:r>
    </w:p>
    <w:p w14:paraId="726CD335" w14:textId="77777777" w:rsidR="00625A5B" w:rsidRPr="008F03E5" w:rsidRDefault="00625A5B" w:rsidP="00173667">
      <w:pPr>
        <w:pStyle w:val="Translit"/>
      </w:pPr>
      <w:r w:rsidRPr="008F03E5">
        <w:t>Nassah</w:t>
      </w:r>
      <w:r w:rsidRPr="008F03E5">
        <w:tab/>
        <w:t>Naṣṣáḥ</w:t>
      </w:r>
      <w:r w:rsidRPr="008F03E5">
        <w:tab/>
        <w:t>a tailor</w:t>
      </w:r>
    </w:p>
    <w:p w14:paraId="53EF9FE0" w14:textId="77777777" w:rsidR="00625A5B" w:rsidRPr="008F03E5" w:rsidRDefault="00625A5B" w:rsidP="00803A33">
      <w:pPr>
        <w:pStyle w:val="Translit"/>
      </w:pPr>
      <w:r w:rsidRPr="008F03E5">
        <w:t>Nassar</w:t>
      </w:r>
      <w:r w:rsidRPr="008F03E5">
        <w:tab/>
        <w:t>Naṣṣár</w:t>
      </w:r>
      <w:r w:rsidRPr="008F03E5">
        <w:tab/>
        <w:t>a common Arabic name</w:t>
      </w:r>
    </w:p>
    <w:p w14:paraId="2AD52560" w14:textId="77777777" w:rsidR="00625A5B" w:rsidRPr="008F03E5" w:rsidRDefault="00625A5B" w:rsidP="00803A33">
      <w:pPr>
        <w:pStyle w:val="Translit"/>
      </w:pPr>
      <w:r w:rsidRPr="008F03E5">
        <w:t>Nasta’liq</w:t>
      </w:r>
      <w:r w:rsidRPr="008F03E5">
        <w:tab/>
        <w:t>Nasta‘líq</w:t>
      </w:r>
      <w:r w:rsidRPr="008F03E5">
        <w:tab/>
        <w:t>Persian script, invented by Mír ‘Alí Tabrízí following a dream.  See nas</w:t>
      </w:r>
      <w:r w:rsidRPr="008F03E5">
        <w:rPr>
          <w:u w:val="single"/>
        </w:rPr>
        <w:t>kh</w:t>
      </w:r>
      <w:r w:rsidRPr="008F03E5">
        <w:t xml:space="preserve">í and </w:t>
      </w:r>
      <w:r w:rsidRPr="008F03E5">
        <w:rPr>
          <w:u w:val="single"/>
        </w:rPr>
        <w:t>sh</w:t>
      </w:r>
      <w:r w:rsidRPr="008F03E5">
        <w:t>ikastih</w:t>
      </w:r>
    </w:p>
    <w:p w14:paraId="4E0794EA" w14:textId="77777777" w:rsidR="00625A5B" w:rsidRPr="008F03E5" w:rsidRDefault="00625A5B" w:rsidP="00820F47">
      <w:pPr>
        <w:pStyle w:val="Translit"/>
      </w:pPr>
      <w:r w:rsidRPr="008F03E5">
        <w:t>Nastaran</w:t>
      </w:r>
      <w:r w:rsidRPr="008F03E5">
        <w:tab/>
        <w:t>Nastaran</w:t>
      </w:r>
      <w:r w:rsidRPr="008F03E5">
        <w:tab/>
        <w:t>Pers. a narcissus; the dog-rose; a flower-garden; clover; a kind of cloth</w:t>
      </w:r>
    </w:p>
    <w:p w14:paraId="13E8A1F6" w14:textId="77777777" w:rsidR="00625A5B" w:rsidRPr="008F03E5" w:rsidRDefault="00625A5B" w:rsidP="0078286C">
      <w:pPr>
        <w:pStyle w:val="Translit"/>
      </w:pPr>
      <w:r w:rsidRPr="008F03E5">
        <w:t>Nasut</w:t>
      </w:r>
      <w:r w:rsidRPr="008F03E5">
        <w:tab/>
        <w:t>Násút</w:t>
      </w:r>
      <w:r w:rsidRPr="008F03E5">
        <w:tab/>
        <w:t>mankind, human nature, humanity.  (</w:t>
      </w:r>
      <w:r w:rsidRPr="008F03E5">
        <w:rPr>
          <w:rFonts w:eastAsia="Times New Roman"/>
          <w:i/>
          <w:iCs/>
        </w:rPr>
        <w:t>‘álami násút,</w:t>
      </w:r>
      <w:r w:rsidRPr="008F03E5">
        <w:t xml:space="preserve"> mortal world—realm of being).  See Háhút, Láhút, Jabarút and Malakút.</w:t>
      </w:r>
    </w:p>
    <w:p w14:paraId="5E9A22BF" w14:textId="77777777" w:rsidR="00625A5B" w:rsidRPr="008F03E5" w:rsidRDefault="00625A5B" w:rsidP="0078286C">
      <w:pPr>
        <w:pStyle w:val="Translit"/>
      </w:pPr>
      <w:r w:rsidRPr="008F03E5">
        <w:t>Nasuti</w:t>
      </w:r>
      <w:r w:rsidRPr="008F03E5">
        <w:tab/>
        <w:t>Násútí</w:t>
      </w:r>
      <w:r w:rsidRPr="008F03E5">
        <w:tab/>
        <w:t>Pers. (Ar. influence) worldly; human</w:t>
      </w:r>
    </w:p>
    <w:p w14:paraId="5A33E50F" w14:textId="77777777" w:rsidR="00625A5B" w:rsidRPr="008F03E5" w:rsidRDefault="00625A5B" w:rsidP="0078286C">
      <w:pPr>
        <w:pStyle w:val="Translit"/>
      </w:pPr>
      <w:r w:rsidRPr="008F03E5">
        <w:t>Nasutiya (Nasutiyyah)</w:t>
      </w:r>
      <w:r w:rsidRPr="008F03E5">
        <w:tab/>
        <w:t>Násútíya[h or t]</w:t>
      </w:r>
      <w:r w:rsidRPr="008F03E5">
        <w:tab/>
        <w:t>mortal world, of the earthly plane, of the human dimension</w:t>
      </w:r>
    </w:p>
    <w:p w14:paraId="13E74AF7" w14:textId="77777777" w:rsidR="00625A5B" w:rsidRPr="008F03E5" w:rsidRDefault="00625A5B" w:rsidP="0001268F">
      <w:pPr>
        <w:pStyle w:val="Translit"/>
      </w:pPr>
      <w:r w:rsidRPr="008F03E5">
        <w:t>Natanz</w:t>
      </w:r>
      <w:r w:rsidRPr="008F03E5">
        <w:tab/>
        <w:t>Naṭanz</w:t>
      </w:r>
      <w:r w:rsidRPr="008F03E5">
        <w:tab/>
        <w:t>city 98 km north Iṣfahán</w:t>
      </w:r>
    </w:p>
    <w:p w14:paraId="2B33A964" w14:textId="77777777" w:rsidR="00625A5B" w:rsidRPr="008F03E5" w:rsidRDefault="00625A5B" w:rsidP="00147C7A">
      <w:pPr>
        <w:pStyle w:val="Translit"/>
      </w:pPr>
      <w:r w:rsidRPr="008F03E5">
        <w:t>Nataqa, Nutq, Nutuq, Mantiq</w:t>
      </w:r>
      <w:r w:rsidRPr="008F03E5">
        <w:tab/>
        <w:t>Naṭaqa (Nuṭq, Nuṭúq, Manṭiq)</w:t>
      </w:r>
      <w:r w:rsidRPr="008F03E5">
        <w:tab/>
        <w:t>to articulate; to talk, speak, utter (something); to pronounce (something)</w:t>
      </w:r>
    </w:p>
    <w:p w14:paraId="77F63BFD" w14:textId="77777777" w:rsidR="00625A5B" w:rsidRPr="008F03E5" w:rsidRDefault="00625A5B" w:rsidP="00834FEA">
      <w:pPr>
        <w:pStyle w:val="Translit"/>
      </w:pPr>
      <w:r w:rsidRPr="001457C8">
        <w:rPr>
          <w:lang w:val="fr-FR"/>
        </w:rPr>
        <w:t>Natiq, Natiqat, Natiqa</w:t>
      </w:r>
      <w:r w:rsidRPr="001457C8">
        <w:rPr>
          <w:lang w:val="fr-FR"/>
        </w:rPr>
        <w:tab/>
        <w:t xml:space="preserve">Náṭiq, fem. </w:t>
      </w:r>
      <w:r w:rsidRPr="008F03E5">
        <w:t>Náṭiqa, Náṭiqat</w:t>
      </w:r>
      <w:r w:rsidRPr="008F03E5">
        <w:tab/>
        <w:t xml:space="preserve">talking, speaking; endowed with the faculty of speech; eloquent; plain, distinct, clear; endowed with reason, reasonable, rational (being); speaker (fem. written in </w:t>
      </w:r>
      <w:r w:rsidRPr="008F03E5">
        <w:rPr>
          <w:sz w:val="16"/>
          <w:szCs w:val="16"/>
        </w:rPr>
        <w:t>TAB</w:t>
      </w:r>
      <w:r w:rsidRPr="008F03E5">
        <w:t xml:space="preserve"> as Natekah and Nateghéh)</w:t>
      </w:r>
    </w:p>
    <w:p w14:paraId="3C6850DF" w14:textId="77777777" w:rsidR="00625A5B" w:rsidRPr="008F03E5" w:rsidRDefault="00625A5B" w:rsidP="00900A82">
      <w:pPr>
        <w:pStyle w:val="Translit"/>
      </w:pPr>
      <w:r w:rsidRPr="008F03E5">
        <w:t xml:space="preserve">Naw (Nau, Nav, </w:t>
      </w:r>
      <w:r>
        <w:t xml:space="preserve">No, </w:t>
      </w:r>
      <w:r w:rsidRPr="008F03E5">
        <w:t>Now)</w:t>
      </w:r>
      <w:r w:rsidRPr="008F03E5">
        <w:tab/>
        <w:t>Naw</w:t>
      </w:r>
      <w:r w:rsidRPr="008F03E5">
        <w:tab/>
        <w:t>Pers. new, fresh</w:t>
      </w:r>
    </w:p>
    <w:p w14:paraId="08F34D83" w14:textId="77777777" w:rsidR="00625A5B" w:rsidRPr="008F03E5" w:rsidRDefault="00625A5B" w:rsidP="008E6199">
      <w:pPr>
        <w:pStyle w:val="Translit"/>
      </w:pPr>
      <w:r w:rsidRPr="008F03E5">
        <w:t>Naw’ (Nau’), Anwa’</w:t>
      </w:r>
      <w:r w:rsidRPr="008F03E5">
        <w:tab/>
        <w:t>Naw‘, pl. Anwá‘</w:t>
      </w:r>
      <w:r w:rsidRPr="008F03E5">
        <w:tab/>
        <w:t>kind, sort, type, species; variety; way, manner, mode, fashion; form; nature, character, quality, grade.  Naw‘ al-insán the human race.</w:t>
      </w:r>
    </w:p>
    <w:p w14:paraId="78F14D8A" w14:textId="77777777" w:rsidR="00625A5B" w:rsidRPr="008F03E5" w:rsidRDefault="00625A5B" w:rsidP="008E6199">
      <w:pPr>
        <w:pStyle w:val="Translit"/>
      </w:pPr>
      <w:r w:rsidRPr="008F03E5">
        <w:t>Naw’i (Nau’i)</w:t>
      </w:r>
      <w:r w:rsidRPr="008F03E5">
        <w:tab/>
        <w:t>Naw‘í</w:t>
      </w:r>
      <w:r w:rsidRPr="008F03E5">
        <w:tab/>
        <w:t>relative to the nature or type; characteristic, peculiar, proper; essential; specific; species</w:t>
      </w:r>
    </w:p>
    <w:p w14:paraId="5C3894C0" w14:textId="77777777" w:rsidR="00625A5B" w:rsidRPr="008F03E5" w:rsidRDefault="00625A5B" w:rsidP="00623668">
      <w:pPr>
        <w:pStyle w:val="Translit"/>
      </w:pPr>
      <w:r w:rsidRPr="008F03E5">
        <w:t>Naw’iya (Nau’iya), Naw’iyat (Nau’iyat)</w:t>
      </w:r>
      <w:r w:rsidRPr="008F03E5">
        <w:tab/>
        <w:t>Naw‘íya[h or t], pl. Naw‘íyát</w:t>
      </w:r>
      <w:r w:rsidRPr="008F03E5">
        <w:tab/>
        <w:t>(fem. of naw‘í) quality, specificity or “species-ness”</w:t>
      </w:r>
    </w:p>
    <w:p w14:paraId="01AF8011" w14:textId="77777777" w:rsidR="00625A5B" w:rsidRPr="008F03E5" w:rsidRDefault="00625A5B" w:rsidP="00466B3C">
      <w:pPr>
        <w:pStyle w:val="Translit"/>
      </w:pPr>
      <w:r w:rsidRPr="008F03E5">
        <w:t>Nawa’i, Nava’i</w:t>
      </w:r>
      <w:r w:rsidRPr="008F03E5">
        <w:tab/>
        <w:t>Nawá’í</w:t>
      </w:r>
      <w:r w:rsidRPr="008F03E5">
        <w:tab/>
        <w:t xml:space="preserve">Pers. voice, sound, melody; riches, affluence, plenty, opulence.  </w:t>
      </w:r>
      <w:r>
        <w:t>A village (</w:t>
      </w:r>
      <w:r w:rsidRPr="003653D1">
        <w:t>38.581659, 45.05672</w:t>
      </w:r>
      <w:r>
        <w:t xml:space="preserve">1) 10 km </w:t>
      </w:r>
      <w:r w:rsidRPr="00417520">
        <w:rPr>
          <w:sz w:val="16"/>
          <w:szCs w:val="16"/>
        </w:rPr>
        <w:t>NE</w:t>
      </w:r>
      <w:r>
        <w:t xml:space="preserve"> of </w:t>
      </w:r>
      <w:r w:rsidRPr="003653D1">
        <w:rPr>
          <w:u w:val="single"/>
        </w:rPr>
        <w:t>Kh</w:t>
      </w:r>
      <w:r>
        <w:t xml:space="preserve">uy.  </w:t>
      </w:r>
      <w:r w:rsidRPr="008F03E5">
        <w:t>Mír ‘Alí-</w:t>
      </w:r>
      <w:r w:rsidRPr="008F03E5">
        <w:rPr>
          <w:u w:val="single"/>
        </w:rPr>
        <w:t>Sh</w:t>
      </w:r>
      <w:r w:rsidRPr="008F03E5">
        <w:t>ír Navá’í (Navá’í, pen name) (1441–1501), also known as Niẓám-ad-Dín ‘Alí-</w:t>
      </w:r>
      <w:r w:rsidRPr="008F03E5">
        <w:rPr>
          <w:u w:val="single"/>
        </w:rPr>
        <w:t>Sh</w:t>
      </w:r>
      <w:r w:rsidRPr="008F03E5">
        <w:t>ír Hirawí (from Herat) was a Turkic (mainly in an extinct Turkic language) poet, writer, politician, linguist, mystic, and painter</w:t>
      </w:r>
      <w:r>
        <w:t>.</w:t>
      </w:r>
    </w:p>
    <w:p w14:paraId="44D0B862" w14:textId="77777777" w:rsidR="00625A5B" w:rsidRPr="008F03E5" w:rsidRDefault="00625A5B" w:rsidP="00A05BAF">
      <w:pPr>
        <w:pStyle w:val="Translit"/>
      </w:pPr>
      <w:r w:rsidRPr="008F03E5">
        <w:t>Nawab, Navab, Nawwab, Navvab</w:t>
      </w:r>
      <w:r w:rsidRPr="008F03E5">
        <w:tab/>
        <w:t>Nawáb, Naváb, Nawwáb, Navváb</w:t>
      </w:r>
      <w:r w:rsidRPr="008F03E5">
        <w:tab/>
        <w:t xml:space="preserve">Urdu (from the plural of Ná’ib, i.e. Nuwwáb).  First wife of Bahá’u’lláh, Ásíyih </w:t>
      </w:r>
      <w:r w:rsidRPr="008F03E5">
        <w:rPr>
          <w:u w:val="single"/>
        </w:rPr>
        <w:t>Kh</w:t>
      </w:r>
      <w:r w:rsidRPr="008F03E5">
        <w:t xml:space="preserve">ánum, her father was known as Navváb (“deputy”, “highness”, “noble” or “grace”).  This title was a very special title for a man, it meant that he was to be extolled as not only the head of the family, but also as someone others should look to for guidance and wisdom.  Ásíyih </w:t>
      </w:r>
      <w:r w:rsidRPr="008F03E5">
        <w:rPr>
          <w:u w:val="single"/>
        </w:rPr>
        <w:t>Kh</w:t>
      </w:r>
      <w:r w:rsidRPr="008F03E5">
        <w:t>ánum’s father referred to her as Navvábih (Pers., “Navvabih”; Ar. fem. nawwába), the appropriate term for a woman at the time, as it alluded to her purity, but kept her in a station as a subordinate to her father.</w:t>
      </w:r>
    </w:p>
    <w:p w14:paraId="163E67E4" w14:textId="77777777" w:rsidR="00625A5B" w:rsidRPr="008F03E5" w:rsidRDefault="00625A5B" w:rsidP="00021911">
      <w:pPr>
        <w:pStyle w:val="Translit"/>
      </w:pPr>
      <w:r w:rsidRPr="008F03E5">
        <w:t>Naw-Bakhti (Nawbakhti)</w:t>
      </w:r>
      <w:r w:rsidRPr="008F03E5">
        <w:tab/>
        <w:t>Naw-Ba</w:t>
      </w:r>
      <w:r w:rsidRPr="008F03E5">
        <w:rPr>
          <w:u w:val="single"/>
        </w:rPr>
        <w:t>kh</w:t>
      </w:r>
      <w:r w:rsidRPr="008F03E5">
        <w:t>tí (Nawba</w:t>
      </w:r>
      <w:r w:rsidRPr="008F03E5">
        <w:rPr>
          <w:u w:val="single"/>
        </w:rPr>
        <w:t>kh</w:t>
      </w:r>
      <w:r w:rsidRPr="008F03E5">
        <w:t>tí)</w:t>
      </w:r>
      <w:r w:rsidRPr="008F03E5">
        <w:tab/>
        <w:t xml:space="preserve">new fortune.  Nawbakhtí family is a well-known Iranian, </w:t>
      </w:r>
      <w:r w:rsidRPr="008F03E5">
        <w:rPr>
          <w:u w:val="single"/>
        </w:rPr>
        <w:t>Sh</w:t>
      </w:r>
      <w:r w:rsidRPr="008F03E5">
        <w:t>í‘a family of prominent figures, such as astronomers, men of literature, theologians, scripters, and authors, from the middle of the 8th to the early 11th centuries.</w:t>
      </w:r>
    </w:p>
    <w:p w14:paraId="7324499A" w14:textId="77777777" w:rsidR="00625A5B" w:rsidRPr="008F03E5" w:rsidRDefault="00625A5B" w:rsidP="005A503A">
      <w:pPr>
        <w:pStyle w:val="Translit"/>
      </w:pPr>
      <w:r w:rsidRPr="008F03E5">
        <w:t>Nawfal (Naufal)</w:t>
      </w:r>
      <w:r w:rsidRPr="008F03E5">
        <w:tab/>
        <w:t>Nawfal</w:t>
      </w:r>
      <w:r w:rsidRPr="008F03E5">
        <w:tab/>
        <w:t>the sea; a munificent man; a present; a handsome youth; male hyena; whelp of a wild beast; a jackal; adversity; name of an Arabian king</w:t>
      </w:r>
    </w:p>
    <w:p w14:paraId="5228867D" w14:textId="77777777" w:rsidR="00625A5B" w:rsidRPr="008F03E5" w:rsidRDefault="00625A5B" w:rsidP="00900A82">
      <w:pPr>
        <w:pStyle w:val="Translit"/>
      </w:pPr>
      <w:r w:rsidRPr="008F03E5">
        <w:t>Naw-Firist</w:t>
      </w:r>
      <w:r w:rsidRPr="008F03E5">
        <w:tab/>
        <w:t>Naw-Firist</w:t>
      </w:r>
      <w:r w:rsidRPr="008F03E5">
        <w:tab/>
        <w:t>near Bírjand, birthplace of Nabíl-i-Akbar</w:t>
      </w:r>
    </w:p>
    <w:p w14:paraId="77BC58AD" w14:textId="77777777" w:rsidR="00625A5B" w:rsidRPr="008F03E5" w:rsidRDefault="00625A5B" w:rsidP="002F1109">
      <w:pPr>
        <w:pStyle w:val="Translit"/>
      </w:pPr>
      <w:r w:rsidRPr="008F03E5">
        <w:t>Nawh (Nauh), Nawah</w:t>
      </w:r>
      <w:r w:rsidRPr="008F03E5">
        <w:tab/>
        <w:t>Nawḥ (</w:t>
      </w:r>
      <w:r w:rsidRPr="008F03E5">
        <w:rPr>
          <w:rtl/>
        </w:rPr>
        <w:t>نوح</w:t>
      </w:r>
      <w:r w:rsidRPr="008F03E5">
        <w:t>) and Nuwáḥ</w:t>
      </w:r>
      <w:r w:rsidRPr="008F03E5">
        <w:tab/>
        <w:t>loud loud weeping, wailing, lamentation (for the dead)</w:t>
      </w:r>
    </w:p>
    <w:p w14:paraId="0FA2DAF0" w14:textId="77777777" w:rsidR="00625A5B" w:rsidRPr="008F03E5" w:rsidRDefault="00625A5B" w:rsidP="009932BF">
      <w:pPr>
        <w:pStyle w:val="Translit"/>
      </w:pPr>
      <w:r w:rsidRPr="008F03E5">
        <w:t>Nawid (Navid), Nuwid</w:t>
      </w:r>
      <w:r w:rsidRPr="008F03E5">
        <w:tab/>
        <w:t>Nawíd, Nuwíd</w:t>
      </w:r>
      <w:r w:rsidRPr="008F03E5">
        <w:tab/>
        <w:t>Pers. happy tidings, good news</w:t>
      </w:r>
    </w:p>
    <w:p w14:paraId="75B5E6DA" w14:textId="77777777" w:rsidR="00625A5B" w:rsidRPr="008F03E5" w:rsidRDefault="00625A5B" w:rsidP="00C97712">
      <w:pPr>
        <w:pStyle w:val="Translit"/>
      </w:pPr>
      <w:r w:rsidRPr="008F03E5">
        <w:rPr>
          <w:lang w:eastAsia="zh-TW"/>
        </w:rPr>
        <w:t>Naw-Nihal (Nawnihal), Naw-Nihalan</w:t>
      </w:r>
      <w:r w:rsidRPr="008F03E5">
        <w:rPr>
          <w:lang w:eastAsia="zh-TW"/>
        </w:rPr>
        <w:tab/>
        <w:t>Naw-Nih</w:t>
      </w:r>
      <w:r w:rsidRPr="008F03E5">
        <w:t>á</w:t>
      </w:r>
      <w:r w:rsidRPr="008F03E5">
        <w:rPr>
          <w:lang w:eastAsia="zh-TW"/>
        </w:rPr>
        <w:t>l, pl. Naw-Nih</w:t>
      </w:r>
      <w:r w:rsidRPr="008F03E5">
        <w:t>á</w:t>
      </w:r>
      <w:r w:rsidRPr="008F03E5">
        <w:rPr>
          <w:lang w:eastAsia="zh-TW"/>
        </w:rPr>
        <w:t>l</w:t>
      </w:r>
      <w:r w:rsidRPr="008F03E5">
        <w:t>á</w:t>
      </w:r>
      <w:r w:rsidRPr="008F03E5">
        <w:rPr>
          <w:lang w:eastAsia="zh-TW"/>
        </w:rPr>
        <w:t>n</w:t>
      </w:r>
      <w:r w:rsidRPr="008F03E5">
        <w:rPr>
          <w:lang w:eastAsia="zh-TW"/>
        </w:rPr>
        <w:tab/>
        <w:t xml:space="preserve">Pers. (nau-nahal, naw-nahal, naw-nahalan, nawnahal, nawnihalan, nawnahalan, nonahalan, etc.) young tree, new seedling, young sapling, new born.  </w:t>
      </w:r>
      <w:r w:rsidRPr="008F03E5">
        <w:t xml:space="preserve">See </w:t>
      </w:r>
      <w:r w:rsidRPr="008F03E5">
        <w:rPr>
          <w:u w:val="single"/>
        </w:rPr>
        <w:t>Sh</w:t>
      </w:r>
      <w:r w:rsidRPr="008F03E5">
        <w:t>irkát-i-Nawnahálán.</w:t>
      </w:r>
    </w:p>
    <w:p w14:paraId="5E6625D7" w14:textId="77777777" w:rsidR="00625A5B" w:rsidRPr="008F03E5" w:rsidRDefault="00625A5B" w:rsidP="003610FD">
      <w:pPr>
        <w:pStyle w:val="Translit"/>
      </w:pPr>
      <w:r w:rsidRPr="002016C0">
        <w:t>Nawr (Naur), Anwar</w:t>
      </w:r>
      <w:r w:rsidRPr="002016C0">
        <w:tab/>
        <w:t xml:space="preserve">Nawr, fem. </w:t>
      </w:r>
      <w:r w:rsidRPr="003610FD">
        <w:rPr>
          <w:lang w:val="en-AU"/>
        </w:rPr>
        <w:t xml:space="preserve">Nawra[h or t], pl. </w:t>
      </w:r>
      <w:r w:rsidRPr="008063A9">
        <w:rPr>
          <w:lang w:val="fr-FR"/>
        </w:rPr>
        <w:t>Anwár</w:t>
      </w:r>
      <w:r w:rsidRPr="008063A9">
        <w:rPr>
          <w:lang w:val="fr-FR"/>
        </w:rPr>
        <w:tab/>
        <w:t xml:space="preserve">(collective; </w:t>
      </w:r>
      <w:r w:rsidRPr="008063A9">
        <w:rPr>
          <w:i/>
          <w:iCs/>
          <w:lang w:val="fr-FR"/>
        </w:rPr>
        <w:t>nomen unitatis</w:t>
      </w:r>
      <w:r w:rsidRPr="008063A9">
        <w:rPr>
          <w:lang w:val="fr-FR"/>
        </w:rPr>
        <w:t xml:space="preserve">; fem. pl. </w:t>
      </w:r>
      <w:r>
        <w:t>Nawr</w:t>
      </w:r>
      <w:r w:rsidRPr="003610FD">
        <w:t>á</w:t>
      </w:r>
      <w:r>
        <w:t>t</w:t>
      </w:r>
      <w:r w:rsidRPr="008F03E5">
        <w:t>)</w:t>
      </w:r>
      <w:r>
        <w:t xml:space="preserve"> </w:t>
      </w:r>
      <w:r w:rsidRPr="008F03E5">
        <w:t>blossom(s), flower(s) (especially white)</w:t>
      </w:r>
      <w:r>
        <w:t>;—fem. one flower</w:t>
      </w:r>
    </w:p>
    <w:p w14:paraId="0FC6917C" w14:textId="77777777" w:rsidR="00625A5B" w:rsidRPr="008F03E5" w:rsidRDefault="00625A5B" w:rsidP="00B078E9">
      <w:pPr>
        <w:pStyle w:val="Translit"/>
      </w:pPr>
      <w:r w:rsidRPr="008F03E5">
        <w:t>Naw-Ruz (Nau-Roz), Nawruz, Nayruz</w:t>
      </w:r>
      <w:r w:rsidRPr="008F03E5">
        <w:tab/>
        <w:t>Naw-Rúz</w:t>
      </w:r>
      <w:r w:rsidRPr="008F03E5">
        <w:tab/>
        <w:t xml:space="preserve">Pers. new year’s day.  The Bahá’í New Year’s Day, which usually falls on 20 or 21 March.  If the vernal equinox falls after sunset, it is celebrated the next day.  </w:t>
      </w:r>
      <w:r>
        <w:t>The first in the B</w:t>
      </w:r>
      <w:r w:rsidRPr="00B078E9">
        <w:t>á</w:t>
      </w:r>
      <w:r>
        <w:t>bí dispensation was on the 10</w:t>
      </w:r>
      <w:r w:rsidRPr="000771B2">
        <w:t xml:space="preserve"> Rabí‘u’l-Avval, </w:t>
      </w:r>
      <w:r w:rsidRPr="00031B73">
        <w:rPr>
          <w:sz w:val="16"/>
          <w:szCs w:val="16"/>
        </w:rPr>
        <w:t>AH</w:t>
      </w:r>
      <w:r w:rsidRPr="000771B2">
        <w:t xml:space="preserve"> 1261</w:t>
      </w:r>
      <w:r>
        <w:t xml:space="preserve"> (March 1845).  </w:t>
      </w:r>
      <w:r w:rsidRPr="008F03E5">
        <w:t>Persian calendar—the day that the sun enters Aries.  The four great festivals of pre-Islamic Írán consisted of Naw-Rúz (Spring), Tír (Summer), Mihragán (Autumn), Sadih (Winter).  Mihragán—the festival of Mihr (Sun), recalled the worship of Mi</w:t>
      </w:r>
      <w:r w:rsidRPr="008F03E5">
        <w:rPr>
          <w:u w:val="single"/>
        </w:rPr>
        <w:t>th</w:t>
      </w:r>
      <w:r w:rsidRPr="008F03E5">
        <w:t>rá.  Nawrúz in Arabic dictionary listed as the Persian New Year’s Day, and nayrúz as the Coptic Christian New Year’s Day.  See sana.</w:t>
      </w:r>
    </w:p>
    <w:p w14:paraId="4FC7F67F" w14:textId="77777777" w:rsidR="00625A5B" w:rsidRPr="008F03E5" w:rsidRDefault="00625A5B" w:rsidP="00B56625">
      <w:pPr>
        <w:pStyle w:val="Translit"/>
        <w:rPr>
          <w:rFonts w:eastAsia="PMingLiU"/>
          <w:lang w:eastAsia="zh-TW"/>
        </w:rPr>
      </w:pPr>
      <w:r w:rsidRPr="008F03E5">
        <w:rPr>
          <w:rFonts w:eastAsia="PMingLiU"/>
          <w:lang w:eastAsia="zh-TW"/>
        </w:rPr>
        <w:t>Nawruzi-Iranzad</w:t>
      </w:r>
      <w:r w:rsidRPr="008F03E5">
        <w:tab/>
      </w:r>
      <w:r w:rsidRPr="008F03E5">
        <w:rPr>
          <w:rFonts w:eastAsia="PMingLiU"/>
          <w:lang w:eastAsia="zh-TW"/>
        </w:rPr>
        <w:t>Nawrúzí-Íránzád</w:t>
      </w:r>
      <w:r w:rsidRPr="008F03E5">
        <w:tab/>
        <w:t xml:space="preserve">Yúnis </w:t>
      </w:r>
      <w:r w:rsidRPr="008F03E5">
        <w:rPr>
          <w:rFonts w:eastAsia="PMingLiU"/>
          <w:lang w:eastAsia="zh-TW"/>
        </w:rPr>
        <w:t>Nawrúzí-Íránzád</w:t>
      </w:r>
    </w:p>
    <w:p w14:paraId="454845AC" w14:textId="77777777" w:rsidR="00625A5B" w:rsidRPr="008F03E5" w:rsidRDefault="00625A5B" w:rsidP="009B596C">
      <w:pPr>
        <w:pStyle w:val="Translit"/>
      </w:pPr>
      <w:r w:rsidRPr="008F03E5">
        <w:t>Nay</w:t>
      </w:r>
      <w:r w:rsidRPr="008F03E5">
        <w:tab/>
        <w:t>Náy, pl. Náyát</w:t>
      </w:r>
      <w:r w:rsidRPr="008F03E5">
        <w:tab/>
        <w:t>nay, a flute without mouthpiece, traditionally made of bamboo, rarely of wood, in different sizes, which, when blown, is held in a slanting forward position (unlike a German flute).</w:t>
      </w:r>
    </w:p>
    <w:p w14:paraId="00A5A1AB" w14:textId="77777777" w:rsidR="00625A5B" w:rsidRPr="008F03E5" w:rsidRDefault="00625A5B" w:rsidP="005814FC">
      <w:pPr>
        <w:pStyle w:val="Translit"/>
      </w:pPr>
      <w:r w:rsidRPr="008F03E5">
        <w:t>Nayan</w:t>
      </w:r>
      <w:r w:rsidRPr="008F03E5">
        <w:tab/>
        <w:t>Nayan</w:t>
      </w:r>
      <w:r w:rsidRPr="008F03E5">
        <w:tab/>
        <w:t>name invented by a numerologist for Ida Ella Amelia Whitlam (1885–1967), wife of Stanwood Cobb.</w:t>
      </w:r>
    </w:p>
    <w:p w14:paraId="6D37C9DA" w14:textId="77777777" w:rsidR="00625A5B" w:rsidRPr="008F03E5" w:rsidRDefault="00625A5B" w:rsidP="009B63BE">
      <w:pPr>
        <w:pStyle w:val="Translit"/>
      </w:pPr>
      <w:r w:rsidRPr="008F03E5">
        <w:t>Nayib</w:t>
      </w:r>
      <w:r w:rsidRPr="008F03E5">
        <w:tab/>
        <w:t>Náyib (</w:t>
      </w:r>
      <w:r w:rsidRPr="008F03E5">
        <w:rPr>
          <w:rtl/>
        </w:rPr>
        <w:t>نایب</w:t>
      </w:r>
      <w:r w:rsidRPr="008F03E5">
        <w:t>)</w:t>
      </w:r>
      <w:r w:rsidRPr="008F03E5">
        <w:tab/>
        <w:t>Pers. deputy.  See Ná’ib (</w:t>
      </w:r>
      <w:r w:rsidRPr="008F03E5">
        <w:rPr>
          <w:rtl/>
        </w:rPr>
        <w:t>نائب</w:t>
      </w:r>
      <w:r w:rsidRPr="008F03E5">
        <w:t>).</w:t>
      </w:r>
    </w:p>
    <w:p w14:paraId="10479AE6" w14:textId="77777777" w:rsidR="00625A5B" w:rsidRPr="008F03E5" w:rsidRDefault="00625A5B" w:rsidP="006A4A5A">
      <w:pPr>
        <w:pStyle w:val="Translit"/>
      </w:pPr>
      <w:r w:rsidRPr="008F03E5">
        <w:t>Nayibu’s-Saltanih</w:t>
      </w:r>
      <w:r w:rsidRPr="008F03E5">
        <w:tab/>
        <w:t>Náyibu’s-Salṭanih</w:t>
      </w:r>
      <w:r w:rsidRPr="008F03E5">
        <w:tab/>
        <w:t xml:space="preserve">Pers. title (“vice-regent” or “deputy sultan”) of Kámrán Mírzá (1856–1929).  He was a Persian Prince of the Qájár dynasty and the </w:t>
      </w:r>
      <w:r>
        <w:t xml:space="preserve">youngest of the </w:t>
      </w:r>
      <w:r w:rsidRPr="008F03E5">
        <w:t>thr</w:t>
      </w:r>
      <w:r>
        <w:t>ee</w:t>
      </w:r>
      <w:r w:rsidRPr="008F03E5">
        <w:t xml:space="preserve"> son</w:t>
      </w:r>
      <w:r>
        <w:t>s</w:t>
      </w:r>
      <w:r w:rsidRPr="008F03E5">
        <w:t xml:space="preserve"> of N</w:t>
      </w:r>
      <w:r w:rsidRPr="006A4A5A">
        <w:t>á</w:t>
      </w:r>
      <w:r w:rsidRPr="008F03E5">
        <w:t>ṣ</w:t>
      </w:r>
      <w:r>
        <w:t>i</w:t>
      </w:r>
      <w:r w:rsidRPr="008F03E5">
        <w:t xml:space="preserve">r ad-Dín </w:t>
      </w:r>
      <w:r w:rsidRPr="008F03E5">
        <w:rPr>
          <w:u w:val="single"/>
        </w:rPr>
        <w:t>Sh</w:t>
      </w:r>
      <w:r w:rsidRPr="008F03E5">
        <w:t>áh</w:t>
      </w:r>
      <w:r>
        <w:t xml:space="preserve"> still living when their father died</w:t>
      </w:r>
      <w:r w:rsidRPr="008F03E5">
        <w:t>.</w:t>
      </w:r>
    </w:p>
    <w:p w14:paraId="260E1B62" w14:textId="77777777" w:rsidR="00625A5B" w:rsidRDefault="00625A5B" w:rsidP="00E023D4">
      <w:pPr>
        <w:pStyle w:val="Translit"/>
      </w:pPr>
      <w:r>
        <w:t xml:space="preserve">Nayin, </w:t>
      </w:r>
      <w:r w:rsidRPr="00342043">
        <w:t>N</w:t>
      </w:r>
      <w:r>
        <w:t>a</w:t>
      </w:r>
      <w:r w:rsidRPr="00342043">
        <w:t>’</w:t>
      </w:r>
      <w:r>
        <w:t>i</w:t>
      </w:r>
      <w:r w:rsidRPr="00342043">
        <w:t>n</w:t>
      </w:r>
      <w:r>
        <w:t xml:space="preserve"> (</w:t>
      </w:r>
      <w:r w:rsidRPr="00342043">
        <w:t>Nain</w:t>
      </w:r>
      <w:r>
        <w:t>,</w:t>
      </w:r>
      <w:r w:rsidRPr="00342043">
        <w:t xml:space="preserve"> N</w:t>
      </w:r>
      <w:r>
        <w:t>a</w:t>
      </w:r>
      <w:r w:rsidRPr="00342043">
        <w:t>ein</w:t>
      </w:r>
      <w:r>
        <w:t>, Naeen)</w:t>
      </w:r>
      <w:r>
        <w:tab/>
        <w:t>N</w:t>
      </w:r>
      <w:r w:rsidRPr="00F704BD">
        <w:t>á</w:t>
      </w:r>
      <w:r>
        <w:t>yin, N</w:t>
      </w:r>
      <w:r w:rsidRPr="00F704BD">
        <w:t>á</w:t>
      </w:r>
      <w:r>
        <w:t>’</w:t>
      </w:r>
      <w:r w:rsidRPr="00F704BD">
        <w:t>í</w:t>
      </w:r>
      <w:r>
        <w:t>n</w:t>
      </w:r>
      <w:r>
        <w:tab/>
      </w:r>
      <w:r w:rsidRPr="008F03E5">
        <w:t>far, far away, distant, remote; outlying, out-of-the-way, secluded</w:t>
      </w:r>
      <w:r>
        <w:t>.  A city (</w:t>
      </w:r>
      <w:r w:rsidRPr="000D58FB">
        <w:t>32.863669, 53.094312</w:t>
      </w:r>
      <w:r>
        <w:t>), 138 km east if I</w:t>
      </w:r>
      <w:r w:rsidRPr="00342043">
        <w:t>ṣ</w:t>
      </w:r>
      <w:r>
        <w:t>fah</w:t>
      </w:r>
      <w:r w:rsidRPr="00342043">
        <w:t>á</w:t>
      </w:r>
      <w:r>
        <w:t xml:space="preserve">n, in Isfahan Province.  </w:t>
      </w:r>
      <w:r w:rsidRPr="00B357ED">
        <w:t>Ḥá</w:t>
      </w:r>
      <w:r>
        <w:t>j</w:t>
      </w:r>
      <w:r w:rsidRPr="00B357ED">
        <w:t>í</w:t>
      </w:r>
      <w:r>
        <w:t xml:space="preserve"> </w:t>
      </w:r>
      <w:r w:rsidRPr="00B357ED">
        <w:t>Ḥ</w:t>
      </w:r>
      <w:r>
        <w:t>asan-i-N</w:t>
      </w:r>
      <w:r w:rsidRPr="00B357ED">
        <w:t>á</w:t>
      </w:r>
      <w:r>
        <w:t>yin</w:t>
      </w:r>
      <w:r w:rsidRPr="00B357ED">
        <w:t>í</w:t>
      </w:r>
      <w:r w:rsidRPr="008F03E5">
        <w:t>, a disciple of Aḥmad-i-Aḥsá’í</w:t>
      </w:r>
      <w:r>
        <w:t xml:space="preserve">, forecast in </w:t>
      </w:r>
      <w:r w:rsidRPr="00F704BD">
        <w:rPr>
          <w:sz w:val="16"/>
          <w:szCs w:val="16"/>
        </w:rPr>
        <w:t>AH</w:t>
      </w:r>
      <w:r>
        <w:t xml:space="preserve"> 1235 (</w:t>
      </w:r>
      <w:r w:rsidRPr="00F704BD">
        <w:rPr>
          <w:sz w:val="16"/>
          <w:szCs w:val="16"/>
        </w:rPr>
        <w:t>CE</w:t>
      </w:r>
      <w:r>
        <w:t xml:space="preserve"> 1817) that the “</w:t>
      </w:r>
      <w:r w:rsidRPr="000771B2">
        <w:t>light of the promised One has broken</w:t>
      </w:r>
      <w:r>
        <w:t>”.</w:t>
      </w:r>
    </w:p>
    <w:p w14:paraId="063D506D" w14:textId="77777777" w:rsidR="00625A5B" w:rsidRPr="008F03E5" w:rsidRDefault="00625A5B" w:rsidP="00156288">
      <w:pPr>
        <w:pStyle w:val="Translit"/>
      </w:pPr>
      <w:r w:rsidRPr="008F03E5">
        <w:t>Nayriz (Niriz)</w:t>
      </w:r>
      <w:r w:rsidRPr="008F03E5">
        <w:tab/>
        <w:t>Nayríz (Níríz)</w:t>
      </w:r>
      <w:r w:rsidRPr="008F03E5">
        <w:tab/>
        <w:t xml:space="preserve">city (29.199749, 54.327396) in the province of Fárs, 175 km </w:t>
      </w:r>
      <w:r w:rsidRPr="008F03E5">
        <w:rPr>
          <w:sz w:val="16"/>
          <w:szCs w:val="16"/>
        </w:rPr>
        <w:t>ESE</w:t>
      </w:r>
      <w:r w:rsidRPr="008F03E5">
        <w:t xml:space="preserve"> of </w:t>
      </w:r>
      <w:r w:rsidRPr="008F03E5">
        <w:rPr>
          <w:u w:val="single"/>
        </w:rPr>
        <w:t>Sh</w:t>
      </w:r>
      <w:r w:rsidRPr="008F03E5">
        <w:t>íráz.  Nayríz was a major producer of weapons due to manufacture of steel from iron ore brought from Parpá (29.266445, 55.034851), 69 miles to the east.  1846 population was 10,000, divided into 4 quarters separated by orchards:  Áb-i-Zartu</w:t>
      </w:r>
      <w:r w:rsidRPr="008F03E5">
        <w:rPr>
          <w:u w:val="single"/>
        </w:rPr>
        <w:t>sh</w:t>
      </w:r>
      <w:r w:rsidRPr="008F03E5">
        <w:t xml:space="preserve">t (far </w:t>
      </w:r>
      <w:r w:rsidRPr="008F03E5">
        <w:rPr>
          <w:sz w:val="16"/>
          <w:szCs w:val="16"/>
        </w:rPr>
        <w:t>SW</w:t>
      </w:r>
      <w:r w:rsidRPr="008F03E5">
        <w:t xml:space="preserve">); Bázár (north); </w:t>
      </w:r>
      <w:r w:rsidRPr="008F03E5">
        <w:rPr>
          <w:u w:val="single"/>
        </w:rPr>
        <w:t>Ch</w:t>
      </w:r>
      <w:r w:rsidRPr="008F03E5">
        <w:t>inár-Sú</w:t>
      </w:r>
      <w:r w:rsidRPr="008F03E5">
        <w:rPr>
          <w:u w:val="single"/>
        </w:rPr>
        <w:t>kh</w:t>
      </w:r>
      <w:r w:rsidRPr="008F03E5">
        <w:t xml:space="preserve">tih (ancient name </w:t>
      </w:r>
      <w:r w:rsidRPr="008F03E5">
        <w:rPr>
          <w:u w:val="single"/>
        </w:rPr>
        <w:t>Ch</w:t>
      </w:r>
      <w:r w:rsidRPr="008F03E5">
        <w:t>inár-</w:t>
      </w:r>
      <w:r w:rsidRPr="008F03E5">
        <w:rPr>
          <w:u w:val="single"/>
        </w:rPr>
        <w:t>Sh</w:t>
      </w:r>
      <w:r w:rsidRPr="008F03E5">
        <w:t>áhí, south); and Sádát, otherwise known as Ku</w:t>
      </w:r>
      <w:r w:rsidRPr="008F03E5">
        <w:rPr>
          <w:u w:val="single"/>
        </w:rPr>
        <w:t>ch</w:t>
      </w:r>
      <w:r w:rsidRPr="008F03E5">
        <w:t>ih Bálá (north).</w:t>
      </w:r>
    </w:p>
    <w:p w14:paraId="7943268F" w14:textId="77777777" w:rsidR="00625A5B" w:rsidRPr="008F03E5" w:rsidRDefault="00625A5B" w:rsidP="00443E86">
      <w:pPr>
        <w:pStyle w:val="Translit"/>
      </w:pPr>
      <w:r w:rsidRPr="008F03E5">
        <w:t>Nayyir (Naiyir), Narrira</w:t>
      </w:r>
      <w:r w:rsidRPr="008F03E5">
        <w:tab/>
        <w:t>Nayyir, fem. Nayyira[h or t], pl. Nayyirát</w:t>
      </w:r>
      <w:r w:rsidRPr="008F03E5">
        <w:tab/>
        <w:t xml:space="preserve">(Pers. also Nayyirih) luminous; shining, brilliant; lighted, illuminated, brightly lit, full of light; clear, plain, distinct (“Nayer, Neyerre, Nayyereh”).  Dual Nayyirayn.  Famous Bahá’í poet Áqá Sayyid Maḥmúd Nayyir (1262/1846–1327/1909), Nayyir is a </w:t>
      </w:r>
      <w:r w:rsidRPr="008F03E5">
        <w:rPr>
          <w:i/>
          <w:iCs/>
        </w:rPr>
        <w:t>nom de guerre</w:t>
      </w:r>
      <w:r w:rsidRPr="008F03E5">
        <w:t>, born in Sidih, brother of Síná.</w:t>
      </w:r>
    </w:p>
    <w:p w14:paraId="202B284C" w14:textId="77777777" w:rsidR="00625A5B" w:rsidRPr="008F03E5" w:rsidRDefault="00625A5B" w:rsidP="00516209">
      <w:pPr>
        <w:pStyle w:val="Translit"/>
      </w:pPr>
      <w:r w:rsidRPr="008F03E5">
        <w:t>Naz</w:t>
      </w:r>
      <w:r w:rsidRPr="008F03E5">
        <w:tab/>
        <w:t>Náz</w:t>
      </w:r>
      <w:r w:rsidRPr="008F03E5">
        <w:tab/>
        <w:t>Pers. glory, glorification; pride, consequential airs, boasting; blandishments, soothing or endearing expressions used by lovers, or by parents to children, coquetry, amorous playfulness, feigned disdain; elegance, gracefulness; beneficence; dissimulation; delicacy, softness; young, fresh, tender, newly sprung up; a wild pine-tree, cypress, or box.  Name of ‘Abdu’l-Bahá’s donkey (died late 1920s).</w:t>
      </w:r>
    </w:p>
    <w:p w14:paraId="32B5B81D" w14:textId="77777777" w:rsidR="00625A5B" w:rsidRPr="008F03E5" w:rsidRDefault="00625A5B" w:rsidP="004457C6">
      <w:pPr>
        <w:pStyle w:val="Translit"/>
      </w:pPr>
      <w:r w:rsidRPr="008F03E5">
        <w:t>Nazala, Nuzul</w:t>
      </w:r>
      <w:r w:rsidRPr="008F03E5">
        <w:tab/>
        <w:t>Nazala, Nuzúl</w:t>
      </w:r>
      <w:r w:rsidRPr="008F03E5">
        <w:tab/>
        <w:t>to dismount, alight; to descend, go down, come down, move down, get down, step down, climb down; to get off (e.g., a train), get out, step out (e.g., of a car), debark, disembark (from a vessel); to put down, land (airplane); to fall (rain); to descend from heaven, be revealed (especially the Qur’án); to fall, sink, sag (prices), drop (water level); to subside, abate, let up, decrease; to stop, or halt, for a rest, to camp; to stop, stop over, take lodgings, lodge, room</w:t>
      </w:r>
    </w:p>
    <w:p w14:paraId="0064F579" w14:textId="77777777" w:rsidR="00625A5B" w:rsidRPr="008F03E5" w:rsidRDefault="00625A5B" w:rsidP="000F3C08">
      <w:pPr>
        <w:pStyle w:val="Translit"/>
      </w:pPr>
      <w:r w:rsidRPr="008F03E5">
        <w:t>Nazar, Anzar</w:t>
      </w:r>
      <w:r w:rsidRPr="008F03E5">
        <w:tab/>
        <w:t>Naẓar, pl. Anẓár</w:t>
      </w:r>
      <w:r w:rsidRPr="008F03E5">
        <w:tab/>
        <w:t>seeing, eyesight, vision; look, glance, gaze; sight; outlook, prospect; view; aspect; appearance, evidence; insight, discernment, penetration; perception; contemplation; examination (of); inspection, study, perusal; consideration, reflection; philosophical speculation; theory; handling (of a matter); trial, hearing (of a case in court); supervision, control, surveillance; competence, jurisdiction; attention, heed, regard, notice, observance.  Mírzá Naẓar ‘Alí</w:t>
      </w:r>
    </w:p>
    <w:p w14:paraId="3C29DAA1" w14:textId="77777777" w:rsidR="00625A5B" w:rsidRPr="008F03E5" w:rsidRDefault="00625A5B" w:rsidP="006C7BF4">
      <w:pPr>
        <w:pStyle w:val="Translit"/>
      </w:pPr>
      <w:r w:rsidRPr="008F03E5">
        <w:t>Nazariya</w:t>
      </w:r>
      <w:r w:rsidRPr="008F03E5">
        <w:tab/>
        <w:t>Naẓaríya[h or t]</w:t>
      </w:r>
      <w:r w:rsidRPr="008F03E5">
        <w:tab/>
        <w:t>theory; theorem; reflection, meditation, contemplation</w:t>
      </w:r>
    </w:p>
    <w:p w14:paraId="2CB52AC2" w14:textId="77777777" w:rsidR="00625A5B" w:rsidRPr="008F03E5" w:rsidRDefault="00625A5B" w:rsidP="006C7BF4">
      <w:pPr>
        <w:pStyle w:val="Translit"/>
      </w:pPr>
      <w:r w:rsidRPr="001457C8">
        <w:rPr>
          <w:lang w:val="it-IT"/>
        </w:rPr>
        <w:t>Nazi’atun, Naziat</w:t>
      </w:r>
      <w:r w:rsidRPr="001457C8">
        <w:rPr>
          <w:lang w:val="it-IT"/>
        </w:rPr>
        <w:tab/>
        <w:t xml:space="preserve">Názi‘atun, pl. </w:t>
      </w:r>
      <w:r w:rsidRPr="008F03E5">
        <w:t>Názi‘át</w:t>
      </w:r>
      <w:r w:rsidRPr="008F03E5">
        <w:tab/>
        <w:t>(fem.) she who strives, pulls out or discards</w:t>
      </w:r>
    </w:p>
    <w:p w14:paraId="3D36154A" w14:textId="77777777" w:rsidR="00625A5B" w:rsidRPr="008F03E5" w:rsidRDefault="00625A5B" w:rsidP="0062684C">
      <w:pPr>
        <w:pStyle w:val="Translit"/>
      </w:pPr>
      <w:r w:rsidRPr="008F03E5">
        <w:t>Nazih, Nuzaha’, Nizah</w:t>
      </w:r>
      <w:r w:rsidRPr="008F03E5">
        <w:tab/>
        <w:t>Nazih &amp; Nazíh, pl. Nuzahá’, Nizáh</w:t>
      </w:r>
      <w:r w:rsidRPr="008F03E5">
        <w:tab/>
        <w:t>pure, chaste, blameless, above reproach, of unblemished record, decent, honourable, respectable; honest, upright, righteous; scrupulous, correct; impartial</w:t>
      </w:r>
    </w:p>
    <w:p w14:paraId="5EDB964A" w14:textId="77777777" w:rsidR="00625A5B" w:rsidRPr="008F03E5" w:rsidRDefault="00625A5B" w:rsidP="0033698B">
      <w:pPr>
        <w:pStyle w:val="Translit"/>
      </w:pPr>
      <w:r w:rsidRPr="008F03E5">
        <w:t>Nazim, Nawazim</w:t>
      </w:r>
      <w:r w:rsidRPr="008F03E5">
        <w:tab/>
        <w:t>Náẓim, pl. Nawáẓim</w:t>
      </w:r>
      <w:r w:rsidRPr="008F03E5">
        <w:tab/>
        <w:t>arranger; organizer, adjuster; regulator; versifier, poet; weir, barrage</w:t>
      </w:r>
    </w:p>
    <w:p w14:paraId="29218FFE" w14:textId="77777777" w:rsidR="00625A5B" w:rsidRPr="008F03E5" w:rsidRDefault="00625A5B" w:rsidP="00307C81">
      <w:pPr>
        <w:pStyle w:val="Translit"/>
      </w:pPr>
      <w:r w:rsidRPr="008F03E5">
        <w:t>Nazimu’l-Hukama</w:t>
      </w:r>
      <w:r w:rsidRPr="008F03E5">
        <w:tab/>
        <w:t>Náẓimu’l-Ḥukama</w:t>
      </w:r>
      <w:r w:rsidRPr="008F03E5">
        <w:tab/>
        <w:t>wise arranger</w:t>
      </w:r>
    </w:p>
    <w:p w14:paraId="079DC776" w14:textId="77777777" w:rsidR="00625A5B" w:rsidRPr="008F03E5" w:rsidRDefault="00625A5B" w:rsidP="00F120CC">
      <w:pPr>
        <w:pStyle w:val="Translit"/>
      </w:pPr>
      <w:r w:rsidRPr="008F03E5">
        <w:t>Nazir, Nuzara’, Naza’r</w:t>
      </w:r>
      <w:r w:rsidRPr="008F03E5">
        <w:tab/>
        <w:t>Naẓír, pl. Nuẓará’, fem. pl. Naẓá’r</w:t>
      </w:r>
      <w:r w:rsidRPr="008F03E5">
        <w:tab/>
        <w:t>similar, like, same, equal, matching, corresponding, comparable; an equivalent; facings opposites parallel; (with foll. genit.) in the manner of, in the same manner as, just like, just as; transcript, copy</w:t>
      </w:r>
    </w:p>
    <w:p w14:paraId="4AF9B895" w14:textId="77777777" w:rsidR="00625A5B" w:rsidRPr="008F03E5" w:rsidRDefault="00625A5B" w:rsidP="00746ACA">
      <w:pPr>
        <w:pStyle w:val="Translit"/>
      </w:pPr>
      <w:r w:rsidRPr="008F03E5">
        <w:t>Nazir, Nuzzar</w:t>
      </w:r>
      <w:r w:rsidRPr="008F03E5">
        <w:tab/>
        <w:t>Náẓir, pl. Nuẓẓár</w:t>
      </w:r>
      <w:r w:rsidRPr="008F03E5">
        <w:tab/>
        <w:t>observer, viewer, spectator, onlooker; overseer, supervisor; inspector; manager, director, superintendent, administrator, principal, chief.  náẓir al-waqf trustee of a waqf, administrator of a religious endowment.</w:t>
      </w:r>
    </w:p>
    <w:p w14:paraId="692B073D" w14:textId="77777777" w:rsidR="00625A5B" w:rsidRPr="008F03E5" w:rsidRDefault="00625A5B" w:rsidP="00680FBA">
      <w:pPr>
        <w:pStyle w:val="Translit"/>
      </w:pPr>
      <w:r w:rsidRPr="008F03E5">
        <w:t>Nazm</w:t>
      </w:r>
      <w:r w:rsidRPr="008F03E5">
        <w:tab/>
        <w:t>Naẓm</w:t>
      </w:r>
      <w:r w:rsidRPr="008F03E5">
        <w:tab/>
        <w:t>order; arrangement; system; institution, organisation; string of pearls; verse, poetry</w:t>
      </w:r>
    </w:p>
    <w:p w14:paraId="32C1AA91" w14:textId="77777777" w:rsidR="00625A5B" w:rsidRPr="008F03E5" w:rsidRDefault="00625A5B" w:rsidP="00D707E7">
      <w:pPr>
        <w:pStyle w:val="Translit"/>
      </w:pPr>
      <w:r w:rsidRPr="008F03E5">
        <w:t>Nazuk</w:t>
      </w:r>
      <w:r w:rsidRPr="008F03E5">
        <w:tab/>
        <w:t>Názuk</w:t>
      </w:r>
      <w:r w:rsidRPr="008F03E5">
        <w:tab/>
        <w:t>Pers. thin, slender, subtle, tender, delicate, fragile, light, elegant; clean, neat, ornamented</w:t>
      </w:r>
    </w:p>
    <w:p w14:paraId="4AB95CBC" w14:textId="77777777" w:rsidR="00625A5B" w:rsidRPr="008F03E5" w:rsidRDefault="00625A5B" w:rsidP="00FD3E85">
      <w:pPr>
        <w:pStyle w:val="Translit"/>
      </w:pPr>
      <w:r w:rsidRPr="008F03E5">
        <w:t>Nazur, Nadur (Nador)</w:t>
      </w:r>
      <w:r w:rsidRPr="008F03E5">
        <w:tab/>
        <w:t>Náẓúr</w:t>
      </w:r>
      <w:r w:rsidRPr="008F03E5">
        <w:tab/>
        <w:t>field glass; a watchman, a watcher; seeing, observing, inspecting.  an-Náẓúr or an-Náḍúr (Nador) is a coastal city and provincial capital in the north-eastern Rif region of Morocco.  1961–1963 persecution of Bahá’ís.</w:t>
      </w:r>
    </w:p>
    <w:p w14:paraId="44276CE4" w14:textId="77777777" w:rsidR="00625A5B" w:rsidRPr="008F03E5" w:rsidRDefault="00625A5B" w:rsidP="007F2B43">
      <w:pPr>
        <w:pStyle w:val="Translit"/>
      </w:pPr>
      <w:r w:rsidRPr="008F03E5">
        <w:t>Ni’ma, Ni’am, An’um, Ni’mat, Ni’amat</w:t>
      </w:r>
      <w:r w:rsidRPr="008F03E5">
        <w:tab/>
        <w:t>Ni‘ma[t], pl. Ni‘am, An‘um, Ni‘mát, Ni‘imát</w:t>
      </w:r>
      <w:r w:rsidRPr="008F03E5">
        <w:tab/>
        <w:t>benefit, blessing, boon, benefaction, favour, grace, kindness</w:t>
      </w:r>
    </w:p>
    <w:p w14:paraId="37894371" w14:textId="77777777" w:rsidR="00625A5B" w:rsidRPr="008F03E5" w:rsidRDefault="00625A5B" w:rsidP="001351FA">
      <w:pPr>
        <w:pStyle w:val="Translit"/>
      </w:pPr>
      <w:r w:rsidRPr="008F03E5">
        <w:t>Ni’mati</w:t>
      </w:r>
      <w:r w:rsidRPr="008F03E5">
        <w:tab/>
        <w:t>Ni‘matí</w:t>
      </w:r>
      <w:r w:rsidRPr="008F03E5">
        <w:tab/>
        <w:t>Pers. (Ar influence) good things, comforts, riches; iron on the sole of a shoe</w:t>
      </w:r>
    </w:p>
    <w:p w14:paraId="27ED0D02" w14:textId="77777777" w:rsidR="00625A5B" w:rsidRPr="008F03E5" w:rsidRDefault="00625A5B" w:rsidP="00681733">
      <w:pPr>
        <w:pStyle w:val="Translit"/>
      </w:pPr>
      <w:r w:rsidRPr="008F03E5">
        <w:t>Ni’matu’llah, Ni’matu’llah</w:t>
      </w:r>
      <w:r w:rsidRPr="008F03E5">
        <w:tab/>
        <w:t>Ni‘matu’lláh, pl. Ni‘mátu’lláh</w:t>
      </w:r>
      <w:r w:rsidRPr="008F03E5">
        <w:tab/>
        <w:t>Blessing of God.  Ni‘matu’lláh-i-Mázindarání.</w:t>
      </w:r>
    </w:p>
    <w:p w14:paraId="4C18E017" w14:textId="77777777" w:rsidR="00625A5B" w:rsidRPr="00A43908" w:rsidRDefault="00625A5B" w:rsidP="008243FE">
      <w:pPr>
        <w:pStyle w:val="Translit"/>
      </w:pPr>
      <w:r w:rsidRPr="008F03E5">
        <w:t>Ni’matu’llahi, Ni’matu’llahi</w:t>
      </w:r>
      <w:r w:rsidRPr="008F03E5">
        <w:tab/>
        <w:t>Ni‘matu’lláhí, pl. Ni‘mátu’lláhí</w:t>
      </w:r>
      <w:r w:rsidRPr="008F03E5">
        <w:tab/>
        <w:t xml:space="preserve">Pers. </w:t>
      </w:r>
      <w:r>
        <w:t xml:space="preserve">Sunni </w:t>
      </w:r>
      <w:r w:rsidRPr="008F03E5">
        <w:t>sufi order founder</w:t>
      </w:r>
      <w:r>
        <w:t>ed by</w:t>
      </w:r>
      <w:r w:rsidRPr="008F03E5">
        <w:t xml:space="preserve"> </w:t>
      </w:r>
      <w:r w:rsidRPr="008F03E5">
        <w:rPr>
          <w:u w:val="single"/>
        </w:rPr>
        <w:t>Sh</w:t>
      </w:r>
      <w:r w:rsidRPr="008F03E5">
        <w:t>áh Ni‘matu’lláh (Núr ad-Dín Ni’matulláh Walí).</w:t>
      </w:r>
      <w:r>
        <w:t xml:space="preserve">  </w:t>
      </w:r>
      <w:r w:rsidRPr="002251E6">
        <w:t xml:space="preserve">The followers of this order are known as </w:t>
      </w:r>
      <w:r w:rsidRPr="008F03E5">
        <w:t>Ni‘mátu’lláhí</w:t>
      </w:r>
      <w:r w:rsidRPr="002251E6">
        <w:t xml:space="preserve"> and they have a strong tradition </w:t>
      </w:r>
      <w:r w:rsidRPr="00A43908">
        <w:t>of spiritual discipline and self-purification.  They reject seclusion and quietism</w:t>
      </w:r>
      <w:r>
        <w:t>,</w:t>
      </w:r>
      <w:r w:rsidRPr="00A43908">
        <w:t xml:space="preserve"> and </w:t>
      </w:r>
      <w:r w:rsidRPr="008243FE">
        <w:t xml:space="preserve">strive to serve society </w:t>
      </w:r>
      <w:r>
        <w:t>and to have</w:t>
      </w:r>
      <w:r w:rsidRPr="00A43908">
        <w:t xml:space="preserve"> a meaningful participation </w:t>
      </w:r>
      <w:r>
        <w:t>with it</w:t>
      </w:r>
      <w:r w:rsidRPr="00A43908">
        <w:t xml:space="preserve">. </w:t>
      </w:r>
      <w:r>
        <w:t xml:space="preserve"> </w:t>
      </w:r>
      <w:r w:rsidRPr="00A43908">
        <w:t>Compare with the Ḥaydaríya</w:t>
      </w:r>
      <w:r>
        <w:t xml:space="preserve"> sufi order</w:t>
      </w:r>
      <w:r w:rsidRPr="00A43908">
        <w:t>.</w:t>
      </w:r>
    </w:p>
    <w:p w14:paraId="7159AE71" w14:textId="77777777" w:rsidR="00625A5B" w:rsidRPr="008F03E5" w:rsidRDefault="00625A5B" w:rsidP="007E25AB">
      <w:pPr>
        <w:pStyle w:val="Translit"/>
      </w:pPr>
      <w:r w:rsidRPr="008F03E5">
        <w:t>Nida’, Nidat</w:t>
      </w:r>
      <w:r w:rsidRPr="008F03E5">
        <w:tab/>
        <w:t>Nidá’, pl. Nidát</w:t>
      </w:r>
      <w:r w:rsidRPr="008F03E5">
        <w:tab/>
        <w:t>shout; call; exclamation; summons; public announcement; proclamation, appeal; address; vocative (grammar).  Fem. name.</w:t>
      </w:r>
    </w:p>
    <w:p w14:paraId="188607F5" w14:textId="77777777" w:rsidR="00625A5B" w:rsidRPr="008F03E5" w:rsidRDefault="00625A5B" w:rsidP="00AE73E2">
      <w:pPr>
        <w:pStyle w:val="Translit"/>
      </w:pPr>
      <w:r w:rsidRPr="008F03E5">
        <w:t>Nigar</w:t>
      </w:r>
      <w:r w:rsidRPr="008F03E5">
        <w:tab/>
        <w:t>Nigár</w:t>
      </w:r>
      <w:r w:rsidRPr="008F03E5">
        <w:tab/>
        <w:t>fem. name.  Paint thou; (in compounds) painting, painted; a picture, portrait, effigy, or idol; dye, paint; an idea; a beautiful woman, a mistress, a sweetheart; beauty</w:t>
      </w:r>
    </w:p>
    <w:p w14:paraId="68EC12D9" w14:textId="77777777" w:rsidR="00625A5B" w:rsidRPr="008F03E5" w:rsidRDefault="00625A5B" w:rsidP="00AE73E2">
      <w:pPr>
        <w:pStyle w:val="Translit"/>
      </w:pPr>
      <w:r w:rsidRPr="008F03E5">
        <w:t>Nigin</w:t>
      </w:r>
      <w:r w:rsidRPr="008F03E5">
        <w:tab/>
        <w:t>Nigín</w:t>
      </w:r>
      <w:r w:rsidRPr="008F03E5">
        <w:tab/>
        <w:t>Pers. a ring, especially the seal-ring of a prince; a precious stone set in a ring, a bezel</w:t>
      </w:r>
    </w:p>
    <w:p w14:paraId="439C0EA9" w14:textId="77777777" w:rsidR="00625A5B" w:rsidRPr="008F03E5" w:rsidRDefault="00625A5B" w:rsidP="008962D6">
      <w:pPr>
        <w:pStyle w:val="Translit"/>
      </w:pPr>
      <w:r w:rsidRPr="008F03E5">
        <w:t>Nih nih Jan</w:t>
      </w:r>
      <w:r w:rsidRPr="008F03E5">
        <w:tab/>
        <w:t>Nih nih Ján</w:t>
      </w:r>
      <w:r w:rsidRPr="008F03E5">
        <w:tab/>
        <w:t>Pers. (Neh-neh jan) “Grandma dear”</w:t>
      </w:r>
    </w:p>
    <w:p w14:paraId="54EB3E96" w14:textId="77777777" w:rsidR="00625A5B" w:rsidRPr="008F03E5" w:rsidRDefault="00625A5B" w:rsidP="00FC3C2E">
      <w:pPr>
        <w:pStyle w:val="Translit"/>
      </w:pPr>
      <w:r w:rsidRPr="008F03E5">
        <w:t>Nihal (Nahal), Nihalun, Nihal-ha</w:t>
      </w:r>
      <w:r w:rsidRPr="008F03E5">
        <w:tab/>
        <w:t>Nihál, pl. Nihálún, Nihál-há</w:t>
      </w:r>
      <w:r w:rsidRPr="008F03E5">
        <w:tab/>
        <w:t>Pers. a young plant, shoot, seedling, sucker cut from a tree to be planted separately; any plant or herb transplanted; growing from the root of a tree; carpet, cushion, mattress, bedding; chase, game.  In Arabic, water from springs, i.e. “source of life”, symbolically “to drink from the source of knowledge”.  Therefore, “eager to get knowledge”.  Also means beautiful, handsome, and intelligent.</w:t>
      </w:r>
    </w:p>
    <w:p w14:paraId="5FCCEE7C" w14:textId="77777777" w:rsidR="00625A5B" w:rsidRPr="008F03E5" w:rsidRDefault="00625A5B" w:rsidP="0040699B">
      <w:pPr>
        <w:pStyle w:val="Translit"/>
      </w:pPr>
      <w:r w:rsidRPr="008F03E5">
        <w:t>Niham</w:t>
      </w:r>
      <w:r w:rsidRPr="008F03E5">
        <w:tab/>
        <w:t>Niḥám</w:t>
      </w:r>
      <w:r w:rsidRPr="008F03E5">
        <w:tab/>
        <w:t>Hebrew? sorrow or regret</w:t>
      </w:r>
    </w:p>
    <w:p w14:paraId="53E5FDC3" w14:textId="77777777" w:rsidR="00625A5B" w:rsidRPr="008F03E5" w:rsidRDefault="00625A5B" w:rsidP="000939A2">
      <w:pPr>
        <w:pStyle w:val="Translit"/>
      </w:pPr>
      <w:r w:rsidRPr="008F03E5">
        <w:t>Nik, Nika</w:t>
      </w:r>
      <w:r w:rsidRPr="008F03E5">
        <w:tab/>
        <w:t>Ník, fem. Níká</w:t>
      </w:r>
      <w:r w:rsidRPr="008F03E5">
        <w:tab/>
        <w:t>Pers. good, beautiful, excellent; lucky, much, many; very, exceedingly</w:t>
      </w:r>
    </w:p>
    <w:p w14:paraId="3944FF34" w14:textId="77777777" w:rsidR="00625A5B" w:rsidRPr="008F03E5" w:rsidRDefault="00625A5B" w:rsidP="00B236F8">
      <w:pPr>
        <w:pStyle w:val="Translit"/>
        <w:rPr>
          <w:rFonts w:eastAsia="PMingLiU"/>
          <w:lang w:eastAsia="zh-TW"/>
        </w:rPr>
      </w:pPr>
      <w:r w:rsidRPr="008F03E5">
        <w:rPr>
          <w:rFonts w:eastAsia="PMingLiU"/>
          <w:lang w:eastAsia="zh-TW"/>
        </w:rPr>
        <w:t>Nikah</w:t>
      </w:r>
      <w:r w:rsidRPr="008F03E5">
        <w:rPr>
          <w:rFonts w:eastAsia="PMingLiU"/>
          <w:lang w:eastAsia="zh-TW"/>
        </w:rPr>
        <w:tab/>
        <w:t>Nikáḥ</w:t>
      </w:r>
      <w:r w:rsidRPr="008F03E5">
        <w:rPr>
          <w:rFonts w:eastAsia="PMingLiU"/>
          <w:lang w:eastAsia="zh-TW"/>
        </w:rPr>
        <w:tab/>
        <w:t>marriage; marriage contract; matrimony, wedlock</w:t>
      </w:r>
    </w:p>
    <w:p w14:paraId="26FF2DCE" w14:textId="77777777" w:rsidR="00625A5B" w:rsidRPr="008F03E5" w:rsidRDefault="00625A5B" w:rsidP="002E22D1">
      <w:pPr>
        <w:pStyle w:val="Translit"/>
      </w:pPr>
      <w:r w:rsidRPr="008F03E5">
        <w:rPr>
          <w:rFonts w:eastAsia="PMingLiU"/>
          <w:lang w:eastAsia="zh-TW"/>
        </w:rPr>
        <w:t>Niku</w:t>
      </w:r>
      <w:r w:rsidRPr="008F03E5">
        <w:rPr>
          <w:rFonts w:eastAsia="PMingLiU"/>
          <w:lang w:eastAsia="zh-TW"/>
        </w:rPr>
        <w:tab/>
        <w:t>N</w:t>
      </w:r>
      <w:r w:rsidRPr="008F03E5">
        <w:t>í</w:t>
      </w:r>
      <w:r w:rsidRPr="008F03E5">
        <w:rPr>
          <w:rFonts w:eastAsia="PMingLiU"/>
          <w:lang w:eastAsia="zh-TW"/>
        </w:rPr>
        <w:t>k</w:t>
      </w:r>
      <w:r w:rsidRPr="008F03E5">
        <w:t>ú</w:t>
      </w:r>
      <w:r w:rsidRPr="008F03E5">
        <w:rPr>
          <w:rFonts w:eastAsia="PMingLiU"/>
          <w:lang w:eastAsia="zh-TW"/>
        </w:rPr>
        <w:tab/>
        <w:t>Pers. g</w:t>
      </w:r>
      <w:r w:rsidRPr="008F03E5">
        <w:t>ood; beautiful, elegant; much; well; excellently, elegantly</w:t>
      </w:r>
      <w:r w:rsidRPr="008F03E5">
        <w:rPr>
          <w:rFonts w:eastAsia="PMingLiU"/>
          <w:lang w:eastAsia="zh-TW"/>
        </w:rPr>
        <w:t xml:space="preserve">.  </w:t>
      </w:r>
      <w:r w:rsidRPr="008F03E5">
        <w:t xml:space="preserve">Ḥasan Níkú visited India as a Bahá’í teacher and went to Haifa in 1923.  Ávárih had a great influence on him, and Ḥájj Mírzá Ḥasan Níkú eventually joined him in apostatizing from the Bahá’í Faith and attacking it publicly.  Ḥasan Níkú published the three-volume </w:t>
      </w:r>
      <w:r w:rsidRPr="008F03E5">
        <w:rPr>
          <w:i/>
          <w:iCs/>
        </w:rPr>
        <w:t>Falsafiy-i-Níkú</w:t>
      </w:r>
      <w:r w:rsidRPr="008F03E5">
        <w:t xml:space="preserve"> (Philosophy of Níkú), which attacked the Bahá’í Faith.  See ník.</w:t>
      </w:r>
    </w:p>
    <w:p w14:paraId="268D0F5B" w14:textId="77777777" w:rsidR="00625A5B" w:rsidRPr="008F03E5" w:rsidRDefault="00625A5B" w:rsidP="003706E5">
      <w:pPr>
        <w:pStyle w:val="Translit"/>
      </w:pPr>
      <w:r w:rsidRPr="008F03E5">
        <w:t>Nil</w:t>
      </w:r>
      <w:r w:rsidRPr="008F03E5">
        <w:tab/>
        <w:t>Níl</w:t>
      </w:r>
      <w:r w:rsidRPr="008F03E5">
        <w:tab/>
        <w:t>an-Níl, the Nile; an-Nihr Níl, the Nile River</w:t>
      </w:r>
    </w:p>
    <w:p w14:paraId="0C92CF88" w14:textId="77777777" w:rsidR="00625A5B" w:rsidRPr="008F03E5" w:rsidRDefault="00625A5B" w:rsidP="00730889">
      <w:pPr>
        <w:pStyle w:val="Translit"/>
      </w:pPr>
      <w:r w:rsidRPr="008F03E5">
        <w:t>Nim Award (Nim Avard)</w:t>
      </w:r>
      <w:r w:rsidRPr="008F03E5">
        <w:tab/>
        <w:t>Ním Áward (Pers. Ním Ávard)</w:t>
      </w:r>
      <w:r w:rsidRPr="008F03E5">
        <w:tab/>
        <w:t>Pers. Madrasa Ním Áward (</w:t>
      </w:r>
      <w:r>
        <w:t>Nimaward Islamic S</w:t>
      </w:r>
      <w:r w:rsidRPr="008F03E5">
        <w:t>chool) (</w:t>
      </w:r>
      <w:r w:rsidRPr="00730889">
        <w:t>32.665595, 51.678965</w:t>
      </w:r>
      <w:r w:rsidRPr="008F03E5">
        <w:t>) in Iṣfahán</w:t>
      </w:r>
    </w:p>
    <w:p w14:paraId="77305418" w14:textId="77777777" w:rsidR="00625A5B" w:rsidRPr="008F03E5" w:rsidRDefault="00625A5B" w:rsidP="00D0111F">
      <w:pPr>
        <w:pStyle w:val="Translit"/>
      </w:pPr>
      <w:r w:rsidRPr="008F03E5">
        <w:t>Nimrud (Nimrod), Namrud</w:t>
      </w:r>
      <w:r w:rsidRPr="008F03E5">
        <w:tab/>
        <w:t>Nimrúd, Namrúd</w:t>
      </w:r>
      <w:r w:rsidRPr="008F03E5">
        <w:tab/>
        <w:t xml:space="preserve">an ancient Assyrian city (36°05′53″ </w:t>
      </w:r>
      <w:r w:rsidRPr="008F03E5">
        <w:rPr>
          <w:sz w:val="16"/>
          <w:szCs w:val="16"/>
        </w:rPr>
        <w:t>N</w:t>
      </w:r>
      <w:r w:rsidRPr="008F03E5">
        <w:t xml:space="preserve"> 43°19′44″ </w:t>
      </w:r>
      <w:r w:rsidRPr="008F03E5">
        <w:rPr>
          <w:sz w:val="16"/>
          <w:szCs w:val="16"/>
        </w:rPr>
        <w:t>E</w:t>
      </w:r>
      <w:r w:rsidRPr="008F03E5">
        <w:t xml:space="preserve">) located 3 km east of the Tigris River, and 32 km </w:t>
      </w:r>
      <w:r w:rsidRPr="008F03E5">
        <w:rPr>
          <w:sz w:val="16"/>
          <w:szCs w:val="16"/>
        </w:rPr>
        <w:t>SE</w:t>
      </w:r>
      <w:r w:rsidRPr="008F03E5">
        <w:t xml:space="preserve"> of Mosul.  an-Namrúd, a biblical figure described as a king in the land of Shinar (Hebrew name for southern Mesopotamia), was, according to the Book of Genesis and Books of Chronicles, the son of Cush, the son of Ham, son of Noah.  His name is used by Bahá’u’lláh as a metaphor for a “tyrant king”.</w:t>
      </w:r>
    </w:p>
    <w:p w14:paraId="141705B2" w14:textId="77777777" w:rsidR="00625A5B" w:rsidRPr="008F03E5" w:rsidRDefault="00625A5B" w:rsidP="009241D9">
      <w:pPr>
        <w:pStyle w:val="Translit"/>
        <w:rPr>
          <w:rFonts w:eastAsia="PMingLiU"/>
          <w:lang w:eastAsia="zh-TW"/>
        </w:rPr>
      </w:pPr>
      <w:r w:rsidRPr="008F03E5">
        <w:rPr>
          <w:rFonts w:eastAsia="PMingLiU"/>
          <w:lang w:eastAsia="zh-TW"/>
        </w:rPr>
        <w:t>Nimsa</w:t>
      </w:r>
      <w:r w:rsidRPr="008F03E5">
        <w:rPr>
          <w:rFonts w:eastAsia="PMingLiU"/>
          <w:lang w:eastAsia="zh-TW"/>
        </w:rPr>
        <w:tab/>
        <w:t>an-Nims</w:t>
      </w:r>
      <w:r w:rsidRPr="008F03E5">
        <w:t>á</w:t>
      </w:r>
      <w:r w:rsidRPr="008F03E5">
        <w:tab/>
        <w:t>Austria.  From Ottoman Turkish, which is from a Slavic word meaning “mute” or “not speaking their Slavic language”, i.e. their “Austrian” neighbours.  KA, para. 85.</w:t>
      </w:r>
    </w:p>
    <w:p w14:paraId="52424392" w14:textId="77777777" w:rsidR="00625A5B" w:rsidRPr="008F03E5" w:rsidRDefault="00625A5B" w:rsidP="00771E2A">
      <w:pPr>
        <w:pStyle w:val="Translit"/>
        <w:rPr>
          <w:rFonts w:eastAsia="PMingLiU"/>
          <w:lang w:eastAsia="zh-TW"/>
        </w:rPr>
      </w:pPr>
      <w:r w:rsidRPr="008F03E5">
        <w:rPr>
          <w:rFonts w:eastAsia="PMingLiU"/>
          <w:lang w:eastAsia="zh-TW"/>
        </w:rPr>
        <w:t>Niqab</w:t>
      </w:r>
      <w:r w:rsidRPr="008F03E5">
        <w:rPr>
          <w:rFonts w:eastAsia="PMingLiU"/>
          <w:lang w:eastAsia="zh-TW"/>
        </w:rPr>
        <w:tab/>
        <w:t>Niq</w:t>
      </w:r>
      <w:r w:rsidRPr="008F03E5">
        <w:t>á</w:t>
      </w:r>
      <w:r w:rsidRPr="008F03E5">
        <w:rPr>
          <w:rFonts w:eastAsia="PMingLiU"/>
          <w:lang w:eastAsia="zh-TW"/>
        </w:rPr>
        <w:t>b</w:t>
      </w:r>
      <w:r w:rsidRPr="008F03E5">
        <w:rPr>
          <w:rFonts w:eastAsia="PMingLiU"/>
          <w:lang w:eastAsia="zh-TW"/>
        </w:rPr>
        <w:tab/>
        <w:t>cloth covering face of women</w:t>
      </w:r>
    </w:p>
    <w:p w14:paraId="532723EF" w14:textId="77777777" w:rsidR="00625A5B" w:rsidRPr="008F03E5" w:rsidRDefault="00625A5B" w:rsidP="003706E5">
      <w:pPr>
        <w:pStyle w:val="Translit"/>
      </w:pPr>
      <w:r w:rsidRPr="008F03E5">
        <w:t>Niru</w:t>
      </w:r>
      <w:r w:rsidRPr="008F03E5">
        <w:tab/>
        <w:t>Nírú</w:t>
      </w:r>
      <w:r w:rsidRPr="008F03E5">
        <w:tab/>
        <w:t>Pers. strength, power; possibility, probability.  Nírú</w:t>
      </w:r>
      <w:r>
        <w:t>y</w:t>
      </w:r>
      <w:r w:rsidRPr="008F03E5">
        <w:t>-i-intiẓámí</w:t>
      </w:r>
      <w:r>
        <w:t>y</w:t>
      </w:r>
      <w:r w:rsidRPr="008F03E5">
        <w:t>-i-jumhúrí</w:t>
      </w:r>
      <w:r>
        <w:t>y</w:t>
      </w:r>
      <w:r w:rsidRPr="008F03E5">
        <w:t>-i-islámí</w:t>
      </w:r>
      <w:r>
        <w:t>y</w:t>
      </w:r>
      <w:r w:rsidRPr="008F03E5">
        <w:t>-i-Írán (</w:t>
      </w:r>
      <w:r w:rsidRPr="008F03E5">
        <w:rPr>
          <w:sz w:val="16"/>
          <w:szCs w:val="16"/>
        </w:rPr>
        <w:t>NAJA</w:t>
      </w:r>
      <w:r w:rsidRPr="008F03E5">
        <w:t>) the Law Enforcement Force of the Islamic Republic of Iran or Disciplinary Force of the Islamic Republic of Iran—the uniformed police force in Iran.</w:t>
      </w:r>
    </w:p>
    <w:p w14:paraId="1F9A773F" w14:textId="77777777" w:rsidR="00625A5B" w:rsidRPr="008F03E5" w:rsidRDefault="00625A5B" w:rsidP="00AB2D99">
      <w:pPr>
        <w:pStyle w:val="Translit"/>
      </w:pPr>
      <w:r w:rsidRPr="008F03E5">
        <w:t>Nirumand</w:t>
      </w:r>
      <w:r w:rsidRPr="008F03E5">
        <w:tab/>
        <w:t>Nírúmand</w:t>
      </w:r>
      <w:r w:rsidRPr="008F03E5">
        <w:tab/>
        <w:t>Pers. powerful; rich, prosperous</w:t>
      </w:r>
    </w:p>
    <w:p w14:paraId="03DD6330" w14:textId="77777777" w:rsidR="00625A5B" w:rsidRPr="008F03E5" w:rsidRDefault="00625A5B" w:rsidP="006A4A35">
      <w:pPr>
        <w:pStyle w:val="Translit"/>
      </w:pPr>
      <w:r w:rsidRPr="008F03E5">
        <w:t>Nisab, Nisabat, Nusub</w:t>
      </w:r>
      <w:r w:rsidRPr="008F03E5">
        <w:tab/>
        <w:t>Niṣáb, pl. Niṣábát, Nuṣúb</w:t>
      </w:r>
      <w:r w:rsidRPr="008F03E5">
        <w:tab/>
        <w:t>origin, beginning; (Islamic Law) minimum amount of property liable to payment of the zakáh tax; minimum number or amount; quorum;—pl. sword hilt, knife handle, sabre guard</w:t>
      </w:r>
    </w:p>
    <w:p w14:paraId="5F32DDDC" w14:textId="77777777" w:rsidR="00625A5B" w:rsidRPr="008F03E5" w:rsidRDefault="00625A5B" w:rsidP="00454C38">
      <w:pPr>
        <w:pStyle w:val="Translit"/>
      </w:pPr>
      <w:r w:rsidRPr="008F03E5">
        <w:t>Nisan, Naysan (Naisan)</w:t>
      </w:r>
      <w:r w:rsidRPr="008F03E5">
        <w:tab/>
        <w:t>Nisan (Heb., Assyrian), Naysán (Ar.)</w:t>
      </w:r>
      <w:r w:rsidRPr="008F03E5">
        <w:tab/>
        <w:t>first month of Assyrian calendar (“month of happiness”) and Hebrew ecclesiastical year, and the seventh month (eighth, in leap year) of the Hebrew civil year.</w:t>
      </w:r>
    </w:p>
    <w:p w14:paraId="3D762E51" w14:textId="77777777" w:rsidR="00625A5B" w:rsidRPr="008F03E5" w:rsidRDefault="00625A5B" w:rsidP="00B621CC">
      <w:pPr>
        <w:pStyle w:val="Translit"/>
      </w:pPr>
      <w:r w:rsidRPr="008F03E5">
        <w:t>Nisba, Nisab</w:t>
      </w:r>
      <w:r w:rsidRPr="008F03E5">
        <w:tab/>
        <w:t>Nisba[t], Nisab</w:t>
      </w:r>
      <w:r w:rsidRPr="008F03E5">
        <w:tab/>
        <w:t>ascription, attribution, imputation; kinship, relationship, affinity, relationship by marriage; connection, link; agreement, conformity, affinity;—pl. relation, reference, bearing; ratio, rate; measure; proportion (mathematics); percentage; adjective denoting descent or origin, ending in -yya (Ar.) and -yyih (Pers.)</w:t>
      </w:r>
    </w:p>
    <w:p w14:paraId="79DBBAC1" w14:textId="77777777" w:rsidR="00625A5B" w:rsidRPr="008F03E5" w:rsidRDefault="00625A5B" w:rsidP="00270D58">
      <w:pPr>
        <w:pStyle w:val="Translit"/>
      </w:pPr>
      <w:r w:rsidRPr="008F03E5">
        <w:t>Nisf, Ansaf</w:t>
      </w:r>
      <w:r w:rsidRPr="008F03E5">
        <w:tab/>
        <w:t>Niṣf, pl. Anṣáf</w:t>
      </w:r>
      <w:r w:rsidRPr="008F03E5">
        <w:tab/>
        <w:t>half, moiety; middle;—pl. halves</w:t>
      </w:r>
    </w:p>
    <w:p w14:paraId="7D987C70" w14:textId="77777777" w:rsidR="00625A5B" w:rsidRPr="008F03E5" w:rsidRDefault="00625A5B" w:rsidP="00BB74FF">
      <w:pPr>
        <w:pStyle w:val="Translit"/>
      </w:pPr>
      <w:r w:rsidRPr="008F03E5">
        <w:t>Nisfi</w:t>
      </w:r>
      <w:r w:rsidRPr="008F03E5">
        <w:tab/>
        <w:t>Niṣfí</w:t>
      </w:r>
      <w:r w:rsidRPr="008F03E5">
        <w:tab/>
        <w:t>half-, semi-, hemi-, demi-</w:t>
      </w:r>
    </w:p>
    <w:p w14:paraId="5DEADE54" w14:textId="77777777" w:rsidR="00625A5B" w:rsidRPr="008F03E5" w:rsidRDefault="00625A5B" w:rsidP="00426EE9">
      <w:pPr>
        <w:pStyle w:val="Translit"/>
      </w:pPr>
      <w:r w:rsidRPr="008F03E5">
        <w:t>Nisf-i-Jahan (</w:t>
      </w:r>
      <w:r w:rsidRPr="008F03E5">
        <w:rPr>
          <w:rFonts w:eastAsia="PMingLiU"/>
          <w:lang w:eastAsia="zh-TW"/>
        </w:rPr>
        <w:t>Nisf-i-Jihan</w:t>
      </w:r>
      <w:r w:rsidRPr="008F03E5">
        <w:t>)</w:t>
      </w:r>
      <w:r w:rsidRPr="008F03E5">
        <w:tab/>
        <w:t>Niṣf-i-Jahán (</w:t>
      </w:r>
      <w:r w:rsidRPr="008F03E5">
        <w:rPr>
          <w:rFonts w:eastAsia="PMingLiU"/>
          <w:lang w:eastAsia="zh-TW"/>
        </w:rPr>
        <w:t>Ni</w:t>
      </w:r>
      <w:r w:rsidRPr="008F03E5">
        <w:t>ṣ</w:t>
      </w:r>
      <w:r w:rsidRPr="008F03E5">
        <w:rPr>
          <w:rFonts w:eastAsia="PMingLiU"/>
          <w:lang w:eastAsia="zh-TW"/>
        </w:rPr>
        <w:t>f-i-Jihán)</w:t>
      </w:r>
      <w:r w:rsidRPr="008F03E5">
        <w:tab/>
        <w:t>half the world</w:t>
      </w:r>
    </w:p>
    <w:p w14:paraId="16603048" w14:textId="77777777" w:rsidR="00625A5B" w:rsidRPr="008F03E5" w:rsidRDefault="00625A5B" w:rsidP="00815F38">
      <w:pPr>
        <w:pStyle w:val="Translit"/>
      </w:pPr>
      <w:r w:rsidRPr="008F03E5">
        <w:t>Nishan</w:t>
      </w:r>
      <w:r w:rsidRPr="008F03E5">
        <w:tab/>
        <w:t>Ni</w:t>
      </w:r>
      <w:r w:rsidRPr="008F03E5">
        <w:rPr>
          <w:u w:val="single"/>
        </w:rPr>
        <w:t>sh</w:t>
      </w:r>
      <w:r w:rsidRPr="008F03E5">
        <w:t>án and Ní</w:t>
      </w:r>
      <w:r w:rsidRPr="008F03E5">
        <w:rPr>
          <w:u w:val="single"/>
        </w:rPr>
        <w:t>sh</w:t>
      </w:r>
      <w:r w:rsidRPr="008F03E5">
        <w:t>an, pl. Naya</w:t>
      </w:r>
      <w:r w:rsidRPr="008F03E5">
        <w:rPr>
          <w:u w:val="single"/>
        </w:rPr>
        <w:t>sh</w:t>
      </w:r>
      <w:r w:rsidRPr="008F03E5">
        <w:t>ín</w:t>
      </w:r>
      <w:r w:rsidRPr="008F03E5">
        <w:tab/>
        <w:t>sign; mark; aim, goal; target; decoration, medal, order; (e.g.) bridal attire</w:t>
      </w:r>
    </w:p>
    <w:p w14:paraId="032905FD" w14:textId="77777777" w:rsidR="00625A5B" w:rsidRPr="008F03E5" w:rsidRDefault="00625A5B" w:rsidP="003B7D9D">
      <w:pPr>
        <w:pStyle w:val="Translit"/>
      </w:pPr>
      <w:r w:rsidRPr="008F03E5">
        <w:t>Nishapur or Nishabur (Neyshabur)</w:t>
      </w:r>
      <w:r w:rsidRPr="008F03E5">
        <w:tab/>
        <w:t>Ní</w:t>
      </w:r>
      <w:r w:rsidRPr="008F03E5">
        <w:rPr>
          <w:u w:val="single"/>
        </w:rPr>
        <w:t>sh</w:t>
      </w:r>
      <w:r w:rsidRPr="008F03E5">
        <w:t>ápúr</w:t>
      </w:r>
      <w:r w:rsidRPr="008F03E5">
        <w:tab/>
        <w:t>a town in northeast Persia 74 km west of Ma</w:t>
      </w:r>
      <w:r w:rsidRPr="008F03E5">
        <w:rPr>
          <w:u w:val="single"/>
        </w:rPr>
        <w:t>sh</w:t>
      </w:r>
      <w:r w:rsidRPr="008F03E5">
        <w:t>had, famous for its emerald mines.  Named Madínatu’r-Riḍván (City of Paradise) by Bahá’u’lláh.</w:t>
      </w:r>
    </w:p>
    <w:p w14:paraId="57D7677E" w14:textId="77777777" w:rsidR="00625A5B" w:rsidRPr="008F03E5" w:rsidRDefault="00625A5B" w:rsidP="00B545E7">
      <w:pPr>
        <w:pStyle w:val="Translit"/>
      </w:pPr>
      <w:r w:rsidRPr="008F03E5">
        <w:t>Nisibin</w:t>
      </w:r>
      <w:r w:rsidRPr="008F03E5">
        <w:tab/>
        <w:t>Niṣíbín</w:t>
      </w:r>
      <w:r w:rsidRPr="008F03E5">
        <w:tab/>
        <w:t>Nusaybin, city in eastern Türkiye</w:t>
      </w:r>
    </w:p>
    <w:p w14:paraId="7DAA2989" w14:textId="77777777" w:rsidR="00625A5B" w:rsidRPr="008F03E5" w:rsidRDefault="00625A5B" w:rsidP="00DD768B">
      <w:pPr>
        <w:pStyle w:val="Translit"/>
      </w:pPr>
      <w:r w:rsidRPr="008F03E5">
        <w:t>Nissa</w:t>
      </w:r>
      <w:r w:rsidRPr="008F03E5">
        <w:tab/>
        <w:t>Nissá</w:t>
      </w:r>
      <w:r w:rsidRPr="008F03E5">
        <w:tab/>
        <w:t>ancient city (Nisa) near Ashgabat in Turkmenistan</w:t>
      </w:r>
    </w:p>
    <w:p w14:paraId="040858AC" w14:textId="77777777" w:rsidR="00625A5B" w:rsidRPr="008F03E5" w:rsidRDefault="00625A5B" w:rsidP="001973E5">
      <w:pPr>
        <w:pStyle w:val="Translit"/>
      </w:pPr>
      <w:r w:rsidRPr="008F03E5">
        <w:t>Nist</w:t>
      </w:r>
      <w:r w:rsidRPr="008F03E5">
        <w:tab/>
        <w:t>Níst</w:t>
      </w:r>
      <w:r w:rsidRPr="008F03E5">
        <w:tab/>
        <w:t>Pers. it is not; nought; annihilation</w:t>
      </w:r>
    </w:p>
    <w:p w14:paraId="4F3E612D" w14:textId="77777777" w:rsidR="00625A5B" w:rsidRPr="008F03E5" w:rsidRDefault="00625A5B" w:rsidP="00F2037D">
      <w:pPr>
        <w:pStyle w:val="Translit"/>
      </w:pPr>
      <w:r w:rsidRPr="008F03E5">
        <w:t>Nist-Pul</w:t>
      </w:r>
      <w:r w:rsidRPr="008F03E5">
        <w:tab/>
        <w:t>Níst-Púl</w:t>
      </w:r>
      <w:r w:rsidRPr="008F03E5">
        <w:tab/>
        <w:t>Pers. “no money”</w:t>
      </w:r>
    </w:p>
    <w:p w14:paraId="2722D903" w14:textId="77777777" w:rsidR="00625A5B" w:rsidRPr="008F03E5" w:rsidRDefault="00625A5B" w:rsidP="00C63E49">
      <w:pPr>
        <w:pStyle w:val="Translit"/>
      </w:pPr>
      <w:r w:rsidRPr="008F03E5">
        <w:t>Niya (Nia), Niyat, Nawaya</w:t>
      </w:r>
      <w:r w:rsidRPr="008F03E5">
        <w:tab/>
        <w:t>Níya[t], pl. Níyát, Nawáyá</w:t>
      </w:r>
      <w:r w:rsidRPr="008F03E5">
        <w:tab/>
        <w:t>intention, intent, design, purpose, plan, scheme; determination, will, volition, direction of will; tendency, inclination, desire</w:t>
      </w:r>
    </w:p>
    <w:p w14:paraId="7EEBFD83" w14:textId="77777777" w:rsidR="00625A5B" w:rsidRPr="008F03E5" w:rsidRDefault="00625A5B" w:rsidP="00EB58F7">
      <w:pPr>
        <w:pStyle w:val="Translit"/>
      </w:pPr>
      <w:r w:rsidRPr="008F03E5">
        <w:t>Niyaba</w:t>
      </w:r>
      <w:r w:rsidRPr="008F03E5">
        <w:tab/>
        <w:t>Niyába[h or t]</w:t>
      </w:r>
      <w:r w:rsidRPr="008F03E5">
        <w:tab/>
        <w:t>representation, replacement, substitution, proxy, deputyship; branch office, branch, agency; delegation; prosecution, office of the district attorney.  Prophethood.</w:t>
      </w:r>
    </w:p>
    <w:p w14:paraId="3E6977FC" w14:textId="77777777" w:rsidR="00625A5B" w:rsidRPr="008F03E5" w:rsidRDefault="00625A5B" w:rsidP="000B6113">
      <w:pPr>
        <w:pStyle w:val="Translit"/>
      </w:pPr>
      <w:r w:rsidRPr="008F03E5">
        <w:t>Niyabi</w:t>
      </w:r>
      <w:r w:rsidRPr="008F03E5">
        <w:tab/>
        <w:t>Niyabí</w:t>
      </w:r>
      <w:r w:rsidRPr="008F03E5">
        <w:tab/>
        <w:t>vicarious, deputed, delegated; representative</w:t>
      </w:r>
    </w:p>
    <w:p w14:paraId="6F2CDFE0" w14:textId="77777777" w:rsidR="00625A5B" w:rsidRPr="008F03E5" w:rsidRDefault="00625A5B" w:rsidP="00A71CA2">
      <w:pPr>
        <w:pStyle w:val="Translit"/>
      </w:pPr>
      <w:r w:rsidRPr="008F03E5">
        <w:t>Niyakan (Neyakan, Niakan)</w:t>
      </w:r>
      <w:r w:rsidRPr="008F03E5">
        <w:tab/>
        <w:t>Níyákán</w:t>
      </w:r>
      <w:r w:rsidRPr="008F03E5">
        <w:tab/>
        <w:t>village about 143 km west of Iṣfahán (</w:t>
      </w:r>
      <w:r w:rsidRPr="008F03E5">
        <w:rPr>
          <w:lang w:eastAsia="en-US"/>
        </w:rPr>
        <w:t>32.558738, 50.134880</w:t>
      </w:r>
      <w:r w:rsidRPr="008F03E5">
        <w:t>)</w:t>
      </w:r>
    </w:p>
    <w:p w14:paraId="279592B5" w14:textId="77777777" w:rsidR="00625A5B" w:rsidRPr="008F03E5" w:rsidRDefault="00625A5B" w:rsidP="000C14B3">
      <w:pPr>
        <w:pStyle w:val="Translit"/>
      </w:pPr>
      <w:r w:rsidRPr="008F03E5">
        <w:t>Niyala, Niala, Hiala, Nitala</w:t>
      </w:r>
      <w:r w:rsidRPr="008F03E5">
        <w:tab/>
        <w:t>Níyálá, Níálá, Híálá, Nitálá</w:t>
      </w:r>
      <w:r w:rsidRPr="008F03E5">
        <w:tab/>
        <w:t xml:space="preserve">(Neyálá, Netálá) a village </w:t>
      </w:r>
      <w:r>
        <w:t>(</w:t>
      </w:r>
      <w:r w:rsidRPr="000C14B3">
        <w:t>36.618731, 53.822835</w:t>
      </w:r>
      <w:r>
        <w:t xml:space="preserve">) </w:t>
      </w:r>
      <w:r w:rsidRPr="008F03E5">
        <w:t>in Mazandaran Province, Iran</w:t>
      </w:r>
      <w:r>
        <w:t xml:space="preserve">, </w:t>
      </w:r>
      <w:r w:rsidRPr="008F03E5">
        <w:t xml:space="preserve">70 km east of Sárí and 105 km </w:t>
      </w:r>
      <w:r w:rsidRPr="008F03E5">
        <w:rPr>
          <w:sz w:val="16"/>
          <w:szCs w:val="16"/>
        </w:rPr>
        <w:t>ENW</w:t>
      </w:r>
      <w:r w:rsidRPr="008F03E5">
        <w:t xml:space="preserve"> of </w:t>
      </w:r>
      <w:r w:rsidRPr="008F03E5">
        <w:rPr>
          <w:u w:val="single"/>
        </w:rPr>
        <w:t>Sh</w:t>
      </w:r>
      <w:r w:rsidRPr="008F03E5">
        <w:t>áhrúd (36.618933, 53.822311)</w:t>
      </w:r>
    </w:p>
    <w:p w14:paraId="3029E6AC" w14:textId="77777777" w:rsidR="00625A5B" w:rsidRPr="008F03E5" w:rsidRDefault="00625A5B" w:rsidP="007E0997">
      <w:pPr>
        <w:pStyle w:val="Translit"/>
      </w:pPr>
      <w:r w:rsidRPr="008F03E5">
        <w:t>Niyavaran (Niavaran, Neyaveran)</w:t>
      </w:r>
      <w:r w:rsidRPr="008F03E5">
        <w:tab/>
        <w:t>Níyávarán</w:t>
      </w:r>
      <w:r w:rsidRPr="008F03E5">
        <w:tab/>
        <w:t xml:space="preserve">a former village in </w:t>
      </w:r>
      <w:r w:rsidRPr="008F03E5">
        <w:rPr>
          <w:u w:val="single"/>
        </w:rPr>
        <w:t>Sh</w:t>
      </w:r>
      <w:r w:rsidRPr="008F03E5">
        <w:t>imírán District, now an affluent, upper class district to the north of Ṭihrán (</w:t>
      </w:r>
      <w:r w:rsidRPr="008F03E5">
        <w:rPr>
          <w:lang w:eastAsia="en-US"/>
        </w:rPr>
        <w:t>35.816168, 51.469760</w:t>
      </w:r>
      <w:r w:rsidRPr="008F03E5">
        <w:t>).</w:t>
      </w:r>
      <w:r>
        <w:t xml:space="preserve">  The </w:t>
      </w:r>
      <w:r>
        <w:rPr>
          <w:u w:val="single"/>
        </w:rPr>
        <w:t>S</w:t>
      </w:r>
      <w:r w:rsidRPr="008F03E5">
        <w:rPr>
          <w:u w:val="single"/>
        </w:rPr>
        <w:t>h</w:t>
      </w:r>
      <w:r w:rsidRPr="008F03E5">
        <w:t>áh</w:t>
      </w:r>
      <w:r>
        <w:t>’s summer palace (</w:t>
      </w:r>
      <w:r w:rsidRPr="007E0997">
        <w:t>35.811873, 51.47330</w:t>
      </w:r>
      <w:r>
        <w:t>8) is in this area.</w:t>
      </w:r>
    </w:p>
    <w:p w14:paraId="528321CF" w14:textId="77777777" w:rsidR="00625A5B" w:rsidRPr="008F03E5" w:rsidRDefault="00625A5B" w:rsidP="004A4FF4">
      <w:pPr>
        <w:pStyle w:val="Translit"/>
      </w:pPr>
      <w:r w:rsidRPr="008F03E5">
        <w:t>Niyaz (Niaz), Niyazan</w:t>
      </w:r>
      <w:r w:rsidRPr="008F03E5">
        <w:tab/>
        <w:t>Niyáz (Pers, Bahá’í Níyáz), pl. Niyázán</w:t>
      </w:r>
      <w:r w:rsidRPr="008F03E5">
        <w:tab/>
        <w:t>Pers. indigence, poverty, necessity; petition, supplication, prayer; inclination wish, longing appetite; greediness; dearness, scarcity; a friend; a gift, present; a thing dedicated; needy, wishful; a petitioner; sound, whole; rough</w:t>
      </w:r>
    </w:p>
    <w:p w14:paraId="0BB4ED6D" w14:textId="77777777" w:rsidR="00625A5B" w:rsidRPr="008F03E5" w:rsidRDefault="00625A5B" w:rsidP="00CF7E88">
      <w:pPr>
        <w:pStyle w:val="Translit"/>
      </w:pPr>
      <w:r w:rsidRPr="008F03E5">
        <w:t>Niyaz-i-Baghdadi</w:t>
      </w:r>
      <w:r w:rsidRPr="008F03E5">
        <w:tab/>
        <w:t>Níyáz-i-Ba</w:t>
      </w:r>
      <w:r w:rsidRPr="008F03E5">
        <w:rPr>
          <w:u w:val="single"/>
        </w:rPr>
        <w:t>gh</w:t>
      </w:r>
      <w:r w:rsidRPr="008F03E5">
        <w:t>dádí</w:t>
      </w:r>
      <w:r w:rsidRPr="008F03E5">
        <w:tab/>
        <w:t>Ḥájí Níyáz-i-Ba</w:t>
      </w:r>
      <w:r w:rsidRPr="008F03E5">
        <w:rPr>
          <w:u w:val="single"/>
        </w:rPr>
        <w:t>gh</w:t>
      </w:r>
      <w:r w:rsidRPr="008F03E5">
        <w:t>dádí</w:t>
      </w:r>
    </w:p>
    <w:p w14:paraId="37051F4D" w14:textId="77777777" w:rsidR="00625A5B" w:rsidRPr="008F03E5" w:rsidRDefault="00625A5B" w:rsidP="00A64B91">
      <w:pPr>
        <w:pStyle w:val="Translit"/>
      </w:pPr>
      <w:r w:rsidRPr="008F03E5">
        <w:t>Nizam, Nizamat, Nuzum, Anzima</w:t>
      </w:r>
      <w:r w:rsidRPr="008F03E5">
        <w:tab/>
        <w:t>Niẓám, pl. Niẓámát, Nuẓum, Anẓima</w:t>
      </w:r>
      <w:r w:rsidRPr="008F03E5">
        <w:tab/>
        <w:t>proper arrangement, regularity; conformity, congruity; methodical, organic structure; organization; order; method; system; rule, statute, law; system of regulations.  Used as a name or title in conjunction with another word, i.e. Niẓámu’l-‘Ulamá</w:t>
      </w:r>
      <w:r>
        <w:t>’</w:t>
      </w:r>
      <w:r w:rsidRPr="008F03E5">
        <w:t>, Niẓámu’l-Mulk, or Amír-Niẓám.</w:t>
      </w:r>
    </w:p>
    <w:p w14:paraId="5A8EA95C" w14:textId="77777777" w:rsidR="00625A5B" w:rsidRPr="008F03E5" w:rsidRDefault="00625A5B" w:rsidP="00313C58">
      <w:pPr>
        <w:pStyle w:val="Translit"/>
      </w:pPr>
      <w:r w:rsidRPr="008F03E5">
        <w:t>Nizami</w:t>
      </w:r>
      <w:r w:rsidRPr="008F03E5">
        <w:tab/>
        <w:t>Niẓámí</w:t>
      </w:r>
      <w:r w:rsidRPr="008F03E5">
        <w:tab/>
        <w:t>orderly, regular, normal; methodical, systematic; regular (army).  Niẓámí Ganjaví, (‘Niẓámí of Ganja’) (1141–1209), formal name Jamál ad-Dín Abú Muḥammad Ilyás ibn-Yúsuf ibn-Zakkí, was a 12th-century Persian Sunni Muslim poet.</w:t>
      </w:r>
    </w:p>
    <w:p w14:paraId="2E0406D7" w14:textId="77777777" w:rsidR="00625A5B" w:rsidRPr="008F03E5" w:rsidRDefault="00625A5B" w:rsidP="009C4842">
      <w:pPr>
        <w:pStyle w:val="Translit"/>
      </w:pPr>
      <w:r w:rsidRPr="008F03E5">
        <w:t>Nizamu’d-Dawl</w:t>
      </w:r>
      <w:r>
        <w:t>a</w:t>
      </w:r>
      <w:r w:rsidRPr="008F03E5">
        <w:tab/>
        <w:t>Niẓámu’d-Dawl</w:t>
      </w:r>
      <w:r>
        <w:t>a</w:t>
      </w:r>
      <w:r w:rsidRPr="008F03E5">
        <w:tab/>
      </w:r>
      <w:r>
        <w:t>“Order of the state”</w:t>
      </w:r>
    </w:p>
    <w:p w14:paraId="6B872677" w14:textId="77777777" w:rsidR="00625A5B" w:rsidRPr="008F03E5" w:rsidRDefault="00625A5B" w:rsidP="00900A82">
      <w:pPr>
        <w:pStyle w:val="Translit"/>
        <w:rPr>
          <w:rFonts w:eastAsia="PMingLiU"/>
          <w:lang w:eastAsia="zh-TW"/>
        </w:rPr>
      </w:pPr>
      <w:r w:rsidRPr="008F03E5">
        <w:rPr>
          <w:rFonts w:eastAsia="PMingLiU"/>
          <w:lang w:eastAsia="zh-TW"/>
        </w:rPr>
        <w:t>Nizamu’d-Din</w:t>
      </w:r>
      <w:r w:rsidRPr="008F03E5">
        <w:tab/>
      </w:r>
      <w:r w:rsidRPr="008F03E5">
        <w:rPr>
          <w:rFonts w:eastAsia="PMingLiU"/>
          <w:lang w:eastAsia="zh-TW"/>
        </w:rPr>
        <w:t>Ni</w:t>
      </w:r>
      <w:r w:rsidRPr="008F03E5">
        <w:t>ẓ</w:t>
      </w:r>
      <w:r w:rsidRPr="008F03E5">
        <w:rPr>
          <w:rFonts w:eastAsia="PMingLiU"/>
          <w:lang w:eastAsia="zh-TW"/>
        </w:rPr>
        <w:t>ámu’d-Dín</w:t>
      </w:r>
      <w:r w:rsidRPr="008F03E5">
        <w:tab/>
      </w:r>
      <w:r w:rsidRPr="008F03E5">
        <w:rPr>
          <w:lang w:eastAsia="en-US"/>
        </w:rPr>
        <w:t xml:space="preserve">Niẓámu’d-Dín </w:t>
      </w:r>
      <w:r w:rsidRPr="008F03E5">
        <w:rPr>
          <w:u w:val="single"/>
          <w:lang w:eastAsia="en-US"/>
        </w:rPr>
        <w:t>Kh</w:t>
      </w:r>
      <w:r w:rsidRPr="008F03E5">
        <w:rPr>
          <w:lang w:eastAsia="en-US"/>
        </w:rPr>
        <w:t>án was an uncle of Ali-Kuli Khan</w:t>
      </w:r>
    </w:p>
    <w:p w14:paraId="3ADBA48F" w14:textId="77777777" w:rsidR="00625A5B" w:rsidRPr="008F03E5" w:rsidRDefault="00625A5B" w:rsidP="00900A82">
      <w:pPr>
        <w:pStyle w:val="Translit"/>
      </w:pPr>
      <w:r w:rsidRPr="008F03E5">
        <w:t>Nizamu’l</w:t>
      </w:r>
      <w:r w:rsidRPr="008F03E5">
        <w:rPr>
          <w:rFonts w:eastAsia="PMingLiU"/>
          <w:lang w:eastAsia="zh-TW"/>
        </w:rPr>
        <w:t>-‘</w:t>
      </w:r>
      <w:r w:rsidRPr="008F03E5">
        <w:t>Ulama</w:t>
      </w:r>
      <w:r>
        <w:t>’</w:t>
      </w:r>
      <w:r w:rsidRPr="008F03E5">
        <w:tab/>
        <w:t>Niẓámu’l-‘Ulamá</w:t>
      </w:r>
      <w:r>
        <w:t>’</w:t>
      </w:r>
      <w:r w:rsidRPr="008F03E5">
        <w:tab/>
        <w:t>“the one who puts order among the learned”</w:t>
      </w:r>
    </w:p>
    <w:p w14:paraId="1744C90F" w14:textId="77777777" w:rsidR="00625A5B" w:rsidRPr="008F03E5" w:rsidRDefault="00625A5B" w:rsidP="00315E4D">
      <w:pPr>
        <w:pStyle w:val="Translit"/>
      </w:pPr>
      <w:r w:rsidRPr="008F03E5">
        <w:t>Nizar</w:t>
      </w:r>
      <w:r w:rsidRPr="008F03E5">
        <w:tab/>
        <w:t>Nizár</w:t>
      </w:r>
      <w:r w:rsidRPr="008F03E5">
        <w:tab/>
        <w:t>Pers. thin, slim, slender; lean, spare; flesh without fat; weak, distressed</w:t>
      </w:r>
    </w:p>
    <w:p w14:paraId="44E20663" w14:textId="77777777" w:rsidR="00625A5B" w:rsidRPr="008F03E5" w:rsidRDefault="00625A5B" w:rsidP="00D97B19">
      <w:pPr>
        <w:pStyle w:val="Translit"/>
      </w:pPr>
      <w:r w:rsidRPr="008F03E5">
        <w:t>Nizari</w:t>
      </w:r>
      <w:r w:rsidRPr="008F03E5">
        <w:tab/>
        <w:t>Nizárí</w:t>
      </w:r>
      <w:r w:rsidRPr="008F03E5">
        <w:tab/>
        <w:t>Pers. (Ar. influence) leanness, slenderness</w:t>
      </w:r>
    </w:p>
    <w:p w14:paraId="2E1BD7D0" w14:textId="77777777" w:rsidR="00625A5B" w:rsidRPr="008F03E5" w:rsidRDefault="00625A5B" w:rsidP="00A02DAD">
      <w:pPr>
        <w:pStyle w:val="Translit"/>
      </w:pPr>
      <w:r w:rsidRPr="008F03E5">
        <w:t>Nizhad, Nizhada</w:t>
      </w:r>
      <w:r w:rsidRPr="008F03E5">
        <w:tab/>
        <w:t>Ni</w:t>
      </w:r>
      <w:r w:rsidRPr="008F03E5">
        <w:rPr>
          <w:u w:val="single"/>
        </w:rPr>
        <w:t>zh</w:t>
      </w:r>
      <w:r w:rsidRPr="008F03E5">
        <w:t>ád, fem. Ni</w:t>
      </w:r>
      <w:r w:rsidRPr="008F03E5">
        <w:rPr>
          <w:u w:val="single"/>
        </w:rPr>
        <w:t>zh</w:t>
      </w:r>
      <w:r w:rsidRPr="008F03E5">
        <w:t>áda</w:t>
      </w:r>
      <w:r w:rsidRPr="008F03E5">
        <w:tab/>
        <w:t>Pers. family, origin, root, or principle; seed, descent, extraction; noble, born of a distinguished race.</w:t>
      </w:r>
    </w:p>
    <w:p w14:paraId="7D3303DA" w14:textId="77777777" w:rsidR="00625A5B" w:rsidRPr="008F03E5" w:rsidRDefault="00625A5B" w:rsidP="009F5BA3">
      <w:pPr>
        <w:pStyle w:val="Translit"/>
      </w:pPr>
      <w:r w:rsidRPr="008F03E5">
        <w:t>Nizhad-Nama, Nizhad-Namih</w:t>
      </w:r>
      <w:r w:rsidRPr="008F03E5">
        <w:tab/>
        <w:t>Ni</w:t>
      </w:r>
      <w:r w:rsidRPr="008F03E5">
        <w:rPr>
          <w:u w:val="single"/>
        </w:rPr>
        <w:t>zh</w:t>
      </w:r>
      <w:r w:rsidRPr="008F03E5">
        <w:t>ád-Náma</w:t>
      </w:r>
      <w:r w:rsidRPr="008F03E5">
        <w:tab/>
        <w:t xml:space="preserve">Pers. “The book of ancestry” by Riḍá Qulí </w:t>
      </w:r>
      <w:r w:rsidRPr="008F03E5">
        <w:rPr>
          <w:u w:val="single"/>
        </w:rPr>
        <w:t>Kh</w:t>
      </w:r>
      <w:r w:rsidRPr="008F03E5">
        <w:t>án Hidáyat, described as a history of those dynasties who traced their origin to the ancient kings of Persia</w:t>
      </w:r>
    </w:p>
    <w:p w14:paraId="2927B25D" w14:textId="77777777" w:rsidR="00625A5B" w:rsidRPr="008F03E5" w:rsidRDefault="00625A5B" w:rsidP="00782463">
      <w:pPr>
        <w:pStyle w:val="Translit"/>
        <w:tabs>
          <w:tab w:val="left" w:pos="8222"/>
        </w:tabs>
      </w:pPr>
      <w:r w:rsidRPr="008F03E5">
        <w:t>Nu’man</w:t>
      </w:r>
      <w:r w:rsidRPr="008F03E5">
        <w:tab/>
        <w:t>Nu‘mán</w:t>
      </w:r>
      <w:r w:rsidRPr="008F03E5">
        <w:tab/>
        <w:t>blood or red.  Two of the three Lakhmid rulers named a</w:t>
      </w:r>
      <w:r>
        <w:t>n</w:t>
      </w:r>
      <w:r w:rsidRPr="008F03E5">
        <w:t>-Nu‘mán were the sons of rulers named al-Mun</w:t>
      </w:r>
      <w:r w:rsidRPr="008F03E5">
        <w:rPr>
          <w:u w:val="single"/>
        </w:rPr>
        <w:t>dh</w:t>
      </w:r>
      <w:r w:rsidRPr="008F03E5">
        <w:t xml:space="preserve">ir, only the last became a Nestorian Arab.  </w:t>
      </w:r>
      <w:r w:rsidRPr="00E964FE">
        <w:rPr>
          <w:lang w:val="en-AU"/>
        </w:rPr>
        <w:t xml:space="preserve">See </w:t>
      </w:r>
      <w:r w:rsidRPr="00E964FE">
        <w:rPr>
          <w:sz w:val="16"/>
          <w:szCs w:val="16"/>
          <w:lang w:val="en-AU"/>
        </w:rPr>
        <w:t>SDC</w:t>
      </w:r>
      <w:r w:rsidRPr="00E964FE">
        <w:rPr>
          <w:lang w:val="en-AU"/>
        </w:rPr>
        <w:t xml:space="preserve"> pp. 46–51.  an-Nu‘mán </w:t>
      </w:r>
      <w:r w:rsidRPr="00E964FE">
        <w:rPr>
          <w:sz w:val="16"/>
          <w:szCs w:val="16"/>
          <w:lang w:val="en-AU"/>
        </w:rPr>
        <w:t>III</w:t>
      </w:r>
      <w:r w:rsidRPr="00E964FE">
        <w:rPr>
          <w:lang w:val="en-AU"/>
        </w:rPr>
        <w:t xml:space="preserve"> ibn al-Mun</w:t>
      </w:r>
      <w:r w:rsidRPr="00E964FE">
        <w:rPr>
          <w:u w:val="single"/>
          <w:lang w:val="en-AU"/>
        </w:rPr>
        <w:t>dh</w:t>
      </w:r>
      <w:r w:rsidRPr="00E964FE">
        <w:rPr>
          <w:lang w:val="en-AU"/>
        </w:rPr>
        <w:t>ir (</w:t>
      </w:r>
      <w:r w:rsidRPr="00E964FE">
        <w:rPr>
          <w:sz w:val="16"/>
          <w:szCs w:val="16"/>
          <w:lang w:val="en-AU"/>
        </w:rPr>
        <w:t>CE</w:t>
      </w:r>
      <w:r w:rsidRPr="00E964FE">
        <w:rPr>
          <w:lang w:val="en-AU"/>
        </w:rPr>
        <w:t xml:space="preserve"> 582–c. </w:t>
      </w:r>
      <w:r w:rsidRPr="008F03E5">
        <w:t xml:space="preserve">602), known as Abú Qábús, last of the Lakhmid (“Lakhmite”) dynasty.  </w:t>
      </w:r>
      <w:r w:rsidRPr="008F03E5">
        <w:rPr>
          <w:i/>
          <w:iCs/>
          <w:sz w:val="16"/>
          <w:szCs w:val="16"/>
        </w:rPr>
        <w:t>MCI</w:t>
      </w:r>
      <w:r w:rsidRPr="008F03E5">
        <w:rPr>
          <w:sz w:val="16"/>
          <w:szCs w:val="16"/>
        </w:rPr>
        <w:t xml:space="preserve"> </w:t>
      </w:r>
      <w:r w:rsidRPr="008F03E5">
        <w:t>mentions Nu‘mán ibn Ba</w:t>
      </w:r>
      <w:r w:rsidRPr="008F03E5">
        <w:rPr>
          <w:u w:val="single"/>
        </w:rPr>
        <w:t>sh</w:t>
      </w:r>
      <w:r w:rsidRPr="008F03E5">
        <w:t xml:space="preserve">ír, governor of Kúfah; and Abú-Ḥanifah Nu‘mán ibn </w:t>
      </w:r>
      <w:r w:rsidRPr="008F03E5">
        <w:rPr>
          <w:u w:val="single"/>
        </w:rPr>
        <w:t>Th</w:t>
      </w:r>
      <w:r w:rsidRPr="008F03E5">
        <w:t>ábit (d. 767), founder of the Ḥanafí school of orthodox Sunní jurisprudence.</w:t>
      </w:r>
    </w:p>
    <w:p w14:paraId="72F27079" w14:textId="77777777" w:rsidR="00625A5B" w:rsidRPr="008F03E5" w:rsidRDefault="00625A5B" w:rsidP="004717E0">
      <w:pPr>
        <w:pStyle w:val="Translit"/>
        <w:rPr>
          <w:lang w:bidi="fa-IR"/>
        </w:rPr>
      </w:pPr>
      <w:r w:rsidRPr="008F03E5">
        <w:rPr>
          <w:lang w:bidi="fa-IR"/>
        </w:rPr>
        <w:t>Nubuwa</w:t>
      </w:r>
      <w:r w:rsidRPr="008F03E5">
        <w:rPr>
          <w:lang w:bidi="fa-IR"/>
        </w:rPr>
        <w:tab/>
        <w:t>Nub</w:t>
      </w:r>
      <w:r w:rsidRPr="008F03E5">
        <w:t>ú</w:t>
      </w:r>
      <w:r w:rsidRPr="008F03E5">
        <w:rPr>
          <w:lang w:bidi="fa-IR"/>
        </w:rPr>
        <w:t>wa[t] or Nubuwwa[t]</w:t>
      </w:r>
      <w:r w:rsidRPr="008F03E5">
        <w:rPr>
          <w:lang w:bidi="fa-IR"/>
        </w:rPr>
        <w:tab/>
        <w:t xml:space="preserve">prophethood, prophecy.  Two types:  </w:t>
      </w:r>
      <w:r w:rsidRPr="008F03E5">
        <w:rPr>
          <w:i/>
          <w:iCs/>
          <w:lang w:bidi="fa-IR"/>
        </w:rPr>
        <w:t>Nub</w:t>
      </w:r>
      <w:r w:rsidRPr="008F03E5">
        <w:rPr>
          <w:i/>
          <w:iCs/>
        </w:rPr>
        <w:t>ú</w:t>
      </w:r>
      <w:r w:rsidRPr="008F03E5">
        <w:rPr>
          <w:i/>
          <w:iCs/>
          <w:lang w:bidi="fa-IR"/>
        </w:rPr>
        <w:t xml:space="preserve">wat </w:t>
      </w:r>
      <w:r w:rsidRPr="008F03E5">
        <w:rPr>
          <w:i/>
          <w:iCs/>
        </w:rPr>
        <w:t>ta‘ríf</w:t>
      </w:r>
      <w:r w:rsidRPr="008F03E5">
        <w:t xml:space="preserve"> (</w:t>
      </w:r>
      <w:r w:rsidRPr="008F03E5">
        <w:rPr>
          <w:lang w:eastAsia="en-US"/>
        </w:rPr>
        <w:t xml:space="preserve">prophethood of definition) and </w:t>
      </w:r>
      <w:r w:rsidRPr="008F03E5">
        <w:rPr>
          <w:i/>
          <w:iCs/>
          <w:lang w:eastAsia="en-US"/>
        </w:rPr>
        <w:t>nubuwwat ta</w:t>
      </w:r>
      <w:r w:rsidRPr="008F03E5">
        <w:rPr>
          <w:i/>
          <w:iCs/>
          <w:u w:val="single"/>
          <w:lang w:eastAsia="en-US"/>
        </w:rPr>
        <w:t>sh</w:t>
      </w:r>
      <w:r w:rsidRPr="008F03E5">
        <w:rPr>
          <w:i/>
          <w:iCs/>
          <w:lang w:eastAsia="en-US"/>
        </w:rPr>
        <w:t xml:space="preserve">rí‘ </w:t>
      </w:r>
      <w:r w:rsidRPr="008F03E5">
        <w:rPr>
          <w:lang w:eastAsia="en-US"/>
        </w:rPr>
        <w:t>(prophethood of legislation).  Prophethood of definition has to do with informing people about God, His names, attributes and actions, whereas the prophethood of legislation, which is identical with messengership (</w:t>
      </w:r>
      <w:r w:rsidRPr="008F03E5">
        <w:rPr>
          <w:i/>
          <w:iCs/>
          <w:lang w:eastAsia="en-US"/>
        </w:rPr>
        <w:t>risálat</w:t>
      </w:r>
      <w:r w:rsidRPr="008F03E5">
        <w:rPr>
          <w:lang w:eastAsia="en-US"/>
        </w:rPr>
        <w:t>), means establishing moral, social, and political institutions—</w:t>
      </w:r>
      <w:r w:rsidRPr="008F03E5">
        <w:rPr>
          <w:i/>
          <w:iCs/>
          <w:u w:val="single"/>
          <w:lang w:eastAsia="en-US"/>
        </w:rPr>
        <w:t>sh</w:t>
      </w:r>
      <w:r w:rsidRPr="008F03E5">
        <w:rPr>
          <w:i/>
          <w:iCs/>
          <w:lang w:eastAsia="en-US"/>
        </w:rPr>
        <w:t xml:space="preserve">arí‘a.  </w:t>
      </w:r>
      <w:r w:rsidRPr="008F03E5">
        <w:rPr>
          <w:lang w:eastAsia="en-US"/>
        </w:rPr>
        <w:t>Prophethood is described as the receiving of knowledge by a purified soul (</w:t>
      </w:r>
      <w:r w:rsidRPr="008F03E5">
        <w:rPr>
          <w:i/>
          <w:iCs/>
          <w:lang w:eastAsia="en-US"/>
        </w:rPr>
        <w:t>an-nafs al-qudsíya</w:t>
      </w:r>
      <w:r w:rsidRPr="008F03E5">
        <w:rPr>
          <w:lang w:eastAsia="en-US"/>
        </w:rPr>
        <w:t>) from the essence of the first intellect (</w:t>
      </w:r>
      <w:r w:rsidRPr="008F03E5">
        <w:rPr>
          <w:i/>
          <w:iCs/>
          <w:lang w:eastAsia="en-US"/>
        </w:rPr>
        <w:t>al-‘aql al-awwal</w:t>
      </w:r>
      <w:r w:rsidRPr="008F03E5">
        <w:rPr>
          <w:lang w:eastAsia="en-US"/>
        </w:rPr>
        <w:t xml:space="preserve">).  </w:t>
      </w:r>
      <w:r w:rsidRPr="008F03E5">
        <w:rPr>
          <w:u w:val="single"/>
          <w:lang w:eastAsia="en-US"/>
        </w:rPr>
        <w:t>Sh</w:t>
      </w:r>
      <w:r w:rsidRPr="008F03E5">
        <w:rPr>
          <w:lang w:eastAsia="en-US"/>
        </w:rPr>
        <w:t>ay</w:t>
      </w:r>
      <w:r w:rsidRPr="008F03E5">
        <w:rPr>
          <w:u w:val="single"/>
          <w:lang w:eastAsia="en-US"/>
        </w:rPr>
        <w:t>kh</w:t>
      </w:r>
      <w:r w:rsidRPr="008F03E5">
        <w:rPr>
          <w:lang w:eastAsia="en-US"/>
        </w:rPr>
        <w:t xml:space="preserve"> A</w:t>
      </w:r>
      <w:r w:rsidRPr="008F03E5">
        <w:t>ḥ</w:t>
      </w:r>
      <w:r w:rsidRPr="008F03E5">
        <w:rPr>
          <w:lang w:eastAsia="en-US"/>
        </w:rPr>
        <w:t>mad in</w:t>
      </w:r>
      <w:r w:rsidRPr="008F03E5">
        <w:t xml:space="preserve"> </w:t>
      </w:r>
      <w:r w:rsidRPr="008F03E5">
        <w:rPr>
          <w:i/>
          <w:iCs/>
        </w:rPr>
        <w:t xml:space="preserve">The development of </w:t>
      </w:r>
      <w:r w:rsidRPr="008F03E5">
        <w:rPr>
          <w:i/>
          <w:iCs/>
          <w:u w:val="single"/>
        </w:rPr>
        <w:t>Sh</w:t>
      </w:r>
      <w:r w:rsidRPr="008F03E5">
        <w:rPr>
          <w:i/>
          <w:iCs/>
        </w:rPr>
        <w:t>ay</w:t>
      </w:r>
      <w:r w:rsidRPr="008F03E5">
        <w:rPr>
          <w:i/>
          <w:iCs/>
          <w:u w:val="single"/>
        </w:rPr>
        <w:t>kh</w:t>
      </w:r>
      <w:r w:rsidRPr="008F03E5">
        <w:rPr>
          <w:i/>
          <w:iCs/>
        </w:rPr>
        <w:t xml:space="preserve">í thought in </w:t>
      </w:r>
      <w:r w:rsidRPr="008F03E5">
        <w:rPr>
          <w:i/>
          <w:iCs/>
          <w:u w:val="single"/>
        </w:rPr>
        <w:t>Sh</w:t>
      </w:r>
      <w:r w:rsidRPr="008F03E5">
        <w:rPr>
          <w:i/>
          <w:iCs/>
        </w:rPr>
        <w:t>í‘í Islam</w:t>
      </w:r>
      <w:r w:rsidRPr="008F03E5">
        <w:t>, p. 90.  See risála</w:t>
      </w:r>
    </w:p>
    <w:p w14:paraId="59D1D83A" w14:textId="77777777" w:rsidR="00625A5B" w:rsidRPr="008F03E5" w:rsidRDefault="00625A5B" w:rsidP="00F93FDD">
      <w:pPr>
        <w:pStyle w:val="Translit"/>
      </w:pPr>
      <w:r w:rsidRPr="008F03E5">
        <w:t>Nudba, Nudbih</w:t>
      </w:r>
      <w:r w:rsidRPr="008F03E5">
        <w:tab/>
        <w:t>Nudba[h</w:t>
      </w:r>
      <w:r>
        <w:t xml:space="preserve"> or t</w:t>
      </w:r>
      <w:r w:rsidRPr="008F03E5">
        <w:t xml:space="preserve">], </w:t>
      </w:r>
      <w:r>
        <w:t>I</w:t>
      </w:r>
      <w:r w:rsidRPr="00F93FDD">
        <w:t>ṣ</w:t>
      </w:r>
      <w:r>
        <w:t>fah</w:t>
      </w:r>
      <w:r w:rsidRPr="00F93FDD">
        <w:t>á</w:t>
      </w:r>
      <w:r>
        <w:t>n</w:t>
      </w:r>
      <w:r w:rsidRPr="00F93FDD">
        <w:t>í</w:t>
      </w:r>
      <w:r>
        <w:t xml:space="preserve"> </w:t>
      </w:r>
      <w:r w:rsidRPr="008F03E5">
        <w:t>Pers. Nudbih</w:t>
      </w:r>
      <w:r w:rsidRPr="008F03E5">
        <w:tab/>
        <w:t>lamentation for the dead; elegy; dirge, funeral song.  Prayer of “Lamentation” of the Imám ‘Alí</w:t>
      </w:r>
      <w:r>
        <w:t>.</w:t>
      </w:r>
    </w:p>
    <w:p w14:paraId="62611617" w14:textId="77777777" w:rsidR="00625A5B" w:rsidRPr="008F03E5" w:rsidRDefault="00625A5B" w:rsidP="00C763B4">
      <w:pPr>
        <w:pStyle w:val="Translit"/>
      </w:pPr>
      <w:r w:rsidRPr="008F03E5">
        <w:t>Nuh</w:t>
      </w:r>
      <w:r w:rsidRPr="008F03E5">
        <w:tab/>
        <w:t>Núḥ (</w:t>
      </w:r>
      <w:r w:rsidRPr="008F03E5">
        <w:rPr>
          <w:rtl/>
        </w:rPr>
        <w:t>نوح</w:t>
      </w:r>
      <w:r w:rsidRPr="008F03E5">
        <w:t>)</w:t>
      </w:r>
      <w:r w:rsidRPr="008F03E5">
        <w:tab/>
        <w:t xml:space="preserve">Noah, so named because of copious weeping after bitterly regretting asking for the destruction of his people.  Real name said to be </w:t>
      </w:r>
      <w:r w:rsidRPr="008F03E5">
        <w:rPr>
          <w:rFonts w:eastAsia="PMingLiU"/>
          <w:lang w:eastAsia="zh-TW"/>
        </w:rPr>
        <w:t>‘Abdu’l-</w:t>
      </w:r>
      <w:r w:rsidRPr="008F03E5">
        <w:rPr>
          <w:u w:val="single"/>
        </w:rPr>
        <w:t>Gh</w:t>
      </w:r>
      <w:r w:rsidRPr="008F03E5">
        <w:rPr>
          <w:rFonts w:eastAsia="PMingLiU"/>
          <w:lang w:eastAsia="zh-TW"/>
        </w:rPr>
        <w:t>aff</w:t>
      </w:r>
      <w:r w:rsidRPr="008F03E5">
        <w:t>á</w:t>
      </w:r>
      <w:r w:rsidRPr="008F03E5">
        <w:rPr>
          <w:rFonts w:eastAsia="PMingLiU"/>
          <w:lang w:eastAsia="zh-TW"/>
        </w:rPr>
        <w:t>r.</w:t>
      </w:r>
      <w:r w:rsidRPr="008F03E5">
        <w:t xml:space="preserve">  See Nawḥ (same Arabic letters)</w:t>
      </w:r>
    </w:p>
    <w:p w14:paraId="41995536" w14:textId="77777777" w:rsidR="00625A5B" w:rsidRPr="008F03E5" w:rsidRDefault="00625A5B" w:rsidP="00E64034">
      <w:pPr>
        <w:pStyle w:val="Translit"/>
      </w:pPr>
      <w:r w:rsidRPr="008F03E5">
        <w:t>Nuh</w:t>
      </w:r>
      <w:r w:rsidRPr="008F03E5">
        <w:tab/>
        <w:t>Nuh</w:t>
      </w:r>
      <w:r w:rsidRPr="008F03E5">
        <w:tab/>
        <w:t>Pers. nine</w:t>
      </w:r>
    </w:p>
    <w:p w14:paraId="3266BED3" w14:textId="77777777" w:rsidR="00625A5B" w:rsidRPr="008F03E5" w:rsidRDefault="00625A5B" w:rsidP="005D58C0">
      <w:pPr>
        <w:pStyle w:val="Translit"/>
      </w:pPr>
      <w:r w:rsidRPr="008F03E5">
        <w:t>Nuk</w:t>
      </w:r>
      <w:r w:rsidRPr="008F03E5">
        <w:tab/>
        <w:t>Núk</w:t>
      </w:r>
      <w:r w:rsidRPr="008F03E5">
        <w:tab/>
        <w:t xml:space="preserve">a village 29 km </w:t>
      </w:r>
      <w:r w:rsidRPr="008F03E5">
        <w:rPr>
          <w:sz w:val="16"/>
          <w:szCs w:val="16"/>
        </w:rPr>
        <w:t>NE</w:t>
      </w:r>
      <w:r w:rsidRPr="008F03E5">
        <w:t xml:space="preserve"> of Bírjand, Írán (33.037741, 59.459513)</w:t>
      </w:r>
    </w:p>
    <w:p w14:paraId="2AB38610" w14:textId="77777777" w:rsidR="00625A5B" w:rsidRPr="008F03E5" w:rsidRDefault="00625A5B" w:rsidP="00847076">
      <w:pPr>
        <w:pStyle w:val="Translit"/>
      </w:pPr>
      <w:r w:rsidRPr="008F03E5">
        <w:t>Nukhust</w:t>
      </w:r>
      <w:r w:rsidRPr="008F03E5">
        <w:tab/>
        <w:t>Nu</w:t>
      </w:r>
      <w:r w:rsidRPr="008F03E5">
        <w:rPr>
          <w:rFonts w:eastAsia="Times New Roman"/>
          <w:u w:val="single"/>
        </w:rPr>
        <w:t>kh</w:t>
      </w:r>
      <w:r w:rsidRPr="008F03E5">
        <w:t>ust</w:t>
      </w:r>
      <w:r w:rsidRPr="008F03E5">
        <w:tab/>
        <w:t>Pers. beginning, principle; the first; at first</w:t>
      </w:r>
    </w:p>
    <w:p w14:paraId="442ACC62" w14:textId="77777777" w:rsidR="00625A5B" w:rsidRPr="008F03E5" w:rsidRDefault="00625A5B" w:rsidP="00882692">
      <w:pPr>
        <w:pStyle w:val="Translit"/>
      </w:pPr>
      <w:r w:rsidRPr="008F03E5">
        <w:t>Numruq, Numruqa, Namariq</w:t>
      </w:r>
      <w:r w:rsidRPr="008F03E5">
        <w:tab/>
        <w:t>Numruq and Numruqa, pl. Namáriq</w:t>
      </w:r>
      <w:r w:rsidRPr="008F03E5">
        <w:tab/>
        <w:t>cushion, pad; pillow; panel, saddle pad that is placed between a rider and his saddle</w:t>
      </w:r>
    </w:p>
    <w:p w14:paraId="38EFAAC3" w14:textId="77777777" w:rsidR="00625A5B" w:rsidRPr="008F03E5" w:rsidRDefault="00625A5B" w:rsidP="00C46845">
      <w:pPr>
        <w:pStyle w:val="Translit"/>
      </w:pPr>
      <w:r w:rsidRPr="001457C8">
        <w:rPr>
          <w:lang w:val="de-DE"/>
        </w:rPr>
        <w:t>Nun, Nunat, Ninan, Anwan</w:t>
      </w:r>
      <w:r w:rsidRPr="001457C8">
        <w:rPr>
          <w:lang w:val="de-DE"/>
        </w:rPr>
        <w:tab/>
        <w:t>Nún, pl. Núnát, Nínán, Anwán</w:t>
      </w:r>
      <w:r w:rsidRPr="001457C8">
        <w:rPr>
          <w:lang w:val="de-DE"/>
        </w:rPr>
        <w:tab/>
        <w:t xml:space="preserve">Arabic letter;—pl. </w:t>
      </w:r>
      <w:r w:rsidRPr="008F03E5">
        <w:t>(nínán, anwán) large fish, whale.  Nún, according to the Bible, was the father of Joshua.</w:t>
      </w:r>
    </w:p>
    <w:p w14:paraId="5D76C88A" w14:textId="77777777" w:rsidR="00625A5B" w:rsidRPr="008F03E5" w:rsidRDefault="00625A5B" w:rsidP="008D5439">
      <w:pPr>
        <w:pStyle w:val="Translit"/>
      </w:pPr>
      <w:r w:rsidRPr="008F03E5">
        <w:t>Nuqaba’i</w:t>
      </w:r>
      <w:r w:rsidRPr="008F03E5">
        <w:tab/>
        <w:t>Nuqabá’í</w:t>
      </w:r>
      <w:r w:rsidRPr="008F03E5">
        <w:tab/>
        <w:t xml:space="preserve">Ḥusám Nuqabá’í, ed. </w:t>
      </w:r>
      <w:r w:rsidRPr="008F03E5">
        <w:rPr>
          <w:i/>
          <w:iCs/>
        </w:rPr>
        <w:t>Táhirah:  Qurrat al-‘Ayn</w:t>
      </w:r>
      <w:r w:rsidRPr="008F03E5">
        <w:t xml:space="preserve"> (collection of early accounts).  See Naqíb</w:t>
      </w:r>
    </w:p>
    <w:p w14:paraId="30F83DD6" w14:textId="77777777" w:rsidR="00625A5B" w:rsidRPr="008F03E5" w:rsidRDefault="00625A5B" w:rsidP="001E28F5">
      <w:pPr>
        <w:pStyle w:val="Translit"/>
      </w:pPr>
      <w:r w:rsidRPr="008F03E5">
        <w:t>Nuqat al-i’jam</w:t>
      </w:r>
      <w:r w:rsidRPr="008F03E5">
        <w:tab/>
        <w:t>Nuqaṭ al-i‘jám</w:t>
      </w:r>
      <w:r w:rsidRPr="008F03E5">
        <w:tab/>
        <w:t xml:space="preserve">points or dots to distinguish between say </w:t>
      </w:r>
      <w:r w:rsidRPr="008F03E5">
        <w:rPr>
          <w:rtl/>
        </w:rPr>
        <w:t>ص</w:t>
      </w:r>
      <w:r w:rsidRPr="008F03E5">
        <w:t xml:space="preserve"> and </w:t>
      </w:r>
      <w:r w:rsidRPr="008F03E5">
        <w:rPr>
          <w:rtl/>
        </w:rPr>
        <w:t>ض</w:t>
      </w:r>
    </w:p>
    <w:p w14:paraId="3E68FD34" w14:textId="77777777" w:rsidR="00625A5B" w:rsidRPr="008F03E5" w:rsidRDefault="00625A5B" w:rsidP="0096590E">
      <w:pPr>
        <w:pStyle w:val="Translit"/>
      </w:pPr>
      <w:r w:rsidRPr="008F03E5">
        <w:t>Nuqayb, Nughayb</w:t>
      </w:r>
      <w:r w:rsidRPr="008F03E5">
        <w:tab/>
        <w:t>an-Nuqayb, Pers. Nu</w:t>
      </w:r>
      <w:r w:rsidRPr="008F03E5">
        <w:rPr>
          <w:u w:val="single"/>
        </w:rPr>
        <w:t>gh</w:t>
      </w:r>
      <w:r w:rsidRPr="008F03E5">
        <w:t>ayb</w:t>
      </w:r>
      <w:r w:rsidRPr="008F03E5">
        <w:tab/>
        <w:t>was a Palestinian Arab village 10 km east across the lake (on the shore of) from Tiberias.  It was depopulated during the 1948 Arab-Israeli War on 15 May 1948.  a</w:t>
      </w:r>
      <w:r>
        <w:t>n</w:t>
      </w:r>
      <w:r w:rsidRPr="008F03E5">
        <w:t>-Nuqayb was named after the Bedouin tribe of ‘Aráb a</w:t>
      </w:r>
      <w:r>
        <w:t>n</w:t>
      </w:r>
      <w:r w:rsidRPr="008F03E5">
        <w:t xml:space="preserve">-Nuqayb.  The kibbutz of Ein Gev (32.783234, 35.63955, Yiddish “captain” or “leader”) was established on the site of the former village.  It was one of three villages where ‘Abdu’l-Bahá grew corn and wheat during World War </w:t>
      </w:r>
      <w:r w:rsidRPr="008F03E5">
        <w:rPr>
          <w:sz w:val="16"/>
          <w:szCs w:val="16"/>
        </w:rPr>
        <w:t>I</w:t>
      </w:r>
      <w:r w:rsidRPr="008F03E5">
        <w:t>.  See ‘Adasíya and as-Samrá.</w:t>
      </w:r>
    </w:p>
    <w:p w14:paraId="5CC69226" w14:textId="77777777" w:rsidR="00625A5B" w:rsidRPr="008F03E5" w:rsidRDefault="00625A5B" w:rsidP="005329FD">
      <w:pPr>
        <w:pStyle w:val="Translit"/>
      </w:pPr>
      <w:r w:rsidRPr="008F03E5">
        <w:t>Nuqra, Nuqar, Niqar</w:t>
      </w:r>
      <w:r w:rsidRPr="008F03E5">
        <w:tab/>
        <w:t>Nuqra[h] (Pers. Nuqrih), pl. Nuqar, Niqár</w:t>
      </w:r>
      <w:r w:rsidRPr="008F03E5">
        <w:tab/>
        <w:t>pit, hollow, cavity, hole; depression; orbit, eye socket; neck furrow, nape</w:t>
      </w:r>
    </w:p>
    <w:p w14:paraId="48E1A8FA" w14:textId="77777777" w:rsidR="00625A5B" w:rsidRPr="008F03E5" w:rsidRDefault="00625A5B" w:rsidP="003605EE">
      <w:pPr>
        <w:pStyle w:val="Translit"/>
      </w:pPr>
      <w:r w:rsidRPr="008F03E5">
        <w:t>Nuqta (Nuqtih), Nuqat, Niqat</w:t>
      </w:r>
      <w:r w:rsidRPr="008F03E5">
        <w:tab/>
        <w:t>Nuqṭa[h or t], pl. Nuqaṭ, Niqáṭ</w:t>
      </w:r>
      <w:r w:rsidRPr="008F03E5">
        <w:tab/>
      </w:r>
      <w:r>
        <w:t xml:space="preserve">(fem.) </w:t>
      </w:r>
      <w:r w:rsidRPr="008F03E5">
        <w:t xml:space="preserve">point, dot; diacritical point; period, full stop; drop; jot, title, speck; trifle, tiny piece; part (especially of motors, of machines); matter, affair, subject, point; detail, particular; item; spot, location, site; place, village, hamlet, market town.  Pers. </w:t>
      </w:r>
      <w:r>
        <w:t>I</w:t>
      </w:r>
      <w:r w:rsidRPr="00D86CFE">
        <w:t>ṣ</w:t>
      </w:r>
      <w:r>
        <w:t>fah</w:t>
      </w:r>
      <w:r w:rsidRPr="00D86CFE">
        <w:t>á</w:t>
      </w:r>
      <w:r>
        <w:t>n</w:t>
      </w:r>
      <w:r w:rsidRPr="00D86CFE">
        <w:t>í</w:t>
      </w:r>
      <w:r>
        <w:t xml:space="preserve"> </w:t>
      </w:r>
      <w:r w:rsidRPr="008F03E5">
        <w:t>nuqṭih.</w:t>
      </w:r>
    </w:p>
    <w:p w14:paraId="141C4B40" w14:textId="77777777" w:rsidR="00625A5B" w:rsidRDefault="00625A5B" w:rsidP="00B1624C">
      <w:pPr>
        <w:pStyle w:val="Translit"/>
      </w:pPr>
      <w:r>
        <w:t>Nuqta al-Awwaliya</w:t>
      </w:r>
      <w:r>
        <w:tab/>
        <w:t>an-</w:t>
      </w:r>
      <w:r w:rsidRPr="008F03E5">
        <w:t>Nuqṭa</w:t>
      </w:r>
      <w:r>
        <w:t>t al-A</w:t>
      </w:r>
      <w:r w:rsidRPr="00120039">
        <w:t>wwal</w:t>
      </w:r>
      <w:r>
        <w:t>í</w:t>
      </w:r>
      <w:r w:rsidRPr="00120039">
        <w:t>ya</w:t>
      </w:r>
      <w:r>
        <w:tab/>
        <w:t>the Primal Point, the Báb</w:t>
      </w:r>
    </w:p>
    <w:p w14:paraId="1C7F9438" w14:textId="77777777" w:rsidR="00625A5B" w:rsidRPr="008F03E5" w:rsidRDefault="00625A5B" w:rsidP="00BA0527">
      <w:pPr>
        <w:pStyle w:val="Translit"/>
      </w:pPr>
      <w:r w:rsidRPr="008F03E5">
        <w:t>Nuqtatu’l-Kaf, Nuqta-i-Kafi</w:t>
      </w:r>
      <w:r w:rsidRPr="008F03E5">
        <w:tab/>
        <w:t>Nuqṭatu’l-Káf (Pers. Nuqṭa-i-Káfí)</w:t>
      </w:r>
      <w:r w:rsidRPr="008F03E5">
        <w:tab/>
        <w:t>The Point of the Káf.  Kitáb-i-Nuqṭatu’l-Káf supposedly written by Ḣájí Mírzá Ká</w:t>
      </w:r>
      <w:r w:rsidRPr="008F03E5">
        <w:rPr>
          <w:u w:val="single"/>
        </w:rPr>
        <w:t>sh</w:t>
      </w:r>
      <w:r w:rsidRPr="008F03E5">
        <w:t>ání.</w:t>
      </w:r>
    </w:p>
    <w:p w14:paraId="6565E422" w14:textId="77777777" w:rsidR="00625A5B" w:rsidRPr="008F03E5" w:rsidRDefault="00625A5B" w:rsidP="008B618D">
      <w:pPr>
        <w:pStyle w:val="Translit"/>
      </w:pPr>
      <w:r w:rsidRPr="008F03E5">
        <w:t>Nuqtawi, Nuqtawiyyah</w:t>
      </w:r>
      <w:r w:rsidRPr="008F03E5">
        <w:tab/>
        <w:t>Nuqṭawí, Nuqṭawiyya[h]</w:t>
      </w:r>
      <w:r w:rsidRPr="008F03E5">
        <w:tab/>
        <w:t>Islamic movement founded by Maḥmúd Pasí</w:t>
      </w:r>
      <w:r w:rsidRPr="008F03E5">
        <w:rPr>
          <w:u w:val="single"/>
        </w:rPr>
        <w:t>kh</w:t>
      </w:r>
      <w:r w:rsidRPr="008F03E5">
        <w:t>ání when he proclaimed himself the Mahdí in 1397</w:t>
      </w:r>
    </w:p>
    <w:p w14:paraId="10EDEA9C" w14:textId="77777777" w:rsidR="00625A5B" w:rsidRPr="008F03E5" w:rsidRDefault="00625A5B" w:rsidP="00317A33">
      <w:pPr>
        <w:pStyle w:val="Translit"/>
      </w:pPr>
      <w:r w:rsidRPr="0081098E">
        <w:t>Nuqtiy-i-Bayan, an-</w:t>
      </w:r>
      <w:r w:rsidRPr="008F03E5">
        <w:t>Nuq</w:t>
      </w:r>
      <w:r>
        <w:t>ta al-</w:t>
      </w:r>
      <w:r w:rsidRPr="008F03E5">
        <w:t>Bay</w:t>
      </w:r>
      <w:r>
        <w:t>a</w:t>
      </w:r>
      <w:r w:rsidRPr="008F03E5">
        <w:t>n</w:t>
      </w:r>
      <w:r w:rsidRPr="0081098E">
        <w:tab/>
        <w:t>Nuqṭiy-i-Bayán</w:t>
      </w:r>
      <w:r w:rsidRPr="0081098E">
        <w:tab/>
        <w:t xml:space="preserve">Pers. </w:t>
      </w:r>
      <w:r>
        <w:t>I</w:t>
      </w:r>
      <w:r w:rsidRPr="005C6098">
        <w:t>ṣ</w:t>
      </w:r>
      <w:r>
        <w:t>fah</w:t>
      </w:r>
      <w:r w:rsidRPr="005C6098">
        <w:t>á</w:t>
      </w:r>
      <w:r>
        <w:t>n</w:t>
      </w:r>
      <w:r w:rsidRPr="005C6098">
        <w:t>í</w:t>
      </w:r>
      <w:r>
        <w:t xml:space="preserve"> from </w:t>
      </w:r>
      <w:r w:rsidRPr="008F03E5">
        <w:t>nuqṭih</w:t>
      </w:r>
      <w:r>
        <w:t xml:space="preserve">.  </w:t>
      </w:r>
      <w:r w:rsidRPr="008F03E5">
        <w:t>“Point of the Bayán” (a designation of the Báb)</w:t>
      </w:r>
      <w:r>
        <w:t>.  an-</w:t>
      </w:r>
      <w:r w:rsidRPr="008F03E5">
        <w:t>Nuqṭ</w:t>
      </w:r>
      <w:r>
        <w:t>a[h or t] al-</w:t>
      </w:r>
      <w:r w:rsidRPr="008F03E5">
        <w:t>Bayán</w:t>
      </w:r>
      <w:r>
        <w:t xml:space="preserve"> or an-</w:t>
      </w:r>
      <w:r w:rsidRPr="008F03E5">
        <w:t>Nuqṭ</w:t>
      </w:r>
      <w:r>
        <w:t>a’l-</w:t>
      </w:r>
      <w:r w:rsidRPr="008F03E5">
        <w:t>Bayán</w:t>
      </w:r>
      <w:r>
        <w:t xml:space="preserve"> (Arabic), and </w:t>
      </w:r>
      <w:r w:rsidRPr="008F03E5">
        <w:t>Nuqṭ</w:t>
      </w:r>
      <w:r>
        <w:t xml:space="preserve">ah </w:t>
      </w:r>
      <w:r w:rsidRPr="008F03E5">
        <w:t>Bayán</w:t>
      </w:r>
      <w:r>
        <w:t xml:space="preserve"> (Persian).</w:t>
      </w:r>
    </w:p>
    <w:p w14:paraId="124E18A0" w14:textId="77777777" w:rsidR="00625A5B" w:rsidRPr="008F03E5" w:rsidRDefault="00625A5B" w:rsidP="00632DA3">
      <w:pPr>
        <w:pStyle w:val="Translit"/>
      </w:pPr>
      <w:r w:rsidRPr="00632DA3">
        <w:t>Nuqtiy-i-Ukhra, an-Nuqta al-Ukhra</w:t>
      </w:r>
      <w:r w:rsidRPr="00632DA3">
        <w:tab/>
        <w:t>Nuqṭiy-i-U</w:t>
      </w:r>
      <w:r w:rsidRPr="00632DA3">
        <w:rPr>
          <w:u w:val="single"/>
        </w:rPr>
        <w:t>kh</w:t>
      </w:r>
      <w:r w:rsidRPr="00632DA3">
        <w:t>rá</w:t>
      </w:r>
      <w:r w:rsidRPr="00632DA3">
        <w:tab/>
        <w:t xml:space="preserve">Pers. </w:t>
      </w:r>
      <w:r>
        <w:t>I</w:t>
      </w:r>
      <w:r w:rsidRPr="005C6098">
        <w:t>ṣ</w:t>
      </w:r>
      <w:r>
        <w:t>fah</w:t>
      </w:r>
      <w:r w:rsidRPr="005C6098">
        <w:t>á</w:t>
      </w:r>
      <w:r>
        <w:t>n</w:t>
      </w:r>
      <w:r w:rsidRPr="005C6098">
        <w:t>í</w:t>
      </w:r>
      <w:r>
        <w:t xml:space="preserve"> from </w:t>
      </w:r>
      <w:r w:rsidRPr="008F03E5">
        <w:t>nuqṭih</w:t>
      </w:r>
      <w:r>
        <w:t xml:space="preserve">.  </w:t>
      </w:r>
      <w:r w:rsidRPr="008F03E5">
        <w:t>“The Last Point”, title given by Bahá’u’lláh to Quddús</w:t>
      </w:r>
      <w:r>
        <w:t>.  an-</w:t>
      </w:r>
      <w:r w:rsidRPr="008F03E5">
        <w:t>Nuqṭ</w:t>
      </w:r>
      <w:r>
        <w:t>a[h or t] al-</w:t>
      </w:r>
      <w:r w:rsidRPr="008F03E5">
        <w:t>U</w:t>
      </w:r>
      <w:r w:rsidRPr="008F03E5">
        <w:rPr>
          <w:u w:val="single"/>
        </w:rPr>
        <w:t>kh</w:t>
      </w:r>
      <w:r w:rsidRPr="008F03E5">
        <w:t>rá</w:t>
      </w:r>
      <w:r>
        <w:t xml:space="preserve"> or an-</w:t>
      </w:r>
      <w:r w:rsidRPr="008F03E5">
        <w:t>Nuqṭ</w:t>
      </w:r>
      <w:r>
        <w:t>a’l-</w:t>
      </w:r>
      <w:r w:rsidRPr="008F03E5">
        <w:t>U</w:t>
      </w:r>
      <w:r w:rsidRPr="008F03E5">
        <w:rPr>
          <w:u w:val="single"/>
        </w:rPr>
        <w:t>kh</w:t>
      </w:r>
      <w:r w:rsidRPr="008F03E5">
        <w:t>rá</w:t>
      </w:r>
      <w:r>
        <w:t xml:space="preserve"> (Arabic) and </w:t>
      </w:r>
      <w:r w:rsidRPr="008F03E5">
        <w:t>Nuqṭ</w:t>
      </w:r>
      <w:r>
        <w:t xml:space="preserve">ah </w:t>
      </w:r>
      <w:r w:rsidRPr="008F03E5">
        <w:t>U</w:t>
      </w:r>
      <w:r w:rsidRPr="008F03E5">
        <w:rPr>
          <w:u w:val="single"/>
        </w:rPr>
        <w:t>kh</w:t>
      </w:r>
      <w:r w:rsidRPr="008F03E5">
        <w:t>rá</w:t>
      </w:r>
      <w:r>
        <w:t xml:space="preserve"> (Persian).</w:t>
      </w:r>
    </w:p>
    <w:p w14:paraId="59135D35" w14:textId="77777777" w:rsidR="00625A5B" w:rsidRPr="008F03E5" w:rsidRDefault="00625A5B" w:rsidP="003605EE">
      <w:pPr>
        <w:pStyle w:val="Translit"/>
      </w:pPr>
      <w:r w:rsidRPr="003605EE">
        <w:rPr>
          <w:lang w:val="it-IT"/>
        </w:rPr>
        <w:t>Nuqtiy-i-Ula, an-Nuqta al-Ula</w:t>
      </w:r>
      <w:r w:rsidRPr="003605EE">
        <w:rPr>
          <w:lang w:val="it-IT"/>
        </w:rPr>
        <w:tab/>
        <w:t>Nuqṭiy-i-Úlá</w:t>
      </w:r>
      <w:r w:rsidRPr="003605EE">
        <w:rPr>
          <w:lang w:val="it-IT"/>
        </w:rPr>
        <w:tab/>
        <w:t xml:space="preserve">Pers. </w:t>
      </w:r>
      <w:r w:rsidRPr="003605EE">
        <w:rPr>
          <w:lang w:val="en-AU"/>
        </w:rPr>
        <w:t xml:space="preserve">Iṣfahání from nuqṭih.  “Primal Point” (a designation of the Báb).  </w:t>
      </w:r>
      <w:r w:rsidRPr="0081098E">
        <w:rPr>
          <w:lang w:val="en-AU"/>
        </w:rPr>
        <w:t>The point under the letter b (</w:t>
      </w:r>
      <w:r w:rsidRPr="008F03E5">
        <w:rPr>
          <w:rtl/>
        </w:rPr>
        <w:t>ب</w:t>
      </w:r>
      <w:r w:rsidRPr="0081098E">
        <w:rPr>
          <w:lang w:val="en-AU"/>
        </w:rPr>
        <w:t>) and the point formed when a pen starts to write each letter.  an-Nuqṭa[h or t] al-Úlá or an-Nu</w:t>
      </w:r>
      <w:r w:rsidRPr="008F03E5">
        <w:t>qṭ</w:t>
      </w:r>
      <w:r>
        <w:t>a’l-</w:t>
      </w:r>
      <w:r w:rsidRPr="008F03E5">
        <w:t>U</w:t>
      </w:r>
      <w:r>
        <w:t>l</w:t>
      </w:r>
      <w:r w:rsidRPr="008F03E5">
        <w:t>á</w:t>
      </w:r>
      <w:r>
        <w:t xml:space="preserve"> (Arabic) and </w:t>
      </w:r>
      <w:r w:rsidRPr="008F03E5">
        <w:t>Nuqṭ</w:t>
      </w:r>
      <w:r>
        <w:t xml:space="preserve">ah </w:t>
      </w:r>
      <w:r w:rsidRPr="003605EE">
        <w:t>Ú</w:t>
      </w:r>
      <w:r>
        <w:t>l</w:t>
      </w:r>
      <w:r w:rsidRPr="008F03E5">
        <w:t>á</w:t>
      </w:r>
      <w:r>
        <w:t xml:space="preserve"> (Persian).</w:t>
      </w:r>
    </w:p>
    <w:p w14:paraId="56EBA51A" w14:textId="77777777" w:rsidR="00625A5B" w:rsidRPr="008F03E5" w:rsidRDefault="00625A5B" w:rsidP="000B6A98">
      <w:pPr>
        <w:pStyle w:val="Translit"/>
      </w:pPr>
      <w:r w:rsidRPr="008F03E5">
        <w:t>Nur ‘Ala Nur</w:t>
      </w:r>
      <w:r w:rsidRPr="008F03E5">
        <w:tab/>
        <w:t>Núr ‘Alá Núr</w:t>
      </w:r>
      <w:r w:rsidRPr="008F03E5">
        <w:tab/>
        <w:t>light upon light (i.e. doubly blessed) Qur’án 24:35.  Bahá also signifies “Light”.  Bahá’u’lláh came from Núr, hence “Light upon light” (</w:t>
      </w:r>
      <w:r w:rsidRPr="008F03E5">
        <w:rPr>
          <w:i/>
          <w:iCs/>
        </w:rPr>
        <w:t>Memorials of the Faithful</w:t>
      </w:r>
      <w:r w:rsidRPr="008F03E5">
        <w:t>, p. 78) [at the beginning of His life].  Similarly, Bahá’u’lláh was buried at Bahjí, which can also mean “light”, hence now “Light upon light” [at the end of His life] (</w:t>
      </w:r>
      <w:r w:rsidRPr="008F03E5">
        <w:rPr>
          <w:i/>
          <w:iCs/>
        </w:rPr>
        <w:t>The Priceless Pearl</w:t>
      </w:r>
      <w:r w:rsidRPr="008F03E5">
        <w:t>, p. 90).  See Bahjí, Tákur, Ẓulumát.</w:t>
      </w:r>
    </w:p>
    <w:p w14:paraId="2929B109" w14:textId="77777777" w:rsidR="00625A5B" w:rsidRPr="008F03E5" w:rsidRDefault="00625A5B" w:rsidP="003B67EC">
      <w:pPr>
        <w:pStyle w:val="Translit"/>
      </w:pPr>
      <w:r w:rsidRPr="00D95EC8">
        <w:t>Nur, Nura, Anwar (Anvar)</w:t>
      </w:r>
      <w:r w:rsidRPr="00D95EC8">
        <w:tab/>
        <w:t xml:space="preserve">Núr, fem. </w:t>
      </w:r>
      <w:r w:rsidRPr="008F03E5">
        <w:t>Núra[h or t], pl. Anwár (Anvár)</w:t>
      </w:r>
      <w:r w:rsidRPr="008F03E5">
        <w:tab/>
        <w:t>light; ray of light, light beam; brightness, gleam, glow; illumination; light, lamp (abjad 256)  City, county and district in Mázindarán province.  Núru’l-Anwár “light of all lights”.  Núrayn (oblique dual used as nominative, “nurain”, “nurayn”), both lights, i.e. the sun and moon; also the eyes.</w:t>
      </w:r>
    </w:p>
    <w:p w14:paraId="3F7970E6" w14:textId="77777777" w:rsidR="00625A5B" w:rsidRPr="008F03E5" w:rsidRDefault="00625A5B" w:rsidP="008532FE">
      <w:pPr>
        <w:pStyle w:val="Translit"/>
      </w:pPr>
      <w:r w:rsidRPr="008F03E5">
        <w:t>Nurani</w:t>
      </w:r>
      <w:r w:rsidRPr="008F03E5">
        <w:tab/>
        <w:t>Núrání, pl. Núrániyún</w:t>
      </w:r>
      <w:r w:rsidRPr="008F03E5">
        <w:tab/>
        <w:t>luminous, radiant</w:t>
      </w:r>
    </w:p>
    <w:p w14:paraId="30ECFE19" w14:textId="77777777" w:rsidR="00625A5B" w:rsidRPr="008F03E5" w:rsidRDefault="00625A5B" w:rsidP="000A02D2">
      <w:pPr>
        <w:pStyle w:val="Translit"/>
      </w:pPr>
      <w:r w:rsidRPr="008F03E5">
        <w:t>Nuraniya (Nuraniyyih)</w:t>
      </w:r>
      <w:r w:rsidRPr="008F03E5">
        <w:tab/>
        <w:t>Nuráníya[h or t]</w:t>
      </w:r>
      <w:r w:rsidRPr="008F03E5">
        <w:tab/>
        <w:t>luminosity, brilliance</w:t>
      </w:r>
    </w:p>
    <w:p w14:paraId="0EDCD70F" w14:textId="77777777" w:rsidR="00625A5B" w:rsidRPr="008F03E5" w:rsidRDefault="00625A5B" w:rsidP="009D4372">
      <w:pPr>
        <w:pStyle w:val="Translit"/>
      </w:pPr>
      <w:r w:rsidRPr="008F03E5">
        <w:t>Nurayn-i-Nayyirayn</w:t>
      </w:r>
      <w:r w:rsidRPr="008F03E5">
        <w:tab/>
        <w:t>Núrayn-i-Nayyirayn</w:t>
      </w:r>
      <w:r w:rsidRPr="008F03E5">
        <w:tab/>
        <w:t>(Nur ibn Nayyerin) “The Twin Shining Lights”, Sulṭánu’</w:t>
      </w:r>
      <w:r w:rsidRPr="008F03E5">
        <w:rPr>
          <w:u w:val="single"/>
        </w:rPr>
        <w:t>sh</w:t>
      </w:r>
      <w:r w:rsidRPr="008F03E5">
        <w:t>-</w:t>
      </w:r>
      <w:r w:rsidRPr="008F03E5">
        <w:rPr>
          <w:u w:val="single"/>
        </w:rPr>
        <w:t>Sh</w:t>
      </w:r>
      <w:r w:rsidRPr="008F03E5">
        <w:t>uhadá’ (King of Martyrs) and Maḥbúbu’</w:t>
      </w:r>
      <w:r w:rsidRPr="008F03E5">
        <w:rPr>
          <w:u w:val="single"/>
        </w:rPr>
        <w:t>sh</w:t>
      </w:r>
      <w:r w:rsidRPr="008F03E5">
        <w:t>-</w:t>
      </w:r>
      <w:r w:rsidRPr="008F03E5">
        <w:rPr>
          <w:u w:val="single"/>
        </w:rPr>
        <w:t>Sh</w:t>
      </w:r>
      <w:r w:rsidRPr="008F03E5">
        <w:t>uhadá’ (the Beloved of Martyrs).  Book with this title by I</w:t>
      </w:r>
      <w:r w:rsidRPr="008F03E5">
        <w:rPr>
          <w:u w:val="single"/>
        </w:rPr>
        <w:t>sh</w:t>
      </w:r>
      <w:r w:rsidRPr="008F03E5">
        <w:t xml:space="preserve">ráq </w:t>
      </w:r>
      <w:r w:rsidRPr="008F03E5">
        <w:rPr>
          <w:u w:val="single"/>
        </w:rPr>
        <w:t>Kh</w:t>
      </w:r>
      <w:r w:rsidRPr="008F03E5">
        <w:t>ávarí ‘Adbu’l-Ḥamíd</w:t>
      </w:r>
    </w:p>
    <w:p w14:paraId="493302FC" w14:textId="77777777" w:rsidR="00625A5B" w:rsidRPr="008F03E5" w:rsidRDefault="00625A5B" w:rsidP="008E6A9E">
      <w:pPr>
        <w:pStyle w:val="Translit"/>
      </w:pPr>
      <w:r w:rsidRPr="008F03E5">
        <w:t>Nurbakhsh</w:t>
      </w:r>
      <w:r w:rsidRPr="008F03E5">
        <w:tab/>
        <w:t>Núrba</w:t>
      </w:r>
      <w:r w:rsidRPr="008F03E5">
        <w:rPr>
          <w:u w:val="single"/>
        </w:rPr>
        <w:t>khsh</w:t>
      </w:r>
      <w:r w:rsidRPr="008F03E5">
        <w:t xml:space="preserve"> (Núr+Ba</w:t>
      </w:r>
      <w:r w:rsidRPr="008F03E5">
        <w:rPr>
          <w:u w:val="single"/>
        </w:rPr>
        <w:t>khsh</w:t>
      </w:r>
      <w:r w:rsidRPr="008F03E5">
        <w:t>)</w:t>
      </w:r>
      <w:r w:rsidRPr="008F03E5">
        <w:tab/>
        <w:t>Mír Sayyid Muḥammad Núrba</w:t>
      </w:r>
      <w:r w:rsidRPr="008F03E5">
        <w:rPr>
          <w:u w:val="single"/>
        </w:rPr>
        <w:t>khsh</w:t>
      </w:r>
      <w:r w:rsidRPr="008F03E5">
        <w:t xml:space="preserve"> Qahistání (1392–1464) was a mystic ṣúfí from whose name developed the Núrba</w:t>
      </w:r>
      <w:r w:rsidRPr="008F03E5">
        <w:rPr>
          <w:u w:val="single"/>
        </w:rPr>
        <w:t>khsh</w:t>
      </w:r>
      <w:r w:rsidRPr="008F03E5">
        <w:t>íya school of Islam.</w:t>
      </w:r>
    </w:p>
    <w:p w14:paraId="450661A7" w14:textId="77777777" w:rsidR="00625A5B" w:rsidRPr="008F03E5" w:rsidRDefault="00625A5B" w:rsidP="005C72F8">
      <w:pPr>
        <w:pStyle w:val="Translit"/>
      </w:pPr>
      <w:r w:rsidRPr="008F03E5">
        <w:t>Nuri, Nuriya, Nuriyya (Nuriyyih)</w:t>
      </w:r>
      <w:r w:rsidRPr="008F03E5">
        <w:tab/>
        <w:t>Núrí, fem. Núríya (Pers. Núriyya)</w:t>
      </w:r>
      <w:r w:rsidRPr="008F03E5">
        <w:tab/>
        <w:t>luminary, luminous, like light; light-, lighting- (in compounds); bright, shining, brilliant, radiant</w:t>
      </w:r>
    </w:p>
    <w:p w14:paraId="20DD10EC" w14:textId="77777777" w:rsidR="00625A5B" w:rsidRPr="008F03E5" w:rsidRDefault="00625A5B" w:rsidP="00DC45C0">
      <w:pPr>
        <w:pStyle w:val="Translit"/>
      </w:pPr>
      <w:r w:rsidRPr="008F03E5">
        <w:t>Nuri’d-Din, Nuru’d-Din</w:t>
      </w:r>
      <w:r w:rsidRPr="008F03E5">
        <w:tab/>
        <w:t>Núri’d-Dín (obj.), Núru’d-Dín (subj.)</w:t>
      </w:r>
      <w:r w:rsidRPr="008F03E5">
        <w:tab/>
        <w:t>Light of Faith</w:t>
      </w:r>
    </w:p>
    <w:p w14:paraId="5BDEEBA0" w14:textId="77777777" w:rsidR="00625A5B" w:rsidRPr="008F03E5" w:rsidRDefault="00625A5B" w:rsidP="00900A82">
      <w:pPr>
        <w:pStyle w:val="Translit"/>
      </w:pPr>
      <w:r w:rsidRPr="008F03E5">
        <w:t>Nuri’d-Din-i-Zayn</w:t>
      </w:r>
      <w:r w:rsidRPr="008F03E5">
        <w:tab/>
        <w:t>Núri’d-Dín-i-Zayn</w:t>
      </w:r>
      <w:r w:rsidRPr="008F03E5">
        <w:tab/>
        <w:t>(“Zeine”), Mírzá Núri’d-Dín-i-Zayn</w:t>
      </w:r>
    </w:p>
    <w:p w14:paraId="12023451" w14:textId="77777777" w:rsidR="00625A5B" w:rsidRPr="008F03E5" w:rsidRDefault="00625A5B" w:rsidP="00452D4E">
      <w:pPr>
        <w:pStyle w:val="Translit"/>
        <w:rPr>
          <w:rFonts w:eastAsia="PMingLiU"/>
          <w:lang w:eastAsia="zh-TW"/>
        </w:rPr>
      </w:pPr>
      <w:r w:rsidRPr="008F03E5">
        <w:rPr>
          <w:rFonts w:eastAsia="PMingLiU"/>
          <w:lang w:eastAsia="zh-TW"/>
        </w:rPr>
        <w:t>Nuru’l-Azam</w:t>
      </w:r>
      <w:r w:rsidRPr="008F03E5">
        <w:rPr>
          <w:rFonts w:eastAsia="PMingLiU"/>
          <w:lang w:eastAsia="zh-TW"/>
        </w:rPr>
        <w:tab/>
        <w:t>N</w:t>
      </w:r>
      <w:r w:rsidRPr="008F03E5">
        <w:t>ú</w:t>
      </w:r>
      <w:r w:rsidRPr="008F03E5">
        <w:rPr>
          <w:rFonts w:eastAsia="PMingLiU"/>
          <w:lang w:eastAsia="zh-TW"/>
        </w:rPr>
        <w:t>ru’l-</w:t>
      </w:r>
      <w:r w:rsidRPr="008F03E5">
        <w:t>A‘ẓam</w:t>
      </w:r>
      <w:r w:rsidRPr="008F03E5">
        <w:tab/>
        <w:t>“Most Great Light”</w:t>
      </w:r>
    </w:p>
    <w:p w14:paraId="799DBD12" w14:textId="77777777" w:rsidR="00625A5B" w:rsidRPr="008F03E5" w:rsidRDefault="00625A5B" w:rsidP="00900A82">
      <w:pPr>
        <w:pStyle w:val="Translit"/>
        <w:rPr>
          <w:rFonts w:eastAsia="PMingLiU"/>
          <w:lang w:eastAsia="zh-TW"/>
        </w:rPr>
      </w:pPr>
      <w:r w:rsidRPr="008F03E5">
        <w:rPr>
          <w:rFonts w:eastAsia="PMingLiU"/>
          <w:lang w:eastAsia="zh-TW"/>
        </w:rPr>
        <w:t>Nuru’llah</w:t>
      </w:r>
      <w:r w:rsidRPr="008F03E5">
        <w:tab/>
      </w:r>
      <w:r w:rsidRPr="008F03E5">
        <w:rPr>
          <w:rFonts w:eastAsia="PMingLiU"/>
          <w:lang w:eastAsia="zh-TW"/>
        </w:rPr>
        <w:t>Núru’lláh</w:t>
      </w:r>
      <w:r w:rsidRPr="008F03E5">
        <w:tab/>
        <w:t>Light of God</w:t>
      </w:r>
    </w:p>
    <w:p w14:paraId="336B5DD7" w14:textId="77777777" w:rsidR="00625A5B" w:rsidRPr="008F03E5" w:rsidRDefault="00625A5B" w:rsidP="004E3A26">
      <w:pPr>
        <w:pStyle w:val="Translit"/>
      </w:pPr>
      <w:r w:rsidRPr="008F03E5">
        <w:t>Nusayr (Nusair)</w:t>
      </w:r>
      <w:r w:rsidRPr="008F03E5">
        <w:tab/>
        <w:t>Nuṣayr</w:t>
      </w:r>
      <w:r w:rsidRPr="008F03E5">
        <w:tab/>
        <w:t>(</w:t>
      </w:r>
      <w:r>
        <w:t>v</w:t>
      </w:r>
      <w:r w:rsidRPr="008F03E5">
        <w:t>ictory, dimi</w:t>
      </w:r>
      <w:r>
        <w:t>n</w:t>
      </w:r>
      <w:r w:rsidRPr="008F03E5">
        <w:t xml:space="preserve">utive form of Naṣr)  </w:t>
      </w:r>
      <w:r>
        <w:t>A faithful follower of Im</w:t>
      </w:r>
      <w:r w:rsidRPr="00451FDF">
        <w:t>á</w:t>
      </w:r>
      <w:r>
        <w:t>m ‘Al</w:t>
      </w:r>
      <w:r w:rsidRPr="00031B73">
        <w:t>í</w:t>
      </w:r>
      <w:r w:rsidRPr="008F03E5">
        <w:t xml:space="preserve"> </w:t>
      </w:r>
      <w:r>
        <w:t xml:space="preserve">and the name </w:t>
      </w:r>
      <w:r w:rsidRPr="008F03E5">
        <w:t>of the founder of an Islamic sect.</w:t>
      </w:r>
    </w:p>
    <w:p w14:paraId="38FBD626" w14:textId="77777777" w:rsidR="00625A5B" w:rsidRPr="008F03E5" w:rsidRDefault="00625A5B" w:rsidP="00451FDF">
      <w:pPr>
        <w:pStyle w:val="Translit"/>
      </w:pPr>
      <w:r w:rsidRPr="008F03E5">
        <w:t>Nusayri (Nusairi), Nusayriyyah</w:t>
      </w:r>
      <w:r w:rsidRPr="008F03E5">
        <w:tab/>
        <w:t>Nuṣayrí, pl. Nuṣayríya, Nuṣayriyyah</w:t>
      </w:r>
      <w:r w:rsidRPr="008F03E5">
        <w:tab/>
        <w:t xml:space="preserve">related to Nuṣayr.—pl. Nusseyrites.  People of victory, a small Islamic sect of western Írán and northern Syrian.  See </w:t>
      </w:r>
      <w:r w:rsidRPr="008F03E5">
        <w:rPr>
          <w:rFonts w:eastAsia="PMingLiU"/>
          <w:lang w:eastAsia="zh-TW"/>
        </w:rPr>
        <w:t>‘Alíyu’lláhí</w:t>
      </w:r>
      <w:r w:rsidRPr="008F03E5">
        <w:t xml:space="preserve"> </w:t>
      </w:r>
      <w:r>
        <w:t xml:space="preserve"> and </w:t>
      </w:r>
      <w:r w:rsidRPr="008F03E5">
        <w:t>‘Alawí.</w:t>
      </w:r>
    </w:p>
    <w:p w14:paraId="30534FDD" w14:textId="77777777" w:rsidR="00625A5B" w:rsidRPr="008F03E5" w:rsidRDefault="00625A5B" w:rsidP="00DE03AC">
      <w:pPr>
        <w:pStyle w:val="Translit"/>
      </w:pPr>
      <w:r w:rsidRPr="008F03E5">
        <w:t>Nush</w:t>
      </w:r>
      <w:r w:rsidRPr="008F03E5">
        <w:tab/>
        <w:t>Nú</w:t>
      </w:r>
      <w:r w:rsidRPr="008F03E5">
        <w:rPr>
          <w:u w:val="single"/>
        </w:rPr>
        <w:t>sh</w:t>
      </w:r>
      <w:r w:rsidRPr="008F03E5">
        <w:tab/>
        <w:t>Pers. drink thou; (in compounds) drinking; a drinker; a drink, draught; anything drunk, especially sweet, agreeable, and wholesome; honey; treacle; an antidote against poison; the water or life of immortality; life; sweetness; sweet; pleasing, agreeable</w:t>
      </w:r>
    </w:p>
    <w:p w14:paraId="072BA5E2" w14:textId="77777777" w:rsidR="00625A5B" w:rsidRPr="008F03E5" w:rsidRDefault="00625A5B" w:rsidP="00DE03AC">
      <w:pPr>
        <w:pStyle w:val="Translit"/>
      </w:pPr>
      <w:r w:rsidRPr="008F03E5">
        <w:t>Nush-i-jan (Noshe jan)</w:t>
      </w:r>
      <w:r w:rsidRPr="008F03E5">
        <w:tab/>
        <w:t>Nú</w:t>
      </w:r>
      <w:r w:rsidRPr="008F03E5">
        <w:rPr>
          <w:u w:val="single"/>
        </w:rPr>
        <w:t>sh</w:t>
      </w:r>
      <w:r w:rsidRPr="008F03E5">
        <w:t>-i-ján</w:t>
      </w:r>
      <w:r w:rsidRPr="008F03E5">
        <w:tab/>
        <w:t xml:space="preserve">Pers. what prolongs life; what rejoices the mind; “may your soul be nourished” or “may the food prolong your life”.  Equivalent of </w:t>
      </w:r>
      <w:r w:rsidRPr="008F03E5">
        <w:rPr>
          <w:i/>
          <w:iCs/>
        </w:rPr>
        <w:t>bon appetite</w:t>
      </w:r>
      <w:r w:rsidRPr="008F03E5">
        <w:t xml:space="preserve"> or have a nice meal.</w:t>
      </w:r>
    </w:p>
    <w:p w14:paraId="3087855A" w14:textId="77777777" w:rsidR="00625A5B" w:rsidRPr="008F03E5" w:rsidRDefault="00625A5B" w:rsidP="00472347">
      <w:pPr>
        <w:pStyle w:val="Translit"/>
      </w:pPr>
      <w:r w:rsidRPr="008F03E5">
        <w:t>Nushu’</w:t>
      </w:r>
      <w:r w:rsidRPr="008F03E5">
        <w:tab/>
        <w:t>Nu</w:t>
      </w:r>
      <w:r w:rsidRPr="008F03E5">
        <w:rPr>
          <w:u w:val="single"/>
        </w:rPr>
        <w:t>sh</w:t>
      </w:r>
      <w:r w:rsidRPr="008F03E5">
        <w:t>ú’</w:t>
      </w:r>
      <w:r w:rsidRPr="008F03E5">
        <w:tab/>
        <w:t>creating; living; growing up</w:t>
      </w:r>
    </w:p>
    <w:p w14:paraId="5A1394A7" w14:textId="77777777" w:rsidR="00625A5B" w:rsidRPr="008F03E5" w:rsidRDefault="00625A5B" w:rsidP="000869F5">
      <w:pPr>
        <w:pStyle w:val="Translit"/>
      </w:pPr>
      <w:r w:rsidRPr="008F03E5">
        <w:t>Nushur, Yaum an-Nushur</w:t>
      </w:r>
      <w:r w:rsidRPr="008F03E5">
        <w:tab/>
        <w:t>Nu</w:t>
      </w:r>
      <w:r w:rsidRPr="008F03E5">
        <w:rPr>
          <w:u w:val="single"/>
        </w:rPr>
        <w:t>sh</w:t>
      </w:r>
      <w:r w:rsidRPr="008F03E5">
        <w:t>úr</w:t>
      </w:r>
      <w:r w:rsidRPr="008F03E5">
        <w:tab/>
        <w:t>resurrection.  Yaum an-Nu</w:t>
      </w:r>
      <w:r w:rsidRPr="008F03E5">
        <w:rPr>
          <w:u w:val="single"/>
        </w:rPr>
        <w:t>sh</w:t>
      </w:r>
      <w:r w:rsidRPr="008F03E5">
        <w:t>úr, Day of Resurrection.</w:t>
      </w:r>
    </w:p>
    <w:p w14:paraId="3C3AA508" w14:textId="77777777" w:rsidR="00625A5B" w:rsidRPr="008F03E5" w:rsidRDefault="00625A5B" w:rsidP="003A6CF2">
      <w:pPr>
        <w:pStyle w:val="Translit"/>
      </w:pPr>
      <w:r w:rsidRPr="008F03E5">
        <w:t>Nushuz</w:t>
      </w:r>
      <w:r w:rsidRPr="008F03E5">
        <w:tab/>
        <w:t>Nu</w:t>
      </w:r>
      <w:r w:rsidRPr="008F03E5">
        <w:rPr>
          <w:u w:val="single"/>
        </w:rPr>
        <w:t>sh</w:t>
      </w:r>
      <w:r w:rsidRPr="008F03E5">
        <w:t>úz</w:t>
      </w:r>
      <w:r w:rsidRPr="008F03E5">
        <w:tab/>
        <w:t>animosity, hostility; antipathy; dissonance, discord; (Islamic law) violation of marital duties on the part of either husband or wife, specifically, recalcitrance of the woman toward her husband, and brutal treatment of the wife by the husband.  Qur’án 4:34</w:t>
      </w:r>
    </w:p>
    <w:p w14:paraId="30D9FFFF" w14:textId="77777777" w:rsidR="00625A5B" w:rsidRPr="008F03E5" w:rsidRDefault="00625A5B" w:rsidP="00685332">
      <w:pPr>
        <w:pStyle w:val="Translit"/>
      </w:pPr>
      <w:r w:rsidRPr="008F03E5">
        <w:t>Nusifat</w:t>
      </w:r>
      <w:r w:rsidRPr="008F03E5">
        <w:tab/>
        <w:t>Nusifat</w:t>
      </w:r>
      <w:r w:rsidRPr="008F03E5">
        <w:tab/>
        <w:t>to be pulverised, to be obliterated, to be uprooted, to be reduced to dust, to be scattered around Qur’án 77:10.  See nasafa.</w:t>
      </w:r>
    </w:p>
    <w:p w14:paraId="363E962E" w14:textId="77777777" w:rsidR="00625A5B" w:rsidRPr="008F03E5" w:rsidRDefault="00625A5B" w:rsidP="00D40CB8">
      <w:pPr>
        <w:pStyle w:val="Translit"/>
      </w:pPr>
      <w:r w:rsidRPr="008F03E5">
        <w:t>Nuskha, Nuskhatayn, Nusakh</w:t>
      </w:r>
      <w:r w:rsidRPr="008F03E5">
        <w:tab/>
        <w:t>Nus</w:t>
      </w:r>
      <w:r w:rsidRPr="008F03E5">
        <w:rPr>
          <w:u w:val="single"/>
        </w:rPr>
        <w:t>kh</w:t>
      </w:r>
      <w:r w:rsidRPr="008F03E5">
        <w:t>a[h or t], dual Nus</w:t>
      </w:r>
      <w:r w:rsidRPr="008F03E5">
        <w:rPr>
          <w:u w:val="single"/>
        </w:rPr>
        <w:t>kh</w:t>
      </w:r>
      <w:r w:rsidRPr="008F03E5">
        <w:t>atayn</w:t>
      </w:r>
      <w:r w:rsidRPr="008F03E5">
        <w:tab/>
        <w:t>(pl. Nusa</w:t>
      </w:r>
      <w:r w:rsidRPr="008F03E5">
        <w:rPr>
          <w:u w:val="single"/>
        </w:rPr>
        <w:t>kh</w:t>
      </w:r>
      <w:r w:rsidRPr="008F03E5">
        <w:t>) transcript; copy (also, e.g., of a book, of a newspaper, etc.); exemplar, prototype, archetype, a copy or model whence anything is taken; a manuscript-copy; an inventory.  Hence, nus</w:t>
      </w:r>
      <w:r w:rsidRPr="008F03E5">
        <w:rPr>
          <w:u w:val="single"/>
        </w:rPr>
        <w:t>kh</w:t>
      </w:r>
      <w:r w:rsidRPr="008F03E5">
        <w:t>atayn min al-Qur’án (“two copies of the Qur’án”) or nusa</w:t>
      </w:r>
      <w:r w:rsidRPr="008F03E5">
        <w:rPr>
          <w:rFonts w:eastAsia="Times New Roman"/>
          <w:u w:val="single"/>
        </w:rPr>
        <w:t>kh</w:t>
      </w:r>
      <w:r w:rsidRPr="008F03E5">
        <w:t xml:space="preserve"> al-muṣḥaf (“copies of the Qur’án”).</w:t>
      </w:r>
    </w:p>
    <w:p w14:paraId="1A143390" w14:textId="77777777" w:rsidR="00625A5B" w:rsidRPr="00BC5FC2" w:rsidRDefault="00625A5B" w:rsidP="00EA6633">
      <w:pPr>
        <w:pStyle w:val="Translit"/>
      </w:pPr>
      <w:r w:rsidRPr="00BC5FC2">
        <w:rPr>
          <w:lang w:val="en-AU"/>
        </w:rPr>
        <w:t>Nusrat ad-Dawla</w:t>
      </w:r>
      <w:r w:rsidRPr="00BC5FC2">
        <w:rPr>
          <w:lang w:val="en-AU"/>
        </w:rPr>
        <w:tab/>
        <w:t>Nuṣrat ad-Dawla</w:t>
      </w:r>
      <w:r w:rsidRPr="00BC5FC2">
        <w:rPr>
          <w:lang w:val="en-AU"/>
        </w:rPr>
        <w:tab/>
      </w:r>
      <w:r w:rsidRPr="00BC5FC2">
        <w:t xml:space="preserve">“Victory of the </w:t>
      </w:r>
      <w:r>
        <w:t>s</w:t>
      </w:r>
      <w:r w:rsidRPr="00BC5FC2">
        <w:t>tate</w:t>
      </w:r>
      <w:r>
        <w:t>”</w:t>
      </w:r>
      <w:r w:rsidRPr="00BC5FC2">
        <w:t xml:space="preserve"> or </w:t>
      </w:r>
      <w:r>
        <w:t>“Victory of the d</w:t>
      </w:r>
      <w:r w:rsidRPr="00BC5FC2">
        <w:t xml:space="preserve">ynasty”.  </w:t>
      </w:r>
      <w:r>
        <w:t xml:space="preserve">A title of </w:t>
      </w:r>
      <w:r w:rsidRPr="00BC5FC2">
        <w:t>Fírúz Mírzá (1818–1886).  He was the Governor of Fars 1835</w:t>
      </w:r>
      <w:r>
        <w:t>–</w:t>
      </w:r>
      <w:r w:rsidRPr="00BC5FC2">
        <w:t>1836 and 1850–1853</w:t>
      </w:r>
      <w:r>
        <w:t>.</w:t>
      </w:r>
    </w:p>
    <w:p w14:paraId="140ACE6B" w14:textId="77777777" w:rsidR="00625A5B" w:rsidRPr="008F03E5" w:rsidRDefault="00625A5B" w:rsidP="00900A82">
      <w:pPr>
        <w:pStyle w:val="Translit"/>
      </w:pPr>
      <w:r w:rsidRPr="008F03E5">
        <w:t>Nusratu’llah</w:t>
      </w:r>
      <w:r w:rsidRPr="008F03E5">
        <w:tab/>
        <w:t>Nuṣratu’lláh</w:t>
      </w:r>
      <w:r w:rsidRPr="008F03E5">
        <w:tab/>
        <w:t>Assistance of God</w:t>
      </w:r>
    </w:p>
    <w:p w14:paraId="7D9D8DB3" w14:textId="77777777" w:rsidR="00625A5B" w:rsidRPr="008F03E5" w:rsidRDefault="00625A5B" w:rsidP="002E53ED">
      <w:pPr>
        <w:pStyle w:val="Translit"/>
      </w:pPr>
      <w:r w:rsidRPr="008F03E5">
        <w:t>Nusturi, Nasatira</w:t>
      </w:r>
      <w:r w:rsidRPr="008F03E5">
        <w:tab/>
        <w:t>Nusṭúrí, pl. Nasáṭira[h or t]</w:t>
      </w:r>
      <w:r w:rsidRPr="008F03E5">
        <w:tab/>
        <w:t>Nestorian</w:t>
      </w:r>
    </w:p>
    <w:p w14:paraId="2051FA06" w14:textId="77777777" w:rsidR="00625A5B" w:rsidRPr="008F03E5" w:rsidRDefault="00625A5B" w:rsidP="00124531">
      <w:pPr>
        <w:pStyle w:val="Translit"/>
      </w:pPr>
      <w:r w:rsidRPr="00397500">
        <w:t>Nutfa, Nutaf</w:t>
      </w:r>
      <w:r w:rsidRPr="00397500">
        <w:tab/>
        <w:t xml:space="preserve">Nuṭfa[t], pl. </w:t>
      </w:r>
      <w:r w:rsidRPr="008F03E5">
        <w:t>Nuṭaf</w:t>
      </w:r>
      <w:r w:rsidRPr="008F03E5">
        <w:tab/>
        <w:t>drop, clear water, lymph; sperm, life-force; the sea; race, stock, descent</w:t>
      </w:r>
    </w:p>
    <w:p w14:paraId="03F18489" w14:textId="77777777" w:rsidR="00625A5B" w:rsidRPr="008F03E5" w:rsidRDefault="00625A5B" w:rsidP="00A74BA6">
      <w:pPr>
        <w:pStyle w:val="Translit"/>
      </w:pPr>
      <w:r w:rsidRPr="008F03E5">
        <w:t>Nuwwab al-‘Arba’ah</w:t>
      </w:r>
      <w:r w:rsidRPr="008F03E5">
        <w:tab/>
        <w:t>an-Nuwwáb al-‘Arba’a[h]</w:t>
      </w:r>
      <w:r w:rsidRPr="008F03E5">
        <w:tab/>
        <w:t>“the four agents or deputies” of the Twelfth Imám.  See al-Abwáb al-Arba‘a[h].</w:t>
      </w:r>
    </w:p>
    <w:p w14:paraId="637632C4" w14:textId="77777777" w:rsidR="00625A5B" w:rsidRPr="008F03E5" w:rsidRDefault="00625A5B" w:rsidP="0096590E">
      <w:pPr>
        <w:pStyle w:val="Translit"/>
      </w:pPr>
      <w:r w:rsidRPr="008F03E5">
        <w:t>Nuzha, Nuzah, Nuzhat</w:t>
      </w:r>
      <w:r w:rsidRPr="008F03E5">
        <w:tab/>
        <w:t>Nuzha[h or t], pl. Nuzah, Nuzhát</w:t>
      </w:r>
      <w:r w:rsidRPr="008F03E5">
        <w:tab/>
        <w:t>walk, stroll, promenade; pleasure ride; outing, excursion, pleasure trip; recreation; amusement, entertainment, diversion, fun; excursion spot, picnic ground, sight-seeing spot, tourist attraction.  Ḥadá’iq a</w:t>
      </w:r>
      <w:r>
        <w:t>n</w:t>
      </w:r>
      <w:r w:rsidRPr="008F03E5">
        <w:t>-Nuzhat (“Pleasure gardens”, 31.203131, 29.943921), Alexandria, Egypt.</w:t>
      </w:r>
    </w:p>
    <w:p w14:paraId="48866F7B" w14:textId="77777777" w:rsidR="00625A5B" w:rsidRPr="008F03E5" w:rsidRDefault="00625A5B" w:rsidP="002137BF">
      <w:pPr>
        <w:pStyle w:val="Translit"/>
      </w:pPr>
      <w:r w:rsidRPr="008F03E5">
        <w:t>Nuzl, Anzal</w:t>
      </w:r>
      <w:r w:rsidRPr="008F03E5">
        <w:tab/>
        <w:t>Nuzl, pl. Anzál</w:t>
      </w:r>
      <w:r w:rsidRPr="008F03E5">
        <w:tab/>
        <w:t>food served to a guest</w:t>
      </w:r>
    </w:p>
    <w:p w14:paraId="686F9933" w14:textId="77777777" w:rsidR="00625A5B" w:rsidRPr="008F03E5" w:rsidRDefault="00625A5B" w:rsidP="009F0432">
      <w:pPr>
        <w:pStyle w:val="Translit"/>
      </w:pPr>
      <w:r w:rsidRPr="008F03E5">
        <w:t>Nuzul</w:t>
      </w:r>
      <w:r w:rsidRPr="008F03E5">
        <w:tab/>
        <w:t>Nuzúl</w:t>
      </w:r>
      <w:r w:rsidRPr="008F03E5">
        <w:tab/>
        <w:t>descending, descent; dismounting, alighting; getting off or out (of a vehicle), disembarkation, debarkation; landing (of an airplane); arrival; putting up, stopping, stop, stopover, stay; cession, surrender, relinquishment, renunciation, resignation; falling, fall, drop; sinking; decline in prices, price slump</w:t>
      </w:r>
    </w:p>
    <w:p w14:paraId="1C55195D" w14:textId="77777777" w:rsidR="00625A5B" w:rsidRPr="008F03E5" w:rsidRDefault="00625A5B" w:rsidP="0024326A">
      <w:pPr>
        <w:pStyle w:val="Myhead"/>
      </w:pPr>
      <w:bookmarkStart w:id="114" w:name="P"/>
      <w:r w:rsidRPr="008F03E5">
        <w:t>P</w:t>
      </w:r>
      <w:bookmarkEnd w:id="114"/>
    </w:p>
    <w:p w14:paraId="07BAC47A" w14:textId="77777777" w:rsidR="00625A5B" w:rsidRPr="008F03E5" w:rsidRDefault="00625A5B" w:rsidP="0077635B">
      <w:pPr>
        <w:pStyle w:val="Translit"/>
      </w:pPr>
      <w:r w:rsidRPr="008F03E5">
        <w:t>Pa</w:t>
      </w:r>
      <w:r w:rsidRPr="008F03E5">
        <w:tab/>
        <w:t>Pá</w:t>
      </w:r>
      <w:r w:rsidRPr="008F03E5">
        <w:tab/>
        <w:t>Pers. the foot; a footstep, vestige; cause, pretence, pretext; power, strength; opposition, resistance</w:t>
      </w:r>
    </w:p>
    <w:p w14:paraId="23103EEF" w14:textId="77777777" w:rsidR="00625A5B" w:rsidRPr="008F03E5" w:rsidRDefault="00625A5B" w:rsidP="006F3F28">
      <w:pPr>
        <w:pStyle w:val="Translit"/>
      </w:pPr>
      <w:r w:rsidRPr="008F03E5">
        <w:t>Pa’in</w:t>
      </w:r>
      <w:r w:rsidRPr="008F03E5">
        <w:tab/>
        <w:t>Pá’</w:t>
      </w:r>
      <w:r w:rsidRPr="006F3F28">
        <w:t>í</w:t>
      </w:r>
      <w:r w:rsidRPr="008F03E5">
        <w:t>n</w:t>
      </w:r>
      <w:r w:rsidRPr="008F03E5">
        <w:tab/>
        <w:t>Pers. lower part, bottom, foundation.  See suflá (asfal), and contrast with bálá and ‘ulyá (used for upper parts of villages)</w:t>
      </w:r>
    </w:p>
    <w:p w14:paraId="414B1CA8" w14:textId="77777777" w:rsidR="00625A5B" w:rsidRPr="008F03E5" w:rsidRDefault="00625A5B" w:rsidP="002B25DD">
      <w:pPr>
        <w:pStyle w:val="Translit"/>
      </w:pPr>
      <w:r w:rsidRPr="008F03E5">
        <w:t>Pad</w:t>
      </w:r>
      <w:r w:rsidRPr="008F03E5">
        <w:tab/>
        <w:t>Pád</w:t>
      </w:r>
      <w:r w:rsidRPr="008F03E5">
        <w:tab/>
        <w:t>Pers. protecting, guarding; a guardian; great; firm, durable; a throne; power, possession.</w:t>
      </w:r>
    </w:p>
    <w:p w14:paraId="79973DF5" w14:textId="77777777" w:rsidR="00625A5B" w:rsidRPr="008F03E5" w:rsidRDefault="00625A5B" w:rsidP="009819A0">
      <w:pPr>
        <w:pStyle w:val="Translit"/>
      </w:pPr>
      <w:r w:rsidRPr="008F03E5">
        <w:t>Pad-Shah (Padshah)</w:t>
      </w:r>
      <w:r w:rsidRPr="008F03E5">
        <w:tab/>
        <w:t>Pád-</w:t>
      </w:r>
      <w:r w:rsidRPr="008F03E5">
        <w:rPr>
          <w:u w:val="single"/>
        </w:rPr>
        <w:t>sh</w:t>
      </w:r>
      <w:r w:rsidRPr="008F03E5">
        <w:t>áh (Pád</w:t>
      </w:r>
      <w:r w:rsidRPr="008F03E5">
        <w:rPr>
          <w:u w:val="single"/>
        </w:rPr>
        <w:t>sh</w:t>
      </w:r>
      <w:r w:rsidRPr="008F03E5">
        <w:t>áh)</w:t>
      </w:r>
      <w:r w:rsidRPr="008F03E5">
        <w:tab/>
        <w:t xml:space="preserve">Pers. (Padshah, Padishah, Padeshah) (protecting lord), an emperor, sovereign, monarch, great king.  The Shah of Iran and the Sultan of the Ottoman Empire were styled Padishah.  See </w:t>
      </w:r>
      <w:r w:rsidRPr="008F03E5">
        <w:rPr>
          <w:i/>
          <w:iCs/>
        </w:rPr>
        <w:t>Tablets of Abdul-Baha Abbas</w:t>
      </w:r>
      <w:r w:rsidRPr="008F03E5">
        <w:t>.</w:t>
      </w:r>
    </w:p>
    <w:p w14:paraId="3A30D38B" w14:textId="77777777" w:rsidR="00625A5B" w:rsidRPr="008F03E5" w:rsidRDefault="00625A5B" w:rsidP="008B389F">
      <w:pPr>
        <w:pStyle w:val="Translit"/>
      </w:pPr>
      <w:r w:rsidRPr="008F03E5">
        <w:t>Pahlaw (Pahlav)</w:t>
      </w:r>
      <w:r>
        <w:t>, Pahlawan</w:t>
      </w:r>
      <w:r w:rsidRPr="008F03E5">
        <w:tab/>
        <w:t>Pahlaw</w:t>
      </w:r>
      <w:r>
        <w:t xml:space="preserve"> (Pahla), Pahlaw</w:t>
      </w:r>
      <w:r w:rsidRPr="008B389F">
        <w:t>á</w:t>
      </w:r>
      <w:r>
        <w:t>n</w:t>
      </w:r>
      <w:r w:rsidRPr="008F03E5">
        <w:tab/>
        <w:t xml:space="preserve">Pers. </w:t>
      </w:r>
      <w:r w:rsidRPr="008B389F">
        <w:t>Pahla comes from the term Pahlaw and thus from Parthav (Old Persian</w:t>
      </w:r>
      <w:r>
        <w:t xml:space="preserve"> </w:t>
      </w:r>
      <w:r w:rsidRPr="008B389F">
        <w:t>Parthia; Middle Persian</w:t>
      </w:r>
      <w:r>
        <w:t xml:space="preserve"> </w:t>
      </w:r>
      <w:r w:rsidRPr="008B389F">
        <w:t xml:space="preserve">Pahlaw). </w:t>
      </w:r>
      <w:r>
        <w:t xml:space="preserve"> </w:t>
      </w:r>
      <w:r w:rsidRPr="008B389F">
        <w:t>This is identical to the concept of the Parthians and Parthia.</w:t>
      </w:r>
      <w:r w:rsidRPr="008F03E5">
        <w:t xml:space="preserve"> </w:t>
      </w:r>
      <w:r>
        <w:t xml:space="preserve"> It also entered a number of languages as </w:t>
      </w:r>
      <w:r w:rsidRPr="008B389F">
        <w:t>a military or even legendary title, as Pahlawán</w:t>
      </w:r>
      <w:r>
        <w:t>.  Hence, a</w:t>
      </w:r>
      <w:r w:rsidRPr="008B389F">
        <w:t xml:space="preserve"> </w:t>
      </w:r>
      <w:r w:rsidRPr="008F03E5">
        <w:t>hero, champion, brave warrior, strong athletic man; a wrestler; a saint; traditional Persian wrestling</w:t>
      </w:r>
      <w:r>
        <w:t>.</w:t>
      </w:r>
    </w:p>
    <w:p w14:paraId="7E3058C7" w14:textId="77777777" w:rsidR="00625A5B" w:rsidRPr="008F03E5" w:rsidRDefault="00625A5B" w:rsidP="003323AF">
      <w:pPr>
        <w:pStyle w:val="Translit"/>
      </w:pPr>
      <w:r w:rsidRPr="008F03E5">
        <w:t>Pahlawi (Pahlavi, Parsik, Parsig)</w:t>
      </w:r>
      <w:r w:rsidRPr="008F03E5">
        <w:tab/>
        <w:t>Pahlawí (Pahlaví), pl. Pahlawí-há</w:t>
      </w:r>
      <w:r w:rsidRPr="008F03E5">
        <w:tab/>
        <w:t>Pers. belonging to a city; a citizen; an ancient Persian and what relates to him; saintly; family name of a recent short “dynasty” (</w:t>
      </w:r>
      <w:r w:rsidRPr="008F03E5">
        <w:rPr>
          <w:u w:val="single"/>
        </w:rPr>
        <w:t>Kh</w:t>
      </w:r>
      <w:r w:rsidRPr="008F03E5">
        <w:t xml:space="preserve">ánadán Pahlaví, the family of the Pahlavis) of </w:t>
      </w:r>
      <w:r w:rsidRPr="008F03E5">
        <w:rPr>
          <w:u w:val="single"/>
        </w:rPr>
        <w:t>Sh</w:t>
      </w:r>
      <w:r w:rsidRPr="008F03E5">
        <w:t xml:space="preserve">áhs begun in 1925 by Riḍá </w:t>
      </w:r>
      <w:r w:rsidRPr="008F03E5">
        <w:rPr>
          <w:u w:val="single"/>
        </w:rPr>
        <w:t>Kh</w:t>
      </w:r>
      <w:r w:rsidRPr="008F03E5">
        <w:t>án.  Plural (pahlaviha”) applies to ordinary people.  Middle Persian or Pahlawí, also known by its endonym Pársík or Pársíg in its later form, is a Western Middle Iranian language that became the literary language of the Sasanian Empire.  Middle Persian continued to function as a prestige language years after the Sasanian collapse.  It is descended from Old Persian, the language of the Achaemenid Empire and is the linguistic ancestor of Modern (or New) Persian (also known by its endonym Fársí), the official language of Iran, Afghanistan and Tajikistan.</w:t>
      </w:r>
    </w:p>
    <w:p w14:paraId="1FCACFF8" w14:textId="77777777" w:rsidR="00625A5B" w:rsidRPr="008F03E5" w:rsidRDefault="00625A5B" w:rsidP="00DE03AC">
      <w:pPr>
        <w:pStyle w:val="Translit"/>
      </w:pPr>
      <w:r w:rsidRPr="008F03E5">
        <w:t>Pak</w:t>
      </w:r>
      <w:r w:rsidRPr="008F03E5">
        <w:tab/>
        <w:t>Pák</w:t>
      </w:r>
      <w:r w:rsidRPr="008F03E5">
        <w:tab/>
        <w:t>Pers. pure, chaste, innocent, clean, neat; perfect, full, complete; all, entire; downright</w:t>
      </w:r>
    </w:p>
    <w:p w14:paraId="4299125E" w14:textId="77777777" w:rsidR="00625A5B" w:rsidRPr="008F03E5" w:rsidRDefault="00625A5B" w:rsidP="005202B1">
      <w:pPr>
        <w:pStyle w:val="Translit"/>
      </w:pPr>
      <w:r w:rsidRPr="008F03E5">
        <w:t>Pakbaz</w:t>
      </w:r>
      <w:r w:rsidRPr="008F03E5">
        <w:tab/>
        <w:t>Pákbáz</w:t>
      </w:r>
      <w:r w:rsidRPr="008F03E5">
        <w:tab/>
        <w:t>utmost detachment or those who risk all they have in gambling, those who give away whatever they have</w:t>
      </w:r>
    </w:p>
    <w:p w14:paraId="05627F9C" w14:textId="77777777" w:rsidR="00625A5B" w:rsidRPr="008F03E5" w:rsidRDefault="00625A5B" w:rsidP="00DE03AC">
      <w:pPr>
        <w:pStyle w:val="Translit"/>
      </w:pPr>
      <w:r w:rsidRPr="008F03E5">
        <w:t>Pakdini</w:t>
      </w:r>
      <w:r w:rsidRPr="008F03E5">
        <w:tab/>
        <w:t>Pákdíní</w:t>
      </w:r>
      <w:r w:rsidRPr="008F03E5">
        <w:tab/>
        <w:t>Pers. pure religion</w:t>
      </w:r>
    </w:p>
    <w:p w14:paraId="2EC646E2" w14:textId="77777777" w:rsidR="00625A5B" w:rsidRPr="008F03E5" w:rsidRDefault="00625A5B" w:rsidP="00213A72">
      <w:pPr>
        <w:pStyle w:val="Translit"/>
      </w:pPr>
      <w:r w:rsidRPr="008F03E5">
        <w:t>Pakistan</w:t>
      </w:r>
      <w:r w:rsidRPr="008F03E5">
        <w:tab/>
        <w:t>Pákistán</w:t>
      </w:r>
      <w:r w:rsidRPr="008F03E5">
        <w:tab/>
        <w:t>“Land (stán, Persian) of the Pure (pák, Persian and Pashto)”</w:t>
      </w:r>
    </w:p>
    <w:p w14:paraId="079A2352" w14:textId="77777777" w:rsidR="00625A5B" w:rsidRPr="008F03E5" w:rsidRDefault="00625A5B" w:rsidP="00900A82">
      <w:pPr>
        <w:pStyle w:val="Translit"/>
      </w:pPr>
      <w:r w:rsidRPr="008F03E5">
        <w:t>Pakistani</w:t>
      </w:r>
      <w:r w:rsidRPr="008F03E5">
        <w:tab/>
        <w:t>Pákistání</w:t>
      </w:r>
      <w:r w:rsidRPr="008F03E5">
        <w:tab/>
      </w:r>
    </w:p>
    <w:p w14:paraId="3F49C4C0" w14:textId="77777777" w:rsidR="00625A5B" w:rsidRPr="008F03E5" w:rsidRDefault="00625A5B" w:rsidP="00093F05">
      <w:pPr>
        <w:pStyle w:val="Translit"/>
      </w:pPr>
      <w:r w:rsidRPr="008F03E5">
        <w:t>Panabandan (Panah Bandan)</w:t>
      </w:r>
      <w:r w:rsidRPr="008F03E5">
        <w:tab/>
        <w:t>Panábandán</w:t>
      </w:r>
      <w:r w:rsidRPr="008F03E5">
        <w:tab/>
        <w:t xml:space="preserve">(also known as Panáh, Panáh Bandán, Panámandán, and Panávandán) is a small village 22 km </w:t>
      </w:r>
      <w:r w:rsidRPr="008F03E5">
        <w:rPr>
          <w:sz w:val="16"/>
          <w:szCs w:val="16"/>
        </w:rPr>
        <w:t>SE</w:t>
      </w:r>
      <w:r w:rsidRPr="008F03E5">
        <w:t xml:space="preserve"> Rasht in Gílán Province, Iran.  See Fahnih</w:t>
      </w:r>
    </w:p>
    <w:p w14:paraId="0C0DC9ED" w14:textId="77777777" w:rsidR="00625A5B" w:rsidRPr="008F03E5" w:rsidRDefault="00625A5B" w:rsidP="009D2A5B">
      <w:pPr>
        <w:pStyle w:val="Translit"/>
      </w:pPr>
      <w:r w:rsidRPr="008F03E5">
        <w:t>Panah (Fanah)</w:t>
      </w:r>
      <w:r w:rsidRPr="008F03E5">
        <w:tab/>
        <w:t>Panáh</w:t>
      </w:r>
      <w:r w:rsidRPr="008F03E5">
        <w:tab/>
        <w:t>Pers. a</w:t>
      </w:r>
      <w:r w:rsidRPr="008F03E5">
        <w:rPr>
          <w:rFonts w:eastAsia="Times New Roman"/>
        </w:rPr>
        <w:t xml:space="preserve">n asylum, refuge, protection; shade, shelter.  </w:t>
      </w:r>
      <w:r w:rsidRPr="008F03E5">
        <w:t xml:space="preserve">Fanáh (Panáh) </w:t>
      </w:r>
      <w:r w:rsidRPr="008F03E5">
        <w:rPr>
          <w:u w:val="single"/>
        </w:rPr>
        <w:t>Kh</w:t>
      </w:r>
      <w:r w:rsidRPr="008F03E5">
        <w:t>usraw, better known by his laqab of ‘Aḍud a</w:t>
      </w:r>
      <w:r>
        <w:t>d</w:t>
      </w:r>
      <w:r w:rsidRPr="008F03E5">
        <w:t>-Dawla (“Pillar of the [Abbasid] Dynasty”) (936–983; r. 949–983) was an emir of the Buyid dynasty.</w:t>
      </w:r>
    </w:p>
    <w:p w14:paraId="08084A37" w14:textId="77777777" w:rsidR="00625A5B" w:rsidRPr="008F03E5" w:rsidRDefault="00625A5B" w:rsidP="009F0699">
      <w:pPr>
        <w:pStyle w:val="Translit"/>
      </w:pPr>
      <w:r w:rsidRPr="008F03E5">
        <w:t>Panba (Panbah, Panbih, Panbeh)</w:t>
      </w:r>
      <w:r w:rsidRPr="008F03E5">
        <w:tab/>
        <w:t>Panba (</w:t>
      </w:r>
      <w:r w:rsidRPr="008F03E5">
        <w:rPr>
          <w:rFonts w:eastAsia="Times New Roman"/>
          <w:rtl/>
        </w:rPr>
        <w:t>پنبه</w:t>
      </w:r>
      <w:r w:rsidRPr="008F03E5">
        <w:t>)</w:t>
      </w:r>
      <w:r w:rsidRPr="008F03E5">
        <w:tab/>
        <w:t>Pers. cotton</w:t>
      </w:r>
    </w:p>
    <w:p w14:paraId="4113CD8A" w14:textId="77777777" w:rsidR="00625A5B" w:rsidRPr="008F03E5" w:rsidRDefault="00625A5B" w:rsidP="006F3F28">
      <w:pPr>
        <w:pStyle w:val="Translit"/>
      </w:pPr>
      <w:r w:rsidRPr="008F03E5">
        <w:t>Panba-Chula (Panbih-Chulih)</w:t>
      </w:r>
      <w:r w:rsidRPr="008F03E5">
        <w:tab/>
        <w:t>Panba-</w:t>
      </w:r>
      <w:r w:rsidRPr="008F03E5">
        <w:rPr>
          <w:u w:val="single"/>
        </w:rPr>
        <w:t>Ch</w:t>
      </w:r>
      <w:r w:rsidRPr="008F03E5">
        <w:t>úla</w:t>
      </w:r>
      <w:r w:rsidRPr="008F03E5">
        <w:tab/>
        <w:t>(Panbeh Chuleh) a village (-i-bálá, upper and -i-pá’</w:t>
      </w:r>
      <w:r w:rsidRPr="006F3F28">
        <w:t>í</w:t>
      </w:r>
      <w:r w:rsidRPr="008F03E5">
        <w:t>n, lower) 18 km north of Sari</w:t>
      </w:r>
    </w:p>
    <w:p w14:paraId="2FC0EB65" w14:textId="77777777" w:rsidR="00625A5B" w:rsidRDefault="00625A5B" w:rsidP="00A96054">
      <w:pPr>
        <w:pStyle w:val="Translit"/>
        <w:rPr>
          <w:rFonts w:eastAsia="Times New Roman"/>
        </w:rPr>
      </w:pPr>
      <w:r>
        <w:rPr>
          <w:rFonts w:eastAsia="Times New Roman"/>
        </w:rPr>
        <w:t>Panhan, Pinhan</w:t>
      </w:r>
      <w:r>
        <w:rPr>
          <w:rFonts w:eastAsia="Times New Roman"/>
        </w:rPr>
        <w:tab/>
      </w:r>
      <w:r w:rsidRPr="00A96054">
        <w:rPr>
          <w:rFonts w:eastAsia="Times New Roman"/>
        </w:rPr>
        <w:t>Panhán, Pinhán</w:t>
      </w:r>
      <w:r>
        <w:rPr>
          <w:rFonts w:eastAsia="Times New Roman"/>
        </w:rPr>
        <w:tab/>
        <w:t>Pers.</w:t>
      </w:r>
      <w:r w:rsidRPr="00A96054">
        <w:rPr>
          <w:rFonts w:eastAsia="Times New Roman"/>
        </w:rPr>
        <w:t xml:space="preserve"> </w:t>
      </w:r>
      <w:r>
        <w:rPr>
          <w:rFonts w:eastAsia="Times New Roman"/>
        </w:rPr>
        <w:t>c</w:t>
      </w:r>
      <w:r w:rsidRPr="00AF4D34">
        <w:rPr>
          <w:rFonts w:eastAsia="Times New Roman"/>
        </w:rPr>
        <w:t>oncealed, hid</w:t>
      </w:r>
      <w:r>
        <w:rPr>
          <w:rFonts w:eastAsia="Times New Roman"/>
        </w:rPr>
        <w:t>den</w:t>
      </w:r>
      <w:r w:rsidRPr="00AF4D34">
        <w:rPr>
          <w:rFonts w:eastAsia="Times New Roman"/>
        </w:rPr>
        <w:t>; clandestine, secret</w:t>
      </w:r>
    </w:p>
    <w:p w14:paraId="17134761" w14:textId="77777777" w:rsidR="00625A5B" w:rsidRPr="008F03E5" w:rsidRDefault="00625A5B" w:rsidP="001D2529">
      <w:pPr>
        <w:pStyle w:val="Translit"/>
      </w:pPr>
      <w:r w:rsidRPr="008F03E5">
        <w:rPr>
          <w:rFonts w:eastAsia="Times New Roman"/>
        </w:rPr>
        <w:t>Panj Ganj</w:t>
      </w:r>
      <w:r w:rsidRPr="008F03E5">
        <w:rPr>
          <w:rFonts w:eastAsia="Times New Roman"/>
        </w:rPr>
        <w:tab/>
        <w:t>Panj Ganj</w:t>
      </w:r>
      <w:r w:rsidRPr="008F03E5">
        <w:rPr>
          <w:rFonts w:eastAsia="Times New Roman"/>
        </w:rPr>
        <w:tab/>
        <w:t>Pers. the five senses; the</w:t>
      </w:r>
      <w:r w:rsidRPr="008F03E5">
        <w:t xml:space="preserve"> five daily prayers of Islam; the five poems (</w:t>
      </w:r>
      <w:r w:rsidRPr="008F03E5">
        <w:rPr>
          <w:rFonts w:eastAsia="Times New Roman"/>
          <w:i/>
          <w:iCs/>
        </w:rPr>
        <w:t>Panj Ganj</w:t>
      </w:r>
      <w:r w:rsidRPr="008F03E5">
        <w:rPr>
          <w:rFonts w:eastAsia="Times New Roman"/>
        </w:rPr>
        <w:t>,</w:t>
      </w:r>
      <w:r w:rsidRPr="008F03E5">
        <w:rPr>
          <w:i/>
          <w:iCs/>
        </w:rPr>
        <w:t xml:space="preserve"> or </w:t>
      </w:r>
      <w:r w:rsidRPr="008F03E5">
        <w:rPr>
          <w:i/>
          <w:iCs/>
          <w:u w:val="single"/>
        </w:rPr>
        <w:t>Kh</w:t>
      </w:r>
      <w:r w:rsidRPr="008F03E5">
        <w:rPr>
          <w:i/>
          <w:iCs/>
        </w:rPr>
        <w:t>amsa</w:t>
      </w:r>
      <w:r w:rsidRPr="008F03E5">
        <w:t>, “Five Treasures” of Niẓámí) (</w:t>
      </w:r>
      <w:r w:rsidRPr="008F03E5">
        <w:rPr>
          <w:u w:val="single"/>
        </w:rPr>
        <w:t>Kh</w:t>
      </w:r>
      <w:r w:rsidRPr="008F03E5">
        <w:t xml:space="preserve">amsa:  Persian pronunciation of Ar. </w:t>
      </w:r>
      <w:r w:rsidRPr="008F03E5">
        <w:rPr>
          <w:u w:val="single"/>
        </w:rPr>
        <w:t>Kh</w:t>
      </w:r>
      <w:r w:rsidRPr="008F03E5">
        <w:t>umásí)</w:t>
      </w:r>
    </w:p>
    <w:p w14:paraId="59A604DE" w14:textId="77777777" w:rsidR="00625A5B" w:rsidRPr="008F03E5" w:rsidRDefault="00625A5B" w:rsidP="001372B7">
      <w:pPr>
        <w:pStyle w:val="Translit"/>
      </w:pPr>
      <w:r w:rsidRPr="008F03E5">
        <w:t>Panj</w:t>
      </w:r>
      <w:r w:rsidRPr="008F03E5">
        <w:tab/>
        <w:t>Panj</w:t>
      </w:r>
      <w:r w:rsidRPr="008F03E5">
        <w:tab/>
        <w:t>Pers. five; fifth; in fives; the five senses</w:t>
      </w:r>
    </w:p>
    <w:p w14:paraId="51158E11" w14:textId="77777777" w:rsidR="00625A5B" w:rsidRPr="008F03E5" w:rsidRDefault="00625A5B" w:rsidP="007004D2">
      <w:pPr>
        <w:pStyle w:val="Translit"/>
      </w:pPr>
      <w:r w:rsidRPr="008F03E5">
        <w:t>Panj’ali (Panjali)</w:t>
      </w:r>
      <w:r w:rsidRPr="008F03E5">
        <w:tab/>
        <w:t>Panj‘alí (Panj+‘Alí)</w:t>
      </w:r>
      <w:r w:rsidRPr="008F03E5">
        <w:tab/>
        <w:t>Pers. very small village in Vi</w:t>
      </w:r>
      <w:r w:rsidRPr="008F03E5">
        <w:rPr>
          <w:u w:val="single"/>
        </w:rPr>
        <w:t>zh</w:t>
      </w:r>
      <w:r w:rsidRPr="008F03E5">
        <w:t>inán Rural District, in the Central District of Gílán-i-</w:t>
      </w:r>
      <w:r w:rsidRPr="008F03E5">
        <w:rPr>
          <w:u w:val="single"/>
        </w:rPr>
        <w:t>Gh</w:t>
      </w:r>
      <w:r w:rsidRPr="008F03E5">
        <w:t xml:space="preserve">arb County, Kermanshah Province, Iran.  Possibly Dúl Zard-i-Panj‘alí (34.091497, 45.893233), 6 km </w:t>
      </w:r>
      <w:r w:rsidRPr="008F03E5">
        <w:rPr>
          <w:sz w:val="16"/>
          <w:szCs w:val="16"/>
        </w:rPr>
        <w:t>SSW</w:t>
      </w:r>
      <w:r w:rsidRPr="008F03E5">
        <w:t xml:space="preserve"> Gílán-i-</w:t>
      </w:r>
      <w:r w:rsidRPr="008F03E5">
        <w:rPr>
          <w:u w:val="single"/>
        </w:rPr>
        <w:t>Gh</w:t>
      </w:r>
      <w:r w:rsidRPr="008F03E5">
        <w:t>arb.</w:t>
      </w:r>
    </w:p>
    <w:p w14:paraId="42F7FEB6" w14:textId="77777777" w:rsidR="00625A5B" w:rsidRPr="008F03E5" w:rsidRDefault="00625A5B" w:rsidP="00765724">
      <w:pPr>
        <w:pStyle w:val="Translit"/>
      </w:pPr>
      <w:r w:rsidRPr="008F03E5">
        <w:t>Pap</w:t>
      </w:r>
      <w:r w:rsidRPr="008F03E5">
        <w:tab/>
        <w:t>Páp</w:t>
      </w:r>
      <w:r w:rsidRPr="008F03E5">
        <w:tab/>
        <w:t>Pers. the Pope (modern from French pape)</w:t>
      </w:r>
    </w:p>
    <w:p w14:paraId="3EF37278" w14:textId="77777777" w:rsidR="00625A5B" w:rsidRPr="008F03E5" w:rsidRDefault="00625A5B" w:rsidP="00765724">
      <w:pPr>
        <w:pStyle w:val="Translit"/>
      </w:pPr>
      <w:r w:rsidRPr="008F03E5">
        <w:t>Papa</w:t>
      </w:r>
      <w:r w:rsidRPr="008F03E5">
        <w:tab/>
        <w:t>Pápá</w:t>
      </w:r>
      <w:r w:rsidRPr="008F03E5">
        <w:tab/>
        <w:t>Pers. father; the Pope</w:t>
      </w:r>
    </w:p>
    <w:p w14:paraId="1C7B4415" w14:textId="77777777" w:rsidR="00625A5B" w:rsidRPr="008F03E5" w:rsidRDefault="00625A5B" w:rsidP="009D7D67">
      <w:pPr>
        <w:pStyle w:val="Translit"/>
      </w:pPr>
      <w:r w:rsidRPr="008F03E5">
        <w:t>Pa-Qal’iyi</w:t>
      </w:r>
      <w:r w:rsidRPr="008F03E5">
        <w:tab/>
        <w:t>Pá-Qal‘iyí</w:t>
      </w:r>
      <w:r w:rsidRPr="008F03E5">
        <w:tab/>
        <w:t xml:space="preserve">Pers. the people that are related to or are from the place that is within the area protected by a castle.  See </w:t>
      </w:r>
      <w:r w:rsidRPr="008F03E5">
        <w:rPr>
          <w:rFonts w:eastAsia="PMingLiU"/>
          <w:lang w:eastAsia="zh-TW"/>
        </w:rPr>
        <w:t>Qal‘a</w:t>
      </w:r>
    </w:p>
    <w:p w14:paraId="3FEF8EFA" w14:textId="77777777" w:rsidR="00625A5B" w:rsidRPr="008F03E5" w:rsidRDefault="00625A5B" w:rsidP="00313FE9">
      <w:pPr>
        <w:pStyle w:val="Translit"/>
      </w:pPr>
      <w:r w:rsidRPr="008F03E5">
        <w:t>Par, Parr</w:t>
      </w:r>
      <w:r w:rsidRPr="008F03E5">
        <w:tab/>
        <w:t>Par, Parr</w:t>
      </w:r>
      <w:r w:rsidRPr="008F03E5">
        <w:tab/>
        <w:t>Pers. a wing; a feather; a leaf; the arm from the collar-bone to the tip of the finger; the sails or paddles of a mill; a side, skirt, or margin; leaf of a tree; light, ray</w:t>
      </w:r>
    </w:p>
    <w:p w14:paraId="644CF33F" w14:textId="77777777" w:rsidR="00625A5B" w:rsidRPr="008F03E5" w:rsidRDefault="00625A5B" w:rsidP="00E62157">
      <w:pPr>
        <w:pStyle w:val="Translit"/>
      </w:pPr>
      <w:r w:rsidRPr="008F03E5">
        <w:t>Paraclete (Parakletos)</w:t>
      </w:r>
      <w:r w:rsidRPr="008F03E5">
        <w:tab/>
        <w:t>Paraclete</w:t>
      </w:r>
      <w:r w:rsidRPr="008F03E5">
        <w:tab/>
        <w:t>advocate, intercessor; comforter or spirit of truth.  Paráklētos, Greek, can signify “called to one’s aid in a court of justice”, a “legal assistant”, an “assistant”, or an “intercessor”.  Latin Paracletus.  Christians believe Paraclete is the Holy Ghost (John 14:16, 14:26, 15:26, 16:7).  Many Muslims use Qur’án 61:6 to claim parakletos in the Bible should have been periklytos.  However, see fáraqlíṭ.</w:t>
      </w:r>
    </w:p>
    <w:p w14:paraId="771C9D56" w14:textId="77777777" w:rsidR="00625A5B" w:rsidRPr="008F03E5" w:rsidRDefault="00625A5B" w:rsidP="00D45D66">
      <w:pPr>
        <w:pStyle w:val="Translit"/>
      </w:pPr>
      <w:r w:rsidRPr="00665F6A">
        <w:rPr>
          <w:lang w:val="en-AU"/>
        </w:rPr>
        <w:t>Paran</w:t>
      </w:r>
      <w:r w:rsidRPr="00665F6A">
        <w:rPr>
          <w:lang w:val="en-AU"/>
        </w:rPr>
        <w:tab/>
        <w:t>Párán</w:t>
      </w:r>
      <w:r w:rsidRPr="00665F6A">
        <w:rPr>
          <w:lang w:val="en-AU"/>
        </w:rPr>
        <w:tab/>
        <w:t xml:space="preserve">Pers. (Pharan, Ar. </w:t>
      </w:r>
      <w:r w:rsidRPr="008F03E5">
        <w:t>Fárán) uncertain location of mountain, desert, wilderness, etc.  Moses uses “Párán” with special reference to Muḥammad and “Seir”</w:t>
      </w:r>
      <w:r>
        <w:t xml:space="preserve"> (</w:t>
      </w:r>
      <w:r w:rsidRPr="008F03E5">
        <w:t>Mt. Sa‘ír</w:t>
      </w:r>
      <w:r>
        <w:t>)</w:t>
      </w:r>
      <w:r w:rsidRPr="008F03E5">
        <w:t xml:space="preserve"> to Jesus Christ.  </w:t>
      </w:r>
      <w:bookmarkStart w:id="115" w:name="_Hlk57118625"/>
      <w:r>
        <w:t>The “Covenant upon Mount P</w:t>
      </w:r>
      <w:r w:rsidRPr="00D45D66">
        <w:t>á</w:t>
      </w:r>
      <w:r>
        <w:t>r</w:t>
      </w:r>
      <w:r w:rsidRPr="00D45D66">
        <w:t>á</w:t>
      </w:r>
      <w:r>
        <w:t xml:space="preserve">n” in the Bahá’í Writings refers to the Covenant of Bahá’u’lláh.  </w:t>
      </w:r>
      <w:r w:rsidRPr="008F03E5">
        <w:t>Muslim and Arabic traditions hold that the wilderness of Párán is, broadly speaking, the Ḥijáz.</w:t>
      </w:r>
      <w:bookmarkEnd w:id="115"/>
    </w:p>
    <w:p w14:paraId="1FCCEA33" w14:textId="77777777" w:rsidR="00625A5B" w:rsidRPr="008F03E5" w:rsidRDefault="00625A5B" w:rsidP="006E3FE6">
      <w:pPr>
        <w:pStyle w:val="Translit"/>
      </w:pPr>
      <w:r w:rsidRPr="008F03E5">
        <w:t>Parast, Parastan</w:t>
      </w:r>
      <w:r w:rsidRPr="008F03E5">
        <w:tab/>
        <w:t>Parast, pl. Parastán</w:t>
      </w:r>
      <w:r w:rsidRPr="008F03E5">
        <w:tab/>
        <w:t>Pers. a worshipper; one who persists in his opinion</w:t>
      </w:r>
    </w:p>
    <w:p w14:paraId="1341670B" w14:textId="77777777" w:rsidR="00625A5B" w:rsidRPr="008F03E5" w:rsidRDefault="00625A5B" w:rsidP="007747A5">
      <w:pPr>
        <w:pStyle w:val="Translit"/>
      </w:pPr>
      <w:r w:rsidRPr="008F03E5">
        <w:t>Parda Khwani (Pardeh Khwani)</w:t>
      </w:r>
      <w:r w:rsidRPr="008F03E5">
        <w:tab/>
        <w:t xml:space="preserve">Parda </w:t>
      </w:r>
      <w:r w:rsidRPr="008F03E5">
        <w:rPr>
          <w:u w:val="single"/>
        </w:rPr>
        <w:t>Kh</w:t>
      </w:r>
      <w:r w:rsidRPr="008F03E5">
        <w:t>wání</w:t>
      </w:r>
      <w:r w:rsidRPr="008F03E5">
        <w:tab/>
        <w:t xml:space="preserve">Pers. figuratively, reading from the screen or curtain; parda show or a type of theatre.  Before the advent of Islam it was a widely practised form of epic story telling in Iran using a screen depicting the events.  Afterwards, the parda </w:t>
      </w:r>
      <w:r w:rsidRPr="008F03E5">
        <w:rPr>
          <w:u w:val="single"/>
        </w:rPr>
        <w:t>kh</w:t>
      </w:r>
      <w:r w:rsidRPr="008F03E5">
        <w:t xml:space="preserve">wání was transformed into a national-religious performance that influenced the development of the </w:t>
      </w:r>
      <w:r w:rsidRPr="008F03E5">
        <w:rPr>
          <w:rFonts w:eastAsia="PMingLiU"/>
          <w:lang w:eastAsia="zh-TW"/>
        </w:rPr>
        <w:t>ta‘z</w:t>
      </w:r>
      <w:r w:rsidRPr="008F03E5">
        <w:t>í</w:t>
      </w:r>
      <w:r w:rsidRPr="008F03E5">
        <w:rPr>
          <w:rFonts w:eastAsia="PMingLiU"/>
          <w:lang w:eastAsia="zh-TW"/>
        </w:rPr>
        <w:t>ya</w:t>
      </w:r>
      <w:r w:rsidRPr="008F03E5">
        <w:t>.</w:t>
      </w:r>
      <w:r w:rsidRPr="008F03E5">
        <w:rPr>
          <w:rFonts w:eastAsia="Times New Roman"/>
        </w:rPr>
        <w:t xml:space="preserve">  Note:  </w:t>
      </w:r>
      <w:r w:rsidRPr="008F03E5">
        <w:t xml:space="preserve">since a </w:t>
      </w:r>
      <w:r w:rsidRPr="008F03E5">
        <w:rPr>
          <w:rtl/>
        </w:rPr>
        <w:t>و</w:t>
      </w:r>
      <w:r w:rsidRPr="008F03E5">
        <w:t xml:space="preserve"> (wáw) after a </w:t>
      </w:r>
      <w:r w:rsidRPr="008F03E5">
        <w:rPr>
          <w:rtl/>
        </w:rPr>
        <w:t>خ</w:t>
      </w:r>
      <w:r w:rsidRPr="008F03E5">
        <w:t xml:space="preserve"> (</w:t>
      </w:r>
      <w:r w:rsidRPr="008F03E5">
        <w:rPr>
          <w:u w:val="single"/>
        </w:rPr>
        <w:t>kh</w:t>
      </w:r>
      <w:r w:rsidRPr="008F03E5">
        <w:t xml:space="preserve">) may not be pronounced, it may be written as parda </w:t>
      </w:r>
      <w:r w:rsidRPr="008F03E5">
        <w:rPr>
          <w:u w:val="single"/>
        </w:rPr>
        <w:t>kh</w:t>
      </w:r>
      <w:r w:rsidRPr="008F03E5">
        <w:t>ání (see PDC p. 93) (or “parda khani”).</w:t>
      </w:r>
    </w:p>
    <w:p w14:paraId="4F1AD388" w14:textId="77777777" w:rsidR="00625A5B" w:rsidRPr="008F03E5" w:rsidRDefault="00625A5B" w:rsidP="005E6E85">
      <w:pPr>
        <w:pStyle w:val="Translit"/>
      </w:pPr>
      <w:r w:rsidRPr="008F03E5">
        <w:rPr>
          <w:rFonts w:eastAsia="Times New Roman"/>
        </w:rPr>
        <w:t>Parda</w:t>
      </w:r>
      <w:r w:rsidRPr="008F03E5">
        <w:rPr>
          <w:rFonts w:eastAsia="Times New Roman"/>
        </w:rPr>
        <w:tab/>
        <w:t>Parda</w:t>
      </w:r>
      <w:r w:rsidRPr="008F03E5">
        <w:rPr>
          <w:rFonts w:eastAsia="Times New Roman"/>
        </w:rPr>
        <w:tab/>
        <w:t>Pers. a veil, curtain, tapestry, caul, film, membrane; a partition between two rooms; the walls of a tent; a fence or wall for dividing fields; an act of a play</w:t>
      </w:r>
    </w:p>
    <w:p w14:paraId="5331EDA2" w14:textId="77777777" w:rsidR="00625A5B" w:rsidRPr="008F03E5" w:rsidRDefault="00625A5B" w:rsidP="006E3FE6">
      <w:pPr>
        <w:pStyle w:val="Translit"/>
      </w:pPr>
      <w:r w:rsidRPr="008F03E5">
        <w:t>Pari</w:t>
      </w:r>
      <w:r w:rsidRPr="008F03E5">
        <w:tab/>
        <w:t>Parí</w:t>
      </w:r>
      <w:r w:rsidRPr="008F03E5">
        <w:tab/>
        <w:t>Pers. winged; a good genius, a fairy</w:t>
      </w:r>
    </w:p>
    <w:p w14:paraId="3D7648E7" w14:textId="77777777" w:rsidR="00625A5B" w:rsidRPr="008F03E5" w:rsidRDefault="00625A5B" w:rsidP="005A5D57">
      <w:pPr>
        <w:pStyle w:val="Translit"/>
      </w:pPr>
      <w:r w:rsidRPr="008F03E5">
        <w:t>Pari-Rukh, Pari-Rukhsar</w:t>
      </w:r>
      <w:r w:rsidRPr="008F03E5">
        <w:tab/>
        <w:t>Parí-Ru</w:t>
      </w:r>
      <w:r w:rsidRPr="008F03E5">
        <w:rPr>
          <w:u w:val="single"/>
        </w:rPr>
        <w:t>kh</w:t>
      </w:r>
      <w:r w:rsidRPr="008F03E5">
        <w:t>, Parí-Ru</w:t>
      </w:r>
      <w:r w:rsidRPr="008F03E5">
        <w:rPr>
          <w:u w:val="single"/>
        </w:rPr>
        <w:t>kh</w:t>
      </w:r>
      <w:r w:rsidRPr="008F03E5">
        <w:t>sár</w:t>
      </w:r>
      <w:r w:rsidRPr="008F03E5">
        <w:tab/>
        <w:t>Pers. angel-cheeked, fairy-faced</w:t>
      </w:r>
    </w:p>
    <w:p w14:paraId="7DD792B7" w14:textId="77777777" w:rsidR="00625A5B" w:rsidRPr="008F03E5" w:rsidRDefault="00625A5B" w:rsidP="00712F28">
      <w:pPr>
        <w:pStyle w:val="Translit"/>
      </w:pPr>
      <w:r w:rsidRPr="008F03E5">
        <w:t>Parishan (Pareshan)</w:t>
      </w:r>
      <w:r w:rsidRPr="008F03E5">
        <w:tab/>
        <w:t>Parí</w:t>
      </w:r>
      <w:r w:rsidRPr="008F03E5">
        <w:rPr>
          <w:u w:val="single"/>
        </w:rPr>
        <w:t>sh</w:t>
      </w:r>
      <w:r w:rsidRPr="008F03E5">
        <w:t>án</w:t>
      </w:r>
      <w:r w:rsidRPr="008F03E5">
        <w:tab/>
        <w:t>Pers. dispersed, scattered; dishevelled; disturbed, perplexed, confounded, distracted, agitated, afflicted, vexed, sad, melancholy; unfortunate; disgusted.  Also described as the mystic name for one “lost in an ecstasy of love”.</w:t>
      </w:r>
    </w:p>
    <w:p w14:paraId="52247DA6" w14:textId="77777777" w:rsidR="00625A5B" w:rsidRPr="008F03E5" w:rsidRDefault="00625A5B" w:rsidP="00712F28">
      <w:pPr>
        <w:pStyle w:val="Translit"/>
      </w:pPr>
      <w:r w:rsidRPr="008F03E5">
        <w:t>Pariz</w:t>
      </w:r>
      <w:r w:rsidRPr="008F03E5">
        <w:tab/>
        <w:t>Páríz</w:t>
      </w:r>
      <w:r w:rsidRPr="008F03E5">
        <w:tab/>
        <w:t>Pers. city (29.873842, 55.747571) 47 km north of Sírján, Iran</w:t>
      </w:r>
    </w:p>
    <w:p w14:paraId="5CF53D38" w14:textId="77777777" w:rsidR="00625A5B" w:rsidRPr="008F03E5" w:rsidRDefault="00625A5B" w:rsidP="00313FE9">
      <w:pPr>
        <w:pStyle w:val="Translit"/>
      </w:pPr>
      <w:r w:rsidRPr="008F03E5">
        <w:t>Par-Pa (Parpa)</w:t>
      </w:r>
      <w:r w:rsidRPr="008F03E5">
        <w:tab/>
        <w:t>Par-Pá (Parpá)</w:t>
      </w:r>
      <w:r w:rsidRPr="008F03E5">
        <w:tab/>
        <w:t>Pers. feather foot; “light foot” surname given to Hájí Mírzá Jání (</w:t>
      </w:r>
      <w:r w:rsidRPr="008F03E5">
        <w:rPr>
          <w:i/>
          <w:iCs/>
        </w:rPr>
        <w:t>The Dawn-Breakers</w:t>
      </w:r>
      <w:r w:rsidRPr="008F03E5">
        <w:t xml:space="preserve"> 101)</w:t>
      </w:r>
    </w:p>
    <w:p w14:paraId="473A671C" w14:textId="77777777" w:rsidR="00625A5B" w:rsidRPr="008F03E5" w:rsidRDefault="00625A5B" w:rsidP="00834961">
      <w:pPr>
        <w:pStyle w:val="Translit"/>
      </w:pPr>
      <w:r w:rsidRPr="008F03E5">
        <w:t>Pars (Fars)</w:t>
      </w:r>
      <w:r w:rsidRPr="008F03E5">
        <w:tab/>
        <w:t>Párs</w:t>
      </w:r>
      <w:r w:rsidRPr="008F03E5">
        <w:tab/>
        <w:t>Pers. a leopard (pard); an animal smaller than a leopard and trained to hunt; ounce, cheetah; Persia (from which is derived the Greek Persis, a name for the Fars region, now a province).  Persis (Persia) is the name used in the West to refer to all of Iran.  Arabs substituted the P for an F:  Fárs.</w:t>
      </w:r>
    </w:p>
    <w:p w14:paraId="269267E1" w14:textId="77777777" w:rsidR="00625A5B" w:rsidRPr="008F03E5" w:rsidRDefault="00625A5B" w:rsidP="00C30459">
      <w:pPr>
        <w:pStyle w:val="Translit"/>
      </w:pPr>
      <w:r w:rsidRPr="008F03E5">
        <w:rPr>
          <w:rFonts w:eastAsia="Times New Roman"/>
        </w:rPr>
        <w:t>Parsa’i</w:t>
      </w:r>
      <w:r w:rsidRPr="008F03E5">
        <w:rPr>
          <w:rFonts w:eastAsia="Times New Roman"/>
        </w:rPr>
        <w:tab/>
        <w:t>Pársá’í</w:t>
      </w:r>
      <w:r w:rsidRPr="008F03E5">
        <w:rPr>
          <w:rFonts w:eastAsia="Times New Roman"/>
        </w:rPr>
        <w:tab/>
        <w:t>Pers. chastity, purity, abstinence</w:t>
      </w:r>
    </w:p>
    <w:p w14:paraId="59A7D9E2" w14:textId="77777777" w:rsidR="00625A5B" w:rsidRPr="00077779" w:rsidRDefault="00625A5B" w:rsidP="008345D0">
      <w:pPr>
        <w:pStyle w:val="Translit"/>
      </w:pPr>
      <w:r w:rsidRPr="001457C8">
        <w:rPr>
          <w:lang w:val="it-IT"/>
        </w:rPr>
        <w:t>Parsi (Parsee), Parsiyan</w:t>
      </w:r>
      <w:r w:rsidRPr="001457C8">
        <w:rPr>
          <w:lang w:val="it-IT"/>
        </w:rPr>
        <w:tab/>
        <w:t>Pársí, pl. Pársiyán</w:t>
      </w:r>
      <w:r w:rsidRPr="001457C8">
        <w:rPr>
          <w:lang w:val="it-IT"/>
        </w:rPr>
        <w:tab/>
        <w:t xml:space="preserve">Pers. (Parsi, pl. Parsis in India), a Zoroastrian, a Persian.  </w:t>
      </w:r>
      <w:r w:rsidRPr="008F03E5">
        <w:t xml:space="preserve">An adherent of Zoroastrianism; specifically a descendant of Persian Zoroastrians who fled to India in the 7th &amp; 8th centuries.  </w:t>
      </w:r>
      <w:r w:rsidRPr="00077779">
        <w:t>See Fársí.</w:t>
      </w:r>
    </w:p>
    <w:p w14:paraId="175EA751" w14:textId="77777777" w:rsidR="00625A5B" w:rsidRPr="008F03E5" w:rsidRDefault="00625A5B" w:rsidP="00754449">
      <w:pPr>
        <w:pStyle w:val="Translit"/>
      </w:pPr>
      <w:r w:rsidRPr="00EC4FF4">
        <w:t>Parsiy-i-Sarih</w:t>
      </w:r>
      <w:r w:rsidRPr="00EC4FF4">
        <w:tab/>
        <w:t>Pársiy-i-Ṣaríḥ</w:t>
      </w:r>
      <w:r w:rsidRPr="00EC4FF4">
        <w:tab/>
        <w:t xml:space="preserve">Pers. </w:t>
      </w:r>
      <w:r w:rsidRPr="00077779">
        <w:t xml:space="preserve">“pure Persian”.  </w:t>
      </w:r>
      <w:r w:rsidRPr="008F03E5">
        <w:t>Bahá’u’lláh used pure Persian rather sparingly, except when corresponding with Zoroastrians or for other special occasions.  The Persian spoken in His time and today borrows heavily from Arabic, the language of Islám.  He used Arabic as the primary language of Revelation and many of His prayers and tablets in Persian are heavily Arabicized.  “</w:t>
      </w:r>
      <w:r w:rsidRPr="008F03E5">
        <w:rPr>
          <w:i/>
          <w:iCs/>
        </w:rPr>
        <w:t>Although there can be no question or doubt as to the sweetness of the Persian tongue, yet it hath not the scope of the Arabic</w:t>
      </w:r>
      <w:r w:rsidRPr="008F03E5">
        <w:t xml:space="preserve">.” (Bahá’u’lláh, </w:t>
      </w:r>
      <w:r w:rsidRPr="008F03E5">
        <w:rPr>
          <w:i/>
          <w:iCs/>
        </w:rPr>
        <w:t>Pen of Glory</w:t>
      </w:r>
      <w:r w:rsidRPr="008F03E5">
        <w:t>, p. 148)</w:t>
      </w:r>
    </w:p>
    <w:p w14:paraId="25459DB4" w14:textId="77777777" w:rsidR="00625A5B" w:rsidRPr="008F03E5" w:rsidRDefault="00625A5B" w:rsidP="0004327B">
      <w:pPr>
        <w:pStyle w:val="Translit"/>
      </w:pPr>
      <w:r w:rsidRPr="00EC4FF4">
        <w:t>Parwin (Parvin, Parvene, Parvyn)</w:t>
      </w:r>
      <w:r w:rsidRPr="00EC4FF4">
        <w:tab/>
        <w:t>Parwín (Parvín)</w:t>
      </w:r>
      <w:r w:rsidRPr="00EC4FF4">
        <w:tab/>
        <w:t xml:space="preserve">Pers. </w:t>
      </w:r>
      <w:r w:rsidRPr="008F03E5">
        <w:t>Pleiades.  Name given in 1919 to the daughter of Dr Ḍíyá’ Ba</w:t>
      </w:r>
      <w:r w:rsidRPr="008F03E5">
        <w:rPr>
          <w:u w:val="single"/>
        </w:rPr>
        <w:t>gh</w:t>
      </w:r>
      <w:r w:rsidRPr="008F03E5">
        <w:t>dádí by ‘Abdu’l-Bahá.  Later a middle name of Ḥabíba (Ḥabíbih) was added.</w:t>
      </w:r>
    </w:p>
    <w:p w14:paraId="7ABFBC9B" w14:textId="77777777" w:rsidR="00625A5B" w:rsidRPr="008F03E5" w:rsidRDefault="00625A5B" w:rsidP="0083688E">
      <w:pPr>
        <w:pStyle w:val="Translit"/>
        <w:rPr>
          <w:rFonts w:eastAsia="PMingLiU"/>
          <w:lang w:eastAsia="zh-TW"/>
        </w:rPr>
      </w:pPr>
      <w:r w:rsidRPr="008F03E5">
        <w:rPr>
          <w:rFonts w:eastAsia="PMingLiU"/>
          <w:lang w:eastAsia="zh-TW"/>
        </w:rPr>
        <w:t>Parwiz (Parviz)</w:t>
      </w:r>
      <w:r w:rsidRPr="008F03E5">
        <w:tab/>
      </w:r>
      <w:r w:rsidRPr="008F03E5">
        <w:rPr>
          <w:rFonts w:eastAsia="PMingLiU"/>
          <w:lang w:eastAsia="zh-TW"/>
        </w:rPr>
        <w:t>Parwíz (Parvíz)</w:t>
      </w:r>
      <w:r w:rsidRPr="008F03E5">
        <w:tab/>
        <w:t>name of Persian king</w:t>
      </w:r>
    </w:p>
    <w:p w14:paraId="28B38BAF" w14:textId="77777777" w:rsidR="00625A5B" w:rsidRPr="008F03E5" w:rsidRDefault="00625A5B" w:rsidP="0094577E">
      <w:pPr>
        <w:pStyle w:val="Translit"/>
      </w:pPr>
      <w:r w:rsidRPr="008F03E5">
        <w:t>Paşa, Paşalar</w:t>
      </w:r>
      <w:r w:rsidRPr="008F03E5">
        <w:tab/>
        <w:t>Paşa, pl. Paşalar</w:t>
      </w:r>
      <w:r w:rsidRPr="008F03E5">
        <w:tab/>
        <w:t xml:space="preserve">Turkish, pasha.  Üç Paşalar:  The "Three Pashas" (Turkish </w:t>
      </w:r>
      <w:bookmarkStart w:id="116" w:name="_Hlk60218237"/>
      <w:r w:rsidRPr="008F03E5">
        <w:t>Üç paşalar</w:t>
      </w:r>
      <w:bookmarkEnd w:id="116"/>
      <w:r w:rsidRPr="008F03E5">
        <w:t>) refers to the triumvirate of senior officials who effectively ruled the Ottoman Empire during World War I:  Mehmed Talaat Pasha (Mehmed Talât Paşa, 1874–1921, assassinated), the Grand Vizier (prime minister) and Minister of the Interior; Ismail Enver Pasha (İsmail Enver Paşa, 1881–1922, assassinated), the Minister of War; and Ahmed Cemal Pasha (Ahmet Cemâl Paşa, 1872–1922, died in a war), the Minister of the Navy.  They were largely responsible for the Empire’s entry into World War I in 1914 and also largely responsible for the death of over one million Armenians in the Armenian genocide.</w:t>
      </w:r>
    </w:p>
    <w:p w14:paraId="0B027857" w14:textId="77777777" w:rsidR="00625A5B" w:rsidRPr="008F03E5" w:rsidRDefault="00625A5B" w:rsidP="00542DC5">
      <w:pPr>
        <w:pStyle w:val="Translit"/>
      </w:pPr>
      <w:r w:rsidRPr="008F03E5">
        <w:t>Pasha</w:t>
      </w:r>
      <w:r w:rsidRPr="008F03E5">
        <w:tab/>
        <w:t>Pá</w:t>
      </w:r>
      <w:r w:rsidRPr="008F03E5">
        <w:rPr>
          <w:u w:val="single"/>
        </w:rPr>
        <w:t>sh</w:t>
      </w:r>
      <w:r w:rsidRPr="008F03E5">
        <w:t>á</w:t>
      </w:r>
      <w:r w:rsidRPr="008F03E5">
        <w:tab/>
        <w:t>Persian form of Turkish paşa.  See bá</w:t>
      </w:r>
      <w:r w:rsidRPr="008F03E5">
        <w:rPr>
          <w:u w:val="single"/>
        </w:rPr>
        <w:t>sh</w:t>
      </w:r>
      <w:r w:rsidRPr="008F03E5">
        <w:t>á</w:t>
      </w:r>
      <w:r>
        <w:t>.</w:t>
      </w:r>
    </w:p>
    <w:p w14:paraId="78CF6B2F" w14:textId="77777777" w:rsidR="00625A5B" w:rsidRPr="008F03E5" w:rsidRDefault="00625A5B" w:rsidP="00040654">
      <w:pPr>
        <w:pStyle w:val="Translit"/>
      </w:pPr>
      <w:r w:rsidRPr="008F03E5">
        <w:t>Pasha’i, Pashahi, Pashay</w:t>
      </w:r>
      <w:r w:rsidRPr="008F03E5">
        <w:tab/>
        <w:t>Pá</w:t>
      </w:r>
      <w:r w:rsidRPr="008F03E5">
        <w:rPr>
          <w:u w:val="single"/>
        </w:rPr>
        <w:t>sh</w:t>
      </w:r>
      <w:r w:rsidRPr="008F03E5">
        <w:t>á’í, Pá</w:t>
      </w:r>
      <w:r w:rsidRPr="008F03E5">
        <w:rPr>
          <w:u w:val="single"/>
        </w:rPr>
        <w:t>sh</w:t>
      </w:r>
      <w:r w:rsidRPr="008F03E5">
        <w:t>áhí and Pá</w:t>
      </w:r>
      <w:r w:rsidRPr="008F03E5">
        <w:rPr>
          <w:u w:val="single"/>
        </w:rPr>
        <w:t>sh</w:t>
      </w:r>
      <w:r w:rsidRPr="008F03E5">
        <w:t>áy</w:t>
      </w:r>
      <w:r w:rsidRPr="008F03E5">
        <w:tab/>
        <w:t>Pers. (</w:t>
      </w:r>
      <w:r w:rsidRPr="008F03E5">
        <w:rPr>
          <w:rtl/>
        </w:rPr>
        <w:t>ائي</w:t>
      </w:r>
      <w:r w:rsidRPr="008F03E5">
        <w:t xml:space="preserve"> ending) a small village (37.583036, 55.613483) in Golestan Province, Iran.  150 km west of B</w:t>
      </w:r>
      <w:r w:rsidRPr="008F03E5">
        <w:rPr>
          <w:rFonts w:eastAsia="PMingLiU"/>
          <w:lang w:eastAsia="zh-TW"/>
        </w:rPr>
        <w:t>ujn</w:t>
      </w:r>
      <w:r w:rsidRPr="008F03E5">
        <w:t>ú</w:t>
      </w:r>
      <w:r w:rsidRPr="008F03E5">
        <w:rPr>
          <w:rFonts w:eastAsia="PMingLiU"/>
          <w:lang w:eastAsia="zh-TW"/>
        </w:rPr>
        <w:t>rd.</w:t>
      </w:r>
    </w:p>
    <w:p w14:paraId="484FD226" w14:textId="77777777" w:rsidR="00625A5B" w:rsidRPr="00F704BD" w:rsidRDefault="00625A5B" w:rsidP="009B3627">
      <w:pPr>
        <w:pStyle w:val="Translit"/>
      </w:pPr>
      <w:r w:rsidRPr="006D6171">
        <w:t>Pashaliq (Bashaliq), Pashaliq-ha</w:t>
      </w:r>
      <w:r w:rsidRPr="006D6171">
        <w:tab/>
        <w:t>Pá</w:t>
      </w:r>
      <w:r w:rsidRPr="006D6171">
        <w:rPr>
          <w:u w:val="single"/>
        </w:rPr>
        <w:t>sh</w:t>
      </w:r>
      <w:r w:rsidRPr="006D6171">
        <w:t xml:space="preserve">áliq, pl. </w:t>
      </w:r>
      <w:r w:rsidRPr="00F704BD">
        <w:t>Pá</w:t>
      </w:r>
      <w:r w:rsidRPr="00F704BD">
        <w:rPr>
          <w:u w:val="single"/>
        </w:rPr>
        <w:t>sh</w:t>
      </w:r>
      <w:r w:rsidRPr="00F704BD">
        <w:t>áliq-h</w:t>
      </w:r>
      <w:r w:rsidRPr="009B3627">
        <w:t>á</w:t>
      </w:r>
      <w:r w:rsidRPr="00F704BD">
        <w:tab/>
        <w:t>Pers. form of Turkish paşalık, the jurisdiction or the territory of a pasha.</w:t>
      </w:r>
    </w:p>
    <w:p w14:paraId="393DE12F" w14:textId="77777777" w:rsidR="00625A5B" w:rsidRPr="008F03E5" w:rsidRDefault="00625A5B" w:rsidP="004A106C">
      <w:pPr>
        <w:pStyle w:val="Translit"/>
      </w:pPr>
      <w:r w:rsidRPr="008F03E5">
        <w:t>Pashay-i-Qibrisi</w:t>
      </w:r>
      <w:r w:rsidRPr="008F03E5">
        <w:tab/>
        <w:t>Pá</w:t>
      </w:r>
      <w:r w:rsidRPr="008F03E5">
        <w:rPr>
          <w:u w:val="single"/>
        </w:rPr>
        <w:t>sh</w:t>
      </w:r>
      <w:r w:rsidRPr="008F03E5">
        <w:t>áy-i-Qibrisí</w:t>
      </w:r>
      <w:r w:rsidRPr="008F03E5">
        <w:tab/>
        <w:t>Muḥammad Pá</w:t>
      </w:r>
      <w:r w:rsidRPr="008F03E5">
        <w:rPr>
          <w:u w:val="single"/>
        </w:rPr>
        <w:t>sh</w:t>
      </w:r>
      <w:r w:rsidRPr="008F03E5">
        <w:t>áy-i-Qibrisí (qubrusí, “a Cypriot”), once a Grand Vizir of the Ottoman Empire and Governor of Adrianople until April 1864</w:t>
      </w:r>
    </w:p>
    <w:p w14:paraId="15F498B3" w14:textId="77777777" w:rsidR="00625A5B" w:rsidRPr="008F03E5" w:rsidRDefault="00625A5B" w:rsidP="00EC2426">
      <w:pPr>
        <w:pStyle w:val="Translit"/>
      </w:pPr>
      <w:r w:rsidRPr="008F03E5">
        <w:t>Pashtu (Pushtu, Pashto)</w:t>
      </w:r>
      <w:r w:rsidRPr="008F03E5">
        <w:tab/>
        <w:t>Pa</w:t>
      </w:r>
      <w:r w:rsidRPr="008F03E5">
        <w:rPr>
          <w:u w:val="single"/>
        </w:rPr>
        <w:t>sh</w:t>
      </w:r>
      <w:r w:rsidRPr="008F03E5">
        <w:t>tú</w:t>
      </w:r>
      <w:r w:rsidRPr="008F03E5">
        <w:tab/>
        <w:t>Pers. also Af</w:t>
      </w:r>
      <w:r w:rsidRPr="008F03E5">
        <w:rPr>
          <w:u w:val="single"/>
        </w:rPr>
        <w:t>gh</w:t>
      </w:r>
      <w:r w:rsidRPr="008F03E5">
        <w:t>ání.  Pa</w:t>
      </w:r>
      <w:r w:rsidRPr="008F03E5">
        <w:rPr>
          <w:u w:val="single"/>
        </w:rPr>
        <w:t>sh</w:t>
      </w:r>
      <w:r w:rsidRPr="008F03E5">
        <w:t>tú:  a glass bottle; language spoken by Afghans</w:t>
      </w:r>
    </w:p>
    <w:p w14:paraId="6392CF96" w14:textId="77777777" w:rsidR="00625A5B" w:rsidRPr="008F03E5" w:rsidRDefault="00625A5B" w:rsidP="00AA62FB">
      <w:pPr>
        <w:pStyle w:val="Translit"/>
        <w:rPr>
          <w:rFonts w:eastAsia="PMingLiU"/>
          <w:lang w:eastAsia="zh-TW"/>
        </w:rPr>
      </w:pPr>
      <w:r w:rsidRPr="008F03E5">
        <w:rPr>
          <w:rFonts w:eastAsia="PMingLiU"/>
          <w:lang w:eastAsia="zh-TW"/>
        </w:rPr>
        <w:t>Payam</w:t>
      </w:r>
      <w:r w:rsidRPr="008F03E5">
        <w:rPr>
          <w:rFonts w:eastAsia="PMingLiU"/>
          <w:lang w:eastAsia="zh-TW"/>
        </w:rPr>
        <w:tab/>
        <w:t>Pay</w:t>
      </w:r>
      <w:r w:rsidRPr="008F03E5">
        <w:t>á</w:t>
      </w:r>
      <w:r w:rsidRPr="008F03E5">
        <w:rPr>
          <w:rFonts w:eastAsia="PMingLiU"/>
          <w:lang w:eastAsia="zh-TW"/>
        </w:rPr>
        <w:t>m</w:t>
      </w:r>
      <w:r w:rsidRPr="008F03E5">
        <w:rPr>
          <w:rFonts w:eastAsia="PMingLiU"/>
          <w:lang w:eastAsia="zh-TW"/>
        </w:rPr>
        <w:tab/>
        <w:t>Pers. news, advice; message; rumour, fame</w:t>
      </w:r>
    </w:p>
    <w:p w14:paraId="12328F0D" w14:textId="77777777" w:rsidR="00625A5B" w:rsidRPr="008F03E5" w:rsidRDefault="00625A5B" w:rsidP="00092D32">
      <w:pPr>
        <w:pStyle w:val="Translit"/>
      </w:pPr>
      <w:r w:rsidRPr="008F03E5">
        <w:t>Payambar (Payam-bar), Payambaran</w:t>
      </w:r>
      <w:r w:rsidRPr="008F03E5">
        <w:tab/>
        <w:t>Payámbar, pl. Payámbarán</w:t>
      </w:r>
      <w:r w:rsidRPr="008F03E5">
        <w:rPr>
          <w:rFonts w:eastAsia="Times New Roman"/>
        </w:rPr>
        <w:tab/>
        <w:t xml:space="preserve">Middle Pers. an apostle; a messenger.  See </w:t>
      </w:r>
      <w:r w:rsidRPr="008F03E5">
        <w:t>Nabí (Arabic influence).</w:t>
      </w:r>
    </w:p>
    <w:p w14:paraId="38A6AC3B" w14:textId="77777777" w:rsidR="00625A5B" w:rsidRPr="008F03E5" w:rsidRDefault="00625A5B" w:rsidP="008C7873">
      <w:pPr>
        <w:pStyle w:val="Translit"/>
      </w:pPr>
      <w:r w:rsidRPr="008F03E5">
        <w:t>Payam-i-Dust (Payam-e-Doost)</w:t>
      </w:r>
      <w:r w:rsidRPr="008F03E5">
        <w:tab/>
        <w:t>Payám-i-Dúst</w:t>
      </w:r>
      <w:r w:rsidRPr="008F03E5">
        <w:tab/>
        <w:t>Pers. “Radio message from a friend” (Bahá’í radio broadcasts)</w:t>
      </w:r>
    </w:p>
    <w:p w14:paraId="6D2A2A59" w14:textId="77777777" w:rsidR="00625A5B" w:rsidRPr="001457C8" w:rsidRDefault="00625A5B" w:rsidP="001B0DC9">
      <w:pPr>
        <w:pStyle w:val="Translit"/>
        <w:rPr>
          <w:lang w:val="fr-FR"/>
        </w:rPr>
      </w:pPr>
      <w:r w:rsidRPr="001457C8">
        <w:rPr>
          <w:lang w:val="fr-FR"/>
        </w:rPr>
        <w:t>Payghun</w:t>
      </w:r>
      <w:r w:rsidRPr="001457C8">
        <w:rPr>
          <w:lang w:val="fr-FR"/>
        </w:rPr>
        <w:tab/>
        <w:t>Pay</w:t>
      </w:r>
      <w:r w:rsidRPr="001457C8">
        <w:rPr>
          <w:u w:val="single"/>
          <w:lang w:val="fr-FR"/>
        </w:rPr>
        <w:t>gh</w:t>
      </w:r>
      <w:r w:rsidRPr="001457C8">
        <w:rPr>
          <w:lang w:val="fr-FR"/>
        </w:rPr>
        <w:t>ún</w:t>
      </w:r>
      <w:r w:rsidRPr="001457C8">
        <w:rPr>
          <w:lang w:val="fr-FR"/>
        </w:rPr>
        <w:tab/>
        <w:t>Pers. a condition, covenant</w:t>
      </w:r>
    </w:p>
    <w:p w14:paraId="05A78D26" w14:textId="77777777" w:rsidR="00625A5B" w:rsidRPr="008F03E5" w:rsidRDefault="00625A5B" w:rsidP="0077635B">
      <w:pPr>
        <w:pStyle w:val="Translit"/>
      </w:pPr>
      <w:r w:rsidRPr="008F03E5">
        <w:t>Pay-i-Minar (Pay-Minar)</w:t>
      </w:r>
      <w:r w:rsidRPr="008F03E5">
        <w:tab/>
        <w:t>Páy-i-Minár</w:t>
      </w:r>
      <w:r w:rsidRPr="008F03E5">
        <w:tab/>
        <w:t>Pers. foot of the minaret</w:t>
      </w:r>
    </w:p>
    <w:p w14:paraId="07DEA52D" w14:textId="77777777" w:rsidR="00625A5B" w:rsidRPr="008F03E5" w:rsidRDefault="00625A5B" w:rsidP="004301D1">
      <w:pPr>
        <w:pStyle w:val="Translit"/>
        <w:rPr>
          <w:rFonts w:eastAsia="PMingLiU"/>
          <w:lang w:eastAsia="zh-TW"/>
        </w:rPr>
      </w:pPr>
      <w:r w:rsidRPr="008F03E5">
        <w:rPr>
          <w:rFonts w:eastAsia="PMingLiU"/>
          <w:lang w:eastAsia="zh-TW"/>
        </w:rPr>
        <w:t>Paykar</w:t>
      </w:r>
      <w:r w:rsidRPr="008F03E5">
        <w:rPr>
          <w:rFonts w:eastAsia="PMingLiU"/>
          <w:lang w:eastAsia="zh-TW"/>
        </w:rPr>
        <w:tab/>
        <w:t>Paykar</w:t>
      </w:r>
      <w:r w:rsidRPr="008F03E5">
        <w:rPr>
          <w:rFonts w:eastAsia="PMingLiU"/>
          <w:lang w:eastAsia="zh-TW"/>
        </w:rPr>
        <w:tab/>
        <w:t>Pers. face, countenance; form, figure, mould, model; portrait, likeness; an idol-temple</w:t>
      </w:r>
    </w:p>
    <w:p w14:paraId="037375EF" w14:textId="77777777" w:rsidR="00625A5B" w:rsidRPr="008F03E5" w:rsidRDefault="00625A5B" w:rsidP="00C755B3">
      <w:pPr>
        <w:pStyle w:val="Translit"/>
        <w:rPr>
          <w:rFonts w:eastAsia="PMingLiU"/>
          <w:lang w:eastAsia="zh-TW"/>
        </w:rPr>
      </w:pPr>
      <w:r w:rsidRPr="008F03E5">
        <w:rPr>
          <w:rFonts w:eastAsia="PMingLiU"/>
          <w:lang w:eastAsia="zh-TW"/>
        </w:rPr>
        <w:t>Payman</w:t>
      </w:r>
      <w:r w:rsidRPr="008F03E5">
        <w:tab/>
      </w:r>
      <w:r w:rsidRPr="008F03E5">
        <w:rPr>
          <w:rFonts w:eastAsia="PMingLiU"/>
          <w:lang w:eastAsia="zh-TW"/>
        </w:rPr>
        <w:t>Paymán</w:t>
      </w:r>
      <w:r w:rsidRPr="008F03E5">
        <w:tab/>
        <w:t>Pers. measuring; promise, agreement, compact, convention, treaty, stipulation, pledge, security, confirmation; asseveration, oath, kindred</w:t>
      </w:r>
    </w:p>
    <w:p w14:paraId="7F800958" w14:textId="77777777" w:rsidR="00625A5B" w:rsidRPr="008F03E5" w:rsidRDefault="00625A5B" w:rsidP="00565112">
      <w:pPr>
        <w:pStyle w:val="Translit"/>
        <w:rPr>
          <w:rFonts w:eastAsia="PMingLiU"/>
          <w:lang w:eastAsia="zh-TW"/>
        </w:rPr>
      </w:pPr>
      <w:r w:rsidRPr="008F03E5">
        <w:rPr>
          <w:rFonts w:eastAsia="PMingLiU"/>
          <w:lang w:eastAsia="zh-TW"/>
        </w:rPr>
        <w:t>Payrawi (Pay-rawi, Payravi)</w:t>
      </w:r>
      <w:r w:rsidRPr="008F03E5">
        <w:tab/>
        <w:t>Payrawí (</w:t>
      </w:r>
      <w:r w:rsidRPr="008F03E5">
        <w:rPr>
          <w:rFonts w:eastAsia="PMingLiU"/>
          <w:lang w:eastAsia="zh-TW"/>
        </w:rPr>
        <w:t>Payraví)</w:t>
      </w:r>
      <w:r w:rsidRPr="008F03E5">
        <w:tab/>
        <w:t>a following, pursuit; search; dependence, consequence</w:t>
      </w:r>
    </w:p>
    <w:p w14:paraId="6DF365A9" w14:textId="77777777" w:rsidR="00625A5B" w:rsidRPr="008F03E5" w:rsidRDefault="00625A5B" w:rsidP="00D93A96">
      <w:pPr>
        <w:pStyle w:val="Translit"/>
      </w:pPr>
      <w:r w:rsidRPr="008F03E5">
        <w:t>Pe</w:t>
      </w:r>
      <w:r w:rsidRPr="008F03E5">
        <w:tab/>
        <w:t>Pe (</w:t>
      </w:r>
      <w:r w:rsidRPr="008F03E5">
        <w:rPr>
          <w:rtl/>
        </w:rPr>
        <w:t>پ</w:t>
      </w:r>
      <w:r w:rsidRPr="008F03E5">
        <w:t>)</w:t>
      </w:r>
      <w:r w:rsidRPr="008F03E5">
        <w:tab/>
        <w:t>Perso-Arabic alphabet letter that is based on bá’ (</w:t>
      </w:r>
      <w:r w:rsidRPr="008F03E5">
        <w:rPr>
          <w:rtl/>
        </w:rPr>
        <w:t>ب</w:t>
      </w:r>
      <w:r w:rsidRPr="008F03E5">
        <w:t xml:space="preserve">) with two additional diacritic underdots.  It is </w:t>
      </w:r>
      <w:r w:rsidRPr="008F03E5">
        <w:rPr>
          <w:rFonts w:eastAsia="Times New Roman"/>
        </w:rPr>
        <w:t>interchangeable with fe (</w:t>
      </w:r>
      <w:r w:rsidRPr="008F03E5">
        <w:rPr>
          <w:rFonts w:eastAsia="Times New Roman"/>
          <w:rtl/>
        </w:rPr>
        <w:t>ف</w:t>
      </w:r>
      <w:r w:rsidRPr="008F03E5">
        <w:rPr>
          <w:rFonts w:eastAsia="Times New Roman"/>
        </w:rPr>
        <w:t>), e.g. F</w:t>
      </w:r>
      <w:r w:rsidRPr="008F03E5">
        <w:t>á</w:t>
      </w:r>
      <w:r w:rsidRPr="008F03E5">
        <w:rPr>
          <w:rFonts w:eastAsia="Times New Roman"/>
        </w:rPr>
        <w:t>rs</w:t>
      </w:r>
      <w:r w:rsidRPr="008F03E5">
        <w:t>í</w:t>
      </w:r>
      <w:r w:rsidRPr="008F03E5">
        <w:rPr>
          <w:rFonts w:eastAsia="Times New Roman"/>
        </w:rPr>
        <w:t xml:space="preserve"> and P</w:t>
      </w:r>
      <w:r w:rsidRPr="008F03E5">
        <w:t>á</w:t>
      </w:r>
      <w:r w:rsidRPr="008F03E5">
        <w:rPr>
          <w:rFonts w:eastAsia="Times New Roman"/>
        </w:rPr>
        <w:t>rsí.</w:t>
      </w:r>
    </w:p>
    <w:p w14:paraId="2D8FE56E" w14:textId="77777777" w:rsidR="00625A5B" w:rsidRPr="008F03E5" w:rsidRDefault="00625A5B" w:rsidP="00996C2D">
      <w:pPr>
        <w:pStyle w:val="Translit"/>
      </w:pPr>
      <w:r w:rsidRPr="008F03E5">
        <w:t>Periclytes, Periklytos, Periklutos</w:t>
      </w:r>
      <w:r w:rsidRPr="008F03E5">
        <w:tab/>
        <w:t>Periclytes, Greek Periklýtis</w:t>
      </w:r>
      <w:r w:rsidRPr="008F03E5">
        <w:tab/>
        <w:t>famed, illustrious, celebrated, praiseworthy, praised one, “much praised.  Rendered in Arabic as Aḥmad</w:t>
      </w:r>
    </w:p>
    <w:p w14:paraId="04616922" w14:textId="77777777" w:rsidR="00625A5B" w:rsidRPr="008F03E5" w:rsidRDefault="00625A5B" w:rsidP="00C31478">
      <w:pPr>
        <w:pStyle w:val="Translit"/>
      </w:pPr>
      <w:r w:rsidRPr="008F03E5">
        <w:t>Peripatetic</w:t>
      </w:r>
      <w:r w:rsidRPr="008F03E5">
        <w:tab/>
        <w:t>Peripatetic</w:t>
      </w:r>
      <w:r w:rsidRPr="008F03E5">
        <w:tab/>
        <w:t xml:space="preserve">the Peripatetic school was a school of philosophy in Ancient Greece.  Its teachings derived from its founder, Aristotle (384–322 </w:t>
      </w:r>
      <w:r w:rsidRPr="008F03E5">
        <w:rPr>
          <w:sz w:val="16"/>
          <w:szCs w:val="16"/>
        </w:rPr>
        <w:t>BC</w:t>
      </w:r>
      <w:r w:rsidRPr="008F03E5">
        <w:t>), and peripatetic is an adjective ascribed to his followers.  The term “peripatetic” is a transcription of the ancient Greek word περιπατητικός peripatêtikos, which means “of walking” or “given to walking about”.  The Peripatetic school was known simply as the Peripatos.  Aristotle’s school came to be so named because of the peripatoi (“colonnades” or “covered walkways”) of the Lyceum where the members met.  The legend that the name came from Aristotle’s alleged habit of walking while lecturing may have started with Hermippus of Smyrna.</w:t>
      </w:r>
    </w:p>
    <w:p w14:paraId="280AEB5C" w14:textId="77777777" w:rsidR="00625A5B" w:rsidRPr="00D42FF7" w:rsidRDefault="00625A5B" w:rsidP="00D42FF7">
      <w:pPr>
        <w:pStyle w:val="Translit"/>
      </w:pPr>
      <w:r>
        <w:t>Picha (</w:t>
      </w:r>
      <w:r w:rsidRPr="008F03E5">
        <w:t>Pichih, Picheh</w:t>
      </w:r>
      <w:r>
        <w:t>)</w:t>
      </w:r>
      <w:r w:rsidRPr="008F03E5">
        <w:tab/>
        <w:t>Pí</w:t>
      </w:r>
      <w:r w:rsidRPr="008F03E5">
        <w:rPr>
          <w:u w:val="single"/>
        </w:rPr>
        <w:t>ch</w:t>
      </w:r>
      <w:r>
        <w:t>a</w:t>
      </w:r>
      <w:r w:rsidRPr="008F03E5">
        <w:tab/>
        <w:t xml:space="preserve">Pers. woven, black, horse hair (or other fibre) net used to cover a woman’s face.  </w:t>
      </w:r>
      <w:r w:rsidRPr="00D42FF7">
        <w:t xml:space="preserve">Turkish </w:t>
      </w:r>
      <w:r>
        <w:t>ya</w:t>
      </w:r>
      <w:r w:rsidRPr="00D42FF7">
        <w:t>ş</w:t>
      </w:r>
      <w:r>
        <w:t>mak,</w:t>
      </w:r>
      <w:r w:rsidRPr="00D42FF7">
        <w:t xml:space="preserve"> peçe</w:t>
      </w:r>
      <w:r>
        <w:t>,</w:t>
      </w:r>
      <w:r w:rsidRPr="00D42FF7">
        <w:t xml:space="preserve"> petche</w:t>
      </w:r>
      <w:r>
        <w:t>;</w:t>
      </w:r>
      <w:r w:rsidRPr="00D42FF7">
        <w:t xml:space="preserve"> Ar. </w:t>
      </w:r>
      <w:r>
        <w:t>ya</w:t>
      </w:r>
      <w:r w:rsidRPr="00D42FF7">
        <w:rPr>
          <w:u w:val="single"/>
        </w:rPr>
        <w:t>sh</w:t>
      </w:r>
      <w:r>
        <w:t xml:space="preserve">mak, </w:t>
      </w:r>
      <w:r w:rsidRPr="00D42FF7">
        <w:t>ḥ</w:t>
      </w:r>
      <w:r>
        <w:t>ij</w:t>
      </w:r>
      <w:r w:rsidRPr="00D42FF7">
        <w:t>á</w:t>
      </w:r>
      <w:r>
        <w:t>b.</w:t>
      </w:r>
    </w:p>
    <w:p w14:paraId="45F3F021" w14:textId="77777777" w:rsidR="00625A5B" w:rsidRPr="008F03E5" w:rsidRDefault="00625A5B" w:rsidP="000A1809">
      <w:pPr>
        <w:pStyle w:val="Translit"/>
      </w:pPr>
      <w:r w:rsidRPr="008F03E5">
        <w:t>Pichan</w:t>
      </w:r>
      <w:r w:rsidRPr="008F03E5">
        <w:tab/>
        <w:t>Pí</w:t>
      </w:r>
      <w:r w:rsidRPr="008F03E5">
        <w:rPr>
          <w:u w:val="single"/>
        </w:rPr>
        <w:t>ch</w:t>
      </w:r>
      <w:r w:rsidRPr="008F03E5">
        <w:t>án</w:t>
      </w:r>
      <w:r w:rsidRPr="008F03E5">
        <w:tab/>
        <w:t>Pers. complicated, twisted</w:t>
      </w:r>
    </w:p>
    <w:p w14:paraId="3A4FF54F" w14:textId="77777777" w:rsidR="00625A5B" w:rsidRPr="00077779" w:rsidRDefault="00625A5B" w:rsidP="009F645D">
      <w:pPr>
        <w:pStyle w:val="Translit"/>
        <w:rPr>
          <w:lang w:val="es-ES_tradnl"/>
        </w:rPr>
      </w:pPr>
      <w:r w:rsidRPr="00077779">
        <w:rPr>
          <w:rFonts w:eastAsia="Times New Roman"/>
          <w:lang w:val="es-ES_tradnl"/>
        </w:rPr>
        <w:t>Pidar (Pedar), Padar</w:t>
      </w:r>
      <w:r w:rsidRPr="00077779">
        <w:rPr>
          <w:rFonts w:eastAsia="Times New Roman"/>
          <w:lang w:val="es-ES_tradnl"/>
        </w:rPr>
        <w:tab/>
        <w:t>Pidar, Padar</w:t>
      </w:r>
      <w:r w:rsidRPr="00077779">
        <w:rPr>
          <w:rFonts w:eastAsia="Times New Roman"/>
          <w:lang w:val="es-ES_tradnl"/>
        </w:rPr>
        <w:tab/>
        <w:t>Pers. a father</w:t>
      </w:r>
    </w:p>
    <w:p w14:paraId="2882B0F1" w14:textId="77777777" w:rsidR="00625A5B" w:rsidRPr="008F03E5" w:rsidRDefault="00625A5B" w:rsidP="0056200A">
      <w:pPr>
        <w:pStyle w:val="Translit"/>
      </w:pPr>
      <w:r w:rsidRPr="008F03E5">
        <w:t>Pidar-Jan</w:t>
      </w:r>
      <w:r w:rsidRPr="008F03E5">
        <w:tab/>
        <w:t>Pidar-Ján</w:t>
      </w:r>
      <w:r w:rsidRPr="008F03E5">
        <w:tab/>
        <w:t>“Father dear”.  A title given to ‘Abdu’lláh of Qazvín (</w:t>
      </w:r>
      <w:r w:rsidRPr="008F03E5">
        <w:rPr>
          <w:sz w:val="16"/>
          <w:szCs w:val="16"/>
        </w:rPr>
        <w:t>MF</w:t>
      </w:r>
      <w:r w:rsidRPr="008F03E5">
        <w:t>)</w:t>
      </w:r>
    </w:p>
    <w:p w14:paraId="38CACDD7" w14:textId="77777777" w:rsidR="00625A5B" w:rsidRPr="001F3A34" w:rsidRDefault="00625A5B" w:rsidP="00667A3F">
      <w:pPr>
        <w:pStyle w:val="Translit"/>
      </w:pPr>
      <w:r w:rsidRPr="001F3A34">
        <w:t>Pija Kula (Pija Kola), Picha Kula</w:t>
      </w:r>
      <w:r w:rsidRPr="001F3A34">
        <w:tab/>
        <w:t>Píjá Kulá (Pí</w:t>
      </w:r>
      <w:r w:rsidRPr="001F3A34">
        <w:rPr>
          <w:u w:val="single"/>
        </w:rPr>
        <w:t>ch</w:t>
      </w:r>
      <w:r w:rsidRPr="001F3A34">
        <w:t>á Kulá)</w:t>
      </w:r>
      <w:r>
        <w:tab/>
        <w:t>Pers. village (</w:t>
      </w:r>
      <w:r w:rsidRPr="001F3A34">
        <w:t>36.563549, 52.583363</w:t>
      </w:r>
      <w:r>
        <w:t xml:space="preserve">) 8 km </w:t>
      </w:r>
      <w:r w:rsidRPr="004003CC">
        <w:rPr>
          <w:sz w:val="16"/>
          <w:szCs w:val="16"/>
        </w:rPr>
        <w:t>NW</w:t>
      </w:r>
      <w:r>
        <w:t xml:space="preserve"> of Babol.  Possible home of Qudd</w:t>
      </w:r>
      <w:r w:rsidRPr="00667A3F">
        <w:t>ú</w:t>
      </w:r>
      <w:r>
        <w:t>s.</w:t>
      </w:r>
    </w:p>
    <w:p w14:paraId="57478519" w14:textId="77777777" w:rsidR="00625A5B" w:rsidRPr="008F03E5" w:rsidRDefault="00625A5B" w:rsidP="004202C3">
      <w:pPr>
        <w:pStyle w:val="Translit"/>
      </w:pPr>
      <w:r w:rsidRPr="008F03E5">
        <w:t>Pilaw (Pilav), Pulau</w:t>
      </w:r>
      <w:r w:rsidRPr="008F03E5">
        <w:tab/>
        <w:t>Píláw (Píláv)</w:t>
      </w:r>
      <w:r w:rsidRPr="008F03E5">
        <w:tab/>
        <w:t>Pers. boiled rice and meat.  Turkish pilav.  English (UK) pilau, English (US) pilaf.</w:t>
      </w:r>
    </w:p>
    <w:p w14:paraId="6DCA01AC" w14:textId="77777777" w:rsidR="00625A5B" w:rsidRPr="008F03E5" w:rsidRDefault="00625A5B" w:rsidP="00A47D4B">
      <w:pPr>
        <w:pStyle w:val="Translit"/>
      </w:pPr>
      <w:r w:rsidRPr="008F03E5">
        <w:t>Pindar</w:t>
      </w:r>
      <w:r w:rsidRPr="008F03E5">
        <w:tab/>
        <w:t>Pindár</w:t>
      </w:r>
      <w:r w:rsidRPr="008F03E5">
        <w:tab/>
        <w:t>Pers. thought, imagination, fancy, opinion; pride, conceit, a high opinion of oneself</w:t>
      </w:r>
    </w:p>
    <w:p w14:paraId="79AF0B68" w14:textId="77777777" w:rsidR="00625A5B" w:rsidRPr="008F03E5" w:rsidRDefault="00625A5B" w:rsidP="00A47D4B">
      <w:pPr>
        <w:pStyle w:val="Translit"/>
      </w:pPr>
      <w:r w:rsidRPr="008F03E5">
        <w:t>Pir</w:t>
      </w:r>
      <w:r w:rsidRPr="008F03E5">
        <w:tab/>
        <w:t>Pír</w:t>
      </w:r>
      <w:r w:rsidRPr="008F03E5">
        <w:tab/>
        <w:t>Pers. an old man; a founder or chief of a religious body or sect</w:t>
      </w:r>
    </w:p>
    <w:p w14:paraId="4B559296" w14:textId="77777777" w:rsidR="00625A5B" w:rsidRPr="008F03E5" w:rsidRDefault="00625A5B" w:rsidP="001979D9">
      <w:pPr>
        <w:pStyle w:val="Translit"/>
        <w:rPr>
          <w:rFonts w:eastAsia="Times New Roman"/>
        </w:rPr>
      </w:pPr>
      <w:r w:rsidRPr="008F03E5">
        <w:rPr>
          <w:rFonts w:eastAsia="Times New Roman"/>
        </w:rPr>
        <w:t>Pir-Murad</w:t>
      </w:r>
      <w:r w:rsidRPr="008F03E5">
        <w:rPr>
          <w:rFonts w:eastAsia="Times New Roman"/>
        </w:rPr>
        <w:tab/>
        <w:t>P</w:t>
      </w:r>
      <w:r w:rsidRPr="008F03E5">
        <w:t>í</w:t>
      </w:r>
      <w:r w:rsidRPr="008F03E5">
        <w:rPr>
          <w:rFonts w:eastAsia="Times New Roman"/>
        </w:rPr>
        <w:t>r-Mur</w:t>
      </w:r>
      <w:r w:rsidRPr="008F03E5">
        <w:t>á</w:t>
      </w:r>
      <w:r w:rsidRPr="008F03E5">
        <w:rPr>
          <w:rFonts w:eastAsia="Times New Roman"/>
        </w:rPr>
        <w:t>d</w:t>
      </w:r>
      <w:r w:rsidRPr="008F03E5">
        <w:rPr>
          <w:rFonts w:eastAsia="Times New Roman"/>
        </w:rPr>
        <w:tab/>
      </w:r>
      <w:r w:rsidRPr="008F03E5">
        <w:t>Imám-Zádih</w:t>
      </w:r>
      <w:r w:rsidRPr="008F03E5">
        <w:rPr>
          <w:rFonts w:eastAsia="Times New Roman"/>
        </w:rPr>
        <w:t xml:space="preserve"> </w:t>
      </w:r>
      <w:r w:rsidRPr="00545D34">
        <w:rPr>
          <w:rFonts w:eastAsia="Times New Roman"/>
        </w:rPr>
        <w:t>S</w:t>
      </w:r>
      <w:r>
        <w:rPr>
          <w:rFonts w:eastAsia="Times New Roman"/>
        </w:rPr>
        <w:t>a</w:t>
      </w:r>
      <w:r w:rsidRPr="00545D34">
        <w:rPr>
          <w:rFonts w:eastAsia="Times New Roman"/>
        </w:rPr>
        <w:t>yy</w:t>
      </w:r>
      <w:r>
        <w:rPr>
          <w:rFonts w:eastAsia="Times New Roman"/>
        </w:rPr>
        <w:t>i</w:t>
      </w:r>
      <w:r w:rsidRPr="00545D34">
        <w:rPr>
          <w:rFonts w:eastAsia="Times New Roman"/>
        </w:rPr>
        <w:t>d Mu</w:t>
      </w:r>
      <w:r w:rsidRPr="00545D34">
        <w:t>ḥ</w:t>
      </w:r>
      <w:r w:rsidRPr="00545D34">
        <w:rPr>
          <w:rFonts w:eastAsia="Times New Roman"/>
        </w:rPr>
        <w:t>ammad bin M</w:t>
      </w:r>
      <w:r w:rsidRPr="00545D34">
        <w:t>ú</w:t>
      </w:r>
      <w:r w:rsidRPr="00545D34">
        <w:rPr>
          <w:rFonts w:eastAsia="Times New Roman"/>
        </w:rPr>
        <w:t>s</w:t>
      </w:r>
      <w:r w:rsidRPr="00545D34">
        <w:t>á</w:t>
      </w:r>
      <w:r w:rsidRPr="00545D34">
        <w:rPr>
          <w:rFonts w:eastAsia="Times New Roman"/>
        </w:rPr>
        <w:t xml:space="preserve"> </w:t>
      </w:r>
      <w:r w:rsidRPr="00673DD3">
        <w:t>al-Káẓim</w:t>
      </w:r>
      <w:r w:rsidRPr="00545D34">
        <w:rPr>
          <w:rFonts w:eastAsia="Times New Roman"/>
        </w:rPr>
        <w:t xml:space="preserve"> </w:t>
      </w:r>
      <w:r>
        <w:rPr>
          <w:rFonts w:eastAsia="Times New Roman"/>
        </w:rPr>
        <w:t>(</w:t>
      </w:r>
      <w:r w:rsidRPr="008F03E5">
        <w:rPr>
          <w:rFonts w:eastAsia="Times New Roman"/>
        </w:rPr>
        <w:t>P</w:t>
      </w:r>
      <w:r w:rsidRPr="008F03E5">
        <w:t>í</w:t>
      </w:r>
      <w:r w:rsidRPr="008F03E5">
        <w:rPr>
          <w:rFonts w:eastAsia="Times New Roman"/>
        </w:rPr>
        <w:t>r-Mur</w:t>
      </w:r>
      <w:r w:rsidRPr="008F03E5">
        <w:t>á</w:t>
      </w:r>
      <w:r w:rsidRPr="008F03E5">
        <w:rPr>
          <w:rFonts w:eastAsia="Times New Roman"/>
        </w:rPr>
        <w:t>d</w:t>
      </w:r>
      <w:r>
        <w:rPr>
          <w:rFonts w:eastAsia="Times New Roman"/>
        </w:rPr>
        <w:t xml:space="preserve"> Shrine) </w:t>
      </w:r>
      <w:r w:rsidRPr="008F03E5">
        <w:rPr>
          <w:rFonts w:eastAsia="Times New Roman"/>
        </w:rPr>
        <w:t>(</w:t>
      </w:r>
      <w:r w:rsidRPr="00AB5BA4">
        <w:t>29.129644, 54.031008</w:t>
      </w:r>
      <w:r w:rsidRPr="008F03E5">
        <w:rPr>
          <w:rFonts w:eastAsia="Times New Roman"/>
        </w:rPr>
        <w:t>)</w:t>
      </w:r>
      <w:r>
        <w:rPr>
          <w:rFonts w:eastAsia="Times New Roman"/>
        </w:rPr>
        <w:t xml:space="preserve">—building has been replaced.  West </w:t>
      </w:r>
      <w:r w:rsidRPr="008F03E5">
        <w:t>Istahbán</w:t>
      </w:r>
      <w:r>
        <w:rPr>
          <w:rFonts w:eastAsia="Times New Roman"/>
        </w:rPr>
        <w:t xml:space="preserve"> has grown around it</w:t>
      </w:r>
      <w:r w:rsidRPr="008F03E5">
        <w:t>.</w:t>
      </w:r>
    </w:p>
    <w:p w14:paraId="2CE55D6F" w14:textId="77777777" w:rsidR="00625A5B" w:rsidRPr="008F03E5" w:rsidRDefault="00625A5B" w:rsidP="00720AEA">
      <w:pPr>
        <w:pStyle w:val="Translit"/>
      </w:pPr>
      <w:r w:rsidRPr="008F03E5">
        <w:rPr>
          <w:rFonts w:eastAsia="Times New Roman"/>
        </w:rPr>
        <w:t>Pish (Pesh)</w:t>
      </w:r>
      <w:r w:rsidRPr="008F03E5">
        <w:rPr>
          <w:rFonts w:eastAsia="Times New Roman"/>
        </w:rPr>
        <w:tab/>
        <w:t>P</w:t>
      </w:r>
      <w:r w:rsidRPr="008F03E5">
        <w:t>í</w:t>
      </w:r>
      <w:r w:rsidRPr="008F03E5">
        <w:rPr>
          <w:rFonts w:eastAsia="Times New Roman"/>
          <w:u w:val="single"/>
        </w:rPr>
        <w:t>sh</w:t>
      </w:r>
      <w:r w:rsidRPr="008F03E5">
        <w:rPr>
          <w:rFonts w:eastAsia="Times New Roman"/>
        </w:rPr>
        <w:tab/>
        <w:t>Pers. before; in front; forward; past; future; further, beyond; preamble, premises; an example, model, exemplar, coryphaeus, chief, superior, commander, leader</w:t>
      </w:r>
    </w:p>
    <w:p w14:paraId="763E361A" w14:textId="77777777" w:rsidR="00625A5B" w:rsidRPr="00AF4D34" w:rsidRDefault="00625A5B" w:rsidP="00F22AD0">
      <w:pPr>
        <w:pStyle w:val="Translit"/>
      </w:pPr>
      <w:r>
        <w:t>Pishdad (Peshdad)</w:t>
      </w:r>
      <w:r>
        <w:tab/>
        <w:t>P</w:t>
      </w:r>
      <w:r w:rsidRPr="00F22AD0">
        <w:rPr>
          <w:u w:val="single"/>
        </w:rPr>
        <w:t>ish</w:t>
      </w:r>
      <w:r w:rsidRPr="00F22AD0">
        <w:t>dád</w:t>
      </w:r>
      <w:r>
        <w:tab/>
        <w:t>Pers. a</w:t>
      </w:r>
      <w:r w:rsidRPr="00AF4D34">
        <w:t xml:space="preserve"> law-giver; the first to redress the wrongs of the oppressed; earnest-money; H</w:t>
      </w:r>
      <w:r>
        <w:t>u</w:t>
      </w:r>
      <w:r w:rsidRPr="00AF4D34">
        <w:t>shang, the first of the line of Peshd</w:t>
      </w:r>
      <w:r>
        <w:t>a</w:t>
      </w:r>
      <w:r w:rsidRPr="00AF4D34">
        <w:t>dian kings.</w:t>
      </w:r>
    </w:p>
    <w:p w14:paraId="4BAE67EC" w14:textId="77777777" w:rsidR="00625A5B" w:rsidRPr="008F03E5" w:rsidRDefault="00625A5B" w:rsidP="00F22AD0">
      <w:pPr>
        <w:pStyle w:val="Translit"/>
      </w:pPr>
      <w:r w:rsidRPr="008F03E5">
        <w:t>Pishdadiyan</w:t>
      </w:r>
      <w:r>
        <w:t xml:space="preserve"> (Peshdadiyan)</w:t>
      </w:r>
      <w:r w:rsidRPr="008F03E5">
        <w:tab/>
        <w:t>Pí</w:t>
      </w:r>
      <w:r w:rsidRPr="008F03E5">
        <w:rPr>
          <w:u w:val="single"/>
        </w:rPr>
        <w:t>sh</w:t>
      </w:r>
      <w:r w:rsidRPr="008F03E5">
        <w:t>dádíyán</w:t>
      </w:r>
      <w:r w:rsidRPr="008F03E5">
        <w:tab/>
      </w:r>
      <w:r>
        <w:t>Pers. t</w:t>
      </w:r>
      <w:r w:rsidRPr="008F03E5">
        <w:t>he Pishdadian Dynasty is said to have produced the first kings who ruled over Persia (e.g. Firaydún)</w:t>
      </w:r>
    </w:p>
    <w:p w14:paraId="7CD5B8E6" w14:textId="77777777" w:rsidR="00625A5B" w:rsidRPr="008F03E5" w:rsidRDefault="00625A5B" w:rsidP="00377EF2">
      <w:pPr>
        <w:pStyle w:val="Translit"/>
      </w:pPr>
      <w:r w:rsidRPr="008F03E5">
        <w:t>Pishkar (Pesh-kar)</w:t>
      </w:r>
      <w:r w:rsidRPr="008F03E5">
        <w:tab/>
        <w:t>Pí</w:t>
      </w:r>
      <w:r w:rsidRPr="008F03E5">
        <w:rPr>
          <w:u w:val="single"/>
        </w:rPr>
        <w:t>sh</w:t>
      </w:r>
      <w:r w:rsidRPr="008F03E5">
        <w:t>kár</w:t>
      </w:r>
      <w:r w:rsidRPr="008F03E5">
        <w:tab/>
        <w:t>Pers. an assistant, helper; a domestic, a serving-man, a hired labourer; a steward; a disciple; a subordinate officer whose business it is to write the accounts.</w:t>
      </w:r>
    </w:p>
    <w:p w14:paraId="2E234C89" w14:textId="77777777" w:rsidR="00625A5B" w:rsidRPr="008F03E5" w:rsidRDefault="00625A5B" w:rsidP="00CF3C57">
      <w:pPr>
        <w:pStyle w:val="Translit"/>
      </w:pPr>
      <w:r w:rsidRPr="008F03E5">
        <w:t>Pish-Kash, Pishkish</w:t>
      </w:r>
      <w:r w:rsidRPr="008F03E5">
        <w:tab/>
        <w:t>Pi</w:t>
      </w:r>
      <w:r w:rsidRPr="008F03E5">
        <w:rPr>
          <w:u w:val="single"/>
        </w:rPr>
        <w:t>sh</w:t>
      </w:r>
      <w:r w:rsidRPr="008F03E5">
        <w:t>-Ka</w:t>
      </w:r>
      <w:r w:rsidRPr="008F03E5">
        <w:rPr>
          <w:u w:val="single"/>
        </w:rPr>
        <w:t>sh</w:t>
      </w:r>
      <w:r w:rsidRPr="008F03E5">
        <w:t>, Pí</w:t>
      </w:r>
      <w:r w:rsidRPr="008F03E5">
        <w:rPr>
          <w:u w:val="single"/>
        </w:rPr>
        <w:t>sh</w:t>
      </w:r>
      <w:r w:rsidRPr="008F03E5">
        <w:t>ki</w:t>
      </w:r>
      <w:r w:rsidRPr="008F03E5">
        <w:rPr>
          <w:u w:val="single"/>
        </w:rPr>
        <w:t>sh</w:t>
      </w:r>
      <w:r w:rsidRPr="008F03E5">
        <w:tab/>
        <w:t>Pers. a present, tip, duoceur.  R</w:t>
      </w:r>
      <w:r w:rsidRPr="008F03E5">
        <w:rPr>
          <w:lang w:eastAsia="en-US"/>
        </w:rPr>
        <w:t>itual courtesy forbids you to take the gift.</w:t>
      </w:r>
    </w:p>
    <w:p w14:paraId="1B3BFCB6" w14:textId="77777777" w:rsidR="00625A5B" w:rsidRPr="008F03E5" w:rsidRDefault="00625A5B" w:rsidP="0077112B">
      <w:pPr>
        <w:pStyle w:val="Translit"/>
      </w:pPr>
      <w:r w:rsidRPr="008F03E5">
        <w:t>Pishnamaz</w:t>
      </w:r>
      <w:r w:rsidRPr="008F03E5">
        <w:tab/>
        <w:t>Pí</w:t>
      </w:r>
      <w:r w:rsidRPr="008F03E5">
        <w:rPr>
          <w:u w:val="single"/>
        </w:rPr>
        <w:t>sh</w:t>
      </w:r>
      <w:r w:rsidRPr="008F03E5">
        <w:t>namáz</w:t>
      </w:r>
      <w:r w:rsidRPr="008F03E5">
        <w:tab/>
        <w:t>Pers. a</w:t>
      </w:r>
      <w:r w:rsidRPr="008F03E5">
        <w:rPr>
          <w:rFonts w:eastAsia="Times New Roman"/>
        </w:rPr>
        <w:t xml:space="preserve"> prayer leader; a chaplain;</w:t>
      </w:r>
      <w:r w:rsidRPr="008F03E5">
        <w:t xml:space="preserve"> the cleric who leads the congregation in prayer in the mosque, usually equivalent to a</w:t>
      </w:r>
      <w:r>
        <w:t>n</w:t>
      </w:r>
      <w:r w:rsidRPr="008F03E5">
        <w:t xml:space="preserve"> imám-jum‘ih</w:t>
      </w:r>
    </w:p>
    <w:p w14:paraId="675A9CE5" w14:textId="77777777" w:rsidR="00625A5B" w:rsidRPr="008F03E5" w:rsidRDefault="00625A5B" w:rsidP="00900A82">
      <w:pPr>
        <w:pStyle w:val="Translit"/>
      </w:pPr>
      <w:r w:rsidRPr="008F03E5">
        <w:t>Plevna</w:t>
      </w:r>
      <w:r w:rsidRPr="008F03E5">
        <w:tab/>
        <w:t>Plevna</w:t>
      </w:r>
      <w:r w:rsidRPr="008F03E5">
        <w:tab/>
        <w:t>Pleven, Bulgaria</w:t>
      </w:r>
    </w:p>
    <w:p w14:paraId="1A41E1AC" w14:textId="77777777" w:rsidR="00625A5B" w:rsidRPr="008F03E5" w:rsidRDefault="00625A5B" w:rsidP="002D5FDC">
      <w:pPr>
        <w:pStyle w:val="Translit"/>
      </w:pPr>
      <w:r w:rsidRPr="008F03E5">
        <w:t>Prayer</w:t>
      </w:r>
      <w:r w:rsidRPr="008F03E5">
        <w:tab/>
        <w:t>Prayer</w:t>
      </w:r>
      <w:r w:rsidRPr="008F03E5">
        <w:tab/>
        <w:t>There are three types of revealed prayers:  ṣalá</w:t>
      </w:r>
      <w:r>
        <w:t>h</w:t>
      </w:r>
      <w:r w:rsidRPr="008F03E5">
        <w:t xml:space="preserve"> [ritual or obligatory prayers revealed by Bahá’u’lláh], du’á’ (prayers for certain occasions and requirements) and munájáh (prayers that are more in the character of communing with God) [revealed by the Báb, Bahá’u’lláh, ‘Abdu’l-Bahá and Shoghi Effendi].  See ṣalá</w:t>
      </w:r>
      <w:r>
        <w:t>h.</w:t>
      </w:r>
    </w:p>
    <w:p w14:paraId="6C7B4D36" w14:textId="77777777" w:rsidR="00625A5B" w:rsidRPr="008F03E5" w:rsidRDefault="00625A5B" w:rsidP="006C118A">
      <w:pPr>
        <w:pStyle w:val="Translit"/>
      </w:pPr>
      <w:r w:rsidRPr="008F03E5">
        <w:t>Pukhta (Pukhtih, “Pokhet”)</w:t>
      </w:r>
      <w:r w:rsidRPr="008F03E5">
        <w:tab/>
        <w:t>Pu</w:t>
      </w:r>
      <w:r w:rsidRPr="008F03E5">
        <w:rPr>
          <w:u w:val="single"/>
        </w:rPr>
        <w:t>kh</w:t>
      </w:r>
      <w:r w:rsidRPr="008F03E5">
        <w:t>ta</w:t>
      </w:r>
      <w:r w:rsidRPr="008F03E5">
        <w:tab/>
        <w:t>Pers. boiled, dressed, cooked; ripe, mature; expert, skilful, versed in business; sly; a large lamb; contemptible; strong, well built</w:t>
      </w:r>
    </w:p>
    <w:p w14:paraId="514E06A1" w14:textId="77777777" w:rsidR="00625A5B" w:rsidRPr="008F03E5" w:rsidRDefault="00625A5B" w:rsidP="00F2037D">
      <w:pPr>
        <w:pStyle w:val="Translit"/>
      </w:pPr>
      <w:r w:rsidRPr="008F03E5">
        <w:t>Pul</w:t>
      </w:r>
      <w:r w:rsidRPr="008F03E5">
        <w:tab/>
        <w:t>Púl</w:t>
      </w:r>
      <w:r w:rsidRPr="008F03E5">
        <w:tab/>
        <w:t>Pers. a bridge; a small piece of copper coin; money; a fish-scale; a station on a journey, an inn</w:t>
      </w:r>
    </w:p>
    <w:p w14:paraId="39612BA0" w14:textId="77777777" w:rsidR="00625A5B" w:rsidRPr="008F03E5" w:rsidRDefault="00625A5B" w:rsidP="00DC51A2">
      <w:pPr>
        <w:pStyle w:val="Translit"/>
      </w:pPr>
      <w:r w:rsidRPr="008F03E5">
        <w:t>Pur</w:t>
      </w:r>
      <w:r w:rsidRPr="008F03E5">
        <w:tab/>
        <w:t>Púr</w:t>
      </w:r>
      <w:r w:rsidRPr="008F03E5">
        <w:tab/>
        <w:t>Pers. a son; a horse; one who shams ignorance; steel; a woodcock; Porus, king of the Pauravas</w:t>
      </w:r>
    </w:p>
    <w:p w14:paraId="5FD36A7F" w14:textId="77777777" w:rsidR="00625A5B" w:rsidRPr="008F03E5" w:rsidRDefault="00625A5B" w:rsidP="00C41F2A">
      <w:pPr>
        <w:pStyle w:val="Translit"/>
      </w:pPr>
      <w:r w:rsidRPr="008F03E5">
        <w:t>Pur</w:t>
      </w:r>
      <w:r w:rsidRPr="008F03E5">
        <w:tab/>
        <w:t>Pur</w:t>
      </w:r>
      <w:r w:rsidRPr="008F03E5">
        <w:tab/>
        <w:t>Pers. full; laden, charged; complete; much, very</w:t>
      </w:r>
    </w:p>
    <w:p w14:paraId="4CA96E04" w14:textId="77777777" w:rsidR="00625A5B" w:rsidRPr="008F03E5" w:rsidRDefault="00625A5B" w:rsidP="001502DD">
      <w:pPr>
        <w:pStyle w:val="Translit"/>
      </w:pPr>
      <w:r w:rsidRPr="001457C8">
        <w:rPr>
          <w:lang w:val="it-IT"/>
        </w:rPr>
        <w:t>Pur-dil (Purdil)</w:t>
      </w:r>
      <w:r w:rsidRPr="001457C8">
        <w:rPr>
          <w:lang w:val="it-IT"/>
        </w:rPr>
        <w:tab/>
        <w:t>Pur-dil (Purdil)</w:t>
      </w:r>
      <w:r w:rsidRPr="001457C8">
        <w:rPr>
          <w:lang w:val="it-IT"/>
        </w:rPr>
        <w:tab/>
        <w:t xml:space="preserve">Pers. </w:t>
      </w:r>
      <w:r w:rsidRPr="008F03E5">
        <w:t>“full heart” full of courage, intrepid, magnanimous; intelligent; liberal</w:t>
      </w:r>
    </w:p>
    <w:p w14:paraId="1AEE6E2A" w14:textId="77777777" w:rsidR="00625A5B" w:rsidRPr="008F03E5" w:rsidRDefault="00625A5B" w:rsidP="00041868">
      <w:pPr>
        <w:pStyle w:val="Translit"/>
      </w:pPr>
      <w:r w:rsidRPr="008F03E5">
        <w:t>Pursidani</w:t>
      </w:r>
      <w:r w:rsidRPr="008F03E5">
        <w:tab/>
        <w:t>Pursídaní</w:t>
      </w:r>
      <w:r w:rsidRPr="008F03E5">
        <w:tab/>
        <w:t>Per. questions that ought to be put, conventional questions; a riddle</w:t>
      </w:r>
    </w:p>
    <w:p w14:paraId="48050B83" w14:textId="77777777" w:rsidR="00625A5B" w:rsidRPr="008F03E5" w:rsidRDefault="00625A5B" w:rsidP="00041868">
      <w:pPr>
        <w:pStyle w:val="Translit"/>
      </w:pPr>
      <w:r w:rsidRPr="008F03E5">
        <w:t>Pursish</w:t>
      </w:r>
      <w:r w:rsidRPr="008F03E5">
        <w:tab/>
        <w:t>Pursi</w:t>
      </w:r>
      <w:r w:rsidRPr="008F03E5">
        <w:rPr>
          <w:u w:val="single"/>
        </w:rPr>
        <w:t>sh</w:t>
      </w:r>
      <w:r w:rsidRPr="008F03E5">
        <w:tab/>
        <w:t>Pers. a question, interrogation; visiting the sick; mourning the dead</w:t>
      </w:r>
    </w:p>
    <w:p w14:paraId="04977AA8" w14:textId="77777777" w:rsidR="00625A5B" w:rsidRPr="008F03E5" w:rsidRDefault="00625A5B" w:rsidP="00E6170B">
      <w:pPr>
        <w:pStyle w:val="Translit"/>
        <w:rPr>
          <w:rFonts w:eastAsia="PMingLiU"/>
          <w:lang w:eastAsia="zh-TW"/>
        </w:rPr>
      </w:pPr>
      <w:r w:rsidRPr="00077779">
        <w:rPr>
          <w:rFonts w:eastAsia="PMingLiU"/>
          <w:lang w:val="es-ES_tradnl" w:eastAsia="zh-TW"/>
        </w:rPr>
        <w:t>Pur-Ustadkar</w:t>
      </w:r>
      <w:r w:rsidRPr="00077779">
        <w:rPr>
          <w:lang w:val="es-ES_tradnl"/>
        </w:rPr>
        <w:tab/>
      </w:r>
      <w:r w:rsidRPr="00077779">
        <w:rPr>
          <w:rFonts w:eastAsia="PMingLiU"/>
          <w:lang w:val="es-ES_tradnl" w:eastAsia="zh-TW"/>
        </w:rPr>
        <w:t>Púr-Ustádkár</w:t>
      </w:r>
      <w:r w:rsidRPr="00077779">
        <w:rPr>
          <w:lang w:val="es-ES_tradnl"/>
        </w:rPr>
        <w:tab/>
        <w:t xml:space="preserve">Pers.  </w:t>
      </w:r>
      <w:r w:rsidRPr="008F03E5">
        <w:t>See p</w:t>
      </w:r>
      <w:r w:rsidRPr="008F03E5">
        <w:rPr>
          <w:rFonts w:eastAsia="PMingLiU"/>
          <w:lang w:eastAsia="zh-TW"/>
        </w:rPr>
        <w:t>úr, ustád and kár</w:t>
      </w:r>
    </w:p>
    <w:p w14:paraId="42493F3F" w14:textId="77777777" w:rsidR="00625A5B" w:rsidRPr="008F03E5" w:rsidRDefault="00625A5B" w:rsidP="0032265E">
      <w:pPr>
        <w:pStyle w:val="Translit"/>
      </w:pPr>
      <w:r w:rsidRPr="008F03E5">
        <w:t>Pusht</w:t>
      </w:r>
      <w:r w:rsidRPr="008F03E5">
        <w:tab/>
        <w:t>Pu</w:t>
      </w:r>
      <w:r w:rsidRPr="008F03E5">
        <w:rPr>
          <w:u w:val="single"/>
        </w:rPr>
        <w:t>sh</w:t>
      </w:r>
      <w:r w:rsidRPr="008F03E5">
        <w:t>t</w:t>
      </w:r>
      <w:r w:rsidRPr="008F03E5">
        <w:tab/>
        <w:t>Pers. t</w:t>
      </w:r>
      <w:r w:rsidRPr="008F03E5">
        <w:rPr>
          <w:rFonts w:eastAsia="Times New Roman"/>
        </w:rPr>
        <w:t>he back; the outside; the blade of a sword; a support, prop; a protector, patron</w:t>
      </w:r>
    </w:p>
    <w:p w14:paraId="0F0C20EB" w14:textId="77777777" w:rsidR="00625A5B" w:rsidRPr="008F03E5" w:rsidRDefault="00625A5B" w:rsidP="00184A1D">
      <w:pPr>
        <w:pStyle w:val="Translit"/>
      </w:pPr>
      <w:r w:rsidRPr="008F03E5">
        <w:t>Pust (Post)</w:t>
      </w:r>
      <w:r w:rsidRPr="008F03E5">
        <w:tab/>
        <w:t>Púst</w:t>
      </w:r>
      <w:r w:rsidRPr="008F03E5">
        <w:tab/>
        <w:t>Pers. skin; a raw hide, undressed skin; rind, outward coat; crust; bark of a tree; a shell; poppy-head; slander, detraction</w:t>
      </w:r>
    </w:p>
    <w:p w14:paraId="5F57805B" w14:textId="77777777" w:rsidR="00625A5B" w:rsidRPr="008F03E5" w:rsidRDefault="00625A5B" w:rsidP="001061B3">
      <w:pPr>
        <w:pStyle w:val="Translit"/>
      </w:pPr>
      <w:r w:rsidRPr="008F03E5">
        <w:t>Pustchi</w:t>
      </w:r>
      <w:r w:rsidRPr="008F03E5">
        <w:tab/>
        <w:t>Púst</w:t>
      </w:r>
      <w:r w:rsidRPr="008F03E5">
        <w:rPr>
          <w:u w:val="single"/>
        </w:rPr>
        <w:t>ch</w:t>
      </w:r>
      <w:r w:rsidRPr="008F03E5">
        <w:t>í</w:t>
      </w:r>
      <w:r w:rsidRPr="008F03E5">
        <w:tab/>
        <w:t xml:space="preserve">púst + </w:t>
      </w:r>
      <w:r w:rsidRPr="008F03E5">
        <w:rPr>
          <w:u w:val="single"/>
        </w:rPr>
        <w:t>ch</w:t>
      </w:r>
      <w:r w:rsidRPr="008F03E5">
        <w:t xml:space="preserve">i?  </w:t>
      </w:r>
      <w:r w:rsidRPr="008F03E5">
        <w:rPr>
          <w:rFonts w:eastAsia="PMingLiU"/>
          <w:lang w:eastAsia="zh-TW"/>
        </w:rPr>
        <w:t xml:space="preserve">Yadu’lláh </w:t>
      </w:r>
      <w:r w:rsidRPr="008F03E5">
        <w:t>Púst</w:t>
      </w:r>
      <w:r w:rsidRPr="008F03E5">
        <w:rPr>
          <w:u w:val="single"/>
        </w:rPr>
        <w:t>ch</w:t>
      </w:r>
      <w:r w:rsidRPr="008F03E5">
        <w:t>í executed 24 June 1981.</w:t>
      </w:r>
    </w:p>
    <w:p w14:paraId="3AE40A9C" w14:textId="77777777" w:rsidR="00625A5B" w:rsidRPr="008F03E5" w:rsidRDefault="00625A5B" w:rsidP="0024326A">
      <w:pPr>
        <w:pStyle w:val="Myhead"/>
      </w:pPr>
      <w:bookmarkStart w:id="117" w:name="Q"/>
      <w:r w:rsidRPr="008F03E5">
        <w:t>Q</w:t>
      </w:r>
      <w:bookmarkEnd w:id="117"/>
    </w:p>
    <w:p w14:paraId="5977DD8F" w14:textId="77777777" w:rsidR="00625A5B" w:rsidRPr="008F03E5" w:rsidRDefault="00625A5B" w:rsidP="00B131E9">
      <w:pPr>
        <w:pStyle w:val="Translit"/>
      </w:pPr>
      <w:r w:rsidRPr="008F03E5">
        <w:t>Qa’da</w:t>
      </w:r>
      <w:r w:rsidRPr="008F03E5">
        <w:tab/>
        <w:t>Qa‘da</w:t>
      </w:r>
      <w:r w:rsidRPr="008F03E5">
        <w:tab/>
        <w:t>sitting; backside, seat, buttocks, posteriors; space occupied while sitting, seating space</w:t>
      </w:r>
    </w:p>
    <w:p w14:paraId="667B9D73" w14:textId="77777777" w:rsidR="00625A5B" w:rsidRPr="008F03E5" w:rsidRDefault="00625A5B" w:rsidP="005A3398">
      <w:pPr>
        <w:pStyle w:val="Translit"/>
      </w:pPr>
      <w:r w:rsidRPr="008F03E5">
        <w:t>Qa’ida (Qaeda), Qawa’id</w:t>
      </w:r>
      <w:r w:rsidRPr="008F03E5">
        <w:tab/>
        <w:t>Qá‘ida[h], pl. Qawá‘id</w:t>
      </w:r>
      <w:r w:rsidRPr="008F03E5">
        <w:tab/>
      </w:r>
      <w:r w:rsidRPr="008F03E5">
        <w:rPr>
          <w:lang w:eastAsia="en-US"/>
        </w:rPr>
        <w:t>foundation, groundwork; basis; fundament; base (geometry; military); support, base, socle, foot, pedestal; Ottoman:  chassis, undercarriage; precept, rule, principle, maxim; formula; method, manner, mode; model, pattern.  al-</w:t>
      </w:r>
      <w:r w:rsidRPr="008F03E5">
        <w:t>Qá‘ida is a militant Sunni islamist multi-national organization founded in 1988 by Osama bin Laden, ‘Abdu’lláh Yúsuf ‘Azím, and several other Arab volunteers during the Soviet-Afghan War</w:t>
      </w:r>
    </w:p>
    <w:p w14:paraId="2F543133" w14:textId="77777777" w:rsidR="00625A5B" w:rsidRDefault="00625A5B" w:rsidP="000474AF">
      <w:pPr>
        <w:pStyle w:val="Translit"/>
      </w:pPr>
      <w:r w:rsidRPr="008F03E5">
        <w:t>Qa’im Al-Muhammad</w:t>
      </w:r>
      <w:r w:rsidRPr="008F03E5">
        <w:tab/>
      </w:r>
      <w:bookmarkStart w:id="118" w:name="_Hlk56320558"/>
      <w:r w:rsidRPr="008F03E5">
        <w:t>Qá’im Ál Muḥammad</w:t>
      </w:r>
      <w:bookmarkEnd w:id="118"/>
      <w:r w:rsidRPr="008F03E5">
        <w:tab/>
        <w:t xml:space="preserve">“the one who rises of the family of Muḥammad”), a title given to a messiah-like figure in the eschatology of </w:t>
      </w:r>
      <w:r w:rsidRPr="008F03E5">
        <w:rPr>
          <w:u w:val="single"/>
        </w:rPr>
        <w:t>Sh</w:t>
      </w:r>
      <w:r w:rsidRPr="008F03E5">
        <w:t>í‘a Islam, sometimes equated with the Mahdí.  The term first came into use in the eighth century to refer to a future member of the family of Muḥammad who would rise up and defeat the wicked rulers of the age and restore justice.  See also al-Qá’im bi’l-sayf and al-Qá’im bi-amr Alláh.</w:t>
      </w:r>
    </w:p>
    <w:p w14:paraId="4BF044FF" w14:textId="77777777" w:rsidR="00625A5B" w:rsidRPr="008F03E5" w:rsidRDefault="00625A5B" w:rsidP="005D7309">
      <w:pPr>
        <w:pStyle w:val="Translit"/>
      </w:pPr>
      <w:r w:rsidRPr="008F03E5">
        <w:t>Qa’im bi’l-Sayf</w:t>
      </w:r>
      <w:r w:rsidRPr="008F03E5">
        <w:tab/>
        <w:t>al-Qá’im bi’l-Sayf</w:t>
      </w:r>
      <w:r w:rsidRPr="008F03E5">
        <w:tab/>
        <w:t>“He who will rise up”/“he who will rise up with the sword”—title of the Hidden Imam in his persona as the Mahdi and world conquerer</w:t>
      </w:r>
    </w:p>
    <w:p w14:paraId="5B93D1D0" w14:textId="77777777" w:rsidR="00625A5B" w:rsidRPr="008F03E5" w:rsidRDefault="00625A5B" w:rsidP="004504DB">
      <w:pPr>
        <w:pStyle w:val="Translit"/>
      </w:pPr>
      <w:r w:rsidRPr="008F03E5">
        <w:t>Qa’im bi-amr Allah</w:t>
      </w:r>
      <w:r w:rsidRPr="008F03E5">
        <w:tab/>
        <w:t>al-Qá’im bi-amr Alláh</w:t>
      </w:r>
      <w:r w:rsidRPr="008F03E5">
        <w:tab/>
        <w:t>“the one who carries out the order of God”</w:t>
      </w:r>
    </w:p>
    <w:p w14:paraId="50E4F6F9" w14:textId="77777777" w:rsidR="00625A5B" w:rsidRPr="008F03E5" w:rsidRDefault="00625A5B" w:rsidP="002F3EBA">
      <w:pPr>
        <w:pStyle w:val="Translit"/>
      </w:pPr>
      <w:r w:rsidRPr="008F03E5">
        <w:t>Qa’im Shahr (Qa’imshahr, Qaemshahr)</w:t>
      </w:r>
      <w:r w:rsidRPr="008F03E5">
        <w:tab/>
        <w:t xml:space="preserve">Qá’im </w:t>
      </w:r>
      <w:r w:rsidRPr="008F03E5">
        <w:rPr>
          <w:u w:val="single"/>
        </w:rPr>
        <w:t>Sh</w:t>
      </w:r>
      <w:r w:rsidRPr="008F03E5">
        <w:t>ahr</w:t>
      </w:r>
      <w:r w:rsidRPr="008F03E5">
        <w:tab/>
        <w:t xml:space="preserve">Qaem Shahr (Qaemshahr and Qá’em Shahr; formerly (pre-1979) known as </w:t>
      </w:r>
      <w:r w:rsidRPr="008F03E5">
        <w:rPr>
          <w:u w:val="single"/>
        </w:rPr>
        <w:t>Sh</w:t>
      </w:r>
      <w:r w:rsidRPr="008F03E5">
        <w:t>áhí) is a city in and the capital of Qaem Shahr County, Mazandaran Province, Iran.  Originally known as Aliyabad (‘Aliyábád</w:t>
      </w:r>
      <w:r w:rsidRPr="008F03E5">
        <w:rPr>
          <w:rFonts w:eastAsia="PMingLiU"/>
          <w:lang w:eastAsia="zh-TW"/>
        </w:rPr>
        <w:t xml:space="preserve"> or ‘Al</w:t>
      </w:r>
      <w:r w:rsidRPr="008F03E5">
        <w:t>í</w:t>
      </w:r>
      <w:r w:rsidRPr="008F03E5">
        <w:rPr>
          <w:rFonts w:eastAsia="PMingLiU"/>
          <w:lang w:eastAsia="zh-TW"/>
        </w:rPr>
        <w:t>-</w:t>
      </w:r>
      <w:r w:rsidRPr="008F03E5">
        <w:t>Á</w:t>
      </w:r>
      <w:r w:rsidRPr="008F03E5">
        <w:rPr>
          <w:rFonts w:eastAsia="PMingLiU"/>
          <w:lang w:eastAsia="zh-TW"/>
        </w:rPr>
        <w:t>b</w:t>
      </w:r>
      <w:r w:rsidRPr="008F03E5">
        <w:t>á</w:t>
      </w:r>
      <w:r w:rsidRPr="008F03E5">
        <w:rPr>
          <w:rFonts w:eastAsia="PMingLiU"/>
          <w:lang w:eastAsia="zh-TW"/>
        </w:rPr>
        <w:t>d</w:t>
      </w:r>
      <w:r w:rsidRPr="008F03E5">
        <w:t xml:space="preserve">).  155 km </w:t>
      </w:r>
      <w:r w:rsidRPr="008F03E5">
        <w:rPr>
          <w:sz w:val="16"/>
          <w:szCs w:val="16"/>
        </w:rPr>
        <w:t>NE</w:t>
      </w:r>
      <w:r w:rsidRPr="008F03E5">
        <w:t xml:space="preserve"> of Ṭihrán.  It is 6 km </w:t>
      </w:r>
      <w:r w:rsidRPr="008F03E5">
        <w:rPr>
          <w:sz w:val="16"/>
          <w:szCs w:val="16"/>
        </w:rPr>
        <w:t>NE</w:t>
      </w:r>
      <w:r w:rsidRPr="008F03E5">
        <w:t xml:space="preserve"> of the Shrine of </w:t>
      </w:r>
      <w:r w:rsidRPr="008F03E5">
        <w:rPr>
          <w:u w:val="single"/>
        </w:rPr>
        <w:t>Sh</w:t>
      </w:r>
      <w:r w:rsidRPr="008F03E5">
        <w:t>ay</w:t>
      </w:r>
      <w:r w:rsidRPr="008F03E5">
        <w:rPr>
          <w:u w:val="single"/>
        </w:rPr>
        <w:t>kh</w:t>
      </w:r>
      <w:r w:rsidRPr="008F03E5">
        <w:t xml:space="preserve"> Ṭabarsí.</w:t>
      </w:r>
    </w:p>
    <w:p w14:paraId="7AE38333" w14:textId="77777777" w:rsidR="00625A5B" w:rsidRPr="008F03E5" w:rsidRDefault="00625A5B" w:rsidP="009804C2">
      <w:pPr>
        <w:pStyle w:val="Translit"/>
      </w:pPr>
      <w:r w:rsidRPr="008F03E5">
        <w:t>Qa’im, Quwwam, Quyyam</w:t>
      </w:r>
      <w:r w:rsidRPr="008F03E5">
        <w:tab/>
        <w:t>Qá’im, pl. Quwwam, Quyyam</w:t>
      </w:r>
      <w:r w:rsidRPr="008F03E5">
        <w:tab/>
        <w:t xml:space="preserve">(pl. also Quwwám, Quyyám) rising, getting up; standing; upright, erect; stand-up; existing, existent; visible, conspicuous; firm, steadfast, staunch, unflinching, unshakable; revolting, rebelling (against).  The Sunnis (Ar. Sunnyún) await the appearance of the Mihdí and also “the return of Jesus Christ”.  The Promised One of Islám (Qá’im Ál-Muḥammad), “He Who shall arise” (of the family of Muḥammad)—for the return of Imám Ḥusayn.  Sometimes given as </w:t>
      </w:r>
      <w:r>
        <w:t xml:space="preserve">Gha’im, </w:t>
      </w:r>
      <w:r w:rsidRPr="008F03E5">
        <w:t>Kaem and Khaem.</w:t>
      </w:r>
    </w:p>
    <w:p w14:paraId="052D2614" w14:textId="77777777" w:rsidR="00625A5B" w:rsidRPr="008F03E5" w:rsidRDefault="00625A5B" w:rsidP="004B49BF">
      <w:pPr>
        <w:pStyle w:val="Translit"/>
      </w:pPr>
      <w:r w:rsidRPr="008F03E5">
        <w:t>Qa’ima, Qa’imat, Qawa’im</w:t>
      </w:r>
      <w:r w:rsidRPr="008F03E5">
        <w:tab/>
        <w:t>Qá’ima[h or t], pl. Qá’imát, Qawá’im</w:t>
      </w:r>
      <w:r w:rsidRPr="008F03E5">
        <w:tab/>
        <w:t>leg, foot, paw (of a quadruped); leg, foot (of furniture); pale, stake, post, prop, stanchion, pillar; pommel (of a sword’s hilt); stand, base, support; (figurative) main support, pillar; upright, perpendicular; a perpendicular line;—pl. list, roster, register, index, table, schedule; catalogue; invoice, bill</w:t>
      </w:r>
    </w:p>
    <w:p w14:paraId="301A8BFB" w14:textId="77777777" w:rsidR="00625A5B" w:rsidRPr="008F03E5" w:rsidRDefault="00625A5B" w:rsidP="00244695">
      <w:pPr>
        <w:pStyle w:val="Translit"/>
      </w:pPr>
      <w:r w:rsidRPr="008F03E5">
        <w:t>Qa’imiya, Qa’imi</w:t>
      </w:r>
      <w:r>
        <w:t>y</w:t>
      </w:r>
      <w:r w:rsidRPr="008F03E5">
        <w:t>ya</w:t>
      </w:r>
      <w:r w:rsidRPr="008F03E5">
        <w:tab/>
        <w:t>Qá’imíya (</w:t>
      </w:r>
      <w:r>
        <w:t xml:space="preserve">Pers. </w:t>
      </w:r>
      <w:r w:rsidRPr="008F03E5">
        <w:t>Qá’im</w:t>
      </w:r>
      <w:r>
        <w:t>iy</w:t>
      </w:r>
      <w:r w:rsidRPr="008F03E5">
        <w:t>ya)</w:t>
      </w:r>
      <w:r w:rsidRPr="008F03E5">
        <w:tab/>
        <w:t>Station of the Qá’im (“He Who shall arise”).  Qa’im-hood, Qa’im-ship.  Similar to Messiahship (station of the promised and expected deliverer/redeemer/saviour of the Jewish people)</w:t>
      </w:r>
    </w:p>
    <w:p w14:paraId="0578F74D" w14:textId="77777777" w:rsidR="00625A5B" w:rsidRPr="008F03E5" w:rsidRDefault="00625A5B" w:rsidP="00876B28">
      <w:pPr>
        <w:pStyle w:val="Translit"/>
      </w:pPr>
      <w:r w:rsidRPr="008F03E5">
        <w:t>Qa’im-Maqam, Qa’imaqam (Kaymakam)</w:t>
      </w:r>
      <w:r w:rsidRPr="008F03E5">
        <w:tab/>
        <w:t>Qá’im-Maqám</w:t>
      </w:r>
      <w:r w:rsidRPr="008F03E5">
        <w:tab/>
        <w:t xml:space="preserve">“standing place” but, in this context, maqám is used with the sense of “office”, “position” or “state”.  A Turkish “sub-governor” that is “standing in place” of the sulṭán at a local level.  An administrative officer at the head of a qaḍá’.  Title of a local governor in Írán.  Mírzá Abu’l-Qásim-i-Faráhání, entitled Qá’im-Maqám, Grand Vizier to Muḥammad </w:t>
      </w:r>
      <w:r w:rsidRPr="008F03E5">
        <w:rPr>
          <w:u w:val="single"/>
        </w:rPr>
        <w:t>Sh</w:t>
      </w:r>
      <w:r w:rsidRPr="008F03E5">
        <w:t>áh, was a close friend and associate of Mírzá Buzurg-i-Núrí, the father of Bahá’u’lláh.  He was executed in June 1835.  Bahá’u’lláh extoled him in one of His Tablets.</w:t>
      </w:r>
    </w:p>
    <w:p w14:paraId="0CB3F3A8" w14:textId="77777777" w:rsidR="00625A5B" w:rsidRPr="008F03E5" w:rsidRDefault="00625A5B" w:rsidP="00166255">
      <w:pPr>
        <w:pStyle w:val="Translit"/>
      </w:pPr>
      <w:r w:rsidRPr="008F03E5">
        <w:t>Qa’im-Maqami</w:t>
      </w:r>
      <w:r w:rsidRPr="008F03E5">
        <w:tab/>
        <w:t>Qá’im-Maqámí</w:t>
      </w:r>
      <w:r w:rsidRPr="008F03E5">
        <w:tab/>
        <w:t xml:space="preserve">lieutenancy; succession, assigneeship; representation; deputation.  Mírzá Áqá </w:t>
      </w:r>
      <w:r w:rsidRPr="008F03E5">
        <w:rPr>
          <w:u w:val="single"/>
        </w:rPr>
        <w:t>Kh</w:t>
      </w:r>
      <w:r w:rsidRPr="008F03E5">
        <w:t>án (entitled Qá’im-Maqámí) was a grandson of Qá’im-Maqám and an eminent Bahá’í.</w:t>
      </w:r>
    </w:p>
    <w:p w14:paraId="6E972DB9" w14:textId="77777777" w:rsidR="00625A5B" w:rsidRPr="008F03E5" w:rsidRDefault="00625A5B" w:rsidP="00694C44">
      <w:pPr>
        <w:pStyle w:val="Translit"/>
      </w:pPr>
      <w:r w:rsidRPr="008F03E5">
        <w:t>Qa’in, Qayin</w:t>
      </w:r>
      <w:r w:rsidRPr="008F03E5">
        <w:tab/>
        <w:t>Qá’in, Qáyin</w:t>
      </w:r>
      <w:r w:rsidRPr="008F03E5">
        <w:tab/>
        <w:t>(Qaen, Ghayen, Qayen, Ghaen) capital city (33.736576, 59.178814) of Qá’in County in South Khorasan Province, Iran</w:t>
      </w:r>
    </w:p>
    <w:p w14:paraId="38C20D2A" w14:textId="77777777" w:rsidR="00625A5B" w:rsidRPr="008F03E5" w:rsidRDefault="00625A5B" w:rsidP="00993430">
      <w:pPr>
        <w:pStyle w:val="Translit"/>
      </w:pPr>
      <w:r w:rsidRPr="008F03E5">
        <w:t>Qa’ini</w:t>
      </w:r>
      <w:r w:rsidRPr="008F03E5">
        <w:tab/>
        <w:t>Qá’iní</w:t>
      </w:r>
      <w:r w:rsidRPr="008F03E5">
        <w:tab/>
        <w:t>name by which Mírzá Habíb-i-</w:t>
      </w:r>
      <w:r w:rsidRPr="008F03E5">
        <w:rPr>
          <w:u w:val="single"/>
        </w:rPr>
        <w:t>Sh</w:t>
      </w:r>
      <w:r w:rsidRPr="008F03E5">
        <w:t>írází was known</w:t>
      </w:r>
    </w:p>
    <w:p w14:paraId="077FE0F3" w14:textId="77777777" w:rsidR="00625A5B" w:rsidRPr="008F03E5" w:rsidRDefault="00625A5B" w:rsidP="00E576AB">
      <w:pPr>
        <w:pStyle w:val="Translit"/>
      </w:pPr>
      <w:r w:rsidRPr="008F03E5">
        <w:t>Qaba’ (Quba’), Aqbiya</w:t>
      </w:r>
      <w:r w:rsidRPr="008F03E5">
        <w:tab/>
        <w:t>Qabá’, pl. Aqbiya</w:t>
      </w:r>
      <w:r w:rsidRPr="008F03E5">
        <w:tab/>
        <w:t>an outer garment with full-length sleeves.  Qubá’ (Pers. also qubá), name of several places.  Qubá’, formerly a village, now part of Madinah, the place where Muḥammad and Abú Bakr arrived (16 July 622 (12th Rabí‘ al-Awwal) and first stayed after emigrating from Makkah.  This was fourteen years after Prophethood and the date marks the beginning of the Islamic calendar (Hijra).  A masjid was established here by Muḥammad, the first to be built in the Islamic dispensation (see Qur’án 9:108).</w:t>
      </w:r>
    </w:p>
    <w:p w14:paraId="4FE571D7" w14:textId="77777777" w:rsidR="00625A5B" w:rsidRPr="008F03E5" w:rsidRDefault="00625A5B" w:rsidP="00F5385A">
      <w:pPr>
        <w:pStyle w:val="Translit"/>
      </w:pPr>
      <w:r w:rsidRPr="008F03E5">
        <w:t>Qabid</w:t>
      </w:r>
      <w:r w:rsidRPr="008F03E5">
        <w:tab/>
        <w:t>Qábiḍ, pl. Qábiḍún, Qábáḍ</w:t>
      </w:r>
      <w:r w:rsidRPr="008F03E5">
        <w:tab/>
        <w:t>constipating, costive (medical); grievous, distressing, embarrassing; receiver, recipient; gripper, clamp, claw, catcher, tongs, holder (technology);—(pl.) (tax) collector</w:t>
      </w:r>
    </w:p>
    <w:p w14:paraId="304D1B59" w14:textId="77777777" w:rsidR="00625A5B" w:rsidRPr="008F03E5" w:rsidRDefault="00625A5B" w:rsidP="006A0C46">
      <w:pPr>
        <w:pStyle w:val="Translit"/>
      </w:pPr>
      <w:r w:rsidRPr="008F03E5">
        <w:t>Qabil</w:t>
      </w:r>
      <w:r>
        <w:t>, Qabila</w:t>
      </w:r>
      <w:r w:rsidRPr="008F03E5">
        <w:tab/>
        <w:t>Qábil</w:t>
      </w:r>
      <w:r>
        <w:t xml:space="preserve">, fem. </w:t>
      </w:r>
      <w:r w:rsidRPr="008F03E5">
        <w:t>Qábil</w:t>
      </w:r>
      <w:r>
        <w:t>a[h or t]</w:t>
      </w:r>
      <w:r w:rsidRPr="008F03E5">
        <w:tab/>
        <w:t>approaching, ensuing, following; next (year); a recipient; capable, able, skilful, clever; worthy, sufficient</w:t>
      </w:r>
    </w:p>
    <w:p w14:paraId="191F01CC" w14:textId="77777777" w:rsidR="00625A5B" w:rsidRPr="008F03E5" w:rsidRDefault="00625A5B" w:rsidP="005C33E9">
      <w:pPr>
        <w:pStyle w:val="Translit"/>
      </w:pPr>
      <w:r w:rsidRPr="008F03E5">
        <w:t>Qabila, Qaba’il</w:t>
      </w:r>
      <w:r w:rsidRPr="008F03E5">
        <w:tab/>
        <w:t>Qabíla[h], pl. Qabá’il</w:t>
      </w:r>
      <w:r w:rsidRPr="008F03E5">
        <w:tab/>
        <w:t>tribe</w:t>
      </w:r>
    </w:p>
    <w:p w14:paraId="5594A821" w14:textId="77777777" w:rsidR="00625A5B" w:rsidRDefault="00625A5B" w:rsidP="003C7F00">
      <w:pPr>
        <w:pStyle w:val="Translit"/>
      </w:pPr>
      <w:r>
        <w:t>Qabiliya, Qabiliya</w:t>
      </w:r>
      <w:r>
        <w:tab/>
        <w:t>Qá</w:t>
      </w:r>
      <w:r w:rsidRPr="005C33E9">
        <w:t>bil</w:t>
      </w:r>
      <w:r>
        <w:t>í</w:t>
      </w:r>
      <w:r w:rsidRPr="005C33E9">
        <w:t>ya</w:t>
      </w:r>
      <w:r>
        <w:t>[h or t], pl. Qá</w:t>
      </w:r>
      <w:r w:rsidRPr="005C33E9">
        <w:t>bil</w:t>
      </w:r>
      <w:r>
        <w:t>í</w:t>
      </w:r>
      <w:r w:rsidRPr="005C33E9">
        <w:t>y</w:t>
      </w:r>
      <w:r w:rsidRPr="003C7F00">
        <w:t>á</w:t>
      </w:r>
      <w:r>
        <w:t>t</w:t>
      </w:r>
      <w:r>
        <w:tab/>
      </w:r>
      <w:r w:rsidRPr="005C33E9">
        <w:t>faculty, power, capacity, capability, ability; aptitude, fitness; tendency, disposition, liability,</w:t>
      </w:r>
      <w:r>
        <w:t xml:space="preserve"> </w:t>
      </w:r>
      <w:r w:rsidRPr="00636D6B">
        <w:t>susceptibility, sensibility, receptivity (to); appetite</w:t>
      </w:r>
    </w:p>
    <w:p w14:paraId="4302DC98" w14:textId="77777777" w:rsidR="00625A5B" w:rsidRPr="008F03E5" w:rsidRDefault="00625A5B" w:rsidP="00542C20">
      <w:pPr>
        <w:pStyle w:val="Translit"/>
      </w:pPr>
      <w:r w:rsidRPr="008F03E5">
        <w:t>Qabl</w:t>
      </w:r>
      <w:r w:rsidRPr="008F03E5">
        <w:tab/>
        <w:t>Qabl</w:t>
      </w:r>
      <w:r w:rsidRPr="008F03E5">
        <w:tab/>
        <w:t>(preposition) before, prior to, previously</w:t>
      </w:r>
    </w:p>
    <w:p w14:paraId="5FD58E8E" w14:textId="77777777" w:rsidR="00625A5B" w:rsidRPr="008F03E5" w:rsidRDefault="00625A5B" w:rsidP="0083075C">
      <w:pPr>
        <w:pStyle w:val="Translit"/>
      </w:pPr>
      <w:r w:rsidRPr="008F03E5">
        <w:t>Qabr, Qubur</w:t>
      </w:r>
      <w:r w:rsidRPr="008F03E5">
        <w:tab/>
        <w:t>Qabr, pl. Qubúr</w:t>
      </w:r>
      <w:r w:rsidRPr="008F03E5">
        <w:tab/>
        <w:t>grave, tomb, sepulchre</w:t>
      </w:r>
    </w:p>
    <w:p w14:paraId="1ECAC789" w14:textId="77777777" w:rsidR="00625A5B" w:rsidRPr="008F03E5" w:rsidRDefault="00625A5B" w:rsidP="007216A8">
      <w:pPr>
        <w:pStyle w:val="Translit"/>
      </w:pPr>
      <w:r w:rsidRPr="008F03E5">
        <w:t>Qabus</w:t>
      </w:r>
      <w:r w:rsidRPr="008F03E5">
        <w:tab/>
        <w:t>Qábús</w:t>
      </w:r>
      <w:r w:rsidRPr="008F03E5">
        <w:tab/>
        <w:t>Pers. a man with a handsome face and a fine complexion (káwús).  Ar. nightmare</w:t>
      </w:r>
      <w:r>
        <w:t>.</w:t>
      </w:r>
    </w:p>
    <w:p w14:paraId="6455A676" w14:textId="77777777" w:rsidR="00625A5B" w:rsidRPr="008F03E5" w:rsidRDefault="00625A5B" w:rsidP="007216A8">
      <w:pPr>
        <w:pStyle w:val="Translit"/>
      </w:pPr>
      <w:r w:rsidRPr="008F03E5">
        <w:t>Qabz, Qubuz</w:t>
      </w:r>
      <w:r w:rsidRPr="008F03E5">
        <w:tab/>
        <w:t>Qabẓ, pl. Qubúẓ</w:t>
      </w:r>
      <w:r w:rsidRPr="008F03E5">
        <w:tab/>
        <w:t>Pers. (verbal noun) taking, seizing, arresting, grasping, griping, clutching; keeping back, restraining ones hand from taking hold of; flying or walking swiftly; driving (camels) fast; capture, sequestration, confiscation; receipt, voucher; contraction;—pl. receipt papers</w:t>
      </w:r>
    </w:p>
    <w:p w14:paraId="44DFF8F3" w14:textId="77777777" w:rsidR="00625A5B" w:rsidRPr="008F03E5" w:rsidRDefault="00625A5B" w:rsidP="00C339AB">
      <w:pPr>
        <w:pStyle w:val="Translit"/>
      </w:pPr>
      <w:r w:rsidRPr="008F03E5">
        <w:t>Qad</w:t>
      </w:r>
      <w:r w:rsidRPr="008F03E5">
        <w:tab/>
        <w:t>Qad</w:t>
      </w:r>
      <w:r w:rsidRPr="008F03E5">
        <w:tab/>
        <w:t>indicates the termination of an action; sometimes corresponding to English “already”; sometimes, at times; perhaps, or English “may”, “might”</w:t>
      </w:r>
    </w:p>
    <w:p w14:paraId="5F5E5452" w14:textId="77777777" w:rsidR="00625A5B" w:rsidRDefault="00625A5B" w:rsidP="005537C9">
      <w:pPr>
        <w:pStyle w:val="Translit"/>
      </w:pPr>
      <w:r>
        <w:t>Qada</w:t>
      </w:r>
      <w:r>
        <w:tab/>
        <w:t>Q</w:t>
      </w:r>
      <w:r w:rsidRPr="001746E2">
        <w:t>aḍá</w:t>
      </w:r>
      <w:r>
        <w:t xml:space="preserve"> (verb)</w:t>
      </w:r>
      <w:r>
        <w:tab/>
        <w:t>a</w:t>
      </w:r>
      <w:r w:rsidRPr="001746E2">
        <w:t xml:space="preserve"> decree, mandate, judgement</w:t>
      </w:r>
      <w:r>
        <w:t>.  See qadr.</w:t>
      </w:r>
    </w:p>
    <w:p w14:paraId="40D5CA05" w14:textId="6302DAD3" w:rsidR="00625A5B" w:rsidRDefault="00625A5B" w:rsidP="009A14EA">
      <w:pPr>
        <w:pStyle w:val="Translit"/>
      </w:pPr>
      <w:r w:rsidRPr="008F03E5">
        <w:t>Qada’</w:t>
      </w:r>
      <w:r w:rsidRPr="008F03E5">
        <w:tab/>
        <w:t>Qaḍá’ (verbal noun)</w:t>
      </w:r>
      <w:r w:rsidRPr="008F03E5">
        <w:tab/>
        <w:t>settling, finishing, ending, closing, termination, conclusion, windup, completion, accomplishment; carrying out, execution, performance, effectuation; fulfilment, satisfaction, gratification (of a wish, of a desire); provision (for a need); compliance (with a request); payment, settlement, discharge (of a debt); passing, spending (of a period of time); divine decree (</w:t>
      </w:r>
      <w:r w:rsidR="009A14EA">
        <w:t>al-</w:t>
      </w:r>
      <w:r w:rsidR="009A14EA" w:rsidRPr="008F03E5">
        <w:t>Qaḍá’</w:t>
      </w:r>
      <w:r w:rsidR="009A14EA">
        <w:t xml:space="preserve">, </w:t>
      </w:r>
      <w:r w:rsidRPr="008F03E5">
        <w:t>mystical station of submitting to the divine decree</w:t>
      </w:r>
      <w:r>
        <w:t>, it is singular!</w:t>
      </w:r>
      <w:r w:rsidRPr="008F03E5">
        <w:t>), destiny, fate; judgement, sentence, (judicial) decision, (court) ruling, ordinance; administration of the law, judiciary, jurisprudence, justice; law; jurisdiction; office of judge, judicature; judging, rendering of judgement; sentencing, condemnation (of someone); extermination, annihilation, extirpation</w:t>
      </w:r>
    </w:p>
    <w:p w14:paraId="72CBC5FB" w14:textId="7F91CADB" w:rsidR="00012B86" w:rsidRPr="00012B86" w:rsidRDefault="00012B86" w:rsidP="009A14EA">
      <w:pPr>
        <w:pStyle w:val="Translit"/>
        <w:rPr>
          <w:lang w:val="en-AU"/>
        </w:rPr>
      </w:pPr>
      <w:r w:rsidRPr="00012B86">
        <w:rPr>
          <w:lang w:val="en-AU"/>
        </w:rPr>
        <w:t>Qada’ al-Qadar</w:t>
      </w:r>
      <w:r w:rsidRPr="00012B86">
        <w:rPr>
          <w:lang w:val="en-AU"/>
        </w:rPr>
        <w:tab/>
        <w:t>al-Qa</w:t>
      </w:r>
      <w:r w:rsidR="009A14EA" w:rsidRPr="009A14EA">
        <w:t>ḍ</w:t>
      </w:r>
      <w:r w:rsidRPr="00012B86">
        <w:rPr>
          <w:lang w:val="en-AU"/>
        </w:rPr>
        <w:t>á’ wa’l-Qadar</w:t>
      </w:r>
      <w:r w:rsidRPr="00012B86">
        <w:rPr>
          <w:lang w:val="en-AU"/>
        </w:rPr>
        <w:tab/>
        <w:t>“the decree and the measure”, divine providence</w:t>
      </w:r>
      <w:r w:rsidR="009A14EA">
        <w:rPr>
          <w:lang w:val="en-AU"/>
        </w:rPr>
        <w:t xml:space="preserve"> </w:t>
      </w:r>
      <w:r w:rsidR="009A14EA">
        <w:rPr>
          <w:lang w:val="en-AU"/>
        </w:rPr>
        <w:t>or predestination</w:t>
      </w:r>
      <w:r w:rsidR="009A14EA">
        <w:rPr>
          <w:lang w:val="en-AU"/>
        </w:rPr>
        <w:t xml:space="preserve"> according to Sunn</w:t>
      </w:r>
      <w:r w:rsidR="009A14EA" w:rsidRPr="009A14EA">
        <w:t>í</w:t>
      </w:r>
      <w:r w:rsidR="009A14EA">
        <w:rPr>
          <w:lang w:val="en-AU"/>
        </w:rPr>
        <w:t xml:space="preserve"> Muslims</w:t>
      </w:r>
    </w:p>
    <w:p w14:paraId="64B401CC" w14:textId="77777777" w:rsidR="00625A5B" w:rsidRPr="008F03E5" w:rsidRDefault="00625A5B" w:rsidP="00D31A5D">
      <w:pPr>
        <w:pStyle w:val="Translit"/>
      </w:pPr>
      <w:r w:rsidRPr="00012B86">
        <w:rPr>
          <w:lang w:val="es-ES_tradnl"/>
        </w:rPr>
        <w:t>Qadam (Ghadam, Ghedam), Aqdam</w:t>
      </w:r>
      <w:r w:rsidRPr="00012B86">
        <w:rPr>
          <w:lang w:val="es-ES_tradnl"/>
        </w:rPr>
        <w:tab/>
        <w:t xml:space="preserve">Qadam, pl. </w:t>
      </w:r>
      <w:r w:rsidRPr="008F03E5">
        <w:t>Aqdám</w:t>
      </w:r>
      <w:r w:rsidRPr="008F03E5">
        <w:tab/>
        <w:t>a foot; a footstep, track, trace; a foot’s length; step, pace; merit, pre-excellence; bold, heroic; very meritorious.  Rúḥu’lláh Qadamí (Ghedami).</w:t>
      </w:r>
    </w:p>
    <w:p w14:paraId="68B5E319" w14:textId="77777777" w:rsidR="00625A5B" w:rsidRPr="008F03E5" w:rsidRDefault="00625A5B" w:rsidP="00184914">
      <w:pPr>
        <w:pStyle w:val="Translit"/>
      </w:pPr>
      <w:r w:rsidRPr="008F03E5">
        <w:t>Qadar, Aqdar</w:t>
      </w:r>
      <w:r w:rsidRPr="008F03E5">
        <w:tab/>
        <w:t>Qadar, pl. Aqdár</w:t>
      </w:r>
      <w:r w:rsidRPr="008F03E5">
        <w:tab/>
        <w:t>divine fore-ordainment, predestination; fate, destiny, lot.  Decision, destiny, measure or desert, mystical station of consciousness of ones destiny.</w:t>
      </w:r>
    </w:p>
    <w:p w14:paraId="24D616D1" w14:textId="77777777" w:rsidR="00625A5B" w:rsidRPr="008F03E5" w:rsidRDefault="00625A5B" w:rsidP="00A302EB">
      <w:pPr>
        <w:pStyle w:val="Translit"/>
      </w:pPr>
      <w:r w:rsidRPr="008F03E5">
        <w:t>Qadariya</w:t>
      </w:r>
      <w:r w:rsidRPr="008F03E5">
        <w:tab/>
        <w:t>Qadaríya[h or t]</w:t>
      </w:r>
      <w:r w:rsidRPr="008F03E5">
        <w:tab/>
      </w:r>
      <w:r w:rsidRPr="00E26893">
        <w:t xml:space="preserve">a Muslim sect </w:t>
      </w:r>
      <w:r>
        <w:t>that</w:t>
      </w:r>
      <w:r w:rsidRPr="00E26893">
        <w:t xml:space="preserve"> </w:t>
      </w:r>
      <w:r>
        <w:t xml:space="preserve">teaches </w:t>
      </w:r>
      <w:r w:rsidRPr="00E26893">
        <w:t>the doctrine of free-will</w:t>
      </w:r>
      <w:r w:rsidRPr="008F03E5">
        <w:t xml:space="preserve">.  </w:t>
      </w:r>
      <w:r w:rsidRPr="00E26893">
        <w:t>al-qadar</w:t>
      </w:r>
      <w:r>
        <w:t>í</w:t>
      </w:r>
      <w:r w:rsidRPr="00E26893">
        <w:t>ya</w:t>
      </w:r>
      <w:r>
        <w:t>,</w:t>
      </w:r>
      <w:r w:rsidRPr="00E26893">
        <w:t xml:space="preserve"> a theological school of early Islam asserting man’s free will</w:t>
      </w:r>
      <w:r>
        <w:t xml:space="preserve">.  </w:t>
      </w:r>
      <w:r w:rsidRPr="008F03E5">
        <w:t>See Jabríyya</w:t>
      </w:r>
      <w:r>
        <w:t>.</w:t>
      </w:r>
    </w:p>
    <w:p w14:paraId="44361682" w14:textId="77777777" w:rsidR="00625A5B" w:rsidRPr="008F03E5" w:rsidRDefault="00625A5B" w:rsidP="003532DC">
      <w:pPr>
        <w:pStyle w:val="Translit"/>
      </w:pPr>
      <w:r w:rsidRPr="008F03E5">
        <w:t>Qadi, Qazi, Qada, Quzat</w:t>
      </w:r>
      <w:r w:rsidRPr="008F03E5">
        <w:tab/>
        <w:t>Qáḍí, pl. Qaḍá[h]</w:t>
      </w:r>
      <w:r w:rsidRPr="008F03E5">
        <w:tab/>
        <w:t>(“cadi”) a judge (civil, criminal or religious in Islám).  Pers. qáẓí, pl. quẓát.  See Qáḍin.</w:t>
      </w:r>
    </w:p>
    <w:p w14:paraId="6A0A571C" w14:textId="77777777" w:rsidR="00625A5B" w:rsidRPr="008F03E5" w:rsidRDefault="00625A5B" w:rsidP="001D4F78">
      <w:pPr>
        <w:pStyle w:val="Translit"/>
      </w:pPr>
      <w:r w:rsidRPr="008F03E5">
        <w:t>Qadi-Kala (Ghadikola, Qadi Kola)</w:t>
      </w:r>
      <w:r w:rsidRPr="008F03E5">
        <w:tab/>
        <w:t>Qáḍí-Kalá</w:t>
      </w:r>
      <w:r>
        <w:t xml:space="preserve"> </w:t>
      </w:r>
      <w:r w:rsidRPr="001D4F78">
        <w:t>36.5382</w:t>
      </w:r>
      <w:r>
        <w:t>80</w:t>
      </w:r>
      <w:r w:rsidRPr="001D4F78">
        <w:t>, 52.895871</w:t>
      </w:r>
      <w:r w:rsidRPr="008F03E5">
        <w:tab/>
        <w:t xml:space="preserve">villages:  Qáḍí-Kalá 40 km </w:t>
      </w:r>
      <w:r w:rsidRPr="008F03E5">
        <w:rPr>
          <w:sz w:val="16"/>
          <w:szCs w:val="16"/>
        </w:rPr>
        <w:t>SE</w:t>
      </w:r>
      <w:r w:rsidRPr="008F03E5">
        <w:t xml:space="preserve"> Sari (36.338935, 53.407464); Qáḍí-Kalá 13 km </w:t>
      </w:r>
      <w:r w:rsidRPr="008F03E5">
        <w:rPr>
          <w:sz w:val="16"/>
          <w:szCs w:val="16"/>
        </w:rPr>
        <w:t>NNW</w:t>
      </w:r>
      <w:r w:rsidRPr="008F03E5">
        <w:t xml:space="preserve"> of Sari (36.674167, 53.107222</w:t>
      </w:r>
      <w:r w:rsidRPr="008F03E5">
        <w:rPr>
          <w:sz w:val="16"/>
          <w:szCs w:val="16"/>
        </w:rPr>
        <w:t>)</w:t>
      </w:r>
      <w:r w:rsidRPr="008F03E5">
        <w:t xml:space="preserve">; Qáḍí-Kalá 9 km </w:t>
      </w:r>
      <w:r w:rsidRPr="008F03E5">
        <w:rPr>
          <w:sz w:val="16"/>
          <w:szCs w:val="16"/>
        </w:rPr>
        <w:t>NW</w:t>
      </w:r>
      <w:r w:rsidRPr="008F03E5">
        <w:t xml:space="preserve"> of Bábul (36.587500, 52.588056</w:t>
      </w:r>
      <w:r w:rsidRPr="008F03E5">
        <w:rPr>
          <w:sz w:val="16"/>
          <w:szCs w:val="16"/>
        </w:rPr>
        <w:t>)</w:t>
      </w:r>
      <w:r w:rsidRPr="008F03E5">
        <w:t xml:space="preserve">; Qáḍí-Kalá 9 km </w:t>
      </w:r>
      <w:r w:rsidRPr="008F03E5">
        <w:rPr>
          <w:sz w:val="16"/>
          <w:szCs w:val="16"/>
        </w:rPr>
        <w:t>NNW</w:t>
      </w:r>
      <w:r w:rsidRPr="008F03E5">
        <w:t xml:space="preserve"> Qá’im </w:t>
      </w:r>
      <w:r w:rsidRPr="008F03E5">
        <w:rPr>
          <w:u w:val="single"/>
        </w:rPr>
        <w:t>Sh</w:t>
      </w:r>
      <w:r w:rsidRPr="008F03E5">
        <w:t>ahr (36.538611, 52.897222)</w:t>
      </w:r>
    </w:p>
    <w:p w14:paraId="29BCBDDE" w14:textId="77777777" w:rsidR="00625A5B" w:rsidRPr="008F03E5" w:rsidRDefault="00625A5B" w:rsidP="00544AA4">
      <w:pPr>
        <w:pStyle w:val="Translit"/>
      </w:pPr>
      <w:r w:rsidRPr="008F03E5">
        <w:t>Qadim, Qadimun, Qudum</w:t>
      </w:r>
      <w:r w:rsidRPr="008F03E5">
        <w:tab/>
        <w:t>Qádim, pl. Qádimún, Qudúm, Quddám</w:t>
      </w:r>
      <w:r w:rsidRPr="008F03E5">
        <w:tab/>
        <w:t>one arriving, arriver, arrival, newcomer</w:t>
      </w:r>
    </w:p>
    <w:p w14:paraId="48CCA851" w14:textId="77777777" w:rsidR="00625A5B" w:rsidRPr="008F03E5" w:rsidRDefault="00625A5B" w:rsidP="00DA779B">
      <w:pPr>
        <w:pStyle w:val="Translit"/>
      </w:pPr>
      <w:r w:rsidRPr="008F03E5">
        <w:t>Qadim, Qudama’</w:t>
      </w:r>
      <w:r w:rsidRPr="008F03E5">
        <w:tab/>
        <w:t>Qadím, pl. Qudamá’</w:t>
      </w:r>
      <w:r w:rsidRPr="008F03E5">
        <w:tab/>
        <w:t>ancient, olden; archaic; former; without beginning or end (eternal)</w:t>
      </w:r>
    </w:p>
    <w:p w14:paraId="6E620DE1" w14:textId="77777777" w:rsidR="00625A5B" w:rsidRPr="008F03E5" w:rsidRDefault="00625A5B" w:rsidP="006C65EC">
      <w:pPr>
        <w:pStyle w:val="Translit"/>
      </w:pPr>
      <w:r w:rsidRPr="008F03E5">
        <w:rPr>
          <w:rFonts w:eastAsia="PMingLiU"/>
          <w:lang w:eastAsia="zh-TW"/>
        </w:rPr>
        <w:t>Qadimi</w:t>
      </w:r>
      <w:r w:rsidRPr="008F03E5">
        <w:tab/>
      </w:r>
      <w:r w:rsidRPr="008F03E5">
        <w:rPr>
          <w:rFonts w:eastAsia="PMingLiU"/>
          <w:lang w:eastAsia="zh-TW"/>
        </w:rPr>
        <w:t>Qadímí</w:t>
      </w:r>
      <w:r w:rsidRPr="008F03E5">
        <w:tab/>
        <w:t>ancient, olden; an old inhabitant; one holding by hereditary descent</w:t>
      </w:r>
    </w:p>
    <w:p w14:paraId="42BB6481" w14:textId="77777777" w:rsidR="00625A5B" w:rsidRPr="008F03E5" w:rsidRDefault="00625A5B" w:rsidP="00440C10">
      <w:pPr>
        <w:pStyle w:val="Translit"/>
      </w:pPr>
      <w:r w:rsidRPr="008F03E5">
        <w:t>Qadin, Quda, Qawadin</w:t>
      </w:r>
      <w:r w:rsidRPr="008F03E5">
        <w:tab/>
        <w:t>Qáḍin</w:t>
      </w:r>
      <w:r w:rsidRPr="008F03E5">
        <w:tab/>
        <w:t>decisive, conclusive; deadly, lethal;—(pl. quḍá[h]) judge, magistrate, justice, cadi;—pl. qawáḍin requirements, exigencies</w:t>
      </w:r>
    </w:p>
    <w:p w14:paraId="2A0B74C4" w14:textId="77777777" w:rsidR="00625A5B" w:rsidRPr="003A2E2B" w:rsidRDefault="00625A5B" w:rsidP="00125090">
      <w:pPr>
        <w:pStyle w:val="Translit"/>
      </w:pPr>
      <w:r w:rsidRPr="003A2E2B">
        <w:t>Qadir, Qadira</w:t>
      </w:r>
      <w:r w:rsidRPr="003A2E2B">
        <w:tab/>
        <w:t>Qadír, fem. Qadír[h or t]</w:t>
      </w:r>
      <w:r w:rsidRPr="003A2E2B">
        <w:tab/>
        <w:t xml:space="preserve">possessing power or strength, powerful, potent; having mastery (over something), capable (of something); omnipotent, almighty, all-powerful (God)—abjad value 314.  Qadír and Qádir are </w:t>
      </w:r>
      <w:r w:rsidRPr="00673DD3">
        <w:t xml:space="preserve">often used interchangeably, but they have slightly different meanings.  </w:t>
      </w:r>
      <w:r w:rsidRPr="003A2E2B">
        <w:t>In general qadír, is used to describe the inherent nature of something or someone, while qádir is used to describe the ability to do something.</w:t>
      </w:r>
    </w:p>
    <w:p w14:paraId="148B5D1F" w14:textId="77777777" w:rsidR="00625A5B" w:rsidRPr="003A2E2B" w:rsidRDefault="00625A5B" w:rsidP="007F567D">
      <w:pPr>
        <w:pStyle w:val="Translit"/>
      </w:pPr>
      <w:r w:rsidRPr="003A2E2B">
        <w:t>Qadir, Qadira</w:t>
      </w:r>
      <w:r w:rsidRPr="003A2E2B">
        <w:tab/>
        <w:t>Qádir, fem. Qádira[h or t]</w:t>
      </w:r>
      <w:r w:rsidRPr="003A2E2B">
        <w:tab/>
        <w:t xml:space="preserve">possessing power or strength, powerful, potent; having mastery (over something), being equal (to something); capable (of something), able (to do something); efficient, capable, talented—abjad 305.  Qadír and Qádir are </w:t>
      </w:r>
      <w:r w:rsidRPr="00673DD3">
        <w:t xml:space="preserve">often used interchangeably, but they have slightly different meanings.  </w:t>
      </w:r>
      <w:r w:rsidRPr="003A2E2B">
        <w:t>In general qadír, is used to describe the inherent nature of something or someone, while qádir is used to describe the ability to do something.</w:t>
      </w:r>
    </w:p>
    <w:p w14:paraId="4180208A" w14:textId="77777777" w:rsidR="00625A5B" w:rsidRPr="008F03E5" w:rsidRDefault="00625A5B" w:rsidP="00F23A34">
      <w:pPr>
        <w:pStyle w:val="Translit"/>
      </w:pPr>
      <w:r w:rsidRPr="008F03E5">
        <w:t>Qadiriya, Qadiriyyih</w:t>
      </w:r>
      <w:r w:rsidRPr="008F03E5">
        <w:tab/>
        <w:t>Qádiríya, Pers. Qadiriyyih</w:t>
      </w:r>
      <w:r w:rsidRPr="008F03E5">
        <w:tab/>
        <w:t>Qádiríya Ṣúfí Order, founded by ‘Abdu’l-Qádir-i-Gílaní 1077–1166</w:t>
      </w:r>
    </w:p>
    <w:p w14:paraId="6B6D2366" w14:textId="77777777" w:rsidR="00625A5B" w:rsidRPr="008F03E5" w:rsidRDefault="00625A5B" w:rsidP="00D17267">
      <w:pPr>
        <w:pStyle w:val="Translit"/>
      </w:pPr>
      <w:r w:rsidRPr="008F03E5">
        <w:t>Qadiriyan, Ghadiriyan</w:t>
      </w:r>
      <w:r w:rsidRPr="008F03E5">
        <w:tab/>
        <w:t xml:space="preserve">Qadíriyán or </w:t>
      </w:r>
      <w:r w:rsidRPr="008F03E5">
        <w:rPr>
          <w:u w:val="single"/>
        </w:rPr>
        <w:t>Gh</w:t>
      </w:r>
      <w:r w:rsidRPr="008F03E5">
        <w:t>ádíriyán</w:t>
      </w:r>
      <w:r w:rsidRPr="008F03E5">
        <w:tab/>
        <w:t>Pers. Dr ‘Abdu’l-Míssá</w:t>
      </w:r>
      <w:r w:rsidRPr="008F03E5">
        <w:rPr>
          <w:u w:val="single"/>
        </w:rPr>
        <w:t>gh</w:t>
      </w:r>
      <w:r w:rsidRPr="008F03E5">
        <w:t xml:space="preserve"> </w:t>
      </w:r>
      <w:r w:rsidRPr="008F03E5">
        <w:rPr>
          <w:u w:val="single"/>
        </w:rPr>
        <w:t>Gh</w:t>
      </w:r>
      <w:r w:rsidRPr="008F03E5">
        <w:t>ádíriyán or Dr ‘Abdu’l-Mí</w:t>
      </w:r>
      <w:r w:rsidRPr="008F03E5">
        <w:rPr>
          <w:u w:val="single"/>
        </w:rPr>
        <w:t>th</w:t>
      </w:r>
      <w:r w:rsidRPr="008F03E5">
        <w:t>áq Qadíriyán</w:t>
      </w:r>
    </w:p>
    <w:p w14:paraId="54F3F504" w14:textId="77777777" w:rsidR="00625A5B" w:rsidRPr="008F03E5" w:rsidRDefault="00625A5B" w:rsidP="009804C2">
      <w:pPr>
        <w:pStyle w:val="Translit"/>
      </w:pPr>
      <w:r w:rsidRPr="008F03E5">
        <w:t>Qadisiyyah</w:t>
      </w:r>
      <w:r w:rsidRPr="008F03E5">
        <w:tab/>
        <w:t xml:space="preserve">al-Qádisíya, Pers. al-Qádisiyyah </w:t>
      </w:r>
      <w:r w:rsidRPr="008F03E5">
        <w:tab/>
        <w:t>city south of Baghdad and famous as the site of a battle c. 636 when Arab-Muslim invaders defeated a larger Sasanian Empire army.</w:t>
      </w:r>
    </w:p>
    <w:p w14:paraId="2E0B8920" w14:textId="77777777" w:rsidR="00625A5B" w:rsidRPr="008F03E5" w:rsidRDefault="00625A5B" w:rsidP="00151AF7">
      <w:pPr>
        <w:pStyle w:val="Translit"/>
      </w:pPr>
      <w:r w:rsidRPr="008F03E5">
        <w:t>Qadiya Baha’iya</w:t>
      </w:r>
      <w:r w:rsidRPr="008F03E5">
        <w:tab/>
        <w:t>Qaḍíya Bahá’íya</w:t>
      </w:r>
      <w:r w:rsidRPr="008F03E5">
        <w:tab/>
        <w:t>the Bahá’í Cause.  See Amr al-Bahá’í</w:t>
      </w:r>
    </w:p>
    <w:p w14:paraId="0B984EF8" w14:textId="77777777" w:rsidR="00625A5B" w:rsidRPr="008F03E5" w:rsidRDefault="00625A5B" w:rsidP="00151AF7">
      <w:pPr>
        <w:pStyle w:val="Translit"/>
      </w:pPr>
      <w:r w:rsidRPr="008F03E5">
        <w:t>Qadiya, Qadaya</w:t>
      </w:r>
      <w:r w:rsidRPr="008F03E5">
        <w:tab/>
        <w:t>Qaḍíya[h or t], pl. Qaḍáyá</w:t>
      </w:r>
      <w:r w:rsidRPr="008F03E5">
        <w:tab/>
        <w:t>lawsuit; litigation, judicial contest; action at law, suit; (legal) case, cause, legal affair; matter, affair; question, problem, issue; theorem, proposition (mathematics)</w:t>
      </w:r>
    </w:p>
    <w:p w14:paraId="6D1A385D" w14:textId="77777777" w:rsidR="00625A5B" w:rsidRPr="008F03E5" w:rsidRDefault="00625A5B" w:rsidP="008C3404">
      <w:pPr>
        <w:pStyle w:val="Translit"/>
      </w:pPr>
      <w:r w:rsidRPr="008F03E5">
        <w:t>Qadiyan (Qadian)</w:t>
      </w:r>
      <w:r w:rsidRPr="008F03E5">
        <w:tab/>
        <w:t>Qádiyán</w:t>
      </w:r>
      <w:r w:rsidRPr="008F03E5">
        <w:tab/>
        <w:t>Pers. a very small Persian village (33.049832, 48.973821).  Qadian is a city in Punjab, India.  See Aḥmadiyya.</w:t>
      </w:r>
    </w:p>
    <w:p w14:paraId="21F13170" w14:textId="77777777" w:rsidR="00625A5B" w:rsidRPr="008F03E5" w:rsidRDefault="00625A5B" w:rsidP="00F440A9">
      <w:pPr>
        <w:pStyle w:val="Translit"/>
      </w:pPr>
      <w:r w:rsidRPr="008F03E5">
        <w:t>Qadiyani (Qadiani)</w:t>
      </w:r>
      <w:r w:rsidRPr="008F03E5">
        <w:tab/>
        <w:t>Qádiyání, pl. Qádiyáníyún</w:t>
      </w:r>
      <w:r w:rsidRPr="008F03E5">
        <w:tab/>
        <w:t xml:space="preserve">of Qádiyán.  A pejorative term used by some South Asian muslims to refer to Aḥmadí Muslims, primarily in Pakistan.  The term originates from Qádiyán, a small town in the Punjab, northern India, the birthplace of Mírzá </w:t>
      </w:r>
      <w:r w:rsidRPr="008F03E5">
        <w:rPr>
          <w:u w:val="single"/>
        </w:rPr>
        <w:t>Gh</w:t>
      </w:r>
      <w:r w:rsidRPr="008F03E5">
        <w:t>ulám Aḥmad, the founder of the Aḥmadiyya movement.  While it is pejorative to the Ahmadiyya Muslim community, it is used in official Pakistani documents.</w:t>
      </w:r>
    </w:p>
    <w:p w14:paraId="3D024D82" w14:textId="77777777" w:rsidR="00625A5B" w:rsidRPr="008F03E5" w:rsidRDefault="00625A5B" w:rsidP="00637EC2">
      <w:pPr>
        <w:pStyle w:val="Translit"/>
      </w:pPr>
      <w:r w:rsidRPr="008F03E5">
        <w:t>Qadr, Aqdar</w:t>
      </w:r>
      <w:r w:rsidRPr="008F03E5">
        <w:tab/>
        <w:t>Qadr, pl. Aqdár</w:t>
      </w:r>
      <w:r w:rsidRPr="008F03E5">
        <w:tab/>
        <w:t>extent, scope, quantity, amount, scale, rate, measure, number; sum, amount; degree, grade; worth, value, standing, rank; divine decree</w:t>
      </w:r>
      <w:r>
        <w:t xml:space="preserve"> (singular only)</w:t>
      </w:r>
    </w:p>
    <w:p w14:paraId="1C645A6E" w14:textId="77777777" w:rsidR="00625A5B" w:rsidRPr="008F03E5" w:rsidRDefault="00625A5B" w:rsidP="000E2B25">
      <w:pPr>
        <w:pStyle w:val="Translit"/>
        <w:rPr>
          <w:rtl/>
        </w:rPr>
      </w:pPr>
      <w:r w:rsidRPr="008F03E5">
        <w:t>Qaf</w:t>
      </w:r>
      <w:r w:rsidRPr="008F03E5">
        <w:tab/>
        <w:t>Qáf</w:t>
      </w:r>
      <w:r w:rsidRPr="008F03E5">
        <w:tab/>
        <w:t xml:space="preserve">name of Arabic letter </w:t>
      </w:r>
      <w:r w:rsidRPr="008F03E5">
        <w:rPr>
          <w:rtl/>
        </w:rPr>
        <w:t>ق</w:t>
      </w:r>
      <w:r w:rsidRPr="008F03E5">
        <w:t>.  Qáf is said to be the Arabized form of the Middle Persian word gâp meaning “unknown”.</w:t>
      </w:r>
    </w:p>
    <w:p w14:paraId="50EDFE82" w14:textId="77777777" w:rsidR="00625A5B" w:rsidRPr="008F03E5" w:rsidRDefault="00625A5B" w:rsidP="00F41316">
      <w:pPr>
        <w:pStyle w:val="Translit"/>
      </w:pPr>
      <w:r w:rsidRPr="008F03E5">
        <w:t>Qaflan-Kuh, Qaflankuh (Kaflan-Kuh)</w:t>
      </w:r>
      <w:r w:rsidRPr="008F03E5">
        <w:tab/>
        <w:t>Qáflán-Kúh, Qáflánkúh</w:t>
      </w:r>
      <w:r w:rsidRPr="008F03E5">
        <w:tab/>
        <w:t>Qáflánkúh Mountain Range has an average width of almost 20 km and a length of about 100 km, it stretches in a northwest-southeast direction, beginning from northwest of Zanján, passing north of Zanján and ending southeast of Zanján</w:t>
      </w:r>
    </w:p>
    <w:p w14:paraId="5549A52E" w14:textId="77777777" w:rsidR="00625A5B" w:rsidRPr="008F03E5" w:rsidRDefault="00625A5B" w:rsidP="00A33A65">
      <w:pPr>
        <w:pStyle w:val="Translit"/>
      </w:pPr>
      <w:r w:rsidRPr="008F03E5">
        <w:t>Qafqas, Qawqas,</w:t>
      </w:r>
      <w:r w:rsidRPr="008F03E5">
        <w:tab/>
        <w:t>Qafqás</w:t>
      </w:r>
      <w:r w:rsidRPr="008F03E5">
        <w:tab/>
        <w:t xml:space="preserve">al-Qafqás and al-Qawqás, the Caucasus.  Pers. Qafqáz or </w:t>
      </w:r>
      <w:r w:rsidRPr="008F03E5">
        <w:rPr>
          <w:u w:val="single"/>
        </w:rPr>
        <w:t>Gh</w:t>
      </w:r>
      <w:r w:rsidRPr="008F03E5">
        <w:t>af</w:t>
      </w:r>
      <w:r w:rsidRPr="008F03E5">
        <w:rPr>
          <w:u w:val="single"/>
        </w:rPr>
        <w:t>gh</w:t>
      </w:r>
      <w:r w:rsidRPr="008F03E5">
        <w:t>áz (“Qafqaz”, “Kawkaz”, “Ghafghaz”).</w:t>
      </w:r>
    </w:p>
    <w:p w14:paraId="0552BB64" w14:textId="77777777" w:rsidR="00625A5B" w:rsidRPr="008F03E5" w:rsidRDefault="00625A5B" w:rsidP="000476FE">
      <w:pPr>
        <w:pStyle w:val="Translit"/>
      </w:pPr>
      <w:r w:rsidRPr="008F03E5">
        <w:t>Qahhar</w:t>
      </w:r>
      <w:r w:rsidRPr="008F03E5">
        <w:tab/>
        <w:t>Qahhár</w:t>
      </w:r>
      <w:r w:rsidRPr="008F03E5">
        <w:tab/>
        <w:t>conquering, vanquishing; al-Qahhár the Subduer, the Almighty (God)</w:t>
      </w:r>
    </w:p>
    <w:p w14:paraId="51EBB176" w14:textId="77777777" w:rsidR="00625A5B" w:rsidRPr="008F03E5" w:rsidRDefault="00625A5B" w:rsidP="0096590E">
      <w:pPr>
        <w:pStyle w:val="Translit"/>
      </w:pPr>
      <w:r w:rsidRPr="008F03E5">
        <w:t>Qahir, Qahira, Qahirih</w:t>
      </w:r>
      <w:r w:rsidRPr="008F03E5">
        <w:tab/>
        <w:t>Qáhir; fem. Qáhira[t], Pers. also Qáhirih</w:t>
      </w:r>
      <w:r w:rsidRPr="008F03E5">
        <w:tab/>
        <w:t>who or what subdues or triumphs; a conqueror; mighty, powerful; violent, forcible, oppressive.  Feminine:  a conqueress, victrix; Augusta; name of the capital of Egypt, Cario.  The official Arabic name of Cairo is al-Qáhirah, from a</w:t>
      </w:r>
      <w:r>
        <w:t>n</w:t>
      </w:r>
      <w:r w:rsidRPr="008F03E5">
        <w:t>-Najm al-Qáhir (planet Mars).</w:t>
      </w:r>
    </w:p>
    <w:p w14:paraId="5A03D64E" w14:textId="77777777" w:rsidR="00625A5B" w:rsidRPr="008F03E5" w:rsidRDefault="00625A5B" w:rsidP="0071545B">
      <w:pPr>
        <w:pStyle w:val="Translit"/>
      </w:pPr>
      <w:r w:rsidRPr="008F03E5">
        <w:t>Qahqaha, Qahqahih</w:t>
      </w:r>
      <w:r w:rsidRPr="008F03E5">
        <w:tab/>
        <w:t>Qahqaha[h or t], Pers. Qahqahih</w:t>
      </w:r>
      <w:r w:rsidRPr="008F03E5">
        <w:tab/>
        <w:t>loud burst of laughter</w:t>
      </w:r>
    </w:p>
    <w:p w14:paraId="60415164" w14:textId="77777777" w:rsidR="00625A5B" w:rsidRPr="008F03E5" w:rsidRDefault="00625A5B" w:rsidP="00A03C5B">
      <w:pPr>
        <w:pStyle w:val="Translit"/>
      </w:pPr>
      <w:r w:rsidRPr="008F03E5">
        <w:t>Qahr</w:t>
      </w:r>
      <w:r w:rsidRPr="008F03E5">
        <w:tab/>
        <w:t>Qahr</w:t>
      </w:r>
      <w:r w:rsidRPr="008F03E5">
        <w:tab/>
        <w:t>vanquishing, subdual, subjection, subjugation; compulsion, coercion, force; (e.g.) annoyance, trouble, sorrow, grief</w:t>
      </w:r>
    </w:p>
    <w:p w14:paraId="44DC481D" w14:textId="77777777" w:rsidR="00625A5B" w:rsidRPr="008F03E5" w:rsidRDefault="00625A5B" w:rsidP="001B771E">
      <w:pPr>
        <w:pStyle w:val="Translit"/>
      </w:pPr>
      <w:r w:rsidRPr="008F03E5">
        <w:t>Qahru’llah</w:t>
      </w:r>
      <w:r w:rsidRPr="008F03E5">
        <w:tab/>
        <w:t>Qahru’lláh</w:t>
      </w:r>
      <w:r w:rsidRPr="008F03E5">
        <w:tab/>
        <w:t xml:space="preserve">“Annoyance of God” or “The Wrath of God”.  Name given </w:t>
      </w:r>
      <w:r>
        <w:t xml:space="preserve">by the Báb </w:t>
      </w:r>
      <w:r w:rsidRPr="008F03E5">
        <w:t xml:space="preserve">to an Indian dervish </w:t>
      </w:r>
      <w:r>
        <w:t xml:space="preserve">and to </w:t>
      </w:r>
      <w:r w:rsidRPr="001B771E">
        <w:t>Mullá Muḥammad-</w:t>
      </w:r>
      <w:r>
        <w:t>‘</w:t>
      </w:r>
      <w:r w:rsidRPr="001B771E">
        <w:t>Alíy-i-Zanjání</w:t>
      </w:r>
      <w:r w:rsidRPr="008F03E5">
        <w:t>.</w:t>
      </w:r>
    </w:p>
    <w:p w14:paraId="51C751C2" w14:textId="77777777" w:rsidR="00625A5B" w:rsidRPr="008F03E5" w:rsidRDefault="00625A5B" w:rsidP="00F339ED">
      <w:pPr>
        <w:pStyle w:val="Translit"/>
      </w:pPr>
      <w:r w:rsidRPr="008F03E5">
        <w:t>Qaht</w:t>
      </w:r>
      <w:r w:rsidRPr="008F03E5">
        <w:tab/>
        <w:t>Qaḥṭ</w:t>
      </w:r>
      <w:r w:rsidRPr="008F03E5">
        <w:tab/>
        <w:t>lack of rain, failing rain; drought, dryness; famine; dearth, failure of crops, lack, want, scarcity; penury, hunger, starvation, want, famine; a hard blow</w:t>
      </w:r>
    </w:p>
    <w:p w14:paraId="6698556B" w14:textId="77777777" w:rsidR="00625A5B" w:rsidRPr="008F03E5" w:rsidRDefault="00625A5B" w:rsidP="008E4D02">
      <w:pPr>
        <w:pStyle w:val="Translit"/>
      </w:pPr>
      <w:r w:rsidRPr="008F03E5">
        <w:t>Qahtan</w:t>
      </w:r>
      <w:r w:rsidRPr="008F03E5">
        <w:tab/>
        <w:t>Qaḥṭán</w:t>
      </w:r>
      <w:r w:rsidRPr="008F03E5">
        <w:tab/>
        <w:t>legendary ancestor of the south Arabians.  Name of the son of Amír, son of Sáli</w:t>
      </w:r>
      <w:r w:rsidRPr="008F03E5">
        <w:rPr>
          <w:u w:val="single"/>
        </w:rPr>
        <w:t>kh</w:t>
      </w:r>
      <w:r w:rsidRPr="008F03E5">
        <w:t>, father of a Yemeni tribe; name of a desert.  Baní Qaḥṭán (Qahtanite) Arab tribe from Yemen, consisting of two sub-groups:  Ḥimyar (Himyartes) (in the area of Ṣan‘á’) and Kahlán (Kahlanis).</w:t>
      </w:r>
    </w:p>
    <w:p w14:paraId="7D11D0D2" w14:textId="77777777" w:rsidR="00625A5B" w:rsidRPr="008F03E5" w:rsidRDefault="00625A5B" w:rsidP="00434460">
      <w:pPr>
        <w:pStyle w:val="Translit"/>
      </w:pPr>
      <w:r w:rsidRPr="008F03E5">
        <w:t>Qahtani</w:t>
      </w:r>
      <w:r w:rsidRPr="008F03E5">
        <w:tab/>
        <w:t>Qaḥṭání</w:t>
      </w:r>
      <w:r w:rsidRPr="008F03E5">
        <w:tab/>
        <w:t>(tribe) of Qaḥṭán.  Qahtanite and Qahtani refer to Arabs who originate from south Arabia.</w:t>
      </w:r>
    </w:p>
    <w:p w14:paraId="2F84F829" w14:textId="77777777" w:rsidR="00625A5B" w:rsidRPr="008F03E5" w:rsidRDefault="00625A5B" w:rsidP="0024772F">
      <w:pPr>
        <w:pStyle w:val="Translit"/>
      </w:pPr>
      <w:r w:rsidRPr="008F03E5">
        <w:t>Qahwa, Qahawat, Qahawi</w:t>
      </w:r>
      <w:r w:rsidRPr="008F03E5">
        <w:tab/>
        <w:t>Qahwa[h or t], pl. Qahawát, Qaháwí</w:t>
      </w:r>
      <w:r w:rsidRPr="008F03E5">
        <w:tab/>
        <w:t>wine, coffee;—pl. café, coffeehouse</w:t>
      </w:r>
    </w:p>
    <w:p w14:paraId="1B30F7B7" w14:textId="77777777" w:rsidR="00625A5B" w:rsidRPr="008F03E5" w:rsidRDefault="00625A5B" w:rsidP="00B4004E">
      <w:pPr>
        <w:pStyle w:val="Translit"/>
      </w:pPr>
      <w:r w:rsidRPr="008F03E5">
        <w:t>Qahwachi Mahallat</w:t>
      </w:r>
      <w:r w:rsidRPr="008F03E5">
        <w:tab/>
        <w:t>Qahwa</w:t>
      </w:r>
      <w:r w:rsidRPr="008F03E5">
        <w:rPr>
          <w:u w:val="single"/>
        </w:rPr>
        <w:t>ch</w:t>
      </w:r>
      <w:r w:rsidRPr="008F03E5">
        <w:t>í Maḥallátí</w:t>
      </w:r>
      <w:r w:rsidRPr="008F03E5">
        <w:tab/>
        <w:t>(Qahvih-</w:t>
      </w:r>
      <w:r w:rsidRPr="008F03E5">
        <w:rPr>
          <w:u w:val="single"/>
        </w:rPr>
        <w:t>ch</w:t>
      </w:r>
      <w:r w:rsidRPr="008F03E5">
        <w:t>iy-i-Maḥallátí) coffee man of Maḥallát, Áqá Muḥammad-Báqir</w:t>
      </w:r>
    </w:p>
    <w:p w14:paraId="409BF183" w14:textId="77777777" w:rsidR="00625A5B" w:rsidRPr="008F03E5" w:rsidRDefault="00625A5B" w:rsidP="00B4004E">
      <w:pPr>
        <w:pStyle w:val="Translit"/>
      </w:pPr>
      <w:r w:rsidRPr="008F03E5">
        <w:t>Qahwachi, Qahwa-chi, Qahvih-chi</w:t>
      </w:r>
      <w:r w:rsidRPr="008F03E5">
        <w:tab/>
        <w:t>Qahwa</w:t>
      </w:r>
      <w:r w:rsidRPr="008F03E5">
        <w:rPr>
          <w:u w:val="single"/>
        </w:rPr>
        <w:t>ch</w:t>
      </w:r>
      <w:r w:rsidRPr="008F03E5">
        <w:t>í, Qahwa-</w:t>
      </w:r>
      <w:r w:rsidRPr="008F03E5">
        <w:rPr>
          <w:u w:val="single"/>
        </w:rPr>
        <w:t>ch</w:t>
      </w:r>
      <w:r w:rsidRPr="008F03E5">
        <w:t>í, Qahvih-</w:t>
      </w:r>
      <w:r w:rsidRPr="008F03E5">
        <w:rPr>
          <w:u w:val="single"/>
        </w:rPr>
        <w:t>ch</w:t>
      </w:r>
      <w:r w:rsidRPr="008F03E5">
        <w:t>í</w:t>
      </w:r>
      <w:r w:rsidRPr="008F03E5">
        <w:tab/>
        <w:t>Pers. coffee house keeper or coffee maker.  Sometimes includes tá’ marbúṭa:  Qahwah</w:t>
      </w:r>
      <w:r w:rsidRPr="008F03E5">
        <w:rPr>
          <w:u w:val="single"/>
        </w:rPr>
        <w:t>ch</w:t>
      </w:r>
      <w:r w:rsidRPr="008F03E5">
        <w:t>í,Qahvah</w:t>
      </w:r>
      <w:r w:rsidRPr="008F03E5">
        <w:rPr>
          <w:u w:val="single"/>
        </w:rPr>
        <w:t>ch</w:t>
      </w:r>
      <w:r w:rsidRPr="008F03E5">
        <w:t>í, etc.</w:t>
      </w:r>
    </w:p>
    <w:p w14:paraId="398CF3C0" w14:textId="77777777" w:rsidR="00625A5B" w:rsidRPr="008F03E5" w:rsidRDefault="00625A5B" w:rsidP="00B4004E">
      <w:pPr>
        <w:pStyle w:val="Translit"/>
      </w:pPr>
      <w:r w:rsidRPr="008F03E5">
        <w:t>Qahwaji, Qahwati, Qahawati</w:t>
      </w:r>
      <w:r w:rsidRPr="008F03E5">
        <w:tab/>
        <w:t>Qahwají, Qahwátí, Qahawátí</w:t>
      </w:r>
      <w:r w:rsidRPr="008F03E5">
        <w:tab/>
        <w:t>coffeehouse owner; coffee cook</w:t>
      </w:r>
    </w:p>
    <w:p w14:paraId="6F6FD953" w14:textId="77777777" w:rsidR="00625A5B" w:rsidRPr="008F03E5" w:rsidRDefault="00625A5B" w:rsidP="00B4004E">
      <w:pPr>
        <w:pStyle w:val="Translit"/>
      </w:pPr>
      <w:r w:rsidRPr="008F03E5">
        <w:t>Qahwa-Khana, Qahwih-Khanih</w:t>
      </w:r>
      <w:r w:rsidRPr="008F03E5">
        <w:tab/>
        <w:t>Qahwa-</w:t>
      </w:r>
      <w:r w:rsidRPr="008F03E5">
        <w:rPr>
          <w:u w:val="single"/>
        </w:rPr>
        <w:t>Kh</w:t>
      </w:r>
      <w:r w:rsidRPr="008F03E5">
        <w:t>ána, also Qahwih-</w:t>
      </w:r>
      <w:r w:rsidRPr="008F03E5">
        <w:rPr>
          <w:u w:val="single"/>
        </w:rPr>
        <w:t>Kh</w:t>
      </w:r>
      <w:r w:rsidRPr="008F03E5">
        <w:t>ánih</w:t>
      </w:r>
      <w:r w:rsidRPr="008F03E5">
        <w:tab/>
        <w:t>Pers. coffee house.  also Qahvih-i-</w:t>
      </w:r>
      <w:r w:rsidRPr="008F03E5">
        <w:rPr>
          <w:u w:val="single"/>
        </w:rPr>
        <w:t>kh</w:t>
      </w:r>
      <w:r w:rsidRPr="008F03E5">
        <w:t>ánih</w:t>
      </w:r>
    </w:p>
    <w:p w14:paraId="30F1376B" w14:textId="77777777" w:rsidR="00625A5B" w:rsidRPr="008F03E5" w:rsidRDefault="00625A5B" w:rsidP="00C05026">
      <w:pPr>
        <w:pStyle w:val="Translit"/>
      </w:pPr>
      <w:r w:rsidRPr="008F03E5">
        <w:t>Qahwiya Awliya’, Qahviyih-i-Awliya’</w:t>
      </w:r>
      <w:r w:rsidRPr="008F03E5">
        <w:tab/>
        <w:t>Qahwíya Awliyá’</w:t>
      </w:r>
      <w:r w:rsidRPr="008F03E5">
        <w:tab/>
        <w:t>(Pers. Qahviyih-i-Awlíyá’) mosque-like building containing the school attended by the Báb.  It was in the Bázár-i-Mur</w:t>
      </w:r>
      <w:r w:rsidRPr="008F03E5">
        <w:rPr>
          <w:u w:val="single"/>
        </w:rPr>
        <w:t>gh</w:t>
      </w:r>
      <w:r w:rsidRPr="008F03E5">
        <w:t xml:space="preserve"> (Poultry Market) quarter of </w:t>
      </w:r>
      <w:r w:rsidRPr="008F03E5">
        <w:rPr>
          <w:u w:val="single"/>
        </w:rPr>
        <w:t>Sh</w:t>
      </w:r>
      <w:r w:rsidRPr="008F03E5">
        <w:t>iraz (District 8).</w:t>
      </w:r>
    </w:p>
    <w:p w14:paraId="30E7DDDC" w14:textId="77777777" w:rsidR="00625A5B" w:rsidRPr="008F03E5" w:rsidRDefault="00625A5B" w:rsidP="00981C65">
      <w:pPr>
        <w:pStyle w:val="Translit"/>
      </w:pPr>
      <w:r w:rsidRPr="00077779">
        <w:rPr>
          <w:lang w:val="es-ES_tradnl"/>
        </w:rPr>
        <w:t>Qajar, Qajaran, Qajar-ha</w:t>
      </w:r>
      <w:r w:rsidRPr="00077779">
        <w:rPr>
          <w:lang w:val="es-ES_tradnl"/>
        </w:rPr>
        <w:tab/>
        <w:t xml:space="preserve">Qájár, pl. </w:t>
      </w:r>
      <w:r w:rsidRPr="008F03E5">
        <w:t>Qájárán, Pers. Qájár-há</w:t>
      </w:r>
      <w:r w:rsidRPr="008F03E5">
        <w:tab/>
        <w:t>a Turkoman tribe of Túrán, and a family whose leaders reigned in Persia from 1795 to 1925; the dynasty was founded by Á</w:t>
      </w:r>
      <w:r w:rsidRPr="008F03E5">
        <w:rPr>
          <w:u w:val="single"/>
        </w:rPr>
        <w:t>gh</w:t>
      </w:r>
      <w:r w:rsidRPr="008F03E5">
        <w:t xml:space="preserve">á Muḥammad </w:t>
      </w:r>
      <w:r w:rsidRPr="008F03E5">
        <w:rPr>
          <w:u w:val="single"/>
        </w:rPr>
        <w:t>Kh</w:t>
      </w:r>
      <w:r w:rsidRPr="008F03E5">
        <w:t>án.  Also spelt Kadjar, Kajar, Kadzhar, Cadzhar, Cadjar, Ghajar.</w:t>
      </w:r>
    </w:p>
    <w:p w14:paraId="4A372088" w14:textId="77777777" w:rsidR="00625A5B" w:rsidRPr="008F03E5" w:rsidRDefault="00625A5B" w:rsidP="00874219">
      <w:pPr>
        <w:pStyle w:val="Translit"/>
        <w:rPr>
          <w:rFonts w:eastAsia="PMingLiU"/>
          <w:lang w:eastAsia="zh-TW"/>
        </w:rPr>
      </w:pPr>
      <w:r w:rsidRPr="008F03E5">
        <w:rPr>
          <w:rFonts w:eastAsia="PMingLiU"/>
          <w:lang w:eastAsia="zh-TW"/>
        </w:rPr>
        <w:t>Qal wa-qil, Qil wa-qal</w:t>
      </w:r>
      <w:r w:rsidRPr="008F03E5">
        <w:rPr>
          <w:rFonts w:eastAsia="PMingLiU"/>
          <w:lang w:eastAsia="zh-TW"/>
        </w:rPr>
        <w:tab/>
        <w:t>Q</w:t>
      </w:r>
      <w:r w:rsidRPr="008F03E5">
        <w:t>á</w:t>
      </w:r>
      <w:r w:rsidRPr="008F03E5">
        <w:rPr>
          <w:rFonts w:eastAsia="PMingLiU"/>
          <w:lang w:eastAsia="zh-TW"/>
        </w:rPr>
        <w:t>l wa-q</w:t>
      </w:r>
      <w:r w:rsidRPr="008F03E5">
        <w:t>í</w:t>
      </w:r>
      <w:r w:rsidRPr="008F03E5">
        <w:rPr>
          <w:rFonts w:eastAsia="PMingLiU"/>
          <w:lang w:eastAsia="zh-TW"/>
        </w:rPr>
        <w:t>l, Q</w:t>
      </w:r>
      <w:r w:rsidRPr="008F03E5">
        <w:t>í</w:t>
      </w:r>
      <w:r w:rsidRPr="008F03E5">
        <w:rPr>
          <w:rFonts w:eastAsia="PMingLiU"/>
          <w:lang w:eastAsia="zh-TW"/>
        </w:rPr>
        <w:t>l wa-q</w:t>
      </w:r>
      <w:r w:rsidRPr="008F03E5">
        <w:t>á</w:t>
      </w:r>
      <w:r w:rsidRPr="008F03E5">
        <w:rPr>
          <w:rFonts w:eastAsia="PMingLiU"/>
          <w:lang w:eastAsia="zh-TW"/>
        </w:rPr>
        <w:t>l</w:t>
      </w:r>
      <w:r w:rsidRPr="008F03E5">
        <w:rPr>
          <w:rFonts w:eastAsia="PMingLiU"/>
          <w:lang w:eastAsia="zh-TW"/>
        </w:rPr>
        <w:tab/>
        <w:t>long palaver; idle talk, prattle, gossip.</w:t>
      </w:r>
    </w:p>
    <w:p w14:paraId="3FE7D28E" w14:textId="77777777" w:rsidR="00625A5B" w:rsidRPr="008F03E5" w:rsidRDefault="00625A5B" w:rsidP="009D7D67">
      <w:pPr>
        <w:pStyle w:val="Translit"/>
        <w:rPr>
          <w:rFonts w:eastAsia="PMingLiU"/>
          <w:lang w:eastAsia="zh-TW"/>
        </w:rPr>
      </w:pPr>
      <w:r w:rsidRPr="008F03E5">
        <w:rPr>
          <w:rFonts w:eastAsia="PMingLiU"/>
          <w:lang w:eastAsia="zh-TW"/>
        </w:rPr>
        <w:t>Qal’a (Pers. Qal’ih, Qal’eh), Qila’, Qulu’</w:t>
      </w:r>
      <w:r w:rsidRPr="008F03E5">
        <w:rPr>
          <w:rFonts w:eastAsia="PMingLiU"/>
          <w:lang w:eastAsia="zh-TW"/>
        </w:rPr>
        <w:tab/>
        <w:t>Qal‘a[h or t], Pers. Qal‘ih, pl. Qilá‘, Qulú‘</w:t>
      </w:r>
      <w:r w:rsidRPr="008F03E5">
        <w:rPr>
          <w:rFonts w:eastAsia="PMingLiU"/>
          <w:lang w:eastAsia="zh-TW"/>
        </w:rPr>
        <w:tab/>
        <w:t xml:space="preserve">castle, </w:t>
      </w:r>
      <w:r w:rsidRPr="008F03E5">
        <w:t>fortress, stronghold, fort (especially on the top of a mountain); citadel</w:t>
      </w:r>
    </w:p>
    <w:p w14:paraId="3B856090" w14:textId="77777777" w:rsidR="00625A5B" w:rsidRPr="008F03E5" w:rsidRDefault="00625A5B" w:rsidP="00A67108">
      <w:pPr>
        <w:pStyle w:val="Translit"/>
      </w:pPr>
      <w:r w:rsidRPr="008F03E5">
        <w:t>Qal’a Zinjir</w:t>
      </w:r>
      <w:r w:rsidRPr="008F03E5">
        <w:tab/>
        <w:t>Qal‘a Zinjír</w:t>
      </w:r>
      <w:r w:rsidRPr="008F03E5">
        <w:tab/>
        <w:t xml:space="preserve">Pers. very small village (33.002655, 48.203327) and nearby rock outcrop 71 kn NNW of </w:t>
      </w:r>
      <w:r w:rsidRPr="008F03E5">
        <w:rPr>
          <w:rFonts w:eastAsia="PMingLiU"/>
          <w:lang w:eastAsia="zh-TW"/>
        </w:rPr>
        <w:t>Dizfúl</w:t>
      </w:r>
    </w:p>
    <w:p w14:paraId="06D63907" w14:textId="77777777" w:rsidR="00625A5B" w:rsidRPr="008F03E5" w:rsidRDefault="00625A5B" w:rsidP="00181F21">
      <w:pPr>
        <w:pStyle w:val="Translit"/>
      </w:pPr>
      <w:r w:rsidRPr="008F03E5">
        <w:t>Qal’a-i-Muhammad ‘Ali Khan</w:t>
      </w:r>
      <w:r w:rsidRPr="008F03E5">
        <w:tab/>
        <w:t xml:space="preserve">Qal‘a-i-Muḥammad ‘Alí </w:t>
      </w:r>
      <w:r w:rsidRPr="008F03E5">
        <w:rPr>
          <w:u w:val="single"/>
        </w:rPr>
        <w:t>Kh</w:t>
      </w:r>
      <w:r w:rsidRPr="008F03E5">
        <w:t>án</w:t>
      </w:r>
      <w:r w:rsidRPr="008F03E5">
        <w:tab/>
        <w:t>(“Qaleh-i-Mohammad Ali Khan”) is a very small village (35.252778, 50.981111) in Rayy County, Tehran Province.</w:t>
      </w:r>
    </w:p>
    <w:p w14:paraId="6356644F" w14:textId="77777777" w:rsidR="00625A5B" w:rsidRPr="008F03E5" w:rsidRDefault="00625A5B" w:rsidP="005571F4">
      <w:pPr>
        <w:pStyle w:val="Translit"/>
      </w:pPr>
      <w:r w:rsidRPr="008F03E5">
        <w:t>Qala (Qawl)</w:t>
      </w:r>
      <w:r w:rsidRPr="008F03E5">
        <w:tab/>
        <w:t>Qála (Qawl)</w:t>
      </w:r>
      <w:r w:rsidRPr="008F03E5">
        <w:tab/>
        <w:t>to speak, say, tell (something, to someone).  Qul (</w:t>
      </w:r>
      <w:r w:rsidRPr="008F03E5">
        <w:rPr>
          <w:rtl/>
        </w:rPr>
        <w:t>قُلْ</w:t>
      </w:r>
      <w:r w:rsidRPr="008F03E5">
        <w:t>) say!</w:t>
      </w:r>
    </w:p>
    <w:p w14:paraId="04530F55" w14:textId="77777777" w:rsidR="00625A5B" w:rsidRPr="00397500" w:rsidRDefault="00625A5B" w:rsidP="00922CA2">
      <w:pPr>
        <w:pStyle w:val="Translit"/>
      </w:pPr>
      <w:r w:rsidRPr="00397500">
        <w:t>Qalam al-Ilahi</w:t>
      </w:r>
      <w:r w:rsidRPr="00397500">
        <w:tab/>
        <w:t>al-Qalam al-Iláhí</w:t>
      </w:r>
      <w:r w:rsidRPr="00397500">
        <w:tab/>
        <w:t>“the divine pen”</w:t>
      </w:r>
    </w:p>
    <w:p w14:paraId="017FE130" w14:textId="77777777" w:rsidR="00625A5B" w:rsidRPr="008F03E5" w:rsidRDefault="00625A5B" w:rsidP="00142750">
      <w:pPr>
        <w:pStyle w:val="Translit"/>
      </w:pPr>
      <w:r w:rsidRPr="008F03E5">
        <w:t>Qalam, Aqlam (Qilam, Qulam)</w:t>
      </w:r>
      <w:r w:rsidRPr="008F03E5">
        <w:tab/>
        <w:t>Qalam, pl. Aqlám</w:t>
      </w:r>
      <w:r w:rsidRPr="008F03E5">
        <w:tab/>
        <w:t>reed pen; pen; writing, script, calligraphic style, ductus; handwriting; style; office, bureau, agency, department; window, counter; item, entry.  Qilám (Qulám) appears to be another plural.</w:t>
      </w:r>
    </w:p>
    <w:p w14:paraId="21EE8F7C" w14:textId="77777777" w:rsidR="00625A5B" w:rsidRPr="008F03E5" w:rsidRDefault="00625A5B" w:rsidP="00F503D3">
      <w:pPr>
        <w:pStyle w:val="Translit"/>
      </w:pPr>
      <w:r w:rsidRPr="008F03E5">
        <w:t>Qalam-dan (Qalamdan)</w:t>
      </w:r>
      <w:r w:rsidRPr="008F03E5">
        <w:tab/>
        <w:t>Qalam-dán (Qalamdán)</w:t>
      </w:r>
      <w:r w:rsidRPr="008F03E5">
        <w:tab/>
        <w:t>Pers. pencil-box</w:t>
      </w:r>
    </w:p>
    <w:p w14:paraId="58033F7E" w14:textId="77777777" w:rsidR="00625A5B" w:rsidRPr="00077779" w:rsidRDefault="00625A5B" w:rsidP="00D75632">
      <w:pPr>
        <w:pStyle w:val="Translit"/>
        <w:rPr>
          <w:lang w:val="de-DE"/>
        </w:rPr>
      </w:pPr>
      <w:r w:rsidRPr="001457C8">
        <w:rPr>
          <w:lang w:val="de-DE"/>
        </w:rPr>
        <w:t>Qalandar (Kalandar), Qalandarun</w:t>
      </w:r>
      <w:r w:rsidRPr="001457C8">
        <w:rPr>
          <w:lang w:val="de-DE"/>
        </w:rPr>
        <w:tab/>
        <w:t xml:space="preserve">Qalandár, Pers. </w:t>
      </w:r>
      <w:r w:rsidRPr="00077779">
        <w:rPr>
          <w:lang w:val="de-DE"/>
        </w:rPr>
        <w:t>Qalandar, pl. Qalandárún</w:t>
      </w:r>
      <w:r w:rsidRPr="00077779">
        <w:rPr>
          <w:lang w:val="de-DE"/>
        </w:rPr>
        <w:tab/>
        <w:t xml:space="preserve">wandering ascetic.  </w:t>
      </w:r>
      <w:r w:rsidRPr="00077779">
        <w:rPr>
          <w:lang w:val="de-DE" w:eastAsia="en-US"/>
        </w:rPr>
        <w:t>Ḥájí Qalandar, Bahá’í teacher and former dervish.</w:t>
      </w:r>
    </w:p>
    <w:p w14:paraId="0FA7BA01" w14:textId="77777777" w:rsidR="00625A5B" w:rsidRPr="00077779" w:rsidRDefault="00625A5B" w:rsidP="00FF375D">
      <w:pPr>
        <w:pStyle w:val="Translit"/>
        <w:rPr>
          <w:lang w:val="de-DE"/>
        </w:rPr>
      </w:pPr>
      <w:r w:rsidRPr="00077779">
        <w:rPr>
          <w:lang w:val="de-DE"/>
        </w:rPr>
        <w:t>Qalandariya</w:t>
      </w:r>
      <w:r w:rsidRPr="00077779">
        <w:rPr>
          <w:lang w:val="de-DE"/>
        </w:rPr>
        <w:tab/>
        <w:t>Qalandáríya[h], Pers. Qalandariyya[h]</w:t>
      </w:r>
      <w:r w:rsidRPr="00077779">
        <w:rPr>
          <w:lang w:val="de-DE"/>
        </w:rPr>
        <w:tab/>
        <w:t>sect of wandering ascetic Sufi dervishes</w:t>
      </w:r>
    </w:p>
    <w:p w14:paraId="30975F7A" w14:textId="77777777" w:rsidR="00625A5B" w:rsidRPr="008F03E5" w:rsidRDefault="00625A5B" w:rsidP="00254989">
      <w:pPr>
        <w:pStyle w:val="Translit"/>
      </w:pPr>
      <w:r w:rsidRPr="008F03E5">
        <w:t>Qalb, Qulub</w:t>
      </w:r>
      <w:r w:rsidRPr="008F03E5">
        <w:tab/>
        <w:t>Qalb, pl. Qulúb</w:t>
      </w:r>
      <w:r w:rsidRPr="008F03E5">
        <w:tab/>
        <w:t>heart; middle, centre; core, gist, essence; marrow, medulla, pith; the best or choicest part; mind, soul, spirit</w:t>
      </w:r>
    </w:p>
    <w:p w14:paraId="3A369E1E" w14:textId="77777777" w:rsidR="00625A5B" w:rsidRPr="008F03E5" w:rsidRDefault="00625A5B" w:rsidP="003768DD">
      <w:pPr>
        <w:pStyle w:val="Translit"/>
      </w:pPr>
      <w:r w:rsidRPr="008F03E5">
        <w:t>Qalbi</w:t>
      </w:r>
      <w:r w:rsidRPr="008F03E5">
        <w:tab/>
        <w:t>Qalbí, Qalbíyan</w:t>
      </w:r>
      <w:r w:rsidRPr="008F03E5">
        <w:tab/>
        <w:t>of or pertaining to the heart, heart- (in compounds), cardiac, cardiacal; cordial, hearty, warm, sincere.  Qalbíyan cordially, heartily, warmly, sincerely.</w:t>
      </w:r>
    </w:p>
    <w:p w14:paraId="5C5CB3B9" w14:textId="77777777" w:rsidR="00625A5B" w:rsidRPr="008F03E5" w:rsidRDefault="00625A5B" w:rsidP="00126896">
      <w:pPr>
        <w:pStyle w:val="Translit"/>
      </w:pPr>
      <w:r w:rsidRPr="008F03E5">
        <w:t>Qalil, Aqilla’, Qala’il, Qilal</w:t>
      </w:r>
      <w:r w:rsidRPr="008F03E5">
        <w:tab/>
        <w:t>Qalíl, pl. Aqillá’, Qalá’il, Qilál</w:t>
      </w:r>
      <w:r w:rsidRPr="008F03E5">
        <w:tab/>
        <w:t>little; few; insignificant, inconsiderable, trifling; small (in number or quantity), scant, scanty, spare, sparse, meagre, insufficient; scarce, rare; a small number, a small quantity, a modicum, a little (of)</w:t>
      </w:r>
    </w:p>
    <w:p w14:paraId="6B679D57" w14:textId="77777777" w:rsidR="00625A5B" w:rsidRPr="008F03E5" w:rsidRDefault="00625A5B" w:rsidP="00126896">
      <w:pPr>
        <w:pStyle w:val="Translit"/>
      </w:pPr>
      <w:r w:rsidRPr="001457C8">
        <w:rPr>
          <w:lang w:val="fr-FR"/>
        </w:rPr>
        <w:t>Qalis (Qullais, Qillis)</w:t>
      </w:r>
      <w:r w:rsidRPr="001457C8">
        <w:rPr>
          <w:lang w:val="fr-FR"/>
        </w:rPr>
        <w:tab/>
        <w:t>Qalís</w:t>
      </w:r>
      <w:r w:rsidRPr="001457C8">
        <w:rPr>
          <w:lang w:val="fr-FR"/>
        </w:rPr>
        <w:tab/>
        <w:t xml:space="preserve">a miser.  </w:t>
      </w:r>
      <w:r w:rsidRPr="008F03E5">
        <w:t>Kanísa al-Qalís (al-Qalis Church) in Sana</w:t>
      </w:r>
      <w:r w:rsidRPr="008F03E5">
        <w:rPr>
          <w:rFonts w:eastAsia="Times New Roman"/>
          <w:i/>
          <w:iCs/>
        </w:rPr>
        <w:t>‘</w:t>
      </w:r>
      <w:r w:rsidRPr="008F03E5">
        <w:t>á’ (in Yemen) built between 527 and the late 560s by Abrahah al-‘A</w:t>
      </w:r>
      <w:r w:rsidRPr="008F03E5">
        <w:rPr>
          <w:u w:val="single"/>
        </w:rPr>
        <w:t>sh</w:t>
      </w:r>
      <w:r w:rsidRPr="008F03E5">
        <w:t>ram to promote Christianity in the predominantly Jewish kingdom while also attempting to antagonise the Ka‘aba in Mecca, a major religious centre for Arab polytheists.  Sura 105 “</w:t>
      </w:r>
      <w:r w:rsidRPr="008F03E5">
        <w:rPr>
          <w:i/>
          <w:iCs/>
        </w:rPr>
        <w:t>The Elephant</w:t>
      </w:r>
      <w:r w:rsidRPr="008F03E5">
        <w:t>” records his attack on Mecca in 570.</w:t>
      </w:r>
    </w:p>
    <w:p w14:paraId="010C0A58" w14:textId="77777777" w:rsidR="00625A5B" w:rsidRPr="008F03E5" w:rsidRDefault="00625A5B" w:rsidP="00FF2CB0">
      <w:pPr>
        <w:pStyle w:val="Translit"/>
      </w:pPr>
      <w:r w:rsidRPr="008F03E5">
        <w:t>Qalyan (Galayin, Galyun)</w:t>
      </w:r>
      <w:r w:rsidRPr="008F03E5">
        <w:tab/>
        <w:t>Qalyán</w:t>
      </w:r>
      <w:r w:rsidRPr="008F03E5">
        <w:tab/>
        <w:t>Pers. (Nárgíl) pipe for smoking through water; water pipe, narghile, hubble-bubble; smoking pipe, tobacco pipe.</w:t>
      </w:r>
    </w:p>
    <w:p w14:paraId="45F58F7C" w14:textId="77777777" w:rsidR="00625A5B" w:rsidRPr="008F03E5" w:rsidRDefault="00625A5B" w:rsidP="00C329B6">
      <w:pPr>
        <w:pStyle w:val="Translit"/>
      </w:pPr>
      <w:r w:rsidRPr="008F03E5">
        <w:t>Qamar, Aqmar</w:t>
      </w:r>
      <w:r w:rsidRPr="008F03E5">
        <w:tab/>
        <w:t>Qamar, pl. Aqmár</w:t>
      </w:r>
      <w:r w:rsidRPr="008F03E5">
        <w:tab/>
        <w:t xml:space="preserve">(Egyptian </w:t>
      </w:r>
      <w:r w:rsidRPr="008F03E5">
        <w:rPr>
          <w:u w:val="single"/>
        </w:rPr>
        <w:t>Gh</w:t>
      </w:r>
      <w:r w:rsidRPr="008F03E5">
        <w:t>amar) the moon (especially from the third day to the end of the month); (variation) having the eyes dazzled from the reflection of snow or any bright colour; satisfying thirst; being abundant (forage, etc.); being spoiled; watching, lying awake in moonlight—pl. moon; satellite (astronomy).  Jerah from Hebrew “moon”.</w:t>
      </w:r>
    </w:p>
    <w:p w14:paraId="788E66C1" w14:textId="77777777" w:rsidR="00625A5B" w:rsidRPr="008F03E5" w:rsidRDefault="00625A5B" w:rsidP="001124A6">
      <w:pPr>
        <w:pStyle w:val="Translit"/>
      </w:pPr>
      <w:r w:rsidRPr="008F03E5">
        <w:t>Qamaran</w:t>
      </w:r>
      <w:r w:rsidRPr="008F03E5">
        <w:tab/>
        <w:t>al-Qamarán (dual)</w:t>
      </w:r>
      <w:r w:rsidRPr="008F03E5">
        <w:tab/>
        <w:t>the sun and moon.  Pers. Qamarání</w:t>
      </w:r>
    </w:p>
    <w:p w14:paraId="0A08F633" w14:textId="77777777" w:rsidR="00625A5B" w:rsidRPr="008F03E5" w:rsidRDefault="00625A5B" w:rsidP="002B19C6">
      <w:pPr>
        <w:pStyle w:val="Translit"/>
      </w:pPr>
      <w:r w:rsidRPr="008F03E5">
        <w:t>Qamari</w:t>
      </w:r>
      <w:r w:rsidRPr="008F03E5">
        <w:tab/>
        <w:t>Qamarí</w:t>
      </w:r>
      <w:r w:rsidRPr="008F03E5">
        <w:tab/>
        <w:t>of or pertaining to the moon, moon-shaped, moon-like, lunar</w:t>
      </w:r>
    </w:p>
    <w:p w14:paraId="14D9AE37" w14:textId="77777777" w:rsidR="00625A5B" w:rsidRPr="008F03E5" w:rsidRDefault="00625A5B" w:rsidP="002B19C6">
      <w:pPr>
        <w:pStyle w:val="Translit"/>
      </w:pPr>
      <w:r w:rsidRPr="008F03E5">
        <w:t>Qamariya al-Ashhur</w:t>
      </w:r>
      <w:r w:rsidRPr="008F03E5">
        <w:tab/>
        <w:t>al-Qamaríya[h] al-A</w:t>
      </w:r>
      <w:r w:rsidRPr="008F03E5">
        <w:rPr>
          <w:u w:val="single"/>
        </w:rPr>
        <w:t>sh</w:t>
      </w:r>
      <w:r w:rsidRPr="008F03E5">
        <w:t>hur</w:t>
      </w:r>
      <w:r w:rsidRPr="008F03E5">
        <w:tab/>
        <w:t>the lunar months (Qamariyyah also used)</w:t>
      </w:r>
    </w:p>
    <w:p w14:paraId="7DFD237B" w14:textId="77777777" w:rsidR="00625A5B" w:rsidRPr="008F03E5" w:rsidRDefault="00625A5B" w:rsidP="002B19C6">
      <w:pPr>
        <w:pStyle w:val="Translit"/>
      </w:pPr>
      <w:r w:rsidRPr="008F03E5">
        <w:t>Qamariya al-Huruf</w:t>
      </w:r>
      <w:r w:rsidRPr="008F03E5">
        <w:tab/>
        <w:t>al-Qamaríya[h] al-Ḥurúf</w:t>
      </w:r>
      <w:r w:rsidRPr="008F03E5">
        <w:tab/>
        <w:t>the moon letters (grammar) (Qamariyyah also used)</w:t>
      </w:r>
    </w:p>
    <w:p w14:paraId="73472C07" w14:textId="77777777" w:rsidR="00625A5B" w:rsidRPr="008F03E5" w:rsidRDefault="00625A5B" w:rsidP="00FE0D44">
      <w:pPr>
        <w:pStyle w:val="Translit"/>
      </w:pPr>
      <w:r w:rsidRPr="008F03E5">
        <w:t>Qambar</w:t>
      </w:r>
      <w:r w:rsidRPr="008F03E5">
        <w:tab/>
        <w:t>Qambar</w:t>
      </w:r>
      <w:r w:rsidRPr="008F03E5">
        <w:tab/>
        <w:t>a companion of Imám ‘Alí.  Qambar-‘Alí was a servant of Mullá Ḥusayn.</w:t>
      </w:r>
    </w:p>
    <w:p w14:paraId="0C70FC9C" w14:textId="77777777" w:rsidR="00625A5B" w:rsidRPr="008F03E5" w:rsidRDefault="00625A5B" w:rsidP="00B12BD3">
      <w:pPr>
        <w:pStyle w:val="Translit"/>
      </w:pPr>
      <w:r w:rsidRPr="00077779">
        <w:rPr>
          <w:lang w:val="es-ES_tradnl"/>
        </w:rPr>
        <w:t>Qamis, Qamisa, Qumus, Aqmisa, Qumsan</w:t>
      </w:r>
      <w:r w:rsidRPr="00077779">
        <w:rPr>
          <w:lang w:val="es-ES_tradnl"/>
        </w:rPr>
        <w:tab/>
        <w:t xml:space="preserve">Qamíṣ, pl. </w:t>
      </w:r>
      <w:r w:rsidRPr="008F03E5">
        <w:t>Qumuṣ, Aqmiṣa, Qumṣán</w:t>
      </w:r>
      <w:r w:rsidRPr="008F03E5">
        <w:tab/>
        <w:t>shirt; dress, gown; covering, cover, case, wrap, envelope, jacket; (Christian) alb, surplice, rochet; incarnation.  Fem. qamíṣa[h].</w:t>
      </w:r>
    </w:p>
    <w:p w14:paraId="6597AE15" w14:textId="77777777" w:rsidR="00625A5B" w:rsidRPr="008F03E5" w:rsidRDefault="00625A5B" w:rsidP="00507017">
      <w:pPr>
        <w:pStyle w:val="Translit"/>
      </w:pPr>
      <w:r w:rsidRPr="008F03E5">
        <w:t>Qams</w:t>
      </w:r>
      <w:r w:rsidRPr="008F03E5">
        <w:tab/>
        <w:t>Qamṣ</w:t>
      </w:r>
      <w:r w:rsidRPr="008F03E5">
        <w:tab/>
        <w:t>gallop</w:t>
      </w:r>
    </w:p>
    <w:p w14:paraId="06FE4B6D" w14:textId="77777777" w:rsidR="00625A5B" w:rsidRPr="008F03E5" w:rsidRDefault="00625A5B" w:rsidP="00342043">
      <w:pPr>
        <w:pStyle w:val="Translit"/>
      </w:pPr>
      <w:r w:rsidRPr="008F03E5">
        <w:t>Qamsar (Qam</w:t>
      </w:r>
      <w:r w:rsidRPr="00342043">
        <w:t>ş</w:t>
      </w:r>
      <w:r w:rsidRPr="008F03E5">
        <w:t>ar</w:t>
      </w:r>
      <w:r>
        <w:t xml:space="preserve">, </w:t>
      </w:r>
      <w:r w:rsidRPr="008F03E5">
        <w:t>Ghamsar, Kamsar)</w:t>
      </w:r>
      <w:r w:rsidRPr="008F03E5">
        <w:tab/>
        <w:t>Qamṣar</w:t>
      </w:r>
      <w:r w:rsidRPr="008F03E5">
        <w:tab/>
        <w:t>village</w:t>
      </w:r>
      <w:r>
        <w:t xml:space="preserve"> (</w:t>
      </w:r>
      <w:r w:rsidRPr="00342043">
        <w:t>33.751320, 51.42792</w:t>
      </w:r>
      <w:r>
        <w:t>4; now a city )</w:t>
      </w:r>
      <w:r w:rsidRPr="008F03E5">
        <w:t xml:space="preserve"> 25 km south of Kashan, Iran</w:t>
      </w:r>
      <w:r>
        <w:t xml:space="preserve">.  </w:t>
      </w:r>
      <w:r w:rsidRPr="000771B2">
        <w:t>Mírzá Maḥmúd-i-Qamṣarí</w:t>
      </w:r>
      <w:r>
        <w:t>.</w:t>
      </w:r>
    </w:p>
    <w:p w14:paraId="64A0485F" w14:textId="77777777" w:rsidR="00625A5B" w:rsidRPr="008F03E5" w:rsidRDefault="00625A5B" w:rsidP="000E58D7">
      <w:pPr>
        <w:pStyle w:val="Translit"/>
      </w:pPr>
      <w:r w:rsidRPr="008F03E5">
        <w:t>Qamus, Qawamis</w:t>
      </w:r>
      <w:r w:rsidRPr="008F03E5">
        <w:tab/>
        <w:t>Qámús, pl. Qawámís</w:t>
      </w:r>
      <w:r w:rsidRPr="008F03E5">
        <w:tab/>
        <w:t xml:space="preserve">ocean; dictionary, lexicon.  </w:t>
      </w:r>
      <w:r w:rsidRPr="008F03E5">
        <w:rPr>
          <w:i/>
          <w:iCs/>
        </w:rPr>
        <w:t>al-Qámús</w:t>
      </w:r>
      <w:r w:rsidRPr="008F03E5">
        <w:t xml:space="preserve"> </w:t>
      </w:r>
      <w:r w:rsidRPr="008F03E5">
        <w:rPr>
          <w:i/>
          <w:iCs/>
        </w:rPr>
        <w:t>al-Muhíṭ</w:t>
      </w:r>
      <w:r w:rsidRPr="008F03E5">
        <w:t xml:space="preserve"> (“The Surrounding Ocean”) by Muḥammad ibn Ya‘qúb al-Fayrúzábádí</w:t>
      </w:r>
    </w:p>
    <w:p w14:paraId="7405520E" w14:textId="77777777" w:rsidR="00625A5B" w:rsidRDefault="00625A5B" w:rsidP="00F1069B">
      <w:pPr>
        <w:pStyle w:val="Translit"/>
      </w:pPr>
      <w:r w:rsidRPr="008F03E5">
        <w:t xml:space="preserve">Qana, </w:t>
      </w:r>
      <w:r>
        <w:t xml:space="preserve">Qanan, </w:t>
      </w:r>
      <w:r w:rsidRPr="008F03E5">
        <w:t>Quniy, Qina</w:t>
      </w:r>
      <w:r>
        <w:t>’</w:t>
      </w:r>
      <w:r w:rsidRPr="008F03E5">
        <w:t>, Qanawat</w:t>
      </w:r>
      <w:r w:rsidRPr="008F03E5">
        <w:tab/>
        <w:t>Qanáh</w:t>
      </w:r>
      <w:r>
        <w:t xml:space="preserve"> (Qan</w:t>
      </w:r>
      <w:r w:rsidRPr="001365B3">
        <w:t>á</w:t>
      </w:r>
      <w:r>
        <w:t>t is also used in Iran)</w:t>
      </w:r>
      <w:r w:rsidRPr="008F03E5">
        <w:tab/>
      </w:r>
      <w:r>
        <w:t>(</w:t>
      </w:r>
      <w:r w:rsidRPr="008F03E5">
        <w:t>pl</w:t>
      </w:r>
      <w:r>
        <w:t>.</w:t>
      </w:r>
      <w:r w:rsidRPr="008F03E5">
        <w:t xml:space="preserve"> </w:t>
      </w:r>
      <w:r>
        <w:t xml:space="preserve">qanan, </w:t>
      </w:r>
      <w:r w:rsidRPr="008F03E5">
        <w:t>quníy, qiná’, qanawát, qanayát</w:t>
      </w:r>
      <w:r>
        <w:t>)</w:t>
      </w:r>
      <w:r w:rsidRPr="008F03E5">
        <w:t xml:space="preserve"> spear, (bamboo) lance; shaft; tube, duct, pipe; an underground canal; a syphon;—(pl. aqniya, qanawát) canal; stream, waterway.  Qanats, developed in Iran, are sloping underground channel</w:t>
      </w:r>
      <w:r>
        <w:t>s</w:t>
      </w:r>
      <w:r w:rsidRPr="008F03E5">
        <w:t xml:space="preserve"> </w:t>
      </w:r>
      <w:r>
        <w:t>(</w:t>
      </w:r>
      <w:r w:rsidRPr="008F03E5">
        <w:t>with vertical access shafts</w:t>
      </w:r>
      <w:r>
        <w:t>)</w:t>
      </w:r>
      <w:r w:rsidRPr="008F03E5">
        <w:t xml:space="preserve"> used to transport water from an </w:t>
      </w:r>
      <w:r>
        <w:t xml:space="preserve">underground </w:t>
      </w:r>
      <w:r w:rsidRPr="008F03E5">
        <w:t>aquifer.</w:t>
      </w:r>
      <w:r>
        <w:t xml:space="preserve">  See Falaj.</w:t>
      </w:r>
    </w:p>
    <w:p w14:paraId="0B29D25C" w14:textId="77777777" w:rsidR="00625A5B" w:rsidRPr="008F03E5" w:rsidRDefault="00625A5B" w:rsidP="00C8580C">
      <w:pPr>
        <w:pStyle w:val="Translit"/>
      </w:pPr>
      <w:r w:rsidRPr="008F03E5">
        <w:t>Qanbar</w:t>
      </w:r>
      <w:r w:rsidRPr="008F03E5">
        <w:tab/>
        <w:t>Qanbar</w:t>
      </w:r>
      <w:r w:rsidRPr="008F03E5">
        <w:tab/>
        <w:t>name of servant and companion of Imám ‘Alí</w:t>
      </w:r>
    </w:p>
    <w:p w14:paraId="5E77BCDB" w14:textId="77777777" w:rsidR="00625A5B" w:rsidRPr="008F03E5" w:rsidRDefault="00625A5B" w:rsidP="00D12DF0">
      <w:pPr>
        <w:pStyle w:val="Translit"/>
      </w:pPr>
      <w:r w:rsidRPr="008F03E5">
        <w:t>Qand, Qunud</w:t>
      </w:r>
      <w:r w:rsidRPr="008F03E5">
        <w:tab/>
        <w:t>Qand, pl. Qunúd</w:t>
      </w:r>
      <w:r w:rsidRPr="008F03E5">
        <w:tab/>
        <w:t>hard crystalline mass formed by evaporating or boiling cane sugar, candy</w:t>
      </w:r>
    </w:p>
    <w:p w14:paraId="3295088F" w14:textId="77777777" w:rsidR="00625A5B" w:rsidRPr="008F03E5" w:rsidRDefault="00625A5B" w:rsidP="00AC30B4">
      <w:pPr>
        <w:pStyle w:val="Translit"/>
      </w:pPr>
      <w:r w:rsidRPr="008F03E5">
        <w:t>Qanit, Qanita</w:t>
      </w:r>
      <w:r w:rsidRPr="008F03E5">
        <w:tab/>
        <w:t>Qánit, fem. Qánita</w:t>
      </w:r>
      <w:r>
        <w:t>[h or t]</w:t>
      </w:r>
      <w:r w:rsidRPr="008F03E5">
        <w:tab/>
        <w:t>godly, devout, pra</w:t>
      </w:r>
      <w:r w:rsidRPr="00854DF2">
        <w:t>yerful.  Fem. devout, obedient</w:t>
      </w:r>
      <w:r>
        <w:t>,</w:t>
      </w:r>
      <w:r w:rsidRPr="00854DF2">
        <w:t xml:space="preserve"> submissive.  Pers. Qánitih (also k</w:t>
      </w:r>
      <w:r w:rsidRPr="008F03E5">
        <w:t xml:space="preserve">nown as Káfiya), the </w:t>
      </w:r>
      <w:r>
        <w:t xml:space="preserve">name of the </w:t>
      </w:r>
      <w:r w:rsidRPr="008F03E5">
        <w:t>maid of Ṭáhirih at Bada</w:t>
      </w:r>
      <w:r w:rsidRPr="008F03E5">
        <w:rPr>
          <w:u w:val="single"/>
        </w:rPr>
        <w:t>sh</w:t>
      </w:r>
      <w:r w:rsidRPr="008F03E5">
        <w:t>t.</w:t>
      </w:r>
    </w:p>
    <w:p w14:paraId="1A76181D" w14:textId="77777777" w:rsidR="00625A5B" w:rsidRPr="008F03E5" w:rsidRDefault="00625A5B" w:rsidP="009E60CB">
      <w:pPr>
        <w:pStyle w:val="Translit"/>
      </w:pPr>
      <w:r w:rsidRPr="008F03E5">
        <w:t>Qannad</w:t>
      </w:r>
      <w:r w:rsidRPr="008F03E5">
        <w:tab/>
        <w:t>Qannád</w:t>
      </w:r>
      <w:r w:rsidRPr="008F03E5">
        <w:tab/>
        <w:t>Pers. a maker of sugar-candy; a confectioner.  Áqá Ríḍáy-i-Qannád</w:t>
      </w:r>
    </w:p>
    <w:p w14:paraId="3F87D2EC" w14:textId="77777777" w:rsidR="00625A5B" w:rsidRPr="008F03E5" w:rsidRDefault="00625A5B" w:rsidP="00D26B3F">
      <w:pPr>
        <w:pStyle w:val="Translit"/>
      </w:pPr>
      <w:r w:rsidRPr="000C6CAF">
        <w:t>Qantara (Kantara), Qanatir</w:t>
      </w:r>
      <w:r w:rsidRPr="000C6CAF">
        <w:tab/>
        <w:t xml:space="preserve">Qanṭara[h or t], pl. </w:t>
      </w:r>
      <w:r w:rsidRPr="008F03E5">
        <w:t>Qanáṭir</w:t>
      </w:r>
      <w:r w:rsidRPr="008F03E5">
        <w:tab/>
        <w:t>arched bridge, stone bridge; vault, arch; archway, arcade; arches, viaduct, aqueduct (especially pl.); dam, weir.  al-Qanṭara is a north-eastern Egyptian city on the western side of the Suez Canal located in the Egyptian governorate of Ismailia, 160 km north-east of Cairo and 50 km south of Port Said.  Known as Kantara by the British during the First World War.</w:t>
      </w:r>
    </w:p>
    <w:p w14:paraId="58B37F06" w14:textId="77777777" w:rsidR="00625A5B" w:rsidRPr="008F03E5" w:rsidRDefault="00625A5B" w:rsidP="003575B0">
      <w:pPr>
        <w:pStyle w:val="Translit"/>
      </w:pPr>
      <w:r w:rsidRPr="008F03E5">
        <w:t>Qanun fi’t-Tibb, Qanun fi at-Tibb</w:t>
      </w:r>
      <w:r w:rsidRPr="008F03E5">
        <w:tab/>
        <w:t>al-Qánún fi’ṭ-Ṭibb, Ar. al-Qánún fí aṭ-Ṭibb</w:t>
      </w:r>
      <w:r w:rsidRPr="008F03E5">
        <w:tab/>
        <w:t>“The Canon of Medicine” by Avicenna.  A 5 vol. encyclopedia of medicine.</w:t>
      </w:r>
    </w:p>
    <w:p w14:paraId="791CFA78" w14:textId="77777777" w:rsidR="00625A5B" w:rsidRPr="008F03E5" w:rsidRDefault="00625A5B" w:rsidP="00330DB9">
      <w:pPr>
        <w:pStyle w:val="Translit"/>
      </w:pPr>
      <w:r w:rsidRPr="008F03E5">
        <w:t>Qanun, Qawanin</w:t>
      </w:r>
      <w:r w:rsidRPr="008F03E5">
        <w:tab/>
        <w:t>Qánún, pl. Qawánín</w:t>
      </w:r>
      <w:r w:rsidRPr="008F03E5">
        <w:tab/>
        <w:t>canon; established principle, basic rule, axiom, norm, regulation, rule, ordinance, prescript, precept, statute; law; code; tax, impost</w:t>
      </w:r>
    </w:p>
    <w:p w14:paraId="67C1C002" w14:textId="77777777" w:rsidR="00625A5B" w:rsidRPr="008F03E5" w:rsidRDefault="00625A5B" w:rsidP="00215EA5">
      <w:pPr>
        <w:pStyle w:val="Translit"/>
      </w:pPr>
      <w:r w:rsidRPr="008F03E5">
        <w:t>Qapu</w:t>
      </w:r>
      <w:r w:rsidRPr="008F03E5">
        <w:tab/>
        <w:t>Qápú</w:t>
      </w:r>
      <w:r w:rsidRPr="008F03E5">
        <w:tab/>
        <w:t>Azerbaijani, gate.  ‘Álí Qápú Palace is an imperial palace in Iṣfahán.</w:t>
      </w:r>
    </w:p>
    <w:p w14:paraId="0EEFF4A8" w14:textId="77777777" w:rsidR="00625A5B" w:rsidRPr="008F03E5" w:rsidRDefault="00625A5B" w:rsidP="00216192">
      <w:pPr>
        <w:pStyle w:val="Translit"/>
      </w:pPr>
      <w:r w:rsidRPr="008F03E5">
        <w:t>Qara (Ghara)</w:t>
      </w:r>
      <w:r w:rsidRPr="008F03E5">
        <w:tab/>
        <w:t>Qará</w:t>
      </w:r>
      <w:r w:rsidRPr="008F03E5">
        <w:tab/>
        <w:t>Turkish</w:t>
      </w:r>
      <w:r>
        <w:t xml:space="preserve">. </w:t>
      </w:r>
      <w:r w:rsidRPr="008F03E5">
        <w:t xml:space="preserve"> black</w:t>
      </w:r>
    </w:p>
    <w:p w14:paraId="26898209" w14:textId="77777777" w:rsidR="00625A5B" w:rsidRPr="008F03E5" w:rsidRDefault="00625A5B" w:rsidP="005850F8">
      <w:pPr>
        <w:pStyle w:val="Translit"/>
      </w:pPr>
      <w:r>
        <w:t xml:space="preserve">Qarab, </w:t>
      </w:r>
      <w:r w:rsidRPr="008F03E5">
        <w:t>Qaraba</w:t>
      </w:r>
      <w:r w:rsidRPr="008F03E5">
        <w:tab/>
      </w:r>
      <w:r>
        <w:t xml:space="preserve">Qarab, fem. </w:t>
      </w:r>
      <w:r w:rsidRPr="008F03E5">
        <w:t>Qarába[h or t]</w:t>
      </w:r>
      <w:r w:rsidRPr="008F03E5">
        <w:tab/>
      </w:r>
      <w:r>
        <w:t>(pl. fem. q</w:t>
      </w:r>
      <w:r w:rsidRPr="008F03E5">
        <w:t>aráb</w:t>
      </w:r>
      <w:r w:rsidRPr="005850F8">
        <w:t>á</w:t>
      </w:r>
      <w:r>
        <w:t xml:space="preserve">t) near; fem. </w:t>
      </w:r>
      <w:r w:rsidRPr="008F03E5">
        <w:t>relation, relationship, kinship.  Súrih of Qarábat by the Báb</w:t>
      </w:r>
    </w:p>
    <w:p w14:paraId="044E652C" w14:textId="77777777" w:rsidR="00625A5B" w:rsidRPr="008F03E5" w:rsidRDefault="00625A5B" w:rsidP="00321270">
      <w:pPr>
        <w:pStyle w:val="Translit"/>
      </w:pPr>
      <w:r w:rsidRPr="008F03E5">
        <w:t>Qarabagh, Qarah Bagh</w:t>
      </w:r>
      <w:r w:rsidRPr="008F03E5">
        <w:tab/>
        <w:t>Qarabá</w:t>
      </w:r>
      <w:r w:rsidRPr="008F03E5">
        <w:rPr>
          <w:u w:val="single"/>
        </w:rPr>
        <w:t>gh</w:t>
      </w:r>
      <w:r w:rsidRPr="008F03E5">
        <w:t xml:space="preserve"> (Qarah Bá</w:t>
      </w:r>
      <w:r w:rsidRPr="008F03E5">
        <w:rPr>
          <w:u w:val="single"/>
        </w:rPr>
        <w:t>gh</w:t>
      </w:r>
      <w:r w:rsidRPr="008F03E5">
        <w:t>)</w:t>
      </w:r>
      <w:r w:rsidRPr="008F03E5">
        <w:tab/>
        <w:t xml:space="preserve">district 56 km </w:t>
      </w:r>
      <w:r w:rsidRPr="008F03E5">
        <w:rPr>
          <w:sz w:val="16"/>
          <w:szCs w:val="16"/>
        </w:rPr>
        <w:t>SW</w:t>
      </w:r>
      <w:r w:rsidRPr="008F03E5">
        <w:t xml:space="preserve"> of </w:t>
      </w:r>
      <w:r w:rsidRPr="008F03E5">
        <w:rPr>
          <w:u w:val="single"/>
        </w:rPr>
        <w:t>Gh</w:t>
      </w:r>
      <w:r w:rsidRPr="008F03E5">
        <w:t xml:space="preserve">azní, 128 km </w:t>
      </w:r>
      <w:r w:rsidRPr="008F03E5">
        <w:rPr>
          <w:sz w:val="16"/>
          <w:szCs w:val="16"/>
        </w:rPr>
        <w:t>SW</w:t>
      </w:r>
      <w:r w:rsidRPr="008F03E5">
        <w:t xml:space="preserve"> of Kabul, in eastern Afghanistan.  Alternative is Qarábá</w:t>
      </w:r>
      <w:r w:rsidRPr="008F03E5">
        <w:rPr>
          <w:u w:val="single"/>
        </w:rPr>
        <w:t>gh</w:t>
      </w:r>
      <w:r w:rsidRPr="008F03E5">
        <w:t xml:space="preserve"> (“black garden”, Azerbaijani)/Karabakh (Amenian), a geographic region in eastern Armenia and </w:t>
      </w:r>
      <w:r w:rsidRPr="008F03E5">
        <w:rPr>
          <w:sz w:val="16"/>
          <w:szCs w:val="16"/>
        </w:rPr>
        <w:t>SW</w:t>
      </w:r>
      <w:r w:rsidRPr="008F03E5">
        <w:t xml:space="preserve"> Azerbaijan.</w:t>
      </w:r>
    </w:p>
    <w:p w14:paraId="4E8BEA8D" w14:textId="77777777" w:rsidR="00625A5B" w:rsidRPr="008F03E5" w:rsidRDefault="00625A5B" w:rsidP="00654E94">
      <w:pPr>
        <w:pStyle w:val="Translit"/>
      </w:pPr>
      <w:r w:rsidRPr="008F03E5">
        <w:t>Qarad</w:t>
      </w:r>
      <w:r w:rsidRPr="008F03E5">
        <w:tab/>
        <w:t>Qarad</w:t>
      </w:r>
      <w:r w:rsidRPr="008F03E5">
        <w:tab/>
        <w:t xml:space="preserve">Pers. being corroded, worm-eaten (leather); being silent (especially from an impediment in speech); being crisp and curly (hair); being matted and impacted (wool); palm-branches stripped of their leaves; being small (teeth); being spoiled in flavour; tautology.  Ar. “monkey”.  Skirmish of </w:t>
      </w:r>
      <w:r w:rsidRPr="008F03E5">
        <w:rPr>
          <w:u w:val="single"/>
        </w:rPr>
        <w:t>Dh</w:t>
      </w:r>
      <w:r w:rsidRPr="008F03E5">
        <w:t>ú Qarad (a reservoir or well, skirmish also named al-</w:t>
      </w:r>
      <w:r w:rsidRPr="008F03E5">
        <w:rPr>
          <w:u w:val="single"/>
        </w:rPr>
        <w:t>Gh</w:t>
      </w:r>
      <w:r w:rsidRPr="008F03E5">
        <w:t xml:space="preserve">ábah, possibly 24.562517, 39.606828) three days before the battle of </w:t>
      </w:r>
      <w:r w:rsidRPr="008F03E5">
        <w:rPr>
          <w:u w:val="single"/>
        </w:rPr>
        <w:t>Kh</w:t>
      </w:r>
      <w:r w:rsidRPr="008F03E5">
        <w:t>aybar.  Located just north of Medina.</w:t>
      </w:r>
    </w:p>
    <w:p w14:paraId="68B20B72" w14:textId="77777777" w:rsidR="00625A5B" w:rsidRPr="008F03E5" w:rsidRDefault="00625A5B" w:rsidP="00134F5C">
      <w:pPr>
        <w:pStyle w:val="Translit"/>
      </w:pPr>
      <w:r w:rsidRPr="008F03E5">
        <w:t>Qarad, Qarrad</w:t>
      </w:r>
      <w:r w:rsidRPr="008F03E5">
        <w:tab/>
        <w:t>Qarád (</w:t>
      </w:r>
      <w:r w:rsidRPr="008F03E5">
        <w:rPr>
          <w:rtl/>
        </w:rPr>
        <w:t>قراد</w:t>
      </w:r>
      <w:r w:rsidRPr="008F03E5">
        <w:t>)</w:t>
      </w:r>
      <w:r w:rsidRPr="008F03E5">
        <w:tab/>
        <w:t>possibly should be qarrád (</w:t>
      </w:r>
      <w:r w:rsidRPr="008F03E5">
        <w:rPr>
          <w:rtl/>
        </w:rPr>
        <w:t>قرّاد</w:t>
      </w:r>
      <w:r w:rsidRPr="008F03E5">
        <w:t>), “a keeper or trainer of monkeys”; or qurád (</w:t>
      </w:r>
      <w:r w:rsidRPr="008F03E5">
        <w:rPr>
          <w:rtl/>
        </w:rPr>
        <w:t>قراد</w:t>
      </w:r>
      <w:r w:rsidRPr="008F03E5">
        <w:t>), “tick”</w:t>
      </w:r>
    </w:p>
    <w:p w14:paraId="116E07A8" w14:textId="77777777" w:rsidR="00625A5B" w:rsidRPr="008F03E5" w:rsidRDefault="00625A5B" w:rsidP="00900A82">
      <w:pPr>
        <w:pStyle w:val="Translit"/>
      </w:pPr>
      <w:r w:rsidRPr="008F03E5">
        <w:t>Qara-Gawhar, Qara-Guhar</w:t>
      </w:r>
      <w:r w:rsidRPr="008F03E5">
        <w:tab/>
        <w:t>Qará-Gawhar, Qará-Guhar</w:t>
      </w:r>
      <w:r w:rsidRPr="008F03E5">
        <w:tab/>
        <w:t>“Black pearl or gem”, name given to a 51 kg chain, one of two dreadful chains (the other was Salásil) placed on Bahá’u’lláh in the Black Pit of Ṭihrán.  See s</w:t>
      </w:r>
      <w:r w:rsidRPr="008F03E5">
        <w:rPr>
          <w:rFonts w:eastAsia="PMingLiU"/>
          <w:lang w:eastAsia="zh-TW"/>
        </w:rPr>
        <w:t xml:space="preserve">ilsila and </w:t>
      </w:r>
      <w:r w:rsidRPr="008F03E5">
        <w:t>síyáh-</w:t>
      </w:r>
      <w:r w:rsidRPr="008F03E5">
        <w:rPr>
          <w:u w:val="single"/>
        </w:rPr>
        <w:t>ch</w:t>
      </w:r>
      <w:r w:rsidRPr="008F03E5">
        <w:t>ál</w:t>
      </w:r>
      <w:r>
        <w:t>.</w:t>
      </w:r>
    </w:p>
    <w:p w14:paraId="45287972" w14:textId="77777777" w:rsidR="00625A5B" w:rsidRPr="008F03E5" w:rsidRDefault="00625A5B" w:rsidP="00B60170">
      <w:pPr>
        <w:pStyle w:val="Translit"/>
      </w:pPr>
      <w:r w:rsidRPr="008F03E5">
        <w:t>Qaraguzlu, Qarah-Guzlu, Karagozlu</w:t>
      </w:r>
      <w:r w:rsidRPr="008F03E5">
        <w:tab/>
        <w:t>Qaraguzlú, Qarah-Guzlú, Karagözlú</w:t>
      </w:r>
      <w:r w:rsidRPr="008F03E5">
        <w:tab/>
        <w:t>T. “black-eyed”.  Turkish tribe, a large number live in Hamadán.</w:t>
      </w:r>
    </w:p>
    <w:p w14:paraId="3CC7D3D8" w14:textId="77777777" w:rsidR="00625A5B" w:rsidRPr="008F03E5" w:rsidRDefault="00625A5B" w:rsidP="00BD21D8">
      <w:pPr>
        <w:pStyle w:val="Translit"/>
      </w:pPr>
      <w:r w:rsidRPr="008F03E5">
        <w:t>Qarah Darrah</w:t>
      </w:r>
      <w:r w:rsidRPr="008F03E5">
        <w:tab/>
        <w:t>Qarah Darrah</w:t>
      </w:r>
      <w:r w:rsidRPr="008F03E5">
        <w:tab/>
        <w:t>a village in Khuristan, Zanjan or Fars Provinces</w:t>
      </w:r>
    </w:p>
    <w:p w14:paraId="5916DF9B" w14:textId="77777777" w:rsidR="00625A5B" w:rsidRPr="008F03E5" w:rsidRDefault="00625A5B" w:rsidP="00796194">
      <w:pPr>
        <w:pStyle w:val="Translit"/>
      </w:pPr>
      <w:r w:rsidRPr="008F03E5">
        <w:t>Qarah Tabbah</w:t>
      </w:r>
      <w:r w:rsidRPr="008F03E5">
        <w:tab/>
        <w:t>Qarah Tabbah</w:t>
      </w:r>
      <w:r w:rsidRPr="008F03E5">
        <w:tab/>
        <w:t xml:space="preserve">(“Qarah Tapah”, “Qarih-Tapih”) town in Iraq 28 km </w:t>
      </w:r>
      <w:r w:rsidRPr="008F03E5">
        <w:rPr>
          <w:sz w:val="16"/>
          <w:szCs w:val="16"/>
        </w:rPr>
        <w:t>NNW</w:t>
      </w:r>
      <w:r w:rsidRPr="008F03E5">
        <w:t xml:space="preserve"> of Jalula (Jalawlá) and 68 km </w:t>
      </w:r>
      <w:r w:rsidRPr="008F03E5">
        <w:rPr>
          <w:sz w:val="16"/>
          <w:szCs w:val="16"/>
        </w:rPr>
        <w:t>NSW</w:t>
      </w:r>
      <w:r w:rsidRPr="008F03E5">
        <w:t xml:space="preserve"> of the town of Kifrí.  Bahá’u’lláh passed here enroute to Istanbul.</w:t>
      </w:r>
    </w:p>
    <w:p w14:paraId="5D8D2ADA" w14:textId="77777777" w:rsidR="00625A5B" w:rsidRPr="008F03E5" w:rsidRDefault="00625A5B" w:rsidP="00B60170">
      <w:pPr>
        <w:pStyle w:val="Translit"/>
      </w:pPr>
      <w:r w:rsidRPr="008F03E5">
        <w:t>Qarar, Qararat</w:t>
      </w:r>
      <w:r w:rsidRPr="008F03E5">
        <w:tab/>
        <w:t>Qarár, pl. Qarárát</w:t>
      </w:r>
      <w:r w:rsidRPr="008F03E5">
        <w:tab/>
        <w:t>sedentariness, fixedness, fixity; firmness, solidity; steadiness, constancy, continuance, permanency, stability; repose, rest, stillness; duration; abode, dwelling, habitation; residence; resting place; bottom (e.g., of a receptacle); depth (of the sea);—pl., decision, resolution</w:t>
      </w:r>
    </w:p>
    <w:p w14:paraId="0BB1DC78" w14:textId="77777777" w:rsidR="00625A5B" w:rsidRPr="008F03E5" w:rsidRDefault="00625A5B" w:rsidP="00B60170">
      <w:pPr>
        <w:pStyle w:val="Translit"/>
      </w:pPr>
      <w:r w:rsidRPr="008F03E5">
        <w:t>Qarasha (Qarsh)</w:t>
      </w:r>
      <w:r w:rsidRPr="008F03E5">
        <w:tab/>
        <w:t>Qara</w:t>
      </w:r>
      <w:r w:rsidRPr="008F03E5">
        <w:rPr>
          <w:u w:val="single"/>
        </w:rPr>
        <w:t>sh</w:t>
      </w:r>
      <w:r w:rsidRPr="008F03E5">
        <w:t>a (Qar</w:t>
      </w:r>
      <w:r w:rsidRPr="008F03E5">
        <w:rPr>
          <w:u w:val="single"/>
        </w:rPr>
        <w:t>sh</w:t>
      </w:r>
      <w:r w:rsidRPr="008F03E5">
        <w:t>)</w:t>
      </w:r>
      <w:r w:rsidRPr="008F03E5">
        <w:tab/>
        <w:t>to gnash, grind (one’s teeth); to nibble, crunch, chew (something).  Derivatives Qir</w:t>
      </w:r>
      <w:r w:rsidRPr="008F03E5">
        <w:rPr>
          <w:u w:val="single"/>
        </w:rPr>
        <w:t>sh</w:t>
      </w:r>
      <w:r w:rsidRPr="008F03E5">
        <w:t xml:space="preserve"> and Quray</w:t>
      </w:r>
      <w:r w:rsidRPr="008F03E5">
        <w:rPr>
          <w:u w:val="single"/>
        </w:rPr>
        <w:t>sh</w:t>
      </w:r>
      <w:r w:rsidRPr="008F03E5">
        <w:t>.</w:t>
      </w:r>
    </w:p>
    <w:p w14:paraId="416390F4" w14:textId="77777777" w:rsidR="00625A5B" w:rsidRDefault="00625A5B" w:rsidP="00C2762B">
      <w:pPr>
        <w:pStyle w:val="Translit"/>
      </w:pPr>
      <w:r w:rsidRPr="008F03E5">
        <w:t>Qard</w:t>
      </w:r>
      <w:r>
        <w:t xml:space="preserve"> (Qadh)</w:t>
      </w:r>
      <w:r w:rsidRPr="008F03E5">
        <w:t>, Qird, Qurud</w:t>
      </w:r>
      <w:r w:rsidRPr="008F03E5">
        <w:tab/>
        <w:t>Qarḍ (Qirḍ), pl. Qurúḍ</w:t>
      </w:r>
      <w:r w:rsidRPr="008F03E5">
        <w:tab/>
      </w:r>
      <w:r>
        <w:t>loan; “</w:t>
      </w:r>
      <w:r w:rsidRPr="00C2762B">
        <w:t>to cut</w:t>
      </w:r>
      <w:r>
        <w:t>”</w:t>
      </w:r>
      <w:r w:rsidRPr="00C2762B">
        <w:t>, because historically the lender cut off part of his or her property to give to the borrower as a loan</w:t>
      </w:r>
    </w:p>
    <w:p w14:paraId="23BCC4AC" w14:textId="77777777" w:rsidR="00625A5B" w:rsidRPr="008F03E5" w:rsidRDefault="00625A5B" w:rsidP="00C2762B">
      <w:pPr>
        <w:pStyle w:val="Translit"/>
      </w:pPr>
      <w:r>
        <w:t>Q</w:t>
      </w:r>
      <w:r w:rsidRPr="008F03E5">
        <w:t>arḍ</w:t>
      </w:r>
      <w:r>
        <w:t xml:space="preserve"> al-</w:t>
      </w:r>
      <w:r w:rsidRPr="008F03E5">
        <w:t>Ḥasan</w:t>
      </w:r>
      <w:r>
        <w:tab/>
        <w:t>Q</w:t>
      </w:r>
      <w:r w:rsidRPr="008F03E5">
        <w:t>arḍ</w:t>
      </w:r>
      <w:r>
        <w:t xml:space="preserve"> al-</w:t>
      </w:r>
      <w:r w:rsidRPr="008F03E5">
        <w:t>Ḥasa</w:t>
      </w:r>
      <w:r w:rsidRPr="00C2762B">
        <w:t>n</w:t>
      </w:r>
      <w:r w:rsidRPr="00C2762B">
        <w:tab/>
        <w:t xml:space="preserve">benevolent lending; </w:t>
      </w:r>
      <w:r w:rsidRPr="008F03E5">
        <w:t xml:space="preserve">interest-free loan with unstipulated due date (repaid at the pleasure of the borrower).  Hence, can be translated as a loan that is a good deed or charitable act.  </w:t>
      </w:r>
      <w:r w:rsidRPr="00C2762B">
        <w:t>Ḥasan is derived from Iḥsán</w:t>
      </w:r>
      <w:r>
        <w:t xml:space="preserve"> (“</w:t>
      </w:r>
      <w:r w:rsidRPr="00C2762B">
        <w:t>splendid or beautifu</w:t>
      </w:r>
      <w:r>
        <w:t xml:space="preserve">l”).  </w:t>
      </w:r>
      <w:r w:rsidRPr="008F03E5">
        <w:t>T</w:t>
      </w:r>
      <w:r>
        <w:t>erm is t</w:t>
      </w:r>
      <w:r w:rsidRPr="008F03E5">
        <w:t xml:space="preserve">ranslated as “loan on benevolent terms” in </w:t>
      </w:r>
      <w:r w:rsidRPr="008F03E5">
        <w:rPr>
          <w:i/>
          <w:iCs/>
        </w:rPr>
        <w:t>Tablets of Bahá’u’lláh</w:t>
      </w:r>
      <w:r w:rsidRPr="008F03E5">
        <w:t>, p. 132.</w:t>
      </w:r>
    </w:p>
    <w:p w14:paraId="1BD1C0C5" w14:textId="77777777" w:rsidR="00625A5B" w:rsidRDefault="00625A5B" w:rsidP="007B1CD3">
      <w:pPr>
        <w:pStyle w:val="Translit"/>
      </w:pPr>
      <w:r>
        <w:t>Qarh, Qarha, Quruh, Qirah</w:t>
      </w:r>
      <w:r>
        <w:tab/>
        <w:t>Q</w:t>
      </w:r>
      <w:r w:rsidRPr="007B1CD3">
        <w:t>arḥ</w:t>
      </w:r>
      <w:r>
        <w:t>,</w:t>
      </w:r>
      <w:r w:rsidRPr="007B1CD3">
        <w:t xml:space="preserve"> pl. </w:t>
      </w:r>
      <w:r>
        <w:t>Q</w:t>
      </w:r>
      <w:r w:rsidRPr="007B1CD3">
        <w:t>ur</w:t>
      </w:r>
      <w:r>
        <w:t>ú</w:t>
      </w:r>
      <w:r w:rsidRPr="007B1CD3">
        <w:t>ḥ</w:t>
      </w:r>
      <w:r>
        <w:tab/>
        <w:t xml:space="preserve">(fem. </w:t>
      </w:r>
      <w:r w:rsidRPr="007B1CD3">
        <w:t>qarḥa</w:t>
      </w:r>
      <w:r>
        <w:t>,</w:t>
      </w:r>
      <w:r w:rsidRPr="007B1CD3">
        <w:t xml:space="preserve"> pl. qiraḥ</w:t>
      </w:r>
      <w:r>
        <w:t>)</w:t>
      </w:r>
      <w:r w:rsidRPr="007B1CD3">
        <w:t xml:space="preserve"> ulcer, sore; abscess, boil</w:t>
      </w:r>
    </w:p>
    <w:p w14:paraId="58DD0794" w14:textId="77777777" w:rsidR="00625A5B" w:rsidRPr="008F03E5" w:rsidRDefault="00625A5B" w:rsidP="00B60170">
      <w:pPr>
        <w:pStyle w:val="Translit"/>
      </w:pPr>
      <w:r w:rsidRPr="008F03E5">
        <w:t>Qari’, Qari’un, Qurra’</w:t>
      </w:r>
      <w:r w:rsidRPr="008F03E5">
        <w:tab/>
        <w:t>Qári’, pl. Qári’ún, Qurrá’</w:t>
      </w:r>
      <w:r w:rsidRPr="008F03E5">
        <w:tab/>
        <w:t>intoner, reciter or reader (especially of the Qur’án); the appointed time (of anything, especially of a periodical wind to blow); devout, pure, holy</w:t>
      </w:r>
    </w:p>
    <w:p w14:paraId="32789394" w14:textId="77777777" w:rsidR="00625A5B" w:rsidRPr="008F03E5" w:rsidRDefault="00625A5B" w:rsidP="00461BFD">
      <w:pPr>
        <w:pStyle w:val="Translit"/>
      </w:pPr>
      <w:r w:rsidRPr="008F03E5">
        <w:t>Qari’a, Qawari’</w:t>
      </w:r>
      <w:r w:rsidRPr="008F03E5">
        <w:tab/>
        <w:t>Qári‘a[h], pl. Qawári‘</w:t>
      </w:r>
      <w:r w:rsidRPr="008F03E5">
        <w:tab/>
        <w:t>(sudden) misfortune, calamity; adversity.  al Qári‘ah, the Great Calamity, Súra 101.</w:t>
      </w:r>
    </w:p>
    <w:p w14:paraId="56C2744C" w14:textId="77777777" w:rsidR="00625A5B" w:rsidRPr="008F03E5" w:rsidRDefault="00625A5B" w:rsidP="00231E9A">
      <w:pPr>
        <w:pStyle w:val="Translit"/>
      </w:pPr>
      <w:r w:rsidRPr="008F03E5">
        <w:t>Qarin</w:t>
      </w:r>
      <w:r w:rsidRPr="008F03E5">
        <w:tab/>
        <w:t>Qarín, pl. Quraná’</w:t>
      </w:r>
      <w:r w:rsidRPr="008F03E5">
        <w:tab/>
        <w:t>connected, joined, linked, combined, united, associated, affiliated; companion, mate, fellow, associate, comrade; husband, spouse, consort</w:t>
      </w:r>
    </w:p>
    <w:p w14:paraId="7CF47826" w14:textId="77777777" w:rsidR="00625A5B" w:rsidRPr="008F03E5" w:rsidRDefault="00625A5B" w:rsidP="00E568BC">
      <w:pPr>
        <w:pStyle w:val="Translit"/>
      </w:pPr>
      <w:r w:rsidRPr="008F03E5">
        <w:t>Qarmat</w:t>
      </w:r>
      <w:r w:rsidRPr="008F03E5">
        <w:tab/>
        <w:t>Qarmaṭ</w:t>
      </w:r>
      <w:r w:rsidRPr="008F03E5">
        <w:tab/>
        <w:t>“to make the lines close together in writing” or “to walk with short steps”.  See muqarmaṭ</w:t>
      </w:r>
    </w:p>
    <w:p w14:paraId="49B24343" w14:textId="77777777" w:rsidR="00625A5B" w:rsidRPr="008F03E5" w:rsidRDefault="00625A5B" w:rsidP="00BB42D3">
      <w:pPr>
        <w:pStyle w:val="Translit"/>
      </w:pPr>
      <w:r w:rsidRPr="008F03E5">
        <w:t>Qarmati, Qaramita</w:t>
      </w:r>
      <w:r w:rsidRPr="008F03E5">
        <w:tab/>
        <w:t>Qarmaṭí, pl. Qarámiṭa[t]</w:t>
      </w:r>
      <w:r w:rsidRPr="008F03E5">
        <w:tab/>
        <w:t xml:space="preserve">Carmathian, Qarmathian or Karmathian; members of a very fanatic and syncretic branch of Sevener Ismá‘ílí </w:t>
      </w:r>
      <w:r w:rsidRPr="008F03E5">
        <w:rPr>
          <w:u w:val="single"/>
        </w:rPr>
        <w:t>Sh</w:t>
      </w:r>
      <w:r w:rsidRPr="008F03E5">
        <w:t xml:space="preserve">í‘á Islám.  Mubárak, was an accomplished calligrapher, excelling in a názuk style known as </w:t>
      </w:r>
      <w:r w:rsidRPr="008F03E5">
        <w:rPr>
          <w:i/>
          <w:iCs/>
        </w:rPr>
        <w:t>muqarmaṭ</w:t>
      </w:r>
      <w:r w:rsidRPr="008F03E5">
        <w:t>.  For that reason he was entitled Muqarmaṭwayh.  Thus the appellation Qarmaṭí and its westernized form, Carmathian, are derived from the muqarmaṭ style of calligraphy.  People accepting the teachings of ‘Abdu’lláh ibn Maymún and Mubárak were called Mubárakís or Qarmaṭís (of the Qarmaṭíya sect).  Names of other founders have been suggested.</w:t>
      </w:r>
    </w:p>
    <w:p w14:paraId="56CB4C1D" w14:textId="77777777" w:rsidR="00625A5B" w:rsidRPr="008F03E5" w:rsidRDefault="00625A5B" w:rsidP="00231E9A">
      <w:pPr>
        <w:pStyle w:val="Translit"/>
      </w:pPr>
      <w:r w:rsidRPr="008F03E5">
        <w:t>Qarn, Qurun</w:t>
      </w:r>
      <w:r w:rsidRPr="008F03E5">
        <w:tab/>
        <w:t>Qarn, pl. Qurún</w:t>
      </w:r>
      <w:r w:rsidRPr="008F03E5">
        <w:tab/>
        <w:t>horn (of an animal; as a wind instrument); feeler, tentacle, antenna; top, summit, peak (of a mountain); the first visible part of the rising sun; capsule, pod (botany); century.  See qirán.</w:t>
      </w:r>
    </w:p>
    <w:p w14:paraId="5033C828" w14:textId="77777777" w:rsidR="00625A5B" w:rsidRPr="008F03E5" w:rsidRDefault="00625A5B" w:rsidP="00FF2335">
      <w:pPr>
        <w:pStyle w:val="Translit"/>
      </w:pPr>
      <w:r w:rsidRPr="008F03E5">
        <w:t>Qarshi</w:t>
      </w:r>
      <w:r w:rsidRPr="008F03E5">
        <w:tab/>
        <w:t>Qar</w:t>
      </w:r>
      <w:r w:rsidRPr="008F03E5">
        <w:rPr>
          <w:u w:val="single"/>
        </w:rPr>
        <w:t>sh</w:t>
      </w:r>
      <w:r w:rsidRPr="008F03E5">
        <w:t>í</w:t>
      </w:r>
      <w:r w:rsidRPr="008F03E5">
        <w:tab/>
        <w:t xml:space="preserve">(Uzbek; Persian: </w:t>
      </w:r>
      <w:r w:rsidRPr="008F03E5">
        <w:rPr>
          <w:cs/>
        </w:rPr>
        <w:t>‎</w:t>
      </w:r>
      <w:r w:rsidRPr="008F03E5">
        <w:t>Na</w:t>
      </w:r>
      <w:r w:rsidRPr="008F03E5">
        <w:rPr>
          <w:u w:val="single"/>
        </w:rPr>
        <w:t>khsh</w:t>
      </w:r>
      <w:r w:rsidRPr="008F03E5">
        <w:t>ab; Russian:  Karshi) is a city in southern Uzbekistan.  Originally the Sogdian city of Nakhshab, and the Islamic Uzbek (Turkic) city of Nasaf, and the Mongol city of Qarshi (pronounced Kharsh), Qarshi was the second city of the Emirate of Bukhara.</w:t>
      </w:r>
    </w:p>
    <w:p w14:paraId="6D927547" w14:textId="77777777" w:rsidR="00625A5B" w:rsidRPr="008F03E5" w:rsidRDefault="00625A5B" w:rsidP="00751541">
      <w:pPr>
        <w:pStyle w:val="Translit"/>
      </w:pPr>
      <w:r w:rsidRPr="008F03E5">
        <w:t>Qarun</w:t>
      </w:r>
      <w:r w:rsidRPr="008F03E5">
        <w:tab/>
        <w:t>Qárún</w:t>
      </w:r>
      <w:r w:rsidRPr="008F03E5">
        <w:tab/>
        <w:t xml:space="preserve">mentioned in the Qur’án, believed to be the son of Moses’ paternal uncle, the Korah (Korah son of Esau or </w:t>
      </w:r>
      <w:r w:rsidRPr="008F03E5">
        <w:rPr>
          <w:lang w:eastAsia="en-US"/>
        </w:rPr>
        <w:t xml:space="preserve">Korah son of Izhar?) </w:t>
      </w:r>
      <w:r w:rsidRPr="008F03E5">
        <w:t>of the Old Testament, and proverbial for his wealth and avarice.</w:t>
      </w:r>
    </w:p>
    <w:p w14:paraId="26AA2153" w14:textId="77777777" w:rsidR="00625A5B" w:rsidRPr="008F03E5" w:rsidRDefault="00625A5B" w:rsidP="008D70FE">
      <w:pPr>
        <w:pStyle w:val="Translit"/>
      </w:pPr>
      <w:r w:rsidRPr="008F03E5">
        <w:t>Qarya, Quran</w:t>
      </w:r>
      <w:r w:rsidRPr="008F03E5">
        <w:tab/>
        <w:t>Qarya[h or t], pl. Quran, Pers. Qurá</w:t>
      </w:r>
      <w:r w:rsidRPr="008F03E5">
        <w:tab/>
        <w:t>village; hamlet; small town; rural community</w:t>
      </w:r>
    </w:p>
    <w:p w14:paraId="67CD42A5" w14:textId="77777777" w:rsidR="00625A5B" w:rsidRPr="008F03E5" w:rsidRDefault="00625A5B" w:rsidP="00EC7A14">
      <w:pPr>
        <w:pStyle w:val="Translit"/>
      </w:pPr>
      <w:r w:rsidRPr="008F03E5">
        <w:t>Qasa (Qais, Qays, Qiyas)</w:t>
      </w:r>
      <w:r w:rsidRPr="008F03E5">
        <w:tab/>
        <w:t>Qása (Qais, Qays, Qiyás)</w:t>
      </w:r>
      <w:r w:rsidRPr="008F03E5">
        <w:tab/>
        <w:t>to measure, gauge</w:t>
      </w:r>
    </w:p>
    <w:p w14:paraId="48829772" w14:textId="77777777" w:rsidR="00625A5B" w:rsidRPr="00077779" w:rsidRDefault="00625A5B" w:rsidP="00427B75">
      <w:pPr>
        <w:pStyle w:val="Translit"/>
        <w:rPr>
          <w:lang w:val="pl-PL"/>
        </w:rPr>
      </w:pPr>
      <w:r w:rsidRPr="001457C8">
        <w:rPr>
          <w:lang w:val="pl-PL"/>
        </w:rPr>
        <w:t>Qasam (Kasam, Kassam), Aqsam</w:t>
      </w:r>
      <w:r w:rsidRPr="001457C8">
        <w:rPr>
          <w:lang w:val="pl-PL"/>
        </w:rPr>
        <w:tab/>
        <w:t xml:space="preserve">Qasam, pl. </w:t>
      </w:r>
      <w:r w:rsidRPr="00077779">
        <w:rPr>
          <w:lang w:val="pl-PL"/>
        </w:rPr>
        <w:t>Aqsám</w:t>
      </w:r>
      <w:r w:rsidRPr="00077779">
        <w:rPr>
          <w:lang w:val="pl-PL"/>
        </w:rPr>
        <w:tab/>
        <w:t>oath</w:t>
      </w:r>
    </w:p>
    <w:p w14:paraId="54F8D2A5" w14:textId="77777777" w:rsidR="00625A5B" w:rsidRPr="008F03E5" w:rsidRDefault="00625A5B" w:rsidP="001E46FD">
      <w:pPr>
        <w:pStyle w:val="Translit"/>
      </w:pPr>
      <w:r w:rsidRPr="00077779">
        <w:rPr>
          <w:lang w:val="pl-PL"/>
        </w:rPr>
        <w:t>Qasas</w:t>
      </w:r>
      <w:r w:rsidRPr="00077779">
        <w:rPr>
          <w:lang w:val="pl-PL"/>
        </w:rPr>
        <w:tab/>
        <w:t>Qaṣaṣ</w:t>
      </w:r>
      <w:r w:rsidRPr="00077779">
        <w:rPr>
          <w:lang w:val="pl-PL"/>
        </w:rPr>
        <w:tab/>
        <w:t xml:space="preserve">clippings, cuttings, chips, snips, shreds, narrative, tale, story.  </w:t>
      </w:r>
      <w:r w:rsidRPr="008F03E5">
        <w:t>Also to relate, narrate, tell (to someone something)</w:t>
      </w:r>
    </w:p>
    <w:p w14:paraId="68B5E2CC" w14:textId="77777777" w:rsidR="00625A5B" w:rsidRPr="008F03E5" w:rsidRDefault="00625A5B" w:rsidP="006C5C48">
      <w:pPr>
        <w:pStyle w:val="Translit"/>
      </w:pPr>
      <w:r w:rsidRPr="008F03E5">
        <w:t>Qasd</w:t>
      </w:r>
      <w:r w:rsidRPr="008F03E5">
        <w:tab/>
        <w:t>Qaṣd</w:t>
      </w:r>
      <w:r w:rsidRPr="008F03E5">
        <w:tab/>
        <w:t>endeavour, aspiration, intention, intent; design, purpose, resolution; object, goal, aim, end; frugality; thrift, economy.  bi’l-qaṣd, on purpose, designedly.</w:t>
      </w:r>
    </w:p>
    <w:p w14:paraId="24CAAAAA" w14:textId="77777777" w:rsidR="00625A5B" w:rsidRPr="008F03E5" w:rsidRDefault="00625A5B" w:rsidP="006C5C48">
      <w:pPr>
        <w:pStyle w:val="Translit"/>
      </w:pPr>
      <w:r w:rsidRPr="008F03E5">
        <w:t>Qashqa’i</w:t>
      </w:r>
      <w:r w:rsidRPr="008F03E5">
        <w:tab/>
        <w:t>Qa</w:t>
      </w:r>
      <w:r w:rsidRPr="008F03E5">
        <w:rPr>
          <w:u w:val="single"/>
        </w:rPr>
        <w:t>sh</w:t>
      </w:r>
      <w:r w:rsidRPr="008F03E5">
        <w:t>qá’í</w:t>
      </w:r>
      <w:r w:rsidRPr="008F03E5">
        <w:tab/>
        <w:t>clans of Turkic ethnic origin</w:t>
      </w:r>
    </w:p>
    <w:p w14:paraId="0E020D95" w14:textId="77777777" w:rsidR="00625A5B" w:rsidRPr="008F03E5" w:rsidRDefault="00625A5B" w:rsidP="001E46FD">
      <w:pPr>
        <w:pStyle w:val="Translit"/>
      </w:pPr>
      <w:r w:rsidRPr="008F03E5">
        <w:t>Qasi, Qusat</w:t>
      </w:r>
      <w:r w:rsidRPr="008F03E5">
        <w:tab/>
        <w:t>Qásí, pl. Qusát</w:t>
      </w:r>
      <w:r w:rsidRPr="008F03E5">
        <w:tab/>
        <w:t>Pers. hard; severe</w:t>
      </w:r>
    </w:p>
    <w:p w14:paraId="7FCFCE17" w14:textId="77777777" w:rsidR="00625A5B" w:rsidRPr="008F03E5" w:rsidRDefault="00625A5B" w:rsidP="00FC772D">
      <w:pPr>
        <w:pStyle w:val="Translit"/>
      </w:pPr>
      <w:r w:rsidRPr="008F03E5">
        <w:t>Qasid</w:t>
      </w:r>
      <w:r w:rsidRPr="008F03E5">
        <w:tab/>
        <w:t>Qaṣíd</w:t>
      </w:r>
      <w:r w:rsidRPr="008F03E5">
        <w:tab/>
        <w:t>aspired, desired, aimed at, intended; faultless, without defects (of a poem)</w:t>
      </w:r>
    </w:p>
    <w:p w14:paraId="622234B3" w14:textId="77777777" w:rsidR="00625A5B" w:rsidRPr="008F03E5" w:rsidRDefault="00625A5B" w:rsidP="00737649">
      <w:pPr>
        <w:pStyle w:val="Translit"/>
      </w:pPr>
      <w:r w:rsidRPr="008F03E5">
        <w:t xml:space="preserve">Qasida </w:t>
      </w:r>
      <w:r>
        <w:t>at-</w:t>
      </w:r>
      <w:r w:rsidRPr="008F03E5">
        <w:t>Ta’iya, Qasidiy-i-Ta’iyyih</w:t>
      </w:r>
      <w:r w:rsidRPr="008F03E5">
        <w:tab/>
        <w:t>al-Qaṣída a</w:t>
      </w:r>
      <w:r>
        <w:t>t</w:t>
      </w:r>
      <w:r w:rsidRPr="008F03E5">
        <w:t>-Tá’íya</w:t>
      </w:r>
      <w:r w:rsidRPr="008F03E5">
        <w:tab/>
      </w:r>
      <w:r>
        <w:t>(</w:t>
      </w:r>
      <w:r w:rsidRPr="008F03E5">
        <w:t>Pers. Qaṣídiy-i-Tá’íyyih</w:t>
      </w:r>
      <w:r>
        <w:t>)</w:t>
      </w:r>
      <w:r w:rsidRPr="008F03E5">
        <w:t xml:space="preserve"> ode with tá’ as the last consonant on each line</w:t>
      </w:r>
    </w:p>
    <w:p w14:paraId="554CA9E4" w14:textId="77777777" w:rsidR="00625A5B" w:rsidRPr="008F03E5" w:rsidRDefault="00625A5B" w:rsidP="007175D3">
      <w:pPr>
        <w:pStyle w:val="Translit"/>
      </w:pPr>
      <w:r w:rsidRPr="00077779">
        <w:t>Qasida Lamiya, Qasidiy-i-Lamiyyih</w:t>
      </w:r>
      <w:r w:rsidRPr="00077779">
        <w:tab/>
        <w:t>al-Qaṣída al-Lámíya</w:t>
      </w:r>
      <w:r w:rsidRPr="00077779">
        <w:tab/>
        <w:t xml:space="preserve">Pers. </w:t>
      </w:r>
      <w:r w:rsidRPr="008F03E5">
        <w:t>Qaṣídiy-i-Lámíyyih, an ode with lám as the last consonant on each line</w:t>
      </w:r>
    </w:p>
    <w:p w14:paraId="791E7B1F" w14:textId="77777777" w:rsidR="00625A5B" w:rsidRPr="008F03E5" w:rsidRDefault="00625A5B" w:rsidP="00033E4B">
      <w:pPr>
        <w:pStyle w:val="Translit"/>
      </w:pPr>
      <w:r w:rsidRPr="008F03E5">
        <w:t>Qasida, Qasa’id (Kasida)</w:t>
      </w:r>
      <w:r w:rsidRPr="008F03E5">
        <w:tab/>
        <w:t>Qaṣída[h], pl. Qaṣá’id</w:t>
      </w:r>
      <w:r w:rsidRPr="008F03E5">
        <w:tab/>
        <w:t xml:space="preserve">“intention”; a poem, or elegy being a kind of longer </w:t>
      </w:r>
      <w:r w:rsidRPr="008F03E5">
        <w:rPr>
          <w:u w:val="single"/>
        </w:rPr>
        <w:t>gh</w:t>
      </w:r>
      <w:r w:rsidRPr="008F03E5">
        <w:t>azal; an ode; a staff, rod; a fat she-camel.  An ancient Arabic poem having, as a rule, a rigid tripartite structure.  The verses have uniform length and rhyme.  Therefore, poems are often named with reference to their end of line rhyming letter, e.g. ‘ayníya, lamíya (ending in the letter lám), Núníya, etc.</w:t>
      </w:r>
    </w:p>
    <w:p w14:paraId="216658AA" w14:textId="77777777" w:rsidR="00625A5B" w:rsidRPr="008F03E5" w:rsidRDefault="00625A5B" w:rsidP="00413A61">
      <w:pPr>
        <w:pStyle w:val="Translit"/>
      </w:pPr>
      <w:r w:rsidRPr="008F03E5">
        <w:t>Qasidah al-Warqa’iya</w:t>
      </w:r>
      <w:r w:rsidRPr="008F03E5">
        <w:tab/>
        <w:t>Qaṣídah al-Warqá’íya</w:t>
      </w:r>
      <w:r w:rsidRPr="008F03E5">
        <w:tab/>
      </w:r>
      <w:bookmarkStart w:id="119" w:name="_Hlk53469177"/>
      <w:r w:rsidRPr="008F03E5">
        <w:t>(Pers. Qaṣídiy-i-Varqá’iyyah, “Qasidiy-i-Varqa’iyyah”) “Ode of the Dove”</w:t>
      </w:r>
      <w:bookmarkEnd w:id="119"/>
      <w:r w:rsidRPr="008F03E5">
        <w:t xml:space="preserve"> by Bahá’u’lláh in Arabic</w:t>
      </w:r>
    </w:p>
    <w:p w14:paraId="6E6423BC" w14:textId="77777777" w:rsidR="00625A5B" w:rsidRPr="008F03E5" w:rsidRDefault="00625A5B" w:rsidP="002639E8">
      <w:pPr>
        <w:pStyle w:val="Translit"/>
      </w:pPr>
      <w:r w:rsidRPr="008F03E5">
        <w:t>Qasim (Qassim)</w:t>
      </w:r>
      <w:r w:rsidRPr="008F03E5">
        <w:tab/>
        <w:t>Qaṣím</w:t>
      </w:r>
      <w:r w:rsidRPr="008F03E5">
        <w:tab/>
        <w:t>easily broken, brittle, fragile.  al-Qaṣím, Saudi Arabian province in the centre of the Arabian peninsula.</w:t>
      </w:r>
    </w:p>
    <w:p w14:paraId="12BBC30F" w14:textId="77777777" w:rsidR="00625A5B" w:rsidRPr="008F03E5" w:rsidRDefault="00625A5B" w:rsidP="003707E8">
      <w:pPr>
        <w:pStyle w:val="Translit"/>
      </w:pPr>
      <w:r w:rsidRPr="008F03E5">
        <w:t>Qasim</w:t>
      </w:r>
      <w:r w:rsidRPr="008F03E5">
        <w:tab/>
        <w:t>Qásim</w:t>
      </w:r>
      <w:r w:rsidRPr="008F03E5">
        <w:tab/>
        <w:t>divider; distributor; divisor, denominator (mathematics).</w:t>
      </w:r>
    </w:p>
    <w:p w14:paraId="4836CF2B" w14:textId="77777777" w:rsidR="00625A5B" w:rsidRPr="008F03E5" w:rsidRDefault="00625A5B" w:rsidP="00B4352A">
      <w:pPr>
        <w:pStyle w:val="Translit"/>
      </w:pPr>
      <w:r w:rsidRPr="008F03E5">
        <w:t>Qasir, Qasira, Qisar, Qisara</w:t>
      </w:r>
      <w:r w:rsidRPr="008F03E5">
        <w:tab/>
        <w:t xml:space="preserve">Qaṣír, fem. </w:t>
      </w:r>
      <w:r w:rsidRPr="001C205F">
        <w:rPr>
          <w:lang w:val="fr-FR"/>
        </w:rPr>
        <w:t xml:space="preserve">Qaṣíra(t), pl. Qiṣár, fem. </w:t>
      </w:r>
      <w:r w:rsidRPr="001C205F">
        <w:rPr>
          <w:lang w:val="fr-FR"/>
        </w:rPr>
        <w:tab/>
      </w:r>
      <w:r w:rsidRPr="008F03E5">
        <w:t>(fem. pl. qiṣára(t)) short; small, short (of stature), low</w:t>
      </w:r>
    </w:p>
    <w:p w14:paraId="79B691B7" w14:textId="77777777" w:rsidR="00625A5B" w:rsidRPr="008F03E5" w:rsidRDefault="00625A5B" w:rsidP="004A6F9A">
      <w:pPr>
        <w:pStyle w:val="Translit"/>
      </w:pPr>
      <w:r w:rsidRPr="008F03E5">
        <w:t>Qasr (1)</w:t>
      </w:r>
      <w:r w:rsidRPr="008F03E5">
        <w:tab/>
        <w:t>Qaṣr</w:t>
      </w:r>
      <w:r w:rsidRPr="008F03E5">
        <w:tab/>
        <w:t>shortness, brevity; smallness; incapability, inability; insufficiency, inadequacy; laxity, slackness, negligence, neglectfulness; indolence, inertness, laziness; shortening, curtailment, abridgment, reduction, diminution; limitation, restriction, confinement (to)</w:t>
      </w:r>
    </w:p>
    <w:p w14:paraId="6C01054D" w14:textId="77777777" w:rsidR="00625A5B" w:rsidRPr="008F03E5" w:rsidRDefault="00625A5B" w:rsidP="00B4352A">
      <w:pPr>
        <w:pStyle w:val="Translit"/>
      </w:pPr>
      <w:r w:rsidRPr="008F03E5">
        <w:t>Qasr (2) (Kassre), Qusur</w:t>
      </w:r>
      <w:r w:rsidRPr="008F03E5">
        <w:tab/>
        <w:t>Qaṣr, pl. Quṣúr</w:t>
      </w:r>
      <w:r w:rsidRPr="008F03E5">
        <w:tab/>
        <w:t xml:space="preserve">castle; palace; palais.  Also a citadel, villa, any imposing building or structure, e.g. Qaṣr Mazra‘ih.  Bahjí (built by ‘Údí </w:t>
      </w:r>
      <w:r w:rsidRPr="008F03E5">
        <w:rPr>
          <w:u w:val="single"/>
        </w:rPr>
        <w:t>Kh</w:t>
      </w:r>
      <w:r w:rsidRPr="008F03E5">
        <w:t>ammár) is sometimes called Qaṣr Bahjí (Mansion of Delight).  Qaṣr al-‘Adlíya (Morocan) palace of justice, courthouse.  Quṣúr also means incapability, inability; insufficiency, inadequacy; deficiency (defect, default), shortcoming, lack; reduction, diminution (falling in price, falling short), decrease; slackness, laxity, negligence, neglectfulness; indolence, inertness, laziness; legal minority; failing; inaccuracy, incorrectness; error, sin, fault.  Hence, “</w:t>
      </w:r>
      <w:r w:rsidRPr="008F03E5">
        <w:rPr>
          <w:i/>
          <w:iCs/>
        </w:rPr>
        <w:t>Dwellest thou in palaces</w:t>
      </w:r>
      <w:r w:rsidRPr="008F03E5">
        <w:t>” in Tablet to Pope Pius IX, SLH p. 54, can also be translated as “Dwellest thou in sin”.</w:t>
      </w:r>
    </w:p>
    <w:p w14:paraId="7E35437F" w14:textId="77777777" w:rsidR="00625A5B" w:rsidRPr="001457C8" w:rsidRDefault="00625A5B" w:rsidP="001367BB">
      <w:pPr>
        <w:pStyle w:val="Translit"/>
        <w:rPr>
          <w:lang w:val="it-IT"/>
        </w:rPr>
      </w:pPr>
      <w:r w:rsidRPr="001457C8">
        <w:rPr>
          <w:lang w:val="it-IT"/>
        </w:rPr>
        <w:t>Qasr-i-Shirin</w:t>
      </w:r>
      <w:r w:rsidRPr="001457C8">
        <w:rPr>
          <w:lang w:val="it-IT"/>
        </w:rPr>
        <w:tab/>
        <w:t>Qaṣr-i-</w:t>
      </w:r>
      <w:r w:rsidRPr="001457C8">
        <w:rPr>
          <w:u w:val="single"/>
          <w:lang w:val="it-IT"/>
        </w:rPr>
        <w:t>Sh</w:t>
      </w:r>
      <w:r w:rsidRPr="001457C8">
        <w:rPr>
          <w:lang w:val="it-IT"/>
        </w:rPr>
        <w:t>írín</w:t>
      </w:r>
      <w:r w:rsidRPr="001457C8">
        <w:rPr>
          <w:lang w:val="it-IT"/>
        </w:rPr>
        <w:tab/>
      </w:r>
    </w:p>
    <w:p w14:paraId="5C6B47F6" w14:textId="77777777" w:rsidR="00625A5B" w:rsidRPr="008F03E5" w:rsidRDefault="00625A5B" w:rsidP="00BB1A42">
      <w:pPr>
        <w:pStyle w:val="Translit"/>
      </w:pPr>
      <w:r w:rsidRPr="008F03E5">
        <w:t>Qass</w:t>
      </w:r>
      <w:r w:rsidRPr="008F03E5">
        <w:tab/>
        <w:t>Qaṣṣ</w:t>
      </w:r>
      <w:r w:rsidRPr="008F03E5">
        <w:tab/>
        <w:t>following (the footsteps of another); shaving, shearing, paring the nails; cutting (the hair); clipping the wings of a bird; bringing one near to death’s door; being on the point of death</w:t>
      </w:r>
    </w:p>
    <w:p w14:paraId="1AB486B4" w14:textId="77777777" w:rsidR="00625A5B" w:rsidRPr="008F03E5" w:rsidRDefault="00625A5B" w:rsidP="00BB1A42">
      <w:pPr>
        <w:pStyle w:val="Translit"/>
      </w:pPr>
      <w:r w:rsidRPr="008F03E5">
        <w:t>Qass, Qiss, Qusus</w:t>
      </w:r>
      <w:r w:rsidRPr="008F03E5">
        <w:tab/>
        <w:t>Qass, Qiss, pl. Qusús, Qusus</w:t>
      </w:r>
      <w:r w:rsidRPr="008F03E5">
        <w:tab/>
        <w:t>priest, presbyter, clergyman, minister, parson, vicar, curate, pastor (Christian)</w:t>
      </w:r>
    </w:p>
    <w:p w14:paraId="1AA0752B" w14:textId="77777777" w:rsidR="00625A5B" w:rsidRPr="008F03E5" w:rsidRDefault="00625A5B" w:rsidP="00D67135">
      <w:pPr>
        <w:pStyle w:val="Translit"/>
      </w:pPr>
      <w:r w:rsidRPr="008F03E5">
        <w:t>Qassab, Qassabchi</w:t>
      </w:r>
      <w:r w:rsidRPr="008F03E5">
        <w:tab/>
        <w:t>Qaṣṣáb</w:t>
      </w:r>
      <w:r w:rsidRPr="008F03E5">
        <w:tab/>
        <w:t>a blower of a flute or a pipe; a butcher.  Qaṣṣáb</w:t>
      </w:r>
      <w:r w:rsidRPr="008F03E5">
        <w:rPr>
          <w:u w:val="single"/>
        </w:rPr>
        <w:t>ch</w:t>
      </w:r>
      <w:r w:rsidRPr="008F03E5">
        <w:t>í (</w:t>
      </w:r>
      <w:r w:rsidRPr="008F03E5">
        <w:rPr>
          <w:u w:val="single"/>
        </w:rPr>
        <w:t>ch</w:t>
      </w:r>
      <w:r w:rsidRPr="008F03E5">
        <w:t>í, Turkish ending indicating geographic location or profession)</w:t>
      </w:r>
    </w:p>
    <w:p w14:paraId="18BBBAEE" w14:textId="77777777" w:rsidR="00625A5B" w:rsidRPr="008F03E5" w:rsidRDefault="00625A5B" w:rsidP="003C664C">
      <w:pPr>
        <w:pStyle w:val="Translit"/>
      </w:pPr>
      <w:r w:rsidRPr="008F03E5">
        <w:t>Qat’i</w:t>
      </w:r>
      <w:r w:rsidRPr="008F03E5">
        <w:tab/>
        <w:t>Qaṭ‘í</w:t>
      </w:r>
      <w:r w:rsidRPr="008F03E5">
        <w:tab/>
        <w:t>decided, definite, positive; final, definitive</w:t>
      </w:r>
    </w:p>
    <w:p w14:paraId="74FEFACC" w14:textId="77777777" w:rsidR="00625A5B" w:rsidRPr="008F03E5" w:rsidRDefault="00625A5B" w:rsidP="00170B44">
      <w:pPr>
        <w:pStyle w:val="Translit"/>
      </w:pPr>
      <w:r w:rsidRPr="008F03E5">
        <w:t>Qat’iya</w:t>
      </w:r>
      <w:r w:rsidRPr="008F03E5">
        <w:tab/>
        <w:t>Qaṭ‘íya</w:t>
      </w:r>
      <w:r w:rsidRPr="008F03E5">
        <w:tab/>
        <w:t>certainty, definiteness, positiveness.  Those who are certain.</w:t>
      </w:r>
    </w:p>
    <w:p w14:paraId="74E8691B" w14:textId="77777777" w:rsidR="00625A5B" w:rsidRPr="008F03E5" w:rsidRDefault="00625A5B" w:rsidP="000476C3">
      <w:pPr>
        <w:pStyle w:val="Translit"/>
      </w:pPr>
      <w:r w:rsidRPr="008F03E5">
        <w:t>Qat’iyan</w:t>
      </w:r>
      <w:r w:rsidRPr="008F03E5">
        <w:tab/>
        <w:t>Qaṭ‘íyan</w:t>
      </w:r>
      <w:r w:rsidRPr="008F03E5">
        <w:tab/>
        <w:t>decidedly, definitely, emphatically, categorically</w:t>
      </w:r>
    </w:p>
    <w:p w14:paraId="13151A89" w14:textId="77777777" w:rsidR="00625A5B" w:rsidRPr="008F03E5" w:rsidRDefault="00625A5B" w:rsidP="00170B44">
      <w:pPr>
        <w:pStyle w:val="Translit"/>
      </w:pPr>
      <w:r w:rsidRPr="008F03E5">
        <w:t>Qatil, Qatla</w:t>
      </w:r>
      <w:r w:rsidRPr="008F03E5">
        <w:tab/>
        <w:t>Qatíl, pl. Qatlá</w:t>
      </w:r>
      <w:r w:rsidRPr="008F03E5">
        <w:tab/>
        <w:t xml:space="preserve">killed; killed in battle, fallen; one killed in battle, casualty.  Qurratu’l-‘Ayn called </w:t>
      </w:r>
      <w:r w:rsidRPr="008F03E5">
        <w:rPr>
          <w:lang w:eastAsia="en-US"/>
        </w:rPr>
        <w:t xml:space="preserve">Sayyid Káẓim “al-Qatíl” (the killed one)—he died in Karbalá in </w:t>
      </w:r>
      <w:r w:rsidRPr="008F03E5">
        <w:rPr>
          <w:sz w:val="16"/>
          <w:szCs w:val="16"/>
        </w:rPr>
        <w:t>SH</w:t>
      </w:r>
      <w:r w:rsidRPr="008F03E5">
        <w:rPr>
          <w:lang w:eastAsia="en-US"/>
        </w:rPr>
        <w:t xml:space="preserve"> 1259/</w:t>
      </w:r>
      <w:r w:rsidRPr="008F03E5">
        <w:rPr>
          <w:sz w:val="16"/>
          <w:szCs w:val="16"/>
        </w:rPr>
        <w:t xml:space="preserve">CE </w:t>
      </w:r>
      <w:r w:rsidRPr="008F03E5">
        <w:rPr>
          <w:lang w:eastAsia="en-US"/>
        </w:rPr>
        <w:t>1843—it is believed he was poisoned.</w:t>
      </w:r>
    </w:p>
    <w:p w14:paraId="2BA7B8A3" w14:textId="77777777" w:rsidR="00625A5B" w:rsidRPr="008F03E5" w:rsidRDefault="00625A5B" w:rsidP="00B63F1A">
      <w:pPr>
        <w:pStyle w:val="Translit"/>
      </w:pPr>
      <w:r w:rsidRPr="008F03E5">
        <w:t>Qatr, Qitar</w:t>
      </w:r>
      <w:r w:rsidRPr="008F03E5">
        <w:tab/>
        <w:t>Qaṭr, pl. Qiṭár</w:t>
      </w:r>
      <w:r w:rsidRPr="008F03E5">
        <w:tab/>
        <w:t>dripping, dribbling, dribble, trickling, trickle;—pl. drops, driblets; rain</w:t>
      </w:r>
    </w:p>
    <w:p w14:paraId="5C6307E6" w14:textId="77777777" w:rsidR="00625A5B" w:rsidRPr="008F03E5" w:rsidRDefault="00625A5B" w:rsidP="00B63F1A">
      <w:pPr>
        <w:pStyle w:val="Translit"/>
      </w:pPr>
      <w:r w:rsidRPr="008F03E5">
        <w:t>Qatra, Qatarat</w:t>
      </w:r>
      <w:r w:rsidRPr="008F03E5">
        <w:tab/>
        <w:t>Qaṭra[h or t], pl. Qaṭarát</w:t>
      </w:r>
      <w:r w:rsidRPr="008F03E5">
        <w:tab/>
        <w:t>(</w:t>
      </w:r>
      <w:r w:rsidRPr="008F03E5">
        <w:rPr>
          <w:i/>
          <w:iCs/>
        </w:rPr>
        <w:t>nomen unitatis</w:t>
      </w:r>
      <w:r w:rsidRPr="008F03E5">
        <w:t xml:space="preserve"> of qaṭr) drop (also as a medicine).</w:t>
      </w:r>
    </w:p>
    <w:p w14:paraId="5E32F5B8" w14:textId="77777777" w:rsidR="00625A5B" w:rsidRPr="008F03E5" w:rsidRDefault="00625A5B" w:rsidP="00674220">
      <w:pPr>
        <w:pStyle w:val="Translit"/>
      </w:pPr>
      <w:r w:rsidRPr="008F03E5">
        <w:t>Qatruya (Qatruyeh), Qatayrat</w:t>
      </w:r>
      <w:r w:rsidRPr="008F03E5">
        <w:tab/>
        <w:t>Qaṭruya[h or t], pl. Qaṭruyát</w:t>
      </w:r>
      <w:r w:rsidRPr="008F03E5">
        <w:tab/>
        <w:t>(diminutive of qaṭrat) droplet, driblet.  Qaṭruyah (Pers. Quṭruyih or “Quṭrih”) is a city (29.146257, 54.701239) 37 km east of Nayríz.</w:t>
      </w:r>
    </w:p>
    <w:p w14:paraId="640974A6" w14:textId="77777777" w:rsidR="00625A5B" w:rsidRPr="008F03E5" w:rsidRDefault="00625A5B" w:rsidP="00AA7196">
      <w:pPr>
        <w:pStyle w:val="Translit"/>
      </w:pPr>
      <w:r w:rsidRPr="008F03E5">
        <w:t>Qawa’id al-‘Aqa’id</w:t>
      </w:r>
      <w:r w:rsidRPr="008F03E5">
        <w:tab/>
        <w:t>Qawá’id al-‘Aqá’id</w:t>
      </w:r>
      <w:r w:rsidRPr="008F03E5">
        <w:tab/>
        <w:t>the ‘foundations of (Islamic) belief’</w:t>
      </w:r>
    </w:p>
    <w:p w14:paraId="59CCF838" w14:textId="77777777" w:rsidR="00625A5B" w:rsidRPr="008F03E5" w:rsidRDefault="00625A5B" w:rsidP="00AE49CD">
      <w:pPr>
        <w:pStyle w:val="Translit"/>
      </w:pPr>
      <w:r w:rsidRPr="008F03E5">
        <w:t>Qawam (Qavam)</w:t>
      </w:r>
      <w:r w:rsidRPr="008F03E5">
        <w:tab/>
        <w:t>Qawám</w:t>
      </w:r>
      <w:r w:rsidRPr="008F03E5">
        <w:tab/>
        <w:t>upright posture, erect bearing; straightness; stature, physique, build, frame; figure, body (of a person); rightness, properness, proper condition, normal state; strength, vigour, stamina; firmness, consistency; support, stay, prop; livelihood, living</w:t>
      </w:r>
    </w:p>
    <w:p w14:paraId="275B561C" w14:textId="77777777" w:rsidR="00625A5B" w:rsidRPr="00077779" w:rsidRDefault="00625A5B" w:rsidP="006375A1">
      <w:pPr>
        <w:pStyle w:val="Translit"/>
      </w:pPr>
      <w:r w:rsidRPr="00077779">
        <w:t>Qawam al-Mulk, Qavamu’l-Mulk</w:t>
      </w:r>
      <w:r w:rsidRPr="00077779">
        <w:tab/>
        <w:t>Qawám al-Mulk, Pers. Qavámu’l-Mulk</w:t>
      </w:r>
      <w:r w:rsidRPr="00077779">
        <w:tab/>
      </w:r>
    </w:p>
    <w:p w14:paraId="76033ADF" w14:textId="77777777" w:rsidR="00625A5B" w:rsidRPr="008F03E5" w:rsidRDefault="00625A5B" w:rsidP="00B80299">
      <w:pPr>
        <w:pStyle w:val="Translit"/>
      </w:pPr>
      <w:r w:rsidRPr="008F03E5">
        <w:t>Qawati, Qahawati</w:t>
      </w:r>
      <w:r w:rsidRPr="008F03E5">
        <w:tab/>
        <w:t>Qahwátí, Qahawátí, pl. Qahwátíya</w:t>
      </w:r>
      <w:r w:rsidRPr="008F03E5">
        <w:tab/>
        <w:t>coffeehouse owner (pl. also qahwíya)</w:t>
      </w:r>
    </w:p>
    <w:p w14:paraId="74F680E2" w14:textId="77777777" w:rsidR="00625A5B" w:rsidRPr="008F03E5" w:rsidRDefault="00625A5B" w:rsidP="009F7BC7">
      <w:pPr>
        <w:pStyle w:val="Translit"/>
      </w:pPr>
      <w:r w:rsidRPr="00077779">
        <w:t>Qawiy, Aqwiya’</w:t>
      </w:r>
      <w:r w:rsidRPr="00077779">
        <w:tab/>
        <w:t xml:space="preserve">Qawíy, pl. </w:t>
      </w:r>
      <w:r w:rsidRPr="008F03E5">
        <w:t>Aqwiyá’</w:t>
      </w:r>
      <w:r w:rsidRPr="008F03E5">
        <w:tab/>
        <w:t>strong; vigorous; potent; mighty, powerful, forceful; intense, violent, vehement; firm, solid, robust, hardy, sturdy</w:t>
      </w:r>
    </w:p>
    <w:p w14:paraId="2FBB5251" w14:textId="77777777" w:rsidR="00625A5B" w:rsidRPr="008F03E5" w:rsidRDefault="00625A5B" w:rsidP="00CF0A5A">
      <w:pPr>
        <w:pStyle w:val="Translit"/>
        <w:tabs>
          <w:tab w:val="left" w:pos="1134"/>
        </w:tabs>
      </w:pPr>
      <w:r w:rsidRPr="008F03E5">
        <w:t>Qawl (Qaul), Aqwal, Aqawil</w:t>
      </w:r>
      <w:r w:rsidRPr="008F03E5">
        <w:tab/>
        <w:t>Qawl, pl. Aqwál, Aqáwíl</w:t>
      </w:r>
      <w:r w:rsidRPr="008F03E5">
        <w:tab/>
        <w:t>word, speech, saying, utterance, remark; statement, declaration; report, account; doctrine, teaching;—pl. aqwál testimony (in court);—pl. aqáwíl sayings, locutions; proverbs.  Qul, 2nd person, singular, masculine, imperative “Say!” (thou).  Used as a command from God to Muḥammad (in the Qur’án) to inform the people.</w:t>
      </w:r>
    </w:p>
    <w:p w14:paraId="4051BCC6" w14:textId="77777777" w:rsidR="00625A5B" w:rsidRPr="008F03E5" w:rsidRDefault="00625A5B" w:rsidP="009000E3">
      <w:pPr>
        <w:pStyle w:val="Translit"/>
      </w:pPr>
      <w:r w:rsidRPr="008F03E5">
        <w:t>Qawlawayh (Qawlavayh, Qulawayh)</w:t>
      </w:r>
      <w:r w:rsidRPr="008F03E5">
        <w:tab/>
        <w:t>Qawlawayh, Qúlawayh (Qúlúya)</w:t>
      </w:r>
      <w:r w:rsidRPr="008F03E5">
        <w:tab/>
        <w:t>Persian historian Abu’l-Qásim Ja‘far bin Muḥammad bin Ja‘far bin Muṣ‘ab Ja‘far b. Muḥammad, better known as ibn Qawlawayh or ibn Qúlawayh</w:t>
      </w:r>
    </w:p>
    <w:p w14:paraId="1AC3DF7C" w14:textId="77777777" w:rsidR="00625A5B" w:rsidRPr="008F03E5" w:rsidRDefault="00625A5B" w:rsidP="00AE49CD">
      <w:pPr>
        <w:pStyle w:val="Translit"/>
      </w:pPr>
      <w:r w:rsidRPr="008F03E5">
        <w:rPr>
          <w:rFonts w:eastAsia="Times New Roman"/>
        </w:rPr>
        <w:t>Qawm (Qaum), Aqwam</w:t>
      </w:r>
      <w:r w:rsidRPr="008F03E5">
        <w:rPr>
          <w:rFonts w:eastAsia="Times New Roman"/>
        </w:rPr>
        <w:tab/>
      </w:r>
      <w:r w:rsidRPr="008F03E5">
        <w:t>Qawm, pl. Aqwám</w:t>
      </w:r>
      <w:r w:rsidRPr="008F03E5">
        <w:tab/>
        <w:t>fellow tribesmen, kinsfolk, kin, kindred; tribe, race, people, nation; people. e.g. “qawm Lúṭ” used 11 times in Qur’án (“people of Lot”)</w:t>
      </w:r>
    </w:p>
    <w:p w14:paraId="67614C92" w14:textId="77777777" w:rsidR="00625A5B" w:rsidRPr="008F03E5" w:rsidRDefault="00625A5B" w:rsidP="00C22944">
      <w:pPr>
        <w:pStyle w:val="Translit"/>
      </w:pPr>
      <w:r w:rsidRPr="008F03E5">
        <w:t>Qaws (Qaus), Aqwas, Qusiy, Qisiy</w:t>
      </w:r>
      <w:r w:rsidRPr="008F03E5">
        <w:tab/>
        <w:t>Qaws m. and f., pl. Aqwás, Qusíy, Qisíy</w:t>
      </w:r>
      <w:r w:rsidRPr="008F03E5">
        <w:tab/>
        <w:t>bow, longbow; arc (geometry); arch, vault (architecture; of a bridge); violin bows, fiddlestick; semicircular table</w:t>
      </w:r>
    </w:p>
    <w:p w14:paraId="1AC3638B" w14:textId="77777777" w:rsidR="00625A5B" w:rsidRPr="008F03E5" w:rsidRDefault="00625A5B" w:rsidP="000544F8">
      <w:pPr>
        <w:pStyle w:val="Translit"/>
      </w:pPr>
      <w:r w:rsidRPr="001457C8">
        <w:rPr>
          <w:lang w:val="pl-PL"/>
        </w:rPr>
        <w:t>Qaws-i-Nuzul, Qaws-i-‘Uruj</w:t>
      </w:r>
      <w:r w:rsidRPr="001457C8">
        <w:rPr>
          <w:lang w:val="pl-PL"/>
        </w:rPr>
        <w:tab/>
        <w:t>Qaws-i-Nuzúl, Qaws-i-‘Urúj</w:t>
      </w:r>
      <w:r w:rsidRPr="001457C8">
        <w:rPr>
          <w:lang w:val="pl-PL"/>
        </w:rPr>
        <w:tab/>
        <w:t>1.  Qaws-i-Nuzúl (arc of descent), Bahá’í:  Will (Ma</w:t>
      </w:r>
      <w:r w:rsidRPr="001457C8">
        <w:rPr>
          <w:u w:val="single"/>
          <w:lang w:val="pl-PL"/>
        </w:rPr>
        <w:t>sh</w:t>
      </w:r>
      <w:r w:rsidRPr="001457C8">
        <w:rPr>
          <w:lang w:val="pl-PL"/>
        </w:rPr>
        <w:t>íyat), Determination (Irádah), Destiny (Qadar), Decree (Qaḍá’), Permission (I</w:t>
      </w:r>
      <w:r w:rsidRPr="001457C8">
        <w:rPr>
          <w:u w:val="single"/>
          <w:lang w:val="pl-PL"/>
        </w:rPr>
        <w:t>dh</w:t>
      </w:r>
      <w:r w:rsidRPr="001457C8">
        <w:rPr>
          <w:lang w:val="pl-PL"/>
        </w:rPr>
        <w:t xml:space="preserve">n), Term (Ajal), and Book (Kitáb).  </w:t>
      </w:r>
      <w:r w:rsidRPr="008F03E5">
        <w:t>2.  Qaws-i-‘Urúj (or Qaws aṣ-ṣu‘úd), Arc of ascent, Bahá’í:  arc of ascent:  valley of search, the valley of love, the valley of knowledge, the valley of unity, the valley of contentment, the valley of wonderment, and the valley of true poverty and absolute nothingness.  See Maqám-i-Nuzúl, Maqám-i-‘Urúj</w:t>
      </w:r>
    </w:p>
    <w:p w14:paraId="54CE918E" w14:textId="77777777" w:rsidR="00625A5B" w:rsidRPr="008F03E5" w:rsidRDefault="00625A5B" w:rsidP="007C01D3">
      <w:pPr>
        <w:pStyle w:val="Translit"/>
      </w:pPr>
      <w:r w:rsidRPr="008F03E5">
        <w:t>Qawwas</w:t>
      </w:r>
      <w:r w:rsidRPr="008F03E5">
        <w:tab/>
        <w:t>Qawwás</w:t>
      </w:r>
      <w:r w:rsidRPr="008F03E5">
        <w:tab/>
        <w:t>bowmaker; bowman, archer; kavass (Turkish armed guard), consular guard</w:t>
      </w:r>
    </w:p>
    <w:p w14:paraId="13B2C80F" w14:textId="77777777" w:rsidR="00625A5B" w:rsidRPr="008F03E5" w:rsidRDefault="00625A5B" w:rsidP="00215ACB">
      <w:pPr>
        <w:pStyle w:val="Translit"/>
      </w:pPr>
      <w:r w:rsidRPr="008F03E5">
        <w:t>Qayrawan, Qayrawanat</w:t>
      </w:r>
      <w:r w:rsidRPr="008F03E5">
        <w:tab/>
        <w:t>Qayrawán, pl. Qayrawánát</w:t>
      </w:r>
      <w:r w:rsidRPr="008F03E5">
        <w:tab/>
        <w:t>(“Qairawan, Kairouan”) caravan.  al-Qayrawán, northern Tunisian city.</w:t>
      </w:r>
    </w:p>
    <w:p w14:paraId="4CB1A843" w14:textId="77777777" w:rsidR="00625A5B" w:rsidRPr="008F03E5" w:rsidRDefault="00625A5B" w:rsidP="000F2B56">
      <w:pPr>
        <w:pStyle w:val="Translit"/>
      </w:pPr>
      <w:r w:rsidRPr="008F03E5">
        <w:t>Qays (Qais)</w:t>
      </w:r>
      <w:r w:rsidRPr="008F03E5">
        <w:tab/>
        <w:t>Qays</w:t>
      </w:r>
      <w:r w:rsidRPr="008F03E5">
        <w:tab/>
        <w:t>measuring one thing by another, comparing, estimating; name of the father of a tribe; also of the tribe itself; also of a city in Egypt, and of an island in the sea of ‘Umán</w:t>
      </w:r>
    </w:p>
    <w:p w14:paraId="5690F0C0" w14:textId="77777777" w:rsidR="00625A5B" w:rsidRPr="00077779" w:rsidRDefault="00625A5B" w:rsidP="001A4CA0">
      <w:pPr>
        <w:pStyle w:val="Translit"/>
        <w:rPr>
          <w:lang w:val="es-ES_tradnl"/>
        </w:rPr>
      </w:pPr>
      <w:r w:rsidRPr="00077779">
        <w:rPr>
          <w:lang w:val="es-ES_tradnl"/>
        </w:rPr>
        <w:t>Qaysar (Qaisar), Qayasir</w:t>
      </w:r>
      <w:r w:rsidRPr="00077779">
        <w:rPr>
          <w:lang w:val="es-ES_tradnl"/>
        </w:rPr>
        <w:tab/>
        <w:t>Qayṣar, pl. Qayáṣir, Qayáṣira</w:t>
      </w:r>
      <w:r w:rsidRPr="00077779">
        <w:rPr>
          <w:lang w:val="es-ES_tradnl"/>
        </w:rPr>
        <w:tab/>
        <w:t>Caesar; emperor, kaiser; tsar</w:t>
      </w:r>
    </w:p>
    <w:p w14:paraId="1170CA7F" w14:textId="77777777" w:rsidR="00625A5B" w:rsidRPr="008F03E5" w:rsidRDefault="00625A5B" w:rsidP="009D713A">
      <w:pPr>
        <w:pStyle w:val="Translit"/>
      </w:pPr>
      <w:r w:rsidRPr="008F03E5">
        <w:t>Qayyim</w:t>
      </w:r>
      <w:r w:rsidRPr="008F03E5">
        <w:tab/>
        <w:t>Qayyim</w:t>
      </w:r>
      <w:r w:rsidRPr="008F03E5">
        <w:tab/>
        <w:t>valuable, precious; straight, right; caretaker, curator, custodian, superintendent; al-qayyima the true faith</w:t>
      </w:r>
    </w:p>
    <w:p w14:paraId="2F152E53" w14:textId="77777777" w:rsidR="00625A5B" w:rsidRPr="008F03E5" w:rsidRDefault="00625A5B" w:rsidP="003143AB">
      <w:pPr>
        <w:pStyle w:val="Translit"/>
      </w:pPr>
      <w:r w:rsidRPr="008F03E5">
        <w:t>Qayyum (Qaiyum)</w:t>
      </w:r>
      <w:r>
        <w:t>, Qayyuma</w:t>
      </w:r>
      <w:r w:rsidRPr="008F03E5">
        <w:tab/>
        <w:t>Qayyúm</w:t>
      </w:r>
      <w:r>
        <w:t>, Qayy</w:t>
      </w:r>
      <w:r w:rsidRPr="003143AB">
        <w:t>ú</w:t>
      </w:r>
      <w:r>
        <w:t>ma[h or t]</w:t>
      </w:r>
      <w:r w:rsidRPr="008F03E5">
        <w:tab/>
        <w:t>permanent, lasting; stable, fixed, steady; peerless, matchless; the everlasting, the eternal (“Self sufficient, Self-subsisting”—God); an appraiser, valuer</w:t>
      </w:r>
      <w:r>
        <w:t>; the guardian</w:t>
      </w:r>
      <w:r w:rsidRPr="008F03E5">
        <w:t xml:space="preserve">.  Superlative of Qá’im [the Báb], the Most Great One Who will arise [Bahá’u’lláh]  “Verily I say, after the Qá’im [the Báb] the Qayyúm [Bahá’u’lláh] will be made manifest.  For when the star of the Former has set, the sun of the Beauty of Ḥusayn will rise ….” </w:t>
      </w:r>
      <w:r w:rsidRPr="008F03E5">
        <w:rPr>
          <w:i/>
          <w:iCs/>
        </w:rPr>
        <w:t>Dawn-Breakers</w:t>
      </w:r>
      <w:r w:rsidRPr="008F03E5">
        <w:t>, p. 41.</w:t>
      </w:r>
      <w:r>
        <w:t xml:space="preserve">  fem. guardianship.</w:t>
      </w:r>
    </w:p>
    <w:p w14:paraId="5A9EE4DE" w14:textId="77777777" w:rsidR="00625A5B" w:rsidRDefault="00625A5B" w:rsidP="00F0202E">
      <w:pPr>
        <w:pStyle w:val="Translit"/>
      </w:pPr>
      <w:r>
        <w:t>Qayyumiya (Q</w:t>
      </w:r>
      <w:r w:rsidRPr="00F0202E">
        <w:t>aiy</w:t>
      </w:r>
      <w:r>
        <w:t>u</w:t>
      </w:r>
      <w:r w:rsidRPr="00F0202E">
        <w:t>m</w:t>
      </w:r>
      <w:r>
        <w:t>i</w:t>
      </w:r>
      <w:r w:rsidRPr="00F0202E">
        <w:t>ya</w:t>
      </w:r>
      <w:r>
        <w:t>)</w:t>
      </w:r>
      <w:r>
        <w:tab/>
        <w:t>Q</w:t>
      </w:r>
      <w:r w:rsidRPr="00F0202E">
        <w:t>a</w:t>
      </w:r>
      <w:r>
        <w:t>y</w:t>
      </w:r>
      <w:r w:rsidRPr="00F0202E">
        <w:t>yúmíya</w:t>
      </w:r>
      <w:r>
        <w:t>[h or</w:t>
      </w:r>
      <w:r w:rsidRPr="00F0202E">
        <w:t>t</w:t>
      </w:r>
      <w:r>
        <w:t>]</w:t>
      </w:r>
      <w:r>
        <w:tab/>
        <w:t>p</w:t>
      </w:r>
      <w:r w:rsidRPr="00D47AE7">
        <w:t>ermanency, stability</w:t>
      </w:r>
    </w:p>
    <w:p w14:paraId="1CBEF3C4" w14:textId="77777777" w:rsidR="00625A5B" w:rsidRPr="008F03E5" w:rsidRDefault="00625A5B" w:rsidP="00F02D2C">
      <w:pPr>
        <w:pStyle w:val="Translit"/>
      </w:pPr>
      <w:r w:rsidRPr="008F03E5">
        <w:t>Qayyumu’l-Asma’</w:t>
      </w:r>
      <w:r w:rsidRPr="008F03E5">
        <w:tab/>
        <w:t>Qayyúmu’l-Asmá’ or Qayyúm-i-Asmá’</w:t>
      </w:r>
      <w:r w:rsidRPr="008F03E5">
        <w:tab/>
        <w:t>“The Self-Subsisting Lord of All Names”—the Báb’s commentary on Súra 12 Yúsuf.  A title primarily referring to the “Greatest Name”, i.e. Bahá’u’lláh.</w:t>
      </w:r>
    </w:p>
    <w:p w14:paraId="649A54E2" w14:textId="77777777" w:rsidR="00625A5B" w:rsidRPr="008F03E5" w:rsidRDefault="00625A5B" w:rsidP="006E5D25">
      <w:pPr>
        <w:pStyle w:val="Translit"/>
      </w:pPr>
      <w:r w:rsidRPr="008F03E5">
        <w:t>Qazim</w:t>
      </w:r>
      <w:r w:rsidRPr="008F03E5">
        <w:tab/>
        <w:t>Qáẓim</w:t>
      </w:r>
      <w:r w:rsidRPr="008F03E5">
        <w:tab/>
        <w:t>should be Káẓim</w:t>
      </w:r>
    </w:p>
    <w:p w14:paraId="0FB7422A" w14:textId="77777777" w:rsidR="00625A5B" w:rsidRPr="008F03E5" w:rsidRDefault="00625A5B" w:rsidP="007F503A">
      <w:pPr>
        <w:pStyle w:val="Translit"/>
        <w:rPr>
          <w:i/>
          <w:iCs/>
          <w:lang w:eastAsia="en-US"/>
        </w:rPr>
      </w:pPr>
      <w:r w:rsidRPr="008F03E5">
        <w:t>Qazwin (Qasvin, Ghazwin, Ghasvin)</w:t>
      </w:r>
      <w:r w:rsidRPr="008F03E5">
        <w:tab/>
        <w:t>Qazwín (also Qazvín)</w:t>
      </w:r>
      <w:r w:rsidRPr="008F03E5">
        <w:tab/>
        <w:t xml:space="preserve">a city 140 km </w:t>
      </w:r>
      <w:r w:rsidRPr="008F03E5">
        <w:rPr>
          <w:sz w:val="16"/>
          <w:szCs w:val="16"/>
        </w:rPr>
        <w:t>NW</w:t>
      </w:r>
      <w:r w:rsidRPr="008F03E5">
        <w:t xml:space="preserve"> of Ṭihrán.  The </w:t>
      </w:r>
      <w:r w:rsidRPr="008F03E5">
        <w:rPr>
          <w:lang w:eastAsia="en-US"/>
        </w:rPr>
        <w:t xml:space="preserve">Casbeen of Milton’s </w:t>
      </w:r>
      <w:r w:rsidRPr="008F03E5">
        <w:rPr>
          <w:i/>
          <w:iCs/>
          <w:lang w:eastAsia="en-US"/>
        </w:rPr>
        <w:t>Paradise Lost.</w:t>
      </w:r>
    </w:p>
    <w:p w14:paraId="0471F37E" w14:textId="77777777" w:rsidR="00625A5B" w:rsidRPr="008F03E5" w:rsidRDefault="00625A5B" w:rsidP="002656B8">
      <w:pPr>
        <w:pStyle w:val="Translit"/>
      </w:pPr>
      <w:r w:rsidRPr="008F03E5">
        <w:t>Qazwini (Qazvini, Ghazvini)</w:t>
      </w:r>
      <w:r w:rsidRPr="008F03E5">
        <w:tab/>
        <w:t>Qazwíní (also Qazvíní)</w:t>
      </w:r>
      <w:r w:rsidRPr="008F03E5">
        <w:tab/>
        <w:t>of or from Qazwín.  Mírzá Munír Nabíl Zádih-i-Qazvíní.</w:t>
      </w:r>
    </w:p>
    <w:p w14:paraId="2296DF06" w14:textId="77777777" w:rsidR="00625A5B" w:rsidRPr="008F03E5" w:rsidRDefault="00625A5B" w:rsidP="006F70B8">
      <w:pPr>
        <w:pStyle w:val="Translit"/>
      </w:pPr>
      <w:r w:rsidRPr="008F03E5">
        <w:t>Qibla, Qiblih</w:t>
      </w:r>
      <w:r>
        <w:t>, Qiblatayn</w:t>
      </w:r>
      <w:r w:rsidRPr="008F03E5">
        <w:tab/>
        <w:t>Qibla[h</w:t>
      </w:r>
      <w:r>
        <w:t xml:space="preserve"> or t</w:t>
      </w:r>
      <w:r w:rsidRPr="008F03E5">
        <w:t>], Pers. also Qiblih</w:t>
      </w:r>
      <w:r w:rsidRPr="008F03E5">
        <w:tab/>
        <w:t>anything opposite; that part to which people direct their prayers, direction to which Muslims turn in praying (towards the Ka‘ba, the Point of Adoration for Muslims); recess in a mosque indicating the direction of the Ka‘ba, prayer niche</w:t>
      </w:r>
      <w:bookmarkStart w:id="120" w:name="_Hlk57118826"/>
      <w:r w:rsidRPr="008F03E5">
        <w:t>.</w:t>
      </w:r>
      <w:bookmarkEnd w:id="120"/>
      <w:r w:rsidRPr="008F03E5">
        <w:t xml:space="preserve">  English kiblah.  The Most Holy Tomb of Bahá’u’lláh at Bahjí is “the Heart and Qiblih of the Bahá’í world” </w:t>
      </w:r>
      <w:r w:rsidRPr="008F03E5">
        <w:rPr>
          <w:sz w:val="16"/>
          <w:szCs w:val="16"/>
        </w:rPr>
        <w:t>GPB</w:t>
      </w:r>
      <w:r w:rsidRPr="008F03E5">
        <w:t xml:space="preserve"> 110, 277.</w:t>
      </w:r>
      <w:r>
        <w:t xml:space="preserve">  Qiblatayn, dual, </w:t>
      </w:r>
      <w:r w:rsidRPr="00AF4D34">
        <w:t xml:space="preserve">i.e. Mecca and Jerusalem (the latter having not only been the Christian Qibla, but also originally that of the </w:t>
      </w:r>
      <w:r>
        <w:t>Muslim</w:t>
      </w:r>
      <w:r w:rsidRPr="00AF4D34">
        <w:t>s; till their prophet, to conciliate the goodwill of his fellow-citizens, changed it to Mecca in the second year of the Hijra).</w:t>
      </w:r>
    </w:p>
    <w:p w14:paraId="10F6B024" w14:textId="77777777" w:rsidR="00625A5B" w:rsidRPr="008F03E5" w:rsidRDefault="00625A5B" w:rsidP="00900A82">
      <w:pPr>
        <w:pStyle w:val="Translit"/>
      </w:pPr>
      <w:r w:rsidRPr="008F03E5">
        <w:t>Qibliy-i-‘Alam</w:t>
      </w:r>
      <w:r w:rsidRPr="008F03E5">
        <w:tab/>
        <w:t>Qibliy-i-‘Álam</w:t>
      </w:r>
      <w:r w:rsidRPr="008F03E5">
        <w:tab/>
        <w:t>“Centre of the Universe” (</w:t>
      </w:r>
      <w:r w:rsidRPr="008F03E5">
        <w:rPr>
          <w:sz w:val="16"/>
          <w:szCs w:val="16"/>
        </w:rPr>
        <w:t>DB</w:t>
      </w:r>
      <w:r w:rsidRPr="008F03E5">
        <w:t xml:space="preserve"> p. xxxviii) a title of a Qájár </w:t>
      </w:r>
      <w:r w:rsidRPr="008F03E5">
        <w:rPr>
          <w:u w:val="single"/>
        </w:rPr>
        <w:t>Sh</w:t>
      </w:r>
      <w:r w:rsidRPr="008F03E5">
        <w:t>áh</w:t>
      </w:r>
    </w:p>
    <w:p w14:paraId="62D00914" w14:textId="77777777" w:rsidR="00625A5B" w:rsidRPr="008F03E5" w:rsidRDefault="00625A5B" w:rsidP="00CD1F3A">
      <w:pPr>
        <w:pStyle w:val="Translit"/>
      </w:pPr>
      <w:r w:rsidRPr="008F03E5">
        <w:t>Qibt, Qubt</w:t>
      </w:r>
      <w:r>
        <w:t>, Aqbat</w:t>
      </w:r>
      <w:r w:rsidRPr="008F03E5">
        <w:tab/>
      </w:r>
      <w:r>
        <w:t>al-</w:t>
      </w:r>
      <w:r w:rsidRPr="008F03E5">
        <w:t xml:space="preserve">Qibṭ, </w:t>
      </w:r>
      <w:r>
        <w:t>al-</w:t>
      </w:r>
      <w:r w:rsidRPr="008F03E5">
        <w:t>Qubṭ</w:t>
      </w:r>
      <w:r>
        <w:t>,</w:t>
      </w:r>
      <w:r w:rsidRPr="00CD1F3A">
        <w:t xml:space="preserve"> pl. al-</w:t>
      </w:r>
      <w:r>
        <w:t>A</w:t>
      </w:r>
      <w:r w:rsidRPr="00CD1F3A">
        <w:t>qb</w:t>
      </w:r>
      <w:r>
        <w:t>á</w:t>
      </w:r>
      <w:r w:rsidRPr="00CD1F3A">
        <w:t>ṭ</w:t>
      </w:r>
      <w:r>
        <w:tab/>
      </w:r>
      <w:r w:rsidRPr="00CD1F3A">
        <w:t>the Copts</w:t>
      </w:r>
      <w:r>
        <w:t xml:space="preserve"> (from Coptic language)</w:t>
      </w:r>
      <w:r w:rsidRPr="008F03E5">
        <w:t>, an ethno-religious (mainly Christian) group native to north Africa (mainly in Egypt, Sudan and Libya)—they are the original inhabitants of Egypt</w:t>
      </w:r>
      <w:r>
        <w:t>, in contrast to</w:t>
      </w:r>
      <w:r w:rsidRPr="00AF4D34">
        <w:t xml:space="preserve"> </w:t>
      </w:r>
      <w:r w:rsidRPr="00CD1F3A">
        <w:t>sib</w:t>
      </w:r>
      <w:r w:rsidRPr="00A5286B">
        <w:t>ṭ</w:t>
      </w:r>
      <w:r w:rsidRPr="00CD1F3A">
        <w:t xml:space="preserve">, </w:t>
      </w:r>
      <w:r>
        <w:t>the Hebrew settlers</w:t>
      </w:r>
      <w:r w:rsidRPr="008F03E5">
        <w:t xml:space="preserve">.  </w:t>
      </w:r>
      <w:r>
        <w:t>Copt o</w:t>
      </w:r>
      <w:r w:rsidRPr="001B7073">
        <w:t>riginally referr</w:t>
      </w:r>
      <w:r>
        <w:t>ed</w:t>
      </w:r>
      <w:r w:rsidRPr="001B7073">
        <w:t xml:space="preserve"> to all Egyptians, </w:t>
      </w:r>
      <w:r>
        <w:t xml:space="preserve">later it </w:t>
      </w:r>
      <w:r w:rsidRPr="001B7073">
        <w:t>became synonymous with native Christians in light of Egypt's Islami</w:t>
      </w:r>
      <w:r>
        <w:t>s</w:t>
      </w:r>
      <w:r w:rsidRPr="001B7073">
        <w:t>ation and Arabi</w:t>
      </w:r>
      <w:r>
        <w:t>s</w:t>
      </w:r>
      <w:r w:rsidRPr="001B7073">
        <w:t>ation after the Muslim conquest of Egypt in the 7th century.</w:t>
      </w:r>
      <w:r>
        <w:t xml:space="preserve">  </w:t>
      </w:r>
      <w:r w:rsidRPr="008F03E5">
        <w:t>About 90% of Egyptians are Muslims, and about 15% are of Arab origin.  Very few Jews (Sibṭ) remain in Egypt.</w:t>
      </w:r>
      <w:r>
        <w:t xml:space="preserve">  See </w:t>
      </w:r>
      <w:r w:rsidRPr="008F03E5">
        <w:t>Sibṭ</w:t>
      </w:r>
      <w:r>
        <w:t>.</w:t>
      </w:r>
    </w:p>
    <w:p w14:paraId="61F9205A" w14:textId="77777777" w:rsidR="00625A5B" w:rsidRPr="008F03E5" w:rsidRDefault="00625A5B" w:rsidP="00CD1F3A">
      <w:pPr>
        <w:pStyle w:val="Translit"/>
      </w:pPr>
      <w:r w:rsidRPr="008F03E5">
        <w:t>Qibti, Qubti</w:t>
      </w:r>
      <w:r w:rsidRPr="008F03E5">
        <w:tab/>
        <w:t>Qibṭí, Qubṭí, fem. Qibṭíya[h</w:t>
      </w:r>
      <w:r>
        <w:t xml:space="preserve"> or t</w:t>
      </w:r>
      <w:r w:rsidRPr="008F03E5">
        <w:t>]</w:t>
      </w:r>
      <w:r>
        <w:tab/>
      </w:r>
      <w:r w:rsidRPr="008F03E5">
        <w:t>pl. Qabáṭí</w:t>
      </w:r>
      <w:r>
        <w:t xml:space="preserve">.  Formerly all </w:t>
      </w:r>
      <w:r w:rsidRPr="008F03E5">
        <w:t>Egyptian</w:t>
      </w:r>
      <w:r>
        <w:t>s</w:t>
      </w:r>
      <w:r w:rsidRPr="008F03E5">
        <w:t xml:space="preserve"> (not of Arabic descent), Coptic; Copt.  Máríah bint </w:t>
      </w:r>
      <w:r w:rsidRPr="008F03E5">
        <w:rPr>
          <w:u w:val="single"/>
        </w:rPr>
        <w:t>Sh</w:t>
      </w:r>
      <w:r w:rsidRPr="008F03E5">
        <w:t>am‘ún, better known as Máríah al-Qibṭíya, or Maria the Copt (d. 637).</w:t>
      </w:r>
    </w:p>
    <w:p w14:paraId="2D5AFF9A" w14:textId="77777777" w:rsidR="00625A5B" w:rsidRPr="008F03E5" w:rsidRDefault="00625A5B" w:rsidP="00365FB5">
      <w:pPr>
        <w:pStyle w:val="Translit"/>
        <w:rPr>
          <w:rFonts w:eastAsia="PMingLiU"/>
          <w:lang w:eastAsia="zh-TW"/>
        </w:rPr>
      </w:pPr>
      <w:r w:rsidRPr="008F03E5">
        <w:rPr>
          <w:rFonts w:eastAsia="PMingLiU"/>
          <w:lang w:eastAsia="zh-TW"/>
        </w:rPr>
        <w:t>Qidam</w:t>
      </w:r>
      <w:r w:rsidRPr="008F03E5">
        <w:rPr>
          <w:rFonts w:eastAsia="PMingLiU"/>
          <w:lang w:eastAsia="zh-TW"/>
        </w:rPr>
        <w:tab/>
        <w:t>Qidam</w:t>
      </w:r>
      <w:r w:rsidRPr="008F03E5">
        <w:rPr>
          <w:rFonts w:eastAsia="PMingLiU"/>
          <w:lang w:eastAsia="zh-TW"/>
        </w:rPr>
        <w:tab/>
        <w:t>time long since put, old times; remote antiquity, time immemorial; oldness; ancientness; infinite pre-existence, sempiternity (eternity), timelessness (of God); seniority</w:t>
      </w:r>
    </w:p>
    <w:p w14:paraId="170C87CC" w14:textId="77777777" w:rsidR="00625A5B" w:rsidRDefault="00625A5B" w:rsidP="00763599">
      <w:pPr>
        <w:pStyle w:val="Translit"/>
        <w:rPr>
          <w:rFonts w:eastAsia="PMingLiU"/>
          <w:lang w:eastAsia="zh-TW"/>
        </w:rPr>
      </w:pPr>
      <w:r>
        <w:rPr>
          <w:rFonts w:eastAsia="PMingLiU"/>
          <w:lang w:eastAsia="zh-TW"/>
        </w:rPr>
        <w:t>Qilij</w:t>
      </w:r>
      <w:r>
        <w:rPr>
          <w:rFonts w:eastAsia="PMingLiU"/>
          <w:lang w:eastAsia="zh-TW"/>
        </w:rPr>
        <w:tab/>
        <w:t>Qilij</w:t>
      </w:r>
      <w:r>
        <w:rPr>
          <w:rFonts w:eastAsia="PMingLiU"/>
          <w:lang w:eastAsia="zh-TW"/>
        </w:rPr>
        <w:tab/>
        <w:t xml:space="preserve">Turkish </w:t>
      </w:r>
      <w:r w:rsidRPr="009F7966">
        <w:rPr>
          <w:rFonts w:eastAsia="PMingLiU"/>
          <w:lang w:eastAsia="zh-TW"/>
        </w:rPr>
        <w:t>kılıç</w:t>
      </w:r>
      <w:r>
        <w:rPr>
          <w:rFonts w:eastAsia="PMingLiU"/>
          <w:lang w:eastAsia="zh-TW"/>
        </w:rPr>
        <w:t xml:space="preserve">, pl. </w:t>
      </w:r>
      <w:r w:rsidRPr="002F29C2">
        <w:rPr>
          <w:rFonts w:eastAsia="PMingLiU"/>
          <w:lang w:eastAsia="zh-TW"/>
        </w:rPr>
        <w:t>kılıçlar</w:t>
      </w:r>
      <w:r>
        <w:rPr>
          <w:rFonts w:eastAsia="PMingLiU"/>
          <w:lang w:eastAsia="zh-TW"/>
        </w:rPr>
        <w:t>;</w:t>
      </w:r>
      <w:r w:rsidRPr="002F29C2">
        <w:rPr>
          <w:rFonts w:eastAsia="PMingLiU"/>
          <w:lang w:eastAsia="zh-TW"/>
        </w:rPr>
        <w:t xml:space="preserve"> </w:t>
      </w:r>
      <w:r>
        <w:rPr>
          <w:rFonts w:eastAsia="PMingLiU"/>
          <w:lang w:eastAsia="zh-TW"/>
        </w:rPr>
        <w:t xml:space="preserve">a </w:t>
      </w:r>
      <w:r w:rsidRPr="002F29C2">
        <w:rPr>
          <w:rFonts w:eastAsia="PMingLiU"/>
          <w:lang w:eastAsia="zh-TW"/>
        </w:rPr>
        <w:t>one-handed, single-edged and curved scimitar</w:t>
      </w:r>
      <w:r>
        <w:rPr>
          <w:rFonts w:eastAsia="PMingLiU"/>
          <w:lang w:eastAsia="zh-TW"/>
        </w:rPr>
        <w:t xml:space="preserve">. </w:t>
      </w:r>
      <w:r w:rsidRPr="009F7966">
        <w:t xml:space="preserve"> </w:t>
      </w:r>
      <w:r w:rsidRPr="009F7966">
        <w:rPr>
          <w:rFonts w:eastAsia="PMingLiU"/>
          <w:lang w:eastAsia="zh-TW"/>
        </w:rPr>
        <w:t>Qilij Arsl</w:t>
      </w:r>
      <w:r>
        <w:rPr>
          <w:rFonts w:eastAsia="PMingLiU"/>
          <w:lang w:eastAsia="zh-TW"/>
        </w:rPr>
        <w:t>á</w:t>
      </w:r>
      <w:r w:rsidRPr="009F7966">
        <w:rPr>
          <w:rFonts w:eastAsia="PMingLiU"/>
          <w:lang w:eastAsia="zh-TW"/>
        </w:rPr>
        <w:t>n; Turkish Kılıç Arslan or Kılıçarslan, lit</w:t>
      </w:r>
      <w:r>
        <w:rPr>
          <w:rFonts w:eastAsia="PMingLiU"/>
          <w:lang w:eastAsia="zh-TW"/>
        </w:rPr>
        <w:t>erally</w:t>
      </w:r>
      <w:r w:rsidRPr="009F7966">
        <w:rPr>
          <w:rFonts w:eastAsia="PMingLiU"/>
          <w:lang w:eastAsia="zh-TW"/>
        </w:rPr>
        <w:t xml:space="preserve"> </w:t>
      </w:r>
      <w:r>
        <w:rPr>
          <w:rFonts w:eastAsia="PMingLiU"/>
          <w:lang w:eastAsia="zh-TW"/>
        </w:rPr>
        <w:t>“</w:t>
      </w:r>
      <w:r w:rsidRPr="009F7966">
        <w:rPr>
          <w:rFonts w:eastAsia="PMingLiU"/>
          <w:lang w:eastAsia="zh-TW"/>
        </w:rPr>
        <w:t xml:space="preserve">Sword </w:t>
      </w:r>
      <w:r>
        <w:rPr>
          <w:rFonts w:eastAsia="PMingLiU"/>
          <w:lang w:eastAsia="zh-TW"/>
        </w:rPr>
        <w:t>l</w:t>
      </w:r>
      <w:r w:rsidRPr="009F7966">
        <w:rPr>
          <w:rFonts w:eastAsia="PMingLiU"/>
          <w:lang w:eastAsia="zh-TW"/>
        </w:rPr>
        <w:t>ion</w:t>
      </w:r>
      <w:r>
        <w:rPr>
          <w:rFonts w:eastAsia="PMingLiU"/>
          <w:lang w:eastAsia="zh-TW"/>
        </w:rPr>
        <w:t>”</w:t>
      </w:r>
      <w:r w:rsidRPr="009F7966">
        <w:rPr>
          <w:rFonts w:eastAsia="PMingLiU"/>
          <w:lang w:eastAsia="zh-TW"/>
        </w:rPr>
        <w:t xml:space="preserve"> (</w:t>
      </w:r>
      <w:r w:rsidRPr="009F7966">
        <w:rPr>
          <w:rFonts w:eastAsia="PMingLiU"/>
          <w:cs/>
          <w:lang w:eastAsia="zh-TW"/>
        </w:rPr>
        <w:t>‎</w:t>
      </w:r>
      <w:r w:rsidRPr="009F7966">
        <w:rPr>
          <w:rFonts w:eastAsia="PMingLiU"/>
          <w:lang w:eastAsia="zh-TW"/>
        </w:rPr>
        <w:t>1079–1107) was the Seljuq Sultan of Rum from 1092 until his death.</w:t>
      </w:r>
    </w:p>
    <w:p w14:paraId="56C25036" w14:textId="77777777" w:rsidR="00625A5B" w:rsidRPr="008F03E5" w:rsidRDefault="00625A5B" w:rsidP="00B1152C">
      <w:pPr>
        <w:pStyle w:val="Translit"/>
        <w:rPr>
          <w:rFonts w:eastAsia="PMingLiU"/>
          <w:lang w:eastAsia="zh-TW"/>
        </w:rPr>
      </w:pPr>
      <w:r w:rsidRPr="008F03E5">
        <w:rPr>
          <w:rFonts w:eastAsia="PMingLiU"/>
          <w:lang w:eastAsia="zh-TW"/>
        </w:rPr>
        <w:t>Qindil, Qanadil</w:t>
      </w:r>
      <w:r w:rsidRPr="008F03E5">
        <w:rPr>
          <w:rFonts w:eastAsia="PMingLiU"/>
          <w:lang w:eastAsia="zh-TW"/>
        </w:rPr>
        <w:tab/>
        <w:t>Qindíl, pl. Qanádíl</w:t>
      </w:r>
      <w:r w:rsidRPr="008F03E5">
        <w:rPr>
          <w:rFonts w:eastAsia="PMingLiU"/>
          <w:lang w:eastAsia="zh-TW"/>
        </w:rPr>
        <w:tab/>
        <w:t>lamp; candlestick; candelabrum</w:t>
      </w:r>
    </w:p>
    <w:p w14:paraId="778BFCCF" w14:textId="77777777" w:rsidR="00625A5B" w:rsidRPr="008F03E5" w:rsidRDefault="00625A5B" w:rsidP="00FF7CD3">
      <w:pPr>
        <w:pStyle w:val="Translit"/>
      </w:pPr>
      <w:r w:rsidRPr="008F03E5">
        <w:t>Qiran</w:t>
      </w:r>
      <w:r w:rsidRPr="008F03E5">
        <w:tab/>
        <w:t>Qirán</w:t>
      </w:r>
      <w:r w:rsidRPr="008F03E5">
        <w:tab/>
        <w:t>close union, close connection: conjunction (astronomy); marriage, wedding.  Persian coin used between 1825 and 1932.  One túmán = 10 qirán.  (pl. of qarn) small hills summits of mountains.</w:t>
      </w:r>
    </w:p>
    <w:p w14:paraId="506E7F31" w14:textId="77777777" w:rsidR="00625A5B" w:rsidRPr="008F03E5" w:rsidRDefault="00625A5B" w:rsidP="008E478E">
      <w:pPr>
        <w:pStyle w:val="Translit"/>
      </w:pPr>
      <w:r w:rsidRPr="008F03E5">
        <w:t>Qirat, Qararit</w:t>
      </w:r>
      <w:r w:rsidRPr="008F03E5">
        <w:tab/>
        <w:t>Qíráṭ, pl. Qaráríṭ</w:t>
      </w:r>
      <w:r w:rsidRPr="008F03E5">
        <w:tab/>
        <w:t>a carat (weight); a dry measure; a square measure</w:t>
      </w:r>
    </w:p>
    <w:p w14:paraId="3A126D84" w14:textId="77777777" w:rsidR="00625A5B" w:rsidRPr="008F03E5" w:rsidRDefault="00625A5B" w:rsidP="009E60CB">
      <w:pPr>
        <w:pStyle w:val="Translit"/>
      </w:pPr>
      <w:r w:rsidRPr="008F03E5">
        <w:t>Qirsh, Qurush</w:t>
      </w:r>
      <w:r w:rsidRPr="008F03E5">
        <w:tab/>
        <w:t>Qir</w:t>
      </w:r>
      <w:r w:rsidRPr="008F03E5">
        <w:rPr>
          <w:u w:val="single"/>
        </w:rPr>
        <w:t>sh</w:t>
      </w:r>
      <w:r w:rsidRPr="008F03E5">
        <w:t>, pl. Qurú</w:t>
      </w:r>
      <w:r w:rsidRPr="008F03E5">
        <w:rPr>
          <w:u w:val="single"/>
        </w:rPr>
        <w:t>sh</w:t>
      </w:r>
      <w:r w:rsidRPr="008F03E5">
        <w:tab/>
        <w:t>shark (zoolological);—(pl.) piaster (currency)</w:t>
      </w:r>
    </w:p>
    <w:p w14:paraId="70003E50" w14:textId="77777777" w:rsidR="00625A5B" w:rsidRPr="008F03E5" w:rsidRDefault="00625A5B" w:rsidP="00944C0C">
      <w:pPr>
        <w:pStyle w:val="Translit"/>
      </w:pPr>
      <w:r w:rsidRPr="008F03E5">
        <w:t>Qisas</w:t>
      </w:r>
      <w:r w:rsidRPr="008F03E5">
        <w:tab/>
        <w:t>Qiṣáṣ</w:t>
      </w:r>
      <w:r w:rsidRPr="008F03E5">
        <w:tab/>
        <w:t>requital, reprisal, retaliation; punishment, castigation, chastisement; accounting, clearing, settlement of accounts</w:t>
      </w:r>
    </w:p>
    <w:p w14:paraId="54636957" w14:textId="77777777" w:rsidR="00625A5B" w:rsidRPr="008F03E5" w:rsidRDefault="00625A5B" w:rsidP="00361A3E">
      <w:pPr>
        <w:pStyle w:val="Translit"/>
      </w:pPr>
      <w:r w:rsidRPr="008F03E5">
        <w:t>Qisasi, Qasasi, Qisasyun</w:t>
      </w:r>
      <w:r w:rsidRPr="008F03E5">
        <w:tab/>
        <w:t>Qiṣaṣí, Qaṣaṣí, pl. Qiṣaṣyún</w:t>
      </w:r>
      <w:r w:rsidRPr="008F03E5">
        <w:tab/>
        <w:t>narrative, epic;—(pl.) storyteller, writer of fiction, novelist, romancer</w:t>
      </w:r>
    </w:p>
    <w:p w14:paraId="04CD0633" w14:textId="77777777" w:rsidR="00625A5B" w:rsidRPr="008F03E5" w:rsidRDefault="00625A5B" w:rsidP="00916947">
      <w:pPr>
        <w:pStyle w:val="Translit"/>
      </w:pPr>
      <w:r w:rsidRPr="008F03E5">
        <w:t>Qisasu’l-‘Ulama’</w:t>
      </w:r>
      <w:r w:rsidRPr="008F03E5">
        <w:tab/>
        <w:t>Qiṣaṣu’l-‘Ulamá’</w:t>
      </w:r>
      <w:r w:rsidRPr="008F03E5">
        <w:tab/>
        <w:t xml:space="preserve">biography of </w:t>
      </w:r>
      <w:r w:rsidRPr="008F03E5">
        <w:rPr>
          <w:u w:val="single"/>
        </w:rPr>
        <w:t>Sh</w:t>
      </w:r>
      <w:r w:rsidRPr="008F03E5">
        <w:t>í‘í scholars by Tunukábaní</w:t>
      </w:r>
    </w:p>
    <w:p w14:paraId="487392F7" w14:textId="77777777" w:rsidR="00625A5B" w:rsidRPr="008F03E5" w:rsidRDefault="00625A5B" w:rsidP="00BC189D">
      <w:pPr>
        <w:pStyle w:val="Translit"/>
      </w:pPr>
      <w:r w:rsidRPr="008F03E5">
        <w:t>Qishla, Qishlaq (Qeshlaq, Kishlak)</w:t>
      </w:r>
      <w:r w:rsidRPr="008F03E5">
        <w:tab/>
        <w:t>Qi</w:t>
      </w:r>
      <w:r w:rsidRPr="008F03E5">
        <w:rPr>
          <w:u w:val="single"/>
        </w:rPr>
        <w:t>sh</w:t>
      </w:r>
      <w:r w:rsidRPr="008F03E5">
        <w:t>lá, Qi</w:t>
      </w:r>
      <w:r w:rsidRPr="008F03E5">
        <w:rPr>
          <w:u w:val="single"/>
        </w:rPr>
        <w:t>sh</w:t>
      </w:r>
      <w:r w:rsidRPr="008F03E5">
        <w:t>láq, Qi</w:t>
      </w:r>
      <w:r w:rsidRPr="008F03E5">
        <w:rPr>
          <w:u w:val="single"/>
        </w:rPr>
        <w:t>sh</w:t>
      </w:r>
      <w:r w:rsidRPr="008F03E5">
        <w:t>laq</w:t>
      </w:r>
      <w:r w:rsidRPr="008F03E5">
        <w:tab/>
        <w:t>(“Qeshlag”, “Qeshlagh”) Turkish from kışlak.  A warm place where kings, etc, pass the winter; winter-quarters.  There are many such places in Iran.  Qi</w:t>
      </w:r>
      <w:r w:rsidRPr="008F03E5">
        <w:rPr>
          <w:u w:val="single"/>
        </w:rPr>
        <w:t>sh</w:t>
      </w:r>
      <w:r w:rsidRPr="008F03E5">
        <w:t>láq of Núr is Tunikábun County on the Caspian Sea coast, see Tunukában.</w:t>
      </w:r>
      <w:r>
        <w:t xml:space="preserve">  See Y</w:t>
      </w:r>
      <w:r w:rsidRPr="00BC189D">
        <w:t>í</w:t>
      </w:r>
      <w:r>
        <w:t>l</w:t>
      </w:r>
      <w:r w:rsidRPr="00BC189D">
        <w:t>á</w:t>
      </w:r>
      <w:r>
        <w:t>q.</w:t>
      </w:r>
    </w:p>
    <w:p w14:paraId="14D9EFAA" w14:textId="77777777" w:rsidR="00625A5B" w:rsidRDefault="00625A5B" w:rsidP="00124D4E">
      <w:pPr>
        <w:pStyle w:val="Translit"/>
      </w:pPr>
      <w:r>
        <w:t>Qishr, Qishra, Qushur</w:t>
      </w:r>
      <w:r>
        <w:tab/>
        <w:t>Q</w:t>
      </w:r>
      <w:r w:rsidRPr="00124D4E">
        <w:t>i</w:t>
      </w:r>
      <w:r w:rsidRPr="00124D4E">
        <w:rPr>
          <w:u w:val="single"/>
        </w:rPr>
        <w:t>sh</w:t>
      </w:r>
      <w:r w:rsidRPr="00124D4E">
        <w:t>r</w:t>
      </w:r>
      <w:r>
        <w:t>,</w:t>
      </w:r>
      <w:r w:rsidRPr="00124D4E">
        <w:t xml:space="preserve"> </w:t>
      </w:r>
      <w:r>
        <w:t>fem. Qi</w:t>
      </w:r>
      <w:r w:rsidRPr="00124D4E">
        <w:rPr>
          <w:u w:val="single"/>
        </w:rPr>
        <w:t>sh</w:t>
      </w:r>
      <w:r>
        <w:t xml:space="preserve">ra[h or t], </w:t>
      </w:r>
      <w:r w:rsidRPr="00124D4E">
        <w:t xml:space="preserve">pl. </w:t>
      </w:r>
      <w:r>
        <w:t>Q</w:t>
      </w:r>
      <w:r w:rsidRPr="00124D4E">
        <w:t>u</w:t>
      </w:r>
      <w:r w:rsidRPr="00124D4E">
        <w:rPr>
          <w:u w:val="single"/>
        </w:rPr>
        <w:t>sh</w:t>
      </w:r>
      <w:r>
        <w:rPr>
          <w:u w:val="single"/>
        </w:rPr>
        <w:t>ú</w:t>
      </w:r>
      <w:r w:rsidRPr="00124D4E">
        <w:t>r</w:t>
      </w:r>
      <w:r>
        <w:tab/>
      </w:r>
      <w:r w:rsidRPr="00124D4E">
        <w:t>cover(ing), integument, envelope; shell; peel; rind, bark; skin, crust; scab; scurf; hull, husk, shuck; scales (of fish); slough (of a snake);</w:t>
      </w:r>
      <w:r>
        <w:t>—</w:t>
      </w:r>
      <w:r w:rsidRPr="00124D4E">
        <w:t>pl. trash, garbage, refuse; trivialities, banalities; externals, superficialities, formalities; dandruff</w:t>
      </w:r>
    </w:p>
    <w:p w14:paraId="07CC0FBF" w14:textId="77777777" w:rsidR="00625A5B" w:rsidRDefault="00625A5B" w:rsidP="00124D4E">
      <w:pPr>
        <w:pStyle w:val="Translit"/>
      </w:pPr>
      <w:r>
        <w:t>Qishri</w:t>
      </w:r>
      <w:r>
        <w:tab/>
        <w:t>Q</w:t>
      </w:r>
      <w:r w:rsidRPr="00124D4E">
        <w:t>i</w:t>
      </w:r>
      <w:r w:rsidRPr="00124D4E">
        <w:rPr>
          <w:u w:val="single"/>
        </w:rPr>
        <w:t>sh</w:t>
      </w:r>
      <w:r w:rsidRPr="00124D4E">
        <w:t>r</w:t>
      </w:r>
      <w:r>
        <w:t>í</w:t>
      </w:r>
      <w:r>
        <w:tab/>
      </w:r>
      <w:r w:rsidRPr="00124D4E">
        <w:t>scaly, scurfy, scabrous, squamous; crustaceous</w:t>
      </w:r>
      <w:r>
        <w:t>; superficial</w:t>
      </w:r>
    </w:p>
    <w:p w14:paraId="3A84D4B3" w14:textId="77777777" w:rsidR="00625A5B" w:rsidRPr="008F03E5" w:rsidRDefault="00625A5B" w:rsidP="00124D4E">
      <w:pPr>
        <w:pStyle w:val="Translit"/>
      </w:pPr>
      <w:r w:rsidRPr="008F03E5">
        <w:t>Qism, Aqsam</w:t>
      </w:r>
      <w:r w:rsidRPr="008F03E5">
        <w:tab/>
        <w:t>Qism, pl. Aqsám</w:t>
      </w:r>
      <w:r w:rsidRPr="008F03E5">
        <w:tab/>
        <w:t>part, share, allotment; portion; division, compartment; section; department; group, class; district, precinct; police precinct, police station (Egypt); administrative subdivision of a muḥáfaẓa (Egypt); subcommittee; kind, sort, specimen, species</w:t>
      </w:r>
    </w:p>
    <w:p w14:paraId="14E0A75A" w14:textId="77777777" w:rsidR="00625A5B" w:rsidRPr="008F03E5" w:rsidRDefault="00625A5B" w:rsidP="009E6282">
      <w:pPr>
        <w:pStyle w:val="Translit"/>
      </w:pPr>
      <w:r w:rsidRPr="00077779">
        <w:t>Qisma (Kismet), Qisam</w:t>
      </w:r>
      <w:r w:rsidRPr="00077779">
        <w:tab/>
        <w:t xml:space="preserve">Qisma[t], pl. </w:t>
      </w:r>
      <w:r w:rsidRPr="008F03E5">
        <w:t>Qismát, Qisam</w:t>
      </w:r>
      <w:r w:rsidRPr="008F03E5">
        <w:tab/>
        <w:t>dividing, division, distribution, allotment, apportionment; (mathematics) division (by);—(pl. qisam) part, portion, share, allotment; lot, destiny, fate (foreordained by God)</w:t>
      </w:r>
    </w:p>
    <w:p w14:paraId="0980F6C0" w14:textId="77777777" w:rsidR="00625A5B" w:rsidRPr="008F03E5" w:rsidRDefault="00625A5B" w:rsidP="009E60CB">
      <w:pPr>
        <w:pStyle w:val="Translit"/>
      </w:pPr>
      <w:r w:rsidRPr="008F03E5">
        <w:t>Qissa, Qisas</w:t>
      </w:r>
      <w:r w:rsidRPr="008F03E5">
        <w:tab/>
        <w:t>Qiṣṣa, pl. Qiṣaṣ</w:t>
      </w:r>
      <w:r w:rsidRPr="008F03E5">
        <w:tab/>
        <w:t>manner of cutting; cut;—(pl.) narrative, tale, story.</w:t>
      </w:r>
    </w:p>
    <w:p w14:paraId="3386C911" w14:textId="77777777" w:rsidR="00625A5B" w:rsidRPr="00077779" w:rsidRDefault="00625A5B" w:rsidP="00B86768">
      <w:pPr>
        <w:pStyle w:val="Translit"/>
        <w:rPr>
          <w:lang w:val="es-ES_tradnl"/>
        </w:rPr>
      </w:pPr>
      <w:r w:rsidRPr="00077779">
        <w:rPr>
          <w:lang w:val="es-ES_tradnl"/>
        </w:rPr>
        <w:t>Qistas al-Mustaqim</w:t>
      </w:r>
      <w:r w:rsidRPr="00077779">
        <w:rPr>
          <w:lang w:val="es-ES_tradnl"/>
        </w:rPr>
        <w:tab/>
        <w:t>al-Qisṭás al-Mustaqím</w:t>
      </w:r>
      <w:r w:rsidRPr="00077779">
        <w:rPr>
          <w:lang w:val="es-ES_tradnl"/>
        </w:rPr>
        <w:tab/>
        <w:t>True Balance (Qur’án 17:35, 26:182)</w:t>
      </w:r>
    </w:p>
    <w:p w14:paraId="54DC562F" w14:textId="77777777" w:rsidR="00625A5B" w:rsidRPr="008F03E5" w:rsidRDefault="00625A5B" w:rsidP="00EC09EE">
      <w:pPr>
        <w:pStyle w:val="Translit"/>
      </w:pPr>
      <w:r w:rsidRPr="008F03E5">
        <w:t>Qital</w:t>
      </w:r>
      <w:r w:rsidRPr="008F03E5">
        <w:tab/>
        <w:t>Qitál</w:t>
      </w:r>
      <w:r w:rsidRPr="008F03E5">
        <w:tab/>
        <w:t>fight, struggle, contention (against); combat, strife, battle.  See jihád</w:t>
      </w:r>
    </w:p>
    <w:p w14:paraId="23E32E14" w14:textId="77777777" w:rsidR="00625A5B" w:rsidRPr="008F03E5" w:rsidRDefault="00625A5B" w:rsidP="00361A3E">
      <w:pPr>
        <w:pStyle w:val="Translit"/>
      </w:pPr>
      <w:r w:rsidRPr="008F03E5">
        <w:t>Qiyama, Qiyamah, Qiyamat</w:t>
      </w:r>
      <w:r w:rsidRPr="008F03E5">
        <w:tab/>
        <w:t>Qiyáma[h or t]</w:t>
      </w:r>
      <w:r w:rsidRPr="008F03E5">
        <w:tab/>
        <w:t>resurrection; tumult, turmoil, upheaval, revolution, overthrow; guardianship.  At the end of time, the Qiyáma of bodies follows the annihilation of all creatures and precedes the Day of Judgement.  Qur’án 75:  al-Qíyámat (“The resurrection”).  In Bábí doctrine, it is the termination of a prophetic cycle and the start of a new one.</w:t>
      </w:r>
    </w:p>
    <w:p w14:paraId="5D6B8969" w14:textId="77777777" w:rsidR="00625A5B" w:rsidRPr="008F03E5" w:rsidRDefault="00625A5B" w:rsidP="00900A82">
      <w:pPr>
        <w:pStyle w:val="Translit"/>
      </w:pPr>
      <w:r w:rsidRPr="008F03E5">
        <w:t>Qiyas</w:t>
      </w:r>
      <w:r w:rsidRPr="008F03E5">
        <w:tab/>
        <w:t>Qiyás</w:t>
      </w:r>
      <w:r w:rsidRPr="008F03E5">
        <w:tab/>
        <w:t>analogical deduction</w:t>
      </w:r>
    </w:p>
    <w:p w14:paraId="01835A50" w14:textId="77777777" w:rsidR="00625A5B" w:rsidRPr="008F03E5" w:rsidRDefault="00625A5B" w:rsidP="00835A44">
      <w:pPr>
        <w:pStyle w:val="Translit"/>
      </w:pPr>
      <w:r w:rsidRPr="008F03E5">
        <w:t>Quba’</w:t>
      </w:r>
      <w:r w:rsidRPr="008F03E5">
        <w:tab/>
        <w:t>Qubá’</w:t>
      </w:r>
      <w:r w:rsidRPr="008F03E5">
        <w:tab/>
        <w:t>Former village (24.439296, 39.617262) 3.5 km south of the centre of al-Masjid an-Nabawí, Mecca.  Site of first mosque built by Muḥammad.</w:t>
      </w:r>
    </w:p>
    <w:p w14:paraId="272C6862" w14:textId="77777777" w:rsidR="00625A5B" w:rsidRPr="008F03E5" w:rsidRDefault="00625A5B" w:rsidP="00835A44">
      <w:pPr>
        <w:pStyle w:val="Translit"/>
      </w:pPr>
      <w:r w:rsidRPr="008F03E5">
        <w:t>Qubba, Qibab, Qubab</w:t>
      </w:r>
      <w:r w:rsidRPr="008F03E5">
        <w:tab/>
        <w:t>Qubba[h or t], pl. Qibáb, Qubab</w:t>
      </w:r>
      <w:r w:rsidRPr="008F03E5">
        <w:tab/>
        <w:t>cupola, dome; cupolaed structure, dome-shaped edifice; domed shrine, memorial shrine, kubba (especially of a saint)</w:t>
      </w:r>
    </w:p>
    <w:p w14:paraId="6DAD4FB7" w14:textId="77777777" w:rsidR="00625A5B" w:rsidRPr="008F03E5" w:rsidRDefault="00625A5B" w:rsidP="0096590E">
      <w:pPr>
        <w:pStyle w:val="Translit"/>
      </w:pPr>
      <w:r w:rsidRPr="008F03E5">
        <w:t>Qubbat al-Khadra’</w:t>
      </w:r>
      <w:r w:rsidRPr="008F03E5">
        <w:tab/>
        <w:t>Qubbat al-</w:t>
      </w:r>
      <w:r w:rsidRPr="008F03E5">
        <w:rPr>
          <w:u w:val="single"/>
        </w:rPr>
        <w:t>Kh</w:t>
      </w:r>
      <w:r w:rsidRPr="008F03E5">
        <w:t>aḍrá’</w:t>
      </w:r>
      <w:r w:rsidRPr="008F03E5">
        <w:tab/>
        <w:t>“green dome”, name given to the horse mounted formation of Muḥammad and His escort wearing shiny green coats of arms (CE 630) en route to Mecca.  Qubbah al-</w:t>
      </w:r>
      <w:r w:rsidRPr="008F03E5">
        <w:rPr>
          <w:u w:val="single"/>
        </w:rPr>
        <w:t>Kh</w:t>
      </w:r>
      <w:r w:rsidRPr="008F03E5">
        <w:t xml:space="preserve">aḍrá’ was built above the tomb of Muḥammad and early Muslim Caliphs, Abú Bakr and ‘Umar.  The dome is now in the </w:t>
      </w:r>
      <w:r w:rsidRPr="008F03E5">
        <w:rPr>
          <w:sz w:val="16"/>
          <w:szCs w:val="16"/>
        </w:rPr>
        <w:t>SE</w:t>
      </w:r>
      <w:r w:rsidRPr="008F03E5">
        <w:t xml:space="preserve"> corner of the expanded al-Masjid a</w:t>
      </w:r>
      <w:r>
        <w:t>n</w:t>
      </w:r>
      <w:r w:rsidRPr="008F03E5">
        <w:t>-Nabawí (Mosque of the Prophet), located in the traditional centre of Medina.</w:t>
      </w:r>
    </w:p>
    <w:p w14:paraId="2CD81C33" w14:textId="77777777" w:rsidR="00625A5B" w:rsidRPr="008F03E5" w:rsidRDefault="00625A5B" w:rsidP="00900A82">
      <w:pPr>
        <w:pStyle w:val="Translit"/>
      </w:pPr>
      <w:r w:rsidRPr="008F03E5">
        <w:t>Qubbata’s-Sakhrah</w:t>
      </w:r>
      <w:r w:rsidRPr="008F03E5">
        <w:tab/>
        <w:t>Qubbata’ṣ-Ṣa</w:t>
      </w:r>
      <w:r w:rsidRPr="008F03E5">
        <w:rPr>
          <w:u w:val="single"/>
        </w:rPr>
        <w:t>kh</w:t>
      </w:r>
      <w:r w:rsidRPr="008F03E5">
        <w:t>rah</w:t>
      </w:r>
      <w:r w:rsidRPr="008F03E5">
        <w:tab/>
        <w:t>Dome of the Rock, on the “Temple Mount”, Jerusalem</w:t>
      </w:r>
    </w:p>
    <w:p w14:paraId="79BEA438" w14:textId="77777777" w:rsidR="00625A5B" w:rsidRPr="008F03E5" w:rsidRDefault="00625A5B" w:rsidP="00F8262F">
      <w:pPr>
        <w:pStyle w:val="Translit"/>
      </w:pPr>
      <w:r w:rsidRPr="008F03E5">
        <w:t>Quch</w:t>
      </w:r>
      <w:r w:rsidRPr="008F03E5">
        <w:tab/>
        <w:t>Qú</w:t>
      </w:r>
      <w:r w:rsidRPr="008F03E5">
        <w:rPr>
          <w:u w:val="single"/>
        </w:rPr>
        <w:t>ch</w:t>
      </w:r>
      <w:r w:rsidRPr="008F03E5">
        <w:tab/>
        <w:t>Pers. a horned fighting-ram; a buck</w:t>
      </w:r>
    </w:p>
    <w:p w14:paraId="21AEF46D" w14:textId="77777777" w:rsidR="00625A5B" w:rsidRPr="008F03E5" w:rsidRDefault="00625A5B" w:rsidP="006D6FD6">
      <w:pPr>
        <w:pStyle w:val="Translit"/>
      </w:pPr>
      <w:r w:rsidRPr="008F03E5">
        <w:t>Quchan</w:t>
      </w:r>
      <w:r w:rsidRPr="008F03E5">
        <w:tab/>
        <w:t>Qú</w:t>
      </w:r>
      <w:r w:rsidRPr="008F03E5">
        <w:rPr>
          <w:u w:val="single"/>
        </w:rPr>
        <w:t>ch</w:t>
      </w:r>
      <w:r w:rsidRPr="008F03E5">
        <w:t>án</w:t>
      </w:r>
      <w:r w:rsidRPr="008F03E5">
        <w:tab/>
        <w:t>city and capital of Qú</w:t>
      </w:r>
      <w:r w:rsidRPr="008F03E5">
        <w:rPr>
          <w:u w:val="single"/>
        </w:rPr>
        <w:t>ch</w:t>
      </w:r>
      <w:r w:rsidRPr="008F03E5">
        <w:t xml:space="preserve">án County, </w:t>
      </w:r>
      <w:r w:rsidRPr="008F03E5">
        <w:rPr>
          <w:sz w:val="16"/>
          <w:szCs w:val="16"/>
        </w:rPr>
        <w:t>NE</w:t>
      </w:r>
      <w:r w:rsidRPr="008F03E5">
        <w:t xml:space="preserve"> Iran; 90 km south of the border city of Ashkhabad (A</w:t>
      </w:r>
      <w:r w:rsidRPr="008F03E5">
        <w:rPr>
          <w:u w:val="single"/>
        </w:rPr>
        <w:t>sh</w:t>
      </w:r>
      <w:r w:rsidRPr="008F03E5">
        <w:t xml:space="preserve">qábád).  Sometimes called </w:t>
      </w:r>
      <w:r w:rsidRPr="008F03E5">
        <w:rPr>
          <w:u w:val="single"/>
          <w:lang w:eastAsia="en-US"/>
        </w:rPr>
        <w:t>Kh</w:t>
      </w:r>
      <w:r w:rsidRPr="008F03E5">
        <w:rPr>
          <w:lang w:eastAsia="en-US"/>
        </w:rPr>
        <w:t>abú</w:t>
      </w:r>
      <w:r w:rsidRPr="008F03E5">
        <w:rPr>
          <w:u w:val="single"/>
          <w:lang w:eastAsia="en-US"/>
        </w:rPr>
        <w:t>sh</w:t>
      </w:r>
      <w:r w:rsidRPr="008F03E5">
        <w:rPr>
          <w:lang w:eastAsia="en-US"/>
        </w:rPr>
        <w:t xml:space="preserve">án, also name of a village 30 km </w:t>
      </w:r>
      <w:r w:rsidRPr="008F03E5">
        <w:rPr>
          <w:sz w:val="16"/>
          <w:szCs w:val="16"/>
        </w:rPr>
        <w:t>NW</w:t>
      </w:r>
      <w:r w:rsidRPr="008F03E5">
        <w:rPr>
          <w:lang w:eastAsia="en-US"/>
        </w:rPr>
        <w:t xml:space="preserve"> of Q</w:t>
      </w:r>
      <w:r w:rsidRPr="008F03E5">
        <w:t>ú</w:t>
      </w:r>
      <w:r w:rsidRPr="008F03E5">
        <w:rPr>
          <w:u w:val="single"/>
          <w:lang w:eastAsia="en-US"/>
        </w:rPr>
        <w:t>ch</w:t>
      </w:r>
      <w:r w:rsidRPr="008F03E5">
        <w:t>á</w:t>
      </w:r>
      <w:r w:rsidRPr="008F03E5">
        <w:rPr>
          <w:lang w:eastAsia="en-US"/>
        </w:rPr>
        <w:t xml:space="preserve">n.  Old </w:t>
      </w:r>
      <w:r w:rsidRPr="008F03E5">
        <w:t>Qú</w:t>
      </w:r>
      <w:r w:rsidRPr="008F03E5">
        <w:rPr>
          <w:u w:val="single"/>
        </w:rPr>
        <w:t>ch</w:t>
      </w:r>
      <w:r w:rsidRPr="008F03E5">
        <w:t>án (37.131218, 58.486137) was d</w:t>
      </w:r>
      <w:r w:rsidRPr="008F03E5">
        <w:rPr>
          <w:lang w:eastAsia="en-US"/>
        </w:rPr>
        <w:t xml:space="preserve">estroyed (with a huge loss of life) by an earthquake on 17 November 1893 and again 17 January 1895.  City was moved 3.5 km </w:t>
      </w:r>
      <w:r w:rsidRPr="008F03E5">
        <w:rPr>
          <w:sz w:val="16"/>
          <w:szCs w:val="16"/>
        </w:rPr>
        <w:t>SE</w:t>
      </w:r>
      <w:r w:rsidRPr="008F03E5">
        <w:rPr>
          <w:lang w:eastAsia="en-US"/>
        </w:rPr>
        <w:t>.</w:t>
      </w:r>
    </w:p>
    <w:p w14:paraId="4FE3CBA5" w14:textId="77777777" w:rsidR="00625A5B" w:rsidRPr="008F03E5" w:rsidRDefault="00625A5B" w:rsidP="0081098E">
      <w:pPr>
        <w:pStyle w:val="Translit"/>
        <w:rPr>
          <w:b/>
          <w:bCs/>
        </w:rPr>
      </w:pPr>
      <w:r w:rsidRPr="008F03E5">
        <w:t>Quch-Hisar</w:t>
      </w:r>
      <w:r w:rsidRPr="008F03E5">
        <w:tab/>
        <w:t>Qú</w:t>
      </w:r>
      <w:r w:rsidRPr="008F03E5">
        <w:rPr>
          <w:u w:val="single"/>
        </w:rPr>
        <w:t>ch</w:t>
      </w:r>
      <w:r w:rsidRPr="008F03E5">
        <w:t>-Ḥiṣár</w:t>
      </w:r>
      <w:r w:rsidRPr="008F03E5">
        <w:tab/>
        <w:t xml:space="preserve">Pers. “ram fence”, a former village (35.547045, 51.445648), about 10 km </w:t>
      </w:r>
      <w:r w:rsidRPr="008F03E5">
        <w:rPr>
          <w:sz w:val="16"/>
          <w:szCs w:val="16"/>
        </w:rPr>
        <w:t>SSE</w:t>
      </w:r>
      <w:r w:rsidRPr="008F03E5">
        <w:t xml:space="preserve"> of the centre of Ṭihrán (in Ray district), which was once owned by Bahá’u’lláh.  Bahá’u’lláh transferred the title to a sister of Muḥammad </w:t>
      </w:r>
      <w:r w:rsidRPr="008F03E5">
        <w:rPr>
          <w:u w:val="single"/>
        </w:rPr>
        <w:t>Sh</w:t>
      </w:r>
      <w:r w:rsidRPr="008F03E5">
        <w:t>áh to avoid Ḥájí Mírzá Áqásí purchasing it.</w:t>
      </w:r>
    </w:p>
    <w:p w14:paraId="71084ECE" w14:textId="77777777" w:rsidR="00625A5B" w:rsidRPr="008F03E5" w:rsidRDefault="00625A5B" w:rsidP="008518FF">
      <w:pPr>
        <w:pStyle w:val="Translit"/>
      </w:pPr>
      <w:r w:rsidRPr="008F03E5">
        <w:t>Quddus, Qaddus</w:t>
      </w:r>
      <w:r w:rsidRPr="008F03E5">
        <w:tab/>
        <w:t>Quddús, Qaddús</w:t>
      </w:r>
      <w:r w:rsidRPr="008F03E5">
        <w:tab/>
        <w:t>most holy, All-Holy (God).  al-Quddús “The Most Holy” One.  The title of Muḥammad-‘Alí of Bárfurú</w:t>
      </w:r>
      <w:r w:rsidRPr="008F03E5">
        <w:rPr>
          <w:u w:val="single"/>
        </w:rPr>
        <w:t>sh</w:t>
      </w:r>
      <w:r w:rsidRPr="008F03E5">
        <w:t>, last of the 18 Letters of the Living, second only to the Báb in rank among the Bábís.  Father was Áqá Muḥammad Ṣáliḥ.</w:t>
      </w:r>
    </w:p>
    <w:p w14:paraId="66C43B2E" w14:textId="77777777" w:rsidR="00625A5B" w:rsidRPr="008F03E5" w:rsidRDefault="00625A5B" w:rsidP="004D40DF">
      <w:pPr>
        <w:pStyle w:val="Translit"/>
      </w:pPr>
      <w:r w:rsidRPr="008F03E5">
        <w:t>Qudra (Qudrat)</w:t>
      </w:r>
      <w:r w:rsidRPr="008F03E5">
        <w:tab/>
        <w:t>Qudra[t]</w:t>
      </w:r>
      <w:r w:rsidRPr="008F03E5">
        <w:tab/>
        <w:t>faculty (of), being able; power, strength (for); capacity, ability, capability, aptitude, potency; prowess, courage, audacity; one of the attributes of God, omnipotence (of God), providence, prescience; the creation, universe, nature; destiny</w:t>
      </w:r>
    </w:p>
    <w:p w14:paraId="111F47C7" w14:textId="77777777" w:rsidR="00625A5B" w:rsidRPr="008F03E5" w:rsidRDefault="00625A5B" w:rsidP="00900A82">
      <w:pPr>
        <w:pStyle w:val="Translit"/>
        <w:rPr>
          <w:rFonts w:eastAsia="PMingLiU"/>
          <w:lang w:eastAsia="zh-TW"/>
        </w:rPr>
      </w:pPr>
      <w:r w:rsidRPr="008F03E5">
        <w:rPr>
          <w:rFonts w:eastAsia="PMingLiU"/>
          <w:lang w:eastAsia="zh-TW"/>
        </w:rPr>
        <w:t>Qudratu’llah</w:t>
      </w:r>
      <w:r w:rsidRPr="008F03E5">
        <w:tab/>
      </w:r>
      <w:r w:rsidRPr="008F03E5">
        <w:rPr>
          <w:rFonts w:eastAsia="PMingLiU"/>
          <w:lang w:eastAsia="zh-TW"/>
        </w:rPr>
        <w:t>Qudratu’lláh</w:t>
      </w:r>
      <w:r w:rsidRPr="008F03E5">
        <w:tab/>
        <w:t>“Power of God”</w:t>
      </w:r>
    </w:p>
    <w:p w14:paraId="78115EA1" w14:textId="77777777" w:rsidR="00625A5B" w:rsidRPr="008F03E5" w:rsidRDefault="00625A5B" w:rsidP="00BC0DBB">
      <w:pPr>
        <w:pStyle w:val="Translit"/>
      </w:pPr>
      <w:r w:rsidRPr="00077779">
        <w:t>Quds, Qudus, Aqdas</w:t>
      </w:r>
      <w:r w:rsidRPr="00077779">
        <w:tab/>
        <w:t xml:space="preserve">Quds, Qudus, pl. </w:t>
      </w:r>
      <w:r w:rsidRPr="008F03E5">
        <w:t>Aqdás</w:t>
      </w:r>
      <w:r w:rsidRPr="008F03E5">
        <w:tab/>
        <w:t>holiness, sacredness, sanctity;—pl. sanctuary, shrine</w:t>
      </w:r>
    </w:p>
    <w:p w14:paraId="4D682F50" w14:textId="77777777" w:rsidR="00625A5B" w:rsidRPr="008F03E5" w:rsidRDefault="00625A5B" w:rsidP="00BA2FA0">
      <w:pPr>
        <w:pStyle w:val="Translit"/>
      </w:pPr>
      <w:r w:rsidRPr="008F03E5">
        <w:t>Qudsi, Qudsiyan</w:t>
      </w:r>
      <w:r w:rsidRPr="008F03E5">
        <w:tab/>
        <w:t>Qudsí, pl. Qudsiyán</w:t>
      </w:r>
      <w:r w:rsidRPr="008F03E5">
        <w:tab/>
        <w:t>holy, sacred; saintly; saint</w:t>
      </w:r>
    </w:p>
    <w:p w14:paraId="30EBEE66" w14:textId="77777777" w:rsidR="00625A5B" w:rsidRPr="008F03E5" w:rsidRDefault="00625A5B" w:rsidP="009B6436">
      <w:pPr>
        <w:pStyle w:val="Translit"/>
      </w:pPr>
      <w:r w:rsidRPr="008F03E5">
        <w:t>Qudsiya (Ghodsia, Ghodsieh), Qudsiyyih</w:t>
      </w:r>
      <w:r w:rsidRPr="008F03E5">
        <w:tab/>
        <w:t>Qudsíya[h or t], Pers. Qudsiyyih</w:t>
      </w:r>
      <w:r w:rsidRPr="008F03E5">
        <w:tab/>
        <w:t>holiness, sacredness, sanctity; saintliness</w:t>
      </w:r>
    </w:p>
    <w:p w14:paraId="66258CD4" w14:textId="77777777" w:rsidR="00625A5B" w:rsidRPr="008F03E5" w:rsidRDefault="00625A5B" w:rsidP="00B418F0">
      <w:pPr>
        <w:pStyle w:val="Translit"/>
      </w:pPr>
      <w:r w:rsidRPr="001B0D62">
        <w:rPr>
          <w:lang w:val="en-AU"/>
        </w:rPr>
        <w:t>Quffa (Quffih), Qufaf</w:t>
      </w:r>
      <w:r w:rsidRPr="001B0D62">
        <w:rPr>
          <w:lang w:val="en-AU"/>
        </w:rPr>
        <w:tab/>
        <w:t xml:space="preserve">Quffa[h or t], pl. </w:t>
      </w:r>
      <w:r w:rsidRPr="008F03E5">
        <w:t>Qufaf</w:t>
      </w:r>
      <w:r w:rsidRPr="008F03E5">
        <w:tab/>
        <w:t>large basket; (Mesopotamian) round boat, gufa (Iraqi)</w:t>
      </w:r>
    </w:p>
    <w:p w14:paraId="49988FAF" w14:textId="77777777" w:rsidR="00625A5B" w:rsidRPr="008F03E5" w:rsidRDefault="00625A5B" w:rsidP="003D0552">
      <w:pPr>
        <w:pStyle w:val="Translit"/>
      </w:pPr>
      <w:r w:rsidRPr="003D0552">
        <w:t>Quhaf, Quhafa</w:t>
      </w:r>
      <w:r w:rsidRPr="003D0552">
        <w:tab/>
        <w:t>Quḥáf</w:t>
      </w:r>
      <w:r>
        <w:t xml:space="preserve">, fem. </w:t>
      </w:r>
      <w:r w:rsidRPr="003D0552">
        <w:t>Quḥáf</w:t>
      </w:r>
      <w:r>
        <w:t>a[h or t]</w:t>
      </w:r>
      <w:r w:rsidRPr="003D0552">
        <w:tab/>
        <w:t xml:space="preserve">torrential (river).  </w:t>
      </w:r>
      <w:r>
        <w:t>‘</w:t>
      </w:r>
      <w:r w:rsidRPr="003D0552">
        <w:t>U</w:t>
      </w:r>
      <w:r w:rsidRPr="003D0552">
        <w:rPr>
          <w:u w:val="single"/>
        </w:rPr>
        <w:t>th</w:t>
      </w:r>
      <w:r w:rsidRPr="003D0552">
        <w:t>m</w:t>
      </w:r>
      <w:r>
        <w:t>á</w:t>
      </w:r>
      <w:r w:rsidRPr="003D0552">
        <w:t xml:space="preserve">n </w:t>
      </w:r>
      <w:r>
        <w:t>‘</w:t>
      </w:r>
      <w:r w:rsidRPr="003D0552">
        <w:t>Ab</w:t>
      </w:r>
      <w:r>
        <w:t>ú</w:t>
      </w:r>
      <w:r w:rsidRPr="003D0552">
        <w:t xml:space="preserve"> Quḥ</w:t>
      </w:r>
      <w:r>
        <w:t>á</w:t>
      </w:r>
      <w:r w:rsidRPr="003D0552">
        <w:t xml:space="preserve">fah ibn </w:t>
      </w:r>
      <w:r>
        <w:t>‘Á</w:t>
      </w:r>
      <w:r w:rsidRPr="003D0552">
        <w:t>mir</w:t>
      </w:r>
      <w:r>
        <w:t xml:space="preserve"> (</w:t>
      </w:r>
      <w:r w:rsidRPr="00074C6F">
        <w:rPr>
          <w:sz w:val="16"/>
          <w:szCs w:val="16"/>
        </w:rPr>
        <w:t>CE</w:t>
      </w:r>
      <w:r>
        <w:t xml:space="preserve"> </w:t>
      </w:r>
      <w:r w:rsidRPr="003D0552">
        <w:t>540</w:t>
      </w:r>
      <w:r>
        <w:t>–</w:t>
      </w:r>
      <w:r w:rsidRPr="003D0552">
        <w:t>635),</w:t>
      </w:r>
      <w:r>
        <w:t xml:space="preserve"> </w:t>
      </w:r>
      <w:r w:rsidRPr="003D0552">
        <w:t>father of the first</w:t>
      </w:r>
      <w:r>
        <w:t xml:space="preserve"> </w:t>
      </w:r>
      <w:r w:rsidRPr="003D0552">
        <w:t>Rashidun caliph,</w:t>
      </w:r>
      <w:r>
        <w:t xml:space="preserve"> </w:t>
      </w:r>
      <w:r w:rsidRPr="000771B2">
        <w:t>Abú Bakr</w:t>
      </w:r>
      <w:r>
        <w:t>.</w:t>
      </w:r>
    </w:p>
    <w:p w14:paraId="7CCD1146" w14:textId="77777777" w:rsidR="00625A5B" w:rsidRPr="008F03E5" w:rsidRDefault="00625A5B" w:rsidP="003D0552">
      <w:pPr>
        <w:pStyle w:val="Translit"/>
      </w:pPr>
      <w:r w:rsidRPr="008F03E5">
        <w:t>Quhaf</w:t>
      </w:r>
      <w:r>
        <w:t>a</w:t>
      </w:r>
      <w:r w:rsidRPr="008F03E5">
        <w:tab/>
        <w:t>Quḥáf</w:t>
      </w:r>
      <w:r>
        <w:t>a</w:t>
      </w:r>
      <w:r w:rsidRPr="008F03E5">
        <w:tab/>
      </w:r>
      <w:r>
        <w:t xml:space="preserve">torrential (river).  </w:t>
      </w:r>
      <w:r w:rsidRPr="003D0552">
        <w:t>ʿU</w:t>
      </w:r>
      <w:r w:rsidRPr="003D0552">
        <w:rPr>
          <w:u w:val="single"/>
        </w:rPr>
        <w:t>th</w:t>
      </w:r>
      <w:r w:rsidRPr="003D0552">
        <w:t>m</w:t>
      </w:r>
      <w:r>
        <w:t>á</w:t>
      </w:r>
      <w:r w:rsidRPr="003D0552">
        <w:t xml:space="preserve">n </w:t>
      </w:r>
      <w:r>
        <w:t>‘</w:t>
      </w:r>
      <w:r w:rsidRPr="003D0552">
        <w:t>Ab</w:t>
      </w:r>
      <w:r>
        <w:t>ú</w:t>
      </w:r>
      <w:r w:rsidRPr="003D0552">
        <w:t xml:space="preserve"> Quḥ</w:t>
      </w:r>
      <w:r>
        <w:t>á</w:t>
      </w:r>
      <w:r w:rsidRPr="003D0552">
        <w:t xml:space="preserve">fah ibn </w:t>
      </w:r>
      <w:r>
        <w:t>‘Á</w:t>
      </w:r>
      <w:r w:rsidRPr="003D0552">
        <w:t>mir</w:t>
      </w:r>
      <w:r>
        <w:t xml:space="preserve"> (</w:t>
      </w:r>
      <w:r w:rsidRPr="00074C6F">
        <w:rPr>
          <w:sz w:val="16"/>
          <w:szCs w:val="16"/>
        </w:rPr>
        <w:t>CE</w:t>
      </w:r>
      <w:r>
        <w:t xml:space="preserve"> </w:t>
      </w:r>
      <w:r w:rsidRPr="003D0552">
        <w:t>540</w:t>
      </w:r>
      <w:r>
        <w:t>–</w:t>
      </w:r>
      <w:r w:rsidRPr="003D0552">
        <w:t>635),</w:t>
      </w:r>
      <w:r>
        <w:t xml:space="preserve"> </w:t>
      </w:r>
      <w:r w:rsidRPr="003D0552">
        <w:t>was the father of the first</w:t>
      </w:r>
      <w:r>
        <w:t xml:space="preserve"> </w:t>
      </w:r>
      <w:r w:rsidRPr="003D0552">
        <w:t>Rashidun caliph,</w:t>
      </w:r>
      <w:r>
        <w:t xml:space="preserve"> </w:t>
      </w:r>
      <w:r w:rsidRPr="000771B2">
        <w:t>Abú Bakr</w:t>
      </w:r>
    </w:p>
    <w:p w14:paraId="621CAF6D" w14:textId="77777777" w:rsidR="00625A5B" w:rsidRPr="008F03E5" w:rsidRDefault="00625A5B" w:rsidP="00CA5658">
      <w:pPr>
        <w:pStyle w:val="Translit"/>
      </w:pPr>
      <w:r w:rsidRPr="00077779">
        <w:rPr>
          <w:lang w:val="en-AU"/>
        </w:rPr>
        <w:t>Quhistan, Kuhistan</w:t>
      </w:r>
      <w:r w:rsidRPr="00077779">
        <w:rPr>
          <w:lang w:val="en-AU"/>
        </w:rPr>
        <w:tab/>
        <w:t>Quhistán, also Kuhistán</w:t>
      </w:r>
      <w:r w:rsidRPr="00077779">
        <w:rPr>
          <w:lang w:val="en-AU"/>
        </w:rPr>
        <w:tab/>
        <w:t xml:space="preserve">Pers. </w:t>
      </w:r>
      <w:r w:rsidRPr="008F03E5">
        <w:t>“mountainous land”.  Name of many places/regions in Afghanistan, Pakistan and Tajikistan, including a region of medieval Persia, the southern part of the Greater Khorasan Province (see Khurásán).</w:t>
      </w:r>
    </w:p>
    <w:p w14:paraId="0182D253" w14:textId="77777777" w:rsidR="00625A5B" w:rsidRPr="008F03E5" w:rsidRDefault="00625A5B" w:rsidP="00F8262F">
      <w:pPr>
        <w:pStyle w:val="Translit"/>
      </w:pPr>
      <w:r w:rsidRPr="008F03E5">
        <w:t>Qulam</w:t>
      </w:r>
      <w:r w:rsidRPr="008F03E5">
        <w:rPr>
          <w:rFonts w:eastAsia="PMingLiU"/>
          <w:lang w:eastAsia="zh-TW"/>
        </w:rPr>
        <w:t>-‘</w:t>
      </w:r>
      <w:r w:rsidRPr="008F03E5">
        <w:t>Ali</w:t>
      </w:r>
      <w:r w:rsidRPr="008F03E5">
        <w:tab/>
        <w:t>Qulám-‘Alí</w:t>
      </w:r>
      <w:r w:rsidRPr="008F03E5">
        <w:tab/>
      </w:r>
    </w:p>
    <w:p w14:paraId="12CB78F2" w14:textId="77777777" w:rsidR="00625A5B" w:rsidRPr="00020D7A" w:rsidRDefault="00625A5B" w:rsidP="00CF7F28">
      <w:pPr>
        <w:pStyle w:val="Translit"/>
      </w:pPr>
      <w:r w:rsidRPr="00020D7A">
        <w:t>Qulam</w:t>
      </w:r>
      <w:r w:rsidRPr="00020D7A">
        <w:rPr>
          <w:rFonts w:eastAsia="PMingLiU"/>
          <w:lang w:eastAsia="zh-TW"/>
        </w:rPr>
        <w:t>-‘</w:t>
      </w:r>
      <w:r w:rsidRPr="00020D7A">
        <w:t>Aliy-i-Najjar</w:t>
      </w:r>
      <w:r w:rsidRPr="00020D7A">
        <w:tab/>
        <w:t>Qulám-‘Alíy-i-Najjár</w:t>
      </w:r>
      <w:r w:rsidRPr="00020D7A">
        <w:tab/>
        <w:t>(</w:t>
      </w:r>
      <w:r w:rsidRPr="00020D7A">
        <w:rPr>
          <w:sz w:val="16"/>
          <w:szCs w:val="16"/>
        </w:rPr>
        <w:t>MF</w:t>
      </w:r>
      <w:r w:rsidRPr="00020D7A">
        <w:t>)</w:t>
      </w:r>
    </w:p>
    <w:p w14:paraId="22EB97A3" w14:textId="77777777" w:rsidR="00625A5B" w:rsidRPr="008F03E5" w:rsidRDefault="00625A5B" w:rsidP="00900A82">
      <w:pPr>
        <w:pStyle w:val="Translit"/>
      </w:pPr>
      <w:r w:rsidRPr="008F03E5">
        <w:t>Qulam-Husayn</w:t>
      </w:r>
      <w:r w:rsidRPr="008F03E5">
        <w:tab/>
        <w:t>Qulám-Ḥusayn</w:t>
      </w:r>
      <w:r w:rsidRPr="008F03E5">
        <w:tab/>
      </w:r>
    </w:p>
    <w:p w14:paraId="4324FE47" w14:textId="77777777" w:rsidR="00625A5B" w:rsidRPr="008F03E5" w:rsidRDefault="00625A5B" w:rsidP="00144968">
      <w:pPr>
        <w:pStyle w:val="Translit"/>
      </w:pPr>
      <w:r w:rsidRPr="008F03E5">
        <w:t>Qulhak (Qolhak or Gholhak)</w:t>
      </w:r>
      <w:r w:rsidRPr="008F03E5">
        <w:tab/>
        <w:t>Qulhak</w:t>
      </w:r>
      <w:r w:rsidRPr="008F03E5">
        <w:tab/>
        <w:t xml:space="preserve">(Gholo-hak or Gulahek)—once a village (35.773919, 51.444023) and one of the well-known and delightful summer resorts of Ṭihrán [now District 3 in the </w:t>
      </w:r>
      <w:r w:rsidRPr="008F03E5">
        <w:rPr>
          <w:sz w:val="16"/>
          <w:szCs w:val="16"/>
        </w:rPr>
        <w:t>NE</w:t>
      </w:r>
      <w:r w:rsidRPr="008F03E5">
        <w:t xml:space="preserve"> of the city]</w:t>
      </w:r>
    </w:p>
    <w:p w14:paraId="7D3BB282" w14:textId="77777777" w:rsidR="00625A5B" w:rsidRPr="008F03E5" w:rsidRDefault="00625A5B" w:rsidP="00CF7F28">
      <w:pPr>
        <w:pStyle w:val="Translit"/>
      </w:pPr>
      <w:r w:rsidRPr="008F03E5">
        <w:t>Quli (Ghuli, Gholi, Kuli)</w:t>
      </w:r>
      <w:r w:rsidRPr="008F03E5">
        <w:tab/>
        <w:t>Qulí</w:t>
      </w:r>
      <w:r w:rsidRPr="008F03E5">
        <w:tab/>
        <w:t>“son of”</w:t>
      </w:r>
    </w:p>
    <w:p w14:paraId="763C1D1C" w14:textId="77777777" w:rsidR="00625A5B" w:rsidRPr="008F03E5" w:rsidRDefault="00625A5B" w:rsidP="001E5F2B">
      <w:pPr>
        <w:pStyle w:val="Translit"/>
      </w:pPr>
      <w:r w:rsidRPr="008F03E5">
        <w:t>Quli Khan</w:t>
      </w:r>
      <w:r w:rsidRPr="008F03E5">
        <w:tab/>
        <w:t xml:space="preserve">‘Alí-Qulí </w:t>
      </w:r>
      <w:r w:rsidRPr="008F03E5">
        <w:rPr>
          <w:u w:val="single"/>
        </w:rPr>
        <w:t>Kh</w:t>
      </w:r>
      <w:r w:rsidRPr="008F03E5">
        <w:t>án</w:t>
      </w:r>
      <w:r w:rsidRPr="008F03E5">
        <w:tab/>
        <w:t>better known as Ali-Kuli Khan.  In the early days the nom-de-plume Eshte’al al-Ebn Kalanter (I</w:t>
      </w:r>
      <w:r w:rsidRPr="008F03E5">
        <w:rPr>
          <w:u w:val="single"/>
        </w:rPr>
        <w:t>sh</w:t>
      </w:r>
      <w:r w:rsidRPr="008F03E5">
        <w:t>ti‘ál ibn-i-Kalántar) was used in his writings and translations.</w:t>
      </w:r>
    </w:p>
    <w:p w14:paraId="7B35ACFC" w14:textId="77777777" w:rsidR="00625A5B" w:rsidRPr="008F03E5" w:rsidRDefault="00625A5B" w:rsidP="00E77A68">
      <w:pPr>
        <w:pStyle w:val="Translit"/>
      </w:pPr>
      <w:r w:rsidRPr="008F03E5">
        <w:t>Quliy-i-Sabziwari</w:t>
      </w:r>
      <w:r w:rsidRPr="008F03E5">
        <w:tab/>
        <w:t>Qulíy-i-Sabziwárí</w:t>
      </w:r>
      <w:r w:rsidRPr="008F03E5">
        <w:tab/>
        <w:t>Mírzá Muḥammad Qulíy-i-Sabziwárí, a mujtahid of Yazd who was martyed</w:t>
      </w:r>
    </w:p>
    <w:p w14:paraId="553A3C74" w14:textId="77777777" w:rsidR="00625A5B" w:rsidRPr="008F03E5" w:rsidRDefault="00625A5B" w:rsidP="00113236">
      <w:pPr>
        <w:pStyle w:val="Translit"/>
      </w:pPr>
      <w:r w:rsidRPr="008F03E5">
        <w:t>Qulla</w:t>
      </w:r>
      <w:r w:rsidRPr="008F03E5">
        <w:tab/>
        <w:t>Qulla</w:t>
      </w:r>
      <w:r w:rsidRPr="008F03E5">
        <w:tab/>
        <w:t>Pers. (Ar. influence) the top of a mountain; a large ewer</w:t>
      </w:r>
    </w:p>
    <w:p w14:paraId="362E0030" w14:textId="77777777" w:rsidR="00625A5B" w:rsidRPr="008F03E5" w:rsidRDefault="00625A5B" w:rsidP="00113236">
      <w:pPr>
        <w:pStyle w:val="Translit"/>
      </w:pPr>
      <w:r w:rsidRPr="008F03E5">
        <w:t>Qum (Ghom, Gom), Qumm</w:t>
      </w:r>
      <w:r w:rsidRPr="008F03E5">
        <w:tab/>
        <w:t>Qum</w:t>
      </w:r>
      <w:r w:rsidRPr="008F03E5">
        <w:tab/>
        <w:t xml:space="preserve">holy city 130 km </w:t>
      </w:r>
      <w:r w:rsidRPr="008F03E5">
        <w:rPr>
          <w:sz w:val="16"/>
          <w:szCs w:val="16"/>
        </w:rPr>
        <w:t>SSW</w:t>
      </w:r>
      <w:r w:rsidRPr="008F03E5">
        <w:t xml:space="preserve"> of Ṭihrán, location of the Shrine of Ma’ṣúmih, the sister of Imám Riṣá, the eighth Imám</w:t>
      </w:r>
    </w:p>
    <w:p w14:paraId="1DCA074F" w14:textId="77777777" w:rsidR="00625A5B" w:rsidRPr="008F03E5" w:rsidRDefault="00625A5B" w:rsidP="00DF7E15">
      <w:pPr>
        <w:pStyle w:val="Translit"/>
      </w:pPr>
      <w:r w:rsidRPr="008F03E5">
        <w:t>Qumi (Ghomi, Gomi), Qummi</w:t>
      </w:r>
      <w:r w:rsidRPr="008F03E5">
        <w:tab/>
        <w:t>Qumí (Qummí)</w:t>
      </w:r>
      <w:r w:rsidRPr="008F03E5">
        <w:tab/>
        <w:t>from Qum</w:t>
      </w:r>
    </w:p>
    <w:p w14:paraId="6A871B51" w14:textId="77777777" w:rsidR="00625A5B" w:rsidRPr="00BC189D" w:rsidRDefault="00625A5B" w:rsidP="00876082">
      <w:pPr>
        <w:pStyle w:val="Translit"/>
        <w:rPr>
          <w:lang w:val="fr-FR"/>
        </w:rPr>
      </w:pPr>
      <w:r w:rsidRPr="00BC189D">
        <w:rPr>
          <w:lang w:val="fr-FR"/>
        </w:rPr>
        <w:t>Qumrud, Qomrud</w:t>
      </w:r>
      <w:r w:rsidRPr="00BC189D">
        <w:rPr>
          <w:lang w:val="fr-FR"/>
        </w:rPr>
        <w:tab/>
        <w:t>Qumrúd</w:t>
      </w:r>
      <w:r w:rsidRPr="00BC189D">
        <w:rPr>
          <w:lang w:val="fr-FR"/>
        </w:rPr>
        <w:tab/>
        <w:t xml:space="preserve">village 20 km </w:t>
      </w:r>
      <w:r w:rsidRPr="00BC189D">
        <w:rPr>
          <w:sz w:val="16"/>
          <w:szCs w:val="16"/>
          <w:lang w:val="fr-FR"/>
        </w:rPr>
        <w:t>NE</w:t>
      </w:r>
      <w:r w:rsidRPr="00BC189D">
        <w:rPr>
          <w:lang w:val="fr-FR"/>
        </w:rPr>
        <w:t xml:space="preserve"> Qum (34.725643, 51.072090)</w:t>
      </w:r>
    </w:p>
    <w:p w14:paraId="5C2FE66A" w14:textId="77777777" w:rsidR="00625A5B" w:rsidRPr="008F03E5" w:rsidRDefault="00625A5B" w:rsidP="00E071F4">
      <w:pPr>
        <w:pStyle w:val="Translit"/>
      </w:pPr>
      <w:r w:rsidRPr="008F03E5">
        <w:t>Qumruq-Kilisa</w:t>
      </w:r>
      <w:r w:rsidRPr="008F03E5">
        <w:tab/>
        <w:t>Qumruq-Kilísá</w:t>
      </w:r>
      <w:r w:rsidRPr="008F03E5">
        <w:tab/>
        <w:t>village, near or now in Edirne (</w:t>
      </w:r>
      <w:r w:rsidRPr="008F03E5">
        <w:rPr>
          <w:i/>
          <w:iCs/>
        </w:rPr>
        <w:t>Memorials of the Faithful</w:t>
      </w:r>
      <w:r w:rsidRPr="008F03E5">
        <w:t>, p. 63).  Kalísá?   Gumrug al-Kalísá or Turkish Qümrük Kilise?</w:t>
      </w:r>
    </w:p>
    <w:p w14:paraId="34A7513E" w14:textId="77777777" w:rsidR="00625A5B" w:rsidRPr="0075605E" w:rsidRDefault="00625A5B" w:rsidP="0075605E">
      <w:pPr>
        <w:pStyle w:val="Translit"/>
      </w:pPr>
      <w:r>
        <w:t>Quni (Kuni)</w:t>
      </w:r>
      <w:r>
        <w:tab/>
        <w:t>Quni</w:t>
      </w:r>
      <w:r>
        <w:tab/>
        <w:t xml:space="preserve">a </w:t>
      </w:r>
      <w:r w:rsidRPr="0075605E">
        <w:t xml:space="preserve">small village (38.002721, 44.705264) in West Azerbaijan </w:t>
      </w:r>
      <w:r>
        <w:t>P</w:t>
      </w:r>
      <w:r w:rsidRPr="0075605E">
        <w:t>rovince.</w:t>
      </w:r>
    </w:p>
    <w:p w14:paraId="11E47E1C" w14:textId="77777777" w:rsidR="00625A5B" w:rsidRPr="008F03E5" w:rsidRDefault="00625A5B" w:rsidP="00104C41">
      <w:pPr>
        <w:pStyle w:val="Translit"/>
      </w:pPr>
      <w:r w:rsidRPr="008F03E5">
        <w:t>Quniyah</w:t>
      </w:r>
      <w:r w:rsidRPr="008F03E5">
        <w:tab/>
        <w:t>Qúníyah</w:t>
      </w:r>
      <w:r w:rsidRPr="008F03E5">
        <w:tab/>
      </w:r>
      <w:r>
        <w:t>Turkish.  Konya is a city (</w:t>
      </w:r>
      <w:r w:rsidRPr="005070CC">
        <w:t>37.873514, 32.49067</w:t>
      </w:r>
      <w:r>
        <w:t>6) in central Anatolia.</w:t>
      </w:r>
    </w:p>
    <w:p w14:paraId="05C6AFB3" w14:textId="77777777" w:rsidR="00625A5B" w:rsidRPr="008F03E5" w:rsidRDefault="00625A5B" w:rsidP="00104C41">
      <w:pPr>
        <w:pStyle w:val="Translit"/>
      </w:pPr>
      <w:r w:rsidRPr="008F03E5">
        <w:t>Qununlu (Aq or Qara), Qoyunlu, Koyunlu</w:t>
      </w:r>
      <w:r w:rsidRPr="008F03E5">
        <w:tab/>
        <w:t>Áq Quyúnlú or Qará Quyúnlú</w:t>
      </w:r>
      <w:r w:rsidRPr="008F03E5">
        <w:tab/>
        <w:t>Turkish/Persian.  Áq Quyúnlú also called the “White Sheep Turkomans” (Turkish Türkmen), was a Persianate Sunní Turkoman tribal confederation that ruled parts of present-day eastern Türkiye from 1378 to 1501, and in their last decades also ruled Armenia, Azerbaijan, most of Iran, and Iraq.  Qará Quyúnlú also called the Black Sheep Turkomans were a Muslim Turkoman monarchy that ruled over the territory comprising present-day Azerbaijan, Georgia, Armenia, north-western Iran, eastern Türkiye, and north-eastern Iraq from about 1374 to 1468.</w:t>
      </w:r>
    </w:p>
    <w:p w14:paraId="324F09FE" w14:textId="77777777" w:rsidR="00625A5B" w:rsidRPr="008F03E5" w:rsidRDefault="00625A5B" w:rsidP="00877CC5">
      <w:pPr>
        <w:pStyle w:val="Translit"/>
      </w:pPr>
      <w:r w:rsidRPr="008F03E5">
        <w:t>Qur’an</w:t>
      </w:r>
      <w:r>
        <w:t>, Mashaf</w:t>
      </w:r>
      <w:r w:rsidRPr="008F03E5">
        <w:tab/>
        <w:t>Qur’án</w:t>
      </w:r>
      <w:r>
        <w:t xml:space="preserve"> (“plural”, see M</w:t>
      </w:r>
      <w:r w:rsidRPr="008F03E5">
        <w:t>aṣḥaf</w:t>
      </w:r>
      <w:r>
        <w:t>)</w:t>
      </w:r>
      <w:r w:rsidRPr="008F03E5">
        <w:tab/>
        <w:t>recitation, reading, the word (“The Reading, or the Book that ought to be Read”.  Titled, “The Perspicuous Book”)</w:t>
      </w:r>
      <w:r>
        <w:t>.</w:t>
      </w:r>
      <w:r w:rsidRPr="008F03E5">
        <w:t xml:space="preserve">  </w:t>
      </w:r>
      <w:r w:rsidRPr="00D330CD">
        <w:t xml:space="preserve">The </w:t>
      </w:r>
      <w:r>
        <w:t xml:space="preserve">Qur’án </w:t>
      </w:r>
      <w:r w:rsidRPr="00D330CD">
        <w:t xml:space="preserve">is meant to be recited. </w:t>
      </w:r>
      <w:r>
        <w:t xml:space="preserve"> </w:t>
      </w:r>
      <w:r w:rsidRPr="00D330CD">
        <w:t xml:space="preserve">Its verses are divided according to the rhythm of the language. </w:t>
      </w:r>
      <w:r>
        <w:t xml:space="preserve"> Therefore, Q</w:t>
      </w:r>
      <w:r w:rsidRPr="00D330CD">
        <w:t>ur</w:t>
      </w:r>
      <w:r>
        <w:t>’</w:t>
      </w:r>
      <w:r w:rsidRPr="00D330CD">
        <w:t xml:space="preserve">anic </w:t>
      </w:r>
      <w:r>
        <w:t>recitation guides</w:t>
      </w:r>
      <w:r w:rsidRPr="00D330CD">
        <w:t xml:space="preserve"> </w:t>
      </w:r>
      <w:r>
        <w:t xml:space="preserve">(indicated by various marks) </w:t>
      </w:r>
      <w:r w:rsidRPr="00D330CD">
        <w:t>is based on the structure</w:t>
      </w:r>
      <w:r>
        <w:t xml:space="preserve"> (</w:t>
      </w:r>
      <w:r w:rsidRPr="00D330CD">
        <w:t>or the syntax of the sentence</w:t>
      </w:r>
      <w:r>
        <w:t>) and</w:t>
      </w:r>
      <w:r w:rsidRPr="00D330CD">
        <w:t xml:space="preserve"> the need to pause, for breath or for effect.</w:t>
      </w:r>
      <w:r>
        <w:t xml:space="preserve">  </w:t>
      </w:r>
      <w:r w:rsidRPr="008F03E5">
        <w:t xml:space="preserve">Imám ‘Alí explains that </w:t>
      </w:r>
      <w:r w:rsidRPr="008F03E5">
        <w:rPr>
          <w:i/>
          <w:iCs/>
        </w:rPr>
        <w:t>al-Qur’án</w:t>
      </w:r>
      <w:r w:rsidRPr="008F03E5">
        <w:t xml:space="preserve"> is the essence of all Holy Books and the essence of </w:t>
      </w:r>
      <w:r w:rsidRPr="008F03E5">
        <w:rPr>
          <w:i/>
          <w:iCs/>
        </w:rPr>
        <w:t>al-Qur’án</w:t>
      </w:r>
      <w:r w:rsidRPr="008F03E5">
        <w:t xml:space="preserve"> is contained in its first chapter.  Further, the essence of the first chapter is in the first verse, and the essence of the first verse is in the first letter, B.  The duration of the cycle of </w:t>
      </w:r>
      <w:r w:rsidRPr="008F03E5">
        <w:rPr>
          <w:i/>
          <w:iCs/>
        </w:rPr>
        <w:t>al-Qur’án</w:t>
      </w:r>
      <w:r w:rsidRPr="008F03E5">
        <w:t xml:space="preserve"> (Islám) is 1,260 years.  English Qur’an or Koran.  See Furqán, maṣḥaf</w:t>
      </w:r>
      <w:r>
        <w:t xml:space="preserve"> (a </w:t>
      </w:r>
      <w:r w:rsidRPr="00EC1F1A">
        <w:rPr>
          <w:sz w:val="16"/>
          <w:szCs w:val="16"/>
        </w:rPr>
        <w:t>PHYSICAL</w:t>
      </w:r>
      <w:r w:rsidRPr="008D2DBD">
        <w:t>, written</w:t>
      </w:r>
      <w:r>
        <w:t xml:space="preserve"> copy of the Qur’án),</w:t>
      </w:r>
      <w:r w:rsidRPr="008F03E5">
        <w:t xml:space="preserve"> nus</w:t>
      </w:r>
      <w:r w:rsidRPr="008F03E5">
        <w:rPr>
          <w:u w:val="single"/>
        </w:rPr>
        <w:t>kh</w:t>
      </w:r>
      <w:r w:rsidRPr="008F03E5">
        <w:t>a</w:t>
      </w:r>
      <w:r>
        <w:t>, t</w:t>
      </w:r>
      <w:r w:rsidRPr="008F03E5">
        <w:t>ajwíd.</w:t>
      </w:r>
    </w:p>
    <w:p w14:paraId="1D3F364F" w14:textId="77777777" w:rsidR="00625A5B" w:rsidRPr="008F03E5" w:rsidRDefault="00625A5B" w:rsidP="00F32C61">
      <w:pPr>
        <w:pStyle w:val="Translit"/>
      </w:pPr>
      <w:r w:rsidRPr="008F03E5">
        <w:t>Qur’ani, Qur’anic</w:t>
      </w:r>
      <w:r w:rsidRPr="008F03E5">
        <w:tab/>
        <w:t>Qur’ání</w:t>
      </w:r>
      <w:r w:rsidRPr="008F03E5">
        <w:tab/>
        <w:t>(adjective) of or pertaining to the Qur’an (min al-Qur’án).  English Qur’anic.</w:t>
      </w:r>
    </w:p>
    <w:p w14:paraId="1D1330CB" w14:textId="77777777" w:rsidR="00625A5B" w:rsidRPr="008F03E5" w:rsidRDefault="00625A5B" w:rsidP="00D874CE">
      <w:pPr>
        <w:pStyle w:val="Translit"/>
      </w:pPr>
      <w:r w:rsidRPr="008F03E5">
        <w:t>Qurashi</w:t>
      </w:r>
      <w:r w:rsidRPr="008F03E5">
        <w:tab/>
        <w:t>Qura</w:t>
      </w:r>
      <w:r w:rsidRPr="008F03E5">
        <w:rPr>
          <w:u w:val="single"/>
        </w:rPr>
        <w:t>sh</w:t>
      </w:r>
      <w:r w:rsidRPr="008F03E5">
        <w:t>í</w:t>
      </w:r>
      <w:r w:rsidRPr="008F03E5">
        <w:tab/>
        <w:t>of, pertaining to, or belonging to the Quray</w:t>
      </w:r>
      <w:r w:rsidRPr="008F03E5">
        <w:rPr>
          <w:u w:val="single"/>
        </w:rPr>
        <w:t>sh</w:t>
      </w:r>
      <w:r w:rsidRPr="008F03E5">
        <w:t xml:space="preserve"> (Koreish) tribe; Qurayshite (Koreishite)</w:t>
      </w:r>
    </w:p>
    <w:p w14:paraId="0443A927" w14:textId="77777777" w:rsidR="00625A5B" w:rsidRPr="008F03E5" w:rsidRDefault="00625A5B" w:rsidP="008B7850">
      <w:pPr>
        <w:pStyle w:val="Translit"/>
      </w:pPr>
      <w:r w:rsidRPr="008F03E5">
        <w:t>Qurayn (Qurain)</w:t>
      </w:r>
      <w:r w:rsidRPr="008F03E5">
        <w:tab/>
        <w:t>Qurayn</w:t>
      </w:r>
      <w:r w:rsidRPr="008F03E5">
        <w:tab/>
        <w:t xml:space="preserve">interchangeable with Qarn, which roughly corresponds to sandy, flat hillock.  al-Qurayn (25.483768, 49.597740) is a small village 12 km north of al-Hufúf in the Wáḥat al-Aḥsá’ region.  </w:t>
      </w:r>
      <w:r w:rsidRPr="008F03E5">
        <w:rPr>
          <w:u w:val="single"/>
        </w:rPr>
        <w:t>Sh</w:t>
      </w:r>
      <w:r w:rsidRPr="008F03E5">
        <w:t>ay</w:t>
      </w:r>
      <w:r w:rsidRPr="008F03E5">
        <w:rPr>
          <w:u w:val="single"/>
        </w:rPr>
        <w:t>kh</w:t>
      </w:r>
      <w:r w:rsidRPr="008F03E5">
        <w:t xml:space="preserve"> Aḥmad al-Aḥsá’í studied in the village as a young boy.</w:t>
      </w:r>
    </w:p>
    <w:p w14:paraId="32BCE2A2" w14:textId="77777777" w:rsidR="00625A5B" w:rsidRPr="008F03E5" w:rsidRDefault="00625A5B" w:rsidP="000E4FF7">
      <w:pPr>
        <w:pStyle w:val="Translit"/>
      </w:pPr>
      <w:r w:rsidRPr="008F03E5">
        <w:t>Quraysh (Quraish)</w:t>
      </w:r>
      <w:r w:rsidRPr="008F03E5">
        <w:tab/>
        <w:t>Quray</w:t>
      </w:r>
      <w:r w:rsidRPr="008F03E5">
        <w:rPr>
          <w:u w:val="single"/>
        </w:rPr>
        <w:t>sh</w:t>
      </w:r>
      <w:r w:rsidRPr="008F03E5">
        <w:tab/>
        <w:t>“Koreish”, dim. of qara</w:t>
      </w:r>
      <w:r w:rsidRPr="008F03E5">
        <w:rPr>
          <w:u w:val="single"/>
        </w:rPr>
        <w:t>sh</w:t>
      </w:r>
      <w:r w:rsidRPr="008F03E5">
        <w:t>a (“shark”), name of an Arab tribe in ancient Mecca (that of Muḥammad)</w:t>
      </w:r>
    </w:p>
    <w:p w14:paraId="134F33CD" w14:textId="77777777" w:rsidR="00625A5B" w:rsidRPr="008F03E5" w:rsidRDefault="00625A5B" w:rsidP="000E58D7">
      <w:pPr>
        <w:pStyle w:val="Translit"/>
      </w:pPr>
      <w:r w:rsidRPr="008F03E5">
        <w:t>Qurayza (Quraiza, Koreiza), Quraytha</w:t>
      </w:r>
      <w:r w:rsidRPr="008F03E5">
        <w:tab/>
        <w:t>Qurayẓa[h or t]</w:t>
      </w:r>
      <w:r w:rsidRPr="008F03E5">
        <w:tab/>
        <w:t xml:space="preserve">Banú Qurayẓa (“Qurayzih”) a Jewish tribe at the oasis of </w:t>
      </w:r>
      <w:r w:rsidRPr="008F03E5">
        <w:rPr>
          <w:u w:val="single"/>
        </w:rPr>
        <w:t>Kh</w:t>
      </w:r>
      <w:r w:rsidRPr="008F03E5">
        <w:t xml:space="preserve">aybar (Khaibar), 138 km north of Medina.  Battle of </w:t>
      </w:r>
      <w:r w:rsidRPr="008F03E5">
        <w:rPr>
          <w:u w:val="single"/>
        </w:rPr>
        <w:t>Kh</w:t>
      </w:r>
      <w:r w:rsidRPr="008F03E5">
        <w:t xml:space="preserve">aybar </w:t>
      </w:r>
      <w:r w:rsidRPr="008F03E5">
        <w:rPr>
          <w:sz w:val="16"/>
          <w:szCs w:val="16"/>
        </w:rPr>
        <w:t>CE</w:t>
      </w:r>
      <w:r w:rsidRPr="008F03E5">
        <w:t xml:space="preserve"> 628.</w:t>
      </w:r>
    </w:p>
    <w:p w14:paraId="6082F5DE" w14:textId="77777777" w:rsidR="00625A5B" w:rsidRPr="008F03E5" w:rsidRDefault="00625A5B" w:rsidP="00610FF5">
      <w:pPr>
        <w:pStyle w:val="Translit"/>
      </w:pPr>
      <w:r w:rsidRPr="008F03E5">
        <w:t>Qurba</w:t>
      </w:r>
      <w:r w:rsidRPr="008F03E5">
        <w:tab/>
        <w:t>Qurbá</w:t>
      </w:r>
      <w:r w:rsidRPr="008F03E5">
        <w:tab/>
        <w:t>relation, relationship, kinship (Qur’án 42:23 refers to respect or love of all relatives)</w:t>
      </w:r>
    </w:p>
    <w:p w14:paraId="1B1F40E8" w14:textId="77777777" w:rsidR="00625A5B" w:rsidRPr="008F03E5" w:rsidRDefault="00625A5B" w:rsidP="004E55BA">
      <w:pPr>
        <w:pStyle w:val="Translit"/>
      </w:pPr>
      <w:r w:rsidRPr="00077779">
        <w:rPr>
          <w:lang w:val="es-ES_tradnl"/>
        </w:rPr>
        <w:t>Qurban, pl. Qarabin</w:t>
      </w:r>
      <w:r w:rsidRPr="00077779">
        <w:rPr>
          <w:lang w:val="es-ES_tradnl"/>
        </w:rPr>
        <w:tab/>
        <w:t xml:space="preserve">Qurbán, pl. </w:t>
      </w:r>
      <w:r w:rsidRPr="008F03E5">
        <w:t>Qarábín</w:t>
      </w:r>
      <w:r w:rsidRPr="008F03E5">
        <w:tab/>
        <w:t xml:space="preserve">(Ghorban) sacrifice, offering, immolation, oblation; Mass (Christian); Eucharist (Christian).  Qurbán </w:t>
      </w:r>
      <w:r w:rsidRPr="008F03E5">
        <w:rPr>
          <w:u w:val="single"/>
        </w:rPr>
        <w:t>Kh</w:t>
      </w:r>
      <w:r w:rsidRPr="008F03E5">
        <w:t xml:space="preserve">án was the father of Mírzá Taqí </w:t>
      </w:r>
      <w:r w:rsidRPr="008F03E5">
        <w:rPr>
          <w:u w:val="single"/>
        </w:rPr>
        <w:t>Kh</w:t>
      </w:r>
      <w:r w:rsidRPr="008F03E5">
        <w:t>án.</w:t>
      </w:r>
    </w:p>
    <w:p w14:paraId="1909D668" w14:textId="77777777" w:rsidR="00625A5B" w:rsidRPr="00CF0A5A" w:rsidRDefault="00625A5B" w:rsidP="00900A82">
      <w:pPr>
        <w:pStyle w:val="Translit"/>
        <w:rPr>
          <w:rFonts w:eastAsia="PMingLiU"/>
          <w:lang w:eastAsia="zh-TW"/>
        </w:rPr>
      </w:pPr>
      <w:r w:rsidRPr="00CF0A5A">
        <w:t>Qurban-‘Ali-i-Banna</w:t>
      </w:r>
      <w:r w:rsidRPr="00CF0A5A">
        <w:tab/>
        <w:t>Qurbán-‘Alíy-i-Banná</w:t>
      </w:r>
      <w:r w:rsidRPr="00CF0A5A">
        <w:tab/>
      </w:r>
      <w:r w:rsidRPr="00CF0A5A">
        <w:rPr>
          <w:sz w:val="16"/>
          <w:szCs w:val="16"/>
        </w:rPr>
        <w:t>DB</w:t>
      </w:r>
      <w:r w:rsidRPr="00CF0A5A">
        <w:t xml:space="preserve"> 421</w:t>
      </w:r>
    </w:p>
    <w:p w14:paraId="29730A41" w14:textId="77777777" w:rsidR="00625A5B" w:rsidRPr="008F03E5" w:rsidRDefault="00625A5B" w:rsidP="00900A82">
      <w:pPr>
        <w:pStyle w:val="Translit"/>
        <w:rPr>
          <w:rFonts w:eastAsia="PMingLiU"/>
          <w:lang w:eastAsia="zh-TW"/>
        </w:rPr>
      </w:pPr>
      <w:r w:rsidRPr="008F03E5">
        <w:rPr>
          <w:rFonts w:eastAsia="PMingLiU"/>
          <w:lang w:eastAsia="zh-TW"/>
        </w:rPr>
        <w:t>Qurbanpur</w:t>
      </w:r>
      <w:r w:rsidRPr="008F03E5">
        <w:tab/>
      </w:r>
      <w:r w:rsidRPr="008F03E5">
        <w:rPr>
          <w:rFonts w:eastAsia="PMingLiU"/>
          <w:lang w:eastAsia="zh-TW"/>
        </w:rPr>
        <w:t>Qurbánpúr</w:t>
      </w:r>
      <w:r w:rsidRPr="008F03E5">
        <w:tab/>
      </w:r>
      <w:r w:rsidRPr="008F03E5">
        <w:rPr>
          <w:rFonts w:eastAsia="PMingLiU"/>
          <w:lang w:eastAsia="zh-TW"/>
        </w:rPr>
        <w:t>Amínu’lláh Qurbánpúr</w:t>
      </w:r>
    </w:p>
    <w:p w14:paraId="3D5D3B7A" w14:textId="77777777" w:rsidR="00625A5B" w:rsidRPr="008F03E5" w:rsidRDefault="00625A5B" w:rsidP="007070E3">
      <w:pPr>
        <w:pStyle w:val="Translit"/>
      </w:pPr>
      <w:r w:rsidRPr="008F03E5">
        <w:t>Qurrat al-‘Ayn, Qurratu’l</w:t>
      </w:r>
      <w:r w:rsidRPr="008F03E5">
        <w:rPr>
          <w:rFonts w:eastAsia="PMingLiU"/>
          <w:lang w:eastAsia="zh-TW"/>
        </w:rPr>
        <w:t>-‘</w:t>
      </w:r>
      <w:r w:rsidRPr="008F03E5">
        <w:t>Ayn</w:t>
      </w:r>
      <w:r w:rsidRPr="008F03E5">
        <w:tab/>
        <w:t>Qurrat al-‘Ayn, Pers. Qurratu’l-‘Ayn</w:t>
      </w:r>
      <w:r w:rsidRPr="008F03E5">
        <w:tab/>
        <w:t xml:space="preserve">consolation for the eye; delight of the eye; joy,  pleasure, delight; darling.  “Solace of the Eyes”—title given by Siyyid Káẓim to Fáṭimih </w:t>
      </w:r>
      <w:r>
        <w:t>u</w:t>
      </w:r>
      <w:r w:rsidRPr="008F03E5">
        <w:t>mm-</w:t>
      </w:r>
      <w:r>
        <w:t>i-Salamih</w:t>
      </w:r>
      <w:r w:rsidRPr="008F03E5">
        <w:t xml:space="preserve"> of Qazvín (Ṭáhirih—the Pure One and Zarrín-Táf—Crown of Gold).</w:t>
      </w:r>
    </w:p>
    <w:p w14:paraId="3CBF8552" w14:textId="77777777" w:rsidR="00625A5B" w:rsidRPr="008F03E5" w:rsidRDefault="00625A5B" w:rsidP="00C211E8">
      <w:pPr>
        <w:pStyle w:val="Translit"/>
      </w:pPr>
      <w:r w:rsidRPr="008F03E5">
        <w:t>Qurrat</w:t>
      </w:r>
      <w:r w:rsidRPr="008F03E5">
        <w:tab/>
        <w:t>Qurrat</w:t>
      </w:r>
      <w:r w:rsidRPr="008F03E5">
        <w:tab/>
        <w:t>being cool and cheerful (eye); being charmed by the sight of a beloved object (the same); joy, gladness</w:t>
      </w:r>
    </w:p>
    <w:p w14:paraId="1A6A7801" w14:textId="77777777" w:rsidR="00625A5B" w:rsidRPr="008F03E5" w:rsidRDefault="00625A5B" w:rsidP="00900A82">
      <w:pPr>
        <w:pStyle w:val="Translit"/>
      </w:pPr>
      <w:r w:rsidRPr="008F03E5">
        <w:t>Qurrat-i</w:t>
      </w:r>
      <w:r w:rsidRPr="008F03E5">
        <w:rPr>
          <w:rFonts w:eastAsia="PMingLiU"/>
          <w:lang w:eastAsia="zh-TW"/>
        </w:rPr>
        <w:t>-‘</w:t>
      </w:r>
      <w:r w:rsidRPr="008F03E5">
        <w:t>Ayni</w:t>
      </w:r>
      <w:r w:rsidRPr="008F03E5">
        <w:tab/>
        <w:t>Qurrat-i-‘Ayní</w:t>
      </w:r>
      <w:r w:rsidRPr="008F03E5">
        <w:tab/>
        <w:t>“Solace of my eyes”</w:t>
      </w:r>
    </w:p>
    <w:p w14:paraId="018A7058" w14:textId="77777777" w:rsidR="00625A5B" w:rsidRPr="008F03E5" w:rsidRDefault="00625A5B" w:rsidP="00B652D2">
      <w:pPr>
        <w:pStyle w:val="Translit"/>
      </w:pPr>
      <w:r w:rsidRPr="008F03E5">
        <w:t>Qurratíya</w:t>
      </w:r>
      <w:r w:rsidRPr="008F03E5">
        <w:tab/>
        <w:t>Qurratíya</w:t>
      </w:r>
      <w:r w:rsidRPr="008F03E5">
        <w:tab/>
        <w:t>Qurratis, followers of Qurrat-i-‘Ayn</w:t>
      </w:r>
    </w:p>
    <w:p w14:paraId="3704995D" w14:textId="77777777" w:rsidR="00625A5B" w:rsidRPr="008F03E5" w:rsidRDefault="00625A5B" w:rsidP="004B750C">
      <w:pPr>
        <w:pStyle w:val="Translit"/>
      </w:pPr>
      <w:r w:rsidRPr="008F03E5">
        <w:t>Qusayy (Qusai, Kusayy or Cossai)</w:t>
      </w:r>
      <w:r w:rsidRPr="008F03E5">
        <w:tab/>
        <w:t>Quṣayy</w:t>
      </w:r>
      <w:r w:rsidRPr="008F03E5">
        <w:tab/>
        <w:t>Quṣayy ibn Kiláb ibn Murrah; c. 400–480, was an Ishmaelite descendant of the Prophet Abraham, orphaned early on he would rise to become King of Makkah, and leader of the Quray</w:t>
      </w:r>
      <w:r w:rsidRPr="008F03E5">
        <w:rPr>
          <w:u w:val="single"/>
        </w:rPr>
        <w:t>sh</w:t>
      </w:r>
      <w:r w:rsidRPr="008F03E5">
        <w:t xml:space="preserve"> tribe.  He is best known for being an ancestor of the Prophet Muḥammad.</w:t>
      </w:r>
    </w:p>
    <w:p w14:paraId="467C63DF" w14:textId="77777777" w:rsidR="00625A5B" w:rsidRPr="00B94CBE" w:rsidRDefault="00625A5B" w:rsidP="00F52E40">
      <w:pPr>
        <w:pStyle w:val="Translit"/>
        <w:rPr>
          <w:lang w:val="en-AU"/>
        </w:rPr>
      </w:pPr>
      <w:r w:rsidRPr="00077779">
        <w:rPr>
          <w:lang w:val="es-ES_tradnl"/>
        </w:rPr>
        <w:t>Qustas, Qistas, Qasatis</w:t>
      </w:r>
      <w:r w:rsidRPr="00077779">
        <w:rPr>
          <w:lang w:val="es-ES_tradnl"/>
        </w:rPr>
        <w:tab/>
        <w:t xml:space="preserve">Qusṭás, Qisṭás, pl. </w:t>
      </w:r>
      <w:r w:rsidRPr="00B94CBE">
        <w:rPr>
          <w:lang w:val="en-AU"/>
        </w:rPr>
        <w:t>Qasáṭís</w:t>
      </w:r>
      <w:r w:rsidRPr="00B94CBE">
        <w:rPr>
          <w:lang w:val="en-AU"/>
        </w:rPr>
        <w:tab/>
        <w:t>balance, scales</w:t>
      </w:r>
    </w:p>
    <w:p w14:paraId="2D103436" w14:textId="77777777" w:rsidR="00625A5B" w:rsidRPr="005514EB" w:rsidRDefault="00625A5B" w:rsidP="005514EB">
      <w:pPr>
        <w:pStyle w:val="Translit"/>
        <w:rPr>
          <w:lang w:val="en-AU"/>
        </w:rPr>
      </w:pPr>
      <w:r w:rsidRPr="005514EB">
        <w:rPr>
          <w:rFonts w:eastAsia="Times New Roman"/>
          <w:lang w:val="en-AU"/>
        </w:rPr>
        <w:t>Qutb ad-Din Haydar</w:t>
      </w:r>
      <w:r w:rsidRPr="005514EB">
        <w:rPr>
          <w:rFonts w:eastAsia="Times New Roman"/>
          <w:lang w:val="en-AU"/>
        </w:rPr>
        <w:tab/>
        <w:t>Qu</w:t>
      </w:r>
      <w:r w:rsidRPr="005514EB">
        <w:rPr>
          <w:lang w:val="en-AU"/>
        </w:rPr>
        <w:t>ṭ</w:t>
      </w:r>
      <w:r w:rsidRPr="005514EB">
        <w:rPr>
          <w:rFonts w:eastAsia="Times New Roman"/>
          <w:lang w:val="en-AU"/>
        </w:rPr>
        <w:t xml:space="preserve">b ad-Dín </w:t>
      </w:r>
      <w:r w:rsidRPr="005514EB">
        <w:t>Ḥ</w:t>
      </w:r>
      <w:r w:rsidRPr="005514EB">
        <w:rPr>
          <w:rFonts w:eastAsia="Times New Roman"/>
          <w:lang w:val="en-AU"/>
        </w:rPr>
        <w:t>aydar</w:t>
      </w:r>
      <w:r w:rsidRPr="005514EB">
        <w:rPr>
          <w:rFonts w:eastAsia="Times New Roman"/>
          <w:lang w:val="en-AU"/>
        </w:rPr>
        <w:tab/>
        <w:t xml:space="preserve">10-11th century </w:t>
      </w:r>
      <w:r>
        <w:rPr>
          <w:rFonts w:eastAsia="Times New Roman"/>
          <w:lang w:val="en-AU"/>
        </w:rPr>
        <w:t xml:space="preserve">Persian Sufi mystic and founder of the mystic </w:t>
      </w:r>
      <w:r w:rsidRPr="005514EB">
        <w:t>Ḥ</w:t>
      </w:r>
      <w:r w:rsidRPr="005514EB">
        <w:rPr>
          <w:rFonts w:eastAsia="Times New Roman"/>
          <w:lang w:val="en-AU"/>
        </w:rPr>
        <w:t>aydar</w:t>
      </w:r>
      <w:r w:rsidRPr="005514EB">
        <w:t>í</w:t>
      </w:r>
      <w:r>
        <w:rPr>
          <w:rFonts w:eastAsia="Times New Roman"/>
          <w:lang w:val="en-AU"/>
        </w:rPr>
        <w:t>ya sect</w:t>
      </w:r>
    </w:p>
    <w:p w14:paraId="61AFB90F" w14:textId="77777777" w:rsidR="00625A5B" w:rsidRPr="005514EB" w:rsidRDefault="00625A5B" w:rsidP="005514EB">
      <w:pPr>
        <w:pStyle w:val="Translit"/>
        <w:rPr>
          <w:lang w:val="en-AU"/>
        </w:rPr>
      </w:pPr>
      <w:r w:rsidRPr="005514EB">
        <w:rPr>
          <w:rFonts w:eastAsia="Times New Roman"/>
          <w:lang w:val="en-AU"/>
        </w:rPr>
        <w:t>Qutb ad-Din</w:t>
      </w:r>
      <w:r w:rsidRPr="005514EB">
        <w:rPr>
          <w:rFonts w:eastAsia="Times New Roman"/>
          <w:lang w:val="en-AU"/>
        </w:rPr>
        <w:tab/>
        <w:t>Qu</w:t>
      </w:r>
      <w:r w:rsidRPr="005514EB">
        <w:rPr>
          <w:lang w:val="en-AU"/>
        </w:rPr>
        <w:t>ṭ</w:t>
      </w:r>
      <w:r w:rsidRPr="005514EB">
        <w:rPr>
          <w:rFonts w:eastAsia="Times New Roman"/>
          <w:lang w:val="en-AU"/>
        </w:rPr>
        <w:t>b ad-Dín</w:t>
      </w:r>
      <w:r w:rsidRPr="005514EB">
        <w:rPr>
          <w:rFonts w:eastAsia="Times New Roman"/>
          <w:lang w:val="en-AU"/>
        </w:rPr>
        <w:tab/>
        <w:t>pivot or axis of the faith</w:t>
      </w:r>
    </w:p>
    <w:p w14:paraId="2D5B4C31" w14:textId="77777777" w:rsidR="00625A5B" w:rsidRDefault="00625A5B" w:rsidP="00AC70D0">
      <w:pPr>
        <w:pStyle w:val="Translit"/>
      </w:pPr>
      <w:r>
        <w:t>Qutb al-Aqtab</w:t>
      </w:r>
      <w:r>
        <w:tab/>
        <w:t>Quṭb al-Aq</w:t>
      </w:r>
      <w:r w:rsidRPr="00442EAD">
        <w:t>ṭ</w:t>
      </w:r>
      <w:r>
        <w:t>áb</w:t>
      </w:r>
      <w:r>
        <w:tab/>
        <w:t>“Axis of the Axes”, a description applied to Mullá Ḥusayn</w:t>
      </w:r>
    </w:p>
    <w:p w14:paraId="2286C22E" w14:textId="77777777" w:rsidR="00625A5B" w:rsidRPr="008F03E5" w:rsidRDefault="00625A5B" w:rsidP="00AA2414">
      <w:pPr>
        <w:pStyle w:val="Translit"/>
      </w:pPr>
      <w:r w:rsidRPr="00B94CBE">
        <w:rPr>
          <w:lang w:val="en-AU"/>
        </w:rPr>
        <w:t>Qutb, Aqtab</w:t>
      </w:r>
      <w:r w:rsidRPr="00B94CBE">
        <w:rPr>
          <w:lang w:val="en-AU"/>
        </w:rPr>
        <w:tab/>
        <w:t xml:space="preserve">Quṭb, pl. </w:t>
      </w:r>
      <w:r w:rsidRPr="008F03E5">
        <w:t>Aqṭab</w:t>
      </w:r>
      <w:r w:rsidRPr="008F03E5">
        <w:tab/>
        <w:t>axis, axle; pole (astronomy, geography, electricity); pivot; leader; authority, leading personality, celebrity (chiefly used in the plural).  Quṭb, is one of the highest titles of Sufism and Muḥammad assumes the title of quṭb al-aqṭab (pole of the poles or the major polestar).  Quṭb ar-raḥá pivot (of something; figuratively.)</w:t>
      </w:r>
    </w:p>
    <w:p w14:paraId="26D4120A" w14:textId="77777777" w:rsidR="00625A5B" w:rsidRPr="008F03E5" w:rsidRDefault="00625A5B" w:rsidP="00CD3254">
      <w:pPr>
        <w:pStyle w:val="Translit"/>
      </w:pPr>
      <w:r w:rsidRPr="008F03E5">
        <w:t>Qutr, Aqtar</w:t>
      </w:r>
      <w:r w:rsidRPr="008F03E5">
        <w:tab/>
        <w:t>Quṭr, pl. Aqṭar</w:t>
      </w:r>
      <w:r w:rsidRPr="008F03E5">
        <w:tab/>
        <w:t>region, quarter; district, section; tract of land; zone; country, land; diameter (of a circle); diagonal; calibre, bore (of a tube)</w:t>
      </w:r>
    </w:p>
    <w:p w14:paraId="30C4CD5F" w14:textId="77777777" w:rsidR="00625A5B" w:rsidRPr="008F03E5" w:rsidRDefault="00625A5B" w:rsidP="00D310B9">
      <w:pPr>
        <w:pStyle w:val="Translit"/>
      </w:pPr>
      <w:r w:rsidRPr="008F03E5">
        <w:t>Quwa, Quwat, Quwan</w:t>
      </w:r>
      <w:r w:rsidRPr="008F03E5">
        <w:tab/>
        <w:t>Qúwa[h or t], pl. Qúwát, Quwan</w:t>
      </w:r>
      <w:r w:rsidRPr="008F03E5">
        <w:tab/>
        <w:t>strength; vigour; potency; power, force; intensity; violence, vehemence; courage, pluck; faculty, ability, capability, aptitude; efficacy, efficiency, potential; (electric) energy, power, capacity, output; armed force, troop;—qúwát armed forces; troops.  bi’l-qúwa[h or t], with power, powerfully, vigorously.</w:t>
      </w:r>
    </w:p>
    <w:p w14:paraId="090770C9" w14:textId="77777777" w:rsidR="00625A5B" w:rsidRPr="008F03E5" w:rsidRDefault="00625A5B" w:rsidP="00D310B9">
      <w:pPr>
        <w:pStyle w:val="Translit"/>
      </w:pPr>
      <w:r w:rsidRPr="008F03E5">
        <w:t>Quzih-Kuh</w:t>
      </w:r>
      <w:r w:rsidRPr="008F03E5">
        <w:tab/>
        <w:t>Qúzih-Kúh</w:t>
      </w:r>
      <w:r w:rsidRPr="008F03E5">
        <w:tab/>
        <w:t>may refer to a part of the mountain range to the south of Bavánát</w:t>
      </w:r>
    </w:p>
    <w:p w14:paraId="7D7E7621" w14:textId="77777777" w:rsidR="00625A5B" w:rsidRPr="008F03E5" w:rsidRDefault="00625A5B" w:rsidP="0024326A">
      <w:pPr>
        <w:pStyle w:val="Myhead"/>
      </w:pPr>
      <w:bookmarkStart w:id="121" w:name="R"/>
      <w:r w:rsidRPr="008F03E5">
        <w:t>R</w:t>
      </w:r>
      <w:bookmarkEnd w:id="121"/>
    </w:p>
    <w:p w14:paraId="7786C925" w14:textId="77777777" w:rsidR="00625A5B" w:rsidRPr="008F03E5" w:rsidRDefault="00625A5B" w:rsidP="00AE49CD">
      <w:pPr>
        <w:pStyle w:val="Translit"/>
      </w:pPr>
      <w:r w:rsidRPr="008F03E5">
        <w:t>Ra</w:t>
      </w:r>
      <w:r w:rsidRPr="008F03E5">
        <w:tab/>
        <w:t>Rá’</w:t>
      </w:r>
      <w:r w:rsidRPr="008F03E5">
        <w:tab/>
        <w:t>Arabic letter</w:t>
      </w:r>
    </w:p>
    <w:p w14:paraId="08DF85B5" w14:textId="77777777" w:rsidR="00625A5B" w:rsidRPr="008F03E5" w:rsidRDefault="00625A5B" w:rsidP="001C6386">
      <w:pPr>
        <w:pStyle w:val="Translit"/>
      </w:pPr>
      <w:r w:rsidRPr="008F03E5">
        <w:t>Ra’a, Yara, Ra’y, Ru’ya</w:t>
      </w:r>
      <w:r w:rsidRPr="008F03E5">
        <w:tab/>
        <w:t>Ra’á, Yará, Ra’y, Ru’ya</w:t>
      </w:r>
      <w:r w:rsidRPr="008F03E5">
        <w:tab/>
        <w:t>to see; to behold, descry, perceive, notice, observe, discern (something); to look (at something as), regard (something as), consider, deem, think (something to be …); to judge; to be of the opinion (that), believe, think (that); to express ones opinion; to feel (that); to deem appropriate, think proper (something), decide (on something, to do something); to consider, contemplate</w:t>
      </w:r>
    </w:p>
    <w:p w14:paraId="02192E93" w14:textId="77777777" w:rsidR="00625A5B" w:rsidRPr="008F03E5" w:rsidRDefault="00625A5B" w:rsidP="00753960">
      <w:pPr>
        <w:pStyle w:val="Translit"/>
      </w:pPr>
      <w:r w:rsidRPr="008F03E5">
        <w:t>Ra’d, Ru’ud</w:t>
      </w:r>
      <w:r w:rsidRPr="008F03E5">
        <w:tab/>
        <w:t>Ra‘d, pl. Ru‘úd</w:t>
      </w:r>
      <w:r w:rsidRPr="008F03E5">
        <w:tab/>
        <w:t>thunder</w:t>
      </w:r>
    </w:p>
    <w:p w14:paraId="1B1C6B43" w14:textId="77777777" w:rsidR="00625A5B" w:rsidRPr="008F03E5" w:rsidRDefault="00625A5B" w:rsidP="00CD73F7">
      <w:pPr>
        <w:pStyle w:val="Translit"/>
      </w:pPr>
      <w:r w:rsidRPr="008F03E5">
        <w:t>Ra’fa, Ra’afa</w:t>
      </w:r>
      <w:r w:rsidRPr="008F03E5">
        <w:tab/>
        <w:t>Ra’fa[h or t], Ra’áfa[h or t]</w:t>
      </w:r>
      <w:r w:rsidRPr="008F03E5">
        <w:tab/>
        <w:t>mercy, compassion, pity: kindliness graciousness.  Hence, ra’fatí</w:t>
      </w:r>
    </w:p>
    <w:p w14:paraId="2C4BA31D" w14:textId="77777777" w:rsidR="00625A5B" w:rsidRPr="008F03E5" w:rsidRDefault="00625A5B" w:rsidP="00610FF5">
      <w:pPr>
        <w:pStyle w:val="Translit"/>
      </w:pPr>
      <w:r w:rsidRPr="008F03E5">
        <w:t>Ra’id, Ruwwad</w:t>
      </w:r>
      <w:r w:rsidRPr="008F03E5">
        <w:tab/>
        <w:t>Rá’id, pl. Ruwwád</w:t>
      </w:r>
      <w:r w:rsidRPr="008F03E5">
        <w:tab/>
        <w:t>visitor; scout, reconnoiterer; boy scout; explorer, pioneer; leader; precept, guiding principle. rule (of conduct)</w:t>
      </w:r>
    </w:p>
    <w:p w14:paraId="6CBD5BBC" w14:textId="77777777" w:rsidR="00625A5B" w:rsidRPr="008F03E5" w:rsidRDefault="00625A5B" w:rsidP="00610FF5">
      <w:pPr>
        <w:pStyle w:val="Translit"/>
      </w:pPr>
      <w:r w:rsidRPr="008F03E5">
        <w:t>Ra’in</w:t>
      </w:r>
      <w:r w:rsidRPr="008F03E5">
        <w:tab/>
        <w:t>Rá‘in, pl. Ru‘áh, Ru‘yán, Ru‘á’, Ri‘á’</w:t>
      </w:r>
      <w:r w:rsidRPr="008F03E5">
        <w:tab/>
        <w:t>shepherd, herdsman; guardian, keeper, protector; patron, sponsor; pastor (Christian)</w:t>
      </w:r>
    </w:p>
    <w:p w14:paraId="37753116" w14:textId="77777777" w:rsidR="00625A5B" w:rsidRPr="008F03E5" w:rsidRDefault="00625A5B" w:rsidP="00D972A0">
      <w:pPr>
        <w:pStyle w:val="Translit"/>
      </w:pPr>
      <w:r w:rsidRPr="008F03E5">
        <w:t>Ra’ina</w:t>
      </w:r>
      <w:r w:rsidRPr="008F03E5">
        <w:tab/>
        <w:t>Rá‘iná</w:t>
      </w:r>
      <w:r w:rsidRPr="008F03E5">
        <w:tab/>
        <w:t>(a form of address coined by the companions of the Prophet used in addressing him and it happened to be somewhat homophonous with a Hebrew word meaning ‘evil’; therefore the Muslims were cautioned against using the expression) ‘regard us’, ‘look at us’, ‘listen to us’, ‘have care for us, our shepherd.  Qur’án 2:104:  “Believers, do not say [to the Prophet] ‘rá‘iná’, but say ‘unẓurná’.  See Unẓurná.</w:t>
      </w:r>
    </w:p>
    <w:p w14:paraId="25E8E126" w14:textId="77777777" w:rsidR="00625A5B" w:rsidRPr="008F03E5" w:rsidRDefault="00625A5B" w:rsidP="005900A6">
      <w:pPr>
        <w:pStyle w:val="Translit"/>
      </w:pPr>
      <w:r w:rsidRPr="008F03E5">
        <w:t>Ra’is, Ru’asa’</w:t>
      </w:r>
      <w:r w:rsidRPr="008F03E5">
        <w:tab/>
        <w:t>Ra’ís, pl. Ru’asá’</w:t>
      </w:r>
      <w:r w:rsidRPr="008F03E5">
        <w:tab/>
        <w:t>one at the head, or in charge, of; head; chieftain; leader; chief, boss; rais; director; head-master, principal, chairman; governor; president; manager, superintendent; conductor (music); superior (as distinguished from subordinate); (military) captain</w:t>
      </w:r>
    </w:p>
    <w:p w14:paraId="72124592" w14:textId="77777777" w:rsidR="00625A5B" w:rsidRPr="008F03E5" w:rsidRDefault="00625A5B" w:rsidP="00D64EC7">
      <w:pPr>
        <w:pStyle w:val="Translit"/>
      </w:pPr>
      <w:r w:rsidRPr="008F03E5">
        <w:t>Ra’isa (Raisa, Raissa, Ra’eesah)</w:t>
      </w:r>
      <w:r w:rsidRPr="008F03E5">
        <w:tab/>
        <w:t>Ra’ísa[h]</w:t>
      </w:r>
      <w:r w:rsidRPr="008F03E5">
        <w:tab/>
        <w:t>(fem. of Ra’ís) manageress; directress; mother superior</w:t>
      </w:r>
    </w:p>
    <w:p w14:paraId="4203D8EA" w14:textId="77777777" w:rsidR="00625A5B" w:rsidRPr="008F03E5" w:rsidRDefault="00625A5B" w:rsidP="000C65FC">
      <w:pPr>
        <w:pStyle w:val="Translit"/>
      </w:pPr>
      <w:r w:rsidRPr="008F03E5">
        <w:t>Ra’s, Ru’us, Ar’us</w:t>
      </w:r>
      <w:r w:rsidRPr="008F03E5">
        <w:tab/>
        <w:t>Ra’s (m. &amp; f.), pl. Ru’ús, Ar’us</w:t>
      </w:r>
      <w:r w:rsidRPr="008F03E5">
        <w:tab/>
        <w:t xml:space="preserve">head (also as a enumerative of cattle); chief, chieftain, head, leader; upper part, upper end; tip; top, summit, peak; vertex, apex; extremity, end; promontory, headland, cape (geography); main part.  Araxes (Ar’us, “Aras”) River forms the </w:t>
      </w:r>
      <w:r w:rsidRPr="008F03E5">
        <w:rPr>
          <w:sz w:val="16"/>
          <w:szCs w:val="16"/>
        </w:rPr>
        <w:t>NW</w:t>
      </w:r>
      <w:r w:rsidRPr="008F03E5">
        <w:t xml:space="preserve"> border of Iran.  In Islamic times, the Araxes became known in Arabic parlance as ar-Ra’s.  This Arabic name led Muslim’s to connect the Araxes with the Aṣḥáb ar-Ra’s of the Qur’án 25:38, 50:12.  ‘Abdu’l-Bahá said the “Companions of Ras” (ar-Ra’s, Aras or Araxes River) refers to Zoroaster and the Zoroastrians.  Máh-Kú</w:t>
      </w:r>
      <w:r w:rsidRPr="008F03E5">
        <w:rPr>
          <w:rFonts w:eastAsia="PMingLiU"/>
          <w:lang w:eastAsia="zh-TW"/>
        </w:rPr>
        <w:t xml:space="preserve"> is to the west and Qal‘ah </w:t>
      </w:r>
      <w:r w:rsidRPr="008F03E5">
        <w:rPr>
          <w:u w:val="single"/>
        </w:rPr>
        <w:t>Ch</w:t>
      </w:r>
      <w:r w:rsidRPr="008F03E5">
        <w:t xml:space="preserve">ihríq to the </w:t>
      </w:r>
      <w:r w:rsidRPr="008F03E5">
        <w:rPr>
          <w:sz w:val="16"/>
          <w:szCs w:val="16"/>
        </w:rPr>
        <w:t>SW</w:t>
      </w:r>
      <w:r w:rsidRPr="008F03E5">
        <w:t xml:space="preserve"> of the Araxes River.  Ra’s al-Krúm (“Ras el-Krum”), the northern point or headland, Haifa (32.834961, 34.985320).  “Krúm” (since in Mt. Carmel area) is more likely to be Kurúm.</w:t>
      </w:r>
    </w:p>
    <w:p w14:paraId="28A571FC" w14:textId="77777777" w:rsidR="00625A5B" w:rsidRPr="008F03E5" w:rsidRDefault="00625A5B" w:rsidP="00E42B0F">
      <w:pPr>
        <w:pStyle w:val="Translit"/>
      </w:pPr>
      <w:r w:rsidRPr="008F03E5">
        <w:t>Ra’su’l-Himar, Sar-i-Khar</w:t>
      </w:r>
      <w:r w:rsidRPr="008F03E5">
        <w:tab/>
        <w:t>Ra’su’l-Ḥimár, Pers. Sar-i-</w:t>
      </w:r>
      <w:r w:rsidRPr="008F03E5">
        <w:rPr>
          <w:u w:val="single"/>
        </w:rPr>
        <w:t>Kh</w:t>
      </w:r>
      <w:r w:rsidRPr="008F03E5">
        <w:t>ar</w:t>
      </w:r>
      <w:r w:rsidRPr="008F03E5">
        <w:tab/>
        <w:t>ass’s head, someone that cannot be trusted</w:t>
      </w:r>
    </w:p>
    <w:p w14:paraId="6E129661" w14:textId="77777777" w:rsidR="00625A5B" w:rsidRPr="008F03E5" w:rsidRDefault="00625A5B" w:rsidP="00E42B0F">
      <w:pPr>
        <w:pStyle w:val="Translit"/>
      </w:pPr>
      <w:r w:rsidRPr="008F03E5">
        <w:t>Ra’uf</w:t>
      </w:r>
      <w:r w:rsidRPr="008F03E5">
        <w:tab/>
      </w:r>
      <w:bookmarkStart w:id="122" w:name="_Hlk60565200"/>
      <w:r w:rsidRPr="008F03E5">
        <w:t>Ra’úf</w:t>
      </w:r>
      <w:bookmarkEnd w:id="122"/>
      <w:r w:rsidRPr="008F03E5">
        <w:tab/>
        <w:t>merciful, compassionate; kind, benevolent; gracious.  ar-Ra’úf divine name the Compassionate</w:t>
      </w:r>
    </w:p>
    <w:p w14:paraId="5A1FEC2A" w14:textId="77777777" w:rsidR="00625A5B" w:rsidRPr="008F03E5" w:rsidRDefault="00625A5B" w:rsidP="00395BA5">
      <w:pPr>
        <w:pStyle w:val="Translit"/>
      </w:pPr>
      <w:r w:rsidRPr="008F03E5">
        <w:t>Ra’y (Ray, Rai), Ara’</w:t>
      </w:r>
      <w:r w:rsidRPr="008F03E5">
        <w:tab/>
        <w:t>Ra’y, Pers. Ráy (variation), pl. Árá’</w:t>
      </w:r>
      <w:r w:rsidRPr="008F03E5">
        <w:tab/>
        <w:t>opinion, view; idea, notion, concept, conception; advice, suggestion, proposal; (Islamic Law) subjective opinion, decision hued on one’s individual judgement (not on the Qur’án and Sunna).  Persian variation of the meaning for road, path.</w:t>
      </w:r>
    </w:p>
    <w:p w14:paraId="15B3FAE0" w14:textId="77777777" w:rsidR="00625A5B" w:rsidRPr="008F03E5" w:rsidRDefault="00625A5B" w:rsidP="005750FA">
      <w:pPr>
        <w:pStyle w:val="Translit"/>
      </w:pPr>
      <w:r w:rsidRPr="008F03E5">
        <w:t>Raba, Rubuw</w:t>
      </w:r>
      <w:r w:rsidRPr="008F03E5">
        <w:tab/>
        <w:t>Rabá (Rabá’, Rubúw)</w:t>
      </w:r>
      <w:r w:rsidRPr="008F03E5">
        <w:tab/>
        <w:t xml:space="preserve">to increase; to grow; to grow up; to exceed, (a number) Form </w:t>
      </w:r>
      <w:r w:rsidRPr="008F03E5">
        <w:rPr>
          <w:sz w:val="16"/>
          <w:szCs w:val="16"/>
        </w:rPr>
        <w:t>II</w:t>
      </w:r>
      <w:r w:rsidRPr="008F03E5">
        <w:t xml:space="preserve"> to make or let grow; to raise, rear, bring up (someone); to educate; to teach, instruct (a child); to breed, raise (e.g., poultry, cattle); to develop (e.g., a method)  Form </w:t>
      </w:r>
      <w:r w:rsidRPr="008F03E5">
        <w:rPr>
          <w:sz w:val="16"/>
          <w:szCs w:val="16"/>
        </w:rPr>
        <w:t>III</w:t>
      </w:r>
      <w:r w:rsidRPr="008F03E5">
        <w:t xml:space="preserve"> to practice usury  Form </w:t>
      </w:r>
      <w:r w:rsidRPr="008F03E5">
        <w:rPr>
          <w:sz w:val="16"/>
          <w:szCs w:val="16"/>
        </w:rPr>
        <w:t>IV</w:t>
      </w:r>
      <w:r w:rsidRPr="008F03E5">
        <w:t xml:space="preserve"> to make grow, augment, increase (something); to exceed (a number, an age, a measure)  Form </w:t>
      </w:r>
      <w:r w:rsidRPr="008F03E5">
        <w:rPr>
          <w:sz w:val="16"/>
          <w:szCs w:val="16"/>
        </w:rPr>
        <w:t>V</w:t>
      </w:r>
      <w:r w:rsidRPr="008F03E5">
        <w:t xml:space="preserve"> to be brought up, be educated; to be bred, be raised.  See Riban</w:t>
      </w:r>
    </w:p>
    <w:p w14:paraId="34AC2144" w14:textId="77777777" w:rsidR="00625A5B" w:rsidRPr="008F03E5" w:rsidRDefault="00625A5B" w:rsidP="00397CBA">
      <w:pPr>
        <w:pStyle w:val="Translit"/>
      </w:pPr>
      <w:r w:rsidRPr="008F03E5">
        <w:rPr>
          <w:rFonts w:eastAsia="Times New Roman"/>
        </w:rPr>
        <w:t>Rabah</w:t>
      </w:r>
      <w:r w:rsidRPr="008F03E5">
        <w:rPr>
          <w:rFonts w:eastAsia="Times New Roman"/>
        </w:rPr>
        <w:tab/>
        <w:t>Rabáḥ</w:t>
      </w:r>
      <w:r w:rsidRPr="008F03E5">
        <w:rPr>
          <w:rFonts w:eastAsia="Times New Roman"/>
        </w:rPr>
        <w:tab/>
        <w:t>gain, profit; a kind of cat</w:t>
      </w:r>
    </w:p>
    <w:p w14:paraId="4A8508E4" w14:textId="77777777" w:rsidR="00625A5B" w:rsidRPr="008F03E5" w:rsidRDefault="00625A5B" w:rsidP="00900A82">
      <w:pPr>
        <w:pStyle w:val="Translit"/>
      </w:pPr>
      <w:r w:rsidRPr="008F03E5">
        <w:t>Rabb al-A’la, Rabb-i-A’la</w:t>
      </w:r>
      <w:r w:rsidRPr="008F03E5">
        <w:tab/>
        <w:t>Rabb al-A‘lá, Pers. Rabb-i-A‘lá</w:t>
      </w:r>
      <w:r w:rsidRPr="008F03E5">
        <w:tab/>
        <w:t>“Lord the Most High” or “Exalted Lord” (a designation of the Báb)</w:t>
      </w:r>
    </w:p>
    <w:p w14:paraId="6CB2EED6" w14:textId="77777777" w:rsidR="00625A5B" w:rsidRPr="008F03E5" w:rsidRDefault="00625A5B" w:rsidP="00F740D4">
      <w:pPr>
        <w:pStyle w:val="Translit"/>
      </w:pPr>
      <w:r w:rsidRPr="008F03E5">
        <w:t>Rabb, Arbab</w:t>
      </w:r>
      <w:r w:rsidRPr="008F03E5">
        <w:tab/>
        <w:t>Rabb, pl. Arbáb</w:t>
      </w:r>
      <w:r w:rsidRPr="008F03E5">
        <w:tab/>
        <w:t>lord; master; owner, proprietor (Islamic law); (with following genitive) one possessed of, endowed with, having to do with, etc. (the Lord = God)</w:t>
      </w:r>
    </w:p>
    <w:p w14:paraId="27818A0B" w14:textId="77777777" w:rsidR="00625A5B" w:rsidRPr="008F03E5" w:rsidRDefault="00625A5B" w:rsidP="00DA4A20">
      <w:pPr>
        <w:pStyle w:val="Translit"/>
      </w:pPr>
      <w:r w:rsidRPr="008F03E5">
        <w:t>Rabba, Rabbat</w:t>
      </w:r>
      <w:r w:rsidRPr="008F03E5">
        <w:tab/>
        <w:t>Rabba[t], pl. Rabbát</w:t>
      </w:r>
      <w:r w:rsidRPr="008F03E5">
        <w:tab/>
        <w:t>mistress; lady</w:t>
      </w:r>
    </w:p>
    <w:p w14:paraId="2F999D0B" w14:textId="77777777" w:rsidR="00625A5B" w:rsidRPr="008F03E5" w:rsidRDefault="00625A5B" w:rsidP="00854E22">
      <w:pPr>
        <w:pStyle w:val="Translit"/>
      </w:pPr>
      <w:r w:rsidRPr="008F03E5">
        <w:t>Rabbani</w:t>
      </w:r>
      <w:r w:rsidRPr="008F03E5">
        <w:tab/>
        <w:t>Rabbání</w:t>
      </w:r>
      <w:r w:rsidRPr="008F03E5">
        <w:tab/>
        <w:t>divine, godly; pertaining to God</w:t>
      </w:r>
      <w:r w:rsidRPr="008F03E5">
        <w:rPr>
          <w:rFonts w:eastAsia="Times New Roman"/>
        </w:rPr>
        <w:t>; a doctor of divinity</w:t>
      </w:r>
      <w:r w:rsidRPr="008F03E5">
        <w:t xml:space="preserve">.  Surname given by ‘Abdu’l-Bahá to Shoghi Effendi to distinguish him from his cousins (see Afnán and </w:t>
      </w:r>
      <w:r w:rsidRPr="008F03E5">
        <w:rPr>
          <w:u w:val="single"/>
        </w:rPr>
        <w:t>Sh</w:t>
      </w:r>
      <w:r w:rsidRPr="008F03E5">
        <w:t xml:space="preserve">ahíd).  See </w:t>
      </w:r>
      <w:r w:rsidRPr="008F03E5">
        <w:rPr>
          <w:i/>
          <w:iCs/>
        </w:rPr>
        <w:t>Priceless Pearl</w:t>
      </w:r>
      <w:r w:rsidRPr="008F03E5">
        <w:t>, p. 17.  Also used by his siblings:  Ḥusayn, Riyáḍ (Riad), Rúḥangíz and Mihrangíz.</w:t>
      </w:r>
    </w:p>
    <w:p w14:paraId="332A68B1" w14:textId="77777777" w:rsidR="00625A5B" w:rsidRPr="008F03E5" w:rsidRDefault="00625A5B" w:rsidP="00100689">
      <w:pPr>
        <w:pStyle w:val="Translit"/>
      </w:pPr>
      <w:r w:rsidRPr="008F03E5">
        <w:t>Rabbi</w:t>
      </w:r>
      <w:r w:rsidRPr="008F03E5">
        <w:tab/>
        <w:t>Rabbí</w:t>
      </w:r>
      <w:r w:rsidRPr="008F03E5">
        <w:tab/>
        <w:t>my lord</w:t>
      </w:r>
    </w:p>
    <w:p w14:paraId="7CFF22E4" w14:textId="77777777" w:rsidR="00625A5B" w:rsidRPr="008F03E5" w:rsidRDefault="00625A5B" w:rsidP="00DA4A20">
      <w:pPr>
        <w:pStyle w:val="Translit"/>
      </w:pPr>
      <w:r w:rsidRPr="008F03E5">
        <w:t>Rabbihi</w:t>
      </w:r>
      <w:r w:rsidRPr="008F03E5">
        <w:tab/>
        <w:t>Rabbihí</w:t>
      </w:r>
      <w:r w:rsidRPr="008F03E5">
        <w:tab/>
        <w:t xml:space="preserve">His Lord.  Aḥmad ibn Muḥammad ibn ‘Abd Rabbihí, </w:t>
      </w:r>
      <w:r w:rsidRPr="008F03E5">
        <w:rPr>
          <w:i/>
          <w:iCs/>
        </w:rPr>
        <w:t>al-‘Iqd al-Faríd</w:t>
      </w:r>
      <w:r w:rsidRPr="008F03E5">
        <w:t xml:space="preserve"> (The Precious (Priceless or Unique) Necklace)</w:t>
      </w:r>
    </w:p>
    <w:p w14:paraId="62EA87CD" w14:textId="77777777" w:rsidR="00625A5B" w:rsidRPr="008F03E5" w:rsidRDefault="00625A5B" w:rsidP="007C59E5">
      <w:pPr>
        <w:pStyle w:val="Translit"/>
      </w:pPr>
      <w:r w:rsidRPr="008F03E5">
        <w:t>Rabbiya’l-Abha</w:t>
      </w:r>
      <w:r w:rsidRPr="008F03E5">
        <w:tab/>
        <w:t>Rabbíya’l-Abhá</w:t>
      </w:r>
      <w:r w:rsidRPr="008F03E5">
        <w:tab/>
        <w:t>“My Lord, the Most Glorious”</w:t>
      </w:r>
    </w:p>
    <w:p w14:paraId="5A68B0CB" w14:textId="77777777" w:rsidR="00625A5B" w:rsidRPr="008F03E5" w:rsidRDefault="00625A5B" w:rsidP="00CD49CE">
      <w:pPr>
        <w:pStyle w:val="Translit"/>
      </w:pPr>
      <w:r w:rsidRPr="008F03E5">
        <w:rPr>
          <w:rFonts w:eastAsia="PMingLiU"/>
          <w:lang w:eastAsia="zh-TW"/>
        </w:rPr>
        <w:t>Rabi’</w:t>
      </w:r>
      <w:r w:rsidRPr="008F03E5">
        <w:tab/>
      </w:r>
      <w:r w:rsidRPr="008F03E5">
        <w:rPr>
          <w:rFonts w:eastAsia="PMingLiU"/>
          <w:lang w:eastAsia="zh-TW"/>
        </w:rPr>
        <w:t>Rabí‘</w:t>
      </w:r>
      <w:r w:rsidRPr="008F03E5">
        <w:tab/>
        <w:t>spring, springtime, vernal season; name of the third and fourth months of the Muslim year</w:t>
      </w:r>
    </w:p>
    <w:p w14:paraId="7D53361B" w14:textId="77777777" w:rsidR="00625A5B" w:rsidRPr="008F03E5" w:rsidRDefault="00625A5B" w:rsidP="00EB7FBF">
      <w:pPr>
        <w:pStyle w:val="Translit"/>
      </w:pPr>
      <w:r w:rsidRPr="008F03E5">
        <w:t>Rabi’, Rabi’a</w:t>
      </w:r>
      <w:r w:rsidRPr="008F03E5">
        <w:tab/>
        <w:t>Rábi‘, fem. Rábi‘a[h], Pers. Rábi‘ih</w:t>
      </w:r>
      <w:r w:rsidRPr="008F03E5">
        <w:tab/>
        <w:t xml:space="preserve">fourth (fem. fourth “female”); making a fourth.  Bahá’u’lláh’s family lived four months with the Rábi‘ih family in ‘Akká.  The house is adjacent to the small Shrine of </w:t>
      </w:r>
      <w:r w:rsidRPr="008F03E5">
        <w:rPr>
          <w:u w:val="single"/>
        </w:rPr>
        <w:t>Sh</w:t>
      </w:r>
      <w:r w:rsidRPr="008F03E5">
        <w:t>ay</w:t>
      </w:r>
      <w:r w:rsidRPr="008F03E5">
        <w:rPr>
          <w:u w:val="single"/>
        </w:rPr>
        <w:t>kh</w:t>
      </w:r>
      <w:r w:rsidRPr="008F03E5">
        <w:t xml:space="preserve"> </w:t>
      </w:r>
      <w:r w:rsidRPr="008F03E5">
        <w:rPr>
          <w:u w:val="single"/>
        </w:rPr>
        <w:t>Gh</w:t>
      </w:r>
      <w:r w:rsidRPr="008F03E5">
        <w:t xml:space="preserve">ánim (the building with two small, green domes, east of bend in </w:t>
      </w:r>
      <w:r w:rsidRPr="008F03E5">
        <w:rPr>
          <w:sz w:val="16"/>
          <w:szCs w:val="16"/>
        </w:rPr>
        <w:t>SE</w:t>
      </w:r>
      <w:r w:rsidRPr="008F03E5">
        <w:t xml:space="preserve"> corner of Salah and Basri St, co-ord. 32.919514, 35.068102).</w:t>
      </w:r>
    </w:p>
    <w:p w14:paraId="7C4FAC41" w14:textId="77777777" w:rsidR="00625A5B" w:rsidRPr="008F03E5" w:rsidRDefault="00625A5B" w:rsidP="00367347">
      <w:pPr>
        <w:pStyle w:val="Translit"/>
      </w:pPr>
      <w:r w:rsidRPr="00DB6D67">
        <w:rPr>
          <w:lang w:val="en-AU"/>
        </w:rPr>
        <w:t>Rabi’a, Rabaya</w:t>
      </w:r>
      <w:r w:rsidRPr="00DB6D67">
        <w:rPr>
          <w:lang w:val="en-AU"/>
        </w:rPr>
        <w:tab/>
        <w:t xml:space="preserve">Rabí‘a[h], pl. </w:t>
      </w:r>
      <w:r w:rsidRPr="008F03E5">
        <w:t>Rabáya</w:t>
      </w:r>
      <w:r w:rsidRPr="008F03E5">
        <w:tab/>
        <w:t xml:space="preserve">guard.  Brothers </w:t>
      </w:r>
      <w:r w:rsidRPr="008F03E5">
        <w:rPr>
          <w:u w:val="single"/>
        </w:rPr>
        <w:t>Sh</w:t>
      </w:r>
      <w:r w:rsidRPr="008F03E5">
        <w:t>aybah ibn Rabí‘ah (c. 560–624) and ‘Utbah ibn Rabí‘ah (c. 563–624), and nephew Walíd ibn ‘Utbah were killed in a 3 × 3 match before the Battle of Badr in 624.</w:t>
      </w:r>
    </w:p>
    <w:p w14:paraId="179042F6" w14:textId="77777777" w:rsidR="00625A5B" w:rsidRPr="008F03E5" w:rsidRDefault="00625A5B" w:rsidP="00D905C5">
      <w:pPr>
        <w:pStyle w:val="Translit"/>
      </w:pPr>
      <w:r w:rsidRPr="008F03E5">
        <w:t>Rabi’u’l-Awwal (Rabi’u’l-Avval)</w:t>
      </w:r>
      <w:r w:rsidRPr="008F03E5">
        <w:tab/>
        <w:t>Rabí‘u’l-Awwal (Rabí‘u’l-Avval)</w:t>
      </w:r>
      <w:r w:rsidRPr="008F03E5">
        <w:tab/>
        <w:t>t</w:t>
      </w:r>
      <w:r w:rsidRPr="008F03E5">
        <w:rPr>
          <w:rFonts w:eastAsia="PMingLiU"/>
          <w:lang w:eastAsia="zh-TW"/>
        </w:rPr>
        <w:t xml:space="preserve">hird month in </w:t>
      </w:r>
      <w:r w:rsidRPr="008F03E5">
        <w:t>Islamic calendar.  The first [month] or beginning of spring, referring to its position in the pre-Islamic Arabian calendar.</w:t>
      </w:r>
    </w:p>
    <w:p w14:paraId="146588E6" w14:textId="77777777" w:rsidR="00625A5B" w:rsidRPr="008F03E5" w:rsidRDefault="00625A5B" w:rsidP="002A1C6B">
      <w:pPr>
        <w:pStyle w:val="Translit"/>
        <w:rPr>
          <w:rFonts w:eastAsia="PMingLiU"/>
          <w:lang w:eastAsia="zh-TW"/>
        </w:rPr>
      </w:pPr>
      <w:r w:rsidRPr="008F03E5">
        <w:t>Rabi’u’th-Thani (Rabi’ al-Athir)</w:t>
      </w:r>
      <w:r w:rsidRPr="008F03E5">
        <w:tab/>
        <w:t>Rabí‘u’</w:t>
      </w:r>
      <w:r w:rsidRPr="008F03E5">
        <w:rPr>
          <w:u w:val="single"/>
        </w:rPr>
        <w:t>th</w:t>
      </w:r>
      <w:r w:rsidRPr="008F03E5">
        <w:t>-</w:t>
      </w:r>
      <w:r w:rsidRPr="008F03E5">
        <w:rPr>
          <w:u w:val="single"/>
        </w:rPr>
        <w:t>Th</w:t>
      </w:r>
      <w:r w:rsidRPr="008F03E5">
        <w:t>ání</w:t>
      </w:r>
      <w:r w:rsidRPr="008F03E5">
        <w:tab/>
        <w:t>f</w:t>
      </w:r>
      <w:r w:rsidRPr="008F03E5">
        <w:rPr>
          <w:rFonts w:eastAsia="PMingLiU"/>
          <w:lang w:eastAsia="zh-TW"/>
        </w:rPr>
        <w:t>ourth month in Islamic calen</w:t>
      </w:r>
      <w:r w:rsidRPr="008F03E5">
        <w:t xml:space="preserve">dar.  (the second/last spring).  </w:t>
      </w:r>
      <w:r w:rsidRPr="008F03E5">
        <w:rPr>
          <w:rFonts w:eastAsia="PMingLiU"/>
          <w:lang w:eastAsia="zh-TW"/>
        </w:rPr>
        <w:t xml:space="preserve">Also known as </w:t>
      </w:r>
      <w:r w:rsidRPr="008F03E5">
        <w:t>Rabí‘ al-Á</w:t>
      </w:r>
      <w:r w:rsidRPr="008F03E5">
        <w:rPr>
          <w:u w:val="single"/>
        </w:rPr>
        <w:t>kh</w:t>
      </w:r>
      <w:r w:rsidRPr="008F03E5">
        <w:t>ir.</w:t>
      </w:r>
    </w:p>
    <w:p w14:paraId="16419582" w14:textId="77777777" w:rsidR="00625A5B" w:rsidRPr="008F03E5" w:rsidRDefault="00625A5B" w:rsidP="00E476BD">
      <w:pPr>
        <w:pStyle w:val="Translit"/>
        <w:rPr>
          <w:rFonts w:eastAsia="PMingLiU"/>
          <w:lang w:eastAsia="zh-TW"/>
        </w:rPr>
      </w:pPr>
      <w:r w:rsidRPr="008F03E5">
        <w:rPr>
          <w:rFonts w:eastAsia="Times New Roman"/>
        </w:rPr>
        <w:t>Rabigh</w:t>
      </w:r>
      <w:r w:rsidRPr="008F03E5">
        <w:rPr>
          <w:rFonts w:eastAsia="Times New Roman"/>
        </w:rPr>
        <w:tab/>
        <w:t>R</w:t>
      </w:r>
      <w:r w:rsidRPr="008F03E5">
        <w:t>á</w:t>
      </w:r>
      <w:r w:rsidRPr="008F03E5">
        <w:rPr>
          <w:rFonts w:eastAsia="Times New Roman"/>
        </w:rPr>
        <w:t>bi</w:t>
      </w:r>
      <w:r w:rsidRPr="008F03E5">
        <w:rPr>
          <w:u w:val="single"/>
        </w:rPr>
        <w:t>gh</w:t>
      </w:r>
      <w:r w:rsidRPr="008F03E5">
        <w:tab/>
      </w:r>
      <w:r w:rsidRPr="008F03E5">
        <w:rPr>
          <w:rFonts w:eastAsia="Times New Roman"/>
        </w:rPr>
        <w:t xml:space="preserve">Rábigh is an ancient town on the Red Sea coast about halfway between Medina and Mecca.  It is about 16 km </w:t>
      </w:r>
      <w:r w:rsidRPr="008F03E5">
        <w:rPr>
          <w:rFonts w:eastAsia="Times New Roman"/>
          <w:sz w:val="16"/>
          <w:szCs w:val="16"/>
        </w:rPr>
        <w:t>NW</w:t>
      </w:r>
      <w:r w:rsidRPr="008F03E5">
        <w:rPr>
          <w:rFonts w:eastAsia="Times New Roman"/>
        </w:rPr>
        <w:t xml:space="preserve"> of Masjid Míqít al-Juḥfah</w:t>
      </w:r>
    </w:p>
    <w:p w14:paraId="6D11474F" w14:textId="77777777" w:rsidR="00625A5B" w:rsidRPr="008F03E5" w:rsidRDefault="00625A5B" w:rsidP="00BB2E26">
      <w:pPr>
        <w:pStyle w:val="Translit"/>
        <w:rPr>
          <w:rFonts w:eastAsia="PMingLiU"/>
          <w:lang w:eastAsia="zh-TW"/>
        </w:rPr>
      </w:pPr>
      <w:r w:rsidRPr="008F03E5">
        <w:t>Rada, Rawd (Raud)</w:t>
      </w:r>
      <w:r w:rsidRPr="008F03E5">
        <w:tab/>
        <w:t>Ráda (Rawd)</w:t>
      </w:r>
      <w:r w:rsidRPr="008F03E5">
        <w:tab/>
        <w:t xml:space="preserve">to walk about, move about, prowl; to look.  Form </w:t>
      </w:r>
      <w:r w:rsidRPr="008F03E5">
        <w:rPr>
          <w:sz w:val="16"/>
          <w:szCs w:val="16"/>
        </w:rPr>
        <w:t>IV</w:t>
      </w:r>
      <w:r w:rsidRPr="008F03E5">
        <w:t xml:space="preserve"> to want (something, to do something), wish, have a mind, be willing (to do something); to want to have (something).  Form </w:t>
      </w:r>
      <w:r w:rsidRPr="008F03E5">
        <w:rPr>
          <w:sz w:val="16"/>
          <w:szCs w:val="16"/>
        </w:rPr>
        <w:t>VIII</w:t>
      </w:r>
      <w:r w:rsidRPr="008F03E5">
        <w:t xml:space="preserve"> to repair; to explore (something).  </w:t>
      </w:r>
      <w:r w:rsidRPr="008F03E5">
        <w:rPr>
          <w:i/>
          <w:iCs/>
        </w:rPr>
        <w:t>Aráda</w:t>
      </w:r>
      <w:r w:rsidRPr="008F03E5">
        <w:t xml:space="preserve"> want (to), </w:t>
      </w:r>
      <w:r w:rsidRPr="008F03E5">
        <w:rPr>
          <w:i/>
          <w:iCs/>
        </w:rPr>
        <w:t>Aradtu,</w:t>
      </w:r>
      <w:r w:rsidRPr="008F03E5">
        <w:t xml:space="preserve"> wanted</w:t>
      </w:r>
    </w:p>
    <w:p w14:paraId="4AE98C8C" w14:textId="77777777" w:rsidR="00625A5B" w:rsidRPr="008F03E5" w:rsidRDefault="00625A5B" w:rsidP="00AA1F88">
      <w:pPr>
        <w:pStyle w:val="Translit"/>
        <w:rPr>
          <w:rFonts w:eastAsia="PMingLiU"/>
          <w:lang w:eastAsia="zh-TW"/>
        </w:rPr>
      </w:pPr>
      <w:r w:rsidRPr="008F03E5">
        <w:rPr>
          <w:rFonts w:eastAsia="PMingLiU"/>
          <w:lang w:eastAsia="zh-TW"/>
        </w:rPr>
        <w:t>R</w:t>
      </w:r>
      <w:r>
        <w:rPr>
          <w:rFonts w:eastAsia="PMingLiU"/>
          <w:lang w:eastAsia="zh-TW"/>
        </w:rPr>
        <w:t>a</w:t>
      </w:r>
      <w:r w:rsidRPr="008F03E5">
        <w:rPr>
          <w:rFonts w:eastAsia="PMingLiU"/>
          <w:lang w:eastAsia="zh-TW"/>
        </w:rPr>
        <w:t>d</w:t>
      </w:r>
      <w:r>
        <w:rPr>
          <w:rFonts w:eastAsia="PMingLiU"/>
          <w:lang w:eastAsia="zh-TW"/>
        </w:rPr>
        <w:t>a’</w:t>
      </w:r>
      <w:r w:rsidRPr="008F03E5">
        <w:rPr>
          <w:rFonts w:eastAsia="PMingLiU"/>
          <w:lang w:eastAsia="zh-TW"/>
        </w:rPr>
        <w:t>u’r-Ruh (Rada’r-Ruh</w:t>
      </w:r>
      <w:r>
        <w:rPr>
          <w:rFonts w:eastAsia="PMingLiU"/>
          <w:lang w:eastAsia="zh-TW"/>
        </w:rPr>
        <w:t xml:space="preserve">, </w:t>
      </w:r>
      <w:r w:rsidRPr="008F03E5">
        <w:rPr>
          <w:rFonts w:eastAsia="PMingLiU"/>
          <w:lang w:eastAsia="zh-TW"/>
        </w:rPr>
        <w:t>Rada’ar-Ruh)</w:t>
      </w:r>
      <w:r w:rsidRPr="008F03E5">
        <w:tab/>
      </w:r>
      <w:r w:rsidRPr="008F03E5">
        <w:rPr>
          <w:rFonts w:eastAsia="PMingLiU"/>
          <w:lang w:eastAsia="zh-TW"/>
        </w:rPr>
        <w:t>R</w:t>
      </w:r>
      <w:r>
        <w:rPr>
          <w:rFonts w:eastAsia="PMingLiU"/>
          <w:lang w:eastAsia="zh-TW"/>
        </w:rPr>
        <w:t>á</w:t>
      </w:r>
      <w:r w:rsidRPr="008F03E5">
        <w:t>ḍ</w:t>
      </w:r>
      <w:r>
        <w:t>í’</w:t>
      </w:r>
      <w:r w:rsidRPr="008F03E5">
        <w:rPr>
          <w:rFonts w:eastAsia="PMingLiU"/>
          <w:lang w:eastAsia="zh-TW"/>
        </w:rPr>
        <w:t>u’r-R</w:t>
      </w:r>
      <w:r w:rsidRPr="008F03E5">
        <w:t>úḥ</w:t>
      </w:r>
      <w:r w:rsidRPr="008F03E5">
        <w:tab/>
        <w:t>“Content</w:t>
      </w:r>
      <w:r>
        <w:t>ed s</w:t>
      </w:r>
      <w:r w:rsidRPr="008F03E5">
        <w:t>pirit”, name given to Mullá Muḥammad-Riḍáy-i-Man</w:t>
      </w:r>
      <w:r w:rsidRPr="008F03E5">
        <w:rPr>
          <w:u w:val="single"/>
        </w:rPr>
        <w:t>sh</w:t>
      </w:r>
      <w:r w:rsidRPr="008F03E5">
        <w:t>ádí by Bahá’u’lláh</w:t>
      </w:r>
      <w:r w:rsidRPr="008F03E5">
        <w:rPr>
          <w:rFonts w:eastAsia="PMingLiU"/>
          <w:lang w:eastAsia="zh-TW"/>
        </w:rPr>
        <w:t>.  [Ra</w:t>
      </w:r>
      <w:r w:rsidRPr="008F03E5">
        <w:t>ḍ</w:t>
      </w:r>
      <w:r w:rsidRPr="008F03E5">
        <w:rPr>
          <w:rFonts w:eastAsia="PMingLiU"/>
          <w:lang w:eastAsia="zh-TW"/>
        </w:rPr>
        <w:t>’ar-R</w:t>
      </w:r>
      <w:r w:rsidRPr="008F03E5">
        <w:t>úḥ</w:t>
      </w:r>
      <w:r>
        <w:t>,</w:t>
      </w:r>
      <w:r w:rsidRPr="008F03E5">
        <w:rPr>
          <w:rFonts w:eastAsia="PMingLiU"/>
          <w:lang w:eastAsia="zh-TW"/>
        </w:rPr>
        <w:t xml:space="preserve"> Ra</w:t>
      </w:r>
      <w:r w:rsidRPr="008F03E5">
        <w:t>ḍ</w:t>
      </w:r>
      <w:r w:rsidRPr="008F03E5">
        <w:rPr>
          <w:rFonts w:eastAsia="PMingLiU"/>
          <w:lang w:eastAsia="zh-TW"/>
        </w:rPr>
        <w:t>a’r-R</w:t>
      </w:r>
      <w:r w:rsidRPr="008F03E5">
        <w:t>úḥ</w:t>
      </w:r>
      <w:r>
        <w:t xml:space="preserve"> and Ra</w:t>
      </w:r>
      <w:r w:rsidRPr="00420E0A">
        <w:t>ḍ</w:t>
      </w:r>
      <w:r w:rsidRPr="003C0F25">
        <w:t>í</w:t>
      </w:r>
      <w:r>
        <w:t>ur-R</w:t>
      </w:r>
      <w:r w:rsidRPr="003C0F25">
        <w:t>úḥ</w:t>
      </w:r>
      <w:r>
        <w:t xml:space="preserve"> all </w:t>
      </w:r>
      <w:r w:rsidRPr="008F03E5">
        <w:t>appear to be incorrect]</w:t>
      </w:r>
    </w:p>
    <w:p w14:paraId="7CC1B172" w14:textId="77777777" w:rsidR="00625A5B" w:rsidRPr="008F03E5" w:rsidRDefault="00625A5B" w:rsidP="008D6DBB">
      <w:pPr>
        <w:pStyle w:val="Translit"/>
        <w:rPr>
          <w:rFonts w:eastAsia="PMingLiU"/>
          <w:lang w:eastAsia="zh-TW"/>
        </w:rPr>
      </w:pPr>
      <w:r w:rsidRPr="00BC189D">
        <w:rPr>
          <w:rFonts w:eastAsia="PMingLiU"/>
          <w:lang w:val="it-IT" w:eastAsia="zh-TW"/>
        </w:rPr>
        <w:t>Radawi, Radavi (Razavi)</w:t>
      </w:r>
      <w:r w:rsidRPr="00BC189D">
        <w:rPr>
          <w:lang w:val="it-IT"/>
        </w:rPr>
        <w:tab/>
      </w:r>
      <w:r w:rsidRPr="00BC189D">
        <w:rPr>
          <w:rFonts w:eastAsia="PMingLiU"/>
          <w:lang w:val="it-IT" w:eastAsia="zh-TW"/>
        </w:rPr>
        <w:t>Ra</w:t>
      </w:r>
      <w:r w:rsidRPr="00BC189D">
        <w:rPr>
          <w:lang w:val="it-IT"/>
        </w:rPr>
        <w:t>ḍ</w:t>
      </w:r>
      <w:r w:rsidRPr="00BC189D">
        <w:rPr>
          <w:rFonts w:eastAsia="PMingLiU"/>
          <w:lang w:val="it-IT" w:eastAsia="zh-TW"/>
        </w:rPr>
        <w:t xml:space="preserve">awí, </w:t>
      </w:r>
      <w:r w:rsidRPr="00BC189D">
        <w:rPr>
          <w:lang w:val="it-IT"/>
        </w:rPr>
        <w:t>Pers.</w:t>
      </w:r>
      <w:r w:rsidRPr="00BC189D">
        <w:rPr>
          <w:rFonts w:eastAsia="PMingLiU"/>
          <w:lang w:val="it-IT" w:eastAsia="zh-TW"/>
        </w:rPr>
        <w:t xml:space="preserve"> </w:t>
      </w:r>
      <w:r w:rsidRPr="008F03E5">
        <w:rPr>
          <w:rFonts w:eastAsia="PMingLiU"/>
          <w:lang w:eastAsia="zh-TW"/>
        </w:rPr>
        <w:t>Ra</w:t>
      </w:r>
      <w:r w:rsidRPr="008F03E5">
        <w:t>ḍ</w:t>
      </w:r>
      <w:r w:rsidRPr="008F03E5">
        <w:rPr>
          <w:rFonts w:eastAsia="PMingLiU"/>
          <w:lang w:eastAsia="zh-TW"/>
        </w:rPr>
        <w:t>aví</w:t>
      </w:r>
      <w:r w:rsidRPr="008F03E5">
        <w:tab/>
      </w:r>
      <w:bookmarkStart w:id="123" w:name="_Hlk52538097"/>
      <w:r w:rsidRPr="008F03E5">
        <w:t xml:space="preserve">Ústán (province) </w:t>
      </w:r>
      <w:r w:rsidRPr="008F03E5">
        <w:rPr>
          <w:rFonts w:eastAsia="PMingLiU"/>
          <w:lang w:eastAsia="zh-TW"/>
        </w:rPr>
        <w:t>Ra</w:t>
      </w:r>
      <w:r w:rsidRPr="008F03E5">
        <w:t>ḍ</w:t>
      </w:r>
      <w:r w:rsidRPr="008F03E5">
        <w:rPr>
          <w:rFonts w:eastAsia="PMingLiU"/>
          <w:lang w:eastAsia="zh-TW"/>
        </w:rPr>
        <w:t xml:space="preserve">awí </w:t>
      </w:r>
      <w:r w:rsidRPr="008F03E5">
        <w:rPr>
          <w:u w:val="single"/>
        </w:rPr>
        <w:t>Kh</w:t>
      </w:r>
      <w:r w:rsidRPr="008F03E5">
        <w:t>urásán</w:t>
      </w:r>
      <w:bookmarkEnd w:id="123"/>
      <w:r w:rsidRPr="008F03E5">
        <w:t xml:space="preserve">, in the </w:t>
      </w:r>
      <w:r w:rsidRPr="008F03E5">
        <w:rPr>
          <w:sz w:val="16"/>
          <w:szCs w:val="16"/>
        </w:rPr>
        <w:t>NE</w:t>
      </w:r>
      <w:r w:rsidRPr="008F03E5">
        <w:t xml:space="preserve"> of Iran</w:t>
      </w:r>
    </w:p>
    <w:p w14:paraId="2DC15368" w14:textId="77777777" w:rsidR="00625A5B" w:rsidRDefault="00625A5B" w:rsidP="006F7BBA">
      <w:pPr>
        <w:pStyle w:val="Translit"/>
        <w:rPr>
          <w:rFonts w:eastAsia="Times New Roman"/>
        </w:rPr>
      </w:pPr>
      <w:r>
        <w:rPr>
          <w:rFonts w:eastAsia="Times New Roman"/>
        </w:rPr>
        <w:t>Radd, Rudud</w:t>
      </w:r>
      <w:r>
        <w:rPr>
          <w:rFonts w:eastAsia="Times New Roman"/>
        </w:rPr>
        <w:tab/>
        <w:t>R</w:t>
      </w:r>
      <w:r w:rsidRPr="00665F6A">
        <w:rPr>
          <w:rFonts w:eastAsia="Times New Roman"/>
        </w:rPr>
        <w:t>add</w:t>
      </w:r>
      <w:r>
        <w:rPr>
          <w:rFonts w:eastAsia="Times New Roman"/>
        </w:rPr>
        <w:t>.</w:t>
      </w:r>
      <w:r w:rsidRPr="00665F6A">
        <w:rPr>
          <w:rFonts w:eastAsia="Times New Roman"/>
        </w:rPr>
        <w:t xml:space="preserve"> pl. </w:t>
      </w:r>
      <w:r>
        <w:rPr>
          <w:rFonts w:eastAsia="Times New Roman"/>
        </w:rPr>
        <w:t>R</w:t>
      </w:r>
      <w:r w:rsidRPr="00665F6A">
        <w:rPr>
          <w:rFonts w:eastAsia="Times New Roman"/>
        </w:rPr>
        <w:t>ud</w:t>
      </w:r>
      <w:r>
        <w:rPr>
          <w:rFonts w:eastAsia="Times New Roman"/>
        </w:rPr>
        <w:t>ú</w:t>
      </w:r>
      <w:r w:rsidRPr="00665F6A">
        <w:rPr>
          <w:rFonts w:eastAsia="Times New Roman"/>
        </w:rPr>
        <w:t>d</w:t>
      </w:r>
      <w:r>
        <w:rPr>
          <w:rFonts w:eastAsia="Times New Roman"/>
        </w:rPr>
        <w:tab/>
      </w:r>
      <w:r w:rsidRPr="00665F6A">
        <w:rPr>
          <w:rFonts w:eastAsia="Times New Roman"/>
        </w:rPr>
        <w:t>return; restoration, restitution; refund, reimbursement; repayment, requital; repulsion; warding off, parrying; denial, refusal; rejection; reply, answer; reflection (e.g., of light); refutation; attribution (to)</w:t>
      </w:r>
    </w:p>
    <w:p w14:paraId="6CA99352" w14:textId="77777777" w:rsidR="00625A5B" w:rsidRPr="008F03E5" w:rsidRDefault="00625A5B" w:rsidP="00814BDF">
      <w:pPr>
        <w:pStyle w:val="Translit"/>
      </w:pPr>
      <w:r w:rsidRPr="008F03E5">
        <w:rPr>
          <w:rFonts w:eastAsia="Times New Roman"/>
        </w:rPr>
        <w:t>Radi</w:t>
      </w:r>
      <w:r w:rsidRPr="008F03E5">
        <w:rPr>
          <w:rFonts w:eastAsia="Times New Roman"/>
        </w:rPr>
        <w:tab/>
        <w:t>Ra</w:t>
      </w:r>
      <w:r w:rsidRPr="008F03E5">
        <w:t>ḍí</w:t>
      </w:r>
      <w:r w:rsidRPr="008F03E5">
        <w:rPr>
          <w:rFonts w:eastAsia="Times New Roman"/>
        </w:rPr>
        <w:tab/>
        <w:t>content, pleased.  See Mah</w:t>
      </w:r>
      <w:r w:rsidRPr="008F03E5">
        <w:t>í</w:t>
      </w:r>
      <w:r w:rsidRPr="008F03E5">
        <w:rPr>
          <w:rFonts w:eastAsia="Times New Roman"/>
        </w:rPr>
        <w:t>d</w:t>
      </w:r>
    </w:p>
    <w:p w14:paraId="4085A920" w14:textId="77777777" w:rsidR="00625A5B" w:rsidRPr="008F03E5" w:rsidRDefault="00625A5B" w:rsidP="00AA1F88">
      <w:pPr>
        <w:pStyle w:val="Translit"/>
      </w:pPr>
      <w:r w:rsidRPr="008F03E5">
        <w:t>Radi</w:t>
      </w:r>
      <w:r>
        <w:t>, Radiya</w:t>
      </w:r>
      <w:r w:rsidRPr="008F03E5">
        <w:tab/>
        <w:t>Ráḍí</w:t>
      </w:r>
      <w:r>
        <w:t>, fem. R</w:t>
      </w:r>
      <w:r w:rsidRPr="00AA1F88">
        <w:t>á</w:t>
      </w:r>
      <w:r>
        <w:t>d</w:t>
      </w:r>
      <w:r w:rsidRPr="00AA1F88">
        <w:t>í</w:t>
      </w:r>
      <w:r>
        <w:t>ya[h or t]</w:t>
      </w:r>
      <w:r w:rsidRPr="008F03E5">
        <w:tab/>
        <w:t>content</w:t>
      </w:r>
      <w:r>
        <w:t>ed</w:t>
      </w:r>
      <w:r w:rsidRPr="008F03E5">
        <w:t>, satisfied, pleased, willing, acquiescent; pleasing, pleasant, agreeable</w:t>
      </w:r>
    </w:p>
    <w:p w14:paraId="62B5FF86" w14:textId="77777777" w:rsidR="00625A5B" w:rsidRPr="008F03E5" w:rsidRDefault="00625A5B" w:rsidP="00BC035D">
      <w:pPr>
        <w:pStyle w:val="Translit"/>
      </w:pPr>
      <w:r w:rsidRPr="008F03E5">
        <w:t>Radifa</w:t>
      </w:r>
      <w:r w:rsidRPr="008F03E5">
        <w:tab/>
        <w:t>Rádifa[t]</w:t>
      </w:r>
      <w:r w:rsidRPr="008F03E5">
        <w:tab/>
        <w:t>second trumpet blast on Day of Resurrection (Qur’án 39:69)—Bahá’u’lláh</w:t>
      </w:r>
    </w:p>
    <w:p w14:paraId="7B189BC8" w14:textId="77777777" w:rsidR="00625A5B" w:rsidRPr="008F03E5" w:rsidRDefault="00625A5B" w:rsidP="003C2A75">
      <w:pPr>
        <w:pStyle w:val="Translit"/>
        <w:rPr>
          <w:rFonts w:eastAsia="Times New Roman"/>
        </w:rPr>
      </w:pPr>
      <w:r w:rsidRPr="008F03E5">
        <w:rPr>
          <w:rFonts w:eastAsia="Times New Roman"/>
        </w:rPr>
        <w:t>Radiy (Razi), Radiya (Raziya)</w:t>
      </w:r>
      <w:r w:rsidRPr="008F03E5">
        <w:rPr>
          <w:rFonts w:eastAsia="Times New Roman"/>
        </w:rPr>
        <w:tab/>
        <w:t>Rá</w:t>
      </w:r>
      <w:r w:rsidRPr="008F03E5">
        <w:t>ḍ</w:t>
      </w:r>
      <w:r w:rsidRPr="008F03E5">
        <w:rPr>
          <w:rFonts w:eastAsia="Times New Roman"/>
        </w:rPr>
        <w:t>iy, fem. Rá</w:t>
      </w:r>
      <w:r w:rsidRPr="008F03E5">
        <w:t>ḍ</w:t>
      </w:r>
      <w:r w:rsidRPr="008F03E5">
        <w:rPr>
          <w:rFonts w:eastAsia="Times New Roman"/>
        </w:rPr>
        <w:t>iya[h or t]</w:t>
      </w:r>
      <w:r w:rsidRPr="008F03E5">
        <w:rPr>
          <w:rFonts w:eastAsia="Times New Roman"/>
        </w:rPr>
        <w:tab/>
        <w:t xml:space="preserve">willingly, with pleasure.  </w:t>
      </w:r>
      <w:r w:rsidRPr="008F03E5">
        <w:rPr>
          <w:rFonts w:eastAsia="PMingLiU"/>
          <w:lang w:eastAsia="zh-TW"/>
        </w:rPr>
        <w:t>Pers. fem. also “</w:t>
      </w:r>
      <w:r w:rsidRPr="008F03E5">
        <w:t>Ráḍiyyih”.</w:t>
      </w:r>
    </w:p>
    <w:p w14:paraId="7A1D3B44" w14:textId="77777777" w:rsidR="00625A5B" w:rsidRPr="008F03E5" w:rsidRDefault="00625A5B" w:rsidP="00CC3232">
      <w:pPr>
        <w:pStyle w:val="Translit"/>
      </w:pPr>
      <w:r w:rsidRPr="008F03E5">
        <w:rPr>
          <w:rFonts w:eastAsia="PMingLiU"/>
          <w:lang w:eastAsia="zh-TW"/>
        </w:rPr>
        <w:t>Radiy, Radiya (Razieh), Ardiya’</w:t>
      </w:r>
      <w:r w:rsidRPr="008F03E5">
        <w:rPr>
          <w:rFonts w:eastAsia="PMingLiU"/>
          <w:lang w:eastAsia="zh-TW"/>
        </w:rPr>
        <w:tab/>
        <w:t>Raḍíy, fem. Raḍíya</w:t>
      </w:r>
      <w:r>
        <w:rPr>
          <w:rFonts w:eastAsia="PMingLiU"/>
          <w:lang w:eastAsia="zh-TW"/>
        </w:rPr>
        <w:t>[h or t]</w:t>
      </w:r>
      <w:r w:rsidRPr="008F03E5">
        <w:rPr>
          <w:rFonts w:eastAsia="PMingLiU"/>
          <w:lang w:eastAsia="zh-TW"/>
        </w:rPr>
        <w:t>, pl. Arḍiyá’</w:t>
      </w:r>
      <w:r w:rsidRPr="008F03E5">
        <w:rPr>
          <w:rFonts w:eastAsia="PMingLiU"/>
          <w:lang w:eastAsia="zh-TW"/>
        </w:rPr>
        <w:tab/>
        <w:t>satisfied, content; pleasant, agreeable.  Pers. fem. also “</w:t>
      </w:r>
      <w:r w:rsidRPr="008F03E5">
        <w:t>Raḍíyih”.</w:t>
      </w:r>
    </w:p>
    <w:p w14:paraId="4E77AA65" w14:textId="77777777" w:rsidR="00625A5B" w:rsidRPr="008F03E5" w:rsidRDefault="00625A5B" w:rsidP="003B617A">
      <w:pPr>
        <w:pStyle w:val="Translit"/>
      </w:pPr>
      <w:r w:rsidRPr="008F03E5">
        <w:t>Radiya, Ridan, Ridwan, Marda</w:t>
      </w:r>
      <w:r w:rsidRPr="008F03E5">
        <w:tab/>
        <w:t>Raḍiya (Riḍan, Riḍwán, Marḍá[h])</w:t>
      </w:r>
      <w:r w:rsidRPr="008F03E5">
        <w:tab/>
        <w:t>to be satisfied, be content.  Riḍan (contentment, satisfaction; agreement); Riḍwán (consent, assent, agreement, acceptance, approval, sanction; good will, favour; pleasure, delight).  See Marḍáh</w:t>
      </w:r>
    </w:p>
    <w:p w14:paraId="5FD0C6EC" w14:textId="77777777" w:rsidR="00625A5B" w:rsidRPr="008F03E5" w:rsidRDefault="00625A5B" w:rsidP="00411430">
      <w:pPr>
        <w:pStyle w:val="Translit"/>
      </w:pPr>
      <w:r w:rsidRPr="008F03E5">
        <w:t>Raf’</w:t>
      </w:r>
      <w:r>
        <w:t>, Rif’a</w:t>
      </w:r>
      <w:r w:rsidRPr="008F03E5">
        <w:tab/>
        <w:t>Raf‘</w:t>
      </w:r>
      <w:r>
        <w:t>, fem. Rif‘a[h or t]</w:t>
      </w:r>
      <w:r w:rsidRPr="008F03E5">
        <w:tab/>
        <w:t>lifting, hoisting (also, of a flag); elevation; raise, raising, stepping up (of prices, of temperatures, etc.); setting up; erection; abolition; lift, (e.g., of a ban); remedy, elimination, removal; remission (of a tax), abrogation; submission, filing (e.g., of a report)</w:t>
      </w:r>
      <w:r>
        <w:t>;—fem. height, elevation (e.g., of a structure); high rank or standing.</w:t>
      </w:r>
    </w:p>
    <w:p w14:paraId="676C2A97" w14:textId="77777777" w:rsidR="00625A5B" w:rsidRPr="008F03E5" w:rsidRDefault="00625A5B" w:rsidP="006D0058">
      <w:pPr>
        <w:pStyle w:val="Translit"/>
        <w:rPr>
          <w:rFonts w:eastAsia="PMingLiU"/>
          <w:lang w:eastAsia="zh-TW"/>
        </w:rPr>
      </w:pPr>
      <w:r w:rsidRPr="008F03E5">
        <w:rPr>
          <w:rFonts w:eastAsia="PMingLiU"/>
          <w:lang w:eastAsia="zh-TW"/>
        </w:rPr>
        <w:t>Rafi</w:t>
      </w:r>
      <w:r w:rsidRPr="008F03E5">
        <w:rPr>
          <w:rFonts w:eastAsia="PMingLiU"/>
          <w:lang w:eastAsia="zh-TW"/>
        </w:rPr>
        <w:tab/>
        <w:t>Ráfi‘</w:t>
      </w:r>
      <w:r w:rsidRPr="008F03E5">
        <w:rPr>
          <w:rFonts w:eastAsia="PMingLiU"/>
          <w:lang w:eastAsia="zh-TW"/>
        </w:rPr>
        <w:tab/>
        <w:t>o</w:t>
      </w:r>
      <w:r w:rsidRPr="008F03E5">
        <w:t>ne who raises or exalts (</w:t>
      </w:r>
      <w:r w:rsidRPr="008F03E5">
        <w:rPr>
          <w:rFonts w:eastAsia="PMingLiU"/>
          <w:lang w:eastAsia="zh-TW"/>
        </w:rPr>
        <w:t>bearer, crane, hoist</w:t>
      </w:r>
      <w:r w:rsidRPr="008F03E5">
        <w:t>); adducing; putting in the nominative case; a plaintiff; a high mountain</w:t>
      </w:r>
    </w:p>
    <w:p w14:paraId="3BAAE169" w14:textId="77777777" w:rsidR="00625A5B" w:rsidRPr="008F03E5" w:rsidRDefault="00625A5B" w:rsidP="00B25DDF">
      <w:pPr>
        <w:pStyle w:val="Translit"/>
        <w:rPr>
          <w:rFonts w:eastAsia="PMingLiU"/>
          <w:lang w:eastAsia="zh-TW"/>
        </w:rPr>
      </w:pPr>
      <w:bookmarkStart w:id="124" w:name="_Hlk60994748"/>
      <w:r w:rsidRPr="008F03E5">
        <w:rPr>
          <w:rFonts w:eastAsia="PMingLiU"/>
          <w:lang w:eastAsia="zh-TW"/>
        </w:rPr>
        <w:t>Rafi, Rafi’a</w:t>
      </w:r>
      <w:r w:rsidRPr="008F03E5">
        <w:rPr>
          <w:rFonts w:eastAsia="PMingLiU"/>
          <w:lang w:eastAsia="zh-TW"/>
        </w:rPr>
        <w:tab/>
        <w:t>Raf</w:t>
      </w:r>
      <w:r w:rsidRPr="008F03E5">
        <w:t>í</w:t>
      </w:r>
      <w:r w:rsidRPr="008F03E5">
        <w:rPr>
          <w:rFonts w:eastAsia="PMingLiU"/>
          <w:lang w:eastAsia="zh-TW"/>
        </w:rPr>
        <w:t>‘, fem. Raf</w:t>
      </w:r>
      <w:r w:rsidRPr="008F03E5">
        <w:t>í</w:t>
      </w:r>
      <w:r w:rsidRPr="008F03E5">
        <w:rPr>
          <w:rFonts w:eastAsia="PMingLiU"/>
          <w:lang w:eastAsia="zh-TW"/>
        </w:rPr>
        <w:t>‘a[h or t]</w:t>
      </w:r>
      <w:r w:rsidRPr="008F03E5">
        <w:rPr>
          <w:rFonts w:eastAsia="PMingLiU"/>
          <w:lang w:eastAsia="zh-TW"/>
        </w:rPr>
        <w:tab/>
        <w:t xml:space="preserve">high, high-ranking; lofty, exalted, sublime; loud (voice, sound); thin, fine, delicate; exquisite, refined, subtle; artistic.  </w:t>
      </w:r>
      <w:r w:rsidRPr="008F03E5">
        <w:t xml:space="preserve">Rafí‘ (or Qal‘ih Rafí‘) small village 14 km </w:t>
      </w:r>
      <w:r w:rsidRPr="008F03E5">
        <w:rPr>
          <w:sz w:val="16"/>
          <w:szCs w:val="16"/>
        </w:rPr>
        <w:t>NSE</w:t>
      </w:r>
      <w:r w:rsidRPr="008F03E5">
        <w:t xml:space="preserve"> Sar Púl-i-Zaháb.</w:t>
      </w:r>
    </w:p>
    <w:bookmarkEnd w:id="124"/>
    <w:p w14:paraId="25964AF8" w14:textId="77777777" w:rsidR="00625A5B" w:rsidRPr="008F03E5" w:rsidRDefault="00625A5B" w:rsidP="0040483B">
      <w:pPr>
        <w:pStyle w:val="Translit"/>
        <w:rPr>
          <w:rFonts w:eastAsia="PMingLiU"/>
          <w:lang w:eastAsia="zh-TW"/>
        </w:rPr>
      </w:pPr>
      <w:r w:rsidRPr="008F03E5">
        <w:t>Rafi’ ad-Darajat</w:t>
      </w:r>
      <w:r w:rsidRPr="008F03E5">
        <w:tab/>
        <w:t>Rafí‘ ad-Daraját</w:t>
      </w:r>
      <w:r w:rsidRPr="008F03E5">
        <w:tab/>
        <w:t>The One Who is Exalted in Rank</w:t>
      </w:r>
    </w:p>
    <w:p w14:paraId="11C6CD0F" w14:textId="77777777" w:rsidR="00625A5B" w:rsidRPr="008F03E5" w:rsidRDefault="00625A5B" w:rsidP="00412E4A">
      <w:pPr>
        <w:pStyle w:val="Translit"/>
      </w:pPr>
      <w:r w:rsidRPr="00BC189D">
        <w:rPr>
          <w:rFonts w:eastAsia="PMingLiU"/>
          <w:lang w:val="it-IT" w:eastAsia="zh-TW"/>
        </w:rPr>
        <w:t>Rafi’a, Rafa’i’</w:t>
      </w:r>
      <w:r w:rsidRPr="00BC189D">
        <w:rPr>
          <w:rFonts w:eastAsia="PMingLiU"/>
          <w:lang w:val="it-IT" w:eastAsia="zh-TW"/>
        </w:rPr>
        <w:tab/>
      </w:r>
      <w:r w:rsidRPr="00BC189D">
        <w:rPr>
          <w:lang w:val="it-IT"/>
        </w:rPr>
        <w:t xml:space="preserve">Rafí‘a[h], pl. </w:t>
      </w:r>
      <w:r w:rsidRPr="008F03E5">
        <w:t>Rafá’i‘</w:t>
      </w:r>
      <w:r w:rsidRPr="008F03E5">
        <w:tab/>
        <w:t>legal case brought before the competent authorities; a document submitted to a proper authority</w:t>
      </w:r>
    </w:p>
    <w:p w14:paraId="12B57E6F" w14:textId="77777777" w:rsidR="00625A5B" w:rsidRPr="008F03E5" w:rsidRDefault="00625A5B" w:rsidP="00412E4A">
      <w:pPr>
        <w:pStyle w:val="Translit"/>
      </w:pPr>
      <w:r w:rsidRPr="008F03E5">
        <w:rPr>
          <w:rFonts w:eastAsia="PMingLiU"/>
          <w:lang w:eastAsia="zh-TW"/>
        </w:rPr>
        <w:t>Rafi’i</w:t>
      </w:r>
      <w:r w:rsidRPr="008F03E5">
        <w:rPr>
          <w:rFonts w:eastAsia="PMingLiU"/>
          <w:lang w:eastAsia="zh-TW"/>
        </w:rPr>
        <w:tab/>
        <w:t>Raf</w:t>
      </w:r>
      <w:r w:rsidRPr="008F03E5">
        <w:t>í‘í</w:t>
      </w:r>
      <w:r w:rsidRPr="008F03E5">
        <w:tab/>
        <w:t>Ardikán Ḥasan-i-Zádih Rafí‘í, a Knight of Bahá’u’lláh</w:t>
      </w:r>
    </w:p>
    <w:p w14:paraId="57C034D3" w14:textId="77777777" w:rsidR="00625A5B" w:rsidRPr="008F03E5" w:rsidRDefault="00625A5B" w:rsidP="00625DE7">
      <w:pPr>
        <w:pStyle w:val="Translit"/>
        <w:rPr>
          <w:rFonts w:eastAsia="PMingLiU"/>
          <w:lang w:eastAsia="zh-TW"/>
        </w:rPr>
      </w:pPr>
      <w:r w:rsidRPr="008F03E5">
        <w:rPr>
          <w:rFonts w:eastAsia="PMingLiU"/>
          <w:lang w:eastAsia="zh-TW"/>
        </w:rPr>
        <w:t>Rafidi, Arfad</w:t>
      </w:r>
      <w:r w:rsidRPr="008F03E5">
        <w:rPr>
          <w:rFonts w:eastAsia="PMingLiU"/>
          <w:lang w:eastAsia="zh-TW"/>
        </w:rPr>
        <w:tab/>
        <w:t>Ráfi</w:t>
      </w:r>
      <w:r w:rsidRPr="008F03E5">
        <w:t>ḍ</w:t>
      </w:r>
      <w:r w:rsidRPr="008F03E5">
        <w:rPr>
          <w:rFonts w:eastAsia="PMingLiU"/>
          <w:lang w:eastAsia="zh-TW"/>
        </w:rPr>
        <w:t>í, pl. Arfá</w:t>
      </w:r>
      <w:r w:rsidRPr="008F03E5">
        <w:t>ḍ</w:t>
      </w:r>
      <w:r w:rsidRPr="008F03E5">
        <w:rPr>
          <w:rFonts w:eastAsia="PMingLiU"/>
          <w:lang w:eastAsia="zh-TW"/>
        </w:rPr>
        <w:tab/>
        <w:t>apostate, renegade, turncoat; disloyal, rebellious; bigoted, fanatical</w:t>
      </w:r>
    </w:p>
    <w:p w14:paraId="03B76DF4" w14:textId="77777777" w:rsidR="00625A5B" w:rsidRPr="00BC189D" w:rsidRDefault="00625A5B" w:rsidP="00900A82">
      <w:pPr>
        <w:pStyle w:val="Translit"/>
        <w:rPr>
          <w:lang w:val="pl-PL"/>
        </w:rPr>
      </w:pPr>
      <w:r w:rsidRPr="00BC189D">
        <w:rPr>
          <w:lang w:val="pl-PL"/>
        </w:rPr>
        <w:t>Rafi-i-Khayyat</w:t>
      </w:r>
      <w:r w:rsidRPr="00BC189D">
        <w:rPr>
          <w:lang w:val="pl-PL"/>
        </w:rPr>
        <w:tab/>
        <w:t>Rafí‘-i-</w:t>
      </w:r>
      <w:r w:rsidRPr="00BC189D">
        <w:rPr>
          <w:u w:val="single"/>
          <w:lang w:val="pl-PL"/>
        </w:rPr>
        <w:t>Kh</w:t>
      </w:r>
      <w:r w:rsidRPr="00BC189D">
        <w:rPr>
          <w:lang w:val="pl-PL"/>
        </w:rPr>
        <w:t>ayyáṭ</w:t>
      </w:r>
      <w:r w:rsidRPr="00BC189D">
        <w:rPr>
          <w:lang w:val="pl-PL"/>
        </w:rPr>
        <w:tab/>
      </w:r>
    </w:p>
    <w:p w14:paraId="2F01E150" w14:textId="77777777" w:rsidR="00625A5B" w:rsidRPr="008F03E5" w:rsidRDefault="00625A5B" w:rsidP="00324CAB">
      <w:pPr>
        <w:pStyle w:val="Translit"/>
      </w:pPr>
      <w:r w:rsidRPr="00BC189D">
        <w:rPr>
          <w:lang w:val="pl-PL"/>
        </w:rPr>
        <w:t>Rafiq, Rufaqa’, Rifaq</w:t>
      </w:r>
      <w:r w:rsidRPr="00BC189D">
        <w:rPr>
          <w:lang w:val="pl-PL"/>
        </w:rPr>
        <w:tab/>
        <w:t xml:space="preserve">Rafíq, pl. </w:t>
      </w:r>
      <w:r w:rsidRPr="008F03E5">
        <w:t>Rufaqá’, Rifáq</w:t>
      </w:r>
      <w:r w:rsidRPr="008F03E5">
        <w:tab/>
        <w:t>companion, attendant; escort; buddy, friend; comrade (in Marxist terminology); associate, partner; accomplice; kind (to), mild, gentle, tender</w:t>
      </w:r>
    </w:p>
    <w:p w14:paraId="762D9253" w14:textId="77777777" w:rsidR="00625A5B" w:rsidRPr="008F03E5" w:rsidRDefault="00625A5B" w:rsidP="0057678D">
      <w:pPr>
        <w:pStyle w:val="Translit"/>
      </w:pPr>
      <w:r w:rsidRPr="008F03E5">
        <w:t>Rafiqa, Rafiqat</w:t>
      </w:r>
      <w:r w:rsidRPr="008F03E5">
        <w:tab/>
        <w:t>Rafíqa, pl. Rafíqát</w:t>
      </w:r>
      <w:r w:rsidRPr="008F03E5">
        <w:tab/>
        <w:t>woman companion; girl-friend; sweetheart; mistress, par amour</w:t>
      </w:r>
    </w:p>
    <w:p w14:paraId="4D53794E" w14:textId="77777777" w:rsidR="00625A5B" w:rsidRPr="008F03E5" w:rsidRDefault="00625A5B" w:rsidP="00646B1C">
      <w:pPr>
        <w:pStyle w:val="Translit"/>
      </w:pPr>
      <w:r w:rsidRPr="008F03E5">
        <w:t>Rafsanjan (Rafsinjan)</w:t>
      </w:r>
      <w:r w:rsidRPr="008F03E5">
        <w:tab/>
        <w:t>Rafsanján</w:t>
      </w:r>
      <w:r w:rsidRPr="008F03E5">
        <w:tab/>
        <w:t>city and council in Kirman province, Iran</w:t>
      </w:r>
    </w:p>
    <w:p w14:paraId="1661889E" w14:textId="77777777" w:rsidR="00625A5B" w:rsidRPr="008F03E5" w:rsidRDefault="00625A5B" w:rsidP="007E6D9E">
      <w:pPr>
        <w:pStyle w:val="Translit"/>
      </w:pPr>
      <w:r w:rsidRPr="008F03E5">
        <w:t>Raghib, Raghaba</w:t>
      </w:r>
      <w:r w:rsidRPr="008F03E5">
        <w:tab/>
        <w:t>Rá</w:t>
      </w:r>
      <w:r w:rsidRPr="008F03E5">
        <w:rPr>
          <w:u w:val="single"/>
        </w:rPr>
        <w:t>gh</w:t>
      </w:r>
      <w:r w:rsidRPr="008F03E5">
        <w:t>ib, pl. Ra</w:t>
      </w:r>
      <w:r w:rsidRPr="008F03E5">
        <w:rPr>
          <w:u w:val="single"/>
        </w:rPr>
        <w:t>gh</w:t>
      </w:r>
      <w:r w:rsidRPr="008F03E5">
        <w:t>aba[t]</w:t>
      </w:r>
      <w:r w:rsidRPr="008F03E5">
        <w:tab/>
        <w:t>desiring, desirous</w:t>
      </w:r>
    </w:p>
    <w:p w14:paraId="36C2E2BA" w14:textId="77777777" w:rsidR="00625A5B" w:rsidRPr="008F03E5" w:rsidRDefault="00625A5B" w:rsidP="007E6D9E">
      <w:pPr>
        <w:pStyle w:val="Translit"/>
      </w:pPr>
      <w:r w:rsidRPr="008F03E5">
        <w:t>Raha, Rahat, Rah</w:t>
      </w:r>
      <w:r w:rsidRPr="008F03E5">
        <w:tab/>
        <w:t>Ráḥa, pl. Ráḥát, Ráḥ</w:t>
      </w:r>
      <w:r w:rsidRPr="008F03E5">
        <w:tab/>
        <w:t>rest, repose; recreation; ease, leisure; vacation; comfort;—pl. palm of the hand, hand</w:t>
      </w:r>
    </w:p>
    <w:p w14:paraId="6D80BE6D" w14:textId="77777777" w:rsidR="00625A5B" w:rsidRPr="008F03E5" w:rsidRDefault="00625A5B" w:rsidP="009D1026">
      <w:pPr>
        <w:pStyle w:val="Translit"/>
      </w:pPr>
      <w:r w:rsidRPr="008F03E5">
        <w:rPr>
          <w:rFonts w:eastAsia="Times New Roman"/>
        </w:rPr>
        <w:t>Raha’, Ruha’</w:t>
      </w:r>
      <w:r w:rsidRPr="008F03E5">
        <w:rPr>
          <w:rFonts w:eastAsia="Times New Roman"/>
        </w:rPr>
        <w:tab/>
        <w:t>Rahá’, Ruh</w:t>
      </w:r>
      <w:r w:rsidRPr="008F03E5">
        <w:t>á</w:t>
      </w:r>
      <w:r w:rsidRPr="008F03E5">
        <w:rPr>
          <w:rFonts w:eastAsia="Times New Roman"/>
        </w:rPr>
        <w:t>’</w:t>
      </w:r>
      <w:r w:rsidRPr="008F03E5">
        <w:rPr>
          <w:rFonts w:eastAsia="Times New Roman"/>
        </w:rPr>
        <w:tab/>
        <w:t xml:space="preserve">wide (plain); ar-Ruhá’ or ar-Rahá’, ancient Edessa, now </w:t>
      </w:r>
      <w:r w:rsidRPr="008F03E5">
        <w:t>Şanlıurfa</w:t>
      </w:r>
    </w:p>
    <w:p w14:paraId="7F165906" w14:textId="77777777" w:rsidR="00625A5B" w:rsidRPr="008F03E5" w:rsidRDefault="00625A5B" w:rsidP="007E6D9E">
      <w:pPr>
        <w:pStyle w:val="Translit"/>
      </w:pPr>
      <w:r w:rsidRPr="008F03E5">
        <w:t>Rahbar</w:t>
      </w:r>
      <w:r w:rsidRPr="008F03E5">
        <w:tab/>
        <w:t>Rahbar</w:t>
      </w:r>
      <w:r w:rsidRPr="008F03E5">
        <w:tab/>
        <w:t>Pers. a way-guide, escort; demonstration, proof, “leader”</w:t>
      </w:r>
    </w:p>
    <w:p w14:paraId="17623DEF" w14:textId="77777777" w:rsidR="00625A5B" w:rsidRPr="008F03E5" w:rsidRDefault="00625A5B" w:rsidP="00617E33">
      <w:pPr>
        <w:pStyle w:val="Translit"/>
      </w:pPr>
      <w:r w:rsidRPr="00BC189D">
        <w:rPr>
          <w:lang w:val="pl-PL"/>
        </w:rPr>
        <w:t>Rahbar-i-Mu’azzam</w:t>
      </w:r>
      <w:r w:rsidRPr="00BC189D">
        <w:rPr>
          <w:lang w:val="pl-PL"/>
        </w:rPr>
        <w:tab/>
        <w:t>Rahbar-i-Mu‘aẓẓam</w:t>
      </w:r>
      <w:r w:rsidRPr="00BC189D">
        <w:rPr>
          <w:lang w:val="pl-PL"/>
        </w:rPr>
        <w:tab/>
        <w:t xml:space="preserve">Pers. </w:t>
      </w:r>
      <w:r w:rsidRPr="008F03E5">
        <w:t>“supreme leader”, commonly used as a sign of respect, although the 1989 Iranian constitution simply designates them as “leader” (rahbar)</w:t>
      </w:r>
    </w:p>
    <w:p w14:paraId="2EEEABF4" w14:textId="77777777" w:rsidR="00625A5B" w:rsidRPr="008F03E5" w:rsidRDefault="00625A5B" w:rsidP="00507098">
      <w:pPr>
        <w:pStyle w:val="Translit"/>
      </w:pPr>
      <w:r w:rsidRPr="008F03E5">
        <w:t>Rahib</w:t>
      </w:r>
      <w:r w:rsidRPr="008F03E5">
        <w:tab/>
        <w:t>Rahíb</w:t>
      </w:r>
      <w:r w:rsidRPr="008F03E5">
        <w:tab/>
        <w:t>dreadful, awful, fearful, terrible; solemn, grave</w:t>
      </w:r>
    </w:p>
    <w:p w14:paraId="154776FA" w14:textId="77777777" w:rsidR="00625A5B" w:rsidRPr="008F03E5" w:rsidRDefault="00625A5B" w:rsidP="00C814B4">
      <w:pPr>
        <w:pStyle w:val="Translit"/>
      </w:pPr>
      <w:r w:rsidRPr="008F03E5">
        <w:t>Rahib, Ruhban</w:t>
      </w:r>
      <w:r w:rsidRPr="008F03E5">
        <w:tab/>
        <w:t>Ráhib, pl. Ruhbán</w:t>
      </w:r>
      <w:r w:rsidRPr="008F03E5">
        <w:tab/>
        <w:t>monk (Christian),</w:t>
      </w:r>
      <w:r w:rsidRPr="008F03E5">
        <w:rPr>
          <w:rFonts w:eastAsia="Times New Roman"/>
        </w:rPr>
        <w:t xml:space="preserve"> a pious person, a devotee, a hermit</w:t>
      </w:r>
    </w:p>
    <w:p w14:paraId="71AC054C" w14:textId="77777777" w:rsidR="00625A5B" w:rsidRPr="008F03E5" w:rsidRDefault="00625A5B" w:rsidP="005F367F">
      <w:pPr>
        <w:pStyle w:val="Translit"/>
      </w:pPr>
      <w:r w:rsidRPr="008F03E5">
        <w:t>Rahiba, Rahibat</w:t>
      </w:r>
      <w:r w:rsidRPr="008F03E5">
        <w:tab/>
        <w:t>Ráhiba (fem.), pl. Ráhibát</w:t>
      </w:r>
      <w:r w:rsidRPr="008F03E5">
        <w:tab/>
        <w:t>nun (Christian)</w:t>
      </w:r>
    </w:p>
    <w:p w14:paraId="6F542274" w14:textId="77777777" w:rsidR="00625A5B" w:rsidRPr="008F03E5" w:rsidRDefault="00625A5B" w:rsidP="00EA09BF">
      <w:pPr>
        <w:pStyle w:val="Translit"/>
      </w:pPr>
      <w:r w:rsidRPr="008F03E5">
        <w:t>Rahil</w:t>
      </w:r>
      <w:r w:rsidRPr="008F03E5">
        <w:tab/>
        <w:t>Ráḥíl</w:t>
      </w:r>
      <w:r w:rsidRPr="008F03E5">
        <w:tab/>
        <w:t>Rachel</w:t>
      </w:r>
    </w:p>
    <w:p w14:paraId="09BAA0EC" w14:textId="77777777" w:rsidR="00625A5B" w:rsidRPr="008F03E5" w:rsidRDefault="00625A5B" w:rsidP="00923C8B">
      <w:pPr>
        <w:pStyle w:val="Translit"/>
      </w:pPr>
      <w:r w:rsidRPr="008F03E5">
        <w:t>Rahil, Ruhhal, Rahilun</w:t>
      </w:r>
      <w:r w:rsidRPr="008F03E5">
        <w:tab/>
        <w:t>Ráḥil, pl. Ruḥḥal</w:t>
      </w:r>
      <w:r w:rsidRPr="008F03E5">
        <w:tab/>
        <w:t>departing leaving, parting; traveling; (pl. ráḥilún) deceased, late</w:t>
      </w:r>
    </w:p>
    <w:p w14:paraId="57BC3D0C" w14:textId="77777777" w:rsidR="00625A5B" w:rsidRPr="008F03E5" w:rsidRDefault="00625A5B" w:rsidP="00E27673">
      <w:pPr>
        <w:pStyle w:val="Translit"/>
        <w:rPr>
          <w:rFonts w:eastAsia="PMingLiU"/>
          <w:lang w:eastAsia="zh-TW"/>
        </w:rPr>
      </w:pPr>
      <w:r w:rsidRPr="008F03E5">
        <w:rPr>
          <w:rFonts w:eastAsia="PMingLiU"/>
          <w:lang w:eastAsia="zh-TW"/>
        </w:rPr>
        <w:t>Rahim Khan, Rahimkhan</w:t>
      </w:r>
      <w:r w:rsidRPr="008F03E5">
        <w:tab/>
      </w:r>
      <w:r w:rsidRPr="008F03E5">
        <w:rPr>
          <w:rFonts w:eastAsia="PMingLiU"/>
          <w:lang w:eastAsia="zh-TW"/>
        </w:rPr>
        <w:t>Ra</w:t>
      </w:r>
      <w:r w:rsidRPr="008F03E5">
        <w:t>ḥ</w:t>
      </w:r>
      <w:r w:rsidRPr="008F03E5">
        <w:rPr>
          <w:rFonts w:eastAsia="PMingLiU"/>
          <w:lang w:eastAsia="zh-TW"/>
        </w:rPr>
        <w:t xml:space="preserve">ím </w:t>
      </w:r>
      <w:r w:rsidRPr="008F03E5">
        <w:rPr>
          <w:u w:val="single"/>
        </w:rPr>
        <w:t>Kh</w:t>
      </w:r>
      <w:r w:rsidRPr="008F03E5">
        <w:rPr>
          <w:rFonts w:eastAsia="PMingLiU"/>
          <w:lang w:eastAsia="zh-TW"/>
        </w:rPr>
        <w:t>án</w:t>
      </w:r>
      <w:r w:rsidRPr="008F03E5">
        <w:tab/>
        <w:t>Saráb-i-</w:t>
      </w:r>
      <w:r w:rsidRPr="008F03E5">
        <w:rPr>
          <w:rFonts w:eastAsia="PMingLiU"/>
          <w:lang w:eastAsia="zh-TW"/>
        </w:rPr>
        <w:t>Ra</w:t>
      </w:r>
      <w:r w:rsidRPr="008F03E5">
        <w:t>ḥ</w:t>
      </w:r>
      <w:r w:rsidRPr="008F03E5">
        <w:rPr>
          <w:rFonts w:eastAsia="PMingLiU"/>
          <w:lang w:eastAsia="zh-TW"/>
        </w:rPr>
        <w:t xml:space="preserve">ím </w:t>
      </w:r>
      <w:r w:rsidRPr="008F03E5">
        <w:rPr>
          <w:rFonts w:eastAsia="PMingLiU"/>
          <w:u w:val="single"/>
          <w:lang w:eastAsia="zh-TW"/>
        </w:rPr>
        <w:t>Kh</w:t>
      </w:r>
      <w:r w:rsidRPr="008F03E5">
        <w:t>á</w:t>
      </w:r>
      <w:r w:rsidRPr="008F03E5">
        <w:rPr>
          <w:rFonts w:eastAsia="PMingLiU"/>
          <w:lang w:eastAsia="zh-TW"/>
        </w:rPr>
        <w:t>n (</w:t>
      </w:r>
      <w:r w:rsidRPr="008F03E5">
        <w:t xml:space="preserve">Sarab-e </w:t>
      </w:r>
      <w:r w:rsidRPr="008F03E5">
        <w:rPr>
          <w:rFonts w:eastAsia="PMingLiU"/>
          <w:lang w:eastAsia="zh-TW"/>
        </w:rPr>
        <w:t>Rahim Khan) village (</w:t>
      </w:r>
      <w:r w:rsidRPr="008F03E5">
        <w:rPr>
          <w:lang w:eastAsia="en-US"/>
        </w:rPr>
        <w:t>36.800488, 46.296035</w:t>
      </w:r>
      <w:r w:rsidRPr="008F03E5">
        <w:t>)</w:t>
      </w:r>
      <w:r w:rsidRPr="008F03E5">
        <w:rPr>
          <w:rFonts w:eastAsia="PMingLiU"/>
          <w:lang w:eastAsia="zh-TW"/>
        </w:rPr>
        <w:t xml:space="preserve"> in Buk</w:t>
      </w:r>
      <w:r w:rsidRPr="008F03E5">
        <w:t>á</w:t>
      </w:r>
      <w:r w:rsidRPr="008F03E5">
        <w:rPr>
          <w:rFonts w:eastAsia="PMingLiU"/>
          <w:lang w:eastAsia="zh-TW"/>
        </w:rPr>
        <w:t xml:space="preserve">n County, </w:t>
      </w:r>
      <w:r w:rsidRPr="008F03E5">
        <w:t>West Azerbaijan Province, Iran.  145 km south Tabríz.</w:t>
      </w:r>
    </w:p>
    <w:p w14:paraId="6B7EE1DA" w14:textId="77777777" w:rsidR="00625A5B" w:rsidRPr="008F03E5" w:rsidRDefault="00625A5B" w:rsidP="005A6F97">
      <w:pPr>
        <w:pStyle w:val="Translit"/>
      </w:pPr>
      <w:r w:rsidRPr="008F03E5">
        <w:t>Rahim, Ruhama, Ruhum</w:t>
      </w:r>
      <w:r w:rsidRPr="008F03E5">
        <w:tab/>
      </w:r>
      <w:bookmarkStart w:id="125" w:name="_Hlk62117396"/>
      <w:r w:rsidRPr="008F03E5">
        <w:t>Raḥím</w:t>
      </w:r>
      <w:bookmarkEnd w:id="125"/>
      <w:r w:rsidRPr="008F03E5">
        <w:t>, pl. Ruḥamá’, Ruḥúm</w:t>
      </w:r>
      <w:r w:rsidRPr="008F03E5">
        <w:tab/>
        <w:t xml:space="preserve">merciful, compassionate, one of the names (ar-Raḥím) of God.  Raḥím is written as </w:t>
      </w:r>
      <w:r w:rsidRPr="008F03E5">
        <w:rPr>
          <w:rFonts w:ascii="Times New Roman" w:hAnsi="Times New Roman"/>
          <w:rtl/>
        </w:rPr>
        <w:t>رَّحْمٰنِ</w:t>
      </w:r>
      <w:r w:rsidRPr="008F03E5">
        <w:t>, i.e. the “í” is a dagger alif that is not a consonant.  See Bismi’lláhi’r-Raḥmáni’r-Raḥím.</w:t>
      </w:r>
    </w:p>
    <w:p w14:paraId="7DAB68FE" w14:textId="77777777" w:rsidR="00625A5B" w:rsidRPr="008F03E5" w:rsidRDefault="00625A5B" w:rsidP="005026F8">
      <w:pPr>
        <w:pStyle w:val="Translit"/>
        <w:rPr>
          <w:rFonts w:eastAsia="PMingLiU"/>
          <w:lang w:eastAsia="zh-TW"/>
        </w:rPr>
      </w:pPr>
      <w:r w:rsidRPr="008F03E5">
        <w:rPr>
          <w:rFonts w:eastAsia="PMingLiU"/>
          <w:lang w:eastAsia="zh-TW"/>
        </w:rPr>
        <w:t>Rahimiyan</w:t>
      </w:r>
      <w:r w:rsidRPr="008F03E5">
        <w:tab/>
      </w:r>
      <w:r w:rsidRPr="008F03E5">
        <w:rPr>
          <w:rFonts w:eastAsia="PMingLiU"/>
          <w:lang w:eastAsia="zh-TW"/>
        </w:rPr>
        <w:t>Ra</w:t>
      </w:r>
      <w:r w:rsidRPr="008F03E5">
        <w:t>ḥí</w:t>
      </w:r>
      <w:r w:rsidRPr="008F03E5">
        <w:rPr>
          <w:rFonts w:eastAsia="PMingLiU"/>
          <w:lang w:eastAsia="zh-TW"/>
        </w:rPr>
        <w:t>m</w:t>
      </w:r>
      <w:r w:rsidRPr="008F03E5">
        <w:t>í</w:t>
      </w:r>
      <w:r w:rsidRPr="008F03E5">
        <w:rPr>
          <w:rFonts w:eastAsia="PMingLiU"/>
          <w:lang w:eastAsia="zh-TW"/>
        </w:rPr>
        <w:t>y</w:t>
      </w:r>
      <w:r w:rsidRPr="008F03E5">
        <w:t>á</w:t>
      </w:r>
      <w:r w:rsidRPr="008F03E5">
        <w:rPr>
          <w:rFonts w:eastAsia="PMingLiU"/>
          <w:lang w:eastAsia="zh-TW"/>
        </w:rPr>
        <w:t>n</w:t>
      </w:r>
      <w:r w:rsidRPr="008F03E5">
        <w:tab/>
      </w:r>
      <w:r w:rsidRPr="008F03E5">
        <w:rPr>
          <w:rFonts w:eastAsia="PMingLiU"/>
          <w:sz w:val="16"/>
          <w:szCs w:val="16"/>
          <w:lang w:eastAsia="zh-TW"/>
        </w:rPr>
        <w:t>UHJ</w:t>
      </w:r>
      <w:r w:rsidRPr="008F03E5">
        <w:rPr>
          <w:rFonts w:eastAsia="PMingLiU"/>
          <w:lang w:eastAsia="zh-TW"/>
        </w:rPr>
        <w:t xml:space="preserve"> 63–86, p. 620</w:t>
      </w:r>
    </w:p>
    <w:p w14:paraId="33E7E1C5" w14:textId="77777777" w:rsidR="00625A5B" w:rsidRPr="008F03E5" w:rsidRDefault="00625A5B" w:rsidP="006024AB">
      <w:pPr>
        <w:pStyle w:val="Translit"/>
      </w:pPr>
      <w:r w:rsidRPr="008F03E5">
        <w:rPr>
          <w:rFonts w:eastAsia="PMingLiU"/>
          <w:lang w:eastAsia="zh-TW"/>
        </w:rPr>
        <w:t>Rahimpur</w:t>
      </w:r>
      <w:r w:rsidRPr="008F03E5">
        <w:tab/>
      </w:r>
      <w:r w:rsidRPr="008F03E5">
        <w:rPr>
          <w:rFonts w:eastAsia="PMingLiU"/>
          <w:lang w:eastAsia="zh-TW"/>
        </w:rPr>
        <w:t>Ra</w:t>
      </w:r>
      <w:r w:rsidRPr="008F03E5">
        <w:t>ḥ</w:t>
      </w:r>
      <w:r w:rsidRPr="008F03E5">
        <w:rPr>
          <w:rFonts w:eastAsia="PMingLiU"/>
          <w:lang w:eastAsia="zh-TW"/>
        </w:rPr>
        <w:t>ímpúr</w:t>
      </w:r>
      <w:r w:rsidRPr="008F03E5">
        <w:tab/>
        <w:t>Díjaz-i-</w:t>
      </w:r>
      <w:r w:rsidRPr="008F03E5">
        <w:rPr>
          <w:rFonts w:eastAsia="PMingLiU"/>
          <w:lang w:eastAsia="zh-TW"/>
        </w:rPr>
        <w:t>Ra</w:t>
      </w:r>
      <w:r w:rsidRPr="008F03E5">
        <w:t>ḥ</w:t>
      </w:r>
      <w:r w:rsidRPr="008F03E5">
        <w:rPr>
          <w:rFonts w:eastAsia="PMingLiU"/>
          <w:lang w:eastAsia="zh-TW"/>
        </w:rPr>
        <w:t>ím Púr (“Rahim Pur”,</w:t>
      </w:r>
      <w:r w:rsidRPr="008F03E5">
        <w:t xml:space="preserve"> “Dizaj-e Rahim Pur”</w:t>
      </w:r>
      <w:r w:rsidRPr="008F03E5">
        <w:rPr>
          <w:rFonts w:eastAsia="PMingLiU"/>
          <w:lang w:eastAsia="zh-TW"/>
        </w:rPr>
        <w:t xml:space="preserve">), </w:t>
      </w:r>
      <w:r w:rsidRPr="008F03E5">
        <w:t xml:space="preserve">village, West Azerbaijan Province, Iran.  17 km </w:t>
      </w:r>
      <w:r w:rsidRPr="008F03E5">
        <w:rPr>
          <w:sz w:val="16"/>
          <w:szCs w:val="16"/>
        </w:rPr>
        <w:t>SSE</w:t>
      </w:r>
      <w:r w:rsidRPr="008F03E5">
        <w:t xml:space="preserve"> of Urmia (37.409444, 45.104167)</w:t>
      </w:r>
    </w:p>
    <w:p w14:paraId="61CD0207" w14:textId="77777777" w:rsidR="00625A5B" w:rsidRPr="008F03E5" w:rsidRDefault="00625A5B" w:rsidP="00366D75">
      <w:pPr>
        <w:pStyle w:val="Translit"/>
        <w:rPr>
          <w:rFonts w:eastAsia="PMingLiU"/>
          <w:lang w:eastAsia="zh-TW"/>
        </w:rPr>
      </w:pPr>
      <w:r w:rsidRPr="008F03E5">
        <w:rPr>
          <w:rFonts w:eastAsia="PMingLiU"/>
          <w:lang w:eastAsia="zh-TW"/>
        </w:rPr>
        <w:t>Rahiq</w:t>
      </w:r>
      <w:r w:rsidRPr="008F03E5">
        <w:rPr>
          <w:rFonts w:eastAsia="PMingLiU"/>
          <w:lang w:eastAsia="zh-TW"/>
        </w:rPr>
        <w:tab/>
        <w:t>Ra</w:t>
      </w:r>
      <w:r w:rsidRPr="008F03E5">
        <w:t>ḥí</w:t>
      </w:r>
      <w:r w:rsidRPr="008F03E5">
        <w:rPr>
          <w:rFonts w:eastAsia="PMingLiU"/>
          <w:lang w:eastAsia="zh-TW"/>
        </w:rPr>
        <w:t>q</w:t>
      </w:r>
      <w:r w:rsidRPr="008F03E5">
        <w:rPr>
          <w:rFonts w:eastAsia="PMingLiU"/>
          <w:lang w:eastAsia="zh-TW"/>
        </w:rPr>
        <w:tab/>
        <w:t>Pers. the best wine; nectar; pure, clear, generous (wine); a kind of perfume</w:t>
      </w:r>
    </w:p>
    <w:p w14:paraId="10D3C0FB" w14:textId="77777777" w:rsidR="00625A5B" w:rsidRPr="008F03E5" w:rsidRDefault="00625A5B" w:rsidP="001E3AED">
      <w:pPr>
        <w:pStyle w:val="Translit"/>
        <w:rPr>
          <w:rFonts w:eastAsia="PMingLiU"/>
          <w:lang w:eastAsia="zh-TW"/>
        </w:rPr>
      </w:pPr>
      <w:r w:rsidRPr="008F03E5">
        <w:rPr>
          <w:rFonts w:eastAsia="PMingLiU"/>
          <w:lang w:eastAsia="zh-TW"/>
        </w:rPr>
        <w:t>Rahiq-i-Makhtum</w:t>
      </w:r>
      <w:r w:rsidRPr="008F03E5">
        <w:tab/>
      </w:r>
      <w:r w:rsidRPr="008F03E5">
        <w:rPr>
          <w:rFonts w:eastAsia="PMingLiU"/>
          <w:lang w:eastAsia="zh-TW"/>
        </w:rPr>
        <w:t>Ra</w:t>
      </w:r>
      <w:r w:rsidRPr="008F03E5">
        <w:t>ḥ</w:t>
      </w:r>
      <w:r w:rsidRPr="008F03E5">
        <w:rPr>
          <w:rFonts w:eastAsia="PMingLiU"/>
          <w:lang w:eastAsia="zh-TW"/>
        </w:rPr>
        <w:t>íq-i-Ma</w:t>
      </w:r>
      <w:r w:rsidRPr="008F03E5">
        <w:rPr>
          <w:u w:val="single"/>
        </w:rPr>
        <w:t>kh</w:t>
      </w:r>
      <w:r w:rsidRPr="008F03E5">
        <w:rPr>
          <w:rFonts w:eastAsia="PMingLiU"/>
          <w:lang w:eastAsia="zh-TW"/>
        </w:rPr>
        <w:t>túm</w:t>
      </w:r>
      <w:r w:rsidRPr="008F03E5">
        <w:tab/>
        <w:t>sealed choice wine.  A title by A. H. I</w:t>
      </w:r>
      <w:r w:rsidRPr="008F03E5">
        <w:rPr>
          <w:u w:val="single"/>
        </w:rPr>
        <w:t>sh</w:t>
      </w:r>
      <w:r w:rsidRPr="008F03E5">
        <w:t>ráq-</w:t>
      </w:r>
      <w:r w:rsidRPr="008F03E5">
        <w:rPr>
          <w:u w:val="single"/>
        </w:rPr>
        <w:t>Kh</w:t>
      </w:r>
      <w:r w:rsidRPr="008F03E5">
        <w:t>ávarí.  See May</w:t>
      </w:r>
      <w:r w:rsidRPr="008F03E5">
        <w:rPr>
          <w:u w:val="single"/>
        </w:rPr>
        <w:t>kh</w:t>
      </w:r>
      <w:r w:rsidRPr="008F03E5">
        <w:t>ána.</w:t>
      </w:r>
    </w:p>
    <w:p w14:paraId="269F0905" w14:textId="77777777" w:rsidR="00625A5B" w:rsidRPr="008F03E5" w:rsidRDefault="00625A5B" w:rsidP="000F6AAC">
      <w:pPr>
        <w:pStyle w:val="Translit"/>
      </w:pPr>
      <w:r w:rsidRPr="008F03E5">
        <w:t>Rahjird (Rahjerd, Rahgird, Rah Gerd)</w:t>
      </w:r>
      <w:r w:rsidRPr="008F03E5">
        <w:tab/>
        <w:t>Ráhjird</w:t>
      </w:r>
      <w:r w:rsidRPr="008F03E5">
        <w:tab/>
        <w:t>is a village (34.389203, 50.366349) in Qom County, Qom Province</w:t>
      </w:r>
    </w:p>
    <w:p w14:paraId="3E29C242" w14:textId="77777777" w:rsidR="00625A5B" w:rsidRPr="008F03E5" w:rsidRDefault="00625A5B" w:rsidP="000F6AAC">
      <w:pPr>
        <w:pStyle w:val="Translit"/>
      </w:pPr>
      <w:r w:rsidRPr="008F03E5">
        <w:t>Rahm (Ruhm)</w:t>
      </w:r>
      <w:r w:rsidRPr="008F03E5">
        <w:tab/>
        <w:t>Raḥm</w:t>
      </w:r>
      <w:r w:rsidRPr="008F03E5">
        <w:tab/>
        <w:t>Pers. compassion, commiseration</w:t>
      </w:r>
    </w:p>
    <w:p w14:paraId="630E35B7" w14:textId="77777777" w:rsidR="00625A5B" w:rsidRPr="008F03E5" w:rsidRDefault="00625A5B" w:rsidP="00D711DB">
      <w:pPr>
        <w:pStyle w:val="Translit"/>
      </w:pPr>
      <w:r w:rsidRPr="008F03E5">
        <w:t>Rahma</w:t>
      </w:r>
      <w:r w:rsidRPr="008F03E5">
        <w:tab/>
        <w:t>Raḥma[t]</w:t>
      </w:r>
      <w:r w:rsidRPr="008F03E5">
        <w:tab/>
        <w:t>pity, compassion; human understanding, sympathy, kindness; mercy.  Pers. A gift of the divine mercy; rain, a woman’s name; pity, compassion, commiseration; pardon, forgiveness.</w:t>
      </w:r>
    </w:p>
    <w:p w14:paraId="332FA238" w14:textId="77777777" w:rsidR="00625A5B" w:rsidRPr="008F03E5" w:rsidRDefault="00625A5B" w:rsidP="00C96C14">
      <w:pPr>
        <w:pStyle w:val="Translit"/>
      </w:pPr>
      <w:r w:rsidRPr="008F03E5">
        <w:t>Rahman</w:t>
      </w:r>
      <w:r w:rsidRPr="008F03E5">
        <w:tab/>
        <w:t>Raḥmán</w:t>
      </w:r>
      <w:r w:rsidRPr="008F03E5">
        <w:tab/>
        <w:t>merciful, compassionate (God).  ar-Raḥmán the Merciful (i.e. God), the Most Gracious.  The Báb permitted this phrase to be tattooed on the chest of women, in the most beautiful calligraphy.</w:t>
      </w:r>
    </w:p>
    <w:p w14:paraId="456F1808" w14:textId="77777777" w:rsidR="00625A5B" w:rsidRPr="008F03E5" w:rsidRDefault="00625A5B" w:rsidP="00900A82">
      <w:pPr>
        <w:pStyle w:val="Translit"/>
        <w:rPr>
          <w:rFonts w:eastAsia="PMingLiU"/>
          <w:lang w:eastAsia="zh-TW"/>
        </w:rPr>
      </w:pPr>
      <w:r w:rsidRPr="008F03E5">
        <w:rPr>
          <w:rFonts w:eastAsia="PMingLiU"/>
          <w:lang w:eastAsia="zh-TW"/>
        </w:rPr>
        <w:t>Rahmani</w:t>
      </w:r>
      <w:r w:rsidRPr="008F03E5">
        <w:tab/>
      </w:r>
      <w:r w:rsidRPr="008F03E5">
        <w:rPr>
          <w:rFonts w:eastAsia="PMingLiU"/>
          <w:lang w:eastAsia="zh-TW"/>
        </w:rPr>
        <w:t>Ra</w:t>
      </w:r>
      <w:r w:rsidRPr="008F03E5">
        <w:t>ḥ</w:t>
      </w:r>
      <w:r w:rsidRPr="008F03E5">
        <w:rPr>
          <w:rFonts w:eastAsia="PMingLiU"/>
          <w:lang w:eastAsia="zh-TW"/>
        </w:rPr>
        <w:t>mání</w:t>
      </w:r>
      <w:r w:rsidRPr="008F03E5">
        <w:tab/>
        <w:t>divine</w:t>
      </w:r>
    </w:p>
    <w:p w14:paraId="51F9D501" w14:textId="77777777" w:rsidR="00625A5B" w:rsidRPr="008F03E5" w:rsidRDefault="00625A5B" w:rsidP="00A44814">
      <w:pPr>
        <w:pStyle w:val="Translit"/>
      </w:pPr>
      <w:r w:rsidRPr="008F03E5">
        <w:t>Rahmatu’llah</w:t>
      </w:r>
      <w:r w:rsidRPr="008F03E5">
        <w:tab/>
        <w:t>Raḥmatu’lláh</w:t>
      </w:r>
      <w:r w:rsidRPr="008F03E5">
        <w:tab/>
        <w:t>Mercy of God.  Raḥmatu’lláh ‘Alá’í (Hájí Mullá Rhamatollah)</w:t>
      </w:r>
    </w:p>
    <w:p w14:paraId="786D68FE" w14:textId="77777777" w:rsidR="00625A5B" w:rsidRPr="008F03E5" w:rsidRDefault="00625A5B" w:rsidP="00135F4E">
      <w:pPr>
        <w:pStyle w:val="Translit"/>
      </w:pPr>
      <w:r w:rsidRPr="008F03E5">
        <w:rPr>
          <w:rFonts w:eastAsia="Times New Roman"/>
        </w:rPr>
        <w:t>Rahnama, Rahanmay, Rahnamun</w:t>
      </w:r>
      <w:r w:rsidRPr="008F03E5">
        <w:rPr>
          <w:rFonts w:eastAsia="Times New Roman"/>
        </w:rPr>
        <w:tab/>
        <w:t>Ráhnamá, Ráhnamáy, Ráhnamún</w:t>
      </w:r>
      <w:r w:rsidRPr="008F03E5">
        <w:rPr>
          <w:rFonts w:eastAsia="Times New Roman"/>
        </w:rPr>
        <w:tab/>
        <w:t>Pers. showing the way; a guide; a chamberlain; a lord, prince</w:t>
      </w:r>
    </w:p>
    <w:p w14:paraId="1861CC1E" w14:textId="77777777" w:rsidR="00625A5B" w:rsidRPr="008F03E5" w:rsidRDefault="00625A5B" w:rsidP="0001406A">
      <w:pPr>
        <w:pStyle w:val="Translit"/>
      </w:pPr>
      <w:r w:rsidRPr="008F03E5">
        <w:t>Raja</w:t>
      </w:r>
      <w:r w:rsidRPr="008F03E5">
        <w:tab/>
        <w:t>Raja</w:t>
      </w:r>
      <w:r w:rsidRPr="008F03E5">
        <w:tab/>
        <w:t>yearning, mystical station of yearning or longing for divine grace</w:t>
      </w:r>
    </w:p>
    <w:p w14:paraId="7AE04754" w14:textId="77777777" w:rsidR="00625A5B" w:rsidRPr="008F03E5" w:rsidRDefault="00625A5B" w:rsidP="00AC3C46">
      <w:pPr>
        <w:pStyle w:val="Translit"/>
      </w:pPr>
      <w:r w:rsidRPr="008F03E5">
        <w:t>Raja’a, Rija’a, Ruju, Raj’a, Rij’a</w:t>
      </w:r>
      <w:r w:rsidRPr="008F03E5">
        <w:tab/>
        <w:t xml:space="preserve">Raja‘a[h], </w:t>
      </w:r>
      <w:r w:rsidRPr="008F03E5">
        <w:rPr>
          <w:rFonts w:eastAsia="Times New Roman"/>
        </w:rPr>
        <w:t xml:space="preserve">Rij‘a[t], </w:t>
      </w:r>
      <w:r w:rsidRPr="008F03E5">
        <w:t>Rujú‘, Pers. Raj‘a[h]</w:t>
      </w:r>
      <w:r w:rsidRPr="008F03E5">
        <w:tab/>
        <w:t>to come back, come again, return; to resort, turn (to); begin again, resume (the return of a specific person in a future time).  e.g. Rij‘at-Ḥusayní (Imám Ḥusayn)</w:t>
      </w:r>
    </w:p>
    <w:p w14:paraId="091D56B5" w14:textId="77777777" w:rsidR="00625A5B" w:rsidRPr="008F03E5" w:rsidRDefault="00625A5B" w:rsidP="005D7309">
      <w:pPr>
        <w:pStyle w:val="Translit"/>
      </w:pPr>
      <w:r w:rsidRPr="008F03E5">
        <w:t>Raja’i (Rajaei, Rajaee, Rajai)</w:t>
      </w:r>
      <w:r w:rsidRPr="008F03E5">
        <w:tab/>
        <w:t>Rajá‘í</w:t>
      </w:r>
      <w:r w:rsidRPr="008F03E5">
        <w:tab/>
        <w:t>Pers. (Turkish Reçai) is a given name and surname</w:t>
      </w:r>
    </w:p>
    <w:p w14:paraId="45941487" w14:textId="77777777" w:rsidR="00625A5B" w:rsidRPr="008F03E5" w:rsidRDefault="00625A5B" w:rsidP="00065F5E">
      <w:pPr>
        <w:pStyle w:val="Translit"/>
      </w:pPr>
      <w:r w:rsidRPr="008F03E5">
        <w:t>Rajaba, Rajiba, Rajab</w:t>
      </w:r>
      <w:r w:rsidRPr="008F03E5">
        <w:tab/>
        <w:t>Rajaba, Rajiba (varn. Rajab)</w:t>
      </w:r>
      <w:r w:rsidRPr="008F03E5">
        <w:tab/>
        <w:t>to be afraid, be awed (respect, honour).  Rajab is seventh month in Islamic calendar</w:t>
      </w:r>
    </w:p>
    <w:p w14:paraId="5CE4506A" w14:textId="77777777" w:rsidR="00625A5B" w:rsidRPr="008F03E5" w:rsidRDefault="00625A5B" w:rsidP="00900A82">
      <w:pPr>
        <w:pStyle w:val="Translit"/>
      </w:pPr>
      <w:r w:rsidRPr="008F03E5">
        <w:t>Rajab-i-Haddad</w:t>
      </w:r>
      <w:r w:rsidRPr="008F03E5">
        <w:tab/>
        <w:t>Rajab-i-Ḥaddád</w:t>
      </w:r>
      <w:r w:rsidRPr="008F03E5">
        <w:tab/>
      </w:r>
      <w:r w:rsidRPr="008F03E5">
        <w:rPr>
          <w:sz w:val="16"/>
          <w:szCs w:val="16"/>
        </w:rPr>
        <w:t>DB</w:t>
      </w:r>
      <w:r w:rsidRPr="008F03E5">
        <w:t xml:space="preserve"> 487</w:t>
      </w:r>
    </w:p>
    <w:p w14:paraId="3DEDD663" w14:textId="77777777" w:rsidR="00625A5B" w:rsidRPr="008F03E5" w:rsidRDefault="00625A5B" w:rsidP="00DF3E92">
      <w:pPr>
        <w:pStyle w:val="Translit"/>
      </w:pPr>
      <w:r w:rsidRPr="008F03E5">
        <w:t>Rajfa</w:t>
      </w:r>
      <w:r w:rsidRPr="008F03E5">
        <w:tab/>
        <w:t>Rajfa[t]</w:t>
      </w:r>
      <w:r w:rsidRPr="008F03E5">
        <w:tab/>
        <w:t>(nomen vicis) trepidation, tremor; shudder, shiver; agitation, earthquake</w:t>
      </w:r>
    </w:p>
    <w:p w14:paraId="684672AC" w14:textId="77777777" w:rsidR="00625A5B" w:rsidRPr="008F03E5" w:rsidRDefault="00625A5B" w:rsidP="00BC035D">
      <w:pPr>
        <w:pStyle w:val="Translit"/>
      </w:pPr>
      <w:r w:rsidRPr="008F03E5">
        <w:t>Rajifa</w:t>
      </w:r>
      <w:r w:rsidRPr="008F03E5">
        <w:tab/>
        <w:t>Rájifa[t]</w:t>
      </w:r>
      <w:r w:rsidRPr="008F03E5">
        <w:tab/>
        <w:t>first trumpet blast on Day of Resurrection (Qur’án 39:69)—the Báb</w:t>
      </w:r>
    </w:p>
    <w:p w14:paraId="71AA2119" w14:textId="77777777" w:rsidR="00625A5B" w:rsidRPr="008F03E5" w:rsidRDefault="00625A5B" w:rsidP="00152F86">
      <w:pPr>
        <w:pStyle w:val="Translit"/>
      </w:pPr>
      <w:r w:rsidRPr="008F03E5">
        <w:t>Rajm, Rujam</w:t>
      </w:r>
      <w:r w:rsidRPr="008F03E5">
        <w:tab/>
        <w:t>Rajm, pl. Rujam</w:t>
      </w:r>
      <w:r w:rsidRPr="008F03E5">
        <w:tab/>
        <w:t>stoning;—pl. missile.  The Qur’án does not prescribe stoning as a punishment for any crime.</w:t>
      </w:r>
    </w:p>
    <w:p w14:paraId="26C4BC83" w14:textId="77777777" w:rsidR="00625A5B" w:rsidRPr="008F03E5" w:rsidRDefault="00625A5B" w:rsidP="00B621CC">
      <w:pPr>
        <w:pStyle w:val="Translit"/>
      </w:pPr>
      <w:r w:rsidRPr="008F03E5">
        <w:t>Rajul, Rijal, Rijalat</w:t>
      </w:r>
      <w:r w:rsidRPr="008F03E5">
        <w:tab/>
        <w:t>Rajul, pl. Rijál</w:t>
      </w:r>
      <w:r w:rsidRPr="008F03E5">
        <w:tab/>
        <w:t>man;—(pl. rijálát) great, important men, leading personalities, men of distinction.  See Imra’.</w:t>
      </w:r>
    </w:p>
    <w:p w14:paraId="6480ADCD" w14:textId="77777777" w:rsidR="00625A5B" w:rsidRPr="008F03E5" w:rsidRDefault="00625A5B" w:rsidP="0021412F">
      <w:pPr>
        <w:pStyle w:val="Translit"/>
      </w:pPr>
      <w:r w:rsidRPr="008F03E5">
        <w:t>Rak’a, Raka’at</w:t>
      </w:r>
      <w:r w:rsidRPr="008F03E5">
        <w:tab/>
        <w:t>Rak‘a[h], (variation Rukú‘), pl. Raka‘át</w:t>
      </w:r>
      <w:r w:rsidRPr="008F03E5">
        <w:tab/>
        <w:t>a bending of the torso from an upright position, followed by two prostrations (in Muslim prayer ritual).  The recitation of specifically revealed verses accompanied by a prescribed set of genuflections and other movements.  Yarka‘ imperfect form of the verb.</w:t>
      </w:r>
    </w:p>
    <w:p w14:paraId="379884DD" w14:textId="77777777" w:rsidR="00625A5B" w:rsidRPr="008F03E5" w:rsidRDefault="00625A5B" w:rsidP="00EB049E">
      <w:pPr>
        <w:pStyle w:val="Translit"/>
      </w:pPr>
      <w:r w:rsidRPr="008F03E5">
        <w:t>Raka’a, Ruku’</w:t>
      </w:r>
      <w:r>
        <w:t>, Ruku’at</w:t>
      </w:r>
      <w:r w:rsidRPr="008F03E5">
        <w:tab/>
        <w:t>Raka‘a, Rukú‘</w:t>
      </w:r>
      <w:r w:rsidRPr="008F03E5">
        <w:tab/>
      </w:r>
      <w:r>
        <w:t xml:space="preserve">1.  </w:t>
      </w:r>
      <w:r w:rsidRPr="008F03E5">
        <w:t>to bend the body, bow (esp</w:t>
      </w:r>
      <w:r>
        <w:t>ecially</w:t>
      </w:r>
      <w:r w:rsidRPr="008F03E5">
        <w:t xml:space="preserve"> in prayer); to kneel down, drop to one’s knees.  </w:t>
      </w:r>
      <w:r>
        <w:t>2.  R</w:t>
      </w:r>
      <w:r w:rsidRPr="00EB049E">
        <w:t>uk</w:t>
      </w:r>
      <w:r>
        <w:t>ú‘ (pl. ruku‘</w:t>
      </w:r>
      <w:r w:rsidRPr="00EB049E">
        <w:t>á</w:t>
      </w:r>
      <w:r>
        <w:t>t) can also roughly mean</w:t>
      </w:r>
      <w:r w:rsidRPr="00EB049E">
        <w:t xml:space="preserve"> passage, peri</w:t>
      </w:r>
      <w:r>
        <w:t>s</w:t>
      </w:r>
      <w:r w:rsidRPr="00EB049E">
        <w:t>cope or stanza</w:t>
      </w:r>
      <w:r>
        <w:t>—</w:t>
      </w:r>
      <w:r w:rsidRPr="00EB049E">
        <w:t>i</w:t>
      </w:r>
      <w:r>
        <w:t>t</w:t>
      </w:r>
      <w:r w:rsidRPr="00EB049E">
        <w:t xml:space="preserve"> </w:t>
      </w:r>
      <w:r>
        <w:t>is</w:t>
      </w:r>
      <w:r w:rsidRPr="00EB049E">
        <w:t xml:space="preserve"> used to denote a group of thematically related verses in the </w:t>
      </w:r>
      <w:r>
        <w:t>Qur’án</w:t>
      </w:r>
      <w:r w:rsidRPr="00EB049E">
        <w:t>.</w:t>
      </w:r>
      <w:r>
        <w:t xml:space="preserve"> </w:t>
      </w:r>
      <w:r w:rsidRPr="00EB049E">
        <w:t xml:space="preserve"> Longer chapters (sur</w:t>
      </w:r>
      <w:r>
        <w:t>á</w:t>
      </w:r>
      <w:r w:rsidRPr="00EB049E">
        <w:t>) in the Qur</w:t>
      </w:r>
      <w:r>
        <w:t>’</w:t>
      </w:r>
      <w:r w:rsidRPr="00EB049E">
        <w:t xml:space="preserve">án are usually divided into several </w:t>
      </w:r>
      <w:r>
        <w:t>ruku‘</w:t>
      </w:r>
      <w:r w:rsidRPr="00EB049E">
        <w:t>á</w:t>
      </w:r>
      <w:r>
        <w:t>t</w:t>
      </w:r>
      <w:r w:rsidRPr="00EB049E">
        <w:t>, so that the reciters could identify when to make ruk</w:t>
      </w:r>
      <w:r>
        <w:t>ú‘</w:t>
      </w:r>
      <w:r w:rsidRPr="00EB049E">
        <w:t xml:space="preserve"> in </w:t>
      </w:r>
      <w:r w:rsidRPr="008F03E5">
        <w:t>Ṣaláh</w:t>
      </w:r>
      <w:r w:rsidRPr="00EB049E">
        <w:t xml:space="preserve"> without breaking an ongoing topic in the Quranic text.</w:t>
      </w:r>
      <w:r>
        <w:t xml:space="preserve"> </w:t>
      </w:r>
      <w:r w:rsidRPr="00EB049E">
        <w:t xml:space="preserve"> There are 558 </w:t>
      </w:r>
      <w:r>
        <w:t>ruku‘</w:t>
      </w:r>
      <w:r w:rsidRPr="00EB049E">
        <w:t>á</w:t>
      </w:r>
      <w:r>
        <w:t>t</w:t>
      </w:r>
      <w:r w:rsidRPr="00EB049E">
        <w:t xml:space="preserve"> in the </w:t>
      </w:r>
      <w:r>
        <w:t xml:space="preserve">Qur’án.  </w:t>
      </w:r>
      <w:r w:rsidRPr="008F03E5">
        <w:t>Yarka‘ imperfect form of the verb.</w:t>
      </w:r>
    </w:p>
    <w:p w14:paraId="712DE1A2" w14:textId="77777777" w:rsidR="00625A5B" w:rsidRPr="008F03E5" w:rsidRDefault="00625A5B" w:rsidP="00E61971">
      <w:pPr>
        <w:pStyle w:val="Translit"/>
      </w:pPr>
      <w:r w:rsidRPr="008F03E5">
        <w:t>Rakhsh</w:t>
      </w:r>
      <w:r w:rsidRPr="008F03E5">
        <w:tab/>
        <w:t>Ra</w:t>
      </w:r>
      <w:r w:rsidRPr="008F03E5">
        <w:rPr>
          <w:u w:val="single"/>
        </w:rPr>
        <w:t>khsh</w:t>
      </w:r>
      <w:r w:rsidRPr="008F03E5">
        <w:tab/>
        <w:t>Pers. lightning; the rainbow; reflection of light; a mixture of red and white; a face marked with moles; a mottled or partridge-coloured horse; swift; a horse; name of the horse of the celebrated Rustam; happy, fortunate, prosperous; joyful; commencement; happiness, prosperity</w:t>
      </w:r>
    </w:p>
    <w:p w14:paraId="0835EB68" w14:textId="77777777" w:rsidR="00625A5B" w:rsidRPr="008F03E5" w:rsidRDefault="00625A5B" w:rsidP="002732FA">
      <w:pPr>
        <w:pStyle w:val="Translit"/>
      </w:pPr>
      <w:r w:rsidRPr="008F03E5">
        <w:t>Ram</w:t>
      </w:r>
      <w:r w:rsidRPr="008F03E5">
        <w:tab/>
        <w:t>Rám</w:t>
      </w:r>
      <w:r w:rsidRPr="008F03E5">
        <w:tab/>
        <w:t>Pers. obedient, obsequious; tame, domestic; happy, cheerful; industrious; shrewd; alacrity; affluence, plenty; name of the inventor of the lute; the twenty-first day of the month; name of the angel who presides over that day; going, passing by, penetrating</w:t>
      </w:r>
    </w:p>
    <w:p w14:paraId="1794A94F" w14:textId="77777777" w:rsidR="00625A5B" w:rsidRPr="008F03E5" w:rsidRDefault="00625A5B" w:rsidP="002732FA">
      <w:pPr>
        <w:pStyle w:val="Translit"/>
      </w:pPr>
      <w:r w:rsidRPr="008F03E5">
        <w:t>Ramadan (Ramazan)</w:t>
      </w:r>
      <w:r w:rsidRPr="008F03E5">
        <w:tab/>
        <w:t>Ramaḍán (Pers. Ramaẓán)</w:t>
      </w:r>
      <w:r w:rsidRPr="008F03E5">
        <w:tab/>
        <w:t>ninth month in Islamic calendar.  Time of “intense heat, scorched ground and shortness of rations” (burning heat)</w:t>
      </w:r>
    </w:p>
    <w:p w14:paraId="3D2FFBD7" w14:textId="77777777" w:rsidR="00625A5B" w:rsidRPr="008F03E5" w:rsidRDefault="00625A5B" w:rsidP="00B47F07">
      <w:pPr>
        <w:pStyle w:val="Translit"/>
      </w:pPr>
      <w:r w:rsidRPr="008F03E5">
        <w:t>Ramal</w:t>
      </w:r>
      <w:r w:rsidRPr="008F03E5">
        <w:tab/>
        <w:t>Ramal</w:t>
      </w:r>
      <w:r w:rsidRPr="008F03E5">
        <w:tab/>
        <w:t>name of a poetical meter</w:t>
      </w:r>
    </w:p>
    <w:p w14:paraId="74DD2D29" w14:textId="77777777" w:rsidR="00625A5B" w:rsidRPr="008F03E5" w:rsidRDefault="00625A5B" w:rsidP="009E6DAC">
      <w:pPr>
        <w:pStyle w:val="Translit"/>
      </w:pPr>
      <w:r w:rsidRPr="008F03E5">
        <w:t>Ramda’</w:t>
      </w:r>
      <w:r w:rsidRPr="008F03E5">
        <w:tab/>
        <w:t>Ramḍá’</w:t>
      </w:r>
      <w:r w:rsidRPr="008F03E5">
        <w:tab/>
        <w:t>sun-baked ground</w:t>
      </w:r>
    </w:p>
    <w:p w14:paraId="641A77BA" w14:textId="77777777" w:rsidR="00625A5B" w:rsidRPr="008F03E5" w:rsidRDefault="00625A5B" w:rsidP="000E36E4">
      <w:pPr>
        <w:pStyle w:val="Translit"/>
      </w:pPr>
      <w:r w:rsidRPr="008F03E5">
        <w:t>Ramin, Rumah</w:t>
      </w:r>
      <w:r w:rsidRPr="008F03E5">
        <w:tab/>
        <w:t>Rámin, pl. Rumáh</w:t>
      </w:r>
      <w:r w:rsidRPr="008F03E5">
        <w:tab/>
        <w:t>throwing; thrower, hurler; marksman; rifleman (Syrian military).  Jabal Rumáh (“Archer’s Hill”, 24.502257, 39.612163) name given to a rock outcrop after the battle of Uḥud.</w:t>
      </w:r>
    </w:p>
    <w:p w14:paraId="667001BF" w14:textId="77777777" w:rsidR="00625A5B" w:rsidRPr="008F03E5" w:rsidRDefault="00625A5B" w:rsidP="00F025D3">
      <w:pPr>
        <w:pStyle w:val="Translit"/>
      </w:pPr>
      <w:r w:rsidRPr="00BC189D">
        <w:rPr>
          <w:lang w:val="it-IT"/>
        </w:rPr>
        <w:t>Raml, Ramala (Ramleh, Ramlih), Rimal</w:t>
      </w:r>
      <w:r w:rsidRPr="00BC189D">
        <w:rPr>
          <w:lang w:val="it-IT"/>
        </w:rPr>
        <w:tab/>
        <w:t>Raml, fem. Ramla[h], pl. Rimál</w:t>
      </w:r>
      <w:r w:rsidRPr="00BC189D">
        <w:rPr>
          <w:lang w:val="it-IT"/>
        </w:rPr>
        <w:tab/>
        <w:t xml:space="preserve">sand.  </w:t>
      </w:r>
      <w:r w:rsidRPr="008F03E5">
        <w:t>ar-Ramlah (Heb. Ramla) a city in central Israel on the Jerusalem-Tel Aviv highway.  Maḥaṭṭat ar-Raml (“Ramleh”) is a neighbourhood of Alexandria, Egypt.  ‘ilm ar-raml or ḍarb ar-raml geomancy (divination by means of figures or lines in the sand).  See Maḥaṭṭat ar-Raml under Maḥaṭṭa.</w:t>
      </w:r>
    </w:p>
    <w:p w14:paraId="71FFDACB" w14:textId="77777777" w:rsidR="00625A5B" w:rsidRPr="008F03E5" w:rsidRDefault="00625A5B" w:rsidP="00A47C57">
      <w:pPr>
        <w:pStyle w:val="Translit"/>
      </w:pPr>
      <w:r w:rsidRPr="008F03E5">
        <w:t>Ramy</w:t>
      </w:r>
      <w:r w:rsidRPr="008F03E5">
        <w:tab/>
        <w:t>Ramy</w:t>
      </w:r>
      <w:r w:rsidRPr="008F03E5">
        <w:tab/>
        <w:t>(act or process of) throwing, flinging, shooting, etc.  Ramy al-Jamarát literally, "throwing of the jamarát” [place of pebbles], figuratively, “the stoning of the devil.  See Jamra.</w:t>
      </w:r>
    </w:p>
    <w:p w14:paraId="7F7998DA" w14:textId="77777777" w:rsidR="00625A5B" w:rsidRPr="008F03E5" w:rsidRDefault="00625A5B" w:rsidP="005D5AAC">
      <w:pPr>
        <w:pStyle w:val="Translit"/>
      </w:pPr>
      <w:r w:rsidRPr="008F03E5">
        <w:t>Ramz, Rumuz</w:t>
      </w:r>
      <w:r w:rsidRPr="008F03E5">
        <w:tab/>
        <w:t>Ramz, pl. Rúmúz</w:t>
      </w:r>
      <w:r w:rsidRPr="008F03E5">
        <w:tab/>
        <w:t>sign, nod, wink, motion; hint; allusion, intimation; allegory; riddle; symbol, symbolic figure, emblem, character; secret sign, code sign.  a</w:t>
      </w:r>
      <w:r>
        <w:t>r</w:t>
      </w:r>
      <w:r w:rsidRPr="008F03E5">
        <w:t>-ramz al-munamnam (“the ornamented symbol”), an elevated rhyming title of Bahá’u’lláh.</w:t>
      </w:r>
    </w:p>
    <w:p w14:paraId="76E9CDD1" w14:textId="77777777" w:rsidR="00625A5B" w:rsidRPr="008F03E5" w:rsidRDefault="00625A5B" w:rsidP="00954271">
      <w:pPr>
        <w:pStyle w:val="Translit"/>
      </w:pPr>
      <w:r w:rsidRPr="008F03E5">
        <w:t>Ransom-Kehler</w:t>
      </w:r>
      <w:r w:rsidRPr="008F03E5">
        <w:tab/>
        <w:t>Ransom-Kehler</w:t>
      </w:r>
      <w:r w:rsidRPr="008F03E5">
        <w:tab/>
        <w:t xml:space="preserve">Keith Ransom-Kehler (1876–1933), born Nannie Keith Bean (known later solely by her mother’s maiden name of Keith).  American Bahá’í lecturer and world traveller; designated by Shoghi Effendi as the first American Bahá’í martyr and, posthumously, the first woman appointed as a Hand of the Cause of God.  Shoghi Effendi sent her on a special assignment in Iran to 1.  represent the National Spiritual Assembly of the Bahá’ís of the United States and Canada, and on behalf of Shoghi Effendi; 2.  to petition Riḍá </w:t>
      </w:r>
      <w:r w:rsidRPr="008F03E5">
        <w:rPr>
          <w:u w:val="single"/>
        </w:rPr>
        <w:t>Sh</w:t>
      </w:r>
      <w:r w:rsidRPr="008F03E5">
        <w:t>áh Pahlaví to remove the ban on the entry and distribution of Bahá’í literature in Iran and also to secure the lifting of all the limitations that had for years been imposed on the Iranian Bahá’í community.  Died of smallpox in Iṣfahán.</w:t>
      </w:r>
    </w:p>
    <w:p w14:paraId="0289B70D" w14:textId="77777777" w:rsidR="00625A5B" w:rsidRPr="008F03E5" w:rsidRDefault="00625A5B" w:rsidP="00340F2D">
      <w:pPr>
        <w:pStyle w:val="Translit"/>
      </w:pPr>
      <w:r w:rsidRPr="008F03E5">
        <w:t>Raqasha</w:t>
      </w:r>
      <w:r w:rsidRPr="008F03E5">
        <w:tab/>
        <w:t>Raqa</w:t>
      </w:r>
      <w:r w:rsidRPr="008F03E5">
        <w:rPr>
          <w:u w:val="single"/>
        </w:rPr>
        <w:t>sh</w:t>
      </w:r>
      <w:r w:rsidRPr="008F03E5">
        <w:t>a</w:t>
      </w:r>
      <w:r w:rsidRPr="008F03E5">
        <w:tab/>
        <w:t xml:space="preserve">to variegate, make multi-coloured (something).  Form </w:t>
      </w:r>
      <w:r w:rsidRPr="008F03E5">
        <w:rPr>
          <w:sz w:val="16"/>
          <w:szCs w:val="16"/>
        </w:rPr>
        <w:t>II</w:t>
      </w:r>
      <w:r w:rsidRPr="008F03E5">
        <w:t xml:space="preserve"> to adorn, embellish, decorate (something)</w:t>
      </w:r>
    </w:p>
    <w:p w14:paraId="78402564" w14:textId="77777777" w:rsidR="00625A5B" w:rsidRPr="008F03E5" w:rsidRDefault="00625A5B" w:rsidP="00636B43">
      <w:pPr>
        <w:pStyle w:val="Translit"/>
      </w:pPr>
      <w:r w:rsidRPr="008F03E5">
        <w:t>Raqib, Ruqaba’</w:t>
      </w:r>
      <w:r w:rsidRPr="008F03E5">
        <w:tab/>
        <w:t>Raqíb, pl. Ruqabá’</w:t>
      </w:r>
      <w:r w:rsidRPr="008F03E5">
        <w:tab/>
        <w:t>vigilant, watchful; guardian, keeper, warden; watcher, observer, lookout; spy; overseer, supervisor, inspector; controller, control officer; postal censor; sergeant (Syrian military)</w:t>
      </w:r>
    </w:p>
    <w:p w14:paraId="4FE76BF5" w14:textId="77777777" w:rsidR="00625A5B" w:rsidRPr="008F03E5" w:rsidRDefault="00625A5B" w:rsidP="001B2165">
      <w:pPr>
        <w:pStyle w:val="Translit"/>
      </w:pPr>
      <w:r w:rsidRPr="008F03E5">
        <w:t>Raqim, Raqa’im</w:t>
      </w:r>
      <w:r w:rsidRPr="008F03E5">
        <w:tab/>
        <w:t>Raqím, pl. Raqá’im</w:t>
      </w:r>
      <w:r w:rsidRPr="008F03E5">
        <w:tab/>
        <w:t xml:space="preserve">inscription, tablet; letter, message; “essay” (in </w:t>
      </w:r>
      <w:r w:rsidRPr="008F03E5">
        <w:rPr>
          <w:i/>
          <w:iCs/>
        </w:rPr>
        <w:t>Letters &amp; Essays</w:t>
      </w:r>
      <w:r w:rsidRPr="008F03E5">
        <w:t>).  A writing, a book; especially that which records the history of the Seven Sleepers (Aṣḥáb al-Kahf (see listing), “Companions of the cave”); their dog; also their village, or the mountain and cave in which they slept.—pl. books; epistles, writings.</w:t>
      </w:r>
    </w:p>
    <w:p w14:paraId="7C2585B8" w14:textId="77777777" w:rsidR="00625A5B" w:rsidRPr="008F03E5" w:rsidRDefault="00625A5B" w:rsidP="0040772D">
      <w:pPr>
        <w:pStyle w:val="Translit"/>
      </w:pPr>
      <w:r w:rsidRPr="008F03E5">
        <w:t>Raqiq, Ariqqa’, Riqaq</w:t>
      </w:r>
      <w:r w:rsidRPr="008F03E5">
        <w:tab/>
        <w:t>Raqíq, pl. Ariqqá’, Riqáq</w:t>
      </w:r>
      <w:r w:rsidRPr="008F03E5">
        <w:tab/>
        <w:t>slave, slaves (singular and collective); flat loaf of bread; thin; slender, slim; line, delicate; soft, tender, gentle; sensitive, tactful, discreet, prudent</w:t>
      </w:r>
    </w:p>
    <w:p w14:paraId="4687DD61" w14:textId="77777777" w:rsidR="00625A5B" w:rsidRPr="008F03E5" w:rsidRDefault="00625A5B" w:rsidP="00695FEE">
      <w:pPr>
        <w:pStyle w:val="Translit"/>
      </w:pPr>
      <w:r w:rsidRPr="008F03E5">
        <w:t>Raqqa (Raqa, Riqqa), Rakka</w:t>
      </w:r>
      <w:r w:rsidRPr="008F03E5">
        <w:tab/>
        <w:t>Raqqa</w:t>
      </w:r>
      <w:r w:rsidRPr="008F03E5">
        <w:tab/>
        <w:t xml:space="preserve">to be or become thin, delicate, fine; to be tender, soft; to be pure, clear, limpid (water); to soften, relent (toward someone), have pity, feel compassion, have sympathy (for).  ar-Raqqah is a city in Syria located on the northeast bank of the Euphrates River, 170 kilometres </w:t>
      </w:r>
      <w:r w:rsidRPr="008F03E5">
        <w:rPr>
          <w:sz w:val="16"/>
          <w:szCs w:val="16"/>
        </w:rPr>
        <w:t>ESE</w:t>
      </w:r>
      <w:r w:rsidRPr="008F03E5">
        <w:t xml:space="preserve"> of Aleppo.</w:t>
      </w:r>
    </w:p>
    <w:p w14:paraId="65449D8A" w14:textId="77777777" w:rsidR="00625A5B" w:rsidRPr="008F03E5" w:rsidRDefault="00625A5B" w:rsidP="00340F2D">
      <w:pPr>
        <w:pStyle w:val="Translit"/>
      </w:pPr>
      <w:r w:rsidRPr="008F03E5">
        <w:t>Raqqi</w:t>
      </w:r>
      <w:r w:rsidRPr="008F03E5">
        <w:tab/>
        <w:t>Raqqí</w:t>
      </w:r>
      <w:r w:rsidRPr="008F03E5">
        <w:tab/>
        <w:t>of or from ar-Raqqah</w:t>
      </w:r>
    </w:p>
    <w:p w14:paraId="145CA608" w14:textId="77777777" w:rsidR="00625A5B" w:rsidRPr="008F03E5" w:rsidRDefault="00625A5B" w:rsidP="009F5288">
      <w:pPr>
        <w:pStyle w:val="Translit"/>
      </w:pPr>
      <w:r w:rsidRPr="008F03E5">
        <w:t>Raqsha’</w:t>
      </w:r>
      <w:r w:rsidRPr="008F03E5">
        <w:tab/>
        <w:t>Raq</w:t>
      </w:r>
      <w:r w:rsidRPr="008F03E5">
        <w:rPr>
          <w:u w:val="single"/>
        </w:rPr>
        <w:t>sh</w:t>
      </w:r>
      <w:r w:rsidRPr="008F03E5">
        <w:t>á’</w:t>
      </w:r>
      <w:r w:rsidRPr="008F03E5">
        <w:tab/>
        <w:t>(from raqa</w:t>
      </w:r>
      <w:r w:rsidRPr="008F03E5">
        <w:rPr>
          <w:u w:val="single"/>
        </w:rPr>
        <w:t>sh</w:t>
      </w:r>
      <w:r w:rsidRPr="008F03E5">
        <w:t xml:space="preserve">a, to variegate, make multi-coloured) shape, beauty and ability to attract of a serpent.  Female serpent, described as being marked with mottled black and white spots.  “She-serpent”, title given to the Imám-Jum‘ih of Iṣfahán, Mír Muḥammad-Ḥusayn </w:t>
      </w:r>
      <w:r w:rsidRPr="008F03E5">
        <w:rPr>
          <w:u w:val="single"/>
        </w:rPr>
        <w:t>Kh</w:t>
      </w:r>
      <w:r w:rsidRPr="008F03E5">
        <w:t>átúnábádí.</w:t>
      </w:r>
    </w:p>
    <w:p w14:paraId="415A2DCA" w14:textId="77777777" w:rsidR="00625A5B" w:rsidRPr="008F03E5" w:rsidRDefault="00625A5B" w:rsidP="00267CDC">
      <w:pPr>
        <w:pStyle w:val="Translit"/>
      </w:pPr>
      <w:r w:rsidRPr="008F03E5">
        <w:t>Rasa’il wa Raqa’im</w:t>
      </w:r>
      <w:r w:rsidRPr="008F03E5">
        <w:tab/>
        <w:t>Rasá’il wa Raqá’im</w:t>
      </w:r>
      <w:r w:rsidRPr="008F03E5">
        <w:tab/>
        <w:t>title of a book by Mírzá Faḍl that was translated as “Letters &amp; Essays”.  See risála and raqím</w:t>
      </w:r>
    </w:p>
    <w:p w14:paraId="3B9B70A8" w14:textId="77777777" w:rsidR="00625A5B" w:rsidRPr="008F03E5" w:rsidRDefault="00625A5B" w:rsidP="005C25ED">
      <w:pPr>
        <w:pStyle w:val="Translit"/>
      </w:pPr>
      <w:r w:rsidRPr="008F03E5">
        <w:t>Rasafa, Rusafa</w:t>
      </w:r>
      <w:r w:rsidRPr="008F03E5">
        <w:tab/>
        <w:t>Raṣáfa (or Ruṣáfa)</w:t>
      </w:r>
      <w:r w:rsidRPr="008F03E5">
        <w:tab/>
        <w:t>firmness, compactness.  ar-Raṣáfa, east bank of Ba</w:t>
      </w:r>
      <w:r w:rsidRPr="008F03E5">
        <w:rPr>
          <w:u w:val="single"/>
        </w:rPr>
        <w:t>gh</w:t>
      </w:r>
      <w:r w:rsidRPr="008F03E5">
        <w:t>dád</w:t>
      </w:r>
    </w:p>
    <w:p w14:paraId="553DA171" w14:textId="77777777" w:rsidR="00625A5B" w:rsidRPr="008F03E5" w:rsidRDefault="00625A5B" w:rsidP="002D2457">
      <w:pPr>
        <w:pStyle w:val="Translit"/>
      </w:pPr>
      <w:r w:rsidRPr="008F03E5">
        <w:t>Rashad (variation Rishad)</w:t>
      </w:r>
      <w:r w:rsidRPr="008F03E5">
        <w:tab/>
        <w:t>Ra</w:t>
      </w:r>
      <w:r w:rsidRPr="008F03E5">
        <w:rPr>
          <w:u w:val="single"/>
        </w:rPr>
        <w:t>sh</w:t>
      </w:r>
      <w:r w:rsidRPr="008F03E5">
        <w:t>ád (Ri</w:t>
      </w:r>
      <w:r w:rsidRPr="008F03E5">
        <w:rPr>
          <w:u w:val="single"/>
        </w:rPr>
        <w:t>sh</w:t>
      </w:r>
      <w:r w:rsidRPr="008F03E5">
        <w:t>ád)</w:t>
      </w:r>
      <w:r w:rsidRPr="008F03E5">
        <w:tab/>
        <w:t>integrity of conduct; reason, good sense, senses; maturity; garden peppergrass (</w:t>
      </w:r>
      <w:r w:rsidRPr="008F03E5">
        <w:rPr>
          <w:i/>
          <w:iCs/>
        </w:rPr>
        <w:t>Lepidium sativum</w:t>
      </w:r>
      <w:r w:rsidRPr="008F03E5">
        <w:t>)</w:t>
      </w:r>
    </w:p>
    <w:p w14:paraId="38673FAC" w14:textId="77777777" w:rsidR="00625A5B" w:rsidRPr="008F03E5" w:rsidRDefault="00625A5B" w:rsidP="00E40137">
      <w:pPr>
        <w:pStyle w:val="Translit"/>
      </w:pPr>
      <w:r w:rsidRPr="008F03E5">
        <w:t>Rashad</w:t>
      </w:r>
      <w:r w:rsidRPr="008F03E5">
        <w:tab/>
        <w:t>Ra</w:t>
      </w:r>
      <w:r w:rsidRPr="008F03E5">
        <w:rPr>
          <w:u w:val="single"/>
        </w:rPr>
        <w:t>sh</w:t>
      </w:r>
      <w:r w:rsidRPr="008F03E5">
        <w:t>ad</w:t>
      </w:r>
      <w:r w:rsidRPr="008F03E5">
        <w:tab/>
        <w:t>integrity of conduct, straightforwardness, forthrightness</w:t>
      </w:r>
    </w:p>
    <w:p w14:paraId="6C02783B" w14:textId="77777777" w:rsidR="00625A5B" w:rsidRPr="008F03E5" w:rsidRDefault="00625A5B" w:rsidP="002D2457">
      <w:pPr>
        <w:pStyle w:val="Translit"/>
      </w:pPr>
      <w:r w:rsidRPr="008F03E5">
        <w:t>Rashada</w:t>
      </w:r>
      <w:r w:rsidRPr="008F03E5">
        <w:tab/>
        <w:t>Ra</w:t>
      </w:r>
      <w:r w:rsidRPr="008F03E5">
        <w:rPr>
          <w:u w:val="single"/>
        </w:rPr>
        <w:t>sh</w:t>
      </w:r>
      <w:r w:rsidRPr="008F03E5">
        <w:t>ada</w:t>
      </w:r>
      <w:r w:rsidRPr="008F03E5">
        <w:tab/>
        <w:t>to be on the right way, follow the right course, be well guided, not go astray (especially, in religious matters); to have the true faith, be a true believer; to become sensible, become mature, grow up; to come of age</w:t>
      </w:r>
    </w:p>
    <w:p w14:paraId="35CB6BF7" w14:textId="77777777" w:rsidR="00625A5B" w:rsidRPr="008F03E5" w:rsidRDefault="00625A5B" w:rsidP="00DC7469">
      <w:pPr>
        <w:pStyle w:val="Translit"/>
      </w:pPr>
      <w:r w:rsidRPr="008F03E5">
        <w:t>Rashh</w:t>
      </w:r>
      <w:r w:rsidRPr="008F03E5">
        <w:tab/>
        <w:t>Ra</w:t>
      </w:r>
      <w:r w:rsidRPr="008F03E5">
        <w:rPr>
          <w:u w:val="single"/>
        </w:rPr>
        <w:t>sh</w:t>
      </w:r>
      <w:r w:rsidRPr="008F03E5">
        <w:t>ḥ</w:t>
      </w:r>
      <w:r w:rsidRPr="008F03E5">
        <w:tab/>
        <w:t>secretion (of a fluid); perspiration, sweating; leaking, leakiness; filtering, filtration, percolation; oozing, trickling; cold, catarrh</w:t>
      </w:r>
    </w:p>
    <w:p w14:paraId="57F9B839" w14:textId="77777777" w:rsidR="00625A5B" w:rsidRPr="008F03E5" w:rsidRDefault="00625A5B" w:rsidP="005C690E">
      <w:pPr>
        <w:pStyle w:val="Translit"/>
      </w:pPr>
      <w:r w:rsidRPr="008F03E5">
        <w:t>Rashh-i</w:t>
      </w:r>
      <w:r w:rsidRPr="008F03E5">
        <w:rPr>
          <w:rFonts w:eastAsia="PMingLiU"/>
          <w:lang w:eastAsia="zh-TW"/>
        </w:rPr>
        <w:t>-‘</w:t>
      </w:r>
      <w:r w:rsidRPr="008F03E5">
        <w:t>Ama</w:t>
      </w:r>
      <w:r w:rsidRPr="008F03E5">
        <w:tab/>
        <w:t>Ra</w:t>
      </w:r>
      <w:r w:rsidRPr="008F03E5">
        <w:rPr>
          <w:u w:val="single"/>
        </w:rPr>
        <w:t>sh</w:t>
      </w:r>
      <w:r w:rsidRPr="008F03E5">
        <w:t>ḥ-i-‘Amá’</w:t>
      </w:r>
      <w:r w:rsidRPr="008F03E5">
        <w:tab/>
        <w:t xml:space="preserve">“Sprinkling from a Cloud”, often roughly translated as “Sprinkling of the Cloud of Unknowing”.  First poem by Bahá’u’lláh after His release from the Black Pit, Ṭihrán.  ‘Amá symbolizes the First Invisible Substance.  </w:t>
      </w:r>
      <w:r w:rsidRPr="008F03E5">
        <w:rPr>
          <w:i/>
          <w:iCs/>
        </w:rPr>
        <w:t>Call of the Divine Beloved</w:t>
      </w:r>
      <w:r w:rsidRPr="008F03E5">
        <w:t xml:space="preserve"> uses “The clouds of the realms above”.  Many writers, reason unknown, omit the final ḥamza.</w:t>
      </w:r>
    </w:p>
    <w:p w14:paraId="221D4637" w14:textId="77777777" w:rsidR="00625A5B" w:rsidRPr="008F03E5" w:rsidRDefault="00625A5B" w:rsidP="00AA62FB">
      <w:pPr>
        <w:pStyle w:val="Translit"/>
      </w:pPr>
      <w:r w:rsidRPr="008F03E5">
        <w:t>Rashid (Rashed), Rashida, Rashidun</w:t>
      </w:r>
      <w:r w:rsidRPr="008F03E5">
        <w:tab/>
        <w:t>Rá</w:t>
      </w:r>
      <w:r w:rsidRPr="008F03E5">
        <w:rPr>
          <w:u w:val="single"/>
        </w:rPr>
        <w:t>sh</w:t>
      </w:r>
      <w:r w:rsidRPr="008F03E5">
        <w:t>id, fem. Rá</w:t>
      </w:r>
      <w:r w:rsidRPr="008F03E5">
        <w:rPr>
          <w:u w:val="single"/>
        </w:rPr>
        <w:t>sh</w:t>
      </w:r>
      <w:r w:rsidRPr="008F03E5">
        <w:t>ida, pl. Ra</w:t>
      </w:r>
      <w:r w:rsidRPr="008F03E5">
        <w:rPr>
          <w:u w:val="single"/>
        </w:rPr>
        <w:t>sh</w:t>
      </w:r>
      <w:r w:rsidRPr="008F03E5">
        <w:t>idún</w:t>
      </w:r>
      <w:r w:rsidRPr="008F03E5">
        <w:tab/>
        <w:t>following the right way, rightly guided, having the true faith; sensible, reasonable; of full legal age, major;—pl. Ra</w:t>
      </w:r>
      <w:r w:rsidRPr="008F03E5">
        <w:rPr>
          <w:u w:val="single"/>
        </w:rPr>
        <w:t>sh</w:t>
      </w:r>
      <w:r w:rsidRPr="008F03E5">
        <w:t>idún, Ra</w:t>
      </w:r>
      <w:r w:rsidRPr="008F03E5">
        <w:rPr>
          <w:u w:val="single"/>
        </w:rPr>
        <w:t>sh</w:t>
      </w:r>
      <w:r w:rsidRPr="008F03E5">
        <w:t>idín, Rightly-Guided, the first four Caliphs (Sunní Islám)</w:t>
      </w:r>
    </w:p>
    <w:p w14:paraId="581B67D9" w14:textId="77777777" w:rsidR="00625A5B" w:rsidRPr="008F03E5" w:rsidRDefault="00625A5B" w:rsidP="00100780">
      <w:pPr>
        <w:pStyle w:val="Translit"/>
      </w:pPr>
      <w:r w:rsidRPr="008F03E5">
        <w:t>Rashid (Rasheed), Rashida, Rushada</w:t>
      </w:r>
      <w:r w:rsidRPr="008F03E5">
        <w:tab/>
        <w:t>Ra</w:t>
      </w:r>
      <w:r w:rsidRPr="008F03E5">
        <w:rPr>
          <w:u w:val="single"/>
        </w:rPr>
        <w:t>sh</w:t>
      </w:r>
      <w:r w:rsidRPr="008F03E5">
        <w:t>íd, fem. Ra</w:t>
      </w:r>
      <w:r w:rsidRPr="008F03E5">
        <w:rPr>
          <w:u w:val="single"/>
        </w:rPr>
        <w:t>sh</w:t>
      </w:r>
      <w:r w:rsidRPr="008F03E5">
        <w:t>ída, pl. Ru</w:t>
      </w:r>
      <w:r w:rsidRPr="008F03E5">
        <w:rPr>
          <w:u w:val="single"/>
        </w:rPr>
        <w:t>sh</w:t>
      </w:r>
      <w:r w:rsidRPr="008F03E5">
        <w:t>adá’</w:t>
      </w:r>
      <w:r w:rsidRPr="008F03E5">
        <w:tab/>
        <w:t>rightly guided, following the right way; having the true faith; reasonable, rational, intelligent, discriminating, discerning; mature;—pl. of full legal age, major</w:t>
      </w:r>
    </w:p>
    <w:p w14:paraId="2E6BCEB1" w14:textId="77777777" w:rsidR="00625A5B" w:rsidRPr="008F03E5" w:rsidRDefault="00625A5B" w:rsidP="009D458F">
      <w:pPr>
        <w:pStyle w:val="Translit"/>
      </w:pPr>
      <w:r w:rsidRPr="008F03E5">
        <w:t>Rashid ad-Din Sinan</w:t>
      </w:r>
      <w:r w:rsidRPr="008F03E5">
        <w:tab/>
        <w:t>Ra</w:t>
      </w:r>
      <w:r w:rsidRPr="008F03E5">
        <w:rPr>
          <w:u w:val="single"/>
        </w:rPr>
        <w:t>sh</w:t>
      </w:r>
      <w:r w:rsidRPr="008F03E5">
        <w:t>íd ad-Dín Sinán</w:t>
      </w:r>
      <w:r w:rsidRPr="008F03E5">
        <w:tab/>
        <w:t>a leader of the Syrian branch of the Nizárí Ismá‘ílí state (“the Assassins”), and a figure in the history of the crusades.  Was known by the crusaders as the “Old Man of the Mountain” (</w:t>
      </w:r>
      <w:r w:rsidRPr="008F03E5">
        <w:rPr>
          <w:u w:val="single"/>
        </w:rPr>
        <w:t>Sh</w:t>
      </w:r>
      <w:r w:rsidRPr="008F03E5">
        <w:t>ay</w:t>
      </w:r>
      <w:r w:rsidRPr="008F03E5">
        <w:rPr>
          <w:u w:val="single"/>
        </w:rPr>
        <w:t>kh</w:t>
      </w:r>
      <w:r w:rsidRPr="008F03E5">
        <w:t xml:space="preserve"> al-Jabal).  He went to the Alamút valley, the centre of the Ḥa</w:t>
      </w:r>
      <w:r w:rsidRPr="008F03E5">
        <w:rPr>
          <w:u w:val="single"/>
        </w:rPr>
        <w:t>shsh</w:t>
      </w:r>
      <w:r w:rsidRPr="008F03E5">
        <w:t>á</w:t>
      </w:r>
      <w:r w:rsidRPr="008F03E5">
        <w:rPr>
          <w:u w:val="single"/>
        </w:rPr>
        <w:t>sh</w:t>
      </w:r>
      <w:r w:rsidRPr="008F03E5">
        <w:t>ín, as a youth.</w:t>
      </w:r>
    </w:p>
    <w:p w14:paraId="78E5347D" w14:textId="77777777" w:rsidR="00625A5B" w:rsidRPr="008F03E5" w:rsidRDefault="00625A5B" w:rsidP="003D37C3">
      <w:pPr>
        <w:pStyle w:val="Translit"/>
      </w:pPr>
      <w:r w:rsidRPr="008F03E5">
        <w:t>Rashid Khalifa</w:t>
      </w:r>
      <w:r w:rsidRPr="008F03E5">
        <w:tab/>
        <w:t>Ra</w:t>
      </w:r>
      <w:r w:rsidRPr="008F03E5">
        <w:rPr>
          <w:u w:val="single"/>
        </w:rPr>
        <w:t>sh</w:t>
      </w:r>
      <w:r w:rsidRPr="008F03E5">
        <w:t xml:space="preserve">íd </w:t>
      </w:r>
      <w:r w:rsidRPr="008F03E5">
        <w:rPr>
          <w:u w:val="single"/>
        </w:rPr>
        <w:t>Kh</w:t>
      </w:r>
      <w:r w:rsidRPr="008F03E5">
        <w:t>alífa</w:t>
      </w:r>
      <w:r w:rsidRPr="008F03E5">
        <w:tab/>
        <w:t>Dr Ra</w:t>
      </w:r>
      <w:r w:rsidRPr="008F03E5">
        <w:rPr>
          <w:u w:val="single"/>
        </w:rPr>
        <w:t>sh</w:t>
      </w:r>
      <w:r w:rsidRPr="008F03E5">
        <w:t xml:space="preserve">íd </w:t>
      </w:r>
      <w:r w:rsidRPr="008F03E5">
        <w:rPr>
          <w:u w:val="single"/>
        </w:rPr>
        <w:t>Kh</w:t>
      </w:r>
      <w:r w:rsidRPr="008F03E5">
        <w:t>alífa (1935–1990) was an Egyptian-American biochemist.  He later claimed to be a messenger of God but not a prophet.  He believed that the beliefs and practices of Islam should be based on the Qur’án alone.  From 1968 he used computers to analyze the frequency of letters and words in the Qur’án.  He claimed that the Qur’án, unlike the hadiths, was incorruptible because it contained a mathematical structure based on the number 19.</w:t>
      </w:r>
    </w:p>
    <w:p w14:paraId="0C1B9799" w14:textId="77777777" w:rsidR="00625A5B" w:rsidRPr="008F03E5" w:rsidRDefault="00625A5B" w:rsidP="00F246A2">
      <w:pPr>
        <w:pStyle w:val="Translit"/>
      </w:pPr>
      <w:r w:rsidRPr="008F03E5">
        <w:t>Rashsha, Rashsh</w:t>
      </w:r>
      <w:r w:rsidRPr="008F03E5">
        <w:tab/>
        <w:t>Ra</w:t>
      </w:r>
      <w:r w:rsidRPr="008F03E5">
        <w:rPr>
          <w:u w:val="single"/>
        </w:rPr>
        <w:t>shsh</w:t>
      </w:r>
      <w:r w:rsidRPr="008F03E5">
        <w:t>a (Ra</w:t>
      </w:r>
      <w:r w:rsidRPr="008F03E5">
        <w:rPr>
          <w:u w:val="single"/>
        </w:rPr>
        <w:t>shsh</w:t>
      </w:r>
      <w:r w:rsidRPr="008F03E5">
        <w:t>)</w:t>
      </w:r>
      <w:r w:rsidRPr="008F03E5">
        <w:tab/>
        <w:t>to spatter, splash, spurt (a liquid); to spray (a liquid); to sprinkle (something, with, on); to splatter, spatter, bespatter (something, with water, etc.); to water (something)</w:t>
      </w:r>
    </w:p>
    <w:p w14:paraId="1993898C" w14:textId="77777777" w:rsidR="00625A5B" w:rsidRPr="008F03E5" w:rsidRDefault="00625A5B" w:rsidP="00194CD3">
      <w:pPr>
        <w:pStyle w:val="Translit"/>
      </w:pPr>
      <w:r w:rsidRPr="008F03E5">
        <w:t>Rasht</w:t>
      </w:r>
      <w:r w:rsidRPr="008F03E5">
        <w:tab/>
        <w:t>Ra</w:t>
      </w:r>
      <w:r w:rsidRPr="008F03E5">
        <w:rPr>
          <w:u w:val="single"/>
        </w:rPr>
        <w:t>sh</w:t>
      </w:r>
      <w:r w:rsidRPr="008F03E5">
        <w:t>t</w:t>
      </w:r>
      <w:r w:rsidRPr="008F03E5">
        <w:tab/>
        <w:t>city in province of Gílán</w:t>
      </w:r>
    </w:p>
    <w:p w14:paraId="4C1085D8" w14:textId="77777777" w:rsidR="00625A5B" w:rsidRPr="008F03E5" w:rsidRDefault="00625A5B" w:rsidP="00194CD3">
      <w:pPr>
        <w:pStyle w:val="Translit"/>
      </w:pPr>
      <w:r w:rsidRPr="008F03E5">
        <w:t>Rashti</w:t>
      </w:r>
      <w:r w:rsidRPr="008F03E5">
        <w:tab/>
        <w:t>Ra</w:t>
      </w:r>
      <w:r w:rsidRPr="008F03E5">
        <w:rPr>
          <w:u w:val="single"/>
        </w:rPr>
        <w:t>sh</w:t>
      </w:r>
      <w:r w:rsidRPr="008F03E5">
        <w:t>tí</w:t>
      </w:r>
      <w:r w:rsidRPr="008F03E5">
        <w:tab/>
        <w:t>of or from Ra</w:t>
      </w:r>
      <w:r w:rsidRPr="008F03E5">
        <w:rPr>
          <w:u w:val="single"/>
        </w:rPr>
        <w:t>sh</w:t>
      </w:r>
      <w:r w:rsidRPr="008F03E5">
        <w:t>t.  See Sayyid Káẓim Ra</w:t>
      </w:r>
      <w:r w:rsidRPr="008F03E5">
        <w:rPr>
          <w:u w:val="single"/>
        </w:rPr>
        <w:t>sh</w:t>
      </w:r>
      <w:r w:rsidRPr="008F03E5">
        <w:t>tí.</w:t>
      </w:r>
    </w:p>
    <w:p w14:paraId="30EB7BF9" w14:textId="77777777" w:rsidR="00625A5B" w:rsidRPr="00A5286B" w:rsidRDefault="00625A5B" w:rsidP="0085537C">
      <w:pPr>
        <w:pStyle w:val="Translit"/>
      </w:pPr>
      <w:r w:rsidRPr="008F03E5">
        <w:t>Rasiq (Rasikh), Rasiqun</w:t>
      </w:r>
      <w:r w:rsidRPr="008F03E5">
        <w:tab/>
        <w:t>Rásiq, pl. Rásiqún</w:t>
      </w:r>
      <w:r w:rsidRPr="008F03E5">
        <w:tab/>
        <w:t>firmly established, deep-rooted; grounded, firmly fixed, stable; conversant (with something), thoroughly versed, compl</w:t>
      </w:r>
      <w:r w:rsidRPr="00A5286B">
        <w:t xml:space="preserve">etely at home (in a field).  Dr </w:t>
      </w:r>
      <w:r w:rsidRPr="00A5286B">
        <w:rPr>
          <w:u w:val="single"/>
        </w:rPr>
        <w:t>Sh</w:t>
      </w:r>
      <w:r w:rsidRPr="00A5286B">
        <w:t>ápúr Rási</w:t>
      </w:r>
      <w:r w:rsidRPr="00A5286B">
        <w:rPr>
          <w:u w:val="single"/>
        </w:rPr>
        <w:t>kh</w:t>
      </w:r>
      <w:r w:rsidRPr="00A5286B">
        <w:t xml:space="preserve"> 1924–2021, Bahá’í educationalist, sociologist, scholar, author.</w:t>
      </w:r>
    </w:p>
    <w:p w14:paraId="54FFC464" w14:textId="77777777" w:rsidR="00625A5B" w:rsidRPr="008F03E5" w:rsidRDefault="00625A5B" w:rsidP="00B300BD">
      <w:pPr>
        <w:pStyle w:val="Translit"/>
      </w:pPr>
      <w:r w:rsidRPr="008F03E5">
        <w:t>Rasiqun fi’l-‘ilm</w:t>
      </w:r>
      <w:r w:rsidRPr="008F03E5">
        <w:tab/>
        <w:t>ar-Rasiqún fi‘l-‘ilm</w:t>
      </w:r>
      <w:r w:rsidRPr="008F03E5">
        <w:tab/>
        <w:t>those deeply rooted in knowledge (Ṣúfí terminology)</w:t>
      </w:r>
    </w:p>
    <w:p w14:paraId="731E0E5C" w14:textId="77777777" w:rsidR="00625A5B" w:rsidRPr="008F03E5" w:rsidRDefault="00625A5B" w:rsidP="007438F7">
      <w:pPr>
        <w:pStyle w:val="Translit"/>
      </w:pPr>
      <w:r w:rsidRPr="008F03E5">
        <w:t>Rasm</w:t>
      </w:r>
      <w:r w:rsidRPr="008F03E5">
        <w:tab/>
        <w:t>Rasm</w:t>
      </w:r>
      <w:r w:rsidRPr="008F03E5">
        <w:tab/>
        <w:t xml:space="preserve">Pers. marking out, drawing, writing; a law, canon, rule, regulation, precept, habit, custom, mode, manner, usage.  Rasm (rite, formality and rule) affects everyone.  Rasm (custom) has made it easy for the clergy to control the general population.  </w:t>
      </w:r>
      <w:r w:rsidRPr="008F03E5">
        <w:rPr>
          <w:i/>
          <w:iCs/>
        </w:rPr>
        <w:t>Hidden Words</w:t>
      </w:r>
      <w:r w:rsidRPr="008F03E5">
        <w:t xml:space="preserve"> Arabic no. 2.  See </w:t>
      </w:r>
      <w:r w:rsidRPr="008F03E5">
        <w:rPr>
          <w:u w:val="single"/>
        </w:rPr>
        <w:t>sh</w:t>
      </w:r>
      <w:r w:rsidRPr="008F03E5">
        <w:t>a’n.</w:t>
      </w:r>
    </w:p>
    <w:p w14:paraId="6319DE0D" w14:textId="77777777" w:rsidR="00625A5B" w:rsidRPr="008F03E5" w:rsidRDefault="00625A5B" w:rsidP="00A27031">
      <w:pPr>
        <w:pStyle w:val="Translit"/>
      </w:pPr>
      <w:r w:rsidRPr="00362683">
        <w:rPr>
          <w:lang w:val="en-AU"/>
        </w:rPr>
        <w:t>Rasm, Rusum, Rusumat</w:t>
      </w:r>
      <w:r w:rsidRPr="00362683">
        <w:rPr>
          <w:lang w:val="en-AU"/>
        </w:rPr>
        <w:tab/>
        <w:t xml:space="preserve">Rasm, pl. </w:t>
      </w:r>
      <w:r w:rsidRPr="008F03E5">
        <w:t>Rusúm, Rusúmát</w:t>
      </w:r>
      <w:r w:rsidRPr="008F03E5">
        <w:tab/>
        <w:t>drawing (e.g., as a subject in school);—(pl. rusúm, rusúmát) a drawing; sketch; graph; picture; photograph; illustration; pattern (e.g., on a fabric);—(pl. rusúm) trace, impression; designation, mark; inscription, legend; record, notes; (official) document, (legal) instrument; writing; design; prescription, regulation; ceremony, form, formality; rate, fee, tax, due.  Rasm is an Arabic writing script often used in the early centuries of Classical Arabic literature (</w:t>
      </w:r>
      <w:r w:rsidRPr="008F03E5">
        <w:rPr>
          <w:sz w:val="16"/>
          <w:szCs w:val="16"/>
        </w:rPr>
        <w:t>CE</w:t>
      </w:r>
      <w:r w:rsidRPr="008F03E5">
        <w:t xml:space="preserve"> 7th to early 11th century)—essentially Arabic script without dots (i‘jám) and vowel marks (ḥarakát)—also known as Arabic skeleton script.</w:t>
      </w:r>
    </w:p>
    <w:p w14:paraId="72687183" w14:textId="77777777" w:rsidR="00625A5B" w:rsidRPr="008F03E5" w:rsidRDefault="00625A5B" w:rsidP="00433023">
      <w:pPr>
        <w:pStyle w:val="Translit"/>
      </w:pPr>
      <w:r w:rsidRPr="008F03E5">
        <w:t>Rass</w:t>
      </w:r>
      <w:r w:rsidRPr="008F03E5">
        <w:tab/>
        <w:t>Rass</w:t>
      </w:r>
      <w:r w:rsidRPr="008F03E5">
        <w:tab/>
        <w:t xml:space="preserve">digging (a well or grave); the beginning of anything; first attack or symptom (of a fever or love); burying; hiding, secreting; making peace, reconciling; a well constructed with stones; name of a certain well in which the people of </w:t>
      </w:r>
      <w:r w:rsidRPr="008F03E5">
        <w:rPr>
          <w:u w:val="single"/>
        </w:rPr>
        <w:t>Th</w:t>
      </w:r>
      <w:r w:rsidRPr="008F03E5">
        <w:t xml:space="preserve">amúd imprisoned one of their prophets until he died.  Aṣḥábí (ahli) ar-Rass—name given to these people.  ar-Rass town 350 km </w:t>
      </w:r>
      <w:r w:rsidRPr="008F03E5">
        <w:rPr>
          <w:sz w:val="16"/>
          <w:szCs w:val="16"/>
        </w:rPr>
        <w:t>WNW</w:t>
      </w:r>
      <w:r w:rsidRPr="008F03E5">
        <w:t xml:space="preserve"> Riyadh.</w:t>
      </w:r>
    </w:p>
    <w:p w14:paraId="2BD791CC" w14:textId="77777777" w:rsidR="00625A5B" w:rsidRPr="008F03E5" w:rsidRDefault="00625A5B" w:rsidP="00DE59CF">
      <w:pPr>
        <w:pStyle w:val="Translit"/>
        <w:rPr>
          <w:rFonts w:eastAsia="Times New Roman"/>
        </w:rPr>
      </w:pPr>
      <w:r w:rsidRPr="008F03E5">
        <w:t>Rast, Rastan</w:t>
      </w:r>
      <w:r w:rsidRPr="008F03E5">
        <w:tab/>
        <w:t>Rást,</w:t>
      </w:r>
      <w:r w:rsidRPr="008F03E5">
        <w:rPr>
          <w:rFonts w:eastAsia="Times New Roman"/>
        </w:rPr>
        <w:t xml:space="preserve"> pl. </w:t>
      </w:r>
      <w:r w:rsidRPr="008F03E5">
        <w:t>Rástán</w:t>
      </w:r>
      <w:r w:rsidRPr="008F03E5">
        <w:tab/>
        <w:t>Pers. r</w:t>
      </w:r>
      <w:r w:rsidRPr="008F03E5">
        <w:rPr>
          <w:rFonts w:eastAsia="Times New Roman"/>
        </w:rPr>
        <w:t>ight, true; good, just, sincere, upright; straight, even, level; right (opposed to left); complete; actually, certainly, surely, truly; name of a note in music</w:t>
      </w:r>
    </w:p>
    <w:p w14:paraId="08010579" w14:textId="77777777" w:rsidR="00625A5B" w:rsidRPr="008F03E5" w:rsidRDefault="00625A5B" w:rsidP="00DE59CF">
      <w:pPr>
        <w:pStyle w:val="Translit"/>
      </w:pPr>
      <w:r w:rsidRPr="008F03E5">
        <w:t>Rastagar</w:t>
      </w:r>
      <w:r w:rsidRPr="008F03E5">
        <w:tab/>
        <w:t>Rastagár</w:t>
      </w:r>
      <w:r w:rsidRPr="008F03E5">
        <w:tab/>
        <w:t>Pers. safe, free, escaped, bountiful (Rastigar, Rastegar)</w:t>
      </w:r>
    </w:p>
    <w:p w14:paraId="2A3B9593" w14:textId="77777777" w:rsidR="00625A5B" w:rsidRPr="008F03E5" w:rsidRDefault="00625A5B" w:rsidP="004F04A8">
      <w:pPr>
        <w:pStyle w:val="Translit"/>
      </w:pPr>
      <w:r w:rsidRPr="008F03E5">
        <w:t>Rastakhiz</w:t>
      </w:r>
      <w:r w:rsidRPr="008F03E5">
        <w:tab/>
        <w:t>Rastá</w:t>
      </w:r>
      <w:r w:rsidRPr="008F03E5">
        <w:rPr>
          <w:u w:val="single"/>
        </w:rPr>
        <w:t>kh</w:t>
      </w:r>
      <w:r w:rsidRPr="008F03E5">
        <w:t>íz</w:t>
      </w:r>
      <w:r w:rsidRPr="008F03E5">
        <w:tab/>
        <w:t>Pers. resurrection.  Rastakhiz Party (Ḥizb-i-Rastá</w:t>
      </w:r>
      <w:r w:rsidRPr="008F03E5">
        <w:rPr>
          <w:u w:val="single"/>
        </w:rPr>
        <w:t>kh</w:t>
      </w:r>
      <w:r w:rsidRPr="008F03E5">
        <w:t xml:space="preserve">íz “Resurgence party”) founded on 2 March 1975 by Muḥammad Riḍá Pahlaví, the </w:t>
      </w:r>
      <w:r w:rsidRPr="008F03E5">
        <w:rPr>
          <w:u w:val="single"/>
        </w:rPr>
        <w:t>Sh</w:t>
      </w:r>
      <w:r w:rsidRPr="008F03E5">
        <w:t>áh of Iran.  The party was intended as Iran’s new single party, holding a monopoly on political activity in Iran, and to which all Iranians were required to belong.  The Bahá’ís refused to join.  It survives today in exile as an Iranian monarchist party opposing the Islamic Republic created when the Pahlavi dynasty was overthrown.</w:t>
      </w:r>
    </w:p>
    <w:p w14:paraId="4AE5FF18" w14:textId="77777777" w:rsidR="00625A5B" w:rsidRPr="008F03E5" w:rsidRDefault="00625A5B" w:rsidP="00EA38C6">
      <w:pPr>
        <w:pStyle w:val="Translit"/>
      </w:pPr>
      <w:r w:rsidRPr="008F03E5">
        <w:t>Rastaq (Rastagh, Rostaq)</w:t>
      </w:r>
      <w:r w:rsidRPr="008F03E5">
        <w:tab/>
        <w:t>Rastáq</w:t>
      </w:r>
      <w:r w:rsidRPr="008F03E5">
        <w:tab/>
        <w:t xml:space="preserve">a town (28.445751, 55.075400) 110 km </w:t>
      </w:r>
      <w:r w:rsidRPr="008F03E5">
        <w:rPr>
          <w:sz w:val="16"/>
          <w:szCs w:val="16"/>
        </w:rPr>
        <w:t>SE</w:t>
      </w:r>
      <w:r w:rsidRPr="008F03E5">
        <w:t xml:space="preserve"> of Nayriz, in Fars Province.</w:t>
      </w:r>
    </w:p>
    <w:p w14:paraId="74781BA0" w14:textId="77777777" w:rsidR="00625A5B" w:rsidRPr="008F03E5" w:rsidRDefault="00625A5B" w:rsidP="00924605">
      <w:pPr>
        <w:pStyle w:val="Translit"/>
      </w:pPr>
      <w:r w:rsidRPr="005D5AAC">
        <w:t>Rasul (Rassoul), Rusul, Rasulan</w:t>
      </w:r>
      <w:r w:rsidRPr="005D5AAC">
        <w:tab/>
        <w:t xml:space="preserve">Rasúl, pl. </w:t>
      </w:r>
      <w:r w:rsidRPr="008F03E5">
        <w:t>Rusul, Pers. also Rasúlán</w:t>
      </w:r>
      <w:r w:rsidRPr="008F03E5">
        <w:tab/>
        <w:t>messenger; emissary; envoy, delegate; apostle (Christian).  Term for a figure of salvation—Messenger of God (</w:t>
      </w:r>
      <w:r w:rsidRPr="008F03E5">
        <w:rPr>
          <w:sz w:val="16"/>
          <w:szCs w:val="16"/>
        </w:rPr>
        <w:t>AND a</w:t>
      </w:r>
      <w:r w:rsidRPr="008F03E5">
        <w:t xml:space="preserve"> Prophet).</w:t>
      </w:r>
      <w:r w:rsidRPr="008F03E5">
        <w:rPr>
          <w:lang w:eastAsia="en-US"/>
        </w:rPr>
        <w:t xml:space="preserve">  </w:t>
      </w:r>
      <w:r w:rsidRPr="008F03E5">
        <w:t>Persian plural may also be Rasúlin.  Compare with Nabí.</w:t>
      </w:r>
    </w:p>
    <w:p w14:paraId="3EC8B625" w14:textId="77777777" w:rsidR="00625A5B" w:rsidRPr="008F03E5" w:rsidRDefault="00625A5B" w:rsidP="007D3DA0">
      <w:pPr>
        <w:pStyle w:val="Translit"/>
      </w:pPr>
      <w:r w:rsidRPr="008F03E5">
        <w:t>Rasul Allah, Rasulu’llah</w:t>
      </w:r>
      <w:r w:rsidRPr="008F03E5">
        <w:tab/>
        <w:t>Rasúl Alláh, Pers. Rasúlu’lláh</w:t>
      </w:r>
      <w:r w:rsidRPr="008F03E5">
        <w:tab/>
        <w:t xml:space="preserve">Messenger of God.  </w:t>
      </w:r>
      <w:r w:rsidRPr="008F03E5">
        <w:rPr>
          <w:lang w:eastAsia="en-US"/>
        </w:rPr>
        <w:t>“Divine Manifestation” in the Bahá’í Writings.  See Sul</w:t>
      </w:r>
      <w:r w:rsidRPr="008F03E5">
        <w:t>ṭá</w:t>
      </w:r>
      <w:r w:rsidRPr="008F03E5">
        <w:rPr>
          <w:lang w:eastAsia="en-US"/>
        </w:rPr>
        <w:t>n ar-Rusul.</w:t>
      </w:r>
    </w:p>
    <w:p w14:paraId="35008E5F" w14:textId="77777777" w:rsidR="00625A5B" w:rsidRPr="008F03E5" w:rsidRDefault="00625A5B" w:rsidP="001C3D9C">
      <w:pPr>
        <w:pStyle w:val="Translit"/>
      </w:pPr>
      <w:r w:rsidRPr="008F03E5">
        <w:t>Ratl</w:t>
      </w:r>
      <w:r w:rsidRPr="008F03E5">
        <w:tab/>
        <w:t>Raṭl, pl. Arṭál</w:t>
      </w:r>
      <w:r w:rsidRPr="008F03E5">
        <w:tab/>
        <w:t>rotl, a weight (449.28 g; in Syr. 3.202 kg, in Beirut and Aleppo = 2.566 kg)</w:t>
      </w:r>
    </w:p>
    <w:p w14:paraId="71629FAF" w14:textId="77777777" w:rsidR="00625A5B" w:rsidRPr="008F03E5" w:rsidRDefault="00625A5B" w:rsidP="00382C19">
      <w:pPr>
        <w:pStyle w:val="Translit"/>
      </w:pPr>
      <w:r w:rsidRPr="008F03E5">
        <w:t>Rawan</w:t>
      </w:r>
      <w:r w:rsidRPr="008F03E5">
        <w:tab/>
        <w:t>Rawán</w:t>
      </w:r>
      <w:r w:rsidRPr="008F03E5">
        <w:tab/>
        <w:t xml:space="preserve">Pers. life, soul, spirit; the reasonable soul; the heart; </w:t>
      </w:r>
      <w:r w:rsidRPr="008F03E5">
        <w:rPr>
          <w:rFonts w:eastAsia="Times New Roman"/>
        </w:rPr>
        <w:t>the heart; brisk, active (sale); mounted, riding; running; flowing, fluid; lawful, proper; text; reading; forthwith, immediately, quickly</w:t>
      </w:r>
    </w:p>
    <w:p w14:paraId="6F950038" w14:textId="77777777" w:rsidR="00625A5B" w:rsidRPr="008F03E5" w:rsidRDefault="00625A5B" w:rsidP="008911AF">
      <w:pPr>
        <w:pStyle w:val="Translit"/>
      </w:pPr>
      <w:r w:rsidRPr="008F03E5">
        <w:t>Rawandiz, Rawanduz</w:t>
      </w:r>
      <w:r w:rsidRPr="008F03E5">
        <w:tab/>
        <w:t>Rawándiz, Rawánduz</w:t>
      </w:r>
      <w:r w:rsidRPr="008F03E5">
        <w:tab/>
        <w:t xml:space="preserve">city (36.608285, 44.523910) in </w:t>
      </w:r>
      <w:r w:rsidRPr="008F03E5">
        <w:rPr>
          <w:sz w:val="16"/>
          <w:szCs w:val="16"/>
        </w:rPr>
        <w:t>NE</w:t>
      </w:r>
      <w:r w:rsidRPr="008F03E5">
        <w:t xml:space="preserve"> Iraq and a river</w:t>
      </w:r>
    </w:p>
    <w:p w14:paraId="42366A17" w14:textId="77777777" w:rsidR="00625A5B" w:rsidRDefault="00625A5B" w:rsidP="007642CD">
      <w:pPr>
        <w:pStyle w:val="Translit"/>
      </w:pPr>
      <w:r>
        <w:t xml:space="preserve">Rawd (Raud), </w:t>
      </w:r>
      <w:r w:rsidRPr="008F03E5">
        <w:t>Rawda (Rauda), Ridan</w:t>
      </w:r>
      <w:r w:rsidRPr="008F03E5">
        <w:tab/>
      </w:r>
      <w:r>
        <w:t>Raw</w:t>
      </w:r>
      <w:r w:rsidRPr="007642CD">
        <w:t>ḍ</w:t>
      </w:r>
      <w:r>
        <w:t xml:space="preserve">, fem. </w:t>
      </w:r>
      <w:r w:rsidRPr="008F03E5">
        <w:t>Rawḍa[h or t]</w:t>
      </w:r>
      <w:r>
        <w:tab/>
      </w:r>
      <w:r w:rsidRPr="008F03E5">
        <w:t>(</w:t>
      </w:r>
      <w:r>
        <w:t>I</w:t>
      </w:r>
      <w:r w:rsidRPr="007642CD">
        <w:t>ṣ</w:t>
      </w:r>
      <w:r>
        <w:t>fahan</w:t>
      </w:r>
      <w:r w:rsidRPr="007642CD">
        <w:t>í</w:t>
      </w:r>
      <w:r>
        <w:t xml:space="preserve"> </w:t>
      </w:r>
      <w:r w:rsidRPr="008F03E5">
        <w:t>Pers. Rawḍih)</w:t>
      </w:r>
      <w:r>
        <w:t xml:space="preserve"> </w:t>
      </w:r>
      <w:r w:rsidRPr="008F03E5">
        <w:t>garden; meadow.—pl. rawḍ, riyáḍ (“riaz”, “riyaz”, “reyz”</w:t>
      </w:r>
      <w:r>
        <w:t xml:space="preserve">; </w:t>
      </w:r>
      <w:r w:rsidRPr="007642CD">
        <w:t>kindergarten, nursery school</w:t>
      </w:r>
      <w:r w:rsidRPr="008F03E5">
        <w:t>)</w:t>
      </w:r>
      <w:r>
        <w:t xml:space="preserve">, fem. </w:t>
      </w:r>
      <w:r w:rsidRPr="008F03E5">
        <w:t>rawḍát; t</w:t>
      </w:r>
      <w:r w:rsidRPr="008F03E5">
        <w:rPr>
          <w:rFonts w:eastAsia="Times New Roman"/>
        </w:rPr>
        <w:t>raining or breaking in (a colt</w:t>
      </w:r>
      <w:r w:rsidRPr="008F03E5">
        <w:t>) and rí</w:t>
      </w:r>
      <w:r w:rsidRPr="007642CD">
        <w:t>ḍ</w:t>
      </w:r>
      <w:r w:rsidRPr="008F03E5">
        <w:t>án.  Riyáḍ was the name of a brother of Shoghi Effendi.  ar-Riyáḍ (</w:t>
      </w:r>
      <w:r>
        <w:t>“Riyad”, “</w:t>
      </w:r>
      <w:r w:rsidRPr="008F03E5">
        <w:t>Riyadh</w:t>
      </w:r>
      <w:r>
        <w:t>”</w:t>
      </w:r>
      <w:r w:rsidRPr="008F03E5">
        <w:t>) is the capital of Saudi Arabia.</w:t>
      </w:r>
    </w:p>
    <w:p w14:paraId="3C90D709" w14:textId="77777777" w:rsidR="00625A5B" w:rsidRPr="008F03E5" w:rsidRDefault="00625A5B" w:rsidP="00462ED2">
      <w:pPr>
        <w:pStyle w:val="Translit"/>
      </w:pPr>
      <w:r w:rsidRPr="008F03E5">
        <w:t>Rawda-Khwan (Rawdih-Khwan)</w:t>
      </w:r>
      <w:r w:rsidRPr="008F03E5">
        <w:tab/>
        <w:t>Rawḍa-</w:t>
      </w:r>
      <w:r w:rsidRPr="008F03E5">
        <w:rPr>
          <w:u w:val="single"/>
        </w:rPr>
        <w:t>Kh</w:t>
      </w:r>
      <w:r w:rsidRPr="008F03E5">
        <w:t>wán (Rawḍih-</w:t>
      </w:r>
      <w:r w:rsidRPr="008F03E5">
        <w:rPr>
          <w:u w:val="single"/>
        </w:rPr>
        <w:t>Kh</w:t>
      </w:r>
      <w:r w:rsidRPr="008F03E5">
        <w:t>wán)</w:t>
      </w:r>
      <w:r w:rsidRPr="008F03E5">
        <w:tab/>
        <w:t xml:space="preserve">Pers. </w:t>
      </w:r>
      <w:r w:rsidRPr="008F03E5">
        <w:rPr>
          <w:rFonts w:eastAsia="Times New Roman"/>
        </w:rPr>
        <w:t xml:space="preserve">an eulogist of, or one who prays over, the dead.  Note:  </w:t>
      </w:r>
      <w:r w:rsidRPr="008F03E5">
        <w:t xml:space="preserve">since a </w:t>
      </w:r>
      <w:r w:rsidRPr="008F03E5">
        <w:rPr>
          <w:rtl/>
        </w:rPr>
        <w:t>و</w:t>
      </w:r>
      <w:r w:rsidRPr="008F03E5">
        <w:t xml:space="preserve"> (wáw) after a </w:t>
      </w:r>
      <w:r w:rsidRPr="008F03E5">
        <w:rPr>
          <w:rtl/>
        </w:rPr>
        <w:t>خ</w:t>
      </w:r>
      <w:r w:rsidRPr="008F03E5">
        <w:t xml:space="preserve"> (</w:t>
      </w:r>
      <w:r w:rsidRPr="008F03E5">
        <w:rPr>
          <w:u w:val="single"/>
        </w:rPr>
        <w:t>kh</w:t>
      </w:r>
      <w:r w:rsidRPr="008F03E5">
        <w:t xml:space="preserve">) may not be pronounced, it may be written as </w:t>
      </w:r>
      <w:r w:rsidRPr="008F03E5">
        <w:rPr>
          <w:rFonts w:eastAsia="Times New Roman"/>
        </w:rPr>
        <w:t>r</w:t>
      </w:r>
      <w:r w:rsidRPr="008F03E5">
        <w:t>awḍa</w:t>
      </w:r>
      <w:r w:rsidRPr="008F03E5">
        <w:rPr>
          <w:rFonts w:eastAsia="Times New Roman"/>
        </w:rPr>
        <w:t>-</w:t>
      </w:r>
      <w:r w:rsidRPr="008F03E5">
        <w:rPr>
          <w:rFonts w:eastAsia="Times New Roman"/>
          <w:u w:val="single"/>
        </w:rPr>
        <w:t>kh</w:t>
      </w:r>
      <w:r w:rsidRPr="008F03E5">
        <w:t>á</w:t>
      </w:r>
      <w:r w:rsidRPr="008F03E5">
        <w:rPr>
          <w:rFonts w:eastAsia="Times New Roman"/>
        </w:rPr>
        <w:t>n</w:t>
      </w:r>
      <w:r w:rsidRPr="008F03E5">
        <w:t>.</w:t>
      </w:r>
    </w:p>
    <w:p w14:paraId="1B965694" w14:textId="77777777" w:rsidR="00625A5B" w:rsidRPr="008F03E5" w:rsidRDefault="00625A5B" w:rsidP="00462ED2">
      <w:pPr>
        <w:pStyle w:val="Translit"/>
      </w:pPr>
      <w:r w:rsidRPr="008F03E5">
        <w:t>Rawda-Khwani (Rawdih-Khwani)</w:t>
      </w:r>
      <w:r w:rsidRPr="008F03E5">
        <w:tab/>
        <w:t>Rawḍa-</w:t>
      </w:r>
      <w:r w:rsidRPr="008F03E5">
        <w:rPr>
          <w:u w:val="single"/>
        </w:rPr>
        <w:t>Kh</w:t>
      </w:r>
      <w:r w:rsidRPr="008F03E5">
        <w:t>wání (Rawḍih-</w:t>
      </w:r>
      <w:r w:rsidRPr="008F03E5">
        <w:rPr>
          <w:u w:val="single"/>
        </w:rPr>
        <w:t>Kh</w:t>
      </w:r>
      <w:r w:rsidRPr="008F03E5">
        <w:t>wání)</w:t>
      </w:r>
      <w:r w:rsidRPr="008F03E5">
        <w:tab/>
        <w:t xml:space="preserve">Pers. “lament recitation”.  A traditional recital by </w:t>
      </w:r>
      <w:r w:rsidRPr="008F03E5">
        <w:rPr>
          <w:u w:val="single"/>
        </w:rPr>
        <w:t>Sh</w:t>
      </w:r>
      <w:r w:rsidRPr="008F03E5">
        <w:t>í‘a Muslims of the sufferings of Imám Ḥusayn.</w:t>
      </w:r>
      <w:r w:rsidRPr="008F03E5">
        <w:rPr>
          <w:rFonts w:eastAsia="Times New Roman"/>
        </w:rPr>
        <w:t xml:space="preserve">  Note:  </w:t>
      </w:r>
      <w:r w:rsidRPr="008F03E5">
        <w:t xml:space="preserve">since a </w:t>
      </w:r>
      <w:r w:rsidRPr="008F03E5">
        <w:rPr>
          <w:rtl/>
        </w:rPr>
        <w:t>و</w:t>
      </w:r>
      <w:r w:rsidRPr="008F03E5">
        <w:t xml:space="preserve"> (wáw) after a </w:t>
      </w:r>
      <w:r w:rsidRPr="008F03E5">
        <w:rPr>
          <w:rtl/>
        </w:rPr>
        <w:t>خ</w:t>
      </w:r>
      <w:r w:rsidRPr="008F03E5">
        <w:t xml:space="preserve"> (</w:t>
      </w:r>
      <w:r w:rsidRPr="008F03E5">
        <w:rPr>
          <w:u w:val="single"/>
        </w:rPr>
        <w:t>kh</w:t>
      </w:r>
      <w:r w:rsidRPr="008F03E5">
        <w:t xml:space="preserve">) may not be pronounced, may be written as </w:t>
      </w:r>
      <w:r w:rsidRPr="008F03E5">
        <w:rPr>
          <w:rFonts w:eastAsia="Times New Roman"/>
        </w:rPr>
        <w:t>r</w:t>
      </w:r>
      <w:r w:rsidRPr="008F03E5">
        <w:t>awḍa</w:t>
      </w:r>
      <w:r w:rsidRPr="008F03E5">
        <w:rPr>
          <w:rFonts w:eastAsia="Times New Roman"/>
        </w:rPr>
        <w:t>-</w:t>
      </w:r>
      <w:r w:rsidRPr="008F03E5">
        <w:rPr>
          <w:u w:val="single"/>
        </w:rPr>
        <w:t>kh</w:t>
      </w:r>
      <w:r w:rsidRPr="008F03E5">
        <w:t>ání (see PDC p. 93).</w:t>
      </w:r>
    </w:p>
    <w:p w14:paraId="71842B3A" w14:textId="77777777" w:rsidR="00625A5B" w:rsidRPr="008F03E5" w:rsidRDefault="00625A5B" w:rsidP="00E54219">
      <w:pPr>
        <w:pStyle w:val="Translit"/>
      </w:pPr>
      <w:r w:rsidRPr="008F03E5">
        <w:t>Rawdat as-Safa, Rawdatu’s-Safa</w:t>
      </w:r>
      <w:r w:rsidRPr="008F03E5">
        <w:tab/>
        <w:t>Rawḍat aṣ-Ṣafá, Pers. Rawḍatu’ṣ-Ṣafá</w:t>
      </w:r>
      <w:r w:rsidRPr="008F03E5">
        <w:tab/>
        <w:t xml:space="preserve">Gardens of Purity.  </w:t>
      </w:r>
      <w:r w:rsidRPr="008F03E5">
        <w:rPr>
          <w:i/>
          <w:iCs/>
        </w:rPr>
        <w:t>Tárí</w:t>
      </w:r>
      <w:r w:rsidRPr="008F03E5">
        <w:rPr>
          <w:i/>
          <w:iCs/>
          <w:u w:val="single"/>
        </w:rPr>
        <w:t>kh</w:t>
      </w:r>
      <w:r w:rsidRPr="008F03E5">
        <w:rPr>
          <w:i/>
          <w:iCs/>
        </w:rPr>
        <w:t xml:space="preserve"> </w:t>
      </w:r>
      <w:r>
        <w:rPr>
          <w:i/>
          <w:iCs/>
        </w:rPr>
        <w:t>R</w:t>
      </w:r>
      <w:r w:rsidRPr="008F03E5">
        <w:rPr>
          <w:i/>
          <w:iCs/>
        </w:rPr>
        <w:t>awḍatu’s-Ṣafáy-i-Náṣirí</w:t>
      </w:r>
      <w:r w:rsidRPr="008F03E5">
        <w:t xml:space="preserve"> by Riḍá Qulí </w:t>
      </w:r>
      <w:r w:rsidRPr="008F03E5">
        <w:rPr>
          <w:u w:val="single"/>
        </w:rPr>
        <w:t>Kh</w:t>
      </w:r>
      <w:r w:rsidRPr="008F03E5">
        <w:t>án Hidáyat</w:t>
      </w:r>
    </w:p>
    <w:p w14:paraId="767B4A80" w14:textId="77777777" w:rsidR="00625A5B" w:rsidRPr="008F03E5" w:rsidRDefault="00625A5B" w:rsidP="00FB1B37">
      <w:pPr>
        <w:pStyle w:val="Translit"/>
      </w:pPr>
      <w:r w:rsidRPr="008F03E5">
        <w:t>Rawdiy-i-Kafi</w:t>
      </w:r>
      <w:r w:rsidRPr="008F03E5">
        <w:tab/>
        <w:t>Rawḍiy-i-Káfí</w:t>
      </w:r>
      <w:r w:rsidRPr="008F03E5">
        <w:tab/>
      </w:r>
      <w:r w:rsidRPr="00FB1B37">
        <w:rPr>
          <w:i/>
          <w:iCs/>
        </w:rPr>
        <w:t>Raw</w:t>
      </w:r>
      <w:r w:rsidRPr="00D87405">
        <w:rPr>
          <w:i/>
          <w:iCs/>
        </w:rPr>
        <w:t>ḍ</w:t>
      </w:r>
      <w:r w:rsidRPr="00FB1B37">
        <w:rPr>
          <w:i/>
          <w:iCs/>
        </w:rPr>
        <w:t>iy-i-K</w:t>
      </w:r>
      <w:r w:rsidRPr="00D87405">
        <w:rPr>
          <w:i/>
          <w:iCs/>
        </w:rPr>
        <w:t>á</w:t>
      </w:r>
      <w:r w:rsidRPr="00FB1B37">
        <w:rPr>
          <w:i/>
          <w:iCs/>
        </w:rPr>
        <w:t>f</w:t>
      </w:r>
      <w:r w:rsidRPr="00D87405">
        <w:rPr>
          <w:i/>
          <w:iCs/>
        </w:rPr>
        <w:t>í</w:t>
      </w:r>
      <w:r w:rsidRPr="00FB1B37">
        <w:t>, concerning Zawrá’ (</w:t>
      </w:r>
      <w:r>
        <w:t xml:space="preserve">the </w:t>
      </w:r>
      <w:r w:rsidRPr="00FB1B37">
        <w:t>western side of Ba</w:t>
      </w:r>
      <w:r w:rsidRPr="00FB1B37">
        <w:rPr>
          <w:u w:val="single"/>
        </w:rPr>
        <w:t>gh</w:t>
      </w:r>
      <w:r w:rsidRPr="00FB1B37">
        <w:t>dád)</w:t>
      </w:r>
    </w:p>
    <w:p w14:paraId="72E6090F" w14:textId="77777777" w:rsidR="00625A5B" w:rsidRPr="008F03E5" w:rsidRDefault="00625A5B" w:rsidP="006034C6">
      <w:pPr>
        <w:pStyle w:val="Translit"/>
      </w:pPr>
      <w:r w:rsidRPr="008F03E5">
        <w:t>Rawh (Rauh)</w:t>
      </w:r>
      <w:r w:rsidRPr="008F03E5">
        <w:tab/>
        <w:t>Rawḥ</w:t>
      </w:r>
      <w:r w:rsidRPr="008F03E5">
        <w:tab/>
        <w:t>refreshment</w:t>
      </w:r>
    </w:p>
    <w:p w14:paraId="7DF66853" w14:textId="77777777" w:rsidR="00625A5B" w:rsidRPr="008F03E5" w:rsidRDefault="00625A5B" w:rsidP="00166A3E">
      <w:pPr>
        <w:pStyle w:val="Translit"/>
      </w:pPr>
      <w:r w:rsidRPr="008F03E5">
        <w:t>Rawh wa rayhan</w:t>
      </w:r>
      <w:r w:rsidRPr="008F03E5">
        <w:tab/>
        <w:t>Rawḥ wa rayḥán</w:t>
      </w:r>
      <w:r w:rsidRPr="008F03E5">
        <w:tab/>
        <w:t>‘with joy and radiance’</w:t>
      </w:r>
    </w:p>
    <w:p w14:paraId="710D3D4C" w14:textId="77777777" w:rsidR="00625A5B" w:rsidRPr="008F03E5" w:rsidRDefault="00625A5B" w:rsidP="00CE532F">
      <w:pPr>
        <w:pStyle w:val="Translit"/>
      </w:pPr>
      <w:r w:rsidRPr="008F03E5">
        <w:t>Rawha’ (Rauha’, Roha, Rooha)</w:t>
      </w:r>
      <w:r w:rsidRPr="008F03E5">
        <w:tab/>
        <w:t>Rawḥá’</w:t>
      </w:r>
      <w:r w:rsidRPr="008F03E5">
        <w:tab/>
        <w:t>related to Ráḥa[h] (“rest”).  The eastern side of Ba</w:t>
      </w:r>
      <w:r w:rsidRPr="008F03E5">
        <w:rPr>
          <w:u w:val="single"/>
        </w:rPr>
        <w:t>gh</w:t>
      </w:r>
      <w:r w:rsidRPr="008F03E5">
        <w:t xml:space="preserve">dád (split by the Tigris River) was known (by Persians) as ar-Rawḥá’ (supposedly the wide-spreading or the shallow).  See az-Zawrá’.  ar-Rawḥá’, a small place 62 km </w:t>
      </w:r>
      <w:r w:rsidRPr="008F03E5">
        <w:rPr>
          <w:sz w:val="16"/>
          <w:szCs w:val="16"/>
        </w:rPr>
        <w:t>SW</w:t>
      </w:r>
      <w:r w:rsidRPr="008F03E5">
        <w:t xml:space="preserve"> of Medina, was named after a king from Yemen who is said to have passed by and stayed there.  There is a well, Bi’r ar-Rawḥá’ (Bi’r ar-Rawḥá’, “Well of Souls”, 24.078195, 39.161778), and nearby is Bi’r a</w:t>
      </w:r>
      <w:r w:rsidRPr="008F03E5">
        <w:rPr>
          <w:u w:val="single"/>
        </w:rPr>
        <w:t>sh</w:t>
      </w:r>
      <w:r w:rsidRPr="008F03E5">
        <w:t>-</w:t>
      </w:r>
      <w:r w:rsidRPr="008F03E5">
        <w:rPr>
          <w:u w:val="single"/>
        </w:rPr>
        <w:t>Sh</w:t>
      </w:r>
      <w:r w:rsidRPr="008F03E5">
        <w:t>ifá’ (“Healing well”, or also Bi’r ar-Rawḥá’) (24.077791, 39.162389).  Here Muḥammad and His companions rested on their march to Badr (</w:t>
      </w:r>
      <w:r w:rsidRPr="008F03E5">
        <w:rPr>
          <w:sz w:val="16"/>
          <w:szCs w:val="16"/>
        </w:rPr>
        <w:t>CE</w:t>
      </w:r>
      <w:r w:rsidRPr="008F03E5">
        <w:t xml:space="preserve"> 624).  Abú-Sufyán and the Meccans also rested here after the battle of </w:t>
      </w:r>
      <w:r w:rsidRPr="008F03E5">
        <w:rPr>
          <w:rFonts w:eastAsia="PMingLiU"/>
          <w:lang w:eastAsia="zh-TW"/>
        </w:rPr>
        <w:t>U</w:t>
      </w:r>
      <w:r w:rsidRPr="008F03E5">
        <w:t>ḥ</w:t>
      </w:r>
      <w:r w:rsidRPr="008F03E5">
        <w:rPr>
          <w:rFonts w:eastAsia="PMingLiU"/>
          <w:lang w:eastAsia="zh-TW"/>
        </w:rPr>
        <w:t>ud (</w:t>
      </w:r>
      <w:r w:rsidRPr="008F03E5">
        <w:rPr>
          <w:sz w:val="16"/>
          <w:szCs w:val="16"/>
        </w:rPr>
        <w:t>CE</w:t>
      </w:r>
      <w:r w:rsidRPr="008F03E5">
        <w:rPr>
          <w:rFonts w:eastAsia="PMingLiU"/>
          <w:lang w:eastAsia="zh-TW"/>
        </w:rPr>
        <w:t xml:space="preserve"> </w:t>
      </w:r>
      <w:r w:rsidRPr="008F03E5">
        <w:t>625</w:t>
      </w:r>
      <w:r w:rsidRPr="008F03E5">
        <w:rPr>
          <w:rFonts w:eastAsia="PMingLiU"/>
          <w:lang w:eastAsia="zh-TW"/>
        </w:rPr>
        <w:t>).</w:t>
      </w:r>
    </w:p>
    <w:p w14:paraId="23F58446" w14:textId="77777777" w:rsidR="00625A5B" w:rsidRPr="008F03E5" w:rsidRDefault="00625A5B" w:rsidP="00DE73AC">
      <w:pPr>
        <w:pStyle w:val="Translit"/>
      </w:pPr>
      <w:r w:rsidRPr="008F03E5">
        <w:t>Rawhani (Rauhani)</w:t>
      </w:r>
      <w:r w:rsidRPr="008F03E5">
        <w:tab/>
      </w:r>
      <w:bookmarkStart w:id="126" w:name="_Hlk60565148"/>
      <w:r w:rsidRPr="008F03E5">
        <w:t>Rawḥání</w:t>
      </w:r>
      <w:bookmarkEnd w:id="126"/>
      <w:r w:rsidRPr="008F03E5">
        <w:tab/>
        <w:t>Pers. good, agreeable, clean and pure (place)</w:t>
      </w:r>
    </w:p>
    <w:p w14:paraId="1CE0280E" w14:textId="77777777" w:rsidR="00625A5B" w:rsidRPr="008F03E5" w:rsidRDefault="00625A5B" w:rsidP="005D7309">
      <w:pPr>
        <w:pStyle w:val="Translit"/>
        <w:rPr>
          <w:rFonts w:eastAsia="PMingLiU"/>
          <w:lang w:eastAsia="zh-TW"/>
        </w:rPr>
      </w:pPr>
      <w:r w:rsidRPr="008F03E5">
        <w:t>Rawi, Rawiyan</w:t>
      </w:r>
      <w:r w:rsidRPr="008F03E5">
        <w:tab/>
        <w:t>Ráwí, pl. Ráwiyán</w:t>
      </w:r>
      <w:r w:rsidRPr="008F03E5">
        <w:tab/>
        <w:t>one who narrates the words of another, who alleges that he saiḍ so and so; a historian, a narrator, teller</w:t>
      </w:r>
    </w:p>
    <w:p w14:paraId="5E6D6485" w14:textId="77777777" w:rsidR="00625A5B" w:rsidRPr="008F03E5" w:rsidRDefault="00625A5B" w:rsidP="005D7309">
      <w:pPr>
        <w:pStyle w:val="Translit"/>
        <w:rPr>
          <w:rFonts w:eastAsia="PMingLiU"/>
          <w:lang w:eastAsia="zh-TW"/>
        </w:rPr>
      </w:pPr>
      <w:r w:rsidRPr="008F03E5">
        <w:rPr>
          <w:rFonts w:eastAsia="PMingLiU"/>
          <w:lang w:eastAsia="zh-TW"/>
        </w:rPr>
        <w:t>Rawiy</w:t>
      </w:r>
      <w:r w:rsidRPr="008F03E5">
        <w:rPr>
          <w:rFonts w:eastAsia="PMingLiU"/>
          <w:lang w:eastAsia="zh-TW"/>
        </w:rPr>
        <w:tab/>
        <w:t>Rawíy</w:t>
      </w:r>
      <w:r w:rsidRPr="008F03E5">
        <w:rPr>
          <w:rFonts w:eastAsia="PMingLiU"/>
          <w:lang w:eastAsia="zh-TW"/>
        </w:rPr>
        <w:tab/>
        <w:t>final letter, rhyming letter (in Arabic verse); rhyme</w:t>
      </w:r>
    </w:p>
    <w:p w14:paraId="25B62E71" w14:textId="77777777" w:rsidR="00625A5B" w:rsidRPr="008F03E5" w:rsidRDefault="00625A5B" w:rsidP="000F3C08">
      <w:pPr>
        <w:pStyle w:val="Translit"/>
        <w:rPr>
          <w:rFonts w:eastAsia="PMingLiU"/>
          <w:lang w:eastAsia="zh-TW"/>
        </w:rPr>
      </w:pPr>
      <w:r w:rsidRPr="008F03E5">
        <w:rPr>
          <w:rFonts w:eastAsia="PMingLiU"/>
          <w:lang w:eastAsia="zh-TW"/>
        </w:rPr>
        <w:t>Rawshan (Raushan)</w:t>
      </w:r>
      <w:r w:rsidRPr="008F03E5">
        <w:rPr>
          <w:rFonts w:eastAsia="PMingLiU"/>
          <w:lang w:eastAsia="zh-TW"/>
        </w:rPr>
        <w:tab/>
        <w:t>Raw</w:t>
      </w:r>
      <w:r w:rsidRPr="008F03E5">
        <w:rPr>
          <w:rFonts w:eastAsia="PMingLiU"/>
          <w:u w:val="single"/>
          <w:lang w:eastAsia="zh-TW"/>
        </w:rPr>
        <w:t>sh</w:t>
      </w:r>
      <w:r w:rsidRPr="008F03E5">
        <w:rPr>
          <w:rFonts w:eastAsia="PMingLiU"/>
          <w:lang w:eastAsia="zh-TW"/>
        </w:rPr>
        <w:t>an, pl. Rawá</w:t>
      </w:r>
      <w:r w:rsidRPr="008F03E5">
        <w:rPr>
          <w:rFonts w:eastAsia="PMingLiU"/>
          <w:u w:val="single"/>
          <w:lang w:eastAsia="zh-TW"/>
        </w:rPr>
        <w:t>sh</w:t>
      </w:r>
      <w:r w:rsidRPr="008F03E5">
        <w:rPr>
          <w:rFonts w:eastAsia="PMingLiU"/>
          <w:lang w:eastAsia="zh-TW"/>
        </w:rPr>
        <w:t>in</w:t>
      </w:r>
      <w:r w:rsidRPr="008F03E5">
        <w:rPr>
          <w:rFonts w:eastAsia="PMingLiU"/>
          <w:lang w:eastAsia="zh-TW"/>
        </w:rPr>
        <w:tab/>
        <w:t>skylight, scuttle</w:t>
      </w:r>
    </w:p>
    <w:p w14:paraId="59205CA5" w14:textId="77777777" w:rsidR="00625A5B" w:rsidRPr="008F03E5" w:rsidRDefault="00625A5B" w:rsidP="00F32E96">
      <w:pPr>
        <w:pStyle w:val="Translit"/>
        <w:rPr>
          <w:rFonts w:eastAsia="PMingLiU"/>
          <w:lang w:eastAsia="zh-TW"/>
        </w:rPr>
      </w:pPr>
      <w:r w:rsidRPr="008F03E5">
        <w:rPr>
          <w:rFonts w:eastAsia="PMingLiU"/>
          <w:lang w:eastAsia="zh-TW"/>
        </w:rPr>
        <w:t>Rawshani</w:t>
      </w:r>
      <w:r w:rsidRPr="008F03E5">
        <w:tab/>
      </w:r>
      <w:r w:rsidRPr="008F03E5">
        <w:rPr>
          <w:rFonts w:eastAsia="PMingLiU"/>
          <w:lang w:eastAsia="zh-TW"/>
        </w:rPr>
        <w:t>Raw</w:t>
      </w:r>
      <w:r w:rsidRPr="008F03E5">
        <w:rPr>
          <w:u w:val="single"/>
        </w:rPr>
        <w:t>sh</w:t>
      </w:r>
      <w:r w:rsidRPr="008F03E5">
        <w:rPr>
          <w:rFonts w:eastAsia="PMingLiU"/>
          <w:lang w:eastAsia="zh-TW"/>
        </w:rPr>
        <w:t>aní</w:t>
      </w:r>
      <w:r w:rsidRPr="008F03E5">
        <w:tab/>
      </w:r>
    </w:p>
    <w:p w14:paraId="498F1D9A" w14:textId="77777777" w:rsidR="00625A5B" w:rsidRPr="008F03E5" w:rsidRDefault="00625A5B" w:rsidP="006F133C">
      <w:pPr>
        <w:pStyle w:val="Translit"/>
      </w:pPr>
      <w:r w:rsidRPr="008F03E5">
        <w:t>Rawza</w:t>
      </w:r>
      <w:r w:rsidRPr="008F03E5">
        <w:tab/>
        <w:t>Rawza[h]</w:t>
      </w:r>
      <w:r w:rsidRPr="008F03E5">
        <w:tab/>
        <w:t>(Rauza, Rouza, Roza Rozza, Roseh) Perso-Arabic term (“shrine” or “tomb”) derived through Persian from the Arabic rawḍah, but extended to mean a tomb surrounded by a garden as at Agra and Aurangabad.  The Taj Mahal has been described as a rawza-i munawwára (Perso-Arabic:  rawḍah-i-munawwárah), meaning the illumined or illustrious tomb in a garden.</w:t>
      </w:r>
    </w:p>
    <w:p w14:paraId="126F79DC" w14:textId="77777777" w:rsidR="00625A5B" w:rsidRPr="008F03E5" w:rsidRDefault="00625A5B" w:rsidP="001773CB">
      <w:pPr>
        <w:pStyle w:val="Translit"/>
      </w:pPr>
      <w:r w:rsidRPr="008F03E5">
        <w:t>Raya, Rayat</w:t>
      </w:r>
      <w:r w:rsidRPr="008F03E5">
        <w:tab/>
        <w:t>Ráya[h or t], pl. Ráyát</w:t>
      </w:r>
      <w:r w:rsidRPr="008F03E5">
        <w:tab/>
        <w:t>banner, flag.  ar-Ráyat as-Sawdá’ (“The Black Banner” or “The Black Standard”) also known as ar-Ráyat al-‘Uqáb (“The Banner of the Eagle”) or simply as</w:t>
      </w:r>
      <w:r w:rsidRPr="008F03E5">
        <w:rPr>
          <w:cs/>
        </w:rPr>
        <w:t>‎</w:t>
      </w:r>
      <w:r w:rsidRPr="008F03E5">
        <w:rPr>
          <w:rtl/>
          <w:cs/>
        </w:rPr>
        <w:t xml:space="preserve"> ar-Ráyah (</w:t>
      </w:r>
      <w:r w:rsidRPr="008F03E5">
        <w:t>“The Banner”) is one of the flags flown by Muḥammad in Muslim tradition.  It was used by Abú Muslim in his uprising leading to the Abbasid Revolution in 747 and is therefore associated with the Abbasid Caliphate in particular.  It is also an Islamic symbol heralding the advent of the Mahdí—from the ḥadí</w:t>
      </w:r>
      <w:r w:rsidRPr="008F03E5">
        <w:rPr>
          <w:u w:val="single"/>
        </w:rPr>
        <w:t>th</w:t>
      </w:r>
      <w:r w:rsidRPr="008F03E5">
        <w:t xml:space="preserve"> that whenever it was unfurled at </w:t>
      </w:r>
      <w:r w:rsidRPr="008F03E5">
        <w:rPr>
          <w:u w:val="single"/>
        </w:rPr>
        <w:t>Kh</w:t>
      </w:r>
      <w:r w:rsidRPr="008F03E5">
        <w:t>urásán, it would signalize the advent of God’s new Revelation on earth.  Mullá Ḥusayn took a black flag from Ma</w:t>
      </w:r>
      <w:r w:rsidRPr="008F03E5">
        <w:rPr>
          <w:u w:val="single"/>
        </w:rPr>
        <w:t>sh</w:t>
      </w:r>
      <w:r w:rsidRPr="008F03E5">
        <w:t xml:space="preserve">had (now in Raḍawí </w:t>
      </w:r>
      <w:r w:rsidRPr="008F03E5">
        <w:rPr>
          <w:u w:val="single"/>
        </w:rPr>
        <w:t>Kh</w:t>
      </w:r>
      <w:r w:rsidRPr="008F03E5">
        <w:t xml:space="preserve">urásán Ústán, a province) to </w:t>
      </w:r>
      <w:r w:rsidRPr="008F03E5">
        <w:rPr>
          <w:u w:val="single"/>
        </w:rPr>
        <w:t>Sh</w:t>
      </w:r>
      <w:r w:rsidRPr="008F03E5">
        <w:t>ay</w:t>
      </w:r>
      <w:r w:rsidRPr="008F03E5">
        <w:rPr>
          <w:u w:val="single"/>
        </w:rPr>
        <w:t>kh</w:t>
      </w:r>
      <w:r w:rsidRPr="008F03E5">
        <w:t xml:space="preserve"> Ṭabarsí.</w:t>
      </w:r>
      <w:r>
        <w:t xml:space="preserve">  See </w:t>
      </w:r>
      <w:r w:rsidRPr="008F03E5">
        <w:rPr>
          <w:u w:val="single"/>
        </w:rPr>
        <w:t>Ch</w:t>
      </w:r>
      <w:r w:rsidRPr="008F03E5">
        <w:t>áwu</w:t>
      </w:r>
      <w:r w:rsidRPr="008F03E5">
        <w:rPr>
          <w:u w:val="single"/>
        </w:rPr>
        <w:t>sh</w:t>
      </w:r>
      <w:r w:rsidRPr="008263DB">
        <w:t>.</w:t>
      </w:r>
    </w:p>
    <w:p w14:paraId="59A2A963" w14:textId="77777777" w:rsidR="00625A5B" w:rsidRPr="008F03E5" w:rsidRDefault="00625A5B" w:rsidP="00E904B1">
      <w:pPr>
        <w:pStyle w:val="Translit"/>
      </w:pPr>
      <w:r w:rsidRPr="008F03E5">
        <w:t>Rayb (Raib)</w:t>
      </w:r>
      <w:r w:rsidRPr="008F03E5">
        <w:tab/>
        <w:t>Rayb</w:t>
      </w:r>
      <w:r w:rsidRPr="008F03E5">
        <w:tab/>
        <w:t>doubt; suspicion; uncertainty</w:t>
      </w:r>
    </w:p>
    <w:p w14:paraId="50492B35" w14:textId="77777777" w:rsidR="00625A5B" w:rsidRPr="008F03E5" w:rsidRDefault="00625A5B" w:rsidP="00EA64B2">
      <w:pPr>
        <w:pStyle w:val="Translit"/>
      </w:pPr>
      <w:r w:rsidRPr="002837CB">
        <w:t>Rayhan (Rauhan, Reyhan), Rayhana</w:t>
      </w:r>
      <w:r w:rsidRPr="002837CB">
        <w:tab/>
        <w:t xml:space="preserve">Rayḥán, fem. </w:t>
      </w:r>
      <w:r w:rsidRPr="008F03E5">
        <w:t>Rayḥána[h]</w:t>
      </w:r>
      <w:r w:rsidRPr="008F03E5">
        <w:tab/>
        <w:t>ease, fragrant herb, sweet basil.  Rayhána bint Zayd, a Jewish wife of Muḥammad.</w:t>
      </w:r>
    </w:p>
    <w:p w14:paraId="220B6DD7" w14:textId="77777777" w:rsidR="00625A5B" w:rsidRPr="008F03E5" w:rsidRDefault="00625A5B" w:rsidP="00864EE9">
      <w:pPr>
        <w:pStyle w:val="Translit"/>
        <w:rPr>
          <w:lang w:eastAsia="en-US"/>
        </w:rPr>
      </w:pPr>
      <w:r w:rsidRPr="008F03E5">
        <w:rPr>
          <w:lang w:eastAsia="en-US"/>
        </w:rPr>
        <w:t>Raytu’l-‘Ayn</w:t>
      </w:r>
      <w:r w:rsidRPr="008F03E5">
        <w:rPr>
          <w:lang w:eastAsia="en-US"/>
        </w:rPr>
        <w:tab/>
        <w:t>Ráytú’l-‘Ayn</w:t>
      </w:r>
      <w:r w:rsidRPr="008F03E5">
        <w:rPr>
          <w:lang w:eastAsia="en-US"/>
        </w:rPr>
        <w:tab/>
        <w:t>Pers. “vision of the eye”.  See Ra’y</w:t>
      </w:r>
    </w:p>
    <w:p w14:paraId="2B81A5ED" w14:textId="77777777" w:rsidR="00625A5B" w:rsidRPr="008F03E5" w:rsidRDefault="00625A5B" w:rsidP="00424031">
      <w:pPr>
        <w:pStyle w:val="Translit"/>
        <w:rPr>
          <w:lang w:eastAsia="en-US"/>
        </w:rPr>
      </w:pPr>
      <w:r w:rsidRPr="008F03E5">
        <w:rPr>
          <w:lang w:eastAsia="en-US"/>
        </w:rPr>
        <w:t>Raytu’llah</w:t>
      </w:r>
      <w:r w:rsidRPr="008F03E5">
        <w:rPr>
          <w:lang w:eastAsia="en-US"/>
        </w:rPr>
        <w:tab/>
        <w:t>Ráytú’lláh</w:t>
      </w:r>
      <w:r w:rsidRPr="008F03E5">
        <w:rPr>
          <w:lang w:eastAsia="en-US"/>
        </w:rPr>
        <w:tab/>
        <w:t>Pers. “I saw God”.  See Ra’y</w:t>
      </w:r>
    </w:p>
    <w:p w14:paraId="27C74041" w14:textId="77777777" w:rsidR="00625A5B" w:rsidRPr="008F03E5" w:rsidRDefault="00625A5B" w:rsidP="00DE71FD">
      <w:pPr>
        <w:pStyle w:val="Translit"/>
      </w:pPr>
      <w:r w:rsidRPr="008F03E5">
        <w:t>Rayy (Raz, Ray, Rey, Raghes)</w:t>
      </w:r>
      <w:r w:rsidRPr="008F03E5">
        <w:tab/>
        <w:t>Rayy</w:t>
      </w:r>
      <w:r w:rsidRPr="008F03E5">
        <w:tab/>
        <w:t xml:space="preserve">an ancient capital city of the Medes to the east of </w:t>
      </w:r>
      <w:r w:rsidRPr="008F03E5">
        <w:rPr>
          <w:u w:val="single"/>
        </w:rPr>
        <w:t>Sh</w:t>
      </w:r>
      <w:r w:rsidRPr="008F03E5">
        <w:t>ahr-i-Ray (</w:t>
      </w:r>
      <w:r w:rsidRPr="008F03E5">
        <w:rPr>
          <w:sz w:val="16"/>
          <w:szCs w:val="16"/>
        </w:rPr>
        <w:t>SE</w:t>
      </w:r>
      <w:r w:rsidRPr="008F03E5">
        <w:t xml:space="preserve"> Ṭihrán).  Ráz, an older name.</w:t>
      </w:r>
    </w:p>
    <w:p w14:paraId="21F8B836" w14:textId="77777777" w:rsidR="00625A5B" w:rsidRDefault="00625A5B" w:rsidP="001B6AA2">
      <w:pPr>
        <w:pStyle w:val="Translit"/>
      </w:pPr>
      <w:r w:rsidRPr="008F03E5">
        <w:t>Razaqa</w:t>
      </w:r>
      <w:r w:rsidRPr="008F03E5">
        <w:tab/>
        <w:t>Razaqa</w:t>
      </w:r>
      <w:r w:rsidRPr="008F03E5">
        <w:tab/>
        <w:t>to provide with the means of subsistence (to someone; said of God); to bestow (upon someone something, material or spiritual possessions; said of God), endow (someone with); to bless (someone with, especially with a child)</w:t>
      </w:r>
    </w:p>
    <w:p w14:paraId="5DBFA4BD" w14:textId="77777777" w:rsidR="00625A5B" w:rsidRPr="008F03E5" w:rsidRDefault="00625A5B" w:rsidP="002218D2">
      <w:pPr>
        <w:pStyle w:val="Translit"/>
      </w:pPr>
      <w:r w:rsidRPr="008F03E5">
        <w:t>Razi</w:t>
      </w:r>
      <w:r w:rsidRPr="008F03E5">
        <w:tab/>
        <w:t>Rází</w:t>
      </w:r>
      <w:r w:rsidRPr="008F03E5">
        <w:tab/>
        <w:t>Pers. inhabitant of Ráz.  Abú Bakr Muḥammad Zakariyá Rází, also known Rhazes or Rasis (854–925), was a Persian polymath, physician, alchemist, philosopher, and important figure in the history of medicine. He also wrote on logic, astronomy and grammar.</w:t>
      </w:r>
    </w:p>
    <w:p w14:paraId="1C1FDE8C" w14:textId="77777777" w:rsidR="00625A5B" w:rsidRPr="008F03E5" w:rsidRDefault="00625A5B" w:rsidP="00BD5886">
      <w:pPr>
        <w:pStyle w:val="Translit"/>
      </w:pPr>
      <w:r w:rsidRPr="008F03E5">
        <w:t>Raziq</w:t>
      </w:r>
      <w:r w:rsidRPr="008F03E5">
        <w:tab/>
        <w:t>Ráziq</w:t>
      </w:r>
      <w:r w:rsidRPr="008F03E5">
        <w:tab/>
        <w:t>giver of the necessaries of life; providence.  ar-Ráziq, the Maintainer, the Provider (one of the 99 attributes of God)</w:t>
      </w:r>
    </w:p>
    <w:p w14:paraId="0DA96C51" w14:textId="77777777" w:rsidR="00625A5B" w:rsidRPr="008F03E5" w:rsidRDefault="00625A5B" w:rsidP="001B6AA2">
      <w:pPr>
        <w:pStyle w:val="Translit"/>
      </w:pPr>
      <w:r>
        <w:t>Razzaq</w:t>
      </w:r>
      <w:r>
        <w:tab/>
        <w:t>Razz</w:t>
      </w:r>
      <w:r w:rsidRPr="001B6AA2">
        <w:t>á</w:t>
      </w:r>
      <w:r>
        <w:t>q</w:t>
      </w:r>
      <w:r>
        <w:tab/>
      </w:r>
      <w:r w:rsidRPr="008F03E5">
        <w:t>dispenser, disposer of; an attribute of God, as the provider of the necessaries of life, the giver of daily bread; providence.</w:t>
      </w:r>
    </w:p>
    <w:p w14:paraId="37AD0F88" w14:textId="77777777" w:rsidR="00625A5B" w:rsidRPr="008F03E5" w:rsidRDefault="00625A5B" w:rsidP="00E42D88">
      <w:pPr>
        <w:pStyle w:val="Translit"/>
      </w:pPr>
      <w:r w:rsidRPr="008F03E5">
        <w:t>Ri’asa, Riyasa</w:t>
      </w:r>
      <w:r w:rsidRPr="008F03E5">
        <w:tab/>
        <w:t>Ri’ása, Riyása</w:t>
      </w:r>
      <w:r w:rsidRPr="008F03E5">
        <w:tab/>
        <w:t>leadership, leading position; management, direction; chairmanship; presidency, presidentship; supervision, superintendency</w:t>
      </w:r>
    </w:p>
    <w:p w14:paraId="05399F6A" w14:textId="77777777" w:rsidR="00625A5B" w:rsidRPr="008F03E5" w:rsidRDefault="00625A5B" w:rsidP="000C0BE7">
      <w:pPr>
        <w:pStyle w:val="Translit"/>
      </w:pPr>
      <w:r w:rsidRPr="008F03E5">
        <w:t>Riban (Riba’), Ribawan, Ribayan</w:t>
      </w:r>
      <w:r w:rsidRPr="008F03E5">
        <w:tab/>
        <w:t>Riban (Riba’), dual Ribawán (or Ribayán)</w:t>
      </w:r>
      <w:r w:rsidRPr="008F03E5">
        <w:tab/>
        <w:t>interest, but usually usurious interest; usury; gain in selling, profit.  Qur’án 3:130, 4:161, 30:39 and most importantly 2:275–2:280.  Muslims generally interpret usury as including all interest.  However, according to the Báb (</w:t>
      </w:r>
      <w:r w:rsidRPr="008F03E5">
        <w:rPr>
          <w:i/>
          <w:iCs/>
        </w:rPr>
        <w:t>Persian Bayan</w:t>
      </w:r>
      <w:r w:rsidRPr="008F03E5">
        <w:t xml:space="preserve">, p. 181), the Qur’án does not forbid interest:  “Most important, he [the Báb] denied the validity [of the generally accepted interpretation] of the Quranic law </w:t>
      </w:r>
      <w:r w:rsidRPr="008F03E5">
        <w:rPr>
          <w:lang w:eastAsia="en-US"/>
        </w:rPr>
        <w:t>against usury, maintaining that interest on money may be</w:t>
      </w:r>
      <w:r w:rsidRPr="008F03E5">
        <w:t xml:space="preserve"> </w:t>
      </w:r>
      <w:r w:rsidRPr="008F03E5">
        <w:rPr>
          <w:lang w:eastAsia="en-US"/>
        </w:rPr>
        <w:t>taken</w:t>
      </w:r>
      <w:r w:rsidRPr="008F03E5">
        <w:t xml:space="preserve">.”  Vahid Rafati, </w:t>
      </w:r>
      <w:r w:rsidRPr="008F03E5">
        <w:rPr>
          <w:i/>
          <w:iCs/>
        </w:rPr>
        <w:t xml:space="preserve">The development of </w:t>
      </w:r>
      <w:r w:rsidRPr="00AB175E">
        <w:rPr>
          <w:i/>
          <w:iCs/>
          <w:u w:val="single"/>
        </w:rPr>
        <w:t>Sh</w:t>
      </w:r>
      <w:r w:rsidRPr="008F03E5">
        <w:rPr>
          <w:i/>
          <w:iCs/>
        </w:rPr>
        <w:t>ay</w:t>
      </w:r>
      <w:r w:rsidRPr="00AB175E">
        <w:rPr>
          <w:i/>
          <w:iCs/>
          <w:u w:val="single"/>
        </w:rPr>
        <w:t>kh</w:t>
      </w:r>
      <w:r w:rsidRPr="008F03E5">
        <w:rPr>
          <w:i/>
          <w:iCs/>
        </w:rPr>
        <w:t>í thought in Shí‘í Islam</w:t>
      </w:r>
      <w:r w:rsidRPr="008F03E5">
        <w:t xml:space="preserve">, p. 152.  See </w:t>
      </w:r>
      <w:r w:rsidRPr="008F03E5">
        <w:rPr>
          <w:lang w:eastAsia="en-US"/>
        </w:rPr>
        <w:t>fá’id, ribaw</w:t>
      </w:r>
      <w:r w:rsidRPr="008F03E5">
        <w:t>í,</w:t>
      </w:r>
      <w:r w:rsidRPr="008F03E5">
        <w:rPr>
          <w:lang w:eastAsia="en-US"/>
        </w:rPr>
        <w:t xml:space="preserve"> and the </w:t>
      </w:r>
      <w:r w:rsidRPr="008F03E5">
        <w:t>root rabá</w:t>
      </w:r>
      <w:r w:rsidRPr="008F03E5">
        <w:rPr>
          <w:lang w:eastAsia="en-US"/>
        </w:rPr>
        <w:t>.</w:t>
      </w:r>
    </w:p>
    <w:p w14:paraId="0EA5522B" w14:textId="77777777" w:rsidR="00625A5B" w:rsidRPr="008F03E5" w:rsidRDefault="00625A5B" w:rsidP="00AC0AF8">
      <w:pPr>
        <w:pStyle w:val="Translit"/>
      </w:pPr>
      <w:r w:rsidRPr="001058BA">
        <w:rPr>
          <w:lang w:val="en-AU"/>
        </w:rPr>
        <w:t>Ribat (Robat, Rubat), Ribatat, Rubut</w:t>
      </w:r>
      <w:r w:rsidRPr="001058BA">
        <w:rPr>
          <w:lang w:val="en-AU"/>
        </w:rPr>
        <w:tab/>
        <w:t xml:space="preserve">Ribáṭ, pl. </w:t>
      </w:r>
      <w:r w:rsidRPr="008F03E5">
        <w:t>Ribáṭát, Rubuṭ</w:t>
      </w:r>
      <w:r w:rsidRPr="008F03E5">
        <w:tab/>
        <w:t>ribbon, band; ligature, ligament; bandage; dressing (of a wound); bond, fetter, shackle;—pl. inn for travellers, caravansary; hospice (for Sufis or the poor).</w:t>
      </w:r>
    </w:p>
    <w:p w14:paraId="774DF8FC" w14:textId="77777777" w:rsidR="00625A5B" w:rsidRPr="008F03E5" w:rsidRDefault="00625A5B" w:rsidP="00D75F02">
      <w:pPr>
        <w:pStyle w:val="Translit"/>
      </w:pPr>
      <w:r w:rsidRPr="008F03E5">
        <w:t>Ribat</w:t>
      </w:r>
      <w:r>
        <w:t xml:space="preserve"> (Robat, Rubat)</w:t>
      </w:r>
      <w:r w:rsidRPr="008F03E5">
        <w:t>, Rubut, Arbita</w:t>
      </w:r>
      <w:r w:rsidRPr="008F03E5">
        <w:tab/>
        <w:t>Ribáṭ, pl. Ribát, Rubuṭ, Arbiṭa[h or t]</w:t>
      </w:r>
      <w:r w:rsidRPr="008F03E5">
        <w:tab/>
        <w:t>ribbon, band, lace; ligature, ligament; bandage; dressing (of a wound); bond, fetter, shackle;—pl. (ribát, rubuṭ) inn for travellers, caravanserai; hospice (for Sufis or the poor)</w:t>
      </w:r>
      <w:r>
        <w:t>.  Rub</w:t>
      </w:r>
      <w:r w:rsidRPr="00D75F02">
        <w:t>áṭ</w:t>
      </w:r>
      <w:r>
        <w:t xml:space="preserve"> Kar</w:t>
      </w:r>
      <w:r w:rsidRPr="00D75F02">
        <w:t>í</w:t>
      </w:r>
      <w:r>
        <w:t>m is a city (</w:t>
      </w:r>
      <w:r w:rsidRPr="00D75F02">
        <w:t>35.471603, 51.084752</w:t>
      </w:r>
      <w:r>
        <w:t xml:space="preserve">) 36 km </w:t>
      </w:r>
      <w:r w:rsidRPr="00BC5FC2">
        <w:rPr>
          <w:sz w:val="16"/>
          <w:szCs w:val="16"/>
        </w:rPr>
        <w:t>SW</w:t>
      </w:r>
      <w:r>
        <w:t xml:space="preserve"> of </w:t>
      </w:r>
      <w:r w:rsidRPr="00D75F02">
        <w:t>Ṭ</w:t>
      </w:r>
      <w:r>
        <w:t>ihr</w:t>
      </w:r>
      <w:r w:rsidRPr="00D75F02">
        <w:t>á</w:t>
      </w:r>
      <w:r>
        <w:t>n.</w:t>
      </w:r>
    </w:p>
    <w:p w14:paraId="0555D2B0" w14:textId="77777777" w:rsidR="00625A5B" w:rsidRPr="008F03E5" w:rsidRDefault="00625A5B" w:rsidP="000C0BE7">
      <w:pPr>
        <w:pStyle w:val="Translit"/>
      </w:pPr>
      <w:r w:rsidRPr="008F03E5">
        <w:t>Ribawi</w:t>
      </w:r>
      <w:r w:rsidRPr="008F03E5">
        <w:tab/>
        <w:t>Ribawí</w:t>
      </w:r>
      <w:r w:rsidRPr="008F03E5">
        <w:tab/>
        <w:t>usurious</w:t>
      </w:r>
    </w:p>
    <w:p w14:paraId="48805612" w14:textId="77777777" w:rsidR="00625A5B" w:rsidRPr="008F03E5" w:rsidRDefault="00625A5B" w:rsidP="00E52C63">
      <w:pPr>
        <w:pStyle w:val="Translit"/>
      </w:pPr>
      <w:r w:rsidRPr="008F03E5">
        <w:t>Rida’</w:t>
      </w:r>
      <w:r w:rsidRPr="008F03E5">
        <w:tab/>
        <w:t>Riḍá‘</w:t>
      </w:r>
      <w:r w:rsidRPr="008F03E5">
        <w:tab/>
        <w:t>foster relationship</w:t>
      </w:r>
    </w:p>
    <w:p w14:paraId="7E72C9DA" w14:textId="77777777" w:rsidR="00625A5B" w:rsidRDefault="00625A5B" w:rsidP="006D6352">
      <w:pPr>
        <w:pStyle w:val="Translit"/>
      </w:pPr>
      <w:r>
        <w:t>Rida’, Ardiya</w:t>
      </w:r>
      <w:r>
        <w:tab/>
        <w:t>R</w:t>
      </w:r>
      <w:r w:rsidRPr="006D6352">
        <w:t>id</w:t>
      </w:r>
      <w:r>
        <w:t>á</w:t>
      </w:r>
      <w:r w:rsidRPr="006D6352">
        <w:t>’</w:t>
      </w:r>
      <w:r>
        <w:t>,</w:t>
      </w:r>
      <w:r w:rsidRPr="006D6352">
        <w:t xml:space="preserve"> pl. </w:t>
      </w:r>
      <w:r>
        <w:t>A</w:t>
      </w:r>
      <w:r w:rsidRPr="006D6352">
        <w:t>rdiya</w:t>
      </w:r>
      <w:r>
        <w:tab/>
      </w:r>
      <w:r w:rsidRPr="006D6352">
        <w:t>loose outer garment, cloak, robe; (lady’s) dress, gown; attire, costume</w:t>
      </w:r>
    </w:p>
    <w:p w14:paraId="14B69DD2" w14:textId="77777777" w:rsidR="00625A5B" w:rsidRPr="008F03E5" w:rsidRDefault="00625A5B" w:rsidP="00A60C68">
      <w:pPr>
        <w:pStyle w:val="Translit"/>
      </w:pPr>
      <w:r w:rsidRPr="008F03E5">
        <w:t>Rida’, Riza’</w:t>
      </w:r>
      <w:r w:rsidRPr="008F03E5">
        <w:tab/>
        <w:t>Riḍá’, Pers. Riẓá’ &amp; Riḍá</w:t>
      </w:r>
      <w:r w:rsidRPr="008F03E5">
        <w:tab/>
        <w:t>(Pers. “Reza”) contentment, contentedness, satisfaction; agreement, consent, assent, acceptance, approval, sanction; propitiation, conciliation.  “good-pleasure”.  Mystical station in which one finds absolute peace and inner pleasure in relation to life in general.</w:t>
      </w:r>
    </w:p>
    <w:p w14:paraId="3CD12AE0" w14:textId="77777777" w:rsidR="00625A5B" w:rsidRPr="008F03E5" w:rsidRDefault="00625A5B" w:rsidP="00C6757F">
      <w:pPr>
        <w:pStyle w:val="Translit"/>
      </w:pPr>
      <w:r w:rsidRPr="008F03E5">
        <w:t>Rida’i, Riday</w:t>
      </w:r>
      <w:r w:rsidRPr="008F03E5">
        <w:tab/>
        <w:t>Riḍá’í (Riḍáy)</w:t>
      </w:r>
      <w:r w:rsidRPr="008F03E5">
        <w:tab/>
        <w:t>Pers. (Rezaei, Rezaee, Rezai, Rezaie, Rezayee, or Rezayi) “of Riḍá’ (Reza)”</w:t>
      </w:r>
    </w:p>
    <w:p w14:paraId="3F66A5F2" w14:textId="77777777" w:rsidR="00625A5B" w:rsidRPr="008F03E5" w:rsidRDefault="00625A5B" w:rsidP="00F66D4B">
      <w:pPr>
        <w:pStyle w:val="Translit"/>
        <w:rPr>
          <w:rFonts w:eastAsia="PMingLiU"/>
          <w:lang w:eastAsia="zh-TW"/>
        </w:rPr>
      </w:pPr>
      <w:r w:rsidRPr="008F03E5">
        <w:rPr>
          <w:rFonts w:eastAsia="PMingLiU"/>
          <w:lang w:eastAsia="zh-TW"/>
        </w:rPr>
        <w:t>R</w:t>
      </w:r>
      <w:r>
        <w:rPr>
          <w:rFonts w:eastAsia="PMingLiU"/>
          <w:lang w:eastAsia="zh-TW"/>
        </w:rPr>
        <w:t>i</w:t>
      </w:r>
      <w:r w:rsidRPr="008F03E5">
        <w:rPr>
          <w:rFonts w:eastAsia="PMingLiU"/>
          <w:lang w:eastAsia="zh-TW"/>
        </w:rPr>
        <w:t>d</w:t>
      </w:r>
      <w:r>
        <w:rPr>
          <w:rFonts w:eastAsia="PMingLiU"/>
          <w:lang w:eastAsia="zh-TW"/>
        </w:rPr>
        <w:t>a’</w:t>
      </w:r>
      <w:r w:rsidRPr="008F03E5">
        <w:rPr>
          <w:rFonts w:eastAsia="PMingLiU"/>
          <w:lang w:eastAsia="zh-TW"/>
        </w:rPr>
        <w:t>u’r-Ruh</w:t>
      </w:r>
      <w:r w:rsidRPr="008F03E5">
        <w:tab/>
      </w:r>
      <w:r w:rsidRPr="008F03E5">
        <w:rPr>
          <w:rFonts w:eastAsia="PMingLiU"/>
          <w:lang w:eastAsia="zh-TW"/>
        </w:rPr>
        <w:t>R</w:t>
      </w:r>
      <w:r>
        <w:rPr>
          <w:rFonts w:eastAsia="PMingLiU"/>
          <w:lang w:eastAsia="zh-TW"/>
        </w:rPr>
        <w:t>i</w:t>
      </w:r>
      <w:r w:rsidRPr="008F03E5">
        <w:t>ḍ</w:t>
      </w:r>
      <w:r>
        <w:t>á’</w:t>
      </w:r>
      <w:r w:rsidRPr="008F03E5">
        <w:rPr>
          <w:rFonts w:eastAsia="PMingLiU"/>
          <w:lang w:eastAsia="zh-TW"/>
        </w:rPr>
        <w:t>u’r-R</w:t>
      </w:r>
      <w:r w:rsidRPr="008F03E5">
        <w:t>úḥ</w:t>
      </w:r>
      <w:r w:rsidRPr="008F03E5">
        <w:tab/>
        <w:t>“Content</w:t>
      </w:r>
      <w:r>
        <w:t>ment of the s</w:t>
      </w:r>
      <w:r w:rsidRPr="008F03E5">
        <w:t>pirit”</w:t>
      </w:r>
      <w:r>
        <w:t>.  This is the preferred name, based on Arabic grammar and “</w:t>
      </w:r>
      <w:r w:rsidRPr="008F03E5">
        <w:t>Riḍá</w:t>
      </w:r>
      <w:r>
        <w:t xml:space="preserve">”, for </w:t>
      </w:r>
      <w:r w:rsidRPr="008F03E5">
        <w:t>Mullá Muḥammad-Riḍáy-i-Man</w:t>
      </w:r>
      <w:r w:rsidRPr="008F03E5">
        <w:rPr>
          <w:u w:val="single"/>
        </w:rPr>
        <w:t>sh</w:t>
      </w:r>
      <w:r w:rsidRPr="008F03E5">
        <w:t>ádí</w:t>
      </w:r>
      <w:r>
        <w:t xml:space="preserve">, see the </w:t>
      </w:r>
      <w:r w:rsidRPr="008F03E5">
        <w:rPr>
          <w:rFonts w:eastAsia="PMingLiU"/>
          <w:lang w:eastAsia="zh-TW"/>
        </w:rPr>
        <w:t>R</w:t>
      </w:r>
      <w:r>
        <w:rPr>
          <w:rFonts w:eastAsia="PMingLiU"/>
          <w:lang w:eastAsia="zh-TW"/>
        </w:rPr>
        <w:t>á</w:t>
      </w:r>
      <w:r w:rsidRPr="008F03E5">
        <w:t>ḍ</w:t>
      </w:r>
      <w:r>
        <w:t>í’</w:t>
      </w:r>
      <w:r w:rsidRPr="008F03E5">
        <w:rPr>
          <w:rFonts w:eastAsia="PMingLiU"/>
          <w:lang w:eastAsia="zh-TW"/>
        </w:rPr>
        <w:t>u’r-R</w:t>
      </w:r>
      <w:r w:rsidRPr="008F03E5">
        <w:t>úḥ</w:t>
      </w:r>
      <w:r>
        <w:t xml:space="preserve"> entry.</w:t>
      </w:r>
    </w:p>
    <w:p w14:paraId="5FF91532" w14:textId="77777777" w:rsidR="00625A5B" w:rsidRPr="008F03E5" w:rsidRDefault="00625A5B" w:rsidP="008A181C">
      <w:pPr>
        <w:pStyle w:val="Translit"/>
      </w:pPr>
      <w:r w:rsidRPr="008F03E5">
        <w:t>Rida-Quli</w:t>
      </w:r>
      <w:r w:rsidRPr="008F03E5">
        <w:tab/>
        <w:t>Riḍá-Qulí</w:t>
      </w:r>
      <w:r w:rsidRPr="008F03E5">
        <w:tab/>
        <w:t>Riḍá-Qulí, Mírzá.  Half-brother of Bahá’u’lláh who kept apart from Him and hid his relationship.</w:t>
      </w:r>
    </w:p>
    <w:p w14:paraId="71AF08A9" w14:textId="77777777" w:rsidR="00625A5B" w:rsidRPr="008F03E5" w:rsidRDefault="00625A5B" w:rsidP="00EC66D7">
      <w:pPr>
        <w:pStyle w:val="Translit"/>
      </w:pPr>
      <w:r w:rsidRPr="008F03E5">
        <w:t>Riday-i-Qannad</w:t>
      </w:r>
      <w:r w:rsidRPr="008F03E5">
        <w:tab/>
        <w:t>Riḍáy-i-Qannád</w:t>
      </w:r>
      <w:r w:rsidRPr="008F03E5">
        <w:tab/>
      </w:r>
    </w:p>
    <w:p w14:paraId="62EC3201" w14:textId="77777777" w:rsidR="00625A5B" w:rsidRPr="008F03E5" w:rsidRDefault="00625A5B" w:rsidP="00900A82">
      <w:pPr>
        <w:pStyle w:val="Translit"/>
      </w:pPr>
      <w:r w:rsidRPr="008F03E5">
        <w:t>Riday-i-Saffar</w:t>
      </w:r>
      <w:r w:rsidRPr="008F03E5">
        <w:tab/>
        <w:t>Riḍáy-i-Ṣaffár</w:t>
      </w:r>
      <w:r w:rsidRPr="008F03E5">
        <w:tab/>
      </w:r>
    </w:p>
    <w:p w14:paraId="1A473EE3" w14:textId="77777777" w:rsidR="00625A5B" w:rsidRPr="008F03E5" w:rsidRDefault="00625A5B" w:rsidP="004B5B99">
      <w:pPr>
        <w:pStyle w:val="Translit"/>
      </w:pPr>
      <w:r w:rsidRPr="008F03E5">
        <w:t>Ridwan, Ridvan</w:t>
      </w:r>
      <w:r w:rsidRPr="008F03E5">
        <w:tab/>
        <w:t>Riḍwán, fem. Riḍwána[h], Per. Riḍván</w:t>
      </w:r>
      <w:r w:rsidRPr="008F03E5">
        <w:tab/>
        <w:t xml:space="preserve">consent, assent, agreement, acceptance, approval, sanction; good will, favour; pleasure, delight.  It is sometimes translated as </w:t>
      </w:r>
      <w:bookmarkStart w:id="127" w:name="_Hlk57119112"/>
      <w:r w:rsidRPr="008F03E5">
        <w:t>‘paradise’, ‘heaven’, ‘tabernacle’ and ‘garden’.</w:t>
      </w:r>
      <w:bookmarkEnd w:id="127"/>
      <w:r w:rsidRPr="008F03E5">
        <w:t xml:space="preserve">  See Raḍiya.  Name given to two gardens significant in Bahá’í history:  the garden of Najíbíyah owned by Najíb Pá</w:t>
      </w:r>
      <w:r w:rsidRPr="008F03E5">
        <w:rPr>
          <w:u w:val="single"/>
        </w:rPr>
        <w:t>sh</w:t>
      </w:r>
      <w:r w:rsidRPr="008F03E5">
        <w:t>á outside Ba</w:t>
      </w:r>
      <w:r w:rsidRPr="008F03E5">
        <w:rPr>
          <w:u w:val="single"/>
        </w:rPr>
        <w:t>gh</w:t>
      </w:r>
      <w:r w:rsidRPr="008F03E5">
        <w:t>dád (≈33.344433, 44.378333, area now occupied by the Baghdad Medical City—22 April–2 May 1863); and the Na‘mayn Garden (32.915208, 35.090687).  See Na‘mayn.</w:t>
      </w:r>
    </w:p>
    <w:p w14:paraId="3A443ADF" w14:textId="77777777" w:rsidR="00625A5B" w:rsidRPr="008F03E5" w:rsidRDefault="00625A5B" w:rsidP="00F90C5C">
      <w:pPr>
        <w:pStyle w:val="Translit"/>
        <w:rPr>
          <w:rFonts w:eastAsia="PMingLiU"/>
          <w:lang w:eastAsia="zh-TW"/>
        </w:rPr>
      </w:pPr>
      <w:r w:rsidRPr="008F03E5">
        <w:rPr>
          <w:rFonts w:eastAsia="PMingLiU"/>
          <w:lang w:eastAsia="zh-TW"/>
        </w:rPr>
        <w:t>Ridwani, Ridvani</w:t>
      </w:r>
      <w:r w:rsidRPr="008F03E5">
        <w:tab/>
      </w:r>
      <w:r w:rsidRPr="008F03E5">
        <w:rPr>
          <w:rFonts w:eastAsia="PMingLiU"/>
          <w:lang w:eastAsia="zh-TW"/>
        </w:rPr>
        <w:t>Ri</w:t>
      </w:r>
      <w:r w:rsidRPr="008F03E5">
        <w:t>ḍw</w:t>
      </w:r>
      <w:r w:rsidRPr="008F03E5">
        <w:rPr>
          <w:rFonts w:eastAsia="PMingLiU"/>
          <w:lang w:eastAsia="zh-TW"/>
        </w:rPr>
        <w:t>ání</w:t>
      </w:r>
      <w:r w:rsidRPr="008F03E5">
        <w:tab/>
        <w:t>Pers. (Ar. influence) b</w:t>
      </w:r>
      <w:r w:rsidRPr="008F03E5">
        <w:rPr>
          <w:rFonts w:eastAsia="Times New Roman"/>
        </w:rPr>
        <w:t xml:space="preserve">elonging to Paradise, </w:t>
      </w:r>
      <w:r w:rsidRPr="008F03E5">
        <w:t>used as surname</w:t>
      </w:r>
    </w:p>
    <w:p w14:paraId="66933D86" w14:textId="77777777" w:rsidR="00625A5B" w:rsidRPr="008F03E5" w:rsidRDefault="00625A5B" w:rsidP="00900A82">
      <w:pPr>
        <w:pStyle w:val="Translit"/>
      </w:pPr>
      <w:r w:rsidRPr="008F03E5">
        <w:t>Ridwaniya, Ridvaniyyah</w:t>
      </w:r>
      <w:r w:rsidRPr="008F03E5">
        <w:tab/>
        <w:t>Riḍwáníya[h], Pers. Riḍvániyya[h]</w:t>
      </w:r>
      <w:r w:rsidRPr="008F03E5">
        <w:tab/>
        <w:t>used as Persian fem. name (Ridvaniyeh), satisfaction</w:t>
      </w:r>
    </w:p>
    <w:p w14:paraId="39AC2694" w14:textId="77777777" w:rsidR="00625A5B" w:rsidRPr="008F03E5" w:rsidRDefault="00625A5B" w:rsidP="00900A82">
      <w:pPr>
        <w:pStyle w:val="Translit"/>
      </w:pPr>
      <w:r w:rsidRPr="008F03E5">
        <w:t>Ridwanu’l</w:t>
      </w:r>
      <w:r w:rsidRPr="008F03E5">
        <w:rPr>
          <w:rFonts w:eastAsia="PMingLiU"/>
          <w:lang w:eastAsia="zh-TW"/>
        </w:rPr>
        <w:t>-‘</w:t>
      </w:r>
      <w:r w:rsidRPr="008F03E5">
        <w:t>Adl, Ridvanu’l</w:t>
      </w:r>
      <w:r w:rsidRPr="008F03E5">
        <w:rPr>
          <w:rFonts w:eastAsia="PMingLiU"/>
          <w:lang w:eastAsia="zh-TW"/>
        </w:rPr>
        <w:t>-‘</w:t>
      </w:r>
      <w:r w:rsidRPr="008F03E5">
        <w:t>Adl</w:t>
      </w:r>
      <w:r w:rsidRPr="008F03E5">
        <w:tab/>
        <w:t>Riḍwánu’l-‘Adl</w:t>
      </w:r>
      <w:r w:rsidRPr="008F03E5">
        <w:tab/>
        <w:t>“The Garden of Justice” by Bahá’u’lláh</w:t>
      </w:r>
    </w:p>
    <w:p w14:paraId="1C50E0FF" w14:textId="77777777" w:rsidR="00625A5B" w:rsidRPr="008F03E5" w:rsidRDefault="00625A5B" w:rsidP="00900A82">
      <w:pPr>
        <w:pStyle w:val="Translit"/>
      </w:pPr>
      <w:r w:rsidRPr="008F03E5">
        <w:t>Ridwanu’l-Iqrar, Ridvanu’l-Iqrar</w:t>
      </w:r>
      <w:r w:rsidRPr="008F03E5">
        <w:tab/>
        <w:t>Riḍwánu’l-Iqrár</w:t>
      </w:r>
      <w:r w:rsidRPr="008F03E5">
        <w:tab/>
        <w:t>“The Garden of Confession” by Bahá’u’lláh</w:t>
      </w:r>
    </w:p>
    <w:p w14:paraId="65D45952" w14:textId="77777777" w:rsidR="00625A5B" w:rsidRPr="008F03E5" w:rsidRDefault="00625A5B" w:rsidP="00900A82">
      <w:pPr>
        <w:pStyle w:val="Translit"/>
        <w:rPr>
          <w:rFonts w:eastAsia="PMingLiU"/>
          <w:lang w:eastAsia="zh-TW"/>
        </w:rPr>
      </w:pPr>
      <w:r w:rsidRPr="008F03E5">
        <w:rPr>
          <w:rFonts w:eastAsia="PMingLiU"/>
          <w:lang w:eastAsia="zh-TW"/>
        </w:rPr>
        <w:t>Ridwanu’llah, Ridvanu’llah</w:t>
      </w:r>
      <w:r w:rsidRPr="008F03E5">
        <w:tab/>
      </w:r>
      <w:r w:rsidRPr="008F03E5">
        <w:rPr>
          <w:rFonts w:eastAsia="PMingLiU"/>
          <w:lang w:eastAsia="zh-TW"/>
        </w:rPr>
        <w:t>Ri</w:t>
      </w:r>
      <w:r w:rsidRPr="008F03E5">
        <w:t>ḍw</w:t>
      </w:r>
      <w:r w:rsidRPr="008F03E5">
        <w:rPr>
          <w:rFonts w:eastAsia="PMingLiU"/>
          <w:lang w:eastAsia="zh-TW"/>
        </w:rPr>
        <w:t>ánu’lláh</w:t>
      </w:r>
      <w:r w:rsidRPr="008F03E5">
        <w:tab/>
        <w:t>“The Garden of God”</w:t>
      </w:r>
    </w:p>
    <w:p w14:paraId="1E7391F5" w14:textId="77777777" w:rsidR="00625A5B" w:rsidRPr="008F03E5" w:rsidRDefault="00625A5B" w:rsidP="00295C0A">
      <w:pPr>
        <w:pStyle w:val="Translit"/>
      </w:pPr>
      <w:r w:rsidRPr="008F03E5">
        <w:t>Rif (Riff), Aryraf</w:t>
      </w:r>
      <w:r w:rsidRPr="008F03E5">
        <w:tab/>
        <w:t>Ríf, pl. Aryáf</w:t>
      </w:r>
      <w:r w:rsidRPr="008F03E5">
        <w:tab/>
        <w:t xml:space="preserve">fertile, cultivated land; country (as opposed to city), countryside, rural; ar-Ríf or Ríf Miṣr Lower Egypt; seashore, seacoast; ar-Ríf (Rif, Riff or Er Rif) hilly coastal region of </w:t>
      </w:r>
      <w:r w:rsidRPr="008F03E5">
        <w:rPr>
          <w:sz w:val="16"/>
          <w:szCs w:val="16"/>
        </w:rPr>
        <w:t>NE</w:t>
      </w:r>
      <w:r w:rsidRPr="008F03E5">
        <w:t xml:space="preserve"> Morocco</w:t>
      </w:r>
    </w:p>
    <w:p w14:paraId="52B31E72" w14:textId="77777777" w:rsidR="00625A5B" w:rsidRPr="008F03E5" w:rsidRDefault="00625A5B" w:rsidP="00291E6A">
      <w:pPr>
        <w:pStyle w:val="Translit"/>
      </w:pPr>
      <w:r w:rsidRPr="008F03E5">
        <w:t>Rif’a</w:t>
      </w:r>
      <w:r w:rsidRPr="008F03E5">
        <w:rPr>
          <w:lang w:eastAsia="zh-TW"/>
        </w:rPr>
        <w:t xml:space="preserve"> (Rif’at or Raf’at; Rafat, Rafati)</w:t>
      </w:r>
      <w:r w:rsidRPr="008F03E5">
        <w:tab/>
        <w:t>Rif‘a[t]</w:t>
      </w:r>
      <w:r w:rsidRPr="008F03E5">
        <w:rPr>
          <w:lang w:eastAsia="zh-TW"/>
        </w:rPr>
        <w:t xml:space="preserve"> or Raf‘a[t]</w:t>
      </w:r>
      <w:r w:rsidRPr="008F03E5">
        <w:tab/>
        <w:t>height, elevation (e.g. of a structure); high rank or standing</w:t>
      </w:r>
      <w:r w:rsidRPr="008F03E5">
        <w:rPr>
          <w:lang w:eastAsia="zh-TW"/>
        </w:rPr>
        <w:t>.  Raf‘at</w:t>
      </w:r>
      <w:r w:rsidRPr="008F03E5">
        <w:t>í</w:t>
      </w:r>
      <w:r w:rsidRPr="008F03E5">
        <w:rPr>
          <w:lang w:eastAsia="zh-TW"/>
        </w:rPr>
        <w:t xml:space="preserve"> (Pers.) related to Arabic Raf‘at.  e.g. Dr Vahid Rafati (1945–, </w:t>
      </w:r>
      <w:r w:rsidRPr="008F03E5">
        <w:t>Vaḥíd Rafátí</w:t>
      </w:r>
      <w:r w:rsidRPr="008F03E5">
        <w:rPr>
          <w:lang w:eastAsia="zh-TW"/>
        </w:rPr>
        <w:t xml:space="preserve">), former Head of the </w:t>
      </w:r>
      <w:r w:rsidRPr="008F03E5">
        <w:t>Research Department in Haifa, the author of numerous articles and books in Persian and English.</w:t>
      </w:r>
    </w:p>
    <w:p w14:paraId="3CA3EF54" w14:textId="77777777" w:rsidR="00625A5B" w:rsidRPr="008F03E5" w:rsidRDefault="00625A5B" w:rsidP="004A5748">
      <w:pPr>
        <w:pStyle w:val="Translit"/>
      </w:pPr>
      <w:r w:rsidRPr="008F03E5">
        <w:t>Rifa’i (Rifa’iyya, Rifa’iya)</w:t>
      </w:r>
      <w:r w:rsidRPr="008F03E5">
        <w:tab/>
        <w:t>Rifá‘í (also Rifá‘iyya, Rifá‘iya)</w:t>
      </w:r>
      <w:r w:rsidRPr="008F03E5">
        <w:tab/>
        <w:t>eminent Súfí order (ṭaríqa) founded by Aḥmad ibn ‘Alí ar-Rifá‘í</w:t>
      </w:r>
    </w:p>
    <w:p w14:paraId="78214347" w14:textId="77777777" w:rsidR="00625A5B" w:rsidRPr="008F03E5" w:rsidRDefault="00625A5B" w:rsidP="001D41F0">
      <w:pPr>
        <w:pStyle w:val="Translit"/>
      </w:pPr>
      <w:r w:rsidRPr="008F03E5">
        <w:t>Rifat, Rafat</w:t>
      </w:r>
      <w:r w:rsidRPr="008F03E5">
        <w:tab/>
        <w:t>Rifát, Rafát</w:t>
      </w:r>
      <w:r w:rsidRPr="008F03E5">
        <w:tab/>
        <w:t>lifted, elated, joyous</w:t>
      </w:r>
    </w:p>
    <w:p w14:paraId="2F1EEBDC" w14:textId="77777777" w:rsidR="00625A5B" w:rsidRPr="008F03E5" w:rsidRDefault="00625A5B" w:rsidP="00366D75">
      <w:pPr>
        <w:pStyle w:val="Translit"/>
      </w:pPr>
      <w:r w:rsidRPr="008F03E5">
        <w:t>Rih, Riyah, Arwah, Aryah</w:t>
      </w:r>
      <w:r w:rsidRPr="008F03E5">
        <w:tab/>
        <w:t>Ríḥ, pl. Riyáḥ, Arwáḥ, Aryáḥ</w:t>
      </w:r>
      <w:r w:rsidRPr="008F03E5">
        <w:tab/>
        <w:t>wind; smell, odour</w:t>
      </w:r>
      <w:r w:rsidRPr="008F03E5">
        <w:rPr>
          <w:rFonts w:eastAsia="Times New Roman"/>
        </w:rPr>
        <w:t>;—pl. also name of the father of a tribe</w:t>
      </w:r>
    </w:p>
    <w:p w14:paraId="504B3482" w14:textId="77777777" w:rsidR="00625A5B" w:rsidRPr="008F03E5" w:rsidRDefault="00625A5B" w:rsidP="00424031">
      <w:pPr>
        <w:pStyle w:val="Translit"/>
      </w:pPr>
      <w:r w:rsidRPr="008F03E5">
        <w:t>Rik’at</w:t>
      </w:r>
      <w:r w:rsidRPr="008F03E5">
        <w:tab/>
        <w:t>Rik‘at</w:t>
      </w:r>
      <w:r w:rsidRPr="008F03E5">
        <w:tab/>
        <w:t>prostration in prayer (</w:t>
      </w:r>
      <w:r w:rsidRPr="008F03E5">
        <w:rPr>
          <w:i/>
          <w:iCs/>
        </w:rPr>
        <w:t>The Kitáb-i-Íqán</w:t>
      </w:r>
      <w:r w:rsidRPr="008F03E5">
        <w:t>, p. 50)</w:t>
      </w:r>
    </w:p>
    <w:p w14:paraId="702A340B" w14:textId="77777777" w:rsidR="00625A5B" w:rsidRPr="00374FF6" w:rsidRDefault="00625A5B" w:rsidP="00374FF6">
      <w:pPr>
        <w:pStyle w:val="Translit"/>
      </w:pPr>
      <w:r w:rsidRPr="00374FF6">
        <w:t>Rikab, Rukub, Rikabat,Raka’ib</w:t>
      </w:r>
      <w:r w:rsidRPr="00374FF6">
        <w:tab/>
      </w:r>
      <w:r>
        <w:t>R</w:t>
      </w:r>
      <w:r w:rsidRPr="00374FF6">
        <w:t>ik</w:t>
      </w:r>
      <w:r>
        <w:t>á</w:t>
      </w:r>
      <w:r w:rsidRPr="00374FF6">
        <w:t>b</w:t>
      </w:r>
      <w:r>
        <w:t>,</w:t>
      </w:r>
      <w:r w:rsidRPr="00374FF6">
        <w:t xml:space="preserve"> pl. </w:t>
      </w:r>
      <w:r>
        <w:t>R</w:t>
      </w:r>
      <w:r w:rsidRPr="00374FF6">
        <w:t>ukub</w:t>
      </w:r>
      <w:r>
        <w:t>, R</w:t>
      </w:r>
      <w:r w:rsidRPr="00374FF6">
        <w:t>ik</w:t>
      </w:r>
      <w:r>
        <w:t>á</w:t>
      </w:r>
      <w:r w:rsidRPr="00374FF6">
        <w:t>b</w:t>
      </w:r>
      <w:r>
        <w:t>át, Raká’ib</w:t>
      </w:r>
      <w:r>
        <w:tab/>
      </w:r>
      <w:r w:rsidRPr="00374FF6">
        <w:t>stirrup;</w:t>
      </w:r>
      <w:r>
        <w:t>—</w:t>
      </w:r>
      <w:r w:rsidRPr="00374FF6">
        <w:t xml:space="preserve">pl. riding </w:t>
      </w:r>
      <w:r>
        <w:t>c</w:t>
      </w:r>
      <w:r w:rsidRPr="00374FF6">
        <w:t>amel, riding animal, mount</w:t>
      </w:r>
    </w:p>
    <w:p w14:paraId="1E1B7B84" w14:textId="77777777" w:rsidR="00625A5B" w:rsidRPr="008F03E5" w:rsidRDefault="00625A5B" w:rsidP="0045367D">
      <w:pPr>
        <w:pStyle w:val="Translit"/>
      </w:pPr>
      <w:r w:rsidRPr="000D58FB">
        <w:rPr>
          <w:lang w:val="fr-FR"/>
        </w:rPr>
        <w:t>Risala, Risalat, Rasa’il</w:t>
      </w:r>
      <w:r w:rsidRPr="000D58FB">
        <w:rPr>
          <w:lang w:val="fr-FR"/>
        </w:rPr>
        <w:tab/>
        <w:t xml:space="preserve">Risála[h or t], pl. </w:t>
      </w:r>
      <w:r w:rsidRPr="008F03E5">
        <w:t>Risálát, Rasá’il</w:t>
      </w:r>
      <w:r w:rsidRPr="008F03E5">
        <w:tab/>
        <w:t>consignment, shipment; mail item; (written) communication or report; missive; letter, note; epistle; treatise; dispatch; message; radio message; the gift of prophecy; the office of a prophet; Messengership.  M</w:t>
      </w:r>
      <w:r w:rsidRPr="008F03E5">
        <w:rPr>
          <w:lang w:eastAsia="en-US"/>
        </w:rPr>
        <w:t>essengership is described as proclaiming the knowledge of the first intellect (</w:t>
      </w:r>
      <w:r w:rsidRPr="008F03E5">
        <w:rPr>
          <w:i/>
          <w:iCs/>
          <w:lang w:eastAsia="en-US"/>
        </w:rPr>
        <w:t>al-‘aql al-awwal</w:t>
      </w:r>
      <w:r w:rsidRPr="008F03E5">
        <w:rPr>
          <w:lang w:eastAsia="en-US"/>
        </w:rPr>
        <w:t>) to the prepared (</w:t>
      </w:r>
      <w:r w:rsidRPr="008F03E5">
        <w:rPr>
          <w:i/>
          <w:iCs/>
          <w:lang w:eastAsia="en-US"/>
        </w:rPr>
        <w:t>musta‘idd</w:t>
      </w:r>
      <w:r w:rsidRPr="008F03E5">
        <w:rPr>
          <w:lang w:eastAsia="en-US"/>
        </w:rPr>
        <w:t xml:space="preserve">) people.  </w:t>
      </w:r>
      <w:r w:rsidRPr="008F03E5">
        <w:rPr>
          <w:u w:val="single"/>
          <w:lang w:eastAsia="en-US"/>
        </w:rPr>
        <w:t>Sh</w:t>
      </w:r>
      <w:r w:rsidRPr="008F03E5">
        <w:rPr>
          <w:lang w:eastAsia="en-US"/>
        </w:rPr>
        <w:t>ay</w:t>
      </w:r>
      <w:r w:rsidRPr="008F03E5">
        <w:rPr>
          <w:u w:val="single"/>
          <w:lang w:eastAsia="en-US"/>
        </w:rPr>
        <w:t>kh</w:t>
      </w:r>
      <w:r w:rsidRPr="008F03E5">
        <w:rPr>
          <w:lang w:eastAsia="en-US"/>
        </w:rPr>
        <w:t xml:space="preserve"> A</w:t>
      </w:r>
      <w:r w:rsidRPr="008F03E5">
        <w:t>ḥ</w:t>
      </w:r>
      <w:r w:rsidRPr="008F03E5">
        <w:rPr>
          <w:lang w:eastAsia="en-US"/>
        </w:rPr>
        <w:t>mad in</w:t>
      </w:r>
      <w:r w:rsidRPr="008F03E5">
        <w:t xml:space="preserve"> </w:t>
      </w:r>
      <w:r w:rsidRPr="008F03E5">
        <w:rPr>
          <w:i/>
          <w:iCs/>
        </w:rPr>
        <w:t xml:space="preserve">The development of </w:t>
      </w:r>
      <w:r w:rsidRPr="008F03E5">
        <w:rPr>
          <w:i/>
          <w:iCs/>
          <w:u w:val="single"/>
        </w:rPr>
        <w:t>Sh</w:t>
      </w:r>
      <w:r w:rsidRPr="008F03E5">
        <w:rPr>
          <w:i/>
          <w:iCs/>
        </w:rPr>
        <w:t>ay</w:t>
      </w:r>
      <w:r w:rsidRPr="008F03E5">
        <w:rPr>
          <w:i/>
          <w:iCs/>
          <w:u w:val="single"/>
        </w:rPr>
        <w:t>kh</w:t>
      </w:r>
      <w:r w:rsidRPr="008F03E5">
        <w:rPr>
          <w:i/>
          <w:iCs/>
        </w:rPr>
        <w:t xml:space="preserve">í thought in </w:t>
      </w:r>
      <w:r w:rsidRPr="008F03E5">
        <w:rPr>
          <w:i/>
          <w:iCs/>
          <w:u w:val="single"/>
        </w:rPr>
        <w:t>Sh</w:t>
      </w:r>
      <w:r w:rsidRPr="008F03E5">
        <w:rPr>
          <w:i/>
          <w:iCs/>
        </w:rPr>
        <w:t>í‘í Islam</w:t>
      </w:r>
      <w:r w:rsidRPr="008F03E5">
        <w:t>, p. 90.  See n</w:t>
      </w:r>
      <w:r w:rsidRPr="008F03E5">
        <w:rPr>
          <w:lang w:bidi="fa-IR"/>
        </w:rPr>
        <w:t>ub</w:t>
      </w:r>
      <w:r w:rsidRPr="008F03E5">
        <w:t>ú</w:t>
      </w:r>
      <w:r w:rsidRPr="008F03E5">
        <w:rPr>
          <w:lang w:bidi="fa-IR"/>
        </w:rPr>
        <w:t>wa</w:t>
      </w:r>
    </w:p>
    <w:p w14:paraId="1F5E31A0" w14:textId="77777777" w:rsidR="00625A5B" w:rsidRPr="008F03E5" w:rsidRDefault="00625A5B" w:rsidP="00900A82">
      <w:pPr>
        <w:pStyle w:val="Translit"/>
        <w:rPr>
          <w:lang w:bidi="fa-IR"/>
        </w:rPr>
      </w:pPr>
      <w:r w:rsidRPr="008F03E5">
        <w:rPr>
          <w:lang w:bidi="fa-IR"/>
        </w:rPr>
        <w:t>Risalah Fi’l-Ghina’</w:t>
      </w:r>
      <w:r w:rsidRPr="008F03E5">
        <w:rPr>
          <w:lang w:bidi="fa-IR"/>
        </w:rPr>
        <w:tab/>
        <w:t>Ris</w:t>
      </w:r>
      <w:r w:rsidRPr="008F03E5">
        <w:t>á</w:t>
      </w:r>
      <w:r w:rsidRPr="008F03E5">
        <w:rPr>
          <w:lang w:bidi="fa-IR"/>
        </w:rPr>
        <w:t>lah Fi’l-</w:t>
      </w:r>
      <w:r w:rsidRPr="008F03E5">
        <w:rPr>
          <w:u w:val="single"/>
        </w:rPr>
        <w:t>Gh</w:t>
      </w:r>
      <w:r w:rsidRPr="008F03E5">
        <w:rPr>
          <w:lang w:bidi="fa-IR"/>
        </w:rPr>
        <w:t>in</w:t>
      </w:r>
      <w:r w:rsidRPr="008F03E5">
        <w:t>á</w:t>
      </w:r>
      <w:r w:rsidRPr="008F03E5">
        <w:rPr>
          <w:lang w:bidi="fa-IR"/>
        </w:rPr>
        <w:t>’</w:t>
      </w:r>
      <w:r w:rsidRPr="008F03E5">
        <w:rPr>
          <w:lang w:bidi="fa-IR"/>
        </w:rPr>
        <w:tab/>
        <w:t>“Treatise on Singing” by the Báb</w:t>
      </w:r>
    </w:p>
    <w:p w14:paraId="7BA28337" w14:textId="77777777" w:rsidR="00625A5B" w:rsidRPr="008F03E5" w:rsidRDefault="00625A5B" w:rsidP="00E137D6">
      <w:pPr>
        <w:pStyle w:val="Translit"/>
      </w:pPr>
      <w:r w:rsidRPr="008F03E5">
        <w:rPr>
          <w:lang w:bidi="fa-IR"/>
        </w:rPr>
        <w:t>Risalah Fi’n-Nahv</w:t>
      </w:r>
      <w:r w:rsidRPr="008F03E5">
        <w:rPr>
          <w:lang w:bidi="fa-IR"/>
        </w:rPr>
        <w:tab/>
        <w:t>Ris</w:t>
      </w:r>
      <w:r w:rsidRPr="008F03E5">
        <w:t>á</w:t>
      </w:r>
      <w:r w:rsidRPr="008F03E5">
        <w:rPr>
          <w:lang w:bidi="fa-IR"/>
        </w:rPr>
        <w:t>lah Fi’n-Na</w:t>
      </w:r>
      <w:r w:rsidRPr="008F03E5">
        <w:t>ḥ</w:t>
      </w:r>
      <w:r w:rsidRPr="008F03E5">
        <w:rPr>
          <w:lang w:bidi="fa-IR"/>
        </w:rPr>
        <w:t>v</w:t>
      </w:r>
      <w:r w:rsidRPr="008F03E5">
        <w:rPr>
          <w:lang w:bidi="fa-IR"/>
        </w:rPr>
        <w:tab/>
        <w:t>“Treatise on Grammar” by the Báb</w:t>
      </w:r>
    </w:p>
    <w:p w14:paraId="2490C8BF" w14:textId="77777777" w:rsidR="00625A5B" w:rsidRPr="008F03E5" w:rsidRDefault="00625A5B" w:rsidP="00A65844">
      <w:pPr>
        <w:pStyle w:val="Translit"/>
      </w:pPr>
      <w:r w:rsidRPr="008F03E5">
        <w:t>Risaliy-i-‘Adliyyih</w:t>
      </w:r>
      <w:r w:rsidRPr="008F03E5">
        <w:tab/>
        <w:t>Risáliy-i-‘Adlíyyih</w:t>
      </w:r>
      <w:r w:rsidRPr="008F03E5">
        <w:tab/>
      </w:r>
      <w:r w:rsidRPr="008F03E5">
        <w:rPr>
          <w:lang w:bidi="fa-IR"/>
        </w:rPr>
        <w:t xml:space="preserve">“Treatise on Justice” </w:t>
      </w:r>
      <w:r w:rsidRPr="008F03E5">
        <w:t>by the Báb</w:t>
      </w:r>
    </w:p>
    <w:p w14:paraId="6172134A" w14:textId="77777777" w:rsidR="00625A5B" w:rsidRPr="008F03E5" w:rsidRDefault="00625A5B" w:rsidP="00FF3619">
      <w:pPr>
        <w:pStyle w:val="Translit"/>
      </w:pPr>
      <w:r w:rsidRPr="008F03E5">
        <w:t>Risaliy-i-Amriyyih</w:t>
      </w:r>
      <w:r w:rsidRPr="008F03E5">
        <w:tab/>
        <w:t>Risáliy-i-Amríyyih (Ar. Amriya)</w:t>
      </w:r>
      <w:r w:rsidRPr="008F03E5">
        <w:tab/>
      </w:r>
      <w:r w:rsidRPr="008F03E5">
        <w:rPr>
          <w:lang w:bidi="fa-IR"/>
        </w:rPr>
        <w:t>“Treatise on the Cause” by Muḥammad Mu</w:t>
      </w:r>
      <w:r w:rsidRPr="008F03E5">
        <w:t>ṣṭ</w:t>
      </w:r>
      <w:r w:rsidRPr="008F03E5">
        <w:rPr>
          <w:lang w:bidi="fa-IR"/>
        </w:rPr>
        <w:t>af</w:t>
      </w:r>
      <w:r w:rsidRPr="008F03E5">
        <w:t>á al-Baghdádí</w:t>
      </w:r>
    </w:p>
    <w:p w14:paraId="705AD7CB" w14:textId="77777777" w:rsidR="00625A5B" w:rsidRPr="008F03E5" w:rsidRDefault="00625A5B" w:rsidP="00C35179">
      <w:pPr>
        <w:pStyle w:val="Translit"/>
      </w:pPr>
      <w:r w:rsidRPr="008F03E5">
        <w:t>Risaliy-i-Ayat-i-Mu’arrakhih</w:t>
      </w:r>
      <w:r w:rsidRPr="008F03E5">
        <w:tab/>
        <w:t>Risáliy-i-Ayát-i-Mu‘arra</w:t>
      </w:r>
      <w:r w:rsidRPr="008F03E5">
        <w:rPr>
          <w:u w:val="single"/>
        </w:rPr>
        <w:t>kh</w:t>
      </w:r>
      <w:r w:rsidRPr="008F03E5">
        <w:t>ih</w:t>
      </w:r>
      <w:r w:rsidRPr="008F03E5">
        <w:tab/>
        <w:t>“Treatise on the earlier verses” by Mírzá Abu’l-Faḍl</w:t>
      </w:r>
    </w:p>
    <w:p w14:paraId="681585BF" w14:textId="77777777" w:rsidR="00625A5B" w:rsidRPr="008F03E5" w:rsidRDefault="00625A5B" w:rsidP="008B6616">
      <w:pPr>
        <w:pStyle w:val="Translit"/>
      </w:pPr>
      <w:r w:rsidRPr="008F03E5">
        <w:t>Risaliy-i-Ayyubiyyih</w:t>
      </w:r>
      <w:r w:rsidRPr="008F03E5">
        <w:tab/>
        <w:t>Risáliy-i-Ayyúbiyyih</w:t>
      </w:r>
      <w:r w:rsidRPr="008F03E5">
        <w:tab/>
        <w:t>“Treatise on Job” by Abu’l-Faḍl</w:t>
      </w:r>
    </w:p>
    <w:p w14:paraId="1CB8EC19" w14:textId="77777777" w:rsidR="00625A5B" w:rsidRPr="008F03E5" w:rsidRDefault="00625A5B" w:rsidP="00E37C50">
      <w:pPr>
        <w:pStyle w:val="Translit"/>
      </w:pPr>
      <w:r w:rsidRPr="008F03E5">
        <w:t>Risaliy-i-Dhahabiyyih</w:t>
      </w:r>
      <w:r w:rsidRPr="008F03E5">
        <w:tab/>
        <w:t>Risáliy-i-</w:t>
      </w:r>
      <w:r w:rsidRPr="008F03E5">
        <w:rPr>
          <w:u w:val="single"/>
        </w:rPr>
        <w:t>Dh</w:t>
      </w:r>
      <w:r w:rsidRPr="008F03E5">
        <w:t>ahabíyyih</w:t>
      </w:r>
      <w:r w:rsidRPr="008F03E5">
        <w:tab/>
        <w:t xml:space="preserve">should be </w:t>
      </w:r>
      <w:r w:rsidRPr="008F03E5">
        <w:rPr>
          <w:u w:val="single"/>
        </w:rPr>
        <w:t>Kh</w:t>
      </w:r>
      <w:r w:rsidRPr="008F03E5">
        <w:t>uṭbiy-i-</w:t>
      </w:r>
      <w:r w:rsidRPr="008F03E5">
        <w:rPr>
          <w:u w:val="single"/>
        </w:rPr>
        <w:t>Dh</w:t>
      </w:r>
      <w:r w:rsidRPr="008F03E5">
        <w:t xml:space="preserve">ikríyyih by the Báb, </w:t>
      </w:r>
      <w:r w:rsidRPr="008F03E5">
        <w:rPr>
          <w:i/>
          <w:iCs/>
        </w:rPr>
        <w:t>Gate of the Heart</w:t>
      </w:r>
      <w:r w:rsidRPr="008F03E5">
        <w:t>, p. 379.</w:t>
      </w:r>
    </w:p>
    <w:p w14:paraId="7D462A49" w14:textId="77777777" w:rsidR="00625A5B" w:rsidRPr="008F03E5" w:rsidRDefault="00625A5B" w:rsidP="00521C18">
      <w:pPr>
        <w:pStyle w:val="Translit"/>
      </w:pPr>
      <w:r w:rsidRPr="008F03E5">
        <w:t>Risaliy-i-Fiqhiyyih</w:t>
      </w:r>
      <w:r w:rsidRPr="008F03E5">
        <w:tab/>
        <w:t>Risáliy-i-Fiqhíyyih</w:t>
      </w:r>
      <w:r w:rsidRPr="008F03E5">
        <w:tab/>
        <w:t>“Treatise on Fiqh” by the Báb</w:t>
      </w:r>
    </w:p>
    <w:p w14:paraId="07D11CFF" w14:textId="77777777" w:rsidR="00625A5B" w:rsidRPr="008F03E5" w:rsidRDefault="00625A5B" w:rsidP="00900A82">
      <w:pPr>
        <w:pStyle w:val="Translit"/>
      </w:pPr>
      <w:r w:rsidRPr="008F03E5">
        <w:t>Risaliy-i-Furu’-i</w:t>
      </w:r>
      <w:r w:rsidRPr="008F03E5">
        <w:rPr>
          <w:rFonts w:eastAsia="PMingLiU"/>
          <w:lang w:eastAsia="zh-TW"/>
        </w:rPr>
        <w:t>-‘</w:t>
      </w:r>
      <w:r w:rsidRPr="008F03E5">
        <w:t>Adliyyih</w:t>
      </w:r>
      <w:r w:rsidRPr="008F03E5">
        <w:tab/>
        <w:t>Risáliy-i-Furú‘-i-‘Adlíyyih</w:t>
      </w:r>
      <w:r w:rsidRPr="008F03E5">
        <w:tab/>
        <w:t>“Treatise of Justice:  Branches” by the Báb</w:t>
      </w:r>
    </w:p>
    <w:p w14:paraId="7C521A74" w14:textId="77777777" w:rsidR="00625A5B" w:rsidRPr="008F03E5" w:rsidRDefault="00625A5B" w:rsidP="004717E0">
      <w:pPr>
        <w:pStyle w:val="Translit"/>
      </w:pPr>
      <w:r w:rsidRPr="008F03E5">
        <w:rPr>
          <w:rFonts w:eastAsia="PMingLiU"/>
          <w:lang w:eastAsia="zh-TW"/>
        </w:rPr>
        <w:t>Risaliy-i-Ithbat-i-Nubuvvat-i-Khassih</w:t>
      </w:r>
      <w:r w:rsidRPr="008F03E5">
        <w:tab/>
      </w:r>
      <w:r w:rsidRPr="008F03E5">
        <w:rPr>
          <w:rFonts w:eastAsia="PMingLiU"/>
          <w:lang w:eastAsia="zh-TW"/>
        </w:rPr>
        <w:t>Risáliy-i-I</w:t>
      </w:r>
      <w:r w:rsidRPr="008F03E5">
        <w:rPr>
          <w:u w:val="single"/>
        </w:rPr>
        <w:t>th</w:t>
      </w:r>
      <w:r w:rsidRPr="008F03E5">
        <w:rPr>
          <w:rFonts w:eastAsia="PMingLiU"/>
          <w:lang w:eastAsia="zh-TW"/>
        </w:rPr>
        <w:t>b</w:t>
      </w:r>
      <w:r w:rsidRPr="008F03E5">
        <w:t>á</w:t>
      </w:r>
      <w:r w:rsidRPr="008F03E5">
        <w:rPr>
          <w:rFonts w:eastAsia="PMingLiU"/>
          <w:lang w:eastAsia="zh-TW"/>
        </w:rPr>
        <w:t>t-i-Nubuvvat-i-</w:t>
      </w:r>
      <w:r w:rsidRPr="008F03E5">
        <w:rPr>
          <w:u w:val="single"/>
        </w:rPr>
        <w:t>Kh</w:t>
      </w:r>
      <w:r w:rsidRPr="008F03E5">
        <w:t>áṣṣ</w:t>
      </w:r>
      <w:r w:rsidRPr="008F03E5">
        <w:rPr>
          <w:rFonts w:eastAsia="PMingLiU"/>
          <w:lang w:eastAsia="zh-TW"/>
        </w:rPr>
        <w:t>ih</w:t>
      </w:r>
      <w:r w:rsidRPr="008F03E5">
        <w:tab/>
        <w:t>“Epistle on the Proofs of the Prophethood (of Muḥammad)” by the Báb, i.e. His specific station and mission.</w:t>
      </w:r>
    </w:p>
    <w:p w14:paraId="74CDE0B4" w14:textId="77777777" w:rsidR="00625A5B" w:rsidRPr="008F03E5" w:rsidRDefault="00625A5B" w:rsidP="00053AC3">
      <w:pPr>
        <w:pStyle w:val="Translit"/>
        <w:rPr>
          <w:rFonts w:eastAsia="PMingLiU"/>
          <w:lang w:eastAsia="zh-TW"/>
        </w:rPr>
      </w:pPr>
      <w:r w:rsidRPr="008F03E5">
        <w:rPr>
          <w:rFonts w:eastAsia="PMingLiU"/>
          <w:lang w:eastAsia="zh-TW"/>
        </w:rPr>
        <w:t>Risaliy-i-Khaqaniyyih</w:t>
      </w:r>
      <w:r w:rsidRPr="008F03E5">
        <w:tab/>
      </w:r>
      <w:r w:rsidRPr="008F03E5">
        <w:rPr>
          <w:rFonts w:eastAsia="PMingLiU"/>
          <w:lang w:eastAsia="zh-TW"/>
        </w:rPr>
        <w:t>Risáliy-i-</w:t>
      </w:r>
      <w:r w:rsidRPr="008F03E5">
        <w:rPr>
          <w:u w:val="single"/>
        </w:rPr>
        <w:t>Kh</w:t>
      </w:r>
      <w:r w:rsidRPr="008F03E5">
        <w:t>á</w:t>
      </w:r>
      <w:r w:rsidRPr="008F03E5">
        <w:rPr>
          <w:rFonts w:eastAsia="PMingLiU"/>
          <w:lang w:eastAsia="zh-TW"/>
        </w:rPr>
        <w:t>q</w:t>
      </w:r>
      <w:r w:rsidRPr="008F03E5">
        <w:t>á</w:t>
      </w:r>
      <w:r w:rsidRPr="008F03E5">
        <w:rPr>
          <w:rFonts w:eastAsia="PMingLiU"/>
          <w:lang w:eastAsia="zh-TW"/>
        </w:rPr>
        <w:t>niyyih</w:t>
      </w:r>
      <w:r w:rsidRPr="008F03E5">
        <w:tab/>
        <w:t xml:space="preserve">treatise </w:t>
      </w:r>
      <w:r w:rsidRPr="008F03E5">
        <w:rPr>
          <w:rFonts w:eastAsia="PMingLiU"/>
          <w:lang w:eastAsia="zh-TW"/>
        </w:rPr>
        <w:t xml:space="preserve">in answer to </w:t>
      </w:r>
      <w:r w:rsidRPr="008F03E5">
        <w:t xml:space="preserve">Fatḥ-‘Alí </w:t>
      </w:r>
      <w:r w:rsidRPr="008F03E5">
        <w:rPr>
          <w:u w:val="single"/>
        </w:rPr>
        <w:t>Sh</w:t>
      </w:r>
      <w:r w:rsidRPr="008F03E5">
        <w:t>áh’</w:t>
      </w:r>
      <w:r w:rsidRPr="008F03E5">
        <w:rPr>
          <w:rFonts w:eastAsia="PMingLiU"/>
          <w:lang w:eastAsia="zh-TW"/>
        </w:rPr>
        <w:t>s question regarding the superiority of the Qá’im over His ancestors.</w:t>
      </w:r>
    </w:p>
    <w:p w14:paraId="1932504E" w14:textId="77777777" w:rsidR="00625A5B" w:rsidRPr="008F03E5" w:rsidRDefault="00625A5B" w:rsidP="004A239A">
      <w:pPr>
        <w:pStyle w:val="Translit"/>
      </w:pPr>
      <w:r w:rsidRPr="008F03E5">
        <w:t>Risaliy-i-Madaniyyih</w:t>
      </w:r>
      <w:r w:rsidRPr="008F03E5">
        <w:tab/>
        <w:t>Risáliy-i-Madaniyyih</w:t>
      </w:r>
      <w:r w:rsidRPr="008F03E5">
        <w:tab/>
        <w:t>Pers. “Treatise on civilization” (or Shoghi Effendi as “Tablet of Divine Civilization”) written anonymously by ‘Abdu’l-Bahá in 1875.  First English translation title (1910 &amp; 1918) “Mysterious Forces of Civilization”.  Marzieh Gail 1957 tr. title “The Secret of Divine Civilization”.</w:t>
      </w:r>
    </w:p>
    <w:p w14:paraId="3A3F7E01" w14:textId="77777777" w:rsidR="00625A5B" w:rsidRPr="008F03E5" w:rsidRDefault="00625A5B" w:rsidP="00053AC3">
      <w:pPr>
        <w:pStyle w:val="Translit"/>
        <w:rPr>
          <w:rFonts w:eastAsia="PMingLiU"/>
          <w:lang w:eastAsia="zh-TW"/>
        </w:rPr>
      </w:pPr>
      <w:r w:rsidRPr="008F03E5">
        <w:rPr>
          <w:rFonts w:eastAsia="PMingLiU"/>
          <w:lang w:eastAsia="zh-TW"/>
        </w:rPr>
        <w:t>Risaliy-i-</w:t>
      </w:r>
      <w:r w:rsidRPr="008F03E5">
        <w:t>Siyasiyyih</w:t>
      </w:r>
      <w:r w:rsidRPr="008F03E5">
        <w:tab/>
      </w:r>
      <w:r w:rsidRPr="008F03E5">
        <w:rPr>
          <w:rFonts w:eastAsia="PMingLiU"/>
          <w:lang w:eastAsia="zh-TW"/>
        </w:rPr>
        <w:t>Risáliy-i-</w:t>
      </w:r>
      <w:r w:rsidRPr="008F03E5">
        <w:t>Siyásiyyih</w:t>
      </w:r>
      <w:r w:rsidRPr="008F03E5">
        <w:tab/>
        <w:t>Treatise on Politics by ‘Abdu’l-Bahá</w:t>
      </w:r>
    </w:p>
    <w:p w14:paraId="30D1B2A6" w14:textId="77777777" w:rsidR="00625A5B" w:rsidRPr="00676E9D" w:rsidRDefault="00625A5B" w:rsidP="007C7E93">
      <w:pPr>
        <w:pStyle w:val="Translit"/>
        <w:rPr>
          <w:rFonts w:eastAsia="PMingLiU"/>
          <w:lang w:eastAsia="zh-TW"/>
        </w:rPr>
      </w:pPr>
      <w:r w:rsidRPr="00676E9D">
        <w:t>Risaliy-i-Sultaniyyah</w:t>
      </w:r>
      <w:r w:rsidRPr="00676E9D">
        <w:tab/>
        <w:t>Risáliy-i-Sulṭániyyah</w:t>
      </w:r>
      <w:r w:rsidRPr="00676E9D">
        <w:tab/>
      </w:r>
      <w:r>
        <w:t xml:space="preserve">“The royal message” by </w:t>
      </w:r>
      <w:r w:rsidRPr="000771B2">
        <w:rPr>
          <w:u w:val="single"/>
        </w:rPr>
        <w:t>Sh</w:t>
      </w:r>
      <w:r w:rsidRPr="000771B2">
        <w:t>ay</w:t>
      </w:r>
      <w:r w:rsidRPr="000771B2">
        <w:rPr>
          <w:u w:val="single"/>
        </w:rPr>
        <w:t>kh</w:t>
      </w:r>
      <w:r w:rsidRPr="000771B2">
        <w:t xml:space="preserve"> Aḥmad</w:t>
      </w:r>
      <w:r>
        <w:t xml:space="preserve"> to </w:t>
      </w:r>
      <w:r w:rsidRPr="000771B2">
        <w:t xml:space="preserve">Fatḥ-‘Alí </w:t>
      </w:r>
      <w:r w:rsidRPr="000771B2">
        <w:rPr>
          <w:u w:val="single"/>
        </w:rPr>
        <w:t>Sh</w:t>
      </w:r>
      <w:r w:rsidRPr="000771B2">
        <w:t>áh</w:t>
      </w:r>
    </w:p>
    <w:p w14:paraId="77BF4C50" w14:textId="77777777" w:rsidR="00625A5B" w:rsidRPr="008F03E5" w:rsidRDefault="00625A5B" w:rsidP="00EF680F">
      <w:pPr>
        <w:pStyle w:val="Translit"/>
        <w:rPr>
          <w:rFonts w:eastAsia="PMingLiU"/>
          <w:lang w:eastAsia="zh-TW"/>
        </w:rPr>
      </w:pPr>
      <w:r w:rsidRPr="008F03E5">
        <w:rPr>
          <w:rFonts w:eastAsia="PMingLiU"/>
          <w:lang w:eastAsia="zh-TW"/>
        </w:rPr>
        <w:t>Rish, Rishun, Riyash, Aryash</w:t>
      </w:r>
      <w:r w:rsidRPr="008F03E5">
        <w:rPr>
          <w:rFonts w:eastAsia="PMingLiU"/>
          <w:lang w:eastAsia="zh-TW"/>
        </w:rPr>
        <w:tab/>
        <w:t>Rí</w:t>
      </w:r>
      <w:r w:rsidRPr="008F03E5">
        <w:rPr>
          <w:rFonts w:eastAsia="PMingLiU"/>
          <w:u w:val="single"/>
          <w:lang w:eastAsia="zh-TW"/>
        </w:rPr>
        <w:t>sh</w:t>
      </w:r>
      <w:r w:rsidRPr="008F03E5">
        <w:rPr>
          <w:rFonts w:eastAsia="PMingLiU"/>
          <w:lang w:eastAsia="zh-TW"/>
        </w:rPr>
        <w:t xml:space="preserve"> (collective; noun Rí</w:t>
      </w:r>
      <w:r w:rsidRPr="008F03E5">
        <w:rPr>
          <w:rFonts w:eastAsia="PMingLiU"/>
          <w:u w:val="single"/>
          <w:lang w:eastAsia="zh-TW"/>
        </w:rPr>
        <w:t>sh</w:t>
      </w:r>
      <w:r w:rsidRPr="008F03E5">
        <w:rPr>
          <w:rFonts w:eastAsia="PMingLiU"/>
          <w:lang w:eastAsia="zh-TW"/>
        </w:rPr>
        <w:t>un)</w:t>
      </w:r>
      <w:r w:rsidRPr="008F03E5">
        <w:rPr>
          <w:rFonts w:eastAsia="PMingLiU"/>
          <w:lang w:eastAsia="zh-TW"/>
        </w:rPr>
        <w:tab/>
        <w:t>feathers; feathering, plumage; clothes, attire, exterior; bristles (e.g., of a brush);—pl. riyá</w:t>
      </w:r>
      <w:r w:rsidRPr="008F03E5">
        <w:rPr>
          <w:rFonts w:eastAsia="PMingLiU"/>
          <w:u w:val="single"/>
          <w:lang w:eastAsia="zh-TW"/>
        </w:rPr>
        <w:t>sh</w:t>
      </w:r>
      <w:r w:rsidRPr="008F03E5">
        <w:rPr>
          <w:rFonts w:eastAsia="PMingLiU"/>
          <w:lang w:eastAsia="zh-TW"/>
        </w:rPr>
        <w:t>, aryá</w:t>
      </w:r>
      <w:r w:rsidRPr="008F03E5">
        <w:rPr>
          <w:rFonts w:eastAsia="PMingLiU"/>
          <w:u w:val="single"/>
          <w:lang w:eastAsia="zh-TW"/>
        </w:rPr>
        <w:t>sh</w:t>
      </w:r>
    </w:p>
    <w:p w14:paraId="00DF9A3E" w14:textId="77777777" w:rsidR="00625A5B" w:rsidRPr="008F03E5" w:rsidRDefault="00625A5B" w:rsidP="004C15E3">
      <w:pPr>
        <w:pStyle w:val="Translit"/>
      </w:pPr>
      <w:r w:rsidRPr="00077779">
        <w:rPr>
          <w:lang w:val="fr-FR"/>
        </w:rPr>
        <w:t>Risha, Rishat</w:t>
      </w:r>
      <w:r w:rsidRPr="00077779">
        <w:rPr>
          <w:lang w:val="fr-FR"/>
        </w:rPr>
        <w:tab/>
        <w:t>Rí</w:t>
      </w:r>
      <w:r w:rsidRPr="00077779">
        <w:rPr>
          <w:u w:val="single"/>
          <w:lang w:val="fr-FR"/>
        </w:rPr>
        <w:t>sh</w:t>
      </w:r>
      <w:r w:rsidRPr="00077779">
        <w:rPr>
          <w:lang w:val="fr-FR"/>
        </w:rPr>
        <w:t xml:space="preserve">a[t] (n. -un.) pl. </w:t>
      </w:r>
      <w:r w:rsidRPr="008F03E5">
        <w:t>Rí</w:t>
      </w:r>
      <w:r w:rsidRPr="008F03E5">
        <w:rPr>
          <w:u w:val="single"/>
        </w:rPr>
        <w:t>sh</w:t>
      </w:r>
      <w:r w:rsidRPr="008F03E5">
        <w:t>át</w:t>
      </w:r>
      <w:r w:rsidRPr="008F03E5">
        <w:tab/>
        <w:t>feather; quill; writing pen; brush (of a painter); plectrum; lancet; (e.g.) reed (of certain wind instruments, e.g., of the oboe (music)</w:t>
      </w:r>
    </w:p>
    <w:p w14:paraId="1D2CF5B2" w14:textId="77777777" w:rsidR="00625A5B" w:rsidRPr="00026300" w:rsidRDefault="00625A5B" w:rsidP="003610FD">
      <w:pPr>
        <w:pStyle w:val="Translit"/>
      </w:pPr>
      <w:r w:rsidRPr="00026300">
        <w:t>Rish-Safid</w:t>
      </w:r>
      <w:r w:rsidRPr="00026300">
        <w:tab/>
        <w:t>Rí</w:t>
      </w:r>
      <w:r w:rsidRPr="00026300">
        <w:rPr>
          <w:u w:val="single"/>
        </w:rPr>
        <w:t>sh</w:t>
      </w:r>
      <w:r w:rsidRPr="00026300">
        <w:t>-Safíd</w:t>
      </w:r>
      <w:r w:rsidRPr="00026300">
        <w:tab/>
        <w:t>“white beard” of wisdom, a person in charge of the welfare of a group of a few households.  The term denoted a person of wisdom and experience within the community.</w:t>
      </w:r>
    </w:p>
    <w:p w14:paraId="60DA77D8" w14:textId="77777777" w:rsidR="00625A5B" w:rsidRPr="008F03E5" w:rsidRDefault="00625A5B" w:rsidP="00EE396D">
      <w:pPr>
        <w:pStyle w:val="Translit"/>
      </w:pPr>
      <w:r w:rsidRPr="008F03E5">
        <w:t>Riyal</w:t>
      </w:r>
      <w:r w:rsidRPr="008F03E5">
        <w:tab/>
        <w:t>Riyál, pl. Riyálát</w:t>
      </w:r>
      <w:r w:rsidRPr="008F03E5">
        <w:tab/>
        <w:t>a silver coin</w:t>
      </w:r>
    </w:p>
    <w:p w14:paraId="38347811" w14:textId="77777777" w:rsidR="00625A5B" w:rsidRPr="008F03E5" w:rsidRDefault="00625A5B" w:rsidP="00781F0C">
      <w:pPr>
        <w:pStyle w:val="Translit"/>
        <w:rPr>
          <w:rFonts w:eastAsia="PMingLiU"/>
          <w:lang w:eastAsia="zh-TW"/>
        </w:rPr>
      </w:pPr>
      <w:r w:rsidRPr="00291EAC">
        <w:rPr>
          <w:rFonts w:eastAsia="PMingLiU"/>
          <w:lang w:eastAsia="zh-TW"/>
        </w:rPr>
        <w:t>Riz-Ab (Rizab</w:t>
      </w:r>
      <w:r>
        <w:rPr>
          <w:rFonts w:eastAsia="PMingLiU"/>
          <w:lang w:eastAsia="zh-TW"/>
        </w:rPr>
        <w:t>, Rezab</w:t>
      </w:r>
      <w:r w:rsidRPr="00291EAC">
        <w:rPr>
          <w:rFonts w:eastAsia="PMingLiU"/>
          <w:lang w:eastAsia="zh-TW"/>
        </w:rPr>
        <w:t>)</w:t>
      </w:r>
      <w:r w:rsidRPr="00291EAC">
        <w:rPr>
          <w:rFonts w:eastAsia="PMingLiU"/>
          <w:lang w:eastAsia="zh-TW"/>
        </w:rPr>
        <w:tab/>
        <w:t>R</w:t>
      </w:r>
      <w:r w:rsidRPr="00291EAC">
        <w:t>í</w:t>
      </w:r>
      <w:r w:rsidRPr="00291EAC">
        <w:rPr>
          <w:rFonts w:eastAsia="PMingLiU"/>
          <w:lang w:eastAsia="zh-TW"/>
        </w:rPr>
        <w:t>z-</w:t>
      </w:r>
      <w:r w:rsidRPr="00291EAC">
        <w:t>Á</w:t>
      </w:r>
      <w:r w:rsidRPr="00291EAC">
        <w:rPr>
          <w:rFonts w:eastAsia="PMingLiU"/>
          <w:lang w:eastAsia="zh-TW"/>
        </w:rPr>
        <w:t>b</w:t>
      </w:r>
      <w:r w:rsidRPr="00291EAC">
        <w:rPr>
          <w:rFonts w:eastAsia="PMingLiU"/>
          <w:lang w:eastAsia="zh-TW"/>
        </w:rPr>
        <w:tab/>
      </w:r>
      <w:r>
        <w:rPr>
          <w:rFonts w:eastAsia="PMingLiU"/>
          <w:lang w:eastAsia="zh-TW"/>
        </w:rPr>
        <w:t>Pers. waste bath or washing water.  A</w:t>
      </w:r>
      <w:r w:rsidRPr="00291EAC">
        <w:rPr>
          <w:rFonts w:eastAsia="PMingLiU"/>
          <w:lang w:eastAsia="zh-TW"/>
        </w:rPr>
        <w:t xml:space="preserve"> village (empty? </w:t>
      </w:r>
      <w:r w:rsidRPr="008F03E5">
        <w:rPr>
          <w:rFonts w:eastAsia="PMingLiU"/>
          <w:lang w:eastAsia="zh-TW"/>
        </w:rPr>
        <w:t xml:space="preserve">31.302413, 54.080200?) in Taft County, Yazd Province, Iran.  90 km </w:t>
      </w:r>
      <w:r w:rsidRPr="008F03E5">
        <w:rPr>
          <w:sz w:val="16"/>
          <w:szCs w:val="16"/>
        </w:rPr>
        <w:t>SW</w:t>
      </w:r>
      <w:r w:rsidRPr="008F03E5">
        <w:rPr>
          <w:rFonts w:eastAsia="PMingLiU"/>
          <w:lang w:eastAsia="zh-TW"/>
        </w:rPr>
        <w:t xml:space="preserve"> of Yazd.</w:t>
      </w:r>
      <w:r w:rsidRPr="00781F0C">
        <w:t xml:space="preserve"> </w:t>
      </w:r>
      <w:r>
        <w:t xml:space="preserve"> A village (</w:t>
      </w:r>
      <w:r w:rsidRPr="00781F0C">
        <w:rPr>
          <w:rFonts w:eastAsia="PMingLiU"/>
          <w:lang w:eastAsia="zh-TW"/>
        </w:rPr>
        <w:t>28.853536, 55.008231</w:t>
      </w:r>
      <w:r>
        <w:rPr>
          <w:rFonts w:eastAsia="PMingLiU"/>
          <w:lang w:eastAsia="zh-TW"/>
        </w:rPr>
        <w:t xml:space="preserve">) 78 km </w:t>
      </w:r>
      <w:r w:rsidRPr="00BC5FC2">
        <w:rPr>
          <w:sz w:val="16"/>
          <w:szCs w:val="16"/>
        </w:rPr>
        <w:t>SE</w:t>
      </w:r>
      <w:r>
        <w:rPr>
          <w:rFonts w:eastAsia="PMingLiU"/>
          <w:lang w:eastAsia="zh-TW"/>
        </w:rPr>
        <w:t xml:space="preserve"> of Nayriz.</w:t>
      </w:r>
    </w:p>
    <w:p w14:paraId="4FEEF732" w14:textId="77777777" w:rsidR="00625A5B" w:rsidRPr="008F03E5" w:rsidRDefault="00625A5B" w:rsidP="00AB6BBC">
      <w:pPr>
        <w:pStyle w:val="Translit"/>
        <w:rPr>
          <w:rFonts w:eastAsia="PMingLiU"/>
          <w:lang w:eastAsia="zh-TW"/>
        </w:rPr>
      </w:pPr>
      <w:r w:rsidRPr="008F03E5">
        <w:rPr>
          <w:rFonts w:eastAsia="PMingLiU"/>
          <w:lang w:eastAsia="zh-TW"/>
        </w:rPr>
        <w:t>Rizq, Arzaq</w:t>
      </w:r>
      <w:r w:rsidRPr="008F03E5">
        <w:rPr>
          <w:rFonts w:eastAsia="PMingLiU"/>
          <w:lang w:eastAsia="zh-TW"/>
        </w:rPr>
        <w:tab/>
        <w:t>Rizq, pl. Arzáq</w:t>
      </w:r>
      <w:r w:rsidRPr="008F03E5">
        <w:rPr>
          <w:rFonts w:eastAsia="PMingLiU"/>
          <w:lang w:eastAsia="zh-TW"/>
        </w:rPr>
        <w:tab/>
        <w:t>livelihood, means of living, subsistence; daily bread, nourishment, sustenance; boon, blessing (of God); property, possessions, wealth, fortune; income; pay, wages</w:t>
      </w:r>
    </w:p>
    <w:p w14:paraId="1D8E1CE5" w14:textId="77777777" w:rsidR="00625A5B" w:rsidRPr="008F03E5" w:rsidRDefault="00625A5B" w:rsidP="006C7BF4">
      <w:pPr>
        <w:pStyle w:val="Translit"/>
        <w:rPr>
          <w:rFonts w:eastAsia="PMingLiU"/>
          <w:lang w:eastAsia="zh-TW"/>
        </w:rPr>
      </w:pPr>
      <w:r w:rsidRPr="008F03E5">
        <w:rPr>
          <w:rFonts w:eastAsia="PMingLiU"/>
          <w:lang w:eastAsia="zh-TW"/>
        </w:rPr>
        <w:t>Rizqu’llah</w:t>
      </w:r>
      <w:r w:rsidRPr="008F03E5">
        <w:rPr>
          <w:rFonts w:eastAsia="PMingLiU"/>
          <w:lang w:eastAsia="zh-TW"/>
        </w:rPr>
        <w:tab/>
        <w:t>Rizqu’ll</w:t>
      </w:r>
      <w:r w:rsidRPr="008F03E5">
        <w:t>á</w:t>
      </w:r>
      <w:r w:rsidRPr="008F03E5">
        <w:rPr>
          <w:rFonts w:eastAsia="PMingLiU"/>
          <w:lang w:eastAsia="zh-TW"/>
        </w:rPr>
        <w:t>h</w:t>
      </w:r>
      <w:r w:rsidRPr="008F03E5">
        <w:rPr>
          <w:rFonts w:eastAsia="PMingLiU"/>
          <w:lang w:eastAsia="zh-TW"/>
        </w:rPr>
        <w:tab/>
        <w:t>“God bless him”, “fortune from God”</w:t>
      </w:r>
    </w:p>
    <w:p w14:paraId="6FF74DF6" w14:textId="77777777" w:rsidR="00625A5B" w:rsidRPr="008F03E5" w:rsidRDefault="00625A5B" w:rsidP="005D46B7">
      <w:pPr>
        <w:pStyle w:val="Translit"/>
        <w:rPr>
          <w:rFonts w:eastAsia="PMingLiU"/>
          <w:lang w:eastAsia="zh-TW"/>
        </w:rPr>
      </w:pPr>
      <w:r w:rsidRPr="008F03E5">
        <w:rPr>
          <w:rFonts w:eastAsia="PMingLiU"/>
          <w:lang w:eastAsia="zh-TW"/>
        </w:rPr>
        <w:t>Rizwan, Ruzwan</w:t>
      </w:r>
      <w:r w:rsidRPr="008F03E5">
        <w:rPr>
          <w:rFonts w:eastAsia="PMingLiU"/>
          <w:lang w:eastAsia="zh-TW"/>
        </w:rPr>
        <w:tab/>
        <w:t>Rizwán, Ruzwán</w:t>
      </w:r>
      <w:r w:rsidRPr="008F03E5">
        <w:rPr>
          <w:rFonts w:eastAsia="PMingLiU"/>
          <w:lang w:eastAsia="zh-TW"/>
        </w:rPr>
        <w:tab/>
        <w:t>Pers. accepting, acquiescing; being pleased, gratified;—rizwán, a blessing, benediction; paradise; name of the porter or gardener of paradise</w:t>
      </w:r>
    </w:p>
    <w:p w14:paraId="7D76CF39" w14:textId="77777777" w:rsidR="00625A5B" w:rsidRPr="008F03E5" w:rsidRDefault="00625A5B" w:rsidP="00E513D3">
      <w:pPr>
        <w:pStyle w:val="Translit"/>
      </w:pPr>
      <w:r w:rsidRPr="008F03E5">
        <w:t>Ru’ya’, Ruya</w:t>
      </w:r>
      <w:r w:rsidRPr="008F03E5">
        <w:tab/>
        <w:t>Ru’ya’, Rúyá</w:t>
      </w:r>
      <w:r w:rsidRPr="008F03E5">
        <w:tab/>
        <w:t>seeing, looking, viewing, vision; inspection, examination.  See Ra’á</w:t>
      </w:r>
    </w:p>
    <w:p w14:paraId="51F8BD76" w14:textId="77777777" w:rsidR="00625A5B" w:rsidRPr="008F03E5" w:rsidRDefault="00625A5B" w:rsidP="00CF5C36">
      <w:pPr>
        <w:pStyle w:val="Translit"/>
        <w:rPr>
          <w:lang w:eastAsia="en-US"/>
        </w:rPr>
      </w:pPr>
      <w:r w:rsidRPr="008F03E5">
        <w:rPr>
          <w:lang w:eastAsia="en-US"/>
        </w:rPr>
        <w:t>Ru’yatú’l-Mashiyya</w:t>
      </w:r>
      <w:r w:rsidRPr="008F03E5">
        <w:rPr>
          <w:lang w:eastAsia="en-US"/>
        </w:rPr>
        <w:tab/>
        <w:t>Rú’yatú’l-Ma</w:t>
      </w:r>
      <w:r w:rsidRPr="008F03E5">
        <w:rPr>
          <w:u w:val="single"/>
        </w:rPr>
        <w:t>sh</w:t>
      </w:r>
      <w:r w:rsidRPr="008F03E5">
        <w:t>í</w:t>
      </w:r>
      <w:r w:rsidRPr="008F03E5">
        <w:rPr>
          <w:lang w:eastAsia="en-US"/>
        </w:rPr>
        <w:t>yat</w:t>
      </w:r>
      <w:r w:rsidRPr="008F03E5">
        <w:rPr>
          <w:lang w:eastAsia="en-US"/>
        </w:rPr>
        <w:tab/>
        <w:t>“vision of the Primal Will of God”</w:t>
      </w:r>
    </w:p>
    <w:p w14:paraId="4E89262B" w14:textId="77777777" w:rsidR="00625A5B" w:rsidRPr="008F03E5" w:rsidRDefault="00625A5B" w:rsidP="005C25ED">
      <w:pPr>
        <w:pStyle w:val="Translit"/>
      </w:pPr>
      <w:r w:rsidRPr="008F03E5">
        <w:t>Rub’, Arba’</w:t>
      </w:r>
      <w:r w:rsidRPr="008F03E5">
        <w:tab/>
        <w:t>Rub‘, pl. Arbá‘</w:t>
      </w:r>
      <w:r w:rsidRPr="008F03E5">
        <w:tab/>
        <w:t xml:space="preserve">quarter, fourth part; roubouh, a dry measure.  ar-Rub‘ al </w:t>
      </w:r>
      <w:r w:rsidRPr="008F03E5">
        <w:rPr>
          <w:u w:val="single"/>
        </w:rPr>
        <w:t>Kh</w:t>
      </w:r>
      <w:r w:rsidRPr="008F03E5">
        <w:t>álí (“empty quarter”, desert region in southern Arabia, largest in the world)</w:t>
      </w:r>
    </w:p>
    <w:p w14:paraId="7E8A1257" w14:textId="77777777" w:rsidR="00625A5B" w:rsidRPr="008F03E5" w:rsidRDefault="00625A5B" w:rsidP="00C3538A">
      <w:pPr>
        <w:pStyle w:val="Translit"/>
      </w:pPr>
      <w:r w:rsidRPr="008F03E5">
        <w:t>Ruba’i, Ruba’iyyat</w:t>
      </w:r>
      <w:r w:rsidRPr="008F03E5">
        <w:tab/>
        <w:t>Rubá‘í, pl. Rubá’iyát</w:t>
      </w:r>
      <w:r w:rsidRPr="008F03E5">
        <w:tab/>
        <w:t>consisting or four, quadripartite, fourfold, quadruple; quadrangular; tetragonal; (grammar) consisting of four radical letters, quadriliteral; quartet;—pl.</w:t>
      </w:r>
      <w:r w:rsidRPr="008F03E5">
        <w:rPr>
          <w:i/>
          <w:iCs/>
        </w:rPr>
        <w:t xml:space="preserve"> </w:t>
      </w:r>
      <w:r w:rsidRPr="008F03E5">
        <w:t>quatrains (poetry)</w:t>
      </w:r>
    </w:p>
    <w:p w14:paraId="11EE81D4" w14:textId="77777777" w:rsidR="00625A5B" w:rsidRPr="008F03E5" w:rsidRDefault="00625A5B" w:rsidP="004674B7">
      <w:pPr>
        <w:pStyle w:val="Translit"/>
      </w:pPr>
      <w:r w:rsidRPr="008F03E5">
        <w:t>Ruba’iyat ‘Umar</w:t>
      </w:r>
      <w:r w:rsidRPr="008F03E5">
        <w:tab/>
        <w:t xml:space="preserve">Rubá’iyát ‘Umar </w:t>
      </w:r>
      <w:r w:rsidRPr="008F03E5">
        <w:rPr>
          <w:u w:val="single"/>
        </w:rPr>
        <w:t>Kh</w:t>
      </w:r>
      <w:r w:rsidRPr="008F03E5">
        <w:t>ayyám</w:t>
      </w:r>
      <w:r w:rsidRPr="008F03E5">
        <w:tab/>
        <w:t>“Rubaiyat of Omar Khayyam” trans. Edward FitzGerald</w:t>
      </w:r>
    </w:p>
    <w:p w14:paraId="05F75CFD" w14:textId="77777777" w:rsidR="00625A5B" w:rsidRPr="008F03E5" w:rsidRDefault="00625A5B" w:rsidP="00AC0AF8">
      <w:pPr>
        <w:pStyle w:val="Translit"/>
      </w:pPr>
      <w:r w:rsidRPr="008F03E5">
        <w:t>Rubat-Karim (Robat-Karim)</w:t>
      </w:r>
      <w:r w:rsidRPr="008F03E5">
        <w:tab/>
        <w:t>Rubáṭ-Karím</w:t>
      </w:r>
      <w:r w:rsidRPr="008F03E5">
        <w:tab/>
        <w:t xml:space="preserve">(formerly known as </w:t>
      </w:r>
      <w:r w:rsidRPr="008F03E5">
        <w:rPr>
          <w:u w:val="single"/>
        </w:rPr>
        <w:t>Sh</w:t>
      </w:r>
      <w:r w:rsidRPr="008F03E5">
        <w:t xml:space="preserve">ahríyár and </w:t>
      </w:r>
      <w:r w:rsidRPr="008F03E5">
        <w:rPr>
          <w:u w:val="single"/>
        </w:rPr>
        <w:t>Sh</w:t>
      </w:r>
      <w:r w:rsidRPr="008F03E5">
        <w:t xml:space="preserve">ahryár) is a city (39 km </w:t>
      </w:r>
      <w:r w:rsidRPr="008F03E5">
        <w:rPr>
          <w:sz w:val="16"/>
          <w:szCs w:val="16"/>
        </w:rPr>
        <w:t>SW</w:t>
      </w:r>
      <w:r w:rsidRPr="008F03E5">
        <w:t xml:space="preserve"> of Teheran; 35.472695, 51.084748) in Tehran Province, Iran.  Nabíl-i-A‘ẓam first heard of the declaration of the Báb while visiting an uncle what was then a village.  See Ribáṭ.</w:t>
      </w:r>
    </w:p>
    <w:p w14:paraId="7DB70782" w14:textId="77777777" w:rsidR="00625A5B" w:rsidRPr="008F03E5" w:rsidRDefault="00625A5B" w:rsidP="005D5D54">
      <w:pPr>
        <w:pStyle w:val="Translit"/>
      </w:pPr>
      <w:r w:rsidRPr="008F03E5">
        <w:t>Rubban (Rabban), Rubaniya, Rababina</w:t>
      </w:r>
      <w:r w:rsidRPr="008F03E5">
        <w:tab/>
        <w:t>Rubbán, pl. Rubbáníya, Rabábina[h]</w:t>
      </w:r>
      <w:r w:rsidRPr="008F03E5">
        <w:tab/>
        <w:t>master, captain, pilot, skipper, boatswain, navigator</w:t>
      </w:r>
    </w:p>
    <w:p w14:paraId="71A80FDE" w14:textId="77777777" w:rsidR="00625A5B" w:rsidRPr="008F03E5" w:rsidRDefault="00625A5B" w:rsidP="004279C3">
      <w:pPr>
        <w:pStyle w:val="Translit"/>
      </w:pPr>
      <w:r w:rsidRPr="008F03E5">
        <w:t>Rububiya, Rububiy</w:t>
      </w:r>
      <w:r>
        <w:t>y</w:t>
      </w:r>
      <w:r w:rsidRPr="008F03E5">
        <w:t>a</w:t>
      </w:r>
      <w:r w:rsidRPr="008F03E5">
        <w:tab/>
        <w:t>Rubúbíya</w:t>
      </w:r>
      <w:r>
        <w:t>[h or t]</w:t>
      </w:r>
      <w:r w:rsidRPr="008F03E5">
        <w:t>, Pers. Rubúb</w:t>
      </w:r>
      <w:r>
        <w:t>i</w:t>
      </w:r>
      <w:r w:rsidRPr="008F03E5">
        <w:t>yyih</w:t>
      </w:r>
      <w:r w:rsidRPr="008F03E5">
        <w:tab/>
        <w:t>divinity, deity, godship, dominion, supreme power</w:t>
      </w:r>
    </w:p>
    <w:p w14:paraId="5775AB69" w14:textId="77777777" w:rsidR="00625A5B" w:rsidRPr="008F03E5" w:rsidRDefault="00625A5B" w:rsidP="00F8434F">
      <w:pPr>
        <w:pStyle w:val="Translit"/>
      </w:pPr>
      <w:r w:rsidRPr="008F03E5">
        <w:t>Rud</w:t>
      </w:r>
      <w:r w:rsidRPr="008F03E5">
        <w:tab/>
        <w:t>Rúd</w:t>
      </w:r>
      <w:r w:rsidRPr="008F03E5">
        <w:tab/>
        <w:t>Pers. river, torrent, flowing water; the Oxus; intestines, gut; the string of a musical instrument; a bow-string; song, cheerfulness, jovial conversation, convivial mirth; vocal or instrumental music; a son or daughter; a beautiful brunette; a comely and amiable youth; a plucked bird; a shorn sheep.  Used as a suffix with given name, as in Yálrúd.</w:t>
      </w:r>
    </w:p>
    <w:p w14:paraId="583DCD69" w14:textId="77777777" w:rsidR="00625A5B" w:rsidRPr="008F03E5" w:rsidRDefault="00625A5B" w:rsidP="00956ED6">
      <w:pPr>
        <w:pStyle w:val="Translit"/>
      </w:pPr>
      <w:r w:rsidRPr="008F03E5">
        <w:t>Rudaki</w:t>
      </w:r>
      <w:r w:rsidRPr="008F03E5">
        <w:tab/>
        <w:t>Rúdakí</w:t>
      </w:r>
      <w:r w:rsidRPr="008F03E5">
        <w:tab/>
        <w:t xml:space="preserve">from a Rúdak village (in Fars (very small, 29°37′31″ N 51°25′57″ </w:t>
      </w:r>
      <w:r w:rsidRPr="008F03E5">
        <w:rPr>
          <w:sz w:val="16"/>
          <w:szCs w:val="16"/>
        </w:rPr>
        <w:t>E</w:t>
      </w:r>
      <w:r w:rsidRPr="008F03E5">
        <w:t>), Qazvin (35.694810, 49.894467) and Tihran (</w:t>
      </w:r>
      <w:r w:rsidRPr="008F03E5">
        <w:rPr>
          <w:sz w:val="16"/>
          <w:szCs w:val="16"/>
        </w:rPr>
        <w:t>NE</w:t>
      </w:r>
      <w:r w:rsidRPr="008F03E5">
        <w:t xml:space="preserve"> Tihran, 35°50′55″ </w:t>
      </w:r>
      <w:r w:rsidRPr="008F03E5">
        <w:rPr>
          <w:sz w:val="16"/>
          <w:szCs w:val="16"/>
        </w:rPr>
        <w:t>N</w:t>
      </w:r>
      <w:r w:rsidRPr="008F03E5">
        <w:t xml:space="preserve"> 51°32′59″ </w:t>
      </w:r>
      <w:r w:rsidRPr="008F03E5">
        <w:rPr>
          <w:sz w:val="16"/>
          <w:szCs w:val="16"/>
        </w:rPr>
        <w:t>E</w:t>
      </w:r>
      <w:r w:rsidRPr="008F03E5">
        <w:t xml:space="preserve">) Provinces).  Abú ‘Abd Alláh Ja‘far ibn Muḥammad ar-Rúdakí (died 941), better known as Rúdakí, a Persian poet regarded as the first great literary genius of the modern Persian language.  He was born in </w:t>
      </w:r>
      <w:r w:rsidRPr="008F03E5">
        <w:rPr>
          <w:rFonts w:eastAsia="PMingLiU"/>
          <w:lang w:eastAsia="zh-TW"/>
        </w:rPr>
        <w:t>Rúdak (</w:t>
      </w:r>
      <w:r w:rsidRPr="008F03E5">
        <w:t>38.437844, 68.766154)—now a town (Рӯдакӣ, 11 km south of Dushanbe) in western Tajikistan.</w:t>
      </w:r>
    </w:p>
    <w:p w14:paraId="55FE0F0F" w14:textId="77777777" w:rsidR="00625A5B" w:rsidRPr="008F03E5" w:rsidRDefault="00625A5B" w:rsidP="00C224EA">
      <w:pPr>
        <w:pStyle w:val="Translit"/>
      </w:pPr>
      <w:r w:rsidRPr="008F03E5">
        <w:rPr>
          <w:rFonts w:eastAsia="PMingLiU"/>
          <w:lang w:eastAsia="zh-TW"/>
        </w:rPr>
        <w:t>Rudbar</w:t>
      </w:r>
      <w:r w:rsidRPr="008F03E5">
        <w:rPr>
          <w:rFonts w:eastAsia="PMingLiU"/>
          <w:lang w:eastAsia="zh-TW"/>
        </w:rPr>
        <w:tab/>
        <w:t>R</w:t>
      </w:r>
      <w:r w:rsidRPr="008F03E5">
        <w:t>ú</w:t>
      </w:r>
      <w:r w:rsidRPr="008F03E5">
        <w:rPr>
          <w:rFonts w:eastAsia="PMingLiU"/>
          <w:lang w:eastAsia="zh-TW"/>
        </w:rPr>
        <w:t>db</w:t>
      </w:r>
      <w:r w:rsidRPr="008F03E5">
        <w:t>á</w:t>
      </w:r>
      <w:r w:rsidRPr="008F03E5">
        <w:rPr>
          <w:rFonts w:eastAsia="PMingLiU"/>
          <w:lang w:eastAsia="zh-TW"/>
        </w:rPr>
        <w:t>r</w:t>
      </w:r>
      <w:r w:rsidRPr="008F03E5">
        <w:rPr>
          <w:rFonts w:eastAsia="PMingLiU"/>
          <w:lang w:eastAsia="zh-TW"/>
        </w:rPr>
        <w:tab/>
        <w:t xml:space="preserve">Pers. “by the river”, </w:t>
      </w:r>
      <w:r w:rsidRPr="008F03E5">
        <w:t>a city and capital of Rudbar County, Gilan Province, Iran.  54 km south of Ra</w:t>
      </w:r>
      <w:r w:rsidRPr="008F03E5">
        <w:rPr>
          <w:u w:val="single"/>
        </w:rPr>
        <w:t>sh</w:t>
      </w:r>
      <w:r w:rsidRPr="008F03E5">
        <w:t>t.</w:t>
      </w:r>
    </w:p>
    <w:p w14:paraId="0E948B18" w14:textId="77777777" w:rsidR="00625A5B" w:rsidRPr="008F03E5" w:rsidRDefault="00625A5B" w:rsidP="005C25ED">
      <w:pPr>
        <w:pStyle w:val="Translit"/>
      </w:pPr>
      <w:r w:rsidRPr="008F03E5">
        <w:rPr>
          <w:rFonts w:eastAsia="PMingLiU"/>
          <w:lang w:eastAsia="zh-TW"/>
        </w:rPr>
        <w:t>Ruh al-Mu’ani</w:t>
      </w:r>
      <w:r w:rsidRPr="008F03E5">
        <w:rPr>
          <w:rFonts w:eastAsia="PMingLiU"/>
          <w:lang w:eastAsia="zh-TW"/>
        </w:rPr>
        <w:tab/>
        <w:t>R</w:t>
      </w:r>
      <w:r w:rsidRPr="008F03E5">
        <w:t>úḥ</w:t>
      </w:r>
      <w:r w:rsidRPr="008F03E5">
        <w:rPr>
          <w:rFonts w:eastAsia="PMingLiU"/>
          <w:lang w:eastAsia="zh-TW"/>
        </w:rPr>
        <w:t xml:space="preserve"> al-Mu’</w:t>
      </w:r>
      <w:r w:rsidRPr="008F03E5">
        <w:t>á</w:t>
      </w:r>
      <w:r w:rsidRPr="008F03E5">
        <w:rPr>
          <w:rFonts w:eastAsia="PMingLiU"/>
          <w:lang w:eastAsia="zh-TW"/>
        </w:rPr>
        <w:t>n</w:t>
      </w:r>
      <w:r w:rsidRPr="008F03E5">
        <w:t>í</w:t>
      </w:r>
      <w:r w:rsidRPr="008F03E5">
        <w:tab/>
        <w:t>ar-</w:t>
      </w:r>
      <w:r w:rsidRPr="008F03E5">
        <w:rPr>
          <w:rFonts w:eastAsia="PMingLiU"/>
          <w:lang w:eastAsia="zh-TW"/>
        </w:rPr>
        <w:t>R</w:t>
      </w:r>
      <w:r w:rsidRPr="008F03E5">
        <w:t>úḥ</w:t>
      </w:r>
      <w:r w:rsidRPr="008F03E5">
        <w:rPr>
          <w:rFonts w:eastAsia="PMingLiU"/>
          <w:lang w:eastAsia="zh-TW"/>
        </w:rPr>
        <w:t xml:space="preserve"> al-Mu‘</w:t>
      </w:r>
      <w:r w:rsidRPr="008F03E5">
        <w:t>á</w:t>
      </w:r>
      <w:r w:rsidRPr="008F03E5">
        <w:rPr>
          <w:rFonts w:eastAsia="PMingLiU"/>
          <w:lang w:eastAsia="zh-TW"/>
        </w:rPr>
        <w:t>n</w:t>
      </w:r>
      <w:r w:rsidRPr="008F03E5">
        <w:t xml:space="preserve">í, </w:t>
      </w:r>
      <w:r w:rsidRPr="008F03E5">
        <w:rPr>
          <w:i/>
          <w:iCs/>
        </w:rPr>
        <w:t>The Spirit of the Meanings</w:t>
      </w:r>
      <w:r w:rsidRPr="008F03E5">
        <w:t xml:space="preserve">, by </w:t>
      </w:r>
      <w:r w:rsidRPr="008F03E5">
        <w:rPr>
          <w:u w:val="single"/>
        </w:rPr>
        <w:t>Sh</w:t>
      </w:r>
      <w:r w:rsidRPr="008F03E5">
        <w:t>ay</w:t>
      </w:r>
      <w:r w:rsidRPr="008F03E5">
        <w:rPr>
          <w:u w:val="single"/>
        </w:rPr>
        <w:t>kh</w:t>
      </w:r>
      <w:r w:rsidRPr="008F03E5">
        <w:t xml:space="preserve"> Maḥmúd al-Álúsí</w:t>
      </w:r>
    </w:p>
    <w:p w14:paraId="73A8C69F" w14:textId="77777777" w:rsidR="00625A5B" w:rsidRPr="008F03E5" w:rsidRDefault="00625A5B" w:rsidP="002F0D0F">
      <w:pPr>
        <w:pStyle w:val="Translit"/>
      </w:pPr>
      <w:r w:rsidRPr="008F03E5">
        <w:t>Ruh Husayn ibn</w:t>
      </w:r>
      <w:r w:rsidRPr="008F03E5">
        <w:tab/>
        <w:t>Rúḥ, Ḥusayn ibn</w:t>
      </w:r>
      <w:r w:rsidRPr="008F03E5">
        <w:tab/>
        <w:t>Abú al-Qásim al-Ḥusayn ibn Rúḥ an-Nawba</w:t>
      </w:r>
      <w:r w:rsidRPr="008F03E5">
        <w:rPr>
          <w:u w:val="single"/>
        </w:rPr>
        <w:t>kh</w:t>
      </w:r>
      <w:r w:rsidRPr="008F03E5">
        <w:t>tíy) was the third of the four deputies of the twelfth Imám</w:t>
      </w:r>
    </w:p>
    <w:p w14:paraId="2CD8B6BA" w14:textId="77777777" w:rsidR="00625A5B" w:rsidRPr="008F03E5" w:rsidRDefault="00625A5B" w:rsidP="00A208A3">
      <w:pPr>
        <w:pStyle w:val="Translit"/>
      </w:pPr>
      <w:r w:rsidRPr="008F03E5">
        <w:t>Ruh, Arwah</w:t>
      </w:r>
      <w:r w:rsidRPr="008F03E5">
        <w:tab/>
        <w:t>Rúḥ m. &amp; f., pl. Arwáḥ</w:t>
      </w:r>
      <w:r w:rsidRPr="008F03E5">
        <w:tab/>
        <w:t>breath of life, soul; spirit (in all senses); gun barrel</w:t>
      </w:r>
    </w:p>
    <w:p w14:paraId="10E6C5E1" w14:textId="77777777" w:rsidR="00625A5B" w:rsidRPr="008F03E5" w:rsidRDefault="00625A5B" w:rsidP="00E847FD">
      <w:pPr>
        <w:pStyle w:val="Translit"/>
        <w:rPr>
          <w:rFonts w:eastAsia="PMingLiU"/>
          <w:lang w:eastAsia="zh-TW"/>
        </w:rPr>
      </w:pPr>
      <w:r w:rsidRPr="008F03E5">
        <w:rPr>
          <w:rFonts w:eastAsia="PMingLiU"/>
          <w:lang w:eastAsia="zh-TW"/>
        </w:rPr>
        <w:t>Ruha</w:t>
      </w:r>
      <w:r w:rsidRPr="008F03E5">
        <w:tab/>
      </w:r>
      <w:r w:rsidRPr="008F03E5">
        <w:rPr>
          <w:rFonts w:eastAsia="PMingLiU"/>
          <w:lang w:eastAsia="zh-TW"/>
        </w:rPr>
        <w:t>Rú</w:t>
      </w:r>
      <w:r w:rsidRPr="008F03E5">
        <w:t>ḥ</w:t>
      </w:r>
      <w:r w:rsidRPr="008F03E5">
        <w:rPr>
          <w:rFonts w:eastAsia="PMingLiU"/>
          <w:lang w:eastAsia="zh-TW"/>
        </w:rPr>
        <w:t>á</w:t>
      </w:r>
      <w:r w:rsidRPr="008F03E5">
        <w:tab/>
        <w:t xml:space="preserve">wind, breath, spirit.  Rúḥá </w:t>
      </w:r>
      <w:r w:rsidRPr="008F03E5">
        <w:rPr>
          <w:u w:val="single"/>
        </w:rPr>
        <w:t>Kh</w:t>
      </w:r>
      <w:r w:rsidRPr="008F03E5">
        <w:t>ánum (1880–1971) a twin daughter of ‘Abdu’l-Bahá.  See Ṭ</w:t>
      </w:r>
      <w:r w:rsidRPr="008F03E5">
        <w:rPr>
          <w:rFonts w:eastAsia="PMingLiU"/>
          <w:lang w:eastAsia="zh-TW"/>
        </w:rPr>
        <w:t>úbá.</w:t>
      </w:r>
    </w:p>
    <w:p w14:paraId="00420715" w14:textId="77777777" w:rsidR="00625A5B" w:rsidRPr="008F03E5" w:rsidRDefault="00625A5B" w:rsidP="00F45FD2">
      <w:pPr>
        <w:pStyle w:val="Translit"/>
      </w:pPr>
      <w:r w:rsidRPr="008F03E5">
        <w:t>Ruhangiz, Ruh-Angiz</w:t>
      </w:r>
      <w:r w:rsidRPr="008F03E5">
        <w:tab/>
        <w:t>Rúḥángíz</w:t>
      </w:r>
      <w:r w:rsidRPr="008F03E5">
        <w:tab/>
        <w:t>Pers. (rúḥ + ángíz) “raising the spirit”.  Rúḥángíz Rabbání a sister of Shoghi Effendi.</w:t>
      </w:r>
    </w:p>
    <w:p w14:paraId="001668E7" w14:textId="77777777" w:rsidR="00625A5B" w:rsidRPr="008F03E5" w:rsidRDefault="00625A5B" w:rsidP="00F45FD2">
      <w:pPr>
        <w:pStyle w:val="Translit"/>
      </w:pPr>
      <w:r w:rsidRPr="008F03E5">
        <w:t>Ruhani, Ruhanun</w:t>
      </w:r>
      <w:r w:rsidRPr="008F03E5">
        <w:tab/>
        <w:t>Rúḥání, pl. Rúḥánún</w:t>
      </w:r>
      <w:r w:rsidRPr="008F03E5">
        <w:tab/>
        <w:t>spiritual, immaterial; divine, sacred, holy; clergyman, minister (Christian)</w:t>
      </w:r>
    </w:p>
    <w:p w14:paraId="76C32934" w14:textId="77777777" w:rsidR="00625A5B" w:rsidRPr="008F03E5" w:rsidRDefault="00625A5B" w:rsidP="00F72E25">
      <w:pPr>
        <w:pStyle w:val="Translit"/>
      </w:pPr>
      <w:r w:rsidRPr="008F03E5">
        <w:t>Ruhaniya, Ruhaniyyih</w:t>
      </w:r>
      <w:r w:rsidRPr="008F03E5">
        <w:tab/>
        <w:t>Rúḥáníya, Pers. Rúḥán</w:t>
      </w:r>
      <w:r>
        <w:t>i</w:t>
      </w:r>
      <w:r w:rsidRPr="008F03E5">
        <w:t>yyih</w:t>
      </w:r>
      <w:r w:rsidRPr="008F03E5">
        <w:tab/>
        <w:t>spirituality; transfiguration</w:t>
      </w:r>
    </w:p>
    <w:p w14:paraId="38109C73" w14:textId="77777777" w:rsidR="00625A5B" w:rsidRPr="008F03E5" w:rsidRDefault="00625A5B" w:rsidP="00715931">
      <w:pPr>
        <w:pStyle w:val="Translit"/>
      </w:pPr>
      <w:r w:rsidRPr="008F03E5">
        <w:t>Ruhi Afnan</w:t>
      </w:r>
      <w:r w:rsidRPr="008F03E5">
        <w:tab/>
        <w:t>Rúḥí Afnán</w:t>
      </w:r>
      <w:r w:rsidRPr="008F03E5">
        <w:tab/>
        <w:t>Shoghi Effendi’s cousin, Rúḥí Muḥsin Afnán, known as Ruhi Effendi, eldest son of ‘Abdu’l-Bahá’s daughter, Ṭúbá</w:t>
      </w:r>
    </w:p>
    <w:p w14:paraId="704EC2D0" w14:textId="77777777" w:rsidR="00625A5B" w:rsidRDefault="00625A5B" w:rsidP="00C54539">
      <w:pPr>
        <w:pStyle w:val="Translit"/>
      </w:pPr>
      <w:r>
        <w:rPr>
          <w:lang w:val="en-US" w:eastAsia="en-US"/>
        </w:rPr>
        <w:t>Ruhi Fida’</w:t>
      </w:r>
      <w:r>
        <w:rPr>
          <w:lang w:val="en-US" w:eastAsia="en-US"/>
        </w:rPr>
        <w:tab/>
        <w:t>R</w:t>
      </w:r>
      <w:r w:rsidRPr="004003CC">
        <w:t>úḥí</w:t>
      </w:r>
      <w:r w:rsidRPr="00660F23">
        <w:rPr>
          <w:lang w:val="en-US" w:eastAsia="en-US"/>
        </w:rPr>
        <w:t xml:space="preserve"> </w:t>
      </w:r>
      <w:r>
        <w:rPr>
          <w:lang w:val="en-US" w:eastAsia="en-US"/>
        </w:rPr>
        <w:t>Fi</w:t>
      </w:r>
      <w:r w:rsidRPr="00660F23">
        <w:rPr>
          <w:lang w:val="en-US" w:eastAsia="en-US"/>
        </w:rPr>
        <w:t>d</w:t>
      </w:r>
      <w:r w:rsidRPr="004003CC">
        <w:t>á</w:t>
      </w:r>
      <w:r>
        <w:t>’</w:t>
      </w:r>
      <w:r>
        <w:tab/>
        <w:t>“</w:t>
      </w:r>
      <w:r w:rsidRPr="0076490D">
        <w:t>my soul is redemption</w:t>
      </w:r>
      <w:r>
        <w:t>”, a common expression</w:t>
      </w:r>
    </w:p>
    <w:p w14:paraId="18949A01" w14:textId="77777777" w:rsidR="00625A5B" w:rsidRPr="008F03E5" w:rsidRDefault="00625A5B" w:rsidP="00CC20CF">
      <w:pPr>
        <w:pStyle w:val="Translit"/>
      </w:pPr>
      <w:r w:rsidRPr="008F03E5">
        <w:t>Ruhi, Ruhat</w:t>
      </w:r>
      <w:r w:rsidRPr="008F03E5">
        <w:tab/>
        <w:t>Rúḥí, pl. Rúḥát</w:t>
      </w:r>
      <w:r w:rsidRPr="008F03E5">
        <w:tab/>
        <w:t>spirituous; spiritual;—pl. spiritual things</w:t>
      </w:r>
    </w:p>
    <w:p w14:paraId="17E4D62F" w14:textId="77777777" w:rsidR="00625A5B" w:rsidRPr="008F03E5" w:rsidRDefault="00625A5B" w:rsidP="005F6749">
      <w:pPr>
        <w:pStyle w:val="Translit"/>
      </w:pPr>
      <w:r w:rsidRPr="008F03E5">
        <w:t>Ruhiya, Ruhiyyih</w:t>
      </w:r>
      <w:r w:rsidRPr="008F03E5">
        <w:tab/>
        <w:t>Rúḥíya, Pers. Rúḥiyyih</w:t>
      </w:r>
      <w:r w:rsidRPr="008F03E5">
        <w:tab/>
        <w:t xml:space="preserve">spirituality; mentality, mental attitude, frame of mind.  Amatu’l-Bahá Rúḥíyyih </w:t>
      </w:r>
      <w:r w:rsidRPr="008F03E5">
        <w:rPr>
          <w:u w:val="single"/>
        </w:rPr>
        <w:t>Kh</w:t>
      </w:r>
      <w:r w:rsidRPr="008F03E5">
        <w:t>ánum Rabbani (née Mary Sutherland Maxwell).</w:t>
      </w:r>
    </w:p>
    <w:p w14:paraId="40F976EE" w14:textId="77777777" w:rsidR="00625A5B" w:rsidRPr="008F03E5" w:rsidRDefault="00625A5B" w:rsidP="00251951">
      <w:pPr>
        <w:pStyle w:val="Translit"/>
      </w:pPr>
      <w:r w:rsidRPr="008F03E5">
        <w:t>Ruhu’llah</w:t>
      </w:r>
      <w:r w:rsidRPr="008F03E5">
        <w:tab/>
        <w:t>Rúḥu’lláh</w:t>
      </w:r>
      <w:r w:rsidRPr="008F03E5">
        <w:tab/>
        <w:t>“Spirit of God”.  A designation Muslims use for Jesus (Rúḥu’lláh ‘Ísá) based on verses such as Qur’án 4:171 (Ruḥun Minhu, “Spirit of/from Him (it) (God)”).  Rúḥu’lláh Varqá was the son of Mírzá ‘Alí-Muḥammad-i-Varqá.</w:t>
      </w:r>
    </w:p>
    <w:p w14:paraId="3D546898" w14:textId="77777777" w:rsidR="00625A5B" w:rsidRPr="008F03E5" w:rsidRDefault="00625A5B" w:rsidP="00B67F31">
      <w:pPr>
        <w:pStyle w:val="Translit"/>
        <w:rPr>
          <w:rFonts w:eastAsia="PMingLiU"/>
          <w:lang w:eastAsia="zh-TW"/>
        </w:rPr>
      </w:pPr>
      <w:r w:rsidRPr="008F03E5">
        <w:rPr>
          <w:rFonts w:eastAsia="PMingLiU"/>
          <w:lang w:eastAsia="zh-TW"/>
        </w:rPr>
        <w:t>Ruhu’l-Ma’ani</w:t>
      </w:r>
      <w:r w:rsidRPr="008F03E5">
        <w:tab/>
      </w:r>
      <w:r w:rsidRPr="008F03E5">
        <w:rPr>
          <w:rFonts w:eastAsia="PMingLiU"/>
          <w:lang w:eastAsia="zh-TW"/>
        </w:rPr>
        <w:t>R</w:t>
      </w:r>
      <w:r w:rsidRPr="008F03E5">
        <w:t>úḥ</w:t>
      </w:r>
      <w:r w:rsidRPr="008F03E5">
        <w:rPr>
          <w:rFonts w:eastAsia="PMingLiU"/>
          <w:lang w:eastAsia="zh-TW"/>
        </w:rPr>
        <w:t>u’l-Ma‘</w:t>
      </w:r>
      <w:r w:rsidRPr="008F03E5">
        <w:t>á</w:t>
      </w:r>
      <w:r w:rsidRPr="008F03E5">
        <w:rPr>
          <w:rFonts w:eastAsia="PMingLiU"/>
          <w:lang w:eastAsia="zh-TW"/>
        </w:rPr>
        <w:t>n</w:t>
      </w:r>
      <w:r w:rsidRPr="008F03E5">
        <w:t>í</w:t>
      </w:r>
      <w:r w:rsidRPr="008F03E5">
        <w:tab/>
      </w:r>
      <w:r w:rsidRPr="008F03E5">
        <w:rPr>
          <w:rFonts w:eastAsia="PMingLiU"/>
          <w:lang w:eastAsia="zh-TW"/>
        </w:rPr>
        <w:t>a tafs</w:t>
      </w:r>
      <w:r w:rsidRPr="008F03E5">
        <w:t>í</w:t>
      </w:r>
      <w:r w:rsidRPr="008F03E5">
        <w:rPr>
          <w:rFonts w:eastAsia="PMingLiU"/>
          <w:lang w:eastAsia="zh-TW"/>
        </w:rPr>
        <w:t>r (exegesis) of the Qur’án by Muft</w:t>
      </w:r>
      <w:r w:rsidRPr="008F03E5">
        <w:t>í</w:t>
      </w:r>
      <w:r w:rsidRPr="008F03E5">
        <w:rPr>
          <w:rFonts w:eastAsia="PMingLiU"/>
          <w:lang w:eastAsia="zh-TW"/>
        </w:rPr>
        <w:t xml:space="preserve"> Sayyid Maḥmúd al-Álúsí al-Ba</w:t>
      </w:r>
      <w:r w:rsidRPr="008F03E5">
        <w:rPr>
          <w:rFonts w:eastAsia="PMingLiU"/>
          <w:u w:val="single"/>
          <w:lang w:eastAsia="zh-TW"/>
        </w:rPr>
        <w:t>gh</w:t>
      </w:r>
      <w:r w:rsidRPr="008F03E5">
        <w:rPr>
          <w:rFonts w:eastAsia="PMingLiU"/>
          <w:lang w:eastAsia="zh-TW"/>
        </w:rPr>
        <w:t>dádí (10 December 1802—29 July 1854), was an ‘Ir</w:t>
      </w:r>
      <w:r w:rsidRPr="008F03E5">
        <w:t>á</w:t>
      </w:r>
      <w:r w:rsidRPr="008F03E5">
        <w:rPr>
          <w:rFonts w:eastAsia="PMingLiU"/>
          <w:lang w:eastAsia="zh-TW"/>
        </w:rPr>
        <w:t>q</w:t>
      </w:r>
      <w:r w:rsidRPr="008F03E5">
        <w:t>í</w:t>
      </w:r>
      <w:r w:rsidRPr="008F03E5">
        <w:rPr>
          <w:rFonts w:eastAsia="PMingLiU"/>
          <w:lang w:eastAsia="zh-TW"/>
        </w:rPr>
        <w:t xml:space="preserve"> Islamic scholar best known for writing R</w:t>
      </w:r>
      <w:r w:rsidRPr="008F03E5">
        <w:t>úḥ</w:t>
      </w:r>
      <w:r w:rsidRPr="008F03E5">
        <w:rPr>
          <w:rFonts w:eastAsia="PMingLiU"/>
          <w:lang w:eastAsia="zh-TW"/>
        </w:rPr>
        <w:t>u’l-Ma‘</w:t>
      </w:r>
      <w:r w:rsidRPr="008F03E5">
        <w:t>á</w:t>
      </w:r>
      <w:r w:rsidRPr="008F03E5">
        <w:rPr>
          <w:rFonts w:eastAsia="PMingLiU"/>
          <w:lang w:eastAsia="zh-TW"/>
        </w:rPr>
        <w:t>n</w:t>
      </w:r>
      <w:r w:rsidRPr="008F03E5">
        <w:t>í</w:t>
      </w:r>
    </w:p>
    <w:p w14:paraId="6A3D6AC7" w14:textId="77777777" w:rsidR="00625A5B" w:rsidRPr="008F03E5" w:rsidRDefault="00625A5B" w:rsidP="00724C6E">
      <w:pPr>
        <w:pStyle w:val="Translit"/>
      </w:pPr>
      <w:r w:rsidRPr="008F03E5">
        <w:t>Rukh</w:t>
      </w:r>
      <w:r w:rsidRPr="008F03E5">
        <w:tab/>
        <w:t>Ru</w:t>
      </w:r>
      <w:r w:rsidRPr="008F03E5">
        <w:rPr>
          <w:u w:val="single"/>
        </w:rPr>
        <w:t>kh</w:t>
      </w:r>
      <w:r w:rsidRPr="008F03E5">
        <w:tab/>
        <w:t>Pers. a cheek; the face, countenance; a side, point, quarter; the rook or tower at chess; a knight-errant; a head-stall for a horse</w:t>
      </w:r>
    </w:p>
    <w:p w14:paraId="51365325" w14:textId="77777777" w:rsidR="00625A5B" w:rsidRPr="00BC189D" w:rsidRDefault="00625A5B" w:rsidP="00E44CA9">
      <w:pPr>
        <w:pStyle w:val="Translit"/>
        <w:rPr>
          <w:lang w:val="fr-FR"/>
        </w:rPr>
      </w:pPr>
      <w:r w:rsidRPr="00BC189D">
        <w:rPr>
          <w:lang w:val="fr-FR"/>
        </w:rPr>
        <w:t>Rukhsara</w:t>
      </w:r>
      <w:r w:rsidRPr="00BC189D">
        <w:rPr>
          <w:lang w:val="fr-FR"/>
        </w:rPr>
        <w:tab/>
        <w:t>Ru</w:t>
      </w:r>
      <w:r w:rsidRPr="00BC189D">
        <w:rPr>
          <w:u w:val="single"/>
          <w:lang w:val="fr-FR"/>
        </w:rPr>
        <w:t>kh</w:t>
      </w:r>
      <w:r w:rsidRPr="00BC189D">
        <w:rPr>
          <w:lang w:val="fr-FR"/>
        </w:rPr>
        <w:t>sára</w:t>
      </w:r>
      <w:r w:rsidRPr="00BC189D">
        <w:rPr>
          <w:lang w:val="fr-FR"/>
        </w:rPr>
        <w:tab/>
        <w:t>Pers. cheek, face, complexion, mien</w:t>
      </w:r>
    </w:p>
    <w:p w14:paraId="2C20A023" w14:textId="77777777" w:rsidR="00625A5B" w:rsidRPr="008F03E5" w:rsidRDefault="00625A5B" w:rsidP="003925BF">
      <w:pPr>
        <w:pStyle w:val="Translit"/>
      </w:pPr>
      <w:r w:rsidRPr="00BC189D">
        <w:rPr>
          <w:lang w:val="fr-FR"/>
        </w:rPr>
        <w:t>Rukn ar-Rabi’, Rukn-i-Rabi</w:t>
      </w:r>
      <w:r w:rsidRPr="00BC189D">
        <w:rPr>
          <w:i/>
          <w:iCs/>
          <w:lang w:val="fr-FR"/>
        </w:rPr>
        <w:tab/>
      </w:r>
      <w:r w:rsidRPr="00BC189D">
        <w:rPr>
          <w:lang w:val="fr-FR"/>
        </w:rPr>
        <w:t xml:space="preserve">ar-Rukn ar-Rábi‘, Pers. </w:t>
      </w:r>
      <w:r w:rsidRPr="008F03E5">
        <w:t>Rukn-i-Rábi‘</w:t>
      </w:r>
      <w:r w:rsidRPr="008F03E5">
        <w:tab/>
        <w:t xml:space="preserve">“The Fourth Pillar or Support” (God, Muḥammad and the Imams are the first three)—a perfect </w:t>
      </w:r>
      <w:r w:rsidRPr="008F03E5">
        <w:rPr>
          <w:u w:val="single"/>
        </w:rPr>
        <w:t>Sh</w:t>
      </w:r>
      <w:r w:rsidRPr="008F03E5">
        <w:t>í‘í man (a</w:t>
      </w:r>
      <w:r w:rsidRPr="008F03E5">
        <w:rPr>
          <w:u w:val="single"/>
        </w:rPr>
        <w:t>sh</w:t>
      </w:r>
      <w:r w:rsidRPr="008F03E5">
        <w:t>-</w:t>
      </w:r>
      <w:r w:rsidRPr="008F03E5">
        <w:rPr>
          <w:u w:val="single"/>
        </w:rPr>
        <w:t>Sh</w:t>
      </w:r>
      <w:r w:rsidRPr="008F03E5">
        <w:t>í‘í al-Kámil) believed always to exist among the Shi‘as and to serve as a Channel of grace</w:t>
      </w:r>
    </w:p>
    <w:p w14:paraId="7AAC358E" w14:textId="77777777" w:rsidR="00625A5B" w:rsidRPr="008F03E5" w:rsidRDefault="00625A5B" w:rsidP="00EA4CAD">
      <w:pPr>
        <w:pStyle w:val="Translit"/>
      </w:pPr>
      <w:r w:rsidRPr="008F03E5">
        <w:t>Rukn, Arkan</w:t>
      </w:r>
      <w:r w:rsidRPr="008F03E5">
        <w:tab/>
        <w:t>Rukn, pl. Arkán</w:t>
      </w:r>
      <w:r w:rsidRPr="008F03E5">
        <w:tab/>
        <w:t>pillar, support, prop; corner; nook; basis, basic element, first principle;</w:t>
      </w:r>
      <w:r>
        <w:t xml:space="preserve"> face</w:t>
      </w:r>
      <w:r w:rsidRPr="008F03E5">
        <w:t>—pl. staff (military); basic elements, chief elements</w:t>
      </w:r>
    </w:p>
    <w:p w14:paraId="3B8F766E" w14:textId="77777777" w:rsidR="00625A5B" w:rsidRPr="008F03E5" w:rsidRDefault="00625A5B" w:rsidP="004B5E86">
      <w:pPr>
        <w:pStyle w:val="Translit"/>
      </w:pPr>
      <w:r w:rsidRPr="008F03E5">
        <w:t>Rukni’d-Dawlih</w:t>
      </w:r>
      <w:r w:rsidRPr="008F03E5">
        <w:tab/>
        <w:t>Rukni’d-Dawlih</w:t>
      </w:r>
      <w:r w:rsidRPr="008F03E5">
        <w:tab/>
        <w:t>the Pillar of the State</w:t>
      </w:r>
    </w:p>
    <w:p w14:paraId="09BF3EBE" w14:textId="77777777" w:rsidR="00625A5B" w:rsidRPr="008F03E5" w:rsidRDefault="00625A5B" w:rsidP="000E36E4">
      <w:pPr>
        <w:pStyle w:val="Translit"/>
      </w:pPr>
      <w:r w:rsidRPr="008F03E5">
        <w:t>Rum</w:t>
      </w:r>
      <w:r w:rsidRPr="008F03E5">
        <w:tab/>
        <w:t>Rum</w:t>
      </w:r>
      <w:r w:rsidRPr="008F03E5">
        <w:tab/>
        <w:t>sand, especially light sand that can be carried by the wind</w:t>
      </w:r>
    </w:p>
    <w:p w14:paraId="08D6BE44" w14:textId="77777777" w:rsidR="00625A5B" w:rsidRPr="008F03E5" w:rsidRDefault="00625A5B" w:rsidP="00A25B8E">
      <w:pPr>
        <w:pStyle w:val="Translit"/>
      </w:pPr>
      <w:r w:rsidRPr="008F03E5">
        <w:t>Rum, Arwam</w:t>
      </w:r>
      <w:r w:rsidRPr="008F03E5">
        <w:tab/>
        <w:t>ar-Rúm, pl. al-Arwám</w:t>
      </w:r>
      <w:r w:rsidRPr="008F03E5">
        <w:tab/>
        <w:t>of or pertaining to the eastern Roman Empire, that later became the Byzantine Empire, the Byzantines; Byzantium (i.e. the Christian people and countries (Greece; Rome, Romelia; Türkiye);—pl. (the adherents of) the Greek Orthodox Church.  ar-Rúm is an old name for Istanbul.  Derived from a Greek plural word meaning Romans.  Baḥr ar-Rúm (the Roman Sea) the Mediterranean.</w:t>
      </w:r>
    </w:p>
    <w:p w14:paraId="314DF5DE" w14:textId="77777777" w:rsidR="00625A5B" w:rsidRPr="008F03E5" w:rsidRDefault="00625A5B" w:rsidP="001D7555">
      <w:pPr>
        <w:pStyle w:val="Translit"/>
      </w:pPr>
      <w:r w:rsidRPr="008F03E5">
        <w:t>Rumi, Arwam, Rumiyan</w:t>
      </w:r>
      <w:r w:rsidRPr="008F03E5">
        <w:tab/>
        <w:t>Rúmí, pl. Arwám, Pers. Rúmiyán</w:t>
      </w:r>
      <w:r w:rsidRPr="008F03E5">
        <w:tab/>
        <w:t>Roman, Byzantine; Greek Orthodox (Church).  Jalálu’d-Dín-i-Rúmí, “Glory of the Faith from Byzantine (Anatolia)”.</w:t>
      </w:r>
    </w:p>
    <w:p w14:paraId="16DE2436" w14:textId="77777777" w:rsidR="00625A5B" w:rsidRPr="008F03E5" w:rsidRDefault="00625A5B" w:rsidP="00C971AE">
      <w:pPr>
        <w:pStyle w:val="Translit"/>
      </w:pPr>
      <w:r w:rsidRPr="008F03E5">
        <w:t>Rumilya, Rumelia, Roumelia</w:t>
      </w:r>
      <w:r w:rsidRPr="008F03E5">
        <w:tab/>
        <w:t>Rúmílyá</w:t>
      </w:r>
      <w:r w:rsidRPr="008F03E5">
        <w:tab/>
        <w:t>Turkish (Rumeli) for “Land of the Romans” also known as Turkey</w:t>
      </w:r>
      <w:r>
        <w:t xml:space="preserve"> (now </w:t>
      </w:r>
      <w:r w:rsidRPr="008F03E5">
        <w:t>Türkiye</w:t>
      </w:r>
      <w:r>
        <w:t>)</w:t>
      </w:r>
      <w:r w:rsidRPr="008F03E5">
        <w:t xml:space="preserve"> in Europe, was a historical term describing (after 1453) the area now referred to as the Balkans (an area primarily populated by Christians) when it was administered by the Ottoman Empire.  Rumelia included the provinces of Thrace, Macedonia and Moesia, today’s Bulgaria and Turkish Thrace.  The name Rumelia was ultimately applied to a province composed of central Albania and north-western Macedonia.</w:t>
      </w:r>
    </w:p>
    <w:p w14:paraId="631FE7EF" w14:textId="77777777" w:rsidR="00625A5B" w:rsidRPr="008F03E5" w:rsidRDefault="00625A5B" w:rsidP="00A11E6B">
      <w:pPr>
        <w:pStyle w:val="Translit"/>
      </w:pPr>
      <w:r w:rsidRPr="008F03E5">
        <w:t>Rumman (Ramman), Rummana</w:t>
      </w:r>
      <w:r w:rsidRPr="008F03E5">
        <w:tab/>
        <w:t>Rummán or Rummána[h]</w:t>
      </w:r>
      <w:r w:rsidRPr="008F03E5">
        <w:tab/>
        <w:t>a pomegranate (it has red-purple aril covering each seed)</w:t>
      </w:r>
    </w:p>
    <w:p w14:paraId="5A119E21" w14:textId="77777777" w:rsidR="00625A5B" w:rsidRPr="008F03E5" w:rsidRDefault="00625A5B" w:rsidP="00A11E6B">
      <w:pPr>
        <w:pStyle w:val="Translit"/>
      </w:pPr>
      <w:r w:rsidRPr="008F03E5">
        <w:t>Rummani</w:t>
      </w:r>
      <w:r w:rsidRPr="008F03E5">
        <w:tab/>
        <w:t>Rummání</w:t>
      </w:r>
      <w:r w:rsidRPr="008F03E5">
        <w:tab/>
        <w:t>Pers. (Ar. influence) seller of pomegranates; resembling a pomegranate; ruby-coloured; a ruby</w:t>
      </w:r>
    </w:p>
    <w:p w14:paraId="70EC3DD0" w14:textId="77777777" w:rsidR="00625A5B" w:rsidRPr="008F03E5" w:rsidRDefault="00625A5B" w:rsidP="00D26B09">
      <w:pPr>
        <w:pStyle w:val="Translit"/>
      </w:pPr>
      <w:r w:rsidRPr="008F03E5">
        <w:t>Runiz (Roniz Olya)</w:t>
      </w:r>
      <w:r w:rsidRPr="008F03E5">
        <w:tab/>
        <w:t>Rúníz</w:t>
      </w:r>
      <w:r w:rsidRPr="008F03E5">
        <w:tab/>
        <w:t>a town (29.192224, 53.768822) 55 km west of Nayríz</w:t>
      </w:r>
    </w:p>
    <w:p w14:paraId="320C4EFF" w14:textId="77777777" w:rsidR="00625A5B" w:rsidRPr="008F03E5" w:rsidRDefault="00625A5B" w:rsidP="002C1642">
      <w:pPr>
        <w:pStyle w:val="Translit"/>
      </w:pPr>
      <w:r w:rsidRPr="008F03E5">
        <w:t>Ruqayya (Ruqiyya)</w:t>
      </w:r>
      <w:r w:rsidRPr="008F03E5">
        <w:tab/>
        <w:t>Ruqayya[h]</w:t>
      </w:r>
      <w:r w:rsidRPr="008F03E5">
        <w:tab/>
        <w:t xml:space="preserve">(also spelled Ruqaiya, Ruqaya, Ruqiyyih, etc.) feminine name meaning “rise, ascent, ascending”, “chant or recite Divine Words”.  Derived either from ruqíy or ruqyah.  It also means “enchanting, bewitching or of being armed against sorcery”.  Ruqayyah bint Muḥammad (601–624), a daughter of Muḥammad and </w:t>
      </w:r>
      <w:r w:rsidRPr="008F03E5">
        <w:rPr>
          <w:u w:val="single"/>
        </w:rPr>
        <w:t>Kh</w:t>
      </w:r>
      <w:r w:rsidRPr="008F03E5">
        <w:t>adíjah.  Name given to Mary Hotchkiss Bode by ‘Abdu’l-Bahá.</w:t>
      </w:r>
    </w:p>
    <w:p w14:paraId="1D3F5ED6" w14:textId="77777777" w:rsidR="00625A5B" w:rsidRPr="008F03E5" w:rsidRDefault="00625A5B" w:rsidP="001A296F">
      <w:pPr>
        <w:pStyle w:val="Translit"/>
      </w:pPr>
      <w:r w:rsidRPr="008F03E5">
        <w:t>Ruqiy</w:t>
      </w:r>
      <w:r w:rsidRPr="008F03E5">
        <w:tab/>
        <w:t>Ruqíy</w:t>
      </w:r>
      <w:r w:rsidRPr="008F03E5">
        <w:tab/>
        <w:t>rise, progress, upward development</w:t>
      </w:r>
    </w:p>
    <w:p w14:paraId="2325F52F" w14:textId="77777777" w:rsidR="00625A5B" w:rsidRPr="008F03E5" w:rsidRDefault="00625A5B" w:rsidP="00665365">
      <w:pPr>
        <w:pStyle w:val="Translit"/>
      </w:pPr>
      <w:r w:rsidRPr="008F03E5">
        <w:t>Ruqya, Ruqan</w:t>
      </w:r>
      <w:r w:rsidRPr="008F03E5">
        <w:tab/>
        <w:t>Ruqya[h or t], pl. Ruqan</w:t>
      </w:r>
      <w:r w:rsidRPr="008F03E5">
        <w:tab/>
        <w:t>spell, charm, magic; incantation</w:t>
      </w:r>
    </w:p>
    <w:p w14:paraId="023BE3D2" w14:textId="77777777" w:rsidR="00625A5B" w:rsidRPr="008F03E5" w:rsidRDefault="00625A5B" w:rsidP="00980750">
      <w:pPr>
        <w:pStyle w:val="Translit"/>
      </w:pPr>
      <w:r w:rsidRPr="008F03E5">
        <w:t>Rushan (Raushan, Roshan)</w:t>
      </w:r>
      <w:r w:rsidRPr="008F03E5">
        <w:tab/>
        <w:t>Rú</w:t>
      </w:r>
      <w:r w:rsidRPr="008F03E5">
        <w:rPr>
          <w:u w:val="single"/>
        </w:rPr>
        <w:t>sh</w:t>
      </w:r>
      <w:r w:rsidRPr="008F03E5">
        <w:t>an</w:t>
      </w:r>
      <w:r w:rsidRPr="008F03E5">
        <w:tab/>
        <w:t>Pers. a window.  Rú</w:t>
      </w:r>
      <w:r w:rsidRPr="008F03E5">
        <w:rPr>
          <w:u w:val="single"/>
        </w:rPr>
        <w:t>sh</w:t>
      </w:r>
      <w:r w:rsidRPr="008F03E5">
        <w:t>an-Kúh (Roshan Kouh), a very small village (36.380516, 53.364171; many are Bahá’ís who are suffering persecution, confiscation and destruction of properties) 34 km SE of Sárí.</w:t>
      </w:r>
    </w:p>
    <w:p w14:paraId="4E9F974D" w14:textId="77777777" w:rsidR="00625A5B" w:rsidRPr="008F03E5" w:rsidRDefault="00625A5B" w:rsidP="00D53664">
      <w:pPr>
        <w:pStyle w:val="Translit"/>
      </w:pPr>
      <w:r w:rsidRPr="008F03E5">
        <w:t>Rushd</w:t>
      </w:r>
      <w:r w:rsidRPr="008F03E5">
        <w:tab/>
        <w:t>Ru</w:t>
      </w:r>
      <w:r w:rsidRPr="008F03E5">
        <w:rPr>
          <w:u w:val="single"/>
        </w:rPr>
        <w:t>sh</w:t>
      </w:r>
      <w:r w:rsidRPr="008F03E5">
        <w:t>d</w:t>
      </w:r>
      <w:r w:rsidRPr="008F03E5">
        <w:tab/>
        <w:t>integrity of (ones) actions, proper, sensible conduct; reason, good sense, senses; consciousness; maturity (of the mind).  Abú’l-Walíd Muḥammad ibn ‘Aḥmad ibn Ru</w:t>
      </w:r>
      <w:r w:rsidRPr="008F03E5">
        <w:rPr>
          <w:u w:val="single"/>
        </w:rPr>
        <w:t>sh</w:t>
      </w:r>
      <w:r w:rsidRPr="008F03E5">
        <w:t>d (1126–1198) “Averroes”, was a Muslim Andalusian philosopher and thinker who wrote about many subjects, including philosophy, theology, medicine, astronomy, physics, Islamic jurisprudence and law, and linguistics.</w:t>
      </w:r>
    </w:p>
    <w:p w14:paraId="5B7C3EAA" w14:textId="77777777" w:rsidR="00625A5B" w:rsidRPr="008F03E5" w:rsidRDefault="00625A5B" w:rsidP="00505ABB">
      <w:pPr>
        <w:pStyle w:val="Translit"/>
      </w:pPr>
      <w:r w:rsidRPr="008F03E5">
        <w:t>Rushdi</w:t>
      </w:r>
      <w:r w:rsidRPr="008F03E5">
        <w:tab/>
        <w:t>Ru</w:t>
      </w:r>
      <w:r w:rsidRPr="008F03E5">
        <w:rPr>
          <w:u w:val="single"/>
        </w:rPr>
        <w:t>sh</w:t>
      </w:r>
      <w:r w:rsidRPr="008F03E5">
        <w:t>dí, fem. Ru</w:t>
      </w:r>
      <w:r w:rsidRPr="008F03E5">
        <w:rPr>
          <w:u w:val="single"/>
        </w:rPr>
        <w:t>sh</w:t>
      </w:r>
      <w:r w:rsidRPr="008F03E5">
        <w:t>diya[h]</w:t>
      </w:r>
      <w:r w:rsidRPr="008F03E5">
        <w:tab/>
        <w:t>rightly guided, of true faith, mature</w:t>
      </w:r>
    </w:p>
    <w:p w14:paraId="487CDA7F" w14:textId="77777777" w:rsidR="00625A5B" w:rsidRPr="008F03E5" w:rsidRDefault="00625A5B" w:rsidP="00B10ED5">
      <w:pPr>
        <w:pStyle w:val="Translit"/>
      </w:pPr>
      <w:r w:rsidRPr="008F03E5">
        <w:t>Rustam (Rostam, Rostem, Rustum)</w:t>
      </w:r>
      <w:r w:rsidRPr="008F03E5">
        <w:tab/>
        <w:t>Rustam</w:t>
      </w:r>
      <w:r w:rsidRPr="008F03E5">
        <w:tab/>
        <w:t xml:space="preserve">Pers. the most renowned Persian hero, described as Persia’s Hercules.  Character in </w:t>
      </w:r>
      <w:r w:rsidRPr="008F03E5">
        <w:rPr>
          <w:u w:val="single"/>
        </w:rPr>
        <w:t>Sh</w:t>
      </w:r>
      <w:r w:rsidRPr="008F03E5">
        <w:t>áhnáma[h]</w:t>
      </w:r>
      <w:r>
        <w:t>.</w:t>
      </w:r>
    </w:p>
    <w:p w14:paraId="78D712B3" w14:textId="77777777" w:rsidR="00625A5B" w:rsidRPr="008F03E5" w:rsidRDefault="00625A5B" w:rsidP="003521FE">
      <w:pPr>
        <w:pStyle w:val="Translit"/>
      </w:pPr>
      <w:r w:rsidRPr="008F03E5">
        <w:rPr>
          <w:rFonts w:eastAsia="Times New Roman"/>
        </w:rPr>
        <w:t>Rustami</w:t>
      </w:r>
      <w:r w:rsidRPr="008F03E5">
        <w:rPr>
          <w:rFonts w:eastAsia="Times New Roman"/>
        </w:rPr>
        <w:tab/>
        <w:t>Rustamí</w:t>
      </w:r>
      <w:r w:rsidRPr="008F03E5">
        <w:rPr>
          <w:rFonts w:eastAsia="Times New Roman"/>
        </w:rPr>
        <w:tab/>
        <w:t>Pers. valour, heroism</w:t>
      </w:r>
    </w:p>
    <w:p w14:paraId="6DF551B0" w14:textId="77777777" w:rsidR="00625A5B" w:rsidRPr="008F03E5" w:rsidRDefault="00625A5B" w:rsidP="002755A2">
      <w:pPr>
        <w:pStyle w:val="Translit"/>
      </w:pPr>
      <w:r w:rsidRPr="008F03E5">
        <w:t>Rustaq, Rastaq</w:t>
      </w:r>
      <w:r w:rsidRPr="008F03E5">
        <w:tab/>
        <w:t>Rustáq, Rastáq</w:t>
      </w:r>
      <w:r w:rsidRPr="008F03E5">
        <w:tab/>
        <w:t>(Ar. element) a</w:t>
      </w:r>
      <w:r w:rsidRPr="008F03E5">
        <w:rPr>
          <w:rFonts w:eastAsia="Times New Roman"/>
        </w:rPr>
        <w:t xml:space="preserve"> village, market-town, encampment of tents or huts; a villager; the commander of a file of men, a corporal.  </w:t>
      </w:r>
      <w:r w:rsidRPr="008F03E5">
        <w:t xml:space="preserve">Rastáq (Rostagh, 28.448690, 55.076019) a village in Fars Province, 110 km </w:t>
      </w:r>
      <w:r w:rsidRPr="008F03E5">
        <w:rPr>
          <w:sz w:val="16"/>
          <w:szCs w:val="16"/>
        </w:rPr>
        <w:t>SE</w:t>
      </w:r>
      <w:r w:rsidRPr="008F03E5">
        <w:t xml:space="preserve"> of Nayríz</w:t>
      </w:r>
    </w:p>
    <w:p w14:paraId="774BC618" w14:textId="77777777" w:rsidR="00625A5B" w:rsidRPr="008F03E5" w:rsidRDefault="00625A5B" w:rsidP="00EA4CAD">
      <w:pPr>
        <w:pStyle w:val="Translit"/>
      </w:pPr>
      <w:r w:rsidRPr="008F03E5">
        <w:t>Rutba, Rutab</w:t>
      </w:r>
      <w:r w:rsidRPr="008F03E5">
        <w:tab/>
        <w:t>Rutba, pl. Rutab</w:t>
      </w:r>
      <w:r w:rsidRPr="008F03E5">
        <w:tab/>
        <w:t>degree, grade, level; rank, standing, station; class, quality; (military) rank; clerical rank, order (of the Christian ministry); religious ceremony (Christian)</w:t>
      </w:r>
    </w:p>
    <w:p w14:paraId="30FB7BFC" w14:textId="77777777" w:rsidR="00625A5B" w:rsidRPr="008F03E5" w:rsidRDefault="00625A5B" w:rsidP="00EE2FF4">
      <w:pPr>
        <w:pStyle w:val="Translit"/>
      </w:pPr>
      <w:r w:rsidRPr="008F03E5">
        <w:t>Ruz</w:t>
      </w:r>
      <w:r w:rsidRPr="008F03E5">
        <w:tab/>
        <w:t>Rúz</w:t>
      </w:r>
      <w:r w:rsidRPr="008F03E5">
        <w:tab/>
        <w:t>Pers. a day; day-time; the sun; the face; good fortune; opportunity; the vernal equinox; power, strength; courage; open, manifest, clear, evident</w:t>
      </w:r>
    </w:p>
    <w:p w14:paraId="3AD0305D" w14:textId="77777777" w:rsidR="00625A5B" w:rsidRPr="008F03E5" w:rsidRDefault="00625A5B" w:rsidP="005F2044">
      <w:pPr>
        <w:pStyle w:val="Translit"/>
      </w:pPr>
      <w:r w:rsidRPr="008F03E5">
        <w:t>Ruz-bih, Ruzbih</w:t>
      </w:r>
      <w:r w:rsidRPr="008F03E5">
        <w:tab/>
        <w:t>Rúz-bih, Rúzbih</w:t>
      </w:r>
      <w:r w:rsidRPr="008F03E5">
        <w:tab/>
        <w:t>Pers. good day, fortunate days, happy times; improving daily; happy, fortunate.  For bih, see bahja.</w:t>
      </w:r>
    </w:p>
    <w:p w14:paraId="5FDC3401" w14:textId="77777777" w:rsidR="00625A5B" w:rsidRPr="008F03E5" w:rsidRDefault="00625A5B" w:rsidP="00EA4CAD">
      <w:pPr>
        <w:pStyle w:val="Translit"/>
      </w:pPr>
      <w:r w:rsidRPr="008F03E5">
        <w:t>Ruzbihan (Ruzbihyan)</w:t>
      </w:r>
      <w:r w:rsidRPr="008F03E5">
        <w:tab/>
        <w:t>Rúzbihán</w:t>
      </w:r>
      <w:r w:rsidRPr="008F03E5">
        <w:tab/>
        <w:t xml:space="preserve">(Roozbehyan) possible plural of Rúzbih.  </w:t>
      </w:r>
      <w:r w:rsidRPr="008F03E5">
        <w:rPr>
          <w:lang w:eastAsia="en-US"/>
        </w:rPr>
        <w:t xml:space="preserve">Rúzbihán Baqlí </w:t>
      </w:r>
      <w:r w:rsidRPr="008F03E5">
        <w:rPr>
          <w:u w:val="single"/>
          <w:lang w:eastAsia="en-US"/>
        </w:rPr>
        <w:t>Sh</w:t>
      </w:r>
      <w:r w:rsidRPr="008F03E5">
        <w:rPr>
          <w:lang w:eastAsia="en-US"/>
        </w:rPr>
        <w:t>írází (d. 1221), 13th-century Iranian mystic.</w:t>
      </w:r>
    </w:p>
    <w:p w14:paraId="1DC3EA80" w14:textId="77777777" w:rsidR="00625A5B" w:rsidRPr="008F03E5" w:rsidRDefault="00625A5B" w:rsidP="00927AC0">
      <w:pPr>
        <w:pStyle w:val="Translit"/>
      </w:pPr>
      <w:r w:rsidRPr="00120039">
        <w:t>Ruz-i-Alast</w:t>
      </w:r>
      <w:r w:rsidRPr="00120039">
        <w:tab/>
        <w:t>Rúz-i-Alast</w:t>
      </w:r>
      <w:r w:rsidRPr="00120039">
        <w:tab/>
        <w:t xml:space="preserve">Pers. </w:t>
      </w:r>
      <w:r w:rsidRPr="008F03E5">
        <w:t>Day of Alast</w:t>
      </w:r>
    </w:p>
    <w:p w14:paraId="0007E5B4" w14:textId="77777777" w:rsidR="00625A5B" w:rsidRPr="008F03E5" w:rsidRDefault="00625A5B" w:rsidP="001B0DC9">
      <w:pPr>
        <w:pStyle w:val="Translit"/>
      </w:pPr>
      <w:r w:rsidRPr="008F03E5">
        <w:t>Ruz-i-Payman</w:t>
      </w:r>
      <w:r w:rsidRPr="008F03E5">
        <w:tab/>
        <w:t>Rúz-i-Paymán</w:t>
      </w:r>
      <w:r w:rsidRPr="008F03E5">
        <w:tab/>
        <w:t>Pers. Day of the Covenant.  Rúz-i-P</w:t>
      </w:r>
      <w:r w:rsidRPr="008F03E5">
        <w:rPr>
          <w:rFonts w:eastAsia="Times New Roman"/>
        </w:rPr>
        <w:t>ay</w:t>
      </w:r>
      <w:r w:rsidRPr="008F03E5">
        <w:rPr>
          <w:u w:val="single"/>
        </w:rPr>
        <w:t>gh</w:t>
      </w:r>
      <w:r w:rsidRPr="008F03E5">
        <w:rPr>
          <w:rFonts w:eastAsia="Times New Roman"/>
        </w:rPr>
        <w:t>ún may be an alternative.</w:t>
      </w:r>
    </w:p>
    <w:p w14:paraId="4A03DC84" w14:textId="77777777" w:rsidR="00625A5B" w:rsidRPr="008F03E5" w:rsidRDefault="00625A5B" w:rsidP="005F2044">
      <w:pPr>
        <w:pStyle w:val="Translit"/>
      </w:pPr>
      <w:r w:rsidRPr="008F03E5">
        <w:t>Ruzita</w:t>
      </w:r>
      <w:r w:rsidRPr="008F03E5">
        <w:tab/>
        <w:t>Ruzítá</w:t>
      </w:r>
      <w:r w:rsidRPr="008F03E5">
        <w:tab/>
        <w:t>Pers. (from French) little everlasting rose.  Ruzítá Samandarí, wife of Bahman Samandarí (executed 1992)</w:t>
      </w:r>
    </w:p>
    <w:p w14:paraId="112FA1A7" w14:textId="77777777" w:rsidR="00625A5B" w:rsidRPr="008F03E5" w:rsidRDefault="00625A5B" w:rsidP="0024326A">
      <w:pPr>
        <w:pStyle w:val="Myhead"/>
      </w:pPr>
      <w:bookmarkStart w:id="128" w:name="S"/>
      <w:r w:rsidRPr="008F03E5">
        <w:t>S</w:t>
      </w:r>
      <w:bookmarkEnd w:id="128"/>
    </w:p>
    <w:p w14:paraId="6B5941C8" w14:textId="77777777" w:rsidR="00625A5B" w:rsidRPr="008F03E5" w:rsidRDefault="00625A5B" w:rsidP="00AE300D">
      <w:pPr>
        <w:pStyle w:val="Translit"/>
      </w:pPr>
      <w:r w:rsidRPr="008F03E5">
        <w:t>Sa’a, Sa’at</w:t>
      </w:r>
      <w:r w:rsidRPr="008F03E5">
        <w:tab/>
        <w:t>Sá‘a[h or t], pl. Sá‘át, Sá‘</w:t>
      </w:r>
      <w:r w:rsidRPr="008F03E5">
        <w:tab/>
        <w:t>(short) time, while; hour; timepiece, clock, watch</w:t>
      </w:r>
    </w:p>
    <w:p w14:paraId="5A3D85BF" w14:textId="77777777" w:rsidR="00625A5B" w:rsidRPr="008F03E5" w:rsidRDefault="00625A5B" w:rsidP="00AE300D">
      <w:pPr>
        <w:pStyle w:val="Translit"/>
      </w:pPr>
      <w:r w:rsidRPr="008F03E5">
        <w:t>Sa’ada</w:t>
      </w:r>
      <w:r w:rsidRPr="008F03E5">
        <w:tab/>
        <w:t>Sa‘áda[h or t]</w:t>
      </w:r>
      <w:r w:rsidRPr="008F03E5">
        <w:tab/>
        <w:t>(fem. of sa‘d) happiness; bliss, felicity; good fortune, success, prosperity, welfare; title of a pá</w:t>
      </w:r>
      <w:r w:rsidRPr="008F03E5">
        <w:rPr>
          <w:u w:val="single"/>
        </w:rPr>
        <w:t>sh</w:t>
      </w:r>
      <w:r w:rsidRPr="008F03E5">
        <w:t xml:space="preserve">á; sa‘ádat (with following name, e.g. Sa‘ádat-Ábád) is the title of a high official.  Sa‘ádat Ábád (29.272778, 53.061111) is a small village on the road between </w:t>
      </w:r>
      <w:r w:rsidRPr="008F03E5">
        <w:rPr>
          <w:u w:val="single"/>
        </w:rPr>
        <w:t>Sh</w:t>
      </w:r>
      <w:r w:rsidRPr="008F03E5">
        <w:t xml:space="preserve">íráz and Nayríz, where the headless body of Mírzá ‘Abdu’l-Ḥusayn (Nayríz uprisings) was buried.  Also a village (36.442778, 52.2275) 11.5 km </w:t>
      </w:r>
      <w:r w:rsidRPr="008F03E5">
        <w:rPr>
          <w:sz w:val="16"/>
          <w:szCs w:val="16"/>
        </w:rPr>
        <w:t>WSW</w:t>
      </w:r>
      <w:r w:rsidRPr="008F03E5">
        <w:t xml:space="preserve"> of Ámul visited by Bahá’u’lláh in 1844.  Sa‘ádat Alláh happiness of God.</w:t>
      </w:r>
    </w:p>
    <w:p w14:paraId="0540E667" w14:textId="77777777" w:rsidR="00625A5B" w:rsidRPr="008F03E5" w:rsidRDefault="00625A5B" w:rsidP="001A7687">
      <w:pPr>
        <w:pStyle w:val="Translit"/>
      </w:pPr>
      <w:r w:rsidRPr="008F03E5">
        <w:t>Sa’adat-Abad</w:t>
      </w:r>
      <w:r w:rsidRPr="008F03E5">
        <w:tab/>
        <w:t>Sa‘ádat-Ábád</w:t>
      </w:r>
      <w:r w:rsidRPr="008F03E5">
        <w:tab/>
        <w:t>a village (36.443640, 52.228517) in Mazandaran Province, and a wealthy district in northern Ṭihrán.</w:t>
      </w:r>
    </w:p>
    <w:p w14:paraId="25D3B41E" w14:textId="77777777" w:rsidR="00625A5B" w:rsidRPr="008F03E5" w:rsidRDefault="00625A5B" w:rsidP="00E81074">
      <w:pPr>
        <w:pStyle w:val="Translit"/>
      </w:pPr>
      <w:r w:rsidRPr="008F03E5">
        <w:t>Sa’b mustas’ab</w:t>
      </w:r>
      <w:r w:rsidRPr="008F03E5">
        <w:tab/>
        <w:t>Ṣa‘b Mustaṣ‘ab</w:t>
      </w:r>
      <w:r w:rsidRPr="008F03E5">
        <w:tab/>
        <w:t>“exceedingly abstruse”</w:t>
      </w:r>
    </w:p>
    <w:p w14:paraId="45B1AD4D" w14:textId="77777777" w:rsidR="00625A5B" w:rsidRPr="008F03E5" w:rsidRDefault="00625A5B" w:rsidP="009F5B49">
      <w:pPr>
        <w:pStyle w:val="Translit"/>
      </w:pPr>
      <w:r w:rsidRPr="008F03E5">
        <w:t>Sa’b</w:t>
      </w:r>
      <w:r w:rsidRPr="008F03E5">
        <w:tab/>
        <w:t>Ṣa‘b, pl. Ṣi‘áb</w:t>
      </w:r>
      <w:r w:rsidRPr="008F03E5">
        <w:tab/>
        <w:t>hard, difficult;—pl. difficulties.  Ṣa‘b as a verb means to become abstinent, or to become extreme and unbearable; and as a noun, is the opposite of domestic animal, and refers to everything that is unbearable.  See mustaṣ‘ab</w:t>
      </w:r>
    </w:p>
    <w:p w14:paraId="4C524AF9" w14:textId="77777777" w:rsidR="00625A5B" w:rsidRPr="008F03E5" w:rsidRDefault="00625A5B" w:rsidP="00E81074">
      <w:pPr>
        <w:pStyle w:val="Translit"/>
      </w:pPr>
      <w:r w:rsidRPr="00EE3760">
        <w:rPr>
          <w:lang w:val="en-AU"/>
        </w:rPr>
        <w:t>Sa’d (Sa’ad)</w:t>
      </w:r>
      <w:r w:rsidRPr="00EE3760">
        <w:rPr>
          <w:lang w:val="en-AU"/>
        </w:rPr>
        <w:tab/>
        <w:t xml:space="preserve">Sa‘d, pl. </w:t>
      </w:r>
      <w:r w:rsidRPr="008F03E5">
        <w:t>Su‘úd</w:t>
      </w:r>
      <w:r w:rsidRPr="008F03E5">
        <w:tab/>
        <w:t xml:space="preserve">good luck, good fortune.  Sa‘d ibn Abí Waqqáṣ, also known as Sa‘d ibn Malik, was a companion of Muḥammad.  Sa‘d was reportedly the seventh person to embrace Islam (aged 17).  His son, ‘Umar ibn Sa‘d bin Abí Waqqáṣ, known as Ibn Sa‘d (d. 685) was the commander of the army of ‘Ubayd Alláh bin Ziyád in the death of Imám Ḥusayn and his companions.  He is among the most hated figures in </w:t>
      </w:r>
      <w:r w:rsidRPr="008F03E5">
        <w:rPr>
          <w:u w:val="single"/>
        </w:rPr>
        <w:t>Sh</w:t>
      </w:r>
      <w:r w:rsidRPr="008F03E5">
        <w:t>í‘a Islamic history.</w:t>
      </w:r>
    </w:p>
    <w:p w14:paraId="0C1310CC" w14:textId="77777777" w:rsidR="00625A5B" w:rsidRPr="008F03E5" w:rsidRDefault="00625A5B" w:rsidP="00B2538E">
      <w:pPr>
        <w:pStyle w:val="Translit"/>
      </w:pPr>
      <w:r w:rsidRPr="008F03E5">
        <w:t>Sa’d ibn Ma’adh (Sa’d-i-Ma’adh)</w:t>
      </w:r>
      <w:r w:rsidRPr="008F03E5">
        <w:tab/>
        <w:t>Sa‘d ibn Ma‘á</w:t>
      </w:r>
      <w:r w:rsidRPr="008F03E5">
        <w:rPr>
          <w:u w:val="single"/>
        </w:rPr>
        <w:t>dh</w:t>
      </w:r>
      <w:r w:rsidRPr="008F03E5">
        <w:t>, (Sa‘d-i-Ma‘á</w:t>
      </w:r>
      <w:r w:rsidRPr="008F03E5">
        <w:rPr>
          <w:u w:val="single"/>
        </w:rPr>
        <w:t>dh</w:t>
      </w:r>
      <w:r w:rsidRPr="008F03E5">
        <w:t>)</w:t>
      </w:r>
      <w:r w:rsidRPr="008F03E5">
        <w:tab/>
        <w:t>“being happy/fortunate” + “act of taking refuge or a place of refuge”.  Abú ‘Amr Sa‘d ibn Ma‘á</w:t>
      </w:r>
      <w:r w:rsidRPr="008F03E5">
        <w:rPr>
          <w:u w:val="single"/>
        </w:rPr>
        <w:t>dh</w:t>
      </w:r>
      <w:r w:rsidRPr="008F03E5">
        <w:t xml:space="preserve"> ibn an-Nu‘mán (c. 591–627) was a chief of the Aws tribe in Medina and a prominent companion of Muhammad.</w:t>
      </w:r>
    </w:p>
    <w:p w14:paraId="52780985" w14:textId="77777777" w:rsidR="00625A5B" w:rsidRPr="00BC189D" w:rsidRDefault="00625A5B" w:rsidP="000A606E">
      <w:pPr>
        <w:pStyle w:val="Translit"/>
        <w:rPr>
          <w:lang w:val="fr-FR"/>
        </w:rPr>
      </w:pPr>
      <w:r w:rsidRPr="00BC189D">
        <w:rPr>
          <w:lang w:val="fr-FR"/>
        </w:rPr>
        <w:t>Sa’dan, Sa’adin</w:t>
      </w:r>
      <w:r w:rsidRPr="00BC189D">
        <w:rPr>
          <w:lang w:val="fr-FR"/>
        </w:rPr>
        <w:tab/>
        <w:t>Sa‘dán, pl. Sa‘ádín</w:t>
      </w:r>
      <w:r w:rsidRPr="00BC189D">
        <w:rPr>
          <w:lang w:val="fr-FR"/>
        </w:rPr>
        <w:tab/>
        <w:t>ape</w:t>
      </w:r>
    </w:p>
    <w:p w14:paraId="621221FC" w14:textId="77777777" w:rsidR="00625A5B" w:rsidRPr="00C35857" w:rsidRDefault="00625A5B" w:rsidP="00C35857">
      <w:pPr>
        <w:pStyle w:val="Translit"/>
        <w:rPr>
          <w:lang w:val="en-AU"/>
        </w:rPr>
      </w:pPr>
      <w:r w:rsidRPr="00BC189D">
        <w:rPr>
          <w:lang w:val="it-IT"/>
        </w:rPr>
        <w:t>Sa’di</w:t>
      </w:r>
      <w:r>
        <w:rPr>
          <w:lang w:val="it-IT"/>
        </w:rPr>
        <w:t xml:space="preserve"> (Saadi)</w:t>
      </w:r>
      <w:r w:rsidRPr="00BC189D">
        <w:rPr>
          <w:lang w:val="it-IT"/>
        </w:rPr>
        <w:tab/>
        <w:t>Sa‘dí</w:t>
      </w:r>
      <w:r w:rsidRPr="00BC189D">
        <w:rPr>
          <w:lang w:val="it-IT"/>
        </w:rPr>
        <w:tab/>
        <w:t xml:space="preserve">“fortunate, lucky”.  </w:t>
      </w:r>
      <w:r w:rsidRPr="00BB5239">
        <w:rPr>
          <w:lang w:val="it-IT"/>
        </w:rPr>
        <w:t xml:space="preserve">Persian poet </w:t>
      </w:r>
      <w:bookmarkStart w:id="129" w:name="_Hlk52634787"/>
      <w:r w:rsidRPr="00BB5239">
        <w:rPr>
          <w:lang w:val="it-IT"/>
        </w:rPr>
        <w:t>Mu</w:t>
      </w:r>
      <w:r w:rsidRPr="00BB5239">
        <w:rPr>
          <w:u w:val="single"/>
          <w:lang w:val="it-IT"/>
        </w:rPr>
        <w:t>sh</w:t>
      </w:r>
      <w:r w:rsidRPr="00BB5239">
        <w:rPr>
          <w:lang w:val="it-IT"/>
        </w:rPr>
        <w:t>arrif al-D</w:t>
      </w:r>
      <w:r>
        <w:rPr>
          <w:lang w:val="it-IT"/>
        </w:rPr>
        <w:t>í</w:t>
      </w:r>
      <w:r w:rsidRPr="00BB5239">
        <w:rPr>
          <w:lang w:val="it-IT"/>
        </w:rPr>
        <w:t>n ibn Muṣlih al-D</w:t>
      </w:r>
      <w:r>
        <w:rPr>
          <w:lang w:val="it-IT"/>
        </w:rPr>
        <w:t>í</w:t>
      </w:r>
      <w:r w:rsidRPr="00BB5239">
        <w:rPr>
          <w:lang w:val="it-IT"/>
        </w:rPr>
        <w:t xml:space="preserve">n </w:t>
      </w:r>
      <w:bookmarkEnd w:id="129"/>
      <w:r w:rsidRPr="00BB5239">
        <w:rPr>
          <w:u w:val="single"/>
          <w:lang w:val="it-IT"/>
        </w:rPr>
        <w:t>Sh</w:t>
      </w:r>
      <w:r w:rsidRPr="00BB5239">
        <w:rPr>
          <w:lang w:val="it-IT"/>
        </w:rPr>
        <w:t>írází (1210–1291), named after his patrons Sa‘d bin Zangí and Abú Bakr bin Sa‘d</w:t>
      </w:r>
      <w:r>
        <w:rPr>
          <w:lang w:val="it-IT"/>
        </w:rPr>
        <w:t xml:space="preserve"> (hence </w:t>
      </w:r>
      <w:r w:rsidRPr="00BB5239">
        <w:rPr>
          <w:lang w:val="it-IT"/>
        </w:rPr>
        <w:t>nom de plume Sa‘dí</w:t>
      </w:r>
      <w:r>
        <w:rPr>
          <w:lang w:val="it-IT"/>
        </w:rPr>
        <w:t>)</w:t>
      </w:r>
      <w:r w:rsidRPr="00BB5239">
        <w:rPr>
          <w:lang w:val="it-IT"/>
        </w:rPr>
        <w:t xml:space="preserve">.  </w:t>
      </w:r>
      <w:r w:rsidRPr="008F03E5">
        <w:t xml:space="preserve">See Gulistán and </w:t>
      </w:r>
      <w:r w:rsidRPr="008F03E5">
        <w:rPr>
          <w:u w:val="single"/>
        </w:rPr>
        <w:t>Sh</w:t>
      </w:r>
      <w:r w:rsidRPr="008F03E5">
        <w:t>írází.</w:t>
      </w:r>
      <w:r>
        <w:t xml:space="preserve">  </w:t>
      </w:r>
      <w:r w:rsidRPr="00C35857">
        <w:rPr>
          <w:lang w:val="en-AU"/>
        </w:rPr>
        <w:t>Sa‘dí village about 3 km north o</w:t>
      </w:r>
      <w:r>
        <w:rPr>
          <w:lang w:val="en-AU"/>
        </w:rPr>
        <w:t>f Shiraz city centre, now District 3 of the city.</w:t>
      </w:r>
    </w:p>
    <w:p w14:paraId="6CAEA540" w14:textId="77777777" w:rsidR="00625A5B" w:rsidRPr="008F03E5" w:rsidRDefault="00625A5B" w:rsidP="00E81074">
      <w:pPr>
        <w:pStyle w:val="Translit"/>
      </w:pPr>
      <w:r w:rsidRPr="008F03E5">
        <w:t>Sa’du’llah</w:t>
      </w:r>
      <w:r w:rsidRPr="008F03E5">
        <w:tab/>
        <w:t>Sa‘du’lláh</w:t>
      </w:r>
      <w:r w:rsidRPr="008F03E5">
        <w:tab/>
        <w:t>“Joy of God”</w:t>
      </w:r>
    </w:p>
    <w:p w14:paraId="030666E3" w14:textId="77777777" w:rsidR="00625A5B" w:rsidRPr="008F03E5" w:rsidRDefault="00625A5B" w:rsidP="004874C6">
      <w:pPr>
        <w:pStyle w:val="Translit"/>
      </w:pPr>
      <w:r w:rsidRPr="008F03E5">
        <w:t>Sa’i</w:t>
      </w:r>
      <w:r w:rsidRPr="008F03E5">
        <w:tab/>
        <w:t>Sa‘í</w:t>
      </w:r>
      <w:r w:rsidRPr="008F03E5">
        <w:tab/>
        <w:t>seeking, search or ritual walking.  The walk between the rocky outcrops aṣ-Ṣafá and al-Marwah in Mecca</w:t>
      </w:r>
    </w:p>
    <w:p w14:paraId="27A5D5D4" w14:textId="77777777" w:rsidR="00625A5B" w:rsidRPr="00077779" w:rsidRDefault="00625A5B" w:rsidP="00C52739">
      <w:pPr>
        <w:pStyle w:val="Translit"/>
        <w:rPr>
          <w:lang w:val="en-AU"/>
        </w:rPr>
      </w:pPr>
      <w:r w:rsidRPr="008F03E5">
        <w:t>Sa’id (Saeed, Saied, Saeid), Su’ada</w:t>
      </w:r>
      <w:r>
        <w:t>’</w:t>
      </w:r>
      <w:r w:rsidRPr="008F03E5">
        <w:tab/>
        <w:t xml:space="preserve">Sa‘íd, fem. </w:t>
      </w:r>
      <w:r w:rsidRPr="002F07BA">
        <w:rPr>
          <w:lang w:val="fr-FR"/>
        </w:rPr>
        <w:t>Sa‘ída[h or t], pl. Su‘adá’</w:t>
      </w:r>
      <w:r w:rsidRPr="002F07BA">
        <w:rPr>
          <w:lang w:val="fr-FR"/>
        </w:rPr>
        <w:tab/>
        <w:t xml:space="preserve">(Sa‘ida, Sa‘ihih) happy; radiant, blissful; lucky, auspicious; felicitous.  </w:t>
      </w:r>
      <w:r w:rsidRPr="00C52739">
        <w:rPr>
          <w:lang w:val="en-AU"/>
        </w:rPr>
        <w:t>Sa‘</w:t>
      </w:r>
      <w:r w:rsidRPr="00C52739">
        <w:t>á</w:t>
      </w:r>
      <w:r w:rsidRPr="00C52739">
        <w:rPr>
          <w:lang w:val="en-AU"/>
        </w:rPr>
        <w:t xml:space="preserve">datukum is a polite form of address that means </w:t>
      </w:r>
      <w:r w:rsidRPr="00C52739">
        <w:t>“</w:t>
      </w:r>
      <w:r w:rsidRPr="00C52739">
        <w:rPr>
          <w:lang w:val="en-AU"/>
        </w:rPr>
        <w:t>Your Excellency</w:t>
      </w:r>
      <w:r w:rsidRPr="00C52739">
        <w:t>”</w:t>
      </w:r>
      <w:r w:rsidRPr="00C52739">
        <w:rPr>
          <w:lang w:val="en-AU"/>
        </w:rPr>
        <w:t xml:space="preserve"> or </w:t>
      </w:r>
      <w:r w:rsidRPr="00C52739">
        <w:t>“</w:t>
      </w:r>
      <w:r w:rsidRPr="00C52739">
        <w:rPr>
          <w:lang w:val="en-AU"/>
        </w:rPr>
        <w:t>Your Hono</w:t>
      </w:r>
      <w:r>
        <w:rPr>
          <w:lang w:val="en-AU"/>
        </w:rPr>
        <w:t>u</w:t>
      </w:r>
      <w:r w:rsidRPr="00C52739">
        <w:rPr>
          <w:lang w:val="en-AU"/>
        </w:rPr>
        <w:t>r</w:t>
      </w:r>
      <w:r w:rsidRPr="00C52739">
        <w:t>” (-kum, “your”)</w:t>
      </w:r>
      <w:r w:rsidRPr="00C52739">
        <w:rPr>
          <w:lang w:val="en-AU"/>
        </w:rPr>
        <w:t>.</w:t>
      </w:r>
      <w:r w:rsidRPr="00C52739">
        <w:t xml:space="preserve"> </w:t>
      </w:r>
      <w:r w:rsidRPr="00C52739">
        <w:rPr>
          <w:lang w:val="en-AU"/>
        </w:rPr>
        <w:t xml:space="preserve"> </w:t>
      </w:r>
      <w:r w:rsidRPr="00C52739">
        <w:t>Búr Sa‘íd (Port Said) is a seaport in NE Egypt.</w:t>
      </w:r>
    </w:p>
    <w:p w14:paraId="2008E4CF" w14:textId="77777777" w:rsidR="00625A5B" w:rsidRPr="008F03E5" w:rsidRDefault="00625A5B" w:rsidP="00F32F79">
      <w:pPr>
        <w:pStyle w:val="Translit"/>
      </w:pPr>
      <w:r w:rsidRPr="00077779">
        <w:rPr>
          <w:lang w:val="en-AU"/>
        </w:rPr>
        <w:t>Sa’id, Su’ud</w:t>
      </w:r>
      <w:r w:rsidRPr="00077779">
        <w:rPr>
          <w:lang w:val="en-AU"/>
        </w:rPr>
        <w:tab/>
        <w:t xml:space="preserve">Ṣa‘íd, pl. </w:t>
      </w:r>
      <w:r w:rsidRPr="008F03E5">
        <w:t>Ṣu‘úd</w:t>
      </w:r>
      <w:r w:rsidRPr="008F03E5">
        <w:tab/>
        <w:t>highland, upland, plateau.  aṣ-Ṣa‘íd and Ṣa‘íd Miṣr:  Upper Egypt.</w:t>
      </w:r>
    </w:p>
    <w:p w14:paraId="103EABEC" w14:textId="77777777" w:rsidR="00625A5B" w:rsidRPr="008F03E5" w:rsidRDefault="00625A5B" w:rsidP="005B4248">
      <w:pPr>
        <w:pStyle w:val="Translit"/>
      </w:pPr>
      <w:r w:rsidRPr="008F03E5">
        <w:t>Sa’ida, Sawa’id</w:t>
      </w:r>
      <w:r w:rsidRPr="008F03E5">
        <w:tab/>
        <w:t>Sá‘ida[h], pl. Sawá‘id</w:t>
      </w:r>
      <w:r w:rsidRPr="008F03E5">
        <w:tab/>
        <w:t>tributary.  Qaṣṣ ibn Sá‘idah</w:t>
      </w:r>
    </w:p>
    <w:p w14:paraId="4F564497" w14:textId="77777777" w:rsidR="00625A5B" w:rsidRPr="008F03E5" w:rsidRDefault="00625A5B" w:rsidP="00640702">
      <w:pPr>
        <w:pStyle w:val="Translit"/>
        <w:rPr>
          <w:rFonts w:eastAsia="Times New Roman"/>
        </w:rPr>
      </w:pPr>
      <w:r w:rsidRPr="008F03E5">
        <w:rPr>
          <w:rFonts w:eastAsia="Times New Roman"/>
        </w:rPr>
        <w:t>Sa’idi, Sa’ayida</w:t>
      </w:r>
      <w:r w:rsidRPr="008F03E5">
        <w:rPr>
          <w:rFonts w:eastAsia="Times New Roman"/>
        </w:rPr>
        <w:tab/>
        <w:t>Ṣa‘ídí, pl. Ṣa‘áyida</w:t>
      </w:r>
      <w:r w:rsidRPr="008F03E5">
        <w:rPr>
          <w:rFonts w:eastAsia="Times New Roman"/>
        </w:rPr>
        <w:tab/>
        <w:t>Upper Egyptian (i.e. southern or south of latitude 30° north, south of Cairo) in the sense of “ascend”</w:t>
      </w:r>
    </w:p>
    <w:p w14:paraId="3B92361D" w14:textId="77777777" w:rsidR="00625A5B" w:rsidRPr="008F03E5" w:rsidRDefault="00625A5B" w:rsidP="004833E3">
      <w:pPr>
        <w:pStyle w:val="Translit"/>
      </w:pPr>
      <w:r w:rsidRPr="008F03E5">
        <w:t>Sa’idu’l-‘Ulama</w:t>
      </w:r>
      <w:r>
        <w:t>’</w:t>
      </w:r>
      <w:r w:rsidRPr="008F03E5">
        <w:tab/>
        <w:t>Sa‘ídu’l-‘Ulamá</w:t>
      </w:r>
      <w:r>
        <w:t>’</w:t>
      </w:r>
      <w:r w:rsidRPr="008F03E5">
        <w:tab/>
      </w:r>
      <w:r>
        <w:t>title with colloquia</w:t>
      </w:r>
      <w:r w:rsidRPr="00A66E07">
        <w:t>l meaning of “Leader of the Learned” or “Chief of the Scholars”</w:t>
      </w:r>
      <w:r>
        <w:t xml:space="preserve">. </w:t>
      </w:r>
      <w:r w:rsidRPr="00A66E07">
        <w:t xml:space="preserve"> </w:t>
      </w:r>
      <w:r>
        <w:t xml:space="preserve">Title given to </w:t>
      </w:r>
      <w:r w:rsidRPr="00712297">
        <w:t>Mull</w:t>
      </w:r>
      <w:r w:rsidRPr="00383704">
        <w:t>á</w:t>
      </w:r>
      <w:r w:rsidRPr="00712297">
        <w:t xml:space="preserve"> Sa</w:t>
      </w:r>
      <w:r>
        <w:t>‘</w:t>
      </w:r>
      <w:r w:rsidRPr="00712297">
        <w:t>íd</w:t>
      </w:r>
      <w:r>
        <w:t>,</w:t>
      </w:r>
      <w:r w:rsidRPr="008F03E5">
        <w:t xml:space="preserve"> a mujtahid from Bárfurú</w:t>
      </w:r>
      <w:r w:rsidRPr="008F03E5">
        <w:rPr>
          <w:u w:val="single"/>
        </w:rPr>
        <w:t>sh</w:t>
      </w:r>
      <w:r w:rsidRPr="004833E3">
        <w:t>,</w:t>
      </w:r>
      <w:r>
        <w:t xml:space="preserve"> by </w:t>
      </w:r>
      <w:r w:rsidRPr="00712297">
        <w:t>Náṣiri</w:t>
      </w:r>
      <w:r>
        <w:t>’</w:t>
      </w:r>
      <w:r w:rsidRPr="00712297">
        <w:t xml:space="preserve">d-Dín </w:t>
      </w:r>
      <w:r w:rsidRPr="002C7707">
        <w:rPr>
          <w:u w:val="single"/>
        </w:rPr>
        <w:t>Sh</w:t>
      </w:r>
      <w:r w:rsidRPr="00712297">
        <w:t>áh</w:t>
      </w:r>
      <w:r>
        <w:t xml:space="preserve"> as a reward (to gain his political support) for</w:t>
      </w:r>
      <w:r w:rsidRPr="00712297">
        <w:t xml:space="preserve"> his hostility </w:t>
      </w:r>
      <w:r>
        <w:t>to</w:t>
      </w:r>
      <w:r w:rsidRPr="00712297">
        <w:t xml:space="preserve"> the B</w:t>
      </w:r>
      <w:r w:rsidRPr="002C7707">
        <w:t>á</w:t>
      </w:r>
      <w:r w:rsidRPr="00712297">
        <w:t>b</w:t>
      </w:r>
      <w:r w:rsidRPr="002C7707">
        <w:t>í</w:t>
      </w:r>
      <w:r w:rsidRPr="00712297">
        <w:t>s</w:t>
      </w:r>
      <w:r>
        <w:t xml:space="preserve"> during the siege of </w:t>
      </w:r>
      <w:r w:rsidRPr="004833E3">
        <w:rPr>
          <w:u w:val="single"/>
        </w:rPr>
        <w:t>Sh</w:t>
      </w:r>
      <w:r>
        <w:t>ay</w:t>
      </w:r>
      <w:r w:rsidRPr="004833E3">
        <w:rPr>
          <w:u w:val="single"/>
        </w:rPr>
        <w:t>kh</w:t>
      </w:r>
      <w:r>
        <w:t xml:space="preserve"> </w:t>
      </w:r>
      <w:r w:rsidRPr="004833E3">
        <w:t>Ṭ</w:t>
      </w:r>
      <w:r>
        <w:t>abars</w:t>
      </w:r>
      <w:r w:rsidRPr="004833E3">
        <w:t>í</w:t>
      </w:r>
      <w:r>
        <w:t xml:space="preserve"> in 1849</w:t>
      </w:r>
      <w:r w:rsidRPr="00A66E07">
        <w:t>.</w:t>
      </w:r>
    </w:p>
    <w:p w14:paraId="7332C788" w14:textId="77777777" w:rsidR="00625A5B" w:rsidRPr="008F03E5" w:rsidRDefault="00625A5B" w:rsidP="00702D4A">
      <w:pPr>
        <w:pStyle w:val="Translit"/>
      </w:pPr>
      <w:r w:rsidRPr="008F03E5">
        <w:t>Sa’igh, Suyyagh, Sagha, Suwwagh</w:t>
      </w:r>
      <w:r w:rsidRPr="008F03E5">
        <w:tab/>
        <w:t>Ṣá’i</w:t>
      </w:r>
      <w:r w:rsidRPr="008F03E5">
        <w:rPr>
          <w:u w:val="single"/>
        </w:rPr>
        <w:t>gh</w:t>
      </w:r>
      <w:r w:rsidRPr="008F03E5">
        <w:t>, pl. Ṣuyyá</w:t>
      </w:r>
      <w:r w:rsidRPr="008F03E5">
        <w:rPr>
          <w:u w:val="single"/>
        </w:rPr>
        <w:t>gh</w:t>
      </w:r>
      <w:r w:rsidRPr="008F03E5">
        <w:t>, Ṣá</w:t>
      </w:r>
      <w:r w:rsidRPr="008F03E5">
        <w:rPr>
          <w:u w:val="single"/>
        </w:rPr>
        <w:t>gh</w:t>
      </w:r>
      <w:r w:rsidRPr="008F03E5">
        <w:t>a[h], Ṣuwwá</w:t>
      </w:r>
      <w:r w:rsidRPr="008F03E5">
        <w:rPr>
          <w:u w:val="single"/>
        </w:rPr>
        <w:t>gh</w:t>
      </w:r>
      <w:r w:rsidRPr="008F03E5">
        <w:tab/>
        <w:t>goldsmith, jeweller</w:t>
      </w:r>
    </w:p>
    <w:p w14:paraId="7E1D93CE" w14:textId="77777777" w:rsidR="00625A5B" w:rsidRPr="008F03E5" w:rsidRDefault="00625A5B" w:rsidP="00E81074">
      <w:pPr>
        <w:pStyle w:val="Translit"/>
      </w:pPr>
      <w:r w:rsidRPr="008F03E5">
        <w:t>Sa’im</w:t>
      </w:r>
      <w:r w:rsidRPr="008F03E5">
        <w:tab/>
        <w:t>Ṣá’im</w:t>
      </w:r>
      <w:r w:rsidRPr="008F03E5">
        <w:tab/>
        <w:t>fasting (adjective); faster, one who fasts</w:t>
      </w:r>
    </w:p>
    <w:p w14:paraId="4FBC3926" w14:textId="77777777" w:rsidR="00625A5B" w:rsidRPr="008F03E5" w:rsidRDefault="00625A5B" w:rsidP="00E81074">
      <w:pPr>
        <w:pStyle w:val="Translit"/>
      </w:pPr>
      <w:r w:rsidRPr="008F03E5">
        <w:t>Sa’imun, Suwwam, Suyyam, Siyam</w:t>
      </w:r>
      <w:r w:rsidRPr="008F03E5">
        <w:tab/>
        <w:t>pl. Ṣá’imún, Ṣuwwam, Ṣuyyam, Ṣiyám</w:t>
      </w:r>
      <w:r w:rsidRPr="008F03E5">
        <w:tab/>
        <w:t>plurals of Ṣá’im.  Hasan Balyuzi, Shoghi Effendi and Adib Taherzadeh and others use ṣíyám.</w:t>
      </w:r>
    </w:p>
    <w:p w14:paraId="02E955A1" w14:textId="77777777" w:rsidR="00625A5B" w:rsidRPr="008F03E5" w:rsidRDefault="00625A5B" w:rsidP="00937738">
      <w:pPr>
        <w:pStyle w:val="Translit"/>
      </w:pPr>
      <w:r w:rsidRPr="008F03E5">
        <w:t>Sa’in Qal’a (Sa’in Qal’ih)</w:t>
      </w:r>
      <w:r w:rsidRPr="008F03E5">
        <w:tab/>
        <w:t>Ṣá’ín Qal‘a (Ṣá’ín Qal‘ih)</w:t>
      </w:r>
      <w:r w:rsidRPr="008F03E5">
        <w:tab/>
        <w:t xml:space="preserve">Pers. small island in southern Lake Urmia and city 67 km </w:t>
      </w:r>
      <w:r w:rsidRPr="008F03E5">
        <w:rPr>
          <w:sz w:val="16"/>
          <w:szCs w:val="16"/>
        </w:rPr>
        <w:t>SE</w:t>
      </w:r>
      <w:r w:rsidRPr="008F03E5">
        <w:t xml:space="preserve"> Zanján</w:t>
      </w:r>
    </w:p>
    <w:p w14:paraId="4C86A767" w14:textId="77777777" w:rsidR="00625A5B" w:rsidRPr="008F03E5" w:rsidRDefault="00625A5B" w:rsidP="00D04C0C">
      <w:pPr>
        <w:pStyle w:val="Translit"/>
        <w:rPr>
          <w:rFonts w:eastAsia="PMingLiU"/>
          <w:lang w:eastAsia="zh-TW"/>
        </w:rPr>
      </w:pPr>
      <w:r w:rsidRPr="008F03E5">
        <w:rPr>
          <w:rFonts w:eastAsia="PMingLiU"/>
          <w:lang w:eastAsia="zh-TW"/>
        </w:rPr>
        <w:t>Sa’in</w:t>
      </w:r>
      <w:r w:rsidRPr="008F03E5">
        <w:rPr>
          <w:rFonts w:eastAsia="PMingLiU"/>
          <w:lang w:eastAsia="zh-TW"/>
        </w:rPr>
        <w:tab/>
      </w:r>
      <w:r w:rsidRPr="008F03E5">
        <w:t>Ṣá</w:t>
      </w:r>
      <w:r w:rsidRPr="008F03E5">
        <w:rPr>
          <w:rFonts w:eastAsia="PMingLiU"/>
          <w:lang w:eastAsia="zh-TW"/>
        </w:rPr>
        <w:t>’in</w:t>
      </w:r>
      <w:r w:rsidRPr="008F03E5">
        <w:rPr>
          <w:rFonts w:eastAsia="PMingLiU"/>
          <w:lang w:eastAsia="zh-TW"/>
        </w:rPr>
        <w:tab/>
        <w:t>preserver, sustainer, maintainer, keeper, guardian, protector; protective</w:t>
      </w:r>
    </w:p>
    <w:p w14:paraId="64D0F0D0" w14:textId="77777777" w:rsidR="00625A5B" w:rsidRPr="008F03E5" w:rsidRDefault="00625A5B" w:rsidP="002F20E1">
      <w:pPr>
        <w:pStyle w:val="Translit"/>
        <w:rPr>
          <w:rFonts w:eastAsia="PMingLiU"/>
          <w:lang w:eastAsia="zh-TW"/>
        </w:rPr>
      </w:pPr>
      <w:r w:rsidRPr="008F03E5">
        <w:rPr>
          <w:rFonts w:eastAsia="PMingLiU"/>
          <w:lang w:eastAsia="zh-TW"/>
        </w:rPr>
        <w:t>Sa’inu’d-Din</w:t>
      </w:r>
      <w:r w:rsidRPr="008F03E5">
        <w:rPr>
          <w:rFonts w:eastAsia="PMingLiU"/>
          <w:lang w:eastAsia="zh-TW"/>
        </w:rPr>
        <w:tab/>
      </w:r>
      <w:r w:rsidRPr="008F03E5">
        <w:t>Ṣá</w:t>
      </w:r>
      <w:r w:rsidRPr="008F03E5">
        <w:rPr>
          <w:rFonts w:eastAsia="PMingLiU"/>
          <w:lang w:eastAsia="zh-TW"/>
        </w:rPr>
        <w:t>’inu’d-D</w:t>
      </w:r>
      <w:r w:rsidRPr="008F03E5">
        <w:t>í</w:t>
      </w:r>
      <w:r w:rsidRPr="008F03E5">
        <w:rPr>
          <w:rFonts w:eastAsia="PMingLiU"/>
          <w:lang w:eastAsia="zh-TW"/>
        </w:rPr>
        <w:t>n</w:t>
      </w:r>
      <w:r w:rsidRPr="008F03E5">
        <w:rPr>
          <w:rFonts w:eastAsia="PMingLiU"/>
          <w:lang w:eastAsia="zh-TW"/>
        </w:rPr>
        <w:tab/>
        <w:t>“Preserver of religion”</w:t>
      </w:r>
    </w:p>
    <w:p w14:paraId="3EB3369A" w14:textId="77777777" w:rsidR="00625A5B" w:rsidRPr="008F03E5" w:rsidRDefault="00625A5B" w:rsidP="001C42BA">
      <w:pPr>
        <w:pStyle w:val="Translit"/>
      </w:pPr>
      <w:r w:rsidRPr="008F03E5">
        <w:t>Sa’iqa, Sawa’iq</w:t>
      </w:r>
      <w:r w:rsidRPr="008F03E5">
        <w:tab/>
        <w:t>Ṣá‘iqa[h or t], pl. Ṣawá‘iq</w:t>
      </w:r>
      <w:r w:rsidRPr="008F03E5">
        <w:tab/>
        <w:t>bolt of lightning, thunderbolt</w:t>
      </w:r>
    </w:p>
    <w:p w14:paraId="7C428004" w14:textId="77777777" w:rsidR="00625A5B" w:rsidRPr="008F03E5" w:rsidRDefault="00625A5B" w:rsidP="00A76B75">
      <w:pPr>
        <w:pStyle w:val="Translit"/>
      </w:pPr>
      <w:r w:rsidRPr="00BC189D">
        <w:rPr>
          <w:lang w:val="fr-FR"/>
        </w:rPr>
        <w:t>Sa’ir, Su’ur</w:t>
      </w:r>
      <w:r w:rsidRPr="00BC189D">
        <w:rPr>
          <w:lang w:val="fr-FR"/>
        </w:rPr>
        <w:tab/>
        <w:t xml:space="preserve">Sa‘ír, pl. </w:t>
      </w:r>
      <w:r w:rsidRPr="008F03E5">
        <w:t>Su’ur</w:t>
      </w:r>
      <w:r w:rsidRPr="008F03E5">
        <w:tab/>
        <w:t>blazing flame, fire; blaze; hell, inferno.  Mt. Sa‘ír (Mt. Seir</w:t>
      </w:r>
      <w:r>
        <w:t xml:space="preserve">; </w:t>
      </w:r>
      <w:r w:rsidRPr="00A76B75">
        <w:t>30.184341, 35.316634</w:t>
      </w:r>
      <w:r w:rsidRPr="008F03E5">
        <w:t>)—the mountain can be a reference to Jesus.  Chain of mountains west and south of the Dead Sea extending through Jerusalem and Bethlehem.  Sa‘ír is a Palestinian town 8 km north-east of Hebron.</w:t>
      </w:r>
    </w:p>
    <w:p w14:paraId="1E3623FF" w14:textId="77777777" w:rsidR="00625A5B" w:rsidRPr="008F03E5" w:rsidRDefault="00625A5B" w:rsidP="00A673EF">
      <w:pPr>
        <w:pStyle w:val="Translit"/>
      </w:pPr>
      <w:r w:rsidRPr="008F03E5">
        <w:t>Sa’sa’</w:t>
      </w:r>
      <w:r w:rsidRPr="008F03E5">
        <w:tab/>
        <w:t>Ṣa‘ṣa‘</w:t>
      </w:r>
      <w:r w:rsidRPr="008F03E5">
        <w:tab/>
        <w:t>separated, dispersed.</w:t>
      </w:r>
    </w:p>
    <w:p w14:paraId="1E0FC1EF" w14:textId="77777777" w:rsidR="00625A5B" w:rsidRPr="008F03E5" w:rsidRDefault="00625A5B" w:rsidP="00A673EF">
      <w:pPr>
        <w:pStyle w:val="Translit"/>
        <w:rPr>
          <w:rFonts w:eastAsia="Times New Roman"/>
        </w:rPr>
      </w:pPr>
      <w:r w:rsidRPr="008F03E5">
        <w:rPr>
          <w:rFonts w:eastAsia="Times New Roman"/>
        </w:rPr>
        <w:t>Sa’sa’a</w:t>
      </w:r>
      <w:r w:rsidRPr="008F03E5">
        <w:rPr>
          <w:rFonts w:eastAsia="Times New Roman"/>
        </w:rPr>
        <w:tab/>
        <w:t>Ṣa‘ṣa‘a[h or t]</w:t>
      </w:r>
      <w:r w:rsidRPr="008F03E5">
        <w:rPr>
          <w:rFonts w:eastAsia="Times New Roman"/>
        </w:rPr>
        <w:tab/>
        <w:t>separating, dividing, dispersing; moving, shaking; name of a purgative plant; also of the father of a tribe.  The Ban</w:t>
      </w:r>
      <w:r w:rsidRPr="008F03E5">
        <w:t>ú</w:t>
      </w:r>
      <w:r w:rsidRPr="008F03E5">
        <w:rPr>
          <w:rFonts w:eastAsia="Times New Roman"/>
        </w:rPr>
        <w:t xml:space="preserve"> ‘</w:t>
      </w:r>
      <w:r w:rsidRPr="008F03E5">
        <w:t>Á</w:t>
      </w:r>
      <w:r w:rsidRPr="008F03E5">
        <w:rPr>
          <w:rFonts w:eastAsia="Times New Roman"/>
        </w:rPr>
        <w:t xml:space="preserve">mir ibn </w:t>
      </w:r>
      <w:r w:rsidRPr="008F03E5">
        <w:t>Ṣ</w:t>
      </w:r>
      <w:r w:rsidRPr="008F03E5">
        <w:rPr>
          <w:rFonts w:eastAsia="Times New Roman"/>
        </w:rPr>
        <w:t>a‘</w:t>
      </w:r>
      <w:r w:rsidRPr="008F03E5">
        <w:t>ṣ</w:t>
      </w:r>
      <w:r w:rsidRPr="008F03E5">
        <w:rPr>
          <w:rFonts w:eastAsia="Times New Roman"/>
        </w:rPr>
        <w:t>a‘ah was a large and ancient Arab tribe originating from central and south western Arabia that dominated Najd for centuries after the rise of Islam.</w:t>
      </w:r>
    </w:p>
    <w:p w14:paraId="5D8FAE90" w14:textId="77777777" w:rsidR="00625A5B" w:rsidRPr="008F03E5" w:rsidRDefault="00625A5B" w:rsidP="00A673EF">
      <w:pPr>
        <w:pStyle w:val="Translit"/>
        <w:rPr>
          <w:rFonts w:eastAsia="PMingLiU"/>
          <w:lang w:eastAsia="zh-TW"/>
        </w:rPr>
      </w:pPr>
      <w:r w:rsidRPr="008F03E5">
        <w:rPr>
          <w:rFonts w:eastAsia="PMingLiU"/>
          <w:lang w:eastAsia="zh-TW"/>
        </w:rPr>
        <w:t>Sa’ud</w:t>
      </w:r>
      <w:r w:rsidRPr="008F03E5">
        <w:tab/>
      </w:r>
      <w:r w:rsidRPr="008F03E5">
        <w:rPr>
          <w:rFonts w:eastAsia="PMingLiU"/>
          <w:lang w:eastAsia="zh-TW"/>
        </w:rPr>
        <w:t>Sa‘úd</w:t>
      </w:r>
      <w:r w:rsidRPr="008F03E5">
        <w:tab/>
        <w:t>Ál-Sa‘úd is the ruling royal family of Saudi Arabia</w:t>
      </w:r>
    </w:p>
    <w:p w14:paraId="6C28A1C0" w14:textId="77777777" w:rsidR="00625A5B" w:rsidRPr="008F03E5" w:rsidRDefault="00625A5B" w:rsidP="00111D27">
      <w:pPr>
        <w:pStyle w:val="Translit"/>
      </w:pPr>
      <w:r w:rsidRPr="008F03E5">
        <w:t>Sa’udi</w:t>
      </w:r>
      <w:r w:rsidRPr="008F03E5">
        <w:tab/>
        <w:t>Sa‘údí</w:t>
      </w:r>
      <w:r w:rsidRPr="008F03E5">
        <w:tab/>
        <w:t>Saudi.  al-Mamlaka[h] al-‘Arabíya[h] as-Su‘údíya[h] (“the Saudi Arab kingdom”)—normally translated as “the Kingdom of Saudi Arabia”</w:t>
      </w:r>
    </w:p>
    <w:p w14:paraId="6DD241FA" w14:textId="77777777" w:rsidR="00625A5B" w:rsidRPr="008F03E5" w:rsidRDefault="00625A5B" w:rsidP="00DC50B5">
      <w:pPr>
        <w:pStyle w:val="Translit"/>
      </w:pPr>
      <w:r w:rsidRPr="008F03E5">
        <w:t>Sab’a, Sab’, Sab’ih</w:t>
      </w:r>
      <w:r w:rsidRPr="008F03E5">
        <w:tab/>
        <w:t>Sab‘a[h], fem. Sab‘, (Pers. Sab‘ih)</w:t>
      </w:r>
      <w:r w:rsidRPr="008F03E5">
        <w:tab/>
        <w:t>seven</w:t>
      </w:r>
    </w:p>
    <w:p w14:paraId="3639FDFF" w14:textId="77777777" w:rsidR="00625A5B" w:rsidRPr="008F03E5" w:rsidRDefault="00625A5B" w:rsidP="00BC4DE1">
      <w:pPr>
        <w:pStyle w:val="Translit"/>
      </w:pPr>
      <w:r w:rsidRPr="008F03E5">
        <w:t>Sab’ata ‘Ashara, Sab’a ‘Ashrata</w:t>
      </w:r>
      <w:r w:rsidRPr="008F03E5">
        <w:tab/>
        <w:t>Sab‘ata[h or t] ‘A</w:t>
      </w:r>
      <w:r w:rsidRPr="008F03E5">
        <w:rPr>
          <w:u w:val="single"/>
        </w:rPr>
        <w:t>sh</w:t>
      </w:r>
      <w:r w:rsidRPr="008F03E5">
        <w:t>ara</w:t>
      </w:r>
      <w:r w:rsidRPr="008F03E5">
        <w:tab/>
        <w:t>seventeen (fem. Sab‘a ‘A</w:t>
      </w:r>
      <w:r w:rsidRPr="008F03E5">
        <w:rPr>
          <w:u w:val="single"/>
        </w:rPr>
        <w:t>sh</w:t>
      </w:r>
      <w:r w:rsidRPr="008F03E5">
        <w:t>rata[h or t])</w:t>
      </w:r>
    </w:p>
    <w:p w14:paraId="69D1E1F2" w14:textId="77777777" w:rsidR="00625A5B" w:rsidRPr="00DB6D67" w:rsidRDefault="00625A5B" w:rsidP="00BC4DE1">
      <w:pPr>
        <w:pStyle w:val="Translit"/>
      </w:pPr>
      <w:r w:rsidRPr="00DB6D67">
        <w:t>Sab’un</w:t>
      </w:r>
      <w:r w:rsidRPr="00DB6D67">
        <w:tab/>
        <w:t>Sab‘ún</w:t>
      </w:r>
      <w:r w:rsidRPr="00DB6D67">
        <w:tab/>
        <w:t>seventy</w:t>
      </w:r>
    </w:p>
    <w:p w14:paraId="33D5F79A" w14:textId="77777777" w:rsidR="00625A5B" w:rsidRPr="008F03E5" w:rsidRDefault="00625A5B" w:rsidP="00AF29E7">
      <w:pPr>
        <w:pStyle w:val="Translit"/>
      </w:pPr>
      <w:r w:rsidRPr="00DB6D67">
        <w:t>Saba, Saba’, Saba’iyyun</w:t>
      </w:r>
      <w:r w:rsidRPr="00DB6D67">
        <w:tab/>
        <w:t xml:space="preserve">Sabá’ (or Saba’), pl. </w:t>
      </w:r>
      <w:r w:rsidRPr="008F03E5">
        <w:t>Saba’iyyún</w:t>
      </w:r>
      <w:r w:rsidRPr="008F03E5">
        <w:tab/>
        <w:t xml:space="preserve">Saba, Sabaean (“Sabean”, and not Sabian), Sheba (Hebrew).  Ancient Ma’rib, in modern Yemen, was the capital of the kingdom of Sabá’ (the kingdom of “Sheba”, in King Solomon’s day, included Yemen and parts of the west side of the Red Sea, which was later Christianised from Abyssinia).  The kingdom was founded by the Sabaeans (as-Saba’iyyún).  </w:t>
      </w:r>
      <w:r w:rsidRPr="008F03E5">
        <w:rPr>
          <w:rFonts w:eastAsia="PMingLiU"/>
          <w:lang w:eastAsia="zh-TW"/>
        </w:rPr>
        <w:t xml:space="preserve">In the Qur’án, they are described as Saba’ (not to be confused with Ṣábi’) or as the people of Tubba‘ (Qawm Tubba‘).  </w:t>
      </w:r>
      <w:r w:rsidRPr="008F03E5">
        <w:t>Symbolic home or dwelling place of the “well-beloved” (</w:t>
      </w:r>
      <w:r w:rsidRPr="008F03E5">
        <w:rPr>
          <w:sz w:val="16"/>
          <w:szCs w:val="16"/>
        </w:rPr>
        <w:t>PHW</w:t>
      </w:r>
      <w:r w:rsidRPr="008F03E5">
        <w:t xml:space="preserve"> 1).</w:t>
      </w:r>
    </w:p>
    <w:p w14:paraId="32889DFF" w14:textId="77777777" w:rsidR="00625A5B" w:rsidRPr="008F03E5" w:rsidRDefault="00625A5B" w:rsidP="00FB349A">
      <w:pPr>
        <w:pStyle w:val="Translit"/>
      </w:pPr>
      <w:r w:rsidRPr="008F03E5">
        <w:t>Saba, Sabw, Subuw, Siban, Saba’</w:t>
      </w:r>
      <w:r w:rsidRPr="008F03E5">
        <w:tab/>
        <w:t>Ṣabá, Ṣabw, Ṣubúw, Ṣiban, Ṣaba’</w:t>
      </w:r>
      <w:r w:rsidRPr="008F03E5">
        <w:tab/>
        <w:t>to be a child, be childish.  There is also a link with the east wind, see separate listings for Ṣaban Ṣubúw.</w:t>
      </w:r>
    </w:p>
    <w:p w14:paraId="3E220B51" w14:textId="77777777" w:rsidR="00625A5B" w:rsidRPr="008F03E5" w:rsidRDefault="00625A5B" w:rsidP="000C2DFD">
      <w:pPr>
        <w:pStyle w:val="Translit"/>
        <w:rPr>
          <w:rFonts w:eastAsia="PMingLiU"/>
          <w:lang w:eastAsia="zh-TW"/>
        </w:rPr>
      </w:pPr>
      <w:r w:rsidRPr="008F03E5">
        <w:rPr>
          <w:rFonts w:eastAsia="PMingLiU"/>
          <w:lang w:eastAsia="zh-TW"/>
        </w:rPr>
        <w:t>Sabah</w:t>
      </w:r>
      <w:r w:rsidRPr="008F03E5">
        <w:tab/>
        <w:t>Ṣ</w:t>
      </w:r>
      <w:r w:rsidRPr="008F03E5">
        <w:rPr>
          <w:rFonts w:eastAsia="PMingLiU"/>
          <w:lang w:eastAsia="zh-TW"/>
        </w:rPr>
        <w:t>abá</w:t>
      </w:r>
      <w:r w:rsidRPr="008F03E5">
        <w:t>ḥ</w:t>
      </w:r>
      <w:r w:rsidRPr="008F03E5">
        <w:tab/>
        <w:t>morning</w:t>
      </w:r>
    </w:p>
    <w:p w14:paraId="3B18E76F" w14:textId="77777777" w:rsidR="00625A5B" w:rsidRPr="008F03E5" w:rsidRDefault="00625A5B" w:rsidP="009C3B6A">
      <w:pPr>
        <w:pStyle w:val="Translit"/>
      </w:pPr>
      <w:r w:rsidRPr="008F03E5">
        <w:t>Sabaha, (Sabh, Sibaha)</w:t>
      </w:r>
      <w:r w:rsidRPr="008F03E5">
        <w:tab/>
        <w:t>Sabaḥa (Sabḥ, Sibáḥa)</w:t>
      </w:r>
      <w:r w:rsidRPr="008F03E5">
        <w:tab/>
        <w:t xml:space="preserve">to swim (in); to float (figuratively); to spread, Form </w:t>
      </w:r>
      <w:r w:rsidRPr="008F03E5">
        <w:rPr>
          <w:sz w:val="16"/>
          <w:szCs w:val="16"/>
        </w:rPr>
        <w:t>II</w:t>
      </w:r>
      <w:r w:rsidRPr="008F03E5">
        <w:t xml:space="preserve"> to praise, glorify</w:t>
      </w:r>
    </w:p>
    <w:p w14:paraId="45737254" w14:textId="77777777" w:rsidR="00625A5B" w:rsidRPr="008F03E5" w:rsidRDefault="00625A5B" w:rsidP="00DD6661">
      <w:pPr>
        <w:pStyle w:val="Translit"/>
      </w:pPr>
      <w:r w:rsidRPr="008F03E5">
        <w:t>Sabahani</w:t>
      </w:r>
      <w:r w:rsidRPr="008F03E5">
        <w:tab/>
        <w:t>Sabaḥaní</w:t>
      </w:r>
      <w:r w:rsidRPr="008F03E5">
        <w:tab/>
        <w:t>glorify me.  Sounds like sabakthani.  See Shavaktani</w:t>
      </w:r>
    </w:p>
    <w:p w14:paraId="78F5D4A8" w14:textId="77777777" w:rsidR="00625A5B" w:rsidRPr="008F03E5" w:rsidRDefault="00625A5B" w:rsidP="00FB7937">
      <w:pPr>
        <w:pStyle w:val="Translit"/>
      </w:pPr>
      <w:r w:rsidRPr="003610FD">
        <w:rPr>
          <w:lang w:val="en-AU"/>
        </w:rPr>
        <w:t>Saban, Sabawat, Asba’</w:t>
      </w:r>
      <w:r w:rsidRPr="003610FD">
        <w:rPr>
          <w:lang w:val="en-AU"/>
        </w:rPr>
        <w:tab/>
        <w:t xml:space="preserve">Ṣaban, pl. </w:t>
      </w:r>
      <w:r w:rsidRPr="008F03E5">
        <w:t>Ṣabawát, Aṣbá’</w:t>
      </w:r>
      <w:r w:rsidRPr="008F03E5">
        <w:tab/>
        <w:t>east wind</w:t>
      </w:r>
    </w:p>
    <w:p w14:paraId="09EC3090" w14:textId="77777777" w:rsidR="00625A5B" w:rsidRPr="008F03E5" w:rsidRDefault="00625A5B" w:rsidP="00F051AA">
      <w:pPr>
        <w:pStyle w:val="Translit"/>
      </w:pPr>
      <w:r w:rsidRPr="008F03E5">
        <w:t>Sabara</w:t>
      </w:r>
      <w:r w:rsidRPr="008F03E5">
        <w:tab/>
        <w:t>Ṣabara</w:t>
      </w:r>
      <w:r w:rsidRPr="008F03E5">
        <w:tab/>
        <w:t>to bind, tie, fetter, shackle; to be patient, be forbearing, have patience, take patience, persevere; to bear calmly, patiently, stoutly, endure</w:t>
      </w:r>
    </w:p>
    <w:p w14:paraId="450FBDA2" w14:textId="77777777" w:rsidR="00625A5B" w:rsidRPr="008F03E5" w:rsidRDefault="00625A5B" w:rsidP="00E814F0">
      <w:pPr>
        <w:pStyle w:val="Translit"/>
      </w:pPr>
      <w:r w:rsidRPr="008F03E5">
        <w:t>Sabbagh</w:t>
      </w:r>
      <w:r w:rsidRPr="008F03E5">
        <w:tab/>
        <w:t>Ṣabbá</w:t>
      </w:r>
      <w:r w:rsidRPr="008F03E5">
        <w:rPr>
          <w:u w:val="single"/>
        </w:rPr>
        <w:t>gh</w:t>
      </w:r>
      <w:r w:rsidRPr="008F03E5">
        <w:tab/>
        <w:t>dyer</w:t>
      </w:r>
    </w:p>
    <w:p w14:paraId="07EAC7F9" w14:textId="77777777" w:rsidR="00625A5B" w:rsidRPr="008F03E5" w:rsidRDefault="00625A5B" w:rsidP="000250C2">
      <w:pPr>
        <w:pStyle w:val="Translit"/>
      </w:pPr>
      <w:r w:rsidRPr="008F03E5">
        <w:t>Sabbaq, Sabbaqun</w:t>
      </w:r>
      <w:r w:rsidRPr="008F03E5">
        <w:tab/>
        <w:t>Sabbáq, pl. Sabbáqún</w:t>
      </w:r>
      <w:r w:rsidRPr="008F03E5">
        <w:tab/>
        <w:t>anticipatory; precursory; triumphant; fast train, express train; precursor; winner in contest</w:t>
      </w:r>
    </w:p>
    <w:p w14:paraId="55063FF2" w14:textId="77777777" w:rsidR="00625A5B" w:rsidRPr="008F03E5" w:rsidRDefault="00625A5B" w:rsidP="007B5370">
      <w:pPr>
        <w:pStyle w:val="Translit"/>
      </w:pPr>
      <w:r w:rsidRPr="007B5370">
        <w:t>Sabha, Subha, Subuhat</w:t>
      </w:r>
      <w:r w:rsidRPr="007B5370">
        <w:tab/>
      </w:r>
      <w:bookmarkStart w:id="130" w:name="_Hlk60744510"/>
      <w:r w:rsidRPr="007B5370">
        <w:t>Sabḥa</w:t>
      </w:r>
      <w:bookmarkEnd w:id="130"/>
      <w:r w:rsidRPr="007B5370">
        <w:t>[h or t], Subḥa[h or t]</w:t>
      </w:r>
      <w:r w:rsidRPr="007B5370">
        <w:tab/>
        <w:t xml:space="preserve">(pl. </w:t>
      </w:r>
      <w:r>
        <w:t>s</w:t>
      </w:r>
      <w:r w:rsidRPr="008F03E5">
        <w:t>ubuḥát</w:t>
      </w:r>
      <w:r>
        <w:t xml:space="preserve">) </w:t>
      </w:r>
      <w:r w:rsidRPr="007B5370">
        <w:t>majesty (of God)</w:t>
      </w:r>
      <w:r>
        <w:t xml:space="preserve">.  Translated by Shoghi Effendi as “veil”.  See </w:t>
      </w:r>
      <w:r w:rsidRPr="008F03E5">
        <w:t>Subuḥát al-Jalál</w:t>
      </w:r>
      <w:r>
        <w:t>.</w:t>
      </w:r>
    </w:p>
    <w:p w14:paraId="6BD0125C" w14:textId="77777777" w:rsidR="00625A5B" w:rsidRPr="008F03E5" w:rsidRDefault="00625A5B" w:rsidP="00A8177E">
      <w:pPr>
        <w:pStyle w:val="Translit"/>
        <w:rPr>
          <w:rFonts w:eastAsia="PMingLiU"/>
          <w:lang w:eastAsia="zh-TW"/>
        </w:rPr>
      </w:pPr>
      <w:r w:rsidRPr="00077779">
        <w:rPr>
          <w:rFonts w:eastAsia="PMingLiU"/>
          <w:lang w:eastAsia="zh-TW"/>
        </w:rPr>
        <w:t>Sabi’, as-Sabi’a, Subat, Sabi’a, Sabi’un</w:t>
      </w:r>
      <w:r w:rsidRPr="00077779">
        <w:rPr>
          <w:rFonts w:eastAsia="PMingLiU"/>
          <w:lang w:eastAsia="zh-TW"/>
        </w:rPr>
        <w:tab/>
        <w:t>Ṣ</w:t>
      </w:r>
      <w:r w:rsidRPr="00077779">
        <w:t>á</w:t>
      </w:r>
      <w:r w:rsidRPr="00077779">
        <w:rPr>
          <w:rFonts w:eastAsia="PMingLiU"/>
          <w:lang w:eastAsia="zh-TW"/>
        </w:rPr>
        <w:t xml:space="preserve">bi’, pl. </w:t>
      </w:r>
      <w:r w:rsidRPr="008F03E5">
        <w:t>Ṣ</w:t>
      </w:r>
      <w:r w:rsidRPr="008F03E5">
        <w:rPr>
          <w:rFonts w:eastAsia="PMingLiU"/>
          <w:lang w:eastAsia="zh-TW"/>
        </w:rPr>
        <w:t>ub</w:t>
      </w:r>
      <w:r w:rsidRPr="008F03E5">
        <w:t>á</w:t>
      </w:r>
      <w:r w:rsidRPr="008F03E5">
        <w:rPr>
          <w:rFonts w:eastAsia="PMingLiU"/>
          <w:lang w:eastAsia="zh-TW"/>
        </w:rPr>
        <w:t>t</w:t>
      </w:r>
      <w:r w:rsidRPr="008F03E5">
        <w:rPr>
          <w:rFonts w:eastAsia="PMingLiU"/>
          <w:lang w:eastAsia="zh-TW"/>
        </w:rPr>
        <w:tab/>
        <w:t>a</w:t>
      </w:r>
      <w:r w:rsidRPr="008F03E5">
        <w:rPr>
          <w:rFonts w:eastAsia="Times New Roman"/>
        </w:rPr>
        <w:t>n idolater, who changes his religion, pagan, Sabian (not “Sabean”)</w:t>
      </w:r>
      <w:r w:rsidRPr="008F03E5">
        <w:rPr>
          <w:rFonts w:eastAsia="PMingLiU"/>
          <w:lang w:eastAsia="zh-TW"/>
        </w:rPr>
        <w:t xml:space="preserve">; Mandaean.  </w:t>
      </w:r>
      <w:r w:rsidRPr="008F03E5">
        <w:t xml:space="preserve">fem. Ṣabí’a[h or t], Ṣábí’a[h or t].  </w:t>
      </w:r>
      <w:r w:rsidRPr="008F03E5">
        <w:rPr>
          <w:rFonts w:eastAsia="PMingLiU"/>
          <w:lang w:eastAsia="zh-TW"/>
        </w:rPr>
        <w:t>aṣ-Ṣábi’a</w:t>
      </w:r>
      <w:r w:rsidRPr="008F03E5">
        <w:t xml:space="preserve"> or aṣ-Ṣábiʼún (derived from the Aramaic term Ṣabi, ‘to baptize’), </w:t>
      </w:r>
      <w:r w:rsidRPr="008F03E5">
        <w:rPr>
          <w:rFonts w:eastAsia="PMingLiU"/>
          <w:lang w:eastAsia="zh-TW"/>
        </w:rPr>
        <w:t xml:space="preserve">the Sabians, designation of two different sects:  1)  the Mandaeans, a Judeo-Christian Gnostic, baptist sect in Mesopotomia (Christians of St. John), used in this sense in the Qur’án.  2)  The Sabians of </w:t>
      </w:r>
      <w:r w:rsidRPr="008F03E5">
        <w:t>Ḥarrán</w:t>
      </w:r>
      <w:r w:rsidRPr="008F03E5">
        <w:rPr>
          <w:rFonts w:eastAsia="PMingLiU"/>
          <w:lang w:eastAsia="zh-TW"/>
        </w:rPr>
        <w:t xml:space="preserve">, a pagan sect extant as late as the 11th century </w:t>
      </w:r>
      <w:r w:rsidRPr="008F03E5">
        <w:rPr>
          <w:sz w:val="16"/>
          <w:szCs w:val="16"/>
        </w:rPr>
        <w:t>CE</w:t>
      </w:r>
      <w:r w:rsidRPr="008F03E5">
        <w:rPr>
          <w:rFonts w:eastAsia="PMingLiU"/>
          <w:lang w:eastAsia="zh-TW"/>
        </w:rPr>
        <w:t xml:space="preserve">.  See </w:t>
      </w:r>
      <w:r w:rsidRPr="008F03E5">
        <w:t>Mandá’iyún.</w:t>
      </w:r>
    </w:p>
    <w:p w14:paraId="285D3F65" w14:textId="77777777" w:rsidR="00625A5B" w:rsidRPr="008F03E5" w:rsidRDefault="00625A5B" w:rsidP="00B621CC">
      <w:pPr>
        <w:pStyle w:val="Translit"/>
      </w:pPr>
      <w:r w:rsidRPr="008F03E5">
        <w:t>Sabil, Subul, Asbila, Siblan</w:t>
      </w:r>
      <w:r w:rsidRPr="008F03E5">
        <w:tab/>
        <w:t>Sabíl (m. &amp; f.), pl. Subul, Asbila, Siblán</w:t>
      </w:r>
      <w:r w:rsidRPr="008F03E5">
        <w:tab/>
        <w:t>way (e.g. God’s), road, path; access; means, expedient, possibility (to, for);—(pl. asbila) public fountain);—(pl. siblán) clay pipe bowl, clay pipe (of the Bedouins)</w:t>
      </w:r>
    </w:p>
    <w:p w14:paraId="1C55D5CB" w14:textId="77777777" w:rsidR="00625A5B" w:rsidRPr="008F03E5" w:rsidRDefault="00625A5B" w:rsidP="000E7260">
      <w:pPr>
        <w:pStyle w:val="Translit"/>
      </w:pPr>
      <w:r w:rsidRPr="008F03E5">
        <w:t>Sabiq, Sabiqun, Sabiqin, Subbaq, Sabiqan</w:t>
      </w:r>
      <w:r w:rsidRPr="008F03E5">
        <w:tab/>
        <w:t>Sábiq, pl. Sábiqún, Sábiqín, Subbáq</w:t>
      </w:r>
      <w:r w:rsidRPr="008F03E5">
        <w:tab/>
        <w:t xml:space="preserve">antecedent, preceding, foregoing, previous, prior; former, ex-; retired; </w:t>
      </w:r>
      <w:r w:rsidRPr="008F03E5">
        <w:rPr>
          <w:i/>
          <w:iCs/>
        </w:rPr>
        <w:t>sábiqan</w:t>
      </w:r>
      <w:r w:rsidRPr="008F03E5">
        <w:t xml:space="preserve"> formerly, previously.  The Báb initially described the Ḥurúf-i-Ḥayy (“Letters of the Living”) as Sábiqún (those who “have preceded in faith”)</w:t>
      </w:r>
      <w:r>
        <w:t>.  In Islam it</w:t>
      </w:r>
      <w:r w:rsidRPr="0043255A">
        <w:t xml:space="preserve"> refer</w:t>
      </w:r>
      <w:r>
        <w:t>s</w:t>
      </w:r>
      <w:r w:rsidRPr="0043255A">
        <w:t xml:space="preserve"> to the eminent early followers of Muḥammad</w:t>
      </w:r>
      <w:r>
        <w:t>.</w:t>
      </w:r>
    </w:p>
    <w:p w14:paraId="23F786E4" w14:textId="77777777" w:rsidR="00625A5B" w:rsidRPr="008F03E5" w:rsidRDefault="00625A5B" w:rsidP="00263EC5">
      <w:pPr>
        <w:pStyle w:val="Translit"/>
      </w:pPr>
      <w:r w:rsidRPr="008F03E5">
        <w:t>Sabiqa, Sawabiq</w:t>
      </w:r>
      <w:r w:rsidRPr="008F03E5">
        <w:tab/>
        <w:t>Sábiqa[h], pl. Sawábiq</w:t>
      </w:r>
      <w:r w:rsidRPr="008F03E5">
        <w:tab/>
      </w:r>
      <w:r>
        <w:t>(fem. of s</w:t>
      </w:r>
      <w:r w:rsidRPr="008F03E5">
        <w:t>ábiq</w:t>
      </w:r>
      <w:r>
        <w:t xml:space="preserve">) </w:t>
      </w:r>
      <w:r w:rsidRPr="008F03E5">
        <w:t>precedence, priority; previous case, precedent; previous, earlier publication of an author;—pl. antecedents; previous convictions</w:t>
      </w:r>
    </w:p>
    <w:p w14:paraId="69FEB0DE" w14:textId="77777777" w:rsidR="00625A5B" w:rsidRPr="008F03E5" w:rsidRDefault="00625A5B" w:rsidP="003172EE">
      <w:pPr>
        <w:pStyle w:val="Translit"/>
      </w:pPr>
      <w:r w:rsidRPr="008F03E5">
        <w:t>Sabir</w:t>
      </w:r>
      <w:r w:rsidRPr="008F03E5">
        <w:tab/>
        <w:t>Ṣábir, dual Ṣ</w:t>
      </w:r>
      <w:r w:rsidRPr="008F03E5">
        <w:rPr>
          <w:rFonts w:eastAsia="PMingLiU"/>
          <w:lang w:eastAsia="zh-TW"/>
        </w:rPr>
        <w:t>ábirán</w:t>
      </w:r>
      <w:r w:rsidRPr="008F03E5">
        <w:tab/>
        <w:t>patient, long-suffering, enduring, perseverant, steadfast</w:t>
      </w:r>
    </w:p>
    <w:p w14:paraId="6AD41EE5" w14:textId="77777777" w:rsidR="00625A5B" w:rsidRPr="008F03E5" w:rsidRDefault="00625A5B" w:rsidP="006261AF">
      <w:pPr>
        <w:pStyle w:val="Translit"/>
      </w:pPr>
      <w:r w:rsidRPr="00077779">
        <w:rPr>
          <w:lang w:val="es-ES_tradnl"/>
        </w:rPr>
        <w:t>Sabir, Sabar, Subara’</w:t>
      </w:r>
      <w:r w:rsidRPr="00077779">
        <w:rPr>
          <w:lang w:val="es-ES_tradnl"/>
        </w:rPr>
        <w:tab/>
        <w:t xml:space="preserve">Ṣabír, Ṣabár, pl. </w:t>
      </w:r>
      <w:r w:rsidRPr="008F03E5">
        <w:rPr>
          <w:rFonts w:eastAsia="Times New Roman"/>
        </w:rPr>
        <w:t>Ṣubará’</w:t>
      </w:r>
      <w:r w:rsidRPr="008F03E5">
        <w:tab/>
      </w:r>
      <w:r w:rsidRPr="008F03E5">
        <w:rPr>
          <w:rFonts w:eastAsia="Times New Roman"/>
        </w:rPr>
        <w:t>patient, mild, long-suffering; a surety, sponsor</w:t>
      </w:r>
    </w:p>
    <w:p w14:paraId="66B226C2" w14:textId="77777777" w:rsidR="00625A5B" w:rsidRPr="008F03E5" w:rsidRDefault="00625A5B" w:rsidP="00472556">
      <w:pPr>
        <w:pStyle w:val="Translit"/>
        <w:rPr>
          <w:rFonts w:eastAsia="PMingLiU"/>
          <w:lang w:eastAsia="zh-TW"/>
        </w:rPr>
      </w:pPr>
      <w:r w:rsidRPr="008F03E5">
        <w:rPr>
          <w:rFonts w:eastAsia="PMingLiU"/>
          <w:lang w:eastAsia="zh-TW"/>
        </w:rPr>
        <w:t>Sabiriyan</w:t>
      </w:r>
      <w:r w:rsidRPr="008F03E5">
        <w:tab/>
        <w:t>Ṣ</w:t>
      </w:r>
      <w:r w:rsidRPr="008F03E5">
        <w:rPr>
          <w:rFonts w:eastAsia="PMingLiU"/>
          <w:lang w:eastAsia="zh-TW"/>
        </w:rPr>
        <w:t>ábiríyán</w:t>
      </w:r>
      <w:r w:rsidRPr="008F03E5">
        <w:tab/>
        <w:t>those who are patient</w:t>
      </w:r>
    </w:p>
    <w:p w14:paraId="5B85CC26" w14:textId="77777777" w:rsidR="00625A5B" w:rsidRPr="008F03E5" w:rsidRDefault="00625A5B" w:rsidP="003135ED">
      <w:pPr>
        <w:pStyle w:val="Translit"/>
      </w:pPr>
      <w:r w:rsidRPr="008F03E5">
        <w:t>Sabr</w:t>
      </w:r>
      <w:r w:rsidRPr="008F03E5">
        <w:tab/>
        <w:t>Ṣabr</w:t>
      </w:r>
      <w:r w:rsidRPr="008F03E5">
        <w:tab/>
        <w:t>fettering, shackling; patience, forbearance; composure, equanimity, steadfastness, firmness; self-control, self-command, self-possession; perseverance, endurance, hardiness.  e.g. Súriy-i-Ṣabr</w:t>
      </w:r>
    </w:p>
    <w:p w14:paraId="36F5A852" w14:textId="77777777" w:rsidR="00625A5B" w:rsidRPr="008F03E5" w:rsidRDefault="00625A5B" w:rsidP="006261AF">
      <w:pPr>
        <w:pStyle w:val="Translit"/>
      </w:pPr>
      <w:r w:rsidRPr="008F03E5">
        <w:t>Sabri (Zabari), Sabriya</w:t>
      </w:r>
      <w:r w:rsidRPr="008F03E5">
        <w:tab/>
        <w:t xml:space="preserve">Ṣabrí, fem. </w:t>
      </w:r>
      <w:r w:rsidRPr="00BC189D">
        <w:rPr>
          <w:lang w:val="fr-FR"/>
        </w:rPr>
        <w:t>Ṣabríya[h or t]</w:t>
      </w:r>
      <w:r w:rsidRPr="00BC189D">
        <w:rPr>
          <w:lang w:val="fr-FR"/>
        </w:rPr>
        <w:tab/>
        <w:t xml:space="preserve">patient.  </w:t>
      </w:r>
      <w:r w:rsidRPr="008F03E5">
        <w:t xml:space="preserve">A very small village (also known as Zabárí, 35.728333, 56.929167) in Sabzevar County, Razavi Khorasan Province.  87 km </w:t>
      </w:r>
      <w:r w:rsidRPr="008F03E5">
        <w:rPr>
          <w:sz w:val="16"/>
          <w:szCs w:val="16"/>
        </w:rPr>
        <w:t>SW</w:t>
      </w:r>
      <w:r w:rsidRPr="008F03E5">
        <w:t xml:space="preserve"> of Sabzevar.</w:t>
      </w:r>
    </w:p>
    <w:p w14:paraId="09471574" w14:textId="77777777" w:rsidR="00625A5B" w:rsidRPr="008F03E5" w:rsidRDefault="00625A5B" w:rsidP="00A1627A">
      <w:pPr>
        <w:pStyle w:val="Translit"/>
        <w:rPr>
          <w:rFonts w:eastAsia="Times New Roman"/>
        </w:rPr>
      </w:pPr>
      <w:r w:rsidRPr="008F03E5">
        <w:t>Sabt, Sabut</w:t>
      </w:r>
      <w:r w:rsidRPr="008F03E5">
        <w:tab/>
        <w:t>Sabt, pl. Sabút</w:t>
      </w:r>
      <w:r w:rsidRPr="008F03E5">
        <w:tab/>
        <w:t>r</w:t>
      </w:r>
      <w:r w:rsidRPr="008F03E5">
        <w:rPr>
          <w:rFonts w:eastAsia="Times New Roman"/>
        </w:rPr>
        <w:t xml:space="preserve">est, quiet, repose.  as-sabt, the Jewish sabbath (possibly borrowed from Hebrew </w:t>
      </w:r>
      <w:r w:rsidRPr="008F03E5">
        <w:rPr>
          <w:rFonts w:eastAsia="Times New Roman"/>
          <w:u w:val="single"/>
        </w:rPr>
        <w:t>Sh</w:t>
      </w:r>
      <w:r w:rsidRPr="008F03E5">
        <w:rPr>
          <w:rFonts w:eastAsia="Times New Roman"/>
        </w:rPr>
        <w:t>ab</w:t>
      </w:r>
      <w:r w:rsidRPr="008F03E5">
        <w:t>á</w:t>
      </w:r>
      <w:r w:rsidRPr="008F03E5">
        <w:rPr>
          <w:rFonts w:eastAsia="Times New Roman"/>
        </w:rPr>
        <w:t>t); observing the Sabbath (Shabbat); Saturday</w:t>
      </w:r>
    </w:p>
    <w:p w14:paraId="070EB772" w14:textId="77777777" w:rsidR="00625A5B" w:rsidRPr="008F03E5" w:rsidRDefault="00625A5B" w:rsidP="00F20016">
      <w:pPr>
        <w:pStyle w:val="Translit"/>
      </w:pPr>
      <w:r w:rsidRPr="008F03E5">
        <w:t>Sabti</w:t>
      </w:r>
      <w:r w:rsidRPr="008F03E5">
        <w:tab/>
        <w:t>Sabtí</w:t>
      </w:r>
      <w:r w:rsidRPr="008F03E5">
        <w:tab/>
        <w:t>(Ar. influence) s</w:t>
      </w:r>
      <w:r w:rsidRPr="008F03E5">
        <w:rPr>
          <w:rFonts w:eastAsia="Times New Roman"/>
        </w:rPr>
        <w:t>urname of A</w:t>
      </w:r>
      <w:r w:rsidRPr="008F03E5">
        <w:t>ḥ</w:t>
      </w:r>
      <w:r w:rsidRPr="008F03E5">
        <w:rPr>
          <w:rFonts w:eastAsia="Times New Roman"/>
        </w:rPr>
        <w:t>mad, a son of Harún ar-Ra</w:t>
      </w:r>
      <w:r w:rsidRPr="008F03E5">
        <w:rPr>
          <w:rFonts w:eastAsia="Times New Roman"/>
          <w:u w:val="single"/>
        </w:rPr>
        <w:t>sh</w:t>
      </w:r>
      <w:r w:rsidRPr="008F03E5">
        <w:rPr>
          <w:rFonts w:eastAsia="Times New Roman"/>
        </w:rPr>
        <w:t>íd, supposedly because he devoted six days of the week to the service of God, and worked on the sabbath, or Saturday, for a livelihood</w:t>
      </w:r>
    </w:p>
    <w:p w14:paraId="5AA03BA5" w14:textId="77777777" w:rsidR="00625A5B" w:rsidRPr="008F03E5" w:rsidRDefault="00625A5B" w:rsidP="0078355B">
      <w:pPr>
        <w:pStyle w:val="Translit"/>
      </w:pPr>
      <w:r w:rsidRPr="008F03E5">
        <w:t>Sabuktigin</w:t>
      </w:r>
      <w:r w:rsidRPr="008F03E5">
        <w:tab/>
        <w:t>Sabuktigín</w:t>
      </w:r>
      <w:r w:rsidRPr="008F03E5">
        <w:tab/>
        <w:t xml:space="preserve">also spelt as Sabuktagin, Sabuktakín (“Sabuktakíyn”), Sebüktegin and Sebük Tigin.  Abú Manṣúr Sabuktigín (c 942–997), a brave general, </w:t>
      </w:r>
      <w:r w:rsidRPr="008F03E5">
        <w:rPr>
          <w:rFonts w:eastAsia="Times New Roman"/>
        </w:rPr>
        <w:t>(father of Sul</w:t>
      </w:r>
      <w:r w:rsidRPr="008F03E5">
        <w:t>ṭ</w:t>
      </w:r>
      <w:r w:rsidRPr="008F03E5">
        <w:rPr>
          <w:rFonts w:eastAsia="Times New Roman"/>
        </w:rPr>
        <w:t>án Ma</w:t>
      </w:r>
      <w:r w:rsidRPr="008F03E5">
        <w:t>ḥ</w:t>
      </w:r>
      <w:r w:rsidRPr="008F03E5">
        <w:rPr>
          <w:rFonts w:eastAsia="Times New Roman"/>
        </w:rPr>
        <w:t xml:space="preserve">múd, </w:t>
      </w:r>
      <w:r w:rsidRPr="008F03E5">
        <w:t xml:space="preserve">the founder of the </w:t>
      </w:r>
      <w:r w:rsidRPr="008F03E5">
        <w:rPr>
          <w:u w:val="single"/>
        </w:rPr>
        <w:t>Gh</w:t>
      </w:r>
      <w:r w:rsidRPr="008F03E5">
        <w:t>aznawíyán dynasty (r. 977–997)).  In Turkic the name means beloved prince.</w:t>
      </w:r>
    </w:p>
    <w:p w14:paraId="501D21BA" w14:textId="77777777" w:rsidR="00625A5B" w:rsidRPr="008F03E5" w:rsidRDefault="00625A5B" w:rsidP="00B209CA">
      <w:pPr>
        <w:pStyle w:val="Translit"/>
      </w:pPr>
      <w:r w:rsidRPr="008F03E5">
        <w:t>Sabur, Subur</w:t>
      </w:r>
      <w:r w:rsidRPr="008F03E5">
        <w:tab/>
        <w:t>Ṣabúr, pl. Ṣubur</w:t>
      </w:r>
      <w:r w:rsidRPr="008F03E5">
        <w:tab/>
        <w:t>(very) patient, enduring, perseverant, steadfast</w:t>
      </w:r>
    </w:p>
    <w:p w14:paraId="08A3AEEC" w14:textId="77777777" w:rsidR="00625A5B" w:rsidRPr="008F03E5" w:rsidRDefault="00625A5B" w:rsidP="00B26AB0">
      <w:pPr>
        <w:pStyle w:val="Translit"/>
      </w:pPr>
      <w:r w:rsidRPr="008F03E5">
        <w:t>Sabz</w:t>
      </w:r>
      <w:r w:rsidRPr="008F03E5">
        <w:tab/>
        <w:t>Sabz</w:t>
      </w:r>
      <w:r w:rsidRPr="008F03E5">
        <w:tab/>
        <w:t>Pers. green, verdant, fresh, recent.</w:t>
      </w:r>
    </w:p>
    <w:p w14:paraId="0A7A38C1" w14:textId="77777777" w:rsidR="00625A5B" w:rsidRPr="00491868" w:rsidRDefault="00625A5B" w:rsidP="00E035CD">
      <w:pPr>
        <w:pStyle w:val="Translit"/>
      </w:pPr>
      <w:r w:rsidRPr="00491868">
        <w:t>Sabzi</w:t>
      </w:r>
      <w:r w:rsidRPr="00491868">
        <w:tab/>
        <w:t>Sabzí</w:t>
      </w:r>
      <w:r w:rsidRPr="00491868">
        <w:tab/>
        <w:t>Pers. verdure, greenness; vegetables</w:t>
      </w:r>
    </w:p>
    <w:p w14:paraId="0DDFED41" w14:textId="77777777" w:rsidR="00625A5B" w:rsidRPr="008F03E5" w:rsidRDefault="00625A5B" w:rsidP="00E1731D">
      <w:pPr>
        <w:pStyle w:val="Translit"/>
        <w:rPr>
          <w:b/>
          <w:bCs/>
        </w:rPr>
      </w:pPr>
      <w:r w:rsidRPr="00491868">
        <w:rPr>
          <w:rFonts w:eastAsia="PMingLiU"/>
          <w:lang w:eastAsia="zh-TW"/>
        </w:rPr>
        <w:t xml:space="preserve">Sabz-i-Maydan, </w:t>
      </w:r>
      <w:r w:rsidRPr="00491868">
        <w:t>Sabzih-Maydan</w:t>
      </w:r>
      <w:r w:rsidRPr="00491868">
        <w:tab/>
      </w:r>
      <w:r w:rsidRPr="00491868">
        <w:rPr>
          <w:rFonts w:eastAsia="PMingLiU"/>
          <w:lang w:eastAsia="zh-TW"/>
        </w:rPr>
        <w:t>Sabz-i-Maydán</w:t>
      </w:r>
      <w:r w:rsidRPr="00491868">
        <w:tab/>
        <w:t xml:space="preserve">Pers. </w:t>
      </w:r>
      <w:r w:rsidRPr="00491868">
        <w:rPr>
          <w:lang w:val="en-AU"/>
        </w:rPr>
        <w:t xml:space="preserve">“Vegetable square”, “Green square”, </w:t>
      </w:r>
      <w:r w:rsidRPr="00491868">
        <w:rPr>
          <w:rFonts w:eastAsia="PMingLiU"/>
          <w:lang w:val="en-AU" w:eastAsia="zh-TW"/>
        </w:rPr>
        <w:t>“</w:t>
      </w:r>
      <w:r w:rsidRPr="00491868">
        <w:rPr>
          <w:lang w:val="en-AU"/>
        </w:rPr>
        <w:t xml:space="preserve">Sabzih-Maydán”.  </w:t>
      </w:r>
      <w:r w:rsidRPr="008F03E5">
        <w:t>Square (35.677350, 51.419981) in Ṭihrán to the south of the main palace where many early Bábís were martyred.  Now a gold and jewellery market.</w:t>
      </w:r>
    </w:p>
    <w:p w14:paraId="629D7F5F" w14:textId="77777777" w:rsidR="00625A5B" w:rsidRPr="008F03E5" w:rsidRDefault="00625A5B" w:rsidP="00025B90">
      <w:pPr>
        <w:pStyle w:val="Translit"/>
      </w:pPr>
      <w:r w:rsidRPr="008F03E5">
        <w:t>Sabzivar (Sabzevar), Bayhaq, Sabziwar</w:t>
      </w:r>
      <w:r w:rsidRPr="008F03E5">
        <w:tab/>
        <w:t>Sabzivár</w:t>
      </w:r>
      <w:r w:rsidRPr="008F03E5">
        <w:tab/>
        <w:t xml:space="preserve">city (36.216270, 57.673413) in </w:t>
      </w:r>
      <w:r w:rsidRPr="008F03E5">
        <w:rPr>
          <w:u w:val="single"/>
        </w:rPr>
        <w:t>Kh</w:t>
      </w:r>
      <w:r w:rsidRPr="008F03E5">
        <w:t xml:space="preserve">urásán Province, </w:t>
      </w:r>
      <w:r w:rsidRPr="008F03E5">
        <w:rPr>
          <w:sz w:val="16"/>
          <w:szCs w:val="16"/>
        </w:rPr>
        <w:t>NE</w:t>
      </w:r>
      <w:r w:rsidRPr="008F03E5">
        <w:t xml:space="preserve"> Iran.  “Sabzihvár” in </w:t>
      </w:r>
      <w:r w:rsidRPr="008F03E5">
        <w:rPr>
          <w:i/>
          <w:iCs/>
        </w:rPr>
        <w:t>The Dawn-Breakers</w:t>
      </w:r>
      <w:r w:rsidRPr="008F03E5">
        <w:t>.  Medieval name was Bayhaq (“Beihagh”).  Abú Bakr Aḥmad ibn Ḥusayn ibn ‘Alí ibn Músa al-</w:t>
      </w:r>
      <w:r w:rsidRPr="008F03E5">
        <w:rPr>
          <w:u w:val="single"/>
        </w:rPr>
        <w:t>Kh</w:t>
      </w:r>
      <w:r w:rsidRPr="008F03E5">
        <w:t xml:space="preserve">usrujirdí al-Bayhaqí, also known as Imám al-Bayhaqí, was born 994 in the small town of </w:t>
      </w:r>
      <w:r w:rsidRPr="008F03E5">
        <w:rPr>
          <w:u w:val="single"/>
        </w:rPr>
        <w:t>Kh</w:t>
      </w:r>
      <w:r w:rsidRPr="008F03E5">
        <w:t>usruwjird, less than 10 km west of Sabzivár (Bayhaq).  Bahá’u’lláh named it Madínatu’l-</w:t>
      </w:r>
      <w:r w:rsidRPr="008F03E5">
        <w:rPr>
          <w:u w:val="single"/>
        </w:rPr>
        <w:t>Kh</w:t>
      </w:r>
      <w:r w:rsidRPr="008F03E5">
        <w:t>aḍrá’ (The Verdant City).</w:t>
      </w:r>
    </w:p>
    <w:p w14:paraId="4F2C5885" w14:textId="77777777" w:rsidR="00625A5B" w:rsidRPr="008F03E5" w:rsidRDefault="00625A5B" w:rsidP="00C76EEC">
      <w:pPr>
        <w:pStyle w:val="Translit"/>
      </w:pPr>
      <w:r w:rsidRPr="008F03E5">
        <w:t>Sad</w:t>
      </w:r>
      <w:r w:rsidRPr="008F03E5">
        <w:tab/>
        <w:t>Ṣád</w:t>
      </w:r>
      <w:r w:rsidRPr="008F03E5">
        <w:tab/>
        <w:t>Arabic letter</w:t>
      </w:r>
    </w:p>
    <w:p w14:paraId="734CCD91" w14:textId="77777777" w:rsidR="00625A5B" w:rsidRPr="008F03E5" w:rsidRDefault="00625A5B" w:rsidP="00D41B01">
      <w:pPr>
        <w:pStyle w:val="Translit"/>
      </w:pPr>
      <w:r w:rsidRPr="008F03E5">
        <w:t>Sada (Pers. Sada, Sadih, Sadeh)</w:t>
      </w:r>
      <w:r w:rsidRPr="008F03E5">
        <w:tab/>
        <w:t>Sáda</w:t>
      </w:r>
      <w:r w:rsidRPr="008F03E5">
        <w:tab/>
        <w:t xml:space="preserve">simple; plain, unicoloured, uniform (fabric).  Pers. </w:t>
      </w:r>
      <w:r w:rsidRPr="008F03E5">
        <w:rPr>
          <w:rFonts w:eastAsia="Times New Roman"/>
        </w:rPr>
        <w:t>white; a feast kept by the Persians at the winter solstice</w:t>
      </w:r>
    </w:p>
    <w:p w14:paraId="6477190D" w14:textId="77777777" w:rsidR="00625A5B" w:rsidRPr="00E7517E" w:rsidRDefault="00625A5B" w:rsidP="00E7517E">
      <w:pPr>
        <w:pStyle w:val="Translit"/>
      </w:pPr>
      <w:r w:rsidRPr="00E7517E">
        <w:t>Sada (Sadah, Sadih, Sedeh)</w:t>
      </w:r>
      <w:r w:rsidRPr="00E7517E">
        <w:tab/>
        <w:t>Sada</w:t>
      </w:r>
      <w:r w:rsidRPr="00E7517E">
        <w:tab/>
        <w:t>Pers. a flaming fire; a festival-night, on which the Persians light a number of large fires (see sáda).  Sadih (Sedeh), derived from Sih-dizh (“three castles", a town (32.684449, 51.515125), prior to the 1930s, that formed around three neighbouring castles.  Now part of the city of Khumayní Shahr, which is now part of the Isfahan Metropolitan area.  Birth place of the Bahá’í poet brothers Nayyir and Síná.</w:t>
      </w:r>
    </w:p>
    <w:p w14:paraId="4808FEC9" w14:textId="77777777" w:rsidR="00625A5B" w:rsidRPr="008F03E5" w:rsidRDefault="00625A5B" w:rsidP="002D2931">
      <w:pPr>
        <w:pStyle w:val="Translit"/>
      </w:pPr>
      <w:r w:rsidRPr="008F03E5">
        <w:t>Sadaqa, Sadaqat</w:t>
      </w:r>
      <w:r w:rsidRPr="008F03E5">
        <w:tab/>
        <w:t>Ṣadaqa[t], pl. Ṣadaqát</w:t>
      </w:r>
      <w:r w:rsidRPr="008F03E5">
        <w:tab/>
        <w:t>alms, charitable gift; alms-giving, charity, voluntary contribution of alms, freewill offering; legally prescribed alms tax (Islamic Law)</w:t>
      </w:r>
    </w:p>
    <w:p w14:paraId="1C23308D" w14:textId="77777777" w:rsidR="00625A5B" w:rsidRPr="008F03E5" w:rsidRDefault="00625A5B" w:rsidP="000C339A">
      <w:pPr>
        <w:pStyle w:val="Translit"/>
      </w:pPr>
      <w:r w:rsidRPr="008F03E5">
        <w:t>Sadar-i-Kull</w:t>
      </w:r>
      <w:r w:rsidRPr="008F03E5">
        <w:tab/>
        <w:t>Sadár-i-Kull</w:t>
      </w:r>
      <w:r w:rsidRPr="008F03E5">
        <w:tab/>
      </w:r>
      <w:r w:rsidRPr="008F03E5">
        <w:rPr>
          <w:i/>
          <w:iCs/>
        </w:rPr>
        <w:t>The Dawn-Breakers</w:t>
      </w:r>
      <w:r w:rsidRPr="008F03E5">
        <w:t>, p. 556</w:t>
      </w:r>
    </w:p>
    <w:p w14:paraId="0D0A484C" w14:textId="77777777" w:rsidR="00625A5B" w:rsidRPr="008F03E5" w:rsidRDefault="00625A5B" w:rsidP="00EA2D97">
      <w:pPr>
        <w:pStyle w:val="Translit"/>
      </w:pPr>
      <w:r w:rsidRPr="008F03E5">
        <w:t>Sadat-i-Khamsi</w:t>
      </w:r>
      <w:r w:rsidRPr="008F03E5">
        <w:tab/>
        <w:t>Sádát-i-</w:t>
      </w:r>
      <w:r w:rsidRPr="008F03E5">
        <w:rPr>
          <w:u w:val="single"/>
        </w:rPr>
        <w:t>Kh</w:t>
      </w:r>
      <w:r w:rsidRPr="008F03E5">
        <w:t>amsí</w:t>
      </w:r>
      <w:r w:rsidRPr="008F03E5">
        <w:tab/>
        <w:t>Surname adopted by five siyyid brothers (it was formerly Báqiroff)</w:t>
      </w:r>
    </w:p>
    <w:p w14:paraId="5E84527D" w14:textId="77777777" w:rsidR="00625A5B" w:rsidRPr="008F03E5" w:rsidRDefault="00625A5B" w:rsidP="00476A61">
      <w:pPr>
        <w:pStyle w:val="Translit"/>
      </w:pPr>
      <w:r w:rsidRPr="008F03E5">
        <w:t>Sadhaj, Sadhij, Suddaj</w:t>
      </w:r>
      <w:r w:rsidRPr="008F03E5">
        <w:tab/>
        <w:t>Sá</w:t>
      </w:r>
      <w:r w:rsidRPr="008F03E5">
        <w:rPr>
          <w:u w:val="single"/>
        </w:rPr>
        <w:t>dh</w:t>
      </w:r>
      <w:r w:rsidRPr="008F03E5">
        <w:t>aj, Sá</w:t>
      </w:r>
      <w:r w:rsidRPr="008F03E5">
        <w:rPr>
          <w:u w:val="single"/>
        </w:rPr>
        <w:t>dh</w:t>
      </w:r>
      <w:r w:rsidRPr="008F03E5">
        <w:t>ij, pl. Suddaj</w:t>
      </w:r>
      <w:r w:rsidRPr="008F03E5">
        <w:tab/>
        <w:t>(from Sáda) simple; plain, uncoloured, uniform (fabric); innocent, ingenuous, naive; plain, homely; artless, guileless, candid, frank (character); primitive.  Sá</w:t>
      </w:r>
      <w:r w:rsidRPr="008F03E5">
        <w:rPr>
          <w:u w:val="single"/>
        </w:rPr>
        <w:t>dh</w:t>
      </w:r>
      <w:r w:rsidRPr="008F03E5">
        <w:t>ij (Sazij), a daughter of Badí‘u’lláh (a son of Bahá’u’lláh)</w:t>
      </w:r>
    </w:p>
    <w:p w14:paraId="155D7F2C" w14:textId="77777777" w:rsidR="00625A5B" w:rsidRPr="008F03E5" w:rsidRDefault="00625A5B" w:rsidP="003F0307">
      <w:pPr>
        <w:pStyle w:val="Translit"/>
      </w:pPr>
      <w:r w:rsidRPr="008F03E5">
        <w:t>Sadhaja</w:t>
      </w:r>
      <w:r w:rsidRPr="008F03E5">
        <w:tab/>
        <w:t>Sá</w:t>
      </w:r>
      <w:r w:rsidRPr="008F03E5">
        <w:rPr>
          <w:u w:val="single"/>
        </w:rPr>
        <w:t>dh</w:t>
      </w:r>
      <w:r w:rsidRPr="008F03E5">
        <w:t>ája</w:t>
      </w:r>
      <w:r w:rsidRPr="008F03E5">
        <w:tab/>
        <w:t>simplicity; innocence, ingenuousness, naiveté; homeliness, plainness; guilelessness</w:t>
      </w:r>
    </w:p>
    <w:p w14:paraId="3EE474D4" w14:textId="77777777" w:rsidR="00625A5B" w:rsidRPr="008F03E5" w:rsidRDefault="00625A5B" w:rsidP="00B06632">
      <w:pPr>
        <w:pStyle w:val="Translit"/>
      </w:pPr>
      <w:r w:rsidRPr="008F03E5">
        <w:t>Sadhijiyyih</w:t>
      </w:r>
      <w:r w:rsidRPr="008F03E5">
        <w:tab/>
        <w:t>Sá</w:t>
      </w:r>
      <w:r w:rsidRPr="008F03E5">
        <w:rPr>
          <w:u w:val="single"/>
        </w:rPr>
        <w:t>dh</w:t>
      </w:r>
      <w:r w:rsidRPr="008F03E5">
        <w:t>ijíyyih</w:t>
      </w:r>
      <w:r w:rsidRPr="008F03E5">
        <w:tab/>
        <w:t>Pers. second daughter of Bahá’u’lláh and His second wife, Mahd-i-‘Ulyá</w:t>
      </w:r>
    </w:p>
    <w:p w14:paraId="5D62CB8B" w14:textId="77777777" w:rsidR="00625A5B" w:rsidRPr="008F03E5" w:rsidRDefault="00625A5B" w:rsidP="00751541">
      <w:pPr>
        <w:pStyle w:val="Translit"/>
      </w:pPr>
      <w:r w:rsidRPr="008F03E5">
        <w:t>Sad-i-Isfahani</w:t>
      </w:r>
      <w:r w:rsidRPr="008F03E5">
        <w:tab/>
        <w:t>Ṣád-i-Iṣfahání</w:t>
      </w:r>
      <w:r w:rsidRPr="008F03E5">
        <w:tab/>
      </w:r>
      <w:r w:rsidRPr="008F03E5">
        <w:rPr>
          <w:i/>
          <w:iCs/>
        </w:rPr>
        <w:t>Epistle to the Son of the Wolf</w:t>
      </w:r>
      <w:r w:rsidRPr="008F03E5">
        <w:t>, p. 86</w:t>
      </w:r>
    </w:p>
    <w:p w14:paraId="32278E3B" w14:textId="77777777" w:rsidR="00625A5B" w:rsidRPr="008F03E5" w:rsidRDefault="00625A5B" w:rsidP="00F06E1F">
      <w:pPr>
        <w:pStyle w:val="Translit"/>
      </w:pPr>
      <w:r w:rsidRPr="008F03E5">
        <w:t>Sadiq (Sadeq, Sadegh), Sadiqa</w:t>
      </w:r>
      <w:r w:rsidRPr="008F03E5">
        <w:tab/>
        <w:t>Ṣádiq, fem. Ṣádiqa[h or t]</w:t>
      </w:r>
      <w:r w:rsidRPr="008F03E5">
        <w:tab/>
        <w:t xml:space="preserve">true, truthful (veridical), veracious, sincere, candid; reliable; accurate, true, genuine, faithful, authentic; righteous, loyal and just, saintly  The sixth </w:t>
      </w:r>
      <w:r w:rsidRPr="008F03E5">
        <w:rPr>
          <w:u w:val="single"/>
        </w:rPr>
        <w:t>Sh</w:t>
      </w:r>
      <w:r w:rsidRPr="008F03E5">
        <w:t>í‘a Imám.</w:t>
      </w:r>
    </w:p>
    <w:p w14:paraId="32883524" w14:textId="77777777" w:rsidR="00625A5B" w:rsidRDefault="00625A5B" w:rsidP="000079AB">
      <w:pPr>
        <w:pStyle w:val="Translit"/>
        <w:rPr>
          <w:rFonts w:eastAsia="PMingLiU"/>
          <w:lang w:eastAsia="zh-TW"/>
        </w:rPr>
      </w:pPr>
      <w:r w:rsidRPr="008F03E5">
        <w:rPr>
          <w:rFonts w:eastAsia="PMingLiU"/>
          <w:lang w:eastAsia="zh-TW"/>
        </w:rPr>
        <w:t>Sadiq, Sadiqa, Asdiqa’, Sudiqa, Sudqan</w:t>
      </w:r>
      <w:r w:rsidRPr="008F03E5">
        <w:rPr>
          <w:rFonts w:eastAsia="PMingLiU"/>
          <w:lang w:eastAsia="zh-TW"/>
        </w:rPr>
        <w:tab/>
        <w:t>Ṣadíq, pl. Aṣdiqá’, Ṣudaqá, Ṣudqán</w:t>
      </w:r>
      <w:r w:rsidRPr="008F03E5">
        <w:rPr>
          <w:rFonts w:eastAsia="PMingLiU"/>
          <w:lang w:eastAsia="zh-TW"/>
        </w:rPr>
        <w:tab/>
        <w:t xml:space="preserve">friend; friendly, connected by bonds of friendship.  Fem. </w:t>
      </w:r>
      <w:r w:rsidRPr="008F03E5">
        <w:t>Ṣ</w:t>
      </w:r>
      <w:r w:rsidRPr="008F03E5">
        <w:rPr>
          <w:rFonts w:eastAsia="PMingLiU"/>
          <w:lang w:eastAsia="zh-TW"/>
        </w:rPr>
        <w:t>ad</w:t>
      </w:r>
      <w:r w:rsidRPr="008F03E5">
        <w:t>í</w:t>
      </w:r>
      <w:r w:rsidRPr="008F03E5">
        <w:rPr>
          <w:rFonts w:eastAsia="PMingLiU"/>
          <w:lang w:eastAsia="zh-TW"/>
        </w:rPr>
        <w:t>qa[h</w:t>
      </w:r>
      <w:r>
        <w:rPr>
          <w:rFonts w:eastAsia="PMingLiU"/>
          <w:lang w:eastAsia="zh-TW"/>
        </w:rPr>
        <w:t xml:space="preserve"> or t</w:t>
      </w:r>
      <w:r w:rsidRPr="008F03E5">
        <w:rPr>
          <w:rFonts w:eastAsia="PMingLiU"/>
          <w:lang w:eastAsia="zh-TW"/>
        </w:rPr>
        <w:t xml:space="preserve">] and </w:t>
      </w:r>
      <w:r>
        <w:rPr>
          <w:rFonts w:eastAsia="PMingLiU"/>
          <w:lang w:eastAsia="zh-TW"/>
        </w:rPr>
        <w:t>I</w:t>
      </w:r>
      <w:r w:rsidRPr="000079AB">
        <w:t>ṣ</w:t>
      </w:r>
      <w:r>
        <w:rPr>
          <w:rFonts w:eastAsia="PMingLiU"/>
          <w:lang w:eastAsia="zh-TW"/>
        </w:rPr>
        <w:t>fah</w:t>
      </w:r>
      <w:r w:rsidRPr="000079AB">
        <w:t>á</w:t>
      </w:r>
      <w:r>
        <w:rPr>
          <w:rFonts w:eastAsia="PMingLiU"/>
          <w:lang w:eastAsia="zh-TW"/>
        </w:rPr>
        <w:t>n</w:t>
      </w:r>
      <w:r w:rsidRPr="000079AB">
        <w:t>í</w:t>
      </w:r>
      <w:r>
        <w:rPr>
          <w:rFonts w:eastAsia="PMingLiU"/>
          <w:lang w:eastAsia="zh-TW"/>
        </w:rPr>
        <w:t xml:space="preserve"> </w:t>
      </w:r>
      <w:r w:rsidRPr="008F03E5">
        <w:rPr>
          <w:rFonts w:eastAsia="PMingLiU"/>
          <w:lang w:eastAsia="zh-TW"/>
        </w:rPr>
        <w:t xml:space="preserve">Pers. also </w:t>
      </w:r>
      <w:r w:rsidRPr="008F03E5">
        <w:t>Ṣ</w:t>
      </w:r>
      <w:r w:rsidRPr="008F03E5">
        <w:rPr>
          <w:rFonts w:eastAsia="PMingLiU"/>
          <w:lang w:eastAsia="zh-TW"/>
        </w:rPr>
        <w:t>ad</w:t>
      </w:r>
      <w:r w:rsidRPr="008F03E5">
        <w:t>í</w:t>
      </w:r>
      <w:r w:rsidRPr="008F03E5">
        <w:rPr>
          <w:rFonts w:eastAsia="PMingLiU"/>
          <w:lang w:eastAsia="zh-TW"/>
        </w:rPr>
        <w:t>qih.  See Pers. Yar</w:t>
      </w:r>
      <w:r>
        <w:rPr>
          <w:rFonts w:eastAsia="PMingLiU"/>
          <w:lang w:eastAsia="zh-TW"/>
        </w:rPr>
        <w:t>.</w:t>
      </w:r>
    </w:p>
    <w:p w14:paraId="2E6B7966" w14:textId="77777777" w:rsidR="00625A5B" w:rsidRPr="008F03E5" w:rsidRDefault="00625A5B" w:rsidP="00F15EC3">
      <w:pPr>
        <w:pStyle w:val="Translit"/>
        <w:rPr>
          <w:rFonts w:eastAsia="PMingLiU"/>
          <w:lang w:eastAsia="zh-TW"/>
        </w:rPr>
      </w:pPr>
      <w:r w:rsidRPr="008F03E5">
        <w:rPr>
          <w:rFonts w:eastAsia="PMingLiU"/>
          <w:lang w:eastAsia="zh-TW"/>
        </w:rPr>
        <w:t>Sadiqi</w:t>
      </w:r>
      <w:r w:rsidRPr="008F03E5">
        <w:tab/>
        <w:t>Ṣ</w:t>
      </w:r>
      <w:r w:rsidRPr="008F03E5">
        <w:rPr>
          <w:rFonts w:eastAsia="PMingLiU"/>
          <w:lang w:eastAsia="zh-TW"/>
        </w:rPr>
        <w:t>ádiqí</w:t>
      </w:r>
      <w:r w:rsidRPr="008F03E5">
        <w:tab/>
      </w:r>
      <w:r w:rsidRPr="008F03E5">
        <w:rPr>
          <w:rFonts w:eastAsia="Times New Roman"/>
        </w:rPr>
        <w:t>Pers. truthfulness; truth, sincerity</w:t>
      </w:r>
    </w:p>
    <w:p w14:paraId="6C1D174B" w14:textId="77777777" w:rsidR="00625A5B" w:rsidRPr="004E419A" w:rsidRDefault="00625A5B" w:rsidP="0081098E">
      <w:pPr>
        <w:pStyle w:val="Translit"/>
        <w:rPr>
          <w:b/>
          <w:bCs/>
        </w:rPr>
      </w:pPr>
      <w:r w:rsidRPr="008F03E5">
        <w:t>Sadiq-i-Khurasani</w:t>
      </w:r>
      <w:r w:rsidRPr="008F03E5">
        <w:tab/>
        <w:t>Ṣádiq-i-</w:t>
      </w:r>
      <w:r w:rsidRPr="008F03E5">
        <w:rPr>
          <w:u w:val="single"/>
        </w:rPr>
        <w:t>Kh</w:t>
      </w:r>
      <w:r w:rsidRPr="008F03E5">
        <w:t>urásání</w:t>
      </w:r>
      <w:r w:rsidRPr="008F03E5">
        <w:tab/>
      </w:r>
      <w:r w:rsidRPr="000771B2">
        <w:t>Mullá Ṣádiq-i-</w:t>
      </w:r>
      <w:r w:rsidRPr="000771B2">
        <w:rPr>
          <w:u w:val="single"/>
        </w:rPr>
        <w:t>Kh</w:t>
      </w:r>
      <w:r w:rsidRPr="000771B2">
        <w:t>urásání</w:t>
      </w:r>
      <w:r>
        <w:t xml:space="preserve"> (formerly known as </w:t>
      </w:r>
      <w:r w:rsidRPr="008F03E5">
        <w:t>Muqaddas</w:t>
      </w:r>
      <w:r>
        <w:t>), and s</w:t>
      </w:r>
      <w:r w:rsidRPr="000771B2">
        <w:t>urnamed Ismu’lláhu’l-Aṣdaq</w:t>
      </w:r>
      <w:r>
        <w:t xml:space="preserve"> by Bahá’u’lláh.</w:t>
      </w:r>
    </w:p>
    <w:p w14:paraId="33137EE6" w14:textId="77777777" w:rsidR="00625A5B" w:rsidRPr="008F03E5" w:rsidRDefault="00625A5B" w:rsidP="00AD74CB">
      <w:pPr>
        <w:pStyle w:val="Translit"/>
        <w:rPr>
          <w:rFonts w:eastAsia="PMingLiU"/>
          <w:lang w:eastAsia="zh-TW"/>
        </w:rPr>
      </w:pPr>
      <w:r w:rsidRPr="008F03E5">
        <w:rPr>
          <w:rFonts w:eastAsia="PMingLiU"/>
          <w:lang w:eastAsia="zh-TW"/>
        </w:rPr>
        <w:t>Sadiqi-pur (Sadiqipur)</w:t>
      </w:r>
      <w:r w:rsidRPr="008F03E5">
        <w:tab/>
        <w:t>Ṣ</w:t>
      </w:r>
      <w:r w:rsidRPr="008F03E5">
        <w:rPr>
          <w:rFonts w:eastAsia="PMingLiU"/>
          <w:lang w:eastAsia="zh-TW"/>
        </w:rPr>
        <w:t>ádiqí-púr (</w:t>
      </w:r>
      <w:r w:rsidRPr="008F03E5">
        <w:t>Ṣ</w:t>
      </w:r>
      <w:r w:rsidRPr="008F03E5">
        <w:rPr>
          <w:rFonts w:eastAsia="PMingLiU"/>
          <w:lang w:eastAsia="zh-TW"/>
        </w:rPr>
        <w:t>ádiqípúr)</w:t>
      </w:r>
      <w:r w:rsidRPr="008F03E5">
        <w:tab/>
        <w:t>‘Abbás-‘Alí Ṣádiqípúr</w:t>
      </w:r>
    </w:p>
    <w:p w14:paraId="0DF8118D" w14:textId="77777777" w:rsidR="00625A5B" w:rsidRPr="008F03E5" w:rsidRDefault="00625A5B" w:rsidP="00DB5E26">
      <w:pPr>
        <w:pStyle w:val="Translit"/>
      </w:pPr>
      <w:r w:rsidRPr="008F03E5">
        <w:t>Sadiq-i-Tabataba’i</w:t>
      </w:r>
      <w:r w:rsidRPr="008F03E5">
        <w:tab/>
        <w:t>Ṣádiq-i-Ṭabáṭabá’í</w:t>
      </w:r>
      <w:r w:rsidRPr="008F03E5">
        <w:tab/>
      </w:r>
    </w:p>
    <w:p w14:paraId="00C61974" w14:textId="77777777" w:rsidR="00625A5B" w:rsidRPr="008F03E5" w:rsidRDefault="00625A5B" w:rsidP="00847FAE">
      <w:pPr>
        <w:pStyle w:val="Translit"/>
      </w:pPr>
      <w:r w:rsidRPr="008F03E5">
        <w:t>Sadiq-i-Tabrizi</w:t>
      </w:r>
      <w:r w:rsidRPr="008F03E5">
        <w:tab/>
        <w:t>Ṣádiq-i-Tabrízí</w:t>
      </w:r>
      <w:r w:rsidRPr="008F03E5">
        <w:tab/>
        <w:t xml:space="preserve">Attempted to assassinate Náṣir ad-Dín </w:t>
      </w:r>
      <w:r w:rsidRPr="008F03E5">
        <w:rPr>
          <w:u w:val="single"/>
        </w:rPr>
        <w:t>Sh</w:t>
      </w:r>
      <w:r w:rsidRPr="008F03E5">
        <w:t>áh in 1852.</w:t>
      </w:r>
    </w:p>
    <w:p w14:paraId="4ACB38B4" w14:textId="77777777" w:rsidR="00625A5B" w:rsidRPr="008F03E5" w:rsidRDefault="00625A5B" w:rsidP="00DB5E26">
      <w:pPr>
        <w:pStyle w:val="Translit"/>
      </w:pPr>
      <w:r w:rsidRPr="008F03E5">
        <w:t>Sadiq-i-Yazdi</w:t>
      </w:r>
      <w:r w:rsidRPr="008F03E5">
        <w:tab/>
        <w:t>Ṣádiq-i-Yazdí</w:t>
      </w:r>
      <w:r w:rsidRPr="008F03E5">
        <w:tab/>
      </w:r>
    </w:p>
    <w:p w14:paraId="714B28C1" w14:textId="77777777" w:rsidR="00625A5B" w:rsidRPr="00BC189D" w:rsidRDefault="00625A5B" w:rsidP="00066EA4">
      <w:pPr>
        <w:pStyle w:val="Translit"/>
        <w:rPr>
          <w:rFonts w:eastAsia="PMingLiU"/>
          <w:lang w:val="pl-PL" w:eastAsia="zh-TW"/>
        </w:rPr>
      </w:pPr>
      <w:r w:rsidRPr="00BC189D">
        <w:rPr>
          <w:rFonts w:eastAsia="PMingLiU"/>
          <w:lang w:val="pl-PL" w:eastAsia="zh-TW"/>
        </w:rPr>
        <w:t>Sadiq-i-Zadih</w:t>
      </w:r>
      <w:r w:rsidRPr="00BC189D">
        <w:rPr>
          <w:lang w:val="pl-PL"/>
        </w:rPr>
        <w:tab/>
        <w:t>Ṣ</w:t>
      </w:r>
      <w:r w:rsidRPr="00BC189D">
        <w:rPr>
          <w:rFonts w:eastAsia="PMingLiU"/>
          <w:lang w:val="pl-PL" w:eastAsia="zh-TW"/>
        </w:rPr>
        <w:t>ádiq-i-Zádih</w:t>
      </w:r>
      <w:r w:rsidRPr="00BC189D">
        <w:rPr>
          <w:lang w:val="pl-PL"/>
        </w:rPr>
        <w:tab/>
      </w:r>
    </w:p>
    <w:p w14:paraId="6B6777D6" w14:textId="77777777" w:rsidR="00625A5B" w:rsidRDefault="00625A5B" w:rsidP="008459A6">
      <w:pPr>
        <w:pStyle w:val="Translit"/>
      </w:pPr>
      <w:r>
        <w:t>Sadir</w:t>
      </w:r>
      <w:r>
        <w:tab/>
      </w:r>
      <w:r w:rsidRPr="008459A6">
        <w:t>Ṣ</w:t>
      </w:r>
      <w:r>
        <w:t>á</w:t>
      </w:r>
      <w:r w:rsidRPr="008459A6">
        <w:t>dir</w:t>
      </w:r>
      <w:r>
        <w:tab/>
      </w:r>
      <w:r w:rsidRPr="008459A6">
        <w:t>going out, emanating, originating; issued, come out, published, etc.; exportation, export; yield</w:t>
      </w:r>
    </w:p>
    <w:p w14:paraId="7B6D3304" w14:textId="77777777" w:rsidR="00625A5B" w:rsidRPr="008F03E5" w:rsidRDefault="00625A5B" w:rsidP="00300DAF">
      <w:pPr>
        <w:pStyle w:val="Translit"/>
      </w:pPr>
      <w:r w:rsidRPr="008F03E5">
        <w:t>Sadr ad-Din</w:t>
      </w:r>
      <w:r w:rsidRPr="008F03E5">
        <w:tab/>
        <w:t>Ṣadr ad-Dín</w:t>
      </w:r>
      <w:r w:rsidRPr="008F03E5">
        <w:tab/>
        <w:t>one who is foremost and most prominent in religion</w:t>
      </w:r>
      <w:r>
        <w:t xml:space="preserve">.  </w:t>
      </w:r>
      <w:r w:rsidRPr="00366F10">
        <w:t>Ṣadr ad-D</w:t>
      </w:r>
      <w:r>
        <w:t>í</w:t>
      </w:r>
      <w:r w:rsidRPr="00366F10">
        <w:t xml:space="preserve">n Muḥammad </w:t>
      </w:r>
      <w:r w:rsidRPr="00366F10">
        <w:rPr>
          <w:u w:val="single"/>
        </w:rPr>
        <w:t>Sh</w:t>
      </w:r>
      <w:r>
        <w:rPr>
          <w:u w:val="single"/>
        </w:rPr>
        <w:t>í</w:t>
      </w:r>
      <w:r w:rsidRPr="00366F10">
        <w:t>r</w:t>
      </w:r>
      <w:r>
        <w:t>á</w:t>
      </w:r>
      <w:r w:rsidRPr="00366F10">
        <w:t>z</w:t>
      </w:r>
      <w:r>
        <w:t>í</w:t>
      </w:r>
      <w:r w:rsidRPr="00366F10">
        <w:t>, more commonly known as Mull</w:t>
      </w:r>
      <w:r>
        <w:t>á</w:t>
      </w:r>
      <w:r w:rsidRPr="00366F10">
        <w:t xml:space="preserve"> Ṣadr</w:t>
      </w:r>
      <w:r>
        <w:t>á</w:t>
      </w:r>
      <w:r w:rsidRPr="00366F10">
        <w:t xml:space="preserve"> (Persian</w:t>
      </w:r>
      <w:r>
        <w:t>;</w:t>
      </w:r>
      <w:r w:rsidRPr="00366F10">
        <w:t xml:space="preserve"> Arabic</w:t>
      </w:r>
      <w:r>
        <w:t xml:space="preserve"> </w:t>
      </w:r>
      <w:r w:rsidRPr="00366F10">
        <w:t>Ṣ</w:t>
      </w:r>
      <w:r>
        <w:t>adr</w:t>
      </w:r>
      <w:r w:rsidRPr="00366F10">
        <w:t xml:space="preserve"> </w:t>
      </w:r>
      <w:r>
        <w:t>al-</w:t>
      </w:r>
      <w:r w:rsidRPr="008F03E5">
        <w:t>Muta</w:t>
      </w:r>
      <w:r>
        <w:t>’</w:t>
      </w:r>
      <w:r w:rsidRPr="008F03E5">
        <w:t>allih</w:t>
      </w:r>
      <w:r>
        <w:t>ú</w:t>
      </w:r>
      <w:r w:rsidRPr="008F03E5">
        <w:t>n</w:t>
      </w:r>
      <w:r w:rsidRPr="00366F10">
        <w:t xml:space="preserve">; c. </w:t>
      </w:r>
      <w:r w:rsidRPr="00D87405">
        <w:rPr>
          <w:sz w:val="16"/>
          <w:szCs w:val="16"/>
        </w:rPr>
        <w:t>CE</w:t>
      </w:r>
      <w:r>
        <w:t xml:space="preserve"> </w:t>
      </w:r>
      <w:r w:rsidRPr="00366F10">
        <w:t>1571/2</w:t>
      </w:r>
      <w:r>
        <w:t>–</w:t>
      </w:r>
      <w:r w:rsidRPr="00366F10">
        <w:t>c. 1635/40/</w:t>
      </w:r>
      <w:r w:rsidRPr="00D87405">
        <w:rPr>
          <w:sz w:val="16"/>
          <w:szCs w:val="16"/>
        </w:rPr>
        <w:t>AH</w:t>
      </w:r>
      <w:r>
        <w:t xml:space="preserve"> </w:t>
      </w:r>
      <w:r w:rsidRPr="00366F10">
        <w:t>980</w:t>
      </w:r>
      <w:r>
        <w:t>–</w:t>
      </w:r>
      <w:r w:rsidRPr="00366F10">
        <w:t xml:space="preserve">1050), was a Persian Twelver </w:t>
      </w:r>
      <w:r w:rsidRPr="00300DAF">
        <w:rPr>
          <w:u w:val="single"/>
        </w:rPr>
        <w:t>Sh</w:t>
      </w:r>
      <w:r w:rsidRPr="00300DAF">
        <w:t>í</w:t>
      </w:r>
      <w:r>
        <w:t>‘í</w:t>
      </w:r>
      <w:r w:rsidRPr="00366F10">
        <w:t xml:space="preserve"> Islamic mystic, philosopher, theologian, and ‘</w:t>
      </w:r>
      <w:r>
        <w:t>Á</w:t>
      </w:r>
      <w:r w:rsidRPr="00366F10">
        <w:t>lim who led the Iranian cultural renaissance in the 17th century.</w:t>
      </w:r>
    </w:p>
    <w:p w14:paraId="274B1E69" w14:textId="77777777" w:rsidR="00625A5B" w:rsidRPr="005C19E1" w:rsidRDefault="00625A5B" w:rsidP="007F0C1F">
      <w:pPr>
        <w:pStyle w:val="Translit"/>
        <w:rPr>
          <w:lang w:val="it-IT"/>
        </w:rPr>
      </w:pPr>
      <w:r w:rsidRPr="008F03E5">
        <w:t>Sadr</w:t>
      </w:r>
      <w:r>
        <w:t xml:space="preserve"> al-</w:t>
      </w:r>
      <w:r w:rsidRPr="008F03E5">
        <w:t xml:space="preserve">A’zam </w:t>
      </w:r>
      <w:r>
        <w:t>(</w:t>
      </w:r>
      <w:r w:rsidRPr="008F03E5">
        <w:t>Sadr-i-A’zam</w:t>
      </w:r>
      <w:r>
        <w:t>)</w:t>
      </w:r>
      <w:r w:rsidRPr="008F03E5">
        <w:tab/>
      </w:r>
      <w:r>
        <w:t>a</w:t>
      </w:r>
      <w:r w:rsidRPr="007F0C1F">
        <w:t>ṣ</w:t>
      </w:r>
      <w:r>
        <w:t>-</w:t>
      </w:r>
      <w:r w:rsidRPr="008F03E5">
        <w:t>Ṣadr</w:t>
      </w:r>
      <w:r>
        <w:t xml:space="preserve"> al-</w:t>
      </w:r>
      <w:r w:rsidRPr="008F03E5">
        <w:t xml:space="preserve">A‘ẓam </w:t>
      </w:r>
      <w:r>
        <w:t>(</w:t>
      </w:r>
      <w:r w:rsidRPr="008F03E5">
        <w:t>Ṣadr-i-A‘ẓam</w:t>
      </w:r>
      <w:r>
        <w:t>)</w:t>
      </w:r>
      <w:r w:rsidRPr="008F03E5">
        <w:tab/>
      </w:r>
      <w:r w:rsidRPr="00FB2AD0">
        <w:t>“the</w:t>
      </w:r>
      <w:r>
        <w:t xml:space="preserve"> </w:t>
      </w:r>
      <w:r w:rsidRPr="00FB2AD0">
        <w:t>Greatest</w:t>
      </w:r>
      <w:r>
        <w:t xml:space="preserve"> </w:t>
      </w:r>
      <w:r w:rsidRPr="00FB2AD0">
        <w:t>Leader”</w:t>
      </w:r>
      <w:r>
        <w:t xml:space="preserve">.  Often the </w:t>
      </w:r>
      <w:r w:rsidRPr="008F03E5">
        <w:t xml:space="preserve">prime minister or chief minister; dignity of premier; chief seat.  One of the honorifics attached to the chief minister of a </w:t>
      </w:r>
      <w:r w:rsidRPr="008F03E5">
        <w:rPr>
          <w:u w:val="single"/>
        </w:rPr>
        <w:t>sh</w:t>
      </w:r>
      <w:r w:rsidRPr="008F03E5">
        <w:t>áh.</w:t>
      </w:r>
      <w:r>
        <w:t xml:space="preserve">  </w:t>
      </w:r>
      <w:r w:rsidRPr="005C19E1">
        <w:rPr>
          <w:lang w:val="it-IT"/>
        </w:rPr>
        <w:t>See Wazír-i-A‘ẓam.</w:t>
      </w:r>
    </w:p>
    <w:p w14:paraId="07DA62A9" w14:textId="77777777" w:rsidR="00625A5B" w:rsidRPr="005D5AAC" w:rsidRDefault="00625A5B" w:rsidP="00314716">
      <w:pPr>
        <w:pStyle w:val="Translit"/>
        <w:rPr>
          <w:lang w:val="en-AU"/>
        </w:rPr>
      </w:pPr>
      <w:r w:rsidRPr="00314716">
        <w:rPr>
          <w:lang w:val="it-IT"/>
        </w:rPr>
        <w:t>Sadr al-Ardibili</w:t>
      </w:r>
      <w:r w:rsidRPr="00314716">
        <w:rPr>
          <w:lang w:val="it-IT"/>
        </w:rPr>
        <w:tab/>
        <w:t>Ṣadr al-Ardibílí</w:t>
      </w:r>
      <w:r w:rsidRPr="00314716">
        <w:rPr>
          <w:lang w:val="it-IT"/>
        </w:rPr>
        <w:tab/>
        <w:t xml:space="preserve">Sufi leader in </w:t>
      </w:r>
      <w:r>
        <w:rPr>
          <w:lang w:val="it-IT"/>
        </w:rPr>
        <w:t>Ardib</w:t>
      </w:r>
      <w:r w:rsidRPr="00314716">
        <w:rPr>
          <w:lang w:val="it-IT"/>
        </w:rPr>
        <w:t>í</w:t>
      </w:r>
      <w:r>
        <w:rPr>
          <w:lang w:val="it-IT"/>
        </w:rPr>
        <w:t xml:space="preserve">l.  </w:t>
      </w:r>
      <w:r w:rsidRPr="005D5AAC">
        <w:rPr>
          <w:lang w:val="en-AU"/>
        </w:rPr>
        <w:t>See Ardibílí.</w:t>
      </w:r>
    </w:p>
    <w:p w14:paraId="6007AFEE" w14:textId="77777777" w:rsidR="00625A5B" w:rsidRPr="008F03E5" w:rsidRDefault="00625A5B" w:rsidP="003117F6">
      <w:pPr>
        <w:pStyle w:val="Translit"/>
      </w:pPr>
      <w:r w:rsidRPr="008F03E5">
        <w:t>Sadr al-Muta’allihin</w:t>
      </w:r>
      <w:r w:rsidRPr="008F03E5">
        <w:tab/>
        <w:t>Ṣadr al-Muta’allihín</w:t>
      </w:r>
      <w:r w:rsidRPr="008F03E5">
        <w:tab/>
        <w:t>foremost among those who have become divine-like</w:t>
      </w:r>
    </w:p>
    <w:p w14:paraId="21F522B1" w14:textId="77777777" w:rsidR="00625A5B" w:rsidRPr="008F03E5" w:rsidRDefault="00625A5B" w:rsidP="00947FC8">
      <w:pPr>
        <w:pStyle w:val="Translit"/>
      </w:pPr>
      <w:r w:rsidRPr="008F03E5">
        <w:rPr>
          <w:rFonts w:eastAsia="Times New Roman"/>
        </w:rPr>
        <w:t>Sadr</w:t>
      </w:r>
      <w:r w:rsidRPr="008F03E5">
        <w:rPr>
          <w:rFonts w:eastAsia="Times New Roman"/>
        </w:rPr>
        <w:tab/>
        <w:t>Sadr</w:t>
      </w:r>
      <w:r w:rsidRPr="008F03E5">
        <w:rPr>
          <w:rFonts w:eastAsia="Times New Roman"/>
        </w:rPr>
        <w:tab/>
        <w:t>setting (the hair) a flowing (a woman)</w:t>
      </w:r>
    </w:p>
    <w:p w14:paraId="5440A2FC" w14:textId="77777777" w:rsidR="00625A5B" w:rsidRPr="008F03E5" w:rsidRDefault="00625A5B" w:rsidP="00A96369">
      <w:pPr>
        <w:pStyle w:val="Translit"/>
      </w:pPr>
      <w:r w:rsidRPr="00077779">
        <w:rPr>
          <w:lang w:val="en-AU"/>
        </w:rPr>
        <w:t>Sadr, Sadra, Sudur, Asdar</w:t>
      </w:r>
      <w:r w:rsidRPr="00077779">
        <w:rPr>
          <w:lang w:val="en-AU"/>
        </w:rPr>
        <w:tab/>
        <w:t xml:space="preserve">Ṣadr (Pers. also Ṣadrá), pl. </w:t>
      </w:r>
      <w:r w:rsidRPr="008F03E5">
        <w:t>Ṣudúr, Aṣdár</w:t>
      </w:r>
      <w:r w:rsidRPr="008F03E5">
        <w:tab/>
        <w:t xml:space="preserve">chest, breast, bust; bosom, heart; front part, front; part, portion; first hemistich; leader, commander; beginning, start, outset, commencement, inception; early period, beginnings, dawn (figurative);—pl. (also) coming out, appearance, publication (e.g., of a book), issuance (e.g., of an ordinance).  Aṣdár is a non-standard plural used by Bahá’u’lláh.  </w:t>
      </w:r>
      <w:r>
        <w:t xml:space="preserve">In Persian, </w:t>
      </w:r>
      <w:r w:rsidRPr="000F4818">
        <w:t>ṣ</w:t>
      </w:r>
      <w:r>
        <w:t xml:space="preserve">adr </w:t>
      </w:r>
      <w:r w:rsidRPr="000F4818">
        <w:t>denote</w:t>
      </w:r>
      <w:r>
        <w:t>s</w:t>
      </w:r>
      <w:r w:rsidRPr="000F4818">
        <w:t xml:space="preserve"> an outstanding person, </w:t>
      </w:r>
      <w:r>
        <w:t xml:space="preserve">e.g. </w:t>
      </w:r>
      <w:r w:rsidRPr="000F4818">
        <w:t>a scholar</w:t>
      </w:r>
      <w:r>
        <w:t>;</w:t>
      </w:r>
      <w:r w:rsidRPr="000F4818">
        <w:t xml:space="preserve"> prime minister; a judge</w:t>
      </w:r>
      <w:r>
        <w:t xml:space="preserve">. </w:t>
      </w:r>
      <w:r w:rsidRPr="000F4818">
        <w:t xml:space="preserve"> </w:t>
      </w:r>
      <w:r w:rsidRPr="008F03E5">
        <w:t xml:space="preserve">Ṣadr ad-Dín Muḥammad bin Ibráhím bin Yaḥyá Qawámí </w:t>
      </w:r>
      <w:r w:rsidRPr="008F03E5">
        <w:rPr>
          <w:u w:val="single"/>
        </w:rPr>
        <w:t>Sh</w:t>
      </w:r>
      <w:r w:rsidRPr="008F03E5">
        <w:t xml:space="preserve">írází (best known in Persian as Mullá Ṣadrá, later given the Arabic title Ṣadr al-Muta’allihín; c. 1571/2–c. 1635/40), was a Persian Twelver </w:t>
      </w:r>
      <w:r w:rsidRPr="008F03E5">
        <w:rPr>
          <w:u w:val="single"/>
        </w:rPr>
        <w:t>Sh</w:t>
      </w:r>
      <w:r w:rsidRPr="008F03E5">
        <w:t>í‘í Islamic mystic, philosopher, theologian, and ‘Álim who led the Iranian cultural renaissance in the 17th century.</w:t>
      </w:r>
      <w:r w:rsidRPr="000F4818">
        <w:t xml:space="preserve"> </w:t>
      </w:r>
      <w:r>
        <w:t xml:space="preserve"> Due to </w:t>
      </w:r>
      <w:r w:rsidRPr="000F4818">
        <w:t>Mullá Ṣadrá</w:t>
      </w:r>
      <w:r>
        <w:t>’</w:t>
      </w:r>
      <w:r w:rsidRPr="000F4818">
        <w:t>s influential role in Persian intellectual history, the use of Ṣadrá as a title or honorific reflects his impact.</w:t>
      </w:r>
    </w:p>
    <w:p w14:paraId="4EB990B6" w14:textId="77777777" w:rsidR="00625A5B" w:rsidRPr="005D5AAC" w:rsidRDefault="00625A5B" w:rsidP="004279C3">
      <w:pPr>
        <w:pStyle w:val="Translit"/>
      </w:pPr>
      <w:r w:rsidRPr="005D5AAC">
        <w:t>Sadra’iya, Sadra’iyya, Sadra’iyun</w:t>
      </w:r>
      <w:r w:rsidRPr="005D5AAC">
        <w:tab/>
        <w:t>Ṣadrá’íya[h or t], Ṣadrá’iyya[h or t]</w:t>
      </w:r>
      <w:r w:rsidRPr="005D5AAC">
        <w:tab/>
        <w:t>(pl. Ṣadrá’íyún) follower of Mullá Ṣadrá</w:t>
      </w:r>
    </w:p>
    <w:p w14:paraId="3FF176ED" w14:textId="77777777" w:rsidR="00625A5B" w:rsidRPr="008F03E5" w:rsidRDefault="00625A5B" w:rsidP="008B72BC">
      <w:pPr>
        <w:pStyle w:val="Translit"/>
      </w:pPr>
      <w:r w:rsidRPr="00DB6D67">
        <w:t>Sadri (Sedreh, Sadre)</w:t>
      </w:r>
      <w:r w:rsidRPr="00DB6D67">
        <w:tab/>
        <w:t>Ṣadrí</w:t>
      </w:r>
      <w:r w:rsidRPr="00DB6D67">
        <w:tab/>
        <w:t xml:space="preserve">Pers. </w:t>
      </w:r>
      <w:r w:rsidRPr="00506395">
        <w:rPr>
          <w:lang w:val="en-AU"/>
        </w:rPr>
        <w:t>(Ar. influence) pectoral; supreme; a vest, waist-coat; a jacket.  Zoroastrian sacred vest.  S</w:t>
      </w:r>
      <w:r w:rsidRPr="008F03E5">
        <w:t>ee kustí</w:t>
      </w:r>
    </w:p>
    <w:p w14:paraId="2D6C2FA6" w14:textId="77777777" w:rsidR="00625A5B" w:rsidRPr="008F03E5" w:rsidRDefault="00625A5B" w:rsidP="005E3FB8">
      <w:pPr>
        <w:pStyle w:val="Translit"/>
      </w:pPr>
      <w:r w:rsidRPr="008F03E5">
        <w:t>Sadr-i-utaq</w:t>
      </w:r>
      <w:r w:rsidRPr="008F03E5">
        <w:tab/>
        <w:t>Ṣadr-i-uṭáq</w:t>
      </w:r>
      <w:r w:rsidRPr="008F03E5">
        <w:tab/>
        <w:t>Pers. seat of honour</w:t>
      </w:r>
    </w:p>
    <w:p w14:paraId="2A6CCD12" w14:textId="77777777" w:rsidR="00625A5B" w:rsidRPr="008F03E5" w:rsidRDefault="00625A5B" w:rsidP="00A4423F">
      <w:pPr>
        <w:pStyle w:val="Translit"/>
      </w:pPr>
      <w:r w:rsidRPr="008F03E5">
        <w:t>Sadru’d-Dawl</w:t>
      </w:r>
      <w:r>
        <w:t>a</w:t>
      </w:r>
      <w:r w:rsidRPr="008F03E5">
        <w:t xml:space="preserve">h </w:t>
      </w:r>
      <w:r>
        <w:t>(</w:t>
      </w:r>
      <w:r w:rsidRPr="008F03E5">
        <w:t>Sadru’d-Dawlih</w:t>
      </w:r>
      <w:r>
        <w:t>)</w:t>
      </w:r>
      <w:r w:rsidRPr="008F03E5">
        <w:tab/>
        <w:t>Ṣadru’d-Dawl</w:t>
      </w:r>
      <w:r>
        <w:t>a</w:t>
      </w:r>
      <w:r w:rsidRPr="008F03E5">
        <w:t>h</w:t>
      </w:r>
      <w:r w:rsidRPr="008F03E5">
        <w:tab/>
      </w:r>
      <w:r>
        <w:t xml:space="preserve">“Heart of the state” or “Heart of the dynasty”. </w:t>
      </w:r>
      <w:r w:rsidRPr="008F03E5">
        <w:t xml:space="preserve"> Ṣadru’d-Dawl</w:t>
      </w:r>
      <w:r>
        <w:t>at al-</w:t>
      </w:r>
      <w:r w:rsidRPr="008F03E5">
        <w:t>Iṣfahání</w:t>
      </w:r>
      <w:r>
        <w:t xml:space="preserve"> (</w:t>
      </w:r>
      <w:r w:rsidRPr="008F03E5">
        <w:t>Ṣadru’d-Dawliy-i-Iṣfahání</w:t>
      </w:r>
      <w:r>
        <w:t>).</w:t>
      </w:r>
    </w:p>
    <w:p w14:paraId="2B03F63F" w14:textId="77777777" w:rsidR="00625A5B" w:rsidRPr="008F03E5" w:rsidRDefault="00625A5B" w:rsidP="007E1642">
      <w:pPr>
        <w:pStyle w:val="Translit"/>
      </w:pPr>
      <w:r w:rsidRPr="008F03E5">
        <w:t>Sadru’l</w:t>
      </w:r>
      <w:r w:rsidRPr="008F03E5">
        <w:rPr>
          <w:rFonts w:eastAsia="PMingLiU"/>
          <w:lang w:eastAsia="zh-TW"/>
        </w:rPr>
        <w:t>-‘</w:t>
      </w:r>
      <w:r w:rsidRPr="008F03E5">
        <w:t>Ulama</w:t>
      </w:r>
      <w:r>
        <w:t>’</w:t>
      </w:r>
      <w:r w:rsidRPr="008F03E5">
        <w:tab/>
        <w:t>Ṣadru’l-‘Ulamá</w:t>
      </w:r>
      <w:r>
        <w:t>’</w:t>
      </w:r>
      <w:r w:rsidRPr="008F03E5">
        <w:tab/>
      </w:r>
      <w:r w:rsidRPr="0034577E">
        <w:t>honorific title</w:t>
      </w:r>
      <w:r>
        <w:t>, “Heart</w:t>
      </w:r>
      <w:r w:rsidRPr="0034577E">
        <w:t xml:space="preserve"> of the </w:t>
      </w:r>
      <w:r>
        <w:t>s</w:t>
      </w:r>
      <w:r w:rsidRPr="0034577E">
        <w:t>cholars</w:t>
      </w:r>
      <w:r>
        <w:t>”</w:t>
      </w:r>
      <w:r w:rsidRPr="0034577E">
        <w:t xml:space="preserve">. </w:t>
      </w:r>
      <w:r>
        <w:t xml:space="preserve"> A</w:t>
      </w:r>
      <w:r w:rsidRPr="0034577E">
        <w:t xml:space="preserve"> title given by ‘Abdu’l-Bahá</w:t>
      </w:r>
      <w:r>
        <w:t xml:space="preserve"> (also the title </w:t>
      </w:r>
      <w:r w:rsidRPr="00133C10">
        <w:t>Ṣadr aṣ-Ṣudúr</w:t>
      </w:r>
      <w:r>
        <w:t>)</w:t>
      </w:r>
      <w:r w:rsidRPr="0034577E">
        <w:t xml:space="preserve"> to Ḥájí Sayyid Aḥmad Ṣadr </w:t>
      </w:r>
      <w:r>
        <w:t>al-‘Ulam</w:t>
      </w:r>
      <w:r w:rsidRPr="007E1642">
        <w:t>á</w:t>
      </w:r>
      <w:r>
        <w:t xml:space="preserve"> </w:t>
      </w:r>
      <w:r w:rsidRPr="0034577E">
        <w:t>Hamadání (1868–1907), a learned believer who around 1904, with ‘Abdu’l-Bahá’s encouragement, established the first teacher-training class for Bahá’í youth in Ṭihrán</w:t>
      </w:r>
      <w:r>
        <w:t>.</w:t>
      </w:r>
    </w:p>
    <w:p w14:paraId="520A8608" w14:textId="77777777" w:rsidR="00625A5B" w:rsidRDefault="00625A5B" w:rsidP="00F71429">
      <w:pPr>
        <w:pStyle w:val="Translit"/>
      </w:pPr>
      <w:r w:rsidRPr="008F03E5">
        <w:t>Sadru’l-A’zam, Sadr-i-A’zam</w:t>
      </w:r>
      <w:r w:rsidRPr="008F03E5">
        <w:tab/>
        <w:t>aṣ-Ṣadru’l-A‘ẓam, Pers. Ṣadr-i-A‘ẓam</w:t>
      </w:r>
      <w:r w:rsidRPr="008F03E5">
        <w:tab/>
        <w:t>Ottoman Empire Grand Vizier or Prime Minister</w:t>
      </w:r>
    </w:p>
    <w:p w14:paraId="78C4D51E" w14:textId="77777777" w:rsidR="00625A5B" w:rsidRPr="008F03E5" w:rsidRDefault="00625A5B" w:rsidP="00133C10">
      <w:pPr>
        <w:pStyle w:val="Translit"/>
      </w:pPr>
      <w:r w:rsidRPr="008F03E5">
        <w:t>Sadru’s-Sudur</w:t>
      </w:r>
      <w:r w:rsidRPr="008F03E5">
        <w:tab/>
        <w:t>Ṣadru’ṣ-Ṣudúr</w:t>
      </w:r>
      <w:r w:rsidRPr="008F03E5">
        <w:tab/>
      </w:r>
      <w:r w:rsidRPr="0083557F">
        <w:t xml:space="preserve">The title originally held by the chief priest of Persia since </w:t>
      </w:r>
      <w:r w:rsidRPr="008F03E5">
        <w:t>Ṣafawí</w:t>
      </w:r>
      <w:r w:rsidRPr="0083557F">
        <w:t xml:space="preserve"> times until abolished by </w:t>
      </w:r>
      <w:r w:rsidRPr="00936349">
        <w:t xml:space="preserve">Nádir </w:t>
      </w:r>
      <w:r w:rsidRPr="00936349">
        <w:rPr>
          <w:u w:val="single"/>
        </w:rPr>
        <w:t>Sh</w:t>
      </w:r>
      <w:r w:rsidRPr="00936349">
        <w:t>áh</w:t>
      </w:r>
      <w:r w:rsidRPr="0083557F">
        <w:t xml:space="preserve">. </w:t>
      </w:r>
      <w:r>
        <w:t xml:space="preserve"> Now </w:t>
      </w:r>
      <w:r w:rsidRPr="008F03E5">
        <w:t xml:space="preserve">chief judge, chancellor.  </w:t>
      </w:r>
      <w:r>
        <w:t xml:space="preserve">The officer would have been in charge of </w:t>
      </w:r>
      <w:r w:rsidRPr="008F03E5">
        <w:t>ecclesiastical law</w:t>
      </w:r>
      <w:r>
        <w:t>, which</w:t>
      </w:r>
      <w:r w:rsidRPr="008F03E5">
        <w:t xml:space="preserve"> consists of the utterances of the Prophet in the Qur’án; of the opinions of the Twelve Holy Im</w:t>
      </w:r>
      <w:r>
        <w:t>a</w:t>
      </w:r>
      <w:r w:rsidRPr="008F03E5">
        <w:t>ms; and of the commentaries of a school of pre-eminent ecclesiastical jurists.  The body of law so framed has been roughly codified and divided into four</w:t>
      </w:r>
      <w:r>
        <w:t xml:space="preserve">: </w:t>
      </w:r>
      <w:r w:rsidRPr="008F03E5">
        <w:t xml:space="preserve"> </w:t>
      </w:r>
      <w:r>
        <w:t xml:space="preserve">1.  </w:t>
      </w:r>
      <w:r w:rsidRPr="008F03E5">
        <w:t xml:space="preserve">religious rites and duties, </w:t>
      </w:r>
      <w:r>
        <w:t xml:space="preserve">2.  </w:t>
      </w:r>
      <w:r w:rsidRPr="008F03E5">
        <w:t xml:space="preserve">contracts and obligations, </w:t>
      </w:r>
      <w:r>
        <w:t xml:space="preserve">3.  </w:t>
      </w:r>
      <w:r w:rsidRPr="008F03E5">
        <w:t xml:space="preserve">personal affairs, </w:t>
      </w:r>
      <w:r>
        <w:t xml:space="preserve">4.  </w:t>
      </w:r>
      <w:r w:rsidRPr="008F03E5">
        <w:t xml:space="preserve">sumptuary rules and judicial procedure.  This law is administered by an ecclesiastical court, consisting of </w:t>
      </w:r>
      <w:r>
        <w:t>‘ulam</w:t>
      </w:r>
      <w:r w:rsidRPr="006F5336">
        <w:t>á</w:t>
      </w:r>
      <w:r>
        <w:t>’</w:t>
      </w:r>
      <w:r w:rsidRPr="008F03E5">
        <w:t xml:space="preserve"> </w:t>
      </w:r>
      <w:r>
        <w:t>(</w:t>
      </w:r>
      <w:r w:rsidRPr="008F03E5">
        <w:t>i.e. lay priests</w:t>
      </w:r>
      <w:r>
        <w:t>)</w:t>
      </w:r>
      <w:r w:rsidRPr="008F03E5">
        <w:t xml:space="preserve"> and mujtahids </w:t>
      </w:r>
      <w:r>
        <w:t>(</w:t>
      </w:r>
      <w:r w:rsidRPr="008F03E5">
        <w:t>i.e. learned doctors of the law</w:t>
      </w:r>
      <w:r>
        <w:t>)</w:t>
      </w:r>
      <w:r w:rsidRPr="008F03E5">
        <w:t xml:space="preserve">, assisted sometimes by qaḍá (qadis or judges), and under the presidency of an official, known as the </w:t>
      </w:r>
      <w:r w:rsidRPr="00A96277">
        <w:rPr>
          <w:u w:val="single"/>
        </w:rPr>
        <w:t>Sh</w:t>
      </w:r>
      <w:r w:rsidRPr="008F03E5">
        <w:t>ay</w:t>
      </w:r>
      <w:r w:rsidRPr="00A96277">
        <w:rPr>
          <w:u w:val="single"/>
        </w:rPr>
        <w:t>kh</w:t>
      </w:r>
      <w:r w:rsidRPr="008F03E5">
        <w:t>u’l-Islám.  The chief of this ecclesiastical hierarchy was in the past the Ṣadru’ṣ-Ṣudúr, or Pontifex Maximus, a dignitary chosen by the king and placed over the entire priesthood and judicial bench of the kingdom.</w:t>
      </w:r>
      <w:r>
        <w:t xml:space="preserve">  For an example, see the </w:t>
      </w:r>
      <w:r w:rsidRPr="007A51E5">
        <w:t>‘Abd an-Nabí</w:t>
      </w:r>
      <w:r>
        <w:t xml:space="preserve"> entry.</w:t>
      </w:r>
    </w:p>
    <w:p w14:paraId="3230D589" w14:textId="77777777" w:rsidR="00625A5B" w:rsidRPr="008F03E5" w:rsidRDefault="00625A5B" w:rsidP="001A2909">
      <w:pPr>
        <w:pStyle w:val="Translit"/>
      </w:pPr>
      <w:r w:rsidRPr="008F03E5">
        <w:t>Saduq</w:t>
      </w:r>
      <w:r w:rsidRPr="008F03E5">
        <w:tab/>
        <w:t>Ṣadúq</w:t>
      </w:r>
      <w:r w:rsidRPr="008F03E5">
        <w:tab/>
        <w:t>veracious, truthful, honest, sincere</w:t>
      </w:r>
    </w:p>
    <w:p w14:paraId="167CC95B" w14:textId="77777777" w:rsidR="00625A5B" w:rsidRPr="008F03E5" w:rsidRDefault="00625A5B" w:rsidP="00B9135B">
      <w:pPr>
        <w:pStyle w:val="Translit"/>
      </w:pPr>
      <w:r w:rsidRPr="008F03E5">
        <w:t>Safa</w:t>
      </w:r>
      <w:r>
        <w:t>’</w:t>
      </w:r>
      <w:r w:rsidRPr="008F03E5">
        <w:t xml:space="preserve"> (Saffa)</w:t>
      </w:r>
      <w:r>
        <w:t>,</w:t>
      </w:r>
      <w:r w:rsidRPr="008F03E5">
        <w:t xml:space="preserve"> Safa’</w:t>
      </w:r>
      <w:r w:rsidRPr="008F03E5">
        <w:tab/>
        <w:t>Ṣafá</w:t>
      </w:r>
      <w:r>
        <w:t>’</w:t>
      </w:r>
      <w:r w:rsidRPr="008F03E5">
        <w:t xml:space="preserve">, </w:t>
      </w:r>
      <w:r>
        <w:t xml:space="preserve">Pers. also </w:t>
      </w:r>
      <w:r w:rsidRPr="008F03E5">
        <w:t>Ṣafá</w:t>
      </w:r>
      <w:r w:rsidRPr="008F03E5">
        <w:tab/>
      </w:r>
      <w:r w:rsidRPr="00D40453">
        <w:t>clearness, clarity, limpidity, untroubledness, cloudlessness, serenity, purity, sheerness; happiness, felicity, serenity, gaiety, cheerfulness; sincerity, candor, honesty</w:t>
      </w:r>
      <w:r w:rsidRPr="008F03E5">
        <w:t>.  May also appear as Ṣ</w:t>
      </w:r>
      <w:r w:rsidRPr="008F03E5">
        <w:rPr>
          <w:rFonts w:eastAsia="PMingLiU"/>
          <w:lang w:eastAsia="zh-TW"/>
        </w:rPr>
        <w:t>afí</w:t>
      </w:r>
      <w:r w:rsidRPr="008F03E5">
        <w:t xml:space="preserve">.  Edward Kinney (1863–1950) named Ṣafá (“Serenity”) by ‘Abdu’l-Bahá.  See Wafá.  aṣ-Ṣafá and al-Marwah are two rocky outcrops about 450 m apart and a little to the north of the Ka‘ba, within the Great Mosque of Mecca in Saudi Arabia.  Muslims travel back and forth between them seven times during the ritual pilgrimages of </w:t>
      </w:r>
      <w:r w:rsidRPr="00B9135B">
        <w:t>Ḥ</w:t>
      </w:r>
      <w:r w:rsidRPr="008F03E5">
        <w:t>ajj and ‘Umrah.</w:t>
      </w:r>
    </w:p>
    <w:p w14:paraId="4C4560B4" w14:textId="77777777" w:rsidR="00625A5B" w:rsidRPr="008F03E5" w:rsidRDefault="00625A5B" w:rsidP="009021A0">
      <w:pPr>
        <w:pStyle w:val="Translit"/>
        <w:rPr>
          <w:rFonts w:eastAsia="PMingLiU"/>
          <w:lang w:eastAsia="zh-TW"/>
        </w:rPr>
      </w:pPr>
      <w:r w:rsidRPr="008F03E5">
        <w:rPr>
          <w:rFonts w:eastAsia="PMingLiU"/>
          <w:lang w:eastAsia="zh-TW"/>
        </w:rPr>
        <w:t>Safa’i (Safai)</w:t>
      </w:r>
      <w:r w:rsidRPr="008F03E5">
        <w:tab/>
        <w:t>Ṣ</w:t>
      </w:r>
      <w:r w:rsidRPr="008F03E5">
        <w:rPr>
          <w:rFonts w:eastAsia="PMingLiU"/>
          <w:lang w:eastAsia="zh-TW"/>
        </w:rPr>
        <w:t>afá’í</w:t>
      </w:r>
      <w:r w:rsidRPr="008F03E5">
        <w:tab/>
        <w:t>Pers. from Ar. purity, clearness; Suhayl Ṣ</w:t>
      </w:r>
      <w:r w:rsidRPr="008F03E5">
        <w:rPr>
          <w:rFonts w:eastAsia="PMingLiU"/>
          <w:lang w:eastAsia="zh-TW"/>
        </w:rPr>
        <w:t>afá’í</w:t>
      </w:r>
    </w:p>
    <w:p w14:paraId="1C9BBF85" w14:textId="77777777" w:rsidR="00625A5B" w:rsidRPr="008F03E5" w:rsidRDefault="00625A5B" w:rsidP="00161F6B">
      <w:pPr>
        <w:pStyle w:val="Translit"/>
      </w:pPr>
      <w:r w:rsidRPr="008F03E5">
        <w:t>Safad, Sifad, Asfad</w:t>
      </w:r>
      <w:r w:rsidRPr="008F03E5">
        <w:tab/>
        <w:t>Ṣafad, Ṣifád, pl. Asfád</w:t>
      </w:r>
      <w:r w:rsidRPr="008F03E5">
        <w:tab/>
        <w:t>bond, tie, fetter</w:t>
      </w:r>
    </w:p>
    <w:p w14:paraId="1E0F1AE6" w14:textId="77777777" w:rsidR="00625A5B" w:rsidRPr="008F03E5" w:rsidRDefault="00625A5B" w:rsidP="008C3610">
      <w:pPr>
        <w:pStyle w:val="Translit"/>
      </w:pPr>
      <w:r w:rsidRPr="008F03E5">
        <w:t>Safadi</w:t>
      </w:r>
      <w:r w:rsidRPr="008F03E5">
        <w:tab/>
        <w:t>Ṣafadí</w:t>
      </w:r>
      <w:r w:rsidRPr="008F03E5">
        <w:tab/>
        <w:t>belonging to, native or inhabitant of, Safad</w:t>
      </w:r>
    </w:p>
    <w:p w14:paraId="4487AB44" w14:textId="77777777" w:rsidR="00625A5B" w:rsidRDefault="00625A5B" w:rsidP="00603E21">
      <w:pPr>
        <w:pStyle w:val="Translit"/>
      </w:pPr>
      <w:r>
        <w:t>Safaha</w:t>
      </w:r>
      <w:r>
        <w:tab/>
        <w:t>S</w:t>
      </w:r>
      <w:r w:rsidRPr="00603E21">
        <w:t>af</w:t>
      </w:r>
      <w:r>
        <w:t>á</w:t>
      </w:r>
      <w:r w:rsidRPr="00603E21">
        <w:t>ha</w:t>
      </w:r>
      <w:r>
        <w:t>[h or t]</w:t>
      </w:r>
      <w:r>
        <w:tab/>
        <w:t>(fem. of S</w:t>
      </w:r>
      <w:r w:rsidRPr="00603E21">
        <w:t>af</w:t>
      </w:r>
      <w:r>
        <w:t>í</w:t>
      </w:r>
      <w:r w:rsidRPr="00603E21">
        <w:t>h</w:t>
      </w:r>
      <w:r>
        <w:t xml:space="preserve">) </w:t>
      </w:r>
      <w:r w:rsidRPr="00603E21">
        <w:t>foolishness, stupidity, silliness; impudence, shamelessness, insolence</w:t>
      </w:r>
    </w:p>
    <w:p w14:paraId="23C23502" w14:textId="77777777" w:rsidR="00625A5B" w:rsidRPr="008F03E5" w:rsidRDefault="00625A5B" w:rsidP="0037005C">
      <w:pPr>
        <w:pStyle w:val="Translit"/>
        <w:rPr>
          <w:rFonts w:eastAsia="PMingLiU"/>
          <w:lang w:eastAsia="zh-TW"/>
        </w:rPr>
      </w:pPr>
      <w:r w:rsidRPr="008F03E5">
        <w:rPr>
          <w:rFonts w:eastAsia="PMingLiU"/>
          <w:lang w:eastAsia="zh-TW"/>
        </w:rPr>
        <w:t>Safar, Asfar</w:t>
      </w:r>
      <w:r w:rsidRPr="008F03E5">
        <w:rPr>
          <w:rFonts w:eastAsia="PMingLiU"/>
          <w:lang w:eastAsia="zh-TW"/>
        </w:rPr>
        <w:tab/>
        <w:t>Safar, pl. Asf</w:t>
      </w:r>
      <w:r w:rsidRPr="008F03E5">
        <w:t>á</w:t>
      </w:r>
      <w:r w:rsidRPr="008F03E5">
        <w:rPr>
          <w:rFonts w:eastAsia="PMingLiU"/>
          <w:lang w:eastAsia="zh-TW"/>
        </w:rPr>
        <w:t>r</w:t>
      </w:r>
      <w:r w:rsidRPr="008F03E5">
        <w:rPr>
          <w:rFonts w:eastAsia="PMingLiU"/>
          <w:lang w:eastAsia="zh-TW"/>
        </w:rPr>
        <w:tab/>
        <w:t xml:space="preserve">departure;—pl. journey, travel, trip, tour. e.g. </w:t>
      </w:r>
      <w:r w:rsidRPr="008F03E5">
        <w:t>Pers.</w:t>
      </w:r>
      <w:r w:rsidRPr="008F03E5">
        <w:rPr>
          <w:rFonts w:eastAsia="PMingLiU"/>
          <w:lang w:eastAsia="zh-TW"/>
        </w:rPr>
        <w:t xml:space="preserve"> </w:t>
      </w:r>
      <w:r w:rsidRPr="008F03E5">
        <w:rPr>
          <w:i/>
          <w:iCs/>
        </w:rPr>
        <w:t>Safar-náma (The book of travels)</w:t>
      </w:r>
    </w:p>
    <w:p w14:paraId="6C785761" w14:textId="77777777" w:rsidR="00625A5B" w:rsidRPr="008F03E5" w:rsidRDefault="00625A5B" w:rsidP="00F451C4">
      <w:pPr>
        <w:pStyle w:val="Translit"/>
        <w:rPr>
          <w:rFonts w:eastAsia="PMingLiU"/>
          <w:lang w:eastAsia="zh-TW"/>
        </w:rPr>
      </w:pPr>
      <w:r w:rsidRPr="008F03E5">
        <w:rPr>
          <w:rFonts w:eastAsia="PMingLiU"/>
          <w:lang w:eastAsia="zh-TW"/>
        </w:rPr>
        <w:t>Safar, Asfar</w:t>
      </w:r>
      <w:r w:rsidRPr="008F03E5">
        <w:tab/>
        <w:t>Ṣ</w:t>
      </w:r>
      <w:r w:rsidRPr="008F03E5">
        <w:rPr>
          <w:rFonts w:eastAsia="PMingLiU"/>
          <w:lang w:eastAsia="zh-TW"/>
        </w:rPr>
        <w:t>afar, pl. A</w:t>
      </w:r>
      <w:r w:rsidRPr="008F03E5">
        <w:t>ṣ</w:t>
      </w:r>
      <w:r w:rsidRPr="008F03E5">
        <w:rPr>
          <w:rFonts w:eastAsia="PMingLiU"/>
          <w:lang w:eastAsia="zh-TW"/>
        </w:rPr>
        <w:t>f</w:t>
      </w:r>
      <w:r w:rsidRPr="008F03E5">
        <w:t>á</w:t>
      </w:r>
      <w:r w:rsidRPr="008F03E5">
        <w:rPr>
          <w:rFonts w:eastAsia="PMingLiU"/>
          <w:lang w:eastAsia="zh-TW"/>
        </w:rPr>
        <w:t>r</w:t>
      </w:r>
      <w:r w:rsidRPr="008F03E5">
        <w:tab/>
        <w:t>s</w:t>
      </w:r>
      <w:r w:rsidRPr="008F03E5">
        <w:rPr>
          <w:rFonts w:eastAsia="PMingLiU"/>
          <w:lang w:eastAsia="zh-TW"/>
        </w:rPr>
        <w:t xml:space="preserve">econd month in Islamic calendar.  “void”, see </w:t>
      </w:r>
      <w:r w:rsidRPr="008F03E5">
        <w:t>ṣ</w:t>
      </w:r>
      <w:r w:rsidRPr="008F03E5">
        <w:rPr>
          <w:rFonts w:eastAsia="PMingLiU"/>
          <w:lang w:eastAsia="zh-TW"/>
        </w:rPr>
        <w:t>afira</w:t>
      </w:r>
    </w:p>
    <w:p w14:paraId="5FBD1348" w14:textId="77777777" w:rsidR="00625A5B" w:rsidRPr="008F03E5" w:rsidRDefault="00625A5B" w:rsidP="005B4248">
      <w:pPr>
        <w:pStyle w:val="Translit"/>
      </w:pPr>
      <w:r w:rsidRPr="008F03E5">
        <w:t>Safawi, fem. Safawiya, Safawiyyun</w:t>
      </w:r>
      <w:r w:rsidRPr="008F03E5">
        <w:tab/>
        <w:t>Ṣafawí, fem. Ṣafawíya[t], pl. Ṣafawiyyún</w:t>
      </w:r>
      <w:r w:rsidRPr="008F03E5">
        <w:tab/>
        <w:t>Pers. a prince or member of a dynasty of Persian kings (Safawiyan or Safavid dynasty—</w:t>
      </w:r>
      <w:r w:rsidRPr="008F03E5">
        <w:rPr>
          <w:u w:val="single"/>
        </w:rPr>
        <w:t>Kh</w:t>
      </w:r>
      <w:r w:rsidRPr="008F03E5">
        <w:t>ándání Ṣafawíya), named after Ismael Ṣafí.  aṣ-ṣafawíya (pl. aṣ-ṣafawiyyún), the safawid (or Pers. safavid).</w:t>
      </w:r>
    </w:p>
    <w:p w14:paraId="73999256" w14:textId="77777777" w:rsidR="00625A5B" w:rsidRPr="008F03E5" w:rsidRDefault="00625A5B" w:rsidP="00AC6AA4">
      <w:pPr>
        <w:pStyle w:val="Translit"/>
        <w:rPr>
          <w:rFonts w:eastAsia="Times New Roman"/>
        </w:rPr>
      </w:pPr>
      <w:r w:rsidRPr="008F03E5">
        <w:rPr>
          <w:rFonts w:eastAsia="Times New Roman"/>
        </w:rPr>
        <w:t>Safdar</w:t>
      </w:r>
      <w:r w:rsidRPr="008F03E5">
        <w:rPr>
          <w:rFonts w:eastAsia="Times New Roman"/>
        </w:rPr>
        <w:tab/>
        <w:t>Ṣafdar</w:t>
      </w:r>
      <w:r w:rsidRPr="008F03E5">
        <w:rPr>
          <w:rFonts w:eastAsia="Times New Roman"/>
        </w:rPr>
        <w:tab/>
        <w:t>(Pers., Ar. influence) he who breaks the ranks; warlike, brave</w:t>
      </w:r>
    </w:p>
    <w:p w14:paraId="658FDDA2" w14:textId="77777777" w:rsidR="00625A5B" w:rsidRPr="008F03E5" w:rsidRDefault="00625A5B" w:rsidP="00B621CC">
      <w:pPr>
        <w:pStyle w:val="Translit"/>
        <w:rPr>
          <w:rFonts w:eastAsia="PMingLiU"/>
          <w:lang w:eastAsia="zh-TW"/>
        </w:rPr>
      </w:pPr>
      <w:r w:rsidRPr="008F03E5">
        <w:rPr>
          <w:rFonts w:eastAsia="PMingLiU"/>
          <w:lang w:eastAsia="zh-TW"/>
        </w:rPr>
        <w:t>Saff, Sufuf</w:t>
      </w:r>
      <w:r w:rsidRPr="008F03E5">
        <w:rPr>
          <w:rFonts w:eastAsia="PMingLiU"/>
          <w:lang w:eastAsia="zh-TW"/>
        </w:rPr>
        <w:tab/>
        <w:t>Ṣaff, pl. Ṣufúf</w:t>
      </w:r>
      <w:r w:rsidRPr="008F03E5">
        <w:rPr>
          <w:rFonts w:eastAsia="PMingLiU"/>
          <w:lang w:eastAsia="zh-TW"/>
        </w:rPr>
        <w:tab/>
        <w:t>aligning or arranging in a line or row;—pl. row, line, file, rank, queue; row, or tier, of seats; grade, form (in school), class course, section, division, group</w:t>
      </w:r>
    </w:p>
    <w:p w14:paraId="5B367B5F" w14:textId="77777777" w:rsidR="00625A5B" w:rsidRPr="008F03E5" w:rsidRDefault="00625A5B" w:rsidP="00311ECB">
      <w:pPr>
        <w:pStyle w:val="Translit"/>
        <w:rPr>
          <w:rFonts w:eastAsia="PMingLiU"/>
          <w:lang w:eastAsia="zh-TW"/>
        </w:rPr>
      </w:pPr>
      <w:r w:rsidRPr="008F03E5">
        <w:rPr>
          <w:rFonts w:eastAsia="PMingLiU"/>
          <w:lang w:eastAsia="zh-TW"/>
        </w:rPr>
        <w:t>Saffa</w:t>
      </w:r>
      <w:r w:rsidRPr="008F03E5">
        <w:rPr>
          <w:rFonts w:eastAsia="PMingLiU"/>
          <w:lang w:eastAsia="zh-TW"/>
        </w:rPr>
        <w:tab/>
        <w:t>Ṣaffa</w:t>
      </w:r>
      <w:r w:rsidRPr="008F03E5">
        <w:rPr>
          <w:rFonts w:eastAsia="PMingLiU"/>
          <w:lang w:eastAsia="zh-TW"/>
        </w:rPr>
        <w:tab/>
        <w:t>to set up in a row or line, line up, align, array, arrange, order (something); to eat, compose (type); to range, class, classify (someone among); to cut (something) in strips</w:t>
      </w:r>
    </w:p>
    <w:p w14:paraId="5427DE73" w14:textId="77777777" w:rsidR="00625A5B" w:rsidRPr="008F03E5" w:rsidRDefault="00625A5B" w:rsidP="004E2412">
      <w:pPr>
        <w:pStyle w:val="Translit"/>
        <w:rPr>
          <w:rFonts w:eastAsia="PMingLiU"/>
          <w:lang w:eastAsia="zh-TW"/>
        </w:rPr>
      </w:pPr>
      <w:r w:rsidRPr="008F03E5">
        <w:rPr>
          <w:rFonts w:eastAsia="PMingLiU"/>
          <w:lang w:eastAsia="zh-TW"/>
        </w:rPr>
        <w:t>Saffah</w:t>
      </w:r>
      <w:r w:rsidRPr="008F03E5">
        <w:rPr>
          <w:rFonts w:eastAsia="PMingLiU"/>
          <w:lang w:eastAsia="zh-TW"/>
        </w:rPr>
        <w:tab/>
        <w:t>Saffáḥ</w:t>
      </w:r>
      <w:r w:rsidRPr="008F03E5">
        <w:rPr>
          <w:rFonts w:eastAsia="PMingLiU"/>
          <w:lang w:eastAsia="zh-TW"/>
        </w:rPr>
        <w:tab/>
        <w:t>shedder of blood, killer, murderer.  Caliph ‘</w:t>
      </w:r>
      <w:r w:rsidRPr="008F03E5">
        <w:t>Abu’l-‘Abbás ‘Abdu’lláh as-Saffáḥ.</w:t>
      </w:r>
    </w:p>
    <w:p w14:paraId="188DD40C" w14:textId="77777777" w:rsidR="00625A5B" w:rsidRPr="008F03E5" w:rsidRDefault="00625A5B" w:rsidP="00146013">
      <w:pPr>
        <w:pStyle w:val="Translit"/>
      </w:pPr>
      <w:r w:rsidRPr="008F03E5">
        <w:t>Saffar, Saffara</w:t>
      </w:r>
      <w:r w:rsidRPr="008F03E5">
        <w:tab/>
        <w:t>Ṣaffár, collective Ṣaffára[h or t]</w:t>
      </w:r>
      <w:r w:rsidRPr="008F03E5">
        <w:tab/>
        <w:t>brass founder or a copper smith</w:t>
      </w:r>
    </w:p>
    <w:p w14:paraId="140C83EA" w14:textId="77777777" w:rsidR="00625A5B" w:rsidRPr="00BC189D" w:rsidRDefault="00625A5B" w:rsidP="00146013">
      <w:pPr>
        <w:pStyle w:val="Translit"/>
        <w:rPr>
          <w:lang w:val="it-IT"/>
        </w:rPr>
      </w:pPr>
      <w:r w:rsidRPr="00BC189D">
        <w:rPr>
          <w:rFonts w:eastAsia="Times New Roman"/>
          <w:lang w:val="it-IT"/>
        </w:rPr>
        <w:t>Saffari, Suffari</w:t>
      </w:r>
      <w:r w:rsidRPr="00BC189D">
        <w:rPr>
          <w:rFonts w:eastAsia="Times New Roman"/>
          <w:lang w:val="it-IT"/>
        </w:rPr>
        <w:tab/>
        <w:t>Ṣaffárí, Ṣuffárí</w:t>
      </w:r>
      <w:r w:rsidRPr="00BC189D">
        <w:rPr>
          <w:rFonts w:eastAsia="Times New Roman"/>
          <w:lang w:val="it-IT"/>
        </w:rPr>
        <w:tab/>
        <w:t>Pers. a coppersmith</w:t>
      </w:r>
    </w:p>
    <w:p w14:paraId="3F2D5A49" w14:textId="77777777" w:rsidR="00625A5B" w:rsidRPr="008F03E5" w:rsidRDefault="00625A5B" w:rsidP="00DA3B11">
      <w:pPr>
        <w:pStyle w:val="Translit"/>
      </w:pPr>
      <w:r w:rsidRPr="008F03E5">
        <w:t>Saffariyan</w:t>
      </w:r>
      <w:r w:rsidRPr="008F03E5">
        <w:tab/>
        <w:t>Ṣaffáriyán</w:t>
      </w:r>
      <w:r w:rsidRPr="008F03E5">
        <w:tab/>
        <w:t>Pers. the Saffarid dynasty, it was a Sunní Iranian dynasty from Sístán that ruled over parts of eastern Iran, with its capital at Zaranj (a city now in SW Afghanistan), from 861 to 1003.  Founded by the Persian coppersmith Ya‘qúb ibn al-Lay</w:t>
      </w:r>
      <w:r w:rsidRPr="008F03E5">
        <w:rPr>
          <w:u w:val="single"/>
        </w:rPr>
        <w:t>th</w:t>
      </w:r>
      <w:r w:rsidRPr="008F03E5">
        <w:t xml:space="preserve"> a</w:t>
      </w:r>
      <w:r>
        <w:t>l</w:t>
      </w:r>
      <w:r w:rsidRPr="008F03E5">
        <w:t>-Ṣaffárí (840–879)</w:t>
      </w:r>
    </w:p>
    <w:p w14:paraId="49ED77CA" w14:textId="77777777" w:rsidR="00625A5B" w:rsidRPr="008F03E5" w:rsidRDefault="00625A5B" w:rsidP="007E18F1">
      <w:pPr>
        <w:pStyle w:val="Translit"/>
      </w:pPr>
      <w:r w:rsidRPr="008F03E5">
        <w:t>Saffatun, Saffat</w:t>
      </w:r>
      <w:r w:rsidRPr="008F03E5">
        <w:tab/>
        <w:t>Ṣáffatun, Ṣáffat</w:t>
      </w:r>
      <w:r w:rsidRPr="008F03E5">
        <w:tab/>
        <w:t>those standing in or forming a rank, line or a row</w:t>
      </w:r>
    </w:p>
    <w:p w14:paraId="36194EFC" w14:textId="77777777" w:rsidR="00625A5B" w:rsidRPr="008F03E5" w:rsidRDefault="00625A5B" w:rsidP="00603E21">
      <w:pPr>
        <w:pStyle w:val="Translit"/>
      </w:pPr>
      <w:r w:rsidRPr="008F03E5">
        <w:rPr>
          <w:rFonts w:eastAsia="Times New Roman"/>
        </w:rPr>
        <w:t>Safid (Safed), Safida (Safidah, Safedih)</w:t>
      </w:r>
      <w:r w:rsidRPr="008F03E5">
        <w:rPr>
          <w:rFonts w:eastAsia="Times New Roman"/>
        </w:rPr>
        <w:tab/>
        <w:t>Safíd, fem. Saf</w:t>
      </w:r>
      <w:r w:rsidRPr="008F03E5">
        <w:t>í</w:t>
      </w:r>
      <w:r w:rsidRPr="008F03E5">
        <w:rPr>
          <w:rFonts w:eastAsia="Times New Roman"/>
        </w:rPr>
        <w:t>da</w:t>
      </w:r>
      <w:r w:rsidRPr="008F03E5">
        <w:rPr>
          <w:rFonts w:eastAsia="Times New Roman"/>
        </w:rPr>
        <w:tab/>
        <w:t>Pers. white,</w:t>
      </w:r>
      <w:r w:rsidRPr="008F03E5">
        <w:t xml:space="preserve"> fair; clear, evident, manifest.  Fem. c</w:t>
      </w:r>
      <w:r w:rsidRPr="008F03E5">
        <w:rPr>
          <w:rFonts w:eastAsia="Times New Roman"/>
        </w:rPr>
        <w:t>halk, whiting</w:t>
      </w:r>
      <w:r w:rsidRPr="008F03E5">
        <w:t>.  Sapíd/sapída have similar meanings.</w:t>
      </w:r>
    </w:p>
    <w:p w14:paraId="03F7E1C8" w14:textId="77777777" w:rsidR="00625A5B" w:rsidRDefault="00625A5B" w:rsidP="00603E21">
      <w:pPr>
        <w:pStyle w:val="Translit"/>
      </w:pPr>
      <w:r>
        <w:t>Safih, Sufaha’, Sifah</w:t>
      </w:r>
      <w:r>
        <w:tab/>
        <w:t>S</w:t>
      </w:r>
      <w:r w:rsidRPr="00603E21">
        <w:t>af</w:t>
      </w:r>
      <w:r>
        <w:t>í</w:t>
      </w:r>
      <w:r w:rsidRPr="00603E21">
        <w:t>h</w:t>
      </w:r>
      <w:r>
        <w:t>,</w:t>
      </w:r>
      <w:r w:rsidRPr="00603E21">
        <w:t xml:space="preserve"> pl. </w:t>
      </w:r>
      <w:r>
        <w:t>S</w:t>
      </w:r>
      <w:r w:rsidRPr="00603E21">
        <w:t>ufah</w:t>
      </w:r>
      <w:r>
        <w:t>á</w:t>
      </w:r>
      <w:r w:rsidRPr="00603E21">
        <w:t xml:space="preserve">’, </w:t>
      </w:r>
      <w:r>
        <w:t>S</w:t>
      </w:r>
      <w:r w:rsidRPr="00603E21">
        <w:t>if</w:t>
      </w:r>
      <w:r>
        <w:t>á</w:t>
      </w:r>
      <w:r w:rsidRPr="00603E21">
        <w:t>h</w:t>
      </w:r>
      <w:r>
        <w:tab/>
      </w:r>
      <w:r w:rsidRPr="00603E21">
        <w:t>foolish, stupid, silly; fool; an incompetent (Isl</w:t>
      </w:r>
      <w:r>
        <w:t>amic</w:t>
      </w:r>
      <w:r w:rsidRPr="00603E21">
        <w:t xml:space="preserve"> </w:t>
      </w:r>
      <w:r>
        <w:t>l</w:t>
      </w:r>
      <w:r w:rsidRPr="00603E21">
        <w:t>aw); impudent, shameless, insolent; insolent fellow</w:t>
      </w:r>
      <w:r>
        <w:t xml:space="preserve">.  </w:t>
      </w:r>
      <w:r w:rsidRPr="00603E21">
        <w:t>Á</w:t>
      </w:r>
      <w:r>
        <w:t>q</w:t>
      </w:r>
      <w:r w:rsidRPr="00603E21">
        <w:t>á</w:t>
      </w:r>
      <w:r>
        <w:t xml:space="preserve"> Mu</w:t>
      </w:r>
      <w:r w:rsidRPr="00603E21">
        <w:t>ḥ</w:t>
      </w:r>
      <w:r>
        <w:t>ammad-Mihd</w:t>
      </w:r>
      <w:r w:rsidRPr="00603E21">
        <w:t>í</w:t>
      </w:r>
      <w:r>
        <w:t>, because of his stupidity, was mockingly called Safíhu’l-‘Ulam</w:t>
      </w:r>
      <w:r w:rsidRPr="00603E21">
        <w:t>á</w:t>
      </w:r>
      <w:r>
        <w:t>’, “the Foolish One of the Learned”.</w:t>
      </w:r>
    </w:p>
    <w:p w14:paraId="579D6D07" w14:textId="77777777" w:rsidR="00625A5B" w:rsidRPr="006D6171" w:rsidRDefault="00625A5B" w:rsidP="000B42DF">
      <w:pPr>
        <w:pStyle w:val="Translit"/>
        <w:rPr>
          <w:lang w:val="it-IT"/>
        </w:rPr>
      </w:pPr>
      <w:r w:rsidRPr="00603E21">
        <w:rPr>
          <w:lang w:val="it-IT"/>
        </w:rPr>
        <w:t>Safina, Sufun, Safa’i</w:t>
      </w:r>
      <w:r w:rsidRPr="00603E21">
        <w:rPr>
          <w:lang w:val="it-IT"/>
        </w:rPr>
        <w:tab/>
        <w:t xml:space="preserve">Safína, pl. </w:t>
      </w:r>
      <w:r w:rsidRPr="006D6171">
        <w:rPr>
          <w:lang w:val="it-IT"/>
        </w:rPr>
        <w:t>Sufun, Safá’i</w:t>
      </w:r>
      <w:r w:rsidRPr="006D6171">
        <w:rPr>
          <w:lang w:val="it-IT"/>
        </w:rPr>
        <w:tab/>
        <w:t>ship, vessel, boat</w:t>
      </w:r>
    </w:p>
    <w:p w14:paraId="4D6C884C" w14:textId="77777777" w:rsidR="00625A5B" w:rsidRPr="008F03E5" w:rsidRDefault="00625A5B" w:rsidP="00E84DDD">
      <w:pPr>
        <w:pStyle w:val="Translit"/>
      </w:pPr>
      <w:r w:rsidRPr="006D6171">
        <w:rPr>
          <w:lang w:val="it-IT"/>
        </w:rPr>
        <w:t>Safir, Sufara</w:t>
      </w:r>
      <w:r w:rsidRPr="006D6171">
        <w:rPr>
          <w:lang w:val="it-IT"/>
        </w:rPr>
        <w:tab/>
        <w:t xml:space="preserve">Safír, pl. </w:t>
      </w:r>
      <w:r w:rsidRPr="008F03E5">
        <w:t>Sufará</w:t>
      </w:r>
      <w:r w:rsidRPr="008F03E5">
        <w:tab/>
        <w:t>mediator (between contending parties); ambassador (diplomatic).  Also as a term for a figure of salvation—messenger, mediator</w:t>
      </w:r>
    </w:p>
    <w:p w14:paraId="57B5B4E2" w14:textId="77777777" w:rsidR="00625A5B" w:rsidRPr="008F03E5" w:rsidRDefault="00625A5B" w:rsidP="00F451C4">
      <w:pPr>
        <w:pStyle w:val="Translit"/>
      </w:pPr>
      <w:r w:rsidRPr="008F03E5">
        <w:t>Safira, Safar, Sufur</w:t>
      </w:r>
      <w:r w:rsidRPr="008F03E5">
        <w:tab/>
        <w:t>Ṣafira (Ṣafar, Ṣufúr)</w:t>
      </w:r>
      <w:r w:rsidRPr="008F03E5">
        <w:tab/>
        <w:t>to be empty, be devoid, vacant (of)</w:t>
      </w:r>
    </w:p>
    <w:p w14:paraId="70E923CE" w14:textId="77777777" w:rsidR="00625A5B" w:rsidRPr="008F03E5" w:rsidRDefault="00625A5B" w:rsidP="00CF0CB1">
      <w:pPr>
        <w:pStyle w:val="Translit"/>
      </w:pPr>
      <w:r w:rsidRPr="008F03E5">
        <w:t>Safiy</w:t>
      </w:r>
      <w:r w:rsidRPr="008F03E5">
        <w:tab/>
        <w:t>Safíy</w:t>
      </w:r>
      <w:r w:rsidRPr="008F03E5">
        <w:tab/>
        <w:t>term for a figure of salvation—the friend, the chosen one</w:t>
      </w:r>
    </w:p>
    <w:p w14:paraId="3B0F90A5" w14:textId="77777777" w:rsidR="00625A5B" w:rsidRPr="008F03E5" w:rsidRDefault="00625A5B" w:rsidP="008B3652">
      <w:pPr>
        <w:pStyle w:val="Translit"/>
      </w:pPr>
      <w:r w:rsidRPr="008F03E5">
        <w:t>Safiy</w:t>
      </w:r>
      <w:r>
        <w:t>, Safi</w:t>
      </w:r>
      <w:r w:rsidRPr="008F03E5">
        <w:t>, Asfiya</w:t>
      </w:r>
      <w:r w:rsidRPr="008F03E5">
        <w:tab/>
        <w:t xml:space="preserve">Ṣafíy, </w:t>
      </w:r>
      <w:r>
        <w:t xml:space="preserve">Pers. </w:t>
      </w:r>
      <w:r w:rsidRPr="008B3652">
        <w:t>Ṣ</w:t>
      </w:r>
      <w:r>
        <w:t>af</w:t>
      </w:r>
      <w:r w:rsidRPr="008B3652">
        <w:t>í</w:t>
      </w:r>
      <w:r>
        <w:t xml:space="preserve">, </w:t>
      </w:r>
      <w:r w:rsidRPr="008F03E5">
        <w:t>pl. Aṣfiyá’</w:t>
      </w:r>
      <w:r w:rsidRPr="008F03E5">
        <w:tab/>
        <w:t>clear, limpid, untroubled, undisturbed, serene, cloudless, pure, sheer;—pl. sincere friend, best friend, bosom friend</w:t>
      </w:r>
    </w:p>
    <w:p w14:paraId="5F2CD8B1" w14:textId="77777777" w:rsidR="00625A5B" w:rsidRPr="008F03E5" w:rsidRDefault="00625A5B" w:rsidP="0013281D">
      <w:pPr>
        <w:pStyle w:val="Translit"/>
      </w:pPr>
      <w:r w:rsidRPr="008F03E5">
        <w:t>Safiya (Safiyya), Salifiya</w:t>
      </w:r>
      <w:r w:rsidRPr="008F03E5">
        <w:tab/>
        <w:t>Ṣafíya[t], pl. Ṣalafíya</w:t>
      </w:r>
      <w:r w:rsidRPr="008F03E5">
        <w:tab/>
        <w:t>leader’s share of the loot; lion’s share of the booty.  Name of one of Muḥammad’s wives.</w:t>
      </w:r>
    </w:p>
    <w:p w14:paraId="5681D478" w14:textId="77777777" w:rsidR="00625A5B" w:rsidRPr="008F03E5" w:rsidRDefault="00625A5B" w:rsidP="00F06A77">
      <w:pPr>
        <w:pStyle w:val="Translit"/>
      </w:pPr>
      <w:r w:rsidRPr="008F03E5">
        <w:t>Safr, Sifr, Sufr, Safir, Sufur, Asfar</w:t>
      </w:r>
      <w:r w:rsidRPr="008F03E5">
        <w:tab/>
        <w:t>Ṣafr, Ṣifr, Ṣufr, Ṣafir, Ṣufur, pl. Aṣfár</w:t>
      </w:r>
      <w:r w:rsidRPr="008F03E5">
        <w:tab/>
        <w:t>empty, void, devoid, (of), free (from)</w:t>
      </w:r>
    </w:p>
    <w:p w14:paraId="4DC0D516" w14:textId="77777777" w:rsidR="00625A5B" w:rsidRPr="008F03E5" w:rsidRDefault="00625A5B" w:rsidP="00661211">
      <w:pPr>
        <w:pStyle w:val="Translit"/>
      </w:pPr>
      <w:r w:rsidRPr="008F03E5">
        <w:t>Safura</w:t>
      </w:r>
      <w:r w:rsidRPr="008F03E5">
        <w:tab/>
        <w:t>Ṣáfúrá</w:t>
      </w:r>
      <w:r w:rsidRPr="008F03E5">
        <w:tab/>
        <w:t>Zipporah, the wife of Moses</w:t>
      </w:r>
    </w:p>
    <w:p w14:paraId="79BB907E" w14:textId="77777777" w:rsidR="00625A5B" w:rsidRPr="008F03E5" w:rsidRDefault="00625A5B" w:rsidP="00C93797">
      <w:pPr>
        <w:pStyle w:val="Translit"/>
      </w:pPr>
      <w:r w:rsidRPr="008F03E5">
        <w:t>Safwat, Sifwat, Suwat</w:t>
      </w:r>
      <w:r w:rsidRPr="008F03E5">
        <w:tab/>
        <w:t>Ṣafwat, Ṣifwat, Ṣufwat</w:t>
      </w:r>
      <w:r w:rsidRPr="008F03E5">
        <w:tab/>
        <w:t>Pers. choicest, best, purest part.  Muḥammad Pá</w:t>
      </w:r>
      <w:r w:rsidRPr="008F03E5">
        <w:rPr>
          <w:u w:val="single"/>
        </w:rPr>
        <w:t>sh</w:t>
      </w:r>
      <w:r w:rsidRPr="008F03E5">
        <w:t>á Ṣafwat</w:t>
      </w:r>
    </w:p>
    <w:p w14:paraId="2BA33A5F" w14:textId="77777777" w:rsidR="00625A5B" w:rsidRPr="008F03E5" w:rsidRDefault="00625A5B" w:rsidP="005B4248">
      <w:pPr>
        <w:pStyle w:val="Translit"/>
      </w:pPr>
      <w:r w:rsidRPr="008F03E5">
        <w:t>Saghir ‘Id</w:t>
      </w:r>
      <w:r w:rsidRPr="008F03E5">
        <w:tab/>
        <w:t>aṣ-Ṣa</w:t>
      </w:r>
      <w:r w:rsidRPr="008F03E5">
        <w:rPr>
          <w:u w:val="single"/>
        </w:rPr>
        <w:t>gh</w:t>
      </w:r>
      <w:r w:rsidRPr="008F03E5">
        <w:t>ír ‘Íd</w:t>
      </w:r>
      <w:r w:rsidRPr="008F03E5">
        <w:tab/>
        <w:t xml:space="preserve">Little Bayrám, i.e., the feast of fast breaking on the 1st of </w:t>
      </w:r>
      <w:r w:rsidRPr="008F03E5">
        <w:rPr>
          <w:u w:val="single"/>
        </w:rPr>
        <w:t>Sh</w:t>
      </w:r>
      <w:r w:rsidRPr="008F03E5">
        <w:t>awwál</w:t>
      </w:r>
    </w:p>
    <w:p w14:paraId="30030715" w14:textId="77777777" w:rsidR="00625A5B" w:rsidRPr="008F03E5" w:rsidRDefault="00625A5B" w:rsidP="005033B0">
      <w:pPr>
        <w:pStyle w:val="Translit"/>
      </w:pPr>
      <w:r w:rsidRPr="008F03E5">
        <w:t>Saghir, Sighar, Sughara</w:t>
      </w:r>
      <w:r w:rsidRPr="008F03E5">
        <w:tab/>
        <w:t>Ṣa</w:t>
      </w:r>
      <w:r w:rsidRPr="008F03E5">
        <w:rPr>
          <w:u w:val="single"/>
        </w:rPr>
        <w:t>gh</w:t>
      </w:r>
      <w:r w:rsidRPr="008F03E5">
        <w:t>ír, pl. Ṣi</w:t>
      </w:r>
      <w:r w:rsidRPr="008F03E5">
        <w:rPr>
          <w:u w:val="single"/>
        </w:rPr>
        <w:t>gh</w:t>
      </w:r>
      <w:r w:rsidRPr="008F03E5">
        <w:t>ár, Ṣu</w:t>
      </w:r>
      <w:r w:rsidRPr="008F03E5">
        <w:rPr>
          <w:u w:val="single"/>
        </w:rPr>
        <w:t>gh</w:t>
      </w:r>
      <w:r w:rsidRPr="008F03E5">
        <w:t>ará</w:t>
      </w:r>
      <w:r w:rsidRPr="008F03E5">
        <w:tab/>
        <w:t>small, little; paltry, scanty, insignificant; tiny, minute; young, juvenile, minor; a minor, one under age</w:t>
      </w:r>
    </w:p>
    <w:p w14:paraId="7F338FC9" w14:textId="77777777" w:rsidR="00625A5B" w:rsidRPr="008F03E5" w:rsidRDefault="00625A5B" w:rsidP="00864AB1">
      <w:pPr>
        <w:pStyle w:val="Translit"/>
      </w:pPr>
      <w:r w:rsidRPr="008F03E5">
        <w:t>Sahabi, Sahaba</w:t>
      </w:r>
      <w:r w:rsidRPr="008F03E5">
        <w:tab/>
        <w:t>Ṣaḥábí, pl. Ṣaḥába</w:t>
      </w:r>
      <w:r w:rsidRPr="008F03E5">
        <w:tab/>
        <w:t>a companion of the Prophet Muḥammad; companions, disciples, scribes and family of Muḥammad.  Sing. Ṣaḥabíyy (masc.), Ṣaḥabíyyah (fem.)  See Tábi‘ún.</w:t>
      </w:r>
    </w:p>
    <w:p w14:paraId="78200615" w14:textId="77777777" w:rsidR="00625A5B" w:rsidRPr="008F03E5" w:rsidRDefault="00625A5B" w:rsidP="001F0162">
      <w:pPr>
        <w:pStyle w:val="Translit"/>
      </w:pPr>
      <w:r w:rsidRPr="008F03E5">
        <w:t>Sahar</w:t>
      </w:r>
      <w:r w:rsidRPr="008F03E5">
        <w:tab/>
        <w:t>Sahar</w:t>
      </w:r>
      <w:r w:rsidRPr="008F03E5">
        <w:tab/>
        <w:t>sleeplessness, insomnia; wakefulness, vigil; watchfulness, vigilance (over); crescent moon (“just before dawn”).  Turkish Seher.</w:t>
      </w:r>
    </w:p>
    <w:p w14:paraId="7F963B67" w14:textId="77777777" w:rsidR="00625A5B" w:rsidRDefault="00625A5B" w:rsidP="00E04E80">
      <w:pPr>
        <w:pStyle w:val="Translit"/>
        <w:rPr>
          <w:rFonts w:eastAsia="Times New Roman"/>
        </w:rPr>
      </w:pPr>
      <w:r>
        <w:rPr>
          <w:rFonts w:eastAsia="Times New Roman"/>
        </w:rPr>
        <w:t>Sahar, Ashar</w:t>
      </w:r>
      <w:r>
        <w:rPr>
          <w:rFonts w:eastAsia="Times New Roman"/>
        </w:rPr>
        <w:tab/>
        <w:t>S</w:t>
      </w:r>
      <w:r w:rsidRPr="00E04E80">
        <w:rPr>
          <w:rFonts w:eastAsia="Times New Roman"/>
        </w:rPr>
        <w:t>aḥar</w:t>
      </w:r>
      <w:r>
        <w:rPr>
          <w:rFonts w:eastAsia="Times New Roman"/>
        </w:rPr>
        <w:t xml:space="preserve">, </w:t>
      </w:r>
      <w:r w:rsidRPr="00E04E80">
        <w:rPr>
          <w:rFonts w:eastAsia="Times New Roman"/>
        </w:rPr>
        <w:t xml:space="preserve">pl. </w:t>
      </w:r>
      <w:r>
        <w:rPr>
          <w:rFonts w:eastAsia="Times New Roman"/>
        </w:rPr>
        <w:t>A</w:t>
      </w:r>
      <w:r w:rsidRPr="00E04E80">
        <w:rPr>
          <w:rFonts w:eastAsia="Times New Roman"/>
        </w:rPr>
        <w:t>sḥ</w:t>
      </w:r>
      <w:r>
        <w:rPr>
          <w:rFonts w:eastAsia="Times New Roman"/>
        </w:rPr>
        <w:t>á</w:t>
      </w:r>
      <w:r w:rsidRPr="00E04E80">
        <w:rPr>
          <w:rFonts w:eastAsia="Times New Roman"/>
        </w:rPr>
        <w:t>r</w:t>
      </w:r>
      <w:r>
        <w:rPr>
          <w:rFonts w:eastAsia="Times New Roman"/>
        </w:rPr>
        <w:tab/>
      </w:r>
      <w:r w:rsidRPr="00E04E80">
        <w:rPr>
          <w:rFonts w:eastAsia="Times New Roman"/>
        </w:rPr>
        <w:t>time before daybreak, early morning, dawn</w:t>
      </w:r>
    </w:p>
    <w:p w14:paraId="4171CE49" w14:textId="77777777" w:rsidR="00625A5B" w:rsidRPr="008F03E5" w:rsidRDefault="00625A5B" w:rsidP="00937738">
      <w:pPr>
        <w:pStyle w:val="Translit"/>
      </w:pPr>
      <w:r w:rsidRPr="008F03E5">
        <w:rPr>
          <w:rFonts w:eastAsia="Times New Roman"/>
        </w:rPr>
        <w:t>Sahba’</w:t>
      </w:r>
      <w:r w:rsidRPr="008F03E5">
        <w:rPr>
          <w:rFonts w:eastAsia="Times New Roman"/>
        </w:rPr>
        <w:tab/>
        <w:t>Ṣahbá’</w:t>
      </w:r>
      <w:r w:rsidRPr="008F03E5">
        <w:rPr>
          <w:rFonts w:eastAsia="Times New Roman"/>
        </w:rPr>
        <w:tab/>
        <w:t>reddish (she-camel); wine, or the expressed juice of white grapes; red wine.  Far</w:t>
      </w:r>
      <w:r w:rsidRPr="008F03E5">
        <w:t>í</w:t>
      </w:r>
      <w:r w:rsidRPr="008F03E5">
        <w:rPr>
          <w:rFonts w:eastAsia="Times New Roman"/>
        </w:rPr>
        <w:t xml:space="preserve">burz Ṣahbá’, Bahá’í </w:t>
      </w:r>
      <w:r w:rsidRPr="008F03E5">
        <w:t>architect</w:t>
      </w:r>
      <w:r w:rsidRPr="008F03E5">
        <w:rPr>
          <w:rFonts w:eastAsia="Times New Roman"/>
        </w:rPr>
        <w:t>.</w:t>
      </w:r>
    </w:p>
    <w:p w14:paraId="4603A7B4" w14:textId="77777777" w:rsidR="00625A5B" w:rsidRPr="008F03E5" w:rsidRDefault="00625A5B" w:rsidP="002929F9">
      <w:pPr>
        <w:pStyle w:val="Translit"/>
      </w:pPr>
      <w:r w:rsidRPr="008F03E5">
        <w:rPr>
          <w:rFonts w:eastAsia="Times New Roman"/>
        </w:rPr>
        <w:t>Sahban</w:t>
      </w:r>
      <w:r w:rsidRPr="008F03E5">
        <w:rPr>
          <w:rFonts w:eastAsia="Times New Roman"/>
        </w:rPr>
        <w:tab/>
        <w:t>Saḥbán</w:t>
      </w:r>
      <w:r w:rsidRPr="008F03E5">
        <w:rPr>
          <w:rFonts w:eastAsia="Times New Roman"/>
        </w:rPr>
        <w:tab/>
        <w:t>water left in a bottle.  Sa</w:t>
      </w:r>
      <w:r w:rsidRPr="008F03E5">
        <w:t>ḥ</w:t>
      </w:r>
      <w:r w:rsidRPr="008F03E5">
        <w:rPr>
          <w:rFonts w:eastAsia="Times New Roman"/>
        </w:rPr>
        <w:t>b</w:t>
      </w:r>
      <w:r w:rsidRPr="008F03E5">
        <w:t>á</w:t>
      </w:r>
      <w:r w:rsidRPr="008F03E5">
        <w:rPr>
          <w:rFonts w:eastAsia="Times New Roman"/>
        </w:rPr>
        <w:t>n W</w:t>
      </w:r>
      <w:r w:rsidRPr="008F03E5">
        <w:t>á’</w:t>
      </w:r>
      <w:r w:rsidRPr="008F03E5">
        <w:rPr>
          <w:rFonts w:eastAsia="Times New Roman"/>
        </w:rPr>
        <w:t>il, famed pre-Islamic poet</w:t>
      </w:r>
    </w:p>
    <w:p w14:paraId="15456E6C" w14:textId="77777777" w:rsidR="00625A5B" w:rsidRPr="008F03E5" w:rsidRDefault="00625A5B" w:rsidP="002105BB">
      <w:pPr>
        <w:pStyle w:val="Translit"/>
      </w:pPr>
      <w:r w:rsidRPr="008F03E5">
        <w:t>Sahha, Sihha (Pers. Sihhih), Sahah</w:t>
      </w:r>
      <w:r w:rsidRPr="008F03E5">
        <w:tab/>
        <w:t>Ṣaḥḥa, Ṣiḥḥa[h or t], Ṣaḥáḥ</w:t>
      </w:r>
      <w:r w:rsidRPr="008F03E5">
        <w:tab/>
        <w:t>to be healthy; to be all right, be in order; to recover,  recuperate (from); to heal (of a wound); to be sound, strong, vigorous, firm, right, correct, faultless, unimpaired, unblemished; to be firm, unshakable (resolution); to be admissible, permissible; to be true, authentic, certain, sure; to prove true, turn out to be true; to hold good</w:t>
      </w:r>
    </w:p>
    <w:p w14:paraId="23A9EA65" w14:textId="77777777" w:rsidR="00625A5B" w:rsidRPr="008F03E5" w:rsidRDefault="00625A5B" w:rsidP="00A82573">
      <w:pPr>
        <w:pStyle w:val="Translit"/>
      </w:pPr>
      <w:r w:rsidRPr="008F03E5">
        <w:rPr>
          <w:rFonts w:eastAsia="Times New Roman"/>
        </w:rPr>
        <w:t>Sahhaf</w:t>
      </w:r>
      <w:r w:rsidRPr="008F03E5">
        <w:rPr>
          <w:rFonts w:eastAsia="Times New Roman"/>
        </w:rPr>
        <w:tab/>
        <w:t>Ṣaḥḥáf</w:t>
      </w:r>
      <w:r w:rsidRPr="008F03E5">
        <w:rPr>
          <w:rFonts w:eastAsia="Times New Roman"/>
        </w:rPr>
        <w:tab/>
        <w:t>a bookseller; a book-binder; a librarian</w:t>
      </w:r>
    </w:p>
    <w:p w14:paraId="4891F145" w14:textId="77777777" w:rsidR="00625A5B" w:rsidRPr="008F03E5" w:rsidRDefault="00625A5B" w:rsidP="00C076B2">
      <w:pPr>
        <w:pStyle w:val="Translit"/>
      </w:pPr>
      <w:r w:rsidRPr="008F03E5">
        <w:t>Sahib Amr</w:t>
      </w:r>
      <w:r w:rsidRPr="008F03E5">
        <w:tab/>
        <w:t>Ṣáḥib Amr</w:t>
      </w:r>
      <w:r w:rsidRPr="008F03E5">
        <w:tab/>
        <w:t>“Master of the Cause”, i.e. Shoghi Effendi.</w:t>
      </w:r>
    </w:p>
    <w:p w14:paraId="21E1AFF9" w14:textId="77777777" w:rsidR="00625A5B" w:rsidRPr="008F03E5" w:rsidRDefault="00625A5B" w:rsidP="00DE6299">
      <w:pPr>
        <w:pStyle w:val="Translit"/>
      </w:pPr>
      <w:r w:rsidRPr="008F03E5">
        <w:t>Sahib az-Zaman, Sahibu’z-Zaman</w:t>
      </w:r>
      <w:r w:rsidRPr="008F03E5">
        <w:tab/>
        <w:t>Ṣáḥib az-Zamán, Ṣáḥibu’z-Zamán</w:t>
      </w:r>
      <w:r w:rsidRPr="008F03E5">
        <w:tab/>
        <w:t xml:space="preserve">“The Lord of the Age”.  A title of the Qá’im or twelfth Imám, the Promised One of Islamic tradition.  </w:t>
      </w:r>
      <w:r>
        <w:t>T</w:t>
      </w:r>
      <w:r w:rsidRPr="008F03E5">
        <w:t>he Báb</w:t>
      </w:r>
      <w:r>
        <w:t xml:space="preserve"> according to the Bahá’í Writings</w:t>
      </w:r>
      <w:r w:rsidRPr="008F03E5">
        <w:t>.</w:t>
      </w:r>
    </w:p>
    <w:p w14:paraId="6A289701" w14:textId="77777777" w:rsidR="00625A5B" w:rsidRDefault="00625A5B" w:rsidP="005C56DA">
      <w:pPr>
        <w:pStyle w:val="Translit"/>
      </w:pPr>
      <w:r>
        <w:t>Sahib Sunna, A</w:t>
      </w:r>
      <w:r w:rsidRPr="000F39EC">
        <w:t>hl as-</w:t>
      </w:r>
      <w:r>
        <w:t>S</w:t>
      </w:r>
      <w:r w:rsidRPr="000F39EC">
        <w:t>unna</w:t>
      </w:r>
      <w:r>
        <w:tab/>
      </w:r>
      <w:r w:rsidRPr="008F03E5">
        <w:t>Ṣáḥib</w:t>
      </w:r>
      <w:r>
        <w:t xml:space="preserve"> Sunna[h or t]</w:t>
      </w:r>
      <w:r>
        <w:tab/>
        <w:t>pl. A</w:t>
      </w:r>
      <w:r w:rsidRPr="000F39EC">
        <w:t>hl as-</w:t>
      </w:r>
      <w:r>
        <w:t>S</w:t>
      </w:r>
      <w:r w:rsidRPr="000F39EC">
        <w:t>unna</w:t>
      </w:r>
      <w:r>
        <w:t>[h or t].  A</w:t>
      </w:r>
      <w:r w:rsidRPr="000F39EC">
        <w:t xml:space="preserve">dherent to the </w:t>
      </w:r>
      <w:r>
        <w:t xml:space="preserve">Sunnah, Sunni in English.  Plural </w:t>
      </w:r>
      <w:r w:rsidRPr="008F245B">
        <w:t>adherents of Sunn</w:t>
      </w:r>
      <w:r w:rsidRPr="0018055C">
        <w:t>í</w:t>
      </w:r>
      <w:r w:rsidRPr="008F245B">
        <w:t xml:space="preserve"> Isl</w:t>
      </w:r>
      <w:r w:rsidRPr="0018055C">
        <w:t>á</w:t>
      </w:r>
      <w:r w:rsidRPr="008F245B">
        <w:t>m are referred to in Arabic as ahl as-</w:t>
      </w:r>
      <w:r>
        <w:t>s</w:t>
      </w:r>
      <w:r w:rsidRPr="008F245B">
        <w:t>unnah wa l-jamāʻah (</w:t>
      </w:r>
      <w:r>
        <w:t>“</w:t>
      </w:r>
      <w:r w:rsidRPr="008F245B">
        <w:t>the people of the Sunnah and the community</w:t>
      </w:r>
      <w:r>
        <w:t>”</w:t>
      </w:r>
      <w:r w:rsidRPr="008F245B">
        <w:t>) or ahl as-</w:t>
      </w:r>
      <w:r>
        <w:t>s</w:t>
      </w:r>
      <w:r w:rsidRPr="008F245B">
        <w:t>unnah for short</w:t>
      </w:r>
      <w:r>
        <w:t>; in English Sunnis</w:t>
      </w:r>
      <w:r w:rsidRPr="008F245B">
        <w:t>.</w:t>
      </w:r>
      <w:r>
        <w:t xml:space="preserve"> </w:t>
      </w:r>
      <w:r w:rsidRPr="008F245B">
        <w:t xml:space="preserve"> In English, doctrines and practices </w:t>
      </w:r>
      <w:r>
        <w:t>of Sunn</w:t>
      </w:r>
      <w:r w:rsidRPr="008F245B">
        <w:t>í</w:t>
      </w:r>
      <w:r>
        <w:t xml:space="preserve"> Isl</w:t>
      </w:r>
      <w:r w:rsidRPr="008F245B">
        <w:t>á</w:t>
      </w:r>
      <w:r>
        <w:t xml:space="preserve">m </w:t>
      </w:r>
      <w:r w:rsidRPr="008F245B">
        <w:t>are sometimes called Sunnism, while adherents are known as Sunni Muslims, Sunnis, Sunnites and Ahlus Sunnah.</w:t>
      </w:r>
    </w:p>
    <w:p w14:paraId="3236005E" w14:textId="77777777" w:rsidR="00625A5B" w:rsidRPr="008F03E5" w:rsidRDefault="00625A5B" w:rsidP="002B0CE1">
      <w:pPr>
        <w:pStyle w:val="Translit"/>
      </w:pPr>
      <w:r w:rsidRPr="008F03E5">
        <w:t>Sahib, Ashab, Suhab, Sahaba, Suhban</w:t>
      </w:r>
      <w:r w:rsidRPr="008F03E5">
        <w:tab/>
        <w:t>Ṣáḥib, pl. Aṣḥáb, Ṣuḥub, Ṣaḥába[h]</w:t>
      </w:r>
      <w:r w:rsidRPr="008F03E5">
        <w:tab/>
        <w:t xml:space="preserve">associate, companion, comrade, friend; </w:t>
      </w:r>
      <w:r w:rsidRPr="008F03E5">
        <w:rPr>
          <w:rFonts w:eastAsia="Times New Roman"/>
        </w:rPr>
        <w:t xml:space="preserve">(in India) a title of courtesy, equivalent to Mr and Sir; </w:t>
      </w:r>
      <w:r w:rsidRPr="008F03E5">
        <w:t>adherent, follower; the other (of two); (with following genitive) man, owner, possessor, holder, master, lord, commander, representative, author or originator of …; entrusted with; addicted or given to.  Other plurals:  ṣuḥbán, suḥba[h].</w:t>
      </w:r>
    </w:p>
    <w:p w14:paraId="5CB8EB6A" w14:textId="77777777" w:rsidR="00625A5B" w:rsidRPr="008F03E5" w:rsidRDefault="00625A5B" w:rsidP="002B0CE1">
      <w:pPr>
        <w:pStyle w:val="Translit"/>
      </w:pPr>
      <w:r w:rsidRPr="008F03E5">
        <w:t>Sahiba, Sahibat, Sawahib, Sawahibat</w:t>
      </w:r>
      <w:r w:rsidRPr="008F03E5">
        <w:tab/>
        <w:t>Ṣáḥiba, pl. Ṣáḥibát, Ṣawáḥib, Ṣawáḥibát</w:t>
      </w:r>
      <w:r w:rsidRPr="008F03E5">
        <w:tab/>
        <w:t xml:space="preserve">fem. of Ṣáḥib, woman companion, </w:t>
      </w:r>
      <w:r w:rsidRPr="008F03E5">
        <w:rPr>
          <w:rFonts w:eastAsia="Times New Roman"/>
        </w:rPr>
        <w:t>a lady; a wife,</w:t>
      </w:r>
      <w:r w:rsidRPr="008F03E5">
        <w:t xml:space="preserve"> etc.</w:t>
      </w:r>
    </w:p>
    <w:p w14:paraId="3D2C3679" w14:textId="77777777" w:rsidR="00625A5B" w:rsidRPr="008F03E5" w:rsidRDefault="00625A5B" w:rsidP="00F0160C">
      <w:pPr>
        <w:pStyle w:val="Translit"/>
      </w:pPr>
      <w:r w:rsidRPr="008F03E5">
        <w:t>Sahiba, Suhba, Sahaba, Sihaba</w:t>
      </w:r>
      <w:r w:rsidRPr="008F03E5">
        <w:tab/>
        <w:t>Ṣaḥiba, Ṣuḥba[h or t]</w:t>
      </w:r>
      <w:r w:rsidRPr="008F03E5">
        <w:tab/>
        <w:t xml:space="preserve">Ṣaḥába[h] or Ṣiḥába[h].  To be or become a companion, an associate, a comrade, a friend (of someone), make or become friends, be friends (with someone); to associate, have social intercourse (with someone); to accompany, escort (someone); to be closely associated (with someone).  </w:t>
      </w:r>
      <w:r w:rsidRPr="008F03E5">
        <w:rPr>
          <w:rFonts w:eastAsia="PMingLiU"/>
          <w:lang w:eastAsia="zh-TW"/>
        </w:rPr>
        <w:t>Mull</w:t>
      </w:r>
      <w:r w:rsidRPr="008F03E5">
        <w:t>á Muḥammad Báqir, better known as Ṣuḥbat-i-Lárí</w:t>
      </w:r>
      <w:r>
        <w:t xml:space="preserve"> </w:t>
      </w:r>
      <w:r w:rsidRPr="007B72A4">
        <w:t>(d. 1835</w:t>
      </w:r>
      <w:r>
        <w:t>–</w:t>
      </w:r>
      <w:r w:rsidRPr="007B72A4">
        <w:t>36)</w:t>
      </w:r>
      <w:r w:rsidRPr="008F03E5">
        <w:t>, Ṣúfí poet.</w:t>
      </w:r>
    </w:p>
    <w:p w14:paraId="64328830" w14:textId="77777777" w:rsidR="00625A5B" w:rsidRPr="00A22C9C" w:rsidRDefault="00625A5B" w:rsidP="00A22C9C">
      <w:pPr>
        <w:pStyle w:val="Translit"/>
      </w:pPr>
      <w:r w:rsidRPr="00A22C9C">
        <w:t>Sahib-Diwan</w:t>
      </w:r>
      <w:r w:rsidRPr="00A22C9C">
        <w:tab/>
        <w:t>Ṣ</w:t>
      </w:r>
      <w:r>
        <w:t>á</w:t>
      </w:r>
      <w:r w:rsidRPr="00A22C9C">
        <w:t>ḥib-D</w:t>
      </w:r>
      <w:r>
        <w:t>í</w:t>
      </w:r>
      <w:r w:rsidRPr="00A22C9C">
        <w:t>w</w:t>
      </w:r>
      <w:r>
        <w:t>á</w:t>
      </w:r>
      <w:r w:rsidRPr="00A22C9C">
        <w:t>n</w:t>
      </w:r>
      <w:r w:rsidRPr="00A22C9C">
        <w:tab/>
        <w:t>“Master of the Treasury” or “Minister of Finance”</w:t>
      </w:r>
    </w:p>
    <w:p w14:paraId="019F772D" w14:textId="77777777" w:rsidR="00625A5B" w:rsidRPr="008F03E5" w:rsidRDefault="00625A5B" w:rsidP="00E43DA6">
      <w:pPr>
        <w:pStyle w:val="Translit"/>
        <w:rPr>
          <w:i/>
          <w:iCs/>
        </w:rPr>
      </w:pPr>
      <w:r w:rsidRPr="008F03E5">
        <w:t>Sahib-Ikhtiyar</w:t>
      </w:r>
      <w:r w:rsidRPr="008F03E5">
        <w:tab/>
        <w:t>Ṣáḥib-I</w:t>
      </w:r>
      <w:r w:rsidRPr="008F03E5">
        <w:rPr>
          <w:u w:val="single"/>
        </w:rPr>
        <w:t>kh</w:t>
      </w:r>
      <w:r w:rsidRPr="008F03E5">
        <w:t>tiyár</w:t>
      </w:r>
      <w:r w:rsidRPr="008F03E5">
        <w:tab/>
        <w:t>possessed of free election or option; pre-eminent.  I</w:t>
      </w:r>
      <w:r w:rsidRPr="008F03E5">
        <w:rPr>
          <w:u w:val="single"/>
        </w:rPr>
        <w:t>kh</w:t>
      </w:r>
      <w:r w:rsidRPr="008F03E5">
        <w:t xml:space="preserve">tíyár used by Balyuzi and </w:t>
      </w:r>
      <w:r w:rsidRPr="008F03E5">
        <w:rPr>
          <w:i/>
          <w:iCs/>
        </w:rPr>
        <w:t>The Dawn-Breakers</w:t>
      </w:r>
    </w:p>
    <w:p w14:paraId="5DABB5BD" w14:textId="77777777" w:rsidR="00625A5B" w:rsidRPr="008F03E5" w:rsidRDefault="00625A5B" w:rsidP="00B7316F">
      <w:pPr>
        <w:pStyle w:val="Translit"/>
        <w:rPr>
          <w:rFonts w:eastAsia="PMingLiU"/>
          <w:lang w:eastAsia="zh-TW"/>
        </w:rPr>
      </w:pPr>
      <w:r w:rsidRPr="008F03E5">
        <w:t>Sahib-Qirani</w:t>
      </w:r>
      <w:r w:rsidRPr="008F03E5">
        <w:tab/>
        <w:t>Ṣáḥ</w:t>
      </w:r>
      <w:r w:rsidRPr="008F03E5">
        <w:rPr>
          <w:rFonts w:eastAsia="PMingLiU"/>
          <w:lang w:eastAsia="zh-TW"/>
        </w:rPr>
        <w:t>ib-Qir</w:t>
      </w:r>
      <w:r w:rsidRPr="008F03E5">
        <w:t>á</w:t>
      </w:r>
      <w:r w:rsidRPr="008F03E5">
        <w:rPr>
          <w:rFonts w:eastAsia="PMingLiU"/>
          <w:lang w:eastAsia="zh-TW"/>
        </w:rPr>
        <w:t>n</w:t>
      </w:r>
      <w:r w:rsidRPr="008F03E5">
        <w:t>í</w:t>
      </w:r>
      <w:r w:rsidRPr="008F03E5">
        <w:tab/>
        <w:t>Pers. h</w:t>
      </w:r>
      <w:r w:rsidRPr="008F03E5">
        <w:rPr>
          <w:rFonts w:eastAsia="PMingLiU"/>
          <w:lang w:eastAsia="zh-TW"/>
        </w:rPr>
        <w:t xml:space="preserve">eroic; royal, imperial.  </w:t>
      </w:r>
      <w:r w:rsidRPr="008F03E5">
        <w:t xml:space="preserve">Aḥmad </w:t>
      </w:r>
      <w:r w:rsidRPr="008F03E5">
        <w:rPr>
          <w:u w:val="single"/>
        </w:rPr>
        <w:t>Sh</w:t>
      </w:r>
      <w:r w:rsidRPr="008F03E5">
        <w:t>áh’s summer palace, Ṣáḥib-Qiráníyyih (</w:t>
      </w:r>
      <w:r w:rsidRPr="008F03E5">
        <w:rPr>
          <w:i/>
          <w:iCs/>
        </w:rPr>
        <w:t>Arches of the years</w:t>
      </w:r>
      <w:r w:rsidRPr="008F03E5">
        <w:t>).</w:t>
      </w:r>
    </w:p>
    <w:p w14:paraId="1F67FCF0" w14:textId="77777777" w:rsidR="00625A5B" w:rsidRPr="008F03E5" w:rsidRDefault="00625A5B" w:rsidP="005C119F">
      <w:pPr>
        <w:pStyle w:val="Translit"/>
      </w:pPr>
      <w:r w:rsidRPr="008F03E5">
        <w:t>Sahifa (Sahifih), Suhuf, Saha’if</w:t>
      </w:r>
      <w:r w:rsidRPr="008F03E5">
        <w:tab/>
        <w:t>Ṣaḥífa[t], pl. Ṣuḥuf, Ṣaḥá’if</w:t>
      </w:r>
      <w:r w:rsidRPr="008F03E5">
        <w:tab/>
        <w:t>leaf (in a book or notebook), page; newspaper, paper, daily, journal; epidermis; surface; exterior.  Pers. also Ṣaḥífih</w:t>
      </w:r>
    </w:p>
    <w:p w14:paraId="735F49FE" w14:textId="77777777" w:rsidR="00625A5B" w:rsidRPr="008F03E5" w:rsidRDefault="00625A5B" w:rsidP="00441A85">
      <w:pPr>
        <w:pStyle w:val="Translit"/>
      </w:pPr>
      <w:r w:rsidRPr="008F03E5">
        <w:t>Sahifah as-Sajjadiyah</w:t>
      </w:r>
      <w:r w:rsidRPr="008F03E5">
        <w:tab/>
        <w:t>as-Ṣaḥífah aṣ-Sajjádíyah (Pers. Sajjádiyya)</w:t>
      </w:r>
      <w:r w:rsidRPr="008F03E5">
        <w:tab/>
        <w:t>(“Scripture of Sajjád”) is a book of supplications attributed to ‘Alí ibn Ḥusayn Zayn al-‘Ábidín, the great-grandson of Muḥammad</w:t>
      </w:r>
    </w:p>
    <w:p w14:paraId="29A68811" w14:textId="77777777" w:rsidR="00625A5B" w:rsidRPr="008F03E5" w:rsidRDefault="00625A5B" w:rsidP="00441A85">
      <w:pPr>
        <w:pStyle w:val="Translit"/>
      </w:pPr>
      <w:r w:rsidRPr="008F03E5">
        <w:t>Sahifatu’l-Haramayn</w:t>
      </w:r>
      <w:r w:rsidRPr="008F03E5">
        <w:tab/>
        <w:t>Ṣaḥífatu’l-Ḥaramayn</w:t>
      </w:r>
      <w:r w:rsidRPr="008F03E5">
        <w:tab/>
        <w:t>“Epistle of the Twin Shrines” by the Báb, alternative name is Ṣaḥífa Baynu’l-Ḥaramayn</w:t>
      </w:r>
    </w:p>
    <w:p w14:paraId="74BEB223" w14:textId="77777777" w:rsidR="00625A5B" w:rsidRPr="008F03E5" w:rsidRDefault="00625A5B" w:rsidP="000C1376">
      <w:pPr>
        <w:pStyle w:val="Translit"/>
      </w:pPr>
      <w:r w:rsidRPr="008F03E5">
        <w:t>Sahifiy-i</w:t>
      </w:r>
      <w:r w:rsidRPr="008F03E5">
        <w:rPr>
          <w:rFonts w:eastAsia="PMingLiU"/>
          <w:lang w:eastAsia="zh-TW"/>
        </w:rPr>
        <w:t>-‘</w:t>
      </w:r>
      <w:r w:rsidRPr="008F03E5">
        <w:t>Adliyyih</w:t>
      </w:r>
      <w:r w:rsidRPr="008F03E5">
        <w:tab/>
        <w:t>Ṣaḥífiy-i-‘Adlíyyih</w:t>
      </w:r>
      <w:r w:rsidRPr="008F03E5">
        <w:tab/>
        <w:t>“Epistle of Justice:  Root Principles” or the “Book of Justice” by the Báb.  Also called Ṣaḥífiy-i-Uṣúl-i-‘Adlíyyih, on the fundamental or root principles of religion</w:t>
      </w:r>
    </w:p>
    <w:p w14:paraId="52C4F13C" w14:textId="77777777" w:rsidR="00625A5B" w:rsidRPr="008F03E5" w:rsidRDefault="00625A5B" w:rsidP="00B50267">
      <w:pPr>
        <w:pStyle w:val="Translit"/>
      </w:pPr>
      <w:r w:rsidRPr="008F03E5">
        <w:t>Sahifiy-i-A’mal-i-Sanih</w:t>
      </w:r>
      <w:r w:rsidRPr="008F03E5">
        <w:tab/>
        <w:t>Ṣaḥífiy-i-A‘mál-i-Sanih</w:t>
      </w:r>
      <w:r w:rsidRPr="008F03E5">
        <w:tab/>
        <w:t>“Epistle on the Devotional Deeds of the Year” by the Báb</w:t>
      </w:r>
    </w:p>
    <w:p w14:paraId="686762B0" w14:textId="77777777" w:rsidR="00625A5B" w:rsidRPr="008F03E5" w:rsidRDefault="00625A5B" w:rsidP="001A7738">
      <w:pPr>
        <w:pStyle w:val="Translit"/>
      </w:pPr>
      <w:r w:rsidRPr="008F03E5">
        <w:t>Sahifiy-i-Baynu’l-Haramayn</w:t>
      </w:r>
      <w:r w:rsidRPr="008F03E5">
        <w:tab/>
        <w:t>Ṣaḥífiy-i-Baynu’l-Ḥaramayn</w:t>
      </w:r>
      <w:r w:rsidRPr="008F03E5">
        <w:tab/>
        <w:t xml:space="preserve">“The Epistle revealed between the Twin (Two) Shrines” by the Báb.  It was composed on the road between Medina and Mecca in answer to questions posed by </w:t>
      </w:r>
      <w:bookmarkStart w:id="131" w:name="_Hlk56504845"/>
      <w:r w:rsidRPr="008F03E5">
        <w:t>Mírzá Muḥíṭ-i-Kírmání</w:t>
      </w:r>
      <w:bookmarkEnd w:id="131"/>
      <w:r w:rsidRPr="008F03E5">
        <w:t>.</w:t>
      </w:r>
    </w:p>
    <w:p w14:paraId="6141D63F" w14:textId="77777777" w:rsidR="00625A5B" w:rsidRPr="008F03E5" w:rsidRDefault="00625A5B" w:rsidP="00641BB4">
      <w:pPr>
        <w:pStyle w:val="Translit"/>
      </w:pPr>
      <w:r w:rsidRPr="008F03E5">
        <w:t>Sahifiy-i-Fatimiyyih</w:t>
      </w:r>
      <w:r w:rsidRPr="008F03E5">
        <w:tab/>
        <w:t>Ṣaḥífiy-i-Fáṭimíyyih</w:t>
      </w:r>
      <w:r w:rsidRPr="008F03E5">
        <w:tab/>
        <w:t>Book of Fatimih.  See Kalimát-i-Maknúnih and Maṣḥaf.</w:t>
      </w:r>
    </w:p>
    <w:p w14:paraId="35C526B3" w14:textId="77777777" w:rsidR="00625A5B" w:rsidRPr="008F03E5" w:rsidRDefault="00625A5B" w:rsidP="006B2AD0">
      <w:pPr>
        <w:pStyle w:val="Translit"/>
      </w:pPr>
      <w:r w:rsidRPr="008F03E5">
        <w:t>Sahifiy-i-Furu’-i</w:t>
      </w:r>
      <w:r w:rsidRPr="008F03E5">
        <w:rPr>
          <w:rFonts w:eastAsia="PMingLiU"/>
          <w:lang w:eastAsia="zh-TW"/>
        </w:rPr>
        <w:t>-‘</w:t>
      </w:r>
      <w:r w:rsidRPr="008F03E5">
        <w:t>Adliyyih</w:t>
      </w:r>
      <w:r w:rsidRPr="008F03E5">
        <w:tab/>
        <w:t>Ṣaḥífiy-i-Furú‘-i-‘Adlíyyih</w:t>
      </w:r>
      <w:r w:rsidRPr="008F03E5">
        <w:tab/>
        <w:t>“Epistle of Justice:  Branches” by the Báb</w:t>
      </w:r>
    </w:p>
    <w:p w14:paraId="676A6582" w14:textId="77777777" w:rsidR="00625A5B" w:rsidRPr="008F03E5" w:rsidRDefault="00625A5B" w:rsidP="005F535F">
      <w:pPr>
        <w:pStyle w:val="Translit"/>
      </w:pPr>
      <w:r w:rsidRPr="008F03E5">
        <w:t>Sahifiy-i-Ja’fariyyih</w:t>
      </w:r>
      <w:r w:rsidRPr="008F03E5">
        <w:tab/>
        <w:t>Ṣaḥífiy-i-Ja‘faríyyih</w:t>
      </w:r>
      <w:r w:rsidRPr="008F03E5">
        <w:tab/>
        <w:t>“Epistle to Ja‘far” by the Báb</w:t>
      </w:r>
    </w:p>
    <w:p w14:paraId="77C52D2D" w14:textId="77777777" w:rsidR="00625A5B" w:rsidRPr="008F03E5" w:rsidRDefault="00625A5B" w:rsidP="00572A22">
      <w:pPr>
        <w:pStyle w:val="Translit"/>
      </w:pPr>
      <w:r w:rsidRPr="008F03E5">
        <w:t>Sahifiy-i-Makhzumiyyih</w:t>
      </w:r>
      <w:r w:rsidRPr="008F03E5">
        <w:tab/>
        <w:t>Ṣaḥífiy-i-Ma</w:t>
      </w:r>
      <w:r w:rsidRPr="008F03E5">
        <w:rPr>
          <w:u w:val="single"/>
        </w:rPr>
        <w:t>kh</w:t>
      </w:r>
      <w:r w:rsidRPr="008F03E5">
        <w:t>zúmíyyih</w:t>
      </w:r>
      <w:r w:rsidRPr="008F03E5">
        <w:tab/>
        <w:t>by the Báb.  An interpretation of a tradition related to Abú ‘Ubayd-i-Ma</w:t>
      </w:r>
      <w:r w:rsidRPr="008F03E5">
        <w:rPr>
          <w:u w:val="single"/>
        </w:rPr>
        <w:t>kh</w:t>
      </w:r>
      <w:r w:rsidRPr="008F03E5">
        <w:t>zúmí about the disconnected letters of the Qur’án and the time of the appearance of the Qá’im.  It is also named Ma</w:t>
      </w:r>
      <w:r w:rsidRPr="008F03E5">
        <w:rPr>
          <w:u w:val="single"/>
        </w:rPr>
        <w:t>kh</w:t>
      </w:r>
      <w:r w:rsidRPr="008F03E5">
        <w:t>zúní because at its beginning the Bab has referred to it as Ma</w:t>
      </w:r>
      <w:r w:rsidRPr="008F03E5">
        <w:rPr>
          <w:u w:val="single"/>
        </w:rPr>
        <w:t>kh</w:t>
      </w:r>
      <w:r w:rsidRPr="008F03E5">
        <w:t>zúní [given as Ṣaḥífiy-i-Ma</w:t>
      </w:r>
      <w:r w:rsidRPr="008F03E5">
        <w:rPr>
          <w:u w:val="single"/>
        </w:rPr>
        <w:t>khdh</w:t>
      </w:r>
      <w:r w:rsidRPr="008F03E5">
        <w:t xml:space="preserve">úmíyyih in </w:t>
      </w:r>
      <w:r w:rsidRPr="008F03E5">
        <w:rPr>
          <w:i/>
          <w:iCs/>
        </w:rPr>
        <w:t>The Dawn-Breakers</w:t>
      </w:r>
      <w:r w:rsidRPr="008F03E5">
        <w:t>, p. 669]</w:t>
      </w:r>
    </w:p>
    <w:p w14:paraId="62630856" w14:textId="77777777" w:rsidR="00625A5B" w:rsidRPr="008F03E5" w:rsidRDefault="00625A5B" w:rsidP="00EC5DFD">
      <w:pPr>
        <w:pStyle w:val="Translit"/>
      </w:pPr>
      <w:r w:rsidRPr="008F03E5">
        <w:t>Sahifiy-i-Makhzunih</w:t>
      </w:r>
      <w:r w:rsidRPr="008F03E5">
        <w:tab/>
        <w:t>Ṣaḥífiy-i-Ma</w:t>
      </w:r>
      <w:r w:rsidRPr="008F03E5">
        <w:rPr>
          <w:u w:val="single"/>
        </w:rPr>
        <w:t>kh</w:t>
      </w:r>
      <w:r w:rsidRPr="008F03E5">
        <w:t>zúnih</w:t>
      </w:r>
      <w:r w:rsidRPr="008F03E5">
        <w:tab/>
        <w:t>“Hidden Treasured Epistle” by the Báb</w:t>
      </w:r>
    </w:p>
    <w:p w14:paraId="0C43C827" w14:textId="77777777" w:rsidR="00625A5B" w:rsidRPr="008F03E5" w:rsidRDefault="00625A5B" w:rsidP="008D73F4">
      <w:pPr>
        <w:pStyle w:val="Translit"/>
      </w:pPr>
      <w:r w:rsidRPr="008F03E5">
        <w:t>Sahifiy-i-Radaviyyih</w:t>
      </w:r>
      <w:r w:rsidRPr="008F03E5">
        <w:tab/>
        <w:t>Ṣaḥífiy-i-Raḍavíyyih</w:t>
      </w:r>
      <w:r w:rsidRPr="008F03E5">
        <w:tab/>
        <w:t>“Epistle of Riḍá’” by the Báb</w:t>
      </w:r>
    </w:p>
    <w:p w14:paraId="1F622BC7" w14:textId="77777777" w:rsidR="00625A5B" w:rsidRPr="008F03E5" w:rsidRDefault="00625A5B" w:rsidP="00082672">
      <w:pPr>
        <w:pStyle w:val="Translit"/>
      </w:pPr>
      <w:r w:rsidRPr="008F03E5">
        <w:t>Sahifiy-i-Shattiyyih</w:t>
      </w:r>
      <w:r w:rsidRPr="008F03E5">
        <w:tab/>
        <w:t>Ṣaḥífiy-i-</w:t>
      </w:r>
      <w:r w:rsidRPr="008F03E5">
        <w:rPr>
          <w:u w:val="single"/>
        </w:rPr>
        <w:t>Sh</w:t>
      </w:r>
      <w:r w:rsidRPr="008F03E5">
        <w:t>aṭṭíyyih</w:t>
      </w:r>
      <w:r w:rsidRPr="008F03E5">
        <w:tab/>
        <w:t xml:space="preserve">Pers. “Epistle of the River” by Bahá’u’lláh.  </w:t>
      </w:r>
      <w:r w:rsidRPr="008F03E5">
        <w:rPr>
          <w:lang w:eastAsia="en-US"/>
        </w:rPr>
        <w:t>Bahá’u’lláh unveils different aspects of the Word of God, which is the supreme testimony of God and conclusive demonstration of His power, and many other questions by using the analogy of a river (</w:t>
      </w:r>
      <w:r w:rsidRPr="008F03E5">
        <w:rPr>
          <w:i/>
          <w:iCs/>
          <w:u w:val="single"/>
          <w:lang w:eastAsia="en-US"/>
        </w:rPr>
        <w:t>sh</w:t>
      </w:r>
      <w:r w:rsidRPr="008F03E5">
        <w:rPr>
          <w:i/>
          <w:iCs/>
          <w:lang w:eastAsia="en-US"/>
        </w:rPr>
        <w:t>a</w:t>
      </w:r>
      <w:r w:rsidRPr="008F03E5">
        <w:rPr>
          <w:i/>
          <w:iCs/>
        </w:rPr>
        <w:t>ṭṭ</w:t>
      </w:r>
      <w:r w:rsidRPr="008F03E5">
        <w:rPr>
          <w:lang w:eastAsia="en-US"/>
        </w:rPr>
        <w:t>).  Divine revelation can be likened to a great river which inundates the land.</w:t>
      </w:r>
    </w:p>
    <w:p w14:paraId="14364032" w14:textId="77777777" w:rsidR="00625A5B" w:rsidRPr="008F03E5" w:rsidRDefault="00625A5B" w:rsidP="00F16566">
      <w:pPr>
        <w:pStyle w:val="Translit"/>
        <w:rPr>
          <w:rFonts w:eastAsia="PMingLiU"/>
          <w:lang w:eastAsia="zh-TW"/>
        </w:rPr>
      </w:pPr>
      <w:r w:rsidRPr="008F03E5">
        <w:rPr>
          <w:rFonts w:eastAsia="PMingLiU"/>
          <w:lang w:eastAsia="zh-TW"/>
        </w:rPr>
        <w:t>Sahih, Sihah, Asihha</w:t>
      </w:r>
      <w:r w:rsidRPr="008F03E5">
        <w:rPr>
          <w:rFonts w:eastAsia="PMingLiU"/>
          <w:lang w:eastAsia="zh-TW"/>
        </w:rPr>
        <w:tab/>
        <w:t>Ṣaḥíḥ, pl. Ṣiḥáḥ, Aṣiḥḥá’</w:t>
      </w:r>
      <w:r w:rsidRPr="008F03E5">
        <w:rPr>
          <w:rFonts w:eastAsia="PMingLiU"/>
          <w:lang w:eastAsia="zh-TW"/>
        </w:rPr>
        <w:tab/>
        <w:t xml:space="preserve">healthy, well, sound, healthful; complete, integral, perfect; whole, entire, undivided; right, correct, proper; true, veritable, actual, real; authentic, genuine, truthful, reliable, credible, believable; valid, legally valid, legal, lawful, rightful; strong (grammar; of a consonant, a verb).  </w:t>
      </w:r>
      <w:r w:rsidRPr="008F03E5">
        <w:rPr>
          <w:i/>
          <w:iCs/>
        </w:rPr>
        <w:t>Táj al-Lu</w:t>
      </w:r>
      <w:r w:rsidRPr="008F03E5">
        <w:rPr>
          <w:i/>
          <w:iCs/>
          <w:u w:val="single"/>
        </w:rPr>
        <w:t>gh</w:t>
      </w:r>
      <w:r w:rsidRPr="008F03E5">
        <w:rPr>
          <w:i/>
          <w:iCs/>
        </w:rPr>
        <w:t>a wa aṣ-Ṣiḥáḥ al-‘Arabíya</w:t>
      </w:r>
      <w:r w:rsidRPr="008F03E5">
        <w:t xml:space="preserve"> “The Crown of Language and the Correct Arabic” (abbreviated as </w:t>
      </w:r>
      <w:r w:rsidRPr="008F03E5">
        <w:rPr>
          <w:i/>
          <w:iCs/>
        </w:rPr>
        <w:t>aṣ-Ṣiḥáḥ fí al-Lu</w:t>
      </w:r>
      <w:r w:rsidRPr="008F03E5">
        <w:rPr>
          <w:i/>
          <w:iCs/>
          <w:u w:val="single"/>
        </w:rPr>
        <w:t>gh</w:t>
      </w:r>
      <w:r w:rsidRPr="008F03E5">
        <w:rPr>
          <w:i/>
          <w:iCs/>
        </w:rPr>
        <w:t>a</w:t>
      </w:r>
      <w:r w:rsidRPr="008F03E5">
        <w:t xml:space="preserve">, “The Correct Language”, and </w:t>
      </w:r>
      <w:r w:rsidRPr="008F03E5">
        <w:rPr>
          <w:i/>
          <w:iCs/>
        </w:rPr>
        <w:t>aṣ-Ṣiḥáḥ</w:t>
      </w:r>
      <w:r w:rsidRPr="008F03E5">
        <w:t>), a dictionary of Arabic, byAbú Naṣr Ismá‘íl ibn Ḥammád al-Jawharí.</w:t>
      </w:r>
    </w:p>
    <w:p w14:paraId="00497BE9" w14:textId="77777777" w:rsidR="00625A5B" w:rsidRPr="008F03E5" w:rsidRDefault="00625A5B" w:rsidP="00EC25FB">
      <w:pPr>
        <w:pStyle w:val="Translit"/>
      </w:pPr>
      <w:r w:rsidRPr="008F03E5">
        <w:t>Sahir</w:t>
      </w:r>
      <w:r w:rsidRPr="008F03E5">
        <w:tab/>
        <w:t>Sáhir</w:t>
      </w:r>
      <w:r w:rsidRPr="008F03E5">
        <w:tab/>
        <w:t>sleepless, awake, wakeful; watchful, vigilant; evening, night, nocturnal, nightly, taking place by night.  The s-h-r root means staying up at night, insomnia; the earth’s surface, the Earth, desert.  Of this root, only sáhira occurs in Qur’án 79:14.</w:t>
      </w:r>
    </w:p>
    <w:p w14:paraId="1E234089" w14:textId="77777777" w:rsidR="00625A5B" w:rsidRPr="008F03E5" w:rsidRDefault="00625A5B" w:rsidP="00C47D60">
      <w:pPr>
        <w:pStyle w:val="Translit"/>
      </w:pPr>
      <w:r w:rsidRPr="008F03E5">
        <w:t>Sahira (Sahirah or Sahirat)</w:t>
      </w:r>
      <w:r w:rsidRPr="008F03E5">
        <w:tab/>
        <w:t>Sáhira[h or t]</w:t>
      </w:r>
      <w:r w:rsidRPr="008F03E5">
        <w:tab/>
        <w:t>the earth, or its surface; a running fountain; an extensive desert without water; Syria; hell; a country that God will create for the day of resurrection</w:t>
      </w:r>
    </w:p>
    <w:p w14:paraId="496F85A9" w14:textId="77777777" w:rsidR="00625A5B" w:rsidRPr="008F03E5" w:rsidRDefault="00625A5B" w:rsidP="002E10A5">
      <w:pPr>
        <w:pStyle w:val="Translit"/>
      </w:pPr>
      <w:r w:rsidRPr="008F03E5">
        <w:t>Sahl, Sahil, Suhul</w:t>
      </w:r>
      <w:r w:rsidRPr="008F03E5">
        <w:tab/>
        <w:t>Sahl and Sáhil, pl. Suhúl</w:t>
      </w:r>
      <w:r w:rsidRPr="008F03E5">
        <w:tab/>
        <w:t>smooth, level, even, soft (ground); easy, facile, convenient (for someone); simple, plain; fluent, flowing, facile (style);—(pl.) level, soft ground; plain</w:t>
      </w:r>
    </w:p>
    <w:p w14:paraId="56678DF8" w14:textId="77777777" w:rsidR="00625A5B" w:rsidRPr="008F03E5" w:rsidRDefault="00625A5B" w:rsidP="00320FA5">
      <w:pPr>
        <w:pStyle w:val="Translit"/>
      </w:pPr>
      <w:r w:rsidRPr="00BC189D">
        <w:rPr>
          <w:lang w:val="de-DE"/>
        </w:rPr>
        <w:t>Sahm, Siham, Ashum, Suhum</w:t>
      </w:r>
      <w:r w:rsidRPr="00BC189D">
        <w:rPr>
          <w:lang w:val="de-DE"/>
        </w:rPr>
        <w:tab/>
        <w:t xml:space="preserve">Sahm, pl. </w:t>
      </w:r>
      <w:r w:rsidRPr="008F03E5">
        <w:t>Sihám, A</w:t>
      </w:r>
      <w:r w:rsidRPr="008F03E5">
        <w:rPr>
          <w:u w:val="single"/>
        </w:rPr>
        <w:t>sh</w:t>
      </w:r>
      <w:r w:rsidRPr="008F03E5">
        <w:t>um, Suhúm</w:t>
      </w:r>
      <w:r w:rsidRPr="008F03E5">
        <w:tab/>
        <w:t>arrow; dart;—pl. (a</w:t>
      </w:r>
      <w:r w:rsidRPr="008F03E5">
        <w:rPr>
          <w:u w:val="single"/>
        </w:rPr>
        <w:t>sh</w:t>
      </w:r>
      <w:r w:rsidRPr="008F03E5">
        <w:t>um) portion, share, lot; share (of stock).  as-Sahm (24.172222, 56.888611) is a coastal town in northeastern Oman.</w:t>
      </w:r>
    </w:p>
    <w:p w14:paraId="5DBE3A4F" w14:textId="77777777" w:rsidR="00625A5B" w:rsidRPr="008F03E5" w:rsidRDefault="00625A5B" w:rsidP="00396466">
      <w:pPr>
        <w:pStyle w:val="Translit"/>
      </w:pPr>
      <w:r w:rsidRPr="00077779">
        <w:t>Sahn, Suhun, Ashina</w:t>
      </w:r>
      <w:r w:rsidRPr="00077779">
        <w:tab/>
        <w:t xml:space="preserve">Ṣaḥn, pl. </w:t>
      </w:r>
      <w:r w:rsidRPr="008F03E5">
        <w:t>Ṣuḥún, Aṣḥina</w:t>
      </w:r>
      <w:r w:rsidRPr="008F03E5">
        <w:tab/>
        <w:t>a bowl, dish; plate; dish, meal, food; yard, courtyard; surface, plane; disk;—(pl. aṣḥina) phonograph record</w:t>
      </w:r>
    </w:p>
    <w:p w14:paraId="65CFD305" w14:textId="77777777" w:rsidR="00625A5B" w:rsidRPr="008F03E5" w:rsidRDefault="00625A5B" w:rsidP="00C33551">
      <w:pPr>
        <w:pStyle w:val="Translit"/>
      </w:pPr>
      <w:r w:rsidRPr="008F03E5">
        <w:t xml:space="preserve">Sahna, </w:t>
      </w:r>
      <w:r>
        <w:t>(</w:t>
      </w:r>
      <w:r w:rsidRPr="008F03E5">
        <w:t>Sahnih</w:t>
      </w:r>
      <w:r>
        <w:t>,</w:t>
      </w:r>
      <w:r w:rsidRPr="008F03E5">
        <w:t xml:space="preserve"> Sahneh)</w:t>
      </w:r>
      <w:r w:rsidRPr="008F03E5">
        <w:tab/>
        <w:t>Ṣaḥna, Pers. Ṣaḥnih</w:t>
      </w:r>
      <w:r w:rsidRPr="008F03E5">
        <w:tab/>
        <w:t>Pers. a city (34.480369, 47.690936) in and the capital of Ṣaḥn</w:t>
      </w:r>
      <w:r>
        <w:t>a</w:t>
      </w:r>
      <w:r w:rsidRPr="008F03E5">
        <w:t xml:space="preserve"> County, Kermanshah Province, Iran.  60 km </w:t>
      </w:r>
      <w:r w:rsidRPr="008F03E5">
        <w:rPr>
          <w:sz w:val="16"/>
          <w:szCs w:val="16"/>
        </w:rPr>
        <w:t>SE</w:t>
      </w:r>
      <w:r w:rsidRPr="008F03E5">
        <w:t xml:space="preserve"> Kermanshah and 83 km </w:t>
      </w:r>
      <w:r w:rsidRPr="008F03E5">
        <w:rPr>
          <w:sz w:val="16"/>
          <w:szCs w:val="16"/>
        </w:rPr>
        <w:t>SW</w:t>
      </w:r>
      <w:r w:rsidRPr="008F03E5">
        <w:t xml:space="preserve"> Hamadan.</w:t>
      </w:r>
    </w:p>
    <w:p w14:paraId="70DF5D5A" w14:textId="77777777" w:rsidR="00625A5B" w:rsidRPr="008F03E5" w:rsidRDefault="00625A5B" w:rsidP="005B4248">
      <w:pPr>
        <w:pStyle w:val="Translit"/>
      </w:pPr>
      <w:r w:rsidRPr="008F03E5">
        <w:t>Sahra’, Saharin, Sahara, Sahrawat</w:t>
      </w:r>
      <w:r w:rsidRPr="008F03E5">
        <w:tab/>
        <w:t>Ṣaḥrá’, pl. Ṣaḥárin, Ṣaḥárá, Ṣaḥrawát</w:t>
      </w:r>
      <w:r w:rsidRPr="008F03E5">
        <w:tab/>
        <w:t>desert, stepp.  aṣ-Ṣaḥrá’ Sahara.  Ṣaḥrá’ an-Nafúd is a desert in the northern part of the Arabian Peninsula</w:t>
      </w:r>
    </w:p>
    <w:p w14:paraId="440D2D2C" w14:textId="77777777" w:rsidR="00625A5B" w:rsidRPr="008F03E5" w:rsidRDefault="00625A5B" w:rsidP="00797031">
      <w:pPr>
        <w:pStyle w:val="Translit"/>
      </w:pPr>
      <w:r w:rsidRPr="008F03E5">
        <w:t>Sahw (Sahv)</w:t>
      </w:r>
      <w:r w:rsidRPr="008F03E5">
        <w:tab/>
        <w:t>Ṣaḥw</w:t>
      </w:r>
      <w:r w:rsidRPr="008F03E5">
        <w:tab/>
        <w:t>cloudlessness, brightness serenity (of the weather); clarity, alertness of the mind, consciousness; bright, serene, cloudless, sunny (weather)</w:t>
      </w:r>
    </w:p>
    <w:p w14:paraId="488AC4FB" w14:textId="77777777" w:rsidR="00625A5B" w:rsidRPr="008F03E5" w:rsidRDefault="00625A5B" w:rsidP="00AB478E">
      <w:pPr>
        <w:pStyle w:val="Translit"/>
      </w:pPr>
      <w:r w:rsidRPr="008F03E5">
        <w:t>Sahw, Suhuw</w:t>
      </w:r>
      <w:r w:rsidRPr="008F03E5">
        <w:tab/>
        <w:t>Ṣaḥw, Ṣuḥuw</w:t>
      </w:r>
      <w:r w:rsidRPr="008F03E5">
        <w:tab/>
        <w:t xml:space="preserve">to regain consciousness, come to; to recover (from intoxication), sober up; to wake up, awake (from sleep); to become alert (to something), become aware (of something); Form </w:t>
      </w:r>
      <w:r w:rsidRPr="008F03E5">
        <w:rPr>
          <w:sz w:val="16"/>
          <w:szCs w:val="16"/>
        </w:rPr>
        <w:t>II</w:t>
      </w:r>
      <w:r w:rsidRPr="008F03E5">
        <w:t xml:space="preserve"> to wake up, awaken, rouse (someone); Form </w:t>
      </w:r>
      <w:r w:rsidRPr="008F03E5">
        <w:rPr>
          <w:sz w:val="16"/>
          <w:szCs w:val="16"/>
        </w:rPr>
        <w:t>IV</w:t>
      </w:r>
      <w:r w:rsidRPr="008F03E5">
        <w:t xml:space="preserve"> to be or become clear, bright, cloudless, serene (day, sky); to wake up, awaken, rouse (someone).  Contrast with maḥw</w:t>
      </w:r>
    </w:p>
    <w:p w14:paraId="0EB39C6A" w14:textId="77777777" w:rsidR="00625A5B" w:rsidRPr="008F03E5" w:rsidRDefault="00625A5B" w:rsidP="00B243EB">
      <w:pPr>
        <w:pStyle w:val="Translit"/>
      </w:pPr>
      <w:r w:rsidRPr="008F03E5">
        <w:t>Sahyun (Sahioun) or Sihyawn (Sihyaun)</w:t>
      </w:r>
      <w:r w:rsidRPr="008F03E5">
        <w:tab/>
        <w:t>Ṣahyún or Ṣihyawn</w:t>
      </w:r>
      <w:r w:rsidRPr="008F03E5">
        <w:tab/>
        <w:t>Zion</w:t>
      </w:r>
    </w:p>
    <w:p w14:paraId="1B845013" w14:textId="77777777" w:rsidR="00625A5B" w:rsidRPr="008F03E5" w:rsidRDefault="00625A5B" w:rsidP="00F27C50">
      <w:pPr>
        <w:pStyle w:val="Translit"/>
      </w:pPr>
      <w:r w:rsidRPr="008F03E5">
        <w:rPr>
          <w:rFonts w:eastAsia="Times New Roman"/>
        </w:rPr>
        <w:t>Saj’, Asja’</w:t>
      </w:r>
      <w:r w:rsidRPr="008F03E5">
        <w:rPr>
          <w:rFonts w:eastAsia="Times New Roman"/>
        </w:rPr>
        <w:tab/>
        <w:t>Saj‘, pl. Asja‘</w:t>
      </w:r>
      <w:r w:rsidRPr="008F03E5">
        <w:rPr>
          <w:rFonts w:eastAsia="Times New Roman"/>
        </w:rPr>
        <w:tab/>
        <w:t>speaking rhythmically; cooing (of a dove); crying (of a she-camel); rhymed prose; rhyme, metre, cadence, poetry</w:t>
      </w:r>
      <w:r w:rsidRPr="008F03E5">
        <w:t>.  Saj‘ has strong features of rhymed and metred verse, but it is not poetry.  Rather, it is formalized and very stylized poetic prose.  Called saj‘ because of its evenness or monotony, or from a fancied resemblance between its rhythm and the cooing of a dove.</w:t>
      </w:r>
    </w:p>
    <w:p w14:paraId="3E0099E8" w14:textId="77777777" w:rsidR="00625A5B" w:rsidRPr="008F03E5" w:rsidRDefault="00625A5B" w:rsidP="00782200">
      <w:pPr>
        <w:pStyle w:val="Translit"/>
      </w:pPr>
      <w:r w:rsidRPr="008F03E5">
        <w:t>Saj’a</w:t>
      </w:r>
      <w:r w:rsidRPr="008F03E5">
        <w:tab/>
        <w:t>Saj‘a[h]</w:t>
      </w:r>
      <w:r w:rsidRPr="008F03E5">
        <w:tab/>
        <w:t>a passage of rhymed prose</w:t>
      </w:r>
    </w:p>
    <w:p w14:paraId="381D2B2E" w14:textId="77777777" w:rsidR="00625A5B" w:rsidRPr="008F03E5" w:rsidRDefault="00625A5B" w:rsidP="0037389A">
      <w:pPr>
        <w:pStyle w:val="Translit"/>
      </w:pPr>
      <w:r w:rsidRPr="008F03E5">
        <w:t>Sajah</w:t>
      </w:r>
      <w:r w:rsidRPr="008F03E5">
        <w:tab/>
        <w:t>Sajáḥ</w:t>
      </w:r>
      <w:r w:rsidRPr="008F03E5">
        <w:tab/>
        <w:t>Sajáḥ bint al-Ḥári</w:t>
      </w:r>
      <w:r w:rsidRPr="008F03E5">
        <w:rPr>
          <w:u w:val="single"/>
        </w:rPr>
        <w:t>th</w:t>
      </w:r>
      <w:r w:rsidRPr="008F03E5">
        <w:t xml:space="preserve"> ibn Suwayd, Arab Christian and soothsayer, declared she was a prophetess after learning that Musaylimah (whom she later married) and Ṭulayḥa ibn </w:t>
      </w:r>
      <w:r w:rsidRPr="008F03E5">
        <w:rPr>
          <w:u w:val="single"/>
        </w:rPr>
        <w:t>Kh</w:t>
      </w:r>
      <w:r w:rsidRPr="008F03E5">
        <w:t>uwaylid ibn Nawfal al-Asadí (631) had declared prophethood.  After the Battle of Yamáma where Musaylimah was killed, Sajáḥ converted to Islám.</w:t>
      </w:r>
    </w:p>
    <w:p w14:paraId="520E4BA4" w14:textId="77777777" w:rsidR="00625A5B" w:rsidRPr="008F03E5" w:rsidRDefault="00625A5B" w:rsidP="0037389A">
      <w:pPr>
        <w:pStyle w:val="Translit"/>
      </w:pPr>
      <w:r w:rsidRPr="008F03E5">
        <w:t>Sajda, Sajadat</w:t>
      </w:r>
      <w:r w:rsidRPr="008F03E5">
        <w:tab/>
        <w:t>Sajda[h or t], pl. Sajadát</w:t>
      </w:r>
      <w:r w:rsidRPr="008F03E5">
        <w:tab/>
        <w:t>prostration in prayer</w:t>
      </w:r>
    </w:p>
    <w:p w14:paraId="0978BACF" w14:textId="77777777" w:rsidR="00625A5B" w:rsidRPr="008F03E5" w:rsidRDefault="00625A5B" w:rsidP="00037EDA">
      <w:pPr>
        <w:pStyle w:val="Translit"/>
      </w:pPr>
      <w:r w:rsidRPr="008F03E5">
        <w:t>Sajid, Sujjad, Sujud</w:t>
      </w:r>
      <w:r w:rsidRPr="008F03E5">
        <w:tab/>
        <w:t>Sájid, pl. Sujjad, Sujúd</w:t>
      </w:r>
      <w:r w:rsidRPr="008F03E5">
        <w:tab/>
        <w:t>prostrate in adoration, worshiping</w:t>
      </w:r>
    </w:p>
    <w:p w14:paraId="77A33DB6" w14:textId="77777777" w:rsidR="00625A5B" w:rsidRPr="008F03E5" w:rsidRDefault="00625A5B" w:rsidP="00B55B98">
      <w:pPr>
        <w:pStyle w:val="Translit"/>
      </w:pPr>
      <w:r w:rsidRPr="008F03E5">
        <w:t>Sajin (Sajjin), Sujana’, Sajna</w:t>
      </w:r>
      <w:r w:rsidRPr="008F03E5">
        <w:tab/>
        <w:t>Sajín, pl. Sujaná’, Sajná</w:t>
      </w:r>
      <w:r w:rsidRPr="008F03E5">
        <w:tab/>
        <w:t>imprisoned, jailed, captive; prisoner, prison inmate, convict</w:t>
      </w:r>
    </w:p>
    <w:p w14:paraId="4C8356E4" w14:textId="77777777" w:rsidR="00625A5B" w:rsidRPr="008F03E5" w:rsidRDefault="00625A5B" w:rsidP="004303B8">
      <w:pPr>
        <w:pStyle w:val="Translit"/>
      </w:pPr>
      <w:r w:rsidRPr="008F03E5">
        <w:t>Sajjad, Sajjadun</w:t>
      </w:r>
      <w:r w:rsidRPr="008F03E5">
        <w:tab/>
        <w:t>Sajjád, pl. Sajjádún</w:t>
      </w:r>
      <w:r w:rsidRPr="008F03E5">
        <w:tab/>
      </w:r>
      <w:r w:rsidRPr="008F03E5">
        <w:rPr>
          <w:rFonts w:eastAsia="Times New Roman"/>
        </w:rPr>
        <w:t xml:space="preserve">one who bows in adoration, </w:t>
      </w:r>
      <w:r w:rsidRPr="008F03E5">
        <w:t>worshiper (of God)</w:t>
      </w:r>
    </w:p>
    <w:p w14:paraId="65A958B2" w14:textId="77777777" w:rsidR="00625A5B" w:rsidRPr="008F03E5" w:rsidRDefault="00625A5B" w:rsidP="00041868">
      <w:pPr>
        <w:pStyle w:val="Translit"/>
      </w:pPr>
      <w:bookmarkStart w:id="132" w:name="_Hlk60758611"/>
      <w:r w:rsidRPr="008F03E5">
        <w:t>Sajur</w:t>
      </w:r>
      <w:r w:rsidRPr="008F03E5">
        <w:tab/>
        <w:t>Sájúr</w:t>
      </w:r>
      <w:r w:rsidRPr="008F03E5">
        <w:tab/>
        <w:t>a Druze town 26 km east of ‘Akká and 14 km west of Safed.  The area for sájúr stone used for the Bahá’í terraces.</w:t>
      </w:r>
    </w:p>
    <w:bookmarkEnd w:id="132"/>
    <w:p w14:paraId="2CBC85C6" w14:textId="77777777" w:rsidR="00625A5B" w:rsidRPr="008F03E5" w:rsidRDefault="00625A5B" w:rsidP="00F96FDA">
      <w:pPr>
        <w:pStyle w:val="Translit"/>
      </w:pPr>
      <w:r w:rsidRPr="008F03E5">
        <w:t>Sakhira, Sakhar, Sakhr, Sukhur, Sukhr</w:t>
      </w:r>
      <w:r w:rsidRPr="008F03E5">
        <w:tab/>
        <w:t>Sa</w:t>
      </w:r>
      <w:r w:rsidRPr="008F03E5">
        <w:rPr>
          <w:u w:val="single"/>
        </w:rPr>
        <w:t>kh</w:t>
      </w:r>
      <w:r w:rsidRPr="008F03E5">
        <w:t>ira</w:t>
      </w:r>
      <w:r w:rsidRPr="008F03E5">
        <w:tab/>
        <w:t>(also Sa</w:t>
      </w:r>
      <w:r w:rsidRPr="008F03E5">
        <w:rPr>
          <w:u w:val="single"/>
        </w:rPr>
        <w:t>kh</w:t>
      </w:r>
      <w:r w:rsidRPr="008F03E5">
        <w:t>ar, Sa</w:t>
      </w:r>
      <w:r w:rsidRPr="008F03E5">
        <w:rPr>
          <w:u w:val="single"/>
        </w:rPr>
        <w:t>kh</w:t>
      </w:r>
      <w:r w:rsidRPr="008F03E5">
        <w:t>r, Su</w:t>
      </w:r>
      <w:r w:rsidRPr="008F03E5">
        <w:rPr>
          <w:u w:val="single"/>
        </w:rPr>
        <w:t>kh</w:t>
      </w:r>
      <w:r w:rsidRPr="008F03E5">
        <w:t>ur, Su</w:t>
      </w:r>
      <w:r w:rsidRPr="008F03E5">
        <w:rPr>
          <w:u w:val="single"/>
        </w:rPr>
        <w:t>kh</w:t>
      </w:r>
      <w:r w:rsidRPr="008F03E5">
        <w:t>r, Su</w:t>
      </w:r>
      <w:r w:rsidRPr="008F03E5">
        <w:rPr>
          <w:u w:val="single"/>
        </w:rPr>
        <w:t>kh</w:t>
      </w:r>
      <w:r w:rsidRPr="008F03E5">
        <w:t>ra, Mas</w:t>
      </w:r>
      <w:r w:rsidRPr="008F03E5">
        <w:rPr>
          <w:u w:val="single"/>
        </w:rPr>
        <w:t>kh</w:t>
      </w:r>
      <w:r w:rsidRPr="008F03E5">
        <w:t>ar) to laugh, scoff, jeer, sneer (at), mock, ridicule, deride (someone or something), make fun (of)</w:t>
      </w:r>
    </w:p>
    <w:p w14:paraId="5764BFFD" w14:textId="77777777" w:rsidR="00625A5B" w:rsidRPr="008F03E5" w:rsidRDefault="00625A5B" w:rsidP="005B0E64">
      <w:pPr>
        <w:pStyle w:val="Translit"/>
      </w:pPr>
      <w:r w:rsidRPr="008F03E5">
        <w:t>Sakhkha</w:t>
      </w:r>
      <w:r w:rsidRPr="008F03E5">
        <w:tab/>
        <w:t>Ṣa</w:t>
      </w:r>
      <w:r w:rsidRPr="008F03E5">
        <w:rPr>
          <w:u w:val="single"/>
        </w:rPr>
        <w:t>khkh</w:t>
      </w:r>
      <w:r w:rsidRPr="008F03E5">
        <w:t>a[h or t]</w:t>
      </w:r>
      <w:r w:rsidRPr="008F03E5">
        <w:tab/>
        <w:t>that which deafens by its vehemence; to pierce; calamity of the Resurrection.  Found in Qur’án 80:33.  From the root ṣ-</w:t>
      </w:r>
      <w:r w:rsidRPr="008F03E5">
        <w:rPr>
          <w:u w:val="single"/>
        </w:rPr>
        <w:t>kh</w:t>
      </w:r>
      <w:r w:rsidRPr="008F03E5">
        <w:t>-</w:t>
      </w:r>
      <w:r w:rsidRPr="008F03E5">
        <w:rPr>
          <w:u w:val="single"/>
        </w:rPr>
        <w:t>kh</w:t>
      </w:r>
      <w:r w:rsidRPr="008F03E5">
        <w:t xml:space="preserve"> deafening sound, a cry that deafens by its vehemence; to pierce; calamity.</w:t>
      </w:r>
    </w:p>
    <w:p w14:paraId="4F263C8D" w14:textId="77777777" w:rsidR="00625A5B" w:rsidRPr="008F03E5" w:rsidRDefault="00625A5B" w:rsidP="00CF0E96">
      <w:pPr>
        <w:pStyle w:val="Translit"/>
      </w:pPr>
      <w:r w:rsidRPr="008F03E5">
        <w:t>Sakhr, Sukhur, Sukhura, Sakharat</w:t>
      </w:r>
      <w:r w:rsidRPr="008F03E5">
        <w:tab/>
        <w:t>Ṣa</w:t>
      </w:r>
      <w:r w:rsidRPr="008F03E5">
        <w:rPr>
          <w:u w:val="single"/>
        </w:rPr>
        <w:t>kh</w:t>
      </w:r>
      <w:r w:rsidRPr="008F03E5">
        <w:t>r (collective; nomen unitatis)</w:t>
      </w:r>
      <w:r w:rsidRPr="008F03E5">
        <w:tab/>
        <w:t>(pl. Ṣu</w:t>
      </w:r>
      <w:r w:rsidRPr="008F03E5">
        <w:rPr>
          <w:u w:val="single"/>
        </w:rPr>
        <w:t>kh</w:t>
      </w:r>
      <w:r w:rsidRPr="008F03E5">
        <w:t>úr, Ṣu</w:t>
      </w:r>
      <w:r w:rsidRPr="008F03E5">
        <w:rPr>
          <w:u w:val="single"/>
        </w:rPr>
        <w:t>kh</w:t>
      </w:r>
      <w:r w:rsidRPr="008F03E5">
        <w:t>úra, Ṣa</w:t>
      </w:r>
      <w:r w:rsidRPr="008F03E5">
        <w:rPr>
          <w:u w:val="single"/>
        </w:rPr>
        <w:t>kh</w:t>
      </w:r>
      <w:r w:rsidRPr="008F03E5">
        <w:t>arát) rocks, solid rock, boulders, rock formations</w:t>
      </w:r>
    </w:p>
    <w:p w14:paraId="08EDDFCB" w14:textId="77777777" w:rsidR="00625A5B" w:rsidRPr="008F03E5" w:rsidRDefault="00625A5B" w:rsidP="00E449BD">
      <w:pPr>
        <w:pStyle w:val="Translit"/>
      </w:pPr>
      <w:r w:rsidRPr="008F03E5">
        <w:t>Sakhra</w:t>
      </w:r>
      <w:r w:rsidRPr="008F03E5">
        <w:tab/>
        <w:t>Ṣa</w:t>
      </w:r>
      <w:r w:rsidRPr="008F03E5">
        <w:rPr>
          <w:u w:val="single"/>
        </w:rPr>
        <w:t>kh</w:t>
      </w:r>
      <w:r w:rsidRPr="008F03E5">
        <w:t>ra[h]</w:t>
      </w:r>
      <w:r w:rsidRPr="008F03E5">
        <w:tab/>
        <w:t>boulder, rock.  Qubbat aṣ-Ṣa</w:t>
      </w:r>
      <w:r w:rsidRPr="008F03E5">
        <w:rPr>
          <w:u w:val="single"/>
        </w:rPr>
        <w:t>kh</w:t>
      </w:r>
      <w:r w:rsidRPr="008F03E5">
        <w:t>rah, the Dome of the Rock, the Mosque of Omar (in Jerusalem)—also called al-Aqṣá, “The Rock”</w:t>
      </w:r>
    </w:p>
    <w:p w14:paraId="28AF17CF" w14:textId="77777777" w:rsidR="00625A5B" w:rsidRPr="008F03E5" w:rsidRDefault="00625A5B" w:rsidP="000B1202">
      <w:pPr>
        <w:pStyle w:val="Translit"/>
      </w:pPr>
      <w:r w:rsidRPr="008F03E5">
        <w:rPr>
          <w:rFonts w:eastAsia="Times New Roman"/>
        </w:rPr>
        <w:t>Sakht, Sakhta</w:t>
      </w:r>
      <w:r w:rsidRPr="008F03E5">
        <w:rPr>
          <w:rFonts w:eastAsia="Times New Roman"/>
        </w:rPr>
        <w:tab/>
        <w:t>Sá</w:t>
      </w:r>
      <w:r w:rsidRPr="008F03E5">
        <w:rPr>
          <w:rFonts w:eastAsia="Times New Roman"/>
          <w:u w:val="single"/>
        </w:rPr>
        <w:t>kh</w:t>
      </w:r>
      <w:r w:rsidRPr="008F03E5">
        <w:rPr>
          <w:rFonts w:eastAsia="Times New Roman"/>
        </w:rPr>
        <w:t>t, fem. S</w:t>
      </w:r>
      <w:r w:rsidRPr="008F03E5">
        <w:t>á</w:t>
      </w:r>
      <w:r w:rsidRPr="008F03E5">
        <w:rPr>
          <w:rFonts w:eastAsia="Times New Roman"/>
          <w:u w:val="single"/>
        </w:rPr>
        <w:t>kh</w:t>
      </w:r>
      <w:r w:rsidRPr="008F03E5">
        <w:rPr>
          <w:rFonts w:eastAsia="Times New Roman"/>
        </w:rPr>
        <w:t>ta[h or t]</w:t>
      </w:r>
      <w:r w:rsidRPr="008F03E5">
        <w:rPr>
          <w:rFonts w:eastAsia="Times New Roman"/>
        </w:rPr>
        <w:tab/>
        <w:t>Pers. make, construction, fabric, manufacture; furniture, apparatus, gear</w:t>
      </w:r>
    </w:p>
    <w:p w14:paraId="6031285B" w14:textId="77777777" w:rsidR="00625A5B" w:rsidRDefault="00625A5B" w:rsidP="001058BA">
      <w:pPr>
        <w:pStyle w:val="Translit"/>
        <w:rPr>
          <w:rFonts w:eastAsia="Times New Roman"/>
        </w:rPr>
      </w:pPr>
      <w:r>
        <w:rPr>
          <w:rFonts w:eastAsia="Times New Roman"/>
        </w:rPr>
        <w:t>Sakhtan</w:t>
      </w:r>
      <w:r>
        <w:rPr>
          <w:rFonts w:eastAsia="Times New Roman"/>
        </w:rPr>
        <w:tab/>
        <w:t>S</w:t>
      </w:r>
      <w:r w:rsidRPr="001058BA">
        <w:rPr>
          <w:rFonts w:eastAsia="Times New Roman"/>
        </w:rPr>
        <w:t>á</w:t>
      </w:r>
      <w:r w:rsidRPr="001058BA">
        <w:rPr>
          <w:rFonts w:eastAsia="Times New Roman"/>
          <w:u w:val="single"/>
        </w:rPr>
        <w:t>kh</w:t>
      </w:r>
      <w:r w:rsidRPr="001058BA">
        <w:rPr>
          <w:rFonts w:eastAsia="Times New Roman"/>
        </w:rPr>
        <w:t>tan</w:t>
      </w:r>
      <w:r>
        <w:rPr>
          <w:rFonts w:eastAsia="Times New Roman"/>
        </w:rPr>
        <w:tab/>
        <w:t>Pers. t</w:t>
      </w:r>
      <w:r w:rsidRPr="00AF4D34">
        <w:rPr>
          <w:rFonts w:eastAsia="Times New Roman"/>
        </w:rPr>
        <w:t>o make, form, fashion, prepare, perform, build, construct, manufacture; to invent; to feign, counterfeit; to compose; to adapt, adjust, polish, furbish; to be content to do, to manage (with); to suit, to agree with</w:t>
      </w:r>
    </w:p>
    <w:p w14:paraId="58E601D3" w14:textId="77777777" w:rsidR="00625A5B" w:rsidRPr="008F03E5" w:rsidRDefault="00625A5B" w:rsidP="003653D1">
      <w:pPr>
        <w:pStyle w:val="Translit"/>
      </w:pPr>
      <w:r w:rsidRPr="008F03E5">
        <w:t>Sakh</w:t>
      </w:r>
      <w:r>
        <w:t>w</w:t>
      </w:r>
      <w:r w:rsidRPr="008F03E5">
        <w:t>id (</w:t>
      </w:r>
      <w:r>
        <w:t xml:space="preserve">Sakhvid, </w:t>
      </w:r>
      <w:r w:rsidRPr="008F03E5">
        <w:t>Sakhoid)</w:t>
      </w:r>
      <w:r w:rsidRPr="008F03E5">
        <w:tab/>
        <w:t>Sa</w:t>
      </w:r>
      <w:r w:rsidRPr="008F03E5">
        <w:rPr>
          <w:u w:val="single"/>
        </w:rPr>
        <w:t>kh</w:t>
      </w:r>
      <w:r>
        <w:t>w</w:t>
      </w:r>
      <w:r w:rsidRPr="008F03E5">
        <w:t>íd</w:t>
      </w:r>
      <w:r w:rsidRPr="008F03E5">
        <w:tab/>
        <w:t xml:space="preserve">small village and rural district (31.506288, 54.067142) 50 km </w:t>
      </w:r>
      <w:r w:rsidRPr="008F03E5">
        <w:rPr>
          <w:sz w:val="16"/>
          <w:szCs w:val="16"/>
        </w:rPr>
        <w:t>SW</w:t>
      </w:r>
      <w:r w:rsidRPr="008F03E5">
        <w:t xml:space="preserve"> of Yazd, Iran</w:t>
      </w:r>
    </w:p>
    <w:p w14:paraId="0AE0E288" w14:textId="77777777" w:rsidR="00625A5B" w:rsidRPr="008F03E5" w:rsidRDefault="00625A5B" w:rsidP="00AB2522">
      <w:pPr>
        <w:pStyle w:val="Translit"/>
      </w:pPr>
      <w:r w:rsidRPr="008F03E5">
        <w:t>Sakin, Sakinun, Sakana, Sawakin</w:t>
      </w:r>
      <w:r w:rsidRPr="008F03E5">
        <w:tab/>
        <w:t>Sákin, pl. Sákinún, Sakana, f. Sawákin</w:t>
      </w:r>
      <w:r w:rsidRPr="008F03E5">
        <w:tab/>
        <w:t>calm, motionless, still; vowelless (medial consonant); stagnant, standing (water); (pl. sukkán, sakana) dweller, inhabitant, resident, occupant; the population.  Persian plural sákinán (“sakinan”—inhabitants)</w:t>
      </w:r>
    </w:p>
    <w:p w14:paraId="705F3DF1" w14:textId="77777777" w:rsidR="00625A5B" w:rsidRPr="008F03E5" w:rsidRDefault="00625A5B" w:rsidP="00AD5233">
      <w:pPr>
        <w:pStyle w:val="Translit"/>
      </w:pPr>
      <w:r w:rsidRPr="008F03E5">
        <w:t>Sakina, (Sakinih), Sak’in</w:t>
      </w:r>
      <w:r w:rsidRPr="008F03E5">
        <w:tab/>
        <w:t>Sakína[h or t], Pers. Sakínih, pl. Saká’in</w:t>
      </w:r>
      <w:r w:rsidRPr="008F03E5">
        <w:tab/>
        <w:t>immanence of God, presence of God; devout, God-inspired peace of mind; calm, tranquillity, peace.  One of the half-sisters (“tranquil”) of Bahá’u’lláh.  From Hebrew Shechinah (“calmness”).</w:t>
      </w:r>
    </w:p>
    <w:p w14:paraId="10D82BC8" w14:textId="77777777" w:rsidR="00625A5B" w:rsidRPr="008F03E5" w:rsidRDefault="00625A5B" w:rsidP="000378D1">
      <w:pPr>
        <w:pStyle w:val="Translit"/>
      </w:pPr>
      <w:r w:rsidRPr="008F03E5">
        <w:t>Sal’ (Sela), Sulu’</w:t>
      </w:r>
      <w:r w:rsidRPr="008F03E5">
        <w:tab/>
        <w:t>Sal‘, pl. Sulú‘</w:t>
      </w:r>
      <w:r w:rsidRPr="008F03E5">
        <w:tab/>
        <w:t xml:space="preserve">crack, fissure, rift (from the root sala‘).  Jabal Sal‘ is a rocky outcrop on the </w:t>
      </w:r>
      <w:r w:rsidRPr="008F03E5">
        <w:rPr>
          <w:sz w:val="16"/>
          <w:szCs w:val="16"/>
        </w:rPr>
        <w:t>NW</w:t>
      </w:r>
      <w:r w:rsidRPr="008F03E5">
        <w:t xml:space="preserve"> side of central Medina.  Also known as “Jabal Sala‘”.  The highest point (24.47672, 39.59870) is 100 m.  Outcrop name based on appearing to be sliced several times.  Muḥammad prayed to God for victory here during the Battle of the Trench.</w:t>
      </w:r>
    </w:p>
    <w:p w14:paraId="50145A6B" w14:textId="77777777" w:rsidR="00625A5B" w:rsidRPr="008F03E5" w:rsidRDefault="00625A5B" w:rsidP="0040177A">
      <w:pPr>
        <w:pStyle w:val="Translit"/>
      </w:pPr>
      <w:r w:rsidRPr="005C19E1">
        <w:rPr>
          <w:lang w:val="it-IT"/>
        </w:rPr>
        <w:t>Sala (Salah, Salat), Salawat</w:t>
      </w:r>
      <w:r w:rsidRPr="005C19E1">
        <w:rPr>
          <w:lang w:val="it-IT"/>
        </w:rPr>
        <w:tab/>
        <w:t xml:space="preserve">Ṣalá[h], pl. </w:t>
      </w:r>
      <w:r w:rsidRPr="008F03E5">
        <w:t>Ṣalawát</w:t>
      </w:r>
      <w:r w:rsidRPr="008F03E5">
        <w:tab/>
      </w:r>
      <w:r>
        <w:t xml:space="preserve">(convention, </w:t>
      </w:r>
      <w:r w:rsidRPr="008F03E5">
        <w:t>ṣaláh</w:t>
      </w:r>
      <w:r>
        <w:t xml:space="preserve">, but is pronounced </w:t>
      </w:r>
      <w:r w:rsidRPr="002D5FDC">
        <w:t>ṣ</w:t>
      </w:r>
      <w:r>
        <w:t>al</w:t>
      </w:r>
      <w:r w:rsidRPr="002D5FDC">
        <w:t>á</w:t>
      </w:r>
      <w:r>
        <w:t xml:space="preserve">t when in combination with a word starting with a vowel, e.g. al-) English </w:t>
      </w:r>
      <w:r w:rsidRPr="008F03E5">
        <w:t>salat, the official Islamic prayer ritual; intercession, intercessory prayer, benediction; blessing, grace (of God)</w:t>
      </w:r>
    </w:p>
    <w:p w14:paraId="37DD8EA4" w14:textId="77777777" w:rsidR="00625A5B" w:rsidRPr="008F03E5" w:rsidRDefault="00625A5B" w:rsidP="00891F24">
      <w:pPr>
        <w:pStyle w:val="Translit"/>
      </w:pPr>
      <w:r w:rsidRPr="008F03E5">
        <w:t>Sala, Salawat</w:t>
      </w:r>
      <w:r w:rsidRPr="008F03E5">
        <w:tab/>
        <w:t>Ṣalá[h or t], pl. Ṣalawát</w:t>
      </w:r>
      <w:r w:rsidRPr="008F03E5">
        <w:tab/>
        <w:t>the official Islamic prayer ritual; intercession, intercessory prayer, benediction; blessing, grace (of God).  Term used for prayers revealed by Bahá’u’lláh.  Includes the five daily obligatory prayers:  fajr (“dawn”); ẓuhr (“midday”); ‘aṣr (“time”, “epoch” or “afternoon”, i.e. afternoon prayer; also Qur’án 2:238 Ṣalát al-Wusṭá); ma</w:t>
      </w:r>
      <w:r w:rsidRPr="008F03E5">
        <w:rPr>
          <w:u w:val="single"/>
        </w:rPr>
        <w:t>gh</w:t>
      </w:r>
      <w:r w:rsidRPr="008F03E5">
        <w:t>rib (just after sunset); ‘I</w:t>
      </w:r>
      <w:r w:rsidRPr="008F03E5">
        <w:rPr>
          <w:u w:val="single"/>
        </w:rPr>
        <w:t>sh</w:t>
      </w:r>
      <w:r w:rsidRPr="008F03E5">
        <w:t>á’ (“evening”).  Ṣalawát also means a special Arabic salutation upon the prophet of Islam.  The salutation is usually expressed by Muslims in their five daily prayers, and when the name of Muhammad is mentioned.  Pers. namáz is similar in meaning.</w:t>
      </w:r>
    </w:p>
    <w:p w14:paraId="49B60644" w14:textId="77777777" w:rsidR="00625A5B" w:rsidRPr="008F03E5" w:rsidRDefault="00625A5B" w:rsidP="00635680">
      <w:pPr>
        <w:pStyle w:val="Translit"/>
      </w:pPr>
      <w:r w:rsidRPr="008F03E5">
        <w:t>Salaf, Aslaf, Sulaf</w:t>
      </w:r>
      <w:r w:rsidRPr="008F03E5">
        <w:tab/>
        <w:t>Salaf, pl. Asláf, Suláf</w:t>
      </w:r>
      <w:r w:rsidRPr="008F03E5">
        <w:tab/>
        <w:t>predecessors; forebears, ancestors, forefathers.  as-salaf aṣ-ṣáliḥ “the pious predecessors” understood to be the first three generations of Mulims.</w:t>
      </w:r>
    </w:p>
    <w:p w14:paraId="671B2CA0" w14:textId="77777777" w:rsidR="00625A5B" w:rsidRPr="008F03E5" w:rsidRDefault="00625A5B" w:rsidP="00635680">
      <w:pPr>
        <w:pStyle w:val="Translit"/>
      </w:pPr>
      <w:r w:rsidRPr="008F03E5">
        <w:t>Salafiya, Salafiyat</w:t>
      </w:r>
      <w:r w:rsidRPr="008F03E5">
        <w:tab/>
        <w:t>Salafíya[h], pl. Salafíyát</w:t>
      </w:r>
      <w:r w:rsidRPr="008F03E5">
        <w:tab/>
        <w:t>free loan; (cash) advance.  as-Salafíya is an Islamic reform movement in Egypt, founded by Muḥammad ‘Abduh.  Known as Salafi or Salafist movement, also Salafism.  As a rule, all Wahhabis are Salafis but not all Salafis are Wahhabis.  See wahhábí</w:t>
      </w:r>
    </w:p>
    <w:p w14:paraId="188BF2BC" w14:textId="77777777" w:rsidR="00625A5B" w:rsidRPr="008F03E5" w:rsidRDefault="00625A5B" w:rsidP="00D464C3">
      <w:pPr>
        <w:pStyle w:val="Translit"/>
      </w:pPr>
      <w:r w:rsidRPr="008F03E5">
        <w:t xml:space="preserve">Salah ad-Din, Salahi’d-Din, </w:t>
      </w:r>
      <w:r w:rsidRPr="008F03E5">
        <w:rPr>
          <w:rFonts w:eastAsia="PMingLiU"/>
          <w:lang w:eastAsia="zh-TW"/>
        </w:rPr>
        <w:t>Salahu’d-Din</w:t>
      </w:r>
      <w:r w:rsidRPr="008F03E5">
        <w:tab/>
        <w:t>Ṣaláḥ ad-Dín, Ṣaláḥi’d-Dín, Ṣ</w:t>
      </w:r>
      <w:r w:rsidRPr="008F03E5">
        <w:rPr>
          <w:rFonts w:eastAsia="PMingLiU"/>
          <w:lang w:eastAsia="zh-TW"/>
        </w:rPr>
        <w:t>alá</w:t>
      </w:r>
      <w:r w:rsidRPr="008F03E5">
        <w:t>ḥ</w:t>
      </w:r>
      <w:r w:rsidRPr="008F03E5">
        <w:rPr>
          <w:rFonts w:eastAsia="PMingLiU"/>
          <w:lang w:eastAsia="zh-TW"/>
        </w:rPr>
        <w:t>u’d-Dín</w:t>
      </w:r>
      <w:r w:rsidRPr="008F03E5">
        <w:tab/>
        <w:t xml:space="preserve">“Righteousness of the Faith”.  Ṣaláḥ ad-Dín Yúsuf ibn Ayyúb ibn </w:t>
      </w:r>
      <w:r w:rsidRPr="008F03E5">
        <w:rPr>
          <w:u w:val="single"/>
        </w:rPr>
        <w:t>Sh</w:t>
      </w:r>
      <w:r w:rsidRPr="008F03E5">
        <w:t>á</w:t>
      </w:r>
      <w:r w:rsidRPr="008F03E5">
        <w:rPr>
          <w:u w:val="single"/>
        </w:rPr>
        <w:t>dh</w:t>
      </w:r>
      <w:r w:rsidRPr="008F03E5">
        <w:t>í (1137–1193), known in the West by the epithet as Saladin, was the first sultan of Egypt and Syria and the founder of the Ayyubid dynasty (al-Ayyúbíyún).  Pers. Ṣaláḥí’d-Dín-i-Ayyúbí.</w:t>
      </w:r>
    </w:p>
    <w:p w14:paraId="4BEBCC65" w14:textId="77777777" w:rsidR="00625A5B" w:rsidRPr="008F03E5" w:rsidRDefault="00625A5B" w:rsidP="00846F55">
      <w:pPr>
        <w:pStyle w:val="Translit"/>
      </w:pPr>
      <w:r w:rsidRPr="008F03E5">
        <w:t>Salah</w:t>
      </w:r>
      <w:r w:rsidRPr="008F03E5">
        <w:tab/>
        <w:t>Ṣaláḥ</w:t>
      </w:r>
      <w:r w:rsidRPr="008F03E5">
        <w:tab/>
        <w:t>goodness, properness, rightness; usability, practicability, usefulness; righteousness, probity, piety, godliness.  Ṣaláḥ Jaráh (1918–1989), a caretaker at Bahjí.</w:t>
      </w:r>
    </w:p>
    <w:p w14:paraId="300D1E14" w14:textId="77777777" w:rsidR="00625A5B" w:rsidRPr="008F03E5" w:rsidRDefault="00625A5B" w:rsidP="002D5FDC">
      <w:pPr>
        <w:pStyle w:val="Translit"/>
      </w:pPr>
      <w:r w:rsidRPr="008F03E5">
        <w:t>Salaha</w:t>
      </w:r>
      <w:r w:rsidRPr="008F03E5">
        <w:tab/>
        <w:t>Ṣalaḥa</w:t>
      </w:r>
      <w:r w:rsidRPr="008F03E5">
        <w:tab/>
        <w:t>ṣalaḥa (ṣaláḥ, ṣulúḥ, maṣlaḥa) and ṣaluḥa (ṣaláḥ, ṣaláḥíya).  to be good, right, proper, in order, righteous, pious, godly; to be well, thrive; to be usable, useful, practicable, serviceable, fitting, suitable, or appropriate (for), etc.</w:t>
      </w:r>
    </w:p>
    <w:p w14:paraId="0247A183" w14:textId="77777777" w:rsidR="00625A5B" w:rsidRPr="008F03E5" w:rsidRDefault="00625A5B" w:rsidP="00501C2C">
      <w:pPr>
        <w:pStyle w:val="Translit"/>
      </w:pPr>
      <w:r w:rsidRPr="008F03E5">
        <w:t>Salahiya (Salahiyyih), Salahiyat</w:t>
      </w:r>
      <w:r w:rsidRPr="008F03E5">
        <w:tab/>
        <w:t>Ṣaláḥíya[h], pl. Ṣaláḥíyát</w:t>
      </w:r>
      <w:r w:rsidRPr="008F03E5">
        <w:tab/>
        <w:t>suitability, fitness, appropriateness, aptness; efficiency; usability, practicability, usefulness, use, worth; serviceability, proper or working condition (e.g., of a machine); competence; validity, applicability;—pl. full or mandatory power, power of attorney.  Bahá’u’lláh passed here on His journey to Istanbul (possibly Kifrí).  Pers. also Ṣaláḥiyyih.</w:t>
      </w:r>
    </w:p>
    <w:p w14:paraId="110BD391" w14:textId="77777777" w:rsidR="00625A5B" w:rsidRPr="008F03E5" w:rsidRDefault="00625A5B" w:rsidP="003519DA">
      <w:pPr>
        <w:pStyle w:val="Translit"/>
      </w:pPr>
      <w:r w:rsidRPr="008F03E5">
        <w:t>Salajiqa, as-Salaji</w:t>
      </w:r>
      <w:r w:rsidRPr="008F03E5">
        <w:tab/>
        <w:t>as-Salájiqa[h or t], pl. as-Salájí[h]</w:t>
      </w:r>
      <w:r w:rsidRPr="008F03E5">
        <w:tab/>
        <w:t>the Seljuk</w:t>
      </w:r>
    </w:p>
    <w:p w14:paraId="0DC02544" w14:textId="77777777" w:rsidR="00625A5B" w:rsidRPr="008F03E5" w:rsidRDefault="00625A5B" w:rsidP="00AB3D8A">
      <w:pPr>
        <w:pStyle w:val="Translit"/>
      </w:pPr>
      <w:r w:rsidRPr="008F03E5">
        <w:t>Salak</w:t>
      </w:r>
      <w:r w:rsidRPr="008F03E5">
        <w:tab/>
        <w:t>Sálak</w:t>
      </w:r>
      <w:r w:rsidRPr="008F03E5">
        <w:tab/>
        <w:t>Aleppo boil</w:t>
      </w:r>
      <w:r>
        <w:rPr>
          <w:lang w:val="en-IN"/>
        </w:rPr>
        <w:t xml:space="preserve"> (</w:t>
      </w:r>
      <w:r w:rsidRPr="004D6C34">
        <w:t>qarḥa</w:t>
      </w:r>
      <w:r w:rsidRPr="004D6C34">
        <w:rPr>
          <w:rFonts w:hint="cs"/>
          <w:rtl/>
        </w:rPr>
        <w:t xml:space="preserve"> </w:t>
      </w:r>
      <w:r w:rsidRPr="004D6C34">
        <w:t>ḥalab</w:t>
      </w:r>
      <w:r>
        <w:rPr>
          <w:lang w:val="en-IN"/>
        </w:rPr>
        <w:t>)</w:t>
      </w:r>
      <w:r w:rsidRPr="008F03E5">
        <w:t xml:space="preserve">, </w:t>
      </w:r>
      <w:r w:rsidRPr="00673DD3">
        <w:t>a skin disease caused by the bite of a sandfly infected with the Leishmania parasite resulting in a red bump that eventually turns into an ulcer.  The ulcer can take months to heal and can leave a permanent scar.</w:t>
      </w:r>
    </w:p>
    <w:p w14:paraId="1F62660A" w14:textId="77777777" w:rsidR="00625A5B" w:rsidRPr="008F03E5" w:rsidRDefault="00625A5B" w:rsidP="00E2378C">
      <w:pPr>
        <w:pStyle w:val="Translit"/>
      </w:pPr>
      <w:r w:rsidRPr="008F03E5">
        <w:t>Salaka, Salk, Suluk</w:t>
      </w:r>
      <w:r w:rsidRPr="008F03E5">
        <w:tab/>
        <w:t>Salaka (Salk, Sulúk)</w:t>
      </w:r>
      <w:r w:rsidRPr="008F03E5">
        <w:tab/>
        <w:t>to follow (a road), travel (along a road); to take (a road), enter upon a course or road (figatively); to behave, comport oneself (toward someone); to proceed, act; to set foot (on), enter (a place).  Can be understood in the sense of a “spiritual journey”.  See sulúk for a second meaning of the word.</w:t>
      </w:r>
    </w:p>
    <w:p w14:paraId="1CF15A49" w14:textId="77777777" w:rsidR="00625A5B" w:rsidRPr="008F03E5" w:rsidRDefault="00625A5B" w:rsidP="00DF3A3D">
      <w:pPr>
        <w:pStyle w:val="Translit"/>
      </w:pPr>
      <w:r w:rsidRPr="008F03E5">
        <w:t>Salam, Salamat</w:t>
      </w:r>
      <w:r w:rsidRPr="008F03E5">
        <w:tab/>
        <w:t>Salám, pl. Salámát</w:t>
      </w:r>
      <w:r w:rsidRPr="008F03E5">
        <w:tab/>
        <w:t>soundness, unimpairedness, intactness, well-being; peace, peacefulness; safety, security;—pl. greeting, salutation; salute; military salute; national anthem.  as-salámu ‘alaykum (“‘alikum”):  Peace be (with you); salutation; obeisance, homage; health, security; submission, resignation (in the will of God); professing Islám; conceding, granting; acknowledging; assenting to, accepting.  Typical response is wa ‘alaykumu as-salám “and peace be upon you, too”.  The complete phrase is as-salámu ‘alaykum wa raḥmatu’lláhi wa barakátuh “Peace be upon you, as well as the mercy of God and his blessings.”</w:t>
      </w:r>
    </w:p>
    <w:p w14:paraId="72217563" w14:textId="77777777" w:rsidR="00625A5B" w:rsidRPr="008F03E5" w:rsidRDefault="00625A5B" w:rsidP="002444B7">
      <w:pPr>
        <w:pStyle w:val="Translit"/>
      </w:pPr>
      <w:r w:rsidRPr="002444B7">
        <w:rPr>
          <w:lang w:val="fr-FR"/>
        </w:rPr>
        <w:t>Salama, Salamih (Salameh, Salamah)</w:t>
      </w:r>
      <w:r w:rsidRPr="002444B7">
        <w:rPr>
          <w:lang w:val="fr-FR"/>
        </w:rPr>
        <w:tab/>
        <w:t xml:space="preserve">Saláma[h or t] (fem.), Pers. </w:t>
      </w:r>
      <w:r w:rsidRPr="008F03E5">
        <w:t>Salámih</w:t>
      </w:r>
      <w:r w:rsidRPr="008F03E5">
        <w:tab/>
      </w:r>
      <w:r>
        <w:t>(fem. of s</w:t>
      </w:r>
      <w:r w:rsidRPr="008F03E5">
        <w:t>alám</w:t>
      </w:r>
      <w:r>
        <w:t xml:space="preserve">) </w:t>
      </w:r>
      <w:r w:rsidRPr="008F03E5">
        <w:t>blamelessness, flawlessness; unimpaired state, soundness, integrity, intactness; well-being, welfare; safety, security; smooth progress; success.  Also means submission, see root salima.</w:t>
      </w:r>
    </w:p>
    <w:p w14:paraId="08A15320" w14:textId="77777777" w:rsidR="00625A5B" w:rsidRPr="008F03E5" w:rsidRDefault="00625A5B" w:rsidP="00327BD5">
      <w:pPr>
        <w:pStyle w:val="Translit"/>
      </w:pPr>
      <w:r w:rsidRPr="008F03E5">
        <w:t>Salar</w:t>
      </w:r>
      <w:r w:rsidRPr="008F03E5">
        <w:tab/>
        <w:t>Sálár</w:t>
      </w:r>
      <w:r w:rsidRPr="008F03E5">
        <w:tab/>
        <w:t xml:space="preserve">Pers. old, aged; a prince, chieftain, leader, general, commander, vice-regent, viceroy, lord-lieutenant, judge, or any person in high office.  Not salár as in some instances in </w:t>
      </w:r>
      <w:r w:rsidRPr="008F03E5">
        <w:rPr>
          <w:i/>
          <w:iCs/>
        </w:rPr>
        <w:t>The Dawn-Breakers</w:t>
      </w:r>
    </w:p>
    <w:p w14:paraId="2FFEA55A" w14:textId="77777777" w:rsidR="00625A5B" w:rsidRPr="008F03E5" w:rsidRDefault="00625A5B" w:rsidP="00AC55A9">
      <w:pPr>
        <w:pStyle w:val="Translit"/>
      </w:pPr>
      <w:r w:rsidRPr="008F03E5">
        <w:rPr>
          <w:lang w:eastAsia="en-US"/>
        </w:rPr>
        <w:t>Salaru’d-Dawl</w:t>
      </w:r>
      <w:r>
        <w:rPr>
          <w:lang w:eastAsia="en-US"/>
        </w:rPr>
        <w:t>a</w:t>
      </w:r>
      <w:r w:rsidRPr="008F03E5">
        <w:rPr>
          <w:lang w:eastAsia="en-US"/>
        </w:rPr>
        <w:tab/>
        <w:t>Sáláru’d-Dawl</w:t>
      </w:r>
      <w:r>
        <w:rPr>
          <w:lang w:eastAsia="en-US"/>
        </w:rPr>
        <w:t>a (</w:t>
      </w:r>
      <w:r w:rsidRPr="008F03E5">
        <w:rPr>
          <w:lang w:eastAsia="en-US"/>
        </w:rPr>
        <w:t>Sáláru’d-Dawlih</w:t>
      </w:r>
      <w:r>
        <w:rPr>
          <w:lang w:eastAsia="en-US"/>
        </w:rPr>
        <w:t>)</w:t>
      </w:r>
      <w:r w:rsidRPr="008F03E5">
        <w:rPr>
          <w:lang w:eastAsia="en-US"/>
        </w:rPr>
        <w:tab/>
      </w:r>
      <w:r>
        <w:rPr>
          <w:lang w:eastAsia="en-US"/>
        </w:rPr>
        <w:t xml:space="preserve">“leader of the state”, </w:t>
      </w:r>
      <w:r w:rsidRPr="008F03E5">
        <w:rPr>
          <w:lang w:eastAsia="en-US"/>
        </w:rPr>
        <w:t>a Governor of Kirmán</w:t>
      </w:r>
      <w:r w:rsidRPr="008F03E5">
        <w:rPr>
          <w:u w:val="single"/>
          <w:lang w:eastAsia="en-US"/>
        </w:rPr>
        <w:t>sh</w:t>
      </w:r>
      <w:r w:rsidRPr="008F03E5">
        <w:rPr>
          <w:lang w:eastAsia="en-US"/>
        </w:rPr>
        <w:t>áh</w:t>
      </w:r>
    </w:p>
    <w:p w14:paraId="571A4669" w14:textId="77777777" w:rsidR="00625A5B" w:rsidRPr="008F03E5" w:rsidRDefault="00625A5B" w:rsidP="00CF40CE">
      <w:pPr>
        <w:pStyle w:val="Translit"/>
      </w:pPr>
      <w:r w:rsidRPr="00077779">
        <w:rPr>
          <w:lang w:eastAsia="en-US"/>
        </w:rPr>
        <w:t>Salat al-Jinaza, Salat-i-Jinaza</w:t>
      </w:r>
      <w:r w:rsidRPr="00077779">
        <w:rPr>
          <w:lang w:eastAsia="en-US"/>
        </w:rPr>
        <w:tab/>
        <w:t>Ṣalát al-Jin</w:t>
      </w:r>
      <w:r w:rsidRPr="00077779">
        <w:t>á</w:t>
      </w:r>
      <w:r w:rsidRPr="00077779">
        <w:rPr>
          <w:lang w:eastAsia="en-US"/>
        </w:rPr>
        <w:t xml:space="preserve">za, Pers. </w:t>
      </w:r>
      <w:r w:rsidRPr="008F03E5">
        <w:rPr>
          <w:lang w:eastAsia="en-US"/>
        </w:rPr>
        <w:t>Ṣalát-i-Jin</w:t>
      </w:r>
      <w:r w:rsidRPr="008F03E5">
        <w:t>á</w:t>
      </w:r>
      <w:r w:rsidRPr="008F03E5">
        <w:rPr>
          <w:lang w:eastAsia="en-US"/>
        </w:rPr>
        <w:t>za</w:t>
      </w:r>
      <w:r w:rsidRPr="008F03E5">
        <w:rPr>
          <w:lang w:eastAsia="en-US"/>
        </w:rPr>
        <w:tab/>
        <w:t>Prayer for the dead</w:t>
      </w:r>
    </w:p>
    <w:p w14:paraId="260C0662" w14:textId="77777777" w:rsidR="00625A5B" w:rsidRPr="008F03E5" w:rsidRDefault="00625A5B" w:rsidP="00900A82">
      <w:pPr>
        <w:pStyle w:val="Translit"/>
      </w:pPr>
      <w:r w:rsidRPr="008F03E5">
        <w:rPr>
          <w:lang w:eastAsia="en-US"/>
        </w:rPr>
        <w:t>Salat-i-Jama’ah</w:t>
      </w:r>
      <w:r w:rsidRPr="008F03E5">
        <w:rPr>
          <w:lang w:eastAsia="en-US"/>
        </w:rPr>
        <w:tab/>
        <w:t>Ṣalát-i-Jam</w:t>
      </w:r>
      <w:r w:rsidRPr="008F03E5">
        <w:t>á</w:t>
      </w:r>
      <w:r w:rsidRPr="008F03E5">
        <w:rPr>
          <w:lang w:eastAsia="en-US"/>
        </w:rPr>
        <w:t>‘ah</w:t>
      </w:r>
      <w:r w:rsidRPr="008F03E5">
        <w:rPr>
          <w:lang w:eastAsia="en-US"/>
        </w:rPr>
        <w:tab/>
        <w:t>congregational prayer</w:t>
      </w:r>
    </w:p>
    <w:p w14:paraId="365DA815" w14:textId="77777777" w:rsidR="00625A5B" w:rsidRPr="008F03E5" w:rsidRDefault="00625A5B" w:rsidP="00900A82">
      <w:pPr>
        <w:pStyle w:val="Translit"/>
      </w:pPr>
      <w:r w:rsidRPr="008F03E5">
        <w:t>Salat-i-Mayyit</w:t>
      </w:r>
      <w:r w:rsidRPr="008F03E5">
        <w:tab/>
        <w:t>Ṣalát-i-Mayyit</w:t>
      </w:r>
      <w:r w:rsidRPr="008F03E5">
        <w:tab/>
        <w:t>“Prayer for the Dead” by Bahá’u’lláh</w:t>
      </w:r>
    </w:p>
    <w:p w14:paraId="4205F63C" w14:textId="77777777" w:rsidR="00625A5B" w:rsidRPr="008F03E5" w:rsidRDefault="00625A5B" w:rsidP="00494225">
      <w:pPr>
        <w:pStyle w:val="Translit"/>
      </w:pPr>
      <w:r w:rsidRPr="008F03E5">
        <w:t>Sali’a, Sala’</w:t>
      </w:r>
      <w:r w:rsidRPr="008F03E5">
        <w:tab/>
        <w:t>Sali‘a (Sala‘)</w:t>
      </w:r>
      <w:r w:rsidRPr="008F03E5">
        <w:tab/>
        <w:t xml:space="preserve">to crack, become cracked; Form </w:t>
      </w:r>
      <w:r w:rsidRPr="008F03E5">
        <w:rPr>
          <w:sz w:val="16"/>
          <w:szCs w:val="16"/>
        </w:rPr>
        <w:t>VII</w:t>
      </w:r>
      <w:r w:rsidRPr="008F03E5">
        <w:t xml:space="preserve"> to split, break open, burst</w:t>
      </w:r>
    </w:p>
    <w:p w14:paraId="79C43602" w14:textId="77777777" w:rsidR="00625A5B" w:rsidRPr="008F03E5" w:rsidRDefault="00625A5B" w:rsidP="00055D8C">
      <w:pPr>
        <w:pStyle w:val="Translit"/>
      </w:pPr>
      <w:r w:rsidRPr="008F03E5">
        <w:t>Salih, Saliha, Salihat, Salihin, Sawalih</w:t>
      </w:r>
      <w:r w:rsidRPr="008F03E5">
        <w:tab/>
        <w:t>Ṣáliḥ, fem. Ṣáliḥa[h or t]</w:t>
      </w:r>
      <w:r w:rsidRPr="008F03E5">
        <w:tab/>
        <w:t xml:space="preserve">(pl. fem. Ṣáliḥát, pl. Ṣáliḥín, Ṣawáliḥ) good, right, proper, sound; thorough, substantial, downright, out-and-out, solid; virtuous, pious, devout, godly; usable, useful, practicable, serviceable, fitting, suitable, appropriate (for); fem. </w:t>
      </w:r>
      <w:r w:rsidRPr="008F03E5">
        <w:rPr>
          <w:rFonts w:eastAsia="Times New Roman"/>
        </w:rPr>
        <w:t xml:space="preserve">virtuous, chaste;—pl. </w:t>
      </w:r>
      <w:r w:rsidRPr="008F03E5">
        <w:t>Ṣáliḥín</w:t>
      </w:r>
      <w:r w:rsidRPr="008F03E5">
        <w:rPr>
          <w:rFonts w:eastAsia="Times New Roman"/>
        </w:rPr>
        <w:t xml:space="preserve"> the righteous, the pious; good men</w:t>
      </w:r>
      <w:r w:rsidRPr="008F03E5">
        <w:t xml:space="preserve">;—pl. Ṣawáliḥ advantage, benefit, interest, good, welfare.  “Righteous”—Prophet of God Who appeared before Abraham and sent to the tribe of </w:t>
      </w:r>
      <w:r w:rsidRPr="008F03E5">
        <w:rPr>
          <w:u w:val="single"/>
        </w:rPr>
        <w:t>Th</w:t>
      </w:r>
      <w:r w:rsidRPr="008F03E5">
        <w:t>amúd in Arabia.  Contrast with Ṭáliḥ.</w:t>
      </w:r>
    </w:p>
    <w:p w14:paraId="7758DF3D" w14:textId="77777777" w:rsidR="00625A5B" w:rsidRPr="008F03E5" w:rsidRDefault="00625A5B" w:rsidP="00111F4F">
      <w:pPr>
        <w:pStyle w:val="Translit"/>
      </w:pPr>
      <w:r w:rsidRPr="008F03E5">
        <w:t>Salih-i-Baraqani</w:t>
      </w:r>
      <w:r w:rsidRPr="008F03E5">
        <w:tab/>
        <w:t>Ṣáliḥ-i-Baraqání</w:t>
      </w:r>
      <w:r w:rsidRPr="008F03E5">
        <w:tab/>
        <w:t>Ḥájí Mullá Ṣáliḥ-i-Baraqání, father of Ṭáhirih</w:t>
      </w:r>
    </w:p>
    <w:p w14:paraId="27791262" w14:textId="77777777" w:rsidR="00625A5B" w:rsidRPr="008F03E5" w:rsidRDefault="00625A5B" w:rsidP="006C0C8C">
      <w:pPr>
        <w:pStyle w:val="Translit"/>
      </w:pPr>
      <w:r w:rsidRPr="008F03E5">
        <w:t>Salik, Salikat</w:t>
      </w:r>
      <w:r w:rsidRPr="008F03E5">
        <w:tab/>
        <w:t>Sálik, pl. Sálikát</w:t>
      </w:r>
      <w:r w:rsidRPr="008F03E5">
        <w:tab/>
        <w:t>traveller; a devotee; a disciple.  Also passable, practicable (road); entered upon (course); clear, open, not blocked, not obstructed (also anatomy);—(pl.) one who follows the spiritual path (especially mystical)</w:t>
      </w:r>
    </w:p>
    <w:p w14:paraId="6AC310BE" w14:textId="77777777" w:rsidR="00625A5B" w:rsidRPr="008F03E5" w:rsidRDefault="00625A5B" w:rsidP="00E67E1C">
      <w:pPr>
        <w:pStyle w:val="Translit"/>
      </w:pPr>
      <w:r w:rsidRPr="008F03E5">
        <w:t>Salim</w:t>
      </w:r>
      <w:r w:rsidRPr="008F03E5">
        <w:tab/>
        <w:t>Sálim</w:t>
      </w:r>
      <w:r w:rsidRPr="008F03E5">
        <w:tab/>
        <w:t>meaning, see Salím.  Masc. name.</w:t>
      </w:r>
    </w:p>
    <w:p w14:paraId="58662C61" w14:textId="77777777" w:rsidR="00625A5B" w:rsidRPr="008F03E5" w:rsidRDefault="00625A5B" w:rsidP="005A544F">
      <w:pPr>
        <w:pStyle w:val="Translit"/>
      </w:pPr>
      <w:r w:rsidRPr="008F03E5">
        <w:t>Salim, Sulama</w:t>
      </w:r>
      <w:r w:rsidRPr="008F03E5">
        <w:tab/>
        <w:t>Salím, pl. Sulamá</w:t>
      </w:r>
      <w:r w:rsidRPr="008F03E5">
        <w:tab/>
        <w:t xml:space="preserve">safe, secure; free (from); unimpaired, undamaged, unhurt, sound, intact, complete, perfect, whole, integral; faultless, flawless; well; safe and sound; safe; healthy; sane; (euphemistically) seriously injured or damaged, on the verge of ruin.  Masc. name.  Ottoman sulṭán, Salím </w:t>
      </w:r>
      <w:r w:rsidRPr="008F03E5">
        <w:rPr>
          <w:sz w:val="16"/>
          <w:szCs w:val="16"/>
        </w:rPr>
        <w:t>I</w:t>
      </w:r>
      <w:r w:rsidRPr="008F03E5">
        <w:t>.</w:t>
      </w:r>
    </w:p>
    <w:p w14:paraId="62C15988" w14:textId="77777777" w:rsidR="00625A5B" w:rsidRPr="008F03E5" w:rsidRDefault="00625A5B" w:rsidP="00F863ED">
      <w:pPr>
        <w:pStyle w:val="Translit"/>
      </w:pPr>
      <w:r w:rsidRPr="008F03E5">
        <w:t>Salima</w:t>
      </w:r>
      <w:r w:rsidRPr="008F03E5">
        <w:tab/>
        <w:t>Salima (see derivatives Saláma, Salám)</w:t>
      </w:r>
      <w:r w:rsidRPr="008F03E5">
        <w:tab/>
        <w:t xml:space="preserve">to be safe and sound, unharmed, unimpaired, intact, safe, secure; to be unobjectionable, blameless faultless; to be certain, established, clearly proven (fact); to be free (from); to escape (danger).  Form </w:t>
      </w:r>
      <w:r w:rsidRPr="008F03E5">
        <w:rPr>
          <w:sz w:val="16"/>
          <w:szCs w:val="16"/>
        </w:rPr>
        <w:t>II</w:t>
      </w:r>
      <w:r w:rsidRPr="008F03E5">
        <w:t xml:space="preserve"> to preserve, keep from injury, protect from harm (someone), save (someone from); to hand over intact (something, or to someone); to hand over, turn over, surrender (someone, something, or to someone); to deliver (to someone something); to lay down (arms); to surrender, give oneself up (or to); to submit, resign oneself (or to); to greet.  Salute (someone); to grant salvation (God to the Prophet); to admit, concede, grant (something); to consent (to something), approve (of something), accept, sanctionn, condone (something)</w:t>
      </w:r>
    </w:p>
    <w:p w14:paraId="2E949D82" w14:textId="77777777" w:rsidR="00625A5B" w:rsidRPr="00BC189D" w:rsidRDefault="00625A5B" w:rsidP="003146C9">
      <w:pPr>
        <w:pStyle w:val="Translit"/>
        <w:rPr>
          <w:lang w:val="fr-FR"/>
        </w:rPr>
      </w:pPr>
      <w:r w:rsidRPr="00BC189D">
        <w:rPr>
          <w:lang w:val="fr-FR"/>
        </w:rPr>
        <w:t>Salis</w:t>
      </w:r>
      <w:r w:rsidRPr="00BC189D">
        <w:rPr>
          <w:lang w:val="fr-FR"/>
        </w:rPr>
        <w:tab/>
        <w:t>Salis</w:t>
      </w:r>
      <w:r w:rsidRPr="00BC189D">
        <w:rPr>
          <w:lang w:val="fr-FR"/>
        </w:rPr>
        <w:tab/>
        <w:t>tractable, pliable, docile, compliant, obedient; flexible, smooth, fluent (style)</w:t>
      </w:r>
    </w:p>
    <w:p w14:paraId="166B5BAC" w14:textId="77777777" w:rsidR="00625A5B" w:rsidRPr="008F03E5" w:rsidRDefault="00625A5B" w:rsidP="003519DA">
      <w:pPr>
        <w:pStyle w:val="Translit"/>
      </w:pPr>
      <w:r w:rsidRPr="00077779">
        <w:rPr>
          <w:lang w:val="fr-FR"/>
        </w:rPr>
        <w:t>Saljuq</w:t>
      </w:r>
      <w:r w:rsidRPr="00077779">
        <w:rPr>
          <w:lang w:val="fr-FR"/>
        </w:rPr>
        <w:tab/>
        <w:t>Saljúq</w:t>
      </w:r>
      <w:r w:rsidRPr="00077779">
        <w:rPr>
          <w:lang w:val="fr-FR"/>
        </w:rPr>
        <w:tab/>
        <w:t xml:space="preserve">Pers. from Turkish Selçuklu (pl. </w:t>
      </w:r>
      <w:r w:rsidRPr="008F03E5">
        <w:t>Selçukluları).  Name of founder of the Seljuk Empire who was a medieval Turko-Persian.</w:t>
      </w:r>
    </w:p>
    <w:p w14:paraId="2FA887FD" w14:textId="77777777" w:rsidR="00625A5B" w:rsidRDefault="00625A5B" w:rsidP="00BE0C49">
      <w:pPr>
        <w:pStyle w:val="Translit"/>
      </w:pPr>
      <w:r w:rsidRPr="008F03E5">
        <w:t>Saljuqi</w:t>
      </w:r>
      <w:r w:rsidRPr="008F03E5">
        <w:tab/>
        <w:t>Saljúqí</w:t>
      </w:r>
      <w:r w:rsidRPr="008F03E5">
        <w:tab/>
        <w:t>Pers. Saljukian dynasty</w:t>
      </w:r>
    </w:p>
    <w:p w14:paraId="6F75B8B8" w14:textId="77777777" w:rsidR="00625A5B" w:rsidRPr="008F03E5" w:rsidRDefault="00625A5B" w:rsidP="000B6599">
      <w:pPr>
        <w:pStyle w:val="Translit"/>
      </w:pPr>
      <w:r>
        <w:t>Salm, Salama</w:t>
      </w:r>
      <w:r>
        <w:tab/>
        <w:t>Salm, fem. Salama[h or t]</w:t>
      </w:r>
      <w:r>
        <w:tab/>
        <w:t>peace,</w:t>
      </w:r>
      <w:r w:rsidRPr="002E1771">
        <w:rPr>
          <w:rFonts w:eastAsia="Times New Roman"/>
        </w:rPr>
        <w:t xml:space="preserve"> </w:t>
      </w:r>
      <w:r w:rsidRPr="00AF4D34">
        <w:rPr>
          <w:rFonts w:eastAsia="Times New Roman"/>
        </w:rPr>
        <w:t>one who cultivates peace and friendship</w:t>
      </w:r>
      <w:r>
        <w:t xml:space="preserve">; eldest son of </w:t>
      </w:r>
      <w:r w:rsidRPr="008F03E5">
        <w:t>Farídún</w:t>
      </w:r>
      <w:r>
        <w:t xml:space="preserve">.  </w:t>
      </w:r>
      <w:r w:rsidRPr="008F03E5">
        <w:t>Salm</w:t>
      </w:r>
      <w:r>
        <w:t>ih is sometimes used.  Pers. may use Salamih.  See Umm Salama.</w:t>
      </w:r>
    </w:p>
    <w:p w14:paraId="123C5372" w14:textId="77777777" w:rsidR="00625A5B" w:rsidRPr="008F03E5" w:rsidRDefault="00625A5B" w:rsidP="00402F76">
      <w:pPr>
        <w:pStyle w:val="Translit"/>
      </w:pPr>
      <w:r w:rsidRPr="008F03E5">
        <w:t>Salma, Sulayma (Sulaima)</w:t>
      </w:r>
      <w:r w:rsidRPr="008F03E5">
        <w:tab/>
        <w:t>Salmá, diminutive Sulaymá (beloved)</w:t>
      </w:r>
      <w:r w:rsidRPr="008F03E5">
        <w:tab/>
        <w:t>the south wind; name of a woman celebrated for her beauty; hence in general, a mistress, sweetheart, lady-love; name of a mountain; also of a tribe</w:t>
      </w:r>
    </w:p>
    <w:p w14:paraId="2F5A05C5" w14:textId="77777777" w:rsidR="00625A5B" w:rsidRPr="008F03E5" w:rsidRDefault="00625A5B" w:rsidP="00380B43">
      <w:pPr>
        <w:pStyle w:val="Translit"/>
      </w:pPr>
      <w:r w:rsidRPr="008F03E5">
        <w:t>Salman</w:t>
      </w:r>
      <w:r w:rsidRPr="008F03E5">
        <w:tab/>
        <w:t>Salmán</w:t>
      </w:r>
      <w:r w:rsidRPr="008F03E5">
        <w:tab/>
        <w:t xml:space="preserve">obedient, disciplined, humble, loyal, devoted.  Salmán al-Fársí (born Rúzbih </w:t>
      </w:r>
      <w:r w:rsidRPr="008F03E5">
        <w:rPr>
          <w:rFonts w:eastAsia="Times New Roman"/>
          <w:u w:val="single"/>
        </w:rPr>
        <w:t>Kh</w:t>
      </w:r>
      <w:r w:rsidRPr="008F03E5">
        <w:rPr>
          <w:rFonts w:eastAsia="Times New Roman"/>
        </w:rPr>
        <w:t>u</w:t>
      </w:r>
      <w:r w:rsidRPr="008F03E5">
        <w:rPr>
          <w:rFonts w:eastAsia="Times New Roman"/>
          <w:u w:val="single"/>
        </w:rPr>
        <w:t>sh</w:t>
      </w:r>
      <w:r w:rsidRPr="008F03E5">
        <w:rPr>
          <w:rFonts w:eastAsia="Times New Roman"/>
        </w:rPr>
        <w:t>n</w:t>
      </w:r>
      <w:r w:rsidRPr="008F03E5">
        <w:t>ú</w:t>
      </w:r>
      <w:r w:rsidRPr="008F03E5">
        <w:rPr>
          <w:rFonts w:eastAsia="Times New Roman"/>
        </w:rPr>
        <w:t>d</w:t>
      </w:r>
      <w:r w:rsidRPr="008F03E5">
        <w:t>á</w:t>
      </w:r>
      <w:r w:rsidRPr="008F03E5">
        <w:rPr>
          <w:rFonts w:eastAsia="Times New Roman"/>
        </w:rPr>
        <w:t>n, 568–653</w:t>
      </w:r>
      <w:r w:rsidRPr="008F03E5">
        <w:t>) was a friend of Muḥammad and ‘Alí.  Muḥammad used him to indicate the Qá’im would be Persian.</w:t>
      </w:r>
    </w:p>
    <w:p w14:paraId="2B9C29BD" w14:textId="77777777" w:rsidR="00625A5B" w:rsidRPr="008F03E5" w:rsidRDefault="00625A5B" w:rsidP="00900A82">
      <w:pPr>
        <w:pStyle w:val="Translit"/>
        <w:rPr>
          <w:rFonts w:eastAsia="PMingLiU"/>
          <w:lang w:eastAsia="zh-TW"/>
        </w:rPr>
      </w:pPr>
      <w:r w:rsidRPr="008F03E5">
        <w:rPr>
          <w:rFonts w:eastAsia="PMingLiU"/>
          <w:lang w:eastAsia="zh-TW"/>
        </w:rPr>
        <w:t>Salmanpur</w:t>
      </w:r>
      <w:r w:rsidRPr="008F03E5">
        <w:tab/>
      </w:r>
      <w:r w:rsidRPr="008F03E5">
        <w:rPr>
          <w:rFonts w:eastAsia="PMingLiU"/>
          <w:lang w:eastAsia="zh-TW"/>
        </w:rPr>
        <w:t>Salmánpúr</w:t>
      </w:r>
      <w:r w:rsidRPr="008F03E5">
        <w:tab/>
        <w:t xml:space="preserve">Dr Ḥabíbu’lláh </w:t>
      </w:r>
      <w:r w:rsidRPr="008F03E5">
        <w:rPr>
          <w:rFonts w:eastAsia="PMingLiU"/>
          <w:lang w:eastAsia="zh-TW"/>
        </w:rPr>
        <w:t>Salmánpúr</w:t>
      </w:r>
    </w:p>
    <w:p w14:paraId="20FA02F7" w14:textId="77777777" w:rsidR="00625A5B" w:rsidRPr="008F03E5" w:rsidRDefault="00625A5B" w:rsidP="00DB2964">
      <w:pPr>
        <w:pStyle w:val="Translit"/>
      </w:pPr>
      <w:r w:rsidRPr="008F03E5">
        <w:t>Salmas</w:t>
      </w:r>
      <w:r w:rsidRPr="008F03E5">
        <w:tab/>
        <w:t>Salmás</w:t>
      </w:r>
      <w:r w:rsidRPr="008F03E5">
        <w:tab/>
        <w:t>a city (</w:t>
      </w:r>
      <w:r>
        <w:t xml:space="preserve">formerly, </w:t>
      </w:r>
      <w:r w:rsidRPr="00DB2964">
        <w:rPr>
          <w:u w:val="single"/>
        </w:rPr>
        <w:t>Sh</w:t>
      </w:r>
      <w:r w:rsidRPr="00DB2964">
        <w:t>á</w:t>
      </w:r>
      <w:r>
        <w:t>hp</w:t>
      </w:r>
      <w:r w:rsidRPr="00DB2964">
        <w:t>ú</w:t>
      </w:r>
      <w:r>
        <w:t xml:space="preserve">r; </w:t>
      </w:r>
      <w:r w:rsidRPr="008F03E5">
        <w:t xml:space="preserve">38.199498, 44.767944) in West Azerbaijan Province, Iran, near the eastern border of </w:t>
      </w:r>
      <w:r>
        <w:t>Anatolia</w:t>
      </w:r>
      <w:r w:rsidRPr="008F03E5">
        <w:t xml:space="preserve">.  Located at the north west end of Lake Urmia.  About 30 km </w:t>
      </w:r>
      <w:r w:rsidRPr="008F03E5">
        <w:rPr>
          <w:sz w:val="16"/>
          <w:szCs w:val="16"/>
        </w:rPr>
        <w:t>ENE</w:t>
      </w:r>
      <w:r w:rsidRPr="008F03E5">
        <w:t xml:space="preserve"> of </w:t>
      </w:r>
      <w:r w:rsidRPr="008F03E5">
        <w:rPr>
          <w:u w:val="single"/>
        </w:rPr>
        <w:t>Ch</w:t>
      </w:r>
      <w:r w:rsidRPr="008F03E5">
        <w:t>ihríq.  Salmás was called the “abode of Salmá” by the Báb.</w:t>
      </w:r>
    </w:p>
    <w:p w14:paraId="32508643" w14:textId="77777777" w:rsidR="00625A5B" w:rsidRPr="008F03E5" w:rsidRDefault="00625A5B" w:rsidP="000310A1">
      <w:pPr>
        <w:pStyle w:val="Translit"/>
      </w:pPr>
      <w:r w:rsidRPr="008F03E5">
        <w:t>Salsabil</w:t>
      </w:r>
      <w:r w:rsidRPr="008F03E5">
        <w:tab/>
        <w:t>Salsabíl</w:t>
      </w:r>
      <w:r w:rsidRPr="008F03E5">
        <w:tab/>
        <w:t>spring, well, “softly flowing”.  A plain and the name of a river or fountain in Paradise.</w:t>
      </w:r>
    </w:p>
    <w:p w14:paraId="563B8B96" w14:textId="77777777" w:rsidR="00625A5B" w:rsidRPr="008F03E5" w:rsidRDefault="00625A5B" w:rsidP="00505814">
      <w:pPr>
        <w:pStyle w:val="Translit"/>
      </w:pPr>
      <w:r>
        <w:rPr>
          <w:lang w:val="it-IT"/>
        </w:rPr>
        <w:t xml:space="preserve">Saltan, </w:t>
      </w:r>
      <w:r w:rsidRPr="00BC189D">
        <w:rPr>
          <w:lang w:val="it-IT"/>
        </w:rPr>
        <w:t xml:space="preserve">Saltana </w:t>
      </w:r>
      <w:r>
        <w:rPr>
          <w:lang w:val="it-IT"/>
        </w:rPr>
        <w:t>(</w:t>
      </w:r>
      <w:r w:rsidRPr="00BC189D">
        <w:rPr>
          <w:lang w:val="it-IT"/>
        </w:rPr>
        <w:t>Saltanih</w:t>
      </w:r>
      <w:r>
        <w:rPr>
          <w:lang w:val="it-IT"/>
        </w:rPr>
        <w:t>,</w:t>
      </w:r>
      <w:r w:rsidRPr="00BC189D">
        <w:rPr>
          <w:lang w:val="it-IT"/>
        </w:rPr>
        <w:t xml:space="preserve"> Saltaneh)</w:t>
      </w:r>
      <w:r w:rsidRPr="00BC189D">
        <w:rPr>
          <w:lang w:val="it-IT"/>
        </w:rPr>
        <w:tab/>
      </w:r>
      <w:r>
        <w:rPr>
          <w:lang w:val="it-IT"/>
        </w:rPr>
        <w:t>Sal</w:t>
      </w:r>
      <w:r w:rsidRPr="00C87C90">
        <w:rPr>
          <w:lang w:val="it-IT"/>
        </w:rPr>
        <w:t>ṭ</w:t>
      </w:r>
      <w:r>
        <w:rPr>
          <w:lang w:val="it-IT"/>
        </w:rPr>
        <w:t xml:space="preserve">an, fem. </w:t>
      </w:r>
      <w:r w:rsidRPr="00C87C90">
        <w:rPr>
          <w:lang w:val="en-AU"/>
        </w:rPr>
        <w:t>Salṭana[h or t]</w:t>
      </w:r>
      <w:r w:rsidRPr="00C87C90">
        <w:rPr>
          <w:lang w:val="en-AU"/>
        </w:rPr>
        <w:tab/>
        <w:t xml:space="preserve">(Pers. </w:t>
      </w:r>
      <w:r w:rsidRPr="008F03E5">
        <w:t>Salṭanih</w:t>
      </w:r>
      <w:r>
        <w:t>) m</w:t>
      </w:r>
      <w:r w:rsidRPr="008F03E5">
        <w:t>aking emperor; power, authority, dominion; magnificence, majesty; an empire, reign, kingdom, principality</w:t>
      </w:r>
      <w:r>
        <w:t>; saltanate</w:t>
      </w:r>
      <w:r w:rsidRPr="008F03E5">
        <w:t xml:space="preserve">.  Used in title, as in Ḍíyá’u’s-Salṭanih, daughter of Fatḥ-‘Alí </w:t>
      </w:r>
      <w:r w:rsidRPr="008F03E5">
        <w:rPr>
          <w:u w:val="single"/>
        </w:rPr>
        <w:t>Sh</w:t>
      </w:r>
      <w:r w:rsidRPr="008F03E5">
        <w:t>áh.</w:t>
      </w:r>
      <w:r>
        <w:t xml:space="preserve">  </w:t>
      </w:r>
      <w:r w:rsidRPr="008F03E5">
        <w:t xml:space="preserve">Tasalṭana </w:t>
      </w:r>
      <w:r>
        <w:t>(</w:t>
      </w:r>
      <w:r w:rsidRPr="00A26B03">
        <w:rPr>
          <w:lang w:val="en-AU"/>
        </w:rPr>
        <w:t>Tasaltana</w:t>
      </w:r>
      <w:r>
        <w:t xml:space="preserve">) </w:t>
      </w:r>
      <w:r w:rsidRPr="008F03E5">
        <w:t>to become a sultan or ruler.</w:t>
      </w:r>
    </w:p>
    <w:p w14:paraId="4566CBC3" w14:textId="77777777" w:rsidR="00625A5B" w:rsidRPr="008F03E5" w:rsidRDefault="00625A5B" w:rsidP="00CD7DBB">
      <w:pPr>
        <w:pStyle w:val="Translit"/>
      </w:pPr>
      <w:r w:rsidRPr="008F03E5">
        <w:t>Salvari, Silivri</w:t>
      </w:r>
      <w:r w:rsidRPr="008F03E5">
        <w:tab/>
        <w:t>Salvárí, Silivri</w:t>
      </w:r>
      <w:r w:rsidRPr="008F03E5">
        <w:tab/>
        <w:t>city and a district in Istanbul Province along the Sea of Marmara in Türkiye</w:t>
      </w:r>
    </w:p>
    <w:p w14:paraId="13A3E29E" w14:textId="77777777" w:rsidR="00625A5B" w:rsidRPr="008F03E5" w:rsidRDefault="00625A5B" w:rsidP="00BC623B">
      <w:pPr>
        <w:pStyle w:val="Translit"/>
      </w:pPr>
      <w:r w:rsidRPr="008F03E5">
        <w:t>Salwan (Salvan, Silwan, Sulwan)</w:t>
      </w:r>
      <w:r w:rsidRPr="008F03E5">
        <w:tab/>
        <w:t>Salwán</w:t>
      </w:r>
      <w:r w:rsidRPr="008F03E5">
        <w:tab/>
        <w:t>forgetting.  Hebrew Shiloah (Siloam); neighbourhood and pool just to the south of old Jerusalem.  See Sulwán</w:t>
      </w:r>
    </w:p>
    <w:p w14:paraId="113974A9" w14:textId="77777777" w:rsidR="00625A5B" w:rsidRPr="008F03E5" w:rsidRDefault="00625A5B" w:rsidP="006C1E56">
      <w:pPr>
        <w:pStyle w:val="Translit"/>
      </w:pPr>
      <w:r w:rsidRPr="008F03E5">
        <w:t>Sam Khan</w:t>
      </w:r>
      <w:r w:rsidRPr="008F03E5">
        <w:tab/>
        <w:t xml:space="preserve">Sám </w:t>
      </w:r>
      <w:r w:rsidRPr="008F03E5">
        <w:rPr>
          <w:u w:val="single"/>
        </w:rPr>
        <w:t>Kh</w:t>
      </w:r>
      <w:r w:rsidRPr="008F03E5">
        <w:t>án</w:t>
      </w:r>
      <w:r w:rsidRPr="008F03E5">
        <w:tab/>
      </w:r>
    </w:p>
    <w:p w14:paraId="643D1FC7" w14:textId="77777777" w:rsidR="00625A5B" w:rsidRPr="008F03E5" w:rsidRDefault="00625A5B" w:rsidP="00E42320">
      <w:pPr>
        <w:pStyle w:val="Translit"/>
      </w:pPr>
      <w:r w:rsidRPr="008F03E5">
        <w:t>Sam</w:t>
      </w:r>
      <w:r w:rsidRPr="008F03E5">
        <w:tab/>
        <w:t>Sám</w:t>
      </w:r>
      <w:r w:rsidRPr="008F03E5">
        <w:tab/>
        <w:t>Shem (eldest son of Noah).  Pers. t</w:t>
      </w:r>
      <w:r w:rsidRPr="008F03E5">
        <w:rPr>
          <w:rFonts w:eastAsia="Times New Roman"/>
        </w:rPr>
        <w:t>he rainbow; a swelling; a disease; fire.</w:t>
      </w:r>
    </w:p>
    <w:p w14:paraId="17F911D4" w14:textId="77777777" w:rsidR="00625A5B" w:rsidRPr="008F03E5" w:rsidRDefault="00625A5B" w:rsidP="006C1E56">
      <w:pPr>
        <w:pStyle w:val="Translit"/>
      </w:pPr>
      <w:r w:rsidRPr="008F03E5">
        <w:t>Sam’, Asma’</w:t>
      </w:r>
      <w:r w:rsidRPr="008F03E5">
        <w:tab/>
        <w:t>Sam‘, pl. Asmá‘</w:t>
      </w:r>
      <w:r w:rsidRPr="008F03E5">
        <w:tab/>
        <w:t>hearing, sense of hearing, audition; ear;—pl. ears</w:t>
      </w:r>
    </w:p>
    <w:p w14:paraId="492DA125" w14:textId="77777777" w:rsidR="00625A5B" w:rsidRPr="008F03E5" w:rsidRDefault="00625A5B" w:rsidP="00B3110A">
      <w:pPr>
        <w:pStyle w:val="Translit"/>
      </w:pPr>
      <w:r w:rsidRPr="00BC189D">
        <w:rPr>
          <w:lang w:val="pl-PL"/>
        </w:rPr>
        <w:t>Sama’</w:t>
      </w:r>
      <w:r w:rsidRPr="00BC189D">
        <w:rPr>
          <w:lang w:val="pl-PL"/>
        </w:rPr>
        <w:tab/>
        <w:t xml:space="preserve">Samá’ m. &amp; f., pl. </w:t>
      </w:r>
      <w:r w:rsidRPr="008F03E5">
        <w:t>Samáwát</w:t>
      </w:r>
      <w:r w:rsidRPr="008F03E5">
        <w:tab/>
        <w:t>heaven, sky; firmament</w:t>
      </w:r>
    </w:p>
    <w:p w14:paraId="768BEBF1" w14:textId="77777777" w:rsidR="00625A5B" w:rsidRPr="008F03E5" w:rsidRDefault="00625A5B" w:rsidP="003101EF">
      <w:pPr>
        <w:pStyle w:val="Translit"/>
      </w:pPr>
      <w:r w:rsidRPr="008F03E5">
        <w:t>Samad</w:t>
      </w:r>
      <w:r w:rsidRPr="008F03E5">
        <w:tab/>
        <w:t>Ṣamad</w:t>
      </w:r>
      <w:r w:rsidRPr="008F03E5">
        <w:tab/>
        <w:t>lord; eternal, everlasting (epithet of God)</w:t>
      </w:r>
      <w:r>
        <w:t>.  a</w:t>
      </w:r>
      <w:r w:rsidRPr="003101EF">
        <w:t>ṣ</w:t>
      </w:r>
      <w:r>
        <w:t>-</w:t>
      </w:r>
      <w:r w:rsidRPr="008F03E5">
        <w:t>Ṣamad</w:t>
      </w:r>
      <w:r>
        <w:t xml:space="preserve"> is mentioned once in the Qur’án (verse 112:2).</w:t>
      </w:r>
    </w:p>
    <w:p w14:paraId="70E78524" w14:textId="77777777" w:rsidR="00625A5B" w:rsidRPr="008F03E5" w:rsidRDefault="00625A5B" w:rsidP="006C1E56">
      <w:pPr>
        <w:pStyle w:val="Translit"/>
      </w:pPr>
      <w:r w:rsidRPr="008F03E5">
        <w:t>Samadiyya, Samadiyyih</w:t>
      </w:r>
      <w:r w:rsidRPr="008F03E5">
        <w:tab/>
        <w:t>Ṣamadíyya, Pers. Ṣamadíyyih</w:t>
      </w:r>
      <w:r w:rsidRPr="008F03E5">
        <w:tab/>
        <w:t>eternal refuge (?).  See Ṣamdán</w:t>
      </w:r>
    </w:p>
    <w:p w14:paraId="7CEBBB5F" w14:textId="77777777" w:rsidR="00625A5B" w:rsidRPr="008F03E5" w:rsidRDefault="00625A5B" w:rsidP="00B74A7D">
      <w:pPr>
        <w:pStyle w:val="Translit"/>
      </w:pPr>
      <w:r w:rsidRPr="008F03E5">
        <w:t>Samah</w:t>
      </w:r>
      <w:r w:rsidRPr="008F03E5">
        <w:tab/>
        <w:t>Samáḥ</w:t>
      </w:r>
      <w:r w:rsidRPr="008F03E5">
        <w:tab/>
        <w:t>magnanimity, generosity; kindness; liberality, munificence; indulgence, forbearance, tolerance, forgiveness, pardon; permission (for, to do something)</w:t>
      </w:r>
    </w:p>
    <w:p w14:paraId="7A80311B" w14:textId="77777777" w:rsidR="00625A5B" w:rsidRPr="008F03E5" w:rsidRDefault="00625A5B" w:rsidP="00671A2F">
      <w:pPr>
        <w:pStyle w:val="Translit"/>
      </w:pPr>
      <w:r w:rsidRPr="008F03E5">
        <w:rPr>
          <w:rFonts w:eastAsia="Times New Roman"/>
        </w:rPr>
        <w:t>Saman</w:t>
      </w:r>
      <w:r w:rsidRPr="008F03E5">
        <w:rPr>
          <w:rFonts w:eastAsia="Times New Roman"/>
        </w:rPr>
        <w:tab/>
        <w:t>Sámán</w:t>
      </w:r>
      <w:r w:rsidRPr="008F03E5">
        <w:rPr>
          <w:rFonts w:eastAsia="Times New Roman"/>
        </w:rPr>
        <w:tab/>
        <w:t>Pers. household furniture, baggage, articles; instruments, tools, apparatus; order, arrangement, disposition; preparation; foundation of a house; a boundary, limit, place where any sign or mark is placed to separate one field from another, etc.</w:t>
      </w:r>
    </w:p>
    <w:p w14:paraId="22E8D3EB" w14:textId="77777777" w:rsidR="00625A5B" w:rsidRPr="008F03E5" w:rsidRDefault="00625A5B" w:rsidP="00E42320">
      <w:pPr>
        <w:pStyle w:val="Translit"/>
      </w:pPr>
      <w:r w:rsidRPr="008F03E5">
        <w:t>Samandar</w:t>
      </w:r>
      <w:r w:rsidRPr="008F03E5">
        <w:tab/>
        <w:t>Samandar</w:t>
      </w:r>
      <w:r w:rsidRPr="008F03E5">
        <w:tab/>
        <w:t xml:space="preserve">Ar. salamander (lizard-like amphibians, mythically associated with fire).  Pers. </w:t>
      </w:r>
      <w:r w:rsidRPr="008F03E5">
        <w:rPr>
          <w:rFonts w:eastAsia="Times New Roman"/>
        </w:rPr>
        <w:t>samandar, samandir, samandur, samandal, samandúr (said to be derived from sám, fire, and andarún, within), a salamander, sometimes associated with the phoenix.  Name given by Bahá’u’lláh to Mu</w:t>
      </w:r>
      <w:r w:rsidRPr="008F03E5">
        <w:t>ḥ</w:t>
      </w:r>
      <w:r w:rsidRPr="008F03E5">
        <w:rPr>
          <w:rFonts w:eastAsia="Times New Roman"/>
        </w:rPr>
        <w:t>ammad Kázim Qazvíní (1844–1918) (</w:t>
      </w:r>
      <w:r w:rsidRPr="008F03E5">
        <w:t xml:space="preserve">known as </w:t>
      </w:r>
      <w:r w:rsidRPr="008F03E5">
        <w:rPr>
          <w:u w:val="single"/>
        </w:rPr>
        <w:t>Sh</w:t>
      </w:r>
      <w:r w:rsidRPr="008F03E5">
        <w:t>ay</w:t>
      </w:r>
      <w:r w:rsidRPr="008F03E5">
        <w:rPr>
          <w:u w:val="single"/>
        </w:rPr>
        <w:t>kh</w:t>
      </w:r>
      <w:r w:rsidRPr="008F03E5">
        <w:t xml:space="preserve"> Káẓim-i-Samandar or just Samandar</w:t>
      </w:r>
      <w:r w:rsidRPr="008F03E5">
        <w:rPr>
          <w:rFonts w:eastAsia="Times New Roman"/>
        </w:rPr>
        <w:t xml:space="preserve">).  He was an Apostle </w:t>
      </w:r>
      <w:r w:rsidRPr="008F03E5">
        <w:t>of Bahá’u’lláh.  Described by Shoghi Effendi as a “flame of the love of God”.</w:t>
      </w:r>
    </w:p>
    <w:p w14:paraId="5916A2A1" w14:textId="77777777" w:rsidR="00625A5B" w:rsidRPr="008F03E5" w:rsidRDefault="00625A5B" w:rsidP="00E42320">
      <w:pPr>
        <w:pStyle w:val="Translit"/>
      </w:pPr>
      <w:r w:rsidRPr="008F03E5">
        <w:t>Samandari</w:t>
      </w:r>
      <w:r w:rsidRPr="008F03E5">
        <w:tab/>
        <w:t>Samandarí</w:t>
      </w:r>
      <w:r w:rsidRPr="008F03E5">
        <w:tab/>
        <w:t>(1874–1968) named Ṭarázulláh by Bahá’u’lláh, son of Samandar.  Hand of the Cause of God and a distinguished Persian calligrapher.</w:t>
      </w:r>
    </w:p>
    <w:p w14:paraId="5469E689" w14:textId="77777777" w:rsidR="00625A5B" w:rsidRPr="008F03E5" w:rsidRDefault="00625A5B" w:rsidP="002A586B">
      <w:pPr>
        <w:pStyle w:val="Translit"/>
      </w:pPr>
      <w:r w:rsidRPr="008F03E5">
        <w:t>Samaniyan</w:t>
      </w:r>
      <w:r w:rsidRPr="008F03E5">
        <w:tab/>
        <w:t>Sámániyán</w:t>
      </w:r>
      <w:r w:rsidRPr="008F03E5">
        <w:tab/>
        <w:t xml:space="preserve">Pers. the Samanid Empire (Samanian Empire, Samanid dynasty, Samanid Emirate, or simply Samanids) was a Sunní Iranian empire from 819 to 999.  The empire was centred in </w:t>
      </w:r>
      <w:r w:rsidRPr="008F03E5">
        <w:rPr>
          <w:u w:val="single"/>
        </w:rPr>
        <w:t>Kh</w:t>
      </w:r>
      <w:r w:rsidRPr="008F03E5">
        <w:t>urásán and Transoxiana; at its greatest extent, the empire encompassed all of today’s Afghanistan, large parts of Iran, Tajikistan, Turkmenistan, Uzbekistan, Kyrgyzstan and parts of Kazakhstan and Pakistan.</w:t>
      </w:r>
    </w:p>
    <w:p w14:paraId="7DBDECC2" w14:textId="77777777" w:rsidR="00625A5B" w:rsidRPr="008F03E5" w:rsidRDefault="00625A5B" w:rsidP="0034074D">
      <w:pPr>
        <w:pStyle w:val="Translit"/>
      </w:pPr>
      <w:r w:rsidRPr="008F03E5">
        <w:rPr>
          <w:lang w:eastAsia="en-US"/>
        </w:rPr>
        <w:t>Samanu</w:t>
      </w:r>
      <w:r w:rsidRPr="008F03E5">
        <w:rPr>
          <w:lang w:eastAsia="en-US"/>
        </w:rPr>
        <w:tab/>
        <w:t>Samanú</w:t>
      </w:r>
      <w:r w:rsidRPr="008F03E5">
        <w:rPr>
          <w:lang w:eastAsia="en-US"/>
        </w:rPr>
        <w:tab/>
        <w:t>Pers. a malt and flour candy</w:t>
      </w:r>
    </w:p>
    <w:p w14:paraId="7A30CA41" w14:textId="77777777" w:rsidR="00625A5B" w:rsidRPr="008F03E5" w:rsidRDefault="00625A5B" w:rsidP="002D07F6">
      <w:pPr>
        <w:pStyle w:val="Translit"/>
      </w:pPr>
      <w:r w:rsidRPr="008F03E5">
        <w:t>Samariya, Samariyyih</w:t>
      </w:r>
      <w:r w:rsidRPr="008F03E5">
        <w:tab/>
        <w:t>Sámaríya[h or t] or Samaríya[h or t]</w:t>
      </w:r>
      <w:r w:rsidRPr="008F03E5">
        <w:tab/>
        <w:t>(Pers. Bahá’ís Samaríyyih) Samaria is the historic and biblical name of the central region of Palestine, bordered by Judea to the south, Galilee to the north, and the Jordan River to the east.  Samaríyyih Hill (32.961469, 35.092595, termed Buq‘atu’l-Ḥamrá’ by Bahá’u’lláh), 2 km north of Bahjí, opposite the kibbutz of Lohamei HaGeta’ot.  A tel 3.25 km north of Bahjí, Tall as-Sámayríya (32.972709, 35.093416) and former Arab village site.  See Buq‘atu’l-Ḥamrá’.</w:t>
      </w:r>
    </w:p>
    <w:p w14:paraId="3CCC2283" w14:textId="77777777" w:rsidR="00625A5B" w:rsidRPr="008F03E5" w:rsidRDefault="00625A5B" w:rsidP="001C27CD">
      <w:pPr>
        <w:pStyle w:val="Translit"/>
      </w:pPr>
      <w:r w:rsidRPr="008F03E5">
        <w:t>Samarqand, Samarkand</w:t>
      </w:r>
      <w:r w:rsidRPr="008F03E5">
        <w:tab/>
        <w:t>Samarqand, Samarkand</w:t>
      </w:r>
      <w:r w:rsidRPr="008F03E5">
        <w:tab/>
        <w:t>city in Uzbekistan</w:t>
      </w:r>
    </w:p>
    <w:p w14:paraId="7E54E203" w14:textId="77777777" w:rsidR="00625A5B" w:rsidRPr="008F03E5" w:rsidRDefault="00625A5B" w:rsidP="00815CB9">
      <w:pPr>
        <w:pStyle w:val="Translit"/>
      </w:pPr>
      <w:r w:rsidRPr="008F03E5">
        <w:t>Samarra</w:t>
      </w:r>
      <w:r w:rsidRPr="008F03E5">
        <w:tab/>
        <w:t>Sámarrá’</w:t>
      </w:r>
      <w:r w:rsidRPr="008F03E5">
        <w:tab/>
        <w:t xml:space="preserve">modern city on the east bank of the Tigris River, 125 km north of Baghdad.  The formal name of the Abbasid city, Sámarrá’ </w:t>
      </w:r>
      <w:bookmarkStart w:id="133" w:name="_Hlk56320057"/>
      <w:r w:rsidRPr="008F03E5">
        <w:t xml:space="preserve">(an archaeological site; 34.166250, 43.904869) was Surra Man Ra’á </w:t>
      </w:r>
      <w:bookmarkEnd w:id="133"/>
      <w:r w:rsidRPr="008F03E5">
        <w:t>(“he who sees it is delighted”).</w:t>
      </w:r>
    </w:p>
    <w:p w14:paraId="196F98E9" w14:textId="77777777" w:rsidR="00625A5B" w:rsidRPr="008F03E5" w:rsidRDefault="00625A5B" w:rsidP="00457CB7">
      <w:pPr>
        <w:pStyle w:val="Translit"/>
      </w:pPr>
      <w:r w:rsidRPr="008F03E5">
        <w:rPr>
          <w:rFonts w:eastAsia="MS Mincho"/>
        </w:rPr>
        <w:t>Samarri (Samuri, Simari)</w:t>
      </w:r>
      <w:r w:rsidRPr="008F03E5">
        <w:rPr>
          <w:rFonts w:eastAsia="MS Mincho"/>
        </w:rPr>
        <w:tab/>
        <w:t>as-Sámarrí</w:t>
      </w:r>
      <w:r w:rsidRPr="008F03E5">
        <w:rPr>
          <w:rFonts w:eastAsia="MS Mincho"/>
        </w:rPr>
        <w:tab/>
        <w:t xml:space="preserve">from or of </w:t>
      </w:r>
      <w:r w:rsidRPr="008F03E5">
        <w:t xml:space="preserve">Sámarrá’.  </w:t>
      </w:r>
      <w:r w:rsidRPr="008F03E5">
        <w:rPr>
          <w:rFonts w:eastAsia="MS Mincho"/>
        </w:rPr>
        <w:t>Ab</w:t>
      </w:r>
      <w:r w:rsidRPr="008F03E5">
        <w:t>ú al</w:t>
      </w:r>
      <w:r w:rsidRPr="008F03E5">
        <w:rPr>
          <w:rFonts w:eastAsia="MS Mincho"/>
        </w:rPr>
        <w:t>-</w:t>
      </w:r>
      <w:r w:rsidRPr="008F03E5">
        <w:t>Ḥasan</w:t>
      </w:r>
      <w:r w:rsidRPr="008F03E5">
        <w:rPr>
          <w:rFonts w:eastAsia="MS Mincho"/>
        </w:rPr>
        <w:t xml:space="preserve"> ‘Al</w:t>
      </w:r>
      <w:r w:rsidRPr="008F03E5">
        <w:t xml:space="preserve">í ibn Muḥammad </w:t>
      </w:r>
      <w:r w:rsidRPr="008F03E5">
        <w:rPr>
          <w:rFonts w:eastAsia="MS Mincho"/>
        </w:rPr>
        <w:t>as-Sámarrí is the fourth deputy of the twelfth Im</w:t>
      </w:r>
      <w:r w:rsidRPr="008F03E5">
        <w:t>á</w:t>
      </w:r>
      <w:r w:rsidRPr="008F03E5">
        <w:rPr>
          <w:rFonts w:eastAsia="MS Mincho"/>
        </w:rPr>
        <w:t>m.</w:t>
      </w:r>
    </w:p>
    <w:p w14:paraId="6949D3DF" w14:textId="77777777" w:rsidR="00625A5B" w:rsidRPr="008F03E5" w:rsidRDefault="00625A5B" w:rsidP="00F96D10">
      <w:pPr>
        <w:pStyle w:val="Translit"/>
      </w:pPr>
      <w:r w:rsidRPr="008F03E5">
        <w:t>Samawah (Samawih)</w:t>
      </w:r>
      <w:r w:rsidRPr="008F03E5">
        <w:tab/>
        <w:t>Samáwah</w:t>
      </w:r>
      <w:r w:rsidRPr="008F03E5">
        <w:tab/>
        <w:t>as-Samáwah is a city (31.314945, 45.284614) between Baghdad and Basra</w:t>
      </w:r>
    </w:p>
    <w:p w14:paraId="5051F8D0" w14:textId="77777777" w:rsidR="00625A5B" w:rsidRPr="008F03E5" w:rsidRDefault="00625A5B" w:rsidP="00F96D10">
      <w:pPr>
        <w:pStyle w:val="Translit"/>
      </w:pPr>
      <w:r w:rsidRPr="008F03E5">
        <w:t>Samawar, Samavar</w:t>
      </w:r>
      <w:r w:rsidRPr="008F03E5">
        <w:tab/>
        <w:t>Samáwar (Samávar)</w:t>
      </w:r>
      <w:r w:rsidRPr="008F03E5">
        <w:tab/>
        <w:t>Pers. for the Russian samovar (“self-boiling”).  Sometimes written samovár.</w:t>
      </w:r>
    </w:p>
    <w:p w14:paraId="73C3257E" w14:textId="77777777" w:rsidR="00625A5B" w:rsidRPr="008F03E5" w:rsidRDefault="00625A5B" w:rsidP="006C1E56">
      <w:pPr>
        <w:pStyle w:val="Translit"/>
      </w:pPr>
      <w:r w:rsidRPr="008F03E5">
        <w:t>Samdan, Samdani, Samadi</w:t>
      </w:r>
      <w:r w:rsidRPr="008F03E5">
        <w:tab/>
        <w:t>Ṣamdán, Ṣamdání, Ṣamadí</w:t>
      </w:r>
      <w:r w:rsidRPr="008F03E5">
        <w:tab/>
        <w:t>eternal, everlasting; divine</w:t>
      </w:r>
    </w:p>
    <w:p w14:paraId="20823C20" w14:textId="77777777" w:rsidR="00625A5B" w:rsidRPr="008F03E5" w:rsidRDefault="00625A5B" w:rsidP="00A129CB">
      <w:pPr>
        <w:pStyle w:val="Translit"/>
      </w:pPr>
      <w:r w:rsidRPr="008F03E5">
        <w:t>Samdaniya</w:t>
      </w:r>
      <w:r w:rsidRPr="008F03E5">
        <w:tab/>
        <w:t>Ṣamdáníya[h or t]</w:t>
      </w:r>
      <w:r w:rsidRPr="008F03E5">
        <w:tab/>
        <w:t>eternity</w:t>
      </w:r>
    </w:p>
    <w:p w14:paraId="3F4959F0" w14:textId="77777777" w:rsidR="00625A5B" w:rsidRPr="008F03E5" w:rsidRDefault="00625A5B" w:rsidP="00FA316C">
      <w:pPr>
        <w:pStyle w:val="Translit"/>
      </w:pPr>
      <w:r w:rsidRPr="00BC189D">
        <w:rPr>
          <w:lang w:val="pl-PL"/>
        </w:rPr>
        <w:t>Sami’ (Pers. Sami’ih), Suma’a</w:t>
      </w:r>
      <w:r w:rsidRPr="00BC189D">
        <w:rPr>
          <w:lang w:val="pl-PL"/>
        </w:rPr>
        <w:tab/>
        <w:t xml:space="preserve">Samí‘, pl. </w:t>
      </w:r>
      <w:r w:rsidRPr="008F03E5">
        <w:t>Suma‘á’</w:t>
      </w:r>
      <w:r w:rsidRPr="008F03E5">
        <w:tab/>
        <w:t>hearing, listening; hearer, listener</w:t>
      </w:r>
    </w:p>
    <w:p w14:paraId="7C0C1C82" w14:textId="77777777" w:rsidR="00625A5B" w:rsidRPr="008F03E5" w:rsidRDefault="00625A5B" w:rsidP="00FF3954">
      <w:pPr>
        <w:pStyle w:val="Translit"/>
      </w:pPr>
      <w:r w:rsidRPr="008F03E5">
        <w:t>Samih, Samiha (Samihih), Sumaha’</w:t>
      </w:r>
      <w:r w:rsidRPr="008F03E5">
        <w:tab/>
        <w:t>Samíḥ, fem. Samíḥa[h or t], pl. Sumahá’</w:t>
      </w:r>
      <w:r w:rsidRPr="008F03E5">
        <w:tab/>
        <w:t>generous, magnanimous; kind, forgiving; liberal, open-handed.  Samíḥih (Pers.), wife of Músá Banání (incorrectly given as Samí‘ih (</w:t>
      </w:r>
      <w:r w:rsidRPr="008F03E5">
        <w:rPr>
          <w:i/>
          <w:iCs/>
        </w:rPr>
        <w:t>A basic Bahá’í chronology</w:t>
      </w:r>
      <w:r w:rsidRPr="008F03E5">
        <w:t>), Samíyyih (</w:t>
      </w:r>
      <w:r w:rsidRPr="008F03E5">
        <w:rPr>
          <w:i/>
          <w:iCs/>
        </w:rPr>
        <w:t>The Unfolding Destiny of the British Bahá’ís)</w:t>
      </w:r>
      <w:r w:rsidRPr="008F03E5">
        <w:t>, Samíḥíḥ, etc.</w:t>
      </w:r>
    </w:p>
    <w:p w14:paraId="77AE9CA3" w14:textId="77777777" w:rsidR="00625A5B" w:rsidRPr="008F03E5" w:rsidRDefault="00625A5B" w:rsidP="00FF3954">
      <w:pPr>
        <w:pStyle w:val="Translit"/>
        <w:rPr>
          <w:rFonts w:eastAsia="PMingLiU"/>
          <w:lang w:eastAsia="zh-TW"/>
        </w:rPr>
      </w:pPr>
      <w:r w:rsidRPr="008F03E5">
        <w:rPr>
          <w:rFonts w:eastAsia="PMingLiU"/>
          <w:lang w:eastAsia="zh-TW"/>
        </w:rPr>
        <w:t>Samim</w:t>
      </w:r>
      <w:r w:rsidRPr="008F03E5">
        <w:rPr>
          <w:rFonts w:eastAsia="PMingLiU"/>
          <w:lang w:eastAsia="zh-TW"/>
        </w:rPr>
        <w:tab/>
        <w:t>Ṣamím</w:t>
      </w:r>
      <w:r w:rsidRPr="008F03E5">
        <w:rPr>
          <w:rFonts w:eastAsia="PMingLiU"/>
          <w:lang w:eastAsia="zh-TW"/>
        </w:rPr>
        <w:tab/>
        <w:t>innermost, heart; core, essence, marrow, pith; true, sincere, genuine</w:t>
      </w:r>
    </w:p>
    <w:p w14:paraId="00BC0B56" w14:textId="77777777" w:rsidR="00625A5B" w:rsidRPr="008F03E5" w:rsidRDefault="00625A5B" w:rsidP="00286B52">
      <w:pPr>
        <w:pStyle w:val="Translit"/>
      </w:pPr>
      <w:r w:rsidRPr="008F03E5">
        <w:rPr>
          <w:rFonts w:eastAsia="PMingLiU"/>
          <w:lang w:eastAsia="zh-TW"/>
        </w:rPr>
        <w:t>Samimi</w:t>
      </w:r>
      <w:r w:rsidRPr="008F03E5">
        <w:tab/>
        <w:t>Ṣ</w:t>
      </w:r>
      <w:r w:rsidRPr="008F03E5">
        <w:rPr>
          <w:rFonts w:eastAsia="PMingLiU"/>
          <w:lang w:eastAsia="zh-TW"/>
        </w:rPr>
        <w:t>amímí</w:t>
      </w:r>
      <w:r w:rsidRPr="008F03E5">
        <w:tab/>
        <w:t>(possible Arabic origin) cordial; inward; pure, sincere</w:t>
      </w:r>
    </w:p>
    <w:p w14:paraId="490B87EE" w14:textId="77777777" w:rsidR="00625A5B" w:rsidRPr="008F03E5" w:rsidRDefault="00625A5B" w:rsidP="001457C8">
      <w:pPr>
        <w:pStyle w:val="Translit"/>
      </w:pPr>
      <w:bookmarkStart w:id="134" w:name="_Hlk62117331"/>
      <w:r w:rsidRPr="008F03E5">
        <w:t>Samir, Samira</w:t>
      </w:r>
      <w:r w:rsidRPr="008F03E5">
        <w:tab/>
        <w:t>Samír; fem. Samíra[h or t]</w:t>
      </w:r>
      <w:r w:rsidRPr="008F03E5">
        <w:tab/>
        <w:t>companion in nightly entertainment, conversation partner.  Pers. also Samírá.</w:t>
      </w:r>
    </w:p>
    <w:bookmarkEnd w:id="134"/>
    <w:p w14:paraId="5A6A9D50" w14:textId="77777777" w:rsidR="00625A5B" w:rsidRPr="008F03E5" w:rsidRDefault="00625A5B" w:rsidP="00B75456">
      <w:pPr>
        <w:pStyle w:val="Translit"/>
      </w:pPr>
      <w:r w:rsidRPr="008F03E5">
        <w:t xml:space="preserve">Samir, Summar </w:t>
      </w:r>
      <w:r w:rsidRPr="008F03E5">
        <w:tab/>
        <w:t xml:space="preserve">Sámir, fem. </w:t>
      </w:r>
      <w:r w:rsidRPr="00DB6D67">
        <w:rPr>
          <w:lang w:val="en-AU"/>
        </w:rPr>
        <w:t xml:space="preserve">Sámira[h or t], pl. </w:t>
      </w:r>
      <w:r w:rsidRPr="008F03E5">
        <w:t>Summár</w:t>
      </w:r>
      <w:r w:rsidRPr="008F03E5">
        <w:tab/>
        <w:t>companion in nightly entertainment; conversationalist; entertainer</w:t>
      </w:r>
    </w:p>
    <w:p w14:paraId="4721E1ED" w14:textId="77777777" w:rsidR="00625A5B" w:rsidRPr="008F03E5" w:rsidRDefault="00625A5B" w:rsidP="00F23EEC">
      <w:pPr>
        <w:pStyle w:val="Translit"/>
      </w:pPr>
      <w:r w:rsidRPr="008F03E5">
        <w:t>Samiramis (Semiramis)</w:t>
      </w:r>
      <w:r w:rsidRPr="008F03E5">
        <w:tab/>
        <w:t>Samírámís</w:t>
      </w:r>
      <w:r w:rsidRPr="008F03E5">
        <w:tab/>
        <w:t xml:space="preserve">a mythical and a historical early 9th century </w:t>
      </w:r>
      <w:r w:rsidRPr="008F03E5">
        <w:rPr>
          <w:sz w:val="16"/>
          <w:szCs w:val="16"/>
        </w:rPr>
        <w:t>BCE</w:t>
      </w:r>
      <w:r w:rsidRPr="008F03E5">
        <w:t xml:space="preserve"> Armenian queen.</w:t>
      </w:r>
    </w:p>
    <w:p w14:paraId="79E50F18" w14:textId="77777777" w:rsidR="00625A5B" w:rsidRPr="008F03E5" w:rsidRDefault="00625A5B" w:rsidP="00B75456">
      <w:pPr>
        <w:pStyle w:val="Translit"/>
      </w:pPr>
      <w:r w:rsidRPr="00BC189D">
        <w:rPr>
          <w:lang w:val="it-IT"/>
        </w:rPr>
        <w:t>Samiri (Sameri), Samiriyun</w:t>
      </w:r>
      <w:r w:rsidRPr="00BC189D">
        <w:rPr>
          <w:lang w:val="it-IT"/>
        </w:rPr>
        <w:tab/>
        <w:t xml:space="preserve">Sámirí, pl. </w:t>
      </w:r>
      <w:r w:rsidRPr="008F03E5">
        <w:t>Sámiríyún</w:t>
      </w:r>
      <w:r w:rsidRPr="008F03E5">
        <w:tab/>
        <w:t>o</w:t>
      </w:r>
      <w:r w:rsidRPr="008F03E5">
        <w:rPr>
          <w:rFonts w:eastAsia="Times New Roman"/>
        </w:rPr>
        <w:t xml:space="preserve">f or belonging to Sámir. </w:t>
      </w:r>
      <w:r w:rsidRPr="008F03E5">
        <w:t xml:space="preserve"> </w:t>
      </w:r>
      <w:r w:rsidRPr="008F03E5">
        <w:rPr>
          <w:rFonts w:eastAsia="Times New Roman"/>
        </w:rPr>
        <w:t>Samaritan; Samaritan language</w:t>
      </w:r>
      <w:r w:rsidRPr="008F03E5">
        <w:t xml:space="preserve">.  as-Sámira, the Samaritans.  as-Sámirí (predating by centuries the building of Samaria) in the Qur’án is unlikely to be a personal name—possibly Shemer (Egyptian) or Shamar (Hebrew, “guard, watchman”).  According to Qur’án 20:88, Sámirí (possibly a magician in the court of Pharaoh during the time of Moses) built the biblical “golden calf” that made a “lowing” sound.  See </w:t>
      </w:r>
      <w:r w:rsidRPr="008F03E5">
        <w:rPr>
          <w:u w:val="single"/>
        </w:rPr>
        <w:t>kh</w:t>
      </w:r>
      <w:r w:rsidRPr="008F03E5">
        <w:t>uwár.</w:t>
      </w:r>
    </w:p>
    <w:p w14:paraId="63810F4A" w14:textId="77777777" w:rsidR="00625A5B" w:rsidRPr="008F03E5" w:rsidRDefault="00625A5B" w:rsidP="005F2044">
      <w:pPr>
        <w:pStyle w:val="Translit"/>
      </w:pPr>
      <w:r w:rsidRPr="008F03E5">
        <w:rPr>
          <w:rFonts w:eastAsia="PMingLiU"/>
          <w:lang w:eastAsia="zh-TW"/>
        </w:rPr>
        <w:t>Samit</w:t>
      </w:r>
      <w:r w:rsidRPr="008F03E5">
        <w:tab/>
        <w:t>Ṣ</w:t>
      </w:r>
      <w:r w:rsidRPr="008F03E5">
        <w:rPr>
          <w:rFonts w:eastAsia="PMingLiU"/>
          <w:lang w:eastAsia="zh-TW"/>
        </w:rPr>
        <w:t xml:space="preserve">ámit, pl. </w:t>
      </w:r>
      <w:r w:rsidRPr="008F03E5">
        <w:t>Ṣ</w:t>
      </w:r>
      <w:r w:rsidRPr="008F03E5">
        <w:rPr>
          <w:rFonts w:eastAsia="PMingLiU"/>
          <w:lang w:eastAsia="zh-TW"/>
        </w:rPr>
        <w:t>umm</w:t>
      </w:r>
      <w:r w:rsidRPr="008F03E5">
        <w:t>á</w:t>
      </w:r>
      <w:r w:rsidRPr="008F03E5">
        <w:rPr>
          <w:rFonts w:eastAsia="PMingLiU"/>
          <w:lang w:eastAsia="zh-TW"/>
        </w:rPr>
        <w:t>t</w:t>
      </w:r>
      <w:r w:rsidRPr="008F03E5">
        <w:tab/>
        <w:t>enjoying another’s misfortune.  ‘Ubaydah ibn aṣ-Ṣámit was a notable companion of Muḥammad and a well respected chieftain of the Anṣár tribes confederation, which participated in almost every battle during the time of Muḥammad.  His official title, according to Muslim scholarly tradition, was ‘Ubadah bin Ṣámit al-Anṣárí al-Badrí due to his actions at the Battle of Badr.</w:t>
      </w:r>
    </w:p>
    <w:p w14:paraId="69348896" w14:textId="77777777" w:rsidR="00625A5B" w:rsidRPr="008F03E5" w:rsidRDefault="00625A5B" w:rsidP="001B7967">
      <w:pPr>
        <w:pStyle w:val="Translit"/>
      </w:pPr>
      <w:r w:rsidRPr="008F03E5">
        <w:t>Samiy (Pers. Samiyyih)</w:t>
      </w:r>
      <w:r w:rsidRPr="008F03E5">
        <w:tab/>
        <w:t>Samíy</w:t>
      </w:r>
      <w:r w:rsidRPr="008F03E5">
        <w:tab/>
        <w:t>high, elevated; exalted, lofty, sublime, august; namesake</w:t>
      </w:r>
    </w:p>
    <w:p w14:paraId="1F68C241" w14:textId="77777777" w:rsidR="00625A5B" w:rsidRPr="008F03E5" w:rsidRDefault="00625A5B" w:rsidP="00C94825">
      <w:pPr>
        <w:pStyle w:val="Translit"/>
      </w:pPr>
      <w:r w:rsidRPr="001457C8">
        <w:rPr>
          <w:lang w:val="de-DE"/>
        </w:rPr>
        <w:t>Samm, Sammat, Sumum, Simam</w:t>
      </w:r>
      <w:r w:rsidRPr="001457C8">
        <w:rPr>
          <w:lang w:val="de-DE"/>
        </w:rPr>
        <w:tab/>
        <w:t xml:space="preserve">Sámm, fem. </w:t>
      </w:r>
      <w:r w:rsidRPr="008F03E5">
        <w:t>Sámmat, pl. Sumúm, Simám</w:t>
      </w:r>
      <w:r w:rsidRPr="008F03E5">
        <w:tab/>
        <w:t>poison, toxin; venom; opening, hole; eye (of a needle).  A pun of as-salámu ‘alaykum is as-sámmu ‘alaykum.</w:t>
      </w:r>
    </w:p>
    <w:p w14:paraId="10F0F056" w14:textId="77777777" w:rsidR="00625A5B" w:rsidRPr="008F03E5" w:rsidRDefault="00625A5B" w:rsidP="00D37D1B">
      <w:pPr>
        <w:pStyle w:val="Translit"/>
      </w:pPr>
      <w:r w:rsidRPr="008F03E5">
        <w:t>Samn, Sumum</w:t>
      </w:r>
      <w:r w:rsidRPr="008F03E5">
        <w:tab/>
        <w:t>Samn, pl. Sumún</w:t>
      </w:r>
      <w:r w:rsidRPr="008F03E5">
        <w:tab/>
        <w:t>clarified butter (ghee), cooking butter</w:t>
      </w:r>
    </w:p>
    <w:p w14:paraId="0640D9FA" w14:textId="77777777" w:rsidR="00625A5B" w:rsidRPr="008F03E5" w:rsidRDefault="00625A5B" w:rsidP="00F547D3">
      <w:pPr>
        <w:pStyle w:val="Translit"/>
      </w:pPr>
      <w:r w:rsidRPr="008F03E5">
        <w:t>Samnan (Semnan)</w:t>
      </w:r>
      <w:r w:rsidRPr="008F03E5">
        <w:tab/>
        <w:t>Samnán</w:t>
      </w:r>
      <w:r w:rsidRPr="008F03E5">
        <w:tab/>
        <w:t>the capital city (180 km east of Ṭihrán) of Semnan Province, Iran</w:t>
      </w:r>
    </w:p>
    <w:p w14:paraId="00F71148" w14:textId="77777777" w:rsidR="00625A5B" w:rsidRPr="008F03E5" w:rsidRDefault="00625A5B" w:rsidP="008F45D0">
      <w:pPr>
        <w:pStyle w:val="Translit"/>
      </w:pPr>
      <w:r w:rsidRPr="008F03E5">
        <w:t>Samra, Samrih</w:t>
      </w:r>
      <w:r w:rsidRPr="008F03E5">
        <w:tab/>
        <w:t>as-Samrá, Pers. Samrih</w:t>
      </w:r>
      <w:r w:rsidRPr="008F03E5">
        <w:tab/>
        <w:t>was a Palestinian Arab village 10 km southeast of Tiberias.  It was depopulated during the 1947–1948 Civil War in Mandatory Palestine on 21 April 1948—later it was destroyed.  It was one of three villages where ‘Abdu’l-Bahá grew corn and wheat during the First World War.  See ‘Adasíya and an-Nuqayb.  See asmar</w:t>
      </w:r>
    </w:p>
    <w:p w14:paraId="215EB93F" w14:textId="77777777" w:rsidR="00625A5B" w:rsidRPr="008F03E5" w:rsidRDefault="00625A5B" w:rsidP="00FD5971">
      <w:pPr>
        <w:pStyle w:val="Translit"/>
      </w:pPr>
      <w:r w:rsidRPr="008F03E5">
        <w:t>Samsun</w:t>
      </w:r>
      <w:r w:rsidRPr="008F03E5">
        <w:tab/>
        <w:t>Sámsún</w:t>
      </w:r>
      <w:r w:rsidRPr="008F03E5">
        <w:tab/>
        <w:t xml:space="preserve">Black Sea port, </w:t>
      </w:r>
      <w:r>
        <w:t xml:space="preserve">Anatolia, </w:t>
      </w:r>
      <w:r w:rsidRPr="008F03E5">
        <w:t>Türkiye</w:t>
      </w:r>
    </w:p>
    <w:p w14:paraId="49F5614E" w14:textId="77777777" w:rsidR="00625A5B" w:rsidRPr="008F03E5" w:rsidRDefault="00625A5B" w:rsidP="00710109">
      <w:pPr>
        <w:pStyle w:val="Translit"/>
      </w:pPr>
      <w:r w:rsidRPr="008F03E5">
        <w:t>San’ai (Sana’a)</w:t>
      </w:r>
      <w:r w:rsidRPr="008F03E5">
        <w:tab/>
        <w:t>Ṣan‘á’</w:t>
      </w:r>
      <w:r w:rsidRPr="008F03E5">
        <w:tab/>
        <w:t>capital and largest city in Yemen.  It is one of the oldest, continuously inhabited, cities in the world.</w:t>
      </w:r>
    </w:p>
    <w:p w14:paraId="65A2D43F" w14:textId="77777777" w:rsidR="00625A5B" w:rsidRPr="008F03E5" w:rsidRDefault="00625A5B" w:rsidP="00126E31">
      <w:pPr>
        <w:pStyle w:val="Translit"/>
      </w:pPr>
      <w:r w:rsidRPr="008F03E5">
        <w:t>San’at</w:t>
      </w:r>
      <w:r w:rsidRPr="008F03E5">
        <w:tab/>
        <w:t>Ṣaní‘at</w:t>
      </w:r>
      <w:r w:rsidRPr="008F03E5">
        <w:tab/>
        <w:t>an art, action</w:t>
      </w:r>
    </w:p>
    <w:p w14:paraId="32B5747E" w14:textId="77777777" w:rsidR="00625A5B" w:rsidRPr="008F03E5" w:rsidRDefault="00625A5B" w:rsidP="00E22A0C">
      <w:pPr>
        <w:pStyle w:val="Translit"/>
      </w:pPr>
      <w:r w:rsidRPr="008F03E5">
        <w:t>Sana Hijriya</w:t>
      </w:r>
      <w:r w:rsidRPr="008F03E5">
        <w:tab/>
        <w:t>Sana Hijríya</w:t>
      </w:r>
      <w:r w:rsidRPr="008F03E5">
        <w:tab/>
        <w:t xml:space="preserve">year of the Muslim era (after the hegira), </w:t>
      </w:r>
      <w:r w:rsidRPr="008F03E5">
        <w:rPr>
          <w:sz w:val="16"/>
          <w:szCs w:val="16"/>
        </w:rPr>
        <w:t>A.H</w:t>
      </w:r>
      <w:r w:rsidRPr="008F03E5">
        <w:t>.</w:t>
      </w:r>
    </w:p>
    <w:p w14:paraId="7642C60F" w14:textId="77777777" w:rsidR="00625A5B" w:rsidRPr="008F03E5" w:rsidRDefault="00625A5B" w:rsidP="004220E1">
      <w:pPr>
        <w:pStyle w:val="Translit"/>
      </w:pPr>
      <w:r w:rsidRPr="008F03E5">
        <w:t>Sana Miladiya</w:t>
      </w:r>
      <w:r w:rsidRPr="008F03E5">
        <w:tab/>
        <w:t>Sana Míládíya</w:t>
      </w:r>
      <w:r w:rsidRPr="008F03E5">
        <w:tab/>
        <w:t xml:space="preserve">year of the Christian era, </w:t>
      </w:r>
      <w:r w:rsidRPr="008F03E5">
        <w:rPr>
          <w:sz w:val="16"/>
          <w:szCs w:val="16"/>
        </w:rPr>
        <w:t>CE</w:t>
      </w:r>
    </w:p>
    <w:p w14:paraId="7AB527CE" w14:textId="77777777" w:rsidR="00625A5B" w:rsidRPr="008F03E5" w:rsidRDefault="00625A5B" w:rsidP="00165D22">
      <w:pPr>
        <w:pStyle w:val="Translit"/>
      </w:pPr>
      <w:r w:rsidRPr="008F03E5">
        <w:t>Sana Muhammadiya</w:t>
      </w:r>
      <w:r w:rsidRPr="008F03E5">
        <w:tab/>
        <w:t>Sana Muḥammadíya[h]</w:t>
      </w:r>
      <w:r w:rsidRPr="008F03E5">
        <w:tab/>
        <w:t>year of Muḥammad—better would be sana islámí (Islamic year)</w:t>
      </w:r>
    </w:p>
    <w:p w14:paraId="12C4FB81" w14:textId="77777777" w:rsidR="00625A5B" w:rsidRPr="008F03E5" w:rsidRDefault="00625A5B" w:rsidP="005D5AAC">
      <w:pPr>
        <w:pStyle w:val="Translit"/>
      </w:pPr>
      <w:r w:rsidRPr="008F03E5">
        <w:t>Sana, Sinun, Sanawat</w:t>
      </w:r>
      <w:r w:rsidRPr="008F03E5">
        <w:tab/>
        <w:t>Sana[h or t], pl. Sinún, Sanawát</w:t>
      </w:r>
      <w:r w:rsidRPr="008F03E5">
        <w:tab/>
        <w:t>year.  ra’s as-sanat, New Year.  yawm ra’s a</w:t>
      </w:r>
      <w:r>
        <w:t>s</w:t>
      </w:r>
      <w:r w:rsidRPr="008F03E5">
        <w:t>-sanat al-jadídah, new year’s day.</w:t>
      </w:r>
    </w:p>
    <w:p w14:paraId="29F14C78" w14:textId="77777777" w:rsidR="00625A5B" w:rsidRPr="008F03E5" w:rsidRDefault="00625A5B" w:rsidP="00A21F2F">
      <w:pPr>
        <w:pStyle w:val="Translit"/>
      </w:pPr>
      <w:r w:rsidRPr="008F03E5">
        <w:t>Sana’ al-Barq</w:t>
      </w:r>
      <w:r w:rsidRPr="008F03E5">
        <w:tab/>
        <w:t>Saná’ al-Barq</w:t>
      </w:r>
      <w:r w:rsidRPr="008F03E5">
        <w:tab/>
      </w:r>
      <w:r w:rsidRPr="008F03E5">
        <w:rPr>
          <w:i/>
          <w:iCs/>
        </w:rPr>
        <w:t>The Brilliance of Lightning</w:t>
      </w:r>
      <w:r w:rsidRPr="008F03E5">
        <w:t>, written by Sayyid Ja‘far al-Ka</w:t>
      </w:r>
      <w:r w:rsidRPr="008F03E5">
        <w:rPr>
          <w:u w:val="single"/>
        </w:rPr>
        <w:t>sh</w:t>
      </w:r>
      <w:r w:rsidRPr="008F03E5">
        <w:t>fí, father of Sayyid Yaḥyá Darábí</w:t>
      </w:r>
    </w:p>
    <w:p w14:paraId="290F71CF" w14:textId="77777777" w:rsidR="00625A5B" w:rsidRPr="008F03E5" w:rsidRDefault="00625A5B" w:rsidP="00126E31">
      <w:pPr>
        <w:pStyle w:val="Translit"/>
      </w:pPr>
      <w:r w:rsidRPr="008F03E5">
        <w:t>Sana’</w:t>
      </w:r>
      <w:r w:rsidRPr="008F03E5">
        <w:tab/>
        <w:t>Saná’</w:t>
      </w:r>
      <w:r w:rsidRPr="008F03E5">
        <w:tab/>
        <w:t xml:space="preserve">brilliance, resplendence, splendour, radiance, flash, flare (of lightning); exaltedness, sublimity, majesty, high rank; </w:t>
      </w:r>
      <w:r w:rsidRPr="008F03E5">
        <w:rPr>
          <w:rFonts w:eastAsia="Times New Roman"/>
        </w:rPr>
        <w:t>eminence, dignity; meridian</w:t>
      </w:r>
    </w:p>
    <w:p w14:paraId="508DE059" w14:textId="77777777" w:rsidR="00625A5B" w:rsidRPr="008F03E5" w:rsidRDefault="00625A5B" w:rsidP="00B0412C">
      <w:pPr>
        <w:pStyle w:val="Translit"/>
      </w:pPr>
      <w:r w:rsidRPr="008F03E5">
        <w:t>Sana’i</w:t>
      </w:r>
      <w:r w:rsidRPr="008F03E5">
        <w:tab/>
        <w:t>Saná’í</w:t>
      </w:r>
      <w:r w:rsidRPr="008F03E5">
        <w:tab/>
        <w:t xml:space="preserve">Ḥakím Abu’l-Majd Majdúd ibn Ádam Saná’í </w:t>
      </w:r>
      <w:r w:rsidRPr="008F03E5">
        <w:rPr>
          <w:u w:val="single"/>
        </w:rPr>
        <w:t>Gh</w:t>
      </w:r>
      <w:r w:rsidRPr="008F03E5">
        <w:t xml:space="preserve">aznawí, a Persian poet from </w:t>
      </w:r>
      <w:r w:rsidRPr="008F03E5">
        <w:rPr>
          <w:u w:val="single"/>
        </w:rPr>
        <w:t>Gh</w:t>
      </w:r>
      <w:r w:rsidRPr="008F03E5">
        <w:t>azní, now in Afghanistan, between the 11th century and the 12th century.  He died between 1131 and 1141.</w:t>
      </w:r>
    </w:p>
    <w:p w14:paraId="6DE4A17A" w14:textId="77777777" w:rsidR="00625A5B" w:rsidRDefault="00625A5B" w:rsidP="005F1112">
      <w:pPr>
        <w:pStyle w:val="Translit"/>
      </w:pPr>
      <w:r w:rsidRPr="008F03E5">
        <w:t>Sana’</w:t>
      </w:r>
      <w:r>
        <w:t>u’llah</w:t>
      </w:r>
      <w:r w:rsidRPr="008F03E5">
        <w:tab/>
        <w:t>Saná’</w:t>
      </w:r>
      <w:r>
        <w:t>u’ll</w:t>
      </w:r>
      <w:r w:rsidRPr="00E7154B">
        <w:t>á</w:t>
      </w:r>
      <w:r>
        <w:t>h</w:t>
      </w:r>
      <w:r w:rsidRPr="008F03E5">
        <w:tab/>
      </w:r>
      <w:r>
        <w:t xml:space="preserve">“Brilliance of God”, a title of Bahá’u’lláh.  </w:t>
      </w:r>
      <w:r w:rsidRPr="005F1112">
        <w:t>It signifies the divine splendo</w:t>
      </w:r>
      <w:r>
        <w:t>u</w:t>
      </w:r>
      <w:r w:rsidRPr="005F1112">
        <w:t>r and light associated with Baháʼu’lláh’s mission</w:t>
      </w:r>
      <w:r>
        <w:t>.</w:t>
      </w:r>
    </w:p>
    <w:p w14:paraId="7713BBC7" w14:textId="77777777" w:rsidR="00625A5B" w:rsidRPr="008F03E5" w:rsidRDefault="00625A5B" w:rsidP="00ED3E10">
      <w:pPr>
        <w:pStyle w:val="Translit"/>
      </w:pPr>
      <w:r w:rsidRPr="008F03E5">
        <w:t>Sanaiyan</w:t>
      </w:r>
      <w:r w:rsidRPr="008F03E5">
        <w:tab/>
        <w:t>Sanawíyan</w:t>
      </w:r>
      <w:r w:rsidRPr="008F03E5">
        <w:tab/>
        <w:t>annually, yearly, in one year, per year, per annum</w:t>
      </w:r>
    </w:p>
    <w:p w14:paraId="4B17C83D" w14:textId="77777777" w:rsidR="00625A5B" w:rsidRPr="008F03E5" w:rsidRDefault="00625A5B" w:rsidP="00B00F59">
      <w:pPr>
        <w:pStyle w:val="Translit"/>
      </w:pPr>
      <w:r w:rsidRPr="008F03E5">
        <w:t>Sanam, Asnam</w:t>
      </w:r>
      <w:r w:rsidRPr="008F03E5">
        <w:tab/>
        <w:t>Ṣanam, pl. Aṣnám</w:t>
      </w:r>
      <w:r w:rsidRPr="008F03E5">
        <w:tab/>
        <w:t>idol, image</w:t>
      </w:r>
    </w:p>
    <w:p w14:paraId="6A69AB3E" w14:textId="77777777" w:rsidR="00625A5B" w:rsidRPr="008F03E5" w:rsidRDefault="00625A5B" w:rsidP="004E0C0E">
      <w:pPr>
        <w:pStyle w:val="Translit"/>
      </w:pPr>
      <w:r w:rsidRPr="00077779">
        <w:rPr>
          <w:lang w:val="en-AU"/>
        </w:rPr>
        <w:t>Sanandaj</w:t>
      </w:r>
      <w:r w:rsidRPr="00077779">
        <w:rPr>
          <w:lang w:val="en-AU"/>
        </w:rPr>
        <w:tab/>
        <w:t>Sanandaj</w:t>
      </w:r>
      <w:r w:rsidRPr="00077779">
        <w:rPr>
          <w:lang w:val="en-AU"/>
        </w:rPr>
        <w:tab/>
        <w:t>Provincial capital</w:t>
      </w:r>
      <w:r>
        <w:rPr>
          <w:lang w:val="en-AU"/>
        </w:rPr>
        <w:t xml:space="preserve"> (</w:t>
      </w:r>
      <w:r w:rsidRPr="004E0C0E">
        <w:rPr>
          <w:lang w:val="en-AU"/>
        </w:rPr>
        <w:t>35.312666, 46.996324</w:t>
      </w:r>
      <w:r>
        <w:rPr>
          <w:lang w:val="en-AU"/>
        </w:rPr>
        <w:t>)</w:t>
      </w:r>
      <w:r w:rsidRPr="00077779">
        <w:rPr>
          <w:lang w:val="en-AU"/>
        </w:rPr>
        <w:t xml:space="preserve"> of Persian Kurdistán.  </w:t>
      </w:r>
      <w:r w:rsidRPr="008F03E5">
        <w:t xml:space="preserve">Also called </w:t>
      </w:r>
      <w:r>
        <w:t>Sinna (</w:t>
      </w:r>
      <w:r w:rsidRPr="008F03E5">
        <w:t>“Senna”</w:t>
      </w:r>
      <w:r>
        <w:t>) from Kurdish.</w:t>
      </w:r>
    </w:p>
    <w:p w14:paraId="72DB569E" w14:textId="77777777" w:rsidR="00625A5B" w:rsidRPr="008F03E5" w:rsidRDefault="00625A5B" w:rsidP="00FF2D50">
      <w:pPr>
        <w:pStyle w:val="Translit"/>
      </w:pPr>
      <w:r w:rsidRPr="008F03E5">
        <w:t>Sanat, Sana</w:t>
      </w:r>
      <w:r w:rsidRPr="008F03E5">
        <w:tab/>
        <w:t>Sanat, Sana</w:t>
      </w:r>
      <w:r w:rsidRPr="008F03E5">
        <w:tab/>
        <w:t>Pers. a year; a single revolution of the sun.  See sunna</w:t>
      </w:r>
    </w:p>
    <w:p w14:paraId="6396D738" w14:textId="77777777" w:rsidR="00625A5B" w:rsidRPr="008F03E5" w:rsidRDefault="00625A5B" w:rsidP="00ED3E10">
      <w:pPr>
        <w:pStyle w:val="Translit"/>
      </w:pPr>
      <w:r w:rsidRPr="008F03E5">
        <w:t>Sanawi</w:t>
      </w:r>
      <w:r w:rsidRPr="008F03E5">
        <w:tab/>
        <w:t>Sanawí</w:t>
      </w:r>
      <w:r w:rsidRPr="008F03E5">
        <w:tab/>
        <w:t>annual, yearly</w:t>
      </w:r>
    </w:p>
    <w:p w14:paraId="2CCB67DF" w14:textId="77777777" w:rsidR="00625A5B" w:rsidRPr="008F03E5" w:rsidRDefault="00625A5B" w:rsidP="00DA3B11">
      <w:pPr>
        <w:pStyle w:val="Translit"/>
      </w:pPr>
      <w:r w:rsidRPr="008F03E5">
        <w:t>Sanduq al-Khayr</w:t>
      </w:r>
      <w:r w:rsidRPr="008F03E5">
        <w:tab/>
        <w:t>a</w:t>
      </w:r>
      <w:r w:rsidRPr="00DA3B11">
        <w:t>ṣ</w:t>
      </w:r>
      <w:r w:rsidRPr="008F03E5">
        <w:t>-Ṣandúq al-</w:t>
      </w:r>
      <w:r w:rsidRPr="008F03E5">
        <w:rPr>
          <w:u w:val="single"/>
        </w:rPr>
        <w:t>Kh</w:t>
      </w:r>
      <w:r w:rsidRPr="008F03E5">
        <w:t>ayr</w:t>
      </w:r>
      <w:r w:rsidRPr="008F03E5">
        <w:tab/>
        <w:t>benevolent fund</w:t>
      </w:r>
    </w:p>
    <w:p w14:paraId="125C9867" w14:textId="77777777" w:rsidR="00625A5B" w:rsidRPr="008F03E5" w:rsidRDefault="00625A5B" w:rsidP="00DA3B11">
      <w:pPr>
        <w:pStyle w:val="Translit"/>
      </w:pPr>
      <w:r w:rsidRPr="008F03E5">
        <w:t>Sanduq-dar</w:t>
      </w:r>
      <w:r w:rsidRPr="008F03E5">
        <w:tab/>
        <w:t>Ṣandúq-dár</w:t>
      </w:r>
      <w:r w:rsidRPr="008F03E5">
        <w:tab/>
        <w:t xml:space="preserve">“Treasurer of the </w:t>
      </w:r>
      <w:r>
        <w:t>s</w:t>
      </w:r>
      <w:r w:rsidRPr="008F03E5">
        <w:t>avings”</w:t>
      </w:r>
    </w:p>
    <w:p w14:paraId="054F585A" w14:textId="77777777" w:rsidR="00625A5B" w:rsidRPr="008F03E5" w:rsidRDefault="00625A5B" w:rsidP="00A37962">
      <w:pPr>
        <w:pStyle w:val="Translit"/>
      </w:pPr>
      <w:r w:rsidRPr="001457C8">
        <w:rPr>
          <w:lang w:val="de-DE"/>
        </w:rPr>
        <w:t>Sang, Sang-ha</w:t>
      </w:r>
      <w:r w:rsidRPr="001457C8">
        <w:rPr>
          <w:lang w:val="de-DE"/>
        </w:rPr>
        <w:tab/>
        <w:t xml:space="preserve">Sang, pl. </w:t>
      </w:r>
      <w:r w:rsidRPr="008F03E5">
        <w:t>Sang-há</w:t>
      </w:r>
      <w:r w:rsidRPr="008F03E5">
        <w:tab/>
        <w:t>Pers. a stone; a rock; a weight; a tombstone; stone of a sealing-ring; dumb-bells of athletes; a cannon-ball; gravity, authority, dignity; value, worth, price; equality</w:t>
      </w:r>
    </w:p>
    <w:p w14:paraId="4FFD1942" w14:textId="77777777" w:rsidR="00625A5B" w:rsidRPr="008F03E5" w:rsidRDefault="00625A5B" w:rsidP="00D97E0A">
      <w:pPr>
        <w:pStyle w:val="Translit"/>
      </w:pPr>
      <w:r w:rsidRPr="008F03E5">
        <w:t>Sanglaj (Sangelaj)</w:t>
      </w:r>
      <w:r w:rsidRPr="008F03E5">
        <w:tab/>
        <w:t>Sanglaj</w:t>
      </w:r>
      <w:r w:rsidRPr="008F03E5">
        <w:tab/>
        <w:t>Pers. a neighbourhood of District 12 (west of the Golestan Palace), Ṭihrán</w:t>
      </w:r>
    </w:p>
    <w:p w14:paraId="3BBEEB65" w14:textId="77777777" w:rsidR="00625A5B" w:rsidRPr="008F03E5" w:rsidRDefault="00625A5B" w:rsidP="00D97E0A">
      <w:pPr>
        <w:pStyle w:val="Translit"/>
      </w:pPr>
      <w:r w:rsidRPr="008F03E5">
        <w:t>Sangsar (Sang-i-Sar, Sang-Sar)</w:t>
      </w:r>
      <w:r w:rsidRPr="008F03E5">
        <w:tab/>
        <w:t>Sangsar (Sang-i-Sar, Sang-Sar)</w:t>
      </w:r>
      <w:r w:rsidRPr="008F03E5">
        <w:tab/>
        <w:t>Pers. stone + head = headstrong.  A city now called Mahdí-</w:t>
      </w:r>
      <w:r w:rsidRPr="008F03E5">
        <w:rPr>
          <w:u w:val="single"/>
        </w:rPr>
        <w:t>Sh</w:t>
      </w:r>
      <w:r w:rsidRPr="008F03E5">
        <w:t>ahr.  See Mahdí-</w:t>
      </w:r>
      <w:r w:rsidRPr="008F03E5">
        <w:rPr>
          <w:u w:val="single"/>
        </w:rPr>
        <w:t>Sh</w:t>
      </w:r>
      <w:r w:rsidRPr="008F03E5">
        <w:t>ahr.</w:t>
      </w:r>
    </w:p>
    <w:p w14:paraId="2659432E" w14:textId="77777777" w:rsidR="00625A5B" w:rsidRPr="008F03E5" w:rsidRDefault="00625A5B" w:rsidP="002179EB">
      <w:pPr>
        <w:pStyle w:val="Translit"/>
      </w:pPr>
      <w:r w:rsidRPr="008F03E5">
        <w:t>Sangsar (Sang-i-Sar, Sang-Sar)</w:t>
      </w:r>
      <w:r w:rsidRPr="008F03E5">
        <w:tab/>
        <w:t>Sangsár (Sang-i-Sár, Sang-Sár)</w:t>
      </w:r>
      <w:r w:rsidRPr="008F03E5">
        <w:tab/>
        <w:t>Pers. stoning to death.  A small village (near the Turkmenistan border; 38.211599, 56.976785), in Bojnord County, North Khorasan Province, Iran.</w:t>
      </w:r>
    </w:p>
    <w:p w14:paraId="49730C1C" w14:textId="77777777" w:rsidR="00625A5B" w:rsidRPr="008F03E5" w:rsidRDefault="00625A5B" w:rsidP="00624CF2">
      <w:pPr>
        <w:pStyle w:val="Translit"/>
      </w:pPr>
      <w:r w:rsidRPr="008F03E5">
        <w:t>Sangsara, Sang Sara</w:t>
      </w:r>
      <w:r w:rsidRPr="008F03E5">
        <w:tab/>
        <w:t>Sang Sará</w:t>
      </w:r>
      <w:r w:rsidRPr="008F03E5">
        <w:tab/>
        <w:t>a very small village (also known as Sangsar, 18 km south of Láríján, 37.040964, 50.006681) in Gilan Province, Iran.  A small village (near Caspian Sea, 36.575771, 51.733581) 25 km west of Núr in Mazandaran Province.</w:t>
      </w:r>
    </w:p>
    <w:p w14:paraId="5DA46430" w14:textId="77777777" w:rsidR="00625A5B" w:rsidRPr="008F03E5" w:rsidRDefault="00625A5B" w:rsidP="00AB6243">
      <w:pPr>
        <w:pStyle w:val="Translit"/>
      </w:pPr>
      <w:r w:rsidRPr="008F03E5">
        <w:t>Sani’</w:t>
      </w:r>
      <w:r w:rsidRPr="008F03E5">
        <w:tab/>
        <w:t>Ṣaní‘</w:t>
      </w:r>
      <w:r w:rsidRPr="008F03E5">
        <w:tab/>
        <w:t>any work of art; operation, creation, performance, act, deed; a creature of God; a present, gift, donative; well groomed and fed (horse); polished and proved (sword, arrow, etc.)</w:t>
      </w:r>
    </w:p>
    <w:p w14:paraId="06A4735C" w14:textId="77777777" w:rsidR="00625A5B" w:rsidRPr="008F03E5" w:rsidRDefault="00625A5B" w:rsidP="00CA3625">
      <w:pPr>
        <w:pStyle w:val="Translit"/>
      </w:pPr>
      <w:r w:rsidRPr="008F03E5">
        <w:t>Saniy (Sani), Saniya</w:t>
      </w:r>
      <w:r w:rsidRPr="008F03E5">
        <w:tab/>
        <w:t>Saníy, fem. Saníya[h or t]</w:t>
      </w:r>
      <w:r w:rsidRPr="008F03E5">
        <w:tab/>
        <w:t>high, lofy, sublime, exalted, splendid, flashing, shining, more shining, more radiant, more brilliant.  Pers. may use Saní.</w:t>
      </w:r>
    </w:p>
    <w:p w14:paraId="6DEA55CE" w14:textId="77777777" w:rsidR="00625A5B" w:rsidRPr="008F03E5" w:rsidRDefault="00625A5B" w:rsidP="001A77FC">
      <w:pPr>
        <w:pStyle w:val="Translit"/>
      </w:pPr>
      <w:r w:rsidRPr="008F03E5">
        <w:t>Sanjar (Senjar)</w:t>
      </w:r>
      <w:r w:rsidRPr="008F03E5">
        <w:tab/>
        <w:t>Sanjar</w:t>
      </w:r>
      <w:r w:rsidRPr="008F03E5">
        <w:tab/>
        <w:t>Pers. a prince, emperor, king; name of a celebrated monarch; name of a hunting bird; ecstasied, enraptured.  A village 6 km west of Dizfúl</w:t>
      </w:r>
    </w:p>
    <w:p w14:paraId="51EAA151" w14:textId="77777777" w:rsidR="00625A5B" w:rsidRPr="008F03E5" w:rsidRDefault="00625A5B" w:rsidP="006F68E7">
      <w:pPr>
        <w:pStyle w:val="Translit"/>
      </w:pPr>
      <w:r w:rsidRPr="008F03E5">
        <w:t>Santur</w:t>
      </w:r>
      <w:r w:rsidRPr="008F03E5">
        <w:tab/>
        <w:t>Santúr</w:t>
      </w:r>
      <w:r w:rsidRPr="008F03E5">
        <w:tab/>
        <w:t>Pers. a hammered dulcimer of Iranian origin</w:t>
      </w:r>
    </w:p>
    <w:p w14:paraId="313B8668" w14:textId="77777777" w:rsidR="00625A5B" w:rsidRPr="008F03E5" w:rsidRDefault="00625A5B" w:rsidP="001C4144">
      <w:pPr>
        <w:pStyle w:val="Translit"/>
      </w:pPr>
      <w:r w:rsidRPr="008F03E5">
        <w:t>Saoshyant (Soshans)</w:t>
      </w:r>
      <w:r w:rsidRPr="008F03E5">
        <w:tab/>
        <w:t>Saoshyant (Sósháns)</w:t>
      </w:r>
      <w:r w:rsidRPr="008F03E5">
        <w:tab/>
        <w:t>from Avestan, “one who brings benefit”, saviour, benefactor.  Name of a saviour figure in Zoroastrian tradition used for three saviour figures (Muḥammad (Ú</w:t>
      </w:r>
      <w:r w:rsidRPr="008F03E5">
        <w:rPr>
          <w:u w:val="single"/>
        </w:rPr>
        <w:t>sh</w:t>
      </w:r>
      <w:r w:rsidRPr="008F03E5">
        <w:t>ídar Bumí), the Báb (Ú</w:t>
      </w:r>
      <w:r w:rsidRPr="008F03E5">
        <w:rPr>
          <w:u w:val="single"/>
        </w:rPr>
        <w:t>sh</w:t>
      </w:r>
      <w:r w:rsidRPr="008F03E5">
        <w:t xml:space="preserve">ídar Máh) and Bahá’u’lláh (He claimed to be the </w:t>
      </w:r>
      <w:r w:rsidRPr="008F03E5">
        <w:rPr>
          <w:u w:val="single"/>
        </w:rPr>
        <w:t>Sh</w:t>
      </w:r>
      <w:r w:rsidRPr="008F03E5">
        <w:t>áh Bahrám Varjávand)) that progressively bring about the final renovation.</w:t>
      </w:r>
    </w:p>
    <w:p w14:paraId="539FFF6C" w14:textId="77777777" w:rsidR="00625A5B" w:rsidRPr="008F03E5" w:rsidRDefault="00625A5B" w:rsidP="00876492">
      <w:pPr>
        <w:pStyle w:val="Translit"/>
      </w:pPr>
      <w:r w:rsidRPr="001457C8">
        <w:rPr>
          <w:rFonts w:eastAsia="Times New Roman"/>
          <w:lang w:val="it-IT"/>
        </w:rPr>
        <w:t>Sapid (Saped), Sapida (Sapeda)</w:t>
      </w:r>
      <w:r w:rsidRPr="001457C8">
        <w:rPr>
          <w:rFonts w:eastAsia="Times New Roman"/>
          <w:lang w:val="it-IT"/>
        </w:rPr>
        <w:tab/>
        <w:t>Sap</w:t>
      </w:r>
      <w:r w:rsidRPr="001457C8">
        <w:rPr>
          <w:lang w:val="it-IT"/>
        </w:rPr>
        <w:t>í</w:t>
      </w:r>
      <w:r w:rsidRPr="001457C8">
        <w:rPr>
          <w:rFonts w:eastAsia="Times New Roman"/>
          <w:lang w:val="it-IT"/>
        </w:rPr>
        <w:t xml:space="preserve">d, fem. </w:t>
      </w:r>
      <w:r w:rsidRPr="008F03E5">
        <w:rPr>
          <w:rFonts w:eastAsia="Times New Roman"/>
        </w:rPr>
        <w:t>Sap</w:t>
      </w:r>
      <w:r w:rsidRPr="008F03E5">
        <w:t>í</w:t>
      </w:r>
      <w:r w:rsidRPr="008F03E5">
        <w:rPr>
          <w:rFonts w:eastAsia="Times New Roman"/>
        </w:rPr>
        <w:t>da</w:t>
      </w:r>
      <w:r w:rsidRPr="008F03E5">
        <w:rPr>
          <w:rFonts w:eastAsia="Times New Roman"/>
        </w:rPr>
        <w:tab/>
        <w:t>Pers. white; conspicuous, manifest; empty.  Fem. whiteness; the white of the eye; the dawn; the white of an egg.</w:t>
      </w:r>
    </w:p>
    <w:p w14:paraId="3C16C28D" w14:textId="77777777" w:rsidR="00625A5B" w:rsidRPr="008F03E5" w:rsidRDefault="00625A5B" w:rsidP="000F5EFD">
      <w:pPr>
        <w:pStyle w:val="Translit"/>
      </w:pPr>
      <w:r w:rsidRPr="008F03E5">
        <w:t>Saqar</w:t>
      </w:r>
      <w:r w:rsidRPr="008F03E5">
        <w:tab/>
        <w:t>Saqar fem.</w:t>
      </w:r>
      <w:r w:rsidRPr="008F03E5">
        <w:tab/>
        <w:t>hell</w:t>
      </w:r>
    </w:p>
    <w:p w14:paraId="50327FC7" w14:textId="77777777" w:rsidR="00625A5B" w:rsidRPr="008F03E5" w:rsidRDefault="00625A5B" w:rsidP="006F35C9">
      <w:pPr>
        <w:pStyle w:val="Translit"/>
      </w:pPr>
      <w:r w:rsidRPr="008F03E5">
        <w:t>Saqat, Asqat</w:t>
      </w:r>
      <w:r w:rsidRPr="008F03E5">
        <w:tab/>
        <w:t>Saqaṭ, pl. Asqáṭ</w:t>
      </w:r>
      <w:r w:rsidRPr="008F03E5">
        <w:tab/>
        <w:t>any worthless thing; offal, refuse, rubbish, trash; junk</w:t>
      </w:r>
    </w:p>
    <w:p w14:paraId="3C5CC5FE" w14:textId="77777777" w:rsidR="00625A5B" w:rsidRPr="008F03E5" w:rsidRDefault="00625A5B" w:rsidP="009E4316">
      <w:pPr>
        <w:pStyle w:val="Translit"/>
      </w:pPr>
      <w:r w:rsidRPr="008F03E5">
        <w:t>Saqi, Saghi, Saqiyan</w:t>
      </w:r>
      <w:r w:rsidRPr="008F03E5">
        <w:tab/>
        <w:t>Sáqí, Pers. pl. Sáqiyán</w:t>
      </w:r>
      <w:r w:rsidRPr="008F03E5">
        <w:tab/>
        <w:t>a water-carrier; a cup-bearer (Bahá’u’lláh, often of wine and symbolic of “mystical inebriation”), page.  Persian sometimes given as sá</w:t>
      </w:r>
      <w:r w:rsidRPr="008F03E5">
        <w:rPr>
          <w:u w:val="single"/>
        </w:rPr>
        <w:t>gh</w:t>
      </w:r>
      <w:r w:rsidRPr="008F03E5">
        <w:t>í.</w:t>
      </w:r>
    </w:p>
    <w:p w14:paraId="4E246CCD" w14:textId="77777777" w:rsidR="00625A5B" w:rsidRPr="008F03E5" w:rsidRDefault="00625A5B" w:rsidP="00880CC3">
      <w:pPr>
        <w:pStyle w:val="Translit"/>
      </w:pPr>
      <w:r w:rsidRPr="008F03E5">
        <w:t>Saqi-</w:t>
      </w:r>
      <w:r>
        <w:t>A</w:t>
      </w:r>
      <w:r w:rsidRPr="008F03E5">
        <w:t>z-Ghayb-i-Baqa’</w:t>
      </w:r>
      <w:r w:rsidRPr="008F03E5">
        <w:tab/>
        <w:t>Sáqí-</w:t>
      </w:r>
      <w:r>
        <w:t>A</w:t>
      </w:r>
      <w:r w:rsidRPr="008F03E5">
        <w:t>z-</w:t>
      </w:r>
      <w:r w:rsidRPr="008F03E5">
        <w:rPr>
          <w:u w:val="single"/>
        </w:rPr>
        <w:t>Gh</w:t>
      </w:r>
      <w:r w:rsidRPr="008F03E5">
        <w:t>ayb-i-Baqá’</w:t>
      </w:r>
      <w:r w:rsidRPr="008F03E5">
        <w:tab/>
        <w:t>Pers. “The Cupbearer of the Invisible Eternity” (fifteen couplet qaṣída (ghazal) by Bahá’u’lláh)</w:t>
      </w:r>
    </w:p>
    <w:p w14:paraId="666ED1E8" w14:textId="77777777" w:rsidR="00625A5B" w:rsidRPr="008F03E5" w:rsidRDefault="00625A5B" w:rsidP="009D582A">
      <w:pPr>
        <w:pStyle w:val="Translit"/>
      </w:pPr>
      <w:r w:rsidRPr="008F03E5">
        <w:t>Saqiya, Sawaqin</w:t>
      </w:r>
      <w:r w:rsidRPr="008F03E5">
        <w:tab/>
        <w:t>Sáqiya[h or t], pl. Sawáqin</w:t>
      </w:r>
      <w:r w:rsidRPr="008F03E5">
        <w:tab/>
        <w:t>barmaid;—pl. rivulet; irrigation ditch, irrigation canal; water scoop; water wheel—more common type, often  powered by animals.  See ná‘úra.</w:t>
      </w:r>
    </w:p>
    <w:p w14:paraId="44779E87" w14:textId="77777777" w:rsidR="00625A5B" w:rsidRPr="008F03E5" w:rsidRDefault="00625A5B" w:rsidP="00BF2C3A">
      <w:pPr>
        <w:pStyle w:val="Translit"/>
      </w:pPr>
      <w:r w:rsidRPr="008F03E5">
        <w:t>Saqsin (Saksin, Saksin-Bolgar)</w:t>
      </w:r>
      <w:r w:rsidRPr="008F03E5">
        <w:tab/>
        <w:t>Saqsín</w:t>
      </w:r>
      <w:r w:rsidRPr="008F03E5">
        <w:tab/>
        <w:t>a medieval city that flourished from the eleventh to the thirteenth centuries.  Excations at Samosdelka (46.022892, 47.839000) on the Lower Volga River in Russia have located ruins of the city.</w:t>
      </w:r>
    </w:p>
    <w:p w14:paraId="3C097470" w14:textId="77777777" w:rsidR="00625A5B" w:rsidRPr="008F03E5" w:rsidRDefault="00625A5B" w:rsidP="00FF294F">
      <w:pPr>
        <w:pStyle w:val="Translit"/>
      </w:pPr>
      <w:r w:rsidRPr="008F03E5">
        <w:t>Sar Pul-i-Dhahab (Sarpol-e Zahab)</w:t>
      </w:r>
      <w:r w:rsidRPr="008F03E5">
        <w:tab/>
        <w:t>Sar Púl-i-</w:t>
      </w:r>
      <w:r w:rsidRPr="008F03E5">
        <w:rPr>
          <w:u w:val="single"/>
        </w:rPr>
        <w:t>Dh</w:t>
      </w:r>
      <w:r w:rsidRPr="008F03E5">
        <w:t>aháb</w:t>
      </w:r>
      <w:r w:rsidRPr="008F03E5">
        <w:tab/>
        <w:t>city 112 km west of Kermanshah</w:t>
      </w:r>
    </w:p>
    <w:p w14:paraId="51C4CCE5" w14:textId="77777777" w:rsidR="00625A5B" w:rsidRPr="008F03E5" w:rsidRDefault="00625A5B" w:rsidP="00960D70">
      <w:pPr>
        <w:pStyle w:val="Translit"/>
      </w:pPr>
      <w:r w:rsidRPr="008F03E5">
        <w:t>Sar</w:t>
      </w:r>
      <w:r w:rsidRPr="008F03E5">
        <w:tab/>
        <w:t>Sar</w:t>
      </w:r>
      <w:r w:rsidRPr="008F03E5">
        <w:tab/>
        <w:t xml:space="preserve">from Pers. in compounds:  head, chief.  Pers.:  </w:t>
      </w:r>
      <w:r w:rsidRPr="008F03E5">
        <w:rPr>
          <w:rFonts w:eastAsia="Times New Roman"/>
        </w:rPr>
        <w:t>the head; top, summit; having many inequalities (ground); placed after nouns it denotes plenty, magnitude, similitude, or possession</w:t>
      </w:r>
    </w:p>
    <w:p w14:paraId="05F54FBA" w14:textId="77777777" w:rsidR="00625A5B" w:rsidRPr="008F03E5" w:rsidRDefault="00625A5B" w:rsidP="00AA67F2">
      <w:pPr>
        <w:pStyle w:val="Translit"/>
      </w:pPr>
      <w:r w:rsidRPr="008F03E5">
        <w:t>Sar</w:t>
      </w:r>
      <w:r w:rsidRPr="008F03E5">
        <w:tab/>
        <w:t>Sár</w:t>
      </w:r>
      <w:r w:rsidRPr="008F03E5">
        <w:tab/>
        <w:t>Pers. a starling; a camel; pain; affliction, grief, trouble; a place, spot; a hollow reed; a milestone; a wine-press; a title by which the princes in Georgia were formerly addressed; a czar; high, tall</w:t>
      </w:r>
    </w:p>
    <w:p w14:paraId="2F004094" w14:textId="77777777" w:rsidR="00625A5B" w:rsidRDefault="00625A5B" w:rsidP="00550FA2">
      <w:pPr>
        <w:pStyle w:val="Translit"/>
      </w:pPr>
      <w:r w:rsidRPr="008F03E5">
        <w:t>Sara</w:t>
      </w:r>
      <w:r w:rsidRPr="008F03E5">
        <w:tab/>
        <w:t>Sárá</w:t>
      </w:r>
      <w:r w:rsidRPr="008F03E5">
        <w:tab/>
        <w:t xml:space="preserve">happiness, laughter, joy, delight.  Pers. </w:t>
      </w:r>
      <w:r w:rsidRPr="008F03E5">
        <w:rPr>
          <w:rFonts w:eastAsia="Times New Roman"/>
        </w:rPr>
        <w:t xml:space="preserve">pure, excellent (applied to gold, ambergris, musk); undefiled. </w:t>
      </w:r>
      <w:r w:rsidRPr="008F03E5">
        <w:t xml:space="preserve"> </w:t>
      </w:r>
      <w:r>
        <w:t xml:space="preserve">Sarah, Abraham’s wife.  </w:t>
      </w:r>
      <w:r w:rsidRPr="008F03E5">
        <w:t>See Sarrá’.</w:t>
      </w:r>
    </w:p>
    <w:p w14:paraId="37BA3579" w14:textId="77777777" w:rsidR="00625A5B" w:rsidRPr="00C87EEF" w:rsidRDefault="00625A5B" w:rsidP="00C87EEF">
      <w:pPr>
        <w:pStyle w:val="Translit"/>
      </w:pPr>
      <w:r w:rsidRPr="008F03E5">
        <w:t>Sara</w:t>
      </w:r>
      <w:r w:rsidRPr="008F03E5">
        <w:tab/>
        <w:t>Sará</w:t>
      </w:r>
      <w:r w:rsidRPr="008F03E5">
        <w:tab/>
        <w:t>Pers. a</w:t>
      </w:r>
      <w:r w:rsidRPr="008F03E5">
        <w:rPr>
          <w:rFonts w:eastAsia="Times New Roman"/>
        </w:rPr>
        <w:t xml:space="preserve"> pala</w:t>
      </w:r>
      <w:r w:rsidRPr="00C87EEF">
        <w:t>ce, mansion.  Hebrew lady, princess, queen</w:t>
      </w:r>
      <w:r>
        <w:t>; English Sarah.</w:t>
      </w:r>
    </w:p>
    <w:p w14:paraId="7DA23646" w14:textId="77777777" w:rsidR="00625A5B" w:rsidRPr="008F03E5" w:rsidRDefault="00625A5B" w:rsidP="002D0ED1">
      <w:pPr>
        <w:pStyle w:val="Translit"/>
      </w:pPr>
      <w:r>
        <w:t>Sara</w:t>
      </w:r>
      <w:r>
        <w:tab/>
        <w:t>S</w:t>
      </w:r>
      <w:r w:rsidRPr="002D0ED1">
        <w:t>á</w:t>
      </w:r>
      <w:r>
        <w:t>ra</w:t>
      </w:r>
      <w:r>
        <w:tab/>
        <w:t xml:space="preserve">Pers. </w:t>
      </w:r>
      <w:r>
        <w:rPr>
          <w:rFonts w:eastAsia="Times New Roman"/>
        </w:rPr>
        <w:t>p</w:t>
      </w:r>
      <w:r w:rsidRPr="00AF4D34">
        <w:rPr>
          <w:rFonts w:eastAsia="Times New Roman"/>
        </w:rPr>
        <w:t xml:space="preserve">osts or stones </w:t>
      </w:r>
      <w:r>
        <w:rPr>
          <w:rFonts w:eastAsia="Times New Roman"/>
        </w:rPr>
        <w:t>along a path</w:t>
      </w:r>
      <w:r w:rsidRPr="00AF4D34">
        <w:rPr>
          <w:rFonts w:eastAsia="Times New Roman"/>
        </w:rPr>
        <w:t>, placed at the distance of a parasang</w:t>
      </w:r>
      <w:r>
        <w:rPr>
          <w:rFonts w:eastAsia="Times New Roman"/>
        </w:rPr>
        <w:t xml:space="preserve"> apart</w:t>
      </w:r>
    </w:p>
    <w:p w14:paraId="53091B08" w14:textId="77777777" w:rsidR="00625A5B" w:rsidRPr="008F03E5" w:rsidRDefault="00625A5B" w:rsidP="00C461F1">
      <w:pPr>
        <w:pStyle w:val="Translit"/>
      </w:pPr>
      <w:r w:rsidRPr="00C87EEF">
        <w:rPr>
          <w:rFonts w:eastAsia="Times New Roman"/>
          <w:lang w:val="fr-FR"/>
        </w:rPr>
        <w:t>Sara, Sarih</w:t>
      </w:r>
      <w:r w:rsidRPr="00C87EEF">
        <w:rPr>
          <w:rFonts w:eastAsia="Times New Roman"/>
          <w:lang w:val="fr-FR"/>
        </w:rPr>
        <w:tab/>
        <w:t xml:space="preserve">Sára[h or t], </w:t>
      </w:r>
      <w:r w:rsidRPr="00C87EEF">
        <w:rPr>
          <w:lang w:val="fr-FR"/>
        </w:rPr>
        <w:t xml:space="preserve">Pers. </w:t>
      </w:r>
      <w:r w:rsidRPr="008F03E5">
        <w:t>Sárih</w:t>
      </w:r>
      <w:r w:rsidRPr="008F03E5">
        <w:rPr>
          <w:rFonts w:eastAsia="Times New Roman"/>
        </w:rPr>
        <w:tab/>
      </w:r>
      <w:r>
        <w:rPr>
          <w:rFonts w:eastAsia="Times New Roman"/>
        </w:rPr>
        <w:t xml:space="preserve">“woman of high rank”, </w:t>
      </w:r>
      <w:r w:rsidRPr="008F03E5">
        <w:rPr>
          <w:rFonts w:eastAsia="Times New Roman"/>
        </w:rPr>
        <w:t>Sarah, a woman’s name.  Wife and aunt of Abraham.  S</w:t>
      </w:r>
      <w:r w:rsidRPr="008F03E5">
        <w:t>á</w:t>
      </w:r>
      <w:r w:rsidRPr="008F03E5">
        <w:rPr>
          <w:rFonts w:eastAsia="Times New Roman"/>
        </w:rPr>
        <w:t xml:space="preserve">rih </w:t>
      </w:r>
      <w:r w:rsidRPr="008F03E5">
        <w:rPr>
          <w:rFonts w:eastAsia="Times New Roman"/>
          <w:u w:val="single"/>
        </w:rPr>
        <w:t>Kh</w:t>
      </w:r>
      <w:r w:rsidRPr="008F03E5">
        <w:t>á</w:t>
      </w:r>
      <w:r w:rsidRPr="008F03E5">
        <w:rPr>
          <w:rFonts w:eastAsia="Times New Roman"/>
        </w:rPr>
        <w:t>num; loyal, full sister of Bahá’u’lláh; who married (1932) Mirza Ma</w:t>
      </w:r>
      <w:r w:rsidRPr="008F03E5">
        <w:t>ḥ</w:t>
      </w:r>
      <w:r w:rsidRPr="008F03E5">
        <w:rPr>
          <w:rFonts w:eastAsia="Times New Roman"/>
        </w:rPr>
        <w:t>m</w:t>
      </w:r>
      <w:r w:rsidRPr="008F03E5">
        <w:t>ú</w:t>
      </w:r>
      <w:r w:rsidRPr="008F03E5">
        <w:rPr>
          <w:rFonts w:eastAsia="Times New Roman"/>
        </w:rPr>
        <w:t>d (never a Bahá’í), the son of M</w:t>
      </w:r>
      <w:r w:rsidRPr="008F03E5">
        <w:t>í</w:t>
      </w:r>
      <w:r w:rsidRPr="008F03E5">
        <w:rPr>
          <w:rFonts w:eastAsia="Times New Roman"/>
        </w:rPr>
        <w:t>rz</w:t>
      </w:r>
      <w:r w:rsidRPr="008F03E5">
        <w:t xml:space="preserve">á Ismá‘íl-i-Vazír of Yalrud.  Maḥmúd’s younger sister, Ásíyih </w:t>
      </w:r>
      <w:r w:rsidRPr="008F03E5">
        <w:rPr>
          <w:u w:val="single"/>
        </w:rPr>
        <w:t>Kh</w:t>
      </w:r>
      <w:r w:rsidRPr="008F03E5">
        <w:t>ánum, married Bahá’u’lláh.</w:t>
      </w:r>
    </w:p>
    <w:p w14:paraId="1F5EE8A3" w14:textId="77777777" w:rsidR="00625A5B" w:rsidRPr="008F03E5" w:rsidRDefault="00625A5B" w:rsidP="002A1C6B">
      <w:pPr>
        <w:pStyle w:val="Translit"/>
      </w:pPr>
      <w:r w:rsidRPr="008F03E5">
        <w:t>Sarab</w:t>
      </w:r>
      <w:r w:rsidRPr="008F03E5">
        <w:tab/>
        <w:t>Saráb</w:t>
      </w:r>
      <w:r w:rsidRPr="008F03E5">
        <w:tab/>
        <w:t>mirage; phantom; sewage</w:t>
      </w:r>
    </w:p>
    <w:p w14:paraId="170F69D1" w14:textId="77777777" w:rsidR="00625A5B" w:rsidRPr="008F03E5" w:rsidRDefault="00625A5B" w:rsidP="00EB64A4">
      <w:pPr>
        <w:pStyle w:val="Translit"/>
      </w:pPr>
      <w:r w:rsidRPr="008F03E5">
        <w:t>Sarandib</w:t>
      </w:r>
      <w:r w:rsidRPr="008F03E5">
        <w:tab/>
        <w:t>Sarandíb</w:t>
      </w:r>
      <w:r w:rsidRPr="008F03E5">
        <w:tab/>
        <w:t>Pers. for island now known as Sri Lanka</w:t>
      </w:r>
    </w:p>
    <w:p w14:paraId="455B3E08" w14:textId="77777777" w:rsidR="00625A5B" w:rsidRPr="008F03E5" w:rsidRDefault="00625A5B" w:rsidP="0084680F">
      <w:pPr>
        <w:pStyle w:val="Translit"/>
      </w:pPr>
      <w:r w:rsidRPr="008F03E5">
        <w:t>Saray, Saraya, Sarayat</w:t>
      </w:r>
      <w:r w:rsidRPr="008F03E5">
        <w:tab/>
        <w:t xml:space="preserve">Saráy, fem. </w:t>
      </w:r>
      <w:r w:rsidRPr="001457C8">
        <w:rPr>
          <w:lang w:val="fr-FR"/>
        </w:rPr>
        <w:t xml:space="preserve">Saráya[h or t], pl. </w:t>
      </w:r>
      <w:r w:rsidRPr="00077779">
        <w:rPr>
          <w:lang w:val="fr-FR"/>
        </w:rPr>
        <w:t>Saráyát</w:t>
      </w:r>
      <w:r w:rsidRPr="00077779">
        <w:rPr>
          <w:lang w:val="fr-FR"/>
        </w:rPr>
        <w:tab/>
        <w:t xml:space="preserve">palace.  </w:t>
      </w:r>
      <w:r w:rsidRPr="008F03E5">
        <w:t>In Persian can also mean a</w:t>
      </w:r>
      <w:r w:rsidRPr="008F03E5">
        <w:rPr>
          <w:rFonts w:eastAsia="Times New Roman"/>
        </w:rPr>
        <w:t xml:space="preserve"> house, grand edifice.</w:t>
      </w:r>
    </w:p>
    <w:p w14:paraId="5867A135" w14:textId="77777777" w:rsidR="00625A5B" w:rsidRPr="008F03E5" w:rsidRDefault="00625A5B" w:rsidP="00667513">
      <w:pPr>
        <w:pStyle w:val="Translit"/>
      </w:pPr>
      <w:r w:rsidRPr="008F03E5">
        <w:t>Sarbaz</w:t>
      </w:r>
      <w:r w:rsidRPr="008F03E5">
        <w:tab/>
        <w:t>Sarbáz</w:t>
      </w:r>
      <w:r w:rsidRPr="008F03E5">
        <w:tab/>
        <w:t xml:space="preserve">Sarbaz; also known as </w:t>
      </w:r>
      <w:r w:rsidRPr="008F03E5">
        <w:rPr>
          <w:rFonts w:eastAsia="PMingLiU"/>
          <w:lang w:eastAsia="zh-TW"/>
        </w:rPr>
        <w:t>Qal‘ah-i-</w:t>
      </w:r>
      <w:r w:rsidRPr="008F03E5">
        <w:t xml:space="preserve">Sarbáz—“Fort Sarbaz”.  It is a city in and the capital of Sarbaz District, in Sarbaz County, Sistan and Baluchestan Province, </w:t>
      </w:r>
      <w:r w:rsidRPr="008F03E5">
        <w:rPr>
          <w:sz w:val="16"/>
          <w:szCs w:val="16"/>
        </w:rPr>
        <w:t>SE</w:t>
      </w:r>
      <w:r w:rsidRPr="008F03E5">
        <w:t xml:space="preserve"> Iran.</w:t>
      </w:r>
    </w:p>
    <w:p w14:paraId="1AA0421A" w14:textId="77777777" w:rsidR="00625A5B" w:rsidRPr="008F03E5" w:rsidRDefault="00625A5B" w:rsidP="00AE1590">
      <w:pPr>
        <w:pStyle w:val="Translit"/>
      </w:pPr>
      <w:r w:rsidRPr="008F03E5">
        <w:t>Sar-Chah</w:t>
      </w:r>
      <w:r w:rsidRPr="008F03E5">
        <w:tab/>
        <w:t>Sar-</w:t>
      </w:r>
      <w:r w:rsidRPr="008F03E5">
        <w:rPr>
          <w:u w:val="single"/>
        </w:rPr>
        <w:t>Ch</w:t>
      </w:r>
      <w:r w:rsidRPr="008F03E5">
        <w:t>áh</w:t>
      </w:r>
      <w:r w:rsidRPr="008F03E5">
        <w:tab/>
        <w:t xml:space="preserve">a village (36°32′30″ </w:t>
      </w:r>
      <w:r w:rsidRPr="008F03E5">
        <w:rPr>
          <w:sz w:val="16"/>
          <w:szCs w:val="16"/>
        </w:rPr>
        <w:t>N</w:t>
      </w:r>
      <w:r w:rsidRPr="008F03E5">
        <w:t xml:space="preserve"> 58°24′40″ </w:t>
      </w:r>
      <w:r w:rsidRPr="008F03E5">
        <w:rPr>
          <w:sz w:val="16"/>
          <w:szCs w:val="16"/>
        </w:rPr>
        <w:t>E</w:t>
      </w:r>
      <w:r w:rsidRPr="008F03E5">
        <w:t xml:space="preserve">) in the Central District of Nishapur County, Razavi Khorasan Province, Iran.  72 km </w:t>
      </w:r>
      <w:r w:rsidRPr="008F03E5">
        <w:rPr>
          <w:sz w:val="16"/>
          <w:szCs w:val="16"/>
        </w:rPr>
        <w:t>NE</w:t>
      </w:r>
      <w:r w:rsidRPr="008F03E5">
        <w:t xml:space="preserve"> of Sabzivár.</w:t>
      </w:r>
    </w:p>
    <w:p w14:paraId="11149CBD" w14:textId="77777777" w:rsidR="00625A5B" w:rsidRPr="008F03E5" w:rsidRDefault="00625A5B" w:rsidP="00330CE5">
      <w:pPr>
        <w:pStyle w:val="Translit"/>
      </w:pPr>
      <w:bookmarkStart w:id="135" w:name="_Hlk62544479"/>
      <w:r w:rsidRPr="008F03E5">
        <w:t>Sar-Chashma (Sarcheshmeh)</w:t>
      </w:r>
      <w:r w:rsidRPr="008F03E5">
        <w:tab/>
        <w:t>Sar-</w:t>
      </w:r>
      <w:r w:rsidRPr="008F03E5">
        <w:rPr>
          <w:u w:val="single"/>
        </w:rPr>
        <w:t>Ch</w:t>
      </w:r>
      <w:r w:rsidRPr="008F03E5">
        <w:t>a</w:t>
      </w:r>
      <w:r w:rsidRPr="008F03E5">
        <w:rPr>
          <w:u w:val="single"/>
        </w:rPr>
        <w:t>sh</w:t>
      </w:r>
      <w:r w:rsidRPr="008F03E5">
        <w:t>ma (Sar-</w:t>
      </w:r>
      <w:r w:rsidRPr="008F03E5">
        <w:rPr>
          <w:u w:val="single"/>
        </w:rPr>
        <w:t>Ch</w:t>
      </w:r>
      <w:r w:rsidRPr="008F03E5">
        <w:t>a</w:t>
      </w:r>
      <w:r w:rsidRPr="008F03E5">
        <w:rPr>
          <w:u w:val="single"/>
        </w:rPr>
        <w:t>sh</w:t>
      </w:r>
      <w:r w:rsidRPr="008F03E5">
        <w:t>mah)</w:t>
      </w:r>
      <w:r w:rsidRPr="008F03E5">
        <w:tab/>
        <w:t>Pers. “Sar-</w:t>
      </w:r>
      <w:r w:rsidRPr="008F03E5">
        <w:rPr>
          <w:u w:val="single"/>
        </w:rPr>
        <w:t>Ch</w:t>
      </w:r>
      <w:r w:rsidRPr="008F03E5">
        <w:t>a</w:t>
      </w:r>
      <w:r w:rsidRPr="008F03E5">
        <w:rPr>
          <w:u w:val="single"/>
        </w:rPr>
        <w:t>sh</w:t>
      </w:r>
      <w:r w:rsidRPr="008F03E5">
        <w:t>mih”.  A</w:t>
      </w:r>
      <w:r w:rsidRPr="008F03E5">
        <w:rPr>
          <w:rFonts w:eastAsia="Times New Roman"/>
        </w:rPr>
        <w:t xml:space="preserve"> fountain-head, spring.</w:t>
      </w:r>
      <w:r w:rsidRPr="008F03E5">
        <w:t xml:space="preserve"> Located to the southern side of the centre of Ṭihrán.</w:t>
      </w:r>
    </w:p>
    <w:bookmarkEnd w:id="135"/>
    <w:p w14:paraId="5ECDC877" w14:textId="77777777" w:rsidR="00625A5B" w:rsidRPr="008F03E5" w:rsidRDefault="00625A5B" w:rsidP="00E66F67">
      <w:pPr>
        <w:pStyle w:val="Translit"/>
      </w:pPr>
      <w:r w:rsidRPr="008F03E5">
        <w:t>Sardar</w:t>
      </w:r>
      <w:r>
        <w:t xml:space="preserve"> (Sar-dar)</w:t>
      </w:r>
      <w:r w:rsidRPr="008F03E5">
        <w:tab/>
        <w:t>Sardár</w:t>
      </w:r>
      <w:r w:rsidRPr="008F03E5">
        <w:tab/>
      </w:r>
      <w:r>
        <w:t>Pers. a</w:t>
      </w:r>
      <w:r w:rsidRPr="00AF4D34">
        <w:rPr>
          <w:rFonts w:eastAsia="Times New Roman"/>
        </w:rPr>
        <w:t xml:space="preserve"> general, field-marshal, officer of rank, king</w:t>
      </w:r>
      <w:r>
        <w:rPr>
          <w:rFonts w:eastAsia="Times New Roman"/>
        </w:rPr>
        <w:t>’</w:t>
      </w:r>
      <w:r w:rsidRPr="00AF4D34">
        <w:rPr>
          <w:rFonts w:eastAsia="Times New Roman"/>
        </w:rPr>
        <w:t>s lieutenant, a chief in any department; a prince</w:t>
      </w:r>
    </w:p>
    <w:p w14:paraId="179053DA" w14:textId="77777777" w:rsidR="00625A5B" w:rsidRPr="00E66F67" w:rsidRDefault="00625A5B" w:rsidP="00E66F67">
      <w:pPr>
        <w:pStyle w:val="Translit"/>
      </w:pPr>
      <w:r w:rsidRPr="00E66F67">
        <w:t>Sardar-Kull</w:t>
      </w:r>
      <w:r w:rsidRPr="00E66F67">
        <w:tab/>
        <w:t>Sardár-Kull</w:t>
      </w:r>
      <w:r w:rsidRPr="00E66F67">
        <w:tab/>
        <w:t xml:space="preserve">Pers. literally, the commander of all military forces, </w:t>
      </w:r>
      <w:r>
        <w:t xml:space="preserve">i.e. </w:t>
      </w:r>
      <w:r w:rsidRPr="00E66F67">
        <w:t xml:space="preserve">“General </w:t>
      </w:r>
      <w:r>
        <w:t>c</w:t>
      </w:r>
      <w:r w:rsidRPr="00E66F67">
        <w:t xml:space="preserve">ommander” or “Chief </w:t>
      </w:r>
      <w:r>
        <w:t>c</w:t>
      </w:r>
      <w:r w:rsidRPr="00E66F67">
        <w:t>ommander”</w:t>
      </w:r>
    </w:p>
    <w:p w14:paraId="16ED84C6" w14:textId="77777777" w:rsidR="00625A5B" w:rsidRPr="008F03E5" w:rsidRDefault="00625A5B" w:rsidP="00AE1590">
      <w:pPr>
        <w:pStyle w:val="Translit"/>
      </w:pPr>
      <w:r w:rsidRPr="008F03E5">
        <w:t>Sarf, Suruf</w:t>
      </w:r>
      <w:r w:rsidRPr="008F03E5">
        <w:tab/>
        <w:t>Ṣarf, pl. Ṣurúf</w:t>
      </w:r>
      <w:r w:rsidRPr="008F03E5">
        <w:tab/>
        <w:t>averting, turning away; expenditure, expense; spending, use, application (e.g., of time, of effort, etc.); issuance, issue, making out; disbursement; money changing; barter (Islamic law); drainage; inflection (grammar);—(pl. ṣurúf) adversities, misfortunes (also ṣurúf ad-dahr)</w:t>
      </w:r>
    </w:p>
    <w:p w14:paraId="310B6AB6" w14:textId="77777777" w:rsidR="00625A5B" w:rsidRPr="008F03E5" w:rsidRDefault="00625A5B" w:rsidP="0006190B">
      <w:pPr>
        <w:pStyle w:val="Translit"/>
      </w:pPr>
      <w:r w:rsidRPr="008F03E5">
        <w:t>Sar-Galu, Sargalu, Sargallu, Sarjallu</w:t>
      </w:r>
      <w:r w:rsidRPr="008F03E5">
        <w:tab/>
        <w:t>Sar-Galú (Sarjallú)</w:t>
      </w:r>
      <w:r w:rsidRPr="008F03E5">
        <w:tab/>
        <w:t xml:space="preserve">(“Sarkalu”) a village (35.867656, 45.162043) 43 km </w:t>
      </w:r>
      <w:r w:rsidRPr="008F03E5">
        <w:rPr>
          <w:sz w:val="16"/>
          <w:szCs w:val="16"/>
        </w:rPr>
        <w:t>NW</w:t>
      </w:r>
      <w:r w:rsidRPr="008F03E5">
        <w:t xml:space="preserve"> of as-Sulaymáníyah, Iraq.  Bahá’u’lláh lived here and/or in a nearby mountain cave.</w:t>
      </w:r>
    </w:p>
    <w:p w14:paraId="1E09863C" w14:textId="77777777" w:rsidR="00625A5B" w:rsidRPr="008F03E5" w:rsidRDefault="00625A5B" w:rsidP="00BE1D59">
      <w:pPr>
        <w:pStyle w:val="Translit"/>
      </w:pPr>
      <w:r w:rsidRPr="008F03E5">
        <w:t>Sari (Shahr-Taj</w:t>
      </w:r>
      <w:r>
        <w:t>i</w:t>
      </w:r>
      <w:r w:rsidRPr="008F03E5">
        <w:t>n</w:t>
      </w:r>
      <w:r>
        <w:t xml:space="preserve">, </w:t>
      </w:r>
      <w:r w:rsidRPr="008F03E5">
        <w:t>Shahr-Taj</w:t>
      </w:r>
      <w:r>
        <w:t>a</w:t>
      </w:r>
      <w:r w:rsidRPr="008F03E5">
        <w:t>n)</w:t>
      </w:r>
      <w:r>
        <w:t>, Saruy</w:t>
      </w:r>
      <w:r w:rsidRPr="008F03E5">
        <w:tab/>
        <w:t>Sárí</w:t>
      </w:r>
      <w:r w:rsidRPr="008F03E5">
        <w:tab/>
      </w:r>
      <w:r>
        <w:t xml:space="preserve">Pers. </w:t>
      </w:r>
      <w:r>
        <w:rPr>
          <w:rFonts w:eastAsia="Times New Roman"/>
        </w:rPr>
        <w:t>a</w:t>
      </w:r>
      <w:r w:rsidRPr="00AF4D34">
        <w:rPr>
          <w:rFonts w:eastAsia="Times New Roman"/>
        </w:rPr>
        <w:t xml:space="preserve"> starling; a milestone</w:t>
      </w:r>
      <w:r>
        <w:rPr>
          <w:rFonts w:eastAsia="Times New Roman"/>
        </w:rPr>
        <w:t>;</w:t>
      </w:r>
      <w:r w:rsidRPr="008F03E5">
        <w:t xml:space="preserve"> a city and provincial capital of Mázindarán province (36.566292, 53.058604)</w:t>
      </w:r>
      <w:r>
        <w:t>.  Also once known as Zard-</w:t>
      </w:r>
      <w:r w:rsidRPr="005446C6">
        <w:rPr>
          <w:u w:val="single"/>
        </w:rPr>
        <w:t>Sh</w:t>
      </w:r>
      <w:r>
        <w:t xml:space="preserve">ahr (“Yellow town”; colour of citrous fruit on trees surrounding the town) and </w:t>
      </w:r>
      <w:r w:rsidRPr="00EE3B6E">
        <w:rPr>
          <w:u w:val="single"/>
        </w:rPr>
        <w:t>Sh</w:t>
      </w:r>
      <w:r>
        <w:t>ahr-i-Tajin (“Town on the Tajin” River).  S</w:t>
      </w:r>
      <w:r w:rsidRPr="00BE1D59">
        <w:t>á</w:t>
      </w:r>
      <w:r>
        <w:t>r</w:t>
      </w:r>
      <w:r w:rsidRPr="00BE1D59">
        <w:t>ú</w:t>
      </w:r>
      <w:r>
        <w:t>y, citizen.</w:t>
      </w:r>
    </w:p>
    <w:p w14:paraId="6E6F7586" w14:textId="77777777" w:rsidR="00625A5B" w:rsidRPr="008F03E5" w:rsidRDefault="00625A5B" w:rsidP="0046683E">
      <w:pPr>
        <w:pStyle w:val="Translit"/>
      </w:pPr>
      <w:r w:rsidRPr="008F03E5">
        <w:t>Sari</w:t>
      </w:r>
      <w:r w:rsidRPr="008F03E5">
        <w:tab/>
        <w:t>Sarí, pl. Suryán</w:t>
      </w:r>
      <w:r w:rsidRPr="008F03E5">
        <w:tab/>
        <w:t>Pers. chiefship, rank of general; a large river; a funnel; a kind of armour for a horse’s head;—pl. rivulets</w:t>
      </w:r>
    </w:p>
    <w:p w14:paraId="44FC8BB1" w14:textId="77777777" w:rsidR="00625A5B" w:rsidRPr="008F03E5" w:rsidRDefault="00625A5B" w:rsidP="00A23F42">
      <w:pPr>
        <w:pStyle w:val="Translit"/>
      </w:pPr>
      <w:r w:rsidRPr="008F03E5">
        <w:t>Sari’, Sar’a</w:t>
      </w:r>
      <w:r w:rsidRPr="008F03E5">
        <w:tab/>
        <w:t>Ṣarí‘, pl. Ṣar‘á</w:t>
      </w:r>
      <w:r w:rsidRPr="008F03E5">
        <w:tab/>
        <w:t>thrown to the ground, felled; epileptic; demented, insane, mad, crazy; (with following genitive) succumbing to something, fallen victim to something.  Qur’án 69:7</w:t>
      </w:r>
    </w:p>
    <w:p w14:paraId="2787E270" w14:textId="77777777" w:rsidR="00625A5B" w:rsidRPr="008F03E5" w:rsidRDefault="00625A5B" w:rsidP="00CF0142">
      <w:pPr>
        <w:pStyle w:val="Translit"/>
      </w:pPr>
      <w:r w:rsidRPr="008F03E5">
        <w:rPr>
          <w:rFonts w:eastAsia="Times New Roman"/>
        </w:rPr>
        <w:t>Sarih, Sariha, Suraha’</w:t>
      </w:r>
      <w:r w:rsidRPr="008F03E5">
        <w:rPr>
          <w:rFonts w:eastAsia="Times New Roman"/>
        </w:rPr>
        <w:tab/>
        <w:t xml:space="preserve">Ṣaríḥ, fem. Ṣaríḥa[t], pl. </w:t>
      </w:r>
      <w:r w:rsidRPr="008F03E5">
        <w:t>Ṣ</w:t>
      </w:r>
      <w:r w:rsidRPr="008F03E5">
        <w:rPr>
          <w:rFonts w:eastAsia="Times New Roman"/>
        </w:rPr>
        <w:t>ura</w:t>
      </w:r>
      <w:r w:rsidRPr="008F03E5">
        <w:t>ḥá</w:t>
      </w:r>
      <w:r w:rsidRPr="008F03E5">
        <w:rPr>
          <w:rFonts w:eastAsia="Times New Roman"/>
        </w:rPr>
        <w:t>’</w:t>
      </w:r>
      <w:r w:rsidRPr="008F03E5">
        <w:rPr>
          <w:rFonts w:eastAsia="Times New Roman"/>
        </w:rPr>
        <w:tab/>
        <w:t>Pers./Ar. clear, evident, palpable; pure, unmixed</w:t>
      </w:r>
    </w:p>
    <w:p w14:paraId="2306B410" w14:textId="77777777" w:rsidR="00625A5B" w:rsidRPr="008F03E5" w:rsidRDefault="00625A5B" w:rsidP="00960D70">
      <w:pPr>
        <w:pStyle w:val="Translit"/>
      </w:pPr>
      <w:r w:rsidRPr="008F03E5">
        <w:t>Sar-i-Jisr</w:t>
      </w:r>
      <w:r w:rsidRPr="008F03E5">
        <w:tab/>
        <w:t>Sar-i-Jisr</w:t>
      </w:r>
      <w:r w:rsidRPr="008F03E5">
        <w:tab/>
        <w:t>Pers. a “coffee-house of Sar-i-Jisr” near al-Ká</w:t>
      </w:r>
      <w:r w:rsidRPr="008F03E5">
        <w:rPr>
          <w:u w:val="single"/>
        </w:rPr>
        <w:t>dh</w:t>
      </w:r>
      <w:r w:rsidRPr="008F03E5">
        <w:t>imiya Mosque in the Ká</w:t>
      </w:r>
      <w:r w:rsidRPr="008F03E5">
        <w:rPr>
          <w:u w:val="single"/>
        </w:rPr>
        <w:t>dh</w:t>
      </w:r>
      <w:r w:rsidRPr="008F03E5">
        <w:t>imayn suburb of Ba</w:t>
      </w:r>
      <w:r w:rsidRPr="008F03E5">
        <w:rPr>
          <w:u w:val="single"/>
        </w:rPr>
        <w:t>gh</w:t>
      </w:r>
      <w:r w:rsidRPr="008F03E5">
        <w:t>dád</w:t>
      </w:r>
    </w:p>
    <w:p w14:paraId="53368754" w14:textId="77777777" w:rsidR="00625A5B" w:rsidRPr="00BB5239" w:rsidRDefault="00625A5B" w:rsidP="00004DDD">
      <w:pPr>
        <w:pStyle w:val="Translit"/>
        <w:rPr>
          <w:rFonts w:eastAsia="Times New Roman"/>
          <w:lang w:val="en-AU"/>
        </w:rPr>
      </w:pPr>
      <w:r w:rsidRPr="00BB5239">
        <w:rPr>
          <w:rFonts w:eastAsia="Times New Roman"/>
          <w:lang w:val="en-AU"/>
        </w:rPr>
        <w:t>Sarim al-Dawla</w:t>
      </w:r>
      <w:r w:rsidRPr="00BB5239">
        <w:rPr>
          <w:rFonts w:eastAsia="Times New Roman"/>
          <w:lang w:val="en-AU"/>
        </w:rPr>
        <w:tab/>
        <w:t>Ṣárim al-Dawla</w:t>
      </w:r>
      <w:r w:rsidRPr="00BB5239">
        <w:rPr>
          <w:rFonts w:eastAsia="Times New Roman"/>
          <w:lang w:val="en-AU"/>
        </w:rPr>
        <w:tab/>
        <w:t>strict state</w:t>
      </w:r>
    </w:p>
    <w:p w14:paraId="6DF28039" w14:textId="77777777" w:rsidR="00625A5B" w:rsidRDefault="00625A5B" w:rsidP="00004DDD">
      <w:pPr>
        <w:pStyle w:val="Translit"/>
        <w:rPr>
          <w:rFonts w:eastAsia="Times New Roman"/>
        </w:rPr>
      </w:pPr>
      <w:r>
        <w:rPr>
          <w:rFonts w:eastAsia="Times New Roman"/>
        </w:rPr>
        <w:t>Sarim, Sawarim</w:t>
      </w:r>
      <w:r>
        <w:rPr>
          <w:rFonts w:eastAsia="Times New Roman"/>
        </w:rPr>
        <w:tab/>
      </w:r>
      <w:r w:rsidRPr="00004DDD">
        <w:rPr>
          <w:rFonts w:eastAsia="Times New Roman"/>
        </w:rPr>
        <w:t>Ṣ</w:t>
      </w:r>
      <w:r>
        <w:rPr>
          <w:rFonts w:eastAsia="Times New Roman"/>
        </w:rPr>
        <w:t>á</w:t>
      </w:r>
      <w:r w:rsidRPr="00004DDD">
        <w:rPr>
          <w:rFonts w:eastAsia="Times New Roman"/>
        </w:rPr>
        <w:t>rim, pl. Ṣawárim</w:t>
      </w:r>
      <w:r>
        <w:rPr>
          <w:rFonts w:eastAsia="Times New Roman"/>
        </w:rPr>
        <w:tab/>
      </w:r>
      <w:r w:rsidRPr="00004DDD">
        <w:rPr>
          <w:rFonts w:eastAsia="Times New Roman"/>
        </w:rPr>
        <w:t xml:space="preserve">sharp, harsh, hard, severe, </w:t>
      </w:r>
      <w:r>
        <w:rPr>
          <w:rFonts w:eastAsia="Times New Roman"/>
        </w:rPr>
        <w:t>strict, stern, cutting</w:t>
      </w:r>
    </w:p>
    <w:p w14:paraId="0B2DFB54" w14:textId="77777777" w:rsidR="00625A5B" w:rsidRPr="008F03E5" w:rsidRDefault="00625A5B" w:rsidP="00960D70">
      <w:pPr>
        <w:pStyle w:val="Translit"/>
      </w:pPr>
      <w:r w:rsidRPr="008F03E5">
        <w:rPr>
          <w:rFonts w:eastAsia="Times New Roman"/>
        </w:rPr>
        <w:t>Sariya, Saraya</w:t>
      </w:r>
      <w:r w:rsidRPr="008F03E5">
        <w:rPr>
          <w:rFonts w:eastAsia="Times New Roman"/>
        </w:rPr>
        <w:tab/>
      </w:r>
      <w:r w:rsidRPr="008F03E5">
        <w:t>Saríya[h or t], pl. Saráyá</w:t>
      </w:r>
      <w:r w:rsidRPr="008F03E5">
        <w:tab/>
        <w:t>a brigade, army</w:t>
      </w:r>
      <w:r w:rsidRPr="008F03E5">
        <w:rPr>
          <w:rFonts w:eastAsia="Times New Roman"/>
        </w:rPr>
        <w:t>, troops, any body of men from 5 to 400</w:t>
      </w:r>
    </w:p>
    <w:p w14:paraId="7E0F794A" w14:textId="77777777" w:rsidR="00625A5B" w:rsidRPr="008F03E5" w:rsidRDefault="00625A5B" w:rsidP="007473E7">
      <w:pPr>
        <w:pStyle w:val="Translit"/>
      </w:pPr>
      <w:r w:rsidRPr="008F03E5">
        <w:t>Sarkar, Sar-kar</w:t>
      </w:r>
      <w:r w:rsidRPr="008F03E5">
        <w:tab/>
        <w:t>Sarkár, Sar-kár</w:t>
      </w:r>
      <w:r w:rsidRPr="008F03E5">
        <w:tab/>
        <w:t>Pers. compound of (sar, “head”) + (kár, “agent, doer”); a</w:t>
      </w:r>
      <w:r w:rsidRPr="008F03E5">
        <w:rPr>
          <w:rFonts w:eastAsia="Times New Roman"/>
        </w:rPr>
        <w:t xml:space="preserve"> chief, superintendant, supervisor, overseer, agent; a title by way of respect given to a person present or absent; a workshop; a king’s court; government; estate; property; knowledge, practice; </w:t>
      </w:r>
      <w:r w:rsidRPr="008F03E5">
        <w:t>headman</w:t>
      </w:r>
    </w:p>
    <w:p w14:paraId="32ACF96E" w14:textId="77777777" w:rsidR="00625A5B" w:rsidRPr="008F03E5" w:rsidRDefault="00625A5B" w:rsidP="005D1085">
      <w:pPr>
        <w:pStyle w:val="Translit"/>
      </w:pPr>
      <w:r w:rsidRPr="008F03E5">
        <w:t>Sarkar-i-Aqa</w:t>
      </w:r>
      <w:r w:rsidRPr="008F03E5">
        <w:tab/>
        <w:t>Sarkár-i-Áqá</w:t>
      </w:r>
      <w:r w:rsidRPr="008F03E5">
        <w:tab/>
        <w:t>“His Excellency the Master”.  A title Bahá’u’lláh used for ‘Abdu’l-Bahá.</w:t>
      </w:r>
    </w:p>
    <w:p w14:paraId="30E9B9DE" w14:textId="77777777" w:rsidR="00625A5B" w:rsidRPr="008F03E5" w:rsidRDefault="00625A5B" w:rsidP="00B3110A">
      <w:pPr>
        <w:pStyle w:val="Translit"/>
      </w:pPr>
      <w:r w:rsidRPr="008F03E5">
        <w:t>Sarmad</w:t>
      </w:r>
      <w:r w:rsidRPr="008F03E5">
        <w:tab/>
        <w:t>Sarmad</w:t>
      </w:r>
      <w:r w:rsidRPr="008F03E5">
        <w:tab/>
        <w:t>endless duration, eternity (the world of perpetuity)</w:t>
      </w:r>
    </w:p>
    <w:p w14:paraId="118C4960" w14:textId="77777777" w:rsidR="00625A5B" w:rsidRPr="008F03E5" w:rsidRDefault="00625A5B" w:rsidP="001A4F8A">
      <w:pPr>
        <w:pStyle w:val="Translit"/>
      </w:pPr>
      <w:r w:rsidRPr="008F03E5">
        <w:t>Sarmadi</w:t>
      </w:r>
      <w:r w:rsidRPr="008F03E5">
        <w:tab/>
        <w:t>Sarmadí</w:t>
      </w:r>
      <w:r w:rsidRPr="008F03E5">
        <w:tab/>
        <w:t>eternal, without beginning or end; “everlasting”</w:t>
      </w:r>
    </w:p>
    <w:p w14:paraId="4DE7A58A" w14:textId="77777777" w:rsidR="00625A5B" w:rsidRPr="008F03E5" w:rsidRDefault="00625A5B" w:rsidP="00EF761D">
      <w:pPr>
        <w:pStyle w:val="Translit"/>
      </w:pPr>
      <w:r w:rsidRPr="008F03E5">
        <w:t>Sarra</w:t>
      </w:r>
      <w:r w:rsidRPr="008F03E5">
        <w:tab/>
        <w:t>Sarrá’</w:t>
      </w:r>
      <w:r w:rsidRPr="008F03E5">
        <w:tab/>
        <w:t>happiness, prosperity</w:t>
      </w:r>
    </w:p>
    <w:p w14:paraId="4AC68BC7" w14:textId="77777777" w:rsidR="00625A5B" w:rsidRPr="008F03E5" w:rsidRDefault="00625A5B" w:rsidP="0028588F">
      <w:pPr>
        <w:pStyle w:val="Translit"/>
      </w:pPr>
      <w:r w:rsidRPr="008F03E5">
        <w:t>Sarraf (Saraf), Sarrafa</w:t>
      </w:r>
      <w:r w:rsidRPr="008F03E5">
        <w:tab/>
        <w:t>Ṣarráf, fem. Ṣarráfa[h or t]</w:t>
      </w:r>
      <w:r w:rsidRPr="008F03E5">
        <w:tab/>
        <w:t xml:space="preserve">money changer; cashier, teller, treasurer; paymaster; banker.  See </w:t>
      </w:r>
      <w:r w:rsidRPr="008F03E5">
        <w:rPr>
          <w:rFonts w:eastAsia="Times New Roman"/>
        </w:rPr>
        <w:t>ṣayraf.</w:t>
      </w:r>
    </w:p>
    <w:p w14:paraId="3DED39AB" w14:textId="77777777" w:rsidR="00625A5B" w:rsidRDefault="00625A5B" w:rsidP="00973697">
      <w:pPr>
        <w:pStyle w:val="Translit"/>
      </w:pPr>
      <w:r>
        <w:t>Sarraj</w:t>
      </w:r>
      <w:r>
        <w:tab/>
        <w:t>Sarr</w:t>
      </w:r>
      <w:r w:rsidRPr="00973697">
        <w:t>á</w:t>
      </w:r>
      <w:r>
        <w:t>j</w:t>
      </w:r>
      <w:r>
        <w:tab/>
        <w:t>saddler or leather worker</w:t>
      </w:r>
    </w:p>
    <w:p w14:paraId="50CA2FEF" w14:textId="77777777" w:rsidR="00625A5B" w:rsidRPr="008F03E5" w:rsidRDefault="00625A5B" w:rsidP="00044E18">
      <w:pPr>
        <w:pStyle w:val="Translit"/>
      </w:pPr>
      <w:r w:rsidRPr="008F03E5">
        <w:t>Sartip</w:t>
      </w:r>
      <w:r w:rsidRPr="008F03E5">
        <w:tab/>
        <w:t>Sartíp</w:t>
      </w:r>
      <w:r w:rsidRPr="008F03E5">
        <w:tab/>
        <w:t>Pers. brigadier</w:t>
      </w:r>
    </w:p>
    <w:p w14:paraId="779DC35B" w14:textId="77777777" w:rsidR="00625A5B" w:rsidRPr="008F03E5" w:rsidRDefault="00625A5B" w:rsidP="003D74C7">
      <w:pPr>
        <w:pStyle w:val="Translit"/>
      </w:pPr>
      <w:r w:rsidRPr="008F03E5">
        <w:t>Saruq</w:t>
      </w:r>
      <w:r w:rsidRPr="008F03E5">
        <w:tab/>
        <w:t>Sárúq</w:t>
      </w:r>
      <w:r w:rsidRPr="008F03E5">
        <w:tab/>
        <w:t>(also known as Qal‘ih-i-Sárúq, Qal‘ih-i-Bálá Sárúq and Súra</w:t>
      </w:r>
      <w:r w:rsidRPr="008F03E5">
        <w:rPr>
          <w:u w:val="single"/>
        </w:rPr>
        <w:t>kh</w:t>
      </w:r>
      <w:r w:rsidRPr="008F03E5">
        <w:t>) is village (34.414167, 49.494167) in Markazi Province</w:t>
      </w:r>
    </w:p>
    <w:p w14:paraId="7A5C6A99" w14:textId="77777777" w:rsidR="00625A5B" w:rsidRPr="008F03E5" w:rsidRDefault="00625A5B" w:rsidP="006F02BB">
      <w:pPr>
        <w:pStyle w:val="Translit"/>
      </w:pPr>
      <w:r w:rsidRPr="008F03E5">
        <w:t>Sarw, Sarv</w:t>
      </w:r>
      <w:r w:rsidRPr="008F03E5">
        <w:tab/>
        <w:t>Sarw, Pers. also Sarv</w:t>
      </w:r>
      <w:r w:rsidRPr="008F03E5">
        <w:tab/>
        <w:t xml:space="preserve">(collective; </w:t>
      </w:r>
      <w:r w:rsidRPr="008F03E5">
        <w:rPr>
          <w:i/>
          <w:iCs/>
        </w:rPr>
        <w:t>nomen unitatis</w:t>
      </w:r>
      <w:r w:rsidRPr="008F03E5">
        <w:t xml:space="preserve"> </w:t>
      </w:r>
      <w:r w:rsidRPr="008F03E5">
        <w:rPr>
          <w:rtl/>
        </w:rPr>
        <w:t>ة</w:t>
      </w:r>
      <w:r w:rsidRPr="008F03E5">
        <w:t>) evergreen cypress tree</w:t>
      </w:r>
    </w:p>
    <w:p w14:paraId="4672690A" w14:textId="77777777" w:rsidR="00625A5B" w:rsidRPr="008F03E5" w:rsidRDefault="00625A5B" w:rsidP="006F02BB">
      <w:pPr>
        <w:pStyle w:val="Translit"/>
      </w:pPr>
      <w:r w:rsidRPr="008F03E5">
        <w:t>Sarwistan, Sarvistan</w:t>
      </w:r>
      <w:r w:rsidRPr="008F03E5">
        <w:tab/>
        <w:t>Sarwistán, Pers. also Sarvistán</w:t>
      </w:r>
      <w:r w:rsidRPr="008F03E5">
        <w:tab/>
        <w:t>(Sarvestan, Serostan) “land of cypresses”; city (29.267124, 53.222546) and county in the province of Fárs, Írán</w:t>
      </w:r>
    </w:p>
    <w:p w14:paraId="2E348F68" w14:textId="77777777" w:rsidR="00625A5B" w:rsidRPr="008F03E5" w:rsidRDefault="00625A5B" w:rsidP="001824D8">
      <w:pPr>
        <w:pStyle w:val="Translit"/>
      </w:pPr>
      <w:r w:rsidRPr="008F03E5">
        <w:rPr>
          <w:rFonts w:eastAsia="Times New Roman"/>
        </w:rPr>
        <w:t>Sar-Zamin</w:t>
      </w:r>
      <w:r w:rsidRPr="008F03E5">
        <w:rPr>
          <w:rFonts w:eastAsia="Times New Roman"/>
        </w:rPr>
        <w:tab/>
        <w:t>Sar-Zamín</w:t>
      </w:r>
      <w:r w:rsidRPr="008F03E5">
        <w:rPr>
          <w:rFonts w:eastAsia="Times New Roman"/>
        </w:rPr>
        <w:tab/>
        <w:t>Pers. the earth; a country, region; limits, confines; upon the spot, on the premises</w:t>
      </w:r>
    </w:p>
    <w:p w14:paraId="316E5C67" w14:textId="77777777" w:rsidR="00625A5B" w:rsidRPr="008F03E5" w:rsidRDefault="00625A5B" w:rsidP="00DC7DB0">
      <w:pPr>
        <w:pStyle w:val="Translit"/>
      </w:pPr>
      <w:r w:rsidRPr="008F03E5">
        <w:t>Sas, Sasan</w:t>
      </w:r>
      <w:r w:rsidRPr="008F03E5">
        <w:tab/>
        <w:t>Sás, pl. Sásán</w:t>
      </w:r>
      <w:r w:rsidRPr="008F03E5">
        <w:tab/>
        <w:t>Pers. a mother-in-law; pleasant, elegant, graceful; neat, clean; poor, indigent; name of an old family in Persia.—pl. solitary, recluse; a beggar; name of the father of Arda</w:t>
      </w:r>
      <w:r w:rsidRPr="008F03E5">
        <w:rPr>
          <w:u w:val="single"/>
        </w:rPr>
        <w:t>sh</w:t>
      </w:r>
      <w:r w:rsidRPr="008F03E5">
        <w:t xml:space="preserve">ír </w:t>
      </w:r>
      <w:r w:rsidRPr="008F03E5">
        <w:rPr>
          <w:rFonts w:eastAsia="PMingLiU"/>
          <w:lang w:eastAsia="zh-TW"/>
        </w:rPr>
        <w:t>B</w:t>
      </w:r>
      <w:r w:rsidRPr="008F03E5">
        <w:t>á</w:t>
      </w:r>
      <w:r w:rsidRPr="008F03E5">
        <w:rPr>
          <w:rFonts w:eastAsia="PMingLiU"/>
          <w:lang w:eastAsia="zh-TW"/>
        </w:rPr>
        <w:t>bak</w:t>
      </w:r>
      <w:r w:rsidRPr="008F03E5">
        <w:t xml:space="preserve">, founder of the dynasty of the Sasanids, who reigned in Persia from </w:t>
      </w:r>
      <w:r w:rsidRPr="008F03E5">
        <w:rPr>
          <w:sz w:val="16"/>
          <w:szCs w:val="16"/>
        </w:rPr>
        <w:t>CE</w:t>
      </w:r>
      <w:r w:rsidRPr="008F03E5">
        <w:t xml:space="preserve"> 224–651, when Yazdagird, the last of the race, was overpowered by the Arabians</w:t>
      </w:r>
    </w:p>
    <w:p w14:paraId="71DBAA2A" w14:textId="77777777" w:rsidR="00625A5B" w:rsidRPr="008F03E5" w:rsidRDefault="00625A5B" w:rsidP="00A80D27">
      <w:pPr>
        <w:pStyle w:val="Translit"/>
      </w:pPr>
      <w:r w:rsidRPr="00077779">
        <w:rPr>
          <w:lang w:val="es-ES_tradnl"/>
        </w:rPr>
        <w:t>Sasani, Sasaniun, Sasaniyan</w:t>
      </w:r>
      <w:r w:rsidRPr="00077779">
        <w:rPr>
          <w:lang w:val="es-ES_tradnl"/>
        </w:rPr>
        <w:tab/>
        <w:t xml:space="preserve">Sásání, pl. </w:t>
      </w:r>
      <w:r w:rsidRPr="008F03E5">
        <w:t>Sásáníyún, Pers. Sásáníyán</w:t>
      </w:r>
      <w:r w:rsidRPr="008F03E5">
        <w:tab/>
        <w:t>b</w:t>
      </w:r>
      <w:r w:rsidRPr="008F03E5">
        <w:rPr>
          <w:rFonts w:eastAsia="Times New Roman"/>
        </w:rPr>
        <w:t xml:space="preserve">elonging or relating to the </w:t>
      </w:r>
      <w:bookmarkStart w:id="136" w:name="_Hlk57119866"/>
      <w:r w:rsidRPr="008F03E5">
        <w:rPr>
          <w:rFonts w:eastAsia="Times New Roman"/>
        </w:rPr>
        <w:t>Sásán</w:t>
      </w:r>
      <w:bookmarkEnd w:id="136"/>
      <w:r w:rsidRPr="008F03E5">
        <w:rPr>
          <w:rFonts w:eastAsia="Times New Roman"/>
        </w:rPr>
        <w:t xml:space="preserve"> dynasty (Iranian or </w:t>
      </w:r>
      <w:r w:rsidRPr="008F03E5">
        <w:t>Sasanian Empire) of Persian kings.  Sásáníyún, the Sasanides; also known in English as the Sasanian, Sassanian, Sasanid and Sassanid Empire.</w:t>
      </w:r>
    </w:p>
    <w:p w14:paraId="131C09CB" w14:textId="77777777" w:rsidR="00625A5B" w:rsidRPr="008F03E5" w:rsidRDefault="00625A5B" w:rsidP="005D1085">
      <w:pPr>
        <w:pStyle w:val="Translit"/>
      </w:pPr>
      <w:r w:rsidRPr="008F03E5">
        <w:t>Satar</w:t>
      </w:r>
      <w:r w:rsidRPr="008F03E5">
        <w:tab/>
        <w:t>Satár</w:t>
      </w:r>
      <w:r w:rsidRPr="008F03E5">
        <w:tab/>
        <w:t>Pers. a star; a mosquito curtain;—</w:t>
      </w:r>
      <w:r w:rsidRPr="008F03E5">
        <w:rPr>
          <w:i/>
          <w:iCs/>
        </w:rPr>
        <w:t>sitár</w:t>
      </w:r>
      <w:r w:rsidRPr="008F03E5">
        <w:t xml:space="preserve"> (for sih tár), a three-stringed guitar; a rising star; a riff</w:t>
      </w:r>
    </w:p>
    <w:p w14:paraId="35B05FE0" w14:textId="77777777" w:rsidR="00625A5B" w:rsidRPr="008F03E5" w:rsidRDefault="00625A5B" w:rsidP="007D73BB">
      <w:pPr>
        <w:pStyle w:val="Translit"/>
      </w:pPr>
      <w:r w:rsidRPr="008F03E5">
        <w:t>Sati’, Sati’an, Sawati’</w:t>
      </w:r>
      <w:r w:rsidRPr="008F03E5">
        <w:tab/>
        <w:t>Sáṭi‘, dual Sáṭi‘án, pl. Sawáṭi‘</w:t>
      </w:r>
      <w:r w:rsidRPr="008F03E5">
        <w:tab/>
        <w:t>radiant, brilliant, shining, luminous, bright; manifest, obvious, clear, plain, patent, evident (proof)</w:t>
      </w:r>
    </w:p>
    <w:p w14:paraId="4A5AF7E1" w14:textId="77777777" w:rsidR="00625A5B" w:rsidRPr="008F03E5" w:rsidRDefault="00625A5B" w:rsidP="00C92772">
      <w:pPr>
        <w:pStyle w:val="Translit"/>
      </w:pPr>
      <w:r w:rsidRPr="008F03E5">
        <w:t>Sattar</w:t>
      </w:r>
      <w:r w:rsidRPr="008F03E5">
        <w:tab/>
        <w:t>as-Sattár</w:t>
      </w:r>
      <w:r w:rsidRPr="008F03E5">
        <w:tab/>
        <w:t>the veiler, the coverer (an attribute of God)</w:t>
      </w:r>
    </w:p>
    <w:p w14:paraId="1EE454F9" w14:textId="77777777" w:rsidR="00625A5B" w:rsidRPr="008F03E5" w:rsidRDefault="00625A5B" w:rsidP="001B71A9">
      <w:pPr>
        <w:pStyle w:val="Translit"/>
      </w:pPr>
      <w:r w:rsidRPr="008F03E5">
        <w:t>Satwa, Satawat</w:t>
      </w:r>
      <w:r w:rsidRPr="008F03E5">
        <w:tab/>
        <w:t>Saṭwa[t], pl. Saṭawát</w:t>
      </w:r>
      <w:r w:rsidRPr="008F03E5">
        <w:tab/>
        <w:t>attack, assault; influence, authority; presumption, cockiness, pride, power, strength</w:t>
      </w:r>
    </w:p>
    <w:p w14:paraId="389C8CF4" w14:textId="77777777" w:rsidR="00625A5B" w:rsidRPr="008F03E5" w:rsidRDefault="00625A5B" w:rsidP="001B71A9">
      <w:pPr>
        <w:pStyle w:val="Translit"/>
      </w:pPr>
      <w:r w:rsidRPr="008F03E5">
        <w:t>Satwatu’llah</w:t>
      </w:r>
      <w:r w:rsidRPr="008F03E5">
        <w:tab/>
        <w:t>Saṭwatu’lláh</w:t>
      </w:r>
      <w:r w:rsidRPr="008F03E5">
        <w:tab/>
        <w:t>authority of God</w:t>
      </w:r>
    </w:p>
    <w:p w14:paraId="68D844D4" w14:textId="77777777" w:rsidR="00625A5B" w:rsidRPr="008F03E5" w:rsidRDefault="00625A5B" w:rsidP="000C20A9">
      <w:pPr>
        <w:pStyle w:val="Translit"/>
      </w:pPr>
      <w:r w:rsidRPr="008F03E5">
        <w:t>Sawad (Savad)</w:t>
      </w:r>
      <w:r w:rsidRPr="008F03E5">
        <w:tab/>
        <w:t>Sawád, pl. Aswida</w:t>
      </w:r>
      <w:r w:rsidRPr="008F03E5">
        <w:tab/>
        <w:t>black colour, black, blackness;—pl. black clothing, mourning; arable land, tilth; shape, form; inner part, core; majority; multitude</w:t>
      </w:r>
    </w:p>
    <w:p w14:paraId="4BD57133" w14:textId="77777777" w:rsidR="00625A5B" w:rsidRPr="008F03E5" w:rsidRDefault="00625A5B" w:rsidP="00F86C2C">
      <w:pPr>
        <w:pStyle w:val="Translit"/>
      </w:pPr>
      <w:r w:rsidRPr="008F03E5">
        <w:t>Sawad-Kuh (Savad-Koh)</w:t>
      </w:r>
      <w:r w:rsidRPr="008F03E5">
        <w:tab/>
        <w:t>Sawád-Kúh</w:t>
      </w:r>
      <w:r w:rsidRPr="008F03E5">
        <w:tab/>
        <w:t>mountain (32.522235, 50.257248) west of Iṣfahán</w:t>
      </w:r>
      <w:r>
        <w:t>.  A county in Mazandaran Province, capital city (</w:t>
      </w:r>
      <w:r w:rsidRPr="00CC1138">
        <w:t>36.116846, 53.056318</w:t>
      </w:r>
      <w:r>
        <w:t xml:space="preserve">) </w:t>
      </w:r>
      <w:r w:rsidRPr="00F86C2C">
        <w:t xml:space="preserve">is </w:t>
      </w:r>
      <w:r>
        <w:t>P</w:t>
      </w:r>
      <w:r w:rsidRPr="00F86C2C">
        <w:t>ul-</w:t>
      </w:r>
      <w:r>
        <w:t>S</w:t>
      </w:r>
      <w:r w:rsidRPr="00F86C2C">
        <w:t>afíd</w:t>
      </w:r>
      <w:r>
        <w:t xml:space="preserve"> (“white bridge”).</w:t>
      </w:r>
    </w:p>
    <w:p w14:paraId="566498DA" w14:textId="77777777" w:rsidR="00625A5B" w:rsidRPr="008F03E5" w:rsidRDefault="00625A5B" w:rsidP="00276E04">
      <w:pPr>
        <w:pStyle w:val="Translit"/>
      </w:pPr>
      <w:r w:rsidRPr="008F03E5">
        <w:t>Sawda (Sauda)</w:t>
      </w:r>
      <w:r w:rsidRPr="008F03E5">
        <w:tab/>
        <w:t>Sawda[h]</w:t>
      </w:r>
      <w:r w:rsidRPr="008F03E5">
        <w:tab/>
        <w:t>date palm garden or land with many date palms.  Sawda bint Zam‘a was the second wife of Muḥammad.</w:t>
      </w:r>
    </w:p>
    <w:p w14:paraId="6C48CF8A" w14:textId="77777777" w:rsidR="00625A5B" w:rsidRPr="008F03E5" w:rsidRDefault="00625A5B" w:rsidP="00CE5F2A">
      <w:pPr>
        <w:pStyle w:val="Translit"/>
      </w:pPr>
      <w:r w:rsidRPr="008F03E5">
        <w:rPr>
          <w:rFonts w:eastAsia="Times New Roman"/>
        </w:rPr>
        <w:t>Sawiq, Pist</w:t>
      </w:r>
      <w:r w:rsidRPr="008F03E5">
        <w:rPr>
          <w:rFonts w:eastAsia="Times New Roman"/>
        </w:rPr>
        <w:tab/>
        <w:t>Saw</w:t>
      </w:r>
      <w:r w:rsidRPr="008F03E5">
        <w:t>í</w:t>
      </w:r>
      <w:r w:rsidRPr="008F03E5">
        <w:rPr>
          <w:rFonts w:eastAsia="Times New Roman"/>
        </w:rPr>
        <w:t>q, Pers. Pist</w:t>
      </w:r>
      <w:r w:rsidRPr="008F03E5">
        <w:rPr>
          <w:rFonts w:eastAsia="Times New Roman"/>
        </w:rPr>
        <w:tab/>
        <w:t>bruised corn; meal of wheat, barley, or vetches, especially when toasted</w:t>
      </w:r>
    </w:p>
    <w:p w14:paraId="404ED400" w14:textId="77777777" w:rsidR="00625A5B" w:rsidRPr="008F03E5" w:rsidRDefault="00625A5B" w:rsidP="00BF4624">
      <w:pPr>
        <w:pStyle w:val="Translit"/>
      </w:pPr>
      <w:r w:rsidRPr="008F03E5">
        <w:t>Sawla (Saula, Pers. Sawlih), Sawlat</w:t>
      </w:r>
      <w:r w:rsidRPr="008F03E5">
        <w:tab/>
        <w:t>Ṣawla, pl. Ṣawlát</w:t>
      </w:r>
      <w:r w:rsidRPr="008F03E5">
        <w:tab/>
        <w:t>attack, assault; force, tyranny, despotism, arbitrariness</w:t>
      </w:r>
    </w:p>
    <w:p w14:paraId="2B27C903" w14:textId="77777777" w:rsidR="00625A5B" w:rsidRPr="008F03E5" w:rsidRDefault="00625A5B" w:rsidP="00FB3881">
      <w:pPr>
        <w:pStyle w:val="Translit"/>
      </w:pPr>
      <w:r w:rsidRPr="008F03E5">
        <w:t>Sawm (Saum)</w:t>
      </w:r>
      <w:r w:rsidRPr="008F03E5">
        <w:tab/>
        <w:t>Ṣawm</w:t>
      </w:r>
      <w:r w:rsidRPr="008F03E5">
        <w:tab/>
        <w:t>abstention, abstinence, abstemiousness; fasting, fast; aṣ-ṣawm fasting during Ramadán</w:t>
      </w:r>
    </w:p>
    <w:p w14:paraId="305736BB" w14:textId="77777777" w:rsidR="00625A5B" w:rsidRPr="008F03E5" w:rsidRDefault="00625A5B" w:rsidP="00520E7A">
      <w:pPr>
        <w:pStyle w:val="Translit"/>
      </w:pPr>
      <w:r w:rsidRPr="008F03E5">
        <w:t>Sawma’ (Sauma’), Sawami’</w:t>
      </w:r>
      <w:r w:rsidRPr="008F03E5">
        <w:tab/>
        <w:t>Ṣawma‘, pl. Ṣawámi‘</w:t>
      </w:r>
      <w:r w:rsidRPr="008F03E5">
        <w:tab/>
        <w:t>a cloister; monk’s cell; tower; hermitage</w:t>
      </w:r>
    </w:p>
    <w:p w14:paraId="1CDB7815" w14:textId="77777777" w:rsidR="00625A5B" w:rsidRPr="008F03E5" w:rsidRDefault="00625A5B" w:rsidP="00520E7A">
      <w:pPr>
        <w:pStyle w:val="Translit"/>
      </w:pPr>
      <w:r w:rsidRPr="008F03E5">
        <w:t>Sawma’a (Sauma’a)</w:t>
      </w:r>
      <w:r w:rsidRPr="008F03E5">
        <w:tab/>
        <w:t>Ṣawma‘a[h or t]</w:t>
      </w:r>
      <w:r w:rsidRPr="008F03E5">
        <w:tab/>
        <w:t>heaping up to a point; collecting, bringing together; a high-crowned cap, mitre, tiara; a Christian cell, a hermitage, a monastery; an eagle</w:t>
      </w:r>
    </w:p>
    <w:p w14:paraId="2A9A706F" w14:textId="77777777" w:rsidR="00625A5B" w:rsidRPr="008F03E5" w:rsidRDefault="00625A5B" w:rsidP="003109B6">
      <w:pPr>
        <w:pStyle w:val="Translit"/>
        <w:rPr>
          <w:rFonts w:eastAsia="Times New Roman"/>
        </w:rPr>
      </w:pPr>
      <w:r w:rsidRPr="008F03E5">
        <w:rPr>
          <w:rFonts w:eastAsia="Times New Roman"/>
        </w:rPr>
        <w:t>Sawn, Sawan (Savan), Sun</w:t>
      </w:r>
      <w:r w:rsidRPr="008F03E5">
        <w:rPr>
          <w:rFonts w:eastAsia="Times New Roman"/>
        </w:rPr>
        <w:tab/>
        <w:t>Sawn, Sawan or Pers. Sún</w:t>
      </w:r>
      <w:r w:rsidRPr="008F03E5">
        <w:rPr>
          <w:rFonts w:eastAsia="Times New Roman"/>
        </w:rPr>
        <w:tab/>
        <w:t>a side, a part; like, resembling</w:t>
      </w:r>
    </w:p>
    <w:p w14:paraId="01D80BA6" w14:textId="77777777" w:rsidR="00625A5B" w:rsidRPr="008F03E5" w:rsidRDefault="00625A5B" w:rsidP="00937CE0">
      <w:pPr>
        <w:pStyle w:val="Translit"/>
      </w:pPr>
      <w:r w:rsidRPr="008F03E5">
        <w:t>Sawsan (Sausan), Susan</w:t>
      </w:r>
      <w:r w:rsidRPr="008F03E5">
        <w:tab/>
        <w:t>Sawsan, Pers Súsan</w:t>
      </w:r>
      <w:r w:rsidRPr="008F03E5">
        <w:tab/>
        <w:t>lily of the valley (botanical)</w:t>
      </w:r>
    </w:p>
    <w:p w14:paraId="5843910E" w14:textId="77777777" w:rsidR="00625A5B" w:rsidRPr="008F03E5" w:rsidRDefault="00625A5B" w:rsidP="008679BB">
      <w:pPr>
        <w:pStyle w:val="Translit"/>
      </w:pPr>
      <w:r w:rsidRPr="008F03E5">
        <w:t>Sawwaf</w:t>
      </w:r>
      <w:r w:rsidRPr="008F03E5">
        <w:tab/>
        <w:t>Ṣawwáf</w:t>
      </w:r>
      <w:r w:rsidRPr="008F03E5">
        <w:tab/>
        <w:t>wool merchant</w:t>
      </w:r>
    </w:p>
    <w:p w14:paraId="3320B74E" w14:textId="77777777" w:rsidR="00625A5B" w:rsidRPr="008F03E5" w:rsidRDefault="00625A5B" w:rsidP="00E73516">
      <w:pPr>
        <w:pStyle w:val="Translit"/>
      </w:pPr>
      <w:r w:rsidRPr="008F03E5">
        <w:t>Sayda</w:t>
      </w:r>
      <w:r w:rsidRPr="008F03E5">
        <w:tab/>
        <w:t>Ṣaydá</w:t>
      </w:r>
      <w:r w:rsidRPr="008F03E5">
        <w:tab/>
        <w:t>Sidon, southern Lebanon</w:t>
      </w:r>
    </w:p>
    <w:p w14:paraId="0925076D" w14:textId="77777777" w:rsidR="00625A5B" w:rsidRPr="008F03E5" w:rsidRDefault="00625A5B" w:rsidP="000C0772">
      <w:pPr>
        <w:pStyle w:val="Translit"/>
      </w:pPr>
      <w:r w:rsidRPr="008F03E5">
        <w:t>Sayf (Saif), Asyaf</w:t>
      </w:r>
      <w:r w:rsidRPr="008F03E5">
        <w:tab/>
        <w:t>Ṣayf, pl.Aṣyáf</w:t>
      </w:r>
      <w:r w:rsidRPr="008F03E5">
        <w:tab/>
        <w:t>summer</w:t>
      </w:r>
    </w:p>
    <w:p w14:paraId="6C9A9D23" w14:textId="77777777" w:rsidR="00625A5B" w:rsidRPr="008F03E5" w:rsidRDefault="00625A5B" w:rsidP="003E0BB7">
      <w:pPr>
        <w:pStyle w:val="Translit"/>
      </w:pPr>
      <w:r w:rsidRPr="008F03E5">
        <w:t>Sayf (Saif), Suyuf, Asyaf, Asyuf</w:t>
      </w:r>
      <w:r w:rsidRPr="008F03E5">
        <w:tab/>
        <w:t>Sayf, pl. Suyúf, Asyáf, Asyuf</w:t>
      </w:r>
      <w:r w:rsidRPr="008F03E5">
        <w:tab/>
        <w:t>sword; sabre, foil, rapier.  Sayf al-Islám—title of princes of the royal house of Yemen.  Sayf Alláh or Sayfa’lláh—the Sword of God.</w:t>
      </w:r>
    </w:p>
    <w:p w14:paraId="028B3EEE" w14:textId="77777777" w:rsidR="00625A5B" w:rsidRPr="008F03E5" w:rsidRDefault="00625A5B" w:rsidP="001378F3">
      <w:pPr>
        <w:pStyle w:val="Translit"/>
      </w:pPr>
      <w:r w:rsidRPr="008F03E5">
        <w:t>Sayfu’l-Haq (Saifu’l-Haqq)</w:t>
      </w:r>
      <w:r w:rsidRPr="008F03E5">
        <w:tab/>
        <w:t>Sayfu’l-Ḥaq (Saifu’l-Ḥaqq)</w:t>
      </w:r>
      <w:r w:rsidRPr="008F03E5">
        <w:tab/>
        <w:t>“The sword of truth” applied to Áqá Ján by Mírzá Yaḥyá</w:t>
      </w:r>
    </w:p>
    <w:p w14:paraId="32F9E3A3" w14:textId="77777777" w:rsidR="00625A5B" w:rsidRPr="008F03E5" w:rsidRDefault="00625A5B" w:rsidP="00543765">
      <w:pPr>
        <w:pStyle w:val="Translit"/>
      </w:pPr>
      <w:r w:rsidRPr="008F03E5">
        <w:t>Sayha (Saiha), Sayhat</w:t>
      </w:r>
      <w:r w:rsidRPr="008F03E5">
        <w:tab/>
        <w:t>Ṣayḥa[h] (n. vic.), pl. Ṣayḥát</w:t>
      </w:r>
      <w:r w:rsidRPr="008F03E5">
        <w:tab/>
        <w:t xml:space="preserve">cry, outcry, shout.  The </w:t>
      </w:r>
      <w:r w:rsidRPr="008F03E5">
        <w:rPr>
          <w:i/>
          <w:iCs/>
        </w:rPr>
        <w:t>nomen vicis</w:t>
      </w:r>
      <w:r w:rsidRPr="008F03E5">
        <w:t xml:space="preserve"> (n. vic.) is an Arabic infinitive that intends to denote the singleness of the action.</w:t>
      </w:r>
    </w:p>
    <w:p w14:paraId="379EC061" w14:textId="77777777" w:rsidR="00625A5B" w:rsidRPr="008F03E5" w:rsidRDefault="00625A5B" w:rsidP="00EA64B2">
      <w:pPr>
        <w:pStyle w:val="Translit"/>
      </w:pPr>
      <w:r w:rsidRPr="008F03E5">
        <w:t>Sayqal (Saiqal), Sayqalat, Masaqil</w:t>
      </w:r>
      <w:r w:rsidRPr="008F03E5">
        <w:tab/>
        <w:t>Ṣayqal, pl. Ṣayqalát, Maṣáqil</w:t>
      </w:r>
      <w:r w:rsidRPr="008F03E5">
        <w:tab/>
        <w:t xml:space="preserve">polisher, smoother.  Ṣayqal (other possible names:  Rayḥánah, Súsan and Narjis) was a slave of Imám Ḥasan al-‘Askarí and claimed by </w:t>
      </w:r>
      <w:r w:rsidRPr="008F03E5">
        <w:rPr>
          <w:u w:val="single"/>
        </w:rPr>
        <w:t>Sh</w:t>
      </w:r>
      <w:r w:rsidRPr="008F03E5">
        <w:t>í‘ahs to be the mother of the twelfth Imám.</w:t>
      </w:r>
    </w:p>
    <w:p w14:paraId="604723C0" w14:textId="77777777" w:rsidR="00625A5B" w:rsidRPr="008F03E5" w:rsidRDefault="00625A5B" w:rsidP="0028588F">
      <w:pPr>
        <w:pStyle w:val="Translit"/>
        <w:rPr>
          <w:rFonts w:eastAsia="Times New Roman"/>
        </w:rPr>
      </w:pPr>
      <w:r w:rsidRPr="008F03E5">
        <w:rPr>
          <w:rFonts w:eastAsia="Times New Roman"/>
        </w:rPr>
        <w:t>Sayraf, Sayrafi, Sayarif, Sayarifa</w:t>
      </w:r>
      <w:r w:rsidRPr="008F03E5">
        <w:rPr>
          <w:rFonts w:eastAsia="Times New Roman"/>
        </w:rPr>
        <w:tab/>
        <w:t>Ṣayraf, Ṣayrafí, pl. Ṣayárif, f. Ṣayárifa[h]</w:t>
      </w:r>
      <w:r w:rsidRPr="008F03E5">
        <w:rPr>
          <w:rFonts w:eastAsia="Times New Roman"/>
        </w:rPr>
        <w:tab/>
        <w:t xml:space="preserve">money changer; cashier, teller, treasurer.  See </w:t>
      </w:r>
      <w:r w:rsidRPr="008F03E5">
        <w:t>ṣarráf.</w:t>
      </w:r>
    </w:p>
    <w:p w14:paraId="243366C7" w14:textId="77777777" w:rsidR="00625A5B" w:rsidRPr="008F03E5" w:rsidRDefault="00625A5B" w:rsidP="00910761">
      <w:pPr>
        <w:pStyle w:val="Translit"/>
      </w:pPr>
      <w:r w:rsidRPr="008F03E5">
        <w:t>Sayrurat (Sairurut)</w:t>
      </w:r>
      <w:r w:rsidRPr="008F03E5">
        <w:tab/>
        <w:t>Sayrúrat</w:t>
      </w:r>
      <w:r w:rsidRPr="008F03E5">
        <w:tab/>
        <w:t>Pers. being, becoming, proving</w:t>
      </w:r>
    </w:p>
    <w:p w14:paraId="62FA9497" w14:textId="77777777" w:rsidR="00625A5B" w:rsidRPr="008F03E5" w:rsidRDefault="00625A5B" w:rsidP="00EA64B2">
      <w:pPr>
        <w:pStyle w:val="Translit"/>
      </w:pPr>
      <w:r w:rsidRPr="008F03E5">
        <w:t>Saysan (Sausan), Susan</w:t>
      </w:r>
      <w:r w:rsidRPr="008F03E5">
        <w:tab/>
        <w:t>Saysan, Súsan</w:t>
      </w:r>
      <w:r w:rsidRPr="008F03E5">
        <w:tab/>
        <w:t>lily of the valley (botanical)</w:t>
      </w:r>
    </w:p>
    <w:p w14:paraId="42235CD1" w14:textId="77777777" w:rsidR="00625A5B" w:rsidRPr="008F03E5" w:rsidRDefault="00625A5B" w:rsidP="00FC3EA4">
      <w:pPr>
        <w:pStyle w:val="Translit"/>
      </w:pPr>
      <w:r w:rsidRPr="008F03E5">
        <w:t>Saysan (Seysan), Sisan, Sisan-i-Qadim</w:t>
      </w:r>
      <w:r w:rsidRPr="008F03E5">
        <w:tab/>
        <w:t>Saysán</w:t>
      </w:r>
      <w:r w:rsidRPr="008F03E5">
        <w:tab/>
        <w:t xml:space="preserve">Bahá’í village (37.827427, 46.734777) 46 km </w:t>
      </w:r>
      <w:r w:rsidRPr="008F03E5">
        <w:rPr>
          <w:sz w:val="16"/>
          <w:szCs w:val="16"/>
        </w:rPr>
        <w:t>SE</w:t>
      </w:r>
      <w:r w:rsidRPr="008F03E5">
        <w:t xml:space="preserve"> of Tabríz, East Azerbaijan Province.  Also known as Saysán-i-Qadím (“Old Seysan”).  All of the Bahá’ís of the village were removed and their houses razed to the ground by bulldozers in an operation of ethnic cleansing after the Islamic Revolution of 1979.</w:t>
      </w:r>
    </w:p>
    <w:p w14:paraId="61AC9058" w14:textId="77777777" w:rsidR="00625A5B" w:rsidRPr="008F03E5" w:rsidRDefault="00625A5B" w:rsidP="002D6E92">
      <w:pPr>
        <w:pStyle w:val="Translit"/>
      </w:pPr>
      <w:r w:rsidRPr="008F03E5">
        <w:t>Sayyah, Sayyahun</w:t>
      </w:r>
      <w:r w:rsidRPr="008F03E5">
        <w:tab/>
        <w:t>Sayyáḥ, pl. Sayyáḥún</w:t>
      </w:r>
      <w:r w:rsidRPr="008F03E5">
        <w:tab/>
        <w:t>traveller; tourist.  Title, ‘Alíy-i-Sayyáḥ, given to Adí-Guzal of Mara</w:t>
      </w:r>
      <w:r w:rsidRPr="008F03E5">
        <w:rPr>
          <w:u w:val="single"/>
        </w:rPr>
        <w:t>gh</w:t>
      </w:r>
      <w:r w:rsidRPr="008F03E5">
        <w:t>ih, the eminent traveller and disciple of the Báb.  Lawḥ-i-Sayyáḥ is a Tablet in honour of Mullá Adí-Guzal.  Ḥájj Sayyáḥ, Mírzá Muḥammad ‘Alí Maḥallátí (c. 1836–1925), the first Iranian-American; a world traveller; constitutionalist and human rights activist; and secret emissary of Mas‘úd Mírzá to Bahá’u’lláh, ‘Akká, in 1888.  See Guzel.</w:t>
      </w:r>
    </w:p>
    <w:p w14:paraId="342A78AE" w14:textId="77777777" w:rsidR="00625A5B" w:rsidRPr="008F03E5" w:rsidRDefault="00625A5B" w:rsidP="00373F3C">
      <w:pPr>
        <w:pStyle w:val="Translit"/>
      </w:pPr>
      <w:r w:rsidRPr="008F03E5">
        <w:t xml:space="preserve">Sayyid (Saiyid), </w:t>
      </w:r>
      <w:r>
        <w:t xml:space="preserve">Sayyida, </w:t>
      </w:r>
      <w:r w:rsidRPr="008F03E5">
        <w:t>Asyad, Sada</w:t>
      </w:r>
      <w:r w:rsidRPr="008F03E5">
        <w:tab/>
        <w:t xml:space="preserve">Sayyid, </w:t>
      </w:r>
      <w:r>
        <w:t>fem. Sayyida[h or t]</w:t>
      </w:r>
      <w:r>
        <w:tab/>
        <w:t>(dual Sayyid</w:t>
      </w:r>
      <w:r w:rsidRPr="00406BBB">
        <w:t>á</w:t>
      </w:r>
      <w:r>
        <w:t xml:space="preserve">n, </w:t>
      </w:r>
      <w:r w:rsidRPr="008F03E5">
        <w:t>pl. Asyád, Sáda[h</w:t>
      </w:r>
      <w:r>
        <w:t xml:space="preserve"> or t</w:t>
      </w:r>
      <w:r w:rsidRPr="008F03E5">
        <w:t>], Sádát</w:t>
      </w:r>
      <w:r>
        <w:t>, fem. Sayyid</w:t>
      </w:r>
      <w:r w:rsidRPr="005F2B01">
        <w:t>á</w:t>
      </w:r>
      <w:r>
        <w:t xml:space="preserve">t) </w:t>
      </w:r>
      <w:r w:rsidRPr="008F03E5">
        <w:t>master; gentleman; Mister; Sir; lord, overlord; chief, chieftain; title of Muḥammad’s direct descendants</w:t>
      </w:r>
      <w:r>
        <w:t xml:space="preserve"> through His daughter, </w:t>
      </w:r>
      <w:r w:rsidRPr="008F03E5">
        <w:t>Fáṭima</w:t>
      </w:r>
      <w:r>
        <w:t>h</w:t>
      </w:r>
      <w:r w:rsidRPr="008F03E5">
        <w:t xml:space="preserve">.  </w:t>
      </w:r>
      <w:r>
        <w:t xml:space="preserve">Dual:  </w:t>
      </w:r>
      <w:r w:rsidRPr="00AF4D34">
        <w:rPr>
          <w:rFonts w:eastAsia="Times New Roman"/>
        </w:rPr>
        <w:t xml:space="preserve">The two sons of </w:t>
      </w:r>
      <w:r>
        <w:rPr>
          <w:rFonts w:eastAsia="Times New Roman"/>
        </w:rPr>
        <w:t>Im</w:t>
      </w:r>
      <w:r w:rsidRPr="00406BBB">
        <w:t>á</w:t>
      </w:r>
      <w:r>
        <w:rPr>
          <w:rFonts w:eastAsia="Times New Roman"/>
        </w:rPr>
        <w:t xml:space="preserve">m </w:t>
      </w:r>
      <w:r>
        <w:rPr>
          <w:rFonts w:eastAsia="Times New Roman"/>
          <w:i/>
          <w:iCs/>
        </w:rPr>
        <w:t>‘</w:t>
      </w:r>
      <w:r w:rsidRPr="00AF4D34">
        <w:rPr>
          <w:rFonts w:eastAsia="Times New Roman"/>
        </w:rPr>
        <w:t xml:space="preserve">Alí, </w:t>
      </w:r>
      <w:r w:rsidRPr="00406BBB">
        <w:t>Ḥ</w:t>
      </w:r>
      <w:r w:rsidRPr="00AF4D34">
        <w:rPr>
          <w:rFonts w:eastAsia="Times New Roman"/>
        </w:rPr>
        <w:t xml:space="preserve">asan and </w:t>
      </w:r>
      <w:r w:rsidRPr="00406BBB">
        <w:t>Ḥ</w:t>
      </w:r>
      <w:r w:rsidRPr="00AF4D34">
        <w:rPr>
          <w:rFonts w:eastAsia="Times New Roman"/>
        </w:rPr>
        <w:t>usa</w:t>
      </w:r>
      <w:r>
        <w:rPr>
          <w:rFonts w:eastAsia="Times New Roman"/>
        </w:rPr>
        <w:t>y</w:t>
      </w:r>
      <w:r w:rsidRPr="00AF4D34">
        <w:rPr>
          <w:rFonts w:eastAsia="Times New Roman"/>
        </w:rPr>
        <w:t>n</w:t>
      </w:r>
      <w:r>
        <w:rPr>
          <w:rFonts w:eastAsia="Times New Roman"/>
        </w:rPr>
        <w:t xml:space="preserve">. </w:t>
      </w:r>
      <w:r w:rsidRPr="008F03E5">
        <w:t xml:space="preserve"> During the time of the Ottoman Empire, sayyids formed a kind of nobility with the privilege of wearing green turbans.  Siyyid is a Persian Bahá’í variation.</w:t>
      </w:r>
      <w:r>
        <w:t xml:space="preserve">  </w:t>
      </w:r>
      <w:r w:rsidRPr="008F03E5">
        <w:t>See ḥa</w:t>
      </w:r>
      <w:r w:rsidRPr="008F03E5">
        <w:rPr>
          <w:u w:val="single"/>
        </w:rPr>
        <w:t>sh</w:t>
      </w:r>
      <w:r w:rsidRPr="008F03E5">
        <w:t>í</w:t>
      </w:r>
      <w:r w:rsidRPr="008F03E5">
        <w:rPr>
          <w:u w:val="single"/>
        </w:rPr>
        <w:t>sh</w:t>
      </w:r>
      <w:r w:rsidRPr="008F03E5">
        <w:t>.</w:t>
      </w:r>
    </w:p>
    <w:p w14:paraId="5C647696" w14:textId="77777777" w:rsidR="00625A5B" w:rsidRPr="008F03E5" w:rsidRDefault="00625A5B" w:rsidP="00D93178">
      <w:pPr>
        <w:pStyle w:val="Translit"/>
      </w:pPr>
      <w:r w:rsidRPr="008F03E5">
        <w:t>Sayyid ‘Ali (Siyyid ‘Ali)</w:t>
      </w:r>
      <w:r w:rsidRPr="008F03E5">
        <w:tab/>
        <w:t>Sayyid ‘Alí</w:t>
      </w:r>
      <w:r w:rsidRPr="008F03E5">
        <w:tab/>
        <w:t xml:space="preserve">Ḥájí Mírzá Siyyid ‘Alí (surnamed </w:t>
      </w:r>
      <w:r w:rsidRPr="008F03E5">
        <w:rPr>
          <w:u w:val="single"/>
        </w:rPr>
        <w:t>Kh</w:t>
      </w:r>
      <w:r w:rsidRPr="008F03E5">
        <w:t>ál-i-A‘ẓam, the “Most Great Uncle”) middle maternal uncle of the Báb, who raised Him after His father, Siyyid Mírzá Muḥammad-Riḍá, died when His son was 9 (1828).  He was the only relative of the Báb to espouse His Cause openly during His lifetime and to accept martyrdom for His sake.</w:t>
      </w:r>
    </w:p>
    <w:p w14:paraId="15264E5B" w14:textId="77777777" w:rsidR="00625A5B" w:rsidRPr="008F03E5" w:rsidRDefault="00625A5B" w:rsidP="00FC51AF">
      <w:pPr>
        <w:pStyle w:val="Translit"/>
      </w:pPr>
      <w:r w:rsidRPr="008F03E5">
        <w:t>Sayyid Kazim-i-Rashti</w:t>
      </w:r>
      <w:r w:rsidRPr="008F03E5">
        <w:tab/>
        <w:t>Sayyid Káẓim-i-Ra</w:t>
      </w:r>
      <w:r w:rsidRPr="008F03E5">
        <w:rPr>
          <w:u w:val="single"/>
        </w:rPr>
        <w:t>sh</w:t>
      </w:r>
      <w:r w:rsidRPr="008F03E5">
        <w:t>tí</w:t>
      </w:r>
      <w:r w:rsidRPr="008F03E5">
        <w:tab/>
        <w:t>Siyyid Káẓim bin Qásim al-Ḥusayní ar-Ra</w:t>
      </w:r>
      <w:r w:rsidRPr="008F03E5">
        <w:rPr>
          <w:u w:val="single"/>
        </w:rPr>
        <w:t>sh</w:t>
      </w:r>
      <w:r w:rsidRPr="008F03E5">
        <w:t xml:space="preserve">tí (1793–1843).  The second (successor of </w:t>
      </w:r>
      <w:r w:rsidRPr="008F03E5">
        <w:rPr>
          <w:u w:val="single"/>
        </w:rPr>
        <w:t>Sh</w:t>
      </w:r>
      <w:r w:rsidRPr="008F03E5">
        <w:t>ay</w:t>
      </w:r>
      <w:r w:rsidRPr="008F03E5">
        <w:rPr>
          <w:u w:val="single"/>
        </w:rPr>
        <w:t>kh</w:t>
      </w:r>
      <w:r w:rsidRPr="008F03E5">
        <w:t xml:space="preserve"> Aḥmad-i-Aḥsá’í) of the “twin resplendent lights” (Bábayn, two gates) who taught their followers that the coming of the Promised One of Islam (the Báb) was at hand and prepared them for His advent.  Died 31–12–1843, Karbilá, leaving no successor.  See </w:t>
      </w:r>
      <w:r w:rsidRPr="008F03E5">
        <w:rPr>
          <w:u w:val="single"/>
        </w:rPr>
        <w:t>Sh</w:t>
      </w:r>
      <w:r w:rsidRPr="008F03E5">
        <w:t>ay</w:t>
      </w:r>
      <w:r w:rsidRPr="008F03E5">
        <w:rPr>
          <w:u w:val="single"/>
        </w:rPr>
        <w:t>kh</w:t>
      </w:r>
      <w:r w:rsidRPr="008F03E5">
        <w:t xml:space="preserve"> Aḥmad-i-Aḥsá’í</w:t>
      </w:r>
      <w:r>
        <w:t>.</w:t>
      </w:r>
    </w:p>
    <w:p w14:paraId="7998C82E" w14:textId="77777777" w:rsidR="00625A5B" w:rsidRPr="008F03E5" w:rsidRDefault="00625A5B" w:rsidP="00FC51AF">
      <w:pPr>
        <w:pStyle w:val="Translit"/>
      </w:pPr>
      <w:r w:rsidRPr="008F03E5">
        <w:t>Sayyid Muhammad</w:t>
      </w:r>
      <w:r w:rsidRPr="008F03E5">
        <w:tab/>
        <w:t>Sayyid Muḥammad</w:t>
      </w:r>
      <w:r w:rsidRPr="008F03E5">
        <w:tab/>
        <w:t xml:space="preserve">Ḥájí Mírzá Siyyid Muḥammad (surnamed </w:t>
      </w:r>
      <w:r w:rsidRPr="008F03E5">
        <w:rPr>
          <w:u w:val="single"/>
        </w:rPr>
        <w:t>Kh</w:t>
      </w:r>
      <w:r w:rsidRPr="008F03E5">
        <w:t>ál-Akbar, the “greater uncle”), eldest maternal uncle of the Báb.</w:t>
      </w:r>
    </w:p>
    <w:p w14:paraId="754485B8" w14:textId="77777777" w:rsidR="00625A5B" w:rsidRPr="008F03E5" w:rsidRDefault="00625A5B" w:rsidP="00872247">
      <w:pPr>
        <w:pStyle w:val="Translit"/>
      </w:pPr>
      <w:r w:rsidRPr="008F03E5">
        <w:rPr>
          <w:rFonts w:eastAsia="Times New Roman"/>
        </w:rPr>
        <w:t>Sayyidi (S</w:t>
      </w:r>
      <w:r>
        <w:rPr>
          <w:rFonts w:eastAsia="Times New Roman"/>
        </w:rPr>
        <w:t>a</w:t>
      </w:r>
      <w:r w:rsidRPr="008F03E5">
        <w:rPr>
          <w:rFonts w:eastAsia="Times New Roman"/>
        </w:rPr>
        <w:t>idi</w:t>
      </w:r>
      <w:r>
        <w:rPr>
          <w:rFonts w:eastAsia="Times New Roman"/>
        </w:rPr>
        <w:t>, Sidi</w:t>
      </w:r>
      <w:r w:rsidRPr="008F03E5">
        <w:rPr>
          <w:rFonts w:eastAsia="Times New Roman"/>
        </w:rPr>
        <w:t>)</w:t>
      </w:r>
      <w:r>
        <w:rPr>
          <w:rFonts w:eastAsia="Times New Roman"/>
        </w:rPr>
        <w:t>, Sayyidiya</w:t>
      </w:r>
      <w:r w:rsidRPr="008F03E5">
        <w:rPr>
          <w:rFonts w:eastAsia="Times New Roman"/>
        </w:rPr>
        <w:tab/>
        <w:t>Sayyidí</w:t>
      </w:r>
      <w:r>
        <w:rPr>
          <w:rFonts w:eastAsia="Times New Roman"/>
        </w:rPr>
        <w:t>, fem. Sayyid</w:t>
      </w:r>
      <w:r w:rsidRPr="00872247">
        <w:t>í</w:t>
      </w:r>
      <w:r>
        <w:rPr>
          <w:rFonts w:eastAsia="Times New Roman"/>
        </w:rPr>
        <w:t>ya[h or t]</w:t>
      </w:r>
      <w:r w:rsidRPr="008F03E5">
        <w:rPr>
          <w:rFonts w:eastAsia="Times New Roman"/>
        </w:rPr>
        <w:tab/>
        <w:t>(informal sídí) my lord; sir.  Honourific before the names of Muslim saints.</w:t>
      </w:r>
    </w:p>
    <w:p w14:paraId="60CACB2B" w14:textId="77777777" w:rsidR="00625A5B" w:rsidRPr="008F03E5" w:rsidRDefault="00625A5B" w:rsidP="00FC51AF">
      <w:pPr>
        <w:pStyle w:val="Translit"/>
      </w:pPr>
      <w:r w:rsidRPr="008F03E5">
        <w:t>Sayyid-i-‘Uluvv (Siyyid-i-‘Uluw)</w:t>
      </w:r>
      <w:r w:rsidRPr="008F03E5">
        <w:tab/>
        <w:t>Sayyid-i-‘Uluw</w:t>
      </w:r>
      <w:r w:rsidRPr="008F03E5">
        <w:tab/>
      </w:r>
    </w:p>
    <w:p w14:paraId="5EE11D0A" w14:textId="77777777" w:rsidR="00625A5B" w:rsidRPr="008F03E5" w:rsidRDefault="00625A5B" w:rsidP="00FC51AF">
      <w:pPr>
        <w:pStyle w:val="Translit"/>
      </w:pPr>
      <w:r w:rsidRPr="008F03E5">
        <w:t>Sayyid-i-Bab (Siyyid-i-Bab)</w:t>
      </w:r>
      <w:r w:rsidRPr="008F03E5">
        <w:tab/>
        <w:t>Sayyid-i-Báb</w:t>
      </w:r>
      <w:r w:rsidRPr="008F03E5">
        <w:tab/>
        <w:t>“Lord of the Gate” (a designation of the Báb)</w:t>
      </w:r>
    </w:p>
    <w:p w14:paraId="7D240276" w14:textId="77777777" w:rsidR="00625A5B" w:rsidRPr="008F03E5" w:rsidRDefault="00625A5B" w:rsidP="00FC51AF">
      <w:pPr>
        <w:pStyle w:val="Translit"/>
      </w:pPr>
      <w:r w:rsidRPr="008F03E5">
        <w:t>Sayyid-i-Dhikr (Siyyid-i-Dhikr)</w:t>
      </w:r>
      <w:r w:rsidRPr="008F03E5">
        <w:tab/>
        <w:t>Sayyid-i-</w:t>
      </w:r>
      <w:r w:rsidRPr="008F03E5">
        <w:rPr>
          <w:u w:val="single"/>
        </w:rPr>
        <w:t>Dh</w:t>
      </w:r>
      <w:r w:rsidRPr="008F03E5">
        <w:t>ikr</w:t>
      </w:r>
      <w:r w:rsidRPr="008F03E5">
        <w:tab/>
        <w:t>“Lord of Remembrance” (a designation of the Báb)</w:t>
      </w:r>
    </w:p>
    <w:p w14:paraId="697F7668" w14:textId="77777777" w:rsidR="00625A5B" w:rsidRPr="008F03E5" w:rsidRDefault="00625A5B" w:rsidP="00FC51AF">
      <w:pPr>
        <w:pStyle w:val="Translit"/>
      </w:pPr>
      <w:r w:rsidRPr="008F03E5">
        <w:t>Sayyid-i-Khal-Dar (Siyyid-i-Khal-Dar)</w:t>
      </w:r>
      <w:r w:rsidRPr="008F03E5">
        <w:tab/>
        <w:t>Sayyid-i-</w:t>
      </w:r>
      <w:r w:rsidRPr="008F03E5">
        <w:rPr>
          <w:u w:val="single"/>
        </w:rPr>
        <w:t>Kh</w:t>
      </w:r>
      <w:r w:rsidRPr="008F03E5">
        <w:t>ál-Dár</w:t>
      </w:r>
      <w:r w:rsidRPr="008F03E5">
        <w:tab/>
      </w:r>
      <w:r w:rsidRPr="008F03E5">
        <w:rPr>
          <w:sz w:val="16"/>
          <w:szCs w:val="16"/>
        </w:rPr>
        <w:t>DB</w:t>
      </w:r>
      <w:r w:rsidRPr="008F03E5">
        <w:t xml:space="preserve"> 471</w:t>
      </w:r>
    </w:p>
    <w:p w14:paraId="59EE5244" w14:textId="77777777" w:rsidR="00625A5B" w:rsidRPr="008F03E5" w:rsidRDefault="00625A5B" w:rsidP="00D525F0">
      <w:pPr>
        <w:pStyle w:val="Translit"/>
      </w:pPr>
      <w:r w:rsidRPr="008F03E5">
        <w:t>Sayyid-i-Nur (Siyyid-i-Nur)</w:t>
      </w:r>
      <w:r w:rsidRPr="008F03E5">
        <w:tab/>
        <w:t>Sayyid-i-Núr</w:t>
      </w:r>
      <w:r w:rsidRPr="008F03E5">
        <w:tab/>
        <w:t xml:space="preserve">“Radiant Sayyid”.  Name given to Ḥájí Siyyid Javád by the Báb.  </w:t>
      </w:r>
      <w:r w:rsidRPr="008F03E5">
        <w:rPr>
          <w:sz w:val="16"/>
          <w:szCs w:val="16"/>
        </w:rPr>
        <w:t>DB</w:t>
      </w:r>
      <w:r w:rsidRPr="008F03E5">
        <w:t xml:space="preserve"> 188.</w:t>
      </w:r>
    </w:p>
    <w:p w14:paraId="26D6D66B" w14:textId="77777777" w:rsidR="00625A5B" w:rsidRPr="008F03E5" w:rsidRDefault="00625A5B" w:rsidP="00FC51AF">
      <w:pPr>
        <w:pStyle w:val="Translit"/>
      </w:pPr>
      <w:r w:rsidRPr="008F03E5">
        <w:t>Sayyid-i-Shish-Pari (Siyyid-i-Shish-Pari)</w:t>
      </w:r>
      <w:r w:rsidRPr="008F03E5">
        <w:tab/>
        <w:t>Sayyid-i-</w:t>
      </w:r>
      <w:r w:rsidRPr="008F03E5">
        <w:rPr>
          <w:u w:val="single"/>
        </w:rPr>
        <w:t>Sh</w:t>
      </w:r>
      <w:r w:rsidRPr="008F03E5">
        <w:t>i</w:t>
      </w:r>
      <w:r w:rsidRPr="008F03E5">
        <w:rPr>
          <w:u w:val="single"/>
        </w:rPr>
        <w:t>sh</w:t>
      </w:r>
      <w:r w:rsidRPr="008F03E5">
        <w:t>-Parí</w:t>
      </w:r>
      <w:r w:rsidRPr="008F03E5">
        <w:tab/>
      </w:r>
      <w:r w:rsidRPr="008F03E5">
        <w:rPr>
          <w:sz w:val="16"/>
          <w:szCs w:val="16"/>
        </w:rPr>
        <w:t>DB</w:t>
      </w:r>
      <w:r w:rsidRPr="008F03E5">
        <w:t xml:space="preserve"> 153</w:t>
      </w:r>
    </w:p>
    <w:p w14:paraId="1AEC86F0" w14:textId="77777777" w:rsidR="00625A5B" w:rsidRPr="008F03E5" w:rsidRDefault="00625A5B" w:rsidP="003E3447">
      <w:pPr>
        <w:pStyle w:val="Translit"/>
      </w:pPr>
      <w:r w:rsidRPr="008F03E5">
        <w:t>Sayyidu’sh-Shuhada’</w:t>
      </w:r>
      <w:r w:rsidRPr="008F03E5">
        <w:tab/>
        <w:t>Sayyidu’</w:t>
      </w:r>
      <w:r w:rsidRPr="008F03E5">
        <w:rPr>
          <w:u w:val="single"/>
        </w:rPr>
        <w:t>sh</w:t>
      </w:r>
      <w:r w:rsidRPr="008F03E5">
        <w:t>-</w:t>
      </w:r>
      <w:r w:rsidRPr="008F03E5">
        <w:rPr>
          <w:u w:val="single"/>
        </w:rPr>
        <w:t>Sh</w:t>
      </w:r>
      <w:r w:rsidRPr="008F03E5">
        <w:t>uhadá’</w:t>
      </w:r>
      <w:r w:rsidRPr="008F03E5">
        <w:tab/>
      </w:r>
      <w:r>
        <w:t xml:space="preserve">(Pers. </w:t>
      </w:r>
      <w:r w:rsidRPr="008F03E5">
        <w:t>S</w:t>
      </w:r>
      <w:r>
        <w:t>i</w:t>
      </w:r>
      <w:r w:rsidRPr="008F03E5">
        <w:t>yyidu’</w:t>
      </w:r>
      <w:r w:rsidRPr="003E3447">
        <w:rPr>
          <w:u w:val="single"/>
        </w:rPr>
        <w:t>sh</w:t>
      </w:r>
      <w:r w:rsidRPr="008F03E5">
        <w:t>-</w:t>
      </w:r>
      <w:r w:rsidRPr="003E3447">
        <w:rPr>
          <w:u w:val="single"/>
        </w:rPr>
        <w:t>Sh</w:t>
      </w:r>
      <w:r w:rsidRPr="008F03E5">
        <w:t>uhad</w:t>
      </w:r>
      <w:r w:rsidRPr="003E3447">
        <w:t>á</w:t>
      </w:r>
      <w:r w:rsidRPr="008F03E5">
        <w:t>’</w:t>
      </w:r>
      <w:r>
        <w:t>)</w:t>
      </w:r>
      <w:r w:rsidRPr="008F03E5">
        <w:t xml:space="preserve"> </w:t>
      </w:r>
      <w:r>
        <w:t xml:space="preserve">“The master of martyrs” or </w:t>
      </w:r>
      <w:r w:rsidRPr="008F03E5">
        <w:t>“The Prince of Martyrs”, Imám Ḥusayn</w:t>
      </w:r>
    </w:p>
    <w:p w14:paraId="7F016446" w14:textId="77777777" w:rsidR="00625A5B" w:rsidRPr="008F03E5" w:rsidRDefault="00625A5B" w:rsidP="001058BA">
      <w:pPr>
        <w:pStyle w:val="Translit"/>
      </w:pPr>
      <w:r w:rsidRPr="008F03E5">
        <w:t>Saz</w:t>
      </w:r>
      <w:r>
        <w:t>, Sazan</w:t>
      </w:r>
      <w:r w:rsidRPr="008F03E5">
        <w:tab/>
        <w:t>Sáz</w:t>
      </w:r>
      <w:r>
        <w:t>, pl. S</w:t>
      </w:r>
      <w:r w:rsidRPr="001058BA">
        <w:t>á</w:t>
      </w:r>
      <w:r>
        <w:t>z</w:t>
      </w:r>
      <w:r w:rsidRPr="001058BA">
        <w:t>á</w:t>
      </w:r>
      <w:r>
        <w:t>n</w:t>
      </w:r>
      <w:r w:rsidRPr="008F03E5">
        <w:tab/>
        <w:t>Pers. a</w:t>
      </w:r>
      <w:r w:rsidRPr="008F03E5">
        <w:rPr>
          <w:rFonts w:eastAsia="Times New Roman"/>
        </w:rPr>
        <w:t xml:space="preserve"> musical instrument; concord, harmony; arms, apparatus, harness, furniture; preparations (for nuptials, journey, or any important business); a feast, banquet; (in compounds from </w:t>
      </w:r>
      <w:r w:rsidRPr="008F03E5">
        <w:t>sá</w:t>
      </w:r>
      <w:r w:rsidRPr="008F03E5">
        <w:rPr>
          <w:u w:val="single"/>
        </w:rPr>
        <w:t>kh</w:t>
      </w:r>
      <w:r w:rsidRPr="008F03E5">
        <w:t>tan</w:t>
      </w:r>
      <w:r w:rsidRPr="008F03E5">
        <w:rPr>
          <w:rFonts w:eastAsia="Times New Roman"/>
        </w:rPr>
        <w:t>) preparing, making, effecting</w:t>
      </w:r>
    </w:p>
    <w:p w14:paraId="7370CF62" w14:textId="77777777" w:rsidR="00625A5B" w:rsidRPr="008F03E5" w:rsidRDefault="00625A5B" w:rsidP="001D3982">
      <w:pPr>
        <w:pStyle w:val="Myhead"/>
        <w:rPr>
          <w:u w:val="single"/>
        </w:rPr>
      </w:pPr>
      <w:r w:rsidRPr="008F03E5">
        <w:rPr>
          <w:u w:val="single"/>
        </w:rPr>
        <w:t>Sh</w:t>
      </w:r>
      <w:bookmarkStart w:id="137" w:name="Sh"/>
      <w:bookmarkEnd w:id="137"/>
    </w:p>
    <w:p w14:paraId="49D0C97A" w14:textId="77777777" w:rsidR="00625A5B" w:rsidRPr="008F03E5" w:rsidRDefault="00625A5B" w:rsidP="00190399">
      <w:pPr>
        <w:pStyle w:val="Translit"/>
      </w:pPr>
      <w:r w:rsidRPr="008F03E5">
        <w:t>Sha’a</w:t>
      </w:r>
      <w:r w:rsidRPr="008F03E5">
        <w:tab/>
      </w:r>
      <w:r w:rsidRPr="008F03E5">
        <w:rPr>
          <w:u w:val="single"/>
        </w:rPr>
        <w:t>Sh</w:t>
      </w:r>
      <w:r w:rsidRPr="008F03E5">
        <w:t>á’a</w:t>
      </w:r>
      <w:r w:rsidRPr="008F03E5">
        <w:tab/>
        <w:t>to want; to wish (something, that)</w:t>
      </w:r>
    </w:p>
    <w:p w14:paraId="69CE364B" w14:textId="77777777" w:rsidR="00625A5B" w:rsidRPr="008F03E5" w:rsidRDefault="00625A5B" w:rsidP="005A69F4">
      <w:pPr>
        <w:pStyle w:val="Translit"/>
      </w:pPr>
      <w:r w:rsidRPr="008F03E5">
        <w:t>Sha’b, Shu’ub</w:t>
      </w:r>
      <w:r w:rsidRPr="008F03E5">
        <w:tab/>
      </w:r>
      <w:r w:rsidRPr="008F03E5">
        <w:rPr>
          <w:u w:val="single"/>
        </w:rPr>
        <w:t>Sh</w:t>
      </w:r>
      <w:r w:rsidRPr="008F03E5">
        <w:t xml:space="preserve">a‘b, pl. </w:t>
      </w:r>
      <w:r w:rsidRPr="008F03E5">
        <w:rPr>
          <w:u w:val="single"/>
        </w:rPr>
        <w:t>Sh</w:t>
      </w:r>
      <w:r w:rsidRPr="008F03E5">
        <w:t>u‘úb</w:t>
      </w:r>
      <w:r w:rsidRPr="008F03E5">
        <w:tab/>
        <w:t>people, folk; nation (modern meaning); tribe; race.  Qur’án 69:13 “made you into nations [</w:t>
      </w:r>
      <w:r w:rsidRPr="008F03E5">
        <w:rPr>
          <w:u w:val="single"/>
        </w:rPr>
        <w:t>sh</w:t>
      </w:r>
      <w:r w:rsidRPr="008F03E5">
        <w:t xml:space="preserve">u‘úb or “non-Arabs”] and tribes [qabá’il or “Arabs”].  “Of course the modern notion of ‘nation’ did not then exist.” (Balyuzi, </w:t>
      </w:r>
      <w:r w:rsidRPr="008F03E5">
        <w:rPr>
          <w:i/>
          <w:iCs/>
        </w:rPr>
        <w:t>Muḥammad and the Course of Islám</w:t>
      </w:r>
      <w:r w:rsidRPr="008F03E5">
        <w:t>, p. 288)  See umma.</w:t>
      </w:r>
    </w:p>
    <w:p w14:paraId="2705C772" w14:textId="77777777" w:rsidR="00625A5B" w:rsidRPr="008F03E5" w:rsidRDefault="00625A5B" w:rsidP="00764E25">
      <w:pPr>
        <w:pStyle w:val="Translit"/>
      </w:pPr>
      <w:r w:rsidRPr="008F03E5">
        <w:t>Sha’ba, Sha’b</w:t>
      </w:r>
      <w:r w:rsidRPr="008F03E5">
        <w:tab/>
      </w:r>
      <w:r w:rsidRPr="008F03E5">
        <w:rPr>
          <w:u w:val="single"/>
        </w:rPr>
        <w:t>Sh</w:t>
      </w:r>
      <w:r w:rsidRPr="008F03E5">
        <w:t xml:space="preserve">a‘aba, </w:t>
      </w:r>
      <w:r w:rsidRPr="008F03E5">
        <w:rPr>
          <w:u w:val="single"/>
        </w:rPr>
        <w:t>Sh</w:t>
      </w:r>
      <w:r w:rsidRPr="008F03E5">
        <w:t>a‘b</w:t>
      </w:r>
      <w:r w:rsidRPr="008F03E5">
        <w:tab/>
        <w:t>to gather, assemble, rally (people, something); to disperse, scatter (people, something)</w:t>
      </w:r>
    </w:p>
    <w:p w14:paraId="23C11EFB" w14:textId="77777777" w:rsidR="00625A5B" w:rsidRPr="008F03E5" w:rsidRDefault="00625A5B" w:rsidP="00616B8B">
      <w:pPr>
        <w:pStyle w:val="Translit"/>
      </w:pPr>
      <w:r w:rsidRPr="008F03E5">
        <w:t>Sha’ban</w:t>
      </w:r>
      <w:r w:rsidRPr="008F03E5">
        <w:tab/>
      </w:r>
      <w:r w:rsidRPr="008F03E5">
        <w:rPr>
          <w:u w:val="single"/>
        </w:rPr>
        <w:t>Sh</w:t>
      </w:r>
      <w:r w:rsidRPr="008F03E5">
        <w:t>a‘bán</w:t>
      </w:r>
      <w:r w:rsidRPr="008F03E5">
        <w:tab/>
        <w:t>eighth month in Islamic calendar (scattered)</w:t>
      </w:r>
    </w:p>
    <w:p w14:paraId="42CE505C" w14:textId="77777777" w:rsidR="00625A5B" w:rsidRPr="008F03E5" w:rsidRDefault="00625A5B" w:rsidP="00605F45">
      <w:pPr>
        <w:pStyle w:val="Translit"/>
      </w:pPr>
      <w:r w:rsidRPr="008F03E5">
        <w:t>Sha’iq (Shayiq, Shaiq)</w:t>
      </w:r>
      <w:r w:rsidRPr="008F03E5">
        <w:tab/>
      </w:r>
      <w:r w:rsidRPr="008F03E5">
        <w:rPr>
          <w:u w:val="single"/>
        </w:rPr>
        <w:t>Sh</w:t>
      </w:r>
      <w:r w:rsidRPr="008F03E5">
        <w:t>á’iq (</w:t>
      </w:r>
      <w:r w:rsidRPr="008F03E5">
        <w:rPr>
          <w:u w:val="single"/>
        </w:rPr>
        <w:t>Sh</w:t>
      </w:r>
      <w:r w:rsidRPr="008F03E5">
        <w:t>áyiq)</w:t>
      </w:r>
      <w:r w:rsidRPr="008F03E5">
        <w:tab/>
        <w:t>arousing longing, stimulating desire; brilliant, gorgeous, splendid, beautiful</w:t>
      </w:r>
    </w:p>
    <w:p w14:paraId="7FEDB6B4" w14:textId="77777777" w:rsidR="00625A5B" w:rsidRDefault="00625A5B" w:rsidP="00D864A9">
      <w:pPr>
        <w:pStyle w:val="Translit"/>
      </w:pPr>
      <w:r w:rsidRPr="00077779">
        <w:rPr>
          <w:lang w:val="es-ES_tradnl"/>
        </w:rPr>
        <w:t>Sha’ir, Shu’ara’</w:t>
      </w:r>
      <w:r w:rsidRPr="00077779">
        <w:rPr>
          <w:lang w:val="es-ES_tradnl"/>
        </w:rPr>
        <w:tab/>
      </w:r>
      <w:r w:rsidRPr="00077779">
        <w:rPr>
          <w:u w:val="single"/>
          <w:lang w:val="es-ES_tradnl"/>
        </w:rPr>
        <w:t>Sh</w:t>
      </w:r>
      <w:r w:rsidRPr="00077779">
        <w:rPr>
          <w:lang w:val="es-ES_tradnl"/>
        </w:rPr>
        <w:t xml:space="preserve">á‘ir, pl. </w:t>
      </w:r>
      <w:r w:rsidRPr="008F03E5">
        <w:rPr>
          <w:u w:val="single"/>
        </w:rPr>
        <w:t>Sh</w:t>
      </w:r>
      <w:r w:rsidRPr="008F03E5">
        <w:t>u’ará’</w:t>
      </w:r>
      <w:r w:rsidRPr="008F03E5">
        <w:tab/>
        <w:t>knowing (by instinctive perception), endowed with deeper insight, with intuition; poet;—pl. poet</w:t>
      </w:r>
    </w:p>
    <w:p w14:paraId="5D871D10" w14:textId="77777777" w:rsidR="00625A5B" w:rsidRPr="008F03E5" w:rsidRDefault="00625A5B" w:rsidP="003653D1">
      <w:pPr>
        <w:pStyle w:val="Translit"/>
      </w:pPr>
      <w:r>
        <w:t>Sha’iriya, Sha’iriyat</w:t>
      </w:r>
      <w:r>
        <w:tab/>
      </w:r>
      <w:r w:rsidRPr="00AF3807">
        <w:rPr>
          <w:u w:val="single"/>
        </w:rPr>
        <w:t>Sh</w:t>
      </w:r>
      <w:r>
        <w:t>á</w:t>
      </w:r>
      <w:r w:rsidRPr="00AF3807">
        <w:t>‘ir</w:t>
      </w:r>
      <w:r>
        <w:t>í</w:t>
      </w:r>
      <w:r w:rsidRPr="00AF3807">
        <w:t>ya</w:t>
      </w:r>
      <w:r>
        <w:t>[h or t],</w:t>
      </w:r>
      <w:r w:rsidRPr="00AF3807">
        <w:t xml:space="preserve"> pl. </w:t>
      </w:r>
      <w:r w:rsidRPr="00AF3807">
        <w:rPr>
          <w:u w:val="single"/>
        </w:rPr>
        <w:t>Sh</w:t>
      </w:r>
      <w:r>
        <w:t>á</w:t>
      </w:r>
      <w:r w:rsidRPr="00AF3807">
        <w:t>‘ir</w:t>
      </w:r>
      <w:r>
        <w:t>í</w:t>
      </w:r>
      <w:r w:rsidRPr="00AF3807">
        <w:t>y</w:t>
      </w:r>
      <w:r>
        <w:t>á</w:t>
      </w:r>
      <w:r w:rsidRPr="00AF3807">
        <w:t>t</w:t>
      </w:r>
      <w:r>
        <w:tab/>
      </w:r>
      <w:r w:rsidRPr="00AF3807">
        <w:t>poetry; poetical work, poetization; poetical talent; poetship</w:t>
      </w:r>
    </w:p>
    <w:p w14:paraId="2372CA74" w14:textId="77777777" w:rsidR="00625A5B" w:rsidRPr="008F03E5" w:rsidRDefault="00625A5B" w:rsidP="003E6A29">
      <w:pPr>
        <w:pStyle w:val="Translit"/>
      </w:pPr>
      <w:r w:rsidRPr="008F03E5">
        <w:t xml:space="preserve">Sha’n </w:t>
      </w:r>
      <w:r>
        <w:t>(</w:t>
      </w:r>
      <w:r w:rsidRPr="008F03E5">
        <w:t>Shan</w:t>
      </w:r>
      <w:r>
        <w:t>)</w:t>
      </w:r>
      <w:r w:rsidRPr="008F03E5">
        <w:t>, Sha’n</w:t>
      </w:r>
      <w:r>
        <w:t>a,</w:t>
      </w:r>
      <w:r w:rsidRPr="008F03E5">
        <w:t xml:space="preserve"> Shu’un, Shu’unat</w:t>
      </w:r>
      <w:r w:rsidRPr="008F03E5">
        <w:tab/>
      </w:r>
      <w:r w:rsidRPr="008F03E5">
        <w:rPr>
          <w:u w:val="single"/>
        </w:rPr>
        <w:t>Sh</w:t>
      </w:r>
      <w:r w:rsidRPr="008F03E5">
        <w:t>a’n (</w:t>
      </w:r>
      <w:r w:rsidRPr="000A69B4">
        <w:rPr>
          <w:u w:val="single"/>
        </w:rPr>
        <w:t>Sh</w:t>
      </w:r>
      <w:r w:rsidRPr="008F03E5">
        <w:t xml:space="preserve">án), pl. </w:t>
      </w:r>
      <w:r w:rsidRPr="008F03E5">
        <w:rPr>
          <w:u w:val="single"/>
        </w:rPr>
        <w:t>Sh</w:t>
      </w:r>
      <w:r w:rsidRPr="008F03E5">
        <w:t xml:space="preserve">u’ún, </w:t>
      </w:r>
      <w:r w:rsidRPr="008F03E5">
        <w:rPr>
          <w:rFonts w:eastAsia="Times New Roman"/>
          <w:u w:val="single"/>
        </w:rPr>
        <w:t>Sh</w:t>
      </w:r>
      <w:r w:rsidRPr="008F03E5">
        <w:rPr>
          <w:rFonts w:eastAsia="Times New Roman"/>
        </w:rPr>
        <w:t>u’únát</w:t>
      </w:r>
      <w:r w:rsidRPr="008F03E5">
        <w:tab/>
      </w:r>
      <w:r>
        <w:t xml:space="preserve">(feminine </w:t>
      </w:r>
      <w:r>
        <w:rPr>
          <w:u w:val="single"/>
        </w:rPr>
        <w:t>s</w:t>
      </w:r>
      <w:r w:rsidRPr="008F03E5">
        <w:rPr>
          <w:u w:val="single"/>
        </w:rPr>
        <w:t>h</w:t>
      </w:r>
      <w:r w:rsidRPr="008F03E5">
        <w:t>a’n</w:t>
      </w:r>
      <w:r>
        <w:t xml:space="preserve">a[h or t] and </w:t>
      </w:r>
      <w:r>
        <w:rPr>
          <w:u w:val="single"/>
        </w:rPr>
        <w:t>s</w:t>
      </w:r>
      <w:r w:rsidRPr="008F03E5">
        <w:rPr>
          <w:u w:val="single"/>
        </w:rPr>
        <w:t>h</w:t>
      </w:r>
      <w:r w:rsidRPr="008F03E5">
        <w:t>u’ún</w:t>
      </w:r>
      <w:r>
        <w:t>a[h or t])</w:t>
      </w:r>
      <w:r w:rsidRPr="008F03E5">
        <w:t xml:space="preserve"> matter, affair, concern, business; circumstances, state of affair</w:t>
      </w:r>
      <w:r>
        <w:t>s</w:t>
      </w:r>
      <w:r w:rsidRPr="008F03E5">
        <w:t>, case; nature, character, quality, kind; situation, condition, state; significance; importance, consequence; standing, prestige, rank,</w:t>
      </w:r>
      <w:r w:rsidRPr="008F03E5">
        <w:rPr>
          <w:rFonts w:eastAsia="Times New Roman"/>
        </w:rPr>
        <w:t xml:space="preserve"> dignity, power, authority; respect, regard</w:t>
      </w:r>
      <w:r w:rsidRPr="008F03E5">
        <w:t>;—pl. d</w:t>
      </w:r>
      <w:r w:rsidRPr="008F03E5">
        <w:rPr>
          <w:rFonts w:eastAsia="Times New Roman"/>
        </w:rPr>
        <w:t xml:space="preserve">ignities, honours, etc. </w:t>
      </w:r>
      <w:r w:rsidRPr="008F03E5">
        <w:t xml:space="preserve"> </w:t>
      </w:r>
      <w:r w:rsidRPr="008F03E5">
        <w:rPr>
          <w:i/>
          <w:iCs/>
          <w:u w:val="single"/>
        </w:rPr>
        <w:t>sh</w:t>
      </w:r>
      <w:r w:rsidRPr="008F03E5">
        <w:rPr>
          <w:i/>
          <w:iCs/>
        </w:rPr>
        <w:t>a’na</w:t>
      </w:r>
      <w:r w:rsidRPr="008F03E5">
        <w:t xml:space="preserve"> like, as; </w:t>
      </w:r>
      <w:r w:rsidRPr="008F03E5">
        <w:rPr>
          <w:i/>
          <w:iCs/>
        </w:rPr>
        <w:t>bi-</w:t>
      </w:r>
      <w:r w:rsidRPr="008F03E5">
        <w:rPr>
          <w:i/>
          <w:iCs/>
          <w:u w:val="single"/>
        </w:rPr>
        <w:t>sh</w:t>
      </w:r>
      <w:r w:rsidRPr="008F03E5">
        <w:rPr>
          <w:i/>
          <w:iCs/>
        </w:rPr>
        <w:t>a’ni</w:t>
      </w:r>
      <w:r w:rsidRPr="008F03E5">
        <w:t xml:space="preserve"> regarding, with regard or respect to, relating to, pertaining to, concerning, as to, about.  See rasm</w:t>
      </w:r>
      <w:r>
        <w:t>.</w:t>
      </w:r>
    </w:p>
    <w:p w14:paraId="05CD7D3D" w14:textId="77777777" w:rsidR="00625A5B" w:rsidRPr="008F03E5" w:rsidRDefault="00625A5B" w:rsidP="00B43A10">
      <w:pPr>
        <w:pStyle w:val="Translit"/>
      </w:pPr>
      <w:r w:rsidRPr="008F03E5">
        <w:t>Sha’r, Sha’ar, Shu’ur, Shi’ar, Ash’ar</w:t>
      </w:r>
      <w:r w:rsidRPr="008F03E5">
        <w:tab/>
      </w:r>
      <w:r w:rsidRPr="008F03E5">
        <w:rPr>
          <w:u w:val="single"/>
        </w:rPr>
        <w:t>Sh</w:t>
      </w:r>
      <w:r w:rsidRPr="008F03E5">
        <w:t xml:space="preserve">a‘r, </w:t>
      </w:r>
      <w:r w:rsidRPr="008F03E5">
        <w:rPr>
          <w:u w:val="single"/>
        </w:rPr>
        <w:t>Sh</w:t>
      </w:r>
      <w:r w:rsidRPr="008F03E5">
        <w:t xml:space="preserve">a‘ar, pl. </w:t>
      </w:r>
      <w:r w:rsidRPr="008F03E5">
        <w:rPr>
          <w:u w:val="single"/>
        </w:rPr>
        <w:t>Sh</w:t>
      </w:r>
      <w:r w:rsidRPr="008F03E5">
        <w:t xml:space="preserve">u‘úr, </w:t>
      </w:r>
      <w:r w:rsidRPr="008F03E5">
        <w:rPr>
          <w:u w:val="single"/>
        </w:rPr>
        <w:t>Sh</w:t>
      </w:r>
      <w:r w:rsidRPr="008F03E5">
        <w:t>i‘ár</w:t>
      </w:r>
      <w:r w:rsidRPr="008F03E5">
        <w:tab/>
        <w:t>(coll.; nomen unitatis) hair; bristles; fur, pelt.  A</w:t>
      </w:r>
      <w:r w:rsidRPr="008F03E5">
        <w:rPr>
          <w:u w:val="single"/>
        </w:rPr>
        <w:t>sh</w:t>
      </w:r>
      <w:r w:rsidRPr="008F03E5">
        <w:t>‘ar, very hairy.</w:t>
      </w:r>
    </w:p>
    <w:p w14:paraId="374A505F" w14:textId="77777777" w:rsidR="00625A5B" w:rsidRPr="008F03E5" w:rsidRDefault="00625A5B" w:rsidP="00A172D2">
      <w:pPr>
        <w:pStyle w:val="Translit"/>
      </w:pPr>
      <w:r w:rsidRPr="008F03E5">
        <w:t>Sha’rani</w:t>
      </w:r>
      <w:r w:rsidRPr="008F03E5">
        <w:tab/>
      </w:r>
      <w:r w:rsidRPr="008F03E5">
        <w:rPr>
          <w:u w:val="single"/>
        </w:rPr>
        <w:t>Sh</w:t>
      </w:r>
      <w:r w:rsidRPr="008F03E5">
        <w:t>a‘rání</w:t>
      </w:r>
      <w:r w:rsidRPr="008F03E5">
        <w:tab/>
        <w:t>hairy, hirsute, shaggy.  ‘Abd al-Wahháb ibn Aḥmad a</w:t>
      </w:r>
      <w:r w:rsidRPr="008F03E5">
        <w:rPr>
          <w:u w:val="single"/>
        </w:rPr>
        <w:t>sh</w:t>
      </w:r>
      <w:r w:rsidRPr="008F03E5">
        <w:t>-</w:t>
      </w:r>
      <w:r w:rsidRPr="008F03E5">
        <w:rPr>
          <w:u w:val="single"/>
        </w:rPr>
        <w:t>Sh</w:t>
      </w:r>
      <w:r w:rsidRPr="008F03E5">
        <w:t xml:space="preserve">a‘rání, author of </w:t>
      </w:r>
      <w:r w:rsidRPr="008F03E5">
        <w:rPr>
          <w:i/>
          <w:iCs/>
          <w:lang w:eastAsia="en-US"/>
        </w:rPr>
        <w:t>Kit</w:t>
      </w:r>
      <w:r w:rsidRPr="008F03E5">
        <w:rPr>
          <w:i/>
          <w:iCs/>
        </w:rPr>
        <w:t>á</w:t>
      </w:r>
      <w:r w:rsidRPr="008F03E5">
        <w:rPr>
          <w:i/>
          <w:iCs/>
          <w:lang w:eastAsia="en-US"/>
        </w:rPr>
        <w:t>b al-yaw</w:t>
      </w:r>
      <w:r w:rsidRPr="008F03E5">
        <w:rPr>
          <w:i/>
          <w:iCs/>
        </w:rPr>
        <w:t>á</w:t>
      </w:r>
      <w:r w:rsidRPr="008F03E5">
        <w:rPr>
          <w:i/>
          <w:iCs/>
          <w:lang w:eastAsia="en-US"/>
        </w:rPr>
        <w:t>q</w:t>
      </w:r>
      <w:r w:rsidRPr="008F03E5">
        <w:rPr>
          <w:i/>
          <w:iCs/>
        </w:rPr>
        <w:t>í</w:t>
      </w:r>
      <w:r w:rsidRPr="008F03E5">
        <w:rPr>
          <w:i/>
          <w:iCs/>
          <w:lang w:eastAsia="en-US"/>
        </w:rPr>
        <w:t>t wa al-jaw</w:t>
      </w:r>
      <w:r w:rsidRPr="008F03E5">
        <w:rPr>
          <w:i/>
          <w:iCs/>
        </w:rPr>
        <w:t>á</w:t>
      </w:r>
      <w:r w:rsidRPr="008F03E5">
        <w:rPr>
          <w:i/>
          <w:iCs/>
          <w:lang w:eastAsia="en-US"/>
        </w:rPr>
        <w:t>hir f</w:t>
      </w:r>
      <w:r w:rsidRPr="008F03E5">
        <w:rPr>
          <w:i/>
          <w:iCs/>
        </w:rPr>
        <w:t>í</w:t>
      </w:r>
      <w:r w:rsidRPr="008F03E5">
        <w:rPr>
          <w:i/>
          <w:iCs/>
          <w:lang w:eastAsia="en-US"/>
        </w:rPr>
        <w:t xml:space="preserve"> bay</w:t>
      </w:r>
      <w:r w:rsidRPr="008F03E5">
        <w:rPr>
          <w:i/>
          <w:iCs/>
        </w:rPr>
        <w:t>á</w:t>
      </w:r>
      <w:r w:rsidRPr="008F03E5">
        <w:rPr>
          <w:i/>
          <w:iCs/>
          <w:lang w:eastAsia="en-US"/>
        </w:rPr>
        <w:t xml:space="preserve">n </w:t>
      </w:r>
      <w:r w:rsidRPr="008F03E5">
        <w:rPr>
          <w:i/>
          <w:iCs/>
        </w:rPr>
        <w:t>‘</w:t>
      </w:r>
      <w:r w:rsidRPr="008F03E5">
        <w:rPr>
          <w:i/>
          <w:iCs/>
          <w:lang w:eastAsia="en-US"/>
        </w:rPr>
        <w:t>aq</w:t>
      </w:r>
      <w:r w:rsidRPr="008F03E5">
        <w:rPr>
          <w:i/>
          <w:iCs/>
        </w:rPr>
        <w:t>á</w:t>
      </w:r>
      <w:r w:rsidRPr="008F03E5">
        <w:rPr>
          <w:i/>
          <w:iCs/>
          <w:lang w:eastAsia="en-US"/>
        </w:rPr>
        <w:t>’id al-ak</w:t>
      </w:r>
      <w:r w:rsidRPr="008F03E5">
        <w:rPr>
          <w:i/>
          <w:iCs/>
        </w:rPr>
        <w:t>á</w:t>
      </w:r>
      <w:r w:rsidRPr="008F03E5">
        <w:rPr>
          <w:i/>
          <w:iCs/>
          <w:lang w:eastAsia="en-US"/>
        </w:rPr>
        <w:t>bir</w:t>
      </w:r>
      <w:r w:rsidRPr="008F03E5">
        <w:t xml:space="preserve"> </w:t>
      </w:r>
      <w:r w:rsidRPr="008F03E5">
        <w:rPr>
          <w:lang w:eastAsia="en-US"/>
        </w:rPr>
        <w:t xml:space="preserve">(The book of </w:t>
      </w:r>
      <w:r w:rsidRPr="008F03E5">
        <w:t>sapphire</w:t>
      </w:r>
      <w:r w:rsidRPr="008F03E5">
        <w:rPr>
          <w:lang w:eastAsia="en-US"/>
        </w:rPr>
        <w:t xml:space="preserve">s and jewels: </w:t>
      </w:r>
      <w:r w:rsidRPr="008F03E5">
        <w:t xml:space="preserve"> </w:t>
      </w:r>
      <w:r w:rsidRPr="008F03E5">
        <w:rPr>
          <w:lang w:eastAsia="en-US"/>
        </w:rPr>
        <w:t>an explanation of the tenets of faith of mystic luminaries)</w:t>
      </w:r>
      <w:r>
        <w:rPr>
          <w:lang w:eastAsia="en-US"/>
        </w:rPr>
        <w:t>.</w:t>
      </w:r>
    </w:p>
    <w:p w14:paraId="38FA23BB" w14:textId="77777777" w:rsidR="00625A5B" w:rsidRPr="008F03E5" w:rsidRDefault="00625A5B" w:rsidP="00E36718">
      <w:pPr>
        <w:pStyle w:val="Translit"/>
      </w:pPr>
      <w:r w:rsidRPr="008F03E5">
        <w:t>Sha’rawi (Sha’ravi)</w:t>
      </w:r>
      <w:r w:rsidRPr="008F03E5">
        <w:tab/>
      </w:r>
      <w:r w:rsidRPr="008F03E5">
        <w:rPr>
          <w:u w:val="single"/>
        </w:rPr>
        <w:t>Sh</w:t>
      </w:r>
      <w:r w:rsidRPr="008F03E5">
        <w:t>a‘ráwí</w:t>
      </w:r>
      <w:r w:rsidRPr="008F03E5">
        <w:tab/>
        <w:t xml:space="preserve">Hudá </w:t>
      </w:r>
      <w:r w:rsidRPr="008F03E5">
        <w:rPr>
          <w:u w:val="single"/>
        </w:rPr>
        <w:t>Sh</w:t>
      </w:r>
      <w:r w:rsidRPr="008F03E5">
        <w:t xml:space="preserve">a‘ráwí (1879–1947) was a pioneering Egyptian feminist leader, nationalist, and founder of the Egyptian Feminist Union.  </w:t>
      </w:r>
      <w:r w:rsidRPr="008F03E5">
        <w:rPr>
          <w:i/>
          <w:iCs/>
        </w:rPr>
        <w:t>God Passes By</w:t>
      </w:r>
      <w:r w:rsidRPr="008F03E5">
        <w:t>, p. 388.</w:t>
      </w:r>
    </w:p>
    <w:p w14:paraId="6F3980E4" w14:textId="77777777" w:rsidR="00625A5B" w:rsidRPr="008F03E5" w:rsidRDefault="00625A5B" w:rsidP="002A4791">
      <w:pPr>
        <w:pStyle w:val="Translit"/>
      </w:pPr>
      <w:r w:rsidRPr="008F03E5">
        <w:t>Sha’ya</w:t>
      </w:r>
      <w:r w:rsidRPr="008F03E5">
        <w:tab/>
      </w:r>
      <w:r w:rsidRPr="008F03E5">
        <w:rPr>
          <w:u w:val="single"/>
        </w:rPr>
        <w:t>Sh</w:t>
      </w:r>
      <w:r w:rsidRPr="008F03E5">
        <w:t>a‘yá</w:t>
      </w:r>
      <w:r w:rsidRPr="008F03E5">
        <w:tab/>
        <w:t>Isaiah</w:t>
      </w:r>
    </w:p>
    <w:p w14:paraId="0C12A15E" w14:textId="77777777" w:rsidR="00625A5B" w:rsidRPr="008F03E5" w:rsidRDefault="00625A5B" w:rsidP="00CC29B4">
      <w:pPr>
        <w:pStyle w:val="Translit"/>
      </w:pPr>
      <w:r w:rsidRPr="008F03E5">
        <w:t>Sha’ystah, Sha’istah, Sha’ystih</w:t>
      </w:r>
      <w:r w:rsidRPr="008F03E5">
        <w:tab/>
      </w:r>
      <w:r w:rsidRPr="008F03E5">
        <w:rPr>
          <w:u w:val="single"/>
        </w:rPr>
        <w:t>Sh</w:t>
      </w:r>
      <w:r w:rsidRPr="008F03E5">
        <w:t>á‘ystah</w:t>
      </w:r>
      <w:r w:rsidRPr="008F03E5">
        <w:tab/>
        <w:t>(Sha’ista, Shayista) fem. one who is polite and well-behaved</w:t>
      </w:r>
    </w:p>
    <w:p w14:paraId="41C55443" w14:textId="77777777" w:rsidR="00625A5B" w:rsidRPr="008F03E5" w:rsidRDefault="00625A5B" w:rsidP="00367347">
      <w:pPr>
        <w:pStyle w:val="Translit"/>
      </w:pPr>
      <w:r w:rsidRPr="008F03E5">
        <w:t>Shab</w:t>
      </w:r>
      <w:r w:rsidRPr="008F03E5">
        <w:tab/>
      </w:r>
      <w:r w:rsidRPr="008F03E5">
        <w:rPr>
          <w:u w:val="single"/>
        </w:rPr>
        <w:t>Sh</w:t>
      </w:r>
      <w:r w:rsidRPr="008F03E5">
        <w:t>ab</w:t>
      </w:r>
      <w:r w:rsidRPr="008F03E5">
        <w:tab/>
        <w:t>Pers. night, darkness</w:t>
      </w:r>
    </w:p>
    <w:p w14:paraId="4A3E6242" w14:textId="77777777" w:rsidR="00625A5B" w:rsidRPr="008F03E5" w:rsidRDefault="00625A5B" w:rsidP="00367347">
      <w:pPr>
        <w:pStyle w:val="Translit"/>
      </w:pPr>
      <w:r w:rsidRPr="008F03E5">
        <w:t>Shaba (Shayb, Shayba, Mashib)</w:t>
      </w:r>
      <w:r w:rsidRPr="008F03E5">
        <w:tab/>
      </w:r>
      <w:r w:rsidRPr="008F03E5">
        <w:rPr>
          <w:u w:val="single"/>
        </w:rPr>
        <w:t>Sh</w:t>
      </w:r>
      <w:r w:rsidRPr="008F03E5">
        <w:t>ába (</w:t>
      </w:r>
      <w:r w:rsidRPr="008F03E5">
        <w:rPr>
          <w:u w:val="single"/>
        </w:rPr>
        <w:t>Sh</w:t>
      </w:r>
      <w:r w:rsidRPr="008F03E5">
        <w:t xml:space="preserve">ayb, </w:t>
      </w:r>
      <w:r w:rsidRPr="008F03E5">
        <w:rPr>
          <w:u w:val="single"/>
        </w:rPr>
        <w:t>Sh</w:t>
      </w:r>
      <w:r w:rsidRPr="008F03E5">
        <w:t>ayba[h], Ma</w:t>
      </w:r>
      <w:r w:rsidRPr="008F03E5">
        <w:rPr>
          <w:u w:val="single"/>
        </w:rPr>
        <w:t>sh</w:t>
      </w:r>
      <w:r w:rsidRPr="008F03E5">
        <w:t>íb)</w:t>
      </w:r>
      <w:r w:rsidRPr="008F03E5">
        <w:tab/>
        <w:t xml:space="preserve">(“Shaib, Shaiba”) to become white-haired, grey-haired; to turn white or grey (hair); to grow old, to age; to make white-haired; to bleach (something)  Form </w:t>
      </w:r>
      <w:r w:rsidRPr="008F03E5">
        <w:rPr>
          <w:sz w:val="16"/>
          <w:szCs w:val="16"/>
        </w:rPr>
        <w:t>II</w:t>
      </w:r>
      <w:r w:rsidRPr="008F03E5">
        <w:t xml:space="preserve"> to make (someone) white-haired, cause someone’s hair to turn white (grief)</w:t>
      </w:r>
    </w:p>
    <w:p w14:paraId="564C6899" w14:textId="77777777" w:rsidR="00625A5B" w:rsidRPr="008F03E5" w:rsidRDefault="00625A5B" w:rsidP="000555E7">
      <w:pPr>
        <w:pStyle w:val="Translit"/>
      </w:pPr>
      <w:r w:rsidRPr="008F03E5">
        <w:t>Shabah, Shubuh, Ashbah</w:t>
      </w:r>
      <w:r w:rsidRPr="008F03E5">
        <w:tab/>
      </w:r>
      <w:r w:rsidRPr="008F03E5">
        <w:rPr>
          <w:u w:val="single"/>
        </w:rPr>
        <w:t>Sh</w:t>
      </w:r>
      <w:r w:rsidRPr="008F03E5">
        <w:t xml:space="preserve">abaḥ, pl. </w:t>
      </w:r>
      <w:r w:rsidRPr="008F03E5">
        <w:rPr>
          <w:u w:val="single"/>
        </w:rPr>
        <w:t>Sh</w:t>
      </w:r>
      <w:r w:rsidRPr="008F03E5">
        <w:t>ubúḥ, A</w:t>
      </w:r>
      <w:r w:rsidRPr="008F03E5">
        <w:rPr>
          <w:u w:val="single"/>
        </w:rPr>
        <w:t>sh</w:t>
      </w:r>
      <w:r w:rsidRPr="008F03E5">
        <w:t>báḥ</w:t>
      </w:r>
      <w:r w:rsidRPr="008F03E5">
        <w:tab/>
        <w:t xml:space="preserve">blurred, indistinct shape; apparition; phantom; ghost, spectre, spirit; nightmare; figure, person.  </w:t>
      </w:r>
      <w:r w:rsidRPr="008F03E5">
        <w:rPr>
          <w:lang w:eastAsia="en-US"/>
        </w:rPr>
        <w:t>a</w:t>
      </w:r>
      <w:r w:rsidRPr="008F03E5">
        <w:rPr>
          <w:u w:val="single"/>
          <w:lang w:eastAsia="en-US"/>
        </w:rPr>
        <w:t>sh</w:t>
      </w:r>
      <w:r w:rsidRPr="008F03E5">
        <w:rPr>
          <w:lang w:eastAsia="en-US"/>
        </w:rPr>
        <w:t xml:space="preserve">báḥ núr “silhouettes of light”.  </w:t>
      </w:r>
      <w:r w:rsidRPr="008F03E5">
        <w:t>See Ẓill</w:t>
      </w:r>
    </w:p>
    <w:p w14:paraId="4C55A1A1" w14:textId="77777777" w:rsidR="00625A5B" w:rsidRPr="008F03E5" w:rsidRDefault="00625A5B" w:rsidP="00641850">
      <w:pPr>
        <w:pStyle w:val="Translit"/>
      </w:pPr>
      <w:r w:rsidRPr="008F03E5">
        <w:t>Shabdiz</w:t>
      </w:r>
      <w:r w:rsidRPr="008F03E5">
        <w:tab/>
      </w:r>
      <w:r w:rsidRPr="008F03E5">
        <w:rPr>
          <w:u w:val="single"/>
        </w:rPr>
        <w:t>Sh</w:t>
      </w:r>
      <w:r w:rsidRPr="008F03E5">
        <w:t>abdíz</w:t>
      </w:r>
      <w:r w:rsidRPr="008F03E5">
        <w:tab/>
        <w:t>Pers., literally “night-coloured”, “black”) legendary black stallion of Khosrau Parvez</w:t>
      </w:r>
    </w:p>
    <w:p w14:paraId="0C26747C" w14:textId="77777777" w:rsidR="00625A5B" w:rsidRPr="008F03E5" w:rsidRDefault="00625A5B" w:rsidP="00420012">
      <w:pPr>
        <w:pStyle w:val="Translit"/>
      </w:pPr>
      <w:r w:rsidRPr="008F03E5">
        <w:t>Shabih, Shibah</w:t>
      </w:r>
      <w:r w:rsidRPr="008F03E5">
        <w:tab/>
      </w:r>
      <w:r w:rsidRPr="008F03E5">
        <w:rPr>
          <w:u w:val="single"/>
        </w:rPr>
        <w:t>Sh</w:t>
      </w:r>
      <w:r w:rsidRPr="008F03E5">
        <w:t xml:space="preserve">abíh, pl. </w:t>
      </w:r>
      <w:r w:rsidRPr="008F03E5">
        <w:rPr>
          <w:u w:val="single"/>
        </w:rPr>
        <w:t>Sh</w:t>
      </w:r>
      <w:r w:rsidRPr="008F03E5">
        <w:t>ibáh</w:t>
      </w:r>
      <w:r w:rsidRPr="008F03E5">
        <w:tab/>
        <w:t>similar (to), like, resembling (someone, something)</w:t>
      </w:r>
    </w:p>
    <w:p w14:paraId="3A4F681A" w14:textId="77777777" w:rsidR="00625A5B" w:rsidRPr="008F03E5" w:rsidRDefault="00625A5B" w:rsidP="006932D6">
      <w:pPr>
        <w:pStyle w:val="Translit"/>
      </w:pPr>
      <w:r w:rsidRPr="008F03E5">
        <w:t>Shabistar</w:t>
      </w:r>
      <w:r w:rsidRPr="008F03E5">
        <w:tab/>
      </w:r>
      <w:r w:rsidRPr="008F03E5">
        <w:rPr>
          <w:u w:val="single"/>
        </w:rPr>
        <w:t>Sh</w:t>
      </w:r>
      <w:r w:rsidRPr="008F03E5">
        <w:t>abistar</w:t>
      </w:r>
      <w:r w:rsidRPr="008F03E5">
        <w:tab/>
        <w:t xml:space="preserve">city 54 km </w:t>
      </w:r>
      <w:r w:rsidRPr="008F03E5">
        <w:rPr>
          <w:sz w:val="16"/>
          <w:szCs w:val="16"/>
        </w:rPr>
        <w:t>WNW</w:t>
      </w:r>
      <w:r w:rsidRPr="008F03E5">
        <w:t xml:space="preserve"> Tabriz</w:t>
      </w:r>
    </w:p>
    <w:p w14:paraId="135989FC" w14:textId="77777777" w:rsidR="00625A5B" w:rsidRPr="008F03E5" w:rsidRDefault="00625A5B" w:rsidP="009D2A5B">
      <w:pPr>
        <w:pStyle w:val="Translit"/>
      </w:pPr>
      <w:r w:rsidRPr="008F03E5">
        <w:t>Shabistari</w:t>
      </w:r>
      <w:r w:rsidRPr="008F03E5">
        <w:tab/>
      </w:r>
      <w:r w:rsidRPr="008F03E5">
        <w:rPr>
          <w:u w:val="single"/>
        </w:rPr>
        <w:t>Sh</w:t>
      </w:r>
      <w:r w:rsidRPr="008F03E5">
        <w:t>abistarí</w:t>
      </w:r>
      <w:r w:rsidRPr="008F03E5">
        <w:tab/>
        <w:t>Sa‘d a</w:t>
      </w:r>
      <w:r>
        <w:t>d</w:t>
      </w:r>
      <w:r w:rsidRPr="008F03E5">
        <w:t xml:space="preserve">-Dín Maḥmúd ibn ‘Abd al-Karím Yaḥyá </w:t>
      </w:r>
      <w:r w:rsidRPr="008F03E5">
        <w:rPr>
          <w:u w:val="single"/>
        </w:rPr>
        <w:t>Sh</w:t>
      </w:r>
      <w:r w:rsidRPr="008F03E5">
        <w:t>abistarí (1288–1340) is one of the most celebrated Persian Sufi poets of the 14th century.</w:t>
      </w:r>
    </w:p>
    <w:p w14:paraId="6D0F4889" w14:textId="77777777" w:rsidR="00625A5B" w:rsidRPr="008F03E5" w:rsidRDefault="00625A5B" w:rsidP="00891F24">
      <w:pPr>
        <w:pStyle w:val="Translit"/>
      </w:pPr>
      <w:r w:rsidRPr="008F03E5">
        <w:t>Shabnam</w:t>
      </w:r>
      <w:r w:rsidRPr="008F03E5">
        <w:tab/>
      </w:r>
      <w:r w:rsidRPr="008F03E5">
        <w:rPr>
          <w:u w:val="single"/>
        </w:rPr>
        <w:t>Sh</w:t>
      </w:r>
      <w:r w:rsidRPr="008F03E5">
        <w:t>abnam</w:t>
      </w:r>
      <w:r w:rsidRPr="008F03E5">
        <w:tab/>
        <w:t>Pers. (</w:t>
      </w:r>
      <w:r w:rsidRPr="008F03E5">
        <w:rPr>
          <w:u w:val="single"/>
        </w:rPr>
        <w:t>sh</w:t>
      </w:r>
      <w:r w:rsidRPr="008F03E5">
        <w:t>ab, “night” or “darkness” + nam, “moisture”) dew</w:t>
      </w:r>
    </w:p>
    <w:p w14:paraId="7E5E8E40" w14:textId="77777777" w:rsidR="00625A5B" w:rsidRPr="008F03E5" w:rsidRDefault="00625A5B" w:rsidP="00847D4A">
      <w:pPr>
        <w:pStyle w:val="Translit"/>
      </w:pPr>
      <w:r w:rsidRPr="008F03E5">
        <w:t>Shad</w:t>
      </w:r>
      <w:r w:rsidRPr="008F03E5">
        <w:tab/>
      </w:r>
      <w:r w:rsidRPr="008F03E5">
        <w:rPr>
          <w:u w:val="single"/>
        </w:rPr>
        <w:t>Sh</w:t>
      </w:r>
      <w:r w:rsidRPr="008F03E5">
        <w:t>ád</w:t>
      </w:r>
      <w:r w:rsidRPr="008F03E5">
        <w:tab/>
        <w:t>Pers. cheerful, exulting; glad, happy; much; full; wine; light, a ray, gleam</w:t>
      </w:r>
    </w:p>
    <w:p w14:paraId="0C842F67" w14:textId="77777777" w:rsidR="00625A5B" w:rsidRPr="008F03E5" w:rsidRDefault="00625A5B" w:rsidP="0006139E">
      <w:pPr>
        <w:pStyle w:val="Translit"/>
      </w:pPr>
      <w:r w:rsidRPr="008F03E5">
        <w:rPr>
          <w:rFonts w:ascii="Times New Roman" w:hAnsi="Times New Roman"/>
        </w:rPr>
        <w:t>Shadda</w:t>
      </w:r>
      <w:r w:rsidRPr="008F03E5">
        <w:rPr>
          <w:rFonts w:ascii="Times New Roman" w:hAnsi="Times New Roman"/>
        </w:rPr>
        <w:tab/>
      </w:r>
      <w:r w:rsidRPr="008F03E5">
        <w:rPr>
          <w:u w:val="single"/>
        </w:rPr>
        <w:t>Sh</w:t>
      </w:r>
      <w:r w:rsidRPr="008F03E5">
        <w:t>adda[h or t]</w:t>
      </w:r>
      <w:r w:rsidRPr="008F03E5">
        <w:tab/>
        <w:t>(</w:t>
      </w:r>
      <w:r w:rsidRPr="008F03E5">
        <w:rPr>
          <w:i/>
          <w:iCs/>
        </w:rPr>
        <w:t>nomen vicis</w:t>
      </w:r>
      <w:r w:rsidRPr="008F03E5">
        <w:t>) strengthening, intensification; stress, emphasis; pulling, dragging, tugging; tightness, tautness; stress, strain; doubling sign over a consonant (grammar) (also called by the verbal noun from the same root, ta</w:t>
      </w:r>
      <w:r w:rsidRPr="008F03E5">
        <w:rPr>
          <w:u w:val="single"/>
        </w:rPr>
        <w:t>sh</w:t>
      </w:r>
      <w:r w:rsidRPr="008F03E5">
        <w:t>díd).  See ta</w:t>
      </w:r>
      <w:r w:rsidRPr="008F03E5">
        <w:rPr>
          <w:u w:val="single"/>
        </w:rPr>
        <w:t>sh</w:t>
      </w:r>
      <w:r w:rsidRPr="008F03E5">
        <w:t>díd.</w:t>
      </w:r>
    </w:p>
    <w:p w14:paraId="461B4986" w14:textId="77777777" w:rsidR="00625A5B" w:rsidRPr="008F03E5" w:rsidRDefault="00625A5B" w:rsidP="00991F0C">
      <w:pPr>
        <w:pStyle w:val="Translit"/>
      </w:pPr>
      <w:r w:rsidRPr="008F03E5">
        <w:t>Shadh</w:t>
      </w:r>
      <w:r w:rsidRPr="008F03E5">
        <w:tab/>
      </w:r>
      <w:r w:rsidRPr="008F03E5">
        <w:rPr>
          <w:u w:val="single"/>
        </w:rPr>
        <w:t>Sh</w:t>
      </w:r>
      <w:r w:rsidRPr="008F03E5">
        <w:t>á</w:t>
      </w:r>
      <w:r w:rsidRPr="008F03E5">
        <w:rPr>
          <w:u w:val="single"/>
        </w:rPr>
        <w:t>dh</w:t>
      </w:r>
      <w:r w:rsidRPr="008F03E5">
        <w:tab/>
        <w:t>Pers. glad</w:t>
      </w:r>
    </w:p>
    <w:p w14:paraId="1FE081FB" w14:textId="77777777" w:rsidR="00625A5B" w:rsidRPr="008F03E5" w:rsidRDefault="00625A5B" w:rsidP="002C31E6">
      <w:pPr>
        <w:pStyle w:val="Translit"/>
      </w:pPr>
      <w:r w:rsidRPr="008F03E5">
        <w:t>Shadhi</w:t>
      </w:r>
      <w:r w:rsidRPr="008F03E5">
        <w:tab/>
      </w:r>
      <w:r w:rsidRPr="008F03E5">
        <w:rPr>
          <w:u w:val="single"/>
        </w:rPr>
        <w:t>Sh</w:t>
      </w:r>
      <w:r w:rsidRPr="008F03E5">
        <w:t>á</w:t>
      </w:r>
      <w:r w:rsidRPr="008F03E5">
        <w:rPr>
          <w:u w:val="single"/>
        </w:rPr>
        <w:t>dh</w:t>
      </w:r>
      <w:r w:rsidRPr="008F03E5">
        <w:t>í</w:t>
      </w:r>
      <w:r w:rsidRPr="008F03E5">
        <w:tab/>
        <w:t>Pers. gladness</w:t>
      </w:r>
    </w:p>
    <w:p w14:paraId="02E74E08" w14:textId="77777777" w:rsidR="00625A5B" w:rsidRPr="008F03E5" w:rsidRDefault="00625A5B" w:rsidP="0006139E">
      <w:pPr>
        <w:pStyle w:val="Translit"/>
      </w:pPr>
      <w:r w:rsidRPr="008F03E5">
        <w:t>Shadid, Shadidat, Ashidda’, Shidad</w:t>
      </w:r>
      <w:r w:rsidRPr="008F03E5">
        <w:tab/>
      </w:r>
      <w:r w:rsidRPr="008F03E5">
        <w:rPr>
          <w:u w:val="single"/>
        </w:rPr>
        <w:t>Sh</w:t>
      </w:r>
      <w:r w:rsidRPr="008F03E5">
        <w:t xml:space="preserve">adíd, f. </w:t>
      </w:r>
      <w:r w:rsidRPr="008F03E5">
        <w:rPr>
          <w:u w:val="single"/>
        </w:rPr>
        <w:t>Sh</w:t>
      </w:r>
      <w:r w:rsidRPr="008F03E5">
        <w:t>adídat, pl. A</w:t>
      </w:r>
      <w:r w:rsidRPr="008F03E5">
        <w:rPr>
          <w:u w:val="single"/>
        </w:rPr>
        <w:t>sh</w:t>
      </w:r>
      <w:r w:rsidRPr="008F03E5">
        <w:t xml:space="preserve">iddá’, </w:t>
      </w:r>
      <w:r w:rsidRPr="008F03E5">
        <w:rPr>
          <w:u w:val="single"/>
        </w:rPr>
        <w:t>Sh</w:t>
      </w:r>
      <w:r w:rsidRPr="008F03E5">
        <w:t>idád</w:t>
      </w:r>
      <w:r w:rsidRPr="008F03E5">
        <w:tab/>
        <w:t xml:space="preserve">strong, powerful, forceful, vigourous, stern, severe, rigourous, hard, harsh, violent, vehement, intense; bad, evil, ominous, calamitous, difficult; grievous.  </w:t>
      </w:r>
      <w:r w:rsidRPr="008F03E5">
        <w:rPr>
          <w:u w:val="single"/>
        </w:rPr>
        <w:t>Sh</w:t>
      </w:r>
      <w:r w:rsidRPr="008F03E5">
        <w:t xml:space="preserve">idád has a numerical value of 309—described as “year of stress”, </w:t>
      </w:r>
      <w:r w:rsidRPr="008F03E5">
        <w:rPr>
          <w:sz w:val="16"/>
          <w:szCs w:val="16"/>
        </w:rPr>
        <w:t>AH</w:t>
      </w:r>
      <w:r w:rsidRPr="008F03E5">
        <w:t xml:space="preserve"> 1309 [</w:t>
      </w:r>
      <w:r w:rsidRPr="008F03E5">
        <w:rPr>
          <w:sz w:val="16"/>
          <w:szCs w:val="16"/>
        </w:rPr>
        <w:t>CE</w:t>
      </w:r>
      <w:r w:rsidRPr="008F03E5">
        <w:t xml:space="preserve"> 1892], the date of Bahá’u’lláh’s ascension.  See</w:t>
      </w:r>
      <w:r w:rsidRPr="008F03E5">
        <w:rPr>
          <w:i/>
          <w:iCs/>
        </w:rPr>
        <w:t xml:space="preserve"> Memorials of the Faithful</w:t>
      </w:r>
      <w:r w:rsidRPr="008F03E5">
        <w:t>, p. 35</w:t>
      </w:r>
    </w:p>
    <w:p w14:paraId="7EA94632" w14:textId="77777777" w:rsidR="00625A5B" w:rsidRPr="008F03E5" w:rsidRDefault="00625A5B" w:rsidP="006703D9">
      <w:pPr>
        <w:pStyle w:val="Translit"/>
      </w:pPr>
      <w:r w:rsidRPr="008F03E5">
        <w:rPr>
          <w:lang w:eastAsia="en-US"/>
        </w:rPr>
        <w:t>Shadid-i-Sawl</w:t>
      </w:r>
      <w:r>
        <w:rPr>
          <w:lang w:eastAsia="en-US"/>
        </w:rPr>
        <w:t>a (</w:t>
      </w:r>
      <w:r w:rsidRPr="008F03E5">
        <w:rPr>
          <w:lang w:eastAsia="en-US"/>
        </w:rPr>
        <w:t>Shadid-i-Sawlih</w:t>
      </w:r>
      <w:r>
        <w:rPr>
          <w:lang w:eastAsia="en-US"/>
        </w:rPr>
        <w:t>)</w:t>
      </w:r>
      <w:r w:rsidRPr="008F03E5">
        <w:rPr>
          <w:lang w:eastAsia="en-US"/>
        </w:rPr>
        <w:tab/>
      </w:r>
      <w:r w:rsidRPr="008F03E5">
        <w:rPr>
          <w:u w:val="single"/>
          <w:lang w:eastAsia="en-US"/>
        </w:rPr>
        <w:t>Sh</w:t>
      </w:r>
      <w:r w:rsidRPr="008F03E5">
        <w:rPr>
          <w:lang w:eastAsia="en-US"/>
        </w:rPr>
        <w:t>adíd-i-</w:t>
      </w:r>
      <w:r w:rsidRPr="008F03E5">
        <w:t>Ṣ</w:t>
      </w:r>
      <w:r w:rsidRPr="008F03E5">
        <w:rPr>
          <w:lang w:eastAsia="en-US"/>
        </w:rPr>
        <w:t>awl</w:t>
      </w:r>
      <w:r>
        <w:rPr>
          <w:lang w:eastAsia="en-US"/>
        </w:rPr>
        <w:t>a (</w:t>
      </w:r>
      <w:r w:rsidRPr="008F03E5">
        <w:rPr>
          <w:u w:val="single"/>
          <w:lang w:eastAsia="en-US"/>
        </w:rPr>
        <w:t>Sh</w:t>
      </w:r>
      <w:r w:rsidRPr="008F03E5">
        <w:rPr>
          <w:lang w:eastAsia="en-US"/>
        </w:rPr>
        <w:t>adíd-i-</w:t>
      </w:r>
      <w:r w:rsidRPr="008F03E5">
        <w:t>Ṣ</w:t>
      </w:r>
      <w:r w:rsidRPr="008F03E5">
        <w:rPr>
          <w:lang w:eastAsia="en-US"/>
        </w:rPr>
        <w:t>awlih</w:t>
      </w:r>
      <w:r>
        <w:rPr>
          <w:lang w:eastAsia="en-US"/>
        </w:rPr>
        <w:t>)</w:t>
      </w:r>
      <w:r w:rsidRPr="008F03E5">
        <w:rPr>
          <w:lang w:eastAsia="en-US"/>
        </w:rPr>
        <w:tab/>
        <w:t>Pers. intense, strong, vehement to attack</w:t>
      </w:r>
      <w:r>
        <w:rPr>
          <w:lang w:eastAsia="en-US"/>
        </w:rPr>
        <w:t xml:space="preserve">.  Name use by ‘Abdu’l-Bahá for </w:t>
      </w:r>
      <w:r w:rsidRPr="00F10B02">
        <w:t>Ali-Kuli Khan</w:t>
      </w:r>
      <w:r>
        <w:t>.</w:t>
      </w:r>
    </w:p>
    <w:p w14:paraId="3EF6DC56" w14:textId="77777777" w:rsidR="00625A5B" w:rsidRPr="008F03E5" w:rsidRDefault="00625A5B" w:rsidP="004F50FF">
      <w:pPr>
        <w:pStyle w:val="Translit"/>
      </w:pPr>
      <w:r w:rsidRPr="008F03E5">
        <w:t>Shadpur</w:t>
      </w:r>
      <w:r w:rsidRPr="008F03E5">
        <w:tab/>
      </w:r>
      <w:r w:rsidRPr="008F03E5">
        <w:rPr>
          <w:u w:val="single"/>
        </w:rPr>
        <w:t>Sh</w:t>
      </w:r>
      <w:r w:rsidRPr="008F03E5">
        <w:t>adpúr (</w:t>
      </w:r>
      <w:r w:rsidRPr="008F03E5">
        <w:rPr>
          <w:u w:val="single"/>
        </w:rPr>
        <w:t>Sh</w:t>
      </w:r>
      <w:r w:rsidRPr="008F03E5">
        <w:t>ad + púr)</w:t>
      </w:r>
      <w:r w:rsidRPr="008F03E5">
        <w:tab/>
        <w:t xml:space="preserve">Pers. </w:t>
      </w:r>
      <w:r w:rsidRPr="008F03E5">
        <w:rPr>
          <w:u w:val="single"/>
        </w:rPr>
        <w:t>Gh</w:t>
      </w:r>
      <w:r w:rsidRPr="008F03E5">
        <w:t xml:space="preserve">ulám-Ḥusayn </w:t>
      </w:r>
      <w:r w:rsidRPr="008F03E5">
        <w:rPr>
          <w:u w:val="single"/>
        </w:rPr>
        <w:t>Sh</w:t>
      </w:r>
      <w:r w:rsidRPr="008F03E5">
        <w:t>adpúr</w:t>
      </w:r>
    </w:p>
    <w:p w14:paraId="1F6F9680" w14:textId="77777777" w:rsidR="00625A5B" w:rsidRPr="008F03E5" w:rsidRDefault="00625A5B" w:rsidP="00510285">
      <w:pPr>
        <w:pStyle w:val="Translit"/>
      </w:pPr>
      <w:r w:rsidRPr="008F03E5">
        <w:t>Shafa</w:t>
      </w:r>
      <w:r w:rsidRPr="008F03E5">
        <w:tab/>
      </w:r>
      <w:r w:rsidRPr="008F03E5">
        <w:rPr>
          <w:u w:val="single"/>
        </w:rPr>
        <w:t>Sh</w:t>
      </w:r>
      <w:r w:rsidRPr="008F03E5">
        <w:t>afá</w:t>
      </w:r>
      <w:r w:rsidRPr="008F03E5">
        <w:tab/>
        <w:t>to cure (someone of a disease), heal (someone of a disease, a wound), make (someone) well, restore (someone) to health</w:t>
      </w:r>
    </w:p>
    <w:p w14:paraId="16ED7C60" w14:textId="77777777" w:rsidR="00625A5B" w:rsidRPr="008F03E5" w:rsidRDefault="00625A5B" w:rsidP="002D1652">
      <w:pPr>
        <w:pStyle w:val="Translit"/>
      </w:pPr>
      <w:r w:rsidRPr="008F03E5">
        <w:t>Shafi, Shafiya</w:t>
      </w:r>
      <w:r w:rsidRPr="008F03E5">
        <w:tab/>
      </w:r>
      <w:r w:rsidRPr="008F03E5">
        <w:rPr>
          <w:u w:val="single"/>
        </w:rPr>
        <w:t>Sh</w:t>
      </w:r>
      <w:r w:rsidRPr="008F03E5">
        <w:t xml:space="preserve">áfí, fem. </w:t>
      </w:r>
      <w:r w:rsidRPr="008F03E5">
        <w:rPr>
          <w:u w:val="single"/>
        </w:rPr>
        <w:t>Sh</w:t>
      </w:r>
      <w:r w:rsidRPr="008F03E5">
        <w:t>áfíya</w:t>
      </w:r>
      <w:r w:rsidRPr="008F03E5">
        <w:tab/>
        <w:t>h</w:t>
      </w:r>
      <w:r w:rsidRPr="008F03E5">
        <w:rPr>
          <w:rFonts w:eastAsia="Times New Roman"/>
        </w:rPr>
        <w:t>ealing, salutary;</w:t>
      </w:r>
      <w:r w:rsidRPr="008F03E5">
        <w:t xml:space="preserve"> distinct, clear.  </w:t>
      </w:r>
      <w:r w:rsidRPr="008F03E5">
        <w:rPr>
          <w:u w:val="single"/>
          <w:lang w:eastAsia="en-US"/>
        </w:rPr>
        <w:t>Sh</w:t>
      </w:r>
      <w:r w:rsidRPr="008F03E5">
        <w:rPr>
          <w:lang w:eastAsia="en-US"/>
        </w:rPr>
        <w:t>ar</w:t>
      </w:r>
      <w:r w:rsidRPr="008F03E5">
        <w:t>ḥ</w:t>
      </w:r>
      <w:r w:rsidRPr="008F03E5">
        <w:rPr>
          <w:lang w:eastAsia="en-US"/>
        </w:rPr>
        <w:t xml:space="preserve"> </w:t>
      </w:r>
      <w:r w:rsidRPr="008F03E5">
        <w:rPr>
          <w:u w:val="single"/>
          <w:lang w:eastAsia="en-US"/>
        </w:rPr>
        <w:t>Sh</w:t>
      </w:r>
      <w:r w:rsidRPr="008F03E5">
        <w:t>á</w:t>
      </w:r>
      <w:r w:rsidRPr="008F03E5">
        <w:rPr>
          <w:lang w:eastAsia="en-US"/>
        </w:rPr>
        <w:t>f</w:t>
      </w:r>
      <w:r w:rsidRPr="008F03E5">
        <w:t>í</w:t>
      </w:r>
      <w:r w:rsidRPr="008F03E5">
        <w:rPr>
          <w:lang w:eastAsia="en-US"/>
        </w:rPr>
        <w:t xml:space="preserve">yat </w:t>
      </w:r>
      <w:r w:rsidRPr="008F03E5">
        <w:t>i</w:t>
      </w:r>
      <w:r w:rsidRPr="008F03E5">
        <w:rPr>
          <w:lang w:eastAsia="en-US"/>
        </w:rPr>
        <w:t xml:space="preserve">bn </w:t>
      </w:r>
      <w:r w:rsidRPr="008F03E5">
        <w:t>Ḥá</w:t>
      </w:r>
      <w:r w:rsidRPr="008F03E5">
        <w:rPr>
          <w:lang w:eastAsia="en-US"/>
        </w:rPr>
        <w:t>jib</w:t>
      </w:r>
      <w:r w:rsidRPr="008F03E5">
        <w:t xml:space="preserve"> by Astarábádí.</w:t>
      </w:r>
    </w:p>
    <w:p w14:paraId="2FC93A7B" w14:textId="77777777" w:rsidR="00625A5B" w:rsidRPr="008F03E5" w:rsidRDefault="00625A5B" w:rsidP="00030705">
      <w:pPr>
        <w:pStyle w:val="Translit"/>
      </w:pPr>
      <w:r w:rsidRPr="008F03E5">
        <w:t>Shafi’, Shufa’a</w:t>
      </w:r>
      <w:r w:rsidRPr="008F03E5">
        <w:tab/>
      </w:r>
      <w:r w:rsidRPr="008F03E5">
        <w:rPr>
          <w:u w:val="single"/>
        </w:rPr>
        <w:t>Sh</w:t>
      </w:r>
      <w:r w:rsidRPr="008F03E5">
        <w:t xml:space="preserve">afí‘ or </w:t>
      </w:r>
      <w:r w:rsidRPr="008F03E5">
        <w:rPr>
          <w:u w:val="single"/>
        </w:rPr>
        <w:t>Sh</w:t>
      </w:r>
      <w:r w:rsidRPr="008F03E5">
        <w:t xml:space="preserve">áfi‘, pl. </w:t>
      </w:r>
      <w:r w:rsidRPr="008F03E5">
        <w:rPr>
          <w:u w:val="single"/>
        </w:rPr>
        <w:t>Sh</w:t>
      </w:r>
      <w:r w:rsidRPr="008F03E5">
        <w:t>ufa’á</w:t>
      </w:r>
      <w:r w:rsidRPr="008F03E5">
        <w:tab/>
        <w:t xml:space="preserve">mediator, intercessor, advocate.  Name, and title given to certain persons, i.e. </w:t>
      </w:r>
      <w:r w:rsidRPr="008F03E5">
        <w:rPr>
          <w:u w:val="single"/>
        </w:rPr>
        <w:t>Sh</w:t>
      </w:r>
      <w:r w:rsidRPr="008F03E5">
        <w:t xml:space="preserve">afí‘ </w:t>
      </w:r>
      <w:r w:rsidRPr="008F03E5">
        <w:rPr>
          <w:u w:val="single"/>
        </w:rPr>
        <w:t>Kh</w:t>
      </w:r>
      <w:r w:rsidRPr="008F03E5">
        <w:t>án, Prime Minister Áqásí’s adviser.</w:t>
      </w:r>
    </w:p>
    <w:p w14:paraId="55D53EB9" w14:textId="77777777" w:rsidR="00625A5B" w:rsidRPr="008F03E5" w:rsidRDefault="00625A5B" w:rsidP="003B6441">
      <w:pPr>
        <w:pStyle w:val="Translit"/>
      </w:pPr>
      <w:r w:rsidRPr="008F03E5">
        <w:t>Shafi’i, Shafi’yun, Shawafi’</w:t>
      </w:r>
      <w:r w:rsidRPr="008F03E5">
        <w:tab/>
      </w:r>
      <w:r w:rsidRPr="008F03E5">
        <w:rPr>
          <w:u w:val="single"/>
        </w:rPr>
        <w:t>Sh</w:t>
      </w:r>
      <w:r w:rsidRPr="008F03E5">
        <w:t xml:space="preserve">áfi‘í, pl. </w:t>
      </w:r>
      <w:r w:rsidRPr="008F03E5">
        <w:rPr>
          <w:u w:val="single"/>
        </w:rPr>
        <w:t>Sh</w:t>
      </w:r>
      <w:r w:rsidRPr="008F03E5">
        <w:t xml:space="preserve">áfi‘yún, </w:t>
      </w:r>
      <w:r w:rsidRPr="008F03E5">
        <w:rPr>
          <w:u w:val="single"/>
        </w:rPr>
        <w:t>Sh</w:t>
      </w:r>
      <w:r w:rsidRPr="008F03E5">
        <w:t>awafi‘</w:t>
      </w:r>
      <w:r w:rsidRPr="008F03E5">
        <w:tab/>
        <w:t>adherent (shafiite, shafii, shafi’i, shafee) of the Shafiitic (or shafi’itic) school, a system of orthodox Sunní jurisprudence (one of 4—the Ḥanafí, the Ḥanbalí</w:t>
      </w:r>
      <w:r w:rsidRPr="008F03E5">
        <w:rPr>
          <w:cs/>
        </w:rPr>
        <w:t>‎</w:t>
      </w:r>
      <w:r w:rsidRPr="008F03E5">
        <w:t xml:space="preserve">, the Málikí and the </w:t>
      </w:r>
      <w:r w:rsidRPr="008F03E5">
        <w:rPr>
          <w:u w:val="single"/>
        </w:rPr>
        <w:t>Sh</w:t>
      </w:r>
      <w:r w:rsidRPr="008F03E5">
        <w:t>áfi‘í) founded by ibn Idrís a</w:t>
      </w:r>
      <w:r w:rsidRPr="008F03E5">
        <w:rPr>
          <w:u w:val="single"/>
        </w:rPr>
        <w:t>sh</w:t>
      </w:r>
      <w:r w:rsidRPr="008F03E5">
        <w:t>-</w:t>
      </w:r>
      <w:r w:rsidRPr="008F03E5">
        <w:rPr>
          <w:u w:val="single"/>
        </w:rPr>
        <w:t>Sh</w:t>
      </w:r>
      <w:r w:rsidRPr="008F03E5">
        <w:t>áfi‘í.</w:t>
      </w:r>
    </w:p>
    <w:p w14:paraId="70D42854" w14:textId="77777777" w:rsidR="00625A5B" w:rsidRPr="008F03E5" w:rsidRDefault="00625A5B" w:rsidP="00E46826">
      <w:pPr>
        <w:pStyle w:val="Translit"/>
      </w:pPr>
      <w:r w:rsidRPr="008F03E5">
        <w:t>Shafiq, Shafiqa (Shafiqih)</w:t>
      </w:r>
      <w:r w:rsidRPr="008F03E5">
        <w:tab/>
      </w:r>
      <w:r w:rsidRPr="008F03E5">
        <w:rPr>
          <w:u w:val="single"/>
        </w:rPr>
        <w:t>Sh</w:t>
      </w:r>
      <w:r w:rsidRPr="008F03E5">
        <w:t xml:space="preserve">afíq, fem. </w:t>
      </w:r>
      <w:r w:rsidRPr="008F03E5">
        <w:rPr>
          <w:u w:val="single"/>
        </w:rPr>
        <w:t>Sh</w:t>
      </w:r>
      <w:r w:rsidRPr="008F03E5">
        <w:t>afíqa[h or t]</w:t>
      </w:r>
      <w:r w:rsidRPr="008F03E5">
        <w:tab/>
      </w:r>
      <w:r w:rsidRPr="008F03E5">
        <w:rPr>
          <w:rFonts w:eastAsia="Times New Roman"/>
        </w:rPr>
        <w:t>merciful, compassionate, condoling; affectionate, benevolent</w:t>
      </w:r>
    </w:p>
    <w:p w14:paraId="161C18A7" w14:textId="77777777" w:rsidR="00625A5B" w:rsidRPr="008F03E5" w:rsidRDefault="00625A5B" w:rsidP="00E46826">
      <w:pPr>
        <w:pStyle w:val="Translit"/>
      </w:pPr>
      <w:r w:rsidRPr="008F03E5">
        <w:t>Shaft</w:t>
      </w:r>
      <w:r w:rsidRPr="008F03E5">
        <w:tab/>
      </w:r>
      <w:r w:rsidRPr="008F03E5">
        <w:rPr>
          <w:u w:val="single"/>
        </w:rPr>
        <w:t>Sh</w:t>
      </w:r>
      <w:r w:rsidRPr="008F03E5">
        <w:t>aft</w:t>
      </w:r>
      <w:r w:rsidRPr="008F03E5">
        <w:tab/>
        <w:t xml:space="preserve">Pers. town 20 km </w:t>
      </w:r>
      <w:r w:rsidRPr="008F03E5">
        <w:rPr>
          <w:sz w:val="16"/>
          <w:szCs w:val="16"/>
        </w:rPr>
        <w:t>SW</w:t>
      </w:r>
      <w:r w:rsidRPr="008F03E5">
        <w:t xml:space="preserve"> of Ra</w:t>
      </w:r>
      <w:r w:rsidRPr="008F03E5">
        <w:rPr>
          <w:u w:val="single"/>
        </w:rPr>
        <w:t>sh</w:t>
      </w:r>
      <w:r w:rsidRPr="008F03E5">
        <w:t>t, Gilan province</w:t>
      </w:r>
    </w:p>
    <w:p w14:paraId="4EEA74FE" w14:textId="77777777" w:rsidR="00625A5B" w:rsidRPr="008F03E5" w:rsidRDefault="00625A5B" w:rsidP="00F060B7">
      <w:pPr>
        <w:pStyle w:val="Translit"/>
      </w:pPr>
      <w:r w:rsidRPr="008F03E5">
        <w:t>Shafti</w:t>
      </w:r>
      <w:r w:rsidRPr="008F03E5">
        <w:tab/>
      </w:r>
      <w:r w:rsidRPr="008F03E5">
        <w:rPr>
          <w:u w:val="single"/>
        </w:rPr>
        <w:t>Sh</w:t>
      </w:r>
      <w:r w:rsidRPr="008F03E5">
        <w:t>aftí</w:t>
      </w:r>
      <w:r w:rsidRPr="008F03E5">
        <w:tab/>
        <w:t xml:space="preserve">Pers. of or from </w:t>
      </w:r>
      <w:r w:rsidRPr="008F03E5">
        <w:rPr>
          <w:u w:val="single"/>
        </w:rPr>
        <w:t>Sh</w:t>
      </w:r>
      <w:r w:rsidRPr="008F03E5">
        <w:t>aft.  Ḥájí Siyyid Muḥammad-Báqir-i-</w:t>
      </w:r>
      <w:r w:rsidRPr="008F03E5">
        <w:rPr>
          <w:u w:val="single"/>
        </w:rPr>
        <w:t>Sh</w:t>
      </w:r>
      <w:r w:rsidRPr="008F03E5">
        <w:t>aftí, a celebrated mujtahid.</w:t>
      </w:r>
    </w:p>
    <w:p w14:paraId="13970234" w14:textId="77777777" w:rsidR="00625A5B" w:rsidRPr="008F03E5" w:rsidRDefault="00625A5B" w:rsidP="00387D9E">
      <w:pPr>
        <w:pStyle w:val="Translit"/>
      </w:pPr>
      <w:r w:rsidRPr="008F03E5">
        <w:t>Shah, Shahan</w:t>
      </w:r>
      <w:r w:rsidRPr="008F03E5">
        <w:tab/>
      </w:r>
      <w:r w:rsidRPr="008F03E5">
        <w:rPr>
          <w:u w:val="single"/>
        </w:rPr>
        <w:t>Sh</w:t>
      </w:r>
      <w:r w:rsidRPr="008F03E5">
        <w:t xml:space="preserve">áh, pl. </w:t>
      </w:r>
      <w:r w:rsidRPr="008F03E5">
        <w:rPr>
          <w:u w:val="single"/>
        </w:rPr>
        <w:t>Sh</w:t>
      </w:r>
      <w:r w:rsidRPr="008F03E5">
        <w:t>áhán</w:t>
      </w:r>
      <w:r w:rsidRPr="008F03E5">
        <w:tab/>
        <w:t>Pers. a king, sovereign, emperor, monarch, prince; the king at chess; check to the king (in chess); a bridegroom; a son-in-law; a title assumed by fakírs; a wide, main road; a sort of garment used in India; root, origin; name of an animal; of noble blood; great, excellent in any degree</w:t>
      </w:r>
    </w:p>
    <w:p w14:paraId="233C34C6" w14:textId="77777777" w:rsidR="00625A5B" w:rsidRPr="008F03E5" w:rsidRDefault="00625A5B" w:rsidP="00E40B1E">
      <w:pPr>
        <w:pStyle w:val="Translit"/>
      </w:pPr>
      <w:r w:rsidRPr="008F03E5">
        <w:t>Shah-‘Abbas</w:t>
      </w:r>
      <w:r w:rsidRPr="008F03E5">
        <w:tab/>
      </w:r>
      <w:r w:rsidRPr="008F03E5">
        <w:rPr>
          <w:u w:val="single"/>
        </w:rPr>
        <w:t>Sh</w:t>
      </w:r>
      <w:r w:rsidRPr="008F03E5">
        <w:t>áh-‘Abbás</w:t>
      </w:r>
      <w:r w:rsidRPr="008F03E5">
        <w:tab/>
        <w:t>5th Safavid king of Iran</w:t>
      </w:r>
    </w:p>
    <w:p w14:paraId="57C14607" w14:textId="77777777" w:rsidR="00625A5B" w:rsidRPr="008F03E5" w:rsidRDefault="00625A5B" w:rsidP="00ED145D">
      <w:pPr>
        <w:pStyle w:val="Translit"/>
      </w:pPr>
      <w:r w:rsidRPr="008F03E5">
        <w:t>Shahab</w:t>
      </w:r>
      <w:r w:rsidRPr="008F03E5">
        <w:tab/>
      </w:r>
      <w:r w:rsidRPr="008F03E5">
        <w:rPr>
          <w:u w:val="single"/>
        </w:rPr>
        <w:t>Sh</w:t>
      </w:r>
      <w:r w:rsidRPr="008F03E5">
        <w:t>aháb</w:t>
      </w:r>
      <w:r w:rsidRPr="008F03E5">
        <w:tab/>
        <w:t>milk diluted with water</w:t>
      </w:r>
    </w:p>
    <w:p w14:paraId="2CA859EE" w14:textId="77777777" w:rsidR="00625A5B" w:rsidRPr="008F03E5" w:rsidRDefault="00625A5B" w:rsidP="002F1E80">
      <w:pPr>
        <w:pStyle w:val="Translit"/>
        <w:rPr>
          <w:rFonts w:eastAsia="Times New Roman"/>
        </w:rPr>
      </w:pPr>
      <w:r w:rsidRPr="008F03E5">
        <w:t>Shahadah, Shahadat</w:t>
      </w:r>
      <w:r w:rsidRPr="008F03E5">
        <w:tab/>
      </w:r>
      <w:r w:rsidRPr="008F03E5">
        <w:rPr>
          <w:u w:val="single"/>
        </w:rPr>
        <w:t>Sh</w:t>
      </w:r>
      <w:r w:rsidRPr="008F03E5">
        <w:t xml:space="preserve">aháda[h or t], pl. </w:t>
      </w:r>
      <w:r w:rsidRPr="008F03E5">
        <w:rPr>
          <w:u w:val="single"/>
        </w:rPr>
        <w:t>Sh</w:t>
      </w:r>
      <w:r w:rsidRPr="008F03E5">
        <w:t>ahádát</w:t>
      </w:r>
      <w:r w:rsidRPr="008F03E5">
        <w:tab/>
        <w:t xml:space="preserve">testimony, witness, evidence, deposition; statement; certificate, certification, testimonial, affidavit; attestation, attest; credentials, identification; (Muslim) creed (doctrinal formula); martyrdom.  </w:t>
      </w:r>
      <w:r w:rsidRPr="008F03E5">
        <w:rPr>
          <w:u w:val="single"/>
        </w:rPr>
        <w:t>Sh</w:t>
      </w:r>
      <w:r w:rsidRPr="008F03E5">
        <w:t xml:space="preserve">aháda is the act of witnessing, or attesting, to the formula or creed:  “Lá ’iláha ’illá ’lláhu Muḥammadun Rasúlu ’lláh”—“There is no God but God and Muḥammad is His Messenger”.  </w:t>
      </w:r>
      <w:r w:rsidRPr="008F03E5">
        <w:rPr>
          <w:rFonts w:eastAsia="Times New Roman"/>
          <w:i/>
          <w:iCs/>
        </w:rPr>
        <w:t xml:space="preserve">‘álami </w:t>
      </w:r>
      <w:r w:rsidRPr="008F03E5">
        <w:rPr>
          <w:rFonts w:eastAsia="Times New Roman"/>
          <w:i/>
          <w:iCs/>
          <w:u w:val="single"/>
        </w:rPr>
        <w:t>sh</w:t>
      </w:r>
      <w:r w:rsidRPr="008F03E5">
        <w:rPr>
          <w:rFonts w:eastAsia="Times New Roman"/>
          <w:i/>
          <w:iCs/>
        </w:rPr>
        <w:t>ahádat,</w:t>
      </w:r>
      <w:r w:rsidRPr="008F03E5">
        <w:rPr>
          <w:rFonts w:eastAsia="Times New Roman"/>
        </w:rPr>
        <w:t xml:space="preserve"> the visible world.  </w:t>
      </w:r>
      <w:r w:rsidRPr="008F03E5">
        <w:t xml:space="preserve">The above two statements are commonly prefaced by </w:t>
      </w:r>
      <w:r w:rsidRPr="008F03E5">
        <w:rPr>
          <w:i/>
          <w:iCs/>
        </w:rPr>
        <w:t>a</w:t>
      </w:r>
      <w:r w:rsidRPr="008F03E5">
        <w:rPr>
          <w:i/>
          <w:iCs/>
          <w:u w:val="single"/>
        </w:rPr>
        <w:t>sh</w:t>
      </w:r>
      <w:r w:rsidRPr="008F03E5">
        <w:rPr>
          <w:i/>
          <w:iCs/>
        </w:rPr>
        <w:t xml:space="preserve">hadu ’an </w:t>
      </w:r>
      <w:r w:rsidRPr="008F03E5">
        <w:t>(“I bear witness that”), yielding the full form:  A</w:t>
      </w:r>
      <w:r w:rsidRPr="008F03E5">
        <w:rPr>
          <w:u w:val="single"/>
        </w:rPr>
        <w:t>sh</w:t>
      </w:r>
      <w:r w:rsidRPr="008F03E5">
        <w:t>hadu ’an lá ’iláha ’illa ’lláhu (I bear witness there is no God but God), wa ’a</w:t>
      </w:r>
      <w:r w:rsidRPr="008F03E5">
        <w:rPr>
          <w:u w:val="single"/>
        </w:rPr>
        <w:t>sh</w:t>
      </w:r>
      <w:r w:rsidRPr="008F03E5">
        <w:t>hadu ’anna muḥammadan rasúlu ’lláhi (, and I bear witness that Muhammad is the Messenger of God).</w:t>
      </w:r>
    </w:p>
    <w:p w14:paraId="518EBBB4" w14:textId="77777777" w:rsidR="00625A5B" w:rsidRPr="008F03E5" w:rsidRDefault="00625A5B" w:rsidP="007C6E78">
      <w:pPr>
        <w:pStyle w:val="Translit"/>
        <w:rPr>
          <w:rFonts w:eastAsia="Times New Roman"/>
        </w:rPr>
      </w:pPr>
      <w:r w:rsidRPr="008F03E5">
        <w:t>Shahan-Shah (Shahanshah, Shahinshah)</w:t>
      </w:r>
      <w:r w:rsidRPr="008F03E5">
        <w:tab/>
      </w:r>
      <w:r w:rsidRPr="008F03E5">
        <w:rPr>
          <w:u w:val="single"/>
        </w:rPr>
        <w:t>Sh</w:t>
      </w:r>
      <w:r w:rsidRPr="008F03E5">
        <w:t>áhán-</w:t>
      </w:r>
      <w:r w:rsidRPr="008F03E5">
        <w:rPr>
          <w:u w:val="single"/>
        </w:rPr>
        <w:t>Sh</w:t>
      </w:r>
      <w:r w:rsidRPr="008F03E5">
        <w:t>áh</w:t>
      </w:r>
      <w:r w:rsidRPr="008F03E5">
        <w:tab/>
        <w:t xml:space="preserve">Pers. king of kings, lord of lords.  </w:t>
      </w:r>
      <w:r w:rsidRPr="008F03E5">
        <w:rPr>
          <w:u w:val="single"/>
        </w:rPr>
        <w:t>Sh</w:t>
      </w:r>
      <w:r w:rsidRPr="008F03E5">
        <w:t>áhán</w:t>
      </w:r>
      <w:r w:rsidRPr="008F03E5">
        <w:rPr>
          <w:u w:val="single"/>
        </w:rPr>
        <w:t>sh</w:t>
      </w:r>
      <w:r w:rsidRPr="008F03E5">
        <w:t xml:space="preserve">áh is a contraction, which by inversion is </w:t>
      </w:r>
      <w:r w:rsidRPr="008F03E5">
        <w:rPr>
          <w:u w:val="single"/>
        </w:rPr>
        <w:t>sh</w:t>
      </w:r>
      <w:r w:rsidRPr="008F03E5">
        <w:t>áh-i-</w:t>
      </w:r>
      <w:r w:rsidRPr="008F03E5">
        <w:rPr>
          <w:u w:val="single"/>
        </w:rPr>
        <w:t>sh</w:t>
      </w:r>
      <w:r w:rsidRPr="008F03E5">
        <w:t>áhán.</w:t>
      </w:r>
    </w:p>
    <w:p w14:paraId="6BC3C3BA" w14:textId="77777777" w:rsidR="00625A5B" w:rsidRPr="008F03E5" w:rsidRDefault="00625A5B" w:rsidP="001F31DE">
      <w:pPr>
        <w:pStyle w:val="Translit"/>
      </w:pPr>
      <w:r w:rsidRPr="008F03E5">
        <w:t>Shahata (Shaht)</w:t>
      </w:r>
      <w:r w:rsidRPr="008F03E5">
        <w:tab/>
      </w:r>
      <w:r w:rsidRPr="008F03E5">
        <w:rPr>
          <w:u w:val="single"/>
        </w:rPr>
        <w:t>Sh</w:t>
      </w:r>
      <w:r w:rsidRPr="008F03E5">
        <w:t>aḥaṭa (</w:t>
      </w:r>
      <w:r w:rsidRPr="008F03E5">
        <w:rPr>
          <w:u w:val="single"/>
        </w:rPr>
        <w:t>Sh</w:t>
      </w:r>
      <w:r w:rsidRPr="008F03E5">
        <w:t>aḥṭ)</w:t>
      </w:r>
      <w:r w:rsidRPr="008F03E5">
        <w:tab/>
        <w:t>to be far away, distant, remote; to strike (a match); to strand, be stranded, run aground (ship); to ground on a sandbank</w:t>
      </w:r>
    </w:p>
    <w:p w14:paraId="5038A085" w14:textId="77777777" w:rsidR="00625A5B" w:rsidRPr="008F03E5" w:rsidRDefault="00625A5B" w:rsidP="007E3FA5">
      <w:pPr>
        <w:pStyle w:val="Translit"/>
      </w:pPr>
      <w:r w:rsidRPr="008F03E5">
        <w:t>Shah-Bahram</w:t>
      </w:r>
      <w:r w:rsidRPr="008F03E5">
        <w:tab/>
      </w:r>
      <w:r w:rsidRPr="008F03E5">
        <w:rPr>
          <w:u w:val="single"/>
        </w:rPr>
        <w:t>Sh</w:t>
      </w:r>
      <w:r w:rsidRPr="008F03E5">
        <w:t>áh-Bahrám</w:t>
      </w:r>
      <w:r w:rsidRPr="008F03E5">
        <w:tab/>
        <w:t>(</w:t>
      </w:r>
      <w:r w:rsidRPr="008F03E5">
        <w:rPr>
          <w:u w:val="single"/>
        </w:rPr>
        <w:t>Sh</w:t>
      </w:r>
      <w:r w:rsidRPr="008F03E5">
        <w:t>áh Bahrám Vajárvand) the world saviour promised by the prophet Zoroaster.  Fulfilled by Bahá’u’lláh.</w:t>
      </w:r>
    </w:p>
    <w:p w14:paraId="2772E203" w14:textId="77777777" w:rsidR="00625A5B" w:rsidRPr="008F03E5" w:rsidRDefault="00625A5B" w:rsidP="00523F38">
      <w:pPr>
        <w:pStyle w:val="Translit"/>
      </w:pPr>
      <w:r w:rsidRPr="008F03E5">
        <w:t>Shahbar</w:t>
      </w:r>
      <w:r w:rsidRPr="008F03E5">
        <w:tab/>
      </w:r>
      <w:r w:rsidRPr="008F03E5">
        <w:rPr>
          <w:u w:val="single"/>
        </w:rPr>
        <w:t>Sh</w:t>
      </w:r>
      <w:r w:rsidRPr="008F03E5">
        <w:t>áhbár</w:t>
      </w:r>
      <w:r w:rsidRPr="008F03E5">
        <w:tab/>
      </w:r>
      <w:r w:rsidRPr="008F03E5">
        <w:rPr>
          <w:sz w:val="16"/>
          <w:szCs w:val="16"/>
        </w:rPr>
        <w:t>DB</w:t>
      </w:r>
      <w:r w:rsidRPr="008F03E5">
        <w:t xml:space="preserve"> 547</w:t>
      </w:r>
    </w:p>
    <w:p w14:paraId="7D5562CE" w14:textId="77777777" w:rsidR="00625A5B" w:rsidRPr="008F03E5" w:rsidRDefault="00625A5B" w:rsidP="005C5DE9">
      <w:pPr>
        <w:pStyle w:val="Translit"/>
      </w:pPr>
      <w:r w:rsidRPr="008F03E5">
        <w:t>Shah-Chiragh (Shah-Cheragh)</w:t>
      </w:r>
      <w:r w:rsidRPr="008F03E5">
        <w:tab/>
      </w:r>
      <w:r w:rsidRPr="008F03E5">
        <w:rPr>
          <w:u w:val="single"/>
        </w:rPr>
        <w:t>Sh</w:t>
      </w:r>
      <w:r w:rsidRPr="008F03E5">
        <w:t>áh-</w:t>
      </w:r>
      <w:r w:rsidRPr="008F03E5">
        <w:rPr>
          <w:u w:val="single"/>
        </w:rPr>
        <w:t>Ch</w:t>
      </w:r>
      <w:r w:rsidRPr="008F03E5">
        <w:t>irá</w:t>
      </w:r>
      <w:r w:rsidRPr="008F03E5">
        <w:rPr>
          <w:u w:val="single"/>
        </w:rPr>
        <w:t>gh</w:t>
      </w:r>
      <w:r w:rsidRPr="008F03E5">
        <w:t xml:space="preserve"> (Ar. </w:t>
      </w:r>
      <w:r w:rsidRPr="008F03E5">
        <w:rPr>
          <w:u w:val="single"/>
        </w:rPr>
        <w:t>Sh</w:t>
      </w:r>
      <w:r w:rsidRPr="008F03E5">
        <w:t>áh-Siráj)</w:t>
      </w:r>
      <w:r w:rsidRPr="008F03E5">
        <w:tab/>
        <w:t xml:space="preserve">Shrine of </w:t>
      </w:r>
      <w:r w:rsidRPr="008F03E5">
        <w:rPr>
          <w:u w:val="single"/>
        </w:rPr>
        <w:t>S</w:t>
      </w:r>
      <w:r w:rsidRPr="008F03E5">
        <w:t>háh-</w:t>
      </w:r>
      <w:r w:rsidRPr="008F03E5">
        <w:rPr>
          <w:u w:val="single"/>
        </w:rPr>
        <w:t>Ch</w:t>
      </w:r>
      <w:r w:rsidRPr="008F03E5">
        <w:t>irá</w:t>
      </w:r>
      <w:r w:rsidRPr="008F03E5">
        <w:rPr>
          <w:u w:val="single"/>
        </w:rPr>
        <w:t>gh</w:t>
      </w:r>
      <w:r w:rsidRPr="008F03E5">
        <w:t xml:space="preserve"> (“King of the Lamp”, 29.609702, 52.543339) in </w:t>
      </w:r>
      <w:r w:rsidRPr="008F03E5">
        <w:rPr>
          <w:u w:val="single"/>
        </w:rPr>
        <w:t>Sh</w:t>
      </w:r>
      <w:r w:rsidRPr="008F03E5">
        <w:t xml:space="preserve">íráz.  Burial site of </w:t>
      </w:r>
      <w:r w:rsidRPr="008F03E5">
        <w:rPr>
          <w:u w:val="single"/>
        </w:rPr>
        <w:t>Kh</w:t>
      </w:r>
      <w:r w:rsidRPr="008F03E5">
        <w:t>adíjih-Bagum, wife of the Báb.</w:t>
      </w:r>
    </w:p>
    <w:p w14:paraId="4FBC713F" w14:textId="77777777" w:rsidR="00625A5B" w:rsidRDefault="00625A5B" w:rsidP="00187BEE">
      <w:pPr>
        <w:pStyle w:val="Translit"/>
      </w:pPr>
      <w:r>
        <w:t>Shahdad Kalut</w:t>
      </w:r>
      <w:r>
        <w:tab/>
      </w:r>
      <w:r w:rsidRPr="00475DF4">
        <w:rPr>
          <w:u w:val="single"/>
        </w:rPr>
        <w:t>Sh</w:t>
      </w:r>
      <w:r>
        <w:t>ahd</w:t>
      </w:r>
      <w:r w:rsidRPr="00475DF4">
        <w:t>á</w:t>
      </w:r>
      <w:r>
        <w:t>d Kal</w:t>
      </w:r>
      <w:r w:rsidRPr="00475DF4">
        <w:t>ú</w:t>
      </w:r>
      <w:r>
        <w:t>t</w:t>
      </w:r>
      <w:r>
        <w:tab/>
      </w:r>
      <w:r w:rsidRPr="00187BEE">
        <w:t>A barren region (20%) of the Lút desert characterised by enormous wind-sculpted sandstone ridges and outcrops.</w:t>
      </w:r>
    </w:p>
    <w:p w14:paraId="0B5153D5" w14:textId="77777777" w:rsidR="00625A5B" w:rsidRPr="008F03E5" w:rsidRDefault="00625A5B" w:rsidP="0026092F">
      <w:pPr>
        <w:pStyle w:val="Translit"/>
      </w:pPr>
      <w:r w:rsidRPr="008F03E5">
        <w:t>Shahi</w:t>
      </w:r>
      <w:r w:rsidRPr="008F03E5">
        <w:tab/>
      </w:r>
      <w:r w:rsidRPr="008F03E5">
        <w:rPr>
          <w:u w:val="single"/>
        </w:rPr>
        <w:t>Sh</w:t>
      </w:r>
      <w:r w:rsidRPr="008F03E5">
        <w:t>áhí</w:t>
      </w:r>
      <w:r w:rsidRPr="008F03E5">
        <w:tab/>
        <w:t xml:space="preserve">Pers. royal; imperial dignity, dominion, sovereignty, royalty; the followers of the sect of ‘Alí; name of a poet; name of an old Persian coin; a penny (modern colloquialism); a sort of sweetmeat, made of starch and white of egg.  20 </w:t>
      </w:r>
      <w:r w:rsidRPr="008F03E5">
        <w:rPr>
          <w:u w:val="single"/>
        </w:rPr>
        <w:t>sh</w:t>
      </w:r>
      <w:r w:rsidRPr="008F03E5">
        <w:t xml:space="preserve">áhí = a qirán; one </w:t>
      </w:r>
      <w:r w:rsidRPr="008F03E5">
        <w:rPr>
          <w:u w:val="single"/>
        </w:rPr>
        <w:t>sh</w:t>
      </w:r>
      <w:r w:rsidRPr="008F03E5">
        <w:t>áhí = 50 dínár (unit of accountancy, it is not a Persian coin).</w:t>
      </w:r>
    </w:p>
    <w:p w14:paraId="4A09D2F8" w14:textId="77777777" w:rsidR="00625A5B" w:rsidRPr="008F03E5" w:rsidRDefault="00625A5B" w:rsidP="000352DA">
      <w:pPr>
        <w:pStyle w:val="Translit"/>
        <w:rPr>
          <w:lang w:eastAsia="en-US"/>
        </w:rPr>
      </w:pPr>
      <w:r w:rsidRPr="008F03E5">
        <w:t>Shahid al-Hayy</w:t>
      </w:r>
      <w:r w:rsidRPr="008F03E5">
        <w:tab/>
        <w:t>a</w:t>
      </w:r>
      <w:r w:rsidRPr="000352DA">
        <w:rPr>
          <w:u w:val="single"/>
        </w:rPr>
        <w:t>sh</w:t>
      </w:r>
      <w:r w:rsidRPr="008F03E5">
        <w:t>-</w:t>
      </w:r>
      <w:r w:rsidRPr="008F03E5">
        <w:rPr>
          <w:u w:val="single"/>
        </w:rPr>
        <w:t>Sh</w:t>
      </w:r>
      <w:r w:rsidRPr="008F03E5">
        <w:t>ahíd al-Ḥayy</w:t>
      </w:r>
      <w:r w:rsidRPr="008F03E5">
        <w:tab/>
        <w:t>living martyr</w:t>
      </w:r>
      <w:r w:rsidRPr="008F03E5">
        <w:rPr>
          <w:rStyle w:val="FootnoteReference"/>
        </w:rPr>
        <w:footnoteReference w:id="20"/>
      </w:r>
    </w:p>
    <w:p w14:paraId="75EF3D98" w14:textId="77777777" w:rsidR="00625A5B" w:rsidRPr="008F03E5" w:rsidRDefault="00625A5B" w:rsidP="00564DE8">
      <w:pPr>
        <w:pStyle w:val="Translit"/>
        <w:rPr>
          <w:rFonts w:eastAsia="PMingLiU"/>
          <w:lang w:eastAsia="zh-TW"/>
        </w:rPr>
      </w:pPr>
      <w:r w:rsidRPr="008F03E5">
        <w:t>Shahid ibn-i-Shahid</w:t>
      </w:r>
      <w:r w:rsidRPr="008F03E5">
        <w:tab/>
      </w:r>
      <w:r w:rsidRPr="008F03E5">
        <w:rPr>
          <w:u w:val="single"/>
        </w:rPr>
        <w:t>Sh</w:t>
      </w:r>
      <w:r w:rsidRPr="008F03E5">
        <w:t>ahíd ibn-i-</w:t>
      </w:r>
      <w:r w:rsidRPr="008F03E5">
        <w:rPr>
          <w:u w:val="single"/>
        </w:rPr>
        <w:t>Sh</w:t>
      </w:r>
      <w:r w:rsidRPr="008F03E5">
        <w:t>ahíd</w:t>
      </w:r>
      <w:r w:rsidRPr="008F03E5">
        <w:tab/>
        <w:t>martyr, son of the martyr.  Title given to Ibn-i-Aṣdaq by Bahá’u’lláh</w:t>
      </w:r>
    </w:p>
    <w:p w14:paraId="761AF7B0" w14:textId="77777777" w:rsidR="00625A5B" w:rsidRPr="008F03E5" w:rsidRDefault="00625A5B" w:rsidP="00EE396D">
      <w:pPr>
        <w:pStyle w:val="Translit"/>
      </w:pPr>
      <w:r w:rsidRPr="008F03E5">
        <w:t>Shahid, Shahida, Shuhada</w:t>
      </w:r>
      <w:r w:rsidRPr="008F03E5">
        <w:tab/>
      </w:r>
      <w:r w:rsidRPr="008F03E5">
        <w:rPr>
          <w:u w:val="single"/>
        </w:rPr>
        <w:t>Sh</w:t>
      </w:r>
      <w:r w:rsidRPr="008F03E5">
        <w:t xml:space="preserve">ahíd, fem. </w:t>
      </w:r>
      <w:r w:rsidRPr="008F03E5">
        <w:rPr>
          <w:u w:val="single"/>
        </w:rPr>
        <w:t>Sh</w:t>
      </w:r>
      <w:r w:rsidRPr="008F03E5">
        <w:t xml:space="preserve">ahída[h], pl. </w:t>
      </w:r>
      <w:r w:rsidRPr="008F03E5">
        <w:rPr>
          <w:u w:val="single"/>
        </w:rPr>
        <w:t>Sh</w:t>
      </w:r>
      <w:r w:rsidRPr="008F03E5">
        <w:t>uhadá’</w:t>
      </w:r>
      <w:r w:rsidRPr="008F03E5">
        <w:tab/>
        <w:t xml:space="preserve">witness; martyr, one killed in battle.  Family name of Rúḥá </w:t>
      </w:r>
      <w:r w:rsidRPr="008F03E5">
        <w:rPr>
          <w:u w:val="single"/>
        </w:rPr>
        <w:t>Kh</w:t>
      </w:r>
      <w:r w:rsidRPr="008F03E5">
        <w:t>ánum who married Mírzá Jalál.  Children Muníb, Ḥasan, Maryam, Ḍuḥá and Zahra.</w:t>
      </w:r>
    </w:p>
    <w:p w14:paraId="039D045E" w14:textId="77777777" w:rsidR="00625A5B" w:rsidRPr="008F03E5" w:rsidRDefault="00625A5B" w:rsidP="005B2E65">
      <w:pPr>
        <w:pStyle w:val="Translit"/>
      </w:pPr>
      <w:r w:rsidRPr="008F03E5">
        <w:t>Shahid, Shuhud, Ashhad, Shawahid</w:t>
      </w:r>
      <w:r w:rsidRPr="008F03E5">
        <w:tab/>
      </w:r>
      <w:r w:rsidRPr="008F03E5">
        <w:rPr>
          <w:u w:val="single"/>
        </w:rPr>
        <w:t>Sh</w:t>
      </w:r>
      <w:r w:rsidRPr="008F03E5">
        <w:t xml:space="preserve">áhid, pl. </w:t>
      </w:r>
      <w:r w:rsidRPr="008F03E5">
        <w:rPr>
          <w:u w:val="single"/>
        </w:rPr>
        <w:t>Sh</w:t>
      </w:r>
      <w:r w:rsidRPr="008F03E5">
        <w:t xml:space="preserve">uhúd, </w:t>
      </w:r>
      <w:r w:rsidRPr="008F03E5">
        <w:rPr>
          <w:u w:val="single"/>
        </w:rPr>
        <w:t>Sh</w:t>
      </w:r>
      <w:r w:rsidRPr="008F03E5">
        <w:t>uhhad</w:t>
      </w:r>
      <w:r w:rsidRPr="008F03E5">
        <w:tab/>
        <w:t xml:space="preserve">present (as witness);—(pl. </w:t>
      </w:r>
      <w:r w:rsidRPr="008F03E5">
        <w:rPr>
          <w:u w:val="single"/>
        </w:rPr>
        <w:t>Sh</w:t>
      </w:r>
      <w:r w:rsidRPr="008F03E5">
        <w:t>uhúd, A</w:t>
      </w:r>
      <w:r w:rsidRPr="008F03E5">
        <w:rPr>
          <w:u w:val="single"/>
        </w:rPr>
        <w:t>sh</w:t>
      </w:r>
      <w:r w:rsidRPr="008F03E5">
        <w:t xml:space="preserve">hád) witness (for); notary public;—(pl. </w:t>
      </w:r>
      <w:r w:rsidRPr="008F03E5">
        <w:rPr>
          <w:u w:val="single"/>
        </w:rPr>
        <w:t>Sh</w:t>
      </w:r>
      <w:r w:rsidRPr="008F03E5">
        <w:t>awáhid) (piece of) evidence (for); attestation; quotation serving as textual evidence; testimony; an oblong, upright tombstone</w:t>
      </w:r>
    </w:p>
    <w:p w14:paraId="39BD2D24" w14:textId="77777777" w:rsidR="00625A5B" w:rsidRPr="008F03E5" w:rsidRDefault="00625A5B" w:rsidP="00042906">
      <w:pPr>
        <w:pStyle w:val="Translit"/>
        <w:rPr>
          <w:rFonts w:eastAsia="PMingLiU"/>
          <w:lang w:eastAsia="zh-TW"/>
        </w:rPr>
      </w:pPr>
      <w:r w:rsidRPr="008F03E5">
        <w:t>Shahida, Shawahid</w:t>
      </w:r>
      <w:r w:rsidRPr="008F03E5">
        <w:tab/>
      </w:r>
      <w:r w:rsidRPr="008F03E5">
        <w:rPr>
          <w:u w:val="single"/>
        </w:rPr>
        <w:t>Sh</w:t>
      </w:r>
      <w:r w:rsidRPr="008F03E5">
        <w:t xml:space="preserve">áhida[h], pl. </w:t>
      </w:r>
      <w:r w:rsidRPr="008F03E5">
        <w:rPr>
          <w:u w:val="single"/>
        </w:rPr>
        <w:t>Sh</w:t>
      </w:r>
      <w:r w:rsidRPr="008F03E5">
        <w:t>awáhid</w:t>
      </w:r>
      <w:r w:rsidRPr="008F03E5">
        <w:tab/>
        <w:t xml:space="preserve">(fem. of </w:t>
      </w:r>
      <w:r w:rsidRPr="008F03E5">
        <w:rPr>
          <w:u w:val="single"/>
        </w:rPr>
        <w:t>Sh</w:t>
      </w:r>
      <w:r w:rsidRPr="008F03E5">
        <w:t>ahíd) an oblong, upright tombstone; index finger; true copy, copy of a letter, duplicate</w:t>
      </w:r>
    </w:p>
    <w:p w14:paraId="29799140" w14:textId="77777777" w:rsidR="00625A5B" w:rsidRPr="008F03E5" w:rsidRDefault="00625A5B" w:rsidP="002F020F">
      <w:pPr>
        <w:pStyle w:val="Translit"/>
        <w:rPr>
          <w:rFonts w:eastAsia="PMingLiU"/>
          <w:lang w:eastAsia="zh-TW"/>
        </w:rPr>
      </w:pPr>
      <w:r w:rsidRPr="008F03E5">
        <w:t>Shahid-Zadih (Shahidzadih)</w:t>
      </w:r>
      <w:r w:rsidRPr="008F03E5">
        <w:tab/>
      </w:r>
      <w:r w:rsidRPr="008F03E5">
        <w:rPr>
          <w:u w:val="single"/>
        </w:rPr>
        <w:t>Sh</w:t>
      </w:r>
      <w:r w:rsidRPr="008F03E5">
        <w:t>áhíd-Zádih</w:t>
      </w:r>
      <w:r w:rsidRPr="008F03E5">
        <w:tab/>
      </w:r>
    </w:p>
    <w:p w14:paraId="37C60F8E" w14:textId="77777777" w:rsidR="00625A5B" w:rsidRPr="008F03E5" w:rsidRDefault="00625A5B" w:rsidP="00901620">
      <w:pPr>
        <w:pStyle w:val="Translit"/>
        <w:rPr>
          <w:rFonts w:eastAsia="PMingLiU"/>
          <w:lang w:eastAsia="zh-TW"/>
        </w:rPr>
      </w:pPr>
      <w:r w:rsidRPr="008F03E5">
        <w:rPr>
          <w:rFonts w:eastAsia="PMingLiU"/>
          <w:lang w:eastAsia="zh-TW"/>
        </w:rPr>
        <w:t>Shahin, Shawahin</w:t>
      </w:r>
      <w:r w:rsidRPr="008F03E5">
        <w:tab/>
      </w:r>
      <w:r w:rsidRPr="008F03E5">
        <w:rPr>
          <w:u w:val="single"/>
        </w:rPr>
        <w:t>Sh</w:t>
      </w:r>
      <w:r w:rsidRPr="008F03E5">
        <w:t>á</w:t>
      </w:r>
      <w:r w:rsidRPr="008F03E5">
        <w:rPr>
          <w:rFonts w:eastAsia="PMingLiU"/>
          <w:lang w:eastAsia="zh-TW"/>
        </w:rPr>
        <w:t xml:space="preserve">hín, pl. </w:t>
      </w:r>
      <w:r w:rsidRPr="008F03E5">
        <w:rPr>
          <w:u w:val="single"/>
        </w:rPr>
        <w:t>Sh</w:t>
      </w:r>
      <w:r w:rsidRPr="008F03E5">
        <w:rPr>
          <w:rFonts w:eastAsia="PMingLiU"/>
          <w:lang w:eastAsia="zh-TW"/>
        </w:rPr>
        <w:t>aw</w:t>
      </w:r>
      <w:r w:rsidRPr="008F03E5">
        <w:t>á</w:t>
      </w:r>
      <w:r w:rsidRPr="008F03E5">
        <w:rPr>
          <w:rFonts w:eastAsia="PMingLiU"/>
          <w:lang w:eastAsia="zh-TW"/>
        </w:rPr>
        <w:t>hín</w:t>
      </w:r>
      <w:r w:rsidRPr="008F03E5">
        <w:tab/>
        <w:t>Pers. Indian falcon</w:t>
      </w:r>
    </w:p>
    <w:p w14:paraId="444F831E" w14:textId="77777777" w:rsidR="00625A5B" w:rsidRPr="008F03E5" w:rsidRDefault="00625A5B" w:rsidP="00E40B1E">
      <w:pPr>
        <w:pStyle w:val="Translit"/>
      </w:pPr>
      <w:r w:rsidRPr="008F03E5">
        <w:t>Shah-i-Sahib-‘Alam</w:t>
      </w:r>
      <w:r w:rsidRPr="008F03E5">
        <w:tab/>
      </w:r>
      <w:r w:rsidRPr="008F03E5">
        <w:rPr>
          <w:u w:val="single"/>
        </w:rPr>
        <w:t>Sh</w:t>
      </w:r>
      <w:r w:rsidRPr="008F03E5">
        <w:t>áh-i-Ṣáḥib-‘Alam</w:t>
      </w:r>
      <w:r w:rsidRPr="008F03E5">
        <w:tab/>
        <w:t>(</w:t>
      </w:r>
      <w:r w:rsidRPr="008F03E5">
        <w:rPr>
          <w:i/>
          <w:iCs/>
        </w:rPr>
        <w:t>Memorials of the Faithful</w:t>
      </w:r>
      <w:r w:rsidRPr="008F03E5">
        <w:t>, 99)</w:t>
      </w:r>
    </w:p>
    <w:p w14:paraId="3965E925" w14:textId="77777777" w:rsidR="00625A5B" w:rsidRPr="008F03E5" w:rsidRDefault="00625A5B" w:rsidP="009932E5">
      <w:pPr>
        <w:pStyle w:val="Translit"/>
      </w:pPr>
      <w:r w:rsidRPr="008F03E5">
        <w:t>Shahit, Shahuta (Shahouta)</w:t>
      </w:r>
      <w:r w:rsidRPr="008F03E5">
        <w:tab/>
      </w:r>
      <w:r w:rsidRPr="008F03E5">
        <w:rPr>
          <w:u w:val="single"/>
        </w:rPr>
        <w:t>Sh</w:t>
      </w:r>
      <w:r w:rsidRPr="008F03E5">
        <w:t>áḥíṭ</w:t>
      </w:r>
      <w:r w:rsidRPr="008F03E5">
        <w:tab/>
        <w:t xml:space="preserve">far (away), distant, remote, outlying, out-of-the-way; stranded.  </w:t>
      </w:r>
      <w:r w:rsidRPr="008F03E5">
        <w:rPr>
          <w:u w:val="single"/>
        </w:rPr>
        <w:t>Sh</w:t>
      </w:r>
      <w:r w:rsidRPr="008F03E5">
        <w:t xml:space="preserve">áḥúṭá or </w:t>
      </w:r>
      <w:r w:rsidRPr="008F03E5">
        <w:rPr>
          <w:u w:val="single"/>
        </w:rPr>
        <w:t>Sh</w:t>
      </w:r>
      <w:r w:rsidRPr="008F03E5">
        <w:t xml:space="preserve">aḥúṭa[h or t] (“place apart”), an area </w:t>
      </w:r>
      <w:r w:rsidRPr="008F03E5">
        <w:rPr>
          <w:sz w:val="16"/>
          <w:szCs w:val="16"/>
        </w:rPr>
        <w:t>SE</w:t>
      </w:r>
      <w:r w:rsidRPr="008F03E5">
        <w:t xml:space="preserve"> of ‘Akká, and a village in Lebanon.  See root </w:t>
      </w:r>
      <w:r w:rsidRPr="008F03E5">
        <w:rPr>
          <w:u w:val="single"/>
        </w:rPr>
        <w:t>sh</w:t>
      </w:r>
      <w:r w:rsidRPr="008F03E5">
        <w:t>aḥaṭa.</w:t>
      </w:r>
    </w:p>
    <w:p w14:paraId="15AE02B7" w14:textId="77777777" w:rsidR="00625A5B" w:rsidRPr="008F03E5" w:rsidRDefault="00625A5B" w:rsidP="00A50C13">
      <w:pPr>
        <w:pStyle w:val="Translit"/>
      </w:pPr>
      <w:r w:rsidRPr="008F03E5">
        <w:t>Shahkuh (Shah-Kuh)</w:t>
      </w:r>
      <w:r w:rsidRPr="008F03E5">
        <w:tab/>
      </w:r>
      <w:r w:rsidRPr="008F03E5">
        <w:rPr>
          <w:u w:val="single"/>
        </w:rPr>
        <w:t>Sh</w:t>
      </w:r>
      <w:r w:rsidRPr="008F03E5">
        <w:t>áhkúh (</w:t>
      </w:r>
      <w:r w:rsidRPr="008F03E5">
        <w:rPr>
          <w:u w:val="single"/>
        </w:rPr>
        <w:t>Sh</w:t>
      </w:r>
      <w:r w:rsidRPr="008F03E5">
        <w:t>áh-Kúh)</w:t>
      </w:r>
      <w:r w:rsidRPr="008F03E5">
        <w:tab/>
      </w:r>
      <w:r w:rsidRPr="008F03E5">
        <w:rPr>
          <w:u w:val="single"/>
        </w:rPr>
        <w:t>Sh</w:t>
      </w:r>
      <w:r w:rsidRPr="008F03E5">
        <w:t xml:space="preserve">áhkúh-i-Suflá (Shahkuh-e Sofla); also known as </w:t>
      </w:r>
      <w:r w:rsidRPr="008F03E5">
        <w:rPr>
          <w:u w:val="single"/>
        </w:rPr>
        <w:t>Sh</w:t>
      </w:r>
      <w:r w:rsidRPr="008F03E5">
        <w:t xml:space="preserve">áh Kúh-i-Pá’ín, </w:t>
      </w:r>
      <w:r w:rsidRPr="008F03E5">
        <w:rPr>
          <w:u w:val="single"/>
        </w:rPr>
        <w:t>Sh</w:t>
      </w:r>
      <w:r w:rsidRPr="008F03E5">
        <w:t xml:space="preserve">ádkúh-i-Pá’ín, </w:t>
      </w:r>
      <w:r w:rsidRPr="008F03E5">
        <w:rPr>
          <w:u w:val="single"/>
        </w:rPr>
        <w:t>Sh</w:t>
      </w:r>
      <w:r w:rsidRPr="008F03E5">
        <w:t xml:space="preserve">áhkúh Páín and </w:t>
      </w:r>
      <w:r w:rsidRPr="008F03E5">
        <w:rPr>
          <w:u w:val="single"/>
        </w:rPr>
        <w:t>Sh</w:t>
      </w:r>
      <w:r w:rsidRPr="008F03E5">
        <w:t xml:space="preserve">á Kúh-i-Pá’ín; a village (36.560526, 54.414918) in Gulistan Province, 53 km </w:t>
      </w:r>
      <w:r w:rsidRPr="008F03E5">
        <w:rPr>
          <w:sz w:val="16"/>
          <w:szCs w:val="16"/>
        </w:rPr>
        <w:t>NW</w:t>
      </w:r>
      <w:r w:rsidRPr="008F03E5">
        <w:t xml:space="preserve"> of </w:t>
      </w:r>
      <w:r w:rsidRPr="008F03E5">
        <w:rPr>
          <w:u w:val="single"/>
        </w:rPr>
        <w:t>Sh</w:t>
      </w:r>
      <w:r w:rsidRPr="008F03E5">
        <w:t>áhrúd.</w:t>
      </w:r>
    </w:p>
    <w:p w14:paraId="4FAAEAE4" w14:textId="77777777" w:rsidR="00625A5B" w:rsidRPr="008F03E5" w:rsidRDefault="00625A5B" w:rsidP="00643FCC">
      <w:pPr>
        <w:pStyle w:val="Translit"/>
      </w:pPr>
      <w:r w:rsidRPr="008F03E5">
        <w:t>Shahmirzad (Shah-Mirzad)</w:t>
      </w:r>
      <w:r w:rsidRPr="008F03E5">
        <w:tab/>
      </w:r>
      <w:r w:rsidRPr="008F03E5">
        <w:rPr>
          <w:u w:val="single"/>
        </w:rPr>
        <w:t>Sh</w:t>
      </w:r>
      <w:r w:rsidRPr="008F03E5">
        <w:t>ahmírzád (</w:t>
      </w:r>
      <w:r w:rsidRPr="008F03E5">
        <w:rPr>
          <w:u w:val="single"/>
        </w:rPr>
        <w:t>Sh</w:t>
      </w:r>
      <w:r w:rsidRPr="008F03E5">
        <w:t>áh-Mírzád)</w:t>
      </w:r>
      <w:r w:rsidRPr="008F03E5">
        <w:tab/>
        <w:t>city (35.772902, 53.327945) in the province of Semnam, 173 km east of Ṭihrán, Iran</w:t>
      </w:r>
    </w:p>
    <w:p w14:paraId="6B020072" w14:textId="77777777" w:rsidR="00625A5B" w:rsidRPr="008F03E5" w:rsidRDefault="00625A5B" w:rsidP="00E40B1E">
      <w:pPr>
        <w:pStyle w:val="Translit"/>
      </w:pPr>
      <w:r w:rsidRPr="008F03E5">
        <w:t>Shah-Muhammad</w:t>
      </w:r>
      <w:r w:rsidRPr="008F03E5">
        <w:tab/>
      </w:r>
      <w:r w:rsidRPr="008F03E5">
        <w:rPr>
          <w:u w:val="single"/>
        </w:rPr>
        <w:t>Sh</w:t>
      </w:r>
      <w:r w:rsidRPr="008F03E5">
        <w:t>áh-Muḥammad</w:t>
      </w:r>
      <w:r w:rsidRPr="008F03E5">
        <w:tab/>
      </w:r>
    </w:p>
    <w:p w14:paraId="46D80A87" w14:textId="77777777" w:rsidR="00625A5B" w:rsidRPr="008F03E5" w:rsidRDefault="00625A5B" w:rsidP="00E40B1E">
      <w:pPr>
        <w:pStyle w:val="Translit"/>
      </w:pPr>
      <w:r w:rsidRPr="008F03E5">
        <w:t>Shah-Muhammad-Amin</w:t>
      </w:r>
      <w:r w:rsidRPr="008F03E5">
        <w:tab/>
      </w:r>
      <w:r w:rsidRPr="008F03E5">
        <w:rPr>
          <w:u w:val="single"/>
        </w:rPr>
        <w:t>Sh</w:t>
      </w:r>
      <w:r w:rsidRPr="008F03E5">
        <w:t>áh-Muḥammad-Amín</w:t>
      </w:r>
      <w:r w:rsidRPr="008F03E5">
        <w:tab/>
      </w:r>
    </w:p>
    <w:p w14:paraId="6918B349" w14:textId="77777777" w:rsidR="00625A5B" w:rsidRPr="008F03E5" w:rsidRDefault="00625A5B" w:rsidP="006221F2">
      <w:pPr>
        <w:pStyle w:val="Translit"/>
      </w:pPr>
      <w:r w:rsidRPr="008F03E5">
        <w:t>Shahnama</w:t>
      </w:r>
      <w:r>
        <w:t>,</w:t>
      </w:r>
      <w:r w:rsidRPr="008F03E5">
        <w:t xml:space="preserve"> Shah</w:t>
      </w:r>
      <w:r>
        <w:t>-</w:t>
      </w:r>
      <w:r w:rsidRPr="008F03E5">
        <w:t>nam</w:t>
      </w:r>
      <w:r>
        <w:t>a</w:t>
      </w:r>
      <w:r w:rsidRPr="008F03E5">
        <w:tab/>
      </w:r>
      <w:r w:rsidRPr="008F03E5">
        <w:rPr>
          <w:u w:val="single"/>
        </w:rPr>
        <w:t>Sh</w:t>
      </w:r>
      <w:r w:rsidRPr="008F03E5">
        <w:t>áhnáma[h or t]</w:t>
      </w:r>
      <w:r>
        <w:t xml:space="preserve">, </w:t>
      </w:r>
      <w:r w:rsidRPr="008F03E5">
        <w:rPr>
          <w:u w:val="single"/>
        </w:rPr>
        <w:t>Sh</w:t>
      </w:r>
      <w:r w:rsidRPr="008F03E5">
        <w:t>áh</w:t>
      </w:r>
      <w:r>
        <w:t>-</w:t>
      </w:r>
      <w:r w:rsidRPr="008F03E5">
        <w:t>náma[h or t]</w:t>
      </w:r>
      <w:r w:rsidRPr="008F03E5">
        <w:tab/>
        <w:t>Pers. (</w:t>
      </w:r>
      <w:r w:rsidRPr="008F03E5">
        <w:rPr>
          <w:u w:val="single"/>
        </w:rPr>
        <w:t>Sh</w:t>
      </w:r>
      <w:r w:rsidRPr="008F03E5">
        <w:t>áhnámih</w:t>
      </w:r>
      <w:r>
        <w:t>,</w:t>
      </w:r>
      <w:r w:rsidRPr="008F03E5">
        <w:t xml:space="preserve"> Shahnameh</w:t>
      </w:r>
      <w:r>
        <w:t>, Shahnamih, Shah-namih</w:t>
      </w:r>
      <w:r w:rsidRPr="008F03E5">
        <w:t xml:space="preserve">) “The Book of Kings”, </w:t>
      </w:r>
      <w:r>
        <w:t>a history of kings.  A</w:t>
      </w:r>
      <w:r w:rsidRPr="008F03E5">
        <w:t xml:space="preserve"> long (longest by one poet?) epic poem written by Firdawsí between c. 977 and 1010 and is the national epic of greater </w:t>
      </w:r>
      <w:r>
        <w:t>Persia</w:t>
      </w:r>
      <w:r w:rsidRPr="008F03E5">
        <w:t xml:space="preserve">.  A medieval Muslim verse reworking of Zoroastrian stories about pre-Islamic </w:t>
      </w:r>
      <w:r>
        <w:t>Pers</w:t>
      </w:r>
      <w:r w:rsidRPr="008F03E5">
        <w:t>ian heroes.</w:t>
      </w:r>
    </w:p>
    <w:p w14:paraId="73A2D3FA" w14:textId="77777777" w:rsidR="00625A5B" w:rsidRPr="008F03E5" w:rsidRDefault="00625A5B" w:rsidP="00C23F8B">
      <w:pPr>
        <w:pStyle w:val="Translit"/>
      </w:pPr>
      <w:r w:rsidRPr="008F03E5">
        <w:t>Shahnaz Khanum</w:t>
      </w:r>
      <w:r w:rsidRPr="008F03E5">
        <w:tab/>
      </w:r>
      <w:r w:rsidRPr="008F03E5">
        <w:rPr>
          <w:u w:val="single"/>
        </w:rPr>
        <w:t>Sh</w:t>
      </w:r>
      <w:r w:rsidRPr="008F03E5">
        <w:t xml:space="preserve">ahnáz </w:t>
      </w:r>
      <w:r w:rsidRPr="008F03E5">
        <w:rPr>
          <w:u w:val="single"/>
        </w:rPr>
        <w:t>Kh</w:t>
      </w:r>
      <w:r w:rsidRPr="008F03E5">
        <w:t>ánum</w:t>
      </w:r>
      <w:r w:rsidRPr="008F03E5">
        <w:tab/>
        <w:t xml:space="preserve">Louise Dunn (1866–1939); used the name Louise Robinson Spencer from the 1890s; was a poet, composer of music and songs, and writer; who received 41 Tablets from ‘Abdu’l-Bahá.  She married Edger Francis Waite (1865–1931) in 1902.  Named </w:t>
      </w:r>
      <w:r w:rsidRPr="008F03E5">
        <w:rPr>
          <w:u w:val="single"/>
        </w:rPr>
        <w:t>Sh</w:t>
      </w:r>
      <w:r w:rsidRPr="008F03E5">
        <w:t xml:space="preserve">ahnáz (“sweet music”) </w:t>
      </w:r>
      <w:r w:rsidRPr="008F03E5">
        <w:rPr>
          <w:u w:val="single"/>
        </w:rPr>
        <w:t>Kh</w:t>
      </w:r>
      <w:r w:rsidRPr="008F03E5">
        <w:t>ánum by ‘Abdu’l-Bahá, and called a “sweet singing bird” and a “nightingale”.</w:t>
      </w:r>
    </w:p>
    <w:p w14:paraId="48AB2391" w14:textId="77777777" w:rsidR="00625A5B" w:rsidRPr="008F03E5" w:rsidRDefault="00625A5B" w:rsidP="00E67EFA">
      <w:pPr>
        <w:pStyle w:val="Translit"/>
      </w:pPr>
      <w:r w:rsidRPr="008F03E5">
        <w:t>Shahnaz</w:t>
      </w:r>
      <w:r w:rsidRPr="008F03E5">
        <w:tab/>
      </w:r>
      <w:r w:rsidRPr="008F03E5">
        <w:rPr>
          <w:u w:val="single"/>
        </w:rPr>
        <w:t>Sh</w:t>
      </w:r>
      <w:r w:rsidRPr="008F03E5">
        <w:t>ahnáz</w:t>
      </w:r>
      <w:r w:rsidRPr="008F03E5">
        <w:tab/>
        <w:t>Pers. (</w:t>
      </w:r>
      <w:r w:rsidRPr="008F03E5">
        <w:rPr>
          <w:u w:val="single"/>
        </w:rPr>
        <w:t>Sh</w:t>
      </w:r>
      <w:r w:rsidRPr="008F03E5">
        <w:t>áh + Náz) “pride of the king”; sister of the mythical Jam</w:t>
      </w:r>
      <w:r w:rsidRPr="008F03E5">
        <w:rPr>
          <w:u w:val="single"/>
        </w:rPr>
        <w:t>sh</w:t>
      </w:r>
      <w:r w:rsidRPr="008F03E5">
        <w:t>íd; female name, surname, and musical note or type of melody (can be translated as “sweet music”)</w:t>
      </w:r>
    </w:p>
    <w:p w14:paraId="6880545B" w14:textId="77777777" w:rsidR="00625A5B" w:rsidRPr="008F03E5" w:rsidRDefault="00625A5B" w:rsidP="000B0B88">
      <w:pPr>
        <w:pStyle w:val="Translit"/>
      </w:pPr>
      <w:r w:rsidRPr="008F03E5">
        <w:t>Shahpar</w:t>
      </w:r>
      <w:r w:rsidRPr="008F03E5">
        <w:tab/>
      </w:r>
      <w:r w:rsidRPr="008F03E5">
        <w:rPr>
          <w:u w:val="single"/>
        </w:rPr>
        <w:t>Sh</w:t>
      </w:r>
      <w:r w:rsidRPr="008F03E5">
        <w:t>áhpar</w:t>
      </w:r>
      <w:r w:rsidRPr="008F03E5">
        <w:tab/>
        <w:t>Pers. the largest bird wing feather</w:t>
      </w:r>
    </w:p>
    <w:p w14:paraId="1E31095E" w14:textId="77777777" w:rsidR="00625A5B" w:rsidRPr="008F03E5" w:rsidRDefault="00625A5B" w:rsidP="00674BC6">
      <w:pPr>
        <w:pStyle w:val="Translit"/>
      </w:pPr>
      <w:r w:rsidRPr="008F03E5">
        <w:t>Shahpur</w:t>
      </w:r>
      <w:r w:rsidRPr="008F03E5">
        <w:tab/>
      </w:r>
      <w:r w:rsidRPr="008F03E5">
        <w:rPr>
          <w:u w:val="single"/>
        </w:rPr>
        <w:t>Sh</w:t>
      </w:r>
      <w:r w:rsidRPr="008F03E5">
        <w:t>áhpúr</w:t>
      </w:r>
      <w:r w:rsidRPr="008F03E5">
        <w:tab/>
        <w:t>Sasanian (Sásáníyán) kings and district in Fars</w:t>
      </w:r>
      <w:r>
        <w:t>.  Former name of Salm</w:t>
      </w:r>
      <w:r w:rsidRPr="00674BC6">
        <w:t>á</w:t>
      </w:r>
      <w:r>
        <w:t>s.</w:t>
      </w:r>
    </w:p>
    <w:p w14:paraId="5A411A9D" w14:textId="77777777" w:rsidR="00625A5B" w:rsidRPr="008F03E5" w:rsidRDefault="00625A5B" w:rsidP="00904448">
      <w:pPr>
        <w:pStyle w:val="Translit"/>
      </w:pPr>
      <w:r w:rsidRPr="008F03E5">
        <w:t>Shahr al-‘asal</w:t>
      </w:r>
      <w:r w:rsidRPr="008F03E5">
        <w:tab/>
      </w:r>
      <w:r w:rsidRPr="008F03E5">
        <w:rPr>
          <w:u w:val="single"/>
        </w:rPr>
        <w:t>Sh</w:t>
      </w:r>
      <w:r w:rsidRPr="008F03E5">
        <w:t>ahr al-‘asal</w:t>
      </w:r>
      <w:r w:rsidRPr="008F03E5">
        <w:tab/>
        <w:t>honeymoon</w:t>
      </w:r>
    </w:p>
    <w:p w14:paraId="0EA6CD1C" w14:textId="77777777" w:rsidR="00625A5B" w:rsidRPr="008F03E5" w:rsidRDefault="00625A5B" w:rsidP="00643FCC">
      <w:pPr>
        <w:pStyle w:val="Translit"/>
      </w:pPr>
      <w:r w:rsidRPr="008F03E5">
        <w:rPr>
          <w:rFonts w:eastAsia="Times New Roman"/>
        </w:rPr>
        <w:t>Shahr as-Sabr, Shahru’s-Sabr</w:t>
      </w:r>
      <w:r w:rsidRPr="008F03E5">
        <w:rPr>
          <w:rFonts w:eastAsia="Times New Roman"/>
        </w:rPr>
        <w:tab/>
      </w:r>
      <w:r w:rsidRPr="008F03E5">
        <w:rPr>
          <w:rFonts w:eastAsia="Times New Roman"/>
          <w:u w:val="single"/>
        </w:rPr>
        <w:t>Sh</w:t>
      </w:r>
      <w:r w:rsidRPr="008F03E5">
        <w:rPr>
          <w:rFonts w:eastAsia="Times New Roman"/>
        </w:rPr>
        <w:t xml:space="preserve">ahr aṣ-Ṣabr, </w:t>
      </w:r>
      <w:r w:rsidRPr="008F03E5">
        <w:rPr>
          <w:rFonts w:eastAsia="Times New Roman"/>
          <w:u w:val="single"/>
        </w:rPr>
        <w:t>Sh</w:t>
      </w:r>
      <w:r w:rsidRPr="008F03E5">
        <w:rPr>
          <w:rFonts w:eastAsia="Times New Roman"/>
        </w:rPr>
        <w:t>ahru’ṣ-Ṣabr</w:t>
      </w:r>
      <w:r w:rsidRPr="008F03E5">
        <w:rPr>
          <w:rFonts w:eastAsia="Times New Roman"/>
        </w:rPr>
        <w:tab/>
        <w:t>the month of patience, i.e. fasting</w:t>
      </w:r>
    </w:p>
    <w:p w14:paraId="30175702" w14:textId="77777777" w:rsidR="00625A5B" w:rsidRPr="008F03E5" w:rsidRDefault="00625A5B" w:rsidP="00813409">
      <w:pPr>
        <w:pStyle w:val="Translit"/>
      </w:pPr>
      <w:r w:rsidRPr="008F03E5">
        <w:t>Shahr, Ashur, Shuhur</w:t>
      </w:r>
      <w:r w:rsidRPr="008F03E5">
        <w:tab/>
      </w:r>
      <w:r w:rsidRPr="008F03E5">
        <w:rPr>
          <w:u w:val="single"/>
        </w:rPr>
        <w:t>Sh</w:t>
      </w:r>
      <w:r w:rsidRPr="008F03E5">
        <w:t>ahr, pl. A</w:t>
      </w:r>
      <w:r w:rsidRPr="008F03E5">
        <w:rPr>
          <w:u w:val="single"/>
        </w:rPr>
        <w:t>sh</w:t>
      </w:r>
      <w:r w:rsidRPr="008F03E5">
        <w:t xml:space="preserve">hur, </w:t>
      </w:r>
      <w:r w:rsidRPr="008F03E5">
        <w:rPr>
          <w:u w:val="single"/>
        </w:rPr>
        <w:t>Sh</w:t>
      </w:r>
      <w:r w:rsidRPr="008F03E5">
        <w:t>uhúr</w:t>
      </w:r>
      <w:r w:rsidRPr="008F03E5">
        <w:tab/>
        <w:t>new moon; month (especially lunar).  Pers. town, city.</w:t>
      </w:r>
    </w:p>
    <w:p w14:paraId="0A71A52C" w14:textId="77777777" w:rsidR="00625A5B" w:rsidRPr="008F03E5" w:rsidRDefault="00625A5B" w:rsidP="00643FCC">
      <w:pPr>
        <w:pStyle w:val="Translit"/>
      </w:pPr>
      <w:r w:rsidRPr="008F03E5">
        <w:t>Shahraban</w:t>
      </w:r>
      <w:r w:rsidRPr="008F03E5">
        <w:tab/>
      </w:r>
      <w:r w:rsidRPr="008F03E5">
        <w:rPr>
          <w:u w:val="single"/>
        </w:rPr>
        <w:t>Sh</w:t>
      </w:r>
      <w:r w:rsidRPr="008F03E5">
        <w:t>áhrabán</w:t>
      </w:r>
      <w:r w:rsidRPr="008F03E5">
        <w:tab/>
        <w:t xml:space="preserve">city, now al-Muqdádiyah, ‘Iráq.  80 km </w:t>
      </w:r>
      <w:r w:rsidRPr="008F03E5">
        <w:rPr>
          <w:sz w:val="16"/>
          <w:szCs w:val="16"/>
        </w:rPr>
        <w:t>NE</w:t>
      </w:r>
      <w:r w:rsidRPr="008F03E5">
        <w:t xml:space="preserve"> of Baghdad</w:t>
      </w:r>
    </w:p>
    <w:p w14:paraId="44DA3A5D" w14:textId="77777777" w:rsidR="00625A5B" w:rsidRPr="008F03E5" w:rsidRDefault="00625A5B" w:rsidP="00E62D1F">
      <w:pPr>
        <w:pStyle w:val="Translit"/>
      </w:pPr>
      <w:r w:rsidRPr="008F03E5">
        <w:t>Shahram</w:t>
      </w:r>
      <w:r w:rsidRPr="008F03E5">
        <w:tab/>
      </w:r>
      <w:r w:rsidRPr="008F03E5">
        <w:rPr>
          <w:u w:val="single"/>
        </w:rPr>
        <w:t>Sh</w:t>
      </w:r>
      <w:r w:rsidRPr="008F03E5">
        <w:t>ahrám</w:t>
      </w:r>
      <w:r w:rsidRPr="008F03E5">
        <w:tab/>
        <w:t>Pers. male name</w:t>
      </w:r>
    </w:p>
    <w:p w14:paraId="02FDD02A" w14:textId="77777777" w:rsidR="00625A5B" w:rsidRPr="008F03E5" w:rsidRDefault="00625A5B" w:rsidP="00A11BA7">
      <w:pPr>
        <w:pStyle w:val="Translit"/>
      </w:pPr>
      <w:r w:rsidRPr="008F03E5">
        <w:t>Shahrbanu (Shahribanu)</w:t>
      </w:r>
      <w:r w:rsidRPr="008F03E5">
        <w:tab/>
      </w:r>
      <w:r w:rsidRPr="008F03E5">
        <w:rPr>
          <w:u w:val="single"/>
        </w:rPr>
        <w:t>Sh</w:t>
      </w:r>
      <w:r w:rsidRPr="008F03E5">
        <w:t>ahrbánú</w:t>
      </w:r>
      <w:r w:rsidRPr="008F03E5">
        <w:tab/>
        <w:t xml:space="preserve">(Shehr Bano) “Lady of the Land”, one of the wives of Ḥusayn ibn ‘Alí, (grandson of Muḥammad and third Twelver </w:t>
      </w:r>
      <w:r w:rsidRPr="008F03E5">
        <w:rPr>
          <w:u w:val="single"/>
        </w:rPr>
        <w:t>Sh</w:t>
      </w:r>
      <w:r w:rsidRPr="008F03E5">
        <w:t xml:space="preserve">í‘ah Imám) and the mother of ‘Alí ibn Ḥusayn (the fourth Imámí-Twelver </w:t>
      </w:r>
      <w:r w:rsidRPr="008F03E5">
        <w:rPr>
          <w:u w:val="single"/>
        </w:rPr>
        <w:t>Sh</w:t>
      </w:r>
      <w:r w:rsidRPr="008F03E5">
        <w:t xml:space="preserve">í‘ah Imám).  </w:t>
      </w:r>
      <w:r w:rsidRPr="008F03E5">
        <w:rPr>
          <w:u w:val="single"/>
        </w:rPr>
        <w:t>Sh</w:t>
      </w:r>
      <w:r w:rsidRPr="008F03E5">
        <w:t>ahribánú in</w:t>
      </w:r>
      <w:r w:rsidRPr="008F03E5">
        <w:rPr>
          <w:u w:val="single"/>
        </w:rPr>
        <w:t xml:space="preserve"> </w:t>
      </w:r>
      <w:r w:rsidRPr="008F03E5">
        <w:rPr>
          <w:i/>
          <w:iCs/>
        </w:rPr>
        <w:t>The Dawn-Breakers,</w:t>
      </w:r>
      <w:r w:rsidRPr="008F03E5">
        <w:t xml:space="preserve"> p. lii, is incorrect.</w:t>
      </w:r>
    </w:p>
    <w:p w14:paraId="5E278E95" w14:textId="77777777" w:rsidR="00625A5B" w:rsidRPr="008F03E5" w:rsidRDefault="00625A5B" w:rsidP="00032EE3">
      <w:pPr>
        <w:pStyle w:val="Translit"/>
      </w:pPr>
      <w:r w:rsidRPr="008F03E5">
        <w:rPr>
          <w:rFonts w:eastAsia="Times New Roman"/>
        </w:rPr>
        <w:t>Shahrir, Shahriwar</w:t>
      </w:r>
      <w:r w:rsidRPr="008F03E5">
        <w:rPr>
          <w:rFonts w:eastAsia="Times New Roman"/>
        </w:rPr>
        <w:tab/>
      </w:r>
      <w:r w:rsidRPr="008F03E5">
        <w:rPr>
          <w:rFonts w:eastAsia="Times New Roman"/>
          <w:u w:val="single"/>
        </w:rPr>
        <w:t>Sh</w:t>
      </w:r>
      <w:r w:rsidRPr="008F03E5">
        <w:rPr>
          <w:rFonts w:eastAsia="Times New Roman"/>
        </w:rPr>
        <w:t xml:space="preserve">ahrír, </w:t>
      </w:r>
      <w:r w:rsidRPr="008F03E5">
        <w:rPr>
          <w:rFonts w:eastAsia="Times New Roman"/>
          <w:u w:val="single"/>
        </w:rPr>
        <w:t>Sh</w:t>
      </w:r>
      <w:r w:rsidRPr="008F03E5">
        <w:rPr>
          <w:rFonts w:eastAsia="Times New Roman"/>
        </w:rPr>
        <w:t>ahríwar</w:t>
      </w:r>
      <w:r w:rsidRPr="008F03E5">
        <w:rPr>
          <w:rFonts w:eastAsia="Times New Roman"/>
        </w:rPr>
        <w:tab/>
        <w:t>Pers. eighth Persian solar month; the fourth day of every month</w:t>
      </w:r>
    </w:p>
    <w:p w14:paraId="2E95D43B" w14:textId="77777777" w:rsidR="00625A5B" w:rsidRPr="008F03E5" w:rsidRDefault="00625A5B" w:rsidP="00C74903">
      <w:pPr>
        <w:pStyle w:val="Translit"/>
      </w:pPr>
      <w:r w:rsidRPr="008F03E5">
        <w:t>Shahr-i-Ray</w:t>
      </w:r>
      <w:r w:rsidRPr="008F03E5">
        <w:tab/>
      </w:r>
      <w:r w:rsidRPr="008F03E5">
        <w:rPr>
          <w:u w:val="single"/>
        </w:rPr>
        <w:t>Sh</w:t>
      </w:r>
      <w:r w:rsidRPr="008F03E5">
        <w:t>ahr-i-Ray</w:t>
      </w:r>
      <w:r w:rsidRPr="008F03E5">
        <w:tab/>
        <w:t xml:space="preserve">now a city on </w:t>
      </w:r>
      <w:r w:rsidRPr="008F03E5">
        <w:rPr>
          <w:sz w:val="16"/>
          <w:szCs w:val="16"/>
        </w:rPr>
        <w:t>SE</w:t>
      </w:r>
      <w:r w:rsidRPr="008F03E5">
        <w:t xml:space="preserve"> outshirts of Ṭihrán.  Formerly a village named after the saint </w:t>
      </w:r>
      <w:r w:rsidRPr="008F03E5">
        <w:rPr>
          <w:u w:val="single"/>
        </w:rPr>
        <w:t>Sh</w:t>
      </w:r>
      <w:r w:rsidRPr="008F03E5">
        <w:t>áh ‘Abdu’l-‘Aẓim or Ḥaḍrat-i-‘Abdu’l-‘Aẓim.</w:t>
      </w:r>
    </w:p>
    <w:p w14:paraId="44FBADB4" w14:textId="77777777" w:rsidR="00625A5B" w:rsidRPr="008F03E5" w:rsidRDefault="00625A5B" w:rsidP="00967858">
      <w:pPr>
        <w:pStyle w:val="Translit"/>
      </w:pPr>
      <w:r w:rsidRPr="008F03E5">
        <w:t>Shahristan</w:t>
      </w:r>
      <w:r w:rsidRPr="008F03E5">
        <w:tab/>
      </w:r>
      <w:r w:rsidRPr="008F03E5">
        <w:rPr>
          <w:u w:val="single"/>
        </w:rPr>
        <w:t>Sh</w:t>
      </w:r>
      <w:r w:rsidRPr="008F03E5">
        <w:t>ahristán</w:t>
      </w:r>
      <w:r w:rsidRPr="008F03E5">
        <w:tab/>
        <w:t>Pers. f</w:t>
      </w:r>
      <w:r w:rsidRPr="008F03E5">
        <w:rPr>
          <w:rFonts w:eastAsia="Times New Roman"/>
        </w:rPr>
        <w:t>ortifications around a city; a large fortified city</w:t>
      </w:r>
      <w:r w:rsidRPr="008F03E5">
        <w:t xml:space="preserve">.  </w:t>
      </w:r>
      <w:r w:rsidRPr="008F03E5">
        <w:rPr>
          <w:u w:val="single"/>
        </w:rPr>
        <w:t>Sh</w:t>
      </w:r>
      <w:r w:rsidRPr="008F03E5">
        <w:t xml:space="preserve">ahristán (Kah-Kakha, 39.7745° </w:t>
      </w:r>
      <w:r w:rsidRPr="008F03E5">
        <w:rPr>
          <w:sz w:val="16"/>
          <w:szCs w:val="16"/>
        </w:rPr>
        <w:t>N</w:t>
      </w:r>
      <w:r w:rsidRPr="008F03E5">
        <w:t xml:space="preserve"> 68.8093° </w:t>
      </w:r>
      <w:r w:rsidRPr="008F03E5">
        <w:rPr>
          <w:sz w:val="16"/>
          <w:szCs w:val="16"/>
        </w:rPr>
        <w:t>E</w:t>
      </w:r>
      <w:r w:rsidRPr="008F03E5">
        <w:t xml:space="preserve">) is an ancient town (until 7th century), just west of present day </w:t>
      </w:r>
      <w:r w:rsidRPr="008F03E5">
        <w:rPr>
          <w:u w:val="single"/>
        </w:rPr>
        <w:t>Sh</w:t>
      </w:r>
      <w:r w:rsidRPr="008F03E5">
        <w:t>ahristán in Tajikistan.</w:t>
      </w:r>
    </w:p>
    <w:p w14:paraId="0643BD2B" w14:textId="77777777" w:rsidR="00625A5B" w:rsidRPr="008F03E5" w:rsidRDefault="00625A5B" w:rsidP="00E6205E">
      <w:pPr>
        <w:pStyle w:val="Translit"/>
      </w:pPr>
      <w:r w:rsidRPr="008F03E5">
        <w:t>Shahristani</w:t>
      </w:r>
      <w:r w:rsidRPr="008F03E5">
        <w:tab/>
      </w:r>
      <w:r w:rsidRPr="008F03E5">
        <w:rPr>
          <w:u w:val="single"/>
        </w:rPr>
        <w:t>Sh</w:t>
      </w:r>
      <w:r w:rsidRPr="008F03E5">
        <w:t>ahristání</w:t>
      </w:r>
      <w:r w:rsidRPr="008F03E5">
        <w:tab/>
        <w:t>Táj ad-Dín Abú al-Fatḥ Muḥammad ibn ‘Abd al-Karím a</w:t>
      </w:r>
      <w:r w:rsidRPr="008F03E5">
        <w:rPr>
          <w:u w:val="single"/>
        </w:rPr>
        <w:t>sh</w:t>
      </w:r>
      <w:r w:rsidRPr="008F03E5">
        <w:t>-</w:t>
      </w:r>
      <w:r w:rsidRPr="008F03E5">
        <w:rPr>
          <w:u w:val="single"/>
        </w:rPr>
        <w:t>Sh</w:t>
      </w:r>
      <w:r w:rsidRPr="008F03E5">
        <w:t>ahrastání (1086–1153), also known as Muḥammad a</w:t>
      </w:r>
      <w:r w:rsidRPr="008F03E5">
        <w:rPr>
          <w:u w:val="single"/>
        </w:rPr>
        <w:t>sh</w:t>
      </w:r>
      <w:r w:rsidRPr="008F03E5">
        <w:t>-</w:t>
      </w:r>
      <w:r w:rsidRPr="008F03E5">
        <w:rPr>
          <w:u w:val="single"/>
        </w:rPr>
        <w:t>Sh</w:t>
      </w:r>
      <w:r w:rsidRPr="008F03E5">
        <w:t>ahrastání, was an influential Persian historian of religions, a historiographer, Islamic scholar, philosopher and theologian.</w:t>
      </w:r>
    </w:p>
    <w:p w14:paraId="6FBCC7E0" w14:textId="77777777" w:rsidR="00625A5B" w:rsidRPr="008F03E5" w:rsidRDefault="00625A5B" w:rsidP="00D13E46">
      <w:pPr>
        <w:pStyle w:val="Translit"/>
      </w:pPr>
      <w:r w:rsidRPr="008F03E5">
        <w:t>Shahrnush Parsipur (Parsi’pur, Parsi pur)</w:t>
      </w:r>
      <w:r w:rsidRPr="008F03E5">
        <w:tab/>
      </w:r>
      <w:r w:rsidRPr="008F03E5">
        <w:rPr>
          <w:u w:val="single"/>
        </w:rPr>
        <w:t>Sh</w:t>
      </w:r>
      <w:r w:rsidRPr="008F03E5">
        <w:t>ahrnú</w:t>
      </w:r>
      <w:r w:rsidRPr="008F03E5">
        <w:rPr>
          <w:u w:val="single"/>
        </w:rPr>
        <w:t>sh</w:t>
      </w:r>
      <w:r w:rsidRPr="008F03E5">
        <w:t xml:space="preserve"> Pársí púr</w:t>
      </w:r>
      <w:r w:rsidRPr="008F03E5">
        <w:tab/>
        <w:t>(</w:t>
      </w:r>
      <w:r w:rsidRPr="008F03E5">
        <w:rPr>
          <w:rtl/>
        </w:rPr>
        <w:t>شهرنوش پارسی پور</w:t>
      </w:r>
      <w:r w:rsidRPr="008F03E5">
        <w:rPr>
          <w:cs/>
        </w:rPr>
        <w:t>‎</w:t>
      </w:r>
      <w:r w:rsidRPr="008F03E5">
        <w:t>) Iranian woman writer (1946–)</w:t>
      </w:r>
    </w:p>
    <w:p w14:paraId="384CD17D" w14:textId="77777777" w:rsidR="00625A5B" w:rsidRPr="008F03E5" w:rsidRDefault="00625A5B" w:rsidP="003653D1">
      <w:pPr>
        <w:pStyle w:val="Translit"/>
      </w:pPr>
      <w:r w:rsidRPr="008F03E5">
        <w:t>Shah-Rud (Shahrud)</w:t>
      </w:r>
      <w:r w:rsidRPr="008F03E5">
        <w:tab/>
      </w:r>
      <w:r w:rsidRPr="008F03E5">
        <w:rPr>
          <w:u w:val="single"/>
        </w:rPr>
        <w:t>Sh</w:t>
      </w:r>
      <w:r w:rsidRPr="008F03E5">
        <w:t>áh-Rúd (</w:t>
      </w:r>
      <w:r w:rsidRPr="008F03E5">
        <w:rPr>
          <w:u w:val="single"/>
        </w:rPr>
        <w:t>Sh</w:t>
      </w:r>
      <w:r w:rsidRPr="008F03E5">
        <w:t>áhrúd)</w:t>
      </w:r>
      <w:r w:rsidRPr="008F03E5">
        <w:tab/>
        <w:t xml:space="preserve">Pers. a mighty river; name of a river; also of a city; the thickest cord of a musical instrument; name of a musical instrument.  </w:t>
      </w:r>
      <w:r>
        <w:t>C</w:t>
      </w:r>
      <w:r w:rsidRPr="008F03E5">
        <w:t xml:space="preserve">ity </w:t>
      </w:r>
      <w:r>
        <w:t>(</w:t>
      </w:r>
      <w:r w:rsidRPr="003653D1">
        <w:t>36.418352, 54.969676</w:t>
      </w:r>
      <w:r>
        <w:t xml:space="preserve">) </w:t>
      </w:r>
      <w:r w:rsidRPr="008F03E5">
        <w:t xml:space="preserve">330 km </w:t>
      </w:r>
      <w:r w:rsidRPr="00417520">
        <w:rPr>
          <w:sz w:val="16"/>
          <w:szCs w:val="16"/>
        </w:rPr>
        <w:t>E</w:t>
      </w:r>
      <w:r w:rsidRPr="008F03E5">
        <w:rPr>
          <w:sz w:val="16"/>
          <w:szCs w:val="16"/>
        </w:rPr>
        <w:t>NE</w:t>
      </w:r>
      <w:r w:rsidRPr="008F03E5">
        <w:t xml:space="preserve"> of Teheran.</w:t>
      </w:r>
    </w:p>
    <w:p w14:paraId="760D7EA6" w14:textId="77777777" w:rsidR="00625A5B" w:rsidRPr="008F03E5" w:rsidRDefault="00625A5B" w:rsidP="00213DC6">
      <w:pPr>
        <w:pStyle w:val="Translit"/>
      </w:pPr>
      <w:r w:rsidRPr="008F03E5">
        <w:rPr>
          <w:rFonts w:eastAsia="Times New Roman"/>
        </w:rPr>
        <w:t>Shah-Rukh (Shahrukh)</w:t>
      </w:r>
      <w:r w:rsidRPr="008F03E5">
        <w:rPr>
          <w:rFonts w:eastAsia="Times New Roman"/>
        </w:rPr>
        <w:tab/>
      </w:r>
      <w:r w:rsidRPr="008F03E5">
        <w:rPr>
          <w:rFonts w:eastAsia="Times New Roman"/>
          <w:u w:val="single"/>
        </w:rPr>
        <w:t>Sh</w:t>
      </w:r>
      <w:r w:rsidRPr="008F03E5">
        <w:rPr>
          <w:rFonts w:eastAsia="Times New Roman"/>
        </w:rPr>
        <w:t>áh-Ru</w:t>
      </w:r>
      <w:r w:rsidRPr="008F03E5">
        <w:rPr>
          <w:rFonts w:eastAsia="Times New Roman"/>
          <w:u w:val="single"/>
        </w:rPr>
        <w:t>kh</w:t>
      </w:r>
      <w:r w:rsidRPr="008F03E5">
        <w:rPr>
          <w:rFonts w:eastAsia="Times New Roman"/>
        </w:rPr>
        <w:t xml:space="preserve"> (</w:t>
      </w:r>
      <w:r w:rsidRPr="008F03E5">
        <w:rPr>
          <w:rFonts w:eastAsia="Times New Roman"/>
          <w:u w:val="single"/>
        </w:rPr>
        <w:t>Sh</w:t>
      </w:r>
      <w:r w:rsidRPr="008F03E5">
        <w:rPr>
          <w:rFonts w:eastAsia="Times New Roman"/>
        </w:rPr>
        <w:t>áhru</w:t>
      </w:r>
      <w:r w:rsidRPr="008F03E5">
        <w:rPr>
          <w:rFonts w:eastAsia="Times New Roman"/>
          <w:u w:val="single"/>
        </w:rPr>
        <w:t>kh</w:t>
      </w:r>
      <w:r w:rsidRPr="008F03E5">
        <w:rPr>
          <w:rFonts w:eastAsia="Times New Roman"/>
        </w:rPr>
        <w:t>)</w:t>
      </w:r>
      <w:r w:rsidRPr="008F03E5">
        <w:rPr>
          <w:rFonts w:eastAsia="Times New Roman"/>
        </w:rPr>
        <w:tab/>
        <w:t>Pers. rhinoceros horn; the rooks in chess; a title given to the sons of nobility; name of a son of Tímúr.</w:t>
      </w:r>
    </w:p>
    <w:p w14:paraId="7EC0A920" w14:textId="77777777" w:rsidR="00625A5B" w:rsidRPr="008F03E5" w:rsidRDefault="00625A5B" w:rsidP="006D2735">
      <w:pPr>
        <w:pStyle w:val="Translit"/>
      </w:pPr>
      <w:r w:rsidRPr="008F03E5">
        <w:t>Shahsavar, Shahsawar</w:t>
      </w:r>
      <w:r w:rsidRPr="008F03E5">
        <w:tab/>
      </w:r>
      <w:r w:rsidRPr="008F03E5">
        <w:rPr>
          <w:u w:val="single"/>
        </w:rPr>
        <w:t>Sh</w:t>
      </w:r>
      <w:r w:rsidRPr="008F03E5">
        <w:t xml:space="preserve">ahsavár, </w:t>
      </w:r>
      <w:r w:rsidRPr="008F03E5">
        <w:rPr>
          <w:u w:val="single"/>
        </w:rPr>
        <w:t>Sh</w:t>
      </w:r>
      <w:r w:rsidRPr="008F03E5">
        <w:t>ahsawár</w:t>
      </w:r>
      <w:r w:rsidRPr="008F03E5">
        <w:tab/>
        <w:t>name of a number of places in Iran.  Former name of Tunukábán.</w:t>
      </w:r>
    </w:p>
    <w:p w14:paraId="4025365F" w14:textId="77777777" w:rsidR="00625A5B" w:rsidRPr="008F03E5" w:rsidRDefault="00625A5B" w:rsidP="003109B6">
      <w:pPr>
        <w:pStyle w:val="Translit"/>
      </w:pPr>
      <w:r w:rsidRPr="008F03E5">
        <w:t>Shahsawan, Shahsavan, Shahsun</w:t>
      </w:r>
      <w:r w:rsidRPr="008F03E5">
        <w:tab/>
      </w:r>
      <w:r w:rsidRPr="008F03E5">
        <w:rPr>
          <w:u w:val="single"/>
        </w:rPr>
        <w:t>Sh</w:t>
      </w:r>
      <w:r w:rsidRPr="008F03E5">
        <w:t xml:space="preserve">áhsawan or </w:t>
      </w:r>
      <w:r w:rsidRPr="008F03E5">
        <w:rPr>
          <w:u w:val="single"/>
        </w:rPr>
        <w:t>Sh</w:t>
      </w:r>
      <w:r w:rsidRPr="008F03E5">
        <w:t>áhsún</w:t>
      </w:r>
      <w:r w:rsidRPr="008F03E5">
        <w:tab/>
        <w:t xml:space="preserve">(Pers. </w:t>
      </w:r>
      <w:r w:rsidRPr="008F03E5">
        <w:rPr>
          <w:rtl/>
        </w:rPr>
        <w:t>شاهسون</w:t>
      </w:r>
      <w:r w:rsidRPr="008F03E5">
        <w:t xml:space="preserve">) a side (as in supporter) of the </w:t>
      </w:r>
      <w:r w:rsidRPr="008F03E5">
        <w:rPr>
          <w:u w:val="single"/>
        </w:rPr>
        <w:t>Sh</w:t>
      </w:r>
      <w:r w:rsidRPr="008F03E5">
        <w:t xml:space="preserve">áh; </w:t>
      </w:r>
      <w:r w:rsidRPr="008F03E5">
        <w:rPr>
          <w:u w:val="single"/>
        </w:rPr>
        <w:t>Sh</w:t>
      </w:r>
      <w:r w:rsidRPr="008F03E5">
        <w:t xml:space="preserve">áhsawan, a village (34.468397, 47.644854) in Kermanshah Province, Iran; Mírpasand; also known as </w:t>
      </w:r>
      <w:r w:rsidRPr="008F03E5">
        <w:rPr>
          <w:u w:val="single"/>
        </w:rPr>
        <w:t>Sh</w:t>
      </w:r>
      <w:r w:rsidRPr="008F03E5">
        <w:t xml:space="preserve">áhsavan, </w:t>
      </w:r>
      <w:r w:rsidRPr="008F03E5">
        <w:rPr>
          <w:u w:val="single"/>
        </w:rPr>
        <w:t>Sh</w:t>
      </w:r>
      <w:r w:rsidRPr="008F03E5">
        <w:t xml:space="preserve">áhsavand and </w:t>
      </w:r>
      <w:r w:rsidRPr="008F03E5">
        <w:rPr>
          <w:u w:val="single"/>
        </w:rPr>
        <w:t>Sh</w:t>
      </w:r>
      <w:r w:rsidRPr="008F03E5">
        <w:t>áhsún, a village (35.350497, 59.817741) in Razavi Khorasan Province, Iran</w:t>
      </w:r>
    </w:p>
    <w:p w14:paraId="6EA3BD31" w14:textId="77777777" w:rsidR="00625A5B" w:rsidRPr="008F03E5" w:rsidRDefault="00625A5B" w:rsidP="007E3964">
      <w:pPr>
        <w:pStyle w:val="Translit"/>
      </w:pPr>
      <w:r w:rsidRPr="008F03E5">
        <w:t>Shahwa, Shahawat</w:t>
      </w:r>
      <w:r w:rsidRPr="008F03E5">
        <w:tab/>
      </w:r>
      <w:r w:rsidRPr="008F03E5">
        <w:rPr>
          <w:u w:val="single"/>
        </w:rPr>
        <w:t>Sh</w:t>
      </w:r>
      <w:r w:rsidRPr="008F03E5">
        <w:t xml:space="preserve">ahwa, pl. </w:t>
      </w:r>
      <w:r w:rsidRPr="008F03E5">
        <w:rPr>
          <w:u w:val="single"/>
        </w:rPr>
        <w:t>Sh</w:t>
      </w:r>
      <w:r w:rsidRPr="008F03E5">
        <w:t>ahawát</w:t>
      </w:r>
      <w:r w:rsidRPr="008F03E5">
        <w:tab/>
        <w:t>greed, craving, desire, ardent wish, longing, yearning, eagerness, passion, carnal appetite, lust; appetite</w:t>
      </w:r>
    </w:p>
    <w:p w14:paraId="1A9DE31C" w14:textId="77777777" w:rsidR="00625A5B" w:rsidRPr="008F03E5" w:rsidRDefault="00625A5B" w:rsidP="00BE77AF">
      <w:pPr>
        <w:pStyle w:val="Translit"/>
      </w:pPr>
      <w:r w:rsidRPr="008F03E5">
        <w:rPr>
          <w:rFonts w:eastAsia="Times New Roman"/>
        </w:rPr>
        <w:t>Shah-Zada (Shah-Zadih), Shahzada</w:t>
      </w:r>
      <w:r w:rsidRPr="008F03E5">
        <w:rPr>
          <w:rFonts w:eastAsia="Times New Roman"/>
        </w:rPr>
        <w:tab/>
      </w:r>
      <w:r w:rsidRPr="008F03E5">
        <w:rPr>
          <w:rFonts w:eastAsia="Times New Roman"/>
          <w:u w:val="single"/>
        </w:rPr>
        <w:t>Sh</w:t>
      </w:r>
      <w:r w:rsidRPr="008F03E5">
        <w:rPr>
          <w:rFonts w:eastAsia="Times New Roman"/>
        </w:rPr>
        <w:t xml:space="preserve">áh-záda, </w:t>
      </w:r>
      <w:r w:rsidRPr="008F03E5">
        <w:rPr>
          <w:rFonts w:eastAsia="Times New Roman"/>
          <w:u w:val="single"/>
        </w:rPr>
        <w:t>Sh</w:t>
      </w:r>
      <w:r w:rsidRPr="008F03E5">
        <w:rPr>
          <w:rFonts w:eastAsia="Times New Roman"/>
        </w:rPr>
        <w:t>áhzáda</w:t>
      </w:r>
      <w:r w:rsidRPr="008F03E5">
        <w:rPr>
          <w:rFonts w:eastAsia="Times New Roman"/>
        </w:rPr>
        <w:tab/>
        <w:t xml:space="preserve">Pers. king’s son, heir-apparent.  Fem. </w:t>
      </w:r>
      <w:r w:rsidRPr="008F03E5">
        <w:rPr>
          <w:rFonts w:eastAsia="Times New Roman"/>
          <w:u w:val="single"/>
        </w:rPr>
        <w:t>sh</w:t>
      </w:r>
      <w:r w:rsidRPr="008F03E5">
        <w:rPr>
          <w:rFonts w:eastAsia="Times New Roman"/>
        </w:rPr>
        <w:t>áh-záda-</w:t>
      </w:r>
      <w:r w:rsidRPr="008F03E5">
        <w:rPr>
          <w:rFonts w:eastAsia="Times New Roman"/>
          <w:u w:val="single"/>
        </w:rPr>
        <w:t>kh</w:t>
      </w:r>
      <w:r w:rsidRPr="008F03E5">
        <w:rPr>
          <w:rFonts w:eastAsia="Times New Roman"/>
        </w:rPr>
        <w:t>ánum.</w:t>
      </w:r>
      <w:r w:rsidRPr="008F03E5">
        <w:t xml:space="preserve"> —pl. </w:t>
      </w:r>
      <w:r w:rsidRPr="008F03E5">
        <w:rPr>
          <w:u w:val="single"/>
        </w:rPr>
        <w:t>Sh</w:t>
      </w:r>
      <w:r w:rsidRPr="008F03E5">
        <w:t>áh-Zádagán.</w:t>
      </w:r>
    </w:p>
    <w:p w14:paraId="361E68A3" w14:textId="77777777" w:rsidR="00625A5B" w:rsidRPr="008F03E5" w:rsidRDefault="00625A5B" w:rsidP="005E6E13">
      <w:pPr>
        <w:pStyle w:val="Translit"/>
      </w:pPr>
      <w:r w:rsidRPr="005E6E13">
        <w:t>Shajar, Shajara, Ashjar, Shajarat</w:t>
      </w:r>
      <w:r w:rsidRPr="008F03E5">
        <w:tab/>
      </w:r>
      <w:r w:rsidRPr="008F03E5">
        <w:rPr>
          <w:u w:val="single"/>
        </w:rPr>
        <w:t>Sh</w:t>
      </w:r>
      <w:r w:rsidRPr="008F03E5">
        <w:t xml:space="preserve">ajar, </w:t>
      </w:r>
      <w:r>
        <w:t xml:space="preserve">fem. </w:t>
      </w:r>
      <w:r w:rsidRPr="00291EAC">
        <w:rPr>
          <w:u w:val="single"/>
          <w:lang w:val="en-AU"/>
        </w:rPr>
        <w:t>Sh</w:t>
      </w:r>
      <w:r w:rsidRPr="00291EAC">
        <w:rPr>
          <w:lang w:val="en-AU"/>
        </w:rPr>
        <w:t>ajara[h</w:t>
      </w:r>
      <w:r>
        <w:rPr>
          <w:lang w:val="en-AU"/>
        </w:rPr>
        <w:t xml:space="preserve"> or t</w:t>
      </w:r>
      <w:r w:rsidRPr="00291EAC">
        <w:rPr>
          <w:lang w:val="en-AU"/>
        </w:rPr>
        <w:t>]</w:t>
      </w:r>
      <w:r>
        <w:rPr>
          <w:lang w:val="en-AU"/>
        </w:rPr>
        <w:tab/>
        <w:t>(</w:t>
      </w:r>
      <w:r w:rsidRPr="008F03E5">
        <w:t>pl. A</w:t>
      </w:r>
      <w:r w:rsidRPr="008F03E5">
        <w:rPr>
          <w:u w:val="single"/>
        </w:rPr>
        <w:t>sh</w:t>
      </w:r>
      <w:r w:rsidRPr="008F03E5">
        <w:t>jár</w:t>
      </w:r>
      <w:r>
        <w:t xml:space="preserve">, fem. </w:t>
      </w:r>
      <w:r w:rsidRPr="008F03E5">
        <w:rPr>
          <w:u w:val="single"/>
        </w:rPr>
        <w:t>Sh</w:t>
      </w:r>
      <w:r w:rsidRPr="008F03E5">
        <w:t>ajarát</w:t>
      </w:r>
      <w:r>
        <w:t xml:space="preserve">) </w:t>
      </w:r>
      <w:r w:rsidRPr="008F03E5">
        <w:t xml:space="preserve">(collective; </w:t>
      </w:r>
      <w:r w:rsidRPr="008F03E5">
        <w:rPr>
          <w:i/>
          <w:iCs/>
        </w:rPr>
        <w:t>nomen unitatis</w:t>
      </w:r>
      <w:r w:rsidRPr="005E6E13">
        <w:t xml:space="preserve">, </w:t>
      </w:r>
      <w:r w:rsidRPr="005E6E13">
        <w:rPr>
          <w:rFonts w:hint="eastAsia"/>
          <w:rtl/>
        </w:rPr>
        <w:t>ة</w:t>
      </w:r>
      <w:r w:rsidRPr="008F03E5">
        <w:t>) trees; shrubs, bushes</w:t>
      </w:r>
      <w:r>
        <w:t xml:space="preserve">;—fem. a </w:t>
      </w:r>
      <w:r w:rsidRPr="008F03E5">
        <w:t>tree; shrub, bush</w:t>
      </w:r>
      <w:r>
        <w:t xml:space="preserve">; </w:t>
      </w:r>
      <w:r w:rsidRPr="00AF4D34">
        <w:rPr>
          <w:rFonts w:eastAsia="Times New Roman"/>
        </w:rPr>
        <w:t>a genealogical tree</w:t>
      </w:r>
      <w:r>
        <w:rPr>
          <w:rFonts w:eastAsia="Times New Roman"/>
        </w:rPr>
        <w:t xml:space="preserve">.  Pers. </w:t>
      </w:r>
      <w:r w:rsidRPr="00291EAC">
        <w:rPr>
          <w:u w:val="single"/>
          <w:lang w:val="en-AU"/>
        </w:rPr>
        <w:t>Sh</w:t>
      </w:r>
      <w:r w:rsidRPr="00291EAC">
        <w:rPr>
          <w:lang w:val="en-AU"/>
        </w:rPr>
        <w:t>ajara</w:t>
      </w:r>
      <w:r w:rsidRPr="009B6D56">
        <w:rPr>
          <w:lang w:val="en-AU"/>
        </w:rPr>
        <w:t xml:space="preserve">h.  </w:t>
      </w:r>
      <w:r w:rsidRPr="00291EAC">
        <w:rPr>
          <w:u w:val="single"/>
          <w:lang w:val="en-AU"/>
        </w:rPr>
        <w:t>Sh</w:t>
      </w:r>
      <w:r w:rsidRPr="00291EAC">
        <w:rPr>
          <w:lang w:val="en-AU"/>
        </w:rPr>
        <w:t>ajara</w:t>
      </w:r>
      <w:r>
        <w:rPr>
          <w:lang w:val="en-AU"/>
        </w:rPr>
        <w:t xml:space="preserve"> </w:t>
      </w:r>
      <w:r w:rsidRPr="008E3897">
        <w:rPr>
          <w:lang w:val="en-AU"/>
        </w:rPr>
        <w:t>an-nasab genealogical tree</w:t>
      </w:r>
      <w:r>
        <w:rPr>
          <w:lang w:val="en-AU"/>
        </w:rPr>
        <w:t>.</w:t>
      </w:r>
    </w:p>
    <w:p w14:paraId="47A10949" w14:textId="77777777" w:rsidR="00625A5B" w:rsidRPr="008F03E5" w:rsidRDefault="00625A5B" w:rsidP="00B411A6">
      <w:pPr>
        <w:pStyle w:val="Translit"/>
      </w:pPr>
      <w:r w:rsidRPr="008F03E5">
        <w:t>Shajara-i-Awwaliya</w:t>
      </w:r>
      <w:r w:rsidRPr="008F03E5">
        <w:tab/>
      </w:r>
      <w:r w:rsidRPr="008F03E5">
        <w:rPr>
          <w:u w:val="single"/>
        </w:rPr>
        <w:t>Sh</w:t>
      </w:r>
      <w:r w:rsidRPr="008F03E5">
        <w:t>ajara-i-Awwalíya</w:t>
      </w:r>
      <w:r w:rsidRPr="008F03E5">
        <w:tab/>
        <w:t>“the Primal Tree”—a Prophet of God</w:t>
      </w:r>
    </w:p>
    <w:p w14:paraId="07EE07B8" w14:textId="77777777" w:rsidR="00625A5B" w:rsidRPr="008F03E5" w:rsidRDefault="00625A5B" w:rsidP="00BF5C6C">
      <w:pPr>
        <w:pStyle w:val="Translit"/>
      </w:pPr>
      <w:r w:rsidRPr="008F03E5">
        <w:t>Shajara-i-Haqiqat</w:t>
      </w:r>
      <w:r w:rsidRPr="008F03E5">
        <w:tab/>
      </w:r>
      <w:r w:rsidRPr="008F03E5">
        <w:rPr>
          <w:u w:val="single"/>
        </w:rPr>
        <w:t>Sh</w:t>
      </w:r>
      <w:r w:rsidRPr="008F03E5">
        <w:t>ajara-i-Ḥaqíqat</w:t>
      </w:r>
      <w:r w:rsidRPr="008F03E5">
        <w:tab/>
        <w:t>“the Tree of divine Reality”—a Prophet of God</w:t>
      </w:r>
    </w:p>
    <w:p w14:paraId="51AADB49" w14:textId="77777777" w:rsidR="00625A5B" w:rsidRPr="008F03E5" w:rsidRDefault="00625A5B" w:rsidP="00B20240">
      <w:pPr>
        <w:pStyle w:val="Translit"/>
      </w:pPr>
      <w:r w:rsidRPr="008F03E5">
        <w:t>Shakar, Shakkar (Shikkar)</w:t>
      </w:r>
      <w:r w:rsidRPr="008F03E5">
        <w:tab/>
      </w:r>
      <w:r w:rsidRPr="008F03E5">
        <w:rPr>
          <w:u w:val="single"/>
        </w:rPr>
        <w:t>Sh</w:t>
      </w:r>
      <w:r w:rsidRPr="008F03E5">
        <w:t xml:space="preserve">akar, </w:t>
      </w:r>
      <w:r w:rsidRPr="008F03E5">
        <w:rPr>
          <w:u w:val="single"/>
        </w:rPr>
        <w:t>Sh</w:t>
      </w:r>
      <w:r w:rsidRPr="008F03E5">
        <w:t>akkar</w:t>
      </w:r>
      <w:r w:rsidRPr="008F03E5">
        <w:tab/>
        <w:t>Pers. sugar; sweet words</w:t>
      </w:r>
    </w:p>
    <w:p w14:paraId="22AB5743" w14:textId="77777777" w:rsidR="00625A5B" w:rsidRPr="008F03E5" w:rsidRDefault="00625A5B" w:rsidP="001B54D1">
      <w:pPr>
        <w:pStyle w:val="Translit"/>
      </w:pPr>
      <w:r w:rsidRPr="008F03E5">
        <w:t>Shakara, Shukr, Shukran</w:t>
      </w:r>
      <w:r w:rsidRPr="008F03E5">
        <w:tab/>
      </w:r>
      <w:r w:rsidRPr="008F03E5">
        <w:rPr>
          <w:u w:val="single"/>
        </w:rPr>
        <w:t>Sh</w:t>
      </w:r>
      <w:r w:rsidRPr="008F03E5">
        <w:t xml:space="preserve">akara, </w:t>
      </w:r>
      <w:r w:rsidRPr="008F03E5">
        <w:rPr>
          <w:u w:val="single"/>
        </w:rPr>
        <w:t>Sh</w:t>
      </w:r>
      <w:r w:rsidRPr="008F03E5">
        <w:t xml:space="preserve">ukr, </w:t>
      </w:r>
      <w:r w:rsidRPr="008F03E5">
        <w:rPr>
          <w:u w:val="single"/>
        </w:rPr>
        <w:t>Sh</w:t>
      </w:r>
      <w:r w:rsidRPr="008F03E5">
        <w:t>ukrán</w:t>
      </w:r>
      <w:r w:rsidRPr="008F03E5">
        <w:tab/>
        <w:t>to thank (someone or someone for something), be thankful, grateful (for something); to praise, laud, extol (someone)</w:t>
      </w:r>
    </w:p>
    <w:p w14:paraId="223F73B8" w14:textId="77777777" w:rsidR="00625A5B" w:rsidRPr="008F03E5" w:rsidRDefault="00625A5B" w:rsidP="006A330C">
      <w:pPr>
        <w:pStyle w:val="Translit"/>
      </w:pPr>
      <w:r w:rsidRPr="008F03E5">
        <w:t>Shakha, Shayakh, Shuyukha</w:t>
      </w:r>
      <w:r w:rsidRPr="008F03E5">
        <w:tab/>
      </w:r>
      <w:r w:rsidRPr="008F03E5">
        <w:rPr>
          <w:u w:val="single"/>
        </w:rPr>
        <w:t>Sh</w:t>
      </w:r>
      <w:r w:rsidRPr="008F03E5">
        <w:t>á</w:t>
      </w:r>
      <w:r w:rsidRPr="008F03E5">
        <w:rPr>
          <w:u w:val="single"/>
        </w:rPr>
        <w:t>kh</w:t>
      </w:r>
      <w:r w:rsidRPr="008F03E5">
        <w:t xml:space="preserve">a, </w:t>
      </w:r>
      <w:r w:rsidRPr="008F03E5">
        <w:rPr>
          <w:u w:val="single"/>
        </w:rPr>
        <w:t>Sh</w:t>
      </w:r>
      <w:r w:rsidRPr="008F03E5">
        <w:t>aya</w:t>
      </w:r>
      <w:r w:rsidRPr="008F03E5">
        <w:rPr>
          <w:u w:val="single"/>
        </w:rPr>
        <w:t>kh</w:t>
      </w:r>
      <w:r w:rsidRPr="008F03E5">
        <w:t xml:space="preserve">, </w:t>
      </w:r>
      <w:r w:rsidRPr="008F03E5">
        <w:rPr>
          <w:u w:val="single"/>
        </w:rPr>
        <w:t>Sh</w:t>
      </w:r>
      <w:r w:rsidRPr="008F03E5">
        <w:t>uyú</w:t>
      </w:r>
      <w:r w:rsidRPr="008F03E5">
        <w:rPr>
          <w:u w:val="single"/>
        </w:rPr>
        <w:t>kh</w:t>
      </w:r>
      <w:r w:rsidRPr="008F03E5">
        <w:t>a</w:t>
      </w:r>
      <w:r w:rsidRPr="008F03E5">
        <w:tab/>
        <w:t xml:space="preserve">to age, grow old; to attain a venerable age.  Also </w:t>
      </w:r>
      <w:r w:rsidRPr="008F03E5">
        <w:rPr>
          <w:u w:val="single"/>
        </w:rPr>
        <w:t>Sh</w:t>
      </w:r>
      <w:r w:rsidRPr="008F03E5">
        <w:t>ay</w:t>
      </w:r>
      <w:r w:rsidRPr="008F03E5">
        <w:rPr>
          <w:u w:val="single"/>
        </w:rPr>
        <w:t>kh</w:t>
      </w:r>
      <w:r w:rsidRPr="008F03E5">
        <w:t>ú</w:t>
      </w:r>
      <w:r w:rsidRPr="008F03E5">
        <w:rPr>
          <w:u w:val="single"/>
        </w:rPr>
        <w:t>kh</w:t>
      </w:r>
      <w:r w:rsidRPr="008F03E5">
        <w:t>a (Shaykhukha)</w:t>
      </w:r>
    </w:p>
    <w:p w14:paraId="77470D2B" w14:textId="77777777" w:rsidR="00625A5B" w:rsidRPr="008F03E5" w:rsidRDefault="00625A5B" w:rsidP="003C20DC">
      <w:pPr>
        <w:pStyle w:val="Translit"/>
      </w:pPr>
      <w:r w:rsidRPr="008F03E5">
        <w:t>Shakhiyan</w:t>
      </w:r>
      <w:r w:rsidRPr="008F03E5">
        <w:tab/>
      </w:r>
      <w:r w:rsidRPr="008F03E5">
        <w:rPr>
          <w:u w:val="single"/>
        </w:rPr>
        <w:t>Sh</w:t>
      </w:r>
      <w:r w:rsidRPr="008F03E5">
        <w:t>a</w:t>
      </w:r>
      <w:r w:rsidRPr="008F03E5">
        <w:rPr>
          <w:u w:val="single"/>
        </w:rPr>
        <w:t>kh</w:t>
      </w:r>
      <w:r w:rsidRPr="008F03E5">
        <w:t>ṣíyan</w:t>
      </w:r>
      <w:r w:rsidRPr="008F03E5">
        <w:tab/>
        <w:t>personally</w:t>
      </w:r>
    </w:p>
    <w:p w14:paraId="7BD114B7" w14:textId="77777777" w:rsidR="00625A5B" w:rsidRPr="008F03E5" w:rsidRDefault="00625A5B" w:rsidP="003C20DC">
      <w:pPr>
        <w:pStyle w:val="Translit"/>
      </w:pPr>
      <w:r w:rsidRPr="008F03E5">
        <w:t>Shakhs, Ashkhas, Shukhus</w:t>
      </w:r>
      <w:r w:rsidRPr="008F03E5">
        <w:tab/>
      </w:r>
      <w:r w:rsidRPr="008F03E5">
        <w:rPr>
          <w:u w:val="single"/>
        </w:rPr>
        <w:t>Sh</w:t>
      </w:r>
      <w:r w:rsidRPr="008F03E5">
        <w:t>a</w:t>
      </w:r>
      <w:r w:rsidRPr="008F03E5">
        <w:rPr>
          <w:u w:val="single"/>
        </w:rPr>
        <w:t>kh</w:t>
      </w:r>
      <w:r w:rsidRPr="008F03E5">
        <w:t>ṣ, pl. A</w:t>
      </w:r>
      <w:r w:rsidRPr="008F03E5">
        <w:rPr>
          <w:u w:val="single"/>
        </w:rPr>
        <w:t>shkh</w:t>
      </w:r>
      <w:r w:rsidRPr="008F03E5">
        <w:t xml:space="preserve">áṣ, </w:t>
      </w:r>
      <w:r w:rsidRPr="008F03E5">
        <w:rPr>
          <w:u w:val="single"/>
        </w:rPr>
        <w:t>Sh</w:t>
      </w:r>
      <w:r w:rsidRPr="008F03E5">
        <w:t>u</w:t>
      </w:r>
      <w:r w:rsidRPr="008F03E5">
        <w:rPr>
          <w:u w:val="single"/>
        </w:rPr>
        <w:t>kh</w:t>
      </w:r>
      <w:r w:rsidRPr="008F03E5">
        <w:t>úṣ</w:t>
      </w:r>
      <w:r w:rsidRPr="008F03E5">
        <w:tab/>
        <w:t>individual, person; figure; character (of a play); someone, somebody</w:t>
      </w:r>
    </w:p>
    <w:p w14:paraId="1F14B87A" w14:textId="77777777" w:rsidR="00625A5B" w:rsidRPr="008F03E5" w:rsidRDefault="00625A5B" w:rsidP="00892844">
      <w:pPr>
        <w:pStyle w:val="Translit"/>
      </w:pPr>
      <w:r w:rsidRPr="008F03E5">
        <w:t>Shakhsi, Shakhsiya (Shakhsiyya)</w:t>
      </w:r>
      <w:r w:rsidRPr="008F03E5">
        <w:tab/>
      </w:r>
      <w:r w:rsidRPr="008F03E5">
        <w:rPr>
          <w:u w:val="single"/>
        </w:rPr>
        <w:t>Sh</w:t>
      </w:r>
      <w:r w:rsidRPr="008F03E5">
        <w:t>a</w:t>
      </w:r>
      <w:r w:rsidRPr="008F03E5">
        <w:rPr>
          <w:u w:val="single"/>
        </w:rPr>
        <w:t>kh</w:t>
      </w:r>
      <w:r w:rsidRPr="008F03E5">
        <w:t xml:space="preserve">ṣí, fem. </w:t>
      </w:r>
      <w:r w:rsidRPr="008F03E5">
        <w:rPr>
          <w:u w:val="single"/>
        </w:rPr>
        <w:t>Sh</w:t>
      </w:r>
      <w:r w:rsidRPr="008F03E5">
        <w:t>a</w:t>
      </w:r>
      <w:r w:rsidRPr="008F03E5">
        <w:rPr>
          <w:u w:val="single"/>
        </w:rPr>
        <w:t>kh</w:t>
      </w:r>
      <w:r w:rsidRPr="008F03E5">
        <w:t>ṣíya[h or t]</w:t>
      </w:r>
      <w:r w:rsidRPr="008F03E5">
        <w:tab/>
        <w:t xml:space="preserve">pl. fem. </w:t>
      </w:r>
      <w:r w:rsidRPr="008F03E5">
        <w:rPr>
          <w:u w:val="single"/>
        </w:rPr>
        <w:t>Sh</w:t>
      </w:r>
      <w:r w:rsidRPr="008F03E5">
        <w:t>a</w:t>
      </w:r>
      <w:r w:rsidRPr="008F03E5">
        <w:rPr>
          <w:u w:val="single"/>
        </w:rPr>
        <w:t>kh</w:t>
      </w:r>
      <w:r w:rsidRPr="008F03E5">
        <w:t xml:space="preserve">ṣíyát.  Personal, private, of one’s own; subjective;  fem. individuality, personality (also = personage); distinctive way of life, peculiarity, distinctive character, personal stamp; identity.  Persian also </w:t>
      </w:r>
      <w:r w:rsidRPr="008F03E5">
        <w:rPr>
          <w:u w:val="single"/>
        </w:rPr>
        <w:t>Sh</w:t>
      </w:r>
      <w:r w:rsidRPr="008F03E5">
        <w:t>a</w:t>
      </w:r>
      <w:r w:rsidRPr="008F03E5">
        <w:rPr>
          <w:u w:val="single"/>
        </w:rPr>
        <w:t>kh</w:t>
      </w:r>
      <w:r w:rsidRPr="008F03E5">
        <w:t>ṣiyya[t] (“</w:t>
      </w:r>
      <w:r w:rsidRPr="008F03E5">
        <w:rPr>
          <w:u w:val="single"/>
        </w:rPr>
        <w:t>Sh</w:t>
      </w:r>
      <w:r w:rsidRPr="008F03E5">
        <w:t>a</w:t>
      </w:r>
      <w:r w:rsidRPr="008F03E5">
        <w:rPr>
          <w:u w:val="single"/>
        </w:rPr>
        <w:t>kh</w:t>
      </w:r>
      <w:r w:rsidRPr="008F03E5">
        <w:t>ṣiyyih”).</w:t>
      </w:r>
    </w:p>
    <w:p w14:paraId="78F5EDDE" w14:textId="77777777" w:rsidR="00625A5B" w:rsidRPr="008F03E5" w:rsidRDefault="00625A5B" w:rsidP="002E33F6">
      <w:pPr>
        <w:pStyle w:val="Translit"/>
      </w:pPr>
      <w:r w:rsidRPr="008F03E5">
        <w:t>Shakir</w:t>
      </w:r>
      <w:r w:rsidRPr="008F03E5">
        <w:tab/>
      </w:r>
      <w:r w:rsidRPr="008F03E5">
        <w:rPr>
          <w:u w:val="single"/>
        </w:rPr>
        <w:t>Sh</w:t>
      </w:r>
      <w:r w:rsidRPr="008F03E5">
        <w:t>ákir</w:t>
      </w:r>
      <w:r w:rsidRPr="008F03E5">
        <w:tab/>
        <w:t>thankful, grateful</w:t>
      </w:r>
    </w:p>
    <w:p w14:paraId="0DB35DC7" w14:textId="77777777" w:rsidR="00625A5B" w:rsidRPr="008F03E5" w:rsidRDefault="00625A5B" w:rsidP="00281F3B">
      <w:pPr>
        <w:pStyle w:val="Translit"/>
      </w:pPr>
      <w:r w:rsidRPr="008F03E5">
        <w:t>Shakl (Shikl) a</w:t>
      </w:r>
      <w:r>
        <w:t>t</w:t>
      </w:r>
      <w:r w:rsidRPr="008F03E5">
        <w:t>-Tathlith, Shakl a</w:t>
      </w:r>
      <w:r>
        <w:t>t</w:t>
      </w:r>
      <w:r w:rsidRPr="008F03E5">
        <w:t>-Tarbi’</w:t>
      </w:r>
      <w:r w:rsidRPr="008F03E5">
        <w:tab/>
      </w:r>
      <w:r w:rsidRPr="008F03E5">
        <w:rPr>
          <w:u w:val="single"/>
        </w:rPr>
        <w:t>Sh</w:t>
      </w:r>
      <w:r w:rsidRPr="008F03E5">
        <w:t>akl a</w:t>
      </w:r>
      <w:r>
        <w:t>t</w:t>
      </w:r>
      <w:r w:rsidRPr="008F03E5">
        <w:t>-Ta</w:t>
      </w:r>
      <w:r w:rsidRPr="008F03E5">
        <w:rPr>
          <w:u w:val="single"/>
        </w:rPr>
        <w:t>th</w:t>
      </w:r>
      <w:r w:rsidRPr="008F03E5">
        <w:t>lí</w:t>
      </w:r>
      <w:r w:rsidRPr="008F03E5">
        <w:rPr>
          <w:u w:val="single"/>
        </w:rPr>
        <w:t>th</w:t>
      </w:r>
      <w:r w:rsidRPr="008F03E5">
        <w:t xml:space="preserve">, </w:t>
      </w:r>
      <w:r w:rsidRPr="008F03E5">
        <w:rPr>
          <w:u w:val="single"/>
        </w:rPr>
        <w:t>Sh</w:t>
      </w:r>
      <w:r w:rsidRPr="008F03E5">
        <w:t>akl a</w:t>
      </w:r>
      <w:r>
        <w:t>t</w:t>
      </w:r>
      <w:r w:rsidRPr="008F03E5">
        <w:t>-Tarbí‘</w:t>
      </w:r>
      <w:r w:rsidRPr="008F03E5">
        <w:tab/>
        <w:t>triangular and rectangular figures, respectively</w:t>
      </w:r>
    </w:p>
    <w:p w14:paraId="352165FF" w14:textId="77777777" w:rsidR="00625A5B" w:rsidRPr="008F03E5" w:rsidRDefault="00625A5B" w:rsidP="007E28F9">
      <w:pPr>
        <w:pStyle w:val="Translit"/>
      </w:pPr>
      <w:r w:rsidRPr="008F03E5">
        <w:t>Shakl, Ashkal, Shukul</w:t>
      </w:r>
      <w:r w:rsidRPr="008F03E5">
        <w:tab/>
      </w:r>
      <w:r w:rsidRPr="008F03E5">
        <w:rPr>
          <w:u w:val="single"/>
        </w:rPr>
        <w:t>Sh</w:t>
      </w:r>
      <w:r w:rsidRPr="008F03E5">
        <w:t>akl (</w:t>
      </w:r>
      <w:r w:rsidRPr="008F03E5">
        <w:rPr>
          <w:u w:val="single"/>
        </w:rPr>
        <w:t>Sh</w:t>
      </w:r>
      <w:r w:rsidRPr="008F03E5">
        <w:t>ikl?), pl. A</w:t>
      </w:r>
      <w:r w:rsidRPr="008F03E5">
        <w:rPr>
          <w:u w:val="single"/>
        </w:rPr>
        <w:t>sh</w:t>
      </w:r>
      <w:r w:rsidRPr="008F03E5">
        <w:t xml:space="preserve">kál, </w:t>
      </w:r>
      <w:r w:rsidRPr="008F03E5">
        <w:rPr>
          <w:u w:val="single"/>
        </w:rPr>
        <w:t>Sh</w:t>
      </w:r>
      <w:r w:rsidRPr="008F03E5">
        <w:t>ukúl</w:t>
      </w:r>
      <w:r w:rsidRPr="008F03E5">
        <w:tab/>
        <w:t>similarity, resemblance, likeness; outward appearance, figure, form, shape, build; form of perception, perceptual form (as opposed to matter or content; philosophy); type, out, pattern; mode, manner; sort, kind, specimen</w:t>
      </w:r>
    </w:p>
    <w:p w14:paraId="5D52C525" w14:textId="77777777" w:rsidR="00625A5B" w:rsidRPr="008F03E5" w:rsidRDefault="00625A5B" w:rsidP="00FC4D35">
      <w:pPr>
        <w:pStyle w:val="Translit"/>
      </w:pPr>
      <w:r w:rsidRPr="008F03E5">
        <w:t>Shakur</w:t>
      </w:r>
      <w:r w:rsidRPr="008F03E5">
        <w:tab/>
      </w:r>
      <w:r w:rsidRPr="008F03E5">
        <w:rPr>
          <w:u w:val="single"/>
        </w:rPr>
        <w:t>Sh</w:t>
      </w:r>
      <w:r w:rsidRPr="008F03E5">
        <w:t>akúr</w:t>
      </w:r>
      <w:r w:rsidRPr="008F03E5">
        <w:tab/>
        <w:t>very thankful, grateful, appreciative; one of the names of God; satisfied with little, and yet thriving (cattle)</w:t>
      </w:r>
    </w:p>
    <w:p w14:paraId="4B6210A8" w14:textId="77777777" w:rsidR="00625A5B" w:rsidRPr="008F03E5" w:rsidRDefault="00625A5B" w:rsidP="00CB4998">
      <w:pPr>
        <w:pStyle w:val="Translit"/>
      </w:pPr>
      <w:r w:rsidRPr="008F03E5">
        <w:t>Shal, Shilan</w:t>
      </w:r>
      <w:r w:rsidRPr="008F03E5">
        <w:tab/>
      </w:r>
      <w:r w:rsidRPr="008F03E5">
        <w:rPr>
          <w:u w:val="single"/>
        </w:rPr>
        <w:t>Sh</w:t>
      </w:r>
      <w:r w:rsidRPr="008F03E5">
        <w:t xml:space="preserve">ál, pl. </w:t>
      </w:r>
      <w:r w:rsidRPr="008F03E5">
        <w:rPr>
          <w:u w:val="single"/>
        </w:rPr>
        <w:t>Sh</w:t>
      </w:r>
      <w:r w:rsidRPr="008F03E5">
        <w:t>ílán</w:t>
      </w:r>
      <w:r w:rsidRPr="008F03E5">
        <w:tab/>
        <w:t>shawl</w:t>
      </w:r>
    </w:p>
    <w:p w14:paraId="0C25CC4F" w14:textId="77777777" w:rsidR="00625A5B" w:rsidRPr="008F03E5" w:rsidRDefault="00625A5B" w:rsidP="00EB5D67">
      <w:pPr>
        <w:pStyle w:val="Translit"/>
      </w:pPr>
      <w:r w:rsidRPr="008F03E5">
        <w:t>Shalfurush</w:t>
      </w:r>
      <w:r w:rsidRPr="008F03E5">
        <w:tab/>
      </w:r>
      <w:r w:rsidRPr="008F03E5">
        <w:rPr>
          <w:u w:val="single"/>
        </w:rPr>
        <w:t>Sh</w:t>
      </w:r>
      <w:r w:rsidRPr="008F03E5">
        <w:t>álfurú</w:t>
      </w:r>
      <w:r w:rsidRPr="008F03E5">
        <w:rPr>
          <w:u w:val="single"/>
        </w:rPr>
        <w:t>sh</w:t>
      </w:r>
      <w:r w:rsidRPr="008F03E5">
        <w:tab/>
        <w:t>‘Abdu’l-Majíd-i-</w:t>
      </w:r>
      <w:r w:rsidRPr="008F03E5">
        <w:rPr>
          <w:u w:val="single"/>
        </w:rPr>
        <w:t>Sh</w:t>
      </w:r>
      <w:r w:rsidRPr="008F03E5">
        <w:t>álfurú</w:t>
      </w:r>
      <w:r w:rsidRPr="008F03E5">
        <w:rPr>
          <w:u w:val="single"/>
        </w:rPr>
        <w:t>sh</w:t>
      </w:r>
      <w:r w:rsidRPr="008F03E5">
        <w:t xml:space="preserve"> (shawl dealer)</w:t>
      </w:r>
    </w:p>
    <w:p w14:paraId="211BACEC" w14:textId="77777777" w:rsidR="00625A5B" w:rsidRPr="008F03E5" w:rsidRDefault="00625A5B" w:rsidP="00193C25">
      <w:pPr>
        <w:pStyle w:val="Translit"/>
        <w:rPr>
          <w:rFonts w:eastAsia="PMingLiU"/>
          <w:lang w:eastAsia="zh-TW"/>
        </w:rPr>
      </w:pPr>
      <w:r w:rsidRPr="008F03E5">
        <w:rPr>
          <w:rFonts w:eastAsia="PMingLiU"/>
          <w:lang w:eastAsia="zh-TW"/>
        </w:rPr>
        <w:t>Shallal, Shallalat</w:t>
      </w:r>
      <w:r w:rsidRPr="008F03E5">
        <w:rPr>
          <w:rFonts w:eastAsia="PMingLiU"/>
          <w:lang w:eastAsia="zh-TW"/>
        </w:rPr>
        <w:tab/>
      </w:r>
      <w:r w:rsidRPr="008F03E5">
        <w:rPr>
          <w:rFonts w:eastAsia="PMingLiU"/>
          <w:u w:val="single"/>
          <w:lang w:eastAsia="zh-TW"/>
        </w:rPr>
        <w:t>Sh</w:t>
      </w:r>
      <w:r w:rsidRPr="008F03E5">
        <w:rPr>
          <w:rFonts w:eastAsia="PMingLiU"/>
          <w:lang w:eastAsia="zh-TW"/>
        </w:rPr>
        <w:t xml:space="preserve">allál, pl. </w:t>
      </w:r>
      <w:r w:rsidRPr="008F03E5">
        <w:rPr>
          <w:rFonts w:eastAsia="PMingLiU"/>
          <w:u w:val="single"/>
          <w:lang w:eastAsia="zh-TW"/>
        </w:rPr>
        <w:t>Sh</w:t>
      </w:r>
      <w:r w:rsidRPr="008F03E5">
        <w:rPr>
          <w:rFonts w:eastAsia="PMingLiU"/>
          <w:lang w:eastAsia="zh-TW"/>
        </w:rPr>
        <w:t>allalát</w:t>
      </w:r>
      <w:r w:rsidRPr="008F03E5">
        <w:rPr>
          <w:rFonts w:eastAsia="PMingLiU"/>
          <w:lang w:eastAsia="zh-TW"/>
        </w:rPr>
        <w:tab/>
        <w:t>cataract, waterfall, rapids</w:t>
      </w:r>
    </w:p>
    <w:p w14:paraId="3DC59261" w14:textId="77777777" w:rsidR="00625A5B" w:rsidRPr="008F03E5" w:rsidRDefault="00625A5B" w:rsidP="00193C25">
      <w:pPr>
        <w:pStyle w:val="Translit"/>
        <w:rPr>
          <w:rFonts w:eastAsia="PMingLiU"/>
          <w:lang w:eastAsia="zh-TW"/>
        </w:rPr>
      </w:pPr>
      <w:r w:rsidRPr="008F03E5">
        <w:rPr>
          <w:rFonts w:eastAsia="PMingLiU"/>
          <w:lang w:eastAsia="zh-TW"/>
        </w:rPr>
        <w:t>Shalwar (Shalvar), Shulwar</w:t>
      </w:r>
      <w:r w:rsidRPr="008F03E5">
        <w:rPr>
          <w:rFonts w:eastAsia="PMingLiU"/>
          <w:lang w:eastAsia="zh-TW"/>
        </w:rPr>
        <w:tab/>
      </w:r>
      <w:r w:rsidRPr="008F03E5">
        <w:rPr>
          <w:rFonts w:eastAsia="PMingLiU"/>
          <w:u w:val="single"/>
          <w:lang w:eastAsia="zh-TW"/>
        </w:rPr>
        <w:t>Sh</w:t>
      </w:r>
      <w:r w:rsidRPr="008F03E5">
        <w:rPr>
          <w:rFonts w:eastAsia="PMingLiU"/>
          <w:lang w:eastAsia="zh-TW"/>
        </w:rPr>
        <w:t xml:space="preserve">alwár, </w:t>
      </w:r>
      <w:r w:rsidRPr="008F03E5">
        <w:rPr>
          <w:rFonts w:eastAsia="PMingLiU"/>
          <w:u w:val="single"/>
          <w:lang w:eastAsia="zh-TW"/>
        </w:rPr>
        <w:t>Sh</w:t>
      </w:r>
      <w:r w:rsidRPr="008F03E5">
        <w:rPr>
          <w:rFonts w:eastAsia="PMingLiU"/>
          <w:lang w:eastAsia="zh-TW"/>
        </w:rPr>
        <w:t>ulwár</w:t>
      </w:r>
      <w:r w:rsidRPr="008F03E5">
        <w:rPr>
          <w:rFonts w:eastAsia="PMingLiU"/>
          <w:lang w:eastAsia="zh-TW"/>
        </w:rPr>
        <w:tab/>
        <w:t>Pers. inner breeches, drawers reaching to the feet (the outer breeches being called tumb</w:t>
      </w:r>
      <w:r w:rsidRPr="008F03E5">
        <w:t>á</w:t>
      </w:r>
      <w:r w:rsidRPr="008F03E5">
        <w:rPr>
          <w:rFonts w:eastAsia="PMingLiU"/>
          <w:lang w:eastAsia="zh-TW"/>
        </w:rPr>
        <w:t>n); sailors’ or travellers’ trousers</w:t>
      </w:r>
    </w:p>
    <w:p w14:paraId="5F8D795D" w14:textId="77777777" w:rsidR="00625A5B" w:rsidRPr="008F03E5" w:rsidRDefault="00625A5B" w:rsidP="00B91988">
      <w:pPr>
        <w:pStyle w:val="Translit"/>
        <w:rPr>
          <w:rFonts w:eastAsia="PMingLiU"/>
          <w:lang w:eastAsia="zh-TW"/>
        </w:rPr>
      </w:pPr>
      <w:r w:rsidRPr="008F03E5">
        <w:rPr>
          <w:rFonts w:eastAsia="PMingLiU"/>
          <w:lang w:eastAsia="zh-TW"/>
        </w:rPr>
        <w:t>Sham</w:t>
      </w:r>
      <w:r w:rsidRPr="008F03E5">
        <w:rPr>
          <w:rFonts w:eastAsia="PMingLiU"/>
          <w:lang w:eastAsia="zh-TW"/>
        </w:rPr>
        <w:tab/>
      </w:r>
      <w:r w:rsidRPr="008F03E5">
        <w:rPr>
          <w:rFonts w:eastAsia="PMingLiU"/>
          <w:u w:val="single"/>
          <w:lang w:eastAsia="zh-TW"/>
        </w:rPr>
        <w:t>Sh</w:t>
      </w:r>
      <w:r w:rsidRPr="008F03E5">
        <w:rPr>
          <w:rFonts w:eastAsia="PMingLiU"/>
          <w:lang w:eastAsia="zh-TW"/>
        </w:rPr>
        <w:t>am</w:t>
      </w:r>
      <w:r w:rsidRPr="008F03E5">
        <w:rPr>
          <w:rFonts w:eastAsia="PMingLiU"/>
          <w:lang w:eastAsia="zh-TW"/>
        </w:rPr>
        <w:tab/>
        <w:t>Pers. error, flight; the tail; deceit, fraud, trick; distance; terrified, astonished, fearing; disturbed, distracted; a subterraneous habitation; a house for the accommodation of travellers, a caravanserai; a place for cattle; a nail</w:t>
      </w:r>
    </w:p>
    <w:p w14:paraId="5175D4BA" w14:textId="77777777" w:rsidR="00625A5B" w:rsidRPr="008F03E5" w:rsidRDefault="00625A5B" w:rsidP="00590394">
      <w:pPr>
        <w:pStyle w:val="Translit"/>
      </w:pPr>
      <w:r w:rsidRPr="008F03E5">
        <w:t>Sham, Sha’m</w:t>
      </w:r>
      <w:r w:rsidRPr="008F03E5">
        <w:tab/>
      </w:r>
      <w:r w:rsidRPr="008F03E5">
        <w:rPr>
          <w:u w:val="single"/>
        </w:rPr>
        <w:t>Sh</w:t>
      </w:r>
      <w:r w:rsidRPr="008F03E5">
        <w:t xml:space="preserve">ám, </w:t>
      </w:r>
      <w:r w:rsidRPr="008F03E5">
        <w:rPr>
          <w:u w:val="single"/>
        </w:rPr>
        <w:t>Sh</w:t>
      </w:r>
      <w:r w:rsidRPr="008F03E5">
        <w:t>a’m</w:t>
      </w:r>
      <w:r w:rsidRPr="008F03E5">
        <w:tab/>
        <w:t xml:space="preserve">Pers. </w:t>
      </w:r>
      <w:r w:rsidRPr="008F03E5">
        <w:rPr>
          <w:rFonts w:eastAsia="Times New Roman"/>
          <w:u w:val="single"/>
        </w:rPr>
        <w:t>Sh</w:t>
      </w:r>
      <w:r w:rsidRPr="008F03E5">
        <w:rPr>
          <w:rFonts w:eastAsia="Times New Roman"/>
        </w:rPr>
        <w:t xml:space="preserve">ám evening, supper (dinner).  </w:t>
      </w:r>
      <w:r w:rsidRPr="008F03E5">
        <w:t>a</w:t>
      </w:r>
      <w:r w:rsidRPr="008F03E5">
        <w:rPr>
          <w:u w:val="single"/>
        </w:rPr>
        <w:t>sh</w:t>
      </w:r>
      <w:r w:rsidRPr="008F03E5">
        <w:t>-</w:t>
      </w:r>
      <w:r w:rsidRPr="008F03E5">
        <w:rPr>
          <w:u w:val="single"/>
        </w:rPr>
        <w:t>Sh</w:t>
      </w:r>
      <w:r w:rsidRPr="008F03E5">
        <w:t>ám, a</w:t>
      </w:r>
      <w:r w:rsidRPr="008F03E5">
        <w:rPr>
          <w:u w:val="single"/>
        </w:rPr>
        <w:t>sh</w:t>
      </w:r>
      <w:r w:rsidRPr="008F03E5">
        <w:t>-</w:t>
      </w:r>
      <w:r w:rsidRPr="008F03E5">
        <w:rPr>
          <w:u w:val="single"/>
        </w:rPr>
        <w:t>Sh</w:t>
      </w:r>
      <w:r w:rsidRPr="008F03E5">
        <w:t>a’m:  the northern region, the North; Syria; Damascus.</w:t>
      </w:r>
    </w:p>
    <w:p w14:paraId="306ECBA6" w14:textId="77777777" w:rsidR="00625A5B" w:rsidRPr="008F03E5" w:rsidRDefault="00625A5B" w:rsidP="00CD790F">
      <w:pPr>
        <w:pStyle w:val="Translit"/>
      </w:pPr>
      <w:r w:rsidRPr="008F03E5">
        <w:t>Sham’, Shama’</w:t>
      </w:r>
      <w:r w:rsidRPr="008F03E5">
        <w:tab/>
      </w:r>
      <w:r w:rsidRPr="008F03E5">
        <w:rPr>
          <w:u w:val="single"/>
        </w:rPr>
        <w:t>Sh</w:t>
      </w:r>
      <w:r w:rsidRPr="008F03E5">
        <w:t xml:space="preserve">am‘, </w:t>
      </w:r>
      <w:r w:rsidRPr="008F03E5">
        <w:rPr>
          <w:u w:val="single"/>
        </w:rPr>
        <w:t>Sh</w:t>
      </w:r>
      <w:r w:rsidRPr="008F03E5">
        <w:t xml:space="preserve">ama‘, pl. </w:t>
      </w:r>
      <w:r w:rsidRPr="008F03E5">
        <w:rPr>
          <w:u w:val="single"/>
        </w:rPr>
        <w:t>Sh</w:t>
      </w:r>
      <w:r w:rsidRPr="008F03E5">
        <w:t>umu‘</w:t>
      </w:r>
      <w:r w:rsidRPr="008F03E5">
        <w:tab/>
      </w:r>
      <w:r w:rsidRPr="008F03E5">
        <w:rPr>
          <w:u w:val="single"/>
        </w:rPr>
        <w:t>Sh</w:t>
      </w:r>
      <w:r w:rsidRPr="008F03E5">
        <w:t>am‘un</w:t>
      </w:r>
      <w:r w:rsidRPr="00760422">
        <w:t xml:space="preserve"> (collective; nomen unitatis </w:t>
      </w:r>
      <w:r w:rsidRPr="008F03E5">
        <w:rPr>
          <w:rtl/>
        </w:rPr>
        <w:t>ة</w:t>
      </w:r>
      <w:r w:rsidRPr="00760422">
        <w:t xml:space="preserve">). </w:t>
      </w:r>
      <w:r w:rsidRPr="008F03E5">
        <w:t xml:space="preserve"> wax; (wax) candles.  Persian also taper; any candle; a lamp</w:t>
      </w:r>
    </w:p>
    <w:p w14:paraId="25875E3F" w14:textId="77777777" w:rsidR="00625A5B" w:rsidRPr="008F03E5" w:rsidRDefault="00625A5B" w:rsidP="00CD790F">
      <w:pPr>
        <w:pStyle w:val="Translit"/>
      </w:pPr>
      <w:r w:rsidRPr="008F03E5">
        <w:t>Sham’a, Shama’a, Shama’un</w:t>
      </w:r>
      <w:r w:rsidRPr="008F03E5">
        <w:tab/>
      </w:r>
      <w:r w:rsidRPr="008F03E5">
        <w:rPr>
          <w:u w:val="single"/>
        </w:rPr>
        <w:t>Sh</w:t>
      </w:r>
      <w:r w:rsidRPr="008F03E5">
        <w:t>am‘a[h</w:t>
      </w:r>
      <w:r>
        <w:t xml:space="preserve"> or t</w:t>
      </w:r>
      <w:r w:rsidRPr="008F03E5">
        <w:t xml:space="preserve">], </w:t>
      </w:r>
      <w:r w:rsidRPr="008F03E5">
        <w:rPr>
          <w:u w:val="single"/>
        </w:rPr>
        <w:t>Sh</w:t>
      </w:r>
      <w:r w:rsidRPr="008F03E5">
        <w:t>ama‘a,</w:t>
      </w:r>
      <w:r>
        <w:tab/>
        <w:t xml:space="preserve">fem. of </w:t>
      </w:r>
      <w:r w:rsidRPr="008F03E5">
        <w:rPr>
          <w:u w:val="single"/>
        </w:rPr>
        <w:t>Sh</w:t>
      </w:r>
      <w:r w:rsidRPr="008F03E5">
        <w:t>am‘</w:t>
      </w:r>
      <w:r>
        <w:t xml:space="preserve">.  </w:t>
      </w:r>
      <w:r w:rsidRPr="008F03E5">
        <w:rPr>
          <w:u w:val="single"/>
        </w:rPr>
        <w:t>Sh</w:t>
      </w:r>
      <w:r w:rsidRPr="008F03E5">
        <w:t>ama‘un</w:t>
      </w:r>
      <w:r>
        <w:t xml:space="preserve"> (</w:t>
      </w:r>
      <w:r w:rsidRPr="00CD790F">
        <w:t xml:space="preserve">nomen unitatis </w:t>
      </w:r>
      <w:r w:rsidRPr="008F03E5">
        <w:rPr>
          <w:rtl/>
        </w:rPr>
        <w:t>ة</w:t>
      </w:r>
      <w:r w:rsidRPr="008F03E5">
        <w:t>)</w:t>
      </w:r>
      <w:r>
        <w:t xml:space="preserve">.  </w:t>
      </w:r>
      <w:r w:rsidRPr="008F03E5">
        <w:t xml:space="preserve">(wax) candle.  The </w:t>
      </w:r>
      <w:r w:rsidRPr="008F03E5">
        <w:rPr>
          <w:u w:val="single"/>
        </w:rPr>
        <w:t>Sh</w:t>
      </w:r>
      <w:r w:rsidRPr="008F03E5">
        <w:t>am‘ah family of Damascus still owned one-third of the Bahjí Mansion when the Bahá’ís regained possession of it in 1929.  Covenant-breakers (through Músá Bahá’í (a son of Mírzá Muḥammad ‘Alí), who worked as an official in the Estate Registry Office) managed to acquire a one-sixth interest.</w:t>
      </w:r>
    </w:p>
    <w:p w14:paraId="5537608A" w14:textId="77777777" w:rsidR="00625A5B" w:rsidRPr="008F03E5" w:rsidRDefault="00625A5B" w:rsidP="003D10F5">
      <w:pPr>
        <w:pStyle w:val="Translit"/>
      </w:pPr>
      <w:r w:rsidRPr="008F03E5">
        <w:t>Sham’i ilaha</w:t>
      </w:r>
      <w:r w:rsidRPr="008F03E5">
        <w:tab/>
      </w:r>
      <w:r w:rsidRPr="008F03E5">
        <w:rPr>
          <w:u w:val="single"/>
        </w:rPr>
        <w:t>Sh</w:t>
      </w:r>
      <w:r w:rsidRPr="008F03E5">
        <w:t>am‘i iláhá</w:t>
      </w:r>
      <w:r w:rsidRPr="008F03E5">
        <w:tab/>
        <w:t>divine candle, the Qur’án; Islam; sun and moon</w:t>
      </w:r>
    </w:p>
    <w:p w14:paraId="487F7D2D" w14:textId="77777777" w:rsidR="00625A5B" w:rsidRPr="008F03E5" w:rsidRDefault="00625A5B" w:rsidP="00193C25">
      <w:pPr>
        <w:pStyle w:val="Translit"/>
      </w:pPr>
      <w:r w:rsidRPr="008F03E5">
        <w:t>Sham’un</w:t>
      </w:r>
      <w:r w:rsidRPr="008F03E5">
        <w:tab/>
      </w:r>
      <w:r w:rsidRPr="008F03E5">
        <w:rPr>
          <w:u w:val="single"/>
        </w:rPr>
        <w:t>Sh</w:t>
      </w:r>
      <w:r w:rsidRPr="008F03E5">
        <w:t>am‘ún</w:t>
      </w:r>
      <w:r w:rsidRPr="008F03E5">
        <w:tab/>
        <w:t>Simon</w:t>
      </w:r>
    </w:p>
    <w:p w14:paraId="5DF20887" w14:textId="77777777" w:rsidR="00625A5B" w:rsidRPr="008F03E5" w:rsidRDefault="00625A5B" w:rsidP="00C153C2">
      <w:pPr>
        <w:pStyle w:val="Translit"/>
      </w:pPr>
      <w:r w:rsidRPr="008F03E5">
        <w:t>Sham’unu’s-Safa (Sham’unu as-Safa)</w:t>
      </w:r>
      <w:r w:rsidRPr="008F03E5">
        <w:tab/>
      </w:r>
      <w:r w:rsidRPr="008F03E5">
        <w:rPr>
          <w:u w:val="single"/>
        </w:rPr>
        <w:t>Sh</w:t>
      </w:r>
      <w:r w:rsidRPr="008F03E5">
        <w:t>am‘únu’ṣ Ṣafá (</w:t>
      </w:r>
      <w:r w:rsidRPr="008F03E5">
        <w:rPr>
          <w:u w:val="single"/>
        </w:rPr>
        <w:t>Sh</w:t>
      </w:r>
      <w:r w:rsidRPr="008F03E5">
        <w:t>am‘ún aṣ-Ṣafá)</w:t>
      </w:r>
      <w:r w:rsidRPr="008F03E5">
        <w:tab/>
        <w:t>Simon, later Simon Peter.  Later he was also called Cephas (“rock” or possibly “stone”).  Hence, “</w:t>
      </w:r>
      <w:r w:rsidRPr="008F03E5">
        <w:rPr>
          <w:i/>
          <w:iCs/>
        </w:rPr>
        <w:t>this is the day whereon the Rock</w:t>
      </w:r>
      <w:r w:rsidRPr="008F03E5">
        <w:t xml:space="preserve"> [Peter] </w:t>
      </w:r>
      <w:r w:rsidRPr="008F03E5">
        <w:rPr>
          <w:i/>
          <w:iCs/>
        </w:rPr>
        <w:t xml:space="preserve">crieth out and shouteth” </w:t>
      </w:r>
      <w:r w:rsidRPr="008F03E5">
        <w:t xml:space="preserve">(Bahá’u’lláh in </w:t>
      </w:r>
      <w:r w:rsidRPr="008F03E5">
        <w:rPr>
          <w:i/>
          <w:iCs/>
        </w:rPr>
        <w:t>Summons of the Lord of Hosts</w:t>
      </w:r>
      <w:r w:rsidRPr="008F03E5">
        <w:t>, p. 59.  See buṭrus and batrá’.</w:t>
      </w:r>
    </w:p>
    <w:p w14:paraId="293E1370" w14:textId="77777777" w:rsidR="00625A5B" w:rsidRPr="008F03E5" w:rsidRDefault="00625A5B" w:rsidP="002E40B5">
      <w:pPr>
        <w:pStyle w:val="Translit"/>
        <w:rPr>
          <w:lang w:eastAsia="en-US"/>
        </w:rPr>
      </w:pPr>
      <w:r w:rsidRPr="008F03E5">
        <w:t>Shamam</w:t>
      </w:r>
      <w:r w:rsidRPr="008F03E5">
        <w:tab/>
      </w:r>
      <w:r w:rsidRPr="008F03E5">
        <w:rPr>
          <w:u w:val="single"/>
        </w:rPr>
        <w:t>Sh</w:t>
      </w:r>
      <w:r w:rsidRPr="008F03E5">
        <w:t>amam</w:t>
      </w:r>
      <w:r w:rsidRPr="008F03E5">
        <w:tab/>
        <w:t>pride, haughtiness, superciliousness</w:t>
      </w:r>
    </w:p>
    <w:p w14:paraId="4D7C74D9" w14:textId="77777777" w:rsidR="00625A5B" w:rsidRPr="008F03E5" w:rsidRDefault="00625A5B" w:rsidP="00635F04">
      <w:pPr>
        <w:pStyle w:val="Translit"/>
        <w:rPr>
          <w:lang w:eastAsia="en-US"/>
        </w:rPr>
      </w:pPr>
      <w:r w:rsidRPr="008F03E5">
        <w:rPr>
          <w:lang w:eastAsia="en-US"/>
        </w:rPr>
        <w:t>Shamata</w:t>
      </w:r>
      <w:r w:rsidRPr="008F03E5">
        <w:rPr>
          <w:lang w:eastAsia="en-US"/>
        </w:rPr>
        <w:tab/>
      </w:r>
      <w:r w:rsidRPr="008F03E5">
        <w:rPr>
          <w:u w:val="single"/>
          <w:lang w:eastAsia="en-US"/>
        </w:rPr>
        <w:t>Sh</w:t>
      </w:r>
      <w:r w:rsidRPr="008F03E5">
        <w:rPr>
          <w:lang w:eastAsia="en-US"/>
        </w:rPr>
        <w:t>amáta</w:t>
      </w:r>
      <w:r w:rsidRPr="008F03E5">
        <w:rPr>
          <w:lang w:eastAsia="en-US"/>
        </w:rPr>
        <w:tab/>
        <w:t xml:space="preserve">malicious joy, </w:t>
      </w:r>
      <w:r w:rsidRPr="008F03E5">
        <w:rPr>
          <w:i/>
          <w:iCs/>
          <w:lang w:eastAsia="en-US"/>
        </w:rPr>
        <w:t>Schadenfreude</w:t>
      </w:r>
      <w:r w:rsidRPr="008F03E5">
        <w:rPr>
          <w:lang w:eastAsia="en-US"/>
        </w:rPr>
        <w:t xml:space="preserve"> (German), malice</w:t>
      </w:r>
    </w:p>
    <w:p w14:paraId="3A9B7569" w14:textId="77777777" w:rsidR="00625A5B" w:rsidRPr="008F03E5" w:rsidRDefault="00625A5B" w:rsidP="00590394">
      <w:pPr>
        <w:pStyle w:val="Translit"/>
        <w:rPr>
          <w:lang w:eastAsia="en-US"/>
        </w:rPr>
      </w:pPr>
      <w:r w:rsidRPr="008F03E5">
        <w:rPr>
          <w:lang w:eastAsia="en-US"/>
        </w:rPr>
        <w:t>Shami, Shamiyun, Shuwam</w:t>
      </w:r>
      <w:r w:rsidRPr="008F03E5">
        <w:rPr>
          <w:lang w:eastAsia="en-US"/>
        </w:rPr>
        <w:tab/>
      </w:r>
      <w:r w:rsidRPr="008F03E5">
        <w:rPr>
          <w:u w:val="single"/>
          <w:lang w:eastAsia="en-US"/>
        </w:rPr>
        <w:t>Sh</w:t>
      </w:r>
      <w:r w:rsidRPr="008F03E5">
        <w:rPr>
          <w:lang w:eastAsia="en-US"/>
        </w:rPr>
        <w:t xml:space="preserve">ámí, pl. </w:t>
      </w:r>
      <w:r w:rsidRPr="008F03E5">
        <w:rPr>
          <w:u w:val="single"/>
          <w:lang w:eastAsia="en-US"/>
        </w:rPr>
        <w:t>Sh</w:t>
      </w:r>
      <w:r w:rsidRPr="008F03E5">
        <w:rPr>
          <w:lang w:eastAsia="en-US"/>
        </w:rPr>
        <w:t xml:space="preserve">ámiyún, </w:t>
      </w:r>
      <w:r w:rsidRPr="008F03E5">
        <w:rPr>
          <w:u w:val="single"/>
          <w:lang w:eastAsia="en-US"/>
        </w:rPr>
        <w:t>Sh</w:t>
      </w:r>
      <w:r w:rsidRPr="008F03E5">
        <w:rPr>
          <w:lang w:eastAsia="en-US"/>
        </w:rPr>
        <w:t>uwám</w:t>
      </w:r>
      <w:r w:rsidRPr="008F03E5">
        <w:rPr>
          <w:lang w:eastAsia="en-US"/>
        </w:rPr>
        <w:tab/>
        <w:t>a Syrian</w:t>
      </w:r>
    </w:p>
    <w:p w14:paraId="78F4090B" w14:textId="77777777" w:rsidR="00625A5B" w:rsidRPr="008F03E5" w:rsidRDefault="00625A5B" w:rsidP="00EC2D00">
      <w:pPr>
        <w:pStyle w:val="Translit"/>
        <w:rPr>
          <w:lang w:eastAsia="en-US"/>
        </w:rPr>
      </w:pPr>
      <w:r w:rsidRPr="008F03E5">
        <w:rPr>
          <w:lang w:eastAsia="en-US"/>
        </w:rPr>
        <w:t>Shams wa Qamar</w:t>
      </w:r>
      <w:r w:rsidRPr="008F03E5">
        <w:rPr>
          <w:lang w:eastAsia="en-US"/>
        </w:rPr>
        <w:tab/>
      </w:r>
      <w:r w:rsidRPr="008F03E5">
        <w:rPr>
          <w:u w:val="single"/>
          <w:lang w:eastAsia="en-US"/>
        </w:rPr>
        <w:t>Sh</w:t>
      </w:r>
      <w:r w:rsidRPr="008F03E5">
        <w:rPr>
          <w:lang w:eastAsia="en-US"/>
        </w:rPr>
        <w:t>ams wa Qamar</w:t>
      </w:r>
      <w:r w:rsidRPr="008F03E5">
        <w:rPr>
          <w:lang w:eastAsia="en-US"/>
        </w:rPr>
        <w:tab/>
        <w:t>sun and moon.  The sun symbolizes the Manifestation.  The successors and deputies of the Manifestation are the moons of His dispensation.  The priests and scholars are the stars of the heaven of that religion, which no longer give light, due to their rejection of the new Manifestation, and fall off the sky of religion.  With the Advent of a new Manifestation, a new heaven is raised, a new earth is spread, and new moons and stars are manifested—a new era starts.</w:t>
      </w:r>
    </w:p>
    <w:p w14:paraId="450BEB46" w14:textId="77777777" w:rsidR="00625A5B" w:rsidRPr="008F03E5" w:rsidRDefault="00625A5B" w:rsidP="00471B01">
      <w:pPr>
        <w:pStyle w:val="Translit"/>
        <w:rPr>
          <w:rFonts w:eastAsia="PMingLiU"/>
          <w:lang w:eastAsia="zh-TW"/>
        </w:rPr>
      </w:pPr>
      <w:r w:rsidRPr="008F03E5">
        <w:rPr>
          <w:rFonts w:eastAsia="PMingLiU"/>
          <w:lang w:eastAsia="zh-TW"/>
        </w:rPr>
        <w:t>Shams, Shumus</w:t>
      </w:r>
      <w:r w:rsidRPr="008F03E5">
        <w:rPr>
          <w:rFonts w:eastAsia="PMingLiU"/>
          <w:lang w:eastAsia="zh-TW"/>
        </w:rPr>
        <w:tab/>
      </w:r>
      <w:r w:rsidRPr="008F03E5">
        <w:rPr>
          <w:rFonts w:eastAsia="PMingLiU"/>
          <w:u w:val="single"/>
          <w:lang w:eastAsia="zh-TW"/>
        </w:rPr>
        <w:t>Sh</w:t>
      </w:r>
      <w:r w:rsidRPr="008F03E5">
        <w:rPr>
          <w:rFonts w:eastAsia="PMingLiU"/>
          <w:lang w:eastAsia="zh-TW"/>
        </w:rPr>
        <w:t xml:space="preserve">ams fem., pl. </w:t>
      </w:r>
      <w:r w:rsidRPr="008F03E5">
        <w:rPr>
          <w:rFonts w:eastAsia="PMingLiU"/>
          <w:u w:val="single"/>
          <w:lang w:eastAsia="zh-TW"/>
        </w:rPr>
        <w:t>Sh</w:t>
      </w:r>
      <w:r w:rsidRPr="008F03E5">
        <w:rPr>
          <w:rFonts w:eastAsia="PMingLiU"/>
          <w:lang w:eastAsia="zh-TW"/>
        </w:rPr>
        <w:t>um</w:t>
      </w:r>
      <w:r w:rsidRPr="008F03E5">
        <w:t>ú</w:t>
      </w:r>
      <w:r w:rsidRPr="008F03E5">
        <w:rPr>
          <w:rFonts w:eastAsia="PMingLiU"/>
          <w:lang w:eastAsia="zh-TW"/>
        </w:rPr>
        <w:t>s</w:t>
      </w:r>
      <w:r w:rsidRPr="008F03E5">
        <w:rPr>
          <w:rFonts w:eastAsia="PMingLiU"/>
          <w:lang w:eastAsia="zh-TW"/>
        </w:rPr>
        <w:tab/>
        <w:t xml:space="preserve">sun.  See </w:t>
      </w:r>
      <w:r w:rsidRPr="008F03E5">
        <w:rPr>
          <w:u w:val="single"/>
        </w:rPr>
        <w:t>Sh</w:t>
      </w:r>
      <w:r w:rsidRPr="008F03E5">
        <w:t>umays for diminutive.</w:t>
      </w:r>
    </w:p>
    <w:p w14:paraId="754DB511" w14:textId="77777777" w:rsidR="00625A5B" w:rsidRPr="008F03E5" w:rsidRDefault="00625A5B" w:rsidP="00BB04B1">
      <w:pPr>
        <w:pStyle w:val="Translit"/>
      </w:pPr>
      <w:r w:rsidRPr="008F03E5">
        <w:t>Shamshir</w:t>
      </w:r>
      <w:r w:rsidRPr="008F03E5">
        <w:tab/>
      </w:r>
      <w:r w:rsidRPr="008F03E5">
        <w:rPr>
          <w:u w:val="single"/>
        </w:rPr>
        <w:t>Sh</w:t>
      </w:r>
      <w:r w:rsidRPr="008F03E5">
        <w:t>am</w:t>
      </w:r>
      <w:r w:rsidRPr="008F03E5">
        <w:rPr>
          <w:u w:val="single"/>
        </w:rPr>
        <w:t>sh</w:t>
      </w:r>
      <w:r w:rsidRPr="008F03E5">
        <w:t>ír</w:t>
      </w:r>
      <w:r w:rsidRPr="008F03E5">
        <w:tab/>
        <w:t xml:space="preserve">Pers. possibly from </w:t>
      </w:r>
      <w:r w:rsidRPr="008F03E5">
        <w:rPr>
          <w:u w:val="single"/>
        </w:rPr>
        <w:t>sh</w:t>
      </w:r>
      <w:r w:rsidRPr="008F03E5">
        <w:t xml:space="preserve">am (claw or tail) + </w:t>
      </w:r>
      <w:r w:rsidRPr="008F03E5">
        <w:rPr>
          <w:u w:val="single"/>
        </w:rPr>
        <w:t>Sh</w:t>
      </w:r>
      <w:r w:rsidRPr="008F03E5">
        <w:t>ír (lion).  A sword, scimitar, sabre; a blade; the light of the morning or of the sun.</w:t>
      </w:r>
    </w:p>
    <w:p w14:paraId="412848CF" w14:textId="77777777" w:rsidR="00625A5B" w:rsidRPr="008F03E5" w:rsidRDefault="00625A5B" w:rsidP="00141715">
      <w:pPr>
        <w:pStyle w:val="Translit"/>
      </w:pPr>
      <w:r w:rsidRPr="008F03E5">
        <w:t>Shamsi Hijri (</w:t>
      </w:r>
      <w:r w:rsidRPr="008F03E5">
        <w:rPr>
          <w:sz w:val="16"/>
          <w:szCs w:val="16"/>
        </w:rPr>
        <w:t>SH</w:t>
      </w:r>
      <w:r w:rsidRPr="008F03E5">
        <w:t>)</w:t>
      </w:r>
      <w:r w:rsidRPr="008F03E5">
        <w:tab/>
      </w:r>
      <w:r w:rsidRPr="008F03E5">
        <w:rPr>
          <w:u w:val="single"/>
        </w:rPr>
        <w:t>Sh</w:t>
      </w:r>
      <w:r w:rsidRPr="008F03E5">
        <w:t>amsí Hijrí</w:t>
      </w:r>
      <w:r w:rsidRPr="008F03E5">
        <w:tab/>
        <w:t xml:space="preserve">Solar Hijri calendar is the official calendar of Iran and Afghanistan.  Start date is the Hijra—the emigration of the Muslims from Mecca to Medina in </w:t>
      </w:r>
      <w:r w:rsidRPr="008F03E5">
        <w:rPr>
          <w:sz w:val="16"/>
          <w:szCs w:val="16"/>
        </w:rPr>
        <w:t xml:space="preserve">CE </w:t>
      </w:r>
      <w:r w:rsidRPr="008F03E5">
        <w:t>622.</w:t>
      </w:r>
    </w:p>
    <w:p w14:paraId="417DFBCD" w14:textId="77777777" w:rsidR="00625A5B" w:rsidRPr="008F03E5" w:rsidRDefault="00625A5B" w:rsidP="00141715">
      <w:pPr>
        <w:pStyle w:val="Translit"/>
        <w:rPr>
          <w:rFonts w:eastAsia="PMingLiU"/>
          <w:lang w:eastAsia="zh-TW"/>
        </w:rPr>
      </w:pPr>
      <w:r w:rsidRPr="008F03E5">
        <w:rPr>
          <w:rFonts w:eastAsia="PMingLiU"/>
          <w:lang w:eastAsia="zh-TW"/>
        </w:rPr>
        <w:t>Shamsi, Shamsiya</w:t>
      </w:r>
      <w:r w:rsidRPr="008F03E5">
        <w:tab/>
      </w:r>
      <w:r w:rsidRPr="008F03E5">
        <w:rPr>
          <w:u w:val="single"/>
        </w:rPr>
        <w:t>Sh</w:t>
      </w:r>
      <w:r w:rsidRPr="008F03E5">
        <w:rPr>
          <w:rFonts w:eastAsia="PMingLiU"/>
          <w:lang w:eastAsia="zh-TW"/>
        </w:rPr>
        <w:t xml:space="preserve">amsí, fem. </w:t>
      </w:r>
      <w:r w:rsidRPr="008F03E5">
        <w:rPr>
          <w:rFonts w:eastAsia="PMingLiU"/>
          <w:u w:val="single"/>
          <w:lang w:eastAsia="zh-TW"/>
        </w:rPr>
        <w:t>Sh</w:t>
      </w:r>
      <w:r w:rsidRPr="008F03E5">
        <w:rPr>
          <w:rFonts w:eastAsia="PMingLiU"/>
          <w:lang w:eastAsia="zh-TW"/>
        </w:rPr>
        <w:t>ams</w:t>
      </w:r>
      <w:r w:rsidRPr="008F03E5">
        <w:t>í</w:t>
      </w:r>
      <w:r w:rsidRPr="008F03E5">
        <w:rPr>
          <w:rFonts w:eastAsia="PMingLiU"/>
          <w:lang w:eastAsia="zh-TW"/>
        </w:rPr>
        <w:t>ya[h or t]</w:t>
      </w:r>
      <w:r w:rsidRPr="008F03E5">
        <w:tab/>
        <w:t>sun- (in compounds), solar</w:t>
      </w:r>
    </w:p>
    <w:p w14:paraId="1931AFB5" w14:textId="77777777" w:rsidR="00625A5B" w:rsidRPr="008F03E5" w:rsidRDefault="00625A5B" w:rsidP="00900A82">
      <w:pPr>
        <w:pStyle w:val="Translit"/>
        <w:rPr>
          <w:u w:val="single"/>
        </w:rPr>
      </w:pPr>
      <w:r w:rsidRPr="008F03E5">
        <w:t>Shamsi-Jahan</w:t>
      </w:r>
      <w:r w:rsidRPr="008F03E5">
        <w:tab/>
      </w:r>
      <w:r w:rsidRPr="008F03E5">
        <w:rPr>
          <w:u w:val="single"/>
        </w:rPr>
        <w:t>Sh</w:t>
      </w:r>
      <w:r w:rsidRPr="008F03E5">
        <w:t>amsí-Jahán</w:t>
      </w:r>
      <w:r w:rsidRPr="008F03E5">
        <w:tab/>
        <w:t>(“Shamsi-Jehan”) “Sun of the World”</w:t>
      </w:r>
    </w:p>
    <w:p w14:paraId="222E6A21" w14:textId="77777777" w:rsidR="00625A5B" w:rsidRPr="008F03E5" w:rsidRDefault="00625A5B" w:rsidP="004D6BF1">
      <w:pPr>
        <w:pStyle w:val="Translit"/>
      </w:pPr>
      <w:r w:rsidRPr="008F03E5">
        <w:t>Shams-i-Tabriz</w:t>
      </w:r>
      <w:r w:rsidRPr="008F03E5">
        <w:tab/>
      </w:r>
      <w:r w:rsidRPr="008F03E5">
        <w:rPr>
          <w:u w:val="single"/>
        </w:rPr>
        <w:t>Sh</w:t>
      </w:r>
      <w:r w:rsidRPr="008F03E5">
        <w:t>ams-i-Tabríz</w:t>
      </w:r>
      <w:r w:rsidRPr="008F03E5">
        <w:tab/>
        <w:t>Rúmí’s spiritual director in Konya, a comparatively illiterate but powerful mystic.  He was a Persian poet.  He later settled in Khoy.  He is believed to have been killed in a riot. (</w:t>
      </w:r>
      <w:r w:rsidRPr="008F03E5">
        <w:rPr>
          <w:sz w:val="16"/>
          <w:szCs w:val="16"/>
        </w:rPr>
        <w:t>CE</w:t>
      </w:r>
      <w:r w:rsidRPr="008F03E5">
        <w:t xml:space="preserve"> 1185–1248)</w:t>
      </w:r>
    </w:p>
    <w:p w14:paraId="69AA3061" w14:textId="77777777" w:rsidR="00625A5B" w:rsidRPr="008F03E5" w:rsidRDefault="00625A5B" w:rsidP="00900A82">
      <w:pPr>
        <w:pStyle w:val="Translit"/>
      </w:pPr>
      <w:r w:rsidRPr="008F03E5">
        <w:t>Shamsu’d-Din</w:t>
      </w:r>
      <w:r w:rsidRPr="008F03E5">
        <w:tab/>
      </w:r>
      <w:r w:rsidRPr="008F03E5">
        <w:rPr>
          <w:u w:val="single"/>
        </w:rPr>
        <w:t>Sh</w:t>
      </w:r>
      <w:r w:rsidRPr="008F03E5">
        <w:t>amsu’ḍ-Dín Muḥammad</w:t>
      </w:r>
      <w:r w:rsidRPr="008F03E5">
        <w:tab/>
        <w:t>(a great Persian poet)</w:t>
      </w:r>
    </w:p>
    <w:p w14:paraId="410EE283" w14:textId="77777777" w:rsidR="00625A5B" w:rsidRPr="008F03E5" w:rsidRDefault="00625A5B" w:rsidP="00900A82">
      <w:pPr>
        <w:pStyle w:val="Translit"/>
      </w:pPr>
      <w:r w:rsidRPr="008F03E5">
        <w:t>Shamsu’d-Duha, Shams-i-Duha</w:t>
      </w:r>
      <w:r w:rsidRPr="008F03E5">
        <w:tab/>
      </w:r>
      <w:r w:rsidRPr="008F03E5">
        <w:rPr>
          <w:u w:val="single"/>
        </w:rPr>
        <w:t>Sh</w:t>
      </w:r>
      <w:r w:rsidRPr="008F03E5">
        <w:t xml:space="preserve">amsu’ḍ-Ḍuḥá (Pers. </w:t>
      </w:r>
      <w:r w:rsidRPr="008F03E5">
        <w:rPr>
          <w:u w:val="single"/>
        </w:rPr>
        <w:t>Sh</w:t>
      </w:r>
      <w:r w:rsidRPr="008F03E5">
        <w:t>ams-i-Ḍuḥá)</w:t>
      </w:r>
      <w:r w:rsidRPr="008F03E5">
        <w:tab/>
        <w:t xml:space="preserve">Morning Sun (the Luminous Orb), pronounced </w:t>
      </w:r>
      <w:r w:rsidRPr="008F03E5">
        <w:rPr>
          <w:u w:val="single"/>
        </w:rPr>
        <w:t>Sh</w:t>
      </w:r>
      <w:r w:rsidRPr="008F03E5">
        <w:t xml:space="preserve">ams-oz-Zohá (Pers. pronounced “Shams-she-Zohá”).  Name given to </w:t>
      </w:r>
      <w:r w:rsidRPr="008F03E5">
        <w:rPr>
          <w:u w:val="single"/>
        </w:rPr>
        <w:t>Kh</w:t>
      </w:r>
      <w:r w:rsidRPr="008F03E5">
        <w:t>ur</w:t>
      </w:r>
      <w:r w:rsidRPr="008F03E5">
        <w:rPr>
          <w:u w:val="single"/>
        </w:rPr>
        <w:t>sh</w:t>
      </w:r>
      <w:r w:rsidRPr="008F03E5">
        <w:t>íd Bagum, mother-in-law of Mírzá Muḥammad-Ḥasan (King of Martyrs).</w:t>
      </w:r>
    </w:p>
    <w:p w14:paraId="73149D4B" w14:textId="77777777" w:rsidR="00625A5B" w:rsidRPr="008F03E5" w:rsidRDefault="00625A5B" w:rsidP="00C83901">
      <w:pPr>
        <w:pStyle w:val="Translit"/>
      </w:pPr>
      <w:r w:rsidRPr="008F03E5">
        <w:t>Shamsu’l-‘Imarih</w:t>
      </w:r>
      <w:r w:rsidRPr="008F03E5">
        <w:tab/>
      </w:r>
      <w:r w:rsidRPr="008F03E5">
        <w:rPr>
          <w:u w:val="single"/>
        </w:rPr>
        <w:t>Sh</w:t>
      </w:r>
      <w:r w:rsidRPr="008F03E5">
        <w:t>amsu’l-‘Imárih</w:t>
      </w:r>
      <w:r w:rsidRPr="008F03E5">
        <w:tab/>
        <w:t>Pers. “Sun building”</w:t>
      </w:r>
    </w:p>
    <w:p w14:paraId="78E3410D" w14:textId="77777777" w:rsidR="00625A5B" w:rsidRPr="008F03E5" w:rsidRDefault="00625A5B" w:rsidP="00FE3C45">
      <w:pPr>
        <w:pStyle w:val="Translit"/>
        <w:rPr>
          <w:u w:val="single"/>
        </w:rPr>
      </w:pPr>
      <w:r w:rsidRPr="008F03E5">
        <w:t>Shamuyil</w:t>
      </w:r>
      <w:r w:rsidRPr="008F03E5">
        <w:tab/>
      </w:r>
      <w:r w:rsidRPr="008F03E5">
        <w:rPr>
          <w:u w:val="single"/>
        </w:rPr>
        <w:t>Sh</w:t>
      </w:r>
      <w:r w:rsidRPr="008F03E5">
        <w:t>amúyíl</w:t>
      </w:r>
      <w:r w:rsidRPr="008F03E5">
        <w:tab/>
        <w:t>Samuel</w:t>
      </w:r>
    </w:p>
    <w:p w14:paraId="414384D6" w14:textId="77777777" w:rsidR="00625A5B" w:rsidRPr="008F03E5" w:rsidRDefault="00625A5B" w:rsidP="00A3458F">
      <w:pPr>
        <w:pStyle w:val="Translit"/>
        <w:rPr>
          <w:rFonts w:eastAsia="PMingLiU"/>
          <w:lang w:eastAsia="zh-TW"/>
        </w:rPr>
      </w:pPr>
      <w:r w:rsidRPr="008F03E5">
        <w:rPr>
          <w:rFonts w:eastAsia="Times New Roman"/>
        </w:rPr>
        <w:t>Shanbih, Shanba</w:t>
      </w:r>
      <w:r w:rsidRPr="008F03E5">
        <w:rPr>
          <w:rFonts w:eastAsia="Times New Roman"/>
        </w:rPr>
        <w:tab/>
      </w:r>
      <w:r w:rsidRPr="008F03E5">
        <w:rPr>
          <w:rFonts w:eastAsia="Times New Roman"/>
          <w:u w:val="single"/>
        </w:rPr>
        <w:t>Sh</w:t>
      </w:r>
      <w:r w:rsidRPr="008F03E5">
        <w:rPr>
          <w:rFonts w:eastAsia="Times New Roman"/>
        </w:rPr>
        <w:t xml:space="preserve">anbih, </w:t>
      </w:r>
      <w:r w:rsidRPr="008F03E5">
        <w:rPr>
          <w:rFonts w:eastAsia="Times New Roman"/>
          <w:u w:val="single"/>
        </w:rPr>
        <w:t>Sh</w:t>
      </w:r>
      <w:r w:rsidRPr="008F03E5">
        <w:rPr>
          <w:rFonts w:eastAsia="Times New Roman"/>
        </w:rPr>
        <w:t>anba</w:t>
      </w:r>
      <w:r w:rsidRPr="008F03E5">
        <w:rPr>
          <w:rFonts w:eastAsia="Times New Roman"/>
        </w:rPr>
        <w:tab/>
        <w:t>Pers. a day, Saturday</w:t>
      </w:r>
    </w:p>
    <w:p w14:paraId="564BDBFC" w14:textId="77777777" w:rsidR="00625A5B" w:rsidRPr="008F03E5" w:rsidRDefault="00625A5B" w:rsidP="00A5286B">
      <w:pPr>
        <w:pStyle w:val="Translit"/>
        <w:rPr>
          <w:rFonts w:eastAsia="PMingLiU"/>
          <w:lang w:eastAsia="zh-TW"/>
        </w:rPr>
      </w:pPr>
      <w:r w:rsidRPr="00A86DFE">
        <w:rPr>
          <w:u w:val="single"/>
        </w:rPr>
        <w:t>Sh</w:t>
      </w:r>
      <w:r>
        <w:rPr>
          <w:u w:val="single"/>
        </w:rPr>
        <w:t>a</w:t>
      </w:r>
      <w:r w:rsidRPr="00A86DFE">
        <w:t>p</w:t>
      </w:r>
      <w:r>
        <w:t>u</w:t>
      </w:r>
      <w:r w:rsidRPr="00A86DFE">
        <w:t>r R</w:t>
      </w:r>
      <w:r>
        <w:t>a</w:t>
      </w:r>
      <w:r w:rsidRPr="00A86DFE">
        <w:t>si</w:t>
      </w:r>
      <w:r w:rsidRPr="0051467D">
        <w:t>kh</w:t>
      </w:r>
      <w:r>
        <w:t xml:space="preserve"> (Shapour Rassekh)</w:t>
      </w:r>
      <w:r w:rsidRPr="0051467D">
        <w:tab/>
      </w:r>
      <w:r w:rsidRPr="00A86DFE">
        <w:rPr>
          <w:u w:val="single"/>
        </w:rPr>
        <w:t>Sh</w:t>
      </w:r>
      <w:r w:rsidRPr="00A86DFE">
        <w:t>ápúr Rási</w:t>
      </w:r>
      <w:r w:rsidRPr="00A86DFE">
        <w:rPr>
          <w:u w:val="single"/>
        </w:rPr>
        <w:t>kh</w:t>
      </w:r>
      <w:r w:rsidRPr="0051467D">
        <w:tab/>
      </w:r>
      <w:r>
        <w:t xml:space="preserve">Dr </w:t>
      </w:r>
      <w:r w:rsidRPr="00A86DFE">
        <w:rPr>
          <w:u w:val="single"/>
        </w:rPr>
        <w:t>Sh</w:t>
      </w:r>
      <w:r w:rsidRPr="00A86DFE">
        <w:t>ápúr Rási</w:t>
      </w:r>
      <w:r w:rsidRPr="00A86DFE">
        <w:rPr>
          <w:u w:val="single"/>
        </w:rPr>
        <w:t>kh</w:t>
      </w:r>
      <w:r w:rsidRPr="0051467D">
        <w:t xml:space="preserve"> (1924–2021</w:t>
      </w:r>
      <w:r>
        <w:t>) Persian Bahá’í, professor of sociology, a</w:t>
      </w:r>
      <w:r w:rsidRPr="00A5286B">
        <w:t>uthor of books and articles on sociology, economics and education</w:t>
      </w:r>
    </w:p>
    <w:p w14:paraId="37432F02" w14:textId="77777777" w:rsidR="00625A5B" w:rsidRDefault="00625A5B" w:rsidP="0045249B">
      <w:pPr>
        <w:pStyle w:val="Translit"/>
      </w:pPr>
      <w:r w:rsidRPr="008F03E5">
        <w:rPr>
          <w:rFonts w:eastAsia="PMingLiU"/>
          <w:lang w:eastAsia="zh-TW"/>
        </w:rPr>
        <w:t>Shapur</w:t>
      </w:r>
      <w:r w:rsidRPr="008F03E5">
        <w:tab/>
      </w:r>
      <w:r w:rsidRPr="008F03E5">
        <w:rPr>
          <w:u w:val="single"/>
        </w:rPr>
        <w:t>Sh</w:t>
      </w:r>
      <w:r w:rsidRPr="008F03E5">
        <w:rPr>
          <w:rFonts w:eastAsia="PMingLiU"/>
          <w:lang w:eastAsia="zh-TW"/>
        </w:rPr>
        <w:t>ápúr</w:t>
      </w:r>
      <w:r w:rsidRPr="008F03E5">
        <w:tab/>
        <w:t xml:space="preserve">Pers. </w:t>
      </w:r>
      <w:r w:rsidRPr="008F03E5">
        <w:rPr>
          <w:u w:val="single"/>
        </w:rPr>
        <w:t>sh</w:t>
      </w:r>
      <w:r w:rsidRPr="008F03E5">
        <w:t xml:space="preserve">áh + púr (“son of the king”); name of Persian kings.  See </w:t>
      </w:r>
      <w:r w:rsidRPr="008F03E5">
        <w:rPr>
          <w:u w:val="single"/>
        </w:rPr>
        <w:t>Sh</w:t>
      </w:r>
      <w:r w:rsidRPr="008F03E5">
        <w:t>áhpúr</w:t>
      </w:r>
    </w:p>
    <w:p w14:paraId="276F3F1D" w14:textId="77777777" w:rsidR="00625A5B" w:rsidRPr="008F03E5" w:rsidRDefault="00625A5B" w:rsidP="005B23C3">
      <w:pPr>
        <w:pStyle w:val="Translit"/>
      </w:pPr>
      <w:r w:rsidRPr="008F03E5">
        <w:t>Shaqiq, Ashiqqa</w:t>
      </w:r>
      <w:r w:rsidRPr="008F03E5">
        <w:tab/>
      </w:r>
      <w:r w:rsidRPr="008F03E5">
        <w:rPr>
          <w:u w:val="single"/>
        </w:rPr>
        <w:t>Sh</w:t>
      </w:r>
      <w:r w:rsidRPr="008F03E5">
        <w:t>aqíq, pl. A</w:t>
      </w:r>
      <w:r w:rsidRPr="008F03E5">
        <w:rPr>
          <w:u w:val="single"/>
        </w:rPr>
        <w:t>sh</w:t>
      </w:r>
      <w:r w:rsidRPr="008F03E5">
        <w:t>iqqa, A</w:t>
      </w:r>
      <w:r w:rsidRPr="008F03E5">
        <w:rPr>
          <w:u w:val="single"/>
        </w:rPr>
        <w:t>sh</w:t>
      </w:r>
      <w:r w:rsidRPr="008F03E5">
        <w:t>iqqá’</w:t>
      </w:r>
      <w:r w:rsidRPr="008F03E5">
        <w:tab/>
        <w:t>split or halved; one half; a brother uterine</w:t>
      </w:r>
    </w:p>
    <w:p w14:paraId="71D4F7C6" w14:textId="77777777" w:rsidR="00625A5B" w:rsidRPr="008F03E5" w:rsidRDefault="00625A5B" w:rsidP="0092658A">
      <w:pPr>
        <w:pStyle w:val="Translit"/>
      </w:pPr>
      <w:r w:rsidRPr="008F03E5">
        <w:t>Shaqiqa, Shaqiqat, Shaqá’iq</w:t>
      </w:r>
      <w:r w:rsidRPr="008F03E5">
        <w:tab/>
      </w:r>
      <w:r w:rsidRPr="008F03E5">
        <w:rPr>
          <w:u w:val="single"/>
        </w:rPr>
        <w:t>Sh</w:t>
      </w:r>
      <w:r w:rsidRPr="008F03E5">
        <w:t xml:space="preserve">aqíqa[h or t], pl. </w:t>
      </w:r>
      <w:r w:rsidRPr="008F03E5">
        <w:rPr>
          <w:u w:val="single"/>
        </w:rPr>
        <w:t>Sh</w:t>
      </w:r>
      <w:r w:rsidRPr="008F03E5">
        <w:t xml:space="preserve">aqíqqát, </w:t>
      </w:r>
      <w:r w:rsidRPr="008F03E5">
        <w:rPr>
          <w:u w:val="single"/>
        </w:rPr>
        <w:t>Sh</w:t>
      </w:r>
      <w:r w:rsidRPr="008F03E5">
        <w:t>aqá’iq</w:t>
      </w:r>
      <w:r w:rsidRPr="008F03E5">
        <w:tab/>
        <w:t xml:space="preserve">fem. of </w:t>
      </w:r>
      <w:r w:rsidRPr="008F03E5">
        <w:rPr>
          <w:u w:val="single"/>
        </w:rPr>
        <w:t>sh</w:t>
      </w:r>
      <w:r w:rsidRPr="008F03E5">
        <w:t xml:space="preserve">aqíq.  </w:t>
      </w:r>
      <w:r w:rsidRPr="008F03E5">
        <w:rPr>
          <w:u w:val="single"/>
        </w:rPr>
        <w:t>Sh</w:t>
      </w:r>
      <w:r w:rsidRPr="008F03E5">
        <w:t xml:space="preserve">aqá’iqu’n-nu‘mán al-ḥamrá’ (or </w:t>
      </w:r>
      <w:r w:rsidRPr="008F03E5">
        <w:rPr>
          <w:u w:val="single"/>
        </w:rPr>
        <w:t>sh</w:t>
      </w:r>
      <w:r w:rsidRPr="008F03E5">
        <w:t>aqá’iqu’n-nu‘mán), blood red anemone (botanical).</w:t>
      </w:r>
    </w:p>
    <w:p w14:paraId="123268A2" w14:textId="77777777" w:rsidR="00625A5B" w:rsidRPr="008F03E5" w:rsidRDefault="00625A5B" w:rsidP="001504FC">
      <w:pPr>
        <w:pStyle w:val="Translit"/>
      </w:pPr>
      <w:r w:rsidRPr="008F03E5">
        <w:t>Shaqqa</w:t>
      </w:r>
      <w:r w:rsidRPr="008F03E5">
        <w:tab/>
      </w:r>
      <w:r w:rsidRPr="008F03E5">
        <w:rPr>
          <w:u w:val="single"/>
        </w:rPr>
        <w:t>Sh</w:t>
      </w:r>
      <w:r w:rsidRPr="008F03E5">
        <w:t>aqqa</w:t>
      </w:r>
      <w:r w:rsidRPr="008F03E5">
        <w:tab/>
        <w:t>rift, tear, rip, fissure, crack, split, crevice (Qur’án 80:26)</w:t>
      </w:r>
    </w:p>
    <w:p w14:paraId="32E4D283" w14:textId="77777777" w:rsidR="00625A5B" w:rsidRPr="008F03E5" w:rsidRDefault="00625A5B" w:rsidP="00041B54">
      <w:pPr>
        <w:pStyle w:val="Translit"/>
      </w:pPr>
      <w:r w:rsidRPr="008F03E5">
        <w:t>Shaqshaqat, Shiqshiqat, Shiqshiqa</w:t>
      </w:r>
      <w:r w:rsidRPr="008F03E5">
        <w:tab/>
      </w:r>
      <w:r w:rsidRPr="008F03E5">
        <w:rPr>
          <w:u w:val="single"/>
        </w:rPr>
        <w:t>Sh</w:t>
      </w:r>
      <w:r w:rsidRPr="008F03E5">
        <w:t>aq</w:t>
      </w:r>
      <w:r w:rsidRPr="008F03E5">
        <w:rPr>
          <w:u w:val="single"/>
        </w:rPr>
        <w:t>sh</w:t>
      </w:r>
      <w:r w:rsidRPr="008F03E5">
        <w:t>aqat</w:t>
      </w:r>
      <w:r w:rsidRPr="008F03E5">
        <w:tab/>
        <w:t>twittering (a sparrow); roaring (a camel);—</w:t>
      </w:r>
      <w:r w:rsidRPr="008F03E5">
        <w:rPr>
          <w:u w:val="single"/>
        </w:rPr>
        <w:t>sh</w:t>
      </w:r>
      <w:r w:rsidRPr="008F03E5">
        <w:t>iq</w:t>
      </w:r>
      <w:r w:rsidRPr="008F03E5">
        <w:rPr>
          <w:u w:val="single"/>
        </w:rPr>
        <w:t>sh</w:t>
      </w:r>
      <w:r w:rsidRPr="008F03E5">
        <w:t xml:space="preserve">iqat, </w:t>
      </w:r>
      <w:r w:rsidRPr="008F03E5">
        <w:rPr>
          <w:u w:val="single"/>
        </w:rPr>
        <w:t>sh</w:t>
      </w:r>
      <w:r w:rsidRPr="008F03E5">
        <w:t>iq</w:t>
      </w:r>
      <w:r w:rsidRPr="008F03E5">
        <w:rPr>
          <w:u w:val="single"/>
        </w:rPr>
        <w:t>sh</w:t>
      </w:r>
      <w:r w:rsidRPr="008F03E5">
        <w:t>iqa, low gurgling sound and foaming at the mouth of a male camel during mating rituals</w:t>
      </w:r>
    </w:p>
    <w:p w14:paraId="0F6CC642" w14:textId="77777777" w:rsidR="00625A5B" w:rsidRPr="008F03E5" w:rsidRDefault="00625A5B" w:rsidP="00A95267">
      <w:pPr>
        <w:pStyle w:val="Translit"/>
      </w:pPr>
      <w:r w:rsidRPr="008F03E5">
        <w:t>Shar’</w:t>
      </w:r>
      <w:r w:rsidRPr="008F03E5">
        <w:tab/>
      </w:r>
      <w:r w:rsidRPr="008F03E5">
        <w:rPr>
          <w:u w:val="single"/>
        </w:rPr>
        <w:t>Sh</w:t>
      </w:r>
      <w:r w:rsidRPr="008F03E5">
        <w:t>ar‘</w:t>
      </w:r>
      <w:r w:rsidRPr="008F03E5">
        <w:tab/>
        <w:t>making a road straight; having a door opening upon the public road (a house); (metaphorically) making or prescribing laws; the Muslim law; revealed law; religion, faith, justice, equity; i.e. so-called “religious law”.  See ‘Urf.</w:t>
      </w:r>
    </w:p>
    <w:p w14:paraId="5AFE7D35" w14:textId="77777777" w:rsidR="00625A5B" w:rsidRPr="008F03E5" w:rsidRDefault="00625A5B" w:rsidP="00403206">
      <w:pPr>
        <w:pStyle w:val="Translit"/>
      </w:pPr>
      <w:r w:rsidRPr="008F03E5">
        <w:t>Sharab</w:t>
      </w:r>
      <w:r w:rsidRPr="008F03E5">
        <w:tab/>
      </w:r>
      <w:r w:rsidRPr="008F03E5">
        <w:rPr>
          <w:u w:val="single"/>
        </w:rPr>
        <w:t>Sh</w:t>
      </w:r>
      <w:r w:rsidRPr="008F03E5">
        <w:t>aráb, pl. A</w:t>
      </w:r>
      <w:r w:rsidRPr="008F03E5">
        <w:rPr>
          <w:u w:val="single"/>
        </w:rPr>
        <w:t>sh</w:t>
      </w:r>
      <w:r w:rsidRPr="008F03E5">
        <w:t>riba</w:t>
      </w:r>
      <w:r w:rsidRPr="008F03E5">
        <w:tab/>
        <w:t>beverage, drink; wine; fruit juice, fruit syrup, sherbet</w:t>
      </w:r>
    </w:p>
    <w:p w14:paraId="70165309" w14:textId="77777777" w:rsidR="00625A5B" w:rsidRPr="008F03E5" w:rsidRDefault="00625A5B" w:rsidP="00403206">
      <w:pPr>
        <w:pStyle w:val="Translit"/>
      </w:pPr>
      <w:r w:rsidRPr="008F03E5">
        <w:t>Sharaf</w:t>
      </w:r>
      <w:r w:rsidRPr="008F03E5">
        <w:tab/>
      </w:r>
      <w:r w:rsidRPr="008F03E5">
        <w:rPr>
          <w:u w:val="single"/>
        </w:rPr>
        <w:t>Sh</w:t>
      </w:r>
      <w:r w:rsidRPr="008F03E5">
        <w:t>araf</w:t>
      </w:r>
      <w:r w:rsidRPr="008F03E5">
        <w:tab/>
        <w:t>being high and noble; elevation, height, altitude; nobility, dignity, rank, glory; the honour derived from ancestors; descent from Muhammad; an eminence, a high place</w:t>
      </w:r>
    </w:p>
    <w:p w14:paraId="237C78FB" w14:textId="77777777" w:rsidR="00625A5B" w:rsidRPr="008F03E5" w:rsidRDefault="00625A5B" w:rsidP="00C6261C">
      <w:pPr>
        <w:pStyle w:val="Translit"/>
      </w:pPr>
      <w:r w:rsidRPr="008F03E5">
        <w:t>Sharaha, Sharh, Shuruh</w:t>
      </w:r>
      <w:r w:rsidRPr="008F03E5">
        <w:tab/>
      </w:r>
      <w:r w:rsidRPr="008F03E5">
        <w:rPr>
          <w:u w:val="single"/>
        </w:rPr>
        <w:t>Sh</w:t>
      </w:r>
      <w:r w:rsidRPr="008F03E5">
        <w:t>araḥa (</w:t>
      </w:r>
      <w:r w:rsidRPr="008F03E5">
        <w:rPr>
          <w:u w:val="single"/>
        </w:rPr>
        <w:t>Sh</w:t>
      </w:r>
      <w:r w:rsidRPr="008F03E5">
        <w:t xml:space="preserve">arḥ), pl. </w:t>
      </w:r>
      <w:r w:rsidRPr="008F03E5">
        <w:rPr>
          <w:u w:val="single"/>
        </w:rPr>
        <w:t>Sh</w:t>
      </w:r>
      <w:r w:rsidRPr="008F03E5">
        <w:t>urúḥ</w:t>
      </w:r>
      <w:r w:rsidRPr="008F03E5">
        <w:tab/>
        <w:t>to cut in slices, slice, cut up (something); to cut open, rip open (something); to bare, expose, make clearly visible or discernible (something), to expound (something); to explain, elucidate, illustrate, make plain, set forth, describe, depict (something); to comment (on), interpret (something), to open;—pl. e</w:t>
      </w:r>
      <w:r w:rsidRPr="008F03E5">
        <w:rPr>
          <w:rFonts w:eastAsia="Times New Roman"/>
        </w:rPr>
        <w:t>xplanations, commentaries; rudiments, elements</w:t>
      </w:r>
    </w:p>
    <w:p w14:paraId="793A00A2" w14:textId="77777777" w:rsidR="00625A5B" w:rsidRPr="008F03E5" w:rsidRDefault="00625A5B" w:rsidP="003D7040">
      <w:pPr>
        <w:pStyle w:val="Translit"/>
      </w:pPr>
      <w:r w:rsidRPr="008F03E5">
        <w:rPr>
          <w:rFonts w:eastAsia="PMingLiU"/>
          <w:lang w:eastAsia="zh-TW"/>
        </w:rPr>
        <w:t>Sharba</w:t>
      </w:r>
      <w:r w:rsidRPr="008F03E5">
        <w:rPr>
          <w:rFonts w:eastAsia="PMingLiU"/>
          <w:lang w:eastAsia="zh-TW"/>
        </w:rPr>
        <w:tab/>
      </w:r>
      <w:r w:rsidRPr="008F03E5">
        <w:rPr>
          <w:rFonts w:eastAsia="PMingLiU"/>
          <w:u w:val="single"/>
          <w:lang w:eastAsia="zh-TW"/>
        </w:rPr>
        <w:t>Sh</w:t>
      </w:r>
      <w:r w:rsidRPr="008F03E5">
        <w:rPr>
          <w:rFonts w:eastAsia="PMingLiU"/>
          <w:lang w:eastAsia="zh-TW"/>
        </w:rPr>
        <w:t>arba[t]</w:t>
      </w:r>
      <w:r w:rsidRPr="008F03E5">
        <w:rPr>
          <w:rFonts w:eastAsia="PMingLiU"/>
          <w:lang w:eastAsia="zh-TW"/>
        </w:rPr>
        <w:tab/>
        <w:t xml:space="preserve">drink; sherbet; sip, draught, swallow; dose, potion (of a medicine); laxative, purgative, aperient.  See </w:t>
      </w:r>
      <w:r w:rsidRPr="008F03E5">
        <w:rPr>
          <w:rFonts w:eastAsia="PMingLiU"/>
          <w:u w:val="single"/>
          <w:lang w:eastAsia="zh-TW"/>
        </w:rPr>
        <w:t>sh</w:t>
      </w:r>
      <w:r w:rsidRPr="008F03E5">
        <w:rPr>
          <w:rFonts w:eastAsia="PMingLiU"/>
          <w:lang w:eastAsia="zh-TW"/>
        </w:rPr>
        <w:t>ar</w:t>
      </w:r>
      <w:r w:rsidRPr="008F03E5">
        <w:t>á</w:t>
      </w:r>
      <w:r w:rsidRPr="008F03E5">
        <w:rPr>
          <w:rFonts w:eastAsia="PMingLiU"/>
          <w:lang w:eastAsia="zh-TW"/>
        </w:rPr>
        <w:t>b</w:t>
      </w:r>
    </w:p>
    <w:p w14:paraId="413743AF" w14:textId="77777777" w:rsidR="00625A5B" w:rsidRPr="008F03E5" w:rsidRDefault="00625A5B" w:rsidP="00524073">
      <w:pPr>
        <w:pStyle w:val="Translit"/>
      </w:pPr>
      <w:r w:rsidRPr="008F03E5">
        <w:t>Sharh al-Hikmat al-‘Arshiyah</w:t>
      </w:r>
      <w:r w:rsidRPr="008F03E5">
        <w:tab/>
        <w:t>Sharḥ al-Ḥikmat al-‘Ar</w:t>
      </w:r>
      <w:r w:rsidRPr="008F03E5">
        <w:rPr>
          <w:u w:val="single"/>
        </w:rPr>
        <w:t>sh</w:t>
      </w:r>
      <w:r w:rsidRPr="008F03E5">
        <w:t>íyah</w:t>
      </w:r>
      <w:r w:rsidRPr="008F03E5">
        <w:tab/>
        <w:t xml:space="preserve">(written by </w:t>
      </w:r>
      <w:r w:rsidRPr="008F03E5">
        <w:rPr>
          <w:u w:val="single"/>
        </w:rPr>
        <w:t>Sh</w:t>
      </w:r>
      <w:r w:rsidRPr="008F03E5">
        <w:t>ay</w:t>
      </w:r>
      <w:r w:rsidRPr="008F03E5">
        <w:rPr>
          <w:u w:val="single"/>
        </w:rPr>
        <w:t>kh</w:t>
      </w:r>
      <w:r w:rsidRPr="008F03E5">
        <w:t xml:space="preserve"> Aḥmad-i-Aḥsá’í) commentary on al-Ḥikmat al-‘Ar</w:t>
      </w:r>
      <w:r w:rsidRPr="008F03E5">
        <w:rPr>
          <w:u w:val="single"/>
        </w:rPr>
        <w:t>sh</w:t>
      </w:r>
      <w:r w:rsidRPr="008F03E5">
        <w:t xml:space="preserve">íyah; Mullá Ṣadrá’s </w:t>
      </w:r>
      <w:r w:rsidRPr="008F03E5">
        <w:rPr>
          <w:i/>
          <w:iCs/>
        </w:rPr>
        <w:t>al-Ḥikmat al-‘Ar</w:t>
      </w:r>
      <w:r w:rsidRPr="008F03E5">
        <w:rPr>
          <w:i/>
          <w:iCs/>
          <w:u w:val="single"/>
        </w:rPr>
        <w:t>sh</w:t>
      </w:r>
      <w:r w:rsidRPr="008F03E5">
        <w:rPr>
          <w:i/>
          <w:iCs/>
        </w:rPr>
        <w:t>íyah</w:t>
      </w:r>
      <w:r w:rsidRPr="008F03E5">
        <w:t xml:space="preserve"> (The book of wisdom descending from the Divine throne)</w:t>
      </w:r>
    </w:p>
    <w:p w14:paraId="002C5B95" w14:textId="77777777" w:rsidR="00625A5B" w:rsidRPr="008F03E5" w:rsidRDefault="00625A5B" w:rsidP="00524073">
      <w:pPr>
        <w:pStyle w:val="Translit"/>
      </w:pPr>
      <w:r w:rsidRPr="008F03E5">
        <w:t>Sharh al-Khutba at-Tutunjiya</w:t>
      </w:r>
      <w:r w:rsidRPr="008F03E5">
        <w:tab/>
      </w:r>
      <w:r w:rsidRPr="008F03E5">
        <w:rPr>
          <w:u w:val="single"/>
        </w:rPr>
        <w:t>Sh</w:t>
      </w:r>
      <w:r w:rsidRPr="008F03E5">
        <w:t>arḥ al-</w:t>
      </w:r>
      <w:r w:rsidRPr="008F03E5">
        <w:rPr>
          <w:u w:val="single"/>
        </w:rPr>
        <w:t>Kh</w:t>
      </w:r>
      <w:r w:rsidRPr="008F03E5">
        <w:t>uṭba aṭ-Ṭutunjíya</w:t>
      </w:r>
      <w:r w:rsidRPr="008F03E5">
        <w:tab/>
        <w:t>by Sayyid Káẓim Ra</w:t>
      </w:r>
      <w:r w:rsidRPr="008F03E5">
        <w:rPr>
          <w:u w:val="single"/>
        </w:rPr>
        <w:t>sh</w:t>
      </w:r>
      <w:r w:rsidRPr="008F03E5">
        <w:t xml:space="preserve">tí.  A lengthy Arabic commentary upon about half of the </w:t>
      </w:r>
      <w:r w:rsidRPr="008F03E5">
        <w:rPr>
          <w:u w:val="single"/>
        </w:rPr>
        <w:t>Kh</w:t>
      </w:r>
      <w:r w:rsidRPr="008F03E5">
        <w:t xml:space="preserve">uṭbat at-Ṭutunjíya.  He specifically identified Ṭutunjíya with the synonym (also found in the Sermon) </w:t>
      </w:r>
      <w:r w:rsidRPr="008F03E5">
        <w:rPr>
          <w:rtl/>
        </w:rPr>
        <w:t>خليج</w:t>
      </w:r>
      <w:r w:rsidRPr="008F03E5">
        <w:t xml:space="preserve"> </w:t>
      </w:r>
      <w:r w:rsidRPr="008F03E5">
        <w:rPr>
          <w:u w:val="single"/>
        </w:rPr>
        <w:t>kh</w:t>
      </w:r>
      <w:r w:rsidRPr="008F03E5">
        <w:t xml:space="preserve">alij (“gulf”, “bay” or perhaps a watery channel or river).  In the </w:t>
      </w:r>
      <w:r w:rsidRPr="008F03E5">
        <w:rPr>
          <w:u w:val="single"/>
        </w:rPr>
        <w:t>Kh</w:t>
      </w:r>
      <w:r w:rsidRPr="008F03E5">
        <w:t xml:space="preserve">uṭbat aṭ-Ṭutunjíya Imám ‘Alí declares:  “I am the one presiding [standing upright] over the two gulfs (aṭ-ṭutunjayn).”  Pers. </w:t>
      </w:r>
      <w:r w:rsidRPr="008F03E5">
        <w:rPr>
          <w:u w:val="single"/>
        </w:rPr>
        <w:t>Sh</w:t>
      </w:r>
      <w:r w:rsidRPr="008F03E5">
        <w:t>arḥ-i-</w:t>
      </w:r>
      <w:r w:rsidRPr="008F03E5">
        <w:rPr>
          <w:u w:val="single"/>
        </w:rPr>
        <w:t>Kh</w:t>
      </w:r>
      <w:r w:rsidRPr="008F03E5">
        <w:t>uṭbiy-i-Ṭutunjiyyih.  See https://hurqalya. ucmerced.edu/node/368</w:t>
      </w:r>
    </w:p>
    <w:p w14:paraId="40C20FC9" w14:textId="77777777" w:rsidR="00625A5B" w:rsidRPr="008F03E5" w:rsidRDefault="00625A5B" w:rsidP="0070104F">
      <w:pPr>
        <w:pStyle w:val="Translit"/>
        <w:rPr>
          <w:rFonts w:eastAsia="PMingLiU"/>
          <w:lang w:eastAsia="zh-TW"/>
        </w:rPr>
      </w:pPr>
      <w:r w:rsidRPr="008F03E5">
        <w:t>Sharh a</w:t>
      </w:r>
      <w:r>
        <w:t>z</w:t>
      </w:r>
      <w:r w:rsidRPr="008F03E5">
        <w:t>-Ziyara al-Jami’a al-Kabira</w:t>
      </w:r>
      <w:r w:rsidRPr="008F03E5">
        <w:tab/>
      </w:r>
      <w:r w:rsidRPr="008F03E5">
        <w:rPr>
          <w:u w:val="single"/>
        </w:rPr>
        <w:t>Sh</w:t>
      </w:r>
      <w:r w:rsidRPr="008F03E5">
        <w:t>arḥ a</w:t>
      </w:r>
      <w:r>
        <w:t>z</w:t>
      </w:r>
      <w:r w:rsidRPr="008F03E5">
        <w:t>-Ziyára al-Jámi‘a al-Kabíra</w:t>
      </w:r>
      <w:r w:rsidRPr="008F03E5">
        <w:tab/>
        <w:t xml:space="preserve">“Explanation of ‘The Larger, Comprehensive Visitation Text’” by </w:t>
      </w:r>
      <w:r w:rsidRPr="008F03E5">
        <w:rPr>
          <w:u w:val="single"/>
        </w:rPr>
        <w:t>Sh</w:t>
      </w:r>
      <w:r w:rsidRPr="008F03E5">
        <w:t>ay</w:t>
      </w:r>
      <w:r w:rsidRPr="008F03E5">
        <w:rPr>
          <w:u w:val="single"/>
        </w:rPr>
        <w:t>kh</w:t>
      </w:r>
      <w:r w:rsidRPr="008F03E5">
        <w:t xml:space="preserve"> Aḥmad-i-Aḥsá’í.  Explanation of text from ‘Alí an-Naqí, the 10th Imám.</w:t>
      </w:r>
    </w:p>
    <w:p w14:paraId="6FE475BF" w14:textId="77777777" w:rsidR="00625A5B" w:rsidRPr="008F03E5" w:rsidRDefault="00625A5B" w:rsidP="00155AA2">
      <w:pPr>
        <w:pStyle w:val="Translit"/>
      </w:pPr>
      <w:r w:rsidRPr="008F03E5">
        <w:t>Sharh Kitab al-Hikma al-‘Arshiya</w:t>
      </w:r>
      <w:r w:rsidRPr="008F03E5">
        <w:tab/>
      </w:r>
      <w:r w:rsidRPr="008F03E5">
        <w:rPr>
          <w:u w:val="single"/>
        </w:rPr>
        <w:t>Sh</w:t>
      </w:r>
      <w:r w:rsidRPr="008F03E5">
        <w:t>arḥ Kitáb al-Ḥikma al-‘Ar</w:t>
      </w:r>
      <w:r w:rsidRPr="008F03E5">
        <w:rPr>
          <w:u w:val="single"/>
        </w:rPr>
        <w:t>sh</w:t>
      </w:r>
      <w:r w:rsidRPr="008F03E5">
        <w:t>íya</w:t>
      </w:r>
      <w:r w:rsidRPr="008F03E5">
        <w:tab/>
        <w:t xml:space="preserve">commentary by </w:t>
      </w:r>
      <w:r w:rsidRPr="008F03E5">
        <w:rPr>
          <w:u w:val="single"/>
        </w:rPr>
        <w:t>Sh</w:t>
      </w:r>
      <w:r w:rsidRPr="008F03E5">
        <w:t>ay</w:t>
      </w:r>
      <w:r w:rsidRPr="008F03E5">
        <w:rPr>
          <w:u w:val="single"/>
        </w:rPr>
        <w:t>kh</w:t>
      </w:r>
      <w:r w:rsidRPr="008F03E5">
        <w:t xml:space="preserve"> Aḥmad Aḥsá’í upon the Kitáb al-Ḥikma al-‘Ar</w:t>
      </w:r>
      <w:r w:rsidRPr="008F03E5">
        <w:rPr>
          <w:u w:val="single"/>
        </w:rPr>
        <w:t>sh</w:t>
      </w:r>
      <w:r w:rsidRPr="008F03E5">
        <w:t>íya (“The Book of the Wisdom of the Throne”) by Mullá Ṣadrá.</w:t>
      </w:r>
    </w:p>
    <w:p w14:paraId="2A8625E9" w14:textId="77777777" w:rsidR="00625A5B" w:rsidRPr="008F03E5" w:rsidRDefault="00625A5B" w:rsidP="00340FC9">
      <w:pPr>
        <w:pStyle w:val="Translit"/>
        <w:rPr>
          <w:rFonts w:eastAsia="PMingLiU"/>
          <w:lang w:eastAsia="zh-TW"/>
        </w:rPr>
      </w:pPr>
      <w:r w:rsidRPr="008F03E5">
        <w:rPr>
          <w:rFonts w:eastAsia="PMingLiU"/>
          <w:lang w:eastAsia="zh-TW"/>
        </w:rPr>
        <w:t>Sharh, Shuruh</w:t>
      </w:r>
      <w:r w:rsidRPr="008F03E5">
        <w:rPr>
          <w:rFonts w:eastAsia="PMingLiU"/>
          <w:lang w:eastAsia="zh-TW"/>
        </w:rPr>
        <w:tab/>
      </w:r>
      <w:r w:rsidRPr="008F03E5">
        <w:rPr>
          <w:rFonts w:eastAsia="PMingLiU"/>
          <w:u w:val="single"/>
          <w:lang w:eastAsia="zh-TW"/>
        </w:rPr>
        <w:t>Sh</w:t>
      </w:r>
      <w:r w:rsidRPr="008F03E5">
        <w:rPr>
          <w:rFonts w:eastAsia="PMingLiU"/>
          <w:lang w:eastAsia="zh-TW"/>
        </w:rPr>
        <w:t xml:space="preserve">arḥ, pl. </w:t>
      </w:r>
      <w:r w:rsidRPr="008F03E5">
        <w:rPr>
          <w:rFonts w:eastAsia="PMingLiU"/>
          <w:u w:val="single"/>
          <w:lang w:eastAsia="zh-TW"/>
        </w:rPr>
        <w:t>Sh</w:t>
      </w:r>
      <w:r w:rsidRPr="008F03E5">
        <w:rPr>
          <w:rFonts w:eastAsia="PMingLiU"/>
          <w:lang w:eastAsia="zh-TW"/>
        </w:rPr>
        <w:t>urúḥ</w:t>
      </w:r>
      <w:r w:rsidRPr="008F03E5">
        <w:rPr>
          <w:rFonts w:eastAsia="PMingLiU"/>
          <w:lang w:eastAsia="zh-TW"/>
        </w:rPr>
        <w:tab/>
        <w:t>expounding, presentation, explanation, illustration, elucidation, exposition, setting forth;—pl. commentary</w:t>
      </w:r>
    </w:p>
    <w:p w14:paraId="77692958" w14:textId="77777777" w:rsidR="00625A5B" w:rsidRPr="008F03E5" w:rsidRDefault="00625A5B" w:rsidP="008627C0">
      <w:pPr>
        <w:pStyle w:val="Translit"/>
      </w:pPr>
      <w:r w:rsidRPr="008F03E5">
        <w:t>Sharh-i-Ayat-i-Mu’arrakh</w:t>
      </w:r>
      <w:r w:rsidRPr="008F03E5">
        <w:tab/>
      </w:r>
      <w:r w:rsidRPr="008F03E5">
        <w:rPr>
          <w:u w:val="single"/>
        </w:rPr>
        <w:t>Sh</w:t>
      </w:r>
      <w:r w:rsidRPr="008F03E5">
        <w:t>arḥ-i-Áyát-i-Mu’arra</w:t>
      </w:r>
      <w:r w:rsidRPr="008F03E5">
        <w:rPr>
          <w:u w:val="single"/>
        </w:rPr>
        <w:t>kh</w:t>
      </w:r>
      <w:r w:rsidRPr="008F03E5">
        <w:tab/>
        <w:t xml:space="preserve">“an account of the texts, giving dates”.  </w:t>
      </w:r>
      <w:r w:rsidRPr="008F03E5">
        <w:rPr>
          <w:u w:val="single"/>
        </w:rPr>
        <w:t>Sh</w:t>
      </w:r>
      <w:r w:rsidRPr="008F03E5">
        <w:t>arḥ-i-Áyát-i-Mu’arra</w:t>
      </w:r>
      <w:r w:rsidRPr="008F03E5">
        <w:rPr>
          <w:u w:val="single"/>
        </w:rPr>
        <w:t>kh</w:t>
      </w:r>
      <w:r w:rsidRPr="008F03E5">
        <w:t>ih (“In explanation of the sacred verses that prophecy dates”, Mírzá Faḍl (1888).  The work discusses the prophecies concerning the date of the coming of the Promised One in the scriptures of Islam, Christianity, Judaism, and Zoroastrianism.</w:t>
      </w:r>
    </w:p>
    <w:p w14:paraId="1863FCAC" w14:textId="77777777" w:rsidR="00625A5B" w:rsidRPr="008F03E5" w:rsidRDefault="00625A5B" w:rsidP="00900A82">
      <w:pPr>
        <w:pStyle w:val="Translit"/>
      </w:pPr>
      <w:r w:rsidRPr="008F03E5">
        <w:t>Sharh-i-Du’a’-i-Ghaybat</w:t>
      </w:r>
      <w:r w:rsidRPr="008F03E5">
        <w:tab/>
      </w:r>
      <w:r w:rsidRPr="008F03E5">
        <w:rPr>
          <w:u w:val="single"/>
        </w:rPr>
        <w:t>Sh</w:t>
      </w:r>
      <w:r w:rsidRPr="008F03E5">
        <w:t>arḥ-i-Du‘á’-i-</w:t>
      </w:r>
      <w:r w:rsidRPr="008F03E5">
        <w:rPr>
          <w:u w:val="single"/>
        </w:rPr>
        <w:t>Gh</w:t>
      </w:r>
      <w:r w:rsidRPr="008F03E5">
        <w:t>aybat</w:t>
      </w:r>
      <w:r w:rsidRPr="008F03E5">
        <w:tab/>
        <w:t>“Commentary on the Occultation Prayer” by the Báb</w:t>
      </w:r>
    </w:p>
    <w:p w14:paraId="4EE114F2" w14:textId="77777777" w:rsidR="00625A5B" w:rsidRPr="008F03E5" w:rsidRDefault="00625A5B" w:rsidP="005F1B29">
      <w:pPr>
        <w:pStyle w:val="Translit"/>
      </w:pPr>
      <w:r w:rsidRPr="008F03E5">
        <w:t>Sharh-i-Fass-i-Nigin-i-Ism-i-A’zam</w:t>
      </w:r>
      <w:r w:rsidRPr="008F03E5">
        <w:tab/>
      </w:r>
      <w:r w:rsidRPr="008F03E5">
        <w:rPr>
          <w:u w:val="single"/>
        </w:rPr>
        <w:t>Sh</w:t>
      </w:r>
      <w:r w:rsidRPr="008F03E5">
        <w:t>arḥ-i-Faṣṣ-i-Nigín-i-Ism-i-A‘ẓam</w:t>
      </w:r>
      <w:r w:rsidRPr="008F03E5">
        <w:tab/>
        <w:t xml:space="preserve">“Explanation of the Ringstone Greatest Name” by ‘Abdu’l-Bahá.  See </w:t>
      </w:r>
      <w:r w:rsidRPr="008F03E5">
        <w:rPr>
          <w:u w:val="single"/>
        </w:rPr>
        <w:t>Sh</w:t>
      </w:r>
      <w:r w:rsidRPr="008F03E5">
        <w:t>araḥa</w:t>
      </w:r>
    </w:p>
    <w:p w14:paraId="2BED662D" w14:textId="77777777" w:rsidR="00625A5B" w:rsidRPr="008F03E5" w:rsidRDefault="00625A5B" w:rsidP="002E0168">
      <w:pPr>
        <w:pStyle w:val="Translit"/>
      </w:pPr>
      <w:r w:rsidRPr="008F03E5">
        <w:t>Sharh-i-Kuntu Kanzan Makhfiyan</w:t>
      </w:r>
      <w:r w:rsidRPr="008F03E5">
        <w:tab/>
      </w:r>
      <w:r w:rsidRPr="008F03E5">
        <w:rPr>
          <w:u w:val="single"/>
        </w:rPr>
        <w:t>Sh</w:t>
      </w:r>
      <w:r w:rsidRPr="008F03E5">
        <w:t>arḥ-i-Kuntu Kanzan Ma</w:t>
      </w:r>
      <w:r w:rsidRPr="008F03E5">
        <w:rPr>
          <w:u w:val="single"/>
        </w:rPr>
        <w:t>kh</w:t>
      </w:r>
      <w:r w:rsidRPr="008F03E5">
        <w:t>fíyan</w:t>
      </w:r>
      <w:r w:rsidRPr="008F03E5">
        <w:tab/>
        <w:t>commentary on the Islamic tradition ‘I was a Hidden Treasure …’</w:t>
      </w:r>
    </w:p>
    <w:p w14:paraId="4D759328" w14:textId="77777777" w:rsidR="00625A5B" w:rsidRPr="008F03E5" w:rsidRDefault="00625A5B" w:rsidP="00043457">
      <w:pPr>
        <w:pStyle w:val="Translit"/>
      </w:pPr>
      <w:r w:rsidRPr="008F03E5">
        <w:t>Sharh-i-Masha’ir</w:t>
      </w:r>
      <w:r w:rsidRPr="008F03E5">
        <w:tab/>
        <w:t>Sharḥ-i-Ma</w:t>
      </w:r>
      <w:r w:rsidRPr="008F03E5">
        <w:rPr>
          <w:u w:val="single"/>
        </w:rPr>
        <w:t>sh</w:t>
      </w:r>
      <w:r w:rsidRPr="008F03E5">
        <w:t>á‘ir</w:t>
      </w:r>
      <w:r w:rsidRPr="008F03E5">
        <w:tab/>
        <w:t xml:space="preserve">(written by </w:t>
      </w:r>
      <w:r w:rsidRPr="008F03E5">
        <w:rPr>
          <w:u w:val="single"/>
        </w:rPr>
        <w:t>Sh</w:t>
      </w:r>
      <w:r w:rsidRPr="008F03E5">
        <w:t>ay</w:t>
      </w:r>
      <w:r w:rsidRPr="008F03E5">
        <w:rPr>
          <w:u w:val="single"/>
        </w:rPr>
        <w:t>kh</w:t>
      </w:r>
      <w:r w:rsidRPr="008F03E5">
        <w:t xml:space="preserve"> Aḥmad-i-Aḥsá’í) commentary on Ma</w:t>
      </w:r>
      <w:r w:rsidRPr="008F03E5">
        <w:rPr>
          <w:u w:val="single"/>
        </w:rPr>
        <w:t>sh</w:t>
      </w:r>
      <w:r w:rsidRPr="008F03E5">
        <w:t xml:space="preserve">á‘ir; Mullá Ṣadrá’s </w:t>
      </w:r>
      <w:r w:rsidRPr="008F03E5">
        <w:rPr>
          <w:i/>
          <w:iCs/>
        </w:rPr>
        <w:t>Kitáb al-Ma</w:t>
      </w:r>
      <w:r w:rsidRPr="008F03E5">
        <w:rPr>
          <w:i/>
          <w:iCs/>
          <w:u w:val="single"/>
        </w:rPr>
        <w:t>sh</w:t>
      </w:r>
      <w:r w:rsidRPr="008F03E5">
        <w:rPr>
          <w:i/>
          <w:iCs/>
        </w:rPr>
        <w:t>á‘ir</w:t>
      </w:r>
      <w:r w:rsidRPr="008F03E5">
        <w:t xml:space="preserve"> (translated into French by Henry Corbin as “The book of metaphysical penetrations” and English by Izutsu Toshihiko as </w:t>
      </w:r>
      <w:r w:rsidRPr="008F03E5">
        <w:rPr>
          <w:i/>
          <w:iCs/>
        </w:rPr>
        <w:t>The Concept and Reality of Existence</w:t>
      </w:r>
      <w:r w:rsidRPr="008F03E5">
        <w:t>), a philosophical treatise on existence (wujúd) and quiddity (máhíyah)</w:t>
      </w:r>
    </w:p>
    <w:p w14:paraId="329B31F6" w14:textId="77777777" w:rsidR="00625A5B" w:rsidRPr="008F03E5" w:rsidRDefault="00625A5B" w:rsidP="00043457">
      <w:pPr>
        <w:pStyle w:val="Translit"/>
      </w:pPr>
      <w:r w:rsidRPr="008F03E5">
        <w:t>Sharh-i-Qasidiy-i-Lamiyyih</w:t>
      </w:r>
      <w:r w:rsidRPr="008F03E5">
        <w:tab/>
      </w:r>
      <w:r w:rsidRPr="008F03E5">
        <w:rPr>
          <w:u w:val="single"/>
        </w:rPr>
        <w:t>Sh</w:t>
      </w:r>
      <w:r w:rsidRPr="008F03E5">
        <w:t>arḥ-i-Qaṣídiy-i-Lámíyyih</w:t>
      </w:r>
      <w:r w:rsidRPr="008F03E5">
        <w:tab/>
        <w:t>(written by Siyyid Káẓim-i-Ra</w:t>
      </w:r>
      <w:r w:rsidRPr="008F03E5">
        <w:rPr>
          <w:u w:val="single"/>
        </w:rPr>
        <w:t>sh</w:t>
      </w:r>
      <w:r w:rsidRPr="008F03E5">
        <w:t>tí)</w:t>
      </w:r>
    </w:p>
    <w:p w14:paraId="06D86856" w14:textId="77777777" w:rsidR="00625A5B" w:rsidRPr="008F03E5" w:rsidRDefault="00625A5B" w:rsidP="003B5D0A">
      <w:pPr>
        <w:pStyle w:val="Translit"/>
      </w:pPr>
      <w:r w:rsidRPr="008F03E5">
        <w:t>Sharh-i-Shuhaday-i-Yazd va Isfahan</w:t>
      </w:r>
      <w:r w:rsidRPr="008F03E5">
        <w:tab/>
      </w:r>
      <w:r w:rsidRPr="008F03E5">
        <w:rPr>
          <w:u w:val="single"/>
        </w:rPr>
        <w:t>Sh</w:t>
      </w:r>
      <w:r w:rsidRPr="008F03E5">
        <w:t>arḥ-i-</w:t>
      </w:r>
      <w:r w:rsidRPr="008F03E5">
        <w:rPr>
          <w:u w:val="single"/>
        </w:rPr>
        <w:t>Sh</w:t>
      </w:r>
      <w:r w:rsidRPr="008F03E5">
        <w:t>uhadáy-i-Yazd va Iṣfahán</w:t>
      </w:r>
      <w:r w:rsidRPr="008F03E5">
        <w:tab/>
        <w:t>“Commentary on the martyrs of Yazd and Ịsfahán” by ‘Abdu’l-Bahá</w:t>
      </w:r>
    </w:p>
    <w:p w14:paraId="37276709" w14:textId="77777777" w:rsidR="00625A5B" w:rsidRPr="008F03E5" w:rsidRDefault="00625A5B" w:rsidP="0010696E">
      <w:pPr>
        <w:pStyle w:val="Translit"/>
      </w:pPr>
      <w:r w:rsidRPr="008F03E5">
        <w:t>Sharhu’l-Fawa’id (Sharhu’l-Fava’id)</w:t>
      </w:r>
      <w:r w:rsidRPr="008F03E5">
        <w:tab/>
      </w:r>
      <w:r w:rsidRPr="008F03E5">
        <w:rPr>
          <w:u w:val="single"/>
        </w:rPr>
        <w:t>Sh</w:t>
      </w:r>
      <w:r w:rsidRPr="008F03E5">
        <w:t>arḥu’l-Fawá’id</w:t>
      </w:r>
      <w:r w:rsidRPr="008F03E5">
        <w:tab/>
        <w:t xml:space="preserve">(written by </w:t>
      </w:r>
      <w:r w:rsidRPr="008F03E5">
        <w:rPr>
          <w:u w:val="single"/>
        </w:rPr>
        <w:t>Sh</w:t>
      </w:r>
      <w:r w:rsidRPr="008F03E5">
        <w:t>ay</w:t>
      </w:r>
      <w:r w:rsidRPr="008F03E5">
        <w:rPr>
          <w:u w:val="single"/>
        </w:rPr>
        <w:t>kh</w:t>
      </w:r>
      <w:r w:rsidRPr="008F03E5">
        <w:t xml:space="preserve"> Aḥmad-i-Aḥsá’í)  The three stages of Ṣúfí life are:  </w:t>
      </w:r>
      <w:r w:rsidRPr="008F03E5">
        <w:rPr>
          <w:u w:val="single"/>
        </w:rPr>
        <w:t>Sh</w:t>
      </w:r>
      <w:r w:rsidRPr="008F03E5">
        <w:t>arí’at, Ṭaríqat and Ḥaqíqat.</w:t>
      </w:r>
    </w:p>
    <w:p w14:paraId="7DA89C28" w14:textId="77777777" w:rsidR="00625A5B" w:rsidRPr="008F03E5" w:rsidRDefault="00625A5B" w:rsidP="00993DBD">
      <w:pPr>
        <w:pStyle w:val="Translit"/>
      </w:pPr>
      <w:r w:rsidRPr="008F03E5">
        <w:rPr>
          <w:rFonts w:eastAsia="Times New Roman"/>
        </w:rPr>
        <w:t>Shari’</w:t>
      </w:r>
      <w:r w:rsidRPr="008F03E5">
        <w:rPr>
          <w:rFonts w:eastAsia="Times New Roman"/>
        </w:rPr>
        <w:tab/>
      </w:r>
      <w:r w:rsidRPr="008F03E5">
        <w:rPr>
          <w:rFonts w:eastAsia="Times New Roman"/>
          <w:u w:val="single"/>
        </w:rPr>
        <w:t>Sh</w:t>
      </w:r>
      <w:r w:rsidRPr="008F03E5">
        <w:rPr>
          <w:rFonts w:eastAsia="Times New Roman"/>
        </w:rPr>
        <w:t>ári‘</w:t>
      </w:r>
      <w:r w:rsidRPr="008F03E5">
        <w:rPr>
          <w:rFonts w:eastAsia="Times New Roman"/>
        </w:rPr>
        <w:tab/>
        <w:t>an expounder of the law; or of the articles of faith; a legislator, lawgiver; a highway, main road, thoroughfare</w:t>
      </w:r>
    </w:p>
    <w:p w14:paraId="487BAD35" w14:textId="77777777" w:rsidR="00625A5B" w:rsidRPr="008F03E5" w:rsidRDefault="00625A5B" w:rsidP="00676E34">
      <w:pPr>
        <w:pStyle w:val="Translit"/>
      </w:pPr>
      <w:r w:rsidRPr="008F03E5">
        <w:t>Shari’, Shawari’</w:t>
      </w:r>
      <w:r w:rsidRPr="008F03E5">
        <w:tab/>
      </w:r>
      <w:r w:rsidRPr="008F03E5">
        <w:rPr>
          <w:u w:val="single"/>
        </w:rPr>
        <w:t>Sh</w:t>
      </w:r>
      <w:r w:rsidRPr="008F03E5">
        <w:t xml:space="preserve">ári‘, pl. </w:t>
      </w:r>
      <w:r w:rsidRPr="008F03E5">
        <w:rPr>
          <w:u w:val="single"/>
        </w:rPr>
        <w:t>Sh</w:t>
      </w:r>
      <w:r w:rsidRPr="008F03E5">
        <w:t>awári‘</w:t>
      </w:r>
      <w:r w:rsidRPr="008F03E5">
        <w:tab/>
        <w:t xml:space="preserve">an expounder of the law; or of the articles of faith; a legislator, lawgiver; a highway, main road, thoroughfare.  </w:t>
      </w:r>
      <w:r w:rsidRPr="008F03E5">
        <w:rPr>
          <w:u w:val="single"/>
        </w:rPr>
        <w:t>Sh</w:t>
      </w:r>
      <w:r w:rsidRPr="008F03E5">
        <w:t>ári‘ al-Jabal (Mountain Rd) runs south of the Shrine of the Báb.  It was renamed UN Avenue in 1949 following a UN resolution on the formation of the State of Israel.  Renamed Sderot HaTziyonut (Zionism Ave) as a protest response to a 1975 UN resolution of condemnation—the resolution was eventually rescinded in 1991, but the name was not changed.</w:t>
      </w:r>
    </w:p>
    <w:p w14:paraId="4BB09BB3" w14:textId="77777777" w:rsidR="00625A5B" w:rsidRPr="008F03E5" w:rsidRDefault="00625A5B" w:rsidP="001504FC">
      <w:pPr>
        <w:pStyle w:val="Translit"/>
      </w:pPr>
      <w:r w:rsidRPr="008F03E5">
        <w:t>Shari’a Islami, Shar’i’ Islami</w:t>
      </w:r>
      <w:r w:rsidRPr="008F03E5">
        <w:tab/>
      </w:r>
      <w:r w:rsidRPr="008F03E5">
        <w:rPr>
          <w:u w:val="single"/>
        </w:rPr>
        <w:t>Sh</w:t>
      </w:r>
      <w:r w:rsidRPr="008F03E5">
        <w:t xml:space="preserve">arí‘a Islámí, pl. </w:t>
      </w:r>
      <w:r w:rsidRPr="008F03E5">
        <w:rPr>
          <w:u w:val="single"/>
        </w:rPr>
        <w:t>Sh</w:t>
      </w:r>
      <w:r w:rsidRPr="008F03E5">
        <w:t>ará’i‘ Islámí</w:t>
      </w:r>
      <w:r w:rsidRPr="008F03E5">
        <w:tab/>
        <w:t>Sharia law or Islamic law.  Also a</w:t>
      </w:r>
      <w:r w:rsidRPr="008F03E5">
        <w:rPr>
          <w:u w:val="single"/>
        </w:rPr>
        <w:t>sh</w:t>
      </w:r>
      <w:r w:rsidRPr="008F03E5">
        <w:t>-</w:t>
      </w:r>
      <w:r w:rsidRPr="008F03E5">
        <w:rPr>
          <w:u w:val="single"/>
        </w:rPr>
        <w:t>Sh</w:t>
      </w:r>
      <w:r w:rsidRPr="008F03E5">
        <w:t xml:space="preserve">arí‘a al-Islámí.  Often abbreviated as </w:t>
      </w:r>
      <w:r w:rsidRPr="008F03E5">
        <w:rPr>
          <w:u w:val="single"/>
        </w:rPr>
        <w:t>Sh</w:t>
      </w:r>
      <w:r w:rsidRPr="008F03E5">
        <w:t>arí‘a.</w:t>
      </w:r>
    </w:p>
    <w:p w14:paraId="51520CE0" w14:textId="77777777" w:rsidR="00625A5B" w:rsidRPr="008F03E5" w:rsidRDefault="00625A5B" w:rsidP="001F704C">
      <w:pPr>
        <w:pStyle w:val="Translit"/>
      </w:pPr>
      <w:r w:rsidRPr="008F03E5">
        <w:t>Shari’a, Shara’i’</w:t>
      </w:r>
      <w:r w:rsidRPr="008F03E5">
        <w:tab/>
      </w:r>
      <w:r w:rsidRPr="008F03E5">
        <w:rPr>
          <w:u w:val="single"/>
        </w:rPr>
        <w:t>Sh</w:t>
      </w:r>
      <w:r w:rsidRPr="008F03E5">
        <w:t xml:space="preserve">arí‘a[h or t], pl. </w:t>
      </w:r>
      <w:r w:rsidRPr="008F03E5">
        <w:rPr>
          <w:u w:val="single"/>
        </w:rPr>
        <w:t>Sh</w:t>
      </w:r>
      <w:r w:rsidRPr="008F03E5">
        <w:t>ará’i‘</w:t>
      </w:r>
      <w:r w:rsidRPr="008F03E5">
        <w:tab/>
        <w:t xml:space="preserve">a plain, straight road; law, justice, equity; the revealed law of God; the supplementary laws given by Muḥammad;—pl. ordinances; laws; highways; [also]:  religious practices; (religious) laws, ordinances; religious teachings or precepts.  English:  the Sharia, the Muslim canonical law.  </w:t>
      </w:r>
      <w:r w:rsidRPr="008F03E5">
        <w:rPr>
          <w:u w:val="single"/>
        </w:rPr>
        <w:t>Sh</w:t>
      </w:r>
      <w:r w:rsidRPr="008F03E5">
        <w:rPr>
          <w:rFonts w:eastAsia="PMingLiU"/>
          <w:lang w:eastAsia="zh-TW"/>
        </w:rPr>
        <w:t xml:space="preserve">ará’i‘ </w:t>
      </w:r>
      <w:r w:rsidRPr="008F03E5">
        <w:t xml:space="preserve">District </w:t>
      </w:r>
      <w:r w:rsidRPr="008F03E5">
        <w:rPr>
          <w:sz w:val="16"/>
          <w:szCs w:val="16"/>
        </w:rPr>
        <w:t>NE</w:t>
      </w:r>
      <w:r w:rsidRPr="008F03E5">
        <w:t xml:space="preserve"> Makkah.  See ‘Urf.</w:t>
      </w:r>
    </w:p>
    <w:p w14:paraId="53C4C7F6" w14:textId="77777777" w:rsidR="00625A5B" w:rsidRPr="008F03E5" w:rsidRDefault="00625A5B" w:rsidP="00216AA4">
      <w:pPr>
        <w:pStyle w:val="Translit"/>
      </w:pPr>
      <w:r w:rsidRPr="008F03E5">
        <w:t>Shari’atmadar (Shari’at-madar)</w:t>
      </w:r>
      <w:r w:rsidRPr="008F03E5">
        <w:tab/>
      </w:r>
      <w:r w:rsidRPr="008F03E5">
        <w:rPr>
          <w:u w:val="single"/>
        </w:rPr>
        <w:t>Sh</w:t>
      </w:r>
      <w:r w:rsidRPr="008F03E5">
        <w:t>arí‘atmadár (</w:t>
      </w:r>
      <w:r w:rsidRPr="008F03E5">
        <w:rPr>
          <w:u w:val="single"/>
        </w:rPr>
        <w:t>Sh</w:t>
      </w:r>
      <w:r w:rsidRPr="008F03E5">
        <w:t>arí‘at-Madár)</w:t>
      </w:r>
      <w:r w:rsidRPr="008F03E5">
        <w:tab/>
      </w:r>
      <w:r>
        <w:t>“scholar of religious law” of God</w:t>
      </w:r>
      <w:r w:rsidRPr="008F03E5">
        <w:t xml:space="preserve">.  </w:t>
      </w:r>
      <w:r>
        <w:t>Someone who is experienced</w:t>
      </w:r>
      <w:r w:rsidRPr="003F741E">
        <w:t xml:space="preserve"> in religious or canonical law.</w:t>
      </w:r>
      <w:r>
        <w:t xml:space="preserve"> </w:t>
      </w:r>
      <w:r w:rsidRPr="003F741E">
        <w:t xml:space="preserve"> Hence, holy</w:t>
      </w:r>
      <w:r>
        <w:t xml:space="preserve"> or</w:t>
      </w:r>
      <w:r w:rsidRPr="003F741E">
        <w:t xml:space="preserve"> eminent.</w:t>
      </w:r>
      <w:r>
        <w:t xml:space="preserve">  </w:t>
      </w:r>
      <w:r w:rsidRPr="008F03E5">
        <w:t xml:space="preserve">Ḥájí Mullá Muḥammad-i-Ḥamza, surnamed the </w:t>
      </w:r>
      <w:r w:rsidRPr="008F03E5">
        <w:rPr>
          <w:u w:val="single"/>
        </w:rPr>
        <w:t>Sh</w:t>
      </w:r>
      <w:r w:rsidRPr="008F03E5">
        <w:t>arí‘at-Madár</w:t>
      </w:r>
      <w:r>
        <w:t>,</w:t>
      </w:r>
      <w:r w:rsidRPr="00712297">
        <w:t xml:space="preserve"> mentor </w:t>
      </w:r>
      <w:r>
        <w:t xml:space="preserve">of </w:t>
      </w:r>
      <w:r w:rsidRPr="00712297">
        <w:t>Quddús during his childhood in Bárfurú</w:t>
      </w:r>
      <w:r w:rsidRPr="00712297">
        <w:rPr>
          <w:u w:val="single"/>
        </w:rPr>
        <w:t>sh</w:t>
      </w:r>
      <w:r w:rsidRPr="00CF08C1">
        <w:t xml:space="preserve"> and later a protector</w:t>
      </w:r>
      <w:r w:rsidRPr="008F03E5">
        <w:t xml:space="preserve">.  </w:t>
      </w:r>
      <w:r>
        <w:t xml:space="preserve">He worked at the Masjid </w:t>
      </w:r>
      <w:r w:rsidRPr="00653E5A">
        <w:t>Káẓim Ba</w:t>
      </w:r>
      <w:r>
        <w:t>yk (</w:t>
      </w:r>
      <w:r w:rsidRPr="00643625">
        <w:t>36.54724</w:t>
      </w:r>
      <w:r>
        <w:t>8</w:t>
      </w:r>
      <w:r w:rsidRPr="00643625">
        <w:t>, 52.68268</w:t>
      </w:r>
      <w:r>
        <w:t xml:space="preserve">8; “Kazem Beik Mosque”). </w:t>
      </w:r>
      <w:r w:rsidRPr="008F03E5">
        <w:t xml:space="preserve"> ‘Abd al-Karím </w:t>
      </w:r>
      <w:r w:rsidRPr="00CF08C1">
        <w:rPr>
          <w:u w:val="single"/>
        </w:rPr>
        <w:t>Sh</w:t>
      </w:r>
      <w:r w:rsidRPr="008F03E5">
        <w:t>arí‘atmadáríyán</w:t>
      </w:r>
      <w:r>
        <w:t xml:space="preserve"> was a descendant</w:t>
      </w:r>
      <w:r w:rsidRPr="008F03E5">
        <w:t>.</w:t>
      </w:r>
    </w:p>
    <w:p w14:paraId="3F38195C" w14:textId="77777777" w:rsidR="00625A5B" w:rsidRPr="008F03E5" w:rsidRDefault="00625A5B" w:rsidP="00D712C7">
      <w:pPr>
        <w:pStyle w:val="Translit"/>
      </w:pPr>
      <w:r w:rsidRPr="008F03E5">
        <w:t>Sharif al-‘Ulama’; Shara’if al-‘Ulama’</w:t>
      </w:r>
      <w:r w:rsidRPr="008F03E5">
        <w:tab/>
      </w:r>
      <w:r w:rsidRPr="008F03E5">
        <w:rPr>
          <w:u w:val="single"/>
        </w:rPr>
        <w:t>Sh</w:t>
      </w:r>
      <w:r w:rsidRPr="008F03E5">
        <w:t xml:space="preserve">aríf al-‘Ulamá’, pl. </w:t>
      </w:r>
      <w:r w:rsidRPr="008F03E5">
        <w:rPr>
          <w:u w:val="single"/>
        </w:rPr>
        <w:t>Sh</w:t>
      </w:r>
      <w:r w:rsidRPr="008F03E5">
        <w:t>ará’if al-‘Ulamá’</w:t>
      </w:r>
      <w:r w:rsidRPr="008F03E5">
        <w:tab/>
        <w:t>honour of scholars</w:t>
      </w:r>
      <w:r>
        <w:t xml:space="preserve">.  </w:t>
      </w:r>
      <w:r w:rsidRPr="00E84BE8">
        <w:t xml:space="preserve">Muḥammad </w:t>
      </w:r>
      <w:r w:rsidRPr="00E84BE8">
        <w:rPr>
          <w:u w:val="single"/>
        </w:rPr>
        <w:t>Sh</w:t>
      </w:r>
      <w:r w:rsidRPr="00E84BE8">
        <w:t>aríf bin Ḥassan ‘Alí Ámúlí Mázandarání Ḥáʼirí (1205–1246)</w:t>
      </w:r>
      <w:r>
        <w:t>,</w:t>
      </w:r>
      <w:r w:rsidRPr="00E84BE8">
        <w:t xml:space="preserve"> known as</w:t>
      </w:r>
      <w:r>
        <w:t xml:space="preserve"> </w:t>
      </w:r>
      <w:r w:rsidRPr="00D712C7">
        <w:rPr>
          <w:u w:val="single"/>
        </w:rPr>
        <w:t>Sh</w:t>
      </w:r>
      <w:r w:rsidRPr="00E84BE8">
        <w:t>aríf al-‘Ulamá’, was a</w:t>
      </w:r>
      <w:r>
        <w:rPr>
          <w:rFonts w:hint="cs"/>
          <w:rtl/>
        </w:rPr>
        <w:t xml:space="preserve"> </w:t>
      </w:r>
      <w:r w:rsidRPr="00E84BE8">
        <w:rPr>
          <w:u w:val="single"/>
          <w:lang w:val="en-IN"/>
        </w:rPr>
        <w:t>Sh</w:t>
      </w:r>
      <w:r>
        <w:rPr>
          <w:lang w:val="en-IN"/>
        </w:rPr>
        <w:t xml:space="preserve">í‘a </w:t>
      </w:r>
      <w:r w:rsidRPr="00E84BE8">
        <w:t>Muslim religious authority</w:t>
      </w:r>
      <w:r>
        <w:t>.</w:t>
      </w:r>
    </w:p>
    <w:p w14:paraId="6631B4F6" w14:textId="77777777" w:rsidR="00625A5B" w:rsidRPr="008F03E5" w:rsidRDefault="00625A5B" w:rsidP="00EE525F">
      <w:pPr>
        <w:pStyle w:val="Translit"/>
      </w:pPr>
      <w:r w:rsidRPr="008F03E5">
        <w:t>Sharif, Sharifa, Ashraf, Shara’if</w:t>
      </w:r>
      <w:r w:rsidRPr="008F03E5">
        <w:tab/>
      </w:r>
      <w:r w:rsidRPr="008F03E5">
        <w:rPr>
          <w:u w:val="single"/>
        </w:rPr>
        <w:t>Sh</w:t>
      </w:r>
      <w:r w:rsidRPr="008F03E5">
        <w:t xml:space="preserve">aríf, fem. </w:t>
      </w:r>
      <w:r w:rsidRPr="008F03E5">
        <w:rPr>
          <w:u w:val="single"/>
        </w:rPr>
        <w:t>Sh</w:t>
      </w:r>
      <w:r w:rsidRPr="008F03E5">
        <w:t>arífa[t], pl. A</w:t>
      </w:r>
      <w:r w:rsidRPr="008F03E5">
        <w:rPr>
          <w:u w:val="single"/>
        </w:rPr>
        <w:t>sh</w:t>
      </w:r>
      <w:r w:rsidRPr="008F03E5">
        <w:t xml:space="preserve">ráf, </w:t>
      </w:r>
      <w:r w:rsidRPr="008F03E5">
        <w:rPr>
          <w:u w:val="single"/>
        </w:rPr>
        <w:t>Sh</w:t>
      </w:r>
      <w:r w:rsidRPr="008F03E5">
        <w:t>ará’if</w:t>
      </w:r>
      <w:r w:rsidRPr="008F03E5">
        <w:tab/>
        <w:t xml:space="preserve">noble, eminent, holy; illustrious; a descendant of Muḥammad.  </w:t>
      </w:r>
      <w:r w:rsidRPr="008F03E5">
        <w:rPr>
          <w:u w:val="single"/>
        </w:rPr>
        <w:t>Sh</w:t>
      </w:r>
      <w:r w:rsidRPr="008F03E5">
        <w:t xml:space="preserve">aríf (Pers. Sherif) is the title of various Arab rulers, magistrates or religious leaders.  Muḥammad ibn ‘Abd al-Mu‘ín ibn ‘Awn was the </w:t>
      </w:r>
      <w:r w:rsidRPr="008F03E5">
        <w:rPr>
          <w:u w:val="single"/>
        </w:rPr>
        <w:t>Sh</w:t>
      </w:r>
      <w:r w:rsidRPr="008F03E5">
        <w:t>aríf of Mecca when the Báb was in the city.  He was too busy to investigate the Báb’s declaration to him.</w:t>
      </w:r>
    </w:p>
    <w:p w14:paraId="1BF839B4" w14:textId="77777777" w:rsidR="00625A5B" w:rsidRPr="008F03E5" w:rsidRDefault="00625A5B" w:rsidP="00116AE1">
      <w:pPr>
        <w:pStyle w:val="Translit"/>
      </w:pPr>
      <w:r w:rsidRPr="008F03E5">
        <w:t>Sharik, Shuraka’, Ashrak</w:t>
      </w:r>
      <w:r w:rsidRPr="008F03E5">
        <w:tab/>
      </w:r>
      <w:r w:rsidRPr="008F03E5">
        <w:rPr>
          <w:u w:val="single"/>
        </w:rPr>
        <w:t>Sh</w:t>
      </w:r>
      <w:r w:rsidRPr="008F03E5">
        <w:t xml:space="preserve">arík, pl. </w:t>
      </w:r>
      <w:r w:rsidRPr="008F03E5">
        <w:rPr>
          <w:u w:val="single"/>
        </w:rPr>
        <w:t>Sh</w:t>
      </w:r>
      <w:r w:rsidRPr="008F03E5">
        <w:t>uraká’, A</w:t>
      </w:r>
      <w:r w:rsidRPr="008F03E5">
        <w:rPr>
          <w:u w:val="single"/>
        </w:rPr>
        <w:t>sh</w:t>
      </w:r>
      <w:r w:rsidRPr="008F03E5">
        <w:t>rák</w:t>
      </w:r>
      <w:r w:rsidRPr="008F03E5">
        <w:tab/>
        <w:t>sharer, participant, partner, co-partner; associate, companion, confederate, ally; co-owner, co-proprietor (Islamic Law); accomplice, accessory (in a crime)</w:t>
      </w:r>
    </w:p>
    <w:p w14:paraId="1CCA7D4B" w14:textId="77777777" w:rsidR="00625A5B" w:rsidRPr="008F03E5" w:rsidRDefault="00625A5B" w:rsidP="00AD2662">
      <w:pPr>
        <w:pStyle w:val="Translit"/>
      </w:pPr>
      <w:r w:rsidRPr="008F03E5">
        <w:t>Sharika, Shirika</w:t>
      </w:r>
      <w:r w:rsidRPr="008F03E5">
        <w:tab/>
      </w:r>
      <w:r w:rsidRPr="008F03E5">
        <w:rPr>
          <w:u w:val="single"/>
        </w:rPr>
        <w:t>Sh</w:t>
      </w:r>
      <w:r w:rsidRPr="008F03E5">
        <w:t xml:space="preserve">arika[h], </w:t>
      </w:r>
      <w:r w:rsidRPr="008F03E5">
        <w:rPr>
          <w:u w:val="single"/>
        </w:rPr>
        <w:t>Sh</w:t>
      </w:r>
      <w:r w:rsidRPr="008F03E5">
        <w:t>irika[h]</w:t>
      </w:r>
      <w:r w:rsidRPr="008F03E5">
        <w:tab/>
        <w:t>to share (with someone something), participate (with someone in), be or become partner, participant, associate (of someone in)</w:t>
      </w:r>
    </w:p>
    <w:p w14:paraId="1F3563FD" w14:textId="77777777" w:rsidR="00625A5B" w:rsidRPr="008F03E5" w:rsidRDefault="00625A5B" w:rsidP="003740FC">
      <w:pPr>
        <w:pStyle w:val="Translit"/>
      </w:pPr>
      <w:r w:rsidRPr="008F03E5">
        <w:t>Shariq</w:t>
      </w:r>
      <w:r w:rsidRPr="008F03E5">
        <w:tab/>
      </w:r>
      <w:r w:rsidRPr="008F03E5">
        <w:rPr>
          <w:u w:val="single"/>
        </w:rPr>
        <w:t>Sh</w:t>
      </w:r>
      <w:r w:rsidRPr="008F03E5">
        <w:t>aríq</w:t>
      </w:r>
      <w:r w:rsidRPr="008F03E5">
        <w:tab/>
        <w:t>(the sun) rising and shining; the eastern side of anything; name of an idol; “that which rises from the east”, sun, bright, glowing (</w:t>
      </w:r>
      <w:r w:rsidRPr="008F03E5">
        <w:rPr>
          <w:u w:val="single"/>
        </w:rPr>
        <w:t>Sh</w:t>
      </w:r>
      <w:r w:rsidRPr="008F03E5">
        <w:t xml:space="preserve">arík, </w:t>
      </w:r>
      <w:r w:rsidRPr="008F03E5">
        <w:rPr>
          <w:i/>
          <w:iCs/>
        </w:rPr>
        <w:t>The Secret of Divine Civilization</w:t>
      </w:r>
      <w:r w:rsidRPr="008F03E5">
        <w:t>, p. 49)</w:t>
      </w:r>
    </w:p>
    <w:p w14:paraId="5E49AE29" w14:textId="77777777" w:rsidR="00625A5B" w:rsidRPr="008F03E5" w:rsidRDefault="00625A5B" w:rsidP="00FE5A4C">
      <w:pPr>
        <w:pStyle w:val="Translit"/>
      </w:pPr>
      <w:r w:rsidRPr="008F03E5">
        <w:rPr>
          <w:rFonts w:eastAsia="Times New Roman"/>
        </w:rPr>
        <w:t>Sharistan</w:t>
      </w:r>
      <w:r w:rsidRPr="008F03E5">
        <w:rPr>
          <w:rFonts w:eastAsia="Times New Roman"/>
        </w:rPr>
        <w:tab/>
      </w:r>
      <w:r w:rsidRPr="008F03E5">
        <w:rPr>
          <w:rFonts w:eastAsia="Times New Roman"/>
          <w:u w:val="single"/>
        </w:rPr>
        <w:t>Sh</w:t>
      </w:r>
      <w:r w:rsidRPr="008F03E5">
        <w:rPr>
          <w:rFonts w:eastAsia="Times New Roman"/>
        </w:rPr>
        <w:t>áristán</w:t>
      </w:r>
      <w:r w:rsidRPr="008F03E5">
        <w:rPr>
          <w:rFonts w:eastAsia="Times New Roman"/>
        </w:rPr>
        <w:tab/>
        <w:t>Pers. a city; a villa surrounded by gardens; a country abounding in towns; a land division equal to a county</w:t>
      </w:r>
    </w:p>
    <w:p w14:paraId="4BAB3F26" w14:textId="77777777" w:rsidR="00625A5B" w:rsidRPr="008F03E5" w:rsidRDefault="00625A5B" w:rsidP="002E3C34">
      <w:pPr>
        <w:pStyle w:val="Translit"/>
      </w:pPr>
      <w:r w:rsidRPr="008F03E5">
        <w:t>Sharq</w:t>
      </w:r>
      <w:r w:rsidRPr="008F03E5">
        <w:tab/>
      </w:r>
      <w:r w:rsidRPr="008F03E5">
        <w:rPr>
          <w:u w:val="single"/>
        </w:rPr>
        <w:t>Sh</w:t>
      </w:r>
      <w:r w:rsidRPr="008F03E5">
        <w:t>arq</w:t>
      </w:r>
      <w:r w:rsidRPr="008F03E5">
        <w:tab/>
        <w:t>rising (as the sun), sun-rise; the (rising) sun; the place of sun-rise, the East; light shining through a crevice</w:t>
      </w:r>
    </w:p>
    <w:p w14:paraId="03A26FFF" w14:textId="77777777" w:rsidR="00625A5B" w:rsidRPr="008F03E5" w:rsidRDefault="00625A5B" w:rsidP="00223C0D">
      <w:pPr>
        <w:pStyle w:val="Translit"/>
      </w:pPr>
      <w:r w:rsidRPr="008F03E5">
        <w:t>Sharr, Shurur, Ashrar</w:t>
      </w:r>
      <w:r w:rsidRPr="008F03E5">
        <w:tab/>
      </w:r>
      <w:r w:rsidRPr="008F03E5">
        <w:rPr>
          <w:u w:val="single"/>
        </w:rPr>
        <w:t>Sh</w:t>
      </w:r>
      <w:r w:rsidRPr="008F03E5">
        <w:t xml:space="preserve">arr, pl. </w:t>
      </w:r>
      <w:r w:rsidRPr="008F03E5">
        <w:rPr>
          <w:u w:val="single"/>
        </w:rPr>
        <w:t>Sh</w:t>
      </w:r>
      <w:r w:rsidRPr="008F03E5">
        <w:t>urúr</w:t>
      </w:r>
      <w:r w:rsidRPr="008F03E5">
        <w:tab/>
        <w:t>evil, ill, mischief; calamity, disaster; iniquity, injustice; harm, damage, injury; wickedness, viciousness, malice; vice, sin; (pl. A</w:t>
      </w:r>
      <w:r w:rsidRPr="008F03E5">
        <w:rPr>
          <w:u w:val="single"/>
        </w:rPr>
        <w:t>sh</w:t>
      </w:r>
      <w:r w:rsidRPr="008F03E5">
        <w:t xml:space="preserve">rár) bad, evil, wicked, vicious, malicious; evildoer, culprit; </w:t>
      </w:r>
      <w:r w:rsidRPr="008F03E5">
        <w:rPr>
          <w:u w:val="single"/>
        </w:rPr>
        <w:t>Sh</w:t>
      </w:r>
      <w:r w:rsidRPr="008F03E5">
        <w:t>arr (as elative) worse, more evil</w:t>
      </w:r>
    </w:p>
    <w:p w14:paraId="09AF3F4A" w14:textId="77777777" w:rsidR="00625A5B" w:rsidRPr="008F03E5" w:rsidRDefault="00625A5B" w:rsidP="00F776D9">
      <w:pPr>
        <w:pStyle w:val="Translit"/>
      </w:pPr>
      <w:r w:rsidRPr="008F03E5">
        <w:t>Shart, Shurut</w:t>
      </w:r>
      <w:r w:rsidRPr="008F03E5">
        <w:tab/>
      </w:r>
      <w:r w:rsidRPr="008F03E5">
        <w:rPr>
          <w:u w:val="single"/>
        </w:rPr>
        <w:t>Sh</w:t>
      </w:r>
      <w:r w:rsidRPr="008F03E5">
        <w:t xml:space="preserve">arṭ, pl. </w:t>
      </w:r>
      <w:r w:rsidRPr="008F03E5">
        <w:rPr>
          <w:u w:val="single"/>
        </w:rPr>
        <w:t>Sh</w:t>
      </w:r>
      <w:r w:rsidRPr="008F03E5">
        <w:t>urúṭ</w:t>
      </w:r>
      <w:r w:rsidRPr="008F03E5">
        <w:tab/>
        <w:t>incision (in the skin); long cut, rip, clash, slit; condition, precondition; provision, proviso, clause; stipulation (of a contract)</w:t>
      </w:r>
      <w:r w:rsidRPr="008F03E5">
        <w:rPr>
          <w:rFonts w:eastAsia="Times New Roman"/>
        </w:rPr>
        <w:t>;—pl. conditions, stipulations</w:t>
      </w:r>
    </w:p>
    <w:p w14:paraId="231BAF75" w14:textId="77777777" w:rsidR="00625A5B" w:rsidRPr="008F03E5" w:rsidRDefault="00625A5B" w:rsidP="002A4791">
      <w:pPr>
        <w:pStyle w:val="Translit"/>
      </w:pPr>
      <w:r w:rsidRPr="008F03E5">
        <w:t>Sharun</w:t>
      </w:r>
      <w:r w:rsidRPr="008F03E5">
        <w:tab/>
      </w:r>
      <w:r w:rsidRPr="008F03E5">
        <w:rPr>
          <w:u w:val="single"/>
        </w:rPr>
        <w:t>Sh</w:t>
      </w:r>
      <w:r w:rsidRPr="008F03E5">
        <w:t>árún</w:t>
      </w:r>
      <w:r w:rsidRPr="008F03E5">
        <w:tab/>
        <w:t>Ar. for Hebrew “plain”.  Sharon (name) and HaSharon, Israel.</w:t>
      </w:r>
    </w:p>
    <w:p w14:paraId="7826F078" w14:textId="77777777" w:rsidR="00625A5B" w:rsidRPr="008F03E5" w:rsidRDefault="00625A5B" w:rsidP="00016AF5">
      <w:pPr>
        <w:pStyle w:val="Translit"/>
      </w:pPr>
      <w:r w:rsidRPr="008F03E5">
        <w:t>Shash (Shish)</w:t>
      </w:r>
      <w:r w:rsidRPr="008F03E5">
        <w:tab/>
      </w:r>
      <w:r w:rsidRPr="008F03E5">
        <w:rPr>
          <w:u w:val="single"/>
        </w:rPr>
        <w:t>Sh</w:t>
      </w:r>
      <w:r w:rsidRPr="008F03E5">
        <w:t>a</w:t>
      </w:r>
      <w:r w:rsidRPr="008F03E5">
        <w:rPr>
          <w:u w:val="single"/>
        </w:rPr>
        <w:t>sh</w:t>
      </w:r>
      <w:r w:rsidRPr="008F03E5">
        <w:tab/>
        <w:t xml:space="preserve">Pers. six.  </w:t>
      </w:r>
      <w:r w:rsidRPr="008F03E5">
        <w:rPr>
          <w:u w:val="single"/>
        </w:rPr>
        <w:t>Sh</w:t>
      </w:r>
      <w:r w:rsidRPr="008F03E5">
        <w:t>i</w:t>
      </w:r>
      <w:r w:rsidRPr="008F03E5">
        <w:rPr>
          <w:u w:val="single"/>
        </w:rPr>
        <w:t>sh</w:t>
      </w:r>
      <w:r w:rsidRPr="008F03E5">
        <w:t xml:space="preserve"> Hizár Lu</w:t>
      </w:r>
      <w:r w:rsidRPr="008F03E5">
        <w:rPr>
          <w:u w:val="single"/>
        </w:rPr>
        <w:t>gh</w:t>
      </w:r>
      <w:r w:rsidRPr="008F03E5">
        <w:t>át (Six thousand words), a dictionary</w:t>
      </w:r>
    </w:p>
    <w:p w14:paraId="08E42B0D" w14:textId="77777777" w:rsidR="00625A5B" w:rsidRPr="008F03E5" w:rsidRDefault="00625A5B" w:rsidP="00923DF6">
      <w:pPr>
        <w:pStyle w:val="Translit"/>
      </w:pPr>
      <w:r w:rsidRPr="008F03E5">
        <w:t>Shash</w:t>
      </w:r>
      <w:r w:rsidRPr="008F03E5">
        <w:tab/>
      </w:r>
      <w:r w:rsidRPr="008F03E5">
        <w:rPr>
          <w:u w:val="single"/>
        </w:rPr>
        <w:t>Sh</w:t>
      </w:r>
      <w:r w:rsidRPr="008F03E5">
        <w:t>á</w:t>
      </w:r>
      <w:r w:rsidRPr="008F03E5">
        <w:rPr>
          <w:u w:val="single"/>
        </w:rPr>
        <w:t>sh</w:t>
      </w:r>
      <w:r w:rsidRPr="008F03E5">
        <w:tab/>
        <w:t>Ar. muslin; white cloth.  Pers. vicious; contrary; urine</w:t>
      </w:r>
    </w:p>
    <w:p w14:paraId="34544427" w14:textId="77777777" w:rsidR="00625A5B" w:rsidRPr="008F03E5" w:rsidRDefault="00625A5B" w:rsidP="00923DF6">
      <w:pPr>
        <w:pStyle w:val="Translit"/>
      </w:pPr>
      <w:r w:rsidRPr="008F03E5">
        <w:t>Shashidan</w:t>
      </w:r>
      <w:r w:rsidRPr="008F03E5">
        <w:tab/>
      </w:r>
      <w:r w:rsidRPr="008F03E5">
        <w:rPr>
          <w:u w:val="single"/>
        </w:rPr>
        <w:t>Sh</w:t>
      </w:r>
      <w:r w:rsidRPr="008F03E5">
        <w:t>á</w:t>
      </w:r>
      <w:r w:rsidRPr="008F03E5">
        <w:rPr>
          <w:u w:val="single"/>
        </w:rPr>
        <w:t>sh</w:t>
      </w:r>
      <w:r w:rsidRPr="008F03E5">
        <w:t>idan</w:t>
      </w:r>
      <w:r w:rsidRPr="008F03E5">
        <w:tab/>
        <w:t>Pers. to pour, trickle; urinate</w:t>
      </w:r>
    </w:p>
    <w:p w14:paraId="1FC74903" w14:textId="77777777" w:rsidR="00625A5B" w:rsidRPr="008F03E5" w:rsidRDefault="00625A5B" w:rsidP="00F56C2E">
      <w:pPr>
        <w:pStyle w:val="Translit"/>
      </w:pPr>
      <w:r w:rsidRPr="008F03E5">
        <w:rPr>
          <w:rFonts w:eastAsia="Times New Roman"/>
        </w:rPr>
        <w:t>Shash-par (Shish-par)</w:t>
      </w:r>
      <w:r w:rsidRPr="008F03E5">
        <w:rPr>
          <w:rFonts w:eastAsia="Times New Roman"/>
        </w:rPr>
        <w:tab/>
      </w:r>
      <w:r w:rsidRPr="008F03E5">
        <w:rPr>
          <w:rFonts w:eastAsia="Times New Roman"/>
          <w:u w:val="single"/>
        </w:rPr>
        <w:t>Sh</w:t>
      </w:r>
      <w:r w:rsidRPr="008F03E5">
        <w:rPr>
          <w:rFonts w:eastAsia="Times New Roman"/>
        </w:rPr>
        <w:t>a</w:t>
      </w:r>
      <w:r w:rsidRPr="008F03E5">
        <w:rPr>
          <w:rFonts w:eastAsia="Times New Roman"/>
          <w:u w:val="single"/>
        </w:rPr>
        <w:t>sh</w:t>
      </w:r>
      <w:r w:rsidRPr="008F03E5">
        <w:rPr>
          <w:rFonts w:eastAsia="Times New Roman"/>
        </w:rPr>
        <w:t>-par</w:t>
      </w:r>
      <w:r w:rsidRPr="008F03E5">
        <w:rPr>
          <w:rFonts w:eastAsia="Times New Roman"/>
        </w:rPr>
        <w:tab/>
        <w:t>Pers. a halberd, iron mace</w:t>
      </w:r>
    </w:p>
    <w:p w14:paraId="3B48BE73" w14:textId="77777777" w:rsidR="00625A5B" w:rsidRPr="008F03E5" w:rsidRDefault="00625A5B" w:rsidP="00487566">
      <w:pPr>
        <w:pStyle w:val="Translit"/>
      </w:pPr>
      <w:r w:rsidRPr="008F03E5">
        <w:t>Shash-ta, Shash-tar</w:t>
      </w:r>
      <w:r w:rsidRPr="008F03E5">
        <w:tab/>
      </w:r>
      <w:r w:rsidRPr="008F03E5">
        <w:rPr>
          <w:u w:val="single"/>
        </w:rPr>
        <w:t>Sh</w:t>
      </w:r>
      <w:r w:rsidRPr="008F03E5">
        <w:t>a</w:t>
      </w:r>
      <w:r w:rsidRPr="008F03E5">
        <w:rPr>
          <w:u w:val="single"/>
        </w:rPr>
        <w:t>sh</w:t>
      </w:r>
      <w:r w:rsidRPr="008F03E5">
        <w:t xml:space="preserve">-tá (also </w:t>
      </w:r>
      <w:r w:rsidRPr="008F03E5">
        <w:rPr>
          <w:u w:val="single"/>
        </w:rPr>
        <w:t>Sh</w:t>
      </w:r>
      <w:r w:rsidRPr="008F03E5">
        <w:t>a</w:t>
      </w:r>
      <w:r w:rsidRPr="008F03E5">
        <w:rPr>
          <w:u w:val="single"/>
        </w:rPr>
        <w:t>sh</w:t>
      </w:r>
      <w:r w:rsidRPr="008F03E5">
        <w:t>-tár)</w:t>
      </w:r>
      <w:r w:rsidRPr="008F03E5">
        <w:tab/>
        <w:t>Pers. A kind of lute with 6 strings</w:t>
      </w:r>
    </w:p>
    <w:p w14:paraId="70BF0AC1" w14:textId="77777777" w:rsidR="00625A5B" w:rsidRPr="008F03E5" w:rsidRDefault="00625A5B" w:rsidP="00CB7CAA">
      <w:pPr>
        <w:pStyle w:val="Translit"/>
      </w:pPr>
      <w:r w:rsidRPr="008F03E5">
        <w:t>Shath, Shathiya, Shathiyat</w:t>
      </w:r>
      <w:r w:rsidRPr="008F03E5">
        <w:tab/>
      </w:r>
      <w:r w:rsidRPr="008F03E5">
        <w:rPr>
          <w:u w:val="single"/>
        </w:rPr>
        <w:t>Sh</w:t>
      </w:r>
      <w:r w:rsidRPr="008F03E5">
        <w:t>aṭḥ</w:t>
      </w:r>
      <w:r w:rsidRPr="008F03E5">
        <w:tab/>
        <w:t xml:space="preserve">the ravings of an ecstatic; monkish ways.  </w:t>
      </w:r>
      <w:r w:rsidRPr="008F03E5">
        <w:rPr>
          <w:u w:val="single"/>
        </w:rPr>
        <w:t>Sh</w:t>
      </w:r>
      <w:r w:rsidRPr="008F03E5">
        <w:t xml:space="preserve">aṭḥiya (pl. </w:t>
      </w:r>
      <w:r w:rsidRPr="008F03E5">
        <w:rPr>
          <w:u w:val="single"/>
        </w:rPr>
        <w:t>Sh</w:t>
      </w:r>
      <w:r w:rsidRPr="008F03E5">
        <w:t xml:space="preserve">aṭḥiyát) can be translated as </w:t>
      </w:r>
      <w:r w:rsidRPr="008F03E5">
        <w:rPr>
          <w:lang w:eastAsia="en-US"/>
        </w:rPr>
        <w:t>“</w:t>
      </w:r>
      <w:r w:rsidRPr="008F03E5">
        <w:t>ecstatic paradox, utterance or saying”</w:t>
      </w:r>
    </w:p>
    <w:p w14:paraId="6C0C8B2B" w14:textId="77777777" w:rsidR="00625A5B" w:rsidRPr="008F03E5" w:rsidRDefault="00625A5B" w:rsidP="003C1B24">
      <w:pPr>
        <w:pStyle w:val="Translit"/>
      </w:pPr>
      <w:r w:rsidRPr="008F03E5">
        <w:t>Shatir, Shuttar</w:t>
      </w:r>
      <w:r w:rsidRPr="008F03E5">
        <w:tab/>
      </w:r>
      <w:r w:rsidRPr="008F03E5">
        <w:rPr>
          <w:u w:val="single"/>
        </w:rPr>
        <w:t>Sh</w:t>
      </w:r>
      <w:r w:rsidRPr="008F03E5">
        <w:t xml:space="preserve">áṭir, pl. </w:t>
      </w:r>
      <w:r w:rsidRPr="008F03E5">
        <w:rPr>
          <w:u w:val="single"/>
        </w:rPr>
        <w:t>Sh</w:t>
      </w:r>
      <w:r w:rsidRPr="008F03E5">
        <w:t>áṭir</w:t>
      </w:r>
      <w:r w:rsidRPr="00CA5D68">
        <w:t xml:space="preserve">án, </w:t>
      </w:r>
      <w:r w:rsidRPr="008F03E5">
        <w:rPr>
          <w:u w:val="single"/>
        </w:rPr>
        <w:t>Sh</w:t>
      </w:r>
      <w:r w:rsidRPr="008F03E5">
        <w:t>uṭṭár</w:t>
      </w:r>
      <w:r w:rsidRPr="008F03E5">
        <w:tab/>
        <w:t xml:space="preserve">sly, cunning, shrewd; scoundrel, villain; clever, smart, bright, adroit, </w:t>
      </w:r>
      <w:r>
        <w:t xml:space="preserve">skilful.  Also </w:t>
      </w:r>
      <w:r w:rsidRPr="00AF4D34">
        <w:rPr>
          <w:rFonts w:eastAsia="Times New Roman"/>
        </w:rPr>
        <w:t>a messenger, runner, courier; a footman</w:t>
      </w:r>
      <w:r>
        <w:rPr>
          <w:rFonts w:eastAsia="Times New Roman"/>
        </w:rPr>
        <w:t>.</w:t>
      </w:r>
    </w:p>
    <w:p w14:paraId="3843D09B" w14:textId="77777777" w:rsidR="00625A5B" w:rsidRDefault="00625A5B" w:rsidP="00CA5D68">
      <w:pPr>
        <w:pStyle w:val="Translit"/>
      </w:pPr>
      <w:r w:rsidRPr="008F03E5">
        <w:t>Shatir</w:t>
      </w:r>
      <w:r>
        <w:t>-Bashi</w:t>
      </w:r>
      <w:r>
        <w:tab/>
      </w:r>
      <w:r w:rsidRPr="008F03E5">
        <w:rPr>
          <w:u w:val="single"/>
        </w:rPr>
        <w:t>Sh</w:t>
      </w:r>
      <w:r w:rsidRPr="008F03E5">
        <w:t>áṭ</w:t>
      </w:r>
      <w:r>
        <w:t>ir-B</w:t>
      </w:r>
      <w:r w:rsidRPr="00CA5D68">
        <w:t>á</w:t>
      </w:r>
      <w:r w:rsidRPr="00CA5D68">
        <w:rPr>
          <w:u w:val="single"/>
        </w:rPr>
        <w:t>sh</w:t>
      </w:r>
      <w:r w:rsidRPr="00CA5D68">
        <w:t>í</w:t>
      </w:r>
      <w:r>
        <w:tab/>
        <w:t>chief footman</w:t>
      </w:r>
    </w:p>
    <w:p w14:paraId="1CA69803" w14:textId="77777777" w:rsidR="00625A5B" w:rsidRPr="008F03E5" w:rsidRDefault="00625A5B" w:rsidP="0044793A">
      <w:pPr>
        <w:pStyle w:val="Translit"/>
      </w:pPr>
      <w:r w:rsidRPr="008F03E5">
        <w:t>Shatir-Hasan</w:t>
      </w:r>
      <w:r w:rsidRPr="008F03E5">
        <w:tab/>
      </w:r>
      <w:r w:rsidRPr="008F03E5">
        <w:rPr>
          <w:u w:val="single"/>
        </w:rPr>
        <w:t>Sh</w:t>
      </w:r>
      <w:r w:rsidRPr="008F03E5">
        <w:t>áṭir-Ḥasan</w:t>
      </w:r>
      <w:r w:rsidRPr="008F03E5">
        <w:tab/>
      </w:r>
    </w:p>
    <w:p w14:paraId="3E226C6E" w14:textId="77777777" w:rsidR="00625A5B" w:rsidRPr="008F03E5" w:rsidRDefault="00625A5B" w:rsidP="00796327">
      <w:pPr>
        <w:pStyle w:val="Translit"/>
      </w:pPr>
      <w:r w:rsidRPr="008F03E5">
        <w:t>Shatt, Ashtat</w:t>
      </w:r>
      <w:r w:rsidRPr="008F03E5">
        <w:tab/>
      </w:r>
      <w:r w:rsidRPr="008F03E5">
        <w:rPr>
          <w:u w:val="single"/>
        </w:rPr>
        <w:t>Sh</w:t>
      </w:r>
      <w:r w:rsidRPr="008F03E5">
        <w:t>att, pl. A</w:t>
      </w:r>
      <w:r w:rsidRPr="008F03E5">
        <w:rPr>
          <w:u w:val="single"/>
        </w:rPr>
        <w:t>sh</w:t>
      </w:r>
      <w:r w:rsidRPr="008F03E5">
        <w:t>tát</w:t>
      </w:r>
      <w:r w:rsidRPr="008F03E5">
        <w:tab/>
        <w:t>dispersed, separate(d), scattered, dissolved;—pl. manifold, variegated, diverse; scattered fragments, single pieces, sections (of).  Risála-i-A</w:t>
      </w:r>
      <w:r w:rsidRPr="008F03E5">
        <w:rPr>
          <w:u w:val="single"/>
        </w:rPr>
        <w:t>sh</w:t>
      </w:r>
      <w:r w:rsidRPr="008F03E5">
        <w:t>tát possibly by the Báb.</w:t>
      </w:r>
    </w:p>
    <w:p w14:paraId="49A67A6C" w14:textId="77777777" w:rsidR="00625A5B" w:rsidRPr="008F03E5" w:rsidRDefault="00625A5B" w:rsidP="00933DF1">
      <w:pPr>
        <w:pStyle w:val="Translit"/>
      </w:pPr>
      <w:r w:rsidRPr="008F03E5">
        <w:t>Shatt, Shutut</w:t>
      </w:r>
      <w:r w:rsidRPr="008F03E5">
        <w:tab/>
      </w:r>
      <w:r w:rsidRPr="008F03E5">
        <w:rPr>
          <w:u w:val="single"/>
        </w:rPr>
        <w:t>Sh</w:t>
      </w:r>
      <w:r w:rsidRPr="008F03E5">
        <w:t xml:space="preserve">aṭṭ, pl. </w:t>
      </w:r>
      <w:r w:rsidRPr="008F03E5">
        <w:rPr>
          <w:u w:val="single"/>
        </w:rPr>
        <w:t>Sh</w:t>
      </w:r>
      <w:r w:rsidRPr="008F03E5">
        <w:t>uṭúṭ</w:t>
      </w:r>
      <w:r w:rsidRPr="008F03E5">
        <w:tab/>
        <w:t xml:space="preserve">bank (of a river), shore, coast, seashore, beach, strand.  </w:t>
      </w:r>
      <w:r w:rsidRPr="008F03E5">
        <w:rPr>
          <w:u w:val="single"/>
        </w:rPr>
        <w:t>Sh</w:t>
      </w:r>
      <w:r w:rsidRPr="008F03E5">
        <w:t>aṭṭ al-‘Arab (“River of the Arabs”), 200 km river in SE Iraq formed by the confluence of the Tigris and Euphrates Rivers; the region traversed by this river.</w:t>
      </w:r>
    </w:p>
    <w:p w14:paraId="12B35F7F" w14:textId="77777777" w:rsidR="00625A5B" w:rsidRPr="008F03E5" w:rsidRDefault="00625A5B" w:rsidP="000E5940">
      <w:pPr>
        <w:pStyle w:val="Translit"/>
      </w:pPr>
      <w:r w:rsidRPr="008F03E5">
        <w:t>Shavaktani or Shevaqtani (Mark 15:34)</w:t>
      </w:r>
      <w:r w:rsidRPr="008F03E5">
        <w:tab/>
        <w:t>Shavaktani or Shevaqtani</w:t>
      </w:r>
      <w:r w:rsidRPr="008F03E5">
        <w:tab/>
        <w:t xml:space="preserve">Aramaic (Greek sabachthani, Sabacthani or Sabakthani).  Four of the 6 words (all in Aramaic) recorded as spoken by Jesus:  “elohi elohi lama shavaktani”.  ‘Abdu’l-Bahá:  “So Christ never suffered upon the cross.  From the time the crucifixion began His soul was in Heaven and He felt nothing but the Divine Presence.  He did not say, speaking in Aramaic:  ‘O God; O God why hast Thou forsaken me?’  But this word Sabacthani is similar in sound to another which means glorify, and he actually murmured, ‘O God!  O God!  How thou dost glorify me.’” </w:t>
      </w:r>
      <w:r w:rsidRPr="008F03E5">
        <w:rPr>
          <w:i/>
          <w:iCs/>
        </w:rPr>
        <w:t>Star of the West</w:t>
      </w:r>
      <w:r w:rsidRPr="008F03E5">
        <w:t xml:space="preserve"> </w:t>
      </w:r>
      <w:r w:rsidRPr="008F03E5">
        <w:rPr>
          <w:sz w:val="16"/>
          <w:szCs w:val="16"/>
        </w:rPr>
        <w:t>XXIV</w:t>
      </w:r>
      <w:r w:rsidRPr="008F03E5">
        <w:t>:4, p. 105.  See Sabaḥaní</w:t>
      </w:r>
    </w:p>
    <w:p w14:paraId="066351F3" w14:textId="77777777" w:rsidR="00625A5B" w:rsidRPr="008F03E5" w:rsidRDefault="00625A5B" w:rsidP="00B932FD">
      <w:pPr>
        <w:pStyle w:val="Translit"/>
      </w:pPr>
      <w:r w:rsidRPr="004279C3">
        <w:t>Shawahid ar-Rububíyah</w:t>
      </w:r>
      <w:r w:rsidRPr="004279C3">
        <w:tab/>
      </w:r>
      <w:r w:rsidRPr="004279C3">
        <w:rPr>
          <w:u w:val="single"/>
        </w:rPr>
        <w:t>Sh</w:t>
      </w:r>
      <w:r w:rsidRPr="004279C3">
        <w:t>awáhid ar-Rubúbiyah</w:t>
      </w:r>
      <w:r w:rsidRPr="008F03E5">
        <w:tab/>
      </w:r>
      <w:r>
        <w:t xml:space="preserve">“Godly evidence”, </w:t>
      </w:r>
      <w:r w:rsidRPr="008F03E5">
        <w:t xml:space="preserve">book on philosophy by Mullá </w:t>
      </w:r>
      <w:r w:rsidRPr="004279C3">
        <w:t>Ṣ</w:t>
      </w:r>
      <w:r w:rsidRPr="008F03E5">
        <w:t>adrá</w:t>
      </w:r>
      <w:r>
        <w:t xml:space="preserve"> (</w:t>
      </w:r>
      <w:r w:rsidRPr="004279C3">
        <w:t>Ṣ</w:t>
      </w:r>
      <w:r>
        <w:t>adr ad-D</w:t>
      </w:r>
      <w:r w:rsidRPr="004279C3">
        <w:t>í</w:t>
      </w:r>
      <w:r>
        <w:t>n Muḥammad a</w:t>
      </w:r>
      <w:r w:rsidRPr="004279C3">
        <w:rPr>
          <w:u w:val="single"/>
        </w:rPr>
        <w:t>sh</w:t>
      </w:r>
      <w:r>
        <w:t>-</w:t>
      </w:r>
      <w:r w:rsidRPr="004279C3">
        <w:rPr>
          <w:u w:val="single"/>
        </w:rPr>
        <w:t>Sh</w:t>
      </w:r>
      <w:r w:rsidRPr="004279C3">
        <w:t>í</w:t>
      </w:r>
      <w:r>
        <w:t>r</w:t>
      </w:r>
      <w:r w:rsidRPr="004279C3">
        <w:t>á</w:t>
      </w:r>
      <w:r>
        <w:t>zí)</w:t>
      </w:r>
    </w:p>
    <w:p w14:paraId="2B4B7D58" w14:textId="77777777" w:rsidR="00625A5B" w:rsidRPr="008F03E5" w:rsidRDefault="00625A5B" w:rsidP="00C17F4A">
      <w:pPr>
        <w:pStyle w:val="Translit"/>
      </w:pPr>
      <w:r w:rsidRPr="008F03E5">
        <w:t>Shawand (Shavand), Shawandan</w:t>
      </w:r>
      <w:r w:rsidRPr="008F03E5">
        <w:tab/>
      </w:r>
      <w:r w:rsidRPr="008F03E5">
        <w:rPr>
          <w:u w:val="single"/>
        </w:rPr>
        <w:t>Sh</w:t>
      </w:r>
      <w:r w:rsidRPr="008F03E5">
        <w:t xml:space="preserve">awand, pl. </w:t>
      </w:r>
      <w:r w:rsidRPr="008F03E5">
        <w:rPr>
          <w:u w:val="single"/>
        </w:rPr>
        <w:t>Sh</w:t>
      </w:r>
      <w:r w:rsidRPr="008F03E5">
        <w:t>awandán</w:t>
      </w:r>
      <w:r w:rsidRPr="008F03E5">
        <w:tab/>
        <w:t>Pers. cause, reason, motive; “voice” or “being”</w:t>
      </w:r>
    </w:p>
    <w:p w14:paraId="0A1456F0" w14:textId="77777777" w:rsidR="00625A5B" w:rsidRPr="008F03E5" w:rsidRDefault="00625A5B" w:rsidP="00E24243">
      <w:pPr>
        <w:pStyle w:val="Translit"/>
      </w:pPr>
      <w:r w:rsidRPr="008F03E5">
        <w:t>Shawarin (Sheverin)</w:t>
      </w:r>
      <w:r w:rsidRPr="008F03E5">
        <w:tab/>
      </w:r>
      <w:r w:rsidRPr="008F03E5">
        <w:rPr>
          <w:u w:val="single"/>
        </w:rPr>
        <w:t>Sh</w:t>
      </w:r>
      <w:r w:rsidRPr="008F03E5">
        <w:t xml:space="preserve">awarín (and </w:t>
      </w:r>
      <w:r w:rsidRPr="008F03E5">
        <w:rPr>
          <w:u w:val="single"/>
        </w:rPr>
        <w:t>Sh</w:t>
      </w:r>
      <w:r w:rsidRPr="008F03E5">
        <w:t>úrín)</w:t>
      </w:r>
      <w:r w:rsidRPr="008F03E5">
        <w:tab/>
        <w:t>Pers. village in Sangestan Rural District, in the Central District of Hamadan County, Hamadan Province.  5 km to the east of the centre of Hamadan.</w:t>
      </w:r>
    </w:p>
    <w:p w14:paraId="4957F0FB" w14:textId="77777777" w:rsidR="00625A5B" w:rsidRPr="008F03E5" w:rsidRDefault="00625A5B" w:rsidP="002D7F98">
      <w:pPr>
        <w:pStyle w:val="Translit"/>
      </w:pPr>
      <w:r w:rsidRPr="008F03E5">
        <w:t>Shawk (Shauk), Ashwak</w:t>
      </w:r>
      <w:r w:rsidRPr="008F03E5">
        <w:tab/>
      </w:r>
      <w:r w:rsidRPr="008F03E5">
        <w:rPr>
          <w:u w:val="single"/>
        </w:rPr>
        <w:t>Sh</w:t>
      </w:r>
      <w:r w:rsidRPr="008F03E5">
        <w:t>awk, pl. A</w:t>
      </w:r>
      <w:r w:rsidRPr="008F03E5">
        <w:rPr>
          <w:u w:val="single"/>
        </w:rPr>
        <w:t>sh</w:t>
      </w:r>
      <w:r w:rsidRPr="008F03E5">
        <w:t>wák</w:t>
      </w:r>
      <w:r w:rsidRPr="008F03E5">
        <w:tab/>
        <w:t xml:space="preserve">(collective; </w:t>
      </w:r>
      <w:r w:rsidRPr="002D7F98">
        <w:rPr>
          <w:i/>
          <w:iCs/>
        </w:rPr>
        <w:t>nomen unitatis</w:t>
      </w:r>
      <w:r w:rsidRPr="008F03E5">
        <w:t xml:space="preserve"> </w:t>
      </w:r>
      <w:r w:rsidRPr="008F03E5">
        <w:rPr>
          <w:rtl/>
        </w:rPr>
        <w:t>ة</w:t>
      </w:r>
      <w:r w:rsidRPr="008F03E5">
        <w:t>) thorns, spikes, pricks, prickles, spines; fishbone; forks</w:t>
      </w:r>
    </w:p>
    <w:p w14:paraId="4DC4A513" w14:textId="77777777" w:rsidR="00625A5B" w:rsidRPr="008F03E5" w:rsidRDefault="00625A5B" w:rsidP="002D7F98">
      <w:pPr>
        <w:pStyle w:val="Translit"/>
      </w:pPr>
      <w:r w:rsidRPr="008F03E5">
        <w:t>Shawka (Shauka), Shawkat</w:t>
      </w:r>
      <w:r w:rsidRPr="008F03E5">
        <w:tab/>
      </w:r>
      <w:r w:rsidRPr="008F03E5">
        <w:rPr>
          <w:u w:val="single"/>
        </w:rPr>
        <w:t>Sh</w:t>
      </w:r>
      <w:r w:rsidRPr="008F03E5">
        <w:t>awka[</w:t>
      </w:r>
      <w:r>
        <w:t xml:space="preserve">h or </w:t>
      </w:r>
      <w:r w:rsidRPr="008F03E5">
        <w:t xml:space="preserve">t], pl. </w:t>
      </w:r>
      <w:r w:rsidRPr="008F03E5">
        <w:rPr>
          <w:u w:val="single"/>
        </w:rPr>
        <w:t>Sh</w:t>
      </w:r>
      <w:r w:rsidRPr="008F03E5">
        <w:t>awkát</w:t>
      </w:r>
      <w:r w:rsidRPr="008F03E5">
        <w:tab/>
      </w:r>
      <w:r>
        <w:t xml:space="preserve">(fem. form) </w:t>
      </w:r>
      <w:r w:rsidRPr="008F03E5">
        <w:t>(</w:t>
      </w:r>
      <w:r w:rsidRPr="008F03E5">
        <w:rPr>
          <w:i/>
          <w:iCs/>
        </w:rPr>
        <w:t>nomen unitatis</w:t>
      </w:r>
      <w:r w:rsidRPr="002D7F98">
        <w:t>)</w:t>
      </w:r>
      <w:r w:rsidRPr="008F03E5">
        <w:t xml:space="preserve"> thorn, spike, prick, prickle, spine, sting, point; tine, prong; spur (of a rooster); fork; fishbone; furore of fighting, bravura, bravery, valour, verve, dash, élan; might, power.  </w:t>
      </w:r>
      <w:r>
        <w:t>“</w:t>
      </w:r>
      <w:r w:rsidRPr="008F03E5">
        <w:t>Pers.</w:t>
      </w:r>
      <w:r>
        <w:t>”</w:t>
      </w:r>
      <w:r w:rsidRPr="008F03E5">
        <w:t xml:space="preserve"> “Shevket”from the Turkish Şevket.  Ali Şevket Paşa </w:t>
      </w:r>
      <w:r>
        <w:t xml:space="preserve">was an </w:t>
      </w:r>
      <w:r w:rsidRPr="008F03E5">
        <w:t>Ottoman official</w:t>
      </w:r>
      <w:r>
        <w:t>.</w:t>
      </w:r>
    </w:p>
    <w:p w14:paraId="0BFDA638" w14:textId="77777777" w:rsidR="00625A5B" w:rsidRPr="008F03E5" w:rsidRDefault="00625A5B" w:rsidP="002D7F98">
      <w:pPr>
        <w:pStyle w:val="Translit"/>
        <w:rPr>
          <w:rFonts w:eastAsia="Times New Roman"/>
        </w:rPr>
      </w:pPr>
      <w:r w:rsidRPr="008F03E5">
        <w:t>Shawq (Shauq), Ashwaq</w:t>
      </w:r>
      <w:r w:rsidRPr="008F03E5">
        <w:tab/>
      </w:r>
      <w:r w:rsidRPr="008F03E5">
        <w:rPr>
          <w:u w:val="single"/>
        </w:rPr>
        <w:t>Sh</w:t>
      </w:r>
      <w:r w:rsidRPr="008F03E5">
        <w:t>awq, pl. A</w:t>
      </w:r>
      <w:r w:rsidRPr="008F03E5">
        <w:rPr>
          <w:u w:val="single"/>
        </w:rPr>
        <w:t>sh</w:t>
      </w:r>
      <w:r w:rsidRPr="008F03E5">
        <w:t>wáq</w:t>
      </w:r>
      <w:r w:rsidRPr="008F03E5">
        <w:tab/>
        <w:t>(chok, chawk, Shawk, Shogh) longing, yearning, craving, desire, wish, f</w:t>
      </w:r>
      <w:r w:rsidRPr="008F03E5">
        <w:rPr>
          <w:rFonts w:eastAsia="Times New Roman"/>
        </w:rPr>
        <w:t>illing with desire; love; affection, inclination, predilection; fancy; pleasure; curiosity; sympathy</w:t>
      </w:r>
    </w:p>
    <w:p w14:paraId="1CDE5D6E" w14:textId="77777777" w:rsidR="00625A5B" w:rsidRPr="008F03E5" w:rsidRDefault="00625A5B" w:rsidP="00C86489">
      <w:pPr>
        <w:pStyle w:val="Translit"/>
      </w:pPr>
      <w:r w:rsidRPr="008F03E5">
        <w:t>Shawq a</w:t>
      </w:r>
      <w:r>
        <w:t>r</w:t>
      </w:r>
      <w:r w:rsidRPr="008F03E5">
        <w:t>-Rabb</w:t>
      </w:r>
      <w:r w:rsidRPr="008F03E5">
        <w:tab/>
      </w:r>
      <w:r w:rsidRPr="008F03E5">
        <w:rPr>
          <w:u w:val="single"/>
        </w:rPr>
        <w:t>Sh</w:t>
      </w:r>
      <w:r w:rsidRPr="008F03E5">
        <w:t>awq a</w:t>
      </w:r>
      <w:r>
        <w:t>r</w:t>
      </w:r>
      <w:r w:rsidRPr="008F03E5">
        <w:t>-Rabb</w:t>
      </w:r>
      <w:r w:rsidRPr="008F03E5">
        <w:tab/>
        <w:t xml:space="preserve">is a synomyn of </w:t>
      </w:r>
      <w:r w:rsidRPr="008F03E5">
        <w:rPr>
          <w:u w:val="single"/>
        </w:rPr>
        <w:t>Gh</w:t>
      </w:r>
      <w:r w:rsidRPr="008F03E5">
        <w:t>ayrah a</w:t>
      </w:r>
      <w:r>
        <w:t>r</w:t>
      </w:r>
      <w:r w:rsidRPr="008F03E5">
        <w:t>-Rabb meaning “zeal of the Lord” (Isaiah 9:7)</w:t>
      </w:r>
    </w:p>
    <w:p w14:paraId="19B30973" w14:textId="77777777" w:rsidR="00625A5B" w:rsidRPr="008F03E5" w:rsidRDefault="00625A5B" w:rsidP="008C6736">
      <w:pPr>
        <w:pStyle w:val="Translit"/>
      </w:pPr>
      <w:r w:rsidRPr="008F03E5">
        <w:t>Shawqi (Shauqi)</w:t>
      </w:r>
      <w:r w:rsidRPr="008F03E5">
        <w:tab/>
      </w:r>
      <w:bookmarkStart w:id="138" w:name="_Hlk57119427"/>
      <w:r w:rsidRPr="008F03E5">
        <w:rPr>
          <w:u w:val="single"/>
        </w:rPr>
        <w:t>Sh</w:t>
      </w:r>
      <w:r w:rsidRPr="008F03E5">
        <w:t>awqí</w:t>
      </w:r>
      <w:bookmarkEnd w:id="138"/>
      <w:r w:rsidRPr="008F03E5">
        <w:tab/>
        <w:t>(choki, chawki, Shawki, Shoghi) loving, amorous; cheerful; zeal, eagerness, yearning; “the one who longs”.  See Shoghi Effendi</w:t>
      </w:r>
    </w:p>
    <w:p w14:paraId="047E3502" w14:textId="77777777" w:rsidR="00625A5B" w:rsidRPr="008F03E5" w:rsidRDefault="00625A5B" w:rsidP="00021BF2">
      <w:pPr>
        <w:pStyle w:val="Translit"/>
      </w:pPr>
      <w:r w:rsidRPr="008F03E5">
        <w:t>Shawr (Shaur)</w:t>
      </w:r>
      <w:r w:rsidRPr="008F03E5">
        <w:tab/>
      </w:r>
      <w:r w:rsidRPr="008F03E5">
        <w:rPr>
          <w:u w:val="single"/>
        </w:rPr>
        <w:t>Sh</w:t>
      </w:r>
      <w:r w:rsidRPr="008F03E5">
        <w:t>awr</w:t>
      </w:r>
      <w:r w:rsidRPr="008F03E5">
        <w:tab/>
        <w:t xml:space="preserve">publishing, divulging; exhibiting (for sale); gathering (honey, </w:t>
      </w:r>
      <w:r w:rsidRPr="008F03E5">
        <w:rPr>
          <w:u w:val="single"/>
        </w:rPr>
        <w:t>sh</w:t>
      </w:r>
      <w:r w:rsidRPr="008F03E5">
        <w:t xml:space="preserve">arw or </w:t>
      </w:r>
      <w:r w:rsidRPr="008F03E5">
        <w:rPr>
          <w:u w:val="single"/>
        </w:rPr>
        <w:t>sh</w:t>
      </w:r>
      <w:r w:rsidRPr="008F03E5">
        <w:t>irw) from a hive</w:t>
      </w:r>
    </w:p>
    <w:p w14:paraId="78C431FD" w14:textId="77777777" w:rsidR="00625A5B" w:rsidRPr="008F03E5" w:rsidRDefault="00625A5B" w:rsidP="0048078D">
      <w:pPr>
        <w:pStyle w:val="Translit"/>
      </w:pPr>
      <w:r w:rsidRPr="008F03E5">
        <w:t>Shawwal (Shavval)</w:t>
      </w:r>
      <w:r w:rsidRPr="008F03E5">
        <w:tab/>
      </w:r>
      <w:r w:rsidRPr="008F03E5">
        <w:rPr>
          <w:u w:val="single"/>
        </w:rPr>
        <w:t>Sh</w:t>
      </w:r>
      <w:r w:rsidRPr="008F03E5">
        <w:t xml:space="preserve">awwál, pl. </w:t>
      </w:r>
      <w:r w:rsidRPr="008F03E5">
        <w:rPr>
          <w:u w:val="single"/>
        </w:rPr>
        <w:t>Sh</w:t>
      </w:r>
      <w:r w:rsidRPr="008F03E5">
        <w:t xml:space="preserve">awwálát, </w:t>
      </w:r>
      <w:r w:rsidRPr="008F03E5">
        <w:rPr>
          <w:u w:val="single"/>
        </w:rPr>
        <w:t>Sh</w:t>
      </w:r>
      <w:r w:rsidRPr="008F03E5">
        <w:t>awáwíl</w:t>
      </w:r>
      <w:r w:rsidRPr="008F03E5">
        <w:tab/>
        <w:t xml:space="preserve">tenth month in Islamic calendar (lift or carry).  Pers. also </w:t>
      </w:r>
      <w:r w:rsidRPr="008F03E5">
        <w:rPr>
          <w:u w:val="single"/>
        </w:rPr>
        <w:t>Sh</w:t>
      </w:r>
      <w:r w:rsidRPr="008F03E5">
        <w:t>avvál</w:t>
      </w:r>
    </w:p>
    <w:p w14:paraId="19BEB3D1" w14:textId="77777777" w:rsidR="00625A5B" w:rsidRPr="008F03E5" w:rsidRDefault="00625A5B" w:rsidP="0078221D">
      <w:pPr>
        <w:pStyle w:val="Translit"/>
      </w:pPr>
      <w:r w:rsidRPr="008F03E5">
        <w:t>Shay</w:t>
      </w:r>
      <w:r w:rsidRPr="008F03E5">
        <w:tab/>
      </w:r>
      <w:r w:rsidRPr="008F03E5">
        <w:rPr>
          <w:u w:val="single"/>
        </w:rPr>
        <w:t>Sh</w:t>
      </w:r>
      <w:r w:rsidRPr="008F03E5">
        <w:t>áy</w:t>
      </w:r>
      <w:r w:rsidRPr="008F03E5">
        <w:tab/>
        <w:t xml:space="preserve">tea.  See </w:t>
      </w:r>
      <w:r w:rsidRPr="008F03E5">
        <w:rPr>
          <w:u w:val="single"/>
        </w:rPr>
        <w:t>Ch</w:t>
      </w:r>
      <w:r w:rsidRPr="008F03E5">
        <w:t>áy</w:t>
      </w:r>
    </w:p>
    <w:p w14:paraId="44052AF9" w14:textId="77777777" w:rsidR="00625A5B" w:rsidRPr="008F03E5" w:rsidRDefault="00625A5B" w:rsidP="0048078D">
      <w:pPr>
        <w:pStyle w:val="Translit"/>
      </w:pPr>
      <w:r w:rsidRPr="008F03E5">
        <w:t>Shay’ (Shai’), Ashya</w:t>
      </w:r>
      <w:r w:rsidRPr="008F03E5">
        <w:tab/>
      </w:r>
      <w:r w:rsidRPr="008F03E5">
        <w:rPr>
          <w:u w:val="single"/>
        </w:rPr>
        <w:t>Sh</w:t>
      </w:r>
      <w:r w:rsidRPr="008F03E5">
        <w:t>ay’, pl. A</w:t>
      </w:r>
      <w:r w:rsidRPr="008F03E5">
        <w:rPr>
          <w:u w:val="single"/>
        </w:rPr>
        <w:t>sh</w:t>
      </w:r>
      <w:r w:rsidRPr="008F03E5">
        <w:t>yá’</w:t>
      </w:r>
      <w:r w:rsidRPr="008F03E5">
        <w:tab/>
        <w:t>thing; something; (with negative) nothing</w:t>
      </w:r>
    </w:p>
    <w:p w14:paraId="154E6854" w14:textId="77777777" w:rsidR="00625A5B" w:rsidRPr="008F03E5" w:rsidRDefault="00625A5B" w:rsidP="00BE7C3D">
      <w:pPr>
        <w:pStyle w:val="Translit"/>
      </w:pPr>
      <w:r w:rsidRPr="008F03E5">
        <w:t>Shayad</w:t>
      </w:r>
      <w:r w:rsidRPr="008F03E5">
        <w:tab/>
      </w:r>
      <w:r w:rsidRPr="008F03E5">
        <w:rPr>
          <w:u w:val="single"/>
        </w:rPr>
        <w:t>Sh</w:t>
      </w:r>
      <w:r w:rsidRPr="008F03E5">
        <w:t>áyad</w:t>
      </w:r>
      <w:r w:rsidRPr="008F03E5">
        <w:tab/>
        <w:t>Pers. l</w:t>
      </w:r>
      <w:r w:rsidRPr="008F03E5">
        <w:rPr>
          <w:rFonts w:eastAsia="Times New Roman"/>
        </w:rPr>
        <w:t>et it be; it is agreeable, suitable, worthy, proper; may be, perhaps, perchance, possibly, probably; probability</w:t>
      </w:r>
    </w:p>
    <w:p w14:paraId="7C051822" w14:textId="77777777" w:rsidR="00625A5B" w:rsidRPr="008F03E5" w:rsidRDefault="00625A5B" w:rsidP="00BE7C3D">
      <w:pPr>
        <w:pStyle w:val="Translit"/>
      </w:pPr>
      <w:r w:rsidRPr="008F03E5">
        <w:t>Shayban, Shaiban</w:t>
      </w:r>
      <w:r w:rsidRPr="008F03E5">
        <w:tab/>
      </w:r>
      <w:r w:rsidRPr="008F03E5">
        <w:rPr>
          <w:u w:val="single"/>
        </w:rPr>
        <w:t>Sh</w:t>
      </w:r>
      <w:r w:rsidRPr="008F03E5">
        <w:t>aybán</w:t>
      </w:r>
      <w:r w:rsidRPr="008F03E5">
        <w:tab/>
        <w:t xml:space="preserve">the Banú </w:t>
      </w:r>
      <w:r w:rsidRPr="008F03E5">
        <w:rPr>
          <w:u w:val="single"/>
        </w:rPr>
        <w:t>Sh</w:t>
      </w:r>
      <w:r w:rsidRPr="008F03E5">
        <w:t>aybán were an Arab tribe that was mainly settled in the al-Jazíra area throughout the early Islamic era</w:t>
      </w:r>
    </w:p>
    <w:p w14:paraId="6A7BC457" w14:textId="77777777" w:rsidR="00625A5B" w:rsidRPr="008F03E5" w:rsidRDefault="00625A5B" w:rsidP="0013737A">
      <w:pPr>
        <w:pStyle w:val="Translit"/>
        <w:rPr>
          <w:rFonts w:eastAsia="PMingLiU"/>
          <w:lang w:eastAsia="zh-TW"/>
        </w:rPr>
      </w:pPr>
      <w:r w:rsidRPr="008F03E5">
        <w:rPr>
          <w:rFonts w:eastAsia="PMingLiU"/>
          <w:lang w:eastAsia="zh-TW"/>
        </w:rPr>
        <w:t>Shaybani (Shaibani)</w:t>
      </w:r>
      <w:r w:rsidRPr="008F03E5">
        <w:tab/>
      </w:r>
      <w:r w:rsidRPr="008F03E5">
        <w:rPr>
          <w:u w:val="single"/>
        </w:rPr>
        <w:t>Sh</w:t>
      </w:r>
      <w:r w:rsidRPr="008F03E5">
        <w:t>a</w:t>
      </w:r>
      <w:r w:rsidRPr="008F03E5">
        <w:rPr>
          <w:rFonts w:eastAsia="PMingLiU"/>
          <w:lang w:eastAsia="zh-TW"/>
        </w:rPr>
        <w:t>yb</w:t>
      </w:r>
      <w:r w:rsidRPr="008F03E5">
        <w:t>á</w:t>
      </w:r>
      <w:r w:rsidRPr="008F03E5">
        <w:rPr>
          <w:rFonts w:eastAsia="PMingLiU"/>
          <w:lang w:eastAsia="zh-TW"/>
        </w:rPr>
        <w:t>ní</w:t>
      </w:r>
      <w:r w:rsidRPr="008F03E5">
        <w:tab/>
        <w:t xml:space="preserve">of the </w:t>
      </w:r>
      <w:r w:rsidRPr="008F03E5">
        <w:rPr>
          <w:u w:val="single"/>
        </w:rPr>
        <w:t>Sh</w:t>
      </w:r>
      <w:r w:rsidRPr="008F03E5">
        <w:t>a</w:t>
      </w:r>
      <w:r w:rsidRPr="008F03E5">
        <w:rPr>
          <w:rFonts w:eastAsia="PMingLiU"/>
          <w:lang w:eastAsia="zh-TW"/>
        </w:rPr>
        <w:t>yb</w:t>
      </w:r>
      <w:r w:rsidRPr="008F03E5">
        <w:t>á</w:t>
      </w:r>
      <w:r w:rsidRPr="008F03E5">
        <w:rPr>
          <w:rFonts w:eastAsia="PMingLiU"/>
          <w:lang w:eastAsia="zh-TW"/>
        </w:rPr>
        <w:t xml:space="preserve">n </w:t>
      </w:r>
      <w:r w:rsidRPr="008F03E5">
        <w:t>tribe</w:t>
      </w:r>
    </w:p>
    <w:p w14:paraId="29281E57" w14:textId="77777777" w:rsidR="00625A5B" w:rsidRPr="008F03E5" w:rsidRDefault="00625A5B" w:rsidP="00116AE1">
      <w:pPr>
        <w:pStyle w:val="Translit"/>
      </w:pPr>
      <w:r w:rsidRPr="008F03E5">
        <w:t>Shayd (Shaid)</w:t>
      </w:r>
      <w:r w:rsidRPr="008F03E5">
        <w:tab/>
      </w:r>
      <w:r w:rsidRPr="008F03E5">
        <w:rPr>
          <w:u w:val="single"/>
        </w:rPr>
        <w:t>Sh</w:t>
      </w:r>
      <w:r w:rsidRPr="008F03E5">
        <w:t>ayd</w:t>
      </w:r>
      <w:r w:rsidRPr="008F03E5">
        <w:tab/>
        <w:t>Pers. d</w:t>
      </w:r>
      <w:r w:rsidRPr="008F03E5">
        <w:rPr>
          <w:rFonts w:eastAsia="Times New Roman"/>
        </w:rPr>
        <w:t>eceit, fraud, hypocrisy</w:t>
      </w:r>
    </w:p>
    <w:p w14:paraId="0320B631" w14:textId="77777777" w:rsidR="00625A5B" w:rsidRPr="008F03E5" w:rsidRDefault="00625A5B" w:rsidP="00116AE1">
      <w:pPr>
        <w:pStyle w:val="Translit"/>
      </w:pPr>
      <w:r w:rsidRPr="008F03E5">
        <w:t>Shayda (Shaida)</w:t>
      </w:r>
      <w:r w:rsidRPr="008F03E5">
        <w:tab/>
      </w:r>
      <w:r w:rsidRPr="008F03E5">
        <w:rPr>
          <w:u w:val="single"/>
        </w:rPr>
        <w:t>Sh</w:t>
      </w:r>
      <w:r w:rsidRPr="008F03E5">
        <w:t>aydá</w:t>
      </w:r>
      <w:r w:rsidRPr="008F03E5">
        <w:tab/>
        <w:t>Pers. mad, insane, in love.  Fem. name.</w:t>
      </w:r>
    </w:p>
    <w:p w14:paraId="18FA2D53" w14:textId="77777777" w:rsidR="00625A5B" w:rsidRPr="008F03E5" w:rsidRDefault="00625A5B" w:rsidP="005A31C6">
      <w:pPr>
        <w:pStyle w:val="Translit"/>
      </w:pPr>
      <w:r w:rsidRPr="008F03E5">
        <w:t>Shayigan</w:t>
      </w:r>
      <w:r w:rsidRPr="008F03E5">
        <w:tab/>
      </w:r>
      <w:r w:rsidRPr="008F03E5">
        <w:rPr>
          <w:u w:val="single"/>
        </w:rPr>
        <w:t>Sh</w:t>
      </w:r>
      <w:r w:rsidRPr="008F03E5">
        <w:t>áyigán</w:t>
      </w:r>
      <w:r w:rsidRPr="008F03E5">
        <w:tab/>
        <w:t xml:space="preserve">Pers. possibly </w:t>
      </w:r>
      <w:r w:rsidRPr="008F03E5">
        <w:rPr>
          <w:u w:val="single"/>
        </w:rPr>
        <w:t>Sh</w:t>
      </w:r>
      <w:r w:rsidRPr="008F03E5">
        <w:t xml:space="preserve">áyagán for </w:t>
      </w:r>
      <w:r w:rsidRPr="008F03E5">
        <w:rPr>
          <w:u w:val="single"/>
        </w:rPr>
        <w:t>Sh</w:t>
      </w:r>
      <w:r w:rsidRPr="008F03E5">
        <w:t>áhagán, “like a king”.  Hence, I</w:t>
      </w:r>
      <w:r w:rsidRPr="008F03E5">
        <w:rPr>
          <w:u w:val="single"/>
        </w:rPr>
        <w:t>sh</w:t>
      </w:r>
      <w:r w:rsidRPr="008F03E5">
        <w:t>ráq-</w:t>
      </w:r>
      <w:r w:rsidRPr="008F03E5">
        <w:rPr>
          <w:u w:val="single"/>
        </w:rPr>
        <w:t>Kh</w:t>
      </w:r>
      <w:r w:rsidRPr="008F03E5">
        <w:t>ávarí,</w:t>
      </w:r>
      <w:r w:rsidRPr="008F03E5">
        <w:rPr>
          <w:i/>
          <w:iCs/>
        </w:rPr>
        <w:t xml:space="preserve"> Ganj-i-</w:t>
      </w:r>
      <w:r w:rsidRPr="008F03E5">
        <w:rPr>
          <w:i/>
          <w:iCs/>
          <w:u w:val="single"/>
        </w:rPr>
        <w:t>Sh</w:t>
      </w:r>
      <w:r w:rsidRPr="008F03E5">
        <w:rPr>
          <w:i/>
          <w:iCs/>
        </w:rPr>
        <w:t>áyigán</w:t>
      </w:r>
      <w:r w:rsidRPr="008F03E5">
        <w:t xml:space="preserve"> (“King’s treasure”)</w:t>
      </w:r>
    </w:p>
    <w:p w14:paraId="50A9937C" w14:textId="77777777" w:rsidR="00625A5B" w:rsidRPr="008F03E5" w:rsidRDefault="00625A5B" w:rsidP="006B62CE">
      <w:pPr>
        <w:pStyle w:val="Translit"/>
      </w:pPr>
      <w:r w:rsidRPr="008F03E5">
        <w:t>Shayista</w:t>
      </w:r>
      <w:r w:rsidRPr="008F03E5">
        <w:tab/>
      </w:r>
      <w:r w:rsidRPr="008F03E5">
        <w:rPr>
          <w:u w:val="single"/>
        </w:rPr>
        <w:t>Sh</w:t>
      </w:r>
      <w:r w:rsidRPr="008F03E5">
        <w:t>áyista</w:t>
      </w:r>
      <w:r w:rsidRPr="008F03E5">
        <w:tab/>
        <w:t xml:space="preserve">Pers. worthy, honourable; legal, unobjectionable; suitable, decent, useful; well-bred, polite.  A Pers. form </w:t>
      </w:r>
      <w:r w:rsidRPr="008F03E5">
        <w:rPr>
          <w:u w:val="single"/>
        </w:rPr>
        <w:t>Sh</w:t>
      </w:r>
      <w:r w:rsidRPr="008F03E5">
        <w:t>áyistih</w:t>
      </w:r>
    </w:p>
    <w:p w14:paraId="148BCDB9" w14:textId="77777777" w:rsidR="00625A5B" w:rsidRPr="008F03E5" w:rsidRDefault="00625A5B" w:rsidP="00273A79">
      <w:pPr>
        <w:pStyle w:val="Translit"/>
      </w:pPr>
      <w:r w:rsidRPr="008F03E5">
        <w:t>Shaykh (Shaikh), Shaykhat</w:t>
      </w:r>
      <w:r w:rsidRPr="008F03E5">
        <w:tab/>
      </w:r>
      <w:r w:rsidRPr="008F03E5">
        <w:rPr>
          <w:u w:val="single"/>
        </w:rPr>
        <w:t>Sh</w:t>
      </w:r>
      <w:r w:rsidRPr="008F03E5">
        <w:t>ay</w:t>
      </w:r>
      <w:r w:rsidRPr="008F03E5">
        <w:rPr>
          <w:u w:val="single"/>
        </w:rPr>
        <w:t>kh</w:t>
      </w:r>
      <w:r w:rsidRPr="008F03E5">
        <w:t xml:space="preserve">, fem. </w:t>
      </w:r>
      <w:r w:rsidRPr="008F03E5">
        <w:rPr>
          <w:u w:val="single"/>
        </w:rPr>
        <w:t>Sh</w:t>
      </w:r>
      <w:r w:rsidRPr="008F03E5">
        <w:t>ay</w:t>
      </w:r>
      <w:r w:rsidRPr="008F03E5">
        <w:rPr>
          <w:u w:val="single"/>
        </w:rPr>
        <w:t>kh</w:t>
      </w:r>
      <w:r w:rsidRPr="008F03E5">
        <w:t>a[h or t]</w:t>
      </w:r>
      <w:r w:rsidRPr="008F03E5">
        <w:tab/>
        <w:t>Pers. (see Arabic entry for meaning).  Designation may be used for leading ulama.  In general, a tribal leader.  Plurals:  A</w:t>
      </w:r>
      <w:r w:rsidRPr="008F03E5">
        <w:rPr>
          <w:u w:val="single"/>
        </w:rPr>
        <w:t>sh</w:t>
      </w:r>
      <w:r w:rsidRPr="008F03E5">
        <w:t>yá</w:t>
      </w:r>
      <w:r w:rsidRPr="008F03E5">
        <w:rPr>
          <w:u w:val="single"/>
        </w:rPr>
        <w:t>kh</w:t>
      </w:r>
      <w:r w:rsidRPr="008F03E5">
        <w:t xml:space="preserve">, </w:t>
      </w:r>
      <w:r w:rsidRPr="008F03E5">
        <w:rPr>
          <w:u w:val="single"/>
        </w:rPr>
        <w:t>Sh</w:t>
      </w:r>
      <w:r w:rsidRPr="008F03E5">
        <w:t>i</w:t>
      </w:r>
      <w:r w:rsidRPr="008F03E5">
        <w:rPr>
          <w:u w:val="single"/>
        </w:rPr>
        <w:t>kh</w:t>
      </w:r>
      <w:r w:rsidRPr="008F03E5">
        <w:t xml:space="preserve">an, </w:t>
      </w:r>
      <w:r w:rsidRPr="008F03E5">
        <w:rPr>
          <w:u w:val="single"/>
        </w:rPr>
        <w:t>Sh</w:t>
      </w:r>
      <w:r w:rsidRPr="008F03E5">
        <w:t>í</w:t>
      </w:r>
      <w:r w:rsidRPr="008F03E5">
        <w:rPr>
          <w:u w:val="single"/>
        </w:rPr>
        <w:t>kh</w:t>
      </w:r>
      <w:r w:rsidRPr="008F03E5">
        <w:t xml:space="preserve">at, </w:t>
      </w:r>
      <w:r w:rsidRPr="008F03E5">
        <w:rPr>
          <w:u w:val="single"/>
        </w:rPr>
        <w:t>Sh</w:t>
      </w:r>
      <w:r w:rsidRPr="008F03E5">
        <w:t>iya</w:t>
      </w:r>
      <w:r w:rsidRPr="008F03E5">
        <w:rPr>
          <w:u w:val="single"/>
        </w:rPr>
        <w:t>kh</w:t>
      </w:r>
      <w:r w:rsidRPr="008F03E5">
        <w:t xml:space="preserve">at, </w:t>
      </w:r>
      <w:r w:rsidRPr="008F03E5">
        <w:rPr>
          <w:u w:val="single"/>
        </w:rPr>
        <w:t>Sh</w:t>
      </w:r>
      <w:r w:rsidRPr="008F03E5">
        <w:t>iyú</w:t>
      </w:r>
      <w:r w:rsidRPr="008F03E5">
        <w:rPr>
          <w:u w:val="single"/>
        </w:rPr>
        <w:t>kh</w:t>
      </w:r>
      <w:r w:rsidRPr="008F03E5">
        <w:t xml:space="preserve">, </w:t>
      </w:r>
      <w:r w:rsidRPr="008F03E5">
        <w:rPr>
          <w:u w:val="single"/>
        </w:rPr>
        <w:t>Sh</w:t>
      </w:r>
      <w:r w:rsidRPr="008F03E5">
        <w:t>uyú</w:t>
      </w:r>
      <w:r w:rsidRPr="008F03E5">
        <w:rPr>
          <w:u w:val="single"/>
        </w:rPr>
        <w:t>kh</w:t>
      </w:r>
      <w:r w:rsidRPr="008F03E5">
        <w:t>.</w:t>
      </w:r>
    </w:p>
    <w:p w14:paraId="525FE53B" w14:textId="77777777" w:rsidR="00625A5B" w:rsidRPr="008F03E5" w:rsidRDefault="00625A5B" w:rsidP="00273A79">
      <w:pPr>
        <w:pStyle w:val="Translit"/>
        <w:rPr>
          <w:b/>
          <w:bCs/>
        </w:rPr>
      </w:pPr>
      <w:r w:rsidRPr="008F03E5">
        <w:t>Shaykh (Shaikh), Shuyukk, Ashyakh</w:t>
      </w:r>
      <w:r w:rsidRPr="008F03E5">
        <w:tab/>
      </w:r>
      <w:r w:rsidRPr="008F03E5">
        <w:rPr>
          <w:u w:val="single"/>
        </w:rPr>
        <w:t>Sh</w:t>
      </w:r>
      <w:r w:rsidRPr="008F03E5">
        <w:t>ay</w:t>
      </w:r>
      <w:r w:rsidRPr="008F03E5">
        <w:rPr>
          <w:u w:val="single"/>
        </w:rPr>
        <w:t>kh</w:t>
      </w:r>
      <w:r w:rsidRPr="008F03E5">
        <w:t xml:space="preserve">, pl. </w:t>
      </w:r>
      <w:r w:rsidRPr="008F03E5">
        <w:rPr>
          <w:u w:val="single"/>
        </w:rPr>
        <w:t>Sh</w:t>
      </w:r>
      <w:r w:rsidRPr="008F03E5">
        <w:t>uyú</w:t>
      </w:r>
      <w:r w:rsidRPr="008F03E5">
        <w:rPr>
          <w:u w:val="single"/>
        </w:rPr>
        <w:t>kh</w:t>
      </w:r>
      <w:r w:rsidRPr="008F03E5">
        <w:t>, A</w:t>
      </w:r>
      <w:r w:rsidRPr="008F03E5">
        <w:rPr>
          <w:u w:val="single"/>
        </w:rPr>
        <w:t>sh</w:t>
      </w:r>
      <w:r w:rsidRPr="008F03E5">
        <w:t>yá</w:t>
      </w:r>
      <w:r w:rsidRPr="008F03E5">
        <w:rPr>
          <w:u w:val="single"/>
        </w:rPr>
        <w:t>kh</w:t>
      </w:r>
      <w:r w:rsidRPr="008F03E5">
        <w:tab/>
        <w:t>Ar. an elderly, venerable gentleman; old man; elder; chief, chieftain, sheik, patriarch, head (of a tribe); title of the ruler of anyone of the sheikdoms along the Persian Gulf; title of native scholars trained in the traditional sciences such as clerical dignitaries, members of a religious order, professors of spiritual institutions of higher learning, etc.; master; master of an order (Sufism); senator (parliament).  Other plurals:  ma</w:t>
      </w:r>
      <w:r w:rsidRPr="008F03E5">
        <w:rPr>
          <w:u w:val="single"/>
        </w:rPr>
        <w:t>shy</w:t>
      </w:r>
      <w:r w:rsidRPr="008F03E5">
        <w:t>a</w:t>
      </w:r>
      <w:r w:rsidRPr="008F03E5">
        <w:rPr>
          <w:u w:val="single"/>
        </w:rPr>
        <w:t>kh</w:t>
      </w:r>
      <w:r w:rsidRPr="008F03E5">
        <w:t>a, ma</w:t>
      </w:r>
      <w:r w:rsidRPr="008F03E5">
        <w:rPr>
          <w:u w:val="single"/>
        </w:rPr>
        <w:t>sh</w:t>
      </w:r>
      <w:r w:rsidRPr="008F03E5">
        <w:t>áyi</w:t>
      </w:r>
      <w:r w:rsidRPr="008F03E5">
        <w:rPr>
          <w:u w:val="single"/>
        </w:rPr>
        <w:t>kh</w:t>
      </w:r>
      <w:r w:rsidRPr="008F03E5">
        <w:t>, ma</w:t>
      </w:r>
      <w:r w:rsidRPr="008F03E5">
        <w:rPr>
          <w:u w:val="single"/>
        </w:rPr>
        <w:t>sh</w:t>
      </w:r>
      <w:r w:rsidRPr="008F03E5">
        <w:t>á’i</w:t>
      </w:r>
      <w:r w:rsidRPr="008F03E5">
        <w:rPr>
          <w:u w:val="single"/>
        </w:rPr>
        <w:t>kh</w:t>
      </w:r>
      <w:r w:rsidRPr="008F03E5">
        <w:t xml:space="preserve"> (ma</w:t>
      </w:r>
      <w:r w:rsidRPr="008F03E5">
        <w:rPr>
          <w:u w:val="single"/>
        </w:rPr>
        <w:t>sh</w:t>
      </w:r>
      <w:r w:rsidRPr="008F03E5">
        <w:t>ayi</w:t>
      </w:r>
      <w:r w:rsidRPr="008F03E5">
        <w:rPr>
          <w:u w:val="single"/>
        </w:rPr>
        <w:t>kh</w:t>
      </w:r>
      <w:r w:rsidRPr="008F03E5">
        <w:t>, ma</w:t>
      </w:r>
      <w:r w:rsidRPr="008F03E5">
        <w:rPr>
          <w:u w:val="single"/>
        </w:rPr>
        <w:t>sh</w:t>
      </w:r>
      <w:r w:rsidRPr="008F03E5">
        <w:t>a’i</w:t>
      </w:r>
      <w:r w:rsidRPr="008F03E5">
        <w:rPr>
          <w:u w:val="single"/>
        </w:rPr>
        <w:t>kh</w:t>
      </w:r>
      <w:r w:rsidRPr="008F03E5">
        <w:t>).  See ma</w:t>
      </w:r>
      <w:r w:rsidRPr="008F03E5">
        <w:rPr>
          <w:u w:val="single"/>
        </w:rPr>
        <w:t>sh</w:t>
      </w:r>
      <w:r w:rsidRPr="008F03E5">
        <w:t>ya</w:t>
      </w:r>
      <w:r w:rsidRPr="008F03E5">
        <w:rPr>
          <w:u w:val="single"/>
        </w:rPr>
        <w:t>kh</w:t>
      </w:r>
      <w:r w:rsidRPr="008F03E5">
        <w:t xml:space="preserve">a.  Feminine </w:t>
      </w:r>
      <w:r w:rsidRPr="008F03E5">
        <w:rPr>
          <w:u w:val="single"/>
        </w:rPr>
        <w:t>sh</w:t>
      </w:r>
      <w:r w:rsidRPr="008F03E5">
        <w:t>ay</w:t>
      </w:r>
      <w:r w:rsidRPr="008F03E5">
        <w:rPr>
          <w:u w:val="single"/>
        </w:rPr>
        <w:t>kh</w:t>
      </w:r>
      <w:r w:rsidRPr="008F03E5">
        <w:t xml:space="preserve">a[h or t], </w:t>
      </w:r>
      <w:r w:rsidRPr="008F03E5">
        <w:rPr>
          <w:u w:val="single"/>
        </w:rPr>
        <w:t>sh</w:t>
      </w:r>
      <w:r w:rsidRPr="008F03E5">
        <w:t>ay</w:t>
      </w:r>
      <w:r w:rsidRPr="008F03E5">
        <w:rPr>
          <w:u w:val="single"/>
        </w:rPr>
        <w:t>kh</w:t>
      </w:r>
      <w:r w:rsidRPr="008F03E5">
        <w:t>át.</w:t>
      </w:r>
    </w:p>
    <w:p w14:paraId="43E9FD06" w14:textId="77777777" w:rsidR="00625A5B" w:rsidRPr="008F03E5" w:rsidRDefault="00625A5B" w:rsidP="000148E8">
      <w:pPr>
        <w:pStyle w:val="Translit"/>
      </w:pPr>
      <w:r w:rsidRPr="008F03E5">
        <w:t>Shaykh ‘Abdu’l-Husayn-i-Tihrani</w:t>
      </w:r>
      <w:r w:rsidRPr="008F03E5">
        <w:tab/>
      </w:r>
      <w:r w:rsidRPr="008F03E5">
        <w:rPr>
          <w:u w:val="single"/>
        </w:rPr>
        <w:t>Sh</w:t>
      </w:r>
      <w:r w:rsidRPr="008F03E5">
        <w:t>ay</w:t>
      </w:r>
      <w:r w:rsidRPr="008F03E5">
        <w:rPr>
          <w:u w:val="single"/>
        </w:rPr>
        <w:t>kh</w:t>
      </w:r>
      <w:r w:rsidRPr="008F03E5">
        <w:t xml:space="preserve"> ‘Abdu’l-Ḥusayn-i-Ṭihrání</w:t>
      </w:r>
      <w:r w:rsidRPr="008F03E5">
        <w:tab/>
        <w:t xml:space="preserve">Mujtahid </w:t>
      </w:r>
      <w:r w:rsidRPr="008F03E5">
        <w:rPr>
          <w:u w:val="single"/>
        </w:rPr>
        <w:t>Sh</w:t>
      </w:r>
      <w:r w:rsidRPr="008F03E5">
        <w:t>ay</w:t>
      </w:r>
      <w:r w:rsidRPr="008F03E5">
        <w:rPr>
          <w:u w:val="single"/>
        </w:rPr>
        <w:t>kh</w:t>
      </w:r>
      <w:r w:rsidRPr="008F03E5">
        <w:t xml:space="preserve"> ‘Abdu’l-Ḥusayn-i-Ṭihrání, known as </w:t>
      </w:r>
      <w:r w:rsidRPr="008F03E5">
        <w:rPr>
          <w:u w:val="single"/>
        </w:rPr>
        <w:t>Sh</w:t>
      </w:r>
      <w:r w:rsidRPr="008F03E5">
        <w:t>ay</w:t>
      </w:r>
      <w:r w:rsidRPr="008F03E5">
        <w:rPr>
          <w:u w:val="single"/>
        </w:rPr>
        <w:t>kh</w:t>
      </w:r>
      <w:r w:rsidRPr="008F03E5">
        <w:t xml:space="preserve">u’l-‘Iráqayn, was the son of ‘Aliy-i-Ṭihrání.  In 1858, Náṣiri’d-Dín </w:t>
      </w:r>
      <w:r w:rsidRPr="008F03E5">
        <w:rPr>
          <w:u w:val="single"/>
        </w:rPr>
        <w:t>Sh</w:t>
      </w:r>
      <w:r w:rsidRPr="008F03E5">
        <w:t>áh placed him in charge of a mission (it was a means of removing him from Ṭihrán) to Iraq (where he opposed Bahá’u’lláh) to regild the dome of the tomb of Ḥusayn at Karbila.  When completed, he was placed in charge of the gilding the dome of the Askariyayn shrine at Samarra.  He died in Kazimayn on 16 December 1869 and is buried at Karbila.</w:t>
      </w:r>
    </w:p>
    <w:p w14:paraId="029C9AF0" w14:textId="77777777" w:rsidR="00625A5B" w:rsidRPr="008F03E5" w:rsidRDefault="00625A5B" w:rsidP="0048078D">
      <w:pPr>
        <w:pStyle w:val="Translit"/>
      </w:pPr>
      <w:r w:rsidRPr="008F03E5">
        <w:t>Shaykh ‘Abdu’r-Rahman</w:t>
      </w:r>
      <w:r w:rsidRPr="008F03E5">
        <w:tab/>
      </w:r>
      <w:r w:rsidRPr="008F03E5">
        <w:rPr>
          <w:u w:val="single"/>
        </w:rPr>
        <w:t>Sh</w:t>
      </w:r>
      <w:r w:rsidRPr="008F03E5">
        <w:t>ay</w:t>
      </w:r>
      <w:r w:rsidRPr="008F03E5">
        <w:rPr>
          <w:u w:val="single"/>
        </w:rPr>
        <w:t>kh</w:t>
      </w:r>
      <w:r w:rsidRPr="008F03E5">
        <w:t xml:space="preserve"> ‘Abdu’r-Raḥmán</w:t>
      </w:r>
      <w:r w:rsidRPr="008F03E5">
        <w:tab/>
      </w:r>
    </w:p>
    <w:p w14:paraId="4CF08ECD" w14:textId="77777777" w:rsidR="00625A5B" w:rsidRPr="008F03E5" w:rsidRDefault="00625A5B" w:rsidP="002E1800">
      <w:pPr>
        <w:pStyle w:val="Translit"/>
      </w:pPr>
      <w:r w:rsidRPr="008F03E5">
        <w:t>Shaykh ‘Abid, Shaykh Anam</w:t>
      </w:r>
      <w:r w:rsidRPr="008F03E5">
        <w:tab/>
      </w:r>
      <w:r w:rsidRPr="008F03E5">
        <w:rPr>
          <w:u w:val="single"/>
        </w:rPr>
        <w:t>Sh</w:t>
      </w:r>
      <w:r w:rsidRPr="008F03E5">
        <w:t>ay</w:t>
      </w:r>
      <w:r w:rsidRPr="008F03E5">
        <w:rPr>
          <w:u w:val="single"/>
        </w:rPr>
        <w:t>kh</w:t>
      </w:r>
      <w:r w:rsidRPr="008F03E5">
        <w:t xml:space="preserve"> ‘Ábid or </w:t>
      </w:r>
      <w:r w:rsidRPr="008F03E5">
        <w:rPr>
          <w:u w:val="single"/>
        </w:rPr>
        <w:t>Sh</w:t>
      </w:r>
      <w:r w:rsidRPr="008F03E5">
        <w:t>ay</w:t>
      </w:r>
      <w:r w:rsidRPr="008F03E5">
        <w:rPr>
          <w:u w:val="single"/>
        </w:rPr>
        <w:t>kh</w:t>
      </w:r>
      <w:r w:rsidRPr="008F03E5">
        <w:t xml:space="preserve"> Anám</w:t>
      </w:r>
      <w:r w:rsidRPr="008F03E5">
        <w:tab/>
        <w:t xml:space="preserve">teacher of school attended by the Báb.  Real name was </w:t>
      </w:r>
      <w:r w:rsidRPr="008F03E5">
        <w:rPr>
          <w:u w:val="single"/>
        </w:rPr>
        <w:t>Sh</w:t>
      </w:r>
      <w:r w:rsidRPr="008F03E5">
        <w:t>ay</w:t>
      </w:r>
      <w:r w:rsidRPr="008F03E5">
        <w:rPr>
          <w:u w:val="single"/>
        </w:rPr>
        <w:t>kh</w:t>
      </w:r>
      <w:r w:rsidRPr="008F03E5">
        <w:t xml:space="preserve"> Muḥammad.  Called </w:t>
      </w:r>
      <w:r w:rsidRPr="008F03E5">
        <w:rPr>
          <w:u w:val="single"/>
        </w:rPr>
        <w:t>Sh</w:t>
      </w:r>
      <w:r w:rsidRPr="008F03E5">
        <w:t>ay</w:t>
      </w:r>
      <w:r w:rsidRPr="008F03E5">
        <w:rPr>
          <w:u w:val="single"/>
        </w:rPr>
        <w:t>kh</w:t>
      </w:r>
      <w:r w:rsidRPr="008F03E5">
        <w:t>uná (“our shaykh”) by the children.</w:t>
      </w:r>
    </w:p>
    <w:p w14:paraId="43A32F5B" w14:textId="77777777" w:rsidR="00625A5B" w:rsidRPr="008F03E5" w:rsidRDefault="00625A5B" w:rsidP="002E1800">
      <w:pPr>
        <w:pStyle w:val="Translit"/>
      </w:pPr>
      <w:r w:rsidRPr="008F03E5">
        <w:t>Shaykh ‘Aliy-i-Miri</w:t>
      </w:r>
      <w:r w:rsidRPr="008F03E5">
        <w:tab/>
      </w:r>
      <w:r w:rsidRPr="008F03E5">
        <w:rPr>
          <w:u w:val="single"/>
        </w:rPr>
        <w:t>Sh</w:t>
      </w:r>
      <w:r w:rsidRPr="008F03E5">
        <w:t>ay</w:t>
      </w:r>
      <w:r w:rsidRPr="008F03E5">
        <w:rPr>
          <w:u w:val="single"/>
        </w:rPr>
        <w:t>kh</w:t>
      </w:r>
      <w:r w:rsidRPr="008F03E5">
        <w:t xml:space="preserve"> ‘Alíy-i-Mírí</w:t>
      </w:r>
      <w:r w:rsidRPr="008F03E5">
        <w:tab/>
      </w:r>
    </w:p>
    <w:p w14:paraId="665CA194" w14:textId="77777777" w:rsidR="00625A5B" w:rsidRPr="008F03E5" w:rsidRDefault="00625A5B" w:rsidP="00160315">
      <w:pPr>
        <w:pStyle w:val="Translit"/>
      </w:pPr>
      <w:r w:rsidRPr="008F03E5">
        <w:t>Shaykh al-Islam (Shaykhu’l-Islam)</w:t>
      </w:r>
      <w:r w:rsidRPr="008F03E5">
        <w:tab/>
      </w:r>
      <w:r w:rsidRPr="008F03E5">
        <w:rPr>
          <w:u w:val="single"/>
        </w:rPr>
        <w:t>Sh</w:t>
      </w:r>
      <w:r w:rsidRPr="008F03E5">
        <w:t>ay</w:t>
      </w:r>
      <w:r w:rsidRPr="008F03E5">
        <w:rPr>
          <w:u w:val="single"/>
        </w:rPr>
        <w:t>kh</w:t>
      </w:r>
      <w:r w:rsidRPr="008F03E5">
        <w:t xml:space="preserve"> al-Islám (</w:t>
      </w:r>
      <w:r w:rsidRPr="008F03E5">
        <w:rPr>
          <w:u w:val="single"/>
        </w:rPr>
        <w:t>Sh</w:t>
      </w:r>
      <w:r w:rsidRPr="008F03E5">
        <w:t>ay</w:t>
      </w:r>
      <w:r w:rsidRPr="008F03E5">
        <w:rPr>
          <w:u w:val="single"/>
        </w:rPr>
        <w:t>kh</w:t>
      </w:r>
      <w:r w:rsidRPr="008F03E5">
        <w:t>u’l-Islám)</w:t>
      </w:r>
      <w:r w:rsidRPr="008F03E5">
        <w:tab/>
        <w:t xml:space="preserve">“sheikh ul-Islam”.  Formerly, especially in medieval Egypt, title of the Grand Mufti, the spiritual head of Islam, later being bestowed more and more exclusively upon the Mufti of Constantinople in the Ottoman Empire; title of the chief mufti in Tunisia..  Used in the classical era (14th century to 1924) as an honorific title for outstanding scholars of the Islamic sciences.  </w:t>
      </w:r>
      <w:r w:rsidRPr="008F03E5">
        <w:rPr>
          <w:u w:val="single"/>
        </w:rPr>
        <w:t>Sh</w:t>
      </w:r>
      <w:r w:rsidRPr="008F03E5">
        <w:t>ay</w:t>
      </w:r>
      <w:r w:rsidRPr="008F03E5">
        <w:rPr>
          <w:u w:val="single"/>
        </w:rPr>
        <w:t>kh</w:t>
      </w:r>
      <w:r w:rsidRPr="008F03E5">
        <w:t xml:space="preserve">u’l-Islám is a leading </w:t>
      </w:r>
      <w:r w:rsidRPr="008F03E5">
        <w:rPr>
          <w:u w:val="single"/>
        </w:rPr>
        <w:t>Sh</w:t>
      </w:r>
      <w:r w:rsidRPr="008F03E5">
        <w:t xml:space="preserve">í‘í Muslim divine or high-priest of a large city appointed by the </w:t>
      </w:r>
      <w:r w:rsidRPr="008F03E5">
        <w:rPr>
          <w:u w:val="single"/>
        </w:rPr>
        <w:t>sh</w:t>
      </w:r>
      <w:r w:rsidRPr="008F03E5">
        <w:t xml:space="preserve">áh of Iran.  Form plural using one of the many plural forms of </w:t>
      </w:r>
      <w:r w:rsidRPr="008F03E5">
        <w:rPr>
          <w:u w:val="single"/>
        </w:rPr>
        <w:t>sh</w:t>
      </w:r>
      <w:r w:rsidRPr="008F03E5">
        <w:t>ay</w:t>
      </w:r>
      <w:r w:rsidRPr="008F03E5">
        <w:rPr>
          <w:u w:val="single"/>
        </w:rPr>
        <w:t>kh</w:t>
      </w:r>
      <w:r w:rsidRPr="008F03E5">
        <w:t xml:space="preserve">, </w:t>
      </w:r>
      <w:r w:rsidRPr="008F03E5">
        <w:rPr>
          <w:sz w:val="16"/>
          <w:szCs w:val="16"/>
        </w:rPr>
        <w:t>NOT</w:t>
      </w:r>
      <w:r w:rsidRPr="008F03E5">
        <w:t xml:space="preserve"> by adding an “s” to Islám!  See PDC p. 91.</w:t>
      </w:r>
    </w:p>
    <w:p w14:paraId="0AAF9DB6" w14:textId="77777777" w:rsidR="00625A5B" w:rsidRPr="008F03E5" w:rsidRDefault="00625A5B" w:rsidP="00F94837">
      <w:pPr>
        <w:pStyle w:val="Translit"/>
      </w:pPr>
      <w:r w:rsidRPr="008F03E5">
        <w:t>Shaykh an-Nar</w:t>
      </w:r>
      <w:r w:rsidRPr="008F03E5">
        <w:tab/>
      </w:r>
      <w:r w:rsidRPr="008F03E5">
        <w:rPr>
          <w:u w:val="single"/>
        </w:rPr>
        <w:t>Sh</w:t>
      </w:r>
      <w:r w:rsidRPr="008F03E5">
        <w:t>ay</w:t>
      </w:r>
      <w:r w:rsidRPr="008F03E5">
        <w:rPr>
          <w:u w:val="single"/>
        </w:rPr>
        <w:t>kh</w:t>
      </w:r>
      <w:r w:rsidRPr="008F03E5">
        <w:t xml:space="preserve"> an-Nár</w:t>
      </w:r>
      <w:r w:rsidRPr="008F03E5">
        <w:tab/>
        <w:t>the Devil</w:t>
      </w:r>
    </w:p>
    <w:p w14:paraId="0E41F4A9" w14:textId="77777777" w:rsidR="00625A5B" w:rsidRPr="008F03E5" w:rsidRDefault="00625A5B" w:rsidP="00900A82">
      <w:pPr>
        <w:pStyle w:val="Translit"/>
      </w:pPr>
      <w:r w:rsidRPr="008F03E5">
        <w:t>Shaykh Badru’d-Din</w:t>
      </w:r>
      <w:r w:rsidRPr="008F03E5">
        <w:tab/>
      </w:r>
      <w:r w:rsidRPr="008F03E5">
        <w:rPr>
          <w:u w:val="single"/>
        </w:rPr>
        <w:t>Sh</w:t>
      </w:r>
      <w:r w:rsidRPr="008F03E5">
        <w:t>ay</w:t>
      </w:r>
      <w:r w:rsidRPr="008F03E5">
        <w:rPr>
          <w:u w:val="single"/>
        </w:rPr>
        <w:t>kh</w:t>
      </w:r>
      <w:r w:rsidRPr="008F03E5">
        <w:t xml:space="preserve"> Badru’d-Dín</w:t>
      </w:r>
      <w:r w:rsidRPr="008F03E5">
        <w:tab/>
        <w:t>(</w:t>
      </w:r>
      <w:r w:rsidRPr="008F03E5">
        <w:rPr>
          <w:u w:val="single"/>
        </w:rPr>
        <w:t>Sh</w:t>
      </w:r>
      <w:r w:rsidRPr="008F03E5">
        <w:t>ay</w:t>
      </w:r>
      <w:r w:rsidRPr="008F03E5">
        <w:rPr>
          <w:u w:val="single"/>
        </w:rPr>
        <w:t>kh</w:t>
      </w:r>
      <w:r w:rsidRPr="008F03E5">
        <w:t xml:space="preserve"> Bedreddine)</w:t>
      </w:r>
    </w:p>
    <w:p w14:paraId="1353AAF3" w14:textId="77777777" w:rsidR="00625A5B" w:rsidRPr="008F03E5" w:rsidRDefault="00625A5B" w:rsidP="003227DB">
      <w:pPr>
        <w:pStyle w:val="Translit"/>
      </w:pPr>
      <w:r w:rsidRPr="008F03E5">
        <w:t>Shaykh Baha’i</w:t>
      </w:r>
      <w:r w:rsidRPr="008F03E5">
        <w:tab/>
      </w:r>
      <w:r w:rsidRPr="008F03E5">
        <w:rPr>
          <w:u w:val="single"/>
        </w:rPr>
        <w:t>Sh</w:t>
      </w:r>
      <w:r w:rsidRPr="008F03E5">
        <w:t>ay</w:t>
      </w:r>
      <w:r w:rsidRPr="008F03E5">
        <w:rPr>
          <w:u w:val="single"/>
        </w:rPr>
        <w:t>kh</w:t>
      </w:r>
      <w:r w:rsidRPr="008F03E5">
        <w:t xml:space="preserve"> Bahá’í</w:t>
      </w:r>
      <w:r w:rsidRPr="008F03E5">
        <w:tab/>
        <w:t xml:space="preserve">Muḥammad ibn Ḥusayn Bahá’í ad‐Dín al‐‘Ámilí (also known as </w:t>
      </w:r>
      <w:r w:rsidRPr="008F03E5">
        <w:rPr>
          <w:u w:val="single"/>
        </w:rPr>
        <w:t>Sh</w:t>
      </w:r>
      <w:r w:rsidRPr="008F03E5">
        <w:t>ay</w:t>
      </w:r>
      <w:r w:rsidRPr="008F03E5">
        <w:rPr>
          <w:u w:val="single"/>
        </w:rPr>
        <w:t>kh</w:t>
      </w:r>
      <w:r w:rsidRPr="008F03E5">
        <w:t xml:space="preserve"> Bahá’í) (1547–1621) was an Arab Iranian </w:t>
      </w:r>
      <w:r w:rsidRPr="008F03E5">
        <w:rPr>
          <w:u w:val="single"/>
        </w:rPr>
        <w:t>Sh</w:t>
      </w:r>
      <w:r w:rsidRPr="008F03E5">
        <w:t xml:space="preserve">í‘a Islamic scholar; accomplished theologian, philosopher, mathematician, Sufi inclined mystic, architect, grammarian philosopher and astronomer.  He adopted the pen name Bahá’í after being inspired by </w:t>
      </w:r>
      <w:r>
        <w:t xml:space="preserve">the </w:t>
      </w:r>
      <w:r w:rsidRPr="008F03E5">
        <w:t xml:space="preserve">words of Imám Muḥammad al-Báqir (the fifth Imám) and Imám Ja‘far aṣ-Ṣadíq (the sixth Imám), who had stated that the Greatest Name of God was included in either the </w:t>
      </w:r>
      <w:r w:rsidRPr="008F03E5">
        <w:rPr>
          <w:rFonts w:eastAsia="PMingLiU"/>
          <w:lang w:eastAsia="zh-TW"/>
        </w:rPr>
        <w:t xml:space="preserve">Du‘á’ </w:t>
      </w:r>
      <w:r>
        <w:rPr>
          <w:rFonts w:eastAsia="PMingLiU"/>
          <w:lang w:eastAsia="zh-TW"/>
        </w:rPr>
        <w:t>al-</w:t>
      </w:r>
      <w:r w:rsidRPr="008F03E5">
        <w:rPr>
          <w:rFonts w:eastAsia="PMingLiU"/>
          <w:lang w:eastAsia="zh-TW"/>
        </w:rPr>
        <w:t>Bahá’ (</w:t>
      </w:r>
      <w:r>
        <w:rPr>
          <w:rFonts w:eastAsia="PMingLiU"/>
          <w:lang w:eastAsia="zh-TW"/>
        </w:rPr>
        <w:t xml:space="preserve">also </w:t>
      </w:r>
      <w:r w:rsidRPr="008F03E5">
        <w:rPr>
          <w:rFonts w:eastAsia="PMingLiU"/>
          <w:lang w:eastAsia="zh-TW"/>
        </w:rPr>
        <w:t>known as Du‘á’ as-</w:t>
      </w:r>
      <w:r w:rsidRPr="008F03E5">
        <w:t>Sa</w:t>
      </w:r>
      <w:r w:rsidRPr="003227DB">
        <w:t>ḥ</w:t>
      </w:r>
      <w:r w:rsidRPr="008F03E5">
        <w:t xml:space="preserve">ar. “Pre-dawn Prayer”) (occurs 4 x in the first verse) or the </w:t>
      </w:r>
      <w:r w:rsidRPr="008F03E5">
        <w:rPr>
          <w:rFonts w:eastAsia="PMingLiU"/>
          <w:lang w:eastAsia="zh-TW"/>
        </w:rPr>
        <w:t>Du‘á’</w:t>
      </w:r>
      <w:r>
        <w:rPr>
          <w:rFonts w:eastAsia="PMingLiU"/>
          <w:lang w:eastAsia="zh-TW"/>
        </w:rPr>
        <w:t xml:space="preserve"> </w:t>
      </w:r>
      <w:r w:rsidRPr="008F03E5">
        <w:t>Umm Dáw</w:t>
      </w:r>
      <w:r>
        <w:t>u</w:t>
      </w:r>
      <w:r w:rsidRPr="008F03E5">
        <w:t xml:space="preserve">d (“The Supplication of the Mother of David”).  Author of </w:t>
      </w:r>
      <w:r w:rsidRPr="008F03E5">
        <w:rPr>
          <w:i/>
          <w:iCs/>
        </w:rPr>
        <w:t>al-Arba‘ún Ḥadí</w:t>
      </w:r>
      <w:r w:rsidRPr="008F03E5">
        <w:rPr>
          <w:i/>
          <w:iCs/>
          <w:u w:val="single"/>
        </w:rPr>
        <w:t>th</w:t>
      </w:r>
      <w:r w:rsidRPr="008F03E5">
        <w:t xml:space="preserve"> (“Forty Hadiths”).  See Du‘á’ al-Bahá’</w:t>
      </w:r>
      <w:r>
        <w:t xml:space="preserve"> and </w:t>
      </w:r>
      <w:r w:rsidRPr="008F03E5">
        <w:t>Na‘ím.</w:t>
      </w:r>
    </w:p>
    <w:p w14:paraId="0BD1DE8F" w14:textId="77777777" w:rsidR="00625A5B" w:rsidRPr="008F03E5" w:rsidRDefault="00625A5B" w:rsidP="007B2746">
      <w:pPr>
        <w:pStyle w:val="Translit"/>
      </w:pPr>
      <w:r w:rsidRPr="008F03E5">
        <w:t>Shaykh Muhammad Baqir</w:t>
      </w:r>
      <w:r w:rsidRPr="008F03E5">
        <w:tab/>
      </w:r>
      <w:r w:rsidRPr="008F03E5">
        <w:rPr>
          <w:u w:val="single"/>
        </w:rPr>
        <w:t>Sh</w:t>
      </w:r>
      <w:r w:rsidRPr="008F03E5">
        <w:t>ay</w:t>
      </w:r>
      <w:r w:rsidRPr="008F03E5">
        <w:rPr>
          <w:u w:val="single"/>
        </w:rPr>
        <w:t>kh</w:t>
      </w:r>
      <w:r w:rsidRPr="008F03E5">
        <w:t xml:space="preserve"> Muḥammad Báqir</w:t>
      </w:r>
      <w:r w:rsidRPr="008F03E5">
        <w:tab/>
        <w:t>(1819–1883) named the “Wolf” by Bahá’u’lláh.  For accomplice, see  Mír Muḥammad-Ḥusayn.</w:t>
      </w:r>
    </w:p>
    <w:p w14:paraId="0D53C2DC" w14:textId="77777777" w:rsidR="00625A5B" w:rsidRPr="008F03E5" w:rsidRDefault="00625A5B" w:rsidP="00F84904">
      <w:pPr>
        <w:pStyle w:val="Translit"/>
      </w:pPr>
      <w:r w:rsidRPr="008F03E5">
        <w:t>Shaykh Muhammad-Taqiy-i-Najafi</w:t>
      </w:r>
      <w:r w:rsidRPr="008F03E5">
        <w:tab/>
      </w:r>
      <w:r w:rsidRPr="008F03E5">
        <w:rPr>
          <w:u w:val="single"/>
        </w:rPr>
        <w:t>Sh</w:t>
      </w:r>
      <w:r w:rsidRPr="008F03E5">
        <w:t>ay</w:t>
      </w:r>
      <w:r w:rsidRPr="008F03E5">
        <w:rPr>
          <w:u w:val="single"/>
        </w:rPr>
        <w:t>kh</w:t>
      </w:r>
      <w:r w:rsidRPr="008F03E5">
        <w:t xml:space="preserve"> Muḥammad-Taqíy-i-Najafí</w:t>
      </w:r>
      <w:r w:rsidRPr="008F03E5">
        <w:tab/>
        <w:t xml:space="preserve">(1846–1914), son of </w:t>
      </w:r>
      <w:r w:rsidRPr="008F03E5">
        <w:rPr>
          <w:u w:val="single"/>
        </w:rPr>
        <w:t>Sh</w:t>
      </w:r>
      <w:r w:rsidRPr="008F03E5">
        <w:t>ay</w:t>
      </w:r>
      <w:r w:rsidRPr="008F03E5">
        <w:rPr>
          <w:u w:val="single"/>
        </w:rPr>
        <w:t>kh</w:t>
      </w:r>
      <w:r w:rsidRPr="008F03E5">
        <w:t xml:space="preserve"> Muḥammad Báqir, named the Ibn-i-</w:t>
      </w:r>
      <w:r w:rsidRPr="008F03E5">
        <w:rPr>
          <w:u w:val="single"/>
        </w:rPr>
        <w:t>Dh</w:t>
      </w:r>
      <w:r w:rsidRPr="008F03E5">
        <w:t>i’b (“Son of the Wolf”) by Bahá’u’lláh</w:t>
      </w:r>
    </w:p>
    <w:p w14:paraId="61671A28" w14:textId="77777777" w:rsidR="00625A5B" w:rsidRDefault="00625A5B" w:rsidP="006A330C">
      <w:pPr>
        <w:pStyle w:val="Translit"/>
      </w:pPr>
      <w:r w:rsidRPr="008F03E5">
        <w:t>Shaykha (Shaikha), Shaykhat</w:t>
      </w:r>
      <w:r w:rsidRPr="008F03E5">
        <w:tab/>
      </w:r>
      <w:r w:rsidRPr="008F03E5">
        <w:rPr>
          <w:u w:val="single"/>
        </w:rPr>
        <w:t>Sh</w:t>
      </w:r>
      <w:r w:rsidRPr="008F03E5">
        <w:t>ay</w:t>
      </w:r>
      <w:r w:rsidRPr="008F03E5">
        <w:rPr>
          <w:u w:val="single"/>
        </w:rPr>
        <w:t>kh</w:t>
      </w:r>
      <w:r w:rsidRPr="008F03E5">
        <w:t xml:space="preserve">a[h or t], pl. </w:t>
      </w:r>
      <w:r w:rsidRPr="008F03E5">
        <w:rPr>
          <w:u w:val="single"/>
        </w:rPr>
        <w:t>Sh</w:t>
      </w:r>
      <w:r w:rsidRPr="008F03E5">
        <w:t>ay</w:t>
      </w:r>
      <w:r w:rsidRPr="008F03E5">
        <w:rPr>
          <w:u w:val="single"/>
        </w:rPr>
        <w:t>kh</w:t>
      </w:r>
      <w:r w:rsidRPr="008F03E5">
        <w:t>át</w:t>
      </w:r>
      <w:r w:rsidRPr="008F03E5">
        <w:tab/>
        <w:t xml:space="preserve">(fem. of </w:t>
      </w:r>
      <w:r w:rsidRPr="008F03E5">
        <w:rPr>
          <w:u w:val="single"/>
        </w:rPr>
        <w:t>Sh</w:t>
      </w:r>
      <w:r w:rsidRPr="008F03E5">
        <w:t>ay</w:t>
      </w:r>
      <w:r w:rsidRPr="008F03E5">
        <w:rPr>
          <w:u w:val="single"/>
        </w:rPr>
        <w:t>kh</w:t>
      </w:r>
      <w:r w:rsidRPr="008F03E5">
        <w:t xml:space="preserve">) an old, or elderly, woman, a matron; </w:t>
      </w:r>
      <w:r>
        <w:t>sheikh</w:t>
      </w:r>
    </w:p>
    <w:p w14:paraId="4B635F20" w14:textId="77777777" w:rsidR="00625A5B" w:rsidRPr="008F03E5" w:rsidRDefault="00625A5B" w:rsidP="00D118DA">
      <w:pPr>
        <w:pStyle w:val="Translit"/>
      </w:pPr>
      <w:r w:rsidRPr="008F03E5">
        <w:t>Shaykhi, Shaykhiyyun</w:t>
      </w:r>
      <w:r w:rsidRPr="008F03E5">
        <w:tab/>
      </w:r>
      <w:r w:rsidRPr="008F03E5">
        <w:rPr>
          <w:u w:val="single"/>
        </w:rPr>
        <w:t>Sh</w:t>
      </w:r>
      <w:r w:rsidRPr="008F03E5">
        <w:t>ay</w:t>
      </w:r>
      <w:r w:rsidRPr="008F03E5">
        <w:rPr>
          <w:u w:val="single"/>
        </w:rPr>
        <w:t>kh</w:t>
      </w:r>
      <w:r w:rsidRPr="008F03E5">
        <w:t xml:space="preserve">í, pl. </w:t>
      </w:r>
      <w:r w:rsidRPr="008F03E5">
        <w:rPr>
          <w:u w:val="single"/>
        </w:rPr>
        <w:t>Sh</w:t>
      </w:r>
      <w:r w:rsidRPr="008F03E5">
        <w:t>ay</w:t>
      </w:r>
      <w:r w:rsidRPr="008F03E5">
        <w:rPr>
          <w:u w:val="single"/>
        </w:rPr>
        <w:t>kh</w:t>
      </w:r>
      <w:r w:rsidRPr="008F03E5">
        <w:t>iyún</w:t>
      </w:r>
      <w:r w:rsidRPr="008F03E5">
        <w:tab/>
        <w:t xml:space="preserve">followers of the school founded by </w:t>
      </w:r>
      <w:r w:rsidRPr="008F03E5">
        <w:rPr>
          <w:u w:val="single"/>
        </w:rPr>
        <w:t>Sh</w:t>
      </w:r>
      <w:r w:rsidRPr="008F03E5">
        <w:t>ay</w:t>
      </w:r>
      <w:r w:rsidRPr="008F03E5">
        <w:rPr>
          <w:u w:val="single"/>
        </w:rPr>
        <w:t>kh</w:t>
      </w:r>
      <w:r w:rsidRPr="008F03E5">
        <w:t>-Aḥmad-i-Aḥsá’í.  After the death of His trustee and successor, Sayyid Káẓim, many students became B</w:t>
      </w:r>
      <w:r>
        <w:t>a</w:t>
      </w:r>
      <w:r w:rsidRPr="008F03E5">
        <w:t>b</w:t>
      </w:r>
      <w:r>
        <w:t>i</w:t>
      </w:r>
      <w:r w:rsidRPr="008F03E5">
        <w:t>s.  The remainder split into three main groups based in:  1.  Karbalá (Mírzá Ḥasan Gawhar or Mullá Muḥammad Ḥasan Qará</w:t>
      </w:r>
      <w:r w:rsidRPr="008F03E5">
        <w:rPr>
          <w:u w:val="single"/>
        </w:rPr>
        <w:t>ch</w:t>
      </w:r>
      <w:r w:rsidRPr="008F03E5">
        <w:t>adá</w:t>
      </w:r>
      <w:r w:rsidRPr="008F03E5">
        <w:rPr>
          <w:u w:val="single"/>
        </w:rPr>
        <w:t>gh</w:t>
      </w:r>
      <w:r w:rsidRPr="008F03E5">
        <w:t xml:space="preserve">í), 2.  Tabríz (Ḥájjí Mírzá </w:t>
      </w:r>
      <w:r w:rsidRPr="008F03E5">
        <w:rPr>
          <w:u w:val="single"/>
        </w:rPr>
        <w:t>Sh</w:t>
      </w:r>
      <w:r w:rsidRPr="008F03E5">
        <w:t xml:space="preserve">afí‘, </w:t>
      </w:r>
      <w:r w:rsidRPr="008F03E5">
        <w:rPr>
          <w:u w:val="single"/>
        </w:rPr>
        <w:t>Th</w:t>
      </w:r>
      <w:r w:rsidRPr="008F03E5">
        <w:t xml:space="preserve">iqatu’l-Islám and Mullá Muḥammad Mamaqání Ḥujjatu’l-Islám) and 3.  Kirmán (Ḥájjí Muḥammad Karím </w:t>
      </w:r>
      <w:r w:rsidRPr="008F03E5">
        <w:rPr>
          <w:u w:val="single"/>
        </w:rPr>
        <w:t>Kh</w:t>
      </w:r>
      <w:r w:rsidRPr="008F03E5">
        <w:t>án Kirmání).</w:t>
      </w:r>
    </w:p>
    <w:p w14:paraId="3E452C5C" w14:textId="77777777" w:rsidR="00625A5B" w:rsidRPr="008F03E5" w:rsidRDefault="00625A5B" w:rsidP="009D2A5B">
      <w:pPr>
        <w:pStyle w:val="Translit"/>
      </w:pPr>
      <w:r w:rsidRPr="008F03E5">
        <w:t>Shaykh-i-Ahsa’i</w:t>
      </w:r>
      <w:r w:rsidRPr="008F03E5">
        <w:tab/>
      </w:r>
      <w:r w:rsidRPr="008F03E5">
        <w:rPr>
          <w:u w:val="single"/>
        </w:rPr>
        <w:t>Sh</w:t>
      </w:r>
      <w:r w:rsidRPr="008F03E5">
        <w:t>ay</w:t>
      </w:r>
      <w:r w:rsidRPr="008F03E5">
        <w:rPr>
          <w:u w:val="single"/>
        </w:rPr>
        <w:t>kh</w:t>
      </w:r>
      <w:r w:rsidRPr="008F03E5">
        <w:t>-i-Aḥsá’í</w:t>
      </w:r>
      <w:r w:rsidRPr="008F03E5">
        <w:tab/>
      </w:r>
      <w:r w:rsidRPr="008F03E5">
        <w:rPr>
          <w:u w:val="single"/>
        </w:rPr>
        <w:t>Sh</w:t>
      </w:r>
      <w:r w:rsidRPr="008F03E5">
        <w:t>ay</w:t>
      </w:r>
      <w:r w:rsidRPr="008F03E5">
        <w:rPr>
          <w:u w:val="single"/>
        </w:rPr>
        <w:t>kh</w:t>
      </w:r>
      <w:r w:rsidRPr="008F03E5">
        <w:t xml:space="preserve"> Aḥmad ibn Zayn a</w:t>
      </w:r>
      <w:r>
        <w:t>d</w:t>
      </w:r>
      <w:r w:rsidRPr="008F03E5">
        <w:t xml:space="preserve">-Dín ibn Ibráhím al-Aḥsá’í (1753–1834), commonly known as </w:t>
      </w:r>
      <w:r w:rsidRPr="008F03E5">
        <w:rPr>
          <w:u w:val="single"/>
        </w:rPr>
        <w:t>Sh</w:t>
      </w:r>
      <w:r w:rsidRPr="008F03E5">
        <w:t>ay</w:t>
      </w:r>
      <w:r w:rsidRPr="008F03E5">
        <w:rPr>
          <w:u w:val="single"/>
        </w:rPr>
        <w:t>kh</w:t>
      </w:r>
      <w:r w:rsidRPr="008F03E5">
        <w:t xml:space="preserve"> Aḥmad or al-Aḥsá’í, was a prominent 19th-century Muslim theologian and jurist who founded the influential </w:t>
      </w:r>
      <w:r w:rsidRPr="008F03E5">
        <w:rPr>
          <w:u w:val="single"/>
        </w:rPr>
        <w:t>Sh</w:t>
      </w:r>
      <w:r w:rsidRPr="008F03E5">
        <w:t>ay</w:t>
      </w:r>
      <w:r w:rsidRPr="008F03E5">
        <w:rPr>
          <w:u w:val="single"/>
        </w:rPr>
        <w:t>kh</w:t>
      </w:r>
      <w:r w:rsidRPr="008F03E5">
        <w:t>í school of Twelver Shi’ism</w:t>
      </w:r>
    </w:p>
    <w:p w14:paraId="7EC3A82D" w14:textId="77777777" w:rsidR="00625A5B" w:rsidRPr="008F03E5" w:rsidRDefault="00625A5B" w:rsidP="00900A82">
      <w:pPr>
        <w:pStyle w:val="Translit"/>
      </w:pPr>
      <w:r w:rsidRPr="008F03E5">
        <w:t>Shaykh-i-Mazgani</w:t>
      </w:r>
      <w:r w:rsidRPr="008F03E5">
        <w:tab/>
      </w:r>
      <w:r w:rsidRPr="008F03E5">
        <w:rPr>
          <w:u w:val="single"/>
        </w:rPr>
        <w:t>Sh</w:t>
      </w:r>
      <w:r w:rsidRPr="008F03E5">
        <w:t>ay</w:t>
      </w:r>
      <w:r w:rsidRPr="008F03E5">
        <w:rPr>
          <w:u w:val="single"/>
        </w:rPr>
        <w:t>kh</w:t>
      </w:r>
      <w:r w:rsidRPr="008F03E5">
        <w:t>-i-Mázgání</w:t>
      </w:r>
      <w:r w:rsidRPr="008F03E5">
        <w:tab/>
        <w:t>(</w:t>
      </w:r>
      <w:r w:rsidRPr="008F03E5">
        <w:rPr>
          <w:sz w:val="16"/>
          <w:szCs w:val="16"/>
        </w:rPr>
        <w:t>MF</w:t>
      </w:r>
      <w:r w:rsidRPr="008F03E5">
        <w:t xml:space="preserve"> 104)</w:t>
      </w:r>
    </w:p>
    <w:p w14:paraId="3317AF9F" w14:textId="77777777" w:rsidR="00625A5B" w:rsidRPr="008F03E5" w:rsidRDefault="00625A5B" w:rsidP="003C076C">
      <w:pPr>
        <w:pStyle w:val="Translit"/>
      </w:pPr>
      <w:r w:rsidRPr="008F03E5">
        <w:t>Shaykh-i-Mu’allim</w:t>
      </w:r>
      <w:r w:rsidRPr="008F03E5">
        <w:tab/>
      </w:r>
      <w:r w:rsidRPr="008F03E5">
        <w:rPr>
          <w:u w:val="single"/>
        </w:rPr>
        <w:t>Sh</w:t>
      </w:r>
      <w:r w:rsidRPr="008F03E5">
        <w:t>ay</w:t>
      </w:r>
      <w:r w:rsidRPr="008F03E5">
        <w:rPr>
          <w:u w:val="single"/>
        </w:rPr>
        <w:t>kh</w:t>
      </w:r>
      <w:r w:rsidRPr="008F03E5">
        <w:t>-i-Mú‘allim</w:t>
      </w:r>
      <w:r w:rsidRPr="008F03E5">
        <w:tab/>
        <w:t>(Shaykhi-Moallem) a learned tutor of the Báb when He was seven and eight</w:t>
      </w:r>
    </w:p>
    <w:p w14:paraId="2EB9488B" w14:textId="77777777" w:rsidR="00625A5B" w:rsidRPr="008F03E5" w:rsidRDefault="00625A5B" w:rsidP="00EF638F">
      <w:pPr>
        <w:pStyle w:val="Translit"/>
      </w:pPr>
      <w:r w:rsidRPr="008F03E5">
        <w:t>Shaykhiya</w:t>
      </w:r>
      <w:r>
        <w:t>,</w:t>
      </w:r>
      <w:r w:rsidRPr="008F03E5">
        <w:t xml:space="preserve"> Shaykhiyya</w:t>
      </w:r>
      <w:r w:rsidRPr="008F03E5">
        <w:tab/>
      </w:r>
      <w:r w:rsidRPr="008F03E5">
        <w:rPr>
          <w:u w:val="single"/>
        </w:rPr>
        <w:t>Sh</w:t>
      </w:r>
      <w:r w:rsidRPr="008F03E5">
        <w:t>ay</w:t>
      </w:r>
      <w:r w:rsidRPr="008F03E5">
        <w:rPr>
          <w:u w:val="single"/>
        </w:rPr>
        <w:t>kh</w:t>
      </w:r>
      <w:r w:rsidRPr="00EF638F">
        <w:t>í</w:t>
      </w:r>
      <w:r w:rsidRPr="008F03E5">
        <w:t>ya[h or t]</w:t>
      </w:r>
      <w:r>
        <w:tab/>
        <w:t xml:space="preserve">(Pers. </w:t>
      </w:r>
      <w:r w:rsidRPr="008F03E5">
        <w:rPr>
          <w:u w:val="single"/>
        </w:rPr>
        <w:t>Sh</w:t>
      </w:r>
      <w:r w:rsidRPr="008F03E5">
        <w:t>ay</w:t>
      </w:r>
      <w:r w:rsidRPr="008F03E5">
        <w:rPr>
          <w:u w:val="single"/>
        </w:rPr>
        <w:t>kh</w:t>
      </w:r>
      <w:r w:rsidRPr="008F03E5">
        <w:t>iyya[h or t]</w:t>
      </w:r>
      <w:r>
        <w:t xml:space="preserve">) </w:t>
      </w:r>
      <w:r w:rsidRPr="008F03E5">
        <w:t>Shaykhism (a</w:t>
      </w:r>
      <w:r w:rsidRPr="008F03E5">
        <w:rPr>
          <w:u w:val="single"/>
        </w:rPr>
        <w:t>sh</w:t>
      </w:r>
      <w:r w:rsidRPr="008F03E5">
        <w:t>-</w:t>
      </w:r>
      <w:r w:rsidRPr="008F03E5">
        <w:rPr>
          <w:u w:val="single"/>
        </w:rPr>
        <w:t>Sh</w:t>
      </w:r>
      <w:r w:rsidRPr="008F03E5">
        <w:t>ay</w:t>
      </w:r>
      <w:r w:rsidRPr="008F03E5">
        <w:rPr>
          <w:u w:val="single"/>
        </w:rPr>
        <w:t>kh</w:t>
      </w:r>
      <w:r w:rsidRPr="00EF638F">
        <w:t>í</w:t>
      </w:r>
      <w:r w:rsidRPr="008F03E5">
        <w:t>ya[h</w:t>
      </w:r>
      <w:r>
        <w:t xml:space="preserve"> or t</w:t>
      </w:r>
      <w:r w:rsidRPr="008F03E5">
        <w:t xml:space="preserve">]), school founded by </w:t>
      </w:r>
      <w:r w:rsidRPr="008F03E5">
        <w:rPr>
          <w:u w:val="single"/>
        </w:rPr>
        <w:t>Sh</w:t>
      </w:r>
      <w:r w:rsidRPr="008F03E5">
        <w:t>ay</w:t>
      </w:r>
      <w:r w:rsidRPr="008F03E5">
        <w:rPr>
          <w:u w:val="single"/>
        </w:rPr>
        <w:t>kh</w:t>
      </w:r>
      <w:r w:rsidRPr="008F03E5">
        <w:t xml:space="preserve">-Aḥmad-i-Aḥsá’í.  His trustee and successor, Sayyid Káẓim, left no will.  Followers are known as </w:t>
      </w:r>
      <w:r w:rsidRPr="008F03E5">
        <w:rPr>
          <w:u w:val="single"/>
        </w:rPr>
        <w:t>Sh</w:t>
      </w:r>
      <w:r w:rsidRPr="008F03E5">
        <w:t>ay</w:t>
      </w:r>
      <w:r w:rsidRPr="008F03E5">
        <w:rPr>
          <w:u w:val="single"/>
        </w:rPr>
        <w:t>kh</w:t>
      </w:r>
      <w:r w:rsidRPr="008F03E5">
        <w:t xml:space="preserve">í.  See </w:t>
      </w:r>
      <w:r w:rsidRPr="008F03E5">
        <w:rPr>
          <w:u w:val="single"/>
        </w:rPr>
        <w:t>Sh</w:t>
      </w:r>
      <w:r w:rsidRPr="008F03E5">
        <w:t>ay</w:t>
      </w:r>
      <w:r w:rsidRPr="008F03E5">
        <w:rPr>
          <w:u w:val="single"/>
        </w:rPr>
        <w:t>kh</w:t>
      </w:r>
      <w:r w:rsidRPr="008F03E5">
        <w:t>-Aḥmad-i-Aḥsá’í.</w:t>
      </w:r>
    </w:p>
    <w:p w14:paraId="1520D7E9" w14:textId="77777777" w:rsidR="00625A5B" w:rsidRPr="008F03E5" w:rsidRDefault="00625A5B" w:rsidP="00652393">
      <w:pPr>
        <w:pStyle w:val="Translit"/>
      </w:pPr>
      <w:r w:rsidRPr="008F03E5">
        <w:t>Shaykh-Salih</w:t>
      </w:r>
      <w:r w:rsidRPr="008F03E5">
        <w:tab/>
      </w:r>
      <w:r w:rsidRPr="008F03E5">
        <w:rPr>
          <w:u w:val="single"/>
        </w:rPr>
        <w:t>Sh</w:t>
      </w:r>
      <w:r w:rsidRPr="008F03E5">
        <w:t>ay</w:t>
      </w:r>
      <w:r w:rsidRPr="008F03E5">
        <w:rPr>
          <w:u w:val="single"/>
        </w:rPr>
        <w:t>kh</w:t>
      </w:r>
      <w:r w:rsidRPr="008F03E5">
        <w:t>-Ṣáliḥ</w:t>
      </w:r>
      <w:r w:rsidRPr="008F03E5">
        <w:tab/>
      </w:r>
    </w:p>
    <w:p w14:paraId="2807D033" w14:textId="77777777" w:rsidR="00625A5B" w:rsidRPr="008F03E5" w:rsidRDefault="00625A5B" w:rsidP="00B3393F">
      <w:pPr>
        <w:pStyle w:val="Translit"/>
      </w:pPr>
      <w:r w:rsidRPr="008F03E5">
        <w:t>Shaykhsi, Shakhsiyan</w:t>
      </w:r>
      <w:r w:rsidRPr="008F03E5">
        <w:tab/>
      </w:r>
      <w:r w:rsidRPr="008F03E5">
        <w:rPr>
          <w:u w:val="single"/>
        </w:rPr>
        <w:t>Sh</w:t>
      </w:r>
      <w:r w:rsidRPr="008F03E5">
        <w:t>a</w:t>
      </w:r>
      <w:r w:rsidRPr="008F03E5">
        <w:rPr>
          <w:u w:val="single"/>
        </w:rPr>
        <w:t>kh</w:t>
      </w:r>
      <w:r w:rsidRPr="008F03E5">
        <w:t xml:space="preserve">ṣí, </w:t>
      </w:r>
      <w:r w:rsidRPr="008F03E5">
        <w:rPr>
          <w:u w:val="single"/>
        </w:rPr>
        <w:t>Sh</w:t>
      </w:r>
      <w:r w:rsidRPr="008F03E5">
        <w:t>a</w:t>
      </w:r>
      <w:r w:rsidRPr="008F03E5">
        <w:rPr>
          <w:u w:val="single"/>
        </w:rPr>
        <w:t>kh</w:t>
      </w:r>
      <w:r w:rsidRPr="008F03E5">
        <w:t>ṣíyan</w:t>
      </w:r>
      <w:r w:rsidRPr="008F03E5">
        <w:tab/>
      </w:r>
      <w:r w:rsidRPr="008F03E5">
        <w:rPr>
          <w:u w:val="single"/>
        </w:rPr>
        <w:t>Sh</w:t>
      </w:r>
      <w:r w:rsidRPr="008F03E5">
        <w:t>a</w:t>
      </w:r>
      <w:r w:rsidRPr="008F03E5">
        <w:rPr>
          <w:u w:val="single"/>
        </w:rPr>
        <w:t>kh</w:t>
      </w:r>
      <w:r w:rsidRPr="008F03E5">
        <w:t xml:space="preserve">ṣí personal, private, of one’s own; </w:t>
      </w:r>
      <w:r w:rsidRPr="008F03E5">
        <w:rPr>
          <w:u w:val="single"/>
        </w:rPr>
        <w:t>Sh</w:t>
      </w:r>
      <w:r w:rsidRPr="008F03E5">
        <w:t>a</w:t>
      </w:r>
      <w:r w:rsidRPr="008F03E5">
        <w:rPr>
          <w:u w:val="single"/>
        </w:rPr>
        <w:t>kh</w:t>
      </w:r>
      <w:r w:rsidRPr="008F03E5">
        <w:t>ṣíyan personally</w:t>
      </w:r>
    </w:p>
    <w:p w14:paraId="4ECB041A" w14:textId="77777777" w:rsidR="00625A5B" w:rsidRPr="008F03E5" w:rsidRDefault="00625A5B" w:rsidP="004C1960">
      <w:pPr>
        <w:pStyle w:val="Translit"/>
      </w:pPr>
      <w:r w:rsidRPr="008F03E5">
        <w:t>Shaykhu’r-Ra’is</w:t>
      </w:r>
      <w:r w:rsidRPr="008F03E5">
        <w:tab/>
      </w:r>
      <w:r w:rsidRPr="008F03E5">
        <w:rPr>
          <w:u w:val="single"/>
        </w:rPr>
        <w:t>Sh</w:t>
      </w:r>
      <w:r w:rsidRPr="008F03E5">
        <w:t>ay</w:t>
      </w:r>
      <w:r w:rsidRPr="008F03E5">
        <w:rPr>
          <w:u w:val="single"/>
        </w:rPr>
        <w:t>kh</w:t>
      </w:r>
      <w:r w:rsidRPr="008F03E5">
        <w:t>u’r-Ra’ís</w:t>
      </w:r>
      <w:r w:rsidRPr="008F03E5">
        <w:tab/>
        <w:t>Supreme Master or “The leading wise man”.  Avicenna was given the honorific title a</w:t>
      </w:r>
      <w:r w:rsidRPr="008F03E5">
        <w:rPr>
          <w:u w:val="single"/>
        </w:rPr>
        <w:t>sh</w:t>
      </w:r>
      <w:r w:rsidRPr="008F03E5">
        <w:t>-</w:t>
      </w:r>
      <w:r w:rsidRPr="008F03E5">
        <w:rPr>
          <w:u w:val="single"/>
        </w:rPr>
        <w:t>Sh</w:t>
      </w:r>
      <w:r w:rsidRPr="008F03E5">
        <w:t>ay</w:t>
      </w:r>
      <w:r w:rsidRPr="008F03E5">
        <w:rPr>
          <w:u w:val="single"/>
        </w:rPr>
        <w:t>kh</w:t>
      </w:r>
      <w:r w:rsidRPr="008F03E5">
        <w:t xml:space="preserve">u’r-Ra’ís.  Ḥájí Abu’l Ḥasan Mírzá </w:t>
      </w:r>
      <w:r w:rsidRPr="008F03E5">
        <w:rPr>
          <w:u w:val="single"/>
        </w:rPr>
        <w:t>Sh</w:t>
      </w:r>
      <w:r w:rsidRPr="008F03E5">
        <w:t>ay</w:t>
      </w:r>
      <w:r w:rsidRPr="008F03E5">
        <w:rPr>
          <w:u w:val="single"/>
        </w:rPr>
        <w:t>kh</w:t>
      </w:r>
      <w:r w:rsidRPr="008F03E5">
        <w:t>u’r-Ra’ís (1848–1918), a Qájár prince who was a Bábí and a Bahá’í, and studied to become a mujtahid.</w:t>
      </w:r>
    </w:p>
    <w:p w14:paraId="5D692F89" w14:textId="77777777" w:rsidR="00625A5B" w:rsidRPr="008F03E5" w:rsidRDefault="00625A5B" w:rsidP="00900A82">
      <w:pPr>
        <w:pStyle w:val="Translit"/>
      </w:pPr>
      <w:r w:rsidRPr="008F03E5">
        <w:t>Shaykhu’t-Ta’ifa</w:t>
      </w:r>
      <w:r w:rsidRPr="008F03E5">
        <w:tab/>
      </w:r>
      <w:r w:rsidRPr="008F03E5">
        <w:rPr>
          <w:u w:val="single"/>
        </w:rPr>
        <w:t>Sh</w:t>
      </w:r>
      <w:r w:rsidRPr="008F03E5">
        <w:t>ay</w:t>
      </w:r>
      <w:r w:rsidRPr="008F03E5">
        <w:rPr>
          <w:u w:val="single"/>
        </w:rPr>
        <w:t>kh</w:t>
      </w:r>
      <w:r w:rsidRPr="008F03E5">
        <w:t>u’ṭ-Ṭá’ifa</w:t>
      </w:r>
      <w:r w:rsidRPr="008F03E5">
        <w:tab/>
        <w:t>“leader of a band, troop, class, sect, denomination, etc.”  pl. Ṭawá’if</w:t>
      </w:r>
    </w:p>
    <w:p w14:paraId="27518FA9" w14:textId="77777777" w:rsidR="00625A5B" w:rsidRPr="008F03E5" w:rsidRDefault="00625A5B" w:rsidP="00D701CC">
      <w:pPr>
        <w:pStyle w:val="Translit"/>
      </w:pPr>
      <w:r w:rsidRPr="008F03E5">
        <w:t>Shaytan (Shaitan), Shayatin</w:t>
      </w:r>
      <w:r w:rsidRPr="008F03E5">
        <w:tab/>
      </w:r>
      <w:r w:rsidRPr="008F03E5">
        <w:rPr>
          <w:u w:val="single"/>
        </w:rPr>
        <w:t>Sh</w:t>
      </w:r>
      <w:r w:rsidRPr="008F03E5">
        <w:t xml:space="preserve">ayṭán, pl. </w:t>
      </w:r>
      <w:r w:rsidRPr="008F03E5">
        <w:rPr>
          <w:u w:val="single"/>
        </w:rPr>
        <w:t>Sh</w:t>
      </w:r>
      <w:r w:rsidRPr="008F03E5">
        <w:t>ayáṭín</w:t>
      </w:r>
      <w:r w:rsidRPr="008F03E5">
        <w:tab/>
        <w:t>Satan, devil, fiend</w:t>
      </w:r>
    </w:p>
    <w:p w14:paraId="7F0107A7" w14:textId="77777777" w:rsidR="00625A5B" w:rsidRPr="008F03E5" w:rsidRDefault="00625A5B" w:rsidP="00473FF3">
      <w:pPr>
        <w:pStyle w:val="Translit"/>
      </w:pPr>
      <w:r w:rsidRPr="008F03E5">
        <w:rPr>
          <w:rFonts w:eastAsia="PMingLiU"/>
          <w:lang w:eastAsia="zh-TW"/>
        </w:rPr>
        <w:t xml:space="preserve">Shi’a, </w:t>
      </w:r>
      <w:r w:rsidRPr="008F03E5">
        <w:t>Shiy</w:t>
      </w:r>
      <w:r w:rsidRPr="008F03E5">
        <w:rPr>
          <w:rFonts w:eastAsia="PMingLiU"/>
          <w:lang w:eastAsia="zh-TW"/>
        </w:rPr>
        <w:t>a</w:t>
      </w:r>
      <w:r w:rsidRPr="008F03E5">
        <w:tab/>
      </w:r>
      <w:r w:rsidRPr="008F03E5">
        <w:rPr>
          <w:u w:val="single"/>
        </w:rPr>
        <w:t>Sh</w:t>
      </w:r>
      <w:r w:rsidRPr="008F03E5">
        <w:t>í</w:t>
      </w:r>
      <w:r w:rsidRPr="008F03E5">
        <w:rPr>
          <w:rFonts w:eastAsia="PMingLiU"/>
          <w:lang w:eastAsia="zh-TW"/>
        </w:rPr>
        <w:t xml:space="preserve">‘a[h or t], pl. </w:t>
      </w:r>
      <w:r w:rsidRPr="008F03E5">
        <w:rPr>
          <w:u w:val="single"/>
        </w:rPr>
        <w:t>Sh</w:t>
      </w:r>
      <w:r w:rsidRPr="008F03E5">
        <w:t>íy</w:t>
      </w:r>
      <w:r w:rsidRPr="008F03E5">
        <w:rPr>
          <w:rFonts w:eastAsia="PMingLiU"/>
          <w:lang w:eastAsia="zh-TW"/>
        </w:rPr>
        <w:t>a</w:t>
      </w:r>
      <w:r w:rsidRPr="008F03E5">
        <w:tab/>
      </w:r>
      <w:r w:rsidRPr="008F03E5">
        <w:rPr>
          <w:rFonts w:eastAsia="PMingLiU"/>
          <w:lang w:eastAsia="zh-TW"/>
        </w:rPr>
        <w:t>collective noun (pl. followers) followers, adherents, disciples, faction, party, sect.</w:t>
      </w:r>
      <w:r w:rsidRPr="008F03E5">
        <w:t xml:space="preserve">  Contraction of </w:t>
      </w:r>
      <w:r w:rsidRPr="008F03E5">
        <w:rPr>
          <w:u w:val="single"/>
        </w:rPr>
        <w:t>sh</w:t>
      </w:r>
      <w:r w:rsidRPr="008F03E5">
        <w:t>í‘atu ‘Alí (followers of Imám ‘Alí).</w:t>
      </w:r>
      <w:r w:rsidRPr="008F03E5">
        <w:rPr>
          <w:rFonts w:eastAsia="PMingLiU"/>
          <w:lang w:eastAsia="zh-TW"/>
        </w:rPr>
        <w:t xml:space="preserve">  English:  Shi</w:t>
      </w:r>
      <w:r>
        <w:rPr>
          <w:rFonts w:eastAsia="PMingLiU"/>
          <w:lang w:eastAsia="zh-TW"/>
        </w:rPr>
        <w:t>‘</w:t>
      </w:r>
      <w:r w:rsidRPr="008F03E5">
        <w:rPr>
          <w:rFonts w:eastAsia="PMingLiU"/>
          <w:lang w:eastAsia="zh-TW"/>
        </w:rPr>
        <w:t>a, Shi</w:t>
      </w:r>
      <w:r>
        <w:rPr>
          <w:rFonts w:eastAsia="PMingLiU"/>
          <w:lang w:eastAsia="zh-TW"/>
        </w:rPr>
        <w:t>‘</w:t>
      </w:r>
      <w:r w:rsidRPr="008F03E5">
        <w:rPr>
          <w:rFonts w:eastAsia="PMingLiU"/>
          <w:lang w:eastAsia="zh-TW"/>
        </w:rPr>
        <w:t>ah</w:t>
      </w:r>
      <w:r>
        <w:rPr>
          <w:rFonts w:eastAsia="PMingLiU"/>
          <w:lang w:eastAsia="zh-TW"/>
        </w:rPr>
        <w:t>,</w:t>
      </w:r>
      <w:r w:rsidRPr="008F03E5">
        <w:rPr>
          <w:rFonts w:eastAsia="PMingLiU"/>
          <w:lang w:eastAsia="zh-TW"/>
        </w:rPr>
        <w:t xml:space="preserve"> Shia, Shiah</w:t>
      </w:r>
      <w:r>
        <w:rPr>
          <w:rFonts w:eastAsia="PMingLiU"/>
          <w:lang w:eastAsia="zh-TW"/>
        </w:rPr>
        <w:t xml:space="preserve"> and Imamite</w:t>
      </w:r>
      <w:r w:rsidRPr="008F03E5">
        <w:rPr>
          <w:rFonts w:eastAsia="PMingLiU"/>
          <w:lang w:eastAsia="zh-TW"/>
        </w:rPr>
        <w:t>.  Another, less easily explained plural, is A</w:t>
      </w:r>
      <w:r w:rsidRPr="008F03E5">
        <w:rPr>
          <w:u w:val="single"/>
        </w:rPr>
        <w:t>sh</w:t>
      </w:r>
      <w:r w:rsidRPr="008F03E5">
        <w:rPr>
          <w:rFonts w:eastAsia="PMingLiU"/>
          <w:lang w:eastAsia="zh-TW"/>
        </w:rPr>
        <w:t>y</w:t>
      </w:r>
      <w:r w:rsidRPr="008F03E5">
        <w:t xml:space="preserve">á‘ adherents, followers, partisans.  </w:t>
      </w:r>
      <w:r w:rsidRPr="008F03E5">
        <w:rPr>
          <w:u w:val="single"/>
        </w:rPr>
        <w:t>Sh</w:t>
      </w:r>
      <w:r w:rsidRPr="008F03E5">
        <w:t>í‘a Islám is the second-largest branch of Islám.</w:t>
      </w:r>
    </w:p>
    <w:p w14:paraId="658F99E3" w14:textId="77777777" w:rsidR="00625A5B" w:rsidRPr="008F03E5" w:rsidRDefault="00625A5B" w:rsidP="00D43ED9">
      <w:pPr>
        <w:pStyle w:val="Translit"/>
        <w:rPr>
          <w:rFonts w:eastAsia="PMingLiU"/>
          <w:lang w:eastAsia="zh-TW"/>
        </w:rPr>
      </w:pPr>
      <w:r w:rsidRPr="008F03E5">
        <w:rPr>
          <w:rFonts w:eastAsia="PMingLiU"/>
          <w:lang w:eastAsia="zh-TW"/>
        </w:rPr>
        <w:t>Sh</w:t>
      </w:r>
      <w:r w:rsidRPr="008F03E5">
        <w:t>i</w:t>
      </w:r>
      <w:r w:rsidRPr="008F03E5">
        <w:rPr>
          <w:rFonts w:eastAsia="PMingLiU"/>
          <w:lang w:eastAsia="zh-TW"/>
        </w:rPr>
        <w:t xml:space="preserve">’i, Shi’ih, </w:t>
      </w:r>
      <w:r w:rsidRPr="008F03E5">
        <w:t>Shi’yun</w:t>
      </w:r>
      <w:r w:rsidRPr="008F03E5">
        <w:tab/>
      </w:r>
      <w:r w:rsidRPr="008F03E5">
        <w:rPr>
          <w:u w:val="single"/>
        </w:rPr>
        <w:t>Sh</w:t>
      </w:r>
      <w:r w:rsidRPr="008F03E5">
        <w:t>í</w:t>
      </w:r>
      <w:r w:rsidRPr="008F03E5">
        <w:rPr>
          <w:rFonts w:eastAsia="PMingLiU"/>
          <w:lang w:eastAsia="zh-TW"/>
        </w:rPr>
        <w:t>‘</w:t>
      </w:r>
      <w:r w:rsidRPr="008F03E5">
        <w:t xml:space="preserve">í (Pers. </w:t>
      </w:r>
      <w:r w:rsidRPr="008F03E5">
        <w:rPr>
          <w:u w:val="single"/>
        </w:rPr>
        <w:t>Sh</w:t>
      </w:r>
      <w:r w:rsidRPr="008F03E5">
        <w:t>í</w:t>
      </w:r>
      <w:r w:rsidRPr="008F03E5">
        <w:rPr>
          <w:rFonts w:eastAsia="PMingLiU"/>
          <w:lang w:eastAsia="zh-TW"/>
        </w:rPr>
        <w:t>‘</w:t>
      </w:r>
      <w:r w:rsidRPr="008F03E5">
        <w:t>i</w:t>
      </w:r>
      <w:r w:rsidRPr="008F03E5">
        <w:rPr>
          <w:rFonts w:eastAsia="PMingLiU"/>
          <w:lang w:eastAsia="zh-TW"/>
        </w:rPr>
        <w:t>h</w:t>
      </w:r>
      <w:r w:rsidRPr="008F03E5">
        <w:t xml:space="preserve">), </w:t>
      </w:r>
      <w:r w:rsidRPr="008F03E5">
        <w:rPr>
          <w:rFonts w:eastAsia="PMingLiU"/>
          <w:lang w:eastAsia="zh-TW"/>
        </w:rPr>
        <w:t xml:space="preserve">pl. </w:t>
      </w:r>
      <w:r w:rsidRPr="008F03E5">
        <w:rPr>
          <w:u w:val="single"/>
        </w:rPr>
        <w:t>Sh</w:t>
      </w:r>
      <w:r w:rsidRPr="008F03E5">
        <w:t>í</w:t>
      </w:r>
      <w:r w:rsidRPr="008F03E5">
        <w:rPr>
          <w:rFonts w:eastAsia="PMingLiU"/>
          <w:lang w:eastAsia="zh-TW"/>
        </w:rPr>
        <w:t>‘y</w:t>
      </w:r>
      <w:r w:rsidRPr="008F03E5">
        <w:t>ún</w:t>
      </w:r>
      <w:r w:rsidRPr="008F03E5">
        <w:tab/>
      </w:r>
      <w:r w:rsidRPr="008F03E5">
        <w:rPr>
          <w:rFonts w:eastAsia="PMingLiU"/>
          <w:lang w:eastAsia="zh-TW"/>
        </w:rPr>
        <w:t xml:space="preserve">adjective for member, follower.  English Shiite, </w:t>
      </w:r>
      <w:r w:rsidRPr="008F03E5">
        <w:t>Shi’ite</w:t>
      </w:r>
      <w:r w:rsidRPr="008F03E5">
        <w:rPr>
          <w:rFonts w:eastAsia="PMingLiU"/>
          <w:lang w:eastAsia="zh-TW"/>
        </w:rPr>
        <w:t>.</w:t>
      </w:r>
    </w:p>
    <w:p w14:paraId="510F7BD8" w14:textId="77777777" w:rsidR="00625A5B" w:rsidRPr="008F03E5" w:rsidRDefault="00625A5B" w:rsidP="00892130">
      <w:pPr>
        <w:pStyle w:val="Translit"/>
        <w:rPr>
          <w:rFonts w:eastAsia="PMingLiU"/>
          <w:lang w:eastAsia="zh-TW"/>
        </w:rPr>
      </w:pPr>
      <w:r w:rsidRPr="008F03E5">
        <w:rPr>
          <w:rFonts w:eastAsia="PMingLiU"/>
          <w:lang w:eastAsia="zh-TW"/>
        </w:rPr>
        <w:t>Shi’ism (al-Madhhab ash-Shi’a)</w:t>
      </w:r>
      <w:r w:rsidRPr="008F03E5">
        <w:rPr>
          <w:rFonts w:eastAsia="PMingLiU"/>
          <w:lang w:eastAsia="zh-TW"/>
        </w:rPr>
        <w:tab/>
        <w:t>al-Ma</w:t>
      </w:r>
      <w:r w:rsidRPr="008F03E5">
        <w:rPr>
          <w:rFonts w:eastAsia="PMingLiU"/>
          <w:u w:val="single"/>
          <w:lang w:eastAsia="zh-TW"/>
        </w:rPr>
        <w:t>dh</w:t>
      </w:r>
      <w:r w:rsidRPr="008F03E5">
        <w:rPr>
          <w:rFonts w:eastAsia="PMingLiU"/>
          <w:lang w:eastAsia="zh-TW"/>
        </w:rPr>
        <w:t>hab a</w:t>
      </w:r>
      <w:r w:rsidRPr="008F03E5">
        <w:rPr>
          <w:rFonts w:eastAsia="PMingLiU"/>
          <w:u w:val="single"/>
          <w:lang w:eastAsia="zh-TW"/>
        </w:rPr>
        <w:t>sh</w:t>
      </w:r>
      <w:r w:rsidRPr="008F03E5">
        <w:rPr>
          <w:rFonts w:eastAsia="PMingLiU"/>
          <w:lang w:eastAsia="zh-TW"/>
        </w:rPr>
        <w:t>-</w:t>
      </w:r>
      <w:r w:rsidRPr="008F03E5">
        <w:rPr>
          <w:rFonts w:eastAsia="PMingLiU"/>
          <w:u w:val="single"/>
          <w:lang w:eastAsia="zh-TW"/>
        </w:rPr>
        <w:t>Sh</w:t>
      </w:r>
      <w:r w:rsidRPr="008F03E5">
        <w:t>í‘</w:t>
      </w:r>
      <w:r w:rsidRPr="008F03E5">
        <w:rPr>
          <w:rFonts w:eastAsia="PMingLiU"/>
          <w:lang w:eastAsia="zh-TW"/>
        </w:rPr>
        <w:t>a</w:t>
      </w:r>
      <w:r w:rsidRPr="008F03E5">
        <w:rPr>
          <w:rFonts w:eastAsia="PMingLiU"/>
          <w:lang w:eastAsia="zh-TW"/>
        </w:rPr>
        <w:tab/>
        <w:t xml:space="preserve">the doctrines or principles of </w:t>
      </w:r>
      <w:r w:rsidRPr="008F03E5">
        <w:rPr>
          <w:rFonts w:eastAsia="PMingLiU"/>
          <w:u w:val="single"/>
          <w:lang w:eastAsia="zh-TW"/>
        </w:rPr>
        <w:t>Sh</w:t>
      </w:r>
      <w:r w:rsidRPr="008F03E5">
        <w:t>í‘</w:t>
      </w:r>
      <w:r w:rsidRPr="008F03E5">
        <w:rPr>
          <w:rFonts w:eastAsia="PMingLiU"/>
          <w:lang w:eastAsia="zh-TW"/>
        </w:rPr>
        <w:t>a Isl</w:t>
      </w:r>
      <w:r w:rsidRPr="008F03E5">
        <w:t>á</w:t>
      </w:r>
      <w:r w:rsidRPr="008F03E5">
        <w:rPr>
          <w:rFonts w:eastAsia="PMingLiU"/>
          <w:lang w:eastAsia="zh-TW"/>
        </w:rPr>
        <w:t>m.  English:  Shiism or Shi’ism</w:t>
      </w:r>
    </w:p>
    <w:p w14:paraId="5A0EFA43" w14:textId="77777777" w:rsidR="00625A5B" w:rsidRPr="008F03E5" w:rsidRDefault="00625A5B" w:rsidP="004F2802">
      <w:pPr>
        <w:pStyle w:val="Translit"/>
      </w:pPr>
      <w:r w:rsidRPr="008F03E5">
        <w:t>Shibl, Ashbal</w:t>
      </w:r>
      <w:r w:rsidRPr="008F03E5">
        <w:tab/>
      </w:r>
      <w:r w:rsidRPr="008F03E5">
        <w:rPr>
          <w:u w:val="single"/>
        </w:rPr>
        <w:t>Sh</w:t>
      </w:r>
      <w:r w:rsidRPr="008F03E5">
        <w:t>ibl, pl. A</w:t>
      </w:r>
      <w:r w:rsidRPr="008F03E5">
        <w:rPr>
          <w:u w:val="single"/>
        </w:rPr>
        <w:t>sh</w:t>
      </w:r>
      <w:r w:rsidRPr="008F03E5">
        <w:t>bl</w:t>
      </w:r>
      <w:r w:rsidRPr="008F03E5">
        <w:tab/>
        <w:t>lion cub</w:t>
      </w:r>
    </w:p>
    <w:p w14:paraId="0BA3D2A8" w14:textId="77777777" w:rsidR="00625A5B" w:rsidRPr="008F03E5" w:rsidRDefault="00625A5B" w:rsidP="0006139E">
      <w:pPr>
        <w:pStyle w:val="Translit"/>
      </w:pPr>
      <w:r w:rsidRPr="008F03E5">
        <w:t>Shid</w:t>
      </w:r>
      <w:r w:rsidRPr="008F03E5">
        <w:tab/>
      </w:r>
      <w:r w:rsidRPr="008F03E5">
        <w:rPr>
          <w:u w:val="single"/>
        </w:rPr>
        <w:t>Sh</w:t>
      </w:r>
      <w:r w:rsidRPr="008F03E5">
        <w:t>íd</w:t>
      </w:r>
      <w:r w:rsidRPr="008F03E5">
        <w:tab/>
        <w:t>plaster (of a wall); plaster of Paris; mortar</w:t>
      </w:r>
    </w:p>
    <w:p w14:paraId="26D5233E" w14:textId="77777777" w:rsidR="00625A5B" w:rsidRPr="008F03E5" w:rsidRDefault="00625A5B" w:rsidP="00335C5A">
      <w:pPr>
        <w:pStyle w:val="Translit"/>
      </w:pPr>
      <w:r w:rsidRPr="008F03E5">
        <w:rPr>
          <w:rFonts w:eastAsia="Times New Roman"/>
        </w:rPr>
        <w:t>Shidan</w:t>
      </w:r>
      <w:r w:rsidRPr="008F03E5">
        <w:rPr>
          <w:rFonts w:eastAsia="Times New Roman"/>
        </w:rPr>
        <w:tab/>
      </w:r>
      <w:r w:rsidRPr="008F03E5">
        <w:rPr>
          <w:rFonts w:eastAsia="Times New Roman"/>
          <w:u w:val="single"/>
        </w:rPr>
        <w:t>Sh</w:t>
      </w:r>
      <w:r w:rsidRPr="008F03E5">
        <w:rPr>
          <w:rFonts w:eastAsia="Times New Roman"/>
        </w:rPr>
        <w:t>ídán</w:t>
      </w:r>
      <w:r w:rsidRPr="008F03E5">
        <w:rPr>
          <w:rFonts w:eastAsia="Times New Roman"/>
        </w:rPr>
        <w:tab/>
        <w:t>Pers. a dining-table</w:t>
      </w:r>
    </w:p>
    <w:p w14:paraId="59B5BB71" w14:textId="77777777" w:rsidR="00625A5B" w:rsidRPr="008F03E5" w:rsidRDefault="00625A5B" w:rsidP="0006139E">
      <w:pPr>
        <w:pStyle w:val="Translit"/>
        <w:rPr>
          <w:u w:val="single"/>
        </w:rPr>
      </w:pPr>
      <w:r w:rsidRPr="008F03E5">
        <w:t>Shidrukh</w:t>
      </w:r>
      <w:r w:rsidRPr="008F03E5">
        <w:tab/>
      </w:r>
      <w:r w:rsidRPr="008F03E5">
        <w:rPr>
          <w:u w:val="single"/>
        </w:rPr>
        <w:t>Sh</w:t>
      </w:r>
      <w:r w:rsidRPr="008F03E5">
        <w:t>ídru</w:t>
      </w:r>
      <w:r w:rsidRPr="008F03E5">
        <w:rPr>
          <w:u w:val="single"/>
        </w:rPr>
        <w:t>kh</w:t>
      </w:r>
      <w:r w:rsidRPr="008F03E5">
        <w:tab/>
        <w:t xml:space="preserve">probably from </w:t>
      </w:r>
      <w:r w:rsidRPr="008F03E5">
        <w:rPr>
          <w:u w:val="single"/>
        </w:rPr>
        <w:t>Sh</w:t>
      </w:r>
      <w:r w:rsidRPr="008F03E5">
        <w:t>íd + ru</w:t>
      </w:r>
      <w:r w:rsidRPr="008F03E5">
        <w:rPr>
          <w:u w:val="single"/>
        </w:rPr>
        <w:t>kh</w:t>
      </w:r>
    </w:p>
    <w:p w14:paraId="2BE4C78D" w14:textId="77777777" w:rsidR="00625A5B" w:rsidRPr="008F03E5" w:rsidRDefault="00625A5B" w:rsidP="004C1960">
      <w:pPr>
        <w:pStyle w:val="Translit"/>
      </w:pPr>
      <w:r w:rsidRPr="008F03E5">
        <w:t>Shifa’, Ashfiyah, Ashafin</w:t>
      </w:r>
      <w:r w:rsidRPr="008F03E5">
        <w:tab/>
      </w:r>
      <w:r w:rsidRPr="008F03E5">
        <w:rPr>
          <w:u w:val="single"/>
        </w:rPr>
        <w:t>Sh</w:t>
      </w:r>
      <w:r w:rsidRPr="008F03E5">
        <w:t>ifá’, pl. A</w:t>
      </w:r>
      <w:r w:rsidRPr="008F03E5">
        <w:rPr>
          <w:u w:val="single"/>
        </w:rPr>
        <w:t>sh</w:t>
      </w:r>
      <w:r w:rsidRPr="008F03E5">
        <w:t>fiyah, A</w:t>
      </w:r>
      <w:r w:rsidRPr="008F03E5">
        <w:rPr>
          <w:u w:val="single"/>
        </w:rPr>
        <w:t>sh</w:t>
      </w:r>
      <w:r w:rsidRPr="008F03E5">
        <w:t>áfin</w:t>
      </w:r>
      <w:r w:rsidRPr="008F03E5">
        <w:tab/>
        <w:t xml:space="preserve">cure, healing, restoration, recovery, recuperation, convalescence; satisfaction, gratification;—pl. remedy, medicament, medication, medicine.  </w:t>
      </w:r>
      <w:r w:rsidRPr="008F03E5">
        <w:rPr>
          <w:i/>
          <w:iCs/>
        </w:rPr>
        <w:t>Kitáb a</w:t>
      </w:r>
      <w:r w:rsidRPr="008F03E5">
        <w:rPr>
          <w:i/>
          <w:iCs/>
          <w:u w:val="single"/>
        </w:rPr>
        <w:t>sh</w:t>
      </w:r>
      <w:r w:rsidRPr="008F03E5">
        <w:rPr>
          <w:i/>
          <w:iCs/>
        </w:rPr>
        <w:t>-</w:t>
      </w:r>
      <w:r w:rsidRPr="008F03E5">
        <w:rPr>
          <w:i/>
          <w:iCs/>
          <w:u w:val="single"/>
        </w:rPr>
        <w:t>Sh</w:t>
      </w:r>
      <w:r w:rsidRPr="008F03E5">
        <w:rPr>
          <w:i/>
          <w:iCs/>
        </w:rPr>
        <w:t>ifá’</w:t>
      </w:r>
      <w:r w:rsidRPr="008F03E5">
        <w:t xml:space="preserve"> (literally the “Book of Healing”—it is a work of philosophy) by Avicenna.</w:t>
      </w:r>
    </w:p>
    <w:p w14:paraId="02C83C7A" w14:textId="77777777" w:rsidR="00625A5B" w:rsidRPr="008F03E5" w:rsidRDefault="00625A5B" w:rsidP="00191E74">
      <w:pPr>
        <w:pStyle w:val="Translit"/>
      </w:pPr>
      <w:r w:rsidRPr="008F03E5">
        <w:t>Shifta, Shiftih</w:t>
      </w:r>
      <w:r w:rsidRPr="008F03E5">
        <w:tab/>
      </w:r>
      <w:r w:rsidRPr="008F03E5">
        <w:rPr>
          <w:u w:val="single"/>
        </w:rPr>
        <w:t>Sh</w:t>
      </w:r>
      <w:r w:rsidRPr="008F03E5">
        <w:t>ífta (</w:t>
      </w:r>
      <w:r w:rsidRPr="008F03E5">
        <w:rPr>
          <w:rtl/>
        </w:rPr>
        <w:t>شیفته</w:t>
      </w:r>
      <w:r w:rsidRPr="008F03E5">
        <w:t xml:space="preserve"> ), (</w:t>
      </w:r>
      <w:r w:rsidRPr="008F03E5">
        <w:rPr>
          <w:u w:val="single"/>
        </w:rPr>
        <w:t>Sh</w:t>
      </w:r>
      <w:r w:rsidRPr="008F03E5">
        <w:t>íftih)</w:t>
      </w:r>
      <w:r w:rsidRPr="008F03E5">
        <w:tab/>
        <w:t xml:space="preserve">Pers. mad, enamoured; strongly inclined; astonished.  </w:t>
      </w:r>
      <w:r w:rsidRPr="008F03E5">
        <w:rPr>
          <w:u w:val="single"/>
        </w:rPr>
        <w:t>Sh</w:t>
      </w:r>
      <w:r w:rsidRPr="008F03E5">
        <w:t>íftih-i-balá’ (“enamoured with torment”)</w:t>
      </w:r>
    </w:p>
    <w:p w14:paraId="56C4B609" w14:textId="77777777" w:rsidR="00625A5B" w:rsidRPr="00ED145D" w:rsidRDefault="00625A5B" w:rsidP="00ED145D">
      <w:pPr>
        <w:pStyle w:val="Translit"/>
        <w:rPr>
          <w:lang w:val="en-AU"/>
        </w:rPr>
      </w:pPr>
      <w:r w:rsidRPr="00ED145D">
        <w:rPr>
          <w:lang w:val="en-AU"/>
        </w:rPr>
        <w:t>Shihab al-Din</w:t>
      </w:r>
      <w:r w:rsidRPr="00ED145D">
        <w:rPr>
          <w:lang w:val="en-AU"/>
        </w:rPr>
        <w:tab/>
      </w:r>
      <w:r w:rsidRPr="00ED145D">
        <w:rPr>
          <w:u w:val="single"/>
          <w:lang w:val="en-AU"/>
        </w:rPr>
        <w:t>Sh</w:t>
      </w:r>
      <w:r w:rsidRPr="00ED145D">
        <w:rPr>
          <w:lang w:val="en-AU"/>
        </w:rPr>
        <w:t>iháb al-Dín</w:t>
      </w:r>
      <w:r w:rsidRPr="00ED145D">
        <w:rPr>
          <w:lang w:val="en-AU"/>
        </w:rPr>
        <w:tab/>
        <w:t>“Light of</w:t>
      </w:r>
      <w:r>
        <w:rPr>
          <w:lang w:val="en-AU"/>
        </w:rPr>
        <w:t xml:space="preserve"> Religion”</w:t>
      </w:r>
    </w:p>
    <w:p w14:paraId="53886D6F" w14:textId="77777777" w:rsidR="00625A5B" w:rsidRDefault="00625A5B" w:rsidP="00191E74">
      <w:pPr>
        <w:pStyle w:val="Translit"/>
      </w:pPr>
      <w:r w:rsidRPr="008F03E5">
        <w:t>Shihab, Shuhub, Shuhban</w:t>
      </w:r>
      <w:r w:rsidRPr="008F03E5">
        <w:tab/>
      </w:r>
      <w:r w:rsidRPr="008F03E5">
        <w:rPr>
          <w:u w:val="single"/>
        </w:rPr>
        <w:t>Sh</w:t>
      </w:r>
      <w:r w:rsidRPr="008F03E5">
        <w:t xml:space="preserve">iháb, pl. </w:t>
      </w:r>
      <w:r w:rsidRPr="008F03E5">
        <w:rPr>
          <w:u w:val="single"/>
        </w:rPr>
        <w:t>Sh</w:t>
      </w:r>
      <w:r w:rsidRPr="008F03E5">
        <w:t xml:space="preserve">uhub, </w:t>
      </w:r>
      <w:r w:rsidRPr="008F03E5">
        <w:rPr>
          <w:u w:val="single"/>
        </w:rPr>
        <w:t>Sh</w:t>
      </w:r>
      <w:r w:rsidRPr="008F03E5">
        <w:t>uhbán</w:t>
      </w:r>
      <w:r w:rsidRPr="008F03E5">
        <w:tab/>
        <w:t xml:space="preserve">flame, blaze, fire; shooting star, luminous meteor; star.  </w:t>
      </w:r>
      <w:r w:rsidRPr="008F03E5">
        <w:rPr>
          <w:u w:val="single"/>
        </w:rPr>
        <w:t>Sh</w:t>
      </w:r>
      <w:r w:rsidRPr="008F03E5">
        <w:t>ihábu’d-Dín</w:t>
      </w:r>
    </w:p>
    <w:p w14:paraId="33DB16F6" w14:textId="77777777" w:rsidR="00625A5B" w:rsidRPr="008F03E5" w:rsidRDefault="00625A5B" w:rsidP="002F3318">
      <w:pPr>
        <w:pStyle w:val="Translit"/>
      </w:pPr>
      <w:r w:rsidRPr="008F03E5">
        <w:t>Shikan</w:t>
      </w:r>
      <w:r w:rsidRPr="008F03E5">
        <w:tab/>
      </w:r>
      <w:r w:rsidRPr="008F03E5">
        <w:rPr>
          <w:u w:val="single"/>
        </w:rPr>
        <w:t>Sh</w:t>
      </w:r>
      <w:r w:rsidRPr="008F03E5">
        <w:t>ikan</w:t>
      </w:r>
      <w:r w:rsidRPr="008F03E5">
        <w:tab/>
        <w:t>Pers. breaker</w:t>
      </w:r>
    </w:p>
    <w:p w14:paraId="770CBAD3" w14:textId="77777777" w:rsidR="00625A5B" w:rsidRPr="008F03E5" w:rsidRDefault="00625A5B" w:rsidP="002F3318">
      <w:pPr>
        <w:pStyle w:val="Translit"/>
      </w:pPr>
      <w:r w:rsidRPr="008F03E5">
        <w:t>Shikasta (Shikastih)</w:t>
      </w:r>
      <w:r w:rsidRPr="008F03E5">
        <w:tab/>
      </w:r>
      <w:r w:rsidRPr="008F03E5">
        <w:rPr>
          <w:u w:val="single"/>
        </w:rPr>
        <w:t>Sh</w:t>
      </w:r>
      <w:r w:rsidRPr="008F03E5">
        <w:t>ikasta</w:t>
      </w:r>
      <w:r w:rsidRPr="008F03E5">
        <w:tab/>
        <w:t>Pers. broken; discomfited, routed; reduced to straits; ashamed, penitent; proud; weak; sick, wounded; the broken or current Persian hand, in which letters in India are generally written (a type of Persian cursive script or half-shorthand, the “broken” form of Nasta‘líq).  See Nasta‘líq</w:t>
      </w:r>
    </w:p>
    <w:p w14:paraId="3E681A3A" w14:textId="77777777" w:rsidR="00625A5B" w:rsidRPr="008F03E5" w:rsidRDefault="00625A5B" w:rsidP="00900A82">
      <w:pPr>
        <w:pStyle w:val="Translit"/>
      </w:pPr>
      <w:r w:rsidRPr="008F03E5">
        <w:t>Shikastih Nafsi</w:t>
      </w:r>
      <w:r w:rsidRPr="008F03E5">
        <w:tab/>
      </w:r>
      <w:r w:rsidRPr="008F03E5">
        <w:rPr>
          <w:u w:val="single"/>
        </w:rPr>
        <w:t>Sh</w:t>
      </w:r>
      <w:r w:rsidRPr="008F03E5">
        <w:t>ikastih Nafsí</w:t>
      </w:r>
      <w:r w:rsidRPr="008F03E5">
        <w:tab/>
        <w:t>Pers. modesty, humility; make yourself smaller than what you say (self-effacing hyperbole)</w:t>
      </w:r>
    </w:p>
    <w:p w14:paraId="3AC2FA5D" w14:textId="77777777" w:rsidR="00625A5B" w:rsidRPr="008F03E5" w:rsidRDefault="00625A5B" w:rsidP="00900A82">
      <w:pPr>
        <w:pStyle w:val="Translit"/>
      </w:pPr>
      <w:r w:rsidRPr="008F03E5">
        <w:t>Shikastih-Nasta’liq</w:t>
      </w:r>
      <w:r w:rsidRPr="008F03E5">
        <w:tab/>
      </w:r>
      <w:r w:rsidRPr="008F03E5">
        <w:rPr>
          <w:u w:val="single"/>
        </w:rPr>
        <w:t>Sh</w:t>
      </w:r>
      <w:r w:rsidRPr="008F03E5">
        <w:t>ikastih-Nasta‘líq</w:t>
      </w:r>
      <w:r w:rsidRPr="008F03E5">
        <w:tab/>
        <w:t>(favourite script of Bahá’u’lláh)</w:t>
      </w:r>
    </w:p>
    <w:p w14:paraId="650B8CB6" w14:textId="77777777" w:rsidR="00625A5B" w:rsidRPr="008F03E5" w:rsidRDefault="00625A5B" w:rsidP="0045125F">
      <w:pPr>
        <w:pStyle w:val="Translit"/>
      </w:pPr>
      <w:r w:rsidRPr="008F03E5">
        <w:t>Shikkar Shikan Shawand (Shavand)</w:t>
      </w:r>
      <w:r w:rsidRPr="008F03E5">
        <w:tab/>
      </w:r>
      <w:r w:rsidRPr="008F03E5">
        <w:rPr>
          <w:u w:val="single"/>
        </w:rPr>
        <w:t>Sh</w:t>
      </w:r>
      <w:r w:rsidRPr="008F03E5">
        <w:t xml:space="preserve">ikkar </w:t>
      </w:r>
      <w:r w:rsidRPr="008F03E5">
        <w:rPr>
          <w:u w:val="single"/>
        </w:rPr>
        <w:t>Sh</w:t>
      </w:r>
      <w:r w:rsidRPr="008F03E5">
        <w:t xml:space="preserve">ikan </w:t>
      </w:r>
      <w:r w:rsidRPr="008F03E5">
        <w:rPr>
          <w:u w:val="single"/>
        </w:rPr>
        <w:t>Sh</w:t>
      </w:r>
      <w:r w:rsidRPr="008F03E5">
        <w:t>awand</w:t>
      </w:r>
      <w:r w:rsidRPr="008F03E5">
        <w:tab/>
        <w:t xml:space="preserve">“Sweet Scented Being”.  Tablet by Bahá’u’lláh), named after the first two lines quoted from Ḥáfiẓ of </w:t>
      </w:r>
      <w:r w:rsidRPr="008F03E5">
        <w:rPr>
          <w:u w:val="single"/>
        </w:rPr>
        <w:t>Sh</w:t>
      </w:r>
      <w:r w:rsidRPr="008F03E5">
        <w:t>íráz:  “Warblers, mellifluous-toned, all the parrots of Ind shall be, Because of this Pársí sugar-cone which to Bengal goes.”</w:t>
      </w:r>
      <w:r w:rsidRPr="008F03E5">
        <w:rPr>
          <w:rStyle w:val="FootnoteReference"/>
        </w:rPr>
        <w:footnoteReference w:id="21"/>
      </w:r>
    </w:p>
    <w:p w14:paraId="07221489" w14:textId="77777777" w:rsidR="00625A5B" w:rsidRPr="008F03E5" w:rsidRDefault="00625A5B" w:rsidP="00044EC2">
      <w:pPr>
        <w:pStyle w:val="Translit"/>
      </w:pPr>
      <w:r w:rsidRPr="008F03E5">
        <w:t>Shikkar Shikan</w:t>
      </w:r>
      <w:r w:rsidRPr="008F03E5">
        <w:tab/>
      </w:r>
      <w:r w:rsidRPr="008F03E5">
        <w:rPr>
          <w:u w:val="single"/>
        </w:rPr>
        <w:t>Sh</w:t>
      </w:r>
      <w:r w:rsidRPr="008F03E5">
        <w:t xml:space="preserve">ikkar </w:t>
      </w:r>
      <w:r w:rsidRPr="008F03E5">
        <w:rPr>
          <w:u w:val="single"/>
        </w:rPr>
        <w:t>Sh</w:t>
      </w:r>
      <w:r w:rsidRPr="008F03E5">
        <w:t>ikan</w:t>
      </w:r>
      <w:r w:rsidRPr="008F03E5">
        <w:tab/>
        <w:t>lit. sugar-breaker.  Allegorically, “sweet speaking” or having a pleasant disposition or talent.</w:t>
      </w:r>
    </w:p>
    <w:p w14:paraId="417A8D42" w14:textId="77777777" w:rsidR="00625A5B" w:rsidRPr="008F03E5" w:rsidRDefault="00625A5B" w:rsidP="00FE046A">
      <w:pPr>
        <w:pStyle w:val="Translit"/>
      </w:pPr>
      <w:r w:rsidRPr="008F03E5">
        <w:t>Shimr (</w:t>
      </w:r>
      <w:r>
        <w:t xml:space="preserve">Shemr, </w:t>
      </w:r>
      <w:r w:rsidRPr="008F03E5">
        <w:t>Sh</w:t>
      </w:r>
      <w:r>
        <w:t>a</w:t>
      </w:r>
      <w:r w:rsidRPr="008F03E5">
        <w:t>mar</w:t>
      </w:r>
      <w:r>
        <w:t>, Shimar</w:t>
      </w:r>
      <w:r w:rsidRPr="008F03E5">
        <w:t>)</w:t>
      </w:r>
      <w:r w:rsidRPr="008F03E5">
        <w:tab/>
      </w:r>
      <w:r w:rsidRPr="008F03E5">
        <w:rPr>
          <w:u w:val="single"/>
        </w:rPr>
        <w:t>Sh</w:t>
      </w:r>
      <w:r w:rsidRPr="008F03E5">
        <w:t>imr</w:t>
      </w:r>
      <w:r w:rsidRPr="008F03E5">
        <w:tab/>
      </w:r>
      <w:r>
        <w:t>Ab</w:t>
      </w:r>
      <w:r w:rsidRPr="00C5680F">
        <w:t>ú</w:t>
      </w:r>
      <w:r>
        <w:t xml:space="preserve"> </w:t>
      </w:r>
      <w:r w:rsidRPr="00970C34">
        <w:t>as-Sábi</w:t>
      </w:r>
      <w:r w:rsidRPr="00C5680F">
        <w:rPr>
          <w:u w:val="single"/>
        </w:rPr>
        <w:t>gh</w:t>
      </w:r>
      <w:r w:rsidRPr="00970C34">
        <w:t>a</w:t>
      </w:r>
      <w:r>
        <w:t xml:space="preserve"> </w:t>
      </w:r>
      <w:r w:rsidRPr="008F03E5">
        <w:rPr>
          <w:u w:val="single"/>
        </w:rPr>
        <w:t>Sh</w:t>
      </w:r>
      <w:r w:rsidRPr="008F03E5">
        <w:t xml:space="preserve">imr bín </w:t>
      </w:r>
      <w:r w:rsidRPr="008F03E5">
        <w:rPr>
          <w:u w:val="single"/>
        </w:rPr>
        <w:t>Dh</w:t>
      </w:r>
      <w:r w:rsidRPr="008F03E5">
        <w:t>i’l-Jaw</w:t>
      </w:r>
      <w:r w:rsidRPr="008F03E5">
        <w:rPr>
          <w:u w:val="single"/>
        </w:rPr>
        <w:t>sh</w:t>
      </w:r>
      <w:r w:rsidRPr="008F03E5">
        <w:t xml:space="preserve">an aḍ-Ḍabábí, slayer of Imám Ḥusayn.  </w:t>
      </w:r>
      <w:r w:rsidRPr="008F03E5">
        <w:rPr>
          <w:u w:val="single"/>
        </w:rPr>
        <w:t>Sh</w:t>
      </w:r>
      <w:r w:rsidRPr="008F03E5">
        <w:t xml:space="preserve">imr </w:t>
      </w:r>
      <w:r>
        <w:t xml:space="preserve">(also known as </w:t>
      </w:r>
      <w:r w:rsidRPr="002A2B96">
        <w:rPr>
          <w:u w:val="single"/>
        </w:rPr>
        <w:t>Sh</w:t>
      </w:r>
      <w:r>
        <w:t>a</w:t>
      </w:r>
      <w:r w:rsidRPr="008F03E5">
        <w:t>mar</w:t>
      </w:r>
      <w:r>
        <w:t xml:space="preserve"> (“fennel”) and </w:t>
      </w:r>
      <w:r w:rsidRPr="002A2B96">
        <w:rPr>
          <w:u w:val="single"/>
        </w:rPr>
        <w:t>Sh</w:t>
      </w:r>
      <w:r>
        <w:t>imar)</w:t>
      </w:r>
      <w:r w:rsidRPr="008F03E5">
        <w:t xml:space="preserve"> is used by Bahá’u’lláh as a metaphor for a “deadly foe”.</w:t>
      </w:r>
    </w:p>
    <w:p w14:paraId="1589ED61" w14:textId="77777777" w:rsidR="00625A5B" w:rsidRPr="008F03E5" w:rsidRDefault="00625A5B" w:rsidP="00704D4A">
      <w:pPr>
        <w:pStyle w:val="Translit"/>
      </w:pPr>
      <w:r w:rsidRPr="008F03E5">
        <w:rPr>
          <w:rFonts w:eastAsia="Times New Roman"/>
        </w:rPr>
        <w:t>Shimrakh, Shamarikh</w:t>
      </w:r>
      <w:r w:rsidRPr="008F03E5">
        <w:rPr>
          <w:rFonts w:eastAsia="Times New Roman"/>
        </w:rPr>
        <w:tab/>
      </w:r>
      <w:r w:rsidRPr="008F03E5">
        <w:rPr>
          <w:rFonts w:eastAsia="Times New Roman"/>
          <w:u w:val="single"/>
        </w:rPr>
        <w:t>Sh</w:t>
      </w:r>
      <w:r w:rsidRPr="008F03E5">
        <w:rPr>
          <w:rFonts w:eastAsia="Times New Roman"/>
        </w:rPr>
        <w:t>imrá</w:t>
      </w:r>
      <w:r w:rsidRPr="008F03E5">
        <w:rPr>
          <w:rFonts w:eastAsia="Times New Roman"/>
          <w:u w:val="single"/>
        </w:rPr>
        <w:t>kh</w:t>
      </w:r>
      <w:r w:rsidRPr="008F03E5">
        <w:rPr>
          <w:rFonts w:eastAsia="Times New Roman"/>
        </w:rPr>
        <w:t xml:space="preserve">, pl. </w:t>
      </w:r>
      <w:r w:rsidRPr="008F03E5">
        <w:rPr>
          <w:rFonts w:eastAsia="Times New Roman"/>
          <w:u w:val="single"/>
        </w:rPr>
        <w:t>Sh</w:t>
      </w:r>
      <w:r w:rsidRPr="008F03E5">
        <w:rPr>
          <w:rFonts w:eastAsia="Times New Roman"/>
        </w:rPr>
        <w:t>amárí</w:t>
      </w:r>
      <w:r w:rsidRPr="008F03E5">
        <w:rPr>
          <w:rFonts w:eastAsia="Times New Roman"/>
          <w:u w:val="single"/>
        </w:rPr>
        <w:t>kh</w:t>
      </w:r>
      <w:r w:rsidRPr="008F03E5">
        <w:rPr>
          <w:rFonts w:eastAsia="Times New Roman"/>
        </w:rPr>
        <w:tab/>
        <w:t xml:space="preserve">a branch or cluster of dates or grapes.  See genealogy of </w:t>
      </w:r>
      <w:r w:rsidRPr="008F03E5">
        <w:rPr>
          <w:u w:val="single"/>
        </w:rPr>
        <w:t>Sh</w:t>
      </w:r>
      <w:r w:rsidRPr="008F03E5">
        <w:t>ay</w:t>
      </w:r>
      <w:r w:rsidRPr="008F03E5">
        <w:rPr>
          <w:u w:val="single"/>
        </w:rPr>
        <w:t>kh</w:t>
      </w:r>
      <w:r w:rsidRPr="008F03E5">
        <w:t xml:space="preserve"> Aḥmad-i-Aḥsá’í.</w:t>
      </w:r>
    </w:p>
    <w:p w14:paraId="676451E4" w14:textId="77777777" w:rsidR="00625A5B" w:rsidRPr="008F03E5" w:rsidRDefault="00625A5B" w:rsidP="00704D4A">
      <w:pPr>
        <w:pStyle w:val="Translit"/>
      </w:pPr>
      <w:r w:rsidRPr="008F03E5">
        <w:t>Shimran, Shimiran (Shemiran)</w:t>
      </w:r>
      <w:r w:rsidRPr="008F03E5">
        <w:tab/>
      </w:r>
      <w:bookmarkStart w:id="139" w:name="_Hlk60232611"/>
      <w:r w:rsidRPr="008F03E5">
        <w:rPr>
          <w:u w:val="single"/>
        </w:rPr>
        <w:t>Sh</w:t>
      </w:r>
      <w:r w:rsidRPr="008F03E5">
        <w:t xml:space="preserve">imrán or </w:t>
      </w:r>
      <w:r w:rsidRPr="008F03E5">
        <w:rPr>
          <w:u w:val="single"/>
        </w:rPr>
        <w:t>Sh</w:t>
      </w:r>
      <w:r w:rsidRPr="008F03E5">
        <w:t>imírán</w:t>
      </w:r>
      <w:bookmarkEnd w:id="139"/>
      <w:r w:rsidRPr="008F03E5">
        <w:t xml:space="preserve">, pl. </w:t>
      </w:r>
      <w:r w:rsidRPr="008F03E5">
        <w:rPr>
          <w:u w:val="single"/>
        </w:rPr>
        <w:t>Sh</w:t>
      </w:r>
      <w:r w:rsidRPr="008F03E5">
        <w:t>imránát</w:t>
      </w:r>
      <w:r w:rsidRPr="008F03E5">
        <w:tab/>
        <w:t xml:space="preserve">city (also known as </w:t>
      </w:r>
      <w:r w:rsidRPr="008F03E5">
        <w:rPr>
          <w:u w:val="single"/>
        </w:rPr>
        <w:t>Sh</w:t>
      </w:r>
      <w:r w:rsidRPr="008F03E5">
        <w:t xml:space="preserve">imránát, 35.848269, 51.552250), 24 km </w:t>
      </w:r>
      <w:r w:rsidRPr="008F03E5">
        <w:rPr>
          <w:sz w:val="16"/>
          <w:szCs w:val="16"/>
        </w:rPr>
        <w:t>NE</w:t>
      </w:r>
      <w:r w:rsidRPr="008F03E5">
        <w:t xml:space="preserve"> of Ṭihrán on the lower slopes of the Alborz mountains.  It is the capital of </w:t>
      </w:r>
      <w:r w:rsidRPr="008F03E5">
        <w:rPr>
          <w:u w:val="single"/>
        </w:rPr>
        <w:t>Sh</w:t>
      </w:r>
      <w:r w:rsidRPr="008F03E5">
        <w:t xml:space="preserve">imírán county.  Once consisted of the villages and mansions that served as summer residences for the wealthier inhabitants of Ṭihrán.  Now just north of the Tehran County border and the northernmost district of the city of Tehran.  </w:t>
      </w:r>
      <w:r w:rsidRPr="008F03E5">
        <w:rPr>
          <w:u w:val="single"/>
        </w:rPr>
        <w:t>Sh</w:t>
      </w:r>
      <w:r w:rsidRPr="008F03E5">
        <w:t xml:space="preserve">imírán Darwáza (Shimran Gate), former Ṭihrán northern city gate and modern metro station (35.699119, 51.437673).  Name may derive from </w:t>
      </w:r>
      <w:r w:rsidRPr="008F03E5">
        <w:rPr>
          <w:u w:val="single"/>
        </w:rPr>
        <w:t>Ch</w:t>
      </w:r>
      <w:r w:rsidRPr="008F03E5">
        <w:t>am-i-rán (cold place or slope).</w:t>
      </w:r>
    </w:p>
    <w:p w14:paraId="0EA685C0" w14:textId="77777777" w:rsidR="00625A5B" w:rsidRPr="008F03E5" w:rsidRDefault="00625A5B" w:rsidP="00900A82">
      <w:pPr>
        <w:pStyle w:val="Translit"/>
      </w:pPr>
      <w:r w:rsidRPr="008F03E5">
        <w:t>Shin</w:t>
      </w:r>
      <w:r w:rsidRPr="008F03E5">
        <w:tab/>
      </w:r>
      <w:r w:rsidRPr="008F03E5">
        <w:rPr>
          <w:u w:val="single"/>
        </w:rPr>
        <w:t>Sh</w:t>
      </w:r>
      <w:r w:rsidRPr="008F03E5">
        <w:t>ín</w:t>
      </w:r>
      <w:r w:rsidRPr="008F03E5">
        <w:tab/>
        <w:t>Arabic consonant</w:t>
      </w:r>
    </w:p>
    <w:p w14:paraId="2565DC23" w14:textId="77777777" w:rsidR="00625A5B" w:rsidRPr="008F03E5" w:rsidRDefault="00625A5B" w:rsidP="00E36252">
      <w:pPr>
        <w:pStyle w:val="Translit"/>
      </w:pPr>
      <w:r w:rsidRPr="008F03E5">
        <w:t>Shiqmuna</w:t>
      </w:r>
      <w:r w:rsidRPr="008F03E5">
        <w:tab/>
      </w:r>
      <w:r w:rsidRPr="008F03E5">
        <w:rPr>
          <w:u w:val="single"/>
        </w:rPr>
        <w:t>Sh</w:t>
      </w:r>
      <w:r w:rsidRPr="008F03E5">
        <w:t>íqmúna</w:t>
      </w:r>
      <w:r w:rsidRPr="008F03E5">
        <w:tab/>
        <w:t>Hebrew, Tel Shikmona (Latin Sycaminum, “Sycamore), Ar. Tel as-Samak (“fish”); 32.825035, 34.955603) on Haifa coast just south of Ra’s al-Krúm.</w:t>
      </w:r>
    </w:p>
    <w:p w14:paraId="4FBAE5D5" w14:textId="77777777" w:rsidR="00625A5B" w:rsidRDefault="00625A5B" w:rsidP="0004277E">
      <w:pPr>
        <w:pStyle w:val="Translit"/>
      </w:pPr>
      <w:r w:rsidRPr="0004277E">
        <w:rPr>
          <w:rFonts w:eastAsia="Times New Roman"/>
        </w:rPr>
        <w:t>Shiqshiqa</w:t>
      </w:r>
      <w:r>
        <w:rPr>
          <w:rFonts w:eastAsia="Times New Roman"/>
        </w:rPr>
        <w:tab/>
      </w:r>
      <w:r w:rsidRPr="0004277E">
        <w:rPr>
          <w:rFonts w:eastAsia="Times New Roman"/>
          <w:u w:val="single"/>
        </w:rPr>
        <w:t>Sh</w:t>
      </w:r>
      <w:r w:rsidRPr="0004277E">
        <w:rPr>
          <w:rFonts w:eastAsia="Times New Roman"/>
        </w:rPr>
        <w:t>iq</w:t>
      </w:r>
      <w:r w:rsidRPr="0004277E">
        <w:rPr>
          <w:rFonts w:eastAsia="Times New Roman"/>
          <w:u w:val="single"/>
        </w:rPr>
        <w:t>sh</w:t>
      </w:r>
      <w:r w:rsidRPr="0004277E">
        <w:rPr>
          <w:rFonts w:eastAsia="Times New Roman"/>
        </w:rPr>
        <w:t>iqa</w:t>
      </w:r>
      <w:r>
        <w:rPr>
          <w:rFonts w:eastAsia="Times New Roman"/>
        </w:rPr>
        <w:t>[h or t]</w:t>
      </w:r>
      <w:r>
        <w:rPr>
          <w:rFonts w:eastAsia="Times New Roman"/>
        </w:rPr>
        <w:tab/>
        <w:t>Pers. a</w:t>
      </w:r>
      <w:r w:rsidRPr="0004277E">
        <w:rPr>
          <w:rFonts w:eastAsia="Times New Roman"/>
        </w:rPr>
        <w:t xml:space="preserve"> </w:t>
      </w:r>
      <w:r w:rsidRPr="00AF4D34">
        <w:rPr>
          <w:rFonts w:eastAsia="Times New Roman"/>
        </w:rPr>
        <w:t xml:space="preserve">substance protruding from the mouth of a </w:t>
      </w:r>
      <w:r>
        <w:rPr>
          <w:rFonts w:eastAsia="Times New Roman"/>
        </w:rPr>
        <w:t>male</w:t>
      </w:r>
      <w:r w:rsidRPr="00AF4D34">
        <w:rPr>
          <w:rFonts w:eastAsia="Times New Roman"/>
        </w:rPr>
        <w:t xml:space="preserve"> camel in heat</w:t>
      </w:r>
    </w:p>
    <w:p w14:paraId="50100248" w14:textId="77777777" w:rsidR="00625A5B" w:rsidRPr="008F03E5" w:rsidRDefault="00625A5B" w:rsidP="0004277E">
      <w:pPr>
        <w:pStyle w:val="Translit"/>
      </w:pPr>
      <w:r w:rsidRPr="008F03E5">
        <w:t>Shiqshiqi, fem. Shiqshiqiya</w:t>
      </w:r>
      <w:r w:rsidRPr="008F03E5">
        <w:tab/>
      </w:r>
      <w:r w:rsidRPr="008F03E5">
        <w:rPr>
          <w:u w:val="single"/>
        </w:rPr>
        <w:t>Sh</w:t>
      </w:r>
      <w:r w:rsidRPr="008F03E5">
        <w:t>iq</w:t>
      </w:r>
      <w:r w:rsidRPr="008F03E5">
        <w:rPr>
          <w:u w:val="single"/>
        </w:rPr>
        <w:t>sh</w:t>
      </w:r>
      <w:r w:rsidRPr="008F03E5">
        <w:t xml:space="preserve">iqi, fem. </w:t>
      </w:r>
      <w:r w:rsidRPr="008F03E5">
        <w:rPr>
          <w:u w:val="single"/>
        </w:rPr>
        <w:t>Sh</w:t>
      </w:r>
      <w:r w:rsidRPr="008F03E5">
        <w:t>iq</w:t>
      </w:r>
      <w:r w:rsidRPr="008F03E5">
        <w:rPr>
          <w:u w:val="single"/>
        </w:rPr>
        <w:t>sh</w:t>
      </w:r>
      <w:r w:rsidRPr="008F03E5">
        <w:t>iq</w:t>
      </w:r>
      <w:r w:rsidRPr="0004277E">
        <w:t>í</w:t>
      </w:r>
      <w:r w:rsidRPr="008F03E5">
        <w:t>ya</w:t>
      </w:r>
      <w:r>
        <w:t>[h or t]</w:t>
      </w:r>
      <w:r w:rsidRPr="008F03E5">
        <w:tab/>
      </w:r>
      <w:r>
        <w:t>r</w:t>
      </w:r>
      <w:r w:rsidRPr="008F03E5">
        <w:t xml:space="preserve">eferring to noise or substances produced by the </w:t>
      </w:r>
      <w:r w:rsidRPr="008F03E5">
        <w:rPr>
          <w:u w:val="single"/>
        </w:rPr>
        <w:t>sh</w:t>
      </w:r>
      <w:r w:rsidRPr="008F03E5">
        <w:t>iq</w:t>
      </w:r>
      <w:r w:rsidRPr="008F03E5">
        <w:rPr>
          <w:u w:val="single"/>
        </w:rPr>
        <w:t>sh</w:t>
      </w:r>
      <w:r w:rsidRPr="008F03E5">
        <w:t>iqa, a male camel, during mating rituals.</w:t>
      </w:r>
    </w:p>
    <w:p w14:paraId="11345F33" w14:textId="77777777" w:rsidR="00625A5B" w:rsidRPr="008F03E5" w:rsidRDefault="00625A5B" w:rsidP="00BC6D54">
      <w:pPr>
        <w:pStyle w:val="Translit"/>
      </w:pPr>
      <w:r w:rsidRPr="008F03E5">
        <w:t>Shir (Sher, Sher-nar, Sher-zan)</w:t>
      </w:r>
      <w:r w:rsidRPr="008F03E5">
        <w:tab/>
      </w:r>
      <w:r w:rsidRPr="008F03E5">
        <w:rPr>
          <w:u w:val="single"/>
        </w:rPr>
        <w:t>Sh</w:t>
      </w:r>
      <w:r w:rsidRPr="008F03E5">
        <w:t>ír</w:t>
      </w:r>
      <w:r w:rsidRPr="008F03E5">
        <w:tab/>
        <w:t>Pers. a lion; a tiger; the sign Leo; one of the twelve champions; the picture of a lion on tapestries, flags, etc.; milk.  Gender for animals can be indicated by appending -nar (male) or -zan (female)—</w:t>
      </w:r>
      <w:r w:rsidRPr="008F03E5">
        <w:rPr>
          <w:u w:val="single"/>
        </w:rPr>
        <w:t>Sh</w:t>
      </w:r>
      <w:r w:rsidRPr="008F03E5">
        <w:t xml:space="preserve">ír-nar and </w:t>
      </w:r>
      <w:r w:rsidRPr="008F03E5">
        <w:rPr>
          <w:u w:val="single"/>
        </w:rPr>
        <w:t>Sh</w:t>
      </w:r>
      <w:r w:rsidRPr="008F03E5">
        <w:t>ír-zan.</w:t>
      </w:r>
    </w:p>
    <w:p w14:paraId="2134CF3E" w14:textId="77777777" w:rsidR="00625A5B" w:rsidRPr="008F03E5" w:rsidRDefault="00625A5B" w:rsidP="00DE71FD">
      <w:pPr>
        <w:pStyle w:val="Translit"/>
      </w:pPr>
      <w:r w:rsidRPr="008F03E5">
        <w:t>Shiraz</w:t>
      </w:r>
      <w:r w:rsidRPr="008F03E5">
        <w:tab/>
      </w:r>
      <w:r w:rsidRPr="008F03E5">
        <w:rPr>
          <w:u w:val="single"/>
        </w:rPr>
        <w:t>Sh</w:t>
      </w:r>
      <w:r w:rsidRPr="008F03E5">
        <w:t>íráz</w:t>
      </w:r>
      <w:r w:rsidRPr="008F03E5">
        <w:tab/>
        <w:t xml:space="preserve">city in </w:t>
      </w:r>
      <w:r w:rsidRPr="008F03E5">
        <w:rPr>
          <w:sz w:val="16"/>
          <w:szCs w:val="16"/>
        </w:rPr>
        <w:t>SW</w:t>
      </w:r>
      <w:r w:rsidRPr="008F03E5">
        <w:t xml:space="preserve"> Iran</w:t>
      </w:r>
    </w:p>
    <w:p w14:paraId="01FF3B58" w14:textId="77777777" w:rsidR="00625A5B" w:rsidRPr="008F03E5" w:rsidRDefault="00625A5B" w:rsidP="00DE71FD">
      <w:pPr>
        <w:pStyle w:val="Translit"/>
      </w:pPr>
      <w:r w:rsidRPr="008F03E5">
        <w:t>Shirazi</w:t>
      </w:r>
      <w:r w:rsidRPr="008F03E5">
        <w:tab/>
      </w:r>
      <w:r w:rsidRPr="008F03E5">
        <w:rPr>
          <w:u w:val="single"/>
        </w:rPr>
        <w:t>Sh</w:t>
      </w:r>
      <w:r w:rsidRPr="008F03E5">
        <w:t>írází</w:t>
      </w:r>
      <w:r w:rsidRPr="008F03E5">
        <w:tab/>
        <w:t xml:space="preserve">of or from </w:t>
      </w:r>
      <w:r w:rsidRPr="008F03E5">
        <w:rPr>
          <w:u w:val="single"/>
        </w:rPr>
        <w:t>Sh</w:t>
      </w:r>
      <w:r w:rsidRPr="008F03E5">
        <w:t xml:space="preserve">íráz.  Abú-Muḥammad Muṣliḥ ad-Dín bin ‘Abdu’lláh </w:t>
      </w:r>
      <w:r w:rsidRPr="008F03E5">
        <w:rPr>
          <w:u w:val="single"/>
        </w:rPr>
        <w:t>Sh</w:t>
      </w:r>
      <w:r w:rsidRPr="008F03E5">
        <w:t xml:space="preserve">írází, better known by his pen name Sa‘dí, also known as Sa‘dí </w:t>
      </w:r>
      <w:r w:rsidRPr="008F03E5">
        <w:rPr>
          <w:u w:val="single"/>
        </w:rPr>
        <w:t>Shí</w:t>
      </w:r>
      <w:r w:rsidRPr="008F03E5">
        <w:t>rází (c. 1210–1291 or 1292), was a major Persian poet and prose writer of the medieval period.</w:t>
      </w:r>
    </w:p>
    <w:p w14:paraId="37944CD3" w14:textId="77777777" w:rsidR="00625A5B" w:rsidRPr="008F03E5" w:rsidRDefault="00625A5B" w:rsidP="006B4F6C">
      <w:pPr>
        <w:pStyle w:val="Translit"/>
      </w:pPr>
      <w:r w:rsidRPr="008F03E5">
        <w:t>Shir-Gah, Shirgah</w:t>
      </w:r>
      <w:r w:rsidRPr="008F03E5">
        <w:tab/>
      </w:r>
      <w:r w:rsidRPr="008F03E5">
        <w:rPr>
          <w:u w:val="single"/>
        </w:rPr>
        <w:t>Sh</w:t>
      </w:r>
      <w:r w:rsidRPr="008F03E5">
        <w:t xml:space="preserve">ír-Gáh, </w:t>
      </w:r>
      <w:r w:rsidRPr="008F03E5">
        <w:rPr>
          <w:u w:val="single"/>
        </w:rPr>
        <w:t>Sh</w:t>
      </w:r>
      <w:r w:rsidRPr="008F03E5">
        <w:t>írgáh</w:t>
      </w:r>
      <w:r w:rsidRPr="008F03E5">
        <w:tab/>
        <w:t xml:space="preserve">Pers. a village (36.299348, 52.887321) connected with the Mázindarán upheaval (Shrine of </w:t>
      </w:r>
      <w:r w:rsidRPr="008F03E5">
        <w:rPr>
          <w:u w:val="single"/>
        </w:rPr>
        <w:t>Sh</w:t>
      </w:r>
      <w:r w:rsidRPr="008F03E5">
        <w:t>ay</w:t>
      </w:r>
      <w:r w:rsidRPr="008F03E5">
        <w:rPr>
          <w:u w:val="single"/>
        </w:rPr>
        <w:t>kh</w:t>
      </w:r>
      <w:r w:rsidRPr="008F03E5">
        <w:t xml:space="preserve"> Ṭabarsí).  18 km south of Qá’im </w:t>
      </w:r>
      <w:r w:rsidRPr="008F03E5">
        <w:rPr>
          <w:u w:val="single"/>
        </w:rPr>
        <w:t>Sh</w:t>
      </w:r>
      <w:r w:rsidRPr="008F03E5">
        <w:t>ahr.</w:t>
      </w:r>
    </w:p>
    <w:p w14:paraId="4F541AC9" w14:textId="77777777" w:rsidR="00625A5B" w:rsidRPr="008F03E5" w:rsidRDefault="00625A5B" w:rsidP="0021594A">
      <w:pPr>
        <w:pStyle w:val="Translit"/>
        <w:rPr>
          <w:rFonts w:eastAsia="PMingLiU"/>
          <w:lang w:eastAsia="zh-TW"/>
        </w:rPr>
      </w:pPr>
      <w:r w:rsidRPr="008F03E5">
        <w:rPr>
          <w:rFonts w:eastAsia="PMingLiU"/>
          <w:lang w:eastAsia="zh-TW"/>
        </w:rPr>
        <w:t>Shirin</w:t>
      </w:r>
      <w:r w:rsidRPr="008F03E5">
        <w:tab/>
      </w:r>
      <w:r w:rsidRPr="008F03E5">
        <w:rPr>
          <w:u w:val="single"/>
        </w:rPr>
        <w:t>Sh</w:t>
      </w:r>
      <w:r w:rsidRPr="008F03E5">
        <w:rPr>
          <w:rFonts w:eastAsia="PMingLiU"/>
          <w:lang w:eastAsia="zh-TW"/>
        </w:rPr>
        <w:t>írín</w:t>
      </w:r>
      <w:r w:rsidRPr="008F03E5">
        <w:tab/>
        <w:t>Pers. milky, sweet; pleasant, gentle, gracious, affable; delicate; a sweet-meat or confection; an infant at the breast; name of a celebrated lady, the mistress of Farhád</w:t>
      </w:r>
    </w:p>
    <w:p w14:paraId="68948395" w14:textId="77777777" w:rsidR="00625A5B" w:rsidRPr="008F03E5" w:rsidRDefault="00625A5B" w:rsidP="009D2497">
      <w:pPr>
        <w:pStyle w:val="Translit"/>
      </w:pPr>
      <w:r w:rsidRPr="008F03E5">
        <w:t>Shirk, as-Shirk</w:t>
      </w:r>
      <w:r w:rsidRPr="008F03E5">
        <w:tab/>
      </w:r>
      <w:r w:rsidRPr="008F03E5">
        <w:rPr>
          <w:u w:val="single"/>
        </w:rPr>
        <w:t>Sh</w:t>
      </w:r>
      <w:r w:rsidRPr="008F03E5">
        <w:t>irk</w:t>
      </w:r>
      <w:r w:rsidRPr="008F03E5">
        <w:tab/>
        <w:t>polytheism, idolatry; “making partners with God”.  ahl a</w:t>
      </w:r>
      <w:r w:rsidRPr="008F03E5">
        <w:rPr>
          <w:u w:val="single"/>
        </w:rPr>
        <w:t>sh</w:t>
      </w:r>
      <w:r w:rsidRPr="008F03E5">
        <w:t>-</w:t>
      </w:r>
      <w:r w:rsidRPr="008F03E5">
        <w:rPr>
          <w:u w:val="single"/>
        </w:rPr>
        <w:t>Sh</w:t>
      </w:r>
      <w:r w:rsidRPr="008F03E5">
        <w:t>irk:  the polytheists, the idolators</w:t>
      </w:r>
    </w:p>
    <w:p w14:paraId="2488E0EB" w14:textId="77777777" w:rsidR="00625A5B" w:rsidRPr="008F03E5" w:rsidRDefault="00625A5B" w:rsidP="00CB643D">
      <w:pPr>
        <w:pStyle w:val="Translit"/>
      </w:pPr>
      <w:r w:rsidRPr="008F03E5">
        <w:t>Shirka, Shirkat, Sharika, Sharilat</w:t>
      </w:r>
      <w:r w:rsidRPr="008F03E5">
        <w:tab/>
      </w:r>
      <w:r w:rsidRPr="008F03E5">
        <w:rPr>
          <w:u w:val="single"/>
        </w:rPr>
        <w:t>Sh</w:t>
      </w:r>
      <w:r w:rsidRPr="008F03E5">
        <w:t xml:space="preserve">irka[h or t], </w:t>
      </w:r>
      <w:r w:rsidRPr="008F03E5">
        <w:rPr>
          <w:u w:val="single"/>
        </w:rPr>
        <w:t>Sh</w:t>
      </w:r>
      <w:r w:rsidRPr="008F03E5">
        <w:t xml:space="preserve">arika, pl. </w:t>
      </w:r>
      <w:r w:rsidRPr="008F03E5">
        <w:rPr>
          <w:u w:val="single"/>
        </w:rPr>
        <w:t>Sh</w:t>
      </w:r>
      <w:r w:rsidRPr="008F03E5">
        <w:t>irkát</w:t>
      </w:r>
      <w:r w:rsidRPr="008F03E5">
        <w:tab/>
        <w:t>partnership; communion (Christian);—pl. association, companionship; company, corporation (commerce); commercial enterprise (Islamic Law); establishment, firm</w:t>
      </w:r>
    </w:p>
    <w:p w14:paraId="32295F87" w14:textId="77777777" w:rsidR="00625A5B" w:rsidRDefault="00625A5B" w:rsidP="00BD270B">
      <w:pPr>
        <w:pStyle w:val="Translit"/>
        <w:rPr>
          <w:lang w:eastAsia="en-US"/>
        </w:rPr>
      </w:pPr>
      <w:r w:rsidRPr="001457C8">
        <w:rPr>
          <w:rFonts w:eastAsia="PMingLiU"/>
          <w:lang w:val="pl-PL" w:eastAsia="zh-TW"/>
        </w:rPr>
        <w:t>Shirkat-i-Naw-nahalan</w:t>
      </w:r>
      <w:r w:rsidRPr="001457C8">
        <w:rPr>
          <w:lang w:val="pl-PL"/>
        </w:rPr>
        <w:tab/>
      </w:r>
      <w:r w:rsidRPr="001457C8">
        <w:rPr>
          <w:u w:val="single"/>
          <w:lang w:val="pl-PL"/>
        </w:rPr>
        <w:t>Sh</w:t>
      </w:r>
      <w:r w:rsidRPr="001457C8">
        <w:rPr>
          <w:rFonts w:eastAsia="PMingLiU"/>
          <w:lang w:val="pl-PL" w:eastAsia="zh-TW"/>
        </w:rPr>
        <w:t>irk</w:t>
      </w:r>
      <w:r w:rsidRPr="001457C8">
        <w:rPr>
          <w:lang w:val="pl-PL"/>
        </w:rPr>
        <w:t>a</w:t>
      </w:r>
      <w:r w:rsidRPr="001457C8">
        <w:rPr>
          <w:rFonts w:eastAsia="PMingLiU"/>
          <w:lang w:val="pl-PL" w:eastAsia="zh-TW"/>
        </w:rPr>
        <w:t>t-i-Naw-nahálán</w:t>
      </w:r>
      <w:r w:rsidRPr="001457C8">
        <w:rPr>
          <w:lang w:val="pl-PL"/>
        </w:rPr>
        <w:tab/>
        <w:t xml:space="preserve">Pers. </w:t>
      </w:r>
      <w:r w:rsidRPr="008F03E5">
        <w:rPr>
          <w:u w:val="single"/>
        </w:rPr>
        <w:t>Sh</w:t>
      </w:r>
      <w:r w:rsidRPr="008F03E5">
        <w:rPr>
          <w:rFonts w:eastAsia="PMingLiU"/>
          <w:lang w:eastAsia="zh-TW"/>
        </w:rPr>
        <w:t>irk</w:t>
      </w:r>
      <w:r w:rsidRPr="008F03E5">
        <w:t>a</w:t>
      </w:r>
      <w:r w:rsidRPr="008F03E5">
        <w:rPr>
          <w:rFonts w:eastAsia="PMingLiU"/>
          <w:lang w:eastAsia="zh-TW"/>
        </w:rPr>
        <w:t>t-i-Nawnahálán (“</w:t>
      </w:r>
      <w:r w:rsidRPr="008F03E5">
        <w:rPr>
          <w:u w:val="single"/>
        </w:rPr>
        <w:t>Sh</w:t>
      </w:r>
      <w:r w:rsidRPr="008F03E5">
        <w:rPr>
          <w:rFonts w:eastAsia="PMingLiU"/>
          <w:lang w:eastAsia="zh-TW"/>
        </w:rPr>
        <w:t>irk</w:t>
      </w:r>
      <w:r w:rsidRPr="008F03E5">
        <w:t>a</w:t>
      </w:r>
      <w:r w:rsidRPr="008F03E5">
        <w:rPr>
          <w:rFonts w:eastAsia="PMingLiU"/>
          <w:lang w:eastAsia="zh-TW"/>
        </w:rPr>
        <w:t>t-i-Nawnahalan”)</w:t>
      </w:r>
      <w:r w:rsidRPr="008F03E5">
        <w:t xml:space="preserve"> Bahá’í owned commercial investment company—the Bahá’í Children’s Savings Company—began as a savings vehicle for Bahá’í children in Iran in 1917.  The offices were raided in early June 1979:  the assets were frozen and then confiscated.  See </w:t>
      </w:r>
      <w:r w:rsidRPr="008F03E5">
        <w:rPr>
          <w:lang w:eastAsia="en-US"/>
        </w:rPr>
        <w:t>Ma</w:t>
      </w:r>
      <w:r w:rsidRPr="008F03E5">
        <w:t>ḥ</w:t>
      </w:r>
      <w:r w:rsidRPr="008F03E5">
        <w:rPr>
          <w:lang w:eastAsia="en-US"/>
        </w:rPr>
        <w:t>allu’l-Barakah.</w:t>
      </w:r>
    </w:p>
    <w:p w14:paraId="784294CF" w14:textId="77777777" w:rsidR="00625A5B" w:rsidRDefault="00625A5B" w:rsidP="00AD1B9C">
      <w:pPr>
        <w:pStyle w:val="Translit"/>
      </w:pPr>
      <w:r w:rsidRPr="004D3FA0">
        <w:rPr>
          <w:lang w:eastAsia="en-US"/>
        </w:rPr>
        <w:t>Shirkat-i-Umana’</w:t>
      </w:r>
      <w:r w:rsidRPr="004D3FA0">
        <w:rPr>
          <w:lang w:eastAsia="en-US"/>
        </w:rPr>
        <w:tab/>
      </w:r>
      <w:r w:rsidRPr="004D3FA0">
        <w:rPr>
          <w:u w:val="single"/>
        </w:rPr>
        <w:t>Sh</w:t>
      </w:r>
      <w:r w:rsidRPr="004D3FA0">
        <w:t>irkat-i-Umaná’</w:t>
      </w:r>
      <w:r w:rsidRPr="004D3FA0">
        <w:tab/>
      </w:r>
      <w:r>
        <w:t>“</w:t>
      </w:r>
      <w:r w:rsidRPr="004D3FA0">
        <w:t>Company of Trustees”</w:t>
      </w:r>
      <w:r>
        <w:t xml:space="preserve">.  Name of the Iranian </w:t>
      </w:r>
      <w:r w:rsidRPr="004D3FA0">
        <w:t xml:space="preserve">Bahá’í company established to serve as the registered owner of all properties </w:t>
      </w:r>
      <w:r>
        <w:t xml:space="preserve">in Iran </w:t>
      </w:r>
      <w:r w:rsidRPr="004D3FA0">
        <w:t xml:space="preserve">belonging to the Bahá’í community in </w:t>
      </w:r>
      <w:r>
        <w:t>November 1957 following the death of Shoghi Effendi.  A</w:t>
      </w:r>
      <w:r w:rsidRPr="004D3FA0">
        <w:t xml:space="preserve">ll assets and properties </w:t>
      </w:r>
      <w:r>
        <w:t>were seized by the government in</w:t>
      </w:r>
      <w:r w:rsidRPr="004D3FA0">
        <w:t xml:space="preserve"> March 1979</w:t>
      </w:r>
      <w:r>
        <w:t>.</w:t>
      </w:r>
    </w:p>
    <w:p w14:paraId="2D53B014" w14:textId="77777777" w:rsidR="00625A5B" w:rsidRPr="008F03E5" w:rsidRDefault="00625A5B" w:rsidP="004D3FA0">
      <w:pPr>
        <w:pStyle w:val="Translit"/>
      </w:pPr>
      <w:r w:rsidRPr="008F03E5">
        <w:t>Shir-Mard</w:t>
      </w:r>
      <w:r w:rsidRPr="008F03E5">
        <w:tab/>
      </w:r>
      <w:r w:rsidRPr="008F03E5">
        <w:rPr>
          <w:u w:val="single"/>
        </w:rPr>
        <w:t>Sh</w:t>
      </w:r>
      <w:r w:rsidRPr="008F03E5">
        <w:t>ír-Mard</w:t>
      </w:r>
      <w:r w:rsidRPr="008F03E5">
        <w:tab/>
        <w:t>Pers. “lion of a man”, name given to Ustád Javán-Mard by Bahá’u’lláh</w:t>
      </w:r>
    </w:p>
    <w:p w14:paraId="7E96B1E0" w14:textId="77777777" w:rsidR="00625A5B" w:rsidRPr="008F03E5" w:rsidRDefault="00625A5B" w:rsidP="00E173B7">
      <w:pPr>
        <w:pStyle w:val="Translit"/>
      </w:pPr>
      <w:r w:rsidRPr="008F03E5">
        <w:t>Shiruya (Shiruyih)</w:t>
      </w:r>
      <w:r w:rsidRPr="008F03E5">
        <w:tab/>
      </w:r>
      <w:r w:rsidRPr="008F03E5">
        <w:rPr>
          <w:u w:val="single"/>
        </w:rPr>
        <w:t>Sh</w:t>
      </w:r>
      <w:r w:rsidRPr="008F03E5">
        <w:t>írúya (</w:t>
      </w:r>
      <w:r w:rsidRPr="008F03E5">
        <w:rPr>
          <w:u w:val="single"/>
        </w:rPr>
        <w:t>Sh</w:t>
      </w:r>
      <w:r w:rsidRPr="008F03E5">
        <w:t>írúyih)</w:t>
      </w:r>
      <w:r w:rsidRPr="008F03E5">
        <w:tab/>
        <w:t xml:space="preserve">Kavadh </w:t>
      </w:r>
      <w:r w:rsidRPr="008F03E5">
        <w:rPr>
          <w:sz w:val="16"/>
          <w:szCs w:val="16"/>
        </w:rPr>
        <w:t>II</w:t>
      </w:r>
      <w:r w:rsidRPr="008F03E5">
        <w:t xml:space="preserve"> (Kawád or Qabád), was king of the Sasanian Empire briefly in 628.  He was the son of Khosrau </w:t>
      </w:r>
      <w:r w:rsidRPr="008F03E5">
        <w:rPr>
          <w:sz w:val="16"/>
          <w:szCs w:val="16"/>
        </w:rPr>
        <w:t>II</w:t>
      </w:r>
      <w:r w:rsidRPr="008F03E5">
        <w:t xml:space="preserve"> (590–628).  He became king after orchestrating a </w:t>
      </w:r>
      <w:r w:rsidRPr="008F03E5">
        <w:rPr>
          <w:i/>
          <w:iCs/>
        </w:rPr>
        <w:t>coup d’état</w:t>
      </w:r>
      <w:r w:rsidRPr="008F03E5">
        <w:t xml:space="preserve"> against his father.</w:t>
      </w:r>
    </w:p>
    <w:p w14:paraId="7632CA92" w14:textId="77777777" w:rsidR="00625A5B" w:rsidRPr="008F03E5" w:rsidRDefault="00625A5B" w:rsidP="00A73EED">
      <w:pPr>
        <w:pStyle w:val="Translit"/>
      </w:pPr>
      <w:r w:rsidRPr="008F03E5">
        <w:t>Shirwan, Shirvan</w:t>
      </w:r>
      <w:r w:rsidRPr="008F03E5">
        <w:tab/>
      </w:r>
      <w:r w:rsidRPr="008F03E5">
        <w:rPr>
          <w:u w:val="single"/>
        </w:rPr>
        <w:t>Sh</w:t>
      </w:r>
      <w:r w:rsidRPr="008F03E5">
        <w:t xml:space="preserve">írwán, </w:t>
      </w:r>
      <w:r w:rsidRPr="008F03E5">
        <w:rPr>
          <w:u w:val="single"/>
        </w:rPr>
        <w:t>Sh</w:t>
      </w:r>
      <w:r w:rsidRPr="008F03E5">
        <w:t>írván</w:t>
      </w:r>
      <w:r w:rsidRPr="008F03E5">
        <w:tab/>
        <w:t xml:space="preserve">city (60 km </w:t>
      </w:r>
      <w:r w:rsidRPr="008F03E5">
        <w:rPr>
          <w:sz w:val="16"/>
          <w:szCs w:val="16"/>
        </w:rPr>
        <w:t>NE</w:t>
      </w:r>
      <w:r w:rsidRPr="008F03E5">
        <w:t xml:space="preserve"> Qú</w:t>
      </w:r>
      <w:r w:rsidRPr="008F03E5">
        <w:rPr>
          <w:u w:val="single"/>
        </w:rPr>
        <w:t>ch</w:t>
      </w:r>
      <w:r w:rsidRPr="008F03E5">
        <w:t xml:space="preserve">án) and county in north </w:t>
      </w:r>
      <w:r w:rsidRPr="008F03E5">
        <w:rPr>
          <w:u w:val="single"/>
        </w:rPr>
        <w:t>Kh</w:t>
      </w:r>
      <w:r w:rsidRPr="008F03E5">
        <w:t>urásán, Írán</w:t>
      </w:r>
    </w:p>
    <w:p w14:paraId="159227F8" w14:textId="77777777" w:rsidR="00625A5B" w:rsidRPr="008F03E5" w:rsidRDefault="00625A5B" w:rsidP="00AD6DDD">
      <w:pPr>
        <w:pStyle w:val="Translit"/>
      </w:pPr>
      <w:r w:rsidRPr="008F03E5">
        <w:t>Shishavan, Shishaven</w:t>
      </w:r>
      <w:r w:rsidRPr="008F03E5">
        <w:tab/>
      </w:r>
      <w:r w:rsidRPr="008F03E5">
        <w:rPr>
          <w:u w:val="single"/>
        </w:rPr>
        <w:t>Sh</w:t>
      </w:r>
      <w:r w:rsidRPr="008F03E5">
        <w:t>í</w:t>
      </w:r>
      <w:r w:rsidRPr="008F03E5">
        <w:rPr>
          <w:u w:val="single"/>
        </w:rPr>
        <w:t>sh</w:t>
      </w:r>
      <w:r w:rsidRPr="008F03E5">
        <w:t>aván</w:t>
      </w:r>
      <w:r w:rsidRPr="008F03E5">
        <w:tab/>
        <w:t>village 73 km east of Urmia (on the opposite side of the lake), in Á</w:t>
      </w:r>
      <w:r w:rsidRPr="008F03E5">
        <w:rPr>
          <w:u w:val="single"/>
        </w:rPr>
        <w:t>dh</w:t>
      </w:r>
      <w:r w:rsidRPr="008F03E5">
        <w:rPr>
          <w:rFonts w:eastAsia="PMingLiU"/>
          <w:lang w:eastAsia="zh-TW"/>
        </w:rPr>
        <w:t>arb</w:t>
      </w:r>
      <w:r w:rsidRPr="008F03E5">
        <w:t>á</w:t>
      </w:r>
      <w:r w:rsidRPr="008F03E5">
        <w:rPr>
          <w:rFonts w:eastAsia="PMingLiU"/>
          <w:lang w:eastAsia="zh-TW"/>
        </w:rPr>
        <w:t>yj</w:t>
      </w:r>
      <w:r w:rsidRPr="008F03E5">
        <w:t>á</w:t>
      </w:r>
      <w:r w:rsidRPr="008F03E5">
        <w:rPr>
          <w:rFonts w:eastAsia="PMingLiU"/>
          <w:lang w:eastAsia="zh-TW"/>
        </w:rPr>
        <w:t xml:space="preserve">n Province, western </w:t>
      </w:r>
      <w:r w:rsidRPr="008F03E5">
        <w:t>Í</w:t>
      </w:r>
      <w:r w:rsidRPr="008F03E5">
        <w:rPr>
          <w:rFonts w:eastAsia="PMingLiU"/>
          <w:lang w:eastAsia="zh-TW"/>
        </w:rPr>
        <w:t>r</w:t>
      </w:r>
      <w:r w:rsidRPr="008F03E5">
        <w:t>á</w:t>
      </w:r>
      <w:r w:rsidRPr="008F03E5">
        <w:rPr>
          <w:rFonts w:eastAsia="PMingLiU"/>
          <w:lang w:eastAsia="zh-TW"/>
        </w:rPr>
        <w:t>n</w:t>
      </w:r>
    </w:p>
    <w:p w14:paraId="23142259" w14:textId="77777777" w:rsidR="00625A5B" w:rsidRPr="008F03E5" w:rsidRDefault="00625A5B" w:rsidP="003749C9">
      <w:pPr>
        <w:pStyle w:val="Translit"/>
      </w:pPr>
      <w:r w:rsidRPr="008F03E5">
        <w:t>Shishiqa, Shaqashiq</w:t>
      </w:r>
      <w:r w:rsidRPr="008F03E5">
        <w:tab/>
      </w:r>
      <w:r w:rsidRPr="008F03E5">
        <w:rPr>
          <w:u w:val="single"/>
        </w:rPr>
        <w:t>Sh</w:t>
      </w:r>
      <w:r w:rsidRPr="008F03E5">
        <w:t>iq</w:t>
      </w:r>
      <w:r w:rsidRPr="008F03E5">
        <w:rPr>
          <w:u w:val="single"/>
        </w:rPr>
        <w:t>sh</w:t>
      </w:r>
      <w:r w:rsidRPr="008F03E5">
        <w:t xml:space="preserve">iqa, pl. </w:t>
      </w:r>
      <w:r w:rsidRPr="008F03E5">
        <w:rPr>
          <w:u w:val="single"/>
        </w:rPr>
        <w:t>Sh</w:t>
      </w:r>
      <w:r w:rsidRPr="008F03E5">
        <w:t>aq</w:t>
      </w:r>
      <w:r w:rsidRPr="008F03E5">
        <w:rPr>
          <w:u w:val="single"/>
        </w:rPr>
        <w:t>sh</w:t>
      </w:r>
      <w:r w:rsidRPr="008F03E5">
        <w:t>iq</w:t>
      </w:r>
      <w:r w:rsidRPr="008F03E5">
        <w:tab/>
        <w:t>faucal (throat) bag of the camel</w:t>
      </w:r>
    </w:p>
    <w:p w14:paraId="56766E39" w14:textId="77777777" w:rsidR="00625A5B" w:rsidRPr="008F03E5" w:rsidRDefault="00625A5B" w:rsidP="00AA1576">
      <w:pPr>
        <w:pStyle w:val="Translit"/>
      </w:pPr>
      <w:r w:rsidRPr="008F03E5">
        <w:t>Shishman</w:t>
      </w:r>
      <w:r w:rsidRPr="008F03E5">
        <w:tab/>
      </w:r>
      <w:r w:rsidRPr="008F03E5">
        <w:rPr>
          <w:u w:val="single"/>
        </w:rPr>
        <w:t>Sh</w:t>
      </w:r>
      <w:r w:rsidRPr="008F03E5">
        <w:t>í</w:t>
      </w:r>
      <w:r w:rsidRPr="008F03E5">
        <w:rPr>
          <w:u w:val="single"/>
        </w:rPr>
        <w:t>sh</w:t>
      </w:r>
      <w:r w:rsidRPr="008F03E5">
        <w:t>mán, Dr</w:t>
      </w:r>
      <w:r w:rsidRPr="008F03E5">
        <w:tab/>
      </w:r>
    </w:p>
    <w:p w14:paraId="186F5BE6" w14:textId="77777777" w:rsidR="00625A5B" w:rsidRPr="008F03E5" w:rsidRDefault="00625A5B" w:rsidP="000C0772">
      <w:pPr>
        <w:pStyle w:val="Translit"/>
      </w:pPr>
      <w:r w:rsidRPr="008F03E5">
        <w:t>Shita’, Ashtiya, Shutiy</w:t>
      </w:r>
      <w:r w:rsidRPr="008F03E5">
        <w:tab/>
      </w:r>
      <w:r w:rsidRPr="008F03E5">
        <w:rPr>
          <w:u w:val="single"/>
        </w:rPr>
        <w:t>Sh</w:t>
      </w:r>
      <w:r w:rsidRPr="008F03E5">
        <w:t>itá’, pl. A</w:t>
      </w:r>
      <w:r w:rsidRPr="008F03E5">
        <w:rPr>
          <w:u w:val="single"/>
        </w:rPr>
        <w:t>sh</w:t>
      </w:r>
      <w:r w:rsidRPr="008F03E5">
        <w:t xml:space="preserve">tiya, </w:t>
      </w:r>
      <w:r w:rsidRPr="008F03E5">
        <w:rPr>
          <w:u w:val="single"/>
        </w:rPr>
        <w:t>Sh</w:t>
      </w:r>
      <w:r w:rsidRPr="008F03E5">
        <w:t>utíy</w:t>
      </w:r>
      <w:r w:rsidRPr="008F03E5">
        <w:tab/>
        <w:t>winter; rains, rainy season</w:t>
      </w:r>
    </w:p>
    <w:p w14:paraId="03253C35" w14:textId="77777777" w:rsidR="00625A5B" w:rsidRPr="008F03E5" w:rsidRDefault="00625A5B" w:rsidP="000C0772">
      <w:pPr>
        <w:pStyle w:val="Translit"/>
      </w:pPr>
      <w:r w:rsidRPr="008F03E5">
        <w:t>Shitranj, Shatranj</w:t>
      </w:r>
      <w:r w:rsidRPr="008F03E5">
        <w:tab/>
      </w:r>
      <w:r w:rsidRPr="008F03E5">
        <w:rPr>
          <w:u w:val="single"/>
        </w:rPr>
        <w:t>Sh</w:t>
      </w:r>
      <w:r w:rsidRPr="008F03E5">
        <w:t xml:space="preserve">iṭranj, </w:t>
      </w:r>
      <w:r w:rsidRPr="008F03E5">
        <w:rPr>
          <w:u w:val="single"/>
        </w:rPr>
        <w:t>Sh</w:t>
      </w:r>
      <w:r w:rsidRPr="008F03E5">
        <w:t>aṭranj</w:t>
      </w:r>
      <w:r w:rsidRPr="008F03E5">
        <w:tab/>
        <w:t>chess</w:t>
      </w:r>
    </w:p>
    <w:p w14:paraId="468372D4" w14:textId="77777777" w:rsidR="00625A5B" w:rsidRDefault="00625A5B" w:rsidP="00BA1935">
      <w:pPr>
        <w:pStyle w:val="Translit"/>
      </w:pPr>
      <w:r w:rsidRPr="008F03E5">
        <w:t>Shiwa, Shiva</w:t>
      </w:r>
      <w:r w:rsidRPr="008F03E5">
        <w:tab/>
      </w:r>
      <w:r w:rsidRPr="008F03E5">
        <w:rPr>
          <w:u w:val="single"/>
        </w:rPr>
        <w:t>Sh</w:t>
      </w:r>
      <w:r w:rsidRPr="008F03E5">
        <w:t>íwá (</w:t>
      </w:r>
      <w:r w:rsidRPr="008F03E5">
        <w:rPr>
          <w:u w:val="single"/>
        </w:rPr>
        <w:t>Sh</w:t>
      </w:r>
      <w:r w:rsidRPr="008F03E5">
        <w:t>ívá)</w:t>
      </w:r>
      <w:r w:rsidRPr="008F03E5">
        <w:tab/>
        <w:t xml:space="preserve">Pers. eloquent.  Mrs </w:t>
      </w:r>
      <w:r w:rsidRPr="008F03E5">
        <w:rPr>
          <w:u w:val="single"/>
        </w:rPr>
        <w:t>Sh</w:t>
      </w:r>
      <w:r w:rsidRPr="008F03E5">
        <w:t>ívá Maḥmúdí Asadu’lláhzádih</w:t>
      </w:r>
      <w:r>
        <w:t>.</w:t>
      </w:r>
    </w:p>
    <w:p w14:paraId="3BD903FD" w14:textId="77777777" w:rsidR="00625A5B" w:rsidRPr="008F03E5" w:rsidRDefault="00625A5B" w:rsidP="006B62CE">
      <w:pPr>
        <w:pStyle w:val="Translit"/>
      </w:pPr>
      <w:r>
        <w:t>Shiwah (Shivah, Shivih)</w:t>
      </w:r>
      <w:r>
        <w:tab/>
      </w:r>
      <w:r w:rsidRPr="006B62CE">
        <w:rPr>
          <w:u w:val="single"/>
        </w:rPr>
        <w:t>Sh</w:t>
      </w:r>
      <w:r w:rsidRPr="006B62CE">
        <w:t>í</w:t>
      </w:r>
      <w:r>
        <w:t>wah</w:t>
      </w:r>
      <w:r>
        <w:tab/>
        <w:t>Pers. manner</w:t>
      </w:r>
    </w:p>
    <w:p w14:paraId="0F7ACAA5" w14:textId="77777777" w:rsidR="00625A5B" w:rsidRPr="008F03E5" w:rsidRDefault="00625A5B" w:rsidP="00C377C7">
      <w:pPr>
        <w:pStyle w:val="Translit"/>
      </w:pPr>
      <w:r w:rsidRPr="008F03E5">
        <w:t>Shiyakha</w:t>
      </w:r>
      <w:r w:rsidRPr="008F03E5">
        <w:tab/>
      </w:r>
      <w:r w:rsidRPr="008F03E5">
        <w:rPr>
          <w:u w:val="single"/>
        </w:rPr>
        <w:t>Sh</w:t>
      </w:r>
      <w:r w:rsidRPr="008F03E5">
        <w:t>iyá</w:t>
      </w:r>
      <w:r w:rsidRPr="006B62CE">
        <w:rPr>
          <w:u w:val="single"/>
        </w:rPr>
        <w:t>kh</w:t>
      </w:r>
      <w:r w:rsidRPr="008F03E5">
        <w:t>a</w:t>
      </w:r>
      <w:r>
        <w:t>[h or t]</w:t>
      </w:r>
      <w:r w:rsidRPr="008F03E5">
        <w:tab/>
        <w:t>position, or dignity, of a sheik</w:t>
      </w:r>
    </w:p>
    <w:p w14:paraId="74BCC539" w14:textId="77777777" w:rsidR="00625A5B" w:rsidRPr="008F03E5" w:rsidRDefault="00625A5B" w:rsidP="0013737A">
      <w:pPr>
        <w:pStyle w:val="Translit"/>
      </w:pPr>
      <w:r w:rsidRPr="008F03E5">
        <w:rPr>
          <w:rFonts w:eastAsia="Times New Roman"/>
        </w:rPr>
        <w:t>Shiyan, Shayan</w:t>
      </w:r>
      <w:r w:rsidRPr="008F03E5">
        <w:rPr>
          <w:rFonts w:eastAsia="Times New Roman"/>
        </w:rPr>
        <w:tab/>
      </w:r>
      <w:r w:rsidRPr="008F03E5">
        <w:rPr>
          <w:rFonts w:eastAsia="Times New Roman"/>
          <w:u w:val="single"/>
        </w:rPr>
        <w:t>Sh</w:t>
      </w:r>
      <w:r w:rsidRPr="008F03E5">
        <w:rPr>
          <w:rFonts w:eastAsia="Times New Roman"/>
        </w:rPr>
        <w:t xml:space="preserve">iyán, </w:t>
      </w:r>
      <w:r w:rsidRPr="008F03E5">
        <w:rPr>
          <w:rFonts w:eastAsia="Times New Roman"/>
          <w:u w:val="single"/>
        </w:rPr>
        <w:t>Sh</w:t>
      </w:r>
      <w:r w:rsidRPr="008F03E5">
        <w:rPr>
          <w:rFonts w:eastAsia="Times New Roman"/>
        </w:rPr>
        <w:t>ayán</w:t>
      </w:r>
      <w:r w:rsidRPr="008F03E5">
        <w:rPr>
          <w:rFonts w:eastAsia="Times New Roman"/>
        </w:rPr>
        <w:tab/>
        <w:t>Pers. a recompense, good or evil.</w:t>
      </w:r>
    </w:p>
    <w:p w14:paraId="08E71F23" w14:textId="77777777" w:rsidR="00625A5B" w:rsidRPr="008F03E5" w:rsidRDefault="00625A5B" w:rsidP="002D7D54">
      <w:pPr>
        <w:pStyle w:val="Translit"/>
      </w:pPr>
      <w:r w:rsidRPr="00677A95">
        <w:t>Shoghi Effendi Rabbani</w:t>
      </w:r>
      <w:r w:rsidRPr="00677A95">
        <w:tab/>
        <w:t>Shoghi Effendi Rabbání</w:t>
      </w:r>
      <w:r w:rsidRPr="00677A95">
        <w:tab/>
      </w:r>
      <w:r w:rsidRPr="008F03E5">
        <w:rPr>
          <w:u w:val="single"/>
        </w:rPr>
        <w:t>Sh</w:t>
      </w:r>
      <w:r w:rsidRPr="008F03E5">
        <w:t>awqí Afandí Rabbání</w:t>
      </w:r>
      <w:r>
        <w:t>,</w:t>
      </w:r>
      <w:r w:rsidRPr="00677A95">
        <w:t xml:space="preserve"> 1 Mar 1897–4 Nov 1957.  </w:t>
      </w:r>
      <w:r w:rsidRPr="008F03E5">
        <w:t>‘Abdu’l-Bahá</w:t>
      </w:r>
      <w:r>
        <w:t xml:space="preserve"> named him </w:t>
      </w:r>
      <w:r w:rsidRPr="008F03E5">
        <w:rPr>
          <w:u w:val="single"/>
        </w:rPr>
        <w:t>Sh</w:t>
      </w:r>
      <w:r w:rsidRPr="008F03E5">
        <w:t xml:space="preserve">awqí and He ordered that everyone add the title </w:t>
      </w:r>
      <w:r>
        <w:t>Afandí (“</w:t>
      </w:r>
      <w:r w:rsidRPr="008F03E5">
        <w:t>Effendi”</w:t>
      </w:r>
      <w:r>
        <w:t>)</w:t>
      </w:r>
      <w:r w:rsidRPr="008F03E5">
        <w:t xml:space="preserve"> after his name—he was not to be called </w:t>
      </w:r>
      <w:r w:rsidRPr="008F03E5">
        <w:rPr>
          <w:u w:val="single"/>
        </w:rPr>
        <w:t>Sh</w:t>
      </w:r>
      <w:r w:rsidRPr="008F03E5">
        <w:t xml:space="preserve">awqí!  Contrast this with his humility in signing himself as Shoghi.  </w:t>
      </w:r>
      <w:r>
        <w:t xml:space="preserve">After extensive trials, he chose to transcript </w:t>
      </w:r>
      <w:r w:rsidRPr="008F03E5">
        <w:rPr>
          <w:u w:val="single"/>
        </w:rPr>
        <w:t>Sh</w:t>
      </w:r>
      <w:r w:rsidRPr="008F03E5">
        <w:t>awqí</w:t>
      </w:r>
      <w:r>
        <w:t xml:space="preserve"> as Shoghi. </w:t>
      </w:r>
      <w:r w:rsidRPr="008F03E5">
        <w:t xml:space="preserve"> ‘Abdu’l-Bahá gave him the surname Rabbání in the early years of his study in Haifa so that he w</w:t>
      </w:r>
      <w:r>
        <w:t>ould</w:t>
      </w:r>
      <w:r w:rsidRPr="008F03E5">
        <w:t xml:space="preserve"> not be confused with his cousins, who are all called Afnán.  Described by ‘Abdu’l-Bahá in His Will and Testament as “the sign of God [Áyatu’lláh], the chosen branch [</w:t>
      </w:r>
      <w:r w:rsidRPr="008F03E5">
        <w:rPr>
          <w:u w:val="single"/>
        </w:rPr>
        <w:t>Gh</w:t>
      </w:r>
      <w:r w:rsidRPr="008F03E5">
        <w:t xml:space="preserve">uṣn-i-Mumtáz], the Guardian of the Cause of God ….”  Son of Ḍíyá’íyyih </w:t>
      </w:r>
      <w:r w:rsidRPr="008F03E5">
        <w:rPr>
          <w:u w:val="single"/>
        </w:rPr>
        <w:t>Kh</w:t>
      </w:r>
      <w:r w:rsidRPr="008F03E5">
        <w:t>ánum (</w:t>
      </w:r>
      <w:r>
        <w:t xml:space="preserve">a </w:t>
      </w:r>
      <w:r w:rsidRPr="008F03E5">
        <w:t>daughter of ‘Abdu’l-Bahá, 1</w:t>
      </w:r>
      <w:r>
        <w:t>8</w:t>
      </w:r>
      <w:r w:rsidRPr="008F03E5">
        <w:t xml:space="preserve">74–1951) and Mírzá Hádí </w:t>
      </w:r>
      <w:r w:rsidRPr="008F03E5">
        <w:rPr>
          <w:u w:val="single"/>
        </w:rPr>
        <w:t>Sh</w:t>
      </w:r>
      <w:r w:rsidRPr="008F03E5">
        <w:t>írází Afnán (a relative of the Báb, 1864–1955)—married 1</w:t>
      </w:r>
      <w:r>
        <w:t>8</w:t>
      </w:r>
      <w:r w:rsidRPr="008F03E5">
        <w:t>9</w:t>
      </w:r>
      <w:r>
        <w:t>6</w:t>
      </w:r>
      <w:r w:rsidRPr="008F03E5">
        <w:t xml:space="preserve">.  His 36 year (1921–1957) earthly term as Guardian was longer than the ministries of Muḥammad (≈ 20), the Báb (≈ 6), Bahá’u’lláh (≈ 29) and ‘Abdu’l-Bahá (≈ 29).  </w:t>
      </w:r>
      <w:r>
        <w:t>He inherited a Persian I</w:t>
      </w:r>
      <w:r w:rsidRPr="004E469A">
        <w:t>ṣ</w:t>
      </w:r>
      <w:r>
        <w:t>fahání</w:t>
      </w:r>
      <w:r w:rsidRPr="008F03E5">
        <w:t xml:space="preserve"> </w:t>
      </w:r>
      <w:r>
        <w:t xml:space="preserve">dialect from his grandmother, </w:t>
      </w:r>
      <w:r w:rsidRPr="008F03E5">
        <w:t xml:space="preserve">Munírih </w:t>
      </w:r>
      <w:r w:rsidRPr="008F03E5">
        <w:rPr>
          <w:u w:val="single"/>
        </w:rPr>
        <w:t>Kh</w:t>
      </w:r>
      <w:r w:rsidRPr="008F03E5">
        <w:t>ánum</w:t>
      </w:r>
      <w:r>
        <w:t>, and his mother.  Hence his use of -ih and –iyya (“-</w:t>
      </w:r>
      <w:r w:rsidRPr="00D62897">
        <w:t>í</w:t>
      </w:r>
      <w:r>
        <w:t xml:space="preserve">yya”) transcription endings.  </w:t>
      </w:r>
      <w:r w:rsidRPr="008F03E5">
        <w:t xml:space="preserve">See </w:t>
      </w:r>
      <w:r w:rsidRPr="008F03E5">
        <w:rPr>
          <w:u w:val="single"/>
        </w:rPr>
        <w:t>Sh</w:t>
      </w:r>
      <w:r w:rsidRPr="008F03E5">
        <w:t>awqí, Afandí and Rabbání.</w:t>
      </w:r>
    </w:p>
    <w:p w14:paraId="25A225C2" w14:textId="77777777" w:rsidR="00625A5B" w:rsidRPr="008F03E5" w:rsidRDefault="00625A5B" w:rsidP="0026649E">
      <w:pPr>
        <w:pStyle w:val="Translit"/>
      </w:pPr>
      <w:r w:rsidRPr="008F03E5">
        <w:t>Shrine of the Bab doors</w:t>
      </w:r>
      <w:r w:rsidRPr="008F03E5">
        <w:tab/>
        <w:t>Shrine of the Báb doors</w:t>
      </w:r>
      <w:r w:rsidRPr="008F03E5">
        <w:tab/>
        <w:t>Báb-i-Amín, Báb-i-Faḍl, Báb-i-A</w:t>
      </w:r>
      <w:r w:rsidRPr="008F03E5">
        <w:rPr>
          <w:u w:val="single"/>
        </w:rPr>
        <w:t>sh</w:t>
      </w:r>
      <w:r w:rsidRPr="008F03E5">
        <w:t>raf, Báb-i-Bálá, Báb-i-Karím, Báb-i-Qaṣṣáb</w:t>
      </w:r>
      <w:r w:rsidRPr="008F03E5">
        <w:rPr>
          <w:u w:val="single"/>
        </w:rPr>
        <w:t>ch</w:t>
      </w:r>
      <w:r w:rsidRPr="008F03E5">
        <w:t>í, Báb-i-Maxwell, Báb-i-Giachery, and Báb-i-Ioas</w:t>
      </w:r>
    </w:p>
    <w:p w14:paraId="588F451D" w14:textId="77777777" w:rsidR="00625A5B" w:rsidRPr="008F03E5" w:rsidRDefault="00625A5B" w:rsidP="00B43A10">
      <w:pPr>
        <w:pStyle w:val="Translit"/>
      </w:pPr>
      <w:r w:rsidRPr="008F03E5">
        <w:t>Shu’a’, Ashi’a</w:t>
      </w:r>
      <w:r w:rsidRPr="008F03E5">
        <w:tab/>
      </w:r>
      <w:r w:rsidRPr="008F03E5">
        <w:rPr>
          <w:u w:val="single"/>
        </w:rPr>
        <w:t>Sh</w:t>
      </w:r>
      <w:r w:rsidRPr="008F03E5">
        <w:t>u‘á‘ (collective), pl. A</w:t>
      </w:r>
      <w:r w:rsidRPr="008F03E5">
        <w:rPr>
          <w:u w:val="single"/>
        </w:rPr>
        <w:t>sh</w:t>
      </w:r>
      <w:r w:rsidRPr="008F03E5">
        <w:t>i‘a[h or t]</w:t>
      </w:r>
      <w:r w:rsidRPr="008F03E5">
        <w:tab/>
        <w:t>rays, beams, sun beams; spokes; horizontal wooden crosspieces (on a door or window)</w:t>
      </w:r>
    </w:p>
    <w:p w14:paraId="0B5B47E0" w14:textId="77777777" w:rsidR="00625A5B" w:rsidRPr="008F03E5" w:rsidRDefault="00625A5B" w:rsidP="004332AB">
      <w:pPr>
        <w:pStyle w:val="Translit"/>
      </w:pPr>
      <w:r w:rsidRPr="008F03E5">
        <w:t>Shu’a’u’llah</w:t>
      </w:r>
      <w:r w:rsidRPr="008F03E5">
        <w:tab/>
      </w:r>
      <w:r w:rsidRPr="008F03E5">
        <w:rPr>
          <w:u w:val="single"/>
        </w:rPr>
        <w:t>Sh</w:t>
      </w:r>
      <w:r w:rsidRPr="008F03E5">
        <w:t>u‘á‘u’lláh</w:t>
      </w:r>
      <w:r w:rsidRPr="008F03E5">
        <w:tab/>
        <w:t xml:space="preserve">Light of God.  Mírzá </w:t>
      </w:r>
      <w:r w:rsidRPr="008F03E5">
        <w:rPr>
          <w:u w:val="single"/>
        </w:rPr>
        <w:t>Sh</w:t>
      </w:r>
      <w:r w:rsidRPr="008F03E5">
        <w:t>u‘á‘u’lláh Bahá’í, son of Mírzá Muḥammad ‘Alí, ‘Abdu’l-Bahá’s half-brother</w:t>
      </w:r>
    </w:p>
    <w:p w14:paraId="47E103CA" w14:textId="77777777" w:rsidR="00625A5B" w:rsidRPr="008F03E5" w:rsidRDefault="00625A5B" w:rsidP="00FF2335">
      <w:pPr>
        <w:pStyle w:val="Translit"/>
      </w:pPr>
      <w:r w:rsidRPr="008F03E5">
        <w:t>Shu’ayb (Shu’aib, Shuaib, Shoaib, Shoeb)</w:t>
      </w:r>
      <w:r w:rsidRPr="008F03E5">
        <w:tab/>
      </w:r>
      <w:r w:rsidRPr="008F03E5">
        <w:rPr>
          <w:u w:val="single"/>
        </w:rPr>
        <w:t>Sh</w:t>
      </w:r>
      <w:r w:rsidRPr="008F03E5">
        <w:t>u‘ayb</w:t>
      </w:r>
      <w:r w:rsidRPr="008F03E5">
        <w:tab/>
        <w:t>(“who shows the right path”) was an ancient Midianite prophet, sometimes identified with the Biblical Jethro.  Mentioned 11 times in the Qur’án.</w:t>
      </w:r>
    </w:p>
    <w:p w14:paraId="1E5B24B1" w14:textId="77777777" w:rsidR="00625A5B" w:rsidRPr="008F03E5" w:rsidRDefault="00625A5B" w:rsidP="00326D55">
      <w:pPr>
        <w:pStyle w:val="Translit"/>
      </w:pPr>
      <w:r w:rsidRPr="008F03E5">
        <w:t>Shu’ubiya, Shu’ubiyya</w:t>
      </w:r>
      <w:r w:rsidRPr="008F03E5">
        <w:tab/>
      </w:r>
      <w:r w:rsidRPr="008F03E5">
        <w:rPr>
          <w:u w:val="single"/>
        </w:rPr>
        <w:t>Sh</w:t>
      </w:r>
      <w:r w:rsidRPr="008F03E5">
        <w:t xml:space="preserve">u‘úbíya[h], Pers. </w:t>
      </w:r>
      <w:r w:rsidRPr="008F03E5">
        <w:rPr>
          <w:u w:val="single"/>
        </w:rPr>
        <w:t>Sh</w:t>
      </w:r>
      <w:r w:rsidRPr="008F03E5">
        <w:t>u‘úbíyya[h]</w:t>
      </w:r>
      <w:r w:rsidRPr="008F03E5">
        <w:tab/>
        <w:t>a</w:t>
      </w:r>
      <w:r w:rsidRPr="008F03E5">
        <w:rPr>
          <w:u w:val="single"/>
        </w:rPr>
        <w:t>sh</w:t>
      </w:r>
      <w:r w:rsidRPr="008F03E5">
        <w:t>-</w:t>
      </w:r>
      <w:r w:rsidRPr="008F03E5">
        <w:rPr>
          <w:u w:val="single"/>
        </w:rPr>
        <w:t>Sh</w:t>
      </w:r>
      <w:r w:rsidRPr="008F03E5">
        <w:t>u‘úbíya[h], a movement, chiefly literary, within the early Islamic commonwealth of nations that refused to recognize the privileged position of the Arabs, which aimed at denigrating the Arabs and glorifying non-Arabs, particularly the Persians.  Derived from mention of “nations” (</w:t>
      </w:r>
      <w:r w:rsidRPr="008F03E5">
        <w:rPr>
          <w:u w:val="single"/>
        </w:rPr>
        <w:t>sh</w:t>
      </w:r>
      <w:r w:rsidRPr="008F03E5">
        <w:t>u‘úb) “and tribes” (qabá’il) in Qur’án 49:13 as indicating “Arabs” and “others” respectively.  The modern notion of “nation” did not exist then.</w:t>
      </w:r>
    </w:p>
    <w:p w14:paraId="299B58A5" w14:textId="77777777" w:rsidR="00625A5B" w:rsidRPr="008F03E5" w:rsidRDefault="00625A5B" w:rsidP="0048447A">
      <w:pPr>
        <w:pStyle w:val="Translit"/>
      </w:pPr>
      <w:r w:rsidRPr="008F03E5">
        <w:t>Shu’un-i-Ayat</w:t>
      </w:r>
      <w:r w:rsidRPr="008F03E5">
        <w:tab/>
      </w:r>
      <w:r w:rsidRPr="008F03E5">
        <w:rPr>
          <w:u w:val="single"/>
        </w:rPr>
        <w:t>Sh</w:t>
      </w:r>
      <w:r w:rsidRPr="008F03E5">
        <w:t>u’ún-i-Áyát</w:t>
      </w:r>
      <w:r w:rsidRPr="008F03E5">
        <w:tab/>
        <w:t>the modes of revelation</w:t>
      </w:r>
    </w:p>
    <w:p w14:paraId="47A46A36" w14:textId="77777777" w:rsidR="00625A5B" w:rsidRPr="008F03E5" w:rsidRDefault="00625A5B" w:rsidP="00F83B1D">
      <w:pPr>
        <w:pStyle w:val="Translit"/>
      </w:pPr>
      <w:r w:rsidRPr="008F03E5">
        <w:t>Shud</w:t>
      </w:r>
      <w:r w:rsidRPr="008F03E5">
        <w:tab/>
      </w:r>
      <w:r w:rsidRPr="008F03E5">
        <w:rPr>
          <w:u w:val="single"/>
        </w:rPr>
        <w:t>Sh</w:t>
      </w:r>
      <w:r w:rsidRPr="008F03E5">
        <w:t xml:space="preserve">ud (from </w:t>
      </w:r>
      <w:r w:rsidRPr="008F03E5">
        <w:rPr>
          <w:u w:val="single"/>
        </w:rPr>
        <w:t>sh</w:t>
      </w:r>
      <w:r w:rsidRPr="008F03E5">
        <w:t>udan)</w:t>
      </w:r>
      <w:r w:rsidRPr="008F03E5">
        <w:tab/>
        <w:t>Pers. it was, or became; he departed, went; he perished, ceased, died</w:t>
      </w:r>
    </w:p>
    <w:p w14:paraId="098B8345" w14:textId="77777777" w:rsidR="00625A5B" w:rsidRPr="008F03E5" w:rsidRDefault="00625A5B" w:rsidP="00F83B1D">
      <w:pPr>
        <w:pStyle w:val="Translit"/>
      </w:pPr>
      <w:r w:rsidRPr="008F03E5">
        <w:t>Shudan</w:t>
      </w:r>
      <w:r w:rsidRPr="008F03E5">
        <w:tab/>
      </w:r>
      <w:r w:rsidRPr="008F03E5">
        <w:rPr>
          <w:u w:val="single"/>
        </w:rPr>
        <w:t>Sh</w:t>
      </w:r>
      <w:r w:rsidRPr="008F03E5">
        <w:t>udan</w:t>
      </w:r>
      <w:r w:rsidRPr="008F03E5">
        <w:tab/>
        <w:t>Pers. to be; to become; to be lost or elapsed; to be doing; to go, depart, emigrate, pass; to transfer, transport; to remove, deface, erase</w:t>
      </w:r>
    </w:p>
    <w:p w14:paraId="4837A5E3" w14:textId="77777777" w:rsidR="00625A5B" w:rsidRPr="008F03E5" w:rsidRDefault="00625A5B" w:rsidP="003B5D0A">
      <w:pPr>
        <w:pStyle w:val="Translit"/>
      </w:pPr>
      <w:r w:rsidRPr="008F03E5">
        <w:t>Shuhaday-i-Khamsih</w:t>
      </w:r>
      <w:r w:rsidRPr="008F03E5">
        <w:tab/>
      </w:r>
      <w:r w:rsidRPr="008F03E5">
        <w:rPr>
          <w:u w:val="single"/>
        </w:rPr>
        <w:t>Sh</w:t>
      </w:r>
      <w:r w:rsidRPr="008F03E5">
        <w:t>uhadáy-i-</w:t>
      </w:r>
      <w:r w:rsidRPr="008F03E5">
        <w:rPr>
          <w:u w:val="single"/>
        </w:rPr>
        <w:t>Kh</w:t>
      </w:r>
      <w:r w:rsidRPr="008F03E5">
        <w:t>amsih</w:t>
      </w:r>
      <w:r w:rsidRPr="008F03E5">
        <w:tab/>
        <w:t>“Five Martyrs” of Turbat-i-Ḥaydaríyyih</w:t>
      </w:r>
    </w:p>
    <w:p w14:paraId="19E3DBAB" w14:textId="77777777" w:rsidR="00625A5B" w:rsidRPr="008F03E5" w:rsidRDefault="00625A5B" w:rsidP="009618E6">
      <w:pPr>
        <w:pStyle w:val="Translit"/>
      </w:pPr>
      <w:r w:rsidRPr="008F03E5">
        <w:t>Shuhra (Shoreh)</w:t>
      </w:r>
      <w:r w:rsidRPr="008F03E5">
        <w:tab/>
      </w:r>
      <w:r w:rsidRPr="008F03E5">
        <w:rPr>
          <w:u w:val="single"/>
        </w:rPr>
        <w:t>Sh</w:t>
      </w:r>
      <w:r w:rsidRPr="008F03E5">
        <w:t>uhra[h]</w:t>
      </w:r>
      <w:r w:rsidRPr="008F03E5">
        <w:tab/>
        <w:t xml:space="preserve">(Pers. variation </w:t>
      </w:r>
      <w:r w:rsidRPr="008F03E5">
        <w:rPr>
          <w:u w:val="single"/>
        </w:rPr>
        <w:t>Sh</w:t>
      </w:r>
      <w:r w:rsidRPr="008F03E5">
        <w:t>uhrih) repute, reputation, renown, fame, famousness, celebrity; notoriety</w:t>
      </w:r>
    </w:p>
    <w:p w14:paraId="556EFFAB" w14:textId="77777777" w:rsidR="00625A5B" w:rsidRPr="008F03E5" w:rsidRDefault="00625A5B" w:rsidP="0072404D">
      <w:pPr>
        <w:pStyle w:val="Translit"/>
      </w:pPr>
      <w:r w:rsidRPr="008F03E5">
        <w:t>Shuja, Shija, Shaja’a, Shuj’an</w:t>
      </w:r>
      <w:r w:rsidRPr="008F03E5">
        <w:tab/>
      </w:r>
      <w:r w:rsidRPr="008F03E5">
        <w:rPr>
          <w:u w:val="single"/>
        </w:rPr>
        <w:t>Sh</w:t>
      </w:r>
      <w:r w:rsidRPr="008F03E5">
        <w:t xml:space="preserve">ujá‘, </w:t>
      </w:r>
      <w:r w:rsidRPr="008F03E5">
        <w:rPr>
          <w:u w:val="single"/>
        </w:rPr>
        <w:t>Sh</w:t>
      </w:r>
      <w:r w:rsidRPr="008F03E5">
        <w:t xml:space="preserve">ijá‘, pl. </w:t>
      </w:r>
      <w:r w:rsidRPr="008F03E5">
        <w:rPr>
          <w:u w:val="single"/>
        </w:rPr>
        <w:t>Sh</w:t>
      </w:r>
      <w:r w:rsidRPr="008F03E5">
        <w:t xml:space="preserve">aja‘a, </w:t>
      </w:r>
      <w:r w:rsidRPr="008F03E5">
        <w:rPr>
          <w:u w:val="single"/>
        </w:rPr>
        <w:t>Sh</w:t>
      </w:r>
      <w:r w:rsidRPr="008F03E5">
        <w:t>uj‘án</w:t>
      </w:r>
      <w:r w:rsidRPr="008F03E5">
        <w:tab/>
        <w:t>courageous, brave, valiant, bold; hero</w:t>
      </w:r>
    </w:p>
    <w:p w14:paraId="1E532714" w14:textId="77777777" w:rsidR="00625A5B" w:rsidRPr="008F03E5" w:rsidRDefault="00625A5B" w:rsidP="00900A82">
      <w:pPr>
        <w:pStyle w:val="Translit"/>
      </w:pPr>
      <w:r w:rsidRPr="008F03E5">
        <w:t>Shuja’u’d-Dawlih</w:t>
      </w:r>
      <w:r w:rsidRPr="008F03E5">
        <w:tab/>
      </w:r>
      <w:r w:rsidRPr="008F03E5">
        <w:rPr>
          <w:u w:val="single"/>
        </w:rPr>
        <w:t>Sh</w:t>
      </w:r>
      <w:r w:rsidRPr="008F03E5">
        <w:t>ujá‘u’d-Dawlih</w:t>
      </w:r>
      <w:r w:rsidRPr="008F03E5">
        <w:tab/>
        <w:t>Prince</w:t>
      </w:r>
    </w:p>
    <w:p w14:paraId="770EE994" w14:textId="77777777" w:rsidR="00625A5B" w:rsidRPr="008F03E5" w:rsidRDefault="00625A5B" w:rsidP="00900A82">
      <w:pPr>
        <w:pStyle w:val="Translit"/>
      </w:pPr>
      <w:r w:rsidRPr="008F03E5">
        <w:t>Shuja’u’l-Mulk</w:t>
      </w:r>
      <w:r w:rsidRPr="008F03E5">
        <w:tab/>
      </w:r>
      <w:r w:rsidRPr="008F03E5">
        <w:rPr>
          <w:u w:val="single"/>
        </w:rPr>
        <w:t>Sh</w:t>
      </w:r>
      <w:r w:rsidRPr="008F03E5">
        <w:t>ujá‘u’l-Mulk</w:t>
      </w:r>
      <w:r w:rsidRPr="008F03E5">
        <w:tab/>
      </w:r>
    </w:p>
    <w:p w14:paraId="1223BF44" w14:textId="77777777" w:rsidR="00625A5B" w:rsidRPr="008F03E5" w:rsidRDefault="00625A5B" w:rsidP="00C81174">
      <w:pPr>
        <w:pStyle w:val="Translit"/>
      </w:pPr>
      <w:r w:rsidRPr="008F03E5">
        <w:t>Shuja’u’s-Saltanih</w:t>
      </w:r>
      <w:r w:rsidRPr="008F03E5">
        <w:tab/>
      </w:r>
      <w:r w:rsidRPr="008F03E5">
        <w:rPr>
          <w:u w:val="single"/>
        </w:rPr>
        <w:t>Sh</w:t>
      </w:r>
      <w:r w:rsidRPr="008F03E5">
        <w:t>ujá‘u’s-Salṭanih</w:t>
      </w:r>
      <w:r w:rsidRPr="008F03E5">
        <w:tab/>
      </w:r>
    </w:p>
    <w:p w14:paraId="006D47C8" w14:textId="77777777" w:rsidR="00625A5B" w:rsidRPr="008F03E5" w:rsidRDefault="00625A5B" w:rsidP="0072404D">
      <w:pPr>
        <w:pStyle w:val="Translit"/>
      </w:pPr>
      <w:r w:rsidRPr="008F03E5">
        <w:t>Shukr, Shukur</w:t>
      </w:r>
      <w:r w:rsidRPr="008F03E5">
        <w:tab/>
      </w:r>
      <w:r w:rsidRPr="008F03E5">
        <w:rPr>
          <w:u w:val="single"/>
        </w:rPr>
        <w:t>Sh</w:t>
      </w:r>
      <w:r w:rsidRPr="008F03E5">
        <w:t xml:space="preserve">ukr, pl. </w:t>
      </w:r>
      <w:r w:rsidRPr="008F03E5">
        <w:rPr>
          <w:u w:val="single"/>
        </w:rPr>
        <w:t>Sh</w:t>
      </w:r>
      <w:r w:rsidRPr="008F03E5">
        <w:t>ukúr</w:t>
      </w:r>
      <w:r w:rsidRPr="008F03E5">
        <w:tab/>
        <w:t>thankfulness, gratefulness, gratitude; thanks, acknowledgment; praise, laudation</w:t>
      </w:r>
    </w:p>
    <w:p w14:paraId="7B678058" w14:textId="77777777" w:rsidR="00625A5B" w:rsidRPr="008F03E5" w:rsidRDefault="00625A5B" w:rsidP="006E4F7B">
      <w:pPr>
        <w:pStyle w:val="Translit"/>
      </w:pPr>
      <w:r w:rsidRPr="008F03E5">
        <w:t>Shukri</w:t>
      </w:r>
      <w:r w:rsidRPr="008F03E5">
        <w:tab/>
      </w:r>
      <w:r w:rsidRPr="008F03E5">
        <w:rPr>
          <w:u w:val="single"/>
        </w:rPr>
        <w:t>Sh</w:t>
      </w:r>
      <w:r w:rsidRPr="008F03E5">
        <w:t>ukrí</w:t>
      </w:r>
      <w:r w:rsidRPr="008F03E5">
        <w:tab/>
        <w:t>of thanks, thanking</w:t>
      </w:r>
    </w:p>
    <w:p w14:paraId="4CB3B51E" w14:textId="77777777" w:rsidR="00625A5B" w:rsidRPr="008F03E5" w:rsidRDefault="00625A5B" w:rsidP="00E81803">
      <w:pPr>
        <w:pStyle w:val="Translit"/>
        <w:rPr>
          <w:u w:val="single"/>
        </w:rPr>
      </w:pPr>
      <w:r w:rsidRPr="008F03E5">
        <w:t>Shukru’llah</w:t>
      </w:r>
      <w:r w:rsidRPr="008F03E5">
        <w:tab/>
      </w:r>
      <w:r w:rsidRPr="008F03E5">
        <w:rPr>
          <w:u w:val="single"/>
        </w:rPr>
        <w:t>Sh</w:t>
      </w:r>
      <w:r w:rsidRPr="008F03E5">
        <w:t>ukru’lláh</w:t>
      </w:r>
      <w:r w:rsidRPr="008F03E5">
        <w:tab/>
        <w:t>“Thanks to God, praise of God”  A kinsman of Bahá’u’lláh who accompanied Him on the first exile to ‘Iráq.</w:t>
      </w:r>
    </w:p>
    <w:p w14:paraId="25381C96" w14:textId="77777777" w:rsidR="00625A5B" w:rsidRPr="008F03E5" w:rsidRDefault="00625A5B" w:rsidP="0072404D">
      <w:pPr>
        <w:pStyle w:val="Translit"/>
      </w:pPr>
      <w:r w:rsidRPr="008F03E5">
        <w:t xml:space="preserve">Shukuh (Shukoh, </w:t>
      </w:r>
      <w:r w:rsidRPr="008F03E5">
        <w:rPr>
          <w:rFonts w:eastAsia="Times New Roman"/>
        </w:rPr>
        <w:t>Shikuh</w:t>
      </w:r>
      <w:r w:rsidRPr="008F03E5">
        <w:t>, Shookoh)</w:t>
      </w:r>
      <w:r w:rsidRPr="008F03E5">
        <w:tab/>
      </w:r>
      <w:r w:rsidRPr="008F03E5">
        <w:rPr>
          <w:u w:val="single"/>
        </w:rPr>
        <w:t>Sh</w:t>
      </w:r>
      <w:r w:rsidRPr="008F03E5">
        <w:t>ukúh</w:t>
      </w:r>
      <w:r w:rsidRPr="008F03E5">
        <w:tab/>
        <w:t>Pers. glory, m</w:t>
      </w:r>
      <w:r w:rsidRPr="008F03E5">
        <w:rPr>
          <w:rFonts w:eastAsia="Times New Roman"/>
        </w:rPr>
        <w:t>ajesty, magnificence, dignity, grandeur, power; train, pomp, attendance; gravity, reverence.</w:t>
      </w:r>
    </w:p>
    <w:p w14:paraId="74AD746A" w14:textId="77777777" w:rsidR="00625A5B" w:rsidRPr="008F03E5" w:rsidRDefault="00625A5B" w:rsidP="005E7A35">
      <w:pPr>
        <w:pStyle w:val="Translit"/>
      </w:pPr>
      <w:r w:rsidRPr="008F03E5">
        <w:t>Shuma</w:t>
      </w:r>
      <w:r w:rsidRPr="008F03E5">
        <w:tab/>
      </w:r>
      <w:r w:rsidRPr="008F03E5">
        <w:rPr>
          <w:u w:val="single"/>
        </w:rPr>
        <w:t>Sh</w:t>
      </w:r>
      <w:r w:rsidRPr="008F03E5">
        <w:t>umá</w:t>
      </w:r>
      <w:r w:rsidRPr="008F03E5">
        <w:tab/>
        <w:t>Pers. you</w:t>
      </w:r>
    </w:p>
    <w:p w14:paraId="3D58031D" w14:textId="77777777" w:rsidR="00625A5B" w:rsidRPr="008F03E5" w:rsidRDefault="00625A5B" w:rsidP="00B43240">
      <w:pPr>
        <w:pStyle w:val="Translit"/>
      </w:pPr>
      <w:r w:rsidRPr="008F03E5">
        <w:t>Shumays (Shumais, Shomais), Shumaysa</w:t>
      </w:r>
      <w:r w:rsidRPr="008F03E5">
        <w:tab/>
      </w:r>
      <w:r w:rsidRPr="008F03E5">
        <w:rPr>
          <w:u w:val="single"/>
        </w:rPr>
        <w:t>Sh</w:t>
      </w:r>
      <w:r w:rsidRPr="008F03E5">
        <w:t xml:space="preserve">umays, fem. </w:t>
      </w:r>
      <w:r w:rsidRPr="008F03E5">
        <w:rPr>
          <w:u w:val="single"/>
        </w:rPr>
        <w:t>Sh</w:t>
      </w:r>
      <w:r w:rsidRPr="008F03E5">
        <w:t>umaysa[h or t]</w:t>
      </w:r>
      <w:r w:rsidRPr="008F03E5">
        <w:tab/>
        <w:t xml:space="preserve">diminutive of </w:t>
      </w:r>
      <w:r w:rsidRPr="008F03E5">
        <w:rPr>
          <w:u w:val="single"/>
        </w:rPr>
        <w:t>Sh</w:t>
      </w:r>
      <w:r w:rsidRPr="008F03E5">
        <w:t>ams; little or small sun; enlightened, bright.  Used as a name.</w:t>
      </w:r>
    </w:p>
    <w:p w14:paraId="747C4C12" w14:textId="77777777" w:rsidR="00625A5B" w:rsidRPr="008F03E5" w:rsidRDefault="00625A5B" w:rsidP="00060539">
      <w:pPr>
        <w:pStyle w:val="Translit"/>
      </w:pPr>
      <w:r w:rsidRPr="008F03E5">
        <w:t>Shuna, Shunat, Shuwan</w:t>
      </w:r>
      <w:r w:rsidRPr="008F03E5">
        <w:tab/>
      </w:r>
      <w:r w:rsidRPr="008F03E5">
        <w:rPr>
          <w:u w:val="single"/>
        </w:rPr>
        <w:t>Sh</w:t>
      </w:r>
      <w:r w:rsidRPr="008F03E5">
        <w:t xml:space="preserve">úna, pl. </w:t>
      </w:r>
      <w:r w:rsidRPr="008F03E5">
        <w:rPr>
          <w:u w:val="single"/>
        </w:rPr>
        <w:t>Sh</w:t>
      </w:r>
      <w:r w:rsidRPr="008F03E5">
        <w:t xml:space="preserve">únát, </w:t>
      </w:r>
      <w:r w:rsidRPr="008F03E5">
        <w:rPr>
          <w:u w:val="single"/>
        </w:rPr>
        <w:t>Sh</w:t>
      </w:r>
      <w:r w:rsidRPr="008F03E5">
        <w:t>uwan</w:t>
      </w:r>
      <w:r w:rsidRPr="008F03E5">
        <w:tab/>
        <w:t xml:space="preserve">storehouse, granary, shed, barn.  </w:t>
      </w:r>
      <w:r w:rsidRPr="008F03E5">
        <w:rPr>
          <w:u w:val="single"/>
        </w:rPr>
        <w:t>Sh</w:t>
      </w:r>
      <w:r w:rsidRPr="008F03E5">
        <w:t xml:space="preserve">únih in </w:t>
      </w:r>
      <w:r w:rsidRPr="008F03E5">
        <w:rPr>
          <w:i/>
          <w:iCs/>
        </w:rPr>
        <w:t>Door of hope</w:t>
      </w:r>
      <w:r w:rsidRPr="008F03E5">
        <w:t>.</w:t>
      </w:r>
    </w:p>
    <w:p w14:paraId="5F7F34E4" w14:textId="77777777" w:rsidR="00625A5B" w:rsidRPr="008F03E5" w:rsidRDefault="00625A5B" w:rsidP="003B6441">
      <w:pPr>
        <w:pStyle w:val="Translit"/>
      </w:pPr>
      <w:r w:rsidRPr="008F03E5">
        <w:t>Shuqayr (Shuqair)</w:t>
      </w:r>
      <w:r w:rsidRPr="008F03E5">
        <w:tab/>
      </w:r>
      <w:r w:rsidRPr="008F03E5">
        <w:rPr>
          <w:u w:val="single"/>
        </w:rPr>
        <w:t>Sh</w:t>
      </w:r>
      <w:r w:rsidRPr="008F03E5">
        <w:t>uqayr</w:t>
      </w:r>
      <w:r w:rsidRPr="008F03E5">
        <w:tab/>
        <w:t>“blond”, “fair-skinned”</w:t>
      </w:r>
    </w:p>
    <w:p w14:paraId="2E1CED50" w14:textId="77777777" w:rsidR="00625A5B" w:rsidRPr="008F03E5" w:rsidRDefault="00625A5B" w:rsidP="00F153A0">
      <w:pPr>
        <w:pStyle w:val="Translit"/>
      </w:pPr>
      <w:r w:rsidRPr="008F03E5">
        <w:t>Shura (Shawra)</w:t>
      </w:r>
      <w:r w:rsidRPr="008F03E5">
        <w:tab/>
      </w:r>
      <w:r w:rsidRPr="008F03E5">
        <w:rPr>
          <w:u w:val="single"/>
        </w:rPr>
        <w:t>Sh</w:t>
      </w:r>
      <w:r w:rsidRPr="008F03E5">
        <w:t>úrá</w:t>
      </w:r>
      <w:r w:rsidRPr="008F03E5">
        <w:tab/>
        <w:t>consultation, deliberation, taking counsel; counsel; advice</w:t>
      </w:r>
    </w:p>
    <w:p w14:paraId="26C8F1C7" w14:textId="77777777" w:rsidR="00625A5B" w:rsidRPr="008F03E5" w:rsidRDefault="00625A5B" w:rsidP="00CD4C41">
      <w:pPr>
        <w:pStyle w:val="Translit"/>
      </w:pPr>
      <w:r w:rsidRPr="008F03E5">
        <w:t>Shurangiz</w:t>
      </w:r>
      <w:r w:rsidRPr="008F03E5">
        <w:tab/>
      </w:r>
      <w:r w:rsidRPr="008F03E5">
        <w:rPr>
          <w:u w:val="single"/>
        </w:rPr>
        <w:t>Sh</w:t>
      </w:r>
      <w:r w:rsidRPr="008F03E5">
        <w:t>úrángiz</w:t>
      </w:r>
      <w:r w:rsidRPr="008F03E5">
        <w:tab/>
        <w:t>Pers. a new type of musical instrument (lute family) “charming”</w:t>
      </w:r>
    </w:p>
    <w:p w14:paraId="05F01F5C" w14:textId="77777777" w:rsidR="00625A5B" w:rsidRPr="008F03E5" w:rsidRDefault="00625A5B" w:rsidP="005A7DE5">
      <w:pPr>
        <w:pStyle w:val="Translit"/>
      </w:pPr>
      <w:r w:rsidRPr="008F03E5">
        <w:t>Shurayh (Shuraih)</w:t>
      </w:r>
      <w:r w:rsidRPr="008F03E5">
        <w:tab/>
      </w:r>
      <w:r w:rsidRPr="008F03E5">
        <w:rPr>
          <w:u w:val="single"/>
        </w:rPr>
        <w:t>Sh</w:t>
      </w:r>
      <w:r w:rsidRPr="008F03E5">
        <w:t>urayḥ</w:t>
      </w:r>
      <w:r w:rsidRPr="008F03E5">
        <w:tab/>
      </w:r>
      <w:r w:rsidRPr="008F03E5">
        <w:rPr>
          <w:u w:val="single"/>
        </w:rPr>
        <w:t>Sh</w:t>
      </w:r>
      <w:r w:rsidRPr="008F03E5">
        <w:t>urayḥ bin Ḥári</w:t>
      </w:r>
      <w:r w:rsidRPr="008F03E5">
        <w:rPr>
          <w:u w:val="single"/>
        </w:rPr>
        <w:t>th</w:t>
      </w:r>
      <w:r w:rsidRPr="008F03E5">
        <w:t xml:space="preserve"> al-Kindí, known as </w:t>
      </w:r>
      <w:r w:rsidRPr="008F03E5">
        <w:rPr>
          <w:u w:val="single"/>
        </w:rPr>
        <w:t>Sh</w:t>
      </w:r>
      <w:r w:rsidRPr="008F03E5">
        <w:t>urayḥ al-Qáḍí (Judge Shurayh) was among social, judicial and somehow (not entirely clear) political figures of the early Islamic period.  He was appointed by ‘Umar bin al-</w:t>
      </w:r>
      <w:r w:rsidRPr="008F03E5">
        <w:rPr>
          <w:u w:val="single"/>
        </w:rPr>
        <w:t>Kh</w:t>
      </w:r>
      <w:r w:rsidRPr="008F03E5">
        <w:t>aṭṭáb as the judge of Kúfa and ‘U</w:t>
      </w:r>
      <w:r w:rsidRPr="008F03E5">
        <w:rPr>
          <w:u w:val="single"/>
        </w:rPr>
        <w:t>th</w:t>
      </w:r>
      <w:r w:rsidRPr="008F03E5">
        <w:t>mán confirmed his position.  Some sources consider him among the major agents mobilizing the people of Kúfa and Syria against Imám al-Ḥusayn.</w:t>
      </w:r>
    </w:p>
    <w:p w14:paraId="67EFCB82" w14:textId="77777777" w:rsidR="00625A5B" w:rsidRPr="008F03E5" w:rsidRDefault="00625A5B" w:rsidP="009D2A5B">
      <w:pPr>
        <w:pStyle w:val="Translit"/>
      </w:pPr>
      <w:r w:rsidRPr="008F03E5">
        <w:t>Shurb a</w:t>
      </w:r>
      <w:r>
        <w:t>d</w:t>
      </w:r>
      <w:r w:rsidRPr="008F03E5">
        <w:t>-Dukhana, Shurbu’d-Dukhan</w:t>
      </w:r>
      <w:r w:rsidRPr="008F03E5">
        <w:tab/>
      </w:r>
      <w:r w:rsidRPr="008F03E5">
        <w:rPr>
          <w:u w:val="single"/>
        </w:rPr>
        <w:t>Sh</w:t>
      </w:r>
      <w:r w:rsidRPr="008F03E5">
        <w:t>urb a</w:t>
      </w:r>
      <w:r>
        <w:t>d</w:t>
      </w:r>
      <w:r w:rsidRPr="008F03E5">
        <w:t>-Du</w:t>
      </w:r>
      <w:r w:rsidRPr="008F03E5">
        <w:rPr>
          <w:u w:val="single"/>
        </w:rPr>
        <w:t>kh</w:t>
      </w:r>
      <w:r w:rsidRPr="008F03E5">
        <w:t>ána</w:t>
      </w:r>
      <w:r w:rsidRPr="008F03E5">
        <w:tab/>
      </w:r>
      <w:r>
        <w:t>(</w:t>
      </w:r>
      <w:r w:rsidRPr="008F03E5">
        <w:t xml:space="preserve">Pers. </w:t>
      </w:r>
      <w:r w:rsidRPr="008F03E5">
        <w:rPr>
          <w:u w:val="single"/>
        </w:rPr>
        <w:t>sh</w:t>
      </w:r>
      <w:r w:rsidRPr="008F03E5">
        <w:t>urbu’d-du</w:t>
      </w:r>
      <w:r w:rsidRPr="008F03E5">
        <w:rPr>
          <w:u w:val="single"/>
        </w:rPr>
        <w:t>kh</w:t>
      </w:r>
      <w:r w:rsidRPr="008F03E5">
        <w:t>án</w:t>
      </w:r>
      <w:r>
        <w:t xml:space="preserve">) </w:t>
      </w:r>
      <w:r w:rsidRPr="008F03E5">
        <w:t>to smoke</w:t>
      </w:r>
    </w:p>
    <w:p w14:paraId="755F382E" w14:textId="77777777" w:rsidR="00625A5B" w:rsidRPr="008F03E5" w:rsidRDefault="00625A5B" w:rsidP="00FC5D6C">
      <w:pPr>
        <w:pStyle w:val="Translit"/>
      </w:pPr>
      <w:r w:rsidRPr="008F03E5">
        <w:t>Shurb</w:t>
      </w:r>
      <w:r w:rsidRPr="008F03E5">
        <w:tab/>
      </w:r>
      <w:r w:rsidRPr="008F03E5">
        <w:rPr>
          <w:u w:val="single"/>
        </w:rPr>
        <w:t>Sh</w:t>
      </w:r>
      <w:r w:rsidRPr="008F03E5">
        <w:t>urb</w:t>
      </w:r>
      <w:r w:rsidRPr="008F03E5">
        <w:tab/>
        <w:t xml:space="preserve">drinking, drink; absorption.  </w:t>
      </w:r>
      <w:r w:rsidRPr="008F03E5">
        <w:rPr>
          <w:lang w:eastAsia="en-US"/>
        </w:rPr>
        <w:t xml:space="preserve">‘Abdu’l-Bahá said that fasting consists of abstinence from all food and drink.  He also said that smoking is a kind of drink (the meaning of </w:t>
      </w:r>
      <w:r w:rsidRPr="008F03E5">
        <w:rPr>
          <w:u w:val="single"/>
          <w:lang w:eastAsia="en-US"/>
        </w:rPr>
        <w:t>sh</w:t>
      </w:r>
      <w:r w:rsidRPr="008F03E5">
        <w:rPr>
          <w:lang w:eastAsia="en-US"/>
        </w:rPr>
        <w:t>urb includes smoking).</w:t>
      </w:r>
    </w:p>
    <w:p w14:paraId="60FB2383" w14:textId="77777777" w:rsidR="00625A5B" w:rsidRPr="008F03E5" w:rsidRDefault="00625A5B" w:rsidP="00D30AF5">
      <w:pPr>
        <w:pStyle w:val="Translit"/>
      </w:pPr>
      <w:r w:rsidRPr="008F03E5">
        <w:t>Shurida (Shuride, Shoride, Shoorida)</w:t>
      </w:r>
      <w:r w:rsidRPr="008F03E5">
        <w:tab/>
      </w:r>
      <w:r w:rsidRPr="008F03E5">
        <w:rPr>
          <w:u w:val="single"/>
        </w:rPr>
        <w:t>Sh</w:t>
      </w:r>
      <w:r w:rsidRPr="008F03E5">
        <w:t>úrída[h or t] (</w:t>
      </w:r>
      <w:r w:rsidRPr="008F03E5">
        <w:rPr>
          <w:rtl/>
        </w:rPr>
        <w:t>شوريدة</w:t>
      </w:r>
      <w:r w:rsidRPr="008F03E5">
        <w:t>)</w:t>
      </w:r>
      <w:r w:rsidRPr="008F03E5">
        <w:tab/>
        <w:t>Pers. d</w:t>
      </w:r>
      <w:r w:rsidRPr="008F03E5">
        <w:rPr>
          <w:rFonts w:eastAsia="Times New Roman"/>
        </w:rPr>
        <w:t xml:space="preserve">isturbed; mixed; mad, frantic, desperately in love; faint, dejected.  </w:t>
      </w:r>
      <w:r w:rsidRPr="008F03E5">
        <w:t xml:space="preserve">Muḥammad Taqí </w:t>
      </w:r>
      <w:r w:rsidRPr="008F03E5">
        <w:rPr>
          <w:u w:val="single"/>
        </w:rPr>
        <w:t>Sh</w:t>
      </w:r>
      <w:r w:rsidRPr="008F03E5">
        <w:t xml:space="preserve">úrída </w:t>
      </w:r>
      <w:r w:rsidRPr="008F03E5">
        <w:rPr>
          <w:u w:val="single"/>
        </w:rPr>
        <w:t>Sh</w:t>
      </w:r>
      <w:r w:rsidRPr="008F03E5">
        <w:t>írází (1857–1926) was a blind Persian poet.</w:t>
      </w:r>
    </w:p>
    <w:p w14:paraId="1D8E3A86" w14:textId="77777777" w:rsidR="00625A5B" w:rsidRDefault="00625A5B" w:rsidP="00152F7C">
      <w:pPr>
        <w:pStyle w:val="Translit"/>
      </w:pPr>
      <w:r>
        <w:t>Shusha</w:t>
      </w:r>
      <w:r>
        <w:tab/>
      </w:r>
      <w:r w:rsidRPr="00152F7C">
        <w:t>Shusha</w:t>
      </w:r>
      <w:r>
        <w:tab/>
      </w:r>
      <w:r w:rsidRPr="00152F7C">
        <w:t>(Azerbaijani Şuşa</w:t>
      </w:r>
      <w:r>
        <w:t>;</w:t>
      </w:r>
      <w:r w:rsidRPr="00152F7C">
        <w:t xml:space="preserve"> 39.753780, 46.74658</w:t>
      </w:r>
      <w:r>
        <w:t>6</w:t>
      </w:r>
      <w:r w:rsidRPr="00152F7C">
        <w:t>) is a city in Azerbaijan</w:t>
      </w:r>
    </w:p>
    <w:p w14:paraId="7467E9AA" w14:textId="77777777" w:rsidR="00625A5B" w:rsidRPr="008F03E5" w:rsidRDefault="00625A5B" w:rsidP="00B6408A">
      <w:pPr>
        <w:pStyle w:val="Translit"/>
      </w:pPr>
      <w:r w:rsidRPr="008F03E5">
        <w:t>Shushtar</w:t>
      </w:r>
      <w:r w:rsidRPr="008F03E5">
        <w:tab/>
      </w:r>
      <w:r w:rsidRPr="008F03E5">
        <w:rPr>
          <w:u w:val="single"/>
        </w:rPr>
        <w:t>Sh</w:t>
      </w:r>
      <w:r w:rsidRPr="008F03E5">
        <w:t>ú</w:t>
      </w:r>
      <w:r w:rsidRPr="008F03E5">
        <w:rPr>
          <w:u w:val="single"/>
        </w:rPr>
        <w:t>sh</w:t>
      </w:r>
      <w:r w:rsidRPr="008F03E5">
        <w:t>tar</w:t>
      </w:r>
      <w:r w:rsidRPr="008F03E5">
        <w:tab/>
        <w:t xml:space="preserve">capital (32.046730, 48.854752) of </w:t>
      </w:r>
      <w:r w:rsidRPr="00B6408A">
        <w:rPr>
          <w:rFonts w:eastAsia="Times New Roman"/>
          <w:u w:val="single"/>
        </w:rPr>
        <w:t>Kh</w:t>
      </w:r>
      <w:r w:rsidRPr="00AF4D34">
        <w:rPr>
          <w:rFonts w:eastAsia="Times New Roman"/>
        </w:rPr>
        <w:t>úzistán</w:t>
      </w:r>
      <w:r>
        <w:rPr>
          <w:rFonts w:eastAsia="Times New Roman"/>
        </w:rPr>
        <w:t xml:space="preserve"> Province</w:t>
      </w:r>
      <w:r w:rsidRPr="008F03E5">
        <w:t>, Iran.  83 km north of Ahváz.</w:t>
      </w:r>
    </w:p>
    <w:p w14:paraId="517C076F" w14:textId="77777777" w:rsidR="00625A5B" w:rsidRPr="008F03E5" w:rsidRDefault="00625A5B" w:rsidP="00344668">
      <w:pPr>
        <w:pStyle w:val="Translit"/>
      </w:pPr>
      <w:r w:rsidRPr="008F03E5">
        <w:t>Shutur</w:t>
      </w:r>
      <w:r w:rsidRPr="008F03E5">
        <w:tab/>
      </w:r>
      <w:r w:rsidRPr="008F03E5">
        <w:rPr>
          <w:u w:val="single"/>
        </w:rPr>
        <w:t>Sh</w:t>
      </w:r>
      <w:r w:rsidRPr="008F03E5">
        <w:t>utur</w:t>
      </w:r>
      <w:r w:rsidRPr="008F03E5">
        <w:tab/>
        <w:t>Pers. a camel.  Also an ignorant attendant who acted as burden-bearer to some mur</w:t>
      </w:r>
      <w:r w:rsidRPr="008F03E5">
        <w:rPr>
          <w:u w:val="single"/>
        </w:rPr>
        <w:t>sh</w:t>
      </w:r>
      <w:r w:rsidRPr="008F03E5">
        <w:t>id (leader)</w:t>
      </w:r>
      <w:r>
        <w:t>.</w:t>
      </w:r>
    </w:p>
    <w:p w14:paraId="1E35FDBA" w14:textId="77777777" w:rsidR="00625A5B" w:rsidRPr="008F03E5" w:rsidRDefault="00625A5B" w:rsidP="001110B7">
      <w:pPr>
        <w:pStyle w:val="Translit"/>
      </w:pPr>
      <w:r w:rsidRPr="008F03E5">
        <w:t>Sibawayh (Sibavayh, Sibawaih)</w:t>
      </w:r>
      <w:r w:rsidRPr="008F03E5">
        <w:tab/>
        <w:t>Síbawayh</w:t>
      </w:r>
      <w:r w:rsidRPr="008F03E5">
        <w:tab/>
        <w:t>Pers. name commonly applied to Abú Bi</w:t>
      </w:r>
      <w:r w:rsidRPr="008F03E5">
        <w:rPr>
          <w:u w:val="single"/>
        </w:rPr>
        <w:t>sh</w:t>
      </w:r>
      <w:r w:rsidRPr="008F03E5">
        <w:t>r ‘Amr ibn ‘U</w:t>
      </w:r>
      <w:r w:rsidRPr="008F03E5">
        <w:rPr>
          <w:u w:val="single"/>
        </w:rPr>
        <w:t>th</w:t>
      </w:r>
      <w:r w:rsidRPr="008F03E5">
        <w:t>mán ibn Qanbar al-Baṣrí, a native of Shiraz, and celebrated Arabic linguist and grammarian.  Arabic form of Persian seboyah (seb +boya)—the perfume of an apple</w:t>
      </w:r>
    </w:p>
    <w:p w14:paraId="1853783A" w14:textId="77777777" w:rsidR="00625A5B" w:rsidRPr="008F03E5" w:rsidRDefault="00625A5B" w:rsidP="004A7694">
      <w:pPr>
        <w:pStyle w:val="Translit"/>
      </w:pPr>
      <w:r w:rsidRPr="008F03E5">
        <w:t xml:space="preserve">Sibt, </w:t>
      </w:r>
      <w:r>
        <w:t xml:space="preserve">Sibtayn, </w:t>
      </w:r>
      <w:r w:rsidRPr="008F03E5">
        <w:t>Asbat</w:t>
      </w:r>
      <w:r w:rsidRPr="008F03E5">
        <w:tab/>
        <w:t xml:space="preserve">Sibṭ, </w:t>
      </w:r>
      <w:r>
        <w:t>dual Sib</w:t>
      </w:r>
      <w:r w:rsidRPr="00123342">
        <w:t>ṭ</w:t>
      </w:r>
      <w:r>
        <w:t xml:space="preserve">ayn, </w:t>
      </w:r>
      <w:r w:rsidRPr="008F03E5">
        <w:t>pl. Asbáṭ</w:t>
      </w:r>
      <w:r w:rsidRPr="008F03E5">
        <w:tab/>
        <w:t>grandson; tribe</w:t>
      </w:r>
      <w:r>
        <w:t>s</w:t>
      </w:r>
      <w:r w:rsidRPr="008F03E5">
        <w:t xml:space="preserve"> (</w:t>
      </w:r>
      <w:r>
        <w:t>especially Hebrew</w:t>
      </w:r>
      <w:r w:rsidRPr="008F03E5">
        <w:t>)</w:t>
      </w:r>
      <w:r>
        <w:t>.  O</w:t>
      </w:r>
      <w:r w:rsidRPr="00123342">
        <w:t>bl</w:t>
      </w:r>
      <w:r>
        <w:t>ique</w:t>
      </w:r>
      <w:r w:rsidRPr="00123342">
        <w:t xml:space="preserve"> dual used as nom</w:t>
      </w:r>
      <w:r>
        <w:t xml:space="preserve">inative: </w:t>
      </w:r>
      <w:r w:rsidRPr="00123342">
        <w:t xml:space="preserve"> </w:t>
      </w:r>
      <w:r>
        <w:t>grandsons of Muḥammad (t</w:t>
      </w:r>
      <w:r w:rsidRPr="00123342">
        <w:t xml:space="preserve">he two </w:t>
      </w:r>
      <w:r>
        <w:t xml:space="preserve">sons </w:t>
      </w:r>
      <w:r w:rsidRPr="00123342">
        <w:t xml:space="preserve">of </w:t>
      </w:r>
      <w:r>
        <w:t>‘</w:t>
      </w:r>
      <w:r w:rsidRPr="00123342">
        <w:t>Alí), Ḥasan and Ḥusa</w:t>
      </w:r>
      <w:r>
        <w:t>yn.  There is an intriguing word play and historical allusion in:  “</w:t>
      </w:r>
      <w:r w:rsidRPr="00123342">
        <w:rPr>
          <w:i/>
          <w:iCs/>
        </w:rPr>
        <w:t>The Copt of tyranny can never partake of the cup touched by the lips of the Sept of justice, and the Pharaoh of unbelief can never hope to recognize the hand of the Moses of truth.</w:t>
      </w:r>
      <w:r>
        <w:t>” (</w:t>
      </w:r>
      <w:r w:rsidRPr="00C8387E">
        <w:rPr>
          <w:i/>
          <w:iCs/>
        </w:rPr>
        <w:t>The Kitáb-i-Íqán</w:t>
      </w:r>
      <w:r>
        <w:t xml:space="preserve">, p. 17)  Bahá’u’lláh uses the words </w:t>
      </w:r>
      <w:r w:rsidRPr="008F03E5">
        <w:t>Qibṭí</w:t>
      </w:r>
      <w:r>
        <w:t xml:space="preserve"> and </w:t>
      </w:r>
      <w:r w:rsidRPr="008F03E5">
        <w:t>Sibṭ</w:t>
      </w:r>
      <w:r>
        <w:t>í that both have the consonants “</w:t>
      </w:r>
      <w:r w:rsidRPr="008F03E5">
        <w:t>bṭ</w:t>
      </w:r>
      <w:r>
        <w:t>”, and Shoghi Effendi followed the pattern in selecting Copt and Sept (“pt”).  Sept infers Hebrew (justice),  “The children of Israel were in bondage and captivity in the land of Egypt.  They were subject to the tyranny and oppression of the Copts.  They were in the utmost state of degradation.  One Copt conquered or subdued one hundred Septs.  They would make use of them as workingmen or laborers.” (</w:t>
      </w:r>
      <w:r w:rsidRPr="002837CB">
        <w:rPr>
          <w:i/>
          <w:iCs/>
        </w:rPr>
        <w:t>Baha'i Scriptures</w:t>
      </w:r>
      <w:r>
        <w:t>, p. 389).  Septs infers the children of Israel.  See al-</w:t>
      </w:r>
      <w:r w:rsidRPr="008F03E5">
        <w:t>Qibṭ</w:t>
      </w:r>
      <w:r>
        <w:t>.</w:t>
      </w:r>
    </w:p>
    <w:p w14:paraId="553810A0" w14:textId="77777777" w:rsidR="00625A5B" w:rsidRDefault="00625A5B" w:rsidP="0013316B">
      <w:pPr>
        <w:pStyle w:val="Translit"/>
      </w:pPr>
      <w:r>
        <w:t>Sibti</w:t>
      </w:r>
      <w:r>
        <w:tab/>
        <w:t>Sib</w:t>
      </w:r>
      <w:r w:rsidRPr="0013316B">
        <w:t>ṭí</w:t>
      </w:r>
      <w:r>
        <w:tab/>
        <w:t>of the grandsons, tribes</w:t>
      </w:r>
    </w:p>
    <w:p w14:paraId="62E2B5DF" w14:textId="77777777" w:rsidR="00625A5B" w:rsidRPr="008F03E5" w:rsidRDefault="00625A5B" w:rsidP="002F3E79">
      <w:pPr>
        <w:pStyle w:val="Translit"/>
      </w:pPr>
      <w:r w:rsidRPr="008F03E5">
        <w:t>Siddiq</w:t>
      </w:r>
      <w:r w:rsidRPr="008F03E5">
        <w:tab/>
        <w:t>Ṣiddíq</w:t>
      </w:r>
      <w:r w:rsidRPr="008F03E5">
        <w:tab/>
        <w:t>strictly veracious, honest, righteous, upright; aṣ-Ṣiddíq epithet given to Caliph Abú Bakr by Muḥammad</w:t>
      </w:r>
    </w:p>
    <w:p w14:paraId="2E680D7F" w14:textId="77777777" w:rsidR="00625A5B" w:rsidRPr="008F03E5" w:rsidRDefault="00625A5B" w:rsidP="00BC249C">
      <w:pPr>
        <w:pStyle w:val="Translit"/>
      </w:pPr>
      <w:r w:rsidRPr="008F03E5">
        <w:t>Siddiqi, Siddiqui</w:t>
      </w:r>
      <w:r w:rsidRPr="008F03E5">
        <w:tab/>
        <w:t>Ṣiddíqí</w:t>
      </w:r>
      <w:r w:rsidRPr="008F03E5">
        <w:tab/>
        <w:t>descended from or associated with Ṣiddíq (Abú Bakr).  Siddiqui Urdu form.</w:t>
      </w:r>
    </w:p>
    <w:p w14:paraId="68DA80AC" w14:textId="77777777" w:rsidR="00625A5B" w:rsidRPr="008F03E5" w:rsidRDefault="00625A5B" w:rsidP="00443E86">
      <w:pPr>
        <w:pStyle w:val="Translit"/>
      </w:pPr>
      <w:r w:rsidRPr="008F03E5">
        <w:t>Sidih (Sedeh)</w:t>
      </w:r>
      <w:r w:rsidRPr="008F03E5">
        <w:tab/>
        <w:t>Sidih</w:t>
      </w:r>
      <w:r w:rsidRPr="008F03E5">
        <w:tab/>
        <w:t>Pers. (from Sih-Di</w:t>
      </w:r>
      <w:r w:rsidRPr="008F03E5">
        <w:rPr>
          <w:u w:val="single"/>
        </w:rPr>
        <w:t>zh</w:t>
      </w:r>
      <w:r w:rsidRPr="008F03E5">
        <w:t xml:space="preserve">, three fortresses) city renamed Humáyún </w:t>
      </w:r>
      <w:r w:rsidRPr="008F03E5">
        <w:rPr>
          <w:u w:val="single"/>
        </w:rPr>
        <w:t>Sh</w:t>
      </w:r>
      <w:r w:rsidRPr="008F03E5">
        <w:t xml:space="preserve">ahr (Humayun Shahr, 1930s–1979), </w:t>
      </w:r>
      <w:r w:rsidRPr="008F03E5">
        <w:rPr>
          <w:u w:val="single"/>
        </w:rPr>
        <w:t>Kh</w:t>
      </w:r>
      <w:r w:rsidRPr="008F03E5">
        <w:t xml:space="preserve">umayní </w:t>
      </w:r>
      <w:r w:rsidRPr="008F03E5">
        <w:rPr>
          <w:u w:val="single"/>
        </w:rPr>
        <w:t>Sh</w:t>
      </w:r>
      <w:r w:rsidRPr="008F03E5">
        <w:t>ahr (</w:t>
      </w:r>
      <w:r w:rsidRPr="008F03E5">
        <w:rPr>
          <w:u w:val="single"/>
        </w:rPr>
        <w:t>Kh</w:t>
      </w:r>
      <w:r w:rsidRPr="008F03E5">
        <w:t xml:space="preserve">omeyni </w:t>
      </w:r>
      <w:r w:rsidRPr="008F03E5">
        <w:rPr>
          <w:u w:val="single"/>
        </w:rPr>
        <w:t>Sh</w:t>
      </w:r>
      <w:r w:rsidRPr="008F03E5">
        <w:t>ahr, 1979–, 32.68917, 51.529151), now a western part of the Isfahan metropolitan area.  Locals continue to refer to the city as Sedeh.  Locals want to revert to the historical name:  Mihrbín (Mehrbin).  Sidih is also the name of a city in Fars Province.  Birthplace of two brothers, the Bahá’í poets Nayyir and Síná.</w:t>
      </w:r>
    </w:p>
    <w:p w14:paraId="218747E3" w14:textId="77777777" w:rsidR="00625A5B" w:rsidRPr="008F03E5" w:rsidRDefault="00625A5B" w:rsidP="00365397">
      <w:pPr>
        <w:pStyle w:val="Translit"/>
      </w:pPr>
      <w:r w:rsidRPr="008F03E5">
        <w:t>Sidq</w:t>
      </w:r>
      <w:r w:rsidRPr="008F03E5">
        <w:tab/>
        <w:t>Ṣidq</w:t>
      </w:r>
      <w:r w:rsidRPr="008F03E5">
        <w:tab/>
        <w:t>truth, trueness, truthfulness; sincerity, candour; veracity, correctness (of an allegation); efficiency</w:t>
      </w:r>
    </w:p>
    <w:p w14:paraId="5DDD9D8A" w14:textId="77777777" w:rsidR="00625A5B" w:rsidRPr="00DB6D67" w:rsidRDefault="00625A5B" w:rsidP="00F453E8">
      <w:pPr>
        <w:pStyle w:val="Translit"/>
        <w:rPr>
          <w:rFonts w:eastAsia="PMingLiU"/>
          <w:lang w:eastAsia="zh-TW"/>
        </w:rPr>
      </w:pPr>
      <w:r w:rsidRPr="008F03E5">
        <w:t>Sidr al-Muntaha, Sidratu’l-Muntaha</w:t>
      </w:r>
      <w:r w:rsidRPr="008F03E5">
        <w:tab/>
        <w:t>Sidr al-Muntahá, Sidratu’l-Muntahá</w:t>
      </w:r>
      <w:r w:rsidRPr="008F03E5">
        <w:tab/>
        <w:t>symbolically, the Lotus tree in the Seventh Heaven (Paradise); the heavenly mansion of the angel Gabriel.  The Divine Lotus-tree at the boundary, or the ‘Lote-tree beyond which there is no passing’, since, in ancient times, Arabs planted it to mark the end of a road—</w:t>
      </w:r>
      <w:r w:rsidRPr="008F03E5">
        <w:rPr>
          <w:i/>
          <w:iCs/>
        </w:rPr>
        <w:t>Ziziphus lotus, Ziziphus jujuba</w:t>
      </w:r>
      <w:r w:rsidRPr="008F03E5">
        <w:t xml:space="preserve"> or</w:t>
      </w:r>
      <w:r w:rsidRPr="008F03E5">
        <w:rPr>
          <w:i/>
          <w:iCs/>
        </w:rPr>
        <w:t xml:space="preserve"> Ziziphus spina-christi</w:t>
      </w:r>
      <w:r w:rsidRPr="008F03E5">
        <w:t xml:space="preserve"> (Palestine).  In the Bahá’í Writings, a symbol of the Manifestation of God, who is the “Tree beyond which neither men nor angels can pass” (i.e. no created thing), and beyond which is the Throne of God, according to Islamic beliefs; specifically, it refers to Bahá’u’lláh.  </w:t>
      </w:r>
      <w:r w:rsidRPr="00DB6D67">
        <w:t>Pers. Bahá’ís use Sadratu’l-Muntahá.</w:t>
      </w:r>
    </w:p>
    <w:p w14:paraId="19F19B51" w14:textId="77777777" w:rsidR="00625A5B" w:rsidRPr="008F03E5" w:rsidRDefault="00625A5B" w:rsidP="00F6639E">
      <w:pPr>
        <w:pStyle w:val="Translit"/>
      </w:pPr>
      <w:r w:rsidRPr="00DB6D67">
        <w:rPr>
          <w:rFonts w:eastAsia="PMingLiU"/>
          <w:lang w:eastAsia="zh-TW"/>
        </w:rPr>
        <w:t>Sidr, Sidra, Sidar, Sidarat, Sudur</w:t>
      </w:r>
      <w:r w:rsidRPr="00DB6D67">
        <w:rPr>
          <w:rFonts w:eastAsia="PMingLiU"/>
          <w:lang w:eastAsia="zh-TW"/>
        </w:rPr>
        <w:tab/>
        <w:t>Sidr, fem. Sidra[h or t]</w:t>
      </w:r>
      <w:r w:rsidRPr="00DB6D67">
        <w:rPr>
          <w:rFonts w:eastAsia="PMingLiU"/>
          <w:lang w:eastAsia="zh-TW"/>
        </w:rPr>
        <w:tab/>
        <w:t xml:space="preserve">(pl. </w:t>
      </w:r>
      <w:r w:rsidRPr="006F70B8">
        <w:rPr>
          <w:rFonts w:eastAsia="PMingLiU"/>
          <w:lang w:val="en-AU" w:eastAsia="zh-TW"/>
        </w:rPr>
        <w:t xml:space="preserve">Sidar, Sidarát, Sudúr) lotus tree:  </w:t>
      </w:r>
      <w:r w:rsidRPr="006F70B8">
        <w:rPr>
          <w:i/>
          <w:iCs/>
          <w:lang w:val="en-AU"/>
        </w:rPr>
        <w:t>Ziziphus lotus</w:t>
      </w:r>
      <w:r w:rsidRPr="006F70B8">
        <w:rPr>
          <w:lang w:val="en-AU"/>
        </w:rPr>
        <w:t xml:space="preserve"> (lotus tree, “jujube” tree)</w:t>
      </w:r>
      <w:r w:rsidRPr="006F70B8">
        <w:rPr>
          <w:i/>
          <w:iCs/>
          <w:lang w:val="en-AU"/>
        </w:rPr>
        <w:t>, Ziziphus jujuba</w:t>
      </w:r>
      <w:r w:rsidRPr="006F70B8">
        <w:rPr>
          <w:lang w:val="en-AU"/>
        </w:rPr>
        <w:t xml:space="preserve"> (true jujuba tree) or </w:t>
      </w:r>
      <w:r w:rsidRPr="006F70B8">
        <w:rPr>
          <w:rFonts w:eastAsia="PMingLiU"/>
          <w:lang w:val="en-AU" w:eastAsia="zh-TW"/>
        </w:rPr>
        <w:t>a variety of Christ’s-thorn (</w:t>
      </w:r>
      <w:r w:rsidRPr="006F70B8">
        <w:rPr>
          <w:i/>
          <w:iCs/>
          <w:lang w:val="en-AU"/>
        </w:rPr>
        <w:t>Zizyphus spina-christi</w:t>
      </w:r>
      <w:r w:rsidRPr="006F70B8">
        <w:rPr>
          <w:lang w:val="en-AU"/>
        </w:rPr>
        <w:t>, found in Palestine</w:t>
      </w:r>
      <w:r w:rsidRPr="006F70B8">
        <w:rPr>
          <w:rFonts w:eastAsia="PMingLiU"/>
          <w:lang w:val="en-AU" w:eastAsia="zh-TW"/>
        </w:rPr>
        <w:t>)</w:t>
      </w:r>
      <w:r w:rsidRPr="006F70B8">
        <w:rPr>
          <w:lang w:val="en-AU"/>
        </w:rPr>
        <w:t xml:space="preserve">.  </w:t>
      </w:r>
      <w:r w:rsidRPr="008F03E5">
        <w:t>Lotus tree may also refer to:  1.  Sidr al-Muntahá; 2.  the date-plum (</w:t>
      </w:r>
      <w:r w:rsidRPr="008F03E5">
        <w:rPr>
          <w:i/>
          <w:iCs/>
        </w:rPr>
        <w:t>Diospyros lotus</w:t>
      </w:r>
      <w:r w:rsidRPr="008F03E5">
        <w:t xml:space="preserve">); 3.  the European tree </w:t>
      </w:r>
      <w:r w:rsidRPr="008F03E5">
        <w:rPr>
          <w:i/>
          <w:iCs/>
        </w:rPr>
        <w:t>Celtis australis</w:t>
      </w:r>
      <w:r w:rsidRPr="008F03E5">
        <w:t>, also called the nettle tree.  Pers. Bahá’ís use sadra and sadrih.  Sadrih of Blessedness, i.e. the Báb.</w:t>
      </w:r>
    </w:p>
    <w:p w14:paraId="64E02048" w14:textId="77777777" w:rsidR="00625A5B" w:rsidRPr="00F238F8" w:rsidRDefault="00625A5B" w:rsidP="00F238F8">
      <w:pPr>
        <w:pStyle w:val="Translit"/>
      </w:pPr>
      <w:r w:rsidRPr="00DB6D67">
        <w:rPr>
          <w:rFonts w:eastAsia="PMingLiU"/>
          <w:lang w:val="fr-FR" w:eastAsia="zh-TW"/>
        </w:rPr>
        <w:t>Sifa, Sifat</w:t>
      </w:r>
      <w:r w:rsidRPr="00DB6D67">
        <w:rPr>
          <w:rFonts w:eastAsia="PMingLiU"/>
          <w:lang w:val="fr-FR" w:eastAsia="zh-TW"/>
        </w:rPr>
        <w:tab/>
        <w:t xml:space="preserve">Ṣifa[t], pl. </w:t>
      </w:r>
      <w:r w:rsidRPr="008F03E5">
        <w:rPr>
          <w:rFonts w:eastAsia="PMingLiU"/>
          <w:lang w:eastAsia="zh-TW"/>
        </w:rPr>
        <w:t>Ṣifát</w:t>
      </w:r>
      <w:r w:rsidRPr="008F03E5">
        <w:rPr>
          <w:rFonts w:eastAsia="PMingLiU"/>
          <w:lang w:eastAsia="zh-TW"/>
        </w:rPr>
        <w:tab/>
        <w:t>quality, property; attribute; characteristic, distinguishing mark, peculiarity</w:t>
      </w:r>
      <w:r w:rsidRPr="00F238F8">
        <w:t>.  Can be used for a “maker”</w:t>
      </w:r>
      <w:r>
        <w:t>,</w:t>
      </w:r>
      <w:r w:rsidRPr="00F238F8">
        <w:t xml:space="preserve"> </w:t>
      </w:r>
      <w:r>
        <w:t>“</w:t>
      </w:r>
      <w:r w:rsidRPr="00F238F8">
        <w:t>manufacturer</w:t>
      </w:r>
      <w:r>
        <w:t>” or “seller”</w:t>
      </w:r>
      <w:r w:rsidRPr="00F238F8">
        <w:t>.</w:t>
      </w:r>
      <w:r>
        <w:t xml:space="preserve">  </w:t>
      </w:r>
      <w:r w:rsidRPr="00F238F8">
        <w:t>It refers to a person who makes things or a business engaged in manufacturing some product.</w:t>
      </w:r>
    </w:p>
    <w:p w14:paraId="05434A4B" w14:textId="77777777" w:rsidR="00625A5B" w:rsidRPr="008F03E5" w:rsidRDefault="00625A5B" w:rsidP="00DE7BAA">
      <w:pPr>
        <w:pStyle w:val="Translit"/>
      </w:pPr>
      <w:r w:rsidRPr="008F03E5">
        <w:t>Sifahan</w:t>
      </w:r>
      <w:r w:rsidRPr="008F03E5">
        <w:tab/>
        <w:t>Ṣifáhán</w:t>
      </w:r>
      <w:r w:rsidRPr="008F03E5">
        <w:tab/>
        <w:t>Pers. alternative (local) pronunciation of Iṣfahán (standard set by Shoghi Effendi)</w:t>
      </w:r>
    </w:p>
    <w:p w14:paraId="0185D473" w14:textId="77777777" w:rsidR="00625A5B" w:rsidRPr="008F03E5" w:rsidRDefault="00625A5B" w:rsidP="00D12EE5">
      <w:pPr>
        <w:pStyle w:val="Translit"/>
      </w:pPr>
      <w:r w:rsidRPr="008F03E5">
        <w:t>Sifahani</w:t>
      </w:r>
      <w:r w:rsidRPr="008F03E5">
        <w:tab/>
        <w:t>Ṣifáhání</w:t>
      </w:r>
      <w:r w:rsidRPr="008F03E5">
        <w:tab/>
        <w:t>Pers. alternative name for an inhabitant of Iṣfahán</w:t>
      </w:r>
    </w:p>
    <w:p w14:paraId="0633F1E9" w14:textId="77777777" w:rsidR="00625A5B" w:rsidRPr="008F03E5" w:rsidRDefault="00625A5B" w:rsidP="00326BD7">
      <w:pPr>
        <w:pStyle w:val="Translit"/>
      </w:pPr>
      <w:r w:rsidRPr="008F03E5">
        <w:rPr>
          <w:rFonts w:eastAsia="PMingLiU"/>
          <w:lang w:eastAsia="zh-TW"/>
        </w:rPr>
        <w:t>Siffin</w:t>
      </w:r>
      <w:r w:rsidRPr="008F03E5">
        <w:tab/>
        <w:t>Ṣ</w:t>
      </w:r>
      <w:r w:rsidRPr="008F03E5">
        <w:rPr>
          <w:rFonts w:eastAsia="PMingLiU"/>
          <w:lang w:eastAsia="zh-TW"/>
        </w:rPr>
        <w:t>iffín</w:t>
      </w:r>
      <w:r w:rsidRPr="008F03E5">
        <w:tab/>
        <w:t>Battle of Ṣiffín (Jul 657) during the first Muslim civil war, was on the banks of the Euphrates River, in what is now ar-Raqqah, Syria.</w:t>
      </w:r>
    </w:p>
    <w:p w14:paraId="11D4189E" w14:textId="77777777" w:rsidR="00625A5B" w:rsidRPr="008F03E5" w:rsidRDefault="00625A5B" w:rsidP="000510FB">
      <w:pPr>
        <w:pStyle w:val="Translit"/>
      </w:pPr>
      <w:r w:rsidRPr="008F03E5">
        <w:t>Sifid (Sefid, Sipid)</w:t>
      </w:r>
      <w:r w:rsidRPr="008F03E5">
        <w:tab/>
        <w:t>Sifíd</w:t>
      </w:r>
      <w:r w:rsidRPr="008F03E5">
        <w:tab/>
        <w:t xml:space="preserve">Pers. </w:t>
      </w:r>
      <w:r w:rsidRPr="008F03E5">
        <w:rPr>
          <w:rFonts w:eastAsia="Times New Roman"/>
        </w:rPr>
        <w:t>white, fair; clear, evident, manifest.  Sif</w:t>
      </w:r>
      <w:r w:rsidRPr="008F03E5">
        <w:t>í</w:t>
      </w:r>
      <w:r w:rsidRPr="008F03E5">
        <w:rPr>
          <w:rFonts w:eastAsia="Times New Roman"/>
        </w:rPr>
        <w:t>d R</w:t>
      </w:r>
      <w:r w:rsidRPr="008F03E5">
        <w:t>ú</w:t>
      </w:r>
      <w:r w:rsidRPr="008F03E5">
        <w:rPr>
          <w:rFonts w:eastAsia="Times New Roman"/>
        </w:rPr>
        <w:t>d is the second longest river in Iran.  It flows north through Gilan Province into the Caspian Sea at Ra</w:t>
      </w:r>
      <w:r w:rsidRPr="008F03E5">
        <w:rPr>
          <w:rFonts w:eastAsia="Times New Roman"/>
          <w:u w:val="single"/>
        </w:rPr>
        <w:t>sh</w:t>
      </w:r>
      <w:r w:rsidRPr="008F03E5">
        <w:rPr>
          <w:rFonts w:eastAsia="Times New Roman"/>
        </w:rPr>
        <w:t>t.</w:t>
      </w:r>
    </w:p>
    <w:p w14:paraId="10C12162" w14:textId="77777777" w:rsidR="00625A5B" w:rsidRPr="008F03E5" w:rsidRDefault="00625A5B" w:rsidP="00E97103">
      <w:pPr>
        <w:pStyle w:val="Translit"/>
      </w:pPr>
      <w:r w:rsidRPr="008F03E5">
        <w:t>Sifr, Asfar</w:t>
      </w:r>
      <w:r w:rsidRPr="008F03E5">
        <w:tab/>
        <w:t>Ṣifr, Aṣfár</w:t>
      </w:r>
      <w:r w:rsidRPr="008F03E5">
        <w:tab/>
        <w:t>empty, nought; nothing.  Source of the English zero.  Root is ṣafira.  See Ṣafr</w:t>
      </w:r>
    </w:p>
    <w:p w14:paraId="5C2A5C5E" w14:textId="77777777" w:rsidR="00625A5B" w:rsidRPr="008F03E5" w:rsidRDefault="00625A5B" w:rsidP="00CE4298">
      <w:pPr>
        <w:pStyle w:val="Translit"/>
      </w:pPr>
      <w:r w:rsidRPr="008F03E5">
        <w:t>Sigha, Sighih, Siyagh</w:t>
      </w:r>
      <w:r w:rsidRPr="008F03E5">
        <w:tab/>
        <w:t>Ṣí</w:t>
      </w:r>
      <w:r w:rsidRPr="008F03E5">
        <w:rPr>
          <w:u w:val="single"/>
        </w:rPr>
        <w:t>gh</w:t>
      </w:r>
      <w:r w:rsidRPr="008F03E5">
        <w:t>a[h or t], pl. Ṣiya</w:t>
      </w:r>
      <w:r w:rsidRPr="008F03E5">
        <w:rPr>
          <w:u w:val="single"/>
        </w:rPr>
        <w:t>gh</w:t>
      </w:r>
      <w:r w:rsidRPr="008F03E5">
        <w:tab/>
        <w:t xml:space="preserve">a form or mould for casting metal; a form, shape, mode; formula; tense, voice, mood (in grammar); conjugation; verbal inflection; marriage, </w:t>
      </w:r>
      <w:r w:rsidRPr="008F03E5">
        <w:rPr>
          <w:rFonts w:eastAsia="Times New Roman"/>
        </w:rPr>
        <w:t xml:space="preserve">especially of the kind </w:t>
      </w:r>
      <w:r w:rsidRPr="008F03E5">
        <w:t>nikáḥ al-mut‘a</w:t>
      </w:r>
      <w:r w:rsidRPr="008F03E5">
        <w:rPr>
          <w:rFonts w:eastAsia="Times New Roman"/>
        </w:rPr>
        <w:t>, i.e.</w:t>
      </w:r>
      <w:r w:rsidRPr="008F03E5">
        <w:t xml:space="preserve"> a temporary marriage (concubinage); a woman married in that way (concubine).  Pers also Ṣí</w:t>
      </w:r>
      <w:r w:rsidRPr="008F03E5">
        <w:rPr>
          <w:u w:val="single"/>
        </w:rPr>
        <w:t>gh</w:t>
      </w:r>
      <w:r w:rsidRPr="008F03E5">
        <w:t>ih.</w:t>
      </w:r>
    </w:p>
    <w:p w14:paraId="60266756" w14:textId="77777777" w:rsidR="00625A5B" w:rsidRPr="008F03E5" w:rsidRDefault="00625A5B" w:rsidP="00863D8A">
      <w:pPr>
        <w:pStyle w:val="Translit"/>
      </w:pPr>
      <w:r w:rsidRPr="008F03E5">
        <w:t>Sigha-Khana (Sighih-Khanih)</w:t>
      </w:r>
      <w:r w:rsidRPr="008F03E5">
        <w:tab/>
        <w:t>Ṣí</w:t>
      </w:r>
      <w:r w:rsidRPr="008F03E5">
        <w:rPr>
          <w:u w:val="single"/>
        </w:rPr>
        <w:t>gh</w:t>
      </w:r>
      <w:r w:rsidRPr="008F03E5">
        <w:t>a-</w:t>
      </w:r>
      <w:r w:rsidRPr="008F03E5">
        <w:rPr>
          <w:u w:val="single"/>
        </w:rPr>
        <w:t>Kh</w:t>
      </w:r>
      <w:r w:rsidRPr="008F03E5">
        <w:t>ánah (Ṣí</w:t>
      </w:r>
      <w:r w:rsidRPr="008F03E5">
        <w:rPr>
          <w:u w:val="single"/>
        </w:rPr>
        <w:t>gh</w:t>
      </w:r>
      <w:r w:rsidRPr="008F03E5">
        <w:t>ih-</w:t>
      </w:r>
      <w:r w:rsidRPr="008F03E5">
        <w:rPr>
          <w:u w:val="single"/>
        </w:rPr>
        <w:t>Kh</w:t>
      </w:r>
      <w:r w:rsidRPr="008F03E5">
        <w:t>ánih)</w:t>
      </w:r>
      <w:r w:rsidRPr="008F03E5">
        <w:tab/>
        <w:t>“house of concubinage”</w:t>
      </w:r>
    </w:p>
    <w:p w14:paraId="3C574707" w14:textId="77777777" w:rsidR="00625A5B" w:rsidRPr="008F03E5" w:rsidRDefault="00625A5B" w:rsidP="00F71B55">
      <w:pPr>
        <w:pStyle w:val="Translit"/>
        <w:rPr>
          <w:rFonts w:eastAsia="PMingLiU"/>
          <w:lang w:eastAsia="zh-TW"/>
        </w:rPr>
      </w:pPr>
      <w:r w:rsidRPr="008F03E5">
        <w:rPr>
          <w:rFonts w:eastAsia="PMingLiU"/>
          <w:lang w:eastAsia="zh-TW"/>
        </w:rPr>
        <w:t>Sihr, Ashar, Suhur</w:t>
      </w:r>
      <w:r w:rsidRPr="008F03E5">
        <w:rPr>
          <w:rFonts w:eastAsia="PMingLiU"/>
          <w:lang w:eastAsia="zh-TW"/>
        </w:rPr>
        <w:tab/>
        <w:t>Siḥr, As</w:t>
      </w:r>
      <w:r w:rsidRPr="008F03E5">
        <w:t>ḥá</w:t>
      </w:r>
      <w:r w:rsidRPr="008F03E5">
        <w:rPr>
          <w:rFonts w:eastAsia="PMingLiU"/>
          <w:lang w:eastAsia="zh-TW"/>
        </w:rPr>
        <w:t>r, Su</w:t>
      </w:r>
      <w:r w:rsidRPr="008F03E5">
        <w:t>ḥú</w:t>
      </w:r>
      <w:r w:rsidRPr="008F03E5">
        <w:rPr>
          <w:rFonts w:eastAsia="PMingLiU"/>
          <w:lang w:eastAsia="zh-TW"/>
        </w:rPr>
        <w:t>r</w:t>
      </w:r>
      <w:r w:rsidRPr="008F03E5">
        <w:rPr>
          <w:rFonts w:eastAsia="PMingLiU"/>
          <w:lang w:eastAsia="zh-TW"/>
        </w:rPr>
        <w:tab/>
        <w:t>bewitchment, beguilement, enchantment, fascination;—pl. sorcery, witchcraft, magic; charm (of a woman)</w:t>
      </w:r>
    </w:p>
    <w:p w14:paraId="7B4CA9E3" w14:textId="77777777" w:rsidR="00625A5B" w:rsidRPr="00D03B93" w:rsidRDefault="00625A5B" w:rsidP="00D03B93">
      <w:pPr>
        <w:pStyle w:val="Translit"/>
        <w:rPr>
          <w:rFonts w:eastAsia="PMingLiU"/>
          <w:lang w:val="en-AU" w:eastAsia="zh-TW"/>
        </w:rPr>
      </w:pPr>
      <w:r>
        <w:rPr>
          <w:rFonts w:eastAsia="Times New Roman"/>
        </w:rPr>
        <w:t>Sijjin (Sejjin)</w:t>
      </w:r>
      <w:r>
        <w:rPr>
          <w:rFonts w:eastAsia="Times New Roman"/>
        </w:rPr>
        <w:tab/>
        <w:t>S</w:t>
      </w:r>
      <w:r w:rsidRPr="00D03B93">
        <w:rPr>
          <w:rFonts w:eastAsia="Times New Roman"/>
        </w:rPr>
        <w:t>ijjín</w:t>
      </w:r>
      <w:r>
        <w:rPr>
          <w:rFonts w:eastAsia="Times New Roman"/>
        </w:rPr>
        <w:tab/>
        <w:t>c</w:t>
      </w:r>
      <w:r w:rsidRPr="00AF4D34">
        <w:rPr>
          <w:rFonts w:eastAsia="Times New Roman"/>
        </w:rPr>
        <w:t>ontinual, violent; a place where the crimes of reprobates are registered by demons; a valley or dungeon of hell; the se</w:t>
      </w:r>
      <w:r>
        <w:rPr>
          <w:rFonts w:eastAsia="Times New Roman"/>
        </w:rPr>
        <w:t>v</w:t>
      </w:r>
      <w:r w:rsidRPr="00AF4D34">
        <w:rPr>
          <w:rFonts w:eastAsia="Times New Roman"/>
        </w:rPr>
        <w:t>enth hell</w:t>
      </w:r>
      <w:r>
        <w:rPr>
          <w:rFonts w:eastAsia="Times New Roman"/>
        </w:rPr>
        <w:t>; the substance of hell</w:t>
      </w:r>
      <w:r w:rsidRPr="00AF4D34">
        <w:rPr>
          <w:rFonts w:eastAsia="Times New Roman"/>
        </w:rPr>
        <w:t>.</w:t>
      </w:r>
    </w:p>
    <w:p w14:paraId="471E5B35" w14:textId="77777777" w:rsidR="00625A5B" w:rsidRPr="00550CD8" w:rsidRDefault="00625A5B" w:rsidP="00550CD8">
      <w:pPr>
        <w:pStyle w:val="Translit"/>
        <w:rPr>
          <w:lang w:val="en-AU"/>
        </w:rPr>
      </w:pPr>
      <w:r w:rsidRPr="00550CD8">
        <w:rPr>
          <w:lang w:val="en-AU"/>
        </w:rPr>
        <w:t>Sijn al-A’zam</w:t>
      </w:r>
      <w:r w:rsidRPr="00550CD8">
        <w:rPr>
          <w:lang w:val="en-AU"/>
        </w:rPr>
        <w:tab/>
        <w:t>Sijn al-A‘ẓam</w:t>
      </w:r>
      <w:r w:rsidRPr="00550CD8">
        <w:rPr>
          <w:lang w:val="en-AU"/>
        </w:rPr>
        <w:tab/>
      </w:r>
      <w:r>
        <w:rPr>
          <w:lang w:val="en-AU"/>
        </w:rPr>
        <w:t xml:space="preserve">name given to </w:t>
      </w:r>
      <w:r w:rsidRPr="00550CD8">
        <w:rPr>
          <w:lang w:val="en-AU"/>
        </w:rPr>
        <w:t>the greatest prison of ‘Akká</w:t>
      </w:r>
    </w:p>
    <w:p w14:paraId="729DCFC0" w14:textId="77777777" w:rsidR="00625A5B" w:rsidRPr="001457C8" w:rsidRDefault="00625A5B" w:rsidP="00760832">
      <w:pPr>
        <w:pStyle w:val="Translit"/>
        <w:rPr>
          <w:rFonts w:eastAsia="PMingLiU"/>
          <w:lang w:val="fr-FR" w:eastAsia="zh-TW"/>
        </w:rPr>
      </w:pPr>
      <w:r w:rsidRPr="001457C8">
        <w:rPr>
          <w:rFonts w:eastAsia="PMingLiU"/>
          <w:lang w:val="fr-FR" w:eastAsia="zh-TW"/>
        </w:rPr>
        <w:t>Sijn, Sujun</w:t>
      </w:r>
      <w:r w:rsidRPr="001457C8">
        <w:rPr>
          <w:rFonts w:eastAsia="PMingLiU"/>
          <w:lang w:val="fr-FR" w:eastAsia="zh-TW"/>
        </w:rPr>
        <w:tab/>
        <w:t>Sijn, pl. Sujún</w:t>
      </w:r>
      <w:r w:rsidRPr="001457C8">
        <w:rPr>
          <w:rFonts w:eastAsia="PMingLiU"/>
          <w:lang w:val="fr-FR" w:eastAsia="zh-TW"/>
        </w:rPr>
        <w:tab/>
        <w:t>prison, jail.</w:t>
      </w:r>
    </w:p>
    <w:p w14:paraId="2B37EE3D" w14:textId="77777777" w:rsidR="00625A5B" w:rsidRPr="00551E14" w:rsidRDefault="00625A5B" w:rsidP="00843A3B">
      <w:pPr>
        <w:pStyle w:val="Translit"/>
        <w:rPr>
          <w:lang w:val="en-AU"/>
        </w:rPr>
      </w:pPr>
      <w:r w:rsidRPr="00E4613C">
        <w:rPr>
          <w:lang w:val="en-AU"/>
        </w:rPr>
        <w:t>Sijn-i-Matin</w:t>
      </w:r>
      <w:r w:rsidRPr="00E4613C">
        <w:rPr>
          <w:lang w:val="en-AU"/>
        </w:rPr>
        <w:tab/>
        <w:t>Sijn-i-Matín</w:t>
      </w:r>
      <w:r w:rsidRPr="00E4613C">
        <w:rPr>
          <w:lang w:val="en-AU"/>
        </w:rPr>
        <w:tab/>
        <w:t xml:space="preserve">Pers. the “Mighty Prison”, a name given by Bahá’u’lláh to </w:t>
      </w:r>
      <w:r w:rsidRPr="00E4613C">
        <w:rPr>
          <w:u w:val="single"/>
          <w:lang w:val="en-AU"/>
        </w:rPr>
        <w:t>Ch</w:t>
      </w:r>
      <w:r w:rsidRPr="00E4613C">
        <w:rPr>
          <w:lang w:val="en-AU"/>
        </w:rPr>
        <w:t xml:space="preserve">úbín Dar Zindán.  </w:t>
      </w:r>
      <w:r w:rsidRPr="00551E14">
        <w:rPr>
          <w:lang w:val="en-AU"/>
        </w:rPr>
        <w:t xml:space="preserve">See </w:t>
      </w:r>
      <w:r w:rsidRPr="00551E14">
        <w:rPr>
          <w:u w:val="single"/>
          <w:lang w:val="en-AU"/>
        </w:rPr>
        <w:t>Ch</w:t>
      </w:r>
      <w:r w:rsidRPr="00551E14">
        <w:rPr>
          <w:lang w:val="en-AU"/>
        </w:rPr>
        <w:t>úbíndar.</w:t>
      </w:r>
    </w:p>
    <w:p w14:paraId="1BBB6CCF" w14:textId="77777777" w:rsidR="00625A5B" w:rsidRPr="008F03E5" w:rsidRDefault="00625A5B" w:rsidP="006A3711">
      <w:pPr>
        <w:pStyle w:val="Translit"/>
      </w:pPr>
      <w:r w:rsidRPr="00551E14">
        <w:rPr>
          <w:lang w:val="en-AU"/>
        </w:rPr>
        <w:t xml:space="preserve">Sikak </w:t>
      </w:r>
      <w:r w:rsidRPr="008F03E5">
        <w:t>(Shikak)</w:t>
      </w:r>
      <w:r w:rsidRPr="008F03E5">
        <w:tab/>
        <w:t>Şikák</w:t>
      </w:r>
      <w:r w:rsidRPr="008F03E5">
        <w:tab/>
        <w:t>Kurdish.  Simko Shikak (born Ismá‘íl Á</w:t>
      </w:r>
      <w:r w:rsidRPr="008F03E5">
        <w:rPr>
          <w:u w:val="single"/>
        </w:rPr>
        <w:t>gh</w:t>
      </w:r>
      <w:r w:rsidRPr="008F03E5">
        <w:t>á Şikák 1887–1930)</w:t>
      </w:r>
      <w:r w:rsidRPr="008F03E5">
        <w:rPr>
          <w:rFonts w:ascii="Times New Roman" w:hAnsi="Times New Roman"/>
        </w:rPr>
        <w:t xml:space="preserve"> </w:t>
      </w:r>
      <w:r w:rsidRPr="008F03E5">
        <w:t xml:space="preserve">was a Kurdish chieftain of the Shekak tribe.  He was born into a prominent Kurdish feudal family based on </w:t>
      </w:r>
      <w:r w:rsidRPr="008F03E5">
        <w:rPr>
          <w:u w:val="single"/>
        </w:rPr>
        <w:t>Ch</w:t>
      </w:r>
      <w:r w:rsidRPr="008F03E5">
        <w:t>ihríq Fortress (“Shimko Castle”).  He led the Simko Shikak tribal Kurdish revolt against the Qajar dynasty from 1918 to 1922.</w:t>
      </w:r>
    </w:p>
    <w:p w14:paraId="004A0217" w14:textId="77777777" w:rsidR="00625A5B" w:rsidRPr="008F03E5" w:rsidRDefault="00625A5B" w:rsidP="00BA6985">
      <w:pPr>
        <w:pStyle w:val="Translit"/>
        <w:rPr>
          <w:rFonts w:eastAsia="Times New Roman"/>
        </w:rPr>
      </w:pPr>
      <w:r w:rsidRPr="008F03E5">
        <w:rPr>
          <w:rFonts w:eastAsia="Times New Roman"/>
        </w:rPr>
        <w:t>Sikandar</w:t>
      </w:r>
      <w:r w:rsidRPr="008F03E5">
        <w:rPr>
          <w:rFonts w:eastAsia="Times New Roman"/>
        </w:rPr>
        <w:tab/>
        <w:t>Sikandar</w:t>
      </w:r>
      <w:r w:rsidRPr="008F03E5">
        <w:rPr>
          <w:rFonts w:eastAsia="Times New Roman"/>
        </w:rPr>
        <w:tab/>
        <w:t xml:space="preserve">Pers. Alexander; two princes of this name are much celebrated in the East, both distinguished by the title of </w:t>
      </w:r>
      <w:r w:rsidRPr="008F03E5">
        <w:rPr>
          <w:i/>
          <w:iCs/>
          <w:u w:val="single"/>
        </w:rPr>
        <w:t>dh</w:t>
      </w:r>
      <w:r w:rsidRPr="008F03E5">
        <w:rPr>
          <w:rFonts w:eastAsia="Times New Roman"/>
          <w:i/>
          <w:iCs/>
        </w:rPr>
        <w:t>ú’l-qarnayn,</w:t>
      </w:r>
      <w:r w:rsidRPr="008F03E5">
        <w:rPr>
          <w:rFonts w:eastAsia="Times New Roman"/>
        </w:rPr>
        <w:t xml:space="preserve"> “Having two horns (of the world)”, implying that they conquered the globe from east to west; the first supposed to be one of the most ancient kings; the other, Alexander of Macedon, also called Bin Filikus (son of Philip </w:t>
      </w:r>
      <w:r w:rsidRPr="008F03E5">
        <w:rPr>
          <w:rFonts w:eastAsia="Times New Roman"/>
          <w:sz w:val="16"/>
          <w:szCs w:val="16"/>
        </w:rPr>
        <w:t>II</w:t>
      </w:r>
      <w:r w:rsidRPr="008F03E5">
        <w:rPr>
          <w:rFonts w:eastAsia="Times New Roman"/>
        </w:rPr>
        <w:t>), and Rúmí (the Grecian)</w:t>
      </w:r>
    </w:p>
    <w:p w14:paraId="323EEB5F" w14:textId="77777777" w:rsidR="00625A5B" w:rsidRPr="008F03E5" w:rsidRDefault="00625A5B" w:rsidP="00445F45">
      <w:pPr>
        <w:pStyle w:val="Translit"/>
        <w:rPr>
          <w:rFonts w:eastAsia="PMingLiU"/>
          <w:lang w:eastAsia="zh-TW"/>
        </w:rPr>
      </w:pPr>
      <w:r w:rsidRPr="008F03E5">
        <w:rPr>
          <w:rFonts w:eastAsia="PMingLiU"/>
          <w:lang w:eastAsia="zh-TW"/>
        </w:rPr>
        <w:t>Silah, Aslih</w:t>
      </w:r>
      <w:r w:rsidRPr="008F03E5">
        <w:rPr>
          <w:rFonts w:eastAsia="PMingLiU"/>
          <w:lang w:eastAsia="zh-TW"/>
        </w:rPr>
        <w:tab/>
        <w:t>Siláḥ, pl. Asliḥa</w:t>
      </w:r>
      <w:r w:rsidRPr="008F03E5">
        <w:rPr>
          <w:rFonts w:eastAsia="PMingLiU"/>
          <w:lang w:eastAsia="zh-TW"/>
        </w:rPr>
        <w:tab/>
        <w:t>arm, weapon; arms, weapons; service (as a branch of the armed forces); armour; steel gripper, steel claw; ploughshare</w:t>
      </w:r>
    </w:p>
    <w:p w14:paraId="32D86C23" w14:textId="77777777" w:rsidR="00625A5B" w:rsidRPr="008F03E5" w:rsidRDefault="00625A5B" w:rsidP="003A0E88">
      <w:pPr>
        <w:pStyle w:val="Translit"/>
        <w:rPr>
          <w:rFonts w:eastAsia="PMingLiU"/>
          <w:lang w:eastAsia="zh-TW"/>
        </w:rPr>
      </w:pPr>
      <w:r w:rsidRPr="008F03E5">
        <w:rPr>
          <w:rFonts w:eastAsia="PMingLiU"/>
          <w:lang w:eastAsia="zh-TW"/>
        </w:rPr>
        <w:t>Silm</w:t>
      </w:r>
      <w:r w:rsidRPr="008F03E5">
        <w:rPr>
          <w:rFonts w:eastAsia="PMingLiU"/>
          <w:lang w:eastAsia="zh-TW"/>
        </w:rPr>
        <w:tab/>
        <w:t>Silm m. and f.</w:t>
      </w:r>
      <w:r w:rsidRPr="008F03E5">
        <w:rPr>
          <w:rFonts w:eastAsia="PMingLiU"/>
          <w:lang w:eastAsia="zh-TW"/>
        </w:rPr>
        <w:tab/>
        <w:t>peace; the religion of Isl</w:t>
      </w:r>
      <w:r w:rsidRPr="008F03E5">
        <w:t>á</w:t>
      </w:r>
      <w:r w:rsidRPr="008F03E5">
        <w:rPr>
          <w:rFonts w:eastAsia="PMingLiU"/>
          <w:lang w:eastAsia="zh-TW"/>
        </w:rPr>
        <w:t>m.</w:t>
      </w:r>
    </w:p>
    <w:p w14:paraId="33B94DA9" w14:textId="77777777" w:rsidR="00625A5B" w:rsidRPr="00291EAC" w:rsidRDefault="00625A5B" w:rsidP="00330DB9">
      <w:pPr>
        <w:pStyle w:val="Translit"/>
        <w:rPr>
          <w:rFonts w:eastAsia="PMingLiU"/>
          <w:lang w:val="fr-FR" w:eastAsia="zh-TW"/>
        </w:rPr>
      </w:pPr>
      <w:r w:rsidRPr="001457C8">
        <w:rPr>
          <w:rFonts w:eastAsia="PMingLiU"/>
          <w:lang w:val="fr-FR" w:eastAsia="zh-TW"/>
        </w:rPr>
        <w:t>Silsila (Silsilah, Silsilat), Salasil</w:t>
      </w:r>
      <w:r w:rsidRPr="001457C8">
        <w:rPr>
          <w:rFonts w:eastAsia="PMingLiU"/>
          <w:lang w:val="fr-FR" w:eastAsia="zh-TW"/>
        </w:rPr>
        <w:tab/>
        <w:t>Silsila[h or t], pl. Salásil</w:t>
      </w:r>
      <w:r w:rsidRPr="001457C8">
        <w:rPr>
          <w:rFonts w:eastAsia="PMingLiU"/>
          <w:lang w:val="fr-FR" w:eastAsia="zh-TW"/>
        </w:rPr>
        <w:tab/>
        <w:t xml:space="preserve">iron chain; chain (also figurative); series (of essays, articles, etc.)  </w:t>
      </w:r>
      <w:r w:rsidRPr="00291EAC">
        <w:rPr>
          <w:rFonts w:eastAsia="PMingLiU"/>
          <w:lang w:val="fr-FR" w:eastAsia="zh-TW"/>
        </w:rPr>
        <w:t xml:space="preserve">See </w:t>
      </w:r>
      <w:r w:rsidRPr="00291EAC">
        <w:rPr>
          <w:lang w:val="fr-FR"/>
        </w:rPr>
        <w:t>qará-gawhar</w:t>
      </w:r>
    </w:p>
    <w:p w14:paraId="66E52927" w14:textId="77777777" w:rsidR="00625A5B" w:rsidRPr="008F03E5" w:rsidRDefault="00625A5B" w:rsidP="00246525">
      <w:pPr>
        <w:pStyle w:val="Translit"/>
        <w:rPr>
          <w:rFonts w:eastAsia="PMingLiU"/>
          <w:lang w:eastAsia="zh-TW"/>
        </w:rPr>
      </w:pPr>
      <w:r w:rsidRPr="00291EAC">
        <w:rPr>
          <w:rFonts w:eastAsia="PMingLiU"/>
          <w:lang w:val="fr-FR" w:eastAsia="zh-TW"/>
        </w:rPr>
        <w:t>Sima, Simat</w:t>
      </w:r>
      <w:r w:rsidRPr="00291EAC">
        <w:rPr>
          <w:rFonts w:eastAsia="PMingLiU"/>
          <w:lang w:val="fr-FR" w:eastAsia="zh-TW"/>
        </w:rPr>
        <w:tab/>
        <w:t xml:space="preserve">Sima[h or t], pl. </w:t>
      </w:r>
      <w:r w:rsidRPr="008F03E5">
        <w:rPr>
          <w:rFonts w:eastAsia="PMingLiU"/>
          <w:lang w:eastAsia="zh-TW"/>
        </w:rPr>
        <w:t>Simát</w:t>
      </w:r>
      <w:r w:rsidRPr="008F03E5">
        <w:rPr>
          <w:rFonts w:eastAsia="PMingLiU"/>
          <w:lang w:eastAsia="zh-TW"/>
        </w:rPr>
        <w:tab/>
        <w:t>sign, mark, characteristic; outward characteristic, feature, trait; stamp, impress, character (of something); visa (Saudi Arabia);—pl. also:  features, facial  expression, mien, bearing</w:t>
      </w:r>
    </w:p>
    <w:p w14:paraId="0068B86E" w14:textId="77777777" w:rsidR="00625A5B" w:rsidRPr="008F03E5" w:rsidRDefault="00625A5B" w:rsidP="007F0BEE">
      <w:pPr>
        <w:pStyle w:val="Translit"/>
        <w:rPr>
          <w:rFonts w:eastAsia="PMingLiU"/>
          <w:lang w:eastAsia="zh-TW"/>
        </w:rPr>
      </w:pPr>
      <w:r w:rsidRPr="008F03E5">
        <w:rPr>
          <w:rFonts w:eastAsia="PMingLiU"/>
          <w:lang w:eastAsia="zh-TW"/>
        </w:rPr>
        <w:t>Simin</w:t>
      </w:r>
      <w:r w:rsidRPr="008F03E5">
        <w:tab/>
      </w:r>
      <w:r w:rsidRPr="008F03E5">
        <w:rPr>
          <w:rFonts w:eastAsia="PMingLiU"/>
          <w:lang w:eastAsia="zh-TW"/>
        </w:rPr>
        <w:t>Símín</w:t>
      </w:r>
      <w:r w:rsidRPr="008F03E5">
        <w:tab/>
        <w:t>Pers. of silver, silverized, overlaid or incrusted with silver; fair, delicate</w:t>
      </w:r>
    </w:p>
    <w:p w14:paraId="4C77FFB8" w14:textId="77777777" w:rsidR="00625A5B" w:rsidRPr="008F03E5" w:rsidRDefault="00625A5B" w:rsidP="00863D8A">
      <w:pPr>
        <w:pStyle w:val="Translit"/>
      </w:pPr>
      <w:r w:rsidRPr="008F03E5">
        <w:t>Simnan (Semnan)</w:t>
      </w:r>
      <w:r w:rsidRPr="008F03E5">
        <w:tab/>
        <w:t>Simnán</w:t>
      </w:r>
      <w:r w:rsidRPr="008F03E5">
        <w:tab/>
        <w:t>capital city of Simnán district, 180 km east of Ṭihrán</w:t>
      </w:r>
    </w:p>
    <w:p w14:paraId="329A12AF" w14:textId="77777777" w:rsidR="00625A5B" w:rsidRPr="008F03E5" w:rsidRDefault="00625A5B" w:rsidP="008F5BD0">
      <w:pPr>
        <w:pStyle w:val="Translit"/>
      </w:pPr>
      <w:r w:rsidRPr="008F03E5">
        <w:t>Simt, Simtayn (Simtain), Sumut</w:t>
      </w:r>
      <w:r w:rsidRPr="008F03E5">
        <w:tab/>
        <w:t>Simṭ, dual Simṭayn, pl. Sumúṭ</w:t>
      </w:r>
      <w:r w:rsidRPr="008F03E5">
        <w:tab/>
        <w:t>string, thread (of a pearl necklace); a</w:t>
      </w:r>
      <w:r w:rsidRPr="008F03E5">
        <w:rPr>
          <w:rFonts w:eastAsia="Times New Roman"/>
        </w:rPr>
        <w:t xml:space="preserve"> thread upon which beads or pearls are strung; a long necklace; a strap hanging from the saddle with which burdens are fastened</w:t>
      </w:r>
    </w:p>
    <w:p w14:paraId="5BCB8775" w14:textId="77777777" w:rsidR="00625A5B" w:rsidRPr="008F03E5" w:rsidRDefault="00625A5B" w:rsidP="00B064AF">
      <w:pPr>
        <w:pStyle w:val="Translit"/>
      </w:pPr>
      <w:r w:rsidRPr="008F03E5">
        <w:t>Simurgh (Simorgh)</w:t>
      </w:r>
      <w:r w:rsidRPr="008F03E5">
        <w:tab/>
        <w:t>Símur</w:t>
      </w:r>
      <w:r w:rsidRPr="008F03E5">
        <w:rPr>
          <w:u w:val="single"/>
        </w:rPr>
        <w:t>gh</w:t>
      </w:r>
      <w:r w:rsidRPr="008F03E5">
        <w:tab/>
        <w:t>Pers. “benevolent, mythical flying creature” in Iranian mythology and literature.  Word derived from sí mur</w:t>
      </w:r>
      <w:r w:rsidRPr="008F03E5">
        <w:rPr>
          <w:u w:val="single"/>
        </w:rPr>
        <w:t>gh</w:t>
      </w:r>
      <w:r w:rsidRPr="008F03E5">
        <w:t xml:space="preserve"> (“thirty birds”), which was used by ‘Aṭṭár of Ní</w:t>
      </w:r>
      <w:r w:rsidRPr="008F03E5">
        <w:rPr>
          <w:u w:val="single"/>
        </w:rPr>
        <w:t>sh</w:t>
      </w:r>
      <w:r w:rsidRPr="008F03E5">
        <w:t>ápúr in his symbolic story “The Conference of the Birds” or “Speech of the Birds” in which he played with the name.  See ‘anqá’</w:t>
      </w:r>
    </w:p>
    <w:p w14:paraId="2A188313" w14:textId="77777777" w:rsidR="00625A5B" w:rsidRPr="008F03E5" w:rsidRDefault="00625A5B" w:rsidP="00673433">
      <w:pPr>
        <w:pStyle w:val="Translit"/>
      </w:pPr>
      <w:r w:rsidRPr="008F03E5">
        <w:t>Sin</w:t>
      </w:r>
      <w:r w:rsidRPr="008F03E5">
        <w:tab/>
        <w:t>Sín</w:t>
      </w:r>
      <w:r w:rsidRPr="008F03E5">
        <w:tab/>
        <w:t>name of an Arabic letter</w:t>
      </w:r>
    </w:p>
    <w:p w14:paraId="09693524" w14:textId="77777777" w:rsidR="00625A5B" w:rsidRPr="008F03E5" w:rsidRDefault="00625A5B" w:rsidP="001D6A7E">
      <w:pPr>
        <w:pStyle w:val="Translit"/>
      </w:pPr>
      <w:r w:rsidRPr="008F03E5">
        <w:t>Sina, Sayna’</w:t>
      </w:r>
      <w:r>
        <w:t>, Sinin, Siniyn</w:t>
      </w:r>
      <w:r w:rsidRPr="008F03E5">
        <w:tab/>
        <w:t>Síná, Síná’, Sayná’</w:t>
      </w:r>
      <w:r>
        <w:t>, S</w:t>
      </w:r>
      <w:r w:rsidRPr="00F874ED">
        <w:t>í</w:t>
      </w:r>
      <w:r>
        <w:t>n</w:t>
      </w:r>
      <w:r w:rsidRPr="00F874ED">
        <w:t>í</w:t>
      </w:r>
      <w:r>
        <w:t>n, S</w:t>
      </w:r>
      <w:r w:rsidRPr="00F874ED">
        <w:t>í</w:t>
      </w:r>
      <w:r>
        <w:t>niyn</w:t>
      </w:r>
      <w:r w:rsidRPr="008F03E5">
        <w:tab/>
        <w:t xml:space="preserve">Sinai (English and Greek).  The Sinai Peninsula and Mount Sinai are modern names.  </w:t>
      </w:r>
      <w:r>
        <w:t>Mentions in the Qur’án are:  al-Jabal, a</w:t>
      </w:r>
      <w:r w:rsidRPr="005C78A4">
        <w:t>ṭ</w:t>
      </w:r>
      <w:r>
        <w:t>-</w:t>
      </w:r>
      <w:r w:rsidRPr="00F874ED">
        <w:t>Ṭú</w:t>
      </w:r>
      <w:r>
        <w:t xml:space="preserve">r (52:1); </w:t>
      </w:r>
      <w:r w:rsidRPr="008F03E5">
        <w:t xml:space="preserve">Ṭúri Sayná’ (23:20) and </w:t>
      </w:r>
      <w:r w:rsidRPr="00F874ED">
        <w:t>Ṭú</w:t>
      </w:r>
      <w:r>
        <w:t>r</w:t>
      </w:r>
      <w:r w:rsidRPr="008F03E5">
        <w:t xml:space="preserve"> Sínín</w:t>
      </w:r>
      <w:r>
        <w:t xml:space="preserve"> (or </w:t>
      </w:r>
      <w:r w:rsidRPr="00F874ED">
        <w:t>Ṭú</w:t>
      </w:r>
      <w:r>
        <w:t>r S</w:t>
      </w:r>
      <w:r w:rsidRPr="00F874ED">
        <w:t>í</w:t>
      </w:r>
      <w:r>
        <w:t xml:space="preserve">niyn) </w:t>
      </w:r>
      <w:r w:rsidRPr="008F03E5">
        <w:t xml:space="preserve">(95:2) </w:t>
      </w:r>
      <w:r>
        <w:t>(genitive forms)—all</w:t>
      </w:r>
      <w:r w:rsidRPr="008F03E5">
        <w:t xml:space="preserve"> refer to Jabal Músá, but are interpreted as Mount Sinai.  Sinai represents the human heart (Shoghi Effendi, </w:t>
      </w:r>
      <w:r w:rsidRPr="008F03E5">
        <w:rPr>
          <w:i/>
          <w:iCs/>
        </w:rPr>
        <w:t>Light of Divine Guidance</w:t>
      </w:r>
      <w:r w:rsidRPr="008F03E5">
        <w:t>, Vol. 2, pp. 64–5).  See Jabal al-Lawz.  Abú-‘Alí al-Ḥusayn ibn ‘Abd Alláh ibn Síná (</w:t>
      </w:r>
      <w:r w:rsidRPr="008F03E5">
        <w:rPr>
          <w:sz w:val="16"/>
          <w:szCs w:val="16"/>
        </w:rPr>
        <w:t>CE</w:t>
      </w:r>
      <w:r w:rsidRPr="008F03E5">
        <w:t xml:space="preserve"> 980–1037) also known as Abú ‘Alí Síná, and often known in the West as Avicenna (a corruption of ibn Síná), was a Persian polymath who is regarded as one of the most significant physicians, astronomers, thinkers and writers of the Islamic Golden Age, and the father of early modern medicine.  Famous Bahá’í poet Áqá Sayyid Ismá‘íl Síná (1848–1917), Síná is a </w:t>
      </w:r>
      <w:r w:rsidRPr="008F03E5">
        <w:rPr>
          <w:i/>
          <w:iCs/>
        </w:rPr>
        <w:t>nom de guerre</w:t>
      </w:r>
      <w:r w:rsidRPr="008F03E5">
        <w:t>, born in Sidih, brother of Nayyir.</w:t>
      </w:r>
    </w:p>
    <w:p w14:paraId="24285343" w14:textId="77777777" w:rsidR="00625A5B" w:rsidRPr="008F03E5" w:rsidRDefault="00625A5B" w:rsidP="00744D45">
      <w:pPr>
        <w:pStyle w:val="Translit"/>
      </w:pPr>
      <w:r w:rsidRPr="008F03E5">
        <w:t>Sinan</w:t>
      </w:r>
      <w:r w:rsidRPr="008F03E5">
        <w:tab/>
        <w:t>Sinán</w:t>
      </w:r>
      <w:r w:rsidRPr="008F03E5">
        <w:tab/>
        <w:t>spearhead or spear; the point of an arrow or needle; a whetstone.  Name of famous Ottoman architect.</w:t>
      </w:r>
    </w:p>
    <w:p w14:paraId="3A0EF91F" w14:textId="77777777" w:rsidR="00625A5B" w:rsidRPr="008F03E5" w:rsidRDefault="00625A5B" w:rsidP="004F03A6">
      <w:pPr>
        <w:pStyle w:val="Translit"/>
      </w:pPr>
      <w:r w:rsidRPr="008F03E5">
        <w:t>Sinjan, Sanaja, Sanajat (Sannajat)</w:t>
      </w:r>
      <w:r w:rsidRPr="008F03E5">
        <w:tab/>
        <w:t>Ṣínján, fem. Ṣanája[h or t], pl. Ṣanaját</w:t>
      </w:r>
      <w:r w:rsidRPr="008F03E5">
        <w:tab/>
        <w:t>castanets</w:t>
      </w:r>
    </w:p>
    <w:p w14:paraId="6B77F48C" w14:textId="77777777" w:rsidR="00625A5B" w:rsidRPr="008F03E5" w:rsidRDefault="00625A5B" w:rsidP="00F7464E">
      <w:pPr>
        <w:pStyle w:val="Translit"/>
      </w:pPr>
      <w:r w:rsidRPr="001457C8">
        <w:rPr>
          <w:lang w:val="de-DE"/>
        </w:rPr>
        <w:t>Sinn, Asnan, Asinna, Asunn, Sinan</w:t>
      </w:r>
      <w:r w:rsidRPr="001457C8">
        <w:rPr>
          <w:lang w:val="de-DE"/>
        </w:rPr>
        <w:tab/>
        <w:t xml:space="preserve">Sinn fem., pl. </w:t>
      </w:r>
      <w:r w:rsidRPr="008F03E5">
        <w:t>Asnán, Asinna, Asunn</w:t>
      </w:r>
      <w:r w:rsidRPr="008F03E5">
        <w:tab/>
        <w:t>(pl. also sínán) tooth (also, e.g., of a comb; of a saw blade); jag; cog, sprocket, prong; tusk (of an elephant, of a boar, etc.); fang (of a snake, etc.); point, tip (of a nail), nib (of a pen);—pl. Asnán) age (of a person)</w:t>
      </w:r>
    </w:p>
    <w:p w14:paraId="73ED9A57" w14:textId="77777777" w:rsidR="00625A5B" w:rsidRPr="008F03E5" w:rsidRDefault="00625A5B" w:rsidP="00F7464E">
      <w:pPr>
        <w:pStyle w:val="Translit"/>
      </w:pPr>
      <w:r w:rsidRPr="008F03E5">
        <w:t>Sinope</w:t>
      </w:r>
      <w:r w:rsidRPr="008F03E5">
        <w:tab/>
        <w:t>Sinope</w:t>
      </w:r>
      <w:r w:rsidRPr="008F03E5">
        <w:tab/>
        <w:t>now Sinop, on Black Sea coast east of Sámsún</w:t>
      </w:r>
    </w:p>
    <w:p w14:paraId="7D46E2A1" w14:textId="77777777" w:rsidR="00625A5B" w:rsidRPr="008F03E5" w:rsidRDefault="00625A5B" w:rsidP="00306C78">
      <w:pPr>
        <w:pStyle w:val="Translit"/>
      </w:pPr>
      <w:r w:rsidRPr="008F03E5">
        <w:t>Sipah (Sepah), Supah</w:t>
      </w:r>
      <w:r w:rsidRPr="008F03E5">
        <w:tab/>
        <w:t>Sipah, Supah</w:t>
      </w:r>
      <w:r w:rsidRPr="008F03E5">
        <w:tab/>
        <w:t>Pers. army, soldiery, cavalry.  Bánk-i-Sipah (Bank Sepah), the first Iranian bank (initially for the military), was established in 1925.</w:t>
      </w:r>
      <w:r>
        <w:t xml:space="preserve">  “Sipah Prison” is the </w:t>
      </w:r>
      <w:r w:rsidRPr="00306C78">
        <w:t>Detention Center of the Ministry of Information, 100 North S</w:t>
      </w:r>
      <w:r>
        <w:t>i</w:t>
      </w:r>
      <w:r w:rsidRPr="00306C78">
        <w:t>pah St</w:t>
      </w:r>
      <w:r>
        <w:t xml:space="preserve">., </w:t>
      </w:r>
      <w:r w:rsidRPr="00306C78">
        <w:rPr>
          <w:u w:val="single"/>
        </w:rPr>
        <w:t>Sh</w:t>
      </w:r>
      <w:r w:rsidRPr="00306C78">
        <w:t>í</w:t>
      </w:r>
      <w:r>
        <w:t>r</w:t>
      </w:r>
      <w:r w:rsidRPr="00306C78">
        <w:t>á</w:t>
      </w:r>
      <w:r>
        <w:t>z (</w:t>
      </w:r>
      <w:r w:rsidRPr="00306C78">
        <w:t>29.597784, 52.522829</w:t>
      </w:r>
      <w:r>
        <w:t>).</w:t>
      </w:r>
    </w:p>
    <w:p w14:paraId="23713167" w14:textId="77777777" w:rsidR="00625A5B" w:rsidRPr="008F03E5" w:rsidRDefault="00625A5B" w:rsidP="00CE2F30">
      <w:pPr>
        <w:pStyle w:val="Translit"/>
      </w:pPr>
      <w:r w:rsidRPr="008F03E5">
        <w:rPr>
          <w:rFonts w:eastAsia="Times New Roman"/>
        </w:rPr>
        <w:t>Sipah (Sepah), Supah, Sipahan</w:t>
      </w:r>
      <w:r w:rsidRPr="008F03E5">
        <w:rPr>
          <w:rFonts w:eastAsia="Times New Roman"/>
        </w:rPr>
        <w:tab/>
        <w:t>Sipáh, Supáh, pl. Sip</w:t>
      </w:r>
      <w:r w:rsidRPr="008F03E5">
        <w:t>á</w:t>
      </w:r>
      <w:r w:rsidRPr="008F03E5">
        <w:rPr>
          <w:rFonts w:eastAsia="Times New Roman"/>
        </w:rPr>
        <w:t>h</w:t>
      </w:r>
      <w:r w:rsidRPr="008F03E5">
        <w:t>á</w:t>
      </w:r>
      <w:r w:rsidRPr="008F03E5">
        <w:rPr>
          <w:rFonts w:eastAsia="Times New Roman"/>
        </w:rPr>
        <w:t>n</w:t>
      </w:r>
      <w:r w:rsidRPr="008F03E5">
        <w:rPr>
          <w:rFonts w:eastAsia="Times New Roman"/>
        </w:rPr>
        <w:tab/>
      </w:r>
      <w:r w:rsidRPr="008F03E5">
        <w:t>Pers. an army, a militia; soldiers, cavalry.  The Islamic Revolutionary Guard Corps (IRGC; Sipáh-i-Pásdárán-i-Inqiláb-i-Islámí, “Army of Guardians of the Islamic Revolution”).</w:t>
      </w:r>
    </w:p>
    <w:p w14:paraId="4880FA15" w14:textId="77777777" w:rsidR="00625A5B" w:rsidRPr="008F03E5" w:rsidRDefault="00625A5B" w:rsidP="00471D77">
      <w:pPr>
        <w:pStyle w:val="Translit"/>
      </w:pPr>
      <w:r w:rsidRPr="008F03E5">
        <w:rPr>
          <w:rFonts w:eastAsia="Times New Roman"/>
        </w:rPr>
        <w:t>Sipah-Salar (Sipahsala)</w:t>
      </w:r>
      <w:r w:rsidRPr="008F03E5">
        <w:rPr>
          <w:rFonts w:eastAsia="Times New Roman"/>
        </w:rPr>
        <w:tab/>
        <w:t>Sipah-sálár</w:t>
      </w:r>
      <w:r w:rsidRPr="008F03E5">
        <w:rPr>
          <w:rFonts w:eastAsia="Times New Roman"/>
        </w:rPr>
        <w:tab/>
        <w:t>Pers. commander-in-chief</w:t>
      </w:r>
    </w:p>
    <w:p w14:paraId="1706E447" w14:textId="77777777" w:rsidR="00625A5B" w:rsidRPr="008F03E5" w:rsidRDefault="00625A5B" w:rsidP="00D520C8">
      <w:pPr>
        <w:pStyle w:val="Translit"/>
      </w:pPr>
      <w:r w:rsidRPr="008F03E5">
        <w:t>Sipihr</w:t>
      </w:r>
      <w:r>
        <w:t xml:space="preserve"> (Sepehr)</w:t>
      </w:r>
      <w:r w:rsidRPr="008F03E5">
        <w:tab/>
        <w:t>Sipihr</w:t>
      </w:r>
      <w:r w:rsidRPr="008F03E5">
        <w:tab/>
        <w:t xml:space="preserve">Pers. the heavens, sky, sphere, celestial globe; fortune; the world; time; the sun.  “the Lofty Firmament”, “eloquent”.  Mírzá Muḥammad Taqí </w:t>
      </w:r>
      <w:r>
        <w:t>of K</w:t>
      </w:r>
      <w:r w:rsidRPr="008F1E22">
        <w:t>á</w:t>
      </w:r>
      <w:r w:rsidRPr="008F1E22">
        <w:rPr>
          <w:u w:val="single"/>
        </w:rPr>
        <w:t>sh</w:t>
      </w:r>
      <w:r w:rsidRPr="008F1E22">
        <w:t>á</w:t>
      </w:r>
      <w:r>
        <w:t xml:space="preserve">n </w:t>
      </w:r>
      <w:r w:rsidRPr="008F03E5">
        <w:t>[Lisán al-Mulk Sipihr</w:t>
      </w:r>
      <w:r>
        <w:t>, literally “Tongue [or Mouthpiece] of the Nation”</w:t>
      </w:r>
      <w:r w:rsidRPr="008F03E5">
        <w:t>]</w:t>
      </w:r>
      <w:r>
        <w:t xml:space="preserve"> </w:t>
      </w:r>
      <w:r w:rsidRPr="008F1E22">
        <w:t xml:space="preserve">(Sipihr </w:t>
      </w:r>
      <w:r>
        <w:t xml:space="preserve">is his </w:t>
      </w:r>
      <w:r w:rsidRPr="008F1E22">
        <w:t>nom de plume (ta</w:t>
      </w:r>
      <w:r w:rsidRPr="008F1E22">
        <w:rPr>
          <w:u w:val="single"/>
        </w:rPr>
        <w:t>kh</w:t>
      </w:r>
      <w:r w:rsidRPr="008F1E22">
        <w:t>allu</w:t>
      </w:r>
      <w:r w:rsidRPr="000A5181">
        <w:t>ṣ</w:t>
      </w:r>
      <w:r w:rsidRPr="008F1E22">
        <w:t>)</w:t>
      </w:r>
      <w:r w:rsidRPr="008F03E5">
        <w:t xml:space="preserve">, author of </w:t>
      </w:r>
      <w:r w:rsidRPr="008F03E5">
        <w:rPr>
          <w:i/>
          <w:iCs/>
        </w:rPr>
        <w:t>Nási</w:t>
      </w:r>
      <w:r w:rsidRPr="008F03E5">
        <w:rPr>
          <w:i/>
          <w:iCs/>
          <w:u w:val="single"/>
        </w:rPr>
        <w:t>kh</w:t>
      </w:r>
      <w:r w:rsidRPr="008F03E5">
        <w:rPr>
          <w:i/>
          <w:iCs/>
        </w:rPr>
        <w:t xml:space="preserve"> at-Tawári</w:t>
      </w:r>
      <w:r w:rsidRPr="008F03E5">
        <w:rPr>
          <w:i/>
          <w:iCs/>
          <w:u w:val="single"/>
        </w:rPr>
        <w:t>kh</w:t>
      </w:r>
      <w:r w:rsidRPr="008F03E5">
        <w:rPr>
          <w:i/>
          <w:iCs/>
        </w:rPr>
        <w:t>:  Dawrah-i-Kámil Tárí</w:t>
      </w:r>
      <w:r w:rsidRPr="008F03E5">
        <w:rPr>
          <w:i/>
          <w:iCs/>
          <w:u w:val="single"/>
        </w:rPr>
        <w:t>kh</w:t>
      </w:r>
      <w:r w:rsidRPr="008F03E5">
        <w:rPr>
          <w:i/>
          <w:iCs/>
        </w:rPr>
        <w:t>-i-Qájáríya</w:t>
      </w:r>
      <w:r w:rsidRPr="008F03E5">
        <w:t xml:space="preserve"> (</w:t>
      </w:r>
      <w:r>
        <w:t>ed. Jahangir Qa’im-Maqami, 3 vols (Tehran Amir Kabir, 1337/1959),</w:t>
      </w:r>
      <w:r w:rsidRPr="008F03E5">
        <w:t xml:space="preserve"> an often quoted, imaginative “history” of the Qajar dynasty) and </w:t>
      </w:r>
      <w:r w:rsidRPr="008F03E5">
        <w:rPr>
          <w:i/>
          <w:iCs/>
        </w:rPr>
        <w:t>Nási</w:t>
      </w:r>
      <w:r w:rsidRPr="008F03E5">
        <w:rPr>
          <w:i/>
          <w:iCs/>
          <w:u w:val="single"/>
        </w:rPr>
        <w:t>kh</w:t>
      </w:r>
      <w:r w:rsidRPr="008F03E5">
        <w:rPr>
          <w:i/>
          <w:iCs/>
        </w:rPr>
        <w:t xml:space="preserve"> at-tawárí</w:t>
      </w:r>
      <w:r w:rsidRPr="008F03E5">
        <w:rPr>
          <w:i/>
          <w:iCs/>
          <w:u w:val="single"/>
        </w:rPr>
        <w:t>kh</w:t>
      </w:r>
      <w:r w:rsidRPr="008F03E5">
        <w:rPr>
          <w:i/>
          <w:iCs/>
        </w:rPr>
        <w:t>:  Tárí</w:t>
      </w:r>
      <w:r w:rsidRPr="008F03E5">
        <w:rPr>
          <w:i/>
          <w:iCs/>
          <w:u w:val="single"/>
        </w:rPr>
        <w:t>kh</w:t>
      </w:r>
      <w:r w:rsidRPr="008F03E5">
        <w:rPr>
          <w:i/>
          <w:iCs/>
        </w:rPr>
        <w:t>-i-saláṭín-i-Qájáríya</w:t>
      </w:r>
      <w:r w:rsidRPr="007A1F21">
        <w:t xml:space="preserve"> (1897)</w:t>
      </w:r>
      <w:r w:rsidRPr="008F03E5">
        <w:t>.</w:t>
      </w:r>
    </w:p>
    <w:p w14:paraId="7E7039CD" w14:textId="77777777" w:rsidR="00625A5B" w:rsidRPr="008F03E5" w:rsidRDefault="00625A5B" w:rsidP="007E38C3">
      <w:pPr>
        <w:pStyle w:val="Translit"/>
      </w:pPr>
      <w:r w:rsidRPr="008F03E5">
        <w:t>Sir</w:t>
      </w:r>
      <w:r w:rsidRPr="008F03E5">
        <w:tab/>
        <w:t>Sír</w:t>
      </w:r>
      <w:r w:rsidRPr="008F03E5">
        <w:tab/>
        <w:t>Pers. garlic bulbs</w:t>
      </w:r>
    </w:p>
    <w:p w14:paraId="32666EA6" w14:textId="77777777" w:rsidR="00625A5B" w:rsidRPr="008F03E5" w:rsidRDefault="00625A5B" w:rsidP="000352DA">
      <w:pPr>
        <w:pStyle w:val="Translit"/>
      </w:pPr>
      <w:r w:rsidRPr="00551E14">
        <w:rPr>
          <w:lang w:val="en-AU"/>
        </w:rPr>
        <w:t>Sira (Sirat), Siyar</w:t>
      </w:r>
      <w:r w:rsidRPr="00551E14">
        <w:rPr>
          <w:lang w:val="en-AU"/>
        </w:rPr>
        <w:tab/>
        <w:t xml:space="preserve">Síra[h or t], pl. </w:t>
      </w:r>
      <w:r w:rsidRPr="008F03E5">
        <w:t>Siyar</w:t>
      </w:r>
      <w:r w:rsidRPr="008F03E5">
        <w:tab/>
        <w:t>conduct, comportment, demeanour, behaviour, way of life; attitude, position, reaction, way of acting; (in singular or plural) biography, history;—pl. campaigns; a</w:t>
      </w:r>
      <w:r>
        <w:t>s</w:t>
      </w:r>
      <w:r w:rsidRPr="008F03E5">
        <w:t xml:space="preserve">-Síra:  biography of Muḥammad.  Muḥammad ibn Isḥáq, </w:t>
      </w:r>
      <w:r w:rsidRPr="008F03E5">
        <w:rPr>
          <w:i/>
          <w:iCs/>
        </w:rPr>
        <w:t>Sírat Rasúl Alláh.</w:t>
      </w:r>
    </w:p>
    <w:p w14:paraId="1EAFB5D7" w14:textId="77777777" w:rsidR="00625A5B" w:rsidRPr="008F03E5" w:rsidRDefault="00625A5B" w:rsidP="00346A5B">
      <w:pPr>
        <w:pStyle w:val="Translit"/>
        <w:rPr>
          <w:b/>
          <w:bCs/>
        </w:rPr>
      </w:pPr>
      <w:r w:rsidRPr="008F03E5">
        <w:t>Siraf, Tahiri (Taheri)</w:t>
      </w:r>
      <w:r w:rsidRPr="008F03E5">
        <w:tab/>
        <w:t>Síráf, Ṭáhirí</w:t>
      </w:r>
      <w:r w:rsidRPr="008F03E5">
        <w:tab/>
        <w:t>seraph.  A coastal city (27.666693, 52.342536), (Ṭáhirí before 2008) in Bushehr province, Iran.</w:t>
      </w:r>
    </w:p>
    <w:p w14:paraId="55DFC349" w14:textId="77777777" w:rsidR="00625A5B" w:rsidRPr="008F03E5" w:rsidRDefault="00625A5B" w:rsidP="00437135">
      <w:pPr>
        <w:pStyle w:val="Translit"/>
      </w:pPr>
      <w:r w:rsidRPr="008F03E5">
        <w:t>Siraj, Suruj</w:t>
      </w:r>
      <w:r w:rsidRPr="008F03E5">
        <w:tab/>
        <w:t>Siráj, pl. Suruj</w:t>
      </w:r>
      <w:r w:rsidRPr="008F03E5">
        <w:tab/>
        <w:t xml:space="preserve">lamp, light.  See Pers. </w:t>
      </w:r>
      <w:r w:rsidRPr="008F03E5">
        <w:rPr>
          <w:u w:val="single"/>
        </w:rPr>
        <w:t>Ch</w:t>
      </w:r>
      <w:r w:rsidRPr="008F03E5">
        <w:t>irá</w:t>
      </w:r>
      <w:r w:rsidRPr="008F03E5">
        <w:rPr>
          <w:u w:val="single"/>
        </w:rPr>
        <w:t>gh</w:t>
      </w:r>
    </w:p>
    <w:p w14:paraId="04539A9E" w14:textId="77777777" w:rsidR="00625A5B" w:rsidRPr="008F03E5" w:rsidRDefault="00625A5B" w:rsidP="00A22341">
      <w:pPr>
        <w:pStyle w:val="Translit"/>
      </w:pPr>
      <w:r w:rsidRPr="008F03E5">
        <w:t>Siraju’l-Hukama</w:t>
      </w:r>
      <w:r w:rsidRPr="008F03E5">
        <w:tab/>
        <w:t>Siráju’l-Ḥukamá’</w:t>
      </w:r>
      <w:r w:rsidRPr="008F03E5">
        <w:tab/>
        <w:t>the light of the physicians</w:t>
      </w:r>
    </w:p>
    <w:p w14:paraId="165F63BC" w14:textId="77777777" w:rsidR="00625A5B" w:rsidRPr="008F03E5" w:rsidRDefault="00625A5B" w:rsidP="005B4248">
      <w:pPr>
        <w:pStyle w:val="Translit"/>
      </w:pPr>
      <w:r w:rsidRPr="008F03E5">
        <w:t>Sirat al-Wadih al-Mubin</w:t>
      </w:r>
      <w:r w:rsidRPr="008F03E5">
        <w:tab/>
        <w:t>aṣ-Ṣiráṭ al-Wáḍiḥ al-Mubín</w:t>
      </w:r>
      <w:r w:rsidRPr="008F03E5">
        <w:tab/>
        <w:t>the obvious and clear path</w:t>
      </w:r>
    </w:p>
    <w:p w14:paraId="6481EFF2" w14:textId="77777777" w:rsidR="00625A5B" w:rsidRPr="008F03E5" w:rsidRDefault="00625A5B" w:rsidP="002135EA">
      <w:pPr>
        <w:pStyle w:val="Translit"/>
      </w:pPr>
      <w:r w:rsidRPr="008F03E5">
        <w:t>Sirat</w:t>
      </w:r>
      <w:r w:rsidRPr="008F03E5">
        <w:tab/>
        <w:t>Ṣiráṭ</w:t>
      </w:r>
      <w:r w:rsidRPr="008F03E5">
        <w:tab/>
        <w:t>way, road or path</w:t>
      </w:r>
      <w:r>
        <w:t>;</w:t>
      </w:r>
      <w:r w:rsidRPr="002135EA">
        <w:rPr>
          <w:rFonts w:eastAsia="Times New Roman"/>
        </w:rPr>
        <w:t xml:space="preserve"> </w:t>
      </w:r>
      <w:r w:rsidRPr="00AF4D34">
        <w:rPr>
          <w:rFonts w:eastAsia="Times New Roman"/>
        </w:rPr>
        <w:t xml:space="preserve">direct road; the bridge across hell (according to </w:t>
      </w:r>
      <w:r>
        <w:rPr>
          <w:rFonts w:eastAsia="Times New Roman"/>
        </w:rPr>
        <w:t>a</w:t>
      </w:r>
      <w:r w:rsidRPr="002135EA">
        <w:rPr>
          <w:rFonts w:eastAsia="Times New Roman"/>
        </w:rPr>
        <w:t xml:space="preserve"> ḥadí</w:t>
      </w:r>
      <w:r w:rsidRPr="00D87405">
        <w:rPr>
          <w:u w:val="single"/>
        </w:rPr>
        <w:t>th</w:t>
      </w:r>
      <w:r w:rsidRPr="002135EA">
        <w:rPr>
          <w:rFonts w:eastAsia="Times New Roman"/>
        </w:rPr>
        <w:t>,</w:t>
      </w:r>
      <w:r w:rsidRPr="00AF4D34">
        <w:rPr>
          <w:rFonts w:eastAsia="Times New Roman"/>
        </w:rPr>
        <w:t xml:space="preserve"> thinner than a hair and sharper than a sword</w:t>
      </w:r>
      <w:r>
        <w:rPr>
          <w:rFonts w:eastAsia="Times New Roman"/>
        </w:rPr>
        <w:t>’</w:t>
      </w:r>
      <w:r w:rsidRPr="00AF4D34">
        <w:rPr>
          <w:rFonts w:eastAsia="Times New Roman"/>
        </w:rPr>
        <w:t>s edge)</w:t>
      </w:r>
      <w:r w:rsidRPr="008F03E5">
        <w:t>.  Signifies the religion of God.  See jisr.</w:t>
      </w:r>
    </w:p>
    <w:p w14:paraId="67DF1025" w14:textId="77777777" w:rsidR="00625A5B" w:rsidRPr="008F03E5" w:rsidRDefault="00625A5B" w:rsidP="00900A82">
      <w:pPr>
        <w:pStyle w:val="Translit"/>
      </w:pPr>
      <w:r w:rsidRPr="008F03E5">
        <w:t>Siratu’l-Mustaqim</w:t>
      </w:r>
      <w:r w:rsidRPr="008F03E5">
        <w:tab/>
        <w:t>Ṣiráṭu’l-Mustaqím</w:t>
      </w:r>
      <w:r w:rsidRPr="008F03E5">
        <w:tab/>
        <w:t xml:space="preserve">“The Straight Path” Qur’án 1:6, i.e. </w:t>
      </w:r>
      <w:r w:rsidRPr="008F03E5">
        <w:rPr>
          <w:lang w:eastAsia="en-US"/>
        </w:rPr>
        <w:t>‘a religion of God’</w:t>
      </w:r>
    </w:p>
    <w:p w14:paraId="737B5798" w14:textId="77777777" w:rsidR="00625A5B" w:rsidRPr="008F03E5" w:rsidRDefault="00625A5B" w:rsidP="003F514B">
      <w:pPr>
        <w:pStyle w:val="Translit"/>
      </w:pPr>
      <w:r w:rsidRPr="008F03E5">
        <w:t>Sirjan</w:t>
      </w:r>
      <w:r w:rsidRPr="008F03E5">
        <w:tab/>
        <w:t>Sírján</w:t>
      </w:r>
      <w:r w:rsidRPr="008F03E5">
        <w:tab/>
        <w:t xml:space="preserve">city 160 km </w:t>
      </w:r>
      <w:r w:rsidRPr="008F03E5">
        <w:rPr>
          <w:sz w:val="16"/>
          <w:szCs w:val="16"/>
        </w:rPr>
        <w:t>SW</w:t>
      </w:r>
      <w:r w:rsidRPr="008F03E5">
        <w:t xml:space="preserve"> of Kirmán</w:t>
      </w:r>
    </w:p>
    <w:p w14:paraId="5DDC6198" w14:textId="77777777" w:rsidR="00625A5B" w:rsidRPr="008F03E5" w:rsidRDefault="00625A5B" w:rsidP="00461CA9">
      <w:pPr>
        <w:pStyle w:val="Translit"/>
      </w:pPr>
      <w:r w:rsidRPr="00077779">
        <w:rPr>
          <w:lang w:val="es-ES_tradnl"/>
        </w:rPr>
        <w:t>Sirka (Sirkih)</w:t>
      </w:r>
      <w:r w:rsidRPr="00077779">
        <w:rPr>
          <w:lang w:val="es-ES_tradnl"/>
        </w:rPr>
        <w:tab/>
        <w:t>Sirka</w:t>
      </w:r>
      <w:r w:rsidRPr="00077779">
        <w:rPr>
          <w:lang w:val="es-ES_tradnl"/>
        </w:rPr>
        <w:tab/>
        <w:t xml:space="preserve">Pers. vinegar.  </w:t>
      </w:r>
      <w:r w:rsidRPr="008F03E5">
        <w:t xml:space="preserve">See Ar. </w:t>
      </w:r>
      <w:r w:rsidRPr="008F03E5">
        <w:rPr>
          <w:u w:val="single"/>
        </w:rPr>
        <w:t>Kh</w:t>
      </w:r>
      <w:r w:rsidRPr="008F03E5">
        <w:t>all</w:t>
      </w:r>
    </w:p>
    <w:p w14:paraId="6A98FC54" w14:textId="77777777" w:rsidR="00625A5B" w:rsidRPr="008F03E5" w:rsidRDefault="00625A5B" w:rsidP="00893360">
      <w:pPr>
        <w:pStyle w:val="Translit"/>
      </w:pPr>
      <w:r w:rsidRPr="008F03E5">
        <w:t>Sirr ad-Din, Sirru’d-Din (Serreddin)</w:t>
      </w:r>
      <w:r w:rsidRPr="008F03E5">
        <w:tab/>
        <w:t>Sirr ad-Dín, Sirru’d-Dín</w:t>
      </w:r>
      <w:r w:rsidRPr="008F03E5">
        <w:tab/>
        <w:t xml:space="preserve">“The secret or mystery of religion”.  Sirru’d-Dín ‘Alá’í, nephew of </w:t>
      </w:r>
      <w:r w:rsidRPr="008F03E5">
        <w:rPr>
          <w:u w:val="single"/>
        </w:rPr>
        <w:t>Sh</w:t>
      </w:r>
      <w:r w:rsidRPr="008F03E5">
        <w:t>u‘á‘u’lláh ‘Alá’í.</w:t>
      </w:r>
    </w:p>
    <w:p w14:paraId="0A1502E1" w14:textId="77777777" w:rsidR="00625A5B" w:rsidRPr="008F03E5" w:rsidRDefault="00625A5B" w:rsidP="00461CA9">
      <w:pPr>
        <w:pStyle w:val="Translit"/>
      </w:pPr>
      <w:r w:rsidRPr="008F03E5">
        <w:t>Sirr, Asrar</w:t>
      </w:r>
      <w:r w:rsidRPr="008F03E5">
        <w:tab/>
        <w:t>Sirr, pl. Asrár</w:t>
      </w:r>
      <w:r w:rsidRPr="008F03E5">
        <w:tab/>
        <w:t>secret; secret thought; heart, inmost; secrecy; mystery; sacrament (Chr.); underlying reason (of something)</w:t>
      </w:r>
    </w:p>
    <w:p w14:paraId="631C157A" w14:textId="77777777" w:rsidR="00625A5B" w:rsidRPr="008F03E5" w:rsidRDefault="00625A5B" w:rsidP="001F653C">
      <w:pPr>
        <w:pStyle w:val="Translit"/>
      </w:pPr>
      <w:r w:rsidRPr="008F03E5">
        <w:t>Sirru’llah</w:t>
      </w:r>
      <w:r w:rsidRPr="008F03E5">
        <w:tab/>
        <w:t>Sirru’lláh</w:t>
      </w:r>
      <w:r w:rsidRPr="008F03E5">
        <w:tab/>
        <w:t>“Mystery of God” (“Sir ‘Ullah”)  Title given by Bahá’u’lláh to ‘Abdu’l-Bahá.</w:t>
      </w:r>
    </w:p>
    <w:p w14:paraId="4770DBD0" w14:textId="77777777" w:rsidR="00625A5B" w:rsidRPr="008F03E5" w:rsidRDefault="00625A5B" w:rsidP="003F514B">
      <w:pPr>
        <w:pStyle w:val="Translit"/>
      </w:pPr>
      <w:r w:rsidRPr="008F03E5">
        <w:t>Sirru’l-Muqanna’-i-bi’s-Sirr</w:t>
      </w:r>
      <w:r w:rsidRPr="008F03E5">
        <w:tab/>
        <w:t>Sirru’l-Muqanna’-i-bi’s-Sirr</w:t>
      </w:r>
      <w:r w:rsidRPr="008F03E5">
        <w:tab/>
        <w:t>Mystery veiled by Mystery</w:t>
      </w:r>
    </w:p>
    <w:p w14:paraId="4FAD8304" w14:textId="77777777" w:rsidR="00625A5B" w:rsidRDefault="00625A5B" w:rsidP="003F514B">
      <w:pPr>
        <w:pStyle w:val="Translit"/>
      </w:pPr>
      <w:r w:rsidRPr="008F03E5">
        <w:t>Sirru’l-Mustasirr</w:t>
      </w:r>
      <w:r w:rsidRPr="008F03E5">
        <w:tab/>
        <w:t>Sirru’l-Mustasirr</w:t>
      </w:r>
      <w:r w:rsidRPr="008F03E5">
        <w:tab/>
        <w:t>the Hidden Mystery</w:t>
      </w:r>
    </w:p>
    <w:p w14:paraId="4E882318" w14:textId="77777777" w:rsidR="00625A5B" w:rsidRPr="008F03E5" w:rsidRDefault="00625A5B" w:rsidP="00E87DA2">
      <w:pPr>
        <w:pStyle w:val="Translit"/>
      </w:pPr>
      <w:r>
        <w:t>Sirru’l-Wujud (Sirru’l-Vujud)</w:t>
      </w:r>
      <w:r>
        <w:tab/>
        <w:t>Sirru’l-</w:t>
      </w:r>
      <w:r w:rsidRPr="008F03E5">
        <w:t>Wujúd</w:t>
      </w:r>
      <w:r>
        <w:tab/>
        <w:t xml:space="preserve">“Secret of existence”.  Appellation of </w:t>
      </w:r>
      <w:r w:rsidRPr="000771B2">
        <w:t>Ḥájí Mullá Ismá‘íl-i-Qumí</w:t>
      </w:r>
      <w:r>
        <w:t>.</w:t>
      </w:r>
    </w:p>
    <w:p w14:paraId="57B7261C" w14:textId="77777777" w:rsidR="00625A5B" w:rsidRPr="008F03E5" w:rsidRDefault="00625A5B" w:rsidP="003F514B">
      <w:pPr>
        <w:pStyle w:val="Translit"/>
      </w:pPr>
      <w:r w:rsidRPr="008F03E5">
        <w:t>Sirru’s-Sirr</w:t>
      </w:r>
      <w:r w:rsidRPr="008F03E5">
        <w:tab/>
        <w:t>Sirru’s-Sirr</w:t>
      </w:r>
      <w:r w:rsidRPr="008F03E5">
        <w:tab/>
        <w:t>the Mystery of Mystery</w:t>
      </w:r>
    </w:p>
    <w:p w14:paraId="283DEA92" w14:textId="77777777" w:rsidR="00625A5B" w:rsidRPr="008F03E5" w:rsidRDefault="00625A5B" w:rsidP="004E6792">
      <w:pPr>
        <w:pStyle w:val="Translit"/>
        <w:rPr>
          <w:rFonts w:eastAsia="PMingLiU"/>
          <w:lang w:eastAsia="zh-TW"/>
        </w:rPr>
      </w:pPr>
      <w:r w:rsidRPr="008F03E5">
        <w:rPr>
          <w:rFonts w:eastAsia="PMingLiU"/>
          <w:lang w:eastAsia="zh-TW"/>
        </w:rPr>
        <w:t>Sirus</w:t>
      </w:r>
      <w:r w:rsidRPr="008F03E5">
        <w:tab/>
      </w:r>
      <w:r w:rsidRPr="008F03E5">
        <w:rPr>
          <w:rFonts w:eastAsia="PMingLiU"/>
          <w:lang w:eastAsia="zh-TW"/>
        </w:rPr>
        <w:t>Sírús</w:t>
      </w:r>
      <w:r w:rsidRPr="008F03E5">
        <w:tab/>
        <w:t>variation of Syrus or Cyrus.  See Kuru</w:t>
      </w:r>
      <w:r w:rsidRPr="008F03E5">
        <w:rPr>
          <w:u w:val="single"/>
        </w:rPr>
        <w:t>sh</w:t>
      </w:r>
    </w:p>
    <w:p w14:paraId="6A5CBA2E" w14:textId="77777777" w:rsidR="00625A5B" w:rsidRPr="008F03E5" w:rsidRDefault="00625A5B" w:rsidP="00F54426">
      <w:pPr>
        <w:pStyle w:val="Translit"/>
      </w:pPr>
      <w:r w:rsidRPr="008F03E5">
        <w:t>Sirwal, Sirwil, Sarawil</w:t>
      </w:r>
      <w:r w:rsidRPr="008F03E5">
        <w:tab/>
        <w:t>Sirwál, Sirwíl, pl. Saráwíl</w:t>
      </w:r>
      <w:r w:rsidRPr="008F03E5">
        <w:tab/>
      </w:r>
      <w:r w:rsidRPr="008F03E5">
        <w:rPr>
          <w:lang w:bidi="ar"/>
        </w:rPr>
        <w:t>trousers, pants; drawers; panties</w:t>
      </w:r>
    </w:p>
    <w:p w14:paraId="025F5A12" w14:textId="77777777" w:rsidR="00625A5B" w:rsidRPr="008F03E5" w:rsidRDefault="00625A5B" w:rsidP="007602CE">
      <w:pPr>
        <w:pStyle w:val="Translit"/>
      </w:pPr>
      <w:r w:rsidRPr="008F03E5">
        <w:t>Sisan (Sisan-i-Qadim)</w:t>
      </w:r>
      <w:r w:rsidRPr="008F03E5">
        <w:tab/>
        <w:t>Sisan (Sísán-i-Qadím)</w:t>
      </w:r>
      <w:r w:rsidRPr="008F03E5">
        <w:tab/>
        <w:t xml:space="preserve">(Seysan, Sisan-e Qadim) village (37.826778, 46.734343) in East Azerbaijan Province.  48 km </w:t>
      </w:r>
      <w:r w:rsidRPr="008F03E5">
        <w:rPr>
          <w:sz w:val="16"/>
          <w:szCs w:val="16"/>
        </w:rPr>
        <w:t>SE</w:t>
      </w:r>
      <w:r w:rsidRPr="008F03E5">
        <w:t xml:space="preserve"> Tabriz.</w:t>
      </w:r>
    </w:p>
    <w:p w14:paraId="1F0F1279" w14:textId="77777777" w:rsidR="00625A5B" w:rsidRPr="008F03E5" w:rsidRDefault="00625A5B" w:rsidP="001F51D0">
      <w:pPr>
        <w:pStyle w:val="Translit"/>
      </w:pPr>
      <w:r w:rsidRPr="008F03E5">
        <w:t>Sistan (Sakastan, Sijistan, Sagistan)</w:t>
      </w:r>
      <w:r w:rsidRPr="008F03E5">
        <w:tab/>
        <w:t>Sístán</w:t>
      </w:r>
      <w:r w:rsidRPr="008F03E5">
        <w:tab/>
        <w:t>Pers. ancient Sákástán (the land of the Sáká), became Sijistán (also Sagistán) after the Muslim conquest of Persia and later Sístán (country to the east of Fársistán or Persia “proper”).  Sístán and Balú</w:t>
      </w:r>
      <w:r w:rsidRPr="008F03E5">
        <w:rPr>
          <w:u w:val="single"/>
        </w:rPr>
        <w:t>ch</w:t>
      </w:r>
      <w:r w:rsidRPr="008F03E5">
        <w:t>istán Province is one of the 31 provinces of Iran.  It is in the southeast of the country, bordering Pakistan and Afghanistan and its capital is Záhidán.  See Zábul</w:t>
      </w:r>
    </w:p>
    <w:p w14:paraId="20446CB3" w14:textId="77777777" w:rsidR="00625A5B" w:rsidRPr="008F03E5" w:rsidRDefault="00625A5B" w:rsidP="0009356A">
      <w:pPr>
        <w:pStyle w:val="Translit"/>
      </w:pPr>
      <w:r w:rsidRPr="008F03E5">
        <w:t>Sitar, Sutur</w:t>
      </w:r>
      <w:r w:rsidRPr="008F03E5">
        <w:tab/>
        <w:t>Sitár, pl. Sutur</w:t>
      </w:r>
      <w:r w:rsidRPr="008F03E5">
        <w:tab/>
        <w:t>veil, screen; covering; curtain, drape; pretext, excuse</w:t>
      </w:r>
    </w:p>
    <w:p w14:paraId="7C0AD71B" w14:textId="77777777" w:rsidR="00625A5B" w:rsidRPr="008F03E5" w:rsidRDefault="00625A5B" w:rsidP="000F0D8F">
      <w:pPr>
        <w:pStyle w:val="Translit"/>
      </w:pPr>
      <w:r w:rsidRPr="00077779">
        <w:rPr>
          <w:lang w:val="es-ES_tradnl"/>
        </w:rPr>
        <w:t>Sitara (Sitar)</w:t>
      </w:r>
      <w:r w:rsidRPr="00077779">
        <w:rPr>
          <w:lang w:val="es-ES_tradnl"/>
        </w:rPr>
        <w:tab/>
        <w:t xml:space="preserve">Sitára[h] (also Sitárih), pl. </w:t>
      </w:r>
      <w:r w:rsidRPr="008F03E5">
        <w:t>Sitáragán</w:t>
      </w:r>
      <w:r w:rsidRPr="008F03E5">
        <w:tab/>
        <w:t>Pers. a star; a horoscope, nativity; fortune, felicity; a spark; a geometrical rule by which right lines are drawn; form, pattern; a kind of guitar with three strings (sitar); a kind of fire-work; a banner; a threshold; quicksilver</w:t>
      </w:r>
    </w:p>
    <w:p w14:paraId="46EB1CF8" w14:textId="77777777" w:rsidR="00625A5B" w:rsidRPr="008F03E5" w:rsidRDefault="00625A5B" w:rsidP="00902DF7">
      <w:pPr>
        <w:pStyle w:val="Translit"/>
      </w:pPr>
      <w:r w:rsidRPr="00077779">
        <w:rPr>
          <w:lang w:val="es-ES_tradnl"/>
        </w:rPr>
        <w:t>Sitara, Sata’ir</w:t>
      </w:r>
      <w:r w:rsidRPr="00077779">
        <w:rPr>
          <w:lang w:val="es-ES_tradnl"/>
        </w:rPr>
        <w:tab/>
        <w:t xml:space="preserve">Sitára[h], pl. </w:t>
      </w:r>
      <w:r w:rsidRPr="008F03E5">
        <w:t>Satá’ir</w:t>
      </w:r>
      <w:r w:rsidRPr="008F03E5">
        <w:tab/>
        <w:t>veil; screen; curtain, drape, window curtain; cover, covering</w:t>
      </w:r>
    </w:p>
    <w:p w14:paraId="44C3412B" w14:textId="77777777" w:rsidR="00625A5B" w:rsidRPr="008F03E5" w:rsidRDefault="00625A5B" w:rsidP="009D4AF4">
      <w:pPr>
        <w:pStyle w:val="Translit"/>
      </w:pPr>
      <w:r w:rsidRPr="008F03E5">
        <w:t>Sitarih Khanum</w:t>
      </w:r>
      <w:r w:rsidRPr="008F03E5">
        <w:tab/>
        <w:t xml:space="preserve">Sitárih </w:t>
      </w:r>
      <w:r w:rsidRPr="008F03E5">
        <w:rPr>
          <w:u w:val="single"/>
        </w:rPr>
        <w:t>Kh</w:t>
      </w:r>
      <w:r w:rsidRPr="008F03E5">
        <w:t>ánum</w:t>
      </w:r>
      <w:r w:rsidRPr="008F03E5">
        <w:tab/>
        <w:t>name given to Lady Sara Louisa Blomfield by ‘Abdu’l-Bahá</w:t>
      </w:r>
    </w:p>
    <w:p w14:paraId="11A7D7C1" w14:textId="77777777" w:rsidR="00625A5B" w:rsidRPr="008F03E5" w:rsidRDefault="00625A5B" w:rsidP="00157F68">
      <w:pPr>
        <w:pStyle w:val="Translit"/>
      </w:pPr>
      <w:r w:rsidRPr="008F03E5">
        <w:t>Sitt, Sittat</w:t>
      </w:r>
      <w:r w:rsidRPr="008F03E5">
        <w:tab/>
        <w:t>Sitt, pl. Sittát</w:t>
      </w:r>
      <w:r w:rsidRPr="008F03E5">
        <w:tab/>
        <w:t>lady, woman</w:t>
      </w:r>
    </w:p>
    <w:p w14:paraId="6F0CC560" w14:textId="77777777" w:rsidR="00625A5B" w:rsidRPr="008F03E5" w:rsidRDefault="00625A5B" w:rsidP="00614C65">
      <w:pPr>
        <w:pStyle w:val="Translit"/>
      </w:pPr>
      <w:r w:rsidRPr="001457C8">
        <w:rPr>
          <w:lang w:val="it-IT"/>
        </w:rPr>
        <w:t>Sitta, Sitt</w:t>
      </w:r>
      <w:r w:rsidRPr="001457C8">
        <w:rPr>
          <w:lang w:val="it-IT"/>
        </w:rPr>
        <w:tab/>
        <w:t xml:space="preserve">Sitta[h], fem. </w:t>
      </w:r>
      <w:r w:rsidRPr="008F03E5">
        <w:t>Sitt</w:t>
      </w:r>
      <w:r w:rsidRPr="008F03E5">
        <w:tab/>
        <w:t>six</w:t>
      </w:r>
    </w:p>
    <w:p w14:paraId="57FCF1E7" w14:textId="77777777" w:rsidR="00625A5B" w:rsidRPr="008F03E5" w:rsidRDefault="00625A5B" w:rsidP="00614C65">
      <w:pPr>
        <w:pStyle w:val="Translit"/>
      </w:pPr>
      <w:r w:rsidRPr="008F03E5">
        <w:t>Sittun, Sittin</w:t>
      </w:r>
      <w:r w:rsidRPr="008F03E5">
        <w:tab/>
        <w:t>Sittún</w:t>
      </w:r>
      <w:r w:rsidRPr="008F03E5">
        <w:tab/>
        <w:t xml:space="preserve">sixty.  Sittín is </w:t>
      </w:r>
      <w:r w:rsidRPr="008F03E5">
        <w:rPr>
          <w:i/>
          <w:iCs/>
        </w:rPr>
        <w:t>obliquus</w:t>
      </w:r>
      <w:r w:rsidRPr="008F03E5">
        <w:t xml:space="preserve"> (or oblique) reference to Sittún in nominative case—e.g. “the year sixty” (</w:t>
      </w:r>
      <w:r w:rsidRPr="008F03E5">
        <w:rPr>
          <w:sz w:val="16"/>
          <w:szCs w:val="16"/>
        </w:rPr>
        <w:t>AH</w:t>
      </w:r>
      <w:r w:rsidRPr="008F03E5">
        <w:t xml:space="preserve"> 1260).  See </w:t>
      </w:r>
      <w:r w:rsidRPr="008F03E5">
        <w:rPr>
          <w:u w:val="single"/>
        </w:rPr>
        <w:t>Th</w:t>
      </w:r>
      <w:r w:rsidRPr="008F03E5">
        <w:t>amánín</w:t>
      </w:r>
    </w:p>
    <w:p w14:paraId="1DD918B1" w14:textId="77777777" w:rsidR="00625A5B" w:rsidRPr="008F03E5" w:rsidRDefault="00625A5B" w:rsidP="00FD5971">
      <w:pPr>
        <w:pStyle w:val="Translit"/>
      </w:pPr>
      <w:r w:rsidRPr="008F03E5">
        <w:t>Sivas</w:t>
      </w:r>
      <w:r w:rsidRPr="008F03E5">
        <w:tab/>
        <w:t>Sívás</w:t>
      </w:r>
      <w:r w:rsidRPr="008F03E5">
        <w:tab/>
        <w:t>Sebastia, now called Sívás, city in central Anatolia that Bahá’u’lláh passed through on his exile to Istanbul.  Given as Sívas and Sivás in Bahá’í books.</w:t>
      </w:r>
    </w:p>
    <w:p w14:paraId="2C94F5C0" w14:textId="77777777" w:rsidR="00625A5B" w:rsidRPr="008F03E5" w:rsidRDefault="00625A5B" w:rsidP="00505C15">
      <w:pPr>
        <w:pStyle w:val="Translit"/>
      </w:pPr>
      <w:r w:rsidRPr="008F03E5">
        <w:t>Siya</w:t>
      </w:r>
      <w:r w:rsidRPr="008F03E5">
        <w:tab/>
        <w:t>Siyá</w:t>
      </w:r>
      <w:r w:rsidRPr="008F03E5">
        <w:tab/>
        <w:t>Pers. black</w:t>
      </w:r>
    </w:p>
    <w:p w14:paraId="69A48A1C" w14:textId="77777777" w:rsidR="00625A5B" w:rsidRPr="008F03E5" w:rsidRDefault="00625A5B" w:rsidP="00505C15">
      <w:pPr>
        <w:pStyle w:val="Translit"/>
      </w:pPr>
      <w:r w:rsidRPr="008F03E5">
        <w:t>Siyah</w:t>
      </w:r>
      <w:r w:rsidRPr="008F03E5">
        <w:tab/>
        <w:t>Siyáh (Síyáh)</w:t>
      </w:r>
      <w:r w:rsidRPr="008F03E5">
        <w:tab/>
        <w:t>Pers. black; bad, unhappy, unlucky; drunk; an Arabian or Ethiopian slave; name of a horse of Iṣfandiyár.  Bahá’í books use Síyáh.</w:t>
      </w:r>
    </w:p>
    <w:p w14:paraId="68533953" w14:textId="77777777" w:rsidR="00625A5B" w:rsidRPr="008F03E5" w:rsidRDefault="00625A5B" w:rsidP="00917EE1">
      <w:pPr>
        <w:pStyle w:val="Translit"/>
        <w:rPr>
          <w:rFonts w:eastAsia="PMingLiU"/>
          <w:lang w:eastAsia="zh-TW"/>
        </w:rPr>
      </w:pPr>
      <w:r w:rsidRPr="008F03E5">
        <w:rPr>
          <w:rFonts w:eastAsia="PMingLiU"/>
          <w:lang w:eastAsia="zh-TW"/>
        </w:rPr>
        <w:t>Siyaha, Siyahat</w:t>
      </w:r>
      <w:r w:rsidRPr="008F03E5">
        <w:rPr>
          <w:rFonts w:eastAsia="PMingLiU"/>
          <w:lang w:eastAsia="zh-TW"/>
        </w:rPr>
        <w:tab/>
        <w:t>Siyáḥa[h], pl. Siyáḥát</w:t>
      </w:r>
      <w:r w:rsidRPr="008F03E5">
        <w:rPr>
          <w:rFonts w:eastAsia="PMingLiU"/>
          <w:lang w:eastAsia="zh-TW"/>
        </w:rPr>
        <w:tab/>
        <w:t>travel; tourism</w:t>
      </w:r>
    </w:p>
    <w:p w14:paraId="5BCB073B" w14:textId="77777777" w:rsidR="00625A5B" w:rsidRPr="008F03E5" w:rsidRDefault="00625A5B" w:rsidP="00024928">
      <w:pPr>
        <w:pStyle w:val="Translit"/>
      </w:pPr>
      <w:r w:rsidRPr="008F03E5">
        <w:t>Siyahat al-Ma’arif</w:t>
      </w:r>
      <w:r w:rsidRPr="008F03E5">
        <w:tab/>
        <w:t>Siyáḥat al-Ma‘árif</w:t>
      </w:r>
      <w:r w:rsidRPr="008F03E5">
        <w:tab/>
        <w:t>“A Tour of the Sciences” by Nawfal Effendi</w:t>
      </w:r>
    </w:p>
    <w:p w14:paraId="16E159B9" w14:textId="77777777" w:rsidR="00625A5B" w:rsidRPr="008F03E5" w:rsidRDefault="00625A5B" w:rsidP="00917EE1">
      <w:pPr>
        <w:pStyle w:val="Translit"/>
      </w:pPr>
      <w:r w:rsidRPr="008F03E5">
        <w:t>Siyahat</w:t>
      </w:r>
      <w:r w:rsidRPr="008F03E5">
        <w:tab/>
        <w:t>Siyáḥat</w:t>
      </w:r>
      <w:r w:rsidRPr="008F03E5">
        <w:tab/>
        <w:t>travelling, going on pilgrimage; a journey, voyage; a promenade, walk, ride in a boat, etc.</w:t>
      </w:r>
    </w:p>
    <w:p w14:paraId="5E3BC846" w14:textId="77777777" w:rsidR="00625A5B" w:rsidRPr="008F03E5" w:rsidRDefault="00625A5B" w:rsidP="00340CD2">
      <w:pPr>
        <w:pStyle w:val="Translit"/>
      </w:pPr>
      <w:r w:rsidRPr="008F03E5">
        <w:t>Siyah-Chal</w:t>
      </w:r>
      <w:r w:rsidRPr="008F03E5">
        <w:tab/>
        <w:t>Síyáh-</w:t>
      </w:r>
      <w:r w:rsidRPr="008F03E5">
        <w:rPr>
          <w:u w:val="single"/>
        </w:rPr>
        <w:t>Ch</w:t>
      </w:r>
      <w:r w:rsidRPr="008F03E5">
        <w:t>ál</w:t>
      </w:r>
      <w:r w:rsidRPr="008F03E5">
        <w:tab/>
      </w:r>
      <w:r>
        <w:t xml:space="preserve">Pers. </w:t>
      </w:r>
      <w:r w:rsidRPr="008F03E5">
        <w:t>“The Black Pit” or “</w:t>
      </w:r>
      <w:r>
        <w:t xml:space="preserve">black </w:t>
      </w:r>
      <w:r w:rsidRPr="008F03E5">
        <w:t>dungeon”.  In particular, the dungeon a short distance south the Gulistán Palace in Ṭihrán where Bahá’u’lláh was imprisoned for more than four months in 1852, and where He received first intimations of His station.  It had once been an underground water cistern (áb anbár, hence, an alternative name).  In 1868 the Takyih-i-Dawlat (“State Theatre” or Royal Theatre—a royal mourning centre for Imám Ḥusayn) was built on the site.  The theatre was demolished in 1947 and a Melli Bank branch car park was built over the site.</w:t>
      </w:r>
    </w:p>
    <w:p w14:paraId="367F1CDE" w14:textId="77777777" w:rsidR="00625A5B" w:rsidRPr="008F03E5" w:rsidRDefault="00625A5B" w:rsidP="005A50B1">
      <w:pPr>
        <w:pStyle w:val="Translit"/>
      </w:pPr>
      <w:r w:rsidRPr="008F03E5">
        <w:t>Siyah-Dihan, Takistan (Takestan)</w:t>
      </w:r>
      <w:r w:rsidRPr="008F03E5">
        <w:tab/>
        <w:t>Siyáh-Dihán (Síyáh-Dihán) or Tákistán</w:t>
      </w:r>
      <w:r w:rsidRPr="008F03E5">
        <w:tab/>
        <w:t>(Seyahdehan, Siadehan, Siaden, Siyaden, etc.</w:t>
      </w:r>
      <w:r>
        <w:t>; “black mouth”</w:t>
      </w:r>
      <w:r w:rsidRPr="008F03E5">
        <w:t xml:space="preserve">) a city </w:t>
      </w:r>
      <w:r>
        <w:t>(</w:t>
      </w:r>
      <w:r w:rsidRPr="005A50B1">
        <w:t>36.067837, 49.695705</w:t>
      </w:r>
      <w:r>
        <w:t xml:space="preserve">) </w:t>
      </w:r>
      <w:r w:rsidRPr="008F03E5">
        <w:t>and capital of Tákistán County, in Qazvin Province</w:t>
      </w:r>
      <w:r>
        <w:t>;</w:t>
      </w:r>
      <w:r w:rsidRPr="008F03E5">
        <w:t xml:space="preserve"> 35 km </w:t>
      </w:r>
      <w:r w:rsidRPr="008F03E5">
        <w:rPr>
          <w:sz w:val="16"/>
          <w:szCs w:val="16"/>
        </w:rPr>
        <w:t>SW</w:t>
      </w:r>
      <w:r w:rsidRPr="008F03E5">
        <w:t xml:space="preserve"> of Qazvin.  It was a village when the Báb stayed there while being escorted to Máh-Kú.</w:t>
      </w:r>
    </w:p>
    <w:p w14:paraId="458338A8" w14:textId="77777777" w:rsidR="00625A5B" w:rsidRPr="008F03E5" w:rsidRDefault="00625A5B" w:rsidP="00C42FAD">
      <w:pPr>
        <w:pStyle w:val="Translit"/>
      </w:pPr>
      <w:r w:rsidRPr="008F03E5">
        <w:t>Siyasa, Siyasat, Siyasatan</w:t>
      </w:r>
      <w:r w:rsidRPr="008F03E5">
        <w:tab/>
        <w:t>Siyása[h or t], pl. Siyását</w:t>
      </w:r>
      <w:r w:rsidRPr="008F03E5">
        <w:tab/>
        <w:t>administration, management; policy;</w:t>
      </w:r>
      <w:r w:rsidRPr="008F03E5">
        <w:rPr>
          <w:rFonts w:eastAsia="Times New Roman"/>
        </w:rPr>
        <w:t xml:space="preserve"> ruling, governing, managing; government, administration of justice</w:t>
      </w:r>
      <w:r w:rsidRPr="008F03E5">
        <w:t>.  Siyásatan ”for reasons of expediency (Islamic Law)”.  ad-duwalíya[h] as-siyása[h] diplomacy.  Siyásatan jáhilíyyatan “the order and laws applied before Islam”.</w:t>
      </w:r>
    </w:p>
    <w:p w14:paraId="56214DDC" w14:textId="77777777" w:rsidR="00625A5B" w:rsidRPr="008F03E5" w:rsidRDefault="00625A5B" w:rsidP="00156305">
      <w:pPr>
        <w:pStyle w:val="Translit"/>
      </w:pPr>
      <w:r w:rsidRPr="008F03E5">
        <w:t>Siyasi, Siyasiya, Siyasyun, Sasa</w:t>
      </w:r>
      <w:r w:rsidRPr="008F03E5">
        <w:tab/>
        <w:t>Siyásí, fem. Siyásíya[h], pl. Siyásyún, Sása</w:t>
      </w:r>
      <w:r w:rsidRPr="008F03E5">
        <w:tab/>
        <w:t>political; diplomatic;—pl. politician; diplomat, statesman.  Pers. fem. also siyásiyyih.  Egyptian Arabic daily newspaper (Cairo) as-Siyásíyah (“The Politics”, “Assiyassah”), 1922–1951.</w:t>
      </w:r>
    </w:p>
    <w:p w14:paraId="56B4E00A" w14:textId="77777777" w:rsidR="00625A5B" w:rsidRPr="008F03E5" w:rsidRDefault="00625A5B" w:rsidP="00DD1636">
      <w:pPr>
        <w:pStyle w:val="Translit"/>
      </w:pPr>
      <w:r w:rsidRPr="008F03E5">
        <w:t>Siyavash Safidvash</w:t>
      </w:r>
      <w:r w:rsidRPr="008F03E5">
        <w:tab/>
        <w:t>Siyáva</w:t>
      </w:r>
      <w:r w:rsidRPr="008F03E5">
        <w:rPr>
          <w:u w:val="single"/>
        </w:rPr>
        <w:t>sh</w:t>
      </w:r>
      <w:r w:rsidRPr="008F03E5">
        <w:t xml:space="preserve"> Safídva</w:t>
      </w:r>
      <w:r w:rsidRPr="008F03E5">
        <w:rPr>
          <w:u w:val="single"/>
        </w:rPr>
        <w:t>sh</w:t>
      </w:r>
      <w:r w:rsidRPr="008F03E5">
        <w:tab/>
        <w:t>one of the earliest Zoroastrian Bahá’ís.  ‘Abdu’l-Bahá “changed” his name to Safídva</w:t>
      </w:r>
      <w:r w:rsidRPr="008F03E5">
        <w:rPr>
          <w:u w:val="single"/>
        </w:rPr>
        <w:t>sh</w:t>
      </w:r>
      <w:r w:rsidRPr="008F03E5">
        <w:t xml:space="preserve"> (“blackish” to “whiteish”), so that unlike the hero of </w:t>
      </w:r>
      <w:r w:rsidRPr="008F03E5">
        <w:rPr>
          <w:i/>
          <w:iCs/>
          <w:u w:val="single"/>
        </w:rPr>
        <w:t>Sh</w:t>
      </w:r>
      <w:r w:rsidRPr="008F03E5">
        <w:rPr>
          <w:i/>
          <w:iCs/>
        </w:rPr>
        <w:t>áhnáma</w:t>
      </w:r>
      <w:r w:rsidRPr="008F03E5">
        <w:t>, he would not meet an untimely death.</w:t>
      </w:r>
    </w:p>
    <w:p w14:paraId="7403C7C8" w14:textId="77777777" w:rsidR="00625A5B" w:rsidRPr="008F03E5" w:rsidRDefault="00625A5B" w:rsidP="00B20D29">
      <w:pPr>
        <w:pStyle w:val="Translit"/>
      </w:pPr>
      <w:r w:rsidRPr="008F03E5">
        <w:t>Siyavushi</w:t>
      </w:r>
      <w:r w:rsidRPr="008F03E5">
        <w:tab/>
        <w:t>Síyávu</w:t>
      </w:r>
      <w:r w:rsidRPr="008F03E5">
        <w:rPr>
          <w:u w:val="single"/>
        </w:rPr>
        <w:t>sh</w:t>
      </w:r>
      <w:r w:rsidRPr="008F03E5">
        <w:t>í</w:t>
      </w:r>
      <w:r w:rsidRPr="008F03E5">
        <w:tab/>
        <w:t>Jam</w:t>
      </w:r>
      <w:r w:rsidRPr="008F03E5">
        <w:rPr>
          <w:u w:val="single"/>
        </w:rPr>
        <w:t>sh</w:t>
      </w:r>
      <w:r w:rsidRPr="008F03E5">
        <w:t>íd Síyávu</w:t>
      </w:r>
      <w:r w:rsidRPr="008F03E5">
        <w:rPr>
          <w:u w:val="single"/>
        </w:rPr>
        <w:t>sh</w:t>
      </w:r>
      <w:r w:rsidRPr="008F03E5">
        <w:t>í</w:t>
      </w:r>
    </w:p>
    <w:p w14:paraId="50142FED" w14:textId="77777777" w:rsidR="00625A5B" w:rsidRPr="008F03E5" w:rsidRDefault="00625A5B" w:rsidP="0052759D">
      <w:pPr>
        <w:pStyle w:val="Translit"/>
      </w:pPr>
      <w:r w:rsidRPr="008F03E5">
        <w:t>Siyawakhsh (Siyavakhsh)</w:t>
      </w:r>
      <w:r w:rsidRPr="008F03E5">
        <w:tab/>
        <w:t>Siyáwa</w:t>
      </w:r>
      <w:r w:rsidRPr="008F03E5">
        <w:rPr>
          <w:u w:val="single"/>
        </w:rPr>
        <w:t>khsh</w:t>
      </w:r>
      <w:r w:rsidRPr="008F03E5">
        <w:tab/>
        <w:t xml:space="preserve">Pers. black-eyed; intellectual delights; son of Kay </w:t>
      </w:r>
      <w:r w:rsidRPr="008F03E5">
        <w:rPr>
          <w:u w:val="single"/>
        </w:rPr>
        <w:t>Kh</w:t>
      </w:r>
      <w:r w:rsidRPr="008F03E5">
        <w:t>usraw</w:t>
      </w:r>
    </w:p>
    <w:p w14:paraId="317F8312" w14:textId="77777777" w:rsidR="00625A5B" w:rsidRPr="008F03E5" w:rsidRDefault="00625A5B" w:rsidP="002C67EF">
      <w:pPr>
        <w:pStyle w:val="Translit"/>
      </w:pPr>
      <w:r w:rsidRPr="008F03E5">
        <w:t>Siyawashan (Siyavashan)</w:t>
      </w:r>
      <w:r w:rsidRPr="008F03E5">
        <w:tab/>
        <w:t>Siyáwa</w:t>
      </w:r>
      <w:r w:rsidRPr="008F03E5">
        <w:rPr>
          <w:u w:val="single"/>
        </w:rPr>
        <w:t>sh</w:t>
      </w:r>
      <w:r w:rsidRPr="008F03E5">
        <w:t xml:space="preserve">án </w:t>
      </w:r>
      <w:r w:rsidRPr="008F03E5">
        <w:tab/>
        <w:t>is a village (34.446679, 49.992299) in Markazi Province</w:t>
      </w:r>
    </w:p>
    <w:p w14:paraId="03D41991" w14:textId="77777777" w:rsidR="00625A5B" w:rsidRPr="008F03E5" w:rsidRDefault="00625A5B" w:rsidP="006E08D3">
      <w:pPr>
        <w:pStyle w:val="Translit"/>
        <w:rPr>
          <w:u w:val="single"/>
        </w:rPr>
      </w:pPr>
      <w:r w:rsidRPr="008F03E5">
        <w:t>Siyawush, Siyawash (Siawash, Siavash)</w:t>
      </w:r>
      <w:r w:rsidRPr="008F03E5">
        <w:tab/>
        <w:t>Siyáwu</w:t>
      </w:r>
      <w:r w:rsidRPr="008F03E5">
        <w:rPr>
          <w:u w:val="single"/>
        </w:rPr>
        <w:t>sh</w:t>
      </w:r>
      <w:r w:rsidRPr="008F03E5">
        <w:t>, Siyáwa</w:t>
      </w:r>
      <w:r w:rsidRPr="008F03E5">
        <w:rPr>
          <w:u w:val="single"/>
        </w:rPr>
        <w:t>sh</w:t>
      </w:r>
      <w:r w:rsidRPr="008F03E5">
        <w:tab/>
        <w:t>Pers. (Siyávu</w:t>
      </w:r>
      <w:r w:rsidRPr="008F03E5">
        <w:rPr>
          <w:u w:val="single"/>
        </w:rPr>
        <w:t>sh</w:t>
      </w:r>
      <w:r w:rsidRPr="008F03E5">
        <w:t>, Siyavá</w:t>
      </w:r>
      <w:r w:rsidRPr="008F03E5">
        <w:rPr>
          <w:u w:val="single"/>
        </w:rPr>
        <w:t>sh</w:t>
      </w:r>
      <w:r w:rsidRPr="008F03E5">
        <w:t>) Siyáwa</w:t>
      </w:r>
      <w:r w:rsidRPr="008F03E5">
        <w:rPr>
          <w:u w:val="single"/>
        </w:rPr>
        <w:t>sh</w:t>
      </w:r>
      <w:r w:rsidRPr="008F03E5">
        <w:t xml:space="preserve"> (“the one with the black horse” or “black stallion”), legendary Iranian prince (in </w:t>
      </w:r>
      <w:r w:rsidRPr="008F03E5">
        <w:rPr>
          <w:i/>
          <w:iCs/>
          <w:u w:val="single"/>
        </w:rPr>
        <w:t>Sh</w:t>
      </w:r>
      <w:r w:rsidRPr="008F03E5">
        <w:rPr>
          <w:i/>
          <w:iCs/>
        </w:rPr>
        <w:t>áhnáma</w:t>
      </w:r>
      <w:r w:rsidRPr="008F03E5">
        <w:t xml:space="preserve"> by Firdawsí), father of Kay </w:t>
      </w:r>
      <w:r w:rsidRPr="008F03E5">
        <w:rPr>
          <w:u w:val="single"/>
        </w:rPr>
        <w:t>Kh</w:t>
      </w:r>
      <w:r w:rsidRPr="008F03E5">
        <w:t>usraw (Cyrus) and grandfather of Siyáwa</w:t>
      </w:r>
      <w:r w:rsidRPr="008F03E5">
        <w:rPr>
          <w:u w:val="single"/>
        </w:rPr>
        <w:t>khsh</w:t>
      </w:r>
    </w:p>
    <w:p w14:paraId="7AE582D9" w14:textId="77777777" w:rsidR="00625A5B" w:rsidRPr="008F03E5" w:rsidRDefault="00625A5B" w:rsidP="007E38C3">
      <w:pPr>
        <w:pStyle w:val="Translit"/>
      </w:pPr>
      <w:r w:rsidRPr="008F03E5">
        <w:t>Sizdah</w:t>
      </w:r>
      <w:r w:rsidRPr="008F03E5">
        <w:tab/>
        <w:t>Sízdah</w:t>
      </w:r>
      <w:r w:rsidRPr="008F03E5">
        <w:tab/>
        <w:t>Pers. thirteen</w:t>
      </w:r>
    </w:p>
    <w:p w14:paraId="51D9C15B" w14:textId="77777777" w:rsidR="00625A5B" w:rsidRPr="008F03E5" w:rsidRDefault="00625A5B" w:rsidP="00DD3820">
      <w:pPr>
        <w:pStyle w:val="Translit"/>
      </w:pPr>
      <w:r w:rsidRPr="008F03E5">
        <w:t>Stafi’li</w:t>
      </w:r>
      <w:r w:rsidRPr="008F03E5">
        <w:tab/>
        <w:t>Stafi’li</w:t>
      </w:r>
      <w:r w:rsidRPr="008F03E5">
        <w:tab/>
        <w:t xml:space="preserve">Greek staphylion (grape) </w:t>
      </w:r>
      <w:r w:rsidRPr="008F03E5">
        <w:rPr>
          <w:i/>
          <w:iCs/>
        </w:rPr>
        <w:t>The Promulgation of Universal Peace</w:t>
      </w:r>
      <w:r w:rsidRPr="008F03E5">
        <w:t>, p. 248</w:t>
      </w:r>
    </w:p>
    <w:p w14:paraId="29DBA9EF" w14:textId="77777777" w:rsidR="00625A5B" w:rsidRPr="008F03E5" w:rsidRDefault="00625A5B" w:rsidP="000548E8">
      <w:pPr>
        <w:pStyle w:val="Translit"/>
      </w:pPr>
      <w:r w:rsidRPr="008F03E5">
        <w:t>Su’, Aswa’</w:t>
      </w:r>
      <w:r w:rsidRPr="008F03E5">
        <w:tab/>
        <w:t>Sú’, pl. Aswá’</w:t>
      </w:r>
      <w:r w:rsidRPr="008F03E5">
        <w:tab/>
        <w:t>evil, ill; iniquity, injury, offense; calamity, misfortune</w:t>
      </w:r>
    </w:p>
    <w:p w14:paraId="6B13028C" w14:textId="77777777" w:rsidR="00625A5B" w:rsidRPr="008F03E5" w:rsidRDefault="00625A5B" w:rsidP="0032079B">
      <w:pPr>
        <w:pStyle w:val="Translit"/>
      </w:pPr>
      <w:r w:rsidRPr="008F03E5">
        <w:t>Su’al, As’ila</w:t>
      </w:r>
      <w:r w:rsidRPr="008F03E5">
        <w:tab/>
        <w:t>Su’ál, pl. As’ila[h]</w:t>
      </w:r>
      <w:r w:rsidRPr="008F03E5">
        <w:tab/>
        <w:t>question (about); request (for); inquiry (about); demand, claim</w:t>
      </w:r>
    </w:p>
    <w:p w14:paraId="5355B510" w14:textId="77777777" w:rsidR="00625A5B" w:rsidRPr="008F03E5" w:rsidRDefault="00625A5B" w:rsidP="0032079B">
      <w:pPr>
        <w:pStyle w:val="Translit"/>
      </w:pPr>
      <w:r w:rsidRPr="008F03E5">
        <w:t>Su’ud</w:t>
      </w:r>
      <w:r w:rsidRPr="008F03E5">
        <w:tab/>
        <w:t>Ṣu‘úd</w:t>
      </w:r>
      <w:r w:rsidRPr="008F03E5">
        <w:tab/>
        <w:t>rising, lifting, ascending; take-off (of an airplane); ascent; boom; advance (toward)</w:t>
      </w:r>
    </w:p>
    <w:p w14:paraId="1A0FF890" w14:textId="77777777" w:rsidR="00625A5B" w:rsidRPr="008F03E5" w:rsidRDefault="00625A5B" w:rsidP="00445EDE">
      <w:pPr>
        <w:pStyle w:val="Translit"/>
      </w:pPr>
      <w:r w:rsidRPr="008F03E5">
        <w:t>Subbuh</w:t>
      </w:r>
      <w:r w:rsidRPr="008F03E5">
        <w:tab/>
        <w:t>Subbúḥ</w:t>
      </w:r>
      <w:r w:rsidRPr="008F03E5">
        <w:tab/>
        <w:t>All-Perfect, All-Pure, All-Glorious, All-Praised.  Derived from Subḥán</w:t>
      </w:r>
      <w:r>
        <w:t>.</w:t>
      </w:r>
    </w:p>
    <w:p w14:paraId="71BF664E" w14:textId="77777777" w:rsidR="00625A5B" w:rsidRPr="008F03E5" w:rsidRDefault="00625A5B" w:rsidP="00493E6B">
      <w:pPr>
        <w:pStyle w:val="Translit"/>
      </w:pPr>
      <w:r w:rsidRPr="00551E14">
        <w:t>Subh al-Azal, Subh-i-Azal</w:t>
      </w:r>
      <w:r w:rsidRPr="00551E14">
        <w:tab/>
        <w:t xml:space="preserve">Ṣubḥ al-Azal, Pers. </w:t>
      </w:r>
      <w:r w:rsidRPr="008F03E5">
        <w:t>Ṣubḥ-i-Azal</w:t>
      </w:r>
      <w:r w:rsidRPr="008F03E5">
        <w:tab/>
        <w:t>“Morning of Eternity”, expression used in Ḥadí</w:t>
      </w:r>
      <w:r w:rsidRPr="008F03E5">
        <w:rPr>
          <w:u w:val="single"/>
        </w:rPr>
        <w:t>th</w:t>
      </w:r>
      <w:r w:rsidRPr="008F03E5">
        <w:t xml:space="preserve"> al-Ḥaqíqa or the “Ḥadí</w:t>
      </w:r>
      <w:r w:rsidRPr="008F03E5">
        <w:rPr>
          <w:u w:val="single"/>
        </w:rPr>
        <w:t>th</w:t>
      </w:r>
      <w:r w:rsidRPr="008F03E5">
        <w:t xml:space="preserve"> Kumayl”.  The Báb used this title in reference to some leading Bábís.  A title assumed by Mírzá Yaḥyá (“not conferred on him by the Báb”), a younger half-brother of Bahá’u’lláh.  Bahá’u’lláh cited Amos 4:12–13 (which says that God “maketh the morning darkness”) in reference to Mírzá Yaḥyá.</w:t>
      </w:r>
    </w:p>
    <w:p w14:paraId="56C4AECD" w14:textId="77777777" w:rsidR="00625A5B" w:rsidRPr="008F03E5" w:rsidRDefault="00625A5B" w:rsidP="00D803AD">
      <w:pPr>
        <w:pStyle w:val="Translit"/>
      </w:pPr>
      <w:r w:rsidRPr="008F03E5">
        <w:t>Subh, Asbah</w:t>
      </w:r>
      <w:r w:rsidRPr="008F03E5">
        <w:tab/>
        <w:t>Ṣubḥ, pl. Aṣbáḥ</w:t>
      </w:r>
      <w:r w:rsidRPr="008F03E5">
        <w:tab/>
        <w:t>dawn; daybreak; morning.  ṣalát aṣ-ṣubḥ—morning prayer (at dawn)</w:t>
      </w:r>
    </w:p>
    <w:p w14:paraId="5272E10A" w14:textId="77777777" w:rsidR="00625A5B" w:rsidRPr="008F03E5" w:rsidRDefault="00625A5B" w:rsidP="00D03A39">
      <w:pPr>
        <w:pStyle w:val="Translit"/>
      </w:pPr>
      <w:r w:rsidRPr="001C1CBE">
        <w:rPr>
          <w:lang w:val="fr-FR"/>
        </w:rPr>
        <w:t>Subha, Sabha, Subuhat, Sabahat</w:t>
      </w:r>
      <w:r w:rsidRPr="001C1CBE">
        <w:rPr>
          <w:lang w:val="fr-FR"/>
        </w:rPr>
        <w:tab/>
        <w:t>Subḥa[h or t], Sabḥa[h or t]</w:t>
      </w:r>
      <w:r w:rsidRPr="001C1CBE">
        <w:rPr>
          <w:lang w:val="fr-FR"/>
        </w:rPr>
        <w:tab/>
        <w:t xml:space="preserve">pl. Subuḥát, Sabaḥát.  </w:t>
      </w:r>
      <w:r w:rsidRPr="008F03E5">
        <w:t>majesty (of God).  Subuḥátu wajhi lláh the sublimity, or the august splendour, or God’s countenance; sabaḥát lofty heights</w:t>
      </w:r>
    </w:p>
    <w:p w14:paraId="1C300C0F" w14:textId="77777777" w:rsidR="00625A5B" w:rsidRPr="008F03E5" w:rsidRDefault="00625A5B" w:rsidP="00A1414B">
      <w:pPr>
        <w:pStyle w:val="Translit"/>
      </w:pPr>
      <w:r w:rsidRPr="008F03E5">
        <w:t>Subhan</w:t>
      </w:r>
      <w:r w:rsidRPr="008F03E5">
        <w:tab/>
        <w:t>Subḥán</w:t>
      </w:r>
      <w:r w:rsidRPr="008F03E5">
        <w:tab/>
        <w:t>praise, glory</w:t>
      </w:r>
    </w:p>
    <w:p w14:paraId="7A4B639A" w14:textId="77777777" w:rsidR="00625A5B" w:rsidRPr="008F03E5" w:rsidRDefault="00625A5B" w:rsidP="00A11569">
      <w:pPr>
        <w:pStyle w:val="Translit"/>
      </w:pPr>
      <w:r w:rsidRPr="008F03E5">
        <w:t>Subhana’llah</w:t>
      </w:r>
      <w:r w:rsidRPr="008F03E5">
        <w:tab/>
        <w:t>Subḥána’lláh</w:t>
      </w:r>
      <w:r w:rsidRPr="008F03E5">
        <w:tab/>
        <w:t xml:space="preserve">(Subhana llah, Subhanallah) exclamation of surprise, etc. (Glory be to God!  Praise the Lord!  God be praised!  Praise be to God!  Gracious God!).  See prayer “Remover of difficulties” (“Praised be God!”) and </w:t>
      </w:r>
      <w:r w:rsidRPr="008F03E5">
        <w:rPr>
          <w:sz w:val="16"/>
          <w:szCs w:val="16"/>
        </w:rPr>
        <w:t>SAQ</w:t>
      </w:r>
      <w:r w:rsidRPr="008F03E5">
        <w:t xml:space="preserve"> p. 319 (12) (“Gracious God!”).</w:t>
      </w:r>
    </w:p>
    <w:p w14:paraId="39390814" w14:textId="77777777" w:rsidR="00625A5B" w:rsidRPr="008F03E5" w:rsidRDefault="00625A5B" w:rsidP="00900A82">
      <w:pPr>
        <w:pStyle w:val="Translit"/>
      </w:pPr>
      <w:r w:rsidRPr="008F03E5">
        <w:t>Subhana-Rabbiya’l-A’la</w:t>
      </w:r>
      <w:r w:rsidRPr="008F03E5">
        <w:tab/>
        <w:t>Subḥána-Rabbíya’l-A‘lá</w:t>
      </w:r>
      <w:r w:rsidRPr="008F03E5">
        <w:tab/>
        <w:t>“Praise to the Exalted Lord” by Bahá’u’lláh</w:t>
      </w:r>
    </w:p>
    <w:p w14:paraId="5BF7A7C7" w14:textId="77777777" w:rsidR="00625A5B" w:rsidRPr="008F03E5" w:rsidRDefault="00625A5B" w:rsidP="004606CE">
      <w:pPr>
        <w:pStyle w:val="Translit"/>
        <w:rPr>
          <w:rFonts w:eastAsia="PMingLiU"/>
          <w:lang w:eastAsia="zh-TW"/>
        </w:rPr>
      </w:pPr>
      <w:r w:rsidRPr="008F03E5">
        <w:rPr>
          <w:rFonts w:eastAsia="PMingLiU"/>
          <w:lang w:eastAsia="zh-TW"/>
        </w:rPr>
        <w:t>Subhani, Subhaniya</w:t>
      </w:r>
      <w:r w:rsidRPr="008F03E5">
        <w:tab/>
      </w:r>
      <w:r w:rsidRPr="008F03E5">
        <w:rPr>
          <w:rFonts w:eastAsia="PMingLiU"/>
          <w:lang w:eastAsia="zh-TW"/>
        </w:rPr>
        <w:t>Sub</w:t>
      </w:r>
      <w:r w:rsidRPr="008F03E5">
        <w:t>ḥ</w:t>
      </w:r>
      <w:r w:rsidRPr="008F03E5">
        <w:rPr>
          <w:rFonts w:eastAsia="PMingLiU"/>
          <w:lang w:eastAsia="zh-TW"/>
        </w:rPr>
        <w:t>ání, fem. Sub</w:t>
      </w:r>
      <w:r w:rsidRPr="008F03E5">
        <w:t>ḥá</w:t>
      </w:r>
      <w:r w:rsidRPr="008F03E5">
        <w:rPr>
          <w:rFonts w:eastAsia="PMingLiU"/>
          <w:lang w:eastAsia="zh-TW"/>
        </w:rPr>
        <w:t>n</w:t>
      </w:r>
      <w:r w:rsidRPr="008F03E5">
        <w:t>í</w:t>
      </w:r>
      <w:r w:rsidRPr="008F03E5">
        <w:rPr>
          <w:rFonts w:eastAsia="PMingLiU"/>
          <w:lang w:eastAsia="zh-TW"/>
        </w:rPr>
        <w:t>ya[t]</w:t>
      </w:r>
      <w:r w:rsidRPr="008F03E5">
        <w:tab/>
        <w:t>divine</w:t>
      </w:r>
    </w:p>
    <w:p w14:paraId="46EC6631" w14:textId="77777777" w:rsidR="00625A5B" w:rsidRPr="008F03E5" w:rsidRDefault="00625A5B" w:rsidP="00EA2E98">
      <w:pPr>
        <w:pStyle w:val="Translit"/>
      </w:pPr>
      <w:r w:rsidRPr="008F03E5">
        <w:t>Subhanika-Ya-Hu</w:t>
      </w:r>
      <w:r w:rsidRPr="008F03E5">
        <w:tab/>
        <w:t>Subḥánika-Yá-Hú</w:t>
      </w:r>
      <w:r w:rsidRPr="008F03E5">
        <w:tab/>
        <w:t>“Praised be Thou, O He!” by Bahá’u’lláh.  Also known as the Lawḥ-i-Náqús (Tablet of the Bell)</w:t>
      </w:r>
    </w:p>
    <w:p w14:paraId="76194B07" w14:textId="77777777" w:rsidR="00625A5B" w:rsidRPr="008F03E5" w:rsidRDefault="00625A5B" w:rsidP="00192C13">
      <w:pPr>
        <w:pStyle w:val="Translit"/>
      </w:pPr>
      <w:r w:rsidRPr="008F03E5">
        <w:t>Subhi</w:t>
      </w:r>
      <w:r w:rsidRPr="008F03E5">
        <w:tab/>
        <w:t>Ṣubḥí</w:t>
      </w:r>
      <w:r w:rsidRPr="008F03E5">
        <w:tab/>
        <w:t>“my dawn” or “my morning”.  Mírzá Faḍlu’lláh Muhtadí (known as Ṣubḥí), was a secretary for ‘Abdu’l-Bahá, a belief vacillator and later a Covenant-breaker.</w:t>
      </w:r>
    </w:p>
    <w:p w14:paraId="43603498" w14:textId="77777777" w:rsidR="00625A5B" w:rsidRPr="008F03E5" w:rsidRDefault="00625A5B" w:rsidP="004933FF">
      <w:pPr>
        <w:pStyle w:val="Translit"/>
      </w:pPr>
      <w:r w:rsidRPr="008F03E5">
        <w:t>Subuhat al-Jalal, Subuhat-i-Jalal</w:t>
      </w:r>
      <w:r w:rsidRPr="008F03E5">
        <w:tab/>
        <w:t>Subuḥát al-Jalál, Pers. Subuḥát-i-Jalál</w:t>
      </w:r>
      <w:r w:rsidRPr="008F03E5">
        <w:tab/>
        <w:t xml:space="preserve">literally “lofty praises of the majesty of God” or “lofty praises of divine glory”—this suggests we must rigorously avoid equating our understanding (and therefore our </w:t>
      </w:r>
      <w:r w:rsidRPr="008F03E5">
        <w:rPr>
          <w:lang w:eastAsia="en-US"/>
        </w:rPr>
        <w:t>‘</w:t>
      </w:r>
      <w:r w:rsidRPr="008F03E5">
        <w:t>self’) of sublime divine qualities with the absolute unknowable essence of God.  Hence</w:t>
      </w:r>
      <w:r>
        <w:t>,</w:t>
      </w:r>
      <w:r w:rsidRPr="008F03E5">
        <w:t xml:space="preserve"> Shoghi Effendi translated this expression in Bahá’u’lláh’s Writings as </w:t>
      </w:r>
      <w:r w:rsidRPr="008F03E5">
        <w:rPr>
          <w:lang w:eastAsia="en-US"/>
        </w:rPr>
        <w:t>“</w:t>
      </w:r>
      <w:r w:rsidRPr="008F03E5">
        <w:t xml:space="preserve">veils of glory”.  Those affected by the </w:t>
      </w:r>
      <w:r w:rsidRPr="008F03E5">
        <w:rPr>
          <w:lang w:eastAsia="en-US"/>
        </w:rPr>
        <w:t>“</w:t>
      </w:r>
      <w:r w:rsidRPr="008F03E5">
        <w:t>veils of glory” could be described as suffering from “delusions of grandeur”.  See “</w:t>
      </w:r>
      <w:r w:rsidRPr="008F03E5">
        <w:rPr>
          <w:lang w:eastAsia="en-US"/>
        </w:rPr>
        <w:t>The Báb’s epistle on the spiritual journey towards God”, Todd Lawson; a</w:t>
      </w:r>
      <w:r w:rsidRPr="008F03E5">
        <w:t xml:space="preserve">nd Symbol and Secret:  Qur’an commentary in Bahá’u’lláh’s </w:t>
      </w:r>
      <w:r w:rsidRPr="008F03E5">
        <w:rPr>
          <w:i/>
          <w:iCs/>
        </w:rPr>
        <w:t>The Kitáb-i-Íqán</w:t>
      </w:r>
      <w:r w:rsidRPr="008F03E5">
        <w:t>, Christopher Buck.</w:t>
      </w:r>
      <w:r>
        <w:t xml:space="preserve">  See </w:t>
      </w:r>
      <w:r w:rsidRPr="007B5370">
        <w:t>Sabḥa</w:t>
      </w:r>
      <w:r>
        <w:t>.</w:t>
      </w:r>
    </w:p>
    <w:p w14:paraId="5CCE7805" w14:textId="77777777" w:rsidR="00625A5B" w:rsidRPr="008F03E5" w:rsidRDefault="00625A5B" w:rsidP="00FB7937">
      <w:pPr>
        <w:pStyle w:val="Translit"/>
      </w:pPr>
      <w:r w:rsidRPr="008F03E5">
        <w:rPr>
          <w:rFonts w:eastAsia="Times New Roman"/>
        </w:rPr>
        <w:t>Subuw</w:t>
      </w:r>
      <w:r w:rsidRPr="008F03E5">
        <w:rPr>
          <w:rFonts w:eastAsia="Times New Roman"/>
        </w:rPr>
        <w:tab/>
        <w:t>Ṣubúw</w:t>
      </w:r>
      <w:r w:rsidRPr="008F03E5">
        <w:rPr>
          <w:rFonts w:eastAsia="Times New Roman"/>
        </w:rPr>
        <w:tab/>
        <w:t>blowing from the east (wind); the ignorance and thoughtlessness of youth; playing with boys; having childish inclinations</w:t>
      </w:r>
    </w:p>
    <w:p w14:paraId="77DF389F" w14:textId="77777777" w:rsidR="00625A5B" w:rsidRPr="00077779" w:rsidRDefault="00625A5B" w:rsidP="00FB25BD">
      <w:pPr>
        <w:pStyle w:val="Translit"/>
        <w:rPr>
          <w:lang w:val="es-ES_tradnl"/>
        </w:rPr>
      </w:pPr>
      <w:r w:rsidRPr="00077779">
        <w:rPr>
          <w:lang w:val="es-ES_tradnl"/>
        </w:rPr>
        <w:t>Sudan</w:t>
      </w:r>
      <w:r w:rsidRPr="00077779">
        <w:rPr>
          <w:lang w:val="es-ES_tradnl"/>
        </w:rPr>
        <w:tab/>
        <w:t>Súdán</w:t>
      </w:r>
      <w:r w:rsidRPr="00077779">
        <w:rPr>
          <w:lang w:val="es-ES_tradnl"/>
        </w:rPr>
        <w:tab/>
        <w:t>Sudan</w:t>
      </w:r>
    </w:p>
    <w:p w14:paraId="498C1FAD" w14:textId="77777777" w:rsidR="00625A5B" w:rsidRPr="00077779" w:rsidRDefault="00625A5B" w:rsidP="00306304">
      <w:pPr>
        <w:pStyle w:val="Translit"/>
        <w:rPr>
          <w:lang w:val="es-ES_tradnl"/>
        </w:rPr>
      </w:pPr>
      <w:r w:rsidRPr="00077779">
        <w:rPr>
          <w:lang w:val="es-ES_tradnl"/>
        </w:rPr>
        <w:t>Suf, Aswaf</w:t>
      </w:r>
      <w:r w:rsidRPr="00077779">
        <w:rPr>
          <w:lang w:val="es-ES_tradnl"/>
        </w:rPr>
        <w:tab/>
        <w:t>Ṣúf, pl. Aṣwáf</w:t>
      </w:r>
      <w:r w:rsidRPr="00077779">
        <w:rPr>
          <w:lang w:val="es-ES_tradnl"/>
        </w:rPr>
        <w:tab/>
        <w:t>wool</w:t>
      </w:r>
    </w:p>
    <w:p w14:paraId="1FA809B0" w14:textId="77777777" w:rsidR="00625A5B" w:rsidRPr="008F03E5" w:rsidRDefault="00625A5B" w:rsidP="008E0B54">
      <w:pPr>
        <w:pStyle w:val="Translit"/>
      </w:pPr>
      <w:r w:rsidRPr="000135E1">
        <w:rPr>
          <w:lang w:val="es-ES_tradnl"/>
        </w:rPr>
        <w:t>Suffa, Sufaf</w:t>
      </w:r>
      <w:r w:rsidRPr="000135E1">
        <w:rPr>
          <w:lang w:val="es-ES_tradnl"/>
        </w:rPr>
        <w:tab/>
        <w:t xml:space="preserve">Ṣuffa[h], pl. </w:t>
      </w:r>
      <w:r w:rsidRPr="008F03E5">
        <w:t>Ṣufaf</w:t>
      </w:r>
      <w:r w:rsidRPr="008F03E5">
        <w:tab/>
        <w:t>(stone) moulding; ledge; a</w:t>
      </w:r>
      <w:r w:rsidRPr="008F03E5">
        <w:rPr>
          <w:rFonts w:eastAsia="Times New Roman"/>
        </w:rPr>
        <w:t xml:space="preserve"> sofa, bench; a dais, raised floor; a covered place for reclining on before the doors of Eastern houses or mosques</w:t>
      </w:r>
    </w:p>
    <w:p w14:paraId="0C88769D" w14:textId="77777777" w:rsidR="00625A5B" w:rsidRPr="008F03E5" w:rsidRDefault="00625A5B" w:rsidP="00DC1BE7">
      <w:pPr>
        <w:pStyle w:val="Translit"/>
      </w:pPr>
      <w:r w:rsidRPr="008F03E5">
        <w:t>Sufi, Sufiyun</w:t>
      </w:r>
      <w:r w:rsidRPr="008F03E5">
        <w:tab/>
        <w:t>Ṣúfí, pl. Ṣúfiyún</w:t>
      </w:r>
      <w:r w:rsidRPr="008F03E5">
        <w:tab/>
        <w:t>of wool, woollen, Islamic mystic or ascetic who wears woollen clothing, Sufi.  Plurals also Ṣúfiyán and Ṣúfiyín.  For the plural, see al-Mutaṣawwifa.</w:t>
      </w:r>
    </w:p>
    <w:p w14:paraId="6A3B180F" w14:textId="77777777" w:rsidR="00625A5B" w:rsidRPr="008F03E5" w:rsidRDefault="00625A5B" w:rsidP="00910821">
      <w:pPr>
        <w:pStyle w:val="Translit"/>
      </w:pPr>
      <w:r w:rsidRPr="008F03E5">
        <w:t>Sufiya (Sofiya)</w:t>
      </w:r>
      <w:r w:rsidRPr="008F03E5">
        <w:tab/>
        <w:t>Ṣúfiyá (Ṣófiyá)</w:t>
      </w:r>
      <w:r w:rsidRPr="008F03E5">
        <w:tab/>
        <w:t>Greek (σοφία, sofia, “wisdom”), English Sophia or Sofia.  Sofia is the capital Bulgaria.  Wisdom in Arabic is ḥikma.  See Ayá Ṣúfiyá.</w:t>
      </w:r>
    </w:p>
    <w:p w14:paraId="7816EC09" w14:textId="77777777" w:rsidR="00625A5B" w:rsidRPr="008F03E5" w:rsidRDefault="00625A5B" w:rsidP="001A5685">
      <w:pPr>
        <w:pStyle w:val="Translit"/>
      </w:pPr>
      <w:r w:rsidRPr="008F03E5">
        <w:t>Sufiya (Sufiyya)</w:t>
      </w:r>
      <w:r w:rsidRPr="008F03E5">
        <w:tab/>
        <w:t>aṣ-Ṣúfíya[h]</w:t>
      </w:r>
      <w:r w:rsidRPr="008F03E5">
        <w:rPr>
          <w:cs/>
        </w:rPr>
        <w:t>‎</w:t>
      </w:r>
      <w:r w:rsidRPr="008F03E5">
        <w:tab/>
        <w:t>Sufism (“Sufiism”), Sufi way of life.  See Ar. Taṣawwuf</w:t>
      </w:r>
    </w:p>
    <w:p w14:paraId="226A0763" w14:textId="77777777" w:rsidR="00625A5B" w:rsidRPr="008F03E5" w:rsidRDefault="00625A5B" w:rsidP="0049745F">
      <w:pPr>
        <w:pStyle w:val="Translit"/>
      </w:pPr>
      <w:r w:rsidRPr="008F03E5">
        <w:t>Sufyan (Sofyan)</w:t>
      </w:r>
      <w:r w:rsidRPr="008F03E5">
        <w:tab/>
        <w:t>Sufyán</w:t>
      </w:r>
      <w:r w:rsidRPr="008F03E5">
        <w:tab/>
        <w:t xml:space="preserve">a man with a hideous face whose coming was to be a sign of the Day of Judgement.  He was to rule eight months with five cities in his hand.  Browne, </w:t>
      </w:r>
      <w:r w:rsidRPr="008F03E5">
        <w:rPr>
          <w:sz w:val="16"/>
          <w:szCs w:val="16"/>
        </w:rPr>
        <w:t>TN</w:t>
      </w:r>
      <w:r w:rsidRPr="008F03E5">
        <w:t xml:space="preserve"> pp. 305–6.  Ṣa</w:t>
      </w:r>
      <w:r w:rsidRPr="008F03E5">
        <w:rPr>
          <w:u w:val="single"/>
        </w:rPr>
        <w:t>kh</w:t>
      </w:r>
      <w:r w:rsidRPr="008F03E5">
        <w:t>r ibn Ḥarb (commonly known as Abú Sufyán) (560–650), was the leader of the pre-Islamic Quraysh of Mecca.  He was a staunch opponent of Muhammad, until later accepting Islam.</w:t>
      </w:r>
    </w:p>
    <w:p w14:paraId="58AA2D04" w14:textId="77777777" w:rsidR="00625A5B" w:rsidRPr="008F03E5" w:rsidRDefault="00625A5B" w:rsidP="007B4FAE">
      <w:pPr>
        <w:pStyle w:val="Translit"/>
      </w:pPr>
      <w:r w:rsidRPr="008F03E5">
        <w:t>Sufyani</w:t>
      </w:r>
      <w:r w:rsidRPr="008F03E5">
        <w:tab/>
        <w:t>Sufyání</w:t>
      </w:r>
      <w:r w:rsidRPr="008F03E5">
        <w:tab/>
      </w:r>
      <w:r w:rsidRPr="008F03E5">
        <w:rPr>
          <w:sz w:val="16"/>
          <w:szCs w:val="16"/>
        </w:rPr>
        <w:t>GDM</w:t>
      </w:r>
      <w:r w:rsidRPr="008F03E5">
        <w:t xml:space="preserve"> p. 19.  A figure who was believed would raise the banner of rebellion between Mecca and Damascus at the appearance of the Promised One.  See Dajjál</w:t>
      </w:r>
    </w:p>
    <w:p w14:paraId="138DDA4F" w14:textId="77777777" w:rsidR="00625A5B" w:rsidRPr="008F03E5" w:rsidRDefault="00625A5B" w:rsidP="001807CA">
      <w:pPr>
        <w:pStyle w:val="Translit"/>
      </w:pPr>
      <w:r w:rsidRPr="008F03E5">
        <w:t>Suhayb (Suhaib, Sohaib)</w:t>
      </w:r>
      <w:r w:rsidRPr="008F03E5">
        <w:tab/>
        <w:t>Ṣuhayb</w:t>
      </w:r>
      <w:r w:rsidRPr="008F03E5">
        <w:tab/>
        <w:t>Ṣuhayb ar-Rúmíy (born c. 587 in what is now part of al-Baṣrah), also known as Ṣuhayb ibn Sinán, was a former slave in the Byzantine Empire who went on to become a companion of Muḥammad and member of the early Muslim community.</w:t>
      </w:r>
    </w:p>
    <w:p w14:paraId="43FCB2BC" w14:textId="77777777" w:rsidR="00625A5B" w:rsidRPr="008F03E5" w:rsidRDefault="00625A5B" w:rsidP="001807CA">
      <w:pPr>
        <w:pStyle w:val="Translit"/>
      </w:pPr>
      <w:r w:rsidRPr="008F03E5">
        <w:t>Suhayl (Suhail, Soheil)</w:t>
      </w:r>
      <w:r w:rsidRPr="008F03E5">
        <w:tab/>
        <w:t>Suhayl</w:t>
      </w:r>
      <w:r w:rsidRPr="008F03E5">
        <w:tab/>
        <w:t>Canopus (name of a star, astronomy)</w:t>
      </w:r>
    </w:p>
    <w:p w14:paraId="5061AC50" w14:textId="77777777" w:rsidR="00625A5B" w:rsidRPr="008F03E5" w:rsidRDefault="00625A5B" w:rsidP="00323FA8">
      <w:pPr>
        <w:pStyle w:val="Translit"/>
      </w:pPr>
      <w:r w:rsidRPr="008F03E5">
        <w:t>Suhayl Afnan (Soheil Afnan)</w:t>
      </w:r>
      <w:r w:rsidRPr="008F03E5">
        <w:tab/>
        <w:t>Suhayl Afnán</w:t>
      </w:r>
      <w:r w:rsidRPr="008F03E5">
        <w:tab/>
        <w:t>(1904–1990) a son of Mírzá Muḥsin Afnán, a cousin of the Báb, and Ṭ</w:t>
      </w:r>
      <w:r w:rsidRPr="008F03E5">
        <w:rPr>
          <w:rFonts w:eastAsia="PMingLiU"/>
          <w:lang w:eastAsia="zh-TW"/>
        </w:rPr>
        <w:t>úbá</w:t>
      </w:r>
      <w:r w:rsidRPr="008F03E5">
        <w:t xml:space="preserve"> </w:t>
      </w:r>
      <w:r w:rsidRPr="008F03E5">
        <w:rPr>
          <w:u w:val="single"/>
        </w:rPr>
        <w:t>Kh</w:t>
      </w:r>
      <w:r w:rsidRPr="008F03E5">
        <w:t>ánum (a daughter of ‘Abdu’l-Bahá).  He was one of Shoghi Effendi’s secretaries and later a Covenant-breaker.</w:t>
      </w:r>
    </w:p>
    <w:p w14:paraId="4E1C66FB" w14:textId="77777777" w:rsidR="00625A5B" w:rsidRPr="008F03E5" w:rsidRDefault="00625A5B" w:rsidP="00B32040">
      <w:pPr>
        <w:pStyle w:val="Translit"/>
      </w:pPr>
      <w:r w:rsidRPr="008F03E5">
        <w:rPr>
          <w:rFonts w:eastAsia="PMingLiU"/>
          <w:lang w:eastAsia="zh-TW"/>
        </w:rPr>
        <w:t>Suhrab (Sohrab)</w:t>
      </w:r>
      <w:r w:rsidRPr="008F03E5">
        <w:rPr>
          <w:rFonts w:eastAsia="PMingLiU"/>
          <w:lang w:eastAsia="zh-TW"/>
        </w:rPr>
        <w:tab/>
        <w:t>Suhr</w:t>
      </w:r>
      <w:r w:rsidRPr="008F03E5">
        <w:t>á</w:t>
      </w:r>
      <w:r w:rsidRPr="008F03E5">
        <w:rPr>
          <w:rFonts w:eastAsia="PMingLiU"/>
          <w:lang w:eastAsia="zh-TW"/>
        </w:rPr>
        <w:t>b</w:t>
      </w:r>
      <w:r w:rsidRPr="008F03E5">
        <w:rPr>
          <w:rFonts w:eastAsia="PMingLiU"/>
          <w:lang w:eastAsia="zh-TW"/>
        </w:rPr>
        <w:tab/>
        <w:t xml:space="preserve">Pers. a </w:t>
      </w:r>
      <w:r w:rsidRPr="008F03E5">
        <w:t xml:space="preserve">character, </w:t>
      </w:r>
      <w:r w:rsidRPr="008F03E5">
        <w:rPr>
          <w:rFonts w:eastAsia="PMingLiU"/>
          <w:lang w:eastAsia="zh-TW"/>
        </w:rPr>
        <w:t xml:space="preserve">son of </w:t>
      </w:r>
      <w:r w:rsidRPr="008F03E5">
        <w:t xml:space="preserve">Rustam, from the </w:t>
      </w:r>
      <w:r w:rsidRPr="008F03E5">
        <w:rPr>
          <w:i/>
          <w:iCs/>
        </w:rPr>
        <w:t>Shahnameh</w:t>
      </w:r>
      <w:r w:rsidRPr="008F03E5">
        <w:t xml:space="preserve"> or the Tales of Kings by Ferdowsi.  </w:t>
      </w:r>
      <w:r w:rsidRPr="00660F23">
        <w:rPr>
          <w:lang w:val="en-US" w:eastAsia="en-US"/>
        </w:rPr>
        <w:t>Aḥmad-i-I</w:t>
      </w:r>
      <w:r w:rsidRPr="001366E5">
        <w:t>ṣ</w:t>
      </w:r>
      <w:r w:rsidRPr="00660F23">
        <w:rPr>
          <w:lang w:val="en-US" w:eastAsia="en-US"/>
        </w:rPr>
        <w:t>f</w:t>
      </w:r>
      <w:r>
        <w:rPr>
          <w:lang w:val="en-US" w:eastAsia="en-US"/>
        </w:rPr>
        <w:t>a</w:t>
      </w:r>
      <w:r w:rsidRPr="00660F23">
        <w:rPr>
          <w:lang w:val="en-US" w:eastAsia="en-US"/>
        </w:rPr>
        <w:t>hání</w:t>
      </w:r>
      <w:r w:rsidRPr="008F03E5">
        <w:t xml:space="preserve"> </w:t>
      </w:r>
      <w:r>
        <w:t xml:space="preserve">(later he adopted the name </w:t>
      </w:r>
      <w:r w:rsidRPr="008F03E5">
        <w:t>Mirza Ahmad Sohrab</w:t>
      </w:r>
      <w:r>
        <w:t>;</w:t>
      </w:r>
      <w:r w:rsidRPr="008F03E5">
        <w:t xml:space="preserve"> 1893–1958) was a Persian-American author and Bahá’í who served as ‘Abdu’l-Bahá’s secretary and interpreter (1912–1919).  He co-founded the New History Society and the Caravan of East and West in New York and was declared a Covenant-breaker in 1939 by Shoghi Effendi.  See Rustam.</w:t>
      </w:r>
    </w:p>
    <w:p w14:paraId="32A796EE" w14:textId="77777777" w:rsidR="00625A5B" w:rsidRPr="008F03E5" w:rsidRDefault="00625A5B" w:rsidP="000F6F6B">
      <w:pPr>
        <w:pStyle w:val="Translit"/>
      </w:pPr>
      <w:r w:rsidRPr="008F03E5">
        <w:t>Suhraward (Sohrevard)</w:t>
      </w:r>
      <w:r w:rsidRPr="008F03E5">
        <w:tab/>
        <w:t>Suhraward</w:t>
      </w:r>
      <w:r w:rsidRPr="008F03E5">
        <w:tab/>
        <w:t>small city (36.073926, 48.438723) in the Zanján Province, Iran.  66 km south of Zanján and 141 km north of Hamadán.</w:t>
      </w:r>
    </w:p>
    <w:p w14:paraId="625609F1" w14:textId="77777777" w:rsidR="00625A5B" w:rsidRPr="008F03E5" w:rsidRDefault="00625A5B" w:rsidP="00ED145D">
      <w:pPr>
        <w:pStyle w:val="Translit"/>
      </w:pPr>
      <w:r w:rsidRPr="008F03E5">
        <w:t>Suhrawardi</w:t>
      </w:r>
      <w:r w:rsidRPr="008F03E5">
        <w:tab/>
        <w:t>Suhrawardí</w:t>
      </w:r>
      <w:r w:rsidRPr="008F03E5">
        <w:tab/>
        <w:t>“</w:t>
      </w:r>
      <w:r w:rsidRPr="008F03E5">
        <w:rPr>
          <w:u w:val="single"/>
        </w:rPr>
        <w:t>Sh</w:t>
      </w:r>
      <w:r>
        <w:t>i</w:t>
      </w:r>
      <w:r w:rsidRPr="008F03E5">
        <w:t>háb ad-Dín” Yaḥyá ibn Ḥaba</w:t>
      </w:r>
      <w:r w:rsidRPr="008F03E5">
        <w:rPr>
          <w:u w:val="single"/>
        </w:rPr>
        <w:t>sh</w:t>
      </w:r>
      <w:r w:rsidRPr="008F03E5">
        <w:t xml:space="preserve"> as-Suhrawardí (1154–1191) was a Persian philosopher and founder of the Iranian school of Illuminationism, an important school in Islamic philosophy.</w:t>
      </w:r>
      <w:r>
        <w:t xml:space="preserve">  Honourific title </w:t>
      </w:r>
      <w:r w:rsidRPr="00171B1D">
        <w:t>“</w:t>
      </w:r>
      <w:r w:rsidRPr="00171B1D">
        <w:rPr>
          <w:u w:val="single"/>
        </w:rPr>
        <w:t>Sh</w:t>
      </w:r>
      <w:r w:rsidRPr="00171B1D">
        <w:t>ay</w:t>
      </w:r>
      <w:r w:rsidRPr="00171B1D">
        <w:rPr>
          <w:u w:val="single"/>
        </w:rPr>
        <w:t>kh</w:t>
      </w:r>
      <w:r w:rsidRPr="00171B1D">
        <w:t xml:space="preserve"> al-</w:t>
      </w:r>
      <w:r>
        <w:t>‘</w:t>
      </w:r>
      <w:r w:rsidRPr="00171B1D">
        <w:t>I</w:t>
      </w:r>
      <w:r w:rsidRPr="00171B1D">
        <w:rPr>
          <w:u w:val="single"/>
        </w:rPr>
        <w:t>sh</w:t>
      </w:r>
      <w:r w:rsidRPr="00171B1D">
        <w:t>ráq</w:t>
      </w:r>
      <w:r>
        <w:t xml:space="preserve"> (“Master of Illumination”).</w:t>
      </w:r>
    </w:p>
    <w:p w14:paraId="19C84875" w14:textId="77777777" w:rsidR="00625A5B" w:rsidRPr="008F03E5" w:rsidRDefault="00625A5B" w:rsidP="00813A88">
      <w:pPr>
        <w:pStyle w:val="Translit"/>
      </w:pPr>
      <w:r w:rsidRPr="008F03E5">
        <w:t>Sukhtih</w:t>
      </w:r>
      <w:r w:rsidRPr="008F03E5">
        <w:tab/>
        <w:t>Sú</w:t>
      </w:r>
      <w:r w:rsidRPr="008F03E5">
        <w:rPr>
          <w:u w:val="single"/>
        </w:rPr>
        <w:t>kh</w:t>
      </w:r>
      <w:r w:rsidRPr="008F03E5">
        <w:t>tih</w:t>
      </w:r>
      <w:r w:rsidRPr="008F03E5">
        <w:tab/>
        <w:t>burnt</w:t>
      </w:r>
    </w:p>
    <w:p w14:paraId="3390652E" w14:textId="77777777" w:rsidR="00625A5B" w:rsidRPr="008F03E5" w:rsidRDefault="00625A5B" w:rsidP="00870128">
      <w:pPr>
        <w:pStyle w:val="Translit"/>
      </w:pPr>
      <w:r w:rsidRPr="008F03E5">
        <w:rPr>
          <w:rFonts w:eastAsia="Times New Roman"/>
        </w:rPr>
        <w:t>Sukhun (Sukhan, Sakhan, Sakhun)</w:t>
      </w:r>
      <w:r w:rsidRPr="008F03E5">
        <w:rPr>
          <w:rFonts w:eastAsia="Times New Roman"/>
        </w:rPr>
        <w:tab/>
        <w:t>Su</w:t>
      </w:r>
      <w:r w:rsidRPr="008F03E5">
        <w:rPr>
          <w:rFonts w:eastAsia="Times New Roman"/>
          <w:u w:val="single"/>
        </w:rPr>
        <w:t>kh</w:t>
      </w:r>
      <w:r w:rsidRPr="008F03E5">
        <w:rPr>
          <w:rFonts w:eastAsia="Times New Roman"/>
        </w:rPr>
        <w:t>un</w:t>
      </w:r>
      <w:r w:rsidRPr="008F03E5">
        <w:rPr>
          <w:rFonts w:eastAsia="Times New Roman"/>
        </w:rPr>
        <w:tab/>
        <w:t>Pers. a word, vocable, speech, saying, discourse; will, pleasure; a thing, business, affair; somewhat</w:t>
      </w:r>
    </w:p>
    <w:p w14:paraId="458663C9" w14:textId="77777777" w:rsidR="00625A5B" w:rsidRPr="008F03E5" w:rsidRDefault="00625A5B" w:rsidP="004F7C0E">
      <w:pPr>
        <w:pStyle w:val="Translit"/>
      </w:pPr>
      <w:r w:rsidRPr="008F03E5">
        <w:t>Sukkar, Sakakir</w:t>
      </w:r>
      <w:r w:rsidRPr="008F03E5">
        <w:tab/>
        <w:t>Sukkar, pl. Sakákir</w:t>
      </w:r>
      <w:r w:rsidRPr="008F03E5">
        <w:tab/>
        <w:t>sugar;—pl. sweetmeats, confectionery, candies</w:t>
      </w:r>
    </w:p>
    <w:p w14:paraId="4FAEFA33" w14:textId="77777777" w:rsidR="00625A5B" w:rsidRPr="008F03E5" w:rsidRDefault="00625A5B" w:rsidP="00CC7CB0">
      <w:pPr>
        <w:pStyle w:val="Translit"/>
      </w:pPr>
      <w:r w:rsidRPr="008F03E5">
        <w:t>Sukut, Sukuti</w:t>
      </w:r>
      <w:r w:rsidRPr="008F03E5">
        <w:tab/>
        <w:t>Sukút</w:t>
      </w:r>
      <w:r w:rsidRPr="008F03E5">
        <w:tab/>
        <w:t>silence; taciturnity, reticence.  Sukútí taciturn, reticent</w:t>
      </w:r>
    </w:p>
    <w:p w14:paraId="06C14AC0" w14:textId="77777777" w:rsidR="00625A5B" w:rsidRPr="008F03E5" w:rsidRDefault="00625A5B" w:rsidP="00564536">
      <w:pPr>
        <w:pStyle w:val="Translit"/>
      </w:pPr>
      <w:r w:rsidRPr="008F03E5">
        <w:t>Sukutiyyun</w:t>
      </w:r>
      <w:r w:rsidRPr="008F03E5">
        <w:tab/>
        <w:t>Sukútiyyún</w:t>
      </w:r>
      <w:r w:rsidRPr="008F03E5">
        <w:tab/>
        <w:t>The Society of Sokoutyyoun or the “Silent Ones” formed in Hamadán, mentioned by ‘Abdu’l-Bahá.</w:t>
      </w:r>
    </w:p>
    <w:p w14:paraId="405D6185" w14:textId="77777777" w:rsidR="00625A5B" w:rsidRPr="008F03E5" w:rsidRDefault="00625A5B" w:rsidP="00900A82">
      <w:pPr>
        <w:pStyle w:val="Translit"/>
      </w:pPr>
      <w:r w:rsidRPr="008F03E5">
        <w:t>Sulayman (Sulaiman)</w:t>
      </w:r>
      <w:r w:rsidRPr="008F03E5">
        <w:tab/>
        <w:t>Sulaymán</w:t>
      </w:r>
      <w:r w:rsidRPr="008F03E5">
        <w:tab/>
        <w:t>(Heb.) Solomon (“man of peace”).  Diminutive of Salmán</w:t>
      </w:r>
    </w:p>
    <w:p w14:paraId="597306E1" w14:textId="77777777" w:rsidR="00625A5B" w:rsidRPr="008F03E5" w:rsidRDefault="00625A5B" w:rsidP="00900A82">
      <w:pPr>
        <w:pStyle w:val="Translit"/>
      </w:pPr>
      <w:r w:rsidRPr="008F03E5">
        <w:t>Sulayman-i-Ghannam</w:t>
      </w:r>
      <w:r w:rsidRPr="008F03E5">
        <w:tab/>
        <w:t>Sulaymán-i-</w:t>
      </w:r>
      <w:r w:rsidRPr="008F03E5">
        <w:rPr>
          <w:u w:val="single"/>
        </w:rPr>
        <w:t>Gh</w:t>
      </w:r>
      <w:r w:rsidRPr="008F03E5">
        <w:t>annám</w:t>
      </w:r>
      <w:r w:rsidRPr="008F03E5">
        <w:tab/>
      </w:r>
    </w:p>
    <w:p w14:paraId="2CDBBE3B" w14:textId="77777777" w:rsidR="00625A5B" w:rsidRPr="008F03E5" w:rsidRDefault="00625A5B" w:rsidP="00900A82">
      <w:pPr>
        <w:pStyle w:val="Translit"/>
      </w:pPr>
      <w:r w:rsidRPr="008F03E5">
        <w:t>Sulayman-i-Khatib</w:t>
      </w:r>
      <w:r w:rsidRPr="008F03E5">
        <w:tab/>
        <w:t>Sulaymán-i-</w:t>
      </w:r>
      <w:r w:rsidRPr="008F03E5">
        <w:rPr>
          <w:u w:val="single"/>
        </w:rPr>
        <w:t>Kh</w:t>
      </w:r>
      <w:r w:rsidRPr="008F03E5">
        <w:t>aṭíb</w:t>
      </w:r>
      <w:r w:rsidRPr="008F03E5">
        <w:tab/>
      </w:r>
      <w:r w:rsidRPr="008F03E5">
        <w:rPr>
          <w:sz w:val="16"/>
          <w:szCs w:val="16"/>
        </w:rPr>
        <w:t>DB</w:t>
      </w:r>
      <w:r w:rsidRPr="008F03E5">
        <w:t xml:space="preserve"> 521</w:t>
      </w:r>
    </w:p>
    <w:p w14:paraId="051DA4C5" w14:textId="77777777" w:rsidR="00625A5B" w:rsidRPr="008F03E5" w:rsidRDefault="00625A5B" w:rsidP="00CA6ED8">
      <w:pPr>
        <w:pStyle w:val="Translit"/>
      </w:pPr>
      <w:r w:rsidRPr="008F03E5">
        <w:t>Sulaymaniyah, Sulaymaniyyih</w:t>
      </w:r>
      <w:r w:rsidRPr="008F03E5">
        <w:tab/>
        <w:t>Sulaymáníyah, Pers. Sulaymániyyih</w:t>
      </w:r>
      <w:r w:rsidRPr="008F03E5">
        <w:tab/>
        <w:t>as-Sulaymáníyah, city in ‘Iráqí Kurdistán named after Sulaymán Bábá.  Bahá’u’lláh left Ba</w:t>
      </w:r>
      <w:r w:rsidRPr="008F03E5">
        <w:rPr>
          <w:u w:val="single"/>
        </w:rPr>
        <w:t>gh</w:t>
      </w:r>
      <w:r w:rsidRPr="008F03E5">
        <w:t>dád for as-Sulaymáníyah on 10 April 1854, and returned on 19 March 1856.  Bahá’í publications use Sulaymáníyyih.  See Sar-Galú.</w:t>
      </w:r>
    </w:p>
    <w:p w14:paraId="5D46CA0B" w14:textId="77777777" w:rsidR="00625A5B" w:rsidRPr="008F03E5" w:rsidRDefault="00625A5B" w:rsidP="005B4248">
      <w:pPr>
        <w:pStyle w:val="Translit"/>
      </w:pPr>
      <w:r w:rsidRPr="008F03E5">
        <w:t>Sulh al-A‘zam, as-Sulh al-Akba</w:t>
      </w:r>
      <w:r w:rsidRPr="008F03E5">
        <w:tab/>
        <w:t>aṣ-Ṣulḥ al-A‘ẓam, aṣ-Ṣulḥ al-Akba</w:t>
      </w:r>
      <w:r w:rsidRPr="008F03E5">
        <w:tab/>
        <w:t>translated by Shoghi Effendi as “Most Great Peace” and “Lesser Peace” respectively.  The “Lesser Peace” is a distinctive Bahá’í term, which is a second stage that began with the Revelation of Bahá’u’lláh, the third being the “Most Great Peace”.  Persian Ṣulḥ-i-A‘ẓam, Ṣulḥ-i-Akba</w:t>
      </w:r>
    </w:p>
    <w:p w14:paraId="7FC1F5D6" w14:textId="77777777" w:rsidR="00625A5B" w:rsidRPr="008F03E5" w:rsidRDefault="00625A5B" w:rsidP="00937738">
      <w:pPr>
        <w:pStyle w:val="Translit"/>
      </w:pPr>
      <w:r w:rsidRPr="008F03E5">
        <w:t>Sulh</w:t>
      </w:r>
      <w:r w:rsidRPr="008F03E5">
        <w:tab/>
        <w:t>Ṣulḥ</w:t>
      </w:r>
      <w:r w:rsidRPr="008F03E5">
        <w:tab/>
        <w:t>peace, (re)conciliation, settlement, composition, compromise; peace (politics), peace making, conclusion of peace</w:t>
      </w:r>
    </w:p>
    <w:p w14:paraId="4F011DE2" w14:textId="77777777" w:rsidR="00625A5B" w:rsidRPr="008F03E5" w:rsidRDefault="00625A5B" w:rsidP="002C18FA">
      <w:pPr>
        <w:pStyle w:val="Translit"/>
      </w:pPr>
      <w:r w:rsidRPr="008F03E5">
        <w:rPr>
          <w:lang w:eastAsia="en-US"/>
        </w:rPr>
        <w:t>Sultan ar-Rusul</w:t>
      </w:r>
      <w:r w:rsidRPr="008F03E5">
        <w:rPr>
          <w:lang w:eastAsia="en-US"/>
        </w:rPr>
        <w:tab/>
        <w:t>Sulṭán ar-Rusul</w:t>
      </w:r>
      <w:r w:rsidRPr="008F03E5">
        <w:rPr>
          <w:lang w:eastAsia="en-US"/>
        </w:rPr>
        <w:tab/>
        <w:t>“King of the Messengers” description given to the Báb by Bahá’u’lláh, where the title sulṭán is higher than that of malik.</w:t>
      </w:r>
    </w:p>
    <w:p w14:paraId="78E44CC7" w14:textId="77777777" w:rsidR="00625A5B" w:rsidRPr="008F03E5" w:rsidRDefault="00625A5B" w:rsidP="00B45993">
      <w:pPr>
        <w:pStyle w:val="Translit"/>
      </w:pPr>
      <w:r w:rsidRPr="00077779">
        <w:rPr>
          <w:lang w:val="it-IT"/>
        </w:rPr>
        <w:t>Sultan, Salatin</w:t>
      </w:r>
      <w:r w:rsidRPr="00077779">
        <w:rPr>
          <w:lang w:val="it-IT"/>
        </w:rPr>
        <w:tab/>
        <w:t xml:space="preserve">Sulṭán (m. &amp; f.), pl. </w:t>
      </w:r>
      <w:r w:rsidRPr="008F03E5">
        <w:t>Saláṭín</w:t>
      </w:r>
      <w:r w:rsidRPr="008F03E5">
        <w:tab/>
        <w:t>power, might, strength; rule, reign, dominion, sway; authority; mandate, authorization; legitimation (for);—pl. sultan, (absolute) ruler.  Title used by Turkish rulers.  See Malik (</w:t>
      </w:r>
      <w:r w:rsidRPr="008F03E5">
        <w:rPr>
          <w:lang w:eastAsia="en-US"/>
        </w:rPr>
        <w:t>a lower level of sovereignty)</w:t>
      </w:r>
    </w:p>
    <w:p w14:paraId="69625AC9" w14:textId="77777777" w:rsidR="00625A5B" w:rsidRPr="008F03E5" w:rsidRDefault="00625A5B" w:rsidP="00FE3957">
      <w:pPr>
        <w:pStyle w:val="Translit"/>
      </w:pPr>
      <w:r w:rsidRPr="008F03E5">
        <w:t>Sultana</w:t>
      </w:r>
      <w:r w:rsidRPr="008F03E5">
        <w:tab/>
        <w:t>Sulṭána[h or t] (fem.)</w:t>
      </w:r>
      <w:r w:rsidRPr="008F03E5">
        <w:tab/>
        <w:t>sultana, sultaness, empress, queen.  Pers. Bahá’í also sulṭánih.</w:t>
      </w:r>
    </w:p>
    <w:p w14:paraId="7D41D1D1" w14:textId="77777777" w:rsidR="00625A5B" w:rsidRPr="008F03E5" w:rsidRDefault="00625A5B" w:rsidP="00040C8A">
      <w:pPr>
        <w:pStyle w:val="Translit"/>
      </w:pPr>
      <w:r w:rsidRPr="008F03E5">
        <w:t>Sultan-Abad, Sultanabad</w:t>
      </w:r>
      <w:r w:rsidRPr="008F03E5">
        <w:tab/>
        <w:t>Sulṭán-Ábád, Sulṭánábád</w:t>
      </w:r>
      <w:r w:rsidRPr="008F03E5">
        <w:tab/>
        <w:t>a neighbourhood of Karachi.  Former name of Arák, capital of Markazí Province, Iran (</w:t>
      </w:r>
      <w:r w:rsidRPr="008F03E5">
        <w:rPr>
          <w:sz w:val="16"/>
          <w:szCs w:val="16"/>
        </w:rPr>
        <w:t>SW</w:t>
      </w:r>
      <w:r w:rsidRPr="008F03E5">
        <w:t xml:space="preserve"> of Ṭihrán)</w:t>
      </w:r>
    </w:p>
    <w:p w14:paraId="611B4858" w14:textId="77777777" w:rsidR="00625A5B" w:rsidRPr="008F03E5" w:rsidRDefault="00625A5B" w:rsidP="00324FF9">
      <w:pPr>
        <w:pStyle w:val="Translit"/>
      </w:pPr>
      <w:r w:rsidRPr="008F03E5">
        <w:t>Sultani</w:t>
      </w:r>
      <w:r w:rsidRPr="008F03E5">
        <w:tab/>
        <w:t>Sulṭání</w:t>
      </w:r>
      <w:r w:rsidRPr="008F03E5">
        <w:tab/>
        <w:t>of the sultan; sovereign, imperial, royal</w:t>
      </w:r>
    </w:p>
    <w:p w14:paraId="6EB336C0" w14:textId="77777777" w:rsidR="00625A5B" w:rsidRPr="001457C8" w:rsidRDefault="00625A5B" w:rsidP="00900A82">
      <w:pPr>
        <w:pStyle w:val="Translit"/>
        <w:rPr>
          <w:lang w:val="it-IT"/>
        </w:rPr>
      </w:pPr>
      <w:r w:rsidRPr="001457C8">
        <w:rPr>
          <w:lang w:val="it-IT"/>
        </w:rPr>
        <w:t>Sultan-i</w:t>
      </w:r>
      <w:r w:rsidRPr="001457C8">
        <w:rPr>
          <w:rFonts w:eastAsia="PMingLiU"/>
          <w:lang w:val="it-IT" w:eastAsia="zh-TW"/>
        </w:rPr>
        <w:t>-‘</w:t>
      </w:r>
      <w:r w:rsidRPr="001457C8">
        <w:rPr>
          <w:lang w:val="it-IT"/>
        </w:rPr>
        <w:t>Arab</w:t>
      </w:r>
      <w:r w:rsidRPr="001457C8">
        <w:rPr>
          <w:lang w:val="it-IT"/>
        </w:rPr>
        <w:tab/>
        <w:t>Sulṭán-i-‘Arab</w:t>
      </w:r>
      <w:r w:rsidRPr="001457C8">
        <w:rPr>
          <w:lang w:val="it-IT"/>
        </w:rPr>
        <w:tab/>
      </w:r>
    </w:p>
    <w:p w14:paraId="6C485B55" w14:textId="77777777" w:rsidR="00625A5B" w:rsidRPr="008F03E5" w:rsidRDefault="00625A5B" w:rsidP="00676E9D">
      <w:pPr>
        <w:pStyle w:val="Translit"/>
      </w:pPr>
      <w:r w:rsidRPr="00CC3B93">
        <w:rPr>
          <w:lang w:val="it-IT"/>
        </w:rPr>
        <w:t>Sultaniya, Sultaniyyih</w:t>
      </w:r>
      <w:r w:rsidRPr="00CC3B93">
        <w:rPr>
          <w:lang w:val="it-IT"/>
        </w:rPr>
        <w:tab/>
        <w:t>Sulṭáníy</w:t>
      </w:r>
      <w:r>
        <w:rPr>
          <w:lang w:val="it-IT"/>
        </w:rPr>
        <w:t xml:space="preserve">a[h or t], Pers. </w:t>
      </w:r>
      <w:r w:rsidRPr="00676E9D">
        <w:rPr>
          <w:lang w:val="it-IT"/>
        </w:rPr>
        <w:t>Sulṭániyyih</w:t>
      </w:r>
      <w:r w:rsidRPr="00676E9D">
        <w:rPr>
          <w:lang w:val="it-IT"/>
        </w:rPr>
        <w:tab/>
        <w:t xml:space="preserve">“belonging to the Sulṭán”. </w:t>
      </w:r>
      <w:r w:rsidRPr="00CC3B93">
        <w:rPr>
          <w:lang w:val="en-AU"/>
        </w:rPr>
        <w:t>Sulṭáníyah</w:t>
      </w:r>
      <w:r>
        <w:rPr>
          <w:lang w:val="en-AU"/>
        </w:rPr>
        <w:t xml:space="preserve"> (</w:t>
      </w:r>
      <w:r w:rsidRPr="00CC3B93">
        <w:rPr>
          <w:lang w:val="en-AU"/>
        </w:rPr>
        <w:t>36.434204, 48.794437</w:t>
      </w:r>
      <w:r>
        <w:rPr>
          <w:lang w:val="en-AU"/>
        </w:rPr>
        <w:t>)</w:t>
      </w:r>
      <w:r w:rsidRPr="00CC3B93">
        <w:rPr>
          <w:lang w:val="en-AU"/>
        </w:rPr>
        <w:t>, also known as Sa‘ídíyih</w:t>
      </w:r>
      <w:r>
        <w:rPr>
          <w:lang w:val="en-AU"/>
        </w:rPr>
        <w:t>,</w:t>
      </w:r>
      <w:r w:rsidRPr="00CC3B93">
        <w:rPr>
          <w:lang w:val="en-AU"/>
        </w:rPr>
        <w:t xml:space="preserve"> is the capital city of Soltaniyeh District of Abhar County, Zanjan Province, Azerbaijan, northwestern Iran.  </w:t>
      </w:r>
      <w:r w:rsidRPr="008F03E5">
        <w:t xml:space="preserve">38 km </w:t>
      </w:r>
      <w:r w:rsidRPr="008F03E5">
        <w:rPr>
          <w:sz w:val="16"/>
          <w:szCs w:val="16"/>
        </w:rPr>
        <w:t>SE</w:t>
      </w:r>
      <w:r w:rsidRPr="008F03E5">
        <w:t xml:space="preserve"> of the centre of Zanjan</w:t>
      </w:r>
      <w:r>
        <w:t>.</w:t>
      </w:r>
    </w:p>
    <w:p w14:paraId="2EE4C830" w14:textId="77777777" w:rsidR="00625A5B" w:rsidRPr="008F03E5" w:rsidRDefault="00625A5B" w:rsidP="00900A82">
      <w:pPr>
        <w:pStyle w:val="Translit"/>
      </w:pPr>
      <w:r w:rsidRPr="008F03E5">
        <w:t>Sultanu’l</w:t>
      </w:r>
      <w:r w:rsidRPr="008F03E5">
        <w:rPr>
          <w:rFonts w:eastAsia="PMingLiU"/>
          <w:lang w:eastAsia="zh-TW"/>
        </w:rPr>
        <w:t>-‘</w:t>
      </w:r>
      <w:r w:rsidRPr="008F03E5">
        <w:t>Ulama</w:t>
      </w:r>
      <w:r>
        <w:t>’</w:t>
      </w:r>
      <w:r w:rsidRPr="008F03E5">
        <w:tab/>
        <w:t>Sulṭánu’l-‘Ulamá</w:t>
      </w:r>
      <w:r>
        <w:t>’</w:t>
      </w:r>
      <w:r w:rsidRPr="008F03E5">
        <w:tab/>
        <w:t>the Sulṭán of the ‘Ulamá</w:t>
      </w:r>
      <w:r>
        <w:t>’</w:t>
      </w:r>
    </w:p>
    <w:p w14:paraId="19E09A1A" w14:textId="77777777" w:rsidR="00625A5B" w:rsidRPr="008F03E5" w:rsidRDefault="00625A5B" w:rsidP="001E4399">
      <w:pPr>
        <w:pStyle w:val="Translit"/>
      </w:pPr>
      <w:r w:rsidRPr="008F03E5">
        <w:t>Sultanu’sh-Shuhada’</w:t>
      </w:r>
      <w:r w:rsidRPr="008F03E5">
        <w:tab/>
        <w:t>Sulṭánu’</w:t>
      </w:r>
      <w:r w:rsidRPr="008F03E5">
        <w:rPr>
          <w:u w:val="single"/>
        </w:rPr>
        <w:t>sh</w:t>
      </w:r>
      <w:r w:rsidRPr="008F03E5">
        <w:t>-</w:t>
      </w:r>
      <w:r w:rsidRPr="008F03E5">
        <w:rPr>
          <w:u w:val="single"/>
        </w:rPr>
        <w:t>Sh</w:t>
      </w:r>
      <w:r w:rsidRPr="008F03E5">
        <w:t>uhadá’</w:t>
      </w:r>
      <w:r w:rsidRPr="008F03E5">
        <w:tab/>
        <w:t>(King of Martyrs)  Mírzá Muḥammad-Ḥasan.  Brother of Mírzá Muḥammad-Ḥusayn, both from Iṣfahán.</w:t>
      </w:r>
    </w:p>
    <w:p w14:paraId="5884A7EB" w14:textId="77777777" w:rsidR="00625A5B" w:rsidRPr="008F03E5" w:rsidRDefault="00625A5B" w:rsidP="008F08F5">
      <w:pPr>
        <w:pStyle w:val="Translit"/>
      </w:pPr>
      <w:r w:rsidRPr="008F03E5">
        <w:t>Sultanu’sh-Shuhana’</w:t>
      </w:r>
      <w:r w:rsidRPr="008F03E5">
        <w:tab/>
        <w:t>Sulṭánu’</w:t>
      </w:r>
      <w:r w:rsidRPr="008F03E5">
        <w:rPr>
          <w:u w:val="single"/>
        </w:rPr>
        <w:t>sh</w:t>
      </w:r>
      <w:r w:rsidRPr="008F03E5">
        <w:t>-</w:t>
      </w:r>
      <w:r w:rsidRPr="008F03E5">
        <w:rPr>
          <w:u w:val="single"/>
        </w:rPr>
        <w:t>Sh</w:t>
      </w:r>
      <w:r w:rsidRPr="008F03E5">
        <w:t>uhaná’</w:t>
      </w:r>
      <w:r w:rsidRPr="008F03E5">
        <w:tab/>
      </w:r>
    </w:p>
    <w:p w14:paraId="742ABF5B" w14:textId="77777777" w:rsidR="00625A5B" w:rsidRPr="008F03E5" w:rsidRDefault="00625A5B" w:rsidP="0057398A">
      <w:pPr>
        <w:pStyle w:val="Translit"/>
      </w:pPr>
      <w:r w:rsidRPr="008F03E5">
        <w:t>Suluk</w:t>
      </w:r>
      <w:r w:rsidRPr="008F03E5">
        <w:tab/>
        <w:t>Sulúk</w:t>
      </w:r>
      <w:r w:rsidRPr="008F03E5">
        <w:tab/>
        <w:t xml:space="preserve">behaviour, comportment, demeanour, manners; conduct, deportment, attitude.  “Mode of conduct”.  See </w:t>
      </w:r>
      <w:r w:rsidRPr="008F03E5">
        <w:rPr>
          <w:i/>
          <w:iCs/>
        </w:rPr>
        <w:t>salaka</w:t>
      </w:r>
      <w:r w:rsidRPr="008F03E5">
        <w:t xml:space="preserve"> for second meaning.  Since a</w:t>
      </w:r>
      <w:r w:rsidRPr="008F03E5">
        <w:rPr>
          <w:rFonts w:eastAsia="Arial"/>
        </w:rPr>
        <w:t xml:space="preserve"> “</w:t>
      </w:r>
      <w:r w:rsidRPr="008F03E5">
        <w:t xml:space="preserve">true action is one that is oriented to spiritual truth, while a true spiritual journey is inseparable from action”, the two meanings of </w:t>
      </w:r>
      <w:r w:rsidRPr="008F03E5">
        <w:rPr>
          <w:i/>
          <w:iCs/>
        </w:rPr>
        <w:t>sulúk</w:t>
      </w:r>
      <w:r w:rsidRPr="008F03E5">
        <w:t xml:space="preserve"> can be combined as “virtuous journey”.  </w:t>
      </w:r>
      <w:r w:rsidRPr="008F03E5">
        <w:rPr>
          <w:i/>
          <w:iCs/>
        </w:rPr>
        <w:t>Gate of the heart</w:t>
      </w:r>
      <w:r w:rsidRPr="008F03E5">
        <w:t>, p. 301.</w:t>
      </w:r>
    </w:p>
    <w:p w14:paraId="26FBEFDC" w14:textId="77777777" w:rsidR="00625A5B" w:rsidRPr="008F03E5" w:rsidRDefault="00625A5B" w:rsidP="00DA1E10">
      <w:pPr>
        <w:pStyle w:val="Translit"/>
      </w:pPr>
      <w:r w:rsidRPr="008F03E5">
        <w:t>Sulwan</w:t>
      </w:r>
      <w:r w:rsidRPr="008F03E5">
        <w:tab/>
        <w:t>Sulwán</w:t>
      </w:r>
      <w:r w:rsidRPr="008F03E5">
        <w:tab/>
        <w:t>forgetting, oblivion; consolation, solace, comfort.  See Salwán</w:t>
      </w:r>
    </w:p>
    <w:p w14:paraId="2A2D90AF" w14:textId="77777777" w:rsidR="00625A5B" w:rsidRPr="008F03E5" w:rsidRDefault="00625A5B" w:rsidP="000E5017">
      <w:pPr>
        <w:pStyle w:val="Translit"/>
      </w:pPr>
      <w:r w:rsidRPr="008F03E5">
        <w:t>Sumaq (Summaq)</w:t>
      </w:r>
      <w:r w:rsidRPr="008F03E5">
        <w:tab/>
        <w:t>Sumáq</w:t>
      </w:r>
      <w:r w:rsidRPr="008F03E5">
        <w:tab/>
        <w:t>Pers. Sumac (red fruit are dried and ground into a spice)</w:t>
      </w:r>
    </w:p>
    <w:p w14:paraId="3114412C" w14:textId="77777777" w:rsidR="00625A5B" w:rsidRPr="008F03E5" w:rsidRDefault="00625A5B" w:rsidP="000E5017">
      <w:pPr>
        <w:pStyle w:val="Translit"/>
      </w:pPr>
      <w:r w:rsidRPr="008F03E5">
        <w:t>Sumir, Sumiri (Sameri)</w:t>
      </w:r>
      <w:r w:rsidRPr="008F03E5">
        <w:tab/>
        <w:t>Súmir, Súmirí</w:t>
      </w:r>
      <w:r w:rsidRPr="008F03E5">
        <w:tab/>
        <w:t>Sumer—the first ancient urban civilization in the historical region of southern Mesopotamia, modern-day southern Iraq, and arguably the first civilization in the world.  Súmirí (Sumerian people)</w:t>
      </w:r>
    </w:p>
    <w:p w14:paraId="71150647" w14:textId="77777777" w:rsidR="00625A5B" w:rsidRPr="008F03E5" w:rsidRDefault="00625A5B" w:rsidP="00087792">
      <w:pPr>
        <w:pStyle w:val="Translit"/>
      </w:pPr>
      <w:r w:rsidRPr="008F03E5">
        <w:t>Sunduq, Sanduq, Sanadiq</w:t>
      </w:r>
      <w:r w:rsidRPr="008F03E5">
        <w:tab/>
        <w:t>Ṣundúq, Ṣandúq, pl. Ṣanádíq</w:t>
      </w:r>
      <w:r w:rsidRPr="008F03E5">
        <w:tab/>
        <w:t>crate, box; chest; trunk, suitcase; case, cabinet; money box; till, coffer; pay office, treasurer’s office; any public institution where funds are deposited and disbursed for a special purpose (e.g., sickness fund, health insurance, etc.)</w:t>
      </w:r>
    </w:p>
    <w:p w14:paraId="4E9ED511" w14:textId="77777777" w:rsidR="00625A5B" w:rsidRPr="008F03E5" w:rsidRDefault="00625A5B" w:rsidP="000F39EC">
      <w:pPr>
        <w:pStyle w:val="Translit"/>
      </w:pPr>
      <w:r w:rsidRPr="008F03E5">
        <w:t>Sunna, Sunnat, Sunan</w:t>
      </w:r>
      <w:r w:rsidRPr="008F03E5">
        <w:tab/>
        <w:t>Sunna[</w:t>
      </w:r>
      <w:r>
        <w:t xml:space="preserve">h or </w:t>
      </w:r>
      <w:r w:rsidRPr="008F03E5">
        <w:t>t], pl. Sunan</w:t>
      </w:r>
      <w:r w:rsidRPr="008F03E5">
        <w:tab/>
        <w:t>habitual practice, customary procedure or action, norm, usage sanctioned by tradition.  The corpus of Islamic law and traditions.  Ahl as-Sunan:  the Sunnites.  as-Sunan as-Ṣu</w:t>
      </w:r>
      <w:r w:rsidRPr="008F03E5">
        <w:rPr>
          <w:u w:val="single"/>
        </w:rPr>
        <w:t>gh</w:t>
      </w:r>
      <w:r w:rsidRPr="008F03E5">
        <w:t>rá, also known as Sunan an-Nasá’í, is one of the Kutub as-Sittah (six major hadiths) collected by an-Nasá’í (c. 829–915)</w:t>
      </w:r>
    </w:p>
    <w:p w14:paraId="3E60D002" w14:textId="77777777" w:rsidR="00625A5B" w:rsidRPr="008F03E5" w:rsidRDefault="00625A5B" w:rsidP="000F39EC">
      <w:pPr>
        <w:pStyle w:val="Translit"/>
      </w:pPr>
      <w:r w:rsidRPr="008F03E5">
        <w:rPr>
          <w:lang w:eastAsia="en-US"/>
        </w:rPr>
        <w:t>Sunnat’u’llah</w:t>
      </w:r>
      <w:r w:rsidRPr="008F03E5">
        <w:rPr>
          <w:lang w:eastAsia="en-US"/>
        </w:rPr>
        <w:tab/>
      </w:r>
      <w:r w:rsidRPr="008F03E5">
        <w:t>Sunnat’u’lláh</w:t>
      </w:r>
      <w:r w:rsidRPr="008F03E5">
        <w:rPr>
          <w:lang w:eastAsia="en-US"/>
        </w:rPr>
        <w:tab/>
        <w:t>Practice of God, e.g. revealing Books and He does not change His practice (Qur’án 48:23)</w:t>
      </w:r>
    </w:p>
    <w:p w14:paraId="2318A69C" w14:textId="77777777" w:rsidR="00625A5B" w:rsidRPr="008F03E5" w:rsidRDefault="00625A5B" w:rsidP="008B2596">
      <w:pPr>
        <w:pStyle w:val="Translit"/>
      </w:pPr>
      <w:r w:rsidRPr="008F03E5">
        <w:t>Sunni, Sunnun</w:t>
      </w:r>
      <w:r w:rsidRPr="008F03E5">
        <w:tab/>
        <w:t>Sunní, pl. Sunnún</w:t>
      </w:r>
      <w:r w:rsidRPr="008F03E5">
        <w:tab/>
        <w:t>“lawful”, Sunnite, Sunni (of the sunna)</w:t>
      </w:r>
      <w:r>
        <w:t>.</w:t>
      </w:r>
      <w:r w:rsidRPr="008F03E5">
        <w:t xml:space="preserve">  Sunní Islám is the major sect of Islám, whose members followed Abú-Bakr, the first caliph; those who uphold the elective principle in the matter of succession to the Prophet Muḥammad.  The four Sunní schools:  Ḥanafí, Málikí, </w:t>
      </w:r>
      <w:r w:rsidRPr="008F03E5">
        <w:rPr>
          <w:u w:val="single"/>
        </w:rPr>
        <w:t>Sh</w:t>
      </w:r>
      <w:r w:rsidRPr="008F03E5">
        <w:t>áfi’í and Ḥanbalí.  Men versed in law are the muftis, faqíhs and qáḍís.</w:t>
      </w:r>
      <w:r>
        <w:t xml:space="preserve">  For the followers of Sunn</w:t>
      </w:r>
      <w:r w:rsidRPr="008B2596">
        <w:t>í</w:t>
      </w:r>
      <w:r>
        <w:t xml:space="preserve"> Isl</w:t>
      </w:r>
      <w:r w:rsidRPr="008B2596">
        <w:t>á</w:t>
      </w:r>
      <w:r>
        <w:t xml:space="preserve">m, see </w:t>
      </w:r>
      <w:r w:rsidRPr="008F03E5">
        <w:t>Ṣáḥib</w:t>
      </w:r>
      <w:r>
        <w:t xml:space="preserve"> Sunna.</w:t>
      </w:r>
    </w:p>
    <w:p w14:paraId="03BC65E6" w14:textId="77777777" w:rsidR="00625A5B" w:rsidRPr="008F03E5" w:rsidRDefault="00625A5B" w:rsidP="00592494">
      <w:pPr>
        <w:pStyle w:val="Translit"/>
      </w:pPr>
      <w:r w:rsidRPr="008F03E5">
        <w:t>Suq a</w:t>
      </w:r>
      <w:r>
        <w:t>sh</w:t>
      </w:r>
      <w:r w:rsidRPr="008F03E5">
        <w:t>-Shuyukh, Suqu’sh-Shuyukh</w:t>
      </w:r>
      <w:r w:rsidRPr="008F03E5">
        <w:tab/>
        <w:t>Súq a</w:t>
      </w:r>
      <w:r w:rsidRPr="000352DA">
        <w:rPr>
          <w:u w:val="single"/>
        </w:rPr>
        <w:t>sh</w:t>
      </w:r>
      <w:r w:rsidRPr="008F03E5">
        <w:t>-</w:t>
      </w:r>
      <w:r w:rsidRPr="008F03E5">
        <w:rPr>
          <w:u w:val="single"/>
        </w:rPr>
        <w:t>Sh</w:t>
      </w:r>
      <w:r w:rsidRPr="008F03E5">
        <w:t>uyu</w:t>
      </w:r>
      <w:r w:rsidRPr="008F03E5">
        <w:rPr>
          <w:u w:val="single"/>
        </w:rPr>
        <w:t>kh</w:t>
      </w:r>
      <w:r w:rsidRPr="008F03E5">
        <w:t>, Súqu’</w:t>
      </w:r>
      <w:r w:rsidRPr="008F03E5">
        <w:rPr>
          <w:u w:val="single"/>
        </w:rPr>
        <w:t>sh</w:t>
      </w:r>
      <w:r w:rsidRPr="008F03E5">
        <w:t>-</w:t>
      </w:r>
      <w:r w:rsidRPr="008F03E5">
        <w:rPr>
          <w:u w:val="single"/>
        </w:rPr>
        <w:t>Sh</w:t>
      </w:r>
      <w:r w:rsidRPr="008F03E5">
        <w:t>uyú</w:t>
      </w:r>
      <w:r w:rsidRPr="008F03E5">
        <w:rPr>
          <w:u w:val="single"/>
        </w:rPr>
        <w:t>kh</w:t>
      </w:r>
      <w:r w:rsidRPr="008F03E5">
        <w:tab/>
        <w:t>“the elders’ market”.  Qaḍá’ Súq a</w:t>
      </w:r>
      <w:r w:rsidRPr="000352DA">
        <w:rPr>
          <w:u w:val="single"/>
        </w:rPr>
        <w:t>sh</w:t>
      </w:r>
      <w:r w:rsidRPr="008F03E5">
        <w:t>-</w:t>
      </w:r>
      <w:r w:rsidRPr="008F03E5">
        <w:rPr>
          <w:u w:val="single"/>
        </w:rPr>
        <w:t>Sh</w:t>
      </w:r>
      <w:r w:rsidRPr="008F03E5">
        <w:t>uyu</w:t>
      </w:r>
      <w:r w:rsidRPr="008F03E5">
        <w:rPr>
          <w:u w:val="single"/>
        </w:rPr>
        <w:t>kh</w:t>
      </w:r>
      <w:r w:rsidRPr="00592494">
        <w:t xml:space="preserve"> (30.890965, 46.463713),</w:t>
      </w:r>
      <w:r w:rsidRPr="008F03E5">
        <w:t xml:space="preserve"> </w:t>
      </w:r>
      <w:r>
        <w:t xml:space="preserve">is </w:t>
      </w:r>
      <w:r w:rsidRPr="008F03E5">
        <w:t>an ‘Iráqí district west of Basrah where Mírzá Yaḥyá travelled in disguise when Bahá’u’lláh left Ba</w:t>
      </w:r>
      <w:r w:rsidRPr="008F03E5">
        <w:rPr>
          <w:u w:val="single"/>
        </w:rPr>
        <w:t>gh</w:t>
      </w:r>
      <w:r w:rsidRPr="008F03E5">
        <w:t xml:space="preserve">dád for Kurdistan.  See </w:t>
      </w:r>
      <w:r w:rsidRPr="008F03E5">
        <w:rPr>
          <w:u w:val="single"/>
        </w:rPr>
        <w:t>sh</w:t>
      </w:r>
      <w:r w:rsidRPr="008F03E5">
        <w:t>ay</w:t>
      </w:r>
      <w:r w:rsidRPr="008F03E5">
        <w:rPr>
          <w:u w:val="single"/>
        </w:rPr>
        <w:t>kh</w:t>
      </w:r>
      <w:r w:rsidRPr="008F03E5">
        <w:t>.</w:t>
      </w:r>
    </w:p>
    <w:p w14:paraId="6D9DD702" w14:textId="77777777" w:rsidR="00625A5B" w:rsidRPr="008F03E5" w:rsidRDefault="00625A5B" w:rsidP="00511BDA">
      <w:pPr>
        <w:pStyle w:val="Translit"/>
        <w:rPr>
          <w:rFonts w:eastAsia="PMingLiU"/>
          <w:lang w:eastAsia="zh-TW"/>
        </w:rPr>
      </w:pPr>
      <w:r w:rsidRPr="008F03E5">
        <w:rPr>
          <w:rFonts w:eastAsia="PMingLiU"/>
          <w:lang w:eastAsia="zh-TW"/>
        </w:rPr>
        <w:t>Suq</w:t>
      </w:r>
      <w:r w:rsidRPr="008F03E5">
        <w:rPr>
          <w:rFonts w:eastAsia="PMingLiU"/>
          <w:lang w:eastAsia="zh-TW"/>
        </w:rPr>
        <w:tab/>
        <w:t>Súq mostly fem., pl. Aswáq</w:t>
      </w:r>
      <w:r w:rsidRPr="008F03E5">
        <w:rPr>
          <w:rFonts w:eastAsia="PMingLiU"/>
          <w:lang w:eastAsia="zh-TW"/>
        </w:rPr>
        <w:tab/>
        <w:t>bazaar street; market; fair.  English souq or souk.</w:t>
      </w:r>
    </w:p>
    <w:p w14:paraId="5B4E593E" w14:textId="77777777" w:rsidR="00625A5B" w:rsidRPr="008F03E5" w:rsidRDefault="00625A5B" w:rsidP="009B2FE9">
      <w:pPr>
        <w:pStyle w:val="Translit"/>
      </w:pPr>
      <w:r w:rsidRPr="008F03E5">
        <w:t>Suq’</w:t>
      </w:r>
      <w:r w:rsidRPr="008F03E5">
        <w:tab/>
        <w:t>Ṣuq‘, pl. Aṣqá‘</w:t>
      </w:r>
      <w:r w:rsidRPr="008F03E5">
        <w:tab/>
        <w:t>area, region, country, district, locality, land</w:t>
      </w:r>
    </w:p>
    <w:p w14:paraId="67C2808E" w14:textId="77777777" w:rsidR="00625A5B" w:rsidRDefault="00625A5B" w:rsidP="00E22CAD">
      <w:pPr>
        <w:pStyle w:val="Translit"/>
      </w:pPr>
      <w:r>
        <w:rPr>
          <w:rFonts w:eastAsia="Times New Roman"/>
        </w:rPr>
        <w:t>Suqrat</w:t>
      </w:r>
      <w:r>
        <w:rPr>
          <w:rFonts w:eastAsia="Times New Roman"/>
        </w:rPr>
        <w:tab/>
        <w:t>S</w:t>
      </w:r>
      <w:r w:rsidRPr="00E22CAD">
        <w:rPr>
          <w:rFonts w:eastAsia="Times New Roman"/>
        </w:rPr>
        <w:t>uqrá</w:t>
      </w:r>
      <w:r w:rsidRPr="00D9777D">
        <w:t>ṭ</w:t>
      </w:r>
      <w:r w:rsidRPr="00D9777D">
        <w:tab/>
      </w:r>
      <w:r w:rsidRPr="00AF4D34">
        <w:rPr>
          <w:rFonts w:eastAsia="Times New Roman"/>
        </w:rPr>
        <w:t>Socrates; wise, learned</w:t>
      </w:r>
    </w:p>
    <w:p w14:paraId="2BCAAA0B" w14:textId="77777777" w:rsidR="00625A5B" w:rsidRPr="008F03E5" w:rsidRDefault="00625A5B" w:rsidP="005F3774">
      <w:pPr>
        <w:pStyle w:val="Translit"/>
      </w:pPr>
      <w:r w:rsidRPr="008F03E5">
        <w:t>Suqut</w:t>
      </w:r>
      <w:r w:rsidRPr="008F03E5">
        <w:tab/>
        <w:t>Suqúṭ</w:t>
      </w:r>
      <w:r w:rsidRPr="008F03E5">
        <w:tab/>
        <w:t>fall, tumble; crash (of an airplane); collapse, breakdown, ruin; decline, downfall, fall; devolution (of a right); slip, lapse</w:t>
      </w:r>
    </w:p>
    <w:p w14:paraId="18EA3566" w14:textId="77777777" w:rsidR="00625A5B" w:rsidRPr="008F03E5" w:rsidRDefault="00625A5B" w:rsidP="005F3774">
      <w:pPr>
        <w:pStyle w:val="Translit"/>
      </w:pPr>
      <w:r w:rsidRPr="008F03E5">
        <w:t>Sur</w:t>
      </w:r>
      <w:r w:rsidRPr="008F03E5">
        <w:tab/>
        <w:t>Ṣúr</w:t>
      </w:r>
      <w:r w:rsidRPr="008F03E5">
        <w:tab/>
        <w:t>(ram’s) horn, bugle, trumpet.  Old name (Sour, Zor, Zur, Ẓúr) of Tyre, Lebanon.</w:t>
      </w:r>
    </w:p>
    <w:p w14:paraId="6C0F55E1" w14:textId="77777777" w:rsidR="00625A5B" w:rsidRPr="008F03E5" w:rsidRDefault="00625A5B" w:rsidP="00D87D02">
      <w:pPr>
        <w:pStyle w:val="Translit"/>
      </w:pPr>
      <w:r w:rsidRPr="001457C8">
        <w:rPr>
          <w:lang w:val="fr-FR"/>
        </w:rPr>
        <w:t>Sura (Surih), Suwar, Surat</w:t>
      </w:r>
      <w:r w:rsidRPr="001457C8">
        <w:rPr>
          <w:lang w:val="fr-FR"/>
        </w:rPr>
        <w:tab/>
        <w:t xml:space="preserve">Súra[h or t], pl. </w:t>
      </w:r>
      <w:r w:rsidRPr="008F03E5">
        <w:t>Suwar, Súrát</w:t>
      </w:r>
      <w:r w:rsidRPr="008F03E5">
        <w:tab/>
        <w:t>a row or series, as of stones or bricks in a wall; a lofty structure; something enclosed or surrounded by a fence or wall.  A name (English sura) used for the “chapters” of the Qur’án.</w:t>
      </w:r>
    </w:p>
    <w:p w14:paraId="235E920D" w14:textId="77777777" w:rsidR="00625A5B" w:rsidRPr="008F03E5" w:rsidRDefault="00625A5B" w:rsidP="00CA2D70">
      <w:pPr>
        <w:pStyle w:val="Translit"/>
      </w:pPr>
      <w:r w:rsidRPr="001457C8">
        <w:rPr>
          <w:lang w:val="fr-FR"/>
        </w:rPr>
        <w:t>Sura, Suwar, Surat</w:t>
      </w:r>
      <w:r w:rsidRPr="001457C8">
        <w:rPr>
          <w:lang w:val="fr-FR"/>
        </w:rPr>
        <w:tab/>
        <w:t xml:space="preserve">Ṣúra[h or t], pl. </w:t>
      </w:r>
      <w:r w:rsidRPr="008F03E5">
        <w:t>Ṣuwar, Pers. Ṣúrát</w:t>
      </w:r>
      <w:r w:rsidRPr="008F03E5">
        <w:tab/>
        <w:t>form, shape; pictorial representation, illustration; image, likeness, picture; figure, statue; replica; copy, carbon copy, duplicate; manner, mode</w:t>
      </w:r>
    </w:p>
    <w:p w14:paraId="7E15B331" w14:textId="77777777" w:rsidR="00625A5B" w:rsidRPr="008F03E5" w:rsidRDefault="00625A5B" w:rsidP="000B69B5">
      <w:pPr>
        <w:pStyle w:val="Translit"/>
      </w:pPr>
      <w:r w:rsidRPr="008F03E5">
        <w:rPr>
          <w:rFonts w:eastAsia="PMingLiU"/>
          <w:lang w:eastAsia="zh-TW"/>
        </w:rPr>
        <w:t>Surad</w:t>
      </w:r>
      <w:r w:rsidRPr="008F03E5">
        <w:tab/>
        <w:t>Ṣ</w:t>
      </w:r>
      <w:r w:rsidRPr="008F03E5">
        <w:rPr>
          <w:rFonts w:eastAsia="PMingLiU"/>
          <w:lang w:eastAsia="zh-TW"/>
        </w:rPr>
        <w:t>urad</w:t>
      </w:r>
      <w:r w:rsidRPr="008F03E5">
        <w:tab/>
        <w:t>a large-headed bird which hunts sparrows; a white mark on the back of a horse from galling.  Sulaymán ibn Ṣurad</w:t>
      </w:r>
    </w:p>
    <w:p w14:paraId="21886107" w14:textId="77777777" w:rsidR="00625A5B" w:rsidRPr="008F03E5" w:rsidRDefault="00625A5B" w:rsidP="00A633B5">
      <w:pPr>
        <w:pStyle w:val="Translit"/>
      </w:pPr>
      <w:r w:rsidRPr="008F03E5">
        <w:t>Suratu’l-Haykal</w:t>
      </w:r>
      <w:r w:rsidRPr="008F03E5">
        <w:tab/>
        <w:t>Súratu’l-Haykal</w:t>
      </w:r>
      <w:r w:rsidRPr="008F03E5">
        <w:tab/>
        <w:t>Súra of the Temple</w:t>
      </w:r>
    </w:p>
    <w:p w14:paraId="07FF178C" w14:textId="77777777" w:rsidR="00625A5B" w:rsidRPr="008F03E5" w:rsidRDefault="00625A5B" w:rsidP="00224594">
      <w:pPr>
        <w:pStyle w:val="Translit"/>
      </w:pPr>
      <w:r w:rsidRPr="008F03E5">
        <w:t>Suratu’llah (Suratu-llah)</w:t>
      </w:r>
      <w:r w:rsidRPr="008F03E5">
        <w:tab/>
        <w:t>Súratu’lláh</w:t>
      </w:r>
      <w:r w:rsidRPr="008F03E5">
        <w:tab/>
        <w:t>“Súra of God” by Bahá’u’lláh</w:t>
      </w:r>
    </w:p>
    <w:p w14:paraId="60370CB5" w14:textId="77777777" w:rsidR="00625A5B" w:rsidRPr="008F03E5" w:rsidRDefault="00625A5B" w:rsidP="00694193">
      <w:pPr>
        <w:pStyle w:val="Translit"/>
      </w:pPr>
      <w:r w:rsidRPr="008F03E5">
        <w:t>Suratu’sh-Shams</w:t>
      </w:r>
      <w:r w:rsidRPr="008F03E5">
        <w:tab/>
        <w:t>Súratu’</w:t>
      </w:r>
      <w:r w:rsidRPr="008F03E5">
        <w:rPr>
          <w:u w:val="single"/>
        </w:rPr>
        <w:t>sh</w:t>
      </w:r>
      <w:r w:rsidRPr="008F03E5">
        <w:t>-</w:t>
      </w:r>
      <w:r w:rsidRPr="008F03E5">
        <w:rPr>
          <w:u w:val="single"/>
        </w:rPr>
        <w:t>Sh</w:t>
      </w:r>
      <w:r w:rsidRPr="008F03E5">
        <w:t>ams</w:t>
      </w:r>
      <w:r w:rsidRPr="008F03E5">
        <w:tab/>
        <w:t>(Tablet of the Sun)—Bahá’u’lláh.  Tablet on the Súrat a</w:t>
      </w:r>
      <w:r w:rsidRPr="008F03E5">
        <w:rPr>
          <w:u w:val="single"/>
        </w:rPr>
        <w:t>sh</w:t>
      </w:r>
      <w:r w:rsidRPr="008F03E5">
        <w:t>-</w:t>
      </w:r>
      <w:r w:rsidRPr="008F03E5">
        <w:rPr>
          <w:u w:val="single"/>
        </w:rPr>
        <w:t>Sh</w:t>
      </w:r>
      <w:r w:rsidRPr="008F03E5">
        <w:t>ams, chapter 91 of the Qur’án.</w:t>
      </w:r>
    </w:p>
    <w:p w14:paraId="3AEF5418" w14:textId="77777777" w:rsidR="00625A5B" w:rsidRPr="008F03E5" w:rsidRDefault="00625A5B" w:rsidP="0050154F">
      <w:pPr>
        <w:pStyle w:val="Translit"/>
        <w:rPr>
          <w:rFonts w:eastAsia="PMingLiU"/>
          <w:lang w:eastAsia="zh-TW"/>
        </w:rPr>
      </w:pPr>
      <w:r w:rsidRPr="008F03E5">
        <w:rPr>
          <w:rFonts w:eastAsia="PMingLiU"/>
          <w:lang w:eastAsia="zh-TW"/>
        </w:rPr>
        <w:t>Suri, Suwari</w:t>
      </w:r>
      <w:r w:rsidRPr="008F03E5">
        <w:rPr>
          <w:rFonts w:eastAsia="PMingLiU"/>
          <w:lang w:eastAsia="zh-TW"/>
        </w:rPr>
        <w:tab/>
        <w:t>Ṣúrí, Ṣúwarí</w:t>
      </w:r>
      <w:r w:rsidRPr="008F03E5">
        <w:rPr>
          <w:rFonts w:eastAsia="PMingLiU"/>
          <w:lang w:eastAsia="zh-TW"/>
        </w:rPr>
        <w:tab/>
        <w:t>formal; superficial; false, sham, deceptive, fallacious; artificial, fictitious, seeming, fancied, imaginary</w:t>
      </w:r>
    </w:p>
    <w:p w14:paraId="0A79FC7B" w14:textId="77777777" w:rsidR="00625A5B" w:rsidRPr="008F03E5" w:rsidRDefault="00625A5B" w:rsidP="00A723B7">
      <w:pPr>
        <w:pStyle w:val="Translit"/>
      </w:pPr>
      <w:r w:rsidRPr="008F03E5">
        <w:t>Sur-i-Israfil</w:t>
      </w:r>
      <w:r w:rsidRPr="008F03E5">
        <w:tab/>
        <w:t>Ṣúr-i-Isráfíl</w:t>
      </w:r>
      <w:r w:rsidRPr="008F03E5">
        <w:tab/>
        <w:t xml:space="preserve">“Still the people desire material luxury to such a degree that Ṣúr-i-Isráfíl (i.e., the trumpet [ram’s horn] of Isráfíl [angel of life] summoning mankind to resurrection) does not awaken them.” </w:t>
      </w:r>
      <w:r>
        <w:t>(</w:t>
      </w:r>
      <w:r w:rsidRPr="008F03E5">
        <w:rPr>
          <w:i/>
          <w:iCs/>
        </w:rPr>
        <w:t>Star of the West</w:t>
      </w:r>
      <w:r w:rsidRPr="008F03E5">
        <w:t>, v</w:t>
      </w:r>
      <w:r>
        <w:t>:</w:t>
      </w:r>
      <w:r w:rsidRPr="008F03E5">
        <w:t>16, p. 242</w:t>
      </w:r>
      <w:r>
        <w:t>)</w:t>
      </w:r>
    </w:p>
    <w:p w14:paraId="04D7B369" w14:textId="77777777" w:rsidR="00625A5B" w:rsidRPr="008F03E5" w:rsidRDefault="00625A5B" w:rsidP="00FA1CC8">
      <w:pPr>
        <w:pStyle w:val="Translit"/>
      </w:pPr>
      <w:r w:rsidRPr="008F03E5">
        <w:t>Suriya</w:t>
      </w:r>
      <w:r w:rsidRPr="008F03E5">
        <w:tab/>
        <w:t>Ṣúríyá</w:t>
      </w:r>
      <w:r w:rsidRPr="008F03E5">
        <w:tab/>
        <w:t xml:space="preserve">erudite.  Ḥabr (Rabbi) ‘Abdu’lláh bin Ṣúríyá al-A‘war (one-eyed) of the Banú </w:t>
      </w:r>
      <w:r w:rsidRPr="008F03E5">
        <w:rPr>
          <w:u w:val="single"/>
        </w:rPr>
        <w:t>Th</w:t>
      </w:r>
      <w:r w:rsidRPr="008F03E5">
        <w:t>a‘labah</w:t>
      </w:r>
      <w:r>
        <w:t>, was asked by Muḥammad what was the punishment for adultery according to Moses.</w:t>
      </w:r>
    </w:p>
    <w:p w14:paraId="620A6383" w14:textId="77777777" w:rsidR="00625A5B" w:rsidRPr="008F03E5" w:rsidRDefault="00625A5B" w:rsidP="0050154F">
      <w:pPr>
        <w:pStyle w:val="Translit"/>
        <w:rPr>
          <w:rFonts w:eastAsia="PMingLiU"/>
          <w:lang w:eastAsia="zh-TW"/>
        </w:rPr>
      </w:pPr>
      <w:r w:rsidRPr="008F03E5">
        <w:rPr>
          <w:rFonts w:eastAsia="PMingLiU"/>
          <w:lang w:eastAsia="zh-TW"/>
        </w:rPr>
        <w:t>Suriya</w:t>
      </w:r>
      <w:r w:rsidRPr="008F03E5">
        <w:rPr>
          <w:rFonts w:eastAsia="PMingLiU"/>
          <w:lang w:eastAsia="zh-TW"/>
        </w:rPr>
        <w:tab/>
        <w:t>Súriyá</w:t>
      </w:r>
      <w:r w:rsidRPr="008F03E5">
        <w:rPr>
          <w:rFonts w:eastAsia="PMingLiU"/>
          <w:lang w:eastAsia="zh-TW"/>
        </w:rPr>
        <w:tab/>
        <w:t>Syria</w:t>
      </w:r>
    </w:p>
    <w:p w14:paraId="43988469" w14:textId="77777777" w:rsidR="00625A5B" w:rsidRPr="008F03E5" w:rsidRDefault="00625A5B" w:rsidP="00327EDC">
      <w:pPr>
        <w:pStyle w:val="Translit"/>
      </w:pPr>
      <w:r w:rsidRPr="008F03E5">
        <w:t>Suriy-i</w:t>
      </w:r>
      <w:r w:rsidRPr="008F03E5">
        <w:rPr>
          <w:rFonts w:eastAsia="PMingLiU"/>
          <w:lang w:eastAsia="zh-TW"/>
        </w:rPr>
        <w:t>-‘</w:t>
      </w:r>
      <w:r w:rsidRPr="008F03E5">
        <w:t>Ibad</w:t>
      </w:r>
      <w:r w:rsidRPr="008F03E5">
        <w:tab/>
        <w:t>Súriy-i-‘Ibád</w:t>
      </w:r>
      <w:r w:rsidRPr="008F03E5">
        <w:tab/>
        <w:t>“Tablet of the Servants” or “Tablet of the Worshippers” by Bahá’u’lláh</w:t>
      </w:r>
    </w:p>
    <w:p w14:paraId="4D1C9898" w14:textId="77777777" w:rsidR="00625A5B" w:rsidRPr="008F03E5" w:rsidRDefault="00625A5B" w:rsidP="00900A82">
      <w:pPr>
        <w:pStyle w:val="Translit"/>
      </w:pPr>
      <w:r w:rsidRPr="008F03E5">
        <w:t>Suriy-i-A’rab</w:t>
      </w:r>
      <w:r w:rsidRPr="008F03E5">
        <w:tab/>
        <w:t>Súriy-i-A‘ráb</w:t>
      </w:r>
      <w:r w:rsidRPr="008F03E5">
        <w:tab/>
        <w:t>“Vowel points” by Bahá’u’lláh</w:t>
      </w:r>
    </w:p>
    <w:p w14:paraId="5D16E100" w14:textId="77777777" w:rsidR="00625A5B" w:rsidRPr="008F03E5" w:rsidRDefault="00625A5B" w:rsidP="00900A82">
      <w:pPr>
        <w:pStyle w:val="Translit"/>
      </w:pPr>
      <w:r w:rsidRPr="008F03E5">
        <w:t>Suriy-i-Ahzan</w:t>
      </w:r>
      <w:r w:rsidRPr="008F03E5">
        <w:tab/>
        <w:t>Súriy-i-Aḥzán</w:t>
      </w:r>
      <w:r w:rsidRPr="008F03E5">
        <w:tab/>
        <w:t>“Surah of Sorrows” by Bahá’u’lláh</w:t>
      </w:r>
    </w:p>
    <w:p w14:paraId="51C29869" w14:textId="77777777" w:rsidR="00625A5B" w:rsidRPr="008F03E5" w:rsidRDefault="00625A5B" w:rsidP="00900A82">
      <w:pPr>
        <w:pStyle w:val="Translit"/>
      </w:pPr>
      <w:r w:rsidRPr="008F03E5">
        <w:t>Suriy-i-Amin</w:t>
      </w:r>
      <w:r w:rsidRPr="008F03E5">
        <w:tab/>
        <w:t>Súriy-i-Amín</w:t>
      </w:r>
      <w:r w:rsidRPr="008F03E5">
        <w:tab/>
        <w:t>“Tablet of the Trustee” by Bahá’u’lláh</w:t>
      </w:r>
    </w:p>
    <w:p w14:paraId="315DE510" w14:textId="77777777" w:rsidR="00625A5B" w:rsidRPr="008F03E5" w:rsidRDefault="00625A5B" w:rsidP="00900A82">
      <w:pPr>
        <w:pStyle w:val="Translit"/>
      </w:pPr>
      <w:r w:rsidRPr="008F03E5">
        <w:t>Suriy-i-Amr</w:t>
      </w:r>
      <w:r w:rsidRPr="008F03E5">
        <w:tab/>
        <w:t>Súriy-i-Amr</w:t>
      </w:r>
      <w:r w:rsidRPr="008F03E5">
        <w:tab/>
        <w:t>“Surah of Command” by Bahá’u’lláh</w:t>
      </w:r>
    </w:p>
    <w:p w14:paraId="7A296662" w14:textId="77777777" w:rsidR="00625A5B" w:rsidRPr="008F03E5" w:rsidRDefault="00625A5B" w:rsidP="00900A82">
      <w:pPr>
        <w:pStyle w:val="Translit"/>
      </w:pPr>
      <w:r w:rsidRPr="008F03E5">
        <w:t>Suriy-i-Ashab</w:t>
      </w:r>
      <w:r w:rsidRPr="008F03E5">
        <w:tab/>
        <w:t>Súriy-i-Aṣḥáb</w:t>
      </w:r>
      <w:r w:rsidRPr="008F03E5">
        <w:tab/>
        <w:t>“Surah of Companions” by Bahá’u’lláh</w:t>
      </w:r>
    </w:p>
    <w:p w14:paraId="2149BA0F" w14:textId="77777777" w:rsidR="00625A5B" w:rsidRPr="008F03E5" w:rsidRDefault="00625A5B" w:rsidP="00900A82">
      <w:pPr>
        <w:pStyle w:val="Translit"/>
      </w:pPr>
      <w:r w:rsidRPr="008F03E5">
        <w:t>Suriy-i-Asma’</w:t>
      </w:r>
      <w:r w:rsidRPr="008F03E5">
        <w:tab/>
        <w:t>Súriy-i-Asmá’</w:t>
      </w:r>
      <w:r w:rsidRPr="008F03E5">
        <w:tab/>
        <w:t>“Tablet of Names” by Bahá’u’lláh</w:t>
      </w:r>
    </w:p>
    <w:p w14:paraId="2473A00D" w14:textId="77777777" w:rsidR="00625A5B" w:rsidRPr="008F03E5" w:rsidRDefault="00625A5B" w:rsidP="00900A82">
      <w:pPr>
        <w:pStyle w:val="Translit"/>
      </w:pPr>
      <w:r w:rsidRPr="008F03E5">
        <w:t>Suriy-i-Bayan</w:t>
      </w:r>
      <w:r w:rsidRPr="008F03E5">
        <w:tab/>
        <w:t>Súriy-i-Bayán</w:t>
      </w:r>
      <w:r w:rsidRPr="008F03E5">
        <w:tab/>
        <w:t>“Tablet of the Utterance, of the Exposition” by Bahá’u’lláh</w:t>
      </w:r>
    </w:p>
    <w:p w14:paraId="02CFDAF5" w14:textId="77777777" w:rsidR="00625A5B" w:rsidRPr="008F03E5" w:rsidRDefault="00625A5B" w:rsidP="00900A82">
      <w:pPr>
        <w:pStyle w:val="Translit"/>
      </w:pPr>
      <w:r w:rsidRPr="008F03E5">
        <w:t>Suriy-i-Damm</w:t>
      </w:r>
      <w:r w:rsidRPr="008F03E5">
        <w:tab/>
        <w:t>Súriy-i-Damm</w:t>
      </w:r>
      <w:r w:rsidRPr="008F03E5">
        <w:tab/>
        <w:t>“The Tablet of Blood” by Bahá’u’lláh</w:t>
      </w:r>
    </w:p>
    <w:p w14:paraId="7B0FA05F" w14:textId="77777777" w:rsidR="00625A5B" w:rsidRPr="008F03E5" w:rsidRDefault="00625A5B" w:rsidP="00900A82">
      <w:pPr>
        <w:pStyle w:val="Translit"/>
      </w:pPr>
      <w:r w:rsidRPr="008F03E5">
        <w:t>Suriy-i-Dhabih</w:t>
      </w:r>
      <w:r w:rsidRPr="008F03E5">
        <w:tab/>
        <w:t>Súriy-i-</w:t>
      </w:r>
      <w:r w:rsidRPr="008F03E5">
        <w:rPr>
          <w:u w:val="single"/>
        </w:rPr>
        <w:t>Dh</w:t>
      </w:r>
      <w:r w:rsidRPr="008F03E5">
        <w:t>abíḥ</w:t>
      </w:r>
      <w:r w:rsidRPr="008F03E5">
        <w:tab/>
        <w:t>“Tablet of the Sacrifice” by Bahá’u’lláh</w:t>
      </w:r>
    </w:p>
    <w:p w14:paraId="218865A3" w14:textId="77777777" w:rsidR="00625A5B" w:rsidRPr="008F03E5" w:rsidRDefault="00625A5B" w:rsidP="00900A82">
      <w:pPr>
        <w:pStyle w:val="Translit"/>
      </w:pPr>
      <w:r w:rsidRPr="008F03E5">
        <w:t>Suriy-i-Dhibh</w:t>
      </w:r>
      <w:r w:rsidRPr="008F03E5">
        <w:tab/>
        <w:t>Súriy-i-</w:t>
      </w:r>
      <w:r w:rsidRPr="008F03E5">
        <w:rPr>
          <w:u w:val="single"/>
        </w:rPr>
        <w:t>Dh</w:t>
      </w:r>
      <w:r w:rsidRPr="008F03E5">
        <w:t>ibḥ</w:t>
      </w:r>
      <w:r w:rsidRPr="008F03E5">
        <w:tab/>
        <w:t>“Tablet of the Sacrificial Victim” by Bahá’u’lláh</w:t>
      </w:r>
    </w:p>
    <w:p w14:paraId="08AFD1B2" w14:textId="77777777" w:rsidR="00625A5B" w:rsidRPr="008F03E5" w:rsidRDefault="00625A5B" w:rsidP="00900A82">
      <w:pPr>
        <w:pStyle w:val="Translit"/>
      </w:pPr>
      <w:r w:rsidRPr="008F03E5">
        <w:t>Suriy-i-Dhikr</w:t>
      </w:r>
      <w:r w:rsidRPr="008F03E5">
        <w:tab/>
        <w:t>Súriy-i-</w:t>
      </w:r>
      <w:r w:rsidRPr="008F03E5">
        <w:rPr>
          <w:u w:val="single"/>
        </w:rPr>
        <w:t>Dh</w:t>
      </w:r>
      <w:r w:rsidRPr="008F03E5">
        <w:t>ikr</w:t>
      </w:r>
      <w:r w:rsidRPr="008F03E5">
        <w:tab/>
        <w:t>“Tablet of Remembrance” by Bahá’u’lláh</w:t>
      </w:r>
    </w:p>
    <w:p w14:paraId="5C0C44F9" w14:textId="77777777" w:rsidR="00625A5B" w:rsidRPr="008F03E5" w:rsidRDefault="00625A5B" w:rsidP="00900A82">
      <w:pPr>
        <w:pStyle w:val="Translit"/>
      </w:pPr>
      <w:r w:rsidRPr="008F03E5">
        <w:t>Suriy-i-Fadl</w:t>
      </w:r>
      <w:r w:rsidRPr="008F03E5">
        <w:tab/>
        <w:t>Súriy-i-Faḍl</w:t>
      </w:r>
      <w:r w:rsidRPr="008F03E5">
        <w:tab/>
        <w:t>“Surah of the Divine Bounty or Tablet of Mercy” by Bahá’u’lláh</w:t>
      </w:r>
    </w:p>
    <w:p w14:paraId="5DBEDDD8" w14:textId="77777777" w:rsidR="00625A5B" w:rsidRPr="008F03E5" w:rsidRDefault="00625A5B" w:rsidP="00900A82">
      <w:pPr>
        <w:pStyle w:val="Translit"/>
      </w:pPr>
      <w:r w:rsidRPr="008F03E5">
        <w:t>Suriy-i-Fath</w:t>
      </w:r>
      <w:r w:rsidRPr="008F03E5">
        <w:tab/>
        <w:t>Súriy-i-Fatḥ</w:t>
      </w:r>
      <w:r w:rsidRPr="008F03E5">
        <w:tab/>
        <w:t>“Tablet of Conquest” by Bahá’u’lláh</w:t>
      </w:r>
    </w:p>
    <w:p w14:paraId="7E519C0E" w14:textId="77777777" w:rsidR="00625A5B" w:rsidRPr="008F03E5" w:rsidRDefault="00625A5B" w:rsidP="0060447C">
      <w:pPr>
        <w:pStyle w:val="Translit"/>
      </w:pPr>
      <w:r w:rsidRPr="008F03E5">
        <w:t>Suriy-i-Fu’ad</w:t>
      </w:r>
      <w:r w:rsidRPr="008F03E5">
        <w:tab/>
        <w:t>Súriy-i-Fu’ád</w:t>
      </w:r>
      <w:r w:rsidRPr="008F03E5">
        <w:tab/>
        <w:t>“Tablet to Fu’ád Pá</w:t>
      </w:r>
      <w:r w:rsidRPr="008F03E5">
        <w:rPr>
          <w:u w:val="single"/>
        </w:rPr>
        <w:t>sh</w:t>
      </w:r>
      <w:r w:rsidRPr="008F03E5">
        <w:t>á” by Bahá’u’lláh</w:t>
      </w:r>
    </w:p>
    <w:p w14:paraId="1BDCB734" w14:textId="77777777" w:rsidR="00625A5B" w:rsidRPr="008F03E5" w:rsidRDefault="00625A5B" w:rsidP="00900A82">
      <w:pPr>
        <w:pStyle w:val="Translit"/>
      </w:pPr>
      <w:r w:rsidRPr="008F03E5">
        <w:t>Suriy-i-Ghusn</w:t>
      </w:r>
      <w:r w:rsidRPr="008F03E5">
        <w:tab/>
        <w:t>Súriy-i-</w:t>
      </w:r>
      <w:r w:rsidRPr="008F03E5">
        <w:rPr>
          <w:u w:val="single"/>
        </w:rPr>
        <w:t>Gh</w:t>
      </w:r>
      <w:r w:rsidRPr="008F03E5">
        <w:t>uṣn</w:t>
      </w:r>
      <w:r w:rsidRPr="008F03E5">
        <w:tab/>
        <w:t>“Tablet of the Branch” by Bahá’u’lláh</w:t>
      </w:r>
    </w:p>
    <w:p w14:paraId="7D6D11F0" w14:textId="77777777" w:rsidR="00625A5B" w:rsidRPr="008F03E5" w:rsidRDefault="00625A5B" w:rsidP="00900A82">
      <w:pPr>
        <w:pStyle w:val="Translit"/>
      </w:pPr>
      <w:r w:rsidRPr="008F03E5">
        <w:t>Suriy-i-Hajj</w:t>
      </w:r>
      <w:r w:rsidRPr="008F03E5">
        <w:tab/>
        <w:t xml:space="preserve">Súriy-i-Ḥajj </w:t>
      </w:r>
      <w:r w:rsidRPr="008F03E5">
        <w:rPr>
          <w:sz w:val="16"/>
          <w:szCs w:val="16"/>
        </w:rPr>
        <w:t>I</w:t>
      </w:r>
      <w:r w:rsidRPr="008F03E5">
        <w:t xml:space="preserve"> and </w:t>
      </w:r>
      <w:r w:rsidRPr="008F03E5">
        <w:rPr>
          <w:sz w:val="16"/>
          <w:szCs w:val="16"/>
        </w:rPr>
        <w:t>II</w:t>
      </w:r>
      <w:r w:rsidRPr="008F03E5">
        <w:tab/>
        <w:t xml:space="preserve">“Tablet of Pilgrimage” </w:t>
      </w:r>
      <w:r w:rsidRPr="008F03E5">
        <w:rPr>
          <w:sz w:val="16"/>
          <w:szCs w:val="16"/>
        </w:rPr>
        <w:t>I</w:t>
      </w:r>
      <w:r w:rsidRPr="008F03E5">
        <w:t xml:space="preserve"> &amp; </w:t>
      </w:r>
      <w:r w:rsidRPr="008F03E5">
        <w:rPr>
          <w:sz w:val="16"/>
          <w:szCs w:val="16"/>
        </w:rPr>
        <w:t>II</w:t>
      </w:r>
      <w:r w:rsidRPr="008F03E5">
        <w:t xml:space="preserve"> by Bahá’u’lláh</w:t>
      </w:r>
    </w:p>
    <w:p w14:paraId="5C563266" w14:textId="77777777" w:rsidR="00625A5B" w:rsidRPr="008F03E5" w:rsidRDefault="00625A5B" w:rsidP="002C6525">
      <w:pPr>
        <w:pStyle w:val="Translit"/>
      </w:pPr>
      <w:r w:rsidRPr="008F03E5">
        <w:t>Suriy-i-Haykal, Suratu’l-Haykal</w:t>
      </w:r>
      <w:r w:rsidRPr="008F03E5">
        <w:tab/>
        <w:t>Súriy-i-Haykal, Ar. Súratu’l-Haykal</w:t>
      </w:r>
      <w:r w:rsidRPr="008F03E5">
        <w:tab/>
        <w:t>Pers. “Tablet of the Temple” by Bahá’u’lláh</w:t>
      </w:r>
    </w:p>
    <w:p w14:paraId="71D869D0" w14:textId="77777777" w:rsidR="00625A5B" w:rsidRPr="008F03E5" w:rsidRDefault="00625A5B" w:rsidP="00B76461">
      <w:pPr>
        <w:pStyle w:val="Translit"/>
      </w:pPr>
      <w:r w:rsidRPr="008F03E5">
        <w:t>Suriy-i-Hifz</w:t>
      </w:r>
      <w:r w:rsidRPr="008F03E5">
        <w:tab/>
        <w:t>Súriy-i-Ḥifẓ</w:t>
      </w:r>
      <w:r w:rsidRPr="008F03E5">
        <w:tab/>
        <w:t>“Tablet of Protection, Guardianship” by Bahá’u’lláh</w:t>
      </w:r>
    </w:p>
    <w:p w14:paraId="16604CF2" w14:textId="77777777" w:rsidR="00625A5B" w:rsidRPr="008F03E5" w:rsidRDefault="00625A5B" w:rsidP="003B0AE6">
      <w:pPr>
        <w:pStyle w:val="Translit"/>
      </w:pPr>
      <w:r w:rsidRPr="008F03E5">
        <w:t>Suriy-i-Hijr</w:t>
      </w:r>
      <w:r w:rsidRPr="008F03E5">
        <w:tab/>
        <w:t>Súriy-i-Hijr</w:t>
      </w:r>
      <w:r w:rsidRPr="008F03E5">
        <w:tab/>
        <w:t>“Tablet of Separation” by Bahá’u’lláh.  See Hajr</w:t>
      </w:r>
    </w:p>
    <w:p w14:paraId="0774A779" w14:textId="77777777" w:rsidR="00625A5B" w:rsidRPr="008F03E5" w:rsidRDefault="00625A5B" w:rsidP="00900A82">
      <w:pPr>
        <w:pStyle w:val="Translit"/>
      </w:pPr>
      <w:r w:rsidRPr="008F03E5">
        <w:t>Suriy-i-Ism</w:t>
      </w:r>
      <w:r w:rsidRPr="008F03E5">
        <w:tab/>
        <w:t>Súriy-i-Ism</w:t>
      </w:r>
      <w:r w:rsidRPr="008F03E5">
        <w:tab/>
        <w:t>“Tablet of the Name” by Bahá’u’lláh</w:t>
      </w:r>
    </w:p>
    <w:p w14:paraId="21499258" w14:textId="77777777" w:rsidR="00625A5B" w:rsidRPr="008F03E5" w:rsidRDefault="00625A5B" w:rsidP="00900A82">
      <w:pPr>
        <w:pStyle w:val="Translit"/>
      </w:pPr>
      <w:r w:rsidRPr="008F03E5">
        <w:t>Suriy-i-Ismuna’l-Mursil</w:t>
      </w:r>
      <w:r w:rsidRPr="008F03E5">
        <w:tab/>
        <w:t>Súriy-i-Ismuna’l-Mursil</w:t>
      </w:r>
      <w:r w:rsidRPr="008F03E5">
        <w:tab/>
        <w:t>“Tablet of ‘Our Name, the Messenger’” by Bahá’u’lláh</w:t>
      </w:r>
    </w:p>
    <w:p w14:paraId="1E7FF517" w14:textId="77777777" w:rsidR="00625A5B" w:rsidRPr="008F03E5" w:rsidRDefault="00625A5B" w:rsidP="00900A82">
      <w:pPr>
        <w:pStyle w:val="Translit"/>
      </w:pPr>
      <w:r w:rsidRPr="008F03E5">
        <w:t>Suriy-i-Javad</w:t>
      </w:r>
      <w:r w:rsidRPr="008F03E5">
        <w:tab/>
        <w:t>Súriy-i-Javád</w:t>
      </w:r>
      <w:r w:rsidRPr="008F03E5">
        <w:tab/>
        <w:t>Tablet to Hájí Siyyid Javád by Bahá’u’lláh</w:t>
      </w:r>
    </w:p>
    <w:p w14:paraId="2DEA32E5" w14:textId="77777777" w:rsidR="00625A5B" w:rsidRPr="008F03E5" w:rsidRDefault="00625A5B" w:rsidP="00900A82">
      <w:pPr>
        <w:pStyle w:val="Translit"/>
      </w:pPr>
      <w:r w:rsidRPr="008F03E5">
        <w:t>Suriy-i-Khitab</w:t>
      </w:r>
      <w:r w:rsidRPr="008F03E5">
        <w:tab/>
        <w:t>Súriy-i-</w:t>
      </w:r>
      <w:r w:rsidRPr="008F03E5">
        <w:rPr>
          <w:u w:val="single"/>
        </w:rPr>
        <w:t>Kh</w:t>
      </w:r>
      <w:r w:rsidRPr="008F03E5">
        <w:t>iṭáb</w:t>
      </w:r>
      <w:r w:rsidRPr="008F03E5">
        <w:tab/>
        <w:t>“Tablet of the Sermon” by Bahá’u’lláh</w:t>
      </w:r>
    </w:p>
    <w:p w14:paraId="0CAF563C" w14:textId="77777777" w:rsidR="00625A5B" w:rsidRPr="008F03E5" w:rsidRDefault="00625A5B" w:rsidP="00900A82">
      <w:pPr>
        <w:pStyle w:val="Translit"/>
      </w:pPr>
      <w:r w:rsidRPr="008F03E5">
        <w:t>Suriy-i-Ma’ani</w:t>
      </w:r>
      <w:r w:rsidRPr="008F03E5">
        <w:tab/>
        <w:t>Súriy-i-Ma‘ání</w:t>
      </w:r>
      <w:r w:rsidRPr="008F03E5">
        <w:tab/>
        <w:t>“Tablet of Meanings” by Bahá’u’lláh</w:t>
      </w:r>
    </w:p>
    <w:p w14:paraId="3D8BE382" w14:textId="77777777" w:rsidR="00625A5B" w:rsidRPr="008F03E5" w:rsidRDefault="00625A5B" w:rsidP="00900A82">
      <w:pPr>
        <w:pStyle w:val="Translit"/>
      </w:pPr>
      <w:r w:rsidRPr="008F03E5">
        <w:t>Suriy-i-Man’</w:t>
      </w:r>
      <w:r w:rsidRPr="008F03E5">
        <w:tab/>
        <w:t>Súriy-i-Man‘</w:t>
      </w:r>
      <w:r w:rsidRPr="008F03E5">
        <w:tab/>
        <w:t>“Tablet of Prohibition” by Bahá’u’lláh</w:t>
      </w:r>
    </w:p>
    <w:p w14:paraId="3AA3D668" w14:textId="77777777" w:rsidR="00625A5B" w:rsidRPr="008F03E5" w:rsidRDefault="00625A5B" w:rsidP="00900A82">
      <w:pPr>
        <w:pStyle w:val="Translit"/>
      </w:pPr>
      <w:r w:rsidRPr="008F03E5">
        <w:t>Suriy-i-Muluk</w:t>
      </w:r>
      <w:r w:rsidRPr="008F03E5">
        <w:tab/>
        <w:t>Súriy-i-Mulúk</w:t>
      </w:r>
      <w:r w:rsidRPr="008F03E5">
        <w:tab/>
        <w:t>“Tablet to the Kings” by Bahá’u’lláh</w:t>
      </w:r>
    </w:p>
    <w:p w14:paraId="3A652800" w14:textId="77777777" w:rsidR="00625A5B" w:rsidRPr="008F03E5" w:rsidRDefault="00625A5B" w:rsidP="00900A82">
      <w:pPr>
        <w:pStyle w:val="Translit"/>
      </w:pPr>
      <w:r w:rsidRPr="008F03E5">
        <w:t>Suriy-i-Nidá</w:t>
      </w:r>
      <w:r w:rsidRPr="008F03E5">
        <w:tab/>
        <w:t>Súriy-i-Nidá</w:t>
      </w:r>
      <w:r w:rsidRPr="008F03E5">
        <w:tab/>
        <w:t>“Tablet of Proclamation” by Bahá’u’lláh</w:t>
      </w:r>
    </w:p>
    <w:p w14:paraId="55BC6822" w14:textId="77777777" w:rsidR="00625A5B" w:rsidRPr="008F03E5" w:rsidRDefault="00625A5B" w:rsidP="002C6525">
      <w:pPr>
        <w:pStyle w:val="Translit"/>
      </w:pPr>
      <w:r w:rsidRPr="008F03E5">
        <w:t>Suriy-i-Nush</w:t>
      </w:r>
      <w:r w:rsidRPr="008F03E5">
        <w:tab/>
        <w:t>Súriy-i-Nuṣḥ</w:t>
      </w:r>
      <w:r w:rsidRPr="008F03E5">
        <w:tab/>
        <w:t>“Tablet of the Counsel” by Bahá’u’lláh</w:t>
      </w:r>
    </w:p>
    <w:p w14:paraId="37F3BBEA" w14:textId="77777777" w:rsidR="00625A5B" w:rsidRPr="008F03E5" w:rsidRDefault="00625A5B" w:rsidP="002C6525">
      <w:pPr>
        <w:pStyle w:val="Translit"/>
      </w:pPr>
      <w:r w:rsidRPr="008F03E5">
        <w:t>Suriy-i-Qadir</w:t>
      </w:r>
      <w:r w:rsidRPr="008F03E5">
        <w:tab/>
        <w:t>Súriy-i-Qadír</w:t>
      </w:r>
      <w:r w:rsidRPr="008F03E5">
        <w:tab/>
        <w:t>“Tablet of the Omnipotent” by Bahá’u’lláh</w:t>
      </w:r>
    </w:p>
    <w:p w14:paraId="1C7CD880" w14:textId="77777777" w:rsidR="00625A5B" w:rsidRPr="008F03E5" w:rsidRDefault="00625A5B" w:rsidP="00900A82">
      <w:pPr>
        <w:pStyle w:val="Translit"/>
      </w:pPr>
      <w:r w:rsidRPr="008F03E5">
        <w:t>Suriy-i-Qahir</w:t>
      </w:r>
      <w:r w:rsidRPr="008F03E5">
        <w:tab/>
        <w:t>Súriy-i-Qahír</w:t>
      </w:r>
      <w:r w:rsidRPr="008F03E5">
        <w:tab/>
        <w:t>“Tablet of the Wrathful One” by Bahá’u’lláh</w:t>
      </w:r>
    </w:p>
    <w:p w14:paraId="7C8A6DD4" w14:textId="77777777" w:rsidR="00625A5B" w:rsidRPr="008F03E5" w:rsidRDefault="00625A5B" w:rsidP="00900A82">
      <w:pPr>
        <w:pStyle w:val="Translit"/>
      </w:pPr>
      <w:r w:rsidRPr="008F03E5">
        <w:t>Suriy-i-Qalam</w:t>
      </w:r>
      <w:r w:rsidRPr="008F03E5">
        <w:tab/>
        <w:t>Súriy-i-Qalam</w:t>
      </w:r>
      <w:r w:rsidRPr="008F03E5">
        <w:tab/>
        <w:t>“Tablet of the Pen” by Bahá’u’lláh</w:t>
      </w:r>
    </w:p>
    <w:p w14:paraId="65A45B38" w14:textId="77777777" w:rsidR="00625A5B" w:rsidRPr="008F03E5" w:rsidRDefault="00625A5B" w:rsidP="00900A82">
      <w:pPr>
        <w:pStyle w:val="Translit"/>
      </w:pPr>
      <w:r w:rsidRPr="008F03E5">
        <w:t>Suriy-i-Qamis</w:t>
      </w:r>
      <w:r w:rsidRPr="008F03E5">
        <w:tab/>
        <w:t>Súriy-i-Qamíṣ</w:t>
      </w:r>
      <w:r w:rsidRPr="008F03E5">
        <w:tab/>
        <w:t>“Surah of the Robe, of the Garment” by Bahá’u’lláh</w:t>
      </w:r>
    </w:p>
    <w:p w14:paraId="6D4C6143" w14:textId="77777777" w:rsidR="00625A5B" w:rsidRPr="008F03E5" w:rsidRDefault="00625A5B" w:rsidP="00863755">
      <w:pPr>
        <w:pStyle w:val="Translit"/>
      </w:pPr>
      <w:r w:rsidRPr="008F03E5">
        <w:t>Suriy-i-Ra’is, Suriy-i-Ra’is</w:t>
      </w:r>
      <w:r w:rsidRPr="008F03E5">
        <w:tab/>
        <w:t>Súriy-i-Ra’is (Pers. Súriy-i-Ra’ís)</w:t>
      </w:r>
      <w:r w:rsidRPr="008F03E5">
        <w:tab/>
        <w:t>“Tablet to the Chief”, Tablet to Mehmed Emin ‘Alí Pá</w:t>
      </w:r>
      <w:r w:rsidRPr="008F03E5">
        <w:rPr>
          <w:u w:val="single"/>
        </w:rPr>
        <w:t>sh</w:t>
      </w:r>
      <w:r w:rsidRPr="008F03E5">
        <w:t>á, by Bahá’u’lláh)</w:t>
      </w:r>
    </w:p>
    <w:p w14:paraId="263C3317" w14:textId="77777777" w:rsidR="00625A5B" w:rsidRPr="008F03E5" w:rsidRDefault="00625A5B" w:rsidP="002C6525">
      <w:pPr>
        <w:pStyle w:val="Translit"/>
      </w:pPr>
      <w:r w:rsidRPr="008F03E5">
        <w:t>Suriy-i-Sabr</w:t>
      </w:r>
      <w:r w:rsidRPr="008F03E5">
        <w:tab/>
        <w:t>Súriy-i-Ṣabr</w:t>
      </w:r>
      <w:r w:rsidRPr="008F03E5">
        <w:tab/>
        <w:t>“Tablet of Patience” by Bahá’u’lláh</w:t>
      </w:r>
    </w:p>
    <w:p w14:paraId="6E80B479" w14:textId="77777777" w:rsidR="00625A5B" w:rsidRPr="008F03E5" w:rsidRDefault="00625A5B" w:rsidP="00900A82">
      <w:pPr>
        <w:pStyle w:val="Translit"/>
      </w:pPr>
      <w:r w:rsidRPr="008F03E5">
        <w:t>Suriy-i-Sultan</w:t>
      </w:r>
      <w:r w:rsidRPr="008F03E5">
        <w:tab/>
        <w:t>Súriy-i-Sulṭán</w:t>
      </w:r>
      <w:r w:rsidRPr="008F03E5">
        <w:tab/>
        <w:t>“Tablet for Sultán-Ábád believers” by Bahá’u’lláh</w:t>
      </w:r>
    </w:p>
    <w:p w14:paraId="5A986BDC" w14:textId="77777777" w:rsidR="00625A5B" w:rsidRPr="008F03E5" w:rsidRDefault="00625A5B" w:rsidP="00900A82">
      <w:pPr>
        <w:pStyle w:val="Translit"/>
      </w:pPr>
      <w:r w:rsidRPr="008F03E5">
        <w:t>Suriy-i-Tawhid</w:t>
      </w:r>
      <w:r w:rsidRPr="008F03E5">
        <w:tab/>
        <w:t>Súriy-i-Tawḥíd</w:t>
      </w:r>
      <w:r w:rsidRPr="008F03E5">
        <w:tab/>
        <w:t>by the Báb</w:t>
      </w:r>
    </w:p>
    <w:p w14:paraId="246EB1F6" w14:textId="77777777" w:rsidR="00625A5B" w:rsidRPr="008F03E5" w:rsidRDefault="00625A5B" w:rsidP="00EA7CCD">
      <w:pPr>
        <w:pStyle w:val="Translit"/>
      </w:pPr>
      <w:r w:rsidRPr="008F03E5">
        <w:t>Suriy-i-Va’l</w:t>
      </w:r>
      <w:r w:rsidRPr="008F03E5">
        <w:rPr>
          <w:rFonts w:eastAsia="PMingLiU"/>
          <w:lang w:eastAsia="zh-TW"/>
        </w:rPr>
        <w:t>-‘</w:t>
      </w:r>
      <w:r w:rsidRPr="008F03E5">
        <w:t>Asr</w:t>
      </w:r>
      <w:r w:rsidRPr="008F03E5">
        <w:tab/>
        <w:t>Súriy-i-Va’l-‘Aṣr</w:t>
      </w:r>
      <w:r w:rsidRPr="008F03E5">
        <w:tab/>
        <w:t>Commentary on the Súrih of Va’l-‘Aṣr by the Báb, i.e. Qur’án 103</w:t>
      </w:r>
    </w:p>
    <w:p w14:paraId="45ADF871" w14:textId="77777777" w:rsidR="00625A5B" w:rsidRPr="008F03E5" w:rsidRDefault="00625A5B" w:rsidP="00187594">
      <w:pPr>
        <w:pStyle w:val="Translit"/>
      </w:pPr>
      <w:r w:rsidRPr="008F03E5">
        <w:t>Suriy-i-Vafa’</w:t>
      </w:r>
      <w:r w:rsidRPr="008F03E5">
        <w:tab/>
        <w:t>Súriy-i-Vafá’</w:t>
      </w:r>
      <w:r w:rsidRPr="008F03E5">
        <w:tab/>
        <w:t>“Tablet to Vafá’” (“Fidelity”), Muḥammad Ḥusayn by Bahá’u’lláh (Vafá is often used in Writings).  See Wafá’</w:t>
      </w:r>
    </w:p>
    <w:p w14:paraId="3E20EB3B" w14:textId="77777777" w:rsidR="00625A5B" w:rsidRPr="008F03E5" w:rsidRDefault="00625A5B" w:rsidP="00922985">
      <w:pPr>
        <w:pStyle w:val="Translit"/>
      </w:pPr>
      <w:r w:rsidRPr="008F03E5">
        <w:t>Suriy-i-Ziyarat</w:t>
      </w:r>
      <w:r>
        <w:t xml:space="preserve"> (</w:t>
      </w:r>
      <w:r w:rsidRPr="008F03E5">
        <w:t>Suriy-i-Ziyarih</w:t>
      </w:r>
      <w:r>
        <w:t>)</w:t>
      </w:r>
      <w:r w:rsidRPr="008F03E5">
        <w:tab/>
        <w:t>Súriy-i-Zíyárat</w:t>
      </w:r>
      <w:r w:rsidRPr="008F03E5">
        <w:tab/>
        <w:t>“Tablet of Visitation” for the Báb by Bahá’u’lláh</w:t>
      </w:r>
    </w:p>
    <w:p w14:paraId="0FED0AA8" w14:textId="77777777" w:rsidR="00625A5B" w:rsidRPr="008F03E5" w:rsidRDefault="00625A5B" w:rsidP="00900A82">
      <w:pPr>
        <w:pStyle w:val="Translit"/>
      </w:pPr>
      <w:r w:rsidRPr="008F03E5">
        <w:t>Suriy-i-Zubur</w:t>
      </w:r>
      <w:r w:rsidRPr="008F03E5">
        <w:tab/>
        <w:t>Súriy-i-Zubur</w:t>
      </w:r>
      <w:r w:rsidRPr="008F03E5">
        <w:tab/>
        <w:t>“Tablet of the Psalms” by Bahá’u’lláh</w:t>
      </w:r>
    </w:p>
    <w:p w14:paraId="13BE88CE" w14:textId="77777777" w:rsidR="00625A5B" w:rsidRPr="008F03E5" w:rsidRDefault="00625A5B" w:rsidP="00900A82">
      <w:pPr>
        <w:pStyle w:val="Translit"/>
      </w:pPr>
      <w:r w:rsidRPr="008F03E5">
        <w:t>Suriy-i-Zuhur</w:t>
      </w:r>
      <w:r w:rsidRPr="008F03E5">
        <w:tab/>
        <w:t>Súriy-i-Ẓuhúr</w:t>
      </w:r>
      <w:r w:rsidRPr="008F03E5">
        <w:tab/>
        <w:t>“Tablet of Manifestation” by Bahá’u’lláh</w:t>
      </w:r>
    </w:p>
    <w:p w14:paraId="0F92FC0A" w14:textId="77777777" w:rsidR="00625A5B" w:rsidRPr="008F03E5" w:rsidRDefault="00625A5B" w:rsidP="00256138">
      <w:pPr>
        <w:pStyle w:val="Translit"/>
      </w:pPr>
      <w:r w:rsidRPr="008F03E5">
        <w:t>Surkh Hisar</w:t>
      </w:r>
      <w:r w:rsidRPr="008F03E5">
        <w:tab/>
        <w:t>Sur</w:t>
      </w:r>
      <w:r w:rsidRPr="008F03E5">
        <w:rPr>
          <w:u w:val="single"/>
        </w:rPr>
        <w:t>kh</w:t>
      </w:r>
      <w:r w:rsidRPr="008F03E5">
        <w:t xml:space="preserve"> Ḥiṣár</w:t>
      </w:r>
      <w:r w:rsidRPr="008F03E5">
        <w:tab/>
        <w:t xml:space="preserve">(Sorkh Hesar, Sorkh Hisar, Sorkheh Hesar, “Sourkh Eçar” and Qal‘a-ye Sorkheh Hesar) very small village 16.5 km </w:t>
      </w:r>
      <w:r w:rsidRPr="008F03E5">
        <w:rPr>
          <w:sz w:val="16"/>
          <w:szCs w:val="16"/>
        </w:rPr>
        <w:t>ENE</w:t>
      </w:r>
      <w:r w:rsidRPr="008F03E5">
        <w:t xml:space="preserve"> of the centre of Tihran or a place 39 km </w:t>
      </w:r>
      <w:r w:rsidRPr="008F03E5">
        <w:rPr>
          <w:sz w:val="16"/>
          <w:szCs w:val="16"/>
        </w:rPr>
        <w:t>SE</w:t>
      </w:r>
      <w:r w:rsidRPr="008F03E5">
        <w:t xml:space="preserve"> of the city centre.</w:t>
      </w:r>
    </w:p>
    <w:p w14:paraId="14DBBDC3" w14:textId="77777777" w:rsidR="00625A5B" w:rsidRPr="008F03E5" w:rsidRDefault="00625A5B" w:rsidP="00F17757">
      <w:pPr>
        <w:pStyle w:val="Translit"/>
      </w:pPr>
      <w:r w:rsidRPr="008F03E5">
        <w:t>Surkh, Surkha</w:t>
      </w:r>
      <w:r w:rsidRPr="008F03E5">
        <w:tab/>
        <w:t>Sur</w:t>
      </w:r>
      <w:r w:rsidRPr="008F03E5">
        <w:rPr>
          <w:u w:val="single"/>
        </w:rPr>
        <w:t>kh</w:t>
      </w:r>
      <w:r w:rsidRPr="008F03E5">
        <w:t>, fem. Sur</w:t>
      </w:r>
      <w:r w:rsidRPr="008F03E5">
        <w:rPr>
          <w:u w:val="single"/>
        </w:rPr>
        <w:t>kh</w:t>
      </w:r>
      <w:r w:rsidRPr="008F03E5">
        <w:t>a</w:t>
      </w:r>
      <w:r w:rsidRPr="008F03E5">
        <w:rPr>
          <w:rFonts w:eastAsia="Times New Roman"/>
        </w:rPr>
        <w:tab/>
        <w:t>Pers. red; a red tincture or red ink</w:t>
      </w:r>
    </w:p>
    <w:p w14:paraId="4D0BA92C" w14:textId="77777777" w:rsidR="00625A5B" w:rsidRPr="008F03E5" w:rsidRDefault="00625A5B" w:rsidP="00376756">
      <w:pPr>
        <w:pStyle w:val="Translit"/>
      </w:pPr>
      <w:r w:rsidRPr="008F03E5">
        <w:t>Surkhah Didhah, (Shorkhah Dizah)</w:t>
      </w:r>
      <w:r w:rsidRPr="008F03E5">
        <w:tab/>
        <w:t>Sur</w:t>
      </w:r>
      <w:r w:rsidRPr="008F03E5">
        <w:rPr>
          <w:u w:val="single"/>
        </w:rPr>
        <w:t>kh</w:t>
      </w:r>
      <w:r w:rsidRPr="008F03E5">
        <w:t>ah Dí</w:t>
      </w:r>
      <w:r w:rsidRPr="008F03E5">
        <w:rPr>
          <w:u w:val="single"/>
        </w:rPr>
        <w:t>dh</w:t>
      </w:r>
      <w:r w:rsidRPr="008F03E5">
        <w:t>ah</w:t>
      </w:r>
      <w:r w:rsidRPr="008F03E5">
        <w:tab/>
        <w:t xml:space="preserve">village 19 km </w:t>
      </w:r>
      <w:r w:rsidRPr="008F03E5">
        <w:rPr>
          <w:sz w:val="16"/>
          <w:szCs w:val="16"/>
        </w:rPr>
        <w:t>NSE</w:t>
      </w:r>
      <w:r w:rsidRPr="008F03E5">
        <w:t xml:space="preserve"> Sar Púl-i-Zaháb and 5 km </w:t>
      </w:r>
      <w:r w:rsidRPr="008F03E5">
        <w:rPr>
          <w:sz w:val="16"/>
          <w:szCs w:val="16"/>
        </w:rPr>
        <w:t>NSE</w:t>
      </w:r>
      <w:r w:rsidRPr="008F03E5">
        <w:t xml:space="preserve"> of Rafí‘</w:t>
      </w:r>
    </w:p>
    <w:p w14:paraId="5365D3D3" w14:textId="77777777" w:rsidR="00625A5B" w:rsidRPr="008F03E5" w:rsidRDefault="00625A5B" w:rsidP="00F31E10">
      <w:pPr>
        <w:pStyle w:val="Translit"/>
      </w:pPr>
      <w:r w:rsidRPr="008F03E5">
        <w:t>Surra-man-Ra’a</w:t>
      </w:r>
      <w:r w:rsidRPr="008F03E5">
        <w:tab/>
        <w:t>Surra-man-Ra’á</w:t>
      </w:r>
      <w:r w:rsidRPr="008F03E5">
        <w:tab/>
        <w:t>“he who sees it is delighted”.  Surra-man-Ra’á is the formal name of Abbasid Samarra, a city in central Iraq.</w:t>
      </w:r>
    </w:p>
    <w:p w14:paraId="047C3380" w14:textId="77777777" w:rsidR="00625A5B" w:rsidRPr="008F03E5" w:rsidRDefault="00625A5B" w:rsidP="00E247F0">
      <w:pPr>
        <w:pStyle w:val="Translit"/>
      </w:pPr>
      <w:r w:rsidRPr="008F03E5">
        <w:t>Surur</w:t>
      </w:r>
      <w:r w:rsidRPr="008F03E5">
        <w:tab/>
        <w:t>Surúr</w:t>
      </w:r>
      <w:r w:rsidRPr="008F03E5">
        <w:tab/>
        <w:t>(Soroor) joy, happiness, delight, pleasure; glee, gaiety, hilarity, mirth</w:t>
      </w:r>
    </w:p>
    <w:p w14:paraId="2BD073EB" w14:textId="77777777" w:rsidR="00625A5B" w:rsidRPr="008F03E5" w:rsidRDefault="00625A5B" w:rsidP="00A7022D">
      <w:pPr>
        <w:pStyle w:val="Translit"/>
      </w:pPr>
      <w:r w:rsidRPr="008F03E5">
        <w:t>Surush</w:t>
      </w:r>
      <w:r w:rsidRPr="008F03E5">
        <w:tab/>
        <w:t>Surú</w:t>
      </w:r>
      <w:r w:rsidRPr="008F03E5">
        <w:rPr>
          <w:u w:val="single"/>
        </w:rPr>
        <w:t>sh</w:t>
      </w:r>
      <w:r w:rsidRPr="008F03E5">
        <w:tab/>
        <w:t>(Sarosh) modern Persian form of Avestan Sraosha meaning “obedience”</w:t>
      </w:r>
    </w:p>
    <w:p w14:paraId="76FBBD9C" w14:textId="77777777" w:rsidR="00625A5B" w:rsidRPr="008F03E5" w:rsidRDefault="00625A5B" w:rsidP="00D47B71">
      <w:pPr>
        <w:pStyle w:val="Translit"/>
      </w:pPr>
      <w:r w:rsidRPr="008F03E5">
        <w:t>Susa</w:t>
      </w:r>
      <w:r w:rsidRPr="008F03E5">
        <w:tab/>
        <w:t>Susa (</w:t>
      </w:r>
      <w:r w:rsidRPr="008F03E5">
        <w:rPr>
          <w:u w:val="single"/>
        </w:rPr>
        <w:t>Sh</w:t>
      </w:r>
      <w:r w:rsidRPr="008F03E5">
        <w:t>u</w:t>
      </w:r>
      <w:r w:rsidRPr="008F03E5">
        <w:rPr>
          <w:u w:val="single"/>
        </w:rPr>
        <w:t>sh</w:t>
      </w:r>
      <w:r w:rsidRPr="008F03E5">
        <w:t xml:space="preserve"> or Heb. </w:t>
      </w:r>
      <w:r w:rsidRPr="008F03E5">
        <w:rPr>
          <w:u w:val="single"/>
        </w:rPr>
        <w:t>Sh</w:t>
      </w:r>
      <w:r w:rsidRPr="008F03E5">
        <w:t>u</w:t>
      </w:r>
      <w:r w:rsidRPr="008F03E5">
        <w:rPr>
          <w:u w:val="single"/>
        </w:rPr>
        <w:t>sh</w:t>
      </w:r>
      <w:r w:rsidRPr="008F03E5">
        <w:t>án)</w:t>
      </w:r>
      <w:r w:rsidRPr="008F03E5">
        <w:tab/>
        <w:t xml:space="preserve">very important ancient near east city (Daniel 8:2).  Ruins are surrounded on the west and north sides by the city of </w:t>
      </w:r>
      <w:r w:rsidRPr="008F03E5">
        <w:rPr>
          <w:u w:val="single"/>
        </w:rPr>
        <w:t>Sh</w:t>
      </w:r>
      <w:r w:rsidRPr="008F03E5">
        <w:t>u</w:t>
      </w:r>
      <w:r w:rsidRPr="008F03E5">
        <w:rPr>
          <w:u w:val="single"/>
        </w:rPr>
        <w:t>sh</w:t>
      </w:r>
      <w:r w:rsidRPr="008F03E5">
        <w:t xml:space="preserve">, which is 60 km </w:t>
      </w:r>
      <w:r w:rsidRPr="008F03E5">
        <w:rPr>
          <w:sz w:val="16"/>
          <w:szCs w:val="16"/>
        </w:rPr>
        <w:t>NW</w:t>
      </w:r>
      <w:r w:rsidRPr="008F03E5">
        <w:t xml:space="preserve"> </w:t>
      </w:r>
      <w:r w:rsidRPr="008F03E5">
        <w:rPr>
          <w:u w:val="single"/>
        </w:rPr>
        <w:t>Sh</w:t>
      </w:r>
      <w:r w:rsidRPr="008F03E5">
        <w:t>ú</w:t>
      </w:r>
      <w:r w:rsidRPr="008F03E5">
        <w:rPr>
          <w:u w:val="single"/>
        </w:rPr>
        <w:t>sh</w:t>
      </w:r>
      <w:r w:rsidRPr="008F03E5">
        <w:t>tar.</w:t>
      </w:r>
    </w:p>
    <w:p w14:paraId="32A5EF33" w14:textId="77777777" w:rsidR="00625A5B" w:rsidRPr="008F03E5" w:rsidRDefault="00625A5B" w:rsidP="00D47B71">
      <w:pPr>
        <w:pStyle w:val="Translit"/>
      </w:pPr>
      <w:r w:rsidRPr="008F03E5">
        <w:t>Sutun</w:t>
      </w:r>
      <w:r w:rsidRPr="008F03E5">
        <w:tab/>
        <w:t>Sutún</w:t>
      </w:r>
      <w:r w:rsidRPr="008F03E5">
        <w:rPr>
          <w:rFonts w:eastAsia="Times New Roman"/>
        </w:rPr>
        <w:tab/>
        <w:t xml:space="preserve">Pers. a pillar, column, prop, or beam; a column of troops (m.c.).  </w:t>
      </w:r>
      <w:r w:rsidRPr="008F03E5">
        <w:rPr>
          <w:u w:val="single"/>
        </w:rPr>
        <w:t>Ch</w:t>
      </w:r>
      <w:r w:rsidRPr="008F03E5">
        <w:t>ihal Sutún “forty columns”, is a Persian pavilion in the middle of a park at the far end of a long pool, in Iṣfahán.</w:t>
      </w:r>
    </w:p>
    <w:p w14:paraId="22D6562A" w14:textId="77777777" w:rsidR="00625A5B" w:rsidRPr="008F03E5" w:rsidRDefault="00625A5B" w:rsidP="00A43FBE">
      <w:pPr>
        <w:pStyle w:val="Translit"/>
      </w:pPr>
      <w:r w:rsidRPr="008F03E5">
        <w:t>Su</w:t>
      </w:r>
      <w:r>
        <w:t>w</w:t>
      </w:r>
      <w:r w:rsidRPr="008F03E5">
        <w:t>ar</w:t>
      </w:r>
      <w:r>
        <w:t xml:space="preserve"> </w:t>
      </w:r>
      <w:r w:rsidRPr="008F03E5">
        <w:rPr>
          <w:rFonts w:eastAsia="PMingLiU"/>
          <w:lang w:eastAsia="zh-TW"/>
        </w:rPr>
        <w:t>‘</w:t>
      </w:r>
      <w:r>
        <w:t>I</w:t>
      </w:r>
      <w:r w:rsidRPr="008F03E5">
        <w:t>lmiy</w:t>
      </w:r>
      <w:r>
        <w:t>a,</w:t>
      </w:r>
      <w:r w:rsidRPr="008F03E5">
        <w:t xml:space="preserve"> Suvar-i</w:t>
      </w:r>
      <w:r w:rsidRPr="008F03E5">
        <w:rPr>
          <w:rFonts w:eastAsia="PMingLiU"/>
          <w:lang w:eastAsia="zh-TW"/>
        </w:rPr>
        <w:t>-‘</w:t>
      </w:r>
      <w:r>
        <w:t>I</w:t>
      </w:r>
      <w:r w:rsidRPr="008F03E5">
        <w:t>lmiyyih</w:t>
      </w:r>
      <w:r w:rsidRPr="008F03E5">
        <w:tab/>
        <w:t>Su</w:t>
      </w:r>
      <w:r>
        <w:t>w</w:t>
      </w:r>
      <w:r w:rsidRPr="008F03E5">
        <w:t>ar</w:t>
      </w:r>
      <w:r>
        <w:t xml:space="preserve"> </w:t>
      </w:r>
      <w:r w:rsidRPr="008F03E5">
        <w:rPr>
          <w:rFonts w:eastAsia="PMingLiU"/>
          <w:lang w:eastAsia="zh-TW"/>
        </w:rPr>
        <w:t>‘</w:t>
      </w:r>
      <w:r w:rsidRPr="008F03E5">
        <w:t>Ilm</w:t>
      </w:r>
      <w:r>
        <w:t>í</w:t>
      </w:r>
      <w:r w:rsidRPr="008F03E5">
        <w:t>y</w:t>
      </w:r>
      <w:r>
        <w:t xml:space="preserve">a, </w:t>
      </w:r>
      <w:r w:rsidRPr="008F03E5">
        <w:t>Suvar-i</w:t>
      </w:r>
      <w:r w:rsidRPr="008F03E5">
        <w:rPr>
          <w:rFonts w:eastAsia="PMingLiU"/>
          <w:lang w:eastAsia="zh-TW"/>
        </w:rPr>
        <w:t>-‘</w:t>
      </w:r>
      <w:r w:rsidRPr="008F03E5">
        <w:t>ilmiyyih</w:t>
      </w:r>
      <w:r w:rsidRPr="008F03E5">
        <w:tab/>
        <w:t>(rational and educational discourse offering scientific, philosophical and rational arguments in support of divine truth)</w:t>
      </w:r>
    </w:p>
    <w:p w14:paraId="13B44C8C" w14:textId="77777777" w:rsidR="00625A5B" w:rsidRPr="008F03E5" w:rsidRDefault="00625A5B" w:rsidP="00351994">
      <w:pPr>
        <w:pStyle w:val="Translit"/>
        <w:rPr>
          <w:rFonts w:eastAsia="PMingLiU"/>
          <w:lang w:eastAsia="zh-TW"/>
        </w:rPr>
      </w:pPr>
      <w:r w:rsidRPr="008F03E5">
        <w:t>Suwayd (Suwaid)</w:t>
      </w:r>
      <w:r w:rsidRPr="008F03E5">
        <w:tab/>
        <w:t>Suwayd</w:t>
      </w:r>
      <w:r w:rsidRPr="008F03E5">
        <w:tab/>
        <w:t>name meaning “dark-coloured, black” (from aswad “black”)</w:t>
      </w:r>
    </w:p>
    <w:p w14:paraId="06E94EAF" w14:textId="77777777" w:rsidR="00625A5B" w:rsidRPr="008F03E5" w:rsidRDefault="00625A5B" w:rsidP="00351994">
      <w:pPr>
        <w:pStyle w:val="Translit"/>
      </w:pPr>
      <w:r w:rsidRPr="008F03E5">
        <w:rPr>
          <w:rFonts w:eastAsia="PMingLiU"/>
          <w:lang w:eastAsia="zh-TW"/>
        </w:rPr>
        <w:t>Suyut, Asyut (Assiut)</w:t>
      </w:r>
      <w:r w:rsidRPr="008F03E5">
        <w:tab/>
      </w:r>
      <w:r w:rsidRPr="008F03E5">
        <w:rPr>
          <w:rFonts w:eastAsia="PMingLiU"/>
          <w:lang w:eastAsia="zh-TW"/>
        </w:rPr>
        <w:t>Suyú</w:t>
      </w:r>
      <w:r w:rsidRPr="008F03E5">
        <w:t>ṭ, Asyut</w:t>
      </w:r>
      <w:r w:rsidRPr="008F03E5">
        <w:tab/>
        <w:t>as-</w:t>
      </w:r>
      <w:r w:rsidRPr="008F03E5">
        <w:rPr>
          <w:rFonts w:eastAsia="PMingLiU"/>
          <w:lang w:eastAsia="zh-TW"/>
        </w:rPr>
        <w:t>Suyú</w:t>
      </w:r>
      <w:r w:rsidRPr="008F03E5">
        <w:t>ṭ is a city 350 km from Cairo on the Nile River</w:t>
      </w:r>
    </w:p>
    <w:p w14:paraId="3F7C4F6A" w14:textId="77777777" w:rsidR="00625A5B" w:rsidRPr="008F03E5" w:rsidRDefault="00625A5B" w:rsidP="006B7747">
      <w:pPr>
        <w:pStyle w:val="Translit"/>
      </w:pPr>
      <w:r w:rsidRPr="008F03E5">
        <w:t>Suyuti</w:t>
      </w:r>
      <w:r w:rsidRPr="008F03E5">
        <w:tab/>
        <w:t>Suyúṭí</w:t>
      </w:r>
      <w:r w:rsidRPr="008F03E5">
        <w:tab/>
        <w:t>Abú al-Faḍl ‘Abd ar-Raḥmán ibn Abí Bakr ibn Muḥammad Jalál a</w:t>
      </w:r>
      <w:r>
        <w:t>d</w:t>
      </w:r>
      <w:r w:rsidRPr="008F03E5">
        <w:t>-Dín al-</w:t>
      </w:r>
      <w:r w:rsidRPr="008F03E5">
        <w:rPr>
          <w:u w:val="single"/>
        </w:rPr>
        <w:t>Kh</w:t>
      </w:r>
      <w:r w:rsidRPr="008F03E5">
        <w:t>uḍayrí a</w:t>
      </w:r>
      <w:r>
        <w:t>s</w:t>
      </w:r>
      <w:r w:rsidRPr="008F03E5">
        <w:t>-Suyúṭí, c. 1445–1505, was an Egyptian religious scholar, juristic expert and teacher, and one of the most prolific writers of the Middle Ages of Persian origin, whose works deal with Islamic theology. His family moved to Asyut, hence the nisba “</w:t>
      </w:r>
      <w:r>
        <w:t>a</w:t>
      </w:r>
      <w:r w:rsidRPr="008F03E5">
        <w:t>s-Suyúṭí”.</w:t>
      </w:r>
    </w:p>
    <w:p w14:paraId="1EFF660F" w14:textId="77777777" w:rsidR="00625A5B" w:rsidRPr="008F03E5" w:rsidRDefault="00625A5B" w:rsidP="00CF1AA4">
      <w:pPr>
        <w:pStyle w:val="Translit"/>
      </w:pPr>
      <w:r w:rsidRPr="008F03E5">
        <w:t>Suz</w:t>
      </w:r>
      <w:r w:rsidRPr="008F03E5">
        <w:tab/>
        <w:t>Súz</w:t>
      </w:r>
      <w:r w:rsidRPr="008F03E5">
        <w:tab/>
        <w:t>Pers. burning; inflammation, heat; a burning fever; heart-burning, ardour; affection; disturbed in mind; the cautery</w:t>
      </w:r>
    </w:p>
    <w:p w14:paraId="46FB0B0A" w14:textId="77777777" w:rsidR="00625A5B" w:rsidRPr="008F03E5" w:rsidRDefault="00625A5B" w:rsidP="0024326A">
      <w:pPr>
        <w:pStyle w:val="Myhead"/>
      </w:pPr>
      <w:bookmarkStart w:id="140" w:name="T"/>
      <w:r w:rsidRPr="008F03E5">
        <w:t>T</w:t>
      </w:r>
      <w:bookmarkEnd w:id="140"/>
    </w:p>
    <w:p w14:paraId="27E36450" w14:textId="77777777" w:rsidR="00625A5B" w:rsidRPr="008F03E5" w:rsidRDefault="00625A5B" w:rsidP="001E1339">
      <w:pPr>
        <w:pStyle w:val="Translit"/>
      </w:pPr>
      <w:r w:rsidRPr="008F03E5">
        <w:rPr>
          <w:lang w:eastAsia="en-US"/>
        </w:rPr>
        <w:t>Ta Ha</w:t>
      </w:r>
      <w:r w:rsidRPr="008F03E5">
        <w:rPr>
          <w:lang w:eastAsia="en-US"/>
        </w:rPr>
        <w:tab/>
        <w:t>Ṭá’ Há’</w:t>
      </w:r>
      <w:r w:rsidRPr="008F03E5">
        <w:rPr>
          <w:lang w:eastAsia="en-US"/>
        </w:rPr>
        <w:tab/>
        <w:t>two single letters of the alphabet that are the opening and name of the 20th chapter of the Qur’án</w:t>
      </w:r>
    </w:p>
    <w:p w14:paraId="598C1732" w14:textId="77777777" w:rsidR="00625A5B" w:rsidRPr="008F03E5" w:rsidRDefault="00625A5B" w:rsidP="005E3B9E">
      <w:pPr>
        <w:pStyle w:val="Translit"/>
      </w:pPr>
      <w:r w:rsidRPr="00077779">
        <w:rPr>
          <w:rFonts w:eastAsia="PMingLiU"/>
          <w:lang w:val="es-ES_tradnl" w:eastAsia="zh-TW"/>
        </w:rPr>
        <w:t>Ta Sin, Tawasin</w:t>
      </w:r>
      <w:r w:rsidRPr="00077779">
        <w:rPr>
          <w:rFonts w:eastAsia="PMingLiU"/>
          <w:lang w:val="es-ES_tradnl" w:eastAsia="zh-TW"/>
        </w:rPr>
        <w:tab/>
      </w:r>
      <w:r w:rsidRPr="00077779">
        <w:rPr>
          <w:lang w:val="es-ES_tradnl"/>
        </w:rPr>
        <w:t>Ṭá’</w:t>
      </w:r>
      <w:r w:rsidRPr="00077779">
        <w:rPr>
          <w:rFonts w:eastAsia="PMingLiU"/>
          <w:lang w:val="es-ES_tradnl" w:eastAsia="zh-TW"/>
        </w:rPr>
        <w:t xml:space="preserve"> S</w:t>
      </w:r>
      <w:r w:rsidRPr="00077779">
        <w:rPr>
          <w:lang w:val="es-ES_tradnl"/>
        </w:rPr>
        <w:t>í</w:t>
      </w:r>
      <w:r w:rsidRPr="00077779">
        <w:rPr>
          <w:rFonts w:eastAsia="PMingLiU"/>
          <w:lang w:val="es-ES_tradnl" w:eastAsia="zh-TW"/>
        </w:rPr>
        <w:t xml:space="preserve">n, pl. </w:t>
      </w:r>
      <w:r w:rsidRPr="008F03E5">
        <w:t>Ṭáwásín</w:t>
      </w:r>
      <w:r w:rsidRPr="008F03E5">
        <w:tab/>
      </w:r>
      <w:r w:rsidRPr="008F03E5">
        <w:rPr>
          <w:i/>
          <w:iCs/>
        </w:rPr>
        <w:t>Kitáb aṭ-Ṭáwásín</w:t>
      </w:r>
      <w:r w:rsidRPr="008F03E5">
        <w:t xml:space="preserve"> (“Book of the Purity of the Glory of God”), best known work of Manṣúr al-Ḥalláj.  He used line diagrams and symbols to help him convey mystical experiences that he could not express in words.  Ṭawásín is the broken plural of the “word” ṭá’-sín, the ḥurúf muqaṭṭa‘át (“disconnected letters”) ṭá’ and sín of suras 26–28.  They are assumed to be the first letters of ṭahára and saná’, hence the translation for ṭáwásín.</w:t>
      </w:r>
    </w:p>
    <w:p w14:paraId="6E62B39A" w14:textId="77777777" w:rsidR="00625A5B" w:rsidRPr="008F03E5" w:rsidRDefault="00625A5B" w:rsidP="002E2B85">
      <w:pPr>
        <w:pStyle w:val="Translit"/>
      </w:pPr>
      <w:r w:rsidRPr="008F03E5">
        <w:t>Ta’ Marbuta</w:t>
      </w:r>
      <w:r>
        <w:t xml:space="preserve"> (Ta Mabuta)</w:t>
      </w:r>
      <w:r w:rsidRPr="008F03E5">
        <w:tab/>
        <w:t>Tá’ Marbúṭa</w:t>
      </w:r>
      <w:r w:rsidRPr="008F03E5">
        <w:tab/>
      </w:r>
      <w:r w:rsidRPr="008F03E5">
        <w:rPr>
          <w:rtl/>
        </w:rPr>
        <w:t>ۃ</w:t>
      </w:r>
      <w:r w:rsidRPr="008F03E5">
        <w:t>, a largely silent letter.  Position is always at the end of a word that is usually feminine.  Transcripted as t (tá’) if followed by a vowel; as an h (há’) if it is the final letter.  The tá’ marbúṭa ending in most listed words is indicated by [h], [t] or [h or t].</w:t>
      </w:r>
    </w:p>
    <w:p w14:paraId="5B90FE00" w14:textId="77777777" w:rsidR="00625A5B" w:rsidRPr="001457C8" w:rsidRDefault="00625A5B" w:rsidP="00D82BB1">
      <w:pPr>
        <w:pStyle w:val="Translit"/>
        <w:rPr>
          <w:lang w:val="it-IT"/>
        </w:rPr>
      </w:pPr>
      <w:r w:rsidRPr="001457C8">
        <w:rPr>
          <w:lang w:val="it-IT"/>
        </w:rPr>
        <w:t>Ta’</w:t>
      </w:r>
      <w:r w:rsidRPr="001457C8">
        <w:rPr>
          <w:lang w:val="it-IT"/>
        </w:rPr>
        <w:tab/>
        <w:t>Ṭá’</w:t>
      </w:r>
      <w:r w:rsidRPr="001457C8">
        <w:rPr>
          <w:lang w:val="it-IT"/>
        </w:rPr>
        <w:tab/>
        <w:t>Arabic letter (ṭ)</w:t>
      </w:r>
    </w:p>
    <w:p w14:paraId="646D24C8" w14:textId="77777777" w:rsidR="00625A5B" w:rsidRPr="008F03E5" w:rsidRDefault="00625A5B" w:rsidP="00AD2662">
      <w:pPr>
        <w:pStyle w:val="Translit"/>
      </w:pPr>
      <w:r w:rsidRPr="008F03E5">
        <w:t>Ta’</w:t>
      </w:r>
      <w:r w:rsidRPr="008F03E5">
        <w:tab/>
        <w:t>Tá’</w:t>
      </w:r>
      <w:r w:rsidRPr="008F03E5">
        <w:tab/>
        <w:t>Arabic letter [t]</w:t>
      </w:r>
    </w:p>
    <w:p w14:paraId="4A29043E" w14:textId="77777777" w:rsidR="00625A5B" w:rsidRPr="008F03E5" w:rsidRDefault="00625A5B" w:rsidP="00CA09E0">
      <w:pPr>
        <w:pStyle w:val="Translit"/>
      </w:pPr>
      <w:r w:rsidRPr="008F03E5">
        <w:t>Ta’ah</w:t>
      </w:r>
      <w:r w:rsidRPr="008F03E5">
        <w:tab/>
        <w:t>Ṭá‘ah</w:t>
      </w:r>
      <w:r w:rsidRPr="008F03E5">
        <w:tab/>
        <w:t>obedience (to God)</w:t>
      </w:r>
    </w:p>
    <w:p w14:paraId="22949478" w14:textId="77777777" w:rsidR="00625A5B" w:rsidRPr="008F03E5" w:rsidRDefault="00625A5B" w:rsidP="000B3245">
      <w:pPr>
        <w:pStyle w:val="Translit"/>
      </w:pPr>
      <w:r w:rsidRPr="008F03E5">
        <w:t>Ta’ala</w:t>
      </w:r>
      <w:r w:rsidRPr="005E1671">
        <w:t xml:space="preserve"> </w:t>
      </w:r>
      <w:r w:rsidRPr="008F03E5">
        <w:t>Huwa’llah</w:t>
      </w:r>
      <w:r w:rsidRPr="008F03E5">
        <w:tab/>
        <w:t>Ta‘álá</w:t>
      </w:r>
      <w:r w:rsidRPr="005E1671">
        <w:t xml:space="preserve"> </w:t>
      </w:r>
      <w:r w:rsidRPr="008F03E5">
        <w:t>Huwa’lláh</w:t>
      </w:r>
      <w:r>
        <w:tab/>
        <w:t>Almighty is God! or Exalted is God!</w:t>
      </w:r>
    </w:p>
    <w:p w14:paraId="3910802F" w14:textId="77777777" w:rsidR="00625A5B" w:rsidRDefault="00625A5B" w:rsidP="000B3245">
      <w:pPr>
        <w:pStyle w:val="Translit"/>
      </w:pPr>
      <w:r w:rsidRPr="008F03E5">
        <w:t>Ta’ala</w:t>
      </w:r>
      <w:r w:rsidRPr="008F03E5">
        <w:tab/>
        <w:t>Ta‘álá</w:t>
      </w:r>
      <w:r w:rsidRPr="008F03E5">
        <w:tab/>
        <w:t>to rise, become high; the exalted (form V of ‘alá and a root of ‘Alí)</w:t>
      </w:r>
    </w:p>
    <w:p w14:paraId="49125494" w14:textId="77777777" w:rsidR="00625A5B" w:rsidRPr="008F03E5" w:rsidRDefault="00625A5B" w:rsidP="003A084C">
      <w:pPr>
        <w:pStyle w:val="Translit"/>
      </w:pPr>
      <w:r w:rsidRPr="008F03E5">
        <w:t>Ta’am, At’ima</w:t>
      </w:r>
      <w:r w:rsidRPr="008F03E5">
        <w:tab/>
        <w:t>Ṭa‘ám, pl. Aṭ‘ima</w:t>
      </w:r>
      <w:r w:rsidRPr="008F03E5">
        <w:tab/>
        <w:t>food, nourishment, nutriment, fare, diet; meal, repast</w:t>
      </w:r>
    </w:p>
    <w:p w14:paraId="5F4392DF" w14:textId="77777777" w:rsidR="00625A5B" w:rsidRPr="008F03E5" w:rsidRDefault="00625A5B" w:rsidP="007300F5">
      <w:pPr>
        <w:pStyle w:val="Translit"/>
      </w:pPr>
      <w:r w:rsidRPr="008F03E5">
        <w:t>Ta’aruf, T’aruf (Ta’arof, T’arof, Tarof)</w:t>
      </w:r>
      <w:r w:rsidRPr="008F03E5">
        <w:tab/>
        <w:t>Ta‘áruf, T‘áruf</w:t>
      </w:r>
      <w:r w:rsidRPr="008F03E5">
        <w:tab/>
      </w:r>
      <w:r w:rsidRPr="008F03E5">
        <w:rPr>
          <w:rFonts w:eastAsia="PMingLiU"/>
          <w:lang w:eastAsia="zh-TW"/>
        </w:rPr>
        <w:t>Pers. k</w:t>
      </w:r>
      <w:r w:rsidRPr="008F03E5">
        <w:t xml:space="preserve">nowing one another; mutual acquaintance; recognition; rule, fashion, custom.  </w:t>
      </w:r>
      <w:r w:rsidRPr="008F03E5">
        <w:rPr>
          <w:rFonts w:eastAsia="PMingLiU"/>
          <w:lang w:eastAsia="zh-TW"/>
        </w:rPr>
        <w:t>B</w:t>
      </w:r>
      <w:r w:rsidRPr="008F03E5">
        <w:t>ehaviour that is appropriate and customary.  Persian form of civility emphasizing both deference and social rank.  The term encompasses a range of social behaviours; one example of ta‘áruf could be described as posing false invitations and promising future services or deeds to primarily strangers or distant relatives and expecting them not to take the offer and keep declining it.  Also described as a form of ritual politeness.  It has been corrupted in Iran and now denotes ceremonial insincerity.</w:t>
      </w:r>
    </w:p>
    <w:p w14:paraId="3E665E70" w14:textId="77777777" w:rsidR="00625A5B" w:rsidRPr="008F03E5" w:rsidRDefault="00625A5B" w:rsidP="00A75602">
      <w:pPr>
        <w:pStyle w:val="Translit"/>
        <w:rPr>
          <w:rFonts w:eastAsia="Times New Roman"/>
        </w:rPr>
      </w:pPr>
      <w:r w:rsidRPr="008F03E5">
        <w:rPr>
          <w:rFonts w:eastAsia="Times New Roman"/>
        </w:rPr>
        <w:t>Ta’assub</w:t>
      </w:r>
      <w:r w:rsidRPr="008F03E5">
        <w:rPr>
          <w:rFonts w:eastAsia="Times New Roman"/>
        </w:rPr>
        <w:tab/>
        <w:t>Ta‘aṣṣub</w:t>
      </w:r>
      <w:r w:rsidRPr="008F03E5">
        <w:rPr>
          <w:rFonts w:eastAsia="Times New Roman"/>
        </w:rPr>
        <w:tab/>
        <w:t>fanaticism, ardent zeal, bigotry, fanatical enthusiasm; party spirit, partisanship; clannishness, racialism, race consciousness, tribalism</w:t>
      </w:r>
    </w:p>
    <w:p w14:paraId="7841B7F7" w14:textId="77777777" w:rsidR="00625A5B" w:rsidRPr="008F03E5" w:rsidRDefault="00625A5B" w:rsidP="00E7350A">
      <w:pPr>
        <w:pStyle w:val="Translit"/>
        <w:rPr>
          <w:rFonts w:eastAsia="Times New Roman"/>
        </w:rPr>
      </w:pPr>
      <w:r w:rsidRPr="008F03E5">
        <w:rPr>
          <w:rFonts w:eastAsia="Times New Roman"/>
        </w:rPr>
        <w:t>Ta’ayyun</w:t>
      </w:r>
      <w:r w:rsidRPr="008F03E5">
        <w:rPr>
          <w:rFonts w:eastAsia="Times New Roman"/>
        </w:rPr>
        <w:tab/>
        <w:t>Ta‘ayyun</w:t>
      </w:r>
      <w:r w:rsidRPr="008F03E5">
        <w:rPr>
          <w:rFonts w:eastAsia="Times New Roman"/>
        </w:rPr>
        <w:tab/>
        <w:t xml:space="preserve">to be or to become an entity; self-determination or individualization.  Term applied by </w:t>
      </w:r>
      <w:r w:rsidRPr="008F03E5">
        <w:t>al-mutaṣawwifa (Sufis)</w:t>
      </w:r>
      <w:r w:rsidRPr="008F03E5">
        <w:rPr>
          <w:rFonts w:eastAsia="Times New Roman"/>
        </w:rPr>
        <w:t xml:space="preserve"> to the process of descent through which pure being gradually becomes qualified.  Man is absolute being limited by ta‘ayyun (individualization).</w:t>
      </w:r>
    </w:p>
    <w:p w14:paraId="0C3B714D" w14:textId="77777777" w:rsidR="00625A5B" w:rsidRPr="008F03E5" w:rsidRDefault="00625A5B" w:rsidP="003479D9">
      <w:pPr>
        <w:pStyle w:val="Translit"/>
        <w:rPr>
          <w:rFonts w:eastAsia="PMingLiU"/>
          <w:lang w:eastAsia="zh-TW"/>
        </w:rPr>
      </w:pPr>
      <w:r w:rsidRPr="008F03E5">
        <w:rPr>
          <w:rFonts w:eastAsia="Times New Roman"/>
        </w:rPr>
        <w:t>Ta’i</w:t>
      </w:r>
      <w:r>
        <w:rPr>
          <w:rFonts w:eastAsia="Times New Roman"/>
        </w:rPr>
        <w:t>’</w:t>
      </w:r>
      <w:r w:rsidRPr="008F03E5">
        <w:rPr>
          <w:rFonts w:eastAsia="Times New Roman"/>
        </w:rPr>
        <w:tab/>
      </w:r>
      <w:r w:rsidRPr="003479D9">
        <w:rPr>
          <w:rFonts w:eastAsia="Times New Roman"/>
        </w:rPr>
        <w:t>Ṭ</w:t>
      </w:r>
      <w:r>
        <w:rPr>
          <w:rFonts w:eastAsia="Times New Roman"/>
        </w:rPr>
        <w:t>á</w:t>
      </w:r>
      <w:r w:rsidRPr="003479D9">
        <w:rPr>
          <w:rFonts w:eastAsia="Times New Roman"/>
        </w:rPr>
        <w:t>’i‘</w:t>
      </w:r>
      <w:r>
        <w:rPr>
          <w:rFonts w:eastAsia="Times New Roman"/>
        </w:rPr>
        <w:tab/>
      </w:r>
      <w:r w:rsidRPr="003479D9">
        <w:rPr>
          <w:rFonts w:eastAsia="Times New Roman"/>
        </w:rPr>
        <w:t>obedient, compliant, submissive</w:t>
      </w:r>
      <w:r>
        <w:rPr>
          <w:rFonts w:eastAsia="Times New Roman"/>
        </w:rPr>
        <w:t xml:space="preserve">, cheerful, willing.  Not </w:t>
      </w:r>
      <w:r w:rsidRPr="003479D9">
        <w:rPr>
          <w:rFonts w:eastAsia="Times New Roman"/>
        </w:rPr>
        <w:t>Ṭ</w:t>
      </w:r>
      <w:r>
        <w:rPr>
          <w:rFonts w:eastAsia="Times New Roman"/>
        </w:rPr>
        <w:t>á</w:t>
      </w:r>
      <w:r w:rsidRPr="003479D9">
        <w:rPr>
          <w:rFonts w:eastAsia="Times New Roman"/>
        </w:rPr>
        <w:t>’</w:t>
      </w:r>
      <w:r w:rsidRPr="003479D9">
        <w:t>í</w:t>
      </w:r>
      <w:r>
        <w:t xml:space="preserve"> (</w:t>
      </w:r>
      <w:r w:rsidRPr="003479D9">
        <w:t>SDC</w:t>
      </w:r>
      <w:r>
        <w:t xml:space="preserve">, p. 48).  </w:t>
      </w:r>
      <w:r>
        <w:rPr>
          <w:rFonts w:eastAsia="Times New Roman"/>
        </w:rPr>
        <w:t>S</w:t>
      </w:r>
      <w:r w:rsidRPr="008F03E5">
        <w:rPr>
          <w:rFonts w:eastAsia="Times New Roman"/>
        </w:rPr>
        <w:t xml:space="preserve">ee </w:t>
      </w:r>
      <w:r w:rsidRPr="008F03E5">
        <w:t>Ṭ</w:t>
      </w:r>
      <w:r w:rsidRPr="008F03E5">
        <w:rPr>
          <w:rFonts w:eastAsia="Times New Roman"/>
        </w:rPr>
        <w:t>ayy</w:t>
      </w:r>
      <w:r>
        <w:rPr>
          <w:rFonts w:eastAsia="Times New Roman"/>
        </w:rPr>
        <w:t>.</w:t>
      </w:r>
    </w:p>
    <w:p w14:paraId="5F76401B" w14:textId="77777777" w:rsidR="00625A5B" w:rsidRPr="008F03E5" w:rsidRDefault="00625A5B" w:rsidP="00B60CEE">
      <w:pPr>
        <w:pStyle w:val="Translit"/>
      </w:pPr>
      <w:r w:rsidRPr="008F03E5">
        <w:t>Ta’ib</w:t>
      </w:r>
      <w:r w:rsidRPr="008F03E5">
        <w:tab/>
        <w:t>Tá’ib</w:t>
      </w:r>
      <w:r w:rsidRPr="008F03E5">
        <w:tab/>
        <w:t>repentant, penitent, contrite</w:t>
      </w:r>
    </w:p>
    <w:p w14:paraId="5686414C" w14:textId="77777777" w:rsidR="00625A5B" w:rsidRPr="008F03E5" w:rsidRDefault="00625A5B" w:rsidP="00DA3EE0">
      <w:pPr>
        <w:pStyle w:val="Translit"/>
        <w:rPr>
          <w:rFonts w:eastAsia="PMingLiU"/>
          <w:lang w:eastAsia="zh-TW"/>
        </w:rPr>
      </w:pPr>
      <w:r w:rsidRPr="008F03E5">
        <w:rPr>
          <w:rFonts w:eastAsia="PMingLiU"/>
          <w:lang w:eastAsia="zh-TW"/>
        </w:rPr>
        <w:t>Ta’if</w:t>
      </w:r>
      <w:r w:rsidRPr="008F03E5">
        <w:tab/>
        <w:t>Ṭ</w:t>
      </w:r>
      <w:r w:rsidRPr="008F03E5">
        <w:rPr>
          <w:rFonts w:eastAsia="PMingLiU"/>
          <w:lang w:eastAsia="zh-TW"/>
        </w:rPr>
        <w:t>á’if</w:t>
      </w:r>
      <w:r w:rsidRPr="008F03E5">
        <w:tab/>
      </w:r>
      <w:r w:rsidRPr="00DA3EE0">
        <w:t>ambulant, itinerant, migrant, roving, wandering; one going the rounds or making the circuit or walking the beat; one performing the ṭaw</w:t>
      </w:r>
      <w:r>
        <w:t>á</w:t>
      </w:r>
      <w:r w:rsidRPr="00DA3EE0">
        <w:t>f</w:t>
      </w:r>
      <w:r>
        <w:t>;</w:t>
      </w:r>
      <w:r w:rsidRPr="00DA3EE0">
        <w:t xml:space="preserve"> </w:t>
      </w:r>
      <w:r w:rsidRPr="008F03E5">
        <w:t>who or what goes round; a night-watch or patrol; the ox that is stationed at the outer edge of the threshing-floor; the middle of a bow; one who performs the circumambulation of the Ka‘bah; a phantom, spectre, an apparition in a dream, especially of a mistress; name of several cities, especially the celebrated one in Hijáz, aṭ-Ṭ</w:t>
      </w:r>
      <w:r w:rsidRPr="008F03E5">
        <w:rPr>
          <w:rFonts w:eastAsia="PMingLiU"/>
          <w:lang w:eastAsia="zh-TW"/>
        </w:rPr>
        <w:t>á’if,</w:t>
      </w:r>
      <w:r w:rsidRPr="008F03E5">
        <w:t xml:space="preserve"> 65 km east of Mecca and at a cooler elevation of 1,879 m, it has moderate summer weather, unlike most of the Arabian Peninsula</w:t>
      </w:r>
      <w:r>
        <w:t>.</w:t>
      </w:r>
    </w:p>
    <w:p w14:paraId="7783D341" w14:textId="77777777" w:rsidR="00625A5B" w:rsidRPr="008F03E5" w:rsidRDefault="00625A5B" w:rsidP="00DA3EE0">
      <w:pPr>
        <w:pStyle w:val="Translit"/>
      </w:pPr>
      <w:r w:rsidRPr="008F03E5">
        <w:rPr>
          <w:rFonts w:eastAsia="PMingLiU"/>
          <w:lang w:eastAsia="zh-TW"/>
        </w:rPr>
        <w:t>Ta’ifa, Tawa’if</w:t>
      </w:r>
      <w:r w:rsidRPr="008F03E5">
        <w:tab/>
        <w:t>Ṭ</w:t>
      </w:r>
      <w:r w:rsidRPr="008F03E5">
        <w:rPr>
          <w:rFonts w:eastAsia="PMingLiU"/>
          <w:lang w:eastAsia="zh-TW"/>
        </w:rPr>
        <w:t>á’ifa</w:t>
      </w:r>
      <w:r>
        <w:rPr>
          <w:rFonts w:eastAsia="PMingLiU"/>
          <w:lang w:eastAsia="zh-TW"/>
        </w:rPr>
        <w:t>[h or t]</w:t>
      </w:r>
      <w:r w:rsidRPr="008F03E5">
        <w:rPr>
          <w:rFonts w:eastAsia="PMingLiU"/>
          <w:lang w:eastAsia="zh-TW"/>
        </w:rPr>
        <w:t xml:space="preserve">, pl. </w:t>
      </w:r>
      <w:r w:rsidRPr="008F03E5">
        <w:t>Ṭ</w:t>
      </w:r>
      <w:r w:rsidRPr="008F03E5">
        <w:rPr>
          <w:rFonts w:eastAsia="PMingLiU"/>
          <w:lang w:eastAsia="zh-TW"/>
        </w:rPr>
        <w:t>aw</w:t>
      </w:r>
      <w:r w:rsidRPr="008F03E5">
        <w:t>á</w:t>
      </w:r>
      <w:r>
        <w:rPr>
          <w:rFonts w:eastAsia="PMingLiU"/>
          <w:lang w:eastAsia="zh-TW"/>
        </w:rPr>
        <w:t>’if</w:t>
      </w:r>
      <w:r>
        <w:rPr>
          <w:rFonts w:eastAsia="PMingLiU"/>
          <w:lang w:eastAsia="zh-TW"/>
        </w:rPr>
        <w:tab/>
        <w:t xml:space="preserve">(fem. of </w:t>
      </w:r>
      <w:r w:rsidRPr="008F03E5">
        <w:t>ṭ</w:t>
      </w:r>
      <w:r w:rsidRPr="008F03E5">
        <w:rPr>
          <w:rFonts w:eastAsia="PMingLiU"/>
          <w:lang w:eastAsia="zh-TW"/>
        </w:rPr>
        <w:t>á’if</w:t>
      </w:r>
      <w:r>
        <w:rPr>
          <w:rFonts w:eastAsia="PMingLiU"/>
          <w:lang w:eastAsia="zh-TW"/>
        </w:rPr>
        <w:t xml:space="preserve">) </w:t>
      </w:r>
      <w:r w:rsidRPr="00DA3EE0">
        <w:rPr>
          <w:rFonts w:eastAsia="PMingLiU"/>
          <w:lang w:eastAsia="zh-TW"/>
        </w:rPr>
        <w:t>ambulant, itinerant, migrant, roving, wandering; one going the rounds or making the circuit or walking the beat; one performing the ṭaw</w:t>
      </w:r>
      <w:r>
        <w:rPr>
          <w:rFonts w:eastAsia="PMingLiU"/>
          <w:lang w:eastAsia="zh-TW"/>
        </w:rPr>
        <w:t>á</w:t>
      </w:r>
      <w:r w:rsidRPr="00DA3EE0">
        <w:rPr>
          <w:rFonts w:eastAsia="PMingLiU"/>
          <w:lang w:eastAsia="zh-TW"/>
        </w:rPr>
        <w:t>f</w:t>
      </w:r>
      <w:r>
        <w:rPr>
          <w:rFonts w:eastAsia="PMingLiU"/>
          <w:lang w:eastAsia="zh-TW"/>
        </w:rPr>
        <w:t xml:space="preserve">; </w:t>
      </w:r>
      <w:r w:rsidRPr="008F03E5">
        <w:rPr>
          <w:rFonts w:eastAsia="PMingLiU"/>
          <w:lang w:eastAsia="zh-TW"/>
        </w:rPr>
        <w:t>faction (political or ideological, including in reference to religious creeds or sects)</w:t>
      </w:r>
    </w:p>
    <w:p w14:paraId="174C4BDE" w14:textId="77777777" w:rsidR="00625A5B" w:rsidRPr="008F03E5" w:rsidRDefault="00625A5B" w:rsidP="0016421B">
      <w:pPr>
        <w:pStyle w:val="Translit"/>
      </w:pPr>
      <w:r w:rsidRPr="008F03E5">
        <w:t>Ta’ir, Ta’irat, Tayr (Tair)</w:t>
      </w:r>
      <w:r w:rsidRPr="008F03E5">
        <w:tab/>
        <w:t>Ṭá’ir, pl. Ṭayr</w:t>
      </w:r>
      <w:r w:rsidRPr="008F03E5">
        <w:tab/>
        <w:t>flying; flyer, aviator, pilot;—(pl. ṭayr) bird; omen, presage.  Pers. form:  ṭáyir.</w:t>
      </w:r>
    </w:p>
    <w:p w14:paraId="650742A9" w14:textId="77777777" w:rsidR="00625A5B" w:rsidRPr="008F03E5" w:rsidRDefault="00625A5B" w:rsidP="0016421B">
      <w:pPr>
        <w:pStyle w:val="Translit"/>
      </w:pPr>
      <w:r w:rsidRPr="008F03E5">
        <w:t>Ta’ira, Ta’irat</w:t>
      </w:r>
      <w:r w:rsidRPr="008F03E5">
        <w:tab/>
        <w:t>Ṭá’ira[h], pl. Ṭá’irát</w:t>
      </w:r>
      <w:r w:rsidRPr="008F03E5">
        <w:tab/>
        <w:t>(fem. of Ṭá’ir) airplane, aircraft.  Pers. forms:  ṭáyirih, ṭá’irih.</w:t>
      </w:r>
    </w:p>
    <w:p w14:paraId="62954461" w14:textId="77777777" w:rsidR="00625A5B" w:rsidRPr="008F03E5" w:rsidRDefault="00625A5B" w:rsidP="006125EB">
      <w:pPr>
        <w:pStyle w:val="Translit"/>
        <w:rPr>
          <w:rFonts w:eastAsia="Times New Roman"/>
        </w:rPr>
      </w:pPr>
      <w:r w:rsidRPr="008F03E5">
        <w:rPr>
          <w:rFonts w:eastAsia="Times New Roman"/>
        </w:rPr>
        <w:t>Ta’lif, Ta’alif</w:t>
      </w:r>
      <w:r w:rsidRPr="008F03E5">
        <w:rPr>
          <w:rFonts w:eastAsia="Times New Roman"/>
        </w:rPr>
        <w:tab/>
        <w:t>Ta’líf, pl. Ta’</w:t>
      </w:r>
      <w:r w:rsidRPr="008F03E5">
        <w:t>á</w:t>
      </w:r>
      <w:r w:rsidRPr="008F03E5">
        <w:rPr>
          <w:rFonts w:eastAsia="Times New Roman"/>
        </w:rPr>
        <w:t>l</w:t>
      </w:r>
      <w:r w:rsidRPr="008F03E5">
        <w:t>í</w:t>
      </w:r>
      <w:r w:rsidRPr="008F03E5">
        <w:rPr>
          <w:rFonts w:eastAsia="Times New Roman"/>
        </w:rPr>
        <w:t>f</w:t>
      </w:r>
      <w:r w:rsidRPr="008F03E5">
        <w:rPr>
          <w:rFonts w:eastAsia="Times New Roman"/>
        </w:rPr>
        <w:tab/>
        <w:t>formation (e.g., of a suffering, deeply afflicted; tormented government); union, junction, combination (of separate things); literary work; composition, compilation, writing (of a book, of an article);—pl. work, book, publication</w:t>
      </w:r>
    </w:p>
    <w:p w14:paraId="136D282A" w14:textId="77777777" w:rsidR="00625A5B" w:rsidRPr="001457C8" w:rsidRDefault="00625A5B" w:rsidP="007E54C3">
      <w:pPr>
        <w:pStyle w:val="Translit"/>
        <w:rPr>
          <w:lang w:val="pl-PL"/>
        </w:rPr>
      </w:pPr>
      <w:r w:rsidRPr="001457C8">
        <w:rPr>
          <w:lang w:val="pl-PL"/>
        </w:rPr>
        <w:t>Ta’lim, Talimat</w:t>
      </w:r>
      <w:r w:rsidRPr="001457C8">
        <w:rPr>
          <w:lang w:val="pl-PL"/>
        </w:rPr>
        <w:tab/>
        <w:t>Ta‘lím, pl. Talimát</w:t>
      </w:r>
      <w:r w:rsidRPr="001457C8">
        <w:rPr>
          <w:lang w:val="pl-PL"/>
        </w:rPr>
        <w:tab/>
        <w:t>information, advice, instruction, direction; teaching, instruction; training, schooling, education; apprenticeship;—pl. instructions, directions, directives; information, announcements</w:t>
      </w:r>
    </w:p>
    <w:p w14:paraId="5DAA8E73" w14:textId="77777777" w:rsidR="00625A5B" w:rsidRPr="001457C8" w:rsidRDefault="00625A5B" w:rsidP="0069410E">
      <w:pPr>
        <w:pStyle w:val="Translit"/>
        <w:rPr>
          <w:lang w:val="pl-PL"/>
        </w:rPr>
      </w:pPr>
      <w:r w:rsidRPr="001457C8">
        <w:rPr>
          <w:lang w:val="pl-PL"/>
        </w:rPr>
        <w:t>Ta’rif, Ta’rifat</w:t>
      </w:r>
      <w:r w:rsidRPr="001457C8">
        <w:rPr>
          <w:lang w:val="pl-PL"/>
        </w:rPr>
        <w:tab/>
        <w:t>Ta‘ríf, pl. Ta‘rífát, Ta‘áríf</w:t>
      </w:r>
      <w:r w:rsidRPr="001457C8">
        <w:rPr>
          <w:lang w:val="pl-PL"/>
        </w:rPr>
        <w:tab/>
        <w:t>announcement, notification, communication, information; instruction, direction; (social) introduction; definition, determination, identification, specification, characterization; a rendering definite (grammar)</w:t>
      </w:r>
    </w:p>
    <w:p w14:paraId="7327BEA5" w14:textId="77777777" w:rsidR="00625A5B" w:rsidRPr="008F03E5" w:rsidRDefault="00625A5B" w:rsidP="00A84567">
      <w:pPr>
        <w:pStyle w:val="Translit"/>
      </w:pPr>
      <w:r w:rsidRPr="001457C8">
        <w:rPr>
          <w:lang w:val="pl-PL"/>
        </w:rPr>
        <w:t>Ta’rikh, Tarikh, Tawarikh</w:t>
      </w:r>
      <w:r w:rsidRPr="001457C8">
        <w:rPr>
          <w:lang w:val="pl-PL"/>
        </w:rPr>
        <w:tab/>
        <w:t>Ta’rí</w:t>
      </w:r>
      <w:r w:rsidRPr="001457C8">
        <w:rPr>
          <w:u w:val="single"/>
          <w:lang w:val="pl-PL"/>
        </w:rPr>
        <w:t>kh</w:t>
      </w:r>
      <w:r w:rsidRPr="001457C8">
        <w:rPr>
          <w:lang w:val="pl-PL"/>
        </w:rPr>
        <w:t>, Tárí</w:t>
      </w:r>
      <w:r w:rsidRPr="001457C8">
        <w:rPr>
          <w:u w:val="single"/>
          <w:lang w:val="pl-PL"/>
        </w:rPr>
        <w:t>kh</w:t>
      </w:r>
      <w:r w:rsidRPr="001457C8">
        <w:rPr>
          <w:lang w:val="pl-PL"/>
        </w:rPr>
        <w:t xml:space="preserve">, pl. </w:t>
      </w:r>
      <w:r w:rsidRPr="008F03E5">
        <w:t>Tawárí</w:t>
      </w:r>
      <w:r w:rsidRPr="008F03E5">
        <w:rPr>
          <w:u w:val="single"/>
        </w:rPr>
        <w:t>kh</w:t>
      </w:r>
      <w:r w:rsidRPr="008F03E5">
        <w:tab/>
        <w:t>Ta’rí</w:t>
      </w:r>
      <w:r w:rsidRPr="008F03E5">
        <w:rPr>
          <w:u w:val="single"/>
        </w:rPr>
        <w:t>kh</w:t>
      </w:r>
      <w:r w:rsidRPr="008F03E5">
        <w:t xml:space="preserve"> dating (a letter); Tárí</w:t>
      </w:r>
      <w:r w:rsidRPr="008F03E5">
        <w:rPr>
          <w:u w:val="single"/>
        </w:rPr>
        <w:t>kh</w:t>
      </w:r>
      <w:r w:rsidRPr="008F03E5">
        <w:t>, date, era, epoch; day (of the month); history, chronicle, chronology (hence by extension annals, history, historiography); a calendar.  Found in the title of many historical works.  Tárí</w:t>
      </w:r>
      <w:r w:rsidRPr="008F03E5">
        <w:rPr>
          <w:u w:val="single"/>
        </w:rPr>
        <w:t>kh</w:t>
      </w:r>
      <w:r w:rsidRPr="008F03E5">
        <w:t xml:space="preserve"> al-Ḥayáh biography; ‘Ámm Tárí</w:t>
      </w:r>
      <w:r w:rsidRPr="008F03E5">
        <w:rPr>
          <w:u w:val="single"/>
        </w:rPr>
        <w:t>kh</w:t>
      </w:r>
      <w:r w:rsidRPr="008F03E5">
        <w:t xml:space="preserve"> world history.</w:t>
      </w:r>
    </w:p>
    <w:p w14:paraId="56C9BD38" w14:textId="77777777" w:rsidR="00625A5B" w:rsidRPr="008F03E5" w:rsidRDefault="00625A5B" w:rsidP="008C7FC8">
      <w:pPr>
        <w:pStyle w:val="Translit"/>
      </w:pPr>
      <w:r w:rsidRPr="008F03E5">
        <w:t>Ta’us, Tawus, Tawawis</w:t>
      </w:r>
      <w:r w:rsidRPr="008F03E5">
        <w:tab/>
        <w:t>Ṭá’ús, Ṭáwús, pl. Ṭawáwís</w:t>
      </w:r>
      <w:r w:rsidRPr="008F03E5">
        <w:tab/>
        <w:t>peacock</w:t>
      </w:r>
    </w:p>
    <w:p w14:paraId="146D0229" w14:textId="77777777" w:rsidR="00625A5B" w:rsidRPr="008F03E5" w:rsidRDefault="00625A5B" w:rsidP="00764363">
      <w:pPr>
        <w:pStyle w:val="Translit"/>
      </w:pPr>
      <w:r w:rsidRPr="008F03E5">
        <w:t>Ta’wil, Ta’vil, Ta’wilat</w:t>
      </w:r>
      <w:r w:rsidRPr="008F03E5">
        <w:tab/>
        <w:t xml:space="preserve">Ta’wíl, Pers. </w:t>
      </w:r>
      <w:r w:rsidRPr="00077779">
        <w:rPr>
          <w:lang w:val="fr-FR"/>
        </w:rPr>
        <w:t>Ta’víl, Ar. pl. Ta’wílát</w:t>
      </w:r>
      <w:r w:rsidRPr="00077779">
        <w:rPr>
          <w:lang w:val="fr-FR"/>
        </w:rPr>
        <w:tab/>
        <w:t xml:space="preserve">interpretation, explanation.  </w:t>
      </w:r>
      <w:r w:rsidRPr="008F03E5">
        <w:t>Also allegorical interpretation—“hidden meaning”.  Qur’anic term meaning explication or elucidation, or referring to the realization, fulfillment, or outcome of a matter.  As a later technical term, ta’wíl refers to the figurative or metaphorical (re)interpretation of a text, particularly Qur’anic verses and ḥadí</w:t>
      </w:r>
      <w:r w:rsidRPr="008F03E5">
        <w:rPr>
          <w:u w:val="single"/>
        </w:rPr>
        <w:t>th</w:t>
      </w:r>
      <w:r w:rsidRPr="008F03E5">
        <w:t xml:space="preserve"> reports whose obvious sense is thought to entail anthropomorphism.</w:t>
      </w:r>
    </w:p>
    <w:p w14:paraId="34F89931" w14:textId="77777777" w:rsidR="00625A5B" w:rsidRPr="008F03E5" w:rsidRDefault="00625A5B" w:rsidP="003D3F7F">
      <w:pPr>
        <w:pStyle w:val="Translit"/>
      </w:pPr>
      <w:r w:rsidRPr="008F03E5">
        <w:t>Ta’yid (Ta’id, Ta’eed), Ta’yyid, Ta’yidat</w:t>
      </w:r>
      <w:r w:rsidRPr="008F03E5">
        <w:tab/>
        <w:t>Ta’yíd, Ta’yyid</w:t>
      </w:r>
      <w:r w:rsidRPr="003D3F7F">
        <w:t xml:space="preserve"> (</w:t>
      </w:r>
      <w:r w:rsidRPr="003D3F7F">
        <w:rPr>
          <w:rFonts w:ascii="Times New Roman" w:hAnsi="Times New Roman"/>
          <w:rtl/>
        </w:rPr>
        <w:t>تأييد</w:t>
      </w:r>
      <w:r w:rsidRPr="003D3F7F">
        <w:t xml:space="preserve">), </w:t>
      </w:r>
      <w:r w:rsidRPr="008F03E5">
        <w:t>pl. Ta’yídát</w:t>
      </w:r>
      <w:r w:rsidRPr="008F03E5">
        <w:tab/>
      </w:r>
      <w:r w:rsidRPr="007725F9">
        <w:t xml:space="preserve">corroboration, confirmation, endorsement, backing, support; assistance, help, support; a written voucher.  </w:t>
      </w:r>
      <w:r w:rsidRPr="008F03E5">
        <w:t>Ta’yíd Boys’ School (Bahá’í), Hamadán.  Dr Ḥi</w:t>
      </w:r>
      <w:r w:rsidRPr="008F03E5">
        <w:rPr>
          <w:u w:val="single"/>
        </w:rPr>
        <w:t>sh</w:t>
      </w:r>
      <w:r w:rsidRPr="008F03E5">
        <w:t xml:space="preserve">matu’lláh </w:t>
      </w:r>
      <w:r>
        <w:t xml:space="preserve">(or just </w:t>
      </w:r>
      <w:r w:rsidRPr="008F03E5">
        <w:t>Ḥi</w:t>
      </w:r>
      <w:r w:rsidRPr="008F03E5">
        <w:rPr>
          <w:u w:val="single"/>
        </w:rPr>
        <w:t>sh</w:t>
      </w:r>
      <w:r w:rsidRPr="008F03E5">
        <w:t>mat</w:t>
      </w:r>
      <w:r>
        <w:t xml:space="preserve">) </w:t>
      </w:r>
      <w:r w:rsidRPr="008F03E5">
        <w:t>Ta’yíd (</w:t>
      </w:r>
      <w:r>
        <w:t xml:space="preserve">Heshmatu’llah Ta’eed, </w:t>
      </w:r>
      <w:r w:rsidRPr="008F03E5">
        <w:t>d. 2021</w:t>
      </w:r>
      <w:r>
        <w:t xml:space="preserve">; wife </w:t>
      </w:r>
      <w:r w:rsidRPr="00BC5FC2">
        <w:rPr>
          <w:lang w:val="en-AU"/>
        </w:rPr>
        <w:t>Nuṣrat</w:t>
      </w:r>
      <w:r w:rsidRPr="008F03E5">
        <w:t>)</w:t>
      </w:r>
      <w:r>
        <w:t xml:space="preserve"> first Bahá’í pioneer to Laos (1955).</w:t>
      </w:r>
    </w:p>
    <w:p w14:paraId="4019AC6A" w14:textId="77777777" w:rsidR="00625A5B" w:rsidRPr="008F03E5" w:rsidRDefault="00625A5B" w:rsidP="001272AA">
      <w:pPr>
        <w:pStyle w:val="Translit"/>
      </w:pPr>
      <w:r w:rsidRPr="008F03E5">
        <w:rPr>
          <w:rFonts w:eastAsia="PMingLiU"/>
          <w:lang w:eastAsia="zh-TW"/>
        </w:rPr>
        <w:t>Ta’z</w:t>
      </w:r>
      <w:r w:rsidRPr="008F03E5">
        <w:t>i</w:t>
      </w:r>
      <w:r w:rsidRPr="008F03E5">
        <w:rPr>
          <w:rFonts w:eastAsia="PMingLiU"/>
          <w:lang w:eastAsia="zh-TW"/>
        </w:rPr>
        <w:t>ya, Ta’ziyih, Ta’azin</w:t>
      </w:r>
      <w:r w:rsidRPr="008F03E5">
        <w:tab/>
      </w:r>
      <w:r w:rsidRPr="008F03E5">
        <w:rPr>
          <w:rFonts w:eastAsia="PMingLiU"/>
          <w:lang w:eastAsia="zh-TW"/>
        </w:rPr>
        <w:t>Ta‘z</w:t>
      </w:r>
      <w:r w:rsidRPr="008F03E5">
        <w:t>í</w:t>
      </w:r>
      <w:r w:rsidRPr="008F03E5">
        <w:rPr>
          <w:rFonts w:eastAsia="PMingLiU"/>
          <w:lang w:eastAsia="zh-TW"/>
        </w:rPr>
        <w:t>ya[h], Pers. also Ta‘z</w:t>
      </w:r>
      <w:r w:rsidRPr="008F03E5">
        <w:t>i</w:t>
      </w:r>
      <w:r w:rsidRPr="008F03E5">
        <w:rPr>
          <w:rFonts w:eastAsia="PMingLiU"/>
          <w:lang w:eastAsia="zh-TW"/>
        </w:rPr>
        <w:t xml:space="preserve">yih, </w:t>
      </w:r>
      <w:r w:rsidRPr="008F03E5">
        <w:t>pl. Ta‘ázin</w:t>
      </w:r>
      <w:r w:rsidRPr="008F03E5">
        <w:tab/>
        <w:t xml:space="preserve">consolation, solace, comfort; condolence or expression of grief.  (“Ta’zieh”, “Tazía” or “Ta’ziyeh”).  It comes from root word for mourning.  In Persian cultural reference it is categorized as Condolence Theater or Passion Play inspired by a historical and religious event, the tragic death of Husayn, symbolizing epic spirit and resistance.  Takiyah (tekyeh or ta‘zieh) is a unique circular structure built to stage the plays.  See Parda </w:t>
      </w:r>
      <w:r w:rsidRPr="008F03E5">
        <w:rPr>
          <w:u w:val="single"/>
        </w:rPr>
        <w:t>Kh</w:t>
      </w:r>
      <w:r w:rsidRPr="008F03E5">
        <w:t>wání.</w:t>
      </w:r>
    </w:p>
    <w:p w14:paraId="33F84084" w14:textId="77777777" w:rsidR="00625A5B" w:rsidRDefault="00625A5B" w:rsidP="001272AA">
      <w:pPr>
        <w:pStyle w:val="Translit"/>
        <w:rPr>
          <w:rFonts w:eastAsia="Times New Roman"/>
        </w:rPr>
      </w:pPr>
      <w:r w:rsidRPr="008F03E5">
        <w:t>Tab</w:t>
      </w:r>
      <w:r w:rsidRPr="008F03E5">
        <w:tab/>
        <w:t>Tab</w:t>
      </w:r>
      <w:r w:rsidRPr="008F03E5">
        <w:tab/>
        <w:t>Pers. a fever.  tab-i-</w:t>
      </w:r>
      <w:r w:rsidRPr="008F03E5">
        <w:rPr>
          <w:rFonts w:eastAsia="Times New Roman"/>
        </w:rPr>
        <w:t>‘aṣabí (a fever affecting the nervous system, likely stress related)</w:t>
      </w:r>
    </w:p>
    <w:p w14:paraId="55CFD1E8" w14:textId="77777777" w:rsidR="00625A5B" w:rsidRPr="008F03E5" w:rsidRDefault="00625A5B" w:rsidP="001272AA">
      <w:pPr>
        <w:pStyle w:val="Translit"/>
      </w:pPr>
      <w:r>
        <w:rPr>
          <w:rFonts w:eastAsia="Times New Roman"/>
        </w:rPr>
        <w:t>Tab</w:t>
      </w:r>
      <w:r>
        <w:rPr>
          <w:rFonts w:eastAsia="Times New Roman"/>
        </w:rPr>
        <w:tab/>
        <w:t>T</w:t>
      </w:r>
      <w:r w:rsidRPr="001272AA">
        <w:rPr>
          <w:rFonts w:eastAsia="Times New Roman"/>
        </w:rPr>
        <w:t>áb</w:t>
      </w:r>
      <w:r>
        <w:rPr>
          <w:rFonts w:eastAsia="Times New Roman"/>
        </w:rPr>
        <w:tab/>
        <w:t>Pers. h</w:t>
      </w:r>
      <w:r w:rsidRPr="00AF4D34">
        <w:rPr>
          <w:rFonts w:eastAsia="Times New Roman"/>
        </w:rPr>
        <w:t>eat, warmth, burning, inflaming, illuminating; light, splendour, lustre, radiance; a ray; strength, power, ability; a waving, bending, twisting, intertwining</w:t>
      </w:r>
    </w:p>
    <w:p w14:paraId="20B495D6" w14:textId="77777777" w:rsidR="00625A5B" w:rsidRPr="008F03E5" w:rsidRDefault="00625A5B" w:rsidP="001272AA">
      <w:pPr>
        <w:pStyle w:val="Translit"/>
      </w:pPr>
      <w:r w:rsidRPr="008F03E5">
        <w:t>Tab’, Tiba’</w:t>
      </w:r>
      <w:r w:rsidRPr="008F03E5">
        <w:tab/>
        <w:t>Ṭab‘, pl. Ṭibá‘</w:t>
      </w:r>
      <w:r w:rsidRPr="008F03E5">
        <w:tab/>
        <w:t>printing (of a book), print;—pl. impress, impression, stamp, hallmark, peculiarity, characteristic, nature, character, temper, (natural) disposition</w:t>
      </w:r>
    </w:p>
    <w:p w14:paraId="4AE50371" w14:textId="77777777" w:rsidR="00625A5B" w:rsidRPr="008F03E5" w:rsidRDefault="00625A5B" w:rsidP="001272AA">
      <w:pPr>
        <w:pStyle w:val="Translit"/>
      </w:pPr>
      <w:r w:rsidRPr="008F03E5">
        <w:t>Taba, Tawb (Taub), Tawba, Matab</w:t>
      </w:r>
      <w:r w:rsidRPr="008F03E5">
        <w:tab/>
        <w:t>Tába (Tawb, Tawba, Matáb)</w:t>
      </w:r>
      <w:r w:rsidRPr="008F03E5">
        <w:tab/>
        <w:t>to repent, be penitent, do penance.  Tawba (tauba)</w:t>
      </w:r>
    </w:p>
    <w:p w14:paraId="4EC1D194" w14:textId="77777777" w:rsidR="00625A5B" w:rsidRPr="008F03E5" w:rsidRDefault="00625A5B" w:rsidP="00235DAE">
      <w:pPr>
        <w:pStyle w:val="Translit"/>
      </w:pPr>
      <w:r w:rsidRPr="008F03E5">
        <w:t>Taba’, Atba’</w:t>
      </w:r>
      <w:r w:rsidRPr="008F03E5">
        <w:tab/>
        <w:t>Taba‘, pl. Atbá‘</w:t>
      </w:r>
      <w:r w:rsidRPr="008F03E5">
        <w:tab/>
        <w:t>succession; dependency.  Followers; subordinate, subservient (to something);—pl. follower, companion, adherent, partisan; subject, national, citizen.</w:t>
      </w:r>
    </w:p>
    <w:p w14:paraId="7C91F833" w14:textId="77777777" w:rsidR="00625A5B" w:rsidRPr="008F03E5" w:rsidRDefault="00625A5B" w:rsidP="001C7D09">
      <w:pPr>
        <w:pStyle w:val="Translit"/>
      </w:pPr>
      <w:r w:rsidRPr="008F03E5">
        <w:t>Taba’ud</w:t>
      </w:r>
      <w:r w:rsidRPr="008F03E5">
        <w:tab/>
        <w:t>Tabá‘ud</w:t>
      </w:r>
      <w:r w:rsidRPr="008F03E5">
        <w:tab/>
        <w:t>interdistance; mutual estrangement (separation)</w:t>
      </w:r>
    </w:p>
    <w:p w14:paraId="06EBA9C7" w14:textId="77777777" w:rsidR="00625A5B" w:rsidRPr="008F03E5" w:rsidRDefault="00625A5B" w:rsidP="004035F9">
      <w:pPr>
        <w:pStyle w:val="Translit"/>
      </w:pPr>
      <w:r w:rsidRPr="008F03E5">
        <w:t>Taban</w:t>
      </w:r>
      <w:r w:rsidRPr="008F03E5">
        <w:tab/>
        <w:t>Tábán</w:t>
      </w:r>
      <w:r w:rsidRPr="008F03E5">
        <w:tab/>
        <w:t>Pers. light, luminous, resplendent, radiant, dazzling, brilliant, shining, glittering; a gleam, flash; pith of a tree</w:t>
      </w:r>
    </w:p>
    <w:p w14:paraId="19DCE454" w14:textId="77777777" w:rsidR="00625A5B" w:rsidRPr="008F03E5" w:rsidRDefault="00625A5B" w:rsidP="000F4A96">
      <w:pPr>
        <w:pStyle w:val="Translit"/>
      </w:pPr>
      <w:r w:rsidRPr="008F03E5">
        <w:t>Tabanda (Tabandih, Tabandeh)</w:t>
      </w:r>
      <w:r w:rsidRPr="008F03E5">
        <w:tab/>
        <w:t>Tábanda (</w:t>
      </w:r>
      <w:r w:rsidRPr="008F03E5">
        <w:rPr>
          <w:rFonts w:eastAsia="Times New Roman"/>
          <w:rtl/>
        </w:rPr>
        <w:t>تابنده</w:t>
      </w:r>
      <w:r w:rsidRPr="008F03E5">
        <w:t>)</w:t>
      </w:r>
      <w:r w:rsidRPr="008F03E5">
        <w:tab/>
        <w:t>Pers. light-giver, radiant, shining, brilliant, luminous.  Name given to Mrs Hinkle Smith, Philadelphia by ‘Abdu’l-Bahá.</w:t>
      </w:r>
    </w:p>
    <w:p w14:paraId="4A30245C" w14:textId="77777777" w:rsidR="00625A5B" w:rsidRPr="008F03E5" w:rsidRDefault="00625A5B" w:rsidP="00977A7D">
      <w:pPr>
        <w:pStyle w:val="Translit"/>
      </w:pPr>
      <w:r w:rsidRPr="008F03E5">
        <w:t>Tabaqa, Tabaqat</w:t>
      </w:r>
      <w:r w:rsidRPr="008F03E5">
        <w:tab/>
        <w:t>Ṭabaqa, pl. Ṭabaqát</w:t>
      </w:r>
      <w:r w:rsidRPr="008F03E5">
        <w:tab/>
        <w:t>layer; stratum (of earth, air, society, etc.); floor, story (of a building); class, category; generation</w:t>
      </w:r>
    </w:p>
    <w:p w14:paraId="33EFBFF4" w14:textId="77777777" w:rsidR="00625A5B" w:rsidRDefault="00625A5B" w:rsidP="001C33E6">
      <w:pPr>
        <w:pStyle w:val="Translit"/>
      </w:pPr>
      <w:r>
        <w:t>Tabar</w:t>
      </w:r>
      <w:r>
        <w:tab/>
      </w:r>
      <w:r w:rsidRPr="001C33E6">
        <w:t>Ṭabar</w:t>
      </w:r>
      <w:r>
        <w:tab/>
      </w:r>
      <w:r w:rsidRPr="001C33E6">
        <w:t>hatchet, ax, battle-ax</w:t>
      </w:r>
    </w:p>
    <w:p w14:paraId="0FA3C803" w14:textId="77777777" w:rsidR="00625A5B" w:rsidRPr="008F03E5" w:rsidRDefault="00625A5B" w:rsidP="001A5621">
      <w:pPr>
        <w:pStyle w:val="Translit"/>
      </w:pPr>
      <w:r w:rsidRPr="008F03E5">
        <w:t>Tabaraka</w:t>
      </w:r>
      <w:r w:rsidRPr="008F03E5">
        <w:tab/>
        <w:t>Tabáraka</w:t>
      </w:r>
      <w:r w:rsidRPr="008F03E5">
        <w:tab/>
        <w:t>God bless …!, to be blessed</w:t>
      </w:r>
    </w:p>
    <w:p w14:paraId="193CE2CD" w14:textId="77777777" w:rsidR="00625A5B" w:rsidRPr="008F03E5" w:rsidRDefault="00625A5B" w:rsidP="001C33E6">
      <w:pPr>
        <w:pStyle w:val="Translit"/>
      </w:pPr>
      <w:r w:rsidRPr="008F03E5">
        <w:t>Tabari</w:t>
      </w:r>
      <w:r>
        <w:t>, Tabariyun</w:t>
      </w:r>
      <w:r w:rsidRPr="008F03E5">
        <w:tab/>
        <w:t>Ṭabarí</w:t>
      </w:r>
      <w:r>
        <w:t xml:space="preserve">, pl. </w:t>
      </w:r>
      <w:r w:rsidRPr="008F03E5">
        <w:t>Ṭabarí</w:t>
      </w:r>
      <w:r>
        <w:t>y</w:t>
      </w:r>
      <w:r w:rsidRPr="001C33E6">
        <w:t>ú</w:t>
      </w:r>
      <w:r>
        <w:t>n</w:t>
      </w:r>
      <w:r w:rsidRPr="008F03E5">
        <w:tab/>
      </w:r>
      <w:r>
        <w:rPr>
          <w:rFonts w:eastAsia="Times New Roman"/>
        </w:rPr>
        <w:t>o</w:t>
      </w:r>
      <w:r w:rsidRPr="008F03E5">
        <w:rPr>
          <w:rFonts w:eastAsia="Times New Roman"/>
        </w:rPr>
        <w:t xml:space="preserve">f or referring to Tabaristán.  </w:t>
      </w:r>
      <w:r w:rsidRPr="008F03E5">
        <w:t>Muḥammad ibn Jarír aṭ-Ṭabarí (</w:t>
      </w:r>
      <w:r w:rsidRPr="008F03E5">
        <w:rPr>
          <w:sz w:val="16"/>
          <w:szCs w:val="16"/>
        </w:rPr>
        <w:t>CE</w:t>
      </w:r>
      <w:r w:rsidRPr="008F03E5">
        <w:t xml:space="preserve"> 839–923) Persian scholar, historian and commentator on the Qur’án.</w:t>
      </w:r>
    </w:p>
    <w:p w14:paraId="4FD57F6E" w14:textId="77777777" w:rsidR="00625A5B" w:rsidRPr="008F03E5" w:rsidRDefault="00625A5B" w:rsidP="00F9029E">
      <w:pPr>
        <w:pStyle w:val="Translit"/>
        <w:rPr>
          <w:rFonts w:eastAsia="PMingLiU"/>
          <w:lang w:eastAsia="zh-TW"/>
        </w:rPr>
      </w:pPr>
      <w:r w:rsidRPr="008F03E5">
        <w:rPr>
          <w:rFonts w:eastAsia="PMingLiU"/>
          <w:lang w:eastAsia="zh-TW"/>
        </w:rPr>
        <w:t>Tabaristan</w:t>
      </w:r>
      <w:r w:rsidRPr="008F03E5">
        <w:tab/>
        <w:t>Ṭ</w:t>
      </w:r>
      <w:r w:rsidRPr="008F03E5">
        <w:rPr>
          <w:rFonts w:eastAsia="PMingLiU"/>
          <w:lang w:eastAsia="zh-TW"/>
        </w:rPr>
        <w:t>abaristán</w:t>
      </w:r>
      <w:r w:rsidRPr="008F03E5">
        <w:tab/>
      </w:r>
      <w:r w:rsidRPr="00F9029E">
        <w:t xml:space="preserve">mountainous region located on the Caspian coast of northern Iran. </w:t>
      </w:r>
      <w:r>
        <w:t xml:space="preserve"> Since the 11th century, the province of </w:t>
      </w:r>
      <w:r w:rsidRPr="008F03E5">
        <w:t>Mázindarán</w:t>
      </w:r>
      <w:r>
        <w:t>.</w:t>
      </w:r>
    </w:p>
    <w:p w14:paraId="4C867833" w14:textId="77777777" w:rsidR="00625A5B" w:rsidRPr="008F03E5" w:rsidRDefault="00625A5B" w:rsidP="00CA3465">
      <w:pPr>
        <w:pStyle w:val="Translit"/>
      </w:pPr>
      <w:r w:rsidRPr="008F03E5">
        <w:t>Tabarra</w:t>
      </w:r>
      <w:r w:rsidRPr="008F03E5">
        <w:tab/>
        <w:t>Tabarrá</w:t>
      </w:r>
      <w:r w:rsidRPr="008F03E5">
        <w:tab/>
        <w:t>a doctrine that obliges disassociation with those who oppose God and those who caused harm to and were the enemies of the Islamic prophet Muḥammad or his family</w:t>
      </w:r>
    </w:p>
    <w:p w14:paraId="5DBE232D" w14:textId="77777777" w:rsidR="00625A5B" w:rsidRDefault="00625A5B" w:rsidP="00C9439B">
      <w:pPr>
        <w:pStyle w:val="Translit"/>
      </w:pPr>
      <w:r w:rsidRPr="00C70818">
        <w:t>Tabarsi</w:t>
      </w:r>
      <w:bdo w:val="ltr">
        <w:bdo w:val="ltr">
          <w:bdo w:val="ltr">
            <w:r w:rsidRPr="00C70818">
              <w:t xml:space="preserve"> (Shaykh Tabarsi)</w:t>
            </w:r>
            <w:r w:rsidRPr="00C70818">
              <w:tab/>
              <w:t>Ṭabarsí</w:t>
            </w:r>
            <w:r w:rsidRPr="00C70818">
              <w:tab/>
              <w:t>from Ṭabaristán, a former name of Mázindarán.  The Shrine of Shaykh Ṭabarsí (36.436309, 52.805366, near the village of Afrá), a local saint (Shaykh Aḥmad ibn Abí Ṭálib-i-Ṭabarsí) is 6 km SW of Qá’im Shahr and 16 km SE of Bábul, Mázindarán province.  Scene of the 1849 siege of the Bábís.  Mullá Ḥusayn has likened the siege to</w:t>
            </w:r>
            <w:r>
              <w:t xml:space="preserve"> the</w:t>
            </w:r>
            <w:r w:rsidRPr="00C70818">
              <w:t xml:space="preserve"> </w:t>
            </w:r>
            <w:r w:rsidRPr="008F03E5">
              <w:t>killing of Ḥusayn ibn ‘Alí (</w:t>
            </w:r>
            <w:r w:rsidRPr="008F03E5">
              <w:rPr>
                <w:sz w:val="16"/>
                <w:szCs w:val="16"/>
              </w:rPr>
              <w:t>CE</w:t>
            </w:r>
            <w:r w:rsidRPr="008F03E5">
              <w:t xml:space="preserve"> 680) at Karbalá’ </w:t>
            </w:r>
            <w:r>
              <w:t>(s</w:t>
            </w:r>
            <w:r w:rsidRPr="008F03E5">
              <w:t xml:space="preserve">ee DB </w:t>
            </w:r>
            <w:r>
              <w:t xml:space="preserve">pp. </w:t>
            </w:r>
            <w:r w:rsidRPr="008F03E5">
              <w:t>326</w:t>
            </w:r>
            <w:r>
              <w:t>, 343).</w:t>
            </w:r>
            <w:r>
              <w:t>‬</w:t>
            </w:r>
            <w:r>
              <w:t>‬</w:t>
            </w:r>
            <w:r>
              <w:t>‬</w:t>
            </w:r>
            <w:r>
              <w:t>‬</w:t>
            </w:r>
            <w:r>
              <w:t>‬</w:t>
            </w:r>
            <w:r>
              <w:t>‬</w:t>
            </w:r>
            <w:r>
              <w:t>‬</w:t>
            </w:r>
            <w:r>
              <w:t>‬</w:t>
            </w:r>
            <w:r>
              <w:t>‬</w:t>
            </w:r>
            <w:r>
              <w:t>‬</w:t>
            </w:r>
            <w:r>
              <w:t>‬</w:t>
            </w:r>
            <w:r>
              <w:t>‬</w:t>
            </w:r>
            <w:r w:rsidR="00397500">
              <w:t>‬</w:t>
            </w:r>
            <w:r w:rsidR="00397500">
              <w:t>‬</w:t>
            </w:r>
            <w:r w:rsidR="00397500">
              <w:t>‬</w:t>
            </w:r>
            <w:r w:rsidR="008063A9">
              <w:t>‬</w:t>
            </w:r>
            <w:r w:rsidR="008063A9">
              <w:t>‬</w:t>
            </w:r>
            <w:r w:rsidR="008063A9">
              <w:t>‬</w:t>
            </w:r>
          </w:bdo>
        </w:bdo>
      </w:bdo>
    </w:p>
    <w:p w14:paraId="62586FB4" w14:textId="77777777" w:rsidR="00625A5B" w:rsidRPr="008F03E5" w:rsidRDefault="00625A5B" w:rsidP="00C70818">
      <w:pPr>
        <w:pStyle w:val="Translit"/>
      </w:pPr>
      <w:r w:rsidRPr="008F03E5">
        <w:t>Tabas</w:t>
      </w:r>
      <w:r w:rsidRPr="008F03E5">
        <w:tab/>
        <w:t>Ṭabas</w:t>
      </w:r>
      <w:r w:rsidRPr="008F03E5">
        <w:tab/>
        <w:t>(formerly Golshan or Gul</w:t>
      </w:r>
      <w:r w:rsidRPr="008F03E5">
        <w:rPr>
          <w:u w:val="single"/>
        </w:rPr>
        <w:t>sh</w:t>
      </w:r>
      <w:r w:rsidRPr="008F03E5">
        <w:t xml:space="preserve">án) city (33.605594, 56.931505) in South </w:t>
      </w:r>
      <w:r w:rsidRPr="008F03E5">
        <w:rPr>
          <w:u w:val="single"/>
        </w:rPr>
        <w:t>Kh</w:t>
      </w:r>
      <w:r w:rsidRPr="008F03E5">
        <w:t xml:space="preserve">urásán Province, Iran. </w:t>
      </w:r>
      <w:r>
        <w:t xml:space="preserve"> </w:t>
      </w:r>
      <w:r w:rsidRPr="008F03E5">
        <w:t xml:space="preserve">260 km </w:t>
      </w:r>
      <w:r w:rsidRPr="008F03E5">
        <w:rPr>
          <w:sz w:val="16"/>
          <w:szCs w:val="16"/>
        </w:rPr>
        <w:t>NE</w:t>
      </w:r>
      <w:r w:rsidRPr="008F03E5">
        <w:t xml:space="preserve"> of Yazd.  Given the name Ja</w:t>
      </w:r>
      <w:r w:rsidRPr="008F03E5">
        <w:rPr>
          <w:u w:val="single"/>
        </w:rPr>
        <w:t>dh</w:t>
      </w:r>
      <w:r w:rsidRPr="008F03E5">
        <w:t>ba by Bahá’u’lláh.</w:t>
      </w:r>
    </w:p>
    <w:p w14:paraId="75C23DFB" w14:textId="77777777" w:rsidR="00625A5B" w:rsidRPr="00556531" w:rsidRDefault="00625A5B" w:rsidP="00053057">
      <w:pPr>
        <w:pStyle w:val="Translit"/>
        <w:rPr>
          <w:lang w:val="es-ES_tradnl"/>
        </w:rPr>
      </w:pPr>
      <w:r>
        <w:rPr>
          <w:lang w:val="es-ES_tradnl"/>
        </w:rPr>
        <w:t>Tabasha (</w:t>
      </w:r>
      <w:r w:rsidRPr="005D47D2">
        <w:rPr>
          <w:lang w:val="es-ES_tradnl"/>
        </w:rPr>
        <w:t>Tabas-ha</w:t>
      </w:r>
      <w:r>
        <w:rPr>
          <w:lang w:val="es-ES_tradnl"/>
        </w:rPr>
        <w:t>)</w:t>
      </w:r>
      <w:r w:rsidRPr="005D47D2">
        <w:rPr>
          <w:lang w:val="es-ES_tradnl"/>
        </w:rPr>
        <w:tab/>
        <w:t>Tabá</w:t>
      </w:r>
      <w:r w:rsidRPr="00556531">
        <w:rPr>
          <w:u w:val="single"/>
          <w:lang w:val="es-ES_tradnl"/>
        </w:rPr>
        <w:t>sh</w:t>
      </w:r>
      <w:r w:rsidRPr="005D47D2">
        <w:rPr>
          <w:lang w:val="es-ES_tradnl"/>
        </w:rPr>
        <w:t>á</w:t>
      </w:r>
      <w:r>
        <w:rPr>
          <w:lang w:val="es-ES_tradnl"/>
        </w:rPr>
        <w:tab/>
      </w:r>
      <w:r w:rsidRPr="005D47D2">
        <w:rPr>
          <w:lang w:val="es-ES_tradnl"/>
        </w:rPr>
        <w:t>non-existent “word”</w:t>
      </w:r>
      <w:r>
        <w:rPr>
          <w:lang w:val="es-ES_tradnl"/>
        </w:rPr>
        <w:t xml:space="preserve"> (“</w:t>
      </w:r>
      <w:r w:rsidRPr="005D47D2">
        <w:rPr>
          <w:lang w:val="es-ES_tradnl"/>
        </w:rPr>
        <w:t>Tabá</w:t>
      </w:r>
      <w:r w:rsidRPr="00556531">
        <w:rPr>
          <w:lang w:val="es-ES_tradnl"/>
        </w:rPr>
        <w:t>s h</w:t>
      </w:r>
      <w:r w:rsidRPr="005D47D2">
        <w:rPr>
          <w:lang w:val="es-ES_tradnl"/>
        </w:rPr>
        <w:t>á</w:t>
      </w:r>
      <w:r>
        <w:rPr>
          <w:lang w:val="es-ES_tradnl"/>
        </w:rPr>
        <w:t>”)</w:t>
      </w:r>
      <w:r w:rsidRPr="005D47D2">
        <w:rPr>
          <w:lang w:val="es-ES_tradnl"/>
        </w:rPr>
        <w:t xml:space="preserve">.  </w:t>
      </w:r>
      <w:r w:rsidRPr="00556531">
        <w:rPr>
          <w:lang w:val="es-ES_tradnl"/>
        </w:rPr>
        <w:t>See tamá</w:t>
      </w:r>
      <w:r w:rsidRPr="00556531">
        <w:rPr>
          <w:u w:val="single"/>
          <w:lang w:val="es-ES_tradnl"/>
        </w:rPr>
        <w:t>sh</w:t>
      </w:r>
      <w:r w:rsidRPr="00556531">
        <w:rPr>
          <w:lang w:val="es-ES_tradnl"/>
        </w:rPr>
        <w:t>á.</w:t>
      </w:r>
    </w:p>
    <w:p w14:paraId="37D0AE1C" w14:textId="77777777" w:rsidR="00625A5B" w:rsidRPr="008F03E5" w:rsidRDefault="00625A5B" w:rsidP="00697A95">
      <w:pPr>
        <w:pStyle w:val="Translit"/>
      </w:pPr>
      <w:r w:rsidRPr="00556531">
        <w:rPr>
          <w:lang w:val="es-ES_tradnl"/>
        </w:rPr>
        <w:t>Tabataba</w:t>
      </w:r>
      <w:r w:rsidRPr="00556531">
        <w:rPr>
          <w:lang w:val="es-ES_tradnl"/>
        </w:rPr>
        <w:tab/>
        <w:t>Ṭabáṭabá</w:t>
      </w:r>
      <w:r w:rsidRPr="00556531">
        <w:rPr>
          <w:lang w:val="es-ES_tradnl"/>
        </w:rPr>
        <w:tab/>
        <w:t xml:space="preserve">surname of the great-great-grandson of Imám ‘Alí, Ismá‘íl bin Ibráhím, on account of his pronouncing the letter </w:t>
      </w:r>
      <w:r w:rsidRPr="008F03E5">
        <w:rPr>
          <w:rtl/>
        </w:rPr>
        <w:t>ق</w:t>
      </w:r>
      <w:r w:rsidRPr="00556531">
        <w:rPr>
          <w:lang w:val="es-ES_tradnl"/>
        </w:rPr>
        <w:t xml:space="preserve"> (q) like </w:t>
      </w:r>
      <w:r w:rsidRPr="008F03E5">
        <w:rPr>
          <w:rtl/>
        </w:rPr>
        <w:t>ط</w:t>
      </w:r>
      <w:r w:rsidRPr="00556531">
        <w:rPr>
          <w:lang w:val="es-ES_tradnl"/>
        </w:rPr>
        <w:t xml:space="preserve"> (ṭ).  </w:t>
      </w:r>
      <w:r w:rsidRPr="008F03E5">
        <w:t>Possible meaning:  a man of high rank or high esteem.</w:t>
      </w:r>
    </w:p>
    <w:p w14:paraId="5BB43F9D" w14:textId="77777777" w:rsidR="00625A5B" w:rsidRPr="00077779" w:rsidRDefault="00625A5B" w:rsidP="006463DB">
      <w:pPr>
        <w:pStyle w:val="Translit"/>
        <w:rPr>
          <w:lang w:val="es-ES_tradnl"/>
        </w:rPr>
      </w:pPr>
      <w:r w:rsidRPr="00077779">
        <w:rPr>
          <w:rFonts w:eastAsia="PMingLiU"/>
          <w:lang w:val="es-ES_tradnl" w:eastAsia="zh-TW"/>
        </w:rPr>
        <w:t>Tabataba’i</w:t>
      </w:r>
      <w:r w:rsidRPr="00077779">
        <w:rPr>
          <w:lang w:val="es-ES_tradnl"/>
        </w:rPr>
        <w:tab/>
        <w:t>Ṭ</w:t>
      </w:r>
      <w:r w:rsidRPr="00077779">
        <w:rPr>
          <w:rFonts w:eastAsia="PMingLiU"/>
          <w:lang w:val="es-ES_tradnl" w:eastAsia="zh-TW"/>
        </w:rPr>
        <w:t>abá</w:t>
      </w:r>
      <w:r w:rsidRPr="00077779">
        <w:rPr>
          <w:lang w:val="es-ES_tradnl"/>
        </w:rPr>
        <w:t>ṭ</w:t>
      </w:r>
      <w:r w:rsidRPr="00077779">
        <w:rPr>
          <w:rFonts w:eastAsia="PMingLiU"/>
          <w:lang w:val="es-ES_tradnl" w:eastAsia="zh-TW"/>
        </w:rPr>
        <w:t>abá’í</w:t>
      </w:r>
      <w:r w:rsidRPr="00077779">
        <w:rPr>
          <w:lang w:val="es-ES_tradnl"/>
        </w:rPr>
        <w:tab/>
        <w:t>a descendant of Ṭabáṭabá</w:t>
      </w:r>
    </w:p>
    <w:p w14:paraId="2CF942E7" w14:textId="77777777" w:rsidR="00625A5B" w:rsidRPr="008F03E5" w:rsidRDefault="00625A5B" w:rsidP="00032AC8">
      <w:pPr>
        <w:pStyle w:val="Translit"/>
      </w:pPr>
      <w:r w:rsidRPr="008F03E5">
        <w:t>Tabawwab</w:t>
      </w:r>
      <w:r w:rsidRPr="008F03E5">
        <w:tab/>
        <w:t>Tabawwáb</w:t>
      </w:r>
      <w:r w:rsidRPr="008F03E5">
        <w:tab/>
        <w:t>gateship, more commonly bábíyat.  See bawwáb</w:t>
      </w:r>
    </w:p>
    <w:p w14:paraId="71885BBA" w14:textId="77777777" w:rsidR="00625A5B" w:rsidRPr="008F03E5" w:rsidRDefault="00625A5B" w:rsidP="004C2A24">
      <w:pPr>
        <w:pStyle w:val="Translit"/>
      </w:pPr>
      <w:r w:rsidRPr="008F03E5">
        <w:t>Tabi’, Taba’a, Tubba’, Atba’, Tawabi’</w:t>
      </w:r>
      <w:r w:rsidRPr="008F03E5">
        <w:tab/>
        <w:t>Tábi‘, pl. Taba‘a[h or t], Tubbá‘</w:t>
      </w:r>
      <w:r w:rsidRPr="008F03E5">
        <w:tab/>
        <w:t>following, succeeding, subsequent; subsidiary, dependent; minor, secondary; subordinate (to someone), under someone; belonging (to); subject to someone’s authority or competence; adherent (to) following (someone or something);—pl. atbá‘ adherent, follower, partisan; subject, citizen, national; subordinate, servant; factotum;—pl. tawábi‘ appositive (grammar); appendix, addendum, supplement;—pl. tábi‘ún (tabi’un) are the generation of Muslims who followed the Companions of Muḥammad, and thus received their teachings second-hand.  As such, they played an important part in the development of Islamic thought and philosophy, and in the political development of the early caliphate.  Tubbá‘ is a title or family name of the Ḥimyar kings in Yemen of the Hamadán tribe.</w:t>
      </w:r>
    </w:p>
    <w:p w14:paraId="1733D72C" w14:textId="77777777" w:rsidR="00625A5B" w:rsidRPr="00077779" w:rsidRDefault="00625A5B" w:rsidP="00E466FC">
      <w:pPr>
        <w:pStyle w:val="Translit"/>
      </w:pPr>
      <w:r w:rsidRPr="00077779">
        <w:t>Tabi’a al-Kulliya</w:t>
      </w:r>
      <w:r w:rsidRPr="00077779">
        <w:tab/>
        <w:t>aṭ-Ṭabí‘a al-Kullíya</w:t>
      </w:r>
      <w:r w:rsidRPr="00077779">
        <w:tab/>
        <w:t>the universal nature</w:t>
      </w:r>
    </w:p>
    <w:p w14:paraId="3AD27C57" w14:textId="77777777" w:rsidR="00625A5B" w:rsidRPr="00077779" w:rsidRDefault="00625A5B" w:rsidP="005F3840">
      <w:pPr>
        <w:pStyle w:val="Translit"/>
      </w:pPr>
      <w:r w:rsidRPr="00077779">
        <w:t>Tabi’a, Taba’i’</w:t>
      </w:r>
      <w:r w:rsidRPr="00077779">
        <w:tab/>
        <w:t>Ṭabí‘a[t], pl. Ṭabá’i‘</w:t>
      </w:r>
      <w:r w:rsidRPr="00077779">
        <w:tab/>
        <w:t>nature; natural disposition, constitution; peculiarity, individuality, character; regular, normal manner; physics; natural science</w:t>
      </w:r>
    </w:p>
    <w:p w14:paraId="37F8E8C7" w14:textId="77777777" w:rsidR="00625A5B" w:rsidRPr="008F03E5" w:rsidRDefault="00625A5B" w:rsidP="00173632">
      <w:pPr>
        <w:pStyle w:val="Translit"/>
      </w:pPr>
      <w:r w:rsidRPr="00077779">
        <w:t>Tabi’a, Tawabi’</w:t>
      </w:r>
      <w:r w:rsidRPr="00077779">
        <w:tab/>
        <w:t xml:space="preserve">Tábi‘a[h], pl. </w:t>
      </w:r>
      <w:r w:rsidRPr="008F03E5">
        <w:t>Tawábi‘</w:t>
      </w:r>
      <w:r w:rsidRPr="008F03E5">
        <w:tab/>
        <w:t>female attendant, woman servant; appurtenance, dependency; consequence, effect, result; responsibility;—pl. dependencies, dependent territories</w:t>
      </w:r>
    </w:p>
    <w:p w14:paraId="6306E598" w14:textId="77777777" w:rsidR="00625A5B" w:rsidRPr="008F03E5" w:rsidRDefault="00625A5B" w:rsidP="00637592">
      <w:pPr>
        <w:pStyle w:val="Translit"/>
      </w:pPr>
      <w:r w:rsidRPr="00077779">
        <w:t>Tabi’i, Tabi’un</w:t>
      </w:r>
      <w:r w:rsidRPr="00077779">
        <w:tab/>
        <w:t xml:space="preserve">Tabi‘í, pl. </w:t>
      </w:r>
      <w:r w:rsidRPr="008F03E5">
        <w:t>Tábi‘ún</w:t>
      </w:r>
      <w:r w:rsidRPr="008F03E5">
        <w:tab/>
        <w:t>follower of Muḥammad;—pl. the “followers” or Successors (i.e., the generation immediately following that of the Prophet and his Companions (aṣ-Ṣaḥába)</w:t>
      </w:r>
    </w:p>
    <w:p w14:paraId="1AA2E71D" w14:textId="77777777" w:rsidR="00625A5B" w:rsidRPr="008F03E5" w:rsidRDefault="00625A5B" w:rsidP="009438BE">
      <w:pPr>
        <w:pStyle w:val="Translit"/>
      </w:pPr>
      <w:r w:rsidRPr="008F03E5">
        <w:t>Tabib, Tabiba, Atibba</w:t>
      </w:r>
      <w:r w:rsidRPr="008F03E5">
        <w:tab/>
        <w:t>Ṭabíb, fem. Ṭabíba[h or t], pl. Aṭibba</w:t>
      </w:r>
      <w:r w:rsidRPr="008F03E5">
        <w:tab/>
        <w:t>physician, doctor</w:t>
      </w:r>
    </w:p>
    <w:p w14:paraId="768916C7" w14:textId="77777777" w:rsidR="00625A5B" w:rsidRPr="008F03E5" w:rsidRDefault="00625A5B" w:rsidP="00B64087">
      <w:pPr>
        <w:pStyle w:val="Translit"/>
      </w:pPr>
      <w:r w:rsidRPr="008F03E5">
        <w:t>Tabistan</w:t>
      </w:r>
      <w:r w:rsidRPr="008F03E5">
        <w:tab/>
        <w:t>Tábistán</w:t>
      </w:r>
      <w:r w:rsidRPr="008F03E5">
        <w:tab/>
        <w:t>Pers. summer, hot weather</w:t>
      </w:r>
    </w:p>
    <w:p w14:paraId="043BC8EE" w14:textId="77777777" w:rsidR="00625A5B" w:rsidRPr="008F03E5" w:rsidRDefault="00625A5B" w:rsidP="00A461F1">
      <w:pPr>
        <w:pStyle w:val="Translit"/>
      </w:pPr>
      <w:r w:rsidRPr="008F03E5">
        <w:t>Tabligh, Tablighat</w:t>
      </w:r>
      <w:r w:rsidRPr="008F03E5">
        <w:tab/>
        <w:t>Tablí</w:t>
      </w:r>
      <w:r w:rsidRPr="008F03E5">
        <w:rPr>
          <w:u w:val="single"/>
        </w:rPr>
        <w:t>gh</w:t>
      </w:r>
      <w:r w:rsidRPr="008F03E5">
        <w:t>, pl. Tablí</w:t>
      </w:r>
      <w:r w:rsidRPr="008F03E5">
        <w:rPr>
          <w:u w:val="single"/>
        </w:rPr>
        <w:t>gh</w:t>
      </w:r>
      <w:r w:rsidRPr="008F03E5">
        <w:t>át</w:t>
      </w:r>
      <w:r w:rsidRPr="008F03E5">
        <w:tab/>
        <w:t>conveyance, transmission, delivery (to someone); information (about); report, notification (of); communication, announcement, notice.  Translated as “teaching” by Shoghi Effendi.  Word used instead of tab</w:t>
      </w:r>
      <w:r w:rsidRPr="008F03E5">
        <w:rPr>
          <w:u w:val="single"/>
        </w:rPr>
        <w:t>sh</w:t>
      </w:r>
      <w:r w:rsidRPr="008F03E5">
        <w:t xml:space="preserve">ír (“mission”, latin </w:t>
      </w:r>
      <w:r w:rsidRPr="008F03E5">
        <w:rPr>
          <w:i/>
          <w:iCs/>
        </w:rPr>
        <w:t>mittere</w:t>
      </w:r>
      <w:r w:rsidRPr="008F03E5">
        <w:t xml:space="preserve">) or </w:t>
      </w:r>
      <w:r w:rsidRPr="008F03E5">
        <w:rPr>
          <w:i/>
          <w:iCs/>
        </w:rPr>
        <w:t>da‘wa</w:t>
      </w:r>
      <w:r w:rsidRPr="008F03E5">
        <w:t xml:space="preserve"> (“invitatory proclamation”)</w:t>
      </w:r>
    </w:p>
    <w:p w14:paraId="049816E0" w14:textId="77777777" w:rsidR="00625A5B" w:rsidRPr="008F03E5" w:rsidRDefault="00625A5B" w:rsidP="00900A82">
      <w:pPr>
        <w:pStyle w:val="Translit"/>
        <w:rPr>
          <w:rFonts w:eastAsia="PMingLiU"/>
          <w:lang w:eastAsia="zh-TW"/>
        </w:rPr>
      </w:pPr>
      <w:r w:rsidRPr="008F03E5">
        <w:rPr>
          <w:rFonts w:eastAsia="PMingLiU"/>
          <w:lang w:eastAsia="zh-TW"/>
        </w:rPr>
        <w:t>Tablighat-i-Islami</w:t>
      </w:r>
      <w:r w:rsidRPr="008F03E5">
        <w:tab/>
      </w:r>
      <w:r w:rsidRPr="008F03E5">
        <w:rPr>
          <w:rFonts w:eastAsia="PMingLiU"/>
          <w:lang w:eastAsia="zh-TW"/>
        </w:rPr>
        <w:t>Tabl</w:t>
      </w:r>
      <w:r w:rsidRPr="008F03E5">
        <w:t>í</w:t>
      </w:r>
      <w:r w:rsidRPr="008F03E5">
        <w:rPr>
          <w:u w:val="single"/>
        </w:rPr>
        <w:t>gh</w:t>
      </w:r>
      <w:r w:rsidRPr="008F03E5">
        <w:t>á</w:t>
      </w:r>
      <w:r w:rsidRPr="008F03E5">
        <w:rPr>
          <w:rFonts w:eastAsia="PMingLiU"/>
          <w:lang w:eastAsia="zh-TW"/>
        </w:rPr>
        <w:t>t-i-Isl</w:t>
      </w:r>
      <w:r w:rsidRPr="008F03E5">
        <w:t>á</w:t>
      </w:r>
      <w:r w:rsidRPr="008F03E5">
        <w:rPr>
          <w:rFonts w:eastAsia="PMingLiU"/>
          <w:lang w:eastAsia="zh-TW"/>
        </w:rPr>
        <w:t>mí</w:t>
      </w:r>
      <w:r w:rsidRPr="008F03E5">
        <w:tab/>
        <w:t xml:space="preserve">Islamic propaganda group </w:t>
      </w:r>
      <w:r w:rsidRPr="008F03E5">
        <w:rPr>
          <w:sz w:val="16"/>
          <w:szCs w:val="16"/>
        </w:rPr>
        <w:t>MUHJ</w:t>
      </w:r>
      <w:r w:rsidRPr="008F03E5">
        <w:t xml:space="preserve"> 1963–86</w:t>
      </w:r>
    </w:p>
    <w:p w14:paraId="59B23CA1" w14:textId="77777777" w:rsidR="00625A5B" w:rsidRPr="008F03E5" w:rsidRDefault="00625A5B" w:rsidP="00146585">
      <w:pPr>
        <w:pStyle w:val="Translit"/>
      </w:pPr>
      <w:r w:rsidRPr="008F03E5">
        <w:t>Tabriz (Tawriz, Tauriz)</w:t>
      </w:r>
      <w:r w:rsidRPr="008F03E5">
        <w:tab/>
        <w:t>Tabríz, (Tawríz)</w:t>
      </w:r>
      <w:r w:rsidRPr="008F03E5">
        <w:tab/>
        <w:t>causing to come forth; calling forth, challenging; bringing to view, showing openly.  Persian capital (38.079132, 46.288919) of Á</w:t>
      </w:r>
      <w:r w:rsidRPr="008F03E5">
        <w:rPr>
          <w:u w:val="single"/>
        </w:rPr>
        <w:t>dh</w:t>
      </w:r>
      <w:r w:rsidRPr="008F03E5">
        <w:rPr>
          <w:rFonts w:eastAsia="PMingLiU"/>
          <w:lang w:eastAsia="zh-TW"/>
        </w:rPr>
        <w:t>arbayj</w:t>
      </w:r>
      <w:r w:rsidRPr="008F03E5">
        <w:t>á</w:t>
      </w:r>
      <w:r w:rsidRPr="008F03E5">
        <w:rPr>
          <w:rFonts w:eastAsia="PMingLiU"/>
          <w:lang w:eastAsia="zh-TW"/>
        </w:rPr>
        <w:t>n Province, Iran.  Earlier name:  Tawr</w:t>
      </w:r>
      <w:r w:rsidRPr="008F03E5">
        <w:t>í</w:t>
      </w:r>
      <w:r w:rsidRPr="008F03E5">
        <w:rPr>
          <w:rFonts w:eastAsia="PMingLiU"/>
          <w:lang w:eastAsia="zh-TW"/>
        </w:rPr>
        <w:t>z (</w:t>
      </w:r>
      <w:r w:rsidRPr="008F03E5">
        <w:t>Tauris).</w:t>
      </w:r>
    </w:p>
    <w:p w14:paraId="25CCE19A" w14:textId="77777777" w:rsidR="00625A5B" w:rsidRPr="008F03E5" w:rsidRDefault="00625A5B" w:rsidP="00146585">
      <w:pPr>
        <w:pStyle w:val="Translit"/>
      </w:pPr>
      <w:r w:rsidRPr="008F03E5">
        <w:t xml:space="preserve">Tabrizi, </w:t>
      </w:r>
      <w:r w:rsidRPr="008F03E5">
        <w:rPr>
          <w:rFonts w:eastAsia="Times New Roman"/>
        </w:rPr>
        <w:t>Tabariza</w:t>
      </w:r>
      <w:r w:rsidRPr="008F03E5">
        <w:tab/>
        <w:t xml:space="preserve">Tabrízí, pl. </w:t>
      </w:r>
      <w:r w:rsidRPr="008F03E5">
        <w:rPr>
          <w:rFonts w:eastAsia="Times New Roman"/>
        </w:rPr>
        <w:t>Tabáriza</w:t>
      </w:r>
      <w:r w:rsidRPr="008F03E5">
        <w:tab/>
        <w:t>Pers. of or belonging to Tabŕz</w:t>
      </w:r>
    </w:p>
    <w:p w14:paraId="3FF7A71D" w14:textId="77777777" w:rsidR="00625A5B" w:rsidRPr="008F03E5" w:rsidRDefault="00625A5B" w:rsidP="00D7089B">
      <w:pPr>
        <w:pStyle w:val="Translit"/>
      </w:pPr>
      <w:r w:rsidRPr="008F03E5">
        <w:t>Tabuk (Tabouk)</w:t>
      </w:r>
      <w:r w:rsidRPr="008F03E5">
        <w:tab/>
        <w:t>Tabúk</w:t>
      </w:r>
      <w:r w:rsidRPr="008F03E5">
        <w:tab/>
        <w:t xml:space="preserve">a large platter, tray, dish.  An ancient city (28.40587, 36.55353) in </w:t>
      </w:r>
      <w:r w:rsidRPr="008F03E5">
        <w:rPr>
          <w:sz w:val="16"/>
          <w:szCs w:val="16"/>
        </w:rPr>
        <w:t>NW</w:t>
      </w:r>
      <w:r w:rsidRPr="008F03E5">
        <w:t xml:space="preserve"> Saudi Arabia.  Famous for its association with an expedition led by Muḥammad to the city in </w:t>
      </w:r>
      <w:r w:rsidRPr="008F03E5">
        <w:rPr>
          <w:sz w:val="16"/>
          <w:szCs w:val="16"/>
        </w:rPr>
        <w:t>AH</w:t>
      </w:r>
      <w:r w:rsidRPr="008F03E5">
        <w:t xml:space="preserve"> 8 (</w:t>
      </w:r>
      <w:r w:rsidRPr="008F03E5">
        <w:rPr>
          <w:sz w:val="16"/>
          <w:szCs w:val="16"/>
        </w:rPr>
        <w:t>CE</w:t>
      </w:r>
      <w:r w:rsidRPr="008F03E5">
        <w:t xml:space="preserve"> 630), during very hot weather.</w:t>
      </w:r>
    </w:p>
    <w:p w14:paraId="1AD2D908" w14:textId="77777777" w:rsidR="00625A5B" w:rsidRPr="008F03E5" w:rsidRDefault="00625A5B" w:rsidP="00D7089B">
      <w:pPr>
        <w:pStyle w:val="Translit"/>
      </w:pPr>
      <w:r w:rsidRPr="008F03E5">
        <w:t>Tabur, Tawabir</w:t>
      </w:r>
      <w:r w:rsidRPr="008F03E5">
        <w:tab/>
        <w:t>Ṭábúr, pl. Ṭawábír</w:t>
      </w:r>
      <w:r w:rsidRPr="008F03E5">
        <w:tab/>
        <w:t>battalion; (e.g.) line, file, single file (of soldiers, of persons walking one behind the other); queue.  Yaḥyá Ṭábúr Áqásí</w:t>
      </w:r>
    </w:p>
    <w:p w14:paraId="25DCC50D" w14:textId="77777777" w:rsidR="00625A5B" w:rsidRPr="008F03E5" w:rsidRDefault="00625A5B" w:rsidP="00D703DF">
      <w:pPr>
        <w:pStyle w:val="Translit"/>
      </w:pPr>
      <w:r w:rsidRPr="008F03E5">
        <w:t>Tabut, Tawabit</w:t>
      </w:r>
      <w:r w:rsidRPr="008F03E5">
        <w:tab/>
        <w:t>Tábút, pl. Tawábít</w:t>
      </w:r>
      <w:r w:rsidRPr="008F03E5">
        <w:tab/>
        <w:t>box, case, chest, coffer; casket, coffin, sarcophagus.  tábút al-‘ahd ark of the covenant.</w:t>
      </w:r>
    </w:p>
    <w:p w14:paraId="21803F98" w14:textId="77777777" w:rsidR="00625A5B" w:rsidRPr="008F03E5" w:rsidRDefault="00625A5B" w:rsidP="00896310">
      <w:pPr>
        <w:pStyle w:val="Translit"/>
      </w:pPr>
      <w:r w:rsidRPr="008F03E5">
        <w:t>Tabyin, Tibyan, Ibana</w:t>
      </w:r>
      <w:r w:rsidRPr="008F03E5">
        <w:tab/>
        <w:t>Tabyín or Tibyán, and Ibána[h or t]</w:t>
      </w:r>
      <w:r w:rsidRPr="008F03E5">
        <w:tab/>
        <w:t>exposition, demonstration, explanation, illustration. expound</w:t>
      </w:r>
    </w:p>
    <w:p w14:paraId="501462B7" w14:textId="77777777" w:rsidR="00625A5B" w:rsidRPr="008F03E5" w:rsidRDefault="00625A5B" w:rsidP="00C46BA6">
      <w:pPr>
        <w:pStyle w:val="Translit"/>
      </w:pPr>
      <w:r w:rsidRPr="008F03E5">
        <w:t>Tadhkira, Tadhkara, Tadhakir</w:t>
      </w:r>
      <w:r w:rsidRPr="008F03E5">
        <w:tab/>
        <w:t>Ta</w:t>
      </w:r>
      <w:r w:rsidRPr="008F03E5">
        <w:rPr>
          <w:u w:val="single"/>
        </w:rPr>
        <w:t>dh</w:t>
      </w:r>
      <w:r w:rsidRPr="008F03E5">
        <w:t>kira[t], Ta</w:t>
      </w:r>
      <w:r w:rsidRPr="008F03E5">
        <w:rPr>
          <w:u w:val="single"/>
        </w:rPr>
        <w:t>dh</w:t>
      </w:r>
      <w:r w:rsidRPr="008F03E5">
        <w:t>kara[t], pl. Ta</w:t>
      </w:r>
      <w:r w:rsidRPr="008F03E5">
        <w:rPr>
          <w:u w:val="single"/>
        </w:rPr>
        <w:t>dh</w:t>
      </w:r>
      <w:r w:rsidRPr="008F03E5">
        <w:t>ákir</w:t>
      </w:r>
      <w:r w:rsidRPr="008F03E5">
        <w:tab/>
        <w:t>(mostly pronounced ta</w:t>
      </w:r>
      <w:r w:rsidRPr="008F03E5">
        <w:rPr>
          <w:u w:val="single"/>
        </w:rPr>
        <w:t>dh</w:t>
      </w:r>
      <w:r w:rsidRPr="008F03E5">
        <w:t>kára) message, note; slip, paper, permit, pus; card; ticket; admission ticket; memory, remembrance; anything that aids the memory (as a knot tied on the pocket handkerchief); biographical memoir, biography; a billet, schedule, obligation, handwriting; official note</w:t>
      </w:r>
    </w:p>
    <w:p w14:paraId="391BDEAC" w14:textId="77777777" w:rsidR="00625A5B" w:rsidRPr="008F03E5" w:rsidRDefault="00625A5B" w:rsidP="00D703DF">
      <w:pPr>
        <w:pStyle w:val="Translit"/>
      </w:pPr>
      <w:r w:rsidRPr="008F03E5">
        <w:t>Tadhkirat al-Wafa’, Tadhkiratu’l-Vafa’</w:t>
      </w:r>
      <w:r w:rsidRPr="008F03E5">
        <w:tab/>
        <w:t>Ta</w:t>
      </w:r>
      <w:r w:rsidRPr="008F03E5">
        <w:rPr>
          <w:u w:val="single"/>
        </w:rPr>
        <w:t>dh</w:t>
      </w:r>
      <w:r w:rsidRPr="008F03E5">
        <w:t>kirat al-Wafá’</w:t>
      </w:r>
      <w:r w:rsidRPr="008F03E5">
        <w:tab/>
        <w:t>Pers. Ta</w:t>
      </w:r>
      <w:r w:rsidRPr="008F03E5">
        <w:rPr>
          <w:u w:val="single"/>
        </w:rPr>
        <w:t>dh</w:t>
      </w:r>
      <w:r w:rsidRPr="008F03E5">
        <w:t xml:space="preserve">kiratu’l-Vafá’.  </w:t>
      </w:r>
      <w:r w:rsidRPr="008F03E5">
        <w:rPr>
          <w:i/>
          <w:iCs/>
        </w:rPr>
        <w:t>The Memorials of the Faithful</w:t>
      </w:r>
      <w:r w:rsidRPr="008F03E5">
        <w:t xml:space="preserve"> by ‘Abdu’l-Bahá</w:t>
      </w:r>
    </w:p>
    <w:p w14:paraId="7D3A3E4D" w14:textId="77777777" w:rsidR="00625A5B" w:rsidRPr="008F03E5" w:rsidRDefault="00625A5B" w:rsidP="00C46BA6">
      <w:pPr>
        <w:pStyle w:val="Translit"/>
      </w:pPr>
      <w:r w:rsidRPr="008F03E5">
        <w:t>Tadhkiratu’l-Awliyá’</w:t>
      </w:r>
      <w:r w:rsidRPr="008F03E5">
        <w:tab/>
        <w:t>Ta</w:t>
      </w:r>
      <w:r w:rsidRPr="008F03E5">
        <w:rPr>
          <w:u w:val="single"/>
        </w:rPr>
        <w:t>dh</w:t>
      </w:r>
      <w:r w:rsidRPr="008F03E5">
        <w:t>kirat’ul-Awliyá’</w:t>
      </w:r>
      <w:r w:rsidRPr="008F03E5">
        <w:tab/>
        <w:t>Pers. “Biographies of the saints” by Farídi’d-Dín-i-‘Aṭṭár</w:t>
      </w:r>
    </w:p>
    <w:p w14:paraId="3E751DAA" w14:textId="77777777" w:rsidR="00625A5B" w:rsidRPr="008F03E5" w:rsidRDefault="00625A5B" w:rsidP="00626631">
      <w:pPr>
        <w:pStyle w:val="Translit"/>
      </w:pPr>
      <w:r w:rsidRPr="008F03E5">
        <w:t>Tadmur (Tadmor), Palmyra</w:t>
      </w:r>
      <w:r w:rsidRPr="008F03E5">
        <w:tab/>
        <w:t>Tadmur</w:t>
      </w:r>
      <w:r w:rsidRPr="008F03E5">
        <w:tab/>
        <w:t xml:space="preserve">Ar. for the town 144 km east of Homs, Syria, that is also named Palmrya.  The site of the ancient Greek city of Palmyra (from Greek for palm) is 500 m </w:t>
      </w:r>
      <w:r w:rsidRPr="008F03E5">
        <w:rPr>
          <w:sz w:val="16"/>
          <w:szCs w:val="16"/>
        </w:rPr>
        <w:t>SW</w:t>
      </w:r>
      <w:r w:rsidRPr="008F03E5">
        <w:t xml:space="preserve"> of the modern town centre.</w:t>
      </w:r>
    </w:p>
    <w:p w14:paraId="2DFFC8D1" w14:textId="77777777" w:rsidR="00625A5B" w:rsidRPr="008F03E5" w:rsidRDefault="00625A5B" w:rsidP="00281F3B">
      <w:pPr>
        <w:pStyle w:val="Translit"/>
      </w:pPr>
      <w:r w:rsidRPr="008F03E5">
        <w:t>Tadrij, bi Tadrij (Bitadrij)</w:t>
      </w:r>
      <w:r w:rsidRPr="008F03E5">
        <w:tab/>
        <w:t>Tadríj</w:t>
      </w:r>
      <w:r w:rsidRPr="008F03E5">
        <w:tab/>
        <w:t>graduation; classification, categorization; gradation.  ma‘a a</w:t>
      </w:r>
      <w:r>
        <w:t>t</w:t>
      </w:r>
      <w:r w:rsidRPr="008F03E5">
        <w:t>-tadríj, ‘alá bi a</w:t>
      </w:r>
      <w:r>
        <w:t>t</w:t>
      </w:r>
      <w:r w:rsidRPr="008F03E5">
        <w:t>-tadríj, bi tadríj, by graduation, by degrees, by steps, by gradation (“gradually”, “by steps”).</w:t>
      </w:r>
    </w:p>
    <w:p w14:paraId="48C7CD65" w14:textId="77777777" w:rsidR="00625A5B" w:rsidRPr="008F03E5" w:rsidRDefault="00625A5B" w:rsidP="003C714D">
      <w:pPr>
        <w:pStyle w:val="Translit"/>
      </w:pPr>
      <w:r w:rsidRPr="008F03E5">
        <w:t>Tadriji</w:t>
      </w:r>
      <w:r w:rsidRPr="008F03E5">
        <w:tab/>
        <w:t>Tadríjí</w:t>
      </w:r>
      <w:r w:rsidRPr="008F03E5">
        <w:tab/>
        <w:t>gradual, progressive</w:t>
      </w:r>
    </w:p>
    <w:p w14:paraId="341F82DE" w14:textId="77777777" w:rsidR="00625A5B" w:rsidRPr="008F03E5" w:rsidRDefault="00625A5B" w:rsidP="003C714D">
      <w:pPr>
        <w:pStyle w:val="Translit"/>
      </w:pPr>
      <w:r w:rsidRPr="008F03E5">
        <w:t>Tadrijiyan</w:t>
      </w:r>
      <w:r w:rsidRPr="008F03E5">
        <w:tab/>
        <w:t>Tadríjíyan</w:t>
      </w:r>
      <w:r w:rsidRPr="008F03E5">
        <w:tab/>
        <w:t>gradually, by and by, by steps, by degrees, in stages</w:t>
      </w:r>
    </w:p>
    <w:p w14:paraId="37EC5D0F" w14:textId="77777777" w:rsidR="00625A5B" w:rsidRPr="008F03E5" w:rsidRDefault="00625A5B" w:rsidP="000A7D23">
      <w:pPr>
        <w:pStyle w:val="Translit"/>
      </w:pPr>
      <w:r w:rsidRPr="008F03E5">
        <w:t>Tadwin (Tadvin)</w:t>
      </w:r>
      <w:r w:rsidRPr="008F03E5">
        <w:tab/>
        <w:t>Tadwín</w:t>
      </w:r>
      <w:r w:rsidRPr="008F03E5">
        <w:tab/>
        <w:t>recording, writing down; entry, listing. booking; registering, registration</w:t>
      </w:r>
    </w:p>
    <w:p w14:paraId="01BADD32" w14:textId="77777777" w:rsidR="00625A5B" w:rsidRPr="008F03E5" w:rsidRDefault="00625A5B" w:rsidP="00125A3C">
      <w:pPr>
        <w:pStyle w:val="Translit"/>
      </w:pPr>
      <w:r w:rsidRPr="008F03E5">
        <w:t>Tadzhikistan</w:t>
      </w:r>
      <w:r w:rsidRPr="008F03E5">
        <w:tab/>
        <w:t>Tád</w:t>
      </w:r>
      <w:r w:rsidRPr="008F03E5">
        <w:rPr>
          <w:u w:val="single"/>
        </w:rPr>
        <w:t>zh</w:t>
      </w:r>
      <w:r w:rsidRPr="008F03E5">
        <w:t>íkistán</w:t>
      </w:r>
      <w:r w:rsidRPr="008F03E5">
        <w:tab/>
        <w:t>The Republic of Tajikistan</w:t>
      </w:r>
    </w:p>
    <w:p w14:paraId="78C48B58" w14:textId="77777777" w:rsidR="00625A5B" w:rsidRPr="008F03E5" w:rsidRDefault="00625A5B" w:rsidP="003521FE">
      <w:pPr>
        <w:pStyle w:val="Translit"/>
      </w:pPr>
      <w:r w:rsidRPr="008F03E5">
        <w:t>Tafakkur</w:t>
      </w:r>
      <w:r w:rsidRPr="008F03E5">
        <w:tab/>
        <w:t>Tafakkur</w:t>
      </w:r>
      <w:r w:rsidRPr="008F03E5">
        <w:tab/>
        <w:t>thinking, cogitation, meditation, reflection; speculation, contemplation, consideration</w:t>
      </w:r>
    </w:p>
    <w:p w14:paraId="2722BA6A" w14:textId="77777777" w:rsidR="00625A5B" w:rsidRPr="008F03E5" w:rsidRDefault="00625A5B" w:rsidP="00900A82">
      <w:pPr>
        <w:pStyle w:val="Translit"/>
      </w:pPr>
      <w:r w:rsidRPr="008F03E5">
        <w:t>Taff</w:t>
      </w:r>
      <w:r w:rsidRPr="008F03E5">
        <w:tab/>
        <w:t>Ṭaff</w:t>
      </w:r>
      <w:r w:rsidRPr="008F03E5">
        <w:tab/>
        <w:t>f</w:t>
      </w:r>
      <w:r w:rsidRPr="008F03E5">
        <w:rPr>
          <w:rFonts w:eastAsia="Times New Roman"/>
        </w:rPr>
        <w:t xml:space="preserve">illing (a measure or a vessel) to the brim; a side, shore, coast. </w:t>
      </w:r>
      <w:r w:rsidRPr="008F03E5">
        <w:t xml:space="preserve"> Symbolic of the land of the plain of Karbilá, near where Imám Ḥusayn was martyred.</w:t>
      </w:r>
    </w:p>
    <w:p w14:paraId="7A564042" w14:textId="77777777" w:rsidR="00625A5B" w:rsidRDefault="00625A5B" w:rsidP="00C81E00">
      <w:pPr>
        <w:pStyle w:val="Translit"/>
      </w:pPr>
      <w:r>
        <w:t>Tafrid</w:t>
      </w:r>
      <w:r>
        <w:tab/>
        <w:t>Tafríd</w:t>
      </w:r>
      <w:r>
        <w:tab/>
        <w:t xml:space="preserve">In Sufism it refers to “seclusion” or “withdrawal” from people and seeking solitude for spiritual contemplation.  Historically, it denoted the process of acquiring deep knowledge and understanding of Islamic jurisprudence and legal principles (juristic expertise).  Also conveys the concept of “oneness” or “unity”, i.e. recognizing the singular existence of God and emphasizing divine unity.  See fard and hence a meaning of </w:t>
      </w:r>
      <w:r w:rsidRPr="000D1FE2">
        <w:rPr>
          <w:lang w:val="en-US"/>
        </w:rPr>
        <w:t>individualization</w:t>
      </w:r>
      <w:r>
        <w:t>.</w:t>
      </w:r>
    </w:p>
    <w:p w14:paraId="59EC1651" w14:textId="77777777" w:rsidR="00625A5B" w:rsidRPr="008F03E5" w:rsidRDefault="00625A5B" w:rsidP="00C3339E">
      <w:pPr>
        <w:pStyle w:val="Translit"/>
      </w:pPr>
      <w:r w:rsidRPr="008F03E5">
        <w:t>Tafrish (Taresh)</w:t>
      </w:r>
      <w:r w:rsidRPr="008F03E5">
        <w:tab/>
        <w:t>Tafri</w:t>
      </w:r>
      <w:r w:rsidRPr="008F03E5">
        <w:rPr>
          <w:u w:val="single"/>
        </w:rPr>
        <w:t>sh</w:t>
      </w:r>
      <w:r w:rsidRPr="008F03E5">
        <w:tab/>
        <w:t xml:space="preserve">city (34.697833, 50.012923 in Markazí Province) 170 km </w:t>
      </w:r>
      <w:r w:rsidRPr="008F03E5">
        <w:rPr>
          <w:sz w:val="16"/>
          <w:szCs w:val="16"/>
        </w:rPr>
        <w:t>SW</w:t>
      </w:r>
      <w:r w:rsidRPr="008F03E5">
        <w:t xml:space="preserve"> of Ṭihrán.  </w:t>
      </w:r>
      <w:r w:rsidRPr="008F03E5">
        <w:rPr>
          <w:i/>
          <w:iCs/>
        </w:rPr>
        <w:t>Memorials of the Faithful</w:t>
      </w:r>
      <w:r w:rsidRPr="008F03E5">
        <w:t xml:space="preserve"> incorrectly uses Tafrí</w:t>
      </w:r>
      <w:r w:rsidRPr="008F03E5">
        <w:rPr>
          <w:u w:val="single"/>
        </w:rPr>
        <w:t>sh</w:t>
      </w:r>
      <w:r w:rsidRPr="008F03E5">
        <w:t>.</w:t>
      </w:r>
    </w:p>
    <w:p w14:paraId="5121024F" w14:textId="77777777" w:rsidR="00625A5B" w:rsidRPr="008F03E5" w:rsidRDefault="00625A5B" w:rsidP="00847CD4">
      <w:pPr>
        <w:pStyle w:val="Translit"/>
      </w:pPr>
      <w:r w:rsidRPr="008F03E5">
        <w:rPr>
          <w:rFonts w:eastAsia="Times New Roman"/>
        </w:rPr>
        <w:t>Tafsiq</w:t>
      </w:r>
      <w:r w:rsidRPr="008F03E5">
        <w:rPr>
          <w:rFonts w:eastAsia="Times New Roman"/>
        </w:rPr>
        <w:tab/>
        <w:t>Tafsíq</w:t>
      </w:r>
      <w:r w:rsidRPr="008F03E5">
        <w:rPr>
          <w:rFonts w:eastAsia="Times New Roman"/>
        </w:rPr>
        <w:tab/>
        <w:t>calling or making one profligate, depraving, perverting; judged as evil.  See takf</w:t>
      </w:r>
      <w:r w:rsidRPr="008F03E5">
        <w:t>í</w:t>
      </w:r>
      <w:r w:rsidRPr="008F03E5">
        <w:rPr>
          <w:rFonts w:eastAsia="Times New Roman"/>
        </w:rPr>
        <w:t>r.</w:t>
      </w:r>
    </w:p>
    <w:p w14:paraId="7A626537" w14:textId="77777777" w:rsidR="00625A5B" w:rsidRPr="008F03E5" w:rsidRDefault="00625A5B" w:rsidP="00E96DD4">
      <w:pPr>
        <w:pStyle w:val="Translit"/>
      </w:pPr>
      <w:r w:rsidRPr="008F03E5">
        <w:t>Tafsir al-Hurufat al-Muqatta’ih</w:t>
      </w:r>
      <w:r w:rsidRPr="008F03E5">
        <w:tab/>
        <w:t>Tafsír al-Ḥurúfát al-Muqaṭṭa‘ih</w:t>
      </w:r>
      <w:r w:rsidRPr="008F03E5">
        <w:tab/>
        <w:t>“Interpretation of the Isolated Letters” by Bahá’u’lláh in Arabic.  Also known as Lawḥ al-Áyiy an-Núr</w:t>
      </w:r>
    </w:p>
    <w:p w14:paraId="2BD1EAFD" w14:textId="77777777" w:rsidR="00625A5B" w:rsidRPr="008F03E5" w:rsidRDefault="00625A5B" w:rsidP="009F0AC6">
      <w:pPr>
        <w:pStyle w:val="Translit"/>
      </w:pPr>
      <w:r w:rsidRPr="008F03E5">
        <w:t>Tafsir, Tafasir</w:t>
      </w:r>
      <w:r w:rsidRPr="008F03E5">
        <w:tab/>
        <w:t>Tafsír, pl. Tafásír</w:t>
      </w:r>
      <w:r w:rsidRPr="008F03E5">
        <w:tab/>
        <w:t>commentary or sermon, emphasizes the interpretations of other words of God.  Commentary or exegesis of whole or part of the Qur’án</w:t>
      </w:r>
    </w:p>
    <w:p w14:paraId="2F30B711" w14:textId="77777777" w:rsidR="00625A5B" w:rsidRPr="008F03E5" w:rsidRDefault="00625A5B" w:rsidP="00900A82">
      <w:pPr>
        <w:pStyle w:val="Translit"/>
      </w:pPr>
      <w:r w:rsidRPr="008F03E5">
        <w:t>Tafsir-i-Bismi’llah</w:t>
      </w:r>
      <w:r w:rsidRPr="008F03E5">
        <w:tab/>
        <w:t>Tafsír-i-Bismi’lláh</w:t>
      </w:r>
      <w:r w:rsidRPr="008F03E5">
        <w:tab/>
        <w:t xml:space="preserve">“Commentary on </w:t>
      </w:r>
      <w:r w:rsidRPr="008F03E5">
        <w:rPr>
          <w:i/>
          <w:iCs/>
        </w:rPr>
        <w:t>Bismi’lláh</w:t>
      </w:r>
      <w:r w:rsidRPr="008F03E5">
        <w:t>” by the Báb</w:t>
      </w:r>
    </w:p>
    <w:p w14:paraId="7AEBC1C4" w14:textId="77777777" w:rsidR="00625A5B" w:rsidRPr="008F03E5" w:rsidRDefault="00625A5B" w:rsidP="00900A82">
      <w:pPr>
        <w:pStyle w:val="Translit"/>
      </w:pPr>
      <w:r w:rsidRPr="008F03E5">
        <w:t>Tafsir-i-Bismi’llahi’r-Rahmani’r-Rahim</w:t>
      </w:r>
      <w:r w:rsidRPr="008F03E5">
        <w:tab/>
        <w:t>Tafsír-i-Bismi’lláhi’r-Raḥmáni’r-Raḥím</w:t>
      </w:r>
      <w:r w:rsidRPr="008F03E5">
        <w:tab/>
        <w:t>by ‘Abdu’l-Bahá</w:t>
      </w:r>
    </w:p>
    <w:p w14:paraId="41757E0E" w14:textId="77777777" w:rsidR="00625A5B" w:rsidRPr="008F03E5" w:rsidRDefault="00625A5B" w:rsidP="00900A82">
      <w:pPr>
        <w:pStyle w:val="Translit"/>
      </w:pPr>
      <w:r w:rsidRPr="008F03E5">
        <w:t>Tafsir-i-Ha’</w:t>
      </w:r>
      <w:r w:rsidRPr="008F03E5">
        <w:tab/>
        <w:t>Tafsír-i-Há’</w:t>
      </w:r>
      <w:r w:rsidRPr="008F03E5">
        <w:tab/>
        <w:t>“Commentary on the Letter Há</w:t>
      </w:r>
      <w:r>
        <w:t>’</w:t>
      </w:r>
      <w:r w:rsidRPr="008F03E5">
        <w:t>” (by Báb)</w:t>
      </w:r>
    </w:p>
    <w:p w14:paraId="5371B0AF" w14:textId="77777777" w:rsidR="00625A5B" w:rsidRPr="008F03E5" w:rsidRDefault="00625A5B" w:rsidP="00900A82">
      <w:pPr>
        <w:pStyle w:val="Translit"/>
      </w:pPr>
      <w:r w:rsidRPr="008F03E5">
        <w:t>Tafsir-i-Hu</w:t>
      </w:r>
      <w:r w:rsidRPr="008F03E5">
        <w:tab/>
        <w:t>Tafsír-i-Hú</w:t>
      </w:r>
      <w:r w:rsidRPr="008F03E5">
        <w:tab/>
        <w:t>“Commentary on ‘He is’” by Bahá’u’lláh</w:t>
      </w:r>
    </w:p>
    <w:p w14:paraId="4B93FBFF" w14:textId="77777777" w:rsidR="00625A5B" w:rsidRPr="008F03E5" w:rsidRDefault="00625A5B" w:rsidP="001F1157">
      <w:pPr>
        <w:pStyle w:val="Translit"/>
      </w:pPr>
      <w:r w:rsidRPr="008F03E5">
        <w:t>Tafsir-i-Kuntu Kanzan Makhfiyyan</w:t>
      </w:r>
      <w:r w:rsidRPr="008F03E5">
        <w:tab/>
        <w:t>Tafsír-i-Kuntu Kanzan Ma</w:t>
      </w:r>
      <w:r w:rsidRPr="008F03E5">
        <w:rPr>
          <w:u w:val="single"/>
        </w:rPr>
        <w:t>kh</w:t>
      </w:r>
      <w:r w:rsidRPr="008F03E5">
        <w:t>fiyyan</w:t>
      </w:r>
      <w:r w:rsidRPr="008F03E5">
        <w:tab/>
        <w:t>“Commentary on ‘I was a Hidden Treasure’” by ‘Abdu’l-Bahá</w:t>
      </w:r>
    </w:p>
    <w:p w14:paraId="073737FD" w14:textId="77777777" w:rsidR="00625A5B" w:rsidRPr="008F03E5" w:rsidRDefault="00625A5B" w:rsidP="00900A82">
      <w:pPr>
        <w:pStyle w:val="Translit"/>
      </w:pPr>
      <w:r w:rsidRPr="008F03E5">
        <w:t>Tafsir-i-Nubuvvat-i-Khassih</w:t>
      </w:r>
      <w:r w:rsidRPr="008F03E5">
        <w:tab/>
        <w:t>Tafsír-i-Nubuvvat-i-</w:t>
      </w:r>
      <w:r w:rsidRPr="008F03E5">
        <w:rPr>
          <w:u w:val="single"/>
        </w:rPr>
        <w:t>Kh</w:t>
      </w:r>
      <w:r w:rsidRPr="008F03E5">
        <w:t>áṣṣih</w:t>
      </w:r>
      <w:r w:rsidRPr="008F03E5">
        <w:tab/>
        <w:t xml:space="preserve">“Commentary on the specific </w:t>
      </w:r>
      <w:r>
        <w:t xml:space="preserve">station and </w:t>
      </w:r>
      <w:r w:rsidRPr="008F03E5">
        <w:t>mission (of Muḥammad)” by the Báb</w:t>
      </w:r>
    </w:p>
    <w:p w14:paraId="6C6B89EC" w14:textId="77777777" w:rsidR="00625A5B" w:rsidRPr="008F03E5" w:rsidRDefault="00625A5B" w:rsidP="00DB5E95">
      <w:pPr>
        <w:pStyle w:val="Translit"/>
      </w:pPr>
      <w:r w:rsidRPr="008F03E5">
        <w:t>Tafsir-i-Sirr-i-Ha’</w:t>
      </w:r>
      <w:r w:rsidRPr="008F03E5">
        <w:tab/>
        <w:t>Tafsír-i-Sirr-i-Há’</w:t>
      </w:r>
      <w:r w:rsidRPr="008F03E5">
        <w:tab/>
        <w:t>“Commentary on the Mystery of Há’” by the Báb</w:t>
      </w:r>
    </w:p>
    <w:p w14:paraId="74971898" w14:textId="77777777" w:rsidR="00625A5B" w:rsidRPr="008F03E5" w:rsidRDefault="00625A5B" w:rsidP="00FF08AB">
      <w:pPr>
        <w:pStyle w:val="Translit"/>
      </w:pPr>
      <w:r w:rsidRPr="008F03E5">
        <w:t>Tafsir-i-Suriy-i-Baqarih</w:t>
      </w:r>
      <w:r w:rsidRPr="008F03E5">
        <w:tab/>
        <w:t xml:space="preserve">Tafsír-i-Súriy-i-Baqarih </w:t>
      </w:r>
      <w:r w:rsidRPr="008F03E5">
        <w:rPr>
          <w:sz w:val="16"/>
          <w:szCs w:val="16"/>
        </w:rPr>
        <w:t>I</w:t>
      </w:r>
      <w:r w:rsidRPr="008F03E5">
        <w:t xml:space="preserve"> &amp; </w:t>
      </w:r>
      <w:r w:rsidRPr="008F03E5">
        <w:rPr>
          <w:sz w:val="16"/>
          <w:szCs w:val="16"/>
        </w:rPr>
        <w:t>II</w:t>
      </w:r>
      <w:r w:rsidRPr="008F03E5">
        <w:tab/>
        <w:t xml:space="preserve">“Commentary on the Súra of the Cow </w:t>
      </w:r>
      <w:r w:rsidRPr="008F03E5">
        <w:rPr>
          <w:sz w:val="16"/>
          <w:szCs w:val="16"/>
        </w:rPr>
        <w:t>I</w:t>
      </w:r>
      <w:r w:rsidRPr="008F03E5">
        <w:t xml:space="preserve"> &amp; </w:t>
      </w:r>
      <w:r w:rsidRPr="008F03E5">
        <w:rPr>
          <w:sz w:val="16"/>
          <w:szCs w:val="16"/>
        </w:rPr>
        <w:t>II</w:t>
      </w:r>
      <w:r w:rsidRPr="008F03E5">
        <w:t>” (Qur’án Súra 2) by the Báb</w:t>
      </w:r>
    </w:p>
    <w:p w14:paraId="639774C8" w14:textId="77777777" w:rsidR="00625A5B" w:rsidRPr="008F03E5" w:rsidRDefault="00625A5B" w:rsidP="00FF08AB">
      <w:pPr>
        <w:pStyle w:val="Translit"/>
      </w:pPr>
      <w:r w:rsidRPr="008F03E5">
        <w:t>Tafsir-i-Suriy-i-Kawthar</w:t>
      </w:r>
      <w:r w:rsidRPr="008F03E5">
        <w:tab/>
        <w:t>Tafsír-i-Súriy-i-Kaw</w:t>
      </w:r>
      <w:r w:rsidRPr="008F03E5">
        <w:rPr>
          <w:u w:val="single"/>
        </w:rPr>
        <w:t>th</w:t>
      </w:r>
      <w:r w:rsidRPr="008F03E5">
        <w:t>ar</w:t>
      </w:r>
      <w:r w:rsidRPr="008F03E5">
        <w:tab/>
        <w:t>“Commentary on the Súra of Abundance” (Qur’án Súra 108) by the Báb (Ar. Tafsír Súrat al-Kaw</w:t>
      </w:r>
      <w:r w:rsidRPr="008F03E5">
        <w:rPr>
          <w:u w:val="single"/>
        </w:rPr>
        <w:t>th</w:t>
      </w:r>
      <w:r w:rsidRPr="008F03E5">
        <w:t>ar)</w:t>
      </w:r>
    </w:p>
    <w:p w14:paraId="4467F658" w14:textId="77777777" w:rsidR="00625A5B" w:rsidRPr="008F03E5" w:rsidRDefault="00625A5B" w:rsidP="00FF08AB">
      <w:pPr>
        <w:pStyle w:val="Translit"/>
      </w:pPr>
      <w:r w:rsidRPr="008F03E5">
        <w:t>Tafsir-i-Suriy-i-Va’l</w:t>
      </w:r>
      <w:r w:rsidRPr="008F03E5">
        <w:rPr>
          <w:rFonts w:eastAsia="PMingLiU"/>
          <w:lang w:eastAsia="zh-TW"/>
        </w:rPr>
        <w:t>-‘</w:t>
      </w:r>
      <w:r w:rsidRPr="008F03E5">
        <w:t>Asr</w:t>
      </w:r>
      <w:r w:rsidRPr="008F03E5">
        <w:tab/>
        <w:t>Tafsír-i-Súriy-i-Va’l-‘Aṣr</w:t>
      </w:r>
      <w:r w:rsidRPr="008F03E5">
        <w:tab/>
        <w:t>“Commentary on the Súra of the Afternoon” (Qur’án Súra 103) by the Báb</w:t>
      </w:r>
    </w:p>
    <w:p w14:paraId="63627811" w14:textId="77777777" w:rsidR="00625A5B" w:rsidRPr="008F03E5" w:rsidRDefault="00625A5B" w:rsidP="00FF08AB">
      <w:pPr>
        <w:pStyle w:val="Translit"/>
      </w:pPr>
      <w:r w:rsidRPr="008F03E5">
        <w:t>Tafsir-i-Suriy-i-Va’sh-Shams</w:t>
      </w:r>
      <w:r w:rsidRPr="008F03E5">
        <w:tab/>
        <w:t>Tafsír-i-Súriy-i-Va’</w:t>
      </w:r>
      <w:r w:rsidRPr="008F03E5">
        <w:rPr>
          <w:u w:val="single"/>
        </w:rPr>
        <w:t>sh</w:t>
      </w:r>
      <w:r w:rsidRPr="008F03E5">
        <w:t>-</w:t>
      </w:r>
      <w:r w:rsidRPr="008F03E5">
        <w:rPr>
          <w:u w:val="single"/>
        </w:rPr>
        <w:t>Sh</w:t>
      </w:r>
      <w:r w:rsidRPr="008F03E5">
        <w:t>ams</w:t>
      </w:r>
      <w:r w:rsidRPr="008F03E5">
        <w:tab/>
        <w:t xml:space="preserve">“Commentary on the Súrah of the Sun”, Tablet to </w:t>
      </w:r>
      <w:r w:rsidRPr="008F03E5">
        <w:rPr>
          <w:u w:val="single"/>
        </w:rPr>
        <w:t>Sh</w:t>
      </w:r>
      <w:r w:rsidRPr="008F03E5">
        <w:t>ay</w:t>
      </w:r>
      <w:r w:rsidRPr="008F03E5">
        <w:rPr>
          <w:u w:val="single"/>
        </w:rPr>
        <w:t>kh</w:t>
      </w:r>
      <w:r w:rsidRPr="008F03E5">
        <w:t xml:space="preserve"> Mahmúd by Bahá’u’lláh (Qur’án Súra 91)</w:t>
      </w:r>
    </w:p>
    <w:p w14:paraId="53A505CE" w14:textId="77777777" w:rsidR="00625A5B" w:rsidRPr="008F03E5" w:rsidRDefault="00625A5B" w:rsidP="00FF08AB">
      <w:pPr>
        <w:pStyle w:val="Translit"/>
      </w:pPr>
      <w:r w:rsidRPr="008F03E5">
        <w:t>Tafsir-i-Suriy-i-Yusif</w:t>
      </w:r>
      <w:r w:rsidRPr="008F03E5">
        <w:tab/>
        <w:t>Tafsír-i-Súriy-i-Yúsif</w:t>
      </w:r>
      <w:r w:rsidRPr="008F03E5">
        <w:tab/>
        <w:t>“Commentary on the Súrah of Joseph”, commonly referred to as Qayyúmu’l-Asmá’ by the Báb (Qur’án Súra 12)</w:t>
      </w:r>
    </w:p>
    <w:p w14:paraId="7CDCA3AC" w14:textId="77777777" w:rsidR="00625A5B" w:rsidRPr="008F03E5" w:rsidRDefault="00625A5B" w:rsidP="00A56145">
      <w:pPr>
        <w:pStyle w:val="Translit"/>
      </w:pPr>
      <w:r w:rsidRPr="008F03E5">
        <w:t>Taft</w:t>
      </w:r>
      <w:r w:rsidRPr="008F03E5">
        <w:tab/>
        <w:t>Taft</w:t>
      </w:r>
      <w:r w:rsidRPr="008F03E5">
        <w:tab/>
        <w:t xml:space="preserve">city 22 km </w:t>
      </w:r>
      <w:r w:rsidRPr="008F03E5">
        <w:rPr>
          <w:sz w:val="16"/>
          <w:szCs w:val="16"/>
        </w:rPr>
        <w:t>SW</w:t>
      </w:r>
      <w:r w:rsidRPr="008F03E5">
        <w:t xml:space="preserve"> of Yazd, Iran</w:t>
      </w:r>
    </w:p>
    <w:p w14:paraId="377FF6A5" w14:textId="77777777" w:rsidR="00625A5B" w:rsidRPr="008F03E5" w:rsidRDefault="00625A5B" w:rsidP="00183297">
      <w:pPr>
        <w:pStyle w:val="Translit"/>
      </w:pPr>
      <w:r w:rsidRPr="008F03E5">
        <w:t>Tafti</w:t>
      </w:r>
      <w:r w:rsidRPr="008F03E5">
        <w:tab/>
        <w:t>Taftí</w:t>
      </w:r>
      <w:r w:rsidRPr="008F03E5">
        <w:tab/>
        <w:t>from Taft</w:t>
      </w:r>
    </w:p>
    <w:p w14:paraId="4325E6D7" w14:textId="77777777" w:rsidR="00625A5B" w:rsidRPr="008F03E5" w:rsidRDefault="00625A5B" w:rsidP="007C35CE">
      <w:pPr>
        <w:pStyle w:val="Translit"/>
      </w:pPr>
      <w:r w:rsidRPr="008F03E5">
        <w:t>Tafwid</w:t>
      </w:r>
      <w:r w:rsidRPr="008F03E5">
        <w:tab/>
        <w:t>Tafwíḍ</w:t>
      </w:r>
      <w:r w:rsidRPr="008F03E5">
        <w:tab/>
        <w:t>entrustment, commitment, consignment, commission(ing), charging; authorization, empowerment, delegation of authority; authority, warrant, authorization, mandate, mandatory power, procuration, proxy, power of attorney</w:t>
      </w:r>
      <w:r w:rsidRPr="008F03E5">
        <w:rPr>
          <w:rFonts w:eastAsia="Times New Roman"/>
        </w:rPr>
        <w:t>.  Suspension of meaning, that is, denying the literal meaning of a Qur’anic verse or ḥadíth taken to entail anthropomorphism but consigning or entrusting (“tafwíḍ”) its true meaning to God rather than proffering a particular figurative interpretation through ta’wíl.</w:t>
      </w:r>
    </w:p>
    <w:p w14:paraId="2015AA36" w14:textId="77777777" w:rsidR="00625A5B" w:rsidRPr="008F03E5" w:rsidRDefault="00625A5B" w:rsidP="00842C37">
      <w:pPr>
        <w:pStyle w:val="Translit"/>
      </w:pPr>
      <w:r w:rsidRPr="008F03E5">
        <w:t>Taghabun</w:t>
      </w:r>
      <w:r w:rsidRPr="008F03E5">
        <w:tab/>
        <w:t>Ta</w:t>
      </w:r>
      <w:r w:rsidRPr="008F03E5">
        <w:rPr>
          <w:u w:val="single"/>
        </w:rPr>
        <w:t>gh</w:t>
      </w:r>
      <w:r w:rsidRPr="008F03E5">
        <w:t>ábun</w:t>
      </w:r>
      <w:r w:rsidRPr="008F03E5">
        <w:tab/>
        <w:t>mutual deception or cheating; disillusion; defrauding, cheating one another.  Yawmu’t-taghábun (“The Day of Mutual Disillusion”), one of a number of expressions used for “the Day of Resurrection” or “the Day of Judgement”—meaning relates more to the weighing up of the evil and righteous deeds of an individual earthly life when his soul enters the Hereafter than to any “disillusion”.</w:t>
      </w:r>
    </w:p>
    <w:p w14:paraId="7A2FA6DD" w14:textId="77777777" w:rsidR="00625A5B" w:rsidRPr="008F03E5" w:rsidRDefault="00625A5B" w:rsidP="000C20A9">
      <w:pPr>
        <w:pStyle w:val="Translit"/>
      </w:pPr>
      <w:r w:rsidRPr="008F03E5">
        <w:t>Taghiya</w:t>
      </w:r>
      <w:r w:rsidRPr="008F03E5">
        <w:tab/>
        <w:t>Ṭá</w:t>
      </w:r>
      <w:r w:rsidRPr="008F03E5">
        <w:rPr>
          <w:u w:val="single"/>
        </w:rPr>
        <w:t>gh</w:t>
      </w:r>
      <w:r w:rsidRPr="008F03E5">
        <w:t>iya</w:t>
      </w:r>
      <w:r w:rsidRPr="008F03E5">
        <w:tab/>
        <w:t>tyrant, oppressor, despot; bully, brute, gorilla</w:t>
      </w:r>
    </w:p>
    <w:p w14:paraId="112176E8" w14:textId="77777777" w:rsidR="00625A5B" w:rsidRPr="008F03E5" w:rsidRDefault="00625A5B" w:rsidP="006228CB">
      <w:pPr>
        <w:pStyle w:val="Translit"/>
      </w:pPr>
      <w:r w:rsidRPr="008F03E5">
        <w:t>Taghut, Tawaghut</w:t>
      </w:r>
      <w:r w:rsidRPr="008F03E5">
        <w:tab/>
        <w:t>Ṭá</w:t>
      </w:r>
      <w:r w:rsidRPr="008F03E5">
        <w:rPr>
          <w:u w:val="single"/>
        </w:rPr>
        <w:t>gh</w:t>
      </w:r>
      <w:r w:rsidRPr="008F03E5">
        <w:t>út, pl. Ṭawá</w:t>
      </w:r>
      <w:r w:rsidRPr="008F03E5">
        <w:rPr>
          <w:u w:val="single"/>
        </w:rPr>
        <w:t>gh</w:t>
      </w:r>
      <w:r w:rsidRPr="008F03E5">
        <w:t>út</w:t>
      </w:r>
      <w:r w:rsidRPr="008F03E5">
        <w:tab/>
        <w:t>In traditional theology, the term often connotes an idol (</w:t>
      </w:r>
      <w:r w:rsidRPr="008F03E5">
        <w:rPr>
          <w:rFonts w:eastAsia="Times New Roman"/>
        </w:rPr>
        <w:t>particularly an ancient idol at Mecca</w:t>
      </w:r>
      <w:r w:rsidRPr="008F03E5">
        <w:t>), a false god; seducer, tempter (to error); evil that exceeds all bounds.  Broadly:  “to go beyond the measure”, i.e. to rebel; is Islamic terminology denoting a focus of worship other than God.  Also written “Tagout”, “Thagout”, “Tougihat”, “towighate”, etc.</w:t>
      </w:r>
    </w:p>
    <w:p w14:paraId="4BDB571B" w14:textId="77777777" w:rsidR="00625A5B" w:rsidRPr="008F03E5" w:rsidRDefault="00625A5B" w:rsidP="00D63561">
      <w:pPr>
        <w:pStyle w:val="Translit"/>
      </w:pPr>
      <w:r w:rsidRPr="008F03E5">
        <w:t>Taghyir</w:t>
      </w:r>
      <w:r w:rsidRPr="008F03E5">
        <w:tab/>
        <w:t>Ta</w:t>
      </w:r>
      <w:r w:rsidRPr="008F03E5">
        <w:rPr>
          <w:u w:val="single"/>
        </w:rPr>
        <w:t>gh</w:t>
      </w:r>
      <w:r w:rsidRPr="008F03E5">
        <w:t>yír, pl. Ta</w:t>
      </w:r>
      <w:r w:rsidRPr="008F03E5">
        <w:rPr>
          <w:u w:val="single"/>
        </w:rPr>
        <w:t>gh</w:t>
      </w:r>
      <w:r w:rsidRPr="008F03E5">
        <w:t>yírát</w:t>
      </w:r>
      <w:r w:rsidRPr="008F03E5">
        <w:tab/>
        <w:t>changing, alteration, modification, variation; change, replacement, relief; “transmutability”</w:t>
      </w:r>
    </w:p>
    <w:p w14:paraId="38A982D2" w14:textId="77777777" w:rsidR="00625A5B" w:rsidRPr="008F03E5" w:rsidRDefault="00625A5B" w:rsidP="0060779E">
      <w:pPr>
        <w:pStyle w:val="Translit"/>
      </w:pPr>
      <w:r w:rsidRPr="008F03E5">
        <w:t>Tahaddi</w:t>
      </w:r>
      <w:r w:rsidRPr="008F03E5">
        <w:tab/>
        <w:t>Taḥaddí</w:t>
      </w:r>
      <w:r w:rsidRPr="008F03E5">
        <w:tab/>
        <w:t>d</w:t>
      </w:r>
      <w:r w:rsidRPr="008F03E5">
        <w:rPr>
          <w:rFonts w:eastAsia="Times New Roman"/>
        </w:rPr>
        <w:t>oing anything equal to another; challenging (a rival); striving to overcome, competition</w:t>
      </w:r>
    </w:p>
    <w:p w14:paraId="5A0C8E3A" w14:textId="77777777" w:rsidR="00625A5B" w:rsidRPr="008F03E5" w:rsidRDefault="00625A5B" w:rsidP="00273654">
      <w:pPr>
        <w:pStyle w:val="Translit"/>
      </w:pPr>
      <w:r w:rsidRPr="008F03E5">
        <w:t>Tahaddin, Tahaddiyat</w:t>
      </w:r>
      <w:r w:rsidRPr="008F03E5">
        <w:tab/>
        <w:t>Taḥaddin, pl. Taḥaddiyát</w:t>
      </w:r>
      <w:r w:rsidRPr="008F03E5">
        <w:tab/>
        <w:t>challenge, provocation.  A verb Form V may be Taḥaddí</w:t>
      </w:r>
    </w:p>
    <w:p w14:paraId="2EB91C0A" w14:textId="77777777" w:rsidR="00625A5B" w:rsidRPr="008F03E5" w:rsidRDefault="00625A5B" w:rsidP="0060779E">
      <w:pPr>
        <w:pStyle w:val="Translit"/>
      </w:pPr>
      <w:r w:rsidRPr="008F03E5">
        <w:t>Taham, Tahm</w:t>
      </w:r>
      <w:r w:rsidRPr="008F03E5">
        <w:tab/>
        <w:t>Taham, Tahm</w:t>
      </w:r>
      <w:r w:rsidRPr="008F03E5">
        <w:tab/>
        <w:t>Pers. (from Zend/Avestan ta</w:t>
      </w:r>
      <w:r w:rsidRPr="008F03E5">
        <w:rPr>
          <w:u w:val="single"/>
        </w:rPr>
        <w:t>kh</w:t>
      </w:r>
      <w:r w:rsidRPr="008F03E5">
        <w:t>ma) brave, war-like; incomparable, unrivalled in stature or courage</w:t>
      </w:r>
    </w:p>
    <w:p w14:paraId="0E7584BA" w14:textId="77777777" w:rsidR="00625A5B" w:rsidRPr="008F03E5" w:rsidRDefault="00625A5B" w:rsidP="0060779E">
      <w:pPr>
        <w:pStyle w:val="Translit"/>
      </w:pPr>
      <w:r w:rsidRPr="008F03E5">
        <w:t>Tahara</w:t>
      </w:r>
      <w:r w:rsidRPr="008F03E5">
        <w:tab/>
        <w:t>Ṭahára[h]</w:t>
      </w:r>
      <w:r w:rsidRPr="008F03E5">
        <w:tab/>
        <w:t>cleanness, cleanliness, purity; cultic purity (Islamic Law); chastity; holiness, sanctity, saintliness</w:t>
      </w:r>
    </w:p>
    <w:p w14:paraId="4D7185EC" w14:textId="77777777" w:rsidR="00625A5B" w:rsidRPr="008F03E5" w:rsidRDefault="00625A5B" w:rsidP="0060779E">
      <w:pPr>
        <w:pStyle w:val="Translit"/>
      </w:pPr>
      <w:r w:rsidRPr="008F03E5">
        <w:t>Tahashshum and Ihtiasham</w:t>
      </w:r>
      <w:r w:rsidRPr="008F03E5">
        <w:tab/>
        <w:t>Taḥa</w:t>
      </w:r>
      <w:r w:rsidRPr="008F03E5">
        <w:rPr>
          <w:u w:val="single"/>
        </w:rPr>
        <w:t>shsh</w:t>
      </w:r>
      <w:r w:rsidRPr="008F03E5">
        <w:t>um and Iḥti</w:t>
      </w:r>
      <w:r w:rsidRPr="008F03E5">
        <w:rPr>
          <w:u w:val="single"/>
        </w:rPr>
        <w:t>sh</w:t>
      </w:r>
      <w:r w:rsidRPr="008F03E5">
        <w:t>ám</w:t>
      </w:r>
      <w:r w:rsidRPr="008F03E5">
        <w:tab/>
        <w:t>shame, shyness, modesty, reticent, decency, decorum</w:t>
      </w:r>
    </w:p>
    <w:p w14:paraId="172B8AF9" w14:textId="77777777" w:rsidR="00625A5B" w:rsidRPr="008F03E5" w:rsidRDefault="00625A5B" w:rsidP="00B058B4">
      <w:pPr>
        <w:pStyle w:val="Translit"/>
      </w:pPr>
      <w:r w:rsidRPr="008F03E5">
        <w:t>Tahdhib (Tahzib)</w:t>
      </w:r>
      <w:r w:rsidRPr="008F03E5">
        <w:tab/>
        <w:t>Tah</w:t>
      </w:r>
      <w:r w:rsidRPr="008F03E5">
        <w:rPr>
          <w:u w:val="single"/>
        </w:rPr>
        <w:t>dh</w:t>
      </w:r>
      <w:r w:rsidRPr="008F03E5">
        <w:t>íb</w:t>
      </w:r>
      <w:r w:rsidRPr="008F03E5">
        <w:tab/>
        <w:t>expurgation, emendation, correction; rectification; revision; training; instruction; education, upbringing; culture, refinement.  Bahíyya Tah</w:t>
      </w:r>
      <w:r w:rsidRPr="008F03E5">
        <w:rPr>
          <w:u w:val="single"/>
        </w:rPr>
        <w:t>dh</w:t>
      </w:r>
      <w:r w:rsidRPr="008F03E5">
        <w:t>íb (Tahzíb).</w:t>
      </w:r>
    </w:p>
    <w:p w14:paraId="7C7F3CEF" w14:textId="77777777" w:rsidR="00625A5B" w:rsidRPr="008F03E5" w:rsidRDefault="00625A5B" w:rsidP="00DF14B2">
      <w:pPr>
        <w:pStyle w:val="Translit"/>
      </w:pPr>
      <w:r w:rsidRPr="008F03E5">
        <w:t>Tahhan, Tahhana</w:t>
      </w:r>
      <w:r w:rsidRPr="008F03E5">
        <w:tab/>
        <w:t>Ṭaḥḥán, fem. Ṭaḥḥána[t]</w:t>
      </w:r>
      <w:r w:rsidRPr="008F03E5">
        <w:tab/>
        <w:t xml:space="preserve">a miller.  Fu’ád Muḥammad </w:t>
      </w:r>
      <w:r w:rsidRPr="008F03E5">
        <w:rPr>
          <w:cs/>
        </w:rPr>
        <w:t>‎</w:t>
      </w:r>
      <w:r w:rsidRPr="008F03E5">
        <w:t>Jawád Ṭaḥḥán, a Bahá’í arrested in Morocco, 1962.</w:t>
      </w:r>
    </w:p>
    <w:p w14:paraId="38518BCB" w14:textId="77777777" w:rsidR="00625A5B" w:rsidRPr="008F03E5" w:rsidRDefault="00625A5B" w:rsidP="00E25F7D">
      <w:pPr>
        <w:pStyle w:val="Translit"/>
      </w:pPr>
      <w:r w:rsidRPr="008F03E5">
        <w:t>Tahir (Taher), Tahira, Tahirih, Athar</w:t>
      </w:r>
      <w:r w:rsidRPr="008F03E5">
        <w:tab/>
        <w:t>Ṭáhir, fem. Ṭáhira[h</w:t>
      </w:r>
      <w:r>
        <w:t xml:space="preserve"> or t</w:t>
      </w:r>
      <w:r w:rsidRPr="008F03E5">
        <w:t>], pl. Aṭhár</w:t>
      </w:r>
      <w:r w:rsidRPr="008F03E5">
        <w:tab/>
        <w:t>clean, pure; chaste, modest, virtuous.  “The pure one”.  Pers. also Ṭáhirih, a title bestowed by Jináb-i-Bahá (the Báb) on Fáṭimih umm-</w:t>
      </w:r>
      <w:r>
        <w:t>i-</w:t>
      </w:r>
      <w:r w:rsidRPr="008F03E5">
        <w:t>Sal</w:t>
      </w:r>
      <w:r>
        <w:t>a</w:t>
      </w:r>
      <w:r w:rsidRPr="008F03E5">
        <w:t xml:space="preserve">mih </w:t>
      </w:r>
      <w:r w:rsidRPr="00EC1F1A">
        <w:t>Baraqání Qazvíní</w:t>
      </w:r>
      <w:r w:rsidRPr="008F03E5">
        <w:t xml:space="preserve"> (</w:t>
      </w:r>
      <w:r>
        <w:t xml:space="preserve">c. </w:t>
      </w:r>
      <w:r w:rsidRPr="008F03E5">
        <w:t>1817</w:t>
      </w:r>
      <w:r>
        <w:t>/18</w:t>
      </w:r>
      <w:r w:rsidRPr="008F03E5">
        <w:t>18–1852), also known by the titles Qurratu’l-‘Ayn (“Solace of the Eyes”, by Siyyid Káẓim), Zarrín-Táj (“Crown of Gold”) and Zakíyyih (“Virtuous”).  She is remembered for her skill as a poet, her theological insights, her leadership as one of the earliest Bahá’ís, and her ability to organize and inspire women to reject their oppressed status.  Ṭáhirat al-a</w:t>
      </w:r>
      <w:r w:rsidRPr="008F03E5">
        <w:rPr>
          <w:u w:val="single"/>
        </w:rPr>
        <w:t>kh</w:t>
      </w:r>
      <w:r w:rsidRPr="008F03E5">
        <w:t>láq (“pure morals”).</w:t>
      </w:r>
    </w:p>
    <w:p w14:paraId="2B6CC509" w14:textId="77777777" w:rsidR="00625A5B" w:rsidRPr="008F03E5" w:rsidRDefault="00625A5B" w:rsidP="00E25F7D">
      <w:pPr>
        <w:pStyle w:val="Translit"/>
      </w:pPr>
      <w:r w:rsidRPr="008F03E5">
        <w:t>Tahiriyan</w:t>
      </w:r>
      <w:r w:rsidRPr="008F03E5">
        <w:tab/>
        <w:t>Ṭáhiriyán</w:t>
      </w:r>
      <w:r w:rsidRPr="008F03E5">
        <w:tab/>
        <w:t xml:space="preserve">Pers. aṭ-Ṭáhiriyán (the Tahirid dynasty that effectively ruled </w:t>
      </w:r>
      <w:r w:rsidRPr="008F03E5">
        <w:rPr>
          <w:u w:val="single"/>
        </w:rPr>
        <w:t>Kh</w:t>
      </w:r>
      <w:r w:rsidRPr="008F03E5">
        <w:t>urásán from 821 to 873 while other members of the dynasty served as military and security commanders for the city of Ba</w:t>
      </w:r>
      <w:r w:rsidRPr="008F03E5">
        <w:rPr>
          <w:u w:val="single"/>
        </w:rPr>
        <w:t>gh</w:t>
      </w:r>
      <w:r w:rsidRPr="008F03E5">
        <w:t xml:space="preserve">dád from 820 until 891.  The dynasty was founded by Ṭáhir ibn Ḥusayn, a leading general in the service of the Abbasid caliph al-Ma’mun.  Their capital in </w:t>
      </w:r>
      <w:r w:rsidRPr="008F03E5">
        <w:rPr>
          <w:u w:val="single"/>
        </w:rPr>
        <w:t>Kh</w:t>
      </w:r>
      <w:r w:rsidRPr="008F03E5">
        <w:t>urásán was initially located at Marv (Merv) but was later moved to Ní</w:t>
      </w:r>
      <w:r w:rsidRPr="008F03E5">
        <w:rPr>
          <w:u w:val="single"/>
        </w:rPr>
        <w:t>sh</w:t>
      </w:r>
      <w:r w:rsidRPr="008F03E5">
        <w:t>ápúr.</w:t>
      </w:r>
    </w:p>
    <w:p w14:paraId="06CFBF64" w14:textId="77777777" w:rsidR="00625A5B" w:rsidRPr="008F03E5" w:rsidRDefault="00625A5B" w:rsidP="00546CC4">
      <w:pPr>
        <w:pStyle w:val="Translit"/>
      </w:pPr>
      <w:r w:rsidRPr="008F03E5">
        <w:t>Tahirzadih, Taherzadeh</w:t>
      </w:r>
      <w:r w:rsidRPr="008F03E5">
        <w:tab/>
        <w:t>Ṭáhirzádih</w:t>
      </w:r>
      <w:r w:rsidRPr="008F03E5">
        <w:tab/>
        <w:t>“Son of the pure one”.  Family name taken by a distinguished Bahá’í family of Yazd, e.g. Habib Taherzadeh (1908–1995) and Adib Taherzadeh (1921–2000; Adíb Ṭáhirzádih-i-Málmírí)</w:t>
      </w:r>
    </w:p>
    <w:p w14:paraId="6AEE1FFD" w14:textId="77777777" w:rsidR="00625A5B" w:rsidRPr="008F03E5" w:rsidRDefault="00625A5B" w:rsidP="00D43B6E">
      <w:pPr>
        <w:pStyle w:val="Translit"/>
      </w:pPr>
      <w:r w:rsidRPr="008F03E5">
        <w:t>Tahlil, Tahalil</w:t>
      </w:r>
      <w:r w:rsidRPr="008F03E5">
        <w:tab/>
        <w:t>Tahlíl, pl. Tahálíl</w:t>
      </w:r>
      <w:r w:rsidRPr="008F03E5">
        <w:tab/>
        <w:t>utterance of the formula lá iláha illá lláh (“There is no god but God”); rejoicing, exultation, jubilation; applause, acclamation, acclaim, cheering, cheers</w:t>
      </w:r>
    </w:p>
    <w:p w14:paraId="4C4E23BF" w14:textId="77777777" w:rsidR="00625A5B" w:rsidRPr="008F03E5" w:rsidRDefault="00625A5B" w:rsidP="00451A4B">
      <w:pPr>
        <w:pStyle w:val="Translit"/>
      </w:pPr>
      <w:r w:rsidRPr="008F03E5">
        <w:t>Tahmasb, Tahmasp</w:t>
      </w:r>
      <w:r w:rsidRPr="008F03E5">
        <w:tab/>
        <w:t>Ṭahmásb, Tahmásp</w:t>
      </w:r>
      <w:r w:rsidRPr="008F03E5">
        <w:tab/>
        <w:t>Pers. derived from Avestan name Ta</w:t>
      </w:r>
      <w:r w:rsidRPr="008F03E5">
        <w:rPr>
          <w:u w:val="single"/>
        </w:rPr>
        <w:t>kh</w:t>
      </w:r>
      <w:r w:rsidRPr="008F03E5">
        <w:t>maspa (ta</w:t>
      </w:r>
      <w:r w:rsidRPr="008F03E5">
        <w:rPr>
          <w:u w:val="single"/>
        </w:rPr>
        <w:t>kh</w:t>
      </w:r>
      <w:r w:rsidRPr="008F03E5">
        <w:t>ma “brave, etc.” + aspa “horse”).  Name of two Safavid shahs.  See Taham and Aspa</w:t>
      </w:r>
    </w:p>
    <w:p w14:paraId="6CBE335F" w14:textId="77777777" w:rsidR="00625A5B" w:rsidRPr="008F03E5" w:rsidRDefault="00625A5B" w:rsidP="001B42AC">
      <w:pPr>
        <w:pStyle w:val="Translit"/>
        <w:rPr>
          <w:rFonts w:eastAsia="PMingLiU"/>
          <w:lang w:eastAsia="zh-TW"/>
        </w:rPr>
      </w:pPr>
      <w:r w:rsidRPr="008F03E5">
        <w:rPr>
          <w:rFonts w:eastAsia="PMingLiU"/>
          <w:lang w:eastAsia="zh-TW"/>
        </w:rPr>
        <w:t>Tahmid</w:t>
      </w:r>
      <w:r w:rsidRPr="008F03E5">
        <w:rPr>
          <w:rFonts w:eastAsia="PMingLiU"/>
          <w:lang w:eastAsia="zh-TW"/>
        </w:rPr>
        <w:tab/>
        <w:t>Ta</w:t>
      </w:r>
      <w:r w:rsidRPr="008F03E5">
        <w:t>ḥ</w:t>
      </w:r>
      <w:r w:rsidRPr="008F03E5">
        <w:rPr>
          <w:rFonts w:eastAsia="PMingLiU"/>
          <w:lang w:eastAsia="zh-TW"/>
        </w:rPr>
        <w:t>m</w:t>
      </w:r>
      <w:r w:rsidRPr="008F03E5">
        <w:t>í</w:t>
      </w:r>
      <w:r w:rsidRPr="008F03E5">
        <w:rPr>
          <w:rFonts w:eastAsia="PMingLiU"/>
          <w:lang w:eastAsia="zh-TW"/>
        </w:rPr>
        <w:t>d</w:t>
      </w:r>
      <w:r w:rsidRPr="008F03E5">
        <w:rPr>
          <w:rFonts w:eastAsia="PMingLiU"/>
          <w:lang w:eastAsia="zh-TW"/>
        </w:rPr>
        <w:tab/>
        <w:t>praising (God), thanking (God)</w:t>
      </w:r>
    </w:p>
    <w:p w14:paraId="57C5AD4F" w14:textId="77777777" w:rsidR="00625A5B" w:rsidRPr="008F03E5" w:rsidRDefault="00625A5B" w:rsidP="00AA4233">
      <w:pPr>
        <w:pStyle w:val="Translit"/>
        <w:rPr>
          <w:rFonts w:eastAsia="PMingLiU"/>
          <w:lang w:eastAsia="zh-TW"/>
        </w:rPr>
      </w:pPr>
      <w:r w:rsidRPr="008F03E5">
        <w:rPr>
          <w:rFonts w:eastAsia="PMingLiU"/>
          <w:lang w:eastAsia="zh-TW"/>
        </w:rPr>
        <w:t>Tahqiq, Tahqiqi</w:t>
      </w:r>
      <w:r w:rsidRPr="008F03E5">
        <w:tab/>
      </w:r>
      <w:r w:rsidRPr="008F03E5">
        <w:rPr>
          <w:rFonts w:eastAsia="PMingLiU"/>
          <w:lang w:eastAsia="zh-TW"/>
        </w:rPr>
        <w:t>Ta</w:t>
      </w:r>
      <w:r w:rsidRPr="008F03E5">
        <w:t>ḥ</w:t>
      </w:r>
      <w:r w:rsidRPr="008F03E5">
        <w:rPr>
          <w:rFonts w:eastAsia="PMingLiU"/>
          <w:lang w:eastAsia="zh-TW"/>
        </w:rPr>
        <w:t>qíq</w:t>
      </w:r>
      <w:r w:rsidRPr="008F03E5">
        <w:rPr>
          <w:rFonts w:eastAsia="PMingLiU"/>
          <w:lang w:eastAsia="zh-TW"/>
        </w:rPr>
        <w:tab/>
        <w:t>realization, actualization, effectuation, implementation; fulfillment (of a claim, of a wish, etc.); achievement, accomplishment, execution; ascertainment, determination, identification, verification; substantiation; assertion, affirmation, confirmation; pinpointing, precise determination; exactness, accurateness, precision.  Ta</w:t>
      </w:r>
      <w:r w:rsidRPr="008F03E5">
        <w:t>ḥ</w:t>
      </w:r>
      <w:r w:rsidRPr="008F03E5">
        <w:rPr>
          <w:rFonts w:eastAsia="PMingLiU"/>
          <w:lang w:eastAsia="zh-TW"/>
        </w:rPr>
        <w:t>qíqí</w:t>
      </w:r>
    </w:p>
    <w:p w14:paraId="55969BD2" w14:textId="77777777" w:rsidR="00625A5B" w:rsidRPr="008F03E5" w:rsidRDefault="00625A5B" w:rsidP="00764363">
      <w:pPr>
        <w:pStyle w:val="Translit"/>
      </w:pPr>
      <w:r w:rsidRPr="008F03E5">
        <w:t>Tahrif, Tahrifat</w:t>
      </w:r>
      <w:r w:rsidRPr="008F03E5">
        <w:tab/>
        <w:t>Taḥríf, pl. Taḥrífát</w:t>
      </w:r>
      <w:r w:rsidRPr="008F03E5">
        <w:tab/>
        <w:t>alteration, change; distortion; perversion, corruption, especially phonetic corruption of a word; forgery.  A doctrine that the Torah and Gospels have been corrupted by Jewish and Christian religious leaders.</w:t>
      </w:r>
    </w:p>
    <w:p w14:paraId="0DE4A541" w14:textId="77777777" w:rsidR="00625A5B" w:rsidRPr="008F03E5" w:rsidRDefault="00625A5B" w:rsidP="00B621CC">
      <w:pPr>
        <w:pStyle w:val="Translit"/>
      </w:pPr>
      <w:r w:rsidRPr="008F03E5">
        <w:t>Tahrim</w:t>
      </w:r>
      <w:r w:rsidRPr="008F03E5">
        <w:tab/>
        <w:t>Taḥrím</w:t>
      </w:r>
      <w:r w:rsidRPr="008F03E5">
        <w:tab/>
        <w:t>forbiddance, interdiction, prohibition, ban</w:t>
      </w:r>
    </w:p>
    <w:p w14:paraId="17A4598D" w14:textId="77777777" w:rsidR="00625A5B" w:rsidRPr="008F03E5" w:rsidRDefault="00625A5B" w:rsidP="005F0DFE">
      <w:pPr>
        <w:pStyle w:val="Translit"/>
      </w:pPr>
      <w:r w:rsidRPr="008F03E5">
        <w:t>Tahrir, Tahrirat</w:t>
      </w:r>
      <w:r w:rsidRPr="008F03E5">
        <w:tab/>
        <w:t>Taḥrír, pl. Taḥrírát</w:t>
      </w:r>
      <w:r w:rsidRPr="008F03E5">
        <w:tab/>
        <w:t>setting at liberty, giving freedom; manumission; dedicating to the service of God; writing elegantly and accurately; a writing, written statement, document; fee for writing; ornamental lines</w:t>
      </w:r>
    </w:p>
    <w:p w14:paraId="170C2CC6" w14:textId="77777777" w:rsidR="00625A5B" w:rsidRPr="008F03E5" w:rsidRDefault="00625A5B" w:rsidP="005F0DFE">
      <w:pPr>
        <w:pStyle w:val="Translit"/>
      </w:pPr>
      <w:r w:rsidRPr="001457C8">
        <w:rPr>
          <w:lang w:val="it-IT"/>
        </w:rPr>
        <w:t>Tahriri, Tahriri-ha</w:t>
      </w:r>
      <w:r w:rsidRPr="001457C8">
        <w:rPr>
          <w:lang w:val="it-IT"/>
        </w:rPr>
        <w:tab/>
        <w:t xml:space="preserve">Taḥrírí, pl. </w:t>
      </w:r>
      <w:r w:rsidRPr="008F03E5">
        <w:t>Taḥrírí-há</w:t>
      </w:r>
      <w:r w:rsidRPr="008F03E5">
        <w:tab/>
        <w:t>Pers. written, in writing.  Taḥríríhá Dáni</w:t>
      </w:r>
      <w:r w:rsidRPr="008F03E5">
        <w:rPr>
          <w:u w:val="single"/>
        </w:rPr>
        <w:t>sh</w:t>
      </w:r>
    </w:p>
    <w:p w14:paraId="491E6466" w14:textId="77777777" w:rsidR="00625A5B" w:rsidRPr="008F03E5" w:rsidRDefault="00625A5B" w:rsidP="00800C68">
      <w:pPr>
        <w:pStyle w:val="Translit"/>
      </w:pPr>
      <w:r w:rsidRPr="008F03E5">
        <w:t>Tahshiya</w:t>
      </w:r>
      <w:r w:rsidRPr="008F03E5">
        <w:tab/>
        <w:t>Taḥ</w:t>
      </w:r>
      <w:r w:rsidRPr="008F03E5">
        <w:rPr>
          <w:u w:val="single"/>
        </w:rPr>
        <w:t>sh</w:t>
      </w:r>
      <w:r w:rsidRPr="008F03E5">
        <w:t>iya</w:t>
      </w:r>
      <w:r w:rsidRPr="008F03E5">
        <w:tab/>
        <w:t>insertion; interpolation</w:t>
      </w:r>
    </w:p>
    <w:p w14:paraId="2DFE66EF" w14:textId="77777777" w:rsidR="00625A5B" w:rsidRPr="008F03E5" w:rsidRDefault="00625A5B" w:rsidP="00AA4233">
      <w:pPr>
        <w:pStyle w:val="Translit"/>
      </w:pPr>
      <w:r w:rsidRPr="008F03E5">
        <w:t>Tahwil (Tahvil)</w:t>
      </w:r>
      <w:r w:rsidRPr="008F03E5">
        <w:tab/>
        <w:t>Taḥwíl</w:t>
      </w:r>
      <w:r w:rsidRPr="008F03E5">
        <w:tab/>
        <w:t>transformation, transmutation, conversion (into something); change, alteration, modification; transplantation; transposition, reversal, inversion, translocation, dislocation, displacement; transfer, assignment; conversion (e.g. of currency); conversion, transformation (of electric current)</w:t>
      </w:r>
    </w:p>
    <w:p w14:paraId="13BFBC6A" w14:textId="77777777" w:rsidR="00625A5B" w:rsidRPr="008F03E5" w:rsidRDefault="00625A5B" w:rsidP="009E5CC7">
      <w:pPr>
        <w:pStyle w:val="Translit"/>
      </w:pPr>
      <w:r w:rsidRPr="008F03E5">
        <w:t>Tahwil al-Qiblih, Tahwil-i-Qiblih</w:t>
      </w:r>
      <w:r w:rsidRPr="008F03E5">
        <w:tab/>
        <w:t>Taḥwíl al-Qiblih, Pers. Taḥwíl-i-Qiblih</w:t>
      </w:r>
      <w:r w:rsidRPr="008F03E5">
        <w:tab/>
        <w:t>change in the point of adoration</w:t>
      </w:r>
    </w:p>
    <w:p w14:paraId="3DABDCF7" w14:textId="77777777" w:rsidR="00625A5B" w:rsidRPr="008F03E5" w:rsidRDefault="00625A5B" w:rsidP="003E0ABE">
      <w:pPr>
        <w:pStyle w:val="Translit"/>
      </w:pPr>
      <w:r w:rsidRPr="008F03E5">
        <w:t>Taj Khatun</w:t>
      </w:r>
      <w:r w:rsidRPr="008F03E5">
        <w:tab/>
        <w:t>Táj-</w:t>
      </w:r>
      <w:r w:rsidRPr="008F03E5">
        <w:rPr>
          <w:u w:val="single"/>
        </w:rPr>
        <w:t>Kh</w:t>
      </w:r>
      <w:r w:rsidRPr="008F03E5">
        <w:t>átún</w:t>
      </w:r>
      <w:r w:rsidRPr="008F03E5">
        <w:tab/>
        <w:t>a small village (34.551389, 50.496667), Qom County, Qom Province.</w:t>
      </w:r>
    </w:p>
    <w:p w14:paraId="0548BAE3" w14:textId="77777777" w:rsidR="00625A5B" w:rsidRPr="008F03E5" w:rsidRDefault="00625A5B" w:rsidP="003E0ABE">
      <w:pPr>
        <w:pStyle w:val="Translit"/>
      </w:pPr>
      <w:r w:rsidRPr="008F03E5">
        <w:t>Taj Kulah</w:t>
      </w:r>
      <w:r w:rsidRPr="008F03E5">
        <w:tab/>
        <w:t>Táj Kuláh</w:t>
      </w:r>
      <w:r w:rsidRPr="008F03E5">
        <w:tab/>
        <w:t>“crown hat”, a hat with an attached crown brim (that may be made of gold with encrusted gems) worn by Safavid Persian nobility.  Not to be confused with kaj kuláh.</w:t>
      </w:r>
    </w:p>
    <w:p w14:paraId="5236510F" w14:textId="77777777" w:rsidR="00625A5B" w:rsidRPr="008F03E5" w:rsidRDefault="00625A5B" w:rsidP="005F347E">
      <w:pPr>
        <w:pStyle w:val="Translit"/>
      </w:pPr>
      <w:r w:rsidRPr="008F03E5">
        <w:t>Taj Mahal</w:t>
      </w:r>
      <w:r w:rsidRPr="008F03E5">
        <w:tab/>
        <w:t>Táj Maḥal</w:t>
      </w:r>
      <w:r w:rsidRPr="008F03E5">
        <w:tab/>
        <w:t xml:space="preserve">Pers. “Crown of the Palace”, ivory-white marble mausoleum on the southern bank of the Yamuna River, Agra.  Commissioned by </w:t>
      </w:r>
      <w:r w:rsidRPr="008F03E5">
        <w:rPr>
          <w:u w:val="single"/>
        </w:rPr>
        <w:t>Sh</w:t>
      </w:r>
      <w:r w:rsidRPr="008F03E5">
        <w:t>áh Jahán in 1631, in the memory of his wife Mumtáz Maḥala, completed 1648.</w:t>
      </w:r>
    </w:p>
    <w:p w14:paraId="08D087F1" w14:textId="77777777" w:rsidR="00625A5B" w:rsidRPr="008F03E5" w:rsidRDefault="00625A5B" w:rsidP="00AB6CB8">
      <w:pPr>
        <w:pStyle w:val="Translit"/>
      </w:pPr>
      <w:r w:rsidRPr="008F03E5">
        <w:t>Taj Saltanah</w:t>
      </w:r>
      <w:r w:rsidRPr="008F03E5">
        <w:tab/>
        <w:t>Táj Salṭanah</w:t>
      </w:r>
      <w:r w:rsidRPr="008F03E5">
        <w:tab/>
        <w:t xml:space="preserve">(1883–1936) was a Persian princess, memoirist of the Qajar Dynasty, a daughter of Násir ad-Dín </w:t>
      </w:r>
      <w:r w:rsidRPr="008F03E5">
        <w:rPr>
          <w:u w:val="single"/>
        </w:rPr>
        <w:t>Sh</w:t>
      </w:r>
      <w:r w:rsidRPr="008F03E5">
        <w:t xml:space="preserve">áh.  </w:t>
      </w:r>
      <w:r w:rsidRPr="008F03E5">
        <w:rPr>
          <w:i/>
          <w:iCs/>
          <w:u w:val="single"/>
        </w:rPr>
        <w:t>Kh</w:t>
      </w:r>
      <w:r w:rsidRPr="008F03E5">
        <w:rPr>
          <w:i/>
          <w:iCs/>
        </w:rPr>
        <w:t>áṭirát-i-Táj al-Salṭanah</w:t>
      </w:r>
      <w:r w:rsidRPr="008F03E5">
        <w:t xml:space="preserve">, translated and published as </w:t>
      </w:r>
      <w:r w:rsidRPr="008F03E5">
        <w:rPr>
          <w:i/>
          <w:iCs/>
        </w:rPr>
        <w:t>Crowning Anguish:  Memoirs of a Persian Princess from the Harem to Modernity, 1844–1914</w:t>
      </w:r>
      <w:r w:rsidRPr="008F03E5">
        <w:t>.</w:t>
      </w:r>
    </w:p>
    <w:p w14:paraId="42FBD3B6" w14:textId="77777777" w:rsidR="00625A5B" w:rsidRPr="008F03E5" w:rsidRDefault="00625A5B" w:rsidP="00A463C2">
      <w:pPr>
        <w:pStyle w:val="Translit"/>
      </w:pPr>
      <w:r w:rsidRPr="00077779">
        <w:rPr>
          <w:lang w:val="es-ES_tradnl"/>
        </w:rPr>
        <w:t xml:space="preserve">Taj, </w:t>
      </w:r>
      <w:r>
        <w:rPr>
          <w:lang w:val="es-ES_tradnl"/>
        </w:rPr>
        <w:t xml:space="preserve">Tajan, </w:t>
      </w:r>
      <w:r w:rsidRPr="00077779">
        <w:rPr>
          <w:lang w:val="es-ES_tradnl"/>
        </w:rPr>
        <w:t>Tijan</w:t>
      </w:r>
      <w:r>
        <w:rPr>
          <w:lang w:val="es-ES_tradnl"/>
        </w:rPr>
        <w:t xml:space="preserve"> (“Tajes”, T</w:t>
      </w:r>
      <w:r w:rsidRPr="00A463C2">
        <w:rPr>
          <w:lang w:val="es-ES_tradnl"/>
        </w:rPr>
        <w:t>á</w:t>
      </w:r>
      <w:r>
        <w:rPr>
          <w:lang w:val="es-ES_tradnl"/>
        </w:rPr>
        <w:t>jes)</w:t>
      </w:r>
      <w:r w:rsidRPr="00077779">
        <w:rPr>
          <w:lang w:val="es-ES_tradnl"/>
        </w:rPr>
        <w:tab/>
        <w:t xml:space="preserve">Táj, </w:t>
      </w:r>
      <w:r>
        <w:rPr>
          <w:lang w:val="es-ES_tradnl"/>
        </w:rPr>
        <w:t>dual T</w:t>
      </w:r>
      <w:r w:rsidRPr="00A463C2">
        <w:rPr>
          <w:lang w:val="es-ES_tradnl"/>
        </w:rPr>
        <w:t>á</w:t>
      </w:r>
      <w:r>
        <w:rPr>
          <w:lang w:val="es-ES_tradnl"/>
        </w:rPr>
        <w:t>j</w:t>
      </w:r>
      <w:r w:rsidRPr="00A463C2">
        <w:rPr>
          <w:lang w:val="es-ES_tradnl"/>
        </w:rPr>
        <w:t>á</w:t>
      </w:r>
      <w:r>
        <w:rPr>
          <w:lang w:val="es-ES_tradnl"/>
        </w:rPr>
        <w:t xml:space="preserve">n, </w:t>
      </w:r>
      <w:r w:rsidRPr="00077779">
        <w:rPr>
          <w:lang w:val="es-ES_tradnl"/>
        </w:rPr>
        <w:t xml:space="preserve">pl. </w:t>
      </w:r>
      <w:r w:rsidRPr="008F03E5">
        <w:t>Tíján</w:t>
      </w:r>
      <w:r w:rsidRPr="008F03E5">
        <w:tab/>
        <w:t>crown; miter (of a bishop).</w:t>
      </w:r>
      <w:r>
        <w:t xml:space="preserve"> </w:t>
      </w:r>
      <w:r w:rsidRPr="008F03E5">
        <w:t xml:space="preserve"> Bahá’u’lláh wore tall conical felt hats (táj) (often brocaded) after departing Ba</w:t>
      </w:r>
      <w:r w:rsidRPr="008F03E5">
        <w:rPr>
          <w:u w:val="single"/>
        </w:rPr>
        <w:t>gh</w:t>
      </w:r>
      <w:r w:rsidRPr="008F03E5">
        <w:t>dád, sometimes with a small white turban wound around the base.</w:t>
      </w:r>
      <w:r>
        <w:t xml:space="preserve">  Turkish form, </w:t>
      </w:r>
      <w:r w:rsidRPr="006153D3">
        <w:t>Tekiş</w:t>
      </w:r>
      <w:r>
        <w:t>, “Tekish”, “crown”.  T</w:t>
      </w:r>
      <w:r w:rsidRPr="00A463C2">
        <w:t>á</w:t>
      </w:r>
      <w:r>
        <w:t>j</w:t>
      </w:r>
      <w:r w:rsidRPr="00A463C2">
        <w:t>á</w:t>
      </w:r>
      <w:r>
        <w:t>n River flows through S</w:t>
      </w:r>
      <w:r w:rsidRPr="00A463C2">
        <w:t>á</w:t>
      </w:r>
      <w:r>
        <w:t>r</w:t>
      </w:r>
      <w:r w:rsidRPr="00A463C2">
        <w:t>í</w:t>
      </w:r>
      <w:r>
        <w:t>, Mazandaran.</w:t>
      </w:r>
    </w:p>
    <w:p w14:paraId="51F5B892" w14:textId="77777777" w:rsidR="00625A5B" w:rsidRPr="008F03E5" w:rsidRDefault="00625A5B" w:rsidP="00FC674B">
      <w:pPr>
        <w:pStyle w:val="Translit"/>
      </w:pPr>
      <w:r w:rsidRPr="008F03E5">
        <w:t>Taj-Abad</w:t>
      </w:r>
      <w:r w:rsidRPr="008F03E5">
        <w:tab/>
        <w:t>Táj-Ábád</w:t>
      </w:r>
      <w:r w:rsidRPr="008F03E5">
        <w:tab/>
      </w:r>
      <w:r>
        <w:t>two villages on the Asad</w:t>
      </w:r>
      <w:r w:rsidRPr="00152C13">
        <w:t>á</w:t>
      </w:r>
      <w:r>
        <w:t>b</w:t>
      </w:r>
      <w:r w:rsidRPr="00152C13">
        <w:t>á</w:t>
      </w:r>
      <w:r>
        <w:t>d to Hamad</w:t>
      </w:r>
      <w:r w:rsidRPr="00152C13">
        <w:t>á</w:t>
      </w:r>
      <w:r>
        <w:t>n road:  T</w:t>
      </w:r>
      <w:r w:rsidRPr="00152C13">
        <w:t>á</w:t>
      </w:r>
      <w:r>
        <w:t>j</w:t>
      </w:r>
      <w:r w:rsidRPr="00152C13">
        <w:t>á</w:t>
      </w:r>
      <w:r>
        <w:t>b</w:t>
      </w:r>
      <w:r w:rsidRPr="00152C13">
        <w:t>á</w:t>
      </w:r>
      <w:r>
        <w:t>d-i-</w:t>
      </w:r>
      <w:r w:rsidRPr="008F03E5">
        <w:t xml:space="preserve">‘Ulyá </w:t>
      </w:r>
      <w:r>
        <w:t xml:space="preserve">(upper; </w:t>
      </w:r>
      <w:r w:rsidRPr="00152C13">
        <w:t>34.84010</w:t>
      </w:r>
      <w:r>
        <w:t>1</w:t>
      </w:r>
      <w:r w:rsidRPr="00152C13">
        <w:t>, 48.212725</w:t>
      </w:r>
      <w:r>
        <w:t xml:space="preserve">) </w:t>
      </w:r>
      <w:r w:rsidRPr="008F03E5">
        <w:t xml:space="preserve">and </w:t>
      </w:r>
      <w:r>
        <w:t>T</w:t>
      </w:r>
      <w:r w:rsidRPr="00152C13">
        <w:t>á</w:t>
      </w:r>
      <w:r>
        <w:t>j</w:t>
      </w:r>
      <w:r w:rsidRPr="00152C13">
        <w:t>á</w:t>
      </w:r>
      <w:r>
        <w:t>b</w:t>
      </w:r>
      <w:r w:rsidRPr="00152C13">
        <w:t>á</w:t>
      </w:r>
      <w:r>
        <w:t>d</w:t>
      </w:r>
      <w:r w:rsidRPr="008F03E5">
        <w:t>-i-Suflá (lower</w:t>
      </w:r>
      <w:r>
        <w:t xml:space="preserve">; </w:t>
      </w:r>
      <w:r w:rsidRPr="00152C13">
        <w:t>34.878876, 48.218330</w:t>
      </w:r>
      <w:r>
        <w:t>), 18 and 17 km respectively by road from Asad</w:t>
      </w:r>
      <w:r w:rsidRPr="00152C13">
        <w:t>á</w:t>
      </w:r>
      <w:r>
        <w:t>b</w:t>
      </w:r>
      <w:r w:rsidRPr="00152C13">
        <w:t>á</w:t>
      </w:r>
      <w:r>
        <w:t>d.  The T</w:t>
      </w:r>
      <w:r w:rsidRPr="00152C13">
        <w:t>á</w:t>
      </w:r>
      <w:r>
        <w:t>j</w:t>
      </w:r>
      <w:r w:rsidRPr="00152C13">
        <w:t>á</w:t>
      </w:r>
      <w:r>
        <w:t>b</w:t>
      </w:r>
      <w:r w:rsidRPr="00152C13">
        <w:t>á</w:t>
      </w:r>
      <w:r>
        <w:t>d</w:t>
      </w:r>
      <w:r w:rsidRPr="008F03E5">
        <w:t>-i-Suflá</w:t>
      </w:r>
      <w:r>
        <w:t xml:space="preserve"> </w:t>
      </w:r>
      <w:r w:rsidRPr="007765FF">
        <w:t>Caravanserai</w:t>
      </w:r>
      <w:r>
        <w:t xml:space="preserve"> is rare in being a circular structure.</w:t>
      </w:r>
    </w:p>
    <w:p w14:paraId="5AB68F81" w14:textId="77777777" w:rsidR="00625A5B" w:rsidRPr="00077779" w:rsidRDefault="00625A5B" w:rsidP="00E03A9D">
      <w:pPr>
        <w:pStyle w:val="Translit"/>
        <w:rPr>
          <w:lang w:val="es-ES_tradnl"/>
        </w:rPr>
      </w:pPr>
      <w:r w:rsidRPr="00077779">
        <w:rPr>
          <w:lang w:val="es-ES_tradnl"/>
        </w:rPr>
        <w:t>Tajalli, Tajalliyat or Tajalliyyat</w:t>
      </w:r>
      <w:r w:rsidRPr="00077779">
        <w:rPr>
          <w:lang w:val="es-ES_tradnl"/>
        </w:rPr>
        <w:tab/>
        <w:t>Tajallí, pl. Tajallíyát</w:t>
      </w:r>
      <w:r w:rsidRPr="00077779">
        <w:rPr>
          <w:lang w:val="es-ES_tradnl"/>
        </w:rPr>
        <w:tab/>
        <w:t>lustre, brightness, brilliancy; manifestation; transfiguration; splendour, glory; effulgence.  “Effulgences”, Tablet by Bahá’u’lláh</w:t>
      </w:r>
    </w:p>
    <w:p w14:paraId="28AC393B" w14:textId="77777777" w:rsidR="00625A5B" w:rsidRPr="008F03E5" w:rsidRDefault="00625A5B" w:rsidP="005924FE">
      <w:pPr>
        <w:pStyle w:val="Translit"/>
        <w:rPr>
          <w:rFonts w:eastAsia="PMingLiU"/>
          <w:lang w:eastAsia="zh-TW"/>
        </w:rPr>
      </w:pPr>
      <w:r w:rsidRPr="008F03E5">
        <w:t>Tajalliy-i</w:t>
      </w:r>
      <w:r w:rsidRPr="008F03E5">
        <w:rPr>
          <w:rFonts w:eastAsia="PMingLiU"/>
          <w:lang w:eastAsia="zh-TW"/>
        </w:rPr>
        <w:t>-‘</w:t>
      </w:r>
      <w:r w:rsidRPr="008F03E5">
        <w:t>Am</w:t>
      </w:r>
      <w:r w:rsidRPr="008F03E5">
        <w:rPr>
          <w:i/>
          <w:iCs/>
        </w:rPr>
        <w:tab/>
      </w:r>
      <w:r w:rsidRPr="008F03E5">
        <w:t>Tajallíy-i-‘Ám</w:t>
      </w:r>
      <w:r w:rsidRPr="008F03E5">
        <w:tab/>
        <w:t>“The Universal Revelation of God”</w:t>
      </w:r>
    </w:p>
    <w:p w14:paraId="721C5F74" w14:textId="77777777" w:rsidR="00625A5B" w:rsidRPr="008F03E5" w:rsidRDefault="00625A5B" w:rsidP="00900A82">
      <w:pPr>
        <w:pStyle w:val="Translit"/>
        <w:rPr>
          <w:rFonts w:eastAsia="PMingLiU"/>
          <w:lang w:eastAsia="zh-TW"/>
        </w:rPr>
      </w:pPr>
      <w:r w:rsidRPr="008F03E5">
        <w:t>Tajalliy-i-Khass</w:t>
      </w:r>
      <w:r w:rsidRPr="008F03E5">
        <w:tab/>
        <w:t>Tajallíy-i-</w:t>
      </w:r>
      <w:r w:rsidRPr="008F03E5">
        <w:rPr>
          <w:u w:val="single"/>
        </w:rPr>
        <w:t>Kh</w:t>
      </w:r>
      <w:r w:rsidRPr="008F03E5">
        <w:t>áṣṣ</w:t>
      </w:r>
      <w:r w:rsidRPr="008F03E5">
        <w:tab/>
        <w:t>“The Specific Revelation of God”</w:t>
      </w:r>
    </w:p>
    <w:p w14:paraId="4586C8DF" w14:textId="77777777" w:rsidR="00625A5B" w:rsidRPr="008F03E5" w:rsidRDefault="00625A5B" w:rsidP="00900A82">
      <w:pPr>
        <w:pStyle w:val="Translit"/>
        <w:rPr>
          <w:rFonts w:eastAsia="PMingLiU"/>
          <w:lang w:eastAsia="zh-TW"/>
        </w:rPr>
      </w:pPr>
      <w:r w:rsidRPr="008F03E5">
        <w:t>Tajalliy-i-Thani</w:t>
      </w:r>
      <w:r w:rsidRPr="008F03E5">
        <w:tab/>
        <w:t>Tajallíy-i-</w:t>
      </w:r>
      <w:r w:rsidRPr="008F03E5">
        <w:rPr>
          <w:u w:val="single"/>
        </w:rPr>
        <w:t>Th</w:t>
      </w:r>
      <w:r w:rsidRPr="008F03E5">
        <w:t>ání</w:t>
      </w:r>
      <w:r w:rsidRPr="008F03E5">
        <w:tab/>
        <w:t>“The Secondary Revelation of God”</w:t>
      </w:r>
    </w:p>
    <w:p w14:paraId="5ED4E3DC" w14:textId="77777777" w:rsidR="00625A5B" w:rsidRPr="008F03E5" w:rsidRDefault="00625A5B" w:rsidP="00FE3872">
      <w:pPr>
        <w:pStyle w:val="Translit"/>
      </w:pPr>
      <w:r w:rsidRPr="008F03E5">
        <w:t>Tajarrud</w:t>
      </w:r>
      <w:r w:rsidRPr="008F03E5">
        <w:tab/>
        <w:t>Tajarrud</w:t>
      </w:r>
      <w:r w:rsidRPr="008F03E5">
        <w:tab/>
        <w:t xml:space="preserve">freedom; isolation; </w:t>
      </w:r>
      <w:r w:rsidRPr="008F03E5">
        <w:rPr>
          <w:rFonts w:eastAsia="Times New Roman"/>
        </w:rPr>
        <w:t xml:space="preserve">living in solitude; </w:t>
      </w:r>
      <w:r w:rsidRPr="008F03E5">
        <w:t>independence, impartiality; absoluteness; abstractness, abstraction</w:t>
      </w:r>
    </w:p>
    <w:p w14:paraId="28364863" w14:textId="77777777" w:rsidR="00625A5B" w:rsidRPr="008F03E5" w:rsidRDefault="00625A5B" w:rsidP="00784753">
      <w:pPr>
        <w:pStyle w:val="Translit"/>
      </w:pPr>
      <w:r w:rsidRPr="008F03E5">
        <w:t>Tajdid, Tajdidat</w:t>
      </w:r>
      <w:r w:rsidRPr="008F03E5">
        <w:tab/>
        <w:t>Tajdíd, pl. Tajdídát</w:t>
      </w:r>
      <w:r w:rsidRPr="008F03E5">
        <w:tab/>
        <w:t>renewal (also. e.g., of a permit); creation of something new; new presentation, new production (theatre); innovation; reorganization, reform; modernization; renovation, restoration, remodelling, refitting, reconditioning, refurbishing; rejuvenation, regeneration;—pl. innovations; new achievements</w:t>
      </w:r>
    </w:p>
    <w:p w14:paraId="4583D329" w14:textId="77777777" w:rsidR="00625A5B" w:rsidRPr="008F03E5" w:rsidRDefault="00625A5B" w:rsidP="00784753">
      <w:pPr>
        <w:pStyle w:val="Translit"/>
      </w:pPr>
      <w:r w:rsidRPr="008F03E5">
        <w:t>Tajik</w:t>
      </w:r>
      <w:r w:rsidRPr="008F03E5">
        <w:tab/>
        <w:t>Tájik</w:t>
      </w:r>
      <w:r w:rsidRPr="008F03E5">
        <w:tab/>
        <w:t>general designation for a wide range of Persian-speaking people of Iranian origin, with traditional homelands in present-day Tajikistan, Afghanistan and Uzbekistan.</w:t>
      </w:r>
    </w:p>
    <w:p w14:paraId="6D489386" w14:textId="77777777" w:rsidR="00625A5B" w:rsidRPr="008F03E5" w:rsidRDefault="00625A5B" w:rsidP="00D67884">
      <w:pPr>
        <w:pStyle w:val="Translit"/>
      </w:pPr>
      <w:r w:rsidRPr="00077779">
        <w:rPr>
          <w:lang w:val="es-ES_tradnl"/>
        </w:rPr>
        <w:t>Tajir, Tujjar, Tijar</w:t>
      </w:r>
      <w:r w:rsidRPr="00077779">
        <w:rPr>
          <w:lang w:val="es-ES_tradnl"/>
        </w:rPr>
        <w:tab/>
        <w:t xml:space="preserve">Tájir, pl. </w:t>
      </w:r>
      <w:r w:rsidRPr="008F03E5">
        <w:t>Tujjár, Tijár</w:t>
      </w:r>
      <w:r w:rsidRPr="008F03E5">
        <w:tab/>
        <w:t>merchant, trader, businessman, dealer, tradesman</w:t>
      </w:r>
    </w:p>
    <w:p w14:paraId="14506E66" w14:textId="77777777" w:rsidR="00625A5B" w:rsidRPr="008F03E5" w:rsidRDefault="00625A5B" w:rsidP="00D23B2E">
      <w:pPr>
        <w:pStyle w:val="Translit"/>
      </w:pPr>
      <w:r w:rsidRPr="008F03E5">
        <w:t>Tajrid al-I’tiqad</w:t>
      </w:r>
      <w:r w:rsidRPr="008F03E5">
        <w:tab/>
        <w:t>Tajríd al-I‘tiqád</w:t>
      </w:r>
      <w:r w:rsidRPr="008F03E5">
        <w:tab/>
        <w:t>(“Summation of Belief”) a commentary on Shia doctrines by Naṣíru’d-Dín Ṭúsí</w:t>
      </w:r>
    </w:p>
    <w:p w14:paraId="6CA7F620" w14:textId="77777777" w:rsidR="00625A5B" w:rsidRPr="008F03E5" w:rsidRDefault="00625A5B" w:rsidP="00E74C8C">
      <w:pPr>
        <w:pStyle w:val="Translit"/>
      </w:pPr>
      <w:r w:rsidRPr="008F03E5">
        <w:t>Tajrid</w:t>
      </w:r>
      <w:r w:rsidRPr="008F03E5">
        <w:tab/>
        <w:t>Tajríd</w:t>
      </w:r>
      <w:r w:rsidRPr="008F03E5">
        <w:tab/>
        <w:t>peeling, paring; disrobement, stripping; denudation; deprivation; divestment; disarmament; dispatching (of troops); freeing; isolation; abstraction, detachment.</w:t>
      </w:r>
    </w:p>
    <w:p w14:paraId="029A16E0" w14:textId="77777777" w:rsidR="00625A5B" w:rsidRDefault="00625A5B" w:rsidP="00E74C8C">
      <w:pPr>
        <w:pStyle w:val="Translit"/>
      </w:pPr>
      <w:r w:rsidRPr="00E74C8C">
        <w:rPr>
          <w:lang w:val="es-ES_tradnl"/>
        </w:rPr>
        <w:t>Tajrida, Tajridat, Tajarid</w:t>
      </w:r>
      <w:r w:rsidRPr="00E74C8C">
        <w:rPr>
          <w:lang w:val="es-ES_tradnl"/>
        </w:rPr>
        <w:tab/>
        <w:t xml:space="preserve">Tajrída[h or t], pl. </w:t>
      </w:r>
      <w:r>
        <w:t>Tajridá</w:t>
      </w:r>
      <w:r w:rsidRPr="00E74C8C">
        <w:t>t</w:t>
      </w:r>
      <w:r>
        <w:t>,</w:t>
      </w:r>
      <w:r w:rsidRPr="00E74C8C">
        <w:t xml:space="preserve"> </w:t>
      </w:r>
      <w:r>
        <w:t>T</w:t>
      </w:r>
      <w:r w:rsidRPr="00E74C8C">
        <w:t>aj</w:t>
      </w:r>
      <w:r>
        <w:t>á</w:t>
      </w:r>
      <w:r w:rsidRPr="00E74C8C">
        <w:t>r</w:t>
      </w:r>
      <w:r>
        <w:t>í</w:t>
      </w:r>
      <w:r w:rsidRPr="00E74C8C">
        <w:t>d</w:t>
      </w:r>
      <w:r>
        <w:tab/>
        <w:t xml:space="preserve">(fem. of </w:t>
      </w:r>
      <w:r w:rsidRPr="008F03E5">
        <w:t>Tajríd</w:t>
      </w:r>
      <w:r w:rsidRPr="00E74C8C">
        <w:t xml:space="preserve"> </w:t>
      </w:r>
      <w:r>
        <w:t xml:space="preserve">) </w:t>
      </w:r>
      <w:r w:rsidRPr="00E74C8C">
        <w:t>military detachment, expeditionary force</w:t>
      </w:r>
    </w:p>
    <w:p w14:paraId="6C6C3C68" w14:textId="77777777" w:rsidR="00625A5B" w:rsidRPr="008F03E5" w:rsidRDefault="00625A5B" w:rsidP="00E41DC4">
      <w:pPr>
        <w:pStyle w:val="Translit"/>
      </w:pPr>
      <w:r w:rsidRPr="008F03E5">
        <w:t>Tajrish</w:t>
      </w:r>
      <w:r w:rsidRPr="008F03E5">
        <w:tab/>
        <w:t>Tajrí</w:t>
      </w:r>
      <w:r w:rsidRPr="008F03E5">
        <w:rPr>
          <w:u w:val="single"/>
        </w:rPr>
        <w:t>sh</w:t>
      </w:r>
      <w:r w:rsidRPr="008F03E5">
        <w:tab/>
        <w:t>Pers. village (35.804916, 51.433882), now a neighbourhood of Tehran (in District 1)</w:t>
      </w:r>
    </w:p>
    <w:p w14:paraId="0F5641FF" w14:textId="77777777" w:rsidR="00625A5B" w:rsidRPr="008F03E5" w:rsidRDefault="00625A5B" w:rsidP="00E41DC4">
      <w:pPr>
        <w:pStyle w:val="Translit"/>
        <w:rPr>
          <w:rFonts w:eastAsia="PMingLiU"/>
          <w:lang w:eastAsia="zh-TW"/>
        </w:rPr>
      </w:pPr>
      <w:r w:rsidRPr="008F03E5">
        <w:t>Tajwid</w:t>
      </w:r>
      <w:r w:rsidRPr="008F03E5">
        <w:tab/>
        <w:t>Tajwíd</w:t>
      </w:r>
      <w:r w:rsidRPr="008F03E5">
        <w:tab/>
        <w:t>saying, doing, or making good; doing well.  The art of reciting the Qur’án, Qur’án reading (in accordance with established rules of pronunciation and intonation).</w:t>
      </w:r>
    </w:p>
    <w:p w14:paraId="7B2E805E" w14:textId="77777777" w:rsidR="00625A5B" w:rsidRPr="008F03E5" w:rsidRDefault="00625A5B" w:rsidP="007404DB">
      <w:pPr>
        <w:pStyle w:val="Translit"/>
        <w:rPr>
          <w:rFonts w:eastAsia="PMingLiU"/>
          <w:lang w:eastAsia="zh-TW"/>
        </w:rPr>
      </w:pPr>
      <w:r w:rsidRPr="008F03E5">
        <w:rPr>
          <w:rFonts w:eastAsia="PMingLiU"/>
          <w:lang w:eastAsia="zh-TW"/>
        </w:rPr>
        <w:t>Takathur</w:t>
      </w:r>
      <w:r w:rsidRPr="008F03E5">
        <w:rPr>
          <w:rFonts w:eastAsia="PMingLiU"/>
          <w:lang w:eastAsia="zh-TW"/>
        </w:rPr>
        <w:tab/>
        <w:t>Taká</w:t>
      </w:r>
      <w:r w:rsidRPr="008F03E5">
        <w:rPr>
          <w:rFonts w:eastAsia="PMingLiU"/>
          <w:u w:val="single"/>
          <w:lang w:eastAsia="zh-TW"/>
        </w:rPr>
        <w:t>th</w:t>
      </w:r>
      <w:r w:rsidRPr="008F03E5">
        <w:rPr>
          <w:rFonts w:eastAsia="PMingLiU"/>
          <w:lang w:eastAsia="zh-TW"/>
        </w:rPr>
        <w:t>ur</w:t>
      </w:r>
      <w:r w:rsidRPr="008F03E5">
        <w:rPr>
          <w:rFonts w:eastAsia="PMingLiU"/>
          <w:lang w:eastAsia="zh-TW"/>
        </w:rPr>
        <w:tab/>
        <w:t>growth, increase; multiplication, propagation, proliferation; (the act of) seeking to increase, to obtain more; vying to accumulate more.</w:t>
      </w:r>
    </w:p>
    <w:p w14:paraId="41FF80D9" w14:textId="77777777" w:rsidR="00625A5B" w:rsidRPr="001457C8" w:rsidRDefault="00625A5B" w:rsidP="0025780F">
      <w:pPr>
        <w:pStyle w:val="Translit"/>
        <w:rPr>
          <w:rFonts w:eastAsia="PMingLiU"/>
          <w:lang w:val="fr-FR" w:eastAsia="zh-TW"/>
        </w:rPr>
      </w:pPr>
      <w:r w:rsidRPr="001457C8">
        <w:rPr>
          <w:rFonts w:eastAsia="PMingLiU"/>
          <w:lang w:val="fr-FR" w:eastAsia="zh-TW"/>
        </w:rPr>
        <w:t>Takbir</w:t>
      </w:r>
      <w:r w:rsidRPr="001457C8">
        <w:rPr>
          <w:rFonts w:eastAsia="PMingLiU"/>
          <w:lang w:val="fr-FR" w:eastAsia="zh-TW"/>
        </w:rPr>
        <w:tab/>
        <w:t>Takbír</w:t>
      </w:r>
      <w:r w:rsidRPr="001457C8">
        <w:rPr>
          <w:rFonts w:eastAsia="PMingLiU"/>
          <w:lang w:val="fr-FR" w:eastAsia="zh-TW"/>
        </w:rPr>
        <w:tab/>
        <w:t>enlargement, increase, augmentation, magnification; enhancement, aggrandizement; intensification, amplification; exaggeration; augmentative (grammar); praise, laudation, extolment, exaltation, glorification</w:t>
      </w:r>
    </w:p>
    <w:p w14:paraId="01FED17D" w14:textId="77777777" w:rsidR="00625A5B" w:rsidRPr="008F03E5" w:rsidRDefault="00625A5B" w:rsidP="004A7C72">
      <w:pPr>
        <w:pStyle w:val="Translit"/>
      </w:pPr>
      <w:r w:rsidRPr="008F03E5">
        <w:t>Takfir</w:t>
      </w:r>
      <w:r w:rsidRPr="008F03E5">
        <w:tab/>
        <w:t>Takfír</w:t>
      </w:r>
      <w:r w:rsidRPr="008F03E5">
        <w:tab/>
        <w:t>expiation (of), atonement, penance (for a sin); seduction to infidelity; charge of unbelief; a formal denunciation by the ‘ulamá; judged as being a disbeliever.  See t</w:t>
      </w:r>
      <w:r w:rsidRPr="008F03E5">
        <w:rPr>
          <w:rFonts w:eastAsia="Times New Roman"/>
        </w:rPr>
        <w:t>afsíq.</w:t>
      </w:r>
    </w:p>
    <w:p w14:paraId="27B754EB" w14:textId="77777777" w:rsidR="00625A5B" w:rsidRPr="008F03E5" w:rsidRDefault="00625A5B" w:rsidP="00375F36">
      <w:pPr>
        <w:pStyle w:val="Translit"/>
      </w:pPr>
      <w:r w:rsidRPr="008F03E5">
        <w:t>Takhallus (Taqhallus)</w:t>
      </w:r>
      <w:r w:rsidRPr="008F03E5">
        <w:tab/>
        <w:t>Ta</w:t>
      </w:r>
      <w:r w:rsidRPr="008F03E5">
        <w:rPr>
          <w:u w:val="single"/>
        </w:rPr>
        <w:t>kh</w:t>
      </w:r>
      <w:r w:rsidRPr="008F03E5">
        <w:t>allu</w:t>
      </w:r>
      <w:r w:rsidRPr="000A5181">
        <w:t>ṣ</w:t>
      </w:r>
      <w:r w:rsidRPr="008F03E5">
        <w:tab/>
      </w:r>
      <w:r w:rsidRPr="000A5181">
        <w:t>freedom, liberation, release, extrication, escape (from)</w:t>
      </w:r>
      <w:r>
        <w:t xml:space="preserve">.  Word borrowed (with the meaning of “pen name”) to describe a pen name that is </w:t>
      </w:r>
      <w:r w:rsidRPr="00BF07BE">
        <w:t>widely adopted</w:t>
      </w:r>
      <w:r>
        <w:t xml:space="preserve"> </w:t>
      </w:r>
      <w:r w:rsidRPr="00BF07BE">
        <w:t>by Urdu, Punjabi, Hindi and Persian poets</w:t>
      </w:r>
      <w:r>
        <w:t xml:space="preserve">—the pen name is </w:t>
      </w:r>
      <w:r w:rsidRPr="008F03E5">
        <w:t>often added to their name.  A poet’s ta</w:t>
      </w:r>
      <w:r w:rsidRPr="008F03E5">
        <w:rPr>
          <w:u w:val="single"/>
        </w:rPr>
        <w:t>kh</w:t>
      </w:r>
      <w:r w:rsidRPr="008F03E5">
        <w:t>allu</w:t>
      </w:r>
      <w:r w:rsidRPr="000A5181">
        <w:t>ṣ</w:t>
      </w:r>
      <w:r w:rsidRPr="008F03E5">
        <w:t xml:space="preserve"> is often included towards the end of a </w:t>
      </w:r>
      <w:r w:rsidRPr="008F03E5">
        <w:rPr>
          <w:u w:val="single"/>
        </w:rPr>
        <w:t>gh</w:t>
      </w:r>
      <w:r w:rsidRPr="008F03E5">
        <w:t>azal written by him.</w:t>
      </w:r>
    </w:p>
    <w:p w14:paraId="3F41912B" w14:textId="77777777" w:rsidR="00625A5B" w:rsidRPr="008F03E5" w:rsidRDefault="00625A5B" w:rsidP="00F46511">
      <w:pPr>
        <w:pStyle w:val="Translit"/>
      </w:pPr>
      <w:r w:rsidRPr="008F03E5">
        <w:t>Takht, Takhta (Takhtih)</w:t>
      </w:r>
      <w:r w:rsidRPr="008F03E5">
        <w:tab/>
        <w:t>Ta</w:t>
      </w:r>
      <w:r w:rsidRPr="008F03E5">
        <w:rPr>
          <w:u w:val="single"/>
        </w:rPr>
        <w:t>kh</w:t>
      </w:r>
      <w:r w:rsidRPr="008F03E5">
        <w:t>t, fem. Ta</w:t>
      </w:r>
      <w:r w:rsidRPr="008F03E5">
        <w:rPr>
          <w:u w:val="single"/>
        </w:rPr>
        <w:t>kh</w:t>
      </w:r>
      <w:r w:rsidRPr="008F03E5">
        <w:t>ta(h or t)</w:t>
      </w:r>
      <w:r w:rsidRPr="008F03E5">
        <w:tab/>
        <w:t>Pers. a royal throne, chair of state; a seat, sofa; a bed; any place raised above the ground for sleeping, sitting, or reclining; a saddle; a capital, the royal residence; a wardrobe, clothes-press, chest</w:t>
      </w:r>
    </w:p>
    <w:p w14:paraId="516AE846" w14:textId="77777777" w:rsidR="00625A5B" w:rsidRPr="008F03E5" w:rsidRDefault="00625A5B" w:rsidP="00382C19">
      <w:pPr>
        <w:pStyle w:val="Translit"/>
        <w:rPr>
          <w:rFonts w:eastAsia="PMingLiU"/>
          <w:lang w:eastAsia="zh-TW"/>
        </w:rPr>
      </w:pPr>
      <w:r w:rsidRPr="008F03E5">
        <w:rPr>
          <w:rFonts w:eastAsia="PMingLiU"/>
          <w:lang w:eastAsia="zh-TW"/>
        </w:rPr>
        <w:t>Takhtarawan, Takht-i-Rawan</w:t>
      </w:r>
      <w:r w:rsidRPr="008F03E5">
        <w:tab/>
      </w:r>
      <w:r w:rsidRPr="008F03E5">
        <w:rPr>
          <w:rFonts w:eastAsia="PMingLiU"/>
          <w:lang w:eastAsia="zh-TW"/>
        </w:rPr>
        <w:t>Ta</w:t>
      </w:r>
      <w:r w:rsidRPr="008F03E5">
        <w:rPr>
          <w:u w:val="single"/>
        </w:rPr>
        <w:t>kh</w:t>
      </w:r>
      <w:r w:rsidRPr="008F03E5">
        <w:rPr>
          <w:rFonts w:eastAsia="PMingLiU"/>
          <w:lang w:eastAsia="zh-TW"/>
        </w:rPr>
        <w:t>tarawán, Pers. Ta</w:t>
      </w:r>
      <w:r w:rsidRPr="008F03E5">
        <w:rPr>
          <w:u w:val="single"/>
        </w:rPr>
        <w:t>kh</w:t>
      </w:r>
      <w:r w:rsidRPr="008F03E5">
        <w:rPr>
          <w:rFonts w:eastAsia="PMingLiU"/>
          <w:lang w:eastAsia="zh-TW"/>
        </w:rPr>
        <w:t>t-i-Rawán</w:t>
      </w:r>
      <w:r w:rsidRPr="008F03E5">
        <w:tab/>
        <w:t xml:space="preserve">mule-borne litter with poles; a travelling-bed with poles, like our sedan-chairs, but borne by mules; the throne of Solomon; an easy-paced horse; the sky; name of four stars in the constellation of the Bear.  Raván (34.880665, 48.295531) is a village 22 km </w:t>
      </w:r>
      <w:r w:rsidRPr="008F03E5">
        <w:rPr>
          <w:sz w:val="16"/>
          <w:szCs w:val="16"/>
        </w:rPr>
        <w:t>NW</w:t>
      </w:r>
      <w:r w:rsidRPr="008F03E5">
        <w:t xml:space="preserve"> of Hamadan, in Hamadan Province, Iran.</w:t>
      </w:r>
    </w:p>
    <w:p w14:paraId="0D5DB47A" w14:textId="77777777" w:rsidR="00625A5B" w:rsidRPr="008F03E5" w:rsidRDefault="00625A5B" w:rsidP="00F73D5E">
      <w:pPr>
        <w:pStyle w:val="Translit"/>
      </w:pPr>
      <w:r w:rsidRPr="008F03E5">
        <w:t>Takht-i-Fulad</w:t>
      </w:r>
      <w:r w:rsidRPr="008F03E5">
        <w:tab/>
        <w:t>Ta</w:t>
      </w:r>
      <w:r w:rsidRPr="008F03E5">
        <w:rPr>
          <w:u w:val="single"/>
        </w:rPr>
        <w:t>kh</w:t>
      </w:r>
      <w:r w:rsidRPr="008F03E5">
        <w:t>t-i-Fúlád</w:t>
      </w:r>
      <w:r w:rsidRPr="008F03E5">
        <w:tab/>
        <w:t>‘the Throne of Steel’</w:t>
      </w:r>
    </w:p>
    <w:p w14:paraId="5EE16723" w14:textId="77777777" w:rsidR="00625A5B" w:rsidRPr="008F03E5" w:rsidRDefault="00625A5B" w:rsidP="005A50B1">
      <w:pPr>
        <w:pStyle w:val="Translit"/>
      </w:pPr>
      <w:r w:rsidRPr="008F03E5">
        <w:rPr>
          <w:rFonts w:eastAsia="Times New Roman"/>
        </w:rPr>
        <w:t>Takistan</w:t>
      </w:r>
      <w:r w:rsidRPr="008F03E5">
        <w:rPr>
          <w:rFonts w:eastAsia="Times New Roman"/>
        </w:rPr>
        <w:tab/>
        <w:t>Tákist</w:t>
      </w:r>
      <w:r w:rsidRPr="008F03E5">
        <w:t>á</w:t>
      </w:r>
      <w:r w:rsidRPr="008F03E5">
        <w:rPr>
          <w:rFonts w:eastAsia="Times New Roman"/>
        </w:rPr>
        <w:t>n</w:t>
      </w:r>
      <w:r w:rsidRPr="008F03E5">
        <w:rPr>
          <w:rFonts w:eastAsia="Times New Roman"/>
        </w:rPr>
        <w:tab/>
        <w:t>Pers. a vineyard</w:t>
      </w:r>
    </w:p>
    <w:p w14:paraId="083E9A1C" w14:textId="77777777" w:rsidR="00625A5B" w:rsidRPr="008F03E5" w:rsidRDefault="00625A5B" w:rsidP="002D7BCF">
      <w:pPr>
        <w:pStyle w:val="Translit"/>
      </w:pPr>
      <w:r w:rsidRPr="008F03E5">
        <w:t>Takiya (Takiyya, Takyih), Takaya</w:t>
      </w:r>
      <w:r w:rsidRPr="008F03E5">
        <w:tab/>
        <w:t>Takíya[h], pl. Takáyá</w:t>
      </w:r>
      <w:r w:rsidRPr="008F03E5">
        <w:tab/>
        <w:t>monastery (of a Muslim order, i.e. the sufis); hospice; home, asylum (for the invalided or needy).  In Iran Takíyah have become buildings used in Shi’ite Islamic worship and mourning.  See takya</w:t>
      </w:r>
    </w:p>
    <w:p w14:paraId="64AAE954" w14:textId="77777777" w:rsidR="00625A5B" w:rsidRPr="008F03E5" w:rsidRDefault="00625A5B" w:rsidP="00D83453">
      <w:pPr>
        <w:pStyle w:val="Translit"/>
      </w:pPr>
      <w:r w:rsidRPr="008F03E5">
        <w:t>Takiyiy-i-Mawlana Khalid</w:t>
      </w:r>
      <w:r w:rsidRPr="008F03E5">
        <w:tab/>
        <w:t xml:space="preserve">Takíyiy-i-Mawláná </w:t>
      </w:r>
      <w:r w:rsidRPr="008F03E5">
        <w:rPr>
          <w:u w:val="single"/>
        </w:rPr>
        <w:t>Kh</w:t>
      </w:r>
      <w:r w:rsidRPr="008F03E5">
        <w:t>álid</w:t>
      </w:r>
      <w:r w:rsidRPr="008F03E5">
        <w:tab/>
        <w:t xml:space="preserve">theological seminary of Mawláná </w:t>
      </w:r>
      <w:r w:rsidRPr="008F03E5">
        <w:rPr>
          <w:u w:val="single"/>
        </w:rPr>
        <w:t>Kh</w:t>
      </w:r>
      <w:r w:rsidRPr="008F03E5">
        <w:t>álid (35.569142, 45.448971?), Sulaymáníyyih.  A place where Bahá’u’lláh stayed when visiting the city.</w:t>
      </w:r>
    </w:p>
    <w:p w14:paraId="0BC62E76" w14:textId="77777777" w:rsidR="00625A5B" w:rsidRPr="008F03E5" w:rsidRDefault="00625A5B" w:rsidP="00D83453">
      <w:pPr>
        <w:pStyle w:val="Translit"/>
      </w:pPr>
      <w:r w:rsidRPr="008F03E5">
        <w:t>Takiyiy-i-Mawlawi</w:t>
      </w:r>
      <w:r w:rsidRPr="008F03E5">
        <w:tab/>
        <w:t>Takíyiy-i-Mawlawí</w:t>
      </w:r>
      <w:r w:rsidRPr="008F03E5">
        <w:tab/>
        <w:t>theological seminary of Mawlawí dervishes</w:t>
      </w:r>
    </w:p>
    <w:p w14:paraId="4CF10A68" w14:textId="77777777" w:rsidR="00625A5B" w:rsidRPr="008F03E5" w:rsidRDefault="00625A5B" w:rsidP="001E5E0A">
      <w:pPr>
        <w:pStyle w:val="Translit"/>
      </w:pPr>
      <w:r w:rsidRPr="008F03E5">
        <w:t>Taklif, Takalif</w:t>
      </w:r>
      <w:r w:rsidRPr="008F03E5">
        <w:tab/>
        <w:t>Taklíf, pl. Takálíf</w:t>
      </w:r>
      <w:r w:rsidRPr="008F03E5">
        <w:tab/>
        <w:t>burdening, bothering, troubling, inconveniencing; commissioning, charging, authorization; commandment (of God); burden, annoyance, nuisance, bother; trouble, inconvenience, discomfort; fuss, ado; formality, ceremonial of courtesy, ceremony; expenses, expenditure, outlay, costs, charges, overhead; prime cost; taxes, imposts, (religious) duties; taxation, encumbrance with a tax; legal capacity (Islamic Law)</w:t>
      </w:r>
    </w:p>
    <w:p w14:paraId="562911B2" w14:textId="77777777" w:rsidR="00625A5B" w:rsidRPr="008F03E5" w:rsidRDefault="00625A5B" w:rsidP="00616739">
      <w:pPr>
        <w:pStyle w:val="Translit"/>
      </w:pPr>
      <w:r w:rsidRPr="008F03E5">
        <w:t>Takmil</w:t>
      </w:r>
      <w:r w:rsidRPr="008F03E5">
        <w:tab/>
        <w:t>Takmíl</w:t>
      </w:r>
      <w:r w:rsidRPr="008F03E5">
        <w:tab/>
        <w:t>completion, complementing, perfecting, perfection; conclusion, termination, windup; consummation, execution</w:t>
      </w:r>
    </w:p>
    <w:p w14:paraId="0098B24F" w14:textId="77777777" w:rsidR="00625A5B" w:rsidRPr="008F03E5" w:rsidRDefault="00625A5B" w:rsidP="00BE2086">
      <w:pPr>
        <w:pStyle w:val="Translit"/>
      </w:pPr>
      <w:r w:rsidRPr="008F03E5">
        <w:rPr>
          <w:lang w:eastAsia="en-US"/>
        </w:rPr>
        <w:t>Takmil-i-Din</w:t>
      </w:r>
      <w:r w:rsidRPr="008F03E5">
        <w:rPr>
          <w:lang w:eastAsia="en-US"/>
        </w:rPr>
        <w:tab/>
        <w:t>Takmíl-i-Dín</w:t>
      </w:r>
      <w:r w:rsidRPr="008F03E5">
        <w:rPr>
          <w:lang w:eastAsia="en-US"/>
        </w:rPr>
        <w:tab/>
        <w:t>perfection of religion</w:t>
      </w:r>
    </w:p>
    <w:p w14:paraId="7CFD2F9A" w14:textId="77777777" w:rsidR="00625A5B" w:rsidRPr="008F03E5" w:rsidRDefault="00625A5B" w:rsidP="00E74DD4">
      <w:pPr>
        <w:pStyle w:val="Translit"/>
      </w:pPr>
      <w:r w:rsidRPr="008F03E5">
        <w:t>Takur (Takor, Takar)</w:t>
      </w:r>
      <w:r w:rsidRPr="008F03E5">
        <w:tab/>
        <w:t>Tákur (Tákar)</w:t>
      </w:r>
      <w:r w:rsidRPr="008F03E5">
        <w:tab/>
        <w:t xml:space="preserve">village </w:t>
      </w:r>
      <w:bookmarkStart w:id="141" w:name="_Hlk53921292"/>
      <w:r w:rsidRPr="008F03E5">
        <w:t>(36.200164, 52.010178)</w:t>
      </w:r>
      <w:bookmarkEnd w:id="141"/>
      <w:r w:rsidRPr="008F03E5">
        <w:t xml:space="preserve"> 40 km south of Núr and 47.5 km </w:t>
      </w:r>
      <w:r w:rsidRPr="008F03E5">
        <w:rPr>
          <w:sz w:val="16"/>
          <w:szCs w:val="16"/>
        </w:rPr>
        <w:t>NE</w:t>
      </w:r>
      <w:r w:rsidRPr="008F03E5">
        <w:t xml:space="preserve"> of Afjih.  Bahá’u’lláh’s ancestral home (36.198842, 52.010238) is in this village.  It was destroyed by the government in 1981.  The inscription</w:t>
      </w:r>
      <w:r w:rsidRPr="008F03E5">
        <w:rPr>
          <w:rStyle w:val="FootnoteReference"/>
        </w:rPr>
        <w:footnoteReference w:id="22"/>
      </w:r>
      <w:r w:rsidRPr="008F03E5">
        <w:t xml:space="preserve"> on a large wooden plaque above the house entrance is proof, according to ‘Abdu’l-Bahá, that Mírzá Buzurg recognized the station of His son as the Manifestation of God.</w:t>
      </w:r>
    </w:p>
    <w:p w14:paraId="18181BEA" w14:textId="77777777" w:rsidR="00625A5B" w:rsidRPr="008F03E5" w:rsidRDefault="00625A5B" w:rsidP="007821A3">
      <w:pPr>
        <w:pStyle w:val="Translit"/>
      </w:pPr>
      <w:r w:rsidRPr="008F03E5">
        <w:t>Takwin (Takvin), Takawin</w:t>
      </w:r>
      <w:r w:rsidRPr="008F03E5">
        <w:tab/>
        <w:t>Takwín, pl. Takáwín</w:t>
      </w:r>
      <w:r w:rsidRPr="008F03E5">
        <w:tab/>
        <w:t>forming, shaping, formation, creation, origination;—pl. formation (of rock; geology).  Pers. giving a being (kawn) or beginning to, causing to exist, originating, creating; genesis.</w:t>
      </w:r>
    </w:p>
    <w:p w14:paraId="6FF38D56" w14:textId="77777777" w:rsidR="00625A5B" w:rsidRPr="008F03E5" w:rsidRDefault="00625A5B" w:rsidP="006830FF">
      <w:pPr>
        <w:pStyle w:val="Translit"/>
      </w:pPr>
      <w:r w:rsidRPr="008F03E5">
        <w:t>Takwiniya</w:t>
      </w:r>
      <w:r w:rsidRPr="008F03E5">
        <w:tab/>
        <w:t>Takwíníya[h or t]</w:t>
      </w:r>
      <w:r w:rsidRPr="008F03E5">
        <w:tab/>
        <w:t>creation.  Wiláyah Takwíníyah, guardianship by creation or generative guardianship, by which God grants certain abilities to chosen humans (Messengers) to influence this world.</w:t>
      </w:r>
    </w:p>
    <w:p w14:paraId="6D821852" w14:textId="77777777" w:rsidR="00625A5B" w:rsidRPr="008F03E5" w:rsidRDefault="00625A5B" w:rsidP="000557F0">
      <w:pPr>
        <w:pStyle w:val="Translit"/>
      </w:pPr>
      <w:r w:rsidRPr="008F03E5">
        <w:t>Takwir</w:t>
      </w:r>
      <w:r w:rsidRPr="008F03E5">
        <w:tab/>
        <w:t>Takwír</w:t>
      </w:r>
      <w:r w:rsidRPr="008F03E5">
        <w:tab/>
        <w:t>wrapping the turban round the head; throwing down; increasing, augmenting; heaping goods together and tying them in bales</w:t>
      </w:r>
    </w:p>
    <w:p w14:paraId="32EBFA33" w14:textId="77777777" w:rsidR="00625A5B" w:rsidRPr="008F03E5" w:rsidRDefault="00625A5B" w:rsidP="00FF6730">
      <w:pPr>
        <w:pStyle w:val="Translit"/>
      </w:pPr>
      <w:r w:rsidRPr="008F03E5">
        <w:t>Takya (Takyih, Takyeh, Takiya, Takiyah)</w:t>
      </w:r>
      <w:r w:rsidRPr="008F03E5">
        <w:tab/>
        <w:t>Takya (</w:t>
      </w:r>
      <w:r w:rsidRPr="008F03E5">
        <w:rPr>
          <w:rFonts w:eastAsia="Times New Roman"/>
          <w:rtl/>
        </w:rPr>
        <w:t>تكیه</w:t>
      </w:r>
      <w:r w:rsidRPr="008F03E5">
        <w:t>)</w:t>
      </w:r>
      <w:r w:rsidRPr="008F03E5">
        <w:tab/>
        <w:t>Pers. a place of repose; an alcove; an elbow-chair; a pillow; anything upon which one leans, a prop; the reserve of an army; the place or abode of a faqír (a monastery-seminary, a religious establishment)</w:t>
      </w:r>
    </w:p>
    <w:p w14:paraId="21EA4C79" w14:textId="77777777" w:rsidR="00625A5B" w:rsidRPr="008F03E5" w:rsidRDefault="00625A5B" w:rsidP="00964ADC">
      <w:pPr>
        <w:pStyle w:val="Translit"/>
      </w:pPr>
      <w:r w:rsidRPr="008F03E5">
        <w:t>Takyah Dawlah (Tekyeh Dowlat)</w:t>
      </w:r>
      <w:r w:rsidRPr="008F03E5">
        <w:tab/>
        <w:t>Takyah Dawlah</w:t>
      </w:r>
      <w:r w:rsidRPr="008F03E5">
        <w:tab/>
        <w:t xml:space="preserve">Pers. “State Theatre”, Tehran, was a Royal Theatre.  It was the most famous of all the ta‘zíyah performance spaces, for the mourning of Muḥarram.  Built in 1868 by Náṣir ad-Dín </w:t>
      </w:r>
      <w:r w:rsidRPr="008F03E5">
        <w:rPr>
          <w:u w:val="single"/>
        </w:rPr>
        <w:t>Sh</w:t>
      </w:r>
      <w:r w:rsidRPr="008F03E5">
        <w:t>áh Qájár south-east of the Gulistán Palace on the site of the Síyáh-</w:t>
      </w:r>
      <w:r w:rsidRPr="008F03E5">
        <w:rPr>
          <w:u w:val="single"/>
        </w:rPr>
        <w:t>Ch</w:t>
      </w:r>
      <w:r w:rsidRPr="008F03E5">
        <w:t>ál.  It was destroyed in 1947 and the car park of a BMI (bank) building was constructed on the site.</w:t>
      </w:r>
    </w:p>
    <w:p w14:paraId="34847E8C" w14:textId="77777777" w:rsidR="00625A5B" w:rsidRPr="008F03E5" w:rsidRDefault="00625A5B" w:rsidP="005F24B2">
      <w:pPr>
        <w:pStyle w:val="Translit"/>
      </w:pPr>
      <w:r w:rsidRPr="008F03E5">
        <w:t>Takyiy-i-Mawlana Khalid</w:t>
      </w:r>
      <w:r w:rsidRPr="008F03E5">
        <w:tab/>
        <w:t xml:space="preserve">Takyiy-i-Mawláná </w:t>
      </w:r>
      <w:r w:rsidRPr="008F03E5">
        <w:rPr>
          <w:u w:val="single"/>
        </w:rPr>
        <w:t>Kh</w:t>
      </w:r>
      <w:r w:rsidRPr="008F03E5">
        <w:t>álid</w:t>
      </w:r>
      <w:r w:rsidRPr="008F03E5">
        <w:tab/>
        <w:t>(theological seminary in Sulaymáníyyih)</w:t>
      </w:r>
    </w:p>
    <w:p w14:paraId="59F78A5D" w14:textId="77777777" w:rsidR="00625A5B" w:rsidRPr="008F03E5" w:rsidRDefault="00625A5B" w:rsidP="00FD5971">
      <w:pPr>
        <w:pStyle w:val="Translit"/>
      </w:pPr>
      <w:r w:rsidRPr="008F03E5">
        <w:t>Takyiy-i-Mawlavi</w:t>
      </w:r>
      <w:r w:rsidRPr="008F03E5">
        <w:tab/>
        <w:t>Takyiy-i-Mawlaví</w:t>
      </w:r>
      <w:r w:rsidRPr="008F03E5">
        <w:tab/>
        <w:t xml:space="preserve">a resting place for dervishes.  In particular one near the Muradiye Mosque (Turkish Muradiye Camii), </w:t>
      </w:r>
      <w:r w:rsidRPr="008F03E5">
        <w:rPr>
          <w:sz w:val="16"/>
          <w:szCs w:val="16"/>
        </w:rPr>
        <w:t xml:space="preserve">NW </w:t>
      </w:r>
      <w:r w:rsidRPr="008F03E5">
        <w:t>side of Edirne</w:t>
      </w:r>
      <w:r>
        <w:t xml:space="preserve">, western </w:t>
      </w:r>
      <w:r w:rsidRPr="008F03E5">
        <w:t>Türkiye</w:t>
      </w:r>
      <w:r>
        <w:t>.</w:t>
      </w:r>
    </w:p>
    <w:p w14:paraId="0883F2E5" w14:textId="77777777" w:rsidR="00625A5B" w:rsidRDefault="00625A5B" w:rsidP="00875DF4">
      <w:pPr>
        <w:pStyle w:val="Translit"/>
        <w:rPr>
          <w:rFonts w:eastAsia="PMingLiU"/>
          <w:lang w:eastAsia="zh-TW"/>
        </w:rPr>
      </w:pPr>
      <w:r w:rsidRPr="00875DF4">
        <w:t>Tal‘at Hab</w:t>
      </w:r>
      <w:r>
        <w:t>i</w:t>
      </w:r>
      <w:r w:rsidRPr="00875DF4">
        <w:t>b</w:t>
      </w:r>
      <w:r>
        <w:tab/>
      </w:r>
      <w:r w:rsidRPr="00875DF4">
        <w:t>Tal‘at Habíb</w:t>
      </w:r>
      <w:r>
        <w:tab/>
        <w:t>“</w:t>
      </w:r>
      <w:r w:rsidRPr="00881C0A">
        <w:t xml:space="preserve">Countenance of the </w:t>
      </w:r>
      <w:r>
        <w:t>f</w:t>
      </w:r>
      <w:r w:rsidRPr="00881C0A">
        <w:t>riend</w:t>
      </w:r>
      <w:r>
        <w:t xml:space="preserve">”, </w:t>
      </w:r>
      <w:r w:rsidRPr="008B5E32">
        <w:t>a title of Quddús.</w:t>
      </w:r>
    </w:p>
    <w:p w14:paraId="4909FE41" w14:textId="77777777" w:rsidR="00625A5B" w:rsidRPr="008F03E5" w:rsidRDefault="00625A5B" w:rsidP="00366D75">
      <w:pPr>
        <w:pStyle w:val="Translit"/>
      </w:pPr>
      <w:r w:rsidRPr="008F03E5">
        <w:t>Tal’a</w:t>
      </w:r>
      <w:r w:rsidRPr="008F03E5">
        <w:tab/>
        <w:t>Ṭal‘a[h or t]</w:t>
      </w:r>
      <w:r w:rsidRPr="008F03E5">
        <w:tab/>
        <w:t>look(s), appearance, aspect, outward appearance, guise</w:t>
      </w:r>
    </w:p>
    <w:p w14:paraId="1F6BCCE5" w14:textId="77777777" w:rsidR="00625A5B" w:rsidRPr="008F03E5" w:rsidRDefault="00625A5B" w:rsidP="00905F6F">
      <w:pPr>
        <w:pStyle w:val="Translit"/>
      </w:pPr>
      <w:r w:rsidRPr="008F03E5">
        <w:t>Tal’at-i-A’la</w:t>
      </w:r>
      <w:r w:rsidRPr="008F03E5">
        <w:tab/>
        <w:t>Ṭal‘at-i-A‘lá</w:t>
      </w:r>
      <w:r w:rsidRPr="008F03E5">
        <w:tab/>
        <w:t>Pers. “Most Exalted Countenance”, a designation of the Báb</w:t>
      </w:r>
    </w:p>
    <w:p w14:paraId="05A03966" w14:textId="77777777" w:rsidR="00625A5B" w:rsidRPr="008F03E5" w:rsidRDefault="00625A5B" w:rsidP="00905F6F">
      <w:pPr>
        <w:pStyle w:val="Translit"/>
      </w:pPr>
      <w:r w:rsidRPr="008F03E5">
        <w:t>Tal’at-i-Hayy, Tal’at al-Hayy</w:t>
      </w:r>
      <w:r w:rsidRPr="008F03E5">
        <w:tab/>
        <w:t>Ṭal‘at-i-Hayy, Ar. Tal‘at al-Ḥayy</w:t>
      </w:r>
      <w:r w:rsidRPr="008F03E5">
        <w:tab/>
        <w:t>“Living Countenance”</w:t>
      </w:r>
      <w:r>
        <w:t>,</w:t>
      </w:r>
      <w:r w:rsidRPr="008F03E5">
        <w:t xml:space="preserve"> a reference to Bahá’u’lláh</w:t>
      </w:r>
    </w:p>
    <w:p w14:paraId="6EC6A71D" w14:textId="77777777" w:rsidR="00625A5B" w:rsidRPr="008F03E5" w:rsidRDefault="00625A5B" w:rsidP="005F490C">
      <w:pPr>
        <w:pStyle w:val="Translit"/>
        <w:rPr>
          <w:rFonts w:eastAsia="PMingLiU"/>
          <w:lang w:eastAsia="zh-TW"/>
        </w:rPr>
      </w:pPr>
      <w:r w:rsidRPr="008F03E5">
        <w:rPr>
          <w:rFonts w:eastAsia="PMingLiU"/>
          <w:lang w:eastAsia="zh-TW"/>
        </w:rPr>
        <w:t>Tala’i</w:t>
      </w:r>
      <w:r w:rsidRPr="008F03E5">
        <w:tab/>
        <w:t>Ṭ</w:t>
      </w:r>
      <w:r w:rsidRPr="008F03E5">
        <w:rPr>
          <w:rFonts w:eastAsia="PMingLiU"/>
          <w:lang w:eastAsia="zh-TW"/>
        </w:rPr>
        <w:t>alá’í</w:t>
      </w:r>
      <w:r w:rsidRPr="008F03E5">
        <w:tab/>
        <w:t>Kúru</w:t>
      </w:r>
      <w:r w:rsidRPr="008F03E5">
        <w:rPr>
          <w:u w:val="single"/>
        </w:rPr>
        <w:t>sh</w:t>
      </w:r>
      <w:r w:rsidRPr="008F03E5">
        <w:t xml:space="preserve"> Ṭ</w:t>
      </w:r>
      <w:r w:rsidRPr="008F03E5">
        <w:rPr>
          <w:rFonts w:eastAsia="PMingLiU"/>
          <w:lang w:eastAsia="zh-TW"/>
        </w:rPr>
        <w:t>alá’í</w:t>
      </w:r>
    </w:p>
    <w:p w14:paraId="5605F20E" w14:textId="77777777" w:rsidR="00625A5B" w:rsidRPr="008F03E5" w:rsidRDefault="00625A5B" w:rsidP="00B621CC">
      <w:pPr>
        <w:pStyle w:val="Translit"/>
        <w:rPr>
          <w:rFonts w:eastAsia="PMingLiU"/>
          <w:lang w:eastAsia="zh-TW"/>
        </w:rPr>
      </w:pPr>
      <w:r w:rsidRPr="008F03E5">
        <w:rPr>
          <w:rFonts w:eastAsia="PMingLiU"/>
          <w:lang w:eastAsia="zh-TW"/>
        </w:rPr>
        <w:t>Talaq</w:t>
      </w:r>
      <w:r w:rsidRPr="008F03E5">
        <w:tab/>
        <w:t>Ṭ</w:t>
      </w:r>
      <w:r w:rsidRPr="008F03E5">
        <w:rPr>
          <w:rFonts w:eastAsia="PMingLiU"/>
          <w:lang w:eastAsia="zh-TW"/>
        </w:rPr>
        <w:t>aláq</w:t>
      </w:r>
      <w:r w:rsidRPr="008F03E5">
        <w:tab/>
        <w:t>being divorced (a wife); divorce, repudiation</w:t>
      </w:r>
    </w:p>
    <w:p w14:paraId="3D23D9EE" w14:textId="77777777" w:rsidR="00625A5B" w:rsidRPr="008F03E5" w:rsidRDefault="00625A5B" w:rsidP="00732206">
      <w:pPr>
        <w:pStyle w:val="Translit"/>
      </w:pPr>
      <w:r w:rsidRPr="008F03E5">
        <w:t>Talar</w:t>
      </w:r>
      <w:r w:rsidRPr="008F03E5">
        <w:tab/>
        <w:t>Tálár</w:t>
      </w:r>
      <w:r w:rsidRPr="008F03E5">
        <w:tab/>
        <w:t>Pers. architectural term for a throne cut from rock or a porch with columns.  A river running into the Caspian Sea.</w:t>
      </w:r>
    </w:p>
    <w:p w14:paraId="236C46F2" w14:textId="77777777" w:rsidR="00625A5B" w:rsidRPr="008F03E5" w:rsidRDefault="00625A5B" w:rsidP="00FB7C6E">
      <w:pPr>
        <w:pStyle w:val="Translit"/>
      </w:pPr>
      <w:r w:rsidRPr="008F03E5">
        <w:t>Talh, Talhun, Tuluh</w:t>
      </w:r>
      <w:r w:rsidRPr="008F03E5">
        <w:tab/>
        <w:t>Ṭalḥ, Ṭalḥun, pl. Ṭulúḥ</w:t>
      </w:r>
      <w:r w:rsidRPr="008F03E5">
        <w:tab/>
        <w:t>being fatigued; empty-bellied; a large thorn-tree, a variety of accacia (</w:t>
      </w:r>
      <w:r w:rsidRPr="008F03E5">
        <w:rPr>
          <w:i/>
          <w:iCs/>
        </w:rPr>
        <w:t>Acacia gummifera</w:t>
      </w:r>
      <w:r w:rsidRPr="008F03E5">
        <w:t>); palm flowers; banana tree; banana or plantain-fruit</w:t>
      </w:r>
    </w:p>
    <w:p w14:paraId="0BEA7055" w14:textId="77777777" w:rsidR="00625A5B" w:rsidRPr="008F03E5" w:rsidRDefault="00625A5B" w:rsidP="00DF6E47">
      <w:pPr>
        <w:pStyle w:val="Translit"/>
        <w:rPr>
          <w:rFonts w:eastAsia="Times New Roman"/>
        </w:rPr>
      </w:pPr>
      <w:r w:rsidRPr="008F03E5">
        <w:rPr>
          <w:rFonts w:eastAsia="Times New Roman"/>
        </w:rPr>
        <w:t>Talha</w:t>
      </w:r>
      <w:r w:rsidRPr="008F03E5">
        <w:rPr>
          <w:rFonts w:eastAsia="Times New Roman"/>
        </w:rPr>
        <w:tab/>
      </w:r>
      <w:r w:rsidRPr="008F03E5">
        <w:t>Ṭ</w:t>
      </w:r>
      <w:r w:rsidRPr="008F03E5">
        <w:rPr>
          <w:rFonts w:eastAsia="Times New Roman"/>
        </w:rPr>
        <w:t>alḥa[h or t]</w:t>
      </w:r>
      <w:r w:rsidRPr="008F03E5">
        <w:rPr>
          <w:rFonts w:eastAsia="Times New Roman"/>
        </w:rPr>
        <w:tab/>
        <w:t xml:space="preserve">a single </w:t>
      </w:r>
      <w:r w:rsidRPr="008F03E5">
        <w:t>tree of the kind ṭ</w:t>
      </w:r>
      <w:r w:rsidRPr="008F03E5">
        <w:rPr>
          <w:rFonts w:eastAsia="Times New Roman"/>
        </w:rPr>
        <w:t>alḥ; proper name of a man</w:t>
      </w:r>
    </w:p>
    <w:p w14:paraId="3BE42C1E" w14:textId="77777777" w:rsidR="00625A5B" w:rsidRPr="008F03E5" w:rsidRDefault="00625A5B" w:rsidP="00D0224F">
      <w:pPr>
        <w:pStyle w:val="Translit"/>
      </w:pPr>
      <w:r w:rsidRPr="008F03E5">
        <w:rPr>
          <w:rFonts w:eastAsia="PMingLiU"/>
          <w:lang w:eastAsia="zh-TW"/>
        </w:rPr>
        <w:t>Tali</w:t>
      </w:r>
      <w:r w:rsidRPr="008F03E5">
        <w:rPr>
          <w:rFonts w:eastAsia="PMingLiU"/>
          <w:lang w:eastAsia="zh-TW"/>
        </w:rPr>
        <w:tab/>
        <w:t>Tá</w:t>
      </w:r>
      <w:r w:rsidRPr="008F03E5">
        <w:t>lí</w:t>
      </w:r>
      <w:r w:rsidRPr="008F03E5">
        <w:tab/>
        <w:t>the fourth horse in a race (“lagged behind”); an old man, a religious chief; a follower.</w:t>
      </w:r>
    </w:p>
    <w:p w14:paraId="3B7D606D" w14:textId="77777777" w:rsidR="00625A5B" w:rsidRPr="008F03E5" w:rsidRDefault="00625A5B" w:rsidP="00053C11">
      <w:pPr>
        <w:pStyle w:val="Translit"/>
        <w:rPr>
          <w:rFonts w:eastAsia="PMingLiU"/>
          <w:lang w:eastAsia="zh-TW"/>
        </w:rPr>
      </w:pPr>
      <w:r w:rsidRPr="008F03E5">
        <w:rPr>
          <w:rFonts w:eastAsia="PMingLiU"/>
          <w:lang w:eastAsia="zh-TW"/>
        </w:rPr>
        <w:t>Tali’, Tali’a, Tawali</w:t>
      </w:r>
      <w:r w:rsidRPr="008F03E5">
        <w:rPr>
          <w:rFonts w:eastAsia="PMingLiU"/>
          <w:lang w:eastAsia="zh-TW"/>
        </w:rPr>
        <w:tab/>
        <w:t>Ṭáli‘, fem. Ṭáli‘a, pl. Ṭawáli</w:t>
      </w:r>
      <w:r w:rsidRPr="008F03E5">
        <w:rPr>
          <w:sz w:val="16"/>
          <w:szCs w:val="16"/>
        </w:rPr>
        <w:tab/>
      </w:r>
      <w:r w:rsidRPr="008F03E5">
        <w:rPr>
          <w:rFonts w:eastAsia="PMingLiU"/>
          <w:lang w:eastAsia="zh-TW"/>
        </w:rPr>
        <w:t>rising, ascending (especially a celestial body); star of destiny; ascendant, nativity</w:t>
      </w:r>
    </w:p>
    <w:p w14:paraId="53E91428" w14:textId="77777777" w:rsidR="00625A5B" w:rsidRPr="008F03E5" w:rsidRDefault="00625A5B" w:rsidP="009F2C1A">
      <w:pPr>
        <w:pStyle w:val="Translit"/>
        <w:rPr>
          <w:rFonts w:eastAsia="Times New Roman"/>
        </w:rPr>
      </w:pPr>
      <w:r w:rsidRPr="008F03E5">
        <w:t>Tali’a (Tali’ih), Tala’i’</w:t>
      </w:r>
      <w:r w:rsidRPr="008F03E5">
        <w:tab/>
        <w:t>Ṭ</w:t>
      </w:r>
      <w:r w:rsidRPr="008F03E5">
        <w:rPr>
          <w:rFonts w:eastAsia="Times New Roman"/>
        </w:rPr>
        <w:t xml:space="preserve">alí‘a[h or t], pl. </w:t>
      </w:r>
      <w:r w:rsidRPr="008F03E5">
        <w:t>Ṭ</w:t>
      </w:r>
      <w:r w:rsidRPr="008F03E5">
        <w:rPr>
          <w:rFonts w:eastAsia="Times New Roman"/>
        </w:rPr>
        <w:t>al</w:t>
      </w:r>
      <w:r w:rsidRPr="008F03E5">
        <w:t>á</w:t>
      </w:r>
      <w:r w:rsidRPr="008F03E5">
        <w:rPr>
          <w:rFonts w:eastAsia="Times New Roman"/>
        </w:rPr>
        <w:t>’i‘</w:t>
      </w:r>
      <w:r w:rsidRPr="008F03E5">
        <w:rPr>
          <w:rFonts w:eastAsia="Times New Roman"/>
        </w:rPr>
        <w:tab/>
        <w:t xml:space="preserve">vanguard, picket, advanced post; a spy, scout;—(pl.) (Per. </w:t>
      </w:r>
      <w:r w:rsidRPr="008F03E5">
        <w:t>ṭ</w:t>
      </w:r>
      <w:r w:rsidRPr="008F03E5">
        <w:rPr>
          <w:rFonts w:eastAsia="Times New Roman"/>
        </w:rPr>
        <w:t xml:space="preserve">aláya), advanced guards; night-watch, rounds of a patrol.  </w:t>
      </w:r>
      <w:r w:rsidRPr="008F03E5">
        <w:t>Ṭ</w:t>
      </w:r>
      <w:r w:rsidRPr="008F03E5">
        <w:rPr>
          <w:rFonts w:eastAsia="Times New Roman"/>
        </w:rPr>
        <w:t xml:space="preserve">alí‘ih was the </w:t>
      </w:r>
      <w:r w:rsidRPr="008F03E5">
        <w:t>name of one of four daughters of Ibn-i Aṣdaq and Ḍiyá’u’l-Ḥájiyyih.</w:t>
      </w:r>
    </w:p>
    <w:p w14:paraId="2FB72537" w14:textId="77777777" w:rsidR="00625A5B" w:rsidRPr="008F03E5" w:rsidRDefault="00625A5B" w:rsidP="00674105">
      <w:pPr>
        <w:pStyle w:val="Translit"/>
      </w:pPr>
      <w:r w:rsidRPr="00077779">
        <w:rPr>
          <w:rFonts w:eastAsia="PMingLiU"/>
          <w:lang w:val="es-ES_tradnl" w:eastAsia="zh-TW"/>
        </w:rPr>
        <w:t>Talib, Tullab, Talaba, Taliban</w:t>
      </w:r>
      <w:r w:rsidRPr="00077779">
        <w:rPr>
          <w:rFonts w:eastAsia="PMingLiU"/>
          <w:lang w:val="es-ES_tradnl" w:eastAsia="zh-TW"/>
        </w:rPr>
        <w:tab/>
      </w:r>
      <w:r w:rsidRPr="00077779">
        <w:rPr>
          <w:lang w:val="es-ES_tradnl"/>
        </w:rPr>
        <w:t>Ṭ</w:t>
      </w:r>
      <w:r w:rsidRPr="00077779">
        <w:rPr>
          <w:rFonts w:eastAsia="PMingLiU"/>
          <w:lang w:val="es-ES_tradnl" w:eastAsia="zh-TW"/>
        </w:rPr>
        <w:t xml:space="preserve">álib, dual </w:t>
      </w:r>
      <w:r w:rsidRPr="00077779">
        <w:rPr>
          <w:lang w:val="es-ES_tradnl"/>
        </w:rPr>
        <w:t>Ṭálibán</w:t>
      </w:r>
      <w:r>
        <w:rPr>
          <w:lang w:val="es-ES_tradnl"/>
        </w:rPr>
        <w:tab/>
        <w:t>(</w:t>
      </w:r>
      <w:r w:rsidRPr="00077779">
        <w:rPr>
          <w:rFonts w:eastAsia="PMingLiU"/>
          <w:lang w:val="es-ES_tradnl" w:eastAsia="zh-TW"/>
        </w:rPr>
        <w:t xml:space="preserve">pl. </w:t>
      </w:r>
      <w:r w:rsidRPr="008F03E5">
        <w:t>Ṭ</w:t>
      </w:r>
      <w:r w:rsidRPr="008F03E5">
        <w:rPr>
          <w:rFonts w:eastAsia="PMingLiU"/>
          <w:lang w:eastAsia="zh-TW"/>
        </w:rPr>
        <w:t xml:space="preserve">ulláb, </w:t>
      </w:r>
      <w:r w:rsidRPr="008F03E5">
        <w:t>Ṭ</w:t>
      </w:r>
      <w:r w:rsidRPr="008F03E5">
        <w:rPr>
          <w:rFonts w:eastAsia="PMingLiU"/>
          <w:lang w:eastAsia="zh-TW"/>
        </w:rPr>
        <w:t>alaba</w:t>
      </w:r>
      <w:r>
        <w:rPr>
          <w:rFonts w:eastAsia="PMingLiU"/>
          <w:lang w:eastAsia="zh-TW"/>
        </w:rPr>
        <w:t xml:space="preserve">[h or t]) </w:t>
      </w:r>
      <w:r w:rsidRPr="008F03E5">
        <w:rPr>
          <w:rFonts w:eastAsia="PMingLiU"/>
          <w:lang w:eastAsia="zh-TW"/>
        </w:rPr>
        <w:t>seeker, pursuer; claimer, claimant; applicant, petitioner; candidate; student, pupil, scholar</w:t>
      </w:r>
      <w:r w:rsidRPr="008F03E5">
        <w:t>; madrassa student.  Pa</w:t>
      </w:r>
      <w:r w:rsidRPr="008F03E5">
        <w:rPr>
          <w:u w:val="single"/>
        </w:rPr>
        <w:t>sh</w:t>
      </w:r>
      <w:r w:rsidRPr="008F03E5">
        <w:t>tú and Persian plural Ṭálibán, “students”.</w:t>
      </w:r>
      <w:r w:rsidRPr="00D212BC">
        <w:t xml:space="preserve"> </w:t>
      </w:r>
      <w:r>
        <w:t xml:space="preserve"> </w:t>
      </w:r>
      <w:r w:rsidRPr="00D212BC">
        <w:t>Ja</w:t>
      </w:r>
      <w:r>
        <w:t>‘</w:t>
      </w:r>
      <w:r w:rsidRPr="00D212BC">
        <w:t>far ibn Ab</w:t>
      </w:r>
      <w:r>
        <w:t>í</w:t>
      </w:r>
      <w:r w:rsidRPr="00D212BC">
        <w:t xml:space="preserve"> Ṭ</w:t>
      </w:r>
      <w:r>
        <w:t>á</w:t>
      </w:r>
      <w:r w:rsidRPr="00D212BC">
        <w:t>lib (c. 590</w:t>
      </w:r>
      <w:r>
        <w:t>–</w:t>
      </w:r>
      <w:r w:rsidRPr="00D212BC">
        <w:t xml:space="preserve">629), </w:t>
      </w:r>
      <w:r>
        <w:t xml:space="preserve">see </w:t>
      </w:r>
      <w:r w:rsidRPr="008F03E5">
        <w:t>Ṭayyár</w:t>
      </w:r>
      <w:r w:rsidRPr="00D212BC">
        <w:t>.</w:t>
      </w:r>
    </w:p>
    <w:p w14:paraId="201B6AED" w14:textId="77777777" w:rsidR="00625A5B" w:rsidRPr="008F03E5" w:rsidRDefault="00625A5B" w:rsidP="002B1644">
      <w:pPr>
        <w:pStyle w:val="Translit"/>
      </w:pPr>
      <w:r w:rsidRPr="008F03E5">
        <w:t>Talih</w:t>
      </w:r>
      <w:r w:rsidRPr="008F03E5">
        <w:tab/>
        <w:t>Ṭáliḥ</w:t>
      </w:r>
      <w:r w:rsidRPr="008F03E5">
        <w:tab/>
        <w:t>bed, evil, wicked, vicious, depraved, villainous.  Pun on Ṣáliḥ.</w:t>
      </w:r>
    </w:p>
    <w:p w14:paraId="56E1C590" w14:textId="77777777" w:rsidR="00625A5B" w:rsidRPr="008F03E5" w:rsidRDefault="00625A5B" w:rsidP="00252CB1">
      <w:pPr>
        <w:pStyle w:val="Translit"/>
      </w:pPr>
      <w:r w:rsidRPr="008F03E5">
        <w:t>Taliqan (Taleqan, Shahrak Taleghan)</w:t>
      </w:r>
      <w:r w:rsidRPr="008F03E5">
        <w:tab/>
        <w:t>Ṭáliqán</w:t>
      </w:r>
      <w:r w:rsidRPr="008F03E5">
        <w:tab/>
        <w:t xml:space="preserve">Ṭáliqán (District 6, 1.5 km from the city centre) and Ṭáliqání Town (14 km </w:t>
      </w:r>
      <w:r w:rsidRPr="008F03E5">
        <w:rPr>
          <w:sz w:val="16"/>
          <w:szCs w:val="16"/>
        </w:rPr>
        <w:t>WSW</w:t>
      </w:r>
      <w:r w:rsidRPr="008F03E5">
        <w:t xml:space="preserve"> from the city centre) in Teheran.  Ṭáliqán (80 km </w:t>
      </w:r>
      <w:r w:rsidRPr="008F03E5">
        <w:rPr>
          <w:sz w:val="16"/>
          <w:szCs w:val="16"/>
        </w:rPr>
        <w:t>NW</w:t>
      </w:r>
      <w:r w:rsidRPr="008F03E5">
        <w:t xml:space="preserve"> of Tehran, 36.178123, 50.765944; birthplace of Ḥájí Mírzá Ḥasan) is the capital city of Taleqan County, Alborz Province.  Ṭáliqán (also transcribed with any of the short vowels in the middle) is the capital of Ta</w:t>
      </w:r>
      <w:r w:rsidRPr="008F03E5">
        <w:rPr>
          <w:u w:val="single"/>
        </w:rPr>
        <w:t>kh</w:t>
      </w:r>
      <w:r w:rsidRPr="008F03E5">
        <w:t xml:space="preserve">ár Province, in </w:t>
      </w:r>
      <w:r w:rsidRPr="008F03E5">
        <w:rPr>
          <w:sz w:val="16"/>
          <w:szCs w:val="16"/>
        </w:rPr>
        <w:t>NE</w:t>
      </w:r>
      <w:r w:rsidRPr="008F03E5">
        <w:t xml:space="preserve"> Afghanistan.  Ḥadí</w:t>
      </w:r>
      <w:r w:rsidRPr="008F03E5">
        <w:rPr>
          <w:u w:val="single"/>
        </w:rPr>
        <w:t>th</w:t>
      </w:r>
      <w:r w:rsidRPr="008F03E5">
        <w:t xml:space="preserve"> references to the Mahdí, his 313 companions (the same number as at the Shrine of </w:t>
      </w:r>
      <w:r w:rsidRPr="008F03E5">
        <w:rPr>
          <w:u w:val="single"/>
        </w:rPr>
        <w:t>Sh</w:t>
      </w:r>
      <w:r w:rsidRPr="008F03E5">
        <w:t>ay</w:t>
      </w:r>
      <w:r w:rsidRPr="008F03E5">
        <w:rPr>
          <w:u w:val="single"/>
        </w:rPr>
        <w:t>kh</w:t>
      </w:r>
      <w:r w:rsidRPr="008F03E5">
        <w:t xml:space="preserve"> Ṭabarsí, 1848, DB 354), Taliqan and Khurasan are more likely to refer to the historical region of Ta</w:t>
      </w:r>
      <w:r w:rsidRPr="008F03E5">
        <w:rPr>
          <w:u w:val="single"/>
        </w:rPr>
        <w:t>kh</w:t>
      </w:r>
      <w:r w:rsidRPr="008F03E5">
        <w:t xml:space="preserve">ár and </w:t>
      </w:r>
      <w:r w:rsidRPr="008F03E5">
        <w:rPr>
          <w:u w:val="single"/>
        </w:rPr>
        <w:t>Kh</w:t>
      </w:r>
      <w:r w:rsidRPr="008F03E5">
        <w:t>urásán, than a city called Taliqan in Khurasan.</w:t>
      </w:r>
    </w:p>
    <w:p w14:paraId="2E64F962" w14:textId="77777777" w:rsidR="00625A5B" w:rsidRPr="008F03E5" w:rsidRDefault="00625A5B" w:rsidP="008D12B9">
      <w:pPr>
        <w:pStyle w:val="Translit"/>
      </w:pPr>
      <w:r w:rsidRPr="008F03E5">
        <w:t>Talkhis</w:t>
      </w:r>
      <w:r w:rsidRPr="008F03E5">
        <w:tab/>
        <w:t>Tal</w:t>
      </w:r>
      <w:r w:rsidRPr="008F03E5">
        <w:rPr>
          <w:u w:val="single"/>
        </w:rPr>
        <w:t>kh</w:t>
      </w:r>
      <w:r w:rsidRPr="008F03E5">
        <w:t>íṣ</w:t>
      </w:r>
      <w:r w:rsidRPr="008F03E5">
        <w:tab/>
        <w:t>abridgement; condensation; summary, resume; epitome, abstract, synopsis, outline; brier, abort report</w:t>
      </w:r>
    </w:p>
    <w:p w14:paraId="72BFF6CC" w14:textId="77777777" w:rsidR="00625A5B" w:rsidRPr="008F03E5" w:rsidRDefault="00625A5B" w:rsidP="005736EE">
      <w:pPr>
        <w:pStyle w:val="Translit"/>
      </w:pPr>
      <w:r w:rsidRPr="008F03E5">
        <w:t>Talkhunchi’i</w:t>
      </w:r>
      <w:r w:rsidRPr="008F03E5">
        <w:tab/>
        <w:t>Ṭál</w:t>
      </w:r>
      <w:r w:rsidRPr="008F03E5">
        <w:rPr>
          <w:u w:val="single"/>
        </w:rPr>
        <w:t>kh</w:t>
      </w:r>
      <w:r w:rsidRPr="008F03E5">
        <w:t>ún</w:t>
      </w:r>
      <w:r w:rsidRPr="008F03E5">
        <w:rPr>
          <w:u w:val="single"/>
        </w:rPr>
        <w:t>ch</w:t>
      </w:r>
      <w:r w:rsidRPr="008F03E5">
        <w:t>i’í</w:t>
      </w:r>
      <w:r w:rsidRPr="008F03E5">
        <w:tab/>
        <w:t>Mullá Káẓim Ṭál</w:t>
      </w:r>
      <w:r w:rsidRPr="008F03E5">
        <w:rPr>
          <w:u w:val="single"/>
        </w:rPr>
        <w:t>kh</w:t>
      </w:r>
      <w:r w:rsidRPr="008F03E5">
        <w:t>ún</w:t>
      </w:r>
      <w:r w:rsidRPr="008F03E5">
        <w:rPr>
          <w:u w:val="single"/>
        </w:rPr>
        <w:t>ch</w:t>
      </w:r>
      <w:r w:rsidRPr="008F03E5">
        <w:t>i’í (from Tal</w:t>
      </w:r>
      <w:r w:rsidRPr="008F03E5">
        <w:rPr>
          <w:u w:val="single"/>
        </w:rPr>
        <w:t>kh</w:t>
      </w:r>
      <w:r w:rsidRPr="008F03E5">
        <w:t>un</w:t>
      </w:r>
      <w:r w:rsidRPr="008F03E5">
        <w:rPr>
          <w:u w:val="single"/>
        </w:rPr>
        <w:t>ch</w:t>
      </w:r>
      <w:r w:rsidRPr="008F03E5">
        <w:t>ih)</w:t>
      </w:r>
    </w:p>
    <w:p w14:paraId="496BD3EA" w14:textId="77777777" w:rsidR="00625A5B" w:rsidRPr="008F03E5" w:rsidRDefault="00625A5B" w:rsidP="00A85B59">
      <w:pPr>
        <w:pStyle w:val="Translit"/>
      </w:pPr>
      <w:r w:rsidRPr="008F03E5">
        <w:t>Talkhunchih (Talkhuncheh)</w:t>
      </w:r>
      <w:r w:rsidRPr="008F03E5">
        <w:tab/>
        <w:t>Ṭál</w:t>
      </w:r>
      <w:r w:rsidRPr="008F03E5">
        <w:rPr>
          <w:u w:val="single"/>
        </w:rPr>
        <w:t>kh</w:t>
      </w:r>
      <w:r w:rsidRPr="008F03E5">
        <w:t>ún</w:t>
      </w:r>
      <w:r w:rsidRPr="008F03E5">
        <w:rPr>
          <w:u w:val="single"/>
        </w:rPr>
        <w:t>ch</w:t>
      </w:r>
      <w:r w:rsidRPr="008F03E5">
        <w:t>ih</w:t>
      </w:r>
      <w:r w:rsidRPr="008F03E5">
        <w:tab/>
        <w:t xml:space="preserve">(“Talkhooncheh”) a city (45 km </w:t>
      </w:r>
      <w:r w:rsidRPr="008F03E5">
        <w:rPr>
          <w:sz w:val="16"/>
          <w:szCs w:val="16"/>
        </w:rPr>
        <w:t>SSW</w:t>
      </w:r>
      <w:r w:rsidRPr="008F03E5">
        <w:t xml:space="preserve"> of Iṣfahán; 32.263898, 51.561823) in the Central District of Mobarakeh County, Isfahan Province, Iran.  </w:t>
      </w:r>
      <w:r w:rsidRPr="008F03E5">
        <w:rPr>
          <w:i/>
          <w:iCs/>
        </w:rPr>
        <w:t>Revelation of Bahá’u’lláh,</w:t>
      </w:r>
      <w:r w:rsidRPr="008F03E5">
        <w:t xml:space="preserve"> vol. 4, p. 384 is incorrect.</w:t>
      </w:r>
    </w:p>
    <w:p w14:paraId="48AD8FC0" w14:textId="77777777" w:rsidR="00625A5B" w:rsidRPr="008F03E5" w:rsidRDefault="00625A5B" w:rsidP="0096590E">
      <w:pPr>
        <w:pStyle w:val="Translit"/>
      </w:pPr>
      <w:r w:rsidRPr="008F03E5">
        <w:t>Tall al-Fakhkhar, Tall-i-Fakhkhar</w:t>
      </w:r>
      <w:r w:rsidRPr="008F03E5">
        <w:tab/>
        <w:t>Tall al-Fa</w:t>
      </w:r>
      <w:r w:rsidRPr="008F03E5">
        <w:rPr>
          <w:u w:val="single"/>
        </w:rPr>
        <w:t>khkh</w:t>
      </w:r>
      <w:r w:rsidRPr="008F03E5">
        <w:t>ár</w:t>
      </w:r>
      <w:r w:rsidRPr="008F03E5">
        <w:tab/>
        <w:t>“Hill of clay pottery”, Tall ‘Akká al-Qadímah (Tel of ancient ‘Akká), or so-called “Tall a</w:t>
      </w:r>
      <w:r>
        <w:t>n</w:t>
      </w:r>
      <w:r w:rsidRPr="008F03E5">
        <w:t xml:space="preserve">-Nábilíyún” (Hill of Napoleon), 600 m </w:t>
      </w:r>
      <w:r w:rsidRPr="008F03E5">
        <w:rPr>
          <w:sz w:val="16"/>
          <w:szCs w:val="16"/>
        </w:rPr>
        <w:t>NW</w:t>
      </w:r>
      <w:r w:rsidRPr="008F03E5">
        <w:t xml:space="preserve"> of Riḍván Garden (see Na’mayn).</w:t>
      </w:r>
    </w:p>
    <w:p w14:paraId="45708720" w14:textId="77777777" w:rsidR="00625A5B" w:rsidRPr="008F03E5" w:rsidRDefault="00625A5B" w:rsidP="00D844DC">
      <w:pPr>
        <w:pStyle w:val="Translit"/>
      </w:pPr>
      <w:r w:rsidRPr="008F03E5">
        <w:t>Tall Muhassan</w:t>
      </w:r>
      <w:r w:rsidRPr="008F03E5">
        <w:tab/>
        <w:t>Tall Muḥaṣṣan</w:t>
      </w:r>
      <w:r w:rsidRPr="008F03E5">
        <w:tab/>
        <w:t>fortified hill.  Possible meaning for Ophel mound.  The City of David (the original site of Jerusalem) was built on the southeast ridge below the modern “Temple Mount”.  The Ophel mound sits above the Gihon Spring at the north end of the ridge.  It is the most likely site for the Solomon and Herodian Jewish Temples.</w:t>
      </w:r>
    </w:p>
    <w:p w14:paraId="08FCB051" w14:textId="77777777" w:rsidR="00625A5B" w:rsidRPr="008F03E5" w:rsidRDefault="00625A5B" w:rsidP="00F722B5">
      <w:pPr>
        <w:pStyle w:val="Translit"/>
      </w:pPr>
      <w:r w:rsidRPr="008F03E5">
        <w:t>Tall, Tilal, Atal, Tulul</w:t>
      </w:r>
      <w:r w:rsidRPr="008F03E5">
        <w:tab/>
        <w:t>Tall, pl. Tilál, Atlál, Tulúl</w:t>
      </w:r>
      <w:r w:rsidRPr="008F03E5">
        <w:tab/>
        <w:t>hill, elevation or mound.  In archaeology, a tel, or tell, is an artificial mound formed from the accumulated refuse of generations of people living on the same site for hundreds or thousands of years.</w:t>
      </w:r>
    </w:p>
    <w:p w14:paraId="6104D729" w14:textId="77777777" w:rsidR="00625A5B" w:rsidRPr="008F03E5" w:rsidRDefault="00625A5B" w:rsidP="00D844DC">
      <w:pPr>
        <w:pStyle w:val="Translit"/>
      </w:pPr>
      <w:r w:rsidRPr="008F03E5">
        <w:t>Talqin (Talkin)</w:t>
      </w:r>
      <w:r w:rsidRPr="008F03E5">
        <w:tab/>
        <w:t>Talqín</w:t>
      </w:r>
      <w:r w:rsidRPr="008F03E5">
        <w:tab/>
        <w:t xml:space="preserve">instruction, direction; dictation; dictate; inspiration, insinuation, suggestion; suborning of a witness (Islamic Law).  Prompting the </w:t>
      </w:r>
      <w:r w:rsidRPr="008F03E5">
        <w:rPr>
          <w:lang w:eastAsia="en-US"/>
        </w:rPr>
        <w:t>confession of faith in the ear of a deceased Muslim.</w:t>
      </w:r>
    </w:p>
    <w:p w14:paraId="11BF2187" w14:textId="77777777" w:rsidR="00625A5B" w:rsidRPr="008F03E5" w:rsidRDefault="00625A5B" w:rsidP="00762AFF">
      <w:pPr>
        <w:pStyle w:val="Translit"/>
      </w:pPr>
      <w:r w:rsidRPr="008F03E5">
        <w:t>Tam</w:t>
      </w:r>
      <w:r w:rsidRPr="008F03E5">
        <w:tab/>
        <w:t>Tám</w:t>
      </w:r>
      <w:r w:rsidRPr="008F03E5">
        <w:tab/>
        <w:t>Pers. few; small; little; weak</w:t>
      </w:r>
    </w:p>
    <w:p w14:paraId="6C760584" w14:textId="77777777" w:rsidR="00625A5B" w:rsidRPr="008F03E5" w:rsidRDefault="00625A5B" w:rsidP="00AC548F">
      <w:pPr>
        <w:pStyle w:val="Translit"/>
      </w:pPr>
      <w:r w:rsidRPr="008F03E5">
        <w:t>Tamaddun</w:t>
      </w:r>
      <w:r w:rsidRPr="008F03E5">
        <w:tab/>
        <w:t>Tamaddun, Tamadyun</w:t>
      </w:r>
      <w:r w:rsidRPr="008F03E5">
        <w:tab/>
        <w:t>civilization; refinement of social culture.  Also, living in a large community or city.  Derived from same root (form II maddana, with a form V tamaddana) as madína (“city”).</w:t>
      </w:r>
    </w:p>
    <w:p w14:paraId="06BE921E" w14:textId="77777777" w:rsidR="00625A5B" w:rsidRPr="008F03E5" w:rsidRDefault="00625A5B" w:rsidP="009D5D39">
      <w:pPr>
        <w:pStyle w:val="Translit"/>
      </w:pPr>
      <w:r w:rsidRPr="008F03E5">
        <w:t>Tamaddunu’l-Mulk</w:t>
      </w:r>
      <w:r w:rsidRPr="008F03E5">
        <w:tab/>
        <w:t>Tamaddunu’l-Mulk</w:t>
      </w:r>
      <w:r w:rsidRPr="008F03E5">
        <w:tab/>
        <w:t xml:space="preserve">a title (“Civilization of the Empire”) and name of a Bahá’í from </w:t>
      </w:r>
      <w:r w:rsidRPr="008F03E5">
        <w:rPr>
          <w:u w:val="single"/>
        </w:rPr>
        <w:t>Sh</w:t>
      </w:r>
      <w:r w:rsidRPr="008F03E5">
        <w:t>íráz who travelled with ‘Abdu’l-Bahá as His translator.  ‘Abdu’l-Bahá eventually declared him as a Covenant-Breaker and He described him as the uncivilized Tamaddun.</w:t>
      </w:r>
    </w:p>
    <w:p w14:paraId="57F8316F" w14:textId="77777777" w:rsidR="00625A5B" w:rsidRPr="0031173D" w:rsidRDefault="00625A5B" w:rsidP="0031173D">
      <w:pPr>
        <w:pStyle w:val="Translit"/>
      </w:pPr>
      <w:r>
        <w:t>Tamam, Tamaman</w:t>
      </w:r>
      <w:r>
        <w:tab/>
        <w:t>T</w:t>
      </w:r>
      <w:r w:rsidRPr="0031173D">
        <w:t>am</w:t>
      </w:r>
      <w:r>
        <w:t>á</w:t>
      </w:r>
      <w:r w:rsidRPr="0031173D">
        <w:t>m</w:t>
      </w:r>
      <w:r>
        <w:tab/>
      </w:r>
      <w:r w:rsidRPr="0031173D">
        <w:t>completeness, wholeness, entirety, perfection; full, whole, entire, complete, perfect; separate, independent; tam</w:t>
      </w:r>
      <w:r>
        <w:t>á</w:t>
      </w:r>
      <w:r w:rsidRPr="0031173D">
        <w:t>man completely, entirely, wholly, perfectly, fully, quite; precisely, exactly</w:t>
      </w:r>
    </w:p>
    <w:p w14:paraId="678D536D" w14:textId="77777777" w:rsidR="00625A5B" w:rsidRPr="008F03E5" w:rsidRDefault="00625A5B" w:rsidP="00053057">
      <w:pPr>
        <w:pStyle w:val="Translit"/>
      </w:pPr>
      <w:r w:rsidRPr="009467F5">
        <w:rPr>
          <w:lang w:val="es-ES_tradnl"/>
        </w:rPr>
        <w:t>Tamasha (Tamas-ha, Tabas-ha)</w:t>
      </w:r>
      <w:r w:rsidRPr="009467F5">
        <w:rPr>
          <w:lang w:val="es-ES_tradnl"/>
        </w:rPr>
        <w:tab/>
        <w:t>Tamá</w:t>
      </w:r>
      <w:r w:rsidRPr="009467F5">
        <w:rPr>
          <w:u w:val="single"/>
          <w:lang w:val="es-ES_tradnl"/>
        </w:rPr>
        <w:t>sh</w:t>
      </w:r>
      <w:r w:rsidRPr="009467F5">
        <w:rPr>
          <w:lang w:val="es-ES_tradnl"/>
        </w:rPr>
        <w:t>á</w:t>
      </w:r>
      <w:r w:rsidRPr="009467F5">
        <w:rPr>
          <w:lang w:val="es-ES_tradnl"/>
        </w:rPr>
        <w:tab/>
        <w:t xml:space="preserve">Pers. </w:t>
      </w:r>
      <w:r>
        <w:rPr>
          <w:lang w:val="en-AU"/>
        </w:rPr>
        <w:t>(</w:t>
      </w:r>
      <w:r w:rsidRPr="00AF4D34">
        <w:rPr>
          <w:rFonts w:eastAsia="Times New Roman"/>
        </w:rPr>
        <w:t xml:space="preserve">for </w:t>
      </w:r>
      <w:r w:rsidRPr="009467F5">
        <w:rPr>
          <w:rFonts w:eastAsia="Times New Roman"/>
        </w:rPr>
        <w:t>tamá</w:t>
      </w:r>
      <w:r w:rsidRPr="009467F5">
        <w:rPr>
          <w:rFonts w:eastAsia="Times New Roman"/>
          <w:u w:val="single"/>
        </w:rPr>
        <w:t>sh</w:t>
      </w:r>
      <w:r w:rsidRPr="009467F5">
        <w:rPr>
          <w:rFonts w:eastAsia="Times New Roman"/>
        </w:rPr>
        <w:t>í,</w:t>
      </w:r>
      <w:r w:rsidRPr="00AF4D34">
        <w:rPr>
          <w:rFonts w:eastAsia="Times New Roman"/>
        </w:rPr>
        <w:t xml:space="preserve"> </w:t>
      </w:r>
      <w:r>
        <w:rPr>
          <w:rFonts w:eastAsia="Times New Roman"/>
        </w:rPr>
        <w:t xml:space="preserve">Pers. </w:t>
      </w:r>
      <w:r w:rsidRPr="00AF4D34">
        <w:rPr>
          <w:rFonts w:eastAsia="Times New Roman"/>
        </w:rPr>
        <w:t>v</w:t>
      </w:r>
      <w:r>
        <w:rPr>
          <w:rFonts w:eastAsia="Times New Roman"/>
        </w:rPr>
        <w:t>ariation of</w:t>
      </w:r>
      <w:r w:rsidRPr="00AF4D34">
        <w:rPr>
          <w:rFonts w:eastAsia="Times New Roman"/>
        </w:rPr>
        <w:t xml:space="preserve"> </w:t>
      </w:r>
      <w:r>
        <w:rPr>
          <w:rFonts w:eastAsia="Times New Roman"/>
        </w:rPr>
        <w:t>ma</w:t>
      </w:r>
      <w:r w:rsidRPr="009467F5">
        <w:rPr>
          <w:rFonts w:eastAsia="Times New Roman"/>
          <w:u w:val="single"/>
        </w:rPr>
        <w:t>sh</w:t>
      </w:r>
      <w:r>
        <w:rPr>
          <w:rFonts w:eastAsia="Times New Roman"/>
        </w:rPr>
        <w:t>y</w:t>
      </w:r>
      <w:r>
        <w:rPr>
          <w:lang w:val="en-AU"/>
        </w:rPr>
        <w:t xml:space="preserve">) </w:t>
      </w:r>
      <w:r>
        <w:rPr>
          <w:rFonts w:eastAsia="Times New Roman"/>
        </w:rPr>
        <w:t>w</w:t>
      </w:r>
      <w:r w:rsidRPr="00AF4D34">
        <w:rPr>
          <w:rFonts w:eastAsia="Times New Roman"/>
        </w:rPr>
        <w:t>alking abroad for recreation; beholding; looking at anything comic or tragic; an entertainment, show, theatrical representation; sport, amusement, pleasure; interest</w:t>
      </w:r>
      <w:r>
        <w:rPr>
          <w:rFonts w:eastAsia="Times New Roman"/>
        </w:rPr>
        <w:t>;</w:t>
      </w:r>
      <w:r w:rsidRPr="008F03E5">
        <w:t xml:space="preserve"> witnessing, sightseeing, delightful to look at.  Mispronounced as </w:t>
      </w:r>
      <w:r>
        <w:t>“</w:t>
      </w:r>
      <w:r w:rsidRPr="008F03E5">
        <w:t>Tabá</w:t>
      </w:r>
      <w:r w:rsidRPr="00936ABB">
        <w:rPr>
          <w:i/>
          <w:iCs/>
        </w:rPr>
        <w:t>s</w:t>
      </w:r>
      <w:r>
        <w:rPr>
          <w:i/>
          <w:iCs/>
        </w:rPr>
        <w:t xml:space="preserve"> </w:t>
      </w:r>
      <w:r w:rsidRPr="00936ABB">
        <w:t>h</w:t>
      </w:r>
      <w:r w:rsidRPr="008F03E5">
        <w:t>á</w:t>
      </w:r>
      <w:r>
        <w:t>”</w:t>
      </w:r>
      <w:r w:rsidRPr="008F03E5">
        <w:t xml:space="preserve"> by Ḥusayn </w:t>
      </w:r>
      <w:r w:rsidRPr="00053057">
        <w:t xml:space="preserve">Effendi (d. </w:t>
      </w:r>
      <w:r w:rsidRPr="00015957">
        <w:rPr>
          <w:sz w:val="16"/>
          <w:szCs w:val="16"/>
        </w:rPr>
        <w:t>AH</w:t>
      </w:r>
      <w:r>
        <w:t xml:space="preserve"> </w:t>
      </w:r>
      <w:r w:rsidRPr="00053057">
        <w:t>1305/</w:t>
      </w:r>
      <w:r>
        <w:t xml:space="preserve"> </w:t>
      </w:r>
      <w:r w:rsidRPr="00015957">
        <w:rPr>
          <w:sz w:val="16"/>
          <w:szCs w:val="16"/>
        </w:rPr>
        <w:t>CE</w:t>
      </w:r>
      <w:r>
        <w:t xml:space="preserve"> </w:t>
      </w:r>
      <w:r w:rsidRPr="00053057">
        <w:t>1887, aged two</w:t>
      </w:r>
      <w:r>
        <w:t xml:space="preserve">; </w:t>
      </w:r>
      <w:r w:rsidRPr="008F03E5">
        <w:t>son of ‘Abdu’l-Bahá</w:t>
      </w:r>
      <w:r>
        <w:t>).</w:t>
      </w:r>
    </w:p>
    <w:p w14:paraId="33C67037" w14:textId="77777777" w:rsidR="00625A5B" w:rsidRPr="008F03E5" w:rsidRDefault="00625A5B" w:rsidP="001A7293">
      <w:pPr>
        <w:pStyle w:val="Translit"/>
      </w:pPr>
      <w:r w:rsidRPr="008F03E5">
        <w:t>Tamashshi</w:t>
      </w:r>
      <w:r w:rsidRPr="008F03E5">
        <w:tab/>
        <w:t>Tama</w:t>
      </w:r>
      <w:r w:rsidRPr="008F03E5">
        <w:rPr>
          <w:u w:val="single"/>
        </w:rPr>
        <w:t>shsh</w:t>
      </w:r>
      <w:r w:rsidRPr="008F03E5">
        <w:t>í</w:t>
      </w:r>
      <w:r w:rsidRPr="008F03E5">
        <w:tab/>
        <w:t>Pers. walking; performing, carrying out</w:t>
      </w:r>
    </w:p>
    <w:p w14:paraId="5ECBABDF" w14:textId="77777777" w:rsidR="00625A5B" w:rsidRPr="008F03E5" w:rsidRDefault="00625A5B" w:rsidP="008A2797">
      <w:pPr>
        <w:pStyle w:val="Translit"/>
      </w:pPr>
      <w:r w:rsidRPr="008F03E5">
        <w:t>Tamhis, Tamhisat</w:t>
      </w:r>
      <w:r w:rsidRPr="008F03E5">
        <w:tab/>
        <w:t>Tamḥíṣ, pl. Tamḥíṣát</w:t>
      </w:r>
      <w:r w:rsidRPr="008F03E5">
        <w:tab/>
        <w:t>clarification; testing, thorough examination</w:t>
      </w:r>
    </w:p>
    <w:p w14:paraId="468D6533" w14:textId="77777777" w:rsidR="00625A5B" w:rsidRPr="008F03E5" w:rsidRDefault="00625A5B" w:rsidP="00DF5A0D">
      <w:pPr>
        <w:pStyle w:val="Translit"/>
      </w:pPr>
      <w:r w:rsidRPr="001457C8">
        <w:rPr>
          <w:lang w:val="pl-PL"/>
        </w:rPr>
        <w:t>Tamima, Tama’im</w:t>
      </w:r>
      <w:r w:rsidRPr="001457C8">
        <w:rPr>
          <w:lang w:val="pl-PL"/>
        </w:rPr>
        <w:tab/>
        <w:t xml:space="preserve">Tamíma[t], pl. </w:t>
      </w:r>
      <w:r w:rsidRPr="008F03E5">
        <w:t>Tamá’im</w:t>
      </w:r>
      <w:r w:rsidRPr="008F03E5">
        <w:tab/>
      </w:r>
      <w:r w:rsidRPr="008F03E5">
        <w:rPr>
          <w:rFonts w:eastAsia="Times New Roman"/>
        </w:rPr>
        <w:t xml:space="preserve">amulet or charm against witchcraft;—pl. </w:t>
      </w:r>
      <w:r w:rsidRPr="008F03E5">
        <w:t xml:space="preserve">Tamím </w:t>
      </w:r>
      <w:r w:rsidRPr="008F03E5">
        <w:rPr>
          <w:rFonts w:eastAsia="Times New Roman"/>
        </w:rPr>
        <w:t xml:space="preserve">well-formed, solid, firm; name of a tribe;—pl. </w:t>
      </w:r>
      <w:r w:rsidRPr="008F03E5">
        <w:t xml:space="preserve">Tamá’im </w:t>
      </w:r>
      <w:r w:rsidRPr="008F03E5">
        <w:rPr>
          <w:rFonts w:eastAsia="Times New Roman"/>
        </w:rPr>
        <w:t>amulets.</w:t>
      </w:r>
    </w:p>
    <w:p w14:paraId="3970318A" w14:textId="77777777" w:rsidR="00625A5B" w:rsidRPr="008F03E5" w:rsidRDefault="00625A5B" w:rsidP="00DF5A0D">
      <w:pPr>
        <w:pStyle w:val="Translit"/>
        <w:rPr>
          <w:rFonts w:eastAsia="Times New Roman"/>
        </w:rPr>
      </w:pPr>
      <w:r w:rsidRPr="008F03E5">
        <w:rPr>
          <w:rFonts w:eastAsia="Times New Roman"/>
        </w:rPr>
        <w:t>Tamimi</w:t>
      </w:r>
      <w:r w:rsidRPr="008F03E5">
        <w:rPr>
          <w:rFonts w:eastAsia="Times New Roman"/>
        </w:rPr>
        <w:tab/>
        <w:t>Tamímí</w:t>
      </w:r>
      <w:r w:rsidRPr="008F03E5">
        <w:rPr>
          <w:rFonts w:eastAsia="Times New Roman"/>
        </w:rPr>
        <w:tab/>
        <w:t>of the tribe of Tamím</w:t>
      </w:r>
    </w:p>
    <w:p w14:paraId="20295712" w14:textId="77777777" w:rsidR="00625A5B" w:rsidRPr="008F03E5" w:rsidRDefault="00625A5B" w:rsidP="003317F8">
      <w:pPr>
        <w:pStyle w:val="Translit"/>
      </w:pPr>
      <w:r w:rsidRPr="00235A9D">
        <w:t>Tamma, Tammat</w:t>
      </w:r>
      <w:r w:rsidRPr="00235A9D">
        <w:tab/>
        <w:t xml:space="preserve">Ṭámma[h], pl. </w:t>
      </w:r>
      <w:r w:rsidRPr="008F03E5">
        <w:t>Ṭámmát</w:t>
      </w:r>
      <w:r w:rsidRPr="008F03E5">
        <w:tab/>
        <w:t>(overwhelming) calamity, disaster.  Qur’án 79:34</w:t>
      </w:r>
    </w:p>
    <w:p w14:paraId="6CFE2281" w14:textId="77777777" w:rsidR="00625A5B" w:rsidRPr="008F03E5" w:rsidRDefault="00625A5B" w:rsidP="009114D2">
      <w:pPr>
        <w:pStyle w:val="Translit"/>
      </w:pPr>
      <w:r w:rsidRPr="008F03E5">
        <w:t>Tamtam</w:t>
      </w:r>
      <w:r w:rsidRPr="008F03E5">
        <w:tab/>
        <w:t>Ṭamṭám</w:t>
      </w:r>
      <w:r w:rsidRPr="008F03E5">
        <w:tab/>
        <w:t>Pers. middle of the sea</w:t>
      </w:r>
    </w:p>
    <w:p w14:paraId="6C7EAE50" w14:textId="77777777" w:rsidR="00625A5B" w:rsidRDefault="00625A5B" w:rsidP="00FF2185">
      <w:pPr>
        <w:pStyle w:val="Translit"/>
      </w:pPr>
      <w:r>
        <w:t>Tamthil, Tamathil</w:t>
      </w:r>
      <w:r>
        <w:tab/>
        <w:t>T</w:t>
      </w:r>
      <w:r w:rsidRPr="00FF2185">
        <w:t>am</w:t>
      </w:r>
      <w:r w:rsidRPr="00FF2185">
        <w:rPr>
          <w:u w:val="single"/>
        </w:rPr>
        <w:t>th</w:t>
      </w:r>
      <w:r>
        <w:t>í</w:t>
      </w:r>
      <w:r w:rsidRPr="00FF2185">
        <w:t>l</w:t>
      </w:r>
      <w:r>
        <w:t>,</w:t>
      </w:r>
      <w:r w:rsidRPr="00FF2185">
        <w:t xml:space="preserve"> pl. </w:t>
      </w:r>
      <w:r>
        <w:t>T</w:t>
      </w:r>
      <w:r w:rsidRPr="00FF2185">
        <w:t>am</w:t>
      </w:r>
      <w:r>
        <w:t>á</w:t>
      </w:r>
      <w:r w:rsidRPr="00FF2185">
        <w:rPr>
          <w:u w:val="single"/>
        </w:rPr>
        <w:t>th</w:t>
      </w:r>
      <w:r>
        <w:t>í</w:t>
      </w:r>
      <w:r w:rsidRPr="00FF2185">
        <w:t>l</w:t>
      </w:r>
      <w:r>
        <w:tab/>
      </w:r>
      <w:r w:rsidRPr="00FF2185">
        <w:t>quotation of examples, exemplification; likening, comparison; assimilation; portrayal, picturing, depiction, description; representation; diplomatic representation; dramatic representation, acting, playing (of an actor); performance, show; dramatic art; exemplary punishment</w:t>
      </w:r>
    </w:p>
    <w:p w14:paraId="52F23237" w14:textId="77777777" w:rsidR="00625A5B" w:rsidRPr="008F03E5" w:rsidRDefault="00625A5B" w:rsidP="008A2797">
      <w:pPr>
        <w:pStyle w:val="Translit"/>
      </w:pPr>
      <w:r w:rsidRPr="008F03E5">
        <w:t>Tanasukh</w:t>
      </w:r>
      <w:r w:rsidRPr="008F03E5">
        <w:tab/>
        <w:t>Tanású</w:t>
      </w:r>
      <w:r w:rsidRPr="008F03E5">
        <w:rPr>
          <w:u w:val="single"/>
        </w:rPr>
        <w:t>kh</w:t>
      </w:r>
      <w:r w:rsidRPr="008F03E5">
        <w:tab/>
        <w:t>succession; transmigration of souls, metempsychosis</w:t>
      </w:r>
    </w:p>
    <w:p w14:paraId="307D4B43" w14:textId="77777777" w:rsidR="00625A5B" w:rsidRPr="008F03E5" w:rsidRDefault="00625A5B" w:rsidP="00F24A5D">
      <w:pPr>
        <w:pStyle w:val="Translit"/>
      </w:pPr>
      <w:r w:rsidRPr="008F03E5">
        <w:t>Tanazu’</w:t>
      </w:r>
      <w:r w:rsidRPr="008F03E5">
        <w:tab/>
        <w:t>Tanázu‘</w:t>
      </w:r>
      <w:r w:rsidRPr="008F03E5">
        <w:tab/>
        <w:t>tight, struggle, strife, contention, controversy.  tanázu‘ al-baqá’ (Pers. tanázu‘-i-baqá’) struggle for existence or survival.</w:t>
      </w:r>
    </w:p>
    <w:p w14:paraId="51BD16AA" w14:textId="77777777" w:rsidR="00625A5B" w:rsidRPr="008F03E5" w:rsidRDefault="00625A5B" w:rsidP="00176EFC">
      <w:pPr>
        <w:pStyle w:val="Translit"/>
      </w:pPr>
      <w:r w:rsidRPr="008F03E5">
        <w:t>Tang</w:t>
      </w:r>
      <w:r w:rsidRPr="008F03E5">
        <w:tab/>
        <w:t>Tang</w:t>
      </w:r>
      <w:r w:rsidRPr="008F03E5">
        <w:tab/>
        <w:t>Pers. narrow, strait; sad, anxious, distressed; strong; near, neighbouring; rare, scarce; numerous, many; half a load (as much as is carried upon one side); a package, *bundle, sack; an ass-load of sugar; a concealing, putting *out of sight; a strait, defile, mountain pass; anxiety, affliction; a horse-girth; a strap for fastening a load; the press of an oil-mill; a plain surface on which painters draw their first sketch</w:t>
      </w:r>
    </w:p>
    <w:p w14:paraId="5E1B62FB" w14:textId="77777777" w:rsidR="00625A5B" w:rsidRPr="008F03E5" w:rsidRDefault="00625A5B" w:rsidP="00900A82">
      <w:pPr>
        <w:pStyle w:val="Translit"/>
      </w:pPr>
      <w:r w:rsidRPr="008F03E5">
        <w:t>Tang-i-Qajar</w:t>
      </w:r>
      <w:r w:rsidRPr="008F03E5">
        <w:tab/>
        <w:t>Tang-i-Qájár</w:t>
      </w:r>
      <w:r w:rsidRPr="008F03E5">
        <w:tab/>
        <w:t xml:space="preserve">“Qájár squeeze”, a form of torture, </w:t>
      </w:r>
      <w:r w:rsidRPr="008F03E5">
        <w:rPr>
          <w:sz w:val="16"/>
          <w:szCs w:val="16"/>
        </w:rPr>
        <w:t>DB</w:t>
      </w:r>
      <w:r w:rsidRPr="008F03E5">
        <w:t xml:space="preserve"> 648</w:t>
      </w:r>
    </w:p>
    <w:p w14:paraId="5BB10E40" w14:textId="77777777" w:rsidR="00625A5B" w:rsidRPr="008F03E5" w:rsidRDefault="00625A5B" w:rsidP="00730FD1">
      <w:pPr>
        <w:pStyle w:val="Translit"/>
      </w:pPr>
      <w:r w:rsidRPr="008F03E5">
        <w:t>Tanja</w:t>
      </w:r>
      <w:r w:rsidRPr="008F03E5">
        <w:tab/>
        <w:t>Ṭanja[h]</w:t>
      </w:r>
      <w:r w:rsidRPr="008F03E5">
        <w:tab/>
        <w:t xml:space="preserve">Tangier (Tangiers), city </w:t>
      </w:r>
      <w:r w:rsidRPr="008F03E5">
        <w:rPr>
          <w:sz w:val="16"/>
          <w:szCs w:val="16"/>
        </w:rPr>
        <w:t>NW</w:t>
      </w:r>
      <w:r w:rsidRPr="008F03E5">
        <w:t xml:space="preserve"> Morocco</w:t>
      </w:r>
    </w:p>
    <w:p w14:paraId="327C89A3" w14:textId="77777777" w:rsidR="00625A5B" w:rsidRPr="008F03E5" w:rsidRDefault="00625A5B" w:rsidP="00730FD1">
      <w:pPr>
        <w:pStyle w:val="Translit"/>
      </w:pPr>
      <w:r w:rsidRPr="008F03E5">
        <w:t>Tansikh</w:t>
      </w:r>
      <w:r w:rsidRPr="008F03E5">
        <w:tab/>
        <w:t>Tansí</w:t>
      </w:r>
      <w:r w:rsidRPr="008F03E5">
        <w:rPr>
          <w:u w:val="single"/>
        </w:rPr>
        <w:t>kh</w:t>
      </w:r>
      <w:r w:rsidRPr="008F03E5">
        <w:tab/>
        <w:t>Pers. causing to annul or abrogate; cancelling; abrogation; quashing</w:t>
      </w:r>
    </w:p>
    <w:p w14:paraId="6EB90AA1" w14:textId="77777777" w:rsidR="00625A5B" w:rsidRPr="008F03E5" w:rsidRDefault="00625A5B" w:rsidP="00241D6F">
      <w:pPr>
        <w:pStyle w:val="Translit"/>
      </w:pPr>
      <w:r w:rsidRPr="008F03E5">
        <w:t>Tanta</w:t>
      </w:r>
      <w:r w:rsidRPr="008F03E5">
        <w:tab/>
        <w:t>Ṭanṭá</w:t>
      </w:r>
      <w:r w:rsidRPr="008F03E5">
        <w:tab/>
        <w:t xml:space="preserve">a city 85 km </w:t>
      </w:r>
      <w:r w:rsidRPr="008F03E5">
        <w:rPr>
          <w:sz w:val="16"/>
          <w:szCs w:val="16"/>
        </w:rPr>
        <w:t>NNW</w:t>
      </w:r>
      <w:r w:rsidRPr="008F03E5">
        <w:t xml:space="preserve"> of Cairo</w:t>
      </w:r>
    </w:p>
    <w:p w14:paraId="4BD9A937" w14:textId="77777777" w:rsidR="00625A5B" w:rsidRPr="008F03E5" w:rsidRDefault="00625A5B" w:rsidP="00C17432">
      <w:pPr>
        <w:pStyle w:val="Translit"/>
      </w:pPr>
      <w:r w:rsidRPr="008F03E5">
        <w:t>Tanwin</w:t>
      </w:r>
      <w:r w:rsidRPr="008F03E5">
        <w:tab/>
        <w:t>Tanwín</w:t>
      </w:r>
      <w:r w:rsidRPr="008F03E5">
        <w:tab/>
        <w:t>nunnation (grammar)</w:t>
      </w:r>
    </w:p>
    <w:p w14:paraId="783D7E04" w14:textId="77777777" w:rsidR="00625A5B" w:rsidRPr="008F03E5" w:rsidRDefault="00625A5B" w:rsidP="00764363">
      <w:pPr>
        <w:pStyle w:val="Translit"/>
      </w:pPr>
      <w:r w:rsidRPr="008F03E5">
        <w:t>Tanzih</w:t>
      </w:r>
      <w:r w:rsidRPr="008F03E5">
        <w:tab/>
        <w:t>Tanzíh</w:t>
      </w:r>
      <w:r w:rsidRPr="008F03E5">
        <w:tab/>
        <w:t>purifying, cleansing, keeping oneself at a distance from everything unclean; purity, holiness.  Elimination of anthropomorphic elements from the conception of deity.</w:t>
      </w:r>
    </w:p>
    <w:p w14:paraId="6A1853E4" w14:textId="77777777" w:rsidR="00625A5B" w:rsidRPr="008F03E5" w:rsidRDefault="00625A5B" w:rsidP="00B621CC">
      <w:pPr>
        <w:pStyle w:val="Translit"/>
      </w:pPr>
      <w:r w:rsidRPr="008F03E5">
        <w:t>Tanzil, Tanzilat</w:t>
      </w:r>
      <w:r w:rsidRPr="008F03E5">
        <w:tab/>
        <w:t>Tanzíl, pl. Tanzílát</w:t>
      </w:r>
      <w:r w:rsidRPr="008F03E5">
        <w:tab/>
        <w:t>sending down, bringing down; revelation, inspiration; reduction, diminution, lowering, lessening, decrease;—pl. reduction (of prices); subtraction (arithmetic); deduction, discount; inlaying, inlay work.  Persian definition:  sending anything down (especially as God does from heaven); causing (a traveller) to alight, lodging and treating him hospitably; revelation from heaven; the Qur’án.</w:t>
      </w:r>
    </w:p>
    <w:p w14:paraId="42573602" w14:textId="77777777" w:rsidR="00625A5B" w:rsidRPr="008F03E5" w:rsidRDefault="00625A5B" w:rsidP="001C5BB9">
      <w:pPr>
        <w:pStyle w:val="Translit"/>
      </w:pPr>
      <w:r w:rsidRPr="008F03E5">
        <w:t>Taqarub</w:t>
      </w:r>
      <w:r w:rsidRPr="008F03E5">
        <w:tab/>
        <w:t>Taqárub</w:t>
      </w:r>
      <w:r w:rsidRPr="008F03E5">
        <w:tab/>
        <w:t>mutual approach; mutual approximation; rapprochement</w:t>
      </w:r>
    </w:p>
    <w:p w14:paraId="26BFBEF3" w14:textId="77777777" w:rsidR="00625A5B" w:rsidRPr="008F03E5" w:rsidRDefault="00625A5B" w:rsidP="005E47A7">
      <w:pPr>
        <w:pStyle w:val="Translit"/>
      </w:pPr>
      <w:r w:rsidRPr="008F03E5">
        <w:t>Taqdir, Taqdirat, Taqadir</w:t>
      </w:r>
      <w:r w:rsidRPr="008F03E5">
        <w:tab/>
        <w:t>Taqdír, pl. Taqdírát, Taqádír</w:t>
      </w:r>
      <w:r w:rsidRPr="008F03E5">
        <w:tab/>
        <w:t>estimation, appraisal, assessment, taxation, rating; calculation, estimate, valuation; appreciation; esteem; assumption, surmise, supposition, proposition; implication of a missing syntactical part (grammar); (pl. Taqdírát) grading, evaluation (of achievement; school, university)</w:t>
      </w:r>
    </w:p>
    <w:p w14:paraId="250D2A0D" w14:textId="77777777" w:rsidR="00625A5B" w:rsidRPr="008F03E5" w:rsidRDefault="00625A5B" w:rsidP="00A278EB">
      <w:pPr>
        <w:pStyle w:val="Translit"/>
      </w:pPr>
      <w:r w:rsidRPr="008F03E5">
        <w:t>Taqdis</w:t>
      </w:r>
      <w:r w:rsidRPr="008F03E5">
        <w:tab/>
        <w:t>Taqdís</w:t>
      </w:r>
      <w:r w:rsidRPr="008F03E5">
        <w:tab/>
        <w:t>Pers. purifying, sanctifying, consecrating, calling holy; purity; sanctification, sanctity; magnification</w:t>
      </w:r>
    </w:p>
    <w:p w14:paraId="0512E9ED" w14:textId="77777777" w:rsidR="00625A5B" w:rsidRPr="008F03E5" w:rsidRDefault="00625A5B" w:rsidP="00C62415">
      <w:pPr>
        <w:pStyle w:val="Translit"/>
      </w:pPr>
      <w:r w:rsidRPr="008F03E5">
        <w:t>Taqiy (Taqí), Atqiya’, Tuqawa’</w:t>
      </w:r>
      <w:r w:rsidRPr="008F03E5">
        <w:tab/>
        <w:t>Taqíy, pl. Atqiyá’, Tuqáwa’</w:t>
      </w:r>
      <w:r w:rsidRPr="008F03E5">
        <w:tab/>
        <w:t>god fearing, godly, devout, pious.  Pers. variation Taqí.</w:t>
      </w:r>
    </w:p>
    <w:p w14:paraId="41A4DB3A" w14:textId="77777777" w:rsidR="00625A5B" w:rsidRPr="008F03E5" w:rsidRDefault="00625A5B" w:rsidP="00D94C89">
      <w:pPr>
        <w:pStyle w:val="Translit"/>
      </w:pPr>
      <w:r w:rsidRPr="008F03E5">
        <w:t>Taqiy ad-Din (Taqieddin, Takiyuddin)</w:t>
      </w:r>
      <w:r w:rsidRPr="008F03E5">
        <w:tab/>
      </w:r>
      <w:bookmarkStart w:id="142" w:name="_Hlk52365587"/>
      <w:r w:rsidRPr="008F03E5">
        <w:t>Taqíy ad-Dín</w:t>
      </w:r>
      <w:bookmarkEnd w:id="142"/>
      <w:r w:rsidRPr="008F03E5">
        <w:tab/>
        <w:t>an Arabic masculine name.  God-fearing or pious (person) of religion (Islam).  Pers. also Taqí.</w:t>
      </w:r>
    </w:p>
    <w:p w14:paraId="6C7B0766" w14:textId="77777777" w:rsidR="00625A5B" w:rsidRPr="008F03E5" w:rsidRDefault="00625A5B" w:rsidP="00900A82">
      <w:pPr>
        <w:pStyle w:val="Translit"/>
      </w:pPr>
      <w:r w:rsidRPr="008F03E5">
        <w:t>Taqiy Khan-i-Farahani</w:t>
      </w:r>
      <w:r w:rsidRPr="008F03E5">
        <w:tab/>
        <w:t xml:space="preserve">Taqíy </w:t>
      </w:r>
      <w:r w:rsidRPr="008F03E5">
        <w:rPr>
          <w:u w:val="single"/>
        </w:rPr>
        <w:t>Kh</w:t>
      </w:r>
      <w:r w:rsidRPr="008F03E5">
        <w:t>án-i-Faráhání</w:t>
      </w:r>
      <w:r w:rsidRPr="008F03E5">
        <w:tab/>
        <w:t xml:space="preserve">Taqí </w:t>
      </w:r>
      <w:r w:rsidRPr="008F03E5">
        <w:rPr>
          <w:u w:val="single"/>
        </w:rPr>
        <w:t>Kh</w:t>
      </w:r>
      <w:r w:rsidRPr="008F03E5">
        <w:t>án-i-Faráhání (Pers.), Mírzá Grand Vizier.  Known as Amír Kabír (the Great Emir)</w:t>
      </w:r>
    </w:p>
    <w:p w14:paraId="46D7D143" w14:textId="77777777" w:rsidR="00625A5B" w:rsidRPr="008F03E5" w:rsidRDefault="00625A5B" w:rsidP="00660B0F">
      <w:pPr>
        <w:pStyle w:val="Translit"/>
      </w:pPr>
      <w:r w:rsidRPr="008F03E5">
        <w:t>Taqiya (</w:t>
      </w:r>
      <w:r>
        <w:t xml:space="preserve">Taqiyya, </w:t>
      </w:r>
      <w:r w:rsidRPr="008F03E5">
        <w:t>Taqiyih)</w:t>
      </w:r>
      <w:r w:rsidRPr="008F03E5">
        <w:tab/>
        <w:t>Taqíya[h or t]</w:t>
      </w:r>
      <w:r>
        <w:t xml:space="preserve">, Pers. </w:t>
      </w:r>
      <w:r w:rsidRPr="008F03E5">
        <w:t>Taq</w:t>
      </w:r>
      <w:r>
        <w:t>iyy</w:t>
      </w:r>
      <w:r w:rsidRPr="008F03E5">
        <w:t>a[h or t]</w:t>
      </w:r>
      <w:r w:rsidRPr="008F03E5">
        <w:tab/>
        <w:t>(fem. of Taqíy) fear (of God), caution, prudence</w:t>
      </w:r>
      <w:r w:rsidRPr="008F03E5">
        <w:rPr>
          <w:rFonts w:eastAsia="Times New Roman"/>
        </w:rPr>
        <w:t xml:space="preserve">, piety; caution; pious fraud or subterfuge. </w:t>
      </w:r>
      <w:r w:rsidRPr="008F03E5">
        <w:t xml:space="preserve"> In </w:t>
      </w:r>
      <w:r w:rsidRPr="008F03E5">
        <w:rPr>
          <w:u w:val="single"/>
        </w:rPr>
        <w:t>Sh</w:t>
      </w:r>
      <w:r w:rsidRPr="008F03E5">
        <w:t xml:space="preserve">í‘ah Islám:  dissembling—giving lip-denial of ones faith.  Lying by omission.  Qur’án 16:106 and 3:28 are believed to justify dissimulation, a practice that is more prominent in </w:t>
      </w:r>
      <w:r w:rsidRPr="008F03E5">
        <w:rPr>
          <w:u w:val="single"/>
        </w:rPr>
        <w:t>Sh</w:t>
      </w:r>
      <w:r w:rsidRPr="008F03E5">
        <w:t xml:space="preserve">í‘a Islám.  However, further verses (16:107–110 and 3:29–32) add qualifications.  It is important to stress that taqíya is not meant to be a tool to deceive non-Muslims and to spread Islám, but instead a defensive mechanism that may be used to save one’s life when it is in great danger. However, there is a greater reward accepting death than denying one’s faith under duress.  See </w:t>
      </w:r>
      <w:r w:rsidRPr="008F03E5">
        <w:rPr>
          <w:i/>
          <w:iCs/>
        </w:rPr>
        <w:t>Lights of Guidance</w:t>
      </w:r>
      <w:r w:rsidRPr="008F03E5">
        <w:t>,#215, p. 61.  See Kitmán.</w:t>
      </w:r>
    </w:p>
    <w:p w14:paraId="6083BEE5" w14:textId="77777777" w:rsidR="00625A5B" w:rsidRPr="008F03E5" w:rsidRDefault="00625A5B" w:rsidP="00CB2EC8">
      <w:pPr>
        <w:pStyle w:val="Translit"/>
      </w:pPr>
      <w:r w:rsidRPr="008F03E5">
        <w:t>Taqiy-i-Harati</w:t>
      </w:r>
      <w:r w:rsidRPr="008F03E5">
        <w:tab/>
        <w:t>Taqíy-i-Harátí</w:t>
      </w:r>
      <w:r w:rsidRPr="008F03E5">
        <w:tab/>
        <w:t>Mullá Muḥammad Taqíy-i-Harátí, an eminent mujtahid</w:t>
      </w:r>
    </w:p>
    <w:p w14:paraId="393F42F0" w14:textId="77777777" w:rsidR="00625A5B" w:rsidRPr="008F03E5" w:rsidRDefault="00625A5B" w:rsidP="00344893">
      <w:pPr>
        <w:pStyle w:val="Translit"/>
      </w:pPr>
      <w:r w:rsidRPr="008F03E5">
        <w:t>Taqiy-i-Juvayni</w:t>
      </w:r>
      <w:r w:rsidRPr="008F03E5">
        <w:tab/>
        <w:t>Taqíy-i-Juvayní</w:t>
      </w:r>
      <w:r w:rsidRPr="008F03E5">
        <w:tab/>
        <w:t>Mírzá Muḥammad-Taqíy-i-Juvayní, Bábí, a native of Sabzivár, distinguished for his literary accomplishments</w:t>
      </w:r>
    </w:p>
    <w:p w14:paraId="4AF7D2AB" w14:textId="77777777" w:rsidR="00625A5B" w:rsidRPr="008F03E5" w:rsidRDefault="00625A5B" w:rsidP="00900A82">
      <w:pPr>
        <w:pStyle w:val="Translit"/>
      </w:pPr>
      <w:r w:rsidRPr="008F03E5">
        <w:t>Taqiy-i-Kashani</w:t>
      </w:r>
      <w:r w:rsidRPr="008F03E5">
        <w:tab/>
        <w:t>Taqíy-i-Ká</w:t>
      </w:r>
      <w:r w:rsidRPr="008F03E5">
        <w:rPr>
          <w:u w:val="single"/>
        </w:rPr>
        <w:t>sh</w:t>
      </w:r>
      <w:r w:rsidRPr="008F03E5">
        <w:t>ání</w:t>
      </w:r>
      <w:r w:rsidRPr="008F03E5">
        <w:tab/>
        <w:t>Muḥammad-Ḥusayn-i-Ká</w:t>
      </w:r>
      <w:r w:rsidRPr="008F03E5">
        <w:rPr>
          <w:u w:val="single"/>
        </w:rPr>
        <w:t>sh</w:t>
      </w:r>
      <w:r w:rsidRPr="008F03E5">
        <w:t>ání</w:t>
      </w:r>
    </w:p>
    <w:p w14:paraId="2059D007" w14:textId="77777777" w:rsidR="00625A5B" w:rsidRPr="008F03E5" w:rsidRDefault="00625A5B" w:rsidP="00900A82">
      <w:pPr>
        <w:pStyle w:val="Translit"/>
      </w:pPr>
      <w:r w:rsidRPr="008F03E5">
        <w:t>Taqizadih, Taqizadeh</w:t>
      </w:r>
      <w:r w:rsidRPr="008F03E5">
        <w:tab/>
        <w:t>Taqízádih</w:t>
      </w:r>
      <w:r w:rsidRPr="008F03E5">
        <w:tab/>
        <w:t>Siyyid Haṣan Taqízádih</w:t>
      </w:r>
    </w:p>
    <w:p w14:paraId="308E5138" w14:textId="77777777" w:rsidR="00625A5B" w:rsidRPr="008F03E5" w:rsidRDefault="00625A5B" w:rsidP="001B22B1">
      <w:pPr>
        <w:pStyle w:val="Translit"/>
      </w:pPr>
      <w:r w:rsidRPr="008F03E5">
        <w:t>Taqla</w:t>
      </w:r>
      <w:r w:rsidRPr="008F03E5">
        <w:tab/>
        <w:t>Taqlá (</w:t>
      </w:r>
      <w:r w:rsidRPr="008F03E5">
        <w:rPr>
          <w:rtl/>
        </w:rPr>
        <w:t>تقلا</w:t>
      </w:r>
      <w:r w:rsidRPr="008F03E5">
        <w:t>)</w:t>
      </w:r>
      <w:r w:rsidRPr="008F03E5">
        <w:tab/>
      </w:r>
      <w:r w:rsidRPr="008F03E5">
        <w:rPr>
          <w:i/>
          <w:iCs/>
        </w:rPr>
        <w:t>al-Ahrám</w:t>
      </w:r>
      <w:r w:rsidRPr="008F03E5">
        <w:t xml:space="preserve"> (“The Pyramids”) newspaper was founded on 5 August 1875 by brothers Salím Taqlá (1848–1892) and Bi</w:t>
      </w:r>
      <w:r w:rsidRPr="008F03E5">
        <w:rPr>
          <w:u w:val="single"/>
        </w:rPr>
        <w:t>sh</w:t>
      </w:r>
      <w:r w:rsidRPr="008F03E5">
        <w:t>ára Taqlá (1852–1901, his wife, Taqlá Pá</w:t>
      </w:r>
      <w:r w:rsidRPr="008F03E5">
        <w:rPr>
          <w:u w:val="single"/>
        </w:rPr>
        <w:t>sh</w:t>
      </w:r>
      <w:r w:rsidRPr="008F03E5">
        <w:t>á, succeeded him) in Alexandria.  Moved to Cairo in 1898.  Small village in Syria (36.319098, 36.846244).  Saint Takla Convent in Syria (33.850130, 36.546017).  Variations:  Taqleh, Takla, Takleh Tekla, Thecla, Thekla.</w:t>
      </w:r>
    </w:p>
    <w:p w14:paraId="5ECE9F6B" w14:textId="77777777" w:rsidR="00625A5B" w:rsidRPr="008F03E5" w:rsidRDefault="00625A5B" w:rsidP="00B652EF">
      <w:pPr>
        <w:pStyle w:val="Translit"/>
      </w:pPr>
      <w:r w:rsidRPr="008F03E5">
        <w:t>Taqlid</w:t>
      </w:r>
      <w:r w:rsidRPr="008F03E5">
        <w:tab/>
        <w:t>Taqlíd</w:t>
      </w:r>
      <w:r w:rsidRPr="008F03E5">
        <w:tab/>
        <w:t>to follow, imitate (often blindly); (law) legal conformism; emulate, e.g. to follow a mujtahid in religious laws and commandment as he has derived them, that is, following the decisions of a religious expert without necessarily examining the scriptural basis or reasoning of that decision.  Opposite of ijtihád.</w:t>
      </w:r>
    </w:p>
    <w:p w14:paraId="37C6B00D" w14:textId="77777777" w:rsidR="00625A5B" w:rsidRPr="008F03E5" w:rsidRDefault="00625A5B" w:rsidP="00304F7B">
      <w:pPr>
        <w:pStyle w:val="Translit"/>
      </w:pPr>
      <w:r w:rsidRPr="008F03E5">
        <w:t>Taqqum, Taqaddumat</w:t>
      </w:r>
      <w:r w:rsidRPr="008F03E5">
        <w:tab/>
        <w:t>Taqaddum, pl. Taqaddumát</w:t>
      </w:r>
      <w:r w:rsidRPr="008F03E5">
        <w:tab/>
        <w:t>precedence, priority; advantage, lead; advance, drive, push; advancement, progression, progress, achievement</w:t>
      </w:r>
    </w:p>
    <w:p w14:paraId="5C5CB6F1" w14:textId="77777777" w:rsidR="00625A5B" w:rsidRPr="008F03E5" w:rsidRDefault="00625A5B" w:rsidP="00575DA3">
      <w:pPr>
        <w:pStyle w:val="Translit"/>
      </w:pPr>
      <w:r w:rsidRPr="008F03E5">
        <w:t>Taqriz, Taqrizat, Taqariz</w:t>
      </w:r>
      <w:r w:rsidRPr="008F03E5">
        <w:tab/>
        <w:t>Taqríẓ, pl. Taqríẓát, Taqáríẓ</w:t>
      </w:r>
      <w:r w:rsidRPr="008F03E5">
        <w:tab/>
        <w:t>eulogy, encomium, panegyric</w:t>
      </w:r>
    </w:p>
    <w:p w14:paraId="6BE31BAE" w14:textId="77777777" w:rsidR="00625A5B" w:rsidRPr="008F03E5" w:rsidRDefault="00625A5B" w:rsidP="00575DA3">
      <w:pPr>
        <w:pStyle w:val="Translit"/>
      </w:pPr>
      <w:r w:rsidRPr="008F03E5">
        <w:t>Taqwa</w:t>
      </w:r>
      <w:r w:rsidRPr="008F03E5">
        <w:tab/>
        <w:t>Taqwá</w:t>
      </w:r>
      <w:r w:rsidRPr="008F03E5">
        <w:tab/>
        <w:t>piety or fear (of God); righteousness, right conduct</w:t>
      </w:r>
    </w:p>
    <w:p w14:paraId="02A9E424" w14:textId="77777777" w:rsidR="00625A5B" w:rsidRPr="008F03E5" w:rsidRDefault="00625A5B" w:rsidP="00497496">
      <w:pPr>
        <w:pStyle w:val="Translit"/>
      </w:pPr>
      <w:r w:rsidRPr="008F03E5">
        <w:t>Taqwim, Taqawim</w:t>
      </w:r>
      <w:r w:rsidRPr="008F03E5">
        <w:tab/>
        <w:t>Taqwím, pl. Taqáwím</w:t>
      </w:r>
      <w:r w:rsidRPr="008F03E5">
        <w:tab/>
        <w:t>raising, setting up, erection; appraisal, assessment, estimation, rating, valuation; correction; rectification, amendment, reform, reformation, reorganization, reshaping, modification, adaption; land survey, surveying; geography; stocktaking; almanac; calendar; chronology</w:t>
      </w:r>
    </w:p>
    <w:p w14:paraId="4AA1EB34" w14:textId="77777777" w:rsidR="00625A5B" w:rsidRDefault="00625A5B" w:rsidP="00CA384B">
      <w:pPr>
        <w:pStyle w:val="Translit"/>
      </w:pPr>
      <w:r>
        <w:t>Taqyid, Taqyidat, Taqayid</w:t>
      </w:r>
      <w:r>
        <w:tab/>
        <w:t>T</w:t>
      </w:r>
      <w:r w:rsidRPr="00CA384B">
        <w:t>aqy</w:t>
      </w:r>
      <w:r>
        <w:t>í</w:t>
      </w:r>
      <w:r w:rsidRPr="00CA384B">
        <w:t>d</w:t>
      </w:r>
      <w:r>
        <w:t>,</w:t>
      </w:r>
      <w:r w:rsidRPr="00CA384B">
        <w:t xml:space="preserve"> pl. </w:t>
      </w:r>
      <w:r>
        <w:t>T</w:t>
      </w:r>
      <w:r w:rsidRPr="00CA384B">
        <w:t>aqy</w:t>
      </w:r>
      <w:r>
        <w:t>í</w:t>
      </w:r>
      <w:r w:rsidRPr="00CA384B">
        <w:t>d</w:t>
      </w:r>
      <w:r>
        <w:t>á</w:t>
      </w:r>
      <w:r w:rsidRPr="00CA384B">
        <w:t xml:space="preserve">t, </w:t>
      </w:r>
      <w:r>
        <w:t>T</w:t>
      </w:r>
      <w:r w:rsidRPr="00CA384B">
        <w:t>aq</w:t>
      </w:r>
      <w:r>
        <w:t>á</w:t>
      </w:r>
      <w:r w:rsidRPr="00CA384B">
        <w:t>y</w:t>
      </w:r>
      <w:r>
        <w:t>í</w:t>
      </w:r>
      <w:r w:rsidRPr="00CA384B">
        <w:t>d</w:t>
      </w:r>
      <w:r>
        <w:tab/>
      </w:r>
      <w:r w:rsidRPr="00CA384B">
        <w:t>fettering, shackling, tying, binding; reservation, qualification; limitation, restriction, confinement, curtailment; entry, registry, registration, booking</w:t>
      </w:r>
    </w:p>
    <w:p w14:paraId="40C91797" w14:textId="77777777" w:rsidR="00625A5B" w:rsidRPr="008F03E5" w:rsidRDefault="00625A5B" w:rsidP="00895E5E">
      <w:pPr>
        <w:pStyle w:val="Translit"/>
      </w:pPr>
      <w:r w:rsidRPr="008F03E5">
        <w:t>Tar (Tor)</w:t>
      </w:r>
      <w:r w:rsidRPr="008F03E5">
        <w:tab/>
      </w:r>
      <w:r w:rsidRPr="008F03E5">
        <w:rPr>
          <w:rFonts w:eastAsia="Times New Roman"/>
        </w:rPr>
        <w:t>Tár</w:t>
      </w:r>
      <w:r w:rsidRPr="008F03E5">
        <w:rPr>
          <w:rFonts w:eastAsia="Times New Roman"/>
        </w:rPr>
        <w:tab/>
        <w:t xml:space="preserve">Pers. top, summit, vertex, pinnacle, head or higher part of anything; the warp of a web in the loom; the string of a musical instrument; a thread; a wire. </w:t>
      </w:r>
      <w:r w:rsidRPr="008F03E5">
        <w:t xml:space="preserve"> A long-necked, waisted lute family instrument.</w:t>
      </w:r>
    </w:p>
    <w:p w14:paraId="7D9AC355" w14:textId="77777777" w:rsidR="00625A5B" w:rsidRPr="008F03E5" w:rsidRDefault="00625A5B" w:rsidP="004A2354">
      <w:pPr>
        <w:pStyle w:val="Translit"/>
      </w:pPr>
      <w:r w:rsidRPr="008F03E5">
        <w:t>Tar, Tara (Itar, Itarat, Utur)</w:t>
      </w:r>
      <w:r w:rsidRPr="008F03E5">
        <w:tab/>
        <w:t>Ṭár, fem. Ṭára[h or t]</w:t>
      </w:r>
      <w:r w:rsidRPr="008F03E5">
        <w:tab/>
        <w:t xml:space="preserve">(= Iṭár, pl. Iṭárát, Uṭur) hoop, ring; tire; frame; wheel; tambourine.  Ṭár is a village (33.371974, 51.750631) 80 km north of Iṣfahán in Isfahan Province.  “Tár” in </w:t>
      </w:r>
      <w:r w:rsidRPr="008F03E5">
        <w:rPr>
          <w:i/>
          <w:iCs/>
        </w:rPr>
        <w:t>Tablets of Bahá’u’lláh.</w:t>
      </w:r>
    </w:p>
    <w:p w14:paraId="35449F06" w14:textId="77777777" w:rsidR="00625A5B" w:rsidRPr="008F03E5" w:rsidRDefault="00625A5B" w:rsidP="00965B7D">
      <w:pPr>
        <w:pStyle w:val="Translit"/>
      </w:pPr>
      <w:r w:rsidRPr="008F03E5">
        <w:t>Tara’iq al-Haqa’iq</w:t>
      </w:r>
      <w:r w:rsidRPr="008F03E5">
        <w:tab/>
        <w:t>Ṭará’iq al-Ḥaqá’iq</w:t>
      </w:r>
      <w:r w:rsidRPr="008F03E5">
        <w:tab/>
        <w:t xml:space="preserve">“Methods of facts”, 3 vols, by Ma‘ṣúm ‘Alí </w:t>
      </w:r>
      <w:r w:rsidRPr="008F03E5">
        <w:rPr>
          <w:u w:val="single"/>
        </w:rPr>
        <w:t>Sh</w:t>
      </w:r>
      <w:r w:rsidRPr="008F03E5">
        <w:t xml:space="preserve">áh </w:t>
      </w:r>
      <w:r w:rsidRPr="008F03E5">
        <w:rPr>
          <w:u w:val="single"/>
        </w:rPr>
        <w:t>Sh</w:t>
      </w:r>
      <w:r w:rsidRPr="008F03E5">
        <w:t>írází</w:t>
      </w:r>
    </w:p>
    <w:p w14:paraId="2495687F" w14:textId="77777777" w:rsidR="00625A5B" w:rsidRPr="008F03E5" w:rsidRDefault="00625A5B" w:rsidP="007E179A">
      <w:pPr>
        <w:pStyle w:val="Translit"/>
      </w:pPr>
      <w:r w:rsidRPr="008F03E5">
        <w:t>Tarab, Atrab</w:t>
      </w:r>
      <w:r w:rsidRPr="008F03E5">
        <w:tab/>
        <w:t>Ṭarab, pl. Aṭráb</w:t>
      </w:r>
      <w:r w:rsidRPr="008F03E5">
        <w:tab/>
        <w:t>joy, pleasure, delight, rapture; amusement, entertainment (with music and the like); music</w:t>
      </w:r>
    </w:p>
    <w:p w14:paraId="12D69646" w14:textId="77777777" w:rsidR="00625A5B" w:rsidRPr="008F03E5" w:rsidRDefault="00625A5B" w:rsidP="001116FC">
      <w:pPr>
        <w:pStyle w:val="Translit"/>
      </w:pPr>
      <w:r w:rsidRPr="008F03E5">
        <w:t>Tarabulus</w:t>
      </w:r>
      <w:r w:rsidRPr="008F03E5">
        <w:tab/>
        <w:t>Ṭarábulus</w:t>
      </w:r>
      <w:r w:rsidRPr="008F03E5">
        <w:tab/>
        <w:t>from the Greek name Τρίπολις (“three cities”), referring to Oea, Sabratha and Leptis Magna.  Ṭarábulus a</w:t>
      </w:r>
      <w:r w:rsidRPr="008F03E5">
        <w:rPr>
          <w:u w:val="single"/>
        </w:rPr>
        <w:t>sh</w:t>
      </w:r>
      <w:r w:rsidRPr="008F03E5">
        <w:t>-</w:t>
      </w:r>
      <w:r w:rsidRPr="008F03E5">
        <w:rPr>
          <w:u w:val="single"/>
        </w:rPr>
        <w:t>Sh</w:t>
      </w:r>
      <w:r w:rsidRPr="008F03E5">
        <w:t>ám, Tripoli [in Lebanon]; Ṭarábulus al-</w:t>
      </w:r>
      <w:r w:rsidRPr="008F03E5">
        <w:rPr>
          <w:u w:val="single"/>
        </w:rPr>
        <w:t>Gh</w:t>
      </w:r>
      <w:r w:rsidRPr="008F03E5">
        <w:t xml:space="preserve">arb, city of Tripoli or the Tripoli region (once known as Tripolitania) [in Libya].  Nawfal aṭ-Ṭarábulusí (1812–87) wrote </w:t>
      </w:r>
      <w:r w:rsidRPr="008F03E5">
        <w:rPr>
          <w:i/>
          <w:iCs/>
        </w:rPr>
        <w:t>Kitáb Ṣannájat al-Ṭarab fí Taqaddumát al-ʻArab</w:t>
      </w:r>
      <w:r w:rsidRPr="008F03E5">
        <w:t xml:space="preserve"> (“The castanet of joy in the progress of the Arabs”).</w:t>
      </w:r>
    </w:p>
    <w:p w14:paraId="4D4FAF81" w14:textId="77777777" w:rsidR="00625A5B" w:rsidRPr="008F03E5" w:rsidRDefault="00625A5B" w:rsidP="00107188">
      <w:pPr>
        <w:pStyle w:val="Translit"/>
      </w:pPr>
      <w:r w:rsidRPr="008F03E5">
        <w:t>Tarah (Terah, Terach)</w:t>
      </w:r>
      <w:r w:rsidRPr="008F03E5">
        <w:tab/>
        <w:t>Táraḥ</w:t>
      </w:r>
      <w:r w:rsidRPr="008F03E5">
        <w:tab/>
        <w:t>Hebrew Téraḥ (Hebrew Bible Terah) or Térach, Abraham’s father.  See Ázar and Tára</w:t>
      </w:r>
      <w:r w:rsidRPr="008F03E5">
        <w:rPr>
          <w:u w:val="single"/>
        </w:rPr>
        <w:t>kh.</w:t>
      </w:r>
    </w:p>
    <w:p w14:paraId="050CCAEC" w14:textId="77777777" w:rsidR="00625A5B" w:rsidRPr="008F03E5" w:rsidRDefault="00625A5B" w:rsidP="003852FC">
      <w:pPr>
        <w:pStyle w:val="Translit"/>
      </w:pPr>
      <w:r w:rsidRPr="008F03E5">
        <w:t>Tarakh, Tarikh, Tarukh</w:t>
      </w:r>
      <w:r w:rsidRPr="008F03E5">
        <w:tab/>
        <w:t>Tára</w:t>
      </w:r>
      <w:r w:rsidRPr="008F03E5">
        <w:rPr>
          <w:u w:val="single"/>
        </w:rPr>
        <w:t>kh</w:t>
      </w:r>
      <w:r w:rsidRPr="008F03E5">
        <w:t>, Tári</w:t>
      </w:r>
      <w:r w:rsidRPr="008F03E5">
        <w:rPr>
          <w:u w:val="single"/>
        </w:rPr>
        <w:t>kh</w:t>
      </w:r>
      <w:r w:rsidRPr="008F03E5">
        <w:t>, Táru</w:t>
      </w:r>
      <w:r w:rsidRPr="008F03E5">
        <w:rPr>
          <w:u w:val="single"/>
        </w:rPr>
        <w:t>kh</w:t>
      </w:r>
      <w:r w:rsidRPr="008F03E5">
        <w:tab/>
        <w:t>name of Ázar, an idol-sculptor; name of Abraham’s father or his uncle.  See Ázar and Táraḥ.</w:t>
      </w:r>
    </w:p>
    <w:p w14:paraId="56D17828" w14:textId="77777777" w:rsidR="00625A5B" w:rsidRPr="008F03E5" w:rsidRDefault="00625A5B" w:rsidP="006C5FD8">
      <w:pPr>
        <w:pStyle w:val="Translit"/>
      </w:pPr>
      <w:r w:rsidRPr="006821C4">
        <w:t>Tarana (Taranih, Taraneh)</w:t>
      </w:r>
      <w:r w:rsidRPr="006821C4">
        <w:tab/>
        <w:t xml:space="preserve">Tarána (Pers. </w:t>
      </w:r>
      <w:r w:rsidRPr="008F03E5">
        <w:t>Taránih)</w:t>
      </w:r>
      <w:r w:rsidRPr="008F03E5">
        <w:tab/>
        <w:t>Pers. youth; modulation, voice, song, melody, symphony, harmony; a trill, quaver, shake; jest, sarcasm, bad temper; slyness, subtlety</w:t>
      </w:r>
    </w:p>
    <w:p w14:paraId="3CFB67C1" w14:textId="77777777" w:rsidR="00625A5B" w:rsidRPr="008F03E5" w:rsidRDefault="00625A5B" w:rsidP="003F167F">
      <w:pPr>
        <w:pStyle w:val="Translit"/>
      </w:pPr>
      <w:r w:rsidRPr="008F03E5">
        <w:t>Taraqqi, Taraqqiyat</w:t>
      </w:r>
      <w:r w:rsidRPr="008F03E5">
        <w:tab/>
        <w:t>Taraqqí, pl. Taraqqiyát</w:t>
      </w:r>
      <w:r w:rsidRPr="008F03E5">
        <w:tab/>
        <w:t xml:space="preserve">ascending, rising step by step; advancement, elevation, promotion; progress, improvement; proficiency; augmentation, increase; climax; “evolution”.  </w:t>
      </w:r>
      <w:r w:rsidRPr="008F03E5">
        <w:rPr>
          <w:i/>
          <w:iCs/>
        </w:rPr>
        <w:t>dar taraqqí ast</w:t>
      </w:r>
      <w:r w:rsidRPr="008F03E5">
        <w:t xml:space="preserve"> (‘Taraqqíst’) “is in progress”</w:t>
      </w:r>
    </w:p>
    <w:p w14:paraId="13C82D0F" w14:textId="77777777" w:rsidR="00625A5B" w:rsidRPr="008F03E5" w:rsidRDefault="00625A5B" w:rsidP="00A423A1">
      <w:pPr>
        <w:pStyle w:val="Translit"/>
      </w:pPr>
      <w:r w:rsidRPr="008F03E5">
        <w:t>Taraqqin, Taraqqiyat</w:t>
      </w:r>
      <w:r w:rsidRPr="008F03E5">
        <w:tab/>
        <w:t>Taraqqin pl. Taraqqiyát</w:t>
      </w:r>
      <w:r w:rsidRPr="008F03E5">
        <w:tab/>
        <w:t>ascension; ascent; advance, advancement; progress, rise, progressive development</w:t>
      </w:r>
    </w:p>
    <w:p w14:paraId="0175590B" w14:textId="77777777" w:rsidR="00625A5B" w:rsidRPr="008F03E5" w:rsidRDefault="00625A5B" w:rsidP="006A10C0">
      <w:pPr>
        <w:pStyle w:val="Translit"/>
      </w:pPr>
      <w:r w:rsidRPr="008F03E5">
        <w:t>Tarashshaha</w:t>
      </w:r>
      <w:r w:rsidRPr="008F03E5">
        <w:tab/>
        <w:t>Tara</w:t>
      </w:r>
      <w:r w:rsidRPr="008F03E5">
        <w:rPr>
          <w:u w:val="single"/>
        </w:rPr>
        <w:t>shsh</w:t>
      </w:r>
      <w:r w:rsidRPr="008F03E5">
        <w:t>aha</w:t>
      </w:r>
      <w:r w:rsidRPr="008F03E5">
        <w:tab/>
        <w:t>root is ra</w:t>
      </w:r>
      <w:r w:rsidRPr="008F03E5">
        <w:rPr>
          <w:u w:val="single"/>
        </w:rPr>
        <w:t>shsh</w:t>
      </w:r>
      <w:r w:rsidRPr="008F03E5">
        <w:t>a, sprinkle.  “water down”</w:t>
      </w:r>
    </w:p>
    <w:p w14:paraId="0DE59E24" w14:textId="77777777" w:rsidR="00625A5B" w:rsidRPr="008F03E5" w:rsidRDefault="00625A5B" w:rsidP="00323043">
      <w:pPr>
        <w:pStyle w:val="Translit"/>
      </w:pPr>
      <w:r w:rsidRPr="008F03E5">
        <w:t>Taraz, Tiraz, Tarazat</w:t>
      </w:r>
      <w:r w:rsidRPr="008F03E5">
        <w:tab/>
        <w:t>Ṭaráz, Ṭiráz, pl. Ṭarázát</w:t>
      </w:r>
      <w:r w:rsidRPr="008F03E5">
        <w:tab/>
        <w:t>Pers. a</w:t>
      </w:r>
      <w:r w:rsidRPr="008F03E5">
        <w:rPr>
          <w:rFonts w:eastAsia="Times New Roman"/>
        </w:rPr>
        <w:t xml:space="preserve"> royal robe, or rich dress ornamented with embroidery; </w:t>
      </w:r>
      <w:r w:rsidRPr="008F03E5">
        <w:t>that which adorns clothes, wonderful clothes [meaning clothes that are of high quality, expensive, and beautiful].  It also means method, style, adornment;—pl. ornaments.  ‘Abdu’l-Bahá:  “wonderful clothes” and “a well-known city”, a city in Turkistan.  Refer to Lawḥ-i-Ṭarázát.</w:t>
      </w:r>
    </w:p>
    <w:p w14:paraId="3CF085D3" w14:textId="77777777" w:rsidR="00625A5B" w:rsidRPr="008F03E5" w:rsidRDefault="00625A5B" w:rsidP="00581174">
      <w:pPr>
        <w:pStyle w:val="Translit"/>
      </w:pPr>
      <w:r w:rsidRPr="008F03E5">
        <w:t>Tarazu’llah</w:t>
      </w:r>
      <w:r w:rsidRPr="008F03E5">
        <w:tab/>
        <w:t>Ṭarázu’lláh</w:t>
      </w:r>
      <w:r w:rsidRPr="008F03E5">
        <w:tab/>
        <w:t>Pers. Ornament of God.  Ṭarázu’lláh Samandarí (1874–1968) [not Ṭaráẓu’lláh]</w:t>
      </w:r>
    </w:p>
    <w:p w14:paraId="724ABE36" w14:textId="77777777" w:rsidR="00625A5B" w:rsidRPr="008F03E5" w:rsidRDefault="00625A5B" w:rsidP="00701463">
      <w:pPr>
        <w:pStyle w:val="Translit"/>
      </w:pPr>
      <w:r w:rsidRPr="008F03E5">
        <w:t>Tarbiya, Tarbiyat</w:t>
      </w:r>
      <w:r w:rsidRPr="008F03E5">
        <w:tab/>
        <w:t>Tarbiya[h or t]</w:t>
      </w:r>
      <w:r w:rsidRPr="008F03E5">
        <w:tab/>
        <w:t>education, upbringing; teaching, instruction; pedagogy; breeding, raising (of animals).  Pers. “Tarbíyat”.  Bahá’í Tarbíyat Schools in Ṭihrán (established:  boys in 1898 and girls in 1909; closed 1934).  Arabic root rabá.</w:t>
      </w:r>
    </w:p>
    <w:p w14:paraId="38701BF2" w14:textId="77777777" w:rsidR="00625A5B" w:rsidRPr="008F03E5" w:rsidRDefault="00625A5B" w:rsidP="00097BFB">
      <w:pPr>
        <w:pStyle w:val="Translit"/>
      </w:pPr>
      <w:r w:rsidRPr="008F03E5">
        <w:t>Tarbush, Tarabish</w:t>
      </w:r>
      <w:r w:rsidRPr="008F03E5">
        <w:tab/>
        <w:t>Ṭarbú</w:t>
      </w:r>
      <w:r w:rsidRPr="008F03E5">
        <w:rPr>
          <w:u w:val="single"/>
        </w:rPr>
        <w:t>sh</w:t>
      </w:r>
      <w:r w:rsidRPr="008F03E5">
        <w:t>, pl. Ṭarábí</w:t>
      </w:r>
      <w:r w:rsidRPr="008F03E5">
        <w:rPr>
          <w:u w:val="single"/>
        </w:rPr>
        <w:t>sh</w:t>
      </w:r>
      <w:r w:rsidRPr="008F03E5">
        <w:tab/>
        <w:t>tarboosh (from the Persian sar-pú</w:t>
      </w:r>
      <w:r w:rsidRPr="008F03E5">
        <w:rPr>
          <w:u w:val="single"/>
        </w:rPr>
        <w:t>sh</w:t>
      </w:r>
      <w:r w:rsidRPr="008F03E5">
        <w:t>, “cover, lid”), fez (from the red dye made in Fez, Turkish fes).  Felt headdress in the shape of a short tapered, cylindrical, peakless hat, usually red, and sometimes with a tassel attached to the top.</w:t>
      </w:r>
    </w:p>
    <w:p w14:paraId="3FECF632" w14:textId="77777777" w:rsidR="00625A5B" w:rsidRPr="008F03E5" w:rsidRDefault="00625A5B" w:rsidP="00E04208">
      <w:pPr>
        <w:pStyle w:val="Translit"/>
      </w:pPr>
      <w:r w:rsidRPr="008F03E5">
        <w:t>Tard</w:t>
      </w:r>
      <w:r w:rsidRPr="008F03E5">
        <w:tab/>
        <w:t>Ṭard</w:t>
      </w:r>
      <w:r w:rsidRPr="008F03E5">
        <w:tab/>
        <w:t>driving away (i.e. expel), chasing away, repulsion, expulsion, eviction, dismissal, banishment, expatriation; pursuit, chase, hunt; swarm (of bees); (pl. ṭurūd) parcel, package</w:t>
      </w:r>
    </w:p>
    <w:p w14:paraId="00ADA97F" w14:textId="77777777" w:rsidR="00625A5B" w:rsidRPr="008F03E5" w:rsidRDefault="00625A5B" w:rsidP="00152111">
      <w:pPr>
        <w:pStyle w:val="Translit"/>
      </w:pPr>
      <w:r w:rsidRPr="008F03E5">
        <w:t>Tarfa’; Athl, Athalat</w:t>
      </w:r>
      <w:r w:rsidRPr="008F03E5">
        <w:tab/>
        <w:t>Ṭarfá’; or A</w:t>
      </w:r>
      <w:r w:rsidRPr="008F03E5">
        <w:rPr>
          <w:u w:val="single"/>
        </w:rPr>
        <w:t>th</w:t>
      </w:r>
      <w:r w:rsidRPr="008F03E5">
        <w:t>l, pl. A</w:t>
      </w:r>
      <w:r w:rsidRPr="008F03E5">
        <w:rPr>
          <w:u w:val="single"/>
        </w:rPr>
        <w:t>th</w:t>
      </w:r>
      <w:r w:rsidRPr="008F03E5">
        <w:t>alat, U</w:t>
      </w:r>
      <w:r w:rsidRPr="008F03E5">
        <w:rPr>
          <w:u w:val="single"/>
        </w:rPr>
        <w:t>th</w:t>
      </w:r>
      <w:r w:rsidRPr="008F03E5">
        <w:t>úl</w:t>
      </w:r>
      <w:r w:rsidRPr="008F03E5">
        <w:tab/>
        <w:t xml:space="preserve">(collective; nomen unitatis </w:t>
      </w:r>
      <w:r w:rsidRPr="008F03E5">
        <w:rPr>
          <w:rtl/>
        </w:rPr>
        <w:t>ة</w:t>
      </w:r>
      <w:r w:rsidRPr="008F03E5">
        <w:t xml:space="preserve">) tamarisk (botany, </w:t>
      </w:r>
      <w:r w:rsidRPr="008F03E5">
        <w:rPr>
          <w:i/>
          <w:iCs/>
        </w:rPr>
        <w:t>Tamarix</w:t>
      </w:r>
      <w:r w:rsidRPr="008F03E5">
        <w:t>, many species), “salt cedar”.  A scale insect that feeds on tamarisks secretes honeydew known as manna.</w:t>
      </w:r>
    </w:p>
    <w:p w14:paraId="214C0BA2" w14:textId="77777777" w:rsidR="00625A5B" w:rsidRPr="008F03E5" w:rsidRDefault="00625A5B" w:rsidP="00937315">
      <w:pPr>
        <w:pStyle w:val="Translit"/>
      </w:pPr>
      <w:r w:rsidRPr="008F03E5">
        <w:t>Tarikh Zuhur al-Haqq</w:t>
      </w:r>
      <w:r w:rsidRPr="008F03E5">
        <w:tab/>
        <w:t>Tárí</w:t>
      </w:r>
      <w:r w:rsidRPr="008F03E5">
        <w:rPr>
          <w:u w:val="single"/>
        </w:rPr>
        <w:t>kh</w:t>
      </w:r>
      <w:r w:rsidRPr="008F03E5">
        <w:t xml:space="preserve"> Ẓuhúr al-Ḥaqq</w:t>
      </w:r>
      <w:r w:rsidRPr="008F03E5">
        <w:tab/>
        <w:t>“History of the Manifestation of Truth”</w:t>
      </w:r>
      <w:r>
        <w:t>,</w:t>
      </w:r>
      <w:r w:rsidRPr="008F03E5">
        <w:t xml:space="preserve"> </w:t>
      </w:r>
      <w:r>
        <w:t xml:space="preserve">Persian </w:t>
      </w:r>
      <w:r w:rsidRPr="008F03E5">
        <w:t>volumes by Fáḍil Mázandarání (</w:t>
      </w:r>
      <w:r>
        <w:t xml:space="preserve">abbreviation </w:t>
      </w:r>
      <w:r w:rsidRPr="008F03E5">
        <w:t>ZH).  It is a biographical dictionary and community history of the Iranian Bahá’ís during the ministry of Bahá’u’lláh, 1863–1892.</w:t>
      </w:r>
    </w:p>
    <w:p w14:paraId="7D671CEA" w14:textId="77777777" w:rsidR="00625A5B" w:rsidRPr="008F03E5" w:rsidRDefault="00625A5B" w:rsidP="00BE2119">
      <w:pPr>
        <w:pStyle w:val="Translit"/>
      </w:pPr>
      <w:r w:rsidRPr="008F03E5">
        <w:t>Tarikhi</w:t>
      </w:r>
      <w:r w:rsidRPr="008F03E5">
        <w:tab/>
        <w:t>Tárí</w:t>
      </w:r>
      <w:r w:rsidRPr="008F03E5">
        <w:rPr>
          <w:u w:val="single"/>
        </w:rPr>
        <w:t>kh</w:t>
      </w:r>
      <w:r w:rsidRPr="008F03E5">
        <w:t>í</w:t>
      </w:r>
      <w:r w:rsidRPr="008F03E5">
        <w:tab/>
        <w:t>historic(al)</w:t>
      </w:r>
    </w:p>
    <w:p w14:paraId="77CD4B42" w14:textId="77777777" w:rsidR="00625A5B" w:rsidRPr="008F03E5" w:rsidRDefault="00625A5B" w:rsidP="001C33E6">
      <w:pPr>
        <w:pStyle w:val="Translit"/>
      </w:pPr>
      <w:r w:rsidRPr="008F03E5">
        <w:t>Tarikh-i-Jadid</w:t>
      </w:r>
      <w:r w:rsidRPr="008F03E5">
        <w:tab/>
        <w:t>Tárí</w:t>
      </w:r>
      <w:r w:rsidRPr="008F03E5">
        <w:rPr>
          <w:u w:val="single"/>
        </w:rPr>
        <w:t>kh</w:t>
      </w:r>
      <w:r w:rsidRPr="008F03E5">
        <w:t>-i-Jadíd</w:t>
      </w:r>
      <w:r w:rsidRPr="008F03E5">
        <w:tab/>
        <w:t xml:space="preserve">Pers. </w:t>
      </w:r>
      <w:r w:rsidRPr="008F03E5">
        <w:rPr>
          <w:i/>
          <w:iCs/>
        </w:rPr>
        <w:t>Tárí</w:t>
      </w:r>
      <w:r w:rsidRPr="008F03E5">
        <w:rPr>
          <w:i/>
          <w:iCs/>
          <w:u w:val="single"/>
        </w:rPr>
        <w:t>kh</w:t>
      </w:r>
      <w:r w:rsidRPr="008F03E5">
        <w:rPr>
          <w:i/>
          <w:iCs/>
        </w:rPr>
        <w:t>-i-Jadíd</w:t>
      </w:r>
      <w:r w:rsidRPr="008F03E5">
        <w:t xml:space="preserve"> (</w:t>
      </w:r>
      <w:r>
        <w:t xml:space="preserve">or </w:t>
      </w:r>
      <w:r w:rsidRPr="008F03E5">
        <w:rPr>
          <w:i/>
          <w:iCs/>
        </w:rPr>
        <w:t>Tárí</w:t>
      </w:r>
      <w:r w:rsidRPr="008F03E5">
        <w:rPr>
          <w:i/>
          <w:iCs/>
          <w:u w:val="single"/>
        </w:rPr>
        <w:t>kh</w:t>
      </w:r>
      <w:r w:rsidRPr="008F03E5">
        <w:rPr>
          <w:i/>
          <w:iCs/>
        </w:rPr>
        <w:t>-i-</w:t>
      </w:r>
      <w:r>
        <w:rPr>
          <w:i/>
          <w:iCs/>
        </w:rPr>
        <w:t>Bad</w:t>
      </w:r>
      <w:r w:rsidRPr="003610FD">
        <w:rPr>
          <w:i/>
          <w:iCs/>
        </w:rPr>
        <w:t>í</w:t>
      </w:r>
      <w:r>
        <w:rPr>
          <w:i/>
          <w:iCs/>
        </w:rPr>
        <w:t>‘-i-Bay</w:t>
      </w:r>
      <w:r w:rsidRPr="003610FD">
        <w:rPr>
          <w:i/>
          <w:iCs/>
        </w:rPr>
        <w:t>á</w:t>
      </w:r>
      <w:r>
        <w:rPr>
          <w:i/>
          <w:iCs/>
        </w:rPr>
        <w:t>n</w:t>
      </w:r>
      <w:r w:rsidRPr="003610FD">
        <w:rPr>
          <w:i/>
          <w:iCs/>
        </w:rPr>
        <w:t>í</w:t>
      </w:r>
      <w:r w:rsidRPr="001C33E6">
        <w:t>)</w:t>
      </w:r>
      <w:r>
        <w:t xml:space="preserve"> </w:t>
      </w:r>
      <w:r w:rsidRPr="008F03E5">
        <w:t>by Mírzá Ḥusayn of Hamadán</w:t>
      </w:r>
      <w:r w:rsidRPr="00482C2F">
        <w:t>.  T</w:t>
      </w:r>
      <w:r>
        <w:t>ranslated as</w:t>
      </w:r>
      <w:r w:rsidRPr="008F03E5">
        <w:t xml:space="preserve"> </w:t>
      </w:r>
      <w:r w:rsidRPr="008F03E5">
        <w:rPr>
          <w:i/>
          <w:iCs/>
        </w:rPr>
        <w:t>New History of Mírzá ‘Alí Muḥammad the Báb</w:t>
      </w:r>
      <w:r w:rsidRPr="000771B2">
        <w:t xml:space="preserve"> by</w:t>
      </w:r>
      <w:r>
        <w:t xml:space="preserve"> </w:t>
      </w:r>
      <w:r w:rsidRPr="000771B2">
        <w:t>E. G. Browne</w:t>
      </w:r>
      <w:r>
        <w:t>.</w:t>
      </w:r>
    </w:p>
    <w:p w14:paraId="19CD0A01" w14:textId="77777777" w:rsidR="00625A5B" w:rsidRPr="008F03E5" w:rsidRDefault="00625A5B" w:rsidP="003706E5">
      <w:pPr>
        <w:pStyle w:val="Translit"/>
      </w:pPr>
      <w:r w:rsidRPr="008F03E5">
        <w:t>Tariq, Turuq, Turuqat</w:t>
      </w:r>
      <w:r w:rsidRPr="008F03E5">
        <w:tab/>
        <w:t>Ṭaríq (m. and f.), pl. Ṭuruq, Ṭuruqát</w:t>
      </w:r>
      <w:r w:rsidRPr="008F03E5">
        <w:tab/>
        <w:t>way; road, highway; trail, track, path; method; especially the way taken by the mystic wayfarer (Ṣúfí) on the journey of spiritual enlightenment.  One who strikes or knocks; one who arrives at night; one who divines.  Ṭáriq ibn Ziyád was a Muslim commander who led the Islamic Umayyad conquest of the Iberian Peninsula in 711–718.  The army crossed the Strait of Gibraltar from the North African coast to somewhere near the Rock of Gibraltar.  “Gibraltar” is a Spanish corruption of Jebel Tariq.  See ‘ábir</w:t>
      </w:r>
    </w:p>
    <w:p w14:paraId="6A0598E9" w14:textId="77777777" w:rsidR="00625A5B" w:rsidRPr="008F03E5" w:rsidRDefault="00625A5B" w:rsidP="00911D4E">
      <w:pPr>
        <w:pStyle w:val="Translit"/>
      </w:pPr>
      <w:r w:rsidRPr="008F03E5">
        <w:t>Tariqa, Tara’iq, Turuq</w:t>
      </w:r>
      <w:r w:rsidRPr="008F03E5">
        <w:tab/>
        <w:t>Ṭaríqa[h or t], pl. Ṭará’iq, Ṭuruq</w:t>
      </w:r>
      <w:r w:rsidRPr="008F03E5">
        <w:tab/>
        <w:t>(“tarighat”, Turkish “tarikat”) manner, mode, means; way, method, procedure; system; creed, faith, religion;—plurals ṭaríqát &amp; ṭuruq:  religious brotherhood, dervish order.  Path or stage of mystical learning and development (Ṣúfí).  “Tarikat” are traditional Islamic organizations that fill a variety of cultural, social and political needs.  In 1959 Bahá’ís in Turkey</w:t>
      </w:r>
      <w:r>
        <w:t xml:space="preserve"> (now </w:t>
      </w:r>
      <w:r w:rsidRPr="008F03E5">
        <w:t>Türkiye</w:t>
      </w:r>
      <w:r>
        <w:t>)</w:t>
      </w:r>
      <w:r w:rsidRPr="008F03E5">
        <w:t xml:space="preserve"> were accused of being ṭaríqah (ṭaríqat), that is a school or order of Sufism (Súfí orders and practices were banned in 1925), or specifically a concept for the mystical teaching and spiritual practices of such a Súfí order with the aim of seeking Ḥaqíqa (“ultimate truth”).</w:t>
      </w:r>
    </w:p>
    <w:p w14:paraId="73C80699" w14:textId="77777777" w:rsidR="00625A5B" w:rsidRPr="008F03E5" w:rsidRDefault="00625A5B" w:rsidP="003852FC">
      <w:pPr>
        <w:pStyle w:val="Translit"/>
      </w:pPr>
      <w:r w:rsidRPr="008F03E5">
        <w:rPr>
          <w:lang w:eastAsia="en-US"/>
        </w:rPr>
        <w:t>Tarjuman-i-bi wujdan</w:t>
      </w:r>
      <w:r w:rsidRPr="008F03E5">
        <w:rPr>
          <w:lang w:eastAsia="en-US"/>
        </w:rPr>
        <w:tab/>
        <w:t>Tarjumán-i-bí wujdán</w:t>
      </w:r>
      <w:r w:rsidRPr="008F03E5">
        <w:rPr>
          <w:lang w:eastAsia="en-US"/>
        </w:rPr>
        <w:tab/>
        <w:t xml:space="preserve">Pers. “translators without substance”, those who have </w:t>
      </w:r>
      <w:r w:rsidRPr="008F03E5">
        <w:t>no sense of right and wrong, i.e. have no conscience.</w:t>
      </w:r>
    </w:p>
    <w:p w14:paraId="5BB20142" w14:textId="77777777" w:rsidR="00625A5B" w:rsidRPr="008F03E5" w:rsidRDefault="00625A5B" w:rsidP="00066FA4">
      <w:pPr>
        <w:pStyle w:val="Translit"/>
      </w:pPr>
      <w:r w:rsidRPr="008F03E5">
        <w:rPr>
          <w:rFonts w:eastAsia="Times New Roman"/>
        </w:rPr>
        <w:t>Tarwih, Tarwiha, Tarawih</w:t>
      </w:r>
      <w:r w:rsidRPr="008F03E5">
        <w:rPr>
          <w:rFonts w:eastAsia="Times New Roman"/>
        </w:rPr>
        <w:tab/>
        <w:t>Tarwíḥ, fem. Tarwíḥa[h or t], pl. Taráwíḥ</w:t>
      </w:r>
      <w:r w:rsidRPr="008F03E5">
        <w:rPr>
          <w:rFonts w:eastAsia="Times New Roman"/>
        </w:rPr>
        <w:tab/>
        <w:t>fanning; ventilation,</w:t>
      </w:r>
      <w:r w:rsidRPr="008F03E5">
        <w:t xml:space="preserve"> </w:t>
      </w:r>
      <w:r w:rsidRPr="008F03E5">
        <w:rPr>
          <w:rFonts w:eastAsia="Times New Roman"/>
        </w:rPr>
        <w:t xml:space="preserve">airing; refreshment; diversion, amusement.  </w:t>
      </w:r>
      <w:r w:rsidRPr="008F03E5">
        <w:t>Ṣalát at-taráwíḥ, prayer performed during the nights of Ramaḍán.</w:t>
      </w:r>
    </w:p>
    <w:p w14:paraId="56E72D8C" w14:textId="77777777" w:rsidR="00625A5B" w:rsidRPr="008F03E5" w:rsidRDefault="00625A5B" w:rsidP="00066FA4">
      <w:pPr>
        <w:pStyle w:val="Translit"/>
      </w:pPr>
      <w:r w:rsidRPr="008F03E5">
        <w:t>Tarzi, Darzi, Tarziya</w:t>
      </w:r>
      <w:r w:rsidRPr="008F03E5">
        <w:tab/>
        <w:t>Tarzí, Pers. Darzí, Ar. pl. Tarzíya</w:t>
      </w:r>
      <w:r w:rsidRPr="008F03E5">
        <w:tab/>
        <w:t>tailor</w:t>
      </w:r>
    </w:p>
    <w:p w14:paraId="7DCB3543" w14:textId="77777777" w:rsidR="00625A5B" w:rsidRPr="008F03E5" w:rsidRDefault="00625A5B" w:rsidP="00173632">
      <w:pPr>
        <w:pStyle w:val="Translit"/>
      </w:pPr>
      <w:r w:rsidRPr="008F03E5">
        <w:t>Tasawwuf</w:t>
      </w:r>
      <w:r w:rsidRPr="008F03E5">
        <w:tab/>
        <w:t>Taṣawwuf</w:t>
      </w:r>
      <w:r w:rsidRPr="008F03E5">
        <w:tab/>
        <w:t>original term for Sufism (Islamic mysticism), the Sufi way of life; mysticism (the Islamic sect notable for its mystical teachings).  at-Taṣawwuf is truthfulness with Alláh; freedom and independence of the influence of temporal values; establishment of good relations with people.  More generally, purification of the heart and actions through spiritual and moral discipline of the soul.  Synonymous, in this latter sense, with tazkiya.</w:t>
      </w:r>
    </w:p>
    <w:p w14:paraId="77C750A2" w14:textId="77777777" w:rsidR="00625A5B" w:rsidRPr="008F03E5" w:rsidRDefault="00625A5B" w:rsidP="00225B90">
      <w:pPr>
        <w:pStyle w:val="Translit"/>
      </w:pPr>
      <w:r w:rsidRPr="008F03E5">
        <w:t>Tasawwur, Tasawwurat</w:t>
      </w:r>
      <w:r w:rsidRPr="008F03E5">
        <w:tab/>
        <w:t>Taṣawwur, pl. Ta</w:t>
      </w:r>
      <w:r w:rsidRPr="00225B90">
        <w:t>ṣ</w:t>
      </w:r>
      <w:r w:rsidRPr="008F03E5">
        <w:t>awwurát</w:t>
      </w:r>
      <w:r w:rsidRPr="008F03E5">
        <w:tab/>
        <w:t>imagination (also philosophy), fancy, fantasy, idea; conception, concept (philosophy)</w:t>
      </w:r>
    </w:p>
    <w:p w14:paraId="346D5C73" w14:textId="77777777" w:rsidR="00625A5B" w:rsidRPr="008F03E5" w:rsidRDefault="00625A5B" w:rsidP="00AB478E">
      <w:pPr>
        <w:pStyle w:val="Translit"/>
      </w:pPr>
      <w:r w:rsidRPr="008F03E5">
        <w:t>Tasbih</w:t>
      </w:r>
      <w:r w:rsidRPr="008F03E5">
        <w:tab/>
        <w:t>Taṣbíḥ</w:t>
      </w:r>
      <w:r w:rsidRPr="008F03E5">
        <w:tab/>
        <w:t xml:space="preserve">praising or glorification.  Verbal noun of ṣabaḥa (Form </w:t>
      </w:r>
      <w:r w:rsidRPr="008F03E5">
        <w:rPr>
          <w:sz w:val="16"/>
          <w:szCs w:val="16"/>
        </w:rPr>
        <w:t>II</w:t>
      </w:r>
      <w:r w:rsidRPr="008F03E5">
        <w:t>).</w:t>
      </w:r>
    </w:p>
    <w:p w14:paraId="62807C85" w14:textId="77777777" w:rsidR="00625A5B" w:rsidRPr="008F03E5" w:rsidRDefault="00625A5B" w:rsidP="007B11CB">
      <w:pPr>
        <w:pStyle w:val="Translit"/>
      </w:pPr>
      <w:r w:rsidRPr="008F03E5">
        <w:t>Tasbih, Tasbihat</w:t>
      </w:r>
      <w:r w:rsidRPr="008F03E5">
        <w:tab/>
        <w:t>Tasbíḥ, pl. Tasbiḥát, Tasábíḥ</w:t>
      </w:r>
      <w:r w:rsidRPr="008F03E5">
        <w:tab/>
        <w:t>glorification of God (by exclaiming S</w:t>
      </w:r>
      <w:r w:rsidRPr="008F03E5">
        <w:rPr>
          <w:rFonts w:eastAsia="Times New Roman"/>
        </w:rPr>
        <w:t>ub</w:t>
      </w:r>
      <w:r w:rsidRPr="008F03E5">
        <w:t>ḥ</w:t>
      </w:r>
      <w:r w:rsidRPr="008F03E5">
        <w:rPr>
          <w:rFonts w:eastAsia="Times New Roman"/>
        </w:rPr>
        <w:t>ána ‘</w:t>
      </w:r>
      <w:r w:rsidRPr="008F03E5">
        <w:t>l</w:t>
      </w:r>
      <w:r w:rsidRPr="008F03E5">
        <w:rPr>
          <w:rFonts w:eastAsia="Times New Roman"/>
        </w:rPr>
        <w:t>láh</w:t>
      </w:r>
      <w:r w:rsidRPr="008F03E5">
        <w:rPr>
          <w:rFonts w:eastAsia="Times New Roman"/>
          <w:i/>
          <w:iCs/>
        </w:rPr>
        <w:t>,</w:t>
      </w:r>
      <w:r w:rsidRPr="008F03E5">
        <w:rPr>
          <w:rFonts w:eastAsia="Times New Roman"/>
        </w:rPr>
        <w:t xml:space="preserve"> “Praise be to God” </w:t>
      </w:r>
      <w:r w:rsidRPr="008F03E5">
        <w:t xml:space="preserve">or “Glorified is God”); hymn, song of praise.  </w:t>
      </w:r>
      <w:r w:rsidRPr="008F03E5">
        <w:rPr>
          <w:rFonts w:eastAsia="Times New Roman"/>
        </w:rPr>
        <w:t xml:space="preserve">Celebrating the praises of God; </w:t>
      </w:r>
      <w:r w:rsidRPr="008F03E5">
        <w:t>using a rosary or chaplet for that purpose (95 bead rosary)</w:t>
      </w:r>
    </w:p>
    <w:p w14:paraId="7635E4DD" w14:textId="77777777" w:rsidR="00625A5B" w:rsidRPr="008F03E5" w:rsidRDefault="00625A5B" w:rsidP="00D01F02">
      <w:pPr>
        <w:pStyle w:val="Translit"/>
        <w:rPr>
          <w:rFonts w:eastAsia="Times New Roman"/>
        </w:rPr>
      </w:pPr>
      <w:r w:rsidRPr="008F03E5">
        <w:rPr>
          <w:rFonts w:eastAsia="Times New Roman"/>
        </w:rPr>
        <w:t>Tash</w:t>
      </w:r>
      <w:r w:rsidRPr="008F03E5">
        <w:rPr>
          <w:rFonts w:eastAsia="Times New Roman"/>
        </w:rPr>
        <w:tab/>
        <w:t>Tá</w:t>
      </w:r>
      <w:r w:rsidRPr="008F03E5">
        <w:rPr>
          <w:rFonts w:eastAsia="Times New Roman"/>
          <w:u w:val="single"/>
        </w:rPr>
        <w:t>sh</w:t>
      </w:r>
      <w:r w:rsidRPr="008F03E5">
        <w:rPr>
          <w:rFonts w:eastAsia="Times New Roman"/>
        </w:rPr>
        <w:tab/>
        <w:t>Pers. a freckle; a companion, consort, partner in trade; a lord, master, householder</w:t>
      </w:r>
    </w:p>
    <w:p w14:paraId="0C99D75E" w14:textId="77777777" w:rsidR="00625A5B" w:rsidRPr="008F03E5" w:rsidRDefault="00625A5B" w:rsidP="00464CA6">
      <w:pPr>
        <w:pStyle w:val="Translit"/>
      </w:pPr>
      <w:r w:rsidRPr="008F03E5">
        <w:rPr>
          <w:rFonts w:eastAsia="Times New Roman"/>
        </w:rPr>
        <w:t>Tashakkur</w:t>
      </w:r>
      <w:r w:rsidRPr="008F03E5">
        <w:rPr>
          <w:rFonts w:eastAsia="Times New Roman"/>
        </w:rPr>
        <w:tab/>
        <w:t>Ta</w:t>
      </w:r>
      <w:r w:rsidRPr="008F03E5">
        <w:rPr>
          <w:rFonts w:eastAsia="Times New Roman"/>
          <w:u w:val="single"/>
        </w:rPr>
        <w:t>sh</w:t>
      </w:r>
      <w:r w:rsidRPr="008F03E5">
        <w:rPr>
          <w:rFonts w:eastAsia="Times New Roman"/>
        </w:rPr>
        <w:t>akkur</w:t>
      </w:r>
      <w:r w:rsidRPr="008F03E5">
        <w:rPr>
          <w:rFonts w:eastAsia="Times New Roman"/>
        </w:rPr>
        <w:tab/>
        <w:t>returning thanks for favours, being grateful</w:t>
      </w:r>
    </w:p>
    <w:p w14:paraId="04E7E5FA" w14:textId="77777777" w:rsidR="00625A5B" w:rsidRPr="008F03E5" w:rsidRDefault="00625A5B" w:rsidP="000D2D58">
      <w:pPr>
        <w:pStyle w:val="Translit"/>
      </w:pPr>
      <w:r w:rsidRPr="008F03E5">
        <w:t>Tashbih</w:t>
      </w:r>
      <w:r w:rsidRPr="008F03E5">
        <w:tab/>
        <w:t>Ta</w:t>
      </w:r>
      <w:r w:rsidRPr="008F03E5">
        <w:rPr>
          <w:u w:val="single"/>
        </w:rPr>
        <w:t>sh</w:t>
      </w:r>
      <w:r w:rsidRPr="008F03E5">
        <w:t>bíh</w:t>
      </w:r>
      <w:r w:rsidRPr="008F03E5">
        <w:tab/>
        <w:t>comparison; allegory, simile, parable; ascription of human characteristics to God, anthropomorphization (of God, theology)</w:t>
      </w:r>
    </w:p>
    <w:p w14:paraId="4F6E5D78" w14:textId="77777777" w:rsidR="00625A5B" w:rsidRPr="008F03E5" w:rsidRDefault="00625A5B" w:rsidP="00D368B3">
      <w:pPr>
        <w:pStyle w:val="Translit"/>
      </w:pPr>
      <w:r w:rsidRPr="008F03E5">
        <w:t>Tashburj</w:t>
      </w:r>
      <w:r w:rsidRPr="008F03E5">
        <w:tab/>
        <w:t>Ta</w:t>
      </w:r>
      <w:r w:rsidRPr="008F03E5">
        <w:rPr>
          <w:u w:val="single"/>
        </w:rPr>
        <w:t>sh</w:t>
      </w:r>
      <w:r w:rsidRPr="008F03E5">
        <w:t>burj</w:t>
      </w:r>
      <w:r w:rsidRPr="008F03E5">
        <w:tab/>
        <w:t xml:space="preserve">From Turkish?  Taş “stone” + burj “tower”.  Given as Dashborgh, “stone tower”, in </w:t>
      </w:r>
      <w:r w:rsidRPr="008F03E5">
        <w:rPr>
          <w:i/>
          <w:iCs/>
        </w:rPr>
        <w:t>Star of the West</w:t>
      </w:r>
      <w:r w:rsidRPr="008F03E5">
        <w:t xml:space="preserve">, </w:t>
      </w:r>
      <w:r w:rsidRPr="008F03E5">
        <w:rPr>
          <w:sz w:val="16"/>
          <w:szCs w:val="16"/>
        </w:rPr>
        <w:t>XIII</w:t>
      </w:r>
      <w:r w:rsidRPr="008F03E5">
        <w:t>:12, p. 338.</w:t>
      </w:r>
    </w:p>
    <w:p w14:paraId="5804A088" w14:textId="77777777" w:rsidR="00625A5B" w:rsidRPr="008F03E5" w:rsidRDefault="00625A5B" w:rsidP="00D01F02">
      <w:pPr>
        <w:pStyle w:val="Translit"/>
      </w:pPr>
      <w:r w:rsidRPr="008F03E5">
        <w:t>Tashdid</w:t>
      </w:r>
      <w:r w:rsidRPr="008F03E5">
        <w:tab/>
        <w:t>Ta</w:t>
      </w:r>
      <w:r w:rsidRPr="008F03E5">
        <w:rPr>
          <w:u w:val="single"/>
        </w:rPr>
        <w:t>sh</w:t>
      </w:r>
      <w:r w:rsidRPr="008F03E5">
        <w:t>díd</w:t>
      </w:r>
      <w:r w:rsidRPr="008F03E5">
        <w:tab/>
        <w:t xml:space="preserve">intensification, strengthening; (grammar) intensified pronunciation, germination, doubling (of a consonant); doubling sign over a consonant (also called a </w:t>
      </w:r>
      <w:r w:rsidRPr="008F03E5">
        <w:rPr>
          <w:u w:val="single"/>
        </w:rPr>
        <w:t>sh</w:t>
      </w:r>
      <w:r w:rsidRPr="008F03E5">
        <w:t xml:space="preserve">addah); pressure (on).  See </w:t>
      </w:r>
      <w:r w:rsidRPr="008F03E5">
        <w:rPr>
          <w:u w:val="single"/>
        </w:rPr>
        <w:t>sh</w:t>
      </w:r>
      <w:r w:rsidRPr="008F03E5">
        <w:t>adda.</w:t>
      </w:r>
    </w:p>
    <w:p w14:paraId="448F5660" w14:textId="77777777" w:rsidR="00625A5B" w:rsidRPr="008F03E5" w:rsidRDefault="00625A5B" w:rsidP="0089238B">
      <w:pPr>
        <w:pStyle w:val="Translit"/>
      </w:pPr>
      <w:r w:rsidRPr="008F03E5">
        <w:t>Tashkand</w:t>
      </w:r>
      <w:r w:rsidRPr="008F03E5">
        <w:tab/>
        <w:t>Tá</w:t>
      </w:r>
      <w:r w:rsidRPr="008F03E5">
        <w:rPr>
          <w:u w:val="single"/>
        </w:rPr>
        <w:t>sh</w:t>
      </w:r>
      <w:r w:rsidRPr="008F03E5">
        <w:t>kand</w:t>
      </w:r>
      <w:r w:rsidRPr="008F03E5">
        <w:tab/>
        <w:t>Tashkent, capital of Uzbekistan</w:t>
      </w:r>
    </w:p>
    <w:p w14:paraId="49F179F7" w14:textId="77777777" w:rsidR="00625A5B" w:rsidRPr="008F03E5" w:rsidRDefault="00625A5B" w:rsidP="006A3D55">
      <w:pPr>
        <w:pStyle w:val="Translit"/>
      </w:pPr>
      <w:r w:rsidRPr="008F03E5">
        <w:t>Tashkhis</w:t>
      </w:r>
      <w:r w:rsidRPr="008F03E5">
        <w:tab/>
        <w:t>Ta</w:t>
      </w:r>
      <w:r w:rsidRPr="008F03E5">
        <w:rPr>
          <w:u w:val="single"/>
        </w:rPr>
        <w:t>shkh</w:t>
      </w:r>
      <w:r w:rsidRPr="008F03E5">
        <w:t>íṣ</w:t>
      </w:r>
      <w:r w:rsidRPr="008F03E5">
        <w:tab/>
        <w:t>personification; exact designation, specification; identification; diagnosis; acting, performance (on stage), play(ing) (of an actor).  Capable of distinguishing (right from wrong).</w:t>
      </w:r>
    </w:p>
    <w:p w14:paraId="4FE0D172" w14:textId="77777777" w:rsidR="00625A5B" w:rsidRPr="008F03E5" w:rsidRDefault="00625A5B" w:rsidP="006538ED">
      <w:pPr>
        <w:pStyle w:val="Translit"/>
        <w:rPr>
          <w:rFonts w:eastAsia="Times New Roman"/>
        </w:rPr>
      </w:pPr>
      <w:r w:rsidRPr="008F03E5">
        <w:rPr>
          <w:rFonts w:eastAsia="Times New Roman"/>
        </w:rPr>
        <w:t>Tashkik</w:t>
      </w:r>
      <w:r w:rsidRPr="008F03E5">
        <w:rPr>
          <w:rFonts w:eastAsia="Times New Roman"/>
        </w:rPr>
        <w:tab/>
        <w:t>Ta</w:t>
      </w:r>
      <w:r w:rsidRPr="008F03E5">
        <w:rPr>
          <w:rFonts w:eastAsia="Times New Roman"/>
          <w:u w:val="single"/>
        </w:rPr>
        <w:t>sh</w:t>
      </w:r>
      <w:r w:rsidRPr="008F03E5">
        <w:rPr>
          <w:rFonts w:eastAsia="Times New Roman"/>
        </w:rPr>
        <w:t>kík</w:t>
      </w:r>
      <w:r w:rsidRPr="008F03E5">
        <w:rPr>
          <w:rFonts w:eastAsia="Times New Roman"/>
        </w:rPr>
        <w:tab/>
        <w:t>creating doubt, causing to doubt, ambiguous</w:t>
      </w:r>
    </w:p>
    <w:p w14:paraId="7ECFDEA6" w14:textId="77777777" w:rsidR="00625A5B" w:rsidRPr="008F03E5" w:rsidRDefault="00625A5B" w:rsidP="00F94032">
      <w:pPr>
        <w:pStyle w:val="Translit"/>
      </w:pPr>
      <w:r w:rsidRPr="008F03E5">
        <w:t>Tashkil, Tashkila, Tashkilat</w:t>
      </w:r>
      <w:r w:rsidRPr="008F03E5">
        <w:tab/>
        <w:t>Ta</w:t>
      </w:r>
      <w:r w:rsidRPr="008F03E5">
        <w:rPr>
          <w:u w:val="single"/>
        </w:rPr>
        <w:t>sh</w:t>
      </w:r>
      <w:r w:rsidRPr="008F03E5">
        <w:t>kíl, fem. Ta</w:t>
      </w:r>
      <w:r w:rsidRPr="008F03E5">
        <w:rPr>
          <w:u w:val="single"/>
        </w:rPr>
        <w:t>sh</w:t>
      </w:r>
      <w:r w:rsidRPr="008F03E5">
        <w:t>kíla[h], pl. Ta</w:t>
      </w:r>
      <w:r w:rsidRPr="008F03E5">
        <w:rPr>
          <w:u w:val="single"/>
        </w:rPr>
        <w:t>sh</w:t>
      </w:r>
      <w:r w:rsidRPr="008F03E5">
        <w:t>kílát</w:t>
      </w:r>
      <w:r w:rsidRPr="008F03E5">
        <w:tab/>
        <w:t xml:space="preserve">forming, formation, shaping, moulding, fashioning, creation, organization, building up; order of march.  Fem. assortment, selection, variety; formation.  Vowelization, vocalization or diacritization—the various diacritics, taken collectively, that are attached to Arabic letters.  See ‘arabí and </w:t>
      </w:r>
      <w:r w:rsidRPr="008F03E5">
        <w:rPr>
          <w:rFonts w:eastAsia="Times New Roman"/>
        </w:rPr>
        <w:t>i‘ráb</w:t>
      </w:r>
      <w:r w:rsidRPr="008F03E5">
        <w:t>.</w:t>
      </w:r>
    </w:p>
    <w:p w14:paraId="079D7727" w14:textId="77777777" w:rsidR="00625A5B" w:rsidRPr="008F03E5" w:rsidRDefault="00625A5B" w:rsidP="00F55DC2">
      <w:pPr>
        <w:pStyle w:val="Translit"/>
      </w:pPr>
      <w:r w:rsidRPr="008F03E5">
        <w:t>Tashri’</w:t>
      </w:r>
      <w:r w:rsidRPr="008F03E5">
        <w:tab/>
        <w:t>Ta</w:t>
      </w:r>
      <w:r w:rsidRPr="008F03E5">
        <w:rPr>
          <w:u w:val="single"/>
        </w:rPr>
        <w:t>sh</w:t>
      </w:r>
      <w:r w:rsidRPr="008F03E5">
        <w:t>rí‘</w:t>
      </w:r>
      <w:r w:rsidRPr="008F03E5">
        <w:tab/>
        <w:t>the process of legislation</w:t>
      </w:r>
    </w:p>
    <w:p w14:paraId="3EF0B569" w14:textId="77777777" w:rsidR="00625A5B" w:rsidRPr="008F03E5" w:rsidRDefault="00625A5B" w:rsidP="00BC1483">
      <w:pPr>
        <w:pStyle w:val="Translit"/>
      </w:pPr>
      <w:r w:rsidRPr="008F03E5">
        <w:t>Tashriq</w:t>
      </w:r>
      <w:r w:rsidRPr="008F03E5">
        <w:tab/>
        <w:t>Ta</w:t>
      </w:r>
      <w:r w:rsidRPr="008F03E5">
        <w:rPr>
          <w:u w:val="single"/>
        </w:rPr>
        <w:t>sh</w:t>
      </w:r>
      <w:r w:rsidRPr="008F03E5">
        <w:t>ríq</w:t>
      </w:r>
      <w:r w:rsidRPr="008F03E5">
        <w:tab/>
        <w:t>drying (meat in the sun); tending towards, reaching unto the east, turning the face eastwards.  Another definition is:  easternization; development of domestic production (especially in local industry, with the gradual elimination of Europe), drive for (economic) independence.  Ayyám at-Ta</w:t>
      </w:r>
      <w:r w:rsidRPr="008F03E5">
        <w:rPr>
          <w:u w:val="single"/>
        </w:rPr>
        <w:t>sh</w:t>
      </w:r>
      <w:r w:rsidRPr="008F03E5">
        <w:t xml:space="preserve">ríq is the old name of the three days following the day of Immolation (sacrifice on the 10th of </w:t>
      </w:r>
      <w:r w:rsidRPr="008F03E5">
        <w:rPr>
          <w:u w:val="single"/>
        </w:rPr>
        <w:t>Dh</w:t>
      </w:r>
      <w:r w:rsidRPr="008F03E5">
        <w:t>u’l-Ḥijjah) during the ḥajj festival.</w:t>
      </w:r>
    </w:p>
    <w:p w14:paraId="336C575C" w14:textId="77777777" w:rsidR="00625A5B" w:rsidRPr="008F03E5" w:rsidRDefault="00625A5B" w:rsidP="00CB28CF">
      <w:pPr>
        <w:pStyle w:val="Translit"/>
      </w:pPr>
      <w:r w:rsidRPr="008F03E5">
        <w:t>Taslim</w:t>
      </w:r>
      <w:r w:rsidRPr="008F03E5">
        <w:tab/>
        <w:t>Taslím</w:t>
      </w:r>
      <w:r w:rsidRPr="008F03E5">
        <w:tab/>
        <w:t xml:space="preserve">handing over, turning over; presentation; extradition; surrender (of something); delivery (commerce; of mail); submission, surrender, capitulation; salutation; greeting; concession, admission; assent, consent (to), acceptance, approval, condonation, unquestioning recognition (of).  Submission to the will of God or the valley of knowledge in </w:t>
      </w:r>
      <w:r w:rsidRPr="008F03E5">
        <w:rPr>
          <w:i/>
          <w:iCs/>
        </w:rPr>
        <w:t>The Seven Valleys.</w:t>
      </w:r>
    </w:p>
    <w:p w14:paraId="5E603292" w14:textId="77777777" w:rsidR="00625A5B" w:rsidRPr="008F03E5" w:rsidRDefault="00625A5B" w:rsidP="004724CF">
      <w:pPr>
        <w:pStyle w:val="Translit"/>
      </w:pPr>
      <w:r w:rsidRPr="008F03E5">
        <w:t>Tasnim</w:t>
      </w:r>
      <w:r w:rsidRPr="008F03E5">
        <w:tab/>
        <w:t>Tasním</w:t>
      </w:r>
      <w:r w:rsidRPr="008F03E5">
        <w:tab/>
        <w:t>height, fullness, opulence, water of a heavenly fountain that is superior to the purest wine</w:t>
      </w:r>
      <w:r>
        <w:t>.  Má</w:t>
      </w:r>
      <w:r w:rsidRPr="004724CF">
        <w:t>’ at-tasn</w:t>
      </w:r>
      <w:r>
        <w:t>í</w:t>
      </w:r>
      <w:r w:rsidRPr="004724CF">
        <w:t>m</w:t>
      </w:r>
      <w:r>
        <w:t>,</w:t>
      </w:r>
      <w:r w:rsidRPr="004724CF">
        <w:t xml:space="preserve"> the beverage of the blessed in Paradise</w:t>
      </w:r>
      <w:r>
        <w:t xml:space="preserve">,  See </w:t>
      </w:r>
      <w:r w:rsidRPr="008F03E5">
        <w:t>Kaw</w:t>
      </w:r>
      <w:r w:rsidRPr="008F03E5">
        <w:rPr>
          <w:u w:val="single"/>
        </w:rPr>
        <w:t>th</w:t>
      </w:r>
      <w:r w:rsidRPr="008F03E5">
        <w:t>ar</w:t>
      </w:r>
      <w:r>
        <w:t>.</w:t>
      </w:r>
    </w:p>
    <w:p w14:paraId="2B80F630" w14:textId="77777777" w:rsidR="00625A5B" w:rsidRPr="008F03E5" w:rsidRDefault="00625A5B" w:rsidP="00E520E2">
      <w:pPr>
        <w:pStyle w:val="Translit"/>
      </w:pPr>
      <w:r w:rsidRPr="008F03E5">
        <w:t>Tasrih</w:t>
      </w:r>
      <w:r w:rsidRPr="008F03E5">
        <w:tab/>
        <w:t>Taṣríḥ</w:t>
      </w:r>
      <w:r w:rsidRPr="008F03E5">
        <w:tab/>
        <w:t>Pers. speaking openly; showing plainly; declaring; explanation; evidence, manifestation; narration</w:t>
      </w:r>
    </w:p>
    <w:p w14:paraId="0D715F8A" w14:textId="77777777" w:rsidR="00625A5B" w:rsidRPr="008F03E5" w:rsidRDefault="00625A5B" w:rsidP="006C7BF4">
      <w:pPr>
        <w:pStyle w:val="Translit"/>
      </w:pPr>
      <w:r w:rsidRPr="008F03E5">
        <w:t>Tatawwur, Tatawwurat</w:t>
      </w:r>
      <w:r w:rsidRPr="008F03E5">
        <w:tab/>
        <w:t>Taṭawwur, pl. Taṭawwurát</w:t>
      </w:r>
      <w:r w:rsidRPr="008F03E5">
        <w:tab/>
        <w:t>development; evolution;—pl. stages of development, evolutionary phases, developments</w:t>
      </w:r>
    </w:p>
    <w:p w14:paraId="516AEB47" w14:textId="77777777" w:rsidR="00625A5B" w:rsidRPr="008F03E5" w:rsidRDefault="00625A5B" w:rsidP="004F70F3">
      <w:pPr>
        <w:pStyle w:val="Translit"/>
      </w:pPr>
      <w:r w:rsidRPr="008F03E5">
        <w:t>Tathlith</w:t>
      </w:r>
      <w:r w:rsidRPr="008F03E5">
        <w:tab/>
        <w:t>Ta</w:t>
      </w:r>
      <w:r w:rsidRPr="008F03E5">
        <w:rPr>
          <w:u w:val="single"/>
        </w:rPr>
        <w:t>th</w:t>
      </w:r>
      <w:r w:rsidRPr="008F03E5">
        <w:t>lí</w:t>
      </w:r>
      <w:r w:rsidRPr="008F03E5">
        <w:rPr>
          <w:u w:val="single"/>
        </w:rPr>
        <w:t>th</w:t>
      </w:r>
      <w:r w:rsidRPr="008F03E5">
        <w:tab/>
        <w:t>doctrine of the Trinity; Trinity (Chr.); triangle</w:t>
      </w:r>
    </w:p>
    <w:p w14:paraId="0DD0DAD6" w14:textId="77777777" w:rsidR="00625A5B" w:rsidRPr="008F03E5" w:rsidRDefault="00625A5B" w:rsidP="00917A22">
      <w:pPr>
        <w:pStyle w:val="Translit"/>
      </w:pPr>
      <w:r w:rsidRPr="008F03E5">
        <w:t>Tathrib</w:t>
      </w:r>
      <w:r w:rsidRPr="008F03E5">
        <w:tab/>
        <w:t>Ta</w:t>
      </w:r>
      <w:r w:rsidRPr="008F03E5">
        <w:rPr>
          <w:u w:val="single"/>
        </w:rPr>
        <w:t>th</w:t>
      </w:r>
      <w:r w:rsidRPr="008F03E5">
        <w:t>ríb</w:t>
      </w:r>
      <w:r w:rsidRPr="008F03E5">
        <w:tab/>
        <w:t>blame, censure, reproof</w:t>
      </w:r>
    </w:p>
    <w:p w14:paraId="206807A1" w14:textId="77777777" w:rsidR="00625A5B" w:rsidRPr="008F03E5" w:rsidRDefault="00625A5B" w:rsidP="00917A22">
      <w:pPr>
        <w:pStyle w:val="Translit"/>
      </w:pPr>
      <w:r w:rsidRPr="008F03E5">
        <w:t>Tawaf</w:t>
      </w:r>
      <w:r w:rsidRPr="008F03E5">
        <w:tab/>
        <w:t>Ṭawáf</w:t>
      </w:r>
      <w:r w:rsidRPr="008F03E5">
        <w:tab/>
        <w:t>round, circuit, beat; round trip, round-trip excursion; roundtrip flight; circumambulation of the Ka‘ba (as part of the Islamic pilgrimage ceremonies)</w:t>
      </w:r>
    </w:p>
    <w:p w14:paraId="51F974B1" w14:textId="77777777" w:rsidR="00625A5B" w:rsidRPr="008F03E5" w:rsidRDefault="00625A5B" w:rsidP="008F4F69">
      <w:pPr>
        <w:pStyle w:val="Translit"/>
      </w:pPr>
      <w:r w:rsidRPr="008F03E5">
        <w:rPr>
          <w:rFonts w:eastAsia="Times New Roman"/>
        </w:rPr>
        <w:t>Tawakkul ‘Ala’llah</w:t>
      </w:r>
      <w:r w:rsidRPr="008F03E5">
        <w:rPr>
          <w:rFonts w:eastAsia="Times New Roman"/>
        </w:rPr>
        <w:tab/>
        <w:t>Tawakkul ‘Alá’lláh</w:t>
      </w:r>
      <w:r w:rsidRPr="008F03E5">
        <w:rPr>
          <w:rFonts w:eastAsia="Times New Roman"/>
        </w:rPr>
        <w:tab/>
        <w:t>literally, “trust in God”, lamentation, cry for help.  Sometimes contracted to ‘alá’lláh.</w:t>
      </w:r>
    </w:p>
    <w:p w14:paraId="69FE95E5" w14:textId="77777777" w:rsidR="00625A5B" w:rsidRPr="008F03E5" w:rsidRDefault="00625A5B" w:rsidP="00917A22">
      <w:pPr>
        <w:pStyle w:val="Translit"/>
      </w:pPr>
      <w:r w:rsidRPr="008F03E5">
        <w:t>Tawakkul, Tavakkul</w:t>
      </w:r>
      <w:r w:rsidRPr="008F03E5">
        <w:tab/>
        <w:t>Tawakkul, Pers. Tavakkul</w:t>
      </w:r>
      <w:r w:rsidRPr="008F03E5">
        <w:tab/>
        <w:t>trust (reliance, mystical station in which the mystic has complete trust in God’s providence)</w:t>
      </w:r>
    </w:p>
    <w:p w14:paraId="66C96C19" w14:textId="77777777" w:rsidR="00625A5B" w:rsidRPr="008F03E5" w:rsidRDefault="00625A5B" w:rsidP="00BA0893">
      <w:pPr>
        <w:pStyle w:val="Translit"/>
      </w:pPr>
      <w:r w:rsidRPr="008F03E5">
        <w:t>Tawakul</w:t>
      </w:r>
      <w:r w:rsidRPr="008F03E5">
        <w:tab/>
        <w:t>Tawákul</w:t>
      </w:r>
      <w:r w:rsidRPr="008F03E5">
        <w:tab/>
        <w:t>mutual confidence or trust; indifference</w:t>
      </w:r>
    </w:p>
    <w:p w14:paraId="5844E93A" w14:textId="77777777" w:rsidR="00625A5B" w:rsidRPr="008F03E5" w:rsidRDefault="00625A5B" w:rsidP="00BC3DA5">
      <w:pPr>
        <w:pStyle w:val="Translit"/>
      </w:pPr>
      <w:r w:rsidRPr="008F03E5">
        <w:t>Tawalla</w:t>
      </w:r>
      <w:r w:rsidRPr="008F03E5">
        <w:tab/>
        <w:t>Tawallá (for Tawallí)</w:t>
      </w:r>
      <w:r w:rsidRPr="008F03E5">
        <w:tab/>
        <w:t xml:space="preserve">choosing (someone) as a friend, </w:t>
      </w:r>
      <w:r w:rsidRPr="008F03E5">
        <w:rPr>
          <w:lang w:eastAsia="en-US"/>
        </w:rPr>
        <w:t>to offer allegiance to or recognize the spiritual authority of someone</w:t>
      </w:r>
    </w:p>
    <w:p w14:paraId="66B4305B" w14:textId="77777777" w:rsidR="00625A5B" w:rsidRPr="008F03E5" w:rsidRDefault="00625A5B" w:rsidP="00B76C2F">
      <w:pPr>
        <w:pStyle w:val="Translit"/>
      </w:pPr>
      <w:r w:rsidRPr="008F03E5">
        <w:t>Tawangar (Tavangar)</w:t>
      </w:r>
      <w:r w:rsidRPr="008F03E5">
        <w:tab/>
        <w:t>Tawángar</w:t>
      </w:r>
      <w:r w:rsidRPr="008F03E5">
        <w:tab/>
        <w:t>Pers. great, powerful; rich</w:t>
      </w:r>
    </w:p>
    <w:p w14:paraId="29B00E8B" w14:textId="77777777" w:rsidR="00625A5B" w:rsidRPr="008F03E5" w:rsidRDefault="00625A5B" w:rsidP="00F26A6C">
      <w:pPr>
        <w:pStyle w:val="Translit"/>
      </w:pPr>
      <w:r w:rsidRPr="008F03E5">
        <w:t>Tawba (Tauba)</w:t>
      </w:r>
      <w:r w:rsidRPr="008F03E5">
        <w:tab/>
        <w:t>Tawba[h]</w:t>
      </w:r>
      <w:r w:rsidRPr="008F03E5">
        <w:tab/>
        <w:t>repentance, penitence, contrition; penance.  A mystical station defined by the will’s repudiation of immoral actions and tendencies.  See Tába</w:t>
      </w:r>
    </w:p>
    <w:p w14:paraId="622AAB28" w14:textId="77777777" w:rsidR="00625A5B" w:rsidRPr="008F03E5" w:rsidRDefault="00625A5B" w:rsidP="00F26A6C">
      <w:pPr>
        <w:pStyle w:val="Translit"/>
      </w:pPr>
      <w:r w:rsidRPr="008F03E5">
        <w:rPr>
          <w:rFonts w:eastAsia="Times New Roman"/>
        </w:rPr>
        <w:t>Tawba-Nama (Tauba-Nama)</w:t>
      </w:r>
      <w:r w:rsidRPr="008F03E5">
        <w:rPr>
          <w:rFonts w:eastAsia="Times New Roman"/>
        </w:rPr>
        <w:tab/>
        <w:t>Tawba-Náma</w:t>
      </w:r>
      <w:r w:rsidRPr="008F03E5">
        <w:rPr>
          <w:rFonts w:eastAsia="Times New Roman"/>
        </w:rPr>
        <w:tab/>
        <w:t>Pers. (Ar. influence) a written expression of repentance or vow not to offend again</w:t>
      </w:r>
    </w:p>
    <w:p w14:paraId="19F5145F" w14:textId="77777777" w:rsidR="00625A5B" w:rsidRPr="008F03E5" w:rsidRDefault="00625A5B" w:rsidP="00A81191">
      <w:pPr>
        <w:pStyle w:val="Translit"/>
      </w:pPr>
      <w:r w:rsidRPr="008F03E5">
        <w:t>Tawfiq (Taufiq, Tofik), Tawfiqa</w:t>
      </w:r>
      <w:r w:rsidRPr="008F03E5">
        <w:tab/>
        <w:t>Tawfíq, fem. Tawfíqa[h or t]</w:t>
      </w:r>
      <w:r w:rsidRPr="008F03E5">
        <w:tab/>
        <w:t>conformation, adaptation, accommodation; balancing, adjustment, settlement; reconciliation, mediation, arbitration, peace-making, re-establishment of normal relations; success (granted by God), happy outcome, good fortune, good luck, prosperity, successfulness, succeeding</w:t>
      </w:r>
    </w:p>
    <w:p w14:paraId="6A1B3722" w14:textId="77777777" w:rsidR="00625A5B" w:rsidRPr="008F03E5" w:rsidRDefault="00625A5B" w:rsidP="005D5AAC">
      <w:pPr>
        <w:pStyle w:val="Translit"/>
      </w:pPr>
      <w:r w:rsidRPr="008F03E5">
        <w:t>Tawhid (Tauhid)</w:t>
      </w:r>
      <w:r w:rsidRPr="008F03E5">
        <w:tab/>
        <w:t>Tawḥíd</w:t>
      </w:r>
      <w:r w:rsidRPr="008F03E5">
        <w:tab/>
        <w:t>unification, union, combination, fusion; standardization, regularization; consolidation, amalgamation, merger; belief in the unity of God; profession of the unity of God; monotheism; (mysticism) mergence in the unity of the universe.  ibn Taymiyya distinguishes three subcategories of tawḥíd:  (1) tawḥíd a</w:t>
      </w:r>
      <w:r>
        <w:t>r</w:t>
      </w:r>
      <w:r w:rsidRPr="008F03E5">
        <w:t>-rubúbiyya, or the “oneness of lordship”, referring to God’s status as sole Creator, Master, and Sustainer of the universe; (2) tawḥíd al-ulúhiyya, or the “oneness of divinity or Godhood”, referring to God’s worthiness of being worshipped, loved, and obeyed for His sake, alone and without partner; and (3) tawḥíd al-asmá’ wa’ṣ-ṣifát, or the “oneness of names and attributes”, referring to the fact that God’s divine names and attributes are solely and uniquely His and are not shared in or partaken of by any creature.</w:t>
      </w:r>
    </w:p>
    <w:p w14:paraId="311EFD27" w14:textId="77777777" w:rsidR="00625A5B" w:rsidRPr="008F03E5" w:rsidRDefault="00625A5B" w:rsidP="00ED4D1A">
      <w:pPr>
        <w:pStyle w:val="Translit"/>
      </w:pPr>
      <w:r w:rsidRPr="008F03E5">
        <w:t>Tawhid-i-Shuhudi</w:t>
      </w:r>
      <w:r w:rsidRPr="008F03E5">
        <w:tab/>
        <w:t>Tawḥíd-i-</w:t>
      </w:r>
      <w:r w:rsidRPr="008F03E5">
        <w:rPr>
          <w:u w:val="single"/>
        </w:rPr>
        <w:t>Sh</w:t>
      </w:r>
      <w:r w:rsidRPr="008F03E5">
        <w:t>uhúdí</w:t>
      </w:r>
      <w:r w:rsidRPr="008F03E5">
        <w:tab/>
        <w:t>“unity of vision”.  See Vaḥdatu’</w:t>
      </w:r>
      <w:r w:rsidRPr="008F03E5">
        <w:rPr>
          <w:u w:val="single"/>
        </w:rPr>
        <w:t>sh</w:t>
      </w:r>
      <w:r w:rsidRPr="008F03E5">
        <w:t>-</w:t>
      </w:r>
      <w:r w:rsidRPr="008F03E5">
        <w:rPr>
          <w:u w:val="single"/>
        </w:rPr>
        <w:t>sh</w:t>
      </w:r>
      <w:r w:rsidRPr="008F03E5">
        <w:t>uhúd</w:t>
      </w:r>
    </w:p>
    <w:p w14:paraId="0CE286EE" w14:textId="77777777" w:rsidR="00625A5B" w:rsidRPr="008F03E5" w:rsidRDefault="00625A5B" w:rsidP="00ED4D1A">
      <w:pPr>
        <w:pStyle w:val="Translit"/>
      </w:pPr>
      <w:r w:rsidRPr="008F03E5">
        <w:t>Tawhid-i-vujudi</w:t>
      </w:r>
      <w:r w:rsidRPr="008F03E5">
        <w:tab/>
        <w:t>Tawḥíd-i-Vujúdí</w:t>
      </w:r>
      <w:r w:rsidRPr="008F03E5">
        <w:tab/>
        <w:t>“unity of existence”.  See Vaḥdatu’l-Vujúd</w:t>
      </w:r>
    </w:p>
    <w:p w14:paraId="695F100E" w14:textId="77777777" w:rsidR="00625A5B" w:rsidRPr="008F03E5" w:rsidRDefault="00625A5B" w:rsidP="00E30571">
      <w:pPr>
        <w:pStyle w:val="Translit"/>
      </w:pPr>
      <w:r w:rsidRPr="008F03E5">
        <w:t>Tawil, Tiwal</w:t>
      </w:r>
      <w:r w:rsidRPr="008F03E5">
        <w:tab/>
        <w:t>Ṭawíl, pl. Ṭiwál</w:t>
      </w:r>
      <w:r w:rsidRPr="008F03E5">
        <w:tab/>
        <w:t>long; large, big, tall; high; aṭ-ṭawíl, name of a poetical metre</w:t>
      </w:r>
    </w:p>
    <w:p w14:paraId="7EF7E0BE" w14:textId="77777777" w:rsidR="00625A5B" w:rsidRPr="008F03E5" w:rsidRDefault="00625A5B" w:rsidP="00786407">
      <w:pPr>
        <w:pStyle w:val="Translit"/>
      </w:pPr>
      <w:r w:rsidRPr="008F03E5">
        <w:t>Tawiya, Tawaya</w:t>
      </w:r>
      <w:r w:rsidRPr="008F03E5">
        <w:tab/>
        <w:t>Ṭawíya[h or t], pl. Ṭawáyá</w:t>
      </w:r>
      <w:r w:rsidRPr="008F03E5">
        <w:tab/>
        <w:t>fold (roll), pleat; innermost thoughts, real conviction, true mind; intention, design; conscience.  Qur’án 21:104.</w:t>
      </w:r>
    </w:p>
    <w:p w14:paraId="0675DC4D" w14:textId="77777777" w:rsidR="00625A5B" w:rsidRPr="008F03E5" w:rsidRDefault="00625A5B" w:rsidP="00B316A4">
      <w:pPr>
        <w:pStyle w:val="Translit"/>
      </w:pPr>
      <w:r w:rsidRPr="008F03E5">
        <w:t>Tawq (Tauq, Toeg), Atwaq</w:t>
      </w:r>
      <w:r w:rsidRPr="008F03E5">
        <w:tab/>
        <w:t>Ṭawq, pl. Aṭwáq</w:t>
      </w:r>
      <w:r w:rsidRPr="008F03E5">
        <w:tab/>
        <w:t>ability, faculty, power, strength, potency, capability, aptitude, capacity; endurance;—pl. necklace; neckband, ruff, collar; hoop, circle</w:t>
      </w:r>
    </w:p>
    <w:p w14:paraId="72913270" w14:textId="77777777" w:rsidR="00625A5B" w:rsidRPr="008F03E5" w:rsidRDefault="00625A5B" w:rsidP="00E30571">
      <w:pPr>
        <w:pStyle w:val="Translit"/>
      </w:pPr>
      <w:r w:rsidRPr="008F03E5">
        <w:t>Tawqi (Tauqi)</w:t>
      </w:r>
      <w:r w:rsidRPr="008F03E5">
        <w:tab/>
        <w:t>Ṭawqí</w:t>
      </w:r>
      <w:r w:rsidRPr="008F03E5">
        <w:tab/>
      </w:r>
      <w:r w:rsidRPr="00FE2BC4">
        <w:t>anything that surrounds another thing; co</w:t>
      </w:r>
      <w:r w:rsidRPr="008F03E5">
        <w:t>llar-like, loop-shaped, ring-shaped, annular; necklace (jewelled)</w:t>
      </w:r>
    </w:p>
    <w:p w14:paraId="4748E2EE" w14:textId="77777777" w:rsidR="00625A5B" w:rsidRPr="008F03E5" w:rsidRDefault="00625A5B" w:rsidP="001C69FC">
      <w:pPr>
        <w:pStyle w:val="Translit"/>
      </w:pPr>
      <w:r w:rsidRPr="008F03E5">
        <w:t xml:space="preserve">Tawqi’, Tawqi’at, </w:t>
      </w:r>
      <w:r w:rsidRPr="008F03E5">
        <w:rPr>
          <w:rFonts w:eastAsia="Times New Roman"/>
        </w:rPr>
        <w:t>Tawaqi’</w:t>
      </w:r>
      <w:r w:rsidRPr="008F03E5">
        <w:rPr>
          <w:rFonts w:eastAsia="Times New Roman"/>
        </w:rPr>
        <w:tab/>
      </w:r>
      <w:r w:rsidRPr="008F03E5">
        <w:t xml:space="preserve">Tawqí‘, pl. Tawqí‘át, </w:t>
      </w:r>
      <w:r w:rsidRPr="008F03E5">
        <w:rPr>
          <w:rFonts w:eastAsia="Times New Roman"/>
        </w:rPr>
        <w:t>Tawáqí‘</w:t>
      </w:r>
      <w:r w:rsidRPr="008F03E5">
        <w:rPr>
          <w:rFonts w:eastAsia="Times New Roman"/>
        </w:rPr>
        <w:tab/>
        <w:t xml:space="preserve">1.  </w:t>
      </w:r>
      <w:r w:rsidRPr="008F03E5">
        <w:t xml:space="preserve">dropping; performance, consummation, execution; discharge, undertaking (of an act or action); infliction (of a punishment); entering, recording, registration.  2.  </w:t>
      </w:r>
      <w:r w:rsidRPr="008F03E5">
        <w:rPr>
          <w:rFonts w:eastAsia="Times New Roman"/>
        </w:rPr>
        <w:t>signing (an order, etc.) with the royal signet; the royal signet put to diplomas, letters patent, and other public deeds (of an intricate formation, containing the king’s name and titles); a diploma thus signed; thought, conception, opinion.—</w:t>
      </w:r>
      <w:r w:rsidRPr="008F03E5">
        <w:t>pl. tawqí‘át signature;—</w:t>
      </w:r>
      <w:r w:rsidRPr="008F03E5">
        <w:rPr>
          <w:rFonts w:eastAsia="Times New Roman"/>
        </w:rPr>
        <w:t>tawáqí‘ royal letters or letters patent.  Also “Tauqi’”, “</w:t>
      </w:r>
      <w:r w:rsidRPr="008F03E5">
        <w:t>Tawqi’at</w:t>
      </w:r>
      <w:r w:rsidRPr="008F03E5">
        <w:rPr>
          <w:rFonts w:eastAsia="Times New Roman"/>
        </w:rPr>
        <w:t>”, “T</w:t>
      </w:r>
      <w:r w:rsidRPr="008F03E5">
        <w:t>owighat</w:t>
      </w:r>
      <w:r w:rsidRPr="008F03E5">
        <w:rPr>
          <w:rFonts w:eastAsia="Times New Roman"/>
        </w:rPr>
        <w:t>”.  O</w:t>
      </w:r>
      <w:r w:rsidRPr="008F03E5">
        <w:t>ne of the six fonts of Persian-Arabic calligraphy that was often used in signatures.  Hence, they are called tawqí‘ (signature).  The writing was mostly used for important documents and papers.  A more universal and binding letter from Bahá’u’lláh or a Tablet from ‘Abdu’l-Bahá is often called a tawqí‘—an advice but also a binding document that is part of the Covenant.  Shoghi Effendi wrote many personal letters.  However, his formal letters, usually on special occasions such as Naw-Rúz and Riḍván are called tawqí‘.  Not to be confused with ṭawqí.</w:t>
      </w:r>
    </w:p>
    <w:p w14:paraId="5236A20C" w14:textId="77777777" w:rsidR="00625A5B" w:rsidRPr="008F03E5" w:rsidRDefault="00625A5B" w:rsidP="00900A82">
      <w:pPr>
        <w:pStyle w:val="Translit"/>
      </w:pPr>
      <w:r w:rsidRPr="008F03E5">
        <w:t>Tawqi’at-Mubarakih</w:t>
      </w:r>
      <w:r w:rsidRPr="008F03E5">
        <w:tab/>
        <w:t>Tawqí‘át-Mubárakih</w:t>
      </w:r>
      <w:r w:rsidRPr="008F03E5">
        <w:tab/>
        <w:t>Pers. “Blessed letters” from Shoghi Effendi.</w:t>
      </w:r>
    </w:p>
    <w:p w14:paraId="14F37B2E" w14:textId="77777777" w:rsidR="00625A5B" w:rsidRPr="008F03E5" w:rsidRDefault="00625A5B" w:rsidP="002B154C">
      <w:pPr>
        <w:pStyle w:val="Translit"/>
      </w:pPr>
      <w:r w:rsidRPr="008F03E5">
        <w:t>Tawr (Taur), Atwar</w:t>
      </w:r>
      <w:r w:rsidRPr="008F03E5">
        <w:tab/>
        <w:t>Ṭawr, pl. Aṭwár</w:t>
      </w:r>
      <w:r w:rsidRPr="008F03E5">
        <w:tab/>
        <w:t xml:space="preserve">one time (= French </w:t>
      </w:r>
      <w:r w:rsidRPr="008F03E5">
        <w:rPr>
          <w:i/>
          <w:iCs/>
        </w:rPr>
        <w:t>fois</w:t>
      </w:r>
      <w:r w:rsidRPr="008F03E5">
        <w:t xml:space="preserve"> (time); state, condition; limit, bound; stage, degree; phase (also physics, especially electricity)</w:t>
      </w:r>
    </w:p>
    <w:p w14:paraId="5BC95EDD" w14:textId="77777777" w:rsidR="00625A5B" w:rsidRPr="008F03E5" w:rsidRDefault="00625A5B" w:rsidP="001E2631">
      <w:pPr>
        <w:pStyle w:val="Translit"/>
      </w:pPr>
      <w:r w:rsidRPr="001457C8">
        <w:rPr>
          <w:lang w:val="fr-FR"/>
        </w:rPr>
        <w:t>Tawra (Taura), Tawrat (Taurat)</w:t>
      </w:r>
      <w:r w:rsidRPr="001457C8">
        <w:rPr>
          <w:lang w:val="fr-FR"/>
        </w:rPr>
        <w:tab/>
        <w:t xml:space="preserve">Tawra[h or t], pl. </w:t>
      </w:r>
      <w:r w:rsidRPr="008F03E5">
        <w:t>Tawrát (Tawráh)</w:t>
      </w:r>
      <w:r w:rsidRPr="008F03E5">
        <w:tab/>
        <w:t>excitement, agitation; outbreak, outburst, fit (of fury, of despair, etc.); eruption (of a volcano);—pl. upheaval, uprising, insurrection, riot, rebellion, revolt, revolution.  Tawráh:  Jewish Scripture (“Old Covenant”):  1.  The Law (Torah, Tawráh, Pentateuch),  2.  the Prophets (Nebiim, Nabiyín),  3.  the Writings (Kethubim, Kutúb).  Talmud is a body of oral exposition and the Mi</w:t>
      </w:r>
      <w:r w:rsidRPr="008F03E5">
        <w:rPr>
          <w:u w:val="single"/>
        </w:rPr>
        <w:t>sh</w:t>
      </w:r>
      <w:r w:rsidRPr="008F03E5">
        <w:t>na is a collection of traditions and discussions.</w:t>
      </w:r>
    </w:p>
    <w:p w14:paraId="5749253E" w14:textId="77777777" w:rsidR="00625A5B" w:rsidRPr="008F03E5" w:rsidRDefault="00625A5B" w:rsidP="00084B3B">
      <w:pPr>
        <w:pStyle w:val="Translit"/>
      </w:pPr>
      <w:r w:rsidRPr="008F03E5">
        <w:t>Tawwab, Tawwabun</w:t>
      </w:r>
      <w:r w:rsidRPr="008F03E5">
        <w:tab/>
        <w:t>Tawwáb, pl. Tawwábún</w:t>
      </w:r>
      <w:r w:rsidRPr="008F03E5">
        <w:tab/>
        <w:t>doing penance; repentant, penitent, contrite; forgiving, merciful (God)</w:t>
      </w:r>
    </w:p>
    <w:p w14:paraId="2C269703" w14:textId="77777777" w:rsidR="00625A5B" w:rsidRPr="008F03E5" w:rsidRDefault="00625A5B" w:rsidP="00563B60">
      <w:pPr>
        <w:pStyle w:val="Translit"/>
      </w:pPr>
      <w:r w:rsidRPr="008F03E5">
        <w:t>Tayammum</w:t>
      </w:r>
      <w:r w:rsidRPr="008F03E5">
        <w:tab/>
        <w:t>Tayammum</w:t>
      </w:r>
      <w:r w:rsidRPr="008F03E5">
        <w:tab/>
        <w:t>performing ablutions before prayer with clean sand instead of water, when water is unavailable.  See wuḍú’</w:t>
      </w:r>
    </w:p>
    <w:p w14:paraId="5F7C1F9C" w14:textId="77777777" w:rsidR="00625A5B" w:rsidRPr="008F03E5" w:rsidRDefault="00625A5B" w:rsidP="00A3230D">
      <w:pPr>
        <w:pStyle w:val="Translit"/>
        <w:rPr>
          <w:rFonts w:eastAsia="PMingLiU"/>
          <w:lang w:eastAsia="zh-TW"/>
        </w:rPr>
      </w:pPr>
      <w:r w:rsidRPr="008F03E5">
        <w:t>Tayifih</w:t>
      </w:r>
      <w:r w:rsidRPr="008F03E5">
        <w:tab/>
        <w:t>Ṭáyifih</w:t>
      </w:r>
      <w:r w:rsidRPr="008F03E5">
        <w:tab/>
        <w:t>Pers. ‘a people’, ‘nation’, ‘tribe’</w:t>
      </w:r>
    </w:p>
    <w:p w14:paraId="37D5957D" w14:textId="77777777" w:rsidR="00625A5B" w:rsidRDefault="00625A5B" w:rsidP="00E31EBF">
      <w:pPr>
        <w:pStyle w:val="Translit"/>
      </w:pPr>
      <w:r>
        <w:rPr>
          <w:rFonts w:eastAsia="Times New Roman"/>
        </w:rPr>
        <w:t>Taym (T</w:t>
      </w:r>
      <w:r w:rsidRPr="00E31EBF">
        <w:rPr>
          <w:rFonts w:eastAsia="Times New Roman"/>
        </w:rPr>
        <w:t>aim</w:t>
      </w:r>
      <w:r>
        <w:rPr>
          <w:rFonts w:eastAsia="Times New Roman"/>
        </w:rPr>
        <w:t>)</w:t>
      </w:r>
      <w:r>
        <w:rPr>
          <w:rFonts w:eastAsia="Times New Roman"/>
        </w:rPr>
        <w:tab/>
        <w:t>Taym</w:t>
      </w:r>
      <w:r>
        <w:rPr>
          <w:rFonts w:eastAsia="Times New Roman"/>
        </w:rPr>
        <w:tab/>
        <w:t>a</w:t>
      </w:r>
      <w:r w:rsidRPr="00AF4D34">
        <w:rPr>
          <w:rFonts w:eastAsia="Times New Roman"/>
        </w:rPr>
        <w:t xml:space="preserve"> servant; name of a tribe</w:t>
      </w:r>
    </w:p>
    <w:p w14:paraId="17D4B2E1" w14:textId="77777777" w:rsidR="00625A5B" w:rsidRPr="008F03E5" w:rsidRDefault="00625A5B" w:rsidP="00D01F02">
      <w:pPr>
        <w:pStyle w:val="Translit"/>
      </w:pPr>
      <w:r w:rsidRPr="008F03E5">
        <w:t>Tayma’</w:t>
      </w:r>
      <w:r w:rsidRPr="008F03E5">
        <w:tab/>
        <w:t>Taymá’</w:t>
      </w:r>
      <w:r w:rsidRPr="008F03E5">
        <w:tab/>
        <w:t xml:space="preserve">a large oasis (27.620406, 38.538128) 210 km </w:t>
      </w:r>
      <w:r w:rsidRPr="008F03E5">
        <w:rPr>
          <w:sz w:val="16"/>
          <w:szCs w:val="16"/>
        </w:rPr>
        <w:t>ESE</w:t>
      </w:r>
      <w:r w:rsidRPr="008F03E5">
        <w:t xml:space="preserve"> of Tabúk and 226 km </w:t>
      </w:r>
      <w:r w:rsidRPr="008F03E5">
        <w:rPr>
          <w:sz w:val="16"/>
          <w:szCs w:val="16"/>
        </w:rPr>
        <w:t>NNW</w:t>
      </w:r>
      <w:r w:rsidRPr="008F03E5">
        <w:t xml:space="preserve"> of </w:t>
      </w:r>
      <w:r w:rsidRPr="008F03E5">
        <w:rPr>
          <w:u w:val="single"/>
        </w:rPr>
        <w:t>Kh</w:t>
      </w:r>
      <w:r w:rsidRPr="008F03E5">
        <w:t>aybar.  Formerly owned by Jews during Muḥammad’s time.</w:t>
      </w:r>
    </w:p>
    <w:p w14:paraId="55DF2CBE" w14:textId="77777777" w:rsidR="00625A5B" w:rsidRPr="008F03E5" w:rsidRDefault="00625A5B" w:rsidP="00531931">
      <w:pPr>
        <w:pStyle w:val="Translit"/>
      </w:pPr>
      <w:r w:rsidRPr="008F03E5">
        <w:t>Taymiya (Taymiyya)</w:t>
      </w:r>
      <w:r w:rsidRPr="008F03E5">
        <w:tab/>
        <w:t>Taymíya[h], Taymiyya[h]</w:t>
      </w:r>
      <w:r w:rsidRPr="008F03E5">
        <w:tab/>
        <w:t>Taqí ad-Dín Aḥmad ibn Taymiyyah (1263–1328), was a medieval Sunni Muslim scholar, muḥaddi</w:t>
      </w:r>
      <w:r w:rsidRPr="008F03E5">
        <w:rPr>
          <w:u w:val="single"/>
        </w:rPr>
        <w:t>th</w:t>
      </w:r>
      <w:r w:rsidRPr="008F03E5">
        <w:t xml:space="preserve">, theologian, judge, jurisconsult, and logician.  He is known for his diplomatic involvement with Mongol ruler </w:t>
      </w:r>
      <w:r w:rsidRPr="008F03E5">
        <w:rPr>
          <w:u w:val="single"/>
        </w:rPr>
        <w:t>Gh</w:t>
      </w:r>
      <w:r w:rsidRPr="008F03E5">
        <w:t xml:space="preserve">ázán </w:t>
      </w:r>
      <w:r w:rsidRPr="008F03E5">
        <w:rPr>
          <w:u w:val="single"/>
        </w:rPr>
        <w:t>Kh</w:t>
      </w:r>
      <w:r w:rsidRPr="008F03E5">
        <w:t>án and for his victorious achievement (mainly by issuing jihád and Ramaḍán related fatáwá) at the Battle of Marj aṣ-Ṣaffar (1303, on a large plain south of Damascus) that ended the Mongol invasions of the Levant.  ibn Taymiyyah’s iconoclastic views on widely accepted Sunni doctrines of his time (such as the veneration of saints and the visitation to their tomb-shrines) made him unpopular with many scholars and rulers of the time, under whose orders he was imprisoned several times.  He has become one of the most influential medieval writers in contemporary Islam.  Moreover, ibn Taymiyyah’s controversial fatwá allowing jihád against other Muslims is referenced by al-Qaeda and other jihádí groups.</w:t>
      </w:r>
    </w:p>
    <w:p w14:paraId="6DC4480B" w14:textId="77777777" w:rsidR="00625A5B" w:rsidRPr="008F03E5" w:rsidRDefault="00625A5B" w:rsidP="004650BB">
      <w:pPr>
        <w:pStyle w:val="Translit"/>
      </w:pPr>
      <w:r w:rsidRPr="008F03E5">
        <w:t>Taymur</w:t>
      </w:r>
      <w:r w:rsidRPr="008F03E5">
        <w:tab/>
        <w:t>Taymúr</w:t>
      </w:r>
      <w:r w:rsidRPr="008F03E5">
        <w:tab/>
        <w:t>from Turkish, “iron”, English Timur</w:t>
      </w:r>
    </w:p>
    <w:p w14:paraId="1E0CB1BA" w14:textId="77777777" w:rsidR="00625A5B" w:rsidRPr="008F03E5" w:rsidRDefault="00625A5B" w:rsidP="00D01F02">
      <w:pPr>
        <w:pStyle w:val="Translit"/>
      </w:pPr>
      <w:r w:rsidRPr="008F03E5">
        <w:t>Taymurtash</w:t>
      </w:r>
      <w:r w:rsidRPr="008F03E5">
        <w:tab/>
        <w:t>Taymúrtá</w:t>
      </w:r>
      <w:r w:rsidRPr="008F03E5">
        <w:rPr>
          <w:u w:val="single"/>
        </w:rPr>
        <w:t>sh</w:t>
      </w:r>
      <w:r w:rsidRPr="008F03E5">
        <w:tab/>
        <w:t xml:space="preserve">‘Abdu’l Ḥusayn </w:t>
      </w:r>
      <w:r w:rsidRPr="008F03E5">
        <w:rPr>
          <w:u w:val="single"/>
        </w:rPr>
        <w:t>Kh</w:t>
      </w:r>
      <w:r w:rsidRPr="008F03E5">
        <w:t>án Taymúrtá</w:t>
      </w:r>
      <w:r w:rsidRPr="008F03E5">
        <w:rPr>
          <w:u w:val="single"/>
        </w:rPr>
        <w:t>sh</w:t>
      </w:r>
      <w:r w:rsidRPr="008F03E5">
        <w:t xml:space="preserve"> (1883–1933) who served as the first Minister of Court of Riẓá’ </w:t>
      </w:r>
      <w:r w:rsidRPr="008F03E5">
        <w:rPr>
          <w:u w:val="single"/>
        </w:rPr>
        <w:t>Sh</w:t>
      </w:r>
      <w:r w:rsidRPr="008F03E5">
        <w:t>áh from 1925 to 1932</w:t>
      </w:r>
    </w:p>
    <w:p w14:paraId="680AFD6A" w14:textId="77777777" w:rsidR="00625A5B" w:rsidRPr="008F03E5" w:rsidRDefault="00625A5B" w:rsidP="00F039E9">
      <w:pPr>
        <w:pStyle w:val="Translit"/>
      </w:pPr>
      <w:r w:rsidRPr="008F03E5">
        <w:t>Tayqan, Tayiqan, Daghan</w:t>
      </w:r>
      <w:r w:rsidRPr="008F03E5">
        <w:tab/>
        <w:t>Ṭáyqán and Ṭáyiqán</w:t>
      </w:r>
      <w:r w:rsidRPr="008F03E5">
        <w:tab/>
        <w:t xml:space="preserve">(also known as Dághán) is a village (34.490833, 50.697222) in Qom County, Qom Province.  It is 23 km </w:t>
      </w:r>
      <w:r w:rsidRPr="008F03E5">
        <w:rPr>
          <w:sz w:val="16"/>
          <w:szCs w:val="16"/>
        </w:rPr>
        <w:t>SW</w:t>
      </w:r>
      <w:r w:rsidRPr="008F03E5">
        <w:t xml:space="preserve"> of Qum.</w:t>
      </w:r>
    </w:p>
    <w:p w14:paraId="08A8CB57" w14:textId="77777777" w:rsidR="00625A5B" w:rsidRPr="008F03E5" w:rsidRDefault="00625A5B" w:rsidP="007A66AF">
      <w:pPr>
        <w:pStyle w:val="Translit"/>
      </w:pPr>
      <w:r w:rsidRPr="008F03E5">
        <w:t>Taysafun, Qataysfun, Tusfun</w:t>
      </w:r>
      <w:r w:rsidRPr="008F03E5">
        <w:tab/>
        <w:t>Ṭaysafún</w:t>
      </w:r>
      <w:r w:rsidRPr="008F03E5">
        <w:tab/>
        <w:t xml:space="preserve">Túsfún (Latin Ctesiphon), Arabicized in modern Arabic as Ṭaysafún (also Qaṭaysfún or al-Madá’in, </w:t>
      </w:r>
      <w:r w:rsidRPr="008F03E5">
        <w:rPr>
          <w:rtl/>
        </w:rPr>
        <w:t>"</w:t>
      </w:r>
      <w:r w:rsidRPr="008F03E5">
        <w:t>The Cities”, referring to Greater Ctesiphon).  Ctesiphon was an ancient city on the east bank of the Tigris River (the river has since moved), 30 km SE from the modern centre Ba</w:t>
      </w:r>
      <w:r w:rsidRPr="008F03E5">
        <w:rPr>
          <w:u w:val="single"/>
        </w:rPr>
        <w:t>gh</w:t>
      </w:r>
      <w:r w:rsidRPr="008F03E5">
        <w:t xml:space="preserve">dád.  Ctesiphon served as a royal capital of the Iranian empire in the Parthian and Sasanian eras for over eight hundred years.  Ctesiphon remained the capital of the Sasanian Empire until the Muslim conquest of Persia in </w:t>
      </w:r>
      <w:r w:rsidRPr="008F03E5">
        <w:rPr>
          <w:sz w:val="16"/>
          <w:szCs w:val="16"/>
        </w:rPr>
        <w:t>CE</w:t>
      </w:r>
      <w:r w:rsidRPr="008F03E5">
        <w:t xml:space="preserve"> 651.</w:t>
      </w:r>
    </w:p>
    <w:p w14:paraId="4E8D776F" w14:textId="77777777" w:rsidR="00625A5B" w:rsidRPr="008F03E5" w:rsidRDefault="00625A5B" w:rsidP="00D1658B">
      <w:pPr>
        <w:pStyle w:val="Translit"/>
        <w:rPr>
          <w:rFonts w:eastAsia="Times New Roman"/>
        </w:rPr>
      </w:pPr>
      <w:r w:rsidRPr="008F03E5">
        <w:t xml:space="preserve">Tayy </w:t>
      </w:r>
      <w:r>
        <w:t>(Taiy</w:t>
      </w:r>
      <w:r w:rsidRPr="008F03E5">
        <w:t>, Taies’</w:t>
      </w:r>
      <w:r>
        <w:t>)</w:t>
      </w:r>
      <w:r w:rsidRPr="008F03E5">
        <w:t>, Atwa’</w:t>
      </w:r>
      <w:r w:rsidRPr="008F03E5">
        <w:tab/>
        <w:t xml:space="preserve">Ṭayy, </w:t>
      </w:r>
      <w:r>
        <w:t xml:space="preserve">fem. </w:t>
      </w:r>
      <w:r w:rsidRPr="008F03E5">
        <w:t>Ṭayy</w:t>
      </w:r>
      <w:r>
        <w:t>a[h or t]</w:t>
      </w:r>
      <w:r>
        <w:tab/>
      </w:r>
      <w:r w:rsidRPr="008F03E5">
        <w:t xml:space="preserve">pl. </w:t>
      </w:r>
      <w:r>
        <w:t>a</w:t>
      </w:r>
      <w:r w:rsidRPr="008F03E5">
        <w:t>ṭwá’</w:t>
      </w:r>
      <w:r>
        <w:t xml:space="preserve">. fem. </w:t>
      </w:r>
      <w:r w:rsidRPr="003479D9">
        <w:t>ṭ</w:t>
      </w:r>
      <w:r>
        <w:t>ayy</w:t>
      </w:r>
      <w:r w:rsidRPr="003479D9">
        <w:t>á</w:t>
      </w:r>
      <w:r>
        <w:t xml:space="preserve">t.  </w:t>
      </w:r>
      <w:r w:rsidRPr="008F03E5">
        <w:t>(</w:t>
      </w:r>
      <w:r w:rsidRPr="008F03E5">
        <w:rPr>
          <w:rFonts w:eastAsia="Times New Roman"/>
        </w:rPr>
        <w:t>ṭayyi or taies’)</w:t>
      </w:r>
      <w:r w:rsidRPr="008F03E5">
        <w:t xml:space="preserve"> concealment, biding;—pl. fold, pleat.  Banú Ṭayy—a large and ancient Arabian tribe</w:t>
      </w:r>
      <w:r w:rsidRPr="008F03E5">
        <w:rPr>
          <w:rFonts w:eastAsia="Times New Roman"/>
        </w:rPr>
        <w:t xml:space="preserve">, whose descendants today are the widespread tribe of </w:t>
      </w:r>
      <w:r w:rsidRPr="008F03E5">
        <w:rPr>
          <w:rFonts w:eastAsia="Times New Roman"/>
          <w:u w:val="single"/>
        </w:rPr>
        <w:t>Sh</w:t>
      </w:r>
      <w:r w:rsidRPr="008F03E5">
        <w:rPr>
          <w:rFonts w:eastAsia="Times New Roman"/>
        </w:rPr>
        <w:t>ammar</w:t>
      </w:r>
      <w:r w:rsidRPr="008F03E5">
        <w:t xml:space="preserve">.  </w:t>
      </w:r>
      <w:r w:rsidRPr="008F03E5">
        <w:rPr>
          <w:rFonts w:eastAsia="Times New Roman"/>
        </w:rPr>
        <w:t xml:space="preserve">The nisba (patronymic) of </w:t>
      </w:r>
      <w:r w:rsidRPr="008F03E5">
        <w:t>Ṭ</w:t>
      </w:r>
      <w:r w:rsidRPr="008F03E5">
        <w:rPr>
          <w:rFonts w:eastAsia="Times New Roman"/>
        </w:rPr>
        <w:t>ayy is aṭ-Ṭá’</w:t>
      </w:r>
      <w:r>
        <w:rPr>
          <w:rFonts w:eastAsia="Times New Roman"/>
        </w:rPr>
        <w:t>i‘</w:t>
      </w:r>
      <w:r w:rsidRPr="008F03E5">
        <w:rPr>
          <w:rFonts w:eastAsia="Times New Roman"/>
        </w:rPr>
        <w:t>.</w:t>
      </w:r>
    </w:p>
    <w:p w14:paraId="242BCB52" w14:textId="77777777" w:rsidR="00625A5B" w:rsidRPr="008F03E5" w:rsidRDefault="00625A5B" w:rsidP="00710E90">
      <w:pPr>
        <w:pStyle w:val="Translit"/>
        <w:rPr>
          <w:rFonts w:eastAsia="PMingLiU"/>
          <w:lang w:eastAsia="zh-TW"/>
        </w:rPr>
      </w:pPr>
      <w:r w:rsidRPr="008F03E5">
        <w:rPr>
          <w:rFonts w:eastAsia="PMingLiU"/>
          <w:lang w:eastAsia="zh-TW"/>
        </w:rPr>
        <w:t xml:space="preserve">Tayyar, </w:t>
      </w:r>
      <w:r>
        <w:rPr>
          <w:rFonts w:eastAsia="PMingLiU"/>
          <w:lang w:eastAsia="zh-TW"/>
        </w:rPr>
        <w:t xml:space="preserve">Tayya, </w:t>
      </w:r>
      <w:r w:rsidRPr="008F03E5">
        <w:rPr>
          <w:rFonts w:eastAsia="PMingLiU"/>
          <w:lang w:eastAsia="zh-TW"/>
        </w:rPr>
        <w:t>Tayyarat</w:t>
      </w:r>
      <w:r w:rsidRPr="008F03E5">
        <w:rPr>
          <w:rFonts w:eastAsia="PMingLiU"/>
          <w:lang w:eastAsia="zh-TW"/>
        </w:rPr>
        <w:tab/>
        <w:t xml:space="preserve">Tayyár, </w:t>
      </w:r>
      <w:r>
        <w:rPr>
          <w:rFonts w:eastAsia="PMingLiU"/>
          <w:lang w:eastAsia="zh-TW"/>
        </w:rPr>
        <w:t xml:space="preserve">fem. Tayyara[h or t], </w:t>
      </w:r>
      <w:r w:rsidRPr="008F03E5">
        <w:rPr>
          <w:rFonts w:eastAsia="PMingLiU"/>
          <w:lang w:eastAsia="zh-TW"/>
        </w:rPr>
        <w:t>pl. Tayyárát</w:t>
      </w:r>
      <w:r w:rsidRPr="008F03E5">
        <w:rPr>
          <w:rFonts w:eastAsia="PMingLiU"/>
          <w:lang w:eastAsia="zh-TW"/>
        </w:rPr>
        <w:tab/>
        <w:t>flow, stream, course, current, flood; fall (of a stream); movement, tendency, trend; draft (of air)</w:t>
      </w:r>
    </w:p>
    <w:p w14:paraId="3F23D524" w14:textId="77777777" w:rsidR="00625A5B" w:rsidRPr="008F03E5" w:rsidRDefault="00625A5B" w:rsidP="00710E90">
      <w:pPr>
        <w:pStyle w:val="Translit"/>
      </w:pPr>
      <w:r w:rsidRPr="008F03E5">
        <w:t xml:space="preserve">Tayyar, </w:t>
      </w:r>
      <w:r>
        <w:t xml:space="preserve">Tayyara, Tayyarat, </w:t>
      </w:r>
      <w:r w:rsidRPr="008F03E5">
        <w:t>Tayyarun</w:t>
      </w:r>
      <w:r w:rsidRPr="008F03E5">
        <w:tab/>
        <w:t>Ṭayyár, pl. Ṭayyárún</w:t>
      </w:r>
      <w:r w:rsidRPr="008F03E5">
        <w:tab/>
      </w:r>
      <w:r>
        <w:t xml:space="preserve">(fem. </w:t>
      </w:r>
      <w:r w:rsidRPr="008F03E5">
        <w:t>Ṭayyár</w:t>
      </w:r>
      <w:r>
        <w:t xml:space="preserve">a[h or t], pl. </w:t>
      </w:r>
      <w:r w:rsidRPr="008F03E5">
        <w:t>Ṭayyár</w:t>
      </w:r>
      <w:r w:rsidRPr="00710E90">
        <w:t>á</w:t>
      </w:r>
      <w:r>
        <w:t xml:space="preserve">t) </w:t>
      </w:r>
      <w:r w:rsidRPr="008F03E5">
        <w:t>flying; evanescent, fleeting; volatile (liquid); floating, wafting, hovering;—pl. flyer, aviator, pilot.  Ja‘far ibn Abí Ṭálib (c. 590–629), known as Ja‘far aṭ-Ṭayyár (literally ‘Ja‘far the Flyer [of Heaven]’)</w:t>
      </w:r>
      <w:r>
        <w:t xml:space="preserve"> after he was martyred.  He</w:t>
      </w:r>
      <w:r w:rsidRPr="008F03E5">
        <w:t xml:space="preserve"> was a companion </w:t>
      </w:r>
      <w:r>
        <w:t xml:space="preserve">and cousin </w:t>
      </w:r>
      <w:r w:rsidRPr="008F03E5">
        <w:t>of Mu</w:t>
      </w:r>
      <w:r w:rsidRPr="00A7366A">
        <w:t>ḥ</w:t>
      </w:r>
      <w:r w:rsidRPr="008F03E5">
        <w:t>ammad, and an older brother of Imám ‘Alí.  He was the second-in-command at the Battle of Mu’tah, where it is related that both of his arms were hacked off while holding aloft the standard</w:t>
      </w:r>
      <w:r>
        <w:t xml:space="preserve">.  Muḥammad taught the </w:t>
      </w:r>
      <w:r w:rsidRPr="008F03E5">
        <w:t>Ja‘far aṭ-Ṭayyár</w:t>
      </w:r>
      <w:r>
        <w:t xml:space="preserve"> Prayer (</w:t>
      </w:r>
      <w:r w:rsidRPr="00C417A5">
        <w:t>recommended for the forgiveness of one</w:t>
      </w:r>
      <w:r>
        <w:t>’</w:t>
      </w:r>
      <w:r w:rsidRPr="00C417A5">
        <w:t>s sins and the divine response to one</w:t>
      </w:r>
      <w:r>
        <w:t>’</w:t>
      </w:r>
      <w:r w:rsidRPr="00C417A5">
        <w:t>s needs and requests</w:t>
      </w:r>
      <w:r>
        <w:t xml:space="preserve">) to </w:t>
      </w:r>
      <w:r w:rsidRPr="008F03E5">
        <w:t>Ja‘far ibn Abí Ṭálib</w:t>
      </w:r>
      <w:r>
        <w:t>.</w:t>
      </w:r>
    </w:p>
    <w:p w14:paraId="5CB4A370" w14:textId="77777777" w:rsidR="00625A5B" w:rsidRPr="008F03E5" w:rsidRDefault="00625A5B" w:rsidP="008636FA">
      <w:pPr>
        <w:pStyle w:val="Translit"/>
        <w:rPr>
          <w:rFonts w:eastAsia="PMingLiU"/>
          <w:lang w:eastAsia="zh-TW"/>
        </w:rPr>
      </w:pPr>
      <w:r w:rsidRPr="008F03E5">
        <w:rPr>
          <w:rFonts w:eastAsia="PMingLiU"/>
          <w:lang w:eastAsia="zh-TW"/>
        </w:rPr>
        <w:t>Tayyib (Taiyib), Tayyiba, Tayyibih</w:t>
      </w:r>
      <w:r w:rsidRPr="008F03E5">
        <w:tab/>
        <w:t>Ṭ</w:t>
      </w:r>
      <w:r w:rsidRPr="008F03E5">
        <w:rPr>
          <w:rFonts w:eastAsia="PMingLiU"/>
          <w:lang w:eastAsia="zh-TW"/>
        </w:rPr>
        <w:t xml:space="preserve">ayyib, fem. </w:t>
      </w:r>
      <w:r w:rsidRPr="008F03E5">
        <w:t>Ṭ</w:t>
      </w:r>
      <w:r w:rsidRPr="008F03E5">
        <w:rPr>
          <w:rFonts w:eastAsia="PMingLiU"/>
          <w:lang w:eastAsia="zh-TW"/>
        </w:rPr>
        <w:t xml:space="preserve">ayyiba[h or t], pl. </w:t>
      </w:r>
      <w:r w:rsidRPr="008F03E5">
        <w:t>Ṭ</w:t>
      </w:r>
      <w:r w:rsidRPr="008F03E5">
        <w:rPr>
          <w:rFonts w:eastAsia="Times New Roman"/>
        </w:rPr>
        <w:t>ayyibát</w:t>
      </w:r>
      <w:r w:rsidRPr="008F03E5">
        <w:tab/>
        <w:t>good; pleasant, agreeable; delicious; gay; well-disposed, friendly, kindly; well, in good health</w:t>
      </w:r>
    </w:p>
    <w:p w14:paraId="18EEE5F8" w14:textId="77777777" w:rsidR="00625A5B" w:rsidRDefault="00625A5B" w:rsidP="00A821C1">
      <w:pPr>
        <w:pStyle w:val="Translit"/>
        <w:rPr>
          <w:rFonts w:eastAsia="PMingLiU"/>
          <w:lang w:eastAsia="zh-TW"/>
        </w:rPr>
      </w:pPr>
      <w:r w:rsidRPr="00D1658B">
        <w:t xml:space="preserve">Tayyu’l-Ard </w:t>
      </w:r>
      <w:r>
        <w:t>(</w:t>
      </w:r>
      <w:r w:rsidRPr="00D1658B">
        <w:t>T</w:t>
      </w:r>
      <w:r>
        <w:t>i</w:t>
      </w:r>
      <w:r w:rsidRPr="00D1658B">
        <w:t>yyu’l-Ard</w:t>
      </w:r>
      <w:r>
        <w:t>)</w:t>
      </w:r>
      <w:r>
        <w:tab/>
      </w:r>
      <w:r w:rsidRPr="00D1658B">
        <w:t>Ṭ</w:t>
      </w:r>
      <w:r>
        <w:rPr>
          <w:rFonts w:eastAsia="PMingLiU"/>
          <w:lang w:eastAsia="zh-TW"/>
        </w:rPr>
        <w:t>a</w:t>
      </w:r>
      <w:r w:rsidRPr="00D1658B">
        <w:rPr>
          <w:rFonts w:eastAsia="PMingLiU"/>
          <w:lang w:eastAsia="zh-TW"/>
        </w:rPr>
        <w:t>yyu’l-Ar</w:t>
      </w:r>
      <w:r w:rsidRPr="00D1658B">
        <w:t>ḍ</w:t>
      </w:r>
      <w:r>
        <w:tab/>
        <w:t>literally, “folding [up] the earth”</w:t>
      </w:r>
      <w:r w:rsidRPr="00D1658B">
        <w:t xml:space="preserve"> or </w:t>
      </w:r>
      <w:r>
        <w:t>“</w:t>
      </w:r>
      <w:r w:rsidRPr="00D1658B">
        <w:t>covering long distances in the twinkling of an eye</w:t>
      </w:r>
      <w:r>
        <w:t xml:space="preserve">”.  Name used </w:t>
      </w:r>
      <w:r w:rsidRPr="00D1658B">
        <w:t xml:space="preserve">for </w:t>
      </w:r>
      <w:r>
        <w:t>miraculous</w:t>
      </w:r>
      <w:r w:rsidRPr="00D1658B">
        <w:t xml:space="preserve"> teleportation </w:t>
      </w:r>
      <w:r>
        <w:t xml:space="preserve">[“miracle”] </w:t>
      </w:r>
      <w:r w:rsidRPr="00D1658B">
        <w:t xml:space="preserve">in the mystical form of Islam and Islamic philosophy. </w:t>
      </w:r>
      <w:r>
        <w:t xml:space="preserve"> Also </w:t>
      </w:r>
      <w:r w:rsidRPr="00D1658B">
        <w:t xml:space="preserve">expressed as </w:t>
      </w:r>
      <w:r>
        <w:t>“</w:t>
      </w:r>
      <w:r w:rsidRPr="00D1658B">
        <w:t>traversing the earth without moving</w:t>
      </w:r>
      <w:r>
        <w:t>”</w:t>
      </w:r>
      <w:r w:rsidRPr="00D1658B">
        <w:t>.</w:t>
      </w:r>
    </w:p>
    <w:p w14:paraId="1FF90C40" w14:textId="77777777" w:rsidR="00625A5B" w:rsidRPr="008F03E5" w:rsidRDefault="00625A5B" w:rsidP="00407633">
      <w:pPr>
        <w:pStyle w:val="Translit"/>
      </w:pPr>
      <w:r w:rsidRPr="008F03E5">
        <w:t>Tazayyun</w:t>
      </w:r>
      <w:r w:rsidRPr="008F03E5">
        <w:tab/>
        <w:t>Tazayyun</w:t>
      </w:r>
      <w:r w:rsidRPr="008F03E5">
        <w:tab/>
        <w:t>being adorned.  See Tazyín</w:t>
      </w:r>
    </w:p>
    <w:p w14:paraId="3057ACB9" w14:textId="77777777" w:rsidR="00625A5B" w:rsidRPr="008F03E5" w:rsidRDefault="00625A5B" w:rsidP="0096590E">
      <w:pPr>
        <w:pStyle w:val="Translit"/>
      </w:pPr>
      <w:r w:rsidRPr="008F03E5">
        <w:t>Tazkiya</w:t>
      </w:r>
      <w:r w:rsidRPr="008F03E5">
        <w:tab/>
        <w:t>Tazkiya</w:t>
      </w:r>
      <w:r w:rsidRPr="008F03E5">
        <w:tab/>
        <w:t>purification, chastening; pronouncement of someone’s integrity or credibility; attestation of (a witness’) honourable record (Islamic Law).  Alludes to Tazkiyah a</w:t>
      </w:r>
      <w:r>
        <w:t>n</w:t>
      </w:r>
      <w:r w:rsidRPr="008F03E5">
        <w:t>-Nafs (purification of the self)</w:t>
      </w:r>
    </w:p>
    <w:p w14:paraId="2E89F4E6" w14:textId="77777777" w:rsidR="00625A5B" w:rsidRPr="008F03E5" w:rsidRDefault="00625A5B" w:rsidP="00184A1D">
      <w:pPr>
        <w:pStyle w:val="Translit"/>
      </w:pPr>
      <w:r w:rsidRPr="008F03E5">
        <w:t>Tazyin</w:t>
      </w:r>
      <w:r w:rsidRPr="008F03E5">
        <w:tab/>
        <w:t>Tazyín</w:t>
      </w:r>
      <w:r w:rsidRPr="008F03E5">
        <w:tab/>
        <w:t>adorning, decoration, ornamentation; make-believe, sham, pretence.  See Zína</w:t>
      </w:r>
    </w:p>
    <w:p w14:paraId="7D84DE2A" w14:textId="77777777" w:rsidR="00625A5B" w:rsidRPr="008F03E5" w:rsidRDefault="00625A5B" w:rsidP="00900A82">
      <w:pPr>
        <w:pStyle w:val="Translit"/>
      </w:pPr>
      <w:r w:rsidRPr="008F03E5">
        <w:t>Templers</w:t>
      </w:r>
      <w:r w:rsidRPr="008F03E5">
        <w:tab/>
      </w:r>
      <w:r w:rsidRPr="008F03E5">
        <w:tab/>
        <w:t>The German Templer colony was established by German Protestants at the foot of Mount Carmel.  The Templers settled at Haifa in the firm belief that the second coming of Jesus Christ would shortly occur on Mount Carmel.  Their first members arrived in 1863 and the colony was established in 1868, the same year in which Bahá’u’lláh reached the Holy Land.</w:t>
      </w:r>
    </w:p>
    <w:p w14:paraId="6D4BDD74" w14:textId="77777777" w:rsidR="00625A5B" w:rsidRPr="008F03E5" w:rsidRDefault="00625A5B" w:rsidP="001D3982">
      <w:pPr>
        <w:pStyle w:val="Myhead"/>
        <w:rPr>
          <w:u w:val="single"/>
        </w:rPr>
      </w:pPr>
      <w:r w:rsidRPr="008F03E5">
        <w:rPr>
          <w:u w:val="single"/>
        </w:rPr>
        <w:t>Th</w:t>
      </w:r>
      <w:bookmarkStart w:id="143" w:name="Th"/>
      <w:bookmarkEnd w:id="143"/>
    </w:p>
    <w:p w14:paraId="127B9012" w14:textId="77777777" w:rsidR="00625A5B" w:rsidRPr="008F03E5" w:rsidRDefault="00625A5B" w:rsidP="00900A82">
      <w:pPr>
        <w:pStyle w:val="Translit"/>
      </w:pPr>
      <w:r w:rsidRPr="008F03E5">
        <w:t>Tha</w:t>
      </w:r>
      <w:r w:rsidRPr="008F03E5">
        <w:tab/>
      </w:r>
      <w:r w:rsidRPr="008F03E5">
        <w:rPr>
          <w:u w:val="single"/>
        </w:rPr>
        <w:t>Th</w:t>
      </w:r>
      <w:r w:rsidRPr="008F03E5">
        <w:t>á’</w:t>
      </w:r>
      <w:r w:rsidRPr="008F03E5">
        <w:tab/>
        <w:t>Arabic letter</w:t>
      </w:r>
    </w:p>
    <w:p w14:paraId="2952CFCB" w14:textId="77777777" w:rsidR="00625A5B" w:rsidRPr="008F03E5" w:rsidRDefault="00625A5B" w:rsidP="004422D0">
      <w:pPr>
        <w:pStyle w:val="Translit"/>
      </w:pPr>
      <w:r w:rsidRPr="008F03E5">
        <w:t>Tha’lab, Tha’laba, Tha’alib</w:t>
      </w:r>
      <w:r w:rsidRPr="008F03E5">
        <w:tab/>
      </w:r>
      <w:r w:rsidRPr="008F03E5">
        <w:rPr>
          <w:u w:val="single"/>
        </w:rPr>
        <w:t>Th</w:t>
      </w:r>
      <w:r w:rsidRPr="008F03E5">
        <w:t xml:space="preserve">a‘lab, fem. </w:t>
      </w:r>
      <w:r w:rsidRPr="008F03E5">
        <w:rPr>
          <w:u w:val="single"/>
        </w:rPr>
        <w:t>Th</w:t>
      </w:r>
      <w:r w:rsidRPr="008F03E5">
        <w:t xml:space="preserve">a‘laba[h or t], pl. </w:t>
      </w:r>
      <w:r w:rsidRPr="008F03E5">
        <w:rPr>
          <w:u w:val="single"/>
        </w:rPr>
        <w:t>Th</w:t>
      </w:r>
      <w:r w:rsidRPr="008F03E5">
        <w:t>a‘álib</w:t>
      </w:r>
      <w:r w:rsidRPr="008F03E5">
        <w:tab/>
        <w:t xml:space="preserve">fox (fem. vixen).  Banú </w:t>
      </w:r>
      <w:r w:rsidRPr="008F03E5">
        <w:rPr>
          <w:u w:val="single"/>
        </w:rPr>
        <w:t>Th</w:t>
      </w:r>
      <w:r w:rsidRPr="008F03E5">
        <w:t xml:space="preserve">a‘labah, a tribe involved in many military conflicts with Muḥammad.  Barakah bint </w:t>
      </w:r>
      <w:r w:rsidRPr="008F03E5">
        <w:rPr>
          <w:u w:val="single"/>
        </w:rPr>
        <w:t>Th</w:t>
      </w:r>
      <w:r w:rsidRPr="008F03E5">
        <w:t>a‘alaba, commonly known by her kunya Umm Ayman, was an early Muslim and companion of Muḥammad.</w:t>
      </w:r>
    </w:p>
    <w:p w14:paraId="68FA5CA2" w14:textId="77777777" w:rsidR="00625A5B" w:rsidRPr="008F03E5" w:rsidRDefault="00625A5B" w:rsidP="00281F3B">
      <w:pPr>
        <w:pStyle w:val="Translit"/>
      </w:pPr>
      <w:r w:rsidRPr="008F03E5">
        <w:t>Tha’labi</w:t>
      </w:r>
      <w:r w:rsidRPr="008F03E5">
        <w:tab/>
      </w:r>
      <w:r w:rsidRPr="008F03E5">
        <w:rPr>
          <w:u w:val="single"/>
        </w:rPr>
        <w:t>Th</w:t>
      </w:r>
      <w:r w:rsidRPr="008F03E5">
        <w:t>a‘labí</w:t>
      </w:r>
      <w:r w:rsidRPr="008F03E5">
        <w:tab/>
        <w:t>foxy, foxlike.  Abú Isḥáq Aḥmad ibn Muḥammad ibn Ibráhím a</w:t>
      </w:r>
      <w:r w:rsidRPr="00281F3B">
        <w:rPr>
          <w:u w:val="single"/>
        </w:rPr>
        <w:t>th</w:t>
      </w:r>
      <w:r w:rsidRPr="008F03E5">
        <w:t>-</w:t>
      </w:r>
      <w:r w:rsidRPr="008F03E5">
        <w:rPr>
          <w:u w:val="single"/>
        </w:rPr>
        <w:t>Th</w:t>
      </w:r>
      <w:r w:rsidRPr="008F03E5">
        <w:t xml:space="preserve">a‘labí was an 11th-century Islamic scholar of Persian origin and a foremost Kúfí grammarian.  See </w:t>
      </w:r>
      <w:r w:rsidRPr="008F03E5">
        <w:rPr>
          <w:u w:val="single"/>
        </w:rPr>
        <w:t>Kh</w:t>
      </w:r>
      <w:r w:rsidRPr="008F03E5">
        <w:t>átam</w:t>
      </w:r>
    </w:p>
    <w:p w14:paraId="67C0B467" w14:textId="77777777" w:rsidR="00625A5B" w:rsidRPr="008F03E5" w:rsidRDefault="00625A5B" w:rsidP="000C2D3D">
      <w:pPr>
        <w:pStyle w:val="Translit"/>
      </w:pPr>
      <w:r w:rsidRPr="008F03E5">
        <w:t>Thabit (Sabit, Sabet)</w:t>
      </w:r>
      <w:r w:rsidRPr="008F03E5">
        <w:tab/>
      </w:r>
      <w:r w:rsidRPr="008F03E5">
        <w:rPr>
          <w:u w:val="single"/>
        </w:rPr>
        <w:t>Th</w:t>
      </w:r>
      <w:r w:rsidRPr="008F03E5">
        <w:t>ábit</w:t>
      </w:r>
      <w:r w:rsidRPr="008F03E5">
        <w:tab/>
        <w:t xml:space="preserve">firm, fixed, established, steadfast; stationary, immovable; steady, invariable, constant, stable; permanent, lasting, durable, enduring; confirmed, proven; a constant.  Bahá’ís who accepted ‘Abdu’l-Bahá after death of Bahá’u’lláh described themselves as </w:t>
      </w:r>
      <w:r w:rsidRPr="008F03E5">
        <w:rPr>
          <w:u w:val="single"/>
        </w:rPr>
        <w:t>th</w:t>
      </w:r>
      <w:r w:rsidRPr="008F03E5">
        <w:t xml:space="preserve">ábit.  Name given to Thornton Chase by ‘Abdu’l-Bahá.  Ḥabíb </w:t>
      </w:r>
      <w:r w:rsidRPr="008F03E5">
        <w:rPr>
          <w:u w:val="single"/>
        </w:rPr>
        <w:t>Th</w:t>
      </w:r>
      <w:r w:rsidRPr="008F03E5">
        <w:t>ábit</w:t>
      </w:r>
      <w:r w:rsidRPr="008F03E5">
        <w:rPr>
          <w:rFonts w:eastAsia="MS Mincho"/>
        </w:rPr>
        <w:t xml:space="preserve"> </w:t>
      </w:r>
      <w:r w:rsidRPr="008F03E5">
        <w:t xml:space="preserve">(Habíb Sábet) (1903–1990) wealthy Bahá’í entrepreneur and industrialist.  See </w:t>
      </w:r>
      <w:r w:rsidRPr="008F03E5">
        <w:rPr>
          <w:rFonts w:eastAsia="PMingLiU"/>
          <w:lang w:eastAsia="zh-TW"/>
        </w:rPr>
        <w:t>m</w:t>
      </w:r>
      <w:r w:rsidRPr="008F03E5">
        <w:t>u</w:t>
      </w:r>
      <w:r w:rsidRPr="008F03E5">
        <w:rPr>
          <w:u w:val="single"/>
        </w:rPr>
        <w:t>sh</w:t>
      </w:r>
      <w:r w:rsidRPr="008F03E5">
        <w:t xml:space="preserve">rikún and </w:t>
      </w:r>
      <w:r w:rsidRPr="008F03E5">
        <w:rPr>
          <w:rFonts w:eastAsia="PMingLiU"/>
          <w:lang w:eastAsia="zh-TW"/>
        </w:rPr>
        <w:t>muwa</w:t>
      </w:r>
      <w:r w:rsidRPr="008F03E5">
        <w:t>ḥḥ</w:t>
      </w:r>
      <w:r w:rsidRPr="008F03E5">
        <w:rPr>
          <w:rFonts w:eastAsia="PMingLiU"/>
          <w:lang w:eastAsia="zh-TW"/>
        </w:rPr>
        <w:t>id</w:t>
      </w:r>
      <w:r w:rsidRPr="008F03E5">
        <w:t>ú</w:t>
      </w:r>
      <w:r w:rsidRPr="008F03E5">
        <w:rPr>
          <w:rFonts w:eastAsia="PMingLiU"/>
          <w:lang w:eastAsia="zh-TW"/>
        </w:rPr>
        <w:t>n</w:t>
      </w:r>
      <w:r w:rsidRPr="008F03E5">
        <w:t>.</w:t>
      </w:r>
    </w:p>
    <w:p w14:paraId="66D5AF6E" w14:textId="77777777" w:rsidR="00625A5B" w:rsidRPr="008F03E5" w:rsidRDefault="00625A5B" w:rsidP="00620A22">
      <w:pPr>
        <w:pStyle w:val="Translit"/>
      </w:pPr>
      <w:r w:rsidRPr="008F03E5">
        <w:t>Thabit al-Ja’sh</w:t>
      </w:r>
      <w:r w:rsidRPr="008F03E5">
        <w:tab/>
      </w:r>
      <w:r w:rsidRPr="008F03E5">
        <w:rPr>
          <w:u w:val="single"/>
        </w:rPr>
        <w:t>Th</w:t>
      </w:r>
      <w:r w:rsidRPr="008F03E5">
        <w:t>ábit al-Ja’</w:t>
      </w:r>
      <w:r w:rsidRPr="008F03E5">
        <w:rPr>
          <w:u w:val="single"/>
        </w:rPr>
        <w:t>sh</w:t>
      </w:r>
      <w:r w:rsidRPr="008F03E5">
        <w:tab/>
        <w:t>undismayed, fearless, staunch, steadfast</w:t>
      </w:r>
    </w:p>
    <w:p w14:paraId="2EB7EAE6" w14:textId="77777777" w:rsidR="00625A5B" w:rsidRPr="008F03E5" w:rsidRDefault="00625A5B" w:rsidP="004F0BCD">
      <w:pPr>
        <w:pStyle w:val="Translit"/>
      </w:pPr>
      <w:r w:rsidRPr="001457C8">
        <w:rPr>
          <w:lang w:val="fr-FR"/>
        </w:rPr>
        <w:t>Thabita (Sabita), Thawabit</w:t>
      </w:r>
      <w:r w:rsidRPr="001457C8">
        <w:rPr>
          <w:lang w:val="fr-FR"/>
        </w:rPr>
        <w:tab/>
      </w:r>
      <w:r w:rsidRPr="001457C8">
        <w:rPr>
          <w:u w:val="single"/>
          <w:lang w:val="fr-FR"/>
        </w:rPr>
        <w:t>Th</w:t>
      </w:r>
      <w:r w:rsidRPr="001457C8">
        <w:rPr>
          <w:lang w:val="fr-FR"/>
        </w:rPr>
        <w:t xml:space="preserve">ábita[h or t], pl. </w:t>
      </w:r>
      <w:r w:rsidRPr="008F03E5">
        <w:rPr>
          <w:u w:val="single"/>
        </w:rPr>
        <w:t>Th</w:t>
      </w:r>
      <w:r w:rsidRPr="008F03E5">
        <w:t>awábit</w:t>
      </w:r>
      <w:r w:rsidRPr="008F03E5">
        <w:tab/>
        <w:t xml:space="preserve">(fem. of </w:t>
      </w:r>
      <w:r w:rsidRPr="008F03E5">
        <w:rPr>
          <w:u w:val="single"/>
        </w:rPr>
        <w:t>th</w:t>
      </w:r>
      <w:r w:rsidRPr="008F03E5">
        <w:t>ábit) fixed star; fixture, fixed, firm; deep-rooted, established</w:t>
      </w:r>
    </w:p>
    <w:p w14:paraId="60BB4E86" w14:textId="77777777" w:rsidR="00625A5B" w:rsidRPr="008F03E5" w:rsidRDefault="00625A5B" w:rsidP="00925F66">
      <w:pPr>
        <w:pStyle w:val="Translit"/>
      </w:pPr>
      <w:r w:rsidRPr="008F03E5">
        <w:t>Thabitin</w:t>
      </w:r>
      <w:r w:rsidRPr="008F03E5">
        <w:tab/>
      </w:r>
      <w:r w:rsidRPr="008F03E5">
        <w:rPr>
          <w:u w:val="single"/>
        </w:rPr>
        <w:t>Th</w:t>
      </w:r>
      <w:r w:rsidRPr="008F03E5">
        <w:t>ábitín</w:t>
      </w:r>
      <w:r w:rsidRPr="008F03E5">
        <w:tab/>
        <w:t>the steadfast</w:t>
      </w:r>
    </w:p>
    <w:p w14:paraId="0CC043C6" w14:textId="77777777" w:rsidR="00625A5B" w:rsidRPr="008F03E5" w:rsidRDefault="00625A5B" w:rsidP="00900A82">
      <w:pPr>
        <w:pStyle w:val="Translit"/>
        <w:rPr>
          <w:rFonts w:eastAsia="PMingLiU"/>
          <w:lang w:eastAsia="zh-TW"/>
        </w:rPr>
      </w:pPr>
      <w:r w:rsidRPr="008F03E5">
        <w:rPr>
          <w:rFonts w:eastAsia="PMingLiU"/>
          <w:lang w:eastAsia="zh-TW"/>
        </w:rPr>
        <w:t>Thabit-Rasikh</w:t>
      </w:r>
      <w:r w:rsidRPr="008F03E5">
        <w:tab/>
      </w:r>
      <w:r w:rsidRPr="008F03E5">
        <w:rPr>
          <w:u w:val="single"/>
        </w:rPr>
        <w:t>Th</w:t>
      </w:r>
      <w:r w:rsidRPr="008F03E5">
        <w:rPr>
          <w:rFonts w:eastAsia="PMingLiU"/>
          <w:lang w:eastAsia="zh-TW"/>
        </w:rPr>
        <w:t>ábit-Rási</w:t>
      </w:r>
      <w:r w:rsidRPr="008F03E5">
        <w:rPr>
          <w:u w:val="single"/>
        </w:rPr>
        <w:t>kh</w:t>
      </w:r>
      <w:r w:rsidRPr="008F03E5">
        <w:tab/>
      </w:r>
    </w:p>
    <w:p w14:paraId="46F4B548" w14:textId="77777777" w:rsidR="00625A5B" w:rsidRPr="008F03E5" w:rsidRDefault="00625A5B" w:rsidP="00900A82">
      <w:pPr>
        <w:pStyle w:val="Translit"/>
        <w:rPr>
          <w:rFonts w:eastAsia="PMingLiU"/>
          <w:lang w:eastAsia="zh-TW"/>
        </w:rPr>
      </w:pPr>
      <w:r w:rsidRPr="008F03E5">
        <w:rPr>
          <w:rFonts w:eastAsia="PMingLiU"/>
          <w:lang w:eastAsia="zh-TW"/>
        </w:rPr>
        <w:t>Thabit-Sarvistani</w:t>
      </w:r>
      <w:r w:rsidRPr="008F03E5">
        <w:tab/>
      </w:r>
      <w:r w:rsidRPr="008F03E5">
        <w:rPr>
          <w:u w:val="single"/>
        </w:rPr>
        <w:t>Th</w:t>
      </w:r>
      <w:r w:rsidRPr="008F03E5">
        <w:rPr>
          <w:rFonts w:eastAsia="PMingLiU"/>
          <w:lang w:eastAsia="zh-TW"/>
        </w:rPr>
        <w:t>ábit-Sarvistání</w:t>
      </w:r>
      <w:r w:rsidRPr="008F03E5">
        <w:tab/>
      </w:r>
    </w:p>
    <w:p w14:paraId="34DB6765" w14:textId="77777777" w:rsidR="00625A5B" w:rsidRPr="008F03E5" w:rsidRDefault="00625A5B" w:rsidP="00E548F7">
      <w:pPr>
        <w:pStyle w:val="Translit"/>
      </w:pPr>
      <w:r w:rsidRPr="008F03E5">
        <w:t>Thalith al-Haramayn</w:t>
      </w:r>
      <w:r w:rsidRPr="008F03E5">
        <w:tab/>
      </w:r>
      <w:r w:rsidRPr="008F03E5">
        <w:rPr>
          <w:u w:val="single"/>
        </w:rPr>
        <w:t>Th</w:t>
      </w:r>
      <w:r w:rsidRPr="008F03E5">
        <w:t>áli</w:t>
      </w:r>
      <w:r w:rsidRPr="008F03E5">
        <w:rPr>
          <w:u w:val="single"/>
        </w:rPr>
        <w:t>th</w:t>
      </w:r>
      <w:r w:rsidRPr="008F03E5">
        <w:t xml:space="preserve"> al-Ḥaramayn</w:t>
      </w:r>
      <w:r w:rsidRPr="008F03E5">
        <w:tab/>
        <w:t>third Holy Place (after Mecca and Medina), i.e. Jerusalem.  (“Thalith al-Haramain”)</w:t>
      </w:r>
    </w:p>
    <w:p w14:paraId="601A582B" w14:textId="77777777" w:rsidR="00625A5B" w:rsidRPr="008F03E5" w:rsidRDefault="00625A5B" w:rsidP="00114824">
      <w:pPr>
        <w:pStyle w:val="Translit"/>
      </w:pPr>
      <w:r w:rsidRPr="008F03E5">
        <w:t>Thalith, Thalithan</w:t>
      </w:r>
      <w:r w:rsidRPr="008F03E5">
        <w:tab/>
        <w:t>a</w:t>
      </w:r>
      <w:r w:rsidRPr="008F03E5">
        <w:rPr>
          <w:u w:val="single"/>
        </w:rPr>
        <w:t>th</w:t>
      </w:r>
      <w:r w:rsidRPr="008F03E5">
        <w:t>-</w:t>
      </w:r>
      <w:r w:rsidRPr="008F03E5">
        <w:rPr>
          <w:u w:val="single"/>
        </w:rPr>
        <w:t>Th</w:t>
      </w:r>
      <w:r w:rsidRPr="008F03E5">
        <w:t>áli</w:t>
      </w:r>
      <w:r w:rsidRPr="008F03E5">
        <w:rPr>
          <w:u w:val="single"/>
        </w:rPr>
        <w:t>th</w:t>
      </w:r>
      <w:r w:rsidRPr="008F03E5">
        <w:tab/>
        <w:t xml:space="preserve">the third; </w:t>
      </w:r>
      <w:r w:rsidRPr="008F03E5">
        <w:rPr>
          <w:u w:val="single"/>
        </w:rPr>
        <w:t>th</w:t>
      </w:r>
      <w:r w:rsidRPr="008F03E5">
        <w:t>áli</w:t>
      </w:r>
      <w:r w:rsidRPr="008F03E5">
        <w:rPr>
          <w:u w:val="single"/>
        </w:rPr>
        <w:t>th</w:t>
      </w:r>
      <w:r w:rsidRPr="008F03E5">
        <w:t>an thirdly</w:t>
      </w:r>
    </w:p>
    <w:p w14:paraId="6DB55896" w14:textId="77777777" w:rsidR="00625A5B" w:rsidRPr="008F03E5" w:rsidRDefault="00625A5B" w:rsidP="005E5E3A">
      <w:pPr>
        <w:pStyle w:val="Translit"/>
      </w:pPr>
      <w:r w:rsidRPr="008F03E5">
        <w:t>Thamanun, Thamanin</w:t>
      </w:r>
      <w:r w:rsidRPr="008F03E5">
        <w:tab/>
      </w:r>
      <w:r w:rsidRPr="008F03E5">
        <w:rPr>
          <w:u w:val="single"/>
        </w:rPr>
        <w:t>Th</w:t>
      </w:r>
      <w:r w:rsidRPr="008F03E5">
        <w:t xml:space="preserve">amánún, Pers. </w:t>
      </w:r>
      <w:r w:rsidRPr="008F03E5">
        <w:rPr>
          <w:u w:val="single"/>
        </w:rPr>
        <w:t>Th</w:t>
      </w:r>
      <w:r w:rsidRPr="008F03E5">
        <w:t>amánín</w:t>
      </w:r>
      <w:r w:rsidRPr="008F03E5">
        <w:tab/>
        <w:t xml:space="preserve">eighty (symbolic of </w:t>
      </w:r>
      <w:r w:rsidRPr="008F03E5">
        <w:rPr>
          <w:sz w:val="16"/>
          <w:szCs w:val="16"/>
        </w:rPr>
        <w:t>AH</w:t>
      </w:r>
      <w:r w:rsidRPr="008F03E5">
        <w:t xml:space="preserve"> 1280/</w:t>
      </w:r>
      <w:r w:rsidRPr="008F03E5">
        <w:rPr>
          <w:sz w:val="16"/>
          <w:szCs w:val="16"/>
        </w:rPr>
        <w:t>CE</w:t>
      </w:r>
      <w:r w:rsidRPr="008F03E5">
        <w:t xml:space="preserve"> 1863).  T</w:t>
      </w:r>
      <w:r w:rsidRPr="008F03E5">
        <w:rPr>
          <w:rFonts w:eastAsia="Times New Roman"/>
        </w:rPr>
        <w:t xml:space="preserve">he city of Noah since, when he built it on leaving the Ark, he had eighty companions. </w:t>
      </w:r>
      <w:r w:rsidRPr="008F03E5">
        <w:t xml:space="preserve"> See sittín.</w:t>
      </w:r>
    </w:p>
    <w:p w14:paraId="61147311" w14:textId="77777777" w:rsidR="00625A5B" w:rsidRPr="00273BB7" w:rsidRDefault="00625A5B" w:rsidP="00273BB7">
      <w:pPr>
        <w:pStyle w:val="Translit"/>
        <w:rPr>
          <w:rFonts w:eastAsia="Times New Roman"/>
        </w:rPr>
      </w:pPr>
      <w:r w:rsidRPr="008F03E5">
        <w:t>Thamar, Thimar, Athmar</w:t>
      </w:r>
      <w:r w:rsidRPr="008F03E5">
        <w:tab/>
      </w:r>
      <w:r w:rsidRPr="008F03E5">
        <w:rPr>
          <w:u w:val="single"/>
        </w:rPr>
        <w:t>Th</w:t>
      </w:r>
      <w:r w:rsidRPr="008F03E5">
        <w:t xml:space="preserve">amar, pl. </w:t>
      </w:r>
      <w:r w:rsidRPr="008F03E5">
        <w:rPr>
          <w:u w:val="single"/>
        </w:rPr>
        <w:t>Th</w:t>
      </w:r>
      <w:r w:rsidRPr="008F03E5">
        <w:t>imár, A</w:t>
      </w:r>
      <w:r w:rsidRPr="008F03E5">
        <w:rPr>
          <w:u w:val="single"/>
        </w:rPr>
        <w:t>th</w:t>
      </w:r>
      <w:r w:rsidRPr="008F03E5">
        <w:t>már</w:t>
      </w:r>
      <w:r w:rsidRPr="008F03E5">
        <w:tab/>
        <w:t xml:space="preserve">(fem. </w:t>
      </w:r>
      <w:r w:rsidRPr="008F03E5">
        <w:rPr>
          <w:u w:val="single"/>
        </w:rPr>
        <w:t>Th</w:t>
      </w:r>
      <w:r w:rsidRPr="008F03E5">
        <w:t xml:space="preserve">amara[h or t], pl. </w:t>
      </w:r>
      <w:r w:rsidRPr="008F03E5">
        <w:rPr>
          <w:u w:val="single"/>
        </w:rPr>
        <w:t>Th</w:t>
      </w:r>
      <w:r w:rsidRPr="008F03E5">
        <w:t>amarát) fruits, fruit (collective); result, effect, fruit, fruitage; yield, profit, advantage, benefit, gain;</w:t>
      </w:r>
      <w:r w:rsidRPr="008F03E5">
        <w:rPr>
          <w:rFonts w:eastAsia="Times New Roman"/>
        </w:rPr>
        <w:t xml:space="preserve"> reward; various kinds of wealth, gold, silver; offspring</w:t>
      </w:r>
      <w:r>
        <w:rPr>
          <w:rFonts w:eastAsia="Times New Roman"/>
        </w:rPr>
        <w:t xml:space="preserve">.  </w:t>
      </w:r>
      <w:r w:rsidRPr="00273BB7">
        <w:rPr>
          <w:rFonts w:eastAsia="Times New Roman"/>
        </w:rPr>
        <w:t xml:space="preserve">Shoghi Effendi, in his writings, refers to the Báb as the </w:t>
      </w:r>
      <w:r>
        <w:rPr>
          <w:rFonts w:eastAsia="Times New Roman"/>
        </w:rPr>
        <w:t>‘</w:t>
      </w:r>
      <w:r w:rsidRPr="00273BB7">
        <w:rPr>
          <w:rFonts w:eastAsia="Times New Roman"/>
          <w:u w:val="single"/>
        </w:rPr>
        <w:t>Th</w:t>
      </w:r>
      <w:r w:rsidRPr="00273BB7">
        <w:rPr>
          <w:rFonts w:eastAsia="Times New Roman"/>
        </w:rPr>
        <w:t>amarih</w:t>
      </w:r>
      <w:r>
        <w:rPr>
          <w:rFonts w:eastAsia="Times New Roman"/>
        </w:rPr>
        <w:t>’</w:t>
      </w:r>
      <w:r w:rsidRPr="00273BB7">
        <w:rPr>
          <w:rFonts w:eastAsia="Times New Roman"/>
        </w:rPr>
        <w:t xml:space="preserve"> (fruit) of the Tree of God</w:t>
      </w:r>
      <w:r>
        <w:rPr>
          <w:rFonts w:eastAsia="Times New Roman"/>
        </w:rPr>
        <w:t>’</w:t>
      </w:r>
      <w:r w:rsidRPr="00273BB7">
        <w:rPr>
          <w:rFonts w:eastAsia="Times New Roman"/>
        </w:rPr>
        <w:t>s successive Revelations.</w:t>
      </w:r>
      <w:r>
        <w:rPr>
          <w:rFonts w:eastAsia="Times New Roman"/>
        </w:rPr>
        <w:t xml:space="preserve">  </w:t>
      </w:r>
      <w:r w:rsidRPr="00273BB7">
        <w:rPr>
          <w:rFonts w:eastAsia="Times New Roman"/>
          <w:u w:val="single"/>
        </w:rPr>
        <w:t>Th</w:t>
      </w:r>
      <w:r w:rsidRPr="00273BB7">
        <w:rPr>
          <w:rFonts w:eastAsia="Times New Roman"/>
        </w:rPr>
        <w:t>amarih Bay</w:t>
      </w:r>
      <w:r w:rsidRPr="00273BB7">
        <w:t>á</w:t>
      </w:r>
      <w:r w:rsidRPr="00273BB7">
        <w:rPr>
          <w:rFonts w:eastAsia="Times New Roman"/>
        </w:rPr>
        <w:t>n (</w:t>
      </w:r>
      <w:r>
        <w:rPr>
          <w:rFonts w:eastAsia="Times New Roman"/>
        </w:rPr>
        <w:t>“</w:t>
      </w:r>
      <w:r w:rsidRPr="00273BB7">
        <w:rPr>
          <w:rFonts w:eastAsia="Times New Roman"/>
        </w:rPr>
        <w:t>fruit of the Bay</w:t>
      </w:r>
      <w:r w:rsidRPr="00273BB7">
        <w:t>á</w:t>
      </w:r>
      <w:r w:rsidRPr="00273BB7">
        <w:rPr>
          <w:rFonts w:eastAsia="Times New Roman"/>
        </w:rPr>
        <w:t>n</w:t>
      </w:r>
      <w:r>
        <w:rPr>
          <w:rFonts w:eastAsia="Times New Roman"/>
        </w:rPr>
        <w:t>”</w:t>
      </w:r>
      <w:r w:rsidRPr="00273BB7">
        <w:rPr>
          <w:rFonts w:eastAsia="Times New Roman"/>
        </w:rPr>
        <w:t>)</w:t>
      </w:r>
      <w:r>
        <w:rPr>
          <w:rFonts w:eastAsia="Times New Roman"/>
        </w:rPr>
        <w:t xml:space="preserve"> is an elevated title assumed by M</w:t>
      </w:r>
      <w:r w:rsidRPr="00273BB7">
        <w:t>í</w:t>
      </w:r>
      <w:r>
        <w:rPr>
          <w:rFonts w:eastAsia="Times New Roman"/>
        </w:rPr>
        <w:t>rz</w:t>
      </w:r>
      <w:r w:rsidRPr="00273BB7">
        <w:t>á</w:t>
      </w:r>
      <w:r>
        <w:rPr>
          <w:rFonts w:eastAsia="Times New Roman"/>
        </w:rPr>
        <w:t xml:space="preserve"> Ya</w:t>
      </w:r>
      <w:r w:rsidRPr="00273BB7">
        <w:t>ḥ</w:t>
      </w:r>
      <w:r>
        <w:rPr>
          <w:rFonts w:eastAsia="Times New Roman"/>
        </w:rPr>
        <w:t>y</w:t>
      </w:r>
      <w:r w:rsidRPr="00273BB7">
        <w:t>á</w:t>
      </w:r>
      <w:r>
        <w:rPr>
          <w:rFonts w:eastAsia="Times New Roman"/>
        </w:rPr>
        <w:t>.</w:t>
      </w:r>
    </w:p>
    <w:p w14:paraId="688F47B0" w14:textId="77777777" w:rsidR="00625A5B" w:rsidRPr="008F03E5" w:rsidRDefault="00625A5B" w:rsidP="006463DB">
      <w:pPr>
        <w:pStyle w:val="Translit"/>
      </w:pPr>
      <w:r w:rsidRPr="008F03E5">
        <w:t>Thamud (“Themoud”, Rodwell)</w:t>
      </w:r>
      <w:r w:rsidRPr="008F03E5">
        <w:tab/>
      </w:r>
      <w:r w:rsidRPr="008F03E5">
        <w:rPr>
          <w:u w:val="single"/>
        </w:rPr>
        <w:t>Th</w:t>
      </w:r>
      <w:r w:rsidRPr="008F03E5">
        <w:t>amúd</w:t>
      </w:r>
      <w:r w:rsidRPr="008F03E5">
        <w:tab/>
        <w:t>said to be a descendant of Noah.  Tribe of southern Arabia, successors to the people of ‘Ád.</w:t>
      </w:r>
    </w:p>
    <w:p w14:paraId="5BBE1615" w14:textId="77777777" w:rsidR="00625A5B" w:rsidRPr="008F03E5" w:rsidRDefault="00625A5B" w:rsidP="00DF479A">
      <w:pPr>
        <w:pStyle w:val="Translit"/>
      </w:pPr>
      <w:r w:rsidRPr="008F03E5">
        <w:t>Thana, Thany</w:t>
      </w:r>
      <w:r w:rsidRPr="008F03E5">
        <w:tab/>
      </w:r>
      <w:r w:rsidRPr="008F03E5">
        <w:rPr>
          <w:u w:val="single"/>
        </w:rPr>
        <w:t>Th</w:t>
      </w:r>
      <w:r w:rsidRPr="008F03E5">
        <w:t>aná (</w:t>
      </w:r>
      <w:r w:rsidRPr="008F03E5">
        <w:rPr>
          <w:u w:val="single"/>
        </w:rPr>
        <w:t>Th</w:t>
      </w:r>
      <w:r w:rsidRPr="008F03E5">
        <w:t>any)</w:t>
      </w:r>
      <w:r w:rsidRPr="008F03E5">
        <w:tab/>
        <w:t xml:space="preserve">to double, double up, fold, fold up, fold under (something); to bond, flex (something); to turn away, dissuade, keep, prevent, divert (someone from).  Form </w:t>
      </w:r>
      <w:r w:rsidRPr="008F03E5">
        <w:rPr>
          <w:sz w:val="16"/>
          <w:szCs w:val="16"/>
        </w:rPr>
        <w:t>II</w:t>
      </w:r>
      <w:r w:rsidRPr="008F03E5">
        <w:t xml:space="preserve"> to double, make double (something); to do twice, repeat (something); to pleat, plait (something); to form the dual (of a word).  Form </w:t>
      </w:r>
      <w:r w:rsidRPr="008F03E5">
        <w:rPr>
          <w:sz w:val="16"/>
          <w:szCs w:val="16"/>
        </w:rPr>
        <w:t>IV</w:t>
      </w:r>
      <w:r w:rsidRPr="008F03E5">
        <w:t xml:space="preserve"> to commend, praise, laud, extol (something, someone), speak appreciatively (of).  Form V to double, become double; to be doubled; to be repeated; to bond, fold; to be bent, be folded, be folded up or under; to walk with a swinging gait.  Form </w:t>
      </w:r>
      <w:r w:rsidRPr="008F03E5">
        <w:rPr>
          <w:sz w:val="16"/>
          <w:szCs w:val="16"/>
        </w:rPr>
        <w:t>VII</w:t>
      </w:r>
      <w:r w:rsidRPr="008F03E5">
        <w:t xml:space="preserve"> to bend, bend up, down or over, lean, incline, bow; to fold, be foldable, be folded back; to turn away (from), give up, renounce (something); to turn, face (toward); to apply oneself, turn (to something).  Form </w:t>
      </w:r>
      <w:r w:rsidRPr="008F03E5">
        <w:rPr>
          <w:sz w:val="16"/>
          <w:szCs w:val="16"/>
        </w:rPr>
        <w:t>X</w:t>
      </w:r>
      <w:r w:rsidRPr="008F03E5">
        <w:t xml:space="preserve"> to except, exclude (something or someone from), make an exception (of something)</w:t>
      </w:r>
    </w:p>
    <w:p w14:paraId="26621A18" w14:textId="77777777" w:rsidR="00625A5B" w:rsidRPr="008F03E5" w:rsidRDefault="00625A5B" w:rsidP="00BD2984">
      <w:pPr>
        <w:pStyle w:val="Translit"/>
      </w:pPr>
      <w:r w:rsidRPr="008F03E5">
        <w:t>Thana’</w:t>
      </w:r>
      <w:r w:rsidRPr="008F03E5">
        <w:tab/>
      </w:r>
      <w:r w:rsidRPr="008F03E5">
        <w:rPr>
          <w:u w:val="single"/>
        </w:rPr>
        <w:t>Th</w:t>
      </w:r>
      <w:r w:rsidRPr="008F03E5">
        <w:t>aná’</w:t>
      </w:r>
      <w:r w:rsidRPr="008F03E5">
        <w:tab/>
        <w:t>commendation, praise, eulogy; appreciation</w:t>
      </w:r>
    </w:p>
    <w:p w14:paraId="1C8FC4DE" w14:textId="77777777" w:rsidR="00625A5B" w:rsidRPr="008F03E5" w:rsidRDefault="00625A5B" w:rsidP="00DE1446">
      <w:pPr>
        <w:pStyle w:val="Translit"/>
      </w:pPr>
      <w:r w:rsidRPr="008F03E5">
        <w:t>Thana’u’llah (Sana’u’llah)</w:t>
      </w:r>
      <w:r w:rsidRPr="008F03E5">
        <w:tab/>
      </w:r>
      <w:r w:rsidRPr="008F03E5">
        <w:rPr>
          <w:u w:val="single"/>
        </w:rPr>
        <w:t>Th</w:t>
      </w:r>
      <w:r w:rsidRPr="008F03E5">
        <w:t>aná’u’lláh</w:t>
      </w:r>
      <w:r w:rsidRPr="008F03E5">
        <w:tab/>
        <w:t>“Praise God”</w:t>
      </w:r>
    </w:p>
    <w:p w14:paraId="52802A53" w14:textId="77777777" w:rsidR="00625A5B" w:rsidRPr="008F03E5" w:rsidRDefault="00625A5B" w:rsidP="00E07FA3">
      <w:pPr>
        <w:pStyle w:val="Translit"/>
        <w:rPr>
          <w:rFonts w:eastAsia="Times New Roman"/>
        </w:rPr>
      </w:pPr>
      <w:r w:rsidRPr="008F03E5">
        <w:t>Thanawi</w:t>
      </w:r>
      <w:r w:rsidRPr="008F03E5">
        <w:tab/>
      </w:r>
      <w:r w:rsidRPr="008F03E5">
        <w:rPr>
          <w:u w:val="single"/>
        </w:rPr>
        <w:t>Th</w:t>
      </w:r>
      <w:r w:rsidRPr="008F03E5">
        <w:t>anawí</w:t>
      </w:r>
      <w:r w:rsidRPr="008F03E5">
        <w:tab/>
        <w:t xml:space="preserve">dualist; </w:t>
      </w:r>
      <w:r w:rsidRPr="008F03E5">
        <w:rPr>
          <w:rFonts w:eastAsia="Times New Roman"/>
        </w:rPr>
        <w:t>one who holds the doctrine of the two principles, one of the sect of the Magi.</w:t>
      </w:r>
    </w:p>
    <w:p w14:paraId="19E49C67" w14:textId="77777777" w:rsidR="00625A5B" w:rsidRPr="008F03E5" w:rsidRDefault="00625A5B" w:rsidP="00E07FA3">
      <w:pPr>
        <w:pStyle w:val="Translit"/>
      </w:pPr>
      <w:r w:rsidRPr="008F03E5">
        <w:t>Thanawiya</w:t>
      </w:r>
      <w:r w:rsidRPr="008F03E5">
        <w:tab/>
      </w:r>
      <w:r w:rsidRPr="008F03E5">
        <w:rPr>
          <w:u w:val="single"/>
        </w:rPr>
        <w:t>Th</w:t>
      </w:r>
      <w:r w:rsidRPr="008F03E5">
        <w:rPr>
          <w:rFonts w:eastAsia="Times New Roman"/>
        </w:rPr>
        <w:t>anawíya[t]</w:t>
      </w:r>
      <w:r w:rsidRPr="008F03E5">
        <w:rPr>
          <w:rFonts w:eastAsia="Times New Roman"/>
        </w:rPr>
        <w:tab/>
        <w:t>dualism; the sect of the Magi or dualists.</w:t>
      </w:r>
    </w:p>
    <w:p w14:paraId="7250E49F" w14:textId="77777777" w:rsidR="00625A5B" w:rsidRPr="008F03E5" w:rsidRDefault="00625A5B" w:rsidP="00A42C20">
      <w:pPr>
        <w:pStyle w:val="Translit"/>
      </w:pPr>
      <w:r w:rsidRPr="008F03E5">
        <w:t>Thani</w:t>
      </w:r>
      <w:r w:rsidRPr="008F03E5">
        <w:tab/>
      </w:r>
      <w:r w:rsidRPr="008F03E5">
        <w:rPr>
          <w:u w:val="single"/>
        </w:rPr>
        <w:t>Th</w:t>
      </w:r>
      <w:r w:rsidRPr="008F03E5">
        <w:t>ání</w:t>
      </w:r>
      <w:r w:rsidRPr="008F03E5">
        <w:tab/>
        <w:t>who or what turns or bends; second.  a</w:t>
      </w:r>
      <w:r w:rsidRPr="008F03E5">
        <w:rPr>
          <w:u w:val="single"/>
        </w:rPr>
        <w:t>th</w:t>
      </w:r>
      <w:r w:rsidRPr="008F03E5">
        <w:t>-</w:t>
      </w:r>
      <w:r w:rsidRPr="008F03E5">
        <w:rPr>
          <w:u w:val="single"/>
        </w:rPr>
        <w:t>Th</w:t>
      </w:r>
      <w:r w:rsidRPr="008F03E5">
        <w:t xml:space="preserve">ání:  the second; the next.  Tániyan and tániyatan secondly; for the second time, once more, again.  </w:t>
      </w:r>
      <w:r w:rsidRPr="008F03E5">
        <w:rPr>
          <w:u w:val="single"/>
        </w:rPr>
        <w:t>Th</w:t>
      </w:r>
      <w:r w:rsidRPr="008F03E5">
        <w:t xml:space="preserve">ání man ámana:  “the second who believed”.  See root </w:t>
      </w:r>
      <w:r w:rsidRPr="008F03E5">
        <w:rPr>
          <w:u w:val="single"/>
        </w:rPr>
        <w:t>th</w:t>
      </w:r>
      <w:r w:rsidRPr="008F03E5">
        <w:t>aná.</w:t>
      </w:r>
    </w:p>
    <w:p w14:paraId="245F935C" w14:textId="77777777" w:rsidR="00625A5B" w:rsidRPr="008F03E5" w:rsidRDefault="00625A5B" w:rsidP="00A52206">
      <w:pPr>
        <w:pStyle w:val="Translit"/>
      </w:pPr>
      <w:r w:rsidRPr="008F03E5">
        <w:t>Thaniya, Thawanin</w:t>
      </w:r>
      <w:r w:rsidRPr="008F03E5">
        <w:tab/>
      </w:r>
      <w:r w:rsidRPr="008F03E5">
        <w:rPr>
          <w:u w:val="single"/>
        </w:rPr>
        <w:t>Th</w:t>
      </w:r>
      <w:r w:rsidRPr="008F03E5">
        <w:t xml:space="preserve">ániya[h or t], pl. </w:t>
      </w:r>
      <w:r w:rsidRPr="008F03E5">
        <w:rPr>
          <w:u w:val="single"/>
        </w:rPr>
        <w:t>Th</w:t>
      </w:r>
      <w:r w:rsidRPr="008F03E5">
        <w:t>awánin</w:t>
      </w:r>
      <w:r w:rsidRPr="008F03E5">
        <w:tab/>
        <w:t>fem. second (time unit); a second, a moment</w:t>
      </w:r>
    </w:p>
    <w:p w14:paraId="01A503F9" w14:textId="77777777" w:rsidR="00625A5B" w:rsidRPr="008F03E5" w:rsidRDefault="00625A5B" w:rsidP="00D13B23">
      <w:pPr>
        <w:pStyle w:val="Translit"/>
      </w:pPr>
      <w:r w:rsidRPr="008F03E5">
        <w:t>Thaqafi</w:t>
      </w:r>
      <w:r w:rsidRPr="008F03E5">
        <w:tab/>
      </w:r>
      <w:r w:rsidRPr="008F03E5">
        <w:rPr>
          <w:u w:val="single"/>
        </w:rPr>
        <w:t>Th</w:t>
      </w:r>
      <w:r w:rsidRPr="008F03E5">
        <w:t>aqafí</w:t>
      </w:r>
      <w:r w:rsidRPr="008F03E5">
        <w:tab/>
        <w:t xml:space="preserve">of the tribe of </w:t>
      </w:r>
      <w:r w:rsidRPr="008F03E5">
        <w:rPr>
          <w:u w:val="single"/>
        </w:rPr>
        <w:t>Th</w:t>
      </w:r>
      <w:r w:rsidRPr="008F03E5">
        <w:t>aqíf</w:t>
      </w:r>
    </w:p>
    <w:p w14:paraId="329608E0" w14:textId="77777777" w:rsidR="00625A5B" w:rsidRPr="008F03E5" w:rsidRDefault="00625A5B" w:rsidP="001517C5">
      <w:pPr>
        <w:pStyle w:val="Translit"/>
        <w:rPr>
          <w:lang w:eastAsia="en-US"/>
        </w:rPr>
      </w:pPr>
      <w:r w:rsidRPr="008F03E5">
        <w:rPr>
          <w:lang w:eastAsia="en-US"/>
        </w:rPr>
        <w:t>Thaqal, Athqal</w:t>
      </w:r>
      <w:r w:rsidRPr="008F03E5">
        <w:rPr>
          <w:lang w:eastAsia="en-US"/>
        </w:rPr>
        <w:tab/>
      </w:r>
      <w:r w:rsidRPr="008F03E5">
        <w:rPr>
          <w:u w:val="single"/>
          <w:lang w:eastAsia="en-US"/>
        </w:rPr>
        <w:t>Th</w:t>
      </w:r>
      <w:r w:rsidRPr="008F03E5">
        <w:rPr>
          <w:lang w:eastAsia="en-US"/>
        </w:rPr>
        <w:t xml:space="preserve">aqal, dual </w:t>
      </w:r>
      <w:r w:rsidRPr="008F03E5">
        <w:rPr>
          <w:u w:val="single"/>
          <w:lang w:eastAsia="en-US"/>
        </w:rPr>
        <w:t>Th</w:t>
      </w:r>
      <w:r w:rsidRPr="008F03E5">
        <w:rPr>
          <w:lang w:eastAsia="en-US"/>
        </w:rPr>
        <w:t>aqal</w:t>
      </w:r>
      <w:r w:rsidRPr="008F03E5">
        <w:t>á</w:t>
      </w:r>
      <w:r w:rsidRPr="008F03E5">
        <w:rPr>
          <w:lang w:eastAsia="en-US"/>
        </w:rPr>
        <w:t>n, pl. A</w:t>
      </w:r>
      <w:r w:rsidRPr="008F03E5">
        <w:rPr>
          <w:u w:val="single"/>
          <w:lang w:eastAsia="en-US"/>
        </w:rPr>
        <w:t>th</w:t>
      </w:r>
      <w:r w:rsidRPr="008F03E5">
        <w:rPr>
          <w:lang w:eastAsia="en-US"/>
        </w:rPr>
        <w:t>qál</w:t>
      </w:r>
      <w:r w:rsidRPr="008F03E5">
        <w:rPr>
          <w:lang w:eastAsia="en-US"/>
        </w:rPr>
        <w:tab/>
        <w:t>load, baggage</w:t>
      </w:r>
    </w:p>
    <w:p w14:paraId="40DF53AA" w14:textId="77777777" w:rsidR="00625A5B" w:rsidRPr="008F03E5" w:rsidRDefault="00625A5B" w:rsidP="0070295B">
      <w:pPr>
        <w:pStyle w:val="Translit"/>
      </w:pPr>
      <w:r w:rsidRPr="008F03E5">
        <w:t>Thaqalan</w:t>
      </w:r>
      <w:r w:rsidRPr="008F03E5">
        <w:tab/>
        <w:t>a</w:t>
      </w:r>
      <w:r w:rsidRPr="008F03E5">
        <w:rPr>
          <w:u w:val="single"/>
        </w:rPr>
        <w:t>th</w:t>
      </w:r>
      <w:r w:rsidRPr="008F03E5">
        <w:t>-</w:t>
      </w:r>
      <w:r w:rsidRPr="008F03E5">
        <w:rPr>
          <w:u w:val="single"/>
        </w:rPr>
        <w:t>Th</w:t>
      </w:r>
      <w:r w:rsidRPr="008F03E5">
        <w:t>aqalán</w:t>
      </w:r>
      <w:r w:rsidRPr="008F03E5">
        <w:tab/>
        <w:t xml:space="preserve">the humans and the jinn.  These two are said to be burdened with responsibility, or, some say, with sin.  Hence, Yúsuf ‘Alí in Qur’án 55:31 and Shoghi Effendi translates </w:t>
      </w:r>
      <w:r w:rsidRPr="008F03E5">
        <w:rPr>
          <w:u w:val="single"/>
        </w:rPr>
        <w:t>th</w:t>
      </w:r>
      <w:r w:rsidRPr="008F03E5">
        <w:t xml:space="preserve">aqalán as “both worlds”.  Shoghi Effendi translated it as “twin weighty testimonies” in </w:t>
      </w:r>
      <w:r w:rsidRPr="008F03E5">
        <w:rPr>
          <w:i/>
          <w:iCs/>
        </w:rPr>
        <w:t>The Kitáb-i-Íqán</w:t>
      </w:r>
      <w:r w:rsidRPr="008F03E5">
        <w:t>, p. 201.</w:t>
      </w:r>
    </w:p>
    <w:p w14:paraId="52998161" w14:textId="77777777" w:rsidR="00625A5B" w:rsidRPr="008F03E5" w:rsidRDefault="00625A5B" w:rsidP="00A310C2">
      <w:pPr>
        <w:pStyle w:val="Translit"/>
        <w:rPr>
          <w:rFonts w:eastAsia="Times New Roman"/>
        </w:rPr>
      </w:pPr>
      <w:r w:rsidRPr="008F03E5">
        <w:t>Thaqib</w:t>
      </w:r>
      <w:r w:rsidRPr="008F03E5">
        <w:tab/>
      </w:r>
      <w:r w:rsidRPr="008F03E5">
        <w:rPr>
          <w:u w:val="single"/>
        </w:rPr>
        <w:t>Th</w:t>
      </w:r>
      <w:r w:rsidRPr="008F03E5">
        <w:rPr>
          <w:rFonts w:eastAsia="Times New Roman"/>
        </w:rPr>
        <w:t>áqib</w:t>
      </w:r>
      <w:r w:rsidRPr="008F03E5">
        <w:rPr>
          <w:rFonts w:eastAsia="Times New Roman"/>
        </w:rPr>
        <w:tab/>
        <w:t>penetrating, hence shining brightly, glittering; brilliant, splendid; famous, sublime; high</w:t>
      </w:r>
    </w:p>
    <w:p w14:paraId="66053596" w14:textId="77777777" w:rsidR="00625A5B" w:rsidRPr="008F03E5" w:rsidRDefault="00625A5B" w:rsidP="00822FFE">
      <w:pPr>
        <w:pStyle w:val="Translit"/>
      </w:pPr>
      <w:r w:rsidRPr="008F03E5">
        <w:t>Thaqif</w:t>
      </w:r>
      <w:r w:rsidRPr="008F03E5">
        <w:tab/>
      </w:r>
      <w:r w:rsidRPr="008F03E5">
        <w:rPr>
          <w:u w:val="single"/>
        </w:rPr>
        <w:t>Th</w:t>
      </w:r>
      <w:r w:rsidRPr="008F03E5">
        <w:t>aqíf awbán</w:t>
      </w:r>
      <w:r w:rsidRPr="008F03E5">
        <w:tab/>
        <w:t>sour; acute, intelligent (man); name of the father of a tribe</w:t>
      </w:r>
    </w:p>
    <w:p w14:paraId="70E5A30A" w14:textId="77777777" w:rsidR="00625A5B" w:rsidRPr="008F03E5" w:rsidRDefault="00625A5B" w:rsidP="007D014E">
      <w:pPr>
        <w:pStyle w:val="Translit"/>
      </w:pPr>
      <w:r w:rsidRPr="008F03E5">
        <w:t>Tharaba, Tharb</w:t>
      </w:r>
      <w:r w:rsidRPr="008F03E5">
        <w:tab/>
      </w:r>
      <w:r w:rsidRPr="008F03E5">
        <w:rPr>
          <w:u w:val="single"/>
        </w:rPr>
        <w:t>Th</w:t>
      </w:r>
      <w:r w:rsidRPr="008F03E5">
        <w:t>araba (</w:t>
      </w:r>
      <w:r w:rsidRPr="008F03E5">
        <w:rPr>
          <w:u w:val="single"/>
        </w:rPr>
        <w:t>Th</w:t>
      </w:r>
      <w:r w:rsidRPr="008F03E5">
        <w:t>arb)</w:t>
      </w:r>
      <w:r w:rsidRPr="008F03E5">
        <w:tab/>
        <w:t>to blame, censure</w:t>
      </w:r>
    </w:p>
    <w:p w14:paraId="34ACB7E3" w14:textId="77777777" w:rsidR="00625A5B" w:rsidRDefault="00625A5B" w:rsidP="00A310C2">
      <w:pPr>
        <w:pStyle w:val="Translit"/>
      </w:pPr>
      <w:r>
        <w:t>Tharwa, Thara’, Tharwa’</w:t>
      </w:r>
      <w:r>
        <w:tab/>
      </w:r>
      <w:r w:rsidRPr="00A310C2">
        <w:rPr>
          <w:u w:val="single"/>
        </w:rPr>
        <w:t>Th</w:t>
      </w:r>
      <w:r w:rsidRPr="00A310C2">
        <w:t>arwa</w:t>
      </w:r>
      <w:r>
        <w:t>[h or t]</w:t>
      </w:r>
      <w:r w:rsidRPr="00A310C2">
        <w:t xml:space="preserve"> and </w:t>
      </w:r>
      <w:r w:rsidRPr="00A310C2">
        <w:rPr>
          <w:u w:val="single"/>
        </w:rPr>
        <w:t>Th</w:t>
      </w:r>
      <w:r w:rsidRPr="00A310C2">
        <w:t>ar</w:t>
      </w:r>
      <w:r>
        <w:t>á</w:t>
      </w:r>
      <w:r w:rsidRPr="00A310C2">
        <w:t>’</w:t>
      </w:r>
      <w:r>
        <w:t>, fem</w:t>
      </w:r>
      <w:r w:rsidRPr="00A310C2">
        <w:t xml:space="preserve">. </w:t>
      </w:r>
      <w:r w:rsidRPr="00A310C2">
        <w:rPr>
          <w:u w:val="single"/>
        </w:rPr>
        <w:t>Th</w:t>
      </w:r>
      <w:r w:rsidRPr="00A310C2">
        <w:rPr>
          <w:rFonts w:eastAsia="Times New Roman"/>
        </w:rPr>
        <w:t>arwá’</w:t>
      </w:r>
      <w:r>
        <w:tab/>
      </w:r>
      <w:r w:rsidRPr="00A310C2">
        <w:t>fortune, wealth, riches</w:t>
      </w:r>
      <w:r>
        <w:t xml:space="preserve">.  </w:t>
      </w:r>
      <w:r w:rsidRPr="003A2E06">
        <w:t>Often the title of a person who becomes affluent through a goodly character and positive business practices.</w:t>
      </w:r>
    </w:p>
    <w:p w14:paraId="61173FAD" w14:textId="77777777" w:rsidR="00625A5B" w:rsidRPr="008F03E5" w:rsidRDefault="00625A5B" w:rsidP="00822FFE">
      <w:pPr>
        <w:pStyle w:val="Translit"/>
      </w:pPr>
      <w:r w:rsidRPr="008F03E5">
        <w:t>Thawb (Thaub), Thiyab, Thwab</w:t>
      </w:r>
      <w:r w:rsidRPr="008F03E5">
        <w:tab/>
      </w:r>
      <w:r w:rsidRPr="008F03E5">
        <w:rPr>
          <w:u w:val="single"/>
        </w:rPr>
        <w:t>Th</w:t>
      </w:r>
      <w:r w:rsidRPr="008F03E5">
        <w:t xml:space="preserve">awb, pl. </w:t>
      </w:r>
      <w:r w:rsidRPr="008F03E5">
        <w:rPr>
          <w:u w:val="single"/>
        </w:rPr>
        <w:t>Th</w:t>
      </w:r>
      <w:r w:rsidRPr="008F03E5">
        <w:t>iyáb, A</w:t>
      </w:r>
      <w:r w:rsidRPr="008F03E5">
        <w:rPr>
          <w:u w:val="single"/>
        </w:rPr>
        <w:t>th</w:t>
      </w:r>
      <w:r w:rsidRPr="008F03E5">
        <w:t>wáb</w:t>
      </w:r>
      <w:r w:rsidRPr="008F03E5">
        <w:tab/>
        <w:t>garment (is an ankle-length garment, usually with long sleeves), dress; cloth, material; (figurative) distinctive or special clothing, outward appearance, guise, cloak, mask;—pl. clothes, clothing, apparel.  First universities in Europe (the first was in Salerno, Italy, 841) were established by Muslims and non-Muslim graduates wore Arabic robes—now known as academic gowns.</w:t>
      </w:r>
    </w:p>
    <w:p w14:paraId="53F2C33D" w14:textId="77777777" w:rsidR="00625A5B" w:rsidRPr="008F03E5" w:rsidRDefault="00625A5B" w:rsidP="00822FFE">
      <w:pPr>
        <w:pStyle w:val="Translit"/>
      </w:pPr>
      <w:r w:rsidRPr="008F03E5">
        <w:t>Thawban (Thauban)</w:t>
      </w:r>
      <w:r w:rsidRPr="008F03E5">
        <w:tab/>
      </w:r>
      <w:r w:rsidRPr="008F03E5">
        <w:rPr>
          <w:u w:val="single"/>
        </w:rPr>
        <w:t>Th</w:t>
      </w:r>
      <w:r w:rsidRPr="008F03E5">
        <w:t>awbán</w:t>
      </w:r>
      <w:r w:rsidRPr="008F03E5">
        <w:tab/>
        <w:t>Yemen slave freed by Muḥammad</w:t>
      </w:r>
    </w:p>
    <w:p w14:paraId="2338CA83" w14:textId="77777777" w:rsidR="00625A5B" w:rsidRPr="008F03E5" w:rsidRDefault="00625A5B" w:rsidP="00CE61C2">
      <w:pPr>
        <w:pStyle w:val="Translit"/>
      </w:pPr>
      <w:r w:rsidRPr="008F03E5">
        <w:t>Thawr (Thaur, Thour), Thiran</w:t>
      </w:r>
      <w:r w:rsidRPr="008F03E5">
        <w:tab/>
      </w:r>
      <w:r w:rsidRPr="008F03E5">
        <w:rPr>
          <w:u w:val="single"/>
        </w:rPr>
        <w:t>Th</w:t>
      </w:r>
      <w:r w:rsidRPr="008F03E5">
        <w:t xml:space="preserve">awr, pl. </w:t>
      </w:r>
      <w:r w:rsidRPr="008F03E5">
        <w:rPr>
          <w:u w:val="single"/>
        </w:rPr>
        <w:t>Th</w:t>
      </w:r>
      <w:r w:rsidRPr="008F03E5">
        <w:t>írán</w:t>
      </w:r>
      <w:r w:rsidRPr="008F03E5">
        <w:tab/>
        <w:t xml:space="preserve">bull, steer; ox; Taurus (astronomy); </w:t>
      </w:r>
      <w:r w:rsidRPr="008F03E5">
        <w:rPr>
          <w:rFonts w:eastAsia="Times New Roman"/>
        </w:rPr>
        <w:t xml:space="preserve">a mountain 6 km </w:t>
      </w:r>
      <w:r w:rsidRPr="008F03E5">
        <w:rPr>
          <w:sz w:val="16"/>
          <w:szCs w:val="16"/>
        </w:rPr>
        <w:t>SE</w:t>
      </w:r>
      <w:r w:rsidRPr="008F03E5">
        <w:rPr>
          <w:rFonts w:eastAsia="Times New Roman"/>
        </w:rPr>
        <w:t xml:space="preserve"> Mecca (21.377201, 39.849754, also </w:t>
      </w:r>
      <w:r w:rsidRPr="008F03E5">
        <w:rPr>
          <w:rFonts w:eastAsia="Times New Roman"/>
          <w:u w:val="single"/>
        </w:rPr>
        <w:t>Gh</w:t>
      </w:r>
      <w:r w:rsidRPr="008F03E5">
        <w:t>á</w:t>
      </w:r>
      <w:r w:rsidRPr="008F03E5">
        <w:rPr>
          <w:rFonts w:eastAsia="Times New Roman"/>
        </w:rPr>
        <w:t>r 21.377234, 39.849776); a prince, lord, master</w:t>
      </w:r>
    </w:p>
    <w:p w14:paraId="54BDC4C7" w14:textId="77777777" w:rsidR="00625A5B" w:rsidRPr="008F03E5" w:rsidRDefault="00625A5B" w:rsidP="006C5A31">
      <w:pPr>
        <w:pStyle w:val="Translit"/>
      </w:pPr>
      <w:r w:rsidRPr="008F03E5">
        <w:t>Thiqa, Thiqat</w:t>
      </w:r>
      <w:r w:rsidRPr="008F03E5">
        <w:tab/>
      </w:r>
      <w:r w:rsidRPr="008F03E5">
        <w:rPr>
          <w:u w:val="single"/>
        </w:rPr>
        <w:t>Th</w:t>
      </w:r>
      <w:r w:rsidRPr="008F03E5">
        <w:t xml:space="preserve">iqa[t], pl. </w:t>
      </w:r>
      <w:r w:rsidRPr="008F03E5">
        <w:rPr>
          <w:u w:val="single"/>
        </w:rPr>
        <w:t>Th</w:t>
      </w:r>
      <w:r w:rsidRPr="008F03E5">
        <w:t>iqát</w:t>
      </w:r>
      <w:r w:rsidRPr="008F03E5">
        <w:tab/>
        <w:t>trustworthy, reliable; trustworthy person, trusted agent, informant, reliable authority or source;—pl. authorities</w:t>
      </w:r>
    </w:p>
    <w:p w14:paraId="0F32E12F" w14:textId="77777777" w:rsidR="00625A5B" w:rsidRPr="008F03E5" w:rsidRDefault="00625A5B" w:rsidP="006C5A31">
      <w:pPr>
        <w:pStyle w:val="Translit"/>
      </w:pPr>
      <w:r w:rsidRPr="008F03E5">
        <w:t>Thiqat al-Islám</w:t>
      </w:r>
      <w:r w:rsidRPr="008F03E5">
        <w:tab/>
      </w:r>
      <w:r w:rsidRPr="008F03E5">
        <w:rPr>
          <w:u w:val="single"/>
        </w:rPr>
        <w:t>Th</w:t>
      </w:r>
      <w:r w:rsidRPr="008F03E5">
        <w:t>iqat al-Islám</w:t>
      </w:r>
      <w:r w:rsidRPr="008F03E5">
        <w:tab/>
        <w:t>a general respectful title for some Imámí scholars.  The title confirms the trustworthiness (wa</w:t>
      </w:r>
      <w:r w:rsidRPr="008F03E5">
        <w:rPr>
          <w:u w:val="single"/>
        </w:rPr>
        <w:t>th</w:t>
      </w:r>
      <w:r w:rsidRPr="008F03E5">
        <w:t>iqa) and justice (‘idálát) of a narrator.</w:t>
      </w:r>
    </w:p>
    <w:p w14:paraId="2DF58837" w14:textId="77777777" w:rsidR="00625A5B" w:rsidRPr="008F03E5" w:rsidRDefault="00625A5B" w:rsidP="006C5A31">
      <w:pPr>
        <w:pStyle w:val="Translit"/>
      </w:pPr>
      <w:r w:rsidRPr="008F03E5">
        <w:t>Thulth (“Suls”), Athlat</w:t>
      </w:r>
      <w:r w:rsidRPr="008F03E5">
        <w:tab/>
      </w:r>
      <w:r w:rsidRPr="008F03E5">
        <w:rPr>
          <w:u w:val="single"/>
        </w:rPr>
        <w:t>Th</w:t>
      </w:r>
      <w:r w:rsidRPr="008F03E5">
        <w:t>ul</w:t>
      </w:r>
      <w:r w:rsidRPr="008F03E5">
        <w:rPr>
          <w:u w:val="single"/>
        </w:rPr>
        <w:t>th</w:t>
      </w:r>
      <w:r w:rsidRPr="008F03E5">
        <w:t>, pl. A</w:t>
      </w:r>
      <w:r w:rsidRPr="008F03E5">
        <w:rPr>
          <w:u w:val="single"/>
        </w:rPr>
        <w:t>th</w:t>
      </w:r>
      <w:r w:rsidRPr="008F03E5">
        <w:t>lát</w:t>
      </w:r>
      <w:r w:rsidRPr="008F03E5">
        <w:tab/>
        <w:t xml:space="preserve">one third; </w:t>
      </w:r>
      <w:r w:rsidRPr="008F03E5">
        <w:rPr>
          <w:u w:val="single"/>
        </w:rPr>
        <w:t>th</w:t>
      </w:r>
      <w:r w:rsidRPr="008F03E5">
        <w:t>ulu</w:t>
      </w:r>
      <w:r w:rsidRPr="008F03E5">
        <w:rPr>
          <w:u w:val="single"/>
        </w:rPr>
        <w:t>th</w:t>
      </w:r>
      <w:r w:rsidRPr="008F03E5">
        <w:t xml:space="preserve"> a sprawling, decorative calligraphic style</w:t>
      </w:r>
    </w:p>
    <w:p w14:paraId="3F776C0A" w14:textId="77777777" w:rsidR="00625A5B" w:rsidRPr="008F03E5" w:rsidRDefault="00625A5B" w:rsidP="00323043">
      <w:pPr>
        <w:pStyle w:val="Translit"/>
      </w:pPr>
      <w:r w:rsidRPr="008F03E5">
        <w:t>Thurayya (Thuraiya), Thurayyat</w:t>
      </w:r>
      <w:r w:rsidRPr="008F03E5">
        <w:tab/>
      </w:r>
      <w:r w:rsidRPr="008F03E5">
        <w:rPr>
          <w:u w:val="single"/>
        </w:rPr>
        <w:t>Th</w:t>
      </w:r>
      <w:r w:rsidRPr="008F03E5">
        <w:t xml:space="preserve">urayyá, pl. </w:t>
      </w:r>
      <w:r w:rsidRPr="008F03E5">
        <w:rPr>
          <w:u w:val="single"/>
        </w:rPr>
        <w:t>Th</w:t>
      </w:r>
      <w:r w:rsidRPr="008F03E5">
        <w:t>urayyát</w:t>
      </w:r>
      <w:r w:rsidRPr="008F03E5">
        <w:tab/>
        <w:t xml:space="preserve">(singular also </w:t>
      </w:r>
      <w:r w:rsidRPr="008F03E5">
        <w:rPr>
          <w:u w:val="single"/>
        </w:rPr>
        <w:t>Th</w:t>
      </w:r>
      <w:r w:rsidRPr="008F03E5">
        <w:t xml:space="preserve">urayya[h or t]) Pleiades (Seven Sisters star cluster that is visible to the naked eye); </w:t>
      </w:r>
      <w:r w:rsidRPr="008F03E5">
        <w:rPr>
          <w:rFonts w:eastAsia="Times New Roman"/>
        </w:rPr>
        <w:t>a brilliant gem;</w:t>
      </w:r>
      <w:r w:rsidRPr="008F03E5">
        <w:t>—pl. chandelier.  Persian “variations” Soraya and Zoraya.  Abú Hurayrih reported Muḥammad said “Even if Faith were at (the place of) a</w:t>
      </w:r>
      <w:r w:rsidRPr="008F03E5">
        <w:rPr>
          <w:u w:val="single"/>
        </w:rPr>
        <w:t>th</w:t>
      </w:r>
      <w:r w:rsidRPr="008F03E5">
        <w:t>-</w:t>
      </w:r>
      <w:r w:rsidRPr="008F03E5">
        <w:rPr>
          <w:u w:val="single"/>
        </w:rPr>
        <w:t>Th</w:t>
      </w:r>
      <w:r w:rsidRPr="008F03E5">
        <w:t xml:space="preserve">urayyá (Pleiades, the highest star), then some man or men from these people [indicating a Persian beside Him, Salmán al-Fárisí] would attain it.”  This is a possible reference to the next Manifestation who will be Persian speaking or from Fars Province (see </w:t>
      </w:r>
      <w:r w:rsidRPr="008F03E5">
        <w:rPr>
          <w:rFonts w:eastAsia="Times New Roman"/>
          <w:u w:val="single"/>
        </w:rPr>
        <w:t>Kh</w:t>
      </w:r>
      <w:r w:rsidRPr="008F03E5">
        <w:rPr>
          <w:rFonts w:eastAsia="Times New Roman"/>
        </w:rPr>
        <w:t>u</w:t>
      </w:r>
      <w:r w:rsidRPr="008F03E5">
        <w:rPr>
          <w:rFonts w:eastAsia="Times New Roman"/>
          <w:u w:val="single"/>
        </w:rPr>
        <w:t>sh</w:t>
      </w:r>
      <w:r w:rsidRPr="008F03E5">
        <w:rPr>
          <w:rFonts w:eastAsia="Times New Roman"/>
        </w:rPr>
        <w:t xml:space="preserve">nudan).  </w:t>
      </w:r>
      <w:r w:rsidRPr="008F03E5">
        <w:rPr>
          <w:u w:val="single"/>
        </w:rPr>
        <w:t>Th</w:t>
      </w:r>
      <w:r w:rsidRPr="008F03E5">
        <w:t>urayyá Afnán, a cousin of Shoghi Effendi.</w:t>
      </w:r>
    </w:p>
    <w:p w14:paraId="63788F1A" w14:textId="77777777" w:rsidR="00625A5B" w:rsidRPr="008F03E5" w:rsidRDefault="00625A5B" w:rsidP="00D70C4A">
      <w:pPr>
        <w:pStyle w:val="Translit"/>
        <w:rPr>
          <w:rFonts w:eastAsia="PMingLiU"/>
          <w:lang w:eastAsia="zh-TW"/>
        </w:rPr>
      </w:pPr>
      <w:r w:rsidRPr="008F03E5">
        <w:rPr>
          <w:rFonts w:eastAsia="PMingLiU"/>
          <w:lang w:eastAsia="zh-TW"/>
        </w:rPr>
        <w:t>Tibb</w:t>
      </w:r>
      <w:r w:rsidRPr="008F03E5">
        <w:rPr>
          <w:rFonts w:eastAsia="PMingLiU"/>
          <w:lang w:eastAsia="zh-TW"/>
        </w:rPr>
        <w:tab/>
        <w:t>Ṭibb</w:t>
      </w:r>
      <w:r w:rsidRPr="008F03E5">
        <w:rPr>
          <w:rFonts w:eastAsia="PMingLiU"/>
          <w:lang w:eastAsia="zh-TW"/>
        </w:rPr>
        <w:tab/>
        <w:t>medical treatment: medicine, medical science</w:t>
      </w:r>
    </w:p>
    <w:p w14:paraId="2316BFA0" w14:textId="77777777" w:rsidR="00625A5B" w:rsidRPr="008F03E5" w:rsidRDefault="00625A5B" w:rsidP="0048563E">
      <w:pPr>
        <w:pStyle w:val="Translit"/>
        <w:rPr>
          <w:rFonts w:eastAsia="PMingLiU"/>
          <w:lang w:eastAsia="zh-TW"/>
        </w:rPr>
      </w:pPr>
      <w:r w:rsidRPr="008F03E5">
        <w:rPr>
          <w:rFonts w:eastAsia="PMingLiU"/>
          <w:lang w:eastAsia="zh-TW"/>
        </w:rPr>
        <w:t>Tibyaniyan</w:t>
      </w:r>
      <w:r w:rsidRPr="008F03E5">
        <w:tab/>
      </w:r>
      <w:r w:rsidRPr="008F03E5">
        <w:rPr>
          <w:rFonts w:eastAsia="PMingLiU"/>
          <w:lang w:eastAsia="zh-TW"/>
        </w:rPr>
        <w:t>Tibyáníyán</w:t>
      </w:r>
      <w:r w:rsidRPr="008F03E5">
        <w:tab/>
        <w:t xml:space="preserve">Varqá </w:t>
      </w:r>
      <w:r w:rsidRPr="008F03E5">
        <w:rPr>
          <w:rFonts w:eastAsia="PMingLiU"/>
          <w:lang w:eastAsia="zh-TW"/>
        </w:rPr>
        <w:t>Tibyáníyán</w:t>
      </w:r>
    </w:p>
    <w:p w14:paraId="3AC2152C" w14:textId="77777777" w:rsidR="00625A5B" w:rsidRPr="008F03E5" w:rsidRDefault="00625A5B" w:rsidP="004044E0">
      <w:pPr>
        <w:pStyle w:val="Translit"/>
      </w:pPr>
      <w:r w:rsidRPr="008F03E5">
        <w:t>Tiflis</w:t>
      </w:r>
      <w:r>
        <w:t>, Taflis</w:t>
      </w:r>
      <w:r w:rsidRPr="008F03E5">
        <w:tab/>
        <w:t>Tiflís</w:t>
      </w:r>
      <w:r>
        <w:t>, Tafl</w:t>
      </w:r>
      <w:r w:rsidRPr="002E0A18">
        <w:t>í</w:t>
      </w:r>
      <w:r>
        <w:t>s</w:t>
      </w:r>
      <w:r w:rsidRPr="008F03E5">
        <w:tab/>
      </w:r>
      <w:r>
        <w:t>“place of warmth” (</w:t>
      </w:r>
      <w:r w:rsidRPr="00C13A50">
        <w:t>numerous sulfuric hot springs</w:t>
      </w:r>
      <w:r>
        <w:t xml:space="preserve"> in the area). </w:t>
      </w:r>
      <w:r w:rsidRPr="004044E0">
        <w:t xml:space="preserve"> </w:t>
      </w:r>
      <w:r>
        <w:t xml:space="preserve">Renamed </w:t>
      </w:r>
      <w:r w:rsidRPr="008F03E5">
        <w:t>Tbilisi</w:t>
      </w:r>
      <w:r>
        <w:t xml:space="preserve"> in 1936,</w:t>
      </w:r>
      <w:r w:rsidRPr="008F03E5">
        <w:t xml:space="preserve"> </w:t>
      </w:r>
      <w:r>
        <w:t>it is the capital of Georgia.</w:t>
      </w:r>
    </w:p>
    <w:p w14:paraId="42B30DBA" w14:textId="77777777" w:rsidR="00625A5B" w:rsidRPr="008F03E5" w:rsidRDefault="00625A5B" w:rsidP="000148E8">
      <w:pPr>
        <w:pStyle w:val="Translit"/>
      </w:pPr>
      <w:r w:rsidRPr="008F03E5">
        <w:t>Tihran</w:t>
      </w:r>
      <w:r w:rsidRPr="008F03E5">
        <w:tab/>
        <w:t>Ṭihrán</w:t>
      </w:r>
      <w:r w:rsidRPr="008F03E5">
        <w:tab/>
        <w:t>Teheran, capital of Iran</w:t>
      </w:r>
    </w:p>
    <w:p w14:paraId="6A22831E" w14:textId="77777777" w:rsidR="00625A5B" w:rsidRPr="008F03E5" w:rsidRDefault="00625A5B" w:rsidP="00261B9C">
      <w:pPr>
        <w:pStyle w:val="Translit"/>
      </w:pPr>
      <w:r w:rsidRPr="00077779">
        <w:t>Tihrani, Tihrani</w:t>
      </w:r>
      <w:r>
        <w:t>yun</w:t>
      </w:r>
      <w:r w:rsidRPr="00077779">
        <w:tab/>
        <w:t xml:space="preserve">Ṭihrání, pl. </w:t>
      </w:r>
      <w:r w:rsidRPr="008F03E5">
        <w:t>Ṭihrání</w:t>
      </w:r>
      <w:r>
        <w:t>y</w:t>
      </w:r>
      <w:r w:rsidRPr="00261B9C">
        <w:t>ú</w:t>
      </w:r>
      <w:r>
        <w:t>n</w:t>
      </w:r>
      <w:r w:rsidRPr="008F03E5">
        <w:tab/>
        <w:t>from or of Ṭihrán</w:t>
      </w:r>
    </w:p>
    <w:p w14:paraId="490CFAFA" w14:textId="77777777" w:rsidR="00625A5B" w:rsidRPr="008F03E5" w:rsidRDefault="00625A5B" w:rsidP="00B621CC">
      <w:pPr>
        <w:pStyle w:val="Translit"/>
      </w:pPr>
      <w:r w:rsidRPr="008F03E5">
        <w:t>Tilasm, Tillasm, Tilasmat, Talasim</w:t>
      </w:r>
      <w:r w:rsidRPr="008F03E5">
        <w:tab/>
        <w:t>Ṭilasm, Ṭillasm, pl. Ṭilasmát, Ṭalásim</w:t>
      </w:r>
      <w:r w:rsidRPr="008F03E5">
        <w:tab/>
        <w:t>talisman, a seal, or the like, inscribed with mysterious words or characters; charm, magical combination of words;—(pl. ṭalásim) cryptic characters</w:t>
      </w:r>
    </w:p>
    <w:p w14:paraId="120523F0" w14:textId="77777777" w:rsidR="00625A5B" w:rsidRPr="008F03E5" w:rsidRDefault="00625A5B" w:rsidP="00756CCF">
      <w:pPr>
        <w:pStyle w:val="Translit"/>
      </w:pPr>
      <w:r w:rsidRPr="008F03E5">
        <w:t>Tilism, Tilasm, Tilismat, Talasim</w:t>
      </w:r>
      <w:r w:rsidRPr="008F03E5">
        <w:tab/>
        <w:t>Ṭilism, Ṭilasm, pl. Ṭilismát, Ṭalásim</w:t>
      </w:r>
      <w:r w:rsidRPr="008F03E5">
        <w:tab/>
        <w:t>a talisman, or magical image, upon which, under a certain horoscope, are engraved mystical characters, as charms against enchantment or fascination, or to prevent a treasure from being discovered; a secret mechanism; a fetter;—pl. cryptic characters</w:t>
      </w:r>
    </w:p>
    <w:p w14:paraId="6A405CDE" w14:textId="77777777" w:rsidR="00625A5B" w:rsidRPr="001457C8" w:rsidRDefault="00625A5B" w:rsidP="00442F60">
      <w:pPr>
        <w:pStyle w:val="Translit"/>
        <w:rPr>
          <w:lang w:val="fr-FR"/>
        </w:rPr>
      </w:pPr>
      <w:r w:rsidRPr="008F03E5">
        <w:t>Timthal</w:t>
      </w:r>
      <w:r w:rsidRPr="008F03E5">
        <w:tab/>
        <w:t>Tim</w:t>
      </w:r>
      <w:r w:rsidRPr="008F03E5">
        <w:rPr>
          <w:u w:val="single"/>
        </w:rPr>
        <w:t>th</w:t>
      </w:r>
      <w:r w:rsidRPr="008F03E5">
        <w:t>ál, pl. Tamá</w:t>
      </w:r>
      <w:r w:rsidRPr="008F03E5">
        <w:rPr>
          <w:u w:val="single"/>
        </w:rPr>
        <w:t>th</w:t>
      </w:r>
      <w:r w:rsidRPr="008F03E5">
        <w:t>íl</w:t>
      </w:r>
      <w:r w:rsidRPr="008F03E5">
        <w:tab/>
        <w:t xml:space="preserve">sculptured image; statue.  </w:t>
      </w:r>
      <w:r w:rsidRPr="001457C8">
        <w:rPr>
          <w:lang w:val="fr-FR"/>
        </w:rPr>
        <w:t>tim</w:t>
      </w:r>
      <w:r w:rsidRPr="001457C8">
        <w:rPr>
          <w:u w:val="single"/>
          <w:lang w:val="fr-FR"/>
        </w:rPr>
        <w:t>th</w:t>
      </w:r>
      <w:r w:rsidRPr="001457C8">
        <w:rPr>
          <w:lang w:val="fr-FR"/>
        </w:rPr>
        <w:t>ál niṣfí bust.  Pers. image, effigy, portrait, semblance</w:t>
      </w:r>
    </w:p>
    <w:p w14:paraId="423790B5" w14:textId="77777777" w:rsidR="00625A5B" w:rsidRPr="008F03E5" w:rsidRDefault="00625A5B" w:rsidP="00451A7B">
      <w:pPr>
        <w:pStyle w:val="Translit"/>
      </w:pPr>
      <w:r w:rsidRPr="008F03E5">
        <w:t>Timujin (Temüjin)</w:t>
      </w:r>
      <w:r w:rsidRPr="008F03E5">
        <w:tab/>
        <w:t>Timújin</w:t>
      </w:r>
      <w:r w:rsidRPr="008F03E5">
        <w:tab/>
        <w:t xml:space="preserve">Mongol timür (“of iron”) + jin (“agency”) = “blacksmith”.  Temüjin Borjigin (c.  1162–1227), title </w:t>
      </w:r>
      <w:r w:rsidRPr="008F03E5">
        <w:rPr>
          <w:u w:val="single"/>
        </w:rPr>
        <w:t>Ch</w:t>
      </w:r>
      <w:r w:rsidRPr="008F03E5">
        <w:t xml:space="preserve">ingíz </w:t>
      </w:r>
      <w:r w:rsidRPr="008F03E5">
        <w:rPr>
          <w:u w:val="single"/>
        </w:rPr>
        <w:t>Kh</w:t>
      </w:r>
      <w:r w:rsidRPr="008F03E5">
        <w:t>án (“Perfect Warrior”; Genghis Khan, Jenghiz and Genghiz)</w:t>
      </w:r>
    </w:p>
    <w:p w14:paraId="68B74459" w14:textId="77777777" w:rsidR="00625A5B" w:rsidRPr="008F03E5" w:rsidRDefault="00625A5B" w:rsidP="00451A7B">
      <w:pPr>
        <w:pStyle w:val="Translit"/>
      </w:pPr>
      <w:r w:rsidRPr="008F03E5">
        <w:rPr>
          <w:rFonts w:eastAsia="PMingLiU"/>
          <w:lang w:eastAsia="zh-TW"/>
        </w:rPr>
        <w:t>Timur (Timour), Taymur (Taimur)</w:t>
      </w:r>
      <w:r w:rsidRPr="008F03E5">
        <w:rPr>
          <w:rFonts w:eastAsia="PMingLiU"/>
          <w:lang w:eastAsia="zh-TW"/>
        </w:rPr>
        <w:tab/>
        <w:t>T</w:t>
      </w:r>
      <w:r w:rsidRPr="008F03E5">
        <w:t>í</w:t>
      </w:r>
      <w:r w:rsidRPr="008F03E5">
        <w:rPr>
          <w:rFonts w:eastAsia="PMingLiU"/>
          <w:lang w:eastAsia="zh-TW"/>
        </w:rPr>
        <w:t>m</w:t>
      </w:r>
      <w:r w:rsidRPr="008F03E5">
        <w:t>ú</w:t>
      </w:r>
      <w:r w:rsidRPr="008F03E5">
        <w:rPr>
          <w:rFonts w:eastAsia="PMingLiU"/>
          <w:lang w:eastAsia="zh-TW"/>
        </w:rPr>
        <w:t>r, Taym</w:t>
      </w:r>
      <w:r w:rsidRPr="008F03E5">
        <w:t>ú</w:t>
      </w:r>
      <w:r w:rsidRPr="008F03E5">
        <w:rPr>
          <w:rFonts w:eastAsia="PMingLiU"/>
          <w:lang w:eastAsia="zh-TW"/>
        </w:rPr>
        <w:t>r</w:t>
      </w:r>
      <w:r w:rsidRPr="008F03E5">
        <w:rPr>
          <w:rFonts w:eastAsia="PMingLiU"/>
          <w:lang w:eastAsia="zh-TW"/>
        </w:rPr>
        <w:tab/>
        <w:t xml:space="preserve">Turkish </w:t>
      </w:r>
      <w:r w:rsidRPr="008F03E5">
        <w:t>iron.  Tímúr-i-lang (Pers.), Tímúr the lame, the famous Tamerlane (1336–1405).</w:t>
      </w:r>
    </w:p>
    <w:p w14:paraId="59C5E6F1" w14:textId="77777777" w:rsidR="00625A5B" w:rsidRPr="008F03E5" w:rsidRDefault="00625A5B" w:rsidP="00EE4FAE">
      <w:pPr>
        <w:pStyle w:val="Translit"/>
        <w:rPr>
          <w:rFonts w:eastAsia="PMingLiU"/>
          <w:lang w:eastAsia="zh-TW"/>
        </w:rPr>
      </w:pPr>
      <w:r w:rsidRPr="008F03E5">
        <w:rPr>
          <w:rFonts w:eastAsia="PMingLiU"/>
          <w:lang w:eastAsia="zh-TW"/>
        </w:rPr>
        <w:t>Timuri, Taymuri (Taimuri, Teimuri)</w:t>
      </w:r>
      <w:r w:rsidRPr="008F03E5">
        <w:tab/>
      </w:r>
      <w:r w:rsidRPr="008F03E5">
        <w:rPr>
          <w:rFonts w:eastAsia="PMingLiU"/>
          <w:lang w:eastAsia="zh-TW"/>
        </w:rPr>
        <w:t>T</w:t>
      </w:r>
      <w:r w:rsidRPr="008F03E5">
        <w:t>í</w:t>
      </w:r>
      <w:r w:rsidRPr="008F03E5">
        <w:rPr>
          <w:rFonts w:eastAsia="PMingLiU"/>
          <w:lang w:eastAsia="zh-TW"/>
        </w:rPr>
        <w:t>m</w:t>
      </w:r>
      <w:r w:rsidRPr="008F03E5">
        <w:t>ú</w:t>
      </w:r>
      <w:r w:rsidRPr="008F03E5">
        <w:rPr>
          <w:rFonts w:eastAsia="PMingLiU"/>
          <w:lang w:eastAsia="zh-TW"/>
        </w:rPr>
        <w:t>rí, Taymúrí</w:t>
      </w:r>
      <w:r w:rsidRPr="008F03E5">
        <w:tab/>
        <w:t xml:space="preserve">a sub-tribe of the Chahar Aimaq ethnic group in Afghanistan.  Some live in </w:t>
      </w:r>
      <w:r w:rsidRPr="008F03E5">
        <w:rPr>
          <w:u w:val="single"/>
        </w:rPr>
        <w:t>Kh</w:t>
      </w:r>
      <w:r w:rsidRPr="008F03E5">
        <w:t>urásán and around Ma</w:t>
      </w:r>
      <w:r w:rsidRPr="008F03E5">
        <w:rPr>
          <w:u w:val="single"/>
        </w:rPr>
        <w:t>sh</w:t>
      </w:r>
      <w:r w:rsidRPr="008F03E5">
        <w:t>had.</w:t>
      </w:r>
    </w:p>
    <w:p w14:paraId="183998E0" w14:textId="77777777" w:rsidR="00625A5B" w:rsidRPr="008F03E5" w:rsidRDefault="00625A5B" w:rsidP="00442F60">
      <w:pPr>
        <w:pStyle w:val="Translit"/>
      </w:pPr>
      <w:r w:rsidRPr="008F03E5">
        <w:t>Tin</w:t>
      </w:r>
      <w:r w:rsidRPr="008F03E5">
        <w:tab/>
        <w:t>Tín</w:t>
      </w:r>
      <w:r w:rsidRPr="008F03E5">
        <w:tab/>
        <w:t>(collective noun) fig.  See Tíná and Zaytá</w:t>
      </w:r>
    </w:p>
    <w:p w14:paraId="74AA7D5F" w14:textId="77777777" w:rsidR="00625A5B" w:rsidRPr="008F03E5" w:rsidRDefault="00625A5B" w:rsidP="00D42311">
      <w:pPr>
        <w:pStyle w:val="Translit"/>
      </w:pPr>
      <w:r w:rsidRPr="008F03E5">
        <w:t>Tina</w:t>
      </w:r>
      <w:r w:rsidRPr="008F03E5">
        <w:tab/>
        <w:t>Tíná</w:t>
      </w:r>
      <w:r w:rsidRPr="008F03E5">
        <w:tab/>
        <w:t xml:space="preserve">transcription from Hebrew, </w:t>
      </w:r>
      <w:r w:rsidRPr="008F03E5">
        <w:rPr>
          <w:rtl/>
          <w:lang w:bidi="he-IL"/>
        </w:rPr>
        <w:t>תְאֵנָה</w:t>
      </w:r>
      <w:r>
        <w:rPr>
          <w:lang w:bidi="he-IL"/>
        </w:rPr>
        <w:t xml:space="preserve"> (fig,</w:t>
      </w:r>
      <w:r w:rsidRPr="008F03E5">
        <w:t xml:space="preserve"> fig</w:t>
      </w:r>
      <w:r>
        <w:t xml:space="preserve"> tree)</w:t>
      </w:r>
      <w:r w:rsidRPr="008F03E5">
        <w:t xml:space="preserve">.  Mount Tíná (Mount of Figs).  “I swear by the Fig and by the olive, by Mount Sinai, and by this inviolate soil!” (Qur’an 95:1).  ‘Abdu’l-Bahá explained that “Tíná and Zaytá are outwardly two hills in Jerusalem on which divine revelation was sent to the prophets of God ….  By the mount of Tíná the reality of Christ is intended, and by the mount of Zaytá, the reality of Muḥammad ….”  See ‘Alí-Akbar Furútan, </w:t>
      </w:r>
      <w:r w:rsidRPr="008F03E5">
        <w:rPr>
          <w:i/>
          <w:iCs/>
        </w:rPr>
        <w:t>The Story of My Heart</w:t>
      </w:r>
      <w:r w:rsidRPr="008F03E5">
        <w:t xml:space="preserve">, p. 208; and </w:t>
      </w:r>
      <w:r w:rsidRPr="008F03E5">
        <w:rPr>
          <w:i/>
          <w:iCs/>
        </w:rPr>
        <w:t>Summons of the Lord of Hosts</w:t>
      </w:r>
      <w:r w:rsidRPr="008F03E5">
        <w:t>, para. 6, p. 143.  See Zaytá. Tín and Zaytún</w:t>
      </w:r>
      <w:r>
        <w:t>.</w:t>
      </w:r>
    </w:p>
    <w:p w14:paraId="4B98A7F6" w14:textId="77777777" w:rsidR="00625A5B" w:rsidRPr="008F03E5" w:rsidRDefault="00625A5B" w:rsidP="00E865A0">
      <w:pPr>
        <w:pStyle w:val="Translit"/>
      </w:pPr>
      <w:r w:rsidRPr="008F03E5">
        <w:t>Tir</w:t>
      </w:r>
      <w:r w:rsidRPr="008F03E5">
        <w:tab/>
        <w:t>Tír</w:t>
      </w:r>
      <w:r w:rsidRPr="008F03E5">
        <w:tab/>
        <w:t>Pers. an arrow, either for shooting or casting lots; portion, lot; a straight piece of wood or beam.  Fourth month of the Persian solar calendar.</w:t>
      </w:r>
    </w:p>
    <w:p w14:paraId="3A706B59" w14:textId="77777777" w:rsidR="00625A5B" w:rsidRPr="008F03E5" w:rsidRDefault="00625A5B" w:rsidP="00E865A0">
      <w:pPr>
        <w:pStyle w:val="Translit"/>
      </w:pPr>
      <w:r w:rsidRPr="008F03E5">
        <w:t>Tir-Andaz (Tirandaz)</w:t>
      </w:r>
      <w:r w:rsidRPr="008F03E5">
        <w:tab/>
        <w:t>Tír-Andáz</w:t>
      </w:r>
      <w:r w:rsidRPr="008F03E5">
        <w:tab/>
        <w:t>Per. an archer</w:t>
      </w:r>
    </w:p>
    <w:p w14:paraId="05D30D27" w14:textId="77777777" w:rsidR="00625A5B" w:rsidRPr="008F03E5" w:rsidRDefault="00625A5B" w:rsidP="00354ED0">
      <w:pPr>
        <w:pStyle w:val="Translit"/>
      </w:pPr>
      <w:r w:rsidRPr="008F03E5">
        <w:rPr>
          <w:rFonts w:eastAsia="Times New Roman"/>
        </w:rPr>
        <w:t>Tiraz, Turaz</w:t>
      </w:r>
      <w:r w:rsidRPr="008F03E5">
        <w:rPr>
          <w:rFonts w:eastAsia="Times New Roman"/>
        </w:rPr>
        <w:tab/>
        <w:t>Tiráz, Turáz</w:t>
      </w:r>
      <w:r w:rsidRPr="008F03E5">
        <w:rPr>
          <w:rFonts w:eastAsia="Times New Roman"/>
        </w:rPr>
        <w:tab/>
        <w:t>Pers. beauty; adornment</w:t>
      </w:r>
    </w:p>
    <w:p w14:paraId="0CAC4027" w14:textId="77777777" w:rsidR="00625A5B" w:rsidRPr="008F03E5" w:rsidRDefault="00625A5B" w:rsidP="006B5B3D">
      <w:pPr>
        <w:pStyle w:val="Translit"/>
      </w:pPr>
      <w:r w:rsidRPr="008F03E5">
        <w:t>Tirmidh</w:t>
      </w:r>
      <w:r w:rsidRPr="008F03E5">
        <w:tab/>
        <w:t>Tirmi</w:t>
      </w:r>
      <w:r w:rsidRPr="008F03E5">
        <w:rPr>
          <w:u w:val="single"/>
        </w:rPr>
        <w:t>dh</w:t>
      </w:r>
      <w:r w:rsidRPr="008F03E5">
        <w:tab/>
        <w:t>Termez or Termiz, is a city in the southernmost part of Uzbekistan near the Hairatan border crossing of Afghanistan.  Abú ‘Ísá Muḥammad ibn ‘Ísá as-Sulamí aḍ-Ḍarír al-Bú</w:t>
      </w:r>
      <w:r w:rsidRPr="008F03E5">
        <w:rPr>
          <w:u w:val="single"/>
        </w:rPr>
        <w:t>gh</w:t>
      </w:r>
      <w:r w:rsidRPr="008F03E5">
        <w:t>í at-Tirmi</w:t>
      </w:r>
      <w:r w:rsidRPr="008F03E5">
        <w:rPr>
          <w:u w:val="single"/>
        </w:rPr>
        <w:t>dh</w:t>
      </w:r>
      <w:r w:rsidRPr="008F03E5">
        <w:t>í (Pers. var. Tirmizí) (824–892), often referred to as Imám at-Tirmizí/Tirmi</w:t>
      </w:r>
      <w:r w:rsidRPr="008F03E5">
        <w:rPr>
          <w:u w:val="single"/>
        </w:rPr>
        <w:t>dh</w:t>
      </w:r>
      <w:r w:rsidRPr="008F03E5">
        <w:t>í, was a Persian Islamic scholar and collector of ḥadí</w:t>
      </w:r>
      <w:r w:rsidRPr="008F03E5">
        <w:rPr>
          <w:u w:val="single"/>
        </w:rPr>
        <w:t>th</w:t>
      </w:r>
      <w:r w:rsidRPr="008F03E5">
        <w:t xml:space="preserve">.  </w:t>
      </w:r>
      <w:bookmarkStart w:id="144" w:name="_Hlk57893393"/>
      <w:r w:rsidRPr="008F03E5">
        <w:rPr>
          <w:i/>
          <w:iCs/>
        </w:rPr>
        <w:t>Jámi‘ at-Tirmi</w:t>
      </w:r>
      <w:r w:rsidRPr="008F03E5">
        <w:rPr>
          <w:i/>
          <w:iCs/>
          <w:u w:val="single"/>
        </w:rPr>
        <w:t>dh</w:t>
      </w:r>
      <w:r w:rsidRPr="008F03E5">
        <w:rPr>
          <w:i/>
          <w:iCs/>
        </w:rPr>
        <w:t>í</w:t>
      </w:r>
      <w:bookmarkEnd w:id="144"/>
      <w:r w:rsidRPr="008F03E5">
        <w:t>, hadith collection.</w:t>
      </w:r>
    </w:p>
    <w:p w14:paraId="4725C75F" w14:textId="77777777" w:rsidR="00625A5B" w:rsidRPr="008F03E5" w:rsidRDefault="00625A5B" w:rsidP="008C5C60">
      <w:pPr>
        <w:pStyle w:val="Translit"/>
      </w:pPr>
      <w:r w:rsidRPr="008F03E5">
        <w:t>Tirmih (Termeh)</w:t>
      </w:r>
      <w:r w:rsidRPr="008F03E5">
        <w:tab/>
        <w:t>Tirmih</w:t>
      </w:r>
      <w:r w:rsidRPr="008F03E5">
        <w:tab/>
        <w:t>Pers. a type of Iranian hand-woven woollen (long fibre) cloth, produced primarily in Yazd province.  Weaving Tirmih is a sensitive, careful, and time-consuming process; a good weaver may produce 250 to 300 mm in a day.  The background colours are jujube (maroon) red, light red, green, orange and black.</w:t>
      </w:r>
    </w:p>
    <w:p w14:paraId="0F5E71FD" w14:textId="77777777" w:rsidR="00625A5B" w:rsidRPr="001457C8" w:rsidRDefault="00625A5B" w:rsidP="00FB0B60">
      <w:pPr>
        <w:pStyle w:val="Translit"/>
        <w:rPr>
          <w:rFonts w:eastAsia="Times New Roman"/>
          <w:lang w:val="fr-FR"/>
        </w:rPr>
      </w:pPr>
      <w:r w:rsidRPr="001457C8">
        <w:rPr>
          <w:rFonts w:eastAsia="Times New Roman"/>
          <w:lang w:val="fr-FR"/>
        </w:rPr>
        <w:t>Tis’a, Tis’</w:t>
      </w:r>
      <w:r w:rsidRPr="001457C8">
        <w:rPr>
          <w:rFonts w:eastAsia="Times New Roman"/>
          <w:lang w:val="fr-FR"/>
        </w:rPr>
        <w:tab/>
        <w:t>Tis‘a[h], fem. Tis‘</w:t>
      </w:r>
      <w:r w:rsidRPr="001457C8">
        <w:rPr>
          <w:rFonts w:eastAsia="Times New Roman"/>
          <w:lang w:val="fr-FR"/>
        </w:rPr>
        <w:tab/>
        <w:t>nine</w:t>
      </w:r>
    </w:p>
    <w:p w14:paraId="3547AEA8" w14:textId="77777777" w:rsidR="00625A5B" w:rsidRPr="008F03E5" w:rsidRDefault="00625A5B" w:rsidP="00FB0B60">
      <w:pPr>
        <w:pStyle w:val="Translit"/>
        <w:rPr>
          <w:rFonts w:eastAsia="Times New Roman"/>
        </w:rPr>
      </w:pPr>
      <w:r w:rsidRPr="005C13DF">
        <w:rPr>
          <w:rFonts w:eastAsia="Times New Roman"/>
          <w:lang w:val="fr-FR"/>
        </w:rPr>
        <w:t>Tis’ata, ‘Ashara, Tis’a ‘Ashrata</w:t>
      </w:r>
      <w:r w:rsidRPr="005C13DF">
        <w:rPr>
          <w:rFonts w:eastAsia="Times New Roman"/>
          <w:lang w:val="fr-FR"/>
        </w:rPr>
        <w:tab/>
      </w:r>
      <w:bookmarkStart w:id="145" w:name="_Hlk56075421"/>
      <w:r w:rsidRPr="005C13DF">
        <w:rPr>
          <w:rFonts w:eastAsia="Times New Roman"/>
          <w:lang w:val="fr-FR"/>
        </w:rPr>
        <w:t>Tis‘ata[h] ‘A</w:t>
      </w:r>
      <w:r w:rsidRPr="005C13DF">
        <w:rPr>
          <w:rFonts w:eastAsia="Times New Roman"/>
          <w:u w:val="single"/>
          <w:lang w:val="fr-FR"/>
        </w:rPr>
        <w:t>sh</w:t>
      </w:r>
      <w:r w:rsidRPr="005C13DF">
        <w:rPr>
          <w:rFonts w:eastAsia="Times New Roman"/>
          <w:lang w:val="fr-FR"/>
        </w:rPr>
        <w:t>ara</w:t>
      </w:r>
      <w:bookmarkEnd w:id="145"/>
      <w:r w:rsidRPr="005C13DF">
        <w:rPr>
          <w:rFonts w:eastAsia="Times New Roman"/>
          <w:lang w:val="fr-FR"/>
        </w:rPr>
        <w:t xml:space="preserve">, fem. </w:t>
      </w:r>
      <w:r w:rsidRPr="00077779">
        <w:rPr>
          <w:rFonts w:eastAsia="Times New Roman"/>
          <w:lang w:val="en-AU"/>
        </w:rPr>
        <w:t>Tis‘a ‘a</w:t>
      </w:r>
      <w:r w:rsidRPr="00077779">
        <w:rPr>
          <w:rFonts w:eastAsia="Times New Roman"/>
          <w:u w:val="single"/>
          <w:lang w:val="en-AU"/>
        </w:rPr>
        <w:t>sh</w:t>
      </w:r>
      <w:r w:rsidRPr="00077779">
        <w:rPr>
          <w:rFonts w:eastAsia="Times New Roman"/>
          <w:lang w:val="en-AU"/>
        </w:rPr>
        <w:t>ara[h]</w:t>
      </w:r>
      <w:r w:rsidRPr="00077779">
        <w:rPr>
          <w:rFonts w:eastAsia="Times New Roman"/>
          <w:lang w:val="en-AU"/>
        </w:rPr>
        <w:tab/>
        <w:t xml:space="preserve">literally “nine ten”, nineteen.  </w:t>
      </w:r>
      <w:r w:rsidRPr="008F03E5">
        <w:rPr>
          <w:rFonts w:eastAsia="Times New Roman"/>
        </w:rPr>
        <w:t>Qur’án 74:30:  “Over it are nineteen.”</w:t>
      </w:r>
    </w:p>
    <w:p w14:paraId="1A044245" w14:textId="77777777" w:rsidR="00625A5B" w:rsidRPr="008F03E5" w:rsidRDefault="00625A5B" w:rsidP="00FD5971">
      <w:pPr>
        <w:pStyle w:val="Translit"/>
      </w:pPr>
      <w:r w:rsidRPr="008F03E5">
        <w:t>Tishrin al-wwal, Tishrin ath-thani</w:t>
      </w:r>
      <w:r w:rsidRPr="008F03E5">
        <w:tab/>
        <w:t>Ti</w:t>
      </w:r>
      <w:r w:rsidRPr="008F03E5">
        <w:rPr>
          <w:u w:val="single"/>
        </w:rPr>
        <w:t>sh</w:t>
      </w:r>
      <w:r w:rsidRPr="008F03E5">
        <w:t>rín al-wwal, Ti</w:t>
      </w:r>
      <w:r w:rsidRPr="008F03E5">
        <w:rPr>
          <w:u w:val="single"/>
        </w:rPr>
        <w:t>sh</w:t>
      </w:r>
      <w:r w:rsidRPr="008F03E5">
        <w:t>rín a</w:t>
      </w:r>
      <w:r w:rsidRPr="008F03E5">
        <w:rPr>
          <w:u w:val="single"/>
        </w:rPr>
        <w:t>th</w:t>
      </w:r>
      <w:r w:rsidRPr="008F03E5">
        <w:t>-</w:t>
      </w:r>
      <w:r w:rsidRPr="008F03E5">
        <w:rPr>
          <w:u w:val="single"/>
        </w:rPr>
        <w:t>Th</w:t>
      </w:r>
      <w:r w:rsidRPr="008F03E5">
        <w:t>ání</w:t>
      </w:r>
      <w:r w:rsidRPr="008F03E5">
        <w:tab/>
        <w:t xml:space="preserve">October, and November respectively (Syr., Ir., Leb., Jord.).  </w:t>
      </w:r>
      <w:r w:rsidRPr="008F03E5">
        <w:rPr>
          <w:i/>
          <w:iCs/>
        </w:rPr>
        <w:t>Child of the Covenant</w:t>
      </w:r>
      <w:r w:rsidRPr="008F03E5">
        <w:t xml:space="preserve"> uses Ta</w:t>
      </w:r>
      <w:r w:rsidRPr="008F03E5">
        <w:rPr>
          <w:u w:val="single"/>
        </w:rPr>
        <w:t>sh</w:t>
      </w:r>
      <w:r w:rsidRPr="008F03E5">
        <w:t xml:space="preserve">rín (Tashrin).  </w:t>
      </w:r>
      <w:r>
        <w:t xml:space="preserve">Turkish </w:t>
      </w:r>
      <w:r w:rsidRPr="008F03E5">
        <w:t>Teşrín</w:t>
      </w:r>
      <w:r>
        <w:t>.</w:t>
      </w:r>
    </w:p>
    <w:p w14:paraId="306EFF60" w14:textId="77777777" w:rsidR="00625A5B" w:rsidRPr="008F03E5" w:rsidRDefault="00625A5B" w:rsidP="00601F14">
      <w:pPr>
        <w:pStyle w:val="Translit"/>
      </w:pPr>
      <w:r w:rsidRPr="008F03E5">
        <w:t>Tituwan</w:t>
      </w:r>
      <w:r w:rsidRPr="008F03E5">
        <w:tab/>
        <w:t>Tiṭuwán</w:t>
      </w:r>
      <w:r w:rsidRPr="008F03E5">
        <w:tab/>
        <w:t xml:space="preserve">Tétouan (Fr), Tetuán (Spanish).  City in northern Morocco.  It is one of the two major ports of Morocco on the Mediterranean Sea, a few miles south of the Strait of Gibraltar, and about 60 km </w:t>
      </w:r>
      <w:r w:rsidRPr="008F03E5">
        <w:rPr>
          <w:sz w:val="16"/>
          <w:szCs w:val="16"/>
        </w:rPr>
        <w:t>ESE</w:t>
      </w:r>
      <w:r w:rsidRPr="008F03E5">
        <w:t xml:space="preserve"> of Tangier.  Nicknamed “white dove” (al-ḥamámah al-bayḍá’)</w:t>
      </w:r>
    </w:p>
    <w:p w14:paraId="2D47C318" w14:textId="77777777" w:rsidR="00625A5B" w:rsidRPr="008F03E5" w:rsidRDefault="00625A5B" w:rsidP="008E5A49">
      <w:pPr>
        <w:pStyle w:val="Translit"/>
      </w:pPr>
      <w:r w:rsidRPr="008F03E5">
        <w:t>Tiyul (Tuyul), Tiyulat</w:t>
      </w:r>
      <w:r w:rsidRPr="008F03E5">
        <w:tab/>
        <w:t>Tiyúl (Tuyúl), pl. Tiyúlát</w:t>
      </w:r>
      <w:r w:rsidRPr="008F03E5">
        <w:tab/>
        <w:t>Pers. landed property; fiefs.  An area whose taxes were transferred to an official in lieu of his remuneration, or to a prince or someone the government wished to honour.  That person effectively becomes the governor of the area and could appoint officials to rule the area and collect taxes for him.</w:t>
      </w:r>
    </w:p>
    <w:p w14:paraId="3514328E" w14:textId="77777777" w:rsidR="00625A5B" w:rsidRPr="008F03E5" w:rsidRDefault="00625A5B" w:rsidP="00FE5294">
      <w:pPr>
        <w:pStyle w:val="Translit"/>
        <w:rPr>
          <w:rFonts w:eastAsia="PMingLiU"/>
          <w:lang w:eastAsia="zh-TW"/>
        </w:rPr>
      </w:pPr>
      <w:r w:rsidRPr="008F03E5">
        <w:rPr>
          <w:rFonts w:eastAsia="PMingLiU"/>
          <w:lang w:eastAsia="zh-TW"/>
        </w:rPr>
        <w:t>Tizfahm</w:t>
      </w:r>
      <w:r w:rsidRPr="008F03E5">
        <w:tab/>
      </w:r>
      <w:r w:rsidRPr="008F03E5">
        <w:rPr>
          <w:rFonts w:eastAsia="PMingLiU"/>
          <w:lang w:eastAsia="zh-TW"/>
        </w:rPr>
        <w:t>Tízfahm</w:t>
      </w:r>
      <w:r w:rsidRPr="008F03E5">
        <w:tab/>
        <w:t>Pers. of quick understanding (tíz + fahm)</w:t>
      </w:r>
    </w:p>
    <w:p w14:paraId="62E44C53" w14:textId="77777777" w:rsidR="00625A5B" w:rsidRPr="008F03E5" w:rsidRDefault="00625A5B" w:rsidP="00C36318">
      <w:pPr>
        <w:pStyle w:val="Translit"/>
      </w:pPr>
      <w:r w:rsidRPr="008F03E5">
        <w:t>Topakyan</w:t>
      </w:r>
      <w:r w:rsidRPr="008F03E5">
        <w:tab/>
        <w:t>Topakyan</w:t>
      </w:r>
      <w:r w:rsidRPr="008F03E5">
        <w:tab/>
        <w:t xml:space="preserve">Hayozoun Hohannes Topakyan (born at Sazaria, </w:t>
      </w:r>
      <w:r>
        <w:t>in the Ottoman Empire,</w:t>
      </w:r>
      <w:r w:rsidRPr="008F03E5">
        <w:t xml:space="preserve"> now Türkiye, 1864</w:t>
      </w:r>
      <w:r>
        <w:t xml:space="preserve">; died </w:t>
      </w:r>
      <w:r w:rsidRPr="008F03E5">
        <w:t>New York 1926).  In 1909 he was appointed</w:t>
      </w:r>
      <w:r>
        <w:t xml:space="preserve"> </w:t>
      </w:r>
      <w:r w:rsidRPr="008F03E5">
        <w:t>Consul-General to New York by the Persian government.</w:t>
      </w:r>
    </w:p>
    <w:p w14:paraId="6B50E4B7" w14:textId="77777777" w:rsidR="00625A5B" w:rsidRPr="008F03E5" w:rsidRDefault="00625A5B" w:rsidP="00E847FD">
      <w:pPr>
        <w:pStyle w:val="Translit"/>
        <w:rPr>
          <w:rFonts w:eastAsia="PMingLiU"/>
          <w:lang w:eastAsia="zh-TW"/>
        </w:rPr>
      </w:pPr>
      <w:r w:rsidRPr="008F03E5">
        <w:rPr>
          <w:rFonts w:eastAsia="PMingLiU"/>
          <w:lang w:eastAsia="zh-TW"/>
        </w:rPr>
        <w:t>Tuba (Touba)</w:t>
      </w:r>
      <w:r w:rsidRPr="008F03E5">
        <w:tab/>
        <w:t>Ṭ</w:t>
      </w:r>
      <w:r w:rsidRPr="008F03E5">
        <w:rPr>
          <w:rFonts w:eastAsia="PMingLiU"/>
          <w:lang w:eastAsia="zh-TW"/>
        </w:rPr>
        <w:t>úbá</w:t>
      </w:r>
      <w:r w:rsidRPr="008F03E5">
        <w:tab/>
        <w:t>blessedness, beatitude; Beatitude (title of honour of a patriarch; Christian); g</w:t>
      </w:r>
      <w:r w:rsidRPr="008F03E5">
        <w:rPr>
          <w:rFonts w:eastAsia="Times New Roman"/>
        </w:rPr>
        <w:t>ood, excellent; better, best (fem. of a</w:t>
      </w:r>
      <w:r w:rsidRPr="008F03E5">
        <w:t>ṭ</w:t>
      </w:r>
      <w:r w:rsidRPr="008F03E5">
        <w:rPr>
          <w:rFonts w:eastAsia="Times New Roman"/>
        </w:rPr>
        <w:t xml:space="preserve">yab); things lawful or excellent (pl. of </w:t>
      </w:r>
      <w:r w:rsidRPr="008F03E5">
        <w:t>ṭ</w:t>
      </w:r>
      <w:r w:rsidRPr="008F03E5">
        <w:rPr>
          <w:rFonts w:eastAsia="Times New Roman"/>
        </w:rPr>
        <w:t xml:space="preserve">ayyibat); name of a tree in paradise.  Qur’án 13:29.  </w:t>
      </w:r>
      <w:r w:rsidRPr="008F03E5">
        <w:t>Ṭ</w:t>
      </w:r>
      <w:r w:rsidRPr="008F03E5">
        <w:rPr>
          <w:rFonts w:eastAsia="PMingLiU"/>
          <w:lang w:eastAsia="zh-TW"/>
        </w:rPr>
        <w:t xml:space="preserve">úbá </w:t>
      </w:r>
      <w:r w:rsidRPr="008F03E5">
        <w:rPr>
          <w:rFonts w:eastAsia="PMingLiU"/>
          <w:u w:val="single"/>
          <w:lang w:eastAsia="zh-TW"/>
        </w:rPr>
        <w:t>Kh</w:t>
      </w:r>
      <w:r w:rsidRPr="008F03E5">
        <w:t>á</w:t>
      </w:r>
      <w:r w:rsidRPr="008F03E5">
        <w:rPr>
          <w:rFonts w:eastAsia="PMingLiU"/>
          <w:lang w:eastAsia="zh-TW"/>
        </w:rPr>
        <w:t>num</w:t>
      </w:r>
      <w:r w:rsidRPr="008F03E5">
        <w:t xml:space="preserve"> (1880–1959)</w:t>
      </w:r>
      <w:r w:rsidRPr="008F03E5">
        <w:rPr>
          <w:rFonts w:eastAsia="PMingLiU"/>
          <w:lang w:eastAsia="zh-TW"/>
        </w:rPr>
        <w:t>, a twin daughter of ‘Abdu’l-Bahá.  See Rú</w:t>
      </w:r>
      <w:r w:rsidRPr="008F03E5">
        <w:t>ḥ</w:t>
      </w:r>
      <w:r w:rsidRPr="008F03E5">
        <w:rPr>
          <w:rFonts w:eastAsia="PMingLiU"/>
          <w:lang w:eastAsia="zh-TW"/>
        </w:rPr>
        <w:t>á.</w:t>
      </w:r>
    </w:p>
    <w:p w14:paraId="19633526" w14:textId="77777777" w:rsidR="00625A5B" w:rsidRPr="008F03E5" w:rsidRDefault="00625A5B" w:rsidP="00235DAE">
      <w:pPr>
        <w:pStyle w:val="Translit"/>
      </w:pPr>
      <w:r w:rsidRPr="008F03E5">
        <w:t>Tubba’</w:t>
      </w:r>
      <w:r w:rsidRPr="008F03E5">
        <w:tab/>
        <w:t>Tubba‘</w:t>
      </w:r>
      <w:r w:rsidRPr="008F03E5">
        <w:tab/>
        <w:t>[proper name] title and name of a number of Himyar kings who ruled in Southern Arabia until overrun by the Abyssinians in 4th century CE (Qur’án 44:37).  See Taba‘.</w:t>
      </w:r>
    </w:p>
    <w:p w14:paraId="0DFA9F3E" w14:textId="77777777" w:rsidR="00625A5B" w:rsidRPr="005B7D0E" w:rsidRDefault="00625A5B" w:rsidP="000A5F4B">
      <w:pPr>
        <w:pStyle w:val="Translit"/>
        <w:rPr>
          <w:rFonts w:eastAsia="Times New Roman"/>
        </w:rPr>
      </w:pPr>
      <w:r w:rsidRPr="005B7D0E">
        <w:rPr>
          <w:rFonts w:eastAsia="Times New Roman"/>
        </w:rPr>
        <w:t>Tubchi (Tub-chi, Tobchi, Topchi)</w:t>
      </w:r>
      <w:r w:rsidRPr="005B7D0E">
        <w:rPr>
          <w:rFonts w:eastAsia="Times New Roman"/>
        </w:rPr>
        <w:tab/>
        <w:t>T</w:t>
      </w:r>
      <w:r w:rsidRPr="005B7D0E">
        <w:t>ú</w:t>
      </w:r>
      <w:r w:rsidRPr="005B7D0E">
        <w:rPr>
          <w:rFonts w:eastAsia="Times New Roman"/>
        </w:rPr>
        <w:t>b</w:t>
      </w:r>
      <w:r w:rsidRPr="005B7D0E">
        <w:rPr>
          <w:rFonts w:eastAsia="Times New Roman"/>
          <w:u w:val="single"/>
        </w:rPr>
        <w:t>ch</w:t>
      </w:r>
      <w:r w:rsidRPr="005B7D0E">
        <w:t>í</w:t>
      </w:r>
      <w:r>
        <w:t xml:space="preserve"> (</w:t>
      </w:r>
      <w:r w:rsidRPr="005B7D0E">
        <w:rPr>
          <w:rFonts w:eastAsia="Times New Roman"/>
        </w:rPr>
        <w:t>T</w:t>
      </w:r>
      <w:r w:rsidRPr="005B7D0E">
        <w:t>ú</w:t>
      </w:r>
      <w:r w:rsidRPr="005B7D0E">
        <w:rPr>
          <w:rFonts w:eastAsia="Times New Roman"/>
        </w:rPr>
        <w:t>b</w:t>
      </w:r>
      <w:r>
        <w:rPr>
          <w:rFonts w:eastAsia="Times New Roman"/>
        </w:rPr>
        <w:t>-</w:t>
      </w:r>
      <w:r w:rsidRPr="005B7D0E">
        <w:rPr>
          <w:rFonts w:eastAsia="Times New Roman"/>
          <w:u w:val="single"/>
        </w:rPr>
        <w:t>ch</w:t>
      </w:r>
      <w:r w:rsidRPr="005B7D0E">
        <w:t>í</w:t>
      </w:r>
      <w:r>
        <w:t>)</w:t>
      </w:r>
      <w:r>
        <w:tab/>
        <w:t xml:space="preserve">(Turkish </w:t>
      </w:r>
      <w:r w:rsidRPr="005B7D0E">
        <w:t>topçu</w:t>
      </w:r>
      <w:r>
        <w:t>) gunner, artilleryman</w:t>
      </w:r>
    </w:p>
    <w:p w14:paraId="62BBB5FC" w14:textId="77777777" w:rsidR="00625A5B" w:rsidRPr="008F03E5" w:rsidRDefault="00625A5B" w:rsidP="00D927F0">
      <w:pPr>
        <w:pStyle w:val="Translit"/>
      </w:pPr>
      <w:r w:rsidRPr="008F03E5">
        <w:rPr>
          <w:rFonts w:eastAsia="Times New Roman"/>
        </w:rPr>
        <w:t>Tufan (Tofan)</w:t>
      </w:r>
      <w:r w:rsidRPr="008F03E5">
        <w:rPr>
          <w:rFonts w:eastAsia="Times New Roman"/>
        </w:rPr>
        <w:tab/>
        <w:t>T</w:t>
      </w:r>
      <w:r w:rsidRPr="008F03E5">
        <w:t>ú</w:t>
      </w:r>
      <w:r w:rsidRPr="008F03E5">
        <w:rPr>
          <w:rFonts w:eastAsia="Times New Roman"/>
        </w:rPr>
        <w:t>fán</w:t>
      </w:r>
      <w:r w:rsidRPr="008F03E5">
        <w:rPr>
          <w:rFonts w:eastAsia="Times New Roman"/>
        </w:rPr>
        <w:tab/>
        <w:t>Pers. noise, sound, din; the confused hum of men or animals; the roaring of the sea; a storm</w:t>
      </w:r>
    </w:p>
    <w:p w14:paraId="564161AF" w14:textId="77777777" w:rsidR="00625A5B" w:rsidRPr="008F03E5" w:rsidRDefault="00625A5B" w:rsidP="00900A82">
      <w:pPr>
        <w:pStyle w:val="Translit"/>
      </w:pPr>
      <w:r w:rsidRPr="008F03E5">
        <w:t>Tufang</w:t>
      </w:r>
      <w:r w:rsidRPr="008F03E5">
        <w:tab/>
        <w:t>Tufang</w:t>
      </w:r>
      <w:r w:rsidRPr="008F03E5">
        <w:tab/>
        <w:t>Pers. musket</w:t>
      </w:r>
    </w:p>
    <w:p w14:paraId="254D47F3" w14:textId="77777777" w:rsidR="00625A5B" w:rsidRDefault="00625A5B" w:rsidP="00E464F1">
      <w:pPr>
        <w:pStyle w:val="Translit"/>
      </w:pPr>
      <w:r w:rsidRPr="005C13DF">
        <w:t>Tufangchi (Tufang-chi), Tufangchi-ha</w:t>
      </w:r>
      <w:r w:rsidRPr="005C13DF">
        <w:tab/>
        <w:t>Tufang</w:t>
      </w:r>
      <w:r w:rsidRPr="005C13DF">
        <w:rPr>
          <w:u w:val="single"/>
        </w:rPr>
        <w:t>ch</w:t>
      </w:r>
      <w:r w:rsidRPr="005C13DF">
        <w:t xml:space="preserve">i, pl. </w:t>
      </w:r>
      <w:r w:rsidRPr="008F03E5">
        <w:t>Tufang</w:t>
      </w:r>
      <w:r>
        <w:t>c</w:t>
      </w:r>
      <w:r w:rsidRPr="008F03E5">
        <w:rPr>
          <w:u w:val="single"/>
        </w:rPr>
        <w:t>h</w:t>
      </w:r>
      <w:r w:rsidRPr="00E464F1">
        <w:t>i</w:t>
      </w:r>
      <w:r>
        <w:t>-h</w:t>
      </w:r>
      <w:r w:rsidRPr="00E464F1">
        <w:t>á</w:t>
      </w:r>
      <w:r w:rsidRPr="008F03E5">
        <w:tab/>
      </w:r>
      <w:r>
        <w:t xml:space="preserve">Turkish </w:t>
      </w:r>
      <w:r w:rsidRPr="008F03E5">
        <w:t>musketeer, rifleman, armed guard</w:t>
      </w:r>
      <w:r>
        <w:t>.</w:t>
      </w:r>
    </w:p>
    <w:p w14:paraId="20CDF2CC" w14:textId="77777777" w:rsidR="00625A5B" w:rsidRPr="008F03E5" w:rsidRDefault="00625A5B" w:rsidP="004454B2">
      <w:pPr>
        <w:pStyle w:val="Translit"/>
      </w:pPr>
      <w:r w:rsidRPr="008F03E5">
        <w:t>Tufang</w:t>
      </w:r>
      <w:r>
        <w:t>dar</w:t>
      </w:r>
      <w:r w:rsidRPr="008F03E5">
        <w:t>, Tufang</w:t>
      </w:r>
      <w:r>
        <w:t>daran</w:t>
      </w:r>
      <w:r w:rsidRPr="008F03E5">
        <w:tab/>
        <w:t>Tufang</w:t>
      </w:r>
      <w:r>
        <w:t>dar, pl. Tufangd</w:t>
      </w:r>
      <w:r w:rsidRPr="004454B2">
        <w:t>á</w:t>
      </w:r>
      <w:r>
        <w:t>r</w:t>
      </w:r>
      <w:r w:rsidRPr="004454B2">
        <w:t>á</w:t>
      </w:r>
      <w:r>
        <w:t>n</w:t>
      </w:r>
      <w:r>
        <w:tab/>
        <w:t xml:space="preserve">Pers. literally, “rifle holder or keeper”) </w:t>
      </w:r>
      <w:r w:rsidRPr="008F03E5">
        <w:t xml:space="preserve">musketeer, rifleman, </w:t>
      </w:r>
      <w:r>
        <w:t xml:space="preserve">gunman, </w:t>
      </w:r>
      <w:r w:rsidRPr="008F03E5">
        <w:t>armed guard</w:t>
      </w:r>
      <w:r>
        <w:t>.</w:t>
      </w:r>
    </w:p>
    <w:p w14:paraId="17E83475" w14:textId="77777777" w:rsidR="00625A5B" w:rsidRPr="008F03E5" w:rsidRDefault="00625A5B" w:rsidP="0025216E">
      <w:pPr>
        <w:pStyle w:val="Translit"/>
      </w:pPr>
      <w:r w:rsidRPr="008F03E5">
        <w:t>Tughanni</w:t>
      </w:r>
      <w:r w:rsidRPr="008F03E5">
        <w:tab/>
        <w:t>Tu</w:t>
      </w:r>
      <w:r w:rsidRPr="008F03E5">
        <w:rPr>
          <w:u w:val="single"/>
        </w:rPr>
        <w:t>gh</w:t>
      </w:r>
      <w:r w:rsidRPr="008F03E5">
        <w:t>anní</w:t>
      </w:r>
      <w:r w:rsidRPr="008F03E5">
        <w:tab/>
        <w:t xml:space="preserve">singing; cooing; celebrating a mistress in song; being contented, able to do without.  From </w:t>
      </w:r>
      <w:r w:rsidRPr="008F03E5">
        <w:rPr>
          <w:u w:val="single"/>
        </w:rPr>
        <w:t>gh</w:t>
      </w:r>
      <w:r w:rsidRPr="008F03E5">
        <w:t>iná’, singing, song.</w:t>
      </w:r>
    </w:p>
    <w:p w14:paraId="423136C2" w14:textId="77777777" w:rsidR="00625A5B" w:rsidRPr="008F03E5" w:rsidRDefault="00625A5B" w:rsidP="00AF340F">
      <w:pPr>
        <w:pStyle w:val="Translit"/>
      </w:pPr>
      <w:r w:rsidRPr="008F03E5">
        <w:t>Tuhfa, Tuhaf</w:t>
      </w:r>
      <w:r w:rsidRPr="008F03E5">
        <w:tab/>
        <w:t>Tuḥfa[t], Tuḥaf</w:t>
      </w:r>
      <w:r w:rsidRPr="008F03E5">
        <w:tab/>
        <w:t xml:space="preserve">a gift, present; an excellent, rare thing, worthy of being presented, rarity, curiosity, choice thing; title of many books, e.g. </w:t>
      </w:r>
      <w:r w:rsidRPr="008F03E5">
        <w:rPr>
          <w:i/>
          <w:iCs/>
        </w:rPr>
        <w:t>Tuḥfatu’s-saláṭín</w:t>
      </w:r>
      <w:r w:rsidRPr="008F03E5">
        <w:t>, “Present for Kings”</w:t>
      </w:r>
    </w:p>
    <w:p w14:paraId="750E8A8A" w14:textId="77777777" w:rsidR="00625A5B" w:rsidRPr="008F03E5" w:rsidRDefault="00625A5B" w:rsidP="00E247F0">
      <w:pPr>
        <w:pStyle w:val="Translit"/>
      </w:pPr>
      <w:r w:rsidRPr="008F03E5">
        <w:t>Tuhfat al-Muluk</w:t>
      </w:r>
      <w:r w:rsidRPr="008F03E5">
        <w:tab/>
        <w:t>Tuḥfat al-Mulúk</w:t>
      </w:r>
      <w:r w:rsidRPr="008F03E5">
        <w:tab/>
      </w:r>
      <w:r w:rsidRPr="008F03E5">
        <w:rPr>
          <w:i/>
          <w:iCs/>
        </w:rPr>
        <w:t>The Gift offered to the Sovereigns</w:t>
      </w:r>
      <w:r w:rsidRPr="008F03E5">
        <w:t xml:space="preserve"> or </w:t>
      </w:r>
      <w:r w:rsidRPr="008F03E5">
        <w:rPr>
          <w:i/>
          <w:iCs/>
        </w:rPr>
        <w:t>A Gift for Kings</w:t>
      </w:r>
      <w:r w:rsidRPr="008F03E5">
        <w:t>, written by Sayyid Ja‘far al-Ka</w:t>
      </w:r>
      <w:r w:rsidRPr="008F03E5">
        <w:rPr>
          <w:u w:val="single"/>
        </w:rPr>
        <w:t>sh</w:t>
      </w:r>
      <w:r w:rsidRPr="008F03E5">
        <w:t>fí, father of Sayyid Yaḥyá Darábí</w:t>
      </w:r>
    </w:p>
    <w:p w14:paraId="49E5B6B6" w14:textId="77777777" w:rsidR="00625A5B" w:rsidRPr="008F03E5" w:rsidRDefault="00625A5B" w:rsidP="00281F3B">
      <w:pPr>
        <w:pStyle w:val="Translit"/>
      </w:pPr>
      <w:r w:rsidRPr="008F03E5">
        <w:t>Tujib</w:t>
      </w:r>
      <w:r w:rsidRPr="008F03E5">
        <w:tab/>
        <w:t>Tujíb</w:t>
      </w:r>
      <w:r w:rsidRPr="008F03E5">
        <w:tab/>
        <w:t>answer.  Banú Tujíb (the Tujibids (a</w:t>
      </w:r>
      <w:r>
        <w:t>t</w:t>
      </w:r>
      <w:r w:rsidRPr="008F03E5">
        <w:t>-Tujíbiyyún, sing. Tujíbí)) or Banú al-Muhájir, were an Arab dynasty of al-Andalus.</w:t>
      </w:r>
    </w:p>
    <w:p w14:paraId="0C9F3139" w14:textId="77777777" w:rsidR="00625A5B" w:rsidRPr="008F03E5" w:rsidRDefault="00625A5B" w:rsidP="00343DBF">
      <w:pPr>
        <w:pStyle w:val="Translit"/>
        <w:rPr>
          <w:rFonts w:eastAsia="PMingLiU"/>
          <w:lang w:eastAsia="zh-TW"/>
        </w:rPr>
      </w:pPr>
      <w:r w:rsidRPr="008F03E5">
        <w:t>Tukayha (Tulaiha)</w:t>
      </w:r>
      <w:r w:rsidRPr="008F03E5">
        <w:tab/>
        <w:t>Ṭulayha[h]</w:t>
      </w:r>
      <w:r w:rsidRPr="008F03E5">
        <w:tab/>
        <w:t xml:space="preserve">Ṭalḥah ibn </w:t>
      </w:r>
      <w:r w:rsidRPr="008F03E5">
        <w:rPr>
          <w:u w:val="single"/>
        </w:rPr>
        <w:t>Kh</w:t>
      </w:r>
      <w:r w:rsidRPr="008F03E5">
        <w:t>uwaylid ibn Nawfal al-Asadí (contemptuously called Ṭulayhah, the little Ṭalḥah) was a Arab clan chief and military commander during the time of Muḥammad.  He rebelled against Muḥammad in 631 when he claimed to be a prophet (the third person to do so) and the recipient of divine revelation.  After finally being defeated by the Muslims in 632, Ṭulayha escaped and sought refuge in Syria.  He later accepted Islam when Syria was conquered by the Muslims.</w:t>
      </w:r>
    </w:p>
    <w:p w14:paraId="523007A9" w14:textId="77777777" w:rsidR="00625A5B" w:rsidRPr="008F03E5" w:rsidRDefault="00625A5B" w:rsidP="00A9237A">
      <w:pPr>
        <w:pStyle w:val="Translit"/>
        <w:rPr>
          <w:rFonts w:eastAsia="PMingLiU"/>
          <w:lang w:eastAsia="zh-TW"/>
        </w:rPr>
      </w:pPr>
      <w:r w:rsidRPr="008F03E5">
        <w:rPr>
          <w:rFonts w:eastAsia="PMingLiU"/>
          <w:lang w:eastAsia="zh-TW"/>
        </w:rPr>
        <w:t>Tulu’</w:t>
      </w:r>
      <w:r w:rsidRPr="008F03E5">
        <w:rPr>
          <w:rFonts w:eastAsia="PMingLiU"/>
          <w:lang w:eastAsia="zh-TW"/>
        </w:rPr>
        <w:tab/>
        <w:t>Ṭulú‘</w:t>
      </w:r>
      <w:r w:rsidRPr="008F03E5">
        <w:rPr>
          <w:rFonts w:eastAsia="PMingLiU"/>
          <w:lang w:eastAsia="zh-TW"/>
        </w:rPr>
        <w:tab/>
        <w:t>rising, going up, ascending, ascension; rise (especially of celestial bodies); appearance; climbing, ascent (of a mountain)</w:t>
      </w:r>
    </w:p>
    <w:p w14:paraId="17A2C1D4" w14:textId="77777777" w:rsidR="00625A5B" w:rsidRPr="00C36318" w:rsidRDefault="00625A5B" w:rsidP="00A9237A">
      <w:pPr>
        <w:pStyle w:val="Translit"/>
        <w:rPr>
          <w:lang w:val="es-ES_tradnl"/>
        </w:rPr>
      </w:pPr>
      <w:r w:rsidRPr="00C36318">
        <w:rPr>
          <w:rFonts w:eastAsia="PMingLiU"/>
          <w:lang w:val="es-ES_tradnl" w:eastAsia="zh-TW"/>
        </w:rPr>
        <w:t>Tulun</w:t>
      </w:r>
      <w:r w:rsidRPr="00C36318">
        <w:rPr>
          <w:lang w:val="es-ES_tradnl"/>
        </w:rPr>
        <w:tab/>
        <w:t>Ṭ</w:t>
      </w:r>
      <w:r w:rsidRPr="00C36318">
        <w:rPr>
          <w:rFonts w:eastAsia="PMingLiU"/>
          <w:lang w:val="es-ES_tradnl" w:eastAsia="zh-TW"/>
        </w:rPr>
        <w:t>úlún</w:t>
      </w:r>
      <w:r w:rsidRPr="00C36318">
        <w:rPr>
          <w:lang w:val="es-ES_tradnl"/>
        </w:rPr>
        <w:tab/>
        <w:t>Aḥmad ibn Ṭúlún</w:t>
      </w:r>
    </w:p>
    <w:p w14:paraId="59F296EA" w14:textId="77777777" w:rsidR="00625A5B" w:rsidRPr="005E430A" w:rsidRDefault="00625A5B" w:rsidP="00CE5B7F">
      <w:pPr>
        <w:pStyle w:val="Translit"/>
      </w:pPr>
      <w:r w:rsidRPr="005E430A">
        <w:rPr>
          <w:lang w:val="es-ES_tradnl"/>
        </w:rPr>
        <w:t>Tuman</w:t>
      </w:r>
      <w:r>
        <w:rPr>
          <w:lang w:val="es-ES_tradnl"/>
        </w:rPr>
        <w:t xml:space="preserve"> (Toman)</w:t>
      </w:r>
      <w:r w:rsidRPr="005E430A">
        <w:rPr>
          <w:lang w:val="es-ES_tradnl"/>
        </w:rPr>
        <w:t>, Atwam, Tuman-ha</w:t>
      </w:r>
      <w:r w:rsidRPr="005E430A">
        <w:rPr>
          <w:lang w:val="es-ES_tradnl"/>
        </w:rPr>
        <w:tab/>
        <w:t xml:space="preserve">Túmán, pl. </w:t>
      </w:r>
      <w:r w:rsidRPr="005E430A">
        <w:t>Atwám, Pers. Túmán-há</w:t>
      </w:r>
      <w:r w:rsidRPr="005E430A">
        <w:tab/>
        <w:t>a myriad, literally 10,000</w:t>
      </w:r>
      <w:r>
        <w:t xml:space="preserve"> or a “large number”.  Pers.</w:t>
      </w:r>
      <w:r w:rsidRPr="005E430A">
        <w:t xml:space="preserve"> </w:t>
      </w:r>
      <w:r>
        <w:t xml:space="preserve">a </w:t>
      </w:r>
      <w:r w:rsidRPr="005E430A">
        <w:t>gold coin</w:t>
      </w:r>
      <w:r>
        <w:t xml:space="preserve"> or the </w:t>
      </w:r>
      <w:r w:rsidRPr="005E430A">
        <w:t xml:space="preserve">19th </w:t>
      </w:r>
      <w:r w:rsidRPr="008F03E5">
        <w:t>century Persian</w:t>
      </w:r>
      <w:r>
        <w:t xml:space="preserve"> currency</w:t>
      </w:r>
      <w:r w:rsidRPr="005E430A">
        <w:t xml:space="preserve">.  </w:t>
      </w:r>
      <w:r>
        <w:t>M</w:t>
      </w:r>
      <w:r w:rsidRPr="008F03E5">
        <w:t xml:space="preserve">odern </w:t>
      </w:r>
      <w:r>
        <w:t>currency is the</w:t>
      </w:r>
      <w:r w:rsidRPr="008F03E5">
        <w:t xml:space="preserve"> rial (riyál), </w:t>
      </w:r>
      <w:r>
        <w:t xml:space="preserve">with 10 rials to a </w:t>
      </w:r>
      <w:r w:rsidRPr="008F03E5">
        <w:t>toman.</w:t>
      </w:r>
      <w:r>
        <w:t xml:space="preserve">—pl. </w:t>
      </w:r>
      <w:r w:rsidRPr="005E430A">
        <w:t>“tens of thousands” or “large numbers”</w:t>
      </w:r>
      <w:r>
        <w:t>.</w:t>
      </w:r>
    </w:p>
    <w:p w14:paraId="4A9471FD" w14:textId="77777777" w:rsidR="00625A5B" w:rsidRPr="008F03E5" w:rsidRDefault="00625A5B" w:rsidP="00391014">
      <w:pPr>
        <w:pStyle w:val="Translit"/>
      </w:pPr>
      <w:r w:rsidRPr="008F03E5">
        <w:t>Tumban</w:t>
      </w:r>
      <w:r w:rsidRPr="008F03E5">
        <w:tab/>
        <w:t>Tumbán</w:t>
      </w:r>
      <w:r w:rsidRPr="008F03E5">
        <w:tab/>
        <w:t>Pers. short breeches; drawers; wrestlers’ leathern breeches</w:t>
      </w:r>
    </w:p>
    <w:p w14:paraId="3BE5CEBA" w14:textId="77777777" w:rsidR="00625A5B" w:rsidRPr="008F03E5" w:rsidRDefault="00625A5B" w:rsidP="00105BC4">
      <w:pPr>
        <w:pStyle w:val="Translit"/>
      </w:pPr>
      <w:r w:rsidRPr="008F03E5">
        <w:t>Tun (Toon)</w:t>
      </w:r>
      <w:r w:rsidRPr="008F03E5">
        <w:tab/>
        <w:t>Tún</w:t>
      </w:r>
      <w:r w:rsidRPr="008F03E5">
        <w:tab/>
        <w:t>Pers. the stove of a bath; the womb.  City now named Firdaws.  Named Fárán by Bahá’u’lláh.</w:t>
      </w:r>
    </w:p>
    <w:p w14:paraId="7A388AE9" w14:textId="77777777" w:rsidR="00625A5B" w:rsidRPr="008F03E5" w:rsidRDefault="00625A5B" w:rsidP="000F3B54">
      <w:pPr>
        <w:pStyle w:val="Translit"/>
      </w:pPr>
      <w:r w:rsidRPr="008F03E5">
        <w:t>Tunbak, Tumbak, Tunbaku</w:t>
      </w:r>
      <w:r w:rsidRPr="008F03E5">
        <w:tab/>
        <w:t>Tunbák and Tumbák, Pers. Tunbákú</w:t>
      </w:r>
      <w:r w:rsidRPr="008F03E5">
        <w:tab/>
        <w:t>(Tunbák is pronounced tumbák) Persian tobacco,</w:t>
      </w:r>
      <w:r w:rsidRPr="008F03E5">
        <w:rPr>
          <w:rFonts w:eastAsia="Times New Roman"/>
          <w:i/>
          <w:iCs/>
        </w:rPr>
        <w:t xml:space="preserve"> Nicotiana persica</w:t>
      </w:r>
      <w:r w:rsidRPr="008F03E5">
        <w:t xml:space="preserve"> (especially for use in the nárgíl, “narghile”)</w:t>
      </w:r>
    </w:p>
    <w:p w14:paraId="66360893" w14:textId="77777777" w:rsidR="00625A5B" w:rsidRPr="008F03E5" w:rsidRDefault="00625A5B" w:rsidP="001475C2">
      <w:pPr>
        <w:pStyle w:val="Translit"/>
      </w:pPr>
      <w:r w:rsidRPr="008F03E5">
        <w:t>Tunukaban, Tanukaban (Tonekabon)</w:t>
      </w:r>
      <w:r w:rsidRPr="008F03E5">
        <w:tab/>
        <w:t>Tunukában, Tunukábun</w:t>
      </w:r>
      <w:r w:rsidRPr="008F03E5">
        <w:tab/>
        <w:t xml:space="preserve">(Tanukában, Tunikábun, </w:t>
      </w:r>
      <w:r w:rsidRPr="008F03E5">
        <w:rPr>
          <w:rtl/>
        </w:rPr>
        <w:t>تنكابن</w:t>
      </w:r>
      <w:r w:rsidRPr="008F03E5">
        <w:t xml:space="preserve">) city on the south coast of the Caspian Sea (134 km </w:t>
      </w:r>
      <w:r w:rsidRPr="008F03E5">
        <w:rPr>
          <w:sz w:val="16"/>
          <w:szCs w:val="16"/>
        </w:rPr>
        <w:t>NW</w:t>
      </w:r>
      <w:r w:rsidRPr="008F03E5">
        <w:t xml:space="preserve"> Ṭihrán), formerly known as </w:t>
      </w:r>
      <w:r w:rsidRPr="008F03E5">
        <w:rPr>
          <w:u w:val="single"/>
        </w:rPr>
        <w:t>Sh</w:t>
      </w:r>
      <w:r w:rsidRPr="008F03E5">
        <w:t>ahsavár, in and the capital of Tanukában County, Mazandaran Province, northern Iran.  -bán ending used by some authors.</w:t>
      </w:r>
    </w:p>
    <w:p w14:paraId="41F3D9E0" w14:textId="77777777" w:rsidR="00625A5B" w:rsidRPr="008F03E5" w:rsidRDefault="00625A5B" w:rsidP="001475C2">
      <w:pPr>
        <w:pStyle w:val="Translit"/>
      </w:pPr>
      <w:r w:rsidRPr="008F03E5">
        <w:t>Tunukabani, Tunukabuni, Tunikabani</w:t>
      </w:r>
      <w:r w:rsidRPr="008F03E5">
        <w:tab/>
        <w:t>Tunukábaní, Tunukábuní, Tunikábaní</w:t>
      </w:r>
      <w:r w:rsidRPr="008F03E5">
        <w:tab/>
        <w:t xml:space="preserve">Muḥammad ibn Sulymán </w:t>
      </w:r>
      <w:r w:rsidRPr="008F03E5">
        <w:rPr>
          <w:u w:val="single"/>
        </w:rPr>
        <w:t>Kh</w:t>
      </w:r>
      <w:r w:rsidRPr="008F03E5">
        <w:t xml:space="preserve">án-i-Tunukábaní (1852–1898).  Surnamed by Bahá’u’lláh as Jamálu’d-Dín (Beauty of the Faith) and usually referred to as Jamál Afandí.  Mírzá Muḥammad ibn Sulaymán Tunukábaní (1819 or 20–1885, author of </w:t>
      </w:r>
      <w:r w:rsidRPr="008F03E5">
        <w:rPr>
          <w:i/>
          <w:iCs/>
        </w:rPr>
        <w:t>Qiṣaṣ al-‘Ulamá’</w:t>
      </w:r>
      <w:r w:rsidRPr="008F03E5">
        <w:t xml:space="preserve"> (in Persian) biography of </w:t>
      </w:r>
      <w:r w:rsidRPr="008F03E5">
        <w:rPr>
          <w:u w:val="single"/>
        </w:rPr>
        <w:t>Sh</w:t>
      </w:r>
      <w:r w:rsidRPr="008F03E5">
        <w:t>í‘a scholars</w:t>
      </w:r>
      <w:r w:rsidRPr="008F03E5">
        <w:rPr>
          <w:i/>
          <w:iCs/>
        </w:rPr>
        <w:t>.</w:t>
      </w:r>
    </w:p>
    <w:p w14:paraId="42FA447C" w14:textId="77777777" w:rsidR="00625A5B" w:rsidRPr="008F03E5" w:rsidRDefault="00625A5B" w:rsidP="0068194E">
      <w:pPr>
        <w:pStyle w:val="Translit"/>
      </w:pPr>
      <w:r w:rsidRPr="008F03E5">
        <w:t>Tupakchi (Tupchi)</w:t>
      </w:r>
      <w:r w:rsidRPr="008F03E5">
        <w:tab/>
        <w:t>Túpak</w:t>
      </w:r>
      <w:r w:rsidRPr="008F03E5">
        <w:rPr>
          <w:u w:val="single"/>
        </w:rPr>
        <w:t>ch</w:t>
      </w:r>
      <w:r w:rsidRPr="008F03E5">
        <w:t>í (Túp</w:t>
      </w:r>
      <w:r w:rsidRPr="008F03E5">
        <w:rPr>
          <w:u w:val="single"/>
        </w:rPr>
        <w:t>ch</w:t>
      </w:r>
      <w:r w:rsidRPr="008F03E5">
        <w:t>í)</w:t>
      </w:r>
      <w:r w:rsidRPr="008F03E5">
        <w:tab/>
        <w:t>Pers. Derived from Túpak (musket) and -</w:t>
      </w:r>
      <w:r w:rsidRPr="008F03E5">
        <w:rPr>
          <w:u w:val="single"/>
        </w:rPr>
        <w:t>ch</w:t>
      </w:r>
      <w:r w:rsidRPr="008F03E5">
        <w:t>i (7th Pers. letter) (for -</w:t>
      </w:r>
      <w:r w:rsidRPr="008F03E5">
        <w:rPr>
          <w:u w:val="single"/>
        </w:rPr>
        <w:t>ch</w:t>
      </w:r>
      <w:r w:rsidRPr="008F03E5">
        <w:t>ih) (what, which) to give Túpak</w:t>
      </w:r>
      <w:r w:rsidRPr="008F03E5">
        <w:rPr>
          <w:u w:val="single"/>
        </w:rPr>
        <w:t>ch</w:t>
      </w:r>
      <w:r w:rsidRPr="008F03E5">
        <w:t>í (musketeer or gunner) (e.g. Mahmúd Effendi Toupjee)</w:t>
      </w:r>
    </w:p>
    <w:p w14:paraId="16222849" w14:textId="77777777" w:rsidR="00625A5B" w:rsidRPr="008F03E5" w:rsidRDefault="00625A5B" w:rsidP="00525E8F">
      <w:pPr>
        <w:pStyle w:val="Translit"/>
      </w:pPr>
      <w:r w:rsidRPr="008F03E5">
        <w:t>Tuqa</w:t>
      </w:r>
      <w:r w:rsidRPr="008F03E5">
        <w:tab/>
        <w:t>Tuqá</w:t>
      </w:r>
      <w:r w:rsidRPr="008F03E5">
        <w:tab/>
        <w:t>piety, the fear of God</w:t>
      </w:r>
    </w:p>
    <w:p w14:paraId="377026D3" w14:textId="77777777" w:rsidR="00625A5B" w:rsidRPr="008F03E5" w:rsidRDefault="00625A5B" w:rsidP="00183031">
      <w:pPr>
        <w:pStyle w:val="Translit"/>
      </w:pPr>
      <w:r w:rsidRPr="008F03E5">
        <w:t>Tuqat, Toqat</w:t>
      </w:r>
      <w:r w:rsidRPr="008F03E5">
        <w:tab/>
        <w:t>Túqát</w:t>
      </w:r>
      <w:r w:rsidRPr="008F03E5">
        <w:tab/>
        <w:t xml:space="preserve">city in and the capital of Túqát county in </w:t>
      </w:r>
      <w:r>
        <w:t xml:space="preserve">Anatolia, </w:t>
      </w:r>
      <w:r w:rsidRPr="008F03E5">
        <w:t xml:space="preserve">Türkiye, 100 km </w:t>
      </w:r>
      <w:r w:rsidRPr="008F03E5">
        <w:rPr>
          <w:sz w:val="16"/>
          <w:szCs w:val="16"/>
        </w:rPr>
        <w:t>SSE</w:t>
      </w:r>
      <w:r w:rsidRPr="008F03E5">
        <w:t xml:space="preserve"> of Samsun</w:t>
      </w:r>
    </w:p>
    <w:p w14:paraId="648E503B" w14:textId="77777777" w:rsidR="00625A5B" w:rsidRPr="008F03E5" w:rsidRDefault="00625A5B" w:rsidP="00700357">
      <w:pPr>
        <w:pStyle w:val="Translit"/>
        <w:rPr>
          <w:u w:val="single"/>
        </w:rPr>
      </w:pPr>
      <w:r w:rsidRPr="008F03E5">
        <w:t>Tur as-Sina</w:t>
      </w:r>
      <w:r w:rsidRPr="008F03E5">
        <w:tab/>
        <w:t>Ṭúr as-Síná</w:t>
      </w:r>
      <w:r w:rsidRPr="008F03E5">
        <w:tab/>
        <w:t xml:space="preserve">“Mount Sinai” (Sinai is a modern name) in the Sinai Peninsula is also known as Jabal Músá (“Mountain of Moses”).  Ṭúr is an allusion to Ṭúr as-Síná, which represents the Manifestation of God; Síná represents the human heart (Shoghi Effendi, </w:t>
      </w:r>
      <w:r w:rsidRPr="008F03E5">
        <w:rPr>
          <w:i/>
          <w:iCs/>
        </w:rPr>
        <w:t>Light of Divine Guidance</w:t>
      </w:r>
      <w:r w:rsidRPr="008F03E5">
        <w:t>, Vol. 2, pp. 64–5).  See Jabal al-Lawz.</w:t>
      </w:r>
    </w:p>
    <w:p w14:paraId="42A8D0A2" w14:textId="77777777" w:rsidR="00625A5B" w:rsidRPr="008F03E5" w:rsidRDefault="00625A5B" w:rsidP="00283A1C">
      <w:pPr>
        <w:pStyle w:val="Translit"/>
      </w:pPr>
      <w:r w:rsidRPr="008F03E5">
        <w:t>Tur, Atwar</w:t>
      </w:r>
      <w:r w:rsidRPr="008F03E5">
        <w:tab/>
        <w:t>Ṭúr, pl. Aṭwár</w:t>
      </w:r>
      <w:r w:rsidRPr="008F03E5">
        <w:tab/>
        <w:t>mountain</w:t>
      </w:r>
    </w:p>
    <w:p w14:paraId="6158B197" w14:textId="77777777" w:rsidR="00625A5B" w:rsidRPr="008F03E5" w:rsidRDefault="00625A5B" w:rsidP="009C76DA">
      <w:pPr>
        <w:pStyle w:val="Translit"/>
      </w:pPr>
      <w:r w:rsidRPr="00120039">
        <w:t>Turab, Atriba, Tirban</w:t>
      </w:r>
      <w:r w:rsidRPr="00120039">
        <w:tab/>
        <w:t xml:space="preserve">Turáb, pl. </w:t>
      </w:r>
      <w:r w:rsidRPr="008F03E5">
        <w:t>Atriba, Tirbán</w:t>
      </w:r>
      <w:r w:rsidRPr="008F03E5">
        <w:tab/>
        <w:t xml:space="preserve">dust, earth, dirt; ground, soil.  </w:t>
      </w:r>
      <w:r w:rsidRPr="008F03E5">
        <w:rPr>
          <w:u w:val="single"/>
        </w:rPr>
        <w:t>Sh</w:t>
      </w:r>
      <w:r w:rsidRPr="008F03E5">
        <w:t>ay</w:t>
      </w:r>
      <w:r w:rsidRPr="008F03E5">
        <w:rPr>
          <w:u w:val="single"/>
        </w:rPr>
        <w:t>kh</w:t>
      </w:r>
      <w:r w:rsidRPr="008F03E5">
        <w:t xml:space="preserve"> Abú-Turáb, the Imam-Jum</w:t>
      </w:r>
      <w:r>
        <w:t>’</w:t>
      </w:r>
      <w:r w:rsidRPr="008F03E5">
        <w:t>ih of Shiraz, he ranked among the leading disciples of Siyyid Káẓim.  He married the sister of Mullá Ḥusayn.  He protected the Báb a number of times.</w:t>
      </w:r>
    </w:p>
    <w:p w14:paraId="22A1C66C" w14:textId="77777777" w:rsidR="00625A5B" w:rsidRPr="001457C8" w:rsidRDefault="00625A5B" w:rsidP="00900A82">
      <w:pPr>
        <w:pStyle w:val="Translit"/>
        <w:rPr>
          <w:rFonts w:eastAsia="PMingLiU"/>
          <w:lang w:val="it-IT" w:eastAsia="zh-TW"/>
        </w:rPr>
      </w:pPr>
      <w:r w:rsidRPr="001457C8">
        <w:rPr>
          <w:rFonts w:eastAsia="PMingLiU"/>
          <w:lang w:val="it-IT" w:eastAsia="zh-TW"/>
        </w:rPr>
        <w:t>Turab-i-Ishtihardi</w:t>
      </w:r>
      <w:r w:rsidRPr="001457C8">
        <w:rPr>
          <w:lang w:val="it-IT"/>
        </w:rPr>
        <w:tab/>
      </w:r>
      <w:r w:rsidRPr="001457C8">
        <w:rPr>
          <w:rFonts w:eastAsia="PMingLiU"/>
          <w:lang w:val="it-IT" w:eastAsia="zh-TW"/>
        </w:rPr>
        <w:t>Turáb-i-I</w:t>
      </w:r>
      <w:r w:rsidRPr="001457C8">
        <w:rPr>
          <w:u w:val="single"/>
          <w:lang w:val="it-IT"/>
        </w:rPr>
        <w:t>sh</w:t>
      </w:r>
      <w:r w:rsidRPr="001457C8">
        <w:rPr>
          <w:rFonts w:eastAsia="PMingLiU"/>
          <w:lang w:val="it-IT" w:eastAsia="zh-TW"/>
        </w:rPr>
        <w:t>tihárdi</w:t>
      </w:r>
      <w:r w:rsidRPr="001457C8">
        <w:rPr>
          <w:lang w:val="it-IT"/>
        </w:rPr>
        <w:tab/>
      </w:r>
    </w:p>
    <w:p w14:paraId="3345EB89" w14:textId="77777777" w:rsidR="00625A5B" w:rsidRPr="008F03E5" w:rsidRDefault="00625A5B" w:rsidP="005F042B">
      <w:pPr>
        <w:pStyle w:val="Translit"/>
      </w:pPr>
      <w:r w:rsidRPr="008F03E5">
        <w:t>Turaj (Turadj)</w:t>
      </w:r>
      <w:r w:rsidRPr="008F03E5">
        <w:tab/>
        <w:t>Túraj</w:t>
      </w:r>
      <w:r w:rsidRPr="008F03E5">
        <w:tab/>
        <w:t>Pers. Túraj, also called Túr, is the name of a son of Firaydún</w:t>
      </w:r>
    </w:p>
    <w:p w14:paraId="1C69B97E" w14:textId="77777777" w:rsidR="00625A5B" w:rsidRPr="008F03E5" w:rsidRDefault="00625A5B" w:rsidP="00092323">
      <w:pPr>
        <w:pStyle w:val="Translit"/>
      </w:pPr>
      <w:r w:rsidRPr="008F03E5">
        <w:t>Turan</w:t>
      </w:r>
      <w:r w:rsidRPr="008F03E5">
        <w:tab/>
        <w:t>Túrán</w:t>
      </w:r>
      <w:r w:rsidRPr="008F03E5">
        <w:tab/>
        <w:t>Pers. Turkomania, Turkistán, Transoxania, so named from Túr, eldest son of Farídún, who inherited it from his father</w:t>
      </w:r>
    </w:p>
    <w:p w14:paraId="1EFDDEA2" w14:textId="77777777" w:rsidR="00625A5B" w:rsidRPr="008F03E5" w:rsidRDefault="00625A5B" w:rsidP="00FE5294">
      <w:pPr>
        <w:pStyle w:val="Translit"/>
      </w:pPr>
      <w:r w:rsidRPr="008F03E5">
        <w:t>Turan-Shah</w:t>
      </w:r>
      <w:r w:rsidRPr="008F03E5">
        <w:tab/>
        <w:t>Túrán-</w:t>
      </w:r>
      <w:r w:rsidRPr="008F03E5">
        <w:rPr>
          <w:u w:val="single"/>
        </w:rPr>
        <w:t>Sh</w:t>
      </w:r>
      <w:r w:rsidRPr="008F03E5">
        <w:t>áh</w:t>
      </w:r>
      <w:r w:rsidRPr="008F03E5">
        <w:tab/>
      </w:r>
    </w:p>
    <w:p w14:paraId="0C52A7C0" w14:textId="77777777" w:rsidR="00625A5B" w:rsidRPr="008F03E5" w:rsidRDefault="00625A5B" w:rsidP="00E60CCE">
      <w:pPr>
        <w:pStyle w:val="Translit"/>
      </w:pPr>
      <w:r w:rsidRPr="008F03E5">
        <w:t>Turath</w:t>
      </w:r>
      <w:r w:rsidRPr="008F03E5">
        <w:tab/>
        <w:t>Turá</w:t>
      </w:r>
      <w:r w:rsidRPr="008F03E5">
        <w:rPr>
          <w:u w:val="single"/>
        </w:rPr>
        <w:t>th</w:t>
      </w:r>
      <w:r w:rsidRPr="008F03E5">
        <w:tab/>
        <w:t>inheritance, legacy</w:t>
      </w:r>
    </w:p>
    <w:p w14:paraId="59FA1B62" w14:textId="77777777" w:rsidR="00625A5B" w:rsidRPr="008F03E5" w:rsidRDefault="00625A5B" w:rsidP="002D5FDC">
      <w:pPr>
        <w:pStyle w:val="Translit"/>
      </w:pPr>
      <w:r w:rsidRPr="008F03E5">
        <w:t>Turba, Turab</w:t>
      </w:r>
      <w:r w:rsidRPr="008F03E5">
        <w:tab/>
        <w:t>Turba[h or t], pl. Turab</w:t>
      </w:r>
      <w:r w:rsidRPr="008F03E5">
        <w:tab/>
        <w:t xml:space="preserve">dust; earth, dirt; ground (also figurative); soil; grave, tomb; graveyard, cemetery, burial ground.  Also a small piece of soil or clay, often a clay tablet, </w:t>
      </w:r>
      <w:r w:rsidRPr="008F03E5">
        <w:rPr>
          <w:lang w:eastAsia="en-US"/>
        </w:rPr>
        <w:t>on which the forehead is pressed at the time of the daily prayers</w:t>
      </w:r>
      <w:r w:rsidRPr="008F03E5">
        <w:t xml:space="preserve"> (</w:t>
      </w:r>
      <w:r w:rsidRPr="008F03E5">
        <w:rPr>
          <w:lang w:eastAsia="en-US"/>
        </w:rPr>
        <w:t>ṣalá</w:t>
      </w:r>
      <w:r>
        <w:rPr>
          <w:lang w:eastAsia="en-US"/>
        </w:rPr>
        <w:t>h</w:t>
      </w:r>
      <w:r w:rsidRPr="008F03E5">
        <w:rPr>
          <w:lang w:eastAsia="en-US"/>
        </w:rPr>
        <w:t xml:space="preserve">, </w:t>
      </w:r>
      <w:r w:rsidRPr="008F03E5">
        <w:t>Islamic daily prayers) to symbolize the earth.  Turbat (26.008142, 63.038254) is a city in southern Balú</w:t>
      </w:r>
      <w:r w:rsidRPr="008F03E5">
        <w:rPr>
          <w:u w:val="single"/>
        </w:rPr>
        <w:t>ch</w:t>
      </w:r>
      <w:r w:rsidRPr="008F03E5">
        <w:t>istán, Pakistan.  See Muhr.</w:t>
      </w:r>
    </w:p>
    <w:p w14:paraId="6AF96600" w14:textId="77777777" w:rsidR="00625A5B" w:rsidRPr="008F03E5" w:rsidRDefault="00625A5B" w:rsidP="00DD68BC">
      <w:pPr>
        <w:pStyle w:val="Translit"/>
      </w:pPr>
      <w:r w:rsidRPr="008F03E5">
        <w:t>Turbat-i-Haydariyyih, Turbat-i-Haydari</w:t>
      </w:r>
      <w:r w:rsidRPr="008F03E5">
        <w:tab/>
        <w:t>Turbat-i-Ḥaydaríyyih, Turbat-i-Ḥaydarí</w:t>
      </w:r>
      <w:r w:rsidRPr="008F03E5">
        <w:tab/>
        <w:t xml:space="preserve">“Burial Place of Ḥaydar”, Quṭb ad-Dín Ḥaydar tomb is in the centre of the city.  A city (115 km </w:t>
      </w:r>
      <w:r w:rsidRPr="008F03E5">
        <w:rPr>
          <w:sz w:val="16"/>
          <w:szCs w:val="16"/>
        </w:rPr>
        <w:t>SSW</w:t>
      </w:r>
      <w:r w:rsidRPr="008F03E5">
        <w:t xml:space="preserve"> Ma</w:t>
      </w:r>
      <w:r w:rsidRPr="008F03E5">
        <w:rPr>
          <w:u w:val="single"/>
        </w:rPr>
        <w:t>sh</w:t>
      </w:r>
      <w:r w:rsidRPr="008F03E5">
        <w:t>had) in and capital of Torbat-i-Heydarieh County, in Razavi Khorasan Province, Iran.  Ancient name Závih (Záwa).  The city is famous for high quality za‘farán (saffron).</w:t>
      </w:r>
    </w:p>
    <w:p w14:paraId="7CCB0150" w14:textId="77777777" w:rsidR="00625A5B" w:rsidRPr="008F03E5" w:rsidRDefault="00625A5B" w:rsidP="00927C33">
      <w:pPr>
        <w:pStyle w:val="Translit"/>
      </w:pPr>
      <w:r w:rsidRPr="00077779">
        <w:rPr>
          <w:lang w:val="es-ES_tradnl"/>
        </w:rPr>
        <w:t>Turjuman, Tarajima, Tarajim</w:t>
      </w:r>
      <w:r w:rsidRPr="00077779">
        <w:rPr>
          <w:lang w:val="es-ES_tradnl"/>
        </w:rPr>
        <w:tab/>
        <w:t xml:space="preserve">Turjumán, pl. </w:t>
      </w:r>
      <w:r w:rsidRPr="008F03E5">
        <w:t>Tarájima, Tarájim</w:t>
      </w:r>
      <w:r w:rsidRPr="008F03E5">
        <w:tab/>
        <w:t>(singular also “Tarjaman” and “Tarjuman”) Ar. translator, interpreter; and (metaphorically) a gift, a present (as an interpreter of good feeling).  In English via from old French, Latin, etc.,  also dragoman, pl. dragomans.</w:t>
      </w:r>
    </w:p>
    <w:p w14:paraId="12FE48E2" w14:textId="77777777" w:rsidR="00625A5B" w:rsidRPr="008F03E5" w:rsidRDefault="00625A5B" w:rsidP="002D5FDC">
      <w:pPr>
        <w:pStyle w:val="Translit"/>
      </w:pPr>
      <w:r w:rsidRPr="00B47F3D">
        <w:rPr>
          <w:lang w:val="en-AU"/>
        </w:rPr>
        <w:t>Turkistan (Turkestan)</w:t>
      </w:r>
      <w:r w:rsidRPr="00B47F3D">
        <w:rPr>
          <w:lang w:val="en-AU"/>
        </w:rPr>
        <w:tab/>
      </w:r>
      <w:bookmarkStart w:id="146" w:name="_Hlk60152578"/>
      <w:r w:rsidRPr="00B47F3D">
        <w:rPr>
          <w:lang w:val="en-AU"/>
        </w:rPr>
        <w:t>Turkistán</w:t>
      </w:r>
      <w:bookmarkEnd w:id="146"/>
      <w:r w:rsidRPr="00B47F3D">
        <w:rPr>
          <w:lang w:val="en-AU"/>
        </w:rPr>
        <w:tab/>
        <w:t xml:space="preserve">Pers. </w:t>
      </w:r>
      <w:r w:rsidRPr="008F03E5">
        <w:t>“Land or abode of the Turks” or any place where Turkic peoples lived.  It refers to an area in Central Asia between Siberia to the north and Tibet, India and Afghanistan to the south, the Caspian Sea to the west and the Gobi Desert to the east.  This includes the countries of Kazakhstan, Kyrgyzstan, Tajikistan, Turkmenistan and Uzbekistan.</w:t>
      </w:r>
    </w:p>
    <w:p w14:paraId="403ED274" w14:textId="77777777" w:rsidR="00625A5B" w:rsidRPr="008F03E5" w:rsidRDefault="00625A5B" w:rsidP="009652BB">
      <w:pPr>
        <w:pStyle w:val="Translit"/>
      </w:pPr>
      <w:r w:rsidRPr="008F03E5">
        <w:t>Turkiya, Turkiyah (Turkieh), Turkiye</w:t>
      </w:r>
      <w:r w:rsidRPr="008F03E5">
        <w:tab/>
        <w:t>Turkiya, Pers. Turkiyah, T. Türkiye</w:t>
      </w:r>
      <w:r w:rsidRPr="008F03E5">
        <w:tab/>
        <w:t>Turkey (Türkiye, 2022).  The dissolution of the Ottoman Empire started with the Young Turk Revolution on 24–07–1923.  Turkey or the Republic of Turkey was established on 29–10–1923.  Modern Türkiye consists of what was historical Anatolia (Western, Eastern and North-eastern), which is in Minor Asia, and a little of the European part of the Ottoman empire, located in the lands of Slavs, Illyrians and Greeks known as Rumelia (Western and Eastern).</w:t>
      </w:r>
    </w:p>
    <w:p w14:paraId="451C8980" w14:textId="77777777" w:rsidR="00625A5B" w:rsidRPr="008F03E5" w:rsidRDefault="00625A5B" w:rsidP="00A65662">
      <w:pPr>
        <w:pStyle w:val="Translit"/>
      </w:pPr>
      <w:r w:rsidRPr="008F03E5">
        <w:t>Turkman, Tarakima</w:t>
      </w:r>
      <w:r w:rsidRPr="008F03E5">
        <w:tab/>
        <w:t xml:space="preserve">Turkmán, </w:t>
      </w:r>
      <w:r>
        <w:t xml:space="preserve">pl. </w:t>
      </w:r>
      <w:r w:rsidRPr="008F03E5">
        <w:t>Tarákima[</w:t>
      </w:r>
      <w:r>
        <w:t xml:space="preserve">h or </w:t>
      </w:r>
      <w:r w:rsidRPr="008F03E5">
        <w:t>t]</w:t>
      </w:r>
      <w:r w:rsidRPr="008F03E5">
        <w:tab/>
        <w:t>Turk-like.  Also Turkumán and Turkamán (Turkuman, Turkaman).  at-Turkumán, Turkmen.</w:t>
      </w:r>
    </w:p>
    <w:p w14:paraId="72D3D9C6" w14:textId="77777777" w:rsidR="00625A5B" w:rsidRPr="008F03E5" w:rsidRDefault="00625A5B" w:rsidP="00DC71F8">
      <w:pPr>
        <w:pStyle w:val="Translit"/>
      </w:pPr>
      <w:r w:rsidRPr="008F03E5">
        <w:t>Turkmenabat (Charjuy)</w:t>
      </w:r>
      <w:r w:rsidRPr="008F03E5">
        <w:tab/>
        <w:t>Türkmenabat</w:t>
      </w:r>
      <w:r w:rsidRPr="008F03E5">
        <w:tab/>
        <w:t xml:space="preserve">(Türkmen + ábád)  second-largest city in Turkmenistan and the capital of Lebap Province.  Former name </w:t>
      </w:r>
      <w:r w:rsidRPr="008F03E5">
        <w:rPr>
          <w:u w:val="single"/>
        </w:rPr>
        <w:t>Ch</w:t>
      </w:r>
      <w:r w:rsidRPr="008F03E5">
        <w:t>árjúy (four brooks).</w:t>
      </w:r>
    </w:p>
    <w:p w14:paraId="44567ECF" w14:textId="77777777" w:rsidR="00625A5B" w:rsidRPr="008F03E5" w:rsidRDefault="00625A5B" w:rsidP="00E93EC3">
      <w:pPr>
        <w:pStyle w:val="Translit"/>
      </w:pPr>
      <w:r w:rsidRPr="008F03E5">
        <w:t>Turkmenistan</w:t>
      </w:r>
      <w:r w:rsidRPr="008F03E5">
        <w:tab/>
        <w:t>Türkmenistan</w:t>
      </w:r>
      <w:r w:rsidRPr="008F03E5">
        <w:tab/>
        <w:t>(“Abode of the Turks”) a Central Asian country, bordered by Kazakhstan to the northwest, Uzbekistan to the north, east and northeast, Afghanistan to the southeast, Iran to the south and southwest and the Caspian Sea to the west. Ashqabat (‘I</w:t>
      </w:r>
      <w:r w:rsidRPr="008F03E5">
        <w:rPr>
          <w:u w:val="single"/>
        </w:rPr>
        <w:t>sh</w:t>
      </w:r>
      <w:r w:rsidRPr="008F03E5">
        <w:t>qábád) is the capital and largest city.</w:t>
      </w:r>
    </w:p>
    <w:p w14:paraId="454BAB08" w14:textId="77777777" w:rsidR="00625A5B" w:rsidRPr="008F03E5" w:rsidRDefault="00625A5B" w:rsidP="004A15D0">
      <w:pPr>
        <w:pStyle w:val="Translit"/>
      </w:pPr>
      <w:r w:rsidRPr="008F03E5">
        <w:t>Turkumanchay</w:t>
      </w:r>
      <w:r w:rsidRPr="008F03E5">
        <w:tab/>
        <w:t>Turkuman</w:t>
      </w:r>
      <w:r w:rsidRPr="008F03E5">
        <w:rPr>
          <w:u w:val="single"/>
        </w:rPr>
        <w:t>ch</w:t>
      </w:r>
      <w:r w:rsidRPr="008F03E5">
        <w:t>áy</w:t>
      </w:r>
      <w:r w:rsidRPr="008F03E5">
        <w:tab/>
        <w:t>Torkamanchay (Azerbaijani:  Türkmənçay); is a city in and the capital of Torkamanchay District, in Mianeh County, East Azerbaijan Province, Iran.  The city is well known for the Treaty of Turkmenchay of 1828 that concluded the Russo-Persian War (1826–1828).</w:t>
      </w:r>
    </w:p>
    <w:p w14:paraId="02ED37F6" w14:textId="77777777" w:rsidR="00625A5B" w:rsidRPr="008F03E5" w:rsidRDefault="00625A5B" w:rsidP="008D6DBB">
      <w:pPr>
        <w:pStyle w:val="Translit"/>
      </w:pPr>
      <w:r w:rsidRPr="008F03E5">
        <w:t>Turqabah (Torqabeh, Torghabeh)</w:t>
      </w:r>
      <w:r w:rsidRPr="008F03E5">
        <w:tab/>
        <w:t>Ṭurqabah</w:t>
      </w:r>
      <w:r w:rsidRPr="008F03E5">
        <w:tab/>
        <w:t>Pers. city (36.311341, 59.382279) in Razavi Khorasan Province (Ústán</w:t>
      </w:r>
      <w:r w:rsidRPr="008F03E5">
        <w:rPr>
          <w:rFonts w:eastAsia="PMingLiU"/>
          <w:lang w:eastAsia="zh-TW"/>
        </w:rPr>
        <w:t xml:space="preserve"> Ra</w:t>
      </w:r>
      <w:r w:rsidRPr="008F03E5">
        <w:t>ḍ</w:t>
      </w:r>
      <w:r w:rsidRPr="008F03E5">
        <w:rPr>
          <w:rFonts w:eastAsia="PMingLiU"/>
          <w:lang w:eastAsia="zh-TW"/>
        </w:rPr>
        <w:t xml:space="preserve">awí </w:t>
      </w:r>
      <w:r w:rsidRPr="008F03E5">
        <w:rPr>
          <w:u w:val="single"/>
        </w:rPr>
        <w:t>Kh</w:t>
      </w:r>
      <w:r w:rsidRPr="008F03E5">
        <w:t>urásán)</w:t>
      </w:r>
    </w:p>
    <w:p w14:paraId="61889AFA" w14:textId="77777777" w:rsidR="00625A5B" w:rsidRPr="008F03E5" w:rsidRDefault="00625A5B" w:rsidP="00B753A2">
      <w:pPr>
        <w:pStyle w:val="Translit"/>
      </w:pPr>
      <w:r w:rsidRPr="008F03E5">
        <w:t>Turshiz (Torshiz)</w:t>
      </w:r>
      <w:r w:rsidRPr="008F03E5">
        <w:tab/>
        <w:t>Tur</w:t>
      </w:r>
      <w:r w:rsidRPr="008F03E5">
        <w:rPr>
          <w:u w:val="single"/>
        </w:rPr>
        <w:t>sh</w:t>
      </w:r>
      <w:r w:rsidRPr="008F03E5">
        <w:t>íz</w:t>
      </w:r>
      <w:r w:rsidRPr="008F03E5">
        <w:tab/>
        <w:t>Pers. (</w:t>
      </w:r>
      <w:r w:rsidRPr="008F03E5">
        <w:rPr>
          <w:lang w:eastAsia="en-US"/>
        </w:rPr>
        <w:t>also called Sul</w:t>
      </w:r>
      <w:r w:rsidRPr="008F03E5">
        <w:t>ṭá</w:t>
      </w:r>
      <w:r w:rsidRPr="008F03E5">
        <w:rPr>
          <w:lang w:eastAsia="en-US"/>
        </w:rPr>
        <w:t>n</w:t>
      </w:r>
      <w:r w:rsidRPr="008F03E5">
        <w:t>á</w:t>
      </w:r>
      <w:r w:rsidRPr="008F03E5">
        <w:rPr>
          <w:lang w:eastAsia="en-US"/>
        </w:rPr>
        <w:t>b</w:t>
      </w:r>
      <w:r w:rsidRPr="008F03E5">
        <w:t>á</w:t>
      </w:r>
      <w:r w:rsidRPr="008F03E5">
        <w:rPr>
          <w:lang w:eastAsia="en-US"/>
        </w:rPr>
        <w:t>d, Sul</w:t>
      </w:r>
      <w:r w:rsidRPr="008F03E5">
        <w:t>ṭá</w:t>
      </w:r>
      <w:r w:rsidRPr="008F03E5">
        <w:rPr>
          <w:lang w:eastAsia="en-US"/>
        </w:rPr>
        <w:t>niyyih</w:t>
      </w:r>
      <w:r w:rsidRPr="008F03E5">
        <w:t>) is the ancient name of Ká</w:t>
      </w:r>
      <w:r w:rsidRPr="008F03E5">
        <w:rPr>
          <w:u w:val="single"/>
        </w:rPr>
        <w:t>sh</w:t>
      </w:r>
      <w:r w:rsidRPr="008F03E5">
        <w:t>mar, 70 km west of Turbat-i-Ḥaydaríyyih</w:t>
      </w:r>
    </w:p>
    <w:p w14:paraId="50AE5505" w14:textId="77777777" w:rsidR="00625A5B" w:rsidRPr="008F03E5" w:rsidRDefault="00625A5B" w:rsidP="00B31600">
      <w:pPr>
        <w:pStyle w:val="Translit"/>
      </w:pPr>
      <w:r w:rsidRPr="008F03E5">
        <w:t>Turshizi</w:t>
      </w:r>
      <w:r w:rsidRPr="008F03E5">
        <w:tab/>
        <w:t>Tur</w:t>
      </w:r>
      <w:r w:rsidRPr="008F03E5">
        <w:rPr>
          <w:u w:val="single"/>
        </w:rPr>
        <w:t>sh</w:t>
      </w:r>
      <w:r w:rsidRPr="008F03E5">
        <w:t>ízí</w:t>
      </w:r>
      <w:r w:rsidRPr="008F03E5">
        <w:tab/>
        <w:t>from Tur</w:t>
      </w:r>
      <w:r w:rsidRPr="008F03E5">
        <w:rPr>
          <w:u w:val="single"/>
        </w:rPr>
        <w:t>sh</w:t>
      </w:r>
      <w:r w:rsidRPr="008F03E5">
        <w:t xml:space="preserve">íz.  e.g. Mullá </w:t>
      </w:r>
      <w:r w:rsidRPr="008F03E5">
        <w:rPr>
          <w:u w:val="single"/>
        </w:rPr>
        <w:t>Sh</w:t>
      </w:r>
      <w:r w:rsidRPr="008F03E5">
        <w:t>ay</w:t>
      </w:r>
      <w:r w:rsidRPr="008F03E5">
        <w:rPr>
          <w:u w:val="single"/>
        </w:rPr>
        <w:t>kh</w:t>
      </w:r>
      <w:r w:rsidRPr="008F03E5">
        <w:t>-‘Aliy-i-Tur</w:t>
      </w:r>
      <w:r w:rsidRPr="008F03E5">
        <w:rPr>
          <w:u w:val="single"/>
        </w:rPr>
        <w:t>sh</w:t>
      </w:r>
      <w:r w:rsidRPr="008F03E5">
        <w:t>ízí and Áqá Siyyid Ḥusayn-i-Tur</w:t>
      </w:r>
      <w:r w:rsidRPr="008F03E5">
        <w:rPr>
          <w:u w:val="single"/>
        </w:rPr>
        <w:t>sh</w:t>
      </w:r>
      <w:r w:rsidRPr="008F03E5">
        <w:t>ízí</w:t>
      </w:r>
    </w:p>
    <w:p w14:paraId="4B007662" w14:textId="77777777" w:rsidR="00625A5B" w:rsidRPr="008F03E5" w:rsidRDefault="00625A5B" w:rsidP="00E8426C">
      <w:pPr>
        <w:pStyle w:val="Translit"/>
      </w:pPr>
      <w:r w:rsidRPr="008F03E5">
        <w:t>Tus (Tous, Toos)</w:t>
      </w:r>
      <w:r w:rsidRPr="008F03E5">
        <w:tab/>
        <w:t>Ṭús</w:t>
      </w:r>
      <w:r w:rsidRPr="008F03E5">
        <w:tab/>
        <w:t xml:space="preserve">ancient city 26 km </w:t>
      </w:r>
      <w:r w:rsidRPr="008F03E5">
        <w:rPr>
          <w:sz w:val="16"/>
          <w:szCs w:val="16"/>
        </w:rPr>
        <w:t>NNW</w:t>
      </w:r>
      <w:r w:rsidRPr="008F03E5">
        <w:t xml:space="preserve"> of Ma</w:t>
      </w:r>
      <w:r w:rsidRPr="008F03E5">
        <w:rPr>
          <w:u w:val="single"/>
        </w:rPr>
        <w:t>sh</w:t>
      </w:r>
      <w:r w:rsidRPr="008F03E5">
        <w:t>had.  Greek name Susia.  Now known as Tous.</w:t>
      </w:r>
    </w:p>
    <w:p w14:paraId="6BCA7813" w14:textId="77777777" w:rsidR="00625A5B" w:rsidRPr="008F03E5" w:rsidRDefault="00625A5B" w:rsidP="006B7747">
      <w:pPr>
        <w:pStyle w:val="Translit"/>
      </w:pPr>
      <w:r w:rsidRPr="008F03E5">
        <w:t>Tusi</w:t>
      </w:r>
      <w:r w:rsidRPr="008F03E5">
        <w:tab/>
        <w:t>aṭ-Ṭúsí</w:t>
      </w:r>
      <w:r w:rsidRPr="008F03E5">
        <w:tab/>
        <w:t xml:space="preserve">(Ar. influence) native of Ṭús in </w:t>
      </w:r>
      <w:r w:rsidRPr="008F03E5">
        <w:rPr>
          <w:u w:val="single"/>
        </w:rPr>
        <w:t>Kh</w:t>
      </w:r>
      <w:r w:rsidRPr="008F03E5">
        <w:t>urásán, surname of many celebrated men, e.g. Firdawsí and the astronomer Naṣír a</w:t>
      </w:r>
      <w:r>
        <w:t>d</w:t>
      </w:r>
      <w:r w:rsidRPr="008F03E5">
        <w:t>-Dín Ṭúsí.  Muḥammad ibn Muḥammad ibn al-Ḥasan aṭ-Ṭúsí (1201–1274), better known as Naṣír ad-Dín Ṭúsí or simply Ṭúsí in the West), was a Persian polymath, architect, philosopher, physician, scientist, and theologian.  See Firdawsí.</w:t>
      </w:r>
    </w:p>
    <w:p w14:paraId="516D4F03" w14:textId="77777777" w:rsidR="00625A5B" w:rsidRPr="008F03E5" w:rsidRDefault="00625A5B" w:rsidP="00281F3B">
      <w:pPr>
        <w:pStyle w:val="Translit"/>
      </w:pPr>
      <w:r w:rsidRPr="008F03E5">
        <w:t>Tustari</w:t>
      </w:r>
      <w:r w:rsidRPr="008F03E5">
        <w:tab/>
        <w:t>Tústarí</w:t>
      </w:r>
      <w:r w:rsidRPr="008F03E5">
        <w:tab/>
        <w:t>Imám Abú Muḥammad Sahl ibn ‘Abd Alláh a</w:t>
      </w:r>
      <w:r>
        <w:t>t</w:t>
      </w:r>
      <w:r w:rsidRPr="008F03E5">
        <w:t>-Tústarí (</w:t>
      </w:r>
      <w:r w:rsidRPr="008F03E5">
        <w:rPr>
          <w:sz w:val="16"/>
          <w:szCs w:val="16"/>
        </w:rPr>
        <w:t xml:space="preserve">AH </w:t>
      </w:r>
      <w:r w:rsidRPr="008F03E5">
        <w:t xml:space="preserve">203–283).  Persian Muslim scholar and early classical Sufi mystic born in </w:t>
      </w:r>
      <w:r w:rsidRPr="008F03E5">
        <w:rPr>
          <w:u w:val="single"/>
        </w:rPr>
        <w:t>Sh</w:t>
      </w:r>
      <w:r w:rsidRPr="008F03E5">
        <w:t>ú</w:t>
      </w:r>
      <w:r w:rsidRPr="008F03E5">
        <w:rPr>
          <w:u w:val="single"/>
        </w:rPr>
        <w:t>sh</w:t>
      </w:r>
      <w:r w:rsidRPr="008F03E5">
        <w:t>tar (</w:t>
      </w:r>
      <w:r w:rsidRPr="008F03E5">
        <w:rPr>
          <w:u w:val="single"/>
        </w:rPr>
        <w:t>Sh</w:t>
      </w:r>
      <w:r w:rsidRPr="008F03E5">
        <w:t>ústar).</w:t>
      </w:r>
    </w:p>
    <w:p w14:paraId="697D0552" w14:textId="77777777" w:rsidR="00625A5B" w:rsidRPr="008F03E5" w:rsidRDefault="00625A5B" w:rsidP="00F51F74">
      <w:pPr>
        <w:pStyle w:val="Translit"/>
      </w:pPr>
      <w:r w:rsidRPr="008F03E5">
        <w:t>Tut</w:t>
      </w:r>
      <w:r w:rsidRPr="008F03E5">
        <w:tab/>
        <w:t>Tút</w:t>
      </w:r>
      <w:r w:rsidRPr="008F03E5">
        <w:tab/>
        <w:t>mulberry tree; mulberry; the first month of the Coptic calendar</w:t>
      </w:r>
    </w:p>
    <w:p w14:paraId="7C4215D1" w14:textId="77777777" w:rsidR="00625A5B" w:rsidRPr="008F03E5" w:rsidRDefault="00625A5B" w:rsidP="00F51F74">
      <w:pPr>
        <w:pStyle w:val="Translit"/>
      </w:pPr>
      <w:r w:rsidRPr="008F03E5">
        <w:t>Tuti</w:t>
      </w:r>
      <w:r w:rsidRPr="008F03E5">
        <w:tab/>
        <w:t>Ṭúṭí</w:t>
      </w:r>
      <w:r w:rsidRPr="008F03E5">
        <w:tab/>
        <w:t>Pers. parrot</w:t>
      </w:r>
    </w:p>
    <w:p w14:paraId="0E4BFCDF" w14:textId="77777777" w:rsidR="00625A5B" w:rsidRPr="002B0F73" w:rsidRDefault="00625A5B" w:rsidP="002B0F73">
      <w:pPr>
        <w:pStyle w:val="Translit"/>
      </w:pPr>
      <w:r w:rsidRPr="008F03E5">
        <w:t>Tutunj, Tatanj</w:t>
      </w:r>
      <w:r>
        <w:t>,</w:t>
      </w:r>
      <w:r w:rsidRPr="002B0F73">
        <w:t xml:space="preserve"> </w:t>
      </w:r>
      <w:r w:rsidRPr="008F03E5">
        <w:t>Tutunj</w:t>
      </w:r>
      <w:r>
        <w:t>ayn</w:t>
      </w:r>
      <w:r w:rsidRPr="008F03E5">
        <w:t>, Tatanj</w:t>
      </w:r>
      <w:r>
        <w:t>ayn</w:t>
      </w:r>
      <w:r w:rsidRPr="008F03E5">
        <w:tab/>
        <w:t>Ṭutunj, Ṭatanj</w:t>
      </w:r>
      <w:r>
        <w:tab/>
        <w:t xml:space="preserve">(dual </w:t>
      </w:r>
      <w:r w:rsidRPr="008F03E5">
        <w:t>Ṭutunj</w:t>
      </w:r>
      <w:r>
        <w:t>ayn</w:t>
      </w:r>
      <w:r w:rsidRPr="008F03E5">
        <w:t>, Ṭatanj</w:t>
      </w:r>
      <w:r>
        <w:t xml:space="preserve">ayn) </w:t>
      </w:r>
      <w:r w:rsidRPr="008F03E5">
        <w:t>gulf</w:t>
      </w:r>
      <w:r>
        <w:t xml:space="preserve">. </w:t>
      </w:r>
      <w:r w:rsidRPr="002B0F73">
        <w:t xml:space="preserve"> </w:t>
      </w:r>
      <w:r>
        <w:t>E</w:t>
      </w:r>
      <w:r w:rsidRPr="002B0F73">
        <w:t>tymology, spelling and meaning are unknown</w:t>
      </w:r>
      <w:r>
        <w:t xml:space="preserve">, but </w:t>
      </w:r>
      <w:r w:rsidRPr="002B0F73">
        <w:t xml:space="preserve">Sayyid </w:t>
      </w:r>
      <w:r w:rsidRPr="008F03E5">
        <w:t>Káẓim-i-Ra</w:t>
      </w:r>
      <w:r w:rsidRPr="008F03E5">
        <w:rPr>
          <w:u w:val="single"/>
        </w:rPr>
        <w:t>sh</w:t>
      </w:r>
      <w:r w:rsidRPr="008F03E5">
        <w:t>tí</w:t>
      </w:r>
      <w:r w:rsidRPr="002B0F73">
        <w:t xml:space="preserve"> specifically identified </w:t>
      </w:r>
      <w:r w:rsidRPr="002B0F73">
        <w:rPr>
          <w:u w:val="single"/>
        </w:rPr>
        <w:t>kh</w:t>
      </w:r>
      <w:r w:rsidRPr="002B0F73">
        <w:t>alíj</w:t>
      </w:r>
      <w:r>
        <w:t xml:space="preserve"> as a </w:t>
      </w:r>
      <w:r w:rsidRPr="002B0F73">
        <w:t>synonym</w:t>
      </w:r>
      <w:r>
        <w:t>.</w:t>
      </w:r>
    </w:p>
    <w:p w14:paraId="1430B9ED" w14:textId="77777777" w:rsidR="00625A5B" w:rsidRPr="008F03E5" w:rsidRDefault="00625A5B" w:rsidP="002B0F73">
      <w:pPr>
        <w:pStyle w:val="Translit"/>
      </w:pPr>
      <w:r w:rsidRPr="008F03E5">
        <w:t>Tutunjiya, T</w:t>
      </w:r>
      <w:r>
        <w:t>a</w:t>
      </w:r>
      <w:r w:rsidRPr="008F03E5">
        <w:t>t</w:t>
      </w:r>
      <w:r>
        <w:t>a</w:t>
      </w:r>
      <w:r w:rsidRPr="008F03E5">
        <w:t>njiy</w:t>
      </w:r>
      <w:r>
        <w:t>a</w:t>
      </w:r>
      <w:r w:rsidRPr="008F03E5">
        <w:tab/>
        <w:t>Ṭutunjíya[h</w:t>
      </w:r>
      <w:r>
        <w:t xml:space="preserve"> or t</w:t>
      </w:r>
      <w:r w:rsidRPr="008F03E5">
        <w:t>], Pers. Ṭutunjiyyih</w:t>
      </w:r>
      <w:r w:rsidRPr="008F03E5">
        <w:tab/>
        <w:t xml:space="preserve">(also Ṭatanjíya, Ṭatanjiyyih) </w:t>
      </w:r>
      <w:r>
        <w:t xml:space="preserve">adjectival form of </w:t>
      </w:r>
      <w:r w:rsidRPr="008F03E5">
        <w:t xml:space="preserve">Ṭutunj.  See entries for </w:t>
      </w:r>
      <w:r w:rsidRPr="008F03E5">
        <w:rPr>
          <w:u w:val="single"/>
        </w:rPr>
        <w:t>Kh</w:t>
      </w:r>
      <w:r w:rsidRPr="008F03E5">
        <w:t xml:space="preserve">alíj, </w:t>
      </w:r>
      <w:r w:rsidRPr="008F03E5">
        <w:rPr>
          <w:u w:val="single"/>
        </w:rPr>
        <w:t>Kh</w:t>
      </w:r>
      <w:r w:rsidRPr="008F03E5">
        <w:t xml:space="preserve">uṭbat aṭ-Ṭutunjíya and </w:t>
      </w:r>
      <w:bookmarkStart w:id="147" w:name="_Hlk59120559"/>
      <w:r w:rsidRPr="008F03E5">
        <w:rPr>
          <w:u w:val="single"/>
        </w:rPr>
        <w:t>Sh</w:t>
      </w:r>
      <w:r w:rsidRPr="008F03E5">
        <w:t>arḥ al-</w:t>
      </w:r>
      <w:r w:rsidRPr="008F03E5">
        <w:rPr>
          <w:u w:val="single"/>
        </w:rPr>
        <w:t>Kh</w:t>
      </w:r>
      <w:r w:rsidRPr="008F03E5">
        <w:t>uṭba aṭ-Ṭutunjíya</w:t>
      </w:r>
      <w:bookmarkEnd w:id="147"/>
    </w:p>
    <w:p w14:paraId="2C597471" w14:textId="77777777" w:rsidR="00625A5B" w:rsidRPr="008F03E5" w:rsidRDefault="00625A5B" w:rsidP="00560A11">
      <w:pPr>
        <w:pStyle w:val="Translit"/>
      </w:pPr>
      <w:r w:rsidRPr="008F03E5">
        <w:t>Tuwa</w:t>
      </w:r>
      <w:r w:rsidRPr="008F03E5">
        <w:tab/>
        <w:t>Ṭuwá</w:t>
      </w:r>
      <w:r w:rsidRPr="008F03E5">
        <w:tab/>
        <w:t>al-Wád al-Muqaddas Ṭuwá (The Holy Valley of Tuwa), mentioned in Qur’án 20:12.  Part of it is called al-Buq‘ah al-Mubárakah ("The Blessed Place").  Thought to be adjacent to Mt. Sinai (a modern name), but more likely Jabal al-Lawz.</w:t>
      </w:r>
    </w:p>
    <w:p w14:paraId="7ED4E77E" w14:textId="77777777" w:rsidR="00625A5B" w:rsidRPr="008F03E5" w:rsidRDefault="00625A5B" w:rsidP="0024326A">
      <w:pPr>
        <w:pStyle w:val="Myhead"/>
      </w:pPr>
      <w:bookmarkStart w:id="148" w:name="U"/>
      <w:r w:rsidRPr="008F03E5">
        <w:t>U</w:t>
      </w:r>
      <w:bookmarkEnd w:id="148"/>
    </w:p>
    <w:p w14:paraId="48C1C1D0" w14:textId="77777777" w:rsidR="00625A5B" w:rsidRPr="008F03E5" w:rsidRDefault="00625A5B" w:rsidP="000D08F2">
      <w:pPr>
        <w:pStyle w:val="Translit"/>
      </w:pPr>
      <w:r w:rsidRPr="008F03E5">
        <w:t>Ubay (Ubai), Ubayy</w:t>
      </w:r>
      <w:r w:rsidRPr="008F03E5">
        <w:tab/>
        <w:t>Ubay, Ubayy</w:t>
      </w:r>
      <w:r w:rsidRPr="008F03E5">
        <w:tab/>
        <w:t>Arabic given name derived from Abíy</w:t>
      </w:r>
    </w:p>
    <w:p w14:paraId="4C3517C3" w14:textId="77777777" w:rsidR="00625A5B" w:rsidRPr="008F03E5" w:rsidRDefault="00625A5B" w:rsidP="000D08F2">
      <w:pPr>
        <w:pStyle w:val="Translit"/>
      </w:pPr>
      <w:r w:rsidRPr="008F03E5">
        <w:t>Ubayd (Ubaid), Ubayda</w:t>
      </w:r>
      <w:r w:rsidRPr="008F03E5">
        <w:tab/>
        <w:t>‘Ubayd, fem. ‘Ubayda[h]</w:t>
      </w:r>
      <w:r w:rsidRPr="008F03E5">
        <w:tab/>
        <w:t>diminutive of ‘Abd, a little servant</w:t>
      </w:r>
    </w:p>
    <w:p w14:paraId="2BDD6D75" w14:textId="77777777" w:rsidR="00625A5B" w:rsidRPr="008F03E5" w:rsidRDefault="00625A5B" w:rsidP="00470D98">
      <w:pPr>
        <w:pStyle w:val="Translit"/>
      </w:pPr>
      <w:r w:rsidRPr="008F03E5">
        <w:t>Ubaydu’l-llah</w:t>
      </w:r>
      <w:r w:rsidRPr="008F03E5">
        <w:tab/>
        <w:t>‘Ubaydu’l-lláh</w:t>
      </w:r>
      <w:r w:rsidRPr="008F03E5">
        <w:tab/>
        <w:t>servant of God</w:t>
      </w:r>
    </w:p>
    <w:p w14:paraId="68BCDE45" w14:textId="77777777" w:rsidR="00625A5B" w:rsidRPr="008F03E5" w:rsidRDefault="00625A5B" w:rsidP="00ED4CBD">
      <w:pPr>
        <w:pStyle w:val="Translit"/>
      </w:pPr>
      <w:r w:rsidRPr="008F03E5">
        <w:t>Ubudiya</w:t>
      </w:r>
      <w:r w:rsidRPr="008F03E5">
        <w:tab/>
        <w:t>‘Ubúdíya[h or t]</w:t>
      </w:r>
      <w:r w:rsidRPr="008F03E5">
        <w:tab/>
        <w:t>humble veneration, homage, adoration, worship; slavery, serfdom; servitude, bondage</w:t>
      </w:r>
    </w:p>
    <w:p w14:paraId="30A7E2D2" w14:textId="77777777" w:rsidR="00625A5B" w:rsidRPr="008F03E5" w:rsidRDefault="00625A5B" w:rsidP="00816674">
      <w:pPr>
        <w:pStyle w:val="Translit"/>
      </w:pPr>
      <w:r w:rsidRPr="008F03E5">
        <w:t>Ud, A’wad, ‘Idan</w:t>
      </w:r>
      <w:r w:rsidRPr="008F03E5">
        <w:tab/>
        <w:t>‘Úd, pl. A‘wád, ‘Ídán</w:t>
      </w:r>
      <w:r w:rsidRPr="008F03E5">
        <w:tab/>
        <w:t>wood; stick, rod, pole; branch, twig, switch; stem, stalk; cane, reed; aloes (wood); lute (musical instrument); body, build, physique; strength, force, intensity;—pl. full intensity (e.g., of a disease)</w:t>
      </w:r>
    </w:p>
    <w:p w14:paraId="33B55F64" w14:textId="77777777" w:rsidR="00625A5B" w:rsidRPr="008F03E5" w:rsidRDefault="00625A5B" w:rsidP="0094577E">
      <w:pPr>
        <w:pStyle w:val="Translit"/>
      </w:pPr>
      <w:r w:rsidRPr="008F03E5">
        <w:t>Udh’kuru</w:t>
      </w:r>
      <w:r w:rsidRPr="008F03E5">
        <w:tab/>
        <w:t>U</w:t>
      </w:r>
      <w:r w:rsidRPr="008F03E5">
        <w:rPr>
          <w:u w:val="single"/>
        </w:rPr>
        <w:t>dh</w:t>
      </w:r>
      <w:r w:rsidRPr="008F03E5">
        <w:t>’kurú</w:t>
      </w:r>
      <w:r w:rsidRPr="008F03E5">
        <w:tab/>
        <w:t>remember! (command)</w:t>
      </w:r>
    </w:p>
    <w:p w14:paraId="501955A5" w14:textId="77777777" w:rsidR="00625A5B" w:rsidRPr="008F03E5" w:rsidRDefault="00625A5B" w:rsidP="0094577E">
      <w:pPr>
        <w:pStyle w:val="Translit"/>
      </w:pPr>
      <w:r w:rsidRPr="008F03E5">
        <w:t>Udh’kuru’llah</w:t>
      </w:r>
      <w:r w:rsidRPr="008F03E5">
        <w:tab/>
        <w:t>U</w:t>
      </w:r>
      <w:r w:rsidRPr="008F03E5">
        <w:rPr>
          <w:u w:val="single"/>
        </w:rPr>
        <w:t>dh</w:t>
      </w:r>
      <w:r w:rsidRPr="008F03E5">
        <w:t>’kurú’lláh</w:t>
      </w:r>
      <w:r w:rsidRPr="008F03E5">
        <w:tab/>
        <w:t>Remember God!</w:t>
      </w:r>
    </w:p>
    <w:p w14:paraId="76F77E5E" w14:textId="77777777" w:rsidR="00625A5B" w:rsidRPr="008F03E5" w:rsidRDefault="00625A5B" w:rsidP="008F4AA9">
      <w:pPr>
        <w:pStyle w:val="Translit"/>
      </w:pPr>
      <w:r w:rsidRPr="008F03E5">
        <w:t>Udhr, Udhra, A’dhar, ‘Udhrat</w:t>
      </w:r>
      <w:r w:rsidRPr="008F03E5">
        <w:tab/>
        <w:t>‘U</w:t>
      </w:r>
      <w:r w:rsidRPr="008F03E5">
        <w:rPr>
          <w:u w:val="single"/>
        </w:rPr>
        <w:t>dh</w:t>
      </w:r>
      <w:r w:rsidRPr="008F03E5">
        <w:t>r, ‘pl. A‘</w:t>
      </w:r>
      <w:r w:rsidRPr="008F03E5">
        <w:rPr>
          <w:u w:val="single"/>
        </w:rPr>
        <w:t>dh</w:t>
      </w:r>
      <w:r w:rsidRPr="008F03E5">
        <w:t>ár</w:t>
      </w:r>
      <w:r w:rsidRPr="008F03E5">
        <w:rPr>
          <w:rFonts w:eastAsia="Times New Roman"/>
        </w:rPr>
        <w:tab/>
      </w:r>
      <w:r w:rsidRPr="008F03E5">
        <w:t>excuse, apology, pretext; objection; virginity; the attainment or accomplishment of one’s wants or wishes, good success, fortunate issue, victory, conquest; fem. ‘u</w:t>
      </w:r>
      <w:r w:rsidRPr="008F03E5">
        <w:rPr>
          <w:u w:val="single"/>
        </w:rPr>
        <w:t>dh</w:t>
      </w:r>
      <w:r w:rsidRPr="008F03E5">
        <w:t>ra[h or t], pl. ‘u</w:t>
      </w:r>
      <w:r w:rsidRPr="008F03E5">
        <w:rPr>
          <w:u w:val="single"/>
        </w:rPr>
        <w:t>dh</w:t>
      </w:r>
      <w:r w:rsidRPr="008F03E5">
        <w:t>rát virginity, virginhood</w:t>
      </w:r>
    </w:p>
    <w:p w14:paraId="0FB7DDC7" w14:textId="77777777" w:rsidR="00625A5B" w:rsidRPr="008F03E5" w:rsidRDefault="00625A5B" w:rsidP="00BC0FE4">
      <w:pPr>
        <w:pStyle w:val="Translit"/>
      </w:pPr>
      <w:r w:rsidRPr="008F03E5">
        <w:t>Udi</w:t>
      </w:r>
      <w:r w:rsidRPr="008F03E5">
        <w:tab/>
        <w:t>‘Údí</w:t>
      </w:r>
      <w:r w:rsidRPr="008F03E5">
        <w:tab/>
        <w:t>of wood; a diminutive of the Hebrew Ehud</w:t>
      </w:r>
    </w:p>
    <w:p w14:paraId="1BC3D7EA" w14:textId="77777777" w:rsidR="00625A5B" w:rsidRPr="008F03E5" w:rsidRDefault="00625A5B" w:rsidP="004E2753">
      <w:pPr>
        <w:pStyle w:val="Translit"/>
      </w:pPr>
      <w:r w:rsidRPr="008F03E5">
        <w:t>Ufq, Ufuq, Afaq</w:t>
      </w:r>
      <w:r w:rsidRPr="008F03E5">
        <w:tab/>
        <w:t>Ufq, Ufuq, pl. Áfáq</w:t>
      </w:r>
      <w:r w:rsidRPr="008F03E5">
        <w:tab/>
        <w:t>horizon; range of vision, field of vision;—pl. distant lands, faraway countries, remote regions; provinces, interior of the country (as distinguished from the capital)</w:t>
      </w:r>
    </w:p>
    <w:p w14:paraId="433EDD76" w14:textId="77777777" w:rsidR="00625A5B" w:rsidRPr="008F03E5" w:rsidRDefault="00625A5B" w:rsidP="000D3EA9">
      <w:pPr>
        <w:pStyle w:val="Translit"/>
      </w:pPr>
      <w:r w:rsidRPr="008F03E5">
        <w:rPr>
          <w:rFonts w:eastAsia="PMingLiU"/>
          <w:lang w:eastAsia="zh-TW"/>
        </w:rPr>
        <w:t>Uhud</w:t>
      </w:r>
      <w:r w:rsidRPr="008F03E5">
        <w:tab/>
      </w:r>
      <w:r w:rsidRPr="008F03E5">
        <w:rPr>
          <w:rFonts w:eastAsia="PMingLiU"/>
          <w:lang w:eastAsia="zh-TW"/>
        </w:rPr>
        <w:t>U</w:t>
      </w:r>
      <w:r w:rsidRPr="008F03E5">
        <w:t>ḥ</w:t>
      </w:r>
      <w:r w:rsidRPr="008F03E5">
        <w:rPr>
          <w:rFonts w:eastAsia="PMingLiU"/>
          <w:lang w:eastAsia="zh-TW"/>
        </w:rPr>
        <w:t>ud</w:t>
      </w:r>
      <w:r w:rsidRPr="008F03E5">
        <w:tab/>
        <w:t xml:space="preserve">1,077 m mountain 6.6 km </w:t>
      </w:r>
      <w:r w:rsidRPr="008F03E5">
        <w:rPr>
          <w:sz w:val="16"/>
          <w:szCs w:val="16"/>
        </w:rPr>
        <w:t>NNE</w:t>
      </w:r>
      <w:r w:rsidRPr="008F03E5">
        <w:t xml:space="preserve"> of Medina.  The battle of Uḥud on 23 March 625 occurred on the south side (4 km from Medina) and the Muslim archers stood on Jabal ‘Aynán (a small rock outcrop on the south of Jabal Uḥud).  After the battle it was renamed Jabal ar-Rumáh.  See ‘Aynan and Rumah.</w:t>
      </w:r>
    </w:p>
    <w:p w14:paraId="5DC2CD36" w14:textId="77777777" w:rsidR="00625A5B" w:rsidRPr="008F03E5" w:rsidRDefault="00625A5B" w:rsidP="00A33B63">
      <w:pPr>
        <w:pStyle w:val="Translit"/>
      </w:pPr>
      <w:r w:rsidRPr="008F03E5">
        <w:t>Ujab</w:t>
      </w:r>
      <w:r w:rsidRPr="008F03E5">
        <w:tab/>
        <w:t>‘Ujáb</w:t>
      </w:r>
      <w:r w:rsidRPr="008F03E5">
        <w:tab/>
        <w:t>wonderful, wondrous, marvelous, astonishing, amazing.  See ‘ajab</w:t>
      </w:r>
    </w:p>
    <w:p w14:paraId="15476630" w14:textId="77777777" w:rsidR="00625A5B" w:rsidRPr="008F03E5" w:rsidRDefault="00625A5B" w:rsidP="004962F8">
      <w:pPr>
        <w:pStyle w:val="Translit"/>
      </w:pPr>
      <w:r w:rsidRPr="008F03E5">
        <w:t>Ukaz (Souq Okaz or Souq Okadh)</w:t>
      </w:r>
      <w:r w:rsidRPr="008F03E5">
        <w:tab/>
        <w:t>‘Ukáẓ</w:t>
      </w:r>
      <w:r w:rsidRPr="008F03E5">
        <w:tab/>
        <w:t xml:space="preserve">‘Ukáẓ was (c. 542–726) the site of the largest and best known open air marketplace (Súk ‘Ukáẓ, 21.475287, 40.638875) during the pilgrimage season in pre-Islamic times (31 km </w:t>
      </w:r>
      <w:r w:rsidRPr="008F03E5">
        <w:rPr>
          <w:sz w:val="16"/>
          <w:szCs w:val="16"/>
        </w:rPr>
        <w:t>NE</w:t>
      </w:r>
      <w:r w:rsidRPr="008F03E5">
        <w:t xml:space="preserve"> of Ṭá’if) where poetry contests were held.  It served as a place where warring tribes could come together peacefully to worship and trade together.  A modern outdoor market and popular tourist destination has been recreated at the historic location.  Prominence is given to a different poet each year.</w:t>
      </w:r>
    </w:p>
    <w:p w14:paraId="6F28038B" w14:textId="77777777" w:rsidR="00625A5B" w:rsidRPr="008F03E5" w:rsidRDefault="00625A5B" w:rsidP="00667F3D">
      <w:pPr>
        <w:pStyle w:val="Translit"/>
      </w:pPr>
      <w:r w:rsidRPr="008F03E5">
        <w:t>Ukht, Akhawat</w:t>
      </w:r>
      <w:r w:rsidRPr="008F03E5">
        <w:tab/>
        <w:t>‘U</w:t>
      </w:r>
      <w:r w:rsidRPr="008F03E5">
        <w:rPr>
          <w:u w:val="single"/>
        </w:rPr>
        <w:t>kh</w:t>
      </w:r>
      <w:r w:rsidRPr="008F03E5">
        <w:t>t, pl. A</w:t>
      </w:r>
      <w:r w:rsidRPr="008F03E5">
        <w:rPr>
          <w:u w:val="single"/>
        </w:rPr>
        <w:t>kh</w:t>
      </w:r>
      <w:r w:rsidRPr="008F03E5">
        <w:t>awát</w:t>
      </w:r>
      <w:r w:rsidRPr="008F03E5">
        <w:tab/>
        <w:t>a sister; (grammar) cognate; counterpart</w:t>
      </w:r>
    </w:p>
    <w:p w14:paraId="6D1CEFF8" w14:textId="77777777" w:rsidR="00625A5B" w:rsidRPr="008F03E5" w:rsidRDefault="00625A5B" w:rsidP="003F3CAF">
      <w:pPr>
        <w:pStyle w:val="Translit"/>
      </w:pPr>
      <w:r w:rsidRPr="008F03E5">
        <w:t>Ula</w:t>
      </w:r>
      <w:r w:rsidRPr="008F03E5">
        <w:tab/>
        <w:t>‘Ulá</w:t>
      </w:r>
      <w:r w:rsidRPr="008F03E5">
        <w:tab/>
        <w:t xml:space="preserve">high rank, prestige, glory.  al-‘Ulá is a title and an ancient Arabic oasis city (26.604194, 37.928435) located in Medina province of </w:t>
      </w:r>
      <w:r w:rsidRPr="008F03E5">
        <w:rPr>
          <w:sz w:val="16"/>
          <w:szCs w:val="16"/>
        </w:rPr>
        <w:t>NW</w:t>
      </w:r>
      <w:r w:rsidRPr="008F03E5">
        <w:t xml:space="preserve"> Saudi Arabia.  See ‘alá and Rif‘a.</w:t>
      </w:r>
    </w:p>
    <w:p w14:paraId="0A2EDC55" w14:textId="77777777" w:rsidR="00625A5B" w:rsidRPr="008F03E5" w:rsidRDefault="00625A5B" w:rsidP="003C7FD2">
      <w:pPr>
        <w:pStyle w:val="Translit"/>
      </w:pPr>
      <w:r w:rsidRPr="008F03E5">
        <w:t>Ulfa</w:t>
      </w:r>
      <w:r w:rsidRPr="008F03E5">
        <w:tab/>
        <w:t>Ulfa[h or t]</w:t>
      </w:r>
      <w:r w:rsidRPr="008F03E5">
        <w:tab/>
        <w:t>familiarity, intimacy; friendship, love, affection; union, concord, harmony, congeniality</w:t>
      </w:r>
    </w:p>
    <w:p w14:paraId="42C75742" w14:textId="77777777" w:rsidR="00625A5B" w:rsidRPr="008F03E5" w:rsidRDefault="00625A5B" w:rsidP="0004148E">
      <w:pPr>
        <w:pStyle w:val="Translit"/>
      </w:pPr>
      <w:r w:rsidRPr="008F03E5">
        <w:t>Uliyya</w:t>
      </w:r>
      <w:r w:rsidRPr="008F03E5">
        <w:tab/>
        <w:t>‘Ulíyyá</w:t>
      </w:r>
      <w:r w:rsidRPr="008F03E5">
        <w:tab/>
        <w:t>(“owleya”) probably should be ‘Ulyá</w:t>
      </w:r>
    </w:p>
    <w:p w14:paraId="746B6986" w14:textId="77777777" w:rsidR="00625A5B" w:rsidRPr="008F03E5" w:rsidRDefault="00625A5B" w:rsidP="00DD3820">
      <w:pPr>
        <w:pStyle w:val="Translit"/>
      </w:pPr>
      <w:r w:rsidRPr="008F03E5">
        <w:t>Ulu’l-‘Azm</w:t>
      </w:r>
      <w:r w:rsidRPr="008F03E5">
        <w:tab/>
        <w:t>Ulú’l-‘Azm</w:t>
      </w:r>
      <w:r w:rsidRPr="008F03E5">
        <w:tab/>
        <w:t>“the determined or steadfast”; rulers, powerful leaders; t</w:t>
      </w:r>
      <w:r w:rsidRPr="008F03E5">
        <w:rPr>
          <w:rFonts w:eastAsia="Times New Roman"/>
        </w:rPr>
        <w:t>hose endued with a resolution to obey the commands of God (implies term is only applicable to prophets, Arch-Prophets or Messengers of God, i.e. Noah, Abraham, Moses, Jesus and Muhammad)</w:t>
      </w:r>
    </w:p>
    <w:p w14:paraId="57BC1EC2" w14:textId="77777777" w:rsidR="00625A5B" w:rsidRPr="008F03E5" w:rsidRDefault="00625A5B" w:rsidP="00B652EF">
      <w:pPr>
        <w:pStyle w:val="Translit"/>
      </w:pPr>
      <w:r w:rsidRPr="008F03E5">
        <w:rPr>
          <w:rFonts w:eastAsia="Times New Roman"/>
        </w:rPr>
        <w:t>Uluha, Uluhiya (Uluhiyya)</w:t>
      </w:r>
      <w:r w:rsidRPr="008F03E5">
        <w:rPr>
          <w:rFonts w:eastAsia="Times New Roman"/>
        </w:rPr>
        <w:tab/>
        <w:t>Ulúha[t], Ulúhíya[t]</w:t>
      </w:r>
      <w:r w:rsidRPr="008F03E5">
        <w:rPr>
          <w:rFonts w:eastAsia="Times New Roman"/>
        </w:rPr>
        <w:tab/>
        <w:t>(also Ulúhiyya[t], iláhíya) deity, divinity, godhead.  More fundamentally, being worthy of worship, love, and obedience as a god.</w:t>
      </w:r>
    </w:p>
    <w:p w14:paraId="66F4D3AA" w14:textId="77777777" w:rsidR="00625A5B" w:rsidRPr="008F03E5" w:rsidRDefault="00625A5B" w:rsidP="00A06E8D">
      <w:pPr>
        <w:pStyle w:val="Translit"/>
      </w:pPr>
      <w:r w:rsidRPr="008F03E5">
        <w:t>Uluw (‘Uluvv)</w:t>
      </w:r>
      <w:r w:rsidRPr="008F03E5">
        <w:tab/>
        <w:t>‘Ulúw</w:t>
      </w:r>
      <w:r w:rsidRPr="008F03E5">
        <w:tab/>
        <w:t xml:space="preserve">height, tallness, elevation, altitude; greatness, grandeur, highness, exaltedness, sublimity (variation of </w:t>
      </w:r>
      <w:r w:rsidRPr="008F03E5">
        <w:rPr>
          <w:rFonts w:eastAsia="Times New Roman"/>
        </w:rPr>
        <w:t xml:space="preserve">‘alw, ‘ulw, ‘ilw, </w:t>
      </w:r>
      <w:r>
        <w:rPr>
          <w:rFonts w:eastAsia="Times New Roman"/>
        </w:rPr>
        <w:t>u</w:t>
      </w:r>
      <w:r w:rsidRPr="008F03E5">
        <w:rPr>
          <w:rFonts w:eastAsia="Times New Roman"/>
        </w:rPr>
        <w:t>pper or better part (of anything)</w:t>
      </w:r>
      <w:r w:rsidRPr="008F03E5">
        <w:t>)</w:t>
      </w:r>
    </w:p>
    <w:p w14:paraId="5968FCC5" w14:textId="77777777" w:rsidR="00625A5B" w:rsidRPr="008F03E5" w:rsidRDefault="00625A5B" w:rsidP="003A4A7E">
      <w:pPr>
        <w:pStyle w:val="Translit"/>
      </w:pPr>
      <w:r w:rsidRPr="008F03E5">
        <w:t>Uman</w:t>
      </w:r>
      <w:r w:rsidRPr="008F03E5">
        <w:tab/>
        <w:t>‘Umán</w:t>
      </w:r>
      <w:r w:rsidRPr="008F03E5">
        <w:tab/>
        <w:t>Oman (the Sultanate of Oman)</w:t>
      </w:r>
    </w:p>
    <w:p w14:paraId="2BB5ED81" w14:textId="77777777" w:rsidR="00625A5B" w:rsidRPr="008F03E5" w:rsidRDefault="00625A5B" w:rsidP="008B389A">
      <w:pPr>
        <w:pStyle w:val="Translit"/>
      </w:pPr>
      <w:r w:rsidRPr="008F03E5">
        <w:t>Umari</w:t>
      </w:r>
      <w:r w:rsidRPr="008F03E5">
        <w:tab/>
        <w:t>‘Umarí</w:t>
      </w:r>
      <w:r w:rsidRPr="008F03E5">
        <w:tab/>
        <w:t>follower of ‘Umar (i.e. a traditionalist)</w:t>
      </w:r>
    </w:p>
    <w:p w14:paraId="7D6542D4" w14:textId="77777777" w:rsidR="00625A5B" w:rsidRPr="008F03E5" w:rsidRDefault="00625A5B" w:rsidP="00D236DD">
      <w:pPr>
        <w:pStyle w:val="Translit"/>
      </w:pPr>
      <w:r w:rsidRPr="008F03E5">
        <w:t>Umawi, Umayya</w:t>
      </w:r>
      <w:r w:rsidRPr="008F03E5">
        <w:tab/>
        <w:t>Umawí</w:t>
      </w:r>
      <w:r w:rsidRPr="008F03E5">
        <w:tab/>
        <w:t>Umayyad, Ommayyad (adj.).  Banú Umayya[h], the Umayyads, Ommayyads</w:t>
      </w:r>
    </w:p>
    <w:p w14:paraId="30C1BE78" w14:textId="77777777" w:rsidR="00625A5B" w:rsidRPr="008F03E5" w:rsidRDefault="00625A5B" w:rsidP="00226533">
      <w:pPr>
        <w:pStyle w:val="Translit"/>
      </w:pPr>
      <w:r w:rsidRPr="008F03E5">
        <w:t>Umawiya, Umawiyun</w:t>
      </w:r>
      <w:r w:rsidRPr="008F03E5">
        <w:tab/>
        <w:t>al-‘Umawíya[h], pl. al-‘Umawíyún</w:t>
      </w:r>
      <w:r w:rsidRPr="008F03E5">
        <w:tab/>
        <w:t xml:space="preserve">(Pers. al-‘umawiyya[h], pl. al-‘umawiyyún, “umawiyya” or “umawiyyun”) Umayyad (Ommayyad, Ommaiad), an Islamic dynasty (caliphate) claiming descent from Umayya (Umayyah) ibn ‘Abd </w:t>
      </w:r>
      <w:r w:rsidRPr="008F03E5">
        <w:rPr>
          <w:u w:val="single"/>
        </w:rPr>
        <w:t>Sh</w:t>
      </w:r>
      <w:r w:rsidRPr="008F03E5">
        <w:t>ams, a cousin of Muḥammad’s grandfather, founded by Mu’áwíyyáh, with its capital in Damascus (c. 660–750 &amp; Moorish Spain 756–1031).  Umayyad Caliphate (al-</w:t>
      </w:r>
      <w:r w:rsidRPr="008F03E5">
        <w:rPr>
          <w:u w:val="single"/>
        </w:rPr>
        <w:t>Kh</w:t>
      </w:r>
      <w:r w:rsidRPr="008F03E5">
        <w:t>iláfah al-‘Umawíyah, Pers. al-</w:t>
      </w:r>
      <w:r w:rsidRPr="008F03E5">
        <w:rPr>
          <w:u w:val="single"/>
        </w:rPr>
        <w:t>Kh</w:t>
      </w:r>
      <w:r w:rsidRPr="008F03E5">
        <w:t>iláfatu al-‘Umawiyyah), was the second of the four major caliphates established after the death of Muḥammad.  The caliphate was centred on the Umayyad Dynasty (al-‘Umawíyún, or Banú ‘Umayyah, “Sons of Umayyah”), hailing from Mecca.</w:t>
      </w:r>
    </w:p>
    <w:p w14:paraId="13B4DA63" w14:textId="77777777" w:rsidR="00625A5B" w:rsidRPr="008F03E5" w:rsidRDefault="00625A5B" w:rsidP="00473F6C">
      <w:pPr>
        <w:pStyle w:val="Translit"/>
      </w:pPr>
      <w:r w:rsidRPr="008F03E5">
        <w:t>Umayr (Umair)</w:t>
      </w:r>
      <w:r w:rsidRPr="008F03E5">
        <w:tab/>
        <w:t>‘Umayr</w:t>
      </w:r>
      <w:r w:rsidRPr="008F03E5">
        <w:tab/>
        <w:t>one who is intelligent.  Muṣ‘ab ibn ‘Umayr, companion of Muḥammad.</w:t>
      </w:r>
    </w:p>
    <w:p w14:paraId="1C2AC4CF" w14:textId="77777777" w:rsidR="00625A5B" w:rsidRPr="008F03E5" w:rsidRDefault="00625A5B" w:rsidP="00226533">
      <w:pPr>
        <w:pStyle w:val="Translit"/>
      </w:pPr>
      <w:r w:rsidRPr="008F03E5">
        <w:t>Umayya, Umawiyun, Umawiyyun</w:t>
      </w:r>
      <w:r w:rsidRPr="008F03E5">
        <w:tab/>
      </w:r>
      <w:bookmarkStart w:id="149" w:name="_Hlk56325180"/>
      <w:r w:rsidRPr="008F03E5">
        <w:t>Umayya[h], pl. Umawíyún, Umawiyyún</w:t>
      </w:r>
      <w:r w:rsidRPr="008F03E5">
        <w:tab/>
        <w:t xml:space="preserve">Umayya ibn ‘Abd </w:t>
      </w:r>
      <w:r w:rsidRPr="008F03E5">
        <w:rPr>
          <w:u w:val="single"/>
        </w:rPr>
        <w:t>Sh</w:t>
      </w:r>
      <w:r w:rsidRPr="008F03E5">
        <w:t>ams (b. 515) is said to be the progenitor of the line of the Umayyad Caliphs.  Banú Umayyah (sons of Umayyah or Umayyad Dynasty)</w:t>
      </w:r>
      <w:bookmarkEnd w:id="149"/>
      <w:r w:rsidRPr="008F03E5">
        <w:t>.  al-Umawiyyún, the Umayyads.</w:t>
      </w:r>
    </w:p>
    <w:p w14:paraId="2FCCFF8F" w14:textId="77777777" w:rsidR="00625A5B" w:rsidRPr="008F03E5" w:rsidRDefault="00625A5B" w:rsidP="001C6844">
      <w:pPr>
        <w:pStyle w:val="Translit"/>
      </w:pPr>
      <w:r w:rsidRPr="008F03E5">
        <w:t>Umda, ‘Umad</w:t>
      </w:r>
      <w:r w:rsidRPr="008F03E5">
        <w:tab/>
        <w:t>‘Umda[h], pl. ‘Umad, ‘Umdán</w:t>
      </w:r>
      <w:r w:rsidRPr="008F03E5">
        <w:tab/>
        <w:t xml:space="preserve">support, prop, shore; main subject, main issue, basic issue (e.g., of a controversy);—pl. chief of a village, chief magistrate of a small community; mayor.  See kalántar.  </w:t>
      </w:r>
      <w:r w:rsidRPr="008F03E5">
        <w:rPr>
          <w:u w:val="single"/>
        </w:rPr>
        <w:t>Kh</w:t>
      </w:r>
      <w:r w:rsidRPr="008F03E5">
        <w:t xml:space="preserve">án al-‘Umdán (“Inn of Columns”) or </w:t>
      </w:r>
      <w:r w:rsidRPr="008F03E5">
        <w:rPr>
          <w:u w:val="single"/>
        </w:rPr>
        <w:t>Kh</w:t>
      </w:r>
      <w:r w:rsidRPr="008F03E5">
        <w:t xml:space="preserve">án-i-‘Avámíd (Inn of Pillars) located in </w:t>
      </w:r>
      <w:r w:rsidRPr="008F03E5">
        <w:rPr>
          <w:sz w:val="16"/>
          <w:szCs w:val="16"/>
        </w:rPr>
        <w:t>SW</w:t>
      </w:r>
      <w:r w:rsidRPr="008F03E5">
        <w:t xml:space="preserve"> corner (al-Fá</w:t>
      </w:r>
      <w:r w:rsidRPr="008F03E5">
        <w:rPr>
          <w:u w:val="single"/>
        </w:rPr>
        <w:t>kh</w:t>
      </w:r>
      <w:r w:rsidRPr="008F03E5">
        <w:t>úrah quarter) of ‘Akká.</w:t>
      </w:r>
    </w:p>
    <w:p w14:paraId="6674D9ED" w14:textId="77777777" w:rsidR="00625A5B" w:rsidRDefault="00625A5B" w:rsidP="00F07145">
      <w:pPr>
        <w:pStyle w:val="Translit"/>
      </w:pPr>
      <w:r>
        <w:t>Umm al-Kitab</w:t>
      </w:r>
      <w:r>
        <w:tab/>
        <w:t>Umm al-Kitáb</w:t>
      </w:r>
      <w:r>
        <w:tab/>
        <w:t>literally  ‘mother of the Book’ (or Bahá’u’lláh use of “Mother Book”), is an Islam-related term that may refer to al-Fá</w:t>
      </w:r>
      <w:r w:rsidRPr="00F07145">
        <w:t>ṭ</w:t>
      </w:r>
      <w:r>
        <w:t>iha, the first Surah of the Qur’án, also referred to as Umm al-Qur’án.</w:t>
      </w:r>
    </w:p>
    <w:p w14:paraId="2BD95628" w14:textId="77777777" w:rsidR="00625A5B" w:rsidRPr="008F03E5" w:rsidRDefault="00625A5B" w:rsidP="00B9143B">
      <w:pPr>
        <w:pStyle w:val="Translit"/>
      </w:pPr>
      <w:r w:rsidRPr="008F03E5">
        <w:t>Umm</w:t>
      </w:r>
      <w:r>
        <w:t xml:space="preserve"> Salama (umm Salma)</w:t>
      </w:r>
      <w:r w:rsidRPr="008F03E5">
        <w:tab/>
        <w:t>Umm</w:t>
      </w:r>
      <w:r>
        <w:t xml:space="preserve"> Salama[h or t] (</w:t>
      </w:r>
      <w:r w:rsidRPr="00417520">
        <w:rPr>
          <w:rFonts w:ascii="Times New Roman" w:hAnsi="Times New Roman"/>
          <w:rtl/>
        </w:rPr>
        <w:t>أُمّ سَلَمَة</w:t>
      </w:r>
      <w:r>
        <w:t>)</w:t>
      </w:r>
      <w:r>
        <w:tab/>
        <w:t>(Pers. umm-i-Salamih) “mother of peace”</w:t>
      </w:r>
      <w:r w:rsidRPr="008F03E5">
        <w:t>.</w:t>
      </w:r>
    </w:p>
    <w:p w14:paraId="4BCAF613" w14:textId="77777777" w:rsidR="00625A5B" w:rsidRPr="008F03E5" w:rsidRDefault="00625A5B" w:rsidP="00B621CC">
      <w:pPr>
        <w:pStyle w:val="Translit"/>
      </w:pPr>
      <w:r w:rsidRPr="008F03E5">
        <w:t>Umm, Ummahat</w:t>
      </w:r>
      <w:r w:rsidRPr="008F03E5">
        <w:tab/>
        <w:t>Umm, pl. Ummahát</w:t>
      </w:r>
      <w:r w:rsidRPr="008F03E5">
        <w:tab/>
        <w:t>mother; source, origin; basis, foundation; original, original version (of a book); the gist, essence of something;—pl. matrix (typography).  Female partial name equivalents of Abu are Um and Umm (must be combined with another name).</w:t>
      </w:r>
    </w:p>
    <w:p w14:paraId="444F23EC" w14:textId="77777777" w:rsidR="00625A5B" w:rsidRPr="008F03E5" w:rsidRDefault="00625A5B" w:rsidP="002444B7">
      <w:pPr>
        <w:pStyle w:val="Translit"/>
      </w:pPr>
      <w:r w:rsidRPr="001457C8">
        <w:rPr>
          <w:lang w:val="de-DE"/>
        </w:rPr>
        <w:t>Umma, Umam</w:t>
      </w:r>
      <w:r w:rsidRPr="001457C8">
        <w:rPr>
          <w:lang w:val="de-DE"/>
        </w:rPr>
        <w:tab/>
        <w:t xml:space="preserve">Umma[h or t], pl. </w:t>
      </w:r>
      <w:r w:rsidRPr="008F03E5">
        <w:t>Umam</w:t>
      </w:r>
      <w:r w:rsidRPr="008F03E5">
        <w:tab/>
      </w:r>
      <w:r>
        <w:t>(fem. of u</w:t>
      </w:r>
      <w:r w:rsidRPr="008F03E5">
        <w:t>mm</w:t>
      </w:r>
      <w:r>
        <w:t xml:space="preserve">) </w:t>
      </w:r>
      <w:r w:rsidRPr="008F03E5">
        <w:t xml:space="preserve">(Pers. pl. ummatán) community, people, nation (modern meaning); generation; sect, religious community, creed; follower, co-religionist.  Muslims use the word ummah in the sense of a religious community (one for each previous religion who received a common Prophet) or more specifically, the one Muslim community with a common ideology and culture.  See </w:t>
      </w:r>
      <w:r w:rsidRPr="008F03E5">
        <w:rPr>
          <w:u w:val="single"/>
        </w:rPr>
        <w:t>sh</w:t>
      </w:r>
      <w:r w:rsidRPr="008F03E5">
        <w:t>a‘b.</w:t>
      </w:r>
    </w:p>
    <w:p w14:paraId="2B21F997" w14:textId="77777777" w:rsidR="00625A5B" w:rsidRPr="008F03E5" w:rsidRDefault="00625A5B" w:rsidP="00EA4B44">
      <w:pPr>
        <w:pStyle w:val="Translit"/>
      </w:pPr>
      <w:r w:rsidRPr="008F03E5">
        <w:t>Umman</w:t>
      </w:r>
      <w:r w:rsidRPr="008F03E5">
        <w:tab/>
        <w:t>‘Ummán</w:t>
      </w:r>
      <w:r w:rsidRPr="008F03E5">
        <w:tab/>
        <w:t>Oman</w:t>
      </w:r>
    </w:p>
    <w:p w14:paraId="5170DC10" w14:textId="77777777" w:rsidR="00625A5B" w:rsidRPr="008F03E5" w:rsidRDefault="00625A5B" w:rsidP="00741D5F">
      <w:pPr>
        <w:pStyle w:val="Translit"/>
      </w:pPr>
      <w:r w:rsidRPr="008F03E5">
        <w:t>Ummati</w:t>
      </w:r>
      <w:r w:rsidRPr="008F03E5">
        <w:tab/>
        <w:t>Ummatí</w:t>
      </w:r>
      <w:r w:rsidRPr="008F03E5">
        <w:tab/>
        <w:t>Pers. a follower of a religious sect or creed.</w:t>
      </w:r>
    </w:p>
    <w:p w14:paraId="71B73337" w14:textId="77777777" w:rsidR="00625A5B" w:rsidRPr="008F03E5" w:rsidRDefault="00625A5B" w:rsidP="001137EB">
      <w:pPr>
        <w:pStyle w:val="Translit"/>
      </w:pPr>
      <w:r w:rsidRPr="008F03E5">
        <w:t>Ummi (Ummiy), Ummun</w:t>
      </w:r>
      <w:r w:rsidRPr="008F03E5">
        <w:tab/>
        <w:t>Ummí, pl. Ummún</w:t>
      </w:r>
      <w:r w:rsidRPr="008F03E5">
        <w:tab/>
        <w:t xml:space="preserve">maternal, motherly; illiterate, uneducated;—pl. an illiterate. </w:t>
      </w:r>
      <w:r w:rsidRPr="008F03E5">
        <w:rPr>
          <w:rFonts w:eastAsia="Times New Roman"/>
        </w:rPr>
        <w:t xml:space="preserve"> Derived from </w:t>
      </w:r>
      <w:r w:rsidRPr="008F03E5">
        <w:rPr>
          <w:rFonts w:eastAsia="Times New Roman"/>
          <w:i/>
          <w:iCs/>
        </w:rPr>
        <w:t>umm,</w:t>
      </w:r>
      <w:r w:rsidRPr="008F03E5">
        <w:rPr>
          <w:rFonts w:eastAsia="Times New Roman"/>
        </w:rPr>
        <w:t xml:space="preserve"> mother, or </w:t>
      </w:r>
      <w:r w:rsidRPr="008F03E5">
        <w:rPr>
          <w:rFonts w:eastAsia="Times New Roman"/>
          <w:i/>
          <w:iCs/>
        </w:rPr>
        <w:t>ummat,</w:t>
      </w:r>
      <w:r w:rsidRPr="008F03E5">
        <w:rPr>
          <w:rFonts w:eastAsia="Times New Roman"/>
        </w:rPr>
        <w:t xml:space="preserve"> people).  Qur’án 7:158, the unlettered Prophet.</w:t>
      </w:r>
    </w:p>
    <w:p w14:paraId="1C34CA48" w14:textId="77777777" w:rsidR="00625A5B" w:rsidRPr="008F03E5" w:rsidRDefault="00625A5B" w:rsidP="00741D5F">
      <w:pPr>
        <w:pStyle w:val="Translit"/>
      </w:pPr>
      <w:r w:rsidRPr="008F03E5">
        <w:t>Umm-i-Ashraf</w:t>
      </w:r>
      <w:r w:rsidRPr="008F03E5">
        <w:tab/>
        <w:t>Umm-i-A</w:t>
      </w:r>
      <w:r w:rsidRPr="008F03E5">
        <w:rPr>
          <w:u w:val="single"/>
        </w:rPr>
        <w:t>sh</w:t>
      </w:r>
      <w:r w:rsidRPr="008F03E5">
        <w:t>raf</w:t>
      </w:r>
      <w:r w:rsidRPr="008F03E5">
        <w:tab/>
        <w:t>mother of A</w:t>
      </w:r>
      <w:r w:rsidRPr="008F03E5">
        <w:rPr>
          <w:u w:val="single"/>
        </w:rPr>
        <w:t>sh</w:t>
      </w:r>
      <w:r w:rsidRPr="008F03E5">
        <w:t>raf</w:t>
      </w:r>
    </w:p>
    <w:p w14:paraId="3040E507" w14:textId="77777777" w:rsidR="00625A5B" w:rsidRPr="008F03E5" w:rsidRDefault="00625A5B" w:rsidP="0087533F">
      <w:pPr>
        <w:pStyle w:val="Translit"/>
      </w:pPr>
      <w:r w:rsidRPr="008F03E5">
        <w:t>Ummu’l-‘Iraq</w:t>
      </w:r>
      <w:r w:rsidRPr="008F03E5">
        <w:tab/>
        <w:t>Ummu’l-‘Iráq</w:t>
      </w:r>
      <w:r w:rsidRPr="008F03E5">
        <w:tab/>
        <w:t>mother of ‘Iráq, Ba</w:t>
      </w:r>
      <w:r w:rsidRPr="008F03E5">
        <w:rPr>
          <w:u w:val="single"/>
        </w:rPr>
        <w:t>gh</w:t>
      </w:r>
      <w:r w:rsidRPr="008F03E5">
        <w:t>dád</w:t>
      </w:r>
    </w:p>
    <w:p w14:paraId="449F1236" w14:textId="77777777" w:rsidR="00625A5B" w:rsidRPr="008F03E5" w:rsidRDefault="00625A5B" w:rsidP="00900A82">
      <w:pPr>
        <w:pStyle w:val="Translit"/>
      </w:pPr>
      <w:r w:rsidRPr="008F03E5">
        <w:t>Ummu’l-Kitab</w:t>
      </w:r>
      <w:r w:rsidRPr="008F03E5">
        <w:tab/>
        <w:t>Ummu’l-Kitáb</w:t>
      </w:r>
      <w:r w:rsidRPr="008F03E5">
        <w:tab/>
        <w:t xml:space="preserve">“mother of the book” or Mother Book of each Dispensation—the first sura of the Qur’án (Islám), the Persian Bayán (Bábí), </w:t>
      </w:r>
      <w:r w:rsidRPr="008F03E5">
        <w:rPr>
          <w:i/>
          <w:iCs/>
        </w:rPr>
        <w:t>Kitáb-i-Aqdas</w:t>
      </w:r>
      <w:r w:rsidRPr="008F03E5">
        <w:t xml:space="preserve"> (Bahá’í)</w:t>
      </w:r>
    </w:p>
    <w:p w14:paraId="258A8533" w14:textId="77777777" w:rsidR="00625A5B" w:rsidRPr="008F03E5" w:rsidRDefault="00625A5B" w:rsidP="00215AAD">
      <w:pPr>
        <w:pStyle w:val="Translit"/>
      </w:pPr>
      <w:r w:rsidRPr="008F03E5">
        <w:t>Ummu’l-Mu’minin</w:t>
      </w:r>
      <w:r w:rsidRPr="008F03E5">
        <w:tab/>
        <w:t>Ummu’l-Mu’minín</w:t>
      </w:r>
      <w:r w:rsidRPr="008F03E5">
        <w:tab/>
        <w:t>Mother of the Faithful, name given to Phoebe Hearst by ‘Abdu’l-Bahá</w:t>
      </w:r>
    </w:p>
    <w:p w14:paraId="4E24B85D" w14:textId="77777777" w:rsidR="00625A5B" w:rsidRPr="008F03E5" w:rsidRDefault="00625A5B" w:rsidP="00AF6C11">
      <w:pPr>
        <w:pStyle w:val="Translit"/>
      </w:pPr>
      <w:r w:rsidRPr="00077779">
        <w:t>Umr (Omr), ‘Amr, A’mar</w:t>
      </w:r>
      <w:r w:rsidRPr="00077779">
        <w:tab/>
        <w:t xml:space="preserve">‘Umr, pl. </w:t>
      </w:r>
      <w:r w:rsidRPr="008F03E5">
        <w:t>A‘már</w:t>
      </w:r>
      <w:r w:rsidRPr="008F03E5">
        <w:tab/>
        <w:t>(‘amr in oaths) life, duration of life, life span, lifetime; age (of a person)</w:t>
      </w:r>
    </w:p>
    <w:p w14:paraId="71C1A285" w14:textId="77777777" w:rsidR="00625A5B" w:rsidRPr="008F03E5" w:rsidRDefault="00625A5B" w:rsidP="008523E0">
      <w:pPr>
        <w:pStyle w:val="Translit"/>
      </w:pPr>
      <w:r w:rsidRPr="008F03E5">
        <w:t>Umra, ‘Umar (Omar)</w:t>
      </w:r>
      <w:r w:rsidRPr="008F03E5">
        <w:tab/>
        <w:t>‘Umra[h or t], pl. ‘Umar</w:t>
      </w:r>
      <w:r w:rsidRPr="008F03E5">
        <w:tab/>
        <w:t>the sacred visit to Mecca, considered to be the “lesser pilgrimage” (able to be completed in a few hours) can be performed at any time of the year; cohabiting with a woman in the house of her parents or kindred.—pl. a proper name.  ʻUmar ibn al-</w:t>
      </w:r>
      <w:r w:rsidRPr="008F03E5">
        <w:rPr>
          <w:u w:val="single"/>
        </w:rPr>
        <w:t>Kh</w:t>
      </w:r>
      <w:r w:rsidRPr="008F03E5">
        <w:t xml:space="preserve">aṭṭáb, 2nd Caliph; ibn ‘Abdu’l-‘Azíz ibn Marwán, 8th Umayyad </w:t>
      </w:r>
      <w:r w:rsidRPr="008F03E5">
        <w:rPr>
          <w:u w:val="single"/>
        </w:rPr>
        <w:t>Kh</w:t>
      </w:r>
      <w:r w:rsidRPr="008F03E5">
        <w:t>alífah (Caliphate).</w:t>
      </w:r>
    </w:p>
    <w:p w14:paraId="2C84C73F" w14:textId="77777777" w:rsidR="00625A5B" w:rsidRPr="008F03E5" w:rsidRDefault="00625A5B" w:rsidP="005958D3">
      <w:pPr>
        <w:pStyle w:val="Translit"/>
      </w:pPr>
      <w:r w:rsidRPr="008F03E5">
        <w:t>Universal House of Justice</w:t>
      </w:r>
      <w:r w:rsidRPr="008F03E5">
        <w:tab/>
        <w:t>Universal House of Justice</w:t>
      </w:r>
      <w:r w:rsidRPr="008F03E5">
        <w:tab/>
        <w:t>(Persian:  Baytu’l-‘Adl-i-A‘ẓam</w:t>
      </w:r>
      <w:r w:rsidRPr="008F03E5">
        <w:rPr>
          <w:cs/>
        </w:rPr>
        <w:t>‎</w:t>
      </w:r>
      <w:r w:rsidRPr="008F03E5">
        <w:t xml:space="preserve">) The Universal House of Justice (as ordained by Bahá’u’lláh in </w:t>
      </w:r>
      <w:r w:rsidRPr="008F03E5">
        <w:rPr>
          <w:i/>
          <w:iCs/>
        </w:rPr>
        <w:t>The Kitáb-i-Aqdas</w:t>
      </w:r>
      <w:r w:rsidRPr="008F03E5">
        <w:t xml:space="preserve"> ) is the nine-member (at present) supreme ruling body of the Bahá’í Faith “possessing the exclusive right to legislate on matters not explicitly revealed in the Most Holy Book”.</w:t>
      </w:r>
      <w:r w:rsidRPr="008F03E5">
        <w:rPr>
          <w:rStyle w:val="FootnoteReference"/>
        </w:rPr>
        <w:footnoteReference w:id="23"/>
      </w:r>
      <w:r w:rsidRPr="008F03E5">
        <w:t xml:space="preserve">  It has a minimum of nine members (all men), the number will be gradually “increased nine by nine”</w:t>
      </w:r>
      <w:r w:rsidRPr="008F03E5">
        <w:rPr>
          <w:rStyle w:val="FootnoteReference"/>
        </w:rPr>
        <w:footnoteReference w:id="24"/>
      </w:r>
      <w:r w:rsidRPr="008F03E5">
        <w:t>.  It provides flexibility for the Bahá’í Faith to adapt to changing conditions by legislating on issues not already addressed in the Bahá’í writings.  It was first elected in 1963, and subsequently every five years, by delegates consisting of the members of Bahá’í National Spiritual Assemblies throughout the world.</w:t>
      </w:r>
    </w:p>
    <w:p w14:paraId="7CDC8A2F" w14:textId="77777777" w:rsidR="00625A5B" w:rsidRPr="008F03E5" w:rsidRDefault="00625A5B" w:rsidP="00302CE7">
      <w:pPr>
        <w:pStyle w:val="Translit"/>
      </w:pPr>
      <w:r w:rsidRPr="008F03E5">
        <w:t>Unzurna</w:t>
      </w:r>
      <w:r w:rsidRPr="008F03E5">
        <w:tab/>
        <w:t>Unẓurná</w:t>
      </w:r>
      <w:r w:rsidRPr="008F03E5">
        <w:tab/>
        <w:t>(a form of naẓara) used in Qur’án 2:104 “kindly favor us with your attention” or “watch over us”.  See Rá‘iná.</w:t>
      </w:r>
    </w:p>
    <w:p w14:paraId="33AE2629" w14:textId="77777777" w:rsidR="00625A5B" w:rsidRPr="008F03E5" w:rsidRDefault="00625A5B" w:rsidP="004B60EF">
      <w:pPr>
        <w:pStyle w:val="Translit"/>
      </w:pPr>
      <w:r w:rsidRPr="008F03E5">
        <w:t>Uqab, A’qub, ‘Iqban</w:t>
      </w:r>
      <w:r w:rsidRPr="008F03E5">
        <w:tab/>
        <w:t>‘Uqáb, (usually fem.), pl. A‘qub, ‘Iqbán</w:t>
      </w:r>
      <w:r w:rsidRPr="008F03E5">
        <w:tab/>
        <w:t>eagle.  al-‘Uqáb, Aquila (Latin eagle) constellation (astronomy).  See ‘Iqáb</w:t>
      </w:r>
    </w:p>
    <w:p w14:paraId="3AFABAC0" w14:textId="77777777" w:rsidR="00625A5B" w:rsidRPr="008F03E5" w:rsidRDefault="00625A5B" w:rsidP="004B60EF">
      <w:pPr>
        <w:pStyle w:val="Translit"/>
      </w:pPr>
      <w:r w:rsidRPr="008F03E5">
        <w:rPr>
          <w:rFonts w:eastAsia="Times New Roman"/>
        </w:rPr>
        <w:t>Uqba, ‘Iqba</w:t>
      </w:r>
      <w:r w:rsidRPr="008F03E5">
        <w:rPr>
          <w:rFonts w:eastAsia="Times New Roman"/>
        </w:rPr>
        <w:tab/>
        <w:t>‘Uqba[t], ‘Iqba[t]</w:t>
      </w:r>
      <w:r w:rsidRPr="008F03E5">
        <w:rPr>
          <w:rFonts w:eastAsia="Times New Roman"/>
        </w:rPr>
        <w:tab/>
        <w:t xml:space="preserve">posterity; a time, turn; anything received for another commodity (as part of the food made in a borrowed pot, which is sent back with it to the owner); exchange, substitute;—‘uqbat, ‘iqbat, outward form; remains, vestige (as of beauty, etc.).  </w:t>
      </w:r>
      <w:r w:rsidRPr="008F03E5">
        <w:t>Muslim ibn ‘Uqba al-Murrí (pre-622–683) was a general of the Umayyad Caliphate during the reigns of Mu‘áwíya I (r. 661–680) and his son Yazíd I (r. 680–683).  The latter assigned Muslim to lead an expedition against the people of Medina for refusing to give Yazíd the oath of allegiance.  The victory of Muslim at the Battle of al-Ḥarrah in 683 and the (alleged) subsequent 3 day pillaging of Medina by his army was considered among the major injustices carried out by the Umayyads.</w:t>
      </w:r>
    </w:p>
    <w:p w14:paraId="3FDB3902" w14:textId="77777777" w:rsidR="00625A5B" w:rsidRPr="008F03E5" w:rsidRDefault="00625A5B" w:rsidP="0039353B">
      <w:pPr>
        <w:pStyle w:val="Translit"/>
      </w:pPr>
      <w:r w:rsidRPr="008F03E5">
        <w:t>Urd, A’rad</w:t>
      </w:r>
      <w:r w:rsidRPr="008F03E5">
        <w:tab/>
        <w:t>‘Urḍ, pl. A‘ráḍ</w:t>
      </w:r>
      <w:r w:rsidRPr="008F03E5">
        <w:tab/>
        <w:t>honour, good repute; dignity</w:t>
      </w:r>
    </w:p>
    <w:p w14:paraId="5826D2B9" w14:textId="77777777" w:rsidR="00625A5B" w:rsidRPr="008F03E5" w:rsidRDefault="00625A5B" w:rsidP="00BC763B">
      <w:pPr>
        <w:pStyle w:val="Translit"/>
      </w:pPr>
      <w:r w:rsidRPr="008F03E5">
        <w:rPr>
          <w:rFonts w:eastAsia="Times New Roman"/>
        </w:rPr>
        <w:t>Urdi Bihisht (Ardi Bihisht)</w:t>
      </w:r>
      <w:r w:rsidRPr="008F03E5">
        <w:rPr>
          <w:rFonts w:eastAsia="Times New Roman"/>
        </w:rPr>
        <w:tab/>
        <w:t xml:space="preserve">Urdí </w:t>
      </w:r>
      <w:r w:rsidRPr="008F03E5">
        <w:t>(A</w:t>
      </w:r>
      <w:r w:rsidRPr="008F03E5">
        <w:rPr>
          <w:rFonts w:eastAsia="Times New Roman"/>
        </w:rPr>
        <w:t>rdí</w:t>
      </w:r>
      <w:r w:rsidRPr="008F03E5">
        <w:t>)</w:t>
      </w:r>
      <w:r w:rsidRPr="008F03E5">
        <w:rPr>
          <w:rFonts w:eastAsia="Times New Roman"/>
        </w:rPr>
        <w:t xml:space="preserve"> bihi</w:t>
      </w:r>
      <w:r w:rsidRPr="008F03E5">
        <w:rPr>
          <w:rFonts w:eastAsia="Times New Roman"/>
          <w:u w:val="single"/>
        </w:rPr>
        <w:t>sh</w:t>
      </w:r>
      <w:r w:rsidRPr="008F03E5">
        <w:rPr>
          <w:rFonts w:eastAsia="Times New Roman"/>
        </w:rPr>
        <w:t>t</w:t>
      </w:r>
      <w:r w:rsidRPr="008F03E5">
        <w:rPr>
          <w:rFonts w:eastAsia="Times New Roman"/>
        </w:rPr>
        <w:tab/>
        <w:t>Pers. second Persian month; the third day of every month</w:t>
      </w:r>
    </w:p>
    <w:p w14:paraId="646EEA9B" w14:textId="77777777" w:rsidR="00625A5B" w:rsidRPr="008F03E5" w:rsidRDefault="00625A5B" w:rsidP="005466E0">
      <w:pPr>
        <w:pStyle w:val="Translit"/>
        <w:rPr>
          <w:rFonts w:eastAsia="Times New Roman"/>
        </w:rPr>
      </w:pPr>
      <w:r w:rsidRPr="008F03E5">
        <w:rPr>
          <w:rFonts w:eastAsia="Times New Roman"/>
        </w:rPr>
        <w:t>Urdu</w:t>
      </w:r>
      <w:r w:rsidRPr="008F03E5">
        <w:rPr>
          <w:rFonts w:eastAsia="Times New Roman"/>
        </w:rPr>
        <w:tab/>
        <w:t>Urdú</w:t>
      </w:r>
      <w:r w:rsidRPr="008F03E5">
        <w:rPr>
          <w:rFonts w:eastAsia="Times New Roman"/>
        </w:rPr>
        <w:tab/>
        <w:t>Turkish.  a camp, an army; a name for the Hindustani language, made up of Hindi, Persian and Arabic</w:t>
      </w:r>
    </w:p>
    <w:p w14:paraId="0E2B2FA0" w14:textId="77777777" w:rsidR="00625A5B" w:rsidRPr="008F03E5" w:rsidRDefault="00625A5B" w:rsidP="005466E0">
      <w:pPr>
        <w:pStyle w:val="Translit"/>
      </w:pPr>
      <w:r w:rsidRPr="008F03E5">
        <w:t>Urdubadi</w:t>
      </w:r>
      <w:r w:rsidRPr="008F03E5">
        <w:tab/>
        <w:t>Urdúbádí</w:t>
      </w:r>
      <w:r w:rsidRPr="008F03E5">
        <w:tab/>
        <w:t>Siyyid ‘Abdu’l-Karím-i-Urdúbádí</w:t>
      </w:r>
    </w:p>
    <w:p w14:paraId="29CED582" w14:textId="77777777" w:rsidR="00625A5B" w:rsidRPr="008F03E5" w:rsidRDefault="00625A5B" w:rsidP="0039353B">
      <w:pPr>
        <w:pStyle w:val="Translit"/>
      </w:pPr>
      <w:r w:rsidRPr="008F03E5">
        <w:t>Urf, A’raf</w:t>
      </w:r>
      <w:r w:rsidRPr="008F03E5">
        <w:tab/>
        <w:t>‘Urf, pl. A‘ráf</w:t>
      </w:r>
      <w:r w:rsidRPr="008F03E5">
        <w:tab/>
        <w:t xml:space="preserve">beneficence, kindness; custom, usage, practice, convention, tradition, habit; legal practice; custom, customary (or “common”) law (jurisprudence) that is nominally based on oral tradition;—pl. crest (heights, Qur’án 7:46, 7:48), comb (or a rooster), mane (of a horse); also the boundary between paradise and hell, a kind of purgatory which, according to Sa‘dí, appears to be a hell to the blessed, and a heaven to the damned.  See </w:t>
      </w:r>
      <w:r w:rsidRPr="008F03E5">
        <w:rPr>
          <w:u w:val="single"/>
        </w:rPr>
        <w:t>Sh</w:t>
      </w:r>
      <w:r w:rsidRPr="008F03E5">
        <w:t>ar‘.</w:t>
      </w:r>
    </w:p>
    <w:p w14:paraId="7EE1A188" w14:textId="77777777" w:rsidR="00625A5B" w:rsidRPr="008F03E5" w:rsidRDefault="00625A5B" w:rsidP="00AA533E">
      <w:pPr>
        <w:pStyle w:val="Translit"/>
      </w:pPr>
      <w:r w:rsidRPr="008F03E5">
        <w:t>Urfzadih</w:t>
      </w:r>
      <w:r w:rsidRPr="008F03E5">
        <w:tab/>
        <w:t>‘Urf-Zádih</w:t>
      </w:r>
      <w:r w:rsidRPr="008F03E5">
        <w:tab/>
      </w:r>
    </w:p>
    <w:p w14:paraId="30FEDF49" w14:textId="77777777" w:rsidR="00625A5B" w:rsidRPr="008B5EE2" w:rsidRDefault="00625A5B" w:rsidP="009159F1">
      <w:pPr>
        <w:pStyle w:val="Translit"/>
        <w:rPr>
          <w:rFonts w:eastAsia="Times New Roman"/>
          <w:lang w:val="en-AU"/>
        </w:rPr>
      </w:pPr>
      <w:r w:rsidRPr="008B5EE2">
        <w:rPr>
          <w:rFonts w:eastAsia="Times New Roman"/>
          <w:lang w:val="en-AU"/>
        </w:rPr>
        <w:t>Urim (Ourim</w:t>
      </w:r>
      <w:r>
        <w:rPr>
          <w:rFonts w:eastAsia="Times New Roman"/>
          <w:lang w:val="en-AU"/>
        </w:rPr>
        <w:t>, Owrim, Oorim</w:t>
      </w:r>
      <w:r w:rsidRPr="008B5EE2">
        <w:rPr>
          <w:rFonts w:eastAsia="Times New Roman"/>
          <w:lang w:val="en-AU"/>
        </w:rPr>
        <w:t>)</w:t>
      </w:r>
      <w:r w:rsidRPr="008B5EE2">
        <w:rPr>
          <w:rFonts w:eastAsia="Times New Roman"/>
          <w:lang w:val="en-AU"/>
        </w:rPr>
        <w:tab/>
      </w:r>
      <w:r w:rsidRPr="008B5EE2">
        <w:rPr>
          <w:lang w:val="en-AU"/>
        </w:rPr>
        <w:t>Ú</w:t>
      </w:r>
      <w:r w:rsidRPr="008B5EE2">
        <w:rPr>
          <w:rFonts w:eastAsia="Times New Roman"/>
          <w:lang w:val="en-AU"/>
        </w:rPr>
        <w:t>r</w:t>
      </w:r>
      <w:r w:rsidRPr="008B5EE2">
        <w:rPr>
          <w:lang w:val="en-AU"/>
        </w:rPr>
        <w:t>í</w:t>
      </w:r>
      <w:r w:rsidRPr="008B5EE2">
        <w:rPr>
          <w:rFonts w:eastAsia="Times New Roman"/>
          <w:lang w:val="en-AU"/>
        </w:rPr>
        <w:t>m</w:t>
      </w:r>
      <w:r w:rsidRPr="008B5EE2">
        <w:rPr>
          <w:rFonts w:eastAsia="Times New Roman"/>
          <w:lang w:val="en-AU"/>
        </w:rPr>
        <w:tab/>
        <w:t>Pers. village (</w:t>
      </w:r>
      <w:r w:rsidRPr="00E95264">
        <w:t>35.946855, 52.97578</w:t>
      </w:r>
      <w:r>
        <w:t>9</w:t>
      </w:r>
      <w:r w:rsidRPr="008B5EE2">
        <w:rPr>
          <w:rFonts w:eastAsia="Times New Roman"/>
          <w:lang w:val="en-AU"/>
        </w:rPr>
        <w:t>)</w:t>
      </w:r>
      <w:r>
        <w:rPr>
          <w:rFonts w:eastAsia="Times New Roman"/>
          <w:lang w:val="en-AU"/>
        </w:rPr>
        <w:t xml:space="preserve">, Mazandaran Province, 2 km </w:t>
      </w:r>
      <w:r w:rsidRPr="00442EAD">
        <w:rPr>
          <w:sz w:val="16"/>
          <w:szCs w:val="16"/>
        </w:rPr>
        <w:t>NW</w:t>
      </w:r>
      <w:r w:rsidRPr="008B5EE2">
        <w:rPr>
          <w:rFonts w:eastAsia="Times New Roman"/>
          <w:lang w:val="en-AU"/>
        </w:rPr>
        <w:t xml:space="preserve"> o</w:t>
      </w:r>
      <w:r>
        <w:rPr>
          <w:rFonts w:eastAsia="Times New Roman"/>
          <w:lang w:val="en-AU"/>
        </w:rPr>
        <w:t xml:space="preserve">f the main </w:t>
      </w:r>
      <w:r w:rsidRPr="008B5EE2">
        <w:t>Ṭ</w:t>
      </w:r>
      <w:r>
        <w:rPr>
          <w:rFonts w:eastAsia="Times New Roman"/>
          <w:lang w:val="en-AU"/>
        </w:rPr>
        <w:t>ihr</w:t>
      </w:r>
      <w:r w:rsidRPr="008B5EE2">
        <w:t>á</w:t>
      </w:r>
      <w:r>
        <w:rPr>
          <w:rFonts w:eastAsia="Times New Roman"/>
          <w:lang w:val="en-AU"/>
        </w:rPr>
        <w:t>n-B</w:t>
      </w:r>
      <w:r w:rsidRPr="008B5EE2">
        <w:t>á</w:t>
      </w:r>
      <w:r>
        <w:rPr>
          <w:rFonts w:eastAsia="Times New Roman"/>
          <w:lang w:val="en-AU"/>
        </w:rPr>
        <w:t>rfur</w:t>
      </w:r>
      <w:r w:rsidRPr="008B5EE2">
        <w:t>ú</w:t>
      </w:r>
      <w:r w:rsidRPr="008B5EE2">
        <w:rPr>
          <w:rFonts w:eastAsia="Times New Roman"/>
          <w:u w:val="single"/>
          <w:lang w:val="en-AU"/>
        </w:rPr>
        <w:t>sh</w:t>
      </w:r>
      <w:r>
        <w:rPr>
          <w:rFonts w:eastAsia="Times New Roman"/>
          <w:lang w:val="en-AU"/>
        </w:rPr>
        <w:t xml:space="preserve"> road in Mazandaran Province</w:t>
      </w:r>
    </w:p>
    <w:p w14:paraId="3CC8B72E" w14:textId="77777777" w:rsidR="00625A5B" w:rsidRPr="008F03E5" w:rsidRDefault="00625A5B" w:rsidP="00E07DF1">
      <w:pPr>
        <w:pStyle w:val="Translit"/>
      </w:pPr>
      <w:r w:rsidRPr="008F03E5">
        <w:rPr>
          <w:rFonts w:eastAsia="Times New Roman"/>
        </w:rPr>
        <w:t>Urmus</w:t>
      </w:r>
      <w:r w:rsidRPr="008F03E5">
        <w:rPr>
          <w:rFonts w:eastAsia="Times New Roman"/>
        </w:rPr>
        <w:tab/>
        <w:t>Urmus</w:t>
      </w:r>
      <w:r w:rsidRPr="008F03E5">
        <w:rPr>
          <w:rFonts w:eastAsia="Times New Roman"/>
        </w:rPr>
        <w:tab/>
        <w:t>Pers. the prophet Enoch; Hermes.  See Idr</w:t>
      </w:r>
      <w:r w:rsidRPr="008F03E5">
        <w:t>í</w:t>
      </w:r>
      <w:r w:rsidRPr="008F03E5">
        <w:rPr>
          <w:rFonts w:eastAsia="Times New Roman"/>
        </w:rPr>
        <w:t>s</w:t>
      </w:r>
    </w:p>
    <w:p w14:paraId="7B283A5F" w14:textId="77777777" w:rsidR="00625A5B" w:rsidRPr="008F03E5" w:rsidRDefault="00625A5B" w:rsidP="00B74B24">
      <w:pPr>
        <w:pStyle w:val="Translit"/>
      </w:pPr>
      <w:r w:rsidRPr="008F03E5">
        <w:t>Urubba (Urubbi), Urup</w:t>
      </w:r>
      <w:r w:rsidRPr="008F03E5">
        <w:tab/>
        <w:t>Urubbá, Pers. Urúp</w:t>
      </w:r>
      <w:r w:rsidRPr="008F03E5">
        <w:tab/>
        <w:t>Europe.  Urubbí European (adjective and noun)</w:t>
      </w:r>
    </w:p>
    <w:p w14:paraId="51544679" w14:textId="77777777" w:rsidR="00625A5B" w:rsidRPr="008F03E5" w:rsidRDefault="00625A5B" w:rsidP="00886AB4">
      <w:pPr>
        <w:pStyle w:val="Translit"/>
      </w:pPr>
      <w:r w:rsidRPr="008F03E5">
        <w:t>Urumiyah (Urumiyyih, Urmiya)</w:t>
      </w:r>
      <w:r w:rsidRPr="008F03E5">
        <w:tab/>
        <w:t>Urúmíyah</w:t>
      </w:r>
      <w:r w:rsidRPr="008F03E5">
        <w:tab/>
        <w:t>“water town”, Urmia (37.560039, 45.059930), city in West Á</w:t>
      </w:r>
      <w:r w:rsidRPr="008F03E5">
        <w:rPr>
          <w:u w:val="single"/>
        </w:rPr>
        <w:t>dh</w:t>
      </w:r>
      <w:r w:rsidRPr="008F03E5">
        <w:t xml:space="preserve">arbáyján Province, Iran.  The city and Lake Urmia are </w:t>
      </w:r>
      <w:r w:rsidRPr="008F03E5">
        <w:rPr>
          <w:sz w:val="16"/>
          <w:szCs w:val="16"/>
        </w:rPr>
        <w:t>SW</w:t>
      </w:r>
      <w:r w:rsidRPr="008F03E5">
        <w:t xml:space="preserve"> of Tabríz.  Renamed Riḍá’íyyih after Riḍá </w:t>
      </w:r>
      <w:r w:rsidRPr="008F03E5">
        <w:rPr>
          <w:u w:val="single"/>
        </w:rPr>
        <w:t>Sh</w:t>
      </w:r>
      <w:r w:rsidRPr="008F03E5">
        <w:t>áh during the Pahlavi Dynasty (1925–1979).  The purported birthplace of Zoroaster.</w:t>
      </w:r>
    </w:p>
    <w:p w14:paraId="29206274" w14:textId="77777777" w:rsidR="00625A5B" w:rsidRPr="008F03E5" w:rsidRDefault="00625A5B" w:rsidP="00741D5F">
      <w:pPr>
        <w:pStyle w:val="Translit"/>
      </w:pPr>
      <w:r w:rsidRPr="008F03E5">
        <w:t>Urwa, ‘Uran</w:t>
      </w:r>
      <w:r w:rsidRPr="008F03E5">
        <w:tab/>
        <w:t>‘Urwa, ‘Uran</w:t>
      </w:r>
      <w:r w:rsidRPr="008F03E5">
        <w:tab/>
        <w:t>“Arva” (al-‘Urwa al-Wu</w:t>
      </w:r>
      <w:r w:rsidRPr="008F03E5">
        <w:rPr>
          <w:u w:val="single"/>
        </w:rPr>
        <w:t>th</w:t>
      </w:r>
      <w:r w:rsidRPr="008F03E5">
        <w:t>qá) buttonhole; loop, noose, coil; ear, handle (of a jug, and the like); tie, bond</w:t>
      </w:r>
    </w:p>
    <w:p w14:paraId="5A6DD574" w14:textId="77777777" w:rsidR="00625A5B" w:rsidRPr="008F03E5" w:rsidRDefault="00625A5B" w:rsidP="00865B4B">
      <w:pPr>
        <w:pStyle w:val="Translit"/>
      </w:pPr>
      <w:r w:rsidRPr="008F03E5">
        <w:t>Urwatu’l-Wuthqa, Urvatu’l-Vuthqa</w:t>
      </w:r>
      <w:r w:rsidRPr="008F03E5">
        <w:tab/>
        <w:t>‘Urwatu’l-Wu</w:t>
      </w:r>
      <w:r w:rsidRPr="008F03E5">
        <w:rPr>
          <w:u w:val="single"/>
        </w:rPr>
        <w:t>th</w:t>
      </w:r>
      <w:r w:rsidRPr="008F03E5">
        <w:t>qá, Pers. ‘Urvatu’l-Vu</w:t>
      </w:r>
      <w:r w:rsidRPr="008F03E5">
        <w:rPr>
          <w:u w:val="single"/>
        </w:rPr>
        <w:t>th</w:t>
      </w:r>
      <w:r w:rsidRPr="008F03E5">
        <w:t>qá</w:t>
      </w:r>
      <w:r w:rsidRPr="008F03E5">
        <w:tab/>
        <w:t>“The Sure Handle” or “the strongest handle”, symbolic of the Faith of God.</w:t>
      </w:r>
    </w:p>
    <w:p w14:paraId="42A2B0C3" w14:textId="77777777" w:rsidR="00625A5B" w:rsidRPr="008F03E5" w:rsidRDefault="00625A5B" w:rsidP="004422D0">
      <w:pPr>
        <w:pStyle w:val="Translit"/>
      </w:pPr>
      <w:r w:rsidRPr="008F03E5">
        <w:t>Usama (Osama)</w:t>
      </w:r>
      <w:r w:rsidRPr="008F03E5">
        <w:tab/>
        <w:t>Usáma[h or t]</w:t>
      </w:r>
      <w:r w:rsidRPr="008F03E5">
        <w:tab/>
        <w:t>a lion.  Usáma ibn Zayb (b. 612) early Muslim and companion of Muḥammad.  He was the son of Zayd ibn al-Ḥári</w:t>
      </w:r>
      <w:r w:rsidRPr="008F03E5">
        <w:rPr>
          <w:u w:val="single"/>
        </w:rPr>
        <w:t>th</w:t>
      </w:r>
      <w:r w:rsidRPr="008F03E5">
        <w:t>ah, Muḥammad’s freed slave and adopted son, and Umm Ayman (Barakah), a servant of Muḥammad.  Usámah bin Muḥammad bin ‘Awaḍ bin Ládin (Usama bin Ladin) (1957–2011) was a founder of the pan-Islamic militant organization al-Qá‘idah (al-Qaeda).</w:t>
      </w:r>
    </w:p>
    <w:p w14:paraId="7663F8B6" w14:textId="77777777" w:rsidR="00625A5B" w:rsidRPr="008F03E5" w:rsidRDefault="00625A5B" w:rsidP="00C6411C">
      <w:pPr>
        <w:pStyle w:val="Translit"/>
      </w:pPr>
      <w:r w:rsidRPr="008F03E5">
        <w:t>Usanlu</w:t>
      </w:r>
      <w:r w:rsidRPr="008F03E5">
        <w:tab/>
        <w:t>Usánlú</w:t>
      </w:r>
      <w:r w:rsidRPr="008F03E5">
        <w:tab/>
        <w:t>a Turkish speaking tribe lving near Sárí</w:t>
      </w:r>
    </w:p>
    <w:p w14:paraId="74495015" w14:textId="77777777" w:rsidR="00625A5B" w:rsidRPr="008F03E5" w:rsidRDefault="00625A5B" w:rsidP="007E3FA5">
      <w:pPr>
        <w:pStyle w:val="Translit"/>
      </w:pPr>
      <w:r w:rsidRPr="008F03E5">
        <w:t>Usaybi’a (Usaibi’a)</w:t>
      </w:r>
      <w:r w:rsidRPr="008F03E5">
        <w:tab/>
        <w:t>Uṣaybi’a</w:t>
      </w:r>
      <w:r w:rsidRPr="008F03E5">
        <w:tab/>
        <w:t>ibn Abí Uṣaybi’a (1203–1270), was a Syrian Arab physician</w:t>
      </w:r>
    </w:p>
    <w:p w14:paraId="3B921A1C" w14:textId="77777777" w:rsidR="00625A5B" w:rsidRPr="008F03E5" w:rsidRDefault="00625A5B" w:rsidP="004B60EF">
      <w:pPr>
        <w:pStyle w:val="Translit"/>
      </w:pPr>
      <w:r w:rsidRPr="008F03E5">
        <w:t>Usfan (Asfan)</w:t>
      </w:r>
      <w:r w:rsidRPr="008F03E5">
        <w:tab/>
        <w:t>‘Usfán (‘Asfán)</w:t>
      </w:r>
      <w:r w:rsidRPr="008F03E5">
        <w:tab/>
        <w:t xml:space="preserve">a village 46 km </w:t>
      </w:r>
      <w:r w:rsidRPr="008F03E5">
        <w:rPr>
          <w:sz w:val="16"/>
          <w:szCs w:val="16"/>
        </w:rPr>
        <w:t>NE</w:t>
      </w:r>
      <w:r w:rsidRPr="008F03E5">
        <w:t xml:space="preserve"> Jiddah (</w:t>
      </w:r>
      <w:r w:rsidRPr="008F03E5">
        <w:rPr>
          <w:lang w:eastAsia="en-US"/>
        </w:rPr>
        <w:t>21.924930, 39.349794</w:t>
      </w:r>
      <w:r w:rsidRPr="008F03E5">
        <w:t>) on the road to Mecca</w:t>
      </w:r>
    </w:p>
    <w:p w14:paraId="6F006DF9" w14:textId="77777777" w:rsidR="00625A5B" w:rsidRPr="008F03E5" w:rsidRDefault="00625A5B" w:rsidP="00FE1D98">
      <w:pPr>
        <w:pStyle w:val="Translit"/>
      </w:pPr>
      <w:r w:rsidRPr="00077779">
        <w:rPr>
          <w:lang w:val="es-ES_tradnl"/>
        </w:rPr>
        <w:t>Ushidar Mah (Oshedar Mah)</w:t>
      </w:r>
      <w:r w:rsidRPr="00077779">
        <w:rPr>
          <w:lang w:val="es-ES_tradnl"/>
        </w:rPr>
        <w:tab/>
        <w:t>Ú</w:t>
      </w:r>
      <w:r w:rsidRPr="00077779">
        <w:rPr>
          <w:u w:val="single"/>
          <w:lang w:val="es-ES_tradnl"/>
        </w:rPr>
        <w:t>sh</w:t>
      </w:r>
      <w:r w:rsidRPr="00077779">
        <w:rPr>
          <w:lang w:val="es-ES_tradnl"/>
        </w:rPr>
        <w:t>ídar Máh</w:t>
      </w:r>
      <w:r w:rsidRPr="00077779">
        <w:rPr>
          <w:lang w:val="es-ES_tradnl"/>
        </w:rPr>
        <w:tab/>
        <w:t xml:space="preserve">Pers. </w:t>
      </w:r>
      <w:r w:rsidRPr="008F03E5">
        <w:t>(Ú</w:t>
      </w:r>
      <w:r w:rsidRPr="008F03E5">
        <w:rPr>
          <w:u w:val="single"/>
        </w:rPr>
        <w:t>sh</w:t>
      </w:r>
      <w:r w:rsidRPr="008F03E5">
        <w:t xml:space="preserve">ídar Máh Bámi) the Promised One referred to in Zoroastrian Scriptures and fulfilled by the Báb.  </w:t>
      </w:r>
      <w:r w:rsidRPr="008F03E5">
        <w:rPr>
          <w:i/>
          <w:iCs/>
        </w:rPr>
        <w:t>The World Order of Baha’u’llah</w:t>
      </w:r>
      <w:r w:rsidRPr="008F03E5">
        <w:t>, pp. 101–102 refers to three:  Muḥammad, the Báb and Bahá’u’lláh.  See Hu</w:t>
      </w:r>
      <w:r w:rsidRPr="008F03E5">
        <w:rPr>
          <w:u w:val="single"/>
        </w:rPr>
        <w:t>sh</w:t>
      </w:r>
      <w:r w:rsidRPr="008F03E5">
        <w:t>idár</w:t>
      </w:r>
    </w:p>
    <w:p w14:paraId="7E87E66F" w14:textId="77777777" w:rsidR="00625A5B" w:rsidRPr="008F03E5" w:rsidRDefault="00625A5B" w:rsidP="00D30912">
      <w:pPr>
        <w:pStyle w:val="Translit"/>
      </w:pPr>
      <w:r w:rsidRPr="008F03E5">
        <w:t>Ushkur</w:t>
      </w:r>
      <w:r w:rsidRPr="008F03E5">
        <w:tab/>
        <w:t>U</w:t>
      </w:r>
      <w:r w:rsidRPr="008F03E5">
        <w:rPr>
          <w:u w:val="single"/>
        </w:rPr>
        <w:t>sh</w:t>
      </w:r>
      <w:r w:rsidRPr="008F03E5">
        <w:t>kur</w:t>
      </w:r>
      <w:r w:rsidRPr="008F03E5">
        <w:tab/>
        <w:t xml:space="preserve">imperitive form of </w:t>
      </w:r>
      <w:r w:rsidRPr="008F03E5">
        <w:rPr>
          <w:u w:val="single"/>
        </w:rPr>
        <w:t>Sh</w:t>
      </w:r>
      <w:r w:rsidRPr="008F03E5">
        <w:t>akara (thank)</w:t>
      </w:r>
    </w:p>
    <w:p w14:paraId="3EA02FA1" w14:textId="77777777" w:rsidR="00625A5B" w:rsidRPr="008F03E5" w:rsidRDefault="00625A5B" w:rsidP="00BC7AE2">
      <w:pPr>
        <w:pStyle w:val="Translit"/>
      </w:pPr>
      <w:r w:rsidRPr="008F03E5">
        <w:t>Usku (Osku)</w:t>
      </w:r>
      <w:r w:rsidRPr="008F03E5">
        <w:tab/>
        <w:t>Uskú</w:t>
      </w:r>
      <w:r w:rsidRPr="008F03E5">
        <w:tab/>
        <w:t xml:space="preserve">city (37.915222, 46.119893) in East Azerbaijan Province, 23 km </w:t>
      </w:r>
      <w:r w:rsidRPr="008F03E5">
        <w:rPr>
          <w:sz w:val="16"/>
          <w:szCs w:val="16"/>
        </w:rPr>
        <w:t>SW</w:t>
      </w:r>
      <w:r w:rsidRPr="008F03E5">
        <w:t xml:space="preserve"> of Tabríz</w:t>
      </w:r>
    </w:p>
    <w:p w14:paraId="224FFE58" w14:textId="77777777" w:rsidR="00625A5B" w:rsidRPr="008F03E5" w:rsidRDefault="00625A5B" w:rsidP="00BC7AE2">
      <w:pPr>
        <w:pStyle w:val="Translit"/>
      </w:pPr>
      <w:r w:rsidRPr="008F03E5">
        <w:t>Usku’i</w:t>
      </w:r>
      <w:r w:rsidRPr="008F03E5">
        <w:tab/>
        <w:t>Uskú’í</w:t>
      </w:r>
      <w:r w:rsidRPr="008F03E5">
        <w:tab/>
        <w:t xml:space="preserve">of or from Uskú.  Mírzá Ḥaydar ‘Alí Uskú’í, an outstanding early Bahá’í who suffered exile from Egypt to Sudan.  Mullá Muḥammad Báqir Uskú’í, an early leader of a branch of </w:t>
      </w:r>
      <w:r w:rsidRPr="008F03E5">
        <w:rPr>
          <w:u w:val="single"/>
        </w:rPr>
        <w:t>Sh</w:t>
      </w:r>
      <w:r w:rsidRPr="008F03E5">
        <w:t>ay</w:t>
      </w:r>
      <w:r w:rsidRPr="008F03E5">
        <w:rPr>
          <w:u w:val="single"/>
        </w:rPr>
        <w:t>kh</w:t>
      </w:r>
      <w:r w:rsidRPr="008F03E5">
        <w:t>iyya (Shaykhism) whose name, Uskú’í, was adopted by the branch.</w:t>
      </w:r>
    </w:p>
    <w:p w14:paraId="71DD3B0D" w14:textId="77777777" w:rsidR="00625A5B" w:rsidRPr="008F03E5" w:rsidRDefault="00625A5B" w:rsidP="00EF7681">
      <w:pPr>
        <w:pStyle w:val="Translit"/>
      </w:pPr>
      <w:r w:rsidRPr="008F03E5">
        <w:t>Uskul or Usqul</w:t>
      </w:r>
      <w:r w:rsidRPr="008F03E5">
        <w:tab/>
        <w:t>Uskúl or Usqúl, Turkish Üskül</w:t>
      </w:r>
      <w:r w:rsidRPr="008F03E5">
        <w:tab/>
        <w:t>Reka Uskul (Река Ускул, river in Russia north of Mongolia).</w:t>
      </w:r>
    </w:p>
    <w:p w14:paraId="4F2F4DB2" w14:textId="77777777" w:rsidR="00625A5B" w:rsidRPr="008F03E5" w:rsidRDefault="00625A5B" w:rsidP="001660BE">
      <w:pPr>
        <w:pStyle w:val="Translit"/>
      </w:pPr>
      <w:r w:rsidRPr="008F03E5">
        <w:t>Uskuli (Ouskouli) or Usquli</w:t>
      </w:r>
      <w:r w:rsidRPr="008F03E5">
        <w:tab/>
        <w:t>Uskúlí or Usqúlí</w:t>
      </w:r>
      <w:r w:rsidRPr="008F03E5">
        <w:tab/>
        <w:t>Pers. members of the Uskúlí (Usqúlí) family from ‘I</w:t>
      </w:r>
      <w:r w:rsidRPr="008F03E5">
        <w:rPr>
          <w:u w:val="single"/>
        </w:rPr>
        <w:t>sh</w:t>
      </w:r>
      <w:r w:rsidRPr="008F03E5">
        <w:t>qábád who moved to Shanghai, China, as tea-merchants, from about 1914, and established their “Omid Trading Company”.  Many members were among the first LSA in Shanghai.  Later moved to Tainan City, Taiwan, and helping to form its first LSA.</w:t>
      </w:r>
    </w:p>
    <w:p w14:paraId="64C475C3" w14:textId="77777777" w:rsidR="00625A5B" w:rsidRPr="00077779" w:rsidRDefault="00625A5B" w:rsidP="006D70EE">
      <w:pPr>
        <w:pStyle w:val="Translit"/>
        <w:rPr>
          <w:lang w:val="es-ES_tradnl"/>
        </w:rPr>
      </w:pPr>
      <w:r w:rsidRPr="00077779">
        <w:rPr>
          <w:lang w:val="es-ES_tradnl"/>
        </w:rPr>
        <w:t>Ustad Muhammad Rida</w:t>
      </w:r>
      <w:r w:rsidRPr="00077779">
        <w:rPr>
          <w:lang w:val="es-ES_tradnl"/>
        </w:rPr>
        <w:tab/>
        <w:t>Ustád Muḥammad Ríḍa</w:t>
      </w:r>
      <w:r w:rsidRPr="00077779">
        <w:rPr>
          <w:lang w:val="es-ES_tradnl"/>
        </w:rPr>
        <w:tab/>
        <w:t>(Estad Muhammad Riza)</w:t>
      </w:r>
    </w:p>
    <w:p w14:paraId="5FE69A59" w14:textId="77777777" w:rsidR="00625A5B" w:rsidRPr="008F03E5" w:rsidRDefault="00625A5B" w:rsidP="00A05D29">
      <w:pPr>
        <w:pStyle w:val="Translit"/>
      </w:pPr>
      <w:r w:rsidRPr="008F03E5">
        <w:t>Ustad, Asatida</w:t>
      </w:r>
      <w:r w:rsidRPr="008F03E5">
        <w:tab/>
        <w:t>Ustád, pl. Asátida</w:t>
      </w:r>
      <w:r w:rsidRPr="008F03E5">
        <w:tab/>
        <w:t>master; teacher professor (academic title); form of address to intellectuals (lawyers, journalists, officials, writers and poets).  The forms a</w:t>
      </w:r>
      <w:r w:rsidRPr="008F03E5">
        <w:rPr>
          <w:rFonts w:eastAsia="Times New Roman"/>
        </w:rPr>
        <w:t>st</w:t>
      </w:r>
      <w:r w:rsidRPr="008F03E5">
        <w:t>á</w:t>
      </w:r>
      <w:r w:rsidRPr="008F03E5">
        <w:rPr>
          <w:rFonts w:eastAsia="Times New Roman"/>
        </w:rPr>
        <w:t xml:space="preserve"> and ust</w:t>
      </w:r>
      <w:r w:rsidRPr="008F03E5">
        <w:t xml:space="preserve">á are derived from the Persian </w:t>
      </w:r>
      <w:r w:rsidRPr="008F03E5">
        <w:rPr>
          <w:rFonts w:eastAsia="Times New Roman"/>
        </w:rPr>
        <w:t>awastá</w:t>
      </w:r>
      <w:r w:rsidRPr="008F03E5">
        <w:t>.</w:t>
      </w:r>
    </w:p>
    <w:p w14:paraId="2CBC2060" w14:textId="77777777" w:rsidR="00625A5B" w:rsidRPr="008F03E5" w:rsidRDefault="00625A5B" w:rsidP="00314CAA">
      <w:pPr>
        <w:pStyle w:val="Translit"/>
      </w:pPr>
      <w:r w:rsidRPr="008F03E5">
        <w:t>Ustadh, Asatidha</w:t>
      </w:r>
      <w:r w:rsidRPr="008F03E5">
        <w:tab/>
        <w:t>Ustá</w:t>
      </w:r>
      <w:r w:rsidRPr="008F03E5">
        <w:rPr>
          <w:u w:val="single"/>
        </w:rPr>
        <w:t>dh</w:t>
      </w:r>
      <w:r w:rsidRPr="008F03E5">
        <w:t>, pl. Asáti</w:t>
      </w:r>
      <w:r w:rsidRPr="008F03E5">
        <w:rPr>
          <w:u w:val="single"/>
        </w:rPr>
        <w:t>dh</w:t>
      </w:r>
      <w:r w:rsidRPr="008F03E5">
        <w:t>a</w:t>
      </w:r>
      <w:r w:rsidRPr="008F03E5">
        <w:tab/>
        <w:t>Ar. professor; teacher; master, one who is skilled in an art or profession</w:t>
      </w:r>
    </w:p>
    <w:p w14:paraId="4832C6C3" w14:textId="77777777" w:rsidR="00625A5B" w:rsidRPr="008F03E5" w:rsidRDefault="00625A5B" w:rsidP="00015735">
      <w:pPr>
        <w:pStyle w:val="Translit"/>
        <w:rPr>
          <w:rFonts w:eastAsia="PMingLiU"/>
          <w:lang w:eastAsia="zh-TW"/>
        </w:rPr>
      </w:pPr>
      <w:r w:rsidRPr="008F03E5">
        <w:rPr>
          <w:rFonts w:eastAsia="PMingLiU"/>
          <w:lang w:eastAsia="zh-TW"/>
        </w:rPr>
        <w:t>Ustan</w:t>
      </w:r>
      <w:r w:rsidRPr="008F03E5">
        <w:rPr>
          <w:rFonts w:eastAsia="PMingLiU"/>
          <w:lang w:eastAsia="zh-TW"/>
        </w:rPr>
        <w:tab/>
        <w:t>Ust</w:t>
      </w:r>
      <w:r w:rsidRPr="008F03E5">
        <w:t>á</w:t>
      </w:r>
      <w:r w:rsidRPr="008F03E5">
        <w:rPr>
          <w:rFonts w:eastAsia="PMingLiU"/>
          <w:lang w:eastAsia="zh-TW"/>
        </w:rPr>
        <w:t>n</w:t>
      </w:r>
      <w:r w:rsidRPr="008F03E5">
        <w:rPr>
          <w:rFonts w:eastAsia="PMingLiU"/>
          <w:lang w:eastAsia="zh-TW"/>
        </w:rPr>
        <w:tab/>
        <w:t>Persian word equivalent to provinces</w:t>
      </w:r>
    </w:p>
    <w:p w14:paraId="5EFFF00B" w14:textId="77777777" w:rsidR="00625A5B" w:rsidRPr="008F03E5" w:rsidRDefault="00625A5B" w:rsidP="0082288C">
      <w:pPr>
        <w:pStyle w:val="Translit"/>
      </w:pPr>
      <w:r w:rsidRPr="008F03E5">
        <w:t>Ustura, Asatir</w:t>
      </w:r>
      <w:r w:rsidRPr="008F03E5">
        <w:tab/>
        <w:t>Usṭúra, pl. Asáṭír</w:t>
      </w:r>
      <w:r w:rsidRPr="008F03E5">
        <w:tab/>
        <w:t xml:space="preserve">fable, legend, saga, myth; fabulous story, yarn.  </w:t>
      </w:r>
      <w:r w:rsidRPr="008F03E5">
        <w:rPr>
          <w:i/>
          <w:iCs/>
        </w:rPr>
        <w:t>The Asaṭír</w:t>
      </w:r>
      <w:r w:rsidRPr="008F03E5">
        <w:t xml:space="preserve">, also known as </w:t>
      </w:r>
      <w:r w:rsidRPr="008F03E5">
        <w:rPr>
          <w:i/>
          <w:iCs/>
        </w:rPr>
        <w:t>The Samaritan Book of the “Secrets of Moses”</w:t>
      </w:r>
      <w:r w:rsidRPr="008F03E5">
        <w:t>, is a collection of Samaritan Biblical legends, parallel to the Jewish Midrash.  Asáṭír Publishing, Tehran.</w:t>
      </w:r>
    </w:p>
    <w:p w14:paraId="1BA8C198" w14:textId="77777777" w:rsidR="00625A5B" w:rsidRPr="008F03E5" w:rsidRDefault="00625A5B" w:rsidP="0082288C">
      <w:pPr>
        <w:pStyle w:val="Translit"/>
      </w:pPr>
      <w:r w:rsidRPr="008F03E5">
        <w:t>Usul al-Fiqh</w:t>
      </w:r>
      <w:r w:rsidRPr="008F03E5">
        <w:tab/>
        <w:t>Uṣúl al-Fiqh</w:t>
      </w:r>
      <w:r w:rsidRPr="008F03E5">
        <w:tab/>
        <w:t>lit. roots of jurisprudence.  The science of the principles of jurisprudence and the methodological means of arriving at legal standards, as opposed to furú‘ (branches) of fiqh, which is the actual body of law.</w:t>
      </w:r>
    </w:p>
    <w:p w14:paraId="3417B7C4" w14:textId="77777777" w:rsidR="00625A5B" w:rsidRPr="008F03E5" w:rsidRDefault="00625A5B" w:rsidP="00A02EF3">
      <w:pPr>
        <w:pStyle w:val="Translit"/>
        <w:rPr>
          <w:rFonts w:eastAsia="PMingLiU"/>
          <w:lang w:eastAsia="zh-TW"/>
        </w:rPr>
      </w:pPr>
      <w:r w:rsidRPr="008F03E5">
        <w:t>Usul</w:t>
      </w:r>
      <w:r>
        <w:t xml:space="preserve"> al</w:t>
      </w:r>
      <w:r w:rsidRPr="008F03E5">
        <w:t>-Kafi</w:t>
      </w:r>
      <w:r>
        <w:t>,</w:t>
      </w:r>
      <w:r w:rsidRPr="008F03E5">
        <w:t xml:space="preserve"> Usul-i-Kafi</w:t>
      </w:r>
      <w:r w:rsidRPr="008F03E5">
        <w:tab/>
        <w:t>Uṣúl al-Káfí (Ar)</w:t>
      </w:r>
      <w:r>
        <w:t>,</w:t>
      </w:r>
      <w:r w:rsidRPr="008F03E5">
        <w:t xml:space="preserve"> Uṣúl-i-Káfí (Pers)</w:t>
      </w:r>
      <w:r w:rsidRPr="008F03E5">
        <w:tab/>
      </w:r>
      <w:r>
        <w:t>“Origins of the Twelfth Im</w:t>
      </w:r>
      <w:r w:rsidRPr="00A02EF3">
        <w:t>á</w:t>
      </w:r>
      <w:r>
        <w:t>m, Mu</w:t>
      </w:r>
      <w:r w:rsidRPr="00A02EF3">
        <w:t>ḥ</w:t>
      </w:r>
      <w:r>
        <w:t>ammad ibn-i-</w:t>
      </w:r>
      <w:r w:rsidRPr="00A02EF3">
        <w:t>Ḥ</w:t>
      </w:r>
      <w:r>
        <w:t>asan al-‘Askar</w:t>
      </w:r>
      <w:r w:rsidRPr="00A02EF3">
        <w:t>í</w:t>
      </w:r>
      <w:r>
        <w:t xml:space="preserve">” </w:t>
      </w:r>
      <w:r w:rsidRPr="008F03E5">
        <w:t>written by Muḥammad-ibn-i-Ya‘qúb</w:t>
      </w:r>
      <w:r>
        <w:t xml:space="preserve">, titled </w:t>
      </w:r>
      <w:r w:rsidRPr="008F03E5">
        <w:rPr>
          <w:u w:val="single"/>
        </w:rPr>
        <w:t>Sh</w:t>
      </w:r>
      <w:r w:rsidRPr="008F03E5">
        <w:t>ay</w:t>
      </w:r>
      <w:r w:rsidRPr="008F03E5">
        <w:rPr>
          <w:u w:val="single"/>
        </w:rPr>
        <w:t>kh</w:t>
      </w:r>
      <w:r w:rsidRPr="008F03E5">
        <w:t>-i-Kulayní</w:t>
      </w:r>
    </w:p>
    <w:p w14:paraId="0CF1A1FD" w14:textId="77777777" w:rsidR="00625A5B" w:rsidRPr="008F03E5" w:rsidRDefault="00625A5B" w:rsidP="00A02EF3">
      <w:pPr>
        <w:pStyle w:val="Translit"/>
      </w:pPr>
      <w:r w:rsidRPr="008F03E5">
        <w:t>Utaq</w:t>
      </w:r>
      <w:r w:rsidRPr="008F03E5">
        <w:tab/>
        <w:t>Uṭáq</w:t>
      </w:r>
      <w:r w:rsidRPr="008F03E5">
        <w:tab/>
        <w:t>Pers. room, chamber, cabin; chamber furniture (“modern colloquialism”)</w:t>
      </w:r>
    </w:p>
    <w:p w14:paraId="2CE01AD6" w14:textId="77777777" w:rsidR="00625A5B" w:rsidRPr="008F03E5" w:rsidRDefault="00625A5B" w:rsidP="009A7AFE">
      <w:pPr>
        <w:pStyle w:val="Translit"/>
      </w:pPr>
      <w:r w:rsidRPr="008F03E5">
        <w:t>Utaqih Nizam</w:t>
      </w:r>
      <w:r w:rsidRPr="008F03E5">
        <w:tab/>
        <w:t>Utáqih Niẓám</w:t>
      </w:r>
      <w:r w:rsidRPr="008F03E5">
        <w:tab/>
        <w:t>(Otake-Nezam)  royal building (the military department)</w:t>
      </w:r>
    </w:p>
    <w:p w14:paraId="2C7258DD" w14:textId="77777777" w:rsidR="00625A5B" w:rsidRPr="008F03E5" w:rsidRDefault="00625A5B" w:rsidP="00DA70D0">
      <w:pPr>
        <w:pStyle w:val="Translit"/>
      </w:pPr>
      <w:r w:rsidRPr="008F03E5">
        <w:t>Utarid</w:t>
      </w:r>
      <w:r w:rsidRPr="008F03E5">
        <w:tab/>
        <w:t>Uṭárid</w:t>
      </w:r>
      <w:r w:rsidRPr="008F03E5">
        <w:tab/>
        <w:t>(the planet) Mercury</w:t>
      </w:r>
    </w:p>
    <w:p w14:paraId="39C7D6F3" w14:textId="77777777" w:rsidR="00625A5B" w:rsidRPr="008F03E5" w:rsidRDefault="00625A5B" w:rsidP="007C59E5">
      <w:pPr>
        <w:pStyle w:val="Translit"/>
      </w:pPr>
      <w:r w:rsidRPr="008F03E5">
        <w:t>Utba</w:t>
      </w:r>
      <w:r w:rsidRPr="008F03E5">
        <w:tab/>
        <w:t>‘Utba[h or t]</w:t>
      </w:r>
      <w:r w:rsidRPr="008F03E5">
        <w:tab/>
        <w:t>old Arabic name.  ‘Utbah ibn Rabí‘ah (c. 563–624), prominent pagan leader of the Quray</w:t>
      </w:r>
      <w:r w:rsidRPr="008F03E5">
        <w:rPr>
          <w:u w:val="single"/>
        </w:rPr>
        <w:t>sh</w:t>
      </w:r>
      <w:r w:rsidRPr="008F03E5">
        <w:t xml:space="preserve"> during the time of Muḥammad.</w:t>
      </w:r>
    </w:p>
    <w:p w14:paraId="428DF8C0" w14:textId="77777777" w:rsidR="00625A5B" w:rsidRPr="00F04CBC" w:rsidRDefault="00625A5B" w:rsidP="00F04CBC">
      <w:pPr>
        <w:pStyle w:val="Translit"/>
      </w:pPr>
      <w:r w:rsidRPr="008F03E5">
        <w:t>Uthman</w:t>
      </w:r>
      <w:r>
        <w:t>, ‘Usman</w:t>
      </w:r>
      <w:r w:rsidRPr="008F03E5">
        <w:tab/>
        <w:t>‘U</w:t>
      </w:r>
      <w:r w:rsidRPr="008F03E5">
        <w:rPr>
          <w:u w:val="single"/>
        </w:rPr>
        <w:t>th</w:t>
      </w:r>
      <w:r w:rsidRPr="008F03E5">
        <w:t>mán, Pers. ‘Usmán</w:t>
      </w:r>
      <w:r w:rsidRPr="008F03E5">
        <w:tab/>
        <w:t xml:space="preserve">(Usman, </w:t>
      </w:r>
      <w:r>
        <w:t xml:space="preserve">Turkish </w:t>
      </w:r>
      <w:r w:rsidRPr="008F03E5">
        <w:t>Osman) a young bustard or dragon; a serpent or its young.  ‘U</w:t>
      </w:r>
      <w:r w:rsidRPr="008F03E5">
        <w:rPr>
          <w:u w:val="single"/>
        </w:rPr>
        <w:t>th</w:t>
      </w:r>
      <w:r w:rsidRPr="008F03E5">
        <w:t>mán ibn ‘Affán (</w:t>
      </w:r>
      <w:r w:rsidRPr="008F03E5">
        <w:rPr>
          <w:sz w:val="16"/>
          <w:szCs w:val="16"/>
        </w:rPr>
        <w:t>CE</w:t>
      </w:r>
      <w:r w:rsidRPr="008F03E5">
        <w:t xml:space="preserve"> 576–656), companion of Muḥammad, the 3rd calip</w:t>
      </w:r>
      <w:r w:rsidRPr="00F04CBC">
        <w:t>h</w:t>
      </w:r>
      <w:r>
        <w:t>;</w:t>
      </w:r>
      <w:r w:rsidRPr="00F04CBC">
        <w:t xml:space="preserve"> </w:t>
      </w:r>
      <w:r>
        <w:t xml:space="preserve">and </w:t>
      </w:r>
      <w:r w:rsidRPr="00F04CBC">
        <w:t>Osman I (c. 1258</w:t>
      </w:r>
      <w:r>
        <w:t>–</w:t>
      </w:r>
      <w:r w:rsidRPr="00F04CBC">
        <w:t>1324 or 1326), ruler of a Turkmen principality in north</w:t>
      </w:r>
      <w:r>
        <w:t>-</w:t>
      </w:r>
      <w:r w:rsidRPr="00F04CBC">
        <w:t>western</w:t>
      </w:r>
      <w:r>
        <w:t xml:space="preserve"> </w:t>
      </w:r>
      <w:r w:rsidRPr="00F04CBC">
        <w:t>Anatolia</w:t>
      </w:r>
      <w:r>
        <w:t xml:space="preserve"> </w:t>
      </w:r>
      <w:r w:rsidRPr="00F04CBC">
        <w:t>who is regarded as the founder of the Ottoman Turkish state.</w:t>
      </w:r>
    </w:p>
    <w:p w14:paraId="5B8CBABC" w14:textId="77777777" w:rsidR="00625A5B" w:rsidRPr="008F03E5" w:rsidRDefault="00625A5B" w:rsidP="00390FFF">
      <w:pPr>
        <w:pStyle w:val="Translit"/>
      </w:pPr>
      <w:r w:rsidRPr="008F03E5">
        <w:t xml:space="preserve">Uthmani, Uthmaniyun </w:t>
      </w:r>
      <w:r>
        <w:t>(</w:t>
      </w:r>
      <w:r w:rsidRPr="008F03E5">
        <w:t>Uthmaniyan</w:t>
      </w:r>
      <w:r>
        <w:t>)</w:t>
      </w:r>
      <w:r w:rsidRPr="008F03E5">
        <w:tab/>
        <w:t>‘U</w:t>
      </w:r>
      <w:r w:rsidRPr="008F03E5">
        <w:rPr>
          <w:u w:val="single"/>
        </w:rPr>
        <w:t>th</w:t>
      </w:r>
      <w:r w:rsidRPr="008F03E5">
        <w:t>mání, pl. ‘U</w:t>
      </w:r>
      <w:r w:rsidRPr="008F03E5">
        <w:rPr>
          <w:u w:val="single"/>
        </w:rPr>
        <w:t>th</w:t>
      </w:r>
      <w:r w:rsidRPr="008F03E5">
        <w:t>mániyún</w:t>
      </w:r>
      <w:r w:rsidRPr="008F03E5">
        <w:tab/>
        <w:t>descended from ‘U</w:t>
      </w:r>
      <w:r w:rsidRPr="008F03E5">
        <w:rPr>
          <w:u w:val="single"/>
        </w:rPr>
        <w:t>th</w:t>
      </w:r>
      <w:r w:rsidRPr="008F03E5">
        <w:t>mán, Ottoman, Turkish (adj. and n.</w:t>
      </w:r>
      <w:r>
        <w:t xml:space="preserve"> </w:t>
      </w:r>
      <w:r w:rsidRPr="00E338EE">
        <w:t>Osmanlı</w:t>
      </w:r>
      <w:r>
        <w:t xml:space="preserve">, pl. </w:t>
      </w:r>
      <w:r w:rsidRPr="00E338EE">
        <w:t>Osmanlılar</w:t>
      </w:r>
      <w:r w:rsidRPr="008F03E5">
        <w:t>).</w:t>
      </w:r>
      <w:r>
        <w:t xml:space="preserve">  O</w:t>
      </w:r>
      <w:r w:rsidRPr="00E338EE">
        <w:t xml:space="preserve">riginally </w:t>
      </w:r>
      <w:r>
        <w:t xml:space="preserve">also </w:t>
      </w:r>
      <w:r w:rsidRPr="00E338EE">
        <w:t>referred to the tribal followers of Osman</w:t>
      </w:r>
      <w:r>
        <w:t xml:space="preserve"> (</w:t>
      </w:r>
      <w:r w:rsidRPr="008F03E5">
        <w:t>‘U</w:t>
      </w:r>
      <w:r w:rsidRPr="008F03E5">
        <w:rPr>
          <w:u w:val="single"/>
        </w:rPr>
        <w:t>th</w:t>
      </w:r>
      <w:r w:rsidRPr="008F03E5">
        <w:t>mán</w:t>
      </w:r>
      <w:r>
        <w:t>)</w:t>
      </w:r>
      <w:r w:rsidRPr="00E338EE">
        <w:t xml:space="preserve"> in the </w:t>
      </w:r>
      <w:r>
        <w:t>14</w:t>
      </w:r>
      <w:r w:rsidRPr="00E338EE">
        <w:t>th century.</w:t>
      </w:r>
      <w:r>
        <w:t xml:space="preserve"> </w:t>
      </w:r>
      <w:r w:rsidRPr="00E338EE">
        <w:t xml:space="preserve"> </w:t>
      </w:r>
      <w:r>
        <w:t>S</w:t>
      </w:r>
      <w:r w:rsidRPr="00E338EE">
        <w:t xml:space="preserve">ubsequently used to refer to the </w:t>
      </w:r>
      <w:r>
        <w:t>Ottoman E</w:t>
      </w:r>
      <w:r w:rsidRPr="00E338EE">
        <w:t>mpire</w:t>
      </w:r>
      <w:r>
        <w:t>’</w:t>
      </w:r>
      <w:r w:rsidRPr="00E338EE">
        <w:t>s military-administrative elite.</w:t>
      </w:r>
      <w:r>
        <w:t xml:space="preserve">  </w:t>
      </w:r>
      <w:r w:rsidRPr="008F03E5">
        <w:t>Pers. ‘U</w:t>
      </w:r>
      <w:r w:rsidRPr="008F03E5">
        <w:rPr>
          <w:u w:val="single"/>
        </w:rPr>
        <w:t>th</w:t>
      </w:r>
      <w:r w:rsidRPr="008F03E5">
        <w:t>mán</w:t>
      </w:r>
      <w:r>
        <w:t>i</w:t>
      </w:r>
      <w:r w:rsidRPr="008F03E5">
        <w:t>yy</w:t>
      </w:r>
      <w:r>
        <w:t>a,</w:t>
      </w:r>
      <w:r w:rsidRPr="008F03E5">
        <w:t xml:space="preserve"> pl. ‘U</w:t>
      </w:r>
      <w:r w:rsidRPr="008F03E5">
        <w:rPr>
          <w:u w:val="single"/>
        </w:rPr>
        <w:t>th</w:t>
      </w:r>
      <w:r w:rsidRPr="008F03E5">
        <w:t>máni</w:t>
      </w:r>
      <w:r>
        <w:t>y</w:t>
      </w:r>
      <w:r w:rsidRPr="008F03E5">
        <w:t>yán</w:t>
      </w:r>
      <w:r>
        <w:t xml:space="preserve">.  </w:t>
      </w:r>
      <w:r>
        <w:rPr>
          <w:rFonts w:eastAsia="Times New Roman"/>
        </w:rPr>
        <w:t>D</w:t>
      </w:r>
      <w:r w:rsidRPr="00C663F3">
        <w:rPr>
          <w:rFonts w:eastAsia="Times New Roman"/>
        </w:rPr>
        <w:t>a</w:t>
      </w:r>
      <w:r>
        <w:rPr>
          <w:rFonts w:eastAsia="Times New Roman"/>
        </w:rPr>
        <w:t>w</w:t>
      </w:r>
      <w:r w:rsidRPr="00C663F3">
        <w:rPr>
          <w:rFonts w:eastAsia="Times New Roman"/>
        </w:rPr>
        <w:t>lati ‘u</w:t>
      </w:r>
      <w:r w:rsidRPr="00C663F3">
        <w:rPr>
          <w:u w:val="single"/>
        </w:rPr>
        <w:t>th</w:t>
      </w:r>
      <w:r w:rsidRPr="00C663F3">
        <w:rPr>
          <w:rFonts w:eastAsia="Times New Roman"/>
        </w:rPr>
        <w:t xml:space="preserve">máníya, </w:t>
      </w:r>
      <w:r>
        <w:rPr>
          <w:rFonts w:eastAsia="Times New Roman"/>
        </w:rPr>
        <w:t>t</w:t>
      </w:r>
      <w:r w:rsidRPr="00AF4D34">
        <w:rPr>
          <w:rFonts w:eastAsia="Times New Roman"/>
        </w:rPr>
        <w:t xml:space="preserve">he Ottoman </w:t>
      </w:r>
      <w:r>
        <w:rPr>
          <w:rFonts w:eastAsia="Times New Roman"/>
        </w:rPr>
        <w:t>E</w:t>
      </w:r>
      <w:r w:rsidRPr="00AF4D34">
        <w:rPr>
          <w:rFonts w:eastAsia="Times New Roman"/>
        </w:rPr>
        <w:t>mpire</w:t>
      </w:r>
      <w:r>
        <w:rPr>
          <w:rFonts w:eastAsia="Times New Roman"/>
        </w:rPr>
        <w:t>.</w:t>
      </w:r>
    </w:p>
    <w:p w14:paraId="40E4A819" w14:textId="77777777" w:rsidR="00625A5B" w:rsidRPr="008F03E5" w:rsidRDefault="00625A5B" w:rsidP="00281F3B">
      <w:pPr>
        <w:pStyle w:val="Translit"/>
      </w:pPr>
      <w:r w:rsidRPr="008F03E5">
        <w:t>Uways (Uwais)</w:t>
      </w:r>
      <w:r w:rsidRPr="008F03E5">
        <w:tab/>
        <w:t>Uways</w:t>
      </w:r>
      <w:r w:rsidRPr="008F03E5">
        <w:tab/>
        <w:t xml:space="preserve">a wolf.  Uways ibn ‘Ámir ibn Jaz’ ibn Málik al-Qaraní (594–657), was a Muslim from Yemen.  He is known as </w:t>
      </w:r>
      <w:r w:rsidRPr="008F03E5">
        <w:rPr>
          <w:u w:val="single"/>
        </w:rPr>
        <w:t>Kh</w:t>
      </w:r>
      <w:r w:rsidRPr="008F03E5">
        <w:t>ayr a</w:t>
      </w:r>
      <w:r>
        <w:t>t</w:t>
      </w:r>
      <w:r w:rsidRPr="008F03E5">
        <w:t>-Tábi‘ín (literally “The best of the Tábi‘ún”) and Sayyid a</w:t>
      </w:r>
      <w:r>
        <w:t>t</w:t>
      </w:r>
      <w:r w:rsidRPr="008F03E5">
        <w:t>-Tábi‘ín fí Zamánahu (literally. “Leader of the Tábi‘ún of his Era’).</w:t>
      </w:r>
    </w:p>
    <w:p w14:paraId="1F118CD8" w14:textId="77777777" w:rsidR="00625A5B" w:rsidRPr="008F03E5" w:rsidRDefault="00625A5B" w:rsidP="00464AF5">
      <w:pPr>
        <w:pStyle w:val="Translit"/>
      </w:pPr>
      <w:r w:rsidRPr="008F03E5">
        <w:t>Uwaysi (Uwaisi), Uwaysiyan</w:t>
      </w:r>
      <w:r w:rsidRPr="008F03E5">
        <w:tab/>
        <w:t>Uwaysí, pl. Uwaysíyán</w:t>
      </w:r>
      <w:r w:rsidRPr="008F03E5">
        <w:tab/>
        <w:t>is a form of spiritual transmission in the vocabulary of Islamic mysticism, named after Uways al-Qaraní.  The transmission of spiritual knowledge between two individuals without the need for direct interaction between them.  Uwaysíyán refers to those Sufis who have gained the Sufi spiritual chain from another Sufi without physically meeting them in this world.</w:t>
      </w:r>
    </w:p>
    <w:p w14:paraId="7F54F210" w14:textId="77777777" w:rsidR="00625A5B" w:rsidRPr="008F03E5" w:rsidRDefault="00625A5B" w:rsidP="00453DFA">
      <w:pPr>
        <w:pStyle w:val="Translit"/>
      </w:pPr>
      <w:r w:rsidRPr="008F03E5">
        <w:t>Uzayr (Uzair)</w:t>
      </w:r>
      <w:r w:rsidRPr="008F03E5">
        <w:tab/>
        <w:t>‘Uzayr</w:t>
      </w:r>
      <w:r w:rsidRPr="008F03E5">
        <w:tab/>
        <w:t>identified with the biblical Ezra (Hebrew) or Esdras (Greek-Latin).  Qur’án 9:30 states that he was revered by the Jews as “the son of God”.</w:t>
      </w:r>
    </w:p>
    <w:p w14:paraId="78D74778" w14:textId="77777777" w:rsidR="00625A5B" w:rsidRPr="008F03E5" w:rsidRDefault="00625A5B" w:rsidP="00462ED2">
      <w:pPr>
        <w:pStyle w:val="Translit"/>
      </w:pPr>
      <w:r w:rsidRPr="008F03E5">
        <w:t xml:space="preserve">Uzm, ‘Azm, ‘Azam, </w:t>
      </w:r>
      <w:r w:rsidRPr="008F03E5">
        <w:rPr>
          <w:rFonts w:eastAsia="Times New Roman"/>
        </w:rPr>
        <w:t xml:space="preserve">‘Uzma </w:t>
      </w:r>
      <w:r w:rsidRPr="008F03E5">
        <w:tab/>
        <w:t xml:space="preserve">‘Uẓm, ‘Aẓm, ‘Aẓam, fem. </w:t>
      </w:r>
      <w:r w:rsidRPr="008F03E5">
        <w:rPr>
          <w:rFonts w:eastAsia="Times New Roman"/>
        </w:rPr>
        <w:t>‘U</w:t>
      </w:r>
      <w:r w:rsidRPr="008F03E5">
        <w:t>ẓ</w:t>
      </w:r>
      <w:r w:rsidRPr="008F03E5">
        <w:rPr>
          <w:rFonts w:eastAsia="Times New Roman"/>
        </w:rPr>
        <w:t>má</w:t>
      </w:r>
      <w:r w:rsidRPr="008F03E5">
        <w:tab/>
        <w:t xml:space="preserve">the principal or larger part of anything.  </w:t>
      </w:r>
      <w:r w:rsidRPr="008F03E5">
        <w:rPr>
          <w:rFonts w:eastAsia="Times New Roman"/>
        </w:rPr>
        <w:t>‘U</w:t>
      </w:r>
      <w:r w:rsidRPr="008F03E5">
        <w:t>ẓ</w:t>
      </w:r>
      <w:r w:rsidRPr="008F03E5">
        <w:rPr>
          <w:rFonts w:eastAsia="Times New Roman"/>
        </w:rPr>
        <w:t>má greater, most supreme.</w:t>
      </w:r>
    </w:p>
    <w:p w14:paraId="75DDC9F1" w14:textId="77777777" w:rsidR="00625A5B" w:rsidRPr="008F03E5" w:rsidRDefault="00625A5B" w:rsidP="003D2925">
      <w:pPr>
        <w:pStyle w:val="Translit"/>
      </w:pPr>
      <w:r w:rsidRPr="008F03E5">
        <w:t>Uzum</w:t>
      </w:r>
      <w:r w:rsidRPr="008F03E5">
        <w:tab/>
        <w:t>‘Uzúm</w:t>
      </w:r>
      <w:r w:rsidRPr="008F03E5">
        <w:tab/>
        <w:t>Turkish grape [uzum]</w:t>
      </w:r>
    </w:p>
    <w:p w14:paraId="58990C6C" w14:textId="77777777" w:rsidR="00625A5B" w:rsidRPr="008F03E5" w:rsidRDefault="00625A5B" w:rsidP="003B5D98">
      <w:pPr>
        <w:pStyle w:val="Translit"/>
      </w:pPr>
      <w:r w:rsidRPr="008F03E5">
        <w:t>Uzun-Kupri</w:t>
      </w:r>
      <w:r w:rsidRPr="008F03E5">
        <w:tab/>
        <w:t>Uzún-Kupri</w:t>
      </w:r>
      <w:r w:rsidRPr="008F03E5">
        <w:tab/>
        <w:t xml:space="preserve">Uzunköprü, Türkiye.  50 km </w:t>
      </w:r>
      <w:r w:rsidRPr="008F03E5">
        <w:rPr>
          <w:sz w:val="16"/>
          <w:szCs w:val="16"/>
        </w:rPr>
        <w:t>SSE</w:t>
      </w:r>
      <w:r w:rsidRPr="008F03E5">
        <w:t xml:space="preserve"> of Edirne</w:t>
      </w:r>
    </w:p>
    <w:p w14:paraId="027E7E67" w14:textId="77777777" w:rsidR="00625A5B" w:rsidRPr="008F03E5" w:rsidRDefault="00625A5B" w:rsidP="008714F1">
      <w:pPr>
        <w:pStyle w:val="Translit"/>
      </w:pPr>
      <w:r w:rsidRPr="008F03E5">
        <w:t>Uzza, Allat and Manat</w:t>
      </w:r>
      <w:r w:rsidRPr="008F03E5">
        <w:tab/>
        <w:t>al-‘Uzzá, Allát (al-Lát) &amp; Maná[t]</w:t>
      </w:r>
      <w:r w:rsidRPr="008F03E5">
        <w:tab/>
        <w:t>three chief goddesses of Arabian religion in pre-Islamic times.  al-‘Uzzá “The Mighty One”, the Goddess of the Morning Star (Venus); al-Lát, the Mother, whose name is a contraction of al-Iláhat “The Goddess”, since al-Láh simply means “The God”; and Manát, Crone-goddess of Fate or Time.  Lát and ‘Uzzá (Qur’án 53:19), Manát (Qur’án 53:20).</w:t>
      </w:r>
    </w:p>
    <w:p w14:paraId="49C3EFDD" w14:textId="77777777" w:rsidR="00625A5B" w:rsidRPr="008F03E5" w:rsidRDefault="00625A5B" w:rsidP="0024326A">
      <w:pPr>
        <w:pStyle w:val="Myhead"/>
      </w:pPr>
      <w:bookmarkStart w:id="150" w:name="V"/>
      <w:r w:rsidRPr="008F03E5">
        <w:t>V</w:t>
      </w:r>
      <w:bookmarkEnd w:id="150"/>
    </w:p>
    <w:p w14:paraId="7CD5BED6" w14:textId="77777777" w:rsidR="00625A5B" w:rsidRPr="008F03E5" w:rsidRDefault="00625A5B" w:rsidP="003732EF">
      <w:pPr>
        <w:pStyle w:val="Translit"/>
      </w:pPr>
      <w:r w:rsidRPr="008F03E5">
        <w:t>Vahdat-i-Bashar</w:t>
      </w:r>
      <w:r w:rsidRPr="008F03E5">
        <w:tab/>
        <w:t>Vaḥdat-i-Ba</w:t>
      </w:r>
      <w:r w:rsidRPr="008F03E5">
        <w:rPr>
          <w:u w:val="single"/>
        </w:rPr>
        <w:t>sh</w:t>
      </w:r>
      <w:r w:rsidRPr="008F03E5">
        <w:t>ar</w:t>
      </w:r>
      <w:r w:rsidRPr="008F03E5">
        <w:tab/>
      </w:r>
    </w:p>
    <w:p w14:paraId="2F070883" w14:textId="77777777" w:rsidR="00625A5B" w:rsidRPr="008F03E5" w:rsidRDefault="00625A5B" w:rsidP="00900A82">
      <w:pPr>
        <w:pStyle w:val="Translit"/>
        <w:rPr>
          <w:rFonts w:eastAsia="PMingLiU"/>
          <w:lang w:eastAsia="zh-TW"/>
        </w:rPr>
      </w:pPr>
      <w:r w:rsidRPr="008F03E5">
        <w:rPr>
          <w:rFonts w:eastAsia="PMingLiU"/>
          <w:lang w:eastAsia="zh-TW"/>
        </w:rPr>
        <w:t>Vahdat-i-Haqq</w:t>
      </w:r>
      <w:r w:rsidRPr="008F03E5">
        <w:tab/>
      </w:r>
      <w:r w:rsidRPr="008F03E5">
        <w:rPr>
          <w:rFonts w:eastAsia="PMingLiU"/>
          <w:lang w:eastAsia="zh-TW"/>
        </w:rPr>
        <w:t>Va</w:t>
      </w:r>
      <w:r w:rsidRPr="008F03E5">
        <w:t>ḥ</w:t>
      </w:r>
      <w:r w:rsidRPr="008F03E5">
        <w:rPr>
          <w:rFonts w:eastAsia="PMingLiU"/>
          <w:lang w:eastAsia="zh-TW"/>
        </w:rPr>
        <w:t>dat-i-</w:t>
      </w:r>
      <w:r w:rsidRPr="008F03E5">
        <w:t>Ḥ</w:t>
      </w:r>
      <w:r w:rsidRPr="008F03E5">
        <w:rPr>
          <w:rFonts w:eastAsia="PMingLiU"/>
          <w:lang w:eastAsia="zh-TW"/>
        </w:rPr>
        <w:t>aqq</w:t>
      </w:r>
      <w:r w:rsidRPr="008F03E5">
        <w:tab/>
      </w:r>
    </w:p>
    <w:p w14:paraId="3BDE4B4D" w14:textId="77777777" w:rsidR="00625A5B" w:rsidRPr="008F03E5" w:rsidRDefault="00625A5B" w:rsidP="00504F6E">
      <w:pPr>
        <w:pStyle w:val="Translit"/>
      </w:pPr>
      <w:r w:rsidRPr="008F03E5">
        <w:t>Vahdatu’sh-shuhud</w:t>
      </w:r>
      <w:r w:rsidRPr="008F03E5">
        <w:tab/>
        <w:t>Vaḥdatu’</w:t>
      </w:r>
      <w:r w:rsidRPr="008F03E5">
        <w:rPr>
          <w:u w:val="single"/>
        </w:rPr>
        <w:t>sh</w:t>
      </w:r>
      <w:r w:rsidRPr="008F03E5">
        <w:t>-</w:t>
      </w:r>
      <w:r w:rsidRPr="008F03E5">
        <w:rPr>
          <w:u w:val="single"/>
        </w:rPr>
        <w:t>Sh</w:t>
      </w:r>
      <w:r w:rsidRPr="008F03E5">
        <w:t>uhúd</w:t>
      </w:r>
      <w:r w:rsidRPr="008F03E5">
        <w:tab/>
        <w:t>“unity of vision”</w:t>
      </w:r>
    </w:p>
    <w:p w14:paraId="59FBAE46" w14:textId="77777777" w:rsidR="00625A5B" w:rsidRPr="008F03E5" w:rsidRDefault="00625A5B" w:rsidP="00900A82">
      <w:pPr>
        <w:pStyle w:val="Translit"/>
      </w:pPr>
      <w:r w:rsidRPr="008F03E5">
        <w:t>Vahhab-i-Khurasani</w:t>
      </w:r>
      <w:r w:rsidRPr="008F03E5">
        <w:tab/>
        <w:t>Vahháb-i-</w:t>
      </w:r>
      <w:r w:rsidRPr="008F03E5">
        <w:rPr>
          <w:u w:val="single"/>
        </w:rPr>
        <w:t>Kh</w:t>
      </w:r>
      <w:r w:rsidRPr="008F03E5">
        <w:t>urásání</w:t>
      </w:r>
      <w:r w:rsidRPr="008F03E5">
        <w:tab/>
      </w:r>
    </w:p>
    <w:p w14:paraId="2759A373" w14:textId="77777777" w:rsidR="00625A5B" w:rsidRPr="008F03E5" w:rsidRDefault="00625A5B" w:rsidP="000B6B0A">
      <w:pPr>
        <w:pStyle w:val="Translit"/>
      </w:pPr>
      <w:r w:rsidRPr="008F03E5">
        <w:t>Vakilu’d-Dawlih</w:t>
      </w:r>
      <w:r w:rsidRPr="008F03E5">
        <w:tab/>
        <w:t>Vakílu’d-Dawlih</w:t>
      </w:r>
      <w:r w:rsidRPr="008F03E5">
        <w:tab/>
        <w:t>Pers. “Representative of the Government”</w:t>
      </w:r>
      <w:r>
        <w:t>.</w:t>
      </w:r>
      <w:r w:rsidRPr="008F03E5">
        <w:t xml:space="preserve">  Mírzá Muḥammad Taqí, cousin of the Báb and builder of the ‘I</w:t>
      </w:r>
      <w:r w:rsidRPr="008F03E5">
        <w:rPr>
          <w:u w:val="single"/>
        </w:rPr>
        <w:t>sh</w:t>
      </w:r>
      <w:r w:rsidRPr="008F03E5">
        <w:t>qábád temple.  See Wakil</w:t>
      </w:r>
    </w:p>
    <w:p w14:paraId="34E03B75" w14:textId="77777777" w:rsidR="00625A5B" w:rsidRPr="008F03E5" w:rsidRDefault="00625A5B" w:rsidP="008A5B1E">
      <w:pPr>
        <w:pStyle w:val="Translit"/>
      </w:pPr>
      <w:r w:rsidRPr="008F03E5">
        <w:t>Vakilu’l-Haqq</w:t>
      </w:r>
      <w:r w:rsidRPr="008F03E5">
        <w:tab/>
        <w:t>Vakílu’l-Ḥaqq</w:t>
      </w:r>
      <w:r w:rsidRPr="008F03E5">
        <w:tab/>
        <w:t>Pers. Representative of the True One, i.e. God</w:t>
      </w:r>
    </w:p>
    <w:p w14:paraId="1955D8B0" w14:textId="77777777" w:rsidR="00625A5B" w:rsidRPr="008F03E5" w:rsidRDefault="00625A5B" w:rsidP="007A3C7C">
      <w:pPr>
        <w:pStyle w:val="Translit"/>
      </w:pPr>
      <w:r w:rsidRPr="008F03E5">
        <w:t>Valiy-i-Amru’llah</w:t>
      </w:r>
      <w:r w:rsidRPr="008F03E5">
        <w:tab/>
        <w:t>Válíy-i-Amru’lláh</w:t>
      </w:r>
      <w:r w:rsidRPr="008F03E5">
        <w:tab/>
        <w:t>Pers. Defender of the Faith, Leader, Commander-in-Chief.  Bahá’í usage:  “Guardian of the Cause of God” or the weaker, shortened form, as “Guardian”</w:t>
      </w:r>
    </w:p>
    <w:p w14:paraId="0D66A1F8" w14:textId="77777777" w:rsidR="00625A5B" w:rsidRPr="008F03E5" w:rsidRDefault="00625A5B" w:rsidP="00900A82">
      <w:pPr>
        <w:pStyle w:val="Translit"/>
      </w:pPr>
      <w:r w:rsidRPr="008F03E5">
        <w:t>Valiyyih</w:t>
      </w:r>
      <w:r w:rsidRPr="008F03E5">
        <w:tab/>
        <w:t>Válíyyih</w:t>
      </w:r>
      <w:r w:rsidRPr="008F03E5">
        <w:tab/>
        <w:t xml:space="preserve">daughter of Fatḥ-‘Alí </w:t>
      </w:r>
      <w:r w:rsidRPr="008F03E5">
        <w:rPr>
          <w:u w:val="single"/>
        </w:rPr>
        <w:t>Sh</w:t>
      </w:r>
      <w:r w:rsidRPr="008F03E5">
        <w:t>áh (</w:t>
      </w:r>
      <w:r w:rsidRPr="008F03E5">
        <w:rPr>
          <w:sz w:val="16"/>
          <w:szCs w:val="16"/>
        </w:rPr>
        <w:t>MF</w:t>
      </w:r>
      <w:r w:rsidRPr="008F03E5">
        <w:t>)</w:t>
      </w:r>
    </w:p>
    <w:p w14:paraId="35606C41" w14:textId="77777777" w:rsidR="00625A5B" w:rsidRPr="008F03E5" w:rsidRDefault="00625A5B" w:rsidP="003F55EE">
      <w:pPr>
        <w:pStyle w:val="Translit"/>
      </w:pPr>
      <w:r w:rsidRPr="008F03E5">
        <w:t>Vanners</w:t>
      </w:r>
      <w:r w:rsidRPr="008F03E5">
        <w:tab/>
        <w:t>Vanners</w:t>
      </w:r>
      <w:r w:rsidRPr="008F03E5">
        <w:tab/>
        <w:t xml:space="preserve">Vanners Farm house (51.337947, -0.473281) on the corner of High Road and Brewery Lane, was demolished in the early 1960s.  It was on the old royal manor in Byfleet, a village about 32 km </w:t>
      </w:r>
      <w:r w:rsidRPr="00074C6F">
        <w:rPr>
          <w:sz w:val="16"/>
          <w:szCs w:val="16"/>
        </w:rPr>
        <w:t>SW</w:t>
      </w:r>
      <w:r w:rsidRPr="008F03E5">
        <w:t xml:space="preserve"> of London.  It was visited by ‘Abdu’l-Bahá in September 1911.</w:t>
      </w:r>
    </w:p>
    <w:p w14:paraId="4F25C630" w14:textId="77777777" w:rsidR="00625A5B" w:rsidRPr="008F03E5" w:rsidRDefault="00625A5B" w:rsidP="003F4A50">
      <w:pPr>
        <w:pStyle w:val="Translit"/>
      </w:pPr>
      <w:r w:rsidRPr="008F03E5">
        <w:t>Varjavandi</w:t>
      </w:r>
      <w:r w:rsidRPr="008F03E5">
        <w:tab/>
        <w:t>Varjávandí</w:t>
      </w:r>
      <w:r w:rsidRPr="008F03E5">
        <w:tab/>
        <w:t>Rustam Varjávandí (1917–1984).  Mythical warrior-king Wahrám Warjáwand.  See Bahrám</w:t>
      </w:r>
    </w:p>
    <w:p w14:paraId="773111B3" w14:textId="77777777" w:rsidR="00625A5B" w:rsidRPr="008F03E5" w:rsidRDefault="00625A5B" w:rsidP="009C76DA">
      <w:pPr>
        <w:pStyle w:val="Translit"/>
      </w:pPr>
      <w:r w:rsidRPr="008F03E5">
        <w:t>Varqa</w:t>
      </w:r>
      <w:r w:rsidRPr="008F03E5">
        <w:tab/>
        <w:t>Varqá</w:t>
      </w:r>
      <w:r w:rsidRPr="008F03E5">
        <w:tab/>
        <w:t xml:space="preserve">Pers. dove (Ar. Ḥamám).  Mírzá ‘Alí-Muḥammad-i-Varqá (d. 1896), first wife, Núríyyih, </w:t>
      </w:r>
      <w:r w:rsidRPr="008F03E5">
        <w:rPr>
          <w:lang w:eastAsia="en-US"/>
        </w:rPr>
        <w:t xml:space="preserve">had four sons:  </w:t>
      </w:r>
      <w:r w:rsidRPr="008F03E5">
        <w:t>‘Azízu’lláh (c. 1881–?), Rúḥu’lláh (c. 1883–1896), Valíyu’lláh (1884–1955) and Badí‘u’lláh (died in childhood).  For second wife, see Liqá’íya.  Valíyu’lláh Varqá (see Walí’u’lláh entry) and his eldest son, Dr ‘Alí-Muḥammad Varqá (1912–2007), were both Hands of the Cause of God and Trustees of the Institution of Ḥuqúqu’lláh.  Many years later Núríyyih became a devoted Bahá’í and was given the title Amatu</w:t>
      </w:r>
      <w:r>
        <w:t>’</w:t>
      </w:r>
      <w:r w:rsidRPr="008F03E5">
        <w:t>l-Ḥaqq (“maidservant of God”) by ‘Abdu</w:t>
      </w:r>
      <w:r>
        <w:t>’</w:t>
      </w:r>
      <w:r w:rsidRPr="008F03E5">
        <w:t>l-Bahá.</w:t>
      </w:r>
    </w:p>
    <w:p w14:paraId="3081004E" w14:textId="77777777" w:rsidR="00625A5B" w:rsidRPr="008F03E5" w:rsidRDefault="00625A5B" w:rsidP="002F04B1">
      <w:pPr>
        <w:pStyle w:val="Translit"/>
      </w:pPr>
      <w:r w:rsidRPr="008F03E5">
        <w:t>Vazir-i-Mukarram</w:t>
      </w:r>
      <w:r w:rsidRPr="008F03E5">
        <w:tab/>
        <w:t>Vazír-i-Mukarram</w:t>
      </w:r>
      <w:r w:rsidRPr="008F03E5">
        <w:tab/>
        <w:t>(Vazír Mokarram of Iṣfahán)</w:t>
      </w:r>
    </w:p>
    <w:p w14:paraId="5FF588F9" w14:textId="77777777" w:rsidR="00625A5B" w:rsidRPr="001457C8" w:rsidRDefault="00625A5B" w:rsidP="00900A82">
      <w:pPr>
        <w:pStyle w:val="Translit"/>
        <w:rPr>
          <w:rFonts w:eastAsia="PMingLiU"/>
          <w:lang w:val="it-IT" w:eastAsia="zh-TW"/>
        </w:rPr>
      </w:pPr>
      <w:r w:rsidRPr="001457C8">
        <w:rPr>
          <w:rFonts w:eastAsia="PMingLiU"/>
          <w:lang w:val="it-IT" w:eastAsia="zh-TW"/>
        </w:rPr>
        <w:t>Vazir-i-Yalrudi</w:t>
      </w:r>
      <w:r w:rsidRPr="001457C8">
        <w:rPr>
          <w:lang w:val="it-IT"/>
        </w:rPr>
        <w:tab/>
      </w:r>
      <w:r w:rsidRPr="001457C8">
        <w:rPr>
          <w:rFonts w:eastAsia="PMingLiU"/>
          <w:lang w:val="it-IT" w:eastAsia="zh-TW"/>
        </w:rPr>
        <w:t>Vazír-i-Yálrúdí</w:t>
      </w:r>
      <w:r w:rsidRPr="001457C8">
        <w:rPr>
          <w:lang w:val="it-IT"/>
        </w:rPr>
        <w:tab/>
      </w:r>
    </w:p>
    <w:p w14:paraId="6994B416" w14:textId="77777777" w:rsidR="00625A5B" w:rsidRPr="001457C8" w:rsidRDefault="00625A5B" w:rsidP="00900A82">
      <w:pPr>
        <w:pStyle w:val="Translit"/>
        <w:rPr>
          <w:lang w:val="it-IT"/>
        </w:rPr>
      </w:pPr>
      <w:r w:rsidRPr="001457C8">
        <w:rPr>
          <w:lang w:val="it-IT"/>
        </w:rPr>
        <w:t>Vazir-Nizam</w:t>
      </w:r>
      <w:r w:rsidRPr="001457C8">
        <w:rPr>
          <w:lang w:val="it-IT"/>
        </w:rPr>
        <w:tab/>
        <w:t>Vazír-Niẓám</w:t>
      </w:r>
      <w:r w:rsidRPr="001457C8">
        <w:rPr>
          <w:lang w:val="it-IT"/>
        </w:rPr>
        <w:tab/>
      </w:r>
    </w:p>
    <w:p w14:paraId="08CDA4F5" w14:textId="77777777" w:rsidR="00625A5B" w:rsidRPr="002869C4" w:rsidRDefault="00625A5B" w:rsidP="005A2F33">
      <w:pPr>
        <w:pStyle w:val="Translit"/>
        <w:rPr>
          <w:lang w:val="it-IT"/>
        </w:rPr>
      </w:pPr>
      <w:r w:rsidRPr="002869C4">
        <w:rPr>
          <w:lang w:val="it-IT"/>
        </w:rPr>
        <w:t>Visi Pasha</w:t>
      </w:r>
      <w:r w:rsidRPr="002869C4">
        <w:rPr>
          <w:lang w:val="it-IT"/>
        </w:rPr>
        <w:tab/>
        <w:t>Vísí Pá</w:t>
      </w:r>
      <w:r w:rsidRPr="002869C4">
        <w:rPr>
          <w:u w:val="single"/>
          <w:lang w:val="it-IT"/>
        </w:rPr>
        <w:t>sh</w:t>
      </w:r>
      <w:r w:rsidRPr="002869C4">
        <w:rPr>
          <w:lang w:val="it-IT"/>
        </w:rPr>
        <w:t>á</w:t>
      </w:r>
      <w:r w:rsidRPr="002869C4">
        <w:rPr>
          <w:lang w:val="it-IT"/>
        </w:rPr>
        <w:tab/>
      </w:r>
    </w:p>
    <w:p w14:paraId="543E133C" w14:textId="77777777" w:rsidR="00625A5B" w:rsidRPr="008F03E5" w:rsidRDefault="00625A5B" w:rsidP="0024326A">
      <w:pPr>
        <w:pStyle w:val="Myhead"/>
      </w:pPr>
      <w:bookmarkStart w:id="151" w:name="W"/>
      <w:r w:rsidRPr="008F03E5">
        <w:t>W</w:t>
      </w:r>
      <w:bookmarkEnd w:id="151"/>
    </w:p>
    <w:p w14:paraId="6C74C288" w14:textId="77777777" w:rsidR="00625A5B" w:rsidRPr="008F03E5" w:rsidRDefault="00625A5B" w:rsidP="005E651F">
      <w:pPr>
        <w:pStyle w:val="Translit"/>
      </w:pPr>
      <w:r w:rsidRPr="008F03E5">
        <w:t>Wa (Va)</w:t>
      </w:r>
      <w:r w:rsidRPr="008F03E5">
        <w:tab/>
        <w:t>Wa (Pers. also Va)</w:t>
      </w:r>
      <w:r w:rsidRPr="008F03E5">
        <w:tab/>
        <w:t>1. and; and also, and …. too;—2. (with following accusative) with; —3. introducing circumstantial (ḥál) clauses:  while, as, when, whereas;—4. (with following genitive) by (in oaths);—5. (with following genitive) many a, how many</w:t>
      </w:r>
    </w:p>
    <w:p w14:paraId="5657BE29" w14:textId="77777777" w:rsidR="00625A5B" w:rsidRPr="008F03E5" w:rsidRDefault="00625A5B" w:rsidP="003A1851">
      <w:pPr>
        <w:pStyle w:val="Translit"/>
      </w:pPr>
      <w:r w:rsidRPr="008F03E5">
        <w:t>Wa’iz (Va’iz), Wu’’az (Vu’’az)</w:t>
      </w:r>
      <w:r w:rsidRPr="008F03E5">
        <w:tab/>
        <w:t>Wá‘iẓ, pl. Wu‘‘áẓ</w:t>
      </w:r>
      <w:r w:rsidRPr="008F03E5">
        <w:tab/>
        <w:t>preacher.  Persian may use Vá‘iẓ, pl. Vu‘‘áẓ.  PDC p. 91 error vu’azz or vu‘áẓẓ.</w:t>
      </w:r>
    </w:p>
    <w:p w14:paraId="7F27142A" w14:textId="77777777" w:rsidR="00625A5B" w:rsidRPr="008F03E5" w:rsidRDefault="00625A5B" w:rsidP="00EA7CCD">
      <w:pPr>
        <w:pStyle w:val="Translit"/>
      </w:pPr>
      <w:r w:rsidRPr="008F03E5">
        <w:t>Wa’l-‘Asr, Va’l</w:t>
      </w:r>
      <w:r w:rsidRPr="008F03E5">
        <w:rPr>
          <w:rFonts w:eastAsia="PMingLiU"/>
          <w:lang w:eastAsia="zh-TW"/>
        </w:rPr>
        <w:t>-‘</w:t>
      </w:r>
      <w:r w:rsidRPr="008F03E5">
        <w:t>Asr</w:t>
      </w:r>
      <w:r w:rsidRPr="008F03E5">
        <w:tab/>
        <w:t>Wa’l-‘Aṣr, Pers. also Va’l-‘Aṣr</w:t>
      </w:r>
      <w:r w:rsidRPr="008F03E5">
        <w:tab/>
        <w:t>by afternoon.  This expression is the first part of Qur’án 103:1:  I swear by the declining day [also interpreted as:  by the passage of time, by the afternoon prayer or, by the time of the Prophet]</w:t>
      </w:r>
    </w:p>
    <w:p w14:paraId="193D9755" w14:textId="77777777" w:rsidR="00625A5B" w:rsidRPr="008F03E5" w:rsidRDefault="00625A5B" w:rsidP="00B65AE5">
      <w:pPr>
        <w:pStyle w:val="Translit"/>
      </w:pPr>
      <w:r w:rsidRPr="008F03E5">
        <w:t>Wabar or Ubar</w:t>
      </w:r>
      <w:r w:rsidRPr="008F03E5">
        <w:tab/>
        <w:t>Wabár or Ubár</w:t>
      </w:r>
      <w:r w:rsidRPr="008F03E5">
        <w:tab/>
        <w:t>“Ubar the lost city”, fabled capital of the ‘Ád, also known as “Iram of the Pillars” from the Arabic</w:t>
      </w:r>
      <w:r w:rsidRPr="008F03E5">
        <w:rPr>
          <w:cs/>
        </w:rPr>
        <w:t>‎‎</w:t>
      </w:r>
      <w:r w:rsidRPr="008F03E5">
        <w:t xml:space="preserve"> Iram </w:t>
      </w:r>
      <w:r w:rsidRPr="008F03E5">
        <w:rPr>
          <w:u w:val="single"/>
        </w:rPr>
        <w:t>dh</w:t>
      </w:r>
      <w:r w:rsidRPr="008F03E5">
        <w:t>át al-‘Imád</w:t>
      </w:r>
      <w:r w:rsidRPr="008F03E5">
        <w:rPr>
          <w:i/>
          <w:iCs/>
        </w:rPr>
        <w:t xml:space="preserve"> </w:t>
      </w:r>
      <w:r w:rsidRPr="008F03E5">
        <w:t xml:space="preserve">in Qur’án 89:7.  Located at 18.255047, 53.649036 on the </w:t>
      </w:r>
      <w:r w:rsidRPr="008F03E5">
        <w:rPr>
          <w:sz w:val="16"/>
          <w:szCs w:val="16"/>
        </w:rPr>
        <w:t>SE</w:t>
      </w:r>
      <w:r w:rsidRPr="008F03E5">
        <w:t xml:space="preserve"> side of the village of a</w:t>
      </w:r>
      <w:r w:rsidRPr="008F03E5">
        <w:rPr>
          <w:u w:val="single"/>
        </w:rPr>
        <w:t>sh</w:t>
      </w:r>
      <w:r w:rsidRPr="008F03E5">
        <w:t>-</w:t>
      </w:r>
      <w:r w:rsidRPr="008F03E5">
        <w:rPr>
          <w:u w:val="single"/>
        </w:rPr>
        <w:t>Sh</w:t>
      </w:r>
      <w:r w:rsidRPr="008F03E5">
        <w:t>iṣr.</w:t>
      </w:r>
    </w:p>
    <w:p w14:paraId="6AE345F5" w14:textId="77777777" w:rsidR="00625A5B" w:rsidRPr="008F03E5" w:rsidRDefault="00625A5B" w:rsidP="008B366A">
      <w:pPr>
        <w:pStyle w:val="Translit"/>
      </w:pPr>
      <w:r w:rsidRPr="008F03E5">
        <w:t>Wabash, Awbash</w:t>
      </w:r>
      <w:r w:rsidRPr="008F03E5">
        <w:tab/>
        <w:t>Waba</w:t>
      </w:r>
      <w:r w:rsidRPr="008F03E5">
        <w:rPr>
          <w:u w:val="single"/>
        </w:rPr>
        <w:t>sh</w:t>
      </w:r>
      <w:r w:rsidRPr="008F03E5">
        <w:t>, pl. Awbá</w:t>
      </w:r>
      <w:r w:rsidRPr="008F03E5">
        <w:rPr>
          <w:u w:val="single"/>
        </w:rPr>
        <w:t>sh</w:t>
      </w:r>
      <w:r w:rsidRPr="008F03E5">
        <w:tab/>
        <w:t>trash, rubbish;—pl. rabble, riffraff.  The criminal elements of poor areas of any town or city.  See lúṭígarí.</w:t>
      </w:r>
    </w:p>
    <w:p w14:paraId="2BFFBD0B" w14:textId="77777777" w:rsidR="00625A5B" w:rsidRPr="008F03E5" w:rsidRDefault="00625A5B" w:rsidP="001B052C">
      <w:pPr>
        <w:pStyle w:val="Translit"/>
      </w:pPr>
      <w:r w:rsidRPr="008F03E5">
        <w:t>Wad, Widan</w:t>
      </w:r>
      <w:r w:rsidRPr="008F03E5">
        <w:tab/>
        <w:t>Wád, pl. Wídán</w:t>
      </w:r>
      <w:r w:rsidRPr="008F03E5">
        <w:tab/>
        <w:t>river</w:t>
      </w:r>
    </w:p>
    <w:p w14:paraId="0D041E33" w14:textId="77777777" w:rsidR="00625A5B" w:rsidRPr="008F03E5" w:rsidRDefault="00625A5B" w:rsidP="00B16CE1">
      <w:pPr>
        <w:pStyle w:val="Translit"/>
      </w:pPr>
      <w:r w:rsidRPr="008F03E5">
        <w:t>Wada’, Wida’</w:t>
      </w:r>
      <w:r w:rsidRPr="008F03E5">
        <w:tab/>
        <w:t>Wadá‘, Widá‘</w:t>
      </w:r>
      <w:r w:rsidRPr="008F03E5">
        <w:tab/>
        <w:t>farewell, leave-taking, adieu, valediction</w:t>
      </w:r>
    </w:p>
    <w:p w14:paraId="72073DC7" w14:textId="77777777" w:rsidR="00625A5B" w:rsidRPr="008F03E5" w:rsidRDefault="00625A5B" w:rsidP="00C66A2A">
      <w:pPr>
        <w:pStyle w:val="Translit"/>
      </w:pPr>
      <w:r w:rsidRPr="008F03E5">
        <w:t>Wadad, Widad (Vidad), Wudad</w:t>
      </w:r>
      <w:r w:rsidRPr="008F03E5">
        <w:tab/>
        <w:t>Wadád, Widád, Wudád</w:t>
      </w:r>
      <w:r w:rsidRPr="008F03E5">
        <w:tab/>
        <w:t>love, friendship, affection</w:t>
      </w:r>
    </w:p>
    <w:p w14:paraId="1AD9DE6D" w14:textId="77777777" w:rsidR="00625A5B" w:rsidRPr="008F03E5" w:rsidRDefault="00625A5B" w:rsidP="00832AE7">
      <w:pPr>
        <w:pStyle w:val="Translit"/>
      </w:pPr>
      <w:r w:rsidRPr="008F03E5">
        <w:t>Wadd, Widd, Wudd, Awdad</w:t>
      </w:r>
      <w:r w:rsidRPr="008F03E5">
        <w:tab/>
        <w:t>Wadd, Widd, Wudd</w:t>
      </w:r>
      <w:r w:rsidRPr="008F03E5">
        <w:tab/>
        <w:t>pl. awdád, awudd, awidd.  loving; affectionate, tender; fond, attached, devoted; lover.  ‘Amr (‘Amú) bin ‘Abdiwudd, ‘Amr bin ‘Abdiwadd, ‘Amr bin ‘Abduwadd, or ‘Amr bin ‘Abd al-Wudd, was among the best warriors (a very large and strong man) of the Quray</w:t>
      </w:r>
      <w:r w:rsidRPr="008F03E5">
        <w:rPr>
          <w:u w:val="single"/>
        </w:rPr>
        <w:t>sh</w:t>
      </w:r>
      <w:r w:rsidRPr="008F03E5">
        <w:t xml:space="preserve"> who was killed in the battle of Aḥzáb (also called </w:t>
      </w:r>
      <w:r w:rsidRPr="008F03E5">
        <w:rPr>
          <w:u w:val="single"/>
        </w:rPr>
        <w:t>Kh</w:t>
      </w:r>
      <w:r w:rsidRPr="008F03E5">
        <w:t>andaq, “trench”) by Imám ‘Alí.</w:t>
      </w:r>
    </w:p>
    <w:p w14:paraId="3336BB10" w14:textId="77777777" w:rsidR="00625A5B" w:rsidRPr="008F03E5" w:rsidRDefault="00625A5B" w:rsidP="005C25ED">
      <w:pPr>
        <w:pStyle w:val="Translit"/>
      </w:pPr>
      <w:r w:rsidRPr="008F03E5">
        <w:t>Wadi al-Qamar</w:t>
      </w:r>
      <w:r w:rsidRPr="008F03E5">
        <w:tab/>
        <w:t>Wádí al-Qamar</w:t>
      </w:r>
      <w:r w:rsidRPr="008F03E5">
        <w:tab/>
        <w:t>The Valley of the Moon, see Wádí ar-Rum</w:t>
      </w:r>
    </w:p>
    <w:p w14:paraId="55B328E2" w14:textId="77777777" w:rsidR="00625A5B" w:rsidRPr="008F03E5" w:rsidRDefault="00625A5B" w:rsidP="00511732">
      <w:pPr>
        <w:pStyle w:val="Translit"/>
      </w:pPr>
      <w:r w:rsidRPr="008F03E5">
        <w:t>Wadi al-Qura’ (Wadi al-‘Ula)</w:t>
      </w:r>
      <w:r w:rsidRPr="008F03E5">
        <w:tab/>
        <w:t>Wádí al-Qurá’ (Wádí al-‘Ulá)</w:t>
      </w:r>
      <w:r w:rsidRPr="008F03E5">
        <w:tab/>
        <w:t xml:space="preserve">ruins of ancient city (26.614539, 37.911779) 1 km </w:t>
      </w:r>
      <w:r w:rsidRPr="008F03E5">
        <w:rPr>
          <w:sz w:val="16"/>
          <w:szCs w:val="16"/>
        </w:rPr>
        <w:t>NW</w:t>
      </w:r>
      <w:r w:rsidRPr="008F03E5">
        <w:t xml:space="preserve"> of the town of al-‘Ulá and 170 km </w:t>
      </w:r>
      <w:r w:rsidRPr="008F03E5">
        <w:rPr>
          <w:sz w:val="16"/>
          <w:szCs w:val="16"/>
        </w:rPr>
        <w:t>NW</w:t>
      </w:r>
      <w:r w:rsidRPr="008F03E5">
        <w:t xml:space="preserve"> Khaybar.  One of three oases (Fadak, Taymá’) owned by Jews during Muḥammad’s time.</w:t>
      </w:r>
    </w:p>
    <w:p w14:paraId="5534384C" w14:textId="77777777" w:rsidR="00625A5B" w:rsidRPr="008F03E5" w:rsidRDefault="00625A5B" w:rsidP="005C25ED">
      <w:pPr>
        <w:pStyle w:val="Translit"/>
      </w:pPr>
      <w:r w:rsidRPr="008F03E5">
        <w:t>Wadi ar-Rum (Wadi Rum)</w:t>
      </w:r>
      <w:r w:rsidRPr="008F03E5">
        <w:tab/>
        <w:t>Wádí ar-Rum</w:t>
      </w:r>
      <w:r w:rsidRPr="008F03E5">
        <w:tab/>
        <w:t>the Sand Valley.  A valley cut into the sandstone and granite rock in southern Jordan 60 km to the east of Aqaba; it is the largest wadi in Jordan.  Also known as Wádí al-Qamar.</w:t>
      </w:r>
    </w:p>
    <w:p w14:paraId="4F609F6A" w14:textId="77777777" w:rsidR="00625A5B" w:rsidRPr="008F03E5" w:rsidRDefault="00625A5B" w:rsidP="003F4EFF">
      <w:pPr>
        <w:pStyle w:val="Translit"/>
      </w:pPr>
      <w:r w:rsidRPr="008F03E5">
        <w:t>Wadi, Awdiya</w:t>
      </w:r>
      <w:r w:rsidRPr="008F03E5">
        <w:tab/>
        <w:t>Wádí, pl. Awdiya[h or t]</w:t>
      </w:r>
      <w:r w:rsidRPr="008F03E5">
        <w:tab/>
        <w:t xml:space="preserve">valley.  See Wádin.  </w:t>
      </w:r>
      <w:r w:rsidRPr="008F03E5">
        <w:rPr>
          <w:sz w:val="16"/>
          <w:szCs w:val="16"/>
        </w:rPr>
        <w:t>MCI</w:t>
      </w:r>
      <w:r w:rsidRPr="008F03E5">
        <w:t xml:space="preserve"> 112, 139</w:t>
      </w:r>
    </w:p>
    <w:p w14:paraId="48D07D40" w14:textId="77777777" w:rsidR="00625A5B" w:rsidRPr="008F03E5" w:rsidRDefault="00625A5B" w:rsidP="00CB6173">
      <w:pPr>
        <w:pStyle w:val="Translit"/>
      </w:pPr>
      <w:r w:rsidRPr="008F03E5">
        <w:t>Wadi’</w:t>
      </w:r>
      <w:r w:rsidRPr="008F03E5">
        <w:tab/>
        <w:t>Wadí‘</w:t>
      </w:r>
      <w:r w:rsidRPr="008F03E5">
        <w:tab/>
        <w:t>calm, peaceable, gentle-hearted, mild-tempered, meek.  “Wadie Bistani”, a young Christian (Balyuzi, ‘Abdu’l-Bahá, p. 470)</w:t>
      </w:r>
    </w:p>
    <w:p w14:paraId="0161CEA1" w14:textId="77777777" w:rsidR="00625A5B" w:rsidRPr="008F03E5" w:rsidRDefault="00625A5B" w:rsidP="003D4676">
      <w:pPr>
        <w:pStyle w:val="Translit"/>
      </w:pPr>
      <w:r w:rsidRPr="008F03E5">
        <w:t>Wadi’, Wida’</w:t>
      </w:r>
      <w:r w:rsidRPr="008F03E5">
        <w:tab/>
        <w:t>Waḍí’, pl. Wiḍá’</w:t>
      </w:r>
      <w:r w:rsidRPr="008F03E5">
        <w:tab/>
        <w:t>pure, clean; neat</w:t>
      </w:r>
    </w:p>
    <w:p w14:paraId="2040A9D1" w14:textId="77777777" w:rsidR="00625A5B" w:rsidRPr="008F03E5" w:rsidRDefault="00625A5B" w:rsidP="002B59A2">
      <w:pPr>
        <w:pStyle w:val="Translit"/>
      </w:pPr>
      <w:r w:rsidRPr="008F03E5">
        <w:t>Wadih</w:t>
      </w:r>
      <w:r w:rsidRPr="008F03E5">
        <w:tab/>
        <w:t>Wáḍiḥ</w:t>
      </w:r>
      <w:r w:rsidRPr="008F03E5">
        <w:tab/>
        <w:t>clear, lucid; plain, distinct; obvious, patent, manifest; visible, conspicuous; evident, apparent, ostensible</w:t>
      </w:r>
    </w:p>
    <w:p w14:paraId="6BBF7AA9" w14:textId="77777777" w:rsidR="00625A5B" w:rsidRPr="008F03E5" w:rsidRDefault="00625A5B" w:rsidP="00324CAB">
      <w:pPr>
        <w:pStyle w:val="Translit"/>
      </w:pPr>
      <w:r w:rsidRPr="008F03E5">
        <w:t>Wadin, Awdiya (Audiya), Widyan</w:t>
      </w:r>
      <w:r w:rsidRPr="008F03E5">
        <w:tab/>
        <w:t>Wádin, pl. Awdiya, Widyán</w:t>
      </w:r>
      <w:r w:rsidRPr="008F03E5">
        <w:tab/>
        <w:t>valley; river valley, river bed, ravine, gorge, wadi; river; (newspaper) column</w:t>
      </w:r>
    </w:p>
    <w:p w14:paraId="2BD19287" w14:textId="77777777" w:rsidR="00625A5B" w:rsidRPr="008F03E5" w:rsidRDefault="00625A5B" w:rsidP="00EA290D">
      <w:pPr>
        <w:pStyle w:val="Translit"/>
      </w:pPr>
      <w:r w:rsidRPr="008F03E5">
        <w:t>Wadq</w:t>
      </w:r>
      <w:r w:rsidRPr="008F03E5">
        <w:tab/>
        <w:t>Wadq</w:t>
      </w:r>
      <w:r w:rsidRPr="008F03E5">
        <w:tab/>
        <w:t>dropping, distilling (as the heavens), falling (rain); approaching, drawing near; finding repose; rain, especially incessant; face, aspect, side</w:t>
      </w:r>
    </w:p>
    <w:p w14:paraId="21EF2122" w14:textId="77777777" w:rsidR="00625A5B" w:rsidRPr="008F03E5" w:rsidRDefault="00625A5B" w:rsidP="00EA290D">
      <w:pPr>
        <w:pStyle w:val="Translit"/>
      </w:pPr>
      <w:r w:rsidRPr="008F03E5">
        <w:t>Wadqayn (Wadqain)</w:t>
      </w:r>
      <w:r w:rsidRPr="008F03E5">
        <w:tab/>
        <w:t>Wadqayn</w:t>
      </w:r>
      <w:r w:rsidRPr="008F03E5">
        <w:tab/>
        <w:t>double calamity</w:t>
      </w:r>
    </w:p>
    <w:p w14:paraId="6DD6D1E4" w14:textId="77777777" w:rsidR="00625A5B" w:rsidRPr="008F03E5" w:rsidRDefault="00625A5B" w:rsidP="00636B43">
      <w:pPr>
        <w:pStyle w:val="Translit"/>
      </w:pPr>
      <w:r w:rsidRPr="008F03E5">
        <w:t>Wadud</w:t>
      </w:r>
      <w:r w:rsidRPr="008F03E5">
        <w:tab/>
        <w:t>Wadúd</w:t>
      </w:r>
      <w:r w:rsidRPr="008F03E5">
        <w:tab/>
        <w:t>favourably disposed, attached, devoted, fond, friendly</w:t>
      </w:r>
    </w:p>
    <w:p w14:paraId="653F0F09" w14:textId="77777777" w:rsidR="00625A5B" w:rsidRPr="008F03E5" w:rsidRDefault="00625A5B" w:rsidP="006D3058">
      <w:pPr>
        <w:pStyle w:val="Translit"/>
      </w:pPr>
      <w:r w:rsidRPr="008F03E5">
        <w:t>Wafa (Vafa), Waffa (Vaffa), Yafi</w:t>
      </w:r>
      <w:r w:rsidRPr="008F03E5">
        <w:tab/>
        <w:t>Wafá, Yafí</w:t>
      </w:r>
      <w:r w:rsidRPr="008F03E5">
        <w:tab/>
        <w:t xml:space="preserve">to be perfect, integral, complete, unabridged.  Form </w:t>
      </w:r>
      <w:r w:rsidRPr="008F03E5">
        <w:rPr>
          <w:sz w:val="16"/>
          <w:szCs w:val="16"/>
        </w:rPr>
        <w:t>II</w:t>
      </w:r>
      <w:r w:rsidRPr="008F03E5">
        <w:t>:  Waffá to bring up to standard, complete, round out (something); to give (someone something) to the full extent, let someone have his full share of something); to present or treat exhaustively (a topic).  Mrs Carrie Kinney (1878–1959) named Wafá (certitude, fidelity) by ‘Abdu’l-Bahá.  See Safa</w:t>
      </w:r>
    </w:p>
    <w:p w14:paraId="3F30CC2C" w14:textId="77777777" w:rsidR="00625A5B" w:rsidRPr="008F03E5" w:rsidRDefault="00625A5B" w:rsidP="00BB13A6">
      <w:pPr>
        <w:pStyle w:val="Translit"/>
      </w:pPr>
      <w:r w:rsidRPr="008F03E5">
        <w:t>Wafa’ (Vafa’)</w:t>
      </w:r>
      <w:r w:rsidRPr="008F03E5">
        <w:tab/>
        <w:t>Wafá’</w:t>
      </w:r>
      <w:r w:rsidRPr="008F03E5">
        <w:tab/>
        <w:t>Ar. &amp; Pers. keeping, fulfilment, redemption (e.g., of a promise); meeting, discharge (of an obligation); payment (of a debt); counterbalance, setoff, compensation; faithfulness fidelity; good faith; loyalty, allegiance; fulfilment, accomplishment, realization, completion</w:t>
      </w:r>
    </w:p>
    <w:p w14:paraId="4E159025" w14:textId="77777777" w:rsidR="00625A5B" w:rsidRPr="008F03E5" w:rsidRDefault="00625A5B" w:rsidP="00B416FC">
      <w:pPr>
        <w:pStyle w:val="Translit"/>
      </w:pPr>
      <w:r w:rsidRPr="008F03E5">
        <w:t>Wafa’i (Vafa’i)</w:t>
      </w:r>
      <w:r w:rsidRPr="008F03E5">
        <w:tab/>
        <w:t>Wafá’í</w:t>
      </w:r>
      <w:r w:rsidRPr="008F03E5">
        <w:tab/>
        <w:t>Pers. fidelity, sincerity</w:t>
      </w:r>
    </w:p>
    <w:p w14:paraId="2C47C551" w14:textId="77777777" w:rsidR="00625A5B" w:rsidRPr="008F03E5" w:rsidRDefault="00625A5B" w:rsidP="009F28B5">
      <w:pPr>
        <w:pStyle w:val="Translit"/>
      </w:pPr>
      <w:r w:rsidRPr="008F03E5">
        <w:t>Wafd, Wufud, Awfad</w:t>
      </w:r>
      <w:r w:rsidRPr="008F03E5">
        <w:tab/>
        <w:t>Wafd, pl. Wufúd, Awfád</w:t>
      </w:r>
      <w:r w:rsidRPr="008F03E5">
        <w:tab/>
        <w:t>arrival, coming (as an ambassador to a king);—pl. a delegation, a deputation</w:t>
      </w:r>
    </w:p>
    <w:p w14:paraId="58698127" w14:textId="77777777" w:rsidR="00625A5B" w:rsidRPr="008F03E5" w:rsidRDefault="00625A5B" w:rsidP="000135E1">
      <w:pPr>
        <w:pStyle w:val="Translit"/>
      </w:pPr>
      <w:r w:rsidRPr="008F03E5">
        <w:t>Wafi</w:t>
      </w:r>
      <w:r w:rsidRPr="008F03E5">
        <w:tab/>
        <w:t>Wafí</w:t>
      </w:r>
      <w:r w:rsidRPr="008F03E5">
        <w:tab/>
        <w:t>(P. or A. origin uncertain) entire, whole, complete; just (weight); full (measure); faithful to an engagement; much</w:t>
      </w:r>
    </w:p>
    <w:p w14:paraId="628C8F01" w14:textId="77777777" w:rsidR="00625A5B" w:rsidRDefault="00625A5B" w:rsidP="006D3058">
      <w:pPr>
        <w:pStyle w:val="Translit"/>
      </w:pPr>
      <w:r w:rsidRPr="0018572E">
        <w:t>Wafi, Wafiya</w:t>
      </w:r>
      <w:r w:rsidRPr="0018572E">
        <w:tab/>
        <w:t>Wáfí, fem. Wáfiya[h or t]</w:t>
      </w:r>
      <w:r w:rsidRPr="0018572E">
        <w:tab/>
        <w:t>sincere, honourable, faithful to promises or engagements; complete, perfect, entire, full (weight), just (measure); plentiful, copious, numerous, many</w:t>
      </w:r>
    </w:p>
    <w:p w14:paraId="45571166" w14:textId="77777777" w:rsidR="00625A5B" w:rsidRPr="008F03E5" w:rsidRDefault="00625A5B" w:rsidP="006D3058">
      <w:pPr>
        <w:pStyle w:val="Translit"/>
      </w:pPr>
      <w:r w:rsidRPr="008F03E5">
        <w:t>Wafiy, Aufiya</w:t>
      </w:r>
      <w:r w:rsidRPr="008F03E5">
        <w:tab/>
        <w:t>Wafíy, pl. Aufiyá’</w:t>
      </w:r>
      <w:r w:rsidRPr="008F03E5">
        <w:tab/>
        <w:t>true to ones word; faithful (lover); reliable, trustworthy; entire, whole, total, full, complete, integral, perfect</w:t>
      </w:r>
    </w:p>
    <w:p w14:paraId="38434F72" w14:textId="77777777" w:rsidR="00625A5B" w:rsidRPr="008F03E5" w:rsidRDefault="00625A5B" w:rsidP="00B441C1">
      <w:pPr>
        <w:pStyle w:val="Translit"/>
      </w:pPr>
      <w:r w:rsidRPr="008F03E5">
        <w:t>Waha, Wahat</w:t>
      </w:r>
      <w:r w:rsidRPr="008F03E5">
        <w:tab/>
        <w:t>Wáḥa[h or t], pl. Wáḥát</w:t>
      </w:r>
      <w:r w:rsidRPr="008F03E5">
        <w:tab/>
        <w:t>oasis</w:t>
      </w:r>
    </w:p>
    <w:p w14:paraId="094B96A5" w14:textId="77777777" w:rsidR="00625A5B" w:rsidRPr="008F03E5" w:rsidRDefault="00625A5B" w:rsidP="00E76ED0">
      <w:pPr>
        <w:pStyle w:val="Translit"/>
      </w:pPr>
      <w:r w:rsidRPr="008F03E5">
        <w:t>Wahaba (Vahaba), Wahb</w:t>
      </w:r>
      <w:r w:rsidRPr="008F03E5">
        <w:tab/>
        <w:t>Wahaba, (Wahb, verbal noun)</w:t>
      </w:r>
      <w:r w:rsidRPr="008F03E5">
        <w:tab/>
        <w:t>to give, donate; to grant, accord; to present; to endow</w:t>
      </w:r>
    </w:p>
    <w:p w14:paraId="33DEDD55" w14:textId="77777777" w:rsidR="00625A5B" w:rsidRPr="008F03E5" w:rsidRDefault="00625A5B" w:rsidP="00E76ED0">
      <w:pPr>
        <w:pStyle w:val="Translit"/>
      </w:pPr>
      <w:r w:rsidRPr="008F03E5">
        <w:t>Wahada, Yahida, Wahda, Hida, Wahuda</w:t>
      </w:r>
      <w:r w:rsidRPr="008F03E5">
        <w:tab/>
        <w:t>Waḥada, Yaḥidu (Waḥda[h], Ḥida[h])</w:t>
      </w:r>
      <w:r w:rsidRPr="008F03E5">
        <w:tab/>
        <w:t>and Waḥuda  to be alone, unique, singular, unmatched, without equal, incomparable</w:t>
      </w:r>
    </w:p>
    <w:p w14:paraId="07DDD1DC" w14:textId="77777777" w:rsidR="00625A5B" w:rsidRPr="008F03E5" w:rsidRDefault="00625A5B" w:rsidP="00B621CC">
      <w:pPr>
        <w:pStyle w:val="Translit"/>
      </w:pPr>
      <w:r w:rsidRPr="008F03E5">
        <w:t>Wahb</w:t>
      </w:r>
      <w:r w:rsidRPr="008F03E5">
        <w:tab/>
        <w:t>Wahb</w:t>
      </w:r>
      <w:r w:rsidRPr="008F03E5">
        <w:tab/>
        <w:t>excelling in a contest concerning liberality; giving, bestowing; pardoning, forgiving</w:t>
      </w:r>
    </w:p>
    <w:p w14:paraId="63C89F70" w14:textId="77777777" w:rsidR="00625A5B" w:rsidRPr="008F03E5" w:rsidRDefault="00625A5B" w:rsidP="000B6B0A">
      <w:pPr>
        <w:pStyle w:val="Translit"/>
      </w:pPr>
      <w:r w:rsidRPr="000B6B0A">
        <w:rPr>
          <w:lang w:val="de-DE"/>
        </w:rPr>
        <w:t>Wahd, Wahda, Wahdat</w:t>
      </w:r>
      <w:r w:rsidRPr="000B6B0A">
        <w:rPr>
          <w:lang w:val="de-DE"/>
        </w:rPr>
        <w:tab/>
        <w:t xml:space="preserve">Waḥd, fem. </w:t>
      </w:r>
      <w:r w:rsidRPr="000B6B0A">
        <w:rPr>
          <w:lang w:val="en-AU"/>
        </w:rPr>
        <w:t>Waḥda[h or t]</w:t>
      </w:r>
      <w:r>
        <w:rPr>
          <w:lang w:val="en-AU"/>
        </w:rPr>
        <w:tab/>
        <w:t xml:space="preserve">(fem. </w:t>
      </w:r>
      <w:r w:rsidRPr="000B6B0A">
        <w:rPr>
          <w:lang w:val="en-AU"/>
        </w:rPr>
        <w:t xml:space="preserve">pl. </w:t>
      </w:r>
      <w:r w:rsidRPr="008F03E5">
        <w:t>Waḥdát</w:t>
      </w:r>
      <w:r>
        <w:t>) b</w:t>
      </w:r>
      <w:r w:rsidRPr="00AF4D34">
        <w:t>eing single, alone, or incomparable; sole, alone, separate; solitary; (a person) of an unknown tribe or family; solitude</w:t>
      </w:r>
      <w:r>
        <w:t xml:space="preserve">.  Feminine: </w:t>
      </w:r>
      <w:r w:rsidRPr="008F03E5">
        <w:t xml:space="preserve"> oneness, singleness, unity; solitariness, isolation, seclusion, privacy, solitude, loneliness; self-containment, independence; union;—</w:t>
      </w:r>
      <w:r>
        <w:t xml:space="preserve">fem. </w:t>
      </w:r>
      <w:r w:rsidRPr="008F03E5">
        <w:t>pl. military unit; crew; single group</w:t>
      </w:r>
    </w:p>
    <w:p w14:paraId="22998692" w14:textId="77777777" w:rsidR="00625A5B" w:rsidRPr="008F03E5" w:rsidRDefault="00625A5B" w:rsidP="000E4FC5">
      <w:pPr>
        <w:pStyle w:val="Translit"/>
      </w:pPr>
      <w:r w:rsidRPr="008F03E5">
        <w:t>Wahdat al-Wujud, Vahdatu’l-Vujud</w:t>
      </w:r>
      <w:r w:rsidRPr="008F03E5">
        <w:tab/>
        <w:t>Waḥdat al-Wujúd, Pers. Vaḥdatu’l-Vujúd</w:t>
      </w:r>
      <w:r w:rsidRPr="008F03E5">
        <w:tab/>
        <w:t>unity/oneness of being/existence.  Mystical doctrine associated with the Sufi school of Muḥyí a</w:t>
      </w:r>
      <w:r>
        <w:t>d</w:t>
      </w:r>
      <w:r w:rsidRPr="008F03E5">
        <w:t>-Dín bin ‘Arabí, criticized as entailing pantheism (ḥulúl) by its opponents.  The existence of all things is one and that existence itself is Alláh.  Can be translated as “existential monism”.</w:t>
      </w:r>
    </w:p>
    <w:p w14:paraId="76CC64AE" w14:textId="77777777" w:rsidR="00625A5B" w:rsidRPr="008F03E5" w:rsidRDefault="00625A5B" w:rsidP="00CB23A9">
      <w:pPr>
        <w:pStyle w:val="Translit"/>
      </w:pPr>
      <w:r w:rsidRPr="008F03E5">
        <w:t>Wahdat fi’l-Kathrat, Vahdat dar Kathrat</w:t>
      </w:r>
      <w:r w:rsidRPr="008F03E5">
        <w:tab/>
        <w:t>Waḥdat fi’l-Ka</w:t>
      </w:r>
      <w:r w:rsidRPr="008F03E5">
        <w:rPr>
          <w:u w:val="single"/>
        </w:rPr>
        <w:t>th</w:t>
      </w:r>
      <w:r w:rsidRPr="008F03E5">
        <w:t>rat</w:t>
      </w:r>
      <w:r w:rsidRPr="008F03E5">
        <w:tab/>
        <w:t>“unity in diversity”; seeing God (unity) in many forms of the world.  Pers. waḥdat dar ka</w:t>
      </w:r>
      <w:r w:rsidRPr="008F03E5">
        <w:rPr>
          <w:u w:val="single"/>
        </w:rPr>
        <w:t>th</w:t>
      </w:r>
      <w:r w:rsidRPr="008F03E5">
        <w:t>rat or vaḥdat dar ka</w:t>
      </w:r>
      <w:r w:rsidRPr="008F03E5">
        <w:rPr>
          <w:u w:val="single"/>
        </w:rPr>
        <w:t>th</w:t>
      </w:r>
      <w:r w:rsidRPr="008F03E5">
        <w:t>rat</w:t>
      </w:r>
    </w:p>
    <w:p w14:paraId="1A3F58A8" w14:textId="77777777" w:rsidR="00625A5B" w:rsidRPr="008F03E5" w:rsidRDefault="00625A5B" w:rsidP="00BF2C65">
      <w:pPr>
        <w:pStyle w:val="Translit"/>
      </w:pPr>
      <w:r w:rsidRPr="008F03E5">
        <w:t>Wahhab, Vahhab</w:t>
      </w:r>
      <w:r w:rsidRPr="008F03E5">
        <w:tab/>
        <w:t>Wahháb (Pers. also Vahháb)</w:t>
      </w:r>
      <w:r w:rsidRPr="008F03E5">
        <w:tab/>
        <w:t xml:space="preserve">a giver, one who bestows; liberal, munificent; an epithet of God.  Muḥammad ibn Abd al-Wahháb (1703–1792) was a religious leader and theologian born in the village of al-‘Uyaynah, 45 km </w:t>
      </w:r>
      <w:r w:rsidRPr="008F03E5">
        <w:rPr>
          <w:sz w:val="16"/>
          <w:szCs w:val="16"/>
        </w:rPr>
        <w:t>NW</w:t>
      </w:r>
      <w:r w:rsidRPr="008F03E5">
        <w:t xml:space="preserve"> Riyáḍ.  He founded the movement now called Wahhabism</w:t>
      </w:r>
    </w:p>
    <w:p w14:paraId="0B38D8A9" w14:textId="77777777" w:rsidR="00625A5B" w:rsidRPr="008F03E5" w:rsidRDefault="00625A5B" w:rsidP="00BF2C65">
      <w:pPr>
        <w:pStyle w:val="Translit"/>
      </w:pPr>
      <w:r w:rsidRPr="008F03E5">
        <w:t>Wahhabi, Vahhabi</w:t>
      </w:r>
      <w:r w:rsidRPr="008F03E5">
        <w:tab/>
        <w:t>Wahhábí (Pers. also Vahhábí)</w:t>
      </w:r>
      <w:r w:rsidRPr="008F03E5">
        <w:tab/>
        <w:t>Wahabite, Wahhabi.  A follower of the sect now called Wahhabism (al-Wahhábiyah, a very puritanical body of Muslims).  See salafíya</w:t>
      </w:r>
    </w:p>
    <w:p w14:paraId="1EDC84A4" w14:textId="77777777" w:rsidR="00625A5B" w:rsidRPr="008F03E5" w:rsidRDefault="00625A5B" w:rsidP="006861B8">
      <w:pPr>
        <w:pStyle w:val="Translit"/>
      </w:pPr>
      <w:r w:rsidRPr="008F03E5">
        <w:t>Wahid (unique), Wahida, Wuhidun</w:t>
      </w:r>
      <w:r w:rsidRPr="008F03E5">
        <w:tab/>
        <w:t>Waḥíd, fem. Waḥída[h or t], pl. Wuḥídún</w:t>
      </w:r>
      <w:r w:rsidRPr="008F03E5">
        <w:tab/>
      </w:r>
      <w:r w:rsidRPr="008F03E5">
        <w:rPr>
          <w:rtl/>
        </w:rPr>
        <w:t>)</w:t>
      </w:r>
      <w:r w:rsidRPr="008F03E5">
        <w:t>Pers. also vaḥíd (“vahid”)) alone; solitary, lonely; single, separate, individual, sporadic, isolated; sale, only, exclusive; singular, unique; matchless, unequaled, incomparable.  Superlative form of ‘waḥada’, to be alone.  Numerical value of 28.  Fem. pl. Waḥídát.  See Sayyid Yaḥyá Dárábí.</w:t>
      </w:r>
    </w:p>
    <w:p w14:paraId="0CD958BB" w14:textId="77777777" w:rsidR="00625A5B" w:rsidRDefault="00625A5B" w:rsidP="00B03264">
      <w:pPr>
        <w:pStyle w:val="Translit"/>
      </w:pPr>
      <w:r w:rsidRPr="008F03E5">
        <w:t>Wahid (unity), Wahida, Wuhidun</w:t>
      </w:r>
      <w:r w:rsidRPr="008F03E5">
        <w:tab/>
      </w:r>
      <w:bookmarkStart w:id="152" w:name="_Hlk60747293"/>
      <w:r w:rsidRPr="008F03E5">
        <w:t xml:space="preserve">Wáḥid, </w:t>
      </w:r>
      <w:bookmarkEnd w:id="152"/>
      <w:r w:rsidRPr="008F03E5">
        <w:t>fem. Wáḥida[h or t], pl. Wuḥidún</w:t>
      </w:r>
      <w:r w:rsidRPr="008F03E5">
        <w:tab/>
      </w:r>
      <w:r w:rsidRPr="008F03E5">
        <w:rPr>
          <w:rtl/>
        </w:rPr>
        <w:t>)</w:t>
      </w:r>
      <w:r w:rsidRPr="008F03E5">
        <w:t>Pers. also váḥid (“vahid”)) unity, a unit, one numerical (Abjad value 6+1+8+4 = 19); someone, somebody, a certain person; sole, only.  A ‘unit’ or section of the Bayán, the Book of the Báb.  Unity.  Symbolizes the unity of God.  Fem. pl. Wáḥidát.</w:t>
      </w:r>
    </w:p>
    <w:p w14:paraId="092DA68C" w14:textId="77777777" w:rsidR="00625A5B" w:rsidRPr="008F03E5" w:rsidRDefault="00625A5B" w:rsidP="00376D9F">
      <w:pPr>
        <w:pStyle w:val="Translit"/>
      </w:pPr>
      <w:r>
        <w:t>Wahidiya, Wahidiyya</w:t>
      </w:r>
      <w:r>
        <w:tab/>
        <w:t>W</w:t>
      </w:r>
      <w:r w:rsidRPr="00F9082E">
        <w:t>áḥidíya</w:t>
      </w:r>
      <w:r>
        <w:t>[h or t], Pers. W</w:t>
      </w:r>
      <w:r w:rsidRPr="00F9082E">
        <w:t>áḥidíya</w:t>
      </w:r>
      <w:r>
        <w:t>[h or t]</w:t>
      </w:r>
      <w:r>
        <w:tab/>
        <w:t xml:space="preserve">Unitarianism, </w:t>
      </w:r>
      <w:r w:rsidRPr="009E59AB">
        <w:rPr>
          <w:lang w:val="en-AU" w:eastAsia="en-AU"/>
        </w:rPr>
        <w:t>unity</w:t>
      </w:r>
      <w:r>
        <w:rPr>
          <w:lang w:val="en-AU" w:eastAsia="en-AU"/>
        </w:rPr>
        <w:t xml:space="preserve"> </w:t>
      </w:r>
      <w:r w:rsidRPr="009E59AB">
        <w:rPr>
          <w:lang w:val="en-AU" w:eastAsia="en-AU"/>
        </w:rPr>
        <w:t>manifested</w:t>
      </w:r>
      <w:r>
        <w:rPr>
          <w:lang w:val="en-AU" w:eastAsia="en-AU"/>
        </w:rPr>
        <w:t xml:space="preserve"> </w:t>
      </w:r>
      <w:r w:rsidRPr="009E59AB">
        <w:rPr>
          <w:lang w:val="en-AU" w:eastAsia="en-AU"/>
        </w:rPr>
        <w:t>in</w:t>
      </w:r>
      <w:r>
        <w:rPr>
          <w:lang w:val="en-AU" w:eastAsia="en-AU"/>
        </w:rPr>
        <w:t xml:space="preserve"> </w:t>
      </w:r>
      <w:r w:rsidRPr="009E59AB">
        <w:rPr>
          <w:lang w:val="en-AU" w:eastAsia="en-AU"/>
        </w:rPr>
        <w:t>the</w:t>
      </w:r>
      <w:r>
        <w:rPr>
          <w:lang w:val="en-AU" w:eastAsia="en-AU"/>
        </w:rPr>
        <w:t xml:space="preserve"> </w:t>
      </w:r>
      <w:r w:rsidRPr="009E59AB">
        <w:rPr>
          <w:lang w:val="en-AU" w:eastAsia="en-AU"/>
        </w:rPr>
        <w:t>realm</w:t>
      </w:r>
      <w:r>
        <w:rPr>
          <w:lang w:val="en-AU" w:eastAsia="en-AU"/>
        </w:rPr>
        <w:t xml:space="preserve"> </w:t>
      </w:r>
      <w:r w:rsidRPr="009E59AB">
        <w:rPr>
          <w:lang w:val="en-AU" w:eastAsia="en-AU"/>
        </w:rPr>
        <w:t>of</w:t>
      </w:r>
      <w:r>
        <w:rPr>
          <w:lang w:val="en-AU" w:eastAsia="en-AU"/>
        </w:rPr>
        <w:t xml:space="preserve"> </w:t>
      </w:r>
      <w:r w:rsidRPr="009E59AB">
        <w:rPr>
          <w:lang w:val="en-AU" w:eastAsia="en-AU"/>
        </w:rPr>
        <w:t>Divine</w:t>
      </w:r>
      <w:r>
        <w:rPr>
          <w:lang w:val="en-AU" w:eastAsia="en-AU"/>
        </w:rPr>
        <w:t xml:space="preserve"> </w:t>
      </w:r>
      <w:r w:rsidRPr="009E59AB">
        <w:rPr>
          <w:lang w:val="en-AU" w:eastAsia="en-AU"/>
        </w:rPr>
        <w:t>Attributes</w:t>
      </w:r>
      <w:r>
        <w:rPr>
          <w:lang w:val="en-AU" w:eastAsia="en-AU"/>
        </w:rPr>
        <w:t xml:space="preserve">; </w:t>
      </w:r>
      <w:r w:rsidRPr="00AF4D34">
        <w:t xml:space="preserve">a </w:t>
      </w:r>
      <w:r>
        <w:t>Muslim</w:t>
      </w:r>
      <w:r w:rsidRPr="00AF4D34">
        <w:t xml:space="preserve"> sect</w:t>
      </w:r>
    </w:p>
    <w:p w14:paraId="375B0D92" w14:textId="77777777" w:rsidR="00625A5B" w:rsidRPr="00120039" w:rsidRDefault="00625A5B" w:rsidP="00362683">
      <w:pPr>
        <w:pStyle w:val="Translit"/>
        <w:rPr>
          <w:lang w:val="de-DE"/>
        </w:rPr>
      </w:pPr>
      <w:r w:rsidRPr="00120039">
        <w:rPr>
          <w:lang w:val="de-DE"/>
        </w:rPr>
        <w:t>Wahm, Awham (Auham)</w:t>
      </w:r>
      <w:r w:rsidRPr="00120039">
        <w:rPr>
          <w:lang w:val="de-DE"/>
        </w:rPr>
        <w:tab/>
        <w:t>Wahm, pl. Awhám</w:t>
      </w:r>
      <w:r w:rsidRPr="00120039">
        <w:rPr>
          <w:lang w:val="de-DE"/>
        </w:rPr>
        <w:tab/>
        <w:t>delusive imagination, erroneous impression, fancy, delusion; belief, guess, surmise, conjecture; imagination; bias, prejudice; error; self-deception, self-delusion; illusion; suspicion, misgiving, doubt; foreboding, evil presentiment</w:t>
      </w:r>
    </w:p>
    <w:p w14:paraId="3B24632B" w14:textId="77777777" w:rsidR="00625A5B" w:rsidRPr="008F03E5" w:rsidRDefault="00625A5B" w:rsidP="003732EF">
      <w:pPr>
        <w:pStyle w:val="Translit"/>
      </w:pPr>
      <w:r w:rsidRPr="008F03E5">
        <w:t>Wahy, Vahy</w:t>
      </w:r>
      <w:r w:rsidRPr="008F03E5">
        <w:tab/>
        <w:t>Waḥy, Pers. also Vaḥy</w:t>
      </w:r>
      <w:r w:rsidRPr="008F03E5">
        <w:tab/>
        <w:t>inspiration; revelation (theology).  Persian definition:  indicating; suggesting; revealing; writing; revelation, anything (divine) suggested, inspired, or revealed (by vision or otherwise); a book, writing, epistle (especially of a sacred character)</w:t>
      </w:r>
    </w:p>
    <w:p w14:paraId="7DFD4D3F" w14:textId="77777777" w:rsidR="00625A5B" w:rsidRPr="008F03E5" w:rsidRDefault="00625A5B" w:rsidP="003D359A">
      <w:pPr>
        <w:pStyle w:val="Translit"/>
      </w:pPr>
      <w:r w:rsidRPr="008F03E5">
        <w:t>Waj</w:t>
      </w:r>
      <w:r w:rsidRPr="008F03E5">
        <w:tab/>
        <w:t>‘Waj</w:t>
      </w:r>
      <w:r w:rsidRPr="008F03E5">
        <w:tab/>
        <w:t>crooked</w:t>
      </w:r>
    </w:p>
    <w:p w14:paraId="798967EA" w14:textId="77777777" w:rsidR="00625A5B" w:rsidRPr="008F03E5" w:rsidRDefault="00625A5B" w:rsidP="00772864">
      <w:pPr>
        <w:pStyle w:val="Translit"/>
      </w:pPr>
      <w:r w:rsidRPr="008F03E5">
        <w:t>Wajd (Wujd)</w:t>
      </w:r>
      <w:r w:rsidRPr="008F03E5">
        <w:tab/>
        <w:t>Wajd</w:t>
      </w:r>
      <w:r w:rsidRPr="008F03E5">
        <w:tab/>
        <w:t>strong emotion, emotional upset; passion, ardor; ecstasy of love</w:t>
      </w:r>
    </w:p>
    <w:p w14:paraId="276469C8" w14:textId="77777777" w:rsidR="00625A5B" w:rsidRPr="008F03E5" w:rsidRDefault="00625A5B" w:rsidP="00046085">
      <w:pPr>
        <w:pStyle w:val="Translit"/>
      </w:pPr>
      <w:r w:rsidRPr="008F03E5">
        <w:t>Wajh, Wujuh, Awjuh (Aujuh)</w:t>
      </w:r>
      <w:r w:rsidRPr="008F03E5">
        <w:tab/>
        <w:t>Wajh, pl. Wujúh, Awjuh</w:t>
      </w:r>
      <w:r w:rsidRPr="008F03E5">
        <w:tab/>
        <w:t>face, countenance; front, face, façade; outside; surface; right side of a fabric; dial (of a clock or watch); face, obverse (of a coin); prominent personality; exterior, look(s), appearance, guise, semblance; side; direction; intention, intent, design, purpose, aim, goal, objective, end; course, policy, guiding principle, precept; way, manner, mode, procedure, method; lesson, cause; sense, meaning, signification, purport; beginning, start, outset, first part of a given period of time;—(pl. wujúh and awjuh) aspect; approach, point of view; viewpoint, standpoint;—(pl. aujuh) phase (of the moon; also electricity)</w:t>
      </w:r>
    </w:p>
    <w:p w14:paraId="523AD52D" w14:textId="77777777" w:rsidR="00625A5B" w:rsidRPr="008F03E5" w:rsidRDefault="00625A5B" w:rsidP="003D359A">
      <w:pPr>
        <w:pStyle w:val="Translit"/>
      </w:pPr>
      <w:r w:rsidRPr="008F03E5">
        <w:t>Wajhahu</w:t>
      </w:r>
      <w:r w:rsidRPr="008F03E5">
        <w:tab/>
        <w:t>Wajhahú</w:t>
      </w:r>
      <w:r w:rsidRPr="008F03E5">
        <w:tab/>
        <w:t>to turn ones face toward something</w:t>
      </w:r>
    </w:p>
    <w:p w14:paraId="3611100A" w14:textId="77777777" w:rsidR="00625A5B" w:rsidRPr="008F03E5" w:rsidRDefault="00625A5B" w:rsidP="003D359A">
      <w:pPr>
        <w:pStyle w:val="Translit"/>
      </w:pPr>
      <w:r w:rsidRPr="008F03E5">
        <w:t>Wajh-u-llah</w:t>
      </w:r>
      <w:r w:rsidRPr="008F03E5">
        <w:tab/>
        <w:t>Wajh-u-lláh, Wajh’u’lláh</w:t>
      </w:r>
      <w:r w:rsidRPr="008F03E5">
        <w:tab/>
        <w:t>The face or countenance of God.</w:t>
      </w:r>
    </w:p>
    <w:p w14:paraId="47A130AA" w14:textId="77777777" w:rsidR="00625A5B" w:rsidRPr="008F03E5" w:rsidRDefault="00625A5B" w:rsidP="00495761">
      <w:pPr>
        <w:pStyle w:val="Translit"/>
      </w:pPr>
      <w:r w:rsidRPr="008F03E5">
        <w:t>Wajib (Vajib), Wajibat, Waja’ib</w:t>
      </w:r>
      <w:r w:rsidRPr="008F03E5">
        <w:tab/>
        <w:t>Wájib, pl. Wájibát, Wajá’ib</w:t>
      </w:r>
      <w:r w:rsidRPr="008F03E5">
        <w:tab/>
        <w:t>necessary, requisite, essential, indispensable, inevitable, unavoidable, inescapable; incumbent, imperative, binding, obligatory; proper, adequate, fair;—pl. duty, obligation; incumbency; requirement, exigency, necessity; task, assignment</w:t>
      </w:r>
    </w:p>
    <w:p w14:paraId="0DD4CC38" w14:textId="77777777" w:rsidR="00625A5B" w:rsidRPr="008F03E5" w:rsidRDefault="00625A5B" w:rsidP="002222C3">
      <w:pPr>
        <w:pStyle w:val="Translit"/>
      </w:pPr>
      <w:r w:rsidRPr="008F03E5">
        <w:t>Wajib al-Wujud (Vajibu’l-Vujud)</w:t>
      </w:r>
      <w:r w:rsidRPr="008F03E5">
        <w:tab/>
        <w:t>W</w:t>
      </w:r>
      <w:r w:rsidRPr="002222C3">
        <w:t>á</w:t>
      </w:r>
      <w:r w:rsidRPr="008F03E5">
        <w:t>jib al-Wujud</w:t>
      </w:r>
      <w:r w:rsidRPr="008F03E5">
        <w:tab/>
        <w:t>necessary being or existence (God)</w:t>
      </w:r>
    </w:p>
    <w:p w14:paraId="37AB2762" w14:textId="77777777" w:rsidR="00625A5B" w:rsidRPr="008F03E5" w:rsidRDefault="00625A5B" w:rsidP="00EE5B18">
      <w:pPr>
        <w:pStyle w:val="Translit"/>
      </w:pPr>
      <w:r w:rsidRPr="008F03E5">
        <w:t>Wajid (Vajid), Wujdan (Vujdan)</w:t>
      </w:r>
      <w:r w:rsidRPr="008F03E5">
        <w:tab/>
        <w:t>Wajíd, pl. Wujdán</w:t>
      </w:r>
      <w:r w:rsidRPr="008F03E5">
        <w:tab/>
        <w:t>Pers. level, plain ground.</w:t>
      </w:r>
    </w:p>
    <w:p w14:paraId="3C12A66E" w14:textId="77777777" w:rsidR="00625A5B" w:rsidRPr="008F03E5" w:rsidRDefault="00625A5B" w:rsidP="00BC5C1C">
      <w:pPr>
        <w:pStyle w:val="Translit"/>
      </w:pPr>
      <w:r w:rsidRPr="008F03E5">
        <w:t>Wajid</w:t>
      </w:r>
      <w:r w:rsidRPr="008F03E5">
        <w:tab/>
        <w:t>Wájid</w:t>
      </w:r>
      <w:r w:rsidRPr="008F03E5">
        <w:tab/>
        <w:t>finding; finder; agitated, excited, upset, worried (about); in love (with)</w:t>
      </w:r>
    </w:p>
    <w:p w14:paraId="32879CE8" w14:textId="77777777" w:rsidR="00625A5B" w:rsidRPr="008F03E5" w:rsidRDefault="00625A5B" w:rsidP="00D950FB">
      <w:pPr>
        <w:pStyle w:val="Translit"/>
      </w:pPr>
      <w:r w:rsidRPr="008F03E5">
        <w:t>Wajih, Wajiha, Wujaha’, Wajihat</w:t>
      </w:r>
      <w:r w:rsidRPr="008F03E5">
        <w:tab/>
        <w:t>Wajíh, pl. Wujahá’</w:t>
      </w:r>
      <w:r w:rsidRPr="008F03E5">
        <w:tab/>
        <w:t>notable, noted, eminent, distinguished; eminent man, person of note, notable; leader; excellent, outstanding; acceptable, well-founded, sound.  Plural princes, chiefs.  Fem. wajíha[h or t], pl. wajíhát:  lady of high social standing; lady of society, socialite.</w:t>
      </w:r>
    </w:p>
    <w:p w14:paraId="179B4D0C" w14:textId="77777777" w:rsidR="00625A5B" w:rsidRPr="008F03E5" w:rsidRDefault="00625A5B" w:rsidP="00286347">
      <w:pPr>
        <w:pStyle w:val="Translit"/>
      </w:pPr>
      <w:r w:rsidRPr="008F03E5">
        <w:t>Wajihu’llah</w:t>
      </w:r>
      <w:r w:rsidRPr="008F03E5">
        <w:tab/>
        <w:t>Wajíhu’lláh</w:t>
      </w:r>
      <w:r w:rsidRPr="008F03E5">
        <w:tab/>
        <w:t>Beneficence of God.  Has been used as a name.</w:t>
      </w:r>
    </w:p>
    <w:p w14:paraId="3BE773E4" w14:textId="77777777" w:rsidR="00625A5B" w:rsidRPr="008F03E5" w:rsidRDefault="00625A5B" w:rsidP="003D359A">
      <w:pPr>
        <w:pStyle w:val="Translit"/>
      </w:pPr>
      <w:r w:rsidRPr="008F03E5">
        <w:t>Wakala, Yakilu, Wakl, Wukul</w:t>
      </w:r>
      <w:r w:rsidRPr="008F03E5">
        <w:tab/>
        <w:t>Wakala, Yakilu, Wakl, Wukúl</w:t>
      </w:r>
      <w:r w:rsidRPr="008F03E5">
        <w:tab/>
        <w:t>to entrust, assign, commission, charge (with), put in charge (of); to authorize, empower, appoint as representative or agent, etc.</w:t>
      </w:r>
    </w:p>
    <w:p w14:paraId="3955C3F3" w14:textId="77777777" w:rsidR="00625A5B" w:rsidRDefault="00625A5B" w:rsidP="006C46BE">
      <w:pPr>
        <w:pStyle w:val="Translit"/>
      </w:pPr>
      <w:r w:rsidRPr="008F03E5">
        <w:t>Wakil</w:t>
      </w:r>
      <w:r>
        <w:t xml:space="preserve"> ad-Dawla, Wakilu’d-Dawla</w:t>
      </w:r>
      <w:r w:rsidRPr="008F03E5">
        <w:tab/>
        <w:t>Wak</w:t>
      </w:r>
      <w:r w:rsidRPr="00F849C5">
        <w:t>í</w:t>
      </w:r>
      <w:r w:rsidRPr="008F03E5">
        <w:t>l</w:t>
      </w:r>
      <w:r>
        <w:t xml:space="preserve"> ad-Dawla, Wak</w:t>
      </w:r>
      <w:r w:rsidRPr="00F849C5">
        <w:t>í</w:t>
      </w:r>
      <w:r>
        <w:t>lu’d-Dawla</w:t>
      </w:r>
      <w:r>
        <w:tab/>
        <w:t>attorney-general of the state</w:t>
      </w:r>
    </w:p>
    <w:p w14:paraId="2A4B1E1D" w14:textId="77777777" w:rsidR="00625A5B" w:rsidRPr="008F03E5" w:rsidRDefault="00625A5B" w:rsidP="00E513D3">
      <w:pPr>
        <w:pStyle w:val="Translit"/>
      </w:pPr>
      <w:r w:rsidRPr="008F03E5">
        <w:t>Wakil, Wukala, Vakil</w:t>
      </w:r>
      <w:r w:rsidRPr="008F03E5">
        <w:tab/>
        <w:t>Wakíl (Vakíl), pl. Wukalá (Vukalá)</w:t>
      </w:r>
      <w:r w:rsidRPr="008F03E5">
        <w:tab/>
        <w:t xml:space="preserve">authorized representative, attorney in fact, proxy; (business) manager; head clerk; deputy, representative, vice-agent; trustee; mandatory, defence counsel; attorney, lawyer; (Syrian military) approx. technical sergeant.  Narayenrao Rangnath Shethji is believed to be the first Hindu Bahá’í—better known as N. R. Vakil—served as Chairman Indian </w:t>
      </w:r>
      <w:r w:rsidRPr="008F03E5">
        <w:rPr>
          <w:sz w:val="16"/>
          <w:szCs w:val="16"/>
        </w:rPr>
        <w:t>NSA</w:t>
      </w:r>
      <w:r w:rsidRPr="008F03E5">
        <w:t xml:space="preserve"> for many years.</w:t>
      </w:r>
    </w:p>
    <w:p w14:paraId="1ECF1A66" w14:textId="77777777" w:rsidR="00625A5B" w:rsidRPr="008F03E5" w:rsidRDefault="00625A5B" w:rsidP="00413BA2">
      <w:pPr>
        <w:pStyle w:val="Translit"/>
      </w:pPr>
      <w:r w:rsidRPr="008F03E5">
        <w:t>Walad, Awlad (Aulad), Wuld</w:t>
      </w:r>
      <w:r w:rsidRPr="008F03E5">
        <w:tab/>
        <w:t>Walad, pl. Aulád, Wuld</w:t>
      </w:r>
      <w:r w:rsidRPr="008F03E5">
        <w:tab/>
        <w:t>descendant, offspring, scion; child; son; boy; young animal, young one; (collective) progeny, offspring, children</w:t>
      </w:r>
    </w:p>
    <w:p w14:paraId="0A34890F" w14:textId="77777777" w:rsidR="00625A5B" w:rsidRPr="008F03E5" w:rsidRDefault="00625A5B" w:rsidP="00091E19">
      <w:pPr>
        <w:pStyle w:val="Translit"/>
      </w:pPr>
      <w:r w:rsidRPr="008F03E5">
        <w:t>Walaya</w:t>
      </w:r>
      <w:r w:rsidRPr="008F03E5">
        <w:tab/>
        <w:t>Waláya[h or t]</w:t>
      </w:r>
      <w:r w:rsidRPr="008F03E5">
        <w:tab/>
        <w:t>(noun) guardianship, curatorship; legal power; friendship.  The range of meanings include:  “vicegerency”, “guardianship”, “protectorship” and “successorship”.</w:t>
      </w:r>
    </w:p>
    <w:p w14:paraId="1C7ABB4D" w14:textId="77777777" w:rsidR="00625A5B" w:rsidRPr="008F03E5" w:rsidRDefault="00625A5B" w:rsidP="00A467CB">
      <w:pPr>
        <w:pStyle w:val="Translit"/>
      </w:pPr>
      <w:r w:rsidRPr="008F03E5">
        <w:t>Walaya, Wilaya</w:t>
      </w:r>
      <w:r w:rsidRPr="008F03E5">
        <w:tab/>
        <w:t>Waláya[h or t], Wiláya[h], Pers. Viláya[t]</w:t>
      </w:r>
      <w:r w:rsidRPr="008F03E5">
        <w:tab/>
        <w:t>(verb) to be in charge, run, administer, govern, have power, authority</w:t>
      </w:r>
    </w:p>
    <w:p w14:paraId="2B702AF4" w14:textId="77777777" w:rsidR="00625A5B" w:rsidRPr="008F03E5" w:rsidRDefault="00625A5B" w:rsidP="00DF31D3">
      <w:pPr>
        <w:pStyle w:val="Translit"/>
      </w:pPr>
      <w:r w:rsidRPr="008F03E5">
        <w:t>Wali (Vali), Wulat (Waliyan)</w:t>
      </w:r>
      <w:r w:rsidRPr="008F03E5">
        <w:tab/>
        <w:t>Wálí, pl. Wulát or Wuláh</w:t>
      </w:r>
      <w:r w:rsidRPr="008F03E5">
        <w:tab/>
        <w:t>a prince, governor of a province; one who exercises jurisdiction or authority, a chief magistrate; a friend, a near relation; Turkish administrative title;—pl. governors, presidents; judges; lords.  Pers. singular/plural also Válí/Wáliyán.</w:t>
      </w:r>
    </w:p>
    <w:p w14:paraId="092C8C0A" w14:textId="77777777" w:rsidR="00625A5B" w:rsidRPr="008F03E5" w:rsidRDefault="00625A5B" w:rsidP="000B6B0A">
      <w:pPr>
        <w:pStyle w:val="Translit"/>
      </w:pPr>
      <w:r w:rsidRPr="00EE3760">
        <w:t>Wali al-‘Ahd (Vali</w:t>
      </w:r>
      <w:r w:rsidRPr="00EE3760">
        <w:rPr>
          <w:rFonts w:eastAsia="PMingLiU"/>
          <w:lang w:eastAsia="zh-TW"/>
        </w:rPr>
        <w:t>-‘</w:t>
      </w:r>
      <w:r w:rsidRPr="00EE3760">
        <w:t>Ahd)</w:t>
      </w:r>
      <w:r w:rsidRPr="00EE3760">
        <w:tab/>
        <w:t xml:space="preserve">Walí al-‘Ahd (Pers. </w:t>
      </w:r>
      <w:r w:rsidRPr="008F03E5">
        <w:t>Valí-‘Ahd</w:t>
      </w:r>
      <w:r>
        <w:t>)</w:t>
      </w:r>
      <w:r w:rsidRPr="008F03E5">
        <w:tab/>
      </w:r>
      <w:r w:rsidRPr="000B6B0A">
        <w:t>designated heir of a ruler, or</w:t>
      </w:r>
      <w:r>
        <w:t xml:space="preserve"> </w:t>
      </w:r>
      <w:r w:rsidRPr="000B6B0A">
        <w:t>crown prince</w:t>
      </w:r>
    </w:p>
    <w:p w14:paraId="0D05145B" w14:textId="77777777" w:rsidR="00625A5B" w:rsidRPr="008F03E5" w:rsidRDefault="00625A5B" w:rsidP="008F6DA8">
      <w:pPr>
        <w:pStyle w:val="Translit"/>
      </w:pPr>
      <w:r w:rsidRPr="008F03E5">
        <w:t>Wali al-Amr</w:t>
      </w:r>
      <w:r w:rsidRPr="008F03E5">
        <w:tab/>
        <w:t>Walí al-Amr</w:t>
      </w:r>
      <w:r w:rsidRPr="008F03E5">
        <w:tab/>
        <w:t xml:space="preserve">the “guardian of the cause [of God]”, a </w:t>
      </w:r>
      <w:r w:rsidRPr="008F03E5">
        <w:rPr>
          <w:u w:val="single"/>
        </w:rPr>
        <w:t>Sh</w:t>
      </w:r>
      <w:r w:rsidRPr="008F03E5">
        <w:t>í‘a expression used for the twelfth Imam</w:t>
      </w:r>
    </w:p>
    <w:p w14:paraId="16EAADCB" w14:textId="77777777" w:rsidR="00625A5B" w:rsidRPr="008F03E5" w:rsidRDefault="00625A5B" w:rsidP="00EF653C">
      <w:pPr>
        <w:pStyle w:val="Translit"/>
      </w:pPr>
      <w:r w:rsidRPr="008F03E5">
        <w:t>Wali’u’llah, Valiyu’llah</w:t>
      </w:r>
      <w:r w:rsidRPr="008F03E5">
        <w:tab/>
        <w:t>Walí’u’lláh, Pers. also Valíyu’lláh</w:t>
      </w:r>
      <w:r w:rsidRPr="008F03E5">
        <w:tab/>
        <w:t xml:space="preserve">“friend, custodian, guardian of God”.  Mírzá Valíyu’lláh </w:t>
      </w:r>
      <w:r w:rsidRPr="008F03E5">
        <w:rPr>
          <w:u w:val="single"/>
        </w:rPr>
        <w:t>Kh</w:t>
      </w:r>
      <w:r w:rsidRPr="008F03E5">
        <w:t xml:space="preserve">án-i-Varqá (1884–1955) was a prominent Persian Bahá’í, and appointed a Hand of the Cause by Shoghi Effendi.  He was the son of Varqá, the martyr-poet, and the father of ‘Alí-Muḥammad Varqá, the longest surviving Hand of the Cause of God for the Bahá’í Faith.  He married Bahíyyih </w:t>
      </w:r>
      <w:r w:rsidRPr="008F03E5">
        <w:rPr>
          <w:u w:val="single"/>
        </w:rPr>
        <w:t>Kh</w:t>
      </w:r>
      <w:r w:rsidRPr="008F03E5">
        <w:t>ánum, daughter of the late Saní’s-Sulṭán, surnamed Saní Illáhí.  They had ten children—seven survived childhood:  ‘Alí Muḥammad; Mihdí; Malíḥih (Ms Qubád); Munírih (Mrs Farzád); Parvín (Mrs Muvaffiq); Maḥmúd; Lámi‘ (Mrs Níkanpúr).  See walíy.</w:t>
      </w:r>
    </w:p>
    <w:p w14:paraId="441A0A34" w14:textId="77777777" w:rsidR="00625A5B" w:rsidRPr="008F03E5" w:rsidRDefault="00625A5B" w:rsidP="00D51EC1">
      <w:pPr>
        <w:pStyle w:val="Translit"/>
      </w:pPr>
      <w:r w:rsidRPr="00554B25">
        <w:t>Walid, Walida, Walidan</w:t>
      </w:r>
      <w:r w:rsidRPr="00554B25">
        <w:tab/>
        <w:t xml:space="preserve">Walíd, fem. </w:t>
      </w:r>
      <w:r w:rsidRPr="008F03E5">
        <w:t>Walída[h], dual m. Wildán</w:t>
      </w:r>
      <w:r w:rsidRPr="008F03E5">
        <w:tab/>
        <w:t>pl. fem. Walá’id  new-born child, baby; boy/girl, son/daughter; young, new; (with following genitive) the product of, the result of, occasioned by, engendered by, sprung from</w:t>
      </w:r>
    </w:p>
    <w:p w14:paraId="36065557" w14:textId="77777777" w:rsidR="00625A5B" w:rsidRPr="008F03E5" w:rsidRDefault="00625A5B" w:rsidP="00D51EC1">
      <w:pPr>
        <w:pStyle w:val="Translit"/>
      </w:pPr>
      <w:r w:rsidRPr="00077779">
        <w:rPr>
          <w:lang w:val="pl-PL"/>
        </w:rPr>
        <w:t>Walid, Walida, Walidat, Walidan</w:t>
      </w:r>
      <w:r w:rsidRPr="00077779">
        <w:rPr>
          <w:lang w:val="pl-PL"/>
        </w:rPr>
        <w:tab/>
        <w:t xml:space="preserve">Wálid, fem. </w:t>
      </w:r>
      <w:r w:rsidRPr="00077779">
        <w:rPr>
          <w:lang w:val="es-ES_tradnl"/>
        </w:rPr>
        <w:t>Wálida[h], dual m. Wálidán</w:t>
      </w:r>
      <w:r w:rsidRPr="00077779">
        <w:rPr>
          <w:lang w:val="es-ES_tradnl"/>
        </w:rPr>
        <w:tab/>
        <w:t xml:space="preserve">pl. fem. </w:t>
      </w:r>
      <w:r w:rsidRPr="008F03E5">
        <w:t>Wálidát  procreator, progenitor; father/mother, parent; al-wálidán the parents, father and mother</w:t>
      </w:r>
    </w:p>
    <w:p w14:paraId="2C04CC63" w14:textId="77777777" w:rsidR="00625A5B" w:rsidRPr="008F03E5" w:rsidRDefault="00625A5B" w:rsidP="00642346">
      <w:pPr>
        <w:pStyle w:val="Translit"/>
      </w:pPr>
      <w:r w:rsidRPr="008F03E5">
        <w:t>Waliy al-Amru’llah</w:t>
      </w:r>
      <w:r w:rsidRPr="008F03E5">
        <w:tab/>
        <w:t>Walíy al-Amru’lláh (Walíy-i-Amru’lláh)</w:t>
      </w:r>
      <w:r w:rsidRPr="008F03E5">
        <w:tab/>
        <w:t>“Guardian of the Cause of God”, title given to Shoghi Effendi by ‘Abdu’l-Bahá</w:t>
      </w:r>
    </w:p>
    <w:p w14:paraId="4F21CD60" w14:textId="77777777" w:rsidR="00625A5B" w:rsidRPr="008F03E5" w:rsidRDefault="00625A5B" w:rsidP="00091E19">
      <w:pPr>
        <w:pStyle w:val="Translit"/>
      </w:pPr>
      <w:r w:rsidRPr="008F03E5">
        <w:t>Waliy, Waliya, Awliya’ (Auliya’)</w:t>
      </w:r>
      <w:r w:rsidRPr="008F03E5">
        <w:tab/>
        <w:t>Walíy, fem. Walíya[t], pl. Awliyá’</w:t>
      </w:r>
      <w:r w:rsidRPr="008F03E5">
        <w:tab/>
        <w:t>near, nearby; neighbouring, adjacent; close;—pl. helper, supporter, benefactor, sponsor; friend, close associate; relative; patron, protector; legal guardian; curator, tutor; a man close to God, holy man, saint (in Islam); master; proprietor, possessor, owner.  Persian also walí and awlíyá’.  Walíya can also mean woman, lady.  The plural (as used by Bahá’u’lláh) is usually understood as ‘saints’, in Bahá’í usage it refers to all Bahá’ís regardless of rank.  Shoghi Effendi translated it as ‘friends’ or ‘believers’.</w:t>
      </w:r>
    </w:p>
    <w:p w14:paraId="5ED0CCCA" w14:textId="77777777" w:rsidR="00625A5B" w:rsidRPr="008F03E5" w:rsidRDefault="00625A5B" w:rsidP="00091E19">
      <w:pPr>
        <w:pStyle w:val="Translit"/>
      </w:pPr>
      <w:r w:rsidRPr="008F03E5">
        <w:t>Waliyan, Valian, Valiyan, Veleyan, Velian</w:t>
      </w:r>
      <w:r w:rsidRPr="008F03E5">
        <w:tab/>
        <w:t>Waliyán</w:t>
      </w:r>
      <w:r w:rsidRPr="008F03E5">
        <w:tab/>
        <w:t>two villages in Iran (Alborz (36.020788, 50.842931) and Lorestan (33.721065, 48.884754) provinces)</w:t>
      </w:r>
    </w:p>
    <w:p w14:paraId="0B4D5753" w14:textId="77777777" w:rsidR="00625A5B" w:rsidRPr="008F03E5" w:rsidRDefault="00625A5B" w:rsidP="00B652EF">
      <w:pPr>
        <w:pStyle w:val="Translit"/>
      </w:pPr>
      <w:r w:rsidRPr="008F03E5">
        <w:t>Waqf, (Vaqf), Awqaf (Auqaf)</w:t>
      </w:r>
      <w:r w:rsidRPr="008F03E5">
        <w:tab/>
        <w:t>Waqf, pl. Awqáf</w:t>
      </w:r>
      <w:r w:rsidRPr="008F03E5">
        <w:tab/>
        <w:t>stopping, stop; halting, halt; discontinuation, suspension (of judgement), stay, standstill; pausing, resting; stagnation, dullness, listlessness (of the market); pause (grammar); checking, restraining, prevention; interruption, hitch, impediment, obstacle, obstruction; suspension from duty, removal from office, discharge, dismissal; blocking (of all account), stoppage (of salaries); religious endowment, wakf (English), “habous” (Islamic Law); endowment (in general), endowment fund; unalienable property.  Pers. pronounced as vaqf.  Sometimes written as vagf.  In Persia, the landed property of the expected Imám.</w:t>
      </w:r>
    </w:p>
    <w:p w14:paraId="311BBAE2" w14:textId="77777777" w:rsidR="00625A5B" w:rsidRPr="008F03E5" w:rsidRDefault="00625A5B" w:rsidP="00B1533F">
      <w:pPr>
        <w:pStyle w:val="Translit"/>
      </w:pPr>
      <w:r w:rsidRPr="008F03E5">
        <w:t>Waqí’a, Waqa’i’</w:t>
      </w:r>
      <w:r w:rsidRPr="008F03E5">
        <w:tab/>
        <w:t>Waqí‘a[h], pl. Waqá’i‘</w:t>
      </w:r>
      <w:r w:rsidRPr="008F03E5">
        <w:tab/>
        <w:t>incident, event, occurrence, happening; encounter, battle;—pl. events, happenings, goings on, developments; factual findings, factual evidence, facts (of a legal case); proceedings (of an assembly); facts.  Waqa’i’-Nigár (Pers.) chronicler, a person who gathers intelligence, a government reporter.</w:t>
      </w:r>
    </w:p>
    <w:p w14:paraId="0FDD3EA1" w14:textId="77777777" w:rsidR="00625A5B" w:rsidRPr="008F03E5" w:rsidRDefault="00625A5B" w:rsidP="00014353">
      <w:pPr>
        <w:pStyle w:val="Translit"/>
      </w:pPr>
      <w:r w:rsidRPr="008F03E5">
        <w:t>Waqif</w:t>
      </w:r>
      <w:r w:rsidRPr="008F03E5">
        <w:tab/>
        <w:t>Wáqif</w:t>
      </w:r>
      <w:r w:rsidRPr="008F03E5">
        <w:tab/>
        <w:t>standing still, motionless, at rest</w:t>
      </w:r>
    </w:p>
    <w:p w14:paraId="35B867C0" w14:textId="77777777" w:rsidR="00625A5B" w:rsidRPr="008F03E5" w:rsidRDefault="00625A5B" w:rsidP="000E6CC2">
      <w:pPr>
        <w:pStyle w:val="Translit"/>
      </w:pPr>
      <w:r w:rsidRPr="008F03E5">
        <w:t>Waqifa, Waqifiyya</w:t>
      </w:r>
      <w:r w:rsidRPr="008F03E5">
        <w:tab/>
        <w:t>Wáqifa or Wáqifiyya</w:t>
      </w:r>
      <w:r w:rsidRPr="008F03E5">
        <w:tab/>
        <w:t>those who hesitate or stop</w:t>
      </w:r>
    </w:p>
    <w:p w14:paraId="7E71129A" w14:textId="77777777" w:rsidR="00625A5B" w:rsidRPr="008F03E5" w:rsidRDefault="00625A5B" w:rsidP="00A12EE7">
      <w:pPr>
        <w:pStyle w:val="Translit"/>
      </w:pPr>
      <w:r w:rsidRPr="008F03E5">
        <w:t>Wara’</w:t>
      </w:r>
      <w:r w:rsidRPr="008F03E5">
        <w:tab/>
        <w:t>Wara‘</w:t>
      </w:r>
      <w:r w:rsidRPr="008F03E5">
        <w:tab/>
        <w:t>piety, piousness, godliness, god-fearing; caution, cautiousness, carefulness; timorousness, timidity, shyness, reserve, refraining from anything doubtful (in religious points), being scrupulous and apprehensive of doing wrong; being modest, chaste, and temperate</w:t>
      </w:r>
    </w:p>
    <w:p w14:paraId="52E3A6B0" w14:textId="77777777" w:rsidR="00625A5B" w:rsidRPr="008F03E5" w:rsidRDefault="00625A5B" w:rsidP="00020D7A">
      <w:pPr>
        <w:pStyle w:val="Translit"/>
      </w:pPr>
      <w:r w:rsidRPr="00020D7A">
        <w:t>Waraq, Waraqun, Waraqa, Awraq</w:t>
      </w:r>
      <w:r w:rsidRPr="00020D7A">
        <w:tab/>
        <w:t>Waraq, fem. Waraqa[h or t]</w:t>
      </w:r>
      <w:r w:rsidRPr="00020D7A">
        <w:tab/>
        <w:t>(dual Waraqún, pl. Awráq, fem. Waraqát) foliage, leafage, leaves; paper; paper money, banknotes; thin sheet metal, laminated metal.  Feminine waraqa[h or t], pl. waraqát.  Pers. also waraqih, and forms with v instead of w.  Bahá’u’lláh referred to His female descendants as Varaqih/Varaqát (“leaf/leaves”).  See warqa.</w:t>
      </w:r>
    </w:p>
    <w:p w14:paraId="027E9AD0" w14:textId="77777777" w:rsidR="00625A5B" w:rsidRPr="00020D7A" w:rsidRDefault="00625A5B" w:rsidP="00020D7A">
      <w:pPr>
        <w:pStyle w:val="Translit"/>
      </w:pPr>
      <w:r w:rsidRPr="00020D7A">
        <w:t>Waraqatu’l</w:t>
      </w:r>
      <w:r w:rsidRPr="00020D7A">
        <w:rPr>
          <w:rFonts w:eastAsia="PMingLiU"/>
          <w:lang w:eastAsia="zh-TW"/>
        </w:rPr>
        <w:t>-‘</w:t>
      </w:r>
      <w:r w:rsidRPr="00020D7A">
        <w:t>Ulya, Varaqatu’l</w:t>
      </w:r>
      <w:r w:rsidRPr="00020D7A">
        <w:rPr>
          <w:rFonts w:eastAsia="PMingLiU"/>
          <w:lang w:eastAsia="zh-TW"/>
        </w:rPr>
        <w:t>-‘</w:t>
      </w:r>
      <w:r w:rsidRPr="00020D7A">
        <w:t>Ulya</w:t>
      </w:r>
      <w:r w:rsidRPr="00020D7A">
        <w:tab/>
        <w:t>Waraqatu’l-‘Ulyá</w:t>
      </w:r>
      <w:r w:rsidRPr="00020D7A">
        <w:tab/>
        <w:t xml:space="preserve">(also Varaqiy-i-‘Ulyá) “highest leaf”.  Title first bestowed on Ásíyih </w:t>
      </w:r>
      <w:r w:rsidRPr="00020D7A">
        <w:rPr>
          <w:u w:val="single"/>
        </w:rPr>
        <w:t>Kh</w:t>
      </w:r>
      <w:r w:rsidRPr="00020D7A">
        <w:t xml:space="preserve">ánum (the “Most Exalted Leaf”) and after her passing on Bahíyyih </w:t>
      </w:r>
      <w:r w:rsidRPr="00020D7A">
        <w:rPr>
          <w:u w:val="single"/>
        </w:rPr>
        <w:t>Kh</w:t>
      </w:r>
      <w:r w:rsidRPr="00020D7A">
        <w:t>ánum (the “Greatest Holy Leaf”).  Translations used by Shoghi Effendi to distinguish between them.</w:t>
      </w:r>
    </w:p>
    <w:p w14:paraId="4E05CE1E" w14:textId="77777777" w:rsidR="00625A5B" w:rsidRPr="00020D7A" w:rsidRDefault="00625A5B" w:rsidP="002036C0">
      <w:pPr>
        <w:pStyle w:val="Translit"/>
      </w:pPr>
      <w:r w:rsidRPr="00020D7A">
        <w:t>Waraqatu’l-Firdaws, Varaqatu’l-Firdaws</w:t>
      </w:r>
      <w:r w:rsidRPr="00020D7A">
        <w:tab/>
        <w:t>Waraqatu’l-Firdaws</w:t>
      </w:r>
      <w:r w:rsidRPr="00020D7A">
        <w:tab/>
        <w:t>“</w:t>
      </w:r>
      <w:r>
        <w:t>The Leaf of</w:t>
      </w:r>
      <w:r w:rsidRPr="00020D7A">
        <w:t xml:space="preserve"> </w:t>
      </w:r>
      <w:r>
        <w:t>P</w:t>
      </w:r>
      <w:r w:rsidRPr="00020D7A">
        <w:t>aradise”</w:t>
      </w:r>
    </w:p>
    <w:p w14:paraId="4FC1235A" w14:textId="77777777" w:rsidR="00625A5B" w:rsidRPr="008F03E5" w:rsidRDefault="00625A5B" w:rsidP="002036C0">
      <w:pPr>
        <w:pStyle w:val="Translit"/>
      </w:pPr>
      <w:r w:rsidRPr="00020D7A">
        <w:t>Waraqatu’r-Ridvan, Varaqatu’r-Ridvan</w:t>
      </w:r>
      <w:r w:rsidRPr="00020D7A">
        <w:tab/>
        <w:t>Waraqatu’r-Riḍván</w:t>
      </w:r>
      <w:r w:rsidRPr="00020D7A">
        <w:tab/>
        <w:t>“</w:t>
      </w:r>
      <w:r>
        <w:t>The Leaf of Delight</w:t>
      </w:r>
      <w:r w:rsidRPr="00020D7A">
        <w:t>”</w:t>
      </w:r>
      <w:r>
        <w:t xml:space="preserve">, </w:t>
      </w:r>
      <w:r w:rsidRPr="00020D7A">
        <w:t>“</w:t>
      </w:r>
      <w:r>
        <w:t>The Leaf of Paradise</w:t>
      </w:r>
      <w:r w:rsidRPr="00020D7A">
        <w:t>”</w:t>
      </w:r>
    </w:p>
    <w:p w14:paraId="3F7604FE" w14:textId="77777777" w:rsidR="00625A5B" w:rsidRPr="008F03E5" w:rsidRDefault="00625A5B" w:rsidP="00171A5E">
      <w:pPr>
        <w:pStyle w:val="Translit"/>
      </w:pPr>
      <w:r w:rsidRPr="008F03E5">
        <w:t>Ward, Warda, Wurud</w:t>
      </w:r>
      <w:r w:rsidRPr="008F03E5">
        <w:tab/>
        <w:t>Ward, fem. Warda[h or t], pl. Wurúd</w:t>
      </w:r>
      <w:r w:rsidRPr="008F03E5">
        <w:tab/>
        <w:t xml:space="preserve">(collective; nomen unitatis </w:t>
      </w:r>
      <w:r w:rsidRPr="008F03E5">
        <w:rPr>
          <w:rtl/>
        </w:rPr>
        <w:t>ة</w:t>
      </w:r>
      <w:r w:rsidRPr="008F03E5">
        <w:t>) rose(s); blossoms, flowers, bloom; fem. rose; rosette; cockade; rosebush</w:t>
      </w:r>
    </w:p>
    <w:p w14:paraId="2DAA6130" w14:textId="77777777" w:rsidR="00625A5B" w:rsidRPr="008F03E5" w:rsidRDefault="00625A5B" w:rsidP="001676D2">
      <w:pPr>
        <w:pStyle w:val="Translit"/>
      </w:pPr>
      <w:r w:rsidRPr="008F03E5">
        <w:t>Wardat Abyad, Wardu’l-Abyad</w:t>
      </w:r>
      <w:r w:rsidRPr="008F03E5">
        <w:tab/>
        <w:t>Wardat Abyaḍ, Wardu’l-Abyaḍ</w:t>
      </w:r>
      <w:r w:rsidRPr="008F03E5">
        <w:tab/>
        <w:t>white rose.  A favourite flower of Bahá’u’lláh’s was a particular white rose from His home in Ṭihrán.  This rose, single with golden centre, brownish stalks, shiny leaves, and a peculiarly delightful scent, is now flourishing in the Riḍván Garden near ‘Akká.  Martha Root relates the story that after the martyrdoms of ‘Alí Muḥammad Varqá and his son Rúḥu’lláh, a “new white rose began to be cultivated” in Iran, a “rose whose perfume will be more heralded than all the ‘aṭṭár of Írán, for this is the rose of ‘tolerance in religion’.  For more than a thousand years Persia had not known this rose.”</w:t>
      </w:r>
    </w:p>
    <w:p w14:paraId="7C5F2AE7" w14:textId="77777777" w:rsidR="00625A5B" w:rsidRPr="008F03E5" w:rsidRDefault="00625A5B" w:rsidP="00735D13">
      <w:pPr>
        <w:pStyle w:val="Translit"/>
      </w:pPr>
      <w:r w:rsidRPr="008F03E5">
        <w:t>Wardaward (Vardavard, Vard Avard)</w:t>
      </w:r>
      <w:r w:rsidRPr="008F03E5">
        <w:tab/>
        <w:t>Wardáward</w:t>
      </w:r>
      <w:r w:rsidRPr="008F03E5">
        <w:tab/>
        <w:t>village (35.737152, 51.129433) that is now a suburb on the west side of Teheran</w:t>
      </w:r>
    </w:p>
    <w:p w14:paraId="69FDD029" w14:textId="77777777" w:rsidR="00625A5B" w:rsidRPr="008F03E5" w:rsidRDefault="00625A5B" w:rsidP="00171A5E">
      <w:pPr>
        <w:pStyle w:val="Translit"/>
      </w:pPr>
      <w:r w:rsidRPr="001457C8">
        <w:rPr>
          <w:lang w:val="it-IT"/>
        </w:rPr>
        <w:t>Wardi (Vardi, Verdi), Wardiya</w:t>
      </w:r>
      <w:r w:rsidRPr="001457C8">
        <w:rPr>
          <w:lang w:val="it-IT"/>
        </w:rPr>
        <w:tab/>
        <w:t xml:space="preserve">Wardí, fem. </w:t>
      </w:r>
      <w:r w:rsidRPr="008F03E5">
        <w:t>Wardíya[h or t]</w:t>
      </w:r>
      <w:r w:rsidRPr="008F03E5">
        <w:tab/>
        <w:t>roseate, rose-coloured, rosy; pink.  ‘Alí al-Wardí, author of Lamḥát ijtimá‘iyya min ta’ríkh al-‘Iráq al-ḥadí</w:t>
      </w:r>
      <w:r w:rsidRPr="008F03E5">
        <w:rPr>
          <w:u w:val="single"/>
        </w:rPr>
        <w:t>th</w:t>
      </w:r>
      <w:r w:rsidRPr="008F03E5">
        <w:t xml:space="preserve"> (tr. as “Social Glimpses in Modern Iraqi History”).  Mírzá Buzurg Núrí, Bahá’u’lláh’s father, was Vazír of Imám Wardí Mírzá (1797–1868), governor of Ṭihrán.</w:t>
      </w:r>
    </w:p>
    <w:p w14:paraId="4927927B" w14:textId="77777777" w:rsidR="00625A5B" w:rsidRPr="008F03E5" w:rsidRDefault="00625A5B" w:rsidP="00735D13">
      <w:pPr>
        <w:pStyle w:val="Translit"/>
      </w:pPr>
      <w:r w:rsidRPr="008F03E5">
        <w:t>Warid, Wurrad, Waridat</w:t>
      </w:r>
      <w:r w:rsidRPr="008F03E5">
        <w:tab/>
        <w:t>Wárid, pl. Wurrád, Wáridát</w:t>
      </w:r>
      <w:r w:rsidRPr="008F03E5">
        <w:tab/>
        <w:t>arriving; found, mentioned; newcomer, arrival;—pl. wáridát imports; receipts, incomings, returns, proceeds, takings</w:t>
      </w:r>
    </w:p>
    <w:p w14:paraId="0E2B4D81" w14:textId="77777777" w:rsidR="00625A5B" w:rsidRPr="008F03E5" w:rsidRDefault="00625A5B" w:rsidP="00502EEA">
      <w:pPr>
        <w:pStyle w:val="Translit"/>
      </w:pPr>
      <w:r w:rsidRPr="008F03E5">
        <w:t>Wariq</w:t>
      </w:r>
      <w:r w:rsidRPr="008F03E5">
        <w:tab/>
        <w:t>Wariq, Wáriq</w:t>
      </w:r>
      <w:r w:rsidRPr="008F03E5">
        <w:tab/>
        <w:t>leafy, green, verdant</w:t>
      </w:r>
    </w:p>
    <w:p w14:paraId="2E491905" w14:textId="77777777" w:rsidR="00625A5B" w:rsidRPr="008F03E5" w:rsidRDefault="00625A5B" w:rsidP="009A284D">
      <w:pPr>
        <w:pStyle w:val="Translit"/>
      </w:pPr>
      <w:r w:rsidRPr="008F03E5">
        <w:t>Warith</w:t>
      </w:r>
      <w:r w:rsidRPr="008F03E5">
        <w:tab/>
        <w:t>Wári</w:t>
      </w:r>
      <w:r w:rsidRPr="008F03E5">
        <w:rPr>
          <w:u w:val="single"/>
        </w:rPr>
        <w:t>th</w:t>
      </w:r>
      <w:r w:rsidRPr="008F03E5">
        <w:t>, pl. Wara</w:t>
      </w:r>
      <w:r w:rsidRPr="008F03E5">
        <w:rPr>
          <w:u w:val="single"/>
        </w:rPr>
        <w:t>th</w:t>
      </w:r>
      <w:r w:rsidRPr="008F03E5">
        <w:t>a, Wurrá</w:t>
      </w:r>
      <w:r w:rsidRPr="008F03E5">
        <w:rPr>
          <w:u w:val="single"/>
        </w:rPr>
        <w:t>th</w:t>
      </w:r>
      <w:r w:rsidRPr="008F03E5">
        <w:tab/>
        <w:t>inheriting; heir, inheritor</w:t>
      </w:r>
    </w:p>
    <w:p w14:paraId="45518F69" w14:textId="77777777" w:rsidR="00625A5B" w:rsidRDefault="00625A5B" w:rsidP="002036C0">
      <w:pPr>
        <w:pStyle w:val="Translit"/>
      </w:pPr>
      <w:r>
        <w:t>Warq</w:t>
      </w:r>
      <w:r>
        <w:tab/>
        <w:t>W</w:t>
      </w:r>
      <w:r w:rsidRPr="002036C0">
        <w:t>arq</w:t>
      </w:r>
      <w:r>
        <w:tab/>
        <w:t>s</w:t>
      </w:r>
      <w:r w:rsidRPr="00AF4D34">
        <w:t>tripping (a tree) of its leaves; coming into leaf (a tree)</w:t>
      </w:r>
    </w:p>
    <w:p w14:paraId="64F78AA1" w14:textId="77777777" w:rsidR="00625A5B" w:rsidRPr="008F03E5" w:rsidRDefault="00625A5B" w:rsidP="007C5D03">
      <w:pPr>
        <w:pStyle w:val="Translit"/>
      </w:pPr>
      <w:r w:rsidRPr="008F03E5">
        <w:t>Warqa, Varqa, Warqat</w:t>
      </w:r>
      <w:r w:rsidRPr="008F03E5">
        <w:tab/>
        <w:t>Warqa[h or t], pl. Warqát</w:t>
      </w:r>
      <w:r w:rsidRPr="008F03E5">
        <w:tab/>
      </w:r>
      <w:r>
        <w:t xml:space="preserve">a </w:t>
      </w:r>
      <w:r w:rsidRPr="008F03E5">
        <w:t>derivative of w</w:t>
      </w:r>
      <w:r>
        <w:t>-</w:t>
      </w:r>
      <w:r w:rsidRPr="008F03E5">
        <w:t>r</w:t>
      </w:r>
      <w:r>
        <w:t>-</w:t>
      </w:r>
      <w:r w:rsidRPr="008F03E5">
        <w:t xml:space="preserve">q </w:t>
      </w:r>
      <w:r>
        <w:t xml:space="preserve">and fem. form of warq that was </w:t>
      </w:r>
      <w:r w:rsidRPr="008F03E5">
        <w:t>used by Bahá’u’lláh.  leaf</w:t>
      </w:r>
      <w:r>
        <w:t xml:space="preserve"> or </w:t>
      </w:r>
      <w:r w:rsidRPr="008F03E5">
        <w:t>leaves</w:t>
      </w:r>
      <w:r>
        <w:t xml:space="preserve">, but Shoghi Effendi uses a </w:t>
      </w:r>
      <w:r w:rsidRPr="002361E6">
        <w:t>metonymy</w:t>
      </w:r>
      <w:r>
        <w:t>,</w:t>
      </w:r>
      <w:r w:rsidRPr="002361E6">
        <w:t xml:space="preserve"> </w:t>
      </w:r>
      <w:r w:rsidRPr="008F03E5">
        <w:t>“nightingale”</w:t>
      </w:r>
      <w:r>
        <w:t>,</w:t>
      </w:r>
      <w:r w:rsidRPr="008F03E5">
        <w:t xml:space="preserve"> in the Tablet of Aḥmad:  “‘nightingale of Paradise’ (warqat al-Firdaws) singeth upon the twigs of the Tree of Eternity”</w:t>
      </w:r>
      <w:r>
        <w:t>; and</w:t>
      </w:r>
      <w:r w:rsidRPr="008F03E5">
        <w:t xml:space="preserve"> “bird of Heaven” in </w:t>
      </w:r>
      <w:r w:rsidRPr="008F03E5">
        <w:rPr>
          <w:i/>
          <w:iCs/>
        </w:rPr>
        <w:t>Tablets of Bahá’u’lláh.</w:t>
      </w:r>
    </w:p>
    <w:p w14:paraId="078E3A61" w14:textId="77777777" w:rsidR="00625A5B" w:rsidRDefault="00625A5B" w:rsidP="007C5D03">
      <w:pPr>
        <w:pStyle w:val="Translit"/>
      </w:pPr>
      <w:r w:rsidRPr="008F03E5">
        <w:t>Warqa’</w:t>
      </w:r>
      <w:r w:rsidRPr="008F03E5">
        <w:tab/>
        <w:t>Warqá’, Pers. Varqá</w:t>
      </w:r>
      <w:r w:rsidRPr="008F03E5">
        <w:tab/>
        <w:t xml:space="preserve">brown, tawny, dusky-coloured (she-wolf or pigeon); a she-wolf; a female pigeon.  Mírzá ‘Alí Muḥammad was surnamed Varqá by Bahá’u’lláh (Shoghi Effendi </w:t>
      </w:r>
      <w:r>
        <w:t xml:space="preserve">uses a </w:t>
      </w:r>
      <w:r w:rsidRPr="002361E6">
        <w:t>metonymy</w:t>
      </w:r>
      <w:r>
        <w:t>,</w:t>
      </w:r>
      <w:r w:rsidRPr="008F03E5">
        <w:t xml:space="preserve"> “Dove”).</w:t>
      </w:r>
    </w:p>
    <w:p w14:paraId="76624053" w14:textId="77777777" w:rsidR="00625A5B" w:rsidRDefault="00625A5B" w:rsidP="007C5D03">
      <w:pPr>
        <w:pStyle w:val="Translit"/>
      </w:pPr>
      <w:r w:rsidRPr="008F03E5">
        <w:t>Warqa’</w:t>
      </w:r>
      <w:r>
        <w:t>i</w:t>
      </w:r>
      <w:r w:rsidRPr="008F03E5">
        <w:tab/>
        <w:t>Warqá’</w:t>
      </w:r>
      <w:r w:rsidRPr="007C5D03">
        <w:t>í</w:t>
      </w:r>
      <w:r w:rsidRPr="008F03E5">
        <w:t>, Pers. Varqá</w:t>
      </w:r>
      <w:r>
        <w:t>’í</w:t>
      </w:r>
      <w:r w:rsidRPr="008F03E5">
        <w:tab/>
      </w:r>
      <w:r>
        <w:t>of or belonging to the pigeon/dove</w:t>
      </w:r>
    </w:p>
    <w:p w14:paraId="324AACFC" w14:textId="77777777" w:rsidR="00625A5B" w:rsidRDefault="00625A5B" w:rsidP="0081178C">
      <w:pPr>
        <w:pStyle w:val="Translit"/>
      </w:pPr>
      <w:r w:rsidRPr="008F03E5">
        <w:t>Warqa’</w:t>
      </w:r>
      <w:r>
        <w:t>iya</w:t>
      </w:r>
      <w:r w:rsidRPr="008F03E5">
        <w:tab/>
        <w:t>Warqá’</w:t>
      </w:r>
      <w:r w:rsidRPr="007C5D03">
        <w:t>í</w:t>
      </w:r>
      <w:r>
        <w:t>ya</w:t>
      </w:r>
      <w:r w:rsidRPr="008F03E5">
        <w:t>, Pers. Varqá</w:t>
      </w:r>
      <w:r>
        <w:t>’</w:t>
      </w:r>
      <w:r w:rsidRPr="0081178C">
        <w:t>í</w:t>
      </w:r>
      <w:r>
        <w:t>yya</w:t>
      </w:r>
      <w:r>
        <w:tab/>
        <w:t>pigeon/dove/nightingale song</w:t>
      </w:r>
    </w:p>
    <w:p w14:paraId="75DB0A8C" w14:textId="77777777" w:rsidR="00625A5B" w:rsidRPr="008F03E5" w:rsidRDefault="00625A5B" w:rsidP="000D442C">
      <w:pPr>
        <w:pStyle w:val="Translit"/>
      </w:pPr>
      <w:r w:rsidRPr="008F03E5">
        <w:t>Was</w:t>
      </w:r>
      <w:r w:rsidRPr="008F03E5">
        <w:tab/>
        <w:t>Wás</w:t>
      </w:r>
      <w:r w:rsidRPr="008F03E5">
        <w:tab/>
        <w:t>Pers. an ear of wheat or barley</w:t>
      </w:r>
    </w:p>
    <w:p w14:paraId="6F30963E" w14:textId="77777777" w:rsidR="00625A5B" w:rsidRPr="008F03E5" w:rsidRDefault="00625A5B" w:rsidP="000223A6">
      <w:pPr>
        <w:pStyle w:val="Translit"/>
      </w:pPr>
      <w:r w:rsidRPr="008F03E5">
        <w:t>Wasat</w:t>
      </w:r>
      <w:r w:rsidRPr="008F03E5">
        <w:tab/>
        <w:t>Waṣát</w:t>
      </w:r>
      <w:r w:rsidRPr="008F03E5">
        <w:tab/>
        <w:t>Pers. a command, charge, will, testament; counsel, advice, exhortation.</w:t>
      </w:r>
    </w:p>
    <w:p w14:paraId="3600AC41" w14:textId="77777777" w:rsidR="00625A5B" w:rsidRPr="008F03E5" w:rsidRDefault="00625A5B" w:rsidP="00165F74">
      <w:pPr>
        <w:pStyle w:val="Translit"/>
      </w:pPr>
      <w:r w:rsidRPr="008F03E5">
        <w:t>Wasat, Ausat, Wasatin</w:t>
      </w:r>
      <w:r w:rsidRPr="008F03E5">
        <w:tab/>
        <w:t>Wasaṭ, pl. Ausáṭ</w:t>
      </w:r>
      <w:r w:rsidRPr="008F03E5">
        <w:tab/>
        <w:t>middle; centre, heart; waist; milieu, environment, surroundings, sphere; means, instrument, agent, medium; mediocrity, medium quality, average;—pl. circles, quarters, classes, strata (of the population).  wasaṭin or wasaṭan:  in the middle or midst of, within</w:t>
      </w:r>
    </w:p>
    <w:p w14:paraId="52DD0A76" w14:textId="77777777" w:rsidR="00625A5B" w:rsidRPr="008F03E5" w:rsidRDefault="00625A5B" w:rsidP="00E719A6">
      <w:pPr>
        <w:pStyle w:val="Translit"/>
      </w:pPr>
      <w:r w:rsidRPr="008F03E5">
        <w:t>Wash (Vush). Wush (Vush)</w:t>
      </w:r>
      <w:r w:rsidRPr="008F03E5">
        <w:tab/>
        <w:t>Wa</w:t>
      </w:r>
      <w:r w:rsidRPr="008F03E5">
        <w:rPr>
          <w:u w:val="single"/>
        </w:rPr>
        <w:t>sh</w:t>
      </w:r>
      <w:r w:rsidRPr="008F03E5">
        <w:tab/>
        <w:t>Pers. good, excellent, choice, beautiful, fair; the end of a turban-sash hanging loose; a rich kind of satin.  A particle of similitude added to nouns, as:  qamarwa</w:t>
      </w:r>
      <w:r w:rsidRPr="008F03E5">
        <w:rPr>
          <w:u w:val="single"/>
        </w:rPr>
        <w:t>sh</w:t>
      </w:r>
      <w:r w:rsidRPr="008F03E5">
        <w:t>, moon-like.</w:t>
      </w:r>
    </w:p>
    <w:p w14:paraId="04E72A56" w14:textId="77777777" w:rsidR="00625A5B" w:rsidRPr="008F03E5" w:rsidRDefault="00625A5B" w:rsidP="00393DB3">
      <w:pPr>
        <w:pStyle w:val="Translit"/>
      </w:pPr>
      <w:r w:rsidRPr="008F03E5">
        <w:t>Washshash (Vashshash)</w:t>
      </w:r>
      <w:r w:rsidRPr="008F03E5">
        <w:tab/>
        <w:t>al-Wa</w:t>
      </w:r>
      <w:r w:rsidRPr="008F03E5">
        <w:rPr>
          <w:u w:val="single"/>
        </w:rPr>
        <w:t>shsh</w:t>
      </w:r>
      <w:r w:rsidRPr="008F03E5">
        <w:t>á</w:t>
      </w:r>
      <w:r w:rsidRPr="008F03E5">
        <w:rPr>
          <w:u w:val="single"/>
        </w:rPr>
        <w:t>sh</w:t>
      </w:r>
      <w:r w:rsidRPr="008F03E5">
        <w:tab/>
        <w:t>neighbourhood of Ba</w:t>
      </w:r>
      <w:r w:rsidRPr="008F03E5">
        <w:rPr>
          <w:u w:val="single"/>
        </w:rPr>
        <w:t>gh</w:t>
      </w:r>
      <w:r w:rsidRPr="008F03E5">
        <w:t>dád—once a farm where Bahá’u’lláh celebrated Riḍván (1863).  See Manṣúr</w:t>
      </w:r>
    </w:p>
    <w:p w14:paraId="334FD413" w14:textId="77777777" w:rsidR="00625A5B" w:rsidRPr="008F03E5" w:rsidRDefault="00625A5B" w:rsidP="00A9664A">
      <w:pPr>
        <w:pStyle w:val="Translit"/>
      </w:pPr>
      <w:r w:rsidRPr="008F03E5">
        <w:t>Wasi, Vasi’, Wasa’</w:t>
      </w:r>
      <w:r w:rsidRPr="008F03E5">
        <w:tab/>
        <w:t xml:space="preserve">Wasí‘ (Pers. </w:t>
      </w:r>
      <w:r w:rsidRPr="008F03E5">
        <w:rPr>
          <w:rFonts w:eastAsia="PMingLiU"/>
          <w:lang w:eastAsia="zh-TW"/>
        </w:rPr>
        <w:t>Vasí‘</w:t>
      </w:r>
      <w:r w:rsidRPr="008F03E5">
        <w:t>), pl. Wisá‘</w:t>
      </w:r>
      <w:r w:rsidRPr="008F03E5">
        <w:tab/>
        <w:t>wide, vast; roomy, spacious, large; capacious</w:t>
      </w:r>
    </w:p>
    <w:p w14:paraId="1887A489" w14:textId="77777777" w:rsidR="00625A5B" w:rsidRPr="008F03E5" w:rsidRDefault="00625A5B" w:rsidP="00806AFE">
      <w:pPr>
        <w:pStyle w:val="Translit"/>
      </w:pPr>
      <w:r w:rsidRPr="008F03E5">
        <w:t>Wasi’, Vasi’</w:t>
      </w:r>
      <w:r w:rsidRPr="008F03E5">
        <w:tab/>
        <w:t>Wási‘</w:t>
      </w:r>
      <w:r w:rsidRPr="008F03E5">
        <w:tab/>
        <w:t>wide; broad; large, roomy, spacious, vast, sweeping, extensive; far-reaching</w:t>
      </w:r>
    </w:p>
    <w:p w14:paraId="26BFE820" w14:textId="77777777" w:rsidR="00625A5B" w:rsidRDefault="00625A5B" w:rsidP="00F704BD">
      <w:pPr>
        <w:pStyle w:val="Translit"/>
      </w:pPr>
      <w:r>
        <w:t>Wasil, Wasila, Wasilat</w:t>
      </w:r>
      <w:r>
        <w:tab/>
        <w:t>W</w:t>
      </w:r>
      <w:r w:rsidRPr="009833B5">
        <w:t xml:space="preserve">áṣil, </w:t>
      </w:r>
      <w:r>
        <w:t>fem. W</w:t>
      </w:r>
      <w:r w:rsidRPr="00F704BD">
        <w:t>áṣ</w:t>
      </w:r>
      <w:r>
        <w:t>ila[h or t]</w:t>
      </w:r>
      <w:r>
        <w:tab/>
        <w:t>o</w:t>
      </w:r>
      <w:r w:rsidRPr="009833B5">
        <w:t>ne who joins, meets, or arrives; arrived, met; joined, connected, coupled; name of a man</w:t>
      </w:r>
      <w:r>
        <w:t xml:space="preserve">. </w:t>
      </w:r>
      <w:r w:rsidRPr="009833B5">
        <w:t xml:space="preserve"> </w:t>
      </w:r>
      <w:r>
        <w:t>Fem. a</w:t>
      </w:r>
      <w:r w:rsidRPr="00AF4D34">
        <w:t xml:space="preserve"> woman who joins false hair to her own</w:t>
      </w:r>
      <w:r>
        <w:t xml:space="preserve">.—pl. fem. </w:t>
      </w:r>
      <w:r w:rsidRPr="009833B5">
        <w:t>wáṣilát</w:t>
      </w:r>
      <w:r>
        <w:t>, t</w:t>
      </w:r>
      <w:r w:rsidRPr="009833B5">
        <w:t>he total collected under every description (a revenue-form in India)</w:t>
      </w:r>
      <w:r>
        <w:t>.</w:t>
      </w:r>
    </w:p>
    <w:p w14:paraId="2B38CAA0" w14:textId="77777777" w:rsidR="00625A5B" w:rsidRPr="008F03E5" w:rsidRDefault="00625A5B" w:rsidP="00B47F3D">
      <w:pPr>
        <w:pStyle w:val="Translit"/>
      </w:pPr>
      <w:r w:rsidRPr="008F03E5">
        <w:t>Wasiy (</w:t>
      </w:r>
      <w:r>
        <w:t xml:space="preserve">Wasi, </w:t>
      </w:r>
      <w:r w:rsidRPr="008F03E5">
        <w:t>“Vasi”), Awsiya’ (Ausiya’)</w:t>
      </w:r>
      <w:r w:rsidRPr="008F03E5">
        <w:tab/>
        <w:t>Waṣíy</w:t>
      </w:r>
      <w:r>
        <w:t xml:space="preserve"> (Wa</w:t>
      </w:r>
      <w:r w:rsidRPr="00B47F3D">
        <w:t>ṣí</w:t>
      </w:r>
      <w:r>
        <w:t>)</w:t>
      </w:r>
      <w:r w:rsidRPr="008F03E5">
        <w:t>, pl. Awṣiyá’</w:t>
      </w:r>
      <w:r w:rsidRPr="008F03E5">
        <w:tab/>
        <w:t>plenipotentiary, mandatory, authorized agent, commissioner; executor; legal guardian, curator, tutor; administrator, caretaker, trustee; regent; testator; client, principal.  In Persian Bayan 6:14 “regarding titles, in this Dispensation no one is called by the name viceregent (</w:t>
      </w:r>
      <w:r w:rsidRPr="008F03E5">
        <w:rPr>
          <w:i/>
          <w:iCs/>
        </w:rPr>
        <w:t>waṣíy</w:t>
      </w:r>
      <w:r w:rsidRPr="008F03E5">
        <w:t>) or prophet (</w:t>
      </w:r>
      <w:r w:rsidRPr="008F03E5">
        <w:rPr>
          <w:i/>
          <w:iCs/>
        </w:rPr>
        <w:t>nabí</w:t>
      </w:r>
      <w:r w:rsidRPr="008F03E5">
        <w:t xml:space="preserve">)”, instead all should only be called “believers” … </w:t>
      </w:r>
      <w:r w:rsidRPr="008F03E5">
        <w:rPr>
          <w:i/>
          <w:iCs/>
        </w:rPr>
        <w:t>Gate of the Heart</w:t>
      </w:r>
      <w:r w:rsidRPr="008F03E5">
        <w:t>, 348.  This also applies to Mírzá Yaḥyá.</w:t>
      </w:r>
    </w:p>
    <w:p w14:paraId="3CC21C0A" w14:textId="77777777" w:rsidR="00625A5B" w:rsidRPr="008F03E5" w:rsidRDefault="00625A5B" w:rsidP="000223A6">
      <w:pPr>
        <w:pStyle w:val="Translit"/>
      </w:pPr>
      <w:r w:rsidRPr="008F03E5">
        <w:t>Wasiya (Wasayat), Wasaya</w:t>
      </w:r>
      <w:r w:rsidRPr="008F03E5">
        <w:tab/>
        <w:t>Waṣíya[t], pl. Waṣáyá</w:t>
      </w:r>
      <w:r w:rsidRPr="008F03E5">
        <w:tab/>
        <w:t>direction, directive, instruction, injunction, order, command, commandment; recommendation advice, counsel, admonition, exhortation; will, testament, testamentary disposition; bequest, legacy</w:t>
      </w:r>
    </w:p>
    <w:p w14:paraId="7DBA8325" w14:textId="77777777" w:rsidR="00625A5B" w:rsidRPr="008F03E5" w:rsidRDefault="00625A5B" w:rsidP="000223A6">
      <w:pPr>
        <w:pStyle w:val="Translit"/>
      </w:pPr>
      <w:r w:rsidRPr="008F03E5">
        <w:t>Wasiyat-Nama (Wasiyat-Namah)</w:t>
      </w:r>
      <w:r w:rsidRPr="008F03E5">
        <w:tab/>
        <w:t>Waṣíyat-Náma</w:t>
      </w:r>
      <w:r w:rsidRPr="008F03E5">
        <w:tab/>
        <w:t>Pers. last will, testament; name of a work of Farídu’d-dín ‘Aṭṭár.</w:t>
      </w:r>
    </w:p>
    <w:p w14:paraId="774628A3" w14:textId="77777777" w:rsidR="00625A5B" w:rsidRPr="008F03E5" w:rsidRDefault="00625A5B" w:rsidP="00D777F9">
      <w:pPr>
        <w:pStyle w:val="Translit"/>
      </w:pPr>
      <w:r w:rsidRPr="008F03E5">
        <w:t>Wasiyya</w:t>
      </w:r>
      <w:r w:rsidRPr="008F03E5">
        <w:tab/>
        <w:t>Waṣiyya</w:t>
      </w:r>
      <w:r w:rsidRPr="008F03E5">
        <w:tab/>
        <w:t>will or trusteeship</w:t>
      </w:r>
    </w:p>
    <w:p w14:paraId="5991DB57" w14:textId="77777777" w:rsidR="00625A5B" w:rsidRPr="008F03E5" w:rsidRDefault="00625A5B" w:rsidP="001430ED">
      <w:pPr>
        <w:pStyle w:val="Translit"/>
      </w:pPr>
      <w:r w:rsidRPr="008F03E5">
        <w:t>Was-Kas (Vas-Kas)</w:t>
      </w:r>
      <w:r w:rsidRPr="008F03E5">
        <w:tab/>
        <w:t>Wás-Kas</w:t>
      </w:r>
      <w:r w:rsidRPr="008F03E5">
        <w:tab/>
        <w:t xml:space="preserve">Pers. a small village (36.414954, 52.867229) 5 km south of Qá’im </w:t>
      </w:r>
      <w:r w:rsidRPr="008F03E5">
        <w:rPr>
          <w:u w:val="single"/>
        </w:rPr>
        <w:t>Sh</w:t>
      </w:r>
      <w:r w:rsidRPr="008F03E5">
        <w:t>ahr</w:t>
      </w:r>
    </w:p>
    <w:p w14:paraId="4B98889F" w14:textId="77777777" w:rsidR="00625A5B" w:rsidRPr="00077779" w:rsidRDefault="00625A5B" w:rsidP="008D3123">
      <w:pPr>
        <w:pStyle w:val="Translit"/>
        <w:rPr>
          <w:lang w:val="de-DE"/>
        </w:rPr>
      </w:pPr>
      <w:r w:rsidRPr="001457C8">
        <w:rPr>
          <w:lang w:val="de-DE"/>
        </w:rPr>
        <w:t>Waskas, Vaskas, Vas-Kas</w:t>
      </w:r>
      <w:r w:rsidRPr="001457C8">
        <w:rPr>
          <w:lang w:val="de-DE"/>
        </w:rPr>
        <w:tab/>
        <w:t xml:space="preserve">Wáskas, Pers. </w:t>
      </w:r>
      <w:r w:rsidRPr="00077779">
        <w:rPr>
          <w:lang w:val="de-DE"/>
        </w:rPr>
        <w:t>Váskas, Vás-Kas</w:t>
      </w:r>
      <w:r w:rsidRPr="00077779">
        <w:rPr>
          <w:lang w:val="de-DE"/>
        </w:rPr>
        <w:tab/>
        <w:t xml:space="preserve">village (5 km south of Qá’im </w:t>
      </w:r>
      <w:r w:rsidRPr="00077779">
        <w:rPr>
          <w:u w:val="single"/>
          <w:lang w:val="de-DE"/>
        </w:rPr>
        <w:t>Sh</w:t>
      </w:r>
      <w:r w:rsidRPr="00077779">
        <w:rPr>
          <w:lang w:val="de-DE"/>
        </w:rPr>
        <w:t>ahr, 36.415021, 52.867400), Mazandaran Province</w:t>
      </w:r>
    </w:p>
    <w:p w14:paraId="35BE2ACE" w14:textId="77777777" w:rsidR="00625A5B" w:rsidRPr="008F03E5" w:rsidRDefault="00625A5B" w:rsidP="00B17B24">
      <w:pPr>
        <w:pStyle w:val="Translit"/>
      </w:pPr>
      <w:r w:rsidRPr="00077779">
        <w:rPr>
          <w:lang w:val="de-DE"/>
        </w:rPr>
        <w:t>Waswas, Wasawis</w:t>
      </w:r>
      <w:r w:rsidRPr="00077779">
        <w:rPr>
          <w:lang w:val="de-DE"/>
        </w:rPr>
        <w:tab/>
        <w:t>Waswás, pl. Wasáwis</w:t>
      </w:r>
      <w:r w:rsidRPr="00077779">
        <w:rPr>
          <w:lang w:val="de-DE"/>
        </w:rPr>
        <w:tab/>
        <w:t xml:space="preserve">devilish insinuation, temptation; wicked thoughts; doubt, misgiving, suspicion; delusion, fixed idea; uneasiness, anxiety, concern; melancholy; al-Waswás the Tempter, Satan.  </w:t>
      </w:r>
      <w:r w:rsidRPr="008F03E5">
        <w:t>See Qur’án 114:4.</w:t>
      </w:r>
    </w:p>
    <w:p w14:paraId="5B7D0204" w14:textId="77777777" w:rsidR="00625A5B" w:rsidRPr="008F03E5" w:rsidRDefault="00625A5B" w:rsidP="00EC0015">
      <w:pPr>
        <w:pStyle w:val="Translit"/>
      </w:pPr>
      <w:r w:rsidRPr="008F03E5">
        <w:t>Waswasi</w:t>
      </w:r>
      <w:r w:rsidRPr="008F03E5">
        <w:tab/>
        <w:t>Waswásí</w:t>
      </w:r>
      <w:r w:rsidRPr="008F03E5">
        <w:tab/>
        <w:t>doubtful, distracting; apprehensive; melancholy, morbid</w:t>
      </w:r>
    </w:p>
    <w:p w14:paraId="65C343D8" w14:textId="77777777" w:rsidR="00625A5B" w:rsidRPr="008F03E5" w:rsidRDefault="00625A5B" w:rsidP="00B17B24">
      <w:pPr>
        <w:pStyle w:val="Translit"/>
      </w:pPr>
      <w:r w:rsidRPr="008F03E5">
        <w:t>Watad, Watid, Awtad</w:t>
      </w:r>
      <w:r w:rsidRPr="008F03E5">
        <w:tab/>
        <w:t>Watad, Watid, pl. Awtád</w:t>
      </w:r>
      <w:r w:rsidRPr="008F03E5">
        <w:tab/>
        <w:t>peg, pin; tent pin, tent peg; stake, pole</w:t>
      </w:r>
    </w:p>
    <w:p w14:paraId="0F0EA0FF" w14:textId="77777777" w:rsidR="00625A5B" w:rsidRPr="008F03E5" w:rsidRDefault="00625A5B" w:rsidP="00C07646">
      <w:pPr>
        <w:pStyle w:val="Translit"/>
      </w:pPr>
      <w:r w:rsidRPr="008F03E5">
        <w:t>Watan (Vatan), Autan</w:t>
      </w:r>
      <w:r w:rsidRPr="008F03E5">
        <w:tab/>
        <w:t>Waṭan, pl. Auṭán</w:t>
      </w:r>
      <w:r w:rsidRPr="008F03E5">
        <w:tab/>
        <w:t>homeland, home country, fatherland; home.  Modern meaning nation.  Bahrám Kay</w:t>
      </w:r>
      <w:r w:rsidRPr="008F03E5">
        <w:rPr>
          <w:u w:val="single"/>
        </w:rPr>
        <w:t>kh</w:t>
      </w:r>
      <w:r w:rsidRPr="008F03E5">
        <w:t>usraw Vaṭan</w:t>
      </w:r>
      <w:r w:rsidRPr="008F03E5">
        <w:rPr>
          <w:u w:val="single"/>
        </w:rPr>
        <w:t>kh</w:t>
      </w:r>
      <w:r w:rsidRPr="008F03E5">
        <w:t>áh, an Indian Bahá’í.</w:t>
      </w:r>
    </w:p>
    <w:p w14:paraId="3F42FCDA" w14:textId="77777777" w:rsidR="00625A5B" w:rsidRPr="008F03E5" w:rsidRDefault="00625A5B" w:rsidP="0026157C">
      <w:pPr>
        <w:pStyle w:val="Translit"/>
      </w:pPr>
      <w:r w:rsidRPr="008F03E5">
        <w:t>Watani, Wataniyun</w:t>
      </w:r>
      <w:r w:rsidRPr="008F03E5">
        <w:tab/>
        <w:t>Waṭaní, pl. Waṭaníyún</w:t>
      </w:r>
      <w:r w:rsidRPr="008F03E5">
        <w:tab/>
        <w:t>home; native; indigenous, domestic; patriotic; national; nationalistic;—pl. nationalist, patriot</w:t>
      </w:r>
    </w:p>
    <w:p w14:paraId="07EB031A" w14:textId="77777777" w:rsidR="00625A5B" w:rsidRPr="008F03E5" w:rsidRDefault="00625A5B" w:rsidP="0026157C">
      <w:pPr>
        <w:pStyle w:val="Translit"/>
      </w:pPr>
      <w:r w:rsidRPr="008F03E5">
        <w:t>Wathiqa, Yathiqu, Thiqa, Wuthuq</w:t>
      </w:r>
      <w:r w:rsidRPr="008F03E5">
        <w:tab/>
        <w:t>Wa</w:t>
      </w:r>
      <w:r w:rsidRPr="008F03E5">
        <w:rPr>
          <w:u w:val="single"/>
        </w:rPr>
        <w:t>th</w:t>
      </w:r>
      <w:r w:rsidRPr="008F03E5">
        <w:t>iqa, Ya</w:t>
      </w:r>
      <w:r w:rsidRPr="008F03E5">
        <w:rPr>
          <w:u w:val="single"/>
        </w:rPr>
        <w:t>th</w:t>
      </w:r>
      <w:r w:rsidRPr="008F03E5">
        <w:t>iqu (</w:t>
      </w:r>
      <w:r w:rsidRPr="008F03E5">
        <w:rPr>
          <w:u w:val="single"/>
        </w:rPr>
        <w:t>Th</w:t>
      </w:r>
      <w:r w:rsidRPr="008F03E5">
        <w:t>iqa, Wuthúq)</w:t>
      </w:r>
      <w:r w:rsidRPr="008F03E5">
        <w:tab/>
        <w:t>to place one’s confidence, put faith (in) rely, depend (on)</w:t>
      </w:r>
    </w:p>
    <w:p w14:paraId="5DE2AFFF" w14:textId="77777777" w:rsidR="00625A5B" w:rsidRPr="008F03E5" w:rsidRDefault="00625A5B" w:rsidP="00E74C3F">
      <w:pPr>
        <w:pStyle w:val="Translit"/>
      </w:pPr>
      <w:r w:rsidRPr="008F03E5">
        <w:t>Waw, Vav</w:t>
      </w:r>
      <w:r w:rsidRPr="008F03E5">
        <w:tab/>
        <w:t>Wáw, Pers. Váv</w:t>
      </w:r>
      <w:r w:rsidRPr="008F03E5">
        <w:tab/>
        <w:t>letter of alphabet</w:t>
      </w:r>
    </w:p>
    <w:p w14:paraId="5C86A247" w14:textId="77777777" w:rsidR="00625A5B" w:rsidRPr="008F03E5" w:rsidRDefault="00625A5B" w:rsidP="0023357F">
      <w:pPr>
        <w:pStyle w:val="Translit"/>
      </w:pPr>
      <w:r w:rsidRPr="008F03E5">
        <w:t>Wayl (Wail)</w:t>
      </w:r>
      <w:r w:rsidRPr="008F03E5">
        <w:tab/>
        <w:t>Wayl</w:t>
      </w:r>
      <w:r w:rsidRPr="008F03E5">
        <w:tab/>
        <w:t>affliction, distress, woe</w:t>
      </w:r>
    </w:p>
    <w:p w14:paraId="340C5310" w14:textId="77777777" w:rsidR="00625A5B" w:rsidRPr="008F03E5" w:rsidRDefault="00625A5B" w:rsidP="00E5143F">
      <w:pPr>
        <w:pStyle w:val="Translit"/>
      </w:pPr>
      <w:r w:rsidRPr="008F03E5">
        <w:t>Waz, Vaz</w:t>
      </w:r>
      <w:r w:rsidRPr="008F03E5">
        <w:tab/>
        <w:t>Wáz, (Váz)</w:t>
      </w:r>
      <w:r w:rsidRPr="008F03E5">
        <w:tab/>
        <w:t xml:space="preserve">Pers. a desisting, giving over, suspending, relinquishing, letting alone, abandoning, deserting, renouncing, taking no care of.  Small villages (lower and upper):  1.  Wáz-i-‘Ulyá, also known as Váz-i-Bálá or Váz Bálá (upper Váz), 26 km </w:t>
      </w:r>
      <w:r w:rsidRPr="008F03E5">
        <w:rPr>
          <w:sz w:val="16"/>
          <w:szCs w:val="16"/>
        </w:rPr>
        <w:t>SW</w:t>
      </w:r>
      <w:r w:rsidRPr="008F03E5">
        <w:t xml:space="preserve"> of Ámul (36.326665, 52.123731).  2.  Váz-i-Suflá; also known as Váz, Váz-i-Pá’ín, Váz Pá’ín, and Wáz (lower Váz) is a village 2 km </w:t>
      </w:r>
      <w:r w:rsidRPr="008F03E5">
        <w:rPr>
          <w:sz w:val="16"/>
          <w:szCs w:val="16"/>
        </w:rPr>
        <w:t>NW</w:t>
      </w:r>
      <w:r w:rsidRPr="008F03E5">
        <w:t xml:space="preserve"> of Váz-i-‘Ulyá (36.342218, 52.108247).</w:t>
      </w:r>
    </w:p>
    <w:p w14:paraId="57DB5B69" w14:textId="77777777" w:rsidR="00625A5B" w:rsidRPr="008F03E5" w:rsidRDefault="00625A5B" w:rsidP="005C19E1">
      <w:pPr>
        <w:pStyle w:val="Translit"/>
      </w:pPr>
      <w:r w:rsidRPr="008F03E5">
        <w:t xml:space="preserve">Wazara, </w:t>
      </w:r>
      <w:r>
        <w:t>Y</w:t>
      </w:r>
      <w:r w:rsidRPr="008F03E5">
        <w:t>aziru</w:t>
      </w:r>
      <w:r w:rsidRPr="008F03E5">
        <w:tab/>
        <w:t>Wazara, Yaziru</w:t>
      </w:r>
      <w:r w:rsidRPr="008F03E5">
        <w:tab/>
        <w:t>(wizr) to take upon oneself, carry (a burden)</w:t>
      </w:r>
    </w:p>
    <w:p w14:paraId="154EB9BE" w14:textId="77777777" w:rsidR="00625A5B" w:rsidRPr="008F03E5" w:rsidRDefault="00625A5B" w:rsidP="00DA1502">
      <w:pPr>
        <w:pStyle w:val="Translit"/>
      </w:pPr>
      <w:r w:rsidRPr="008F03E5">
        <w:t>Wazir (Vazir), Wuzara’</w:t>
      </w:r>
      <w:r w:rsidRPr="008F03E5">
        <w:tab/>
        <w:t xml:space="preserve">Wazír (Pers. also Vazír), pl. </w:t>
      </w:r>
      <w:r w:rsidRPr="001457C8">
        <w:rPr>
          <w:lang w:val="de-DE"/>
        </w:rPr>
        <w:t>Wuzará’</w:t>
      </w:r>
      <w:r w:rsidRPr="001457C8">
        <w:rPr>
          <w:lang w:val="de-DE"/>
        </w:rPr>
        <w:tab/>
        <w:t xml:space="preserve">(cabinet) minister; vizier; queen (in chess).  </w:t>
      </w:r>
      <w:r w:rsidRPr="008F03E5">
        <w:t>From wazara (to carry a heavy burden).</w:t>
      </w:r>
    </w:p>
    <w:p w14:paraId="08386566" w14:textId="77777777" w:rsidR="00625A5B" w:rsidRPr="007F0C1F" w:rsidRDefault="00625A5B" w:rsidP="007F0C1F">
      <w:pPr>
        <w:pStyle w:val="Translit"/>
        <w:rPr>
          <w:lang w:val="en-AU"/>
        </w:rPr>
      </w:pPr>
      <w:r w:rsidRPr="007F0C1F">
        <w:rPr>
          <w:lang w:val="en-AU"/>
        </w:rPr>
        <w:t>Wazír-i-A‘ẓam</w:t>
      </w:r>
      <w:r w:rsidRPr="007F0C1F">
        <w:rPr>
          <w:lang w:val="en-AU"/>
        </w:rPr>
        <w:tab/>
        <w:t>Wazír-i-A‘ẓam</w:t>
      </w:r>
      <w:r w:rsidRPr="007F0C1F">
        <w:rPr>
          <w:lang w:val="en-AU"/>
        </w:rPr>
        <w:tab/>
      </w:r>
      <w:r w:rsidRPr="00FB2AD0">
        <w:t>“the</w:t>
      </w:r>
      <w:r>
        <w:t xml:space="preserve"> </w:t>
      </w:r>
      <w:r w:rsidRPr="00FB2AD0">
        <w:t>Grand</w:t>
      </w:r>
      <w:r>
        <w:t xml:space="preserve"> </w:t>
      </w:r>
      <w:r w:rsidRPr="00FB2AD0">
        <w:t>Vizier”</w:t>
      </w:r>
      <w:r>
        <w:t xml:space="preserve"> </w:t>
      </w:r>
      <w:r w:rsidRPr="00FB2AD0">
        <w:t>or</w:t>
      </w:r>
      <w:r>
        <w:t xml:space="preserve"> </w:t>
      </w:r>
      <w:r w:rsidRPr="00FB2AD0">
        <w:t>“the</w:t>
      </w:r>
      <w:r>
        <w:t xml:space="preserve"> </w:t>
      </w:r>
      <w:r w:rsidRPr="00FB2AD0">
        <w:t>Prime</w:t>
      </w:r>
      <w:r>
        <w:t xml:space="preserve"> </w:t>
      </w:r>
      <w:r w:rsidRPr="00FB2AD0">
        <w:t>Minister”.</w:t>
      </w:r>
      <w:r>
        <w:t xml:space="preserve">  A </w:t>
      </w:r>
      <w:r w:rsidRPr="00FB2AD0">
        <w:t>high-ranking</w:t>
      </w:r>
      <w:r>
        <w:t xml:space="preserve"> </w:t>
      </w:r>
      <w:r w:rsidRPr="00FB2AD0">
        <w:t>political</w:t>
      </w:r>
      <w:r>
        <w:t xml:space="preserve"> </w:t>
      </w:r>
      <w:r w:rsidRPr="00FB2AD0">
        <w:t>position</w:t>
      </w:r>
      <w:r>
        <w:t xml:space="preserve"> </w:t>
      </w:r>
      <w:r w:rsidRPr="00FB2AD0">
        <w:t>in</w:t>
      </w:r>
      <w:r>
        <w:t xml:space="preserve"> </w:t>
      </w:r>
      <w:r w:rsidRPr="00FB2AD0">
        <w:t>the</w:t>
      </w:r>
      <w:r>
        <w:t xml:space="preserve"> </w:t>
      </w:r>
      <w:r w:rsidRPr="00FB2AD0">
        <w:t>Ottoman</w:t>
      </w:r>
      <w:r>
        <w:t xml:space="preserve"> </w:t>
      </w:r>
      <w:r w:rsidRPr="00FB2AD0">
        <w:t>Empire</w:t>
      </w:r>
      <w:r>
        <w:t xml:space="preserve"> </w:t>
      </w:r>
      <w:r w:rsidRPr="00FB2AD0">
        <w:t>and</w:t>
      </w:r>
      <w:r>
        <w:t xml:space="preserve"> </w:t>
      </w:r>
      <w:r w:rsidRPr="00FB2AD0">
        <w:t>other</w:t>
      </w:r>
      <w:r>
        <w:t xml:space="preserve"> </w:t>
      </w:r>
      <w:r w:rsidRPr="00FB2AD0">
        <w:t>Islamic</w:t>
      </w:r>
      <w:r>
        <w:t xml:space="preserve"> </w:t>
      </w:r>
      <w:r w:rsidRPr="00FB2AD0">
        <w:t>states.</w:t>
      </w:r>
      <w:r>
        <w:t xml:space="preserve">  </w:t>
      </w:r>
      <w:r w:rsidRPr="00FB2AD0">
        <w:t>The</w:t>
      </w:r>
      <w:r>
        <w:t xml:space="preserve"> </w:t>
      </w:r>
      <w:r w:rsidRPr="00FB2AD0">
        <w:t>Grand</w:t>
      </w:r>
      <w:r>
        <w:t xml:space="preserve"> </w:t>
      </w:r>
      <w:r w:rsidRPr="00FB2AD0">
        <w:t>Vizier</w:t>
      </w:r>
      <w:r>
        <w:t xml:space="preserve"> </w:t>
      </w:r>
      <w:r w:rsidRPr="00FB2AD0">
        <w:t>was</w:t>
      </w:r>
      <w:r>
        <w:t xml:space="preserve"> </w:t>
      </w:r>
      <w:r w:rsidRPr="00FB2AD0">
        <w:t>the</w:t>
      </w:r>
      <w:r>
        <w:t xml:space="preserve"> </w:t>
      </w:r>
      <w:r w:rsidRPr="00FB2AD0">
        <w:t>chief</w:t>
      </w:r>
      <w:r>
        <w:t xml:space="preserve"> </w:t>
      </w:r>
      <w:r w:rsidRPr="00FB2AD0">
        <w:t>minister</w:t>
      </w:r>
      <w:r>
        <w:t xml:space="preserve"> </w:t>
      </w:r>
      <w:r w:rsidRPr="00FB2AD0">
        <w:t>of</w:t>
      </w:r>
      <w:r>
        <w:t xml:space="preserve"> </w:t>
      </w:r>
      <w:r w:rsidRPr="00FB2AD0">
        <w:t>the</w:t>
      </w:r>
      <w:r>
        <w:t xml:space="preserve"> </w:t>
      </w:r>
      <w:r w:rsidRPr="00FB2AD0">
        <w:t>Sul</w:t>
      </w:r>
      <w:r w:rsidRPr="007F0C1F">
        <w:t>ṭá</w:t>
      </w:r>
      <w:r w:rsidRPr="00FB2AD0">
        <w:t>n</w:t>
      </w:r>
      <w:r>
        <w:t xml:space="preserve"> </w:t>
      </w:r>
      <w:r w:rsidRPr="00FB2AD0">
        <w:t>and</w:t>
      </w:r>
      <w:r>
        <w:t xml:space="preserve"> </w:t>
      </w:r>
      <w:r w:rsidRPr="00FB2AD0">
        <w:t>was</w:t>
      </w:r>
      <w:r>
        <w:t xml:space="preserve"> </w:t>
      </w:r>
      <w:r w:rsidRPr="00FB2AD0">
        <w:t>responsible</w:t>
      </w:r>
      <w:r>
        <w:t xml:space="preserve"> </w:t>
      </w:r>
      <w:r w:rsidRPr="00FB2AD0">
        <w:t>for</w:t>
      </w:r>
      <w:r>
        <w:t xml:space="preserve"> </w:t>
      </w:r>
      <w:r w:rsidRPr="00FB2AD0">
        <w:t>the</w:t>
      </w:r>
      <w:r>
        <w:t xml:space="preserve"> </w:t>
      </w:r>
      <w:r w:rsidRPr="00FB2AD0">
        <w:t>administration</w:t>
      </w:r>
      <w:r>
        <w:t xml:space="preserve"> </w:t>
      </w:r>
      <w:r w:rsidRPr="00FB2AD0">
        <w:t>of</w:t>
      </w:r>
      <w:r>
        <w:t xml:space="preserve"> </w:t>
      </w:r>
      <w:r w:rsidRPr="00FB2AD0">
        <w:t>the</w:t>
      </w:r>
      <w:r>
        <w:t xml:space="preserve"> </w:t>
      </w:r>
      <w:r w:rsidRPr="00FB2AD0">
        <w:t>state.</w:t>
      </w:r>
      <w:r>
        <w:t xml:space="preserve">  </w:t>
      </w:r>
      <w:r w:rsidRPr="00FB2AD0">
        <w:t>The</w:t>
      </w:r>
      <w:r>
        <w:t xml:space="preserve"> </w:t>
      </w:r>
      <w:r w:rsidRPr="00FB2AD0">
        <w:t>position</w:t>
      </w:r>
      <w:r>
        <w:t xml:space="preserve"> </w:t>
      </w:r>
      <w:r w:rsidRPr="00FB2AD0">
        <w:t>was</w:t>
      </w:r>
      <w:r>
        <w:t xml:space="preserve"> </w:t>
      </w:r>
      <w:r w:rsidRPr="00FB2AD0">
        <w:t>abolished</w:t>
      </w:r>
      <w:r>
        <w:t xml:space="preserve"> following the </w:t>
      </w:r>
      <w:r w:rsidRPr="008F03E5">
        <w:t>dissolution of the Ottoman Empire</w:t>
      </w:r>
      <w:r w:rsidRPr="00FB2AD0">
        <w:t xml:space="preserve"> in</w:t>
      </w:r>
      <w:r>
        <w:t xml:space="preserve"> </w:t>
      </w:r>
      <w:r w:rsidRPr="00FB2AD0">
        <w:t>192</w:t>
      </w:r>
      <w:r>
        <w:t>3</w:t>
      </w:r>
      <w:r w:rsidRPr="00FB2AD0">
        <w:t>.</w:t>
      </w:r>
      <w:r>
        <w:t xml:space="preserve">  </w:t>
      </w:r>
      <w:r w:rsidRPr="007F0C1F">
        <w:rPr>
          <w:lang w:val="en-AU"/>
        </w:rPr>
        <w:t>See aṣ-Ṣadr al-A‘ẓam.</w:t>
      </w:r>
    </w:p>
    <w:p w14:paraId="7696B672" w14:textId="77777777" w:rsidR="00625A5B" w:rsidRPr="008F03E5" w:rsidRDefault="00625A5B" w:rsidP="00772864">
      <w:pPr>
        <w:pStyle w:val="Translit"/>
      </w:pPr>
      <w:r w:rsidRPr="008F03E5">
        <w:t>Wijdan (Vijdan, Wajdan)</w:t>
      </w:r>
      <w:r w:rsidRPr="008F03E5">
        <w:tab/>
        <w:t>Wijdán</w:t>
      </w:r>
      <w:r w:rsidRPr="008F03E5">
        <w:tab/>
        <w:t>passionate excitement; ecstasy; emotional life, psychic forces; feeling, sentiment</w:t>
      </w:r>
    </w:p>
    <w:p w14:paraId="0EE21CB1" w14:textId="77777777" w:rsidR="00625A5B" w:rsidRPr="008F03E5" w:rsidRDefault="00625A5B" w:rsidP="00772864">
      <w:pPr>
        <w:pStyle w:val="Translit"/>
      </w:pPr>
      <w:r w:rsidRPr="008F03E5">
        <w:t>Wijdani (Wujdani, Vijdani)</w:t>
      </w:r>
      <w:r w:rsidRPr="008F03E5">
        <w:tab/>
        <w:t>Wijdání</w:t>
      </w:r>
      <w:r w:rsidRPr="008F03E5">
        <w:tab/>
        <w:t xml:space="preserve">emotional; psychic, mental; sentimental.  Mírzá Yúsuf </w:t>
      </w:r>
      <w:r w:rsidRPr="008F03E5">
        <w:rPr>
          <w:u w:val="single"/>
        </w:rPr>
        <w:t>Kh</w:t>
      </w:r>
      <w:r w:rsidRPr="008F03E5">
        <w:t>án-i-</w:t>
      </w:r>
      <w:r w:rsidRPr="008F03E5">
        <w:rPr>
          <w:u w:val="single"/>
        </w:rPr>
        <w:t>Th</w:t>
      </w:r>
      <w:r w:rsidRPr="008F03E5">
        <w:t>ábit Vujdání.</w:t>
      </w:r>
    </w:p>
    <w:p w14:paraId="13736DB9" w14:textId="77777777" w:rsidR="00625A5B" w:rsidRPr="008F03E5" w:rsidRDefault="00625A5B" w:rsidP="00185B88">
      <w:pPr>
        <w:pStyle w:val="Translit"/>
      </w:pPr>
      <w:r w:rsidRPr="008F03E5">
        <w:t>Wilashahr (Vilashahr), Wila Shahr</w:t>
      </w:r>
      <w:r w:rsidRPr="008F03E5">
        <w:tab/>
        <w:t>Wílá</w:t>
      </w:r>
      <w:r w:rsidRPr="008F03E5">
        <w:rPr>
          <w:u w:val="single"/>
        </w:rPr>
        <w:t>sh</w:t>
      </w:r>
      <w:r w:rsidRPr="008F03E5">
        <w:t xml:space="preserve">ahr or Wílá </w:t>
      </w:r>
      <w:r w:rsidRPr="008F03E5">
        <w:rPr>
          <w:u w:val="single"/>
        </w:rPr>
        <w:t>Sh</w:t>
      </w:r>
      <w:r w:rsidRPr="008F03E5">
        <w:t>ahr</w:t>
      </w:r>
      <w:r w:rsidRPr="008F03E5">
        <w:tab/>
        <w:t>Pers. (Vílá</w:t>
      </w:r>
      <w:r w:rsidRPr="008F03E5">
        <w:rPr>
          <w:u w:val="single"/>
        </w:rPr>
        <w:t>sh</w:t>
      </w:r>
      <w:r w:rsidRPr="008F03E5">
        <w:t xml:space="preserve">ahr or Vílá </w:t>
      </w:r>
      <w:r w:rsidRPr="008F03E5">
        <w:rPr>
          <w:u w:val="single"/>
        </w:rPr>
        <w:t>Sh</w:t>
      </w:r>
      <w:r w:rsidRPr="008F03E5">
        <w:t xml:space="preserve">ahr) a small town in Iran, located in the rural area of Iṣfahán (city) and in 5 km </w:t>
      </w:r>
      <w:r w:rsidRPr="008F03E5">
        <w:rPr>
          <w:sz w:val="16"/>
          <w:szCs w:val="16"/>
        </w:rPr>
        <w:t>NE</w:t>
      </w:r>
      <w:r w:rsidRPr="008F03E5">
        <w:t xml:space="preserve"> of Najafábád.</w:t>
      </w:r>
    </w:p>
    <w:p w14:paraId="4E450741" w14:textId="77777777" w:rsidR="00625A5B" w:rsidRPr="008F03E5" w:rsidRDefault="00625A5B" w:rsidP="00B621CC">
      <w:pPr>
        <w:pStyle w:val="Translit"/>
      </w:pPr>
      <w:r w:rsidRPr="008F03E5">
        <w:t>Wilaya, Vilayat, Wilayat</w:t>
      </w:r>
      <w:r w:rsidRPr="008F03E5">
        <w:tab/>
        <w:t>Wiláya[t], pl. Wiláyát</w:t>
      </w:r>
      <w:r w:rsidRPr="008F03E5">
        <w:tab/>
        <w:t>sovereign power, sovereignty; rule, government;—pl. administrative district headed by a walí (formerly, under the Ottoman Empire), province; state.  The range of meanings include:  “vicegerency”, “guardianship”, “protectorship” and “successorship”.</w:t>
      </w:r>
    </w:p>
    <w:p w14:paraId="49343988" w14:textId="77777777" w:rsidR="00625A5B" w:rsidRPr="008F03E5" w:rsidRDefault="00625A5B" w:rsidP="00806AFE">
      <w:pPr>
        <w:pStyle w:val="Translit"/>
      </w:pPr>
      <w:r w:rsidRPr="008F03E5">
        <w:t>Wilayat al-Faqih, Vilayat-i-Faqih</w:t>
      </w:r>
      <w:r w:rsidRPr="008F03E5">
        <w:tab/>
        <w:t>Wiláyat al-Faqíh (Pers. Viláyat-i-Faqíh)</w:t>
      </w:r>
      <w:r w:rsidRPr="008F03E5">
        <w:tab/>
        <w:t xml:space="preserve">The “Guardianship of the Islamic Jurist” or the “Governance of the Jurist”, is a theory in </w:t>
      </w:r>
      <w:r w:rsidRPr="008F03E5">
        <w:rPr>
          <w:u w:val="single"/>
        </w:rPr>
        <w:t>Sh</w:t>
      </w:r>
      <w:r w:rsidRPr="008F03E5">
        <w:t>í‘a Islam that believes Islam gives a faqíh (Islamic jurist) custodianship over people, i.e. that government belongs by right to those who are learned in jurisprudence.  The constitution of Iran calls for a faqíh or wiláyat al-faqíh (Guardian Jurist) to serve as the Supreme Leader of the government.  In the context of Iran, wiláyat al-faqíh is often referred to as “rule by the jurisprudent” or “rule of the Islamic jurist”.</w:t>
      </w:r>
    </w:p>
    <w:p w14:paraId="738FE5FA" w14:textId="77777777" w:rsidR="00625A5B" w:rsidRPr="008F03E5" w:rsidRDefault="00625A5B" w:rsidP="005816A7">
      <w:pPr>
        <w:pStyle w:val="Translit"/>
      </w:pPr>
      <w:r w:rsidRPr="008F03E5">
        <w:t>Wilhelm</w:t>
      </w:r>
      <w:r w:rsidRPr="008F03E5">
        <w:tab/>
        <w:t>Wilhelm</w:t>
      </w:r>
      <w:r w:rsidRPr="008F03E5">
        <w:tab/>
        <w:t>Roy C. Wilhelm (1875–1951)  He initiated and sustained one of the earliest efforts (early 1900s) to make printed compilations of sacred texts more widely available—tiny blue ‘No. 9’ pamphlets.</w:t>
      </w:r>
    </w:p>
    <w:p w14:paraId="7276A446" w14:textId="77777777" w:rsidR="00625A5B" w:rsidRPr="008F03E5" w:rsidRDefault="00625A5B" w:rsidP="004B027B">
      <w:pPr>
        <w:pStyle w:val="Translit"/>
      </w:pPr>
      <w:r w:rsidRPr="001457C8">
        <w:rPr>
          <w:lang w:val="de-DE"/>
        </w:rPr>
        <w:t>Wird (Vird), Aurad</w:t>
      </w:r>
      <w:r w:rsidRPr="001457C8">
        <w:rPr>
          <w:lang w:val="de-DE"/>
        </w:rPr>
        <w:tab/>
        <w:t xml:space="preserve">Wird, pl. </w:t>
      </w:r>
      <w:r w:rsidRPr="008F03E5">
        <w:t>Aurád</w:t>
      </w:r>
      <w:r w:rsidRPr="008F03E5">
        <w:tab/>
        <w:t>watering place; animals coming to the water; (pl.) specified time of day or night devoted to private worship (in addition to the five prescribed prayers); a section of the Qur’án recited on this occasion</w:t>
      </w:r>
    </w:p>
    <w:p w14:paraId="4C890664" w14:textId="77777777" w:rsidR="00625A5B" w:rsidRPr="008F03E5" w:rsidRDefault="00625A5B" w:rsidP="00E1569B">
      <w:pPr>
        <w:pStyle w:val="Translit"/>
      </w:pPr>
      <w:r w:rsidRPr="008F03E5">
        <w:t>Wirdi (Virdi)</w:t>
      </w:r>
      <w:r w:rsidRPr="008F03E5">
        <w:tab/>
        <w:t>Wirdí (Virdí)</w:t>
      </w:r>
      <w:r w:rsidRPr="008F03E5">
        <w:tab/>
        <w:t>Pers. given, bestowed</w:t>
      </w:r>
    </w:p>
    <w:p w14:paraId="3FC718FF" w14:textId="77777777" w:rsidR="00625A5B" w:rsidRPr="008F03E5" w:rsidRDefault="00625A5B" w:rsidP="005E68CC">
      <w:pPr>
        <w:pStyle w:val="Translit"/>
      </w:pPr>
      <w:r w:rsidRPr="008F03E5">
        <w:t>Wisal (Visal)</w:t>
      </w:r>
      <w:r w:rsidRPr="008F03E5">
        <w:tab/>
        <w:t>Wiṣál</w:t>
      </w:r>
      <w:r w:rsidRPr="008F03E5">
        <w:tab/>
        <w:t>reunion, being together (of lovers); communion (in love); being united in friendship, society, or confederacy; doing (anything) without interruption; meeting, interview, conjunction, arrival, attainment, fruition.</w:t>
      </w:r>
    </w:p>
    <w:p w14:paraId="5416D357" w14:textId="77777777" w:rsidR="00625A5B" w:rsidRPr="008F03E5" w:rsidRDefault="00625A5B" w:rsidP="005E68CC">
      <w:pPr>
        <w:pStyle w:val="Translit"/>
      </w:pPr>
      <w:r w:rsidRPr="008F03E5">
        <w:t>Wisaya</w:t>
      </w:r>
      <w:r w:rsidRPr="008F03E5">
        <w:tab/>
        <w:t>Wiṣáya</w:t>
      </w:r>
      <w:r w:rsidRPr="008F03E5">
        <w:tab/>
        <w:t>guardianship, curatorship, tutorship; executorships; tutelage; mandate (politics); trusteeship</w:t>
      </w:r>
    </w:p>
    <w:p w14:paraId="0AB68F3E" w14:textId="77777777" w:rsidR="00625A5B" w:rsidRPr="008F03E5" w:rsidRDefault="00625A5B" w:rsidP="00BF79AA">
      <w:pPr>
        <w:pStyle w:val="Translit"/>
      </w:pPr>
      <w:r w:rsidRPr="008F03E5">
        <w:t>Worlds</w:t>
      </w:r>
      <w:r>
        <w:t xml:space="preserve"> (Zaman, Dahr, Sarmad, Azal)</w:t>
      </w:r>
      <w:r w:rsidRPr="008F03E5">
        <w:tab/>
        <w:t>Worlds</w:t>
      </w:r>
      <w:r>
        <w:t xml:space="preserve"> (Zam</w:t>
      </w:r>
      <w:r w:rsidRPr="00BF79AA">
        <w:t>á</w:t>
      </w:r>
      <w:r>
        <w:t>n, Dahr, Sarmad, Azal)</w:t>
      </w:r>
      <w:r w:rsidRPr="008F03E5">
        <w:tab/>
        <w:t>zamán [world of time having a beginning and end]; dahr [world of duration having a beginning but whose end is not revealed]; sarmad [world of perpetuity whose beginning is not to be seen but which is known to have an end]; and azal [world of eternity where neither the beginning nor end of which is visible]</w:t>
      </w:r>
      <w:r>
        <w:t xml:space="preserve">. </w:t>
      </w:r>
      <w:r w:rsidRPr="008F03E5">
        <w:t>(</w:t>
      </w:r>
      <w:r w:rsidRPr="00BF79AA">
        <w:rPr>
          <w:i/>
          <w:iCs/>
        </w:rPr>
        <w:t>Logos and Civilization</w:t>
      </w:r>
      <w:r w:rsidRPr="008F03E5">
        <w:t>, p. 96.)</w:t>
      </w:r>
    </w:p>
    <w:p w14:paraId="18A200D0" w14:textId="77777777" w:rsidR="00625A5B" w:rsidRPr="002356F5" w:rsidRDefault="00625A5B" w:rsidP="002036C0">
      <w:pPr>
        <w:pStyle w:val="Translit"/>
      </w:pPr>
      <w:r w:rsidRPr="002356F5">
        <w:t>W-R-Q</w:t>
      </w:r>
      <w:r w:rsidRPr="002356F5">
        <w:tab/>
        <w:t>W-R-Q</w:t>
      </w:r>
      <w:r w:rsidRPr="002356F5">
        <w:tab/>
        <w:t xml:space="preserve">root Form </w:t>
      </w:r>
      <w:r w:rsidRPr="004003CC">
        <w:rPr>
          <w:sz w:val="16"/>
          <w:szCs w:val="16"/>
        </w:rPr>
        <w:t>II</w:t>
      </w:r>
      <w:r w:rsidRPr="002356F5">
        <w:t xml:space="preserve"> </w:t>
      </w:r>
      <w:r>
        <w:t>t</w:t>
      </w:r>
      <w:r w:rsidRPr="002036C0">
        <w:t>o leaf, burst into leaf, put forth leaves, sprout; to leaf, thumb (a book); to paper (a wall)</w:t>
      </w:r>
      <w:r>
        <w:t>;</w:t>
      </w:r>
      <w:r w:rsidRPr="002036C0">
        <w:t xml:space="preserve"> </w:t>
      </w:r>
      <w:r>
        <w:t xml:space="preserve">Form </w:t>
      </w:r>
      <w:r w:rsidRPr="002036C0">
        <w:t>IV to leaf, burst into leaf, put forth leaves, sprout</w:t>
      </w:r>
      <w:r>
        <w:t>.  See waraq.</w:t>
      </w:r>
    </w:p>
    <w:p w14:paraId="1A05E363" w14:textId="77777777" w:rsidR="00625A5B" w:rsidRPr="008F03E5" w:rsidRDefault="00625A5B" w:rsidP="009226B2">
      <w:pPr>
        <w:pStyle w:val="Translit"/>
      </w:pPr>
      <w:r w:rsidRPr="008F03E5">
        <w:t>Wudu’</w:t>
      </w:r>
      <w:r w:rsidRPr="008F03E5">
        <w:tab/>
        <w:t>Wuḍú’</w:t>
      </w:r>
      <w:r w:rsidRPr="008F03E5">
        <w:tab/>
        <w:t>purity, cleanness, cleanliness; ritual ablution before prayer</w:t>
      </w:r>
    </w:p>
    <w:p w14:paraId="6EF10CCD" w14:textId="77777777" w:rsidR="00625A5B" w:rsidRPr="008F03E5" w:rsidRDefault="00625A5B" w:rsidP="00E1081B">
      <w:pPr>
        <w:pStyle w:val="Translit"/>
      </w:pPr>
      <w:r w:rsidRPr="008F03E5">
        <w:t>Wujud (Vujud)</w:t>
      </w:r>
      <w:r w:rsidRPr="008F03E5">
        <w:tab/>
        <w:t>Wujúd</w:t>
      </w:r>
      <w:r w:rsidRPr="008F03E5">
        <w:tab/>
        <w:t>finding, discovery; being; existence; presence; whereabouts; stay, visit.  The Imams defined three categories of existence:  1.  Necessary existence(wájib al-wújud), which defines the existence of Alláh (God).  God exists independently through Himself and His existence is necessary for the existence of all other things.  None of His creation share in His existence.  This category of being the Sufis describe as “oneness of being” (waḥdat al-ẃujud).  2.  Contingent existence (al-wújud al-mumkin).  This defines the existence of created things that may or may not exist.  Created things have no independent being and their existence is not necessary.  God created them through His will, power and knowledge, and if He willed they would have no existence.  3.  Impossible being (mustaḥíl al-wújud), which includes the existence of a co-sharer in God’s entity, attributes or actions.</w:t>
      </w:r>
    </w:p>
    <w:p w14:paraId="30850B63" w14:textId="77777777" w:rsidR="00625A5B" w:rsidRPr="00077779" w:rsidRDefault="00625A5B" w:rsidP="00915CFC">
      <w:pPr>
        <w:pStyle w:val="Translit"/>
        <w:rPr>
          <w:lang w:val="es-ES_tradnl"/>
        </w:rPr>
      </w:pPr>
      <w:r w:rsidRPr="00077779">
        <w:rPr>
          <w:lang w:val="es-ES_tradnl"/>
        </w:rPr>
        <w:t>Wujud al-Mumkin</w:t>
      </w:r>
      <w:r w:rsidRPr="00077779">
        <w:rPr>
          <w:lang w:val="es-ES_tradnl"/>
        </w:rPr>
        <w:tab/>
        <w:t>al-Wujúd al-Mumkin</w:t>
      </w:r>
      <w:r w:rsidRPr="00077779">
        <w:rPr>
          <w:lang w:val="es-ES_tradnl"/>
        </w:rPr>
        <w:tab/>
        <w:t>contingent existence</w:t>
      </w:r>
    </w:p>
    <w:p w14:paraId="7B1292A1" w14:textId="77777777" w:rsidR="00625A5B" w:rsidRPr="008F03E5" w:rsidRDefault="00625A5B" w:rsidP="00E1081B">
      <w:pPr>
        <w:pStyle w:val="Translit"/>
      </w:pPr>
      <w:r w:rsidRPr="008F03E5">
        <w:t>Wujudiyah (Wujudiyyah)</w:t>
      </w:r>
      <w:r w:rsidRPr="008F03E5">
        <w:tab/>
        <w:t>Wujúdíya[h]</w:t>
      </w:r>
      <w:r w:rsidRPr="008F03E5">
        <w:tab/>
        <w:t>Islamic school of mystical philosophy, a form of pantheism:  God exists in everything, but not everything is God.</w:t>
      </w:r>
    </w:p>
    <w:p w14:paraId="12901723" w14:textId="77777777" w:rsidR="00625A5B" w:rsidRPr="008F03E5" w:rsidRDefault="00625A5B" w:rsidP="00041868">
      <w:pPr>
        <w:pStyle w:val="Translit"/>
      </w:pPr>
      <w:r w:rsidRPr="008F03E5">
        <w:t>Wuquf, Waqif</w:t>
      </w:r>
      <w:r w:rsidRPr="008F03E5">
        <w:tab/>
        <w:t>Wuqúf, pl. Wáqif</w:t>
      </w:r>
      <w:r w:rsidRPr="008F03E5">
        <w:tab/>
        <w:t>stopping, stop; halting, halt; standing (in adoration); stand, stance; pursuit, occupation (with), search, inquiry (into), investigation, cognizance, knowledge, understanding, comprehension; (Islamic Law) abeyance of rights;—pl. standing</w:t>
      </w:r>
    </w:p>
    <w:p w14:paraId="3CD45BBA" w14:textId="77777777" w:rsidR="00625A5B" w:rsidRPr="008F03E5" w:rsidRDefault="00625A5B" w:rsidP="002A0297">
      <w:pPr>
        <w:pStyle w:val="Translit"/>
      </w:pPr>
      <w:r w:rsidRPr="008F03E5">
        <w:t>Wus’ (Vus’)</w:t>
      </w:r>
      <w:r w:rsidRPr="008F03E5">
        <w:tab/>
        <w:t>Wus‘ (</w:t>
      </w:r>
      <w:r w:rsidRPr="008F03E5">
        <w:rPr>
          <w:rtl/>
        </w:rPr>
        <w:t>وسع</w:t>
      </w:r>
      <w:r w:rsidRPr="008F03E5">
        <w:t>)</w:t>
      </w:r>
      <w:r w:rsidRPr="008F03E5">
        <w:tab/>
        <w:t>ability, capability, faculty; capacity; power, strength; holding capacity.</w:t>
      </w:r>
    </w:p>
    <w:p w14:paraId="39CFC962" w14:textId="77777777" w:rsidR="00625A5B" w:rsidRPr="008F03E5" w:rsidRDefault="00625A5B" w:rsidP="00882692">
      <w:pPr>
        <w:pStyle w:val="Translit"/>
      </w:pPr>
      <w:r w:rsidRPr="008F03E5">
        <w:t>Wusta, Wusat</w:t>
      </w:r>
      <w:r w:rsidRPr="008F03E5">
        <w:tab/>
        <w:t>Wusṭá fem., pl. Wusaṭ</w:t>
      </w:r>
      <w:r w:rsidRPr="008F03E5">
        <w:tab/>
        <w:t>middle, central; the middle finger</w:t>
      </w:r>
    </w:p>
    <w:p w14:paraId="736D9422" w14:textId="77777777" w:rsidR="00625A5B" w:rsidRPr="008F03E5" w:rsidRDefault="00625A5B" w:rsidP="000F657B">
      <w:pPr>
        <w:pStyle w:val="Translit"/>
      </w:pPr>
      <w:r w:rsidRPr="008F03E5">
        <w:t>Wusul, Wusulat</w:t>
      </w:r>
      <w:r w:rsidRPr="008F03E5">
        <w:tab/>
        <w:t>Wuṣúl, pl. Wuṣúlát</w:t>
      </w:r>
      <w:r w:rsidRPr="008F03E5">
        <w:tab/>
        <w:t>arrival; attainment, obtainment, achievement; receipt; (pl.) receipt.  Pers. also voucher; union with, or enjoyment of, a wished-for object; collection acquisition</w:t>
      </w:r>
    </w:p>
    <w:p w14:paraId="4DD8CCE5" w14:textId="77777777" w:rsidR="00625A5B" w:rsidRPr="008F03E5" w:rsidRDefault="00625A5B" w:rsidP="0024326A">
      <w:pPr>
        <w:pStyle w:val="Myhead"/>
      </w:pPr>
      <w:bookmarkStart w:id="153" w:name="Y"/>
      <w:r w:rsidRPr="008F03E5">
        <w:t>Y</w:t>
      </w:r>
      <w:bookmarkEnd w:id="153"/>
    </w:p>
    <w:p w14:paraId="1139404A" w14:textId="77777777" w:rsidR="00625A5B" w:rsidRPr="008F03E5" w:rsidRDefault="00625A5B" w:rsidP="004000C3">
      <w:pPr>
        <w:pStyle w:val="Translit"/>
      </w:pPr>
      <w:r w:rsidRPr="008F03E5">
        <w:t>Ya</w:t>
      </w:r>
      <w:r w:rsidRPr="00A5286B">
        <w:rPr>
          <w:color w:val="FFFFFF" w:themeColor="background1"/>
        </w:rPr>
        <w:t xml:space="preserve"> ‘</w:t>
      </w:r>
      <w:r w:rsidRPr="008F03E5">
        <w:tab/>
        <w:t>Yá</w:t>
      </w:r>
      <w:r w:rsidRPr="008F03E5">
        <w:tab/>
        <w:t>(vocative and exclamatory particle) O, oh, or “O Thou” in the sense of “O Thou who art”.  Land of Yá, Yazd.</w:t>
      </w:r>
    </w:p>
    <w:p w14:paraId="5C641B37" w14:textId="77777777" w:rsidR="00625A5B" w:rsidRPr="008F03E5" w:rsidRDefault="00625A5B" w:rsidP="001E6689">
      <w:pPr>
        <w:pStyle w:val="Translit"/>
      </w:pPr>
      <w:r w:rsidRPr="008F03E5">
        <w:t>Ya ‘Aliyu’l-‘Ala</w:t>
      </w:r>
      <w:r>
        <w:t xml:space="preserve">, </w:t>
      </w:r>
      <w:r w:rsidRPr="008F03E5">
        <w:t>Ya ‘Aliyyu’l-‘Ala</w:t>
      </w:r>
      <w:r w:rsidRPr="008F03E5">
        <w:tab/>
        <w:t>Yá ‘Alíyu’l-‘Alá</w:t>
      </w:r>
      <w:r>
        <w:t>,</w:t>
      </w:r>
      <w:r w:rsidRPr="008F03E5">
        <w:t xml:space="preserve"> Yá ‘Al</w:t>
      </w:r>
      <w:r>
        <w:t>i</w:t>
      </w:r>
      <w:r w:rsidRPr="008F03E5">
        <w:t>yyu’l-‘Alá</w:t>
      </w:r>
      <w:r w:rsidRPr="008F03E5">
        <w:tab/>
        <w:t>“O Thou the Exalted of the Exalted!”</w:t>
      </w:r>
    </w:p>
    <w:p w14:paraId="07750000" w14:textId="77777777" w:rsidR="00625A5B" w:rsidRPr="008F03E5" w:rsidRDefault="00625A5B" w:rsidP="001E6689">
      <w:pPr>
        <w:pStyle w:val="Translit"/>
      </w:pPr>
      <w:r w:rsidRPr="008F03E5">
        <w:t>Ya ‘Aliyu’l-A</w:t>
      </w:r>
      <w:r>
        <w:t>‘</w:t>
      </w:r>
      <w:r w:rsidRPr="008F03E5">
        <w:t>la</w:t>
      </w:r>
      <w:r>
        <w:t>,</w:t>
      </w:r>
      <w:r w:rsidRPr="008F03E5">
        <w:t xml:space="preserve"> Ya ‘Aliyyu’l-A</w:t>
      </w:r>
      <w:r>
        <w:t>‘</w:t>
      </w:r>
      <w:r w:rsidRPr="008F03E5">
        <w:t>la</w:t>
      </w:r>
      <w:r w:rsidRPr="008F03E5">
        <w:tab/>
        <w:t>Yá ‘Alíyu’l-A‘lá</w:t>
      </w:r>
      <w:r>
        <w:t>,</w:t>
      </w:r>
      <w:r w:rsidRPr="008F03E5">
        <w:t xml:space="preserve"> Yá ‘Al</w:t>
      </w:r>
      <w:r>
        <w:t>i</w:t>
      </w:r>
      <w:r w:rsidRPr="008F03E5">
        <w:t>yyu’l-A‘lá</w:t>
      </w:r>
      <w:r w:rsidRPr="008F03E5">
        <w:tab/>
        <w:t>“O Thou the Exalted of the Most Exalted!” is an invocation addressed to the Báb.  Same as “Yá-‘Alí</w:t>
      </w:r>
      <w:r>
        <w:t>y</w:t>
      </w:r>
      <w:r w:rsidRPr="008F03E5">
        <w:t>-i-A‘lá” (Pers.) [Ya-‘Ali-el-Ala]—‘Alí is the first name of the Báb and it means exalted or high.  A‘lá, which is the title of the Báb, means “the Most High”.  The Báb is usually known in Írán as Haḍrat-i-A‘lá [Hazrat’e A’la].  Hence, “O Thou the Exalted One who art the Most Exalted” and it refers to the Báb.</w:t>
      </w:r>
    </w:p>
    <w:p w14:paraId="2E8DAC82" w14:textId="77777777" w:rsidR="00625A5B" w:rsidRPr="008F03E5" w:rsidRDefault="00625A5B" w:rsidP="00FA36FC">
      <w:pPr>
        <w:pStyle w:val="Translit"/>
        <w:rPr>
          <w:u w:val="single"/>
        </w:rPr>
      </w:pPr>
      <w:r w:rsidRPr="008F03E5">
        <w:t>Ya Allahu’l-Mustaghath</w:t>
      </w:r>
      <w:r w:rsidRPr="008F03E5">
        <w:tab/>
        <w:t>Yá Alláhu’l-Musta</w:t>
      </w:r>
      <w:r w:rsidRPr="008F03E5">
        <w:rPr>
          <w:u w:val="single"/>
        </w:rPr>
        <w:t>gh</w:t>
      </w:r>
      <w:r w:rsidRPr="008F03E5">
        <w:t>á</w:t>
      </w:r>
      <w:r w:rsidRPr="008F03E5">
        <w:rPr>
          <w:u w:val="single"/>
        </w:rPr>
        <w:t>th</w:t>
      </w:r>
      <w:r w:rsidRPr="008F03E5">
        <w:tab/>
        <w:t>[Ya Allah El-Mostaghos] (“O God, He Who is invoked” or “O Thou God Who art invoked”, the cycle of every Divine Dispensation, invocation revealed by the Báb.  Specifically, the time of Músta</w:t>
      </w:r>
      <w:r w:rsidRPr="008F03E5">
        <w:rPr>
          <w:u w:val="single"/>
        </w:rPr>
        <w:t>gh</w:t>
      </w:r>
      <w:r w:rsidRPr="008F03E5">
        <w:t>á</w:t>
      </w:r>
      <w:r w:rsidRPr="008F03E5">
        <w:rPr>
          <w:u w:val="single"/>
        </w:rPr>
        <w:t>th</w:t>
      </w:r>
      <w:r w:rsidRPr="008F03E5">
        <w:t xml:space="preserve"> is the day of the Latter Resurrection, that is time of Bahá’u’lláh’s Dispensation, See </w:t>
      </w:r>
      <w:r w:rsidRPr="008F03E5">
        <w:rPr>
          <w:i/>
          <w:iCs/>
        </w:rPr>
        <w:t>The Kitáb-i-Íqán</w:t>
      </w:r>
      <w:r w:rsidRPr="008F03E5">
        <w:t xml:space="preserve">, pp. 229, 248; </w:t>
      </w:r>
      <w:r w:rsidRPr="008F03E5">
        <w:rPr>
          <w:i/>
          <w:iCs/>
        </w:rPr>
        <w:t>God Passes By</w:t>
      </w:r>
      <w:r w:rsidRPr="008F03E5">
        <w:t xml:space="preserve">, p. 27; and </w:t>
      </w:r>
      <w:r w:rsidRPr="008F03E5">
        <w:rPr>
          <w:i/>
          <w:iCs/>
        </w:rPr>
        <w:t>The Dawn-Breakers</w:t>
      </w:r>
      <w:r w:rsidRPr="008F03E5">
        <w:t>, pp. 304–5.  See Yá Iláha’l-Musta</w:t>
      </w:r>
      <w:r w:rsidRPr="008F03E5">
        <w:rPr>
          <w:u w:val="single"/>
        </w:rPr>
        <w:t>gh</w:t>
      </w:r>
      <w:r w:rsidRPr="008F03E5">
        <w:t>á</w:t>
      </w:r>
      <w:r w:rsidRPr="008F03E5">
        <w:rPr>
          <w:u w:val="single"/>
        </w:rPr>
        <w:t>th.</w:t>
      </w:r>
    </w:p>
    <w:p w14:paraId="0C1FCD06" w14:textId="77777777" w:rsidR="00625A5B" w:rsidRPr="008F03E5" w:rsidRDefault="00625A5B" w:rsidP="00C019C8">
      <w:pPr>
        <w:pStyle w:val="Translit"/>
      </w:pPr>
      <w:r w:rsidRPr="008F03E5">
        <w:t>Ya Baba’l-Abha</w:t>
      </w:r>
      <w:r w:rsidRPr="008F03E5">
        <w:tab/>
        <w:t>Yá Bába’l-Abhá</w:t>
      </w:r>
      <w:r w:rsidRPr="008F03E5">
        <w:tab/>
        <w:t>“O Gate of the All-Glorious”</w:t>
      </w:r>
    </w:p>
    <w:p w14:paraId="3B0911D5" w14:textId="77777777" w:rsidR="00625A5B" w:rsidRPr="008F03E5" w:rsidRDefault="00625A5B" w:rsidP="00F34B79">
      <w:pPr>
        <w:pStyle w:val="Translit"/>
      </w:pPr>
      <w:r w:rsidRPr="008F03E5">
        <w:t>Ya Baha’u’l-Abha</w:t>
      </w:r>
      <w:r w:rsidRPr="008F03E5">
        <w:tab/>
        <w:t>Yá Bahá’u’l-Abhá</w:t>
      </w:r>
      <w:r w:rsidRPr="008F03E5">
        <w:tab/>
        <w:t xml:space="preserve">“O Glory of Glories”, or “O Glory of the All-Glorious”.  </w:t>
      </w:r>
      <w:r w:rsidRPr="008F03E5">
        <w:rPr>
          <w:b/>
          <w:bCs/>
        </w:rPr>
        <w:t>“The Greatest Name”</w:t>
      </w:r>
      <w:r w:rsidRPr="008F03E5">
        <w:t xml:space="preserve"> </w:t>
      </w:r>
      <w:r w:rsidRPr="008F03E5">
        <w:rPr>
          <w:rtl/>
        </w:rPr>
        <w:t>يا بهاء الابها</w:t>
      </w:r>
      <w:r w:rsidRPr="008F03E5">
        <w:t xml:space="preserve"> </w:t>
      </w:r>
      <w:r w:rsidRPr="008F03E5">
        <w:rPr>
          <w:rStyle w:val="FootnoteReference"/>
        </w:rPr>
        <w:footnoteReference w:customMarkFollows="1" w:id="25"/>
        <w:t>*</w:t>
      </w:r>
    </w:p>
    <w:p w14:paraId="65FDEA20" w14:textId="77777777" w:rsidR="00625A5B" w:rsidRPr="008F03E5" w:rsidRDefault="00625A5B" w:rsidP="00C019C8">
      <w:pPr>
        <w:pStyle w:val="Translit"/>
      </w:pPr>
      <w:r w:rsidRPr="008F03E5">
        <w:t>Ya Baha’u’llahu’l-Abha</w:t>
      </w:r>
      <w:r w:rsidRPr="008F03E5">
        <w:tab/>
        <w:t>Yá Bahá’u’lláhu’l-Abhá</w:t>
      </w:r>
      <w:r w:rsidRPr="008F03E5">
        <w:tab/>
        <w:t xml:space="preserve">“O Bahá’u’lláh of the All-Glorious” </w:t>
      </w:r>
      <w:r w:rsidRPr="008F03E5">
        <w:rPr>
          <w:rtl/>
        </w:rPr>
        <w:t>يا بهاء الله ابها</w:t>
      </w:r>
    </w:p>
    <w:p w14:paraId="590BADFB" w14:textId="77777777" w:rsidR="00625A5B" w:rsidRPr="008F03E5" w:rsidRDefault="00625A5B" w:rsidP="00FA36FC">
      <w:pPr>
        <w:pStyle w:val="Translit"/>
      </w:pPr>
      <w:r w:rsidRPr="008F03E5">
        <w:t>Ya Ilaha’l-Mustaghath</w:t>
      </w:r>
      <w:r w:rsidRPr="008F03E5">
        <w:tab/>
        <w:t>Yá Iláha’l-Musta</w:t>
      </w:r>
      <w:r w:rsidRPr="008F03E5">
        <w:rPr>
          <w:u w:val="single"/>
        </w:rPr>
        <w:t>gh</w:t>
      </w:r>
      <w:r w:rsidRPr="008F03E5">
        <w:t>á</w:t>
      </w:r>
      <w:r w:rsidRPr="008F03E5">
        <w:rPr>
          <w:u w:val="single"/>
        </w:rPr>
        <w:t>th</w:t>
      </w:r>
      <w:r w:rsidRPr="008F03E5">
        <w:tab/>
        <w:t>(alternative genitive transcription for Yá Alláhu’l-Musta</w:t>
      </w:r>
      <w:r w:rsidRPr="008F03E5">
        <w:rPr>
          <w:u w:val="single"/>
        </w:rPr>
        <w:t>gh</w:t>
      </w:r>
      <w:r w:rsidRPr="008F03E5">
        <w:t>á</w:t>
      </w:r>
      <w:r w:rsidRPr="008F03E5">
        <w:rPr>
          <w:u w:val="single"/>
        </w:rPr>
        <w:t>th)</w:t>
      </w:r>
      <w:r w:rsidRPr="008F03E5">
        <w:t xml:space="preserve"> “O Lord of the time of Musta</w:t>
      </w:r>
      <w:r w:rsidRPr="008F03E5">
        <w:rPr>
          <w:u w:val="single"/>
        </w:rPr>
        <w:t>gh</w:t>
      </w:r>
      <w:r w:rsidRPr="008F03E5">
        <w:t>á</w:t>
      </w:r>
      <w:r w:rsidRPr="008F03E5">
        <w:rPr>
          <w:u w:val="single"/>
        </w:rPr>
        <w:t>th</w:t>
      </w:r>
      <w:r w:rsidRPr="008F03E5">
        <w:t>”, invocation by the Báb, to be recitated in times of trouble and difficulty.</w:t>
      </w:r>
    </w:p>
    <w:p w14:paraId="301E66A7" w14:textId="77777777" w:rsidR="00625A5B" w:rsidRPr="008F03E5" w:rsidRDefault="00625A5B" w:rsidP="00596078">
      <w:pPr>
        <w:pStyle w:val="Translit"/>
      </w:pPr>
      <w:r w:rsidRPr="008F03E5">
        <w:t>Ya Ilahi</w:t>
      </w:r>
      <w:r w:rsidRPr="008F03E5">
        <w:tab/>
        <w:t>Yá Iláhí</w:t>
      </w:r>
      <w:r w:rsidRPr="008F03E5">
        <w:tab/>
        <w:t>“O my God”</w:t>
      </w:r>
    </w:p>
    <w:p w14:paraId="1954E0CC" w14:textId="77777777" w:rsidR="00625A5B" w:rsidRPr="008F03E5" w:rsidRDefault="00625A5B" w:rsidP="00F34B79">
      <w:pPr>
        <w:pStyle w:val="Translit"/>
      </w:pPr>
      <w:r w:rsidRPr="008F03E5">
        <w:t>Ya Rabb-i-A’la or Ya Rabbu’l-Ala</w:t>
      </w:r>
      <w:r w:rsidRPr="008F03E5">
        <w:tab/>
        <w:t>Yá Rabb-i-A‘lá or Yá Rabbu’l-Álá</w:t>
      </w:r>
      <w:r w:rsidRPr="008F03E5">
        <w:tab/>
        <w:t>“O thou the Most Exalted Lord” [Ya-Rabb-el-Aala!]</w:t>
      </w:r>
    </w:p>
    <w:p w14:paraId="6840BA90" w14:textId="77777777" w:rsidR="00625A5B" w:rsidRPr="008F03E5" w:rsidRDefault="00625A5B" w:rsidP="00560120">
      <w:pPr>
        <w:pStyle w:val="Translit"/>
      </w:pPr>
      <w:r w:rsidRPr="008F03E5">
        <w:t>Ya Rabbiya’l-Abha</w:t>
      </w:r>
      <w:r w:rsidRPr="008F03E5">
        <w:tab/>
        <w:t>Yá Rabbíya’l-Abhá</w:t>
      </w:r>
      <w:r w:rsidRPr="008F03E5">
        <w:tab/>
        <w:t>“O Thou my Lord, the Most Glorious”</w:t>
      </w:r>
    </w:p>
    <w:p w14:paraId="164218F5" w14:textId="77777777" w:rsidR="00625A5B" w:rsidRPr="008F03E5" w:rsidRDefault="00625A5B" w:rsidP="009B6170">
      <w:pPr>
        <w:pStyle w:val="Translit"/>
      </w:pPr>
      <w:r w:rsidRPr="008F03E5">
        <w:t>Ya Sahibu’z-Zaman</w:t>
      </w:r>
      <w:r w:rsidRPr="008F03E5">
        <w:tab/>
        <w:t>Yá Ṣáḥibu’z-Zamán</w:t>
      </w:r>
      <w:r w:rsidRPr="008F03E5">
        <w:tab/>
        <w:t>“O Thou the Lord of the Age”</w:t>
      </w:r>
    </w:p>
    <w:p w14:paraId="00C41F0A" w14:textId="77777777" w:rsidR="00625A5B" w:rsidRPr="008F03E5" w:rsidRDefault="00625A5B" w:rsidP="009B6170">
      <w:pPr>
        <w:pStyle w:val="Translit"/>
      </w:pPr>
      <w:r w:rsidRPr="008F03E5">
        <w:t>Ya Shafi</w:t>
      </w:r>
      <w:r w:rsidRPr="008F03E5">
        <w:tab/>
        <w:t xml:space="preserve">Yá </w:t>
      </w:r>
      <w:r w:rsidRPr="008F03E5">
        <w:rPr>
          <w:u w:val="single"/>
        </w:rPr>
        <w:t>Sh</w:t>
      </w:r>
      <w:r w:rsidRPr="008F03E5">
        <w:t xml:space="preserve">afí‘ or Yá </w:t>
      </w:r>
      <w:r w:rsidRPr="008F03E5">
        <w:rPr>
          <w:u w:val="single"/>
        </w:rPr>
        <w:t>Sh</w:t>
      </w:r>
      <w:r w:rsidRPr="008F03E5">
        <w:t>áfi‘</w:t>
      </w:r>
      <w:r w:rsidRPr="008F03E5">
        <w:tab/>
        <w:t>“O Thou the Healer” (</w:t>
      </w:r>
      <w:r w:rsidRPr="008F03E5">
        <w:rPr>
          <w:sz w:val="16"/>
          <w:szCs w:val="16"/>
        </w:rPr>
        <w:t>MF</w:t>
      </w:r>
      <w:r w:rsidRPr="008F03E5">
        <w:t xml:space="preserve"> 44)</w:t>
      </w:r>
    </w:p>
    <w:p w14:paraId="7EE7604D" w14:textId="77777777" w:rsidR="00625A5B" w:rsidRPr="008F03E5" w:rsidRDefault="00625A5B" w:rsidP="000F57E8">
      <w:pPr>
        <w:pStyle w:val="Translit"/>
        <w:tabs>
          <w:tab w:val="left" w:pos="6700"/>
        </w:tabs>
      </w:pPr>
      <w:r w:rsidRPr="008F03E5">
        <w:t>Ya Sin, Yasin (Yaseen), Yassin</w:t>
      </w:r>
      <w:r w:rsidRPr="008F03E5">
        <w:tab/>
        <w:t xml:space="preserve">Yá Sín, </w:t>
      </w:r>
      <w:r w:rsidRPr="008F03E5">
        <w:rPr>
          <w:lang w:eastAsia="en-US"/>
        </w:rPr>
        <w:t>Yásín</w:t>
      </w:r>
      <w:r w:rsidRPr="008F03E5">
        <w:rPr>
          <w:lang w:eastAsia="en-US"/>
        </w:rPr>
        <w:tab/>
        <w:t>name of S</w:t>
      </w:r>
      <w:r w:rsidRPr="008F03E5">
        <w:t>úra</w:t>
      </w:r>
      <w:r w:rsidRPr="008F03E5">
        <w:rPr>
          <w:lang w:eastAsia="en-US"/>
        </w:rPr>
        <w:t xml:space="preserve"> 36 Y</w:t>
      </w:r>
      <w:r w:rsidRPr="008F03E5">
        <w:t>á’</w:t>
      </w:r>
      <w:r w:rsidRPr="008F03E5">
        <w:rPr>
          <w:lang w:eastAsia="en-US"/>
        </w:rPr>
        <w:t xml:space="preserve"> S</w:t>
      </w:r>
      <w:r w:rsidRPr="008F03E5">
        <w:t>í</w:t>
      </w:r>
      <w:r w:rsidRPr="008F03E5">
        <w:rPr>
          <w:lang w:eastAsia="en-US"/>
        </w:rPr>
        <w:t>n of the Qur’án, after the isolated letters Y</w:t>
      </w:r>
      <w:r w:rsidRPr="008F03E5">
        <w:t>á’</w:t>
      </w:r>
      <w:r w:rsidRPr="008F03E5">
        <w:rPr>
          <w:lang w:eastAsia="en-US"/>
        </w:rPr>
        <w:t xml:space="preserve"> S</w:t>
      </w:r>
      <w:r w:rsidRPr="008F03E5">
        <w:t>í</w:t>
      </w:r>
      <w:r w:rsidRPr="008F03E5">
        <w:rPr>
          <w:lang w:eastAsia="en-US"/>
        </w:rPr>
        <w:t>n.  Variously interpreted as an epithet of the Prophet Mu</w:t>
      </w:r>
      <w:r w:rsidRPr="008F03E5">
        <w:t>ḥ</w:t>
      </w:r>
      <w:r w:rsidRPr="008F03E5">
        <w:rPr>
          <w:lang w:eastAsia="en-US"/>
        </w:rPr>
        <w:t xml:space="preserve">ammad, a vocative sentence consisting of particle yá plus sín meaning ‘humankind’, a borrowing from Ethiopic meaning “O Humankind!”, or single letters opening the </w:t>
      </w:r>
      <w:r w:rsidRPr="008F03E5">
        <w:t>súra.</w:t>
      </w:r>
    </w:p>
    <w:p w14:paraId="0D66677B" w14:textId="77777777" w:rsidR="00625A5B" w:rsidRPr="008F03E5" w:rsidRDefault="00625A5B" w:rsidP="007026FD">
      <w:pPr>
        <w:pStyle w:val="Translit"/>
      </w:pPr>
      <w:r w:rsidRPr="008F03E5">
        <w:t>Ya’</w:t>
      </w:r>
      <w:r w:rsidRPr="008F03E5">
        <w:tab/>
        <w:t>Yá’</w:t>
      </w:r>
      <w:r w:rsidRPr="008F03E5">
        <w:tab/>
        <w:t xml:space="preserve">name of the letter </w:t>
      </w:r>
      <w:r w:rsidRPr="008F03E5">
        <w:rPr>
          <w:rtl/>
        </w:rPr>
        <w:t>ي</w:t>
      </w:r>
      <w:r w:rsidRPr="008F03E5">
        <w:t xml:space="preserve"> (y/í)</w:t>
      </w:r>
    </w:p>
    <w:p w14:paraId="2C9CA224" w14:textId="77777777" w:rsidR="00625A5B" w:rsidRPr="008F03E5" w:rsidRDefault="00625A5B" w:rsidP="00F15F7C">
      <w:pPr>
        <w:pStyle w:val="Translit"/>
      </w:pPr>
      <w:r w:rsidRPr="008F03E5">
        <w:t>Ya’fur, Ya’afir</w:t>
      </w:r>
      <w:r w:rsidRPr="008F03E5">
        <w:tab/>
        <w:t>Ya‘fúr, pl. Ya‘áfír</w:t>
      </w:r>
      <w:r w:rsidRPr="008F03E5">
        <w:tab/>
        <w:t>earth coloured gazelle; the name of a donkey gifted to Muḥammad by al-Muqawqis, probably the governor of Egypt.  See duldul.</w:t>
      </w:r>
    </w:p>
    <w:p w14:paraId="10050B5C" w14:textId="77777777" w:rsidR="00625A5B" w:rsidRPr="008F03E5" w:rsidRDefault="00625A5B" w:rsidP="00985800">
      <w:pPr>
        <w:pStyle w:val="Translit"/>
      </w:pPr>
      <w:r w:rsidRPr="008F03E5">
        <w:t>Ya’juj, Yajuj</w:t>
      </w:r>
      <w:r w:rsidRPr="008F03E5">
        <w:tab/>
        <w:t>Ya’júj, Yá’júj, Yájúj</w:t>
      </w:r>
      <w:r w:rsidRPr="008F03E5">
        <w:tab/>
        <w:t xml:space="preserve">one who kindles a fire; a mover of sedition; Gog.  Qur’án 18:93:  ‘Verily, Gog and Magog waste this land …’  The rampart here described was of iron and molten brass, so that Gog and Magog could neither scale it nor dig under it.  </w:t>
      </w:r>
      <w:r w:rsidRPr="008F03E5">
        <w:rPr>
          <w:i/>
          <w:iCs/>
        </w:rPr>
        <w:t>Bahá’íyyih Khánum</w:t>
      </w:r>
      <w:r w:rsidRPr="008F03E5">
        <w:t>, p. 131.  See Ma’júj (Magog) and Mu‘ẓam</w:t>
      </w:r>
    </w:p>
    <w:p w14:paraId="2C917874" w14:textId="77777777" w:rsidR="00625A5B" w:rsidRPr="008F03E5" w:rsidRDefault="00625A5B" w:rsidP="00900A82">
      <w:pPr>
        <w:pStyle w:val="Translit"/>
      </w:pPr>
      <w:r w:rsidRPr="008F03E5">
        <w:t>Ya’llah, Ya Allah</w:t>
      </w:r>
      <w:r w:rsidRPr="008F03E5">
        <w:tab/>
        <w:t>Yá’lláh, Yá Alláh</w:t>
      </w:r>
      <w:r w:rsidRPr="008F03E5">
        <w:tab/>
        <w:t>O God!</w:t>
      </w:r>
    </w:p>
    <w:p w14:paraId="63C6BE2C" w14:textId="77777777" w:rsidR="00625A5B" w:rsidRPr="008F03E5" w:rsidRDefault="00625A5B" w:rsidP="008E7DB3">
      <w:pPr>
        <w:pStyle w:val="Translit"/>
      </w:pPr>
      <w:r w:rsidRPr="008F03E5">
        <w:t>Ya’qub (Yaqub, Yakub), Ya’aqib</w:t>
      </w:r>
      <w:r w:rsidRPr="008F03E5">
        <w:tab/>
        <w:t>Ya‘qúb, pl. Ya‘áqíb</w:t>
      </w:r>
      <w:r w:rsidRPr="008F03E5">
        <w:tab/>
        <w:t>Jacob, James; (plural) male mountain quail</w:t>
      </w:r>
    </w:p>
    <w:p w14:paraId="5A7A9B7D" w14:textId="77777777" w:rsidR="00625A5B" w:rsidRPr="008F03E5" w:rsidRDefault="00625A5B" w:rsidP="00AA7D19">
      <w:pPr>
        <w:pStyle w:val="Translit"/>
      </w:pPr>
      <w:r w:rsidRPr="008F03E5">
        <w:t>Ya’qub-i-Muttahidih</w:t>
      </w:r>
      <w:r w:rsidRPr="008F03E5">
        <w:tab/>
        <w:t>Ya‘qúb-i-Muttaḥidih</w:t>
      </w:r>
      <w:r w:rsidRPr="008F03E5">
        <w:tab/>
        <w:t>Ya‘qúb-i-Muttaḥidih, Mírzá</w:t>
      </w:r>
    </w:p>
    <w:p w14:paraId="2CABEDC4" w14:textId="77777777" w:rsidR="00625A5B" w:rsidRPr="008F03E5" w:rsidRDefault="00625A5B" w:rsidP="00123F8F">
      <w:pPr>
        <w:pStyle w:val="Translit"/>
      </w:pPr>
      <w:r w:rsidRPr="008F03E5">
        <w:t>Ya’rab (Ya’rub)</w:t>
      </w:r>
      <w:r w:rsidRPr="008F03E5">
        <w:tab/>
        <w:t>Ya</w:t>
      </w:r>
      <w:r w:rsidRPr="008F03E5">
        <w:rPr>
          <w:rFonts w:eastAsia="Times New Roman"/>
          <w:i/>
          <w:iCs/>
        </w:rPr>
        <w:t>‘</w:t>
      </w:r>
      <w:r w:rsidRPr="008F03E5">
        <w:t>rab</w:t>
      </w:r>
      <w:r w:rsidRPr="008F03E5">
        <w:tab/>
        <w:t>the son (or grandson) of Qaḥṭán</w:t>
      </w:r>
    </w:p>
    <w:p w14:paraId="5ACD4C7F" w14:textId="77777777" w:rsidR="00625A5B" w:rsidRPr="008F03E5" w:rsidRDefault="00625A5B" w:rsidP="00EE55CA">
      <w:pPr>
        <w:pStyle w:val="Translit"/>
      </w:pPr>
      <w:r w:rsidRPr="008F03E5">
        <w:t>Yabs, Yubs, Yabas</w:t>
      </w:r>
      <w:r w:rsidRPr="008F03E5">
        <w:tab/>
        <w:t>Yabs, Yubs, Yabas</w:t>
      </w:r>
      <w:r w:rsidRPr="008F03E5">
        <w:tab/>
        <w:t>dryness</w:t>
      </w:r>
    </w:p>
    <w:p w14:paraId="10FC8B3E" w14:textId="77777777" w:rsidR="00625A5B" w:rsidRPr="008F03E5" w:rsidRDefault="00625A5B" w:rsidP="00D02FC3">
      <w:pPr>
        <w:pStyle w:val="Translit"/>
      </w:pPr>
      <w:r w:rsidRPr="008F03E5">
        <w:t>Yad</w:t>
      </w:r>
      <w:r w:rsidRPr="008F03E5">
        <w:tab/>
        <w:t>Yád</w:t>
      </w:r>
      <w:r w:rsidRPr="008F03E5">
        <w:tab/>
        <w:t>Pers. remembrance, recollection, memory; watching, watchfulness; a picture, painting, figure, image</w:t>
      </w:r>
    </w:p>
    <w:p w14:paraId="43767A9A" w14:textId="77777777" w:rsidR="00625A5B" w:rsidRPr="008F03E5" w:rsidRDefault="00625A5B" w:rsidP="00EF1559">
      <w:pPr>
        <w:pStyle w:val="Translit"/>
        <w:rPr>
          <w:rFonts w:eastAsia="PMingLiU"/>
        </w:rPr>
      </w:pPr>
      <w:r w:rsidRPr="008F03E5">
        <w:rPr>
          <w:rFonts w:eastAsia="PMingLiU"/>
        </w:rPr>
        <w:t>Yad, Yadan, Aydin (Aidin), Ayadin, Ayadi</w:t>
      </w:r>
      <w:r w:rsidRPr="008F03E5">
        <w:rPr>
          <w:rFonts w:eastAsia="PMingLiU"/>
        </w:rPr>
        <w:tab/>
        <w:t>Yad fem., dual Yadán</w:t>
      </w:r>
      <w:r w:rsidRPr="008F03E5">
        <w:rPr>
          <w:rFonts w:eastAsia="PMingLiU"/>
        </w:rPr>
        <w:tab/>
        <w:t>pl. Aydin, Ayádin, Ayádí.  hand; foreleg; handle; power, control, influence, authority; assistance, help, aid; (Islamic Law) (personal) possession, actual control; benefit; favour</w:t>
      </w:r>
    </w:p>
    <w:p w14:paraId="334A3ED0" w14:textId="77777777" w:rsidR="00625A5B" w:rsidRPr="008F03E5" w:rsidRDefault="00625A5B" w:rsidP="00900A82">
      <w:pPr>
        <w:pStyle w:val="Translit"/>
      </w:pPr>
      <w:r w:rsidRPr="008F03E5">
        <w:t>Yadhkuruna</w:t>
      </w:r>
      <w:r w:rsidRPr="008F03E5">
        <w:tab/>
        <w:t>Ya</w:t>
      </w:r>
      <w:r w:rsidRPr="008F03E5">
        <w:rPr>
          <w:u w:val="single"/>
        </w:rPr>
        <w:t>dh</w:t>
      </w:r>
      <w:r w:rsidRPr="008F03E5">
        <w:t>kurúna</w:t>
      </w:r>
      <w:r w:rsidRPr="008F03E5">
        <w:tab/>
        <w:t>remember</w:t>
      </w:r>
    </w:p>
    <w:p w14:paraId="4258755F" w14:textId="77777777" w:rsidR="00625A5B" w:rsidRPr="008F03E5" w:rsidRDefault="00625A5B" w:rsidP="00DC324E">
      <w:pPr>
        <w:pStyle w:val="Translit"/>
        <w:rPr>
          <w:rFonts w:eastAsia="PMingLiU"/>
          <w:lang w:eastAsia="zh-TW"/>
        </w:rPr>
      </w:pPr>
      <w:r w:rsidRPr="008F03E5">
        <w:rPr>
          <w:rFonts w:eastAsia="PMingLiU"/>
          <w:lang w:eastAsia="zh-TW"/>
        </w:rPr>
        <w:t>Y</w:t>
      </w:r>
      <w:r w:rsidRPr="008F03E5">
        <w:t>a</w:t>
      </w:r>
      <w:r w:rsidRPr="008F03E5">
        <w:rPr>
          <w:rFonts w:eastAsia="PMingLiU"/>
          <w:lang w:eastAsia="zh-TW"/>
        </w:rPr>
        <w:t>di Amru’ll</w:t>
      </w:r>
      <w:r w:rsidRPr="008F03E5">
        <w:t>a</w:t>
      </w:r>
      <w:r w:rsidRPr="008F03E5">
        <w:rPr>
          <w:rFonts w:eastAsia="PMingLiU"/>
          <w:lang w:eastAsia="zh-TW"/>
        </w:rPr>
        <w:t>h, Ay</w:t>
      </w:r>
      <w:r w:rsidRPr="008F03E5">
        <w:t>a</w:t>
      </w:r>
      <w:r w:rsidRPr="008F03E5">
        <w:rPr>
          <w:rFonts w:eastAsia="PMingLiU"/>
          <w:lang w:eastAsia="zh-TW"/>
        </w:rPr>
        <w:t>di Amru’ll</w:t>
      </w:r>
      <w:r w:rsidRPr="008F03E5">
        <w:t>a</w:t>
      </w:r>
      <w:r w:rsidRPr="008F03E5">
        <w:rPr>
          <w:rFonts w:eastAsia="PMingLiU"/>
          <w:lang w:eastAsia="zh-TW"/>
        </w:rPr>
        <w:t>h</w:t>
      </w:r>
      <w:r w:rsidRPr="008F03E5">
        <w:tab/>
      </w:r>
      <w:r w:rsidRPr="008F03E5">
        <w:rPr>
          <w:rFonts w:eastAsia="PMingLiU"/>
          <w:lang w:eastAsia="zh-TW"/>
        </w:rPr>
        <w:t>Y</w:t>
      </w:r>
      <w:r w:rsidRPr="008F03E5">
        <w:t>á</w:t>
      </w:r>
      <w:r w:rsidRPr="008F03E5">
        <w:rPr>
          <w:rFonts w:eastAsia="PMingLiU"/>
          <w:lang w:eastAsia="zh-TW"/>
        </w:rPr>
        <w:t>d</w:t>
      </w:r>
      <w:r w:rsidRPr="008F03E5">
        <w:t xml:space="preserve"> </w:t>
      </w:r>
      <w:r w:rsidRPr="008F03E5">
        <w:rPr>
          <w:rFonts w:eastAsia="PMingLiU"/>
          <w:lang w:eastAsia="zh-TW"/>
        </w:rPr>
        <w:t>Amru’ll</w:t>
      </w:r>
      <w:r w:rsidRPr="008F03E5">
        <w:t>á</w:t>
      </w:r>
      <w:r w:rsidRPr="008F03E5">
        <w:rPr>
          <w:rFonts w:eastAsia="PMingLiU"/>
          <w:lang w:eastAsia="zh-TW"/>
        </w:rPr>
        <w:t>h, pl. Ay</w:t>
      </w:r>
      <w:r w:rsidRPr="008F03E5">
        <w:t>á</w:t>
      </w:r>
      <w:r w:rsidRPr="008F03E5">
        <w:rPr>
          <w:rFonts w:eastAsia="PMingLiU"/>
          <w:lang w:eastAsia="zh-TW"/>
        </w:rPr>
        <w:t>d</w:t>
      </w:r>
      <w:r w:rsidRPr="008F03E5">
        <w:t xml:space="preserve">í </w:t>
      </w:r>
      <w:r w:rsidRPr="008F03E5">
        <w:rPr>
          <w:rFonts w:eastAsia="PMingLiU"/>
          <w:lang w:eastAsia="zh-TW"/>
        </w:rPr>
        <w:t>Amru’ll</w:t>
      </w:r>
      <w:r w:rsidRPr="008F03E5">
        <w:t>á</w:t>
      </w:r>
      <w:r w:rsidRPr="008F03E5">
        <w:rPr>
          <w:rFonts w:eastAsia="PMingLiU"/>
          <w:lang w:eastAsia="zh-TW"/>
        </w:rPr>
        <w:t>h</w:t>
      </w:r>
      <w:r w:rsidRPr="008F03E5">
        <w:tab/>
        <w:t xml:space="preserve">“Hand of the Cause of God”, sometimes shortened to “Hand of the Cause”.  Pers. </w:t>
      </w:r>
      <w:r w:rsidRPr="008F03E5">
        <w:rPr>
          <w:rFonts w:eastAsia="PMingLiU"/>
          <w:lang w:eastAsia="zh-TW"/>
        </w:rPr>
        <w:t>Ay</w:t>
      </w:r>
      <w:r w:rsidRPr="008F03E5">
        <w:t>á</w:t>
      </w:r>
      <w:r w:rsidRPr="008F03E5">
        <w:rPr>
          <w:rFonts w:eastAsia="PMingLiU"/>
          <w:lang w:eastAsia="zh-TW"/>
        </w:rPr>
        <w:t>d</w:t>
      </w:r>
      <w:r w:rsidRPr="008F03E5">
        <w:t>í</w:t>
      </w:r>
      <w:r w:rsidRPr="008F03E5">
        <w:rPr>
          <w:rFonts w:eastAsia="PMingLiU"/>
          <w:lang w:eastAsia="zh-TW"/>
        </w:rPr>
        <w:t>y-i-Amru’ll</w:t>
      </w:r>
      <w:r w:rsidRPr="008F03E5">
        <w:t>á</w:t>
      </w:r>
      <w:r w:rsidRPr="008F03E5">
        <w:rPr>
          <w:rFonts w:eastAsia="PMingLiU"/>
          <w:lang w:eastAsia="zh-TW"/>
        </w:rPr>
        <w:t>h.</w:t>
      </w:r>
    </w:p>
    <w:p w14:paraId="569BA61C" w14:textId="77777777" w:rsidR="00625A5B" w:rsidRPr="008F03E5" w:rsidRDefault="00625A5B" w:rsidP="00A52B49">
      <w:pPr>
        <w:pStyle w:val="Translit"/>
      </w:pPr>
      <w:r w:rsidRPr="008F03E5">
        <w:t>Yad-kar, Yad-kard, Yad-gar (Yadgar)</w:t>
      </w:r>
      <w:r w:rsidRPr="008F03E5">
        <w:tab/>
        <w:t>Yád-kár, Yád-kard, Yád-gár</w:t>
      </w:r>
      <w:r w:rsidRPr="008F03E5">
        <w:tab/>
        <w:t xml:space="preserve">Pers. anything given as a memorial, a valuable present to a mistress or friend; a souvenir, keepsake; a monument, anything memorable, worthy of remembrance, or which recalls a person or thing to memory.  Yádgár is the name of a Persian journal </w:t>
      </w:r>
      <w:r w:rsidRPr="008F03E5">
        <w:rPr>
          <w:lang w:eastAsia="en-US"/>
        </w:rPr>
        <w:t>of history and literature.</w:t>
      </w:r>
    </w:p>
    <w:p w14:paraId="2C406FE4" w14:textId="77777777" w:rsidR="00625A5B" w:rsidRPr="008F03E5" w:rsidRDefault="00625A5B" w:rsidP="00161A36">
      <w:pPr>
        <w:pStyle w:val="Translit"/>
      </w:pPr>
      <w:r w:rsidRPr="008F03E5">
        <w:t>Yadu’llah (Yadollah)</w:t>
      </w:r>
      <w:r w:rsidRPr="008F03E5">
        <w:tab/>
        <w:t>Yadu’lláh</w:t>
      </w:r>
      <w:r w:rsidRPr="008F03E5">
        <w:tab/>
        <w:t>God’s hand</w:t>
      </w:r>
    </w:p>
    <w:p w14:paraId="3F115100" w14:textId="77777777" w:rsidR="00625A5B" w:rsidRPr="008F03E5" w:rsidRDefault="00625A5B" w:rsidP="006C177A">
      <w:pPr>
        <w:pStyle w:val="Translit"/>
      </w:pPr>
      <w:r w:rsidRPr="008F03E5">
        <w:t>Yafa</w:t>
      </w:r>
      <w:r w:rsidRPr="008F03E5">
        <w:tab/>
        <w:t>Yáfá</w:t>
      </w:r>
      <w:r w:rsidRPr="008F03E5">
        <w:tab/>
        <w:t>Jaffa, seaport in Israel, now part of Tel Aviv</w:t>
      </w:r>
    </w:p>
    <w:p w14:paraId="165D384E" w14:textId="77777777" w:rsidR="00625A5B" w:rsidRPr="008F03E5" w:rsidRDefault="00625A5B" w:rsidP="00627B9B">
      <w:pPr>
        <w:pStyle w:val="Translit"/>
      </w:pPr>
      <w:r w:rsidRPr="008F03E5">
        <w:t>Yafith (Yafis, Yafes)</w:t>
      </w:r>
      <w:r w:rsidRPr="008F03E5">
        <w:tab/>
        <w:t>Yáfi</w:t>
      </w:r>
      <w:r w:rsidRPr="008F03E5">
        <w:rPr>
          <w:u w:val="single"/>
        </w:rPr>
        <w:t>th</w:t>
      </w:r>
      <w:r w:rsidRPr="008F03E5">
        <w:rPr>
          <w:i/>
          <w:iCs/>
        </w:rPr>
        <w:tab/>
      </w:r>
      <w:r w:rsidRPr="008F03E5">
        <w:t>Japheth, a son of Noah</w:t>
      </w:r>
    </w:p>
    <w:p w14:paraId="1145D0DF" w14:textId="77777777" w:rsidR="00625A5B" w:rsidRPr="008F03E5" w:rsidRDefault="00625A5B" w:rsidP="00C87C90">
      <w:pPr>
        <w:pStyle w:val="Translit"/>
      </w:pPr>
      <w:r w:rsidRPr="008F03E5">
        <w:t>Yaft-Abad</w:t>
      </w:r>
      <w:r>
        <w:t xml:space="preserve"> (Yaftabad)</w:t>
      </w:r>
      <w:r w:rsidRPr="008F03E5">
        <w:tab/>
        <w:t>Yaft-Ábád</w:t>
      </w:r>
      <w:r>
        <w:t xml:space="preserve"> (</w:t>
      </w:r>
      <w:r w:rsidRPr="008F03E5">
        <w:t>Yaftábád</w:t>
      </w:r>
      <w:r>
        <w:t>)</w:t>
      </w:r>
      <w:r w:rsidRPr="008F03E5">
        <w:tab/>
        <w:t xml:space="preserve">now </w:t>
      </w:r>
      <w:r>
        <w:t>(</w:t>
      </w:r>
      <w:r w:rsidRPr="00C87C90">
        <w:t>35.666036, 51.318646</w:t>
      </w:r>
      <w:r>
        <w:t xml:space="preserve">) </w:t>
      </w:r>
      <w:r w:rsidRPr="008F03E5">
        <w:t xml:space="preserve">part of </w:t>
      </w:r>
      <w:r>
        <w:t xml:space="preserve">District 18 in </w:t>
      </w:r>
      <w:r w:rsidRPr="008F03E5">
        <w:rPr>
          <w:sz w:val="16"/>
          <w:szCs w:val="16"/>
        </w:rPr>
        <w:t>SW</w:t>
      </w:r>
      <w:r w:rsidRPr="008F03E5">
        <w:t xml:space="preserve"> Ṭihrán</w:t>
      </w:r>
    </w:p>
    <w:p w14:paraId="3E6AA7E5" w14:textId="77777777" w:rsidR="00625A5B" w:rsidRPr="008F03E5" w:rsidRDefault="00625A5B" w:rsidP="00EA6160">
      <w:pPr>
        <w:pStyle w:val="Translit"/>
      </w:pPr>
      <w:r w:rsidRPr="008F03E5">
        <w:t>Yagan</w:t>
      </w:r>
      <w:r w:rsidRPr="008F03E5">
        <w:tab/>
        <w:t>Yagán</w:t>
      </w:r>
      <w:r w:rsidRPr="008F03E5">
        <w:tab/>
        <w:t>Pers. one, single, alone, only; singular; incomparable, peerless; orthodox, Unitarians</w:t>
      </w:r>
    </w:p>
    <w:p w14:paraId="1CB7CE77" w14:textId="77777777" w:rsidR="00625A5B" w:rsidRPr="008F03E5" w:rsidRDefault="00625A5B" w:rsidP="00EA6160">
      <w:pPr>
        <w:pStyle w:val="Translit"/>
      </w:pPr>
      <w:r w:rsidRPr="008F03E5">
        <w:t>Yaganagi (Yaganegi)</w:t>
      </w:r>
      <w:r w:rsidRPr="008F03E5">
        <w:tab/>
        <w:t>Yagánagí</w:t>
      </w:r>
      <w:r w:rsidRPr="008F03E5">
        <w:tab/>
        <w:t>Pers. singularity, unity; excellence, anything incomparable; union, conjunction; solitude; victory; concord, unanimity.  Family name.</w:t>
      </w:r>
    </w:p>
    <w:p w14:paraId="52786FA4" w14:textId="77777777" w:rsidR="00625A5B" w:rsidRPr="008F03E5" w:rsidRDefault="00625A5B" w:rsidP="00A5303D">
      <w:pPr>
        <w:pStyle w:val="Translit"/>
      </w:pPr>
      <w:r w:rsidRPr="008F03E5">
        <w:t>Yahduruhu al-Faqih</w:t>
      </w:r>
      <w:r w:rsidRPr="008F03E5">
        <w:tab/>
        <w:t>Yaḥḍuruhú al-Faqíh</w:t>
      </w:r>
      <w:r w:rsidRPr="008F03E5">
        <w:tab/>
        <w:t>Man Lá Yaḥḍuruhú al-Faqíh (lit</w:t>
      </w:r>
      <w:r>
        <w:t>erally, “</w:t>
      </w:r>
      <w:r w:rsidRPr="008F03E5">
        <w:t>For Him Who is Not in the Presence of a Jurisprudent</w:t>
      </w:r>
      <w:r>
        <w:t>”</w:t>
      </w:r>
      <w:r w:rsidRPr="008F03E5">
        <w:t xml:space="preserve"> or </w:t>
      </w:r>
      <w:r>
        <w:t>“</w:t>
      </w:r>
      <w:r w:rsidRPr="008F03E5">
        <w:t>When No Theologian is Present</w:t>
      </w:r>
      <w:r>
        <w:t>”</w:t>
      </w:r>
      <w:r w:rsidRPr="008F03E5">
        <w:t>), ḥadí</w:t>
      </w:r>
      <w:r w:rsidRPr="008F03E5">
        <w:rPr>
          <w:u w:val="single"/>
        </w:rPr>
        <w:t>th</w:t>
      </w:r>
      <w:r w:rsidRPr="008F03E5">
        <w:t xml:space="preserve"> collection by the Twelver </w:t>
      </w:r>
      <w:r w:rsidRPr="008F03E5">
        <w:rPr>
          <w:u w:val="single"/>
        </w:rPr>
        <w:t>Sh</w:t>
      </w:r>
      <w:r w:rsidRPr="008F03E5">
        <w:t>í‘a ḥadí</w:t>
      </w:r>
      <w:r w:rsidRPr="008F03E5">
        <w:rPr>
          <w:u w:val="single"/>
        </w:rPr>
        <w:t>th</w:t>
      </w:r>
      <w:r w:rsidRPr="008F03E5">
        <w:t xml:space="preserve"> scholar Abú Ja‘far Muḥammad ibn ‘Alí ibn Bábawayh al-Qummí (c.  923–991), commonly referred to as Ibn Bábawayh or a</w:t>
      </w:r>
      <w:r w:rsidRPr="00A5303D">
        <w:rPr>
          <w:u w:val="single"/>
        </w:rPr>
        <w:t>sh</w:t>
      </w:r>
      <w:r w:rsidRPr="008F03E5">
        <w:t>-</w:t>
      </w:r>
      <w:r w:rsidRPr="008F03E5">
        <w:rPr>
          <w:u w:val="single"/>
        </w:rPr>
        <w:t>Sh</w:t>
      </w:r>
      <w:r w:rsidRPr="008F03E5">
        <w:t>ay</w:t>
      </w:r>
      <w:r w:rsidRPr="008F03E5">
        <w:rPr>
          <w:u w:val="single"/>
        </w:rPr>
        <w:t>kh</w:t>
      </w:r>
      <w:r w:rsidRPr="008F03E5">
        <w:t xml:space="preserve"> aṣ-Ṣadúq (the truthful scholar) was a Persian Shi’ite Islamic scholar</w:t>
      </w:r>
    </w:p>
    <w:p w14:paraId="715FBA32" w14:textId="77777777" w:rsidR="00625A5B" w:rsidRPr="008F03E5" w:rsidRDefault="00625A5B" w:rsidP="00BC3C49">
      <w:pPr>
        <w:pStyle w:val="Translit"/>
      </w:pPr>
      <w:r w:rsidRPr="008F03E5">
        <w:t>Yahu</w:t>
      </w:r>
      <w:r w:rsidRPr="008F03E5">
        <w:tab/>
        <w:t>Yáhú</w:t>
      </w:r>
      <w:r w:rsidRPr="008F03E5">
        <w:tab/>
        <w:t>Jehovah; Moses; adieu</w:t>
      </w:r>
    </w:p>
    <w:p w14:paraId="00770548" w14:textId="77777777" w:rsidR="00625A5B" w:rsidRPr="008F03E5" w:rsidRDefault="00625A5B" w:rsidP="00BC3C49">
      <w:pPr>
        <w:pStyle w:val="Translit"/>
      </w:pPr>
      <w:r w:rsidRPr="008F03E5">
        <w:t>Yahud</w:t>
      </w:r>
      <w:r w:rsidRPr="008F03E5">
        <w:tab/>
        <w:t>al-Yahúd</w:t>
      </w:r>
      <w:r w:rsidRPr="008F03E5">
        <w:tab/>
        <w:t>the Jews; Jewry.  Descendants of Yahúdá</w:t>
      </w:r>
    </w:p>
    <w:p w14:paraId="71124B08" w14:textId="77777777" w:rsidR="00625A5B" w:rsidRPr="008F03E5" w:rsidRDefault="00625A5B" w:rsidP="000359D3">
      <w:pPr>
        <w:pStyle w:val="Translit"/>
      </w:pPr>
      <w:r w:rsidRPr="008F03E5">
        <w:t>Yahudi, Yahudiyan</w:t>
      </w:r>
      <w:r w:rsidRPr="008F03E5">
        <w:tab/>
        <w:t>Yahúdí, Pers. pl. Yahúdiyán</w:t>
      </w:r>
      <w:r w:rsidRPr="008F03E5">
        <w:tab/>
        <w:t>Jewish; Jew</w:t>
      </w:r>
    </w:p>
    <w:p w14:paraId="65D574BB" w14:textId="77777777" w:rsidR="00625A5B" w:rsidRPr="008F03E5" w:rsidRDefault="00625A5B" w:rsidP="00B90AC6">
      <w:pPr>
        <w:pStyle w:val="Translit"/>
      </w:pPr>
      <w:r w:rsidRPr="008F03E5">
        <w:t>Yahya</w:t>
      </w:r>
      <w:r w:rsidRPr="008F03E5">
        <w:tab/>
        <w:t>Yaḥyá (</w:t>
      </w:r>
      <w:r w:rsidRPr="008F03E5">
        <w:rPr>
          <w:rFonts w:ascii="Times New Roman" w:hAnsi="Times New Roman"/>
          <w:rtl/>
        </w:rPr>
        <w:t>يحيى</w:t>
      </w:r>
      <w:r w:rsidRPr="008F03E5">
        <w:t>)</w:t>
      </w:r>
      <w:r w:rsidRPr="008F03E5">
        <w:tab/>
        <w:t xml:space="preserve">(word ends with an alif maqṣúra, </w:t>
      </w:r>
      <w:r w:rsidRPr="008F03E5">
        <w:rPr>
          <w:rFonts w:ascii="Times New Roman" w:hAnsi="Times New Roman"/>
          <w:rtl/>
        </w:rPr>
        <w:t>ى</w:t>
      </w:r>
      <w:r w:rsidRPr="008F03E5">
        <w:t>) John.  St. John the Baptist (Yaḥyá ibn Zakaríya).  His Islamic title is Yaḥyá al-Ḥaṣúr (John the chaste, Qur’án 3:39), contrast with Mírzá Yaḥyá the unchaste (</w:t>
      </w:r>
      <w:r w:rsidRPr="008F03E5">
        <w:rPr>
          <w:u w:val="single"/>
        </w:rPr>
        <w:t>gh</w:t>
      </w:r>
      <w:r w:rsidRPr="008F03E5">
        <w:t>ayr ḥaṣúr).  See Yúḥanná.</w:t>
      </w:r>
    </w:p>
    <w:p w14:paraId="48EC14DB" w14:textId="77777777" w:rsidR="00625A5B" w:rsidRPr="008F03E5" w:rsidRDefault="00625A5B" w:rsidP="007C22DC">
      <w:pPr>
        <w:pStyle w:val="Translit"/>
      </w:pPr>
      <w:r w:rsidRPr="008F03E5">
        <w:t>Yahya, Mirza</w:t>
      </w:r>
      <w:r w:rsidRPr="008F03E5">
        <w:tab/>
        <w:t>Yaḥyá, Mírzá</w:t>
      </w:r>
      <w:r w:rsidRPr="008F03E5">
        <w:tab/>
        <w:t>Mírzá Yaḥyá Núrí (c. 1831–1912) a younger half-brother of Bahá’u’lláh, nominee (trustee) of the Báb (</w:t>
      </w:r>
      <w:r w:rsidRPr="008F03E5">
        <w:rPr>
          <w:i/>
          <w:iCs/>
        </w:rPr>
        <w:t>God Passes By,</w:t>
      </w:r>
      <w:r w:rsidRPr="008F03E5">
        <w:t xml:space="preserve"> p. 112).  His mother was the concubine Kú</w:t>
      </w:r>
      <w:r w:rsidRPr="008F03E5">
        <w:rPr>
          <w:u w:val="single"/>
        </w:rPr>
        <w:t>ch</w:t>
      </w:r>
      <w:r w:rsidRPr="008F03E5">
        <w:t xml:space="preserve">ik </w:t>
      </w:r>
      <w:r w:rsidRPr="008F03E5">
        <w:rPr>
          <w:u w:val="single"/>
        </w:rPr>
        <w:t>Kh</w:t>
      </w:r>
      <w:r w:rsidRPr="008F03E5">
        <w:t xml:space="preserve">ánum.  The Báb never named a successor or vicegerent (see waṣíy) according to Shoghi Effendi, GPB, p. 28.  Yaḥyá was given the titles of Ḥaḍrat-i-Azal (“Holiness of Eternity”), Ismu’l-Azal (“Name of Eternity”), Mir’atu’l-Azalíyyih (“Everlasting Mirror”), Ṣubḥ-i-Azal (“Morning of Eternity”, a self-assumed title) and </w:t>
      </w:r>
      <w:r w:rsidRPr="008F03E5">
        <w:rPr>
          <w:u w:val="single"/>
        </w:rPr>
        <w:t>Th</w:t>
      </w:r>
      <w:r w:rsidRPr="008F03E5">
        <w:t>amaratu’l-Azalíyya (“Everlasting fruit”).  ‘Abdu’l-Bahá stated Mírzá Yahyá’s appointment as leader of the Bábís was a stratagem that Bahá’u’lláh, His brother Mírzá Músá, and Mullá ‘Abdu’l-Karím Qazvíní, one of the Báb’s secretaries, devised, with the Báb’s approval, to divert attention onto a little-known figurehead and away from Bahá’u’lláh, “though He was known and seen”. (</w:t>
      </w:r>
      <w:r w:rsidRPr="008F03E5">
        <w:rPr>
          <w:i/>
          <w:iCs/>
        </w:rPr>
        <w:t>A Traveller’s Narrative</w:t>
      </w:r>
      <w:r w:rsidRPr="008F03E5">
        <w:t xml:space="preserve">, p. 37).  Refer to the messages between Bahá’u’lláh and the Báb that were misconstrued in </w:t>
      </w:r>
      <w:r w:rsidRPr="008F03E5">
        <w:rPr>
          <w:i/>
          <w:iCs/>
        </w:rPr>
        <w:t>The Dawn-Breakers</w:t>
      </w:r>
      <w:r w:rsidRPr="008F03E5">
        <w:t>, p. 433.  See Hayiya.</w:t>
      </w:r>
    </w:p>
    <w:p w14:paraId="23E8F71E" w14:textId="77777777" w:rsidR="00625A5B" w:rsidRPr="008F03E5" w:rsidRDefault="00625A5B" w:rsidP="00922D9E">
      <w:pPr>
        <w:pStyle w:val="Translit"/>
      </w:pPr>
      <w:r w:rsidRPr="008F03E5">
        <w:t>Yahya’i, Yahya’iyun</w:t>
      </w:r>
      <w:r w:rsidRPr="008F03E5">
        <w:tab/>
        <w:t>Yaḥyá’í, pl. Yaḥyá’iyún</w:t>
      </w:r>
      <w:r w:rsidRPr="008F03E5">
        <w:tab/>
        <w:t>Yaḥyá’í (i.e. Azalí) Bábís.  Yaḥyáyí is a follower of Azal, in particular of Yaḥyá Azal, all of whom were Covenant Breakers of the Bahá’í Dispensation.</w:t>
      </w:r>
    </w:p>
    <w:p w14:paraId="3B5D0068" w14:textId="77777777" w:rsidR="00625A5B" w:rsidRPr="008F03E5" w:rsidRDefault="00625A5B" w:rsidP="008A5C2B">
      <w:pPr>
        <w:pStyle w:val="Translit"/>
      </w:pPr>
      <w:r w:rsidRPr="008F03E5">
        <w:t>Yahya-i-Darabi or Yahyay-i-Darabi</w:t>
      </w:r>
      <w:r w:rsidRPr="008F03E5">
        <w:tab/>
        <w:t>Yaḥyá-i-Dárábí or Yaḥyáy-i-Dárábí</w:t>
      </w:r>
      <w:r w:rsidRPr="008F03E5">
        <w:tab/>
        <w:t>Surnamed Vaḥíd (Waḥíd)</w:t>
      </w:r>
    </w:p>
    <w:p w14:paraId="79E56CB2" w14:textId="77777777" w:rsidR="00625A5B" w:rsidRPr="008F03E5" w:rsidRDefault="00625A5B" w:rsidP="002C640C">
      <w:pPr>
        <w:pStyle w:val="Translit"/>
      </w:pPr>
      <w:r w:rsidRPr="008F03E5">
        <w:t>Yakun</w:t>
      </w:r>
      <w:r w:rsidRPr="008F03E5">
        <w:tab/>
        <w:t>Yakún</w:t>
      </w:r>
      <w:r w:rsidRPr="008F03E5">
        <w:tab/>
        <w:t>Pers. (Ar. influence), it will be; sum total</w:t>
      </w:r>
    </w:p>
    <w:p w14:paraId="7187DD79" w14:textId="77777777" w:rsidR="00625A5B" w:rsidRPr="008F03E5" w:rsidRDefault="00625A5B" w:rsidP="00C408CE">
      <w:pPr>
        <w:pStyle w:val="Translit"/>
      </w:pPr>
      <w:r w:rsidRPr="008F03E5">
        <w:t>Yalda</w:t>
      </w:r>
      <w:r w:rsidRPr="008F03E5">
        <w:tab/>
        <w:t>Yaldá</w:t>
      </w:r>
      <w:r w:rsidRPr="008F03E5">
        <w:tab/>
        <w:t>Pers. the longest night of winter; name of one of Jesus’ attendants</w:t>
      </w:r>
    </w:p>
    <w:p w14:paraId="0448720F" w14:textId="77777777" w:rsidR="00625A5B" w:rsidRPr="008F03E5" w:rsidRDefault="00625A5B" w:rsidP="00AA3411">
      <w:pPr>
        <w:pStyle w:val="Translit"/>
      </w:pPr>
      <w:r w:rsidRPr="008F03E5">
        <w:t>Yalda’i</w:t>
      </w:r>
      <w:r w:rsidRPr="008F03E5">
        <w:tab/>
        <w:t>Yaldá’í</w:t>
      </w:r>
      <w:r w:rsidRPr="008F03E5">
        <w:tab/>
      </w:r>
    </w:p>
    <w:p w14:paraId="6A4C49BE" w14:textId="77777777" w:rsidR="00625A5B" w:rsidRPr="008F03E5" w:rsidRDefault="00625A5B" w:rsidP="002F6425">
      <w:pPr>
        <w:pStyle w:val="Translit"/>
      </w:pPr>
      <w:r w:rsidRPr="008F03E5">
        <w:t>Yali, Yalli (also Yallali, Yalali)</w:t>
      </w:r>
      <w:r w:rsidRPr="008F03E5">
        <w:tab/>
        <w:t>Yalí, Yallí, (variation Yallalí, Yalalí)</w:t>
      </w:r>
      <w:r w:rsidRPr="008F03E5">
        <w:tab/>
        <w:t>Pers. exclamation uttered in a state of intoxication or on receiving good news</w:t>
      </w:r>
    </w:p>
    <w:p w14:paraId="0BB5E2E1" w14:textId="77777777" w:rsidR="00625A5B" w:rsidRPr="008F03E5" w:rsidRDefault="00625A5B" w:rsidP="00924D55">
      <w:pPr>
        <w:pStyle w:val="Translit"/>
      </w:pPr>
      <w:r w:rsidRPr="008F03E5">
        <w:t>Yalrud (Yalrood)</w:t>
      </w:r>
      <w:r w:rsidRPr="008F03E5">
        <w:tab/>
        <w:t>Yálrúd</w:t>
      </w:r>
      <w:r w:rsidRPr="008F03E5">
        <w:tab/>
        <w:t xml:space="preserve">Yál (name of a stream) and rúd (river)  A village (36.140257, 51.843697) 16 km </w:t>
      </w:r>
      <w:r w:rsidRPr="008F03E5">
        <w:rPr>
          <w:sz w:val="16"/>
          <w:szCs w:val="16"/>
        </w:rPr>
        <w:t>SW</w:t>
      </w:r>
      <w:r w:rsidRPr="008F03E5">
        <w:t xml:space="preserve"> of Tákur and 62 km </w:t>
      </w:r>
      <w:r w:rsidRPr="008F03E5">
        <w:rPr>
          <w:sz w:val="16"/>
          <w:szCs w:val="16"/>
        </w:rPr>
        <w:t>NE</w:t>
      </w:r>
      <w:r w:rsidRPr="008F03E5">
        <w:t xml:space="preserve"> of the centre of Ṭihrán.  It is in the Mazandaran Province.  This is the birthplace of Ásíyih, wife of Bahá’u’lláh.</w:t>
      </w:r>
    </w:p>
    <w:p w14:paraId="5BCD97F2" w14:textId="77777777" w:rsidR="00625A5B" w:rsidRPr="008F03E5" w:rsidRDefault="00625A5B" w:rsidP="0027113B">
      <w:pPr>
        <w:pStyle w:val="Translit"/>
      </w:pPr>
      <w:r w:rsidRPr="008F03E5">
        <w:t>Yamama, Yamamat</w:t>
      </w:r>
      <w:r w:rsidRPr="008F03E5">
        <w:tab/>
        <w:t>Yamáma[h or t]</w:t>
      </w:r>
      <w:r w:rsidRPr="008F03E5">
        <w:tab/>
        <w:t>a single pigeon; intention, design; name of a large ancient district in Arabia (lying to the east of the plateau of Najd in modern-day Saudi Arabia) very fruitful in palm-trees.  Yamámí, of the province of Yamámah.  The Battle of Yamáma was fought in December 632 between the forces of Abú Bakr and Musaylimah in the region of al-Yamáma.  See Maslama.</w:t>
      </w:r>
    </w:p>
    <w:p w14:paraId="794B0051" w14:textId="77777777" w:rsidR="00625A5B" w:rsidRPr="008F03E5" w:rsidRDefault="00625A5B" w:rsidP="005D56D8">
      <w:pPr>
        <w:pStyle w:val="Translit"/>
      </w:pPr>
      <w:r w:rsidRPr="00327DFB">
        <w:t>Yaman, Yamna, Yamin, Ayman (Aiman)</w:t>
      </w:r>
      <w:r w:rsidRPr="00327DFB">
        <w:tab/>
        <w:t xml:space="preserve">Yaman, Yamna, fem. </w:t>
      </w:r>
      <w:r w:rsidRPr="008F03E5">
        <w:t>Yamín, pl. Aymán</w:t>
      </w:r>
      <w:r w:rsidRPr="008F03E5">
        <w:tab/>
        <w:t>right side, right hand; an oath (because, in swearing, one man touched the other upon the right hand); strength, power; blessing, felicity, plenty; happy, prosperous, fortunate.  al-Yaman</w:t>
      </w:r>
      <w:r>
        <w:t>,</w:t>
      </w:r>
      <w:r w:rsidRPr="008F03E5">
        <w:t xml:space="preserve"> Yemen</w:t>
      </w:r>
      <w:r>
        <w:t xml:space="preserve"> (English), Teman (Hebrew)</w:t>
      </w:r>
      <w:r w:rsidRPr="008F03E5">
        <w:t>.</w:t>
      </w:r>
    </w:p>
    <w:p w14:paraId="4D5828B9" w14:textId="77777777" w:rsidR="00625A5B" w:rsidRPr="008F03E5" w:rsidRDefault="00625A5B" w:rsidP="00C86489">
      <w:pPr>
        <w:pStyle w:val="Translit"/>
      </w:pPr>
      <w:r w:rsidRPr="008F03E5">
        <w:t>Yamin a</w:t>
      </w:r>
      <w:r>
        <w:t>d</w:t>
      </w:r>
      <w:r w:rsidRPr="008F03E5">
        <w:t>-Dawla</w:t>
      </w:r>
      <w:r w:rsidRPr="008F03E5">
        <w:tab/>
        <w:t>Yamín a</w:t>
      </w:r>
      <w:r>
        <w:t>d</w:t>
      </w:r>
      <w:r w:rsidRPr="008F03E5">
        <w:t>-Dawla</w:t>
      </w:r>
      <w:r w:rsidRPr="008F03E5">
        <w:tab/>
        <w:t>right hand of the Government</w:t>
      </w:r>
    </w:p>
    <w:p w14:paraId="4A1F2071" w14:textId="77777777" w:rsidR="00625A5B" w:rsidRPr="008F03E5" w:rsidRDefault="00625A5B" w:rsidP="00BE0265">
      <w:pPr>
        <w:pStyle w:val="Translit"/>
      </w:pPr>
      <w:r w:rsidRPr="008F03E5">
        <w:t>Yamm, Yumum</w:t>
      </w:r>
      <w:r w:rsidRPr="008F03E5">
        <w:tab/>
        <w:t>Yamm, pl. Yumúm</w:t>
      </w:r>
      <w:r w:rsidRPr="008F03E5">
        <w:tab/>
        <w:t>open sea; (in Syria) side</w:t>
      </w:r>
    </w:p>
    <w:p w14:paraId="272C63B9" w14:textId="77777777" w:rsidR="00625A5B" w:rsidRPr="008F03E5" w:rsidRDefault="00625A5B" w:rsidP="005B7730">
      <w:pPr>
        <w:pStyle w:val="Translit"/>
      </w:pPr>
      <w:r w:rsidRPr="008F03E5">
        <w:t>Yanbu’, Yanabi’</w:t>
      </w:r>
      <w:r w:rsidRPr="008F03E5">
        <w:tab/>
        <w:t>Yanbú‘, pl. Yanábí‘</w:t>
      </w:r>
      <w:r w:rsidRPr="008F03E5">
        <w:tab/>
        <w:t xml:space="preserve">spring, source, fountain, well.  </w:t>
      </w:r>
      <w:r w:rsidRPr="008F03E5">
        <w:rPr>
          <w:i/>
          <w:iCs/>
        </w:rPr>
        <w:t>Yanbú‘ an-Nu</w:t>
      </w:r>
      <w:r w:rsidRPr="008F03E5">
        <w:rPr>
          <w:i/>
          <w:iCs/>
          <w:u w:val="single"/>
        </w:rPr>
        <w:t>sh</w:t>
      </w:r>
      <w:r w:rsidRPr="008F03E5">
        <w:rPr>
          <w:i/>
          <w:iCs/>
        </w:rPr>
        <w:t>úr</w:t>
      </w:r>
      <w:r w:rsidRPr="008F03E5">
        <w:t xml:space="preserve"> (</w:t>
      </w:r>
      <w:r>
        <w:t xml:space="preserve">“Spring of Resurrection”; </w:t>
      </w:r>
      <w:r w:rsidRPr="00CA7B8E">
        <w:t>Nu</w:t>
      </w:r>
      <w:r w:rsidRPr="00CA7B8E">
        <w:rPr>
          <w:u w:val="single"/>
        </w:rPr>
        <w:t>sh</w:t>
      </w:r>
      <w:r w:rsidRPr="00CA7B8E">
        <w:t xml:space="preserve">úr </w:t>
      </w:r>
      <w:r w:rsidRPr="008F03E5">
        <w:t xml:space="preserve">or </w:t>
      </w:r>
      <w:r w:rsidRPr="008F03E5">
        <w:rPr>
          <w:i/>
          <w:iCs/>
        </w:rPr>
        <w:t>an-Núr</w:t>
      </w:r>
      <w:r w:rsidRPr="008F03E5">
        <w:t xml:space="preserve">) a compilation of </w:t>
      </w:r>
      <w:r w:rsidRPr="008F03E5">
        <w:rPr>
          <w:u w:val="single"/>
        </w:rPr>
        <w:t>Sh</w:t>
      </w:r>
      <w:r w:rsidRPr="008F03E5">
        <w:t xml:space="preserve">í‘ih traditions from Ṣádiq (the sixth Imám) by Ibn al-Junayd al-Iskáfí (see </w:t>
      </w:r>
      <w:r w:rsidRPr="008F03E5">
        <w:rPr>
          <w:i/>
          <w:iCs/>
        </w:rPr>
        <w:t>Kitáb-i-Íqán</w:t>
      </w:r>
      <w:r w:rsidRPr="008F03E5">
        <w:t xml:space="preserve">, p. 243).  Yanbu‘ is a port city on the Red Sea east coast, 290 km </w:t>
      </w:r>
      <w:r w:rsidRPr="008F03E5">
        <w:rPr>
          <w:sz w:val="16"/>
          <w:szCs w:val="16"/>
        </w:rPr>
        <w:t>NNW</w:t>
      </w:r>
      <w:r w:rsidRPr="008F03E5">
        <w:t xml:space="preserve"> of Jeddah (Jiddah).</w:t>
      </w:r>
    </w:p>
    <w:p w14:paraId="6CFA6D6C" w14:textId="77777777" w:rsidR="00625A5B" w:rsidRPr="008F03E5" w:rsidRDefault="00625A5B" w:rsidP="0051244E">
      <w:pPr>
        <w:pStyle w:val="Translit"/>
      </w:pPr>
      <w:r w:rsidRPr="008F03E5">
        <w:t>Yaqin</w:t>
      </w:r>
      <w:r w:rsidRPr="008F03E5">
        <w:tab/>
        <w:t>Yaqín</w:t>
      </w:r>
      <w:r w:rsidRPr="008F03E5">
        <w:tab/>
        <w:t>certainty, certitude (about), conviction (of).  See “Traditional ṣúfí concepts” section below.</w:t>
      </w:r>
    </w:p>
    <w:p w14:paraId="5E44B16F" w14:textId="77777777" w:rsidR="00625A5B" w:rsidRPr="008F03E5" w:rsidRDefault="00625A5B" w:rsidP="00B00246">
      <w:pPr>
        <w:pStyle w:val="Translit"/>
      </w:pPr>
      <w:r w:rsidRPr="008F03E5">
        <w:t>Yaqtin</w:t>
      </w:r>
      <w:r w:rsidRPr="008F03E5">
        <w:tab/>
        <w:t>Yaqṭín</w:t>
      </w:r>
      <w:r w:rsidRPr="008F03E5">
        <w:tab/>
        <w:t>(noun yaqṭun) a variety of squash</w:t>
      </w:r>
    </w:p>
    <w:p w14:paraId="0C57CA11" w14:textId="77777777" w:rsidR="00625A5B" w:rsidRPr="008F03E5" w:rsidRDefault="00625A5B" w:rsidP="00F93BF6">
      <w:pPr>
        <w:pStyle w:val="Translit"/>
      </w:pPr>
      <w:r w:rsidRPr="008F03E5">
        <w:t>Yaqut, Yawaqit</w:t>
      </w:r>
      <w:r w:rsidRPr="008F03E5">
        <w:tab/>
        <w:t>Yáqút (collective; noun Yáqútun)</w:t>
      </w:r>
      <w:r w:rsidRPr="008F03E5">
        <w:tab/>
        <w:t>hyacinth (botanical); hyacinth, sapphire.—pl. yawáqít.  Yáqút ibn-‘Abdu’llaá ar-Rúmí al-Hamawí (1179–1229) an Arab biographer and geographer of Greek origin renowned for his encyclopedic writings on the Muslim world.  Yáqút aḥmar red ruby.</w:t>
      </w:r>
    </w:p>
    <w:p w14:paraId="1EEFA061" w14:textId="77777777" w:rsidR="00625A5B" w:rsidRPr="008F03E5" w:rsidRDefault="00625A5B" w:rsidP="00317741">
      <w:pPr>
        <w:pStyle w:val="Translit"/>
      </w:pPr>
      <w:r w:rsidRPr="008F03E5">
        <w:t>Yar, Yaran</w:t>
      </w:r>
      <w:r w:rsidRPr="008F03E5">
        <w:tab/>
        <w:t>Yár, pl. Yárán</w:t>
      </w:r>
      <w:r w:rsidRPr="008F03E5">
        <w:tab/>
        <w:t>Pers. a friend, lover, companion, comrade; an assistant, defender; a mistress; equal; strength, power; a pestle;—pl. friends; followers, clients.  See Arabic Sadiq.</w:t>
      </w:r>
    </w:p>
    <w:p w14:paraId="69E87789" w14:textId="77777777" w:rsidR="00625A5B" w:rsidRPr="008F03E5" w:rsidRDefault="00625A5B" w:rsidP="0050757D">
      <w:pPr>
        <w:pStyle w:val="Translit"/>
      </w:pPr>
      <w:r w:rsidRPr="008F03E5">
        <w:t>Yarbu’, Yarabi’</w:t>
      </w:r>
      <w:r w:rsidRPr="008F03E5">
        <w:tab/>
        <w:t>Yarbú‘, pl. Yarábí‘</w:t>
      </w:r>
      <w:r w:rsidRPr="008F03E5">
        <w:tab/>
        <w:t xml:space="preserve">jerboa (desert rodent, </w:t>
      </w:r>
      <w:r w:rsidRPr="008F03E5">
        <w:rPr>
          <w:i/>
          <w:iCs/>
        </w:rPr>
        <w:t>Jaculus jaculus</w:t>
      </w:r>
      <w:r w:rsidRPr="008F03E5">
        <w:t>; zoological.)</w:t>
      </w:r>
    </w:p>
    <w:p w14:paraId="163EBBDB" w14:textId="77777777" w:rsidR="00625A5B" w:rsidRPr="008F03E5" w:rsidRDefault="00625A5B" w:rsidP="0050757D">
      <w:pPr>
        <w:pStyle w:val="Translit"/>
      </w:pPr>
      <w:r w:rsidRPr="008F03E5">
        <w:t>Yari</w:t>
      </w:r>
      <w:r w:rsidRPr="008F03E5">
        <w:tab/>
        <w:t>Yárí</w:t>
      </w:r>
      <w:r w:rsidRPr="008F03E5">
        <w:tab/>
        <w:t>Pers. friendship, intimacy; assistance, aid; favour; power; the wives of two brothers; two women engaged to the same man; a rival wife</w:t>
      </w:r>
    </w:p>
    <w:p w14:paraId="7FB98869" w14:textId="77777777" w:rsidR="00625A5B" w:rsidRPr="008F03E5" w:rsidRDefault="00625A5B" w:rsidP="00744D45">
      <w:pPr>
        <w:pStyle w:val="Translit"/>
      </w:pPr>
      <w:r w:rsidRPr="008F03E5">
        <w:t>Yarka, Yerka, Yirkih</w:t>
      </w:r>
      <w:r w:rsidRPr="008F03E5">
        <w:tab/>
        <w:t>Yarká, Yirká (unofficial)</w:t>
      </w:r>
      <w:r w:rsidRPr="008F03E5">
        <w:tab/>
        <w:t>Druze village  (32.953473, 35.211996) (Heb. Yarka), 11 km east of Bahjí, 4 km east of Abú Sinán; northern Israel</w:t>
      </w:r>
    </w:p>
    <w:p w14:paraId="0BB32BC5" w14:textId="77777777" w:rsidR="00625A5B" w:rsidRPr="008F03E5" w:rsidRDefault="00625A5B" w:rsidP="00900A82">
      <w:pPr>
        <w:pStyle w:val="Translit"/>
      </w:pPr>
      <w:r w:rsidRPr="008F03E5">
        <w:t>Yarkand, Yarqand</w:t>
      </w:r>
      <w:r w:rsidRPr="008F03E5">
        <w:tab/>
        <w:t>Yarkand</w:t>
      </w:r>
      <w:r w:rsidRPr="008F03E5">
        <w:tab/>
        <w:t xml:space="preserve">city in Chinese Turkestan 155 km </w:t>
      </w:r>
      <w:r w:rsidRPr="008F03E5">
        <w:rPr>
          <w:sz w:val="16"/>
          <w:szCs w:val="16"/>
        </w:rPr>
        <w:t>SE</w:t>
      </w:r>
      <w:r w:rsidRPr="008F03E5">
        <w:t xml:space="preserve"> Kashgar</w:t>
      </w:r>
    </w:p>
    <w:p w14:paraId="73A2CF33" w14:textId="77777777" w:rsidR="00625A5B" w:rsidRPr="008F03E5" w:rsidRDefault="00625A5B" w:rsidP="00FC2872">
      <w:pPr>
        <w:pStyle w:val="Translit"/>
      </w:pPr>
      <w:r w:rsidRPr="008F03E5">
        <w:t>Yarmuk</w:t>
      </w:r>
      <w:r w:rsidRPr="008F03E5">
        <w:tab/>
        <w:t>Yarmúk</w:t>
      </w:r>
      <w:r w:rsidRPr="008F03E5">
        <w:tab/>
        <w:t xml:space="preserve">(“Yarmouk”) Nahr al-Yarmúk (Yarmuk River) in </w:t>
      </w:r>
      <w:r w:rsidRPr="008F03E5">
        <w:rPr>
          <w:sz w:val="16"/>
          <w:szCs w:val="16"/>
        </w:rPr>
        <w:t>NW</w:t>
      </w:r>
      <w:r w:rsidRPr="008F03E5">
        <w:t xml:space="preserve"> Jordan, the largest tributary of the Jordan River.  The Battle of Yarmúk was a major battle between the army of the Byzantine Empire and the Muslim Arab forces of the Rá</w:t>
      </w:r>
      <w:r w:rsidRPr="008F03E5">
        <w:rPr>
          <w:u w:val="single"/>
        </w:rPr>
        <w:t>sh</w:t>
      </w:r>
      <w:r w:rsidRPr="008F03E5">
        <w:t>idún Caliphate in August 636, near the Yarmúk River, along the present borders of Syria–Jordan and Syria–Israel, east of the Sea of Galilee.  The result of the battle was a complete Muslim victory that ended Byzantine rule in Syria.</w:t>
      </w:r>
    </w:p>
    <w:p w14:paraId="47F3BEEE" w14:textId="77777777" w:rsidR="00625A5B" w:rsidRPr="008F03E5" w:rsidRDefault="00625A5B" w:rsidP="00AE2D4E">
      <w:pPr>
        <w:pStyle w:val="Translit"/>
      </w:pPr>
      <w:r w:rsidRPr="008F03E5">
        <w:t>Yasa’</w:t>
      </w:r>
      <w:r w:rsidRPr="008F03E5">
        <w:tab/>
        <w:t>al-Yasa‘</w:t>
      </w:r>
      <w:r w:rsidRPr="008F03E5">
        <w:tab/>
        <w:t>Elisha, mentioned in Qur’án 6:86 and 38:48</w:t>
      </w:r>
    </w:p>
    <w:p w14:paraId="6CF07D69" w14:textId="77777777" w:rsidR="00625A5B" w:rsidRPr="008F03E5" w:rsidRDefault="00625A5B" w:rsidP="00CE38C2">
      <w:pPr>
        <w:pStyle w:val="Translit"/>
      </w:pPr>
      <w:r w:rsidRPr="008F03E5">
        <w:t>Yashmaq, Yashmak</w:t>
      </w:r>
      <w:r w:rsidRPr="008F03E5">
        <w:tab/>
        <w:t>Ya</w:t>
      </w:r>
      <w:r w:rsidRPr="008F03E5">
        <w:rPr>
          <w:u w:val="single"/>
        </w:rPr>
        <w:t>sh</w:t>
      </w:r>
      <w:r w:rsidRPr="008F03E5">
        <w:t>maq and Ya</w:t>
      </w:r>
      <w:r w:rsidRPr="008F03E5">
        <w:rPr>
          <w:u w:val="single"/>
        </w:rPr>
        <w:t>sh</w:t>
      </w:r>
      <w:r w:rsidRPr="008F03E5">
        <w:t>mak</w:t>
      </w:r>
      <w:r w:rsidRPr="008F03E5">
        <w:tab/>
        <w:t>(Turkish yaşmak) face veil worn by women</w:t>
      </w:r>
    </w:p>
    <w:p w14:paraId="610813E3" w14:textId="77777777" w:rsidR="00625A5B" w:rsidRPr="008F03E5" w:rsidRDefault="00625A5B" w:rsidP="00AE2D4E">
      <w:pPr>
        <w:pStyle w:val="Translit"/>
      </w:pPr>
      <w:r w:rsidRPr="008F03E5">
        <w:t>Yasu</w:t>
      </w:r>
      <w:r w:rsidRPr="008F03E5">
        <w:tab/>
        <w:t>Yasú’</w:t>
      </w:r>
      <w:r w:rsidRPr="008F03E5">
        <w:tab/>
        <w:t>Arabic for Jesus.  See ‘Ísá</w:t>
      </w:r>
    </w:p>
    <w:p w14:paraId="0DEFD724" w14:textId="77777777" w:rsidR="00625A5B" w:rsidRPr="008F03E5" w:rsidRDefault="00625A5B" w:rsidP="00F404F3">
      <w:pPr>
        <w:pStyle w:val="Translit"/>
      </w:pPr>
      <w:r w:rsidRPr="008F03E5">
        <w:t>Yatadhakkaruna</w:t>
      </w:r>
      <w:r w:rsidRPr="008F03E5">
        <w:tab/>
        <w:t>Yata</w:t>
      </w:r>
      <w:r w:rsidRPr="008F03E5">
        <w:rPr>
          <w:u w:val="single"/>
        </w:rPr>
        <w:t>dh</w:t>
      </w:r>
      <w:r w:rsidRPr="008F03E5">
        <w:t>akkarúna</w:t>
      </w:r>
      <w:r w:rsidRPr="008F03E5">
        <w:tab/>
        <w:t>those who reflect.  See fakara</w:t>
      </w:r>
    </w:p>
    <w:p w14:paraId="451D343A" w14:textId="77777777" w:rsidR="00625A5B" w:rsidRPr="008F03E5" w:rsidRDefault="00625A5B" w:rsidP="00F404F3">
      <w:pPr>
        <w:pStyle w:val="Translit"/>
      </w:pPr>
      <w:r w:rsidRPr="008F03E5">
        <w:t>Yatafakkaruna</w:t>
      </w:r>
      <w:r w:rsidRPr="008F03E5">
        <w:tab/>
        <w:t>Yatafakkarúna</w:t>
      </w:r>
      <w:r w:rsidRPr="008F03E5">
        <w:tab/>
        <w:t>those who think.  See fakara</w:t>
      </w:r>
    </w:p>
    <w:p w14:paraId="0C697F19" w14:textId="77777777" w:rsidR="00625A5B" w:rsidRPr="008F03E5" w:rsidRDefault="00625A5B" w:rsidP="007D014E">
      <w:pPr>
        <w:pStyle w:val="Translit"/>
      </w:pPr>
      <w:r w:rsidRPr="008F03E5">
        <w:t>Yathrib</w:t>
      </w:r>
      <w:r w:rsidRPr="008F03E5">
        <w:tab/>
        <w:t>Ya</w:t>
      </w:r>
      <w:r w:rsidRPr="008F03E5">
        <w:rPr>
          <w:u w:val="single"/>
        </w:rPr>
        <w:t>th</w:t>
      </w:r>
      <w:r w:rsidRPr="008F03E5">
        <w:t>rib</w:t>
      </w:r>
      <w:r w:rsidRPr="008F03E5">
        <w:tab/>
        <w:t>he blames or censures (see ta</w:t>
      </w:r>
      <w:r w:rsidRPr="008F03E5">
        <w:rPr>
          <w:u w:val="single"/>
        </w:rPr>
        <w:t>th</w:t>
      </w:r>
      <w:r w:rsidRPr="008F03E5">
        <w:t xml:space="preserve">ríb and </w:t>
      </w:r>
      <w:r w:rsidRPr="008F03E5">
        <w:rPr>
          <w:u w:val="single"/>
        </w:rPr>
        <w:t>th</w:t>
      </w:r>
      <w:r w:rsidRPr="008F03E5">
        <w:t>araba).  The ancient name for Medina, the City of the Prophet—al-Madínat an-Nabí (shortened to al-Madínah)</w:t>
      </w:r>
    </w:p>
    <w:p w14:paraId="463D9662" w14:textId="77777777" w:rsidR="00625A5B" w:rsidRPr="008F03E5" w:rsidRDefault="00625A5B" w:rsidP="006F4DF1">
      <w:pPr>
        <w:pStyle w:val="Translit"/>
      </w:pPr>
      <w:r w:rsidRPr="008F03E5">
        <w:t>Yawar (Yavar)</w:t>
      </w:r>
      <w:r w:rsidRPr="008F03E5">
        <w:tab/>
        <w:t>Yáwar (Yávar)</w:t>
      </w:r>
      <w:r w:rsidRPr="008F03E5">
        <w:tab/>
        <w:t>Pers. an assistant, co</w:t>
      </w:r>
      <w:r>
        <w:t>-</w:t>
      </w:r>
      <w:r w:rsidRPr="008F03E5">
        <w:t xml:space="preserve">adjutor; a friend, companion; </w:t>
      </w:r>
      <w:r>
        <w:t>a</w:t>
      </w:r>
      <w:r w:rsidRPr="006F4DF1">
        <w:t>ide-de-camp</w:t>
      </w:r>
      <w:r>
        <w:t xml:space="preserve"> (possibly captain)</w:t>
      </w:r>
    </w:p>
    <w:p w14:paraId="43BEFF33" w14:textId="77777777" w:rsidR="00625A5B" w:rsidRPr="008F03E5" w:rsidRDefault="00625A5B" w:rsidP="007F0BE1">
      <w:pPr>
        <w:pStyle w:val="Translit"/>
      </w:pPr>
      <w:r w:rsidRPr="008F03E5">
        <w:t>Yawm (Yaum), Ayyam</w:t>
      </w:r>
      <w:r w:rsidRPr="008F03E5">
        <w:tab/>
        <w:t>Yawm, pl. Ayyám</w:t>
      </w:r>
      <w:r w:rsidRPr="008F03E5">
        <w:tab/>
        <w:t>day;—pl. also:  age, era, time.  Pers. pl. days, times, seasons; weather; space of time, period; duration, term.  The day is commonly believed to start at sunset, but the Qur’án indicates the day starts at dawn (see 2:238, 11:114, 69:7, 91:1–4).  The Great Day (al-</w:t>
      </w:r>
      <w:r w:rsidRPr="008F03E5">
        <w:rPr>
          <w:rFonts w:eastAsia="MS Mincho"/>
        </w:rPr>
        <w:t>Yawmu’l</w:t>
      </w:r>
      <w:r w:rsidRPr="008F03E5">
        <w:t>-‘Aẓím); The Day of Resurrection (</w:t>
      </w:r>
      <w:r w:rsidRPr="008F03E5">
        <w:rPr>
          <w:rFonts w:eastAsia="MS Mincho"/>
        </w:rPr>
        <w:t>Yawmu’l</w:t>
      </w:r>
      <w:r w:rsidRPr="008F03E5">
        <w:t>-Qiyámah); The Day of Decision (</w:t>
      </w:r>
      <w:r w:rsidRPr="008F03E5">
        <w:rPr>
          <w:rFonts w:eastAsia="MS Mincho"/>
        </w:rPr>
        <w:t>Yawmu’l</w:t>
      </w:r>
      <w:r w:rsidRPr="008F03E5">
        <w:t>-Faṣl); The Day when the Hour shall come to pass (</w:t>
      </w:r>
      <w:r w:rsidRPr="008F03E5">
        <w:rPr>
          <w:rFonts w:eastAsia="MS Mincho"/>
        </w:rPr>
        <w:t>Yawmu’l</w:t>
      </w:r>
      <w:r w:rsidRPr="008F03E5">
        <w:t>-Sá‘ah); The Day of Judgement (</w:t>
      </w:r>
      <w:r w:rsidRPr="008F03E5">
        <w:rPr>
          <w:rFonts w:eastAsia="MS Mincho"/>
        </w:rPr>
        <w:t>Yawmu’l</w:t>
      </w:r>
      <w:r w:rsidRPr="008F03E5">
        <w:t>-Dín); The Day of Disillusion (</w:t>
      </w:r>
      <w:r w:rsidRPr="008F03E5">
        <w:rPr>
          <w:rFonts w:eastAsia="MS Mincho"/>
        </w:rPr>
        <w:t>Yawmu’</w:t>
      </w:r>
      <w:r w:rsidRPr="008F03E5">
        <w:t>t-Ta</w:t>
      </w:r>
      <w:r w:rsidRPr="008F03E5">
        <w:rPr>
          <w:u w:val="single"/>
        </w:rPr>
        <w:t>gh</w:t>
      </w:r>
      <w:r w:rsidRPr="008F03E5">
        <w:t>abún); The Day of Reckoning (</w:t>
      </w:r>
      <w:r w:rsidRPr="008F03E5">
        <w:rPr>
          <w:rFonts w:eastAsia="MS Mincho"/>
        </w:rPr>
        <w:t>Yawmu’l</w:t>
      </w:r>
      <w:r w:rsidRPr="008F03E5">
        <w:t>-Ḥisáb).  See yúm</w:t>
      </w:r>
    </w:p>
    <w:p w14:paraId="115119F4" w14:textId="77777777" w:rsidR="00625A5B" w:rsidRPr="008F03E5" w:rsidRDefault="00625A5B" w:rsidP="00511262">
      <w:pPr>
        <w:pStyle w:val="Translit"/>
      </w:pPr>
      <w:r w:rsidRPr="008F03E5">
        <w:t>Yawm ‘Arafah</w:t>
      </w:r>
      <w:r w:rsidRPr="008F03E5">
        <w:tab/>
        <w:t>Yawm ‘Arafah</w:t>
      </w:r>
      <w:r w:rsidRPr="008F03E5">
        <w:tab/>
        <w:t xml:space="preserve">Day of ‘Arafah, 10th day of </w:t>
      </w:r>
      <w:r w:rsidRPr="008F03E5">
        <w:rPr>
          <w:u w:val="single"/>
        </w:rPr>
        <w:t>Dhu</w:t>
      </w:r>
      <w:r w:rsidRPr="008F03E5">
        <w:t xml:space="preserve">’l-Ḥijjah (celebrates Muḥammad’s farewell and full pilgrimage, Friday 10 </w:t>
      </w:r>
      <w:r w:rsidRPr="008F03E5">
        <w:rPr>
          <w:u w:val="single"/>
        </w:rPr>
        <w:t>Dh</w:t>
      </w:r>
      <w:r w:rsidRPr="008F03E5">
        <w:t>u’l-Ḥijjah or Tuesday 10 March 632), the day when Islam was perfected (Qur’án 5:3), the day of repentance, the day of the festival of Immolation of ‘Ídu’l-Aḍḥá (vigil of the Feast of Sacrifice of Abraham of son Ishmael) when Meccan pilgrims proceed to Mount ‘Arafát).</w:t>
      </w:r>
    </w:p>
    <w:p w14:paraId="6F5D519F" w14:textId="77777777" w:rsidR="00625A5B" w:rsidRPr="008F03E5" w:rsidRDefault="00625A5B" w:rsidP="00A63121">
      <w:pPr>
        <w:pStyle w:val="Translit"/>
      </w:pPr>
      <w:r w:rsidRPr="008F03E5">
        <w:t>Yawm ad-Din, Yawmu’d-Din</w:t>
      </w:r>
      <w:r w:rsidRPr="008F03E5">
        <w:tab/>
        <w:t>Yawm ad-Dín, Pers. Yawmu’d-Dín</w:t>
      </w:r>
      <w:r w:rsidRPr="008F03E5">
        <w:tab/>
        <w:t>Day of Judgement.  Believed to be the day of God’s final assessment of humanity.  See Yawm al-Qiyámah.</w:t>
      </w:r>
    </w:p>
    <w:p w14:paraId="6A113280" w14:textId="77777777" w:rsidR="00625A5B" w:rsidRPr="008F03E5" w:rsidRDefault="00625A5B" w:rsidP="001B0DC9">
      <w:pPr>
        <w:pStyle w:val="Translit"/>
      </w:pPr>
      <w:r w:rsidRPr="008F03E5">
        <w:t>Yawm al-‘Ahd</w:t>
      </w:r>
      <w:r w:rsidRPr="008F03E5">
        <w:tab/>
        <w:t>Yawm al-‘Ahd</w:t>
      </w:r>
      <w:r w:rsidRPr="008F03E5">
        <w:tab/>
        <w:t>Day of the Covenant</w:t>
      </w:r>
    </w:p>
    <w:p w14:paraId="30CB4E5D" w14:textId="77777777" w:rsidR="00625A5B" w:rsidRPr="008F03E5" w:rsidRDefault="00625A5B" w:rsidP="00A63121">
      <w:pPr>
        <w:pStyle w:val="Translit"/>
      </w:pPr>
      <w:r w:rsidRPr="008F03E5">
        <w:t>Yawm al-Hashr</w:t>
      </w:r>
      <w:r w:rsidRPr="008F03E5">
        <w:tab/>
        <w:t>Yawm al-Ḥa</w:t>
      </w:r>
      <w:r w:rsidRPr="008F03E5">
        <w:rPr>
          <w:u w:val="single"/>
        </w:rPr>
        <w:t>sh</w:t>
      </w:r>
      <w:r w:rsidRPr="008F03E5">
        <w:t>r</w:t>
      </w:r>
      <w:r w:rsidRPr="008F03E5">
        <w:tab/>
        <w:t>the day of congregation (of the dead), the Day of Resurrection.  The Advent of Muḥammad was a Day of gathering.</w:t>
      </w:r>
    </w:p>
    <w:p w14:paraId="028A14EA" w14:textId="77777777" w:rsidR="00625A5B" w:rsidRPr="008F03E5" w:rsidRDefault="00625A5B" w:rsidP="00B60170">
      <w:pPr>
        <w:pStyle w:val="Translit"/>
      </w:pPr>
      <w:r w:rsidRPr="008F03E5">
        <w:t>Yawm al-Hisab</w:t>
      </w:r>
      <w:r w:rsidRPr="008F03E5">
        <w:tab/>
        <w:t>Yawm al-Ḥisáb</w:t>
      </w:r>
      <w:r w:rsidRPr="008F03E5">
        <w:tab/>
        <w:t>the Day of Reckoning, Judgement Day</w:t>
      </w:r>
    </w:p>
    <w:p w14:paraId="0651014B" w14:textId="77777777" w:rsidR="00625A5B" w:rsidRPr="008F03E5" w:rsidRDefault="00625A5B" w:rsidP="001025B9">
      <w:pPr>
        <w:pStyle w:val="Translit"/>
      </w:pPr>
      <w:r w:rsidRPr="008F03E5">
        <w:t>Yawm al-Qiyamah, Yawmu’l-Qiyamah</w:t>
      </w:r>
      <w:r w:rsidRPr="008F03E5">
        <w:tab/>
      </w:r>
      <w:bookmarkStart w:id="154" w:name="_Hlk52637718"/>
      <w:r w:rsidRPr="008F03E5">
        <w:t>Yawm al-Qiyámah</w:t>
      </w:r>
      <w:bookmarkEnd w:id="154"/>
      <w:r w:rsidRPr="008F03E5">
        <w:t>, Yawmu’l-Qiyámah</w:t>
      </w:r>
      <w:r w:rsidRPr="008F03E5">
        <w:tab/>
        <w:t>Day of Resurrection</w:t>
      </w:r>
    </w:p>
    <w:p w14:paraId="6CAB5B22" w14:textId="77777777" w:rsidR="00625A5B" w:rsidRPr="008F03E5" w:rsidRDefault="00625A5B" w:rsidP="006C683B">
      <w:pPr>
        <w:pStyle w:val="Translit"/>
      </w:pPr>
      <w:r w:rsidRPr="00D45A23">
        <w:rPr>
          <w:lang w:val="de-DE"/>
        </w:rPr>
        <w:t>Yawm an-Nahr, Yawm-i-Nahr</w:t>
      </w:r>
      <w:r w:rsidRPr="00D45A23">
        <w:rPr>
          <w:lang w:val="de-DE"/>
        </w:rPr>
        <w:tab/>
        <w:t xml:space="preserve">Yawm an-Naḥr, Pers. </w:t>
      </w:r>
      <w:r w:rsidRPr="008F03E5">
        <w:t>Yawm-i-Naḥr</w:t>
      </w:r>
      <w:r w:rsidRPr="008F03E5">
        <w:tab/>
        <w:t>Day of sacrifice or immolation (third day of Muslim pilgrimage)</w:t>
      </w:r>
    </w:p>
    <w:p w14:paraId="04D423BB" w14:textId="77777777" w:rsidR="00625A5B" w:rsidRPr="008F03E5" w:rsidRDefault="00625A5B" w:rsidP="00A446BD">
      <w:pPr>
        <w:pStyle w:val="Translit"/>
        <w:rPr>
          <w:lang w:eastAsia="en-US"/>
        </w:rPr>
      </w:pPr>
      <w:r w:rsidRPr="008F03E5">
        <w:rPr>
          <w:lang w:eastAsia="en-US"/>
        </w:rPr>
        <w:t>Yawm at-</w:t>
      </w:r>
      <w:r w:rsidRPr="008F03E5">
        <w:t>Taghabun</w:t>
      </w:r>
      <w:r w:rsidRPr="008F03E5">
        <w:tab/>
      </w:r>
      <w:r w:rsidRPr="008F03E5">
        <w:rPr>
          <w:lang w:eastAsia="en-US"/>
        </w:rPr>
        <w:t>Yawm at-</w:t>
      </w:r>
      <w:r w:rsidRPr="008F03E5">
        <w:t>Ta</w:t>
      </w:r>
      <w:r w:rsidRPr="008F03E5">
        <w:rPr>
          <w:u w:val="single"/>
        </w:rPr>
        <w:t>gh</w:t>
      </w:r>
      <w:r w:rsidRPr="008F03E5">
        <w:t>ábun</w:t>
      </w:r>
      <w:r w:rsidRPr="008F03E5">
        <w:tab/>
        <w:t xml:space="preserve">Day of Resurrection, the Day of Judgement (a day when expected gains turn into losses, and </w:t>
      </w:r>
      <w:r w:rsidRPr="008F03E5">
        <w:rPr>
          <w:i/>
          <w:iCs/>
        </w:rPr>
        <w:t>vice versa</w:t>
      </w:r>
      <w:r w:rsidRPr="008F03E5">
        <w:t xml:space="preserve">).  Pers. </w:t>
      </w:r>
      <w:r w:rsidRPr="008F03E5">
        <w:rPr>
          <w:lang w:eastAsia="en-US"/>
        </w:rPr>
        <w:t>Yawmu’l-</w:t>
      </w:r>
      <w:r w:rsidRPr="008F03E5">
        <w:t>Ta</w:t>
      </w:r>
      <w:r w:rsidRPr="008F03E5">
        <w:rPr>
          <w:u w:val="single"/>
        </w:rPr>
        <w:t>gh</w:t>
      </w:r>
      <w:r w:rsidRPr="008F03E5">
        <w:t>ábun</w:t>
      </w:r>
    </w:p>
    <w:p w14:paraId="596B7CD9" w14:textId="77777777" w:rsidR="00625A5B" w:rsidRPr="008F03E5" w:rsidRDefault="00625A5B" w:rsidP="007850A7">
      <w:pPr>
        <w:pStyle w:val="Translit"/>
      </w:pPr>
      <w:r w:rsidRPr="008F03E5">
        <w:rPr>
          <w:lang w:eastAsia="en-US"/>
        </w:rPr>
        <w:t>Yawm at-</w:t>
      </w:r>
      <w:r w:rsidRPr="008F03E5">
        <w:t xml:space="preserve">Talaq, </w:t>
      </w:r>
      <w:r w:rsidRPr="008F03E5">
        <w:rPr>
          <w:lang w:eastAsia="en-US"/>
        </w:rPr>
        <w:t>Yawm-i-T</w:t>
      </w:r>
      <w:r w:rsidRPr="008F03E5">
        <w:t>alaq</w:t>
      </w:r>
      <w:r w:rsidRPr="008F03E5">
        <w:tab/>
      </w:r>
      <w:r w:rsidRPr="008F03E5">
        <w:rPr>
          <w:lang w:eastAsia="en-US"/>
        </w:rPr>
        <w:t>Yawm a</w:t>
      </w:r>
      <w:r w:rsidRPr="008F03E5">
        <w:t>ṭ</w:t>
      </w:r>
      <w:r w:rsidRPr="008F03E5">
        <w:rPr>
          <w:lang w:eastAsia="en-US"/>
        </w:rPr>
        <w:t>-</w:t>
      </w:r>
      <w:r w:rsidRPr="008F03E5">
        <w:t xml:space="preserve">Ṭaláq, Pers. </w:t>
      </w:r>
      <w:r w:rsidRPr="008F03E5">
        <w:rPr>
          <w:lang w:eastAsia="en-US"/>
        </w:rPr>
        <w:t>Yawm-i-</w:t>
      </w:r>
      <w:r w:rsidRPr="008F03E5">
        <w:t>Ṭaláq</w:t>
      </w:r>
      <w:r w:rsidRPr="008F03E5">
        <w:tab/>
      </w:r>
      <w:r w:rsidRPr="008F03E5">
        <w:rPr>
          <w:lang w:eastAsia="en-US"/>
        </w:rPr>
        <w:t>the day of separation or parting of the truth from the error initiated by the appearance of a Manifestation of God</w:t>
      </w:r>
    </w:p>
    <w:p w14:paraId="0BA1685A" w14:textId="77777777" w:rsidR="00625A5B" w:rsidRPr="008F03E5" w:rsidRDefault="00625A5B" w:rsidP="00147196">
      <w:pPr>
        <w:pStyle w:val="Translit"/>
      </w:pPr>
      <w:r w:rsidRPr="008F03E5">
        <w:t>Yawm li muddat ‘ám</w:t>
      </w:r>
      <w:r w:rsidRPr="008F03E5">
        <w:tab/>
        <w:t>Yawm li muddat ‘ám</w:t>
      </w:r>
      <w:r w:rsidRPr="008F03E5">
        <w:tab/>
        <w:t>“a day for a period of a year”, the day-year principle.  Hebrew yom l’shanah (“day to year”).  See Num. 14.3; Ezek. 4.6; SAQ, pp. 50, 53–4.</w:t>
      </w:r>
    </w:p>
    <w:p w14:paraId="4A2CFE2A" w14:textId="77777777" w:rsidR="00625A5B" w:rsidRPr="008F03E5" w:rsidRDefault="00625A5B" w:rsidP="00AB478E">
      <w:pPr>
        <w:pStyle w:val="Translit"/>
      </w:pPr>
      <w:r w:rsidRPr="008F03E5">
        <w:t>Yawmu’l-Alast, Yawm-i-Alast</w:t>
      </w:r>
      <w:r w:rsidRPr="008F03E5">
        <w:tab/>
        <w:t>Yawmu’l-Alast, Pers. Yawm-i-Alast</w:t>
      </w:r>
      <w:r w:rsidRPr="008F03E5">
        <w:tab/>
        <w:t xml:space="preserve">is that not the day.  </w:t>
      </w:r>
      <w:r w:rsidRPr="008F03E5">
        <w:rPr>
          <w:sz w:val="16"/>
          <w:szCs w:val="16"/>
        </w:rPr>
        <w:t>SDC</w:t>
      </w:r>
      <w:r w:rsidRPr="008F03E5">
        <w:t xml:space="preserve"> p. 44, fn. 25.  Qur’án 7:172 or Rodwell 7:171.  See rúz-i-alast.</w:t>
      </w:r>
    </w:p>
    <w:p w14:paraId="3B1F7750" w14:textId="77777777" w:rsidR="00625A5B" w:rsidRPr="008F03E5" w:rsidRDefault="00625A5B" w:rsidP="00E901A7">
      <w:pPr>
        <w:pStyle w:val="Translit"/>
      </w:pPr>
      <w:r w:rsidRPr="008F03E5">
        <w:t>Yawmu’l-Haqq</w:t>
      </w:r>
      <w:r w:rsidRPr="008F03E5">
        <w:tab/>
        <w:t>Yawmu’l-Ḥ</w:t>
      </w:r>
      <w:r w:rsidRPr="008F03E5">
        <w:rPr>
          <w:rFonts w:eastAsia="PMingLiU"/>
          <w:lang w:eastAsia="zh-TW"/>
        </w:rPr>
        <w:t>aqq</w:t>
      </w:r>
      <w:r w:rsidRPr="008F03E5">
        <w:rPr>
          <w:rFonts w:eastAsia="PMingLiU"/>
          <w:lang w:eastAsia="zh-TW"/>
        </w:rPr>
        <w:tab/>
        <w:t>day of truth or day of happening.  Day of the Advent of the Messenger</w:t>
      </w:r>
    </w:p>
    <w:p w14:paraId="4130FAAD" w14:textId="77777777" w:rsidR="00625A5B" w:rsidRPr="008F03E5" w:rsidRDefault="00625A5B" w:rsidP="00A446BD">
      <w:pPr>
        <w:pStyle w:val="Translit"/>
      </w:pPr>
      <w:r w:rsidRPr="008F03E5">
        <w:t>Yawmu’l-Ittihad, Yawm-i-Ittihad</w:t>
      </w:r>
      <w:r w:rsidRPr="008F03E5">
        <w:tab/>
        <w:t>Yawmu’l-Ittiḥád, Pers. Yawm-i-Ittiḥad</w:t>
      </w:r>
      <w:r w:rsidRPr="008F03E5">
        <w:tab/>
        <w:t>“Unitarian Day”</w:t>
      </w:r>
    </w:p>
    <w:p w14:paraId="0F0D84AF" w14:textId="77777777" w:rsidR="00625A5B" w:rsidRPr="008F03E5" w:rsidRDefault="00625A5B" w:rsidP="008D72B1">
      <w:pPr>
        <w:pStyle w:val="Translit"/>
      </w:pPr>
      <w:r w:rsidRPr="008F03E5">
        <w:t>Yawmu’l-Khuruj</w:t>
      </w:r>
      <w:r w:rsidRPr="008F03E5">
        <w:tab/>
        <w:t>Yawmu’l-</w:t>
      </w:r>
      <w:r w:rsidRPr="008F03E5">
        <w:rPr>
          <w:u w:val="single"/>
        </w:rPr>
        <w:t>Kh</w:t>
      </w:r>
      <w:r w:rsidRPr="008F03E5">
        <w:t>urúj</w:t>
      </w:r>
      <w:r w:rsidRPr="008F03E5">
        <w:tab/>
        <w:t>Day of Exodus, the day of the Advent of a Manifestation</w:t>
      </w:r>
    </w:p>
    <w:p w14:paraId="14A7EC24" w14:textId="77777777" w:rsidR="00625A5B" w:rsidRPr="008F03E5" w:rsidRDefault="00625A5B" w:rsidP="005B7E1B">
      <w:pPr>
        <w:pStyle w:val="Translit"/>
      </w:pPr>
      <w:r w:rsidRPr="008F03E5">
        <w:t>Yawmu’llah, Ayyamu’llah</w:t>
      </w:r>
      <w:r w:rsidRPr="008F03E5">
        <w:tab/>
        <w:t>Yawmu’lláh, pl. Ayyámu’lláh</w:t>
      </w:r>
      <w:r w:rsidRPr="008F03E5">
        <w:tab/>
        <w:t>Day of God/days of God</w:t>
      </w:r>
    </w:p>
    <w:p w14:paraId="091AEE42" w14:textId="77777777" w:rsidR="00625A5B" w:rsidRPr="008F03E5" w:rsidRDefault="00625A5B" w:rsidP="00C220E8">
      <w:pPr>
        <w:pStyle w:val="Translit"/>
      </w:pPr>
      <w:r w:rsidRPr="008F03E5">
        <w:t>Yazd</w:t>
      </w:r>
      <w:r w:rsidRPr="008F03E5">
        <w:tab/>
        <w:t>Yazd</w:t>
      </w:r>
      <w:r w:rsidRPr="008F03E5">
        <w:tab/>
        <w:t>“pure”, “holy” (One, i.e. (God).  A province and city in central Írán, notable as the primary centre of the Persian Zoroastrian population.</w:t>
      </w:r>
    </w:p>
    <w:p w14:paraId="693310E6" w14:textId="77777777" w:rsidR="00625A5B" w:rsidRPr="008F03E5" w:rsidRDefault="00625A5B" w:rsidP="00225CE3">
      <w:pPr>
        <w:pStyle w:val="Translit"/>
      </w:pPr>
      <w:r w:rsidRPr="00077779">
        <w:rPr>
          <w:lang w:val="es-ES_tradnl"/>
        </w:rPr>
        <w:t>Yazdan, Yuzdan</w:t>
      </w:r>
      <w:r w:rsidRPr="00077779">
        <w:rPr>
          <w:lang w:val="es-ES_tradnl"/>
        </w:rPr>
        <w:tab/>
        <w:t>Yazdán or Yúzdán</w:t>
      </w:r>
      <w:r w:rsidRPr="00077779">
        <w:rPr>
          <w:lang w:val="es-ES_tradnl"/>
        </w:rPr>
        <w:tab/>
        <w:t xml:space="preserve">Pers. </w:t>
      </w:r>
      <w:r w:rsidRPr="008F03E5">
        <w:t xml:space="preserve">God; omnipotence; name of the spirit who is the principle of good, opposite to Ahriman, the originator of evil.  Yazdán is a very small village (106 km </w:t>
      </w:r>
      <w:r w:rsidRPr="008F03E5">
        <w:rPr>
          <w:sz w:val="16"/>
          <w:szCs w:val="16"/>
        </w:rPr>
        <w:t>SE</w:t>
      </w:r>
      <w:r w:rsidRPr="008F03E5">
        <w:t xml:space="preserve"> Shiraz; 29°04′26″ </w:t>
      </w:r>
      <w:r w:rsidRPr="008F03E5">
        <w:rPr>
          <w:sz w:val="16"/>
          <w:szCs w:val="16"/>
        </w:rPr>
        <w:t>N</w:t>
      </w:r>
      <w:r w:rsidRPr="008F03E5">
        <w:t xml:space="preserve"> 53°30′05″ </w:t>
      </w:r>
      <w:r w:rsidRPr="008F03E5">
        <w:rPr>
          <w:sz w:val="16"/>
          <w:szCs w:val="16"/>
        </w:rPr>
        <w:t>E</w:t>
      </w:r>
      <w:r w:rsidRPr="008F03E5">
        <w:t>) in Fars Province.</w:t>
      </w:r>
    </w:p>
    <w:p w14:paraId="671C26DD" w14:textId="77777777" w:rsidR="00625A5B" w:rsidRPr="008F03E5" w:rsidRDefault="00625A5B" w:rsidP="00914516">
      <w:pPr>
        <w:pStyle w:val="Translit"/>
      </w:pPr>
      <w:r w:rsidRPr="008F03E5">
        <w:t>Yazdani</w:t>
      </w:r>
      <w:r w:rsidRPr="008F03E5">
        <w:tab/>
        <w:t>Yazdání</w:t>
      </w:r>
      <w:r w:rsidRPr="008F03E5">
        <w:tab/>
        <w:t>Pers. divine.  Of or from Yazdán.</w:t>
      </w:r>
    </w:p>
    <w:p w14:paraId="3E0BC7EC" w14:textId="77777777" w:rsidR="00625A5B" w:rsidRPr="008F03E5" w:rsidRDefault="00625A5B" w:rsidP="006C683B">
      <w:pPr>
        <w:pStyle w:val="Translit"/>
      </w:pPr>
      <w:r w:rsidRPr="008F03E5">
        <w:t>Yazdi</w:t>
      </w:r>
      <w:r w:rsidRPr="008F03E5">
        <w:tab/>
        <w:t>Yazdí</w:t>
      </w:r>
      <w:r w:rsidRPr="008F03E5">
        <w:tab/>
        <w:t>Pers. of or belonging to, or native or inhabitant of, Yazd; cloth produced in that city.</w:t>
      </w:r>
    </w:p>
    <w:p w14:paraId="65018831" w14:textId="77777777" w:rsidR="00625A5B" w:rsidRPr="008F03E5" w:rsidRDefault="00625A5B" w:rsidP="00D75A6B">
      <w:pPr>
        <w:pStyle w:val="Translit"/>
      </w:pPr>
      <w:r w:rsidRPr="008F03E5">
        <w:t>Yazdigird</w:t>
      </w:r>
      <w:r w:rsidRPr="008F03E5">
        <w:tab/>
        <w:t>Yazdigird</w:t>
      </w:r>
      <w:r w:rsidRPr="008F03E5">
        <w:tab/>
        <w:t>name of several Sassanian Persian kings</w:t>
      </w:r>
    </w:p>
    <w:p w14:paraId="06D2A961" w14:textId="77777777" w:rsidR="00625A5B" w:rsidRPr="008F03E5" w:rsidRDefault="00625A5B" w:rsidP="00FA3732">
      <w:pPr>
        <w:pStyle w:val="Translit"/>
      </w:pPr>
      <w:r w:rsidRPr="008F03E5">
        <w:t>Yazid</w:t>
      </w:r>
      <w:r w:rsidRPr="008F03E5">
        <w:tab/>
        <w:t>Yazíd</w:t>
      </w:r>
      <w:r w:rsidRPr="008F03E5">
        <w:tab/>
        <w:t>wicked, cruel, cursed, execrable.  Name of 2, 9, and 12th Umayyad Caliphs</w:t>
      </w:r>
    </w:p>
    <w:p w14:paraId="5AB89F17" w14:textId="77777777" w:rsidR="00625A5B" w:rsidRPr="008F03E5" w:rsidRDefault="00625A5B" w:rsidP="009F7BF2">
      <w:pPr>
        <w:pStyle w:val="Translit"/>
      </w:pPr>
      <w:r w:rsidRPr="008F03E5">
        <w:t>Yazidi</w:t>
      </w:r>
      <w:r w:rsidRPr="008F03E5">
        <w:tab/>
        <w:t>Yazídí</w:t>
      </w:r>
      <w:r w:rsidRPr="008F03E5">
        <w:tab/>
        <w:t>Yazidi, belonging to the Yazidi sect</w:t>
      </w:r>
    </w:p>
    <w:p w14:paraId="77BC1FAD" w14:textId="77777777" w:rsidR="00625A5B" w:rsidRPr="008F03E5" w:rsidRDefault="00625A5B" w:rsidP="009F7BF2">
      <w:pPr>
        <w:pStyle w:val="Translit"/>
      </w:pPr>
      <w:r w:rsidRPr="008F03E5">
        <w:t>Yaziji (Yazigi or Yazji)</w:t>
      </w:r>
      <w:r w:rsidRPr="008F03E5">
        <w:tab/>
        <w:t>Yázijí (Turkish Yazici)</w:t>
      </w:r>
      <w:r w:rsidRPr="008F03E5">
        <w:tab/>
        <w:t>Arabic surname (al- is often added) of Turkish origin, “clerk” or “writer”</w:t>
      </w:r>
    </w:p>
    <w:p w14:paraId="07182663" w14:textId="77777777" w:rsidR="00625A5B" w:rsidRDefault="00625A5B" w:rsidP="00221576">
      <w:pPr>
        <w:pStyle w:val="Translit"/>
      </w:pPr>
      <w:r w:rsidRPr="00FC64E7">
        <w:t>Yila (Yaila), Yilaq</w:t>
      </w:r>
      <w:r w:rsidRPr="00FC64E7">
        <w:tab/>
        <w:t>Yílá, Y</w:t>
      </w:r>
      <w:r w:rsidRPr="00FC64E7">
        <w:rPr>
          <w:lang w:val="en-IN"/>
        </w:rPr>
        <w:t>í</w:t>
      </w:r>
      <w:r w:rsidRPr="00FC64E7">
        <w:t>láq</w:t>
      </w:r>
      <w:r>
        <w:t xml:space="preserve"> (Yayl</w:t>
      </w:r>
      <w:r w:rsidRPr="00221576">
        <w:t>á</w:t>
      </w:r>
      <w:r>
        <w:t>q)</w:t>
      </w:r>
      <w:r>
        <w:tab/>
      </w:r>
      <w:r w:rsidRPr="00FC64E7">
        <w:t>(Yailaq</w:t>
      </w:r>
      <w:r>
        <w:t>, Yaylaq, Yilak, Yilagh</w:t>
      </w:r>
      <w:r w:rsidRPr="00FC64E7">
        <w:t>)</w:t>
      </w:r>
      <w:r>
        <w:t xml:space="preserve"> Pers. from Turkish </w:t>
      </w:r>
      <w:r w:rsidRPr="00FC64E7">
        <w:t>yazlık</w:t>
      </w:r>
      <w:r>
        <w:t xml:space="preserve">.  </w:t>
      </w:r>
      <w:r w:rsidRPr="00993D25">
        <w:t>Summer-quarters</w:t>
      </w:r>
      <w:r>
        <w:t>, summer house, summer highland pasture.  A place in the highlands where summer is spent.  See Qi</w:t>
      </w:r>
      <w:r w:rsidRPr="00BC189D">
        <w:rPr>
          <w:u w:val="single"/>
        </w:rPr>
        <w:t>sh</w:t>
      </w:r>
      <w:r>
        <w:t>l</w:t>
      </w:r>
      <w:r w:rsidRPr="00BC189D">
        <w:t>á</w:t>
      </w:r>
      <w:r>
        <w:t>q.</w:t>
      </w:r>
    </w:p>
    <w:p w14:paraId="44856514" w14:textId="77777777" w:rsidR="00625A5B" w:rsidRPr="008F03E5" w:rsidRDefault="00625A5B" w:rsidP="00307479">
      <w:pPr>
        <w:pStyle w:val="Translit"/>
      </w:pPr>
      <w:r w:rsidRPr="008F03E5">
        <w:t>Yildiz</w:t>
      </w:r>
      <w:r w:rsidRPr="008F03E5">
        <w:tab/>
        <w:t>Yildiz</w:t>
      </w:r>
      <w:r w:rsidRPr="008F03E5">
        <w:tab/>
        <w:t>Turkish “star”.  Yildiz Palace in Istanbul.</w:t>
      </w:r>
    </w:p>
    <w:p w14:paraId="4C83842F" w14:textId="77777777" w:rsidR="00625A5B" w:rsidRPr="00077779" w:rsidRDefault="00625A5B" w:rsidP="00307479">
      <w:pPr>
        <w:pStyle w:val="Translit"/>
      </w:pPr>
      <w:r w:rsidRPr="00077779">
        <w:t>Yuhanna al-Ma’madan</w:t>
      </w:r>
      <w:r w:rsidRPr="00077779">
        <w:tab/>
        <w:t>Yúḥanná al-Ma‘madán</w:t>
      </w:r>
      <w:r w:rsidRPr="00077779">
        <w:tab/>
        <w:t>John the Baptist.  See ‘amada</w:t>
      </w:r>
    </w:p>
    <w:p w14:paraId="6C72E9B2" w14:textId="77777777" w:rsidR="00625A5B" w:rsidRPr="00077779" w:rsidRDefault="00625A5B" w:rsidP="00021E2D">
      <w:pPr>
        <w:pStyle w:val="Translit"/>
      </w:pPr>
      <w:r w:rsidRPr="00077779">
        <w:t>Yuhanna, Yuhannah</w:t>
      </w:r>
      <w:r w:rsidRPr="00077779">
        <w:tab/>
        <w:t>Yúḥanná (</w:t>
      </w:r>
      <w:r w:rsidRPr="008F03E5">
        <w:rPr>
          <w:rtl/>
        </w:rPr>
        <w:t>يحیا</w:t>
      </w:r>
      <w:r w:rsidRPr="00077779">
        <w:t>), “Pers.” Yúḥannah</w:t>
      </w:r>
      <w:r w:rsidRPr="00077779">
        <w:tab/>
        <w:t>John.  From shortened form of Hebrew Yəhôḥánán, meaning “Yahweh is gracious”.  Yúḥanná is an alternative form of Yaḥyá (</w:t>
      </w:r>
      <w:r w:rsidRPr="008F03E5">
        <w:rPr>
          <w:rFonts w:ascii="Times New Roman" w:hAnsi="Times New Roman"/>
          <w:rtl/>
        </w:rPr>
        <w:t>يحيى</w:t>
      </w:r>
      <w:r w:rsidRPr="00077779">
        <w:t>).</w:t>
      </w:r>
    </w:p>
    <w:p w14:paraId="0F7C3DB7" w14:textId="77777777" w:rsidR="00625A5B" w:rsidRPr="008F03E5" w:rsidRDefault="00625A5B" w:rsidP="00CC6BBA">
      <w:pPr>
        <w:pStyle w:val="Translit"/>
      </w:pPr>
      <w:r w:rsidRPr="008F03E5">
        <w:t>Yum</w:t>
      </w:r>
      <w:r w:rsidRPr="008F03E5">
        <w:tab/>
        <w:t>al-Yúm</w:t>
      </w:r>
      <w:r w:rsidRPr="008F03E5">
        <w:tab/>
        <w:t>today</w:t>
      </w:r>
    </w:p>
    <w:p w14:paraId="2C58461C" w14:textId="77777777" w:rsidR="00625A5B" w:rsidRPr="008F03E5" w:rsidRDefault="00625A5B" w:rsidP="00B7096D">
      <w:pPr>
        <w:pStyle w:val="Translit"/>
      </w:pPr>
      <w:r w:rsidRPr="008F03E5">
        <w:t>Yuman</w:t>
      </w:r>
      <w:r w:rsidRPr="008F03E5">
        <w:tab/>
        <w:t>Yumán</w:t>
      </w:r>
      <w:r w:rsidRPr="008F03E5">
        <w:tab/>
        <w:t>a native of Yaman.  Ḥudhayfah ibn al-Yumán was one of the Ṣaḥába (companions) of Muḥammad.</w:t>
      </w:r>
    </w:p>
    <w:p w14:paraId="51867597" w14:textId="77777777" w:rsidR="00625A5B" w:rsidRPr="008F03E5" w:rsidRDefault="00625A5B" w:rsidP="009B006B">
      <w:pPr>
        <w:pStyle w:val="Translit"/>
      </w:pPr>
      <w:r w:rsidRPr="008F03E5">
        <w:t>Yunan</w:t>
      </w:r>
      <w:r w:rsidRPr="008F03E5">
        <w:tab/>
        <w:t>Yúnán</w:t>
      </w:r>
      <w:r w:rsidRPr="008F03E5">
        <w:tab/>
        <w:t>Ionia, Greece; the Greek nation.  al-yúnán, the Greeks; Greece.  ḥukamá’i yúnán, the Greek sages or philosophers.</w:t>
      </w:r>
    </w:p>
    <w:p w14:paraId="2E59FE65" w14:textId="77777777" w:rsidR="00625A5B" w:rsidRPr="008F03E5" w:rsidRDefault="00625A5B" w:rsidP="005D5AAC">
      <w:pPr>
        <w:pStyle w:val="Translit"/>
      </w:pPr>
      <w:r w:rsidRPr="008F03E5">
        <w:t>Yunani, Yunaniyun</w:t>
      </w:r>
      <w:r w:rsidRPr="008F03E5">
        <w:tab/>
        <w:t>Yúnání, pl. Yúnániyún</w:t>
      </w:r>
      <w:r w:rsidRPr="008F03E5">
        <w:tab/>
        <w:t>Greek;—pl. a Greek; yúnáníya[h] Greek language.  a</w:t>
      </w:r>
      <w:r>
        <w:t>s</w:t>
      </w:r>
      <w:r w:rsidRPr="008F03E5">
        <w:t>-</w:t>
      </w:r>
      <w:r w:rsidRPr="008F03E5">
        <w:rPr>
          <w:u w:val="single"/>
        </w:rPr>
        <w:t>sh</w:t>
      </w:r>
      <w:r w:rsidRPr="008F03E5">
        <w:t>ay</w:t>
      </w:r>
      <w:r w:rsidRPr="008F03E5">
        <w:rPr>
          <w:u w:val="single"/>
        </w:rPr>
        <w:t>kh</w:t>
      </w:r>
      <w:r w:rsidRPr="008F03E5">
        <w:t xml:space="preserve"> al-yúnání (the “Greek sage”) could refer to Plato, Aristotle or even Plotinus.</w:t>
      </w:r>
    </w:p>
    <w:p w14:paraId="4D8128AE" w14:textId="77777777" w:rsidR="00625A5B" w:rsidRPr="008F03E5" w:rsidRDefault="00625A5B" w:rsidP="00B35813">
      <w:pPr>
        <w:pStyle w:val="Translit"/>
      </w:pPr>
      <w:r w:rsidRPr="008F03E5">
        <w:t>Yunis Khan-i-Afrukhtih</w:t>
      </w:r>
      <w:r w:rsidRPr="008F03E5">
        <w:tab/>
        <w:t xml:space="preserve">Yúnis </w:t>
      </w:r>
      <w:r w:rsidRPr="008F03E5">
        <w:rPr>
          <w:u w:val="single"/>
        </w:rPr>
        <w:t>Kh</w:t>
      </w:r>
      <w:r w:rsidRPr="008F03E5">
        <w:t>án-i-Afrú</w:t>
      </w:r>
      <w:r w:rsidRPr="008F03E5">
        <w:rPr>
          <w:u w:val="single"/>
        </w:rPr>
        <w:t>kh</w:t>
      </w:r>
      <w:r w:rsidRPr="008F03E5">
        <w:t>tih, Dr</w:t>
      </w:r>
      <w:r w:rsidRPr="008F03E5">
        <w:tab/>
        <w:t>(Younes Khan Afroukhteh), titled Jináb-i-</w:t>
      </w:r>
      <w:r w:rsidRPr="008F03E5">
        <w:rPr>
          <w:u w:val="single"/>
        </w:rPr>
        <w:t>Kh</w:t>
      </w:r>
      <w:r w:rsidRPr="008F03E5">
        <w:t>án by ‘Abdu’l-Bahá.  see Afrú</w:t>
      </w:r>
      <w:r w:rsidRPr="008F03E5">
        <w:rPr>
          <w:u w:val="single"/>
        </w:rPr>
        <w:t>kh</w:t>
      </w:r>
      <w:r w:rsidRPr="008F03E5">
        <w:t>ta</w:t>
      </w:r>
    </w:p>
    <w:p w14:paraId="6F0279B1" w14:textId="77777777" w:rsidR="00625A5B" w:rsidRPr="008F03E5" w:rsidRDefault="00625A5B" w:rsidP="00EA02A8">
      <w:pPr>
        <w:pStyle w:val="Translit"/>
      </w:pPr>
      <w:r w:rsidRPr="008F03E5">
        <w:t>Yunis, Yunus</w:t>
      </w:r>
      <w:r w:rsidRPr="008F03E5">
        <w:tab/>
        <w:t>Yúnis, Yúnus ulláh</w:t>
      </w:r>
      <w:r w:rsidRPr="008F03E5">
        <w:tab/>
        <w:t>Jonah</w:t>
      </w:r>
    </w:p>
    <w:p w14:paraId="4D037D60" w14:textId="77777777" w:rsidR="00625A5B" w:rsidRPr="008F03E5" w:rsidRDefault="00625A5B" w:rsidP="007D4A22">
      <w:pPr>
        <w:pStyle w:val="Translit"/>
        <w:rPr>
          <w:rFonts w:eastAsia="PMingLiU"/>
          <w:lang w:eastAsia="zh-TW"/>
        </w:rPr>
      </w:pPr>
      <w:r w:rsidRPr="008F03E5">
        <w:rPr>
          <w:rFonts w:eastAsia="PMingLiU"/>
          <w:lang w:eastAsia="zh-TW"/>
        </w:rPr>
        <w:t>Yusayr (Yusair)</w:t>
      </w:r>
      <w:r w:rsidRPr="008F03E5">
        <w:rPr>
          <w:rFonts w:eastAsia="PMingLiU"/>
          <w:lang w:eastAsia="zh-TW"/>
        </w:rPr>
        <w:tab/>
        <w:t>Yusayr</w:t>
      </w:r>
      <w:r w:rsidRPr="008F03E5">
        <w:rPr>
          <w:rFonts w:eastAsia="PMingLiU"/>
          <w:lang w:eastAsia="zh-TW"/>
        </w:rPr>
        <w:tab/>
        <w:t>see yusr</w:t>
      </w:r>
    </w:p>
    <w:p w14:paraId="19EDB24E" w14:textId="77777777" w:rsidR="00625A5B" w:rsidRPr="008F03E5" w:rsidRDefault="00625A5B" w:rsidP="00436560">
      <w:pPr>
        <w:pStyle w:val="Translit"/>
      </w:pPr>
      <w:r w:rsidRPr="008F03E5">
        <w:t>Yusr</w:t>
      </w:r>
      <w:r w:rsidRPr="008F03E5">
        <w:tab/>
        <w:t>Yusr</w:t>
      </w:r>
      <w:r w:rsidRPr="008F03E5">
        <w:tab/>
        <w:t>ease, easiness, facility; easy, pleasant circumstances; *prosperity, affluence, wealth, abundance, luxury</w:t>
      </w:r>
    </w:p>
    <w:p w14:paraId="4EDE196D" w14:textId="77777777" w:rsidR="00625A5B" w:rsidRPr="008F03E5" w:rsidRDefault="00625A5B" w:rsidP="00B413BB">
      <w:pPr>
        <w:pStyle w:val="Translit"/>
      </w:pPr>
      <w:r w:rsidRPr="008F03E5">
        <w:t>Yusuf ‘Ala’ud-Dawlih</w:t>
      </w:r>
      <w:r w:rsidRPr="008F03E5">
        <w:tab/>
        <w:t>Yúsuf ‘Alá’úd-Dawlih</w:t>
      </w:r>
      <w:r w:rsidRPr="008F03E5">
        <w:tab/>
      </w:r>
    </w:p>
    <w:p w14:paraId="39824231" w14:textId="77777777" w:rsidR="00625A5B" w:rsidRPr="008F03E5" w:rsidRDefault="00625A5B" w:rsidP="007D4A22">
      <w:pPr>
        <w:pStyle w:val="Translit"/>
      </w:pPr>
      <w:r w:rsidRPr="008F03E5">
        <w:t>Yusuf, Yusif</w:t>
      </w:r>
      <w:r w:rsidRPr="008F03E5">
        <w:tab/>
        <w:t>Yúsuf (Yúsif)</w:t>
      </w:r>
      <w:r w:rsidRPr="008F03E5">
        <w:tab/>
        <w:t>Joseph</w:t>
      </w:r>
    </w:p>
    <w:p w14:paraId="5532123D" w14:textId="77777777" w:rsidR="00625A5B" w:rsidRPr="003F0A07" w:rsidRDefault="00625A5B" w:rsidP="008E6E2E">
      <w:pPr>
        <w:pStyle w:val="Translit"/>
      </w:pPr>
      <w:r w:rsidRPr="003F0A07">
        <w:t>Yusuf-i-Ardibili</w:t>
      </w:r>
      <w:r w:rsidRPr="003F0A07">
        <w:tab/>
        <w:t>Yúsuf-i-Ardibílí</w:t>
      </w:r>
      <w:r w:rsidRPr="003F0A07">
        <w:tab/>
      </w:r>
    </w:p>
    <w:p w14:paraId="7CF29017" w14:textId="77777777" w:rsidR="00625A5B" w:rsidRPr="008F03E5" w:rsidRDefault="00625A5B" w:rsidP="00067716">
      <w:pPr>
        <w:pStyle w:val="Translit"/>
      </w:pPr>
      <w:r w:rsidRPr="008F03E5">
        <w:t>Yusuf-i-Sidihi</w:t>
      </w:r>
      <w:r w:rsidRPr="008F03E5">
        <w:tab/>
        <w:t>Yúsuf-i-Sidihí</w:t>
      </w:r>
      <w:r w:rsidRPr="008F03E5">
        <w:tab/>
      </w:r>
      <w:r w:rsidRPr="008F03E5">
        <w:rPr>
          <w:sz w:val="16"/>
          <w:szCs w:val="16"/>
        </w:rPr>
        <w:t>GDM</w:t>
      </w:r>
      <w:r w:rsidRPr="008F03E5">
        <w:t xml:space="preserve"> ii</w:t>
      </w:r>
    </w:p>
    <w:p w14:paraId="008EABB5" w14:textId="77777777" w:rsidR="00625A5B" w:rsidRPr="008F03E5" w:rsidRDefault="00625A5B" w:rsidP="0076010E">
      <w:pPr>
        <w:pStyle w:val="Translit"/>
      </w:pPr>
      <w:r w:rsidRPr="008F03E5">
        <w:t>Yuz</w:t>
      </w:r>
      <w:r w:rsidRPr="008F03E5">
        <w:tab/>
        <w:t>Yúz</w:t>
      </w:r>
      <w:r w:rsidRPr="008F03E5">
        <w:tab/>
        <w:t>Ottoman Turkish “hundred”.  ‘Alí Big Yúz-Bá</w:t>
      </w:r>
      <w:r w:rsidRPr="008F03E5">
        <w:rPr>
          <w:u w:val="single"/>
        </w:rPr>
        <w:t>sh</w:t>
      </w:r>
      <w:r w:rsidRPr="008F03E5">
        <w:t>í.  Yúz-Bá</w:t>
      </w:r>
      <w:r w:rsidRPr="008F03E5">
        <w:rPr>
          <w:u w:val="single"/>
        </w:rPr>
        <w:t>sh</w:t>
      </w:r>
      <w:r w:rsidRPr="008F03E5">
        <w:t>í (Turkish Yüzbaşı) rank of centurian or captain.</w:t>
      </w:r>
    </w:p>
    <w:p w14:paraId="7C5E0110" w14:textId="77777777" w:rsidR="00625A5B" w:rsidRPr="008F03E5" w:rsidRDefault="00625A5B" w:rsidP="00374E0D">
      <w:pPr>
        <w:pStyle w:val="Translit"/>
      </w:pPr>
      <w:r w:rsidRPr="008F03E5">
        <w:t>Yuzbak (Öz Beg, Uzbak, Uzbek, Uzbeg)</w:t>
      </w:r>
      <w:r w:rsidRPr="008F03E5">
        <w:tab/>
        <w:t>Yúzbak</w:t>
      </w:r>
      <w:r w:rsidRPr="008F03E5">
        <w:tab/>
        <w:t>Pers. member of Turkic people from Uzbekistan and neighbouring areas</w:t>
      </w:r>
    </w:p>
    <w:p w14:paraId="3D5BB980" w14:textId="77777777" w:rsidR="00625A5B" w:rsidRPr="008F03E5" w:rsidRDefault="00625A5B" w:rsidP="006C183A">
      <w:pPr>
        <w:pStyle w:val="Translit"/>
      </w:pPr>
      <w:r w:rsidRPr="008F03E5">
        <w:t>Ywamu’l-Akhirah</w:t>
      </w:r>
      <w:r w:rsidRPr="008F03E5">
        <w:tab/>
        <w:t>Ywamu’l-Á</w:t>
      </w:r>
      <w:r w:rsidRPr="008F03E5">
        <w:rPr>
          <w:u w:val="single"/>
        </w:rPr>
        <w:t>kh</w:t>
      </w:r>
      <w:r w:rsidRPr="008F03E5">
        <w:t>irah</w:t>
      </w:r>
      <w:r w:rsidRPr="008F03E5">
        <w:tab/>
        <w:t>The Last Day, the appearance of Bahá’u’lláh</w:t>
      </w:r>
    </w:p>
    <w:p w14:paraId="02E83E18" w14:textId="77777777" w:rsidR="00625A5B" w:rsidRPr="00D45A23" w:rsidRDefault="00625A5B" w:rsidP="0024326A">
      <w:pPr>
        <w:pStyle w:val="Myhead"/>
        <w:rPr>
          <w:lang w:val="pl-PL"/>
        </w:rPr>
      </w:pPr>
      <w:bookmarkStart w:id="155" w:name="Z"/>
      <w:r w:rsidRPr="00D45A23">
        <w:rPr>
          <w:lang w:val="pl-PL"/>
        </w:rPr>
        <w:t>Z</w:t>
      </w:r>
      <w:bookmarkEnd w:id="155"/>
    </w:p>
    <w:p w14:paraId="22A2C2FC" w14:textId="77777777" w:rsidR="00625A5B" w:rsidRPr="00D45A23" w:rsidRDefault="00625A5B" w:rsidP="00C31478">
      <w:pPr>
        <w:pStyle w:val="Translit"/>
        <w:rPr>
          <w:lang w:val="pl-PL"/>
        </w:rPr>
      </w:pPr>
      <w:r w:rsidRPr="00D45A23">
        <w:rPr>
          <w:lang w:val="pl-PL"/>
        </w:rPr>
        <w:t>Za, Ze, Zal</w:t>
      </w:r>
      <w:r w:rsidRPr="00D45A23">
        <w:rPr>
          <w:lang w:val="pl-PL"/>
        </w:rPr>
        <w:tab/>
        <w:t>Zá’, Z or Ze, Zál</w:t>
      </w:r>
      <w:r w:rsidRPr="00D45A23">
        <w:rPr>
          <w:lang w:val="pl-PL"/>
        </w:rPr>
        <w:tab/>
        <w:t xml:space="preserve">Pers. letters transcripted as ẓ, z and </w:t>
      </w:r>
      <w:r w:rsidRPr="00D45A23">
        <w:rPr>
          <w:u w:val="single"/>
          <w:lang w:val="pl-PL"/>
        </w:rPr>
        <w:t>dh</w:t>
      </w:r>
    </w:p>
    <w:p w14:paraId="591F1417" w14:textId="77777777" w:rsidR="00625A5B" w:rsidRPr="008F03E5" w:rsidRDefault="00625A5B" w:rsidP="003036CC">
      <w:pPr>
        <w:pStyle w:val="Translit"/>
      </w:pPr>
      <w:r w:rsidRPr="008F03E5">
        <w:t>Za’faran</w:t>
      </w:r>
      <w:r>
        <w:t xml:space="preserve"> (Zaaferan)</w:t>
      </w:r>
      <w:r w:rsidRPr="008F03E5">
        <w:tab/>
        <w:t>Za‘farán</w:t>
      </w:r>
      <w:r w:rsidRPr="008F03E5">
        <w:tab/>
        <w:t>saffron  “</w:t>
      </w:r>
      <w:r w:rsidRPr="003D7C60">
        <w:rPr>
          <w:i/>
          <w:iCs/>
        </w:rPr>
        <w:t>The Blessed Tree in the land of Za‘farán referreth to the land which is flourishing, blessed, holy and all-perfumed, where that Tree hath been planted</w:t>
      </w:r>
      <w:r w:rsidRPr="008F03E5">
        <w:t>.”</w:t>
      </w:r>
      <w:r>
        <w:t xml:space="preserve"> (</w:t>
      </w:r>
      <w:r w:rsidRPr="001B1FA0">
        <w:t>Tablets of Bahá’u’lláh</w:t>
      </w:r>
      <w:r>
        <w:t>, p. 137).  A village (</w:t>
      </w:r>
      <w:r w:rsidRPr="003036CC">
        <w:t>36.1046</w:t>
      </w:r>
      <w:r>
        <w:t>70</w:t>
      </w:r>
      <w:r w:rsidRPr="003036CC">
        <w:t>, 50.117758</w:t>
      </w:r>
      <w:r>
        <w:t>) in Qazvin Province.</w:t>
      </w:r>
    </w:p>
    <w:p w14:paraId="18529F55" w14:textId="77777777" w:rsidR="00625A5B" w:rsidRDefault="00625A5B" w:rsidP="001A19BB">
      <w:pPr>
        <w:pStyle w:val="Translit"/>
        <w:rPr>
          <w:rFonts w:eastAsia="PMingLiU"/>
          <w:lang w:eastAsia="zh-TW"/>
        </w:rPr>
      </w:pPr>
      <w:r>
        <w:rPr>
          <w:rFonts w:eastAsia="PMingLiU"/>
          <w:lang w:eastAsia="zh-TW"/>
        </w:rPr>
        <w:t>Za’im al-Dawla, Za’imu’d-Dawla</w:t>
      </w:r>
      <w:r>
        <w:rPr>
          <w:rFonts w:eastAsia="PMingLiU"/>
          <w:lang w:eastAsia="zh-TW"/>
        </w:rPr>
        <w:tab/>
        <w:t>Za‘</w:t>
      </w:r>
      <w:r w:rsidRPr="001A19BB">
        <w:t>í</w:t>
      </w:r>
      <w:r>
        <w:rPr>
          <w:rFonts w:eastAsia="PMingLiU"/>
          <w:lang w:eastAsia="zh-TW"/>
        </w:rPr>
        <w:t>m al-Dawla, Za‘</w:t>
      </w:r>
      <w:r w:rsidRPr="001A19BB">
        <w:t>í</w:t>
      </w:r>
      <w:r>
        <w:rPr>
          <w:rFonts w:eastAsia="PMingLiU"/>
          <w:lang w:eastAsia="zh-TW"/>
        </w:rPr>
        <w:t>mu’d-Dawla</w:t>
      </w:r>
      <w:r>
        <w:rPr>
          <w:rFonts w:eastAsia="PMingLiU"/>
          <w:lang w:eastAsia="zh-TW"/>
        </w:rPr>
        <w:tab/>
        <w:t>“leader of the state”</w:t>
      </w:r>
    </w:p>
    <w:p w14:paraId="34B745B7" w14:textId="77777777" w:rsidR="00625A5B" w:rsidRPr="008F03E5" w:rsidRDefault="00625A5B" w:rsidP="001A19BB">
      <w:pPr>
        <w:pStyle w:val="Translit"/>
        <w:rPr>
          <w:rFonts w:eastAsia="PMingLiU"/>
          <w:lang w:eastAsia="zh-TW"/>
        </w:rPr>
      </w:pPr>
      <w:r w:rsidRPr="008F03E5">
        <w:rPr>
          <w:rFonts w:eastAsia="PMingLiU"/>
          <w:lang w:eastAsia="zh-TW"/>
        </w:rPr>
        <w:t>Za’im, Zu’ama’</w:t>
      </w:r>
      <w:r w:rsidRPr="008F03E5">
        <w:rPr>
          <w:rFonts w:eastAsia="PMingLiU"/>
          <w:lang w:eastAsia="zh-TW"/>
        </w:rPr>
        <w:tab/>
        <w:t>Za‘ím, pl. Zu‘amá’</w:t>
      </w:r>
      <w:r w:rsidRPr="008F03E5">
        <w:rPr>
          <w:rFonts w:eastAsia="PMingLiU"/>
          <w:lang w:eastAsia="zh-TW"/>
        </w:rPr>
        <w:tab/>
        <w:t>leader; ringleader; colonel (Iran 1922); brigadier general (military; formerly Syrian); guarantor (of)</w:t>
      </w:r>
    </w:p>
    <w:p w14:paraId="75FA3C0B" w14:textId="77777777" w:rsidR="00625A5B" w:rsidRPr="008F03E5" w:rsidRDefault="00625A5B" w:rsidP="00714287">
      <w:pPr>
        <w:pStyle w:val="Translit"/>
        <w:rPr>
          <w:rFonts w:eastAsia="PMingLiU"/>
          <w:lang w:eastAsia="zh-TW"/>
        </w:rPr>
      </w:pPr>
      <w:r w:rsidRPr="008F03E5">
        <w:rPr>
          <w:rFonts w:eastAsia="PMingLiU"/>
          <w:lang w:eastAsia="zh-TW"/>
        </w:rPr>
        <w:t>Za’ir, Za’run, Zuwwar</w:t>
      </w:r>
      <w:r w:rsidRPr="008F03E5">
        <w:rPr>
          <w:rFonts w:eastAsia="PMingLiU"/>
          <w:lang w:eastAsia="zh-TW"/>
        </w:rPr>
        <w:tab/>
        <w:t>Zá’ir, pl. Zá’irún, Zuwwár</w:t>
      </w:r>
      <w:r w:rsidRPr="008F03E5">
        <w:rPr>
          <w:rFonts w:eastAsia="PMingLiU"/>
          <w:lang w:eastAsia="zh-TW"/>
        </w:rPr>
        <w:tab/>
        <w:t>visitor, caller, guest</w:t>
      </w:r>
    </w:p>
    <w:p w14:paraId="1BDE658A" w14:textId="77777777" w:rsidR="00625A5B" w:rsidRPr="008F03E5" w:rsidRDefault="00625A5B" w:rsidP="00714287">
      <w:pPr>
        <w:pStyle w:val="Translit"/>
        <w:rPr>
          <w:rFonts w:eastAsia="PMingLiU"/>
          <w:lang w:eastAsia="zh-TW"/>
        </w:rPr>
      </w:pPr>
      <w:r w:rsidRPr="008F03E5">
        <w:rPr>
          <w:rFonts w:eastAsia="PMingLiU"/>
          <w:lang w:eastAsia="zh-TW"/>
        </w:rPr>
        <w:t>Za’ira, Za’irat, Zuwwar</w:t>
      </w:r>
      <w:r w:rsidRPr="008F03E5">
        <w:rPr>
          <w:rFonts w:eastAsia="PMingLiU"/>
          <w:lang w:eastAsia="zh-TW"/>
        </w:rPr>
        <w:tab/>
        <w:t>Zá’ira, pl. Zá’irát, Zuwwar</w:t>
      </w:r>
      <w:r w:rsidRPr="008F03E5">
        <w:rPr>
          <w:rFonts w:eastAsia="PMingLiU"/>
          <w:lang w:eastAsia="zh-TW"/>
        </w:rPr>
        <w:tab/>
        <w:t>fem. visitor, caller, guest</w:t>
      </w:r>
    </w:p>
    <w:p w14:paraId="3DEA160E" w14:textId="77777777" w:rsidR="00625A5B" w:rsidRPr="008F03E5" w:rsidRDefault="00625A5B" w:rsidP="00714287">
      <w:pPr>
        <w:pStyle w:val="Translit"/>
        <w:rPr>
          <w:rFonts w:eastAsia="PMingLiU"/>
          <w:lang w:eastAsia="zh-TW"/>
        </w:rPr>
      </w:pPr>
      <w:r w:rsidRPr="008F03E5">
        <w:rPr>
          <w:rFonts w:eastAsia="PMingLiU"/>
          <w:lang w:eastAsia="zh-TW"/>
        </w:rPr>
        <w:t>Za’irpur</w:t>
      </w:r>
      <w:r w:rsidRPr="008F03E5">
        <w:tab/>
      </w:r>
      <w:r w:rsidRPr="008F03E5">
        <w:rPr>
          <w:rFonts w:eastAsia="PMingLiU"/>
          <w:lang w:eastAsia="zh-TW"/>
        </w:rPr>
        <w:t>Zá’irpúr</w:t>
      </w:r>
      <w:r w:rsidRPr="008F03E5">
        <w:tab/>
        <w:t>Ṭ</w:t>
      </w:r>
      <w:r w:rsidRPr="008F03E5">
        <w:rPr>
          <w:rFonts w:eastAsia="PMingLiU"/>
          <w:lang w:eastAsia="zh-TW"/>
        </w:rPr>
        <w:t>úbá Zá’irpúr (</w:t>
      </w:r>
      <w:r w:rsidRPr="008F03E5">
        <w:rPr>
          <w:rFonts w:eastAsia="PMingLiU"/>
          <w:sz w:val="16"/>
          <w:szCs w:val="16"/>
          <w:lang w:eastAsia="zh-TW"/>
        </w:rPr>
        <w:t>MUHJ</w:t>
      </w:r>
      <w:r w:rsidRPr="008F03E5">
        <w:rPr>
          <w:rFonts w:eastAsia="PMingLiU"/>
          <w:lang w:eastAsia="zh-TW"/>
        </w:rPr>
        <w:t xml:space="preserve"> 573)</w:t>
      </w:r>
    </w:p>
    <w:p w14:paraId="585CF665" w14:textId="77777777" w:rsidR="00625A5B" w:rsidRPr="008F03E5" w:rsidRDefault="00625A5B" w:rsidP="005B6F59">
      <w:pPr>
        <w:pStyle w:val="Translit"/>
      </w:pPr>
      <w:r w:rsidRPr="008F03E5">
        <w:t>Zabadani</w:t>
      </w:r>
      <w:r w:rsidRPr="008F03E5">
        <w:tab/>
        <w:t>Zabádání</w:t>
      </w:r>
      <w:r w:rsidRPr="008F03E5">
        <w:tab/>
        <w:t>(Pers. “Zabadanih”, “Zabadaneh”) az-Zabádání is a city and popular hill station in southwestern Syria in the Rif Dimashq Governorate (Muḥáfaẓat Ríf Dima</w:t>
      </w:r>
      <w:r w:rsidRPr="008F03E5">
        <w:rPr>
          <w:u w:val="single"/>
        </w:rPr>
        <w:t>sh</w:t>
      </w:r>
      <w:r w:rsidRPr="008F03E5">
        <w:t>q, “Governorate of the Countryside of Damascus”), close to the border with Lebanon.  30 km NW of the centre of Damascus.</w:t>
      </w:r>
    </w:p>
    <w:p w14:paraId="01655C55" w14:textId="77777777" w:rsidR="00625A5B" w:rsidRDefault="00625A5B" w:rsidP="00BD244D">
      <w:pPr>
        <w:pStyle w:val="Translit"/>
        <w:rPr>
          <w:rFonts w:eastAsia="PMingLiU"/>
          <w:lang w:eastAsia="zh-TW"/>
        </w:rPr>
      </w:pPr>
      <w:r>
        <w:rPr>
          <w:rFonts w:eastAsia="PMingLiU"/>
          <w:lang w:eastAsia="zh-TW"/>
        </w:rPr>
        <w:t>Z</w:t>
      </w:r>
      <w:r w:rsidRPr="00631F7E">
        <w:rPr>
          <w:rFonts w:eastAsia="PMingLiU"/>
          <w:lang w:eastAsia="zh-TW"/>
        </w:rPr>
        <w:t>abarjad</w:t>
      </w:r>
      <w:r>
        <w:rPr>
          <w:rFonts w:eastAsia="PMingLiU"/>
          <w:lang w:eastAsia="zh-TW"/>
        </w:rPr>
        <w:t xml:space="preserve"> (Zabargad)</w:t>
      </w:r>
      <w:r>
        <w:rPr>
          <w:rFonts w:eastAsia="PMingLiU"/>
          <w:lang w:eastAsia="zh-TW"/>
        </w:rPr>
        <w:tab/>
        <w:t>Z</w:t>
      </w:r>
      <w:r w:rsidRPr="00631F7E">
        <w:rPr>
          <w:rFonts w:eastAsia="PMingLiU"/>
          <w:lang w:eastAsia="zh-TW"/>
        </w:rPr>
        <w:t>abarjad</w:t>
      </w:r>
      <w:r>
        <w:rPr>
          <w:rFonts w:eastAsia="PMingLiU"/>
          <w:lang w:eastAsia="zh-TW"/>
        </w:rPr>
        <w:t xml:space="preserve"> (Pers. also Zabargad)</w:t>
      </w:r>
      <w:r>
        <w:rPr>
          <w:rFonts w:eastAsia="PMingLiU"/>
          <w:lang w:eastAsia="zh-TW"/>
        </w:rPr>
        <w:tab/>
      </w:r>
      <w:r w:rsidRPr="00631F7E">
        <w:rPr>
          <w:rFonts w:eastAsia="PMingLiU"/>
          <w:lang w:eastAsia="zh-TW"/>
        </w:rPr>
        <w:t>chrysolite (</w:t>
      </w:r>
      <w:r>
        <w:rPr>
          <w:rFonts w:eastAsia="PMingLiU"/>
          <w:lang w:eastAsia="zh-TW"/>
        </w:rPr>
        <w:t xml:space="preserve">a </w:t>
      </w:r>
      <w:r w:rsidRPr="00631F7E">
        <w:rPr>
          <w:rFonts w:eastAsia="PMingLiU"/>
          <w:lang w:eastAsia="zh-TW"/>
        </w:rPr>
        <w:t>min</w:t>
      </w:r>
      <w:r>
        <w:rPr>
          <w:rFonts w:eastAsia="PMingLiU"/>
          <w:lang w:eastAsia="zh-TW"/>
        </w:rPr>
        <w:t>eral; from Greek chrys</w:t>
      </w:r>
      <w:r w:rsidRPr="005E3C7D">
        <w:t>ó</w:t>
      </w:r>
      <w:r>
        <w:rPr>
          <w:rFonts w:eastAsia="PMingLiU"/>
          <w:lang w:eastAsia="zh-TW"/>
        </w:rPr>
        <w:t>lithos, “golden stone”</w:t>
      </w:r>
      <w:r w:rsidRPr="00631F7E">
        <w:rPr>
          <w:rFonts w:eastAsia="PMingLiU"/>
          <w:lang w:eastAsia="zh-TW"/>
        </w:rPr>
        <w:t>)</w:t>
      </w:r>
      <w:r>
        <w:rPr>
          <w:rFonts w:eastAsia="PMingLiU"/>
          <w:lang w:eastAsia="zh-TW"/>
        </w:rPr>
        <w:t xml:space="preserve">; archaically, </w:t>
      </w:r>
      <w:r w:rsidRPr="00235A9D">
        <w:rPr>
          <w:rFonts w:eastAsia="PMingLiU"/>
          <w:lang w:eastAsia="zh-TW"/>
        </w:rPr>
        <w:t>any of several green or yellow-green-coloured gemstones including:</w:t>
      </w:r>
      <w:r>
        <w:rPr>
          <w:rFonts w:eastAsia="PMingLiU"/>
          <w:lang w:eastAsia="zh-TW"/>
        </w:rPr>
        <w:t xml:space="preserve"> </w:t>
      </w:r>
      <w:r w:rsidRPr="00235A9D">
        <w:rPr>
          <w:rFonts w:eastAsia="PMingLiU"/>
          <w:lang w:eastAsia="zh-TW"/>
        </w:rPr>
        <w:t xml:space="preserve"> topaz, chrysoberyl, zircon, tourmaline, apatite</w:t>
      </w:r>
      <w:r>
        <w:rPr>
          <w:rFonts w:eastAsia="PMingLiU"/>
          <w:lang w:eastAsia="zh-TW"/>
        </w:rPr>
        <w:t xml:space="preserve">.  At the time </w:t>
      </w:r>
      <w:r w:rsidRPr="00A438BF">
        <w:t xml:space="preserve">gem stones were classified only by </w:t>
      </w:r>
      <w:r>
        <w:t xml:space="preserve">their </w:t>
      </w:r>
      <w:r w:rsidRPr="00A438BF">
        <w:t>colo</w:t>
      </w:r>
      <w:r>
        <w:t>u</w:t>
      </w:r>
      <w:r w:rsidRPr="00A438BF">
        <w:t>r</w:t>
      </w:r>
      <w:r>
        <w:t>.</w:t>
      </w:r>
    </w:p>
    <w:p w14:paraId="2893E1FA" w14:textId="77777777" w:rsidR="00625A5B" w:rsidRPr="00235A9D" w:rsidRDefault="00625A5B" w:rsidP="00AE6C49">
      <w:pPr>
        <w:pStyle w:val="Translit"/>
      </w:pPr>
      <w:r>
        <w:rPr>
          <w:rFonts w:eastAsia="Times New Roman"/>
        </w:rPr>
        <w:t>Z</w:t>
      </w:r>
      <w:r w:rsidRPr="00235A9D">
        <w:rPr>
          <w:rFonts w:eastAsia="Times New Roman"/>
        </w:rPr>
        <w:t>abarjad</w:t>
      </w:r>
      <w:r>
        <w:rPr>
          <w:rFonts w:eastAsia="Times New Roman"/>
        </w:rPr>
        <w:t>i, Z</w:t>
      </w:r>
      <w:r w:rsidRPr="00235A9D">
        <w:rPr>
          <w:rFonts w:eastAsia="Times New Roman"/>
        </w:rPr>
        <w:t>arjad</w:t>
      </w:r>
      <w:r>
        <w:rPr>
          <w:rFonts w:eastAsia="Times New Roman"/>
        </w:rPr>
        <w:t>i</w:t>
      </w:r>
      <w:r w:rsidRPr="00235A9D">
        <w:rPr>
          <w:rFonts w:eastAsia="Times New Roman"/>
        </w:rPr>
        <w:t>n</w:t>
      </w:r>
      <w:r>
        <w:rPr>
          <w:rFonts w:eastAsia="Times New Roman"/>
        </w:rPr>
        <w:tab/>
        <w:t>Z</w:t>
      </w:r>
      <w:r w:rsidRPr="00235A9D">
        <w:t xml:space="preserve">abarjadí, </w:t>
      </w:r>
      <w:r>
        <w:t>Pers. also Z</w:t>
      </w:r>
      <w:r w:rsidRPr="00235A9D">
        <w:t>abarjadín</w:t>
      </w:r>
      <w:r>
        <w:tab/>
        <w:t>of</w:t>
      </w:r>
      <w:r w:rsidRPr="00235A9D">
        <w:t xml:space="preserve"> the colour of</w:t>
      </w:r>
      <w:r>
        <w:t xml:space="preserve"> </w:t>
      </w:r>
      <w:r w:rsidRPr="00631F7E">
        <w:rPr>
          <w:rFonts w:eastAsia="PMingLiU"/>
          <w:lang w:eastAsia="zh-TW"/>
        </w:rPr>
        <w:t>chrysolite (</w:t>
      </w:r>
      <w:r>
        <w:rPr>
          <w:rFonts w:eastAsia="PMingLiU"/>
          <w:lang w:eastAsia="zh-TW"/>
        </w:rPr>
        <w:t xml:space="preserve">a </w:t>
      </w:r>
      <w:r w:rsidRPr="00631F7E">
        <w:rPr>
          <w:rFonts w:eastAsia="PMingLiU"/>
          <w:lang w:eastAsia="zh-TW"/>
        </w:rPr>
        <w:t>min</w:t>
      </w:r>
      <w:r>
        <w:rPr>
          <w:rFonts w:eastAsia="PMingLiU"/>
          <w:lang w:eastAsia="zh-TW"/>
        </w:rPr>
        <w:t>eral</w:t>
      </w:r>
      <w:r w:rsidRPr="00631F7E">
        <w:rPr>
          <w:rFonts w:eastAsia="PMingLiU"/>
          <w:lang w:eastAsia="zh-TW"/>
        </w:rPr>
        <w:t>)</w:t>
      </w:r>
    </w:p>
    <w:p w14:paraId="4C50F708" w14:textId="77777777" w:rsidR="00625A5B" w:rsidRPr="008F03E5" w:rsidRDefault="00625A5B" w:rsidP="00631F7E">
      <w:pPr>
        <w:pStyle w:val="Translit"/>
        <w:rPr>
          <w:rFonts w:eastAsia="PMingLiU"/>
          <w:lang w:eastAsia="zh-TW"/>
        </w:rPr>
      </w:pPr>
      <w:r w:rsidRPr="008F03E5">
        <w:rPr>
          <w:rFonts w:eastAsia="PMingLiU"/>
          <w:lang w:eastAsia="zh-TW"/>
        </w:rPr>
        <w:t>Zabihu’llah (Gabi’u’llah)</w:t>
      </w:r>
      <w:r w:rsidRPr="008F03E5">
        <w:tab/>
      </w:r>
      <w:r w:rsidRPr="008F03E5">
        <w:rPr>
          <w:rFonts w:eastAsia="PMingLiU"/>
          <w:lang w:eastAsia="zh-TW"/>
        </w:rPr>
        <w:t>Zabí</w:t>
      </w:r>
      <w:r w:rsidRPr="008F03E5">
        <w:t>ḥ</w:t>
      </w:r>
      <w:r w:rsidRPr="008F03E5">
        <w:rPr>
          <w:rFonts w:eastAsia="PMingLiU"/>
          <w:lang w:eastAsia="zh-TW"/>
        </w:rPr>
        <w:t>u’lláh</w:t>
      </w:r>
      <w:r w:rsidRPr="008F03E5">
        <w:tab/>
        <w:t xml:space="preserve">Pers. (see Ar. </w:t>
      </w:r>
      <w:r w:rsidRPr="008F03E5">
        <w:rPr>
          <w:u w:val="single"/>
        </w:rPr>
        <w:t>Dh</w:t>
      </w:r>
      <w:r w:rsidRPr="008F03E5">
        <w:t>abíḥ</w:t>
      </w:r>
      <w:r w:rsidRPr="008F03E5">
        <w:rPr>
          <w:rFonts w:eastAsia="PMingLiU"/>
          <w:lang w:eastAsia="zh-TW"/>
        </w:rPr>
        <w:t>u’lláh</w:t>
      </w:r>
      <w:r w:rsidRPr="008F03E5">
        <w:t xml:space="preserve">) </w:t>
      </w:r>
      <w:r w:rsidRPr="008F03E5">
        <w:rPr>
          <w:rFonts w:eastAsia="PMingLiU"/>
          <w:lang w:eastAsia="zh-TW"/>
        </w:rPr>
        <w:t>“Sacrifice of God”</w:t>
      </w:r>
    </w:p>
    <w:p w14:paraId="5921D0A0" w14:textId="77777777" w:rsidR="00625A5B" w:rsidRPr="008F03E5" w:rsidRDefault="00625A5B" w:rsidP="004F04A8">
      <w:pPr>
        <w:pStyle w:val="Translit"/>
      </w:pPr>
      <w:r w:rsidRPr="008F03E5">
        <w:t>Zabul</w:t>
      </w:r>
      <w:r w:rsidRPr="008F03E5">
        <w:tab/>
        <w:t>Zábul</w:t>
      </w:r>
      <w:r w:rsidRPr="008F03E5">
        <w:tab/>
        <w:t xml:space="preserve">(Zabol) is a city in and the capital of Zabol County, Sistan and Baluchestan Province, Iran. Zabol lies on the border with Afghanistan. Referred to as Sístán until the late 1920s, the city was renamed Zabol by Riḍá </w:t>
      </w:r>
      <w:r w:rsidRPr="008F03E5">
        <w:rPr>
          <w:u w:val="single"/>
        </w:rPr>
        <w:t>Sh</w:t>
      </w:r>
      <w:r w:rsidRPr="008F03E5">
        <w:t>áh Pahlaví.</w:t>
      </w:r>
    </w:p>
    <w:p w14:paraId="014D5CC6" w14:textId="77777777" w:rsidR="00625A5B" w:rsidRPr="008F03E5" w:rsidRDefault="00625A5B" w:rsidP="00996B2D">
      <w:pPr>
        <w:pStyle w:val="Translit"/>
      </w:pPr>
      <w:r w:rsidRPr="008F03E5">
        <w:t>Zabur</w:t>
      </w:r>
      <w:r w:rsidRPr="008F03E5">
        <w:tab/>
        <w:t>Zabúr</w:t>
      </w:r>
      <w:r w:rsidRPr="008F03E5">
        <w:tab/>
        <w:t>(Book of) Psalms, Psalter</w:t>
      </w:r>
    </w:p>
    <w:p w14:paraId="0FECD8D2" w14:textId="77777777" w:rsidR="00625A5B" w:rsidRPr="005B3145" w:rsidRDefault="00625A5B" w:rsidP="00FF4F08">
      <w:pPr>
        <w:pStyle w:val="Translit"/>
      </w:pPr>
      <w:r w:rsidRPr="005B3145">
        <w:rPr>
          <w:lang w:val="pl-PL"/>
        </w:rPr>
        <w:t>Zad, Zada (Zadih, Zadeh), Zadagan</w:t>
      </w:r>
      <w:r w:rsidRPr="005B3145">
        <w:rPr>
          <w:lang w:val="pl-PL"/>
        </w:rPr>
        <w:tab/>
        <w:t xml:space="preserve">Zád, Záda, pl. </w:t>
      </w:r>
      <w:r w:rsidRPr="008F03E5">
        <w:t>Zádagán</w:t>
      </w:r>
      <w:r w:rsidRPr="008F03E5">
        <w:tab/>
        <w:t>Pers. b</w:t>
      </w:r>
      <w:r w:rsidRPr="008F03E5">
        <w:rPr>
          <w:rFonts w:eastAsia="Times New Roman"/>
        </w:rPr>
        <w:t>orn</w:t>
      </w:r>
      <w:r>
        <w:rPr>
          <w:rFonts w:eastAsia="Times New Roman"/>
        </w:rPr>
        <w:t xml:space="preserve">, </w:t>
      </w:r>
      <w:r w:rsidRPr="008F03E5">
        <w:rPr>
          <w:rFonts w:eastAsia="Times New Roman"/>
        </w:rPr>
        <w:t>a son</w:t>
      </w:r>
      <w:r w:rsidRPr="005B3145">
        <w:t>; offspring</w:t>
      </w:r>
      <w:r>
        <w:t xml:space="preserve">, </w:t>
      </w:r>
      <w:r>
        <w:rPr>
          <w:rFonts w:eastAsia="Times New Roman"/>
        </w:rPr>
        <w:t>generation</w:t>
      </w:r>
      <w:r w:rsidRPr="005B3145">
        <w:t xml:space="preserve">; born of, descendant of (as a suffix).  </w:t>
      </w:r>
      <w:r>
        <w:t>As a s</w:t>
      </w:r>
      <w:r w:rsidRPr="005B3145">
        <w:t>uffix</w:t>
      </w:r>
      <w:r>
        <w:t>,</w:t>
      </w:r>
      <w:r w:rsidRPr="005B3145">
        <w:t xml:space="preserve"> </w:t>
      </w:r>
      <w:r w:rsidRPr="005B3145">
        <w:rPr>
          <w:rtl/>
        </w:rPr>
        <w:t>زاده</w:t>
      </w:r>
      <w:r w:rsidRPr="005B3145">
        <w:t xml:space="preserve"> (záda or zád</w:t>
      </w:r>
      <w:r>
        <w:t>ah</w:t>
      </w:r>
      <w:r w:rsidRPr="005B3145">
        <w:t>) is not specifically feminine or masculine.  It is used as part of titles or nicknames for members of royalty, and it is also used to form surnames.</w:t>
      </w:r>
    </w:p>
    <w:p w14:paraId="0C46AF4F" w14:textId="77777777" w:rsidR="00625A5B" w:rsidRPr="008F03E5" w:rsidRDefault="00625A5B" w:rsidP="00996B2D">
      <w:pPr>
        <w:pStyle w:val="Translit"/>
      </w:pPr>
      <w:r w:rsidRPr="008F03E5">
        <w:t>Zada-zad (Zadihzad)</w:t>
      </w:r>
      <w:r w:rsidRPr="008F03E5">
        <w:tab/>
        <w:t>Záda-zád (suffix, also záda)</w:t>
      </w:r>
      <w:r w:rsidRPr="008F03E5">
        <w:tab/>
        <w:t>Pers. born of, son of, offspring of</w:t>
      </w:r>
    </w:p>
    <w:p w14:paraId="0EC01F77" w14:textId="77777777" w:rsidR="00625A5B" w:rsidRPr="008F03E5" w:rsidRDefault="00625A5B" w:rsidP="0077171A">
      <w:pPr>
        <w:pStyle w:val="Translit"/>
      </w:pPr>
      <w:r w:rsidRPr="008F03E5">
        <w:t>Zafar</w:t>
      </w:r>
      <w:r w:rsidRPr="008F03E5">
        <w:tab/>
        <w:t>Ẓafar</w:t>
      </w:r>
      <w:r w:rsidRPr="008F03E5">
        <w:tab/>
        <w:t>victory, triumph</w:t>
      </w:r>
    </w:p>
    <w:p w14:paraId="7B83C512" w14:textId="77777777" w:rsidR="00625A5B" w:rsidRPr="008F03E5" w:rsidRDefault="00625A5B" w:rsidP="0077171A">
      <w:pPr>
        <w:pStyle w:val="Translit"/>
      </w:pPr>
      <w:r w:rsidRPr="008F03E5">
        <w:t>Zafir</w:t>
      </w:r>
      <w:r w:rsidRPr="008F03E5">
        <w:tab/>
        <w:t>Ẓáfir</w:t>
      </w:r>
      <w:r w:rsidRPr="008F03E5">
        <w:tab/>
        <w:t>victorious, triumphant; successful; victor, conqueror</w:t>
      </w:r>
    </w:p>
    <w:p w14:paraId="092C4BE0" w14:textId="77777777" w:rsidR="00625A5B" w:rsidRPr="008F03E5" w:rsidRDefault="00625A5B" w:rsidP="0077171A">
      <w:pPr>
        <w:pStyle w:val="Translit"/>
      </w:pPr>
      <w:r w:rsidRPr="008F03E5">
        <w:t>Zafira</w:t>
      </w:r>
      <w:r w:rsidRPr="008F03E5">
        <w:tab/>
        <w:t>Ẓafira</w:t>
      </w:r>
      <w:r w:rsidRPr="008F03E5">
        <w:tab/>
        <w:t>to be successful, succeed, be victorious, be triumphant; conquer, vanquish, defeat, overcome, surmount</w:t>
      </w:r>
    </w:p>
    <w:p w14:paraId="036783B4" w14:textId="77777777" w:rsidR="00625A5B" w:rsidRPr="008F03E5" w:rsidRDefault="00625A5B" w:rsidP="00900A82">
      <w:pPr>
        <w:pStyle w:val="Translit"/>
      </w:pPr>
      <w:r w:rsidRPr="008F03E5">
        <w:t>Zagh va Bulbul</w:t>
      </w:r>
      <w:r w:rsidRPr="008F03E5">
        <w:tab/>
        <w:t>Zá</w:t>
      </w:r>
      <w:r w:rsidRPr="008F03E5">
        <w:rPr>
          <w:u w:val="single"/>
        </w:rPr>
        <w:t>gh</w:t>
      </w:r>
      <w:r w:rsidRPr="008F03E5">
        <w:t xml:space="preserve"> va Bulbul</w:t>
      </w:r>
      <w:r w:rsidRPr="008F03E5">
        <w:tab/>
        <w:t>Tablet of (the Raven and the Nightingale)  In Persian literature the raven’s coarse croak is symbolic of evil while the owl is a symbol of doom and ruin.</w:t>
      </w:r>
    </w:p>
    <w:p w14:paraId="35345420" w14:textId="77777777" w:rsidR="00625A5B" w:rsidRPr="008F03E5" w:rsidRDefault="00625A5B" w:rsidP="008C7DAA">
      <w:pPr>
        <w:pStyle w:val="Translit"/>
      </w:pPr>
      <w:r w:rsidRPr="008F03E5">
        <w:t>Zagh</w:t>
      </w:r>
      <w:r w:rsidRPr="008F03E5">
        <w:tab/>
        <w:t>Zá</w:t>
      </w:r>
      <w:r w:rsidRPr="008F03E5">
        <w:rPr>
          <w:u w:val="single"/>
        </w:rPr>
        <w:t>gh</w:t>
      </w:r>
      <w:r w:rsidRPr="008F03E5">
        <w:tab/>
        <w:t>Pers. a crow, raven, rook; a sort of pigeon; vitriol; sedition, mutiny; bias, inclination; name of a note in music; a name for a created being</w:t>
      </w:r>
    </w:p>
    <w:p w14:paraId="338C3142" w14:textId="77777777" w:rsidR="00625A5B" w:rsidRPr="008F03E5" w:rsidRDefault="00625A5B" w:rsidP="00E06C94">
      <w:pPr>
        <w:pStyle w:val="Translit"/>
      </w:pPr>
      <w:r w:rsidRPr="008F03E5">
        <w:t>Zaghrus (Zagros)</w:t>
      </w:r>
      <w:r w:rsidRPr="008F03E5">
        <w:tab/>
        <w:t>Zá</w:t>
      </w:r>
      <w:r w:rsidRPr="008F03E5">
        <w:rPr>
          <w:u w:val="single"/>
        </w:rPr>
        <w:t>gh</w:t>
      </w:r>
      <w:r w:rsidRPr="008F03E5">
        <w:t>rús</w:t>
      </w:r>
      <w:r w:rsidRPr="008F03E5">
        <w:tab/>
        <w:t>Pers. the Zagros Mountains (Jibál Zá</w:t>
      </w:r>
      <w:r w:rsidRPr="008F03E5">
        <w:rPr>
          <w:u w:val="single"/>
        </w:rPr>
        <w:t>gh</w:t>
      </w:r>
      <w:r w:rsidRPr="008F03E5">
        <w:t>rús, Pers. Kúh háy</w:t>
      </w:r>
      <w:r>
        <w:t>-</w:t>
      </w:r>
      <w:r w:rsidRPr="008F03E5">
        <w:t xml:space="preserve">i-Zágrus) are a long mountain range in Iran, northern Iraq, and </w:t>
      </w:r>
      <w:r w:rsidRPr="00417520">
        <w:rPr>
          <w:sz w:val="16"/>
          <w:szCs w:val="16"/>
        </w:rPr>
        <w:t>SE</w:t>
      </w:r>
      <w:r w:rsidRPr="008F03E5">
        <w:t xml:space="preserve"> Türkiye</w:t>
      </w:r>
    </w:p>
    <w:p w14:paraId="244A7E74" w14:textId="77777777" w:rsidR="00625A5B" w:rsidRPr="008F03E5" w:rsidRDefault="00625A5B" w:rsidP="0023748D">
      <w:pPr>
        <w:pStyle w:val="Translit"/>
      </w:pPr>
      <w:r w:rsidRPr="008F03E5">
        <w:t xml:space="preserve">Zahara </w:t>
      </w:r>
      <w:r>
        <w:t>(</w:t>
      </w:r>
      <w:r w:rsidRPr="008F03E5">
        <w:t>Zuhur</w:t>
      </w:r>
      <w:r>
        <w:t>)</w:t>
      </w:r>
      <w:r w:rsidRPr="008F03E5">
        <w:tab/>
        <w:t xml:space="preserve">Ẓahara </w:t>
      </w:r>
      <w:r>
        <w:t>(</w:t>
      </w:r>
      <w:r w:rsidRPr="008F03E5">
        <w:t>Ẓuhúr</w:t>
      </w:r>
      <w:r>
        <w:t>)</w:t>
      </w:r>
      <w:r w:rsidRPr="008F03E5">
        <w:tab/>
        <w:t>to be or become visible, perceptible, distinct, manifest, clear, apparent, evident, obvious (to someone), come to light, appear, manifest itself, come into view, show, emerge, crop up; to appear, seem.</w:t>
      </w:r>
      <w:r>
        <w:t xml:space="preserve">  See </w:t>
      </w:r>
      <w:r w:rsidRPr="008F03E5">
        <w:t>ẓuhúr</w:t>
      </w:r>
      <w:r>
        <w:t>.</w:t>
      </w:r>
    </w:p>
    <w:p w14:paraId="58E1FAEF" w14:textId="77777777" w:rsidR="00625A5B" w:rsidRPr="008F03E5" w:rsidRDefault="00625A5B" w:rsidP="009558B5">
      <w:pPr>
        <w:pStyle w:val="Translit"/>
      </w:pPr>
      <w:r w:rsidRPr="008F03E5">
        <w:t>Zahid, Zuhhad, Zahidan</w:t>
      </w:r>
      <w:r w:rsidRPr="008F03E5">
        <w:tab/>
        <w:t>Záhid, pl. Zuhhád, Pers. also Záhidán</w:t>
      </w:r>
      <w:r w:rsidRPr="008F03E5">
        <w:tab/>
        <w:t xml:space="preserve">religious, devout, abstemious, abstinent, continent, self-denying; ascetic; a monk, hermit; a zealot.  Záhidán (Zahedan, Zaidan, Zaydan; 29.490350, 60.860346) formerly known as Duzdáb and renamed by Riḍá </w:t>
      </w:r>
      <w:r w:rsidRPr="008F03E5">
        <w:rPr>
          <w:u w:val="single"/>
        </w:rPr>
        <w:t>Sh</w:t>
      </w:r>
      <w:r w:rsidRPr="008F03E5">
        <w:t xml:space="preserve">áh Pahlaví in the late 1920s, is a city and capital of Sistan and Baluchestan Province, Iran (near the </w:t>
      </w:r>
      <w:r w:rsidRPr="008F03E5">
        <w:rPr>
          <w:sz w:val="16"/>
          <w:szCs w:val="16"/>
        </w:rPr>
        <w:t>SE</w:t>
      </w:r>
      <w:r w:rsidRPr="008F03E5">
        <w:t xml:space="preserve"> border).</w:t>
      </w:r>
    </w:p>
    <w:p w14:paraId="70649802" w14:textId="77777777" w:rsidR="00625A5B" w:rsidRPr="008F03E5" w:rsidRDefault="00625A5B" w:rsidP="006B16CD">
      <w:pPr>
        <w:pStyle w:val="Translit"/>
      </w:pPr>
      <w:r w:rsidRPr="008F03E5">
        <w:t>Zahir</w:t>
      </w:r>
      <w:r w:rsidRPr="008F03E5">
        <w:tab/>
        <w:t>Záhir</w:t>
      </w:r>
      <w:r w:rsidRPr="008F03E5">
        <w:tab/>
        <w:t>shining, luminous, radiant, brilliant; bright</w:t>
      </w:r>
    </w:p>
    <w:p w14:paraId="5E288839" w14:textId="77777777" w:rsidR="00625A5B" w:rsidRPr="008F03E5" w:rsidRDefault="00625A5B" w:rsidP="00B26A95">
      <w:pPr>
        <w:pStyle w:val="Translit"/>
      </w:pPr>
      <w:r w:rsidRPr="008F03E5">
        <w:t>Zahir, Zawahir</w:t>
      </w:r>
      <w:r w:rsidRPr="008F03E5">
        <w:tab/>
        <w:t>Ẓáhir, fem. Ẓáhira[h or t], pl. Ẓawáhir</w:t>
      </w:r>
      <w:r w:rsidRPr="008F03E5">
        <w:tab/>
        <w:t>(of God) mastering, knowing (something); visible, perceptible, distinct, manifest, obvious (literal), conspicuous, clear, patent, evident, apparent; external, exterior, outward; seeming, presumed, ostensible, alleged; outside, exterior, surface; outskirts, periphery (of a city); (grammar) substantive;—pl. external sense, literal meaning (specifically of Qur’án and Prophetic Tradition).  Ẓahír ad-Dín Muḥammad, was the founder of the Mughal Empire and first Emperor of the Mughal dynasty (r. 1526–1530) in the Indian subcontinent.  Nicknamed Babr.  See Babrí.</w:t>
      </w:r>
    </w:p>
    <w:p w14:paraId="53FEEA84" w14:textId="77777777" w:rsidR="00625A5B" w:rsidRPr="008F03E5" w:rsidRDefault="00625A5B" w:rsidP="00E37EE1">
      <w:pPr>
        <w:pStyle w:val="Translit"/>
      </w:pPr>
      <w:r w:rsidRPr="008F03E5">
        <w:t>Zahiran</w:t>
      </w:r>
      <w:r w:rsidRPr="008F03E5">
        <w:tab/>
        <w:t>Ẓáhiran</w:t>
      </w:r>
      <w:r w:rsidRPr="008F03E5">
        <w:tab/>
        <w:t>externally, outwardly; seemingly, presumably, ostensibly, allegedly.  See Báṭin, ta’wíl</w:t>
      </w:r>
    </w:p>
    <w:p w14:paraId="7577B4CC" w14:textId="77777777" w:rsidR="00625A5B" w:rsidRPr="008F03E5" w:rsidRDefault="00625A5B" w:rsidP="00074B11">
      <w:pPr>
        <w:pStyle w:val="Translit"/>
      </w:pPr>
      <w:r w:rsidRPr="008F03E5">
        <w:t>Zahiri</w:t>
      </w:r>
      <w:r w:rsidRPr="008F03E5">
        <w:tab/>
        <w:t>Ẓáhirí</w:t>
      </w:r>
      <w:r w:rsidRPr="008F03E5">
        <w:tab/>
        <w:t>external or literal outer, outside, exterior, outward; superficial; Zahiritic, interpreting the Qur’án according to its literal meaning</w:t>
      </w:r>
    </w:p>
    <w:p w14:paraId="0C5FF710" w14:textId="77777777" w:rsidR="00625A5B" w:rsidRPr="008F03E5" w:rsidRDefault="00625A5B" w:rsidP="00074B11">
      <w:pPr>
        <w:pStyle w:val="Translit"/>
      </w:pPr>
      <w:r w:rsidRPr="00D45A23">
        <w:rPr>
          <w:lang w:val="fr-FR"/>
        </w:rPr>
        <w:t>Zahiriya</w:t>
      </w:r>
      <w:r w:rsidRPr="00D45A23">
        <w:rPr>
          <w:lang w:val="fr-FR"/>
        </w:rPr>
        <w:tab/>
        <w:t>Ẓ</w:t>
      </w:r>
      <w:r w:rsidRPr="00D45A23">
        <w:rPr>
          <w:rFonts w:eastAsia="Times New Roman"/>
          <w:lang w:val="fr-FR"/>
        </w:rPr>
        <w:t>áhiríya[h or t]</w:t>
      </w:r>
      <w:r w:rsidRPr="00D45A23">
        <w:rPr>
          <w:rFonts w:eastAsia="Times New Roman"/>
          <w:lang w:val="fr-FR"/>
        </w:rPr>
        <w:tab/>
        <w:t xml:space="preserve">manifestation, externality.  </w:t>
      </w:r>
      <w:r w:rsidRPr="008F03E5">
        <w:rPr>
          <w:rFonts w:eastAsia="Times New Roman"/>
        </w:rPr>
        <w:t>“Literalists”, followers of an Islamic legal and theological school that insisted on strict adherence to the literal text (ẓáhir) of the Qur’án and Ḥadíth as the only source of Muslim law.  It rejected practices in law (fiqh) such as analogical reasoning (qiy</w:t>
      </w:r>
      <w:r w:rsidRPr="008F03E5">
        <w:t>á</w:t>
      </w:r>
      <w:r w:rsidRPr="008F03E5">
        <w:rPr>
          <w:rFonts w:eastAsia="Times New Roman"/>
        </w:rPr>
        <w:t>s) and pure reason (ra’y) as sources of jurisprudence and looked askance at consensus (ijmá‘).</w:t>
      </w:r>
    </w:p>
    <w:p w14:paraId="5895EB84" w14:textId="77777777" w:rsidR="00625A5B" w:rsidRPr="008F03E5" w:rsidRDefault="00625A5B" w:rsidP="006D3E83">
      <w:pPr>
        <w:pStyle w:val="Translit"/>
      </w:pPr>
      <w:r w:rsidRPr="008F03E5">
        <w:t>Zahiru’l-‘Umar</w:t>
      </w:r>
      <w:r w:rsidRPr="008F03E5">
        <w:tab/>
        <w:t>Ẓáhiru’l-‘Umar</w:t>
      </w:r>
      <w:r w:rsidRPr="008F03E5">
        <w:tab/>
        <w:t>Recognized by Turkish authorities as Governor of ‘Akká from about 1750 to 1775.</w:t>
      </w:r>
    </w:p>
    <w:p w14:paraId="0A790478" w14:textId="77777777" w:rsidR="00625A5B" w:rsidRPr="008F03E5" w:rsidRDefault="00625A5B" w:rsidP="002D7D54">
      <w:pPr>
        <w:pStyle w:val="Translit"/>
      </w:pPr>
      <w:r w:rsidRPr="00077779">
        <w:t>Zahr, Zuhur, Azhur, Azhar, Azahir</w:t>
      </w:r>
      <w:r w:rsidRPr="00077779">
        <w:tab/>
        <w:t xml:space="preserve">Zahr, pl. </w:t>
      </w:r>
      <w:r w:rsidRPr="008F03E5">
        <w:t>Zuhúr, Azhur, Azhár</w:t>
      </w:r>
      <w:r w:rsidRPr="008F03E5">
        <w:tab/>
        <w:t>(collective) flowers; blossoms;</w:t>
      </w:r>
      <w:r>
        <w:t>—</w:t>
      </w:r>
      <w:r w:rsidRPr="008F03E5">
        <w:t>other plurals:  Azáhir</w:t>
      </w:r>
      <w:r>
        <w:t xml:space="preserve"> (“Azahir”)</w:t>
      </w:r>
      <w:r w:rsidRPr="008F03E5">
        <w:t>, Azáhír</w:t>
      </w:r>
      <w:r>
        <w:t xml:space="preserve">.  </w:t>
      </w:r>
      <w:r w:rsidRPr="008F03E5">
        <w:t xml:space="preserve">fem. </w:t>
      </w:r>
      <w:r w:rsidRPr="00B77F96">
        <w:rPr>
          <w:lang w:val="en-AU"/>
        </w:rPr>
        <w:t>Zahra[h or t]</w:t>
      </w:r>
      <w:r>
        <w:rPr>
          <w:lang w:val="en-AU"/>
        </w:rPr>
        <w:t xml:space="preserve"> (zara sometimes used)</w:t>
      </w:r>
      <w:r w:rsidRPr="00B77F96">
        <w:rPr>
          <w:lang w:val="en-AU"/>
        </w:rPr>
        <w:t xml:space="preserve">, pl. </w:t>
      </w:r>
      <w:r w:rsidRPr="008F03E5">
        <w:t>Zahrát</w:t>
      </w:r>
      <w:r>
        <w:t xml:space="preserve"> (“Zahrat”)—</w:t>
      </w:r>
      <w:r w:rsidRPr="008F03E5">
        <w:t xml:space="preserve">flower </w:t>
      </w:r>
      <w:r w:rsidRPr="008F03E5">
        <w:rPr>
          <w:rFonts w:eastAsia="Times New Roman"/>
        </w:rPr>
        <w:t>(especially a yellow one);</w:t>
      </w:r>
      <w:r w:rsidRPr="008F03E5">
        <w:t xml:space="preserve"> </w:t>
      </w:r>
      <w:r w:rsidRPr="008F03E5">
        <w:rPr>
          <w:rFonts w:eastAsia="Times New Roman"/>
        </w:rPr>
        <w:t xml:space="preserve">the freshness and bloom of a plant; flower, </w:t>
      </w:r>
      <w:r w:rsidRPr="008F03E5">
        <w:t>blossom; splendour; beauty</w:t>
      </w:r>
      <w:r w:rsidRPr="008F03E5">
        <w:rPr>
          <w:rFonts w:eastAsia="Times New Roman"/>
        </w:rPr>
        <w:t>, grace, loveliness.</w:t>
      </w:r>
    </w:p>
    <w:p w14:paraId="5FAD1714" w14:textId="77777777" w:rsidR="00625A5B" w:rsidRPr="008F03E5" w:rsidRDefault="00625A5B" w:rsidP="00347856">
      <w:pPr>
        <w:pStyle w:val="Translit"/>
      </w:pPr>
      <w:r w:rsidRPr="002D7D54">
        <w:rPr>
          <w:lang w:val="de-DE"/>
        </w:rPr>
        <w:t>Zahr, Zuhur, Azhur, Zuhurat</w:t>
      </w:r>
      <w:r w:rsidRPr="002D7D54">
        <w:rPr>
          <w:lang w:val="de-DE"/>
        </w:rPr>
        <w:tab/>
        <w:t xml:space="preserve">Ẓahr, pl. </w:t>
      </w:r>
      <w:r w:rsidRPr="008F03E5">
        <w:t>Ẓuhúr, Aẓhur</w:t>
      </w:r>
      <w:r w:rsidRPr="008F03E5">
        <w:tab/>
        <w:t>back; rear, rear part, rear aide, reverse; flyleaf; deck (of a steamer); upper part, top, surface.  Ẓuhúrát (as a genitive; for example) pro tempore, provisional, temporary.</w:t>
      </w:r>
    </w:p>
    <w:p w14:paraId="0E5B4FE8" w14:textId="77777777" w:rsidR="00625A5B" w:rsidRPr="008F03E5" w:rsidRDefault="00625A5B" w:rsidP="006E2C7E">
      <w:pPr>
        <w:pStyle w:val="Translit"/>
      </w:pPr>
      <w:r w:rsidRPr="008F03E5">
        <w:t>Zahrawi</w:t>
      </w:r>
      <w:r w:rsidRPr="008F03E5">
        <w:tab/>
        <w:t>Zahráwí</w:t>
      </w:r>
      <w:r w:rsidRPr="008F03E5">
        <w:tab/>
        <w:t>gay, merry, cheerful (person).  ‘Abdu’l-Hádíy-i-Zahráwí</w:t>
      </w:r>
    </w:p>
    <w:p w14:paraId="60153180" w14:textId="77777777" w:rsidR="00625A5B" w:rsidRPr="008F03E5" w:rsidRDefault="00625A5B" w:rsidP="00531BA2">
      <w:pPr>
        <w:pStyle w:val="Translit"/>
      </w:pPr>
      <w:r w:rsidRPr="008F03E5">
        <w:t>Zahru’l-Kufah, Zahru’l-Kufih</w:t>
      </w:r>
      <w:r w:rsidRPr="008F03E5">
        <w:tab/>
        <w:t>Ẓahru’l-Kúfah</w:t>
      </w:r>
      <w:r w:rsidRPr="008F03E5">
        <w:tab/>
        <w:t>a description of Ba</w:t>
      </w:r>
      <w:r w:rsidRPr="008F03E5">
        <w:rPr>
          <w:u w:val="single"/>
        </w:rPr>
        <w:t>gh</w:t>
      </w:r>
      <w:r w:rsidRPr="008F03E5">
        <w:t>dád and Najaf in Islamic traditions</w:t>
      </w:r>
    </w:p>
    <w:p w14:paraId="2818DA83" w14:textId="77777777" w:rsidR="00625A5B" w:rsidRPr="008F03E5" w:rsidRDefault="00625A5B" w:rsidP="006D266F">
      <w:pPr>
        <w:pStyle w:val="Translit"/>
      </w:pPr>
      <w:r w:rsidRPr="008F03E5">
        <w:t>Zajra</w:t>
      </w:r>
      <w:r w:rsidRPr="008F03E5">
        <w:tab/>
        <w:t>Zajra[h or t]</w:t>
      </w:r>
      <w:r w:rsidRPr="008F03E5">
        <w:tab/>
        <w:t>a shout, trumpet blast</w:t>
      </w:r>
    </w:p>
    <w:p w14:paraId="5C83935A" w14:textId="77777777" w:rsidR="00625A5B" w:rsidRPr="008F03E5" w:rsidRDefault="00625A5B" w:rsidP="00D574A6">
      <w:pPr>
        <w:pStyle w:val="Translit"/>
      </w:pPr>
      <w:r w:rsidRPr="008F03E5">
        <w:t>Zaka</w:t>
      </w:r>
      <w:r w:rsidRPr="008F03E5">
        <w:tab/>
        <w:t>Zaká</w:t>
      </w:r>
      <w:r w:rsidRPr="008F03E5">
        <w:tab/>
        <w:t>to thrive; to grow, increase; to be pure in heart, be just, righteous, good; to be fit, suitable (for someone), befit (someone)</w:t>
      </w:r>
    </w:p>
    <w:p w14:paraId="3EB8D3A3" w14:textId="77777777" w:rsidR="00625A5B" w:rsidRPr="008F03E5" w:rsidRDefault="00625A5B" w:rsidP="00B87E3D">
      <w:pPr>
        <w:pStyle w:val="Translit"/>
      </w:pPr>
      <w:r w:rsidRPr="00D45A23">
        <w:rPr>
          <w:lang w:val="pl-PL"/>
        </w:rPr>
        <w:t>Zakah, Zakat, Zakan, Zakawat</w:t>
      </w:r>
      <w:r w:rsidRPr="00D45A23">
        <w:rPr>
          <w:lang w:val="pl-PL"/>
        </w:rPr>
        <w:tab/>
        <w:t xml:space="preserve">Zakáh (or Zakát), pl. </w:t>
      </w:r>
      <w:r w:rsidRPr="008F03E5">
        <w:t>Zakan, Zakawát</w:t>
      </w:r>
      <w:r w:rsidRPr="008F03E5">
        <w:tab/>
        <w:t xml:space="preserve">purity; justness, integrity, honesty; justification, vindication.  Zakáh </w:t>
      </w:r>
      <w:r w:rsidRPr="008F03E5">
        <w:rPr>
          <w:rFonts w:eastAsia="Times New Roman"/>
        </w:rPr>
        <w:t xml:space="preserve">does </w:t>
      </w:r>
      <w:r w:rsidRPr="008F03E5">
        <w:t>not refer to an obligatory tithe (10%) but to the general principle of helping the poor, and</w:t>
      </w:r>
      <w:r w:rsidRPr="008F03E5">
        <w:rPr>
          <w:rFonts w:eastAsia="Times New Roman"/>
        </w:rPr>
        <w:t xml:space="preserve"> this is achieved, according to Muslim law, by the giving (</w:t>
      </w:r>
      <w:r w:rsidRPr="008F03E5">
        <w:t>‘ámil)</w:t>
      </w:r>
      <w:r w:rsidRPr="008F03E5">
        <w:rPr>
          <w:rFonts w:eastAsia="Times New Roman"/>
        </w:rPr>
        <w:t xml:space="preserve"> of alms as a means of purifying or securing a blessing to the rest of one’s possessions.  Hence, </w:t>
      </w:r>
      <w:r w:rsidRPr="008F03E5">
        <w:t>zakáh is understood to mean alms-giving, alms, charity.  Later evolved as an alms tax (Islamic law)</w:t>
      </w:r>
    </w:p>
    <w:p w14:paraId="539BFC4A" w14:textId="77777777" w:rsidR="00625A5B" w:rsidRPr="008F03E5" w:rsidRDefault="00625A5B" w:rsidP="00D838CF">
      <w:pPr>
        <w:pStyle w:val="Translit"/>
      </w:pPr>
      <w:r w:rsidRPr="008F03E5">
        <w:t>Zakariya, Zakaria or Zakari</w:t>
      </w:r>
      <w:r w:rsidRPr="008F03E5">
        <w:tab/>
        <w:t>Zakaríya, Zakaría or Zakarí</w:t>
      </w:r>
      <w:r w:rsidRPr="008F03E5">
        <w:tab/>
        <w:t>Zacharias (prophet Zechariah), which is of Hebrew origin, meaning “God has remembered”</w:t>
      </w:r>
    </w:p>
    <w:p w14:paraId="222A8830" w14:textId="77777777" w:rsidR="00625A5B" w:rsidRPr="008F03E5" w:rsidRDefault="00625A5B" w:rsidP="00AB7DB3">
      <w:pPr>
        <w:pStyle w:val="Translit"/>
      </w:pPr>
      <w:r w:rsidRPr="008F03E5">
        <w:t>Zakariyyay-i-Qadi-Kala’i</w:t>
      </w:r>
      <w:r w:rsidRPr="008F03E5">
        <w:tab/>
        <w:t>Zakaríyyáy-i-Qáḍí-Kalá’í</w:t>
      </w:r>
      <w:r w:rsidRPr="008F03E5">
        <w:tab/>
        <w:t xml:space="preserve">a cousin of </w:t>
      </w:r>
      <w:r w:rsidRPr="008F03E5">
        <w:rPr>
          <w:u w:val="single"/>
        </w:rPr>
        <w:t>Kh</w:t>
      </w:r>
      <w:r w:rsidRPr="008F03E5">
        <w:t>usraw-i-Qáḍí-Kalá’í, and his successor</w:t>
      </w:r>
    </w:p>
    <w:p w14:paraId="54B76317" w14:textId="77777777" w:rsidR="00625A5B" w:rsidRDefault="00625A5B" w:rsidP="003B6204">
      <w:pPr>
        <w:pStyle w:val="Translit"/>
      </w:pPr>
      <w:r>
        <w:rPr>
          <w:rFonts w:eastAsia="Times New Roman"/>
        </w:rPr>
        <w:t>Zakawa (Zikawa</w:t>
      </w:r>
      <w:r>
        <w:rPr>
          <w:rFonts w:eastAsia="Times New Roman"/>
        </w:rPr>
        <w:tab/>
        <w:t>Z</w:t>
      </w:r>
      <w:r w:rsidRPr="003B6204">
        <w:rPr>
          <w:rFonts w:eastAsia="Times New Roman"/>
        </w:rPr>
        <w:t>akáwa</w:t>
      </w:r>
      <w:r>
        <w:rPr>
          <w:rFonts w:eastAsia="Times New Roman"/>
        </w:rPr>
        <w:t>[h or t]</w:t>
      </w:r>
      <w:r>
        <w:rPr>
          <w:rFonts w:eastAsia="Times New Roman"/>
        </w:rPr>
        <w:tab/>
        <w:t>p</w:t>
      </w:r>
      <w:r w:rsidRPr="003B6204">
        <w:rPr>
          <w:rFonts w:eastAsia="Times New Roman"/>
        </w:rPr>
        <w:t>u</w:t>
      </w:r>
      <w:r w:rsidRPr="00AF4D34">
        <w:rPr>
          <w:rFonts w:eastAsia="Times New Roman"/>
        </w:rPr>
        <w:t>rity, probity, innocence; quickness of parts, ingenuity</w:t>
      </w:r>
    </w:p>
    <w:p w14:paraId="1A615867" w14:textId="77777777" w:rsidR="00625A5B" w:rsidRPr="008F03E5" w:rsidRDefault="00625A5B" w:rsidP="006E64DD">
      <w:pPr>
        <w:pStyle w:val="Translit"/>
      </w:pPr>
      <w:r w:rsidRPr="008F03E5">
        <w:t>Zakhu</w:t>
      </w:r>
      <w:r w:rsidRPr="008F03E5">
        <w:tab/>
        <w:t>Zá</w:t>
      </w:r>
      <w:r w:rsidRPr="008F03E5">
        <w:rPr>
          <w:u w:val="single"/>
        </w:rPr>
        <w:t>kh</w:t>
      </w:r>
      <w:r w:rsidRPr="008F03E5">
        <w:t>ú</w:t>
      </w:r>
      <w:r w:rsidRPr="008F03E5">
        <w:tab/>
        <w:t xml:space="preserve">(Zakho) a city in northern Iraq, at the centre of the eponymous Zakho District of the Dohuk Governorate of Iraqi Kurdistan, located a few kilometers from the Iraqi-Turkish border.  97 km </w:t>
      </w:r>
      <w:r w:rsidRPr="008F03E5">
        <w:rPr>
          <w:sz w:val="16"/>
          <w:szCs w:val="16"/>
        </w:rPr>
        <w:t>NNW</w:t>
      </w:r>
      <w:r w:rsidRPr="008F03E5">
        <w:t xml:space="preserve"> of Mosul.</w:t>
      </w:r>
    </w:p>
    <w:p w14:paraId="2389223D" w14:textId="77777777" w:rsidR="00625A5B" w:rsidRPr="008F03E5" w:rsidRDefault="00625A5B" w:rsidP="00553236">
      <w:pPr>
        <w:pStyle w:val="Translit"/>
      </w:pPr>
      <w:r w:rsidRPr="00151DAB">
        <w:t>Zakiy (Zaki), Zakiya, Azkiya</w:t>
      </w:r>
      <w:r w:rsidRPr="00151DAB">
        <w:tab/>
        <w:t xml:space="preserve">Zakíy (Zakí), fem. </w:t>
      </w:r>
      <w:r w:rsidRPr="008F03E5">
        <w:t>Zakíy</w:t>
      </w:r>
      <w:r>
        <w:t>a[h or t]</w:t>
      </w:r>
      <w:r>
        <w:tab/>
        <w:t>(</w:t>
      </w:r>
      <w:r w:rsidRPr="008F03E5">
        <w:t>pl. Azkiyá</w:t>
      </w:r>
      <w:r>
        <w:t xml:space="preserve">) </w:t>
      </w:r>
      <w:r w:rsidRPr="008F03E5">
        <w:t>pure; chaste; virtuous; guiltless, blameless, sinless</w:t>
      </w:r>
      <w:r>
        <w:t xml:space="preserve">.  Pers. Bahá’í fem. also </w:t>
      </w:r>
      <w:r w:rsidRPr="008F03E5">
        <w:t>Zak</w:t>
      </w:r>
      <w:r>
        <w:t>i</w:t>
      </w:r>
      <w:r w:rsidRPr="008F03E5">
        <w:t>yyih</w:t>
      </w:r>
      <w:r>
        <w:t xml:space="preserve"> or</w:t>
      </w:r>
      <w:r w:rsidRPr="00553236">
        <w:t xml:space="preserve"> </w:t>
      </w:r>
      <w:r>
        <w:t>“</w:t>
      </w:r>
      <w:r w:rsidRPr="008F03E5">
        <w:t>Zak</w:t>
      </w:r>
      <w:r w:rsidRPr="00553236">
        <w:t>í</w:t>
      </w:r>
      <w:r w:rsidRPr="008F03E5">
        <w:t>yyih</w:t>
      </w:r>
      <w:r>
        <w:t>”.</w:t>
      </w:r>
    </w:p>
    <w:p w14:paraId="5EF34830" w14:textId="77777777" w:rsidR="00625A5B" w:rsidRPr="008F03E5" w:rsidRDefault="00625A5B" w:rsidP="00FC7F47">
      <w:pPr>
        <w:pStyle w:val="Translit"/>
      </w:pPr>
      <w:r w:rsidRPr="008F03E5">
        <w:t>Zalam</w:t>
      </w:r>
      <w:r w:rsidRPr="008F03E5">
        <w:tab/>
        <w:t>Ẓalám</w:t>
      </w:r>
      <w:r w:rsidRPr="008F03E5">
        <w:tab/>
        <w:t>evildoer, villain, malefactor, rogue, scoundrel, tyrant, oppressor</w:t>
      </w:r>
    </w:p>
    <w:p w14:paraId="362544F6" w14:textId="77777777" w:rsidR="00625A5B" w:rsidRPr="008F03E5" w:rsidRDefault="00625A5B" w:rsidP="00F46847">
      <w:pPr>
        <w:pStyle w:val="Translit"/>
      </w:pPr>
      <w:r w:rsidRPr="008F03E5">
        <w:t>Zalamina</w:t>
      </w:r>
      <w:r w:rsidRPr="008F03E5">
        <w:tab/>
        <w:t>Ẓalamína</w:t>
      </w:r>
      <w:r w:rsidRPr="008F03E5">
        <w:tab/>
        <w:t>unjust, Qur’án 26:209</w:t>
      </w:r>
    </w:p>
    <w:p w14:paraId="4ED35DF1" w14:textId="77777777" w:rsidR="00625A5B" w:rsidRPr="008F03E5" w:rsidRDefault="00625A5B" w:rsidP="005E36AC">
      <w:pPr>
        <w:pStyle w:val="Translit"/>
      </w:pPr>
      <w:r w:rsidRPr="008F03E5">
        <w:t>Zalamun</w:t>
      </w:r>
      <w:r w:rsidRPr="008F03E5">
        <w:tab/>
        <w:t>Ẓalámún</w:t>
      </w:r>
      <w:r w:rsidRPr="008F03E5">
        <w:tab/>
        <w:t xml:space="preserve">oppressors, wrongdoers (Qur’án 5:45, 4:75; </w:t>
      </w:r>
      <w:r w:rsidRPr="008F03E5">
        <w:rPr>
          <w:i/>
          <w:iCs/>
        </w:rPr>
        <w:t>Making the crooked straight</w:t>
      </w:r>
      <w:r w:rsidRPr="008F03E5">
        <w:t xml:space="preserve"> p. 45)</w:t>
      </w:r>
    </w:p>
    <w:p w14:paraId="1DC7D8D2" w14:textId="77777777" w:rsidR="00625A5B" w:rsidRPr="008F03E5" w:rsidRDefault="00625A5B" w:rsidP="00276FB7">
      <w:pPr>
        <w:pStyle w:val="Translit"/>
      </w:pPr>
      <w:r w:rsidRPr="00D45A23">
        <w:rPr>
          <w:lang w:val="pl-PL"/>
        </w:rPr>
        <w:t>Zalim, Zalimun, Zullam, Zalama</w:t>
      </w:r>
      <w:r w:rsidRPr="00D45A23">
        <w:rPr>
          <w:lang w:val="pl-PL"/>
        </w:rPr>
        <w:tab/>
        <w:t>Ẓálim pl. Ẓálimún, Ẓullám, Ẓalama</w:t>
      </w:r>
      <w:r w:rsidRPr="00D45A23">
        <w:rPr>
          <w:lang w:val="pl-PL"/>
        </w:rPr>
        <w:tab/>
        <w:t xml:space="preserve">unjust, unfair, iniquitous, tyrannical, oppressing; tyrant, oppressor; offender, transgressor, sinner.  </w:t>
      </w:r>
      <w:r w:rsidRPr="008F03E5">
        <w:t>Náẓimu’</w:t>
      </w:r>
      <w:r w:rsidRPr="008F03E5">
        <w:rPr>
          <w:u w:val="single"/>
        </w:rPr>
        <w:t>sh</w:t>
      </w:r>
      <w:r w:rsidRPr="008F03E5">
        <w:t>-</w:t>
      </w:r>
      <w:r w:rsidRPr="008F03E5">
        <w:rPr>
          <w:u w:val="single"/>
        </w:rPr>
        <w:t>Sh</w:t>
      </w:r>
      <w:r w:rsidRPr="008F03E5">
        <w:t>arí‘ah was known as Ẓálim, the Tyrant.</w:t>
      </w:r>
    </w:p>
    <w:p w14:paraId="16D5A3D8" w14:textId="77777777" w:rsidR="00625A5B" w:rsidRPr="008F03E5" w:rsidRDefault="00625A5B" w:rsidP="00F61733">
      <w:pPr>
        <w:pStyle w:val="Translit"/>
      </w:pPr>
      <w:r w:rsidRPr="008F03E5">
        <w:t>Zalum</w:t>
      </w:r>
      <w:r w:rsidRPr="008F03E5">
        <w:tab/>
        <w:t>Ẓ</w:t>
      </w:r>
      <w:r w:rsidRPr="008F03E5">
        <w:rPr>
          <w:rFonts w:eastAsia="Times New Roman"/>
        </w:rPr>
        <w:t>alúm</w:t>
      </w:r>
      <w:r w:rsidRPr="008F03E5">
        <w:rPr>
          <w:rFonts w:eastAsia="Times New Roman"/>
        </w:rPr>
        <w:tab/>
        <w:t>one who puts a thing not in its proper place; most cruel, unjust, tyrannical.  Part of Qur’án 33:72</w:t>
      </w:r>
      <w:r w:rsidRPr="008F03E5">
        <w:t xml:space="preserve"> is often translated as “… but man (</w:t>
      </w:r>
      <w:r w:rsidRPr="008F03E5">
        <w:rPr>
          <w:i/>
          <w:iCs/>
        </w:rPr>
        <w:t>al-insánu</w:t>
      </w:r>
      <w:r w:rsidRPr="008F03E5">
        <w:t>, usually translated as “the Perfect Man”) undertook it (</w:t>
      </w:r>
      <w:r w:rsidRPr="008F03E5">
        <w:rPr>
          <w:i/>
          <w:iCs/>
        </w:rPr>
        <w:t>al-amánata</w:t>
      </w:r>
      <w:r w:rsidRPr="008F03E5">
        <w:t>, “the trust” or “the faith in God”)—he was indeed unjust (</w:t>
      </w:r>
      <w:r w:rsidRPr="008F03E5">
        <w:rPr>
          <w:i/>
          <w:iCs/>
        </w:rPr>
        <w:t>ẓalúman</w:t>
      </w:r>
      <w:r w:rsidRPr="008F03E5">
        <w:t>) and foolish (</w:t>
      </w:r>
      <w:r w:rsidRPr="008F03E5">
        <w:rPr>
          <w:i/>
          <w:iCs/>
        </w:rPr>
        <w:t>jahúla</w:t>
      </w:r>
      <w:r w:rsidRPr="008F03E5">
        <w:t>).  However, this must be incorrect when applied to the Prophet.  The Báb stated “</w:t>
      </w:r>
      <w:r w:rsidRPr="008F03E5">
        <w:rPr>
          <w:i/>
          <w:iCs/>
        </w:rPr>
        <w:t>Man, this ‘Alí</w:t>
      </w:r>
      <w:r w:rsidRPr="008F03E5">
        <w:t xml:space="preserve">” was the </w:t>
      </w:r>
      <w:r w:rsidRPr="008F03E5">
        <w:rPr>
          <w:i/>
          <w:iCs/>
        </w:rPr>
        <w:t>“Wronged One”</w:t>
      </w:r>
      <w:r w:rsidRPr="008F03E5">
        <w:t xml:space="preserve"> (</w:t>
      </w:r>
      <w:r w:rsidRPr="008F03E5">
        <w:rPr>
          <w:i/>
          <w:iCs/>
        </w:rPr>
        <w:t>ẓalúm)</w:t>
      </w:r>
      <w:r w:rsidRPr="008F03E5">
        <w:t xml:space="preserve"> and He was indeed “</w:t>
      </w:r>
      <w:r w:rsidRPr="008F03E5">
        <w:rPr>
          <w:i/>
          <w:iCs/>
        </w:rPr>
        <w:t>been entitled ‘the Unknown’</w:t>
      </w:r>
      <w:r w:rsidRPr="008F03E5">
        <w:t xml:space="preserve"> (</w:t>
      </w:r>
      <w:r w:rsidRPr="008F03E5">
        <w:rPr>
          <w:i/>
          <w:iCs/>
        </w:rPr>
        <w:t>jahúl</w:t>
      </w:r>
      <w:r w:rsidRPr="008F03E5">
        <w:t xml:space="preserve">)” (See </w:t>
      </w:r>
      <w:r w:rsidRPr="008F03E5">
        <w:rPr>
          <w:rFonts w:eastAsia="Times New Roman"/>
        </w:rPr>
        <w:t>SWB, p. 70).  ‘Abdu’l-Bahá (</w:t>
      </w:r>
      <w:r w:rsidRPr="008F03E5">
        <w:t>Má’idiy-i-Ásmání, vol. 2, p. 50</w:t>
      </w:r>
      <w:r w:rsidRPr="008F03E5">
        <w:rPr>
          <w:rFonts w:eastAsia="Times New Roman"/>
        </w:rPr>
        <w:t>):  “</w:t>
      </w:r>
      <w:r w:rsidRPr="008F03E5">
        <w:rPr>
          <w:i/>
          <w:iCs/>
        </w:rPr>
        <w:t>… the Bearer of the most weighty Trust as ‘ẓalúm and jahúl’, these words do not mean unjust and ignorant; … their meaning is the one wronged and unknown … the Bearer of the Supreme Trust is oppressed … the people disdainfully deny Him, and His station is not known; they do not appreciate Him</w:t>
      </w:r>
      <w:r w:rsidRPr="008F03E5">
        <w:rPr>
          <w:rFonts w:eastAsia="Times New Roman"/>
        </w:rPr>
        <w:t xml:space="preserve">.”  See </w:t>
      </w:r>
      <w:r w:rsidRPr="008F03E5">
        <w:t>jahúl.</w:t>
      </w:r>
    </w:p>
    <w:p w14:paraId="1CFB47C0" w14:textId="77777777" w:rsidR="00625A5B" w:rsidRPr="008F03E5" w:rsidRDefault="00625A5B" w:rsidP="00603596">
      <w:pPr>
        <w:pStyle w:val="Translit"/>
      </w:pPr>
      <w:r w:rsidRPr="008F03E5">
        <w:t>Zalzal, Zilzal</w:t>
      </w:r>
      <w:r w:rsidRPr="008F03E5">
        <w:tab/>
        <w:t>Zalzál, Zilzál</w:t>
      </w:r>
      <w:r w:rsidRPr="008F03E5">
        <w:tab/>
        <w:t>concussion, shock, convulsion; earthquake</w:t>
      </w:r>
    </w:p>
    <w:p w14:paraId="6EFC3FA7" w14:textId="77777777" w:rsidR="00625A5B" w:rsidRPr="008F03E5" w:rsidRDefault="00625A5B" w:rsidP="00603596">
      <w:pPr>
        <w:pStyle w:val="Translit"/>
      </w:pPr>
      <w:r w:rsidRPr="004454B2">
        <w:t>Zalzala, Zalazil</w:t>
      </w:r>
      <w:r w:rsidRPr="004454B2">
        <w:tab/>
        <w:t xml:space="preserve">Zalzala[h or t] (fem.), pl. </w:t>
      </w:r>
      <w:r w:rsidRPr="008F03E5">
        <w:t>Zalázil</w:t>
      </w:r>
      <w:r w:rsidRPr="008F03E5">
        <w:tab/>
        <w:t>a</w:t>
      </w:r>
      <w:r w:rsidRPr="008F03E5">
        <w:rPr>
          <w:rFonts w:eastAsia="Times New Roman"/>
        </w:rPr>
        <w:t xml:space="preserve">ffliction, misfortune; </w:t>
      </w:r>
      <w:r w:rsidRPr="008F03E5">
        <w:t>to shake, rock, convulse, cause to tremble; earthquake</w:t>
      </w:r>
    </w:p>
    <w:p w14:paraId="5E22DEA1" w14:textId="77777777" w:rsidR="00625A5B" w:rsidRDefault="00625A5B" w:rsidP="004945C9">
      <w:pPr>
        <w:pStyle w:val="Translit"/>
      </w:pPr>
      <w:r>
        <w:t>Zaman, Azman</w:t>
      </w:r>
      <w:r>
        <w:tab/>
        <w:t>Z</w:t>
      </w:r>
      <w:r w:rsidRPr="004945C9">
        <w:t>aman</w:t>
      </w:r>
      <w:r>
        <w:t>,</w:t>
      </w:r>
      <w:r w:rsidRPr="004945C9">
        <w:t xml:space="preserve"> pl. </w:t>
      </w:r>
      <w:r>
        <w:t>A</w:t>
      </w:r>
      <w:r w:rsidRPr="004945C9">
        <w:t>zm</w:t>
      </w:r>
      <w:r>
        <w:t>á</w:t>
      </w:r>
      <w:r w:rsidRPr="004945C9">
        <w:t>n</w:t>
      </w:r>
      <w:r>
        <w:tab/>
      </w:r>
      <w:r w:rsidRPr="004945C9">
        <w:t>time; period, stretch of time; duration</w:t>
      </w:r>
    </w:p>
    <w:p w14:paraId="7AC3B527" w14:textId="77777777" w:rsidR="00625A5B" w:rsidRPr="008F03E5" w:rsidRDefault="00625A5B" w:rsidP="00202FD1">
      <w:pPr>
        <w:pStyle w:val="Translit"/>
      </w:pPr>
      <w:r w:rsidRPr="008F03E5">
        <w:t>Zaman, Azmina</w:t>
      </w:r>
      <w:r w:rsidRPr="008F03E5">
        <w:tab/>
        <w:t xml:space="preserve">Zamán, pl. </w:t>
      </w:r>
      <w:r w:rsidRPr="004945C9">
        <w:t>Azmina</w:t>
      </w:r>
      <w:r w:rsidRPr="004945C9">
        <w:tab/>
        <w:t xml:space="preserve">time, era; duration; fortune, late, destiny.  </w:t>
      </w:r>
      <w:r w:rsidRPr="008F03E5">
        <w:t xml:space="preserve">World of time or age.  </w:t>
      </w:r>
      <w:r>
        <w:t>In the Hidden Words:</w:t>
      </w:r>
      <w:r w:rsidRPr="00202FD1">
        <w:t xml:space="preserve">  </w:t>
      </w:r>
      <w:r>
        <w:t>“</w:t>
      </w:r>
      <w:r w:rsidRPr="00202FD1">
        <w:t>hallowed precincts of Zamán</w:t>
      </w:r>
      <w:r>
        <w:t>”</w:t>
      </w:r>
      <w:r w:rsidRPr="00202FD1">
        <w:t xml:space="preserve"> or the </w:t>
      </w:r>
      <w:r>
        <w:t>“</w:t>
      </w:r>
      <w:r w:rsidRPr="00202FD1">
        <w:t>blessed locale of Time" (buq</w:t>
      </w:r>
      <w:r>
        <w:t>‘</w:t>
      </w:r>
      <w:r w:rsidRPr="00202FD1">
        <w:t>a mub</w:t>
      </w:r>
      <w:r>
        <w:t>á</w:t>
      </w:r>
      <w:r w:rsidRPr="00202FD1">
        <w:t>raka zam</w:t>
      </w:r>
      <w:r>
        <w:t>á</w:t>
      </w:r>
      <w:r w:rsidRPr="00202FD1">
        <w:t>n)</w:t>
      </w:r>
      <w:r>
        <w:t xml:space="preserve">.  </w:t>
      </w:r>
      <w:r w:rsidRPr="008F03E5">
        <w:t>See Ṣáḥib</w:t>
      </w:r>
      <w:r>
        <w:t xml:space="preserve"> a</w:t>
      </w:r>
      <w:r w:rsidRPr="008F03E5">
        <w:t>z-Zamán.</w:t>
      </w:r>
    </w:p>
    <w:p w14:paraId="4109A43C" w14:textId="77777777" w:rsidR="00625A5B" w:rsidRPr="008F03E5" w:rsidRDefault="00625A5B" w:rsidP="00AD6EF5">
      <w:pPr>
        <w:pStyle w:val="Translit"/>
      </w:pPr>
      <w:r w:rsidRPr="008F03E5">
        <w:rPr>
          <w:rFonts w:eastAsia="Times New Roman"/>
        </w:rPr>
        <w:t>Zamani, Zamaniyan</w:t>
      </w:r>
      <w:r w:rsidRPr="008F03E5">
        <w:rPr>
          <w:rFonts w:eastAsia="Times New Roman"/>
        </w:rPr>
        <w:tab/>
        <w:t>Zamání, pl. Zamániy</w:t>
      </w:r>
      <w:r w:rsidRPr="008F03E5">
        <w:t>á</w:t>
      </w:r>
      <w:r w:rsidRPr="008F03E5">
        <w:rPr>
          <w:rFonts w:eastAsia="Times New Roman"/>
        </w:rPr>
        <w:t>n</w:t>
      </w:r>
      <w:r w:rsidRPr="008F03E5">
        <w:rPr>
          <w:rFonts w:eastAsia="Times New Roman"/>
        </w:rPr>
        <w:tab/>
        <w:t>Pers. temporal; worldly; frail.—pl. people of the world.</w:t>
      </w:r>
    </w:p>
    <w:p w14:paraId="29EE706F" w14:textId="77777777" w:rsidR="00625A5B" w:rsidRPr="008F03E5" w:rsidRDefault="00625A5B" w:rsidP="00AD6EF5">
      <w:pPr>
        <w:pStyle w:val="Translit"/>
      </w:pPr>
      <w:r w:rsidRPr="008F03E5">
        <w:t>Zamin</w:t>
      </w:r>
      <w:r w:rsidRPr="008F03E5">
        <w:tab/>
        <w:t>Zamín</w:t>
      </w:r>
      <w:r w:rsidRPr="008F03E5">
        <w:tab/>
        <w:t>Pers. Earth, ground; floor; land, soil; a region, country; the pavement at the bottom of a pond or cistern; the ground of a picture; (adv.) on the ground or floor</w:t>
      </w:r>
    </w:p>
    <w:p w14:paraId="3B5C159C" w14:textId="77777777" w:rsidR="00625A5B" w:rsidRPr="008F03E5" w:rsidRDefault="00625A5B" w:rsidP="00A876F3">
      <w:pPr>
        <w:pStyle w:val="Translit"/>
      </w:pPr>
      <w:r w:rsidRPr="008F03E5">
        <w:t>Zamzam</w:t>
      </w:r>
      <w:r w:rsidRPr="008F03E5">
        <w:tab/>
        <w:t>Zamzam</w:t>
      </w:r>
      <w:r w:rsidRPr="008F03E5">
        <w:tab/>
        <w:t>copious, abundant (especially water).  Sacred well (also called Hagar’s well) within the precincts of the Great Mosque at Mecca (it is about 25 m east of the Ka‘ba).</w:t>
      </w:r>
    </w:p>
    <w:p w14:paraId="56B5DFDB" w14:textId="77777777" w:rsidR="00625A5B" w:rsidRPr="008F03E5" w:rsidRDefault="00625A5B" w:rsidP="00733261">
      <w:pPr>
        <w:pStyle w:val="Translit"/>
      </w:pPr>
      <w:r w:rsidRPr="008F03E5">
        <w:t>Zan, Zanan</w:t>
      </w:r>
      <w:r w:rsidRPr="008F03E5">
        <w:tab/>
        <w:t>Zan, pl. Zanán</w:t>
      </w:r>
      <w:r w:rsidRPr="008F03E5">
        <w:tab/>
        <w:t>Pers. a woman; a lady; a bride, a wife; effeminate, timid, cowardly; one who assumes a bold and animated air in walking</w:t>
      </w:r>
    </w:p>
    <w:p w14:paraId="1A59BAC3" w14:textId="77777777" w:rsidR="00625A5B" w:rsidRPr="008F03E5" w:rsidRDefault="00625A5B" w:rsidP="00667E4B">
      <w:pPr>
        <w:pStyle w:val="Translit"/>
      </w:pPr>
      <w:r w:rsidRPr="008F03E5">
        <w:t>Zana, Zinan, Zina</w:t>
      </w:r>
      <w:r w:rsidRPr="008F03E5">
        <w:tab/>
        <w:t>Zaná, Zinan, Ziná’</w:t>
      </w:r>
      <w:r w:rsidRPr="008F03E5">
        <w:tab/>
        <w:t>to commit adultery, fornicate, whore</w:t>
      </w:r>
    </w:p>
    <w:p w14:paraId="7F5E9B62" w14:textId="77777777" w:rsidR="00625A5B" w:rsidRPr="008F03E5" w:rsidRDefault="00625A5B" w:rsidP="000059A9">
      <w:pPr>
        <w:pStyle w:val="Translit"/>
        <w:rPr>
          <w:rtl/>
        </w:rPr>
      </w:pPr>
      <w:r w:rsidRPr="008F03E5">
        <w:rPr>
          <w:rFonts w:eastAsia="Times New Roman"/>
        </w:rPr>
        <w:t>Zanana (Zenana)</w:t>
      </w:r>
      <w:r w:rsidRPr="008F03E5">
        <w:rPr>
          <w:rFonts w:eastAsia="Times New Roman"/>
        </w:rPr>
        <w:tab/>
        <w:t>Zanána</w:t>
      </w:r>
      <w:r w:rsidRPr="008F03E5">
        <w:rPr>
          <w:rFonts w:eastAsia="Times New Roman"/>
        </w:rPr>
        <w:tab/>
        <w:t xml:space="preserve">Pers. women’s apartments; </w:t>
      </w:r>
      <w:r w:rsidRPr="008F03E5">
        <w:t>feminine; womanly.  The inner apartments of a house in which the women of the family live.  See mardána.</w:t>
      </w:r>
    </w:p>
    <w:p w14:paraId="6B7C08EB" w14:textId="77777777" w:rsidR="00625A5B" w:rsidRPr="008F03E5" w:rsidRDefault="00625A5B" w:rsidP="00D42E7A">
      <w:pPr>
        <w:pStyle w:val="Translit"/>
      </w:pPr>
      <w:r w:rsidRPr="008F03E5">
        <w:t>Zand, Zinad, Zunud</w:t>
      </w:r>
      <w:r w:rsidRPr="008F03E5">
        <w:tab/>
        <w:t>Zand m. &amp; f., pl. Zinád, Zunúd</w:t>
      </w:r>
      <w:r w:rsidRPr="008F03E5">
        <w:tab/>
        <w:t>stick of a fire drill, a primitive device for kindling fire; by extension, the whole fire drill;—zand, zind, pl. zunúd, ulna (anatomy); forearm.  Pers. Book of Zand written in Zand dialect and Zand dynasty.</w:t>
      </w:r>
    </w:p>
    <w:p w14:paraId="106F050D" w14:textId="77777777" w:rsidR="00625A5B" w:rsidRPr="008F03E5" w:rsidRDefault="00625A5B" w:rsidP="00BF2BBC">
      <w:pPr>
        <w:pStyle w:val="Translit"/>
      </w:pPr>
      <w:r w:rsidRPr="008F03E5">
        <w:t>Zandaqa</w:t>
      </w:r>
      <w:r w:rsidRPr="008F03E5">
        <w:tab/>
        <w:t>Zandaqa[t]</w:t>
      </w:r>
      <w:r w:rsidRPr="008F03E5">
        <w:tab/>
        <w:t>a belief in the two principles of light and darkness; impiety, heresy; atheism.  See zindíq</w:t>
      </w:r>
    </w:p>
    <w:p w14:paraId="0E2189EF" w14:textId="77777777" w:rsidR="00625A5B" w:rsidRPr="008F03E5" w:rsidRDefault="00625A5B" w:rsidP="00225CE3">
      <w:pPr>
        <w:pStyle w:val="Translit"/>
      </w:pPr>
      <w:r w:rsidRPr="008F03E5">
        <w:t>Zangi</w:t>
      </w:r>
      <w:r w:rsidRPr="008F03E5">
        <w:tab/>
        <w:t>Zangí</w:t>
      </w:r>
      <w:r w:rsidRPr="008F03E5">
        <w:tab/>
        <w:t>Pers. Egyptian, Ethiopian, Moor, Negro; a savage; a fool; name of the founder of a dynasty</w:t>
      </w:r>
    </w:p>
    <w:p w14:paraId="37B550DE" w14:textId="77777777" w:rsidR="00625A5B" w:rsidRPr="008F03E5" w:rsidRDefault="00625A5B" w:rsidP="00D70AFD">
      <w:pPr>
        <w:pStyle w:val="Translit"/>
      </w:pPr>
      <w:r w:rsidRPr="008F03E5">
        <w:t>Zanj, Zinj, Zunuj</w:t>
      </w:r>
      <w:r w:rsidRPr="008F03E5">
        <w:tab/>
        <w:t>Zanj, Zinj (colloquial), pl. Zunúj</w:t>
      </w:r>
      <w:r w:rsidRPr="008F03E5">
        <w:tab/>
        <w:t>Negro.  Arabic form of Zangí</w:t>
      </w:r>
    </w:p>
    <w:p w14:paraId="41EC3395" w14:textId="77777777" w:rsidR="00625A5B" w:rsidRDefault="00625A5B" w:rsidP="00674105">
      <w:pPr>
        <w:pStyle w:val="Translit"/>
      </w:pPr>
      <w:r w:rsidRPr="008F03E5">
        <w:t>Zanjan</w:t>
      </w:r>
      <w:r w:rsidRPr="008F03E5">
        <w:tab/>
        <w:t>Zanján</w:t>
      </w:r>
      <w:r w:rsidRPr="008F03E5">
        <w:tab/>
        <w:t xml:space="preserve">city </w:t>
      </w:r>
      <w:r>
        <w:t>(</w:t>
      </w:r>
      <w:r w:rsidRPr="00674105">
        <w:t>36.6831</w:t>
      </w:r>
      <w:r>
        <w:t>10</w:t>
      </w:r>
      <w:r w:rsidRPr="00674105">
        <w:t>, 48.509688</w:t>
      </w:r>
      <w:r>
        <w:t xml:space="preserve">) </w:t>
      </w:r>
      <w:r w:rsidRPr="008F03E5">
        <w:t xml:space="preserve">between Qazvín and Tabríz, </w:t>
      </w:r>
      <w:r>
        <w:t>formerly Zang</w:t>
      </w:r>
      <w:r w:rsidRPr="00674105">
        <w:t>á</w:t>
      </w:r>
      <w:r>
        <w:t>n.  H</w:t>
      </w:r>
      <w:r w:rsidRPr="008F03E5">
        <w:t>ome of Ḥujjat.</w:t>
      </w:r>
    </w:p>
    <w:p w14:paraId="1D83BA4A" w14:textId="77777777" w:rsidR="00625A5B" w:rsidRPr="008F03E5" w:rsidRDefault="00625A5B" w:rsidP="00674105">
      <w:pPr>
        <w:pStyle w:val="Translit"/>
      </w:pPr>
      <w:r>
        <w:t>Zanjani, Zanjaniyun</w:t>
      </w:r>
      <w:r>
        <w:tab/>
        <w:t>Zanj</w:t>
      </w:r>
      <w:r w:rsidRPr="00674105">
        <w:t>á</w:t>
      </w:r>
      <w:r>
        <w:t>n</w:t>
      </w:r>
      <w:r w:rsidRPr="00674105">
        <w:t>í</w:t>
      </w:r>
      <w:r>
        <w:t>, pl. Zanj</w:t>
      </w:r>
      <w:r w:rsidRPr="00674105">
        <w:t>á</w:t>
      </w:r>
      <w:r>
        <w:t>n</w:t>
      </w:r>
      <w:r w:rsidRPr="00674105">
        <w:t>í</w:t>
      </w:r>
      <w:r>
        <w:t>y</w:t>
      </w:r>
      <w:r w:rsidRPr="00674105">
        <w:t>ú</w:t>
      </w:r>
      <w:r>
        <w:t>n</w:t>
      </w:r>
      <w:r>
        <w:tab/>
        <w:t>of or from Zanj</w:t>
      </w:r>
      <w:r w:rsidRPr="00674105">
        <w:t>á</w:t>
      </w:r>
      <w:r>
        <w:t>n</w:t>
      </w:r>
    </w:p>
    <w:p w14:paraId="618E7695" w14:textId="77777777" w:rsidR="00625A5B" w:rsidRPr="008F03E5" w:rsidRDefault="00625A5B" w:rsidP="007E28F9">
      <w:pPr>
        <w:pStyle w:val="Translit"/>
      </w:pPr>
      <w:r w:rsidRPr="008F03E5">
        <w:t>Zann, Zunun</w:t>
      </w:r>
      <w:r w:rsidRPr="008F03E5">
        <w:tab/>
        <w:t>Ẓann, pl. Ẓunún</w:t>
      </w:r>
      <w:r w:rsidRPr="008F03E5">
        <w:tab/>
        <w:t>opinion, idea, assumption, view, belief, supposition; doubt, uncertainty</w:t>
      </w:r>
    </w:p>
    <w:p w14:paraId="316819D5" w14:textId="77777777" w:rsidR="00625A5B" w:rsidRPr="008F03E5" w:rsidRDefault="00625A5B" w:rsidP="006B436F">
      <w:pPr>
        <w:pStyle w:val="Translit"/>
      </w:pPr>
      <w:r w:rsidRPr="008F03E5">
        <w:t>Zaqqum</w:t>
      </w:r>
      <w:r w:rsidRPr="008F03E5">
        <w:tab/>
        <w:t>Zaqqúm</w:t>
      </w:r>
      <w:r w:rsidRPr="008F03E5">
        <w:tab/>
        <w:t xml:space="preserve">an infernal tree with exceedingly bitter fruit, the fruit of which is supposed to be the heads of devils; a thorny tree, cactus.  </w:t>
      </w:r>
      <w:r w:rsidRPr="008F03E5">
        <w:rPr>
          <w:rFonts w:eastAsia="Times New Roman"/>
          <w:u w:val="single"/>
        </w:rPr>
        <w:t>Sh</w:t>
      </w:r>
      <w:r w:rsidRPr="008F03E5">
        <w:rPr>
          <w:rFonts w:eastAsia="Times New Roman"/>
        </w:rPr>
        <w:t xml:space="preserve">ajaratu’z-zaqqúm is mentioned in Qur’án 37:62, 44:43.  It is said 44:43 (“bitter tree”) can refer to </w:t>
      </w:r>
      <w:r w:rsidRPr="008F03E5">
        <w:t xml:space="preserve">Ḥájí Mírzá Karím </w:t>
      </w:r>
      <w:r w:rsidRPr="008F03E5">
        <w:rPr>
          <w:u w:val="single"/>
        </w:rPr>
        <w:t>Kh</w:t>
      </w:r>
      <w:r w:rsidRPr="008F03E5">
        <w:t>án, who was also a heavy smoker.</w:t>
      </w:r>
    </w:p>
    <w:p w14:paraId="01B3C2D8" w14:textId="77777777" w:rsidR="00625A5B" w:rsidRPr="008F03E5" w:rsidRDefault="00625A5B" w:rsidP="00F51BBD">
      <w:pPr>
        <w:pStyle w:val="Translit"/>
      </w:pPr>
      <w:r w:rsidRPr="008F03E5">
        <w:t>Zar</w:t>
      </w:r>
      <w:r w:rsidRPr="008F03E5">
        <w:tab/>
        <w:t>Zar</w:t>
      </w:r>
      <w:r w:rsidRPr="008F03E5">
        <w:tab/>
        <w:t>Pers. gold; money, riches, wealth; an old man or woman; an old man, grey and ruddy</w:t>
      </w:r>
    </w:p>
    <w:p w14:paraId="6846905D" w14:textId="77777777" w:rsidR="00625A5B" w:rsidRPr="008F03E5" w:rsidRDefault="00625A5B" w:rsidP="00077779">
      <w:pPr>
        <w:pStyle w:val="Translit"/>
        <w:rPr>
          <w:rFonts w:eastAsia="Times New Roman"/>
        </w:rPr>
      </w:pPr>
      <w:r w:rsidRPr="00077779">
        <w:rPr>
          <w:rFonts w:eastAsia="Times New Roman"/>
        </w:rPr>
        <w:t>Zaradusht, Zardusht (Zardosht</w:t>
      </w:r>
      <w:r>
        <w:rPr>
          <w:rFonts w:eastAsia="Times New Roman"/>
        </w:rPr>
        <w:t>)</w:t>
      </w:r>
      <w:r w:rsidRPr="00077779">
        <w:rPr>
          <w:rFonts w:eastAsia="Times New Roman"/>
        </w:rPr>
        <w:tab/>
        <w:t>Zarádu</w:t>
      </w:r>
      <w:r w:rsidRPr="00077779">
        <w:rPr>
          <w:rFonts w:eastAsia="Times New Roman"/>
          <w:u w:val="single"/>
        </w:rPr>
        <w:t>sh</w:t>
      </w:r>
      <w:r w:rsidRPr="00077779">
        <w:rPr>
          <w:rFonts w:eastAsia="Times New Roman"/>
        </w:rPr>
        <w:t>t</w:t>
      </w:r>
      <w:r>
        <w:rPr>
          <w:rFonts w:eastAsia="Times New Roman"/>
        </w:rPr>
        <w:t xml:space="preserve">, </w:t>
      </w:r>
      <w:r w:rsidRPr="00077779">
        <w:rPr>
          <w:rFonts w:eastAsia="Times New Roman"/>
        </w:rPr>
        <w:t>Zardu</w:t>
      </w:r>
      <w:r w:rsidRPr="00077779">
        <w:rPr>
          <w:rFonts w:eastAsia="Times New Roman"/>
          <w:u w:val="single"/>
        </w:rPr>
        <w:t>sh</w:t>
      </w:r>
      <w:r w:rsidRPr="00077779">
        <w:rPr>
          <w:rFonts w:eastAsia="Times New Roman"/>
        </w:rPr>
        <w:t>t</w:t>
      </w:r>
      <w:r w:rsidRPr="00077779">
        <w:rPr>
          <w:rFonts w:eastAsia="Times New Roman"/>
        </w:rPr>
        <w:tab/>
        <w:t xml:space="preserve">Pers. </w:t>
      </w:r>
      <w:r w:rsidRPr="008F03E5">
        <w:rPr>
          <w:rFonts w:eastAsia="Times New Roman"/>
        </w:rPr>
        <w:t>Zoroaster</w:t>
      </w:r>
    </w:p>
    <w:p w14:paraId="761D2CF4" w14:textId="77777777" w:rsidR="00625A5B" w:rsidRPr="008F03E5" w:rsidRDefault="00625A5B" w:rsidP="008345D0">
      <w:pPr>
        <w:pStyle w:val="Translit"/>
      </w:pPr>
      <w:r w:rsidRPr="008F03E5">
        <w:t>Zarand</w:t>
      </w:r>
      <w:r w:rsidRPr="008F03E5">
        <w:tab/>
        <w:t>Zarand</w:t>
      </w:r>
      <w:r w:rsidRPr="008F03E5">
        <w:tab/>
        <w:t xml:space="preserve">a city (76 km </w:t>
      </w:r>
      <w:r w:rsidRPr="008F03E5">
        <w:rPr>
          <w:sz w:val="16"/>
          <w:szCs w:val="16"/>
        </w:rPr>
        <w:t>NW</w:t>
      </w:r>
      <w:r w:rsidRPr="008F03E5">
        <w:t xml:space="preserve"> Kerman) and capital of Zarand County, Kerman Province, Iran</w:t>
      </w:r>
    </w:p>
    <w:p w14:paraId="5852966F" w14:textId="77777777" w:rsidR="00625A5B" w:rsidRDefault="00625A5B" w:rsidP="00241B59">
      <w:pPr>
        <w:pStyle w:val="Translit"/>
      </w:pPr>
      <w:r>
        <w:t>Zard</w:t>
      </w:r>
      <w:r>
        <w:tab/>
        <w:t>Zard</w:t>
      </w:r>
      <w:r>
        <w:tab/>
        <w:t xml:space="preserve">Pers. </w:t>
      </w:r>
      <w:r>
        <w:rPr>
          <w:rFonts w:eastAsia="Times New Roman"/>
        </w:rPr>
        <w:t>y</w:t>
      </w:r>
      <w:r w:rsidRPr="00AF4D34">
        <w:rPr>
          <w:rFonts w:eastAsia="Times New Roman"/>
        </w:rPr>
        <w:t>ellow, saffron-coloured; pale, pallid, wan; saffron</w:t>
      </w:r>
    </w:p>
    <w:p w14:paraId="7361FBA9" w14:textId="77777777" w:rsidR="00625A5B" w:rsidRPr="008F03E5" w:rsidRDefault="00625A5B" w:rsidP="00D40E48">
      <w:pPr>
        <w:pStyle w:val="Translit"/>
      </w:pPr>
      <w:r w:rsidRPr="00D45A23">
        <w:rPr>
          <w:lang w:val="pl-PL"/>
        </w:rPr>
        <w:t>Zard, Zara, Zirih, Zarud</w:t>
      </w:r>
      <w:r w:rsidRPr="00D45A23">
        <w:rPr>
          <w:lang w:val="pl-PL"/>
        </w:rPr>
        <w:tab/>
        <w:t xml:space="preserve">Zard, (Pers. </w:t>
      </w:r>
      <w:r w:rsidRPr="008F03E5">
        <w:t>Zara, Zirih), pl. Zarúd</w:t>
      </w:r>
      <w:r w:rsidRPr="008F03E5">
        <w:tab/>
        <w:t>chain mail, coat of mail.</w:t>
      </w:r>
    </w:p>
    <w:p w14:paraId="11006C59" w14:textId="77777777" w:rsidR="00625A5B" w:rsidRPr="008F03E5" w:rsidRDefault="00625A5B" w:rsidP="00681D56">
      <w:pPr>
        <w:pStyle w:val="Translit"/>
      </w:pPr>
      <w:r w:rsidRPr="008F03E5">
        <w:t>Zardastan</w:t>
      </w:r>
      <w:r w:rsidRPr="008F03E5">
        <w:tab/>
        <w:t>Zardastán</w:t>
      </w:r>
      <w:r w:rsidRPr="008F03E5">
        <w:tab/>
        <w:t xml:space="preserve">(Zar + dastán?) </w:t>
      </w:r>
      <w:r w:rsidRPr="008F03E5">
        <w:rPr>
          <w:i/>
          <w:iCs/>
        </w:rPr>
        <w:t>Eminent Bahá’ís in the Time of Bahá’u’lláh</w:t>
      </w:r>
      <w:r w:rsidRPr="008F03E5">
        <w:t>, p. 291</w:t>
      </w:r>
    </w:p>
    <w:p w14:paraId="58493FAA" w14:textId="77777777" w:rsidR="00625A5B" w:rsidRPr="008F03E5" w:rsidRDefault="00625A5B" w:rsidP="008E72F9">
      <w:pPr>
        <w:pStyle w:val="Translit"/>
      </w:pPr>
      <w:r w:rsidRPr="008F03E5">
        <w:t>Zar-duz</w:t>
      </w:r>
      <w:r w:rsidRPr="008F03E5">
        <w:tab/>
        <w:t>Zar-Dúz (Zar-Doz)</w:t>
      </w:r>
      <w:r w:rsidRPr="008F03E5">
        <w:tab/>
        <w:t>Pers. an embroiderer; embroidered; fastened with golden nails (a coffin).</w:t>
      </w:r>
    </w:p>
    <w:p w14:paraId="0D1C327B" w14:textId="77777777" w:rsidR="00625A5B" w:rsidRPr="008F03E5" w:rsidRDefault="00625A5B" w:rsidP="003D3E91">
      <w:pPr>
        <w:pStyle w:val="Translit"/>
      </w:pPr>
      <w:r w:rsidRPr="008F03E5">
        <w:t>Zar-duzi</w:t>
      </w:r>
      <w:r w:rsidRPr="008F03E5">
        <w:tab/>
        <w:t>Zar-Dúzí (Zar-Dozí)</w:t>
      </w:r>
      <w:r w:rsidRPr="008F03E5">
        <w:tab/>
        <w:t>Pers. embroidery, often with gold and silver thread</w:t>
      </w:r>
    </w:p>
    <w:p w14:paraId="0DC9445F" w14:textId="77777777" w:rsidR="00625A5B" w:rsidRPr="008F03E5" w:rsidRDefault="00625A5B" w:rsidP="00D26CB4">
      <w:pPr>
        <w:pStyle w:val="Translit"/>
      </w:pPr>
      <w:r w:rsidRPr="008F03E5">
        <w:t>Zar</w:t>
      </w:r>
      <w:r>
        <w:t>ga</w:t>
      </w:r>
      <w:r w:rsidRPr="008F03E5">
        <w:t>ndih (Zargandeh</w:t>
      </w:r>
      <w:r>
        <w:t xml:space="preserve">, </w:t>
      </w:r>
      <w:r w:rsidRPr="008F03E5">
        <w:t>Zar</w:t>
      </w:r>
      <w:r>
        <w:t>k</w:t>
      </w:r>
      <w:r w:rsidRPr="008F03E5">
        <w:t>andih)</w:t>
      </w:r>
      <w:r w:rsidRPr="008F03E5">
        <w:tab/>
        <w:t>Zar</w:t>
      </w:r>
      <w:r>
        <w:t>g</w:t>
      </w:r>
      <w:r w:rsidRPr="008F03E5">
        <w:t>andih</w:t>
      </w:r>
      <w:r w:rsidRPr="008F03E5">
        <w:tab/>
      </w:r>
      <w:r>
        <w:t>Pers. (zar = gold) (</w:t>
      </w:r>
      <w:r w:rsidRPr="008F03E5">
        <w:t>Zar</w:t>
      </w:r>
      <w:r>
        <w:t>k</w:t>
      </w:r>
      <w:r w:rsidRPr="008F03E5">
        <w:t>andih</w:t>
      </w:r>
      <w:r>
        <w:t xml:space="preserve"> “struck or f</w:t>
      </w:r>
      <w:r w:rsidRPr="008F03E5">
        <w:t>illed with gold”</w:t>
      </w:r>
      <w:r>
        <w:t>)</w:t>
      </w:r>
      <w:r w:rsidRPr="008F03E5">
        <w:t xml:space="preserve">.  Former small village </w:t>
      </w:r>
      <w:r w:rsidRPr="007D2E0B">
        <w:t>(35.773149, 51.432725)</w:t>
      </w:r>
      <w:r>
        <w:t xml:space="preserve"> </w:t>
      </w:r>
      <w:r w:rsidRPr="008F03E5">
        <w:t xml:space="preserve">in the </w:t>
      </w:r>
      <w:r w:rsidRPr="008F03E5">
        <w:rPr>
          <w:u w:val="single"/>
        </w:rPr>
        <w:t>Sh</w:t>
      </w:r>
      <w:r w:rsidRPr="008F03E5">
        <w:t>imírán division of Teheran, site of the Russian legation in 1852.  Now a quarter (8 km north of the city centre) in Sector 3.</w:t>
      </w:r>
    </w:p>
    <w:p w14:paraId="7D50A003" w14:textId="77777777" w:rsidR="00625A5B" w:rsidRPr="008F03E5" w:rsidRDefault="00625A5B" w:rsidP="00681D56">
      <w:pPr>
        <w:pStyle w:val="Translit"/>
      </w:pPr>
      <w:r w:rsidRPr="008F03E5">
        <w:t>Zargar</w:t>
      </w:r>
      <w:r w:rsidRPr="008F03E5">
        <w:tab/>
        <w:t>Zargár</w:t>
      </w:r>
      <w:r>
        <w:t>, Zargar</w:t>
      </w:r>
      <w:r w:rsidRPr="008F03E5">
        <w:tab/>
        <w:t>Pers. goldsmith</w:t>
      </w:r>
    </w:p>
    <w:p w14:paraId="19179970" w14:textId="77777777" w:rsidR="00625A5B" w:rsidRDefault="00625A5B" w:rsidP="00395205">
      <w:pPr>
        <w:pStyle w:val="Translit"/>
      </w:pPr>
      <w:r>
        <w:t>Zari’, Zurra’</w:t>
      </w:r>
      <w:r>
        <w:tab/>
        <w:t>Zá</w:t>
      </w:r>
      <w:r w:rsidRPr="00395205">
        <w:t>ri‘</w:t>
      </w:r>
      <w:r>
        <w:t>,</w:t>
      </w:r>
      <w:r w:rsidRPr="00395205">
        <w:t xml:space="preserve"> pl. </w:t>
      </w:r>
      <w:r>
        <w:t>Z</w:t>
      </w:r>
      <w:r w:rsidRPr="00395205">
        <w:t>urr</w:t>
      </w:r>
      <w:r>
        <w:t>á</w:t>
      </w:r>
      <w:r w:rsidRPr="00395205">
        <w:t>‘</w:t>
      </w:r>
      <w:r>
        <w:tab/>
      </w:r>
      <w:r w:rsidRPr="00395205">
        <w:t>seedsman, sower; peasant; farmer; planter</w:t>
      </w:r>
    </w:p>
    <w:p w14:paraId="39662B64" w14:textId="77777777" w:rsidR="00625A5B" w:rsidRPr="008F03E5" w:rsidRDefault="00625A5B" w:rsidP="00E16A83">
      <w:pPr>
        <w:pStyle w:val="Translit"/>
      </w:pPr>
      <w:r w:rsidRPr="008F03E5">
        <w:t>Zarin, Zarrin (Zarrinih or Zarrineh)</w:t>
      </w:r>
      <w:r w:rsidRPr="008F03E5">
        <w:tab/>
        <w:t>Zarín, Zarrín</w:t>
      </w:r>
      <w:r w:rsidRPr="008F03E5">
        <w:tab/>
        <w:t>Pers. golden</w:t>
      </w:r>
    </w:p>
    <w:p w14:paraId="1F9B5CAB" w14:textId="77777777" w:rsidR="00625A5B" w:rsidRPr="008F03E5" w:rsidRDefault="00625A5B" w:rsidP="007D2E0B">
      <w:pPr>
        <w:pStyle w:val="Translit"/>
      </w:pPr>
      <w:r w:rsidRPr="008F03E5">
        <w:t>Zarqan</w:t>
      </w:r>
      <w:r w:rsidRPr="008F03E5">
        <w:tab/>
        <w:t>Zarqán</w:t>
      </w:r>
      <w:r w:rsidRPr="008F03E5">
        <w:tab/>
        <w:t>(from zar</w:t>
      </w:r>
      <w:r w:rsidRPr="008F03E5">
        <w:rPr>
          <w:u w:val="single"/>
        </w:rPr>
        <w:t>gh</w:t>
      </w:r>
      <w:r w:rsidRPr="008F03E5">
        <w:t>ún, “lush”)</w:t>
      </w:r>
      <w:r>
        <w:t xml:space="preserve"> </w:t>
      </w:r>
      <w:r w:rsidRPr="008F03E5">
        <w:t>(Zarghan</w:t>
      </w:r>
      <w:r>
        <w:t xml:space="preserve">, </w:t>
      </w:r>
      <w:r w:rsidRPr="000B0769">
        <w:t>Zarghanak</w:t>
      </w:r>
      <w:r w:rsidRPr="008F03E5">
        <w:t xml:space="preserve">).  City </w:t>
      </w:r>
      <w:r>
        <w:t>(</w:t>
      </w:r>
      <w:r w:rsidRPr="000B0769">
        <w:t>29.765310, 52.710449</w:t>
      </w:r>
      <w:r>
        <w:t>)</w:t>
      </w:r>
      <w:r w:rsidRPr="000B0769">
        <w:t xml:space="preserve"> in Fars Province</w:t>
      </w:r>
      <w:r>
        <w:t>;</w:t>
      </w:r>
      <w:r w:rsidRPr="008F03E5">
        <w:t xml:space="preserve"> 20 km </w:t>
      </w:r>
      <w:r w:rsidRPr="008F03E5">
        <w:rPr>
          <w:sz w:val="16"/>
          <w:szCs w:val="16"/>
        </w:rPr>
        <w:t>ENE</w:t>
      </w:r>
      <w:r w:rsidRPr="008F03E5">
        <w:t xml:space="preserve"> of Shiraz.</w:t>
      </w:r>
    </w:p>
    <w:p w14:paraId="263ECE96" w14:textId="77777777" w:rsidR="00625A5B" w:rsidRPr="008F03E5" w:rsidRDefault="00625A5B" w:rsidP="004F2C16">
      <w:pPr>
        <w:pStyle w:val="Translit"/>
      </w:pPr>
      <w:r w:rsidRPr="008F03E5">
        <w:t>Zarqani</w:t>
      </w:r>
      <w:r w:rsidRPr="008F03E5">
        <w:tab/>
        <w:t>Zarqání</w:t>
      </w:r>
      <w:r w:rsidRPr="008F03E5">
        <w:tab/>
        <w:t xml:space="preserve">Mírzá Maḥmúd Zarqání (c. 1875–1924), travel teacher and secretary for Shoghi Effendi.  </w:t>
      </w:r>
      <w:r w:rsidRPr="008F03E5">
        <w:rPr>
          <w:i/>
          <w:iCs/>
        </w:rPr>
        <w:t>Maḥmúd’s Diary:  The Diary of Mírzá Maḥmúd-i-Zarqání Chronicling ‘Abdu’l-Bahá’s Journey to America</w:t>
      </w:r>
      <w:r w:rsidRPr="008F03E5">
        <w:t xml:space="preserve">, is a translation of vol. 1 of his </w:t>
      </w:r>
      <w:r w:rsidRPr="008F03E5">
        <w:rPr>
          <w:i/>
          <w:iCs/>
        </w:rPr>
        <w:t>Kitáb-i-Badá’i‘ al-Á</w:t>
      </w:r>
      <w:r w:rsidRPr="008F03E5">
        <w:rPr>
          <w:i/>
          <w:iCs/>
          <w:u w:val="single"/>
        </w:rPr>
        <w:t>th</w:t>
      </w:r>
      <w:r w:rsidRPr="008F03E5">
        <w:rPr>
          <w:i/>
          <w:iCs/>
        </w:rPr>
        <w:t>ár</w:t>
      </w:r>
      <w:r w:rsidRPr="008F03E5">
        <w:t xml:space="preserve"> (“Book of Wondrous Impressions” in two vols).</w:t>
      </w:r>
    </w:p>
    <w:p w14:paraId="52880863" w14:textId="77777777" w:rsidR="00625A5B" w:rsidRPr="008F03E5" w:rsidRDefault="00625A5B" w:rsidP="008F23EC">
      <w:pPr>
        <w:pStyle w:val="Translit"/>
      </w:pPr>
      <w:r w:rsidRPr="008F03E5">
        <w:t>Zarrin-Taj</w:t>
      </w:r>
      <w:r w:rsidRPr="008F03E5">
        <w:tab/>
        <w:t>Zarrín-Táj</w:t>
      </w:r>
      <w:r w:rsidRPr="008F03E5">
        <w:tab/>
        <w:t>“Crown of Gold”, one of the titles given to Ṭáhirih by her family</w:t>
      </w:r>
    </w:p>
    <w:p w14:paraId="47B6AB23" w14:textId="77777777" w:rsidR="00625A5B" w:rsidRPr="008F03E5" w:rsidRDefault="00625A5B" w:rsidP="005C6A08">
      <w:pPr>
        <w:pStyle w:val="Translit"/>
      </w:pPr>
      <w:r w:rsidRPr="008F03E5">
        <w:t>Zartusht, Zardusht</w:t>
      </w:r>
      <w:r w:rsidRPr="008F03E5">
        <w:tab/>
        <w:t>Zartu</w:t>
      </w:r>
      <w:r w:rsidRPr="008F03E5">
        <w:rPr>
          <w:u w:val="single"/>
        </w:rPr>
        <w:t>sh</w:t>
      </w:r>
      <w:r w:rsidRPr="008F03E5">
        <w:t>t, Zardu</w:t>
      </w:r>
      <w:r w:rsidRPr="008F03E5">
        <w:rPr>
          <w:u w:val="single"/>
        </w:rPr>
        <w:t>sh</w:t>
      </w:r>
      <w:r w:rsidRPr="008F03E5">
        <w:t>t</w:t>
      </w:r>
      <w:r w:rsidRPr="008F03E5">
        <w:tab/>
        <w:t>Pers. supreme intelligence; divine light; the rational soul; the first created; the planet Mercury; a truth-speaker; Zoroaster or Zarathustra.  Founder of the Zoroastrian religion.</w:t>
      </w:r>
    </w:p>
    <w:p w14:paraId="45D02A24" w14:textId="77777777" w:rsidR="00625A5B" w:rsidRPr="008F03E5" w:rsidRDefault="00625A5B" w:rsidP="0067570F">
      <w:pPr>
        <w:pStyle w:val="Translit"/>
      </w:pPr>
      <w:r w:rsidRPr="008F03E5">
        <w:t>Zatuna, Zaytunat</w:t>
      </w:r>
      <w:r w:rsidRPr="008F03E5">
        <w:tab/>
        <w:t>Zaytúna[h or t], pl. Zaytúnát</w:t>
      </w:r>
      <w:r w:rsidRPr="008F03E5">
        <w:tab/>
        <w:t>olive tree, olive</w:t>
      </w:r>
    </w:p>
    <w:p w14:paraId="5DED8B68" w14:textId="77777777" w:rsidR="00625A5B" w:rsidRPr="008F03E5" w:rsidRDefault="00625A5B" w:rsidP="003909A7">
      <w:pPr>
        <w:pStyle w:val="Translit"/>
      </w:pPr>
      <w:r w:rsidRPr="008F03E5">
        <w:t>Zawal (Zaval)</w:t>
      </w:r>
      <w:r w:rsidRPr="008F03E5">
        <w:tab/>
        <w:t>Zawál</w:t>
      </w:r>
      <w:r w:rsidRPr="008F03E5">
        <w:tab/>
        <w:t>end, passage, extinction, disappearance, vanishing, cessation; setting (of the sun); noon (or zenith)</w:t>
      </w:r>
    </w:p>
    <w:p w14:paraId="7D09F6EF" w14:textId="77777777" w:rsidR="00625A5B" w:rsidRPr="008F03E5" w:rsidRDefault="00625A5B" w:rsidP="00C36F89">
      <w:pPr>
        <w:pStyle w:val="Translit"/>
      </w:pPr>
      <w:r w:rsidRPr="00077779">
        <w:rPr>
          <w:lang w:val="pl-PL"/>
        </w:rPr>
        <w:t>Zawar, Zawara, Zawarih, Zavarih</w:t>
      </w:r>
      <w:r w:rsidRPr="00077779">
        <w:rPr>
          <w:lang w:val="pl-PL"/>
        </w:rPr>
        <w:tab/>
        <w:t xml:space="preserve">Zawár, Zawára, Pers. </w:t>
      </w:r>
      <w:r w:rsidRPr="008F03E5">
        <w:t>Zawárih</w:t>
      </w:r>
      <w:r w:rsidRPr="008F03E5">
        <w:tab/>
        <w:t xml:space="preserve">Pers. (Zavareh) an under jailer; a servant; the brother of Rustam; a city in Persian ‘Iráq founded by him.  A city in and the capital of Zavareh District, in Ardestan County, Isfahan Province, Iran.  14 km </w:t>
      </w:r>
      <w:r w:rsidRPr="008F03E5">
        <w:rPr>
          <w:sz w:val="16"/>
          <w:szCs w:val="16"/>
        </w:rPr>
        <w:t>NE</w:t>
      </w:r>
      <w:r w:rsidRPr="008F03E5">
        <w:t xml:space="preserve"> of Ardestan and 115 km </w:t>
      </w:r>
      <w:r w:rsidRPr="008F03E5">
        <w:rPr>
          <w:sz w:val="16"/>
          <w:szCs w:val="16"/>
        </w:rPr>
        <w:t>NE</w:t>
      </w:r>
      <w:r w:rsidRPr="008F03E5">
        <w:t xml:space="preserve"> of Isfahan.</w:t>
      </w:r>
    </w:p>
    <w:p w14:paraId="02532D15" w14:textId="77777777" w:rsidR="00625A5B" w:rsidRPr="008F03E5" w:rsidRDefault="00625A5B" w:rsidP="00C36F89">
      <w:pPr>
        <w:pStyle w:val="Translit"/>
      </w:pPr>
      <w:r w:rsidRPr="008F03E5">
        <w:t>Zawar, Zuwar</w:t>
      </w:r>
      <w:r w:rsidRPr="008F03E5">
        <w:tab/>
        <w:t>Zawár, pl. Zúwár</w:t>
      </w:r>
      <w:r w:rsidRPr="008F03E5">
        <w:tab/>
        <w:t>a visitor; a stranger, pilgrim</w:t>
      </w:r>
    </w:p>
    <w:p w14:paraId="4BF534A7" w14:textId="77777777" w:rsidR="00625A5B" w:rsidRPr="008F03E5" w:rsidRDefault="00625A5B" w:rsidP="00866518">
      <w:pPr>
        <w:pStyle w:val="Translit"/>
      </w:pPr>
      <w:r w:rsidRPr="008063A9">
        <w:t>Zawj (Zauj), Azwaj</w:t>
      </w:r>
      <w:r w:rsidRPr="008063A9">
        <w:tab/>
        <w:t xml:space="preserve">Zawj, pl. </w:t>
      </w:r>
      <w:r w:rsidRPr="008F03E5">
        <w:t>Azwáj</w:t>
      </w:r>
      <w:r w:rsidRPr="008F03E5">
        <w:tab/>
        <w:t>to pair, couple, mate, join in pairs or couples (something); to double, geminate (something); to employ parallelism (rhetoric)</w:t>
      </w:r>
    </w:p>
    <w:p w14:paraId="18F1C317" w14:textId="77777777" w:rsidR="00625A5B" w:rsidRPr="008F03E5" w:rsidRDefault="00625A5B" w:rsidP="00681D56">
      <w:pPr>
        <w:pStyle w:val="Translit"/>
      </w:pPr>
      <w:r w:rsidRPr="008F03E5">
        <w:t>Zawra</w:t>
      </w:r>
      <w:r w:rsidRPr="008F03E5">
        <w:tab/>
        <w:t>Zawrá’</w:t>
      </w:r>
      <w:r w:rsidRPr="008F03E5">
        <w:tab/>
        <w:t>western side of Ba</w:t>
      </w:r>
      <w:r w:rsidRPr="008F03E5">
        <w:rPr>
          <w:u w:val="single"/>
        </w:rPr>
        <w:t>gh</w:t>
      </w:r>
      <w:r w:rsidRPr="008F03E5">
        <w:t>dád (split by Tigris River) was also known (by Persians) as az-Zawrá’ (the bent or the crooked).  See ar-Rawḥá</w:t>
      </w:r>
    </w:p>
    <w:p w14:paraId="0DD5FA5D" w14:textId="77777777" w:rsidR="00625A5B" w:rsidRPr="008F03E5" w:rsidRDefault="00625A5B" w:rsidP="00BC4073">
      <w:pPr>
        <w:pStyle w:val="Translit"/>
      </w:pPr>
      <w:r w:rsidRPr="008F03E5">
        <w:t>Zayanda</w:t>
      </w:r>
      <w:r w:rsidRPr="008F03E5">
        <w:tab/>
        <w:t>Záyanda</w:t>
      </w:r>
      <w:r w:rsidRPr="008F03E5">
        <w:tab/>
        <w:t>Pers. bringing forth; a mother</w:t>
      </w:r>
    </w:p>
    <w:p w14:paraId="64F26D51" w14:textId="77777777" w:rsidR="00625A5B" w:rsidRPr="008F03E5" w:rsidRDefault="00625A5B" w:rsidP="00D909B8">
      <w:pPr>
        <w:pStyle w:val="Translit"/>
      </w:pPr>
      <w:r w:rsidRPr="008F03E5">
        <w:t>Zayandih-Rud</w:t>
      </w:r>
      <w:r w:rsidRPr="008F03E5">
        <w:tab/>
        <w:t>Záyandih-Rúd</w:t>
      </w:r>
      <w:r w:rsidRPr="008F03E5">
        <w:tab/>
        <w:t>Pers. from Záyandih “life giver” and Rúd “river”, is the largest river of the Iranian Plateau in central Iran.</w:t>
      </w:r>
    </w:p>
    <w:p w14:paraId="4358AAB8" w14:textId="77777777" w:rsidR="00625A5B" w:rsidRPr="008F03E5" w:rsidRDefault="00625A5B" w:rsidP="00320E52">
      <w:pPr>
        <w:pStyle w:val="Translit"/>
      </w:pPr>
      <w:r w:rsidRPr="008F03E5">
        <w:t>Zayd (Zaid)</w:t>
      </w:r>
      <w:r w:rsidRPr="008F03E5">
        <w:tab/>
        <w:t>Zayd</w:t>
      </w:r>
      <w:r w:rsidRPr="008F03E5">
        <w:tab/>
        <w:t>Pers. being augmented; increasing, augmenting, adding; proper name of a man, frequently used in a fictitious manner</w:t>
      </w:r>
    </w:p>
    <w:p w14:paraId="3B9A3D12" w14:textId="77777777" w:rsidR="00625A5B" w:rsidRPr="008F03E5" w:rsidRDefault="00625A5B" w:rsidP="00320E52">
      <w:pPr>
        <w:pStyle w:val="Translit"/>
      </w:pPr>
      <w:r w:rsidRPr="008F03E5">
        <w:t>Zaydan (Zaidan)</w:t>
      </w:r>
      <w:r w:rsidRPr="008F03E5">
        <w:tab/>
        <w:t>Zaydán</w:t>
      </w:r>
      <w:r w:rsidRPr="008F03E5">
        <w:tab/>
        <w:t>Jurjí Zaydán.  See Zahidan</w:t>
      </w:r>
    </w:p>
    <w:p w14:paraId="2725A86B" w14:textId="77777777" w:rsidR="00625A5B" w:rsidRPr="008F03E5" w:rsidRDefault="00625A5B" w:rsidP="00277DEC">
      <w:pPr>
        <w:pStyle w:val="Translit"/>
      </w:pPr>
      <w:r w:rsidRPr="008F03E5">
        <w:t>Zaydi (Zaidi)</w:t>
      </w:r>
      <w:r w:rsidRPr="008F03E5">
        <w:tab/>
        <w:t>Zaydí</w:t>
      </w:r>
      <w:r w:rsidRPr="008F03E5">
        <w:tab/>
        <w:t xml:space="preserve">followers of the Zaydi Islamic jurisprudence (named after Zayd ibn ‘Alí, the grandson of Ḥusayn ibn ‘Alí and the son of their fourth Imám ‘Alí ibn Ḥusayn) are called Zaydí and make up about 35–42% of Muslims in Yemen, with the vast majority of </w:t>
      </w:r>
      <w:r w:rsidRPr="008F03E5">
        <w:rPr>
          <w:u w:val="single"/>
        </w:rPr>
        <w:t>Sh</w:t>
      </w:r>
      <w:r w:rsidRPr="008F03E5">
        <w:t xml:space="preserve">í‘a Muslims in the country being Zaydí.  The followers dismiss religious dissimulation (taqíya).  They are a </w:t>
      </w:r>
      <w:r w:rsidRPr="008F03E5">
        <w:rPr>
          <w:u w:val="single"/>
        </w:rPr>
        <w:t>Sh</w:t>
      </w:r>
      <w:r w:rsidRPr="008F03E5">
        <w:t>í‘ih breakaway group.</w:t>
      </w:r>
    </w:p>
    <w:p w14:paraId="6ABAD248" w14:textId="77777777" w:rsidR="00625A5B" w:rsidRPr="008F03E5" w:rsidRDefault="00625A5B" w:rsidP="00D23324">
      <w:pPr>
        <w:pStyle w:val="Translit"/>
      </w:pPr>
      <w:r w:rsidRPr="008F03E5">
        <w:t>Zaydiyya (Zaidiyya)</w:t>
      </w:r>
      <w:r w:rsidRPr="008F03E5">
        <w:tab/>
        <w:t>Zaydiyya[h]</w:t>
      </w:r>
      <w:r w:rsidRPr="008F03E5">
        <w:tab/>
        <w:t xml:space="preserve">Zaidism (Arabic:  az-zaydiyya, adjective form zaydí) is one of the </w:t>
      </w:r>
      <w:r w:rsidRPr="008F03E5">
        <w:rPr>
          <w:u w:val="single"/>
        </w:rPr>
        <w:t>Sh</w:t>
      </w:r>
      <w:r w:rsidRPr="008F03E5">
        <w:t>í‘a sects closest in terms of theology to Ḥanafí Sunní Islam.</w:t>
      </w:r>
    </w:p>
    <w:p w14:paraId="1C2203F4" w14:textId="77777777" w:rsidR="00625A5B" w:rsidRPr="008F03E5" w:rsidRDefault="00625A5B" w:rsidP="00B528B1">
      <w:pPr>
        <w:pStyle w:val="Translit"/>
      </w:pPr>
      <w:r w:rsidRPr="00B528B1">
        <w:rPr>
          <w:lang w:val="pl-PL"/>
        </w:rPr>
        <w:t>Zayn (Zain, Zine), Z</w:t>
      </w:r>
      <w:r>
        <w:rPr>
          <w:lang w:val="pl-PL"/>
        </w:rPr>
        <w:t>ina, Zinat</w:t>
      </w:r>
      <w:r w:rsidRPr="00B528B1">
        <w:rPr>
          <w:lang w:val="pl-PL"/>
        </w:rPr>
        <w:tab/>
        <w:t xml:space="preserve">Zayn, fem. </w:t>
      </w:r>
      <w:r>
        <w:t>Zín</w:t>
      </w:r>
      <w:r w:rsidRPr="00B528B1">
        <w:t>a</w:t>
      </w:r>
      <w:r>
        <w:t xml:space="preserve">[h or t], </w:t>
      </w:r>
      <w:r w:rsidRPr="00B528B1">
        <w:t xml:space="preserve">pl. </w:t>
      </w:r>
      <w:r>
        <w:t>Zíná</w:t>
      </w:r>
      <w:r w:rsidRPr="00B528B1">
        <w:t>t</w:t>
      </w:r>
      <w:r>
        <w:tab/>
      </w:r>
      <w:r w:rsidRPr="008F03E5">
        <w:t>beauty; beautiful, nice, pretty</w:t>
      </w:r>
      <w:r>
        <w:t xml:space="preserve">;—fem. </w:t>
      </w:r>
      <w:r w:rsidRPr="00B528B1">
        <w:t>embellishment, adornment, ornament, decoration; cloth, attire, finery; toilette</w:t>
      </w:r>
    </w:p>
    <w:p w14:paraId="5FFE5B6A" w14:textId="77777777" w:rsidR="00625A5B" w:rsidRPr="008F03E5" w:rsidRDefault="00625A5B" w:rsidP="00667E4B">
      <w:pPr>
        <w:pStyle w:val="Translit"/>
      </w:pPr>
      <w:r w:rsidRPr="008F03E5">
        <w:t>Zaynab</w:t>
      </w:r>
      <w:r w:rsidRPr="008F03E5">
        <w:tab/>
        <w:t>Zaynab</w:t>
      </w:r>
      <w:r w:rsidRPr="008F03E5">
        <w:tab/>
        <w:t>Ar. fem. (many spelling variations) “a father’s precious jewel” or “the one who glorifies a father”.  It is derived from the Arabic root words “zína” (meaning precious jewel, what glorifies someone, source of beauty) and “ab” (meaning father).  It can also mean “fragrant flower”.  Daughter, wives and granddaughter (Zaynab ibnat ‘Alíy) of Muḥammad.  Believed to be a modification of Zenobia.  Also a girl from a village near Zanján who disguised herself as a man to join others at the fort at Zanján.</w:t>
      </w:r>
    </w:p>
    <w:p w14:paraId="3C05DF0E" w14:textId="77777777" w:rsidR="00625A5B" w:rsidRPr="008F03E5" w:rsidRDefault="00625A5B" w:rsidP="00337455">
      <w:pPr>
        <w:pStyle w:val="Translit"/>
      </w:pPr>
      <w:r w:rsidRPr="008F03E5">
        <w:t>Zaynu’l</w:t>
      </w:r>
      <w:r w:rsidRPr="008F03E5">
        <w:rPr>
          <w:rFonts w:eastAsia="PMingLiU"/>
          <w:lang w:eastAsia="zh-TW"/>
        </w:rPr>
        <w:t>-‘</w:t>
      </w:r>
      <w:r w:rsidRPr="008F03E5">
        <w:t>Abid</w:t>
      </w:r>
      <w:r>
        <w:t>u</w:t>
      </w:r>
      <w:r w:rsidRPr="008F03E5">
        <w:t>n</w:t>
      </w:r>
      <w:r w:rsidRPr="008F03E5">
        <w:tab/>
        <w:t>Zaynu’l-‘Ábid</w:t>
      </w:r>
      <w:r>
        <w:t>ú</w:t>
      </w:r>
      <w:r w:rsidRPr="008F03E5">
        <w:t>n</w:t>
      </w:r>
      <w:r w:rsidRPr="008F03E5">
        <w:tab/>
        <w:t>“The ornament of the worshipper</w:t>
      </w:r>
      <w:r>
        <w:t>s</w:t>
      </w:r>
      <w:r w:rsidRPr="008F03E5">
        <w:t>” or the “Prince of Worshippers”.  Title of the fourth Imám, ‘Alí Ibn Ḥusayn, and of a distinguished Bahá’í</w:t>
      </w:r>
      <w:r>
        <w:t>, Fawz</w:t>
      </w:r>
      <w:r w:rsidRPr="005E7961">
        <w:t>í</w:t>
      </w:r>
      <w:r>
        <w:t xml:space="preserve"> Zaynu’l-‘</w:t>
      </w:r>
      <w:r w:rsidRPr="005E7961">
        <w:t>Á</w:t>
      </w:r>
      <w:r>
        <w:t>bidín, Knight of Bahá’u’lláh</w:t>
      </w:r>
      <w:r w:rsidRPr="008F03E5">
        <w:t>.</w:t>
      </w:r>
    </w:p>
    <w:p w14:paraId="484AE4FE" w14:textId="77777777" w:rsidR="00625A5B" w:rsidRDefault="00625A5B" w:rsidP="00337455">
      <w:pPr>
        <w:pStyle w:val="Translit"/>
      </w:pPr>
      <w:r>
        <w:t>Zaynu’l-Mukhlisun</w:t>
      </w:r>
      <w:r>
        <w:tab/>
        <w:t>Zaynu’l-</w:t>
      </w:r>
      <w:r w:rsidRPr="008F03E5">
        <w:rPr>
          <w:rFonts w:eastAsia="PMingLiU"/>
          <w:lang w:eastAsia="zh-TW"/>
        </w:rPr>
        <w:t>Mu</w:t>
      </w:r>
      <w:r w:rsidRPr="008F03E5">
        <w:rPr>
          <w:rFonts w:eastAsia="PMingLiU"/>
          <w:u w:val="single"/>
          <w:lang w:eastAsia="zh-TW"/>
        </w:rPr>
        <w:t>kh</w:t>
      </w:r>
      <w:r w:rsidRPr="008F03E5">
        <w:rPr>
          <w:rFonts w:eastAsia="PMingLiU"/>
          <w:lang w:eastAsia="zh-TW"/>
        </w:rPr>
        <w:t>liṣún</w:t>
      </w:r>
      <w:r>
        <w:rPr>
          <w:rFonts w:eastAsia="PMingLiU"/>
          <w:lang w:eastAsia="zh-TW"/>
        </w:rPr>
        <w:tab/>
        <w:t>“</w:t>
      </w:r>
      <w:r>
        <w:t xml:space="preserve">the adorning of the sincere ones”, surname given by ‘Abdu’l-Bahá to </w:t>
      </w:r>
      <w:r w:rsidRPr="005E7961">
        <w:t>Zaynu</w:t>
      </w:r>
      <w:r>
        <w:t>’</w:t>
      </w:r>
      <w:r w:rsidRPr="005E7961">
        <w:t>l-</w:t>
      </w:r>
      <w:r>
        <w:t>‘</w:t>
      </w:r>
      <w:r w:rsidRPr="005E7961">
        <w:t>Ábid</w:t>
      </w:r>
      <w:r>
        <w:t>í</w:t>
      </w:r>
      <w:r w:rsidRPr="005E7961">
        <w:t>n Ism</w:t>
      </w:r>
      <w:r>
        <w:t>á‘í</w:t>
      </w:r>
      <w:r w:rsidRPr="005E7961">
        <w:t>l</w:t>
      </w:r>
      <w:r>
        <w:t>, father of Fawz</w:t>
      </w:r>
      <w:r w:rsidRPr="005E7961">
        <w:t>í</w:t>
      </w:r>
      <w:r>
        <w:t xml:space="preserve"> Zaynu’l-‘</w:t>
      </w:r>
      <w:r w:rsidRPr="005E7961">
        <w:t>Á</w:t>
      </w:r>
      <w:r>
        <w:t>bidín.</w:t>
      </w:r>
    </w:p>
    <w:p w14:paraId="7C3FB3FE" w14:textId="77777777" w:rsidR="00625A5B" w:rsidRPr="008F03E5" w:rsidRDefault="00625A5B" w:rsidP="00A80FD7">
      <w:pPr>
        <w:pStyle w:val="Translit"/>
      </w:pPr>
      <w:r w:rsidRPr="008F03E5">
        <w:t>Zaynu’l-Muqarrabin</w:t>
      </w:r>
      <w:r w:rsidRPr="008F03E5">
        <w:tab/>
        <w:t>Zaynu’l-Muqarrabín</w:t>
      </w:r>
      <w:r w:rsidRPr="008F03E5">
        <w:tab/>
        <w:t>“the Ornament of the Near Ones” or “the Ornament of the favoured”</w:t>
      </w:r>
    </w:p>
    <w:p w14:paraId="32E921AB" w14:textId="77777777" w:rsidR="00625A5B" w:rsidRPr="008F03E5" w:rsidRDefault="00625A5B" w:rsidP="0047219D">
      <w:pPr>
        <w:pStyle w:val="Translit"/>
      </w:pPr>
      <w:r w:rsidRPr="008F03E5">
        <w:t>Zayta (Zaita)</w:t>
      </w:r>
      <w:r w:rsidRPr="008F03E5">
        <w:tab/>
        <w:t>Zaytá</w:t>
      </w:r>
      <w:r w:rsidRPr="008F03E5">
        <w:tab/>
        <w:t xml:space="preserve">transcription from Hebrew, </w:t>
      </w:r>
      <w:r w:rsidRPr="008F03E5">
        <w:rPr>
          <w:rtl/>
          <w:lang w:bidi="he-IL"/>
        </w:rPr>
        <w:t>זית</w:t>
      </w:r>
      <w:r w:rsidRPr="008F03E5">
        <w:t>, olive.  Mount Zaytá (Mount of Olives).  See Tíná and Zayt</w:t>
      </w:r>
      <w:r>
        <w:t>ún.</w:t>
      </w:r>
    </w:p>
    <w:p w14:paraId="34BD637B" w14:textId="77777777" w:rsidR="00625A5B" w:rsidRPr="008F03E5" w:rsidRDefault="00625A5B" w:rsidP="00386BC3">
      <w:pPr>
        <w:pStyle w:val="Translit"/>
      </w:pPr>
      <w:r w:rsidRPr="008F03E5">
        <w:t>Zaytun (Zaitun, Zaytoun)</w:t>
      </w:r>
      <w:r w:rsidRPr="008F03E5">
        <w:tab/>
        <w:t>Zaytún</w:t>
      </w:r>
      <w:r>
        <w:t>, fem. Zayt</w:t>
      </w:r>
      <w:r w:rsidRPr="00386BC3">
        <w:t>ú</w:t>
      </w:r>
      <w:r>
        <w:t>na[h or t]</w:t>
      </w:r>
      <w:r w:rsidRPr="008F03E5">
        <w:tab/>
      </w:r>
      <w:r>
        <w:t>(pl. fem. Zayt</w:t>
      </w:r>
      <w:r w:rsidRPr="00386BC3">
        <w:t>ú</w:t>
      </w:r>
      <w:r>
        <w:t>n</w:t>
      </w:r>
      <w:r w:rsidRPr="00386BC3">
        <w:t>á</w:t>
      </w:r>
      <w:r>
        <w:t xml:space="preserve">t) </w:t>
      </w:r>
      <w:r w:rsidRPr="008F03E5">
        <w:t>(collective noun) olive tree; olive(s).  az-Zaytún, a district of Cairo that ‘Abdu’l-Bahá resided in.  Jabal az-Zaytún (Mount of Olives, Jerusalem).  See Tíná and Zaytá</w:t>
      </w:r>
      <w:r>
        <w:t>.</w:t>
      </w:r>
    </w:p>
    <w:p w14:paraId="609E2EA9" w14:textId="77777777" w:rsidR="00625A5B" w:rsidRPr="008F03E5" w:rsidRDefault="00625A5B" w:rsidP="00531E03">
      <w:pPr>
        <w:pStyle w:val="Translit"/>
      </w:pPr>
      <w:r w:rsidRPr="008F03E5">
        <w:t>Zayya, Tazayya</w:t>
      </w:r>
      <w:r w:rsidRPr="008F03E5">
        <w:tab/>
        <w:t>Zayyá</w:t>
      </w:r>
      <w:r w:rsidRPr="008F03E5">
        <w:tab/>
        <w:t>to dress, clothe, costume (someone in).  Form V tazayyá to dress, put on a dress or costume; to dress up, smarten oneself up, to be dressed, be clad (in), wear (something).</w:t>
      </w:r>
    </w:p>
    <w:p w14:paraId="2F710674" w14:textId="77777777" w:rsidR="00625A5B" w:rsidRPr="008F03E5" w:rsidRDefault="00625A5B" w:rsidP="001D3982">
      <w:pPr>
        <w:pStyle w:val="Myhead"/>
        <w:rPr>
          <w:u w:val="single"/>
        </w:rPr>
      </w:pPr>
      <w:r w:rsidRPr="008F03E5">
        <w:rPr>
          <w:u w:val="single"/>
        </w:rPr>
        <w:t>Zh</w:t>
      </w:r>
      <w:bookmarkStart w:id="156" w:name="Zh"/>
      <w:bookmarkEnd w:id="156"/>
    </w:p>
    <w:p w14:paraId="1E1149B0" w14:textId="77777777" w:rsidR="00625A5B" w:rsidRPr="008F03E5" w:rsidRDefault="00625A5B" w:rsidP="00D23324">
      <w:pPr>
        <w:pStyle w:val="Translit"/>
        <w:rPr>
          <w:rFonts w:eastAsia="PMingLiU"/>
          <w:lang w:eastAsia="zh-TW"/>
        </w:rPr>
      </w:pPr>
      <w:r w:rsidRPr="008F03E5">
        <w:t>Zhinus</w:t>
      </w:r>
      <w:r w:rsidRPr="008F03E5">
        <w:tab/>
      </w:r>
      <w:r w:rsidRPr="008F03E5">
        <w:rPr>
          <w:u w:val="single"/>
        </w:rPr>
        <w:t>Zh</w:t>
      </w:r>
      <w:r w:rsidRPr="008F03E5">
        <w:t>ínús</w:t>
      </w:r>
      <w:r w:rsidRPr="008F03E5">
        <w:tab/>
      </w:r>
      <w:r w:rsidRPr="008F03E5">
        <w:rPr>
          <w:u w:val="single"/>
        </w:rPr>
        <w:t>Zh</w:t>
      </w:r>
      <w:r w:rsidRPr="008F03E5">
        <w:t>ínús Muḥmúdí</w:t>
      </w:r>
    </w:p>
    <w:p w14:paraId="1844AB99" w14:textId="77777777" w:rsidR="00625A5B" w:rsidRPr="008F03E5" w:rsidRDefault="00625A5B" w:rsidP="00277014">
      <w:pPr>
        <w:pStyle w:val="Translit"/>
        <w:rPr>
          <w:rFonts w:eastAsia="Times New Roman"/>
        </w:rPr>
      </w:pPr>
      <w:r w:rsidRPr="008F03E5">
        <w:rPr>
          <w:rFonts w:eastAsia="Times New Roman"/>
        </w:rPr>
        <w:t>Zib (Zeb)</w:t>
      </w:r>
      <w:r w:rsidRPr="008F03E5">
        <w:rPr>
          <w:rFonts w:eastAsia="Times New Roman"/>
        </w:rPr>
        <w:tab/>
        <w:t>Zíb</w:t>
      </w:r>
      <w:r w:rsidRPr="008F03E5">
        <w:rPr>
          <w:rFonts w:eastAsia="Times New Roman"/>
        </w:rPr>
        <w:tab/>
        <w:t>Pers. ornament, elegance, beauty; lovely, graceful</w:t>
      </w:r>
    </w:p>
    <w:p w14:paraId="1D77CB13" w14:textId="77777777" w:rsidR="00625A5B" w:rsidRPr="008F03E5" w:rsidRDefault="00625A5B" w:rsidP="00A35A51">
      <w:pPr>
        <w:pStyle w:val="Translit"/>
      </w:pPr>
      <w:r w:rsidRPr="008F03E5">
        <w:rPr>
          <w:rFonts w:eastAsia="Times New Roman"/>
        </w:rPr>
        <w:t>Ziba (Zeba)</w:t>
      </w:r>
      <w:r w:rsidRPr="008F03E5">
        <w:rPr>
          <w:rFonts w:eastAsia="Times New Roman"/>
        </w:rPr>
        <w:tab/>
        <w:t>Zíbá</w:t>
      </w:r>
      <w:r w:rsidRPr="008F03E5">
        <w:rPr>
          <w:rFonts w:eastAsia="Times New Roman"/>
        </w:rPr>
        <w:tab/>
        <w:t xml:space="preserve">Pers. beautiful, elegant; adorned, arranged; consistent.  </w:t>
      </w:r>
      <w:r w:rsidRPr="008F03E5">
        <w:t xml:space="preserve">Zíbá </w:t>
      </w:r>
      <w:r w:rsidRPr="008F03E5">
        <w:rPr>
          <w:u w:val="single"/>
        </w:rPr>
        <w:t>Kh</w:t>
      </w:r>
      <w:r w:rsidRPr="008F03E5">
        <w:t xml:space="preserve">ánum (d. 1932), African slave owned by Fatḥ-ʿAlí </w:t>
      </w:r>
      <w:r w:rsidRPr="008F03E5">
        <w:rPr>
          <w:u w:val="single"/>
        </w:rPr>
        <w:t>Sh</w:t>
      </w:r>
      <w:r w:rsidRPr="008F03E5">
        <w:t xml:space="preserve">áh.  Son </w:t>
      </w:r>
      <w:r w:rsidRPr="008F03E5">
        <w:rPr>
          <w:u w:val="single"/>
        </w:rPr>
        <w:t>Gh</w:t>
      </w:r>
      <w:r w:rsidRPr="008F03E5">
        <w:t>ulám-‘Alí Siyáh (1871–1949) became a Bahá’í.</w:t>
      </w:r>
    </w:p>
    <w:p w14:paraId="17B65E1D" w14:textId="77777777" w:rsidR="00625A5B" w:rsidRPr="008F03E5" w:rsidRDefault="00625A5B" w:rsidP="00745103">
      <w:pPr>
        <w:pStyle w:val="Translit"/>
      </w:pPr>
      <w:r w:rsidRPr="008F03E5">
        <w:rPr>
          <w:rFonts w:eastAsia="PMingLiU"/>
          <w:lang w:eastAsia="zh-TW"/>
        </w:rPr>
        <w:t>Zihar</w:t>
      </w:r>
      <w:r w:rsidRPr="008F03E5">
        <w:rPr>
          <w:rFonts w:eastAsia="PMingLiU"/>
          <w:lang w:eastAsia="zh-TW"/>
        </w:rPr>
        <w:tab/>
        <w:t>Ẓihár</w:t>
      </w:r>
      <w:r w:rsidRPr="008F03E5">
        <w:rPr>
          <w:rFonts w:eastAsia="PMingLiU"/>
          <w:lang w:eastAsia="zh-TW"/>
        </w:rPr>
        <w:tab/>
        <w:t>pre-Islamic form of divorce, consisting in the words of repudiation:  you are to me like my mother’s back.  It is an</w:t>
      </w:r>
      <w:r w:rsidRPr="008F03E5">
        <w:t xml:space="preserve"> insult proffered by a husband upon his wife that likens the wife to some prohibited female relation of his, and exposes the husband to divorce.  See muḥallil</w:t>
      </w:r>
    </w:p>
    <w:p w14:paraId="4A453994" w14:textId="77777777" w:rsidR="00625A5B" w:rsidRPr="008F03E5" w:rsidRDefault="00625A5B" w:rsidP="00BE61B0">
      <w:pPr>
        <w:pStyle w:val="Translit"/>
        <w:rPr>
          <w:rFonts w:eastAsia="PMingLiU"/>
          <w:lang w:eastAsia="zh-TW"/>
        </w:rPr>
      </w:pPr>
      <w:r w:rsidRPr="008F03E5">
        <w:rPr>
          <w:rFonts w:eastAsia="PMingLiU"/>
          <w:lang w:eastAsia="zh-TW"/>
        </w:rPr>
        <w:t>Zihtab</w:t>
      </w:r>
      <w:r w:rsidRPr="008F03E5">
        <w:tab/>
      </w:r>
      <w:r w:rsidRPr="008F03E5">
        <w:rPr>
          <w:rFonts w:eastAsia="PMingLiU"/>
          <w:lang w:eastAsia="zh-TW"/>
        </w:rPr>
        <w:t>Zihtáb</w:t>
      </w:r>
      <w:r w:rsidRPr="008F03E5">
        <w:tab/>
        <w:t xml:space="preserve">Ismá‘íl </w:t>
      </w:r>
      <w:r w:rsidRPr="008F03E5">
        <w:rPr>
          <w:rFonts w:eastAsia="PMingLiU"/>
          <w:lang w:eastAsia="zh-TW"/>
        </w:rPr>
        <w:t>Zihtáb</w:t>
      </w:r>
    </w:p>
    <w:p w14:paraId="5CBEC1B3" w14:textId="77777777" w:rsidR="00625A5B" w:rsidRPr="008F03E5" w:rsidRDefault="00625A5B" w:rsidP="00A56C0A">
      <w:pPr>
        <w:pStyle w:val="Translit"/>
      </w:pPr>
      <w:r w:rsidRPr="008F03E5">
        <w:t>Zij</w:t>
      </w:r>
      <w:r w:rsidRPr="008F03E5">
        <w:tab/>
        <w:t>Zíj</w:t>
      </w:r>
      <w:r w:rsidRPr="008F03E5">
        <w:tab/>
        <w:t>leveling line (used by masons); ephemeris, astronomical almanac.  Zíj as-Sindhind (“astronomical tables of Siddhanta”) by al-</w:t>
      </w:r>
      <w:r w:rsidRPr="008F03E5">
        <w:rPr>
          <w:u w:val="single"/>
        </w:rPr>
        <w:t>Kh</w:t>
      </w:r>
      <w:r w:rsidRPr="008F03E5">
        <w:t>árazmí.</w:t>
      </w:r>
    </w:p>
    <w:p w14:paraId="1D19CF30" w14:textId="77777777" w:rsidR="00625A5B" w:rsidRPr="008F03E5" w:rsidRDefault="00625A5B" w:rsidP="000555E7">
      <w:pPr>
        <w:pStyle w:val="Translit"/>
      </w:pPr>
      <w:r w:rsidRPr="008F03E5">
        <w:t>Zill, Zilal, Zulul, Azlal</w:t>
      </w:r>
      <w:r w:rsidRPr="008F03E5">
        <w:tab/>
        <w:t>Ẓill, pl. Ẓilál, Ẓulúl, Aẓlál</w:t>
      </w:r>
      <w:r w:rsidRPr="008F03E5">
        <w:tab/>
        <w:t xml:space="preserve">shadow, shade, umbra; shelter, protection, patronage; shading, hub; slightest indication, semblance, trace, glimpse (of something); tangent (geometry).  See </w:t>
      </w:r>
      <w:r w:rsidRPr="008F03E5">
        <w:rPr>
          <w:u w:val="single"/>
        </w:rPr>
        <w:t>Sh</w:t>
      </w:r>
      <w:r w:rsidRPr="008F03E5">
        <w:t>abaḥ</w:t>
      </w:r>
    </w:p>
    <w:p w14:paraId="022E3224" w14:textId="77777777" w:rsidR="00625A5B" w:rsidRPr="008F03E5" w:rsidRDefault="00625A5B" w:rsidP="00A879CA">
      <w:pPr>
        <w:pStyle w:val="Translit"/>
      </w:pPr>
      <w:r w:rsidRPr="008F03E5">
        <w:t>Zillu’llah</w:t>
      </w:r>
      <w:r w:rsidRPr="008F03E5">
        <w:tab/>
        <w:t>Ẓillu’lláh</w:t>
      </w:r>
      <w:r w:rsidRPr="008F03E5">
        <w:tab/>
        <w:t xml:space="preserve">“Shadow of God” </w:t>
      </w:r>
      <w:r w:rsidRPr="008F03E5">
        <w:rPr>
          <w:sz w:val="16"/>
          <w:szCs w:val="16"/>
        </w:rPr>
        <w:t>DB</w:t>
      </w:r>
      <w:r w:rsidRPr="008F03E5">
        <w:t xml:space="preserve"> xxxviii</w:t>
      </w:r>
    </w:p>
    <w:p w14:paraId="4146506A" w14:textId="77777777" w:rsidR="00625A5B" w:rsidRPr="008F03E5" w:rsidRDefault="00625A5B" w:rsidP="00F95EE0">
      <w:pPr>
        <w:pStyle w:val="Translit"/>
      </w:pPr>
      <w:r w:rsidRPr="008F03E5">
        <w:t>Zillu’s-Sultan</w:t>
      </w:r>
      <w:r w:rsidRPr="008F03E5">
        <w:tab/>
        <w:t>Ẓillu’s-Sulṭán</w:t>
      </w:r>
      <w:r w:rsidRPr="008F03E5">
        <w:tab/>
        <w:t xml:space="preserve">“Shadow of the King”, Mas‘úd Mírzá, eldest son of Náṣir ad-Dín </w:t>
      </w:r>
      <w:r w:rsidRPr="008F03E5">
        <w:rPr>
          <w:u w:val="single"/>
        </w:rPr>
        <w:t>Sh</w:t>
      </w:r>
      <w:r w:rsidRPr="008F03E5">
        <w:t>áh.</w:t>
      </w:r>
    </w:p>
    <w:p w14:paraId="4187DB56" w14:textId="77777777" w:rsidR="00625A5B" w:rsidRDefault="00625A5B" w:rsidP="009F1CC6">
      <w:pPr>
        <w:pStyle w:val="Translit"/>
      </w:pPr>
      <w:r w:rsidRPr="008F03E5">
        <w:t>Zin</w:t>
      </w:r>
      <w:r w:rsidRPr="008F03E5">
        <w:tab/>
        <w:t>Zín</w:t>
      </w:r>
      <w:r w:rsidRPr="008F03E5">
        <w:tab/>
        <w:t>Pers. a saddle</w:t>
      </w:r>
    </w:p>
    <w:p w14:paraId="13F64125" w14:textId="77777777" w:rsidR="00625A5B" w:rsidRPr="008F03E5" w:rsidRDefault="00625A5B" w:rsidP="008314CD">
      <w:pPr>
        <w:pStyle w:val="Translit"/>
      </w:pPr>
      <w:r w:rsidRPr="008F03E5">
        <w:t>Zina (Zyna), Zinat (Zynat and Zeenat)</w:t>
      </w:r>
      <w:r w:rsidRPr="008F03E5">
        <w:tab/>
        <w:t>Zína[h or t], pl. Zínát</w:t>
      </w:r>
      <w:r w:rsidRPr="008F03E5">
        <w:tab/>
        <w:t xml:space="preserve">embellishment, adornment, ornament, decoration; cloth, attire, finery.  Zínat </w:t>
      </w:r>
      <w:r w:rsidRPr="008F03E5">
        <w:rPr>
          <w:u w:val="single"/>
        </w:rPr>
        <w:t>Kh</w:t>
      </w:r>
      <w:r w:rsidRPr="008F03E5">
        <w:t>ánum (Zínat Ba</w:t>
      </w:r>
      <w:r w:rsidRPr="008F03E5">
        <w:rPr>
          <w:u w:val="single"/>
        </w:rPr>
        <w:t>gh</w:t>
      </w:r>
      <w:r w:rsidRPr="008F03E5">
        <w:t>dádí), wife of Dr Ba</w:t>
      </w:r>
      <w:r w:rsidRPr="008F03E5">
        <w:rPr>
          <w:u w:val="single"/>
        </w:rPr>
        <w:t>gh</w:t>
      </w:r>
      <w:r w:rsidRPr="008F03E5">
        <w:t>dádí.</w:t>
      </w:r>
    </w:p>
    <w:p w14:paraId="692DE62E" w14:textId="77777777" w:rsidR="00625A5B" w:rsidRPr="008F03E5" w:rsidRDefault="00625A5B" w:rsidP="008314CD">
      <w:pPr>
        <w:pStyle w:val="Translit"/>
      </w:pPr>
      <w:r w:rsidRPr="008314CD">
        <w:t>Zina</w:t>
      </w:r>
      <w:r w:rsidRPr="008314CD">
        <w:tab/>
        <w:t>Ziná’</w:t>
      </w:r>
      <w:r w:rsidRPr="008314CD">
        <w:tab/>
        <w:t>adultery; fornication</w:t>
      </w:r>
    </w:p>
    <w:p w14:paraId="20E46654" w14:textId="77777777" w:rsidR="00625A5B" w:rsidRPr="008F03E5" w:rsidRDefault="00625A5B" w:rsidP="00605F45">
      <w:pPr>
        <w:pStyle w:val="Translit"/>
        <w:rPr>
          <w:rFonts w:eastAsia="Times New Roman"/>
        </w:rPr>
      </w:pPr>
      <w:r w:rsidRPr="008F03E5">
        <w:rPr>
          <w:rFonts w:eastAsia="Times New Roman"/>
        </w:rPr>
        <w:t>Zinda, Zindagan</w:t>
      </w:r>
      <w:r w:rsidRPr="008F03E5">
        <w:rPr>
          <w:rFonts w:eastAsia="Times New Roman"/>
        </w:rPr>
        <w:tab/>
        <w:t>Zinda, pl. Zindag</w:t>
      </w:r>
      <w:r w:rsidRPr="008F03E5">
        <w:t>á</w:t>
      </w:r>
      <w:r w:rsidRPr="008F03E5">
        <w:rPr>
          <w:rFonts w:eastAsia="Times New Roman"/>
        </w:rPr>
        <w:t>n</w:t>
      </w:r>
      <w:r w:rsidRPr="008F03E5">
        <w:rPr>
          <w:rFonts w:eastAsia="Times New Roman"/>
        </w:rPr>
        <w:tab/>
      </w:r>
      <w:r w:rsidRPr="008F03E5">
        <w:t>Pers. a</w:t>
      </w:r>
      <w:r w:rsidRPr="008F03E5">
        <w:rPr>
          <w:rFonts w:eastAsia="Times New Roman"/>
        </w:rPr>
        <w:t>live, living; life; a match, or anything similar catching fire; poor, needy; great, huge, terrible; proud, haughty;—pl. the living</w:t>
      </w:r>
    </w:p>
    <w:p w14:paraId="75366267" w14:textId="77777777" w:rsidR="00625A5B" w:rsidRPr="008F03E5" w:rsidRDefault="00625A5B" w:rsidP="00605F45">
      <w:pPr>
        <w:pStyle w:val="Translit"/>
        <w:rPr>
          <w:rFonts w:eastAsia="Times New Roman"/>
        </w:rPr>
      </w:pPr>
      <w:r w:rsidRPr="008F03E5">
        <w:rPr>
          <w:rFonts w:eastAsia="Times New Roman"/>
        </w:rPr>
        <w:t>Zindagani</w:t>
      </w:r>
      <w:r w:rsidRPr="008F03E5">
        <w:rPr>
          <w:rFonts w:eastAsia="Times New Roman"/>
        </w:rPr>
        <w:tab/>
        <w:t>Z</w:t>
      </w:r>
      <w:r w:rsidRPr="008F03E5">
        <w:t>indagání</w:t>
      </w:r>
      <w:r w:rsidRPr="008F03E5">
        <w:tab/>
        <w:t>Pers. l</w:t>
      </w:r>
      <w:r w:rsidRPr="008F03E5">
        <w:rPr>
          <w:rFonts w:eastAsia="Times New Roman"/>
        </w:rPr>
        <w:t>ife; sustenance, food</w:t>
      </w:r>
    </w:p>
    <w:p w14:paraId="426A0AF8" w14:textId="77777777" w:rsidR="00625A5B" w:rsidRPr="008F03E5" w:rsidRDefault="00625A5B" w:rsidP="00605F45">
      <w:pPr>
        <w:pStyle w:val="Translit"/>
      </w:pPr>
      <w:r w:rsidRPr="008F03E5">
        <w:rPr>
          <w:rFonts w:eastAsia="Times New Roman"/>
        </w:rPr>
        <w:t>Zindan</w:t>
      </w:r>
      <w:r w:rsidRPr="008F03E5">
        <w:rPr>
          <w:rFonts w:eastAsia="Times New Roman"/>
        </w:rPr>
        <w:tab/>
        <w:t>Zindán</w:t>
      </w:r>
      <w:r w:rsidRPr="008F03E5">
        <w:rPr>
          <w:rFonts w:eastAsia="Times New Roman"/>
        </w:rPr>
        <w:tab/>
        <w:t>Pers. a prison, jail; pound, pin fold</w:t>
      </w:r>
    </w:p>
    <w:p w14:paraId="7933A82D" w14:textId="77777777" w:rsidR="00625A5B" w:rsidRPr="008F03E5" w:rsidRDefault="00625A5B" w:rsidP="00623F97">
      <w:pPr>
        <w:pStyle w:val="Translit"/>
      </w:pPr>
      <w:r w:rsidRPr="008F03E5">
        <w:t>Zindan-i-Awin</w:t>
      </w:r>
      <w:r w:rsidRPr="008F03E5">
        <w:tab/>
        <w:t>Zindán-i-Áwín</w:t>
      </w:r>
      <w:r w:rsidRPr="008F03E5">
        <w:tab/>
        <w:t>Pers. Evin Prison (35.795085, 51.385770) in the Evin neighbourhood of Tehran, Iran</w:t>
      </w:r>
    </w:p>
    <w:p w14:paraId="4DC7CF9E" w14:textId="77777777" w:rsidR="00625A5B" w:rsidRPr="008F03E5" w:rsidRDefault="00625A5B" w:rsidP="006475A2">
      <w:pPr>
        <w:pStyle w:val="Translit"/>
      </w:pPr>
      <w:r w:rsidRPr="008F03E5">
        <w:t>Zindiq, pl. Zanadiq, Zanadiqa</w:t>
      </w:r>
      <w:r w:rsidRPr="008F03E5">
        <w:tab/>
        <w:t>Zindíq, pl. Zanádíq, Zanádiqa[h or t]</w:t>
      </w:r>
      <w:r w:rsidRPr="008F03E5">
        <w:tab/>
        <w:t>Pers. one who maintains the doctrine of two principles (light and darkness); a “fire-worshipper”; an atheist, a disbeliever in God and a future state; a heretic; impious; hypocritical.—pl. Sadducees; infidels; atheists; “fire-worshippers”; pagans, heretics.  See zandaqa</w:t>
      </w:r>
    </w:p>
    <w:p w14:paraId="0574B140" w14:textId="77777777" w:rsidR="00625A5B" w:rsidRPr="008F03E5" w:rsidRDefault="00625A5B" w:rsidP="0053405F">
      <w:pPr>
        <w:pStyle w:val="Translit"/>
      </w:pPr>
      <w:r w:rsidRPr="008F03E5">
        <w:t>Zinjir, Zanjir</w:t>
      </w:r>
      <w:r w:rsidRPr="008F03E5">
        <w:tab/>
        <w:t>Zinjír, Zanjír</w:t>
      </w:r>
      <w:r w:rsidRPr="008F03E5">
        <w:tab/>
        <w:t>Pers. a chain; the rippling surface of water; a harrow; a ploughshare, coulter</w:t>
      </w:r>
    </w:p>
    <w:p w14:paraId="68C09759" w14:textId="77777777" w:rsidR="00625A5B" w:rsidRDefault="00625A5B" w:rsidP="00B25731">
      <w:pPr>
        <w:pStyle w:val="Translit"/>
      </w:pPr>
      <w:r>
        <w:t>Zira’a</w:t>
      </w:r>
      <w:r>
        <w:tab/>
        <w:t>Z</w:t>
      </w:r>
      <w:r w:rsidRPr="00B25731">
        <w:t>ir</w:t>
      </w:r>
      <w:r>
        <w:t>á</w:t>
      </w:r>
      <w:r w:rsidRPr="00B25731">
        <w:t>‘a</w:t>
      </w:r>
      <w:r>
        <w:t>[h or t]</w:t>
      </w:r>
      <w:r>
        <w:tab/>
      </w:r>
      <w:r w:rsidRPr="00B25731">
        <w:t>agriculture; tilling, tillage; cultivation (of land); growing, raising (of crops); farming</w:t>
      </w:r>
    </w:p>
    <w:p w14:paraId="3F7B2CE4" w14:textId="77777777" w:rsidR="00625A5B" w:rsidRPr="008F03E5" w:rsidRDefault="00625A5B" w:rsidP="00745103">
      <w:pPr>
        <w:pStyle w:val="Translit"/>
      </w:pPr>
      <w:r w:rsidRPr="008F03E5">
        <w:t>Zira’i</w:t>
      </w:r>
      <w:r w:rsidRPr="008F03E5">
        <w:tab/>
        <w:t>Zirá‘í</w:t>
      </w:r>
      <w:r w:rsidRPr="008F03E5">
        <w:tab/>
        <w:t>agricultural, agrarian, farm- (in compounds)</w:t>
      </w:r>
    </w:p>
    <w:p w14:paraId="7375EE75" w14:textId="77777777" w:rsidR="00625A5B" w:rsidRPr="008F03E5" w:rsidRDefault="00625A5B" w:rsidP="00D871B7">
      <w:pPr>
        <w:pStyle w:val="Translit"/>
      </w:pPr>
      <w:r w:rsidRPr="008F03E5">
        <w:t>Zirak</w:t>
      </w:r>
      <w:r w:rsidRPr="008F03E5">
        <w:tab/>
        <w:t>Zírak</w:t>
      </w:r>
      <w:r w:rsidRPr="008F03E5">
        <w:tab/>
        <w:t xml:space="preserve">Pers. ingenious, intelligent, prudent, penetrating, sagacious, smart, quick in understanding or at manual labour.  A very small village (33.811111, 57.306944, just north of the village of Murdistán and 13 km </w:t>
      </w:r>
      <w:r w:rsidRPr="008F03E5">
        <w:rPr>
          <w:sz w:val="16"/>
          <w:szCs w:val="16"/>
        </w:rPr>
        <w:t>WSW</w:t>
      </w:r>
      <w:r w:rsidRPr="008F03E5">
        <w:t xml:space="preserve"> of Bu</w:t>
      </w:r>
      <w:r w:rsidRPr="008F03E5">
        <w:rPr>
          <w:u w:val="single"/>
        </w:rPr>
        <w:t>sh</w:t>
      </w:r>
      <w:r w:rsidRPr="008F03E5">
        <w:t xml:space="preserve">rúyih) in Boshruyeh County, South Khorasan Province, Iran.  Named </w:t>
      </w:r>
      <w:r w:rsidRPr="008F03E5">
        <w:rPr>
          <w:u w:val="single"/>
        </w:rPr>
        <w:t>Kh</w:t>
      </w:r>
      <w:r w:rsidRPr="008F03E5">
        <w:t>ayru’l-Qurá by Bahá’u’lláh.</w:t>
      </w:r>
    </w:p>
    <w:p w14:paraId="0E49F139" w14:textId="77777777" w:rsidR="00625A5B" w:rsidRPr="008F03E5" w:rsidRDefault="00625A5B" w:rsidP="00B77F96">
      <w:pPr>
        <w:pStyle w:val="Translit"/>
      </w:pPr>
      <w:r w:rsidRPr="008F03E5">
        <w:t>Zirih-Kinari</w:t>
      </w:r>
      <w:r w:rsidRPr="008F03E5">
        <w:tab/>
        <w:t>Zirih-Kinárí</w:t>
      </w:r>
      <w:r w:rsidRPr="008F03E5">
        <w:tab/>
        <w:t>Mullá Sa‘íd-i-Zirih-Kinárí</w:t>
      </w:r>
      <w:r>
        <w:t xml:space="preserve"> (Zira may be a form of Zahra?)</w:t>
      </w:r>
    </w:p>
    <w:p w14:paraId="45B7CEC8" w14:textId="77777777" w:rsidR="00625A5B" w:rsidRPr="008F03E5" w:rsidRDefault="00625A5B" w:rsidP="00AE7C54">
      <w:pPr>
        <w:pStyle w:val="Translit"/>
      </w:pPr>
      <w:r w:rsidRPr="008F03E5">
        <w:t>Ziyada (Ziyad)</w:t>
      </w:r>
      <w:r w:rsidRPr="008F03E5">
        <w:tab/>
        <w:t>Ziyáda[h], Pers. Ziyád</w:t>
      </w:r>
      <w:r w:rsidRPr="008F03E5">
        <w:tab/>
        <w:t xml:space="preserve">increase, increment, accretion, growth; surplus, excess; increase, augmentation, raising, stepping up; enhancement, elevation, intensification; extra pay, allowance (in addition to the salary).  Easier to pronounce as Zíyád (H. M. Balyuzi).  ‘Ubayd Alláh ibn Ziyád was the Umayyad governor of Baṣra, Kúfa and </w:t>
      </w:r>
      <w:r w:rsidRPr="008F03E5">
        <w:rPr>
          <w:u w:val="single"/>
        </w:rPr>
        <w:t>Kh</w:t>
      </w:r>
      <w:r w:rsidRPr="008F03E5">
        <w:t>urásán during the reigns of caliphs Mu‘áwíya I and Yazíd I, and the leading general of the Umayyad army under caliphs Marwán I and ‘Abdu’l-Malik. ‘Ubayd Alláh is primarily remembered for his role in the killings of members of ‘Alí ibn Abí Ṭálib’s family including Ḥusayn ibn ‘Alí, and he has become infamous in Muslim tradition.</w:t>
      </w:r>
    </w:p>
    <w:p w14:paraId="3784958A" w14:textId="77777777" w:rsidR="00625A5B" w:rsidRPr="008F03E5" w:rsidRDefault="00625A5B" w:rsidP="000B0A60">
      <w:pPr>
        <w:pStyle w:val="Translit"/>
      </w:pPr>
      <w:r w:rsidRPr="008F03E5">
        <w:t>Ziyara, Ziyarat</w:t>
      </w:r>
      <w:r w:rsidRPr="008F03E5">
        <w:tab/>
        <w:t>Ziyára[h or t], pl. Ziyárát</w:t>
      </w:r>
      <w:r w:rsidRPr="008F03E5">
        <w:tab/>
        <w:t>visit; call (social, of a doctor).  A pilgrimage (“visitation”) made to the shrines of the Imams, Sufi saints. etc.  “Pers.” Ziyárih.</w:t>
      </w:r>
    </w:p>
    <w:p w14:paraId="7469A286" w14:textId="77777777" w:rsidR="00625A5B" w:rsidRPr="008F03E5" w:rsidRDefault="00625A5B" w:rsidP="00E548F7">
      <w:pPr>
        <w:pStyle w:val="Translit"/>
      </w:pPr>
      <w:r w:rsidRPr="008F03E5">
        <w:t>Ziyarah al-Jami’ah</w:t>
      </w:r>
      <w:r w:rsidRPr="008F03E5">
        <w:tab/>
        <w:t>az-Ziyárah al-Jámi’ah</w:t>
      </w:r>
      <w:r w:rsidRPr="008F03E5">
        <w:tab/>
        <w:t>Comprehensive Pilgrimage, attributed to the tenth Imam, ‘Alí al-Hádí</w:t>
      </w:r>
    </w:p>
    <w:p w14:paraId="138CF541" w14:textId="77777777" w:rsidR="00625A5B" w:rsidRPr="008F03E5" w:rsidRDefault="00625A5B" w:rsidP="00A603C6">
      <w:pPr>
        <w:pStyle w:val="Translit"/>
      </w:pPr>
      <w:r w:rsidRPr="008F03E5">
        <w:t>Ziyarat</w:t>
      </w:r>
      <w:r w:rsidRPr="008F03E5">
        <w:tab/>
        <w:t>Zíyárat</w:t>
      </w:r>
      <w:r w:rsidRPr="008F03E5">
        <w:tab/>
        <w:t>visiting; a visit (especially to a sacred tomb, etc.), a religious visitation, a pilgrimage.  Visiting Tablet revealed by Imám ‘Alí.</w:t>
      </w:r>
    </w:p>
    <w:p w14:paraId="21A97AC8" w14:textId="77777777" w:rsidR="00625A5B" w:rsidRPr="008F03E5" w:rsidRDefault="00625A5B" w:rsidP="00381C8E">
      <w:pPr>
        <w:pStyle w:val="Translit"/>
      </w:pPr>
      <w:r w:rsidRPr="008F03E5">
        <w:t>Ziyarat-i-Shah</w:t>
      </w:r>
      <w:r w:rsidRPr="008F03E5">
        <w:rPr>
          <w:rFonts w:eastAsia="PMingLiU"/>
          <w:lang w:eastAsia="zh-TW"/>
        </w:rPr>
        <w:t>-‘</w:t>
      </w:r>
      <w:r w:rsidRPr="008F03E5">
        <w:t>Abdu’l</w:t>
      </w:r>
      <w:r w:rsidRPr="008F03E5">
        <w:rPr>
          <w:rFonts w:eastAsia="PMingLiU"/>
          <w:lang w:eastAsia="zh-TW"/>
        </w:rPr>
        <w:t>-‘</w:t>
      </w:r>
      <w:r w:rsidRPr="008F03E5">
        <w:t>Azim</w:t>
      </w:r>
      <w:r w:rsidRPr="008F03E5">
        <w:tab/>
        <w:t>Zíyárat-i-</w:t>
      </w:r>
      <w:r w:rsidRPr="008F03E5">
        <w:rPr>
          <w:u w:val="single"/>
        </w:rPr>
        <w:t>Sh</w:t>
      </w:r>
      <w:r w:rsidRPr="008F03E5">
        <w:t>áh-‘Abdu’l-‘Aẓím</w:t>
      </w:r>
      <w:r w:rsidRPr="008F03E5">
        <w:tab/>
        <w:t xml:space="preserve">Tablet written while in vicinity of the </w:t>
      </w:r>
      <w:r w:rsidRPr="008F03E5">
        <w:rPr>
          <w:u w:val="single"/>
        </w:rPr>
        <w:t>Sh</w:t>
      </w:r>
      <w:r w:rsidRPr="008F03E5">
        <w:t>áh-‘Abdu’l-‘Aẓím Shrine</w:t>
      </w:r>
      <w:r>
        <w:t xml:space="preserve"> (</w:t>
      </w:r>
      <w:r w:rsidRPr="00381C8E">
        <w:t>35.585668, 51.435394</w:t>
      </w:r>
      <w:r>
        <w:t>)</w:t>
      </w:r>
      <w:r w:rsidRPr="008F03E5">
        <w:t xml:space="preserve"> in Rey, about 12 km south of the centre of Ṭihrán by the Báb</w:t>
      </w:r>
    </w:p>
    <w:p w14:paraId="7DD81F06" w14:textId="77777777" w:rsidR="00625A5B" w:rsidRPr="008F03E5" w:rsidRDefault="00625A5B" w:rsidP="00614D26">
      <w:pPr>
        <w:pStyle w:val="Translit"/>
      </w:pPr>
      <w:r w:rsidRPr="008F03E5">
        <w:t>Ziyarat-Nama-Ha</w:t>
      </w:r>
      <w:r w:rsidRPr="008F03E5">
        <w:tab/>
        <w:t>Zíyárat-Náma-Há</w:t>
      </w:r>
      <w:r w:rsidRPr="008F03E5">
        <w:tab/>
        <w:t>Pers. letters (or epistles) of visitation</w:t>
      </w:r>
    </w:p>
    <w:p w14:paraId="672B173F" w14:textId="77777777" w:rsidR="00625A5B" w:rsidRPr="008F03E5" w:rsidRDefault="00625A5B" w:rsidP="009764B5">
      <w:pPr>
        <w:pStyle w:val="Translit"/>
      </w:pPr>
      <w:r w:rsidRPr="008F03E5">
        <w:t>Ziyarat-Namiy-i-Awliya’</w:t>
      </w:r>
      <w:r w:rsidRPr="008F03E5">
        <w:tab/>
        <w:t>Zíyárat-Námiy-i-Awliyá’</w:t>
      </w:r>
      <w:r w:rsidRPr="008F03E5">
        <w:tab/>
        <w:t xml:space="preserve">“Tablet of </w:t>
      </w:r>
      <w:r>
        <w:t>v</w:t>
      </w:r>
      <w:r w:rsidRPr="008F03E5">
        <w:t xml:space="preserve">isitation </w:t>
      </w:r>
      <w:r>
        <w:t>for</w:t>
      </w:r>
      <w:r w:rsidRPr="008F03E5">
        <w:t xml:space="preserve"> </w:t>
      </w:r>
      <w:r>
        <w:t xml:space="preserve">the </w:t>
      </w:r>
      <w:r w:rsidRPr="008F03E5">
        <w:t>exalted ones” by Bahá’u’lláh</w:t>
      </w:r>
    </w:p>
    <w:p w14:paraId="7B27C5A4" w14:textId="77777777" w:rsidR="00625A5B" w:rsidRPr="008F03E5" w:rsidRDefault="00625A5B" w:rsidP="009764B5">
      <w:pPr>
        <w:pStyle w:val="Translit"/>
      </w:pPr>
      <w:r w:rsidRPr="008F03E5">
        <w:t>Ziyarat-N</w:t>
      </w:r>
      <w:r>
        <w:t>a</w:t>
      </w:r>
      <w:r w:rsidRPr="008F03E5">
        <w:t>m</w:t>
      </w:r>
      <w:r>
        <w:t>iy-i-Bab wa Baha’u’llah</w:t>
      </w:r>
      <w:r w:rsidRPr="008F03E5">
        <w:tab/>
        <w:t>Zíyárat-Nám</w:t>
      </w:r>
      <w:r>
        <w:t>iy-i-Báb wa Bahá’u’lláh</w:t>
      </w:r>
      <w:r w:rsidRPr="008F03E5">
        <w:tab/>
        <w:t xml:space="preserve">“Tablet of </w:t>
      </w:r>
      <w:r>
        <w:t>v</w:t>
      </w:r>
      <w:r w:rsidRPr="008F03E5">
        <w:t>isitation f</w:t>
      </w:r>
      <w:r>
        <w:t>or</w:t>
      </w:r>
      <w:r w:rsidRPr="008F03E5">
        <w:t xml:space="preserve"> the Báb and Bahá’u’lláh” by Bahá’u’lláh</w:t>
      </w:r>
    </w:p>
    <w:p w14:paraId="3FD62B26" w14:textId="77777777" w:rsidR="00625A5B" w:rsidRPr="008F03E5" w:rsidRDefault="00625A5B" w:rsidP="009764B5">
      <w:pPr>
        <w:pStyle w:val="Translit"/>
      </w:pPr>
      <w:r w:rsidRPr="008F03E5">
        <w:t>Ziyarat-Namiy-i-Babu’l-Bab</w:t>
      </w:r>
      <w:r w:rsidRPr="008F03E5">
        <w:tab/>
        <w:t>Zíyárat-Námiy-i-Bábu’l-Báb wa Quddús</w:t>
      </w:r>
      <w:r w:rsidRPr="008F03E5">
        <w:tab/>
        <w:t xml:space="preserve">“Tablet of </w:t>
      </w:r>
      <w:r>
        <w:t>v</w:t>
      </w:r>
      <w:r w:rsidRPr="008F03E5">
        <w:t>isitation f</w:t>
      </w:r>
      <w:r>
        <w:t>or</w:t>
      </w:r>
      <w:r w:rsidRPr="008F03E5">
        <w:t xml:space="preserve"> Mullá Husayn and Quddús” by Bahá’u’lláh</w:t>
      </w:r>
    </w:p>
    <w:p w14:paraId="16423357" w14:textId="77777777" w:rsidR="00625A5B" w:rsidRPr="008F03E5" w:rsidRDefault="00625A5B" w:rsidP="0005456D">
      <w:pPr>
        <w:pStyle w:val="Translit"/>
      </w:pPr>
      <w:r w:rsidRPr="008F03E5">
        <w:t>Ziyarat-Namiy-i-Bayt</w:t>
      </w:r>
      <w:r w:rsidRPr="008F03E5">
        <w:tab/>
        <w:t>Zíyárat-Námiy-i-Bayt</w:t>
      </w:r>
      <w:r w:rsidRPr="008F03E5">
        <w:tab/>
        <w:t xml:space="preserve">“Tablet of </w:t>
      </w:r>
      <w:r>
        <w:t>v</w:t>
      </w:r>
      <w:r w:rsidRPr="008F03E5">
        <w:t>isitation of the House” by Bahá’u’lláh</w:t>
      </w:r>
    </w:p>
    <w:p w14:paraId="04B83E9E" w14:textId="77777777" w:rsidR="00625A5B" w:rsidRPr="008F03E5" w:rsidRDefault="00625A5B" w:rsidP="009764B5">
      <w:pPr>
        <w:pStyle w:val="Translit"/>
      </w:pPr>
      <w:r w:rsidRPr="008F03E5">
        <w:t>Ziyarat-Namiy-i-Maryam</w:t>
      </w:r>
      <w:r w:rsidRPr="008F03E5">
        <w:tab/>
        <w:t>Zíyárat-Námiy-i-Maryam</w:t>
      </w:r>
      <w:r w:rsidRPr="008F03E5">
        <w:tab/>
        <w:t xml:space="preserve">“Tablet of </w:t>
      </w:r>
      <w:r>
        <w:t>v</w:t>
      </w:r>
      <w:r w:rsidRPr="008F03E5">
        <w:t xml:space="preserve">isitation </w:t>
      </w:r>
      <w:r>
        <w:t>f</w:t>
      </w:r>
      <w:r w:rsidRPr="008F03E5">
        <w:t>o</w:t>
      </w:r>
      <w:r>
        <w:t>r</w:t>
      </w:r>
      <w:r w:rsidRPr="008F03E5">
        <w:t xml:space="preserve"> Maryam” by Bahá’u’lláh</w:t>
      </w:r>
    </w:p>
    <w:p w14:paraId="2B46D4BE" w14:textId="77777777" w:rsidR="00625A5B" w:rsidRDefault="00625A5B" w:rsidP="0005456D">
      <w:pPr>
        <w:pStyle w:val="Translit"/>
      </w:pPr>
      <w:r w:rsidRPr="008F03E5">
        <w:t>Z</w:t>
      </w:r>
      <w:r>
        <w:t>i</w:t>
      </w:r>
      <w:r w:rsidRPr="008F03E5">
        <w:t>y</w:t>
      </w:r>
      <w:r>
        <w:t>a</w:t>
      </w:r>
      <w:r w:rsidRPr="008F03E5">
        <w:t>rat-N</w:t>
      </w:r>
      <w:r>
        <w:t>a</w:t>
      </w:r>
      <w:r w:rsidRPr="008F03E5">
        <w:t>mi</w:t>
      </w:r>
      <w:r>
        <w:t>y</w:t>
      </w:r>
      <w:r w:rsidRPr="00FD6DE1">
        <w:t>-i-Mull</w:t>
      </w:r>
      <w:r>
        <w:t>a</w:t>
      </w:r>
      <w:r w:rsidRPr="00FD6DE1">
        <w:t xml:space="preserve"> Mu</w:t>
      </w:r>
      <w:r>
        <w:t>h</w:t>
      </w:r>
      <w:r w:rsidRPr="00FD6DE1">
        <w:t>ammad</w:t>
      </w:r>
      <w:r>
        <w:tab/>
      </w:r>
      <w:r w:rsidRPr="008F03E5">
        <w:t>Zíy</w:t>
      </w:r>
      <w:r w:rsidRPr="007050D7">
        <w:t>árat-Námi</w:t>
      </w:r>
      <w:r>
        <w:t>y</w:t>
      </w:r>
      <w:r w:rsidRPr="007050D7">
        <w:t>-i-Mullá Muḥammad</w:t>
      </w:r>
      <w:r w:rsidRPr="007050D7">
        <w:tab/>
        <w:t>Zíyárat-Námi</w:t>
      </w:r>
      <w:r>
        <w:t>y</w:t>
      </w:r>
      <w:r w:rsidRPr="007050D7">
        <w:t>-i-Mullá Muḥammad ‘Alí</w:t>
      </w:r>
      <w:r>
        <w:t>y</w:t>
      </w:r>
      <w:r w:rsidRPr="007050D7">
        <w:t>-i-Bárfurú</w:t>
      </w:r>
      <w:r w:rsidRPr="007050D7">
        <w:rPr>
          <w:u w:val="single"/>
        </w:rPr>
        <w:t>sh</w:t>
      </w:r>
      <w:r w:rsidRPr="007050D7">
        <w:t xml:space="preserve">í (Tablet of </w:t>
      </w:r>
      <w:r>
        <w:t>v</w:t>
      </w:r>
      <w:r w:rsidRPr="007050D7">
        <w:t>isitation for Quddús)</w:t>
      </w:r>
      <w:r>
        <w:t xml:space="preserve"> by the Báb</w:t>
      </w:r>
    </w:p>
    <w:p w14:paraId="575C5058" w14:textId="77777777" w:rsidR="00625A5B" w:rsidRPr="008F03E5" w:rsidRDefault="00625A5B" w:rsidP="009764B5">
      <w:pPr>
        <w:pStyle w:val="Translit"/>
      </w:pPr>
      <w:r w:rsidRPr="008F03E5">
        <w:t>Ziyarat-Namiy-i-Siyyidu’sh-Shuhada’</w:t>
      </w:r>
      <w:r w:rsidRPr="008F03E5">
        <w:tab/>
        <w:t>Zíyárat-Námiy-i-Siyyidu’</w:t>
      </w:r>
      <w:r w:rsidRPr="008F03E5">
        <w:rPr>
          <w:u w:val="single"/>
        </w:rPr>
        <w:t>sh</w:t>
      </w:r>
      <w:r w:rsidRPr="008F03E5">
        <w:t>-</w:t>
      </w:r>
      <w:r w:rsidRPr="008F03E5">
        <w:rPr>
          <w:u w:val="single"/>
        </w:rPr>
        <w:t>Sh</w:t>
      </w:r>
      <w:r w:rsidRPr="008F03E5">
        <w:t>uhadá’</w:t>
      </w:r>
      <w:r w:rsidRPr="008F03E5">
        <w:tab/>
        <w:t xml:space="preserve">“Tablet of </w:t>
      </w:r>
      <w:r>
        <w:t>v</w:t>
      </w:r>
      <w:r w:rsidRPr="008F03E5">
        <w:t>isitation f</w:t>
      </w:r>
      <w:r>
        <w:t>or</w:t>
      </w:r>
      <w:r w:rsidRPr="008F03E5">
        <w:t xml:space="preserve"> the Prince of the Martyrs” by Bahá’u’lláh</w:t>
      </w:r>
    </w:p>
    <w:p w14:paraId="0B831936" w14:textId="77777777" w:rsidR="00625A5B" w:rsidRPr="008F03E5" w:rsidRDefault="00625A5B" w:rsidP="00835D89">
      <w:pPr>
        <w:pStyle w:val="Translit"/>
      </w:pPr>
      <w:r w:rsidRPr="00077779">
        <w:t>Zubayda (Zubaida)</w:t>
      </w:r>
      <w:r w:rsidRPr="00077779">
        <w:tab/>
        <w:t>Zubayda[h or t]</w:t>
      </w:r>
      <w:r w:rsidRPr="00077779">
        <w:tab/>
        <w:t xml:space="preserve">marigold.  </w:t>
      </w:r>
      <w:r w:rsidRPr="008F03E5">
        <w:t xml:space="preserve">Zubayda bint Ja‘far ibn Manṣúr, a wife of Caliph </w:t>
      </w:r>
      <w:r w:rsidRPr="008F03E5">
        <w:rPr>
          <w:rFonts w:eastAsia="PMingLiU"/>
          <w:lang w:eastAsia="zh-TW"/>
        </w:rPr>
        <w:t>Hár</w:t>
      </w:r>
      <w:r w:rsidRPr="008F03E5">
        <w:t>ú</w:t>
      </w:r>
      <w:r w:rsidRPr="008F03E5">
        <w:rPr>
          <w:rFonts w:eastAsia="PMingLiU"/>
          <w:lang w:eastAsia="zh-TW"/>
        </w:rPr>
        <w:t>nu’r-Ra</w:t>
      </w:r>
      <w:r w:rsidRPr="008F03E5">
        <w:rPr>
          <w:u w:val="single"/>
        </w:rPr>
        <w:t>sh</w:t>
      </w:r>
      <w:r w:rsidRPr="008F03E5">
        <w:rPr>
          <w:rFonts w:eastAsia="PMingLiU"/>
          <w:lang w:eastAsia="zh-TW"/>
        </w:rPr>
        <w:t>íd.</w:t>
      </w:r>
    </w:p>
    <w:p w14:paraId="3F6AECE8" w14:textId="77777777" w:rsidR="00625A5B" w:rsidRPr="008F03E5" w:rsidRDefault="00625A5B" w:rsidP="00D37D1B">
      <w:pPr>
        <w:pStyle w:val="Translit"/>
      </w:pPr>
      <w:r w:rsidRPr="00D45A23">
        <w:rPr>
          <w:lang w:val="de-DE"/>
        </w:rPr>
        <w:t>Zubda, Zubad</w:t>
      </w:r>
      <w:r w:rsidRPr="00D45A23">
        <w:rPr>
          <w:lang w:val="de-DE"/>
        </w:rPr>
        <w:tab/>
        <w:t xml:space="preserve">Zubda[h], pl. </w:t>
      </w:r>
      <w:r w:rsidRPr="008F03E5">
        <w:t>Zubad</w:t>
      </w:r>
      <w:r w:rsidRPr="008F03E5">
        <w:tab/>
        <w:t>(fresh) butter (as opposed to samn); cream;—pl. choicest part, prime, cream, flower, elite; extract, quintessence; essence, substance; gist, main point</w:t>
      </w:r>
    </w:p>
    <w:p w14:paraId="040F5448" w14:textId="77777777" w:rsidR="00625A5B" w:rsidRPr="008F03E5" w:rsidRDefault="00625A5B" w:rsidP="009B6EC6">
      <w:pPr>
        <w:pStyle w:val="Translit"/>
      </w:pPr>
      <w:r w:rsidRPr="008F03E5">
        <w:t>Zubur</w:t>
      </w:r>
      <w:r w:rsidRPr="008F03E5">
        <w:tab/>
        <w:t>Zubúr</w:t>
      </w:r>
      <w:r w:rsidRPr="008F03E5">
        <w:tab/>
        <w:t>(Book of) Psalms, Psalter</w:t>
      </w:r>
    </w:p>
    <w:p w14:paraId="5B20F305" w14:textId="77777777" w:rsidR="00625A5B" w:rsidRPr="008F03E5" w:rsidRDefault="00625A5B" w:rsidP="00993615">
      <w:pPr>
        <w:pStyle w:val="Translit"/>
      </w:pPr>
      <w:r w:rsidRPr="008F03E5">
        <w:t>Zuhal</w:t>
      </w:r>
      <w:r w:rsidRPr="008F03E5">
        <w:tab/>
        <w:t>Zuḥal</w:t>
      </w:r>
      <w:r w:rsidRPr="008F03E5">
        <w:tab/>
        <w:t>the planet Saturn</w:t>
      </w:r>
    </w:p>
    <w:p w14:paraId="1A17EEBF" w14:textId="77777777" w:rsidR="00625A5B" w:rsidRPr="008F03E5" w:rsidRDefault="00625A5B" w:rsidP="00695FEE">
      <w:pPr>
        <w:pStyle w:val="Translit"/>
      </w:pPr>
      <w:r w:rsidRPr="008F03E5">
        <w:t>Zuhayr (Zuhair), Zuhayra (Zuhaira)</w:t>
      </w:r>
      <w:r w:rsidRPr="008F03E5">
        <w:tab/>
        <w:t xml:space="preserve">Zuhayr, fem. </w:t>
      </w:r>
      <w:r w:rsidRPr="008063A9">
        <w:rPr>
          <w:lang w:val="en-AU"/>
        </w:rPr>
        <w:t>Zuhayra[h]</w:t>
      </w:r>
      <w:r w:rsidRPr="008063A9">
        <w:rPr>
          <w:lang w:val="en-AU"/>
        </w:rPr>
        <w:tab/>
        <w:t>little flower, blossom.  Zuhayr bin Abí Sulmá (c. 520–c. </w:t>
      </w:r>
      <w:r w:rsidRPr="008F03E5">
        <w:t>609), one of the greatest Arab poets of pre-Islamic times</w:t>
      </w:r>
    </w:p>
    <w:p w14:paraId="232EC664" w14:textId="77777777" w:rsidR="00625A5B" w:rsidRPr="008F03E5" w:rsidRDefault="00625A5B" w:rsidP="005D5AAC">
      <w:pPr>
        <w:pStyle w:val="Translit"/>
      </w:pPr>
      <w:r w:rsidRPr="008F03E5">
        <w:t>Zuhd</w:t>
      </w:r>
      <w:r w:rsidRPr="008F03E5">
        <w:tab/>
        <w:t>Zuhd</w:t>
      </w:r>
      <w:r w:rsidRPr="008F03E5">
        <w:tab/>
        <w:t>(voluntary) renunciation (of something); indifference (to, especially to worldly things); abstemiousness, abstinence; asceticism; a</w:t>
      </w:r>
      <w:r>
        <w:t>d</w:t>
      </w:r>
      <w:r w:rsidRPr="008F03E5">
        <w:t>-dunyá fí a</w:t>
      </w:r>
      <w:r>
        <w:t>z</w:t>
      </w:r>
      <w:r w:rsidRPr="008F03E5">
        <w:t>-zuhd asceticism.  A Muslim is permitted to enjoy the pleasures bestowed on him by God, but Islam encourages and praises those who shun luxury in favour of a simple and pious life.  However, Islam rejects excessive deliberate asceticism, poverty, passivism and monasticism.  Shoghi Effendi stated “… that the maintenance of such a high standard of moral conduct is not to be associated or confused with any form of asceticism, or of excessive and bigoted puritanism.  The standard … seeks, under no circumstances, to deny anyone the legitimate right and privilege to derive the fullest advantage and benefit from the manifold joys, beauties, and pleasures with which the world has been so plentifully enriched by an All-Loving Creator.” ADJ, p. 33</w:t>
      </w:r>
    </w:p>
    <w:p w14:paraId="547DBC39" w14:textId="77777777" w:rsidR="00625A5B" w:rsidRPr="008F03E5" w:rsidRDefault="00625A5B" w:rsidP="007F0BE1">
      <w:pPr>
        <w:pStyle w:val="Translit"/>
      </w:pPr>
      <w:r w:rsidRPr="008F03E5">
        <w:t>Zuhr, Azhar</w:t>
      </w:r>
      <w:r w:rsidRPr="008F03E5">
        <w:tab/>
        <w:t>Ẓuhr, pl. Aẓhár</w:t>
      </w:r>
      <w:r w:rsidRPr="008F03E5">
        <w:tab/>
        <w:t>noon, midday; (feminine) midday prayer (Islamic Law)</w:t>
      </w:r>
    </w:p>
    <w:p w14:paraId="76AAC500" w14:textId="77777777" w:rsidR="00625A5B" w:rsidRPr="008F03E5" w:rsidRDefault="00625A5B" w:rsidP="00AB08EE">
      <w:pPr>
        <w:pStyle w:val="Translit"/>
      </w:pPr>
      <w:r w:rsidRPr="008F03E5">
        <w:t>Zuhra (Zohrah, Zohrih, Zohreh)</w:t>
      </w:r>
      <w:r w:rsidRPr="008F03E5">
        <w:tab/>
        <w:t>Zuhra[h or t]</w:t>
      </w:r>
      <w:r w:rsidRPr="008F03E5">
        <w:tab/>
        <w:t>brilliancy, light, brightness, whiteness; beauty; Banú Zuharah clan of the Quray</w:t>
      </w:r>
      <w:r w:rsidRPr="008F03E5">
        <w:rPr>
          <w:u w:val="single"/>
        </w:rPr>
        <w:t>sh</w:t>
      </w:r>
      <w:r w:rsidRPr="008F03E5">
        <w:t xml:space="preserve"> tribe</w:t>
      </w:r>
      <w:r w:rsidRPr="008F03E5">
        <w:rPr>
          <w:rFonts w:eastAsia="Times New Roman"/>
        </w:rPr>
        <w:t>; a flower, blossom</w:t>
      </w:r>
      <w:r w:rsidRPr="008F03E5">
        <w:t>.  az-Zuhara the planet Venus</w:t>
      </w:r>
      <w:r w:rsidRPr="008F03E5">
        <w:rPr>
          <w:rFonts w:eastAsia="Times New Roman"/>
        </w:rPr>
        <w:t>.</w:t>
      </w:r>
    </w:p>
    <w:p w14:paraId="1054793A" w14:textId="77777777" w:rsidR="00625A5B" w:rsidRDefault="00625A5B" w:rsidP="0023748D">
      <w:pPr>
        <w:pStyle w:val="Translit"/>
      </w:pPr>
      <w:r>
        <w:t>Zuhur</w:t>
      </w:r>
      <w:r>
        <w:tab/>
      </w:r>
      <w:r w:rsidRPr="00347856">
        <w:t>Ẓuh</w:t>
      </w:r>
      <w:r>
        <w:t>ú</w:t>
      </w:r>
      <w:r w:rsidRPr="00347856">
        <w:t>r</w:t>
      </w:r>
      <w:r>
        <w:tab/>
      </w:r>
      <w:r w:rsidRPr="00347856">
        <w:t>appearance; visibility, conspicuousness; pomp, splendor, show, ostentation, window-dressing</w:t>
      </w:r>
      <w:r>
        <w:t xml:space="preserve">. </w:t>
      </w:r>
      <w:r w:rsidRPr="008F03E5">
        <w:t xml:space="preserve"> Ẓuhúr is a term used by Bahá’u’lláh for “Manifestation” or “advent”) instead of Rasúl or Nabíl; and a new term:  “Manifestation of God” (Ẓuhúr Alláh).  In Shi’ite messianic terminology, the Advent of the Imam of the Age and the events associated with his Return.  In a broader sense, any prophetic revelation.  See maẓhar and manẓar.</w:t>
      </w:r>
    </w:p>
    <w:p w14:paraId="14A03DF6" w14:textId="301D321C" w:rsidR="00D42FF7" w:rsidRPr="008F03E5" w:rsidRDefault="0023748D" w:rsidP="0023748D">
      <w:pPr>
        <w:pStyle w:val="Translit"/>
      </w:pPr>
      <w:r>
        <w:t xml:space="preserve">Zuhur Allah, </w:t>
      </w:r>
      <w:r w:rsidR="00D42FF7" w:rsidRPr="008F03E5">
        <w:t>Zuhur-i-Ilahi</w:t>
      </w:r>
      <w:r w:rsidR="00D42FF7" w:rsidRPr="008F03E5">
        <w:tab/>
      </w:r>
      <w:r w:rsidRPr="008F03E5">
        <w:t>Ẓuhúr Alláh</w:t>
      </w:r>
      <w:r>
        <w:t xml:space="preserve">, Pers. </w:t>
      </w:r>
      <w:r w:rsidR="00D42FF7" w:rsidRPr="008F03E5">
        <w:t>Ẓuhúr-i-Iláhí</w:t>
      </w:r>
      <w:r w:rsidR="00D42FF7" w:rsidRPr="008F03E5">
        <w:tab/>
        <w:t>(“Manifestation of God”)  See Nabíyu’lláh and Rasúlu’lláh</w:t>
      </w:r>
    </w:p>
    <w:p w14:paraId="6275CC93" w14:textId="77777777" w:rsidR="00D42FF7" w:rsidRPr="008F03E5" w:rsidRDefault="00D42FF7" w:rsidP="004C3F0F">
      <w:pPr>
        <w:pStyle w:val="Translit"/>
      </w:pPr>
      <w:r w:rsidRPr="008F03E5">
        <w:t>Zukhruf</w:t>
      </w:r>
      <w:r w:rsidRPr="008F03E5">
        <w:tab/>
        <w:t>Zu</w:t>
      </w:r>
      <w:r w:rsidRPr="008F03E5">
        <w:rPr>
          <w:u w:val="single"/>
        </w:rPr>
        <w:t>kh</w:t>
      </w:r>
      <w:r w:rsidRPr="008F03E5">
        <w:t>ruf, pl. Zu</w:t>
      </w:r>
      <w:r w:rsidRPr="008F03E5">
        <w:rPr>
          <w:u w:val="single"/>
        </w:rPr>
        <w:t>kh</w:t>
      </w:r>
      <w:r w:rsidRPr="008F03E5">
        <w:t>rúf</w:t>
      </w:r>
      <w:r w:rsidRPr="008F03E5">
        <w:tab/>
        <w:t>gold; beauty, elegance, ornament; a speech embellished with fine imagery and romantic fiction; adorned falsehood; exaggeration.  Qur’án 43:35, 53 uses the plural form; chapter uses the singular form.</w:t>
      </w:r>
    </w:p>
    <w:p w14:paraId="5C3604CF" w14:textId="77777777" w:rsidR="00D42FF7" w:rsidRPr="008F03E5" w:rsidRDefault="00D42FF7" w:rsidP="00442317">
      <w:pPr>
        <w:pStyle w:val="Translit"/>
      </w:pPr>
      <w:r w:rsidRPr="008F03E5">
        <w:rPr>
          <w:lang w:eastAsia="en-US"/>
        </w:rPr>
        <w:t>Zulaykha (Zulaikha)</w:t>
      </w:r>
      <w:r w:rsidRPr="008F03E5">
        <w:rPr>
          <w:lang w:eastAsia="en-US"/>
        </w:rPr>
        <w:tab/>
        <w:t>Zulay</w:t>
      </w:r>
      <w:r w:rsidRPr="008F03E5">
        <w:rPr>
          <w:u w:val="single"/>
          <w:lang w:eastAsia="en-US"/>
        </w:rPr>
        <w:t>kh</w:t>
      </w:r>
      <w:r w:rsidRPr="008F03E5">
        <w:t>á</w:t>
      </w:r>
      <w:r w:rsidRPr="008F03E5">
        <w:tab/>
        <w:t>the wife of Potiphar (possibly captain of Egyptian palace guard), whose passion for Yúsuf (Joseph) is much celebrated in the East, particularly in the elegant Persian poems by Nizámí and Jámí.</w:t>
      </w:r>
    </w:p>
    <w:p w14:paraId="1F635823" w14:textId="77777777" w:rsidR="00D42FF7" w:rsidRPr="008F03E5" w:rsidRDefault="00D42FF7" w:rsidP="003D668A">
      <w:pPr>
        <w:pStyle w:val="Translit"/>
      </w:pPr>
      <w:r w:rsidRPr="00D45A23">
        <w:rPr>
          <w:lang w:val="de-DE"/>
        </w:rPr>
        <w:t>Zulma, Zulmat, Zulumat, Zulamat, Zulum</w:t>
      </w:r>
      <w:r w:rsidRPr="00D45A23">
        <w:rPr>
          <w:lang w:val="de-DE"/>
        </w:rPr>
        <w:tab/>
        <w:t>Ẓulma[t], pl. Ẓulmát, Ẓulumát, Ẓulamát</w:t>
      </w:r>
      <w:r w:rsidRPr="00D45A23">
        <w:rPr>
          <w:lang w:val="de-DE"/>
        </w:rPr>
        <w:tab/>
        <w:t xml:space="preserve">darkness, duskiness, gloom, murkiness.—pl. also Ẓulam.  </w:t>
      </w:r>
      <w:r w:rsidRPr="008F03E5">
        <w:t>baḥr aẓ-ẓulumát. the Atlantic Ocean.  In the Qur’án, “light” (an-núr) is only ever used in the singular, because “light” refers to truth, which can only ever be one.  In contrast, “darknesses” (aẓ-ẓulumát) is used to refer to untruth or error, which can come in many forms.</w:t>
      </w:r>
    </w:p>
    <w:p w14:paraId="4138EF83" w14:textId="77777777" w:rsidR="00D42FF7" w:rsidRPr="008F03E5" w:rsidRDefault="00D42FF7" w:rsidP="00FC6999">
      <w:pPr>
        <w:pStyle w:val="Translit"/>
      </w:pPr>
      <w:r w:rsidRPr="008F03E5">
        <w:t>Zumra, Zumar</w:t>
      </w:r>
      <w:r w:rsidRPr="008F03E5">
        <w:tab/>
        <w:t>Zumra, pl. Zumar</w:t>
      </w:r>
      <w:r w:rsidRPr="008F03E5">
        <w:tab/>
        <w:t>troop; group (of people); crowd</w:t>
      </w:r>
    </w:p>
    <w:p w14:paraId="514DD568" w14:textId="77777777" w:rsidR="00AE6C49" w:rsidRDefault="00AE6C49" w:rsidP="00AE6C49">
      <w:pPr>
        <w:pStyle w:val="Translit"/>
      </w:pPr>
      <w:r w:rsidRPr="00AE6C49">
        <w:t>Zumurrud</w:t>
      </w:r>
      <w:r>
        <w:tab/>
      </w:r>
      <w:r w:rsidRPr="00AE6C49">
        <w:t>Zumurrud</w:t>
      </w:r>
      <w:r>
        <w:tab/>
      </w:r>
      <w:r w:rsidRPr="00AE6C49">
        <w:t>emerald</w:t>
      </w:r>
    </w:p>
    <w:p w14:paraId="3674FC50" w14:textId="0ED103DC" w:rsidR="00AE6C49" w:rsidRDefault="00AE6C49" w:rsidP="00AE6C49">
      <w:pPr>
        <w:pStyle w:val="Translit"/>
      </w:pPr>
      <w:r w:rsidRPr="00AE6C49">
        <w:t>Zumurrud</w:t>
      </w:r>
      <w:r>
        <w:t xml:space="preserve">i, </w:t>
      </w:r>
      <w:r w:rsidRPr="00AE6C49">
        <w:t>Zumurrud</w:t>
      </w:r>
      <w:r>
        <w:t>in</w:t>
      </w:r>
      <w:r>
        <w:tab/>
      </w:r>
      <w:r w:rsidRPr="00AE6C49">
        <w:t>Zumurrud</w:t>
      </w:r>
      <w:r>
        <w:t xml:space="preserve">í, Pers. also </w:t>
      </w:r>
      <w:r w:rsidRPr="00AE6C49">
        <w:t>Zumurrudí</w:t>
      </w:r>
      <w:r>
        <w:t>n</w:t>
      </w:r>
      <w:r>
        <w:tab/>
        <w:t xml:space="preserve">colour of an </w:t>
      </w:r>
      <w:r w:rsidRPr="00AE6C49">
        <w:t>emerald</w:t>
      </w:r>
    </w:p>
    <w:p w14:paraId="4049424A" w14:textId="77777777" w:rsidR="00D42FF7" w:rsidRPr="008F03E5" w:rsidRDefault="00D42FF7" w:rsidP="00900A82">
      <w:pPr>
        <w:pStyle w:val="Translit"/>
      </w:pPr>
      <w:r w:rsidRPr="008F03E5">
        <w:t>Zunuz</w:t>
      </w:r>
      <w:r w:rsidRPr="008F03E5">
        <w:tab/>
        <w:t>Zunúz</w:t>
      </w:r>
      <w:r w:rsidRPr="008F03E5">
        <w:tab/>
        <w:t>The capital of Marand</w:t>
      </w:r>
    </w:p>
    <w:p w14:paraId="5580F895" w14:textId="77777777" w:rsidR="00D42FF7" w:rsidRPr="008F03E5" w:rsidRDefault="00D42FF7" w:rsidP="00DF7C5E">
      <w:pPr>
        <w:pStyle w:val="Translit"/>
      </w:pPr>
      <w:r w:rsidRPr="008F03E5">
        <w:t>Zunuzi</w:t>
      </w:r>
      <w:r w:rsidRPr="008F03E5">
        <w:tab/>
        <w:t>Zunúzí</w:t>
      </w:r>
      <w:r w:rsidRPr="008F03E5">
        <w:tab/>
        <w:t>of or from Zunúz.  Sayyid ‘Alí Zunúzí, step-father of Anís.  Sayyid Ḥasan Zunúzí, relative of both, prominent Bábí and amanuense of the Báb.</w:t>
      </w:r>
    </w:p>
    <w:p w14:paraId="4FCD54F4" w14:textId="77777777" w:rsidR="00D42FF7" w:rsidRPr="008F03E5" w:rsidRDefault="00D42FF7" w:rsidP="001E2B33">
      <w:pPr>
        <w:pStyle w:val="Translit"/>
      </w:pPr>
      <w:r w:rsidRPr="008F03E5">
        <w:t>Zur (Zor)</w:t>
      </w:r>
      <w:r w:rsidRPr="008F03E5">
        <w:tab/>
        <w:t>Zúr</w:t>
      </w:r>
      <w:r w:rsidRPr="008F03E5">
        <w:tab/>
        <w:t>Pers. strength, power, vigour; violence, strong effort, force; weight</w:t>
      </w:r>
    </w:p>
    <w:p w14:paraId="1340F2E7" w14:textId="77777777" w:rsidR="00D42FF7" w:rsidRPr="008F03E5" w:rsidRDefault="00D42FF7" w:rsidP="00F56271">
      <w:pPr>
        <w:pStyle w:val="Translit"/>
      </w:pPr>
      <w:r w:rsidRPr="008F03E5">
        <w:t>Zur-Khana (Zur-Khanih)</w:t>
      </w:r>
      <w:r w:rsidRPr="008F03E5">
        <w:tab/>
        <w:t>Zúr-</w:t>
      </w:r>
      <w:r w:rsidRPr="008F03E5">
        <w:rPr>
          <w:u w:val="single"/>
        </w:rPr>
        <w:t>Kh</w:t>
      </w:r>
      <w:r w:rsidRPr="008F03E5">
        <w:t>ána (Zúr-</w:t>
      </w:r>
      <w:r w:rsidRPr="008F03E5">
        <w:rPr>
          <w:u w:val="single"/>
        </w:rPr>
        <w:t>Kh</w:t>
      </w:r>
      <w:r w:rsidRPr="008F03E5">
        <w:t>ánih)</w:t>
      </w:r>
      <w:r w:rsidRPr="008F03E5">
        <w:tab/>
        <w:t>Pers. “house of strength”.  The traditional gymnasium of urban Persia and adjacent lands, a place for professional athletes to perform traditional exercises.</w:t>
      </w:r>
    </w:p>
    <w:p w14:paraId="42393ADA" w14:textId="2BC5D436" w:rsidR="00E708D2" w:rsidRPr="00E11C3A" w:rsidRDefault="00E708D2" w:rsidP="00417520">
      <w:pPr>
        <w:pStyle w:val="Myhead"/>
      </w:pPr>
      <w:bookmarkStart w:id="157" w:name="_Toc149326090"/>
      <w:r w:rsidRPr="008F03E5">
        <w:t>Arabic</w:t>
      </w:r>
      <w:bookmarkEnd w:id="157"/>
      <w:r w:rsidR="00B078AA">
        <w:t xml:space="preserve"> and Persian</w:t>
      </w:r>
      <w:r w:rsidR="00BB58C6" w:rsidRPr="00BB58C6">
        <w:rPr>
          <w:b w:val="0"/>
          <w:sz w:val="12"/>
        </w:rPr>
        <w:fldChar w:fldCharType="begin"/>
      </w:r>
      <w:r w:rsidR="00BB58C6" w:rsidRPr="00BB58C6">
        <w:rPr>
          <w:b w:val="0"/>
          <w:sz w:val="12"/>
        </w:rPr>
        <w:instrText xml:space="preserve"> TC “</w:instrText>
      </w:r>
      <w:bookmarkStart w:id="158" w:name="_Toc149476381"/>
      <w:bookmarkStart w:id="159" w:name="_Toc167691874"/>
      <w:r w:rsidR="00BB58C6" w:rsidRPr="00BB58C6">
        <w:rPr>
          <w:b w:val="0"/>
          <w:sz w:val="12"/>
        </w:rPr>
        <w:instrText>Arabic</w:instrText>
      </w:r>
      <w:r w:rsidR="00B078AA">
        <w:rPr>
          <w:b w:val="0"/>
          <w:sz w:val="12"/>
        </w:rPr>
        <w:instrText xml:space="preserve"> and Persian</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158"/>
      <w:bookmarkEnd w:id="159"/>
      <w:r w:rsidR="00BB58C6" w:rsidRPr="00BB58C6">
        <w:rPr>
          <w:b w:val="0"/>
          <w:sz w:val="12"/>
        </w:rPr>
        <w:instrText>” \l 1</w:instrText>
      </w:r>
      <w:r w:rsidR="00BB58C6" w:rsidRPr="00BB58C6">
        <w:rPr>
          <w:b w:val="0"/>
          <w:sz w:val="12"/>
        </w:rPr>
        <w:fldChar w:fldCharType="end"/>
      </w:r>
    </w:p>
    <w:p w14:paraId="5E829B10" w14:textId="68DB34DA" w:rsidR="00930CA5" w:rsidRPr="00442EAD" w:rsidRDefault="000F3990" w:rsidP="0049299E">
      <w:pPr>
        <w:pStyle w:val="Myhead3"/>
        <w:spacing w:after="120"/>
      </w:pPr>
      <w:r>
        <w:t>L</w:t>
      </w:r>
      <w:r w:rsidR="00930CA5" w:rsidRPr="008F03E5">
        <w:t>etters</w:t>
      </w:r>
      <w:r w:rsidR="000C4CE8">
        <w:t>, transcription</w:t>
      </w:r>
      <w:r w:rsidR="00930CA5" w:rsidRPr="008F03E5">
        <w:t xml:space="preserve"> &amp; abjad values</w:t>
      </w:r>
      <w:r w:rsidR="00BB58C6" w:rsidRPr="00BB58C6">
        <w:rPr>
          <w:b w:val="0"/>
          <w:i w:val="0"/>
          <w:iCs/>
          <w:sz w:val="12"/>
        </w:rPr>
        <w:fldChar w:fldCharType="begin"/>
      </w:r>
      <w:r w:rsidR="00BB58C6" w:rsidRPr="00BB58C6">
        <w:rPr>
          <w:b w:val="0"/>
          <w:i w:val="0"/>
          <w:iCs/>
          <w:sz w:val="12"/>
        </w:rPr>
        <w:instrText xml:space="preserve"> TC “</w:instrText>
      </w:r>
      <w:bookmarkStart w:id="160" w:name="_Toc149476382"/>
      <w:bookmarkStart w:id="161" w:name="_Toc167691875"/>
      <w:r w:rsidRPr="001D71EE">
        <w:rPr>
          <w:b w:val="0"/>
          <w:sz w:val="12"/>
        </w:rPr>
        <w:instrText>L</w:instrText>
      </w:r>
      <w:r w:rsidR="00BB58C6" w:rsidRPr="001D71EE">
        <w:rPr>
          <w:b w:val="0"/>
          <w:sz w:val="12"/>
        </w:rPr>
        <w:instrText>etters</w:instrText>
      </w:r>
      <w:r w:rsidR="000C4CE8" w:rsidRPr="001D71EE">
        <w:rPr>
          <w:b w:val="0"/>
          <w:sz w:val="12"/>
        </w:rPr>
        <w:instrText>, transcription</w:instrText>
      </w:r>
      <w:r w:rsidR="00BB58C6" w:rsidRPr="001D71EE">
        <w:rPr>
          <w:b w:val="0"/>
          <w:sz w:val="12"/>
        </w:rPr>
        <w:instrText xml:space="preserve"> &amp; abjad</w:instrText>
      </w:r>
      <w:r w:rsidR="00BB58C6" w:rsidRPr="001D71EE">
        <w:rPr>
          <w:b w:val="0"/>
          <w:color w:val="FFFFFF" w:themeColor="background1"/>
          <w:sz w:val="12"/>
        </w:rPr>
        <w:instrText>..</w:instrText>
      </w:r>
      <w:r w:rsidR="00BB58C6" w:rsidRPr="001D71EE">
        <w:rPr>
          <w:b w:val="0"/>
          <w:sz w:val="12"/>
        </w:rPr>
        <w:tab/>
      </w:r>
      <w:r w:rsidR="00BB58C6" w:rsidRPr="00BB58C6">
        <w:rPr>
          <w:b w:val="0"/>
          <w:i w:val="0"/>
          <w:iCs/>
          <w:color w:val="FFFFFF" w:themeColor="background1"/>
          <w:sz w:val="12"/>
        </w:rPr>
        <w:instrText>.</w:instrText>
      </w:r>
      <w:bookmarkEnd w:id="160"/>
      <w:bookmarkEnd w:id="161"/>
      <w:r w:rsidR="00BB58C6" w:rsidRPr="00BB58C6">
        <w:rPr>
          <w:b w:val="0"/>
          <w:i w:val="0"/>
          <w:iCs/>
          <w:sz w:val="12"/>
        </w:rPr>
        <w:instrText>” \l 2</w:instrText>
      </w:r>
      <w:r w:rsidR="00BB58C6" w:rsidRPr="00BB58C6">
        <w:rPr>
          <w:b w:val="0"/>
          <w:i w:val="0"/>
          <w:iCs/>
          <w:sz w:val="12"/>
        </w:rPr>
        <w:fldChar w:fldCharType="end"/>
      </w:r>
    </w:p>
    <w:p w14:paraId="59CCA1AD" w14:textId="174F7CE6" w:rsidR="0046791C" w:rsidRDefault="0046791C" w:rsidP="00061CEB">
      <w:pPr>
        <w:pStyle w:val="Text"/>
        <w:spacing w:after="120"/>
      </w:pPr>
      <w:r w:rsidRPr="008F03E5">
        <w:t xml:space="preserve">The Arabic alphabet </w:t>
      </w:r>
      <w:r>
        <w:t xml:space="preserve">is written from right to left using </w:t>
      </w:r>
      <w:r w:rsidRPr="008F03E5">
        <w:t xml:space="preserve">28 </w:t>
      </w:r>
      <w:r>
        <w:t xml:space="preserve">consonants </w:t>
      </w:r>
      <w:r w:rsidR="00061CEB">
        <w:t>(</w:t>
      </w:r>
      <w:r w:rsidR="003E1CE9">
        <w:t xml:space="preserve">28 abjad values; </w:t>
      </w:r>
      <w:r w:rsidR="00061CEB">
        <w:t xml:space="preserve">Persian includes </w:t>
      </w:r>
      <w:r w:rsidR="00061CEB" w:rsidRPr="00061CEB">
        <w:t>four additional letters</w:t>
      </w:r>
      <w:r w:rsidR="00061CEB">
        <w:t xml:space="preserve"> (g, </w:t>
      </w:r>
      <w:r w:rsidR="00061CEB" w:rsidRPr="00061CEB">
        <w:rPr>
          <w:u w:val="single"/>
        </w:rPr>
        <w:t>zh</w:t>
      </w:r>
      <w:r w:rsidR="00061CEB">
        <w:t xml:space="preserve">, </w:t>
      </w:r>
      <w:r w:rsidR="00061CEB" w:rsidRPr="00061CEB">
        <w:rPr>
          <w:u w:val="single"/>
        </w:rPr>
        <w:t>ch</w:t>
      </w:r>
      <w:r w:rsidR="00061CEB">
        <w:t>, p;</w:t>
      </w:r>
      <w:r w:rsidR="00061CEB" w:rsidRPr="00061CEB">
        <w:t xml:space="preserve"> </w:t>
      </w:r>
      <w:r w:rsidR="00061CEB" w:rsidRPr="00061CEB">
        <w:rPr>
          <w:rFonts w:hint="eastAsia"/>
          <w:rtl/>
        </w:rPr>
        <w:t>پ</w:t>
      </w:r>
      <w:r w:rsidR="00061CEB" w:rsidRPr="00061CEB">
        <w:rPr>
          <w:rtl/>
        </w:rPr>
        <w:t xml:space="preserve"> </w:t>
      </w:r>
      <w:r w:rsidR="00061CEB" w:rsidRPr="00061CEB">
        <w:rPr>
          <w:rFonts w:hint="eastAsia"/>
          <w:rtl/>
        </w:rPr>
        <w:t>چ</w:t>
      </w:r>
      <w:r w:rsidR="00061CEB" w:rsidRPr="00061CEB">
        <w:rPr>
          <w:rtl/>
        </w:rPr>
        <w:t xml:space="preserve"> </w:t>
      </w:r>
      <w:r w:rsidR="00061CEB" w:rsidRPr="00061CEB">
        <w:rPr>
          <w:rFonts w:hint="eastAsia"/>
          <w:rtl/>
        </w:rPr>
        <w:t>ژ</w:t>
      </w:r>
      <w:r w:rsidR="00061CEB" w:rsidRPr="00061CEB">
        <w:rPr>
          <w:rtl/>
        </w:rPr>
        <w:t xml:space="preserve"> </w:t>
      </w:r>
      <w:r w:rsidR="00061CEB" w:rsidRPr="00061CEB">
        <w:rPr>
          <w:rFonts w:hint="eastAsia"/>
          <w:rtl/>
        </w:rPr>
        <w:t>گ</w:t>
      </w:r>
      <w:r w:rsidR="00061CEB">
        <w:t>)</w:t>
      </w:r>
      <w:r w:rsidR="00054F7B">
        <w:t>)</w:t>
      </w:r>
      <w:r w:rsidR="00061CEB">
        <w:t xml:space="preserve"> </w:t>
      </w:r>
      <w:r>
        <w:t>and there is no distinction between upper- and lowercase</w:t>
      </w:r>
      <w:r w:rsidRPr="008F03E5">
        <w:t>.</w:t>
      </w:r>
      <w:r w:rsidR="00061CEB">
        <w:t xml:space="preserve">  </w:t>
      </w:r>
      <w:r w:rsidR="00061CEB" w:rsidRPr="00061CEB">
        <w:t xml:space="preserve">Both printed and written Arabic are cursive, with most letters within a word </w:t>
      </w:r>
      <w:r w:rsidR="00061CEB">
        <w:t xml:space="preserve">changing shape so they are </w:t>
      </w:r>
      <w:r w:rsidR="00061CEB" w:rsidRPr="00061CEB">
        <w:t>directly joined to adjacent letters.</w:t>
      </w:r>
    </w:p>
    <w:p w14:paraId="49948A84" w14:textId="4354ECA2" w:rsidR="0046791C" w:rsidRPr="0046791C" w:rsidRDefault="0046791C" w:rsidP="0046791C">
      <w:pPr>
        <w:pStyle w:val="Text"/>
        <w:spacing w:after="120"/>
      </w:pPr>
      <w:r w:rsidRPr="0046791C">
        <w:t xml:space="preserve">Modern dictionaries and other reference books do not use the </w:t>
      </w:r>
      <w:r>
        <w:t xml:space="preserve">old </w:t>
      </w:r>
      <w:r w:rsidRPr="0046791C">
        <w:t>abjad</w:t>
      </w:r>
      <w:r>
        <w:t>í</w:t>
      </w:r>
      <w:r w:rsidRPr="0046791C">
        <w:t xml:space="preserve"> </w:t>
      </w:r>
      <w:r>
        <w:t xml:space="preserve">letter </w:t>
      </w:r>
      <w:r w:rsidRPr="0046791C">
        <w:t>order to sort alphabetically; instead, the newer hij</w:t>
      </w:r>
      <w:r>
        <w:t>á’í</w:t>
      </w:r>
      <w:r w:rsidRPr="0046791C">
        <w:t xml:space="preserve"> </w:t>
      </w:r>
      <w:r>
        <w:t xml:space="preserve">letter </w:t>
      </w:r>
      <w:r w:rsidRPr="0046791C">
        <w:t xml:space="preserve">order is used </w:t>
      </w:r>
      <w:r>
        <w:t xml:space="preserve">(as in the table below) </w:t>
      </w:r>
      <w:r w:rsidRPr="0046791C">
        <w:t>wherein letters are partially grouped together by similarity of shape.</w:t>
      </w:r>
      <w:r>
        <w:t xml:space="preserve"> </w:t>
      </w:r>
      <w:r w:rsidRPr="0046791C">
        <w:t xml:space="preserve"> The hij</w:t>
      </w:r>
      <w:r>
        <w:t>á’í</w:t>
      </w:r>
      <w:r w:rsidRPr="0046791C">
        <w:t xml:space="preserve"> order is never used as numerals.</w:t>
      </w:r>
    </w:p>
    <w:tbl>
      <w:tblPr>
        <w:tblW w:w="9354"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737"/>
        <w:gridCol w:w="850"/>
        <w:gridCol w:w="737"/>
        <w:gridCol w:w="624"/>
        <w:gridCol w:w="794"/>
        <w:gridCol w:w="1020"/>
        <w:gridCol w:w="737"/>
        <w:gridCol w:w="510"/>
        <w:gridCol w:w="1247"/>
        <w:gridCol w:w="850"/>
        <w:gridCol w:w="737"/>
      </w:tblGrid>
      <w:tr w:rsidR="0046791C" w:rsidRPr="008F03E5" w14:paraId="048DA7E8" w14:textId="77777777" w:rsidTr="0046791C">
        <w:trPr>
          <w:jc w:val="center"/>
        </w:trPr>
        <w:tc>
          <w:tcPr>
            <w:tcW w:w="511" w:type="dxa"/>
            <w:tcBorders>
              <w:top w:val="single" w:sz="8" w:space="0" w:color="auto"/>
              <w:left w:val="single" w:sz="8" w:space="0" w:color="auto"/>
              <w:bottom w:val="single" w:sz="6" w:space="0" w:color="auto"/>
              <w:right w:val="single" w:sz="4" w:space="0" w:color="auto"/>
            </w:tcBorders>
            <w:shd w:val="clear" w:color="auto" w:fill="auto"/>
            <w:vAlign w:val="center"/>
          </w:tcPr>
          <w:p w14:paraId="2893A379" w14:textId="00E5E392" w:rsidR="0046791C" w:rsidRPr="008F03E5" w:rsidRDefault="0046791C" w:rsidP="0046791C">
            <w:pPr>
              <w:keepNext/>
              <w:jc w:val="center"/>
              <w:rPr>
                <w:b/>
                <w:bCs/>
                <w:sz w:val="18"/>
                <w:szCs w:val="18"/>
                <w:rtl/>
              </w:rPr>
            </w:pPr>
            <w:r>
              <w:rPr>
                <w:b/>
                <w:bCs/>
                <w:sz w:val="18"/>
                <w:szCs w:val="18"/>
              </w:rPr>
              <w:t>Ar.</w:t>
            </w:r>
          </w:p>
        </w:tc>
        <w:tc>
          <w:tcPr>
            <w:tcW w:w="737" w:type="dxa"/>
            <w:tcBorders>
              <w:top w:val="single" w:sz="6" w:space="0" w:color="auto"/>
              <w:left w:val="single" w:sz="4" w:space="0" w:color="auto"/>
              <w:bottom w:val="single" w:sz="6" w:space="0" w:color="auto"/>
            </w:tcBorders>
            <w:shd w:val="clear" w:color="auto" w:fill="auto"/>
            <w:vAlign w:val="center"/>
          </w:tcPr>
          <w:p w14:paraId="42F33079" w14:textId="70A952FC" w:rsidR="0046791C" w:rsidRPr="008F03E5" w:rsidRDefault="0046791C" w:rsidP="0046791C">
            <w:pPr>
              <w:keepNext/>
              <w:jc w:val="center"/>
              <w:rPr>
                <w:b/>
                <w:bCs/>
                <w:sz w:val="18"/>
                <w:szCs w:val="18"/>
              </w:rPr>
            </w:pPr>
            <w:r w:rsidRPr="008F03E5">
              <w:rPr>
                <w:b/>
                <w:bCs/>
                <w:sz w:val="18"/>
                <w:szCs w:val="18"/>
              </w:rPr>
              <w:t>Name</w:t>
            </w:r>
          </w:p>
        </w:tc>
        <w:tc>
          <w:tcPr>
            <w:tcW w:w="850" w:type="dxa"/>
            <w:tcBorders>
              <w:top w:val="single" w:sz="6" w:space="0" w:color="auto"/>
              <w:bottom w:val="single" w:sz="6" w:space="0" w:color="auto"/>
            </w:tcBorders>
            <w:shd w:val="clear" w:color="auto" w:fill="auto"/>
            <w:vAlign w:val="center"/>
          </w:tcPr>
          <w:p w14:paraId="069771CB" w14:textId="77777777" w:rsidR="0046791C" w:rsidRPr="008F03E5" w:rsidRDefault="0046791C" w:rsidP="0046791C">
            <w:pPr>
              <w:keepNext/>
              <w:jc w:val="center"/>
              <w:rPr>
                <w:b/>
                <w:bCs/>
                <w:sz w:val="18"/>
                <w:szCs w:val="18"/>
              </w:rPr>
            </w:pPr>
            <w:r w:rsidRPr="008F03E5">
              <w:rPr>
                <w:b/>
                <w:bCs/>
                <w:sz w:val="18"/>
                <w:szCs w:val="18"/>
              </w:rPr>
              <w:t>Trans.</w:t>
            </w:r>
            <w:r w:rsidRPr="008F03E5">
              <w:rPr>
                <w:rStyle w:val="FootnoteReference"/>
              </w:rPr>
              <w:footnoteReference w:id="26"/>
            </w:r>
          </w:p>
        </w:tc>
        <w:tc>
          <w:tcPr>
            <w:tcW w:w="737" w:type="dxa"/>
            <w:tcBorders>
              <w:top w:val="single" w:sz="6" w:space="0" w:color="auto"/>
              <w:bottom w:val="single" w:sz="6" w:space="0" w:color="auto"/>
              <w:right w:val="single" w:sz="8" w:space="0" w:color="auto"/>
            </w:tcBorders>
            <w:shd w:val="clear" w:color="auto" w:fill="auto"/>
            <w:vAlign w:val="center"/>
          </w:tcPr>
          <w:p w14:paraId="7AF5386F" w14:textId="77777777" w:rsidR="0046791C" w:rsidRPr="008F03E5" w:rsidRDefault="0046791C" w:rsidP="0046791C">
            <w:pPr>
              <w:keepNext/>
              <w:jc w:val="center"/>
              <w:rPr>
                <w:b/>
                <w:bCs/>
                <w:sz w:val="18"/>
                <w:szCs w:val="18"/>
              </w:rPr>
            </w:pPr>
            <w:r w:rsidRPr="008F03E5">
              <w:rPr>
                <w:b/>
                <w:bCs/>
                <w:sz w:val="18"/>
                <w:szCs w:val="18"/>
              </w:rPr>
              <w:t>Abjad</w:t>
            </w:r>
          </w:p>
        </w:tc>
        <w:tc>
          <w:tcPr>
            <w:tcW w:w="624" w:type="dxa"/>
            <w:tcBorders>
              <w:top w:val="single" w:sz="8" w:space="0" w:color="auto"/>
              <w:left w:val="single" w:sz="8" w:space="0" w:color="auto"/>
              <w:bottom w:val="single" w:sz="6" w:space="0" w:color="auto"/>
              <w:right w:val="single" w:sz="4" w:space="0" w:color="auto"/>
            </w:tcBorders>
            <w:shd w:val="clear" w:color="auto" w:fill="auto"/>
            <w:vAlign w:val="center"/>
          </w:tcPr>
          <w:p w14:paraId="2C82E34D" w14:textId="62F5362B" w:rsidR="0046791C" w:rsidRPr="008F03E5" w:rsidRDefault="0046791C" w:rsidP="0046791C">
            <w:pPr>
              <w:keepNext/>
              <w:jc w:val="center"/>
              <w:rPr>
                <w:b/>
                <w:bCs/>
                <w:sz w:val="18"/>
                <w:szCs w:val="18"/>
                <w:rtl/>
              </w:rPr>
            </w:pPr>
            <w:r>
              <w:rPr>
                <w:b/>
                <w:bCs/>
                <w:sz w:val="18"/>
                <w:szCs w:val="18"/>
              </w:rPr>
              <w:t>Ar.</w:t>
            </w:r>
          </w:p>
        </w:tc>
        <w:tc>
          <w:tcPr>
            <w:tcW w:w="794" w:type="dxa"/>
            <w:tcBorders>
              <w:top w:val="single" w:sz="6" w:space="0" w:color="auto"/>
              <w:left w:val="single" w:sz="4" w:space="0" w:color="auto"/>
              <w:bottom w:val="single" w:sz="6" w:space="0" w:color="auto"/>
            </w:tcBorders>
            <w:shd w:val="clear" w:color="auto" w:fill="auto"/>
            <w:vAlign w:val="center"/>
          </w:tcPr>
          <w:p w14:paraId="3456C6E2" w14:textId="4136CD48" w:rsidR="0046791C" w:rsidRPr="008F03E5" w:rsidRDefault="0046791C" w:rsidP="0046791C">
            <w:pPr>
              <w:keepNext/>
              <w:jc w:val="center"/>
              <w:rPr>
                <w:b/>
                <w:bCs/>
                <w:sz w:val="18"/>
                <w:szCs w:val="18"/>
              </w:rPr>
            </w:pPr>
            <w:r w:rsidRPr="008F03E5">
              <w:rPr>
                <w:b/>
                <w:bCs/>
                <w:sz w:val="18"/>
                <w:szCs w:val="18"/>
              </w:rPr>
              <w:t>Name</w:t>
            </w:r>
          </w:p>
        </w:tc>
        <w:tc>
          <w:tcPr>
            <w:tcW w:w="1020" w:type="dxa"/>
            <w:tcBorders>
              <w:top w:val="single" w:sz="6" w:space="0" w:color="auto"/>
              <w:bottom w:val="single" w:sz="6" w:space="0" w:color="auto"/>
            </w:tcBorders>
            <w:shd w:val="clear" w:color="auto" w:fill="auto"/>
            <w:vAlign w:val="center"/>
          </w:tcPr>
          <w:p w14:paraId="001891A4" w14:textId="77777777" w:rsidR="0046791C" w:rsidRPr="008F03E5" w:rsidRDefault="0046791C" w:rsidP="0046791C">
            <w:pPr>
              <w:keepNext/>
              <w:jc w:val="center"/>
              <w:rPr>
                <w:b/>
                <w:bCs/>
                <w:sz w:val="18"/>
                <w:szCs w:val="18"/>
              </w:rPr>
            </w:pPr>
            <w:r w:rsidRPr="008F03E5">
              <w:rPr>
                <w:b/>
                <w:bCs/>
                <w:sz w:val="18"/>
                <w:szCs w:val="18"/>
              </w:rPr>
              <w:t>Trans.</w:t>
            </w:r>
          </w:p>
        </w:tc>
        <w:tc>
          <w:tcPr>
            <w:tcW w:w="737" w:type="dxa"/>
            <w:tcBorders>
              <w:top w:val="single" w:sz="6" w:space="0" w:color="auto"/>
              <w:bottom w:val="single" w:sz="6" w:space="0" w:color="auto"/>
              <w:right w:val="single" w:sz="8" w:space="0" w:color="auto"/>
            </w:tcBorders>
            <w:shd w:val="clear" w:color="auto" w:fill="auto"/>
            <w:vAlign w:val="center"/>
          </w:tcPr>
          <w:p w14:paraId="4997E345" w14:textId="77777777" w:rsidR="0046791C" w:rsidRPr="008F03E5" w:rsidRDefault="0046791C" w:rsidP="0046791C">
            <w:pPr>
              <w:keepNext/>
              <w:jc w:val="center"/>
              <w:rPr>
                <w:b/>
                <w:bCs/>
                <w:sz w:val="18"/>
                <w:szCs w:val="18"/>
              </w:rPr>
            </w:pPr>
            <w:r w:rsidRPr="008F03E5">
              <w:rPr>
                <w:b/>
                <w:bCs/>
                <w:sz w:val="18"/>
                <w:szCs w:val="18"/>
              </w:rPr>
              <w:t>Abjad</w:t>
            </w:r>
          </w:p>
        </w:tc>
        <w:tc>
          <w:tcPr>
            <w:tcW w:w="510" w:type="dxa"/>
            <w:tcBorders>
              <w:top w:val="single" w:sz="8" w:space="0" w:color="auto"/>
              <w:left w:val="single" w:sz="8" w:space="0" w:color="auto"/>
              <w:bottom w:val="single" w:sz="6" w:space="0" w:color="auto"/>
              <w:right w:val="single" w:sz="4" w:space="0" w:color="auto"/>
            </w:tcBorders>
            <w:vAlign w:val="center"/>
          </w:tcPr>
          <w:p w14:paraId="62F6ABBA" w14:textId="5513C537" w:rsidR="0046791C" w:rsidRPr="008F03E5" w:rsidRDefault="0046791C" w:rsidP="0046791C">
            <w:pPr>
              <w:keepNext/>
              <w:jc w:val="center"/>
              <w:rPr>
                <w:b/>
                <w:bCs/>
                <w:sz w:val="18"/>
                <w:szCs w:val="18"/>
                <w:rtl/>
              </w:rPr>
            </w:pPr>
            <w:r>
              <w:rPr>
                <w:b/>
                <w:bCs/>
                <w:sz w:val="18"/>
                <w:szCs w:val="18"/>
              </w:rPr>
              <w:t>Ar.</w:t>
            </w:r>
          </w:p>
        </w:tc>
        <w:tc>
          <w:tcPr>
            <w:tcW w:w="1247" w:type="dxa"/>
            <w:tcBorders>
              <w:top w:val="single" w:sz="6" w:space="0" w:color="auto"/>
              <w:left w:val="single" w:sz="4" w:space="0" w:color="auto"/>
              <w:bottom w:val="single" w:sz="6" w:space="0" w:color="auto"/>
            </w:tcBorders>
            <w:vAlign w:val="center"/>
          </w:tcPr>
          <w:p w14:paraId="2C26E7FF" w14:textId="6FAE748D" w:rsidR="0046791C" w:rsidRPr="008F03E5" w:rsidRDefault="0046791C" w:rsidP="0046791C">
            <w:pPr>
              <w:keepNext/>
              <w:jc w:val="center"/>
              <w:rPr>
                <w:b/>
                <w:bCs/>
                <w:sz w:val="18"/>
                <w:szCs w:val="18"/>
              </w:rPr>
            </w:pPr>
            <w:r w:rsidRPr="008F03E5">
              <w:rPr>
                <w:b/>
                <w:bCs/>
                <w:sz w:val="18"/>
                <w:szCs w:val="18"/>
              </w:rPr>
              <w:t>Name</w:t>
            </w:r>
          </w:p>
        </w:tc>
        <w:tc>
          <w:tcPr>
            <w:tcW w:w="850" w:type="dxa"/>
            <w:tcBorders>
              <w:top w:val="single" w:sz="6" w:space="0" w:color="auto"/>
              <w:bottom w:val="single" w:sz="6" w:space="0" w:color="auto"/>
            </w:tcBorders>
            <w:vAlign w:val="center"/>
          </w:tcPr>
          <w:p w14:paraId="6B9EEAEA" w14:textId="77777777" w:rsidR="0046791C" w:rsidRPr="008F03E5" w:rsidRDefault="0046791C" w:rsidP="0046791C">
            <w:pPr>
              <w:keepNext/>
              <w:jc w:val="center"/>
              <w:rPr>
                <w:b/>
                <w:bCs/>
                <w:sz w:val="18"/>
                <w:szCs w:val="18"/>
              </w:rPr>
            </w:pPr>
            <w:r w:rsidRPr="008F03E5">
              <w:rPr>
                <w:b/>
                <w:bCs/>
                <w:sz w:val="18"/>
                <w:szCs w:val="18"/>
              </w:rPr>
              <w:t>Trans.</w:t>
            </w:r>
          </w:p>
        </w:tc>
        <w:tc>
          <w:tcPr>
            <w:tcW w:w="737" w:type="dxa"/>
            <w:tcBorders>
              <w:top w:val="single" w:sz="6" w:space="0" w:color="auto"/>
              <w:bottom w:val="single" w:sz="6" w:space="0" w:color="auto"/>
              <w:right w:val="single" w:sz="8" w:space="0" w:color="auto"/>
            </w:tcBorders>
            <w:vAlign w:val="center"/>
          </w:tcPr>
          <w:p w14:paraId="4AA70593" w14:textId="77777777" w:rsidR="0046791C" w:rsidRPr="008F03E5" w:rsidRDefault="0046791C" w:rsidP="0046791C">
            <w:pPr>
              <w:keepNext/>
              <w:jc w:val="center"/>
              <w:rPr>
                <w:b/>
                <w:bCs/>
                <w:sz w:val="18"/>
                <w:szCs w:val="18"/>
              </w:rPr>
            </w:pPr>
            <w:r w:rsidRPr="008F03E5">
              <w:rPr>
                <w:b/>
                <w:bCs/>
                <w:sz w:val="18"/>
                <w:szCs w:val="18"/>
              </w:rPr>
              <w:t>Abjad</w:t>
            </w:r>
          </w:p>
        </w:tc>
      </w:tr>
      <w:tr w:rsidR="0046791C" w:rsidRPr="008F03E5" w14:paraId="141FE583" w14:textId="77777777" w:rsidTr="0046791C">
        <w:trPr>
          <w:jc w:val="center"/>
        </w:trPr>
        <w:tc>
          <w:tcPr>
            <w:tcW w:w="511" w:type="dxa"/>
            <w:tcBorders>
              <w:top w:val="single" w:sz="6" w:space="0" w:color="auto"/>
              <w:left w:val="single" w:sz="6" w:space="0" w:color="auto"/>
              <w:bottom w:val="nil"/>
            </w:tcBorders>
            <w:shd w:val="clear" w:color="auto" w:fill="auto"/>
          </w:tcPr>
          <w:p w14:paraId="496F180B" w14:textId="77777777" w:rsidR="0046791C" w:rsidRPr="008F03E5" w:rsidRDefault="0046791C" w:rsidP="000008C6">
            <w:pPr>
              <w:keepNext/>
              <w:jc w:val="center"/>
              <w:rPr>
                <w:sz w:val="18"/>
                <w:szCs w:val="18"/>
              </w:rPr>
            </w:pPr>
            <w:r w:rsidRPr="008F03E5">
              <w:rPr>
                <w:sz w:val="18"/>
                <w:szCs w:val="18"/>
                <w:rtl/>
              </w:rPr>
              <w:t>ﺍ</w:t>
            </w:r>
          </w:p>
        </w:tc>
        <w:tc>
          <w:tcPr>
            <w:tcW w:w="737" w:type="dxa"/>
            <w:tcBorders>
              <w:top w:val="single" w:sz="6" w:space="0" w:color="auto"/>
              <w:bottom w:val="nil"/>
            </w:tcBorders>
            <w:shd w:val="clear" w:color="auto" w:fill="auto"/>
          </w:tcPr>
          <w:p w14:paraId="45FA30A4" w14:textId="277B4DC8" w:rsidR="0046791C" w:rsidRPr="008F03E5" w:rsidRDefault="0046791C" w:rsidP="000008C6">
            <w:pPr>
              <w:keepNext/>
              <w:rPr>
                <w:sz w:val="18"/>
                <w:szCs w:val="18"/>
              </w:rPr>
            </w:pPr>
            <w:r w:rsidRPr="008F03E5">
              <w:rPr>
                <w:sz w:val="18"/>
                <w:szCs w:val="18"/>
              </w:rPr>
              <w:t>Alif</w:t>
            </w:r>
          </w:p>
        </w:tc>
        <w:tc>
          <w:tcPr>
            <w:tcW w:w="850" w:type="dxa"/>
            <w:tcBorders>
              <w:top w:val="single" w:sz="6" w:space="0" w:color="auto"/>
              <w:bottom w:val="nil"/>
            </w:tcBorders>
            <w:shd w:val="clear" w:color="auto" w:fill="auto"/>
          </w:tcPr>
          <w:p w14:paraId="2A28EAD5" w14:textId="77777777" w:rsidR="0046791C" w:rsidRPr="008F03E5" w:rsidRDefault="0046791C" w:rsidP="000008C6">
            <w:pPr>
              <w:keepNext/>
              <w:jc w:val="center"/>
              <w:rPr>
                <w:sz w:val="18"/>
                <w:szCs w:val="18"/>
              </w:rPr>
            </w:pPr>
            <w:r w:rsidRPr="008F03E5">
              <w:rPr>
                <w:sz w:val="18"/>
                <w:szCs w:val="18"/>
              </w:rPr>
              <w:t>á</w:t>
            </w:r>
          </w:p>
        </w:tc>
        <w:tc>
          <w:tcPr>
            <w:tcW w:w="737" w:type="dxa"/>
            <w:tcBorders>
              <w:top w:val="single" w:sz="6" w:space="0" w:color="auto"/>
              <w:bottom w:val="nil"/>
              <w:right w:val="single" w:sz="6" w:space="0" w:color="auto"/>
            </w:tcBorders>
            <w:shd w:val="clear" w:color="auto" w:fill="auto"/>
          </w:tcPr>
          <w:p w14:paraId="7EC5AC64" w14:textId="77777777" w:rsidR="0046791C" w:rsidRPr="008F03E5" w:rsidRDefault="0046791C" w:rsidP="001642C6">
            <w:pPr>
              <w:keepNext/>
              <w:tabs>
                <w:tab w:val="decimal" w:pos="372"/>
              </w:tabs>
              <w:rPr>
                <w:sz w:val="18"/>
                <w:szCs w:val="18"/>
              </w:rPr>
            </w:pPr>
            <w:r w:rsidRPr="008F03E5">
              <w:rPr>
                <w:sz w:val="18"/>
                <w:szCs w:val="18"/>
              </w:rPr>
              <w:t>1</w:t>
            </w:r>
          </w:p>
        </w:tc>
        <w:tc>
          <w:tcPr>
            <w:tcW w:w="624" w:type="dxa"/>
            <w:tcBorders>
              <w:top w:val="single" w:sz="6" w:space="0" w:color="auto"/>
              <w:left w:val="single" w:sz="6" w:space="0" w:color="auto"/>
              <w:bottom w:val="nil"/>
            </w:tcBorders>
            <w:shd w:val="clear" w:color="auto" w:fill="auto"/>
          </w:tcPr>
          <w:p w14:paraId="00736F52" w14:textId="77777777" w:rsidR="0046791C" w:rsidRPr="008F03E5" w:rsidRDefault="0046791C" w:rsidP="00254769">
            <w:pPr>
              <w:keepNext/>
              <w:jc w:val="center"/>
              <w:rPr>
                <w:color w:val="FF0000"/>
                <w:sz w:val="18"/>
                <w:szCs w:val="18"/>
              </w:rPr>
            </w:pPr>
            <w:r w:rsidRPr="008F03E5">
              <w:rPr>
                <w:color w:val="FF0000"/>
                <w:sz w:val="18"/>
                <w:szCs w:val="18"/>
                <w:rtl/>
              </w:rPr>
              <w:t>س</w:t>
            </w:r>
          </w:p>
        </w:tc>
        <w:tc>
          <w:tcPr>
            <w:tcW w:w="794" w:type="dxa"/>
            <w:tcBorders>
              <w:top w:val="single" w:sz="6" w:space="0" w:color="auto"/>
              <w:bottom w:val="nil"/>
            </w:tcBorders>
            <w:shd w:val="clear" w:color="auto" w:fill="auto"/>
          </w:tcPr>
          <w:p w14:paraId="67823AFC" w14:textId="1318C044" w:rsidR="0046791C" w:rsidRPr="008F03E5" w:rsidRDefault="0046791C" w:rsidP="00254769">
            <w:pPr>
              <w:keepNext/>
              <w:rPr>
                <w:sz w:val="18"/>
                <w:szCs w:val="18"/>
              </w:rPr>
            </w:pPr>
            <w:r w:rsidRPr="008F03E5">
              <w:rPr>
                <w:sz w:val="18"/>
                <w:szCs w:val="18"/>
              </w:rPr>
              <w:t>Sín</w:t>
            </w:r>
          </w:p>
        </w:tc>
        <w:tc>
          <w:tcPr>
            <w:tcW w:w="1020" w:type="dxa"/>
            <w:tcBorders>
              <w:top w:val="single" w:sz="6" w:space="0" w:color="auto"/>
              <w:bottom w:val="nil"/>
            </w:tcBorders>
            <w:shd w:val="clear" w:color="auto" w:fill="auto"/>
          </w:tcPr>
          <w:p w14:paraId="0A1DB71C" w14:textId="77777777" w:rsidR="0046791C" w:rsidRPr="008F03E5" w:rsidRDefault="0046791C" w:rsidP="00254769">
            <w:pPr>
              <w:keepNext/>
              <w:jc w:val="center"/>
              <w:rPr>
                <w:sz w:val="18"/>
                <w:szCs w:val="18"/>
              </w:rPr>
            </w:pPr>
            <w:r w:rsidRPr="008F03E5">
              <w:rPr>
                <w:sz w:val="18"/>
                <w:szCs w:val="18"/>
              </w:rPr>
              <w:t>s</w:t>
            </w:r>
          </w:p>
        </w:tc>
        <w:tc>
          <w:tcPr>
            <w:tcW w:w="737" w:type="dxa"/>
            <w:tcBorders>
              <w:top w:val="single" w:sz="6" w:space="0" w:color="auto"/>
              <w:bottom w:val="nil"/>
              <w:right w:val="single" w:sz="6" w:space="0" w:color="auto"/>
            </w:tcBorders>
            <w:shd w:val="clear" w:color="auto" w:fill="auto"/>
          </w:tcPr>
          <w:p w14:paraId="310658C8" w14:textId="77777777" w:rsidR="0046791C" w:rsidRPr="008F03E5" w:rsidRDefault="0046791C" w:rsidP="00254769">
            <w:pPr>
              <w:keepNext/>
              <w:tabs>
                <w:tab w:val="decimal" w:pos="372"/>
              </w:tabs>
              <w:rPr>
                <w:sz w:val="18"/>
                <w:szCs w:val="18"/>
              </w:rPr>
            </w:pPr>
            <w:r w:rsidRPr="008F03E5">
              <w:rPr>
                <w:sz w:val="18"/>
                <w:szCs w:val="18"/>
              </w:rPr>
              <w:t>60</w:t>
            </w:r>
          </w:p>
        </w:tc>
        <w:tc>
          <w:tcPr>
            <w:tcW w:w="510" w:type="dxa"/>
            <w:tcBorders>
              <w:top w:val="single" w:sz="6" w:space="0" w:color="auto"/>
              <w:bottom w:val="nil"/>
              <w:right w:val="single" w:sz="4" w:space="0" w:color="auto"/>
            </w:tcBorders>
          </w:tcPr>
          <w:p w14:paraId="5B88BF8E" w14:textId="77777777" w:rsidR="0046791C" w:rsidRPr="008F03E5" w:rsidRDefault="0046791C" w:rsidP="00254769">
            <w:pPr>
              <w:keepNext/>
              <w:jc w:val="center"/>
              <w:rPr>
                <w:sz w:val="18"/>
                <w:szCs w:val="18"/>
              </w:rPr>
            </w:pPr>
            <w:r w:rsidRPr="008F03E5">
              <w:rPr>
                <w:sz w:val="18"/>
                <w:szCs w:val="18"/>
                <w:rtl/>
              </w:rPr>
              <w:t>ك</w:t>
            </w:r>
          </w:p>
        </w:tc>
        <w:tc>
          <w:tcPr>
            <w:tcW w:w="1247" w:type="dxa"/>
            <w:tcBorders>
              <w:top w:val="single" w:sz="6" w:space="0" w:color="auto"/>
              <w:left w:val="single" w:sz="4" w:space="0" w:color="auto"/>
              <w:bottom w:val="nil"/>
              <w:right w:val="single" w:sz="4" w:space="0" w:color="auto"/>
            </w:tcBorders>
          </w:tcPr>
          <w:p w14:paraId="28298EB1" w14:textId="0E6DF60E" w:rsidR="0046791C" w:rsidRPr="008F03E5" w:rsidRDefault="0046791C" w:rsidP="00873BEB">
            <w:pPr>
              <w:keepNext/>
              <w:rPr>
                <w:sz w:val="18"/>
                <w:szCs w:val="18"/>
              </w:rPr>
            </w:pPr>
            <w:r w:rsidRPr="008F03E5">
              <w:rPr>
                <w:sz w:val="18"/>
                <w:szCs w:val="18"/>
              </w:rPr>
              <w:t>Káf</w:t>
            </w:r>
          </w:p>
        </w:tc>
        <w:tc>
          <w:tcPr>
            <w:tcW w:w="850" w:type="dxa"/>
            <w:tcBorders>
              <w:top w:val="single" w:sz="6" w:space="0" w:color="auto"/>
              <w:left w:val="single" w:sz="4" w:space="0" w:color="auto"/>
              <w:bottom w:val="nil"/>
              <w:right w:val="single" w:sz="4" w:space="0" w:color="auto"/>
            </w:tcBorders>
          </w:tcPr>
          <w:p w14:paraId="5D53E98D" w14:textId="77777777" w:rsidR="0046791C" w:rsidRPr="008F03E5" w:rsidRDefault="0046791C" w:rsidP="00254769">
            <w:pPr>
              <w:keepNext/>
              <w:jc w:val="center"/>
              <w:rPr>
                <w:sz w:val="18"/>
                <w:szCs w:val="18"/>
              </w:rPr>
            </w:pPr>
            <w:r w:rsidRPr="008F03E5">
              <w:rPr>
                <w:sz w:val="18"/>
                <w:szCs w:val="18"/>
              </w:rPr>
              <w:t>k</w:t>
            </w:r>
          </w:p>
        </w:tc>
        <w:tc>
          <w:tcPr>
            <w:tcW w:w="737" w:type="dxa"/>
            <w:tcBorders>
              <w:top w:val="single" w:sz="6" w:space="0" w:color="auto"/>
              <w:left w:val="single" w:sz="4" w:space="0" w:color="auto"/>
              <w:bottom w:val="nil"/>
              <w:right w:val="single" w:sz="6" w:space="0" w:color="auto"/>
            </w:tcBorders>
          </w:tcPr>
          <w:p w14:paraId="7733AA79" w14:textId="77777777" w:rsidR="0046791C" w:rsidRPr="008F03E5" w:rsidRDefault="0046791C" w:rsidP="00254769">
            <w:pPr>
              <w:keepNext/>
              <w:tabs>
                <w:tab w:val="decimal" w:pos="343"/>
              </w:tabs>
              <w:rPr>
                <w:sz w:val="18"/>
                <w:szCs w:val="18"/>
              </w:rPr>
            </w:pPr>
            <w:r w:rsidRPr="008F03E5">
              <w:rPr>
                <w:sz w:val="18"/>
                <w:szCs w:val="18"/>
              </w:rPr>
              <w:t>20</w:t>
            </w:r>
          </w:p>
        </w:tc>
      </w:tr>
      <w:tr w:rsidR="0046791C" w:rsidRPr="008F03E5" w14:paraId="178A1B9B" w14:textId="77777777" w:rsidTr="0046791C">
        <w:trPr>
          <w:jc w:val="center"/>
        </w:trPr>
        <w:tc>
          <w:tcPr>
            <w:tcW w:w="511" w:type="dxa"/>
            <w:tcBorders>
              <w:top w:val="nil"/>
              <w:left w:val="single" w:sz="6" w:space="0" w:color="auto"/>
              <w:bottom w:val="nil"/>
            </w:tcBorders>
            <w:shd w:val="clear" w:color="auto" w:fill="auto"/>
          </w:tcPr>
          <w:p w14:paraId="26B48851" w14:textId="77777777" w:rsidR="0046791C" w:rsidRPr="008F03E5" w:rsidRDefault="0046791C" w:rsidP="000008C6">
            <w:pPr>
              <w:keepNext/>
              <w:jc w:val="center"/>
              <w:rPr>
                <w:sz w:val="18"/>
                <w:szCs w:val="18"/>
              </w:rPr>
            </w:pPr>
            <w:r w:rsidRPr="008F03E5">
              <w:rPr>
                <w:sz w:val="18"/>
                <w:szCs w:val="18"/>
                <w:rtl/>
              </w:rPr>
              <w:t>ﺏ</w:t>
            </w:r>
          </w:p>
        </w:tc>
        <w:tc>
          <w:tcPr>
            <w:tcW w:w="737" w:type="dxa"/>
            <w:tcBorders>
              <w:top w:val="nil"/>
              <w:bottom w:val="nil"/>
            </w:tcBorders>
            <w:shd w:val="clear" w:color="auto" w:fill="auto"/>
          </w:tcPr>
          <w:p w14:paraId="76DE47F7" w14:textId="4BE7E252" w:rsidR="0046791C" w:rsidRPr="008F03E5" w:rsidRDefault="0046791C" w:rsidP="000008C6">
            <w:pPr>
              <w:keepNext/>
              <w:rPr>
                <w:sz w:val="18"/>
                <w:szCs w:val="18"/>
              </w:rPr>
            </w:pPr>
            <w:r w:rsidRPr="008F03E5">
              <w:rPr>
                <w:sz w:val="18"/>
                <w:szCs w:val="18"/>
              </w:rPr>
              <w:t>Bá’</w:t>
            </w:r>
          </w:p>
        </w:tc>
        <w:tc>
          <w:tcPr>
            <w:tcW w:w="850" w:type="dxa"/>
            <w:tcBorders>
              <w:top w:val="nil"/>
              <w:bottom w:val="nil"/>
            </w:tcBorders>
            <w:shd w:val="clear" w:color="auto" w:fill="auto"/>
          </w:tcPr>
          <w:p w14:paraId="487BC5F1" w14:textId="77777777" w:rsidR="0046791C" w:rsidRPr="008F03E5" w:rsidRDefault="0046791C" w:rsidP="000008C6">
            <w:pPr>
              <w:keepNext/>
              <w:jc w:val="center"/>
              <w:rPr>
                <w:sz w:val="18"/>
                <w:szCs w:val="18"/>
              </w:rPr>
            </w:pPr>
            <w:r w:rsidRPr="008F03E5">
              <w:rPr>
                <w:sz w:val="18"/>
                <w:szCs w:val="18"/>
              </w:rPr>
              <w:t>b</w:t>
            </w:r>
          </w:p>
        </w:tc>
        <w:tc>
          <w:tcPr>
            <w:tcW w:w="737" w:type="dxa"/>
            <w:tcBorders>
              <w:top w:val="nil"/>
              <w:bottom w:val="nil"/>
              <w:right w:val="single" w:sz="6" w:space="0" w:color="auto"/>
            </w:tcBorders>
            <w:shd w:val="clear" w:color="auto" w:fill="auto"/>
          </w:tcPr>
          <w:p w14:paraId="4F658817" w14:textId="77777777" w:rsidR="0046791C" w:rsidRPr="008F03E5" w:rsidRDefault="0046791C" w:rsidP="001642C6">
            <w:pPr>
              <w:keepNext/>
              <w:tabs>
                <w:tab w:val="decimal" w:pos="372"/>
              </w:tabs>
              <w:rPr>
                <w:sz w:val="18"/>
                <w:szCs w:val="18"/>
              </w:rPr>
            </w:pPr>
            <w:r w:rsidRPr="008F03E5">
              <w:rPr>
                <w:sz w:val="18"/>
                <w:szCs w:val="18"/>
              </w:rPr>
              <w:t>2</w:t>
            </w:r>
          </w:p>
        </w:tc>
        <w:tc>
          <w:tcPr>
            <w:tcW w:w="624" w:type="dxa"/>
            <w:tcBorders>
              <w:top w:val="nil"/>
              <w:left w:val="single" w:sz="6" w:space="0" w:color="auto"/>
              <w:bottom w:val="nil"/>
            </w:tcBorders>
            <w:shd w:val="clear" w:color="auto" w:fill="auto"/>
          </w:tcPr>
          <w:p w14:paraId="0522B685" w14:textId="77777777" w:rsidR="0046791C" w:rsidRPr="008F03E5" w:rsidRDefault="0046791C" w:rsidP="00254769">
            <w:pPr>
              <w:keepNext/>
              <w:jc w:val="center"/>
              <w:rPr>
                <w:color w:val="FF0000"/>
                <w:sz w:val="18"/>
                <w:szCs w:val="18"/>
              </w:rPr>
            </w:pPr>
            <w:r w:rsidRPr="008F03E5">
              <w:rPr>
                <w:color w:val="FF0000"/>
                <w:sz w:val="18"/>
                <w:szCs w:val="18"/>
                <w:rtl/>
              </w:rPr>
              <w:t>ش</w:t>
            </w:r>
          </w:p>
        </w:tc>
        <w:tc>
          <w:tcPr>
            <w:tcW w:w="794" w:type="dxa"/>
            <w:tcBorders>
              <w:top w:val="nil"/>
              <w:bottom w:val="nil"/>
            </w:tcBorders>
            <w:shd w:val="clear" w:color="auto" w:fill="auto"/>
          </w:tcPr>
          <w:p w14:paraId="1FC0CFD4" w14:textId="5E5F73E1" w:rsidR="0046791C" w:rsidRPr="008F03E5" w:rsidRDefault="0046791C" w:rsidP="00254769">
            <w:pPr>
              <w:keepNext/>
              <w:tabs>
                <w:tab w:val="decimal" w:pos="362"/>
              </w:tabs>
              <w:rPr>
                <w:sz w:val="18"/>
                <w:szCs w:val="18"/>
              </w:rPr>
            </w:pPr>
            <w:r w:rsidRPr="008F03E5">
              <w:rPr>
                <w:sz w:val="18"/>
                <w:szCs w:val="18"/>
                <w:u w:val="single"/>
              </w:rPr>
              <w:t>Sh</w:t>
            </w:r>
            <w:r w:rsidRPr="008F03E5">
              <w:rPr>
                <w:sz w:val="18"/>
                <w:szCs w:val="18"/>
              </w:rPr>
              <w:t>ín</w:t>
            </w:r>
          </w:p>
        </w:tc>
        <w:tc>
          <w:tcPr>
            <w:tcW w:w="1020" w:type="dxa"/>
            <w:tcBorders>
              <w:top w:val="nil"/>
              <w:bottom w:val="nil"/>
            </w:tcBorders>
            <w:shd w:val="clear" w:color="auto" w:fill="auto"/>
          </w:tcPr>
          <w:p w14:paraId="42F1C4BE" w14:textId="77777777" w:rsidR="0046791C" w:rsidRPr="008F03E5" w:rsidRDefault="0046791C" w:rsidP="00254769">
            <w:pPr>
              <w:keepNext/>
              <w:jc w:val="center"/>
              <w:rPr>
                <w:sz w:val="18"/>
                <w:szCs w:val="18"/>
                <w:u w:val="single"/>
              </w:rPr>
            </w:pPr>
            <w:r w:rsidRPr="008F03E5">
              <w:rPr>
                <w:sz w:val="18"/>
                <w:szCs w:val="18"/>
                <w:u w:val="single"/>
              </w:rPr>
              <w:t>sh</w:t>
            </w:r>
          </w:p>
        </w:tc>
        <w:tc>
          <w:tcPr>
            <w:tcW w:w="737" w:type="dxa"/>
            <w:tcBorders>
              <w:top w:val="nil"/>
              <w:bottom w:val="nil"/>
              <w:right w:val="single" w:sz="6" w:space="0" w:color="auto"/>
            </w:tcBorders>
            <w:shd w:val="clear" w:color="auto" w:fill="auto"/>
          </w:tcPr>
          <w:p w14:paraId="501586DD" w14:textId="77777777" w:rsidR="0046791C" w:rsidRPr="008F03E5" w:rsidRDefault="0046791C" w:rsidP="00254769">
            <w:pPr>
              <w:keepNext/>
              <w:tabs>
                <w:tab w:val="decimal" w:pos="372"/>
              </w:tabs>
              <w:rPr>
                <w:sz w:val="18"/>
                <w:szCs w:val="18"/>
              </w:rPr>
            </w:pPr>
            <w:r w:rsidRPr="008F03E5">
              <w:rPr>
                <w:sz w:val="18"/>
                <w:szCs w:val="18"/>
              </w:rPr>
              <w:t>300</w:t>
            </w:r>
          </w:p>
        </w:tc>
        <w:tc>
          <w:tcPr>
            <w:tcW w:w="510" w:type="dxa"/>
            <w:tcBorders>
              <w:top w:val="nil"/>
              <w:bottom w:val="nil"/>
              <w:right w:val="single" w:sz="4" w:space="0" w:color="auto"/>
            </w:tcBorders>
          </w:tcPr>
          <w:p w14:paraId="64E39DF4" w14:textId="77777777" w:rsidR="0046791C" w:rsidRPr="008F03E5" w:rsidRDefault="0046791C" w:rsidP="00254769">
            <w:pPr>
              <w:keepNext/>
              <w:jc w:val="center"/>
              <w:rPr>
                <w:color w:val="FF0000"/>
                <w:sz w:val="18"/>
                <w:szCs w:val="18"/>
              </w:rPr>
            </w:pPr>
            <w:r w:rsidRPr="008F03E5">
              <w:rPr>
                <w:color w:val="FF0000"/>
                <w:sz w:val="18"/>
                <w:szCs w:val="18"/>
                <w:rtl/>
              </w:rPr>
              <w:t>ل</w:t>
            </w:r>
          </w:p>
        </w:tc>
        <w:tc>
          <w:tcPr>
            <w:tcW w:w="1247" w:type="dxa"/>
            <w:tcBorders>
              <w:top w:val="nil"/>
              <w:left w:val="single" w:sz="4" w:space="0" w:color="auto"/>
              <w:bottom w:val="nil"/>
              <w:right w:val="single" w:sz="4" w:space="0" w:color="auto"/>
            </w:tcBorders>
          </w:tcPr>
          <w:p w14:paraId="0B2F9966" w14:textId="3042B687" w:rsidR="0046791C" w:rsidRPr="008F03E5" w:rsidRDefault="0046791C" w:rsidP="00873BEB">
            <w:pPr>
              <w:keepNext/>
              <w:rPr>
                <w:sz w:val="18"/>
                <w:szCs w:val="18"/>
              </w:rPr>
            </w:pPr>
            <w:r w:rsidRPr="008F03E5">
              <w:rPr>
                <w:sz w:val="18"/>
                <w:szCs w:val="18"/>
              </w:rPr>
              <w:t>Lám</w:t>
            </w:r>
          </w:p>
        </w:tc>
        <w:tc>
          <w:tcPr>
            <w:tcW w:w="850" w:type="dxa"/>
            <w:tcBorders>
              <w:top w:val="nil"/>
              <w:left w:val="single" w:sz="4" w:space="0" w:color="auto"/>
              <w:bottom w:val="nil"/>
              <w:right w:val="single" w:sz="4" w:space="0" w:color="auto"/>
            </w:tcBorders>
          </w:tcPr>
          <w:p w14:paraId="3C1C85EB" w14:textId="77777777" w:rsidR="0046791C" w:rsidRPr="008F03E5" w:rsidRDefault="0046791C" w:rsidP="00254769">
            <w:pPr>
              <w:keepNext/>
              <w:jc w:val="center"/>
              <w:rPr>
                <w:sz w:val="18"/>
                <w:szCs w:val="18"/>
              </w:rPr>
            </w:pPr>
            <w:r w:rsidRPr="008F03E5">
              <w:rPr>
                <w:sz w:val="18"/>
                <w:szCs w:val="18"/>
              </w:rPr>
              <w:t>l</w:t>
            </w:r>
          </w:p>
        </w:tc>
        <w:tc>
          <w:tcPr>
            <w:tcW w:w="737" w:type="dxa"/>
            <w:tcBorders>
              <w:top w:val="nil"/>
              <w:left w:val="single" w:sz="4" w:space="0" w:color="auto"/>
              <w:bottom w:val="nil"/>
              <w:right w:val="single" w:sz="6" w:space="0" w:color="auto"/>
            </w:tcBorders>
          </w:tcPr>
          <w:p w14:paraId="2D4A5420" w14:textId="77777777" w:rsidR="0046791C" w:rsidRPr="008F03E5" w:rsidRDefault="0046791C" w:rsidP="00254769">
            <w:pPr>
              <w:keepNext/>
              <w:tabs>
                <w:tab w:val="decimal" w:pos="343"/>
              </w:tabs>
              <w:rPr>
                <w:sz w:val="18"/>
                <w:szCs w:val="18"/>
              </w:rPr>
            </w:pPr>
            <w:r w:rsidRPr="008F03E5">
              <w:rPr>
                <w:sz w:val="18"/>
                <w:szCs w:val="18"/>
              </w:rPr>
              <w:t>30</w:t>
            </w:r>
          </w:p>
        </w:tc>
      </w:tr>
      <w:tr w:rsidR="0046791C" w:rsidRPr="008F03E5" w14:paraId="645BCE37" w14:textId="77777777" w:rsidTr="0046791C">
        <w:trPr>
          <w:jc w:val="center"/>
        </w:trPr>
        <w:tc>
          <w:tcPr>
            <w:tcW w:w="511" w:type="dxa"/>
            <w:tcBorders>
              <w:top w:val="nil"/>
              <w:left w:val="single" w:sz="6" w:space="0" w:color="auto"/>
              <w:bottom w:val="nil"/>
            </w:tcBorders>
            <w:shd w:val="clear" w:color="auto" w:fill="auto"/>
          </w:tcPr>
          <w:p w14:paraId="2851C3D4" w14:textId="77777777" w:rsidR="0046791C" w:rsidRPr="008F03E5" w:rsidRDefault="0046791C" w:rsidP="000008C6">
            <w:pPr>
              <w:keepNext/>
              <w:jc w:val="center"/>
              <w:rPr>
                <w:color w:val="FF0000"/>
                <w:sz w:val="18"/>
                <w:szCs w:val="18"/>
              </w:rPr>
            </w:pPr>
            <w:r w:rsidRPr="008F03E5">
              <w:rPr>
                <w:color w:val="FF0000"/>
                <w:sz w:val="18"/>
                <w:szCs w:val="18"/>
                <w:rtl/>
              </w:rPr>
              <w:t>ت</w:t>
            </w:r>
          </w:p>
        </w:tc>
        <w:tc>
          <w:tcPr>
            <w:tcW w:w="737" w:type="dxa"/>
            <w:tcBorders>
              <w:top w:val="nil"/>
              <w:bottom w:val="nil"/>
            </w:tcBorders>
            <w:shd w:val="clear" w:color="auto" w:fill="auto"/>
          </w:tcPr>
          <w:p w14:paraId="63D27088" w14:textId="1A17DBFF" w:rsidR="0046791C" w:rsidRPr="008F03E5" w:rsidRDefault="0046791C" w:rsidP="000008C6">
            <w:pPr>
              <w:keepNext/>
              <w:rPr>
                <w:sz w:val="18"/>
                <w:szCs w:val="18"/>
              </w:rPr>
            </w:pPr>
            <w:r w:rsidRPr="008F03E5">
              <w:rPr>
                <w:sz w:val="18"/>
                <w:szCs w:val="18"/>
              </w:rPr>
              <w:t>Tá’</w:t>
            </w:r>
          </w:p>
        </w:tc>
        <w:tc>
          <w:tcPr>
            <w:tcW w:w="850" w:type="dxa"/>
            <w:tcBorders>
              <w:top w:val="nil"/>
              <w:bottom w:val="nil"/>
            </w:tcBorders>
            <w:shd w:val="clear" w:color="auto" w:fill="auto"/>
          </w:tcPr>
          <w:p w14:paraId="1B340D6A" w14:textId="77777777" w:rsidR="0046791C" w:rsidRPr="008F03E5" w:rsidRDefault="0046791C" w:rsidP="000008C6">
            <w:pPr>
              <w:keepNext/>
              <w:jc w:val="center"/>
              <w:rPr>
                <w:sz w:val="18"/>
                <w:szCs w:val="18"/>
              </w:rPr>
            </w:pPr>
            <w:r w:rsidRPr="008F03E5">
              <w:rPr>
                <w:sz w:val="18"/>
                <w:szCs w:val="18"/>
              </w:rPr>
              <w:t>t</w:t>
            </w:r>
          </w:p>
        </w:tc>
        <w:tc>
          <w:tcPr>
            <w:tcW w:w="737" w:type="dxa"/>
            <w:tcBorders>
              <w:top w:val="nil"/>
              <w:bottom w:val="nil"/>
              <w:right w:val="single" w:sz="6" w:space="0" w:color="auto"/>
            </w:tcBorders>
            <w:shd w:val="clear" w:color="auto" w:fill="auto"/>
          </w:tcPr>
          <w:p w14:paraId="36F36696" w14:textId="77777777" w:rsidR="0046791C" w:rsidRPr="008F03E5" w:rsidRDefault="0046791C" w:rsidP="001642C6">
            <w:pPr>
              <w:keepNext/>
              <w:tabs>
                <w:tab w:val="decimal" w:pos="372"/>
              </w:tabs>
              <w:rPr>
                <w:sz w:val="18"/>
                <w:szCs w:val="18"/>
              </w:rPr>
            </w:pPr>
            <w:r w:rsidRPr="008F03E5">
              <w:rPr>
                <w:sz w:val="18"/>
                <w:szCs w:val="18"/>
              </w:rPr>
              <w:t>400</w:t>
            </w:r>
          </w:p>
        </w:tc>
        <w:tc>
          <w:tcPr>
            <w:tcW w:w="624" w:type="dxa"/>
            <w:tcBorders>
              <w:top w:val="nil"/>
              <w:left w:val="single" w:sz="6" w:space="0" w:color="auto"/>
              <w:bottom w:val="nil"/>
            </w:tcBorders>
            <w:shd w:val="clear" w:color="auto" w:fill="auto"/>
          </w:tcPr>
          <w:p w14:paraId="32B3627B" w14:textId="77777777" w:rsidR="0046791C" w:rsidRPr="008F03E5" w:rsidRDefault="0046791C" w:rsidP="00254769">
            <w:pPr>
              <w:keepNext/>
              <w:jc w:val="center"/>
              <w:rPr>
                <w:color w:val="FF0000"/>
                <w:sz w:val="18"/>
                <w:szCs w:val="18"/>
              </w:rPr>
            </w:pPr>
            <w:r w:rsidRPr="008F03E5">
              <w:rPr>
                <w:color w:val="FF0000"/>
                <w:sz w:val="18"/>
                <w:szCs w:val="18"/>
                <w:rtl/>
              </w:rPr>
              <w:t>ص</w:t>
            </w:r>
          </w:p>
        </w:tc>
        <w:tc>
          <w:tcPr>
            <w:tcW w:w="794" w:type="dxa"/>
            <w:tcBorders>
              <w:top w:val="nil"/>
              <w:bottom w:val="nil"/>
            </w:tcBorders>
            <w:shd w:val="clear" w:color="auto" w:fill="auto"/>
          </w:tcPr>
          <w:p w14:paraId="26D5E84B" w14:textId="4420E3C8" w:rsidR="0046791C" w:rsidRPr="008F03E5" w:rsidRDefault="0046791C" w:rsidP="00254769">
            <w:pPr>
              <w:keepNext/>
              <w:rPr>
                <w:sz w:val="18"/>
                <w:szCs w:val="18"/>
              </w:rPr>
            </w:pPr>
            <w:r w:rsidRPr="008F03E5">
              <w:rPr>
                <w:sz w:val="18"/>
                <w:szCs w:val="18"/>
              </w:rPr>
              <w:t>Ṣád</w:t>
            </w:r>
          </w:p>
        </w:tc>
        <w:tc>
          <w:tcPr>
            <w:tcW w:w="1020" w:type="dxa"/>
            <w:tcBorders>
              <w:top w:val="nil"/>
              <w:bottom w:val="nil"/>
            </w:tcBorders>
            <w:shd w:val="clear" w:color="auto" w:fill="auto"/>
          </w:tcPr>
          <w:p w14:paraId="773D5664" w14:textId="77777777" w:rsidR="0046791C" w:rsidRPr="008F03E5" w:rsidRDefault="0046791C" w:rsidP="00254769">
            <w:pPr>
              <w:keepNext/>
              <w:jc w:val="center"/>
              <w:rPr>
                <w:sz w:val="18"/>
                <w:szCs w:val="18"/>
              </w:rPr>
            </w:pPr>
            <w:r w:rsidRPr="008F03E5">
              <w:rPr>
                <w:sz w:val="18"/>
                <w:szCs w:val="18"/>
              </w:rPr>
              <w:t>ṣ</w:t>
            </w:r>
          </w:p>
        </w:tc>
        <w:tc>
          <w:tcPr>
            <w:tcW w:w="737" w:type="dxa"/>
            <w:tcBorders>
              <w:top w:val="nil"/>
              <w:bottom w:val="nil"/>
              <w:right w:val="single" w:sz="6" w:space="0" w:color="auto"/>
            </w:tcBorders>
            <w:shd w:val="clear" w:color="auto" w:fill="auto"/>
          </w:tcPr>
          <w:p w14:paraId="07282FAB" w14:textId="77777777" w:rsidR="0046791C" w:rsidRPr="008F03E5" w:rsidRDefault="0046791C" w:rsidP="00254769">
            <w:pPr>
              <w:keepNext/>
              <w:tabs>
                <w:tab w:val="decimal" w:pos="372"/>
              </w:tabs>
              <w:rPr>
                <w:sz w:val="18"/>
                <w:szCs w:val="18"/>
              </w:rPr>
            </w:pPr>
            <w:r w:rsidRPr="008F03E5">
              <w:rPr>
                <w:sz w:val="18"/>
                <w:szCs w:val="18"/>
              </w:rPr>
              <w:t>90</w:t>
            </w:r>
          </w:p>
        </w:tc>
        <w:tc>
          <w:tcPr>
            <w:tcW w:w="510" w:type="dxa"/>
            <w:tcBorders>
              <w:top w:val="nil"/>
              <w:bottom w:val="nil"/>
              <w:right w:val="single" w:sz="4" w:space="0" w:color="auto"/>
            </w:tcBorders>
          </w:tcPr>
          <w:p w14:paraId="2BB977FB" w14:textId="77777777" w:rsidR="0046791C" w:rsidRPr="008F03E5" w:rsidRDefault="0046791C" w:rsidP="00254769">
            <w:pPr>
              <w:keepNext/>
              <w:jc w:val="center"/>
              <w:rPr>
                <w:sz w:val="18"/>
                <w:szCs w:val="18"/>
              </w:rPr>
            </w:pPr>
            <w:r w:rsidRPr="008F03E5">
              <w:rPr>
                <w:sz w:val="18"/>
                <w:szCs w:val="18"/>
                <w:rtl/>
              </w:rPr>
              <w:t>م</w:t>
            </w:r>
          </w:p>
        </w:tc>
        <w:tc>
          <w:tcPr>
            <w:tcW w:w="1247" w:type="dxa"/>
            <w:tcBorders>
              <w:top w:val="nil"/>
              <w:left w:val="single" w:sz="4" w:space="0" w:color="auto"/>
              <w:bottom w:val="nil"/>
              <w:right w:val="single" w:sz="4" w:space="0" w:color="auto"/>
            </w:tcBorders>
          </w:tcPr>
          <w:p w14:paraId="053CAF41" w14:textId="4AF5DBC9" w:rsidR="0046791C" w:rsidRPr="008F03E5" w:rsidRDefault="0046791C" w:rsidP="00873BEB">
            <w:pPr>
              <w:keepNext/>
              <w:rPr>
                <w:sz w:val="18"/>
                <w:szCs w:val="18"/>
              </w:rPr>
            </w:pPr>
            <w:r w:rsidRPr="008F03E5">
              <w:rPr>
                <w:sz w:val="18"/>
                <w:szCs w:val="18"/>
              </w:rPr>
              <w:t>Mím</w:t>
            </w:r>
          </w:p>
        </w:tc>
        <w:tc>
          <w:tcPr>
            <w:tcW w:w="850" w:type="dxa"/>
            <w:tcBorders>
              <w:top w:val="nil"/>
              <w:left w:val="single" w:sz="4" w:space="0" w:color="auto"/>
              <w:bottom w:val="nil"/>
              <w:right w:val="single" w:sz="4" w:space="0" w:color="auto"/>
            </w:tcBorders>
          </w:tcPr>
          <w:p w14:paraId="041C06A4" w14:textId="77777777" w:rsidR="0046791C" w:rsidRPr="008F03E5" w:rsidRDefault="0046791C" w:rsidP="00254769">
            <w:pPr>
              <w:keepNext/>
              <w:jc w:val="center"/>
              <w:rPr>
                <w:sz w:val="18"/>
                <w:szCs w:val="18"/>
              </w:rPr>
            </w:pPr>
            <w:r w:rsidRPr="008F03E5">
              <w:rPr>
                <w:sz w:val="18"/>
                <w:szCs w:val="18"/>
              </w:rPr>
              <w:t>m</w:t>
            </w:r>
          </w:p>
        </w:tc>
        <w:tc>
          <w:tcPr>
            <w:tcW w:w="737" w:type="dxa"/>
            <w:tcBorders>
              <w:top w:val="nil"/>
              <w:left w:val="single" w:sz="4" w:space="0" w:color="auto"/>
              <w:bottom w:val="nil"/>
              <w:right w:val="single" w:sz="6" w:space="0" w:color="auto"/>
            </w:tcBorders>
          </w:tcPr>
          <w:p w14:paraId="423773A1" w14:textId="77777777" w:rsidR="0046791C" w:rsidRPr="008F03E5" w:rsidRDefault="0046791C" w:rsidP="00254769">
            <w:pPr>
              <w:keepNext/>
              <w:tabs>
                <w:tab w:val="decimal" w:pos="343"/>
              </w:tabs>
              <w:rPr>
                <w:sz w:val="18"/>
                <w:szCs w:val="18"/>
              </w:rPr>
            </w:pPr>
            <w:r w:rsidRPr="008F03E5">
              <w:rPr>
                <w:sz w:val="18"/>
                <w:szCs w:val="18"/>
              </w:rPr>
              <w:t>40</w:t>
            </w:r>
          </w:p>
        </w:tc>
      </w:tr>
      <w:tr w:rsidR="0046791C" w:rsidRPr="008F03E5" w14:paraId="18036DBB" w14:textId="77777777" w:rsidTr="0046791C">
        <w:trPr>
          <w:jc w:val="center"/>
        </w:trPr>
        <w:tc>
          <w:tcPr>
            <w:tcW w:w="511" w:type="dxa"/>
            <w:tcBorders>
              <w:top w:val="nil"/>
              <w:left w:val="single" w:sz="6" w:space="0" w:color="auto"/>
              <w:bottom w:val="nil"/>
            </w:tcBorders>
            <w:shd w:val="clear" w:color="auto" w:fill="auto"/>
          </w:tcPr>
          <w:p w14:paraId="3102EEF2" w14:textId="77777777" w:rsidR="0046791C" w:rsidRPr="008F03E5" w:rsidRDefault="0046791C" w:rsidP="000008C6">
            <w:pPr>
              <w:keepNext/>
              <w:jc w:val="center"/>
              <w:rPr>
                <w:color w:val="FF0000"/>
                <w:sz w:val="18"/>
                <w:szCs w:val="18"/>
              </w:rPr>
            </w:pPr>
            <w:r w:rsidRPr="008F03E5">
              <w:rPr>
                <w:color w:val="FF0000"/>
                <w:sz w:val="18"/>
                <w:szCs w:val="18"/>
                <w:rtl/>
              </w:rPr>
              <w:t>ث</w:t>
            </w:r>
          </w:p>
        </w:tc>
        <w:tc>
          <w:tcPr>
            <w:tcW w:w="737" w:type="dxa"/>
            <w:tcBorders>
              <w:top w:val="nil"/>
              <w:bottom w:val="nil"/>
            </w:tcBorders>
            <w:shd w:val="clear" w:color="auto" w:fill="auto"/>
          </w:tcPr>
          <w:p w14:paraId="58958105" w14:textId="0A48B89D" w:rsidR="0046791C" w:rsidRPr="008F03E5" w:rsidRDefault="0046791C" w:rsidP="000008C6">
            <w:pPr>
              <w:keepNext/>
              <w:tabs>
                <w:tab w:val="decimal" w:pos="362"/>
              </w:tabs>
              <w:rPr>
                <w:sz w:val="18"/>
                <w:szCs w:val="18"/>
              </w:rPr>
            </w:pPr>
            <w:r w:rsidRPr="008F03E5">
              <w:rPr>
                <w:sz w:val="18"/>
                <w:szCs w:val="18"/>
                <w:u w:val="single"/>
              </w:rPr>
              <w:t>Th</w:t>
            </w:r>
            <w:r w:rsidRPr="008F03E5">
              <w:rPr>
                <w:sz w:val="18"/>
                <w:szCs w:val="18"/>
              </w:rPr>
              <w:t>á’</w:t>
            </w:r>
          </w:p>
        </w:tc>
        <w:tc>
          <w:tcPr>
            <w:tcW w:w="850" w:type="dxa"/>
            <w:tcBorders>
              <w:top w:val="nil"/>
              <w:bottom w:val="nil"/>
            </w:tcBorders>
            <w:shd w:val="clear" w:color="auto" w:fill="auto"/>
          </w:tcPr>
          <w:p w14:paraId="7A83851D" w14:textId="77777777" w:rsidR="0046791C" w:rsidRPr="008F03E5" w:rsidRDefault="0046791C" w:rsidP="000008C6">
            <w:pPr>
              <w:keepNext/>
              <w:jc w:val="center"/>
              <w:rPr>
                <w:sz w:val="18"/>
                <w:szCs w:val="18"/>
                <w:u w:val="single"/>
              </w:rPr>
            </w:pPr>
            <w:r w:rsidRPr="008F03E5">
              <w:rPr>
                <w:sz w:val="18"/>
                <w:szCs w:val="18"/>
                <w:u w:val="single"/>
              </w:rPr>
              <w:t>th</w:t>
            </w:r>
          </w:p>
        </w:tc>
        <w:tc>
          <w:tcPr>
            <w:tcW w:w="737" w:type="dxa"/>
            <w:tcBorders>
              <w:top w:val="nil"/>
              <w:bottom w:val="nil"/>
              <w:right w:val="single" w:sz="6" w:space="0" w:color="auto"/>
            </w:tcBorders>
            <w:shd w:val="clear" w:color="auto" w:fill="auto"/>
          </w:tcPr>
          <w:p w14:paraId="2296A3BF" w14:textId="77777777" w:rsidR="0046791C" w:rsidRPr="008F03E5" w:rsidRDefault="0046791C" w:rsidP="001642C6">
            <w:pPr>
              <w:keepNext/>
              <w:tabs>
                <w:tab w:val="decimal" w:pos="372"/>
              </w:tabs>
              <w:rPr>
                <w:sz w:val="18"/>
                <w:szCs w:val="18"/>
              </w:rPr>
            </w:pPr>
            <w:r w:rsidRPr="008F03E5">
              <w:rPr>
                <w:sz w:val="18"/>
                <w:szCs w:val="18"/>
              </w:rPr>
              <w:t>500</w:t>
            </w:r>
          </w:p>
        </w:tc>
        <w:tc>
          <w:tcPr>
            <w:tcW w:w="624" w:type="dxa"/>
            <w:tcBorders>
              <w:top w:val="nil"/>
              <w:left w:val="single" w:sz="6" w:space="0" w:color="auto"/>
              <w:bottom w:val="nil"/>
            </w:tcBorders>
            <w:shd w:val="clear" w:color="auto" w:fill="auto"/>
          </w:tcPr>
          <w:p w14:paraId="081493C2" w14:textId="77777777" w:rsidR="0046791C" w:rsidRPr="008F03E5" w:rsidRDefault="0046791C" w:rsidP="00254769">
            <w:pPr>
              <w:keepNext/>
              <w:jc w:val="center"/>
              <w:rPr>
                <w:color w:val="FF0000"/>
                <w:sz w:val="18"/>
                <w:szCs w:val="18"/>
              </w:rPr>
            </w:pPr>
            <w:r w:rsidRPr="008F03E5">
              <w:rPr>
                <w:color w:val="FF0000"/>
                <w:sz w:val="18"/>
                <w:szCs w:val="18"/>
                <w:rtl/>
              </w:rPr>
              <w:t>ض</w:t>
            </w:r>
          </w:p>
        </w:tc>
        <w:tc>
          <w:tcPr>
            <w:tcW w:w="794" w:type="dxa"/>
            <w:tcBorders>
              <w:top w:val="nil"/>
              <w:bottom w:val="nil"/>
            </w:tcBorders>
            <w:shd w:val="clear" w:color="auto" w:fill="auto"/>
          </w:tcPr>
          <w:p w14:paraId="187523E4" w14:textId="754F354F" w:rsidR="0046791C" w:rsidRPr="008F03E5" w:rsidRDefault="0046791C" w:rsidP="00254769">
            <w:pPr>
              <w:keepNext/>
              <w:rPr>
                <w:sz w:val="18"/>
                <w:szCs w:val="18"/>
              </w:rPr>
            </w:pPr>
            <w:r w:rsidRPr="008F03E5">
              <w:rPr>
                <w:sz w:val="18"/>
                <w:szCs w:val="18"/>
              </w:rPr>
              <w:t>Ḍad</w:t>
            </w:r>
          </w:p>
        </w:tc>
        <w:tc>
          <w:tcPr>
            <w:tcW w:w="1020" w:type="dxa"/>
            <w:tcBorders>
              <w:top w:val="nil"/>
              <w:bottom w:val="nil"/>
            </w:tcBorders>
            <w:shd w:val="clear" w:color="auto" w:fill="auto"/>
          </w:tcPr>
          <w:p w14:paraId="60EE8DF6" w14:textId="77777777" w:rsidR="0046791C" w:rsidRPr="008F03E5" w:rsidRDefault="0046791C" w:rsidP="00254769">
            <w:pPr>
              <w:keepNext/>
              <w:jc w:val="center"/>
              <w:rPr>
                <w:sz w:val="18"/>
                <w:szCs w:val="18"/>
              </w:rPr>
            </w:pPr>
            <w:r w:rsidRPr="008F03E5">
              <w:rPr>
                <w:sz w:val="18"/>
                <w:szCs w:val="18"/>
              </w:rPr>
              <w:t>ḍ</w:t>
            </w:r>
          </w:p>
        </w:tc>
        <w:tc>
          <w:tcPr>
            <w:tcW w:w="737" w:type="dxa"/>
            <w:tcBorders>
              <w:top w:val="nil"/>
              <w:bottom w:val="nil"/>
              <w:right w:val="single" w:sz="6" w:space="0" w:color="auto"/>
            </w:tcBorders>
            <w:shd w:val="clear" w:color="auto" w:fill="auto"/>
          </w:tcPr>
          <w:p w14:paraId="3AC8EFAF" w14:textId="77777777" w:rsidR="0046791C" w:rsidRPr="008F03E5" w:rsidRDefault="0046791C" w:rsidP="00254769">
            <w:pPr>
              <w:keepNext/>
              <w:tabs>
                <w:tab w:val="decimal" w:pos="372"/>
              </w:tabs>
              <w:rPr>
                <w:sz w:val="18"/>
                <w:szCs w:val="18"/>
              </w:rPr>
            </w:pPr>
            <w:r w:rsidRPr="008F03E5">
              <w:rPr>
                <w:sz w:val="18"/>
                <w:szCs w:val="18"/>
              </w:rPr>
              <w:t>800</w:t>
            </w:r>
          </w:p>
        </w:tc>
        <w:tc>
          <w:tcPr>
            <w:tcW w:w="510" w:type="dxa"/>
            <w:tcBorders>
              <w:top w:val="nil"/>
              <w:bottom w:val="nil"/>
              <w:right w:val="single" w:sz="4" w:space="0" w:color="auto"/>
            </w:tcBorders>
          </w:tcPr>
          <w:p w14:paraId="499FD3D5" w14:textId="77777777" w:rsidR="0046791C" w:rsidRPr="008F03E5" w:rsidRDefault="0046791C" w:rsidP="00254769">
            <w:pPr>
              <w:keepNext/>
              <w:jc w:val="center"/>
              <w:rPr>
                <w:color w:val="FF0000"/>
                <w:sz w:val="18"/>
                <w:szCs w:val="18"/>
              </w:rPr>
            </w:pPr>
            <w:r w:rsidRPr="008F03E5">
              <w:rPr>
                <w:color w:val="FF0000"/>
                <w:sz w:val="18"/>
                <w:szCs w:val="18"/>
                <w:rtl/>
              </w:rPr>
              <w:t>ن</w:t>
            </w:r>
          </w:p>
        </w:tc>
        <w:tc>
          <w:tcPr>
            <w:tcW w:w="1247" w:type="dxa"/>
            <w:tcBorders>
              <w:top w:val="nil"/>
              <w:left w:val="single" w:sz="4" w:space="0" w:color="auto"/>
              <w:bottom w:val="nil"/>
              <w:right w:val="single" w:sz="4" w:space="0" w:color="auto"/>
            </w:tcBorders>
          </w:tcPr>
          <w:p w14:paraId="138E6241" w14:textId="1EB364B0" w:rsidR="0046791C" w:rsidRPr="008F03E5" w:rsidRDefault="0046791C" w:rsidP="00873BEB">
            <w:pPr>
              <w:keepNext/>
              <w:rPr>
                <w:sz w:val="18"/>
                <w:szCs w:val="18"/>
              </w:rPr>
            </w:pPr>
            <w:r w:rsidRPr="008F03E5">
              <w:rPr>
                <w:sz w:val="18"/>
                <w:szCs w:val="18"/>
              </w:rPr>
              <w:t>Nún</w:t>
            </w:r>
          </w:p>
        </w:tc>
        <w:tc>
          <w:tcPr>
            <w:tcW w:w="850" w:type="dxa"/>
            <w:tcBorders>
              <w:top w:val="nil"/>
              <w:left w:val="single" w:sz="4" w:space="0" w:color="auto"/>
              <w:bottom w:val="nil"/>
              <w:right w:val="single" w:sz="4" w:space="0" w:color="auto"/>
            </w:tcBorders>
          </w:tcPr>
          <w:p w14:paraId="585C2337" w14:textId="77777777" w:rsidR="0046791C" w:rsidRPr="008F03E5" w:rsidRDefault="0046791C" w:rsidP="00254769">
            <w:pPr>
              <w:keepNext/>
              <w:jc w:val="center"/>
              <w:rPr>
                <w:sz w:val="18"/>
                <w:szCs w:val="18"/>
              </w:rPr>
            </w:pPr>
            <w:r w:rsidRPr="008F03E5">
              <w:rPr>
                <w:sz w:val="18"/>
                <w:szCs w:val="18"/>
              </w:rPr>
              <w:t>n</w:t>
            </w:r>
          </w:p>
        </w:tc>
        <w:tc>
          <w:tcPr>
            <w:tcW w:w="737" w:type="dxa"/>
            <w:tcBorders>
              <w:top w:val="nil"/>
              <w:left w:val="single" w:sz="4" w:space="0" w:color="auto"/>
              <w:bottom w:val="nil"/>
              <w:right w:val="single" w:sz="6" w:space="0" w:color="auto"/>
            </w:tcBorders>
          </w:tcPr>
          <w:p w14:paraId="61BFD962" w14:textId="77777777" w:rsidR="0046791C" w:rsidRPr="008F03E5" w:rsidRDefault="0046791C" w:rsidP="00254769">
            <w:pPr>
              <w:keepNext/>
              <w:tabs>
                <w:tab w:val="decimal" w:pos="343"/>
              </w:tabs>
              <w:rPr>
                <w:sz w:val="18"/>
                <w:szCs w:val="18"/>
              </w:rPr>
            </w:pPr>
            <w:r w:rsidRPr="008F03E5">
              <w:rPr>
                <w:sz w:val="18"/>
                <w:szCs w:val="18"/>
              </w:rPr>
              <w:t>50</w:t>
            </w:r>
          </w:p>
        </w:tc>
      </w:tr>
      <w:tr w:rsidR="0046791C" w:rsidRPr="008F03E5" w14:paraId="0995DDEA" w14:textId="77777777" w:rsidTr="0046791C">
        <w:trPr>
          <w:jc w:val="center"/>
        </w:trPr>
        <w:tc>
          <w:tcPr>
            <w:tcW w:w="511" w:type="dxa"/>
            <w:tcBorders>
              <w:top w:val="nil"/>
              <w:left w:val="single" w:sz="6" w:space="0" w:color="auto"/>
              <w:bottom w:val="nil"/>
            </w:tcBorders>
            <w:shd w:val="clear" w:color="auto" w:fill="auto"/>
          </w:tcPr>
          <w:p w14:paraId="56954C57" w14:textId="77777777" w:rsidR="0046791C" w:rsidRPr="008F03E5" w:rsidRDefault="0046791C" w:rsidP="000008C6">
            <w:pPr>
              <w:keepNext/>
              <w:jc w:val="center"/>
              <w:rPr>
                <w:sz w:val="18"/>
                <w:szCs w:val="18"/>
              </w:rPr>
            </w:pPr>
            <w:r w:rsidRPr="008F03E5">
              <w:rPr>
                <w:sz w:val="18"/>
                <w:szCs w:val="18"/>
                <w:rtl/>
              </w:rPr>
              <w:t>ج</w:t>
            </w:r>
          </w:p>
        </w:tc>
        <w:tc>
          <w:tcPr>
            <w:tcW w:w="737" w:type="dxa"/>
            <w:tcBorders>
              <w:top w:val="nil"/>
              <w:bottom w:val="nil"/>
            </w:tcBorders>
            <w:shd w:val="clear" w:color="auto" w:fill="auto"/>
          </w:tcPr>
          <w:p w14:paraId="389E824B" w14:textId="65C43B81" w:rsidR="0046791C" w:rsidRPr="008F03E5" w:rsidRDefault="0046791C" w:rsidP="000008C6">
            <w:pPr>
              <w:keepNext/>
              <w:rPr>
                <w:sz w:val="18"/>
                <w:szCs w:val="18"/>
              </w:rPr>
            </w:pPr>
            <w:r w:rsidRPr="008F03E5">
              <w:rPr>
                <w:sz w:val="18"/>
                <w:szCs w:val="18"/>
              </w:rPr>
              <w:t>Jím</w:t>
            </w:r>
          </w:p>
        </w:tc>
        <w:tc>
          <w:tcPr>
            <w:tcW w:w="850" w:type="dxa"/>
            <w:tcBorders>
              <w:top w:val="nil"/>
              <w:bottom w:val="nil"/>
            </w:tcBorders>
            <w:shd w:val="clear" w:color="auto" w:fill="auto"/>
          </w:tcPr>
          <w:p w14:paraId="33F9452C" w14:textId="77777777" w:rsidR="0046791C" w:rsidRPr="008F03E5" w:rsidRDefault="0046791C" w:rsidP="000008C6">
            <w:pPr>
              <w:keepNext/>
              <w:jc w:val="center"/>
              <w:rPr>
                <w:sz w:val="18"/>
                <w:szCs w:val="18"/>
              </w:rPr>
            </w:pPr>
            <w:r w:rsidRPr="008F03E5">
              <w:rPr>
                <w:sz w:val="18"/>
                <w:szCs w:val="18"/>
              </w:rPr>
              <w:t>j</w:t>
            </w:r>
          </w:p>
        </w:tc>
        <w:tc>
          <w:tcPr>
            <w:tcW w:w="737" w:type="dxa"/>
            <w:tcBorders>
              <w:top w:val="nil"/>
              <w:bottom w:val="nil"/>
              <w:right w:val="single" w:sz="6" w:space="0" w:color="auto"/>
            </w:tcBorders>
            <w:shd w:val="clear" w:color="auto" w:fill="auto"/>
          </w:tcPr>
          <w:p w14:paraId="7CDF7F39" w14:textId="77777777" w:rsidR="0046791C" w:rsidRPr="008F03E5" w:rsidRDefault="0046791C" w:rsidP="001642C6">
            <w:pPr>
              <w:keepNext/>
              <w:tabs>
                <w:tab w:val="decimal" w:pos="372"/>
              </w:tabs>
              <w:rPr>
                <w:sz w:val="18"/>
                <w:szCs w:val="18"/>
              </w:rPr>
            </w:pPr>
            <w:r w:rsidRPr="008F03E5">
              <w:rPr>
                <w:sz w:val="18"/>
                <w:szCs w:val="18"/>
              </w:rPr>
              <w:t>3</w:t>
            </w:r>
          </w:p>
        </w:tc>
        <w:tc>
          <w:tcPr>
            <w:tcW w:w="624" w:type="dxa"/>
            <w:tcBorders>
              <w:top w:val="nil"/>
              <w:left w:val="single" w:sz="6" w:space="0" w:color="auto"/>
              <w:bottom w:val="nil"/>
            </w:tcBorders>
            <w:shd w:val="clear" w:color="auto" w:fill="auto"/>
          </w:tcPr>
          <w:p w14:paraId="2520B089" w14:textId="77777777" w:rsidR="0046791C" w:rsidRPr="008F03E5" w:rsidRDefault="0046791C" w:rsidP="00254769">
            <w:pPr>
              <w:jc w:val="center"/>
              <w:rPr>
                <w:color w:val="FF0000"/>
                <w:sz w:val="18"/>
                <w:szCs w:val="18"/>
                <w:rtl/>
              </w:rPr>
            </w:pPr>
            <w:r w:rsidRPr="008F03E5">
              <w:rPr>
                <w:color w:val="FF0000"/>
                <w:sz w:val="18"/>
                <w:szCs w:val="18"/>
                <w:rtl/>
              </w:rPr>
              <w:t>ﻁ</w:t>
            </w:r>
          </w:p>
        </w:tc>
        <w:tc>
          <w:tcPr>
            <w:tcW w:w="794" w:type="dxa"/>
            <w:tcBorders>
              <w:top w:val="nil"/>
              <w:bottom w:val="nil"/>
            </w:tcBorders>
            <w:shd w:val="clear" w:color="auto" w:fill="auto"/>
          </w:tcPr>
          <w:p w14:paraId="722130F0" w14:textId="41735FE0" w:rsidR="0046791C" w:rsidRPr="008F03E5" w:rsidRDefault="0046791C" w:rsidP="00254769">
            <w:pPr>
              <w:rPr>
                <w:sz w:val="18"/>
                <w:szCs w:val="18"/>
              </w:rPr>
            </w:pPr>
            <w:r w:rsidRPr="008F03E5">
              <w:rPr>
                <w:sz w:val="18"/>
                <w:szCs w:val="18"/>
              </w:rPr>
              <w:t>Ṭá’</w:t>
            </w:r>
          </w:p>
        </w:tc>
        <w:tc>
          <w:tcPr>
            <w:tcW w:w="1020" w:type="dxa"/>
            <w:tcBorders>
              <w:top w:val="nil"/>
              <w:bottom w:val="nil"/>
            </w:tcBorders>
            <w:shd w:val="clear" w:color="auto" w:fill="auto"/>
          </w:tcPr>
          <w:p w14:paraId="7E5F57BA" w14:textId="77777777" w:rsidR="0046791C" w:rsidRPr="008F03E5" w:rsidRDefault="0046791C" w:rsidP="00254769">
            <w:pPr>
              <w:jc w:val="center"/>
              <w:rPr>
                <w:sz w:val="18"/>
                <w:szCs w:val="18"/>
              </w:rPr>
            </w:pPr>
            <w:r w:rsidRPr="008F03E5">
              <w:rPr>
                <w:sz w:val="18"/>
                <w:szCs w:val="18"/>
              </w:rPr>
              <w:t>ṭ</w:t>
            </w:r>
          </w:p>
        </w:tc>
        <w:tc>
          <w:tcPr>
            <w:tcW w:w="737" w:type="dxa"/>
            <w:tcBorders>
              <w:top w:val="nil"/>
              <w:bottom w:val="nil"/>
              <w:right w:val="single" w:sz="6" w:space="0" w:color="auto"/>
            </w:tcBorders>
            <w:shd w:val="clear" w:color="auto" w:fill="auto"/>
          </w:tcPr>
          <w:p w14:paraId="2AB5742E" w14:textId="77777777" w:rsidR="0046791C" w:rsidRPr="008F03E5" w:rsidRDefault="0046791C" w:rsidP="00254769">
            <w:pPr>
              <w:tabs>
                <w:tab w:val="decimal" w:pos="372"/>
              </w:tabs>
              <w:rPr>
                <w:sz w:val="18"/>
                <w:szCs w:val="18"/>
              </w:rPr>
            </w:pPr>
            <w:r w:rsidRPr="008F03E5">
              <w:rPr>
                <w:sz w:val="18"/>
                <w:szCs w:val="18"/>
              </w:rPr>
              <w:t>9</w:t>
            </w:r>
          </w:p>
        </w:tc>
        <w:tc>
          <w:tcPr>
            <w:tcW w:w="510" w:type="dxa"/>
            <w:tcBorders>
              <w:top w:val="nil"/>
              <w:bottom w:val="nil"/>
              <w:right w:val="single" w:sz="4" w:space="0" w:color="auto"/>
            </w:tcBorders>
          </w:tcPr>
          <w:p w14:paraId="0E36DB0F" w14:textId="77777777" w:rsidR="0046791C" w:rsidRPr="008F03E5" w:rsidRDefault="0046791C" w:rsidP="00254769">
            <w:pPr>
              <w:keepNext/>
              <w:jc w:val="center"/>
              <w:rPr>
                <w:sz w:val="18"/>
                <w:szCs w:val="18"/>
              </w:rPr>
            </w:pPr>
            <w:r w:rsidRPr="008F03E5">
              <w:rPr>
                <w:sz w:val="18"/>
                <w:szCs w:val="18"/>
                <w:rtl/>
              </w:rPr>
              <w:t>ه</w:t>
            </w:r>
          </w:p>
        </w:tc>
        <w:tc>
          <w:tcPr>
            <w:tcW w:w="1247" w:type="dxa"/>
            <w:tcBorders>
              <w:top w:val="nil"/>
              <w:left w:val="single" w:sz="4" w:space="0" w:color="auto"/>
              <w:bottom w:val="nil"/>
              <w:right w:val="single" w:sz="4" w:space="0" w:color="auto"/>
            </w:tcBorders>
          </w:tcPr>
          <w:p w14:paraId="697E99D3" w14:textId="71434BD6" w:rsidR="0046791C" w:rsidRPr="008F03E5" w:rsidRDefault="0046791C" w:rsidP="00873BEB">
            <w:pPr>
              <w:keepNext/>
              <w:rPr>
                <w:sz w:val="18"/>
                <w:szCs w:val="18"/>
              </w:rPr>
            </w:pPr>
            <w:r w:rsidRPr="008F03E5">
              <w:rPr>
                <w:sz w:val="18"/>
                <w:szCs w:val="18"/>
              </w:rPr>
              <w:t>Há’</w:t>
            </w:r>
          </w:p>
        </w:tc>
        <w:tc>
          <w:tcPr>
            <w:tcW w:w="850" w:type="dxa"/>
            <w:tcBorders>
              <w:top w:val="nil"/>
              <w:left w:val="single" w:sz="4" w:space="0" w:color="auto"/>
              <w:bottom w:val="nil"/>
              <w:right w:val="single" w:sz="4" w:space="0" w:color="auto"/>
            </w:tcBorders>
          </w:tcPr>
          <w:p w14:paraId="38E02984" w14:textId="77777777" w:rsidR="0046791C" w:rsidRPr="008F03E5" w:rsidRDefault="0046791C" w:rsidP="00254769">
            <w:pPr>
              <w:keepNext/>
              <w:jc w:val="center"/>
              <w:rPr>
                <w:sz w:val="18"/>
                <w:szCs w:val="18"/>
              </w:rPr>
            </w:pPr>
            <w:r w:rsidRPr="008F03E5">
              <w:rPr>
                <w:sz w:val="18"/>
                <w:szCs w:val="18"/>
              </w:rPr>
              <w:t>h</w:t>
            </w:r>
          </w:p>
        </w:tc>
        <w:tc>
          <w:tcPr>
            <w:tcW w:w="737" w:type="dxa"/>
            <w:tcBorders>
              <w:top w:val="nil"/>
              <w:left w:val="single" w:sz="4" w:space="0" w:color="auto"/>
              <w:bottom w:val="nil"/>
              <w:right w:val="single" w:sz="6" w:space="0" w:color="auto"/>
            </w:tcBorders>
          </w:tcPr>
          <w:p w14:paraId="0AA57C15" w14:textId="77777777" w:rsidR="0046791C" w:rsidRPr="008F03E5" w:rsidRDefault="0046791C" w:rsidP="00254769">
            <w:pPr>
              <w:keepNext/>
              <w:tabs>
                <w:tab w:val="decimal" w:pos="343"/>
              </w:tabs>
              <w:rPr>
                <w:sz w:val="18"/>
                <w:szCs w:val="18"/>
              </w:rPr>
            </w:pPr>
            <w:r w:rsidRPr="008F03E5">
              <w:rPr>
                <w:sz w:val="18"/>
                <w:szCs w:val="18"/>
              </w:rPr>
              <w:t>5</w:t>
            </w:r>
          </w:p>
        </w:tc>
      </w:tr>
      <w:tr w:rsidR="0046791C" w:rsidRPr="008F03E5" w14:paraId="4F919B16" w14:textId="77777777" w:rsidTr="0046791C">
        <w:trPr>
          <w:jc w:val="center"/>
        </w:trPr>
        <w:tc>
          <w:tcPr>
            <w:tcW w:w="511" w:type="dxa"/>
            <w:tcBorders>
              <w:top w:val="nil"/>
              <w:left w:val="single" w:sz="6" w:space="0" w:color="auto"/>
              <w:bottom w:val="nil"/>
            </w:tcBorders>
            <w:shd w:val="clear" w:color="auto" w:fill="auto"/>
          </w:tcPr>
          <w:p w14:paraId="556F1AE5" w14:textId="77777777" w:rsidR="0046791C" w:rsidRPr="008F03E5" w:rsidRDefault="0046791C" w:rsidP="000008C6">
            <w:pPr>
              <w:keepNext/>
              <w:jc w:val="center"/>
              <w:rPr>
                <w:sz w:val="18"/>
                <w:szCs w:val="18"/>
              </w:rPr>
            </w:pPr>
            <w:r w:rsidRPr="008F03E5">
              <w:rPr>
                <w:sz w:val="18"/>
                <w:szCs w:val="18"/>
                <w:rtl/>
              </w:rPr>
              <w:t>ح</w:t>
            </w:r>
          </w:p>
        </w:tc>
        <w:tc>
          <w:tcPr>
            <w:tcW w:w="737" w:type="dxa"/>
            <w:tcBorders>
              <w:top w:val="nil"/>
              <w:bottom w:val="nil"/>
            </w:tcBorders>
            <w:shd w:val="clear" w:color="auto" w:fill="auto"/>
          </w:tcPr>
          <w:p w14:paraId="2267A892" w14:textId="0DC5B516" w:rsidR="0046791C" w:rsidRPr="008F03E5" w:rsidRDefault="0046791C" w:rsidP="000008C6">
            <w:pPr>
              <w:keepNext/>
              <w:rPr>
                <w:sz w:val="18"/>
                <w:szCs w:val="18"/>
              </w:rPr>
            </w:pPr>
            <w:r w:rsidRPr="008F03E5">
              <w:rPr>
                <w:sz w:val="18"/>
                <w:szCs w:val="18"/>
              </w:rPr>
              <w:t>Ḥá’</w:t>
            </w:r>
          </w:p>
        </w:tc>
        <w:tc>
          <w:tcPr>
            <w:tcW w:w="850" w:type="dxa"/>
            <w:tcBorders>
              <w:top w:val="nil"/>
              <w:bottom w:val="nil"/>
            </w:tcBorders>
            <w:shd w:val="clear" w:color="auto" w:fill="auto"/>
          </w:tcPr>
          <w:p w14:paraId="7DBAB9A9" w14:textId="77777777" w:rsidR="0046791C" w:rsidRPr="008F03E5" w:rsidRDefault="0046791C" w:rsidP="000008C6">
            <w:pPr>
              <w:keepNext/>
              <w:jc w:val="center"/>
              <w:rPr>
                <w:sz w:val="18"/>
                <w:szCs w:val="18"/>
              </w:rPr>
            </w:pPr>
            <w:r w:rsidRPr="008F03E5">
              <w:rPr>
                <w:sz w:val="18"/>
                <w:szCs w:val="18"/>
              </w:rPr>
              <w:t>ḥ</w:t>
            </w:r>
          </w:p>
        </w:tc>
        <w:tc>
          <w:tcPr>
            <w:tcW w:w="737" w:type="dxa"/>
            <w:tcBorders>
              <w:top w:val="nil"/>
              <w:bottom w:val="nil"/>
              <w:right w:val="single" w:sz="6" w:space="0" w:color="auto"/>
            </w:tcBorders>
            <w:shd w:val="clear" w:color="auto" w:fill="auto"/>
          </w:tcPr>
          <w:p w14:paraId="7F717350" w14:textId="77777777" w:rsidR="0046791C" w:rsidRPr="008F03E5" w:rsidRDefault="0046791C" w:rsidP="001642C6">
            <w:pPr>
              <w:keepNext/>
              <w:tabs>
                <w:tab w:val="decimal" w:pos="372"/>
              </w:tabs>
              <w:rPr>
                <w:sz w:val="18"/>
                <w:szCs w:val="18"/>
              </w:rPr>
            </w:pPr>
            <w:r w:rsidRPr="008F03E5">
              <w:rPr>
                <w:sz w:val="18"/>
                <w:szCs w:val="18"/>
              </w:rPr>
              <w:t>8</w:t>
            </w:r>
          </w:p>
        </w:tc>
        <w:tc>
          <w:tcPr>
            <w:tcW w:w="624" w:type="dxa"/>
            <w:tcBorders>
              <w:top w:val="nil"/>
              <w:left w:val="single" w:sz="6" w:space="0" w:color="auto"/>
              <w:bottom w:val="nil"/>
            </w:tcBorders>
            <w:shd w:val="clear" w:color="auto" w:fill="auto"/>
          </w:tcPr>
          <w:p w14:paraId="3E61CC0F" w14:textId="77777777" w:rsidR="0046791C" w:rsidRPr="008F03E5" w:rsidRDefault="0046791C" w:rsidP="00254769">
            <w:pPr>
              <w:keepNext/>
              <w:jc w:val="center"/>
              <w:rPr>
                <w:color w:val="FF0000"/>
                <w:sz w:val="18"/>
                <w:szCs w:val="18"/>
              </w:rPr>
            </w:pPr>
            <w:r w:rsidRPr="008F03E5">
              <w:rPr>
                <w:color w:val="FF0000"/>
                <w:sz w:val="18"/>
                <w:szCs w:val="18"/>
                <w:rtl/>
              </w:rPr>
              <w:t>ظ</w:t>
            </w:r>
          </w:p>
        </w:tc>
        <w:tc>
          <w:tcPr>
            <w:tcW w:w="794" w:type="dxa"/>
            <w:tcBorders>
              <w:top w:val="nil"/>
              <w:bottom w:val="nil"/>
            </w:tcBorders>
            <w:shd w:val="clear" w:color="auto" w:fill="auto"/>
          </w:tcPr>
          <w:p w14:paraId="48DE2900" w14:textId="4F56139E" w:rsidR="0046791C" w:rsidRPr="008F03E5" w:rsidRDefault="0046791C" w:rsidP="00BC43A5">
            <w:pPr>
              <w:keepNext/>
              <w:rPr>
                <w:sz w:val="18"/>
                <w:szCs w:val="18"/>
              </w:rPr>
            </w:pPr>
            <w:r w:rsidRPr="008F03E5">
              <w:rPr>
                <w:sz w:val="18"/>
                <w:szCs w:val="18"/>
              </w:rPr>
              <w:t>Ẓá’</w:t>
            </w:r>
          </w:p>
        </w:tc>
        <w:tc>
          <w:tcPr>
            <w:tcW w:w="1020" w:type="dxa"/>
            <w:tcBorders>
              <w:top w:val="nil"/>
              <w:bottom w:val="nil"/>
            </w:tcBorders>
            <w:shd w:val="clear" w:color="auto" w:fill="auto"/>
          </w:tcPr>
          <w:p w14:paraId="0DD7BEC4" w14:textId="77777777" w:rsidR="0046791C" w:rsidRPr="008F03E5" w:rsidRDefault="0046791C" w:rsidP="00254769">
            <w:pPr>
              <w:keepNext/>
              <w:jc w:val="center"/>
              <w:rPr>
                <w:sz w:val="18"/>
                <w:szCs w:val="18"/>
              </w:rPr>
            </w:pPr>
            <w:r w:rsidRPr="008F03E5">
              <w:rPr>
                <w:sz w:val="18"/>
                <w:szCs w:val="18"/>
              </w:rPr>
              <w:t>ẓ</w:t>
            </w:r>
          </w:p>
        </w:tc>
        <w:tc>
          <w:tcPr>
            <w:tcW w:w="737" w:type="dxa"/>
            <w:tcBorders>
              <w:top w:val="nil"/>
              <w:bottom w:val="nil"/>
              <w:right w:val="single" w:sz="6" w:space="0" w:color="auto"/>
            </w:tcBorders>
            <w:shd w:val="clear" w:color="auto" w:fill="auto"/>
          </w:tcPr>
          <w:p w14:paraId="28BE2FE9" w14:textId="77777777" w:rsidR="0046791C" w:rsidRPr="008F03E5" w:rsidRDefault="0046791C" w:rsidP="00254769">
            <w:pPr>
              <w:keepNext/>
              <w:tabs>
                <w:tab w:val="decimal" w:pos="343"/>
              </w:tabs>
              <w:rPr>
                <w:sz w:val="18"/>
                <w:szCs w:val="18"/>
              </w:rPr>
            </w:pPr>
            <w:r w:rsidRPr="008F03E5">
              <w:rPr>
                <w:sz w:val="18"/>
                <w:szCs w:val="18"/>
              </w:rPr>
              <w:t>900</w:t>
            </w:r>
          </w:p>
        </w:tc>
        <w:tc>
          <w:tcPr>
            <w:tcW w:w="510" w:type="dxa"/>
            <w:tcBorders>
              <w:top w:val="nil"/>
              <w:bottom w:val="nil"/>
              <w:right w:val="single" w:sz="4" w:space="0" w:color="auto"/>
            </w:tcBorders>
          </w:tcPr>
          <w:p w14:paraId="2340B4CB" w14:textId="77777777" w:rsidR="0046791C" w:rsidRPr="008F03E5" w:rsidRDefault="0046791C" w:rsidP="00254769">
            <w:pPr>
              <w:keepNext/>
              <w:jc w:val="center"/>
              <w:rPr>
                <w:sz w:val="18"/>
                <w:szCs w:val="18"/>
              </w:rPr>
            </w:pPr>
            <w:r w:rsidRPr="008F03E5">
              <w:rPr>
                <w:sz w:val="18"/>
                <w:szCs w:val="18"/>
                <w:rtl/>
              </w:rPr>
              <w:t>و</w:t>
            </w:r>
          </w:p>
        </w:tc>
        <w:tc>
          <w:tcPr>
            <w:tcW w:w="1247" w:type="dxa"/>
            <w:tcBorders>
              <w:top w:val="nil"/>
              <w:left w:val="single" w:sz="4" w:space="0" w:color="auto"/>
              <w:bottom w:val="nil"/>
              <w:right w:val="single" w:sz="4" w:space="0" w:color="auto"/>
            </w:tcBorders>
          </w:tcPr>
          <w:p w14:paraId="04649D9A" w14:textId="3882712B" w:rsidR="0046791C" w:rsidRPr="008F03E5" w:rsidRDefault="0046791C" w:rsidP="00873BEB">
            <w:pPr>
              <w:keepNext/>
              <w:rPr>
                <w:sz w:val="18"/>
                <w:szCs w:val="18"/>
              </w:rPr>
            </w:pPr>
            <w:r w:rsidRPr="008F03E5">
              <w:rPr>
                <w:sz w:val="18"/>
                <w:szCs w:val="18"/>
              </w:rPr>
              <w:t>Wáw</w:t>
            </w:r>
          </w:p>
        </w:tc>
        <w:tc>
          <w:tcPr>
            <w:tcW w:w="850" w:type="dxa"/>
            <w:tcBorders>
              <w:top w:val="nil"/>
              <w:left w:val="single" w:sz="4" w:space="0" w:color="auto"/>
              <w:bottom w:val="nil"/>
              <w:right w:val="single" w:sz="4" w:space="0" w:color="auto"/>
            </w:tcBorders>
          </w:tcPr>
          <w:p w14:paraId="22FEC5DC" w14:textId="77777777" w:rsidR="0046791C" w:rsidRPr="008F03E5" w:rsidRDefault="0046791C" w:rsidP="00254769">
            <w:pPr>
              <w:keepNext/>
              <w:jc w:val="center"/>
              <w:rPr>
                <w:sz w:val="18"/>
                <w:szCs w:val="18"/>
              </w:rPr>
            </w:pPr>
            <w:r w:rsidRPr="008F03E5">
              <w:rPr>
                <w:sz w:val="18"/>
                <w:szCs w:val="18"/>
              </w:rPr>
              <w:t>w</w:t>
            </w:r>
          </w:p>
        </w:tc>
        <w:tc>
          <w:tcPr>
            <w:tcW w:w="737" w:type="dxa"/>
            <w:tcBorders>
              <w:top w:val="nil"/>
              <w:left w:val="single" w:sz="4" w:space="0" w:color="auto"/>
              <w:bottom w:val="nil"/>
              <w:right w:val="single" w:sz="6" w:space="0" w:color="auto"/>
            </w:tcBorders>
          </w:tcPr>
          <w:p w14:paraId="22F94325" w14:textId="77777777" w:rsidR="0046791C" w:rsidRPr="008F03E5" w:rsidRDefault="0046791C" w:rsidP="00254769">
            <w:pPr>
              <w:keepNext/>
              <w:tabs>
                <w:tab w:val="decimal" w:pos="343"/>
              </w:tabs>
              <w:rPr>
                <w:sz w:val="18"/>
                <w:szCs w:val="18"/>
              </w:rPr>
            </w:pPr>
            <w:r w:rsidRPr="008F03E5">
              <w:rPr>
                <w:sz w:val="18"/>
                <w:szCs w:val="18"/>
              </w:rPr>
              <w:t>6</w:t>
            </w:r>
          </w:p>
        </w:tc>
      </w:tr>
      <w:tr w:rsidR="0046791C" w:rsidRPr="008F03E5" w14:paraId="3AE63608" w14:textId="77777777" w:rsidTr="0046791C">
        <w:trPr>
          <w:jc w:val="center"/>
        </w:trPr>
        <w:tc>
          <w:tcPr>
            <w:tcW w:w="511" w:type="dxa"/>
            <w:tcBorders>
              <w:top w:val="nil"/>
              <w:left w:val="single" w:sz="6" w:space="0" w:color="auto"/>
              <w:bottom w:val="nil"/>
            </w:tcBorders>
            <w:shd w:val="clear" w:color="auto" w:fill="auto"/>
          </w:tcPr>
          <w:p w14:paraId="1FF7811F" w14:textId="77777777" w:rsidR="0046791C" w:rsidRPr="008F03E5" w:rsidRDefault="0046791C" w:rsidP="000008C6">
            <w:pPr>
              <w:keepNext/>
              <w:jc w:val="center"/>
              <w:rPr>
                <w:sz w:val="18"/>
                <w:szCs w:val="18"/>
              </w:rPr>
            </w:pPr>
            <w:r w:rsidRPr="008F03E5">
              <w:rPr>
                <w:sz w:val="18"/>
                <w:szCs w:val="18"/>
                <w:rtl/>
              </w:rPr>
              <w:t>خ</w:t>
            </w:r>
          </w:p>
        </w:tc>
        <w:tc>
          <w:tcPr>
            <w:tcW w:w="737" w:type="dxa"/>
            <w:tcBorders>
              <w:top w:val="nil"/>
              <w:bottom w:val="nil"/>
            </w:tcBorders>
            <w:shd w:val="clear" w:color="auto" w:fill="auto"/>
          </w:tcPr>
          <w:p w14:paraId="75214BD7" w14:textId="1FC482DE" w:rsidR="0046791C" w:rsidRPr="008F03E5" w:rsidRDefault="0046791C" w:rsidP="000008C6">
            <w:pPr>
              <w:keepNext/>
              <w:tabs>
                <w:tab w:val="decimal" w:pos="362"/>
              </w:tabs>
              <w:rPr>
                <w:sz w:val="18"/>
                <w:szCs w:val="18"/>
              </w:rPr>
            </w:pPr>
            <w:r w:rsidRPr="008F03E5">
              <w:rPr>
                <w:sz w:val="18"/>
                <w:szCs w:val="18"/>
                <w:u w:val="single"/>
              </w:rPr>
              <w:t>Kh</w:t>
            </w:r>
            <w:r w:rsidRPr="008F03E5">
              <w:rPr>
                <w:sz w:val="18"/>
                <w:szCs w:val="18"/>
              </w:rPr>
              <w:t>á’</w:t>
            </w:r>
          </w:p>
        </w:tc>
        <w:tc>
          <w:tcPr>
            <w:tcW w:w="850" w:type="dxa"/>
            <w:tcBorders>
              <w:top w:val="nil"/>
              <w:bottom w:val="nil"/>
            </w:tcBorders>
            <w:shd w:val="clear" w:color="auto" w:fill="auto"/>
          </w:tcPr>
          <w:p w14:paraId="19675F2F" w14:textId="77777777" w:rsidR="0046791C" w:rsidRPr="008F03E5" w:rsidRDefault="0046791C" w:rsidP="000008C6">
            <w:pPr>
              <w:keepNext/>
              <w:jc w:val="center"/>
              <w:rPr>
                <w:sz w:val="18"/>
                <w:szCs w:val="18"/>
                <w:u w:val="single"/>
              </w:rPr>
            </w:pPr>
            <w:r w:rsidRPr="008F03E5">
              <w:rPr>
                <w:sz w:val="18"/>
                <w:szCs w:val="18"/>
                <w:u w:val="single"/>
              </w:rPr>
              <w:t>kh</w:t>
            </w:r>
          </w:p>
        </w:tc>
        <w:tc>
          <w:tcPr>
            <w:tcW w:w="737" w:type="dxa"/>
            <w:tcBorders>
              <w:top w:val="nil"/>
              <w:bottom w:val="nil"/>
              <w:right w:val="single" w:sz="6" w:space="0" w:color="auto"/>
            </w:tcBorders>
            <w:shd w:val="clear" w:color="auto" w:fill="auto"/>
          </w:tcPr>
          <w:p w14:paraId="2DBB4D17" w14:textId="77777777" w:rsidR="0046791C" w:rsidRPr="008F03E5" w:rsidRDefault="0046791C" w:rsidP="001642C6">
            <w:pPr>
              <w:keepNext/>
              <w:tabs>
                <w:tab w:val="decimal" w:pos="372"/>
              </w:tabs>
              <w:rPr>
                <w:sz w:val="18"/>
                <w:szCs w:val="18"/>
              </w:rPr>
            </w:pPr>
            <w:r w:rsidRPr="008F03E5">
              <w:rPr>
                <w:sz w:val="18"/>
                <w:szCs w:val="18"/>
              </w:rPr>
              <w:t>600</w:t>
            </w:r>
          </w:p>
        </w:tc>
        <w:tc>
          <w:tcPr>
            <w:tcW w:w="624" w:type="dxa"/>
            <w:tcBorders>
              <w:top w:val="nil"/>
              <w:left w:val="single" w:sz="6" w:space="0" w:color="auto"/>
              <w:bottom w:val="nil"/>
            </w:tcBorders>
            <w:shd w:val="clear" w:color="auto" w:fill="auto"/>
          </w:tcPr>
          <w:p w14:paraId="05893BFB" w14:textId="77777777" w:rsidR="0046791C" w:rsidRPr="008F03E5" w:rsidRDefault="0046791C" w:rsidP="00254769">
            <w:pPr>
              <w:keepNext/>
              <w:jc w:val="center"/>
              <w:rPr>
                <w:sz w:val="18"/>
                <w:szCs w:val="18"/>
              </w:rPr>
            </w:pPr>
            <w:r w:rsidRPr="008F03E5">
              <w:rPr>
                <w:sz w:val="18"/>
                <w:szCs w:val="18"/>
                <w:rtl/>
              </w:rPr>
              <w:t>ع</w:t>
            </w:r>
          </w:p>
        </w:tc>
        <w:tc>
          <w:tcPr>
            <w:tcW w:w="794" w:type="dxa"/>
            <w:tcBorders>
              <w:top w:val="nil"/>
              <w:bottom w:val="nil"/>
            </w:tcBorders>
            <w:shd w:val="clear" w:color="auto" w:fill="auto"/>
          </w:tcPr>
          <w:p w14:paraId="7CCED0BD" w14:textId="6A651BC7" w:rsidR="0046791C" w:rsidRPr="008F03E5" w:rsidRDefault="0046791C" w:rsidP="00BC43A5">
            <w:pPr>
              <w:keepNext/>
              <w:rPr>
                <w:sz w:val="18"/>
                <w:szCs w:val="18"/>
              </w:rPr>
            </w:pPr>
            <w:r w:rsidRPr="008F03E5">
              <w:rPr>
                <w:sz w:val="18"/>
                <w:szCs w:val="18"/>
              </w:rPr>
              <w:t>‘Ayn</w:t>
            </w:r>
          </w:p>
        </w:tc>
        <w:tc>
          <w:tcPr>
            <w:tcW w:w="1020" w:type="dxa"/>
            <w:tcBorders>
              <w:top w:val="nil"/>
              <w:bottom w:val="nil"/>
            </w:tcBorders>
            <w:shd w:val="clear" w:color="auto" w:fill="auto"/>
          </w:tcPr>
          <w:p w14:paraId="252AEA95" w14:textId="77777777" w:rsidR="0046791C" w:rsidRPr="008F03E5" w:rsidRDefault="0046791C" w:rsidP="00254769">
            <w:pPr>
              <w:keepNext/>
              <w:jc w:val="center"/>
              <w:rPr>
                <w:sz w:val="18"/>
                <w:szCs w:val="18"/>
              </w:rPr>
            </w:pPr>
            <w:r w:rsidRPr="008F03E5">
              <w:rPr>
                <w:sz w:val="18"/>
                <w:szCs w:val="18"/>
              </w:rPr>
              <w:t>‘ (left) or `</w:t>
            </w:r>
          </w:p>
        </w:tc>
        <w:tc>
          <w:tcPr>
            <w:tcW w:w="737" w:type="dxa"/>
            <w:tcBorders>
              <w:top w:val="nil"/>
              <w:bottom w:val="nil"/>
              <w:right w:val="single" w:sz="6" w:space="0" w:color="auto"/>
            </w:tcBorders>
            <w:shd w:val="clear" w:color="auto" w:fill="auto"/>
          </w:tcPr>
          <w:p w14:paraId="7A761CC8" w14:textId="77777777" w:rsidR="0046791C" w:rsidRPr="008F03E5" w:rsidRDefault="0046791C" w:rsidP="00254769">
            <w:pPr>
              <w:keepNext/>
              <w:tabs>
                <w:tab w:val="decimal" w:pos="343"/>
              </w:tabs>
              <w:rPr>
                <w:sz w:val="18"/>
                <w:szCs w:val="18"/>
              </w:rPr>
            </w:pPr>
            <w:r w:rsidRPr="008F03E5">
              <w:rPr>
                <w:sz w:val="18"/>
                <w:szCs w:val="18"/>
              </w:rPr>
              <w:t>70</w:t>
            </w:r>
          </w:p>
        </w:tc>
        <w:tc>
          <w:tcPr>
            <w:tcW w:w="510" w:type="dxa"/>
            <w:tcBorders>
              <w:top w:val="nil"/>
              <w:bottom w:val="nil"/>
              <w:right w:val="single" w:sz="4" w:space="0" w:color="auto"/>
            </w:tcBorders>
          </w:tcPr>
          <w:p w14:paraId="203B2FE0" w14:textId="77777777" w:rsidR="0046791C" w:rsidRPr="008F03E5" w:rsidRDefault="0046791C" w:rsidP="00254769">
            <w:pPr>
              <w:keepNext/>
              <w:jc w:val="center"/>
              <w:rPr>
                <w:sz w:val="18"/>
                <w:szCs w:val="18"/>
              </w:rPr>
            </w:pPr>
            <w:r w:rsidRPr="008F03E5">
              <w:rPr>
                <w:sz w:val="18"/>
                <w:szCs w:val="18"/>
                <w:rtl/>
              </w:rPr>
              <w:t>ۈ</w:t>
            </w:r>
          </w:p>
        </w:tc>
        <w:tc>
          <w:tcPr>
            <w:tcW w:w="1247" w:type="dxa"/>
            <w:tcBorders>
              <w:top w:val="nil"/>
              <w:left w:val="single" w:sz="4" w:space="0" w:color="auto"/>
              <w:bottom w:val="nil"/>
              <w:right w:val="single" w:sz="4" w:space="0" w:color="auto"/>
            </w:tcBorders>
          </w:tcPr>
          <w:p w14:paraId="19A86ABC" w14:textId="4A314BFE" w:rsidR="0046791C" w:rsidRPr="008F03E5" w:rsidRDefault="0046791C" w:rsidP="00873BEB">
            <w:pPr>
              <w:keepNext/>
              <w:rPr>
                <w:sz w:val="18"/>
                <w:szCs w:val="18"/>
              </w:rPr>
            </w:pPr>
            <w:r w:rsidRPr="008F03E5">
              <w:rPr>
                <w:sz w:val="18"/>
                <w:szCs w:val="18"/>
              </w:rPr>
              <w:t>Ḍamma wáw</w:t>
            </w:r>
          </w:p>
        </w:tc>
        <w:tc>
          <w:tcPr>
            <w:tcW w:w="850" w:type="dxa"/>
            <w:tcBorders>
              <w:top w:val="nil"/>
              <w:left w:val="single" w:sz="4" w:space="0" w:color="auto"/>
              <w:bottom w:val="nil"/>
              <w:right w:val="single" w:sz="4" w:space="0" w:color="auto"/>
            </w:tcBorders>
          </w:tcPr>
          <w:p w14:paraId="6D137746" w14:textId="77777777" w:rsidR="0046791C" w:rsidRPr="008F03E5" w:rsidRDefault="0046791C" w:rsidP="00254769">
            <w:pPr>
              <w:keepNext/>
              <w:jc w:val="center"/>
              <w:rPr>
                <w:sz w:val="18"/>
                <w:szCs w:val="18"/>
              </w:rPr>
            </w:pPr>
            <w:r w:rsidRPr="008F03E5">
              <w:rPr>
                <w:sz w:val="18"/>
                <w:szCs w:val="18"/>
              </w:rPr>
              <w:t>ú</w:t>
            </w:r>
          </w:p>
        </w:tc>
        <w:tc>
          <w:tcPr>
            <w:tcW w:w="737" w:type="dxa"/>
            <w:tcBorders>
              <w:top w:val="nil"/>
              <w:left w:val="single" w:sz="4" w:space="0" w:color="auto"/>
              <w:bottom w:val="nil"/>
              <w:right w:val="single" w:sz="6" w:space="0" w:color="auto"/>
            </w:tcBorders>
          </w:tcPr>
          <w:p w14:paraId="1ED3B57D" w14:textId="77777777" w:rsidR="0046791C" w:rsidRPr="008F03E5" w:rsidRDefault="0046791C" w:rsidP="00254769">
            <w:pPr>
              <w:keepNext/>
              <w:tabs>
                <w:tab w:val="decimal" w:pos="343"/>
              </w:tabs>
              <w:rPr>
                <w:sz w:val="18"/>
                <w:szCs w:val="18"/>
              </w:rPr>
            </w:pPr>
            <w:r w:rsidRPr="008F03E5">
              <w:rPr>
                <w:sz w:val="18"/>
                <w:szCs w:val="18"/>
              </w:rPr>
              <w:t>6</w:t>
            </w:r>
          </w:p>
        </w:tc>
      </w:tr>
      <w:tr w:rsidR="0046791C" w:rsidRPr="008F03E5" w14:paraId="1314AB95" w14:textId="77777777" w:rsidTr="0046791C">
        <w:trPr>
          <w:jc w:val="center"/>
        </w:trPr>
        <w:tc>
          <w:tcPr>
            <w:tcW w:w="511" w:type="dxa"/>
            <w:tcBorders>
              <w:top w:val="nil"/>
              <w:left w:val="single" w:sz="6" w:space="0" w:color="auto"/>
              <w:bottom w:val="nil"/>
            </w:tcBorders>
            <w:shd w:val="clear" w:color="auto" w:fill="auto"/>
          </w:tcPr>
          <w:p w14:paraId="2CB39E89" w14:textId="77777777" w:rsidR="0046791C" w:rsidRPr="008F03E5" w:rsidRDefault="0046791C" w:rsidP="000008C6">
            <w:pPr>
              <w:keepNext/>
              <w:jc w:val="center"/>
              <w:rPr>
                <w:color w:val="FF0000"/>
                <w:sz w:val="18"/>
                <w:szCs w:val="18"/>
              </w:rPr>
            </w:pPr>
            <w:r w:rsidRPr="008F03E5">
              <w:rPr>
                <w:color w:val="FF0000"/>
                <w:sz w:val="18"/>
                <w:szCs w:val="18"/>
                <w:rtl/>
              </w:rPr>
              <w:t>د</w:t>
            </w:r>
          </w:p>
        </w:tc>
        <w:tc>
          <w:tcPr>
            <w:tcW w:w="737" w:type="dxa"/>
            <w:tcBorders>
              <w:top w:val="nil"/>
              <w:bottom w:val="nil"/>
            </w:tcBorders>
            <w:shd w:val="clear" w:color="auto" w:fill="auto"/>
          </w:tcPr>
          <w:p w14:paraId="01D5A825" w14:textId="50714BF4" w:rsidR="0046791C" w:rsidRPr="008F03E5" w:rsidRDefault="0046791C" w:rsidP="000008C6">
            <w:pPr>
              <w:keepNext/>
              <w:rPr>
                <w:sz w:val="18"/>
                <w:szCs w:val="18"/>
              </w:rPr>
            </w:pPr>
            <w:r w:rsidRPr="008F03E5">
              <w:rPr>
                <w:sz w:val="18"/>
                <w:szCs w:val="18"/>
              </w:rPr>
              <w:t>Dál</w:t>
            </w:r>
          </w:p>
        </w:tc>
        <w:tc>
          <w:tcPr>
            <w:tcW w:w="850" w:type="dxa"/>
            <w:tcBorders>
              <w:top w:val="nil"/>
              <w:bottom w:val="nil"/>
            </w:tcBorders>
            <w:shd w:val="clear" w:color="auto" w:fill="auto"/>
          </w:tcPr>
          <w:p w14:paraId="7CA033A8" w14:textId="77777777" w:rsidR="0046791C" w:rsidRPr="008F03E5" w:rsidRDefault="0046791C" w:rsidP="000008C6">
            <w:pPr>
              <w:keepNext/>
              <w:jc w:val="center"/>
              <w:rPr>
                <w:sz w:val="18"/>
                <w:szCs w:val="18"/>
              </w:rPr>
            </w:pPr>
            <w:r w:rsidRPr="008F03E5">
              <w:rPr>
                <w:sz w:val="18"/>
                <w:szCs w:val="18"/>
              </w:rPr>
              <w:t>d</w:t>
            </w:r>
          </w:p>
        </w:tc>
        <w:tc>
          <w:tcPr>
            <w:tcW w:w="737" w:type="dxa"/>
            <w:tcBorders>
              <w:top w:val="nil"/>
              <w:bottom w:val="nil"/>
              <w:right w:val="single" w:sz="6" w:space="0" w:color="auto"/>
            </w:tcBorders>
            <w:shd w:val="clear" w:color="auto" w:fill="auto"/>
          </w:tcPr>
          <w:p w14:paraId="28EAB849" w14:textId="77777777" w:rsidR="0046791C" w:rsidRPr="008F03E5" w:rsidRDefault="0046791C" w:rsidP="001642C6">
            <w:pPr>
              <w:keepNext/>
              <w:tabs>
                <w:tab w:val="decimal" w:pos="372"/>
              </w:tabs>
              <w:rPr>
                <w:sz w:val="18"/>
                <w:szCs w:val="18"/>
              </w:rPr>
            </w:pPr>
            <w:r w:rsidRPr="008F03E5">
              <w:rPr>
                <w:sz w:val="18"/>
                <w:szCs w:val="18"/>
              </w:rPr>
              <w:t>4</w:t>
            </w:r>
          </w:p>
        </w:tc>
        <w:tc>
          <w:tcPr>
            <w:tcW w:w="624" w:type="dxa"/>
            <w:tcBorders>
              <w:top w:val="nil"/>
              <w:left w:val="single" w:sz="6" w:space="0" w:color="auto"/>
              <w:bottom w:val="nil"/>
            </w:tcBorders>
            <w:shd w:val="clear" w:color="auto" w:fill="auto"/>
          </w:tcPr>
          <w:p w14:paraId="4FAC837D" w14:textId="77777777" w:rsidR="0046791C" w:rsidRPr="008F03E5" w:rsidRDefault="0046791C" w:rsidP="00254769">
            <w:pPr>
              <w:keepNext/>
              <w:jc w:val="center"/>
              <w:rPr>
                <w:sz w:val="18"/>
                <w:szCs w:val="18"/>
              </w:rPr>
            </w:pPr>
            <w:r w:rsidRPr="008F03E5">
              <w:rPr>
                <w:sz w:val="18"/>
                <w:szCs w:val="18"/>
                <w:rtl/>
              </w:rPr>
              <w:t>غ</w:t>
            </w:r>
          </w:p>
        </w:tc>
        <w:tc>
          <w:tcPr>
            <w:tcW w:w="794" w:type="dxa"/>
            <w:tcBorders>
              <w:top w:val="nil"/>
              <w:bottom w:val="nil"/>
            </w:tcBorders>
            <w:shd w:val="clear" w:color="auto" w:fill="auto"/>
          </w:tcPr>
          <w:p w14:paraId="283D2A61" w14:textId="2434A476" w:rsidR="0046791C" w:rsidRPr="008F03E5" w:rsidRDefault="0046791C" w:rsidP="00BC43A5">
            <w:pPr>
              <w:keepNext/>
              <w:tabs>
                <w:tab w:val="decimal" w:pos="416"/>
              </w:tabs>
              <w:rPr>
                <w:sz w:val="18"/>
                <w:szCs w:val="18"/>
              </w:rPr>
            </w:pPr>
            <w:r w:rsidRPr="008F03E5">
              <w:rPr>
                <w:sz w:val="18"/>
                <w:szCs w:val="18"/>
                <w:u w:val="single"/>
              </w:rPr>
              <w:t>Gh</w:t>
            </w:r>
            <w:r w:rsidRPr="008F03E5">
              <w:rPr>
                <w:sz w:val="18"/>
                <w:szCs w:val="18"/>
              </w:rPr>
              <w:t>ayn</w:t>
            </w:r>
          </w:p>
        </w:tc>
        <w:tc>
          <w:tcPr>
            <w:tcW w:w="1020" w:type="dxa"/>
            <w:tcBorders>
              <w:top w:val="nil"/>
              <w:bottom w:val="nil"/>
            </w:tcBorders>
            <w:shd w:val="clear" w:color="auto" w:fill="auto"/>
          </w:tcPr>
          <w:p w14:paraId="4D8F8828" w14:textId="77777777" w:rsidR="0046791C" w:rsidRPr="008F03E5" w:rsidRDefault="0046791C" w:rsidP="00254769">
            <w:pPr>
              <w:keepNext/>
              <w:jc w:val="center"/>
              <w:rPr>
                <w:sz w:val="18"/>
                <w:szCs w:val="18"/>
                <w:u w:val="single"/>
              </w:rPr>
            </w:pPr>
            <w:r w:rsidRPr="008F03E5">
              <w:rPr>
                <w:sz w:val="18"/>
                <w:szCs w:val="18"/>
                <w:u w:val="single"/>
              </w:rPr>
              <w:t>gh</w:t>
            </w:r>
          </w:p>
        </w:tc>
        <w:tc>
          <w:tcPr>
            <w:tcW w:w="737" w:type="dxa"/>
            <w:tcBorders>
              <w:top w:val="nil"/>
              <w:bottom w:val="nil"/>
              <w:right w:val="single" w:sz="6" w:space="0" w:color="auto"/>
            </w:tcBorders>
            <w:shd w:val="clear" w:color="auto" w:fill="auto"/>
          </w:tcPr>
          <w:p w14:paraId="166733DC" w14:textId="77777777" w:rsidR="0046791C" w:rsidRPr="008F03E5" w:rsidRDefault="0046791C" w:rsidP="00254769">
            <w:pPr>
              <w:keepNext/>
              <w:tabs>
                <w:tab w:val="decimal" w:pos="343"/>
              </w:tabs>
              <w:rPr>
                <w:sz w:val="18"/>
                <w:szCs w:val="18"/>
              </w:rPr>
            </w:pPr>
            <w:r w:rsidRPr="008F03E5">
              <w:rPr>
                <w:sz w:val="18"/>
                <w:szCs w:val="18"/>
              </w:rPr>
              <w:t>1,000</w:t>
            </w:r>
          </w:p>
        </w:tc>
        <w:tc>
          <w:tcPr>
            <w:tcW w:w="510" w:type="dxa"/>
            <w:tcBorders>
              <w:top w:val="nil"/>
              <w:bottom w:val="nil"/>
              <w:right w:val="single" w:sz="4" w:space="0" w:color="auto"/>
            </w:tcBorders>
          </w:tcPr>
          <w:p w14:paraId="103D43C9" w14:textId="77777777" w:rsidR="0046791C" w:rsidRPr="008F03E5" w:rsidRDefault="0046791C" w:rsidP="00254769">
            <w:pPr>
              <w:keepNext/>
              <w:jc w:val="center"/>
              <w:rPr>
                <w:sz w:val="18"/>
                <w:szCs w:val="18"/>
              </w:rPr>
            </w:pPr>
            <w:r w:rsidRPr="008F03E5">
              <w:rPr>
                <w:sz w:val="18"/>
                <w:szCs w:val="18"/>
                <w:rtl/>
              </w:rPr>
              <w:t>ى</w:t>
            </w:r>
          </w:p>
        </w:tc>
        <w:tc>
          <w:tcPr>
            <w:tcW w:w="1247" w:type="dxa"/>
            <w:tcBorders>
              <w:top w:val="nil"/>
              <w:left w:val="single" w:sz="4" w:space="0" w:color="auto"/>
              <w:bottom w:val="nil"/>
              <w:right w:val="single" w:sz="4" w:space="0" w:color="auto"/>
            </w:tcBorders>
          </w:tcPr>
          <w:p w14:paraId="195E26BA" w14:textId="28A66972" w:rsidR="0046791C" w:rsidRPr="008F03E5" w:rsidRDefault="0046791C" w:rsidP="00873BEB">
            <w:pPr>
              <w:keepNext/>
              <w:rPr>
                <w:sz w:val="18"/>
                <w:szCs w:val="18"/>
              </w:rPr>
            </w:pPr>
            <w:r w:rsidRPr="008F03E5">
              <w:rPr>
                <w:sz w:val="18"/>
                <w:szCs w:val="18"/>
              </w:rPr>
              <w:t>Alif maqṣúra</w:t>
            </w:r>
          </w:p>
        </w:tc>
        <w:tc>
          <w:tcPr>
            <w:tcW w:w="850" w:type="dxa"/>
            <w:tcBorders>
              <w:top w:val="nil"/>
              <w:left w:val="single" w:sz="4" w:space="0" w:color="auto"/>
              <w:bottom w:val="nil"/>
              <w:right w:val="single" w:sz="4" w:space="0" w:color="auto"/>
            </w:tcBorders>
          </w:tcPr>
          <w:p w14:paraId="4C006398" w14:textId="77777777" w:rsidR="0046791C" w:rsidRPr="008F03E5" w:rsidRDefault="0046791C" w:rsidP="00254769">
            <w:pPr>
              <w:keepNext/>
              <w:jc w:val="center"/>
              <w:rPr>
                <w:sz w:val="18"/>
                <w:szCs w:val="18"/>
              </w:rPr>
            </w:pPr>
            <w:r w:rsidRPr="008F03E5">
              <w:rPr>
                <w:sz w:val="18"/>
                <w:szCs w:val="18"/>
              </w:rPr>
              <w:t>y</w:t>
            </w:r>
          </w:p>
        </w:tc>
        <w:tc>
          <w:tcPr>
            <w:tcW w:w="737" w:type="dxa"/>
            <w:tcBorders>
              <w:top w:val="nil"/>
              <w:left w:val="single" w:sz="4" w:space="0" w:color="auto"/>
              <w:bottom w:val="nil"/>
              <w:right w:val="single" w:sz="6" w:space="0" w:color="auto"/>
            </w:tcBorders>
          </w:tcPr>
          <w:p w14:paraId="45F996A2" w14:textId="77777777" w:rsidR="0046791C" w:rsidRPr="008F03E5" w:rsidRDefault="0046791C" w:rsidP="00254769">
            <w:pPr>
              <w:keepNext/>
              <w:tabs>
                <w:tab w:val="decimal" w:pos="343"/>
              </w:tabs>
              <w:rPr>
                <w:sz w:val="18"/>
                <w:szCs w:val="18"/>
              </w:rPr>
            </w:pPr>
            <w:r w:rsidRPr="008F03E5">
              <w:rPr>
                <w:sz w:val="18"/>
                <w:szCs w:val="18"/>
              </w:rPr>
              <w:t>10</w:t>
            </w:r>
          </w:p>
        </w:tc>
      </w:tr>
      <w:tr w:rsidR="0046791C" w:rsidRPr="008F03E5" w14:paraId="5524CAA6" w14:textId="77777777" w:rsidTr="0046791C">
        <w:trPr>
          <w:jc w:val="center"/>
        </w:trPr>
        <w:tc>
          <w:tcPr>
            <w:tcW w:w="511" w:type="dxa"/>
            <w:tcBorders>
              <w:top w:val="nil"/>
              <w:left w:val="single" w:sz="6" w:space="0" w:color="auto"/>
              <w:bottom w:val="nil"/>
            </w:tcBorders>
            <w:shd w:val="clear" w:color="auto" w:fill="auto"/>
          </w:tcPr>
          <w:p w14:paraId="1B0727BB" w14:textId="77777777" w:rsidR="0046791C" w:rsidRPr="008F03E5" w:rsidRDefault="0046791C" w:rsidP="000008C6">
            <w:pPr>
              <w:keepNext/>
              <w:jc w:val="center"/>
              <w:rPr>
                <w:color w:val="FF0000"/>
                <w:sz w:val="18"/>
                <w:szCs w:val="18"/>
              </w:rPr>
            </w:pPr>
            <w:r w:rsidRPr="008F03E5">
              <w:rPr>
                <w:color w:val="FF0000"/>
                <w:sz w:val="18"/>
                <w:szCs w:val="18"/>
                <w:rtl/>
              </w:rPr>
              <w:t>ذ</w:t>
            </w:r>
          </w:p>
        </w:tc>
        <w:tc>
          <w:tcPr>
            <w:tcW w:w="737" w:type="dxa"/>
            <w:tcBorders>
              <w:top w:val="nil"/>
              <w:bottom w:val="nil"/>
            </w:tcBorders>
            <w:shd w:val="clear" w:color="auto" w:fill="auto"/>
          </w:tcPr>
          <w:p w14:paraId="7C8BF80A" w14:textId="134CEEEE" w:rsidR="0046791C" w:rsidRPr="008F03E5" w:rsidRDefault="0046791C" w:rsidP="000008C6">
            <w:pPr>
              <w:keepNext/>
              <w:tabs>
                <w:tab w:val="decimal" w:pos="362"/>
              </w:tabs>
              <w:rPr>
                <w:sz w:val="18"/>
                <w:szCs w:val="18"/>
              </w:rPr>
            </w:pPr>
            <w:r w:rsidRPr="008F03E5">
              <w:rPr>
                <w:sz w:val="18"/>
                <w:szCs w:val="18"/>
                <w:u w:val="single"/>
              </w:rPr>
              <w:t>Dh</w:t>
            </w:r>
            <w:r w:rsidRPr="008F03E5">
              <w:rPr>
                <w:sz w:val="18"/>
                <w:szCs w:val="18"/>
              </w:rPr>
              <w:t>ál</w:t>
            </w:r>
          </w:p>
        </w:tc>
        <w:tc>
          <w:tcPr>
            <w:tcW w:w="850" w:type="dxa"/>
            <w:tcBorders>
              <w:top w:val="nil"/>
              <w:bottom w:val="nil"/>
            </w:tcBorders>
            <w:shd w:val="clear" w:color="auto" w:fill="auto"/>
          </w:tcPr>
          <w:p w14:paraId="20B77FEF" w14:textId="77777777" w:rsidR="0046791C" w:rsidRPr="008F03E5" w:rsidRDefault="0046791C" w:rsidP="000008C6">
            <w:pPr>
              <w:keepNext/>
              <w:jc w:val="center"/>
              <w:rPr>
                <w:sz w:val="18"/>
                <w:szCs w:val="18"/>
                <w:u w:val="single"/>
              </w:rPr>
            </w:pPr>
            <w:r w:rsidRPr="008F03E5">
              <w:rPr>
                <w:sz w:val="18"/>
                <w:szCs w:val="18"/>
                <w:u w:val="single"/>
              </w:rPr>
              <w:t>dh</w:t>
            </w:r>
          </w:p>
        </w:tc>
        <w:tc>
          <w:tcPr>
            <w:tcW w:w="737" w:type="dxa"/>
            <w:tcBorders>
              <w:top w:val="nil"/>
              <w:bottom w:val="nil"/>
              <w:right w:val="single" w:sz="6" w:space="0" w:color="auto"/>
            </w:tcBorders>
            <w:shd w:val="clear" w:color="auto" w:fill="auto"/>
          </w:tcPr>
          <w:p w14:paraId="3AB3C7AB" w14:textId="77777777" w:rsidR="0046791C" w:rsidRPr="008F03E5" w:rsidRDefault="0046791C" w:rsidP="001642C6">
            <w:pPr>
              <w:keepNext/>
              <w:tabs>
                <w:tab w:val="decimal" w:pos="372"/>
              </w:tabs>
              <w:rPr>
                <w:sz w:val="18"/>
                <w:szCs w:val="18"/>
              </w:rPr>
            </w:pPr>
            <w:r w:rsidRPr="008F03E5">
              <w:rPr>
                <w:sz w:val="18"/>
                <w:szCs w:val="18"/>
              </w:rPr>
              <w:t>700</w:t>
            </w:r>
          </w:p>
        </w:tc>
        <w:tc>
          <w:tcPr>
            <w:tcW w:w="624" w:type="dxa"/>
            <w:tcBorders>
              <w:top w:val="nil"/>
              <w:left w:val="single" w:sz="6" w:space="0" w:color="auto"/>
              <w:bottom w:val="nil"/>
            </w:tcBorders>
            <w:shd w:val="clear" w:color="auto" w:fill="auto"/>
          </w:tcPr>
          <w:p w14:paraId="1DFFCEC7" w14:textId="77777777" w:rsidR="0046791C" w:rsidRPr="008F03E5" w:rsidRDefault="0046791C" w:rsidP="00254769">
            <w:pPr>
              <w:keepNext/>
              <w:jc w:val="center"/>
              <w:rPr>
                <w:sz w:val="18"/>
                <w:szCs w:val="18"/>
              </w:rPr>
            </w:pPr>
            <w:r w:rsidRPr="008F03E5">
              <w:rPr>
                <w:sz w:val="18"/>
                <w:szCs w:val="18"/>
                <w:rtl/>
              </w:rPr>
              <w:t>ف</w:t>
            </w:r>
          </w:p>
        </w:tc>
        <w:tc>
          <w:tcPr>
            <w:tcW w:w="794" w:type="dxa"/>
            <w:tcBorders>
              <w:top w:val="nil"/>
              <w:bottom w:val="nil"/>
            </w:tcBorders>
            <w:shd w:val="clear" w:color="auto" w:fill="auto"/>
          </w:tcPr>
          <w:p w14:paraId="79AC7218" w14:textId="23510382" w:rsidR="0046791C" w:rsidRPr="008F03E5" w:rsidRDefault="0046791C" w:rsidP="00BC43A5">
            <w:pPr>
              <w:keepNext/>
              <w:rPr>
                <w:sz w:val="18"/>
                <w:szCs w:val="18"/>
              </w:rPr>
            </w:pPr>
            <w:r w:rsidRPr="008F03E5">
              <w:rPr>
                <w:sz w:val="18"/>
                <w:szCs w:val="18"/>
              </w:rPr>
              <w:t>Fá’</w:t>
            </w:r>
          </w:p>
        </w:tc>
        <w:tc>
          <w:tcPr>
            <w:tcW w:w="1020" w:type="dxa"/>
            <w:tcBorders>
              <w:top w:val="nil"/>
              <w:bottom w:val="nil"/>
            </w:tcBorders>
            <w:shd w:val="clear" w:color="auto" w:fill="auto"/>
          </w:tcPr>
          <w:p w14:paraId="67A1FFB2" w14:textId="77777777" w:rsidR="0046791C" w:rsidRPr="008F03E5" w:rsidRDefault="0046791C" w:rsidP="00254769">
            <w:pPr>
              <w:keepNext/>
              <w:jc w:val="center"/>
              <w:rPr>
                <w:sz w:val="18"/>
                <w:szCs w:val="18"/>
              </w:rPr>
            </w:pPr>
            <w:r w:rsidRPr="008F03E5">
              <w:rPr>
                <w:sz w:val="18"/>
                <w:szCs w:val="18"/>
              </w:rPr>
              <w:t>f</w:t>
            </w:r>
          </w:p>
        </w:tc>
        <w:tc>
          <w:tcPr>
            <w:tcW w:w="737" w:type="dxa"/>
            <w:tcBorders>
              <w:top w:val="nil"/>
              <w:bottom w:val="nil"/>
              <w:right w:val="single" w:sz="6" w:space="0" w:color="auto"/>
            </w:tcBorders>
            <w:shd w:val="clear" w:color="auto" w:fill="auto"/>
          </w:tcPr>
          <w:p w14:paraId="4CDB4EF7" w14:textId="77777777" w:rsidR="0046791C" w:rsidRPr="008F03E5" w:rsidRDefault="0046791C" w:rsidP="00254769">
            <w:pPr>
              <w:keepNext/>
              <w:tabs>
                <w:tab w:val="decimal" w:pos="343"/>
              </w:tabs>
              <w:rPr>
                <w:sz w:val="18"/>
                <w:szCs w:val="18"/>
              </w:rPr>
            </w:pPr>
            <w:r w:rsidRPr="008F03E5">
              <w:rPr>
                <w:sz w:val="18"/>
                <w:szCs w:val="18"/>
              </w:rPr>
              <w:t>80</w:t>
            </w:r>
          </w:p>
        </w:tc>
        <w:tc>
          <w:tcPr>
            <w:tcW w:w="510" w:type="dxa"/>
            <w:tcBorders>
              <w:top w:val="nil"/>
              <w:bottom w:val="nil"/>
              <w:right w:val="single" w:sz="4" w:space="0" w:color="auto"/>
            </w:tcBorders>
          </w:tcPr>
          <w:p w14:paraId="14714AE0" w14:textId="77777777" w:rsidR="0046791C" w:rsidRPr="008F03E5" w:rsidRDefault="0046791C" w:rsidP="00254769">
            <w:pPr>
              <w:keepNext/>
              <w:jc w:val="center"/>
              <w:rPr>
                <w:sz w:val="18"/>
                <w:szCs w:val="18"/>
              </w:rPr>
            </w:pPr>
            <w:r w:rsidRPr="008F03E5">
              <w:rPr>
                <w:sz w:val="18"/>
                <w:szCs w:val="18"/>
                <w:rtl/>
              </w:rPr>
              <w:t>ي</w:t>
            </w:r>
          </w:p>
        </w:tc>
        <w:tc>
          <w:tcPr>
            <w:tcW w:w="1247" w:type="dxa"/>
            <w:tcBorders>
              <w:top w:val="nil"/>
              <w:left w:val="single" w:sz="4" w:space="0" w:color="auto"/>
              <w:bottom w:val="nil"/>
              <w:right w:val="single" w:sz="4" w:space="0" w:color="auto"/>
            </w:tcBorders>
          </w:tcPr>
          <w:p w14:paraId="5952317D" w14:textId="01702C61" w:rsidR="0046791C" w:rsidRPr="008F03E5" w:rsidRDefault="0046791C" w:rsidP="00873BEB">
            <w:pPr>
              <w:keepNext/>
              <w:rPr>
                <w:sz w:val="18"/>
                <w:szCs w:val="18"/>
              </w:rPr>
            </w:pPr>
            <w:r w:rsidRPr="008F03E5">
              <w:rPr>
                <w:sz w:val="18"/>
                <w:szCs w:val="18"/>
              </w:rPr>
              <w:t>Kasra Yá’</w:t>
            </w:r>
          </w:p>
        </w:tc>
        <w:tc>
          <w:tcPr>
            <w:tcW w:w="850" w:type="dxa"/>
            <w:tcBorders>
              <w:top w:val="nil"/>
              <w:left w:val="single" w:sz="4" w:space="0" w:color="auto"/>
              <w:bottom w:val="nil"/>
              <w:right w:val="single" w:sz="4" w:space="0" w:color="auto"/>
            </w:tcBorders>
          </w:tcPr>
          <w:p w14:paraId="41417881" w14:textId="77777777" w:rsidR="0046791C" w:rsidRPr="008F03E5" w:rsidRDefault="0046791C" w:rsidP="00254769">
            <w:pPr>
              <w:keepNext/>
              <w:jc w:val="center"/>
              <w:rPr>
                <w:sz w:val="18"/>
                <w:szCs w:val="18"/>
              </w:rPr>
            </w:pPr>
            <w:r w:rsidRPr="008F03E5">
              <w:rPr>
                <w:sz w:val="18"/>
                <w:szCs w:val="18"/>
              </w:rPr>
              <w:t>í</w:t>
            </w:r>
          </w:p>
        </w:tc>
        <w:tc>
          <w:tcPr>
            <w:tcW w:w="737" w:type="dxa"/>
            <w:tcBorders>
              <w:top w:val="nil"/>
              <w:left w:val="single" w:sz="4" w:space="0" w:color="auto"/>
              <w:bottom w:val="nil"/>
              <w:right w:val="single" w:sz="6" w:space="0" w:color="auto"/>
            </w:tcBorders>
          </w:tcPr>
          <w:p w14:paraId="07B8BC84" w14:textId="77777777" w:rsidR="0046791C" w:rsidRPr="008F03E5" w:rsidRDefault="0046791C" w:rsidP="00254769">
            <w:pPr>
              <w:keepNext/>
              <w:tabs>
                <w:tab w:val="decimal" w:pos="343"/>
              </w:tabs>
              <w:rPr>
                <w:sz w:val="18"/>
                <w:szCs w:val="18"/>
              </w:rPr>
            </w:pPr>
            <w:r w:rsidRPr="008F03E5">
              <w:rPr>
                <w:sz w:val="18"/>
                <w:szCs w:val="18"/>
              </w:rPr>
              <w:t>10</w:t>
            </w:r>
          </w:p>
        </w:tc>
      </w:tr>
      <w:tr w:rsidR="0046791C" w:rsidRPr="008F03E5" w14:paraId="0337E3F8" w14:textId="77777777" w:rsidTr="0046791C">
        <w:trPr>
          <w:jc w:val="center"/>
        </w:trPr>
        <w:tc>
          <w:tcPr>
            <w:tcW w:w="511" w:type="dxa"/>
            <w:tcBorders>
              <w:top w:val="nil"/>
              <w:left w:val="single" w:sz="6" w:space="0" w:color="auto"/>
              <w:bottom w:val="nil"/>
            </w:tcBorders>
            <w:shd w:val="clear" w:color="auto" w:fill="auto"/>
          </w:tcPr>
          <w:p w14:paraId="7F7F3311" w14:textId="77777777" w:rsidR="0046791C" w:rsidRPr="008F03E5" w:rsidRDefault="0046791C" w:rsidP="000008C6">
            <w:pPr>
              <w:keepNext/>
              <w:jc w:val="center"/>
              <w:rPr>
                <w:color w:val="FF0000"/>
                <w:sz w:val="18"/>
                <w:szCs w:val="18"/>
              </w:rPr>
            </w:pPr>
            <w:r w:rsidRPr="008F03E5">
              <w:rPr>
                <w:color w:val="FF0000"/>
                <w:sz w:val="18"/>
                <w:szCs w:val="18"/>
                <w:rtl/>
              </w:rPr>
              <w:t>ر</w:t>
            </w:r>
          </w:p>
        </w:tc>
        <w:tc>
          <w:tcPr>
            <w:tcW w:w="737" w:type="dxa"/>
            <w:tcBorders>
              <w:top w:val="nil"/>
              <w:bottom w:val="nil"/>
            </w:tcBorders>
            <w:shd w:val="clear" w:color="auto" w:fill="auto"/>
          </w:tcPr>
          <w:p w14:paraId="4DD7218A" w14:textId="2E517400" w:rsidR="0046791C" w:rsidRPr="008F03E5" w:rsidRDefault="0046791C" w:rsidP="000008C6">
            <w:pPr>
              <w:keepNext/>
              <w:rPr>
                <w:sz w:val="18"/>
                <w:szCs w:val="18"/>
              </w:rPr>
            </w:pPr>
            <w:r w:rsidRPr="008F03E5">
              <w:rPr>
                <w:sz w:val="18"/>
                <w:szCs w:val="18"/>
              </w:rPr>
              <w:t>Rá’</w:t>
            </w:r>
          </w:p>
        </w:tc>
        <w:tc>
          <w:tcPr>
            <w:tcW w:w="850" w:type="dxa"/>
            <w:tcBorders>
              <w:top w:val="nil"/>
              <w:bottom w:val="nil"/>
            </w:tcBorders>
            <w:shd w:val="clear" w:color="auto" w:fill="auto"/>
          </w:tcPr>
          <w:p w14:paraId="512E8978" w14:textId="77777777" w:rsidR="0046791C" w:rsidRPr="008F03E5" w:rsidRDefault="0046791C" w:rsidP="000008C6">
            <w:pPr>
              <w:keepNext/>
              <w:jc w:val="center"/>
              <w:rPr>
                <w:sz w:val="18"/>
                <w:szCs w:val="18"/>
              </w:rPr>
            </w:pPr>
            <w:r w:rsidRPr="008F03E5">
              <w:rPr>
                <w:sz w:val="18"/>
                <w:szCs w:val="18"/>
              </w:rPr>
              <w:t>r</w:t>
            </w:r>
          </w:p>
        </w:tc>
        <w:tc>
          <w:tcPr>
            <w:tcW w:w="737" w:type="dxa"/>
            <w:tcBorders>
              <w:top w:val="nil"/>
              <w:bottom w:val="nil"/>
              <w:right w:val="single" w:sz="6" w:space="0" w:color="auto"/>
            </w:tcBorders>
            <w:shd w:val="clear" w:color="auto" w:fill="auto"/>
          </w:tcPr>
          <w:p w14:paraId="015C8E60" w14:textId="77777777" w:rsidR="0046791C" w:rsidRPr="008F03E5" w:rsidRDefault="0046791C" w:rsidP="001642C6">
            <w:pPr>
              <w:keepNext/>
              <w:tabs>
                <w:tab w:val="decimal" w:pos="372"/>
              </w:tabs>
              <w:rPr>
                <w:sz w:val="18"/>
                <w:szCs w:val="18"/>
              </w:rPr>
            </w:pPr>
            <w:r w:rsidRPr="008F03E5">
              <w:rPr>
                <w:sz w:val="18"/>
                <w:szCs w:val="18"/>
              </w:rPr>
              <w:t>200</w:t>
            </w:r>
          </w:p>
        </w:tc>
        <w:tc>
          <w:tcPr>
            <w:tcW w:w="624" w:type="dxa"/>
            <w:tcBorders>
              <w:top w:val="nil"/>
              <w:left w:val="single" w:sz="6" w:space="0" w:color="auto"/>
              <w:bottom w:val="single" w:sz="8" w:space="0" w:color="auto"/>
            </w:tcBorders>
            <w:shd w:val="clear" w:color="auto" w:fill="auto"/>
          </w:tcPr>
          <w:p w14:paraId="56CE9AD1" w14:textId="77777777" w:rsidR="0046791C" w:rsidRPr="008F03E5" w:rsidRDefault="0046791C" w:rsidP="00254769">
            <w:pPr>
              <w:keepNext/>
              <w:jc w:val="center"/>
              <w:rPr>
                <w:sz w:val="18"/>
                <w:szCs w:val="18"/>
              </w:rPr>
            </w:pPr>
            <w:r w:rsidRPr="008F03E5">
              <w:rPr>
                <w:sz w:val="18"/>
                <w:szCs w:val="18"/>
                <w:rtl/>
              </w:rPr>
              <w:t>ق</w:t>
            </w:r>
          </w:p>
        </w:tc>
        <w:tc>
          <w:tcPr>
            <w:tcW w:w="794" w:type="dxa"/>
            <w:tcBorders>
              <w:top w:val="nil"/>
              <w:bottom w:val="single" w:sz="8" w:space="0" w:color="auto"/>
            </w:tcBorders>
            <w:shd w:val="clear" w:color="auto" w:fill="auto"/>
          </w:tcPr>
          <w:p w14:paraId="4F1628A1" w14:textId="03B5799C" w:rsidR="0046791C" w:rsidRPr="008F03E5" w:rsidRDefault="0046791C" w:rsidP="00BC43A5">
            <w:pPr>
              <w:keepNext/>
              <w:rPr>
                <w:sz w:val="18"/>
                <w:szCs w:val="18"/>
              </w:rPr>
            </w:pPr>
            <w:r w:rsidRPr="008F03E5">
              <w:rPr>
                <w:sz w:val="18"/>
                <w:szCs w:val="18"/>
              </w:rPr>
              <w:t>Qáf</w:t>
            </w:r>
          </w:p>
        </w:tc>
        <w:tc>
          <w:tcPr>
            <w:tcW w:w="1020" w:type="dxa"/>
            <w:tcBorders>
              <w:top w:val="nil"/>
              <w:bottom w:val="single" w:sz="8" w:space="0" w:color="auto"/>
            </w:tcBorders>
            <w:shd w:val="clear" w:color="auto" w:fill="auto"/>
          </w:tcPr>
          <w:p w14:paraId="20219297" w14:textId="77777777" w:rsidR="0046791C" w:rsidRPr="008F03E5" w:rsidRDefault="0046791C" w:rsidP="00254769">
            <w:pPr>
              <w:keepNext/>
              <w:jc w:val="center"/>
              <w:rPr>
                <w:sz w:val="18"/>
                <w:szCs w:val="18"/>
              </w:rPr>
            </w:pPr>
            <w:r w:rsidRPr="008F03E5">
              <w:rPr>
                <w:sz w:val="18"/>
                <w:szCs w:val="18"/>
              </w:rPr>
              <w:t>q</w:t>
            </w:r>
          </w:p>
        </w:tc>
        <w:tc>
          <w:tcPr>
            <w:tcW w:w="737" w:type="dxa"/>
            <w:tcBorders>
              <w:top w:val="nil"/>
              <w:bottom w:val="single" w:sz="8" w:space="0" w:color="auto"/>
              <w:right w:val="single" w:sz="6" w:space="0" w:color="auto"/>
            </w:tcBorders>
            <w:shd w:val="clear" w:color="auto" w:fill="auto"/>
          </w:tcPr>
          <w:p w14:paraId="43016620" w14:textId="77777777" w:rsidR="0046791C" w:rsidRPr="008F03E5" w:rsidRDefault="0046791C" w:rsidP="00254769">
            <w:pPr>
              <w:keepNext/>
              <w:tabs>
                <w:tab w:val="decimal" w:pos="343"/>
              </w:tabs>
              <w:rPr>
                <w:sz w:val="18"/>
                <w:szCs w:val="18"/>
              </w:rPr>
            </w:pPr>
            <w:r w:rsidRPr="008F03E5">
              <w:rPr>
                <w:sz w:val="18"/>
                <w:szCs w:val="18"/>
              </w:rPr>
              <w:t>100</w:t>
            </w:r>
          </w:p>
        </w:tc>
        <w:tc>
          <w:tcPr>
            <w:tcW w:w="510" w:type="dxa"/>
            <w:tcBorders>
              <w:top w:val="nil"/>
              <w:bottom w:val="single" w:sz="6" w:space="0" w:color="auto"/>
              <w:right w:val="single" w:sz="4" w:space="0" w:color="auto"/>
            </w:tcBorders>
          </w:tcPr>
          <w:p w14:paraId="27B7A71A" w14:textId="77777777" w:rsidR="0046791C" w:rsidRPr="008F03E5" w:rsidRDefault="0046791C" w:rsidP="00254769">
            <w:pPr>
              <w:keepNext/>
              <w:jc w:val="center"/>
              <w:rPr>
                <w:sz w:val="18"/>
                <w:szCs w:val="18"/>
              </w:rPr>
            </w:pPr>
            <w:r w:rsidRPr="008F03E5">
              <w:rPr>
                <w:sz w:val="18"/>
                <w:szCs w:val="18"/>
                <w:rtl/>
              </w:rPr>
              <w:t>ء</w:t>
            </w:r>
          </w:p>
        </w:tc>
        <w:tc>
          <w:tcPr>
            <w:tcW w:w="1247" w:type="dxa"/>
            <w:tcBorders>
              <w:top w:val="nil"/>
              <w:left w:val="single" w:sz="4" w:space="0" w:color="auto"/>
              <w:bottom w:val="single" w:sz="6" w:space="0" w:color="auto"/>
              <w:right w:val="single" w:sz="4" w:space="0" w:color="auto"/>
            </w:tcBorders>
          </w:tcPr>
          <w:p w14:paraId="4B92633E" w14:textId="4386A189" w:rsidR="0046791C" w:rsidRPr="008F03E5" w:rsidRDefault="0046791C" w:rsidP="00873BEB">
            <w:pPr>
              <w:keepNext/>
              <w:rPr>
                <w:sz w:val="18"/>
                <w:szCs w:val="18"/>
              </w:rPr>
            </w:pPr>
            <w:r w:rsidRPr="008F03E5">
              <w:rPr>
                <w:sz w:val="18"/>
                <w:szCs w:val="18"/>
              </w:rPr>
              <w:t>Hamza</w:t>
            </w:r>
          </w:p>
        </w:tc>
        <w:tc>
          <w:tcPr>
            <w:tcW w:w="850" w:type="dxa"/>
            <w:tcBorders>
              <w:top w:val="nil"/>
              <w:left w:val="single" w:sz="4" w:space="0" w:color="auto"/>
              <w:bottom w:val="single" w:sz="6" w:space="0" w:color="auto"/>
              <w:right w:val="single" w:sz="4" w:space="0" w:color="auto"/>
            </w:tcBorders>
          </w:tcPr>
          <w:p w14:paraId="49F61059" w14:textId="77777777" w:rsidR="0046791C" w:rsidRPr="008F03E5" w:rsidRDefault="0046791C" w:rsidP="00254769">
            <w:pPr>
              <w:keepNext/>
              <w:jc w:val="center"/>
              <w:rPr>
                <w:sz w:val="18"/>
                <w:szCs w:val="18"/>
              </w:rPr>
            </w:pPr>
            <w:r w:rsidRPr="008F03E5">
              <w:rPr>
                <w:sz w:val="18"/>
                <w:szCs w:val="18"/>
              </w:rPr>
              <w:t>’ (right)</w:t>
            </w:r>
          </w:p>
        </w:tc>
        <w:tc>
          <w:tcPr>
            <w:tcW w:w="737" w:type="dxa"/>
            <w:tcBorders>
              <w:top w:val="nil"/>
              <w:left w:val="single" w:sz="4" w:space="0" w:color="auto"/>
              <w:bottom w:val="single" w:sz="6" w:space="0" w:color="auto"/>
              <w:right w:val="single" w:sz="6" w:space="0" w:color="auto"/>
            </w:tcBorders>
          </w:tcPr>
          <w:p w14:paraId="7FDE0377" w14:textId="1553CB15" w:rsidR="0046791C" w:rsidRPr="008F03E5" w:rsidRDefault="0046791C" w:rsidP="00254769">
            <w:pPr>
              <w:keepNext/>
              <w:jc w:val="center"/>
              <w:rPr>
                <w:sz w:val="18"/>
                <w:szCs w:val="18"/>
              </w:rPr>
            </w:pPr>
            <w:r>
              <w:rPr>
                <w:sz w:val="18"/>
                <w:szCs w:val="18"/>
              </w:rPr>
              <w:t>1</w:t>
            </w:r>
            <w:r w:rsidR="003E1CE9" w:rsidRPr="00442EAD">
              <w:rPr>
                <w:rStyle w:val="FootnoteReference"/>
              </w:rPr>
              <w:footnoteReference w:id="27"/>
            </w:r>
          </w:p>
        </w:tc>
      </w:tr>
      <w:tr w:rsidR="0046791C" w:rsidRPr="008F03E5" w14:paraId="585703B9" w14:textId="77777777" w:rsidTr="0046791C">
        <w:trPr>
          <w:jc w:val="center"/>
        </w:trPr>
        <w:tc>
          <w:tcPr>
            <w:tcW w:w="511" w:type="dxa"/>
            <w:tcBorders>
              <w:top w:val="nil"/>
              <w:left w:val="single" w:sz="6" w:space="0" w:color="auto"/>
              <w:bottom w:val="single" w:sz="8" w:space="0" w:color="auto"/>
            </w:tcBorders>
            <w:shd w:val="clear" w:color="auto" w:fill="auto"/>
          </w:tcPr>
          <w:p w14:paraId="12315EC3" w14:textId="77777777" w:rsidR="0046791C" w:rsidRPr="008F03E5" w:rsidRDefault="0046791C" w:rsidP="000008C6">
            <w:pPr>
              <w:keepNext/>
              <w:jc w:val="center"/>
              <w:rPr>
                <w:color w:val="FF0000"/>
                <w:sz w:val="18"/>
                <w:szCs w:val="18"/>
              </w:rPr>
            </w:pPr>
            <w:r w:rsidRPr="008F03E5">
              <w:rPr>
                <w:color w:val="FF0000"/>
                <w:sz w:val="18"/>
                <w:szCs w:val="18"/>
                <w:rtl/>
              </w:rPr>
              <w:t>ز</w:t>
            </w:r>
          </w:p>
        </w:tc>
        <w:tc>
          <w:tcPr>
            <w:tcW w:w="737" w:type="dxa"/>
            <w:tcBorders>
              <w:top w:val="nil"/>
              <w:bottom w:val="single" w:sz="8" w:space="0" w:color="auto"/>
            </w:tcBorders>
            <w:shd w:val="clear" w:color="auto" w:fill="auto"/>
          </w:tcPr>
          <w:p w14:paraId="0B0D2521" w14:textId="6058D8CC" w:rsidR="0046791C" w:rsidRPr="008F03E5" w:rsidRDefault="0046791C" w:rsidP="000008C6">
            <w:pPr>
              <w:keepNext/>
              <w:rPr>
                <w:sz w:val="18"/>
                <w:szCs w:val="18"/>
              </w:rPr>
            </w:pPr>
            <w:r w:rsidRPr="008F03E5">
              <w:rPr>
                <w:sz w:val="18"/>
                <w:szCs w:val="18"/>
              </w:rPr>
              <w:t>Záy</w:t>
            </w:r>
          </w:p>
        </w:tc>
        <w:tc>
          <w:tcPr>
            <w:tcW w:w="850" w:type="dxa"/>
            <w:tcBorders>
              <w:top w:val="nil"/>
              <w:bottom w:val="single" w:sz="8" w:space="0" w:color="auto"/>
            </w:tcBorders>
            <w:shd w:val="clear" w:color="auto" w:fill="auto"/>
          </w:tcPr>
          <w:p w14:paraId="125615A5" w14:textId="77777777" w:rsidR="0046791C" w:rsidRPr="008F03E5" w:rsidRDefault="0046791C" w:rsidP="000008C6">
            <w:pPr>
              <w:keepNext/>
              <w:jc w:val="center"/>
              <w:rPr>
                <w:sz w:val="18"/>
                <w:szCs w:val="18"/>
              </w:rPr>
            </w:pPr>
            <w:r w:rsidRPr="008F03E5">
              <w:rPr>
                <w:sz w:val="18"/>
                <w:szCs w:val="18"/>
              </w:rPr>
              <w:t>z</w:t>
            </w:r>
          </w:p>
        </w:tc>
        <w:tc>
          <w:tcPr>
            <w:tcW w:w="737" w:type="dxa"/>
            <w:tcBorders>
              <w:top w:val="nil"/>
              <w:bottom w:val="single" w:sz="8" w:space="0" w:color="auto"/>
              <w:right w:val="single" w:sz="6" w:space="0" w:color="auto"/>
            </w:tcBorders>
            <w:shd w:val="clear" w:color="auto" w:fill="auto"/>
          </w:tcPr>
          <w:p w14:paraId="0B890654" w14:textId="77777777" w:rsidR="0046791C" w:rsidRPr="008F03E5" w:rsidRDefault="0046791C" w:rsidP="001642C6">
            <w:pPr>
              <w:keepNext/>
              <w:tabs>
                <w:tab w:val="decimal" w:pos="372"/>
              </w:tabs>
              <w:rPr>
                <w:sz w:val="18"/>
                <w:szCs w:val="18"/>
              </w:rPr>
            </w:pPr>
            <w:r w:rsidRPr="008F03E5">
              <w:rPr>
                <w:sz w:val="18"/>
                <w:szCs w:val="18"/>
              </w:rPr>
              <w:t>7</w:t>
            </w:r>
          </w:p>
        </w:tc>
        <w:tc>
          <w:tcPr>
            <w:tcW w:w="624" w:type="dxa"/>
            <w:tcBorders>
              <w:top w:val="single" w:sz="8" w:space="0" w:color="auto"/>
              <w:left w:val="single" w:sz="6" w:space="0" w:color="auto"/>
              <w:bottom w:val="nil"/>
              <w:right w:val="nil"/>
            </w:tcBorders>
            <w:shd w:val="clear" w:color="auto" w:fill="auto"/>
          </w:tcPr>
          <w:p w14:paraId="22C47E83" w14:textId="77777777" w:rsidR="0046791C" w:rsidRPr="008F03E5" w:rsidRDefault="0046791C" w:rsidP="000008C6">
            <w:pPr>
              <w:keepNext/>
              <w:jc w:val="center"/>
              <w:rPr>
                <w:sz w:val="18"/>
                <w:szCs w:val="18"/>
              </w:rPr>
            </w:pPr>
          </w:p>
        </w:tc>
        <w:tc>
          <w:tcPr>
            <w:tcW w:w="794" w:type="dxa"/>
            <w:tcBorders>
              <w:top w:val="single" w:sz="8" w:space="0" w:color="auto"/>
              <w:left w:val="nil"/>
              <w:bottom w:val="nil"/>
              <w:right w:val="nil"/>
            </w:tcBorders>
            <w:shd w:val="clear" w:color="auto" w:fill="auto"/>
          </w:tcPr>
          <w:p w14:paraId="673631B1" w14:textId="7CAC0BD6" w:rsidR="0046791C" w:rsidRPr="008F03E5" w:rsidRDefault="0046791C" w:rsidP="000008C6">
            <w:pPr>
              <w:keepNext/>
              <w:jc w:val="center"/>
              <w:rPr>
                <w:sz w:val="18"/>
                <w:szCs w:val="18"/>
              </w:rPr>
            </w:pPr>
          </w:p>
        </w:tc>
        <w:tc>
          <w:tcPr>
            <w:tcW w:w="1020" w:type="dxa"/>
            <w:tcBorders>
              <w:top w:val="single" w:sz="8" w:space="0" w:color="auto"/>
              <w:left w:val="nil"/>
              <w:bottom w:val="nil"/>
              <w:right w:val="nil"/>
            </w:tcBorders>
            <w:shd w:val="clear" w:color="auto" w:fill="auto"/>
          </w:tcPr>
          <w:p w14:paraId="251D45CB" w14:textId="77777777" w:rsidR="0046791C" w:rsidRPr="008F03E5" w:rsidRDefault="0046791C" w:rsidP="000008C6">
            <w:pPr>
              <w:keepNext/>
              <w:jc w:val="center"/>
              <w:rPr>
                <w:sz w:val="18"/>
                <w:szCs w:val="18"/>
              </w:rPr>
            </w:pPr>
          </w:p>
        </w:tc>
        <w:tc>
          <w:tcPr>
            <w:tcW w:w="737" w:type="dxa"/>
            <w:tcBorders>
              <w:top w:val="single" w:sz="8" w:space="0" w:color="auto"/>
              <w:left w:val="nil"/>
              <w:bottom w:val="nil"/>
              <w:right w:val="nil"/>
            </w:tcBorders>
            <w:shd w:val="clear" w:color="auto" w:fill="auto"/>
          </w:tcPr>
          <w:p w14:paraId="6F0B4533" w14:textId="77777777" w:rsidR="0046791C" w:rsidRPr="008F03E5" w:rsidRDefault="0046791C" w:rsidP="001642C6">
            <w:pPr>
              <w:keepNext/>
              <w:tabs>
                <w:tab w:val="decimal" w:pos="343"/>
              </w:tabs>
              <w:rPr>
                <w:sz w:val="18"/>
                <w:szCs w:val="18"/>
              </w:rPr>
            </w:pPr>
          </w:p>
        </w:tc>
        <w:tc>
          <w:tcPr>
            <w:tcW w:w="510" w:type="dxa"/>
            <w:tcBorders>
              <w:top w:val="single" w:sz="6" w:space="0" w:color="auto"/>
              <w:left w:val="nil"/>
              <w:bottom w:val="nil"/>
              <w:right w:val="nil"/>
            </w:tcBorders>
          </w:tcPr>
          <w:p w14:paraId="1E6AA82C" w14:textId="77777777" w:rsidR="0046791C" w:rsidRPr="008F03E5" w:rsidRDefault="0046791C" w:rsidP="001642C6">
            <w:pPr>
              <w:keepNext/>
              <w:tabs>
                <w:tab w:val="decimal" w:pos="343"/>
              </w:tabs>
              <w:rPr>
                <w:sz w:val="18"/>
                <w:szCs w:val="18"/>
              </w:rPr>
            </w:pPr>
          </w:p>
        </w:tc>
        <w:tc>
          <w:tcPr>
            <w:tcW w:w="1247" w:type="dxa"/>
            <w:tcBorders>
              <w:top w:val="single" w:sz="6" w:space="0" w:color="auto"/>
              <w:left w:val="nil"/>
              <w:bottom w:val="nil"/>
              <w:right w:val="nil"/>
            </w:tcBorders>
          </w:tcPr>
          <w:p w14:paraId="7CC25029" w14:textId="71BD898B" w:rsidR="0046791C" w:rsidRPr="008F03E5" w:rsidRDefault="0046791C" w:rsidP="00873BEB">
            <w:pPr>
              <w:keepNext/>
              <w:tabs>
                <w:tab w:val="decimal" w:pos="343"/>
              </w:tabs>
              <w:rPr>
                <w:sz w:val="18"/>
                <w:szCs w:val="18"/>
              </w:rPr>
            </w:pPr>
          </w:p>
        </w:tc>
        <w:tc>
          <w:tcPr>
            <w:tcW w:w="850" w:type="dxa"/>
            <w:tcBorders>
              <w:top w:val="single" w:sz="6" w:space="0" w:color="auto"/>
              <w:left w:val="nil"/>
              <w:bottom w:val="nil"/>
              <w:right w:val="nil"/>
            </w:tcBorders>
          </w:tcPr>
          <w:p w14:paraId="458A2D3B" w14:textId="77777777" w:rsidR="0046791C" w:rsidRPr="008F03E5" w:rsidRDefault="0046791C" w:rsidP="001642C6">
            <w:pPr>
              <w:keepNext/>
              <w:tabs>
                <w:tab w:val="decimal" w:pos="343"/>
              </w:tabs>
              <w:rPr>
                <w:sz w:val="18"/>
                <w:szCs w:val="18"/>
              </w:rPr>
            </w:pPr>
          </w:p>
        </w:tc>
        <w:tc>
          <w:tcPr>
            <w:tcW w:w="737" w:type="dxa"/>
            <w:tcBorders>
              <w:top w:val="single" w:sz="6" w:space="0" w:color="auto"/>
              <w:left w:val="nil"/>
              <w:bottom w:val="nil"/>
              <w:right w:val="nil"/>
            </w:tcBorders>
          </w:tcPr>
          <w:p w14:paraId="60F5FF7B" w14:textId="77777777" w:rsidR="0046791C" w:rsidRPr="008F03E5" w:rsidRDefault="0046791C" w:rsidP="001642C6">
            <w:pPr>
              <w:keepNext/>
              <w:tabs>
                <w:tab w:val="decimal" w:pos="343"/>
              </w:tabs>
              <w:rPr>
                <w:sz w:val="18"/>
                <w:szCs w:val="18"/>
              </w:rPr>
            </w:pPr>
          </w:p>
        </w:tc>
      </w:tr>
    </w:tbl>
    <w:p w14:paraId="57C701C5" w14:textId="77777777" w:rsidR="001A7A1A" w:rsidRPr="008F03E5" w:rsidRDefault="001A7A1A" w:rsidP="007F28E3">
      <w:pPr>
        <w:pStyle w:val="Text"/>
      </w:pPr>
      <w:r w:rsidRPr="008F03E5">
        <w:t>Some grammarians regard alif (</w:t>
      </w:r>
      <w:r w:rsidRPr="008F03E5">
        <w:rPr>
          <w:rtl/>
        </w:rPr>
        <w:t>ا</w:t>
      </w:r>
      <w:r w:rsidRPr="008F03E5">
        <w:t>) and hamza (</w:t>
      </w:r>
      <w:r w:rsidRPr="008F03E5">
        <w:rPr>
          <w:rtl/>
        </w:rPr>
        <w:t>ء</w:t>
      </w:r>
      <w:r w:rsidRPr="008F03E5">
        <w:t>) as two distinct letters, while others regard them as two realizations of the same letter.  They are a problematic aspect of Arabic writing and are often confusing to native and non-native speakers alike.</w:t>
      </w:r>
    </w:p>
    <w:p w14:paraId="089BB6B7" w14:textId="12599698" w:rsidR="001A7A1A" w:rsidRPr="008F03E5" w:rsidRDefault="001A7A1A" w:rsidP="003E1CE9">
      <w:pPr>
        <w:pStyle w:val="Text"/>
      </w:pPr>
      <w:r w:rsidRPr="008F03E5">
        <w:t xml:space="preserve">The </w:t>
      </w:r>
      <w:r w:rsidR="003A0FE3" w:rsidRPr="008F03E5">
        <w:t xml:space="preserve">Arabic </w:t>
      </w:r>
      <w:r w:rsidRPr="008F03E5">
        <w:t xml:space="preserve">letters are divided into </w:t>
      </w:r>
      <w:r w:rsidRPr="00DD0863">
        <w:rPr>
          <w:color w:val="FF0000"/>
        </w:rPr>
        <w:t>14 sun</w:t>
      </w:r>
      <w:r w:rsidRPr="008F03E5">
        <w:t xml:space="preserve"> </w:t>
      </w:r>
      <w:r w:rsidR="00432305" w:rsidRPr="008F03E5">
        <w:t>(</w:t>
      </w:r>
      <w:r w:rsidR="00432305" w:rsidRPr="008F03E5">
        <w:rPr>
          <w:rtl/>
        </w:rPr>
        <w:t>حروف شمسية</w:t>
      </w:r>
      <w:r w:rsidR="00432305" w:rsidRPr="008F03E5">
        <w:rPr>
          <w:cs/>
        </w:rPr>
        <w:t>‎</w:t>
      </w:r>
      <w:r w:rsidR="00432305" w:rsidRPr="008F03E5">
        <w:t xml:space="preserve"> ḥurúf </w:t>
      </w:r>
      <w:r w:rsidR="00432305" w:rsidRPr="008F03E5">
        <w:rPr>
          <w:u w:val="single"/>
        </w:rPr>
        <w:t>sh</w:t>
      </w:r>
      <w:r w:rsidR="00432305" w:rsidRPr="008F03E5">
        <w:t>ams</w:t>
      </w:r>
      <w:r w:rsidR="003E1CE9" w:rsidRPr="003E1CE9">
        <w:t>í</w:t>
      </w:r>
      <w:r w:rsidR="00432305" w:rsidRPr="008F03E5">
        <w:t xml:space="preserve">yah, </w:t>
      </w:r>
      <w:r w:rsidRPr="008F03E5">
        <w:rPr>
          <w:color w:val="FF0000"/>
        </w:rPr>
        <w:t>red</w:t>
      </w:r>
      <w:r w:rsidRPr="008F03E5">
        <w:t xml:space="preserve"> in the above table) and 14 moon letters</w:t>
      </w:r>
      <w:r w:rsidR="00432305" w:rsidRPr="008F03E5">
        <w:t xml:space="preserve"> (</w:t>
      </w:r>
      <w:r w:rsidR="00432305" w:rsidRPr="008F03E5">
        <w:rPr>
          <w:rtl/>
        </w:rPr>
        <w:t>حروف قمرية</w:t>
      </w:r>
      <w:r w:rsidR="00432305" w:rsidRPr="008F03E5">
        <w:t xml:space="preserve"> ḥurúf qamar</w:t>
      </w:r>
      <w:r w:rsidR="003E1CE9" w:rsidRPr="003E1CE9">
        <w:t>í</w:t>
      </w:r>
      <w:r w:rsidR="003E1CE9">
        <w:t>y</w:t>
      </w:r>
      <w:r w:rsidR="00432305" w:rsidRPr="008F03E5">
        <w:t>ah)</w:t>
      </w:r>
      <w:r w:rsidRPr="008F03E5">
        <w:t>.  This classification is based on the way these letters affect the pronunciation of the definite article (</w:t>
      </w:r>
      <w:r w:rsidRPr="008F03E5">
        <w:rPr>
          <w:rtl/>
        </w:rPr>
        <w:t>ال</w:t>
      </w:r>
      <w:r w:rsidRPr="008F03E5">
        <w:t xml:space="preserve">) at the beginning of words.  The definite article is assimilated into the </w:t>
      </w:r>
      <w:r w:rsidRPr="006D610F">
        <w:rPr>
          <w:color w:val="FF0000"/>
        </w:rPr>
        <w:t>sun</w:t>
      </w:r>
      <w:r w:rsidRPr="008F03E5">
        <w:t xml:space="preserve"> letters and loses its distinctive sound.  As a result, the sound at the beginning of the word is doubled.  The definite article retains its distinctive sound when it </w:t>
      </w:r>
      <w:r w:rsidR="003A0FE3" w:rsidRPr="008F03E5">
        <w:t>occurs</w:t>
      </w:r>
      <w:r w:rsidRPr="008F03E5">
        <w:t xml:space="preserve"> before one of the moon letters.</w:t>
      </w:r>
    </w:p>
    <w:p w14:paraId="58BD3D48" w14:textId="77777777" w:rsidR="001A7A1A" w:rsidRPr="008F03E5" w:rsidRDefault="001A7A1A" w:rsidP="00BC2C21">
      <w:pPr>
        <w:pStyle w:val="Text"/>
        <w:spacing w:after="60"/>
      </w:pPr>
      <w:r w:rsidRPr="008F03E5">
        <w:t xml:space="preserve">Examples of </w:t>
      </w:r>
      <w:r w:rsidR="00447868" w:rsidRPr="008F03E5">
        <w:t xml:space="preserve">changes to the </w:t>
      </w:r>
      <w:r w:rsidRPr="008F03E5">
        <w:t xml:space="preserve">definite article </w:t>
      </w:r>
      <w:r w:rsidR="003A0FE3" w:rsidRPr="008F03E5">
        <w:t>when placed i</w:t>
      </w:r>
      <w:r w:rsidRPr="008F03E5">
        <w:t xml:space="preserve">n front of words beginning with a </w:t>
      </w:r>
      <w:r w:rsidRPr="006D610F">
        <w:rPr>
          <w:color w:val="FF0000"/>
        </w:rPr>
        <w:t>sun</w:t>
      </w:r>
      <w:r w:rsidRPr="008F03E5">
        <w:t xml:space="preserve"> letter:</w:t>
      </w:r>
    </w:p>
    <w:tbl>
      <w:tblPr>
        <w:tblStyle w:val="TableGrid"/>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008"/>
        <w:gridCol w:w="1100"/>
        <w:gridCol w:w="1100"/>
        <w:gridCol w:w="1600"/>
        <w:gridCol w:w="1100"/>
        <w:gridCol w:w="1100"/>
        <w:gridCol w:w="1000"/>
        <w:gridCol w:w="1403"/>
      </w:tblGrid>
      <w:tr w:rsidR="00755038" w:rsidRPr="008F03E5" w14:paraId="4ADBDD07" w14:textId="77777777" w:rsidTr="004F55C6">
        <w:trPr>
          <w:jc w:val="center"/>
        </w:trPr>
        <w:tc>
          <w:tcPr>
            <w:tcW w:w="1008" w:type="dxa"/>
            <w:tcBorders>
              <w:top w:val="single" w:sz="6" w:space="0" w:color="auto"/>
              <w:bottom w:val="single" w:sz="4" w:space="0" w:color="auto"/>
              <w:right w:val="single" w:sz="4" w:space="0" w:color="auto"/>
            </w:tcBorders>
          </w:tcPr>
          <w:p w14:paraId="6EE4D2D6" w14:textId="77777777" w:rsidR="008E2F91" w:rsidRPr="008F03E5" w:rsidRDefault="008E2F91" w:rsidP="00122F7F">
            <w:pPr>
              <w:keepNext/>
              <w:rPr>
                <w:sz w:val="18"/>
                <w:szCs w:val="18"/>
              </w:rPr>
            </w:pPr>
            <w:r w:rsidRPr="008F03E5">
              <w:rPr>
                <w:sz w:val="18"/>
                <w:szCs w:val="18"/>
              </w:rPr>
              <w:t>at-taj</w:t>
            </w:r>
          </w:p>
        </w:tc>
        <w:tc>
          <w:tcPr>
            <w:tcW w:w="1100" w:type="dxa"/>
            <w:tcBorders>
              <w:top w:val="single" w:sz="6" w:space="0" w:color="auto"/>
              <w:left w:val="single" w:sz="4" w:space="0" w:color="auto"/>
              <w:bottom w:val="single" w:sz="4" w:space="0" w:color="auto"/>
              <w:right w:val="single" w:sz="6" w:space="0" w:color="auto"/>
            </w:tcBorders>
          </w:tcPr>
          <w:p w14:paraId="5B795A38" w14:textId="77777777" w:rsidR="008E2F91" w:rsidRPr="008F03E5" w:rsidRDefault="008E2F91" w:rsidP="00122F7F">
            <w:pPr>
              <w:keepNext/>
              <w:rPr>
                <w:sz w:val="18"/>
                <w:szCs w:val="18"/>
              </w:rPr>
            </w:pPr>
            <w:r w:rsidRPr="008F03E5">
              <w:rPr>
                <w:sz w:val="18"/>
                <w:szCs w:val="18"/>
              </w:rPr>
              <w:t>the crown</w:t>
            </w:r>
          </w:p>
        </w:tc>
        <w:tc>
          <w:tcPr>
            <w:tcW w:w="1100" w:type="dxa"/>
            <w:tcBorders>
              <w:top w:val="single" w:sz="6" w:space="0" w:color="auto"/>
              <w:left w:val="single" w:sz="6" w:space="0" w:color="auto"/>
              <w:bottom w:val="single" w:sz="4" w:space="0" w:color="auto"/>
              <w:right w:val="single" w:sz="4" w:space="0" w:color="auto"/>
            </w:tcBorders>
          </w:tcPr>
          <w:p w14:paraId="5987078F" w14:textId="77777777" w:rsidR="008E2F91" w:rsidRPr="008F03E5" w:rsidRDefault="00447868" w:rsidP="00122F7F">
            <w:pPr>
              <w:keepNext/>
              <w:rPr>
                <w:sz w:val="18"/>
                <w:szCs w:val="18"/>
              </w:rPr>
            </w:pPr>
            <w:r w:rsidRPr="008F03E5">
              <w:rPr>
                <w:sz w:val="18"/>
                <w:szCs w:val="18"/>
              </w:rPr>
              <w:t>a</w:t>
            </w:r>
            <w:r w:rsidRPr="008F03E5">
              <w:rPr>
                <w:sz w:val="18"/>
                <w:szCs w:val="18"/>
                <w:u w:val="single"/>
              </w:rPr>
              <w:t>dh</w:t>
            </w:r>
            <w:r w:rsidRPr="008F03E5">
              <w:rPr>
                <w:sz w:val="18"/>
                <w:szCs w:val="18"/>
              </w:rPr>
              <w:t>-</w:t>
            </w:r>
            <w:r w:rsidRPr="008F03E5">
              <w:rPr>
                <w:sz w:val="18"/>
                <w:szCs w:val="18"/>
                <w:u w:val="single"/>
              </w:rPr>
              <w:t>dh</w:t>
            </w:r>
            <w:r w:rsidRPr="008F03E5">
              <w:rPr>
                <w:sz w:val="18"/>
                <w:szCs w:val="18"/>
              </w:rPr>
              <w:t>ikr</w:t>
            </w:r>
          </w:p>
        </w:tc>
        <w:tc>
          <w:tcPr>
            <w:tcW w:w="1600" w:type="dxa"/>
            <w:tcBorders>
              <w:top w:val="single" w:sz="6" w:space="0" w:color="auto"/>
              <w:left w:val="single" w:sz="4" w:space="0" w:color="auto"/>
              <w:bottom w:val="single" w:sz="4" w:space="0" w:color="auto"/>
              <w:right w:val="single" w:sz="6" w:space="0" w:color="auto"/>
            </w:tcBorders>
          </w:tcPr>
          <w:p w14:paraId="2C39E466" w14:textId="77777777" w:rsidR="008E2F91" w:rsidRPr="008F03E5" w:rsidRDefault="00447868" w:rsidP="00122F7F">
            <w:pPr>
              <w:keepNext/>
              <w:rPr>
                <w:sz w:val="18"/>
                <w:szCs w:val="18"/>
              </w:rPr>
            </w:pPr>
            <w:r w:rsidRPr="008F03E5">
              <w:rPr>
                <w:sz w:val="18"/>
                <w:szCs w:val="18"/>
              </w:rPr>
              <w:t>the remembrance</w:t>
            </w:r>
          </w:p>
        </w:tc>
        <w:tc>
          <w:tcPr>
            <w:tcW w:w="1100" w:type="dxa"/>
            <w:tcBorders>
              <w:top w:val="single" w:sz="6" w:space="0" w:color="auto"/>
              <w:left w:val="single" w:sz="6" w:space="0" w:color="auto"/>
              <w:bottom w:val="single" w:sz="4" w:space="0" w:color="auto"/>
              <w:right w:val="single" w:sz="4" w:space="0" w:color="auto"/>
            </w:tcBorders>
          </w:tcPr>
          <w:p w14:paraId="43FBE2AA" w14:textId="77777777" w:rsidR="008E2F91" w:rsidRPr="008F03E5" w:rsidRDefault="00447868" w:rsidP="00122F7F">
            <w:pPr>
              <w:keepNext/>
              <w:rPr>
                <w:sz w:val="18"/>
                <w:szCs w:val="18"/>
              </w:rPr>
            </w:pPr>
            <w:r w:rsidRPr="008F03E5">
              <w:rPr>
                <w:sz w:val="18"/>
                <w:szCs w:val="18"/>
              </w:rPr>
              <w:t>a</w:t>
            </w:r>
            <w:r w:rsidRPr="008F03E5">
              <w:rPr>
                <w:sz w:val="18"/>
                <w:szCs w:val="18"/>
                <w:u w:val="single"/>
              </w:rPr>
              <w:t>sh</w:t>
            </w:r>
            <w:r w:rsidRPr="008F03E5">
              <w:rPr>
                <w:sz w:val="18"/>
                <w:szCs w:val="18"/>
              </w:rPr>
              <w:t>-</w:t>
            </w:r>
            <w:r w:rsidRPr="008F03E5">
              <w:rPr>
                <w:sz w:val="18"/>
                <w:szCs w:val="18"/>
                <w:u w:val="single"/>
              </w:rPr>
              <w:t>sh</w:t>
            </w:r>
            <w:r w:rsidRPr="008F03E5">
              <w:rPr>
                <w:sz w:val="18"/>
                <w:szCs w:val="18"/>
              </w:rPr>
              <w:t>ams</w:t>
            </w:r>
          </w:p>
        </w:tc>
        <w:tc>
          <w:tcPr>
            <w:tcW w:w="1100" w:type="dxa"/>
            <w:tcBorders>
              <w:top w:val="single" w:sz="6" w:space="0" w:color="auto"/>
              <w:left w:val="single" w:sz="4" w:space="0" w:color="auto"/>
              <w:bottom w:val="single" w:sz="4" w:space="0" w:color="auto"/>
              <w:right w:val="single" w:sz="6" w:space="0" w:color="auto"/>
            </w:tcBorders>
          </w:tcPr>
          <w:p w14:paraId="313363C8" w14:textId="77777777" w:rsidR="008E2F91" w:rsidRPr="008F03E5" w:rsidRDefault="00447868" w:rsidP="00122F7F">
            <w:pPr>
              <w:keepNext/>
              <w:rPr>
                <w:sz w:val="18"/>
                <w:szCs w:val="18"/>
              </w:rPr>
            </w:pPr>
            <w:r w:rsidRPr="008F03E5">
              <w:rPr>
                <w:sz w:val="18"/>
                <w:szCs w:val="18"/>
              </w:rPr>
              <w:t>the sun</w:t>
            </w:r>
          </w:p>
        </w:tc>
        <w:tc>
          <w:tcPr>
            <w:tcW w:w="1000" w:type="dxa"/>
            <w:tcBorders>
              <w:top w:val="single" w:sz="6" w:space="0" w:color="auto"/>
              <w:left w:val="single" w:sz="6" w:space="0" w:color="auto"/>
              <w:bottom w:val="single" w:sz="4" w:space="0" w:color="auto"/>
              <w:right w:val="single" w:sz="4" w:space="0" w:color="auto"/>
            </w:tcBorders>
          </w:tcPr>
          <w:p w14:paraId="1B87C933" w14:textId="77777777" w:rsidR="008E2F91" w:rsidRPr="008F03E5" w:rsidRDefault="00447868" w:rsidP="00122F7F">
            <w:pPr>
              <w:keepNext/>
              <w:rPr>
                <w:sz w:val="18"/>
                <w:szCs w:val="18"/>
              </w:rPr>
            </w:pPr>
            <w:r w:rsidRPr="008F03E5">
              <w:rPr>
                <w:sz w:val="18"/>
                <w:szCs w:val="18"/>
              </w:rPr>
              <w:t>aẓ-ẓafar</w:t>
            </w:r>
          </w:p>
        </w:tc>
        <w:tc>
          <w:tcPr>
            <w:tcW w:w="1403" w:type="dxa"/>
            <w:tcBorders>
              <w:top w:val="single" w:sz="6" w:space="0" w:color="auto"/>
              <w:left w:val="single" w:sz="4" w:space="0" w:color="auto"/>
              <w:bottom w:val="single" w:sz="4" w:space="0" w:color="auto"/>
            </w:tcBorders>
          </w:tcPr>
          <w:p w14:paraId="433E5F53" w14:textId="77777777" w:rsidR="008E2F91" w:rsidRPr="008F03E5" w:rsidRDefault="00447868" w:rsidP="00122F7F">
            <w:pPr>
              <w:keepNext/>
              <w:rPr>
                <w:sz w:val="18"/>
                <w:szCs w:val="18"/>
              </w:rPr>
            </w:pPr>
            <w:r w:rsidRPr="008F03E5">
              <w:rPr>
                <w:sz w:val="18"/>
                <w:szCs w:val="18"/>
              </w:rPr>
              <w:t>the victory</w:t>
            </w:r>
          </w:p>
        </w:tc>
      </w:tr>
      <w:tr w:rsidR="00755038" w:rsidRPr="008F03E5" w14:paraId="15CA2D80" w14:textId="77777777" w:rsidTr="004F55C6">
        <w:trPr>
          <w:jc w:val="center"/>
        </w:trPr>
        <w:tc>
          <w:tcPr>
            <w:tcW w:w="1008" w:type="dxa"/>
            <w:tcBorders>
              <w:top w:val="single" w:sz="4" w:space="0" w:color="auto"/>
              <w:bottom w:val="single" w:sz="4" w:space="0" w:color="auto"/>
              <w:right w:val="single" w:sz="4" w:space="0" w:color="auto"/>
            </w:tcBorders>
          </w:tcPr>
          <w:p w14:paraId="6FBB2244" w14:textId="77777777" w:rsidR="008E2F91" w:rsidRPr="008F03E5" w:rsidRDefault="008E2F91" w:rsidP="00AC32BD">
            <w:pPr>
              <w:rPr>
                <w:sz w:val="18"/>
                <w:szCs w:val="18"/>
              </w:rPr>
            </w:pPr>
            <w:r w:rsidRPr="008F03E5">
              <w:rPr>
                <w:sz w:val="18"/>
                <w:szCs w:val="18"/>
              </w:rPr>
              <w:t>a</w:t>
            </w:r>
            <w:r w:rsidRPr="008F03E5">
              <w:rPr>
                <w:sz w:val="18"/>
                <w:szCs w:val="18"/>
                <w:u w:val="single"/>
              </w:rPr>
              <w:t>th</w:t>
            </w:r>
            <w:r w:rsidRPr="008F03E5">
              <w:rPr>
                <w:sz w:val="18"/>
                <w:szCs w:val="18"/>
              </w:rPr>
              <w:t>-</w:t>
            </w:r>
            <w:r w:rsidRPr="008F03E5">
              <w:rPr>
                <w:sz w:val="18"/>
                <w:szCs w:val="18"/>
                <w:u w:val="single"/>
              </w:rPr>
              <w:t>th</w:t>
            </w:r>
            <w:r w:rsidRPr="008F03E5">
              <w:rPr>
                <w:sz w:val="18"/>
                <w:szCs w:val="18"/>
              </w:rPr>
              <w:t>alj</w:t>
            </w:r>
          </w:p>
        </w:tc>
        <w:tc>
          <w:tcPr>
            <w:tcW w:w="1100" w:type="dxa"/>
            <w:tcBorders>
              <w:top w:val="single" w:sz="4" w:space="0" w:color="auto"/>
              <w:left w:val="single" w:sz="4" w:space="0" w:color="auto"/>
              <w:bottom w:val="single" w:sz="4" w:space="0" w:color="auto"/>
              <w:right w:val="single" w:sz="6" w:space="0" w:color="auto"/>
            </w:tcBorders>
          </w:tcPr>
          <w:p w14:paraId="791E8AE7" w14:textId="77777777" w:rsidR="008E2F91" w:rsidRPr="008F03E5" w:rsidRDefault="00447868" w:rsidP="00AC32BD">
            <w:pPr>
              <w:rPr>
                <w:sz w:val="18"/>
                <w:szCs w:val="18"/>
              </w:rPr>
            </w:pPr>
            <w:r w:rsidRPr="008F03E5">
              <w:rPr>
                <w:sz w:val="18"/>
                <w:szCs w:val="18"/>
              </w:rPr>
              <w:t>the ice</w:t>
            </w:r>
          </w:p>
        </w:tc>
        <w:tc>
          <w:tcPr>
            <w:tcW w:w="1100" w:type="dxa"/>
            <w:tcBorders>
              <w:top w:val="single" w:sz="4" w:space="0" w:color="auto"/>
              <w:left w:val="single" w:sz="6" w:space="0" w:color="auto"/>
              <w:bottom w:val="single" w:sz="4" w:space="0" w:color="auto"/>
              <w:right w:val="single" w:sz="4" w:space="0" w:color="auto"/>
            </w:tcBorders>
          </w:tcPr>
          <w:p w14:paraId="23C3B808" w14:textId="77777777" w:rsidR="008E2F91" w:rsidRPr="008F03E5" w:rsidRDefault="00447868" w:rsidP="00AC32BD">
            <w:pPr>
              <w:rPr>
                <w:sz w:val="18"/>
                <w:szCs w:val="18"/>
              </w:rPr>
            </w:pPr>
            <w:r w:rsidRPr="008F03E5">
              <w:rPr>
                <w:sz w:val="18"/>
                <w:szCs w:val="18"/>
              </w:rPr>
              <w:t>ar-rajul</w:t>
            </w:r>
          </w:p>
        </w:tc>
        <w:tc>
          <w:tcPr>
            <w:tcW w:w="1600" w:type="dxa"/>
            <w:tcBorders>
              <w:top w:val="single" w:sz="4" w:space="0" w:color="auto"/>
              <w:left w:val="single" w:sz="4" w:space="0" w:color="auto"/>
              <w:bottom w:val="single" w:sz="4" w:space="0" w:color="auto"/>
              <w:right w:val="single" w:sz="6" w:space="0" w:color="auto"/>
            </w:tcBorders>
          </w:tcPr>
          <w:p w14:paraId="2677C4FA" w14:textId="77777777" w:rsidR="008E2F91" w:rsidRPr="008F03E5" w:rsidRDefault="00447868" w:rsidP="00AC32BD">
            <w:pPr>
              <w:rPr>
                <w:sz w:val="18"/>
                <w:szCs w:val="18"/>
              </w:rPr>
            </w:pPr>
            <w:r w:rsidRPr="008F03E5">
              <w:rPr>
                <w:sz w:val="18"/>
                <w:szCs w:val="18"/>
              </w:rPr>
              <w:t>the man</w:t>
            </w:r>
          </w:p>
        </w:tc>
        <w:tc>
          <w:tcPr>
            <w:tcW w:w="1100" w:type="dxa"/>
            <w:tcBorders>
              <w:top w:val="single" w:sz="4" w:space="0" w:color="auto"/>
              <w:left w:val="single" w:sz="6" w:space="0" w:color="auto"/>
              <w:bottom w:val="single" w:sz="4" w:space="0" w:color="auto"/>
              <w:right w:val="single" w:sz="4" w:space="0" w:color="auto"/>
            </w:tcBorders>
          </w:tcPr>
          <w:p w14:paraId="5BCC7BE4" w14:textId="7D57D6AE" w:rsidR="008E2F91" w:rsidRPr="008F03E5" w:rsidRDefault="00447868" w:rsidP="002D5FDC">
            <w:pPr>
              <w:rPr>
                <w:sz w:val="18"/>
                <w:szCs w:val="18"/>
              </w:rPr>
            </w:pPr>
            <w:r w:rsidRPr="008F03E5">
              <w:rPr>
                <w:sz w:val="18"/>
                <w:szCs w:val="18"/>
              </w:rPr>
              <w:t>aṣ-Ṣalá</w:t>
            </w:r>
            <w:r w:rsidR="002D5FDC">
              <w:rPr>
                <w:sz w:val="18"/>
                <w:szCs w:val="18"/>
              </w:rPr>
              <w:t>h</w:t>
            </w:r>
          </w:p>
        </w:tc>
        <w:tc>
          <w:tcPr>
            <w:tcW w:w="1100" w:type="dxa"/>
            <w:tcBorders>
              <w:top w:val="single" w:sz="4" w:space="0" w:color="auto"/>
              <w:left w:val="single" w:sz="4" w:space="0" w:color="auto"/>
              <w:bottom w:val="single" w:sz="4" w:space="0" w:color="auto"/>
              <w:right w:val="single" w:sz="6" w:space="0" w:color="auto"/>
            </w:tcBorders>
          </w:tcPr>
          <w:p w14:paraId="4EB9C832" w14:textId="77777777" w:rsidR="008E2F91" w:rsidRPr="008F03E5" w:rsidRDefault="00447868" w:rsidP="00AC32BD">
            <w:pPr>
              <w:rPr>
                <w:sz w:val="18"/>
                <w:szCs w:val="18"/>
              </w:rPr>
            </w:pPr>
            <w:r w:rsidRPr="008F03E5">
              <w:rPr>
                <w:sz w:val="18"/>
                <w:szCs w:val="18"/>
              </w:rPr>
              <w:t>the prayer</w:t>
            </w:r>
          </w:p>
        </w:tc>
        <w:tc>
          <w:tcPr>
            <w:tcW w:w="1000" w:type="dxa"/>
            <w:tcBorders>
              <w:top w:val="single" w:sz="4" w:space="0" w:color="auto"/>
              <w:left w:val="single" w:sz="6" w:space="0" w:color="auto"/>
              <w:bottom w:val="single" w:sz="4" w:space="0" w:color="auto"/>
              <w:right w:val="single" w:sz="4" w:space="0" w:color="auto"/>
            </w:tcBorders>
          </w:tcPr>
          <w:p w14:paraId="4842155C" w14:textId="77777777" w:rsidR="008E2F91" w:rsidRPr="008F03E5" w:rsidRDefault="00447868" w:rsidP="00AC32BD">
            <w:pPr>
              <w:rPr>
                <w:sz w:val="18"/>
                <w:szCs w:val="18"/>
              </w:rPr>
            </w:pPr>
            <w:r w:rsidRPr="008F03E5">
              <w:rPr>
                <w:sz w:val="18"/>
                <w:szCs w:val="18"/>
              </w:rPr>
              <w:t>al-lawḥ</w:t>
            </w:r>
          </w:p>
        </w:tc>
        <w:tc>
          <w:tcPr>
            <w:tcW w:w="1403" w:type="dxa"/>
            <w:tcBorders>
              <w:top w:val="single" w:sz="4" w:space="0" w:color="auto"/>
              <w:left w:val="single" w:sz="4" w:space="0" w:color="auto"/>
              <w:bottom w:val="single" w:sz="4" w:space="0" w:color="auto"/>
            </w:tcBorders>
          </w:tcPr>
          <w:p w14:paraId="2A3A332E" w14:textId="77777777" w:rsidR="008E2F91" w:rsidRPr="008F03E5" w:rsidRDefault="00447868" w:rsidP="00AC32BD">
            <w:pPr>
              <w:rPr>
                <w:sz w:val="18"/>
                <w:szCs w:val="18"/>
              </w:rPr>
            </w:pPr>
            <w:r w:rsidRPr="008F03E5">
              <w:rPr>
                <w:sz w:val="18"/>
                <w:szCs w:val="18"/>
              </w:rPr>
              <w:t>the tablet</w:t>
            </w:r>
          </w:p>
        </w:tc>
      </w:tr>
      <w:tr w:rsidR="00755038" w:rsidRPr="008F03E5" w14:paraId="00619DEC" w14:textId="77777777" w:rsidTr="004F55C6">
        <w:trPr>
          <w:jc w:val="center"/>
        </w:trPr>
        <w:tc>
          <w:tcPr>
            <w:tcW w:w="1008" w:type="dxa"/>
            <w:tcBorders>
              <w:top w:val="single" w:sz="4" w:space="0" w:color="auto"/>
              <w:bottom w:val="single" w:sz="6" w:space="0" w:color="auto"/>
              <w:right w:val="single" w:sz="4" w:space="0" w:color="auto"/>
            </w:tcBorders>
          </w:tcPr>
          <w:p w14:paraId="08404D69" w14:textId="77777777" w:rsidR="008E2F91" w:rsidRPr="008F03E5" w:rsidRDefault="00447868" w:rsidP="00AC32BD">
            <w:pPr>
              <w:rPr>
                <w:sz w:val="18"/>
                <w:szCs w:val="18"/>
              </w:rPr>
            </w:pPr>
            <w:r w:rsidRPr="008F03E5">
              <w:rPr>
                <w:sz w:val="18"/>
                <w:szCs w:val="18"/>
              </w:rPr>
              <w:t>ad-dub</w:t>
            </w:r>
          </w:p>
        </w:tc>
        <w:tc>
          <w:tcPr>
            <w:tcW w:w="1100" w:type="dxa"/>
            <w:tcBorders>
              <w:top w:val="single" w:sz="4" w:space="0" w:color="auto"/>
              <w:left w:val="single" w:sz="4" w:space="0" w:color="auto"/>
              <w:bottom w:val="single" w:sz="6" w:space="0" w:color="auto"/>
              <w:right w:val="single" w:sz="6" w:space="0" w:color="auto"/>
            </w:tcBorders>
          </w:tcPr>
          <w:p w14:paraId="25E67AAE" w14:textId="77777777" w:rsidR="008E2F91" w:rsidRPr="008F03E5" w:rsidRDefault="00447868" w:rsidP="00AC32BD">
            <w:pPr>
              <w:rPr>
                <w:sz w:val="18"/>
                <w:szCs w:val="18"/>
              </w:rPr>
            </w:pPr>
            <w:r w:rsidRPr="008F03E5">
              <w:rPr>
                <w:sz w:val="18"/>
                <w:szCs w:val="18"/>
              </w:rPr>
              <w:t>the bear</w:t>
            </w:r>
          </w:p>
        </w:tc>
        <w:tc>
          <w:tcPr>
            <w:tcW w:w="1100" w:type="dxa"/>
            <w:tcBorders>
              <w:top w:val="single" w:sz="4" w:space="0" w:color="auto"/>
              <w:left w:val="single" w:sz="6" w:space="0" w:color="auto"/>
              <w:bottom w:val="single" w:sz="6" w:space="0" w:color="auto"/>
              <w:right w:val="single" w:sz="4" w:space="0" w:color="auto"/>
            </w:tcBorders>
          </w:tcPr>
          <w:p w14:paraId="15FD2E45" w14:textId="77777777" w:rsidR="008E2F91" w:rsidRPr="008F03E5" w:rsidRDefault="00447868" w:rsidP="00AC32BD">
            <w:pPr>
              <w:rPr>
                <w:sz w:val="18"/>
                <w:szCs w:val="18"/>
              </w:rPr>
            </w:pPr>
            <w:r w:rsidRPr="008F03E5">
              <w:rPr>
                <w:sz w:val="18"/>
                <w:szCs w:val="18"/>
              </w:rPr>
              <w:t>az-zamán</w:t>
            </w:r>
          </w:p>
        </w:tc>
        <w:tc>
          <w:tcPr>
            <w:tcW w:w="1600" w:type="dxa"/>
            <w:tcBorders>
              <w:top w:val="single" w:sz="4" w:space="0" w:color="auto"/>
              <w:left w:val="single" w:sz="4" w:space="0" w:color="auto"/>
              <w:bottom w:val="single" w:sz="6" w:space="0" w:color="auto"/>
              <w:right w:val="single" w:sz="6" w:space="0" w:color="auto"/>
            </w:tcBorders>
          </w:tcPr>
          <w:p w14:paraId="2CE4C45D" w14:textId="77777777" w:rsidR="008E2F91" w:rsidRPr="008F03E5" w:rsidRDefault="00447868" w:rsidP="00AC32BD">
            <w:pPr>
              <w:rPr>
                <w:sz w:val="18"/>
                <w:szCs w:val="18"/>
              </w:rPr>
            </w:pPr>
            <w:r w:rsidRPr="008F03E5">
              <w:rPr>
                <w:sz w:val="18"/>
                <w:szCs w:val="18"/>
              </w:rPr>
              <w:t>the time</w:t>
            </w:r>
          </w:p>
        </w:tc>
        <w:tc>
          <w:tcPr>
            <w:tcW w:w="1100" w:type="dxa"/>
            <w:tcBorders>
              <w:top w:val="single" w:sz="4" w:space="0" w:color="auto"/>
              <w:left w:val="single" w:sz="6" w:space="0" w:color="auto"/>
              <w:bottom w:val="single" w:sz="6" w:space="0" w:color="auto"/>
              <w:right w:val="single" w:sz="4" w:space="0" w:color="auto"/>
            </w:tcBorders>
          </w:tcPr>
          <w:p w14:paraId="5F4DFF92" w14:textId="77777777" w:rsidR="008E2F91" w:rsidRPr="008F03E5" w:rsidRDefault="00447868" w:rsidP="00AC32BD">
            <w:pPr>
              <w:rPr>
                <w:sz w:val="18"/>
                <w:szCs w:val="18"/>
              </w:rPr>
            </w:pPr>
            <w:r w:rsidRPr="008F03E5">
              <w:rPr>
                <w:sz w:val="18"/>
                <w:szCs w:val="18"/>
              </w:rPr>
              <w:t>at-ṭa‘ám</w:t>
            </w:r>
          </w:p>
        </w:tc>
        <w:tc>
          <w:tcPr>
            <w:tcW w:w="1100" w:type="dxa"/>
            <w:tcBorders>
              <w:top w:val="single" w:sz="4" w:space="0" w:color="auto"/>
              <w:left w:val="single" w:sz="4" w:space="0" w:color="auto"/>
              <w:bottom w:val="single" w:sz="6" w:space="0" w:color="auto"/>
              <w:right w:val="single" w:sz="6" w:space="0" w:color="auto"/>
            </w:tcBorders>
          </w:tcPr>
          <w:p w14:paraId="4E52716F" w14:textId="77777777" w:rsidR="008E2F91" w:rsidRPr="008F03E5" w:rsidRDefault="00447868" w:rsidP="00AC32BD">
            <w:pPr>
              <w:rPr>
                <w:sz w:val="18"/>
                <w:szCs w:val="18"/>
              </w:rPr>
            </w:pPr>
            <w:r w:rsidRPr="008F03E5">
              <w:rPr>
                <w:sz w:val="18"/>
                <w:szCs w:val="18"/>
              </w:rPr>
              <w:t>the food</w:t>
            </w:r>
          </w:p>
        </w:tc>
        <w:tc>
          <w:tcPr>
            <w:tcW w:w="1000" w:type="dxa"/>
            <w:tcBorders>
              <w:top w:val="single" w:sz="4" w:space="0" w:color="auto"/>
              <w:left w:val="single" w:sz="6" w:space="0" w:color="auto"/>
              <w:bottom w:val="single" w:sz="6" w:space="0" w:color="auto"/>
              <w:right w:val="single" w:sz="4" w:space="0" w:color="auto"/>
            </w:tcBorders>
          </w:tcPr>
          <w:p w14:paraId="4BD690A8" w14:textId="77777777" w:rsidR="008E2F91" w:rsidRPr="008F03E5" w:rsidRDefault="00447868" w:rsidP="00AC32BD">
            <w:pPr>
              <w:rPr>
                <w:sz w:val="18"/>
                <w:szCs w:val="18"/>
              </w:rPr>
            </w:pPr>
            <w:r w:rsidRPr="008F03E5">
              <w:rPr>
                <w:sz w:val="18"/>
                <w:szCs w:val="18"/>
              </w:rPr>
              <w:t>an-nabát</w:t>
            </w:r>
          </w:p>
        </w:tc>
        <w:tc>
          <w:tcPr>
            <w:tcW w:w="1403" w:type="dxa"/>
            <w:tcBorders>
              <w:top w:val="single" w:sz="4" w:space="0" w:color="auto"/>
              <w:left w:val="single" w:sz="4" w:space="0" w:color="auto"/>
            </w:tcBorders>
          </w:tcPr>
          <w:p w14:paraId="01785500" w14:textId="77777777" w:rsidR="008E2F91" w:rsidRPr="008F03E5" w:rsidRDefault="00447868" w:rsidP="00AC32BD">
            <w:pPr>
              <w:rPr>
                <w:sz w:val="18"/>
                <w:szCs w:val="18"/>
              </w:rPr>
            </w:pPr>
            <w:r w:rsidRPr="008F03E5">
              <w:rPr>
                <w:sz w:val="18"/>
                <w:szCs w:val="18"/>
              </w:rPr>
              <w:t>the vegetable</w:t>
            </w:r>
          </w:p>
        </w:tc>
      </w:tr>
    </w:tbl>
    <w:p w14:paraId="13D3F5B9" w14:textId="62315131" w:rsidR="00AB426C" w:rsidRPr="008F03E5" w:rsidRDefault="00AB426C" w:rsidP="00E11C3A">
      <w:pPr>
        <w:pStyle w:val="Myhead3"/>
      </w:pPr>
      <w:r w:rsidRPr="008F03E5">
        <w:t xml:space="preserve">‘Ayn </w:t>
      </w:r>
      <w:r w:rsidR="00624A5B" w:rsidRPr="008F03E5">
        <w:t>&amp;</w:t>
      </w:r>
      <w:r w:rsidRPr="008F03E5">
        <w:t xml:space="preserve"> </w:t>
      </w:r>
      <w:r w:rsidR="009C11DF" w:rsidRPr="008F03E5">
        <w:t>h</w:t>
      </w:r>
      <w:r w:rsidRPr="008F03E5">
        <w:t>amza consonants</w:t>
      </w:r>
      <w:r w:rsidR="00BB58C6" w:rsidRPr="00BB58C6">
        <w:rPr>
          <w:b w:val="0"/>
          <w:i w:val="0"/>
          <w:iCs/>
          <w:sz w:val="12"/>
        </w:rPr>
        <w:fldChar w:fldCharType="begin"/>
      </w:r>
      <w:r w:rsidR="00BB58C6" w:rsidRPr="00BB58C6">
        <w:rPr>
          <w:b w:val="0"/>
          <w:i w:val="0"/>
          <w:iCs/>
          <w:sz w:val="12"/>
        </w:rPr>
        <w:instrText xml:space="preserve"> TC “</w:instrText>
      </w:r>
      <w:bookmarkStart w:id="162" w:name="_Toc149476383"/>
      <w:bookmarkStart w:id="163" w:name="_Toc167691876"/>
      <w:r w:rsidR="00BB58C6" w:rsidRPr="00BB58C6">
        <w:rPr>
          <w:b w:val="0"/>
          <w:i w:val="0"/>
          <w:iCs/>
          <w:sz w:val="12"/>
        </w:rPr>
        <w:instrText>‘</w:instrText>
      </w:r>
      <w:r w:rsidR="00BB58C6" w:rsidRPr="001D71EE">
        <w:rPr>
          <w:b w:val="0"/>
          <w:sz w:val="12"/>
        </w:rPr>
        <w:instrText>Ayn &amp; hamza consonants</w:instrText>
      </w:r>
      <w:r w:rsidR="00BB58C6" w:rsidRPr="001D71EE">
        <w:rPr>
          <w:b w:val="0"/>
          <w:color w:val="FFFFFF" w:themeColor="background1"/>
          <w:sz w:val="12"/>
        </w:rPr>
        <w:instrText>..</w:instrText>
      </w:r>
      <w:r w:rsidR="00BB58C6" w:rsidRPr="001D71EE">
        <w:rPr>
          <w:b w:val="0"/>
          <w:sz w:val="12"/>
        </w:rPr>
        <w:tab/>
      </w:r>
      <w:r w:rsidR="00BB58C6" w:rsidRPr="00BB58C6">
        <w:rPr>
          <w:b w:val="0"/>
          <w:i w:val="0"/>
          <w:iCs/>
          <w:color w:val="FFFFFF" w:themeColor="background1"/>
          <w:sz w:val="12"/>
        </w:rPr>
        <w:instrText>.</w:instrText>
      </w:r>
      <w:bookmarkEnd w:id="162"/>
      <w:bookmarkEnd w:id="163"/>
      <w:r w:rsidR="00BB58C6" w:rsidRPr="00BB58C6">
        <w:rPr>
          <w:b w:val="0"/>
          <w:i w:val="0"/>
          <w:iCs/>
          <w:sz w:val="12"/>
        </w:rPr>
        <w:instrText>” \l 2</w:instrText>
      </w:r>
      <w:r w:rsidR="00BB58C6" w:rsidRPr="00BB58C6">
        <w:rPr>
          <w:b w:val="0"/>
          <w:i w:val="0"/>
          <w:iCs/>
          <w:sz w:val="12"/>
        </w:rPr>
        <w:fldChar w:fldCharType="end"/>
      </w:r>
    </w:p>
    <w:p w14:paraId="4586806A" w14:textId="77777777" w:rsidR="00AB426C" w:rsidRPr="008F03E5" w:rsidRDefault="00AB426C" w:rsidP="00D617B2">
      <w:pPr>
        <w:pStyle w:val="Text"/>
      </w:pPr>
      <w:r w:rsidRPr="008F03E5">
        <w:t xml:space="preserve">These Arabic consonant letters for ‘ayn and hamza are represented by </w:t>
      </w:r>
      <w:r w:rsidRPr="008F03E5">
        <w:rPr>
          <w:b/>
          <w:bCs/>
        </w:rPr>
        <w:t>left</w:t>
      </w:r>
      <w:r w:rsidRPr="008F03E5">
        <w:t xml:space="preserve"> and </w:t>
      </w:r>
      <w:r w:rsidRPr="008F03E5">
        <w:rPr>
          <w:b/>
          <w:bCs/>
        </w:rPr>
        <w:t>right</w:t>
      </w:r>
      <w:r w:rsidRPr="008F03E5">
        <w:t xml:space="preserve"> curly apostrophes respectively—they are </w:t>
      </w:r>
      <w:r w:rsidR="008B452B" w:rsidRPr="008F03E5">
        <w:rPr>
          <w:sz w:val="16"/>
          <w:szCs w:val="16"/>
        </w:rPr>
        <w:t>NOT</w:t>
      </w:r>
      <w:r w:rsidRPr="008F03E5">
        <w:t xml:space="preserve"> quote marks nor are they interchangeable.  The alternative plain text characters are ` and ' respectively.</w:t>
      </w:r>
      <w:r w:rsidR="00D617B2" w:rsidRPr="008F03E5">
        <w:rPr>
          <w:rStyle w:val="FootnoteReference"/>
        </w:rPr>
        <w:footnoteReference w:id="28"/>
      </w:r>
    </w:p>
    <w:p w14:paraId="53F943EA" w14:textId="77777777" w:rsidR="00AB426C" w:rsidRPr="008F03E5" w:rsidRDefault="00AB426C" w:rsidP="00AB426C">
      <w:pPr>
        <w:pStyle w:val="Text"/>
      </w:pPr>
      <w:r w:rsidRPr="008F03E5">
        <w:t>Always include any initial ‘Ayn, and ending Hamza or ‘Ayn.  It is important not to confuse any quote marks used in the text together with an ‘Ayn or a Hamza.</w:t>
      </w:r>
    </w:p>
    <w:p w14:paraId="1CAF46F2" w14:textId="77777777" w:rsidR="00AB426C" w:rsidRPr="008F03E5" w:rsidRDefault="00AB426C" w:rsidP="00AB426C">
      <w:pPr>
        <w:pStyle w:val="Text"/>
      </w:pPr>
      <w:r w:rsidRPr="008F03E5">
        <w:t>An ‘Ayn in the middle or at the end of a word/name can be entered by inserting a space, an apostrophe, and then removing the leading space.  Alternatively, use the appended Word macro to insert the left curly apostrophe.</w:t>
      </w:r>
    </w:p>
    <w:p w14:paraId="6300D63B" w14:textId="09D8A0FB" w:rsidR="00FD1284" w:rsidRPr="008F03E5" w:rsidRDefault="00FD1284" w:rsidP="00FD1284">
      <w:pPr>
        <w:pStyle w:val="Myhead3"/>
      </w:pPr>
      <w:bookmarkStart w:id="164" w:name="_Toc149326082"/>
      <w:bookmarkStart w:id="165" w:name="_Toc149326096"/>
      <w:r w:rsidRPr="008F03E5">
        <w:t>Capitali</w:t>
      </w:r>
      <w:r>
        <w:t>s</w:t>
      </w:r>
      <w:r w:rsidRPr="008F03E5">
        <w:t>ation</w:t>
      </w:r>
      <w:bookmarkEnd w:id="164"/>
      <w:r w:rsidRPr="00FD1284">
        <w:rPr>
          <w:b w:val="0"/>
          <w:bCs/>
          <w:i w:val="0"/>
          <w:iCs/>
          <w:sz w:val="12"/>
          <w:szCs w:val="12"/>
        </w:rPr>
        <w:fldChar w:fldCharType="begin"/>
      </w:r>
      <w:r w:rsidRPr="00FD1284">
        <w:rPr>
          <w:b w:val="0"/>
          <w:bCs/>
          <w:i w:val="0"/>
          <w:iCs/>
          <w:sz w:val="12"/>
          <w:szCs w:val="12"/>
        </w:rPr>
        <w:instrText xml:space="preserve"> TC “</w:instrText>
      </w:r>
      <w:bookmarkStart w:id="166" w:name="_Toc149476368"/>
      <w:bookmarkStart w:id="167" w:name="_Toc167691877"/>
      <w:r w:rsidRPr="00E56695">
        <w:rPr>
          <w:b w:val="0"/>
          <w:bCs/>
          <w:sz w:val="12"/>
          <w:szCs w:val="12"/>
        </w:rPr>
        <w:instrText>Capitalisation</w:instrText>
      </w:r>
      <w:r w:rsidRPr="00E56695">
        <w:rPr>
          <w:b w:val="0"/>
          <w:bCs/>
          <w:color w:val="FFFFFF" w:themeColor="background1"/>
          <w:sz w:val="12"/>
          <w:szCs w:val="12"/>
        </w:rPr>
        <w:instrText>..</w:instrText>
      </w:r>
      <w:r w:rsidRPr="00E56695">
        <w:rPr>
          <w:b w:val="0"/>
          <w:bCs/>
          <w:sz w:val="12"/>
          <w:szCs w:val="12"/>
        </w:rPr>
        <w:tab/>
      </w:r>
      <w:r w:rsidRPr="00E56695">
        <w:rPr>
          <w:b w:val="0"/>
          <w:bCs/>
          <w:color w:val="FFFFFF" w:themeColor="background1"/>
          <w:sz w:val="12"/>
          <w:szCs w:val="12"/>
        </w:rPr>
        <w:instrText>.</w:instrText>
      </w:r>
      <w:bookmarkEnd w:id="166"/>
      <w:bookmarkEnd w:id="167"/>
      <w:r w:rsidRPr="00FD1284">
        <w:rPr>
          <w:b w:val="0"/>
          <w:bCs/>
          <w:i w:val="0"/>
          <w:iCs/>
          <w:sz w:val="12"/>
          <w:szCs w:val="12"/>
        </w:rPr>
        <w:instrText>” \l 2</w:instrText>
      </w:r>
      <w:r w:rsidRPr="00FD1284">
        <w:rPr>
          <w:b w:val="0"/>
          <w:bCs/>
          <w:i w:val="0"/>
          <w:iCs/>
          <w:sz w:val="12"/>
          <w:szCs w:val="12"/>
        </w:rPr>
        <w:fldChar w:fldCharType="end"/>
      </w:r>
    </w:p>
    <w:p w14:paraId="3227708C" w14:textId="77777777" w:rsidR="00FD1284" w:rsidRPr="008F03E5" w:rsidRDefault="00FD1284" w:rsidP="00FD1284">
      <w:pPr>
        <w:pStyle w:val="Text"/>
      </w:pPr>
      <w:r w:rsidRPr="008F03E5">
        <w:t>There are capital letters in Arabic and Persian script.  When transcripted, capital letters should only be used for proper Names and attributes of God, otherwise, lowercase letters should be used.  This document uses capital letters for all words/names as if they were proper names—these should be converted to lower case for other uses.</w:t>
      </w:r>
    </w:p>
    <w:p w14:paraId="5A3428FE" w14:textId="1F400B0D" w:rsidR="00F42DB7" w:rsidRPr="008F03E5" w:rsidRDefault="00F42DB7" w:rsidP="00F42DB7">
      <w:pPr>
        <w:pStyle w:val="Myhead3"/>
      </w:pPr>
      <w:r w:rsidRPr="008F03E5">
        <w:t>Elative word forms</w:t>
      </w:r>
      <w:bookmarkEnd w:id="165"/>
      <w:r w:rsidRPr="00F42DB7">
        <w:rPr>
          <w:b w:val="0"/>
          <w:bCs/>
          <w:i w:val="0"/>
          <w:iCs/>
          <w:sz w:val="12"/>
          <w:szCs w:val="12"/>
        </w:rPr>
        <w:fldChar w:fldCharType="begin"/>
      </w:r>
      <w:r w:rsidRPr="00F42DB7">
        <w:rPr>
          <w:b w:val="0"/>
          <w:bCs/>
          <w:i w:val="0"/>
          <w:iCs/>
          <w:sz w:val="12"/>
          <w:szCs w:val="12"/>
          <w:lang w:val="en-AU"/>
        </w:rPr>
        <w:instrText xml:space="preserve"> TC “</w:instrText>
      </w:r>
      <w:bookmarkStart w:id="168" w:name="_Toc149476400"/>
      <w:bookmarkStart w:id="169" w:name="_Toc167691878"/>
      <w:r w:rsidRPr="00E56695">
        <w:rPr>
          <w:b w:val="0"/>
          <w:bCs/>
          <w:sz w:val="12"/>
          <w:szCs w:val="12"/>
        </w:rPr>
        <w:instrText>Elative word forms</w:instrText>
      </w:r>
      <w:r w:rsidRPr="00E56695">
        <w:rPr>
          <w:b w:val="0"/>
          <w:bCs/>
          <w:color w:val="FFFFFF" w:themeColor="background1"/>
          <w:sz w:val="12"/>
          <w:szCs w:val="12"/>
          <w:lang w:val="en-AU"/>
        </w:rPr>
        <w:instrText>..</w:instrText>
      </w:r>
      <w:r w:rsidRPr="00E56695">
        <w:rPr>
          <w:b w:val="0"/>
          <w:bCs/>
          <w:sz w:val="12"/>
          <w:szCs w:val="12"/>
          <w:lang w:val="en-AU"/>
        </w:rPr>
        <w:tab/>
      </w:r>
      <w:r w:rsidRPr="00E56695">
        <w:rPr>
          <w:b w:val="0"/>
          <w:bCs/>
          <w:color w:val="FFFFFF" w:themeColor="background1"/>
          <w:sz w:val="12"/>
          <w:szCs w:val="12"/>
          <w:lang w:val="en-AU"/>
        </w:rPr>
        <w:instrText>.</w:instrText>
      </w:r>
      <w:bookmarkEnd w:id="168"/>
      <w:bookmarkEnd w:id="169"/>
      <w:r w:rsidRPr="00F42DB7">
        <w:rPr>
          <w:b w:val="0"/>
          <w:bCs/>
          <w:i w:val="0"/>
          <w:iCs/>
          <w:sz w:val="12"/>
          <w:szCs w:val="12"/>
          <w:lang w:val="en-AU"/>
        </w:rPr>
        <w:instrText>” \l 2</w:instrText>
      </w:r>
      <w:r w:rsidRPr="00F42DB7">
        <w:rPr>
          <w:b w:val="0"/>
          <w:bCs/>
          <w:i w:val="0"/>
          <w:iCs/>
          <w:sz w:val="12"/>
          <w:szCs w:val="12"/>
        </w:rPr>
        <w:fldChar w:fldCharType="end"/>
      </w:r>
    </w:p>
    <w:p w14:paraId="1E15915C" w14:textId="77777777" w:rsidR="00F42DB7" w:rsidRPr="008F03E5" w:rsidRDefault="00F42DB7" w:rsidP="00F42DB7">
      <w:pPr>
        <w:pStyle w:val="Text"/>
      </w:pPr>
      <w:r w:rsidRPr="008F03E5">
        <w:t xml:space="preserve">In some languages such as Arabic, the concepts of </w:t>
      </w:r>
      <w:r w:rsidRPr="008F03E5">
        <w:rPr>
          <w:i/>
          <w:iCs/>
        </w:rPr>
        <w:t>comparative</w:t>
      </w:r>
      <w:r w:rsidRPr="008F03E5">
        <w:t xml:space="preserve"> and </w:t>
      </w:r>
      <w:r w:rsidRPr="008F03E5">
        <w:rPr>
          <w:i/>
          <w:iCs/>
        </w:rPr>
        <w:t>superlative</w:t>
      </w:r>
      <w:r w:rsidRPr="008F03E5">
        <w:t xml:space="preserve"> degree of an adjective are merged into a single form, the </w:t>
      </w:r>
      <w:r w:rsidRPr="008F03E5">
        <w:rPr>
          <w:i/>
          <w:iCs/>
        </w:rPr>
        <w:t>elative</w:t>
      </w:r>
      <w:r w:rsidRPr="008F03E5">
        <w:t>.  How this form is understood or translated depends upon context and definiteness.  In the absence of comparison, the elative conveys the notion of “greatest”, “supreme”.  The elative of kabár (big) is ‘akbar (bigger/biggest, greater/greatest).</w:t>
      </w:r>
    </w:p>
    <w:p w14:paraId="77F3D237" w14:textId="74855BC5" w:rsidR="00FD1284" w:rsidRPr="008F03E5" w:rsidRDefault="00FD1284" w:rsidP="00FD1284">
      <w:pPr>
        <w:pStyle w:val="Myhead3"/>
      </w:pPr>
      <w:bookmarkStart w:id="170" w:name="_Toc149326084"/>
      <w:bookmarkStart w:id="171" w:name="_Toc149326102"/>
      <w:r w:rsidRPr="008F03E5">
        <w:t>Hybrid words/names</w:t>
      </w:r>
      <w:bookmarkEnd w:id="170"/>
      <w:r w:rsidRPr="00FD1284">
        <w:rPr>
          <w:b w:val="0"/>
          <w:bCs/>
          <w:i w:val="0"/>
          <w:iCs/>
          <w:sz w:val="12"/>
          <w:szCs w:val="12"/>
        </w:rPr>
        <w:fldChar w:fldCharType="begin"/>
      </w:r>
      <w:r w:rsidRPr="00FD1284">
        <w:rPr>
          <w:b w:val="0"/>
          <w:bCs/>
          <w:i w:val="0"/>
          <w:iCs/>
          <w:sz w:val="12"/>
          <w:szCs w:val="12"/>
        </w:rPr>
        <w:instrText xml:space="preserve"> TC “</w:instrText>
      </w:r>
      <w:bookmarkStart w:id="172" w:name="_Toc149476370"/>
      <w:bookmarkStart w:id="173" w:name="_Toc167691879"/>
      <w:r w:rsidRPr="00E56695">
        <w:rPr>
          <w:b w:val="0"/>
          <w:bCs/>
          <w:sz w:val="12"/>
          <w:szCs w:val="12"/>
        </w:rPr>
        <w:instrText>Hybrid words/names</w:instrText>
      </w:r>
      <w:r w:rsidRPr="00E56695">
        <w:rPr>
          <w:b w:val="0"/>
          <w:bCs/>
          <w:color w:val="FFFFFF" w:themeColor="background1"/>
          <w:sz w:val="12"/>
          <w:szCs w:val="12"/>
        </w:rPr>
        <w:instrText>..</w:instrText>
      </w:r>
      <w:r w:rsidRPr="00E56695">
        <w:rPr>
          <w:b w:val="0"/>
          <w:bCs/>
          <w:sz w:val="12"/>
          <w:szCs w:val="12"/>
        </w:rPr>
        <w:tab/>
      </w:r>
      <w:r w:rsidRPr="00FD1284">
        <w:rPr>
          <w:b w:val="0"/>
          <w:bCs/>
          <w:i w:val="0"/>
          <w:iCs/>
          <w:color w:val="FFFFFF" w:themeColor="background1"/>
          <w:sz w:val="12"/>
          <w:szCs w:val="12"/>
        </w:rPr>
        <w:instrText>.</w:instrText>
      </w:r>
      <w:bookmarkEnd w:id="172"/>
      <w:bookmarkEnd w:id="173"/>
      <w:r w:rsidRPr="00FD1284">
        <w:rPr>
          <w:b w:val="0"/>
          <w:bCs/>
          <w:i w:val="0"/>
          <w:iCs/>
          <w:sz w:val="12"/>
          <w:szCs w:val="12"/>
        </w:rPr>
        <w:instrText>” \l 2</w:instrText>
      </w:r>
      <w:r w:rsidRPr="00FD1284">
        <w:rPr>
          <w:b w:val="0"/>
          <w:bCs/>
          <w:i w:val="0"/>
          <w:iCs/>
          <w:sz w:val="12"/>
          <w:szCs w:val="12"/>
        </w:rPr>
        <w:fldChar w:fldCharType="end"/>
      </w:r>
    </w:p>
    <w:p w14:paraId="5FD488C8" w14:textId="77777777" w:rsidR="00FD1284" w:rsidRPr="008F03E5" w:rsidRDefault="00FD1284" w:rsidP="00FD1284">
      <w:pPr>
        <w:pStyle w:val="Text"/>
      </w:pPr>
      <w:r w:rsidRPr="008F03E5">
        <w:t xml:space="preserve">Most words (there are some commonly accepted exceptions, e.g. Bahá’ís) that have an English suffix should </w:t>
      </w:r>
      <w:r w:rsidRPr="008F03E5">
        <w:rPr>
          <w:sz w:val="16"/>
          <w:szCs w:val="16"/>
        </w:rPr>
        <w:t>NOT</w:t>
      </w:r>
      <w:r w:rsidRPr="008F03E5">
        <w:t xml:space="preserve"> be transcripted (e.g. Islamic, Qur’anic, Shi’ite, Shi’ism).  Adding an ‘s’ to many words to represent the plural form is more recognizable to the English reader (</w:t>
      </w:r>
      <w:r w:rsidRPr="008F03E5">
        <w:rPr>
          <w:i/>
          <w:iCs/>
        </w:rPr>
        <w:t>bábs</w:t>
      </w:r>
      <w:r w:rsidRPr="008F03E5">
        <w:t>) than the often very different transcripted Arabic plural word (</w:t>
      </w:r>
      <w:r w:rsidRPr="008F03E5">
        <w:rPr>
          <w:i/>
          <w:iCs/>
        </w:rPr>
        <w:t>abwáb</w:t>
      </w:r>
      <w:r w:rsidRPr="008F03E5">
        <w:t xml:space="preserve">).  These and some other words are often better replaced by an English equivalent, e.g. Gate-hood for </w:t>
      </w:r>
      <w:r w:rsidRPr="008F03E5">
        <w:rPr>
          <w:i/>
          <w:iCs/>
        </w:rPr>
        <w:t>Bábíyyat</w:t>
      </w:r>
      <w:r w:rsidRPr="008F03E5">
        <w:t xml:space="preserve"> instead of the incorrect hybrid forms:  “Bábhood” or “Babhood”, etc.</w:t>
      </w:r>
    </w:p>
    <w:p w14:paraId="554743D0" w14:textId="0929A4EE" w:rsidR="00B078AA" w:rsidRPr="008F03E5" w:rsidRDefault="00B078AA" w:rsidP="00FD1284">
      <w:pPr>
        <w:pStyle w:val="Myhead3"/>
      </w:pPr>
      <w:r>
        <w:t>N</w:t>
      </w:r>
      <w:r w:rsidRPr="008F03E5">
        <w:t>umbers</w:t>
      </w:r>
      <w:bookmarkEnd w:id="171"/>
      <w:r w:rsidRPr="00BB58C6">
        <w:t xml:space="preserve"> </w:t>
      </w:r>
      <w:r w:rsidRPr="00B078AA">
        <w:rPr>
          <w:b w:val="0"/>
          <w:bCs/>
          <w:i w:val="0"/>
          <w:iCs/>
          <w:sz w:val="12"/>
          <w:szCs w:val="12"/>
        </w:rPr>
        <w:fldChar w:fldCharType="begin"/>
      </w:r>
      <w:r w:rsidRPr="00B078AA">
        <w:rPr>
          <w:b w:val="0"/>
          <w:bCs/>
          <w:i w:val="0"/>
          <w:iCs/>
          <w:sz w:val="12"/>
          <w:szCs w:val="12"/>
          <w:lang w:val="en-AU"/>
        </w:rPr>
        <w:instrText xml:space="preserve"> TC “</w:instrText>
      </w:r>
      <w:bookmarkStart w:id="174" w:name="_Toc149476408"/>
      <w:bookmarkStart w:id="175" w:name="_Toc167691880"/>
      <w:r w:rsidRPr="00E56695">
        <w:rPr>
          <w:b w:val="0"/>
          <w:bCs/>
          <w:sz w:val="12"/>
          <w:szCs w:val="12"/>
        </w:rPr>
        <w:instrText>Numbers</w:instrText>
      </w:r>
      <w:r w:rsidRPr="00E56695">
        <w:rPr>
          <w:b w:val="0"/>
          <w:bCs/>
          <w:color w:val="FFFFFF" w:themeColor="background1"/>
          <w:sz w:val="12"/>
          <w:szCs w:val="12"/>
          <w:lang w:val="en-AU"/>
        </w:rPr>
        <w:instrText>..</w:instrText>
      </w:r>
      <w:r w:rsidRPr="00E56695">
        <w:rPr>
          <w:b w:val="0"/>
          <w:bCs/>
          <w:sz w:val="12"/>
          <w:szCs w:val="12"/>
          <w:lang w:val="en-AU"/>
        </w:rPr>
        <w:tab/>
      </w:r>
      <w:r w:rsidRPr="00E56695">
        <w:rPr>
          <w:b w:val="0"/>
          <w:bCs/>
          <w:color w:val="FFFFFF" w:themeColor="background1"/>
          <w:sz w:val="12"/>
          <w:szCs w:val="12"/>
          <w:lang w:val="en-AU"/>
        </w:rPr>
        <w:instrText>.</w:instrText>
      </w:r>
      <w:bookmarkEnd w:id="174"/>
      <w:bookmarkEnd w:id="175"/>
      <w:r w:rsidRPr="00B078AA">
        <w:rPr>
          <w:b w:val="0"/>
          <w:bCs/>
          <w:i w:val="0"/>
          <w:iCs/>
          <w:sz w:val="12"/>
          <w:szCs w:val="12"/>
          <w:lang w:val="en-AU"/>
        </w:rPr>
        <w:instrText xml:space="preserve">” \l </w:instrText>
      </w:r>
      <w:r w:rsidR="00FD1284">
        <w:rPr>
          <w:b w:val="0"/>
          <w:bCs/>
          <w:i w:val="0"/>
          <w:iCs/>
          <w:sz w:val="12"/>
          <w:szCs w:val="12"/>
          <w:lang w:val="en-AU"/>
        </w:rPr>
        <w:instrText>2</w:instrText>
      </w:r>
      <w:r w:rsidRPr="00B078AA">
        <w:rPr>
          <w:b w:val="0"/>
          <w:bCs/>
          <w:i w:val="0"/>
          <w:iCs/>
          <w:sz w:val="12"/>
          <w:szCs w:val="12"/>
        </w:rPr>
        <w:fldChar w:fldCharType="end"/>
      </w:r>
    </w:p>
    <w:p w14:paraId="2A0167F1" w14:textId="77777777" w:rsidR="00B078AA" w:rsidRPr="008F03E5" w:rsidRDefault="00B078AA" w:rsidP="00B078AA">
      <w:pPr>
        <w:pStyle w:val="Text"/>
        <w:spacing w:after="60"/>
      </w:pPr>
      <w:r w:rsidRPr="008F03E5">
        <w:t>Arabic numerals are written from left to right.</w:t>
      </w:r>
    </w:p>
    <w:tbl>
      <w:tblPr>
        <w:tblStyle w:val="TableGrid"/>
        <w:tblW w:w="9693" w:type="dxa"/>
        <w:jc w:val="center"/>
        <w:tblLook w:val="04A0" w:firstRow="1" w:lastRow="0" w:firstColumn="1" w:lastColumn="0" w:noHBand="0" w:noVBand="1"/>
      </w:tblPr>
      <w:tblGrid>
        <w:gridCol w:w="843"/>
        <w:gridCol w:w="624"/>
        <w:gridCol w:w="693"/>
        <w:gridCol w:w="953"/>
        <w:gridCol w:w="1132"/>
        <w:gridCol w:w="785"/>
        <w:gridCol w:w="844"/>
        <w:gridCol w:w="676"/>
        <w:gridCol w:w="621"/>
        <w:gridCol w:w="1031"/>
        <w:gridCol w:w="608"/>
        <w:gridCol w:w="883"/>
      </w:tblGrid>
      <w:tr w:rsidR="00B078AA" w:rsidRPr="008F03E5" w14:paraId="50E8C06D" w14:textId="77777777" w:rsidTr="0005057B">
        <w:trPr>
          <w:jc w:val="center"/>
        </w:trPr>
        <w:tc>
          <w:tcPr>
            <w:tcW w:w="843" w:type="dxa"/>
            <w:tcBorders>
              <w:top w:val="nil"/>
              <w:left w:val="nil"/>
              <w:bottom w:val="single" w:sz="6" w:space="0" w:color="auto"/>
              <w:right w:val="single" w:sz="6" w:space="0" w:color="auto"/>
            </w:tcBorders>
          </w:tcPr>
          <w:p w14:paraId="12FD592D" w14:textId="77777777" w:rsidR="00B078AA" w:rsidRPr="008F03E5" w:rsidRDefault="00B078AA" w:rsidP="0005057B">
            <w:pPr>
              <w:keepNext/>
              <w:jc w:val="center"/>
              <w:rPr>
                <w:sz w:val="18"/>
                <w:szCs w:val="18"/>
                <w:rtl/>
              </w:rPr>
            </w:pPr>
          </w:p>
        </w:tc>
        <w:tc>
          <w:tcPr>
            <w:tcW w:w="624" w:type="dxa"/>
            <w:tcBorders>
              <w:top w:val="single" w:sz="6" w:space="0" w:color="auto"/>
              <w:left w:val="single" w:sz="6" w:space="0" w:color="auto"/>
              <w:bottom w:val="single" w:sz="6" w:space="0" w:color="auto"/>
            </w:tcBorders>
          </w:tcPr>
          <w:p w14:paraId="1C52D7E9" w14:textId="77777777" w:rsidR="00B078AA" w:rsidRPr="008F03E5" w:rsidRDefault="00B078AA" w:rsidP="0005057B">
            <w:pPr>
              <w:jc w:val="center"/>
              <w:rPr>
                <w:sz w:val="18"/>
                <w:szCs w:val="18"/>
                <w14:numSpacing w14:val="tabular"/>
              </w:rPr>
            </w:pPr>
            <w:r w:rsidRPr="008F03E5">
              <w:rPr>
                <w:sz w:val="18"/>
                <w:szCs w:val="18"/>
                <w:rtl/>
                <w14:numSpacing w14:val="tabular"/>
              </w:rPr>
              <w:t>٠</w:t>
            </w:r>
            <w:r w:rsidRPr="008F03E5">
              <w:rPr>
                <w:sz w:val="18"/>
                <w:szCs w:val="18"/>
                <w14:numSpacing w14:val="tabular"/>
              </w:rPr>
              <w:t xml:space="preserve"> (0)</w:t>
            </w:r>
          </w:p>
        </w:tc>
        <w:tc>
          <w:tcPr>
            <w:tcW w:w="693" w:type="dxa"/>
            <w:tcBorders>
              <w:top w:val="single" w:sz="6" w:space="0" w:color="auto"/>
              <w:bottom w:val="single" w:sz="6" w:space="0" w:color="auto"/>
            </w:tcBorders>
          </w:tcPr>
          <w:p w14:paraId="3131C0D7" w14:textId="77777777" w:rsidR="00B078AA" w:rsidRPr="008F03E5" w:rsidRDefault="00B078AA" w:rsidP="0005057B">
            <w:pPr>
              <w:jc w:val="center"/>
              <w:rPr>
                <w:sz w:val="18"/>
                <w:szCs w:val="18"/>
                <w14:numSpacing w14:val="tabular"/>
              </w:rPr>
            </w:pPr>
            <w:r w:rsidRPr="008F03E5">
              <w:rPr>
                <w:sz w:val="18"/>
                <w:szCs w:val="18"/>
                <w:rtl/>
                <w14:numSpacing w14:val="tabular"/>
              </w:rPr>
              <w:t>١</w:t>
            </w:r>
            <w:r w:rsidRPr="008F03E5">
              <w:rPr>
                <w:sz w:val="18"/>
                <w:szCs w:val="18"/>
                <w14:numSpacing w14:val="tabular"/>
              </w:rPr>
              <w:t xml:space="preserve"> (1)</w:t>
            </w:r>
          </w:p>
        </w:tc>
        <w:tc>
          <w:tcPr>
            <w:tcW w:w="953" w:type="dxa"/>
            <w:tcBorders>
              <w:top w:val="single" w:sz="6" w:space="0" w:color="auto"/>
              <w:bottom w:val="single" w:sz="6" w:space="0" w:color="auto"/>
            </w:tcBorders>
          </w:tcPr>
          <w:p w14:paraId="5CBFBE9D" w14:textId="77777777" w:rsidR="00B078AA" w:rsidRPr="008F03E5" w:rsidRDefault="00B078AA" w:rsidP="0005057B">
            <w:pPr>
              <w:jc w:val="center"/>
              <w:rPr>
                <w:sz w:val="18"/>
                <w:szCs w:val="18"/>
                <w14:numSpacing w14:val="tabular"/>
              </w:rPr>
            </w:pPr>
            <w:r w:rsidRPr="008F03E5">
              <w:rPr>
                <w:sz w:val="18"/>
                <w:szCs w:val="18"/>
                <w:rtl/>
                <w14:numSpacing w14:val="tabular"/>
              </w:rPr>
              <w:t>٢</w:t>
            </w:r>
            <w:r w:rsidRPr="008F03E5">
              <w:rPr>
                <w:sz w:val="18"/>
                <w:szCs w:val="18"/>
                <w14:numSpacing w14:val="tabular"/>
              </w:rPr>
              <w:t xml:space="preserve"> (2)</w:t>
            </w:r>
          </w:p>
        </w:tc>
        <w:tc>
          <w:tcPr>
            <w:tcW w:w="1132" w:type="dxa"/>
            <w:tcBorders>
              <w:top w:val="single" w:sz="6" w:space="0" w:color="auto"/>
              <w:bottom w:val="single" w:sz="6" w:space="0" w:color="auto"/>
            </w:tcBorders>
          </w:tcPr>
          <w:p w14:paraId="430063F4" w14:textId="77777777" w:rsidR="00B078AA" w:rsidRPr="008F03E5" w:rsidRDefault="00B078AA" w:rsidP="0005057B">
            <w:pPr>
              <w:jc w:val="center"/>
              <w:rPr>
                <w:sz w:val="18"/>
                <w:szCs w:val="18"/>
                <w14:numSpacing w14:val="tabular"/>
              </w:rPr>
            </w:pPr>
            <w:r w:rsidRPr="008F03E5">
              <w:rPr>
                <w:sz w:val="18"/>
                <w:szCs w:val="18"/>
                <w:rtl/>
                <w14:numSpacing w14:val="tabular"/>
              </w:rPr>
              <w:t>٣</w:t>
            </w:r>
            <w:r w:rsidRPr="008F03E5">
              <w:rPr>
                <w:sz w:val="18"/>
                <w:szCs w:val="18"/>
                <w14:numSpacing w14:val="tabular"/>
              </w:rPr>
              <w:t xml:space="preserve"> (3)</w:t>
            </w:r>
          </w:p>
        </w:tc>
        <w:tc>
          <w:tcPr>
            <w:tcW w:w="785" w:type="dxa"/>
            <w:tcBorders>
              <w:top w:val="single" w:sz="6" w:space="0" w:color="auto"/>
              <w:bottom w:val="single" w:sz="6" w:space="0" w:color="auto"/>
            </w:tcBorders>
          </w:tcPr>
          <w:p w14:paraId="01075618" w14:textId="77777777" w:rsidR="00B078AA" w:rsidRPr="008F03E5" w:rsidRDefault="00B078AA" w:rsidP="0005057B">
            <w:pPr>
              <w:jc w:val="center"/>
              <w:rPr>
                <w:sz w:val="18"/>
                <w:szCs w:val="18"/>
                <w14:numSpacing w14:val="tabular"/>
              </w:rPr>
            </w:pPr>
            <w:r w:rsidRPr="008F03E5">
              <w:rPr>
                <w:sz w:val="18"/>
                <w:szCs w:val="18"/>
                <w:rtl/>
                <w14:numSpacing w14:val="tabular"/>
              </w:rPr>
              <w:t>٤</w:t>
            </w:r>
            <w:r w:rsidRPr="008F03E5">
              <w:rPr>
                <w:sz w:val="18"/>
                <w:szCs w:val="18"/>
                <w14:numSpacing w14:val="tabular"/>
              </w:rPr>
              <w:t xml:space="preserve"> (4)</w:t>
            </w:r>
          </w:p>
        </w:tc>
        <w:tc>
          <w:tcPr>
            <w:tcW w:w="844" w:type="dxa"/>
            <w:tcBorders>
              <w:top w:val="single" w:sz="6" w:space="0" w:color="auto"/>
              <w:bottom w:val="single" w:sz="6" w:space="0" w:color="auto"/>
            </w:tcBorders>
          </w:tcPr>
          <w:p w14:paraId="117E9104" w14:textId="77777777" w:rsidR="00B078AA" w:rsidRPr="008F03E5" w:rsidRDefault="00B078AA" w:rsidP="0005057B">
            <w:pPr>
              <w:jc w:val="center"/>
              <w:rPr>
                <w:sz w:val="18"/>
                <w:szCs w:val="18"/>
                <w14:numSpacing w14:val="tabular"/>
              </w:rPr>
            </w:pPr>
            <w:r w:rsidRPr="008F03E5">
              <w:rPr>
                <w:sz w:val="18"/>
                <w:szCs w:val="18"/>
                <w:rtl/>
                <w14:numSpacing w14:val="tabular"/>
              </w:rPr>
              <w:t>٥</w:t>
            </w:r>
            <w:r w:rsidRPr="008F03E5">
              <w:rPr>
                <w:sz w:val="18"/>
                <w:szCs w:val="18"/>
                <w14:numSpacing w14:val="tabular"/>
              </w:rPr>
              <w:t xml:space="preserve"> (5)</w:t>
            </w:r>
          </w:p>
        </w:tc>
        <w:tc>
          <w:tcPr>
            <w:tcW w:w="676" w:type="dxa"/>
            <w:tcBorders>
              <w:top w:val="single" w:sz="6" w:space="0" w:color="auto"/>
              <w:bottom w:val="single" w:sz="6" w:space="0" w:color="auto"/>
            </w:tcBorders>
          </w:tcPr>
          <w:p w14:paraId="3F8E0612" w14:textId="77777777" w:rsidR="00B078AA" w:rsidRPr="008F03E5" w:rsidRDefault="00B078AA" w:rsidP="0005057B">
            <w:pPr>
              <w:jc w:val="center"/>
              <w:rPr>
                <w:sz w:val="18"/>
                <w:szCs w:val="18"/>
                <w14:numSpacing w14:val="tabular"/>
              </w:rPr>
            </w:pPr>
            <w:r w:rsidRPr="008F03E5">
              <w:rPr>
                <w:sz w:val="18"/>
                <w:szCs w:val="18"/>
                <w:rtl/>
                <w14:numSpacing w14:val="tabular"/>
              </w:rPr>
              <w:t>٦</w:t>
            </w:r>
            <w:r w:rsidRPr="008F03E5">
              <w:rPr>
                <w:sz w:val="18"/>
                <w:szCs w:val="18"/>
                <w14:numSpacing w14:val="tabular"/>
              </w:rPr>
              <w:t xml:space="preserve"> (6)</w:t>
            </w:r>
          </w:p>
        </w:tc>
        <w:tc>
          <w:tcPr>
            <w:tcW w:w="621" w:type="dxa"/>
            <w:tcBorders>
              <w:top w:val="single" w:sz="6" w:space="0" w:color="auto"/>
              <w:bottom w:val="single" w:sz="6" w:space="0" w:color="auto"/>
            </w:tcBorders>
          </w:tcPr>
          <w:p w14:paraId="468BA7AF" w14:textId="77777777" w:rsidR="00B078AA" w:rsidRPr="008F03E5" w:rsidRDefault="00B078AA" w:rsidP="0005057B">
            <w:pPr>
              <w:jc w:val="center"/>
              <w:rPr>
                <w:sz w:val="18"/>
                <w:szCs w:val="18"/>
                <w14:numSpacing w14:val="tabular"/>
              </w:rPr>
            </w:pPr>
            <w:r w:rsidRPr="008F03E5">
              <w:rPr>
                <w:sz w:val="18"/>
                <w:szCs w:val="18"/>
                <w:rtl/>
                <w14:numSpacing w14:val="tabular"/>
              </w:rPr>
              <w:t>٧</w:t>
            </w:r>
            <w:r w:rsidRPr="008F03E5">
              <w:rPr>
                <w:sz w:val="18"/>
                <w:szCs w:val="18"/>
                <w14:numSpacing w14:val="tabular"/>
              </w:rPr>
              <w:t xml:space="preserve"> (7)</w:t>
            </w:r>
          </w:p>
        </w:tc>
        <w:tc>
          <w:tcPr>
            <w:tcW w:w="1031" w:type="dxa"/>
            <w:tcBorders>
              <w:top w:val="single" w:sz="6" w:space="0" w:color="auto"/>
              <w:bottom w:val="single" w:sz="6" w:space="0" w:color="auto"/>
            </w:tcBorders>
          </w:tcPr>
          <w:p w14:paraId="76ACBD36" w14:textId="77777777" w:rsidR="00B078AA" w:rsidRPr="008F03E5" w:rsidRDefault="00B078AA" w:rsidP="0005057B">
            <w:pPr>
              <w:jc w:val="center"/>
              <w:rPr>
                <w:sz w:val="18"/>
                <w:szCs w:val="18"/>
                <w14:numSpacing w14:val="tabular"/>
              </w:rPr>
            </w:pPr>
            <w:r w:rsidRPr="008F03E5">
              <w:rPr>
                <w:sz w:val="18"/>
                <w:szCs w:val="18"/>
                <w:rtl/>
                <w14:numSpacing w14:val="tabular"/>
              </w:rPr>
              <w:t>٨</w:t>
            </w:r>
            <w:r w:rsidRPr="008F03E5">
              <w:rPr>
                <w:sz w:val="18"/>
                <w:szCs w:val="18"/>
                <w14:numSpacing w14:val="tabular"/>
              </w:rPr>
              <w:t xml:space="preserve"> (8)</w:t>
            </w:r>
          </w:p>
        </w:tc>
        <w:tc>
          <w:tcPr>
            <w:tcW w:w="608" w:type="dxa"/>
            <w:tcBorders>
              <w:top w:val="single" w:sz="6" w:space="0" w:color="auto"/>
              <w:bottom w:val="single" w:sz="6" w:space="0" w:color="auto"/>
            </w:tcBorders>
          </w:tcPr>
          <w:p w14:paraId="5BE3BC3F" w14:textId="77777777" w:rsidR="00B078AA" w:rsidRPr="008F03E5" w:rsidRDefault="00B078AA" w:rsidP="0005057B">
            <w:pPr>
              <w:jc w:val="center"/>
              <w:rPr>
                <w:sz w:val="18"/>
                <w:szCs w:val="18"/>
                <w14:numSpacing w14:val="tabular"/>
              </w:rPr>
            </w:pPr>
            <w:r w:rsidRPr="008F03E5">
              <w:rPr>
                <w:sz w:val="18"/>
                <w:szCs w:val="18"/>
                <w:rtl/>
                <w14:numSpacing w14:val="tabular"/>
              </w:rPr>
              <w:t>٩</w:t>
            </w:r>
            <w:r w:rsidRPr="008F03E5">
              <w:rPr>
                <w:sz w:val="18"/>
                <w:szCs w:val="18"/>
                <w14:numSpacing w14:val="tabular"/>
              </w:rPr>
              <w:t xml:space="preserve"> (9)</w:t>
            </w:r>
          </w:p>
        </w:tc>
        <w:tc>
          <w:tcPr>
            <w:tcW w:w="883" w:type="dxa"/>
            <w:tcBorders>
              <w:top w:val="single" w:sz="6" w:space="0" w:color="auto"/>
              <w:bottom w:val="single" w:sz="6" w:space="0" w:color="auto"/>
              <w:right w:val="single" w:sz="6" w:space="0" w:color="auto"/>
            </w:tcBorders>
          </w:tcPr>
          <w:p w14:paraId="4AB9B1D9" w14:textId="77777777" w:rsidR="00B078AA" w:rsidRPr="008F03E5" w:rsidRDefault="00B078AA" w:rsidP="0005057B">
            <w:pPr>
              <w:jc w:val="center"/>
              <w:rPr>
                <w:sz w:val="18"/>
                <w:szCs w:val="18"/>
                <w14:numSpacing w14:val="tabular"/>
              </w:rPr>
            </w:pPr>
            <w:r w:rsidRPr="008F03E5">
              <w:rPr>
                <w:sz w:val="18"/>
                <w:szCs w:val="18"/>
                <w:rtl/>
                <w14:numSpacing w14:val="tabular"/>
              </w:rPr>
              <w:t>١٠</w:t>
            </w:r>
            <w:r w:rsidRPr="008F03E5">
              <w:rPr>
                <w:sz w:val="18"/>
                <w:szCs w:val="18"/>
                <w14:numSpacing w14:val="tabular"/>
              </w:rPr>
              <w:t xml:space="preserve"> (10)</w:t>
            </w:r>
          </w:p>
        </w:tc>
      </w:tr>
      <w:tr w:rsidR="00B078AA" w:rsidRPr="008F03E5" w14:paraId="7BEE3EA2" w14:textId="77777777" w:rsidTr="0005057B">
        <w:trPr>
          <w:jc w:val="center"/>
        </w:trPr>
        <w:tc>
          <w:tcPr>
            <w:tcW w:w="843" w:type="dxa"/>
            <w:tcBorders>
              <w:top w:val="single" w:sz="6" w:space="0" w:color="auto"/>
              <w:left w:val="single" w:sz="6" w:space="0" w:color="auto"/>
              <w:right w:val="single" w:sz="6" w:space="0" w:color="auto"/>
            </w:tcBorders>
          </w:tcPr>
          <w:p w14:paraId="0C2AF356" w14:textId="77777777" w:rsidR="00B078AA" w:rsidRPr="008F03E5" w:rsidRDefault="00B078AA" w:rsidP="0005057B">
            <w:pPr>
              <w:jc w:val="center"/>
              <w:rPr>
                <w:sz w:val="18"/>
                <w:szCs w:val="18"/>
              </w:rPr>
            </w:pPr>
            <w:r w:rsidRPr="008F03E5">
              <w:rPr>
                <w:sz w:val="18"/>
                <w:szCs w:val="18"/>
              </w:rPr>
              <w:t>Ar.</w:t>
            </w:r>
          </w:p>
          <w:p w14:paraId="66C5E6A2" w14:textId="77777777" w:rsidR="00B078AA" w:rsidRPr="008F03E5" w:rsidRDefault="00B078AA" w:rsidP="0005057B">
            <w:pPr>
              <w:jc w:val="center"/>
              <w:rPr>
                <w:sz w:val="18"/>
                <w:szCs w:val="18"/>
              </w:rPr>
            </w:pPr>
            <w:r w:rsidRPr="008F03E5">
              <w:rPr>
                <w:sz w:val="18"/>
                <w:szCs w:val="18"/>
              </w:rPr>
              <w:t>m./f.</w:t>
            </w:r>
          </w:p>
        </w:tc>
        <w:tc>
          <w:tcPr>
            <w:tcW w:w="624" w:type="dxa"/>
            <w:tcBorders>
              <w:top w:val="single" w:sz="6" w:space="0" w:color="auto"/>
              <w:left w:val="single" w:sz="6" w:space="0" w:color="auto"/>
              <w:bottom w:val="single" w:sz="4" w:space="0" w:color="auto"/>
            </w:tcBorders>
            <w:vAlign w:val="center"/>
          </w:tcPr>
          <w:p w14:paraId="512DBE20" w14:textId="77777777" w:rsidR="00B078AA" w:rsidRPr="008F03E5" w:rsidRDefault="00B078AA" w:rsidP="0005057B">
            <w:pPr>
              <w:jc w:val="center"/>
              <w:rPr>
                <w:sz w:val="18"/>
                <w:szCs w:val="18"/>
              </w:rPr>
            </w:pPr>
            <w:r w:rsidRPr="008F03E5">
              <w:rPr>
                <w:sz w:val="18"/>
                <w:szCs w:val="18"/>
              </w:rPr>
              <w:t>ṣifr</w:t>
            </w:r>
          </w:p>
        </w:tc>
        <w:tc>
          <w:tcPr>
            <w:tcW w:w="693" w:type="dxa"/>
            <w:tcBorders>
              <w:top w:val="single" w:sz="6" w:space="0" w:color="auto"/>
              <w:bottom w:val="single" w:sz="4" w:space="0" w:color="auto"/>
            </w:tcBorders>
            <w:vAlign w:val="center"/>
          </w:tcPr>
          <w:p w14:paraId="62E3B354" w14:textId="77777777" w:rsidR="00B078AA" w:rsidRPr="008F03E5" w:rsidRDefault="00B078AA" w:rsidP="0005057B">
            <w:pPr>
              <w:jc w:val="center"/>
              <w:rPr>
                <w:sz w:val="18"/>
                <w:szCs w:val="18"/>
              </w:rPr>
            </w:pPr>
            <w:r w:rsidRPr="008F03E5">
              <w:rPr>
                <w:sz w:val="18"/>
                <w:szCs w:val="18"/>
              </w:rPr>
              <w:t>wáḥid</w:t>
            </w:r>
          </w:p>
        </w:tc>
        <w:tc>
          <w:tcPr>
            <w:tcW w:w="953" w:type="dxa"/>
            <w:tcBorders>
              <w:top w:val="single" w:sz="6" w:space="0" w:color="auto"/>
              <w:bottom w:val="single" w:sz="4" w:space="0" w:color="auto"/>
            </w:tcBorders>
          </w:tcPr>
          <w:p w14:paraId="54639852" w14:textId="77777777" w:rsidR="00B078AA" w:rsidRPr="008F03E5" w:rsidRDefault="00B078AA" w:rsidP="0005057B">
            <w:pPr>
              <w:rPr>
                <w:sz w:val="18"/>
                <w:szCs w:val="18"/>
              </w:rPr>
            </w:pPr>
            <w:r w:rsidRPr="008F03E5">
              <w:rPr>
                <w:sz w:val="18"/>
                <w:szCs w:val="18"/>
              </w:rPr>
              <w:t>i</w:t>
            </w:r>
            <w:r w:rsidRPr="008F03E5">
              <w:rPr>
                <w:sz w:val="18"/>
                <w:szCs w:val="18"/>
                <w:u w:val="single"/>
              </w:rPr>
              <w:t>th</w:t>
            </w:r>
            <w:r w:rsidRPr="008F03E5">
              <w:rPr>
                <w:sz w:val="18"/>
                <w:szCs w:val="18"/>
              </w:rPr>
              <w:t>náni</w:t>
            </w:r>
          </w:p>
          <w:p w14:paraId="0BD776D5" w14:textId="77777777" w:rsidR="00B078AA" w:rsidRPr="008F03E5" w:rsidRDefault="00B078AA" w:rsidP="0005057B">
            <w:pPr>
              <w:rPr>
                <w:sz w:val="18"/>
                <w:szCs w:val="18"/>
              </w:rPr>
            </w:pPr>
            <w:r w:rsidRPr="008F03E5">
              <w:rPr>
                <w:sz w:val="18"/>
                <w:szCs w:val="18"/>
              </w:rPr>
              <w:t>i</w:t>
            </w:r>
            <w:r w:rsidRPr="008F03E5">
              <w:rPr>
                <w:sz w:val="18"/>
                <w:szCs w:val="18"/>
                <w:u w:val="single"/>
              </w:rPr>
              <w:t>th</w:t>
            </w:r>
            <w:r w:rsidRPr="008F03E5">
              <w:rPr>
                <w:sz w:val="18"/>
                <w:szCs w:val="18"/>
              </w:rPr>
              <w:t>natání</w:t>
            </w:r>
          </w:p>
        </w:tc>
        <w:tc>
          <w:tcPr>
            <w:tcW w:w="1132" w:type="dxa"/>
            <w:tcBorders>
              <w:top w:val="single" w:sz="6" w:space="0" w:color="auto"/>
              <w:bottom w:val="single" w:sz="4" w:space="0" w:color="auto"/>
            </w:tcBorders>
          </w:tcPr>
          <w:p w14:paraId="63F67237" w14:textId="77777777" w:rsidR="00B078AA" w:rsidRPr="008F03E5" w:rsidRDefault="00B078AA" w:rsidP="0005057B">
            <w:pPr>
              <w:keepNext/>
              <w:rPr>
                <w:sz w:val="18"/>
                <w:szCs w:val="18"/>
              </w:rPr>
            </w:pPr>
            <w:r w:rsidRPr="008F03E5">
              <w:rPr>
                <w:sz w:val="18"/>
                <w:szCs w:val="18"/>
                <w:u w:val="single"/>
              </w:rPr>
              <w:t>Th</w:t>
            </w:r>
            <w:r w:rsidRPr="008F03E5">
              <w:rPr>
                <w:sz w:val="18"/>
                <w:szCs w:val="18"/>
              </w:rPr>
              <w:t>alá</w:t>
            </w:r>
            <w:r w:rsidRPr="008F03E5">
              <w:rPr>
                <w:sz w:val="18"/>
                <w:szCs w:val="18"/>
                <w:u w:val="single"/>
              </w:rPr>
              <w:t>th</w:t>
            </w:r>
            <w:r w:rsidRPr="008F03E5">
              <w:rPr>
                <w:sz w:val="18"/>
                <w:szCs w:val="18"/>
              </w:rPr>
              <w:t>a[h]</w:t>
            </w:r>
          </w:p>
          <w:p w14:paraId="00888199" w14:textId="77777777" w:rsidR="00B078AA" w:rsidRPr="008F03E5" w:rsidRDefault="00B078AA" w:rsidP="0005057B">
            <w:pPr>
              <w:keepNext/>
              <w:rPr>
                <w:sz w:val="18"/>
                <w:szCs w:val="18"/>
              </w:rPr>
            </w:pPr>
            <w:r w:rsidRPr="008F03E5">
              <w:rPr>
                <w:sz w:val="18"/>
                <w:szCs w:val="18"/>
                <w:u w:val="single"/>
              </w:rPr>
              <w:t>th</w:t>
            </w:r>
            <w:r w:rsidRPr="008F03E5">
              <w:rPr>
                <w:sz w:val="18"/>
                <w:szCs w:val="18"/>
              </w:rPr>
              <w:t>alát</w:t>
            </w:r>
          </w:p>
        </w:tc>
        <w:tc>
          <w:tcPr>
            <w:tcW w:w="785" w:type="dxa"/>
            <w:tcBorders>
              <w:top w:val="single" w:sz="6" w:space="0" w:color="auto"/>
              <w:bottom w:val="single" w:sz="4" w:space="0" w:color="auto"/>
            </w:tcBorders>
          </w:tcPr>
          <w:p w14:paraId="0FE0875A" w14:textId="77777777" w:rsidR="00B078AA" w:rsidRPr="008F03E5" w:rsidRDefault="00B078AA" w:rsidP="0005057B">
            <w:pPr>
              <w:rPr>
                <w:sz w:val="18"/>
                <w:szCs w:val="18"/>
              </w:rPr>
            </w:pPr>
            <w:r w:rsidRPr="008F03E5">
              <w:rPr>
                <w:sz w:val="18"/>
                <w:szCs w:val="18"/>
              </w:rPr>
              <w:t>arba‘a</w:t>
            </w:r>
          </w:p>
          <w:p w14:paraId="33B54716" w14:textId="77777777" w:rsidR="00B078AA" w:rsidRPr="008F03E5" w:rsidRDefault="00B078AA" w:rsidP="0005057B">
            <w:pPr>
              <w:rPr>
                <w:sz w:val="18"/>
                <w:szCs w:val="18"/>
              </w:rPr>
            </w:pPr>
            <w:r w:rsidRPr="008F03E5">
              <w:rPr>
                <w:sz w:val="18"/>
                <w:szCs w:val="18"/>
              </w:rPr>
              <w:t>arba‘</w:t>
            </w:r>
          </w:p>
        </w:tc>
        <w:tc>
          <w:tcPr>
            <w:tcW w:w="844" w:type="dxa"/>
            <w:tcBorders>
              <w:top w:val="single" w:sz="6" w:space="0" w:color="auto"/>
              <w:bottom w:val="single" w:sz="4" w:space="0" w:color="auto"/>
            </w:tcBorders>
          </w:tcPr>
          <w:p w14:paraId="4C74EF98" w14:textId="77777777" w:rsidR="00B078AA" w:rsidRPr="008F03E5" w:rsidRDefault="00B078AA" w:rsidP="0005057B">
            <w:pPr>
              <w:keepNext/>
              <w:rPr>
                <w:sz w:val="18"/>
                <w:szCs w:val="18"/>
              </w:rPr>
            </w:pPr>
            <w:r w:rsidRPr="008F03E5">
              <w:rPr>
                <w:sz w:val="18"/>
                <w:szCs w:val="18"/>
                <w:u w:val="single"/>
              </w:rPr>
              <w:t>kh</w:t>
            </w:r>
            <w:r w:rsidRPr="008F03E5">
              <w:rPr>
                <w:sz w:val="18"/>
                <w:szCs w:val="18"/>
              </w:rPr>
              <w:t>amsa</w:t>
            </w:r>
          </w:p>
          <w:p w14:paraId="3D187F2F" w14:textId="77777777" w:rsidR="00B078AA" w:rsidRPr="008F03E5" w:rsidRDefault="00B078AA" w:rsidP="0005057B">
            <w:pPr>
              <w:keepNext/>
              <w:rPr>
                <w:sz w:val="18"/>
                <w:szCs w:val="18"/>
              </w:rPr>
            </w:pPr>
            <w:r w:rsidRPr="008F03E5">
              <w:rPr>
                <w:sz w:val="18"/>
                <w:szCs w:val="18"/>
                <w:u w:val="single"/>
              </w:rPr>
              <w:t>kh</w:t>
            </w:r>
            <w:r w:rsidRPr="008F03E5">
              <w:rPr>
                <w:sz w:val="18"/>
                <w:szCs w:val="18"/>
              </w:rPr>
              <w:t>ams</w:t>
            </w:r>
          </w:p>
        </w:tc>
        <w:tc>
          <w:tcPr>
            <w:tcW w:w="676" w:type="dxa"/>
            <w:tcBorders>
              <w:top w:val="single" w:sz="6" w:space="0" w:color="auto"/>
              <w:bottom w:val="single" w:sz="4" w:space="0" w:color="auto"/>
            </w:tcBorders>
          </w:tcPr>
          <w:p w14:paraId="6FD411F3" w14:textId="77777777" w:rsidR="00B078AA" w:rsidRPr="008F03E5" w:rsidRDefault="00B078AA" w:rsidP="0005057B">
            <w:pPr>
              <w:rPr>
                <w:sz w:val="18"/>
                <w:szCs w:val="18"/>
              </w:rPr>
            </w:pPr>
            <w:r w:rsidRPr="008F03E5">
              <w:rPr>
                <w:sz w:val="18"/>
                <w:szCs w:val="18"/>
              </w:rPr>
              <w:t>sita</w:t>
            </w:r>
          </w:p>
          <w:p w14:paraId="35C19C5A" w14:textId="77777777" w:rsidR="00B078AA" w:rsidRPr="008F03E5" w:rsidRDefault="00B078AA" w:rsidP="0005057B">
            <w:pPr>
              <w:rPr>
                <w:sz w:val="18"/>
                <w:szCs w:val="18"/>
              </w:rPr>
            </w:pPr>
            <w:r w:rsidRPr="008F03E5">
              <w:rPr>
                <w:sz w:val="18"/>
                <w:szCs w:val="18"/>
              </w:rPr>
              <w:t>sitt</w:t>
            </w:r>
          </w:p>
        </w:tc>
        <w:tc>
          <w:tcPr>
            <w:tcW w:w="621" w:type="dxa"/>
            <w:tcBorders>
              <w:top w:val="single" w:sz="6" w:space="0" w:color="auto"/>
              <w:bottom w:val="single" w:sz="4" w:space="0" w:color="auto"/>
            </w:tcBorders>
          </w:tcPr>
          <w:p w14:paraId="5F97F2F3" w14:textId="77777777" w:rsidR="00B078AA" w:rsidRPr="008F03E5" w:rsidRDefault="00B078AA" w:rsidP="0005057B">
            <w:pPr>
              <w:rPr>
                <w:sz w:val="18"/>
                <w:szCs w:val="18"/>
              </w:rPr>
            </w:pPr>
            <w:r w:rsidRPr="008F03E5">
              <w:rPr>
                <w:sz w:val="18"/>
                <w:szCs w:val="18"/>
              </w:rPr>
              <w:t>sab‘a</w:t>
            </w:r>
          </w:p>
          <w:p w14:paraId="63502E57" w14:textId="77777777" w:rsidR="00B078AA" w:rsidRPr="008F03E5" w:rsidRDefault="00B078AA" w:rsidP="0005057B">
            <w:pPr>
              <w:rPr>
                <w:sz w:val="18"/>
                <w:szCs w:val="18"/>
              </w:rPr>
            </w:pPr>
            <w:r w:rsidRPr="008F03E5">
              <w:rPr>
                <w:sz w:val="18"/>
                <w:szCs w:val="18"/>
              </w:rPr>
              <w:t>sab‘</w:t>
            </w:r>
          </w:p>
        </w:tc>
        <w:tc>
          <w:tcPr>
            <w:tcW w:w="1031" w:type="dxa"/>
            <w:tcBorders>
              <w:top w:val="single" w:sz="6" w:space="0" w:color="auto"/>
              <w:bottom w:val="single" w:sz="4" w:space="0" w:color="auto"/>
            </w:tcBorders>
          </w:tcPr>
          <w:p w14:paraId="160EA62F" w14:textId="77777777" w:rsidR="00B078AA" w:rsidRPr="008F03E5" w:rsidRDefault="00B078AA" w:rsidP="0005057B">
            <w:pPr>
              <w:keepNext/>
              <w:rPr>
                <w:sz w:val="18"/>
                <w:szCs w:val="18"/>
              </w:rPr>
            </w:pPr>
            <w:r w:rsidRPr="008F03E5">
              <w:rPr>
                <w:sz w:val="18"/>
                <w:szCs w:val="18"/>
                <w:u w:val="single"/>
              </w:rPr>
              <w:t>th</w:t>
            </w:r>
            <w:r w:rsidRPr="008F03E5">
              <w:rPr>
                <w:sz w:val="18"/>
                <w:szCs w:val="18"/>
              </w:rPr>
              <w:t>amániya</w:t>
            </w:r>
          </w:p>
          <w:p w14:paraId="4B0A261A" w14:textId="77777777" w:rsidR="00B078AA" w:rsidRPr="008F03E5" w:rsidRDefault="00B078AA" w:rsidP="0005057B">
            <w:pPr>
              <w:keepNext/>
              <w:rPr>
                <w:sz w:val="18"/>
                <w:szCs w:val="18"/>
              </w:rPr>
            </w:pPr>
            <w:r w:rsidRPr="008F03E5">
              <w:rPr>
                <w:sz w:val="18"/>
                <w:szCs w:val="18"/>
                <w:u w:val="single"/>
              </w:rPr>
              <w:t>th</w:t>
            </w:r>
            <w:r w:rsidRPr="008F03E5">
              <w:rPr>
                <w:sz w:val="18"/>
                <w:szCs w:val="18"/>
              </w:rPr>
              <w:t>amánin</w:t>
            </w:r>
          </w:p>
        </w:tc>
        <w:tc>
          <w:tcPr>
            <w:tcW w:w="608" w:type="dxa"/>
            <w:tcBorders>
              <w:top w:val="single" w:sz="6" w:space="0" w:color="auto"/>
              <w:bottom w:val="single" w:sz="4" w:space="0" w:color="auto"/>
            </w:tcBorders>
          </w:tcPr>
          <w:p w14:paraId="5F6482CB" w14:textId="77777777" w:rsidR="00B078AA" w:rsidRPr="008F03E5" w:rsidRDefault="00B078AA" w:rsidP="0005057B">
            <w:pPr>
              <w:rPr>
                <w:sz w:val="18"/>
                <w:szCs w:val="18"/>
              </w:rPr>
            </w:pPr>
            <w:r w:rsidRPr="008F03E5">
              <w:rPr>
                <w:sz w:val="18"/>
                <w:szCs w:val="18"/>
              </w:rPr>
              <w:t>tis‘a</w:t>
            </w:r>
          </w:p>
          <w:p w14:paraId="2DFA8D4C" w14:textId="77777777" w:rsidR="00B078AA" w:rsidRPr="008F03E5" w:rsidRDefault="00B078AA" w:rsidP="0005057B">
            <w:pPr>
              <w:rPr>
                <w:sz w:val="18"/>
                <w:szCs w:val="18"/>
              </w:rPr>
            </w:pPr>
            <w:r w:rsidRPr="008F03E5">
              <w:rPr>
                <w:sz w:val="18"/>
                <w:szCs w:val="18"/>
              </w:rPr>
              <w:t>tis‘a</w:t>
            </w:r>
          </w:p>
        </w:tc>
        <w:tc>
          <w:tcPr>
            <w:tcW w:w="883" w:type="dxa"/>
            <w:tcBorders>
              <w:top w:val="single" w:sz="6" w:space="0" w:color="auto"/>
              <w:bottom w:val="single" w:sz="4" w:space="0" w:color="auto"/>
              <w:right w:val="single" w:sz="6" w:space="0" w:color="auto"/>
            </w:tcBorders>
          </w:tcPr>
          <w:p w14:paraId="000B7780" w14:textId="77777777" w:rsidR="00B078AA" w:rsidRPr="008F03E5" w:rsidRDefault="00B078AA" w:rsidP="0005057B">
            <w:pPr>
              <w:rPr>
                <w:sz w:val="18"/>
                <w:szCs w:val="18"/>
              </w:rPr>
            </w:pPr>
            <w:r w:rsidRPr="008F03E5">
              <w:rPr>
                <w:sz w:val="18"/>
                <w:szCs w:val="18"/>
              </w:rPr>
              <w:t>‘a</w:t>
            </w:r>
            <w:r w:rsidRPr="008F03E5">
              <w:rPr>
                <w:sz w:val="18"/>
                <w:szCs w:val="18"/>
                <w:u w:val="single"/>
              </w:rPr>
              <w:t>sh</w:t>
            </w:r>
            <w:r w:rsidRPr="008F03E5">
              <w:rPr>
                <w:sz w:val="18"/>
                <w:szCs w:val="18"/>
              </w:rPr>
              <w:t>ara</w:t>
            </w:r>
          </w:p>
          <w:p w14:paraId="52F429A3" w14:textId="77777777" w:rsidR="00B078AA" w:rsidRPr="008F03E5" w:rsidRDefault="00B078AA" w:rsidP="0005057B">
            <w:pPr>
              <w:rPr>
                <w:sz w:val="18"/>
                <w:szCs w:val="18"/>
              </w:rPr>
            </w:pPr>
            <w:r w:rsidRPr="008F03E5">
              <w:rPr>
                <w:sz w:val="18"/>
                <w:szCs w:val="18"/>
              </w:rPr>
              <w:t>‘a</w:t>
            </w:r>
            <w:r w:rsidRPr="008F03E5">
              <w:rPr>
                <w:sz w:val="18"/>
                <w:szCs w:val="18"/>
                <w:u w:val="single"/>
              </w:rPr>
              <w:t>sh</w:t>
            </w:r>
            <w:r w:rsidRPr="008F03E5">
              <w:rPr>
                <w:sz w:val="18"/>
                <w:szCs w:val="18"/>
              </w:rPr>
              <w:t>ar</w:t>
            </w:r>
          </w:p>
        </w:tc>
      </w:tr>
      <w:tr w:rsidR="00B078AA" w:rsidRPr="008F03E5" w14:paraId="385438E6" w14:textId="77777777" w:rsidTr="0005057B">
        <w:trPr>
          <w:jc w:val="center"/>
        </w:trPr>
        <w:tc>
          <w:tcPr>
            <w:tcW w:w="843" w:type="dxa"/>
            <w:tcBorders>
              <w:left w:val="single" w:sz="6" w:space="0" w:color="auto"/>
              <w:bottom w:val="single" w:sz="6" w:space="0" w:color="auto"/>
              <w:right w:val="single" w:sz="6" w:space="0" w:color="auto"/>
            </w:tcBorders>
          </w:tcPr>
          <w:p w14:paraId="7DE5D452" w14:textId="77777777" w:rsidR="00B078AA" w:rsidRPr="008F03E5" w:rsidRDefault="00B078AA" w:rsidP="0005057B">
            <w:pPr>
              <w:jc w:val="center"/>
              <w:rPr>
                <w:sz w:val="18"/>
                <w:szCs w:val="18"/>
              </w:rPr>
            </w:pPr>
            <w:r w:rsidRPr="008F03E5">
              <w:rPr>
                <w:sz w:val="18"/>
                <w:szCs w:val="18"/>
              </w:rPr>
              <w:t>Pers.</w:t>
            </w:r>
          </w:p>
          <w:p w14:paraId="750F3736" w14:textId="77777777" w:rsidR="00B078AA" w:rsidRPr="008F03E5" w:rsidRDefault="00B078AA" w:rsidP="0005057B">
            <w:pPr>
              <w:jc w:val="center"/>
              <w:rPr>
                <w:sz w:val="18"/>
                <w:szCs w:val="18"/>
              </w:rPr>
            </w:pPr>
            <w:r w:rsidRPr="008F03E5">
              <w:rPr>
                <w:sz w:val="18"/>
                <w:szCs w:val="18"/>
              </w:rPr>
              <w:t>m./f.</w:t>
            </w:r>
          </w:p>
        </w:tc>
        <w:tc>
          <w:tcPr>
            <w:tcW w:w="624" w:type="dxa"/>
            <w:tcBorders>
              <w:left w:val="single" w:sz="6" w:space="0" w:color="auto"/>
              <w:bottom w:val="single" w:sz="6" w:space="0" w:color="auto"/>
            </w:tcBorders>
            <w:vAlign w:val="center"/>
          </w:tcPr>
          <w:p w14:paraId="63C60255" w14:textId="77777777" w:rsidR="00B078AA" w:rsidRPr="008F03E5" w:rsidRDefault="00B078AA" w:rsidP="0005057B">
            <w:pPr>
              <w:jc w:val="center"/>
              <w:rPr>
                <w:sz w:val="18"/>
                <w:szCs w:val="18"/>
              </w:rPr>
            </w:pPr>
            <w:r w:rsidRPr="008F03E5">
              <w:rPr>
                <w:sz w:val="18"/>
                <w:szCs w:val="18"/>
              </w:rPr>
              <w:t>ṣifr</w:t>
            </w:r>
          </w:p>
        </w:tc>
        <w:tc>
          <w:tcPr>
            <w:tcW w:w="693" w:type="dxa"/>
            <w:tcBorders>
              <w:bottom w:val="single" w:sz="6" w:space="0" w:color="auto"/>
            </w:tcBorders>
            <w:vAlign w:val="center"/>
          </w:tcPr>
          <w:p w14:paraId="3E54707D" w14:textId="77777777" w:rsidR="00B078AA" w:rsidRPr="008F03E5" w:rsidRDefault="00B078AA" w:rsidP="0005057B">
            <w:pPr>
              <w:jc w:val="center"/>
              <w:rPr>
                <w:sz w:val="18"/>
                <w:szCs w:val="18"/>
              </w:rPr>
            </w:pPr>
            <w:r w:rsidRPr="008F03E5">
              <w:rPr>
                <w:sz w:val="18"/>
                <w:szCs w:val="18"/>
              </w:rPr>
              <w:t>yak</w:t>
            </w:r>
          </w:p>
        </w:tc>
        <w:tc>
          <w:tcPr>
            <w:tcW w:w="953" w:type="dxa"/>
            <w:tcBorders>
              <w:bottom w:val="single" w:sz="6" w:space="0" w:color="auto"/>
            </w:tcBorders>
            <w:vAlign w:val="center"/>
          </w:tcPr>
          <w:p w14:paraId="486C3DAE" w14:textId="77777777" w:rsidR="00B078AA" w:rsidRPr="008F03E5" w:rsidRDefault="00B078AA" w:rsidP="0005057B">
            <w:pPr>
              <w:jc w:val="center"/>
              <w:rPr>
                <w:sz w:val="18"/>
                <w:szCs w:val="18"/>
              </w:rPr>
            </w:pPr>
            <w:r w:rsidRPr="008F03E5">
              <w:rPr>
                <w:sz w:val="18"/>
                <w:szCs w:val="18"/>
              </w:rPr>
              <w:t>du</w:t>
            </w:r>
          </w:p>
        </w:tc>
        <w:tc>
          <w:tcPr>
            <w:tcW w:w="1132" w:type="dxa"/>
            <w:tcBorders>
              <w:bottom w:val="single" w:sz="6" w:space="0" w:color="auto"/>
            </w:tcBorders>
            <w:vAlign w:val="center"/>
          </w:tcPr>
          <w:p w14:paraId="7B8726FB" w14:textId="77777777" w:rsidR="00B078AA" w:rsidRPr="008F03E5" w:rsidRDefault="00B078AA" w:rsidP="0005057B">
            <w:pPr>
              <w:jc w:val="center"/>
              <w:rPr>
                <w:sz w:val="18"/>
                <w:szCs w:val="18"/>
              </w:rPr>
            </w:pPr>
            <w:r w:rsidRPr="008F03E5">
              <w:rPr>
                <w:sz w:val="18"/>
                <w:szCs w:val="18"/>
              </w:rPr>
              <w:t>sih</w:t>
            </w:r>
          </w:p>
        </w:tc>
        <w:tc>
          <w:tcPr>
            <w:tcW w:w="785" w:type="dxa"/>
            <w:tcBorders>
              <w:bottom w:val="single" w:sz="6" w:space="0" w:color="auto"/>
            </w:tcBorders>
            <w:vAlign w:val="center"/>
          </w:tcPr>
          <w:p w14:paraId="0AEF652C" w14:textId="77777777" w:rsidR="00B078AA" w:rsidRPr="008F03E5" w:rsidRDefault="00B078AA" w:rsidP="0005057B">
            <w:pPr>
              <w:jc w:val="center"/>
              <w:rPr>
                <w:sz w:val="18"/>
                <w:szCs w:val="18"/>
              </w:rPr>
            </w:pPr>
            <w:r w:rsidRPr="008F03E5">
              <w:rPr>
                <w:sz w:val="18"/>
                <w:szCs w:val="18"/>
                <w:u w:val="single"/>
              </w:rPr>
              <w:t>ch</w:t>
            </w:r>
            <w:r w:rsidRPr="008F03E5">
              <w:rPr>
                <w:sz w:val="18"/>
                <w:szCs w:val="18"/>
              </w:rPr>
              <w:t>ahár</w:t>
            </w:r>
          </w:p>
        </w:tc>
        <w:tc>
          <w:tcPr>
            <w:tcW w:w="844" w:type="dxa"/>
            <w:tcBorders>
              <w:bottom w:val="single" w:sz="6" w:space="0" w:color="auto"/>
            </w:tcBorders>
          </w:tcPr>
          <w:p w14:paraId="1D08F160" w14:textId="77777777" w:rsidR="00B078AA" w:rsidRPr="008F03E5" w:rsidRDefault="00B078AA" w:rsidP="0005057B">
            <w:pPr>
              <w:rPr>
                <w:sz w:val="18"/>
                <w:szCs w:val="18"/>
              </w:rPr>
            </w:pPr>
            <w:r w:rsidRPr="008F03E5">
              <w:rPr>
                <w:sz w:val="18"/>
                <w:szCs w:val="18"/>
              </w:rPr>
              <w:t>panj</w:t>
            </w:r>
          </w:p>
          <w:p w14:paraId="7B209FAD" w14:textId="77777777" w:rsidR="00B078AA" w:rsidRPr="008F03E5" w:rsidRDefault="00B078AA" w:rsidP="0005057B">
            <w:pPr>
              <w:rPr>
                <w:sz w:val="18"/>
                <w:szCs w:val="18"/>
              </w:rPr>
            </w:pPr>
            <w:r w:rsidRPr="008F03E5">
              <w:rPr>
                <w:sz w:val="18"/>
                <w:szCs w:val="18"/>
                <w:u w:val="single"/>
              </w:rPr>
              <w:t>kh</w:t>
            </w:r>
            <w:r w:rsidRPr="008F03E5">
              <w:rPr>
                <w:sz w:val="18"/>
                <w:szCs w:val="18"/>
              </w:rPr>
              <w:t>ams</w:t>
            </w:r>
          </w:p>
        </w:tc>
        <w:tc>
          <w:tcPr>
            <w:tcW w:w="676" w:type="dxa"/>
            <w:tcBorders>
              <w:bottom w:val="single" w:sz="6" w:space="0" w:color="auto"/>
            </w:tcBorders>
          </w:tcPr>
          <w:p w14:paraId="2D9AABB5" w14:textId="77777777" w:rsidR="00B078AA" w:rsidRPr="008F03E5" w:rsidRDefault="00B078AA" w:rsidP="0005057B">
            <w:pPr>
              <w:rPr>
                <w:sz w:val="18"/>
                <w:szCs w:val="18"/>
              </w:rPr>
            </w:pPr>
            <w:r w:rsidRPr="008F03E5">
              <w:rPr>
                <w:sz w:val="18"/>
                <w:szCs w:val="18"/>
                <w:u w:val="single"/>
              </w:rPr>
              <w:t>sh</w:t>
            </w:r>
            <w:r w:rsidRPr="008F03E5">
              <w:rPr>
                <w:sz w:val="18"/>
                <w:szCs w:val="18"/>
              </w:rPr>
              <w:t>a</w:t>
            </w:r>
            <w:r w:rsidRPr="008F03E5">
              <w:rPr>
                <w:sz w:val="18"/>
                <w:szCs w:val="18"/>
                <w:u w:val="single"/>
              </w:rPr>
              <w:t>sh</w:t>
            </w:r>
          </w:p>
          <w:p w14:paraId="21B9FBF9" w14:textId="77777777" w:rsidR="00B078AA" w:rsidRPr="008F03E5" w:rsidRDefault="00B078AA" w:rsidP="0005057B">
            <w:pPr>
              <w:rPr>
                <w:sz w:val="18"/>
                <w:szCs w:val="18"/>
              </w:rPr>
            </w:pPr>
            <w:r w:rsidRPr="008F03E5">
              <w:rPr>
                <w:sz w:val="18"/>
                <w:szCs w:val="18"/>
              </w:rPr>
              <w:t>sitt</w:t>
            </w:r>
          </w:p>
        </w:tc>
        <w:tc>
          <w:tcPr>
            <w:tcW w:w="621" w:type="dxa"/>
            <w:tcBorders>
              <w:bottom w:val="single" w:sz="6" w:space="0" w:color="auto"/>
            </w:tcBorders>
          </w:tcPr>
          <w:p w14:paraId="7704424A" w14:textId="77777777" w:rsidR="00B078AA" w:rsidRPr="008F03E5" w:rsidRDefault="00B078AA" w:rsidP="0005057B">
            <w:pPr>
              <w:rPr>
                <w:sz w:val="18"/>
                <w:szCs w:val="18"/>
              </w:rPr>
            </w:pPr>
            <w:r w:rsidRPr="008F03E5">
              <w:rPr>
                <w:sz w:val="18"/>
                <w:szCs w:val="18"/>
              </w:rPr>
              <w:t>haft</w:t>
            </w:r>
          </w:p>
          <w:p w14:paraId="797011FB" w14:textId="77777777" w:rsidR="00B078AA" w:rsidRPr="008F03E5" w:rsidRDefault="00B078AA" w:rsidP="0005057B">
            <w:pPr>
              <w:rPr>
                <w:sz w:val="18"/>
                <w:szCs w:val="18"/>
              </w:rPr>
            </w:pPr>
            <w:r w:rsidRPr="008F03E5">
              <w:rPr>
                <w:sz w:val="18"/>
                <w:szCs w:val="18"/>
              </w:rPr>
              <w:t>sab‘</w:t>
            </w:r>
          </w:p>
        </w:tc>
        <w:tc>
          <w:tcPr>
            <w:tcW w:w="1031" w:type="dxa"/>
            <w:tcBorders>
              <w:bottom w:val="single" w:sz="6" w:space="0" w:color="auto"/>
            </w:tcBorders>
            <w:vAlign w:val="center"/>
          </w:tcPr>
          <w:p w14:paraId="5B6EC930" w14:textId="77777777" w:rsidR="00B078AA" w:rsidRPr="008F03E5" w:rsidRDefault="00B078AA" w:rsidP="0005057B">
            <w:pPr>
              <w:jc w:val="center"/>
              <w:rPr>
                <w:sz w:val="18"/>
                <w:szCs w:val="18"/>
              </w:rPr>
            </w:pPr>
            <w:r w:rsidRPr="008F03E5">
              <w:rPr>
                <w:sz w:val="18"/>
                <w:szCs w:val="18"/>
              </w:rPr>
              <w:t>ha</w:t>
            </w:r>
            <w:r w:rsidRPr="008F03E5">
              <w:rPr>
                <w:sz w:val="18"/>
                <w:szCs w:val="18"/>
                <w:u w:val="single"/>
              </w:rPr>
              <w:t>sh</w:t>
            </w:r>
            <w:r w:rsidRPr="008F03E5">
              <w:rPr>
                <w:sz w:val="18"/>
                <w:szCs w:val="18"/>
              </w:rPr>
              <w:t>t</w:t>
            </w:r>
          </w:p>
        </w:tc>
        <w:tc>
          <w:tcPr>
            <w:tcW w:w="608" w:type="dxa"/>
            <w:tcBorders>
              <w:bottom w:val="single" w:sz="6" w:space="0" w:color="auto"/>
            </w:tcBorders>
          </w:tcPr>
          <w:p w14:paraId="44290BC8" w14:textId="77777777" w:rsidR="00B078AA" w:rsidRPr="008F03E5" w:rsidRDefault="00B078AA" w:rsidP="0005057B">
            <w:pPr>
              <w:rPr>
                <w:sz w:val="18"/>
                <w:szCs w:val="18"/>
              </w:rPr>
            </w:pPr>
            <w:r w:rsidRPr="008F03E5">
              <w:rPr>
                <w:sz w:val="18"/>
                <w:szCs w:val="18"/>
              </w:rPr>
              <w:t>nuh</w:t>
            </w:r>
          </w:p>
          <w:p w14:paraId="75B5CD39" w14:textId="77777777" w:rsidR="00B078AA" w:rsidRPr="008F03E5" w:rsidRDefault="00B078AA" w:rsidP="0005057B">
            <w:pPr>
              <w:rPr>
                <w:sz w:val="18"/>
                <w:szCs w:val="18"/>
              </w:rPr>
            </w:pPr>
            <w:r w:rsidRPr="008F03E5">
              <w:rPr>
                <w:sz w:val="18"/>
                <w:szCs w:val="18"/>
              </w:rPr>
              <w:t>tis‘a</w:t>
            </w:r>
          </w:p>
        </w:tc>
        <w:tc>
          <w:tcPr>
            <w:tcW w:w="883" w:type="dxa"/>
            <w:tcBorders>
              <w:bottom w:val="single" w:sz="6" w:space="0" w:color="auto"/>
              <w:right w:val="single" w:sz="6" w:space="0" w:color="auto"/>
            </w:tcBorders>
            <w:vAlign w:val="center"/>
          </w:tcPr>
          <w:p w14:paraId="5A8EEE2E" w14:textId="77777777" w:rsidR="00B078AA" w:rsidRPr="008F03E5" w:rsidRDefault="00B078AA" w:rsidP="0005057B">
            <w:pPr>
              <w:jc w:val="center"/>
              <w:rPr>
                <w:sz w:val="18"/>
                <w:szCs w:val="18"/>
              </w:rPr>
            </w:pPr>
            <w:r w:rsidRPr="008F03E5">
              <w:rPr>
                <w:sz w:val="18"/>
                <w:szCs w:val="18"/>
              </w:rPr>
              <w:t>dah</w:t>
            </w:r>
          </w:p>
        </w:tc>
      </w:tr>
    </w:tbl>
    <w:p w14:paraId="2B8E0CD6" w14:textId="59019B6D" w:rsidR="00FD1284" w:rsidRPr="008F03E5" w:rsidRDefault="00FD1284" w:rsidP="00FD1284">
      <w:pPr>
        <w:pStyle w:val="Myhead3"/>
      </w:pPr>
      <w:bookmarkStart w:id="176" w:name="_Toc149326085"/>
      <w:r w:rsidRPr="008F03E5">
        <w:t>Plurals</w:t>
      </w:r>
      <w:bookmarkEnd w:id="176"/>
      <w:r w:rsidRPr="00FD1284">
        <w:rPr>
          <w:b w:val="0"/>
          <w:bCs/>
          <w:i w:val="0"/>
          <w:iCs/>
          <w:sz w:val="12"/>
          <w:szCs w:val="12"/>
        </w:rPr>
        <w:fldChar w:fldCharType="begin"/>
      </w:r>
      <w:r w:rsidRPr="00FD1284">
        <w:rPr>
          <w:b w:val="0"/>
          <w:bCs/>
          <w:i w:val="0"/>
          <w:iCs/>
          <w:sz w:val="12"/>
          <w:szCs w:val="12"/>
        </w:rPr>
        <w:instrText xml:space="preserve"> TC “</w:instrText>
      </w:r>
      <w:bookmarkStart w:id="177" w:name="_Toc149476371"/>
      <w:bookmarkStart w:id="178" w:name="_Toc167691881"/>
      <w:r w:rsidRPr="00E56695">
        <w:rPr>
          <w:b w:val="0"/>
          <w:bCs/>
          <w:sz w:val="12"/>
          <w:szCs w:val="12"/>
        </w:rPr>
        <w:instrText>Plurals</w:instrText>
      </w:r>
      <w:r w:rsidRPr="00E56695">
        <w:rPr>
          <w:b w:val="0"/>
          <w:bCs/>
          <w:color w:val="FFFFFF" w:themeColor="background1"/>
          <w:sz w:val="12"/>
          <w:szCs w:val="12"/>
        </w:rPr>
        <w:instrText>..</w:instrText>
      </w:r>
      <w:r w:rsidRPr="00E56695">
        <w:rPr>
          <w:b w:val="0"/>
          <w:bCs/>
          <w:sz w:val="12"/>
          <w:szCs w:val="12"/>
        </w:rPr>
        <w:tab/>
      </w:r>
      <w:r w:rsidRPr="00E56695">
        <w:rPr>
          <w:b w:val="0"/>
          <w:bCs/>
          <w:color w:val="FFFFFF" w:themeColor="background1"/>
          <w:sz w:val="12"/>
          <w:szCs w:val="12"/>
        </w:rPr>
        <w:instrText>.</w:instrText>
      </w:r>
      <w:bookmarkEnd w:id="177"/>
      <w:bookmarkEnd w:id="178"/>
      <w:r w:rsidRPr="00FD1284">
        <w:rPr>
          <w:b w:val="0"/>
          <w:bCs/>
          <w:i w:val="0"/>
          <w:iCs/>
          <w:sz w:val="12"/>
          <w:szCs w:val="12"/>
        </w:rPr>
        <w:instrText>” \l 2</w:instrText>
      </w:r>
      <w:r w:rsidRPr="00FD1284">
        <w:rPr>
          <w:b w:val="0"/>
          <w:bCs/>
          <w:i w:val="0"/>
          <w:iCs/>
          <w:sz w:val="12"/>
          <w:szCs w:val="12"/>
        </w:rPr>
        <w:fldChar w:fldCharType="end"/>
      </w:r>
    </w:p>
    <w:p w14:paraId="038F46B0" w14:textId="2DB4949E" w:rsidR="00FD1284" w:rsidRPr="008F03E5" w:rsidRDefault="00FD1284" w:rsidP="004649BE">
      <w:pPr>
        <w:pStyle w:val="MyHead4"/>
        <w:keepNext/>
      </w:pPr>
      <w:r w:rsidRPr="008F03E5">
        <w:t>Arabic</w:t>
      </w:r>
    </w:p>
    <w:p w14:paraId="2A97725B" w14:textId="77777777" w:rsidR="00FD1284" w:rsidRPr="008F03E5" w:rsidRDefault="00FD1284" w:rsidP="00FD1284">
      <w:pPr>
        <w:pStyle w:val="Text"/>
      </w:pPr>
      <w:r w:rsidRPr="008F03E5">
        <w:t>Regular plurals for masculine nouns, add the suffix -ún (for the nominative) or -ín (for the accusative and genitive); for feminine nouns, add the suffix -át.  However, not all plurals follow these simple rules.  One class of nouns in both spoken and written Arabic produce plurals by changing the pattern of vowels inside the word, sometimes also with the addition of a prefix or suffix.  This system is not fully regular, and it is used mainly for masculine non-human nouns; human nouns are pluralized regularly or irregularly.</w:t>
      </w:r>
    </w:p>
    <w:p w14:paraId="0F0ACB2D" w14:textId="03B63A15" w:rsidR="00FD1284" w:rsidRPr="008F03E5" w:rsidRDefault="00FD1284" w:rsidP="004649BE">
      <w:pPr>
        <w:pStyle w:val="MyHead4"/>
        <w:keepNext/>
      </w:pPr>
      <w:r w:rsidRPr="008F03E5">
        <w:t>Persian</w:t>
      </w:r>
    </w:p>
    <w:p w14:paraId="2C214714" w14:textId="77777777" w:rsidR="00FD1284" w:rsidRPr="008F03E5" w:rsidRDefault="00FD1284" w:rsidP="00FD1284">
      <w:pPr>
        <w:pStyle w:val="Text"/>
      </w:pPr>
      <w:r w:rsidRPr="008F03E5">
        <w:t>The most common and productive form of pluralization for Persian nouns is with the suffix -há (not joined in formal Persian).  This is typically used for non-human nouns.  Another productive plural suffix is án, used for human nouns (with alternative forms gán after the short vowel “i” and “yán” after other vowels).  Many nouns borrowed from Arabic feminine forms pluralize using the át suffix.  Nouns borrowed from Arabic human forms often pluralize using the ín suffix.  The most challenging type of noun pluralization is for Arabic broken plurals, which are formed through internal vowel alternation.  These nouns pluralize in Persian like their counterparts in Arabic.</w:t>
      </w:r>
    </w:p>
    <w:p w14:paraId="4CDA1DD9" w14:textId="3489B8EF" w:rsidR="00930CA5" w:rsidRPr="008F03E5" w:rsidRDefault="00930CA5" w:rsidP="00E11C3A">
      <w:pPr>
        <w:pStyle w:val="Myhead3"/>
        <w:rPr>
          <w:lang w:val="en-GB"/>
        </w:rPr>
      </w:pPr>
      <w:r w:rsidRPr="008F03E5">
        <w:rPr>
          <w:lang w:val="en-GB"/>
        </w:rPr>
        <w:t>Underdots</w:t>
      </w:r>
      <w:r w:rsidR="00BB58C6" w:rsidRPr="00BB58C6">
        <w:rPr>
          <w:b w:val="0"/>
          <w:i w:val="0"/>
          <w:iCs/>
          <w:sz w:val="12"/>
        </w:rPr>
        <w:fldChar w:fldCharType="begin"/>
      </w:r>
      <w:r w:rsidR="00BB58C6" w:rsidRPr="00BB58C6">
        <w:rPr>
          <w:b w:val="0"/>
          <w:i w:val="0"/>
          <w:iCs/>
          <w:sz w:val="12"/>
        </w:rPr>
        <w:instrText xml:space="preserve"> TC “</w:instrText>
      </w:r>
      <w:bookmarkStart w:id="179" w:name="_Toc149476384"/>
      <w:bookmarkStart w:id="180" w:name="_Toc167691882"/>
      <w:r w:rsidR="00BB58C6" w:rsidRPr="00E56695">
        <w:rPr>
          <w:b w:val="0"/>
          <w:sz w:val="12"/>
        </w:rPr>
        <w:instrText>Underdots</w:instrText>
      </w:r>
      <w:r w:rsidR="00BB58C6" w:rsidRPr="00E56695">
        <w:rPr>
          <w:b w:val="0"/>
          <w:color w:val="FFFFFF" w:themeColor="background1"/>
          <w:sz w:val="12"/>
        </w:rPr>
        <w:instrText>..</w:instrText>
      </w:r>
      <w:r w:rsidR="00BB58C6" w:rsidRPr="00E56695">
        <w:rPr>
          <w:b w:val="0"/>
          <w:sz w:val="12"/>
        </w:rPr>
        <w:tab/>
      </w:r>
      <w:r w:rsidR="00BB58C6" w:rsidRPr="00E56695">
        <w:rPr>
          <w:b w:val="0"/>
          <w:color w:val="FFFFFF" w:themeColor="background1"/>
          <w:sz w:val="12"/>
        </w:rPr>
        <w:instrText>.</w:instrText>
      </w:r>
      <w:bookmarkEnd w:id="179"/>
      <w:bookmarkEnd w:id="180"/>
      <w:r w:rsidR="00BB58C6" w:rsidRPr="00BB58C6">
        <w:rPr>
          <w:b w:val="0"/>
          <w:i w:val="0"/>
          <w:iCs/>
          <w:sz w:val="12"/>
        </w:rPr>
        <w:instrText>” \l 2</w:instrText>
      </w:r>
      <w:r w:rsidR="00BB58C6" w:rsidRPr="00BB58C6">
        <w:rPr>
          <w:b w:val="0"/>
          <w:i w:val="0"/>
          <w:iCs/>
          <w:sz w:val="12"/>
        </w:rPr>
        <w:fldChar w:fldCharType="end"/>
      </w:r>
    </w:p>
    <w:p w14:paraId="66B7EE6A" w14:textId="77777777" w:rsidR="00930CA5" w:rsidRPr="008F03E5" w:rsidRDefault="00930CA5" w:rsidP="00930CA5">
      <w:pPr>
        <w:pStyle w:val="Text"/>
      </w:pPr>
      <w:r w:rsidRPr="008F03E5">
        <w:t xml:space="preserve">There are three methods of </w:t>
      </w:r>
      <w:r>
        <w:t>adding</w:t>
      </w:r>
      <w:r w:rsidRPr="008F03E5">
        <w:t xml:space="preserve"> letters with underdots:</w:t>
      </w:r>
    </w:p>
    <w:p w14:paraId="39423785" w14:textId="77777777" w:rsidR="00930CA5" w:rsidRPr="008F03E5" w:rsidRDefault="00930CA5" w:rsidP="00930CA5">
      <w:pPr>
        <w:pStyle w:val="BulletText"/>
      </w:pPr>
      <w:r w:rsidRPr="008F03E5">
        <w:t>a)</w:t>
      </w:r>
      <w:r w:rsidRPr="008F03E5">
        <w:tab/>
        <w:t>Use the Microsoft Word EQ field.  The disadvantages of this method are that it increases the line spacing (it can be fixed to some extent using “Exact” line spacing), it makes searching for sequences of letters very difficult, and it cannot be converted for use in other file formats.</w:t>
      </w:r>
    </w:p>
    <w:p w14:paraId="3C58A915" w14:textId="77777777" w:rsidR="00930CA5" w:rsidRPr="008F03E5" w:rsidRDefault="00930CA5" w:rsidP="00930CA5">
      <w:pPr>
        <w:pStyle w:val="Bullettextcont"/>
      </w:pPr>
      <w:r w:rsidRPr="008F03E5">
        <w:t>b)</w:t>
      </w:r>
      <w:r w:rsidRPr="008F03E5">
        <w:tab/>
        <w:t>Use combining dot (U+0323) or diaeresis (U+0324) below.  [In Word, type in the letter, Insert | Symbol, More Symbols, scroll down to the Combining Diacritical Marks subset and select the combining character.]</w:t>
      </w:r>
    </w:p>
    <w:p w14:paraId="305B5436" w14:textId="77777777" w:rsidR="00930CA5" w:rsidRPr="008F03E5" w:rsidRDefault="00930CA5" w:rsidP="00930CA5">
      <w:pPr>
        <w:pStyle w:val="Bullettextcont"/>
      </w:pPr>
      <w:r w:rsidRPr="008F03E5">
        <w:t>c)</w:t>
      </w:r>
      <w:r w:rsidRPr="008F03E5">
        <w:tab/>
        <w:t>The best option is to use the underdotted letters from an extended open type font character set (not all fonts contain these letters in their character set).</w:t>
      </w:r>
    </w:p>
    <w:p w14:paraId="3ABA5D54" w14:textId="6ED8C305" w:rsidR="00930CA5" w:rsidRPr="008F03E5" w:rsidRDefault="00930CA5" w:rsidP="00E11C3A">
      <w:pPr>
        <w:pStyle w:val="Myhead3"/>
        <w:rPr>
          <w:lang w:val="en-GB"/>
        </w:rPr>
      </w:pPr>
      <w:r w:rsidRPr="008F03E5">
        <w:rPr>
          <w:lang w:val="en-GB"/>
        </w:rPr>
        <w:t>Underscores</w:t>
      </w:r>
      <w:r w:rsidR="00BB58C6" w:rsidRPr="00BB58C6">
        <w:rPr>
          <w:b w:val="0"/>
          <w:i w:val="0"/>
          <w:iCs/>
          <w:sz w:val="12"/>
        </w:rPr>
        <w:fldChar w:fldCharType="begin"/>
      </w:r>
      <w:r w:rsidR="00BB58C6" w:rsidRPr="00BB58C6">
        <w:rPr>
          <w:b w:val="0"/>
          <w:i w:val="0"/>
          <w:iCs/>
          <w:sz w:val="12"/>
        </w:rPr>
        <w:instrText xml:space="preserve"> TC “</w:instrText>
      </w:r>
      <w:bookmarkStart w:id="181" w:name="_Toc149476385"/>
      <w:bookmarkStart w:id="182" w:name="_Toc167691883"/>
      <w:r w:rsidR="00BB58C6" w:rsidRPr="00E56695">
        <w:rPr>
          <w:b w:val="0"/>
          <w:sz w:val="12"/>
        </w:rPr>
        <w:instrText>Underscores</w:instrText>
      </w:r>
      <w:r w:rsidR="00BB58C6" w:rsidRPr="00E56695">
        <w:rPr>
          <w:b w:val="0"/>
          <w:color w:val="FFFFFF" w:themeColor="background1"/>
          <w:sz w:val="12"/>
        </w:rPr>
        <w:instrText>..</w:instrText>
      </w:r>
      <w:r w:rsidR="00BB58C6" w:rsidRPr="00E56695">
        <w:rPr>
          <w:b w:val="0"/>
          <w:sz w:val="12"/>
        </w:rPr>
        <w:tab/>
      </w:r>
      <w:r w:rsidR="00BB58C6" w:rsidRPr="00E56695">
        <w:rPr>
          <w:b w:val="0"/>
          <w:color w:val="FFFFFF" w:themeColor="background1"/>
          <w:sz w:val="12"/>
        </w:rPr>
        <w:instrText>.</w:instrText>
      </w:r>
      <w:bookmarkEnd w:id="181"/>
      <w:bookmarkEnd w:id="182"/>
      <w:r w:rsidR="00BB58C6" w:rsidRPr="00BB58C6">
        <w:rPr>
          <w:b w:val="0"/>
          <w:i w:val="0"/>
          <w:iCs/>
          <w:sz w:val="12"/>
        </w:rPr>
        <w:instrText>” \l 2</w:instrText>
      </w:r>
      <w:r w:rsidR="00BB58C6" w:rsidRPr="00BB58C6">
        <w:rPr>
          <w:b w:val="0"/>
          <w:i w:val="0"/>
          <w:iCs/>
          <w:sz w:val="12"/>
        </w:rPr>
        <w:fldChar w:fldCharType="end"/>
      </w:r>
    </w:p>
    <w:p w14:paraId="1A9B44D2" w14:textId="77777777" w:rsidR="00930CA5" w:rsidRPr="008F03E5" w:rsidRDefault="00930CA5" w:rsidP="00930CA5">
      <w:pPr>
        <w:pStyle w:val="Text"/>
      </w:pPr>
      <w:r w:rsidRPr="008F03E5">
        <w:t>The line placed under ‘ch’, ‘dh’, ‘kh’, ‘sh’, ‘th’ and ‘zh’ indicates that these combinations of two letters in Roman script represent the sound of a single letter in the original script.</w:t>
      </w:r>
    </w:p>
    <w:p w14:paraId="0E4A6B7D" w14:textId="39A34891" w:rsidR="00F42DB7" w:rsidRPr="008F03E5" w:rsidRDefault="00F42DB7" w:rsidP="00F42DB7">
      <w:pPr>
        <w:pStyle w:val="Myhead3"/>
      </w:pPr>
      <w:bookmarkStart w:id="183" w:name="_Toc149326109"/>
      <w:bookmarkStart w:id="184" w:name="_Toc149326091"/>
      <w:r w:rsidRPr="008F03E5">
        <w:t>Vowel sounds</w:t>
      </w:r>
      <w:bookmarkEnd w:id="183"/>
      <w:r w:rsidRPr="00F42DB7">
        <w:rPr>
          <w:b w:val="0"/>
          <w:bCs/>
          <w:i w:val="0"/>
          <w:iCs/>
          <w:sz w:val="12"/>
          <w:szCs w:val="12"/>
        </w:rPr>
        <w:fldChar w:fldCharType="begin"/>
      </w:r>
      <w:r w:rsidRPr="00F42DB7">
        <w:rPr>
          <w:b w:val="0"/>
          <w:bCs/>
          <w:i w:val="0"/>
          <w:iCs/>
          <w:sz w:val="12"/>
          <w:szCs w:val="12"/>
          <w:lang w:val="en-AU"/>
        </w:rPr>
        <w:instrText xml:space="preserve"> TC “</w:instrText>
      </w:r>
      <w:bookmarkStart w:id="185" w:name="_Toc149476419"/>
      <w:bookmarkStart w:id="186" w:name="_Toc167691884"/>
      <w:r w:rsidRPr="00E56695">
        <w:rPr>
          <w:b w:val="0"/>
          <w:bCs/>
          <w:sz w:val="12"/>
          <w:szCs w:val="12"/>
        </w:rPr>
        <w:instrText>Vowel sounds</w:instrText>
      </w:r>
      <w:r w:rsidRPr="00E56695">
        <w:rPr>
          <w:b w:val="0"/>
          <w:bCs/>
          <w:color w:val="FFFFFF" w:themeColor="background1"/>
          <w:sz w:val="12"/>
          <w:szCs w:val="12"/>
          <w:lang w:val="en-AU"/>
        </w:rPr>
        <w:instrText>..</w:instrText>
      </w:r>
      <w:r w:rsidRPr="00E56695">
        <w:rPr>
          <w:b w:val="0"/>
          <w:bCs/>
          <w:sz w:val="12"/>
          <w:szCs w:val="12"/>
          <w:lang w:val="en-AU"/>
        </w:rPr>
        <w:tab/>
      </w:r>
      <w:r w:rsidRPr="00E56695">
        <w:rPr>
          <w:b w:val="0"/>
          <w:bCs/>
          <w:color w:val="FFFFFF" w:themeColor="background1"/>
          <w:sz w:val="12"/>
          <w:szCs w:val="12"/>
          <w:lang w:val="en-AU"/>
        </w:rPr>
        <w:instrText>.</w:instrText>
      </w:r>
      <w:bookmarkEnd w:id="185"/>
      <w:bookmarkEnd w:id="186"/>
      <w:r w:rsidRPr="00F42DB7">
        <w:rPr>
          <w:b w:val="0"/>
          <w:bCs/>
          <w:i w:val="0"/>
          <w:iCs/>
          <w:sz w:val="12"/>
          <w:szCs w:val="12"/>
          <w:lang w:val="en-AU"/>
        </w:rPr>
        <w:instrText>” \l 2</w:instrText>
      </w:r>
      <w:r w:rsidRPr="00F42DB7">
        <w:rPr>
          <w:b w:val="0"/>
          <w:bCs/>
          <w:i w:val="0"/>
          <w:iCs/>
          <w:sz w:val="12"/>
          <w:szCs w:val="12"/>
        </w:rPr>
        <w:fldChar w:fldCharType="end"/>
      </w:r>
    </w:p>
    <w:p w14:paraId="580A6543" w14:textId="77777777" w:rsidR="00F42DB7" w:rsidRPr="008F03E5" w:rsidRDefault="00F42DB7" w:rsidP="00F42DB7">
      <w:pPr>
        <w:pStyle w:val="Text"/>
      </w:pPr>
      <w:r w:rsidRPr="008F03E5">
        <w:t>The following information is provided merely as a very simple introduction to pronunciation.</w:t>
      </w:r>
      <w:r w:rsidRPr="008F03E5">
        <w:rPr>
          <w:rStyle w:val="FootnoteReference"/>
        </w:rPr>
        <w:footnoteReference w:id="29"/>
      </w:r>
    </w:p>
    <w:p w14:paraId="21DBA6CA" w14:textId="77777777" w:rsidR="00F42DB7" w:rsidRPr="008F03E5" w:rsidRDefault="00F42DB7" w:rsidP="00F42DB7">
      <w:pPr>
        <w:pStyle w:val="Text"/>
      </w:pPr>
      <w:r w:rsidRPr="008F03E5">
        <w:t>Accenting provides a guide to the pronunciation of vowel sounds in standard Arabic.  Any attempt to show how vowels are pronounced using English word examples is limited by the fact that English words themselves are pronounced differently in different English speaking regions.  The sound of short Arabic vowels is also affected by which Arabic consonant precedes them.</w:t>
      </w:r>
    </w:p>
    <w:p w14:paraId="029A58FF" w14:textId="77777777" w:rsidR="00F42DB7" w:rsidRPr="008F03E5" w:rsidRDefault="00F42DB7" w:rsidP="00F42DB7">
      <w:pPr>
        <w:pStyle w:val="Bullet2"/>
      </w:pPr>
      <w:r w:rsidRPr="008F03E5">
        <w:t>á</w:t>
      </w:r>
      <w:r w:rsidRPr="008F03E5">
        <w:tab/>
        <w:t>a long a as in ‘ah’, ‘arm’ or ‘father’</w:t>
      </w:r>
    </w:p>
    <w:p w14:paraId="7654D84B" w14:textId="77777777" w:rsidR="00F42DB7" w:rsidRPr="008F03E5" w:rsidRDefault="00F42DB7" w:rsidP="00F42DB7">
      <w:pPr>
        <w:pStyle w:val="Bullet2ct"/>
      </w:pPr>
      <w:r w:rsidRPr="008F03E5">
        <w:t>a</w:t>
      </w:r>
      <w:r w:rsidRPr="008F03E5">
        <w:tab/>
        <w:t>a short a as in ‘band’, ‘account’ or ‘ran’</w:t>
      </w:r>
    </w:p>
    <w:p w14:paraId="2FFAB527" w14:textId="77777777" w:rsidR="00F42DB7" w:rsidRPr="008F03E5" w:rsidRDefault="00F42DB7" w:rsidP="00F42DB7">
      <w:pPr>
        <w:pStyle w:val="Bullet2ct"/>
      </w:pPr>
      <w:r w:rsidRPr="008F03E5">
        <w:t>í</w:t>
      </w:r>
      <w:r w:rsidRPr="008F03E5">
        <w:tab/>
        <w:t>the vowel sound ‘ee’ as in ‘meet’ or ‘feet’</w:t>
      </w:r>
    </w:p>
    <w:p w14:paraId="400465F8" w14:textId="77777777" w:rsidR="00F42DB7" w:rsidRPr="008F03E5" w:rsidRDefault="00F42DB7" w:rsidP="00F42DB7">
      <w:pPr>
        <w:pStyle w:val="Bullet2ct"/>
      </w:pPr>
      <w:r w:rsidRPr="008F03E5">
        <w:t>i</w:t>
      </w:r>
      <w:r w:rsidRPr="008F03E5">
        <w:tab/>
        <w:t>a simple ‘i’ sound as in ‘hit’, ‘bit’ or ‘sit’</w:t>
      </w:r>
    </w:p>
    <w:p w14:paraId="03C8BBE8" w14:textId="77777777" w:rsidR="00F42DB7" w:rsidRPr="008F03E5" w:rsidRDefault="00F42DB7" w:rsidP="00F42DB7">
      <w:pPr>
        <w:pStyle w:val="Bullet2ct"/>
      </w:pPr>
      <w:r w:rsidRPr="008F03E5">
        <w:t>ú</w:t>
      </w:r>
      <w:r w:rsidRPr="008F03E5">
        <w:tab/>
        <w:t>a ‘oo’ sound as in ‘boot’, ‘moon’ or ‘root’</w:t>
      </w:r>
    </w:p>
    <w:p w14:paraId="46DD5A78" w14:textId="77777777" w:rsidR="00F42DB7" w:rsidRPr="008F03E5" w:rsidRDefault="00F42DB7" w:rsidP="00F42DB7">
      <w:pPr>
        <w:pStyle w:val="Bullet2ct"/>
      </w:pPr>
      <w:r w:rsidRPr="008F03E5">
        <w:t>u</w:t>
      </w:r>
      <w:r w:rsidRPr="008F03E5">
        <w:tab/>
        <w:t>a ‘o’ sound as in ‘put’</w:t>
      </w:r>
    </w:p>
    <w:p w14:paraId="34E4875C" w14:textId="77777777" w:rsidR="00F42DB7" w:rsidRPr="008F03E5" w:rsidRDefault="00F42DB7" w:rsidP="00F42DB7">
      <w:pPr>
        <w:pStyle w:val="Bullet2ct"/>
      </w:pPr>
      <w:r w:rsidRPr="008F03E5">
        <w:t>aw</w:t>
      </w:r>
      <w:r w:rsidRPr="008F03E5">
        <w:tab/>
        <w:t>as ‘ow’ sound in ‘vowel’</w:t>
      </w:r>
    </w:p>
    <w:p w14:paraId="1FC8AF13" w14:textId="60809769" w:rsidR="00F42DB7" w:rsidRDefault="003E066E" w:rsidP="00F42DB7">
      <w:pPr>
        <w:pStyle w:val="Myhead"/>
      </w:pPr>
      <w:r w:rsidRPr="008F03E5">
        <w:t>Bahá’í</w:t>
      </w:r>
      <w:r w:rsidR="00F42DB7" w:rsidRPr="00BB58C6">
        <w:rPr>
          <w:b w:val="0"/>
          <w:sz w:val="12"/>
        </w:rPr>
        <w:fldChar w:fldCharType="begin"/>
      </w:r>
      <w:r w:rsidR="00F42DB7" w:rsidRPr="00BB58C6">
        <w:rPr>
          <w:b w:val="0"/>
          <w:sz w:val="12"/>
        </w:rPr>
        <w:instrText xml:space="preserve"> TC “</w:instrText>
      </w:r>
      <w:bookmarkStart w:id="187" w:name="_Toc167691885"/>
      <w:r w:rsidR="00F42DB7" w:rsidRPr="00BB58C6">
        <w:rPr>
          <w:b w:val="0"/>
          <w:sz w:val="12"/>
        </w:rPr>
        <w:instrText>Bahá’í</w:instrText>
      </w:r>
      <w:r w:rsidR="00F42DB7" w:rsidRPr="00BB58C6">
        <w:rPr>
          <w:b w:val="0"/>
          <w:color w:val="FFFFFF" w:themeColor="background1"/>
          <w:sz w:val="12"/>
        </w:rPr>
        <w:instrText>..</w:instrText>
      </w:r>
      <w:r w:rsidR="00F42DB7" w:rsidRPr="00BB58C6">
        <w:rPr>
          <w:b w:val="0"/>
          <w:sz w:val="12"/>
        </w:rPr>
        <w:tab/>
      </w:r>
      <w:r w:rsidR="00F42DB7" w:rsidRPr="00BB58C6">
        <w:rPr>
          <w:b w:val="0"/>
          <w:color w:val="FFFFFF" w:themeColor="background1"/>
          <w:sz w:val="12"/>
        </w:rPr>
        <w:instrText>.</w:instrText>
      </w:r>
      <w:bookmarkEnd w:id="187"/>
      <w:r w:rsidR="00F42DB7" w:rsidRPr="00BB58C6">
        <w:rPr>
          <w:b w:val="0"/>
          <w:sz w:val="12"/>
        </w:rPr>
        <w:instrText>” \l 1</w:instrText>
      </w:r>
      <w:r w:rsidR="00F42DB7" w:rsidRPr="00BB58C6">
        <w:rPr>
          <w:b w:val="0"/>
          <w:sz w:val="12"/>
        </w:rPr>
        <w:fldChar w:fldCharType="end"/>
      </w:r>
    </w:p>
    <w:p w14:paraId="0F031A3B" w14:textId="608B51DF" w:rsidR="00795F2E" w:rsidRPr="008F03E5" w:rsidRDefault="00795F2E" w:rsidP="00F42DB7">
      <w:pPr>
        <w:pStyle w:val="Myhead3"/>
        <w:spacing w:after="120"/>
      </w:pPr>
      <w:bookmarkStart w:id="188" w:name="_Toc149326092"/>
      <w:bookmarkEnd w:id="184"/>
      <w:r w:rsidRPr="008F03E5">
        <w:t>Apostles</w:t>
      </w:r>
      <w:bookmarkEnd w:id="188"/>
      <w:r w:rsidR="00F42DB7">
        <w:t xml:space="preserve"> of Bahá’u’lláh</w:t>
      </w:r>
      <w:r w:rsidR="00BB58C6" w:rsidRPr="00F42DB7">
        <w:rPr>
          <w:b w:val="0"/>
          <w:i w:val="0"/>
          <w:iCs/>
          <w:sz w:val="12"/>
          <w:szCs w:val="12"/>
        </w:rPr>
        <w:fldChar w:fldCharType="begin"/>
      </w:r>
      <w:r w:rsidR="00BB58C6" w:rsidRPr="00F42DB7">
        <w:rPr>
          <w:b w:val="0"/>
          <w:i w:val="0"/>
          <w:iCs/>
          <w:sz w:val="12"/>
          <w:szCs w:val="12"/>
        </w:rPr>
        <w:instrText xml:space="preserve"> TC “</w:instrText>
      </w:r>
      <w:bookmarkStart w:id="189" w:name="_Toc149476387"/>
      <w:bookmarkStart w:id="190" w:name="_Toc167691886"/>
      <w:r w:rsidR="00F42DB7" w:rsidRPr="00E56695">
        <w:rPr>
          <w:b w:val="0"/>
          <w:sz w:val="12"/>
          <w:szCs w:val="12"/>
        </w:rPr>
        <w:instrText xml:space="preserve">Apostles of </w:instrText>
      </w:r>
      <w:r w:rsidR="00BB58C6" w:rsidRPr="00E56695">
        <w:rPr>
          <w:b w:val="0"/>
          <w:sz w:val="12"/>
          <w:szCs w:val="12"/>
        </w:rPr>
        <w:instrText>Bahá’u’lláh</w:instrText>
      </w:r>
      <w:r w:rsidR="00BB58C6" w:rsidRPr="00E56695">
        <w:rPr>
          <w:b w:val="0"/>
          <w:color w:val="FFFFFF" w:themeColor="background1"/>
          <w:sz w:val="12"/>
          <w:szCs w:val="12"/>
        </w:rPr>
        <w:instrText>..</w:instrText>
      </w:r>
      <w:r w:rsidR="00BB58C6" w:rsidRPr="00E56695">
        <w:rPr>
          <w:b w:val="0"/>
          <w:sz w:val="12"/>
          <w:szCs w:val="12"/>
        </w:rPr>
        <w:tab/>
      </w:r>
      <w:r w:rsidR="00BB58C6" w:rsidRPr="00F42DB7">
        <w:rPr>
          <w:b w:val="0"/>
          <w:i w:val="0"/>
          <w:iCs/>
          <w:color w:val="FFFFFF" w:themeColor="background1"/>
          <w:sz w:val="12"/>
          <w:szCs w:val="12"/>
        </w:rPr>
        <w:instrText>.</w:instrText>
      </w:r>
      <w:bookmarkEnd w:id="189"/>
      <w:bookmarkEnd w:id="190"/>
      <w:r w:rsidR="00BB58C6" w:rsidRPr="00F42DB7">
        <w:rPr>
          <w:b w:val="0"/>
          <w:i w:val="0"/>
          <w:iCs/>
          <w:sz w:val="12"/>
          <w:szCs w:val="12"/>
        </w:rPr>
        <w:instrText xml:space="preserve">” \l </w:instrText>
      </w:r>
      <w:r w:rsidR="00F42DB7" w:rsidRPr="00F42DB7">
        <w:rPr>
          <w:b w:val="0"/>
          <w:i w:val="0"/>
          <w:iCs/>
          <w:sz w:val="12"/>
          <w:szCs w:val="12"/>
        </w:rPr>
        <w:instrText>2</w:instrText>
      </w:r>
      <w:r w:rsidR="00BB58C6" w:rsidRPr="00F42DB7">
        <w:rPr>
          <w:b w:val="0"/>
          <w:i w:val="0"/>
          <w:iCs/>
          <w:sz w:val="12"/>
          <w:szCs w:val="12"/>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4195"/>
        <w:gridCol w:w="567"/>
        <w:gridCol w:w="3626"/>
      </w:tblGrid>
      <w:tr w:rsidR="00755038" w:rsidRPr="008F03E5" w14:paraId="4DF61B79" w14:textId="77777777" w:rsidTr="00F019FC">
        <w:trPr>
          <w:jc w:val="center"/>
        </w:trPr>
        <w:tc>
          <w:tcPr>
            <w:tcW w:w="561" w:type="dxa"/>
            <w:tcBorders>
              <w:top w:val="single" w:sz="6" w:space="0" w:color="auto"/>
              <w:left w:val="single" w:sz="6" w:space="0" w:color="auto"/>
              <w:right w:val="single" w:sz="4" w:space="0" w:color="auto"/>
            </w:tcBorders>
          </w:tcPr>
          <w:p w14:paraId="05121531" w14:textId="5E04BBCB"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1</w:t>
            </w:r>
          </w:p>
        </w:tc>
        <w:tc>
          <w:tcPr>
            <w:tcW w:w="4195" w:type="dxa"/>
            <w:tcBorders>
              <w:top w:val="single" w:sz="6" w:space="0" w:color="auto"/>
              <w:left w:val="single" w:sz="4" w:space="0" w:color="auto"/>
              <w:right w:val="single" w:sz="6" w:space="0" w:color="auto"/>
            </w:tcBorders>
          </w:tcPr>
          <w:p w14:paraId="21C39E6B" w14:textId="77777777" w:rsidR="004017FC" w:rsidRPr="008F03E5" w:rsidRDefault="004017FC" w:rsidP="0052542F">
            <w:pPr>
              <w:rPr>
                <w:sz w:val="18"/>
                <w:szCs w:val="18"/>
              </w:rPr>
            </w:pPr>
            <w:r w:rsidRPr="008F03E5">
              <w:rPr>
                <w:sz w:val="18"/>
                <w:szCs w:val="18"/>
              </w:rPr>
              <w:t>Mírzá</w:t>
            </w:r>
            <w:r w:rsidR="00D30688" w:rsidRPr="008F03E5">
              <w:rPr>
                <w:sz w:val="18"/>
                <w:szCs w:val="18"/>
              </w:rPr>
              <w:t xml:space="preserve"> </w:t>
            </w:r>
            <w:r w:rsidRPr="008F03E5">
              <w:rPr>
                <w:sz w:val="18"/>
                <w:szCs w:val="18"/>
              </w:rPr>
              <w:t>Músá</w:t>
            </w:r>
            <w:r w:rsidR="00D30688" w:rsidRPr="008F03E5">
              <w:rPr>
                <w:sz w:val="18"/>
                <w:szCs w:val="18"/>
              </w:rPr>
              <w:t xml:space="preserve"> </w:t>
            </w:r>
            <w:r w:rsidRPr="008F03E5">
              <w:rPr>
                <w:sz w:val="18"/>
                <w:szCs w:val="18"/>
              </w:rPr>
              <w:t>(Kalím),</w:t>
            </w:r>
            <w:r w:rsidR="00D30688" w:rsidRPr="008F03E5">
              <w:rPr>
                <w:sz w:val="18"/>
                <w:szCs w:val="18"/>
              </w:rPr>
              <w:t xml:space="preserve"> </w:t>
            </w:r>
            <w:r w:rsidRPr="008F03E5">
              <w:rPr>
                <w:sz w:val="18"/>
                <w:szCs w:val="18"/>
              </w:rPr>
              <w:t>the</w:t>
            </w:r>
            <w:r w:rsidR="00D30688" w:rsidRPr="008F03E5">
              <w:rPr>
                <w:sz w:val="18"/>
                <w:szCs w:val="18"/>
              </w:rPr>
              <w:t xml:space="preserve"> </w:t>
            </w:r>
            <w:r w:rsidRPr="008F03E5">
              <w:rPr>
                <w:sz w:val="18"/>
                <w:szCs w:val="18"/>
              </w:rPr>
              <w:t>brother</w:t>
            </w:r>
            <w:r w:rsidR="00D30688" w:rsidRPr="008F03E5">
              <w:rPr>
                <w:sz w:val="18"/>
                <w:szCs w:val="18"/>
              </w:rPr>
              <w:t xml:space="preserve"> </w:t>
            </w:r>
            <w:r w:rsidRPr="008F03E5">
              <w:rPr>
                <w:sz w:val="18"/>
                <w:szCs w:val="18"/>
              </w:rPr>
              <w:t>of</w:t>
            </w:r>
            <w:r w:rsidR="00D30688" w:rsidRPr="008F03E5">
              <w:rPr>
                <w:sz w:val="18"/>
                <w:szCs w:val="18"/>
              </w:rPr>
              <w:t xml:space="preserve"> </w:t>
            </w:r>
            <w:r w:rsidRPr="008F03E5">
              <w:rPr>
                <w:sz w:val="18"/>
                <w:szCs w:val="18"/>
              </w:rPr>
              <w:t>Bahá’u’lláh</w:t>
            </w:r>
          </w:p>
        </w:tc>
        <w:tc>
          <w:tcPr>
            <w:tcW w:w="567" w:type="dxa"/>
            <w:tcBorders>
              <w:top w:val="single" w:sz="6" w:space="0" w:color="auto"/>
              <w:left w:val="single" w:sz="6" w:space="0" w:color="auto"/>
              <w:right w:val="single" w:sz="4" w:space="0" w:color="auto"/>
            </w:tcBorders>
          </w:tcPr>
          <w:p w14:paraId="68A12963" w14:textId="77777777" w:rsidR="004017FC" w:rsidRPr="008F03E5" w:rsidRDefault="004017FC" w:rsidP="00AC32BD">
            <w:pPr>
              <w:tabs>
                <w:tab w:val="decimal" w:pos="203"/>
              </w:tabs>
              <w:rPr>
                <w:sz w:val="18"/>
                <w:szCs w:val="18"/>
                <w14:numSpacing w14:val="tabular"/>
              </w:rPr>
            </w:pPr>
            <w:r w:rsidRPr="008F03E5">
              <w:rPr>
                <w:sz w:val="18"/>
                <w:szCs w:val="18"/>
                <w14:numSpacing w14:val="tabular"/>
              </w:rPr>
              <w:t>11</w:t>
            </w:r>
          </w:p>
        </w:tc>
        <w:tc>
          <w:tcPr>
            <w:tcW w:w="3626" w:type="dxa"/>
            <w:tcBorders>
              <w:top w:val="single" w:sz="6" w:space="0" w:color="auto"/>
              <w:left w:val="single" w:sz="4" w:space="0" w:color="auto"/>
              <w:right w:val="single" w:sz="6" w:space="0" w:color="auto"/>
            </w:tcBorders>
          </w:tcPr>
          <w:p w14:paraId="09BDB5DA" w14:textId="77777777" w:rsidR="004017FC" w:rsidRPr="008F03E5" w:rsidRDefault="004017FC" w:rsidP="00825D95">
            <w:pPr>
              <w:rPr>
                <w:sz w:val="18"/>
                <w:szCs w:val="18"/>
              </w:rPr>
            </w:pPr>
            <w:r w:rsidRPr="008F03E5">
              <w:rPr>
                <w:sz w:val="18"/>
                <w:szCs w:val="18"/>
              </w:rPr>
              <w:t>Mírzá</w:t>
            </w:r>
            <w:r w:rsidR="00D30688" w:rsidRPr="008F03E5">
              <w:rPr>
                <w:sz w:val="18"/>
                <w:szCs w:val="18"/>
              </w:rPr>
              <w:t xml:space="preserve"> </w:t>
            </w:r>
            <w:r w:rsidRPr="008F03E5">
              <w:rPr>
                <w:sz w:val="18"/>
                <w:szCs w:val="18"/>
              </w:rPr>
              <w:t>Muḥammad-Taqí</w:t>
            </w:r>
            <w:r w:rsidR="00D30688" w:rsidRPr="008F03E5">
              <w:rPr>
                <w:sz w:val="18"/>
                <w:szCs w:val="18"/>
              </w:rPr>
              <w:t xml:space="preserve"> </w:t>
            </w:r>
            <w:r w:rsidRPr="008F03E5">
              <w:rPr>
                <w:sz w:val="18"/>
                <w:szCs w:val="18"/>
              </w:rPr>
              <w:t>(Ibn-i-Abhar)</w:t>
            </w:r>
          </w:p>
        </w:tc>
      </w:tr>
      <w:tr w:rsidR="00755038" w:rsidRPr="008F03E5" w14:paraId="14495E5F" w14:textId="77777777" w:rsidTr="00F019FC">
        <w:trPr>
          <w:jc w:val="center"/>
        </w:trPr>
        <w:tc>
          <w:tcPr>
            <w:tcW w:w="561" w:type="dxa"/>
            <w:tcBorders>
              <w:left w:val="single" w:sz="6" w:space="0" w:color="auto"/>
              <w:right w:val="single" w:sz="4" w:space="0" w:color="auto"/>
            </w:tcBorders>
          </w:tcPr>
          <w:p w14:paraId="7588E265" w14:textId="2C15DE7A"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2</w:t>
            </w:r>
          </w:p>
        </w:tc>
        <w:tc>
          <w:tcPr>
            <w:tcW w:w="4195" w:type="dxa"/>
            <w:tcBorders>
              <w:left w:val="single" w:sz="4" w:space="0" w:color="auto"/>
              <w:right w:val="single" w:sz="6" w:space="0" w:color="auto"/>
            </w:tcBorders>
          </w:tcPr>
          <w:p w14:paraId="1F623D0C" w14:textId="77777777" w:rsidR="004017FC" w:rsidRPr="008F03E5" w:rsidRDefault="004017FC" w:rsidP="0052542F">
            <w:pPr>
              <w:rPr>
                <w:sz w:val="18"/>
                <w:szCs w:val="18"/>
              </w:rPr>
            </w:pPr>
            <w:r w:rsidRPr="008F03E5">
              <w:rPr>
                <w:sz w:val="18"/>
                <w:szCs w:val="18"/>
              </w:rPr>
              <w:t>Mírzá</w:t>
            </w:r>
            <w:r w:rsidR="00D30688" w:rsidRPr="008F03E5">
              <w:rPr>
                <w:sz w:val="18"/>
                <w:szCs w:val="18"/>
              </w:rPr>
              <w:t xml:space="preserve"> </w:t>
            </w:r>
            <w:r w:rsidRPr="008F03E5">
              <w:rPr>
                <w:sz w:val="18"/>
                <w:szCs w:val="18"/>
              </w:rPr>
              <w:t>Buzurg</w:t>
            </w:r>
            <w:r w:rsidR="00D30688" w:rsidRPr="008F03E5">
              <w:rPr>
                <w:sz w:val="18"/>
                <w:szCs w:val="18"/>
              </w:rPr>
              <w:t xml:space="preserve"> </w:t>
            </w:r>
            <w:r w:rsidRPr="008F03E5">
              <w:rPr>
                <w:sz w:val="18"/>
                <w:szCs w:val="18"/>
              </w:rPr>
              <w:t>(Badí</w:t>
            </w:r>
            <w:r w:rsidR="001369B6" w:rsidRPr="008F03E5">
              <w:rPr>
                <w:sz w:val="18"/>
                <w:szCs w:val="18"/>
              </w:rPr>
              <w:t>‘</w:t>
            </w:r>
            <w:r w:rsidRPr="008F03E5">
              <w:rPr>
                <w:sz w:val="18"/>
                <w:szCs w:val="18"/>
              </w:rPr>
              <w:t>)</w:t>
            </w:r>
          </w:p>
        </w:tc>
        <w:tc>
          <w:tcPr>
            <w:tcW w:w="567" w:type="dxa"/>
            <w:tcBorders>
              <w:left w:val="single" w:sz="6" w:space="0" w:color="auto"/>
              <w:right w:val="single" w:sz="4" w:space="0" w:color="auto"/>
            </w:tcBorders>
          </w:tcPr>
          <w:p w14:paraId="16CCAEAF" w14:textId="77777777" w:rsidR="004017FC" w:rsidRPr="008F03E5" w:rsidRDefault="004017FC" w:rsidP="00AC32BD">
            <w:pPr>
              <w:tabs>
                <w:tab w:val="decimal" w:pos="203"/>
              </w:tabs>
              <w:rPr>
                <w:sz w:val="18"/>
                <w:szCs w:val="18"/>
                <w14:numSpacing w14:val="tabular"/>
              </w:rPr>
            </w:pPr>
            <w:r w:rsidRPr="008F03E5">
              <w:rPr>
                <w:sz w:val="18"/>
                <w:szCs w:val="18"/>
                <w14:numSpacing w14:val="tabular"/>
              </w:rPr>
              <w:t>12</w:t>
            </w:r>
          </w:p>
        </w:tc>
        <w:tc>
          <w:tcPr>
            <w:tcW w:w="3626" w:type="dxa"/>
            <w:tcBorders>
              <w:left w:val="single" w:sz="4" w:space="0" w:color="auto"/>
              <w:right w:val="single" w:sz="6" w:space="0" w:color="auto"/>
            </w:tcBorders>
          </w:tcPr>
          <w:p w14:paraId="45562154" w14:textId="77777777" w:rsidR="004017FC" w:rsidRPr="008F03E5" w:rsidRDefault="004017FC" w:rsidP="00825D95">
            <w:pPr>
              <w:rPr>
                <w:sz w:val="18"/>
                <w:szCs w:val="18"/>
              </w:rPr>
            </w:pPr>
            <w:r w:rsidRPr="008F03E5">
              <w:rPr>
                <w:sz w:val="18"/>
                <w:szCs w:val="18"/>
              </w:rPr>
              <w:t>Mullá</w:t>
            </w:r>
            <w:r w:rsidR="00D30688" w:rsidRPr="008F03E5">
              <w:rPr>
                <w:sz w:val="18"/>
                <w:szCs w:val="18"/>
              </w:rPr>
              <w:t xml:space="preserve"> </w:t>
            </w:r>
            <w:r w:rsidRPr="008F03E5">
              <w:rPr>
                <w:sz w:val="18"/>
                <w:szCs w:val="18"/>
              </w:rPr>
              <w:t>Muḥammad</w:t>
            </w:r>
            <w:r w:rsidR="00D30688" w:rsidRPr="008F03E5">
              <w:rPr>
                <w:sz w:val="18"/>
                <w:szCs w:val="18"/>
              </w:rPr>
              <w:t xml:space="preserve"> </w:t>
            </w:r>
            <w:r w:rsidRPr="008F03E5">
              <w:rPr>
                <w:sz w:val="18"/>
                <w:szCs w:val="18"/>
              </w:rPr>
              <w:t>(Nabíl-i-A‘ẓam)</w:t>
            </w:r>
          </w:p>
        </w:tc>
      </w:tr>
      <w:tr w:rsidR="00755038" w:rsidRPr="008F03E5" w14:paraId="709AC109" w14:textId="77777777" w:rsidTr="00F019FC">
        <w:trPr>
          <w:jc w:val="center"/>
        </w:trPr>
        <w:tc>
          <w:tcPr>
            <w:tcW w:w="561" w:type="dxa"/>
            <w:tcBorders>
              <w:left w:val="single" w:sz="6" w:space="0" w:color="auto"/>
              <w:right w:val="single" w:sz="4" w:space="0" w:color="auto"/>
            </w:tcBorders>
          </w:tcPr>
          <w:p w14:paraId="5DB62798" w14:textId="51B872B8"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3</w:t>
            </w:r>
          </w:p>
        </w:tc>
        <w:tc>
          <w:tcPr>
            <w:tcW w:w="4195" w:type="dxa"/>
            <w:tcBorders>
              <w:left w:val="single" w:sz="4" w:space="0" w:color="auto"/>
              <w:right w:val="single" w:sz="6" w:space="0" w:color="auto"/>
            </w:tcBorders>
          </w:tcPr>
          <w:p w14:paraId="3019DE31" w14:textId="77777777" w:rsidR="004017FC" w:rsidRPr="008F03E5" w:rsidRDefault="004017FC" w:rsidP="0052542F">
            <w:pPr>
              <w:rPr>
                <w:sz w:val="18"/>
                <w:szCs w:val="18"/>
              </w:rPr>
            </w:pPr>
            <w:r w:rsidRPr="008F03E5">
              <w:rPr>
                <w:sz w:val="18"/>
                <w:szCs w:val="18"/>
              </w:rPr>
              <w:t>Siyyid</w:t>
            </w:r>
            <w:r w:rsidR="00D30688" w:rsidRPr="008F03E5">
              <w:rPr>
                <w:sz w:val="18"/>
                <w:szCs w:val="18"/>
              </w:rPr>
              <w:t xml:space="preserve"> </w:t>
            </w:r>
            <w:r w:rsidRPr="008F03E5">
              <w:rPr>
                <w:sz w:val="18"/>
                <w:szCs w:val="18"/>
              </w:rPr>
              <w:t>Ḥasan</w:t>
            </w:r>
            <w:r w:rsidR="00D30688" w:rsidRPr="008F03E5">
              <w:rPr>
                <w:sz w:val="18"/>
                <w:szCs w:val="18"/>
              </w:rPr>
              <w:t xml:space="preserve"> </w:t>
            </w:r>
            <w:r w:rsidRPr="008F03E5">
              <w:rPr>
                <w:sz w:val="18"/>
                <w:szCs w:val="18"/>
              </w:rPr>
              <w:t>(Sulṭánu’sh-Shuhadá’)</w:t>
            </w:r>
          </w:p>
        </w:tc>
        <w:tc>
          <w:tcPr>
            <w:tcW w:w="567" w:type="dxa"/>
            <w:tcBorders>
              <w:left w:val="single" w:sz="6" w:space="0" w:color="auto"/>
              <w:right w:val="single" w:sz="4" w:space="0" w:color="auto"/>
            </w:tcBorders>
          </w:tcPr>
          <w:p w14:paraId="6B6DCDD2" w14:textId="77777777" w:rsidR="004017FC" w:rsidRPr="008F03E5" w:rsidRDefault="004017FC" w:rsidP="00AC32BD">
            <w:pPr>
              <w:tabs>
                <w:tab w:val="decimal" w:pos="203"/>
              </w:tabs>
              <w:rPr>
                <w:sz w:val="18"/>
                <w:szCs w:val="18"/>
                <w14:numSpacing w14:val="tabular"/>
              </w:rPr>
            </w:pPr>
            <w:r w:rsidRPr="008F03E5">
              <w:rPr>
                <w:sz w:val="18"/>
                <w:szCs w:val="18"/>
                <w14:numSpacing w14:val="tabular"/>
              </w:rPr>
              <w:t>13</w:t>
            </w:r>
          </w:p>
        </w:tc>
        <w:tc>
          <w:tcPr>
            <w:tcW w:w="3626" w:type="dxa"/>
            <w:tcBorders>
              <w:left w:val="single" w:sz="4" w:space="0" w:color="auto"/>
              <w:right w:val="single" w:sz="6" w:space="0" w:color="auto"/>
            </w:tcBorders>
          </w:tcPr>
          <w:p w14:paraId="6E7DF130" w14:textId="77777777" w:rsidR="004017FC" w:rsidRPr="008F03E5" w:rsidRDefault="004017FC" w:rsidP="004017FC">
            <w:pPr>
              <w:tabs>
                <w:tab w:val="right" w:pos="291"/>
              </w:tabs>
              <w:rPr>
                <w:sz w:val="18"/>
                <w:szCs w:val="18"/>
              </w:rPr>
            </w:pPr>
            <w:r w:rsidRPr="008F03E5">
              <w:rPr>
                <w:sz w:val="18"/>
                <w:szCs w:val="18"/>
                <w:u w:val="single"/>
              </w:rPr>
              <w:t>Sh</w:t>
            </w:r>
            <w:r w:rsidRPr="008F03E5">
              <w:rPr>
                <w:sz w:val="18"/>
                <w:szCs w:val="18"/>
              </w:rPr>
              <w:t>ay</w:t>
            </w:r>
            <w:r w:rsidRPr="008F03E5">
              <w:rPr>
                <w:sz w:val="18"/>
                <w:szCs w:val="18"/>
                <w:u w:val="single"/>
              </w:rPr>
              <w:t>kh</w:t>
            </w:r>
            <w:r w:rsidR="00D30688" w:rsidRPr="008F03E5">
              <w:rPr>
                <w:sz w:val="18"/>
                <w:szCs w:val="18"/>
              </w:rPr>
              <w:t xml:space="preserve"> </w:t>
            </w:r>
            <w:r w:rsidRPr="008F03E5">
              <w:rPr>
                <w:sz w:val="18"/>
                <w:szCs w:val="18"/>
              </w:rPr>
              <w:t>Káẓim</w:t>
            </w:r>
            <w:r w:rsidR="00D30688" w:rsidRPr="008F03E5">
              <w:rPr>
                <w:sz w:val="18"/>
                <w:szCs w:val="18"/>
              </w:rPr>
              <w:t xml:space="preserve"> </w:t>
            </w:r>
            <w:r w:rsidRPr="008F03E5">
              <w:rPr>
                <w:sz w:val="18"/>
                <w:szCs w:val="18"/>
              </w:rPr>
              <w:t>(Samandarí)</w:t>
            </w:r>
          </w:p>
        </w:tc>
      </w:tr>
      <w:tr w:rsidR="00755038" w:rsidRPr="008F03E5" w14:paraId="7D12D14C" w14:textId="77777777" w:rsidTr="00F019FC">
        <w:trPr>
          <w:jc w:val="center"/>
        </w:trPr>
        <w:tc>
          <w:tcPr>
            <w:tcW w:w="561" w:type="dxa"/>
            <w:tcBorders>
              <w:left w:val="single" w:sz="6" w:space="0" w:color="auto"/>
              <w:right w:val="single" w:sz="4" w:space="0" w:color="auto"/>
            </w:tcBorders>
          </w:tcPr>
          <w:p w14:paraId="7BEC672F" w14:textId="07DA032C"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4</w:t>
            </w:r>
          </w:p>
        </w:tc>
        <w:tc>
          <w:tcPr>
            <w:tcW w:w="4195" w:type="dxa"/>
            <w:tcBorders>
              <w:left w:val="single" w:sz="4" w:space="0" w:color="auto"/>
              <w:right w:val="single" w:sz="6" w:space="0" w:color="auto"/>
            </w:tcBorders>
          </w:tcPr>
          <w:p w14:paraId="373F6C16" w14:textId="77777777" w:rsidR="004017FC" w:rsidRPr="008F03E5" w:rsidRDefault="004017FC" w:rsidP="0052542F">
            <w:pPr>
              <w:rPr>
                <w:sz w:val="18"/>
                <w:szCs w:val="18"/>
              </w:rPr>
            </w:pPr>
            <w:r w:rsidRPr="008F03E5">
              <w:rPr>
                <w:sz w:val="18"/>
                <w:szCs w:val="18"/>
              </w:rPr>
              <w:t>Mullá</w:t>
            </w:r>
            <w:r w:rsidR="00D30688" w:rsidRPr="008F03E5">
              <w:rPr>
                <w:sz w:val="18"/>
                <w:szCs w:val="18"/>
              </w:rPr>
              <w:t xml:space="preserve"> </w:t>
            </w:r>
            <w:r w:rsidRPr="008F03E5">
              <w:rPr>
                <w:sz w:val="18"/>
                <w:szCs w:val="18"/>
              </w:rPr>
              <w:t>Abu’l-Ḥasan</w:t>
            </w:r>
            <w:r w:rsidR="00D30688" w:rsidRPr="008F03E5">
              <w:rPr>
                <w:sz w:val="18"/>
                <w:szCs w:val="18"/>
              </w:rPr>
              <w:t xml:space="preserve"> </w:t>
            </w:r>
            <w:r w:rsidRPr="008F03E5">
              <w:rPr>
                <w:sz w:val="18"/>
                <w:szCs w:val="18"/>
              </w:rPr>
              <w:t>(Amín)</w:t>
            </w:r>
          </w:p>
        </w:tc>
        <w:tc>
          <w:tcPr>
            <w:tcW w:w="567" w:type="dxa"/>
            <w:tcBorders>
              <w:left w:val="single" w:sz="6" w:space="0" w:color="auto"/>
              <w:right w:val="single" w:sz="4" w:space="0" w:color="auto"/>
            </w:tcBorders>
          </w:tcPr>
          <w:p w14:paraId="17226522" w14:textId="77777777" w:rsidR="004017FC" w:rsidRPr="008F03E5" w:rsidRDefault="004017FC" w:rsidP="00AC32BD">
            <w:pPr>
              <w:tabs>
                <w:tab w:val="decimal" w:pos="203"/>
              </w:tabs>
              <w:rPr>
                <w:sz w:val="18"/>
                <w:szCs w:val="18"/>
                <w14:numSpacing w14:val="tabular"/>
              </w:rPr>
            </w:pPr>
            <w:r w:rsidRPr="008F03E5">
              <w:rPr>
                <w:sz w:val="18"/>
                <w:szCs w:val="18"/>
                <w14:numSpacing w14:val="tabular"/>
              </w:rPr>
              <w:t>14</w:t>
            </w:r>
          </w:p>
        </w:tc>
        <w:tc>
          <w:tcPr>
            <w:tcW w:w="3626" w:type="dxa"/>
            <w:tcBorders>
              <w:left w:val="single" w:sz="4" w:space="0" w:color="auto"/>
              <w:right w:val="single" w:sz="6" w:space="0" w:color="auto"/>
            </w:tcBorders>
          </w:tcPr>
          <w:p w14:paraId="1D8E745D" w14:textId="77777777" w:rsidR="004017FC" w:rsidRPr="008F03E5" w:rsidRDefault="004017FC" w:rsidP="00825D95">
            <w:pPr>
              <w:rPr>
                <w:sz w:val="18"/>
                <w:szCs w:val="18"/>
              </w:rPr>
            </w:pPr>
            <w:r w:rsidRPr="008F03E5">
              <w:rPr>
                <w:sz w:val="18"/>
                <w:szCs w:val="18"/>
              </w:rPr>
              <w:t>Mírzá</w:t>
            </w:r>
            <w:r w:rsidR="00D30688" w:rsidRPr="008F03E5">
              <w:rPr>
                <w:sz w:val="18"/>
                <w:szCs w:val="18"/>
              </w:rPr>
              <w:t xml:space="preserve"> </w:t>
            </w:r>
            <w:r w:rsidRPr="008F03E5">
              <w:rPr>
                <w:sz w:val="18"/>
                <w:szCs w:val="18"/>
              </w:rPr>
              <w:t>Muḥammad</w:t>
            </w:r>
            <w:r w:rsidR="00D30688" w:rsidRPr="008F03E5">
              <w:rPr>
                <w:sz w:val="18"/>
                <w:szCs w:val="18"/>
              </w:rPr>
              <w:t xml:space="preserve"> </w:t>
            </w:r>
            <w:r w:rsidRPr="008F03E5">
              <w:rPr>
                <w:sz w:val="18"/>
                <w:szCs w:val="18"/>
              </w:rPr>
              <w:t>Muṣṭafá</w:t>
            </w:r>
          </w:p>
        </w:tc>
      </w:tr>
      <w:tr w:rsidR="00755038" w:rsidRPr="008F03E5" w14:paraId="4A24A77F" w14:textId="77777777" w:rsidTr="00F019FC">
        <w:trPr>
          <w:jc w:val="center"/>
        </w:trPr>
        <w:tc>
          <w:tcPr>
            <w:tcW w:w="561" w:type="dxa"/>
            <w:tcBorders>
              <w:left w:val="single" w:sz="6" w:space="0" w:color="auto"/>
              <w:right w:val="single" w:sz="4" w:space="0" w:color="auto"/>
            </w:tcBorders>
          </w:tcPr>
          <w:p w14:paraId="55F455AE" w14:textId="1342E1B8"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5</w:t>
            </w:r>
          </w:p>
        </w:tc>
        <w:tc>
          <w:tcPr>
            <w:tcW w:w="4195" w:type="dxa"/>
            <w:tcBorders>
              <w:left w:val="single" w:sz="4" w:space="0" w:color="auto"/>
              <w:right w:val="single" w:sz="6" w:space="0" w:color="auto"/>
            </w:tcBorders>
          </w:tcPr>
          <w:p w14:paraId="1987E4D5" w14:textId="77777777" w:rsidR="004017FC" w:rsidRPr="008F03E5" w:rsidRDefault="004017FC" w:rsidP="0052542F">
            <w:pPr>
              <w:rPr>
                <w:sz w:val="18"/>
                <w:szCs w:val="18"/>
              </w:rPr>
            </w:pPr>
            <w:r w:rsidRPr="008F03E5">
              <w:rPr>
                <w:sz w:val="18"/>
                <w:szCs w:val="18"/>
              </w:rPr>
              <w:t>Mírzá</w:t>
            </w:r>
            <w:r w:rsidR="00D30688" w:rsidRPr="008F03E5">
              <w:rPr>
                <w:sz w:val="18"/>
                <w:szCs w:val="18"/>
              </w:rPr>
              <w:t xml:space="preserve"> </w:t>
            </w:r>
            <w:r w:rsidRPr="008F03E5">
              <w:rPr>
                <w:sz w:val="18"/>
                <w:szCs w:val="18"/>
              </w:rPr>
              <w:t>Abu’l-Faḍl-i-Gulpáygání</w:t>
            </w:r>
          </w:p>
        </w:tc>
        <w:tc>
          <w:tcPr>
            <w:tcW w:w="567" w:type="dxa"/>
            <w:tcBorders>
              <w:left w:val="single" w:sz="6" w:space="0" w:color="auto"/>
              <w:right w:val="single" w:sz="4" w:space="0" w:color="auto"/>
            </w:tcBorders>
          </w:tcPr>
          <w:p w14:paraId="0D627315" w14:textId="77777777" w:rsidR="004017FC" w:rsidRPr="008F03E5" w:rsidRDefault="004017FC" w:rsidP="00AC32BD">
            <w:pPr>
              <w:tabs>
                <w:tab w:val="decimal" w:pos="203"/>
              </w:tabs>
              <w:rPr>
                <w:sz w:val="18"/>
                <w:szCs w:val="18"/>
                <w14:numSpacing w14:val="tabular"/>
              </w:rPr>
            </w:pPr>
            <w:r w:rsidRPr="008F03E5">
              <w:rPr>
                <w:sz w:val="18"/>
                <w:szCs w:val="18"/>
                <w14:numSpacing w14:val="tabular"/>
              </w:rPr>
              <w:t>15</w:t>
            </w:r>
          </w:p>
        </w:tc>
        <w:tc>
          <w:tcPr>
            <w:tcW w:w="3626" w:type="dxa"/>
            <w:tcBorders>
              <w:left w:val="single" w:sz="4" w:space="0" w:color="auto"/>
              <w:right w:val="single" w:sz="6" w:space="0" w:color="auto"/>
            </w:tcBorders>
          </w:tcPr>
          <w:p w14:paraId="14E5ACD8" w14:textId="77777777" w:rsidR="004017FC" w:rsidRPr="008F03E5" w:rsidRDefault="004017FC" w:rsidP="004017FC">
            <w:pPr>
              <w:tabs>
                <w:tab w:val="right" w:pos="291"/>
              </w:tabs>
              <w:rPr>
                <w:sz w:val="18"/>
                <w:szCs w:val="18"/>
              </w:rPr>
            </w:pPr>
            <w:r w:rsidRPr="008F03E5">
              <w:rPr>
                <w:sz w:val="18"/>
                <w:szCs w:val="18"/>
              </w:rPr>
              <w:t>Mírzá</w:t>
            </w:r>
            <w:r w:rsidR="00D30688" w:rsidRPr="008F03E5">
              <w:rPr>
                <w:sz w:val="18"/>
                <w:szCs w:val="18"/>
              </w:rPr>
              <w:t xml:space="preserve"> </w:t>
            </w:r>
            <w:r w:rsidRPr="008F03E5">
              <w:rPr>
                <w:sz w:val="18"/>
                <w:szCs w:val="18"/>
              </w:rPr>
              <w:t>Ḥusayn</w:t>
            </w:r>
            <w:r w:rsidR="00D30688" w:rsidRPr="008F03E5">
              <w:rPr>
                <w:sz w:val="18"/>
                <w:szCs w:val="18"/>
              </w:rPr>
              <w:t xml:space="preserve"> </w:t>
            </w:r>
            <w:r w:rsidRPr="008F03E5">
              <w:rPr>
                <w:sz w:val="18"/>
                <w:szCs w:val="18"/>
              </w:rPr>
              <w:t>(Mi</w:t>
            </w:r>
            <w:r w:rsidRPr="008F03E5">
              <w:rPr>
                <w:sz w:val="18"/>
                <w:szCs w:val="18"/>
                <w:u w:val="single"/>
              </w:rPr>
              <w:t>sh</w:t>
            </w:r>
            <w:r w:rsidRPr="008F03E5">
              <w:rPr>
                <w:sz w:val="18"/>
                <w:szCs w:val="18"/>
              </w:rPr>
              <w:t>kín-Qalam)</w:t>
            </w:r>
          </w:p>
        </w:tc>
      </w:tr>
      <w:tr w:rsidR="00755038" w:rsidRPr="008F03E5" w14:paraId="12B108ED" w14:textId="77777777" w:rsidTr="00F019FC">
        <w:trPr>
          <w:jc w:val="center"/>
        </w:trPr>
        <w:tc>
          <w:tcPr>
            <w:tcW w:w="561" w:type="dxa"/>
            <w:tcBorders>
              <w:left w:val="single" w:sz="6" w:space="0" w:color="auto"/>
              <w:right w:val="single" w:sz="4" w:space="0" w:color="auto"/>
            </w:tcBorders>
          </w:tcPr>
          <w:p w14:paraId="7B3A827C" w14:textId="6EE99D42"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6</w:t>
            </w:r>
          </w:p>
        </w:tc>
        <w:tc>
          <w:tcPr>
            <w:tcW w:w="4195" w:type="dxa"/>
            <w:tcBorders>
              <w:left w:val="single" w:sz="4" w:space="0" w:color="auto"/>
              <w:right w:val="single" w:sz="6" w:space="0" w:color="auto"/>
            </w:tcBorders>
          </w:tcPr>
          <w:p w14:paraId="0EACB69A" w14:textId="77777777" w:rsidR="004017FC" w:rsidRPr="008F03E5" w:rsidRDefault="004017FC" w:rsidP="0052542F">
            <w:pPr>
              <w:rPr>
                <w:sz w:val="18"/>
                <w:szCs w:val="18"/>
              </w:rPr>
            </w:pPr>
            <w:r w:rsidRPr="008F03E5">
              <w:rPr>
                <w:sz w:val="18"/>
                <w:szCs w:val="18"/>
              </w:rPr>
              <w:t>Mírzá</w:t>
            </w:r>
            <w:r w:rsidR="00D30688" w:rsidRPr="008F03E5">
              <w:rPr>
                <w:sz w:val="18"/>
                <w:szCs w:val="18"/>
              </w:rPr>
              <w:t xml:space="preserve"> </w:t>
            </w:r>
            <w:r w:rsidRPr="008F03E5">
              <w:rPr>
                <w:sz w:val="18"/>
                <w:szCs w:val="18"/>
              </w:rPr>
              <w:t>‘Alí-Muḥammad</w:t>
            </w:r>
            <w:r w:rsidR="00D30688" w:rsidRPr="008F03E5">
              <w:rPr>
                <w:sz w:val="18"/>
                <w:szCs w:val="18"/>
              </w:rPr>
              <w:t xml:space="preserve"> </w:t>
            </w:r>
            <w:r w:rsidRPr="008F03E5">
              <w:rPr>
                <w:sz w:val="18"/>
                <w:szCs w:val="18"/>
              </w:rPr>
              <w:t>(Varqá,</w:t>
            </w:r>
            <w:r w:rsidR="00D30688" w:rsidRPr="008F03E5">
              <w:rPr>
                <w:sz w:val="18"/>
                <w:szCs w:val="18"/>
              </w:rPr>
              <w:t xml:space="preserve"> </w:t>
            </w:r>
            <w:r w:rsidRPr="008F03E5">
              <w:rPr>
                <w:sz w:val="18"/>
                <w:szCs w:val="18"/>
              </w:rPr>
              <w:t>Dove)</w:t>
            </w:r>
          </w:p>
        </w:tc>
        <w:tc>
          <w:tcPr>
            <w:tcW w:w="567" w:type="dxa"/>
            <w:tcBorders>
              <w:left w:val="single" w:sz="6" w:space="0" w:color="auto"/>
              <w:right w:val="single" w:sz="4" w:space="0" w:color="auto"/>
            </w:tcBorders>
          </w:tcPr>
          <w:p w14:paraId="12E5E69F" w14:textId="77777777" w:rsidR="004017FC" w:rsidRPr="008F03E5" w:rsidRDefault="004017FC" w:rsidP="00AC32BD">
            <w:pPr>
              <w:tabs>
                <w:tab w:val="decimal" w:pos="203"/>
              </w:tabs>
              <w:rPr>
                <w:sz w:val="18"/>
                <w:szCs w:val="18"/>
                <w14:numSpacing w14:val="tabular"/>
              </w:rPr>
            </w:pPr>
            <w:r w:rsidRPr="008F03E5">
              <w:rPr>
                <w:sz w:val="18"/>
                <w:szCs w:val="18"/>
                <w14:numSpacing w14:val="tabular"/>
              </w:rPr>
              <w:t>16</w:t>
            </w:r>
          </w:p>
        </w:tc>
        <w:tc>
          <w:tcPr>
            <w:tcW w:w="3626" w:type="dxa"/>
            <w:tcBorders>
              <w:left w:val="single" w:sz="4" w:space="0" w:color="auto"/>
              <w:right w:val="single" w:sz="6" w:space="0" w:color="auto"/>
            </w:tcBorders>
          </w:tcPr>
          <w:p w14:paraId="18CD2FD7" w14:textId="77777777" w:rsidR="004017FC" w:rsidRPr="008F03E5" w:rsidRDefault="004017FC" w:rsidP="00825D95">
            <w:pPr>
              <w:rPr>
                <w:sz w:val="18"/>
                <w:szCs w:val="18"/>
              </w:rPr>
            </w:pPr>
            <w:r w:rsidRPr="008F03E5">
              <w:rPr>
                <w:sz w:val="18"/>
                <w:szCs w:val="18"/>
              </w:rPr>
              <w:t>Mírzá</w:t>
            </w:r>
            <w:r w:rsidR="00D30688" w:rsidRPr="008F03E5">
              <w:rPr>
                <w:sz w:val="18"/>
                <w:szCs w:val="18"/>
              </w:rPr>
              <w:t xml:space="preserve"> </w:t>
            </w:r>
            <w:r w:rsidRPr="008F03E5">
              <w:rPr>
                <w:sz w:val="18"/>
                <w:szCs w:val="18"/>
              </w:rPr>
              <w:t>Ḥasan</w:t>
            </w:r>
            <w:r w:rsidR="00D30688" w:rsidRPr="008F03E5">
              <w:rPr>
                <w:sz w:val="18"/>
                <w:szCs w:val="18"/>
              </w:rPr>
              <w:t xml:space="preserve"> </w:t>
            </w:r>
            <w:r w:rsidRPr="008F03E5">
              <w:rPr>
                <w:sz w:val="18"/>
                <w:szCs w:val="18"/>
              </w:rPr>
              <w:t>(Adíb)</w:t>
            </w:r>
          </w:p>
        </w:tc>
      </w:tr>
      <w:tr w:rsidR="00755038" w:rsidRPr="008F03E5" w14:paraId="0B98E1C8" w14:textId="77777777" w:rsidTr="00F019FC">
        <w:trPr>
          <w:jc w:val="center"/>
        </w:trPr>
        <w:tc>
          <w:tcPr>
            <w:tcW w:w="561" w:type="dxa"/>
            <w:tcBorders>
              <w:left w:val="single" w:sz="6" w:space="0" w:color="auto"/>
              <w:right w:val="single" w:sz="4" w:space="0" w:color="auto"/>
            </w:tcBorders>
          </w:tcPr>
          <w:p w14:paraId="2CB019F5" w14:textId="76A553E7"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7</w:t>
            </w:r>
          </w:p>
        </w:tc>
        <w:tc>
          <w:tcPr>
            <w:tcW w:w="4195" w:type="dxa"/>
            <w:tcBorders>
              <w:left w:val="single" w:sz="4" w:space="0" w:color="auto"/>
              <w:right w:val="single" w:sz="6" w:space="0" w:color="auto"/>
            </w:tcBorders>
          </w:tcPr>
          <w:p w14:paraId="7AE085C5" w14:textId="77777777" w:rsidR="004017FC" w:rsidRPr="008F03E5" w:rsidRDefault="004017FC" w:rsidP="0052542F">
            <w:pPr>
              <w:rPr>
                <w:sz w:val="18"/>
                <w:szCs w:val="18"/>
              </w:rPr>
            </w:pPr>
            <w:r w:rsidRPr="008F03E5">
              <w:rPr>
                <w:sz w:val="18"/>
                <w:szCs w:val="18"/>
              </w:rPr>
              <w:t>Mírzá</w:t>
            </w:r>
            <w:r w:rsidR="00D30688" w:rsidRPr="008F03E5">
              <w:rPr>
                <w:sz w:val="18"/>
                <w:szCs w:val="18"/>
              </w:rPr>
              <w:t xml:space="preserve"> </w:t>
            </w:r>
            <w:r w:rsidRPr="008F03E5">
              <w:rPr>
                <w:sz w:val="18"/>
                <w:szCs w:val="18"/>
              </w:rPr>
              <w:t>Maḥmúd</w:t>
            </w:r>
            <w:r w:rsidR="00D30688" w:rsidRPr="008F03E5">
              <w:rPr>
                <w:sz w:val="18"/>
                <w:szCs w:val="18"/>
              </w:rPr>
              <w:t xml:space="preserve"> </w:t>
            </w:r>
            <w:r w:rsidRPr="008F03E5">
              <w:rPr>
                <w:sz w:val="18"/>
                <w:szCs w:val="18"/>
              </w:rPr>
              <w:t>Furú</w:t>
            </w:r>
            <w:r w:rsidRPr="008F03E5">
              <w:rPr>
                <w:sz w:val="18"/>
                <w:szCs w:val="18"/>
                <w:u w:val="single"/>
              </w:rPr>
              <w:t>gh</w:t>
            </w:r>
            <w:r w:rsidRPr="008F03E5">
              <w:rPr>
                <w:sz w:val="18"/>
                <w:szCs w:val="18"/>
              </w:rPr>
              <w:t>í</w:t>
            </w:r>
          </w:p>
        </w:tc>
        <w:tc>
          <w:tcPr>
            <w:tcW w:w="567" w:type="dxa"/>
            <w:tcBorders>
              <w:left w:val="single" w:sz="6" w:space="0" w:color="auto"/>
              <w:right w:val="single" w:sz="4" w:space="0" w:color="auto"/>
            </w:tcBorders>
          </w:tcPr>
          <w:p w14:paraId="1278D87F" w14:textId="77777777" w:rsidR="004017FC" w:rsidRPr="008F03E5" w:rsidRDefault="004017FC" w:rsidP="0052542F">
            <w:pPr>
              <w:rPr>
                <w:sz w:val="18"/>
                <w:szCs w:val="18"/>
                <w14:numSpacing w14:val="tabular"/>
              </w:rPr>
            </w:pPr>
            <w:r w:rsidRPr="008F03E5">
              <w:rPr>
                <w:sz w:val="18"/>
                <w:szCs w:val="18"/>
                <w14:numSpacing w14:val="tabular"/>
              </w:rPr>
              <w:t>17</w:t>
            </w:r>
          </w:p>
        </w:tc>
        <w:tc>
          <w:tcPr>
            <w:tcW w:w="3626" w:type="dxa"/>
            <w:tcBorders>
              <w:left w:val="single" w:sz="4" w:space="0" w:color="auto"/>
              <w:right w:val="single" w:sz="6" w:space="0" w:color="auto"/>
            </w:tcBorders>
          </w:tcPr>
          <w:p w14:paraId="4116326A" w14:textId="77777777" w:rsidR="004017FC" w:rsidRPr="008F03E5" w:rsidRDefault="004017FC" w:rsidP="0052542F">
            <w:pPr>
              <w:rPr>
                <w:sz w:val="18"/>
                <w:szCs w:val="18"/>
              </w:rPr>
            </w:pPr>
            <w:r w:rsidRPr="008F03E5">
              <w:rPr>
                <w:sz w:val="18"/>
                <w:szCs w:val="18"/>
                <w:u w:val="single"/>
              </w:rPr>
              <w:t>Sh</w:t>
            </w:r>
            <w:r w:rsidRPr="008F03E5">
              <w:rPr>
                <w:sz w:val="18"/>
                <w:szCs w:val="18"/>
              </w:rPr>
              <w:t>ay</w:t>
            </w:r>
            <w:r w:rsidRPr="008F03E5">
              <w:rPr>
                <w:sz w:val="18"/>
                <w:szCs w:val="18"/>
                <w:u w:val="single"/>
              </w:rPr>
              <w:t>kh</w:t>
            </w:r>
            <w:r w:rsidR="00D30688" w:rsidRPr="008F03E5">
              <w:rPr>
                <w:sz w:val="18"/>
                <w:szCs w:val="18"/>
              </w:rPr>
              <w:t xml:space="preserve"> </w:t>
            </w:r>
            <w:r w:rsidRPr="008F03E5">
              <w:rPr>
                <w:sz w:val="18"/>
                <w:szCs w:val="18"/>
              </w:rPr>
              <w:t>Muḥammad-‘Alí</w:t>
            </w:r>
          </w:p>
        </w:tc>
      </w:tr>
      <w:tr w:rsidR="00755038" w:rsidRPr="008F03E5" w14:paraId="4FA51867" w14:textId="77777777" w:rsidTr="00F019FC">
        <w:trPr>
          <w:jc w:val="center"/>
        </w:trPr>
        <w:tc>
          <w:tcPr>
            <w:tcW w:w="561" w:type="dxa"/>
            <w:tcBorders>
              <w:left w:val="single" w:sz="6" w:space="0" w:color="auto"/>
              <w:right w:val="single" w:sz="4" w:space="0" w:color="auto"/>
            </w:tcBorders>
          </w:tcPr>
          <w:p w14:paraId="031A5DE6" w14:textId="3F90BA1B"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8</w:t>
            </w:r>
          </w:p>
        </w:tc>
        <w:tc>
          <w:tcPr>
            <w:tcW w:w="4195" w:type="dxa"/>
            <w:tcBorders>
              <w:left w:val="single" w:sz="4" w:space="0" w:color="auto"/>
              <w:right w:val="single" w:sz="6" w:space="0" w:color="auto"/>
            </w:tcBorders>
          </w:tcPr>
          <w:p w14:paraId="2590E26D" w14:textId="77777777" w:rsidR="004017FC" w:rsidRPr="008F03E5" w:rsidRDefault="004017FC" w:rsidP="0052542F">
            <w:pPr>
              <w:rPr>
                <w:sz w:val="18"/>
                <w:szCs w:val="18"/>
              </w:rPr>
            </w:pPr>
            <w:r w:rsidRPr="008F03E5">
              <w:rPr>
                <w:sz w:val="18"/>
                <w:szCs w:val="18"/>
              </w:rPr>
              <w:t>Mullá</w:t>
            </w:r>
            <w:r w:rsidR="00D30688" w:rsidRPr="008F03E5">
              <w:rPr>
                <w:sz w:val="18"/>
                <w:szCs w:val="18"/>
              </w:rPr>
              <w:t xml:space="preserve"> </w:t>
            </w:r>
            <w:r w:rsidRPr="008F03E5">
              <w:rPr>
                <w:sz w:val="18"/>
                <w:szCs w:val="18"/>
              </w:rPr>
              <w:t>‘Alí-Akbar</w:t>
            </w:r>
            <w:r w:rsidR="00D30688" w:rsidRPr="008F03E5">
              <w:rPr>
                <w:sz w:val="18"/>
                <w:szCs w:val="18"/>
              </w:rPr>
              <w:t xml:space="preserve"> </w:t>
            </w:r>
            <w:r w:rsidRPr="008F03E5">
              <w:rPr>
                <w:sz w:val="18"/>
                <w:szCs w:val="18"/>
              </w:rPr>
              <w:t>(Ḥájí</w:t>
            </w:r>
            <w:r w:rsidR="00D30688" w:rsidRPr="008F03E5">
              <w:rPr>
                <w:sz w:val="18"/>
                <w:szCs w:val="18"/>
              </w:rPr>
              <w:t xml:space="preserve"> </w:t>
            </w:r>
            <w:r w:rsidRPr="008F03E5">
              <w:rPr>
                <w:sz w:val="18"/>
                <w:szCs w:val="18"/>
              </w:rPr>
              <w:t>Á</w:t>
            </w:r>
            <w:r w:rsidRPr="008F03E5">
              <w:rPr>
                <w:sz w:val="18"/>
                <w:szCs w:val="18"/>
                <w:u w:val="single"/>
              </w:rPr>
              <w:t>kh</w:t>
            </w:r>
            <w:r w:rsidRPr="008F03E5">
              <w:rPr>
                <w:sz w:val="18"/>
                <w:szCs w:val="18"/>
              </w:rPr>
              <w:t>únd)</w:t>
            </w:r>
          </w:p>
        </w:tc>
        <w:tc>
          <w:tcPr>
            <w:tcW w:w="567" w:type="dxa"/>
            <w:tcBorders>
              <w:left w:val="single" w:sz="6" w:space="0" w:color="auto"/>
              <w:right w:val="single" w:sz="4" w:space="0" w:color="auto"/>
            </w:tcBorders>
          </w:tcPr>
          <w:p w14:paraId="424B26F9" w14:textId="77777777" w:rsidR="004017FC" w:rsidRPr="008F03E5" w:rsidRDefault="004017FC" w:rsidP="0052542F">
            <w:pPr>
              <w:rPr>
                <w:sz w:val="18"/>
                <w:szCs w:val="18"/>
                <w14:numSpacing w14:val="tabular"/>
              </w:rPr>
            </w:pPr>
            <w:r w:rsidRPr="008F03E5">
              <w:rPr>
                <w:sz w:val="18"/>
                <w:szCs w:val="18"/>
                <w14:numSpacing w14:val="tabular"/>
              </w:rPr>
              <w:t>18</w:t>
            </w:r>
          </w:p>
        </w:tc>
        <w:tc>
          <w:tcPr>
            <w:tcW w:w="3626" w:type="dxa"/>
            <w:tcBorders>
              <w:left w:val="single" w:sz="4" w:space="0" w:color="auto"/>
              <w:right w:val="single" w:sz="6" w:space="0" w:color="auto"/>
            </w:tcBorders>
          </w:tcPr>
          <w:p w14:paraId="5822F1DA" w14:textId="77777777" w:rsidR="004017FC" w:rsidRPr="008F03E5" w:rsidRDefault="004017FC" w:rsidP="0052542F">
            <w:pPr>
              <w:rPr>
                <w:sz w:val="18"/>
                <w:szCs w:val="18"/>
              </w:rPr>
            </w:pPr>
            <w:r w:rsidRPr="008F03E5">
              <w:rPr>
                <w:sz w:val="18"/>
                <w:szCs w:val="18"/>
              </w:rPr>
              <w:t>Mullá</w:t>
            </w:r>
            <w:r w:rsidR="00D30688" w:rsidRPr="008F03E5">
              <w:rPr>
                <w:sz w:val="18"/>
                <w:szCs w:val="18"/>
              </w:rPr>
              <w:t xml:space="preserve"> </w:t>
            </w:r>
            <w:r w:rsidRPr="008F03E5">
              <w:rPr>
                <w:sz w:val="18"/>
                <w:szCs w:val="18"/>
              </w:rPr>
              <w:t>Zaynu’l-‘Ábidín</w:t>
            </w:r>
            <w:r w:rsidR="00D30688" w:rsidRPr="008F03E5">
              <w:rPr>
                <w:sz w:val="18"/>
                <w:szCs w:val="18"/>
              </w:rPr>
              <w:t xml:space="preserve"> </w:t>
            </w:r>
            <w:r w:rsidRPr="008F03E5">
              <w:rPr>
                <w:sz w:val="18"/>
                <w:szCs w:val="18"/>
              </w:rPr>
              <w:t>(Zaynu’l-Muqarrabín)</w:t>
            </w:r>
          </w:p>
        </w:tc>
      </w:tr>
      <w:tr w:rsidR="00755038" w:rsidRPr="008F03E5" w14:paraId="67815A41" w14:textId="77777777" w:rsidTr="00F019FC">
        <w:trPr>
          <w:jc w:val="center"/>
        </w:trPr>
        <w:tc>
          <w:tcPr>
            <w:tcW w:w="561" w:type="dxa"/>
            <w:tcBorders>
              <w:left w:val="single" w:sz="6" w:space="0" w:color="auto"/>
              <w:right w:val="single" w:sz="4" w:space="0" w:color="auto"/>
            </w:tcBorders>
          </w:tcPr>
          <w:p w14:paraId="0BA609F4" w14:textId="2E407AF2"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9</w:t>
            </w:r>
          </w:p>
        </w:tc>
        <w:tc>
          <w:tcPr>
            <w:tcW w:w="4195" w:type="dxa"/>
            <w:tcBorders>
              <w:left w:val="single" w:sz="4" w:space="0" w:color="auto"/>
              <w:right w:val="single" w:sz="6" w:space="0" w:color="auto"/>
            </w:tcBorders>
          </w:tcPr>
          <w:p w14:paraId="7BD883A5" w14:textId="77777777" w:rsidR="004017FC" w:rsidRPr="008F03E5" w:rsidRDefault="004017FC" w:rsidP="0052542F">
            <w:pPr>
              <w:rPr>
                <w:sz w:val="18"/>
                <w:szCs w:val="18"/>
              </w:rPr>
            </w:pPr>
            <w:r w:rsidRPr="008F03E5">
              <w:rPr>
                <w:sz w:val="18"/>
                <w:szCs w:val="18"/>
              </w:rPr>
              <w:t>Mullá</w:t>
            </w:r>
            <w:r w:rsidR="00D30688" w:rsidRPr="008F03E5">
              <w:rPr>
                <w:sz w:val="18"/>
                <w:szCs w:val="18"/>
              </w:rPr>
              <w:t xml:space="preserve"> </w:t>
            </w:r>
            <w:r w:rsidRPr="008F03E5">
              <w:rPr>
                <w:sz w:val="18"/>
                <w:szCs w:val="18"/>
              </w:rPr>
              <w:t>Muḥammad</w:t>
            </w:r>
            <w:r w:rsidR="00D30688" w:rsidRPr="008F03E5">
              <w:rPr>
                <w:sz w:val="18"/>
                <w:szCs w:val="18"/>
              </w:rPr>
              <w:t xml:space="preserve"> </w:t>
            </w:r>
            <w:r w:rsidRPr="008F03E5">
              <w:rPr>
                <w:sz w:val="18"/>
                <w:szCs w:val="18"/>
              </w:rPr>
              <w:t>(Nabíl-i-Akbar)</w:t>
            </w:r>
          </w:p>
        </w:tc>
        <w:tc>
          <w:tcPr>
            <w:tcW w:w="567" w:type="dxa"/>
            <w:tcBorders>
              <w:left w:val="single" w:sz="6" w:space="0" w:color="auto"/>
              <w:bottom w:val="single" w:sz="6" w:space="0" w:color="auto"/>
              <w:right w:val="single" w:sz="4" w:space="0" w:color="auto"/>
            </w:tcBorders>
          </w:tcPr>
          <w:p w14:paraId="3C3F3F03" w14:textId="77777777" w:rsidR="004017FC" w:rsidRPr="008F03E5" w:rsidRDefault="004017FC" w:rsidP="0052542F">
            <w:pPr>
              <w:rPr>
                <w:sz w:val="18"/>
                <w:szCs w:val="18"/>
                <w14:numSpacing w14:val="tabular"/>
              </w:rPr>
            </w:pPr>
            <w:r w:rsidRPr="008F03E5">
              <w:rPr>
                <w:sz w:val="18"/>
                <w:szCs w:val="18"/>
                <w14:numSpacing w14:val="tabular"/>
              </w:rPr>
              <w:t>19</w:t>
            </w:r>
          </w:p>
        </w:tc>
        <w:tc>
          <w:tcPr>
            <w:tcW w:w="3626" w:type="dxa"/>
            <w:tcBorders>
              <w:left w:val="single" w:sz="4" w:space="0" w:color="auto"/>
              <w:bottom w:val="single" w:sz="6" w:space="0" w:color="auto"/>
              <w:right w:val="single" w:sz="6" w:space="0" w:color="auto"/>
            </w:tcBorders>
          </w:tcPr>
          <w:p w14:paraId="6161297C" w14:textId="77777777" w:rsidR="004017FC" w:rsidRPr="008F03E5" w:rsidRDefault="004017FC" w:rsidP="0052542F">
            <w:pPr>
              <w:rPr>
                <w:sz w:val="18"/>
                <w:szCs w:val="18"/>
              </w:rPr>
            </w:pPr>
            <w:r w:rsidRPr="008F03E5">
              <w:rPr>
                <w:sz w:val="18"/>
                <w:szCs w:val="18"/>
              </w:rPr>
              <w:t>Mírzá</w:t>
            </w:r>
            <w:r w:rsidR="00D30688" w:rsidRPr="008F03E5">
              <w:rPr>
                <w:sz w:val="18"/>
                <w:szCs w:val="18"/>
              </w:rPr>
              <w:t xml:space="preserve"> </w:t>
            </w:r>
            <w:r w:rsidRPr="008F03E5">
              <w:rPr>
                <w:sz w:val="18"/>
                <w:szCs w:val="18"/>
              </w:rPr>
              <w:t>Alí-Muḥammad</w:t>
            </w:r>
            <w:r w:rsidR="00D30688" w:rsidRPr="008F03E5">
              <w:rPr>
                <w:sz w:val="18"/>
                <w:szCs w:val="18"/>
              </w:rPr>
              <w:t xml:space="preserve"> </w:t>
            </w:r>
            <w:r w:rsidRPr="008F03E5">
              <w:rPr>
                <w:sz w:val="18"/>
                <w:szCs w:val="18"/>
              </w:rPr>
              <w:t>(Ibn-i-Aṣdaq)</w:t>
            </w:r>
          </w:p>
        </w:tc>
      </w:tr>
      <w:tr w:rsidR="00755038" w:rsidRPr="008F03E5" w14:paraId="5AEF8934" w14:textId="77777777" w:rsidTr="00F019FC">
        <w:trPr>
          <w:jc w:val="center"/>
        </w:trPr>
        <w:tc>
          <w:tcPr>
            <w:tcW w:w="561" w:type="dxa"/>
            <w:tcBorders>
              <w:left w:val="single" w:sz="6" w:space="0" w:color="auto"/>
              <w:bottom w:val="single" w:sz="6" w:space="0" w:color="auto"/>
              <w:right w:val="single" w:sz="4" w:space="0" w:color="auto"/>
            </w:tcBorders>
          </w:tcPr>
          <w:p w14:paraId="68705224" w14:textId="7AB96748" w:rsidR="004017FC" w:rsidRPr="008F03E5" w:rsidRDefault="0052542F" w:rsidP="0052542F">
            <w:pPr>
              <w:tabs>
                <w:tab w:val="right" w:pos="284"/>
              </w:tabs>
              <w:rPr>
                <w:sz w:val="18"/>
                <w:szCs w:val="18"/>
                <w14:numSpacing w14:val="tabular"/>
              </w:rPr>
            </w:pPr>
            <w:r w:rsidRPr="008F03E5">
              <w:rPr>
                <w:sz w:val="18"/>
                <w:szCs w:val="18"/>
                <w14:numSpacing w14:val="tabular"/>
              </w:rPr>
              <w:tab/>
            </w:r>
            <w:r w:rsidR="004017FC" w:rsidRPr="008F03E5">
              <w:rPr>
                <w:sz w:val="18"/>
                <w:szCs w:val="18"/>
                <w14:numSpacing w14:val="tabular"/>
              </w:rPr>
              <w:t>10</w:t>
            </w:r>
          </w:p>
        </w:tc>
        <w:tc>
          <w:tcPr>
            <w:tcW w:w="4195" w:type="dxa"/>
            <w:tcBorders>
              <w:left w:val="single" w:sz="4" w:space="0" w:color="auto"/>
              <w:bottom w:val="single" w:sz="6" w:space="0" w:color="auto"/>
              <w:right w:val="single" w:sz="6" w:space="0" w:color="auto"/>
            </w:tcBorders>
          </w:tcPr>
          <w:p w14:paraId="380C29D0" w14:textId="11B1D94A" w:rsidR="004017FC" w:rsidRPr="008F03E5" w:rsidRDefault="004017FC" w:rsidP="0052542F">
            <w:pPr>
              <w:rPr>
                <w:sz w:val="18"/>
                <w:szCs w:val="18"/>
              </w:rPr>
            </w:pPr>
            <w:r w:rsidRPr="008F03E5">
              <w:rPr>
                <w:sz w:val="18"/>
                <w:szCs w:val="18"/>
              </w:rPr>
              <w:t>Ḥájí</w:t>
            </w:r>
            <w:r w:rsidR="00D30688" w:rsidRPr="008F03E5">
              <w:rPr>
                <w:sz w:val="18"/>
                <w:szCs w:val="18"/>
              </w:rPr>
              <w:t xml:space="preserve"> </w:t>
            </w:r>
            <w:r w:rsidRPr="008F03E5">
              <w:rPr>
                <w:sz w:val="18"/>
                <w:szCs w:val="18"/>
              </w:rPr>
              <w:t>Mírzá</w:t>
            </w:r>
            <w:r w:rsidR="00D30688" w:rsidRPr="008F03E5">
              <w:rPr>
                <w:sz w:val="18"/>
                <w:szCs w:val="18"/>
              </w:rPr>
              <w:t xml:space="preserve"> </w:t>
            </w:r>
            <w:r w:rsidRPr="008F03E5">
              <w:rPr>
                <w:sz w:val="18"/>
                <w:szCs w:val="18"/>
              </w:rPr>
              <w:t>Muḥammad-Taqí</w:t>
            </w:r>
            <w:r w:rsidR="00D30688" w:rsidRPr="008F03E5">
              <w:rPr>
                <w:sz w:val="18"/>
                <w:szCs w:val="18"/>
              </w:rPr>
              <w:t xml:space="preserve"> </w:t>
            </w:r>
            <w:r w:rsidRPr="008F03E5">
              <w:rPr>
                <w:sz w:val="18"/>
                <w:szCs w:val="18"/>
              </w:rPr>
              <w:t>(Vakílu’d-Dawlih)</w:t>
            </w:r>
            <w:r w:rsidR="00D30688" w:rsidRPr="008F03E5">
              <w:rPr>
                <w:sz w:val="18"/>
                <w:szCs w:val="18"/>
              </w:rPr>
              <w:t xml:space="preserve"> </w:t>
            </w:r>
            <w:r w:rsidRPr="008F03E5">
              <w:rPr>
                <w:sz w:val="18"/>
                <w:szCs w:val="18"/>
              </w:rPr>
              <w:t>(cousin</w:t>
            </w:r>
            <w:r w:rsidR="00D30688" w:rsidRPr="008F03E5">
              <w:rPr>
                <w:sz w:val="18"/>
                <w:szCs w:val="18"/>
              </w:rPr>
              <w:t xml:space="preserve"> </w:t>
            </w:r>
            <w:r w:rsidRPr="008F03E5">
              <w:rPr>
                <w:sz w:val="18"/>
                <w:szCs w:val="18"/>
              </w:rPr>
              <w:t>of</w:t>
            </w:r>
            <w:r w:rsidR="00D30688" w:rsidRPr="008F03E5">
              <w:rPr>
                <w:sz w:val="18"/>
                <w:szCs w:val="18"/>
              </w:rPr>
              <w:t xml:space="preserve"> </w:t>
            </w:r>
            <w:r w:rsidRPr="008F03E5">
              <w:rPr>
                <w:sz w:val="18"/>
                <w:szCs w:val="18"/>
              </w:rPr>
              <w:t>the</w:t>
            </w:r>
            <w:r w:rsidR="00D30688" w:rsidRPr="008F03E5">
              <w:rPr>
                <w:sz w:val="18"/>
                <w:szCs w:val="18"/>
              </w:rPr>
              <w:t xml:space="preserve"> </w:t>
            </w:r>
            <w:r w:rsidRPr="008F03E5">
              <w:rPr>
                <w:sz w:val="18"/>
                <w:szCs w:val="18"/>
              </w:rPr>
              <w:t>Báb</w:t>
            </w:r>
            <w:r w:rsidR="00D30688" w:rsidRPr="008F03E5">
              <w:rPr>
                <w:sz w:val="18"/>
                <w:szCs w:val="18"/>
              </w:rPr>
              <w:t xml:space="preserve"> </w:t>
            </w:r>
            <w:r w:rsidR="00AC32BD" w:rsidRPr="008F03E5">
              <w:rPr>
                <w:sz w:val="18"/>
                <w:szCs w:val="18"/>
              </w:rPr>
              <w:t>&amp;</w:t>
            </w:r>
            <w:r w:rsidR="00D30688" w:rsidRPr="008F03E5">
              <w:rPr>
                <w:sz w:val="18"/>
                <w:szCs w:val="18"/>
              </w:rPr>
              <w:t xml:space="preserve"> </w:t>
            </w:r>
            <w:r w:rsidRPr="008F03E5">
              <w:rPr>
                <w:sz w:val="18"/>
                <w:szCs w:val="18"/>
              </w:rPr>
              <w:t>one</w:t>
            </w:r>
            <w:r w:rsidR="00D30688" w:rsidRPr="008F03E5">
              <w:rPr>
                <w:sz w:val="18"/>
                <w:szCs w:val="18"/>
              </w:rPr>
              <w:t xml:space="preserve"> </w:t>
            </w:r>
            <w:r w:rsidRPr="008F03E5">
              <w:rPr>
                <w:sz w:val="18"/>
                <w:szCs w:val="18"/>
              </w:rPr>
              <w:t>of</w:t>
            </w:r>
            <w:r w:rsidR="00D30688" w:rsidRPr="008F03E5">
              <w:rPr>
                <w:sz w:val="18"/>
                <w:szCs w:val="18"/>
              </w:rPr>
              <w:t xml:space="preserve"> </w:t>
            </w:r>
            <w:r w:rsidRPr="008F03E5">
              <w:rPr>
                <w:sz w:val="18"/>
                <w:szCs w:val="18"/>
              </w:rPr>
              <w:t>the</w:t>
            </w:r>
            <w:r w:rsidR="00D30688" w:rsidRPr="008F03E5">
              <w:rPr>
                <w:sz w:val="18"/>
                <w:szCs w:val="18"/>
              </w:rPr>
              <w:t xml:space="preserve"> </w:t>
            </w:r>
            <w:r w:rsidR="007E2174" w:rsidRPr="008F03E5">
              <w:rPr>
                <w:sz w:val="18"/>
                <w:szCs w:val="18"/>
              </w:rPr>
              <w:t>t</w:t>
            </w:r>
            <w:r w:rsidRPr="008F03E5">
              <w:rPr>
                <w:sz w:val="18"/>
                <w:szCs w:val="18"/>
              </w:rPr>
              <w:t>wenty</w:t>
            </w:r>
            <w:r w:rsidR="0052542F" w:rsidRPr="008F03E5">
              <w:rPr>
                <w:sz w:val="18"/>
                <w:szCs w:val="18"/>
              </w:rPr>
              <w:t>-</w:t>
            </w:r>
            <w:r w:rsidRPr="008F03E5">
              <w:rPr>
                <w:sz w:val="18"/>
                <w:szCs w:val="18"/>
              </w:rPr>
              <w:t>four</w:t>
            </w:r>
            <w:r w:rsidR="00D30688" w:rsidRPr="008F03E5">
              <w:rPr>
                <w:sz w:val="18"/>
                <w:szCs w:val="18"/>
              </w:rPr>
              <w:t xml:space="preserve"> </w:t>
            </w:r>
            <w:r w:rsidR="007E2174" w:rsidRPr="008F03E5">
              <w:rPr>
                <w:sz w:val="18"/>
                <w:szCs w:val="18"/>
              </w:rPr>
              <w:t>e</w:t>
            </w:r>
            <w:r w:rsidRPr="008F03E5">
              <w:rPr>
                <w:sz w:val="18"/>
                <w:szCs w:val="18"/>
              </w:rPr>
              <w:t>lders)</w:t>
            </w:r>
          </w:p>
        </w:tc>
        <w:tc>
          <w:tcPr>
            <w:tcW w:w="567" w:type="dxa"/>
            <w:tcBorders>
              <w:top w:val="single" w:sz="6" w:space="0" w:color="auto"/>
              <w:left w:val="single" w:sz="6" w:space="0" w:color="auto"/>
            </w:tcBorders>
          </w:tcPr>
          <w:p w14:paraId="45ACD845" w14:textId="77777777" w:rsidR="004017FC" w:rsidRPr="008F03E5" w:rsidRDefault="004017FC" w:rsidP="0052542F">
            <w:pPr>
              <w:rPr>
                <w:sz w:val="18"/>
                <w:szCs w:val="18"/>
              </w:rPr>
            </w:pPr>
          </w:p>
        </w:tc>
        <w:tc>
          <w:tcPr>
            <w:tcW w:w="3626" w:type="dxa"/>
            <w:tcBorders>
              <w:top w:val="single" w:sz="6" w:space="0" w:color="auto"/>
            </w:tcBorders>
          </w:tcPr>
          <w:p w14:paraId="12F1A264" w14:textId="77777777" w:rsidR="004017FC" w:rsidRPr="008F03E5" w:rsidRDefault="004017FC" w:rsidP="0052542F">
            <w:pPr>
              <w:rPr>
                <w:sz w:val="18"/>
                <w:szCs w:val="18"/>
              </w:rPr>
            </w:pPr>
          </w:p>
        </w:tc>
      </w:tr>
    </w:tbl>
    <w:p w14:paraId="5DDAF48E" w14:textId="4EA8E034" w:rsidR="00A60CA9" w:rsidRPr="00D9777D" w:rsidRDefault="007A6CB0" w:rsidP="007A6CB0">
      <w:pPr>
        <w:pStyle w:val="Myhead3"/>
        <w:spacing w:after="120"/>
      </w:pPr>
      <w:bookmarkStart w:id="191" w:name="_Toc149326098"/>
      <w:bookmarkStart w:id="192" w:name="_Toc149326094"/>
      <w:r>
        <w:t>B</w:t>
      </w:r>
      <w:r w:rsidR="00A60CA9">
        <w:t>earers of the throne of God</w:t>
      </w:r>
      <w:r>
        <w:t xml:space="preserve"> (8)</w:t>
      </w:r>
      <w:r w:rsidR="00A60CA9" w:rsidRPr="00A60CA9">
        <w:rPr>
          <w:b w:val="0"/>
          <w:bCs/>
          <w:sz w:val="12"/>
          <w:szCs w:val="12"/>
        </w:rPr>
        <w:fldChar w:fldCharType="begin"/>
      </w:r>
      <w:r w:rsidR="00A60CA9" w:rsidRPr="00A60CA9">
        <w:rPr>
          <w:b w:val="0"/>
          <w:bCs/>
          <w:sz w:val="12"/>
          <w:szCs w:val="12"/>
          <w:lang w:val="en-AU"/>
        </w:rPr>
        <w:instrText xml:space="preserve"> TC “</w:instrText>
      </w:r>
      <w:bookmarkStart w:id="193" w:name="_Toc167691887"/>
      <w:r>
        <w:rPr>
          <w:b w:val="0"/>
          <w:bCs/>
          <w:sz w:val="12"/>
          <w:szCs w:val="12"/>
        </w:rPr>
        <w:instrText>B</w:instrText>
      </w:r>
      <w:r w:rsidR="00A60CA9" w:rsidRPr="00A60CA9">
        <w:rPr>
          <w:b w:val="0"/>
          <w:bCs/>
          <w:sz w:val="12"/>
          <w:szCs w:val="12"/>
        </w:rPr>
        <w:instrText>earers of the throne of God</w:instrText>
      </w:r>
      <w:r>
        <w:rPr>
          <w:b w:val="0"/>
          <w:bCs/>
          <w:sz w:val="12"/>
          <w:szCs w:val="12"/>
        </w:rPr>
        <w:instrText xml:space="preserve"> (8)</w:instrText>
      </w:r>
      <w:r w:rsidR="00A60CA9" w:rsidRPr="00A60CA9">
        <w:rPr>
          <w:b w:val="0"/>
          <w:bCs/>
          <w:color w:val="FFFFFF" w:themeColor="background1"/>
          <w:sz w:val="12"/>
          <w:szCs w:val="12"/>
          <w:lang w:val="en-AU"/>
        </w:rPr>
        <w:instrText>..</w:instrText>
      </w:r>
      <w:r w:rsidR="00A60CA9" w:rsidRPr="00A60CA9">
        <w:rPr>
          <w:b w:val="0"/>
          <w:bCs/>
          <w:sz w:val="12"/>
          <w:szCs w:val="12"/>
          <w:lang w:val="en-AU"/>
        </w:rPr>
        <w:tab/>
      </w:r>
      <w:r w:rsidR="00A60CA9" w:rsidRPr="00A60CA9">
        <w:rPr>
          <w:b w:val="0"/>
          <w:bCs/>
          <w:color w:val="FFFFFF" w:themeColor="background1"/>
          <w:sz w:val="12"/>
          <w:szCs w:val="12"/>
          <w:lang w:val="en-AU"/>
        </w:rPr>
        <w:instrText>.</w:instrText>
      </w:r>
      <w:bookmarkEnd w:id="193"/>
      <w:r w:rsidR="00A60CA9" w:rsidRPr="00A60CA9">
        <w:rPr>
          <w:b w:val="0"/>
          <w:bCs/>
          <w:sz w:val="12"/>
          <w:szCs w:val="12"/>
          <w:lang w:val="en-AU"/>
        </w:rPr>
        <w:instrText>” \l 2</w:instrText>
      </w:r>
      <w:r w:rsidR="00A60CA9" w:rsidRPr="00A60CA9">
        <w:rPr>
          <w:b w:val="0"/>
          <w:bCs/>
          <w:sz w:val="12"/>
          <w:szCs w:val="12"/>
        </w:rPr>
        <w:fldChar w:fldCharType="end"/>
      </w:r>
    </w:p>
    <w:p w14:paraId="6C68073F" w14:textId="36DCD4AA" w:rsidR="00A60CA9" w:rsidRDefault="001B1929" w:rsidP="00573CA0">
      <w:pPr>
        <w:pStyle w:val="Quote"/>
      </w:pPr>
      <w:r w:rsidRPr="00DA29E4">
        <w:t>And the angels shall be on its sides, and over them on that day eight shall bear up the throne of thy Lord.</w:t>
      </w:r>
      <w:r w:rsidR="00573CA0">
        <w:rPr>
          <w:rStyle w:val="FootnoteReference"/>
        </w:rPr>
        <w:footnoteReference w:id="30"/>
      </w:r>
    </w:p>
    <w:p w14:paraId="5DF7A9C2" w14:textId="2115CB09" w:rsidR="001B1929" w:rsidRPr="00DA29E4" w:rsidRDefault="001B1929" w:rsidP="00573CA0">
      <w:pPr>
        <w:pStyle w:val="Text"/>
      </w:pPr>
      <w:r w:rsidRPr="00DA29E4">
        <w:t>Islamic traditions</w:t>
      </w:r>
      <w:r>
        <w:t xml:space="preserve"> state</w:t>
      </w:r>
      <w:r w:rsidRPr="00DA29E4">
        <w:t xml:space="preserve"> the bearers are four angels, but the Prophet Muḥammad prophesied that the number would be two</w:t>
      </w:r>
      <w:r>
        <w:t>-</w:t>
      </w:r>
      <w:r w:rsidRPr="00DA29E4">
        <w:t xml:space="preserve">fold on the Day of Resurrection, i.e. eight.  This two-fold number of bearers </w:t>
      </w:r>
      <w:r>
        <w:t>corresponds</w:t>
      </w:r>
      <w:r w:rsidRPr="00DA29E4">
        <w:t xml:space="preserve"> with references in the Qur’án to not just one trumpet blast but to two—the first trump denoting the end of an era and the second trump denoting the beginning of a new era</w:t>
      </w:r>
      <w:r>
        <w:t>. (Qur’án 39</w:t>
      </w:r>
      <w:r w:rsidR="00573CA0">
        <w:t>:</w:t>
      </w:r>
      <w:r>
        <w:t xml:space="preserve">60)  </w:t>
      </w:r>
      <w:r w:rsidRPr="00DA29E4">
        <w:t xml:space="preserve">Angels are the spiritual Messengers of God and can represent the </w:t>
      </w:r>
      <w:r>
        <w:t xml:space="preserve">earlier </w:t>
      </w:r>
      <w:r w:rsidRPr="00DA29E4">
        <w:t>Prophets</w:t>
      </w:r>
      <w:r>
        <w:t xml:space="preserve"> (</w:t>
      </w:r>
      <w:r w:rsidRPr="00DA29E4">
        <w:t>Noah, Abraham, Moses and Jesus</w:t>
      </w:r>
      <w:r>
        <w:t>) and the l</w:t>
      </w:r>
      <w:r w:rsidRPr="00DA29E4">
        <w:t>ater “angels”:  Muḥammad</w:t>
      </w:r>
      <w:r>
        <w:t xml:space="preserve">, </w:t>
      </w:r>
      <w:r w:rsidRPr="00DA29E4">
        <w:t>‘Alí</w:t>
      </w:r>
      <w:r>
        <w:t xml:space="preserve"> </w:t>
      </w:r>
      <w:r w:rsidRPr="009B79E3">
        <w:t>Ṭálib</w:t>
      </w:r>
      <w:r>
        <w:t>,</w:t>
      </w:r>
      <w:r w:rsidRPr="00DA29E4">
        <w:t xml:space="preserve"> Ḥasan</w:t>
      </w:r>
      <w:r>
        <w:t xml:space="preserve"> i</w:t>
      </w:r>
      <w:r w:rsidRPr="00254D23">
        <w:t>bn ‘Alí</w:t>
      </w:r>
      <w:r w:rsidRPr="00DA29E4">
        <w:t xml:space="preserve"> and Ḥusayn</w:t>
      </w:r>
      <w:r>
        <w:t xml:space="preserve"> i</w:t>
      </w:r>
      <w:r w:rsidRPr="00254D23">
        <w:t>bn ‘Alí</w:t>
      </w:r>
      <w:r w:rsidRPr="00DA29E4">
        <w:t>.</w:t>
      </w:r>
      <w:r w:rsidRPr="00DA29E4">
        <w:rPr>
          <w:rStyle w:val="FootnoteReference"/>
        </w:rPr>
        <w:footnoteReference w:id="31"/>
      </w:r>
    </w:p>
    <w:p w14:paraId="4CD4B3B9" w14:textId="6C41726A" w:rsidR="00CC1E63" w:rsidRPr="00CF4BA0" w:rsidRDefault="00CC1E63" w:rsidP="0022269F">
      <w:pPr>
        <w:pStyle w:val="Text"/>
      </w:pPr>
      <w:r>
        <w:t xml:space="preserve">Qur’án 69:13 </w:t>
      </w:r>
      <w:r w:rsidRPr="00CF4BA0">
        <w:t>speak</w:t>
      </w:r>
      <w:r>
        <w:t>s</w:t>
      </w:r>
      <w:r w:rsidRPr="00CF4BA0">
        <w:t xml:space="preserve"> of a single trumpet blast and the </w:t>
      </w:r>
      <w:r>
        <w:t xml:space="preserve">following verses speak of the </w:t>
      </w:r>
      <w:r w:rsidRPr="00CF4BA0">
        <w:t xml:space="preserve">calamities that accompany the Day of Resurrection in the context of the number </w:t>
      </w:r>
      <w:r w:rsidRPr="00CC1E63">
        <w:t>“</w:t>
      </w:r>
      <w:r>
        <w:t>8</w:t>
      </w:r>
      <w:r w:rsidRPr="00CC1E63">
        <w:t>”</w:t>
      </w:r>
      <w:r w:rsidRPr="00CF4BA0">
        <w:t xml:space="preserve">.  </w:t>
      </w:r>
      <w:r>
        <w:t>T</w:t>
      </w:r>
      <w:r w:rsidRPr="00CF4BA0">
        <w:t xml:space="preserve">herefore, </w:t>
      </w:r>
      <w:r>
        <w:t xml:space="preserve">this is </w:t>
      </w:r>
      <w:r w:rsidRPr="00CF4BA0">
        <w:t>a clear reference to the Báb, Who is the eighth Arch-Messenger of God of the main world religions—including Sabeanism about which there remains some record in the Qur’án—Hinduism, Judaism, Zoroastrianism, Buddhism, Christianity and Islám.</w:t>
      </w:r>
      <w:r w:rsidR="0022269F" w:rsidRPr="00CF4BA0">
        <w:rPr>
          <w:rStyle w:val="FootnoteReference"/>
        </w:rPr>
        <w:footnoteReference w:id="32"/>
      </w:r>
    </w:p>
    <w:p w14:paraId="16FFA84A" w14:textId="6BFBC199" w:rsidR="00CC1E63" w:rsidRPr="00CF4BA0" w:rsidRDefault="00CC1E63" w:rsidP="00CC1E63">
      <w:pPr>
        <w:pStyle w:val="Text"/>
      </w:pPr>
      <w:r w:rsidRPr="00CF4BA0">
        <w:t xml:space="preserve">Thus, it is no mere coincidence that the number 8 is an important element in the construction of the Shrine of the Báb with its octagonal-shaped superstructure, its 8 minarets and the 8-point star shaped flowerbeds of its surrounding gardens.  Referring to </w:t>
      </w:r>
      <w:r>
        <w:t xml:space="preserve">Qur’án </w:t>
      </w:r>
      <w:r w:rsidRPr="00CF4BA0">
        <w:t>69:17</w:t>
      </w:r>
      <w:r>
        <w:t>,</w:t>
      </w:r>
      <w:r w:rsidRPr="00CF4BA0">
        <w:t xml:space="preserve"> Ugo Giachery records the following conversation with Shoghi Effendi:</w:t>
      </w:r>
    </w:p>
    <w:p w14:paraId="68E7CE76" w14:textId="350A71F1" w:rsidR="00CC1E63" w:rsidRPr="00CF4BA0" w:rsidRDefault="00CC1E63" w:rsidP="00CC1E63">
      <w:pPr>
        <w:pStyle w:val="Quote"/>
      </w:pPr>
      <w:r w:rsidRPr="00CF4BA0">
        <w:t>Speaking one evening of the importance of the minarets in Islamic architecture, Shoghi Effendi said:  “The mosque of Medina has seven minarets, the one of Sultan Ahmad in Constantinople has six, but the Qur’án mentions eight.”  Furthermore, the eight slender minaret-like spires symbolize the bearers of the ‘throne of God’ ….</w:t>
      </w:r>
      <w:r w:rsidRPr="00CF4BA0">
        <w:rPr>
          <w:rStyle w:val="FootnoteReference"/>
        </w:rPr>
        <w:footnoteReference w:id="33"/>
      </w:r>
    </w:p>
    <w:p w14:paraId="327D20CB" w14:textId="286D9761" w:rsidR="00CC1E63" w:rsidRDefault="00CC1E63" w:rsidP="00573CA0">
      <w:pPr>
        <w:pStyle w:val="Text"/>
      </w:pPr>
      <w:r>
        <w:t xml:space="preserve">The abjad </w:t>
      </w:r>
      <w:r w:rsidRPr="00CF4BA0">
        <w:t xml:space="preserve">numerical value of </w:t>
      </w:r>
      <w:r w:rsidRPr="00CF4BA0">
        <w:rPr>
          <w:i/>
          <w:iCs/>
        </w:rPr>
        <w:t>Bahá’</w:t>
      </w:r>
      <w:r w:rsidRPr="00CF4BA0">
        <w:t xml:space="preserve"> (</w:t>
      </w:r>
      <w:r w:rsidRPr="00CF4BA0">
        <w:rPr>
          <w:rtl/>
          <w:lang w:bidi="ar-IQ"/>
        </w:rPr>
        <w:t>بَهاء</w:t>
      </w:r>
      <w:r>
        <w:t>, “</w:t>
      </w:r>
      <w:r w:rsidRPr="00CF4BA0">
        <w:t>Glory</w:t>
      </w:r>
      <w:r>
        <w:t>”</w:t>
      </w:r>
      <w:r w:rsidRPr="00CF4BA0">
        <w:t>) i</w:t>
      </w:r>
      <w:r w:rsidR="00F10F00">
        <w:t>s 9 (</w:t>
      </w:r>
      <w:r w:rsidRPr="00CF4BA0">
        <w:t>“B” (</w:t>
      </w:r>
      <w:r w:rsidRPr="0023526F">
        <w:rPr>
          <w:rtl/>
          <w:lang w:bidi="ar-IQ"/>
        </w:rPr>
        <w:t>ب</w:t>
      </w:r>
      <w:r>
        <w:t xml:space="preserve">, </w:t>
      </w:r>
      <w:r w:rsidRPr="00CF4BA0">
        <w:rPr>
          <w:i/>
          <w:iCs/>
        </w:rPr>
        <w:t>Bá’</w:t>
      </w:r>
      <w:r w:rsidRPr="00CF4BA0">
        <w:t xml:space="preserve">) </w:t>
      </w:r>
      <w:r w:rsidR="00F10F00">
        <w:t>=</w:t>
      </w:r>
      <w:r w:rsidRPr="00CF4BA0">
        <w:t xml:space="preserve"> 2, “h” (</w:t>
      </w:r>
      <w:r w:rsidRPr="0023526F">
        <w:rPr>
          <w:rtl/>
          <w:lang w:bidi="ar-IQ"/>
        </w:rPr>
        <w:t>ه</w:t>
      </w:r>
      <w:r>
        <w:t xml:space="preserve">, </w:t>
      </w:r>
      <w:r w:rsidRPr="00CF4BA0">
        <w:rPr>
          <w:i/>
          <w:iCs/>
        </w:rPr>
        <w:t>Há’</w:t>
      </w:r>
      <w:r w:rsidRPr="00CF4BA0">
        <w:t xml:space="preserve">) </w:t>
      </w:r>
      <w:r w:rsidR="00F10F00">
        <w:t>=</w:t>
      </w:r>
      <w:r w:rsidRPr="00CF4BA0">
        <w:t xml:space="preserve"> 5 and </w:t>
      </w:r>
      <w:r w:rsidR="00F10F00">
        <w:t>á</w:t>
      </w:r>
      <w:r w:rsidRPr="00CF4BA0">
        <w:t xml:space="preserve"> (</w:t>
      </w:r>
      <w:r w:rsidRPr="0023526F">
        <w:rPr>
          <w:rtl/>
          <w:lang w:bidi="ar-IQ"/>
        </w:rPr>
        <w:t>ا</w:t>
      </w:r>
      <w:r>
        <w:t xml:space="preserve">, </w:t>
      </w:r>
      <w:r w:rsidRPr="00CF4BA0">
        <w:rPr>
          <w:i/>
          <w:iCs/>
        </w:rPr>
        <w:t>Alif</w:t>
      </w:r>
      <w:r w:rsidRPr="00CF4BA0">
        <w:t xml:space="preserve">) </w:t>
      </w:r>
      <w:r w:rsidR="00F10F00">
        <w:t>=</w:t>
      </w:r>
      <w:r w:rsidRPr="00CF4BA0">
        <w:t xml:space="preserve"> 1, totalling 8.  However, </w:t>
      </w:r>
      <w:r w:rsidRPr="00CF4BA0">
        <w:rPr>
          <w:i/>
          <w:iCs/>
        </w:rPr>
        <w:t>Bahá’</w:t>
      </w:r>
      <w:r w:rsidRPr="00CF4BA0">
        <w:t xml:space="preserve"> ends with a </w:t>
      </w:r>
      <w:r w:rsidRPr="00CF4BA0">
        <w:rPr>
          <w:i/>
          <w:iCs/>
        </w:rPr>
        <w:t>Hamza</w:t>
      </w:r>
      <w:r w:rsidRPr="00CF4BA0">
        <w:t xml:space="preserve"> (</w:t>
      </w:r>
      <w:r w:rsidRPr="0023526F">
        <w:rPr>
          <w:rtl/>
          <w:lang w:bidi="ar-IQ"/>
        </w:rPr>
        <w:t>ء</w:t>
      </w:r>
      <w:r w:rsidRPr="00CF4BA0">
        <w:t xml:space="preserve">)—an independent consonant with no English equivalent, and, when not seated on a long vowel, also equals 1.  So the numerical value of the first three elements of </w:t>
      </w:r>
      <w:r w:rsidRPr="00CF4BA0">
        <w:rPr>
          <w:i/>
          <w:iCs/>
        </w:rPr>
        <w:t>Bahá’</w:t>
      </w:r>
      <w:r w:rsidRPr="00CF4BA0">
        <w:t xml:space="preserve">, equalling 8, are the bearers of the enthroned </w:t>
      </w:r>
      <w:r w:rsidRPr="00CF4BA0">
        <w:rPr>
          <w:i/>
          <w:iCs/>
        </w:rPr>
        <w:t>Hamza</w:t>
      </w:r>
      <w:r w:rsidRPr="00CF4BA0">
        <w:t>.</w:t>
      </w:r>
      <w:r w:rsidRPr="00CF4BA0">
        <w:rPr>
          <w:rStyle w:val="FootnoteReference"/>
        </w:rPr>
        <w:footnoteReference w:id="34"/>
      </w:r>
      <w:r w:rsidRPr="00CF4BA0">
        <w:t xml:space="preserve">  This brings the total numerical value of </w:t>
      </w:r>
      <w:r w:rsidRPr="00CF4BA0">
        <w:rPr>
          <w:i/>
          <w:iCs/>
        </w:rPr>
        <w:t xml:space="preserve">Bahá’ </w:t>
      </w:r>
      <w:r w:rsidRPr="00CF4BA0">
        <w:t>to 9, which is of great significance in the Bahá’í Faith.</w:t>
      </w:r>
      <w:r w:rsidR="00573CA0">
        <w:rPr>
          <w:rStyle w:val="FootnoteReference"/>
        </w:rPr>
        <w:footnoteReference w:id="35"/>
      </w:r>
    </w:p>
    <w:p w14:paraId="01B4BF87" w14:textId="798144D7" w:rsidR="00573CA0" w:rsidRDefault="00573CA0" w:rsidP="00573CA0">
      <w:pPr>
        <w:pStyle w:val="Text"/>
      </w:pPr>
      <w:r w:rsidRPr="00660F23">
        <w:rPr>
          <w:lang w:val="en-US" w:eastAsia="en-US"/>
        </w:rPr>
        <w:t xml:space="preserve">The verse </w:t>
      </w:r>
      <w:r>
        <w:rPr>
          <w:lang w:val="en-US" w:eastAsia="en-US"/>
        </w:rPr>
        <w:t>[</w:t>
      </w:r>
      <w:r>
        <w:t xml:space="preserve">Qur’án </w:t>
      </w:r>
      <w:r w:rsidRPr="00CF4BA0">
        <w:t>69:17</w:t>
      </w:r>
      <w:r>
        <w:t xml:space="preserve">] </w:t>
      </w:r>
      <w:r w:rsidRPr="00660F23">
        <w:rPr>
          <w:lang w:val="en-US" w:eastAsia="en-US"/>
        </w:rPr>
        <w:t>thus means</w:t>
      </w:r>
      <w:r>
        <w:rPr>
          <w:lang w:val="en-US" w:eastAsia="en-US"/>
        </w:rPr>
        <w:t xml:space="preserve"> [according to ‘Abdu’l-Bahá]</w:t>
      </w:r>
      <w:r w:rsidRPr="00660F23">
        <w:rPr>
          <w:lang w:val="en-US" w:eastAsia="en-US"/>
        </w:rPr>
        <w:t xml:space="preserve">:  </w:t>
      </w:r>
      <w:r>
        <w:rPr>
          <w:lang w:val="en-US" w:eastAsia="en-US"/>
        </w:rPr>
        <w:t>“</w:t>
      </w:r>
      <w:r w:rsidRPr="00660F23">
        <w:rPr>
          <w:lang w:val="en-US" w:eastAsia="en-US"/>
        </w:rPr>
        <w:t>on that day Bahá will bear up the throne (the</w:t>
      </w:r>
      <w:r>
        <w:rPr>
          <w:lang w:val="en-US" w:eastAsia="en-US"/>
        </w:rPr>
        <w:t xml:space="preserve"> </w:t>
      </w:r>
      <w:r w:rsidRPr="00660F23">
        <w:rPr>
          <w:lang w:val="en-US" w:eastAsia="en-US"/>
        </w:rPr>
        <w:t>body) of thy Lord.  On that day eight will bear up one.</w:t>
      </w:r>
      <w:r>
        <w:rPr>
          <w:lang w:val="en-US" w:eastAsia="en-US"/>
        </w:rPr>
        <w:t>”</w:t>
      </w:r>
      <w:r>
        <w:rPr>
          <w:rStyle w:val="FootnoteReference"/>
          <w:lang w:eastAsia="en-US"/>
        </w:rPr>
        <w:footnoteReference w:id="36"/>
      </w:r>
    </w:p>
    <w:p w14:paraId="6BE4F18E" w14:textId="4766AE4F" w:rsidR="00410AAA" w:rsidRDefault="00423E22" w:rsidP="00423E22">
      <w:pPr>
        <w:pStyle w:val="Text"/>
      </w:pPr>
      <w:r w:rsidRPr="0043255A">
        <w:t>All things proceed from the Primal Unity, which in turn proceeds from the Point.</w:t>
      </w:r>
      <w:r>
        <w:t xml:space="preserve">  </w:t>
      </w:r>
      <w:r w:rsidRPr="0043255A">
        <w:t xml:space="preserve">The </w:t>
      </w:r>
      <w:r>
        <w:t xml:space="preserve">unity of the </w:t>
      </w:r>
      <w:r w:rsidRPr="0043255A">
        <w:rPr>
          <w:rFonts w:eastAsia="Arial"/>
        </w:rPr>
        <w:t>B</w:t>
      </w:r>
      <w:r w:rsidRPr="0043255A">
        <w:t>á</w:t>
      </w:r>
      <w:r w:rsidRPr="0043255A">
        <w:rPr>
          <w:rFonts w:eastAsia="Arial"/>
        </w:rPr>
        <w:t>b</w:t>
      </w:r>
      <w:r w:rsidRPr="0043255A">
        <w:t xml:space="preserve"> and His </w:t>
      </w:r>
      <w:r>
        <w:t>18</w:t>
      </w:r>
      <w:r w:rsidRPr="0043255A">
        <w:t xml:space="preserve"> Letters of the Living comprise the Primal Unity of </w:t>
      </w:r>
      <w:r>
        <w:t>19</w:t>
      </w:r>
      <w:r w:rsidRPr="0043255A">
        <w:t xml:space="preserve"> figures</w:t>
      </w:r>
      <w:r>
        <w:t xml:space="preserve"> (</w:t>
      </w:r>
      <w:r w:rsidRPr="00394AB2">
        <w:rPr>
          <w:i/>
          <w:iCs/>
        </w:rPr>
        <w:t>wáḥid</w:t>
      </w:r>
      <w:r>
        <w:t>, abjad 19, “</w:t>
      </w:r>
      <w:r w:rsidRPr="0043255A">
        <w:t>one</w:t>
      </w:r>
      <w:r>
        <w:t>”</w:t>
      </w:r>
      <w:r w:rsidRPr="0043255A">
        <w:t xml:space="preserve"> or </w:t>
      </w:r>
      <w:r>
        <w:t>“</w:t>
      </w:r>
      <w:r w:rsidRPr="0043255A">
        <w:t>uni</w:t>
      </w:r>
      <w:r w:rsidRPr="00423E22">
        <w:t>ty</w:t>
      </w:r>
      <w:r>
        <w:t>”)</w:t>
      </w:r>
      <w:r w:rsidRPr="0043255A">
        <w:t xml:space="preserve">. </w:t>
      </w:r>
      <w:r>
        <w:t xml:space="preserve"> </w:t>
      </w:r>
      <w:r w:rsidR="00410AAA" w:rsidRPr="0043255A">
        <w:t>This Primal Unity gives rise to “all things”</w:t>
      </w:r>
      <w:r>
        <w:t xml:space="preserve"> (</w:t>
      </w:r>
      <w:r w:rsidRPr="00394AB2">
        <w:rPr>
          <w:i/>
          <w:iCs/>
        </w:rPr>
        <w:t xml:space="preserve">kullu </w:t>
      </w:r>
      <w:r w:rsidRPr="00394AB2">
        <w:rPr>
          <w:i/>
          <w:iCs/>
          <w:u w:val="single"/>
        </w:rPr>
        <w:t>sh</w:t>
      </w:r>
      <w:r w:rsidRPr="00394AB2">
        <w:rPr>
          <w:i/>
          <w:iCs/>
        </w:rPr>
        <w:t>ay’</w:t>
      </w:r>
      <w:r>
        <w:t xml:space="preserve">, abjad 361).  It </w:t>
      </w:r>
      <w:r w:rsidR="00410AAA" w:rsidRPr="0043255A">
        <w:t>is the perfect manifestation of the attributes of God as the First and the Last</w:t>
      </w:r>
      <w:r>
        <w:t>.</w:t>
      </w:r>
    </w:p>
    <w:p w14:paraId="4A9DFF84" w14:textId="0C51D921" w:rsidR="00410AAA" w:rsidRDefault="00410AAA" w:rsidP="001565D3">
      <w:pPr>
        <w:pStyle w:val="Text"/>
      </w:pPr>
      <w:r w:rsidRPr="0043255A">
        <w:t xml:space="preserve">In the Arabic Bayán, the </w:t>
      </w:r>
      <w:r w:rsidRPr="0043255A">
        <w:rPr>
          <w:rFonts w:eastAsia="Arial"/>
        </w:rPr>
        <w:t>B</w:t>
      </w:r>
      <w:r w:rsidRPr="0043255A">
        <w:t>á</w:t>
      </w:r>
      <w:r w:rsidRPr="0043255A">
        <w:rPr>
          <w:rFonts w:eastAsia="Arial"/>
        </w:rPr>
        <w:t>b</w:t>
      </w:r>
      <w:r w:rsidRPr="0043255A">
        <w:t xml:space="preserve"> speaks of Quddús as the realization of the Last—the return of the Islamic station of gatehood, or the station of magnification (</w:t>
      </w:r>
      <w:r w:rsidRPr="0043255A">
        <w:rPr>
          <w:i/>
          <w:iCs/>
        </w:rPr>
        <w:t>takbír</w:t>
      </w:r>
      <w:r w:rsidRPr="0043255A">
        <w:t xml:space="preserve">).  Quddús is thus a mirror of the First—the </w:t>
      </w:r>
      <w:r w:rsidRPr="0043255A">
        <w:rPr>
          <w:rFonts w:eastAsia="Arial"/>
        </w:rPr>
        <w:t>B</w:t>
      </w:r>
      <w:r w:rsidRPr="0043255A">
        <w:t>á</w:t>
      </w:r>
      <w:r w:rsidRPr="0043255A">
        <w:rPr>
          <w:rFonts w:eastAsia="Arial"/>
        </w:rPr>
        <w:t>b</w:t>
      </w:r>
      <w:r w:rsidRPr="0043255A">
        <w:t xml:space="preserve">—and indeed Quddús’ own name, Muḥammad-‘Alí, is the mirror image of the </w:t>
      </w:r>
      <w:r w:rsidRPr="0043255A">
        <w:rPr>
          <w:rFonts w:eastAsia="Arial"/>
        </w:rPr>
        <w:t>B</w:t>
      </w:r>
      <w:r w:rsidRPr="0043255A">
        <w:t>á</w:t>
      </w:r>
      <w:r w:rsidRPr="0043255A">
        <w:rPr>
          <w:rFonts w:eastAsia="Arial"/>
        </w:rPr>
        <w:t>b</w:t>
      </w:r>
      <w:r w:rsidRPr="0043255A">
        <w:t xml:space="preserve">’s name, ‘Alí-Muḥammad.  Then the </w:t>
      </w:r>
      <w:r w:rsidRPr="0043255A">
        <w:rPr>
          <w:rFonts w:eastAsia="Arial"/>
        </w:rPr>
        <w:t>B</w:t>
      </w:r>
      <w:r w:rsidRPr="0043255A">
        <w:t>á</w:t>
      </w:r>
      <w:r w:rsidRPr="0043255A">
        <w:rPr>
          <w:rFonts w:eastAsia="Arial"/>
        </w:rPr>
        <w:t>b</w:t>
      </w:r>
      <w:r w:rsidRPr="0043255A">
        <w:t xml:space="preserve"> calls Quddús the reality that is above eight unities of mirrors.  Elsewhere, the </w:t>
      </w:r>
      <w:r w:rsidRPr="0043255A">
        <w:rPr>
          <w:rFonts w:eastAsia="Arial"/>
        </w:rPr>
        <w:t>B</w:t>
      </w:r>
      <w:r w:rsidRPr="0043255A">
        <w:t>á</w:t>
      </w:r>
      <w:r w:rsidRPr="0043255A">
        <w:rPr>
          <w:rFonts w:eastAsia="Arial"/>
        </w:rPr>
        <w:t>b</w:t>
      </w:r>
      <w:r w:rsidRPr="0043255A">
        <w:t xml:space="preserve"> refers to Quddús as the one around whom eight unities revolve.</w:t>
      </w:r>
      <w:r w:rsidR="001565D3">
        <w:rPr>
          <w:rStyle w:val="FootnoteReference"/>
        </w:rPr>
        <w:footnoteReference w:id="37"/>
      </w:r>
    </w:p>
    <w:p w14:paraId="47E8EC30" w14:textId="05067A43" w:rsidR="00410AAA" w:rsidRDefault="00410AAA" w:rsidP="00573CA0">
      <w:pPr>
        <w:pStyle w:val="Text"/>
      </w:pPr>
      <w:r w:rsidRPr="0043255A">
        <w:t xml:space="preserve">The Báb describes the Primal Unity as consisting of the First and the Last.  The First is of course the </w:t>
      </w:r>
      <w:r w:rsidRPr="0043255A">
        <w:rPr>
          <w:rFonts w:eastAsia="Arial"/>
        </w:rPr>
        <w:t>B</w:t>
      </w:r>
      <w:r w:rsidRPr="0043255A">
        <w:t>á</w:t>
      </w:r>
      <w:r w:rsidRPr="0043255A">
        <w:rPr>
          <w:rFonts w:eastAsia="Arial"/>
        </w:rPr>
        <w:t>b</w:t>
      </w:r>
      <w:r w:rsidRPr="0043255A">
        <w:t xml:space="preserve">, representing </w:t>
      </w:r>
      <w:r w:rsidRPr="0043255A">
        <w:rPr>
          <w:i/>
          <w:iCs/>
        </w:rPr>
        <w:t>Huva</w:t>
      </w:r>
      <w:r w:rsidRPr="0043255A">
        <w:t xml:space="preserve"> (He), equal to 11.  The remaining eight Letters represent the station of Quddús as the Last.  Since the “all things” of the </w:t>
      </w:r>
      <w:r w:rsidRPr="0043255A">
        <w:rPr>
          <w:rFonts w:eastAsia="Arial"/>
        </w:rPr>
        <w:t>B</w:t>
      </w:r>
      <w:r w:rsidRPr="0043255A">
        <w:t>á</w:t>
      </w:r>
      <w:r w:rsidRPr="0043255A">
        <w:rPr>
          <w:rFonts w:eastAsia="Arial"/>
        </w:rPr>
        <w:t>b</w:t>
      </w:r>
      <w:r w:rsidRPr="0043255A">
        <w:t>í community (19 × 19 = 361)—each member of which is a “mirror”—can also be considered as reflections of the First and the Last, the first eleven unities (</w:t>
      </w:r>
      <w:r w:rsidRPr="0043255A">
        <w:rPr>
          <w:rFonts w:eastAsia="Arial"/>
        </w:rPr>
        <w:t xml:space="preserve">11 </w:t>
      </w:r>
      <w:r w:rsidRPr="0043255A">
        <w:t xml:space="preserve">× 19 </w:t>
      </w:r>
      <w:r w:rsidRPr="0043255A">
        <w:rPr>
          <w:rFonts w:eastAsia="Arial"/>
        </w:rPr>
        <w:t xml:space="preserve">= </w:t>
      </w:r>
      <w:r w:rsidRPr="0043255A">
        <w:t xml:space="preserve">209) are created through the </w:t>
      </w:r>
      <w:r w:rsidRPr="0043255A">
        <w:rPr>
          <w:rFonts w:eastAsia="Arial"/>
        </w:rPr>
        <w:t>B</w:t>
      </w:r>
      <w:r w:rsidRPr="0043255A">
        <w:t>á</w:t>
      </w:r>
      <w:r w:rsidRPr="0043255A">
        <w:rPr>
          <w:rFonts w:eastAsia="Arial"/>
        </w:rPr>
        <w:t>b</w:t>
      </w:r>
      <w:r w:rsidRPr="0043255A">
        <w:t xml:space="preserve"> and the remaining eight (8 × 19 = 152) through Quddús. </w:t>
      </w:r>
      <w:r>
        <w:t xml:space="preserve"> </w:t>
      </w:r>
      <w:r w:rsidRPr="0043255A">
        <w:t xml:space="preserve">Quddús is thus above “eight unities of mirrors” or the one around whom eight unities revolve.  And 152 mirrors thus fall beneath the station of Quddús.  According to the Qur’án, eight angels will carry the Throne of God on the Day of Judgment.  Quddús in this sense represents the station of magnification </w:t>
      </w:r>
      <w:r w:rsidR="009422C4" w:rsidRPr="0043255A">
        <w:t>(</w:t>
      </w:r>
      <w:r w:rsidR="009422C4" w:rsidRPr="0043255A">
        <w:rPr>
          <w:i/>
          <w:iCs/>
        </w:rPr>
        <w:t>takbír</w:t>
      </w:r>
      <w:r w:rsidR="009422C4" w:rsidRPr="0043255A">
        <w:t>)</w:t>
      </w:r>
      <w:r w:rsidR="009422C4">
        <w:t xml:space="preserve"> </w:t>
      </w:r>
      <w:r w:rsidRPr="0043255A">
        <w:t>and gatehood, which “carries the throne of God”</w:t>
      </w:r>
      <w:r>
        <w:t>,</w:t>
      </w:r>
      <w:r w:rsidRPr="0043255A">
        <w:t xml:space="preserve"> that is, the </w:t>
      </w:r>
      <w:r w:rsidRPr="0043255A">
        <w:rPr>
          <w:rFonts w:eastAsia="Arial"/>
        </w:rPr>
        <w:t>B</w:t>
      </w:r>
      <w:r w:rsidRPr="0043255A">
        <w:t>á</w:t>
      </w:r>
      <w:r w:rsidRPr="0043255A">
        <w:rPr>
          <w:rFonts w:eastAsia="Arial"/>
        </w:rPr>
        <w:t>b</w:t>
      </w:r>
      <w:r w:rsidRPr="0043255A">
        <w:t xml:space="preserve"> or the Point of glorification.</w:t>
      </w:r>
      <w:r w:rsidR="00573CA0">
        <w:rPr>
          <w:rStyle w:val="FootnoteReference"/>
        </w:rPr>
        <w:footnoteReference w:id="38"/>
      </w:r>
    </w:p>
    <w:p w14:paraId="377D0DA9" w14:textId="643F229D" w:rsidR="00423E22" w:rsidRPr="00A60CA9" w:rsidRDefault="001565D3" w:rsidP="00573CA0">
      <w:pPr>
        <w:pStyle w:val="Text"/>
      </w:pPr>
      <w:r>
        <w:t xml:space="preserve">Shoghi Effendi </w:t>
      </w:r>
      <w:r w:rsidR="00423E22" w:rsidRPr="00113621">
        <w:t xml:space="preserve">always referred to the Shrine </w:t>
      </w:r>
      <w:r>
        <w:t xml:space="preserve">of the Báb </w:t>
      </w:r>
      <w:r w:rsidR="00423E22" w:rsidRPr="00113621">
        <w:t xml:space="preserve">as the </w:t>
      </w:r>
      <w:r w:rsidR="00573CA0">
        <w:t>“</w:t>
      </w:r>
      <w:r w:rsidR="00423E22" w:rsidRPr="00113621">
        <w:t>Throne of the Lord</w:t>
      </w:r>
      <w:r w:rsidR="00573CA0">
        <w:t>”</w:t>
      </w:r>
      <w:r>
        <w:t>.</w:t>
      </w:r>
      <w:r w:rsidR="00573CA0">
        <w:rPr>
          <w:rStyle w:val="FootnoteReference"/>
        </w:rPr>
        <w:footnoteReference w:id="39"/>
      </w:r>
    </w:p>
    <w:p w14:paraId="1338A077" w14:textId="5C015B4B" w:rsidR="00F42DB7" w:rsidRPr="008F03E5" w:rsidRDefault="00F42DB7" w:rsidP="00F42DB7">
      <w:pPr>
        <w:pStyle w:val="Myhead3"/>
        <w:spacing w:after="120"/>
      </w:pPr>
      <w:r w:rsidRPr="008F03E5">
        <w:t>Hands of the Cause of God</w:t>
      </w:r>
      <w:bookmarkEnd w:id="191"/>
      <w:r w:rsidRPr="00E56695">
        <w:rPr>
          <w:sz w:val="12"/>
          <w:szCs w:val="12"/>
        </w:rPr>
        <w:fldChar w:fldCharType="begin"/>
      </w:r>
      <w:r w:rsidRPr="00E56695">
        <w:rPr>
          <w:sz w:val="12"/>
          <w:szCs w:val="12"/>
          <w:lang w:val="en-AU"/>
        </w:rPr>
        <w:instrText xml:space="preserve"> TC “</w:instrText>
      </w:r>
      <w:bookmarkStart w:id="194" w:name="_Toc149476402"/>
      <w:bookmarkStart w:id="195" w:name="_Toc167691888"/>
      <w:r w:rsidRPr="00E56695">
        <w:rPr>
          <w:sz w:val="12"/>
          <w:szCs w:val="12"/>
        </w:rPr>
        <w:instrText>Hands of the Cause of God</w:instrText>
      </w:r>
      <w:r w:rsidRPr="00E56695">
        <w:rPr>
          <w:color w:val="FFFFFF" w:themeColor="background1"/>
          <w:sz w:val="12"/>
          <w:szCs w:val="12"/>
          <w:lang w:val="en-AU"/>
        </w:rPr>
        <w:instrText>..</w:instrText>
      </w:r>
      <w:r w:rsidRPr="00E56695">
        <w:rPr>
          <w:sz w:val="12"/>
          <w:szCs w:val="12"/>
          <w:lang w:val="en-AU"/>
        </w:rPr>
        <w:tab/>
      </w:r>
      <w:r w:rsidRPr="00E56695">
        <w:rPr>
          <w:color w:val="FFFFFF" w:themeColor="background1"/>
          <w:sz w:val="12"/>
          <w:szCs w:val="12"/>
          <w:lang w:val="en-AU"/>
        </w:rPr>
        <w:instrText>.</w:instrText>
      </w:r>
      <w:bookmarkEnd w:id="194"/>
      <w:bookmarkEnd w:id="195"/>
      <w:r w:rsidRPr="00E56695">
        <w:rPr>
          <w:sz w:val="12"/>
          <w:szCs w:val="12"/>
          <w:lang w:val="en-AU"/>
        </w:rPr>
        <w:instrText>” \l 2</w:instrText>
      </w:r>
      <w:r w:rsidRPr="00E56695">
        <w:rPr>
          <w:sz w:val="12"/>
          <w:szCs w:val="12"/>
        </w:rPr>
        <w:fldChar w:fldCharType="end"/>
      </w:r>
    </w:p>
    <w:tbl>
      <w:tblPr>
        <w:tblStyle w:val="TableGrid"/>
        <w:tblW w:w="0" w:type="auto"/>
        <w:jc w:val="center"/>
        <w:tblLook w:val="04A0" w:firstRow="1" w:lastRow="0" w:firstColumn="1" w:lastColumn="0" w:noHBand="0" w:noVBand="1"/>
      </w:tblPr>
      <w:tblGrid>
        <w:gridCol w:w="1417"/>
        <w:gridCol w:w="9354"/>
      </w:tblGrid>
      <w:tr w:rsidR="00F42DB7" w:rsidRPr="008F03E5" w14:paraId="2E401149" w14:textId="77777777" w:rsidTr="007176EE">
        <w:trPr>
          <w:jc w:val="center"/>
        </w:trPr>
        <w:tc>
          <w:tcPr>
            <w:tcW w:w="1417" w:type="dxa"/>
          </w:tcPr>
          <w:p w14:paraId="7E70C33A" w14:textId="77777777" w:rsidR="00F42DB7" w:rsidRPr="008F03E5" w:rsidRDefault="00F42DB7" w:rsidP="007176EE">
            <w:pPr>
              <w:keepNext/>
              <w:widowControl/>
              <w:jc w:val="center"/>
              <w:rPr>
                <w:b/>
                <w:bCs/>
                <w:sz w:val="18"/>
                <w:szCs w:val="18"/>
              </w:rPr>
            </w:pPr>
            <w:r w:rsidRPr="008F03E5">
              <w:rPr>
                <w:b/>
                <w:bCs/>
                <w:sz w:val="18"/>
                <w:szCs w:val="18"/>
              </w:rPr>
              <w:t>Appointed by</w:t>
            </w:r>
          </w:p>
        </w:tc>
        <w:tc>
          <w:tcPr>
            <w:tcW w:w="9354" w:type="dxa"/>
          </w:tcPr>
          <w:p w14:paraId="46FE8BA5" w14:textId="77777777" w:rsidR="00F42DB7" w:rsidRPr="008F03E5" w:rsidRDefault="00F42DB7" w:rsidP="007176EE">
            <w:pPr>
              <w:keepNext/>
              <w:widowControl/>
              <w:jc w:val="center"/>
              <w:rPr>
                <w:b/>
                <w:bCs/>
                <w:sz w:val="18"/>
                <w:szCs w:val="18"/>
              </w:rPr>
            </w:pPr>
            <w:r w:rsidRPr="008F03E5">
              <w:rPr>
                <w:b/>
                <w:bCs/>
                <w:sz w:val="18"/>
                <w:szCs w:val="18"/>
              </w:rPr>
              <w:t>Details</w:t>
            </w:r>
          </w:p>
        </w:tc>
      </w:tr>
      <w:tr w:rsidR="00F42DB7" w:rsidRPr="008F03E5" w14:paraId="64FB9586" w14:textId="77777777" w:rsidTr="007176EE">
        <w:trPr>
          <w:jc w:val="center"/>
        </w:trPr>
        <w:tc>
          <w:tcPr>
            <w:tcW w:w="1417" w:type="dxa"/>
            <w:tcBorders>
              <w:bottom w:val="nil"/>
            </w:tcBorders>
          </w:tcPr>
          <w:p w14:paraId="6AE3D6EA" w14:textId="77777777" w:rsidR="00F42DB7" w:rsidRPr="008F03E5" w:rsidRDefault="00F42DB7" w:rsidP="007176EE">
            <w:pPr>
              <w:keepNext/>
              <w:widowControl/>
              <w:jc w:val="center"/>
              <w:rPr>
                <w:b/>
                <w:bCs/>
                <w:sz w:val="18"/>
                <w:szCs w:val="18"/>
              </w:rPr>
            </w:pPr>
            <w:r w:rsidRPr="008F03E5">
              <w:rPr>
                <w:b/>
                <w:bCs/>
                <w:sz w:val="18"/>
                <w:szCs w:val="18"/>
              </w:rPr>
              <w:t>Bahá’u’lláh</w:t>
            </w:r>
          </w:p>
        </w:tc>
        <w:tc>
          <w:tcPr>
            <w:tcW w:w="9354" w:type="dxa"/>
            <w:tcBorders>
              <w:bottom w:val="nil"/>
            </w:tcBorders>
          </w:tcPr>
          <w:p w14:paraId="41B8AE18" w14:textId="77777777" w:rsidR="00F42DB7" w:rsidRPr="008F03E5" w:rsidRDefault="00F42DB7" w:rsidP="007176EE">
            <w:pPr>
              <w:keepNext/>
              <w:widowControl/>
              <w:rPr>
                <w:sz w:val="18"/>
                <w:szCs w:val="18"/>
                <w14:numSpacing w14:val="tabular"/>
              </w:rPr>
            </w:pPr>
            <w:r w:rsidRPr="008F03E5">
              <w:rPr>
                <w:sz w:val="18"/>
                <w:szCs w:val="18"/>
                <w14:numSpacing w14:val="tabular"/>
              </w:rPr>
              <w:t>Ḥájí Mullá ‘Alí-Akbar-i-</w:t>
            </w:r>
            <w:r w:rsidRPr="008F03E5">
              <w:rPr>
                <w:sz w:val="18"/>
                <w:szCs w:val="18"/>
                <w:u w:val="single"/>
                <w14:numSpacing w14:val="tabular"/>
              </w:rPr>
              <w:t>Sh</w:t>
            </w:r>
            <w:r w:rsidRPr="008F03E5">
              <w:rPr>
                <w:sz w:val="18"/>
                <w:szCs w:val="18"/>
                <w14:numSpacing w14:val="tabular"/>
              </w:rPr>
              <w:t>ahmírzádí (Ḥájí Á</w:t>
            </w:r>
            <w:r w:rsidRPr="008F03E5">
              <w:rPr>
                <w:sz w:val="18"/>
                <w:szCs w:val="18"/>
                <w:u w:val="single"/>
                <w14:numSpacing w14:val="tabular"/>
              </w:rPr>
              <w:t>kh</w:t>
            </w:r>
            <w:r w:rsidRPr="008F03E5">
              <w:rPr>
                <w:sz w:val="18"/>
                <w:szCs w:val="18"/>
                <w14:numSpacing w14:val="tabular"/>
              </w:rPr>
              <w:t>únd) (1842–1910)</w:t>
            </w:r>
          </w:p>
        </w:tc>
      </w:tr>
      <w:tr w:rsidR="00F42DB7" w:rsidRPr="008F03E5" w14:paraId="46ECAAE4" w14:textId="77777777" w:rsidTr="007176EE">
        <w:trPr>
          <w:jc w:val="center"/>
        </w:trPr>
        <w:tc>
          <w:tcPr>
            <w:tcW w:w="1417" w:type="dxa"/>
            <w:tcBorders>
              <w:top w:val="nil"/>
              <w:bottom w:val="nil"/>
            </w:tcBorders>
          </w:tcPr>
          <w:p w14:paraId="22A42879" w14:textId="77777777" w:rsidR="00F42DB7" w:rsidRPr="008F03E5" w:rsidRDefault="00F42DB7" w:rsidP="007176EE">
            <w:pPr>
              <w:rPr>
                <w:sz w:val="18"/>
                <w:szCs w:val="18"/>
                <w14:numSpacing w14:val="tabular"/>
              </w:rPr>
            </w:pPr>
          </w:p>
        </w:tc>
        <w:tc>
          <w:tcPr>
            <w:tcW w:w="9354" w:type="dxa"/>
            <w:tcBorders>
              <w:top w:val="nil"/>
              <w:bottom w:val="nil"/>
            </w:tcBorders>
          </w:tcPr>
          <w:p w14:paraId="0EB167ED" w14:textId="77777777" w:rsidR="00F42DB7" w:rsidRPr="008F03E5" w:rsidRDefault="00F42DB7" w:rsidP="007176EE">
            <w:pPr>
              <w:rPr>
                <w:sz w:val="18"/>
                <w:szCs w:val="18"/>
                <w14:numSpacing w14:val="tabular"/>
              </w:rPr>
            </w:pPr>
            <w:r w:rsidRPr="008F03E5">
              <w:rPr>
                <w:sz w:val="18"/>
                <w:szCs w:val="18"/>
                <w14:numSpacing w14:val="tabular"/>
              </w:rPr>
              <w:t>Mírzá Muḥammad-Taqí (Ibn-i-Abhar) (d. 1917)</w:t>
            </w:r>
          </w:p>
        </w:tc>
      </w:tr>
      <w:tr w:rsidR="00F42DB7" w:rsidRPr="008F03E5" w14:paraId="690F06FA" w14:textId="77777777" w:rsidTr="007176EE">
        <w:trPr>
          <w:jc w:val="center"/>
        </w:trPr>
        <w:tc>
          <w:tcPr>
            <w:tcW w:w="1417" w:type="dxa"/>
            <w:tcBorders>
              <w:top w:val="nil"/>
              <w:bottom w:val="nil"/>
            </w:tcBorders>
          </w:tcPr>
          <w:p w14:paraId="0064C4B9" w14:textId="77777777" w:rsidR="00F42DB7" w:rsidRPr="008F03E5" w:rsidRDefault="00F42DB7" w:rsidP="007176EE">
            <w:pPr>
              <w:rPr>
                <w:sz w:val="18"/>
                <w:szCs w:val="18"/>
                <w14:numSpacing w14:val="tabular"/>
              </w:rPr>
            </w:pPr>
          </w:p>
        </w:tc>
        <w:tc>
          <w:tcPr>
            <w:tcW w:w="9354" w:type="dxa"/>
            <w:tcBorders>
              <w:top w:val="nil"/>
              <w:bottom w:val="nil"/>
            </w:tcBorders>
          </w:tcPr>
          <w:p w14:paraId="34DBA328" w14:textId="77777777" w:rsidR="00F42DB7" w:rsidRPr="008F03E5" w:rsidRDefault="00F42DB7" w:rsidP="007176EE">
            <w:pPr>
              <w:rPr>
                <w:sz w:val="18"/>
                <w:szCs w:val="18"/>
                <w14:numSpacing w14:val="tabular"/>
              </w:rPr>
            </w:pPr>
            <w:r w:rsidRPr="008F03E5">
              <w:rPr>
                <w:sz w:val="18"/>
                <w:szCs w:val="18"/>
                <w14:numSpacing w14:val="tabular"/>
              </w:rPr>
              <w:t>Mírzá Ḥasan-i-Adíb (Adíb) (1848–1919)</w:t>
            </w:r>
          </w:p>
        </w:tc>
      </w:tr>
      <w:tr w:rsidR="00F42DB7" w:rsidRPr="008F03E5" w14:paraId="0A3414C2" w14:textId="77777777" w:rsidTr="007176EE">
        <w:trPr>
          <w:jc w:val="center"/>
        </w:trPr>
        <w:tc>
          <w:tcPr>
            <w:tcW w:w="1417" w:type="dxa"/>
            <w:tcBorders>
              <w:top w:val="nil"/>
            </w:tcBorders>
          </w:tcPr>
          <w:p w14:paraId="008B9E0F" w14:textId="77777777" w:rsidR="00F42DB7" w:rsidRPr="008F03E5" w:rsidRDefault="00F42DB7" w:rsidP="007176EE">
            <w:pPr>
              <w:rPr>
                <w:sz w:val="18"/>
                <w:szCs w:val="18"/>
                <w14:numSpacing w14:val="tabular"/>
              </w:rPr>
            </w:pPr>
          </w:p>
        </w:tc>
        <w:tc>
          <w:tcPr>
            <w:tcW w:w="9354" w:type="dxa"/>
            <w:tcBorders>
              <w:top w:val="nil"/>
            </w:tcBorders>
          </w:tcPr>
          <w:p w14:paraId="073B54E2" w14:textId="77777777" w:rsidR="00F42DB7" w:rsidRPr="008F03E5" w:rsidRDefault="00F42DB7" w:rsidP="007176EE">
            <w:pPr>
              <w:rPr>
                <w:sz w:val="18"/>
                <w:szCs w:val="18"/>
                <w14:numSpacing w14:val="tabular"/>
              </w:rPr>
            </w:pPr>
            <w:r w:rsidRPr="008F03E5">
              <w:rPr>
                <w:sz w:val="18"/>
                <w:szCs w:val="18"/>
                <w14:numSpacing w14:val="tabular"/>
              </w:rPr>
              <w:t>Mírzá ‘Alí-Muḥammad (Ibn-i-Aṣdaq) (1850–1928)</w:t>
            </w:r>
          </w:p>
        </w:tc>
      </w:tr>
      <w:tr w:rsidR="00F42DB7" w:rsidRPr="008F03E5" w14:paraId="6DFA537A" w14:textId="77777777" w:rsidTr="007176EE">
        <w:trPr>
          <w:jc w:val="center"/>
        </w:trPr>
        <w:tc>
          <w:tcPr>
            <w:tcW w:w="1417" w:type="dxa"/>
            <w:tcBorders>
              <w:bottom w:val="nil"/>
            </w:tcBorders>
          </w:tcPr>
          <w:p w14:paraId="0B0D0D5D" w14:textId="77777777" w:rsidR="00F42DB7" w:rsidRPr="008F03E5" w:rsidRDefault="00F42DB7" w:rsidP="007176EE">
            <w:pPr>
              <w:jc w:val="center"/>
              <w:rPr>
                <w:b/>
                <w:bCs/>
                <w:sz w:val="18"/>
                <w:szCs w:val="18"/>
              </w:rPr>
            </w:pPr>
            <w:r w:rsidRPr="008F03E5">
              <w:rPr>
                <w:b/>
                <w:bCs/>
                <w:sz w:val="18"/>
                <w:szCs w:val="18"/>
              </w:rPr>
              <w:t>‘Abdu’l-Bahá</w:t>
            </w:r>
          </w:p>
        </w:tc>
        <w:tc>
          <w:tcPr>
            <w:tcW w:w="9354" w:type="dxa"/>
            <w:tcBorders>
              <w:bottom w:val="nil"/>
            </w:tcBorders>
          </w:tcPr>
          <w:p w14:paraId="0EC6716E" w14:textId="77777777" w:rsidR="00F42DB7" w:rsidRPr="008F03E5" w:rsidRDefault="00F42DB7" w:rsidP="007176EE">
            <w:pPr>
              <w:rPr>
                <w:sz w:val="18"/>
                <w:szCs w:val="18"/>
                <w14:numSpacing w14:val="tabular"/>
              </w:rPr>
            </w:pPr>
            <w:r w:rsidRPr="008F03E5">
              <w:rPr>
                <w:sz w:val="18"/>
                <w:szCs w:val="18"/>
                <w14:numSpacing w14:val="tabular"/>
              </w:rPr>
              <w:t xml:space="preserve">None.  Five named in </w:t>
            </w:r>
            <w:r w:rsidRPr="008F03E5">
              <w:rPr>
                <w:i/>
                <w:iCs/>
                <w:sz w:val="18"/>
                <w:szCs w:val="18"/>
                <w14:numSpacing w14:val="tabular"/>
              </w:rPr>
              <w:t>Memorials of the Faithful,</w:t>
            </w:r>
            <w:r w:rsidRPr="008F03E5">
              <w:rPr>
                <w:sz w:val="18"/>
                <w:szCs w:val="18"/>
                <w14:numSpacing w14:val="tabular"/>
              </w:rPr>
              <w:t xml:space="preserve"> p. 7 (one, Ḥájí Á</w:t>
            </w:r>
            <w:r w:rsidRPr="008F03E5">
              <w:rPr>
                <w:sz w:val="18"/>
                <w:szCs w:val="18"/>
                <w:u w:val="single"/>
                <w14:numSpacing w14:val="tabular"/>
              </w:rPr>
              <w:t>kh</w:t>
            </w:r>
            <w:r w:rsidRPr="008F03E5">
              <w:rPr>
                <w:sz w:val="18"/>
                <w:szCs w:val="18"/>
                <w14:numSpacing w14:val="tabular"/>
              </w:rPr>
              <w:t>únd, was appointed by Bahá’u’lláh)</w:t>
            </w:r>
          </w:p>
        </w:tc>
      </w:tr>
      <w:tr w:rsidR="00F42DB7" w:rsidRPr="008F03E5" w14:paraId="41C3B013" w14:textId="77777777" w:rsidTr="007176EE">
        <w:trPr>
          <w:jc w:val="center"/>
        </w:trPr>
        <w:tc>
          <w:tcPr>
            <w:tcW w:w="1417" w:type="dxa"/>
            <w:tcBorders>
              <w:top w:val="nil"/>
              <w:bottom w:val="nil"/>
            </w:tcBorders>
          </w:tcPr>
          <w:p w14:paraId="37614E98" w14:textId="77777777" w:rsidR="00F42DB7" w:rsidRPr="008F03E5" w:rsidRDefault="00F42DB7" w:rsidP="007176EE">
            <w:pPr>
              <w:rPr>
                <w:sz w:val="18"/>
                <w:szCs w:val="18"/>
                <w14:numSpacing w14:val="tabular"/>
              </w:rPr>
            </w:pPr>
          </w:p>
        </w:tc>
        <w:tc>
          <w:tcPr>
            <w:tcW w:w="9354" w:type="dxa"/>
            <w:tcBorders>
              <w:top w:val="nil"/>
              <w:bottom w:val="nil"/>
            </w:tcBorders>
          </w:tcPr>
          <w:p w14:paraId="2B10E23B" w14:textId="77777777" w:rsidR="00F42DB7" w:rsidRPr="008F03E5" w:rsidRDefault="00F42DB7" w:rsidP="007176EE">
            <w:pPr>
              <w:rPr>
                <w:sz w:val="18"/>
                <w:szCs w:val="18"/>
                <w14:numSpacing w14:val="tabular"/>
              </w:rPr>
            </w:pPr>
            <w:r w:rsidRPr="008F03E5">
              <w:rPr>
                <w:sz w:val="18"/>
                <w:szCs w:val="18"/>
                <w14:numSpacing w14:val="tabular"/>
              </w:rPr>
              <w:t>Áqá Muḥammad-i-Qá’iní (Nabíl-i-Akbar) (</w:t>
            </w:r>
            <w:r w:rsidRPr="008F03E5">
              <w:rPr>
                <w:sz w:val="18"/>
                <w:szCs w:val="18"/>
              </w:rPr>
              <w:t>1829–1892</w:t>
            </w:r>
            <w:r w:rsidRPr="008F03E5">
              <w:rPr>
                <w:sz w:val="18"/>
                <w:szCs w:val="18"/>
                <w14:numSpacing w14:val="tabular"/>
              </w:rPr>
              <w:t>)</w:t>
            </w:r>
          </w:p>
        </w:tc>
      </w:tr>
      <w:tr w:rsidR="00F42DB7" w:rsidRPr="00BB2796" w14:paraId="3B4B2A5D" w14:textId="77777777" w:rsidTr="007176EE">
        <w:trPr>
          <w:jc w:val="center"/>
        </w:trPr>
        <w:tc>
          <w:tcPr>
            <w:tcW w:w="1417" w:type="dxa"/>
            <w:tcBorders>
              <w:top w:val="nil"/>
              <w:bottom w:val="nil"/>
            </w:tcBorders>
          </w:tcPr>
          <w:p w14:paraId="0B469D0D" w14:textId="77777777" w:rsidR="00F42DB7" w:rsidRPr="008F03E5" w:rsidRDefault="00F42DB7" w:rsidP="007176EE">
            <w:pPr>
              <w:rPr>
                <w:sz w:val="18"/>
                <w:szCs w:val="18"/>
                <w14:numSpacing w14:val="tabular"/>
              </w:rPr>
            </w:pPr>
          </w:p>
        </w:tc>
        <w:tc>
          <w:tcPr>
            <w:tcW w:w="9354" w:type="dxa"/>
            <w:tcBorders>
              <w:top w:val="nil"/>
              <w:bottom w:val="nil"/>
            </w:tcBorders>
          </w:tcPr>
          <w:p w14:paraId="2F03AE87" w14:textId="77777777" w:rsidR="00F42DB7" w:rsidRPr="00D45A23" w:rsidRDefault="00F42DB7" w:rsidP="007176EE">
            <w:pPr>
              <w:rPr>
                <w:sz w:val="18"/>
                <w:szCs w:val="18"/>
                <w:lang w:val="it-IT"/>
                <w14:numSpacing w14:val="tabular"/>
              </w:rPr>
            </w:pPr>
            <w:r w:rsidRPr="00D45A23">
              <w:rPr>
                <w:sz w:val="18"/>
                <w:szCs w:val="18"/>
                <w:lang w:val="it-IT"/>
                <w14:numSpacing w14:val="tabular"/>
              </w:rPr>
              <w:t>Mírzá ‘Alí-Muḥammad-i-Varqá (d.</w:t>
            </w:r>
            <w:r w:rsidRPr="00D45A23">
              <w:rPr>
                <w:sz w:val="18"/>
                <w:szCs w:val="18"/>
                <w:lang w:val="it-IT"/>
              </w:rPr>
              <w:t xml:space="preserve"> 1896</w:t>
            </w:r>
            <w:r w:rsidRPr="00D45A23">
              <w:rPr>
                <w:sz w:val="18"/>
                <w:szCs w:val="18"/>
                <w:lang w:val="it-IT"/>
                <w14:numSpacing w14:val="tabular"/>
              </w:rPr>
              <w:t>)</w:t>
            </w:r>
          </w:p>
        </w:tc>
      </w:tr>
      <w:tr w:rsidR="00F42DB7" w:rsidRPr="008063A9" w14:paraId="0A0C4A04" w14:textId="77777777" w:rsidTr="007176EE">
        <w:trPr>
          <w:jc w:val="center"/>
        </w:trPr>
        <w:tc>
          <w:tcPr>
            <w:tcW w:w="1417" w:type="dxa"/>
            <w:tcBorders>
              <w:top w:val="nil"/>
              <w:bottom w:val="nil"/>
            </w:tcBorders>
          </w:tcPr>
          <w:p w14:paraId="4DA509E6" w14:textId="77777777" w:rsidR="00F42DB7" w:rsidRPr="00D45A23" w:rsidRDefault="00F42DB7" w:rsidP="007176EE">
            <w:pPr>
              <w:rPr>
                <w:sz w:val="18"/>
                <w:szCs w:val="18"/>
                <w:lang w:val="it-IT"/>
                <w14:numSpacing w14:val="tabular"/>
              </w:rPr>
            </w:pPr>
          </w:p>
        </w:tc>
        <w:tc>
          <w:tcPr>
            <w:tcW w:w="9354" w:type="dxa"/>
            <w:tcBorders>
              <w:top w:val="nil"/>
              <w:bottom w:val="nil"/>
            </w:tcBorders>
          </w:tcPr>
          <w:p w14:paraId="4F79ADC5" w14:textId="77777777" w:rsidR="00F42DB7" w:rsidRPr="00D45A23" w:rsidRDefault="00F42DB7" w:rsidP="007176EE">
            <w:pPr>
              <w:rPr>
                <w:sz w:val="18"/>
                <w:szCs w:val="18"/>
                <w:lang w:val="it-IT"/>
                <w14:numSpacing w14:val="tabular"/>
              </w:rPr>
            </w:pPr>
            <w:r w:rsidRPr="00D45A23">
              <w:rPr>
                <w:sz w:val="18"/>
                <w:szCs w:val="18"/>
                <w:lang w:val="it-IT"/>
                <w14:numSpacing w14:val="tabular"/>
              </w:rPr>
              <w:t>Mullá Ṣádiq-i-Muqaddas (Ismu’lláhu’l-Aṣdaq) (d. 1889)</w:t>
            </w:r>
          </w:p>
        </w:tc>
      </w:tr>
      <w:tr w:rsidR="00F42DB7" w:rsidRPr="008063A9" w14:paraId="79413547" w14:textId="77777777" w:rsidTr="007176EE">
        <w:trPr>
          <w:jc w:val="center"/>
        </w:trPr>
        <w:tc>
          <w:tcPr>
            <w:tcW w:w="1417" w:type="dxa"/>
            <w:tcBorders>
              <w:top w:val="nil"/>
            </w:tcBorders>
          </w:tcPr>
          <w:p w14:paraId="14804111" w14:textId="77777777" w:rsidR="00F42DB7" w:rsidRPr="00D45A23" w:rsidRDefault="00F42DB7" w:rsidP="007176EE">
            <w:pPr>
              <w:rPr>
                <w:sz w:val="18"/>
                <w:szCs w:val="18"/>
                <w:lang w:val="it-IT"/>
                <w14:numSpacing w14:val="tabular"/>
              </w:rPr>
            </w:pPr>
          </w:p>
        </w:tc>
        <w:tc>
          <w:tcPr>
            <w:tcW w:w="9354" w:type="dxa"/>
            <w:tcBorders>
              <w:top w:val="nil"/>
            </w:tcBorders>
          </w:tcPr>
          <w:p w14:paraId="174CD2D7" w14:textId="77777777" w:rsidR="00F42DB7" w:rsidRPr="00D45A23" w:rsidRDefault="00F42DB7" w:rsidP="007176EE">
            <w:pPr>
              <w:rPr>
                <w:sz w:val="18"/>
                <w:szCs w:val="18"/>
                <w:lang w:val="it-IT"/>
                <w14:numSpacing w14:val="tabular"/>
              </w:rPr>
            </w:pPr>
            <w:r w:rsidRPr="00D45A23">
              <w:rPr>
                <w:sz w:val="18"/>
                <w:szCs w:val="18"/>
                <w:u w:val="single"/>
                <w:lang w:val="it-IT"/>
                <w14:numSpacing w14:val="tabular"/>
              </w:rPr>
              <w:t>Sh</w:t>
            </w:r>
            <w:r w:rsidRPr="00D45A23">
              <w:rPr>
                <w:sz w:val="18"/>
                <w:szCs w:val="18"/>
                <w:lang w:val="it-IT"/>
                <w14:numSpacing w14:val="tabular"/>
              </w:rPr>
              <w:t>ay</w:t>
            </w:r>
            <w:r w:rsidRPr="00D45A23">
              <w:rPr>
                <w:sz w:val="18"/>
                <w:szCs w:val="18"/>
                <w:u w:val="single"/>
                <w:lang w:val="it-IT"/>
                <w14:numSpacing w14:val="tabular"/>
              </w:rPr>
              <w:t>kh</w:t>
            </w:r>
            <w:r w:rsidRPr="00D45A23">
              <w:rPr>
                <w:sz w:val="18"/>
                <w:szCs w:val="18"/>
                <w:lang w:val="it-IT"/>
                <w14:numSpacing w14:val="tabular"/>
              </w:rPr>
              <w:t xml:space="preserve"> Muḥammad Riḍáy-i-Yazdí (believed to be Mullá Muḥammad-i-Riḍáy-i-Muḥammmad-Ábádí (</w:t>
            </w:r>
            <w:r w:rsidRPr="00D45A23">
              <w:rPr>
                <w:sz w:val="18"/>
                <w:szCs w:val="18"/>
                <w:lang w:val="it-IT"/>
              </w:rPr>
              <w:t>1814–1897</w:t>
            </w:r>
            <w:r w:rsidRPr="00D45A23">
              <w:rPr>
                <w:sz w:val="18"/>
                <w:szCs w:val="18"/>
                <w:lang w:val="it-IT"/>
                <w14:numSpacing w14:val="tabular"/>
              </w:rPr>
              <w:t>))</w:t>
            </w:r>
          </w:p>
        </w:tc>
      </w:tr>
      <w:tr w:rsidR="00F42DB7" w:rsidRPr="008F03E5" w14:paraId="3EED6EB3" w14:textId="77777777" w:rsidTr="007176EE">
        <w:trPr>
          <w:jc w:val="center"/>
        </w:trPr>
        <w:tc>
          <w:tcPr>
            <w:tcW w:w="1417" w:type="dxa"/>
            <w:tcBorders>
              <w:bottom w:val="nil"/>
            </w:tcBorders>
          </w:tcPr>
          <w:p w14:paraId="55A5E751" w14:textId="77777777" w:rsidR="00F42DB7" w:rsidRPr="008F03E5" w:rsidRDefault="00F42DB7" w:rsidP="007176EE">
            <w:pPr>
              <w:jc w:val="center"/>
              <w:rPr>
                <w:b/>
                <w:bCs/>
                <w:sz w:val="18"/>
                <w:szCs w:val="18"/>
              </w:rPr>
            </w:pPr>
            <w:r w:rsidRPr="008F03E5">
              <w:rPr>
                <w:b/>
                <w:bCs/>
                <w:sz w:val="18"/>
                <w:szCs w:val="18"/>
              </w:rPr>
              <w:t>Shoghi Effendi</w:t>
            </w:r>
          </w:p>
        </w:tc>
        <w:tc>
          <w:tcPr>
            <w:tcW w:w="9354" w:type="dxa"/>
            <w:tcBorders>
              <w:bottom w:val="nil"/>
            </w:tcBorders>
          </w:tcPr>
          <w:p w14:paraId="58A7F84C" w14:textId="77777777" w:rsidR="00F42DB7" w:rsidRPr="008F03E5" w:rsidRDefault="00F42DB7" w:rsidP="007176EE">
            <w:pPr>
              <w:rPr>
                <w:sz w:val="18"/>
                <w:szCs w:val="18"/>
                <w14:numSpacing w14:val="tabular"/>
              </w:rPr>
            </w:pPr>
            <w:r w:rsidRPr="008F03E5">
              <w:rPr>
                <w:sz w:val="18"/>
                <w:szCs w:val="18"/>
              </w:rPr>
              <w:t>Ḥájí Abu’l-Ḥasan (Ḥájí</w:t>
            </w:r>
            <w:r w:rsidRPr="008F03E5">
              <w:rPr>
                <w:sz w:val="18"/>
                <w:szCs w:val="18"/>
                <w14:numSpacing w14:val="tabular"/>
              </w:rPr>
              <w:t xml:space="preserve"> Amín) (1831–1928) [1928]</w:t>
            </w:r>
          </w:p>
        </w:tc>
      </w:tr>
      <w:tr w:rsidR="00F42DB7" w:rsidRPr="008F03E5" w14:paraId="24D0532E" w14:textId="77777777" w:rsidTr="007176EE">
        <w:trPr>
          <w:jc w:val="center"/>
        </w:trPr>
        <w:tc>
          <w:tcPr>
            <w:tcW w:w="1417" w:type="dxa"/>
            <w:tcBorders>
              <w:top w:val="nil"/>
              <w:bottom w:val="nil"/>
            </w:tcBorders>
          </w:tcPr>
          <w:p w14:paraId="35BCA2DE" w14:textId="77777777" w:rsidR="00F42DB7" w:rsidRPr="008F03E5" w:rsidRDefault="00F42DB7" w:rsidP="007176EE">
            <w:pPr>
              <w:rPr>
                <w:sz w:val="18"/>
                <w:szCs w:val="18"/>
                <w14:numSpacing w14:val="tabular"/>
              </w:rPr>
            </w:pPr>
          </w:p>
        </w:tc>
        <w:tc>
          <w:tcPr>
            <w:tcW w:w="9354" w:type="dxa"/>
            <w:tcBorders>
              <w:top w:val="nil"/>
              <w:bottom w:val="nil"/>
            </w:tcBorders>
          </w:tcPr>
          <w:p w14:paraId="20C0F053" w14:textId="77777777" w:rsidR="00F42DB7" w:rsidRPr="008F03E5" w:rsidRDefault="00F42DB7" w:rsidP="007176EE">
            <w:pPr>
              <w:rPr>
                <w:sz w:val="18"/>
                <w:szCs w:val="18"/>
                <w14:numSpacing w14:val="tabular"/>
              </w:rPr>
            </w:pPr>
            <w:r w:rsidRPr="008F03E5">
              <w:rPr>
                <w:sz w:val="18"/>
                <w:szCs w:val="18"/>
                <w14:numSpacing w14:val="tabular"/>
              </w:rPr>
              <w:t>John Ebenezer Esslemont (1874–1925) [1925]</w:t>
            </w:r>
          </w:p>
        </w:tc>
      </w:tr>
      <w:tr w:rsidR="00F42DB7" w:rsidRPr="008F03E5" w14:paraId="357DC487" w14:textId="77777777" w:rsidTr="007176EE">
        <w:trPr>
          <w:jc w:val="center"/>
        </w:trPr>
        <w:tc>
          <w:tcPr>
            <w:tcW w:w="1417" w:type="dxa"/>
            <w:tcBorders>
              <w:top w:val="nil"/>
              <w:bottom w:val="nil"/>
            </w:tcBorders>
          </w:tcPr>
          <w:p w14:paraId="6713D9EF" w14:textId="77777777" w:rsidR="00F42DB7" w:rsidRPr="008F03E5" w:rsidRDefault="00F42DB7" w:rsidP="007176EE">
            <w:pPr>
              <w:rPr>
                <w:sz w:val="18"/>
                <w:szCs w:val="18"/>
                <w14:numSpacing w14:val="tabular"/>
              </w:rPr>
            </w:pPr>
            <w:r w:rsidRPr="008F03E5">
              <w:rPr>
                <w:sz w:val="18"/>
                <w:szCs w:val="18"/>
                <w14:numSpacing w14:val="tabular"/>
              </w:rPr>
              <w:t>[Posthumous</w:t>
            </w:r>
          </w:p>
        </w:tc>
        <w:tc>
          <w:tcPr>
            <w:tcW w:w="9354" w:type="dxa"/>
            <w:tcBorders>
              <w:top w:val="nil"/>
              <w:bottom w:val="nil"/>
            </w:tcBorders>
          </w:tcPr>
          <w:p w14:paraId="7F9C97F0" w14:textId="77777777" w:rsidR="00F42DB7" w:rsidRPr="008F03E5" w:rsidRDefault="00F42DB7" w:rsidP="007176EE">
            <w:pPr>
              <w:rPr>
                <w:sz w:val="18"/>
                <w:szCs w:val="18"/>
                <w14:numSpacing w14:val="tabular"/>
              </w:rPr>
            </w:pPr>
            <w:r w:rsidRPr="008F03E5">
              <w:rPr>
                <w:sz w:val="18"/>
                <w:szCs w:val="18"/>
                <w14:numSpacing w14:val="tabular"/>
              </w:rPr>
              <w:t>Martha Root (1872–1939) [</w:t>
            </w:r>
            <w:r w:rsidRPr="008F03E5">
              <w:rPr>
                <w:sz w:val="18"/>
                <w:szCs w:val="18"/>
              </w:rPr>
              <w:t>3 October 1939]</w:t>
            </w:r>
          </w:p>
        </w:tc>
      </w:tr>
      <w:tr w:rsidR="00F42DB7" w:rsidRPr="008063A9" w14:paraId="6446820A" w14:textId="77777777" w:rsidTr="007176EE">
        <w:trPr>
          <w:jc w:val="center"/>
        </w:trPr>
        <w:tc>
          <w:tcPr>
            <w:tcW w:w="1417" w:type="dxa"/>
            <w:tcBorders>
              <w:top w:val="nil"/>
              <w:bottom w:val="nil"/>
            </w:tcBorders>
          </w:tcPr>
          <w:p w14:paraId="34E94FED" w14:textId="77777777" w:rsidR="00F42DB7" w:rsidRPr="008F03E5" w:rsidRDefault="00F42DB7" w:rsidP="007176EE">
            <w:pPr>
              <w:rPr>
                <w:sz w:val="18"/>
                <w:szCs w:val="18"/>
                <w14:numSpacing w14:val="tabular"/>
              </w:rPr>
            </w:pPr>
            <w:r w:rsidRPr="008F03E5">
              <w:rPr>
                <w:sz w:val="18"/>
                <w:szCs w:val="18"/>
                <w14:numSpacing w14:val="tabular"/>
              </w:rPr>
              <w:t>appointments]</w:t>
            </w:r>
          </w:p>
        </w:tc>
        <w:tc>
          <w:tcPr>
            <w:tcW w:w="9354" w:type="dxa"/>
            <w:tcBorders>
              <w:top w:val="nil"/>
              <w:bottom w:val="nil"/>
            </w:tcBorders>
          </w:tcPr>
          <w:p w14:paraId="75AC0B9D" w14:textId="77777777" w:rsidR="00F42DB7" w:rsidRPr="00077779" w:rsidRDefault="00F42DB7" w:rsidP="007176EE">
            <w:pPr>
              <w:rPr>
                <w:sz w:val="18"/>
                <w:szCs w:val="18"/>
                <w:lang w:val="de-DE"/>
                <w14:numSpacing w14:val="tabular"/>
              </w:rPr>
            </w:pPr>
            <w:r w:rsidRPr="00077779">
              <w:rPr>
                <w:sz w:val="18"/>
                <w:szCs w:val="18"/>
                <w:lang w:val="de-DE"/>
                <w14:numSpacing w14:val="tabular"/>
              </w:rPr>
              <w:t>Keith Bean Ransom-Kehler (1876–1933) [30 October 1933]</w:t>
            </w:r>
          </w:p>
        </w:tc>
      </w:tr>
      <w:tr w:rsidR="00F42DB7" w:rsidRPr="008F03E5" w14:paraId="1A496154" w14:textId="77777777" w:rsidTr="007176EE">
        <w:trPr>
          <w:jc w:val="center"/>
        </w:trPr>
        <w:tc>
          <w:tcPr>
            <w:tcW w:w="1417" w:type="dxa"/>
            <w:tcBorders>
              <w:top w:val="nil"/>
              <w:bottom w:val="nil"/>
            </w:tcBorders>
          </w:tcPr>
          <w:p w14:paraId="7FF7AB25" w14:textId="77777777" w:rsidR="00F42DB7" w:rsidRPr="00077779" w:rsidRDefault="00F42DB7" w:rsidP="007176EE">
            <w:pPr>
              <w:rPr>
                <w:lang w:val="de-DE"/>
              </w:rPr>
            </w:pPr>
          </w:p>
        </w:tc>
        <w:tc>
          <w:tcPr>
            <w:tcW w:w="9354" w:type="dxa"/>
            <w:tcBorders>
              <w:top w:val="nil"/>
              <w:bottom w:val="nil"/>
            </w:tcBorders>
          </w:tcPr>
          <w:p w14:paraId="5B6DB1C3" w14:textId="77777777" w:rsidR="00F42DB7" w:rsidRPr="008F03E5" w:rsidRDefault="00F42DB7" w:rsidP="007176EE">
            <w:pPr>
              <w:rPr>
                <w:sz w:val="18"/>
                <w:szCs w:val="18"/>
                <w14:numSpacing w14:val="tabular"/>
              </w:rPr>
            </w:pPr>
            <w:r w:rsidRPr="008F03E5">
              <w:rPr>
                <w:sz w:val="18"/>
                <w:szCs w:val="18"/>
                <w14:numSpacing w14:val="tabular"/>
              </w:rPr>
              <w:t>John Henry Hyde Dunn (1855–1941) [27 April 1951]</w:t>
            </w:r>
          </w:p>
        </w:tc>
      </w:tr>
      <w:tr w:rsidR="00F42DB7" w:rsidRPr="008F03E5" w14:paraId="7954EE75" w14:textId="77777777" w:rsidTr="007176EE">
        <w:trPr>
          <w:jc w:val="center"/>
        </w:trPr>
        <w:tc>
          <w:tcPr>
            <w:tcW w:w="1417" w:type="dxa"/>
            <w:tcBorders>
              <w:top w:val="nil"/>
              <w:bottom w:val="nil"/>
            </w:tcBorders>
          </w:tcPr>
          <w:p w14:paraId="0C27A50B" w14:textId="77777777" w:rsidR="00F42DB7" w:rsidRPr="008F03E5" w:rsidRDefault="00F42DB7" w:rsidP="007176EE"/>
        </w:tc>
        <w:tc>
          <w:tcPr>
            <w:tcW w:w="9354" w:type="dxa"/>
            <w:tcBorders>
              <w:top w:val="nil"/>
              <w:bottom w:val="nil"/>
            </w:tcBorders>
          </w:tcPr>
          <w:p w14:paraId="67F33C15" w14:textId="77777777" w:rsidR="00F42DB7" w:rsidRPr="008F03E5" w:rsidRDefault="00F42DB7" w:rsidP="007176EE">
            <w:pPr>
              <w:rPr>
                <w:sz w:val="18"/>
                <w:szCs w:val="18"/>
                <w14:numSpacing w14:val="tabular"/>
              </w:rPr>
            </w:pPr>
            <w:r w:rsidRPr="008F03E5">
              <w:rPr>
                <w:sz w:val="18"/>
                <w:szCs w:val="18"/>
                <w14:numSpacing w14:val="tabular"/>
              </w:rPr>
              <w:t>Siyyid Muṣṭafá Rúmí (d. 1942) [14 july 1945]</w:t>
            </w:r>
          </w:p>
        </w:tc>
      </w:tr>
      <w:tr w:rsidR="00F42DB7" w:rsidRPr="008F03E5" w14:paraId="4BEC2382" w14:textId="77777777" w:rsidTr="007176EE">
        <w:trPr>
          <w:jc w:val="center"/>
        </w:trPr>
        <w:tc>
          <w:tcPr>
            <w:tcW w:w="1417" w:type="dxa"/>
            <w:tcBorders>
              <w:top w:val="nil"/>
              <w:bottom w:val="nil"/>
            </w:tcBorders>
          </w:tcPr>
          <w:p w14:paraId="4A4CEFDF" w14:textId="77777777" w:rsidR="00F42DB7" w:rsidRPr="008F03E5" w:rsidRDefault="00F42DB7" w:rsidP="007176EE"/>
        </w:tc>
        <w:tc>
          <w:tcPr>
            <w:tcW w:w="9354" w:type="dxa"/>
            <w:tcBorders>
              <w:top w:val="nil"/>
              <w:bottom w:val="nil"/>
            </w:tcBorders>
          </w:tcPr>
          <w:p w14:paraId="049B111C" w14:textId="77777777" w:rsidR="00F42DB7" w:rsidRPr="008F03E5" w:rsidRDefault="00F42DB7" w:rsidP="007176EE">
            <w:pPr>
              <w:rPr>
                <w:sz w:val="18"/>
                <w:szCs w:val="18"/>
                <w14:numSpacing w14:val="tabular"/>
              </w:rPr>
            </w:pPr>
            <w:r w:rsidRPr="008F03E5">
              <w:rPr>
                <w:sz w:val="18"/>
                <w:szCs w:val="18"/>
                <w14:numSpacing w14:val="tabular"/>
              </w:rPr>
              <w:t>‘Abdu’l-Jalíl Bey Sa‘d (d. 1942)</w:t>
            </w:r>
          </w:p>
        </w:tc>
      </w:tr>
      <w:tr w:rsidR="00F42DB7" w:rsidRPr="008F03E5" w14:paraId="4D3FC677" w14:textId="77777777" w:rsidTr="007176EE">
        <w:trPr>
          <w:jc w:val="center"/>
        </w:trPr>
        <w:tc>
          <w:tcPr>
            <w:tcW w:w="1417" w:type="dxa"/>
            <w:tcBorders>
              <w:top w:val="nil"/>
              <w:bottom w:val="nil"/>
            </w:tcBorders>
          </w:tcPr>
          <w:p w14:paraId="3D1AFEE1" w14:textId="77777777" w:rsidR="00F42DB7" w:rsidRPr="008F03E5" w:rsidRDefault="00F42DB7" w:rsidP="007176EE"/>
        </w:tc>
        <w:tc>
          <w:tcPr>
            <w:tcW w:w="9354" w:type="dxa"/>
            <w:tcBorders>
              <w:top w:val="nil"/>
              <w:bottom w:val="nil"/>
            </w:tcBorders>
          </w:tcPr>
          <w:p w14:paraId="4FB0D09C" w14:textId="77777777" w:rsidR="00F42DB7" w:rsidRPr="008F03E5" w:rsidRDefault="00F42DB7" w:rsidP="007176EE">
            <w:pPr>
              <w:rPr>
                <w:sz w:val="18"/>
                <w:szCs w:val="18"/>
                <w14:numSpacing w14:val="tabular"/>
              </w:rPr>
            </w:pPr>
            <w:r w:rsidRPr="008F03E5">
              <w:rPr>
                <w:sz w:val="18"/>
                <w:szCs w:val="18"/>
                <w14:numSpacing w14:val="tabular"/>
              </w:rPr>
              <w:t>Muḥammad Taqíy-i-Iṣfahání (1860–1946)</w:t>
            </w:r>
          </w:p>
        </w:tc>
      </w:tr>
      <w:tr w:rsidR="00F42DB7" w:rsidRPr="008F03E5" w14:paraId="0A829D37" w14:textId="77777777" w:rsidTr="007176EE">
        <w:trPr>
          <w:jc w:val="center"/>
        </w:trPr>
        <w:tc>
          <w:tcPr>
            <w:tcW w:w="1417" w:type="dxa"/>
            <w:tcBorders>
              <w:top w:val="nil"/>
              <w:bottom w:val="nil"/>
            </w:tcBorders>
          </w:tcPr>
          <w:p w14:paraId="22AD9C3F" w14:textId="77777777" w:rsidR="00F42DB7" w:rsidRPr="008F03E5" w:rsidRDefault="00F42DB7" w:rsidP="007176EE"/>
        </w:tc>
        <w:tc>
          <w:tcPr>
            <w:tcW w:w="9354" w:type="dxa"/>
            <w:tcBorders>
              <w:top w:val="nil"/>
              <w:bottom w:val="nil"/>
            </w:tcBorders>
          </w:tcPr>
          <w:p w14:paraId="794FEEA1" w14:textId="77777777" w:rsidR="00F42DB7" w:rsidRPr="008F03E5" w:rsidRDefault="00F42DB7" w:rsidP="007176EE">
            <w:pPr>
              <w:rPr>
                <w:sz w:val="18"/>
                <w:szCs w:val="18"/>
                <w14:numSpacing w14:val="tabular"/>
              </w:rPr>
            </w:pPr>
            <w:r w:rsidRPr="008F03E5">
              <w:rPr>
                <w:sz w:val="18"/>
                <w:szCs w:val="18"/>
                <w14:numSpacing w14:val="tabular"/>
              </w:rPr>
              <w:t>Roy C. Wilhelm (1875–1951) [1952]</w:t>
            </w:r>
          </w:p>
        </w:tc>
      </w:tr>
      <w:tr w:rsidR="00F42DB7" w:rsidRPr="008F03E5" w14:paraId="2F46B6B3" w14:textId="77777777" w:rsidTr="007176EE">
        <w:trPr>
          <w:jc w:val="center"/>
        </w:trPr>
        <w:tc>
          <w:tcPr>
            <w:tcW w:w="1417" w:type="dxa"/>
            <w:tcBorders>
              <w:top w:val="nil"/>
            </w:tcBorders>
          </w:tcPr>
          <w:p w14:paraId="4FD5EAB8" w14:textId="77777777" w:rsidR="00F42DB7" w:rsidRPr="008F03E5" w:rsidRDefault="00F42DB7" w:rsidP="007176EE"/>
        </w:tc>
        <w:tc>
          <w:tcPr>
            <w:tcW w:w="9354" w:type="dxa"/>
            <w:tcBorders>
              <w:top w:val="nil"/>
            </w:tcBorders>
          </w:tcPr>
          <w:p w14:paraId="5C9A8755" w14:textId="77777777" w:rsidR="00F42DB7" w:rsidRPr="008F03E5" w:rsidRDefault="00F42DB7" w:rsidP="007176EE">
            <w:pPr>
              <w:rPr>
                <w:sz w:val="18"/>
                <w:szCs w:val="18"/>
                <w14:numSpacing w14:val="tabular"/>
              </w:rPr>
            </w:pPr>
            <w:r w:rsidRPr="008F03E5">
              <w:rPr>
                <w:sz w:val="18"/>
                <w:szCs w:val="18"/>
                <w14:numSpacing w14:val="tabular"/>
              </w:rPr>
              <w:t>Louis George Gregory (1874–1951) [1951]</w:t>
            </w:r>
          </w:p>
        </w:tc>
      </w:tr>
      <w:tr w:rsidR="00F42DB7" w:rsidRPr="008F03E5" w14:paraId="7705DCF7" w14:textId="77777777" w:rsidTr="007176EE">
        <w:trPr>
          <w:jc w:val="center"/>
        </w:trPr>
        <w:tc>
          <w:tcPr>
            <w:tcW w:w="1417" w:type="dxa"/>
            <w:tcBorders>
              <w:bottom w:val="nil"/>
            </w:tcBorders>
          </w:tcPr>
          <w:p w14:paraId="46DBBD4E" w14:textId="77777777" w:rsidR="00F42DB7" w:rsidRPr="008F03E5" w:rsidRDefault="00F42DB7" w:rsidP="007176EE">
            <w:pPr>
              <w:jc w:val="center"/>
              <w:rPr>
                <w:b/>
                <w:bCs/>
                <w:sz w:val="18"/>
                <w:szCs w:val="18"/>
              </w:rPr>
            </w:pPr>
            <w:r w:rsidRPr="008F03E5">
              <w:rPr>
                <w:b/>
                <w:bCs/>
                <w:sz w:val="18"/>
                <w:szCs w:val="18"/>
              </w:rPr>
              <w:t>Shoghi Effendi</w:t>
            </w:r>
          </w:p>
        </w:tc>
        <w:tc>
          <w:tcPr>
            <w:tcW w:w="9354" w:type="dxa"/>
            <w:tcBorders>
              <w:bottom w:val="nil"/>
            </w:tcBorders>
          </w:tcPr>
          <w:p w14:paraId="76FA2FBA" w14:textId="77777777" w:rsidR="00F42DB7" w:rsidRPr="008F03E5" w:rsidRDefault="00F42DB7" w:rsidP="007176EE">
            <w:pPr>
              <w:rPr>
                <w:sz w:val="18"/>
                <w:szCs w:val="18"/>
                <w14:numSpacing w14:val="tabular"/>
              </w:rPr>
            </w:pPr>
            <w:r w:rsidRPr="008F03E5">
              <w:rPr>
                <w:i/>
                <w:iCs/>
                <w:sz w:val="18"/>
                <w:szCs w:val="18"/>
                <w14:numSpacing w14:val="tabular"/>
              </w:rPr>
              <w:t>Holy Land</w:t>
            </w:r>
            <w:r w:rsidRPr="008F03E5">
              <w:rPr>
                <w:sz w:val="18"/>
                <w:szCs w:val="18"/>
                <w14:numSpacing w14:val="tabular"/>
              </w:rPr>
              <w:t>:  William Sutherland Maxwell (1874–1951), Charles Mason Remey (1874–1974) (until 1960), Amelia Engekder Collins (1873–1962), President, Vice-President, International Baha’i Council</w:t>
            </w:r>
          </w:p>
        </w:tc>
      </w:tr>
      <w:tr w:rsidR="00F42DB7" w:rsidRPr="008F03E5" w14:paraId="706B5E55" w14:textId="77777777" w:rsidTr="007176EE">
        <w:trPr>
          <w:jc w:val="center"/>
        </w:trPr>
        <w:tc>
          <w:tcPr>
            <w:tcW w:w="1417" w:type="dxa"/>
            <w:tcBorders>
              <w:top w:val="nil"/>
              <w:bottom w:val="nil"/>
            </w:tcBorders>
          </w:tcPr>
          <w:p w14:paraId="36FAED3C" w14:textId="77777777" w:rsidR="00F42DB7" w:rsidRPr="008F03E5" w:rsidRDefault="00F42DB7" w:rsidP="007176EE">
            <w:pPr>
              <w:jc w:val="center"/>
              <w:rPr>
                <w:sz w:val="18"/>
                <w:szCs w:val="18"/>
                <w14:numSpacing w14:val="tabular"/>
              </w:rPr>
            </w:pPr>
            <w:r w:rsidRPr="008F03E5">
              <w:rPr>
                <w:sz w:val="18"/>
                <w:szCs w:val="18"/>
                <w14:numSpacing w14:val="tabular"/>
              </w:rPr>
              <w:t>24–12–1951</w:t>
            </w:r>
          </w:p>
        </w:tc>
        <w:tc>
          <w:tcPr>
            <w:tcW w:w="9354" w:type="dxa"/>
            <w:tcBorders>
              <w:top w:val="nil"/>
              <w:bottom w:val="nil"/>
            </w:tcBorders>
          </w:tcPr>
          <w:p w14:paraId="536BFA3A" w14:textId="77777777" w:rsidR="00F42DB7" w:rsidRPr="008F03E5" w:rsidRDefault="00F42DB7" w:rsidP="007176EE">
            <w:pPr>
              <w:rPr>
                <w:sz w:val="18"/>
                <w:szCs w:val="18"/>
                <w14:numSpacing w14:val="tabular"/>
              </w:rPr>
            </w:pPr>
            <w:r w:rsidRPr="008F03E5">
              <w:rPr>
                <w:i/>
                <w:iCs/>
                <w:sz w:val="18"/>
                <w:szCs w:val="18"/>
                <w14:numSpacing w14:val="tabular"/>
              </w:rPr>
              <w:t>Iran</w:t>
            </w:r>
            <w:r w:rsidRPr="008F03E5">
              <w:rPr>
                <w:sz w:val="18"/>
                <w:szCs w:val="18"/>
                <w14:numSpacing w14:val="tabular"/>
              </w:rPr>
              <w:t>:  Valiyu’lláh Varqá (1884–1955), Ṭarázu’lláh Samandarí (1874–1968), ‘Alí-Akbar Furútan (1905–2003)</w:t>
            </w:r>
          </w:p>
        </w:tc>
      </w:tr>
      <w:tr w:rsidR="00F42DB7" w:rsidRPr="008F03E5" w14:paraId="2793E7E0" w14:textId="77777777" w:rsidTr="007176EE">
        <w:trPr>
          <w:jc w:val="center"/>
        </w:trPr>
        <w:tc>
          <w:tcPr>
            <w:tcW w:w="1417" w:type="dxa"/>
            <w:tcBorders>
              <w:top w:val="nil"/>
              <w:bottom w:val="nil"/>
            </w:tcBorders>
          </w:tcPr>
          <w:p w14:paraId="620EC5DC" w14:textId="77777777" w:rsidR="00F42DB7" w:rsidRPr="008F03E5" w:rsidRDefault="00F42DB7" w:rsidP="007176EE">
            <w:pPr>
              <w:jc w:val="center"/>
              <w:rPr>
                <w:sz w:val="18"/>
                <w:szCs w:val="18"/>
              </w:rPr>
            </w:pPr>
            <w:r w:rsidRPr="008F03E5">
              <w:rPr>
                <w:sz w:val="18"/>
                <w:szCs w:val="18"/>
              </w:rPr>
              <w:t>(twelve)</w:t>
            </w:r>
          </w:p>
        </w:tc>
        <w:tc>
          <w:tcPr>
            <w:tcW w:w="9354" w:type="dxa"/>
            <w:tcBorders>
              <w:top w:val="nil"/>
              <w:bottom w:val="nil"/>
            </w:tcBorders>
          </w:tcPr>
          <w:p w14:paraId="6BC960CF" w14:textId="77777777" w:rsidR="00F42DB7" w:rsidRPr="008F03E5" w:rsidRDefault="00F42DB7" w:rsidP="007176EE">
            <w:pPr>
              <w:rPr>
                <w:sz w:val="18"/>
                <w:szCs w:val="18"/>
                <w14:numSpacing w14:val="tabular"/>
              </w:rPr>
            </w:pPr>
            <w:r w:rsidRPr="008F03E5">
              <w:rPr>
                <w:i/>
                <w:iCs/>
                <w:sz w:val="18"/>
                <w:szCs w:val="18"/>
                <w14:numSpacing w14:val="tabular"/>
              </w:rPr>
              <w:t>American continent</w:t>
            </w:r>
            <w:r w:rsidRPr="008F03E5">
              <w:rPr>
                <w:sz w:val="18"/>
                <w:szCs w:val="18"/>
                <w14:numSpacing w14:val="tabular"/>
              </w:rPr>
              <w:t>:  Horace Hotchkiss Holley(1867–1960), Dorothy Beecher Baker (1898–1954), Leroy C. Ioas (1896–1965)</w:t>
            </w:r>
          </w:p>
        </w:tc>
      </w:tr>
      <w:tr w:rsidR="00F42DB7" w:rsidRPr="008F03E5" w14:paraId="7C04854D" w14:textId="77777777" w:rsidTr="007176EE">
        <w:trPr>
          <w:jc w:val="center"/>
        </w:trPr>
        <w:tc>
          <w:tcPr>
            <w:tcW w:w="1417" w:type="dxa"/>
            <w:tcBorders>
              <w:top w:val="nil"/>
            </w:tcBorders>
          </w:tcPr>
          <w:p w14:paraId="70334DD2" w14:textId="77777777" w:rsidR="00F42DB7" w:rsidRPr="008F03E5" w:rsidRDefault="00F42DB7" w:rsidP="007176EE">
            <w:pPr>
              <w:rPr>
                <w:sz w:val="18"/>
                <w:szCs w:val="18"/>
                <w14:numSpacing w14:val="tabular"/>
              </w:rPr>
            </w:pPr>
          </w:p>
        </w:tc>
        <w:tc>
          <w:tcPr>
            <w:tcW w:w="9354" w:type="dxa"/>
            <w:tcBorders>
              <w:top w:val="nil"/>
            </w:tcBorders>
          </w:tcPr>
          <w:p w14:paraId="7B3D5C22" w14:textId="77777777" w:rsidR="00F42DB7" w:rsidRPr="008F03E5" w:rsidRDefault="00F42DB7" w:rsidP="007176EE">
            <w:pPr>
              <w:rPr>
                <w:sz w:val="18"/>
                <w:szCs w:val="18"/>
                <w14:numSpacing w14:val="tabular"/>
              </w:rPr>
            </w:pPr>
            <w:r w:rsidRPr="008F03E5">
              <w:rPr>
                <w:i/>
                <w:iCs/>
                <w:sz w:val="18"/>
                <w:szCs w:val="18"/>
                <w14:numSpacing w14:val="tabular"/>
              </w:rPr>
              <w:t>European continent</w:t>
            </w:r>
            <w:r w:rsidRPr="008F03E5">
              <w:rPr>
                <w:sz w:val="18"/>
                <w:szCs w:val="18"/>
                <w14:numSpacing w14:val="tabular"/>
              </w:rPr>
              <w:t>:  George Townshend (1876–1957),</w:t>
            </w:r>
            <w:r w:rsidRPr="008F03E5">
              <w:rPr>
                <w:rStyle w:val="FootnoteReference"/>
              </w:rPr>
              <w:footnoteReference w:id="40"/>
            </w:r>
            <w:r w:rsidRPr="008F03E5">
              <w:rPr>
                <w:sz w:val="18"/>
                <w:szCs w:val="18"/>
                <w14:numSpacing w14:val="tabular"/>
              </w:rPr>
              <w:t xml:space="preserve"> Hermann Grossmann (1899–1968), Ugo Giachery (1896–1989)</w:t>
            </w:r>
          </w:p>
        </w:tc>
      </w:tr>
      <w:tr w:rsidR="00F42DB7" w:rsidRPr="008F03E5" w14:paraId="42212E2A" w14:textId="77777777" w:rsidTr="007176EE">
        <w:trPr>
          <w:jc w:val="center"/>
        </w:trPr>
        <w:tc>
          <w:tcPr>
            <w:tcW w:w="1417" w:type="dxa"/>
            <w:tcBorders>
              <w:bottom w:val="nil"/>
            </w:tcBorders>
          </w:tcPr>
          <w:p w14:paraId="547ACC0A" w14:textId="77777777" w:rsidR="00F42DB7" w:rsidRPr="008F03E5" w:rsidRDefault="00F42DB7" w:rsidP="007176EE">
            <w:pPr>
              <w:jc w:val="center"/>
              <w:rPr>
                <w:b/>
                <w:bCs/>
                <w:sz w:val="18"/>
                <w:szCs w:val="18"/>
              </w:rPr>
            </w:pPr>
            <w:r w:rsidRPr="008F03E5">
              <w:rPr>
                <w:b/>
                <w:bCs/>
                <w:sz w:val="18"/>
                <w:szCs w:val="18"/>
              </w:rPr>
              <w:t>Shoghi Effendi</w:t>
            </w:r>
          </w:p>
        </w:tc>
        <w:tc>
          <w:tcPr>
            <w:tcW w:w="9354" w:type="dxa"/>
            <w:tcBorders>
              <w:bottom w:val="nil"/>
            </w:tcBorders>
          </w:tcPr>
          <w:p w14:paraId="05F27939" w14:textId="77777777" w:rsidR="00F42DB7" w:rsidRPr="008F03E5" w:rsidRDefault="00F42DB7" w:rsidP="007176EE">
            <w:pPr>
              <w:rPr>
                <w:sz w:val="18"/>
                <w:szCs w:val="18"/>
                <w14:numSpacing w14:val="tabular"/>
              </w:rPr>
            </w:pPr>
            <w:r w:rsidRPr="008F03E5">
              <w:rPr>
                <w:i/>
                <w:iCs/>
                <w:sz w:val="18"/>
                <w:szCs w:val="18"/>
                <w14:numSpacing w14:val="tabular"/>
              </w:rPr>
              <w:t>Canada and United States</w:t>
            </w:r>
            <w:r w:rsidRPr="008F03E5">
              <w:rPr>
                <w:sz w:val="18"/>
                <w:szCs w:val="18"/>
                <w14:numSpacing w14:val="tabular"/>
              </w:rPr>
              <w:t>:  Siegfried Schopflocher (1877–1953) and Corinne Knight True (1961–1961) (resp.)</w:t>
            </w:r>
          </w:p>
        </w:tc>
      </w:tr>
      <w:tr w:rsidR="00F42DB7" w:rsidRPr="008F03E5" w14:paraId="1793F5F0" w14:textId="77777777" w:rsidTr="007176EE">
        <w:trPr>
          <w:jc w:val="center"/>
        </w:trPr>
        <w:tc>
          <w:tcPr>
            <w:tcW w:w="1417" w:type="dxa"/>
            <w:tcBorders>
              <w:top w:val="nil"/>
              <w:bottom w:val="nil"/>
            </w:tcBorders>
          </w:tcPr>
          <w:p w14:paraId="0DF4CC6A" w14:textId="77777777" w:rsidR="00F42DB7" w:rsidRPr="008F03E5" w:rsidRDefault="00F42DB7" w:rsidP="007176EE">
            <w:pPr>
              <w:jc w:val="center"/>
              <w:rPr>
                <w:sz w:val="18"/>
                <w:szCs w:val="18"/>
                <w14:numSpacing w14:val="tabular"/>
              </w:rPr>
            </w:pPr>
            <w:r w:rsidRPr="008F03E5">
              <w:rPr>
                <w:sz w:val="18"/>
                <w:szCs w:val="18"/>
                <w14:numSpacing w14:val="tabular"/>
              </w:rPr>
              <w:t>29–02–1952</w:t>
            </w:r>
          </w:p>
        </w:tc>
        <w:tc>
          <w:tcPr>
            <w:tcW w:w="9354" w:type="dxa"/>
            <w:tcBorders>
              <w:top w:val="nil"/>
              <w:bottom w:val="nil"/>
            </w:tcBorders>
          </w:tcPr>
          <w:p w14:paraId="0352B91B" w14:textId="77777777" w:rsidR="00F42DB7" w:rsidRPr="008F03E5" w:rsidRDefault="00F42DB7" w:rsidP="007176EE">
            <w:pPr>
              <w:rPr>
                <w:sz w:val="18"/>
                <w:szCs w:val="18"/>
                <w14:numSpacing w14:val="tabular"/>
              </w:rPr>
            </w:pPr>
            <w:r w:rsidRPr="008F03E5">
              <w:rPr>
                <w:i/>
                <w:iCs/>
                <w:sz w:val="18"/>
                <w:szCs w:val="18"/>
                <w14:numSpacing w14:val="tabular"/>
              </w:rPr>
              <w:t>Iran</w:t>
            </w:r>
            <w:r w:rsidRPr="008F03E5">
              <w:rPr>
                <w:sz w:val="18"/>
                <w:szCs w:val="18"/>
                <w14:numSpacing w14:val="tabular"/>
              </w:rPr>
              <w:t xml:space="preserve">:  </w:t>
            </w:r>
            <w:r w:rsidRPr="008F03E5">
              <w:rPr>
                <w:sz w:val="18"/>
                <w:szCs w:val="18"/>
                <w:u w:val="single"/>
                <w14:numSpacing w14:val="tabular"/>
              </w:rPr>
              <w:t>Dh</w:t>
            </w:r>
            <w:r w:rsidRPr="008F03E5">
              <w:rPr>
                <w:sz w:val="18"/>
                <w:szCs w:val="18"/>
                <w14:numSpacing w14:val="tabular"/>
              </w:rPr>
              <w:t xml:space="preserve">ikru’lláh </w:t>
            </w:r>
            <w:r w:rsidRPr="008F03E5">
              <w:rPr>
                <w:sz w:val="18"/>
                <w:szCs w:val="18"/>
                <w:u w:val="single"/>
                <w14:numSpacing w14:val="tabular"/>
              </w:rPr>
              <w:t>Kh</w:t>
            </w:r>
            <w:r w:rsidRPr="008F03E5">
              <w:rPr>
                <w:sz w:val="18"/>
                <w:szCs w:val="18"/>
                <w14:numSpacing w14:val="tabular"/>
              </w:rPr>
              <w:t xml:space="preserve">ádim (1904–1986), </w:t>
            </w:r>
            <w:r w:rsidRPr="008F03E5">
              <w:rPr>
                <w:sz w:val="18"/>
                <w:szCs w:val="18"/>
                <w:u w:val="single"/>
                <w14:numSpacing w14:val="tabular"/>
              </w:rPr>
              <w:t>Sh</w:t>
            </w:r>
            <w:r w:rsidRPr="008F03E5">
              <w:rPr>
                <w:sz w:val="18"/>
                <w:szCs w:val="18"/>
                <w14:numSpacing w14:val="tabular"/>
              </w:rPr>
              <w:t>u‘á‘u’lláh ‘Alá’í (1889–1984)</w:t>
            </w:r>
          </w:p>
        </w:tc>
      </w:tr>
      <w:tr w:rsidR="00F42DB7" w:rsidRPr="008F03E5" w14:paraId="731665C8" w14:textId="77777777" w:rsidTr="007176EE">
        <w:trPr>
          <w:jc w:val="center"/>
        </w:trPr>
        <w:tc>
          <w:tcPr>
            <w:tcW w:w="1417" w:type="dxa"/>
            <w:tcBorders>
              <w:top w:val="nil"/>
            </w:tcBorders>
          </w:tcPr>
          <w:p w14:paraId="224EA35A" w14:textId="77777777" w:rsidR="00F42DB7" w:rsidRPr="008F03E5" w:rsidRDefault="00F42DB7" w:rsidP="007176EE">
            <w:pPr>
              <w:jc w:val="center"/>
              <w:rPr>
                <w:sz w:val="18"/>
                <w:szCs w:val="18"/>
              </w:rPr>
            </w:pPr>
            <w:r w:rsidRPr="008F03E5">
              <w:rPr>
                <w:sz w:val="18"/>
                <w:szCs w:val="18"/>
              </w:rPr>
              <w:t>(seven)</w:t>
            </w:r>
          </w:p>
        </w:tc>
        <w:tc>
          <w:tcPr>
            <w:tcW w:w="9354" w:type="dxa"/>
            <w:tcBorders>
              <w:top w:val="nil"/>
            </w:tcBorders>
          </w:tcPr>
          <w:p w14:paraId="3DDD6FCA" w14:textId="77777777" w:rsidR="00F42DB7" w:rsidRPr="008F03E5" w:rsidRDefault="00F42DB7" w:rsidP="007176EE">
            <w:pPr>
              <w:rPr>
                <w:sz w:val="18"/>
                <w:szCs w:val="18"/>
                <w14:numSpacing w14:val="tabular"/>
              </w:rPr>
            </w:pPr>
            <w:r w:rsidRPr="008F03E5">
              <w:rPr>
                <w:i/>
                <w:iCs/>
                <w:sz w:val="18"/>
                <w:szCs w:val="18"/>
                <w14:numSpacing w14:val="tabular"/>
              </w:rPr>
              <w:t>Germany, Africa, Australia</w:t>
            </w:r>
            <w:r w:rsidRPr="008F03E5">
              <w:rPr>
                <w:sz w:val="18"/>
                <w:szCs w:val="18"/>
                <w14:numSpacing w14:val="tabular"/>
              </w:rPr>
              <w:t>:  Adelbert Mühlschlegel (1897–1980), Músá Banání (1886–1971), Clara Dunn (1869–1960) (resp.)</w:t>
            </w:r>
          </w:p>
        </w:tc>
      </w:tr>
      <w:tr w:rsidR="00F42DB7" w:rsidRPr="008F03E5" w14:paraId="4C58FD0E" w14:textId="77777777" w:rsidTr="007176EE">
        <w:trPr>
          <w:jc w:val="center"/>
        </w:trPr>
        <w:tc>
          <w:tcPr>
            <w:tcW w:w="1417" w:type="dxa"/>
            <w:tcBorders>
              <w:bottom w:val="nil"/>
            </w:tcBorders>
          </w:tcPr>
          <w:p w14:paraId="3D4B9BD9" w14:textId="77777777" w:rsidR="00F42DB7" w:rsidRPr="008F03E5" w:rsidRDefault="00F42DB7" w:rsidP="007176EE">
            <w:pPr>
              <w:jc w:val="center"/>
              <w:rPr>
                <w:b/>
                <w:bCs/>
                <w:sz w:val="18"/>
                <w:szCs w:val="18"/>
              </w:rPr>
            </w:pPr>
            <w:r w:rsidRPr="008F03E5">
              <w:rPr>
                <w:b/>
                <w:bCs/>
                <w:sz w:val="18"/>
                <w:szCs w:val="18"/>
              </w:rPr>
              <w:t>Shoghi Effendi</w:t>
            </w:r>
          </w:p>
        </w:tc>
        <w:tc>
          <w:tcPr>
            <w:tcW w:w="9354" w:type="dxa"/>
            <w:tcBorders>
              <w:bottom w:val="nil"/>
            </w:tcBorders>
          </w:tcPr>
          <w:p w14:paraId="18A6A6C8" w14:textId="77777777" w:rsidR="00F42DB7" w:rsidRPr="008F03E5" w:rsidRDefault="00F42DB7" w:rsidP="007176EE">
            <w:pPr>
              <w:rPr>
                <w:sz w:val="18"/>
                <w:szCs w:val="18"/>
                <w14:numSpacing w14:val="tabular"/>
              </w:rPr>
            </w:pPr>
            <w:r w:rsidRPr="008F03E5">
              <w:rPr>
                <w:sz w:val="18"/>
                <w:szCs w:val="18"/>
                <w14:numSpacing w14:val="tabular"/>
              </w:rPr>
              <w:t xml:space="preserve">Amatu’l-Bahá Rúḥíyyih </w:t>
            </w:r>
            <w:r w:rsidRPr="008F03E5">
              <w:rPr>
                <w:sz w:val="18"/>
                <w:szCs w:val="18"/>
                <w:u w:val="single"/>
                <w14:numSpacing w14:val="tabular"/>
              </w:rPr>
              <w:t>Kh</w:t>
            </w:r>
            <w:r w:rsidRPr="008F03E5">
              <w:rPr>
                <w:sz w:val="18"/>
                <w:szCs w:val="18"/>
                <w14:numSpacing w14:val="tabular"/>
              </w:rPr>
              <w:t>ánum (1910–2000) [March 1952]</w:t>
            </w:r>
          </w:p>
        </w:tc>
      </w:tr>
      <w:tr w:rsidR="00F42DB7" w:rsidRPr="008F03E5" w14:paraId="19FAE62D" w14:textId="77777777" w:rsidTr="007176EE">
        <w:trPr>
          <w:jc w:val="center"/>
        </w:trPr>
        <w:tc>
          <w:tcPr>
            <w:tcW w:w="1417" w:type="dxa"/>
            <w:tcBorders>
              <w:top w:val="nil"/>
              <w:bottom w:val="nil"/>
            </w:tcBorders>
          </w:tcPr>
          <w:p w14:paraId="0CF0D6FC" w14:textId="77777777" w:rsidR="00F42DB7" w:rsidRPr="008F03E5" w:rsidRDefault="00F42DB7" w:rsidP="007176EE"/>
        </w:tc>
        <w:tc>
          <w:tcPr>
            <w:tcW w:w="9354" w:type="dxa"/>
            <w:tcBorders>
              <w:top w:val="nil"/>
              <w:bottom w:val="nil"/>
            </w:tcBorders>
          </w:tcPr>
          <w:p w14:paraId="0E742D4F" w14:textId="77777777" w:rsidR="00F42DB7" w:rsidRPr="008F03E5" w:rsidRDefault="00F42DB7" w:rsidP="007176EE">
            <w:pPr>
              <w:rPr>
                <w:sz w:val="18"/>
                <w:szCs w:val="18"/>
                <w14:numSpacing w14:val="tabular"/>
              </w:rPr>
            </w:pPr>
            <w:r w:rsidRPr="008F03E5">
              <w:rPr>
                <w:sz w:val="18"/>
                <w:szCs w:val="18"/>
                <w14:numSpacing w14:val="tabular"/>
              </w:rPr>
              <w:t xml:space="preserve">Jalál </w:t>
            </w:r>
            <w:r w:rsidRPr="008F03E5">
              <w:rPr>
                <w:sz w:val="18"/>
                <w:szCs w:val="18"/>
                <w:u w:val="single"/>
                <w14:numSpacing w14:val="tabular"/>
              </w:rPr>
              <w:t>Kh</w:t>
            </w:r>
            <w:r w:rsidRPr="008F03E5">
              <w:rPr>
                <w:sz w:val="18"/>
                <w:szCs w:val="18"/>
                <w14:numSpacing w14:val="tabular"/>
              </w:rPr>
              <w:t>áḍih (Jalal Khazeh) (1897–1990) [December 1953]</w:t>
            </w:r>
          </w:p>
        </w:tc>
      </w:tr>
      <w:tr w:rsidR="00F42DB7" w:rsidRPr="008F03E5" w14:paraId="37925B97" w14:textId="77777777" w:rsidTr="007176EE">
        <w:trPr>
          <w:jc w:val="center"/>
        </w:trPr>
        <w:tc>
          <w:tcPr>
            <w:tcW w:w="1417" w:type="dxa"/>
            <w:tcBorders>
              <w:top w:val="nil"/>
              <w:bottom w:val="nil"/>
            </w:tcBorders>
          </w:tcPr>
          <w:p w14:paraId="495D01D9" w14:textId="77777777" w:rsidR="00F42DB7" w:rsidRPr="008F03E5" w:rsidRDefault="00F42DB7" w:rsidP="007176EE">
            <w:pPr>
              <w:jc w:val="center"/>
              <w:rPr>
                <w:sz w:val="18"/>
                <w:szCs w:val="18"/>
                <w14:numSpacing w14:val="tabular"/>
              </w:rPr>
            </w:pPr>
            <w:r w:rsidRPr="008F03E5">
              <w:rPr>
                <w:sz w:val="18"/>
                <w:szCs w:val="18"/>
                <w14:numSpacing w14:val="tabular"/>
              </w:rPr>
              <w:t>[date]</w:t>
            </w:r>
          </w:p>
        </w:tc>
        <w:tc>
          <w:tcPr>
            <w:tcW w:w="9354" w:type="dxa"/>
            <w:tcBorders>
              <w:top w:val="nil"/>
              <w:bottom w:val="nil"/>
            </w:tcBorders>
          </w:tcPr>
          <w:p w14:paraId="101CAFD6" w14:textId="77777777" w:rsidR="00F42DB7" w:rsidRPr="008F03E5" w:rsidRDefault="00F42DB7" w:rsidP="007176EE">
            <w:pPr>
              <w:rPr>
                <w:sz w:val="18"/>
                <w:szCs w:val="18"/>
                <w14:numSpacing w14:val="tabular"/>
              </w:rPr>
            </w:pPr>
            <w:r w:rsidRPr="008F03E5">
              <w:rPr>
                <w:sz w:val="18"/>
                <w:szCs w:val="18"/>
                <w14:numSpacing w14:val="tabular"/>
              </w:rPr>
              <w:t>Paul Haney (1909–1982) [March 1954]</w:t>
            </w:r>
          </w:p>
        </w:tc>
      </w:tr>
      <w:tr w:rsidR="00F42DB7" w:rsidRPr="008F03E5" w14:paraId="2B86CDD2" w14:textId="77777777" w:rsidTr="007176EE">
        <w:trPr>
          <w:jc w:val="center"/>
        </w:trPr>
        <w:tc>
          <w:tcPr>
            <w:tcW w:w="1417" w:type="dxa"/>
            <w:tcBorders>
              <w:top w:val="nil"/>
              <w:bottom w:val="nil"/>
            </w:tcBorders>
          </w:tcPr>
          <w:p w14:paraId="04D08833" w14:textId="77777777" w:rsidR="00F42DB7" w:rsidRPr="008F03E5" w:rsidRDefault="00F42DB7" w:rsidP="007176EE">
            <w:pPr>
              <w:jc w:val="center"/>
              <w:rPr>
                <w:sz w:val="18"/>
                <w:szCs w:val="18"/>
                <w14:numSpacing w14:val="tabular"/>
              </w:rPr>
            </w:pPr>
            <w:r w:rsidRPr="008F03E5">
              <w:rPr>
                <w:sz w:val="18"/>
                <w:szCs w:val="18"/>
              </w:rPr>
              <w:t>(five)</w:t>
            </w:r>
          </w:p>
        </w:tc>
        <w:tc>
          <w:tcPr>
            <w:tcW w:w="9354" w:type="dxa"/>
            <w:tcBorders>
              <w:top w:val="nil"/>
              <w:bottom w:val="nil"/>
            </w:tcBorders>
          </w:tcPr>
          <w:p w14:paraId="4F05C5EC" w14:textId="77777777" w:rsidR="00F42DB7" w:rsidRPr="008F03E5" w:rsidRDefault="00F42DB7" w:rsidP="007176EE">
            <w:pPr>
              <w:rPr>
                <w:sz w:val="18"/>
                <w:szCs w:val="18"/>
                <w14:numSpacing w14:val="tabular"/>
              </w:rPr>
            </w:pPr>
            <w:r w:rsidRPr="008F03E5">
              <w:rPr>
                <w:sz w:val="18"/>
                <w:szCs w:val="18"/>
                <w14:numSpacing w14:val="tabular"/>
              </w:rPr>
              <w:t>‘Alí Muḥammad Varqá (1911–2007) [November 1955]</w:t>
            </w:r>
          </w:p>
        </w:tc>
      </w:tr>
      <w:tr w:rsidR="00F42DB7" w:rsidRPr="008F03E5" w14:paraId="1888ECBE" w14:textId="77777777" w:rsidTr="007176EE">
        <w:trPr>
          <w:jc w:val="center"/>
        </w:trPr>
        <w:tc>
          <w:tcPr>
            <w:tcW w:w="1417" w:type="dxa"/>
            <w:tcBorders>
              <w:top w:val="nil"/>
            </w:tcBorders>
          </w:tcPr>
          <w:p w14:paraId="6D92B805" w14:textId="77777777" w:rsidR="00F42DB7" w:rsidRPr="008F03E5" w:rsidRDefault="00F42DB7" w:rsidP="007176EE">
            <w:pPr>
              <w:rPr>
                <w:sz w:val="18"/>
                <w:szCs w:val="18"/>
                <w14:numSpacing w14:val="tabular"/>
              </w:rPr>
            </w:pPr>
          </w:p>
        </w:tc>
        <w:tc>
          <w:tcPr>
            <w:tcW w:w="9354" w:type="dxa"/>
            <w:tcBorders>
              <w:top w:val="nil"/>
            </w:tcBorders>
          </w:tcPr>
          <w:p w14:paraId="30AA83A4" w14:textId="77777777" w:rsidR="00F42DB7" w:rsidRPr="008F03E5" w:rsidRDefault="00F42DB7" w:rsidP="007176EE">
            <w:pPr>
              <w:rPr>
                <w:sz w:val="18"/>
                <w:szCs w:val="18"/>
                <w14:numSpacing w14:val="tabular"/>
              </w:rPr>
            </w:pPr>
            <w:r w:rsidRPr="008F03E5">
              <w:rPr>
                <w:sz w:val="18"/>
                <w:szCs w:val="18"/>
                <w14:numSpacing w14:val="tabular"/>
              </w:rPr>
              <w:t>Agnes Baldwin Alexander (1875–1971) [March 1957]</w:t>
            </w:r>
          </w:p>
        </w:tc>
      </w:tr>
      <w:tr w:rsidR="00F42DB7" w:rsidRPr="008F03E5" w14:paraId="724BE99D" w14:textId="77777777" w:rsidTr="007176EE">
        <w:trPr>
          <w:jc w:val="center"/>
        </w:trPr>
        <w:tc>
          <w:tcPr>
            <w:tcW w:w="1417" w:type="dxa"/>
            <w:tcBorders>
              <w:bottom w:val="nil"/>
            </w:tcBorders>
          </w:tcPr>
          <w:p w14:paraId="57EEF769" w14:textId="77777777" w:rsidR="00F42DB7" w:rsidRPr="008F03E5" w:rsidRDefault="00F42DB7" w:rsidP="007176EE">
            <w:pPr>
              <w:jc w:val="center"/>
              <w:rPr>
                <w:b/>
                <w:bCs/>
                <w:sz w:val="18"/>
                <w:szCs w:val="18"/>
              </w:rPr>
            </w:pPr>
            <w:r w:rsidRPr="008F03E5">
              <w:rPr>
                <w:b/>
                <w:bCs/>
                <w:sz w:val="18"/>
                <w:szCs w:val="18"/>
              </w:rPr>
              <w:t>Shoghi Effendi</w:t>
            </w:r>
          </w:p>
        </w:tc>
        <w:tc>
          <w:tcPr>
            <w:tcW w:w="9354" w:type="dxa"/>
            <w:tcBorders>
              <w:bottom w:val="nil"/>
            </w:tcBorders>
          </w:tcPr>
          <w:p w14:paraId="05964E71" w14:textId="77777777" w:rsidR="00F42DB7" w:rsidRPr="008F03E5" w:rsidRDefault="00F42DB7" w:rsidP="007176EE">
            <w:pPr>
              <w:rPr>
                <w:sz w:val="18"/>
                <w:szCs w:val="18"/>
                <w14:numSpacing w14:val="tabular"/>
              </w:rPr>
            </w:pPr>
            <w:r w:rsidRPr="008F03E5">
              <w:rPr>
                <w:i/>
                <w:iCs/>
                <w:sz w:val="18"/>
                <w:szCs w:val="18"/>
                <w14:numSpacing w14:val="tabular"/>
              </w:rPr>
              <w:t>Uganda</w:t>
            </w:r>
            <w:r w:rsidRPr="008F03E5">
              <w:rPr>
                <w:sz w:val="18"/>
                <w:szCs w:val="18"/>
                <w14:numSpacing w14:val="tabular"/>
              </w:rPr>
              <w:t>:  Enoch Olinga (1926–1979)</w:t>
            </w:r>
          </w:p>
        </w:tc>
      </w:tr>
      <w:tr w:rsidR="00F42DB7" w:rsidRPr="008F03E5" w14:paraId="06C815C3" w14:textId="77777777" w:rsidTr="007176EE">
        <w:trPr>
          <w:jc w:val="center"/>
        </w:trPr>
        <w:tc>
          <w:tcPr>
            <w:tcW w:w="1417" w:type="dxa"/>
            <w:tcBorders>
              <w:top w:val="nil"/>
              <w:bottom w:val="nil"/>
            </w:tcBorders>
          </w:tcPr>
          <w:p w14:paraId="654E1E73" w14:textId="77777777" w:rsidR="00F42DB7" w:rsidRPr="008F03E5" w:rsidRDefault="00F42DB7" w:rsidP="007176EE"/>
        </w:tc>
        <w:tc>
          <w:tcPr>
            <w:tcW w:w="9354" w:type="dxa"/>
            <w:tcBorders>
              <w:top w:val="nil"/>
              <w:bottom w:val="nil"/>
            </w:tcBorders>
          </w:tcPr>
          <w:p w14:paraId="00F309B5" w14:textId="77777777" w:rsidR="00F42DB7" w:rsidRPr="008F03E5" w:rsidRDefault="00F42DB7" w:rsidP="007176EE">
            <w:pPr>
              <w:rPr>
                <w:sz w:val="18"/>
                <w:szCs w:val="18"/>
                <w14:numSpacing w14:val="tabular"/>
              </w:rPr>
            </w:pPr>
            <w:r w:rsidRPr="008F03E5">
              <w:rPr>
                <w:i/>
                <w:iCs/>
                <w:sz w:val="18"/>
                <w:szCs w:val="18"/>
                <w14:numSpacing w14:val="tabular"/>
              </w:rPr>
              <w:t>West and South Africa</w:t>
            </w:r>
            <w:r w:rsidRPr="008F03E5">
              <w:rPr>
                <w:sz w:val="18"/>
                <w:szCs w:val="18"/>
                <w14:numSpacing w14:val="tabular"/>
              </w:rPr>
              <w:t>:  William Sears (1911–1992), and John Aldham Robarts (1901–1992)</w:t>
            </w:r>
          </w:p>
        </w:tc>
      </w:tr>
      <w:tr w:rsidR="00F42DB7" w:rsidRPr="008F03E5" w14:paraId="1C87B240" w14:textId="77777777" w:rsidTr="007176EE">
        <w:trPr>
          <w:jc w:val="center"/>
        </w:trPr>
        <w:tc>
          <w:tcPr>
            <w:tcW w:w="1417" w:type="dxa"/>
            <w:tcBorders>
              <w:top w:val="nil"/>
              <w:bottom w:val="nil"/>
            </w:tcBorders>
          </w:tcPr>
          <w:p w14:paraId="44F78560" w14:textId="77777777" w:rsidR="00F42DB7" w:rsidRPr="008F03E5" w:rsidRDefault="00F42DB7" w:rsidP="007176EE">
            <w:pPr>
              <w:jc w:val="center"/>
              <w:rPr>
                <w:sz w:val="18"/>
                <w:szCs w:val="18"/>
              </w:rPr>
            </w:pPr>
            <w:r w:rsidRPr="008F03E5">
              <w:rPr>
                <w:sz w:val="18"/>
                <w:szCs w:val="18"/>
                <w14:numSpacing w14:val="tabular"/>
              </w:rPr>
              <w:t>2–10–1957</w:t>
            </w:r>
          </w:p>
        </w:tc>
        <w:tc>
          <w:tcPr>
            <w:tcW w:w="9354" w:type="dxa"/>
            <w:tcBorders>
              <w:top w:val="nil"/>
              <w:bottom w:val="nil"/>
            </w:tcBorders>
          </w:tcPr>
          <w:p w14:paraId="66C4874E" w14:textId="77777777" w:rsidR="00F42DB7" w:rsidRPr="008F03E5" w:rsidRDefault="00F42DB7" w:rsidP="007176EE">
            <w:pPr>
              <w:rPr>
                <w:sz w:val="18"/>
                <w:szCs w:val="18"/>
                <w14:numSpacing w14:val="tabular"/>
              </w:rPr>
            </w:pPr>
            <w:r w:rsidRPr="008F03E5">
              <w:rPr>
                <w:i/>
                <w:iCs/>
                <w:sz w:val="18"/>
                <w:szCs w:val="18"/>
                <w14:numSpacing w14:val="tabular"/>
              </w:rPr>
              <w:t>British Isles</w:t>
            </w:r>
            <w:r w:rsidRPr="008F03E5">
              <w:rPr>
                <w:sz w:val="18"/>
                <w:szCs w:val="18"/>
                <w14:numSpacing w14:val="tabular"/>
              </w:rPr>
              <w:t>:  Ḥasan Muvaqqar Balyuzi (1908–1980) and John Graham Ferraby (1914–1973)</w:t>
            </w:r>
          </w:p>
        </w:tc>
      </w:tr>
      <w:tr w:rsidR="00F42DB7" w:rsidRPr="008F03E5" w14:paraId="611EDC27" w14:textId="77777777" w:rsidTr="007176EE">
        <w:trPr>
          <w:jc w:val="center"/>
        </w:trPr>
        <w:tc>
          <w:tcPr>
            <w:tcW w:w="1417" w:type="dxa"/>
            <w:tcBorders>
              <w:top w:val="nil"/>
              <w:bottom w:val="nil"/>
            </w:tcBorders>
          </w:tcPr>
          <w:p w14:paraId="1CCDFED8" w14:textId="77777777" w:rsidR="00F42DB7" w:rsidRPr="008F03E5" w:rsidRDefault="00F42DB7" w:rsidP="007176EE">
            <w:pPr>
              <w:jc w:val="center"/>
              <w:rPr>
                <w:sz w:val="18"/>
                <w:szCs w:val="18"/>
                <w14:numSpacing w14:val="tabular"/>
              </w:rPr>
            </w:pPr>
            <w:r w:rsidRPr="008F03E5">
              <w:rPr>
                <w:sz w:val="18"/>
                <w:szCs w:val="18"/>
                <w14:numSpacing w14:val="tabular"/>
              </w:rPr>
              <w:t>(eight)</w:t>
            </w:r>
          </w:p>
        </w:tc>
        <w:tc>
          <w:tcPr>
            <w:tcW w:w="9354" w:type="dxa"/>
            <w:tcBorders>
              <w:top w:val="nil"/>
              <w:bottom w:val="nil"/>
            </w:tcBorders>
          </w:tcPr>
          <w:p w14:paraId="25B663C9" w14:textId="77777777" w:rsidR="00F42DB7" w:rsidRPr="008F03E5" w:rsidRDefault="00F42DB7" w:rsidP="007176EE">
            <w:pPr>
              <w:rPr>
                <w:sz w:val="18"/>
                <w:szCs w:val="18"/>
                <w14:numSpacing w14:val="tabular"/>
              </w:rPr>
            </w:pPr>
            <w:r w:rsidRPr="008F03E5">
              <w:rPr>
                <w:i/>
                <w:iCs/>
                <w:sz w:val="18"/>
                <w:szCs w:val="18"/>
                <w14:numSpacing w14:val="tabular"/>
              </w:rPr>
              <w:t>Pacific</w:t>
            </w:r>
            <w:r w:rsidRPr="008F03E5">
              <w:rPr>
                <w:sz w:val="18"/>
                <w:szCs w:val="18"/>
                <w14:numSpacing w14:val="tabular"/>
              </w:rPr>
              <w:t>:  Harold Collis Featherstone (1913–1990) and Raḥmátu’lláh Muhájir (1923–1979)</w:t>
            </w:r>
          </w:p>
        </w:tc>
      </w:tr>
      <w:tr w:rsidR="00F42DB7" w:rsidRPr="008F03E5" w14:paraId="06196593" w14:textId="77777777" w:rsidTr="007176EE">
        <w:trPr>
          <w:jc w:val="center"/>
        </w:trPr>
        <w:tc>
          <w:tcPr>
            <w:tcW w:w="1417" w:type="dxa"/>
            <w:tcBorders>
              <w:top w:val="nil"/>
            </w:tcBorders>
          </w:tcPr>
          <w:p w14:paraId="77F09E9A" w14:textId="77777777" w:rsidR="00F42DB7" w:rsidRPr="008F03E5" w:rsidRDefault="00F42DB7" w:rsidP="007176EE">
            <w:pPr>
              <w:rPr>
                <w:sz w:val="18"/>
                <w:szCs w:val="18"/>
                <w14:numSpacing w14:val="tabular"/>
              </w:rPr>
            </w:pPr>
          </w:p>
        </w:tc>
        <w:tc>
          <w:tcPr>
            <w:tcW w:w="9354" w:type="dxa"/>
            <w:tcBorders>
              <w:top w:val="nil"/>
            </w:tcBorders>
          </w:tcPr>
          <w:p w14:paraId="6501835D" w14:textId="77777777" w:rsidR="00F42DB7" w:rsidRPr="008F03E5" w:rsidRDefault="00F42DB7" w:rsidP="007176EE">
            <w:pPr>
              <w:rPr>
                <w:sz w:val="18"/>
                <w:szCs w:val="18"/>
                <w14:numSpacing w14:val="tabular"/>
              </w:rPr>
            </w:pPr>
            <w:r w:rsidRPr="008F03E5">
              <w:rPr>
                <w:i/>
                <w:iCs/>
                <w:sz w:val="18"/>
                <w:szCs w:val="18"/>
                <w14:numSpacing w14:val="tabular"/>
              </w:rPr>
              <w:t>Arabia</w:t>
            </w:r>
            <w:r w:rsidRPr="008F03E5">
              <w:rPr>
                <w:sz w:val="18"/>
                <w:szCs w:val="18"/>
                <w14:numSpacing w14:val="tabular"/>
              </w:rPr>
              <w:t>:  Abu’l-Qásim Fayḍí (Faizi) (1906–1980)</w:t>
            </w:r>
          </w:p>
        </w:tc>
      </w:tr>
    </w:tbl>
    <w:p w14:paraId="175A6344" w14:textId="4B0A143E" w:rsidR="00F42DB7" w:rsidRPr="008F03E5" w:rsidRDefault="00F42DB7" w:rsidP="00A60CA9">
      <w:pPr>
        <w:pStyle w:val="Myhead3"/>
        <w:spacing w:after="120"/>
      </w:pPr>
      <w:bookmarkStart w:id="196" w:name="_Toc149326100"/>
      <w:r w:rsidRPr="008F03E5">
        <w:t>Letters of the Living (18</w:t>
      </w:r>
      <w:r w:rsidR="00A60CA9">
        <w:t>×</w:t>
      </w:r>
      <w:r w:rsidRPr="008F03E5">
        <w:t>)</w:t>
      </w:r>
      <w:bookmarkEnd w:id="196"/>
      <w:r w:rsidRPr="00074EB6">
        <w:rPr>
          <w:b w:val="0"/>
          <w:bCs/>
          <w:sz w:val="12"/>
          <w:szCs w:val="12"/>
        </w:rPr>
        <w:fldChar w:fldCharType="begin"/>
      </w:r>
      <w:r w:rsidRPr="00074EB6">
        <w:rPr>
          <w:b w:val="0"/>
          <w:bCs/>
          <w:sz w:val="12"/>
          <w:szCs w:val="12"/>
          <w:lang w:val="en-AU"/>
        </w:rPr>
        <w:instrText xml:space="preserve"> TC “</w:instrText>
      </w:r>
      <w:bookmarkStart w:id="197" w:name="_Toc149476406"/>
      <w:bookmarkStart w:id="198" w:name="_Toc167691889"/>
      <w:r w:rsidRPr="00074EB6">
        <w:rPr>
          <w:b w:val="0"/>
          <w:bCs/>
          <w:sz w:val="12"/>
          <w:szCs w:val="12"/>
        </w:rPr>
        <w:instrText>Letters of the Living</w:instrText>
      </w:r>
      <w:r w:rsidR="00A60CA9">
        <w:rPr>
          <w:b w:val="0"/>
          <w:bCs/>
          <w:sz w:val="12"/>
          <w:szCs w:val="12"/>
        </w:rPr>
        <w:instrText xml:space="preserve"> (18×)</w:instrText>
      </w:r>
      <w:r w:rsidRPr="00074EB6">
        <w:rPr>
          <w:b w:val="0"/>
          <w:bCs/>
          <w:color w:val="FFFFFF" w:themeColor="background1"/>
          <w:sz w:val="12"/>
          <w:szCs w:val="12"/>
          <w:lang w:val="en-AU"/>
        </w:rPr>
        <w:instrText>..</w:instrText>
      </w:r>
      <w:r w:rsidRPr="00074EB6">
        <w:rPr>
          <w:b w:val="0"/>
          <w:bCs/>
          <w:sz w:val="12"/>
          <w:szCs w:val="12"/>
          <w:lang w:val="en-AU"/>
        </w:rPr>
        <w:tab/>
      </w:r>
      <w:r w:rsidRPr="00074EB6">
        <w:rPr>
          <w:b w:val="0"/>
          <w:bCs/>
          <w:color w:val="FFFFFF" w:themeColor="background1"/>
          <w:sz w:val="12"/>
          <w:szCs w:val="12"/>
          <w:lang w:val="en-AU"/>
        </w:rPr>
        <w:instrText>.</w:instrText>
      </w:r>
      <w:bookmarkEnd w:id="197"/>
      <w:bookmarkEnd w:id="198"/>
      <w:r w:rsidRPr="00074EB6">
        <w:rPr>
          <w:b w:val="0"/>
          <w:bCs/>
          <w:sz w:val="12"/>
          <w:szCs w:val="12"/>
          <w:lang w:val="en-AU"/>
        </w:rPr>
        <w:instrText>” \l 2</w:instrText>
      </w:r>
      <w:r w:rsidRPr="00074EB6">
        <w:rPr>
          <w:b w:val="0"/>
          <w:bCs/>
          <w:sz w:val="12"/>
          <w:szCs w:val="12"/>
        </w:rPr>
        <w:fldChar w:fldCharType="end"/>
      </w:r>
    </w:p>
    <w:tbl>
      <w:tblPr>
        <w:tblStyle w:val="TableGrid"/>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7"/>
        <w:gridCol w:w="4932"/>
        <w:gridCol w:w="454"/>
        <w:gridCol w:w="4762"/>
      </w:tblGrid>
      <w:tr w:rsidR="00F42DB7" w:rsidRPr="008F03E5" w14:paraId="5300CE47" w14:textId="77777777" w:rsidTr="007176EE">
        <w:trPr>
          <w:jc w:val="center"/>
        </w:trPr>
        <w:tc>
          <w:tcPr>
            <w:tcW w:w="397" w:type="dxa"/>
            <w:tcBorders>
              <w:bottom w:val="nil"/>
            </w:tcBorders>
          </w:tcPr>
          <w:p w14:paraId="019ED749" w14:textId="77777777" w:rsidR="00F42DB7" w:rsidRPr="008F03E5" w:rsidRDefault="00F42DB7" w:rsidP="007176EE">
            <w:pPr>
              <w:keepNext/>
              <w:tabs>
                <w:tab w:val="decimal" w:pos="191"/>
              </w:tabs>
              <w:rPr>
                <w:sz w:val="18"/>
                <w:szCs w:val="18"/>
                <w14:numSpacing w14:val="tabular"/>
              </w:rPr>
            </w:pPr>
            <w:r w:rsidRPr="008F03E5">
              <w:rPr>
                <w:sz w:val="18"/>
                <w:szCs w:val="18"/>
                <w14:numSpacing w14:val="tabular"/>
              </w:rPr>
              <w:t>1</w:t>
            </w:r>
          </w:p>
        </w:tc>
        <w:tc>
          <w:tcPr>
            <w:tcW w:w="4932" w:type="dxa"/>
            <w:tcBorders>
              <w:top w:val="single" w:sz="6" w:space="0" w:color="auto"/>
              <w:bottom w:val="nil"/>
              <w:right w:val="single" w:sz="6" w:space="0" w:color="auto"/>
            </w:tcBorders>
          </w:tcPr>
          <w:p w14:paraId="45B5CC1C" w14:textId="77777777" w:rsidR="00F42DB7" w:rsidRPr="008F03E5" w:rsidRDefault="00F42DB7" w:rsidP="007176EE">
            <w:pPr>
              <w:keepNext/>
              <w:rPr>
                <w:sz w:val="18"/>
                <w:szCs w:val="18"/>
              </w:rPr>
            </w:pPr>
            <w:r w:rsidRPr="008F03E5">
              <w:rPr>
                <w:sz w:val="18"/>
                <w:szCs w:val="18"/>
              </w:rPr>
              <w:t>Mullá Muḥammad-Ḥusayn-i-Bu</w:t>
            </w:r>
            <w:r w:rsidRPr="008F03E5">
              <w:rPr>
                <w:sz w:val="18"/>
                <w:szCs w:val="18"/>
                <w:u w:val="single"/>
              </w:rPr>
              <w:t>sh</w:t>
            </w:r>
            <w:r w:rsidRPr="008F03E5">
              <w:rPr>
                <w:sz w:val="18"/>
                <w:szCs w:val="18"/>
              </w:rPr>
              <w:t>rú’í, entitled Bábu’l-Báb</w:t>
            </w:r>
          </w:p>
        </w:tc>
        <w:tc>
          <w:tcPr>
            <w:tcW w:w="454" w:type="dxa"/>
            <w:tcBorders>
              <w:left w:val="single" w:sz="6" w:space="0" w:color="auto"/>
              <w:bottom w:val="nil"/>
            </w:tcBorders>
          </w:tcPr>
          <w:p w14:paraId="6A6417AD" w14:textId="77777777" w:rsidR="00F42DB7" w:rsidRPr="008F03E5" w:rsidRDefault="00F42DB7" w:rsidP="007176EE">
            <w:pPr>
              <w:keepNext/>
              <w:tabs>
                <w:tab w:val="decimal" w:pos="227"/>
              </w:tabs>
              <w:rPr>
                <w:sz w:val="18"/>
                <w:szCs w:val="18"/>
                <w14:numSpacing w14:val="tabular"/>
              </w:rPr>
            </w:pPr>
            <w:r w:rsidRPr="008F03E5">
              <w:rPr>
                <w:sz w:val="18"/>
                <w:szCs w:val="18"/>
                <w14:numSpacing w14:val="tabular"/>
              </w:rPr>
              <w:t>11</w:t>
            </w:r>
          </w:p>
        </w:tc>
        <w:tc>
          <w:tcPr>
            <w:tcW w:w="4762" w:type="dxa"/>
            <w:tcBorders>
              <w:bottom w:val="nil"/>
            </w:tcBorders>
          </w:tcPr>
          <w:p w14:paraId="1CED346C" w14:textId="77777777" w:rsidR="00F42DB7" w:rsidRPr="008F03E5" w:rsidRDefault="00F42DB7" w:rsidP="007176EE">
            <w:pPr>
              <w:keepNext/>
              <w:rPr>
                <w:sz w:val="18"/>
                <w:szCs w:val="18"/>
              </w:rPr>
            </w:pPr>
            <w:r w:rsidRPr="008F03E5">
              <w:rPr>
                <w:sz w:val="18"/>
                <w:szCs w:val="18"/>
              </w:rPr>
              <w:t>Mullá Jalíl-i-Urúmí</w:t>
            </w:r>
          </w:p>
        </w:tc>
      </w:tr>
      <w:tr w:rsidR="00F42DB7" w:rsidRPr="008063A9" w14:paraId="1D0DF90D" w14:textId="77777777" w:rsidTr="007176EE">
        <w:trPr>
          <w:jc w:val="center"/>
        </w:trPr>
        <w:tc>
          <w:tcPr>
            <w:tcW w:w="397" w:type="dxa"/>
            <w:tcBorders>
              <w:top w:val="nil"/>
              <w:bottom w:val="nil"/>
            </w:tcBorders>
          </w:tcPr>
          <w:p w14:paraId="60F658BA"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2</w:t>
            </w:r>
          </w:p>
        </w:tc>
        <w:tc>
          <w:tcPr>
            <w:tcW w:w="4932" w:type="dxa"/>
            <w:tcBorders>
              <w:top w:val="nil"/>
              <w:bottom w:val="nil"/>
              <w:right w:val="single" w:sz="6" w:space="0" w:color="auto"/>
            </w:tcBorders>
          </w:tcPr>
          <w:p w14:paraId="65B6B6BA" w14:textId="77777777" w:rsidR="00F42DB7" w:rsidRPr="008F03E5" w:rsidRDefault="00F42DB7" w:rsidP="007176EE">
            <w:pPr>
              <w:rPr>
                <w:sz w:val="18"/>
                <w:szCs w:val="18"/>
              </w:rPr>
            </w:pPr>
            <w:r w:rsidRPr="008F03E5">
              <w:rPr>
                <w:sz w:val="18"/>
                <w:szCs w:val="18"/>
              </w:rPr>
              <w:t>Mírzá Muḥammad Ḥasan-i-Bu</w:t>
            </w:r>
            <w:r w:rsidRPr="008F03E5">
              <w:rPr>
                <w:sz w:val="18"/>
                <w:szCs w:val="18"/>
                <w:u w:val="single"/>
              </w:rPr>
              <w:t>sh</w:t>
            </w:r>
            <w:r w:rsidRPr="008F03E5">
              <w:rPr>
                <w:sz w:val="18"/>
                <w:szCs w:val="18"/>
              </w:rPr>
              <w:t>rú’í, brother of Mullá Ḥusayn</w:t>
            </w:r>
          </w:p>
        </w:tc>
        <w:tc>
          <w:tcPr>
            <w:tcW w:w="454" w:type="dxa"/>
            <w:tcBorders>
              <w:top w:val="nil"/>
              <w:left w:val="single" w:sz="6" w:space="0" w:color="auto"/>
              <w:bottom w:val="nil"/>
            </w:tcBorders>
          </w:tcPr>
          <w:p w14:paraId="2D8CF1A3" w14:textId="77777777" w:rsidR="00F42DB7" w:rsidRPr="008F03E5" w:rsidRDefault="00F42DB7" w:rsidP="007176EE">
            <w:pPr>
              <w:tabs>
                <w:tab w:val="decimal" w:pos="227"/>
              </w:tabs>
              <w:rPr>
                <w:sz w:val="18"/>
                <w:szCs w:val="18"/>
                <w14:numSpacing w14:val="tabular"/>
              </w:rPr>
            </w:pPr>
            <w:r w:rsidRPr="008F03E5">
              <w:rPr>
                <w:sz w:val="18"/>
                <w:szCs w:val="18"/>
                <w14:numSpacing w14:val="tabular"/>
              </w:rPr>
              <w:t>12</w:t>
            </w:r>
          </w:p>
        </w:tc>
        <w:tc>
          <w:tcPr>
            <w:tcW w:w="4762" w:type="dxa"/>
            <w:tcBorders>
              <w:top w:val="nil"/>
              <w:bottom w:val="nil"/>
            </w:tcBorders>
          </w:tcPr>
          <w:p w14:paraId="131EBB8E" w14:textId="77777777" w:rsidR="00F42DB7" w:rsidRPr="00D45A23" w:rsidRDefault="00F42DB7" w:rsidP="007176EE">
            <w:pPr>
              <w:rPr>
                <w:sz w:val="18"/>
                <w:szCs w:val="18"/>
                <w:lang w:val="it-IT"/>
              </w:rPr>
            </w:pPr>
            <w:r w:rsidRPr="00D45A23">
              <w:rPr>
                <w:sz w:val="18"/>
                <w:szCs w:val="18"/>
                <w:lang w:val="it-IT"/>
              </w:rPr>
              <w:t>Mullá Aḥmad-i-Ibdál-i-Mará</w:t>
            </w:r>
            <w:r w:rsidRPr="00D45A23">
              <w:rPr>
                <w:sz w:val="18"/>
                <w:szCs w:val="18"/>
                <w:u w:val="single"/>
                <w:lang w:val="it-IT"/>
              </w:rPr>
              <w:t>gh</w:t>
            </w:r>
            <w:r w:rsidRPr="00D45A23">
              <w:rPr>
                <w:sz w:val="18"/>
                <w:szCs w:val="18"/>
                <w:lang w:val="it-IT"/>
              </w:rPr>
              <w:t>i’í</w:t>
            </w:r>
          </w:p>
        </w:tc>
      </w:tr>
      <w:tr w:rsidR="00F42DB7" w:rsidRPr="008F03E5" w14:paraId="31E5AB1B" w14:textId="77777777" w:rsidTr="007176EE">
        <w:trPr>
          <w:jc w:val="center"/>
        </w:trPr>
        <w:tc>
          <w:tcPr>
            <w:tcW w:w="397" w:type="dxa"/>
            <w:tcBorders>
              <w:top w:val="nil"/>
              <w:bottom w:val="nil"/>
            </w:tcBorders>
          </w:tcPr>
          <w:p w14:paraId="3C181F9F"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3</w:t>
            </w:r>
          </w:p>
        </w:tc>
        <w:tc>
          <w:tcPr>
            <w:tcW w:w="4932" w:type="dxa"/>
            <w:tcBorders>
              <w:top w:val="nil"/>
              <w:bottom w:val="nil"/>
              <w:right w:val="single" w:sz="6" w:space="0" w:color="auto"/>
            </w:tcBorders>
          </w:tcPr>
          <w:p w14:paraId="0481DD93" w14:textId="77777777" w:rsidR="00F42DB7" w:rsidRPr="008F03E5" w:rsidRDefault="00F42DB7" w:rsidP="007176EE">
            <w:pPr>
              <w:rPr>
                <w:sz w:val="18"/>
                <w:szCs w:val="18"/>
              </w:rPr>
            </w:pPr>
            <w:r w:rsidRPr="008F03E5">
              <w:rPr>
                <w:sz w:val="18"/>
                <w:szCs w:val="18"/>
              </w:rPr>
              <w:t>Mírzá Muḥammad-Báqir-i-Bu</w:t>
            </w:r>
            <w:r w:rsidRPr="008F03E5">
              <w:rPr>
                <w:sz w:val="18"/>
                <w:szCs w:val="18"/>
                <w:u w:val="single"/>
              </w:rPr>
              <w:t>sh</w:t>
            </w:r>
            <w:r w:rsidRPr="008F03E5">
              <w:rPr>
                <w:sz w:val="18"/>
                <w:szCs w:val="18"/>
              </w:rPr>
              <w:t>rú’í, nephew of Mullá Ḥusayn</w:t>
            </w:r>
          </w:p>
        </w:tc>
        <w:tc>
          <w:tcPr>
            <w:tcW w:w="454" w:type="dxa"/>
            <w:tcBorders>
              <w:top w:val="nil"/>
              <w:left w:val="single" w:sz="6" w:space="0" w:color="auto"/>
              <w:bottom w:val="nil"/>
            </w:tcBorders>
          </w:tcPr>
          <w:p w14:paraId="051DF678" w14:textId="77777777" w:rsidR="00F42DB7" w:rsidRPr="008F03E5" w:rsidRDefault="00F42DB7" w:rsidP="007176EE">
            <w:pPr>
              <w:tabs>
                <w:tab w:val="decimal" w:pos="227"/>
              </w:tabs>
              <w:rPr>
                <w:sz w:val="18"/>
                <w:szCs w:val="18"/>
                <w14:numSpacing w14:val="tabular"/>
              </w:rPr>
            </w:pPr>
            <w:r w:rsidRPr="008F03E5">
              <w:rPr>
                <w:sz w:val="18"/>
                <w:szCs w:val="18"/>
                <w14:numSpacing w14:val="tabular"/>
              </w:rPr>
              <w:t>13</w:t>
            </w:r>
          </w:p>
        </w:tc>
        <w:tc>
          <w:tcPr>
            <w:tcW w:w="4762" w:type="dxa"/>
            <w:tcBorders>
              <w:top w:val="nil"/>
              <w:bottom w:val="nil"/>
            </w:tcBorders>
          </w:tcPr>
          <w:p w14:paraId="6985178F" w14:textId="77777777" w:rsidR="00F42DB7" w:rsidRPr="008F03E5" w:rsidRDefault="00F42DB7" w:rsidP="007176EE">
            <w:pPr>
              <w:rPr>
                <w:sz w:val="18"/>
                <w:szCs w:val="18"/>
              </w:rPr>
            </w:pPr>
            <w:r w:rsidRPr="008F03E5">
              <w:rPr>
                <w:sz w:val="18"/>
                <w:szCs w:val="18"/>
              </w:rPr>
              <w:t>Mullá Báqir-i-Tabrízí</w:t>
            </w:r>
          </w:p>
        </w:tc>
      </w:tr>
      <w:tr w:rsidR="00F42DB7" w:rsidRPr="008F03E5" w14:paraId="062304A2" w14:textId="77777777" w:rsidTr="007176EE">
        <w:trPr>
          <w:jc w:val="center"/>
        </w:trPr>
        <w:tc>
          <w:tcPr>
            <w:tcW w:w="397" w:type="dxa"/>
            <w:tcBorders>
              <w:top w:val="nil"/>
              <w:bottom w:val="nil"/>
            </w:tcBorders>
          </w:tcPr>
          <w:p w14:paraId="52E202B3"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4</w:t>
            </w:r>
          </w:p>
        </w:tc>
        <w:tc>
          <w:tcPr>
            <w:tcW w:w="4932" w:type="dxa"/>
            <w:tcBorders>
              <w:top w:val="nil"/>
              <w:bottom w:val="nil"/>
              <w:right w:val="single" w:sz="6" w:space="0" w:color="auto"/>
            </w:tcBorders>
          </w:tcPr>
          <w:p w14:paraId="438E6957" w14:textId="77777777" w:rsidR="00F42DB7" w:rsidRPr="008F03E5" w:rsidRDefault="00F42DB7" w:rsidP="007176EE">
            <w:pPr>
              <w:rPr>
                <w:sz w:val="18"/>
                <w:szCs w:val="18"/>
              </w:rPr>
            </w:pPr>
            <w:r w:rsidRPr="008F03E5">
              <w:rPr>
                <w:sz w:val="18"/>
                <w:szCs w:val="18"/>
              </w:rPr>
              <w:t>Mullá ‘Alíy-i-Basṭámí (first martyr of the Bábí Dispensation)</w:t>
            </w:r>
          </w:p>
        </w:tc>
        <w:tc>
          <w:tcPr>
            <w:tcW w:w="454" w:type="dxa"/>
            <w:tcBorders>
              <w:top w:val="nil"/>
              <w:left w:val="single" w:sz="6" w:space="0" w:color="auto"/>
              <w:bottom w:val="nil"/>
            </w:tcBorders>
          </w:tcPr>
          <w:p w14:paraId="496C000D" w14:textId="77777777" w:rsidR="00F42DB7" w:rsidRPr="008F03E5" w:rsidRDefault="00F42DB7" w:rsidP="007176EE">
            <w:pPr>
              <w:tabs>
                <w:tab w:val="decimal" w:pos="227"/>
              </w:tabs>
              <w:rPr>
                <w:sz w:val="18"/>
                <w:szCs w:val="18"/>
                <w14:numSpacing w14:val="tabular"/>
              </w:rPr>
            </w:pPr>
            <w:r w:rsidRPr="008F03E5">
              <w:rPr>
                <w:sz w:val="18"/>
                <w:szCs w:val="18"/>
                <w14:numSpacing w14:val="tabular"/>
              </w:rPr>
              <w:t>14</w:t>
            </w:r>
          </w:p>
        </w:tc>
        <w:tc>
          <w:tcPr>
            <w:tcW w:w="4762" w:type="dxa"/>
            <w:tcBorders>
              <w:top w:val="nil"/>
              <w:bottom w:val="nil"/>
            </w:tcBorders>
          </w:tcPr>
          <w:p w14:paraId="4F4ADD92" w14:textId="77777777" w:rsidR="00F42DB7" w:rsidRPr="008F03E5" w:rsidRDefault="00F42DB7" w:rsidP="007176EE">
            <w:pPr>
              <w:rPr>
                <w:sz w:val="18"/>
                <w:szCs w:val="18"/>
              </w:rPr>
            </w:pPr>
            <w:r w:rsidRPr="008F03E5">
              <w:rPr>
                <w:sz w:val="18"/>
                <w:szCs w:val="18"/>
              </w:rPr>
              <w:t>Mullá Yúsuf-i-Ardibílí</w:t>
            </w:r>
          </w:p>
        </w:tc>
      </w:tr>
      <w:tr w:rsidR="00F42DB7" w:rsidRPr="008F03E5" w14:paraId="5A8C655E" w14:textId="77777777" w:rsidTr="007176EE">
        <w:trPr>
          <w:jc w:val="center"/>
        </w:trPr>
        <w:tc>
          <w:tcPr>
            <w:tcW w:w="397" w:type="dxa"/>
            <w:tcBorders>
              <w:top w:val="nil"/>
              <w:bottom w:val="nil"/>
            </w:tcBorders>
          </w:tcPr>
          <w:p w14:paraId="08755F1F"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5</w:t>
            </w:r>
          </w:p>
        </w:tc>
        <w:tc>
          <w:tcPr>
            <w:tcW w:w="4932" w:type="dxa"/>
            <w:tcBorders>
              <w:top w:val="nil"/>
              <w:bottom w:val="nil"/>
              <w:right w:val="single" w:sz="6" w:space="0" w:color="auto"/>
            </w:tcBorders>
          </w:tcPr>
          <w:p w14:paraId="19CED871" w14:textId="77777777" w:rsidR="00F42DB7" w:rsidRPr="008F03E5" w:rsidRDefault="00F42DB7" w:rsidP="007176EE">
            <w:pPr>
              <w:rPr>
                <w:sz w:val="18"/>
                <w:szCs w:val="18"/>
              </w:rPr>
            </w:pPr>
            <w:r w:rsidRPr="008F03E5">
              <w:rPr>
                <w:sz w:val="18"/>
                <w:szCs w:val="18"/>
              </w:rPr>
              <w:t xml:space="preserve">Mullá </w:t>
            </w:r>
            <w:r w:rsidRPr="008F03E5">
              <w:rPr>
                <w:sz w:val="18"/>
                <w:szCs w:val="18"/>
                <w:u w:val="single"/>
              </w:rPr>
              <w:t>Kh</w:t>
            </w:r>
            <w:r w:rsidRPr="008F03E5">
              <w:rPr>
                <w:sz w:val="18"/>
                <w:szCs w:val="18"/>
              </w:rPr>
              <w:t>udá-Ba</w:t>
            </w:r>
            <w:r w:rsidRPr="008F03E5">
              <w:rPr>
                <w:sz w:val="18"/>
                <w:szCs w:val="18"/>
                <w:u w:val="single"/>
              </w:rPr>
              <w:t>khsh</w:t>
            </w:r>
            <w:r w:rsidRPr="008F03E5">
              <w:rPr>
                <w:sz w:val="18"/>
                <w:szCs w:val="18"/>
              </w:rPr>
              <w:t>-i-Qú</w:t>
            </w:r>
            <w:r w:rsidRPr="008F03E5">
              <w:rPr>
                <w:sz w:val="18"/>
                <w:szCs w:val="18"/>
                <w:u w:val="single"/>
              </w:rPr>
              <w:t>ch</w:t>
            </w:r>
            <w:r w:rsidRPr="008F03E5">
              <w:rPr>
                <w:sz w:val="18"/>
                <w:szCs w:val="18"/>
              </w:rPr>
              <w:t>ání, later known as Mullá ‘Alíy-i-Rází.  His son Ma</w:t>
            </w:r>
            <w:r w:rsidRPr="008F03E5">
              <w:rPr>
                <w:sz w:val="18"/>
                <w:szCs w:val="18"/>
                <w:u w:val="single"/>
              </w:rPr>
              <w:t>sh</w:t>
            </w:r>
            <w:r w:rsidRPr="008F03E5">
              <w:rPr>
                <w:sz w:val="18"/>
                <w:szCs w:val="18"/>
              </w:rPr>
              <w:t>íyyatu’lláh later martyred in his youth.</w:t>
            </w:r>
          </w:p>
        </w:tc>
        <w:tc>
          <w:tcPr>
            <w:tcW w:w="454" w:type="dxa"/>
            <w:tcBorders>
              <w:top w:val="nil"/>
              <w:left w:val="single" w:sz="6" w:space="0" w:color="auto"/>
              <w:bottom w:val="nil"/>
            </w:tcBorders>
          </w:tcPr>
          <w:p w14:paraId="2F523906" w14:textId="77777777" w:rsidR="00F42DB7" w:rsidRPr="008F03E5" w:rsidRDefault="00F42DB7" w:rsidP="007176EE">
            <w:pPr>
              <w:tabs>
                <w:tab w:val="decimal" w:pos="227"/>
              </w:tabs>
              <w:rPr>
                <w:sz w:val="18"/>
                <w:szCs w:val="18"/>
                <w14:numSpacing w14:val="tabular"/>
              </w:rPr>
            </w:pPr>
            <w:r w:rsidRPr="008F03E5">
              <w:rPr>
                <w:sz w:val="18"/>
                <w:szCs w:val="18"/>
                <w14:numSpacing w14:val="tabular"/>
              </w:rPr>
              <w:t>15</w:t>
            </w:r>
          </w:p>
        </w:tc>
        <w:tc>
          <w:tcPr>
            <w:tcW w:w="4762" w:type="dxa"/>
            <w:tcBorders>
              <w:top w:val="nil"/>
              <w:bottom w:val="nil"/>
            </w:tcBorders>
          </w:tcPr>
          <w:p w14:paraId="00626A15" w14:textId="77777777" w:rsidR="00F42DB7" w:rsidRPr="008F03E5" w:rsidRDefault="00F42DB7" w:rsidP="007176EE">
            <w:pPr>
              <w:rPr>
                <w:sz w:val="18"/>
                <w:szCs w:val="18"/>
              </w:rPr>
            </w:pPr>
            <w:r w:rsidRPr="008F03E5">
              <w:rPr>
                <w:sz w:val="18"/>
                <w:szCs w:val="18"/>
              </w:rPr>
              <w:t>Mírzá Hádíy-i-Qazvíní, son of Ḥájí Mírzá ‘Abdu’l-Vahháb &amp; brother of Mírzá Muḥammad-‘Alí</w:t>
            </w:r>
          </w:p>
        </w:tc>
      </w:tr>
      <w:tr w:rsidR="00F42DB7" w:rsidRPr="008F03E5" w14:paraId="4384161D" w14:textId="77777777" w:rsidTr="007176EE">
        <w:trPr>
          <w:jc w:val="center"/>
        </w:trPr>
        <w:tc>
          <w:tcPr>
            <w:tcW w:w="397" w:type="dxa"/>
            <w:tcBorders>
              <w:top w:val="nil"/>
              <w:bottom w:val="nil"/>
            </w:tcBorders>
          </w:tcPr>
          <w:p w14:paraId="5719BAC3"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6</w:t>
            </w:r>
          </w:p>
        </w:tc>
        <w:tc>
          <w:tcPr>
            <w:tcW w:w="4932" w:type="dxa"/>
            <w:tcBorders>
              <w:top w:val="nil"/>
              <w:bottom w:val="nil"/>
              <w:right w:val="single" w:sz="6" w:space="0" w:color="auto"/>
            </w:tcBorders>
          </w:tcPr>
          <w:p w14:paraId="111EBD7C" w14:textId="77777777" w:rsidR="00F42DB7" w:rsidRPr="008F03E5" w:rsidRDefault="00F42DB7" w:rsidP="007176EE">
            <w:pPr>
              <w:rPr>
                <w:sz w:val="18"/>
                <w:szCs w:val="18"/>
              </w:rPr>
            </w:pPr>
            <w:r w:rsidRPr="008F03E5">
              <w:rPr>
                <w:sz w:val="18"/>
                <w:szCs w:val="18"/>
              </w:rPr>
              <w:t>Mullá Ḥasan-i-Bajistání</w:t>
            </w:r>
          </w:p>
        </w:tc>
        <w:tc>
          <w:tcPr>
            <w:tcW w:w="454" w:type="dxa"/>
            <w:tcBorders>
              <w:top w:val="nil"/>
              <w:left w:val="single" w:sz="6" w:space="0" w:color="auto"/>
              <w:bottom w:val="nil"/>
            </w:tcBorders>
          </w:tcPr>
          <w:p w14:paraId="6357EE13" w14:textId="77777777" w:rsidR="00F42DB7" w:rsidRPr="008F03E5" w:rsidRDefault="00F42DB7" w:rsidP="007176EE">
            <w:pPr>
              <w:tabs>
                <w:tab w:val="decimal" w:pos="227"/>
              </w:tabs>
              <w:rPr>
                <w:sz w:val="18"/>
                <w:szCs w:val="18"/>
                <w14:numSpacing w14:val="tabular"/>
              </w:rPr>
            </w:pPr>
            <w:r w:rsidRPr="008F03E5">
              <w:rPr>
                <w:sz w:val="18"/>
                <w:szCs w:val="18"/>
                <w14:numSpacing w14:val="tabular"/>
              </w:rPr>
              <w:t>16</w:t>
            </w:r>
          </w:p>
        </w:tc>
        <w:tc>
          <w:tcPr>
            <w:tcW w:w="4762" w:type="dxa"/>
            <w:tcBorders>
              <w:top w:val="nil"/>
              <w:bottom w:val="nil"/>
            </w:tcBorders>
          </w:tcPr>
          <w:p w14:paraId="3F55394D" w14:textId="77777777" w:rsidR="00F42DB7" w:rsidRPr="008F03E5" w:rsidRDefault="00F42DB7" w:rsidP="007176EE">
            <w:pPr>
              <w:rPr>
                <w:sz w:val="18"/>
                <w:szCs w:val="18"/>
              </w:rPr>
            </w:pPr>
            <w:r w:rsidRPr="008F03E5">
              <w:rPr>
                <w:sz w:val="18"/>
                <w:szCs w:val="18"/>
              </w:rPr>
              <w:t>Mírzá Muḥammad-‘Alíy-i-Qazvíní brother-in-law of Ṭáhirih</w:t>
            </w:r>
          </w:p>
        </w:tc>
      </w:tr>
      <w:tr w:rsidR="00F42DB7" w:rsidRPr="008F03E5" w14:paraId="5FDE44EF" w14:textId="77777777" w:rsidTr="007176EE">
        <w:trPr>
          <w:jc w:val="center"/>
        </w:trPr>
        <w:tc>
          <w:tcPr>
            <w:tcW w:w="397" w:type="dxa"/>
            <w:tcBorders>
              <w:top w:val="nil"/>
              <w:bottom w:val="nil"/>
            </w:tcBorders>
          </w:tcPr>
          <w:p w14:paraId="3D5139E4"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7</w:t>
            </w:r>
          </w:p>
        </w:tc>
        <w:tc>
          <w:tcPr>
            <w:tcW w:w="4932" w:type="dxa"/>
            <w:tcBorders>
              <w:top w:val="nil"/>
              <w:bottom w:val="nil"/>
              <w:right w:val="single" w:sz="6" w:space="0" w:color="auto"/>
            </w:tcBorders>
          </w:tcPr>
          <w:p w14:paraId="7026B41F" w14:textId="77777777" w:rsidR="00F42DB7" w:rsidRPr="008F03E5" w:rsidRDefault="00F42DB7" w:rsidP="007176EE">
            <w:pPr>
              <w:rPr>
                <w:sz w:val="18"/>
                <w:szCs w:val="18"/>
              </w:rPr>
            </w:pPr>
            <w:r w:rsidRPr="008F03E5">
              <w:rPr>
                <w:sz w:val="18"/>
                <w:szCs w:val="18"/>
              </w:rPr>
              <w:t>Siyyid Ḥusayn-i-Yazdí known as Kátib (the Amanuensis)</w:t>
            </w:r>
          </w:p>
        </w:tc>
        <w:tc>
          <w:tcPr>
            <w:tcW w:w="454" w:type="dxa"/>
            <w:tcBorders>
              <w:top w:val="nil"/>
              <w:left w:val="single" w:sz="6" w:space="0" w:color="auto"/>
              <w:bottom w:val="nil"/>
            </w:tcBorders>
          </w:tcPr>
          <w:p w14:paraId="17D8F05E" w14:textId="77777777" w:rsidR="00F42DB7" w:rsidRPr="008F03E5" w:rsidRDefault="00F42DB7" w:rsidP="007176EE">
            <w:pPr>
              <w:tabs>
                <w:tab w:val="decimal" w:pos="227"/>
              </w:tabs>
              <w:rPr>
                <w:sz w:val="18"/>
                <w:szCs w:val="18"/>
                <w14:numSpacing w14:val="tabular"/>
              </w:rPr>
            </w:pPr>
            <w:r w:rsidRPr="008F03E5">
              <w:rPr>
                <w:sz w:val="18"/>
                <w:szCs w:val="18"/>
                <w14:numSpacing w14:val="tabular"/>
              </w:rPr>
              <w:t>17</w:t>
            </w:r>
          </w:p>
        </w:tc>
        <w:tc>
          <w:tcPr>
            <w:tcW w:w="4762" w:type="dxa"/>
            <w:tcBorders>
              <w:top w:val="nil"/>
              <w:bottom w:val="nil"/>
            </w:tcBorders>
          </w:tcPr>
          <w:p w14:paraId="7889F739" w14:textId="77777777" w:rsidR="00F42DB7" w:rsidRPr="008F03E5" w:rsidRDefault="00F42DB7" w:rsidP="007176EE">
            <w:pPr>
              <w:rPr>
                <w:sz w:val="18"/>
                <w:szCs w:val="18"/>
              </w:rPr>
            </w:pPr>
            <w:r w:rsidRPr="008F03E5">
              <w:rPr>
                <w:sz w:val="18"/>
                <w:szCs w:val="18"/>
              </w:rPr>
              <w:t>Qurratu’l-‘Ayn Ṭáhirih (title of Umm-i-Sal</w:t>
            </w:r>
            <w:r>
              <w:rPr>
                <w:sz w:val="18"/>
                <w:szCs w:val="18"/>
              </w:rPr>
              <w:t>a</w:t>
            </w:r>
            <w:r w:rsidRPr="008F03E5">
              <w:rPr>
                <w:sz w:val="18"/>
                <w:szCs w:val="18"/>
              </w:rPr>
              <w:t>mih)</w:t>
            </w:r>
          </w:p>
        </w:tc>
      </w:tr>
      <w:tr w:rsidR="00F42DB7" w:rsidRPr="008F03E5" w14:paraId="59A663ED" w14:textId="77777777" w:rsidTr="007176EE">
        <w:trPr>
          <w:jc w:val="center"/>
        </w:trPr>
        <w:tc>
          <w:tcPr>
            <w:tcW w:w="397" w:type="dxa"/>
            <w:tcBorders>
              <w:top w:val="nil"/>
              <w:bottom w:val="nil"/>
            </w:tcBorders>
          </w:tcPr>
          <w:p w14:paraId="6D076EFF"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8</w:t>
            </w:r>
          </w:p>
        </w:tc>
        <w:tc>
          <w:tcPr>
            <w:tcW w:w="4932" w:type="dxa"/>
            <w:tcBorders>
              <w:top w:val="nil"/>
              <w:bottom w:val="nil"/>
              <w:right w:val="single" w:sz="6" w:space="0" w:color="auto"/>
            </w:tcBorders>
          </w:tcPr>
          <w:p w14:paraId="513A153C" w14:textId="77777777" w:rsidR="00F42DB7" w:rsidRPr="008F03E5" w:rsidRDefault="00F42DB7" w:rsidP="007176EE">
            <w:pPr>
              <w:rPr>
                <w:sz w:val="18"/>
                <w:szCs w:val="18"/>
              </w:rPr>
            </w:pPr>
            <w:r w:rsidRPr="008F03E5">
              <w:rPr>
                <w:sz w:val="18"/>
                <w:szCs w:val="18"/>
              </w:rPr>
              <w:t>Mírzá Muḥammad Rawḍih-</w:t>
            </w:r>
            <w:r w:rsidRPr="008F03E5">
              <w:rPr>
                <w:sz w:val="18"/>
                <w:szCs w:val="18"/>
                <w:u w:val="single"/>
              </w:rPr>
              <w:t>Kh</w:t>
            </w:r>
            <w:r w:rsidRPr="008F03E5">
              <w:rPr>
                <w:sz w:val="18"/>
                <w:szCs w:val="18"/>
              </w:rPr>
              <w:t>án-i-Yazdí</w:t>
            </w:r>
          </w:p>
        </w:tc>
        <w:tc>
          <w:tcPr>
            <w:tcW w:w="454" w:type="dxa"/>
            <w:tcBorders>
              <w:top w:val="nil"/>
              <w:left w:val="single" w:sz="6" w:space="0" w:color="auto"/>
              <w:bottom w:val="single" w:sz="4" w:space="0" w:color="auto"/>
            </w:tcBorders>
          </w:tcPr>
          <w:p w14:paraId="3C4D8E84" w14:textId="77777777" w:rsidR="00F42DB7" w:rsidRPr="008F03E5" w:rsidRDefault="00F42DB7" w:rsidP="007176EE">
            <w:pPr>
              <w:tabs>
                <w:tab w:val="decimal" w:pos="227"/>
              </w:tabs>
              <w:rPr>
                <w:sz w:val="18"/>
                <w:szCs w:val="18"/>
                <w14:numSpacing w14:val="tabular"/>
              </w:rPr>
            </w:pPr>
            <w:r w:rsidRPr="008F03E5">
              <w:rPr>
                <w:sz w:val="18"/>
                <w:szCs w:val="18"/>
                <w14:numSpacing w14:val="tabular"/>
              </w:rPr>
              <w:t>18</w:t>
            </w:r>
          </w:p>
        </w:tc>
        <w:tc>
          <w:tcPr>
            <w:tcW w:w="4762" w:type="dxa"/>
            <w:tcBorders>
              <w:top w:val="nil"/>
              <w:bottom w:val="nil"/>
            </w:tcBorders>
          </w:tcPr>
          <w:p w14:paraId="06613121" w14:textId="77777777" w:rsidR="00F42DB7" w:rsidRPr="008F03E5" w:rsidRDefault="00F42DB7" w:rsidP="007176EE">
            <w:pPr>
              <w:rPr>
                <w:sz w:val="18"/>
                <w:szCs w:val="18"/>
              </w:rPr>
            </w:pPr>
            <w:r w:rsidRPr="008F03E5">
              <w:rPr>
                <w:sz w:val="18"/>
                <w:szCs w:val="18"/>
              </w:rPr>
              <w:t>Hájí Mullá Muḥammad ‘Alíy-i-Bárfurú</w:t>
            </w:r>
            <w:r w:rsidRPr="008F03E5">
              <w:rPr>
                <w:sz w:val="18"/>
                <w:szCs w:val="18"/>
                <w:u w:val="single"/>
              </w:rPr>
              <w:t>sh</w:t>
            </w:r>
            <w:r w:rsidRPr="008F03E5">
              <w:rPr>
                <w:sz w:val="18"/>
                <w:szCs w:val="18"/>
              </w:rPr>
              <w:t>í (Quddús)</w:t>
            </w:r>
          </w:p>
        </w:tc>
      </w:tr>
      <w:tr w:rsidR="00F42DB7" w:rsidRPr="008F03E5" w14:paraId="3EE69D53" w14:textId="77777777" w:rsidTr="007176EE">
        <w:trPr>
          <w:jc w:val="center"/>
        </w:trPr>
        <w:tc>
          <w:tcPr>
            <w:tcW w:w="397" w:type="dxa"/>
            <w:tcBorders>
              <w:top w:val="nil"/>
              <w:left w:val="single" w:sz="4" w:space="0" w:color="auto"/>
              <w:bottom w:val="nil"/>
            </w:tcBorders>
          </w:tcPr>
          <w:p w14:paraId="5F5469FD"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9</w:t>
            </w:r>
          </w:p>
        </w:tc>
        <w:tc>
          <w:tcPr>
            <w:tcW w:w="4932" w:type="dxa"/>
            <w:tcBorders>
              <w:top w:val="nil"/>
              <w:bottom w:val="nil"/>
              <w:right w:val="single" w:sz="6" w:space="0" w:color="auto"/>
            </w:tcBorders>
          </w:tcPr>
          <w:p w14:paraId="44730885" w14:textId="77777777" w:rsidR="00F42DB7" w:rsidRPr="008F03E5" w:rsidRDefault="00F42DB7" w:rsidP="007176EE">
            <w:pPr>
              <w:rPr>
                <w:sz w:val="18"/>
                <w:szCs w:val="18"/>
              </w:rPr>
            </w:pPr>
            <w:r w:rsidRPr="008F03E5">
              <w:rPr>
                <w:sz w:val="18"/>
                <w:szCs w:val="18"/>
                <w:u w:val="single"/>
              </w:rPr>
              <w:t>Sh</w:t>
            </w:r>
            <w:r w:rsidRPr="008F03E5">
              <w:rPr>
                <w:sz w:val="18"/>
                <w:szCs w:val="18"/>
              </w:rPr>
              <w:t>ay</w:t>
            </w:r>
            <w:r w:rsidRPr="008F03E5">
              <w:rPr>
                <w:sz w:val="18"/>
                <w:szCs w:val="18"/>
                <w:u w:val="single"/>
              </w:rPr>
              <w:t>kh</w:t>
            </w:r>
            <w:r w:rsidRPr="008F03E5">
              <w:rPr>
                <w:sz w:val="18"/>
                <w:szCs w:val="18"/>
              </w:rPr>
              <w:t xml:space="preserve"> Sa‘íd-i-Hindí (the Indian)</w:t>
            </w:r>
          </w:p>
        </w:tc>
        <w:tc>
          <w:tcPr>
            <w:tcW w:w="454" w:type="dxa"/>
            <w:tcBorders>
              <w:top w:val="single" w:sz="4" w:space="0" w:color="auto"/>
              <w:left w:val="single" w:sz="6" w:space="0" w:color="auto"/>
              <w:bottom w:val="nil"/>
              <w:right w:val="single" w:sz="6" w:space="0" w:color="auto"/>
            </w:tcBorders>
          </w:tcPr>
          <w:p w14:paraId="0C1AA897" w14:textId="77777777" w:rsidR="00F42DB7" w:rsidRPr="008F03E5" w:rsidRDefault="00F42DB7" w:rsidP="007176EE">
            <w:pPr>
              <w:tabs>
                <w:tab w:val="decimal" w:pos="227"/>
              </w:tabs>
              <w:rPr>
                <w:sz w:val="18"/>
                <w:szCs w:val="18"/>
              </w:rPr>
            </w:pPr>
          </w:p>
        </w:tc>
        <w:tc>
          <w:tcPr>
            <w:tcW w:w="4762" w:type="dxa"/>
            <w:tcBorders>
              <w:top w:val="nil"/>
              <w:left w:val="single" w:sz="6" w:space="0" w:color="auto"/>
              <w:bottom w:val="nil"/>
            </w:tcBorders>
          </w:tcPr>
          <w:p w14:paraId="75C26D43" w14:textId="77777777" w:rsidR="00F42DB7" w:rsidRPr="008F03E5" w:rsidRDefault="00F42DB7" w:rsidP="007176EE">
            <w:pPr>
              <w:rPr>
                <w:sz w:val="18"/>
                <w:szCs w:val="18"/>
              </w:rPr>
            </w:pPr>
            <w:r w:rsidRPr="008F03E5">
              <w:rPr>
                <w:sz w:val="18"/>
                <w:szCs w:val="18"/>
              </w:rPr>
              <w:t>Mírzá ‘Alí Muḥammad (The Báb) is the Nuqṭiy-i-Úlá</w:t>
            </w:r>
          </w:p>
        </w:tc>
      </w:tr>
      <w:tr w:rsidR="00F42DB7" w:rsidRPr="008F03E5" w14:paraId="73509F65" w14:textId="77777777" w:rsidTr="007176EE">
        <w:trPr>
          <w:jc w:val="center"/>
        </w:trPr>
        <w:tc>
          <w:tcPr>
            <w:tcW w:w="397" w:type="dxa"/>
            <w:tcBorders>
              <w:top w:val="nil"/>
              <w:bottom w:val="single" w:sz="6" w:space="0" w:color="auto"/>
            </w:tcBorders>
          </w:tcPr>
          <w:p w14:paraId="302E47E7" w14:textId="77777777" w:rsidR="00F42DB7" w:rsidRPr="008F03E5" w:rsidRDefault="00F42DB7" w:rsidP="007176EE">
            <w:pPr>
              <w:tabs>
                <w:tab w:val="decimal" w:pos="191"/>
              </w:tabs>
              <w:rPr>
                <w:sz w:val="18"/>
                <w:szCs w:val="18"/>
                <w14:numSpacing w14:val="tabular"/>
              </w:rPr>
            </w:pPr>
            <w:r w:rsidRPr="008F03E5">
              <w:rPr>
                <w:sz w:val="18"/>
                <w:szCs w:val="18"/>
                <w14:numSpacing w14:val="tabular"/>
              </w:rPr>
              <w:t>10</w:t>
            </w:r>
          </w:p>
        </w:tc>
        <w:tc>
          <w:tcPr>
            <w:tcW w:w="4932" w:type="dxa"/>
            <w:tcBorders>
              <w:top w:val="nil"/>
              <w:bottom w:val="single" w:sz="6" w:space="0" w:color="auto"/>
              <w:right w:val="single" w:sz="6" w:space="0" w:color="auto"/>
            </w:tcBorders>
          </w:tcPr>
          <w:p w14:paraId="7A893F15" w14:textId="77777777" w:rsidR="00F42DB7" w:rsidRPr="008F03E5" w:rsidRDefault="00F42DB7" w:rsidP="007176EE">
            <w:pPr>
              <w:rPr>
                <w:sz w:val="18"/>
                <w:szCs w:val="18"/>
              </w:rPr>
            </w:pPr>
            <w:r w:rsidRPr="008F03E5">
              <w:rPr>
                <w:sz w:val="18"/>
                <w:szCs w:val="18"/>
              </w:rPr>
              <w:t>Mullá Maḥmúd-i-</w:t>
            </w:r>
            <w:r w:rsidRPr="008F03E5">
              <w:rPr>
                <w:sz w:val="18"/>
                <w:szCs w:val="18"/>
                <w:u w:val="single"/>
              </w:rPr>
              <w:t>Kh</w:t>
            </w:r>
            <w:r w:rsidRPr="008F03E5">
              <w:rPr>
                <w:sz w:val="18"/>
                <w:szCs w:val="18"/>
              </w:rPr>
              <w:t>u’í</w:t>
            </w:r>
          </w:p>
        </w:tc>
        <w:tc>
          <w:tcPr>
            <w:tcW w:w="454" w:type="dxa"/>
            <w:tcBorders>
              <w:top w:val="nil"/>
              <w:left w:val="single" w:sz="6" w:space="0" w:color="auto"/>
              <w:bottom w:val="nil"/>
              <w:right w:val="single" w:sz="6" w:space="0" w:color="auto"/>
            </w:tcBorders>
          </w:tcPr>
          <w:p w14:paraId="7E46047B" w14:textId="77777777" w:rsidR="00F42DB7" w:rsidRPr="008F03E5" w:rsidRDefault="00F42DB7" w:rsidP="007176EE">
            <w:pPr>
              <w:tabs>
                <w:tab w:val="right" w:pos="276"/>
              </w:tabs>
              <w:rPr>
                <w:sz w:val="18"/>
                <w:szCs w:val="18"/>
                <w14:numSpacing w14:val="tabular"/>
              </w:rPr>
            </w:pPr>
          </w:p>
        </w:tc>
        <w:tc>
          <w:tcPr>
            <w:tcW w:w="4762" w:type="dxa"/>
            <w:tcBorders>
              <w:top w:val="nil"/>
              <w:left w:val="single" w:sz="6" w:space="0" w:color="auto"/>
              <w:bottom w:val="single" w:sz="6" w:space="0" w:color="auto"/>
              <w:right w:val="single" w:sz="6" w:space="0" w:color="auto"/>
            </w:tcBorders>
          </w:tcPr>
          <w:p w14:paraId="5F26ECA0" w14:textId="77777777" w:rsidR="00F42DB7" w:rsidRPr="008F03E5" w:rsidRDefault="00F42DB7" w:rsidP="007176EE">
            <w:pPr>
              <w:rPr>
                <w:sz w:val="18"/>
                <w:szCs w:val="18"/>
              </w:rPr>
            </w:pPr>
            <w:r w:rsidRPr="008F03E5">
              <w:rPr>
                <w:sz w:val="18"/>
                <w:szCs w:val="18"/>
              </w:rPr>
              <w:t>(“Primal Point”) that generated these Letters</w:t>
            </w:r>
          </w:p>
        </w:tc>
      </w:tr>
    </w:tbl>
    <w:p w14:paraId="593CB8F0" w14:textId="08C7C2C9" w:rsidR="00F42DB7" w:rsidRPr="008F03E5" w:rsidRDefault="00F42DB7" w:rsidP="00F42DB7">
      <w:pPr>
        <w:pStyle w:val="Myhead3"/>
        <w:spacing w:after="120"/>
      </w:pPr>
      <w:r>
        <w:t>P</w:t>
      </w:r>
      <w:r w:rsidRPr="008F03E5">
        <w:t>rinciples</w:t>
      </w:r>
      <w:r w:rsidRPr="008F03E5">
        <w:rPr>
          <w:rStyle w:val="FootnoteReference"/>
        </w:rPr>
        <w:footnoteReference w:customMarkFollows="1" w:id="41"/>
        <w:t>*</w:t>
      </w:r>
      <w:r w:rsidRPr="00F42DB7">
        <w:rPr>
          <w:b w:val="0"/>
          <w:bCs/>
          <w:i w:val="0"/>
          <w:iCs/>
          <w:sz w:val="12"/>
          <w:szCs w:val="12"/>
        </w:rPr>
        <w:fldChar w:fldCharType="begin"/>
      </w:r>
      <w:r w:rsidRPr="00F42DB7">
        <w:rPr>
          <w:b w:val="0"/>
          <w:bCs/>
          <w:i w:val="0"/>
          <w:iCs/>
          <w:sz w:val="12"/>
          <w:szCs w:val="12"/>
        </w:rPr>
        <w:instrText xml:space="preserve"> TC “</w:instrText>
      </w:r>
      <w:bookmarkStart w:id="199" w:name="_Toc149476386"/>
      <w:bookmarkStart w:id="200" w:name="_Toc167691890"/>
      <w:r w:rsidRPr="00074EB6">
        <w:rPr>
          <w:b w:val="0"/>
          <w:bCs/>
          <w:sz w:val="12"/>
          <w:szCs w:val="12"/>
        </w:rPr>
        <w:instrText>Principles</w:instrText>
      </w:r>
      <w:r w:rsidRPr="00074EB6">
        <w:rPr>
          <w:b w:val="0"/>
          <w:bCs/>
          <w:color w:val="FFFFFF" w:themeColor="background1"/>
          <w:sz w:val="12"/>
          <w:szCs w:val="12"/>
        </w:rPr>
        <w:instrText>..</w:instrText>
      </w:r>
      <w:r w:rsidRPr="00074EB6">
        <w:rPr>
          <w:b w:val="0"/>
          <w:bCs/>
          <w:sz w:val="12"/>
          <w:szCs w:val="12"/>
        </w:rPr>
        <w:tab/>
      </w:r>
      <w:r w:rsidRPr="00074EB6">
        <w:rPr>
          <w:b w:val="0"/>
          <w:bCs/>
          <w:color w:val="FFFFFF" w:themeColor="background1"/>
          <w:sz w:val="12"/>
          <w:szCs w:val="12"/>
        </w:rPr>
        <w:instrText>.</w:instrText>
      </w:r>
      <w:bookmarkEnd w:id="199"/>
      <w:bookmarkEnd w:id="200"/>
      <w:r w:rsidRPr="00F42DB7">
        <w:rPr>
          <w:b w:val="0"/>
          <w:bCs/>
          <w:i w:val="0"/>
          <w:iCs/>
          <w:sz w:val="12"/>
          <w:szCs w:val="12"/>
        </w:rPr>
        <w:instrText>” \l 2</w:instrText>
      </w:r>
      <w:r w:rsidRPr="00F42DB7">
        <w:rPr>
          <w:b w:val="0"/>
          <w:bCs/>
          <w:i w:val="0"/>
          <w:iCs/>
          <w:sz w:val="12"/>
          <w:szCs w:val="12"/>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5329"/>
      </w:tblGrid>
      <w:tr w:rsidR="00F42DB7" w:rsidRPr="008F03E5" w14:paraId="53990EE8" w14:textId="77777777" w:rsidTr="007176EE">
        <w:trPr>
          <w:jc w:val="center"/>
        </w:trPr>
        <w:tc>
          <w:tcPr>
            <w:tcW w:w="4706" w:type="dxa"/>
          </w:tcPr>
          <w:p w14:paraId="098FB65E" w14:textId="77777777" w:rsidR="00F42DB7" w:rsidRPr="008F03E5" w:rsidRDefault="00F42DB7" w:rsidP="007176EE">
            <w:pPr>
              <w:ind w:left="284" w:hanging="284"/>
              <w:rPr>
                <w:sz w:val="18"/>
                <w:szCs w:val="18"/>
              </w:rPr>
            </w:pPr>
            <w:r w:rsidRPr="008F03E5">
              <w:rPr>
                <w:sz w:val="18"/>
                <w:szCs w:val="18"/>
              </w:rPr>
              <w:t>The oneness of mankind, the pivotal principle and fundamental doctrine of the Faith</w:t>
            </w:r>
          </w:p>
        </w:tc>
        <w:tc>
          <w:tcPr>
            <w:tcW w:w="5329" w:type="dxa"/>
          </w:tcPr>
          <w:p w14:paraId="6953EC31" w14:textId="77777777" w:rsidR="00F42DB7" w:rsidRPr="008F03E5" w:rsidRDefault="00F42DB7" w:rsidP="007176EE">
            <w:pPr>
              <w:ind w:left="284" w:hanging="284"/>
              <w:rPr>
                <w:sz w:val="18"/>
                <w:szCs w:val="18"/>
              </w:rPr>
            </w:pPr>
            <w:r w:rsidRPr="008F03E5">
              <w:rPr>
                <w:sz w:val="18"/>
                <w:szCs w:val="18"/>
              </w:rPr>
              <w:t>The establishment of justice:  the glorification of justice as the ruling principle in human society, and of religion as a bulwark for the protection of all peoples and nations</w:t>
            </w:r>
          </w:p>
        </w:tc>
      </w:tr>
      <w:tr w:rsidR="00F42DB7" w:rsidRPr="008F03E5" w14:paraId="385919D5" w14:textId="77777777" w:rsidTr="007176EE">
        <w:trPr>
          <w:jc w:val="center"/>
        </w:trPr>
        <w:tc>
          <w:tcPr>
            <w:tcW w:w="4706" w:type="dxa"/>
          </w:tcPr>
          <w:p w14:paraId="31DDC4D5" w14:textId="77777777" w:rsidR="00F42DB7" w:rsidRPr="008F03E5" w:rsidRDefault="00F42DB7" w:rsidP="007176EE">
            <w:pPr>
              <w:ind w:left="284" w:hanging="284"/>
              <w:rPr>
                <w:sz w:val="18"/>
                <w:szCs w:val="18"/>
              </w:rPr>
            </w:pPr>
            <w:r w:rsidRPr="008F03E5">
              <w:rPr>
                <w:sz w:val="18"/>
                <w:szCs w:val="18"/>
              </w:rPr>
              <w:t>Religion’s obligation to be the cause of unity and harmony</w:t>
            </w:r>
          </w:p>
        </w:tc>
        <w:tc>
          <w:tcPr>
            <w:tcW w:w="5329" w:type="dxa"/>
          </w:tcPr>
          <w:p w14:paraId="23D4DE19" w14:textId="77777777" w:rsidR="00F42DB7" w:rsidRPr="008F03E5" w:rsidRDefault="00F42DB7" w:rsidP="007176EE">
            <w:pPr>
              <w:ind w:left="284" w:hanging="284"/>
              <w:rPr>
                <w:sz w:val="18"/>
                <w:szCs w:val="18"/>
              </w:rPr>
            </w:pPr>
            <w:r w:rsidRPr="008F03E5">
              <w:rPr>
                <w:sz w:val="18"/>
                <w:szCs w:val="18"/>
              </w:rPr>
              <w:t>The equality of all men before the law</w:t>
            </w:r>
          </w:p>
        </w:tc>
      </w:tr>
      <w:tr w:rsidR="00F42DB7" w:rsidRPr="008F03E5" w14:paraId="3508C1D7" w14:textId="77777777" w:rsidTr="007176EE">
        <w:trPr>
          <w:jc w:val="center"/>
        </w:trPr>
        <w:tc>
          <w:tcPr>
            <w:tcW w:w="4706" w:type="dxa"/>
          </w:tcPr>
          <w:p w14:paraId="4D40D56C" w14:textId="77777777" w:rsidR="00F42DB7" w:rsidRPr="008F03E5" w:rsidRDefault="00F42DB7" w:rsidP="007176EE">
            <w:pPr>
              <w:ind w:left="284" w:hanging="284"/>
              <w:rPr>
                <w:sz w:val="18"/>
                <w:szCs w:val="18"/>
              </w:rPr>
            </w:pPr>
            <w:r w:rsidRPr="008F03E5">
              <w:rPr>
                <w:sz w:val="18"/>
                <w:szCs w:val="18"/>
              </w:rPr>
              <w:t>The accord of religion with science and reason so that harmony exists between them</w:t>
            </w:r>
          </w:p>
        </w:tc>
        <w:tc>
          <w:tcPr>
            <w:tcW w:w="5329" w:type="dxa"/>
          </w:tcPr>
          <w:p w14:paraId="4B48704B" w14:textId="77777777" w:rsidR="00F42DB7" w:rsidRPr="008F03E5" w:rsidRDefault="00F42DB7" w:rsidP="007176EE">
            <w:pPr>
              <w:ind w:left="284" w:hanging="284"/>
              <w:rPr>
                <w:sz w:val="18"/>
                <w:szCs w:val="18"/>
              </w:rPr>
            </w:pPr>
            <w:r w:rsidRPr="008F03E5">
              <w:rPr>
                <w:sz w:val="18"/>
                <w:szCs w:val="18"/>
              </w:rPr>
              <w:t>The elimination of the extremes of wealth and poverty</w:t>
            </w:r>
          </w:p>
        </w:tc>
      </w:tr>
      <w:tr w:rsidR="00F42DB7" w:rsidRPr="008F03E5" w14:paraId="732660D5" w14:textId="77777777" w:rsidTr="007176EE">
        <w:trPr>
          <w:jc w:val="center"/>
        </w:trPr>
        <w:tc>
          <w:tcPr>
            <w:tcW w:w="4706" w:type="dxa"/>
          </w:tcPr>
          <w:p w14:paraId="2C0131B8" w14:textId="77777777" w:rsidR="00F42DB7" w:rsidRPr="008F03E5" w:rsidRDefault="00F42DB7" w:rsidP="007176EE">
            <w:pPr>
              <w:ind w:left="284" w:hanging="284"/>
              <w:rPr>
                <w:sz w:val="18"/>
                <w:szCs w:val="18"/>
              </w:rPr>
            </w:pPr>
            <w:r w:rsidRPr="008F03E5">
              <w:rPr>
                <w:sz w:val="18"/>
                <w:szCs w:val="18"/>
              </w:rPr>
              <w:t>The independent investigation of truth, unfettered by superstition or tradition</w:t>
            </w:r>
          </w:p>
        </w:tc>
        <w:tc>
          <w:tcPr>
            <w:tcW w:w="5329" w:type="dxa"/>
          </w:tcPr>
          <w:p w14:paraId="44DD26CD" w14:textId="77777777" w:rsidR="00F42DB7" w:rsidRPr="008F03E5" w:rsidRDefault="00F42DB7" w:rsidP="007176EE">
            <w:pPr>
              <w:ind w:left="284" w:hanging="284"/>
              <w:rPr>
                <w:sz w:val="18"/>
                <w:szCs w:val="18"/>
              </w:rPr>
            </w:pPr>
            <w:r w:rsidRPr="008F03E5">
              <w:rPr>
                <w:sz w:val="18"/>
                <w:szCs w:val="18"/>
              </w:rPr>
              <w:t>World government for the adjudication of disputes between nations</w:t>
            </w:r>
          </w:p>
        </w:tc>
      </w:tr>
      <w:tr w:rsidR="00F42DB7" w:rsidRPr="008F03E5" w14:paraId="4A34AE74" w14:textId="77777777" w:rsidTr="007176EE">
        <w:trPr>
          <w:jc w:val="center"/>
        </w:trPr>
        <w:tc>
          <w:tcPr>
            <w:tcW w:w="4706" w:type="dxa"/>
          </w:tcPr>
          <w:p w14:paraId="225DCDD5" w14:textId="77777777" w:rsidR="00F42DB7" w:rsidRPr="008F03E5" w:rsidRDefault="00F42DB7" w:rsidP="007176EE">
            <w:pPr>
              <w:ind w:left="284" w:hanging="284"/>
              <w:rPr>
                <w:sz w:val="18"/>
                <w:szCs w:val="18"/>
              </w:rPr>
            </w:pPr>
            <w:r w:rsidRPr="008F03E5">
              <w:rPr>
                <w:sz w:val="18"/>
                <w:szCs w:val="18"/>
              </w:rPr>
              <w:t>The equality of men and women, the two wings on which the bird of human kind is able to soar</w:t>
            </w:r>
          </w:p>
        </w:tc>
        <w:tc>
          <w:tcPr>
            <w:tcW w:w="5329" w:type="dxa"/>
          </w:tcPr>
          <w:p w14:paraId="03AE2100" w14:textId="77777777" w:rsidR="00F42DB7" w:rsidRPr="008F03E5" w:rsidRDefault="00F42DB7" w:rsidP="007176EE">
            <w:pPr>
              <w:ind w:left="284" w:hanging="284"/>
              <w:rPr>
                <w:sz w:val="18"/>
                <w:szCs w:val="18"/>
              </w:rPr>
            </w:pPr>
            <w:r w:rsidRPr="008F03E5">
              <w:rPr>
                <w:sz w:val="18"/>
                <w:szCs w:val="18"/>
              </w:rPr>
              <w:t>An international tribunal for the adjudication of disputes between nations</w:t>
            </w:r>
          </w:p>
        </w:tc>
      </w:tr>
      <w:tr w:rsidR="00F42DB7" w:rsidRPr="008F03E5" w14:paraId="46958882" w14:textId="77777777" w:rsidTr="007176EE">
        <w:trPr>
          <w:jc w:val="center"/>
        </w:trPr>
        <w:tc>
          <w:tcPr>
            <w:tcW w:w="4706" w:type="dxa"/>
          </w:tcPr>
          <w:p w14:paraId="62156D7B" w14:textId="77777777" w:rsidR="00F42DB7" w:rsidRPr="008F03E5" w:rsidRDefault="00F42DB7" w:rsidP="007176EE">
            <w:pPr>
              <w:ind w:left="284" w:hanging="284"/>
              <w:rPr>
                <w:sz w:val="18"/>
                <w:szCs w:val="18"/>
              </w:rPr>
            </w:pPr>
            <w:r w:rsidRPr="008F03E5">
              <w:rPr>
                <w:sz w:val="18"/>
                <w:szCs w:val="18"/>
              </w:rPr>
              <w:t>The elimination of all kinds of prejudice, whether religious, racial, class or national</w:t>
            </w:r>
          </w:p>
        </w:tc>
        <w:tc>
          <w:tcPr>
            <w:tcW w:w="5329" w:type="dxa"/>
          </w:tcPr>
          <w:p w14:paraId="6B16039D" w14:textId="77777777" w:rsidR="00F42DB7" w:rsidRPr="008F03E5" w:rsidRDefault="00F42DB7" w:rsidP="007176EE">
            <w:pPr>
              <w:rPr>
                <w:sz w:val="18"/>
                <w:szCs w:val="18"/>
              </w:rPr>
            </w:pPr>
            <w:r w:rsidRPr="008F03E5">
              <w:rPr>
                <w:sz w:val="18"/>
                <w:szCs w:val="18"/>
              </w:rPr>
              <w:t>A spiritual solution to economic problems.</w:t>
            </w:r>
          </w:p>
        </w:tc>
      </w:tr>
      <w:tr w:rsidR="00F42DB7" w:rsidRPr="008F03E5" w14:paraId="14D389E2" w14:textId="77777777" w:rsidTr="007176EE">
        <w:trPr>
          <w:jc w:val="center"/>
        </w:trPr>
        <w:tc>
          <w:tcPr>
            <w:tcW w:w="4706" w:type="dxa"/>
          </w:tcPr>
          <w:p w14:paraId="71A2C169" w14:textId="77777777" w:rsidR="00F42DB7" w:rsidRPr="008F03E5" w:rsidRDefault="00F42DB7" w:rsidP="007176EE">
            <w:pPr>
              <w:ind w:left="284" w:hanging="284"/>
              <w:rPr>
                <w:sz w:val="18"/>
                <w:szCs w:val="18"/>
              </w:rPr>
            </w:pPr>
            <w:r w:rsidRPr="008F03E5">
              <w:rPr>
                <w:sz w:val="18"/>
                <w:szCs w:val="18"/>
              </w:rPr>
              <w:t>World peace:  the establishment of a permanent and universal peace as the supreme goal of all mankind</w:t>
            </w:r>
          </w:p>
        </w:tc>
        <w:tc>
          <w:tcPr>
            <w:tcW w:w="5329" w:type="dxa"/>
          </w:tcPr>
          <w:p w14:paraId="0BE2BF5A" w14:textId="77777777" w:rsidR="00F42DB7" w:rsidRPr="008F03E5" w:rsidRDefault="00F42DB7" w:rsidP="007176EE">
            <w:pPr>
              <w:ind w:left="284" w:hanging="284"/>
              <w:rPr>
                <w:sz w:val="18"/>
                <w:szCs w:val="18"/>
              </w:rPr>
            </w:pPr>
            <w:r w:rsidRPr="008F03E5">
              <w:rPr>
                <w:sz w:val="18"/>
                <w:szCs w:val="18"/>
              </w:rPr>
              <w:t>The exaltation of work, performed in the spirit of service, to the rank of worship.</w:t>
            </w:r>
          </w:p>
        </w:tc>
      </w:tr>
      <w:tr w:rsidR="00F42DB7" w:rsidRPr="008F03E5" w14:paraId="4D96A251" w14:textId="77777777" w:rsidTr="007176EE">
        <w:trPr>
          <w:jc w:val="center"/>
        </w:trPr>
        <w:tc>
          <w:tcPr>
            <w:tcW w:w="4706" w:type="dxa"/>
          </w:tcPr>
          <w:p w14:paraId="125D60B2" w14:textId="77777777" w:rsidR="00F42DB7" w:rsidRPr="008F03E5" w:rsidRDefault="00F42DB7" w:rsidP="007176EE">
            <w:pPr>
              <w:rPr>
                <w:sz w:val="18"/>
                <w:szCs w:val="18"/>
              </w:rPr>
            </w:pPr>
            <w:r w:rsidRPr="008F03E5">
              <w:rPr>
                <w:sz w:val="18"/>
                <w:szCs w:val="18"/>
              </w:rPr>
              <w:t>A universal auxiliary language</w:t>
            </w:r>
          </w:p>
        </w:tc>
        <w:tc>
          <w:tcPr>
            <w:tcW w:w="5329" w:type="dxa"/>
          </w:tcPr>
          <w:p w14:paraId="23534BFB" w14:textId="77777777" w:rsidR="00F42DB7" w:rsidRPr="008F03E5" w:rsidRDefault="00F42DB7" w:rsidP="007176EE">
            <w:pPr>
              <w:ind w:left="284" w:hanging="284"/>
              <w:rPr>
                <w:sz w:val="18"/>
                <w:szCs w:val="18"/>
              </w:rPr>
            </w:pPr>
            <w:r w:rsidRPr="008F03E5">
              <w:rPr>
                <w:sz w:val="18"/>
                <w:szCs w:val="18"/>
              </w:rPr>
              <w:t>Abrogation of the clergy.  Leadership is placed in the hands of assemblies (“the rulers”) elected by the believers, and individuals (“the learned”) appointed by the Universal House of Justice.  The latter “have no legislative, administrative or judicial authority, and are entirely devoid of priestly functions or the right to make authoritative interpretations”.</w:t>
            </w:r>
            <w:r w:rsidRPr="008F03E5">
              <w:rPr>
                <w:rStyle w:val="FootnoteReference"/>
              </w:rPr>
              <w:footnoteReference w:id="42"/>
            </w:r>
          </w:p>
        </w:tc>
      </w:tr>
      <w:tr w:rsidR="00F42DB7" w:rsidRPr="008F03E5" w14:paraId="03DF1465" w14:textId="77777777" w:rsidTr="007176EE">
        <w:trPr>
          <w:jc w:val="center"/>
        </w:trPr>
        <w:tc>
          <w:tcPr>
            <w:tcW w:w="4706" w:type="dxa"/>
          </w:tcPr>
          <w:p w14:paraId="26DDD7DE" w14:textId="77777777" w:rsidR="00F42DB7" w:rsidRPr="008F03E5" w:rsidRDefault="00F42DB7" w:rsidP="007176EE">
            <w:pPr>
              <w:rPr>
                <w:sz w:val="18"/>
                <w:szCs w:val="18"/>
              </w:rPr>
            </w:pPr>
            <w:r w:rsidRPr="008F03E5">
              <w:rPr>
                <w:sz w:val="18"/>
                <w:szCs w:val="18"/>
              </w:rPr>
              <w:t>Universal and compulsory education</w:t>
            </w:r>
          </w:p>
        </w:tc>
        <w:tc>
          <w:tcPr>
            <w:tcW w:w="5329" w:type="dxa"/>
          </w:tcPr>
          <w:p w14:paraId="27AF1C58" w14:textId="77777777" w:rsidR="00F42DB7" w:rsidRPr="008F03E5" w:rsidRDefault="00F42DB7" w:rsidP="007176EE">
            <w:pPr>
              <w:ind w:left="284" w:hanging="284"/>
              <w:rPr>
                <w:sz w:val="18"/>
                <w:szCs w:val="18"/>
              </w:rPr>
            </w:pPr>
            <w:r w:rsidRPr="008F03E5">
              <w:rPr>
                <w:sz w:val="18"/>
                <w:szCs w:val="18"/>
              </w:rPr>
              <w:t>Maintenance of a “balance of freedom between the [elected] institution, whether national or local, and the individuals who sustain its existence.”</w:t>
            </w:r>
            <w:r w:rsidRPr="008F03E5">
              <w:rPr>
                <w:rStyle w:val="FootnoteReference"/>
              </w:rPr>
              <w:footnoteReference w:id="43"/>
            </w:r>
          </w:p>
        </w:tc>
      </w:tr>
      <w:tr w:rsidR="00F42DB7" w:rsidRPr="008F03E5" w14:paraId="1A3C4636" w14:textId="77777777" w:rsidTr="007176EE">
        <w:trPr>
          <w:jc w:val="center"/>
        </w:trPr>
        <w:tc>
          <w:tcPr>
            <w:tcW w:w="4706" w:type="dxa"/>
          </w:tcPr>
          <w:p w14:paraId="201E118D" w14:textId="77777777" w:rsidR="00F42DB7" w:rsidRPr="008F03E5" w:rsidRDefault="00F42DB7" w:rsidP="007176EE">
            <w:pPr>
              <w:rPr>
                <w:sz w:val="18"/>
                <w:szCs w:val="18"/>
              </w:rPr>
            </w:pPr>
            <w:r w:rsidRPr="008F03E5">
              <w:rPr>
                <w:sz w:val="18"/>
                <w:szCs w:val="18"/>
              </w:rPr>
              <w:t>The common foundation and unity of all religions</w:t>
            </w:r>
          </w:p>
        </w:tc>
        <w:tc>
          <w:tcPr>
            <w:tcW w:w="5329" w:type="dxa"/>
          </w:tcPr>
          <w:p w14:paraId="3C94242A" w14:textId="77777777" w:rsidR="00F42DB7" w:rsidRPr="008F03E5" w:rsidRDefault="00F42DB7" w:rsidP="007176EE">
            <w:pPr>
              <w:ind w:left="284" w:hanging="284"/>
              <w:rPr>
                <w:sz w:val="18"/>
                <w:szCs w:val="18"/>
              </w:rPr>
            </w:pPr>
            <w:r w:rsidRPr="008F03E5">
              <w:rPr>
                <w:sz w:val="18"/>
                <w:szCs w:val="18"/>
              </w:rPr>
              <w:t>Uniform and universal system of currency, of weights and measures</w:t>
            </w:r>
          </w:p>
        </w:tc>
      </w:tr>
      <w:tr w:rsidR="00F42DB7" w:rsidRPr="008F03E5" w14:paraId="62BBB492" w14:textId="77777777" w:rsidTr="007176EE">
        <w:trPr>
          <w:jc w:val="center"/>
        </w:trPr>
        <w:tc>
          <w:tcPr>
            <w:tcW w:w="4706" w:type="dxa"/>
          </w:tcPr>
          <w:p w14:paraId="155E4F20" w14:textId="77777777" w:rsidR="00F42DB7" w:rsidRPr="008F03E5" w:rsidRDefault="00F42DB7" w:rsidP="007176EE">
            <w:pPr>
              <w:rPr>
                <w:sz w:val="18"/>
                <w:szCs w:val="18"/>
              </w:rPr>
            </w:pPr>
            <w:r w:rsidRPr="008F03E5">
              <w:rPr>
                <w:sz w:val="18"/>
                <w:szCs w:val="18"/>
              </w:rPr>
              <w:t>The non-interference of religion with politics</w:t>
            </w:r>
          </w:p>
        </w:tc>
        <w:tc>
          <w:tcPr>
            <w:tcW w:w="5329" w:type="dxa"/>
          </w:tcPr>
          <w:p w14:paraId="5E0E395E" w14:textId="77777777" w:rsidR="00F42DB7" w:rsidRPr="008F03E5" w:rsidRDefault="00F42DB7" w:rsidP="007176EE">
            <w:pPr>
              <w:ind w:left="284" w:hanging="284"/>
              <w:rPr>
                <w:sz w:val="18"/>
                <w:szCs w:val="18"/>
              </w:rPr>
            </w:pPr>
            <w:r w:rsidRPr="008F03E5">
              <w:rPr>
                <w:sz w:val="18"/>
                <w:szCs w:val="18"/>
              </w:rPr>
              <w:t>“Glorification of justice as the ruling principle in human society, and of religion as a bulwark for the protection of all peoples and nations”</w:t>
            </w:r>
          </w:p>
        </w:tc>
      </w:tr>
    </w:tbl>
    <w:p w14:paraId="0E4849DD" w14:textId="6E7F6882" w:rsidR="00417520" w:rsidRPr="00AC20E3" w:rsidRDefault="00417520" w:rsidP="00417520">
      <w:pPr>
        <w:pStyle w:val="Myhead3"/>
      </w:pPr>
      <w:bookmarkStart w:id="201" w:name="_Toc149326105"/>
      <w:bookmarkStart w:id="202" w:name="_Toc149326108"/>
      <w:r w:rsidRPr="008F03E5">
        <w:t>Shrine of the Báb</w:t>
      </w:r>
      <w:bookmarkEnd w:id="201"/>
      <w:r w:rsidRPr="00417520">
        <w:rPr>
          <w:b w:val="0"/>
          <w:bCs/>
          <w:i w:val="0"/>
          <w:iCs/>
          <w:sz w:val="12"/>
          <w:szCs w:val="12"/>
        </w:rPr>
        <w:fldChar w:fldCharType="begin"/>
      </w:r>
      <w:r w:rsidRPr="00417520">
        <w:rPr>
          <w:b w:val="0"/>
          <w:bCs/>
          <w:i w:val="0"/>
          <w:iCs/>
          <w:sz w:val="12"/>
          <w:szCs w:val="12"/>
          <w:lang w:val="en-AU"/>
        </w:rPr>
        <w:instrText xml:space="preserve"> TC “</w:instrText>
      </w:r>
      <w:bookmarkStart w:id="203" w:name="_Toc149476411"/>
      <w:bookmarkStart w:id="204" w:name="_Toc167691891"/>
      <w:r w:rsidRPr="00074EB6">
        <w:rPr>
          <w:b w:val="0"/>
          <w:bCs/>
          <w:sz w:val="12"/>
          <w:szCs w:val="12"/>
        </w:rPr>
        <w:instrText>Shrine of the Báb</w:instrText>
      </w:r>
      <w:r w:rsidRPr="00074EB6">
        <w:rPr>
          <w:b w:val="0"/>
          <w:bCs/>
          <w:color w:val="FFFFFF" w:themeColor="background1"/>
          <w:sz w:val="12"/>
          <w:szCs w:val="12"/>
          <w:lang w:val="en-AU"/>
        </w:rPr>
        <w:instrText>..</w:instrText>
      </w:r>
      <w:r w:rsidRPr="00074EB6">
        <w:rPr>
          <w:b w:val="0"/>
          <w:bCs/>
          <w:sz w:val="12"/>
          <w:szCs w:val="12"/>
          <w:lang w:val="en-AU"/>
        </w:rPr>
        <w:tab/>
      </w:r>
      <w:r w:rsidRPr="00417520">
        <w:rPr>
          <w:b w:val="0"/>
          <w:bCs/>
          <w:i w:val="0"/>
          <w:iCs/>
          <w:color w:val="FFFFFF" w:themeColor="background1"/>
          <w:sz w:val="12"/>
          <w:szCs w:val="12"/>
          <w:lang w:val="en-AU"/>
        </w:rPr>
        <w:instrText>.</w:instrText>
      </w:r>
      <w:bookmarkEnd w:id="203"/>
      <w:bookmarkEnd w:id="204"/>
      <w:r w:rsidRPr="00417520">
        <w:rPr>
          <w:b w:val="0"/>
          <w:bCs/>
          <w:i w:val="0"/>
          <w:iCs/>
          <w:sz w:val="12"/>
          <w:szCs w:val="12"/>
          <w:lang w:val="en-AU"/>
        </w:rPr>
        <w:instrText xml:space="preserve">” \l </w:instrText>
      </w:r>
      <w:r>
        <w:rPr>
          <w:b w:val="0"/>
          <w:bCs/>
          <w:i w:val="0"/>
          <w:iCs/>
          <w:sz w:val="12"/>
          <w:szCs w:val="12"/>
          <w:lang w:val="en-AU"/>
        </w:rPr>
        <w:instrText>2</w:instrText>
      </w:r>
      <w:r w:rsidRPr="00417520">
        <w:rPr>
          <w:b w:val="0"/>
          <w:bCs/>
          <w:i w:val="0"/>
          <w:iCs/>
          <w:sz w:val="12"/>
          <w:szCs w:val="1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3402"/>
      </w:tblGrid>
      <w:tr w:rsidR="00417520" w:rsidRPr="008F03E5" w14:paraId="146FCCC4" w14:textId="77777777" w:rsidTr="0081098E">
        <w:tc>
          <w:tcPr>
            <w:tcW w:w="7370" w:type="dxa"/>
          </w:tcPr>
          <w:p w14:paraId="06466B38" w14:textId="368173C1" w:rsidR="00417520" w:rsidRPr="008F03E5" w:rsidRDefault="00417520" w:rsidP="00290FD8">
            <w:pPr>
              <w:pStyle w:val="Text"/>
            </w:pPr>
            <w:r w:rsidRPr="008F03E5">
              <w:t xml:space="preserve">Shoghi Effendi referred to the Shrine of the Báb as the </w:t>
            </w:r>
            <w:r w:rsidRPr="008F03E5">
              <w:rPr>
                <w:rFonts w:eastAsia="PMingLiU"/>
                <w:lang w:eastAsia="zh-TW"/>
              </w:rPr>
              <w:t>‘Ar</w:t>
            </w:r>
            <w:r w:rsidRPr="008F03E5">
              <w:rPr>
                <w:u w:val="single"/>
              </w:rPr>
              <w:t>sh</w:t>
            </w:r>
            <w:r w:rsidRPr="008F03E5">
              <w:t xml:space="preserve"> a</w:t>
            </w:r>
            <w:r>
              <w:t>r</w:t>
            </w:r>
            <w:r w:rsidRPr="008F03E5">
              <w:t>-Rabb (“Throne of the Lord”) and to the Casket of the Báb also as the “Throne”.  He stated “… the Báb is the eighth Manifestation of those religions whose followers still exist.”</w:t>
            </w:r>
            <w:r w:rsidRPr="008F03E5">
              <w:rPr>
                <w:rStyle w:val="FootnoteReference"/>
              </w:rPr>
              <w:footnoteReference w:id="44"/>
            </w:r>
            <w:r w:rsidRPr="008F03E5">
              <w:t xml:space="preserve">  Hence, this is the reason that the number eight is incorporated into many details of the Shrine (e.g. there are eight columns on each of the four sides, there are eight pinnacles, one at each corner of the octagon) and the ornamental flower-beds around the Shrine have eight-pointed star shapes.</w:t>
            </w:r>
          </w:p>
          <w:p w14:paraId="568C0534" w14:textId="726E9837" w:rsidR="00417520" w:rsidRPr="008F03E5" w:rsidRDefault="00417520" w:rsidP="00336709">
            <w:pPr>
              <w:pStyle w:val="Text"/>
            </w:pPr>
            <w:r w:rsidRPr="008F03E5">
              <w:t>“The mosque of Medina has seven minarets, the one of Sulṭán Aḥmad in Constantinople has six, but the Qur’án mentions eight.”</w:t>
            </w:r>
            <w:r w:rsidRPr="008F03E5">
              <w:rPr>
                <w:rStyle w:val="FootnoteReference"/>
              </w:rPr>
              <w:footnoteReference w:id="45"/>
            </w:r>
            <w:r w:rsidRPr="008F03E5">
              <w:t xml:space="preserve">  A Tablet of ‘Abdu’l-Bahá interprets the throne in Qur’án 69:17 as “… the temple or body of the Manifestation of God, and that the Manifestation is symbolized by the number one.  And according to abjad reckoning—the numerical value of the component letters, used everywhere by Persian and Arabic scholars—‘Bahá’’ is eight plus one.  (</w:t>
            </w:r>
            <w:r w:rsidR="00336709">
              <w:t>abjad ‘</w:t>
            </w:r>
            <w:r w:rsidRPr="008F03E5">
              <w:t>B</w:t>
            </w:r>
            <w:r w:rsidR="00336709">
              <w:t>’ = 2</w:t>
            </w:r>
            <w:r w:rsidRPr="008F03E5">
              <w:t>, the short vowel is not written, ‘h’</w:t>
            </w:r>
            <w:r w:rsidR="00336709">
              <w:t xml:space="preserve"> = 5</w:t>
            </w:r>
            <w:r w:rsidRPr="008F03E5">
              <w:t xml:space="preserve">, </w:t>
            </w:r>
            <w:r w:rsidR="00336709">
              <w:t>‘á’ = 1</w:t>
            </w:r>
            <w:r w:rsidRPr="008F03E5">
              <w:t>, and the hamza</w:t>
            </w:r>
            <w:r w:rsidR="00336709">
              <w:t xml:space="preserve"> (</w:t>
            </w:r>
            <w:r w:rsidRPr="008F03E5">
              <w:t>represented by the apostrophe</w:t>
            </w:r>
            <w:r w:rsidR="00336709">
              <w:t>) = 1</w:t>
            </w:r>
            <w:r w:rsidRPr="008F03E5">
              <w:t>)</w:t>
            </w:r>
            <w:r w:rsidR="00336709">
              <w:t>.</w:t>
            </w:r>
            <w:r w:rsidRPr="008F03E5">
              <w:t xml:space="preserve">  The verse thus means:  on that day Bahá will bear up the throne (the body) of thy Lord.</w:t>
            </w:r>
            <w:r w:rsidRPr="008F03E5">
              <w:rPr>
                <w:lang w:eastAsia="en-US"/>
              </w:rPr>
              <w:t xml:space="preserve">  On that day eight will bear up one.</w:t>
            </w:r>
            <w:r w:rsidRPr="008F03E5">
              <w:t>”</w:t>
            </w:r>
            <w:r w:rsidRPr="008F03E5">
              <w:rPr>
                <w:rStyle w:val="FootnoteReference"/>
              </w:rPr>
              <w:footnoteReference w:id="46"/>
            </w:r>
            <w:r w:rsidRPr="008F03E5">
              <w:t xml:space="preserve">  “… the station of magnification and gatehood … ‘carries the throne of God,’ that is, the Báb or the Point of glorification.”</w:t>
            </w:r>
            <w:r w:rsidRPr="008F03E5">
              <w:rPr>
                <w:rStyle w:val="FootnoteReference"/>
              </w:rPr>
              <w:footnoteReference w:id="47"/>
            </w:r>
          </w:p>
        </w:tc>
        <w:tc>
          <w:tcPr>
            <w:tcW w:w="3402" w:type="dxa"/>
          </w:tcPr>
          <w:p w14:paraId="54B08F21" w14:textId="77777777" w:rsidR="00417520" w:rsidRPr="008F03E5" w:rsidRDefault="00417520" w:rsidP="0005057B">
            <w:pPr>
              <w:jc w:val="center"/>
            </w:pPr>
            <w:r w:rsidRPr="008F03E5">
              <w:rPr>
                <w:noProof/>
                <w:lang w:val="en-AU" w:eastAsia="en-AU"/>
                <w14:numForm w14:val="default"/>
                <w14:numSpacing w14:val="default"/>
              </w:rPr>
              <w:drawing>
                <wp:inline distT="0" distB="0" distL="0" distR="0" wp14:anchorId="58A0C1C0" wp14:editId="07FE98AF">
                  <wp:extent cx="1957387" cy="222977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s alignment.emf"/>
                          <pic:cNvPicPr/>
                        </pic:nvPicPr>
                        <pic:blipFill>
                          <a:blip r:embed="rId13">
                            <a:extLst>
                              <a:ext uri="{28A0092B-C50C-407E-A947-70E740481C1C}">
                                <a14:useLocalDpi xmlns:a14="http://schemas.microsoft.com/office/drawing/2010/main" val="0"/>
                              </a:ext>
                            </a:extLst>
                          </a:blip>
                          <a:stretch>
                            <a:fillRect/>
                          </a:stretch>
                        </pic:blipFill>
                        <pic:spPr>
                          <a:xfrm>
                            <a:off x="0" y="0"/>
                            <a:ext cx="1961210" cy="2234132"/>
                          </a:xfrm>
                          <a:prstGeom prst="rect">
                            <a:avLst/>
                          </a:prstGeom>
                        </pic:spPr>
                      </pic:pic>
                    </a:graphicData>
                  </a:graphic>
                </wp:inline>
              </w:drawing>
            </w:r>
          </w:p>
        </w:tc>
      </w:tr>
    </w:tbl>
    <w:p w14:paraId="200F44A3" w14:textId="28D92443" w:rsidR="00417520" w:rsidRPr="008F03E5" w:rsidRDefault="00417520" w:rsidP="004649BE">
      <w:pPr>
        <w:pStyle w:val="MyHead4"/>
        <w:keepNext/>
        <w:spacing w:after="120"/>
      </w:pPr>
      <w:bookmarkStart w:id="205" w:name="_Hlk62455038"/>
      <w:r w:rsidRPr="008F03E5">
        <w:t>Doors and rooms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2534"/>
        <w:gridCol w:w="3345"/>
      </w:tblGrid>
      <w:tr w:rsidR="00417520" w:rsidRPr="008F03E5" w14:paraId="05DCB7EB" w14:textId="77777777" w:rsidTr="0005057B">
        <w:trPr>
          <w:jc w:val="center"/>
        </w:trPr>
        <w:tc>
          <w:tcPr>
            <w:tcW w:w="2508" w:type="dxa"/>
          </w:tcPr>
          <w:bookmarkEnd w:id="205"/>
          <w:p w14:paraId="04C8D4FF" w14:textId="77777777" w:rsidR="00417520" w:rsidRPr="008F03E5" w:rsidRDefault="00417520" w:rsidP="0005057B">
            <w:pPr>
              <w:spacing w:before="120"/>
              <w:jc w:val="center"/>
            </w:pPr>
            <w:r w:rsidRPr="008F03E5">
              <w:rPr>
                <w:noProof/>
                <w:lang w:val="en-AU" w:eastAsia="en-AU"/>
                <w14:numForm w14:val="default"/>
                <w14:numSpacing w14:val="default"/>
              </w:rPr>
              <w:drawing>
                <wp:inline distT="0" distB="0" distL="0" distR="0" wp14:anchorId="69F2A5A3" wp14:editId="1CC95A73">
                  <wp:extent cx="1431102" cy="13322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1446554" cy="1346611"/>
                          </a:xfrm>
                          <a:prstGeom prst="rect">
                            <a:avLst/>
                          </a:prstGeom>
                        </pic:spPr>
                      </pic:pic>
                    </a:graphicData>
                  </a:graphic>
                </wp:inline>
              </w:drawing>
            </w:r>
          </w:p>
        </w:tc>
        <w:tc>
          <w:tcPr>
            <w:tcW w:w="2534" w:type="dxa"/>
          </w:tcPr>
          <w:p w14:paraId="279FDB75" w14:textId="77777777" w:rsidR="00417520" w:rsidRPr="0081098E" w:rsidRDefault="00417520" w:rsidP="0005057B">
            <w:pPr>
              <w:rPr>
                <w:b/>
                <w:bCs/>
                <w:i/>
                <w:iCs/>
                <w:sz w:val="18"/>
                <w:szCs w:val="18"/>
              </w:rPr>
            </w:pPr>
            <w:r w:rsidRPr="0081098E">
              <w:rPr>
                <w:b/>
                <w:bCs/>
                <w:i/>
                <w:iCs/>
                <w:sz w:val="18"/>
                <w:szCs w:val="18"/>
              </w:rPr>
              <w:t>Rooms above tombs</w:t>
            </w:r>
          </w:p>
          <w:p w14:paraId="3AB2E069" w14:textId="77777777" w:rsidR="00417520" w:rsidRPr="008F03E5" w:rsidRDefault="00417520" w:rsidP="0005057B">
            <w:pPr>
              <w:rPr>
                <w:sz w:val="18"/>
                <w:szCs w:val="18"/>
              </w:rPr>
            </w:pPr>
            <w:r w:rsidRPr="008F03E5">
              <w:rPr>
                <w:sz w:val="18"/>
                <w:szCs w:val="18"/>
              </w:rPr>
              <w:t>9.</w:t>
            </w:r>
            <w:r w:rsidRPr="008F03E5">
              <w:rPr>
                <w:sz w:val="18"/>
                <w:szCs w:val="18"/>
              </w:rPr>
              <w:tab/>
              <w:t>The Báb</w:t>
            </w:r>
          </w:p>
          <w:p w14:paraId="7B57EBDD" w14:textId="77777777" w:rsidR="00417520" w:rsidRPr="008F03E5" w:rsidRDefault="00417520" w:rsidP="0005057B">
            <w:pPr>
              <w:rPr>
                <w:sz w:val="18"/>
                <w:szCs w:val="18"/>
              </w:rPr>
            </w:pPr>
            <w:r w:rsidRPr="008F03E5">
              <w:rPr>
                <w:sz w:val="18"/>
                <w:szCs w:val="18"/>
              </w:rPr>
              <w:t>8.</w:t>
            </w:r>
            <w:r w:rsidRPr="008F03E5">
              <w:rPr>
                <w:sz w:val="18"/>
                <w:szCs w:val="18"/>
              </w:rPr>
              <w:tab/>
              <w:t>‘Abdu’l-Bahá</w:t>
            </w:r>
          </w:p>
          <w:p w14:paraId="770087AD" w14:textId="77777777" w:rsidR="00417520" w:rsidRPr="0081098E" w:rsidRDefault="00417520" w:rsidP="0005057B">
            <w:pPr>
              <w:spacing w:before="120"/>
              <w:rPr>
                <w:b/>
                <w:bCs/>
                <w:i/>
                <w:iCs/>
                <w:sz w:val="18"/>
                <w:szCs w:val="18"/>
              </w:rPr>
            </w:pPr>
            <w:r w:rsidRPr="0081098E">
              <w:rPr>
                <w:b/>
                <w:bCs/>
                <w:i/>
                <w:iCs/>
                <w:sz w:val="18"/>
                <w:szCs w:val="18"/>
              </w:rPr>
              <w:t>First story octagon door</w:t>
            </w:r>
          </w:p>
          <w:p w14:paraId="6A61E491" w14:textId="77777777" w:rsidR="00417520" w:rsidRPr="008F03E5" w:rsidRDefault="00417520" w:rsidP="0005057B">
            <w:pPr>
              <w:rPr>
                <w:sz w:val="18"/>
                <w:szCs w:val="18"/>
              </w:rPr>
            </w:pPr>
            <w:r w:rsidRPr="008F03E5">
              <w:rPr>
                <w:sz w:val="18"/>
                <w:szCs w:val="18"/>
              </w:rPr>
              <w:t>Named by Shoghi Effendi</w:t>
            </w:r>
          </w:p>
          <w:p w14:paraId="488A7E18" w14:textId="77777777" w:rsidR="00417520" w:rsidRPr="008F03E5" w:rsidRDefault="00417520" w:rsidP="0005057B">
            <w:pPr>
              <w:rPr>
                <w:sz w:val="18"/>
                <w:szCs w:val="18"/>
              </w:rPr>
            </w:pPr>
            <w:r w:rsidRPr="008F03E5">
              <w:rPr>
                <w:sz w:val="18"/>
                <w:szCs w:val="18"/>
              </w:rPr>
              <w:tab/>
              <w:t>Báb-i-Ioas (on SW side)</w:t>
            </w:r>
          </w:p>
          <w:p w14:paraId="04143C62" w14:textId="77777777" w:rsidR="00417520" w:rsidRPr="008F03E5" w:rsidRDefault="00417520" w:rsidP="0005057B">
            <w:pPr>
              <w:rPr>
                <w:sz w:val="18"/>
                <w:szCs w:val="18"/>
              </w:rPr>
            </w:pPr>
          </w:p>
          <w:p w14:paraId="175D3107" w14:textId="77777777" w:rsidR="00417520" w:rsidRPr="008F03E5" w:rsidRDefault="00417520" w:rsidP="0005057B">
            <w:pPr>
              <w:rPr>
                <w:sz w:val="18"/>
                <w:szCs w:val="18"/>
              </w:rPr>
            </w:pPr>
          </w:p>
          <w:p w14:paraId="6D2EA093" w14:textId="77777777" w:rsidR="00417520" w:rsidRPr="008F03E5" w:rsidRDefault="00417520" w:rsidP="0005057B">
            <w:bookmarkStart w:id="206" w:name="_Hlk62453354"/>
            <w:r w:rsidRPr="008F03E5">
              <w:rPr>
                <w:sz w:val="18"/>
                <w:szCs w:val="18"/>
              </w:rPr>
              <w:t>(The Shrine of the Báb</w:t>
            </w:r>
            <w:r w:rsidRPr="008F03E5">
              <w:rPr>
                <w:sz w:val="18"/>
                <w:szCs w:val="18"/>
              </w:rPr>
              <w:br/>
              <w:t>faces 26.5° east of north)</w:t>
            </w:r>
            <w:bookmarkEnd w:id="206"/>
          </w:p>
        </w:tc>
        <w:tc>
          <w:tcPr>
            <w:tcW w:w="3345" w:type="dxa"/>
          </w:tcPr>
          <w:p w14:paraId="30D308BC" w14:textId="77777777" w:rsidR="00417520" w:rsidRPr="0081098E" w:rsidRDefault="00417520" w:rsidP="0005057B">
            <w:pPr>
              <w:rPr>
                <w:b/>
                <w:bCs/>
                <w:i/>
                <w:iCs/>
                <w:sz w:val="18"/>
                <w:szCs w:val="18"/>
              </w:rPr>
            </w:pPr>
            <w:r w:rsidRPr="0081098E">
              <w:rPr>
                <w:b/>
                <w:bCs/>
                <w:i/>
                <w:iCs/>
                <w:sz w:val="18"/>
                <w:szCs w:val="18"/>
              </w:rPr>
              <w:t>Ground floor colonnade doors</w:t>
            </w:r>
          </w:p>
          <w:p w14:paraId="2B02EC57" w14:textId="77777777" w:rsidR="00417520" w:rsidRPr="008F03E5" w:rsidRDefault="00417520" w:rsidP="0005057B">
            <w:pPr>
              <w:rPr>
                <w:sz w:val="18"/>
                <w:szCs w:val="18"/>
              </w:rPr>
            </w:pPr>
            <w:r w:rsidRPr="008F03E5">
              <w:rPr>
                <w:sz w:val="18"/>
                <w:szCs w:val="18"/>
              </w:rPr>
              <w:t>a)</w:t>
            </w:r>
            <w:r w:rsidRPr="008F03E5">
              <w:rPr>
                <w:sz w:val="18"/>
                <w:szCs w:val="18"/>
              </w:rPr>
              <w:tab/>
              <w:t>Named by ‘Abdu’l-Bahá</w:t>
            </w:r>
          </w:p>
          <w:p w14:paraId="2A31897E" w14:textId="77777777" w:rsidR="00417520" w:rsidRPr="008F03E5" w:rsidRDefault="00417520" w:rsidP="0005057B">
            <w:pPr>
              <w:rPr>
                <w:sz w:val="18"/>
                <w:szCs w:val="18"/>
                <w14:numSpacing w14:val="tabular"/>
              </w:rPr>
            </w:pPr>
            <w:r w:rsidRPr="008F03E5">
              <w:rPr>
                <w:sz w:val="18"/>
                <w:szCs w:val="18"/>
              </w:rPr>
              <w:tab/>
            </w:r>
            <w:r w:rsidRPr="008F03E5">
              <w:rPr>
                <w:sz w:val="18"/>
                <w:szCs w:val="18"/>
                <w14:numSpacing w14:val="tabular"/>
              </w:rPr>
              <w:t>1.  Báb-i-Amín</w:t>
            </w:r>
          </w:p>
          <w:p w14:paraId="49746FFA" w14:textId="77777777" w:rsidR="00417520" w:rsidRPr="008F03E5" w:rsidRDefault="00417520" w:rsidP="0005057B">
            <w:pPr>
              <w:rPr>
                <w:sz w:val="18"/>
                <w:szCs w:val="18"/>
                <w14:numSpacing w14:val="tabular"/>
              </w:rPr>
            </w:pPr>
            <w:r w:rsidRPr="008F03E5">
              <w:rPr>
                <w:sz w:val="18"/>
                <w:szCs w:val="18"/>
                <w14:numSpacing w14:val="tabular"/>
              </w:rPr>
              <w:tab/>
              <w:t>2.  Báb-i-Faḍl</w:t>
            </w:r>
          </w:p>
          <w:p w14:paraId="12F8B56C" w14:textId="77777777" w:rsidR="00417520" w:rsidRPr="008F03E5" w:rsidRDefault="00417520" w:rsidP="0005057B">
            <w:pPr>
              <w:rPr>
                <w:sz w:val="18"/>
                <w:szCs w:val="18"/>
                <w14:numSpacing w14:val="tabular"/>
              </w:rPr>
            </w:pPr>
            <w:r w:rsidRPr="008F03E5">
              <w:rPr>
                <w:sz w:val="18"/>
                <w:szCs w:val="18"/>
                <w14:numSpacing w14:val="tabular"/>
              </w:rPr>
              <w:tab/>
              <w:t>3.  Báb-i-A</w:t>
            </w:r>
            <w:r w:rsidRPr="008F03E5">
              <w:rPr>
                <w:sz w:val="18"/>
                <w:szCs w:val="18"/>
                <w:u w:val="single"/>
                <w14:numSpacing w14:val="tabular"/>
              </w:rPr>
              <w:t>sh</w:t>
            </w:r>
            <w:r w:rsidRPr="008F03E5">
              <w:rPr>
                <w:sz w:val="18"/>
                <w:szCs w:val="18"/>
                <w14:numSpacing w14:val="tabular"/>
              </w:rPr>
              <w:t>raf</w:t>
            </w:r>
          </w:p>
          <w:p w14:paraId="6A549D6A" w14:textId="77777777" w:rsidR="00417520" w:rsidRPr="008F03E5" w:rsidRDefault="00417520" w:rsidP="0005057B">
            <w:pPr>
              <w:rPr>
                <w:sz w:val="18"/>
                <w:szCs w:val="18"/>
                <w14:numSpacing w14:val="tabular"/>
              </w:rPr>
            </w:pPr>
            <w:r w:rsidRPr="008F03E5">
              <w:rPr>
                <w:sz w:val="18"/>
                <w:szCs w:val="18"/>
                <w14:numSpacing w14:val="tabular"/>
              </w:rPr>
              <w:tab/>
              <w:t>4.  Báb-i-Karím</w:t>
            </w:r>
          </w:p>
          <w:p w14:paraId="4B27D9A7" w14:textId="77777777" w:rsidR="00417520" w:rsidRPr="008F03E5" w:rsidRDefault="00417520" w:rsidP="0005057B">
            <w:pPr>
              <w:rPr>
                <w:sz w:val="18"/>
                <w:szCs w:val="18"/>
                <w14:numSpacing w14:val="tabular"/>
              </w:rPr>
            </w:pPr>
            <w:r w:rsidRPr="008F03E5">
              <w:rPr>
                <w:sz w:val="18"/>
                <w:szCs w:val="18"/>
                <w14:numSpacing w14:val="tabular"/>
              </w:rPr>
              <w:tab/>
              <w:t>5.  Báb-i-Bálá</w:t>
            </w:r>
          </w:p>
          <w:p w14:paraId="52D5B5F5" w14:textId="77777777" w:rsidR="00417520" w:rsidRPr="008F03E5" w:rsidRDefault="00417520" w:rsidP="0005057B">
            <w:pPr>
              <w:rPr>
                <w:sz w:val="18"/>
                <w:szCs w:val="18"/>
                <w14:numSpacing w14:val="tabular"/>
              </w:rPr>
            </w:pPr>
            <w:r w:rsidRPr="008F03E5">
              <w:rPr>
                <w:sz w:val="18"/>
                <w:szCs w:val="18"/>
                <w14:numSpacing w14:val="tabular"/>
              </w:rPr>
              <w:t>b)</w:t>
            </w:r>
            <w:r w:rsidRPr="008F03E5">
              <w:rPr>
                <w:sz w:val="18"/>
                <w:szCs w:val="18"/>
                <w14:numSpacing w14:val="tabular"/>
              </w:rPr>
              <w:tab/>
              <w:t>Added &amp; named by Shoghi Effendi</w:t>
            </w:r>
          </w:p>
          <w:p w14:paraId="6BB24D1F" w14:textId="77777777" w:rsidR="00417520" w:rsidRPr="008F03E5" w:rsidRDefault="00417520" w:rsidP="0005057B">
            <w:pPr>
              <w:rPr>
                <w:sz w:val="18"/>
                <w:szCs w:val="18"/>
                <w14:numSpacing w14:val="tabular"/>
              </w:rPr>
            </w:pPr>
            <w:r w:rsidRPr="008F03E5">
              <w:rPr>
                <w:sz w:val="18"/>
                <w:szCs w:val="18"/>
                <w14:numSpacing w14:val="tabular"/>
              </w:rPr>
              <w:tab/>
              <w:t>6.  Báb-i-Qaṣṣáb</w:t>
            </w:r>
            <w:r w:rsidRPr="008F03E5">
              <w:rPr>
                <w:sz w:val="18"/>
                <w:szCs w:val="18"/>
                <w:u w:val="single"/>
                <w14:numSpacing w14:val="tabular"/>
              </w:rPr>
              <w:t>ch</w:t>
            </w:r>
            <w:r w:rsidRPr="008F03E5">
              <w:rPr>
                <w:sz w:val="18"/>
                <w:szCs w:val="18"/>
                <w14:numSpacing w14:val="tabular"/>
              </w:rPr>
              <w:t>í</w:t>
            </w:r>
          </w:p>
          <w:p w14:paraId="3245854A" w14:textId="77777777" w:rsidR="00417520" w:rsidRPr="008F03E5" w:rsidRDefault="00417520" w:rsidP="0005057B">
            <w:pPr>
              <w:rPr>
                <w:sz w:val="18"/>
                <w:szCs w:val="18"/>
                <w14:numSpacing w14:val="tabular"/>
              </w:rPr>
            </w:pPr>
            <w:r w:rsidRPr="008F03E5">
              <w:rPr>
                <w:sz w:val="18"/>
                <w:szCs w:val="18"/>
                <w14:numSpacing w14:val="tabular"/>
              </w:rPr>
              <w:tab/>
              <w:t>7.  Báb-i-Maxwell</w:t>
            </w:r>
          </w:p>
          <w:p w14:paraId="3017386F" w14:textId="77777777" w:rsidR="00417520" w:rsidRPr="008F03E5" w:rsidRDefault="00417520" w:rsidP="0005057B">
            <w:pPr>
              <w:rPr>
                <w:b/>
                <w:bCs/>
              </w:rPr>
            </w:pPr>
            <w:r w:rsidRPr="008F03E5">
              <w:rPr>
                <w:sz w:val="18"/>
                <w:szCs w:val="18"/>
                <w14:numSpacing w14:val="tabular"/>
              </w:rPr>
              <w:tab/>
              <w:t>8</w:t>
            </w:r>
            <w:r w:rsidRPr="008F03E5">
              <w:rPr>
                <w:sz w:val="18"/>
                <w:szCs w:val="18"/>
              </w:rPr>
              <w:t>.  Báb-i-Giachery</w:t>
            </w:r>
          </w:p>
        </w:tc>
      </w:tr>
    </w:tbl>
    <w:p w14:paraId="7F8871AF" w14:textId="1683F435" w:rsidR="00417520" w:rsidRPr="008F03E5" w:rsidRDefault="00417520" w:rsidP="004649BE">
      <w:pPr>
        <w:pStyle w:val="MyHead4"/>
        <w:keepNext/>
        <w:spacing w:after="120"/>
        <w:rPr>
          <w:lang w:val="en-GB"/>
        </w:rPr>
      </w:pPr>
      <w:r w:rsidRPr="008F03E5">
        <w:rPr>
          <w:lang w:val="en-GB"/>
        </w:rPr>
        <w:t>Names of those honoured</w:t>
      </w:r>
    </w:p>
    <w:tbl>
      <w:tblPr>
        <w:tblStyle w:val="TableGrid"/>
        <w:tblW w:w="0" w:type="auto"/>
        <w:jc w:val="center"/>
        <w:tblLook w:val="04A0" w:firstRow="1" w:lastRow="0" w:firstColumn="1" w:lastColumn="0" w:noHBand="0" w:noVBand="1"/>
      </w:tblPr>
      <w:tblGrid>
        <w:gridCol w:w="392"/>
        <w:gridCol w:w="4535"/>
        <w:gridCol w:w="708"/>
        <w:gridCol w:w="3061"/>
      </w:tblGrid>
      <w:tr w:rsidR="00417520" w:rsidRPr="008F03E5" w14:paraId="1B08E61F" w14:textId="77777777" w:rsidTr="0005057B">
        <w:trPr>
          <w:jc w:val="center"/>
        </w:trPr>
        <w:tc>
          <w:tcPr>
            <w:tcW w:w="392" w:type="dxa"/>
            <w:tcBorders>
              <w:top w:val="single" w:sz="6" w:space="0" w:color="auto"/>
              <w:left w:val="single" w:sz="6" w:space="0" w:color="auto"/>
              <w:bottom w:val="single" w:sz="4" w:space="0" w:color="auto"/>
              <w:right w:val="single" w:sz="4" w:space="0" w:color="auto"/>
            </w:tcBorders>
          </w:tcPr>
          <w:p w14:paraId="307E3312" w14:textId="77777777" w:rsidR="00417520" w:rsidRPr="008F03E5" w:rsidRDefault="00417520" w:rsidP="0005057B">
            <w:pPr>
              <w:tabs>
                <w:tab w:val="decimal" w:pos="172"/>
              </w:tabs>
              <w:spacing w:before="120"/>
              <w:rPr>
                <w:sz w:val="18"/>
                <w:szCs w:val="18"/>
                <w14:numSpacing w14:val="tabular"/>
              </w:rPr>
            </w:pPr>
            <w:r w:rsidRPr="008F03E5">
              <w:rPr>
                <w:sz w:val="18"/>
                <w:szCs w:val="18"/>
                <w14:numSpacing w14:val="tabular"/>
              </w:rPr>
              <w:t>1</w:t>
            </w:r>
          </w:p>
        </w:tc>
        <w:tc>
          <w:tcPr>
            <w:tcW w:w="4535" w:type="dxa"/>
            <w:tcBorders>
              <w:top w:val="single" w:sz="6" w:space="0" w:color="auto"/>
              <w:left w:val="single" w:sz="4" w:space="0" w:color="auto"/>
              <w:bottom w:val="single" w:sz="4" w:space="0" w:color="auto"/>
              <w:right w:val="single" w:sz="6" w:space="0" w:color="auto"/>
            </w:tcBorders>
          </w:tcPr>
          <w:p w14:paraId="747A13FA" w14:textId="77777777" w:rsidR="00417520" w:rsidRPr="008F03E5" w:rsidRDefault="00417520" w:rsidP="0005057B">
            <w:pPr>
              <w:spacing w:before="120"/>
              <w:rPr>
                <w:sz w:val="18"/>
                <w:szCs w:val="18"/>
                <w14:numSpacing w14:val="tabular"/>
              </w:rPr>
            </w:pPr>
            <w:r w:rsidRPr="008F03E5">
              <w:rPr>
                <w:sz w:val="18"/>
                <w:szCs w:val="18"/>
                <w14:numSpacing w14:val="tabular"/>
              </w:rPr>
              <w:t xml:space="preserve">Ḥájí Adu’l-Ḥasan-i-Ardakání (known as Ḥájí </w:t>
            </w:r>
            <w:r w:rsidRPr="008F03E5">
              <w:rPr>
                <w:sz w:val="18"/>
                <w:szCs w:val="18"/>
              </w:rPr>
              <w:t>Amín</w:t>
            </w:r>
            <w:r w:rsidRPr="008F03E5">
              <w:rPr>
                <w:sz w:val="18"/>
                <w:szCs w:val="18"/>
                <w14:numSpacing w14:val="tabular"/>
              </w:rPr>
              <w:t>), Irán</w:t>
            </w:r>
          </w:p>
        </w:tc>
        <w:tc>
          <w:tcPr>
            <w:tcW w:w="708" w:type="dxa"/>
            <w:tcBorders>
              <w:top w:val="single" w:sz="6" w:space="0" w:color="auto"/>
              <w:left w:val="single" w:sz="6" w:space="0" w:color="auto"/>
              <w:bottom w:val="single" w:sz="4" w:space="0" w:color="auto"/>
              <w:right w:val="single" w:sz="4" w:space="0" w:color="auto"/>
            </w:tcBorders>
          </w:tcPr>
          <w:p w14:paraId="0A5D40E1" w14:textId="77777777" w:rsidR="00417520" w:rsidRPr="008F03E5" w:rsidRDefault="00417520" w:rsidP="0005057B">
            <w:pPr>
              <w:tabs>
                <w:tab w:val="decimal" w:pos="316"/>
              </w:tabs>
              <w:spacing w:before="120"/>
              <w:rPr>
                <w:sz w:val="18"/>
                <w:szCs w:val="18"/>
                <w14:numSpacing w14:val="tabular"/>
              </w:rPr>
            </w:pPr>
            <w:r w:rsidRPr="008F03E5">
              <w:rPr>
                <w:sz w:val="18"/>
                <w:szCs w:val="18"/>
                <w14:numSpacing w14:val="tabular"/>
              </w:rPr>
              <w:t>6</w:t>
            </w:r>
          </w:p>
        </w:tc>
        <w:tc>
          <w:tcPr>
            <w:tcW w:w="3061" w:type="dxa"/>
            <w:tcBorders>
              <w:top w:val="single" w:sz="6" w:space="0" w:color="auto"/>
              <w:left w:val="single" w:sz="4" w:space="0" w:color="auto"/>
              <w:bottom w:val="single" w:sz="4" w:space="0" w:color="auto"/>
              <w:right w:val="single" w:sz="6" w:space="0" w:color="auto"/>
            </w:tcBorders>
          </w:tcPr>
          <w:p w14:paraId="368EB029" w14:textId="77777777" w:rsidR="00417520" w:rsidRPr="008F03E5" w:rsidRDefault="00417520" w:rsidP="0005057B">
            <w:pPr>
              <w:spacing w:before="120"/>
              <w:rPr>
                <w:sz w:val="18"/>
                <w:szCs w:val="18"/>
                <w14:numSpacing w14:val="tabular"/>
              </w:rPr>
            </w:pPr>
            <w:r w:rsidRPr="008F03E5">
              <w:rPr>
                <w:sz w:val="18"/>
                <w:szCs w:val="18"/>
                <w14:numSpacing w14:val="tabular"/>
              </w:rPr>
              <w:t xml:space="preserve">Ḥájí Maḥmúd </w:t>
            </w:r>
            <w:r w:rsidRPr="008F03E5">
              <w:rPr>
                <w:sz w:val="18"/>
                <w:szCs w:val="18"/>
              </w:rPr>
              <w:t>Qaṣṣáb</w:t>
            </w:r>
            <w:r w:rsidRPr="008F03E5">
              <w:rPr>
                <w:sz w:val="18"/>
                <w:szCs w:val="18"/>
                <w:u w:val="single"/>
              </w:rPr>
              <w:t>ch</w:t>
            </w:r>
            <w:r w:rsidRPr="008F03E5">
              <w:rPr>
                <w:sz w:val="18"/>
                <w:szCs w:val="18"/>
              </w:rPr>
              <w:t>í</w:t>
            </w:r>
            <w:r w:rsidRPr="008F03E5">
              <w:rPr>
                <w:sz w:val="18"/>
                <w:szCs w:val="18"/>
                <w14:numSpacing w14:val="tabular"/>
              </w:rPr>
              <w:t xml:space="preserve"> of ‘Iráq</w:t>
            </w:r>
          </w:p>
        </w:tc>
      </w:tr>
      <w:tr w:rsidR="00417520" w:rsidRPr="008F03E5" w14:paraId="6DCAFACF" w14:textId="77777777" w:rsidTr="0005057B">
        <w:trPr>
          <w:jc w:val="center"/>
        </w:trPr>
        <w:tc>
          <w:tcPr>
            <w:tcW w:w="392" w:type="dxa"/>
            <w:tcBorders>
              <w:top w:val="single" w:sz="4" w:space="0" w:color="auto"/>
              <w:left w:val="single" w:sz="6" w:space="0" w:color="auto"/>
              <w:bottom w:val="single" w:sz="4" w:space="0" w:color="auto"/>
              <w:right w:val="single" w:sz="4" w:space="0" w:color="auto"/>
            </w:tcBorders>
          </w:tcPr>
          <w:p w14:paraId="3F70E2D7" w14:textId="77777777" w:rsidR="00417520" w:rsidRPr="008F03E5" w:rsidRDefault="00417520" w:rsidP="0005057B">
            <w:pPr>
              <w:tabs>
                <w:tab w:val="decimal" w:pos="172"/>
              </w:tabs>
              <w:rPr>
                <w:sz w:val="18"/>
                <w:szCs w:val="18"/>
                <w14:numSpacing w14:val="tabular"/>
              </w:rPr>
            </w:pPr>
            <w:r w:rsidRPr="008F03E5">
              <w:rPr>
                <w:sz w:val="18"/>
                <w:szCs w:val="18"/>
                <w14:numSpacing w14:val="tabular"/>
              </w:rPr>
              <w:t>2</w:t>
            </w:r>
          </w:p>
        </w:tc>
        <w:tc>
          <w:tcPr>
            <w:tcW w:w="4535" w:type="dxa"/>
            <w:tcBorders>
              <w:top w:val="single" w:sz="4" w:space="0" w:color="auto"/>
              <w:left w:val="single" w:sz="4" w:space="0" w:color="auto"/>
              <w:bottom w:val="single" w:sz="4" w:space="0" w:color="auto"/>
              <w:right w:val="single" w:sz="6" w:space="0" w:color="auto"/>
            </w:tcBorders>
          </w:tcPr>
          <w:p w14:paraId="68BB390E" w14:textId="77777777" w:rsidR="00417520" w:rsidRPr="008F03E5" w:rsidRDefault="00417520" w:rsidP="0005057B">
            <w:pPr>
              <w:rPr>
                <w:sz w:val="18"/>
                <w:szCs w:val="18"/>
                <w14:numSpacing w14:val="tabular"/>
              </w:rPr>
            </w:pPr>
            <w:r w:rsidRPr="008F03E5">
              <w:rPr>
                <w:sz w:val="18"/>
                <w:szCs w:val="18"/>
                <w14:numSpacing w14:val="tabular"/>
              </w:rPr>
              <w:t>Mírzá Abu’l-</w:t>
            </w:r>
            <w:r w:rsidRPr="008F03E5">
              <w:rPr>
                <w:sz w:val="18"/>
                <w:szCs w:val="18"/>
              </w:rPr>
              <w:t>Faḍl</w:t>
            </w:r>
            <w:r w:rsidRPr="008F03E5">
              <w:rPr>
                <w:sz w:val="18"/>
                <w:szCs w:val="18"/>
                <w14:numSpacing w14:val="tabular"/>
              </w:rPr>
              <w:t xml:space="preserve"> of Gulpáygán, Irán</w:t>
            </w:r>
          </w:p>
        </w:tc>
        <w:tc>
          <w:tcPr>
            <w:tcW w:w="708" w:type="dxa"/>
            <w:tcBorders>
              <w:top w:val="single" w:sz="4" w:space="0" w:color="auto"/>
              <w:left w:val="single" w:sz="6" w:space="0" w:color="auto"/>
              <w:bottom w:val="single" w:sz="4" w:space="0" w:color="auto"/>
              <w:right w:val="single" w:sz="4" w:space="0" w:color="auto"/>
            </w:tcBorders>
          </w:tcPr>
          <w:p w14:paraId="7188BDF4" w14:textId="77777777" w:rsidR="00417520" w:rsidRPr="008F03E5" w:rsidRDefault="00417520" w:rsidP="0005057B">
            <w:pPr>
              <w:tabs>
                <w:tab w:val="decimal" w:pos="316"/>
              </w:tabs>
              <w:rPr>
                <w:sz w:val="18"/>
                <w:szCs w:val="18"/>
                <w14:numSpacing w14:val="tabular"/>
              </w:rPr>
            </w:pPr>
            <w:r w:rsidRPr="008F03E5">
              <w:rPr>
                <w:sz w:val="18"/>
                <w:szCs w:val="18"/>
                <w14:numSpacing w14:val="tabular"/>
              </w:rPr>
              <w:t>7</w:t>
            </w:r>
          </w:p>
        </w:tc>
        <w:tc>
          <w:tcPr>
            <w:tcW w:w="3061" w:type="dxa"/>
            <w:tcBorders>
              <w:top w:val="single" w:sz="4" w:space="0" w:color="auto"/>
              <w:left w:val="single" w:sz="4" w:space="0" w:color="auto"/>
              <w:bottom w:val="single" w:sz="4" w:space="0" w:color="auto"/>
              <w:right w:val="single" w:sz="6" w:space="0" w:color="auto"/>
            </w:tcBorders>
          </w:tcPr>
          <w:p w14:paraId="25EC1AC0" w14:textId="77777777" w:rsidR="00417520" w:rsidRPr="008F03E5" w:rsidRDefault="00417520" w:rsidP="0005057B">
            <w:pPr>
              <w:rPr>
                <w:sz w:val="18"/>
                <w:szCs w:val="18"/>
                <w14:numSpacing w14:val="tabular"/>
              </w:rPr>
            </w:pPr>
            <w:r w:rsidRPr="008F03E5">
              <w:rPr>
                <w:sz w:val="18"/>
                <w:szCs w:val="18"/>
                <w14:numSpacing w14:val="tabular"/>
              </w:rPr>
              <w:t xml:space="preserve">William Sutherland </w:t>
            </w:r>
            <w:r w:rsidRPr="008F03E5">
              <w:rPr>
                <w:sz w:val="18"/>
                <w:szCs w:val="18"/>
              </w:rPr>
              <w:t>Maxwell</w:t>
            </w:r>
            <w:r w:rsidRPr="008F03E5">
              <w:rPr>
                <w:sz w:val="18"/>
                <w:szCs w:val="18"/>
                <w14:numSpacing w14:val="tabular"/>
              </w:rPr>
              <w:t>, Canada</w:t>
            </w:r>
          </w:p>
        </w:tc>
      </w:tr>
      <w:tr w:rsidR="00417520" w:rsidRPr="008F03E5" w14:paraId="7578AE3D" w14:textId="77777777" w:rsidTr="0005057B">
        <w:trPr>
          <w:jc w:val="center"/>
        </w:trPr>
        <w:tc>
          <w:tcPr>
            <w:tcW w:w="392" w:type="dxa"/>
            <w:tcBorders>
              <w:top w:val="single" w:sz="4" w:space="0" w:color="auto"/>
              <w:left w:val="single" w:sz="6" w:space="0" w:color="auto"/>
              <w:bottom w:val="single" w:sz="4" w:space="0" w:color="auto"/>
              <w:right w:val="single" w:sz="4" w:space="0" w:color="auto"/>
            </w:tcBorders>
          </w:tcPr>
          <w:p w14:paraId="1F04C6D8" w14:textId="77777777" w:rsidR="00417520" w:rsidRPr="008F03E5" w:rsidRDefault="00417520" w:rsidP="0005057B">
            <w:pPr>
              <w:tabs>
                <w:tab w:val="decimal" w:pos="172"/>
              </w:tabs>
              <w:rPr>
                <w:sz w:val="18"/>
                <w:szCs w:val="18"/>
                <w14:numSpacing w14:val="tabular"/>
              </w:rPr>
            </w:pPr>
            <w:r w:rsidRPr="008F03E5">
              <w:rPr>
                <w:sz w:val="18"/>
                <w:szCs w:val="18"/>
                <w14:numSpacing w14:val="tabular"/>
              </w:rPr>
              <w:t>3</w:t>
            </w:r>
          </w:p>
        </w:tc>
        <w:tc>
          <w:tcPr>
            <w:tcW w:w="4535" w:type="dxa"/>
            <w:tcBorders>
              <w:top w:val="single" w:sz="4" w:space="0" w:color="auto"/>
              <w:left w:val="single" w:sz="4" w:space="0" w:color="auto"/>
              <w:bottom w:val="single" w:sz="4" w:space="0" w:color="auto"/>
              <w:right w:val="single" w:sz="6" w:space="0" w:color="auto"/>
            </w:tcBorders>
          </w:tcPr>
          <w:p w14:paraId="154D18AC" w14:textId="77777777" w:rsidR="00417520" w:rsidRPr="008F03E5" w:rsidRDefault="00417520" w:rsidP="0005057B">
            <w:pPr>
              <w:rPr>
                <w:sz w:val="18"/>
                <w:szCs w:val="18"/>
                <w14:numSpacing w14:val="tabular"/>
              </w:rPr>
            </w:pPr>
            <w:r w:rsidRPr="008F03E5">
              <w:rPr>
                <w:sz w:val="18"/>
                <w:szCs w:val="18"/>
                <w14:numSpacing w14:val="tabular"/>
              </w:rPr>
              <w:t>Ustád Áqá ‘Alí-</w:t>
            </w:r>
            <w:r w:rsidRPr="008F03E5">
              <w:rPr>
                <w:sz w:val="18"/>
                <w:szCs w:val="18"/>
              </w:rPr>
              <w:t>A</w:t>
            </w:r>
            <w:r w:rsidRPr="008F03E5">
              <w:rPr>
                <w:sz w:val="18"/>
                <w:szCs w:val="18"/>
                <w:u w:val="single"/>
              </w:rPr>
              <w:t>sh</w:t>
            </w:r>
            <w:r w:rsidRPr="008F03E5">
              <w:rPr>
                <w:sz w:val="18"/>
                <w:szCs w:val="18"/>
              </w:rPr>
              <w:t>raf</w:t>
            </w:r>
            <w:r w:rsidRPr="008F03E5">
              <w:rPr>
                <w:sz w:val="18"/>
                <w:szCs w:val="18"/>
                <w14:numSpacing w14:val="tabular"/>
              </w:rPr>
              <w:t>, Russia, son of Mullá Abú-Ṭálib</w:t>
            </w:r>
          </w:p>
        </w:tc>
        <w:tc>
          <w:tcPr>
            <w:tcW w:w="708" w:type="dxa"/>
            <w:tcBorders>
              <w:top w:val="single" w:sz="4" w:space="0" w:color="auto"/>
              <w:left w:val="single" w:sz="6" w:space="0" w:color="auto"/>
              <w:bottom w:val="single" w:sz="4" w:space="0" w:color="auto"/>
              <w:right w:val="single" w:sz="4" w:space="0" w:color="auto"/>
            </w:tcBorders>
          </w:tcPr>
          <w:p w14:paraId="49B84DE8" w14:textId="77777777" w:rsidR="00417520" w:rsidRPr="008F03E5" w:rsidRDefault="00417520" w:rsidP="0005057B">
            <w:pPr>
              <w:tabs>
                <w:tab w:val="decimal" w:pos="316"/>
              </w:tabs>
              <w:rPr>
                <w:sz w:val="18"/>
                <w:szCs w:val="18"/>
                <w14:numSpacing w14:val="tabular"/>
              </w:rPr>
            </w:pPr>
            <w:r w:rsidRPr="008F03E5">
              <w:rPr>
                <w:sz w:val="18"/>
                <w:szCs w:val="18"/>
                <w14:numSpacing w14:val="tabular"/>
              </w:rPr>
              <w:t>8</w:t>
            </w:r>
          </w:p>
        </w:tc>
        <w:tc>
          <w:tcPr>
            <w:tcW w:w="3061" w:type="dxa"/>
            <w:tcBorders>
              <w:top w:val="single" w:sz="4" w:space="0" w:color="auto"/>
              <w:left w:val="single" w:sz="4" w:space="0" w:color="auto"/>
              <w:bottom w:val="single" w:sz="4" w:space="0" w:color="auto"/>
              <w:right w:val="single" w:sz="6" w:space="0" w:color="auto"/>
            </w:tcBorders>
          </w:tcPr>
          <w:p w14:paraId="3E91ABCD" w14:textId="77777777" w:rsidR="00417520" w:rsidRPr="008F03E5" w:rsidRDefault="00417520" w:rsidP="0005057B">
            <w:pPr>
              <w:rPr>
                <w:sz w:val="18"/>
                <w:szCs w:val="18"/>
                <w14:numSpacing w14:val="tabular"/>
              </w:rPr>
            </w:pPr>
            <w:r w:rsidRPr="008F03E5">
              <w:rPr>
                <w:sz w:val="18"/>
                <w:szCs w:val="18"/>
                <w14:numSpacing w14:val="tabular"/>
              </w:rPr>
              <w:t xml:space="preserve">Ugo </w:t>
            </w:r>
            <w:r w:rsidRPr="008F03E5">
              <w:rPr>
                <w:sz w:val="18"/>
                <w:szCs w:val="18"/>
              </w:rPr>
              <w:t>Giachery</w:t>
            </w:r>
            <w:r w:rsidRPr="008F03E5">
              <w:rPr>
                <w:sz w:val="18"/>
                <w:szCs w:val="18"/>
                <w14:numSpacing w14:val="tabular"/>
              </w:rPr>
              <w:t>, Italy</w:t>
            </w:r>
          </w:p>
        </w:tc>
      </w:tr>
      <w:tr w:rsidR="00417520" w:rsidRPr="008F03E5" w14:paraId="7F9A751A" w14:textId="77777777" w:rsidTr="0005057B">
        <w:trPr>
          <w:jc w:val="center"/>
        </w:trPr>
        <w:tc>
          <w:tcPr>
            <w:tcW w:w="392" w:type="dxa"/>
            <w:tcBorders>
              <w:top w:val="single" w:sz="4" w:space="0" w:color="auto"/>
              <w:left w:val="single" w:sz="6" w:space="0" w:color="auto"/>
              <w:bottom w:val="single" w:sz="4" w:space="0" w:color="auto"/>
              <w:right w:val="single" w:sz="4" w:space="0" w:color="auto"/>
            </w:tcBorders>
          </w:tcPr>
          <w:p w14:paraId="31C1410A" w14:textId="77777777" w:rsidR="00417520" w:rsidRPr="008F03E5" w:rsidRDefault="00417520" w:rsidP="0005057B">
            <w:pPr>
              <w:tabs>
                <w:tab w:val="decimal" w:pos="172"/>
              </w:tabs>
              <w:rPr>
                <w:sz w:val="18"/>
                <w:szCs w:val="18"/>
                <w14:numSpacing w14:val="tabular"/>
              </w:rPr>
            </w:pPr>
            <w:r w:rsidRPr="008F03E5">
              <w:rPr>
                <w:sz w:val="18"/>
                <w:szCs w:val="18"/>
                <w14:numSpacing w14:val="tabular"/>
              </w:rPr>
              <w:t>4</w:t>
            </w:r>
          </w:p>
        </w:tc>
        <w:tc>
          <w:tcPr>
            <w:tcW w:w="4535" w:type="dxa"/>
            <w:tcBorders>
              <w:top w:val="single" w:sz="4" w:space="0" w:color="auto"/>
              <w:left w:val="single" w:sz="4" w:space="0" w:color="auto"/>
              <w:bottom w:val="single" w:sz="4" w:space="0" w:color="auto"/>
              <w:right w:val="single" w:sz="6" w:space="0" w:color="auto"/>
            </w:tcBorders>
          </w:tcPr>
          <w:p w14:paraId="5DE8DF3E" w14:textId="77777777" w:rsidR="00417520" w:rsidRPr="008F03E5" w:rsidRDefault="00417520" w:rsidP="0005057B">
            <w:pPr>
              <w:rPr>
                <w:sz w:val="18"/>
                <w:szCs w:val="18"/>
                <w14:numSpacing w14:val="tabular"/>
              </w:rPr>
            </w:pPr>
            <w:r w:rsidRPr="008F03E5">
              <w:rPr>
                <w:sz w:val="18"/>
                <w:szCs w:val="18"/>
                <w14:numSpacing w14:val="tabular"/>
              </w:rPr>
              <w:t>Ustád ‘Abdu’l-</w:t>
            </w:r>
            <w:r w:rsidRPr="008F03E5">
              <w:rPr>
                <w:sz w:val="18"/>
                <w:szCs w:val="18"/>
              </w:rPr>
              <w:t>Karím</w:t>
            </w:r>
            <w:r w:rsidRPr="008F03E5">
              <w:rPr>
                <w:sz w:val="18"/>
                <w:szCs w:val="18"/>
                <w14:numSpacing w14:val="tabular"/>
              </w:rPr>
              <w:t>, Irán</w:t>
            </w:r>
          </w:p>
        </w:tc>
        <w:tc>
          <w:tcPr>
            <w:tcW w:w="708" w:type="dxa"/>
            <w:tcBorders>
              <w:left w:val="single" w:sz="6" w:space="0" w:color="auto"/>
              <w:bottom w:val="single" w:sz="6" w:space="0" w:color="auto"/>
              <w:right w:val="single" w:sz="4" w:space="0" w:color="auto"/>
            </w:tcBorders>
          </w:tcPr>
          <w:p w14:paraId="49C939B8" w14:textId="77777777" w:rsidR="00417520" w:rsidRPr="008F03E5" w:rsidRDefault="00417520" w:rsidP="0005057B">
            <w:pPr>
              <w:rPr>
                <w:sz w:val="18"/>
                <w:szCs w:val="18"/>
                <w14:numSpacing w14:val="tabular"/>
              </w:rPr>
            </w:pPr>
            <w:r w:rsidRPr="008F03E5">
              <w:rPr>
                <w:sz w:val="18"/>
                <w:szCs w:val="18"/>
                <w14:numSpacing w14:val="tabular"/>
              </w:rPr>
              <w:t>Upper</w:t>
            </w:r>
          </w:p>
        </w:tc>
        <w:tc>
          <w:tcPr>
            <w:tcW w:w="3061" w:type="dxa"/>
            <w:tcBorders>
              <w:left w:val="single" w:sz="4" w:space="0" w:color="auto"/>
              <w:bottom w:val="single" w:sz="6" w:space="0" w:color="auto"/>
              <w:right w:val="single" w:sz="6" w:space="0" w:color="auto"/>
            </w:tcBorders>
          </w:tcPr>
          <w:p w14:paraId="47B82CC6" w14:textId="77777777" w:rsidR="00417520" w:rsidRPr="008F03E5" w:rsidRDefault="00417520" w:rsidP="0005057B">
            <w:pPr>
              <w:rPr>
                <w:sz w:val="18"/>
                <w:szCs w:val="18"/>
                <w14:numSpacing w14:val="tabular"/>
              </w:rPr>
            </w:pPr>
            <w:r w:rsidRPr="008F03E5">
              <w:rPr>
                <w:sz w:val="18"/>
                <w:szCs w:val="18"/>
                <w14:numSpacing w14:val="tabular"/>
              </w:rPr>
              <w:t xml:space="preserve">Leroy </w:t>
            </w:r>
            <w:r w:rsidRPr="008F03E5">
              <w:rPr>
                <w:sz w:val="18"/>
                <w:szCs w:val="18"/>
              </w:rPr>
              <w:t>Ioas</w:t>
            </w:r>
            <w:r w:rsidRPr="008F03E5">
              <w:rPr>
                <w:sz w:val="18"/>
                <w:szCs w:val="18"/>
                <w14:numSpacing w14:val="tabular"/>
              </w:rPr>
              <w:t>, USA</w:t>
            </w:r>
          </w:p>
        </w:tc>
      </w:tr>
      <w:tr w:rsidR="00417520" w:rsidRPr="008F03E5" w14:paraId="6762E965" w14:textId="77777777" w:rsidTr="0005057B">
        <w:trPr>
          <w:jc w:val="center"/>
        </w:trPr>
        <w:tc>
          <w:tcPr>
            <w:tcW w:w="392" w:type="dxa"/>
            <w:tcBorders>
              <w:top w:val="single" w:sz="4" w:space="0" w:color="auto"/>
              <w:left w:val="single" w:sz="6" w:space="0" w:color="auto"/>
              <w:bottom w:val="single" w:sz="6" w:space="0" w:color="auto"/>
              <w:right w:val="single" w:sz="4" w:space="0" w:color="auto"/>
            </w:tcBorders>
          </w:tcPr>
          <w:p w14:paraId="638B6A18" w14:textId="77777777" w:rsidR="00417520" w:rsidRPr="008F03E5" w:rsidRDefault="00417520" w:rsidP="0005057B">
            <w:pPr>
              <w:tabs>
                <w:tab w:val="decimal" w:pos="172"/>
              </w:tabs>
              <w:rPr>
                <w:sz w:val="18"/>
                <w:szCs w:val="18"/>
                <w14:numSpacing w14:val="tabular"/>
              </w:rPr>
            </w:pPr>
            <w:r w:rsidRPr="008F03E5">
              <w:rPr>
                <w:sz w:val="18"/>
                <w:szCs w:val="18"/>
                <w14:numSpacing w14:val="tabular"/>
              </w:rPr>
              <w:t>5</w:t>
            </w:r>
          </w:p>
        </w:tc>
        <w:tc>
          <w:tcPr>
            <w:tcW w:w="4535" w:type="dxa"/>
            <w:tcBorders>
              <w:top w:val="single" w:sz="4" w:space="0" w:color="auto"/>
              <w:left w:val="single" w:sz="4" w:space="0" w:color="auto"/>
              <w:bottom w:val="single" w:sz="6" w:space="0" w:color="auto"/>
              <w:right w:val="single" w:sz="6" w:space="0" w:color="auto"/>
            </w:tcBorders>
          </w:tcPr>
          <w:p w14:paraId="7671FA19" w14:textId="77777777" w:rsidR="00417520" w:rsidRPr="008F03E5" w:rsidRDefault="00417520" w:rsidP="0005057B">
            <w:pPr>
              <w:rPr>
                <w:sz w:val="18"/>
                <w:szCs w:val="18"/>
              </w:rPr>
            </w:pPr>
            <w:r w:rsidRPr="008F03E5">
              <w:rPr>
                <w:sz w:val="18"/>
                <w:szCs w:val="18"/>
              </w:rPr>
              <w:t>Ustád Áqá Bálá, Russia, son of Mullá Abú-Ṭálib</w:t>
            </w:r>
          </w:p>
        </w:tc>
        <w:tc>
          <w:tcPr>
            <w:tcW w:w="708" w:type="dxa"/>
            <w:tcBorders>
              <w:top w:val="single" w:sz="6" w:space="0" w:color="auto"/>
              <w:left w:val="single" w:sz="6" w:space="0" w:color="auto"/>
              <w:bottom w:val="nil"/>
              <w:right w:val="nil"/>
            </w:tcBorders>
          </w:tcPr>
          <w:p w14:paraId="0D949A0E" w14:textId="77777777" w:rsidR="00417520" w:rsidRPr="008F03E5" w:rsidRDefault="00417520" w:rsidP="0005057B"/>
        </w:tc>
        <w:tc>
          <w:tcPr>
            <w:tcW w:w="3061" w:type="dxa"/>
            <w:tcBorders>
              <w:top w:val="single" w:sz="6" w:space="0" w:color="auto"/>
              <w:left w:val="nil"/>
              <w:bottom w:val="nil"/>
              <w:right w:val="nil"/>
            </w:tcBorders>
          </w:tcPr>
          <w:p w14:paraId="18E6C010" w14:textId="77777777" w:rsidR="00417520" w:rsidRPr="008F03E5" w:rsidRDefault="00417520" w:rsidP="0005057B"/>
        </w:tc>
      </w:tr>
    </w:tbl>
    <w:p w14:paraId="1804206E" w14:textId="59D1FDC5" w:rsidR="00B078AA" w:rsidRPr="008F03E5" w:rsidRDefault="00B078AA" w:rsidP="004649BE">
      <w:pPr>
        <w:pStyle w:val="Myhead3"/>
      </w:pPr>
      <w:r w:rsidRPr="008F03E5">
        <w:t>Travels of Bahá’u’lláh</w:t>
      </w:r>
      <w:bookmarkEnd w:id="202"/>
      <w:r w:rsidRPr="004649BE">
        <w:rPr>
          <w:b w:val="0"/>
          <w:bCs/>
          <w:i w:val="0"/>
          <w:iCs/>
          <w:sz w:val="12"/>
          <w:szCs w:val="12"/>
        </w:rPr>
        <w:fldChar w:fldCharType="begin"/>
      </w:r>
      <w:r w:rsidRPr="004649BE">
        <w:rPr>
          <w:b w:val="0"/>
          <w:bCs/>
          <w:i w:val="0"/>
          <w:iCs/>
          <w:sz w:val="12"/>
          <w:szCs w:val="12"/>
          <w:lang w:val="en-AU"/>
        </w:rPr>
        <w:instrText xml:space="preserve"> TC “</w:instrText>
      </w:r>
      <w:bookmarkStart w:id="207" w:name="_Toc149476418"/>
      <w:bookmarkStart w:id="208" w:name="_Toc167691892"/>
      <w:r w:rsidRPr="00074EB6">
        <w:rPr>
          <w:b w:val="0"/>
          <w:bCs/>
          <w:sz w:val="12"/>
          <w:szCs w:val="12"/>
        </w:rPr>
        <w:instrText>Travels of Bahá’u’lláh</w:instrText>
      </w:r>
      <w:r w:rsidRPr="00074EB6">
        <w:rPr>
          <w:b w:val="0"/>
          <w:bCs/>
          <w:color w:val="FFFFFF" w:themeColor="background1"/>
          <w:sz w:val="12"/>
          <w:szCs w:val="12"/>
          <w:lang w:val="en-AU"/>
        </w:rPr>
        <w:instrText>..</w:instrText>
      </w:r>
      <w:r w:rsidRPr="00074EB6">
        <w:rPr>
          <w:b w:val="0"/>
          <w:bCs/>
          <w:sz w:val="12"/>
          <w:szCs w:val="12"/>
          <w:lang w:val="en-AU"/>
        </w:rPr>
        <w:tab/>
      </w:r>
      <w:r w:rsidRPr="004649BE">
        <w:rPr>
          <w:b w:val="0"/>
          <w:bCs/>
          <w:i w:val="0"/>
          <w:iCs/>
          <w:color w:val="FFFFFF" w:themeColor="background1"/>
          <w:sz w:val="12"/>
          <w:szCs w:val="12"/>
          <w:lang w:val="en-AU"/>
        </w:rPr>
        <w:instrText>.</w:instrText>
      </w:r>
      <w:bookmarkEnd w:id="207"/>
      <w:bookmarkEnd w:id="208"/>
      <w:r w:rsidRPr="004649BE">
        <w:rPr>
          <w:b w:val="0"/>
          <w:bCs/>
          <w:i w:val="0"/>
          <w:iCs/>
          <w:sz w:val="12"/>
          <w:szCs w:val="12"/>
          <w:lang w:val="en-AU"/>
        </w:rPr>
        <w:instrText>” \l 2</w:instrText>
      </w:r>
      <w:r w:rsidRPr="004649BE">
        <w:rPr>
          <w:b w:val="0"/>
          <w:bCs/>
          <w:i w:val="0"/>
          <w:iCs/>
          <w:sz w:val="12"/>
          <w:szCs w:val="12"/>
        </w:rPr>
        <w:fldChar w:fldCharType="end"/>
      </w:r>
    </w:p>
    <w:p w14:paraId="715CDA00" w14:textId="77777777" w:rsidR="00B078AA" w:rsidRPr="008F03E5" w:rsidRDefault="00B078AA" w:rsidP="00B078AA">
      <w:pPr>
        <w:pStyle w:val="Text"/>
        <w:spacing w:after="60"/>
      </w:pPr>
      <w:r w:rsidRPr="008F03E5">
        <w:t xml:space="preserve">The following is based on a list of places from the 1991 </w:t>
      </w:r>
      <w:r w:rsidRPr="008F03E5">
        <w:rPr>
          <w:i/>
          <w:iCs/>
        </w:rPr>
        <w:t>The travels of Bahá’u’lláh</w:t>
      </w:r>
      <w:r w:rsidRPr="008F03E5">
        <w:t xml:space="preserve"> map produced by the NSA of the Hawaiian Islands.  The names have been corrected where possible and modern names or variations have been added in parenthesis.</w:t>
      </w:r>
    </w:p>
    <w:tbl>
      <w:tblPr>
        <w:tblStyle w:val="TableGrid"/>
        <w:tblW w:w="0" w:type="auto"/>
        <w:tblLook w:val="04A0" w:firstRow="1" w:lastRow="0" w:firstColumn="1" w:lastColumn="0" w:noHBand="0" w:noVBand="1"/>
      </w:tblPr>
      <w:tblGrid>
        <w:gridCol w:w="406"/>
        <w:gridCol w:w="2891"/>
        <w:gridCol w:w="406"/>
        <w:gridCol w:w="3685"/>
        <w:gridCol w:w="406"/>
        <w:gridCol w:w="3118"/>
      </w:tblGrid>
      <w:tr w:rsidR="00B078AA" w:rsidRPr="008F03E5" w14:paraId="129942A9" w14:textId="77777777" w:rsidTr="0005057B">
        <w:tc>
          <w:tcPr>
            <w:tcW w:w="406" w:type="dxa"/>
            <w:tcBorders>
              <w:bottom w:val="nil"/>
            </w:tcBorders>
          </w:tcPr>
          <w:p w14:paraId="12241B21"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w:t>
            </w:r>
          </w:p>
        </w:tc>
        <w:tc>
          <w:tcPr>
            <w:tcW w:w="2891" w:type="dxa"/>
            <w:tcBorders>
              <w:bottom w:val="nil"/>
            </w:tcBorders>
          </w:tcPr>
          <w:p w14:paraId="0E316E79" w14:textId="77777777" w:rsidR="00B078AA" w:rsidRPr="008F03E5" w:rsidRDefault="00B078AA" w:rsidP="0005057B">
            <w:pPr>
              <w:rPr>
                <w:sz w:val="18"/>
                <w:szCs w:val="18"/>
                <w14:numSpacing w14:val="tabular"/>
              </w:rPr>
            </w:pPr>
            <w:r w:rsidRPr="008F03E5">
              <w:rPr>
                <w:sz w:val="18"/>
                <w:szCs w:val="18"/>
                <w14:numSpacing w14:val="tabular"/>
              </w:rPr>
              <w:t>Hamlet of Bada</w:t>
            </w:r>
            <w:r w:rsidRPr="008F03E5">
              <w:rPr>
                <w:sz w:val="18"/>
                <w:szCs w:val="18"/>
                <w:u w:val="single"/>
                <w14:numSpacing w14:val="tabular"/>
              </w:rPr>
              <w:t>sh</w:t>
            </w:r>
            <w:r w:rsidRPr="008F03E5">
              <w:rPr>
                <w:sz w:val="18"/>
                <w:szCs w:val="18"/>
                <w14:numSpacing w14:val="tabular"/>
              </w:rPr>
              <w:t>t</w:t>
            </w:r>
          </w:p>
        </w:tc>
        <w:tc>
          <w:tcPr>
            <w:tcW w:w="406" w:type="dxa"/>
            <w:tcBorders>
              <w:bottom w:val="nil"/>
            </w:tcBorders>
          </w:tcPr>
          <w:p w14:paraId="1967D540" w14:textId="77777777" w:rsidR="00B078AA" w:rsidRPr="008F03E5" w:rsidRDefault="00B078AA" w:rsidP="0005057B">
            <w:pPr>
              <w:jc w:val="right"/>
              <w:rPr>
                <w:sz w:val="18"/>
                <w:szCs w:val="18"/>
                <w14:numSpacing w14:val="tabular"/>
              </w:rPr>
            </w:pPr>
            <w:r w:rsidRPr="008F03E5">
              <w:rPr>
                <w:sz w:val="18"/>
                <w:szCs w:val="18"/>
                <w14:numSpacing w14:val="tabular"/>
              </w:rPr>
              <w:t>30</w:t>
            </w:r>
          </w:p>
        </w:tc>
        <w:tc>
          <w:tcPr>
            <w:tcW w:w="3685" w:type="dxa"/>
            <w:tcBorders>
              <w:bottom w:val="nil"/>
            </w:tcBorders>
          </w:tcPr>
          <w:p w14:paraId="3F6CC20E" w14:textId="77777777" w:rsidR="00B078AA" w:rsidRPr="008F03E5" w:rsidRDefault="00B078AA" w:rsidP="0005057B">
            <w:pPr>
              <w:rPr>
                <w:sz w:val="18"/>
                <w:szCs w:val="18"/>
                <w14:numSpacing w14:val="tabular"/>
              </w:rPr>
            </w:pPr>
            <w:r w:rsidRPr="008F03E5">
              <w:rPr>
                <w:sz w:val="18"/>
                <w:szCs w:val="18"/>
                <w14:numSpacing w14:val="tabular"/>
              </w:rPr>
              <w:t>Máhí-Da</w:t>
            </w:r>
            <w:r w:rsidRPr="008F03E5">
              <w:rPr>
                <w:sz w:val="18"/>
                <w:szCs w:val="18"/>
                <w:u w:val="single"/>
                <w14:numSpacing w14:val="tabular"/>
              </w:rPr>
              <w:t>sh</w:t>
            </w:r>
            <w:r w:rsidRPr="008F03E5">
              <w:rPr>
                <w:sz w:val="18"/>
                <w:szCs w:val="18"/>
                <w14:numSpacing w14:val="tabular"/>
              </w:rPr>
              <w:t>t</w:t>
            </w:r>
          </w:p>
        </w:tc>
        <w:tc>
          <w:tcPr>
            <w:tcW w:w="406" w:type="dxa"/>
            <w:tcBorders>
              <w:bottom w:val="nil"/>
            </w:tcBorders>
          </w:tcPr>
          <w:p w14:paraId="4A5D69B4" w14:textId="77777777" w:rsidR="00B078AA" w:rsidRPr="008F03E5" w:rsidRDefault="00B078AA" w:rsidP="0005057B">
            <w:pPr>
              <w:jc w:val="right"/>
              <w:rPr>
                <w:sz w:val="18"/>
                <w:szCs w:val="18"/>
                <w14:numSpacing w14:val="tabular"/>
              </w:rPr>
            </w:pPr>
            <w:r w:rsidRPr="008F03E5">
              <w:rPr>
                <w:sz w:val="18"/>
                <w:szCs w:val="18"/>
                <w14:numSpacing w14:val="tabular"/>
              </w:rPr>
              <w:t>59</w:t>
            </w:r>
          </w:p>
        </w:tc>
        <w:tc>
          <w:tcPr>
            <w:tcW w:w="3118" w:type="dxa"/>
            <w:tcBorders>
              <w:bottom w:val="nil"/>
            </w:tcBorders>
          </w:tcPr>
          <w:p w14:paraId="7CACF754" w14:textId="77777777" w:rsidR="00B078AA" w:rsidRPr="008F03E5" w:rsidRDefault="00B078AA" w:rsidP="0005057B">
            <w:pPr>
              <w:rPr>
                <w:sz w:val="18"/>
                <w:szCs w:val="18"/>
                <w14:numSpacing w14:val="tabular"/>
              </w:rPr>
            </w:pPr>
            <w:r w:rsidRPr="008F03E5">
              <w:rPr>
                <w:sz w:val="18"/>
                <w:szCs w:val="18"/>
                <w14:numSpacing w14:val="tabular"/>
              </w:rPr>
              <w:t>Diyár-Bakr (Diyabakir)</w:t>
            </w:r>
          </w:p>
        </w:tc>
      </w:tr>
      <w:tr w:rsidR="00B078AA" w:rsidRPr="008F03E5" w14:paraId="156CE3F5" w14:textId="77777777" w:rsidTr="0005057B">
        <w:tc>
          <w:tcPr>
            <w:tcW w:w="406" w:type="dxa"/>
            <w:tcBorders>
              <w:top w:val="nil"/>
              <w:bottom w:val="nil"/>
            </w:tcBorders>
          </w:tcPr>
          <w:p w14:paraId="1C9F0B83"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w:t>
            </w:r>
          </w:p>
        </w:tc>
        <w:tc>
          <w:tcPr>
            <w:tcW w:w="2891" w:type="dxa"/>
            <w:tcBorders>
              <w:top w:val="nil"/>
              <w:bottom w:val="nil"/>
            </w:tcBorders>
          </w:tcPr>
          <w:p w14:paraId="1C896A52" w14:textId="77777777" w:rsidR="00B078AA" w:rsidRPr="008F03E5" w:rsidRDefault="00B078AA" w:rsidP="0005057B">
            <w:pPr>
              <w:rPr>
                <w:sz w:val="18"/>
                <w:szCs w:val="18"/>
                <w14:numSpacing w14:val="tabular"/>
              </w:rPr>
            </w:pPr>
            <w:r w:rsidRPr="008F03E5">
              <w:rPr>
                <w:sz w:val="18"/>
                <w:szCs w:val="18"/>
                <w:u w:val="single"/>
                <w14:numSpacing w14:val="tabular"/>
              </w:rPr>
              <w:t>Sh</w:t>
            </w:r>
            <w:r w:rsidRPr="008F03E5">
              <w:rPr>
                <w:sz w:val="18"/>
                <w:szCs w:val="18"/>
                <w14:numSpacing w14:val="tabular"/>
              </w:rPr>
              <w:t>áh-Rúd</w:t>
            </w:r>
          </w:p>
        </w:tc>
        <w:tc>
          <w:tcPr>
            <w:tcW w:w="406" w:type="dxa"/>
            <w:tcBorders>
              <w:top w:val="nil"/>
              <w:bottom w:val="nil"/>
            </w:tcBorders>
          </w:tcPr>
          <w:p w14:paraId="5EC09B70" w14:textId="77777777" w:rsidR="00B078AA" w:rsidRPr="008F03E5" w:rsidRDefault="00B078AA" w:rsidP="0005057B">
            <w:pPr>
              <w:jc w:val="right"/>
              <w:rPr>
                <w:sz w:val="18"/>
                <w:szCs w:val="18"/>
                <w14:numSpacing w14:val="tabular"/>
              </w:rPr>
            </w:pPr>
            <w:r w:rsidRPr="008F03E5">
              <w:rPr>
                <w:sz w:val="18"/>
                <w:szCs w:val="18"/>
                <w14:numSpacing w14:val="tabular"/>
              </w:rPr>
              <w:t>31</w:t>
            </w:r>
          </w:p>
        </w:tc>
        <w:tc>
          <w:tcPr>
            <w:tcW w:w="3685" w:type="dxa"/>
            <w:tcBorders>
              <w:top w:val="nil"/>
              <w:bottom w:val="nil"/>
            </w:tcBorders>
          </w:tcPr>
          <w:p w14:paraId="1E17F4C0" w14:textId="77777777" w:rsidR="00B078AA" w:rsidRPr="008F03E5" w:rsidRDefault="00B078AA" w:rsidP="0005057B">
            <w:pPr>
              <w:rPr>
                <w:sz w:val="18"/>
                <w:szCs w:val="18"/>
                <w14:numSpacing w14:val="tabular"/>
              </w:rPr>
            </w:pPr>
            <w:r w:rsidRPr="008F03E5">
              <w:rPr>
                <w:sz w:val="18"/>
                <w:szCs w:val="18"/>
                <w14:numSpacing w14:val="tabular"/>
              </w:rPr>
              <w:t>Hárún-Ábád (now Islám-Ábád-i-</w:t>
            </w:r>
            <w:r w:rsidRPr="008F03E5">
              <w:rPr>
                <w:sz w:val="18"/>
                <w:szCs w:val="18"/>
                <w:u w:val="single"/>
                <w14:numSpacing w14:val="tabular"/>
              </w:rPr>
              <w:t>Gh</w:t>
            </w:r>
            <w:r w:rsidRPr="008F03E5">
              <w:rPr>
                <w:sz w:val="18"/>
                <w:szCs w:val="18"/>
                <w14:numSpacing w14:val="tabular"/>
              </w:rPr>
              <w:t>arb)</w:t>
            </w:r>
          </w:p>
        </w:tc>
        <w:tc>
          <w:tcPr>
            <w:tcW w:w="406" w:type="dxa"/>
            <w:tcBorders>
              <w:top w:val="nil"/>
              <w:bottom w:val="nil"/>
            </w:tcBorders>
          </w:tcPr>
          <w:p w14:paraId="18153428" w14:textId="77777777" w:rsidR="00B078AA" w:rsidRPr="008F03E5" w:rsidRDefault="00B078AA" w:rsidP="0005057B">
            <w:pPr>
              <w:jc w:val="right"/>
              <w:rPr>
                <w:sz w:val="18"/>
                <w:szCs w:val="18"/>
                <w14:numSpacing w14:val="tabular"/>
              </w:rPr>
            </w:pPr>
            <w:r w:rsidRPr="008F03E5">
              <w:rPr>
                <w:sz w:val="18"/>
                <w:szCs w:val="18"/>
                <w14:numSpacing w14:val="tabular"/>
              </w:rPr>
              <w:t>60</w:t>
            </w:r>
          </w:p>
        </w:tc>
        <w:tc>
          <w:tcPr>
            <w:tcW w:w="3118" w:type="dxa"/>
            <w:tcBorders>
              <w:top w:val="nil"/>
              <w:bottom w:val="nil"/>
            </w:tcBorders>
          </w:tcPr>
          <w:p w14:paraId="007EA42C" w14:textId="77777777" w:rsidR="00B078AA" w:rsidRPr="008F03E5" w:rsidRDefault="00B078AA" w:rsidP="0005057B">
            <w:pPr>
              <w:rPr>
                <w:sz w:val="18"/>
                <w:szCs w:val="18"/>
                <w14:numSpacing w14:val="tabular"/>
              </w:rPr>
            </w:pPr>
            <w:r w:rsidRPr="008F03E5">
              <w:rPr>
                <w:sz w:val="18"/>
                <w:szCs w:val="18"/>
                <w14:numSpacing w14:val="tabular"/>
              </w:rPr>
              <w:t>Ma‘dan-Mis</w:t>
            </w:r>
            <w:r w:rsidRPr="008F03E5">
              <w:rPr>
                <w:sz w:val="18"/>
                <w:szCs w:val="18"/>
              </w:rPr>
              <w:t xml:space="preserve"> (Maden)</w:t>
            </w:r>
          </w:p>
        </w:tc>
      </w:tr>
      <w:tr w:rsidR="00B078AA" w:rsidRPr="008F03E5" w14:paraId="1877B9B7" w14:textId="77777777" w:rsidTr="0005057B">
        <w:tc>
          <w:tcPr>
            <w:tcW w:w="406" w:type="dxa"/>
            <w:tcBorders>
              <w:top w:val="nil"/>
              <w:bottom w:val="nil"/>
            </w:tcBorders>
          </w:tcPr>
          <w:p w14:paraId="0D71FBC9"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3</w:t>
            </w:r>
          </w:p>
        </w:tc>
        <w:tc>
          <w:tcPr>
            <w:tcW w:w="2891" w:type="dxa"/>
            <w:tcBorders>
              <w:top w:val="nil"/>
              <w:bottom w:val="nil"/>
            </w:tcBorders>
          </w:tcPr>
          <w:p w14:paraId="68D4FB76" w14:textId="77777777" w:rsidR="00B078AA" w:rsidRPr="008F03E5" w:rsidRDefault="00B078AA" w:rsidP="0005057B">
            <w:pPr>
              <w:rPr>
                <w:sz w:val="18"/>
                <w:szCs w:val="18"/>
                <w14:numSpacing w14:val="tabular"/>
              </w:rPr>
            </w:pPr>
            <w:r w:rsidRPr="008F03E5">
              <w:rPr>
                <w:sz w:val="18"/>
                <w:szCs w:val="18"/>
                <w14:numSpacing w14:val="tabular"/>
              </w:rPr>
              <w:t>Bandar-i-Jaz</w:t>
            </w:r>
          </w:p>
        </w:tc>
        <w:tc>
          <w:tcPr>
            <w:tcW w:w="406" w:type="dxa"/>
            <w:tcBorders>
              <w:top w:val="nil"/>
              <w:bottom w:val="nil"/>
            </w:tcBorders>
          </w:tcPr>
          <w:p w14:paraId="4DBFD138" w14:textId="77777777" w:rsidR="00B078AA" w:rsidRPr="008F03E5" w:rsidRDefault="00B078AA" w:rsidP="0005057B">
            <w:pPr>
              <w:jc w:val="right"/>
              <w:rPr>
                <w:sz w:val="18"/>
                <w:szCs w:val="18"/>
                <w14:numSpacing w14:val="tabular"/>
              </w:rPr>
            </w:pPr>
            <w:r w:rsidRPr="008F03E5">
              <w:rPr>
                <w:sz w:val="18"/>
                <w:szCs w:val="18"/>
                <w14:numSpacing w14:val="tabular"/>
              </w:rPr>
              <w:t>32</w:t>
            </w:r>
          </w:p>
        </w:tc>
        <w:tc>
          <w:tcPr>
            <w:tcW w:w="3685" w:type="dxa"/>
            <w:tcBorders>
              <w:top w:val="nil"/>
              <w:bottom w:val="nil"/>
            </w:tcBorders>
          </w:tcPr>
          <w:p w14:paraId="52CA306D" w14:textId="77777777" w:rsidR="00B078AA" w:rsidRPr="00D45A23" w:rsidRDefault="00B078AA" w:rsidP="0005057B">
            <w:pPr>
              <w:rPr>
                <w:sz w:val="18"/>
                <w:szCs w:val="18"/>
                <w:lang w:val="de-DE"/>
                <w14:numSpacing w14:val="tabular"/>
              </w:rPr>
            </w:pPr>
            <w:r w:rsidRPr="00D45A23">
              <w:rPr>
                <w:sz w:val="18"/>
                <w:szCs w:val="18"/>
                <w:lang w:val="de-DE"/>
                <w14:numSpacing w14:val="tabular"/>
              </w:rPr>
              <w:t>Karand-i-</w:t>
            </w:r>
            <w:r w:rsidRPr="00D45A23">
              <w:rPr>
                <w:sz w:val="18"/>
                <w:szCs w:val="18"/>
                <w:u w:val="single"/>
                <w:lang w:val="de-DE"/>
                <w14:numSpacing w14:val="tabular"/>
              </w:rPr>
              <w:t>Gh</w:t>
            </w:r>
            <w:r w:rsidRPr="00D45A23">
              <w:rPr>
                <w:sz w:val="18"/>
                <w:szCs w:val="18"/>
                <w:lang w:val="de-DE"/>
                <w14:numSpacing w14:val="tabular"/>
              </w:rPr>
              <w:t>arb</w:t>
            </w:r>
            <w:r w:rsidRPr="00D45A23">
              <w:rPr>
                <w:sz w:val="18"/>
                <w:szCs w:val="18"/>
                <w:lang w:val="de-DE"/>
              </w:rPr>
              <w:t xml:space="preserve"> (Kerend-e Gharb)</w:t>
            </w:r>
          </w:p>
        </w:tc>
        <w:tc>
          <w:tcPr>
            <w:tcW w:w="406" w:type="dxa"/>
            <w:tcBorders>
              <w:top w:val="nil"/>
              <w:bottom w:val="nil"/>
            </w:tcBorders>
          </w:tcPr>
          <w:p w14:paraId="31B0B2B2" w14:textId="77777777" w:rsidR="00B078AA" w:rsidRPr="008F03E5" w:rsidRDefault="00B078AA" w:rsidP="0005057B">
            <w:pPr>
              <w:jc w:val="right"/>
              <w:rPr>
                <w:sz w:val="18"/>
                <w:szCs w:val="18"/>
                <w14:numSpacing w14:val="tabular"/>
              </w:rPr>
            </w:pPr>
            <w:r w:rsidRPr="008F03E5">
              <w:rPr>
                <w:sz w:val="18"/>
                <w:szCs w:val="18"/>
                <w14:numSpacing w14:val="tabular"/>
              </w:rPr>
              <w:t>61</w:t>
            </w:r>
          </w:p>
        </w:tc>
        <w:tc>
          <w:tcPr>
            <w:tcW w:w="3118" w:type="dxa"/>
            <w:tcBorders>
              <w:top w:val="nil"/>
              <w:bottom w:val="nil"/>
            </w:tcBorders>
          </w:tcPr>
          <w:p w14:paraId="62C41C1F" w14:textId="77777777" w:rsidR="00B078AA" w:rsidRPr="008F03E5" w:rsidRDefault="00B078AA" w:rsidP="0005057B">
            <w:pPr>
              <w:rPr>
                <w:sz w:val="18"/>
                <w:szCs w:val="18"/>
                <w14:numSpacing w14:val="tabular"/>
              </w:rPr>
            </w:pPr>
            <w:r w:rsidRPr="008F03E5">
              <w:rPr>
                <w:sz w:val="18"/>
                <w:szCs w:val="18"/>
                <w:u w:val="single"/>
                <w14:numSpacing w14:val="tabular"/>
              </w:rPr>
              <w:t>Kh</w:t>
            </w:r>
            <w:r w:rsidRPr="008F03E5">
              <w:rPr>
                <w:sz w:val="18"/>
                <w:szCs w:val="18"/>
                <w14:numSpacing w14:val="tabular"/>
              </w:rPr>
              <w:t xml:space="preserve">árpút (Harput castle, 6 km </w:t>
            </w:r>
            <w:r w:rsidRPr="008F03E5">
              <w:rPr>
                <w:sz w:val="16"/>
                <w:szCs w:val="16"/>
                <w14:numSpacing w14:val="tabular"/>
              </w:rPr>
              <w:t>NE</w:t>
            </w:r>
            <w:r w:rsidRPr="008F03E5">
              <w:rPr>
                <w:sz w:val="18"/>
                <w:szCs w:val="18"/>
                <w14:numSpacing w14:val="tabular"/>
              </w:rPr>
              <w:t xml:space="preserve"> of Elâziǧ)</w:t>
            </w:r>
          </w:p>
        </w:tc>
      </w:tr>
      <w:tr w:rsidR="00B078AA" w:rsidRPr="008F03E5" w14:paraId="2D7EF48C" w14:textId="77777777" w:rsidTr="0005057B">
        <w:tc>
          <w:tcPr>
            <w:tcW w:w="406" w:type="dxa"/>
            <w:tcBorders>
              <w:top w:val="nil"/>
              <w:bottom w:val="nil"/>
            </w:tcBorders>
          </w:tcPr>
          <w:p w14:paraId="441C5CE6"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4</w:t>
            </w:r>
          </w:p>
        </w:tc>
        <w:tc>
          <w:tcPr>
            <w:tcW w:w="2891" w:type="dxa"/>
            <w:tcBorders>
              <w:top w:val="nil"/>
              <w:bottom w:val="nil"/>
            </w:tcBorders>
          </w:tcPr>
          <w:p w14:paraId="0F24BEF8" w14:textId="77777777" w:rsidR="00B078AA" w:rsidRPr="008F03E5" w:rsidRDefault="00B078AA" w:rsidP="0005057B">
            <w:pPr>
              <w:rPr>
                <w:sz w:val="18"/>
                <w:szCs w:val="18"/>
                <w14:numSpacing w14:val="tabular"/>
              </w:rPr>
            </w:pPr>
            <w:r w:rsidRPr="008F03E5">
              <w:rPr>
                <w:sz w:val="18"/>
                <w:szCs w:val="18"/>
                <w14:numSpacing w14:val="tabular"/>
              </w:rPr>
              <w:t>Níyálá</w:t>
            </w:r>
          </w:p>
        </w:tc>
        <w:tc>
          <w:tcPr>
            <w:tcW w:w="406" w:type="dxa"/>
            <w:tcBorders>
              <w:top w:val="nil"/>
              <w:bottom w:val="nil"/>
            </w:tcBorders>
          </w:tcPr>
          <w:p w14:paraId="0FBEFAA7" w14:textId="77777777" w:rsidR="00B078AA" w:rsidRPr="008F03E5" w:rsidRDefault="00B078AA" w:rsidP="0005057B">
            <w:pPr>
              <w:jc w:val="right"/>
              <w:rPr>
                <w:sz w:val="18"/>
                <w:szCs w:val="18"/>
                <w14:numSpacing w14:val="tabular"/>
              </w:rPr>
            </w:pPr>
            <w:r w:rsidRPr="008F03E5">
              <w:rPr>
                <w:sz w:val="18"/>
                <w:szCs w:val="18"/>
                <w14:numSpacing w14:val="tabular"/>
              </w:rPr>
              <w:t>33</w:t>
            </w:r>
          </w:p>
        </w:tc>
        <w:tc>
          <w:tcPr>
            <w:tcW w:w="3685" w:type="dxa"/>
            <w:tcBorders>
              <w:top w:val="nil"/>
              <w:bottom w:val="nil"/>
            </w:tcBorders>
          </w:tcPr>
          <w:p w14:paraId="2CA281E1" w14:textId="77777777" w:rsidR="00B078AA" w:rsidRPr="008F03E5" w:rsidRDefault="00B078AA" w:rsidP="0005057B">
            <w:pPr>
              <w:rPr>
                <w:sz w:val="18"/>
                <w:szCs w:val="18"/>
                <w14:numSpacing w14:val="tabular"/>
              </w:rPr>
            </w:pPr>
            <w:r w:rsidRPr="008F03E5">
              <w:rPr>
                <w:sz w:val="18"/>
                <w:szCs w:val="18"/>
                <w14:numSpacing w14:val="tabular"/>
              </w:rPr>
              <w:t>Sur</w:t>
            </w:r>
            <w:r w:rsidRPr="008F03E5">
              <w:rPr>
                <w:sz w:val="18"/>
                <w:szCs w:val="18"/>
                <w:u w:val="single"/>
                <w14:numSpacing w14:val="tabular"/>
              </w:rPr>
              <w:t>kh</w:t>
            </w:r>
            <w:r w:rsidRPr="008F03E5">
              <w:rPr>
                <w:sz w:val="18"/>
                <w:szCs w:val="18"/>
                <w14:numSpacing w14:val="tabular"/>
              </w:rPr>
              <w:t>ih-Dízih</w:t>
            </w:r>
            <w:r w:rsidRPr="008F03E5">
              <w:rPr>
                <w:sz w:val="18"/>
                <w:szCs w:val="18"/>
              </w:rPr>
              <w:t xml:space="preserve"> (Shorkhah Dizah)</w:t>
            </w:r>
          </w:p>
        </w:tc>
        <w:tc>
          <w:tcPr>
            <w:tcW w:w="406" w:type="dxa"/>
            <w:tcBorders>
              <w:top w:val="nil"/>
              <w:bottom w:val="nil"/>
            </w:tcBorders>
          </w:tcPr>
          <w:p w14:paraId="715D6AD4" w14:textId="77777777" w:rsidR="00B078AA" w:rsidRPr="008F03E5" w:rsidRDefault="00B078AA" w:rsidP="0005057B">
            <w:pPr>
              <w:jc w:val="right"/>
              <w:rPr>
                <w:sz w:val="18"/>
                <w:szCs w:val="18"/>
                <w14:numSpacing w14:val="tabular"/>
              </w:rPr>
            </w:pPr>
            <w:r w:rsidRPr="008F03E5">
              <w:rPr>
                <w:sz w:val="18"/>
                <w:szCs w:val="18"/>
                <w14:numSpacing w14:val="tabular"/>
              </w:rPr>
              <w:t>62</w:t>
            </w:r>
          </w:p>
        </w:tc>
        <w:tc>
          <w:tcPr>
            <w:tcW w:w="3118" w:type="dxa"/>
            <w:tcBorders>
              <w:top w:val="nil"/>
              <w:bottom w:val="nil"/>
            </w:tcBorders>
          </w:tcPr>
          <w:p w14:paraId="27D83BE8" w14:textId="77777777" w:rsidR="00B078AA" w:rsidRPr="008F03E5" w:rsidRDefault="00B078AA" w:rsidP="0005057B">
            <w:pPr>
              <w:rPr>
                <w:sz w:val="18"/>
                <w:szCs w:val="18"/>
                <w14:numSpacing w14:val="tabular"/>
              </w:rPr>
            </w:pPr>
            <w:r w:rsidRPr="008F03E5">
              <w:rPr>
                <w:sz w:val="18"/>
                <w:szCs w:val="18"/>
                <w14:numSpacing w14:val="tabular"/>
              </w:rPr>
              <w:t>Ma‘dan-Nuqrih</w:t>
            </w:r>
            <w:r w:rsidRPr="008F03E5">
              <w:rPr>
                <w:sz w:val="18"/>
                <w:szCs w:val="18"/>
              </w:rPr>
              <w:t xml:space="preserve"> (Keban)</w:t>
            </w:r>
          </w:p>
        </w:tc>
      </w:tr>
      <w:tr w:rsidR="00B078AA" w:rsidRPr="008F03E5" w14:paraId="2EC07635" w14:textId="77777777" w:rsidTr="0005057B">
        <w:tc>
          <w:tcPr>
            <w:tcW w:w="406" w:type="dxa"/>
            <w:tcBorders>
              <w:top w:val="nil"/>
              <w:bottom w:val="nil"/>
            </w:tcBorders>
          </w:tcPr>
          <w:p w14:paraId="7A785A59"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5</w:t>
            </w:r>
          </w:p>
        </w:tc>
        <w:tc>
          <w:tcPr>
            <w:tcW w:w="2891" w:type="dxa"/>
            <w:tcBorders>
              <w:top w:val="nil"/>
              <w:bottom w:val="nil"/>
            </w:tcBorders>
          </w:tcPr>
          <w:p w14:paraId="762F1113" w14:textId="77777777" w:rsidR="00B078AA" w:rsidRPr="008F03E5" w:rsidRDefault="00B078AA" w:rsidP="0005057B">
            <w:pPr>
              <w:rPr>
                <w:sz w:val="18"/>
                <w:szCs w:val="18"/>
                <w14:numSpacing w14:val="tabular"/>
              </w:rPr>
            </w:pPr>
            <w:r w:rsidRPr="008F03E5">
              <w:rPr>
                <w:sz w:val="18"/>
                <w:szCs w:val="18"/>
                <w14:numSpacing w14:val="tabular"/>
              </w:rPr>
              <w:t>Fort Ṭabarsí</w:t>
            </w:r>
          </w:p>
        </w:tc>
        <w:tc>
          <w:tcPr>
            <w:tcW w:w="406" w:type="dxa"/>
            <w:tcBorders>
              <w:top w:val="nil"/>
              <w:bottom w:val="nil"/>
            </w:tcBorders>
          </w:tcPr>
          <w:p w14:paraId="06AEF2C7" w14:textId="77777777" w:rsidR="00B078AA" w:rsidRPr="008F03E5" w:rsidRDefault="00B078AA" w:rsidP="0005057B">
            <w:pPr>
              <w:jc w:val="right"/>
              <w:rPr>
                <w:sz w:val="18"/>
                <w:szCs w:val="18"/>
                <w14:numSpacing w14:val="tabular"/>
              </w:rPr>
            </w:pPr>
            <w:r w:rsidRPr="008F03E5">
              <w:rPr>
                <w:sz w:val="18"/>
                <w:szCs w:val="18"/>
                <w14:numSpacing w14:val="tabular"/>
              </w:rPr>
              <w:t>34</w:t>
            </w:r>
          </w:p>
        </w:tc>
        <w:tc>
          <w:tcPr>
            <w:tcW w:w="3685" w:type="dxa"/>
            <w:tcBorders>
              <w:top w:val="nil"/>
              <w:bottom w:val="nil"/>
            </w:tcBorders>
          </w:tcPr>
          <w:p w14:paraId="00A46CED" w14:textId="77777777" w:rsidR="00B078AA" w:rsidRPr="00D45A23" w:rsidRDefault="00B078AA" w:rsidP="0005057B">
            <w:pPr>
              <w:rPr>
                <w:sz w:val="18"/>
                <w:szCs w:val="18"/>
                <w:lang w:val="it-IT"/>
                <w14:numSpacing w14:val="tabular"/>
              </w:rPr>
            </w:pPr>
            <w:r w:rsidRPr="00D45A23">
              <w:rPr>
                <w:sz w:val="18"/>
                <w:szCs w:val="18"/>
                <w:lang w:val="it-IT"/>
              </w:rPr>
              <w:t>Sar Púl-i-</w:t>
            </w:r>
            <w:r w:rsidRPr="00D45A23">
              <w:rPr>
                <w:sz w:val="18"/>
                <w:szCs w:val="18"/>
                <w:u w:val="single"/>
                <w:lang w:val="it-IT"/>
              </w:rPr>
              <w:t>Dh</w:t>
            </w:r>
            <w:r w:rsidRPr="00D45A23">
              <w:rPr>
                <w:sz w:val="18"/>
                <w:szCs w:val="18"/>
                <w:lang w:val="it-IT"/>
              </w:rPr>
              <w:t>aháb (Sarpol-e Zahab)</w:t>
            </w:r>
          </w:p>
        </w:tc>
        <w:tc>
          <w:tcPr>
            <w:tcW w:w="406" w:type="dxa"/>
            <w:tcBorders>
              <w:top w:val="nil"/>
              <w:bottom w:val="nil"/>
            </w:tcBorders>
          </w:tcPr>
          <w:p w14:paraId="3EF36F27" w14:textId="77777777" w:rsidR="00B078AA" w:rsidRPr="008F03E5" w:rsidRDefault="00B078AA" w:rsidP="0005057B">
            <w:pPr>
              <w:jc w:val="right"/>
              <w:rPr>
                <w:sz w:val="18"/>
                <w:szCs w:val="18"/>
                <w14:numSpacing w14:val="tabular"/>
              </w:rPr>
            </w:pPr>
            <w:r w:rsidRPr="008F03E5">
              <w:rPr>
                <w:sz w:val="18"/>
                <w:szCs w:val="18"/>
                <w14:numSpacing w14:val="tabular"/>
              </w:rPr>
              <w:t>63</w:t>
            </w:r>
          </w:p>
        </w:tc>
        <w:tc>
          <w:tcPr>
            <w:tcW w:w="3118" w:type="dxa"/>
            <w:tcBorders>
              <w:top w:val="nil"/>
              <w:bottom w:val="nil"/>
            </w:tcBorders>
          </w:tcPr>
          <w:p w14:paraId="1BFC07B5" w14:textId="77777777" w:rsidR="00B078AA" w:rsidRPr="008F03E5" w:rsidRDefault="00B078AA" w:rsidP="0005057B">
            <w:pPr>
              <w:rPr>
                <w:sz w:val="18"/>
                <w:szCs w:val="18"/>
                <w14:numSpacing w14:val="tabular"/>
              </w:rPr>
            </w:pPr>
            <w:r w:rsidRPr="008F03E5">
              <w:rPr>
                <w:sz w:val="18"/>
                <w:szCs w:val="18"/>
                <w14:numSpacing w14:val="tabular"/>
              </w:rPr>
              <w:t>Dilík-Tá</w:t>
            </w:r>
            <w:r w:rsidRPr="008F03E5">
              <w:rPr>
                <w:sz w:val="18"/>
                <w:szCs w:val="18"/>
                <w:u w:val="single"/>
                <w14:numSpacing w14:val="tabular"/>
              </w:rPr>
              <w:t>sh</w:t>
            </w:r>
            <w:r w:rsidRPr="008F03E5">
              <w:rPr>
                <w:sz w:val="18"/>
                <w:szCs w:val="18"/>
              </w:rPr>
              <w:t xml:space="preserve"> (Kangol)</w:t>
            </w:r>
          </w:p>
        </w:tc>
      </w:tr>
      <w:tr w:rsidR="00B078AA" w:rsidRPr="008F03E5" w14:paraId="70E444B6" w14:textId="77777777" w:rsidTr="0005057B">
        <w:tc>
          <w:tcPr>
            <w:tcW w:w="406" w:type="dxa"/>
            <w:tcBorders>
              <w:top w:val="nil"/>
              <w:bottom w:val="nil"/>
            </w:tcBorders>
          </w:tcPr>
          <w:p w14:paraId="2883A5B9"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6</w:t>
            </w:r>
          </w:p>
        </w:tc>
        <w:tc>
          <w:tcPr>
            <w:tcW w:w="2891" w:type="dxa"/>
            <w:tcBorders>
              <w:top w:val="nil"/>
              <w:bottom w:val="nil"/>
            </w:tcBorders>
          </w:tcPr>
          <w:p w14:paraId="5D797535" w14:textId="77777777" w:rsidR="00B078AA" w:rsidRPr="008F03E5" w:rsidRDefault="00B078AA" w:rsidP="0005057B">
            <w:pPr>
              <w:rPr>
                <w:sz w:val="18"/>
                <w:szCs w:val="18"/>
                <w14:numSpacing w14:val="tabular"/>
              </w:rPr>
            </w:pPr>
            <w:r w:rsidRPr="008F03E5">
              <w:rPr>
                <w:sz w:val="18"/>
                <w:szCs w:val="18"/>
                <w14:numSpacing w14:val="tabular"/>
              </w:rPr>
              <w:t>Ámul</w:t>
            </w:r>
          </w:p>
        </w:tc>
        <w:tc>
          <w:tcPr>
            <w:tcW w:w="406" w:type="dxa"/>
            <w:tcBorders>
              <w:top w:val="nil"/>
              <w:bottom w:val="nil"/>
            </w:tcBorders>
          </w:tcPr>
          <w:p w14:paraId="17926BA4" w14:textId="77777777" w:rsidR="00B078AA" w:rsidRPr="008F03E5" w:rsidRDefault="00B078AA" w:rsidP="0005057B">
            <w:pPr>
              <w:jc w:val="right"/>
              <w:rPr>
                <w:sz w:val="18"/>
                <w:szCs w:val="18"/>
                <w14:numSpacing w14:val="tabular"/>
              </w:rPr>
            </w:pPr>
            <w:r w:rsidRPr="008F03E5">
              <w:rPr>
                <w:sz w:val="18"/>
                <w:szCs w:val="18"/>
                <w14:numSpacing w14:val="tabular"/>
              </w:rPr>
              <w:t>35</w:t>
            </w:r>
          </w:p>
        </w:tc>
        <w:tc>
          <w:tcPr>
            <w:tcW w:w="3685" w:type="dxa"/>
            <w:tcBorders>
              <w:top w:val="nil"/>
              <w:bottom w:val="nil"/>
            </w:tcBorders>
          </w:tcPr>
          <w:p w14:paraId="67382FF1" w14:textId="77777777" w:rsidR="00B078AA" w:rsidRPr="008F03E5" w:rsidRDefault="00B078AA" w:rsidP="0005057B">
            <w:pPr>
              <w:rPr>
                <w:sz w:val="18"/>
                <w:szCs w:val="18"/>
                <w14:numSpacing w14:val="tabular"/>
              </w:rPr>
            </w:pPr>
            <w:r w:rsidRPr="008F03E5">
              <w:rPr>
                <w:sz w:val="18"/>
                <w:szCs w:val="18"/>
                <w14:numSpacing w14:val="tabular"/>
              </w:rPr>
              <w:t>Qaṣr-i-</w:t>
            </w:r>
            <w:r w:rsidRPr="008F03E5">
              <w:rPr>
                <w:sz w:val="18"/>
                <w:szCs w:val="18"/>
                <w:u w:val="single"/>
                <w14:numSpacing w14:val="tabular"/>
              </w:rPr>
              <w:t>Sh</w:t>
            </w:r>
            <w:r w:rsidRPr="008F03E5">
              <w:rPr>
                <w:sz w:val="18"/>
                <w:szCs w:val="18"/>
                <w14:numSpacing w14:val="tabular"/>
              </w:rPr>
              <w:t>írín</w:t>
            </w:r>
          </w:p>
        </w:tc>
        <w:tc>
          <w:tcPr>
            <w:tcW w:w="406" w:type="dxa"/>
            <w:tcBorders>
              <w:top w:val="nil"/>
              <w:bottom w:val="nil"/>
            </w:tcBorders>
          </w:tcPr>
          <w:p w14:paraId="719427AF" w14:textId="77777777" w:rsidR="00B078AA" w:rsidRPr="008F03E5" w:rsidRDefault="00B078AA" w:rsidP="0005057B">
            <w:pPr>
              <w:jc w:val="right"/>
              <w:rPr>
                <w:sz w:val="18"/>
                <w:szCs w:val="18"/>
                <w14:numSpacing w14:val="tabular"/>
              </w:rPr>
            </w:pPr>
            <w:r w:rsidRPr="008F03E5">
              <w:rPr>
                <w:sz w:val="18"/>
                <w:szCs w:val="18"/>
                <w14:numSpacing w14:val="tabular"/>
              </w:rPr>
              <w:t>64</w:t>
            </w:r>
          </w:p>
        </w:tc>
        <w:tc>
          <w:tcPr>
            <w:tcW w:w="3118" w:type="dxa"/>
            <w:tcBorders>
              <w:top w:val="nil"/>
              <w:bottom w:val="nil"/>
            </w:tcBorders>
          </w:tcPr>
          <w:p w14:paraId="5BC35D6F" w14:textId="77777777" w:rsidR="00B078AA" w:rsidRPr="008F03E5" w:rsidRDefault="00B078AA" w:rsidP="0005057B">
            <w:pPr>
              <w:rPr>
                <w:sz w:val="18"/>
                <w:szCs w:val="18"/>
                <w14:numSpacing w14:val="tabular"/>
              </w:rPr>
            </w:pPr>
            <w:r w:rsidRPr="008F03E5">
              <w:rPr>
                <w:sz w:val="18"/>
                <w:szCs w:val="18"/>
                <w14:numSpacing w14:val="tabular"/>
              </w:rPr>
              <w:t>Sívás</w:t>
            </w:r>
          </w:p>
        </w:tc>
      </w:tr>
      <w:tr w:rsidR="00B078AA" w:rsidRPr="008F03E5" w14:paraId="13DFE952" w14:textId="77777777" w:rsidTr="0005057B">
        <w:tc>
          <w:tcPr>
            <w:tcW w:w="406" w:type="dxa"/>
            <w:tcBorders>
              <w:top w:val="nil"/>
              <w:bottom w:val="nil"/>
            </w:tcBorders>
          </w:tcPr>
          <w:p w14:paraId="002CEEB6"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7</w:t>
            </w:r>
          </w:p>
        </w:tc>
        <w:tc>
          <w:tcPr>
            <w:tcW w:w="2891" w:type="dxa"/>
            <w:tcBorders>
              <w:top w:val="nil"/>
              <w:bottom w:val="nil"/>
            </w:tcBorders>
          </w:tcPr>
          <w:p w14:paraId="56CE6181" w14:textId="77777777" w:rsidR="00B078AA" w:rsidRPr="008F03E5" w:rsidRDefault="00B078AA" w:rsidP="0005057B">
            <w:pPr>
              <w:rPr>
                <w:sz w:val="18"/>
                <w:szCs w:val="18"/>
                <w14:numSpacing w14:val="tabular"/>
              </w:rPr>
            </w:pPr>
            <w:r w:rsidRPr="008F03E5">
              <w:rPr>
                <w:sz w:val="18"/>
                <w:szCs w:val="18"/>
                <w14:numSpacing w14:val="tabular"/>
              </w:rPr>
              <w:t>Tákur</w:t>
            </w:r>
          </w:p>
        </w:tc>
        <w:tc>
          <w:tcPr>
            <w:tcW w:w="406" w:type="dxa"/>
            <w:tcBorders>
              <w:top w:val="nil"/>
              <w:bottom w:val="nil"/>
            </w:tcBorders>
          </w:tcPr>
          <w:p w14:paraId="467F8435" w14:textId="77777777" w:rsidR="00B078AA" w:rsidRPr="008F03E5" w:rsidRDefault="00B078AA" w:rsidP="0005057B">
            <w:pPr>
              <w:jc w:val="right"/>
              <w:rPr>
                <w:sz w:val="18"/>
                <w:szCs w:val="18"/>
                <w14:numSpacing w14:val="tabular"/>
              </w:rPr>
            </w:pPr>
            <w:r w:rsidRPr="008F03E5">
              <w:rPr>
                <w:sz w:val="18"/>
                <w:szCs w:val="18"/>
                <w14:numSpacing w14:val="tabular"/>
              </w:rPr>
              <w:t>36</w:t>
            </w:r>
          </w:p>
        </w:tc>
        <w:tc>
          <w:tcPr>
            <w:tcW w:w="3685" w:type="dxa"/>
            <w:tcBorders>
              <w:top w:val="nil"/>
              <w:bottom w:val="nil"/>
            </w:tcBorders>
          </w:tcPr>
          <w:p w14:paraId="24FFAE29" w14:textId="77777777" w:rsidR="00B078AA" w:rsidRPr="008F03E5" w:rsidRDefault="00B078AA" w:rsidP="0005057B">
            <w:pPr>
              <w:rPr>
                <w:sz w:val="18"/>
                <w:szCs w:val="18"/>
                <w14:numSpacing w14:val="tabular"/>
              </w:rPr>
            </w:pPr>
            <w:r w:rsidRPr="008F03E5">
              <w:rPr>
                <w:sz w:val="18"/>
                <w:szCs w:val="18"/>
                <w:u w:val="single"/>
                <w14:numSpacing w14:val="tabular"/>
              </w:rPr>
              <w:t>Kh</w:t>
            </w:r>
            <w:r w:rsidRPr="008F03E5">
              <w:rPr>
                <w:sz w:val="18"/>
                <w:szCs w:val="18"/>
                <w14:numSpacing w14:val="tabular"/>
              </w:rPr>
              <w:t>usraví</w:t>
            </w:r>
            <w:r w:rsidRPr="008F03E5">
              <w:rPr>
                <w:sz w:val="18"/>
                <w:szCs w:val="18"/>
              </w:rPr>
              <w:t xml:space="preserve"> (Khozravi)</w:t>
            </w:r>
          </w:p>
        </w:tc>
        <w:tc>
          <w:tcPr>
            <w:tcW w:w="406" w:type="dxa"/>
            <w:tcBorders>
              <w:top w:val="nil"/>
              <w:bottom w:val="nil"/>
            </w:tcBorders>
          </w:tcPr>
          <w:p w14:paraId="7FC92A9D" w14:textId="77777777" w:rsidR="00B078AA" w:rsidRPr="008F03E5" w:rsidRDefault="00B078AA" w:rsidP="0005057B">
            <w:pPr>
              <w:jc w:val="right"/>
              <w:rPr>
                <w:sz w:val="18"/>
                <w:szCs w:val="18"/>
                <w14:numSpacing w14:val="tabular"/>
              </w:rPr>
            </w:pPr>
            <w:r w:rsidRPr="008F03E5">
              <w:rPr>
                <w:sz w:val="18"/>
                <w:szCs w:val="18"/>
                <w14:numSpacing w14:val="tabular"/>
              </w:rPr>
              <w:t>65</w:t>
            </w:r>
          </w:p>
        </w:tc>
        <w:tc>
          <w:tcPr>
            <w:tcW w:w="3118" w:type="dxa"/>
            <w:tcBorders>
              <w:top w:val="nil"/>
              <w:bottom w:val="nil"/>
            </w:tcBorders>
          </w:tcPr>
          <w:p w14:paraId="6374D36D" w14:textId="77777777" w:rsidR="00B078AA" w:rsidRPr="008F03E5" w:rsidRDefault="00B078AA" w:rsidP="0005057B">
            <w:pPr>
              <w:rPr>
                <w:sz w:val="18"/>
                <w:szCs w:val="18"/>
                <w14:numSpacing w14:val="tabular"/>
              </w:rPr>
            </w:pPr>
            <w:r w:rsidRPr="008F03E5">
              <w:rPr>
                <w:sz w:val="18"/>
                <w:szCs w:val="18"/>
                <w14:numSpacing w14:val="tabular"/>
              </w:rPr>
              <w:t>Túqát (Toqat)</w:t>
            </w:r>
          </w:p>
        </w:tc>
      </w:tr>
      <w:tr w:rsidR="00B078AA" w:rsidRPr="008F03E5" w14:paraId="19E78D38" w14:textId="77777777" w:rsidTr="0005057B">
        <w:tc>
          <w:tcPr>
            <w:tcW w:w="406" w:type="dxa"/>
            <w:tcBorders>
              <w:top w:val="nil"/>
              <w:bottom w:val="nil"/>
            </w:tcBorders>
          </w:tcPr>
          <w:p w14:paraId="1006B7C6"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8</w:t>
            </w:r>
          </w:p>
        </w:tc>
        <w:tc>
          <w:tcPr>
            <w:tcW w:w="2891" w:type="dxa"/>
            <w:tcBorders>
              <w:top w:val="nil"/>
              <w:bottom w:val="nil"/>
            </w:tcBorders>
          </w:tcPr>
          <w:p w14:paraId="6CC4D742" w14:textId="77777777" w:rsidR="00B078AA" w:rsidRPr="008F03E5" w:rsidRDefault="00B078AA" w:rsidP="0005057B">
            <w:pPr>
              <w:rPr>
                <w:sz w:val="18"/>
                <w:szCs w:val="18"/>
                <w14:numSpacing w14:val="tabular"/>
              </w:rPr>
            </w:pPr>
            <w:r w:rsidRPr="008F03E5">
              <w:rPr>
                <w:sz w:val="18"/>
                <w:szCs w:val="18"/>
                <w14:numSpacing w14:val="tabular"/>
              </w:rPr>
              <w:t>Ṭihrán</w:t>
            </w:r>
          </w:p>
        </w:tc>
        <w:tc>
          <w:tcPr>
            <w:tcW w:w="406" w:type="dxa"/>
            <w:tcBorders>
              <w:top w:val="nil"/>
              <w:bottom w:val="nil"/>
            </w:tcBorders>
          </w:tcPr>
          <w:p w14:paraId="5682DEE2" w14:textId="77777777" w:rsidR="00B078AA" w:rsidRPr="008F03E5" w:rsidRDefault="00B078AA" w:rsidP="0005057B">
            <w:pPr>
              <w:jc w:val="right"/>
              <w:rPr>
                <w:sz w:val="18"/>
                <w:szCs w:val="18"/>
                <w14:numSpacing w14:val="tabular"/>
              </w:rPr>
            </w:pPr>
            <w:r w:rsidRPr="008F03E5">
              <w:rPr>
                <w:sz w:val="18"/>
                <w:szCs w:val="18"/>
                <w14:numSpacing w14:val="tabular"/>
              </w:rPr>
              <w:t>37</w:t>
            </w:r>
          </w:p>
        </w:tc>
        <w:tc>
          <w:tcPr>
            <w:tcW w:w="3685" w:type="dxa"/>
            <w:tcBorders>
              <w:top w:val="nil"/>
              <w:bottom w:val="nil"/>
            </w:tcBorders>
          </w:tcPr>
          <w:p w14:paraId="75AD711F" w14:textId="77777777" w:rsidR="00B078AA" w:rsidRPr="008F03E5" w:rsidRDefault="00B078AA" w:rsidP="0005057B">
            <w:pPr>
              <w:rPr>
                <w:sz w:val="18"/>
                <w:szCs w:val="18"/>
                <w14:numSpacing w14:val="tabular"/>
              </w:rPr>
            </w:pPr>
            <w:r w:rsidRPr="008F03E5">
              <w:rPr>
                <w:sz w:val="18"/>
                <w:szCs w:val="18"/>
                <w:u w:val="single"/>
                <w14:numSpacing w14:val="tabular"/>
              </w:rPr>
              <w:t>Kh</w:t>
            </w:r>
            <w:r w:rsidRPr="008F03E5">
              <w:rPr>
                <w:sz w:val="18"/>
                <w:szCs w:val="18"/>
                <w14:numSpacing w14:val="tabular"/>
              </w:rPr>
              <w:t>ánaqin-‘Iráq</w:t>
            </w:r>
          </w:p>
        </w:tc>
        <w:tc>
          <w:tcPr>
            <w:tcW w:w="406" w:type="dxa"/>
            <w:tcBorders>
              <w:top w:val="nil"/>
              <w:bottom w:val="nil"/>
            </w:tcBorders>
          </w:tcPr>
          <w:p w14:paraId="19D9971E" w14:textId="77777777" w:rsidR="00B078AA" w:rsidRPr="008F03E5" w:rsidRDefault="00B078AA" w:rsidP="0005057B">
            <w:pPr>
              <w:jc w:val="right"/>
              <w:rPr>
                <w:sz w:val="18"/>
                <w:szCs w:val="18"/>
                <w14:numSpacing w14:val="tabular"/>
              </w:rPr>
            </w:pPr>
            <w:r w:rsidRPr="008F03E5">
              <w:rPr>
                <w:sz w:val="18"/>
                <w:szCs w:val="18"/>
                <w14:numSpacing w14:val="tabular"/>
              </w:rPr>
              <w:t>66</w:t>
            </w:r>
          </w:p>
        </w:tc>
        <w:tc>
          <w:tcPr>
            <w:tcW w:w="3118" w:type="dxa"/>
            <w:tcBorders>
              <w:top w:val="nil"/>
              <w:bottom w:val="nil"/>
            </w:tcBorders>
          </w:tcPr>
          <w:p w14:paraId="4B87201B" w14:textId="77777777" w:rsidR="00B078AA" w:rsidRPr="008F03E5" w:rsidRDefault="00B078AA" w:rsidP="0005057B">
            <w:pPr>
              <w:rPr>
                <w:sz w:val="18"/>
                <w:szCs w:val="18"/>
                <w14:numSpacing w14:val="tabular"/>
              </w:rPr>
            </w:pPr>
            <w:r w:rsidRPr="008F03E5">
              <w:rPr>
                <w:sz w:val="18"/>
                <w:szCs w:val="18"/>
                <w14:numSpacing w14:val="tabular"/>
              </w:rPr>
              <w:t>Amásiyá (Amasya)</w:t>
            </w:r>
          </w:p>
        </w:tc>
      </w:tr>
      <w:tr w:rsidR="00B078AA" w:rsidRPr="008F03E5" w14:paraId="725B9741" w14:textId="77777777" w:rsidTr="0005057B">
        <w:tc>
          <w:tcPr>
            <w:tcW w:w="406" w:type="dxa"/>
            <w:tcBorders>
              <w:top w:val="nil"/>
              <w:bottom w:val="nil"/>
            </w:tcBorders>
          </w:tcPr>
          <w:p w14:paraId="632155EA"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9</w:t>
            </w:r>
          </w:p>
        </w:tc>
        <w:tc>
          <w:tcPr>
            <w:tcW w:w="2891" w:type="dxa"/>
            <w:tcBorders>
              <w:top w:val="nil"/>
              <w:bottom w:val="nil"/>
            </w:tcBorders>
          </w:tcPr>
          <w:p w14:paraId="10E9D12C" w14:textId="77777777" w:rsidR="00B078AA" w:rsidRPr="008F03E5" w:rsidRDefault="00B078AA" w:rsidP="0005057B">
            <w:pPr>
              <w:rPr>
                <w:sz w:val="18"/>
                <w:szCs w:val="18"/>
                <w14:numSpacing w14:val="tabular"/>
              </w:rPr>
            </w:pPr>
            <w:r w:rsidRPr="008F03E5">
              <w:rPr>
                <w:sz w:val="18"/>
                <w:szCs w:val="18"/>
                <w14:numSpacing w14:val="tabular"/>
              </w:rPr>
              <w:t>Rayy</w:t>
            </w:r>
          </w:p>
        </w:tc>
        <w:tc>
          <w:tcPr>
            <w:tcW w:w="406" w:type="dxa"/>
            <w:tcBorders>
              <w:top w:val="nil"/>
              <w:bottom w:val="nil"/>
            </w:tcBorders>
          </w:tcPr>
          <w:p w14:paraId="750A2C52" w14:textId="77777777" w:rsidR="00B078AA" w:rsidRPr="008F03E5" w:rsidRDefault="00B078AA" w:rsidP="0005057B">
            <w:pPr>
              <w:jc w:val="right"/>
              <w:rPr>
                <w:sz w:val="18"/>
                <w:szCs w:val="18"/>
                <w14:numSpacing w14:val="tabular"/>
              </w:rPr>
            </w:pPr>
            <w:r w:rsidRPr="008F03E5">
              <w:rPr>
                <w:sz w:val="18"/>
                <w:szCs w:val="18"/>
                <w14:numSpacing w14:val="tabular"/>
              </w:rPr>
              <w:t>38</w:t>
            </w:r>
          </w:p>
        </w:tc>
        <w:tc>
          <w:tcPr>
            <w:tcW w:w="3685" w:type="dxa"/>
            <w:tcBorders>
              <w:top w:val="nil"/>
              <w:bottom w:val="nil"/>
            </w:tcBorders>
          </w:tcPr>
          <w:p w14:paraId="22532D7E" w14:textId="77777777" w:rsidR="00B078AA" w:rsidRPr="008F03E5" w:rsidRDefault="00B078AA" w:rsidP="0005057B">
            <w:pPr>
              <w:rPr>
                <w:sz w:val="18"/>
                <w:szCs w:val="18"/>
                <w14:numSpacing w14:val="tabular"/>
              </w:rPr>
            </w:pPr>
            <w:r w:rsidRPr="008F03E5">
              <w:rPr>
                <w:sz w:val="18"/>
                <w:szCs w:val="18"/>
                <w:u w:val="single"/>
                <w14:numSpacing w14:val="tabular"/>
              </w:rPr>
              <w:t>Gh</w:t>
            </w:r>
            <w:r w:rsidRPr="008F03E5">
              <w:rPr>
                <w:sz w:val="18"/>
                <w:szCs w:val="18"/>
                <w14:numSpacing w14:val="tabular"/>
              </w:rPr>
              <w:t>azál-Ribáṭ-i-Máhí Da</w:t>
            </w:r>
            <w:r w:rsidRPr="008F03E5">
              <w:rPr>
                <w:sz w:val="18"/>
                <w:szCs w:val="18"/>
                <w:u w:val="single"/>
                <w14:numSpacing w14:val="tabular"/>
              </w:rPr>
              <w:t>sh</w:t>
            </w:r>
            <w:r w:rsidRPr="008F03E5">
              <w:rPr>
                <w:sz w:val="18"/>
                <w:szCs w:val="18"/>
                <w14:numSpacing w14:val="tabular"/>
              </w:rPr>
              <w:t>t</w:t>
            </w:r>
          </w:p>
        </w:tc>
        <w:tc>
          <w:tcPr>
            <w:tcW w:w="406" w:type="dxa"/>
            <w:tcBorders>
              <w:top w:val="nil"/>
              <w:bottom w:val="nil"/>
            </w:tcBorders>
          </w:tcPr>
          <w:p w14:paraId="6C04FD3C" w14:textId="77777777" w:rsidR="00B078AA" w:rsidRPr="008F03E5" w:rsidRDefault="00B078AA" w:rsidP="0005057B">
            <w:pPr>
              <w:jc w:val="right"/>
              <w:rPr>
                <w:sz w:val="18"/>
                <w:szCs w:val="18"/>
                <w14:numSpacing w14:val="tabular"/>
              </w:rPr>
            </w:pPr>
            <w:r w:rsidRPr="008F03E5">
              <w:rPr>
                <w:sz w:val="18"/>
                <w:szCs w:val="18"/>
                <w14:numSpacing w14:val="tabular"/>
              </w:rPr>
              <w:t>67</w:t>
            </w:r>
          </w:p>
        </w:tc>
        <w:tc>
          <w:tcPr>
            <w:tcW w:w="3118" w:type="dxa"/>
            <w:tcBorders>
              <w:top w:val="nil"/>
              <w:bottom w:val="nil"/>
            </w:tcBorders>
          </w:tcPr>
          <w:p w14:paraId="1673C50F" w14:textId="77777777" w:rsidR="00B078AA" w:rsidRPr="008F03E5" w:rsidRDefault="00B078AA" w:rsidP="0005057B">
            <w:pPr>
              <w:rPr>
                <w:sz w:val="18"/>
                <w:szCs w:val="18"/>
                <w14:numSpacing w14:val="tabular"/>
              </w:rPr>
            </w:pPr>
            <w:r w:rsidRPr="008F03E5">
              <w:rPr>
                <w:sz w:val="18"/>
                <w:szCs w:val="18"/>
                <w14:numSpacing w14:val="tabular"/>
              </w:rPr>
              <w:t>Iláhíyyih (Kovak)</w:t>
            </w:r>
          </w:p>
        </w:tc>
      </w:tr>
      <w:tr w:rsidR="00B078AA" w:rsidRPr="008F03E5" w14:paraId="0A746903" w14:textId="77777777" w:rsidTr="0005057B">
        <w:tc>
          <w:tcPr>
            <w:tcW w:w="406" w:type="dxa"/>
            <w:tcBorders>
              <w:top w:val="nil"/>
              <w:bottom w:val="nil"/>
            </w:tcBorders>
          </w:tcPr>
          <w:p w14:paraId="3EC68B67"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10</w:t>
            </w:r>
          </w:p>
        </w:tc>
        <w:tc>
          <w:tcPr>
            <w:tcW w:w="2891" w:type="dxa"/>
            <w:tcBorders>
              <w:top w:val="nil"/>
              <w:bottom w:val="nil"/>
            </w:tcBorders>
          </w:tcPr>
          <w:p w14:paraId="61DED2BF" w14:textId="77777777" w:rsidR="00B078AA" w:rsidRPr="008F03E5" w:rsidRDefault="00B078AA" w:rsidP="0005057B">
            <w:pPr>
              <w:rPr>
                <w:sz w:val="18"/>
                <w:szCs w:val="18"/>
                <w14:numSpacing w14:val="tabular"/>
              </w:rPr>
            </w:pPr>
            <w:r w:rsidRPr="008F03E5">
              <w:rPr>
                <w:sz w:val="18"/>
                <w:szCs w:val="18"/>
                <w14:numSpacing w14:val="tabular"/>
              </w:rPr>
              <w:t>Ḥasan-Ábád</w:t>
            </w:r>
          </w:p>
        </w:tc>
        <w:tc>
          <w:tcPr>
            <w:tcW w:w="406" w:type="dxa"/>
            <w:tcBorders>
              <w:top w:val="nil"/>
              <w:bottom w:val="nil"/>
            </w:tcBorders>
          </w:tcPr>
          <w:p w14:paraId="3C47CB8B" w14:textId="77777777" w:rsidR="00B078AA" w:rsidRPr="008F03E5" w:rsidRDefault="00B078AA" w:rsidP="0005057B">
            <w:pPr>
              <w:jc w:val="right"/>
              <w:rPr>
                <w:sz w:val="18"/>
                <w:szCs w:val="18"/>
                <w14:numSpacing w14:val="tabular"/>
              </w:rPr>
            </w:pPr>
            <w:r w:rsidRPr="008F03E5">
              <w:rPr>
                <w:sz w:val="18"/>
                <w:szCs w:val="18"/>
                <w14:numSpacing w14:val="tabular"/>
              </w:rPr>
              <w:t>39</w:t>
            </w:r>
          </w:p>
        </w:tc>
        <w:tc>
          <w:tcPr>
            <w:tcW w:w="3685" w:type="dxa"/>
            <w:tcBorders>
              <w:top w:val="nil"/>
              <w:bottom w:val="nil"/>
            </w:tcBorders>
          </w:tcPr>
          <w:p w14:paraId="29586B64" w14:textId="77777777" w:rsidR="00B078AA" w:rsidRPr="008F03E5" w:rsidRDefault="00B078AA" w:rsidP="0005057B">
            <w:pPr>
              <w:rPr>
                <w:sz w:val="18"/>
                <w:szCs w:val="18"/>
                <w14:numSpacing w14:val="tabular"/>
              </w:rPr>
            </w:pPr>
            <w:r w:rsidRPr="008F03E5">
              <w:rPr>
                <w:sz w:val="18"/>
                <w:szCs w:val="18"/>
                <w:u w:val="single"/>
                <w14:numSpacing w14:val="tabular"/>
              </w:rPr>
              <w:t>Sh</w:t>
            </w:r>
            <w:r w:rsidRPr="008F03E5">
              <w:rPr>
                <w:sz w:val="18"/>
                <w:szCs w:val="18"/>
                <w14:numSpacing w14:val="tabular"/>
              </w:rPr>
              <w:t>áhrabán (now al-Muqdádiyah)</w:t>
            </w:r>
          </w:p>
        </w:tc>
        <w:tc>
          <w:tcPr>
            <w:tcW w:w="406" w:type="dxa"/>
            <w:tcBorders>
              <w:top w:val="nil"/>
              <w:bottom w:val="nil"/>
            </w:tcBorders>
          </w:tcPr>
          <w:p w14:paraId="401C9147" w14:textId="77777777" w:rsidR="00B078AA" w:rsidRPr="008F03E5" w:rsidRDefault="00B078AA" w:rsidP="0005057B">
            <w:pPr>
              <w:jc w:val="right"/>
              <w:rPr>
                <w:sz w:val="18"/>
                <w:szCs w:val="18"/>
                <w14:numSpacing w14:val="tabular"/>
              </w:rPr>
            </w:pPr>
            <w:r w:rsidRPr="008F03E5">
              <w:rPr>
                <w:sz w:val="18"/>
                <w:szCs w:val="18"/>
                <w14:numSpacing w14:val="tabular"/>
              </w:rPr>
              <w:t>68</w:t>
            </w:r>
          </w:p>
        </w:tc>
        <w:tc>
          <w:tcPr>
            <w:tcW w:w="3118" w:type="dxa"/>
            <w:tcBorders>
              <w:top w:val="nil"/>
              <w:bottom w:val="nil"/>
            </w:tcBorders>
          </w:tcPr>
          <w:p w14:paraId="22FE223E" w14:textId="77777777" w:rsidR="00B078AA" w:rsidRPr="008F03E5" w:rsidRDefault="00B078AA" w:rsidP="0005057B">
            <w:pPr>
              <w:rPr>
                <w:sz w:val="18"/>
                <w:szCs w:val="18"/>
                <w14:numSpacing w14:val="tabular"/>
              </w:rPr>
            </w:pPr>
            <w:r w:rsidRPr="008F03E5">
              <w:rPr>
                <w:sz w:val="18"/>
                <w:szCs w:val="18"/>
                <w14:numSpacing w14:val="tabular"/>
              </w:rPr>
              <w:t>Sámsún (on the Black Sea)</w:t>
            </w:r>
          </w:p>
        </w:tc>
      </w:tr>
      <w:tr w:rsidR="00B078AA" w:rsidRPr="008F03E5" w14:paraId="2B89BAF4" w14:textId="77777777" w:rsidTr="0005057B">
        <w:tc>
          <w:tcPr>
            <w:tcW w:w="406" w:type="dxa"/>
            <w:tcBorders>
              <w:top w:val="nil"/>
              <w:bottom w:val="nil"/>
            </w:tcBorders>
          </w:tcPr>
          <w:p w14:paraId="2EED4C51"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11</w:t>
            </w:r>
          </w:p>
        </w:tc>
        <w:tc>
          <w:tcPr>
            <w:tcW w:w="2891" w:type="dxa"/>
            <w:tcBorders>
              <w:top w:val="nil"/>
              <w:bottom w:val="nil"/>
            </w:tcBorders>
          </w:tcPr>
          <w:p w14:paraId="60958A0D" w14:textId="77777777" w:rsidR="00B078AA" w:rsidRPr="00D45A23" w:rsidRDefault="00B078AA" w:rsidP="0005057B">
            <w:pPr>
              <w:rPr>
                <w:sz w:val="18"/>
                <w:szCs w:val="18"/>
                <w:lang w:val="it-IT"/>
                <w14:numSpacing w14:val="tabular"/>
              </w:rPr>
            </w:pPr>
            <w:r w:rsidRPr="00D45A23">
              <w:rPr>
                <w:sz w:val="18"/>
                <w:szCs w:val="18"/>
                <w:lang w:val="it-IT"/>
                <w14:numSpacing w14:val="tabular"/>
              </w:rPr>
              <w:t xml:space="preserve">Qal‘a-i-Muḥammad ‘Alí </w:t>
            </w:r>
            <w:r w:rsidRPr="00D45A23">
              <w:rPr>
                <w:sz w:val="18"/>
                <w:szCs w:val="18"/>
                <w:u w:val="single"/>
                <w:lang w:val="it-IT"/>
                <w14:numSpacing w14:val="tabular"/>
              </w:rPr>
              <w:t>Kh</w:t>
            </w:r>
            <w:r w:rsidRPr="00D45A23">
              <w:rPr>
                <w:sz w:val="18"/>
                <w:szCs w:val="18"/>
                <w:lang w:val="it-IT"/>
                <w14:numSpacing w14:val="tabular"/>
              </w:rPr>
              <w:t>án</w:t>
            </w:r>
            <w:r w:rsidRPr="008F03E5">
              <w:rPr>
                <w:rStyle w:val="FootnoteReference"/>
              </w:rPr>
              <w:footnoteReference w:id="48"/>
            </w:r>
          </w:p>
        </w:tc>
        <w:tc>
          <w:tcPr>
            <w:tcW w:w="406" w:type="dxa"/>
            <w:tcBorders>
              <w:top w:val="nil"/>
              <w:bottom w:val="nil"/>
            </w:tcBorders>
          </w:tcPr>
          <w:p w14:paraId="63DE11A0" w14:textId="77777777" w:rsidR="00B078AA" w:rsidRPr="008F03E5" w:rsidRDefault="00B078AA" w:rsidP="0005057B">
            <w:pPr>
              <w:jc w:val="right"/>
              <w:rPr>
                <w:sz w:val="18"/>
                <w:szCs w:val="18"/>
                <w14:numSpacing w14:val="tabular"/>
              </w:rPr>
            </w:pPr>
            <w:r w:rsidRPr="008F03E5">
              <w:rPr>
                <w:sz w:val="18"/>
                <w:szCs w:val="18"/>
                <w14:numSpacing w14:val="tabular"/>
              </w:rPr>
              <w:t>40</w:t>
            </w:r>
          </w:p>
        </w:tc>
        <w:tc>
          <w:tcPr>
            <w:tcW w:w="3685" w:type="dxa"/>
            <w:tcBorders>
              <w:top w:val="nil"/>
              <w:bottom w:val="nil"/>
            </w:tcBorders>
          </w:tcPr>
          <w:p w14:paraId="59571F75" w14:textId="77777777" w:rsidR="00B078AA" w:rsidRPr="008F03E5" w:rsidRDefault="00B078AA" w:rsidP="0005057B">
            <w:pPr>
              <w:rPr>
                <w:sz w:val="18"/>
                <w:szCs w:val="18"/>
                <w14:numSpacing w14:val="tabular"/>
              </w:rPr>
            </w:pPr>
            <w:r w:rsidRPr="008F03E5">
              <w:rPr>
                <w:sz w:val="18"/>
                <w:szCs w:val="18"/>
                <w14:numSpacing w14:val="tabular"/>
              </w:rPr>
              <w:t>Ba‘qúbah</w:t>
            </w:r>
          </w:p>
        </w:tc>
        <w:tc>
          <w:tcPr>
            <w:tcW w:w="406" w:type="dxa"/>
            <w:tcBorders>
              <w:top w:val="nil"/>
              <w:bottom w:val="nil"/>
            </w:tcBorders>
          </w:tcPr>
          <w:p w14:paraId="7E5EC0C3" w14:textId="77777777" w:rsidR="00B078AA" w:rsidRPr="008F03E5" w:rsidRDefault="00B078AA" w:rsidP="0005057B">
            <w:pPr>
              <w:jc w:val="right"/>
              <w:rPr>
                <w:sz w:val="18"/>
                <w:szCs w:val="18"/>
                <w14:numSpacing w14:val="tabular"/>
              </w:rPr>
            </w:pPr>
            <w:r w:rsidRPr="008F03E5">
              <w:rPr>
                <w:sz w:val="18"/>
                <w:szCs w:val="18"/>
                <w14:numSpacing w14:val="tabular"/>
              </w:rPr>
              <w:t>69</w:t>
            </w:r>
          </w:p>
        </w:tc>
        <w:tc>
          <w:tcPr>
            <w:tcW w:w="3118" w:type="dxa"/>
            <w:tcBorders>
              <w:top w:val="nil"/>
              <w:bottom w:val="nil"/>
            </w:tcBorders>
          </w:tcPr>
          <w:p w14:paraId="1416034F" w14:textId="77777777" w:rsidR="00B078AA" w:rsidRPr="008F03E5" w:rsidRDefault="00B078AA" w:rsidP="0005057B">
            <w:pPr>
              <w:rPr>
                <w:sz w:val="18"/>
                <w:szCs w:val="18"/>
                <w14:numSpacing w14:val="tabular"/>
              </w:rPr>
            </w:pPr>
            <w:r w:rsidRPr="008F03E5">
              <w:rPr>
                <w:sz w:val="18"/>
                <w:szCs w:val="18"/>
                <w14:numSpacing w14:val="tabular"/>
              </w:rPr>
              <w:t>Sinope (now Sinop) 14 Aug</w:t>
            </w:r>
          </w:p>
        </w:tc>
      </w:tr>
      <w:tr w:rsidR="00B078AA" w:rsidRPr="008F03E5" w14:paraId="0D87A6A6" w14:textId="77777777" w:rsidTr="0005057B">
        <w:tc>
          <w:tcPr>
            <w:tcW w:w="406" w:type="dxa"/>
            <w:tcBorders>
              <w:top w:val="nil"/>
              <w:bottom w:val="nil"/>
            </w:tcBorders>
          </w:tcPr>
          <w:p w14:paraId="5DD5E088"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12</w:t>
            </w:r>
          </w:p>
        </w:tc>
        <w:tc>
          <w:tcPr>
            <w:tcW w:w="2891" w:type="dxa"/>
            <w:tcBorders>
              <w:top w:val="nil"/>
              <w:bottom w:val="nil"/>
            </w:tcBorders>
          </w:tcPr>
          <w:p w14:paraId="71139C97" w14:textId="77777777" w:rsidR="00B078AA" w:rsidRPr="008F03E5" w:rsidRDefault="00B078AA" w:rsidP="0005057B">
            <w:pPr>
              <w:rPr>
                <w:sz w:val="18"/>
                <w:szCs w:val="18"/>
                <w14:numSpacing w14:val="tabular"/>
              </w:rPr>
            </w:pPr>
            <w:r w:rsidRPr="008F03E5">
              <w:rPr>
                <w:sz w:val="18"/>
                <w:szCs w:val="18"/>
                <w14:numSpacing w14:val="tabular"/>
              </w:rPr>
              <w:t>‘Alí-Ábád</w:t>
            </w:r>
          </w:p>
        </w:tc>
        <w:tc>
          <w:tcPr>
            <w:tcW w:w="406" w:type="dxa"/>
            <w:tcBorders>
              <w:top w:val="nil"/>
              <w:bottom w:val="nil"/>
            </w:tcBorders>
          </w:tcPr>
          <w:p w14:paraId="186B4F3C" w14:textId="77777777" w:rsidR="00B078AA" w:rsidRPr="008F03E5" w:rsidRDefault="00B078AA" w:rsidP="0005057B">
            <w:pPr>
              <w:jc w:val="right"/>
              <w:rPr>
                <w:sz w:val="18"/>
                <w:szCs w:val="18"/>
                <w14:numSpacing w14:val="tabular"/>
              </w:rPr>
            </w:pPr>
            <w:r w:rsidRPr="008F03E5">
              <w:rPr>
                <w:sz w:val="18"/>
                <w:szCs w:val="18"/>
                <w14:numSpacing w14:val="tabular"/>
              </w:rPr>
              <w:t>41</w:t>
            </w:r>
          </w:p>
        </w:tc>
        <w:tc>
          <w:tcPr>
            <w:tcW w:w="3685" w:type="dxa"/>
            <w:tcBorders>
              <w:top w:val="nil"/>
              <w:bottom w:val="nil"/>
            </w:tcBorders>
          </w:tcPr>
          <w:p w14:paraId="67CB665E" w14:textId="77777777" w:rsidR="00B078AA" w:rsidRPr="008F03E5" w:rsidRDefault="00B078AA" w:rsidP="0005057B">
            <w:pPr>
              <w:rPr>
                <w:sz w:val="18"/>
                <w:szCs w:val="18"/>
                <w14:numSpacing w14:val="tabular"/>
              </w:rPr>
            </w:pPr>
            <w:r w:rsidRPr="008F03E5">
              <w:rPr>
                <w:sz w:val="18"/>
                <w:szCs w:val="18"/>
                <w14:numSpacing w14:val="tabular"/>
              </w:rPr>
              <w:t>Ba</w:t>
            </w:r>
            <w:r w:rsidRPr="008F03E5">
              <w:rPr>
                <w:sz w:val="18"/>
                <w:szCs w:val="18"/>
                <w:u w:val="single"/>
                <w14:numSpacing w14:val="tabular"/>
              </w:rPr>
              <w:t>gh</w:t>
            </w:r>
            <w:r w:rsidRPr="008F03E5">
              <w:rPr>
                <w:sz w:val="18"/>
                <w:szCs w:val="18"/>
                <w14:numSpacing w14:val="tabular"/>
              </w:rPr>
              <w:t>dád</w:t>
            </w:r>
          </w:p>
        </w:tc>
        <w:tc>
          <w:tcPr>
            <w:tcW w:w="406" w:type="dxa"/>
            <w:tcBorders>
              <w:top w:val="nil"/>
              <w:bottom w:val="nil"/>
            </w:tcBorders>
          </w:tcPr>
          <w:p w14:paraId="01231F7C" w14:textId="77777777" w:rsidR="00B078AA" w:rsidRPr="008F03E5" w:rsidRDefault="00B078AA" w:rsidP="0005057B">
            <w:pPr>
              <w:jc w:val="right"/>
              <w:rPr>
                <w:sz w:val="18"/>
                <w:szCs w:val="18"/>
                <w14:numSpacing w14:val="tabular"/>
              </w:rPr>
            </w:pPr>
            <w:r w:rsidRPr="008F03E5">
              <w:rPr>
                <w:sz w:val="18"/>
                <w:szCs w:val="18"/>
                <w14:numSpacing w14:val="tabular"/>
              </w:rPr>
              <w:t>70</w:t>
            </w:r>
          </w:p>
        </w:tc>
        <w:tc>
          <w:tcPr>
            <w:tcW w:w="3118" w:type="dxa"/>
            <w:tcBorders>
              <w:top w:val="nil"/>
              <w:bottom w:val="nil"/>
            </w:tcBorders>
          </w:tcPr>
          <w:p w14:paraId="3B7B8AC6" w14:textId="77777777" w:rsidR="00B078AA" w:rsidRPr="008F03E5" w:rsidRDefault="00B078AA" w:rsidP="0005057B">
            <w:pPr>
              <w:rPr>
                <w:sz w:val="18"/>
                <w:szCs w:val="18"/>
                <w14:numSpacing w14:val="tabular"/>
              </w:rPr>
            </w:pPr>
            <w:r w:rsidRPr="008F03E5">
              <w:rPr>
                <w:sz w:val="18"/>
                <w:szCs w:val="18"/>
                <w14:numSpacing w14:val="tabular"/>
              </w:rPr>
              <w:t>Anyábulí (Inebolu) 15 Aug</w:t>
            </w:r>
          </w:p>
        </w:tc>
      </w:tr>
      <w:tr w:rsidR="00B078AA" w:rsidRPr="008F03E5" w14:paraId="6BD27159" w14:textId="77777777" w:rsidTr="0005057B">
        <w:tc>
          <w:tcPr>
            <w:tcW w:w="406" w:type="dxa"/>
            <w:tcBorders>
              <w:top w:val="nil"/>
              <w:bottom w:val="nil"/>
            </w:tcBorders>
          </w:tcPr>
          <w:p w14:paraId="2810EFA5"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13</w:t>
            </w:r>
          </w:p>
        </w:tc>
        <w:tc>
          <w:tcPr>
            <w:tcW w:w="2891" w:type="dxa"/>
            <w:tcBorders>
              <w:top w:val="nil"/>
              <w:bottom w:val="nil"/>
            </w:tcBorders>
          </w:tcPr>
          <w:p w14:paraId="2CC64F68" w14:textId="77777777" w:rsidR="00B078AA" w:rsidRPr="008F03E5" w:rsidRDefault="00B078AA" w:rsidP="0005057B">
            <w:pPr>
              <w:rPr>
                <w:sz w:val="18"/>
                <w:szCs w:val="18"/>
                <w14:numSpacing w14:val="tabular"/>
              </w:rPr>
            </w:pPr>
            <w:r w:rsidRPr="008F03E5">
              <w:rPr>
                <w:sz w:val="18"/>
                <w:szCs w:val="18"/>
                <w14:numSpacing w14:val="tabular"/>
              </w:rPr>
              <w:t>Ku</w:t>
            </w:r>
            <w:r w:rsidRPr="008F03E5">
              <w:rPr>
                <w:sz w:val="18"/>
                <w:szCs w:val="18"/>
                <w:u w:val="single"/>
                <w14:numSpacing w14:val="tabular"/>
              </w:rPr>
              <w:t>sh</w:t>
            </w:r>
            <w:r w:rsidRPr="008F03E5">
              <w:rPr>
                <w:sz w:val="18"/>
                <w:szCs w:val="18"/>
                <w14:numSpacing w14:val="tabular"/>
              </w:rPr>
              <w:t>k-i-Nuṣrat</w:t>
            </w:r>
          </w:p>
        </w:tc>
        <w:tc>
          <w:tcPr>
            <w:tcW w:w="406" w:type="dxa"/>
            <w:tcBorders>
              <w:top w:val="nil"/>
              <w:bottom w:val="nil"/>
            </w:tcBorders>
          </w:tcPr>
          <w:p w14:paraId="4EE100AD" w14:textId="77777777" w:rsidR="00B078AA" w:rsidRPr="008F03E5" w:rsidRDefault="00B078AA" w:rsidP="0005057B">
            <w:pPr>
              <w:jc w:val="right"/>
              <w:rPr>
                <w:sz w:val="18"/>
                <w:szCs w:val="18"/>
                <w14:numSpacing w14:val="tabular"/>
              </w:rPr>
            </w:pPr>
            <w:r w:rsidRPr="008F03E5">
              <w:rPr>
                <w:sz w:val="18"/>
                <w:szCs w:val="18"/>
                <w14:numSpacing w14:val="tabular"/>
              </w:rPr>
              <w:t>42</w:t>
            </w:r>
          </w:p>
        </w:tc>
        <w:tc>
          <w:tcPr>
            <w:tcW w:w="3685" w:type="dxa"/>
            <w:tcBorders>
              <w:top w:val="nil"/>
              <w:bottom w:val="nil"/>
            </w:tcBorders>
          </w:tcPr>
          <w:p w14:paraId="28E3DA05" w14:textId="77777777" w:rsidR="00B078AA" w:rsidRPr="008F03E5" w:rsidRDefault="00B078AA" w:rsidP="0005057B">
            <w:pPr>
              <w:rPr>
                <w:sz w:val="18"/>
                <w:szCs w:val="18"/>
                <w14:numSpacing w14:val="tabular"/>
              </w:rPr>
            </w:pPr>
            <w:r w:rsidRPr="008F03E5">
              <w:rPr>
                <w:sz w:val="18"/>
                <w:szCs w:val="18"/>
                <w14:numSpacing w14:val="tabular"/>
              </w:rPr>
              <w:t xml:space="preserve">Najíbíyyih (3–14 of </w:t>
            </w:r>
            <w:r w:rsidRPr="008F03E5">
              <w:rPr>
                <w:sz w:val="18"/>
                <w:szCs w:val="18"/>
                <w:u w:val="single"/>
                <w14:numSpacing w14:val="tabular"/>
              </w:rPr>
              <w:t>Dh</w:t>
            </w:r>
            <w:r w:rsidRPr="008F03E5">
              <w:rPr>
                <w:sz w:val="18"/>
                <w:szCs w:val="18"/>
                <w14:numSpacing w14:val="tabular"/>
              </w:rPr>
              <w:t>i’l-Qa‘dih AH 1279)</w:t>
            </w:r>
            <w:r w:rsidRPr="008F03E5">
              <w:rPr>
                <w:rStyle w:val="FootnoteReference"/>
              </w:rPr>
              <w:footnoteReference w:id="49"/>
            </w:r>
          </w:p>
        </w:tc>
        <w:tc>
          <w:tcPr>
            <w:tcW w:w="406" w:type="dxa"/>
            <w:tcBorders>
              <w:top w:val="nil"/>
              <w:bottom w:val="nil"/>
            </w:tcBorders>
          </w:tcPr>
          <w:p w14:paraId="482FBE3E" w14:textId="77777777" w:rsidR="00B078AA" w:rsidRPr="008F03E5" w:rsidRDefault="00B078AA" w:rsidP="0005057B">
            <w:pPr>
              <w:jc w:val="right"/>
              <w:rPr>
                <w:sz w:val="18"/>
                <w:szCs w:val="18"/>
                <w14:numSpacing w14:val="tabular"/>
              </w:rPr>
            </w:pPr>
            <w:r w:rsidRPr="008F03E5">
              <w:rPr>
                <w:sz w:val="18"/>
                <w:szCs w:val="18"/>
                <w14:numSpacing w14:val="tabular"/>
              </w:rPr>
              <w:t>71</w:t>
            </w:r>
          </w:p>
        </w:tc>
        <w:tc>
          <w:tcPr>
            <w:tcW w:w="3118" w:type="dxa"/>
            <w:tcBorders>
              <w:top w:val="nil"/>
              <w:bottom w:val="nil"/>
            </w:tcBorders>
          </w:tcPr>
          <w:p w14:paraId="6AA234DA" w14:textId="77777777" w:rsidR="00B078AA" w:rsidRPr="008F03E5" w:rsidRDefault="00B078AA" w:rsidP="0005057B">
            <w:pPr>
              <w:rPr>
                <w:sz w:val="18"/>
                <w:szCs w:val="18"/>
                <w14:numSpacing w14:val="tabular"/>
              </w:rPr>
            </w:pPr>
            <w:r w:rsidRPr="008F03E5">
              <w:rPr>
                <w:sz w:val="18"/>
                <w:szCs w:val="18"/>
                <w14:numSpacing w14:val="tabular"/>
              </w:rPr>
              <w:t>Constantinople (now Istanbul)</w:t>
            </w:r>
          </w:p>
        </w:tc>
      </w:tr>
      <w:tr w:rsidR="00B078AA" w:rsidRPr="008F03E5" w14:paraId="5ED2FDC3" w14:textId="77777777" w:rsidTr="0005057B">
        <w:tc>
          <w:tcPr>
            <w:tcW w:w="406" w:type="dxa"/>
            <w:tcBorders>
              <w:top w:val="nil"/>
              <w:bottom w:val="nil"/>
            </w:tcBorders>
          </w:tcPr>
          <w:p w14:paraId="03536197"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14</w:t>
            </w:r>
          </w:p>
        </w:tc>
        <w:tc>
          <w:tcPr>
            <w:tcW w:w="2891" w:type="dxa"/>
            <w:tcBorders>
              <w:top w:val="nil"/>
              <w:bottom w:val="nil"/>
            </w:tcBorders>
          </w:tcPr>
          <w:p w14:paraId="30D393E1" w14:textId="77777777" w:rsidR="00B078AA" w:rsidRPr="008F03E5" w:rsidRDefault="00B078AA" w:rsidP="0005057B">
            <w:pPr>
              <w:rPr>
                <w:sz w:val="18"/>
                <w:szCs w:val="18"/>
                <w14:numSpacing w14:val="tabular"/>
              </w:rPr>
            </w:pPr>
            <w:r w:rsidRPr="008F03E5">
              <w:rPr>
                <w:sz w:val="18"/>
                <w:szCs w:val="18"/>
                <w14:numSpacing w14:val="tabular"/>
              </w:rPr>
              <w:t>Báqir-Ábád</w:t>
            </w:r>
          </w:p>
        </w:tc>
        <w:tc>
          <w:tcPr>
            <w:tcW w:w="406" w:type="dxa"/>
            <w:tcBorders>
              <w:top w:val="nil"/>
              <w:bottom w:val="nil"/>
            </w:tcBorders>
          </w:tcPr>
          <w:p w14:paraId="3FDCF728" w14:textId="77777777" w:rsidR="00B078AA" w:rsidRPr="008F03E5" w:rsidRDefault="00B078AA" w:rsidP="0005057B">
            <w:pPr>
              <w:jc w:val="right"/>
              <w:rPr>
                <w:sz w:val="18"/>
                <w:szCs w:val="18"/>
                <w14:numSpacing w14:val="tabular"/>
              </w:rPr>
            </w:pPr>
            <w:r w:rsidRPr="008F03E5">
              <w:rPr>
                <w:sz w:val="18"/>
                <w:szCs w:val="18"/>
                <w14:numSpacing w14:val="tabular"/>
              </w:rPr>
              <w:t>43</w:t>
            </w:r>
          </w:p>
        </w:tc>
        <w:tc>
          <w:tcPr>
            <w:tcW w:w="3685" w:type="dxa"/>
            <w:tcBorders>
              <w:top w:val="nil"/>
              <w:bottom w:val="nil"/>
            </w:tcBorders>
          </w:tcPr>
          <w:p w14:paraId="1B0290E6" w14:textId="77777777" w:rsidR="00B078AA" w:rsidRPr="008F03E5" w:rsidRDefault="00B078AA" w:rsidP="0005057B">
            <w:pPr>
              <w:rPr>
                <w:sz w:val="18"/>
                <w:szCs w:val="18"/>
                <w14:numSpacing w14:val="tabular"/>
              </w:rPr>
            </w:pPr>
            <w:r w:rsidRPr="008F03E5">
              <w:rPr>
                <w:sz w:val="18"/>
                <w:szCs w:val="18"/>
                <w14:numSpacing w14:val="tabular"/>
              </w:rPr>
              <w:t>Judaydih</w:t>
            </w:r>
          </w:p>
        </w:tc>
        <w:tc>
          <w:tcPr>
            <w:tcW w:w="406" w:type="dxa"/>
            <w:tcBorders>
              <w:top w:val="nil"/>
              <w:bottom w:val="nil"/>
            </w:tcBorders>
          </w:tcPr>
          <w:p w14:paraId="4C7D9973" w14:textId="77777777" w:rsidR="00B078AA" w:rsidRPr="008F03E5" w:rsidRDefault="00B078AA" w:rsidP="0005057B">
            <w:pPr>
              <w:jc w:val="right"/>
              <w:rPr>
                <w:sz w:val="18"/>
                <w:szCs w:val="18"/>
                <w14:numSpacing w14:val="tabular"/>
              </w:rPr>
            </w:pPr>
            <w:r w:rsidRPr="008F03E5">
              <w:rPr>
                <w:sz w:val="18"/>
                <w:szCs w:val="18"/>
                <w14:numSpacing w14:val="tabular"/>
              </w:rPr>
              <w:t>72</w:t>
            </w:r>
          </w:p>
        </w:tc>
        <w:tc>
          <w:tcPr>
            <w:tcW w:w="3118" w:type="dxa"/>
            <w:tcBorders>
              <w:top w:val="nil"/>
              <w:bottom w:val="nil"/>
            </w:tcBorders>
          </w:tcPr>
          <w:p w14:paraId="0974BF13" w14:textId="77777777" w:rsidR="00B078AA" w:rsidRPr="008F03E5" w:rsidRDefault="00B078AA" w:rsidP="0005057B">
            <w:pPr>
              <w:rPr>
                <w:sz w:val="18"/>
                <w:szCs w:val="18"/>
                <w14:numSpacing w14:val="tabular"/>
              </w:rPr>
            </w:pPr>
            <w:r w:rsidRPr="008F03E5">
              <w:rPr>
                <w:sz w:val="18"/>
                <w:szCs w:val="18"/>
                <w14:numSpacing w14:val="tabular"/>
              </w:rPr>
              <w:t>Kú</w:t>
            </w:r>
            <w:r w:rsidRPr="008F03E5">
              <w:rPr>
                <w:sz w:val="18"/>
                <w:szCs w:val="18"/>
                <w:u w:val="single"/>
                <w14:numSpacing w14:val="tabular"/>
              </w:rPr>
              <w:t>ch</w:t>
            </w:r>
            <w:r w:rsidRPr="008F03E5">
              <w:rPr>
                <w:sz w:val="18"/>
                <w:szCs w:val="18"/>
                <w14:numSpacing w14:val="tabular"/>
              </w:rPr>
              <w:t>ik-</w:t>
            </w:r>
            <w:r w:rsidRPr="008F03E5">
              <w:rPr>
                <w:sz w:val="18"/>
                <w:szCs w:val="18"/>
                <w:u w:val="single"/>
                <w14:numSpacing w14:val="tabular"/>
              </w:rPr>
              <w:t>Ch</w:t>
            </w:r>
            <w:r w:rsidRPr="008F03E5">
              <w:rPr>
                <w:sz w:val="18"/>
                <w:szCs w:val="18"/>
                <w14:numSpacing w14:val="tabular"/>
              </w:rPr>
              <w:t>akma</w:t>
            </w:r>
            <w:r w:rsidRPr="008F03E5">
              <w:rPr>
                <w:sz w:val="18"/>
                <w:szCs w:val="18"/>
                <w:u w:val="single"/>
                <w14:numSpacing w14:val="tabular"/>
              </w:rPr>
              <w:t>ch</w:t>
            </w:r>
            <w:r w:rsidRPr="008F03E5">
              <w:rPr>
                <w:sz w:val="18"/>
                <w:szCs w:val="18"/>
                <w14:numSpacing w14:val="tabular"/>
              </w:rPr>
              <w:t>ih (Küçükçekmece)</w:t>
            </w:r>
          </w:p>
        </w:tc>
      </w:tr>
      <w:tr w:rsidR="00B078AA" w:rsidRPr="008F03E5" w14:paraId="3E5E7099" w14:textId="77777777" w:rsidTr="0005057B">
        <w:tc>
          <w:tcPr>
            <w:tcW w:w="406" w:type="dxa"/>
            <w:tcBorders>
              <w:top w:val="nil"/>
              <w:bottom w:val="nil"/>
            </w:tcBorders>
          </w:tcPr>
          <w:p w14:paraId="5F5E1514"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15</w:t>
            </w:r>
          </w:p>
        </w:tc>
        <w:tc>
          <w:tcPr>
            <w:tcW w:w="2891" w:type="dxa"/>
            <w:tcBorders>
              <w:top w:val="nil"/>
              <w:bottom w:val="nil"/>
            </w:tcBorders>
          </w:tcPr>
          <w:p w14:paraId="375B880B" w14:textId="77777777" w:rsidR="00B078AA" w:rsidRPr="008F03E5" w:rsidRDefault="00B078AA" w:rsidP="0005057B">
            <w:pPr>
              <w:rPr>
                <w:sz w:val="18"/>
                <w:szCs w:val="18"/>
                <w14:numSpacing w14:val="tabular"/>
              </w:rPr>
            </w:pPr>
            <w:r w:rsidRPr="008F03E5">
              <w:rPr>
                <w:sz w:val="18"/>
                <w:szCs w:val="18"/>
                <w14:numSpacing w14:val="tabular"/>
              </w:rPr>
              <w:t>Manẓariyyih</w:t>
            </w:r>
          </w:p>
        </w:tc>
        <w:tc>
          <w:tcPr>
            <w:tcW w:w="406" w:type="dxa"/>
            <w:tcBorders>
              <w:top w:val="nil"/>
              <w:bottom w:val="nil"/>
            </w:tcBorders>
          </w:tcPr>
          <w:p w14:paraId="4D7ED76D" w14:textId="77777777" w:rsidR="00B078AA" w:rsidRPr="008F03E5" w:rsidRDefault="00B078AA" w:rsidP="0005057B">
            <w:pPr>
              <w:jc w:val="right"/>
              <w:rPr>
                <w:sz w:val="18"/>
                <w:szCs w:val="18"/>
                <w14:numSpacing w14:val="tabular"/>
              </w:rPr>
            </w:pPr>
            <w:r w:rsidRPr="008F03E5">
              <w:rPr>
                <w:sz w:val="18"/>
                <w:szCs w:val="18"/>
                <w14:numSpacing w14:val="tabular"/>
              </w:rPr>
              <w:t>44</w:t>
            </w:r>
          </w:p>
        </w:tc>
        <w:tc>
          <w:tcPr>
            <w:tcW w:w="3685" w:type="dxa"/>
            <w:tcBorders>
              <w:top w:val="nil"/>
              <w:bottom w:val="nil"/>
            </w:tcBorders>
          </w:tcPr>
          <w:p w14:paraId="161B4ABD" w14:textId="77777777" w:rsidR="00B078AA" w:rsidRPr="00D45A23" w:rsidRDefault="00B078AA" w:rsidP="0005057B">
            <w:pPr>
              <w:rPr>
                <w:sz w:val="18"/>
                <w:szCs w:val="18"/>
                <w:lang w:val="it-IT"/>
                <w14:numSpacing w14:val="tabular"/>
              </w:rPr>
            </w:pPr>
            <w:r w:rsidRPr="00D45A23">
              <w:rPr>
                <w:sz w:val="18"/>
                <w:szCs w:val="18"/>
                <w:lang w:val="it-IT"/>
                <w14:numSpacing w14:val="tabular"/>
              </w:rPr>
              <w:t>Dilí-‘Abbás (</w:t>
            </w:r>
            <w:r w:rsidRPr="00D45A23">
              <w:rPr>
                <w:sz w:val="18"/>
                <w:szCs w:val="18"/>
                <w:lang w:val="it-IT"/>
              </w:rPr>
              <w:t xml:space="preserve">Delli Abbas, </w:t>
            </w:r>
            <w:r w:rsidRPr="00D45A23">
              <w:rPr>
                <w:sz w:val="18"/>
                <w:szCs w:val="18"/>
                <w:lang w:val="it-IT"/>
                <w14:numSpacing w14:val="tabular"/>
              </w:rPr>
              <w:t>near al-Muqdádiyah)</w:t>
            </w:r>
          </w:p>
        </w:tc>
        <w:tc>
          <w:tcPr>
            <w:tcW w:w="406" w:type="dxa"/>
            <w:tcBorders>
              <w:top w:val="nil"/>
              <w:bottom w:val="nil"/>
            </w:tcBorders>
          </w:tcPr>
          <w:p w14:paraId="300EFBD8" w14:textId="77777777" w:rsidR="00B078AA" w:rsidRPr="008F03E5" w:rsidRDefault="00B078AA" w:rsidP="0005057B">
            <w:pPr>
              <w:jc w:val="right"/>
              <w:rPr>
                <w:sz w:val="18"/>
                <w:szCs w:val="18"/>
                <w14:numSpacing w14:val="tabular"/>
              </w:rPr>
            </w:pPr>
            <w:r w:rsidRPr="008F03E5">
              <w:rPr>
                <w:sz w:val="18"/>
                <w:szCs w:val="18"/>
                <w14:numSpacing w14:val="tabular"/>
              </w:rPr>
              <w:t>73</w:t>
            </w:r>
          </w:p>
        </w:tc>
        <w:tc>
          <w:tcPr>
            <w:tcW w:w="3118" w:type="dxa"/>
            <w:tcBorders>
              <w:top w:val="nil"/>
              <w:bottom w:val="nil"/>
            </w:tcBorders>
          </w:tcPr>
          <w:p w14:paraId="49E05660" w14:textId="77777777" w:rsidR="00B078AA" w:rsidRPr="008F03E5" w:rsidRDefault="00B078AA" w:rsidP="0005057B">
            <w:pPr>
              <w:rPr>
                <w:sz w:val="18"/>
                <w:szCs w:val="18"/>
                <w14:numSpacing w14:val="tabular"/>
              </w:rPr>
            </w:pPr>
            <w:r w:rsidRPr="008F03E5">
              <w:rPr>
                <w:sz w:val="18"/>
                <w:szCs w:val="18"/>
                <w14:numSpacing w14:val="tabular"/>
              </w:rPr>
              <w:t>Búyúk-</w:t>
            </w:r>
            <w:r w:rsidRPr="008F03E5">
              <w:rPr>
                <w:sz w:val="18"/>
                <w:szCs w:val="18"/>
                <w:u w:val="single"/>
                <w14:numSpacing w14:val="tabular"/>
              </w:rPr>
              <w:t>Ch</w:t>
            </w:r>
            <w:r w:rsidRPr="008F03E5">
              <w:rPr>
                <w:sz w:val="18"/>
                <w:szCs w:val="18"/>
                <w14:numSpacing w14:val="tabular"/>
              </w:rPr>
              <w:t>akma</w:t>
            </w:r>
            <w:r w:rsidRPr="008F03E5">
              <w:rPr>
                <w:sz w:val="18"/>
                <w:szCs w:val="18"/>
                <w:u w:val="single"/>
                <w14:numSpacing w14:val="tabular"/>
              </w:rPr>
              <w:t>ch</w:t>
            </w:r>
            <w:r w:rsidRPr="008F03E5">
              <w:rPr>
                <w:sz w:val="18"/>
                <w:szCs w:val="18"/>
                <w14:numSpacing w14:val="tabular"/>
              </w:rPr>
              <w:t>ih (Büyükçekmece)</w:t>
            </w:r>
          </w:p>
        </w:tc>
      </w:tr>
      <w:tr w:rsidR="00B078AA" w:rsidRPr="008F03E5" w14:paraId="34CA86CD" w14:textId="77777777" w:rsidTr="0005057B">
        <w:tc>
          <w:tcPr>
            <w:tcW w:w="406" w:type="dxa"/>
            <w:tcBorders>
              <w:top w:val="nil"/>
              <w:bottom w:val="nil"/>
            </w:tcBorders>
          </w:tcPr>
          <w:p w14:paraId="4812819C"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16</w:t>
            </w:r>
          </w:p>
        </w:tc>
        <w:tc>
          <w:tcPr>
            <w:tcW w:w="2891" w:type="dxa"/>
            <w:tcBorders>
              <w:top w:val="nil"/>
              <w:bottom w:val="nil"/>
            </w:tcBorders>
          </w:tcPr>
          <w:p w14:paraId="09032A52" w14:textId="77777777" w:rsidR="00B078AA" w:rsidRPr="008F03E5" w:rsidRDefault="00B078AA" w:rsidP="0005057B">
            <w:pPr>
              <w:rPr>
                <w:sz w:val="18"/>
                <w:szCs w:val="18"/>
                <w14:numSpacing w14:val="tabular"/>
              </w:rPr>
            </w:pPr>
            <w:r w:rsidRPr="008F03E5">
              <w:rPr>
                <w:sz w:val="18"/>
                <w:szCs w:val="18"/>
                <w14:numSpacing w14:val="tabular"/>
              </w:rPr>
              <w:t>Qum</w:t>
            </w:r>
          </w:p>
        </w:tc>
        <w:tc>
          <w:tcPr>
            <w:tcW w:w="406" w:type="dxa"/>
            <w:tcBorders>
              <w:top w:val="nil"/>
              <w:bottom w:val="nil"/>
            </w:tcBorders>
          </w:tcPr>
          <w:p w14:paraId="597B4DCD" w14:textId="77777777" w:rsidR="00B078AA" w:rsidRPr="008F03E5" w:rsidRDefault="00B078AA" w:rsidP="0005057B">
            <w:pPr>
              <w:jc w:val="right"/>
              <w:rPr>
                <w:sz w:val="18"/>
                <w:szCs w:val="18"/>
                <w14:numSpacing w14:val="tabular"/>
              </w:rPr>
            </w:pPr>
            <w:r w:rsidRPr="008F03E5">
              <w:rPr>
                <w:sz w:val="18"/>
                <w:szCs w:val="18"/>
                <w14:numSpacing w14:val="tabular"/>
              </w:rPr>
              <w:t>45</w:t>
            </w:r>
          </w:p>
        </w:tc>
        <w:tc>
          <w:tcPr>
            <w:tcW w:w="3685" w:type="dxa"/>
            <w:tcBorders>
              <w:top w:val="nil"/>
              <w:bottom w:val="nil"/>
            </w:tcBorders>
          </w:tcPr>
          <w:p w14:paraId="6A648C49" w14:textId="77777777" w:rsidR="00B078AA" w:rsidRPr="008F03E5" w:rsidRDefault="00B078AA" w:rsidP="0005057B">
            <w:pPr>
              <w:rPr>
                <w:sz w:val="18"/>
                <w:szCs w:val="18"/>
                <w14:numSpacing w14:val="tabular"/>
              </w:rPr>
            </w:pPr>
            <w:r w:rsidRPr="008F03E5">
              <w:rPr>
                <w:sz w:val="18"/>
                <w:szCs w:val="18"/>
                <w14:numSpacing w14:val="tabular"/>
              </w:rPr>
              <w:t xml:space="preserve">Qarih-Tapih </w:t>
            </w:r>
            <w:r w:rsidRPr="008F03E5">
              <w:rPr>
                <w:sz w:val="18"/>
                <w:szCs w:val="18"/>
              </w:rPr>
              <w:t>(Qarah Tabbah/Qarah Tapah)</w:t>
            </w:r>
          </w:p>
        </w:tc>
        <w:tc>
          <w:tcPr>
            <w:tcW w:w="406" w:type="dxa"/>
            <w:tcBorders>
              <w:top w:val="nil"/>
              <w:bottom w:val="nil"/>
            </w:tcBorders>
          </w:tcPr>
          <w:p w14:paraId="2E66AC0E" w14:textId="77777777" w:rsidR="00B078AA" w:rsidRPr="008F03E5" w:rsidRDefault="00B078AA" w:rsidP="0005057B">
            <w:pPr>
              <w:jc w:val="right"/>
              <w:rPr>
                <w:sz w:val="18"/>
                <w:szCs w:val="18"/>
                <w14:numSpacing w14:val="tabular"/>
              </w:rPr>
            </w:pPr>
            <w:r w:rsidRPr="008F03E5">
              <w:rPr>
                <w:sz w:val="18"/>
                <w:szCs w:val="18"/>
                <w14:numSpacing w14:val="tabular"/>
              </w:rPr>
              <w:t>74</w:t>
            </w:r>
          </w:p>
        </w:tc>
        <w:tc>
          <w:tcPr>
            <w:tcW w:w="3118" w:type="dxa"/>
            <w:tcBorders>
              <w:top w:val="nil"/>
              <w:bottom w:val="nil"/>
            </w:tcBorders>
          </w:tcPr>
          <w:p w14:paraId="33E35F44" w14:textId="77777777" w:rsidR="00B078AA" w:rsidRPr="008F03E5" w:rsidRDefault="00B078AA" w:rsidP="0005057B">
            <w:pPr>
              <w:rPr>
                <w:sz w:val="18"/>
                <w:szCs w:val="18"/>
                <w14:numSpacing w14:val="tabular"/>
              </w:rPr>
            </w:pPr>
            <w:r w:rsidRPr="008F03E5">
              <w:rPr>
                <w:sz w:val="18"/>
                <w:szCs w:val="18"/>
                <w14:numSpacing w14:val="tabular"/>
              </w:rPr>
              <w:t>Salvarí (Silivri)</w:t>
            </w:r>
          </w:p>
        </w:tc>
      </w:tr>
      <w:tr w:rsidR="00B078AA" w:rsidRPr="008F03E5" w14:paraId="5538E3BA" w14:textId="77777777" w:rsidTr="0005057B">
        <w:tc>
          <w:tcPr>
            <w:tcW w:w="406" w:type="dxa"/>
            <w:tcBorders>
              <w:top w:val="nil"/>
              <w:bottom w:val="nil"/>
            </w:tcBorders>
          </w:tcPr>
          <w:p w14:paraId="58A22ACE"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17</w:t>
            </w:r>
          </w:p>
        </w:tc>
        <w:tc>
          <w:tcPr>
            <w:tcW w:w="2891" w:type="dxa"/>
            <w:tcBorders>
              <w:top w:val="nil"/>
              <w:bottom w:val="nil"/>
            </w:tcBorders>
          </w:tcPr>
          <w:p w14:paraId="605113D9" w14:textId="77777777" w:rsidR="00B078AA" w:rsidRPr="008F03E5" w:rsidRDefault="00B078AA" w:rsidP="0005057B">
            <w:pPr>
              <w:rPr>
                <w:sz w:val="18"/>
                <w:szCs w:val="18"/>
                <w14:numSpacing w14:val="tabular"/>
              </w:rPr>
            </w:pPr>
            <w:r w:rsidRPr="008F03E5">
              <w:rPr>
                <w:sz w:val="18"/>
                <w:szCs w:val="18"/>
                <w14:numSpacing w14:val="tabular"/>
              </w:rPr>
              <w:t>Taláb</w:t>
            </w:r>
            <w:r w:rsidRPr="008F03E5">
              <w:rPr>
                <w:sz w:val="18"/>
                <w:szCs w:val="18"/>
              </w:rPr>
              <w:t xml:space="preserve"> (Ṭáyiqán)</w:t>
            </w:r>
          </w:p>
        </w:tc>
        <w:tc>
          <w:tcPr>
            <w:tcW w:w="406" w:type="dxa"/>
            <w:tcBorders>
              <w:top w:val="nil"/>
              <w:bottom w:val="nil"/>
            </w:tcBorders>
          </w:tcPr>
          <w:p w14:paraId="21736511" w14:textId="77777777" w:rsidR="00B078AA" w:rsidRPr="008F03E5" w:rsidRDefault="00B078AA" w:rsidP="0005057B">
            <w:pPr>
              <w:jc w:val="right"/>
              <w:rPr>
                <w:sz w:val="18"/>
                <w:szCs w:val="18"/>
                <w14:numSpacing w14:val="tabular"/>
              </w:rPr>
            </w:pPr>
            <w:r w:rsidRPr="008F03E5">
              <w:rPr>
                <w:sz w:val="18"/>
                <w:szCs w:val="18"/>
                <w14:numSpacing w14:val="tabular"/>
              </w:rPr>
              <w:t>46</w:t>
            </w:r>
          </w:p>
        </w:tc>
        <w:tc>
          <w:tcPr>
            <w:tcW w:w="3685" w:type="dxa"/>
            <w:tcBorders>
              <w:top w:val="nil"/>
              <w:bottom w:val="nil"/>
            </w:tcBorders>
          </w:tcPr>
          <w:p w14:paraId="62F912F8" w14:textId="77777777" w:rsidR="00B078AA" w:rsidRPr="008F03E5" w:rsidRDefault="00B078AA" w:rsidP="0005057B">
            <w:pPr>
              <w:rPr>
                <w:sz w:val="18"/>
                <w:szCs w:val="18"/>
                <w14:numSpacing w14:val="tabular"/>
              </w:rPr>
            </w:pPr>
            <w:r w:rsidRPr="008F03E5">
              <w:rPr>
                <w:sz w:val="18"/>
                <w:szCs w:val="18"/>
                <w14:numSpacing w14:val="tabular"/>
              </w:rPr>
              <w:t>Ṣaláḥiyyih</w:t>
            </w:r>
            <w:r w:rsidRPr="008F03E5">
              <w:rPr>
                <w:sz w:val="18"/>
                <w:szCs w:val="18"/>
              </w:rPr>
              <w:t xml:space="preserve"> (Kifrí)</w:t>
            </w:r>
          </w:p>
        </w:tc>
        <w:tc>
          <w:tcPr>
            <w:tcW w:w="406" w:type="dxa"/>
            <w:tcBorders>
              <w:top w:val="nil"/>
              <w:bottom w:val="nil"/>
            </w:tcBorders>
          </w:tcPr>
          <w:p w14:paraId="08598D1D" w14:textId="77777777" w:rsidR="00B078AA" w:rsidRPr="008F03E5" w:rsidRDefault="00B078AA" w:rsidP="0005057B">
            <w:pPr>
              <w:jc w:val="right"/>
              <w:rPr>
                <w:sz w:val="18"/>
                <w:szCs w:val="18"/>
                <w14:numSpacing w14:val="tabular"/>
              </w:rPr>
            </w:pPr>
            <w:r w:rsidRPr="008F03E5">
              <w:rPr>
                <w:sz w:val="18"/>
                <w:szCs w:val="18"/>
                <w14:numSpacing w14:val="tabular"/>
              </w:rPr>
              <w:t>75</w:t>
            </w:r>
          </w:p>
        </w:tc>
        <w:tc>
          <w:tcPr>
            <w:tcW w:w="3118" w:type="dxa"/>
            <w:tcBorders>
              <w:top w:val="nil"/>
              <w:bottom w:val="nil"/>
            </w:tcBorders>
          </w:tcPr>
          <w:p w14:paraId="6E873CEB" w14:textId="77777777" w:rsidR="00B078AA" w:rsidRPr="008F03E5" w:rsidRDefault="00B078AA" w:rsidP="0005057B">
            <w:pPr>
              <w:rPr>
                <w:sz w:val="18"/>
                <w:szCs w:val="18"/>
                <w14:numSpacing w14:val="tabular"/>
              </w:rPr>
            </w:pPr>
            <w:r w:rsidRPr="008F03E5">
              <w:rPr>
                <w:sz w:val="18"/>
                <w:szCs w:val="18"/>
                <w14:numSpacing w14:val="tabular"/>
              </w:rPr>
              <w:t>Birkás (“Lule Burgas” or Lüleburgaz)</w:t>
            </w:r>
          </w:p>
        </w:tc>
      </w:tr>
      <w:tr w:rsidR="00B078AA" w:rsidRPr="008F03E5" w14:paraId="1BB5EF66" w14:textId="77777777" w:rsidTr="0005057B">
        <w:tc>
          <w:tcPr>
            <w:tcW w:w="406" w:type="dxa"/>
            <w:tcBorders>
              <w:top w:val="nil"/>
              <w:bottom w:val="nil"/>
            </w:tcBorders>
          </w:tcPr>
          <w:p w14:paraId="0285470B"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18</w:t>
            </w:r>
          </w:p>
        </w:tc>
        <w:tc>
          <w:tcPr>
            <w:tcW w:w="2891" w:type="dxa"/>
            <w:tcBorders>
              <w:top w:val="nil"/>
              <w:bottom w:val="nil"/>
            </w:tcBorders>
          </w:tcPr>
          <w:p w14:paraId="4E0316C2" w14:textId="77777777" w:rsidR="00B078AA" w:rsidRPr="008F03E5" w:rsidRDefault="00B078AA" w:rsidP="0005057B">
            <w:pPr>
              <w:rPr>
                <w:sz w:val="18"/>
                <w:szCs w:val="18"/>
                <w14:numSpacing w14:val="tabular"/>
              </w:rPr>
            </w:pPr>
            <w:r w:rsidRPr="008F03E5">
              <w:rPr>
                <w:sz w:val="18"/>
                <w:szCs w:val="18"/>
                <w14:numSpacing w14:val="tabular"/>
              </w:rPr>
              <w:t>Táj-</w:t>
            </w:r>
            <w:r w:rsidRPr="008F03E5">
              <w:rPr>
                <w:sz w:val="18"/>
                <w:szCs w:val="18"/>
                <w:u w:val="single"/>
                <w14:numSpacing w14:val="tabular"/>
              </w:rPr>
              <w:t>Kh</w:t>
            </w:r>
            <w:r w:rsidRPr="008F03E5">
              <w:rPr>
                <w:sz w:val="18"/>
                <w:szCs w:val="18"/>
                <w14:numSpacing w14:val="tabular"/>
              </w:rPr>
              <w:t>átún</w:t>
            </w:r>
          </w:p>
        </w:tc>
        <w:tc>
          <w:tcPr>
            <w:tcW w:w="406" w:type="dxa"/>
            <w:tcBorders>
              <w:top w:val="nil"/>
              <w:bottom w:val="nil"/>
            </w:tcBorders>
          </w:tcPr>
          <w:p w14:paraId="678CFF4C" w14:textId="77777777" w:rsidR="00B078AA" w:rsidRPr="008F03E5" w:rsidRDefault="00B078AA" w:rsidP="0005057B">
            <w:pPr>
              <w:jc w:val="right"/>
              <w:rPr>
                <w:sz w:val="18"/>
                <w:szCs w:val="18"/>
                <w14:numSpacing w14:val="tabular"/>
              </w:rPr>
            </w:pPr>
            <w:r w:rsidRPr="008F03E5">
              <w:rPr>
                <w:sz w:val="18"/>
                <w:szCs w:val="18"/>
                <w14:numSpacing w14:val="tabular"/>
              </w:rPr>
              <w:t>47</w:t>
            </w:r>
          </w:p>
        </w:tc>
        <w:tc>
          <w:tcPr>
            <w:tcW w:w="3685" w:type="dxa"/>
            <w:tcBorders>
              <w:top w:val="nil"/>
              <w:bottom w:val="nil"/>
            </w:tcBorders>
          </w:tcPr>
          <w:p w14:paraId="272AE9E4" w14:textId="77777777" w:rsidR="00B078AA" w:rsidRPr="008F03E5" w:rsidRDefault="00B078AA" w:rsidP="0005057B">
            <w:pPr>
              <w:rPr>
                <w:sz w:val="18"/>
                <w:szCs w:val="18"/>
                <w14:numSpacing w14:val="tabular"/>
              </w:rPr>
            </w:pPr>
            <w:r w:rsidRPr="008F03E5">
              <w:rPr>
                <w:sz w:val="18"/>
                <w:szCs w:val="18"/>
                <w14:numSpacing w14:val="tabular"/>
              </w:rPr>
              <w:t>Dúst-</w:t>
            </w:r>
            <w:r w:rsidRPr="008F03E5">
              <w:rPr>
                <w:sz w:val="18"/>
                <w:szCs w:val="18"/>
                <w:u w:val="single"/>
                <w14:numSpacing w14:val="tabular"/>
              </w:rPr>
              <w:t>Kh</w:t>
            </w:r>
            <w:r w:rsidRPr="008F03E5">
              <w:rPr>
                <w:sz w:val="18"/>
                <w:szCs w:val="18"/>
                <w14:numSpacing w14:val="tabular"/>
              </w:rPr>
              <w:t>urmátú</w:t>
            </w:r>
            <w:r w:rsidRPr="008F03E5">
              <w:rPr>
                <w:sz w:val="18"/>
                <w:szCs w:val="18"/>
              </w:rPr>
              <w:t xml:space="preserve"> (Ṭuz </w:t>
            </w:r>
            <w:r w:rsidRPr="008F03E5">
              <w:rPr>
                <w:sz w:val="18"/>
                <w:szCs w:val="18"/>
                <w:u w:val="single"/>
              </w:rPr>
              <w:t>Kh</w:t>
            </w:r>
            <w:r w:rsidRPr="008F03E5">
              <w:rPr>
                <w:sz w:val="18"/>
                <w:szCs w:val="18"/>
              </w:rPr>
              <w:t>urmát/Tuz Khurma)</w:t>
            </w:r>
          </w:p>
        </w:tc>
        <w:tc>
          <w:tcPr>
            <w:tcW w:w="406" w:type="dxa"/>
            <w:tcBorders>
              <w:top w:val="nil"/>
              <w:bottom w:val="nil"/>
            </w:tcBorders>
          </w:tcPr>
          <w:p w14:paraId="345B9D28" w14:textId="77777777" w:rsidR="00B078AA" w:rsidRPr="008F03E5" w:rsidRDefault="00B078AA" w:rsidP="0005057B">
            <w:pPr>
              <w:jc w:val="right"/>
              <w:rPr>
                <w:sz w:val="18"/>
                <w:szCs w:val="18"/>
                <w14:numSpacing w14:val="tabular"/>
              </w:rPr>
            </w:pPr>
            <w:r w:rsidRPr="008F03E5">
              <w:rPr>
                <w:sz w:val="18"/>
                <w:szCs w:val="18"/>
                <w14:numSpacing w14:val="tabular"/>
              </w:rPr>
              <w:t>76</w:t>
            </w:r>
          </w:p>
        </w:tc>
        <w:tc>
          <w:tcPr>
            <w:tcW w:w="3118" w:type="dxa"/>
            <w:tcBorders>
              <w:top w:val="nil"/>
              <w:bottom w:val="nil"/>
            </w:tcBorders>
          </w:tcPr>
          <w:p w14:paraId="39A8CC64" w14:textId="77777777" w:rsidR="00B078AA" w:rsidRPr="008F03E5" w:rsidRDefault="00B078AA" w:rsidP="0005057B">
            <w:pPr>
              <w:rPr>
                <w:sz w:val="18"/>
                <w:szCs w:val="18"/>
                <w14:numSpacing w14:val="tabular"/>
              </w:rPr>
            </w:pPr>
            <w:r w:rsidRPr="008F03E5">
              <w:rPr>
                <w:sz w:val="18"/>
                <w:szCs w:val="18"/>
                <w14:numSpacing w14:val="tabular"/>
              </w:rPr>
              <w:t>Bábá-Ískí (Babaeski)</w:t>
            </w:r>
          </w:p>
        </w:tc>
      </w:tr>
      <w:tr w:rsidR="00B078AA" w:rsidRPr="008F03E5" w14:paraId="19A3BCCA" w14:textId="77777777" w:rsidTr="0005057B">
        <w:tc>
          <w:tcPr>
            <w:tcW w:w="406" w:type="dxa"/>
            <w:tcBorders>
              <w:top w:val="nil"/>
              <w:bottom w:val="nil"/>
            </w:tcBorders>
          </w:tcPr>
          <w:p w14:paraId="2DADD214"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19</w:t>
            </w:r>
          </w:p>
        </w:tc>
        <w:tc>
          <w:tcPr>
            <w:tcW w:w="2891" w:type="dxa"/>
            <w:tcBorders>
              <w:top w:val="nil"/>
              <w:bottom w:val="nil"/>
            </w:tcBorders>
          </w:tcPr>
          <w:p w14:paraId="006121AF" w14:textId="77777777" w:rsidR="00B078AA" w:rsidRPr="008F03E5" w:rsidRDefault="00B078AA" w:rsidP="0005057B">
            <w:pPr>
              <w:rPr>
                <w:sz w:val="18"/>
                <w:szCs w:val="18"/>
                <w14:numSpacing w14:val="tabular"/>
              </w:rPr>
            </w:pPr>
            <w:r w:rsidRPr="008F03E5">
              <w:rPr>
                <w:sz w:val="18"/>
                <w:szCs w:val="18"/>
                <w14:numSpacing w14:val="tabular"/>
              </w:rPr>
              <w:t>Ráhjird</w:t>
            </w:r>
          </w:p>
        </w:tc>
        <w:tc>
          <w:tcPr>
            <w:tcW w:w="406" w:type="dxa"/>
            <w:tcBorders>
              <w:top w:val="nil"/>
              <w:bottom w:val="nil"/>
            </w:tcBorders>
          </w:tcPr>
          <w:p w14:paraId="2955F6F0" w14:textId="77777777" w:rsidR="00B078AA" w:rsidRPr="008F03E5" w:rsidRDefault="00B078AA" w:rsidP="0005057B">
            <w:pPr>
              <w:jc w:val="right"/>
              <w:rPr>
                <w:sz w:val="18"/>
                <w:szCs w:val="18"/>
                <w14:numSpacing w14:val="tabular"/>
              </w:rPr>
            </w:pPr>
            <w:r w:rsidRPr="008F03E5">
              <w:rPr>
                <w:sz w:val="18"/>
                <w:szCs w:val="18"/>
                <w14:numSpacing w14:val="tabular"/>
              </w:rPr>
              <w:t>48</w:t>
            </w:r>
          </w:p>
        </w:tc>
        <w:tc>
          <w:tcPr>
            <w:tcW w:w="3685" w:type="dxa"/>
            <w:tcBorders>
              <w:top w:val="nil"/>
              <w:bottom w:val="nil"/>
            </w:tcBorders>
          </w:tcPr>
          <w:p w14:paraId="61EF3026" w14:textId="77777777" w:rsidR="00B078AA" w:rsidRPr="008F03E5" w:rsidRDefault="00B078AA" w:rsidP="0005057B">
            <w:pPr>
              <w:rPr>
                <w:sz w:val="18"/>
                <w:szCs w:val="18"/>
                <w14:numSpacing w14:val="tabular"/>
              </w:rPr>
            </w:pPr>
            <w:r w:rsidRPr="008F03E5">
              <w:rPr>
                <w:sz w:val="18"/>
                <w:szCs w:val="18"/>
                <w14:numSpacing w14:val="tabular"/>
              </w:rPr>
              <w:t>Táwuq</w:t>
            </w:r>
          </w:p>
        </w:tc>
        <w:tc>
          <w:tcPr>
            <w:tcW w:w="406" w:type="dxa"/>
            <w:tcBorders>
              <w:top w:val="nil"/>
              <w:bottom w:val="nil"/>
            </w:tcBorders>
          </w:tcPr>
          <w:p w14:paraId="30171DAA" w14:textId="77777777" w:rsidR="00B078AA" w:rsidRPr="008F03E5" w:rsidRDefault="00B078AA" w:rsidP="0005057B">
            <w:pPr>
              <w:jc w:val="right"/>
              <w:rPr>
                <w:sz w:val="18"/>
                <w:szCs w:val="18"/>
                <w14:numSpacing w14:val="tabular"/>
              </w:rPr>
            </w:pPr>
            <w:r w:rsidRPr="008F03E5">
              <w:rPr>
                <w:sz w:val="18"/>
                <w:szCs w:val="18"/>
                <w14:numSpacing w14:val="tabular"/>
              </w:rPr>
              <w:t>77</w:t>
            </w:r>
          </w:p>
        </w:tc>
        <w:tc>
          <w:tcPr>
            <w:tcW w:w="3118" w:type="dxa"/>
            <w:tcBorders>
              <w:top w:val="nil"/>
              <w:bottom w:val="nil"/>
            </w:tcBorders>
          </w:tcPr>
          <w:p w14:paraId="01D9BFE7" w14:textId="77777777" w:rsidR="00B078AA" w:rsidRPr="008F03E5" w:rsidRDefault="00B078AA" w:rsidP="0005057B">
            <w:pPr>
              <w:rPr>
                <w:sz w:val="18"/>
                <w:szCs w:val="18"/>
                <w14:numSpacing w14:val="tabular"/>
              </w:rPr>
            </w:pPr>
            <w:r w:rsidRPr="008F03E5">
              <w:rPr>
                <w:sz w:val="18"/>
                <w:szCs w:val="18"/>
                <w14:numSpacing w14:val="tabular"/>
              </w:rPr>
              <w:t>Adrianople (Edirne)</w:t>
            </w:r>
          </w:p>
        </w:tc>
      </w:tr>
      <w:tr w:rsidR="00B078AA" w:rsidRPr="008F03E5" w14:paraId="0207085C" w14:textId="77777777" w:rsidTr="0005057B">
        <w:tc>
          <w:tcPr>
            <w:tcW w:w="406" w:type="dxa"/>
            <w:tcBorders>
              <w:top w:val="nil"/>
              <w:bottom w:val="nil"/>
            </w:tcBorders>
          </w:tcPr>
          <w:p w14:paraId="398E49E2"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20</w:t>
            </w:r>
          </w:p>
        </w:tc>
        <w:tc>
          <w:tcPr>
            <w:tcW w:w="2891" w:type="dxa"/>
            <w:tcBorders>
              <w:top w:val="nil"/>
              <w:bottom w:val="nil"/>
            </w:tcBorders>
          </w:tcPr>
          <w:p w14:paraId="22B52BEF" w14:textId="77777777" w:rsidR="00B078AA" w:rsidRPr="008F03E5" w:rsidRDefault="00B078AA" w:rsidP="0005057B">
            <w:pPr>
              <w:rPr>
                <w:sz w:val="18"/>
                <w:szCs w:val="18"/>
                <w14:numSpacing w14:val="tabular"/>
              </w:rPr>
            </w:pPr>
            <w:r w:rsidRPr="008F03E5">
              <w:rPr>
                <w:sz w:val="18"/>
                <w:szCs w:val="18"/>
                <w14:numSpacing w14:val="tabular"/>
              </w:rPr>
              <w:t>Siyávi</w:t>
            </w:r>
            <w:r w:rsidRPr="008F03E5">
              <w:rPr>
                <w:sz w:val="18"/>
                <w:szCs w:val="18"/>
                <w:u w:val="single"/>
                <w14:numSpacing w14:val="tabular"/>
              </w:rPr>
              <w:t>sh</w:t>
            </w:r>
            <w:r w:rsidRPr="008F03E5">
              <w:rPr>
                <w:sz w:val="18"/>
                <w:szCs w:val="18"/>
                <w14:numSpacing w14:val="tabular"/>
              </w:rPr>
              <w:t>ih (Siyáwa</w:t>
            </w:r>
            <w:r w:rsidRPr="008F03E5">
              <w:rPr>
                <w:sz w:val="18"/>
                <w:szCs w:val="18"/>
                <w:u w:val="single"/>
                <w14:numSpacing w14:val="tabular"/>
              </w:rPr>
              <w:t>shá</w:t>
            </w:r>
            <w:r w:rsidRPr="008F03E5">
              <w:rPr>
                <w:sz w:val="18"/>
                <w:szCs w:val="18"/>
                <w14:numSpacing w14:val="tabular"/>
              </w:rPr>
              <w:t>n)</w:t>
            </w:r>
          </w:p>
        </w:tc>
        <w:tc>
          <w:tcPr>
            <w:tcW w:w="406" w:type="dxa"/>
            <w:tcBorders>
              <w:top w:val="nil"/>
              <w:bottom w:val="nil"/>
            </w:tcBorders>
          </w:tcPr>
          <w:p w14:paraId="1B633895" w14:textId="77777777" w:rsidR="00B078AA" w:rsidRPr="008F03E5" w:rsidRDefault="00B078AA" w:rsidP="0005057B">
            <w:pPr>
              <w:jc w:val="right"/>
              <w:rPr>
                <w:sz w:val="18"/>
                <w:szCs w:val="18"/>
                <w14:numSpacing w14:val="tabular"/>
              </w:rPr>
            </w:pPr>
            <w:r w:rsidRPr="008F03E5">
              <w:rPr>
                <w:sz w:val="18"/>
                <w:szCs w:val="18"/>
                <w14:numSpacing w14:val="tabular"/>
              </w:rPr>
              <w:t>49</w:t>
            </w:r>
          </w:p>
        </w:tc>
        <w:tc>
          <w:tcPr>
            <w:tcW w:w="3685" w:type="dxa"/>
            <w:tcBorders>
              <w:top w:val="nil"/>
              <w:bottom w:val="nil"/>
            </w:tcBorders>
          </w:tcPr>
          <w:p w14:paraId="487E6DEA" w14:textId="77777777" w:rsidR="00B078AA" w:rsidRPr="008F03E5" w:rsidRDefault="00B078AA" w:rsidP="0005057B">
            <w:pPr>
              <w:rPr>
                <w:sz w:val="18"/>
                <w:szCs w:val="18"/>
                <w14:numSpacing w14:val="tabular"/>
              </w:rPr>
            </w:pPr>
            <w:r w:rsidRPr="008F03E5">
              <w:rPr>
                <w:sz w:val="18"/>
                <w:szCs w:val="18"/>
                <w14:numSpacing w14:val="tabular"/>
              </w:rPr>
              <w:t>Karkúk</w:t>
            </w:r>
            <w:r w:rsidRPr="008F03E5">
              <w:rPr>
                <w:sz w:val="18"/>
                <w:szCs w:val="18"/>
              </w:rPr>
              <w:t xml:space="preserve"> (Kirkuk)</w:t>
            </w:r>
          </w:p>
        </w:tc>
        <w:tc>
          <w:tcPr>
            <w:tcW w:w="406" w:type="dxa"/>
            <w:tcBorders>
              <w:top w:val="nil"/>
              <w:bottom w:val="nil"/>
            </w:tcBorders>
          </w:tcPr>
          <w:p w14:paraId="354B9648" w14:textId="77777777" w:rsidR="00B078AA" w:rsidRPr="008F03E5" w:rsidRDefault="00B078AA" w:rsidP="0005057B">
            <w:pPr>
              <w:jc w:val="right"/>
              <w:rPr>
                <w:sz w:val="18"/>
                <w:szCs w:val="18"/>
                <w14:numSpacing w14:val="tabular"/>
              </w:rPr>
            </w:pPr>
            <w:r w:rsidRPr="008F03E5">
              <w:rPr>
                <w:sz w:val="18"/>
                <w:szCs w:val="18"/>
                <w14:numSpacing w14:val="tabular"/>
              </w:rPr>
              <w:t>78</w:t>
            </w:r>
          </w:p>
        </w:tc>
        <w:tc>
          <w:tcPr>
            <w:tcW w:w="3118" w:type="dxa"/>
            <w:tcBorders>
              <w:top w:val="nil"/>
              <w:bottom w:val="nil"/>
            </w:tcBorders>
          </w:tcPr>
          <w:p w14:paraId="2FD10DB1" w14:textId="77777777" w:rsidR="00B078AA" w:rsidRPr="008F03E5" w:rsidRDefault="00B078AA" w:rsidP="0005057B">
            <w:pPr>
              <w:rPr>
                <w:sz w:val="18"/>
                <w:szCs w:val="18"/>
                <w14:numSpacing w14:val="tabular"/>
              </w:rPr>
            </w:pPr>
            <w:r w:rsidRPr="008F03E5">
              <w:rPr>
                <w:sz w:val="18"/>
                <w:szCs w:val="18"/>
                <w14:numSpacing w14:val="tabular"/>
              </w:rPr>
              <w:t>Uzún-Kúprú (Uzunköprü)</w:t>
            </w:r>
          </w:p>
        </w:tc>
      </w:tr>
      <w:tr w:rsidR="00B078AA" w:rsidRPr="008F03E5" w14:paraId="507530BC" w14:textId="77777777" w:rsidTr="0005057B">
        <w:tc>
          <w:tcPr>
            <w:tcW w:w="406" w:type="dxa"/>
            <w:tcBorders>
              <w:top w:val="nil"/>
              <w:bottom w:val="nil"/>
            </w:tcBorders>
          </w:tcPr>
          <w:p w14:paraId="62D868B8"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21</w:t>
            </w:r>
          </w:p>
        </w:tc>
        <w:tc>
          <w:tcPr>
            <w:tcW w:w="2891" w:type="dxa"/>
            <w:tcBorders>
              <w:top w:val="nil"/>
              <w:bottom w:val="nil"/>
            </w:tcBorders>
          </w:tcPr>
          <w:p w14:paraId="233636A3" w14:textId="77777777" w:rsidR="00B078AA" w:rsidRPr="008F03E5" w:rsidRDefault="00B078AA" w:rsidP="0005057B">
            <w:pPr>
              <w:rPr>
                <w:sz w:val="18"/>
                <w:szCs w:val="18"/>
                <w14:numSpacing w14:val="tabular"/>
              </w:rPr>
            </w:pPr>
            <w:r w:rsidRPr="008F03E5">
              <w:rPr>
                <w:sz w:val="18"/>
                <w:szCs w:val="18"/>
                <w14:numSpacing w14:val="tabular"/>
              </w:rPr>
              <w:t>Sárúq</w:t>
            </w:r>
          </w:p>
        </w:tc>
        <w:tc>
          <w:tcPr>
            <w:tcW w:w="406" w:type="dxa"/>
            <w:tcBorders>
              <w:top w:val="nil"/>
              <w:bottom w:val="nil"/>
            </w:tcBorders>
          </w:tcPr>
          <w:p w14:paraId="71DAC2E2" w14:textId="77777777" w:rsidR="00B078AA" w:rsidRPr="008F03E5" w:rsidRDefault="00B078AA" w:rsidP="0005057B">
            <w:pPr>
              <w:jc w:val="right"/>
              <w:rPr>
                <w:sz w:val="18"/>
                <w:szCs w:val="18"/>
                <w14:numSpacing w14:val="tabular"/>
              </w:rPr>
            </w:pPr>
            <w:r w:rsidRPr="008F03E5">
              <w:rPr>
                <w:sz w:val="18"/>
                <w:szCs w:val="18"/>
                <w14:numSpacing w14:val="tabular"/>
              </w:rPr>
              <w:t>50</w:t>
            </w:r>
          </w:p>
        </w:tc>
        <w:tc>
          <w:tcPr>
            <w:tcW w:w="3685" w:type="dxa"/>
            <w:tcBorders>
              <w:top w:val="nil"/>
              <w:bottom w:val="nil"/>
            </w:tcBorders>
          </w:tcPr>
          <w:p w14:paraId="707356BA" w14:textId="77777777" w:rsidR="00B078AA" w:rsidRPr="008F03E5" w:rsidRDefault="00B078AA" w:rsidP="0005057B">
            <w:pPr>
              <w:rPr>
                <w:sz w:val="18"/>
                <w:szCs w:val="18"/>
                <w14:numSpacing w14:val="tabular"/>
              </w:rPr>
            </w:pPr>
            <w:r w:rsidRPr="008F03E5">
              <w:rPr>
                <w:sz w:val="18"/>
                <w:szCs w:val="18"/>
                <w14:numSpacing w14:val="tabular"/>
              </w:rPr>
              <w:t>Irbíl</w:t>
            </w:r>
            <w:r w:rsidRPr="008F03E5">
              <w:rPr>
                <w:sz w:val="18"/>
                <w:szCs w:val="18"/>
              </w:rPr>
              <w:t xml:space="preserve"> (Erbil)</w:t>
            </w:r>
          </w:p>
        </w:tc>
        <w:tc>
          <w:tcPr>
            <w:tcW w:w="406" w:type="dxa"/>
            <w:tcBorders>
              <w:top w:val="nil"/>
              <w:bottom w:val="nil"/>
            </w:tcBorders>
          </w:tcPr>
          <w:p w14:paraId="13D31CBA" w14:textId="77777777" w:rsidR="00B078AA" w:rsidRPr="008F03E5" w:rsidRDefault="00B078AA" w:rsidP="0005057B">
            <w:pPr>
              <w:jc w:val="right"/>
              <w:rPr>
                <w:sz w:val="18"/>
                <w:szCs w:val="18"/>
                <w14:numSpacing w14:val="tabular"/>
              </w:rPr>
            </w:pPr>
            <w:r w:rsidRPr="008F03E5">
              <w:rPr>
                <w:sz w:val="18"/>
                <w:szCs w:val="18"/>
                <w14:numSpacing w14:val="tabular"/>
              </w:rPr>
              <w:t>79</w:t>
            </w:r>
          </w:p>
        </w:tc>
        <w:tc>
          <w:tcPr>
            <w:tcW w:w="3118" w:type="dxa"/>
            <w:tcBorders>
              <w:top w:val="nil"/>
              <w:bottom w:val="nil"/>
            </w:tcBorders>
          </w:tcPr>
          <w:p w14:paraId="2501C87D" w14:textId="77777777" w:rsidR="00B078AA" w:rsidRPr="008F03E5" w:rsidRDefault="00B078AA" w:rsidP="0005057B">
            <w:pPr>
              <w:rPr>
                <w:sz w:val="18"/>
                <w:szCs w:val="18"/>
                <w14:numSpacing w14:val="tabular"/>
              </w:rPr>
            </w:pPr>
            <w:r w:rsidRPr="008F03E5">
              <w:rPr>
                <w:sz w:val="18"/>
                <w:szCs w:val="18"/>
                <w14:numSpacing w14:val="tabular"/>
              </w:rPr>
              <w:t>Ká</w:t>
            </w:r>
            <w:r w:rsidRPr="008F03E5">
              <w:rPr>
                <w:sz w:val="18"/>
                <w:szCs w:val="18"/>
                <w:u w:val="single"/>
                <w14:numSpacing w14:val="tabular"/>
              </w:rPr>
              <w:t>sh</w:t>
            </w:r>
            <w:r w:rsidRPr="008F03E5">
              <w:rPr>
                <w:sz w:val="18"/>
                <w:szCs w:val="18"/>
                <w14:numSpacing w14:val="tabular"/>
              </w:rPr>
              <w:t>ánih (Keşan)</w:t>
            </w:r>
          </w:p>
        </w:tc>
      </w:tr>
      <w:tr w:rsidR="00B078AA" w:rsidRPr="008F03E5" w14:paraId="0A3E055F" w14:textId="77777777" w:rsidTr="0005057B">
        <w:tc>
          <w:tcPr>
            <w:tcW w:w="406" w:type="dxa"/>
            <w:tcBorders>
              <w:top w:val="nil"/>
              <w:bottom w:val="nil"/>
            </w:tcBorders>
          </w:tcPr>
          <w:p w14:paraId="3ADB8785"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22</w:t>
            </w:r>
          </w:p>
        </w:tc>
        <w:tc>
          <w:tcPr>
            <w:tcW w:w="2891" w:type="dxa"/>
            <w:tcBorders>
              <w:top w:val="nil"/>
              <w:bottom w:val="nil"/>
            </w:tcBorders>
          </w:tcPr>
          <w:p w14:paraId="12EAD063" w14:textId="77777777" w:rsidR="00B078AA" w:rsidRPr="008F03E5" w:rsidRDefault="00B078AA" w:rsidP="0005057B">
            <w:pPr>
              <w:rPr>
                <w:sz w:val="18"/>
                <w:szCs w:val="18"/>
                <w14:numSpacing w14:val="tabular"/>
              </w:rPr>
            </w:pPr>
            <w:r w:rsidRPr="008F03E5">
              <w:rPr>
                <w:sz w:val="18"/>
                <w:szCs w:val="18"/>
                <w14:numSpacing w14:val="tabular"/>
              </w:rPr>
              <w:t>Díz-Ábád</w:t>
            </w:r>
          </w:p>
        </w:tc>
        <w:tc>
          <w:tcPr>
            <w:tcW w:w="406" w:type="dxa"/>
            <w:tcBorders>
              <w:top w:val="nil"/>
              <w:bottom w:val="nil"/>
            </w:tcBorders>
          </w:tcPr>
          <w:p w14:paraId="55491BFD" w14:textId="77777777" w:rsidR="00B078AA" w:rsidRPr="008F03E5" w:rsidRDefault="00B078AA" w:rsidP="0005057B">
            <w:pPr>
              <w:jc w:val="right"/>
              <w:rPr>
                <w:sz w:val="18"/>
                <w:szCs w:val="18"/>
                <w14:numSpacing w14:val="tabular"/>
              </w:rPr>
            </w:pPr>
            <w:r w:rsidRPr="008F03E5">
              <w:rPr>
                <w:sz w:val="18"/>
                <w:szCs w:val="18"/>
                <w14:numSpacing w14:val="tabular"/>
              </w:rPr>
              <w:t>51</w:t>
            </w:r>
          </w:p>
        </w:tc>
        <w:tc>
          <w:tcPr>
            <w:tcW w:w="3685" w:type="dxa"/>
            <w:tcBorders>
              <w:top w:val="nil"/>
              <w:bottom w:val="nil"/>
            </w:tcBorders>
          </w:tcPr>
          <w:p w14:paraId="70C39153" w14:textId="77777777" w:rsidR="00B078AA" w:rsidRPr="008F03E5" w:rsidRDefault="00B078AA" w:rsidP="0005057B">
            <w:pPr>
              <w:rPr>
                <w:sz w:val="18"/>
                <w:szCs w:val="18"/>
                <w14:numSpacing w14:val="tabular"/>
              </w:rPr>
            </w:pPr>
            <w:r w:rsidRPr="008F03E5">
              <w:rPr>
                <w:sz w:val="18"/>
                <w:szCs w:val="18"/>
                <w14:numSpacing w14:val="tabular"/>
              </w:rPr>
              <w:t>By the river Záb</w:t>
            </w:r>
            <w:r w:rsidRPr="008F03E5">
              <w:rPr>
                <w:sz w:val="18"/>
                <w:szCs w:val="18"/>
              </w:rPr>
              <w:t xml:space="preserve"> (Kalak?)</w:t>
            </w:r>
          </w:p>
        </w:tc>
        <w:tc>
          <w:tcPr>
            <w:tcW w:w="406" w:type="dxa"/>
            <w:tcBorders>
              <w:top w:val="nil"/>
              <w:bottom w:val="nil"/>
            </w:tcBorders>
          </w:tcPr>
          <w:p w14:paraId="19AB03E2" w14:textId="77777777" w:rsidR="00B078AA" w:rsidRPr="008F03E5" w:rsidRDefault="00B078AA" w:rsidP="0005057B">
            <w:pPr>
              <w:jc w:val="right"/>
              <w:rPr>
                <w:sz w:val="18"/>
                <w:szCs w:val="18"/>
                <w14:numSpacing w14:val="tabular"/>
              </w:rPr>
            </w:pPr>
            <w:r w:rsidRPr="008F03E5">
              <w:rPr>
                <w:sz w:val="18"/>
                <w:szCs w:val="18"/>
                <w14:numSpacing w14:val="tabular"/>
              </w:rPr>
              <w:t>80</w:t>
            </w:r>
          </w:p>
        </w:tc>
        <w:tc>
          <w:tcPr>
            <w:tcW w:w="3118" w:type="dxa"/>
            <w:tcBorders>
              <w:top w:val="nil"/>
              <w:bottom w:val="nil"/>
            </w:tcBorders>
          </w:tcPr>
          <w:p w14:paraId="50C0A9C7" w14:textId="77777777" w:rsidR="00B078AA" w:rsidRPr="008F03E5" w:rsidRDefault="00B078AA" w:rsidP="0005057B">
            <w:pPr>
              <w:rPr>
                <w:sz w:val="18"/>
                <w:szCs w:val="18"/>
                <w14:numSpacing w14:val="tabular"/>
              </w:rPr>
            </w:pPr>
            <w:r w:rsidRPr="008F03E5">
              <w:rPr>
                <w:sz w:val="18"/>
                <w:szCs w:val="18"/>
                <w14:numSpacing w14:val="tabular"/>
              </w:rPr>
              <w:t>Gallipoli (Gelibolu)</w:t>
            </w:r>
          </w:p>
        </w:tc>
      </w:tr>
      <w:tr w:rsidR="00B078AA" w:rsidRPr="008F03E5" w14:paraId="52B40644" w14:textId="77777777" w:rsidTr="0005057B">
        <w:tc>
          <w:tcPr>
            <w:tcW w:w="406" w:type="dxa"/>
            <w:tcBorders>
              <w:top w:val="nil"/>
              <w:bottom w:val="nil"/>
            </w:tcBorders>
          </w:tcPr>
          <w:p w14:paraId="0860CB55"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23</w:t>
            </w:r>
          </w:p>
        </w:tc>
        <w:tc>
          <w:tcPr>
            <w:tcW w:w="2891" w:type="dxa"/>
            <w:tcBorders>
              <w:top w:val="nil"/>
              <w:bottom w:val="nil"/>
            </w:tcBorders>
          </w:tcPr>
          <w:p w14:paraId="046529BD" w14:textId="77777777" w:rsidR="00B078AA" w:rsidRPr="008F03E5" w:rsidRDefault="00B078AA" w:rsidP="0005057B">
            <w:pPr>
              <w:rPr>
                <w:sz w:val="18"/>
                <w:szCs w:val="18"/>
                <w14:numSpacing w14:val="tabular"/>
              </w:rPr>
            </w:pPr>
            <w:r w:rsidRPr="008F03E5">
              <w:rPr>
                <w:sz w:val="18"/>
                <w:szCs w:val="18"/>
                <w14:numSpacing w14:val="tabular"/>
              </w:rPr>
              <w:t>Hamadán</w:t>
            </w:r>
          </w:p>
        </w:tc>
        <w:tc>
          <w:tcPr>
            <w:tcW w:w="406" w:type="dxa"/>
            <w:tcBorders>
              <w:top w:val="nil"/>
              <w:bottom w:val="nil"/>
            </w:tcBorders>
          </w:tcPr>
          <w:p w14:paraId="37FEF16E" w14:textId="77777777" w:rsidR="00B078AA" w:rsidRPr="008F03E5" w:rsidRDefault="00B078AA" w:rsidP="0005057B">
            <w:pPr>
              <w:jc w:val="right"/>
              <w:rPr>
                <w:sz w:val="18"/>
                <w:szCs w:val="18"/>
                <w14:numSpacing w14:val="tabular"/>
              </w:rPr>
            </w:pPr>
            <w:r w:rsidRPr="008F03E5">
              <w:rPr>
                <w:sz w:val="18"/>
                <w:szCs w:val="18"/>
                <w14:numSpacing w14:val="tabular"/>
              </w:rPr>
              <w:t>52</w:t>
            </w:r>
          </w:p>
        </w:tc>
        <w:tc>
          <w:tcPr>
            <w:tcW w:w="3685" w:type="dxa"/>
            <w:tcBorders>
              <w:top w:val="nil"/>
              <w:bottom w:val="nil"/>
            </w:tcBorders>
          </w:tcPr>
          <w:p w14:paraId="4A80E486" w14:textId="77777777" w:rsidR="00B078AA" w:rsidRPr="008F03E5" w:rsidRDefault="00B078AA" w:rsidP="0005057B">
            <w:pPr>
              <w:rPr>
                <w:sz w:val="18"/>
                <w:szCs w:val="18"/>
                <w14:numSpacing w14:val="tabular"/>
              </w:rPr>
            </w:pPr>
            <w:r w:rsidRPr="008F03E5">
              <w:rPr>
                <w:sz w:val="18"/>
                <w:szCs w:val="18"/>
                <w14:numSpacing w14:val="tabular"/>
              </w:rPr>
              <w:t>Barṭallih (Barṭ Alláh, Bartella)</w:t>
            </w:r>
          </w:p>
        </w:tc>
        <w:tc>
          <w:tcPr>
            <w:tcW w:w="406" w:type="dxa"/>
            <w:tcBorders>
              <w:top w:val="nil"/>
              <w:bottom w:val="nil"/>
            </w:tcBorders>
          </w:tcPr>
          <w:p w14:paraId="4DCBC12B" w14:textId="77777777" w:rsidR="00B078AA" w:rsidRPr="008F03E5" w:rsidRDefault="00B078AA" w:rsidP="0005057B">
            <w:pPr>
              <w:jc w:val="right"/>
              <w:rPr>
                <w:sz w:val="18"/>
                <w:szCs w:val="18"/>
                <w14:numSpacing w14:val="tabular"/>
              </w:rPr>
            </w:pPr>
            <w:r w:rsidRPr="008F03E5">
              <w:rPr>
                <w:sz w:val="18"/>
                <w:szCs w:val="18"/>
                <w14:numSpacing w14:val="tabular"/>
              </w:rPr>
              <w:t>81</w:t>
            </w:r>
          </w:p>
        </w:tc>
        <w:tc>
          <w:tcPr>
            <w:tcW w:w="3118" w:type="dxa"/>
            <w:tcBorders>
              <w:top w:val="nil"/>
              <w:bottom w:val="nil"/>
            </w:tcBorders>
          </w:tcPr>
          <w:p w14:paraId="1CBE7C52" w14:textId="77777777" w:rsidR="00B078AA" w:rsidRPr="008F03E5" w:rsidRDefault="00B078AA" w:rsidP="0005057B">
            <w:pPr>
              <w:rPr>
                <w:sz w:val="18"/>
                <w:szCs w:val="18"/>
                <w14:numSpacing w14:val="tabular"/>
              </w:rPr>
            </w:pPr>
            <w:r w:rsidRPr="008F03E5">
              <w:rPr>
                <w:sz w:val="18"/>
                <w:szCs w:val="18"/>
                <w14:numSpacing w14:val="tabular"/>
              </w:rPr>
              <w:t>Madelli (Mytilene)</w:t>
            </w:r>
          </w:p>
        </w:tc>
      </w:tr>
      <w:tr w:rsidR="00B078AA" w:rsidRPr="008F03E5" w14:paraId="7D1DE70E" w14:textId="77777777" w:rsidTr="0005057B">
        <w:tc>
          <w:tcPr>
            <w:tcW w:w="406" w:type="dxa"/>
            <w:tcBorders>
              <w:top w:val="nil"/>
              <w:bottom w:val="nil"/>
            </w:tcBorders>
          </w:tcPr>
          <w:p w14:paraId="5F614C8C"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24</w:t>
            </w:r>
          </w:p>
        </w:tc>
        <w:tc>
          <w:tcPr>
            <w:tcW w:w="2891" w:type="dxa"/>
            <w:tcBorders>
              <w:top w:val="nil"/>
              <w:bottom w:val="nil"/>
            </w:tcBorders>
          </w:tcPr>
          <w:p w14:paraId="32C27BA4" w14:textId="77777777" w:rsidR="00B078AA" w:rsidRPr="008F03E5" w:rsidRDefault="00B078AA" w:rsidP="0005057B">
            <w:pPr>
              <w:rPr>
                <w:sz w:val="18"/>
                <w:szCs w:val="18"/>
                <w14:numSpacing w14:val="tabular"/>
              </w:rPr>
            </w:pPr>
            <w:r w:rsidRPr="008F03E5">
              <w:rPr>
                <w:sz w:val="18"/>
                <w:szCs w:val="18"/>
                <w14:numSpacing w14:val="tabular"/>
              </w:rPr>
              <w:t>Gardánih-i-Ásad-Ábád</w:t>
            </w:r>
          </w:p>
        </w:tc>
        <w:tc>
          <w:tcPr>
            <w:tcW w:w="406" w:type="dxa"/>
            <w:tcBorders>
              <w:top w:val="nil"/>
              <w:bottom w:val="nil"/>
            </w:tcBorders>
          </w:tcPr>
          <w:p w14:paraId="6A0E01D1" w14:textId="77777777" w:rsidR="00B078AA" w:rsidRPr="008F03E5" w:rsidRDefault="00B078AA" w:rsidP="0005057B">
            <w:pPr>
              <w:jc w:val="right"/>
              <w:rPr>
                <w:sz w:val="18"/>
                <w:szCs w:val="18"/>
                <w14:numSpacing w14:val="tabular"/>
              </w:rPr>
            </w:pPr>
            <w:r w:rsidRPr="008F03E5">
              <w:rPr>
                <w:sz w:val="18"/>
                <w:szCs w:val="18"/>
                <w14:numSpacing w14:val="tabular"/>
              </w:rPr>
              <w:t>53</w:t>
            </w:r>
          </w:p>
        </w:tc>
        <w:tc>
          <w:tcPr>
            <w:tcW w:w="3685" w:type="dxa"/>
            <w:tcBorders>
              <w:top w:val="nil"/>
              <w:bottom w:val="nil"/>
            </w:tcBorders>
          </w:tcPr>
          <w:p w14:paraId="36689474" w14:textId="77777777" w:rsidR="00B078AA" w:rsidRPr="008F03E5" w:rsidRDefault="00B078AA" w:rsidP="0005057B">
            <w:pPr>
              <w:rPr>
                <w:sz w:val="18"/>
                <w:szCs w:val="18"/>
                <w14:numSpacing w14:val="tabular"/>
              </w:rPr>
            </w:pPr>
            <w:r w:rsidRPr="008F03E5">
              <w:rPr>
                <w:sz w:val="18"/>
                <w:szCs w:val="18"/>
                <w14:numSpacing w14:val="tabular"/>
              </w:rPr>
              <w:t>al-Máwṣil (Mosul)</w:t>
            </w:r>
          </w:p>
        </w:tc>
        <w:tc>
          <w:tcPr>
            <w:tcW w:w="406" w:type="dxa"/>
            <w:tcBorders>
              <w:top w:val="nil"/>
              <w:bottom w:val="nil"/>
            </w:tcBorders>
          </w:tcPr>
          <w:p w14:paraId="651404B3" w14:textId="77777777" w:rsidR="00B078AA" w:rsidRPr="008F03E5" w:rsidRDefault="00B078AA" w:rsidP="0005057B">
            <w:pPr>
              <w:jc w:val="right"/>
              <w:rPr>
                <w:sz w:val="18"/>
                <w:szCs w:val="18"/>
                <w14:numSpacing w14:val="tabular"/>
              </w:rPr>
            </w:pPr>
            <w:r w:rsidRPr="008F03E5">
              <w:rPr>
                <w:sz w:val="18"/>
                <w:szCs w:val="18"/>
                <w14:numSpacing w14:val="tabular"/>
              </w:rPr>
              <w:t>82</w:t>
            </w:r>
          </w:p>
        </w:tc>
        <w:tc>
          <w:tcPr>
            <w:tcW w:w="3118" w:type="dxa"/>
            <w:tcBorders>
              <w:top w:val="nil"/>
              <w:bottom w:val="nil"/>
            </w:tcBorders>
          </w:tcPr>
          <w:p w14:paraId="4C0529B5" w14:textId="77777777" w:rsidR="00B078AA" w:rsidRPr="008F03E5" w:rsidRDefault="00B078AA" w:rsidP="0005057B">
            <w:pPr>
              <w:rPr>
                <w:sz w:val="18"/>
                <w:szCs w:val="18"/>
                <w14:numSpacing w14:val="tabular"/>
              </w:rPr>
            </w:pPr>
            <w:r w:rsidRPr="008F03E5">
              <w:rPr>
                <w:sz w:val="18"/>
                <w:szCs w:val="18"/>
                <w14:numSpacing w14:val="tabular"/>
              </w:rPr>
              <w:t>Smyrna</w:t>
            </w:r>
          </w:p>
        </w:tc>
      </w:tr>
      <w:tr w:rsidR="00B078AA" w:rsidRPr="008F03E5" w14:paraId="6A06C675" w14:textId="77777777" w:rsidTr="0005057B">
        <w:tc>
          <w:tcPr>
            <w:tcW w:w="406" w:type="dxa"/>
            <w:tcBorders>
              <w:top w:val="nil"/>
              <w:bottom w:val="nil"/>
            </w:tcBorders>
          </w:tcPr>
          <w:p w14:paraId="7F361046"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25</w:t>
            </w:r>
          </w:p>
        </w:tc>
        <w:tc>
          <w:tcPr>
            <w:tcW w:w="2891" w:type="dxa"/>
            <w:tcBorders>
              <w:top w:val="nil"/>
              <w:bottom w:val="nil"/>
            </w:tcBorders>
          </w:tcPr>
          <w:p w14:paraId="581B47F0" w14:textId="77777777" w:rsidR="00B078AA" w:rsidRPr="008F03E5" w:rsidRDefault="00B078AA" w:rsidP="0005057B">
            <w:pPr>
              <w:rPr>
                <w:sz w:val="18"/>
                <w:szCs w:val="18"/>
                <w14:numSpacing w14:val="tabular"/>
              </w:rPr>
            </w:pPr>
            <w:r w:rsidRPr="008F03E5">
              <w:rPr>
                <w:sz w:val="18"/>
                <w:szCs w:val="18"/>
                <w14:numSpacing w14:val="tabular"/>
              </w:rPr>
              <w:t>Ásad-Ábád</w:t>
            </w:r>
          </w:p>
        </w:tc>
        <w:tc>
          <w:tcPr>
            <w:tcW w:w="406" w:type="dxa"/>
            <w:tcBorders>
              <w:top w:val="nil"/>
              <w:bottom w:val="nil"/>
            </w:tcBorders>
          </w:tcPr>
          <w:p w14:paraId="29A39B6E" w14:textId="77777777" w:rsidR="00B078AA" w:rsidRPr="008F03E5" w:rsidRDefault="00B078AA" w:rsidP="0005057B">
            <w:pPr>
              <w:jc w:val="right"/>
              <w:rPr>
                <w:sz w:val="18"/>
                <w:szCs w:val="18"/>
                <w14:numSpacing w14:val="tabular"/>
              </w:rPr>
            </w:pPr>
            <w:r w:rsidRPr="008F03E5">
              <w:rPr>
                <w:sz w:val="18"/>
                <w:szCs w:val="18"/>
                <w14:numSpacing w14:val="tabular"/>
              </w:rPr>
              <w:t>54</w:t>
            </w:r>
          </w:p>
        </w:tc>
        <w:tc>
          <w:tcPr>
            <w:tcW w:w="3685" w:type="dxa"/>
            <w:tcBorders>
              <w:top w:val="nil"/>
              <w:bottom w:val="nil"/>
            </w:tcBorders>
          </w:tcPr>
          <w:p w14:paraId="048E8B41" w14:textId="77777777" w:rsidR="00B078AA" w:rsidRPr="008F03E5" w:rsidRDefault="00B078AA" w:rsidP="0005057B">
            <w:pPr>
              <w:rPr>
                <w:sz w:val="18"/>
                <w:szCs w:val="18"/>
                <w14:numSpacing w14:val="tabular"/>
              </w:rPr>
            </w:pPr>
            <w:r w:rsidRPr="008F03E5">
              <w:rPr>
                <w:sz w:val="18"/>
                <w:szCs w:val="18"/>
                <w14:numSpacing w14:val="tabular"/>
              </w:rPr>
              <w:t>Zá</w:t>
            </w:r>
            <w:r w:rsidRPr="008F03E5">
              <w:rPr>
                <w:sz w:val="18"/>
                <w:szCs w:val="18"/>
                <w:u w:val="single"/>
                <w14:numSpacing w14:val="tabular"/>
              </w:rPr>
              <w:t>kh</w:t>
            </w:r>
            <w:r w:rsidRPr="008F03E5">
              <w:rPr>
                <w:sz w:val="18"/>
                <w:szCs w:val="18"/>
                <w14:numSpacing w14:val="tabular"/>
              </w:rPr>
              <w:t>ú (Zakho)</w:t>
            </w:r>
          </w:p>
        </w:tc>
        <w:tc>
          <w:tcPr>
            <w:tcW w:w="406" w:type="dxa"/>
            <w:tcBorders>
              <w:top w:val="nil"/>
              <w:bottom w:val="nil"/>
            </w:tcBorders>
          </w:tcPr>
          <w:p w14:paraId="6B80EA3E" w14:textId="77777777" w:rsidR="00B078AA" w:rsidRPr="008F03E5" w:rsidRDefault="00B078AA" w:rsidP="0005057B">
            <w:pPr>
              <w:jc w:val="right"/>
              <w:rPr>
                <w:sz w:val="18"/>
                <w:szCs w:val="18"/>
                <w14:numSpacing w14:val="tabular"/>
              </w:rPr>
            </w:pPr>
            <w:r w:rsidRPr="008F03E5">
              <w:rPr>
                <w:sz w:val="18"/>
                <w:szCs w:val="18"/>
                <w14:numSpacing w14:val="tabular"/>
              </w:rPr>
              <w:t>83</w:t>
            </w:r>
          </w:p>
        </w:tc>
        <w:tc>
          <w:tcPr>
            <w:tcW w:w="3118" w:type="dxa"/>
            <w:tcBorders>
              <w:top w:val="nil"/>
              <w:bottom w:val="nil"/>
            </w:tcBorders>
          </w:tcPr>
          <w:p w14:paraId="4BA73E1D" w14:textId="77777777" w:rsidR="00B078AA" w:rsidRPr="008F03E5" w:rsidRDefault="00B078AA" w:rsidP="0005057B">
            <w:pPr>
              <w:rPr>
                <w:sz w:val="18"/>
                <w:szCs w:val="18"/>
                <w14:numSpacing w14:val="tabular"/>
              </w:rPr>
            </w:pPr>
            <w:r w:rsidRPr="008F03E5">
              <w:rPr>
                <w:sz w:val="18"/>
                <w:szCs w:val="18"/>
                <w14:numSpacing w14:val="tabular"/>
              </w:rPr>
              <w:t>Alexandria</w:t>
            </w:r>
          </w:p>
        </w:tc>
      </w:tr>
      <w:tr w:rsidR="00B078AA" w:rsidRPr="008F03E5" w14:paraId="4EE5EAD3" w14:textId="77777777" w:rsidTr="0005057B">
        <w:tc>
          <w:tcPr>
            <w:tcW w:w="406" w:type="dxa"/>
            <w:tcBorders>
              <w:top w:val="nil"/>
              <w:bottom w:val="nil"/>
            </w:tcBorders>
          </w:tcPr>
          <w:p w14:paraId="20F8743C"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26</w:t>
            </w:r>
          </w:p>
        </w:tc>
        <w:tc>
          <w:tcPr>
            <w:tcW w:w="2891" w:type="dxa"/>
            <w:tcBorders>
              <w:top w:val="nil"/>
              <w:bottom w:val="nil"/>
            </w:tcBorders>
          </w:tcPr>
          <w:p w14:paraId="768FF3B1" w14:textId="77777777" w:rsidR="00B078AA" w:rsidRPr="008F03E5" w:rsidRDefault="00B078AA" w:rsidP="0005057B">
            <w:pPr>
              <w:rPr>
                <w:sz w:val="18"/>
                <w:szCs w:val="18"/>
                <w14:numSpacing w14:val="tabular"/>
              </w:rPr>
            </w:pPr>
            <w:r w:rsidRPr="008F03E5">
              <w:rPr>
                <w:sz w:val="18"/>
                <w:szCs w:val="18"/>
                <w14:numSpacing w14:val="tabular"/>
              </w:rPr>
              <w:t>Kangávar</w:t>
            </w:r>
          </w:p>
        </w:tc>
        <w:tc>
          <w:tcPr>
            <w:tcW w:w="406" w:type="dxa"/>
            <w:tcBorders>
              <w:top w:val="nil"/>
              <w:bottom w:val="nil"/>
            </w:tcBorders>
          </w:tcPr>
          <w:p w14:paraId="0B84BB99" w14:textId="77777777" w:rsidR="00B078AA" w:rsidRPr="008F03E5" w:rsidRDefault="00B078AA" w:rsidP="0005057B">
            <w:pPr>
              <w:jc w:val="right"/>
              <w:rPr>
                <w:sz w:val="18"/>
                <w:szCs w:val="18"/>
                <w14:numSpacing w14:val="tabular"/>
              </w:rPr>
            </w:pPr>
            <w:r w:rsidRPr="008F03E5">
              <w:rPr>
                <w:sz w:val="18"/>
                <w:szCs w:val="18"/>
                <w14:numSpacing w14:val="tabular"/>
              </w:rPr>
              <w:t>55</w:t>
            </w:r>
          </w:p>
        </w:tc>
        <w:tc>
          <w:tcPr>
            <w:tcW w:w="3685" w:type="dxa"/>
            <w:tcBorders>
              <w:top w:val="nil"/>
              <w:bottom w:val="nil"/>
            </w:tcBorders>
          </w:tcPr>
          <w:p w14:paraId="7E1D9E71" w14:textId="77777777" w:rsidR="00B078AA" w:rsidRPr="008F03E5" w:rsidRDefault="00B078AA" w:rsidP="0005057B">
            <w:pPr>
              <w:rPr>
                <w:sz w:val="18"/>
                <w:szCs w:val="18"/>
                <w14:numSpacing w14:val="tabular"/>
              </w:rPr>
            </w:pPr>
            <w:r w:rsidRPr="008F03E5">
              <w:rPr>
                <w:sz w:val="18"/>
                <w:szCs w:val="18"/>
                <w14:numSpacing w14:val="tabular"/>
              </w:rPr>
              <w:t>Jazírih (Cizre, Ar. Jazárat ibn ‘Umar)</w:t>
            </w:r>
          </w:p>
        </w:tc>
        <w:tc>
          <w:tcPr>
            <w:tcW w:w="406" w:type="dxa"/>
            <w:tcBorders>
              <w:top w:val="nil"/>
              <w:bottom w:val="nil"/>
            </w:tcBorders>
          </w:tcPr>
          <w:p w14:paraId="5154484A" w14:textId="77777777" w:rsidR="00B078AA" w:rsidRPr="008F03E5" w:rsidRDefault="00B078AA" w:rsidP="0005057B">
            <w:pPr>
              <w:jc w:val="right"/>
              <w:rPr>
                <w:sz w:val="18"/>
                <w:szCs w:val="18"/>
                <w14:numSpacing w14:val="tabular"/>
              </w:rPr>
            </w:pPr>
            <w:r w:rsidRPr="008F03E5">
              <w:rPr>
                <w:sz w:val="18"/>
                <w:szCs w:val="18"/>
                <w14:numSpacing w14:val="tabular"/>
              </w:rPr>
              <w:t>84</w:t>
            </w:r>
          </w:p>
        </w:tc>
        <w:tc>
          <w:tcPr>
            <w:tcW w:w="3118" w:type="dxa"/>
            <w:tcBorders>
              <w:top w:val="nil"/>
              <w:bottom w:val="nil"/>
            </w:tcBorders>
          </w:tcPr>
          <w:p w14:paraId="296626A9" w14:textId="77777777" w:rsidR="00B078AA" w:rsidRPr="008F03E5" w:rsidRDefault="00B078AA" w:rsidP="0005057B">
            <w:pPr>
              <w:rPr>
                <w:sz w:val="18"/>
                <w:szCs w:val="18"/>
                <w14:numSpacing w14:val="tabular"/>
              </w:rPr>
            </w:pPr>
            <w:r w:rsidRPr="008F03E5">
              <w:rPr>
                <w:sz w:val="18"/>
                <w:szCs w:val="18"/>
                <w14:numSpacing w14:val="tabular"/>
              </w:rPr>
              <w:t>Port Said</w:t>
            </w:r>
          </w:p>
        </w:tc>
      </w:tr>
      <w:tr w:rsidR="00B078AA" w:rsidRPr="008F03E5" w14:paraId="4EEC5F2B" w14:textId="77777777" w:rsidTr="0005057B">
        <w:tc>
          <w:tcPr>
            <w:tcW w:w="406" w:type="dxa"/>
            <w:tcBorders>
              <w:top w:val="nil"/>
              <w:bottom w:val="nil"/>
            </w:tcBorders>
          </w:tcPr>
          <w:p w14:paraId="656E7ACA"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27</w:t>
            </w:r>
          </w:p>
        </w:tc>
        <w:tc>
          <w:tcPr>
            <w:tcW w:w="2891" w:type="dxa"/>
            <w:tcBorders>
              <w:top w:val="nil"/>
              <w:bottom w:val="nil"/>
            </w:tcBorders>
          </w:tcPr>
          <w:p w14:paraId="5A6984ED" w14:textId="77777777" w:rsidR="00B078AA" w:rsidRPr="008F03E5" w:rsidRDefault="00B078AA" w:rsidP="0005057B">
            <w:pPr>
              <w:rPr>
                <w:sz w:val="18"/>
                <w:szCs w:val="18"/>
                <w14:numSpacing w14:val="tabular"/>
              </w:rPr>
            </w:pPr>
            <w:r w:rsidRPr="008F03E5">
              <w:rPr>
                <w:sz w:val="18"/>
                <w:szCs w:val="18"/>
                <w14:numSpacing w14:val="tabular"/>
              </w:rPr>
              <w:t>Ṣaḥnih</w:t>
            </w:r>
          </w:p>
        </w:tc>
        <w:tc>
          <w:tcPr>
            <w:tcW w:w="406" w:type="dxa"/>
            <w:tcBorders>
              <w:top w:val="nil"/>
              <w:bottom w:val="nil"/>
            </w:tcBorders>
          </w:tcPr>
          <w:p w14:paraId="1D1D675E" w14:textId="77777777" w:rsidR="00B078AA" w:rsidRPr="008F03E5" w:rsidRDefault="00B078AA" w:rsidP="0005057B">
            <w:pPr>
              <w:jc w:val="right"/>
              <w:rPr>
                <w:sz w:val="18"/>
                <w:szCs w:val="18"/>
                <w14:numSpacing w14:val="tabular"/>
              </w:rPr>
            </w:pPr>
            <w:r w:rsidRPr="008F03E5">
              <w:rPr>
                <w:sz w:val="18"/>
                <w:szCs w:val="18"/>
                <w14:numSpacing w14:val="tabular"/>
              </w:rPr>
              <w:t>56</w:t>
            </w:r>
          </w:p>
        </w:tc>
        <w:tc>
          <w:tcPr>
            <w:tcW w:w="3685" w:type="dxa"/>
            <w:tcBorders>
              <w:top w:val="nil"/>
              <w:bottom w:val="nil"/>
            </w:tcBorders>
          </w:tcPr>
          <w:p w14:paraId="0C1350E0" w14:textId="77777777" w:rsidR="00B078AA" w:rsidRPr="008F03E5" w:rsidRDefault="00B078AA" w:rsidP="0005057B">
            <w:pPr>
              <w:rPr>
                <w:sz w:val="18"/>
                <w:szCs w:val="18"/>
                <w14:numSpacing w14:val="tabular"/>
              </w:rPr>
            </w:pPr>
            <w:r w:rsidRPr="008F03E5">
              <w:rPr>
                <w:sz w:val="18"/>
                <w:szCs w:val="18"/>
                <w14:numSpacing w14:val="tabular"/>
              </w:rPr>
              <w:t>Niṣíbin (Nusaybin)</w:t>
            </w:r>
          </w:p>
        </w:tc>
        <w:tc>
          <w:tcPr>
            <w:tcW w:w="406" w:type="dxa"/>
            <w:tcBorders>
              <w:top w:val="nil"/>
              <w:bottom w:val="nil"/>
            </w:tcBorders>
          </w:tcPr>
          <w:p w14:paraId="5C125F0A" w14:textId="77777777" w:rsidR="00B078AA" w:rsidRPr="008F03E5" w:rsidRDefault="00B078AA" w:rsidP="0005057B">
            <w:pPr>
              <w:jc w:val="right"/>
              <w:rPr>
                <w:sz w:val="18"/>
                <w:szCs w:val="18"/>
                <w14:numSpacing w14:val="tabular"/>
              </w:rPr>
            </w:pPr>
            <w:r w:rsidRPr="008F03E5">
              <w:rPr>
                <w:sz w:val="18"/>
                <w:szCs w:val="18"/>
                <w14:numSpacing w14:val="tabular"/>
              </w:rPr>
              <w:t>85</w:t>
            </w:r>
          </w:p>
        </w:tc>
        <w:tc>
          <w:tcPr>
            <w:tcW w:w="3118" w:type="dxa"/>
            <w:tcBorders>
              <w:top w:val="nil"/>
              <w:bottom w:val="nil"/>
            </w:tcBorders>
          </w:tcPr>
          <w:p w14:paraId="47D4EF47" w14:textId="77777777" w:rsidR="00B078AA" w:rsidRPr="008F03E5" w:rsidRDefault="00B078AA" w:rsidP="0005057B">
            <w:pPr>
              <w:rPr>
                <w:sz w:val="18"/>
                <w:szCs w:val="18"/>
                <w14:numSpacing w14:val="tabular"/>
              </w:rPr>
            </w:pPr>
            <w:r w:rsidRPr="008F03E5">
              <w:rPr>
                <w:sz w:val="18"/>
                <w:szCs w:val="18"/>
                <w14:numSpacing w14:val="tabular"/>
              </w:rPr>
              <w:t>Jaffa</w:t>
            </w:r>
          </w:p>
        </w:tc>
      </w:tr>
      <w:tr w:rsidR="00B078AA" w:rsidRPr="008F03E5" w14:paraId="6515D3C6" w14:textId="77777777" w:rsidTr="0005057B">
        <w:tc>
          <w:tcPr>
            <w:tcW w:w="406" w:type="dxa"/>
            <w:tcBorders>
              <w:top w:val="nil"/>
              <w:bottom w:val="nil"/>
            </w:tcBorders>
          </w:tcPr>
          <w:p w14:paraId="5D0BCF6F"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28</w:t>
            </w:r>
          </w:p>
        </w:tc>
        <w:tc>
          <w:tcPr>
            <w:tcW w:w="2891" w:type="dxa"/>
            <w:tcBorders>
              <w:top w:val="nil"/>
              <w:bottom w:val="nil"/>
            </w:tcBorders>
          </w:tcPr>
          <w:p w14:paraId="2921B4DC" w14:textId="77777777" w:rsidR="00B078AA" w:rsidRPr="008F03E5" w:rsidRDefault="00B078AA" w:rsidP="0005057B">
            <w:pPr>
              <w:rPr>
                <w:sz w:val="18"/>
                <w:szCs w:val="18"/>
                <w14:numSpacing w14:val="tabular"/>
              </w:rPr>
            </w:pPr>
            <w:r w:rsidRPr="008F03E5">
              <w:rPr>
                <w:sz w:val="18"/>
                <w:szCs w:val="18"/>
                <w14:numSpacing w14:val="tabular"/>
              </w:rPr>
              <w:t>Bísítún</w:t>
            </w:r>
          </w:p>
        </w:tc>
        <w:tc>
          <w:tcPr>
            <w:tcW w:w="406" w:type="dxa"/>
            <w:tcBorders>
              <w:top w:val="nil"/>
              <w:bottom w:val="nil"/>
            </w:tcBorders>
          </w:tcPr>
          <w:p w14:paraId="0D24261B" w14:textId="77777777" w:rsidR="00B078AA" w:rsidRPr="008F03E5" w:rsidRDefault="00B078AA" w:rsidP="0005057B">
            <w:pPr>
              <w:jc w:val="right"/>
              <w:rPr>
                <w:sz w:val="18"/>
                <w:szCs w:val="18"/>
                <w14:numSpacing w14:val="tabular"/>
              </w:rPr>
            </w:pPr>
            <w:r w:rsidRPr="008F03E5">
              <w:rPr>
                <w:sz w:val="18"/>
                <w:szCs w:val="18"/>
                <w14:numSpacing w14:val="tabular"/>
              </w:rPr>
              <w:t>57</w:t>
            </w:r>
          </w:p>
        </w:tc>
        <w:tc>
          <w:tcPr>
            <w:tcW w:w="3685" w:type="dxa"/>
            <w:tcBorders>
              <w:top w:val="nil"/>
              <w:bottom w:val="nil"/>
            </w:tcBorders>
          </w:tcPr>
          <w:p w14:paraId="3ED6868B" w14:textId="77777777" w:rsidR="00B078AA" w:rsidRPr="008F03E5" w:rsidRDefault="00B078AA" w:rsidP="0005057B">
            <w:pPr>
              <w:rPr>
                <w:sz w:val="18"/>
                <w:szCs w:val="18"/>
                <w14:numSpacing w14:val="tabular"/>
              </w:rPr>
            </w:pPr>
            <w:r w:rsidRPr="008F03E5">
              <w:rPr>
                <w:sz w:val="18"/>
                <w:szCs w:val="18"/>
                <w14:numSpacing w14:val="tabular"/>
              </w:rPr>
              <w:t>Ḥasan-Áqá</w:t>
            </w:r>
            <w:r w:rsidRPr="008F03E5">
              <w:rPr>
                <w:sz w:val="18"/>
                <w:szCs w:val="18"/>
              </w:rPr>
              <w:t xml:space="preserve"> (Amuda?)</w:t>
            </w:r>
          </w:p>
        </w:tc>
        <w:tc>
          <w:tcPr>
            <w:tcW w:w="406" w:type="dxa"/>
            <w:tcBorders>
              <w:top w:val="nil"/>
              <w:bottom w:val="nil"/>
            </w:tcBorders>
          </w:tcPr>
          <w:p w14:paraId="46F446D5" w14:textId="77777777" w:rsidR="00B078AA" w:rsidRPr="008F03E5" w:rsidRDefault="00B078AA" w:rsidP="0005057B">
            <w:pPr>
              <w:jc w:val="right"/>
              <w:rPr>
                <w:sz w:val="18"/>
                <w:szCs w:val="18"/>
                <w14:numSpacing w14:val="tabular"/>
              </w:rPr>
            </w:pPr>
            <w:r w:rsidRPr="008F03E5">
              <w:rPr>
                <w:sz w:val="18"/>
                <w:szCs w:val="18"/>
                <w14:numSpacing w14:val="tabular"/>
              </w:rPr>
              <w:t>86</w:t>
            </w:r>
          </w:p>
        </w:tc>
        <w:tc>
          <w:tcPr>
            <w:tcW w:w="3118" w:type="dxa"/>
            <w:tcBorders>
              <w:top w:val="nil"/>
              <w:bottom w:val="nil"/>
            </w:tcBorders>
          </w:tcPr>
          <w:p w14:paraId="244E2608" w14:textId="77777777" w:rsidR="00B078AA" w:rsidRPr="008F03E5" w:rsidRDefault="00B078AA" w:rsidP="0005057B">
            <w:pPr>
              <w:rPr>
                <w:sz w:val="18"/>
                <w:szCs w:val="18"/>
                <w14:numSpacing w14:val="tabular"/>
              </w:rPr>
            </w:pPr>
            <w:r w:rsidRPr="008F03E5">
              <w:rPr>
                <w:sz w:val="18"/>
                <w:szCs w:val="18"/>
                <w14:numSpacing w14:val="tabular"/>
              </w:rPr>
              <w:t>Haifa</w:t>
            </w:r>
          </w:p>
        </w:tc>
      </w:tr>
      <w:tr w:rsidR="00B078AA" w:rsidRPr="008F03E5" w14:paraId="150A3E3A" w14:textId="77777777" w:rsidTr="0005057B">
        <w:tc>
          <w:tcPr>
            <w:tcW w:w="406" w:type="dxa"/>
            <w:tcBorders>
              <w:top w:val="nil"/>
            </w:tcBorders>
          </w:tcPr>
          <w:p w14:paraId="116A4F17" w14:textId="77777777" w:rsidR="00B078AA" w:rsidRPr="008F03E5" w:rsidRDefault="00B078AA" w:rsidP="0005057B">
            <w:pPr>
              <w:tabs>
                <w:tab w:val="decimal" w:pos="149"/>
              </w:tabs>
              <w:jc w:val="right"/>
              <w:rPr>
                <w:sz w:val="18"/>
                <w:szCs w:val="18"/>
                <w14:numSpacing w14:val="tabular"/>
              </w:rPr>
            </w:pPr>
            <w:r w:rsidRPr="008F03E5">
              <w:rPr>
                <w:sz w:val="18"/>
                <w:szCs w:val="18"/>
                <w14:numSpacing w14:val="tabular"/>
              </w:rPr>
              <w:t>29</w:t>
            </w:r>
          </w:p>
        </w:tc>
        <w:tc>
          <w:tcPr>
            <w:tcW w:w="2891" w:type="dxa"/>
            <w:tcBorders>
              <w:top w:val="nil"/>
            </w:tcBorders>
          </w:tcPr>
          <w:p w14:paraId="3668D802" w14:textId="77777777" w:rsidR="00B078AA" w:rsidRPr="008F03E5" w:rsidRDefault="00B078AA" w:rsidP="0005057B">
            <w:pPr>
              <w:rPr>
                <w:sz w:val="18"/>
                <w:szCs w:val="18"/>
                <w14:numSpacing w14:val="tabular"/>
              </w:rPr>
            </w:pPr>
            <w:r w:rsidRPr="008F03E5">
              <w:rPr>
                <w:sz w:val="18"/>
                <w:szCs w:val="18"/>
                <w14:numSpacing w14:val="tabular"/>
              </w:rPr>
              <w:t>Kirmán</w:t>
            </w:r>
            <w:r w:rsidRPr="008F03E5">
              <w:rPr>
                <w:sz w:val="18"/>
                <w:szCs w:val="18"/>
                <w:u w:val="single"/>
                <w14:numSpacing w14:val="tabular"/>
              </w:rPr>
              <w:t>sh</w:t>
            </w:r>
            <w:r w:rsidRPr="008F03E5">
              <w:rPr>
                <w:sz w:val="18"/>
                <w:szCs w:val="18"/>
                <w14:numSpacing w14:val="tabular"/>
              </w:rPr>
              <w:t>áh</w:t>
            </w:r>
          </w:p>
        </w:tc>
        <w:tc>
          <w:tcPr>
            <w:tcW w:w="406" w:type="dxa"/>
            <w:tcBorders>
              <w:top w:val="nil"/>
            </w:tcBorders>
          </w:tcPr>
          <w:p w14:paraId="6F339679" w14:textId="77777777" w:rsidR="00B078AA" w:rsidRPr="008F03E5" w:rsidRDefault="00B078AA" w:rsidP="0005057B">
            <w:pPr>
              <w:jc w:val="right"/>
              <w:rPr>
                <w:sz w:val="18"/>
                <w:szCs w:val="18"/>
                <w14:numSpacing w14:val="tabular"/>
              </w:rPr>
            </w:pPr>
            <w:r w:rsidRPr="008F03E5">
              <w:rPr>
                <w:sz w:val="18"/>
                <w:szCs w:val="18"/>
                <w14:numSpacing w14:val="tabular"/>
              </w:rPr>
              <w:t>58</w:t>
            </w:r>
          </w:p>
        </w:tc>
        <w:tc>
          <w:tcPr>
            <w:tcW w:w="3685" w:type="dxa"/>
            <w:tcBorders>
              <w:top w:val="nil"/>
            </w:tcBorders>
          </w:tcPr>
          <w:p w14:paraId="29208051" w14:textId="77777777" w:rsidR="00B078AA" w:rsidRPr="008F03E5" w:rsidRDefault="00B078AA" w:rsidP="0005057B">
            <w:pPr>
              <w:rPr>
                <w:sz w:val="18"/>
                <w:szCs w:val="18"/>
                <w14:numSpacing w14:val="tabular"/>
              </w:rPr>
            </w:pPr>
            <w:r w:rsidRPr="008F03E5">
              <w:rPr>
                <w:sz w:val="18"/>
                <w:szCs w:val="18"/>
                <w14:numSpacing w14:val="tabular"/>
              </w:rPr>
              <w:t>Márdín</w:t>
            </w:r>
          </w:p>
        </w:tc>
        <w:tc>
          <w:tcPr>
            <w:tcW w:w="406" w:type="dxa"/>
            <w:tcBorders>
              <w:top w:val="nil"/>
            </w:tcBorders>
          </w:tcPr>
          <w:p w14:paraId="5EE76D87" w14:textId="77777777" w:rsidR="00B078AA" w:rsidRPr="008F03E5" w:rsidRDefault="00B078AA" w:rsidP="0005057B">
            <w:pPr>
              <w:jc w:val="right"/>
              <w:rPr>
                <w:sz w:val="18"/>
                <w:szCs w:val="18"/>
                <w14:numSpacing w14:val="tabular"/>
              </w:rPr>
            </w:pPr>
            <w:r w:rsidRPr="008F03E5">
              <w:rPr>
                <w:sz w:val="18"/>
                <w:szCs w:val="18"/>
                <w14:numSpacing w14:val="tabular"/>
              </w:rPr>
              <w:t>87</w:t>
            </w:r>
          </w:p>
        </w:tc>
        <w:tc>
          <w:tcPr>
            <w:tcW w:w="3118" w:type="dxa"/>
            <w:tcBorders>
              <w:top w:val="nil"/>
            </w:tcBorders>
          </w:tcPr>
          <w:p w14:paraId="6F61C688" w14:textId="77777777" w:rsidR="00B078AA" w:rsidRPr="008F03E5" w:rsidRDefault="00B078AA" w:rsidP="0005057B">
            <w:pPr>
              <w:rPr>
                <w:sz w:val="18"/>
                <w:szCs w:val="18"/>
                <w14:numSpacing w14:val="tabular"/>
              </w:rPr>
            </w:pPr>
            <w:r w:rsidRPr="008F03E5">
              <w:rPr>
                <w:sz w:val="18"/>
                <w:szCs w:val="18"/>
                <w14:numSpacing w14:val="tabular"/>
              </w:rPr>
              <w:t>‘Akká</w:t>
            </w:r>
          </w:p>
        </w:tc>
      </w:tr>
    </w:tbl>
    <w:p w14:paraId="12EF9794" w14:textId="139A28CB" w:rsidR="00E20EB1" w:rsidRPr="00417520" w:rsidRDefault="00E20EB1" w:rsidP="00F42DB7">
      <w:pPr>
        <w:pStyle w:val="Myhead"/>
      </w:pPr>
      <w:r>
        <w:t>Calendars</w:t>
      </w:r>
      <w:bookmarkEnd w:id="192"/>
      <w:r w:rsidR="00BB58C6" w:rsidRPr="00BB58C6">
        <w:rPr>
          <w:b w:val="0"/>
          <w:sz w:val="12"/>
        </w:rPr>
        <w:fldChar w:fldCharType="begin"/>
      </w:r>
      <w:r w:rsidR="00BB58C6" w:rsidRPr="00BB58C6">
        <w:rPr>
          <w:b w:val="0"/>
          <w:sz w:val="12"/>
        </w:rPr>
        <w:instrText xml:space="preserve"> TC “</w:instrText>
      </w:r>
      <w:bookmarkStart w:id="209" w:name="_Toc149476392"/>
      <w:bookmarkStart w:id="210" w:name="_Toc167691893"/>
      <w:r w:rsidR="00BB58C6" w:rsidRPr="00BB58C6">
        <w:rPr>
          <w:b w:val="0"/>
          <w:sz w:val="12"/>
        </w:rPr>
        <w:instrText>Calendars</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209"/>
      <w:bookmarkEnd w:id="210"/>
      <w:r w:rsidR="00BB58C6" w:rsidRPr="00BB58C6">
        <w:rPr>
          <w:b w:val="0"/>
          <w:sz w:val="12"/>
        </w:rPr>
        <w:instrText>” \l 1</w:instrText>
      </w:r>
      <w:r w:rsidR="00BB58C6" w:rsidRPr="00BB58C6">
        <w:rPr>
          <w:b w:val="0"/>
          <w:sz w:val="12"/>
        </w:rPr>
        <w:fldChar w:fldCharType="end"/>
      </w:r>
    </w:p>
    <w:p w14:paraId="6090B48A" w14:textId="399998B0" w:rsidR="00F42DB7" w:rsidRPr="00E11C3A" w:rsidRDefault="00F42DB7" w:rsidP="00F42DB7">
      <w:pPr>
        <w:pStyle w:val="Myhead3"/>
      </w:pPr>
      <w:bookmarkStart w:id="211" w:name="_Toc149326093"/>
      <w:r w:rsidRPr="008F03E5">
        <w:t xml:space="preserve">Badí‘-Bahá’í </w:t>
      </w:r>
      <w:bookmarkEnd w:id="211"/>
      <w:r>
        <w:t>calendar</w:t>
      </w:r>
      <w:r w:rsidRPr="00F42DB7">
        <w:rPr>
          <w:b w:val="0"/>
          <w:bCs/>
          <w:i w:val="0"/>
          <w:iCs/>
          <w:sz w:val="12"/>
          <w:szCs w:val="12"/>
        </w:rPr>
        <w:fldChar w:fldCharType="begin"/>
      </w:r>
      <w:r w:rsidRPr="00F42DB7">
        <w:rPr>
          <w:b w:val="0"/>
          <w:bCs/>
          <w:i w:val="0"/>
          <w:iCs/>
          <w:sz w:val="12"/>
          <w:szCs w:val="12"/>
        </w:rPr>
        <w:instrText xml:space="preserve"> TC “</w:instrText>
      </w:r>
      <w:bookmarkStart w:id="212" w:name="_Toc149476388"/>
      <w:bookmarkStart w:id="213" w:name="_Toc167691894"/>
      <w:r w:rsidRPr="00074EB6">
        <w:rPr>
          <w:b w:val="0"/>
          <w:bCs/>
          <w:sz w:val="12"/>
          <w:szCs w:val="12"/>
        </w:rPr>
        <w:instrText>Badí‘-Bahá’í calendar</w:instrText>
      </w:r>
      <w:r w:rsidRPr="00074EB6">
        <w:rPr>
          <w:b w:val="0"/>
          <w:bCs/>
          <w:color w:val="FFFFFF" w:themeColor="background1"/>
          <w:sz w:val="12"/>
          <w:szCs w:val="12"/>
        </w:rPr>
        <w:instrText>..</w:instrText>
      </w:r>
      <w:r w:rsidRPr="00074EB6">
        <w:rPr>
          <w:b w:val="0"/>
          <w:bCs/>
          <w:sz w:val="12"/>
          <w:szCs w:val="12"/>
        </w:rPr>
        <w:tab/>
      </w:r>
      <w:r w:rsidRPr="00F42DB7">
        <w:rPr>
          <w:b w:val="0"/>
          <w:bCs/>
          <w:i w:val="0"/>
          <w:iCs/>
          <w:color w:val="FFFFFF" w:themeColor="background1"/>
          <w:sz w:val="12"/>
          <w:szCs w:val="12"/>
        </w:rPr>
        <w:instrText>.</w:instrText>
      </w:r>
      <w:bookmarkEnd w:id="212"/>
      <w:bookmarkEnd w:id="213"/>
      <w:r w:rsidRPr="00F42DB7">
        <w:rPr>
          <w:b w:val="0"/>
          <w:bCs/>
          <w:i w:val="0"/>
          <w:iCs/>
          <w:sz w:val="12"/>
          <w:szCs w:val="12"/>
        </w:rPr>
        <w:instrText>” \l 2</w:instrText>
      </w:r>
      <w:r w:rsidRPr="00F42DB7">
        <w:rPr>
          <w:b w:val="0"/>
          <w:bCs/>
          <w:i w:val="0"/>
          <w:iCs/>
          <w:sz w:val="12"/>
          <w:szCs w:val="12"/>
        </w:rPr>
        <w:fldChar w:fldCharType="end"/>
      </w:r>
    </w:p>
    <w:p w14:paraId="2A6AF869" w14:textId="5483796B" w:rsidR="00F42DB7" w:rsidRPr="008F03E5" w:rsidRDefault="00F42DB7" w:rsidP="004649BE">
      <w:pPr>
        <w:pStyle w:val="MyHead4"/>
        <w:keepNext/>
        <w:spacing w:after="120"/>
        <w:rPr>
          <w:lang w:val="en-GB"/>
        </w:rPr>
      </w:pPr>
      <w:r w:rsidRPr="008F03E5">
        <w:rPr>
          <w:lang w:val="en-GB"/>
        </w:rPr>
        <w:t>Days</w:t>
      </w:r>
    </w:p>
    <w:tbl>
      <w:tblPr>
        <w:tblStyle w:val="TableGrid"/>
        <w:tblW w:w="0" w:type="auto"/>
        <w:jc w:val="center"/>
        <w:tblLook w:val="04A0" w:firstRow="1" w:lastRow="0" w:firstColumn="1" w:lastColumn="0" w:noHBand="0" w:noVBand="1"/>
      </w:tblPr>
      <w:tblGrid>
        <w:gridCol w:w="567"/>
        <w:gridCol w:w="1020"/>
        <w:gridCol w:w="850"/>
        <w:gridCol w:w="1247"/>
        <w:gridCol w:w="624"/>
        <w:gridCol w:w="1134"/>
        <w:gridCol w:w="850"/>
        <w:gridCol w:w="1361"/>
      </w:tblGrid>
      <w:tr w:rsidR="00F42DB7" w:rsidRPr="008F03E5" w14:paraId="745000DF" w14:textId="77777777" w:rsidTr="007176EE">
        <w:trPr>
          <w:jc w:val="center"/>
        </w:trPr>
        <w:tc>
          <w:tcPr>
            <w:tcW w:w="567" w:type="dxa"/>
          </w:tcPr>
          <w:p w14:paraId="64C8ABA9" w14:textId="77777777" w:rsidR="00F42DB7" w:rsidRPr="008F03E5" w:rsidRDefault="00F42DB7" w:rsidP="007176EE">
            <w:pPr>
              <w:keepNext/>
              <w:jc w:val="center"/>
              <w:rPr>
                <w:b/>
                <w:bCs/>
                <w:sz w:val="18"/>
                <w:szCs w:val="18"/>
              </w:rPr>
            </w:pPr>
            <w:r w:rsidRPr="008F03E5">
              <w:rPr>
                <w:b/>
                <w:bCs/>
                <w:sz w:val="18"/>
                <w:szCs w:val="18"/>
              </w:rPr>
              <w:t>Day</w:t>
            </w:r>
          </w:p>
        </w:tc>
        <w:tc>
          <w:tcPr>
            <w:tcW w:w="1020" w:type="dxa"/>
          </w:tcPr>
          <w:p w14:paraId="016E523B" w14:textId="77777777" w:rsidR="00F42DB7" w:rsidRPr="008F03E5" w:rsidRDefault="00F42DB7" w:rsidP="007176EE">
            <w:pPr>
              <w:keepNext/>
              <w:jc w:val="center"/>
              <w:rPr>
                <w:b/>
                <w:bCs/>
                <w:sz w:val="18"/>
                <w:szCs w:val="18"/>
              </w:rPr>
            </w:pPr>
            <w:r w:rsidRPr="008F03E5">
              <w:rPr>
                <w:b/>
                <w:bCs/>
                <w:sz w:val="18"/>
                <w:szCs w:val="18"/>
              </w:rPr>
              <w:t>English</w:t>
            </w:r>
          </w:p>
        </w:tc>
        <w:tc>
          <w:tcPr>
            <w:tcW w:w="850" w:type="dxa"/>
          </w:tcPr>
          <w:p w14:paraId="00556120" w14:textId="77777777" w:rsidR="00F42DB7" w:rsidRPr="008F03E5" w:rsidRDefault="00F42DB7" w:rsidP="007176EE">
            <w:pPr>
              <w:keepNext/>
              <w:jc w:val="center"/>
              <w:rPr>
                <w:b/>
                <w:bCs/>
                <w:sz w:val="18"/>
                <w:szCs w:val="18"/>
              </w:rPr>
            </w:pPr>
            <w:r w:rsidRPr="008F03E5">
              <w:rPr>
                <w:b/>
                <w:bCs/>
                <w:sz w:val="18"/>
                <w:szCs w:val="18"/>
              </w:rPr>
              <w:t>Arabic</w:t>
            </w:r>
          </w:p>
        </w:tc>
        <w:tc>
          <w:tcPr>
            <w:tcW w:w="1247" w:type="dxa"/>
          </w:tcPr>
          <w:p w14:paraId="667BCB3C" w14:textId="77777777" w:rsidR="00F42DB7" w:rsidRPr="008F03E5" w:rsidRDefault="00F42DB7" w:rsidP="007176EE">
            <w:pPr>
              <w:keepNext/>
              <w:jc w:val="center"/>
              <w:rPr>
                <w:b/>
                <w:bCs/>
                <w:sz w:val="18"/>
                <w:szCs w:val="18"/>
              </w:rPr>
            </w:pPr>
            <w:r w:rsidRPr="008F03E5">
              <w:rPr>
                <w:b/>
                <w:bCs/>
                <w:sz w:val="18"/>
                <w:szCs w:val="18"/>
              </w:rPr>
              <w:t>Translation</w:t>
            </w:r>
          </w:p>
        </w:tc>
        <w:tc>
          <w:tcPr>
            <w:tcW w:w="624" w:type="dxa"/>
          </w:tcPr>
          <w:p w14:paraId="3630B47E" w14:textId="77777777" w:rsidR="00F42DB7" w:rsidRPr="008F03E5" w:rsidRDefault="00F42DB7" w:rsidP="007176EE">
            <w:pPr>
              <w:keepNext/>
              <w:jc w:val="center"/>
              <w:rPr>
                <w:b/>
                <w:bCs/>
                <w:sz w:val="18"/>
                <w:szCs w:val="18"/>
              </w:rPr>
            </w:pPr>
            <w:r w:rsidRPr="008F03E5">
              <w:rPr>
                <w:b/>
                <w:bCs/>
                <w:sz w:val="18"/>
                <w:szCs w:val="18"/>
              </w:rPr>
              <w:t>Day</w:t>
            </w:r>
          </w:p>
        </w:tc>
        <w:tc>
          <w:tcPr>
            <w:tcW w:w="1134" w:type="dxa"/>
          </w:tcPr>
          <w:p w14:paraId="0589253C" w14:textId="77777777" w:rsidR="00F42DB7" w:rsidRPr="008F03E5" w:rsidRDefault="00F42DB7" w:rsidP="007176EE">
            <w:pPr>
              <w:keepNext/>
              <w:jc w:val="center"/>
              <w:rPr>
                <w:b/>
                <w:bCs/>
                <w:sz w:val="18"/>
                <w:szCs w:val="18"/>
              </w:rPr>
            </w:pPr>
            <w:r w:rsidRPr="008F03E5">
              <w:rPr>
                <w:b/>
                <w:bCs/>
                <w:sz w:val="18"/>
                <w:szCs w:val="18"/>
              </w:rPr>
              <w:t>English</w:t>
            </w:r>
          </w:p>
        </w:tc>
        <w:tc>
          <w:tcPr>
            <w:tcW w:w="850" w:type="dxa"/>
          </w:tcPr>
          <w:p w14:paraId="79663201" w14:textId="77777777" w:rsidR="00F42DB7" w:rsidRPr="008F03E5" w:rsidRDefault="00F42DB7" w:rsidP="007176EE">
            <w:pPr>
              <w:keepNext/>
              <w:jc w:val="center"/>
              <w:rPr>
                <w:b/>
                <w:bCs/>
                <w:sz w:val="18"/>
                <w:szCs w:val="18"/>
              </w:rPr>
            </w:pPr>
            <w:r w:rsidRPr="008F03E5">
              <w:rPr>
                <w:b/>
                <w:bCs/>
                <w:sz w:val="18"/>
                <w:szCs w:val="18"/>
              </w:rPr>
              <w:t>Arabic</w:t>
            </w:r>
          </w:p>
        </w:tc>
        <w:tc>
          <w:tcPr>
            <w:tcW w:w="1361" w:type="dxa"/>
          </w:tcPr>
          <w:p w14:paraId="60994DF1" w14:textId="77777777" w:rsidR="00F42DB7" w:rsidRPr="008F03E5" w:rsidRDefault="00F42DB7" w:rsidP="007176EE">
            <w:pPr>
              <w:keepNext/>
              <w:jc w:val="center"/>
              <w:rPr>
                <w:b/>
                <w:bCs/>
                <w:sz w:val="18"/>
                <w:szCs w:val="18"/>
              </w:rPr>
            </w:pPr>
            <w:r w:rsidRPr="008F03E5">
              <w:rPr>
                <w:b/>
                <w:bCs/>
                <w:sz w:val="18"/>
                <w:szCs w:val="18"/>
              </w:rPr>
              <w:t>Translation</w:t>
            </w:r>
          </w:p>
        </w:tc>
      </w:tr>
      <w:tr w:rsidR="00F42DB7" w:rsidRPr="008F03E5" w14:paraId="2411CE19" w14:textId="77777777" w:rsidTr="007176EE">
        <w:trPr>
          <w:jc w:val="center"/>
        </w:trPr>
        <w:tc>
          <w:tcPr>
            <w:tcW w:w="567" w:type="dxa"/>
            <w:tcBorders>
              <w:bottom w:val="nil"/>
            </w:tcBorders>
          </w:tcPr>
          <w:p w14:paraId="3C3E618D" w14:textId="77777777" w:rsidR="00F42DB7" w:rsidRPr="008F03E5" w:rsidRDefault="00F42DB7" w:rsidP="007176EE">
            <w:pPr>
              <w:tabs>
                <w:tab w:val="decimal" w:pos="204"/>
              </w:tabs>
              <w:rPr>
                <w:sz w:val="18"/>
                <w:szCs w:val="18"/>
                <w14:numSpacing w14:val="tabular"/>
              </w:rPr>
            </w:pPr>
            <w:r w:rsidRPr="008F03E5">
              <w:rPr>
                <w:sz w:val="18"/>
                <w:szCs w:val="18"/>
                <w14:numSpacing w14:val="tabular"/>
              </w:rPr>
              <w:t>1</w:t>
            </w:r>
          </w:p>
        </w:tc>
        <w:tc>
          <w:tcPr>
            <w:tcW w:w="1020" w:type="dxa"/>
            <w:tcBorders>
              <w:bottom w:val="nil"/>
            </w:tcBorders>
          </w:tcPr>
          <w:p w14:paraId="40311F56" w14:textId="77777777" w:rsidR="00F42DB7" w:rsidRPr="008F03E5" w:rsidRDefault="00F42DB7" w:rsidP="007176EE">
            <w:pPr>
              <w:rPr>
                <w:sz w:val="18"/>
                <w:szCs w:val="18"/>
              </w:rPr>
            </w:pPr>
            <w:r w:rsidRPr="008F03E5">
              <w:rPr>
                <w:sz w:val="18"/>
                <w:szCs w:val="18"/>
              </w:rPr>
              <w:t>Saturday</w:t>
            </w:r>
          </w:p>
        </w:tc>
        <w:tc>
          <w:tcPr>
            <w:tcW w:w="850" w:type="dxa"/>
            <w:tcBorders>
              <w:bottom w:val="nil"/>
            </w:tcBorders>
          </w:tcPr>
          <w:p w14:paraId="378BFA2A" w14:textId="77777777" w:rsidR="00F42DB7" w:rsidRPr="008F03E5" w:rsidRDefault="00F42DB7" w:rsidP="007176EE">
            <w:pPr>
              <w:rPr>
                <w:sz w:val="18"/>
                <w:szCs w:val="18"/>
              </w:rPr>
            </w:pPr>
            <w:r w:rsidRPr="008F03E5">
              <w:rPr>
                <w:sz w:val="18"/>
                <w:szCs w:val="18"/>
              </w:rPr>
              <w:t>Jalál</w:t>
            </w:r>
          </w:p>
        </w:tc>
        <w:tc>
          <w:tcPr>
            <w:tcW w:w="1247" w:type="dxa"/>
            <w:tcBorders>
              <w:bottom w:val="nil"/>
            </w:tcBorders>
          </w:tcPr>
          <w:p w14:paraId="1008E185" w14:textId="77777777" w:rsidR="00F42DB7" w:rsidRPr="008F03E5" w:rsidRDefault="00F42DB7" w:rsidP="007176EE">
            <w:pPr>
              <w:rPr>
                <w:sz w:val="18"/>
                <w:szCs w:val="18"/>
              </w:rPr>
            </w:pPr>
            <w:r w:rsidRPr="008F03E5">
              <w:rPr>
                <w:sz w:val="18"/>
                <w:szCs w:val="18"/>
              </w:rPr>
              <w:t>Glory</w:t>
            </w:r>
          </w:p>
        </w:tc>
        <w:tc>
          <w:tcPr>
            <w:tcW w:w="624" w:type="dxa"/>
            <w:tcBorders>
              <w:bottom w:val="nil"/>
            </w:tcBorders>
          </w:tcPr>
          <w:p w14:paraId="3FC07100" w14:textId="77777777" w:rsidR="00F42DB7" w:rsidRPr="008F03E5" w:rsidRDefault="00F42DB7" w:rsidP="007176EE">
            <w:pPr>
              <w:tabs>
                <w:tab w:val="decimal" w:pos="204"/>
              </w:tabs>
              <w:rPr>
                <w:sz w:val="18"/>
                <w:szCs w:val="18"/>
                <w14:numSpacing w14:val="tabular"/>
              </w:rPr>
            </w:pPr>
            <w:r w:rsidRPr="008F03E5">
              <w:rPr>
                <w:sz w:val="18"/>
                <w:szCs w:val="18"/>
                <w14:numSpacing w14:val="tabular"/>
              </w:rPr>
              <w:t>5</w:t>
            </w:r>
          </w:p>
        </w:tc>
        <w:tc>
          <w:tcPr>
            <w:tcW w:w="1134" w:type="dxa"/>
            <w:tcBorders>
              <w:bottom w:val="nil"/>
            </w:tcBorders>
          </w:tcPr>
          <w:p w14:paraId="54BBE3FE" w14:textId="77777777" w:rsidR="00F42DB7" w:rsidRPr="008F03E5" w:rsidRDefault="00F42DB7" w:rsidP="007176EE">
            <w:pPr>
              <w:rPr>
                <w:sz w:val="18"/>
                <w:szCs w:val="18"/>
              </w:rPr>
            </w:pPr>
            <w:r w:rsidRPr="008F03E5">
              <w:rPr>
                <w:sz w:val="18"/>
                <w:szCs w:val="18"/>
              </w:rPr>
              <w:t>Wednesday</w:t>
            </w:r>
          </w:p>
        </w:tc>
        <w:tc>
          <w:tcPr>
            <w:tcW w:w="850" w:type="dxa"/>
            <w:tcBorders>
              <w:bottom w:val="nil"/>
            </w:tcBorders>
          </w:tcPr>
          <w:p w14:paraId="47265CB1" w14:textId="77777777" w:rsidR="00F42DB7" w:rsidRPr="008F03E5" w:rsidRDefault="00F42DB7" w:rsidP="007176EE">
            <w:pPr>
              <w:rPr>
                <w:sz w:val="18"/>
                <w:szCs w:val="18"/>
              </w:rPr>
            </w:pPr>
            <w:r w:rsidRPr="008F03E5">
              <w:rPr>
                <w:sz w:val="18"/>
                <w:szCs w:val="18"/>
              </w:rPr>
              <w:t>‘Idál</w:t>
            </w:r>
          </w:p>
        </w:tc>
        <w:tc>
          <w:tcPr>
            <w:tcW w:w="1361" w:type="dxa"/>
            <w:tcBorders>
              <w:bottom w:val="nil"/>
            </w:tcBorders>
          </w:tcPr>
          <w:p w14:paraId="25BECED7" w14:textId="77777777" w:rsidR="00F42DB7" w:rsidRPr="008F03E5" w:rsidRDefault="00F42DB7" w:rsidP="007176EE">
            <w:pPr>
              <w:rPr>
                <w:sz w:val="18"/>
                <w:szCs w:val="18"/>
              </w:rPr>
            </w:pPr>
            <w:r w:rsidRPr="008F03E5">
              <w:rPr>
                <w:sz w:val="18"/>
                <w:szCs w:val="18"/>
              </w:rPr>
              <w:t>Justice</w:t>
            </w:r>
          </w:p>
        </w:tc>
      </w:tr>
      <w:tr w:rsidR="00F42DB7" w:rsidRPr="008F03E5" w14:paraId="59D66FEA" w14:textId="77777777" w:rsidTr="007176EE">
        <w:trPr>
          <w:jc w:val="center"/>
        </w:trPr>
        <w:tc>
          <w:tcPr>
            <w:tcW w:w="567" w:type="dxa"/>
            <w:tcBorders>
              <w:top w:val="nil"/>
              <w:bottom w:val="nil"/>
            </w:tcBorders>
          </w:tcPr>
          <w:p w14:paraId="5A1C4D34" w14:textId="77777777" w:rsidR="00F42DB7" w:rsidRPr="008F03E5" w:rsidRDefault="00F42DB7" w:rsidP="007176EE">
            <w:pPr>
              <w:tabs>
                <w:tab w:val="decimal" w:pos="204"/>
              </w:tabs>
              <w:rPr>
                <w:sz w:val="18"/>
                <w:szCs w:val="18"/>
                <w14:numSpacing w14:val="tabular"/>
              </w:rPr>
            </w:pPr>
            <w:r w:rsidRPr="008F03E5">
              <w:rPr>
                <w:sz w:val="18"/>
                <w:szCs w:val="18"/>
                <w14:numSpacing w14:val="tabular"/>
              </w:rPr>
              <w:t>2</w:t>
            </w:r>
          </w:p>
        </w:tc>
        <w:tc>
          <w:tcPr>
            <w:tcW w:w="1020" w:type="dxa"/>
            <w:tcBorders>
              <w:top w:val="nil"/>
              <w:bottom w:val="nil"/>
            </w:tcBorders>
          </w:tcPr>
          <w:p w14:paraId="0ACA9F9B" w14:textId="77777777" w:rsidR="00F42DB7" w:rsidRPr="008F03E5" w:rsidRDefault="00F42DB7" w:rsidP="007176EE">
            <w:pPr>
              <w:rPr>
                <w:sz w:val="18"/>
                <w:szCs w:val="18"/>
              </w:rPr>
            </w:pPr>
            <w:r w:rsidRPr="008F03E5">
              <w:rPr>
                <w:sz w:val="18"/>
                <w:szCs w:val="18"/>
              </w:rPr>
              <w:t>Sunday</w:t>
            </w:r>
          </w:p>
        </w:tc>
        <w:tc>
          <w:tcPr>
            <w:tcW w:w="850" w:type="dxa"/>
            <w:tcBorders>
              <w:top w:val="nil"/>
              <w:bottom w:val="nil"/>
            </w:tcBorders>
          </w:tcPr>
          <w:p w14:paraId="1A59BD60" w14:textId="77777777" w:rsidR="00F42DB7" w:rsidRPr="008F03E5" w:rsidRDefault="00F42DB7" w:rsidP="007176EE">
            <w:pPr>
              <w:rPr>
                <w:sz w:val="18"/>
                <w:szCs w:val="18"/>
              </w:rPr>
            </w:pPr>
            <w:r w:rsidRPr="008F03E5">
              <w:rPr>
                <w:sz w:val="18"/>
                <w:szCs w:val="18"/>
              </w:rPr>
              <w:t>Jamál</w:t>
            </w:r>
          </w:p>
        </w:tc>
        <w:tc>
          <w:tcPr>
            <w:tcW w:w="1247" w:type="dxa"/>
            <w:tcBorders>
              <w:top w:val="nil"/>
              <w:bottom w:val="nil"/>
            </w:tcBorders>
          </w:tcPr>
          <w:p w14:paraId="7FC2CAF6" w14:textId="77777777" w:rsidR="00F42DB7" w:rsidRPr="008F03E5" w:rsidRDefault="00F42DB7" w:rsidP="007176EE">
            <w:pPr>
              <w:rPr>
                <w:sz w:val="18"/>
                <w:szCs w:val="18"/>
              </w:rPr>
            </w:pPr>
            <w:r w:rsidRPr="008F03E5">
              <w:rPr>
                <w:sz w:val="18"/>
                <w:szCs w:val="18"/>
              </w:rPr>
              <w:t>Beauty</w:t>
            </w:r>
          </w:p>
        </w:tc>
        <w:tc>
          <w:tcPr>
            <w:tcW w:w="624" w:type="dxa"/>
            <w:tcBorders>
              <w:top w:val="nil"/>
              <w:bottom w:val="nil"/>
            </w:tcBorders>
          </w:tcPr>
          <w:p w14:paraId="6EF13D52" w14:textId="77777777" w:rsidR="00F42DB7" w:rsidRPr="008F03E5" w:rsidRDefault="00F42DB7" w:rsidP="007176EE">
            <w:pPr>
              <w:tabs>
                <w:tab w:val="decimal" w:pos="204"/>
              </w:tabs>
              <w:rPr>
                <w:sz w:val="18"/>
                <w:szCs w:val="18"/>
                <w14:numSpacing w14:val="tabular"/>
              </w:rPr>
            </w:pPr>
            <w:r w:rsidRPr="008F03E5">
              <w:rPr>
                <w:sz w:val="18"/>
                <w:szCs w:val="18"/>
                <w14:numSpacing w14:val="tabular"/>
              </w:rPr>
              <w:t>6</w:t>
            </w:r>
          </w:p>
        </w:tc>
        <w:tc>
          <w:tcPr>
            <w:tcW w:w="1134" w:type="dxa"/>
            <w:tcBorders>
              <w:top w:val="nil"/>
              <w:bottom w:val="nil"/>
            </w:tcBorders>
          </w:tcPr>
          <w:p w14:paraId="37CA59AB" w14:textId="77777777" w:rsidR="00F42DB7" w:rsidRPr="008F03E5" w:rsidRDefault="00F42DB7" w:rsidP="007176EE">
            <w:pPr>
              <w:rPr>
                <w:sz w:val="18"/>
                <w:szCs w:val="18"/>
              </w:rPr>
            </w:pPr>
            <w:r w:rsidRPr="008F03E5">
              <w:rPr>
                <w:sz w:val="18"/>
                <w:szCs w:val="18"/>
              </w:rPr>
              <w:t>Thursday</w:t>
            </w:r>
          </w:p>
        </w:tc>
        <w:tc>
          <w:tcPr>
            <w:tcW w:w="850" w:type="dxa"/>
            <w:tcBorders>
              <w:top w:val="nil"/>
              <w:bottom w:val="nil"/>
            </w:tcBorders>
          </w:tcPr>
          <w:p w14:paraId="68DEB7BB" w14:textId="77777777" w:rsidR="00F42DB7" w:rsidRPr="008F03E5" w:rsidRDefault="00F42DB7" w:rsidP="007176EE">
            <w:pPr>
              <w:rPr>
                <w:sz w:val="18"/>
                <w:szCs w:val="18"/>
              </w:rPr>
            </w:pPr>
            <w:r w:rsidRPr="008F03E5">
              <w:rPr>
                <w:sz w:val="18"/>
                <w:szCs w:val="18"/>
              </w:rPr>
              <w:t>Istijlál</w:t>
            </w:r>
          </w:p>
        </w:tc>
        <w:tc>
          <w:tcPr>
            <w:tcW w:w="1361" w:type="dxa"/>
            <w:tcBorders>
              <w:top w:val="nil"/>
              <w:bottom w:val="nil"/>
            </w:tcBorders>
          </w:tcPr>
          <w:p w14:paraId="433B6D21" w14:textId="77777777" w:rsidR="00F42DB7" w:rsidRPr="008F03E5" w:rsidRDefault="00F42DB7" w:rsidP="007176EE">
            <w:pPr>
              <w:rPr>
                <w:sz w:val="18"/>
                <w:szCs w:val="18"/>
              </w:rPr>
            </w:pPr>
            <w:r w:rsidRPr="008F03E5">
              <w:rPr>
                <w:sz w:val="18"/>
                <w:szCs w:val="18"/>
              </w:rPr>
              <w:t>Majesty</w:t>
            </w:r>
          </w:p>
        </w:tc>
      </w:tr>
      <w:tr w:rsidR="00F42DB7" w:rsidRPr="008F03E5" w14:paraId="3AD9A68E" w14:textId="77777777" w:rsidTr="007176EE">
        <w:trPr>
          <w:jc w:val="center"/>
        </w:trPr>
        <w:tc>
          <w:tcPr>
            <w:tcW w:w="567" w:type="dxa"/>
            <w:tcBorders>
              <w:top w:val="nil"/>
              <w:bottom w:val="nil"/>
            </w:tcBorders>
          </w:tcPr>
          <w:p w14:paraId="1290578D" w14:textId="77777777" w:rsidR="00F42DB7" w:rsidRPr="008F03E5" w:rsidRDefault="00F42DB7" w:rsidP="007176EE">
            <w:pPr>
              <w:tabs>
                <w:tab w:val="decimal" w:pos="204"/>
              </w:tabs>
              <w:rPr>
                <w:sz w:val="18"/>
                <w:szCs w:val="18"/>
                <w14:numSpacing w14:val="tabular"/>
              </w:rPr>
            </w:pPr>
            <w:r w:rsidRPr="008F03E5">
              <w:rPr>
                <w:sz w:val="18"/>
                <w:szCs w:val="18"/>
                <w14:numSpacing w14:val="tabular"/>
              </w:rPr>
              <w:t>3</w:t>
            </w:r>
          </w:p>
        </w:tc>
        <w:tc>
          <w:tcPr>
            <w:tcW w:w="1020" w:type="dxa"/>
            <w:tcBorders>
              <w:top w:val="nil"/>
              <w:bottom w:val="nil"/>
            </w:tcBorders>
          </w:tcPr>
          <w:p w14:paraId="467B7325" w14:textId="77777777" w:rsidR="00F42DB7" w:rsidRPr="008F03E5" w:rsidRDefault="00F42DB7" w:rsidP="007176EE">
            <w:pPr>
              <w:rPr>
                <w:sz w:val="18"/>
                <w:szCs w:val="18"/>
              </w:rPr>
            </w:pPr>
            <w:r w:rsidRPr="008F03E5">
              <w:rPr>
                <w:sz w:val="18"/>
                <w:szCs w:val="18"/>
              </w:rPr>
              <w:t>Monday</w:t>
            </w:r>
          </w:p>
        </w:tc>
        <w:tc>
          <w:tcPr>
            <w:tcW w:w="850" w:type="dxa"/>
            <w:tcBorders>
              <w:top w:val="nil"/>
              <w:bottom w:val="nil"/>
            </w:tcBorders>
          </w:tcPr>
          <w:p w14:paraId="08FD31C1" w14:textId="77777777" w:rsidR="00F42DB7" w:rsidRPr="008F03E5" w:rsidRDefault="00F42DB7" w:rsidP="007176EE">
            <w:pPr>
              <w:rPr>
                <w:sz w:val="18"/>
                <w:szCs w:val="18"/>
              </w:rPr>
            </w:pPr>
            <w:r w:rsidRPr="008F03E5">
              <w:rPr>
                <w:sz w:val="18"/>
                <w:szCs w:val="18"/>
              </w:rPr>
              <w:t>Kamál</w:t>
            </w:r>
          </w:p>
        </w:tc>
        <w:tc>
          <w:tcPr>
            <w:tcW w:w="1247" w:type="dxa"/>
            <w:tcBorders>
              <w:top w:val="nil"/>
              <w:bottom w:val="nil"/>
            </w:tcBorders>
          </w:tcPr>
          <w:p w14:paraId="746A6E62" w14:textId="77777777" w:rsidR="00F42DB7" w:rsidRPr="008F03E5" w:rsidRDefault="00F42DB7" w:rsidP="007176EE">
            <w:pPr>
              <w:rPr>
                <w:sz w:val="18"/>
                <w:szCs w:val="18"/>
              </w:rPr>
            </w:pPr>
            <w:r w:rsidRPr="008F03E5">
              <w:rPr>
                <w:sz w:val="18"/>
                <w:szCs w:val="18"/>
              </w:rPr>
              <w:t>Perfection</w:t>
            </w:r>
          </w:p>
        </w:tc>
        <w:tc>
          <w:tcPr>
            <w:tcW w:w="624" w:type="dxa"/>
            <w:tcBorders>
              <w:top w:val="nil"/>
              <w:bottom w:val="nil"/>
            </w:tcBorders>
          </w:tcPr>
          <w:p w14:paraId="3219AB6D" w14:textId="77777777" w:rsidR="00F42DB7" w:rsidRPr="008F03E5" w:rsidRDefault="00F42DB7" w:rsidP="007176EE">
            <w:pPr>
              <w:tabs>
                <w:tab w:val="decimal" w:pos="204"/>
              </w:tabs>
              <w:rPr>
                <w:sz w:val="18"/>
                <w:szCs w:val="18"/>
                <w14:numSpacing w14:val="tabular"/>
              </w:rPr>
            </w:pPr>
            <w:r w:rsidRPr="008F03E5">
              <w:rPr>
                <w:sz w:val="18"/>
                <w:szCs w:val="18"/>
                <w14:numSpacing w14:val="tabular"/>
              </w:rPr>
              <w:t>7</w:t>
            </w:r>
          </w:p>
        </w:tc>
        <w:tc>
          <w:tcPr>
            <w:tcW w:w="1134" w:type="dxa"/>
            <w:tcBorders>
              <w:top w:val="nil"/>
              <w:bottom w:val="nil"/>
            </w:tcBorders>
          </w:tcPr>
          <w:p w14:paraId="1DD237D0" w14:textId="77777777" w:rsidR="00F42DB7" w:rsidRPr="008F03E5" w:rsidRDefault="00F42DB7" w:rsidP="007176EE">
            <w:pPr>
              <w:rPr>
                <w:sz w:val="18"/>
                <w:szCs w:val="18"/>
              </w:rPr>
            </w:pPr>
            <w:r w:rsidRPr="008F03E5">
              <w:rPr>
                <w:sz w:val="18"/>
                <w:szCs w:val="18"/>
              </w:rPr>
              <w:t>Friday</w:t>
            </w:r>
          </w:p>
        </w:tc>
        <w:tc>
          <w:tcPr>
            <w:tcW w:w="850" w:type="dxa"/>
            <w:tcBorders>
              <w:top w:val="nil"/>
              <w:bottom w:val="nil"/>
            </w:tcBorders>
          </w:tcPr>
          <w:p w14:paraId="24B3D76B" w14:textId="77777777" w:rsidR="00F42DB7" w:rsidRPr="008F03E5" w:rsidRDefault="00F42DB7" w:rsidP="007176EE">
            <w:pPr>
              <w:rPr>
                <w:sz w:val="18"/>
                <w:szCs w:val="18"/>
              </w:rPr>
            </w:pPr>
            <w:r w:rsidRPr="008F03E5">
              <w:rPr>
                <w:sz w:val="18"/>
                <w:szCs w:val="18"/>
              </w:rPr>
              <w:t>Istiqlál</w:t>
            </w:r>
          </w:p>
        </w:tc>
        <w:tc>
          <w:tcPr>
            <w:tcW w:w="1361" w:type="dxa"/>
            <w:tcBorders>
              <w:top w:val="nil"/>
              <w:bottom w:val="nil"/>
            </w:tcBorders>
          </w:tcPr>
          <w:p w14:paraId="225BE7D5" w14:textId="77777777" w:rsidR="00F42DB7" w:rsidRPr="008F03E5" w:rsidRDefault="00F42DB7" w:rsidP="007176EE">
            <w:pPr>
              <w:rPr>
                <w:sz w:val="18"/>
                <w:szCs w:val="18"/>
              </w:rPr>
            </w:pPr>
            <w:r w:rsidRPr="008F03E5">
              <w:rPr>
                <w:sz w:val="18"/>
                <w:szCs w:val="18"/>
              </w:rPr>
              <w:t>Independence</w:t>
            </w:r>
          </w:p>
        </w:tc>
      </w:tr>
      <w:tr w:rsidR="00F42DB7" w:rsidRPr="008F03E5" w14:paraId="4DB37690" w14:textId="77777777" w:rsidTr="007176EE">
        <w:trPr>
          <w:jc w:val="center"/>
        </w:trPr>
        <w:tc>
          <w:tcPr>
            <w:tcW w:w="567" w:type="dxa"/>
            <w:tcBorders>
              <w:top w:val="nil"/>
              <w:bottom w:val="single" w:sz="4" w:space="0" w:color="auto"/>
            </w:tcBorders>
          </w:tcPr>
          <w:p w14:paraId="4AD756B3" w14:textId="77777777" w:rsidR="00F42DB7" w:rsidRPr="008F03E5" w:rsidRDefault="00F42DB7" w:rsidP="007176EE">
            <w:pPr>
              <w:tabs>
                <w:tab w:val="decimal" w:pos="204"/>
              </w:tabs>
              <w:rPr>
                <w:sz w:val="18"/>
                <w:szCs w:val="18"/>
                <w14:numSpacing w14:val="tabular"/>
              </w:rPr>
            </w:pPr>
            <w:r w:rsidRPr="008F03E5">
              <w:rPr>
                <w:sz w:val="18"/>
                <w:szCs w:val="18"/>
                <w14:numSpacing w14:val="tabular"/>
              </w:rPr>
              <w:t>4</w:t>
            </w:r>
          </w:p>
        </w:tc>
        <w:tc>
          <w:tcPr>
            <w:tcW w:w="1020" w:type="dxa"/>
            <w:tcBorders>
              <w:top w:val="nil"/>
              <w:bottom w:val="single" w:sz="4" w:space="0" w:color="auto"/>
            </w:tcBorders>
          </w:tcPr>
          <w:p w14:paraId="4225E4F2" w14:textId="77777777" w:rsidR="00F42DB7" w:rsidRPr="008F03E5" w:rsidRDefault="00F42DB7" w:rsidP="007176EE">
            <w:pPr>
              <w:rPr>
                <w:sz w:val="18"/>
                <w:szCs w:val="18"/>
              </w:rPr>
            </w:pPr>
            <w:r w:rsidRPr="008F03E5">
              <w:rPr>
                <w:sz w:val="18"/>
                <w:szCs w:val="18"/>
              </w:rPr>
              <w:t>Tuesday</w:t>
            </w:r>
          </w:p>
        </w:tc>
        <w:tc>
          <w:tcPr>
            <w:tcW w:w="850" w:type="dxa"/>
            <w:tcBorders>
              <w:top w:val="nil"/>
              <w:bottom w:val="single" w:sz="4" w:space="0" w:color="auto"/>
            </w:tcBorders>
          </w:tcPr>
          <w:p w14:paraId="42CD028A" w14:textId="77777777" w:rsidR="00F42DB7" w:rsidRPr="008F03E5" w:rsidRDefault="00F42DB7" w:rsidP="007176EE">
            <w:pPr>
              <w:rPr>
                <w:sz w:val="18"/>
                <w:szCs w:val="18"/>
              </w:rPr>
            </w:pPr>
            <w:r w:rsidRPr="008F03E5">
              <w:rPr>
                <w:sz w:val="18"/>
                <w:szCs w:val="18"/>
              </w:rPr>
              <w:t>Fiḍál</w:t>
            </w:r>
          </w:p>
        </w:tc>
        <w:tc>
          <w:tcPr>
            <w:tcW w:w="1247" w:type="dxa"/>
            <w:tcBorders>
              <w:top w:val="nil"/>
              <w:bottom w:val="single" w:sz="4" w:space="0" w:color="auto"/>
            </w:tcBorders>
          </w:tcPr>
          <w:p w14:paraId="4DE72DD1" w14:textId="77777777" w:rsidR="00F42DB7" w:rsidRPr="008F03E5" w:rsidRDefault="00F42DB7" w:rsidP="007176EE">
            <w:pPr>
              <w:rPr>
                <w:sz w:val="18"/>
                <w:szCs w:val="18"/>
              </w:rPr>
            </w:pPr>
            <w:r w:rsidRPr="008F03E5">
              <w:rPr>
                <w:sz w:val="18"/>
                <w:szCs w:val="18"/>
              </w:rPr>
              <w:t>Grace</w:t>
            </w:r>
          </w:p>
        </w:tc>
        <w:tc>
          <w:tcPr>
            <w:tcW w:w="624" w:type="dxa"/>
            <w:tcBorders>
              <w:top w:val="nil"/>
              <w:bottom w:val="single" w:sz="4" w:space="0" w:color="auto"/>
            </w:tcBorders>
          </w:tcPr>
          <w:p w14:paraId="38D581EB" w14:textId="77777777" w:rsidR="00F42DB7" w:rsidRPr="008F03E5" w:rsidRDefault="00F42DB7" w:rsidP="007176EE">
            <w:pPr>
              <w:rPr>
                <w:sz w:val="18"/>
                <w:szCs w:val="18"/>
              </w:rPr>
            </w:pPr>
          </w:p>
        </w:tc>
        <w:tc>
          <w:tcPr>
            <w:tcW w:w="1134" w:type="dxa"/>
            <w:tcBorders>
              <w:top w:val="nil"/>
              <w:bottom w:val="single" w:sz="4" w:space="0" w:color="auto"/>
            </w:tcBorders>
          </w:tcPr>
          <w:p w14:paraId="71E5E9C9" w14:textId="77777777" w:rsidR="00F42DB7" w:rsidRPr="008F03E5" w:rsidRDefault="00F42DB7" w:rsidP="007176EE">
            <w:pPr>
              <w:rPr>
                <w:sz w:val="18"/>
                <w:szCs w:val="18"/>
              </w:rPr>
            </w:pPr>
          </w:p>
        </w:tc>
        <w:tc>
          <w:tcPr>
            <w:tcW w:w="850" w:type="dxa"/>
            <w:tcBorders>
              <w:top w:val="nil"/>
              <w:bottom w:val="single" w:sz="4" w:space="0" w:color="auto"/>
            </w:tcBorders>
          </w:tcPr>
          <w:p w14:paraId="1C46C6EC" w14:textId="77777777" w:rsidR="00F42DB7" w:rsidRPr="008F03E5" w:rsidRDefault="00F42DB7" w:rsidP="007176EE">
            <w:pPr>
              <w:rPr>
                <w:sz w:val="18"/>
                <w:szCs w:val="18"/>
              </w:rPr>
            </w:pPr>
          </w:p>
        </w:tc>
        <w:tc>
          <w:tcPr>
            <w:tcW w:w="1361" w:type="dxa"/>
            <w:tcBorders>
              <w:top w:val="nil"/>
              <w:bottom w:val="single" w:sz="4" w:space="0" w:color="auto"/>
            </w:tcBorders>
          </w:tcPr>
          <w:p w14:paraId="624A0BCC" w14:textId="77777777" w:rsidR="00F42DB7" w:rsidRPr="008F03E5" w:rsidRDefault="00F42DB7" w:rsidP="007176EE">
            <w:pPr>
              <w:rPr>
                <w:sz w:val="18"/>
                <w:szCs w:val="18"/>
              </w:rPr>
            </w:pPr>
          </w:p>
        </w:tc>
      </w:tr>
    </w:tbl>
    <w:p w14:paraId="78D849E7" w14:textId="52D5E3C6" w:rsidR="00F42DB7" w:rsidRPr="008F03E5" w:rsidRDefault="00F42DB7" w:rsidP="004649BE">
      <w:pPr>
        <w:pStyle w:val="MyHead4"/>
        <w:keepNext/>
        <w:spacing w:after="120"/>
        <w:rPr>
          <w:lang w:val="en-GB"/>
        </w:rPr>
      </w:pPr>
      <w:r w:rsidRPr="008F03E5">
        <w:rPr>
          <w:lang w:val="en-GB"/>
        </w:rPr>
        <w:t>Months</w:t>
      </w:r>
    </w:p>
    <w:tbl>
      <w:tblPr>
        <w:tblStyle w:val="TableGrid"/>
        <w:tblW w:w="0" w:type="auto"/>
        <w:jc w:val="center"/>
        <w:tblLook w:val="04A0" w:firstRow="1" w:lastRow="0" w:firstColumn="1" w:lastColumn="0" w:noHBand="0" w:noVBand="1"/>
      </w:tblPr>
      <w:tblGrid>
        <w:gridCol w:w="1474"/>
        <w:gridCol w:w="1543"/>
        <w:gridCol w:w="1474"/>
        <w:gridCol w:w="1247"/>
        <w:gridCol w:w="1316"/>
      </w:tblGrid>
      <w:tr w:rsidR="00F42DB7" w:rsidRPr="008F03E5" w14:paraId="430D41EB" w14:textId="77777777" w:rsidTr="007176EE">
        <w:trPr>
          <w:jc w:val="center"/>
        </w:trPr>
        <w:tc>
          <w:tcPr>
            <w:tcW w:w="1474" w:type="dxa"/>
            <w:tcBorders>
              <w:top w:val="nil"/>
              <w:left w:val="nil"/>
            </w:tcBorders>
          </w:tcPr>
          <w:p w14:paraId="1C9809B9" w14:textId="77777777" w:rsidR="00F42DB7" w:rsidRPr="008F03E5" w:rsidRDefault="00F42DB7" w:rsidP="007176EE">
            <w:pPr>
              <w:keepNext/>
              <w:rPr>
                <w:sz w:val="18"/>
                <w:szCs w:val="18"/>
              </w:rPr>
            </w:pPr>
          </w:p>
        </w:tc>
        <w:tc>
          <w:tcPr>
            <w:tcW w:w="3017" w:type="dxa"/>
            <w:gridSpan w:val="2"/>
          </w:tcPr>
          <w:p w14:paraId="0FB9B9C7" w14:textId="77777777" w:rsidR="00F42DB7" w:rsidRPr="008F03E5" w:rsidRDefault="00F42DB7" w:rsidP="007176EE">
            <w:pPr>
              <w:keepNext/>
              <w:jc w:val="center"/>
              <w:rPr>
                <w:b/>
                <w:bCs/>
                <w:sz w:val="18"/>
                <w:szCs w:val="18"/>
              </w:rPr>
            </w:pPr>
            <w:r w:rsidRPr="008F03E5">
              <w:rPr>
                <w:b/>
                <w:bCs/>
                <w:sz w:val="18"/>
                <w:szCs w:val="18"/>
              </w:rPr>
              <w:t>Naw-Rúz first day</w:t>
            </w:r>
          </w:p>
        </w:tc>
        <w:tc>
          <w:tcPr>
            <w:tcW w:w="1247" w:type="dxa"/>
            <w:tcBorders>
              <w:top w:val="nil"/>
              <w:right w:val="nil"/>
            </w:tcBorders>
          </w:tcPr>
          <w:p w14:paraId="6318CA47" w14:textId="77777777" w:rsidR="00F42DB7" w:rsidRPr="008F03E5" w:rsidRDefault="00F42DB7" w:rsidP="007176EE">
            <w:pPr>
              <w:keepNext/>
              <w:rPr>
                <w:sz w:val="18"/>
                <w:szCs w:val="18"/>
              </w:rPr>
            </w:pPr>
          </w:p>
        </w:tc>
        <w:tc>
          <w:tcPr>
            <w:tcW w:w="1316" w:type="dxa"/>
            <w:tcBorders>
              <w:top w:val="nil"/>
              <w:left w:val="nil"/>
              <w:right w:val="nil"/>
            </w:tcBorders>
          </w:tcPr>
          <w:p w14:paraId="4914EE78" w14:textId="77777777" w:rsidR="00F42DB7" w:rsidRPr="008F03E5" w:rsidRDefault="00F42DB7" w:rsidP="007176EE">
            <w:pPr>
              <w:keepNext/>
              <w:rPr>
                <w:sz w:val="18"/>
                <w:szCs w:val="18"/>
              </w:rPr>
            </w:pPr>
          </w:p>
        </w:tc>
      </w:tr>
      <w:tr w:rsidR="00F42DB7" w:rsidRPr="008F03E5" w14:paraId="1AC9428C" w14:textId="77777777" w:rsidTr="007176EE">
        <w:trPr>
          <w:jc w:val="center"/>
        </w:trPr>
        <w:tc>
          <w:tcPr>
            <w:tcW w:w="1474" w:type="dxa"/>
          </w:tcPr>
          <w:p w14:paraId="6EA6A36B" w14:textId="77777777" w:rsidR="00F42DB7" w:rsidRPr="008F03E5" w:rsidRDefault="00F42DB7" w:rsidP="007176EE">
            <w:pPr>
              <w:keepNext/>
              <w:jc w:val="center"/>
              <w:rPr>
                <w:b/>
                <w:bCs/>
                <w:sz w:val="18"/>
                <w:szCs w:val="18"/>
              </w:rPr>
            </w:pPr>
            <w:r w:rsidRPr="008F03E5">
              <w:rPr>
                <w:b/>
                <w:bCs/>
                <w:sz w:val="18"/>
                <w:szCs w:val="18"/>
              </w:rPr>
              <w:t>Month</w:t>
            </w:r>
          </w:p>
        </w:tc>
        <w:tc>
          <w:tcPr>
            <w:tcW w:w="1543" w:type="dxa"/>
          </w:tcPr>
          <w:p w14:paraId="09D831EA" w14:textId="77777777" w:rsidR="00F42DB7" w:rsidRPr="008F03E5" w:rsidRDefault="00F42DB7" w:rsidP="007176EE">
            <w:pPr>
              <w:keepNext/>
              <w:jc w:val="center"/>
              <w:rPr>
                <w:b/>
                <w:bCs/>
                <w:sz w:val="18"/>
                <w:szCs w:val="18"/>
              </w:rPr>
            </w:pPr>
            <w:r w:rsidRPr="008F03E5">
              <w:rPr>
                <w:b/>
                <w:bCs/>
                <w:sz w:val="18"/>
                <w:szCs w:val="18"/>
              </w:rPr>
              <w:t>20 March</w:t>
            </w:r>
          </w:p>
        </w:tc>
        <w:tc>
          <w:tcPr>
            <w:tcW w:w="1474" w:type="dxa"/>
          </w:tcPr>
          <w:p w14:paraId="45FFA304" w14:textId="77777777" w:rsidR="00F42DB7" w:rsidRPr="008F03E5" w:rsidRDefault="00F42DB7" w:rsidP="007176EE">
            <w:pPr>
              <w:keepNext/>
              <w:jc w:val="center"/>
              <w:rPr>
                <w:b/>
                <w:bCs/>
                <w:sz w:val="18"/>
                <w:szCs w:val="18"/>
              </w:rPr>
            </w:pPr>
            <w:r w:rsidRPr="008F03E5">
              <w:rPr>
                <w:b/>
                <w:bCs/>
                <w:sz w:val="18"/>
                <w:szCs w:val="18"/>
              </w:rPr>
              <w:t>21 March</w:t>
            </w:r>
          </w:p>
        </w:tc>
        <w:tc>
          <w:tcPr>
            <w:tcW w:w="1247" w:type="dxa"/>
          </w:tcPr>
          <w:p w14:paraId="7B1DB574" w14:textId="77777777" w:rsidR="00F42DB7" w:rsidRPr="008F03E5" w:rsidRDefault="00F42DB7" w:rsidP="007176EE">
            <w:pPr>
              <w:keepNext/>
              <w:jc w:val="center"/>
              <w:rPr>
                <w:b/>
                <w:bCs/>
                <w:sz w:val="18"/>
                <w:szCs w:val="18"/>
              </w:rPr>
            </w:pPr>
            <w:r w:rsidRPr="008F03E5">
              <w:rPr>
                <w:b/>
                <w:bCs/>
                <w:sz w:val="18"/>
                <w:szCs w:val="18"/>
              </w:rPr>
              <w:t>Arabic</w:t>
            </w:r>
          </w:p>
        </w:tc>
        <w:tc>
          <w:tcPr>
            <w:tcW w:w="1316" w:type="dxa"/>
          </w:tcPr>
          <w:p w14:paraId="3DC71DA6" w14:textId="77777777" w:rsidR="00F42DB7" w:rsidRPr="008F03E5" w:rsidRDefault="00F42DB7" w:rsidP="007176EE">
            <w:pPr>
              <w:keepNext/>
              <w:jc w:val="center"/>
              <w:rPr>
                <w:b/>
                <w:bCs/>
                <w:sz w:val="18"/>
                <w:szCs w:val="18"/>
              </w:rPr>
            </w:pPr>
            <w:r w:rsidRPr="008F03E5">
              <w:rPr>
                <w:b/>
                <w:bCs/>
                <w:sz w:val="18"/>
                <w:szCs w:val="18"/>
              </w:rPr>
              <w:t>Translation</w:t>
            </w:r>
          </w:p>
        </w:tc>
      </w:tr>
      <w:tr w:rsidR="00F42DB7" w:rsidRPr="008F03E5" w14:paraId="559BA59F" w14:textId="77777777" w:rsidTr="007176EE">
        <w:trPr>
          <w:jc w:val="center"/>
        </w:trPr>
        <w:tc>
          <w:tcPr>
            <w:tcW w:w="1474" w:type="dxa"/>
            <w:tcBorders>
              <w:bottom w:val="nil"/>
            </w:tcBorders>
          </w:tcPr>
          <w:p w14:paraId="360AB526"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w:t>
            </w:r>
          </w:p>
        </w:tc>
        <w:tc>
          <w:tcPr>
            <w:tcW w:w="1543" w:type="dxa"/>
            <w:tcBorders>
              <w:bottom w:val="nil"/>
            </w:tcBorders>
          </w:tcPr>
          <w:p w14:paraId="53D446CC" w14:textId="77777777" w:rsidR="00F42DB7" w:rsidRPr="008F03E5" w:rsidRDefault="00F42DB7" w:rsidP="007176EE">
            <w:pPr>
              <w:rPr>
                <w:sz w:val="18"/>
                <w:szCs w:val="18"/>
                <w14:numSpacing w14:val="tabular"/>
              </w:rPr>
            </w:pPr>
            <w:r w:rsidRPr="008F03E5">
              <w:rPr>
                <w:sz w:val="18"/>
                <w:szCs w:val="18"/>
                <w14:numSpacing w14:val="tabular"/>
              </w:rPr>
              <w:t>20 March</w:t>
            </w:r>
          </w:p>
        </w:tc>
        <w:tc>
          <w:tcPr>
            <w:tcW w:w="1474" w:type="dxa"/>
            <w:tcBorders>
              <w:bottom w:val="nil"/>
            </w:tcBorders>
          </w:tcPr>
          <w:p w14:paraId="11ACF1B4" w14:textId="77777777" w:rsidR="00F42DB7" w:rsidRPr="008F03E5" w:rsidRDefault="00F42DB7" w:rsidP="007176EE">
            <w:pPr>
              <w:rPr>
                <w:sz w:val="18"/>
                <w:szCs w:val="18"/>
                <w14:numSpacing w14:val="tabular"/>
              </w:rPr>
            </w:pPr>
            <w:r w:rsidRPr="008F03E5">
              <w:rPr>
                <w:sz w:val="18"/>
                <w:szCs w:val="18"/>
                <w14:numSpacing w14:val="tabular"/>
              </w:rPr>
              <w:t>21 March</w:t>
            </w:r>
          </w:p>
        </w:tc>
        <w:tc>
          <w:tcPr>
            <w:tcW w:w="1247" w:type="dxa"/>
            <w:tcBorders>
              <w:bottom w:val="nil"/>
            </w:tcBorders>
          </w:tcPr>
          <w:p w14:paraId="32C147F4" w14:textId="77777777" w:rsidR="00F42DB7" w:rsidRPr="008F03E5" w:rsidRDefault="00F42DB7" w:rsidP="007176EE">
            <w:pPr>
              <w:rPr>
                <w:sz w:val="18"/>
                <w:szCs w:val="18"/>
              </w:rPr>
            </w:pPr>
            <w:r w:rsidRPr="008F03E5">
              <w:rPr>
                <w:sz w:val="18"/>
                <w:szCs w:val="18"/>
              </w:rPr>
              <w:t>Bahá</w:t>
            </w:r>
          </w:p>
        </w:tc>
        <w:tc>
          <w:tcPr>
            <w:tcW w:w="1316" w:type="dxa"/>
            <w:tcBorders>
              <w:bottom w:val="nil"/>
            </w:tcBorders>
          </w:tcPr>
          <w:p w14:paraId="3BF23302" w14:textId="77777777" w:rsidR="00F42DB7" w:rsidRPr="008F03E5" w:rsidRDefault="00F42DB7" w:rsidP="007176EE">
            <w:pPr>
              <w:rPr>
                <w:sz w:val="18"/>
                <w:szCs w:val="18"/>
              </w:rPr>
            </w:pPr>
            <w:r w:rsidRPr="008F03E5">
              <w:rPr>
                <w:sz w:val="18"/>
                <w:szCs w:val="18"/>
              </w:rPr>
              <w:t>Splendour</w:t>
            </w:r>
          </w:p>
        </w:tc>
      </w:tr>
      <w:tr w:rsidR="00F42DB7" w:rsidRPr="008F03E5" w14:paraId="46CA3B08" w14:textId="77777777" w:rsidTr="007176EE">
        <w:trPr>
          <w:jc w:val="center"/>
        </w:trPr>
        <w:tc>
          <w:tcPr>
            <w:tcW w:w="1474" w:type="dxa"/>
            <w:tcBorders>
              <w:top w:val="nil"/>
              <w:bottom w:val="nil"/>
            </w:tcBorders>
          </w:tcPr>
          <w:p w14:paraId="4F2DB30E"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2</w:t>
            </w:r>
          </w:p>
        </w:tc>
        <w:tc>
          <w:tcPr>
            <w:tcW w:w="1543" w:type="dxa"/>
            <w:tcBorders>
              <w:top w:val="nil"/>
              <w:bottom w:val="nil"/>
            </w:tcBorders>
          </w:tcPr>
          <w:p w14:paraId="273B0850"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8 April</w:t>
            </w:r>
          </w:p>
        </w:tc>
        <w:tc>
          <w:tcPr>
            <w:tcW w:w="1474" w:type="dxa"/>
            <w:tcBorders>
              <w:top w:val="nil"/>
              <w:bottom w:val="nil"/>
            </w:tcBorders>
          </w:tcPr>
          <w:p w14:paraId="1EBAB1F1"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9 April</w:t>
            </w:r>
          </w:p>
        </w:tc>
        <w:tc>
          <w:tcPr>
            <w:tcW w:w="1247" w:type="dxa"/>
            <w:tcBorders>
              <w:top w:val="nil"/>
              <w:bottom w:val="nil"/>
            </w:tcBorders>
          </w:tcPr>
          <w:p w14:paraId="7B492BF6" w14:textId="77777777" w:rsidR="00F42DB7" w:rsidRPr="008F03E5" w:rsidRDefault="00F42DB7" w:rsidP="007176EE">
            <w:pPr>
              <w:rPr>
                <w:sz w:val="18"/>
                <w:szCs w:val="18"/>
              </w:rPr>
            </w:pPr>
            <w:r w:rsidRPr="008F03E5">
              <w:rPr>
                <w:sz w:val="18"/>
                <w:szCs w:val="18"/>
              </w:rPr>
              <w:t>Jalál</w:t>
            </w:r>
          </w:p>
        </w:tc>
        <w:tc>
          <w:tcPr>
            <w:tcW w:w="1316" w:type="dxa"/>
            <w:tcBorders>
              <w:top w:val="nil"/>
              <w:bottom w:val="nil"/>
            </w:tcBorders>
          </w:tcPr>
          <w:p w14:paraId="41286C29" w14:textId="77777777" w:rsidR="00F42DB7" w:rsidRPr="008F03E5" w:rsidRDefault="00F42DB7" w:rsidP="007176EE">
            <w:pPr>
              <w:rPr>
                <w:sz w:val="18"/>
                <w:szCs w:val="18"/>
              </w:rPr>
            </w:pPr>
            <w:r w:rsidRPr="008F03E5">
              <w:rPr>
                <w:sz w:val="18"/>
                <w:szCs w:val="18"/>
              </w:rPr>
              <w:t>Glory</w:t>
            </w:r>
          </w:p>
        </w:tc>
      </w:tr>
      <w:tr w:rsidR="00F42DB7" w:rsidRPr="008F03E5" w14:paraId="254D6518" w14:textId="77777777" w:rsidTr="007176EE">
        <w:trPr>
          <w:jc w:val="center"/>
        </w:trPr>
        <w:tc>
          <w:tcPr>
            <w:tcW w:w="1474" w:type="dxa"/>
            <w:tcBorders>
              <w:top w:val="nil"/>
              <w:bottom w:val="nil"/>
            </w:tcBorders>
          </w:tcPr>
          <w:p w14:paraId="57478F73"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3</w:t>
            </w:r>
          </w:p>
        </w:tc>
        <w:tc>
          <w:tcPr>
            <w:tcW w:w="1543" w:type="dxa"/>
            <w:tcBorders>
              <w:top w:val="nil"/>
              <w:bottom w:val="nil"/>
            </w:tcBorders>
          </w:tcPr>
          <w:p w14:paraId="6F571E0B" w14:textId="77777777" w:rsidR="00F42DB7" w:rsidRPr="008F03E5" w:rsidRDefault="00F42DB7" w:rsidP="007176EE">
            <w:pPr>
              <w:rPr>
                <w:sz w:val="18"/>
                <w:szCs w:val="18"/>
                <w14:numSpacing w14:val="tabular"/>
              </w:rPr>
            </w:pPr>
            <w:r w:rsidRPr="008F03E5">
              <w:rPr>
                <w:sz w:val="18"/>
                <w:szCs w:val="18"/>
                <w14:numSpacing w14:val="tabular"/>
              </w:rPr>
              <w:t>27 April</w:t>
            </w:r>
          </w:p>
        </w:tc>
        <w:tc>
          <w:tcPr>
            <w:tcW w:w="1474" w:type="dxa"/>
            <w:tcBorders>
              <w:top w:val="nil"/>
              <w:bottom w:val="nil"/>
            </w:tcBorders>
          </w:tcPr>
          <w:p w14:paraId="7C288214" w14:textId="77777777" w:rsidR="00F42DB7" w:rsidRPr="008F03E5" w:rsidRDefault="00F42DB7" w:rsidP="007176EE">
            <w:pPr>
              <w:rPr>
                <w:sz w:val="18"/>
                <w:szCs w:val="18"/>
                <w14:numSpacing w14:val="tabular"/>
              </w:rPr>
            </w:pPr>
            <w:r w:rsidRPr="008F03E5">
              <w:rPr>
                <w:sz w:val="18"/>
                <w:szCs w:val="18"/>
                <w14:numSpacing w14:val="tabular"/>
              </w:rPr>
              <w:t>28 April</w:t>
            </w:r>
          </w:p>
        </w:tc>
        <w:tc>
          <w:tcPr>
            <w:tcW w:w="1247" w:type="dxa"/>
            <w:tcBorders>
              <w:top w:val="nil"/>
              <w:bottom w:val="nil"/>
            </w:tcBorders>
          </w:tcPr>
          <w:p w14:paraId="391343A9" w14:textId="77777777" w:rsidR="00F42DB7" w:rsidRPr="008F03E5" w:rsidRDefault="00F42DB7" w:rsidP="007176EE">
            <w:pPr>
              <w:rPr>
                <w:sz w:val="18"/>
                <w:szCs w:val="18"/>
              </w:rPr>
            </w:pPr>
            <w:r w:rsidRPr="008F03E5">
              <w:rPr>
                <w:sz w:val="18"/>
                <w:szCs w:val="18"/>
              </w:rPr>
              <w:t>Jamál</w:t>
            </w:r>
          </w:p>
        </w:tc>
        <w:tc>
          <w:tcPr>
            <w:tcW w:w="1316" w:type="dxa"/>
            <w:tcBorders>
              <w:top w:val="nil"/>
              <w:bottom w:val="nil"/>
            </w:tcBorders>
          </w:tcPr>
          <w:p w14:paraId="331770C1" w14:textId="77777777" w:rsidR="00F42DB7" w:rsidRPr="008F03E5" w:rsidRDefault="00F42DB7" w:rsidP="007176EE">
            <w:pPr>
              <w:rPr>
                <w:sz w:val="18"/>
                <w:szCs w:val="18"/>
              </w:rPr>
            </w:pPr>
            <w:r w:rsidRPr="008F03E5">
              <w:rPr>
                <w:sz w:val="18"/>
                <w:szCs w:val="18"/>
              </w:rPr>
              <w:t>Beauty</w:t>
            </w:r>
          </w:p>
        </w:tc>
      </w:tr>
      <w:tr w:rsidR="00F42DB7" w:rsidRPr="008F03E5" w14:paraId="4AC0EA52" w14:textId="77777777" w:rsidTr="007176EE">
        <w:trPr>
          <w:jc w:val="center"/>
        </w:trPr>
        <w:tc>
          <w:tcPr>
            <w:tcW w:w="1474" w:type="dxa"/>
            <w:tcBorders>
              <w:top w:val="nil"/>
              <w:bottom w:val="nil"/>
            </w:tcBorders>
          </w:tcPr>
          <w:p w14:paraId="252C206A"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4</w:t>
            </w:r>
          </w:p>
        </w:tc>
        <w:tc>
          <w:tcPr>
            <w:tcW w:w="1543" w:type="dxa"/>
            <w:tcBorders>
              <w:top w:val="nil"/>
              <w:bottom w:val="nil"/>
            </w:tcBorders>
          </w:tcPr>
          <w:p w14:paraId="28E43C0E" w14:textId="77777777" w:rsidR="00F42DB7" w:rsidRPr="008F03E5" w:rsidRDefault="00F42DB7" w:rsidP="007176EE">
            <w:pPr>
              <w:rPr>
                <w:sz w:val="18"/>
                <w:szCs w:val="18"/>
                <w14:numSpacing w14:val="tabular"/>
              </w:rPr>
            </w:pPr>
            <w:r w:rsidRPr="008F03E5">
              <w:rPr>
                <w:sz w:val="18"/>
                <w:szCs w:val="18"/>
                <w14:numSpacing w14:val="tabular"/>
              </w:rPr>
              <w:t>16 May</w:t>
            </w:r>
          </w:p>
        </w:tc>
        <w:tc>
          <w:tcPr>
            <w:tcW w:w="1474" w:type="dxa"/>
            <w:tcBorders>
              <w:top w:val="nil"/>
              <w:bottom w:val="nil"/>
            </w:tcBorders>
          </w:tcPr>
          <w:p w14:paraId="56E0ABBE" w14:textId="77777777" w:rsidR="00F42DB7" w:rsidRPr="008F03E5" w:rsidRDefault="00F42DB7" w:rsidP="007176EE">
            <w:pPr>
              <w:rPr>
                <w:sz w:val="18"/>
                <w:szCs w:val="18"/>
                <w14:numSpacing w14:val="tabular"/>
              </w:rPr>
            </w:pPr>
            <w:r w:rsidRPr="008F03E5">
              <w:rPr>
                <w:sz w:val="18"/>
                <w:szCs w:val="18"/>
                <w14:numSpacing w14:val="tabular"/>
              </w:rPr>
              <w:t>17 May</w:t>
            </w:r>
          </w:p>
        </w:tc>
        <w:tc>
          <w:tcPr>
            <w:tcW w:w="1247" w:type="dxa"/>
            <w:tcBorders>
              <w:top w:val="nil"/>
              <w:bottom w:val="nil"/>
            </w:tcBorders>
          </w:tcPr>
          <w:p w14:paraId="04297CE2" w14:textId="77777777" w:rsidR="00F42DB7" w:rsidRPr="008F03E5" w:rsidRDefault="00F42DB7" w:rsidP="007176EE">
            <w:pPr>
              <w:rPr>
                <w:sz w:val="18"/>
                <w:szCs w:val="18"/>
              </w:rPr>
            </w:pPr>
            <w:r w:rsidRPr="008F03E5">
              <w:rPr>
                <w:sz w:val="18"/>
                <w:szCs w:val="18"/>
              </w:rPr>
              <w:t>‘Aẓamat</w:t>
            </w:r>
          </w:p>
        </w:tc>
        <w:tc>
          <w:tcPr>
            <w:tcW w:w="1316" w:type="dxa"/>
            <w:tcBorders>
              <w:top w:val="nil"/>
              <w:bottom w:val="nil"/>
            </w:tcBorders>
          </w:tcPr>
          <w:p w14:paraId="46A889F2" w14:textId="77777777" w:rsidR="00F42DB7" w:rsidRPr="008F03E5" w:rsidRDefault="00F42DB7" w:rsidP="007176EE">
            <w:pPr>
              <w:rPr>
                <w:sz w:val="18"/>
                <w:szCs w:val="18"/>
              </w:rPr>
            </w:pPr>
            <w:r w:rsidRPr="008F03E5">
              <w:rPr>
                <w:sz w:val="18"/>
                <w:szCs w:val="18"/>
              </w:rPr>
              <w:t>Grandeur</w:t>
            </w:r>
          </w:p>
        </w:tc>
      </w:tr>
      <w:tr w:rsidR="00F42DB7" w:rsidRPr="008F03E5" w14:paraId="5A5ACCB1" w14:textId="77777777" w:rsidTr="007176EE">
        <w:trPr>
          <w:jc w:val="center"/>
        </w:trPr>
        <w:tc>
          <w:tcPr>
            <w:tcW w:w="1474" w:type="dxa"/>
            <w:tcBorders>
              <w:top w:val="nil"/>
              <w:bottom w:val="nil"/>
            </w:tcBorders>
          </w:tcPr>
          <w:p w14:paraId="65EA2AB9"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5</w:t>
            </w:r>
          </w:p>
        </w:tc>
        <w:tc>
          <w:tcPr>
            <w:tcW w:w="1543" w:type="dxa"/>
            <w:tcBorders>
              <w:top w:val="nil"/>
              <w:bottom w:val="nil"/>
            </w:tcBorders>
          </w:tcPr>
          <w:p w14:paraId="6375DA5D"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4 June</w:t>
            </w:r>
          </w:p>
        </w:tc>
        <w:tc>
          <w:tcPr>
            <w:tcW w:w="1474" w:type="dxa"/>
            <w:tcBorders>
              <w:top w:val="nil"/>
              <w:bottom w:val="nil"/>
            </w:tcBorders>
          </w:tcPr>
          <w:p w14:paraId="3B4715DA"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5 June</w:t>
            </w:r>
          </w:p>
        </w:tc>
        <w:tc>
          <w:tcPr>
            <w:tcW w:w="1247" w:type="dxa"/>
            <w:tcBorders>
              <w:top w:val="nil"/>
              <w:bottom w:val="nil"/>
            </w:tcBorders>
          </w:tcPr>
          <w:p w14:paraId="311E0D89" w14:textId="77777777" w:rsidR="00F42DB7" w:rsidRPr="008F03E5" w:rsidRDefault="00F42DB7" w:rsidP="007176EE">
            <w:pPr>
              <w:rPr>
                <w:sz w:val="18"/>
                <w:szCs w:val="18"/>
              </w:rPr>
            </w:pPr>
            <w:r w:rsidRPr="008F03E5">
              <w:rPr>
                <w:sz w:val="18"/>
                <w:szCs w:val="18"/>
              </w:rPr>
              <w:t>Núr</w:t>
            </w:r>
          </w:p>
        </w:tc>
        <w:tc>
          <w:tcPr>
            <w:tcW w:w="1316" w:type="dxa"/>
            <w:tcBorders>
              <w:top w:val="nil"/>
              <w:bottom w:val="nil"/>
            </w:tcBorders>
          </w:tcPr>
          <w:p w14:paraId="68FA033B" w14:textId="77777777" w:rsidR="00F42DB7" w:rsidRPr="008F03E5" w:rsidRDefault="00F42DB7" w:rsidP="007176EE">
            <w:pPr>
              <w:rPr>
                <w:sz w:val="18"/>
                <w:szCs w:val="18"/>
              </w:rPr>
            </w:pPr>
            <w:r w:rsidRPr="008F03E5">
              <w:rPr>
                <w:sz w:val="18"/>
                <w:szCs w:val="18"/>
              </w:rPr>
              <w:t>Light</w:t>
            </w:r>
          </w:p>
        </w:tc>
      </w:tr>
      <w:tr w:rsidR="00F42DB7" w:rsidRPr="008F03E5" w14:paraId="7548FC57" w14:textId="77777777" w:rsidTr="007176EE">
        <w:trPr>
          <w:jc w:val="center"/>
        </w:trPr>
        <w:tc>
          <w:tcPr>
            <w:tcW w:w="1474" w:type="dxa"/>
            <w:tcBorders>
              <w:top w:val="nil"/>
              <w:bottom w:val="nil"/>
            </w:tcBorders>
          </w:tcPr>
          <w:p w14:paraId="686B8F78"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6</w:t>
            </w:r>
          </w:p>
        </w:tc>
        <w:tc>
          <w:tcPr>
            <w:tcW w:w="1543" w:type="dxa"/>
            <w:tcBorders>
              <w:top w:val="nil"/>
              <w:bottom w:val="nil"/>
            </w:tcBorders>
          </w:tcPr>
          <w:p w14:paraId="016BE163" w14:textId="77777777" w:rsidR="00F42DB7" w:rsidRPr="008F03E5" w:rsidRDefault="00F42DB7" w:rsidP="007176EE">
            <w:pPr>
              <w:rPr>
                <w:sz w:val="18"/>
                <w:szCs w:val="18"/>
                <w14:numSpacing w14:val="tabular"/>
              </w:rPr>
            </w:pPr>
            <w:r w:rsidRPr="008F03E5">
              <w:rPr>
                <w:sz w:val="18"/>
                <w:szCs w:val="18"/>
                <w14:numSpacing w14:val="tabular"/>
              </w:rPr>
              <w:t>23 June</w:t>
            </w:r>
          </w:p>
        </w:tc>
        <w:tc>
          <w:tcPr>
            <w:tcW w:w="1474" w:type="dxa"/>
            <w:tcBorders>
              <w:top w:val="nil"/>
              <w:bottom w:val="nil"/>
            </w:tcBorders>
          </w:tcPr>
          <w:p w14:paraId="22B250EF" w14:textId="77777777" w:rsidR="00F42DB7" w:rsidRPr="008F03E5" w:rsidRDefault="00F42DB7" w:rsidP="007176EE">
            <w:pPr>
              <w:rPr>
                <w:sz w:val="18"/>
                <w:szCs w:val="18"/>
                <w14:numSpacing w14:val="tabular"/>
              </w:rPr>
            </w:pPr>
            <w:r w:rsidRPr="008F03E5">
              <w:rPr>
                <w:sz w:val="18"/>
                <w:szCs w:val="18"/>
                <w14:numSpacing w14:val="tabular"/>
              </w:rPr>
              <w:t>24 June</w:t>
            </w:r>
          </w:p>
        </w:tc>
        <w:tc>
          <w:tcPr>
            <w:tcW w:w="1247" w:type="dxa"/>
            <w:tcBorders>
              <w:top w:val="nil"/>
              <w:bottom w:val="nil"/>
            </w:tcBorders>
          </w:tcPr>
          <w:p w14:paraId="2DD79C9F" w14:textId="77777777" w:rsidR="00F42DB7" w:rsidRPr="008F03E5" w:rsidRDefault="00F42DB7" w:rsidP="007176EE">
            <w:pPr>
              <w:rPr>
                <w:sz w:val="18"/>
                <w:szCs w:val="18"/>
              </w:rPr>
            </w:pPr>
            <w:r w:rsidRPr="008F03E5">
              <w:rPr>
                <w:sz w:val="18"/>
                <w:szCs w:val="18"/>
              </w:rPr>
              <w:t>Raḥmat</w:t>
            </w:r>
          </w:p>
        </w:tc>
        <w:tc>
          <w:tcPr>
            <w:tcW w:w="1316" w:type="dxa"/>
            <w:tcBorders>
              <w:top w:val="nil"/>
              <w:bottom w:val="nil"/>
            </w:tcBorders>
          </w:tcPr>
          <w:p w14:paraId="43A03CCA" w14:textId="77777777" w:rsidR="00F42DB7" w:rsidRPr="008F03E5" w:rsidRDefault="00F42DB7" w:rsidP="007176EE">
            <w:pPr>
              <w:rPr>
                <w:sz w:val="18"/>
                <w:szCs w:val="18"/>
              </w:rPr>
            </w:pPr>
            <w:r w:rsidRPr="008F03E5">
              <w:rPr>
                <w:sz w:val="18"/>
                <w:szCs w:val="18"/>
              </w:rPr>
              <w:t>Mercy</w:t>
            </w:r>
          </w:p>
        </w:tc>
      </w:tr>
      <w:tr w:rsidR="00F42DB7" w:rsidRPr="008F03E5" w14:paraId="0686CCEE" w14:textId="77777777" w:rsidTr="007176EE">
        <w:trPr>
          <w:jc w:val="center"/>
        </w:trPr>
        <w:tc>
          <w:tcPr>
            <w:tcW w:w="1474" w:type="dxa"/>
            <w:tcBorders>
              <w:top w:val="nil"/>
              <w:bottom w:val="nil"/>
            </w:tcBorders>
          </w:tcPr>
          <w:p w14:paraId="0C058DDE"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7</w:t>
            </w:r>
          </w:p>
        </w:tc>
        <w:tc>
          <w:tcPr>
            <w:tcW w:w="1543" w:type="dxa"/>
            <w:tcBorders>
              <w:top w:val="nil"/>
              <w:bottom w:val="nil"/>
            </w:tcBorders>
          </w:tcPr>
          <w:p w14:paraId="4C2045A7" w14:textId="77777777" w:rsidR="00F42DB7" w:rsidRPr="008F03E5" w:rsidRDefault="00F42DB7" w:rsidP="007176EE">
            <w:pPr>
              <w:rPr>
                <w:sz w:val="18"/>
                <w:szCs w:val="18"/>
                <w14:numSpacing w14:val="tabular"/>
              </w:rPr>
            </w:pPr>
            <w:r w:rsidRPr="008F03E5">
              <w:rPr>
                <w:sz w:val="18"/>
                <w:szCs w:val="18"/>
                <w14:numSpacing w14:val="tabular"/>
              </w:rPr>
              <w:t>12 July</w:t>
            </w:r>
          </w:p>
        </w:tc>
        <w:tc>
          <w:tcPr>
            <w:tcW w:w="1474" w:type="dxa"/>
            <w:tcBorders>
              <w:top w:val="nil"/>
              <w:bottom w:val="nil"/>
            </w:tcBorders>
          </w:tcPr>
          <w:p w14:paraId="0D1D06DD" w14:textId="77777777" w:rsidR="00F42DB7" w:rsidRPr="008F03E5" w:rsidRDefault="00F42DB7" w:rsidP="007176EE">
            <w:pPr>
              <w:rPr>
                <w:sz w:val="18"/>
                <w:szCs w:val="18"/>
                <w14:numSpacing w14:val="tabular"/>
              </w:rPr>
            </w:pPr>
            <w:r w:rsidRPr="008F03E5">
              <w:rPr>
                <w:sz w:val="18"/>
                <w:szCs w:val="18"/>
                <w14:numSpacing w14:val="tabular"/>
              </w:rPr>
              <w:t>13 July</w:t>
            </w:r>
          </w:p>
        </w:tc>
        <w:tc>
          <w:tcPr>
            <w:tcW w:w="1247" w:type="dxa"/>
            <w:tcBorders>
              <w:top w:val="nil"/>
              <w:bottom w:val="nil"/>
            </w:tcBorders>
          </w:tcPr>
          <w:p w14:paraId="2D9D150B" w14:textId="77777777" w:rsidR="00F42DB7" w:rsidRPr="008F03E5" w:rsidRDefault="00F42DB7" w:rsidP="007176EE">
            <w:pPr>
              <w:rPr>
                <w:sz w:val="18"/>
                <w:szCs w:val="18"/>
              </w:rPr>
            </w:pPr>
            <w:r w:rsidRPr="008F03E5">
              <w:rPr>
                <w:sz w:val="18"/>
                <w:szCs w:val="18"/>
              </w:rPr>
              <w:t>Kalimát</w:t>
            </w:r>
          </w:p>
        </w:tc>
        <w:tc>
          <w:tcPr>
            <w:tcW w:w="1316" w:type="dxa"/>
            <w:tcBorders>
              <w:top w:val="nil"/>
              <w:bottom w:val="nil"/>
            </w:tcBorders>
          </w:tcPr>
          <w:p w14:paraId="7E3D08C8" w14:textId="77777777" w:rsidR="00F42DB7" w:rsidRPr="008F03E5" w:rsidRDefault="00F42DB7" w:rsidP="007176EE">
            <w:pPr>
              <w:rPr>
                <w:sz w:val="18"/>
                <w:szCs w:val="18"/>
              </w:rPr>
            </w:pPr>
            <w:r w:rsidRPr="008F03E5">
              <w:rPr>
                <w:sz w:val="18"/>
                <w:szCs w:val="18"/>
              </w:rPr>
              <w:t>Words</w:t>
            </w:r>
          </w:p>
        </w:tc>
      </w:tr>
      <w:tr w:rsidR="00F42DB7" w:rsidRPr="008F03E5" w14:paraId="6CD4578D" w14:textId="77777777" w:rsidTr="007176EE">
        <w:trPr>
          <w:jc w:val="center"/>
        </w:trPr>
        <w:tc>
          <w:tcPr>
            <w:tcW w:w="1474" w:type="dxa"/>
            <w:tcBorders>
              <w:top w:val="nil"/>
              <w:bottom w:val="nil"/>
            </w:tcBorders>
          </w:tcPr>
          <w:p w14:paraId="7C708C11"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8</w:t>
            </w:r>
          </w:p>
        </w:tc>
        <w:tc>
          <w:tcPr>
            <w:tcW w:w="1543" w:type="dxa"/>
            <w:tcBorders>
              <w:top w:val="nil"/>
              <w:bottom w:val="nil"/>
            </w:tcBorders>
          </w:tcPr>
          <w:p w14:paraId="04BA5E91" w14:textId="77777777" w:rsidR="00F42DB7" w:rsidRPr="008F03E5" w:rsidRDefault="00F42DB7" w:rsidP="007176EE">
            <w:pPr>
              <w:rPr>
                <w:sz w:val="18"/>
                <w:szCs w:val="18"/>
                <w14:numSpacing w14:val="tabular"/>
              </w:rPr>
            </w:pPr>
            <w:r w:rsidRPr="008F03E5">
              <w:rPr>
                <w:sz w:val="18"/>
                <w:szCs w:val="18"/>
                <w14:numSpacing w14:val="tabular"/>
              </w:rPr>
              <w:t>31 July</w:t>
            </w:r>
          </w:p>
        </w:tc>
        <w:tc>
          <w:tcPr>
            <w:tcW w:w="1474" w:type="dxa"/>
            <w:tcBorders>
              <w:top w:val="nil"/>
              <w:bottom w:val="nil"/>
            </w:tcBorders>
          </w:tcPr>
          <w:p w14:paraId="7CCA93D9"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1 August</w:t>
            </w:r>
          </w:p>
        </w:tc>
        <w:tc>
          <w:tcPr>
            <w:tcW w:w="1247" w:type="dxa"/>
            <w:tcBorders>
              <w:top w:val="nil"/>
              <w:bottom w:val="nil"/>
            </w:tcBorders>
          </w:tcPr>
          <w:p w14:paraId="0296EE5C" w14:textId="77777777" w:rsidR="00F42DB7" w:rsidRPr="008F03E5" w:rsidRDefault="00F42DB7" w:rsidP="007176EE">
            <w:pPr>
              <w:rPr>
                <w:sz w:val="18"/>
                <w:szCs w:val="18"/>
              </w:rPr>
            </w:pPr>
            <w:r w:rsidRPr="008F03E5">
              <w:rPr>
                <w:sz w:val="18"/>
                <w:szCs w:val="18"/>
              </w:rPr>
              <w:t>Kamál</w:t>
            </w:r>
          </w:p>
        </w:tc>
        <w:tc>
          <w:tcPr>
            <w:tcW w:w="1316" w:type="dxa"/>
            <w:tcBorders>
              <w:top w:val="nil"/>
              <w:bottom w:val="nil"/>
            </w:tcBorders>
          </w:tcPr>
          <w:p w14:paraId="734302EE" w14:textId="77777777" w:rsidR="00F42DB7" w:rsidRPr="008F03E5" w:rsidRDefault="00F42DB7" w:rsidP="007176EE">
            <w:pPr>
              <w:rPr>
                <w:sz w:val="18"/>
                <w:szCs w:val="18"/>
              </w:rPr>
            </w:pPr>
            <w:r w:rsidRPr="008F03E5">
              <w:rPr>
                <w:sz w:val="18"/>
                <w:szCs w:val="18"/>
              </w:rPr>
              <w:t>Perfection</w:t>
            </w:r>
          </w:p>
        </w:tc>
      </w:tr>
      <w:tr w:rsidR="00F42DB7" w:rsidRPr="008F03E5" w14:paraId="105A728F" w14:textId="77777777" w:rsidTr="007176EE">
        <w:trPr>
          <w:jc w:val="center"/>
        </w:trPr>
        <w:tc>
          <w:tcPr>
            <w:tcW w:w="1474" w:type="dxa"/>
            <w:tcBorders>
              <w:top w:val="nil"/>
              <w:bottom w:val="nil"/>
            </w:tcBorders>
          </w:tcPr>
          <w:p w14:paraId="292FACFE"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9</w:t>
            </w:r>
          </w:p>
        </w:tc>
        <w:tc>
          <w:tcPr>
            <w:tcW w:w="1543" w:type="dxa"/>
            <w:tcBorders>
              <w:top w:val="nil"/>
              <w:bottom w:val="nil"/>
            </w:tcBorders>
          </w:tcPr>
          <w:p w14:paraId="250C4DFD" w14:textId="77777777" w:rsidR="00F42DB7" w:rsidRPr="008F03E5" w:rsidRDefault="00F42DB7" w:rsidP="007176EE">
            <w:pPr>
              <w:rPr>
                <w:sz w:val="18"/>
                <w:szCs w:val="18"/>
                <w14:numSpacing w14:val="tabular"/>
              </w:rPr>
            </w:pPr>
            <w:r w:rsidRPr="008F03E5">
              <w:rPr>
                <w:sz w:val="18"/>
                <w:szCs w:val="18"/>
                <w14:numSpacing w14:val="tabular"/>
              </w:rPr>
              <w:t>19 August</w:t>
            </w:r>
          </w:p>
        </w:tc>
        <w:tc>
          <w:tcPr>
            <w:tcW w:w="1474" w:type="dxa"/>
            <w:tcBorders>
              <w:top w:val="nil"/>
              <w:bottom w:val="nil"/>
            </w:tcBorders>
          </w:tcPr>
          <w:p w14:paraId="6418A1D9" w14:textId="77777777" w:rsidR="00F42DB7" w:rsidRPr="008F03E5" w:rsidRDefault="00F42DB7" w:rsidP="007176EE">
            <w:pPr>
              <w:rPr>
                <w:sz w:val="18"/>
                <w:szCs w:val="18"/>
                <w14:numSpacing w14:val="tabular"/>
              </w:rPr>
            </w:pPr>
            <w:r w:rsidRPr="008F03E5">
              <w:rPr>
                <w:sz w:val="18"/>
                <w:szCs w:val="18"/>
                <w14:numSpacing w14:val="tabular"/>
              </w:rPr>
              <w:t>20 August</w:t>
            </w:r>
          </w:p>
        </w:tc>
        <w:tc>
          <w:tcPr>
            <w:tcW w:w="1247" w:type="dxa"/>
            <w:tcBorders>
              <w:top w:val="nil"/>
              <w:bottom w:val="nil"/>
            </w:tcBorders>
          </w:tcPr>
          <w:p w14:paraId="2005F1DA" w14:textId="77777777" w:rsidR="00F42DB7" w:rsidRPr="008F03E5" w:rsidRDefault="00F42DB7" w:rsidP="007176EE">
            <w:pPr>
              <w:rPr>
                <w:sz w:val="18"/>
                <w:szCs w:val="18"/>
              </w:rPr>
            </w:pPr>
            <w:r w:rsidRPr="008F03E5">
              <w:rPr>
                <w:sz w:val="18"/>
                <w:szCs w:val="18"/>
              </w:rPr>
              <w:t>Asmá’</w:t>
            </w:r>
          </w:p>
        </w:tc>
        <w:tc>
          <w:tcPr>
            <w:tcW w:w="1316" w:type="dxa"/>
            <w:tcBorders>
              <w:top w:val="nil"/>
              <w:bottom w:val="nil"/>
            </w:tcBorders>
          </w:tcPr>
          <w:p w14:paraId="1F1C00E1" w14:textId="77777777" w:rsidR="00F42DB7" w:rsidRPr="008F03E5" w:rsidRDefault="00F42DB7" w:rsidP="007176EE">
            <w:pPr>
              <w:rPr>
                <w:sz w:val="18"/>
                <w:szCs w:val="18"/>
              </w:rPr>
            </w:pPr>
            <w:r w:rsidRPr="008F03E5">
              <w:rPr>
                <w:sz w:val="18"/>
                <w:szCs w:val="18"/>
              </w:rPr>
              <w:t>Names</w:t>
            </w:r>
          </w:p>
        </w:tc>
      </w:tr>
      <w:tr w:rsidR="00F42DB7" w:rsidRPr="008F03E5" w14:paraId="64951B75" w14:textId="77777777" w:rsidTr="007176EE">
        <w:trPr>
          <w:jc w:val="center"/>
        </w:trPr>
        <w:tc>
          <w:tcPr>
            <w:tcW w:w="1474" w:type="dxa"/>
            <w:tcBorders>
              <w:top w:val="nil"/>
              <w:bottom w:val="nil"/>
            </w:tcBorders>
          </w:tcPr>
          <w:p w14:paraId="78E9A1FA"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10</w:t>
            </w:r>
          </w:p>
        </w:tc>
        <w:tc>
          <w:tcPr>
            <w:tcW w:w="1543" w:type="dxa"/>
            <w:tcBorders>
              <w:top w:val="nil"/>
              <w:bottom w:val="nil"/>
            </w:tcBorders>
          </w:tcPr>
          <w:p w14:paraId="35F7DF58"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7 September</w:t>
            </w:r>
          </w:p>
        </w:tc>
        <w:tc>
          <w:tcPr>
            <w:tcW w:w="1474" w:type="dxa"/>
            <w:tcBorders>
              <w:top w:val="nil"/>
              <w:bottom w:val="nil"/>
            </w:tcBorders>
          </w:tcPr>
          <w:p w14:paraId="013FFFA0"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8 September</w:t>
            </w:r>
          </w:p>
        </w:tc>
        <w:tc>
          <w:tcPr>
            <w:tcW w:w="1247" w:type="dxa"/>
            <w:tcBorders>
              <w:top w:val="nil"/>
              <w:bottom w:val="nil"/>
            </w:tcBorders>
          </w:tcPr>
          <w:p w14:paraId="0F3E49A3" w14:textId="77777777" w:rsidR="00F42DB7" w:rsidRPr="008F03E5" w:rsidRDefault="00F42DB7" w:rsidP="007176EE">
            <w:pPr>
              <w:rPr>
                <w:sz w:val="18"/>
                <w:szCs w:val="18"/>
              </w:rPr>
            </w:pPr>
            <w:r w:rsidRPr="008F03E5">
              <w:rPr>
                <w:sz w:val="18"/>
                <w:szCs w:val="18"/>
              </w:rPr>
              <w:t>‘Izzat</w:t>
            </w:r>
          </w:p>
        </w:tc>
        <w:tc>
          <w:tcPr>
            <w:tcW w:w="1316" w:type="dxa"/>
            <w:tcBorders>
              <w:top w:val="nil"/>
              <w:bottom w:val="nil"/>
            </w:tcBorders>
          </w:tcPr>
          <w:p w14:paraId="639BA1A5" w14:textId="77777777" w:rsidR="00F42DB7" w:rsidRPr="008F03E5" w:rsidRDefault="00F42DB7" w:rsidP="007176EE">
            <w:pPr>
              <w:rPr>
                <w:sz w:val="18"/>
                <w:szCs w:val="18"/>
              </w:rPr>
            </w:pPr>
            <w:r w:rsidRPr="008F03E5">
              <w:rPr>
                <w:sz w:val="18"/>
                <w:szCs w:val="18"/>
              </w:rPr>
              <w:t>Might</w:t>
            </w:r>
          </w:p>
        </w:tc>
      </w:tr>
      <w:tr w:rsidR="00F42DB7" w:rsidRPr="008F03E5" w14:paraId="5B2C433D" w14:textId="77777777" w:rsidTr="007176EE">
        <w:trPr>
          <w:jc w:val="center"/>
        </w:trPr>
        <w:tc>
          <w:tcPr>
            <w:tcW w:w="1474" w:type="dxa"/>
            <w:tcBorders>
              <w:top w:val="nil"/>
              <w:bottom w:val="nil"/>
            </w:tcBorders>
          </w:tcPr>
          <w:p w14:paraId="474B37F0"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11</w:t>
            </w:r>
          </w:p>
        </w:tc>
        <w:tc>
          <w:tcPr>
            <w:tcW w:w="1543" w:type="dxa"/>
            <w:tcBorders>
              <w:top w:val="nil"/>
              <w:bottom w:val="nil"/>
            </w:tcBorders>
          </w:tcPr>
          <w:p w14:paraId="2BADC343" w14:textId="77777777" w:rsidR="00F42DB7" w:rsidRPr="008F03E5" w:rsidRDefault="00F42DB7" w:rsidP="007176EE">
            <w:pPr>
              <w:rPr>
                <w:sz w:val="18"/>
                <w:szCs w:val="18"/>
                <w14:numSpacing w14:val="tabular"/>
              </w:rPr>
            </w:pPr>
            <w:r w:rsidRPr="008F03E5">
              <w:rPr>
                <w:sz w:val="18"/>
                <w:szCs w:val="18"/>
                <w14:numSpacing w14:val="tabular"/>
              </w:rPr>
              <w:t>26 September</w:t>
            </w:r>
          </w:p>
        </w:tc>
        <w:tc>
          <w:tcPr>
            <w:tcW w:w="1474" w:type="dxa"/>
            <w:tcBorders>
              <w:top w:val="nil"/>
              <w:bottom w:val="nil"/>
            </w:tcBorders>
          </w:tcPr>
          <w:p w14:paraId="4428A959" w14:textId="77777777" w:rsidR="00F42DB7" w:rsidRPr="008F03E5" w:rsidRDefault="00F42DB7" w:rsidP="007176EE">
            <w:pPr>
              <w:rPr>
                <w:sz w:val="18"/>
                <w:szCs w:val="18"/>
                <w14:numSpacing w14:val="tabular"/>
              </w:rPr>
            </w:pPr>
            <w:r w:rsidRPr="008F03E5">
              <w:rPr>
                <w:sz w:val="18"/>
                <w:szCs w:val="18"/>
                <w14:numSpacing w14:val="tabular"/>
              </w:rPr>
              <w:t>27 September</w:t>
            </w:r>
          </w:p>
        </w:tc>
        <w:tc>
          <w:tcPr>
            <w:tcW w:w="1247" w:type="dxa"/>
            <w:tcBorders>
              <w:top w:val="nil"/>
              <w:bottom w:val="nil"/>
            </w:tcBorders>
          </w:tcPr>
          <w:p w14:paraId="66F58429" w14:textId="77777777" w:rsidR="00F42DB7" w:rsidRPr="008F03E5" w:rsidRDefault="00F42DB7" w:rsidP="007176EE">
            <w:pPr>
              <w:keepNext/>
              <w:tabs>
                <w:tab w:val="decimal" w:pos="284"/>
              </w:tabs>
              <w:rPr>
                <w:sz w:val="18"/>
                <w:szCs w:val="18"/>
              </w:rPr>
            </w:pPr>
            <w:r w:rsidRPr="008F03E5">
              <w:rPr>
                <w:sz w:val="18"/>
                <w:szCs w:val="18"/>
              </w:rPr>
              <w:t>Ma</w:t>
            </w:r>
            <w:r w:rsidRPr="008F03E5">
              <w:rPr>
                <w:sz w:val="18"/>
                <w:szCs w:val="18"/>
                <w:u w:val="single"/>
              </w:rPr>
              <w:t>sh</w:t>
            </w:r>
            <w:r w:rsidRPr="008F03E5">
              <w:rPr>
                <w:sz w:val="18"/>
                <w:szCs w:val="18"/>
              </w:rPr>
              <w:t>iyyat</w:t>
            </w:r>
          </w:p>
        </w:tc>
        <w:tc>
          <w:tcPr>
            <w:tcW w:w="1316" w:type="dxa"/>
            <w:tcBorders>
              <w:top w:val="nil"/>
              <w:bottom w:val="nil"/>
            </w:tcBorders>
          </w:tcPr>
          <w:p w14:paraId="73DC0803" w14:textId="77777777" w:rsidR="00F42DB7" w:rsidRPr="008F03E5" w:rsidRDefault="00F42DB7" w:rsidP="007176EE">
            <w:pPr>
              <w:rPr>
                <w:sz w:val="18"/>
                <w:szCs w:val="18"/>
              </w:rPr>
            </w:pPr>
            <w:r w:rsidRPr="008F03E5">
              <w:rPr>
                <w:sz w:val="18"/>
                <w:szCs w:val="18"/>
              </w:rPr>
              <w:t>Will</w:t>
            </w:r>
          </w:p>
        </w:tc>
      </w:tr>
      <w:tr w:rsidR="00F42DB7" w:rsidRPr="008F03E5" w14:paraId="688D5AE1" w14:textId="77777777" w:rsidTr="007176EE">
        <w:trPr>
          <w:jc w:val="center"/>
        </w:trPr>
        <w:tc>
          <w:tcPr>
            <w:tcW w:w="1474" w:type="dxa"/>
            <w:tcBorders>
              <w:top w:val="nil"/>
              <w:bottom w:val="nil"/>
            </w:tcBorders>
          </w:tcPr>
          <w:p w14:paraId="4C1C676E"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12</w:t>
            </w:r>
          </w:p>
        </w:tc>
        <w:tc>
          <w:tcPr>
            <w:tcW w:w="1543" w:type="dxa"/>
            <w:tcBorders>
              <w:top w:val="nil"/>
              <w:bottom w:val="nil"/>
            </w:tcBorders>
          </w:tcPr>
          <w:p w14:paraId="78B8D2DB" w14:textId="77777777" w:rsidR="00F42DB7" w:rsidRPr="008F03E5" w:rsidRDefault="00F42DB7" w:rsidP="007176EE">
            <w:pPr>
              <w:rPr>
                <w:sz w:val="18"/>
                <w:szCs w:val="18"/>
                <w14:numSpacing w14:val="tabular"/>
              </w:rPr>
            </w:pPr>
            <w:r w:rsidRPr="008F03E5">
              <w:rPr>
                <w:sz w:val="18"/>
                <w:szCs w:val="18"/>
                <w14:numSpacing w14:val="tabular"/>
              </w:rPr>
              <w:t>15 October</w:t>
            </w:r>
          </w:p>
        </w:tc>
        <w:tc>
          <w:tcPr>
            <w:tcW w:w="1474" w:type="dxa"/>
            <w:tcBorders>
              <w:top w:val="nil"/>
              <w:bottom w:val="nil"/>
            </w:tcBorders>
          </w:tcPr>
          <w:p w14:paraId="657E0AFA" w14:textId="77777777" w:rsidR="00F42DB7" w:rsidRPr="008F03E5" w:rsidRDefault="00F42DB7" w:rsidP="007176EE">
            <w:pPr>
              <w:rPr>
                <w:sz w:val="18"/>
                <w:szCs w:val="18"/>
                <w14:numSpacing w14:val="tabular"/>
              </w:rPr>
            </w:pPr>
            <w:r w:rsidRPr="008F03E5">
              <w:rPr>
                <w:sz w:val="18"/>
                <w:szCs w:val="18"/>
                <w14:numSpacing w14:val="tabular"/>
              </w:rPr>
              <w:t>16 October</w:t>
            </w:r>
          </w:p>
        </w:tc>
        <w:tc>
          <w:tcPr>
            <w:tcW w:w="1247" w:type="dxa"/>
            <w:tcBorders>
              <w:top w:val="nil"/>
              <w:bottom w:val="nil"/>
            </w:tcBorders>
          </w:tcPr>
          <w:p w14:paraId="2F77F68F" w14:textId="77777777" w:rsidR="00F42DB7" w:rsidRPr="008F03E5" w:rsidRDefault="00F42DB7" w:rsidP="007176EE">
            <w:pPr>
              <w:rPr>
                <w:sz w:val="18"/>
                <w:szCs w:val="18"/>
              </w:rPr>
            </w:pPr>
            <w:r w:rsidRPr="008F03E5">
              <w:rPr>
                <w:sz w:val="18"/>
                <w:szCs w:val="18"/>
              </w:rPr>
              <w:t>‘Ilm</w:t>
            </w:r>
          </w:p>
        </w:tc>
        <w:tc>
          <w:tcPr>
            <w:tcW w:w="1316" w:type="dxa"/>
            <w:tcBorders>
              <w:top w:val="nil"/>
              <w:bottom w:val="nil"/>
            </w:tcBorders>
          </w:tcPr>
          <w:p w14:paraId="283A8858" w14:textId="77777777" w:rsidR="00F42DB7" w:rsidRPr="008F03E5" w:rsidRDefault="00F42DB7" w:rsidP="007176EE">
            <w:pPr>
              <w:rPr>
                <w:sz w:val="18"/>
                <w:szCs w:val="18"/>
              </w:rPr>
            </w:pPr>
            <w:r w:rsidRPr="008F03E5">
              <w:rPr>
                <w:sz w:val="18"/>
                <w:szCs w:val="18"/>
              </w:rPr>
              <w:t>Knowledge</w:t>
            </w:r>
          </w:p>
        </w:tc>
      </w:tr>
      <w:tr w:rsidR="00F42DB7" w:rsidRPr="008F03E5" w14:paraId="43DB8612" w14:textId="77777777" w:rsidTr="007176EE">
        <w:trPr>
          <w:jc w:val="center"/>
        </w:trPr>
        <w:tc>
          <w:tcPr>
            <w:tcW w:w="1474" w:type="dxa"/>
            <w:tcBorders>
              <w:top w:val="nil"/>
              <w:bottom w:val="nil"/>
            </w:tcBorders>
          </w:tcPr>
          <w:p w14:paraId="11E44B73"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13</w:t>
            </w:r>
          </w:p>
        </w:tc>
        <w:tc>
          <w:tcPr>
            <w:tcW w:w="1543" w:type="dxa"/>
            <w:tcBorders>
              <w:top w:val="nil"/>
              <w:bottom w:val="nil"/>
            </w:tcBorders>
          </w:tcPr>
          <w:p w14:paraId="7E2F28DB"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3 November</w:t>
            </w:r>
          </w:p>
        </w:tc>
        <w:tc>
          <w:tcPr>
            <w:tcW w:w="1474" w:type="dxa"/>
            <w:tcBorders>
              <w:top w:val="nil"/>
              <w:bottom w:val="nil"/>
            </w:tcBorders>
          </w:tcPr>
          <w:p w14:paraId="723F4E98"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4 November</w:t>
            </w:r>
          </w:p>
        </w:tc>
        <w:tc>
          <w:tcPr>
            <w:tcW w:w="1247" w:type="dxa"/>
            <w:tcBorders>
              <w:top w:val="nil"/>
              <w:bottom w:val="nil"/>
            </w:tcBorders>
          </w:tcPr>
          <w:p w14:paraId="01B712C9" w14:textId="77777777" w:rsidR="00F42DB7" w:rsidRPr="008F03E5" w:rsidRDefault="00F42DB7" w:rsidP="007176EE">
            <w:pPr>
              <w:rPr>
                <w:sz w:val="18"/>
                <w:szCs w:val="18"/>
              </w:rPr>
            </w:pPr>
            <w:r w:rsidRPr="008F03E5">
              <w:rPr>
                <w:sz w:val="18"/>
                <w:szCs w:val="18"/>
              </w:rPr>
              <w:t>Qudrat</w:t>
            </w:r>
          </w:p>
        </w:tc>
        <w:tc>
          <w:tcPr>
            <w:tcW w:w="1316" w:type="dxa"/>
            <w:tcBorders>
              <w:top w:val="nil"/>
              <w:bottom w:val="nil"/>
            </w:tcBorders>
          </w:tcPr>
          <w:p w14:paraId="67585C58" w14:textId="77777777" w:rsidR="00F42DB7" w:rsidRPr="008F03E5" w:rsidRDefault="00F42DB7" w:rsidP="007176EE">
            <w:pPr>
              <w:rPr>
                <w:sz w:val="18"/>
                <w:szCs w:val="18"/>
              </w:rPr>
            </w:pPr>
            <w:r w:rsidRPr="008F03E5">
              <w:rPr>
                <w:sz w:val="18"/>
                <w:szCs w:val="18"/>
              </w:rPr>
              <w:t>Power</w:t>
            </w:r>
          </w:p>
        </w:tc>
      </w:tr>
      <w:tr w:rsidR="00F42DB7" w:rsidRPr="008F03E5" w14:paraId="6BC0B733" w14:textId="77777777" w:rsidTr="007176EE">
        <w:trPr>
          <w:jc w:val="center"/>
        </w:trPr>
        <w:tc>
          <w:tcPr>
            <w:tcW w:w="1474" w:type="dxa"/>
            <w:tcBorders>
              <w:top w:val="nil"/>
              <w:bottom w:val="nil"/>
            </w:tcBorders>
          </w:tcPr>
          <w:p w14:paraId="57B332CF"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14</w:t>
            </w:r>
          </w:p>
        </w:tc>
        <w:tc>
          <w:tcPr>
            <w:tcW w:w="1543" w:type="dxa"/>
            <w:tcBorders>
              <w:top w:val="nil"/>
              <w:bottom w:val="nil"/>
            </w:tcBorders>
          </w:tcPr>
          <w:p w14:paraId="10B119FA" w14:textId="77777777" w:rsidR="00F42DB7" w:rsidRPr="008F03E5" w:rsidRDefault="00F42DB7" w:rsidP="007176EE">
            <w:pPr>
              <w:rPr>
                <w:sz w:val="18"/>
                <w:szCs w:val="18"/>
                <w14:numSpacing w14:val="tabular"/>
              </w:rPr>
            </w:pPr>
            <w:r w:rsidRPr="008F03E5">
              <w:rPr>
                <w:sz w:val="18"/>
                <w:szCs w:val="18"/>
                <w14:numSpacing w14:val="tabular"/>
              </w:rPr>
              <w:t>22 November</w:t>
            </w:r>
          </w:p>
        </w:tc>
        <w:tc>
          <w:tcPr>
            <w:tcW w:w="1474" w:type="dxa"/>
            <w:tcBorders>
              <w:top w:val="nil"/>
              <w:bottom w:val="nil"/>
            </w:tcBorders>
          </w:tcPr>
          <w:p w14:paraId="753E3913" w14:textId="77777777" w:rsidR="00F42DB7" w:rsidRPr="008F03E5" w:rsidRDefault="00F42DB7" w:rsidP="007176EE">
            <w:pPr>
              <w:rPr>
                <w:sz w:val="18"/>
                <w:szCs w:val="18"/>
                <w14:numSpacing w14:val="tabular"/>
              </w:rPr>
            </w:pPr>
            <w:r w:rsidRPr="008F03E5">
              <w:rPr>
                <w:sz w:val="18"/>
                <w:szCs w:val="18"/>
                <w14:numSpacing w14:val="tabular"/>
              </w:rPr>
              <w:t>23 November</w:t>
            </w:r>
          </w:p>
        </w:tc>
        <w:tc>
          <w:tcPr>
            <w:tcW w:w="1247" w:type="dxa"/>
            <w:tcBorders>
              <w:top w:val="nil"/>
              <w:bottom w:val="nil"/>
            </w:tcBorders>
          </w:tcPr>
          <w:p w14:paraId="6F208303" w14:textId="77777777" w:rsidR="00F42DB7" w:rsidRPr="008F03E5" w:rsidRDefault="00F42DB7" w:rsidP="007176EE">
            <w:pPr>
              <w:rPr>
                <w:sz w:val="18"/>
                <w:szCs w:val="18"/>
              </w:rPr>
            </w:pPr>
            <w:r w:rsidRPr="008F03E5">
              <w:rPr>
                <w:sz w:val="18"/>
                <w:szCs w:val="18"/>
              </w:rPr>
              <w:t>Qawl</w:t>
            </w:r>
          </w:p>
        </w:tc>
        <w:tc>
          <w:tcPr>
            <w:tcW w:w="1316" w:type="dxa"/>
            <w:tcBorders>
              <w:top w:val="nil"/>
              <w:bottom w:val="nil"/>
            </w:tcBorders>
          </w:tcPr>
          <w:p w14:paraId="4D4F06B2" w14:textId="77777777" w:rsidR="00F42DB7" w:rsidRPr="008F03E5" w:rsidRDefault="00F42DB7" w:rsidP="007176EE">
            <w:pPr>
              <w:rPr>
                <w:sz w:val="18"/>
                <w:szCs w:val="18"/>
              </w:rPr>
            </w:pPr>
            <w:r w:rsidRPr="008F03E5">
              <w:rPr>
                <w:sz w:val="18"/>
                <w:szCs w:val="18"/>
              </w:rPr>
              <w:t>Speech</w:t>
            </w:r>
          </w:p>
        </w:tc>
      </w:tr>
      <w:tr w:rsidR="00F42DB7" w:rsidRPr="008F03E5" w14:paraId="263D7E68" w14:textId="77777777" w:rsidTr="007176EE">
        <w:trPr>
          <w:jc w:val="center"/>
        </w:trPr>
        <w:tc>
          <w:tcPr>
            <w:tcW w:w="1474" w:type="dxa"/>
            <w:tcBorders>
              <w:top w:val="nil"/>
              <w:bottom w:val="nil"/>
            </w:tcBorders>
          </w:tcPr>
          <w:p w14:paraId="5B4105E1"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15</w:t>
            </w:r>
          </w:p>
        </w:tc>
        <w:tc>
          <w:tcPr>
            <w:tcW w:w="1543" w:type="dxa"/>
            <w:tcBorders>
              <w:top w:val="nil"/>
              <w:bottom w:val="nil"/>
            </w:tcBorders>
          </w:tcPr>
          <w:p w14:paraId="688B6739" w14:textId="77777777" w:rsidR="00F42DB7" w:rsidRPr="008F03E5" w:rsidRDefault="00F42DB7" w:rsidP="007176EE">
            <w:pPr>
              <w:rPr>
                <w:sz w:val="18"/>
                <w:szCs w:val="18"/>
                <w14:numSpacing w14:val="tabular"/>
              </w:rPr>
            </w:pPr>
            <w:r w:rsidRPr="008F03E5">
              <w:rPr>
                <w:sz w:val="18"/>
                <w:szCs w:val="18"/>
                <w14:numSpacing w14:val="tabular"/>
              </w:rPr>
              <w:t>11 December</w:t>
            </w:r>
          </w:p>
        </w:tc>
        <w:tc>
          <w:tcPr>
            <w:tcW w:w="1474" w:type="dxa"/>
            <w:tcBorders>
              <w:top w:val="nil"/>
              <w:bottom w:val="nil"/>
            </w:tcBorders>
          </w:tcPr>
          <w:p w14:paraId="4703D16B" w14:textId="77777777" w:rsidR="00F42DB7" w:rsidRPr="008F03E5" w:rsidRDefault="00F42DB7" w:rsidP="007176EE">
            <w:pPr>
              <w:rPr>
                <w:sz w:val="18"/>
                <w:szCs w:val="18"/>
                <w14:numSpacing w14:val="tabular"/>
              </w:rPr>
            </w:pPr>
            <w:r w:rsidRPr="008F03E5">
              <w:rPr>
                <w:sz w:val="18"/>
                <w:szCs w:val="18"/>
                <w14:numSpacing w14:val="tabular"/>
              </w:rPr>
              <w:t>12 December</w:t>
            </w:r>
          </w:p>
        </w:tc>
        <w:tc>
          <w:tcPr>
            <w:tcW w:w="1247" w:type="dxa"/>
            <w:tcBorders>
              <w:top w:val="nil"/>
              <w:bottom w:val="nil"/>
            </w:tcBorders>
          </w:tcPr>
          <w:p w14:paraId="7885DC4C" w14:textId="77777777" w:rsidR="00F42DB7" w:rsidRPr="008F03E5" w:rsidRDefault="00F42DB7" w:rsidP="007176EE">
            <w:pPr>
              <w:rPr>
                <w:sz w:val="18"/>
                <w:szCs w:val="18"/>
              </w:rPr>
            </w:pPr>
            <w:r w:rsidRPr="008F03E5">
              <w:rPr>
                <w:sz w:val="18"/>
                <w:szCs w:val="18"/>
              </w:rPr>
              <w:t>Masá’il</w:t>
            </w:r>
          </w:p>
        </w:tc>
        <w:tc>
          <w:tcPr>
            <w:tcW w:w="1316" w:type="dxa"/>
            <w:tcBorders>
              <w:top w:val="nil"/>
              <w:bottom w:val="nil"/>
            </w:tcBorders>
          </w:tcPr>
          <w:p w14:paraId="42613510" w14:textId="77777777" w:rsidR="00F42DB7" w:rsidRPr="008F03E5" w:rsidRDefault="00F42DB7" w:rsidP="007176EE">
            <w:pPr>
              <w:rPr>
                <w:sz w:val="18"/>
                <w:szCs w:val="18"/>
              </w:rPr>
            </w:pPr>
            <w:r w:rsidRPr="008F03E5">
              <w:rPr>
                <w:sz w:val="18"/>
                <w:szCs w:val="18"/>
              </w:rPr>
              <w:t>Questions</w:t>
            </w:r>
          </w:p>
        </w:tc>
      </w:tr>
      <w:tr w:rsidR="00F42DB7" w:rsidRPr="008F03E5" w14:paraId="5EB0C3EB" w14:textId="77777777" w:rsidTr="007176EE">
        <w:trPr>
          <w:jc w:val="center"/>
        </w:trPr>
        <w:tc>
          <w:tcPr>
            <w:tcW w:w="1474" w:type="dxa"/>
            <w:tcBorders>
              <w:top w:val="nil"/>
              <w:bottom w:val="nil"/>
            </w:tcBorders>
          </w:tcPr>
          <w:p w14:paraId="20271C39"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16</w:t>
            </w:r>
          </w:p>
        </w:tc>
        <w:tc>
          <w:tcPr>
            <w:tcW w:w="1543" w:type="dxa"/>
            <w:tcBorders>
              <w:top w:val="nil"/>
              <w:bottom w:val="nil"/>
            </w:tcBorders>
          </w:tcPr>
          <w:p w14:paraId="17727247" w14:textId="77777777" w:rsidR="00F42DB7" w:rsidRPr="008F03E5" w:rsidRDefault="00F42DB7" w:rsidP="007176EE">
            <w:pPr>
              <w:rPr>
                <w:sz w:val="18"/>
                <w:szCs w:val="18"/>
                <w14:numSpacing w14:val="tabular"/>
              </w:rPr>
            </w:pPr>
            <w:r w:rsidRPr="008F03E5">
              <w:rPr>
                <w:sz w:val="18"/>
                <w:szCs w:val="18"/>
                <w14:numSpacing w14:val="tabular"/>
              </w:rPr>
              <w:t>30 December</w:t>
            </w:r>
          </w:p>
        </w:tc>
        <w:tc>
          <w:tcPr>
            <w:tcW w:w="1474" w:type="dxa"/>
            <w:tcBorders>
              <w:top w:val="nil"/>
              <w:bottom w:val="nil"/>
            </w:tcBorders>
          </w:tcPr>
          <w:p w14:paraId="1C96D0C8" w14:textId="77777777" w:rsidR="00F42DB7" w:rsidRPr="008F03E5" w:rsidRDefault="00F42DB7" w:rsidP="007176EE">
            <w:pPr>
              <w:rPr>
                <w:sz w:val="18"/>
                <w:szCs w:val="18"/>
                <w14:numSpacing w14:val="tabular"/>
              </w:rPr>
            </w:pPr>
            <w:r w:rsidRPr="008F03E5">
              <w:rPr>
                <w:sz w:val="18"/>
                <w:szCs w:val="18"/>
                <w14:numSpacing w14:val="tabular"/>
              </w:rPr>
              <w:t>31 December</w:t>
            </w:r>
          </w:p>
        </w:tc>
        <w:tc>
          <w:tcPr>
            <w:tcW w:w="1247" w:type="dxa"/>
            <w:tcBorders>
              <w:top w:val="nil"/>
              <w:bottom w:val="nil"/>
            </w:tcBorders>
          </w:tcPr>
          <w:p w14:paraId="60D44AF7" w14:textId="77777777" w:rsidR="00F42DB7" w:rsidRPr="008F03E5" w:rsidRDefault="00F42DB7" w:rsidP="007176EE">
            <w:pPr>
              <w:keepNext/>
              <w:tabs>
                <w:tab w:val="decimal" w:pos="284"/>
              </w:tabs>
              <w:rPr>
                <w:sz w:val="18"/>
                <w:szCs w:val="18"/>
              </w:rPr>
            </w:pPr>
            <w:r w:rsidRPr="008F03E5">
              <w:rPr>
                <w:sz w:val="18"/>
                <w:szCs w:val="18"/>
                <w:u w:val="single"/>
              </w:rPr>
              <w:t>Sh</w:t>
            </w:r>
            <w:r w:rsidRPr="008F03E5">
              <w:rPr>
                <w:sz w:val="18"/>
                <w:szCs w:val="18"/>
              </w:rPr>
              <w:t>araf</w:t>
            </w:r>
          </w:p>
        </w:tc>
        <w:tc>
          <w:tcPr>
            <w:tcW w:w="1316" w:type="dxa"/>
            <w:tcBorders>
              <w:top w:val="nil"/>
              <w:bottom w:val="nil"/>
            </w:tcBorders>
          </w:tcPr>
          <w:p w14:paraId="4B4CDC6B" w14:textId="77777777" w:rsidR="00F42DB7" w:rsidRPr="008F03E5" w:rsidRDefault="00F42DB7" w:rsidP="007176EE">
            <w:pPr>
              <w:rPr>
                <w:sz w:val="18"/>
                <w:szCs w:val="18"/>
              </w:rPr>
            </w:pPr>
            <w:r w:rsidRPr="008F03E5">
              <w:rPr>
                <w:sz w:val="18"/>
                <w:szCs w:val="18"/>
              </w:rPr>
              <w:t>Honour</w:t>
            </w:r>
          </w:p>
        </w:tc>
      </w:tr>
      <w:tr w:rsidR="00F42DB7" w:rsidRPr="008F03E5" w14:paraId="43ED01C7" w14:textId="77777777" w:rsidTr="007176EE">
        <w:trPr>
          <w:jc w:val="center"/>
        </w:trPr>
        <w:tc>
          <w:tcPr>
            <w:tcW w:w="1474" w:type="dxa"/>
            <w:tcBorders>
              <w:top w:val="nil"/>
              <w:bottom w:val="nil"/>
            </w:tcBorders>
          </w:tcPr>
          <w:p w14:paraId="3E59006A"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17</w:t>
            </w:r>
          </w:p>
        </w:tc>
        <w:tc>
          <w:tcPr>
            <w:tcW w:w="1543" w:type="dxa"/>
            <w:tcBorders>
              <w:top w:val="nil"/>
              <w:bottom w:val="nil"/>
            </w:tcBorders>
          </w:tcPr>
          <w:p w14:paraId="7771A784" w14:textId="77777777" w:rsidR="00F42DB7" w:rsidRPr="008F03E5" w:rsidRDefault="00F42DB7" w:rsidP="007176EE">
            <w:pPr>
              <w:rPr>
                <w:sz w:val="18"/>
                <w:szCs w:val="18"/>
                <w14:numSpacing w14:val="tabular"/>
              </w:rPr>
            </w:pPr>
            <w:r w:rsidRPr="008F03E5">
              <w:rPr>
                <w:sz w:val="18"/>
                <w:szCs w:val="18"/>
                <w14:numSpacing w14:val="tabular"/>
              </w:rPr>
              <w:t>18 January</w:t>
            </w:r>
          </w:p>
        </w:tc>
        <w:tc>
          <w:tcPr>
            <w:tcW w:w="1474" w:type="dxa"/>
            <w:tcBorders>
              <w:top w:val="nil"/>
              <w:bottom w:val="nil"/>
            </w:tcBorders>
          </w:tcPr>
          <w:p w14:paraId="5E3457F4" w14:textId="77777777" w:rsidR="00F42DB7" w:rsidRPr="008F03E5" w:rsidRDefault="00F42DB7" w:rsidP="007176EE">
            <w:pPr>
              <w:rPr>
                <w:sz w:val="18"/>
                <w:szCs w:val="18"/>
                <w14:numSpacing w14:val="tabular"/>
              </w:rPr>
            </w:pPr>
            <w:r w:rsidRPr="008F03E5">
              <w:rPr>
                <w:sz w:val="18"/>
                <w:szCs w:val="18"/>
                <w14:numSpacing w14:val="tabular"/>
              </w:rPr>
              <w:t>19 January</w:t>
            </w:r>
          </w:p>
        </w:tc>
        <w:tc>
          <w:tcPr>
            <w:tcW w:w="1247" w:type="dxa"/>
            <w:tcBorders>
              <w:top w:val="nil"/>
              <w:bottom w:val="nil"/>
            </w:tcBorders>
          </w:tcPr>
          <w:p w14:paraId="191F2627" w14:textId="77777777" w:rsidR="00F42DB7" w:rsidRPr="008F03E5" w:rsidRDefault="00F42DB7" w:rsidP="007176EE">
            <w:pPr>
              <w:rPr>
                <w:sz w:val="18"/>
                <w:szCs w:val="18"/>
              </w:rPr>
            </w:pPr>
            <w:r w:rsidRPr="008F03E5">
              <w:rPr>
                <w:sz w:val="18"/>
                <w:szCs w:val="18"/>
              </w:rPr>
              <w:t>Sulṭán</w:t>
            </w:r>
          </w:p>
        </w:tc>
        <w:tc>
          <w:tcPr>
            <w:tcW w:w="1316" w:type="dxa"/>
            <w:tcBorders>
              <w:top w:val="nil"/>
              <w:bottom w:val="nil"/>
            </w:tcBorders>
          </w:tcPr>
          <w:p w14:paraId="5B0758F8" w14:textId="77777777" w:rsidR="00F42DB7" w:rsidRPr="008F03E5" w:rsidRDefault="00F42DB7" w:rsidP="007176EE">
            <w:pPr>
              <w:rPr>
                <w:sz w:val="18"/>
                <w:szCs w:val="18"/>
              </w:rPr>
            </w:pPr>
            <w:r w:rsidRPr="008F03E5">
              <w:rPr>
                <w:sz w:val="18"/>
                <w:szCs w:val="18"/>
              </w:rPr>
              <w:t>Sovereignty</w:t>
            </w:r>
          </w:p>
        </w:tc>
      </w:tr>
      <w:tr w:rsidR="00F42DB7" w:rsidRPr="008F03E5" w14:paraId="3573AED6" w14:textId="77777777" w:rsidTr="007176EE">
        <w:trPr>
          <w:jc w:val="center"/>
        </w:trPr>
        <w:tc>
          <w:tcPr>
            <w:tcW w:w="1474" w:type="dxa"/>
            <w:tcBorders>
              <w:top w:val="nil"/>
              <w:bottom w:val="nil"/>
            </w:tcBorders>
          </w:tcPr>
          <w:p w14:paraId="766A0768"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18</w:t>
            </w:r>
          </w:p>
        </w:tc>
        <w:tc>
          <w:tcPr>
            <w:tcW w:w="1543" w:type="dxa"/>
            <w:tcBorders>
              <w:top w:val="nil"/>
              <w:bottom w:val="nil"/>
            </w:tcBorders>
          </w:tcPr>
          <w:p w14:paraId="5CAB11FF"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6 February</w:t>
            </w:r>
          </w:p>
        </w:tc>
        <w:tc>
          <w:tcPr>
            <w:tcW w:w="1474" w:type="dxa"/>
            <w:tcBorders>
              <w:top w:val="nil"/>
              <w:bottom w:val="nil"/>
            </w:tcBorders>
          </w:tcPr>
          <w:p w14:paraId="29DE4F29"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7 February</w:t>
            </w:r>
          </w:p>
        </w:tc>
        <w:tc>
          <w:tcPr>
            <w:tcW w:w="1247" w:type="dxa"/>
            <w:tcBorders>
              <w:top w:val="nil"/>
              <w:bottom w:val="nil"/>
            </w:tcBorders>
          </w:tcPr>
          <w:p w14:paraId="508FA478" w14:textId="77777777" w:rsidR="00F42DB7" w:rsidRPr="008F03E5" w:rsidRDefault="00F42DB7" w:rsidP="007176EE">
            <w:pPr>
              <w:rPr>
                <w:sz w:val="18"/>
                <w:szCs w:val="18"/>
              </w:rPr>
            </w:pPr>
            <w:r w:rsidRPr="008F03E5">
              <w:rPr>
                <w:sz w:val="18"/>
                <w:szCs w:val="18"/>
              </w:rPr>
              <w:t>Mulk</w:t>
            </w:r>
          </w:p>
        </w:tc>
        <w:tc>
          <w:tcPr>
            <w:tcW w:w="1316" w:type="dxa"/>
            <w:tcBorders>
              <w:top w:val="nil"/>
              <w:bottom w:val="nil"/>
            </w:tcBorders>
          </w:tcPr>
          <w:p w14:paraId="31A581DC" w14:textId="77777777" w:rsidR="00F42DB7" w:rsidRPr="008F03E5" w:rsidRDefault="00F42DB7" w:rsidP="007176EE">
            <w:pPr>
              <w:rPr>
                <w:sz w:val="18"/>
                <w:szCs w:val="18"/>
              </w:rPr>
            </w:pPr>
            <w:r w:rsidRPr="008F03E5">
              <w:rPr>
                <w:sz w:val="18"/>
                <w:szCs w:val="18"/>
              </w:rPr>
              <w:t>Dominion</w:t>
            </w:r>
          </w:p>
        </w:tc>
      </w:tr>
      <w:tr w:rsidR="00F42DB7" w:rsidRPr="008F03E5" w14:paraId="0C814972" w14:textId="77777777" w:rsidTr="007176EE">
        <w:trPr>
          <w:jc w:val="center"/>
        </w:trPr>
        <w:tc>
          <w:tcPr>
            <w:tcW w:w="1474" w:type="dxa"/>
            <w:tcBorders>
              <w:top w:val="nil"/>
              <w:bottom w:val="nil"/>
            </w:tcBorders>
          </w:tcPr>
          <w:p w14:paraId="32072062" w14:textId="77777777" w:rsidR="00F42DB7" w:rsidRPr="008F03E5" w:rsidRDefault="00F42DB7" w:rsidP="007176EE">
            <w:pPr>
              <w:rPr>
                <w:sz w:val="18"/>
                <w:szCs w:val="18"/>
              </w:rPr>
            </w:pPr>
            <w:r w:rsidRPr="008F03E5">
              <w:rPr>
                <w:sz w:val="18"/>
                <w:szCs w:val="18"/>
              </w:rPr>
              <w:t>Intercalary days</w:t>
            </w:r>
          </w:p>
        </w:tc>
        <w:tc>
          <w:tcPr>
            <w:tcW w:w="1543" w:type="dxa"/>
            <w:tcBorders>
              <w:top w:val="nil"/>
              <w:bottom w:val="nil"/>
            </w:tcBorders>
          </w:tcPr>
          <w:p w14:paraId="567224DE" w14:textId="77777777" w:rsidR="00F42DB7" w:rsidRPr="008F03E5" w:rsidRDefault="00F42DB7" w:rsidP="007176EE">
            <w:pPr>
              <w:rPr>
                <w:sz w:val="18"/>
                <w:szCs w:val="18"/>
                <w14:numSpacing w14:val="tabular"/>
              </w:rPr>
            </w:pPr>
            <w:r w:rsidRPr="008F03E5">
              <w:rPr>
                <w:sz w:val="18"/>
                <w:szCs w:val="18"/>
                <w14:numSpacing w14:val="tabular"/>
              </w:rPr>
              <w:t>25 February</w:t>
            </w:r>
          </w:p>
        </w:tc>
        <w:tc>
          <w:tcPr>
            <w:tcW w:w="1474" w:type="dxa"/>
            <w:tcBorders>
              <w:top w:val="nil"/>
              <w:bottom w:val="nil"/>
            </w:tcBorders>
          </w:tcPr>
          <w:p w14:paraId="73FD4D9C" w14:textId="77777777" w:rsidR="00F42DB7" w:rsidRPr="008F03E5" w:rsidRDefault="00F42DB7" w:rsidP="007176EE">
            <w:pPr>
              <w:rPr>
                <w:sz w:val="18"/>
                <w:szCs w:val="18"/>
                <w14:numSpacing w14:val="tabular"/>
              </w:rPr>
            </w:pPr>
            <w:r w:rsidRPr="008F03E5">
              <w:rPr>
                <w:sz w:val="18"/>
                <w:szCs w:val="18"/>
                <w14:numSpacing w14:val="tabular"/>
              </w:rPr>
              <w:t>26 February</w:t>
            </w:r>
          </w:p>
        </w:tc>
        <w:tc>
          <w:tcPr>
            <w:tcW w:w="1247" w:type="dxa"/>
            <w:tcBorders>
              <w:top w:val="nil"/>
              <w:bottom w:val="nil"/>
            </w:tcBorders>
          </w:tcPr>
          <w:p w14:paraId="57974844" w14:textId="77777777" w:rsidR="00F42DB7" w:rsidRPr="008F03E5" w:rsidRDefault="00F42DB7" w:rsidP="007176EE">
            <w:pPr>
              <w:rPr>
                <w:sz w:val="18"/>
                <w:szCs w:val="18"/>
              </w:rPr>
            </w:pPr>
            <w:r w:rsidRPr="008F03E5">
              <w:rPr>
                <w:sz w:val="18"/>
                <w:szCs w:val="18"/>
              </w:rPr>
              <w:t>Ayyám-i-Há</w:t>
            </w:r>
          </w:p>
        </w:tc>
        <w:tc>
          <w:tcPr>
            <w:tcW w:w="1316" w:type="dxa"/>
            <w:tcBorders>
              <w:top w:val="nil"/>
              <w:bottom w:val="nil"/>
            </w:tcBorders>
          </w:tcPr>
          <w:p w14:paraId="61BC3670" w14:textId="77777777" w:rsidR="00F42DB7" w:rsidRPr="008F03E5" w:rsidRDefault="00F42DB7" w:rsidP="007176EE">
            <w:pPr>
              <w:rPr>
                <w:sz w:val="18"/>
                <w:szCs w:val="18"/>
              </w:rPr>
            </w:pPr>
            <w:r w:rsidRPr="008F03E5">
              <w:rPr>
                <w:sz w:val="18"/>
                <w:szCs w:val="18"/>
              </w:rPr>
              <w:t>Days of Há</w:t>
            </w:r>
          </w:p>
        </w:tc>
      </w:tr>
      <w:tr w:rsidR="00F42DB7" w:rsidRPr="008F03E5" w14:paraId="39A857CF" w14:textId="77777777" w:rsidTr="007176EE">
        <w:trPr>
          <w:jc w:val="center"/>
        </w:trPr>
        <w:tc>
          <w:tcPr>
            <w:tcW w:w="1474" w:type="dxa"/>
            <w:tcBorders>
              <w:top w:val="nil"/>
            </w:tcBorders>
          </w:tcPr>
          <w:p w14:paraId="56EB5D53" w14:textId="77777777" w:rsidR="00F42DB7" w:rsidRPr="008F03E5" w:rsidRDefault="00F42DB7" w:rsidP="007176EE">
            <w:pPr>
              <w:tabs>
                <w:tab w:val="decimal" w:pos="695"/>
              </w:tabs>
              <w:rPr>
                <w:sz w:val="18"/>
                <w:szCs w:val="18"/>
                <w14:numSpacing w14:val="tabular"/>
              </w:rPr>
            </w:pPr>
            <w:r w:rsidRPr="008F03E5">
              <w:rPr>
                <w:sz w:val="18"/>
                <w:szCs w:val="18"/>
                <w14:numSpacing w14:val="tabular"/>
              </w:rPr>
              <w:t>19</w:t>
            </w:r>
          </w:p>
        </w:tc>
        <w:tc>
          <w:tcPr>
            <w:tcW w:w="1543" w:type="dxa"/>
            <w:tcBorders>
              <w:top w:val="nil"/>
            </w:tcBorders>
          </w:tcPr>
          <w:p w14:paraId="1E681ADC"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1 March</w:t>
            </w:r>
          </w:p>
        </w:tc>
        <w:tc>
          <w:tcPr>
            <w:tcW w:w="1474" w:type="dxa"/>
            <w:tcBorders>
              <w:top w:val="nil"/>
            </w:tcBorders>
          </w:tcPr>
          <w:p w14:paraId="1ADB3E5E"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2 March</w:t>
            </w:r>
          </w:p>
        </w:tc>
        <w:tc>
          <w:tcPr>
            <w:tcW w:w="1247" w:type="dxa"/>
            <w:tcBorders>
              <w:top w:val="nil"/>
            </w:tcBorders>
          </w:tcPr>
          <w:p w14:paraId="67F46AD2" w14:textId="77777777" w:rsidR="00F42DB7" w:rsidRPr="008F03E5" w:rsidRDefault="00F42DB7" w:rsidP="007176EE">
            <w:pPr>
              <w:rPr>
                <w:sz w:val="18"/>
                <w:szCs w:val="18"/>
              </w:rPr>
            </w:pPr>
            <w:r w:rsidRPr="008F03E5">
              <w:rPr>
                <w:sz w:val="18"/>
                <w:szCs w:val="18"/>
              </w:rPr>
              <w:t>‘Alá’</w:t>
            </w:r>
          </w:p>
        </w:tc>
        <w:tc>
          <w:tcPr>
            <w:tcW w:w="1316" w:type="dxa"/>
            <w:tcBorders>
              <w:top w:val="nil"/>
            </w:tcBorders>
          </w:tcPr>
          <w:p w14:paraId="26B2EFDA" w14:textId="77777777" w:rsidR="00F42DB7" w:rsidRPr="008F03E5" w:rsidRDefault="00F42DB7" w:rsidP="007176EE">
            <w:pPr>
              <w:rPr>
                <w:sz w:val="18"/>
                <w:szCs w:val="18"/>
              </w:rPr>
            </w:pPr>
            <w:r w:rsidRPr="008F03E5">
              <w:rPr>
                <w:sz w:val="18"/>
                <w:szCs w:val="18"/>
              </w:rPr>
              <w:t>Loftiness</w:t>
            </w:r>
          </w:p>
        </w:tc>
      </w:tr>
    </w:tbl>
    <w:p w14:paraId="0A3D8355" w14:textId="728FFDF7" w:rsidR="00F42DB7" w:rsidRPr="008F03E5" w:rsidRDefault="00F42DB7" w:rsidP="004649BE">
      <w:pPr>
        <w:pStyle w:val="MyHead4"/>
        <w:keepNext/>
      </w:pPr>
      <w:r w:rsidRPr="008F03E5">
        <w:t>Years</w:t>
      </w:r>
    </w:p>
    <w:p w14:paraId="74E41344" w14:textId="77777777" w:rsidR="00F42DB7" w:rsidRPr="008F03E5" w:rsidRDefault="00F42DB7" w:rsidP="00F42DB7">
      <w:pPr>
        <w:pStyle w:val="Text"/>
        <w:spacing w:after="60"/>
      </w:pPr>
      <w:r w:rsidRPr="008F03E5">
        <w:t>Years are grouped into cycles of 19 years starting from the date of the Declaration of the Báb.</w:t>
      </w:r>
    </w:p>
    <w:tbl>
      <w:tblPr>
        <w:tblStyle w:val="TableGrid"/>
        <w:tblW w:w="0" w:type="auto"/>
        <w:jc w:val="center"/>
        <w:tblLook w:val="04A0" w:firstRow="1" w:lastRow="0" w:firstColumn="1" w:lastColumn="0" w:noHBand="0" w:noVBand="1"/>
      </w:tblPr>
      <w:tblGrid>
        <w:gridCol w:w="964"/>
        <w:gridCol w:w="907"/>
        <w:gridCol w:w="1134"/>
        <w:gridCol w:w="1134"/>
        <w:gridCol w:w="1247"/>
        <w:gridCol w:w="1361"/>
      </w:tblGrid>
      <w:tr w:rsidR="00F42DB7" w:rsidRPr="008F03E5" w14:paraId="7D303DC9" w14:textId="77777777" w:rsidTr="007176EE">
        <w:trPr>
          <w:jc w:val="center"/>
        </w:trPr>
        <w:tc>
          <w:tcPr>
            <w:tcW w:w="964" w:type="dxa"/>
            <w:tcBorders>
              <w:top w:val="single" w:sz="6" w:space="0" w:color="auto"/>
              <w:left w:val="single" w:sz="6" w:space="0" w:color="auto"/>
              <w:bottom w:val="nil"/>
            </w:tcBorders>
          </w:tcPr>
          <w:p w14:paraId="6CC40B2A" w14:textId="77777777" w:rsidR="00F42DB7" w:rsidRPr="008F03E5" w:rsidRDefault="00F42DB7" w:rsidP="007176EE">
            <w:pPr>
              <w:rPr>
                <w:sz w:val="18"/>
                <w:szCs w:val="18"/>
                <w14:numSpacing w14:val="tabular"/>
              </w:rPr>
            </w:pPr>
            <w:r w:rsidRPr="008F03E5">
              <w:rPr>
                <w:sz w:val="18"/>
                <w:szCs w:val="18"/>
                <w14:numSpacing w14:val="tabular"/>
              </w:rPr>
              <w:t>1.  Alif</w:t>
            </w:r>
          </w:p>
        </w:tc>
        <w:tc>
          <w:tcPr>
            <w:tcW w:w="907" w:type="dxa"/>
            <w:tcBorders>
              <w:top w:val="single" w:sz="6" w:space="0" w:color="auto"/>
              <w:bottom w:val="nil"/>
            </w:tcBorders>
          </w:tcPr>
          <w:p w14:paraId="37ED4704" w14:textId="77777777" w:rsidR="00F42DB7" w:rsidRPr="008F03E5" w:rsidRDefault="00F42DB7" w:rsidP="007176EE">
            <w:pPr>
              <w:rPr>
                <w:sz w:val="18"/>
                <w:szCs w:val="18"/>
                <w14:numSpacing w14:val="tabular"/>
              </w:rPr>
            </w:pPr>
            <w:r w:rsidRPr="008F03E5">
              <w:rPr>
                <w:sz w:val="18"/>
                <w:szCs w:val="18"/>
                <w14:numSpacing w14:val="tabular"/>
              </w:rPr>
              <w:t>A</w:t>
            </w:r>
          </w:p>
        </w:tc>
        <w:tc>
          <w:tcPr>
            <w:tcW w:w="1134" w:type="dxa"/>
            <w:tcBorders>
              <w:top w:val="single" w:sz="6" w:space="0" w:color="auto"/>
              <w:bottom w:val="nil"/>
            </w:tcBorders>
          </w:tcPr>
          <w:p w14:paraId="24CA2891"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8.  Júd</w:t>
            </w:r>
          </w:p>
        </w:tc>
        <w:tc>
          <w:tcPr>
            <w:tcW w:w="1134" w:type="dxa"/>
            <w:tcBorders>
              <w:top w:val="single" w:sz="6" w:space="0" w:color="auto"/>
              <w:bottom w:val="nil"/>
            </w:tcBorders>
          </w:tcPr>
          <w:p w14:paraId="7A82FA6B" w14:textId="77777777" w:rsidR="00F42DB7" w:rsidRPr="008F03E5" w:rsidRDefault="00F42DB7" w:rsidP="007176EE">
            <w:pPr>
              <w:rPr>
                <w:sz w:val="18"/>
                <w:szCs w:val="18"/>
                <w14:numSpacing w14:val="tabular"/>
              </w:rPr>
            </w:pPr>
            <w:r w:rsidRPr="008F03E5">
              <w:rPr>
                <w:sz w:val="18"/>
                <w:szCs w:val="18"/>
                <w14:numSpacing w14:val="tabular"/>
              </w:rPr>
              <w:t>Generosity</w:t>
            </w:r>
          </w:p>
        </w:tc>
        <w:tc>
          <w:tcPr>
            <w:tcW w:w="1247" w:type="dxa"/>
            <w:tcBorders>
              <w:top w:val="single" w:sz="6" w:space="0" w:color="auto"/>
              <w:bottom w:val="nil"/>
            </w:tcBorders>
          </w:tcPr>
          <w:p w14:paraId="0DCDE079" w14:textId="77777777" w:rsidR="00F42DB7" w:rsidRPr="008F03E5" w:rsidRDefault="00F42DB7" w:rsidP="007176EE">
            <w:pPr>
              <w:rPr>
                <w:sz w:val="18"/>
                <w:szCs w:val="18"/>
                <w14:numSpacing w14:val="tabular"/>
              </w:rPr>
            </w:pPr>
            <w:r w:rsidRPr="008F03E5">
              <w:rPr>
                <w:sz w:val="18"/>
                <w:szCs w:val="18"/>
                <w14:numSpacing w14:val="tabular"/>
              </w:rPr>
              <w:t>14.  Wahháb</w:t>
            </w:r>
          </w:p>
        </w:tc>
        <w:tc>
          <w:tcPr>
            <w:tcW w:w="1361" w:type="dxa"/>
            <w:tcBorders>
              <w:top w:val="single" w:sz="6" w:space="0" w:color="auto"/>
              <w:bottom w:val="nil"/>
              <w:right w:val="single" w:sz="6" w:space="0" w:color="auto"/>
            </w:tcBorders>
          </w:tcPr>
          <w:p w14:paraId="2E293057" w14:textId="77777777" w:rsidR="00F42DB7" w:rsidRPr="008F03E5" w:rsidRDefault="00F42DB7" w:rsidP="007176EE">
            <w:pPr>
              <w:rPr>
                <w:sz w:val="18"/>
                <w:szCs w:val="18"/>
              </w:rPr>
            </w:pPr>
            <w:r w:rsidRPr="008F03E5">
              <w:rPr>
                <w:sz w:val="18"/>
                <w:szCs w:val="18"/>
              </w:rPr>
              <w:t>Bountiful</w:t>
            </w:r>
          </w:p>
        </w:tc>
      </w:tr>
      <w:tr w:rsidR="00F42DB7" w:rsidRPr="008F03E5" w14:paraId="7DA1A9C6" w14:textId="77777777" w:rsidTr="007176EE">
        <w:trPr>
          <w:jc w:val="center"/>
        </w:trPr>
        <w:tc>
          <w:tcPr>
            <w:tcW w:w="964" w:type="dxa"/>
            <w:tcBorders>
              <w:top w:val="nil"/>
              <w:left w:val="single" w:sz="6" w:space="0" w:color="auto"/>
              <w:bottom w:val="nil"/>
            </w:tcBorders>
          </w:tcPr>
          <w:p w14:paraId="3EBF5376" w14:textId="77777777" w:rsidR="00F42DB7" w:rsidRPr="008F03E5" w:rsidRDefault="00F42DB7" w:rsidP="007176EE">
            <w:pPr>
              <w:rPr>
                <w:sz w:val="18"/>
                <w:szCs w:val="18"/>
                <w14:numSpacing w14:val="tabular"/>
              </w:rPr>
            </w:pPr>
            <w:r w:rsidRPr="008F03E5">
              <w:rPr>
                <w:sz w:val="18"/>
                <w:szCs w:val="18"/>
                <w14:numSpacing w14:val="tabular"/>
              </w:rPr>
              <w:t>2.  Bá’</w:t>
            </w:r>
          </w:p>
        </w:tc>
        <w:tc>
          <w:tcPr>
            <w:tcW w:w="907" w:type="dxa"/>
            <w:tcBorders>
              <w:top w:val="nil"/>
              <w:bottom w:val="nil"/>
            </w:tcBorders>
          </w:tcPr>
          <w:p w14:paraId="4CF1B10E" w14:textId="77777777" w:rsidR="00F42DB7" w:rsidRPr="008F03E5" w:rsidRDefault="00F42DB7" w:rsidP="007176EE">
            <w:pPr>
              <w:rPr>
                <w:sz w:val="18"/>
                <w:szCs w:val="18"/>
                <w14:numSpacing w14:val="tabular"/>
              </w:rPr>
            </w:pPr>
            <w:r w:rsidRPr="008F03E5">
              <w:rPr>
                <w:sz w:val="18"/>
                <w:szCs w:val="18"/>
                <w14:numSpacing w14:val="tabular"/>
              </w:rPr>
              <w:t>B</w:t>
            </w:r>
          </w:p>
        </w:tc>
        <w:tc>
          <w:tcPr>
            <w:tcW w:w="1134" w:type="dxa"/>
            <w:tcBorders>
              <w:top w:val="nil"/>
              <w:bottom w:val="nil"/>
            </w:tcBorders>
          </w:tcPr>
          <w:p w14:paraId="6F224218" w14:textId="77777777" w:rsidR="00F42DB7" w:rsidRPr="008F03E5" w:rsidRDefault="00F42DB7" w:rsidP="007176EE">
            <w:pPr>
              <w:rPr>
                <w:sz w:val="18"/>
                <w:szCs w:val="18"/>
                <w14:numSpacing w14:val="tabular"/>
              </w:rPr>
            </w:pPr>
            <w:r w:rsidRPr="008F03E5">
              <w:rPr>
                <w:sz w:val="18"/>
                <w:szCs w:val="18"/>
                <w14:numSpacing w14:val="tabular"/>
              </w:rPr>
              <w:t> </w:t>
            </w:r>
            <w:r w:rsidRPr="008F03E5">
              <w:rPr>
                <w:sz w:val="18"/>
                <w:szCs w:val="18"/>
                <w14:numSpacing w14:val="tabular"/>
              </w:rPr>
              <w:t>9.  Bahá</w:t>
            </w:r>
          </w:p>
        </w:tc>
        <w:tc>
          <w:tcPr>
            <w:tcW w:w="1134" w:type="dxa"/>
            <w:tcBorders>
              <w:top w:val="nil"/>
              <w:bottom w:val="nil"/>
            </w:tcBorders>
          </w:tcPr>
          <w:p w14:paraId="104E9506" w14:textId="77777777" w:rsidR="00F42DB7" w:rsidRPr="008F03E5" w:rsidRDefault="00F42DB7" w:rsidP="007176EE">
            <w:pPr>
              <w:rPr>
                <w:sz w:val="18"/>
                <w:szCs w:val="18"/>
                <w14:numSpacing w14:val="tabular"/>
              </w:rPr>
            </w:pPr>
            <w:r w:rsidRPr="008F03E5">
              <w:rPr>
                <w:sz w:val="18"/>
                <w:szCs w:val="18"/>
                <w14:numSpacing w14:val="tabular"/>
              </w:rPr>
              <w:t>Splendour</w:t>
            </w:r>
          </w:p>
        </w:tc>
        <w:tc>
          <w:tcPr>
            <w:tcW w:w="1247" w:type="dxa"/>
            <w:tcBorders>
              <w:top w:val="nil"/>
              <w:bottom w:val="nil"/>
            </w:tcBorders>
          </w:tcPr>
          <w:p w14:paraId="31B7B5DC" w14:textId="77777777" w:rsidR="00F42DB7" w:rsidRPr="008F03E5" w:rsidRDefault="00F42DB7" w:rsidP="007176EE">
            <w:pPr>
              <w:rPr>
                <w:sz w:val="18"/>
                <w:szCs w:val="18"/>
                <w14:numSpacing w14:val="tabular"/>
              </w:rPr>
            </w:pPr>
            <w:r w:rsidRPr="008F03E5">
              <w:rPr>
                <w:sz w:val="18"/>
                <w:szCs w:val="18"/>
                <w14:numSpacing w14:val="tabular"/>
              </w:rPr>
              <w:t>15.  Widád</w:t>
            </w:r>
          </w:p>
        </w:tc>
        <w:tc>
          <w:tcPr>
            <w:tcW w:w="1361" w:type="dxa"/>
            <w:tcBorders>
              <w:top w:val="nil"/>
              <w:bottom w:val="nil"/>
              <w:right w:val="single" w:sz="6" w:space="0" w:color="auto"/>
            </w:tcBorders>
          </w:tcPr>
          <w:p w14:paraId="6FC898FA" w14:textId="77777777" w:rsidR="00F42DB7" w:rsidRPr="008F03E5" w:rsidRDefault="00F42DB7" w:rsidP="007176EE">
            <w:pPr>
              <w:rPr>
                <w:sz w:val="18"/>
                <w:szCs w:val="18"/>
              </w:rPr>
            </w:pPr>
            <w:r w:rsidRPr="008F03E5">
              <w:rPr>
                <w:sz w:val="18"/>
                <w:szCs w:val="18"/>
              </w:rPr>
              <w:t>Affection</w:t>
            </w:r>
          </w:p>
        </w:tc>
      </w:tr>
      <w:tr w:rsidR="00F42DB7" w:rsidRPr="008F03E5" w14:paraId="43681D58" w14:textId="77777777" w:rsidTr="007176EE">
        <w:trPr>
          <w:jc w:val="center"/>
        </w:trPr>
        <w:tc>
          <w:tcPr>
            <w:tcW w:w="964" w:type="dxa"/>
            <w:tcBorders>
              <w:top w:val="nil"/>
              <w:left w:val="single" w:sz="6" w:space="0" w:color="auto"/>
              <w:bottom w:val="nil"/>
            </w:tcBorders>
          </w:tcPr>
          <w:p w14:paraId="3DFB13FB" w14:textId="77777777" w:rsidR="00F42DB7" w:rsidRPr="008F03E5" w:rsidRDefault="00F42DB7" w:rsidP="007176EE">
            <w:pPr>
              <w:rPr>
                <w:sz w:val="18"/>
                <w:szCs w:val="18"/>
                <w14:numSpacing w14:val="tabular"/>
              </w:rPr>
            </w:pPr>
            <w:r w:rsidRPr="008F03E5">
              <w:rPr>
                <w:sz w:val="18"/>
                <w:szCs w:val="18"/>
                <w14:numSpacing w14:val="tabular"/>
              </w:rPr>
              <w:t>3.  Ab</w:t>
            </w:r>
          </w:p>
        </w:tc>
        <w:tc>
          <w:tcPr>
            <w:tcW w:w="907" w:type="dxa"/>
            <w:tcBorders>
              <w:top w:val="nil"/>
              <w:bottom w:val="nil"/>
            </w:tcBorders>
          </w:tcPr>
          <w:p w14:paraId="643A522F" w14:textId="77777777" w:rsidR="00F42DB7" w:rsidRPr="008F03E5" w:rsidRDefault="00F42DB7" w:rsidP="007176EE">
            <w:pPr>
              <w:rPr>
                <w:sz w:val="18"/>
                <w:szCs w:val="18"/>
                <w14:numSpacing w14:val="tabular"/>
              </w:rPr>
            </w:pPr>
            <w:r w:rsidRPr="008F03E5">
              <w:rPr>
                <w:sz w:val="18"/>
                <w:szCs w:val="18"/>
                <w14:numSpacing w14:val="tabular"/>
              </w:rPr>
              <w:t>Father</w:t>
            </w:r>
          </w:p>
        </w:tc>
        <w:tc>
          <w:tcPr>
            <w:tcW w:w="1134" w:type="dxa"/>
            <w:tcBorders>
              <w:top w:val="nil"/>
              <w:bottom w:val="nil"/>
            </w:tcBorders>
          </w:tcPr>
          <w:p w14:paraId="2C6FB249" w14:textId="77777777" w:rsidR="00F42DB7" w:rsidRPr="008F03E5" w:rsidRDefault="00F42DB7" w:rsidP="007176EE">
            <w:pPr>
              <w:rPr>
                <w:sz w:val="18"/>
                <w:szCs w:val="18"/>
                <w14:numSpacing w14:val="tabular"/>
              </w:rPr>
            </w:pPr>
            <w:r w:rsidRPr="008F03E5">
              <w:rPr>
                <w:sz w:val="18"/>
                <w:szCs w:val="18"/>
                <w14:numSpacing w14:val="tabular"/>
              </w:rPr>
              <w:t>10.  Ḥubb</w:t>
            </w:r>
          </w:p>
        </w:tc>
        <w:tc>
          <w:tcPr>
            <w:tcW w:w="1134" w:type="dxa"/>
            <w:tcBorders>
              <w:top w:val="nil"/>
              <w:bottom w:val="nil"/>
            </w:tcBorders>
          </w:tcPr>
          <w:p w14:paraId="541772DC" w14:textId="77777777" w:rsidR="00F42DB7" w:rsidRPr="008F03E5" w:rsidRDefault="00F42DB7" w:rsidP="007176EE">
            <w:pPr>
              <w:rPr>
                <w:sz w:val="18"/>
                <w:szCs w:val="18"/>
                <w14:numSpacing w14:val="tabular"/>
              </w:rPr>
            </w:pPr>
            <w:r w:rsidRPr="008F03E5">
              <w:rPr>
                <w:sz w:val="18"/>
                <w:szCs w:val="18"/>
                <w14:numSpacing w14:val="tabular"/>
              </w:rPr>
              <w:t>Love</w:t>
            </w:r>
          </w:p>
        </w:tc>
        <w:tc>
          <w:tcPr>
            <w:tcW w:w="1247" w:type="dxa"/>
            <w:tcBorders>
              <w:top w:val="nil"/>
              <w:bottom w:val="nil"/>
            </w:tcBorders>
          </w:tcPr>
          <w:p w14:paraId="229E41AF" w14:textId="77777777" w:rsidR="00F42DB7" w:rsidRPr="008F03E5" w:rsidRDefault="00F42DB7" w:rsidP="007176EE">
            <w:pPr>
              <w:rPr>
                <w:sz w:val="18"/>
                <w:szCs w:val="18"/>
                <w14:numSpacing w14:val="tabular"/>
              </w:rPr>
            </w:pPr>
            <w:r w:rsidRPr="008F03E5">
              <w:rPr>
                <w:sz w:val="18"/>
                <w:szCs w:val="18"/>
                <w14:numSpacing w14:val="tabular"/>
              </w:rPr>
              <w:t>16.  Badí‘</w:t>
            </w:r>
          </w:p>
        </w:tc>
        <w:tc>
          <w:tcPr>
            <w:tcW w:w="1361" w:type="dxa"/>
            <w:tcBorders>
              <w:top w:val="nil"/>
              <w:bottom w:val="nil"/>
              <w:right w:val="single" w:sz="6" w:space="0" w:color="auto"/>
            </w:tcBorders>
          </w:tcPr>
          <w:p w14:paraId="2C4A8F4C" w14:textId="77777777" w:rsidR="00F42DB7" w:rsidRPr="008F03E5" w:rsidRDefault="00F42DB7" w:rsidP="007176EE">
            <w:pPr>
              <w:rPr>
                <w:sz w:val="18"/>
                <w:szCs w:val="18"/>
              </w:rPr>
            </w:pPr>
            <w:r w:rsidRPr="008F03E5">
              <w:rPr>
                <w:sz w:val="18"/>
                <w:szCs w:val="18"/>
              </w:rPr>
              <w:t>Beginning</w:t>
            </w:r>
          </w:p>
        </w:tc>
      </w:tr>
      <w:tr w:rsidR="00F42DB7" w:rsidRPr="008F03E5" w14:paraId="68526472" w14:textId="77777777" w:rsidTr="007176EE">
        <w:trPr>
          <w:jc w:val="center"/>
        </w:trPr>
        <w:tc>
          <w:tcPr>
            <w:tcW w:w="964" w:type="dxa"/>
            <w:tcBorders>
              <w:top w:val="nil"/>
              <w:left w:val="single" w:sz="6" w:space="0" w:color="auto"/>
              <w:bottom w:val="nil"/>
            </w:tcBorders>
          </w:tcPr>
          <w:p w14:paraId="0C3A7E6E" w14:textId="77777777" w:rsidR="00F42DB7" w:rsidRPr="008F03E5" w:rsidRDefault="00F42DB7" w:rsidP="007176EE">
            <w:pPr>
              <w:rPr>
                <w:sz w:val="18"/>
                <w:szCs w:val="18"/>
                <w14:numSpacing w14:val="tabular"/>
              </w:rPr>
            </w:pPr>
            <w:r w:rsidRPr="008F03E5">
              <w:rPr>
                <w:sz w:val="18"/>
                <w:szCs w:val="18"/>
                <w14:numSpacing w14:val="tabular"/>
              </w:rPr>
              <w:t>4.  Dál</w:t>
            </w:r>
          </w:p>
        </w:tc>
        <w:tc>
          <w:tcPr>
            <w:tcW w:w="907" w:type="dxa"/>
            <w:tcBorders>
              <w:top w:val="nil"/>
              <w:bottom w:val="nil"/>
            </w:tcBorders>
          </w:tcPr>
          <w:p w14:paraId="3B11040C" w14:textId="77777777" w:rsidR="00F42DB7" w:rsidRPr="008F03E5" w:rsidRDefault="00F42DB7" w:rsidP="007176EE">
            <w:pPr>
              <w:rPr>
                <w:sz w:val="18"/>
                <w:szCs w:val="18"/>
                <w14:numSpacing w14:val="tabular"/>
              </w:rPr>
            </w:pPr>
            <w:r w:rsidRPr="008F03E5">
              <w:rPr>
                <w:sz w:val="18"/>
                <w:szCs w:val="18"/>
                <w14:numSpacing w14:val="tabular"/>
              </w:rPr>
              <w:t>D</w:t>
            </w:r>
          </w:p>
        </w:tc>
        <w:tc>
          <w:tcPr>
            <w:tcW w:w="1134" w:type="dxa"/>
            <w:tcBorders>
              <w:top w:val="nil"/>
              <w:bottom w:val="nil"/>
            </w:tcBorders>
          </w:tcPr>
          <w:p w14:paraId="16D52225" w14:textId="77777777" w:rsidR="00F42DB7" w:rsidRPr="008F03E5" w:rsidRDefault="00F42DB7" w:rsidP="007176EE">
            <w:pPr>
              <w:rPr>
                <w:sz w:val="18"/>
                <w:szCs w:val="18"/>
                <w14:numSpacing w14:val="tabular"/>
              </w:rPr>
            </w:pPr>
            <w:r w:rsidRPr="008F03E5">
              <w:rPr>
                <w:sz w:val="18"/>
                <w:szCs w:val="18"/>
                <w14:numSpacing w14:val="tabular"/>
              </w:rPr>
              <w:t>11.  Bahháj</w:t>
            </w:r>
          </w:p>
        </w:tc>
        <w:tc>
          <w:tcPr>
            <w:tcW w:w="1134" w:type="dxa"/>
            <w:tcBorders>
              <w:top w:val="nil"/>
              <w:bottom w:val="nil"/>
            </w:tcBorders>
          </w:tcPr>
          <w:p w14:paraId="098B9A7F" w14:textId="77777777" w:rsidR="00F42DB7" w:rsidRPr="008F03E5" w:rsidRDefault="00F42DB7" w:rsidP="007176EE">
            <w:pPr>
              <w:rPr>
                <w:sz w:val="18"/>
                <w:szCs w:val="18"/>
              </w:rPr>
            </w:pPr>
            <w:r w:rsidRPr="008F03E5">
              <w:rPr>
                <w:sz w:val="18"/>
                <w:szCs w:val="18"/>
              </w:rPr>
              <w:t>Delightful</w:t>
            </w:r>
          </w:p>
        </w:tc>
        <w:tc>
          <w:tcPr>
            <w:tcW w:w="1247" w:type="dxa"/>
            <w:tcBorders>
              <w:top w:val="nil"/>
              <w:bottom w:val="nil"/>
            </w:tcBorders>
          </w:tcPr>
          <w:p w14:paraId="4BB29E54" w14:textId="77777777" w:rsidR="00F42DB7" w:rsidRPr="008F03E5" w:rsidRDefault="00F42DB7" w:rsidP="007176EE">
            <w:pPr>
              <w:rPr>
                <w:sz w:val="18"/>
                <w:szCs w:val="18"/>
                <w14:numSpacing w14:val="tabular"/>
              </w:rPr>
            </w:pPr>
            <w:r w:rsidRPr="008F03E5">
              <w:rPr>
                <w:sz w:val="18"/>
                <w:szCs w:val="18"/>
                <w14:numSpacing w14:val="tabular"/>
              </w:rPr>
              <w:t>17.  Bahíy</w:t>
            </w:r>
          </w:p>
        </w:tc>
        <w:tc>
          <w:tcPr>
            <w:tcW w:w="1361" w:type="dxa"/>
            <w:tcBorders>
              <w:top w:val="nil"/>
              <w:bottom w:val="nil"/>
              <w:right w:val="single" w:sz="6" w:space="0" w:color="auto"/>
            </w:tcBorders>
          </w:tcPr>
          <w:p w14:paraId="1E70CC18" w14:textId="77777777" w:rsidR="00F42DB7" w:rsidRPr="008F03E5" w:rsidRDefault="00F42DB7" w:rsidP="007176EE">
            <w:pPr>
              <w:rPr>
                <w:sz w:val="18"/>
                <w:szCs w:val="18"/>
              </w:rPr>
            </w:pPr>
            <w:r w:rsidRPr="008F03E5">
              <w:rPr>
                <w:sz w:val="18"/>
                <w:szCs w:val="18"/>
              </w:rPr>
              <w:t>Luminous</w:t>
            </w:r>
          </w:p>
        </w:tc>
      </w:tr>
      <w:tr w:rsidR="00F42DB7" w:rsidRPr="008F03E5" w14:paraId="48CA615A" w14:textId="77777777" w:rsidTr="007176EE">
        <w:trPr>
          <w:jc w:val="center"/>
        </w:trPr>
        <w:tc>
          <w:tcPr>
            <w:tcW w:w="964" w:type="dxa"/>
            <w:tcBorders>
              <w:top w:val="nil"/>
              <w:left w:val="single" w:sz="6" w:space="0" w:color="auto"/>
              <w:bottom w:val="nil"/>
            </w:tcBorders>
          </w:tcPr>
          <w:p w14:paraId="3BE45E4E" w14:textId="77777777" w:rsidR="00F42DB7" w:rsidRPr="008F03E5" w:rsidRDefault="00F42DB7" w:rsidP="007176EE">
            <w:pPr>
              <w:rPr>
                <w:sz w:val="18"/>
                <w:szCs w:val="18"/>
                <w14:numSpacing w14:val="tabular"/>
              </w:rPr>
            </w:pPr>
            <w:r w:rsidRPr="008F03E5">
              <w:rPr>
                <w:sz w:val="18"/>
                <w:szCs w:val="18"/>
                <w14:numSpacing w14:val="tabular"/>
              </w:rPr>
              <w:t>5.  Báb</w:t>
            </w:r>
          </w:p>
        </w:tc>
        <w:tc>
          <w:tcPr>
            <w:tcW w:w="907" w:type="dxa"/>
            <w:tcBorders>
              <w:top w:val="nil"/>
              <w:bottom w:val="nil"/>
            </w:tcBorders>
          </w:tcPr>
          <w:p w14:paraId="43029799" w14:textId="77777777" w:rsidR="00F42DB7" w:rsidRPr="008F03E5" w:rsidRDefault="00F42DB7" w:rsidP="007176EE">
            <w:pPr>
              <w:rPr>
                <w:sz w:val="18"/>
                <w:szCs w:val="18"/>
                <w14:numSpacing w14:val="tabular"/>
              </w:rPr>
            </w:pPr>
            <w:r w:rsidRPr="008F03E5">
              <w:rPr>
                <w:sz w:val="18"/>
                <w:szCs w:val="18"/>
                <w14:numSpacing w14:val="tabular"/>
              </w:rPr>
              <w:t>Gate</w:t>
            </w:r>
          </w:p>
        </w:tc>
        <w:tc>
          <w:tcPr>
            <w:tcW w:w="1134" w:type="dxa"/>
            <w:tcBorders>
              <w:top w:val="nil"/>
              <w:bottom w:val="nil"/>
            </w:tcBorders>
          </w:tcPr>
          <w:p w14:paraId="557EAA70" w14:textId="77777777" w:rsidR="00F42DB7" w:rsidRPr="008F03E5" w:rsidRDefault="00F42DB7" w:rsidP="007176EE">
            <w:pPr>
              <w:rPr>
                <w:sz w:val="18"/>
                <w:szCs w:val="18"/>
                <w14:numSpacing w14:val="tabular"/>
              </w:rPr>
            </w:pPr>
            <w:r w:rsidRPr="008F03E5">
              <w:rPr>
                <w:sz w:val="18"/>
                <w:szCs w:val="18"/>
                <w14:numSpacing w14:val="tabular"/>
              </w:rPr>
              <w:t>12.  Jawáb</w:t>
            </w:r>
          </w:p>
        </w:tc>
        <w:tc>
          <w:tcPr>
            <w:tcW w:w="1134" w:type="dxa"/>
            <w:tcBorders>
              <w:top w:val="nil"/>
              <w:bottom w:val="nil"/>
            </w:tcBorders>
          </w:tcPr>
          <w:p w14:paraId="775D6D11" w14:textId="77777777" w:rsidR="00F42DB7" w:rsidRPr="008F03E5" w:rsidRDefault="00F42DB7" w:rsidP="007176EE">
            <w:pPr>
              <w:rPr>
                <w:sz w:val="18"/>
                <w:szCs w:val="18"/>
              </w:rPr>
            </w:pPr>
            <w:r w:rsidRPr="008F03E5">
              <w:rPr>
                <w:sz w:val="18"/>
                <w:szCs w:val="18"/>
              </w:rPr>
              <w:t>Answer</w:t>
            </w:r>
          </w:p>
        </w:tc>
        <w:tc>
          <w:tcPr>
            <w:tcW w:w="1247" w:type="dxa"/>
            <w:tcBorders>
              <w:top w:val="nil"/>
              <w:bottom w:val="nil"/>
            </w:tcBorders>
          </w:tcPr>
          <w:p w14:paraId="562E11F8" w14:textId="77777777" w:rsidR="00F42DB7" w:rsidRPr="008F03E5" w:rsidRDefault="00F42DB7" w:rsidP="007176EE">
            <w:pPr>
              <w:rPr>
                <w:sz w:val="18"/>
                <w:szCs w:val="18"/>
                <w14:numSpacing w14:val="tabular"/>
              </w:rPr>
            </w:pPr>
            <w:r w:rsidRPr="008F03E5">
              <w:rPr>
                <w:sz w:val="18"/>
                <w:szCs w:val="18"/>
                <w14:numSpacing w14:val="tabular"/>
              </w:rPr>
              <w:t>18.  Abhá</w:t>
            </w:r>
          </w:p>
        </w:tc>
        <w:tc>
          <w:tcPr>
            <w:tcW w:w="1361" w:type="dxa"/>
            <w:tcBorders>
              <w:top w:val="nil"/>
              <w:bottom w:val="nil"/>
              <w:right w:val="single" w:sz="6" w:space="0" w:color="auto"/>
            </w:tcBorders>
          </w:tcPr>
          <w:p w14:paraId="40744D68" w14:textId="77777777" w:rsidR="00F42DB7" w:rsidRPr="008F03E5" w:rsidRDefault="00F42DB7" w:rsidP="007176EE">
            <w:pPr>
              <w:rPr>
                <w:sz w:val="18"/>
                <w:szCs w:val="18"/>
              </w:rPr>
            </w:pPr>
            <w:r w:rsidRPr="008F03E5">
              <w:rPr>
                <w:sz w:val="18"/>
                <w:szCs w:val="18"/>
              </w:rPr>
              <w:t>Most luminous</w:t>
            </w:r>
          </w:p>
        </w:tc>
      </w:tr>
      <w:tr w:rsidR="00F42DB7" w:rsidRPr="008F03E5" w14:paraId="1E634DE9" w14:textId="77777777" w:rsidTr="007176EE">
        <w:trPr>
          <w:jc w:val="center"/>
        </w:trPr>
        <w:tc>
          <w:tcPr>
            <w:tcW w:w="964" w:type="dxa"/>
            <w:tcBorders>
              <w:top w:val="nil"/>
              <w:left w:val="single" w:sz="6" w:space="0" w:color="auto"/>
              <w:bottom w:val="nil"/>
            </w:tcBorders>
          </w:tcPr>
          <w:p w14:paraId="170599FB" w14:textId="77777777" w:rsidR="00F42DB7" w:rsidRPr="008F03E5" w:rsidRDefault="00F42DB7" w:rsidP="007176EE">
            <w:pPr>
              <w:rPr>
                <w:sz w:val="18"/>
                <w:szCs w:val="18"/>
                <w14:numSpacing w14:val="tabular"/>
              </w:rPr>
            </w:pPr>
            <w:r w:rsidRPr="008F03E5">
              <w:rPr>
                <w:sz w:val="18"/>
                <w:szCs w:val="18"/>
                <w14:numSpacing w14:val="tabular"/>
              </w:rPr>
              <w:t>6.  Wáw</w:t>
            </w:r>
          </w:p>
        </w:tc>
        <w:tc>
          <w:tcPr>
            <w:tcW w:w="907" w:type="dxa"/>
            <w:tcBorders>
              <w:top w:val="nil"/>
              <w:bottom w:val="nil"/>
            </w:tcBorders>
          </w:tcPr>
          <w:p w14:paraId="4CF0F552" w14:textId="77777777" w:rsidR="00F42DB7" w:rsidRPr="008F03E5" w:rsidRDefault="00F42DB7" w:rsidP="007176EE">
            <w:pPr>
              <w:rPr>
                <w:sz w:val="18"/>
                <w:szCs w:val="18"/>
                <w14:numSpacing w14:val="tabular"/>
              </w:rPr>
            </w:pPr>
            <w:r w:rsidRPr="008F03E5">
              <w:rPr>
                <w:sz w:val="18"/>
                <w:szCs w:val="18"/>
                <w14:numSpacing w14:val="tabular"/>
              </w:rPr>
              <w:t>W/V</w:t>
            </w:r>
          </w:p>
        </w:tc>
        <w:tc>
          <w:tcPr>
            <w:tcW w:w="1134" w:type="dxa"/>
            <w:tcBorders>
              <w:top w:val="nil"/>
              <w:bottom w:val="single" w:sz="6" w:space="0" w:color="auto"/>
            </w:tcBorders>
          </w:tcPr>
          <w:p w14:paraId="53001B09" w14:textId="77777777" w:rsidR="00F42DB7" w:rsidRPr="008F03E5" w:rsidRDefault="00F42DB7" w:rsidP="007176EE">
            <w:pPr>
              <w:rPr>
                <w:sz w:val="18"/>
                <w:szCs w:val="18"/>
                <w14:numSpacing w14:val="tabular"/>
              </w:rPr>
            </w:pPr>
            <w:r w:rsidRPr="008F03E5">
              <w:rPr>
                <w:sz w:val="18"/>
                <w:szCs w:val="18"/>
                <w14:numSpacing w14:val="tabular"/>
              </w:rPr>
              <w:t>13.  Aḥad</w:t>
            </w:r>
          </w:p>
        </w:tc>
        <w:tc>
          <w:tcPr>
            <w:tcW w:w="1134" w:type="dxa"/>
            <w:tcBorders>
              <w:top w:val="nil"/>
              <w:bottom w:val="single" w:sz="6" w:space="0" w:color="auto"/>
            </w:tcBorders>
          </w:tcPr>
          <w:p w14:paraId="461A16B7" w14:textId="77777777" w:rsidR="00F42DB7" w:rsidRPr="008F03E5" w:rsidRDefault="00F42DB7" w:rsidP="007176EE">
            <w:pPr>
              <w:rPr>
                <w:sz w:val="18"/>
                <w:szCs w:val="18"/>
              </w:rPr>
            </w:pPr>
            <w:r w:rsidRPr="008F03E5">
              <w:rPr>
                <w:sz w:val="18"/>
                <w:szCs w:val="18"/>
              </w:rPr>
              <w:t>Single</w:t>
            </w:r>
          </w:p>
        </w:tc>
        <w:tc>
          <w:tcPr>
            <w:tcW w:w="1247" w:type="dxa"/>
            <w:tcBorders>
              <w:top w:val="nil"/>
              <w:bottom w:val="single" w:sz="6" w:space="0" w:color="auto"/>
            </w:tcBorders>
          </w:tcPr>
          <w:p w14:paraId="71E63A47" w14:textId="77777777" w:rsidR="00F42DB7" w:rsidRPr="008F03E5" w:rsidRDefault="00F42DB7" w:rsidP="007176EE">
            <w:pPr>
              <w:rPr>
                <w:sz w:val="18"/>
                <w:szCs w:val="18"/>
                <w14:numSpacing w14:val="tabular"/>
              </w:rPr>
            </w:pPr>
            <w:r w:rsidRPr="008F03E5">
              <w:rPr>
                <w:sz w:val="18"/>
                <w:szCs w:val="18"/>
                <w14:numSpacing w14:val="tabular"/>
              </w:rPr>
              <w:t>19.  Wáḥíd</w:t>
            </w:r>
          </w:p>
        </w:tc>
        <w:tc>
          <w:tcPr>
            <w:tcW w:w="1361" w:type="dxa"/>
            <w:tcBorders>
              <w:top w:val="nil"/>
              <w:bottom w:val="single" w:sz="6" w:space="0" w:color="auto"/>
              <w:right w:val="single" w:sz="6" w:space="0" w:color="auto"/>
            </w:tcBorders>
          </w:tcPr>
          <w:p w14:paraId="2856A0CB" w14:textId="77777777" w:rsidR="00F42DB7" w:rsidRPr="008F03E5" w:rsidRDefault="00F42DB7" w:rsidP="007176EE">
            <w:pPr>
              <w:rPr>
                <w:sz w:val="18"/>
                <w:szCs w:val="18"/>
              </w:rPr>
            </w:pPr>
            <w:r w:rsidRPr="008F03E5">
              <w:rPr>
                <w:sz w:val="18"/>
                <w:szCs w:val="18"/>
              </w:rPr>
              <w:t>Unity</w:t>
            </w:r>
          </w:p>
        </w:tc>
      </w:tr>
      <w:tr w:rsidR="00F42DB7" w:rsidRPr="008F03E5" w14:paraId="2E175903" w14:textId="77777777" w:rsidTr="007176EE">
        <w:trPr>
          <w:jc w:val="center"/>
        </w:trPr>
        <w:tc>
          <w:tcPr>
            <w:tcW w:w="964" w:type="dxa"/>
            <w:tcBorders>
              <w:top w:val="nil"/>
              <w:left w:val="single" w:sz="6" w:space="0" w:color="auto"/>
              <w:bottom w:val="single" w:sz="6" w:space="0" w:color="auto"/>
            </w:tcBorders>
          </w:tcPr>
          <w:p w14:paraId="62B0A607" w14:textId="77777777" w:rsidR="00F42DB7" w:rsidRPr="008F03E5" w:rsidRDefault="00F42DB7" w:rsidP="007176EE">
            <w:pPr>
              <w:rPr>
                <w:sz w:val="18"/>
                <w:szCs w:val="18"/>
                <w14:numSpacing w14:val="tabular"/>
              </w:rPr>
            </w:pPr>
            <w:r w:rsidRPr="008F03E5">
              <w:rPr>
                <w:sz w:val="18"/>
                <w:szCs w:val="18"/>
                <w14:numSpacing w14:val="tabular"/>
              </w:rPr>
              <w:t>7.  Abad</w:t>
            </w:r>
          </w:p>
        </w:tc>
        <w:tc>
          <w:tcPr>
            <w:tcW w:w="907" w:type="dxa"/>
            <w:tcBorders>
              <w:top w:val="nil"/>
              <w:bottom w:val="single" w:sz="6" w:space="0" w:color="auto"/>
              <w:right w:val="single" w:sz="6" w:space="0" w:color="auto"/>
            </w:tcBorders>
          </w:tcPr>
          <w:p w14:paraId="2DDE5833" w14:textId="77777777" w:rsidR="00F42DB7" w:rsidRPr="008F03E5" w:rsidRDefault="00F42DB7" w:rsidP="007176EE">
            <w:pPr>
              <w:rPr>
                <w:sz w:val="18"/>
                <w:szCs w:val="18"/>
                <w14:numSpacing w14:val="tabular"/>
              </w:rPr>
            </w:pPr>
            <w:r w:rsidRPr="008F03E5">
              <w:rPr>
                <w:sz w:val="18"/>
                <w:szCs w:val="18"/>
                <w14:numSpacing w14:val="tabular"/>
              </w:rPr>
              <w:t>Eternity</w:t>
            </w:r>
          </w:p>
        </w:tc>
        <w:tc>
          <w:tcPr>
            <w:tcW w:w="1134" w:type="dxa"/>
            <w:tcBorders>
              <w:top w:val="single" w:sz="6" w:space="0" w:color="auto"/>
              <w:left w:val="single" w:sz="6" w:space="0" w:color="auto"/>
              <w:bottom w:val="nil"/>
              <w:right w:val="nil"/>
            </w:tcBorders>
          </w:tcPr>
          <w:p w14:paraId="45EA6775" w14:textId="77777777" w:rsidR="00F42DB7" w:rsidRPr="008F03E5" w:rsidRDefault="00F42DB7" w:rsidP="007176EE">
            <w:pPr>
              <w:rPr>
                <w:sz w:val="18"/>
                <w:szCs w:val="18"/>
                <w14:numSpacing w14:val="tabular"/>
              </w:rPr>
            </w:pPr>
          </w:p>
        </w:tc>
        <w:tc>
          <w:tcPr>
            <w:tcW w:w="1134" w:type="dxa"/>
            <w:tcBorders>
              <w:top w:val="single" w:sz="6" w:space="0" w:color="auto"/>
              <w:left w:val="nil"/>
              <w:bottom w:val="nil"/>
              <w:right w:val="nil"/>
            </w:tcBorders>
          </w:tcPr>
          <w:p w14:paraId="4C8FBF8E" w14:textId="77777777" w:rsidR="00F42DB7" w:rsidRPr="008F03E5" w:rsidRDefault="00F42DB7" w:rsidP="007176EE">
            <w:pPr>
              <w:rPr>
                <w:sz w:val="18"/>
                <w:szCs w:val="18"/>
              </w:rPr>
            </w:pPr>
          </w:p>
        </w:tc>
        <w:tc>
          <w:tcPr>
            <w:tcW w:w="1247" w:type="dxa"/>
            <w:tcBorders>
              <w:top w:val="single" w:sz="6" w:space="0" w:color="auto"/>
              <w:left w:val="nil"/>
              <w:bottom w:val="nil"/>
              <w:right w:val="nil"/>
            </w:tcBorders>
          </w:tcPr>
          <w:p w14:paraId="41B49270" w14:textId="77777777" w:rsidR="00F42DB7" w:rsidRPr="008F03E5" w:rsidRDefault="00F42DB7" w:rsidP="007176EE">
            <w:pPr>
              <w:rPr>
                <w:sz w:val="18"/>
                <w:szCs w:val="18"/>
              </w:rPr>
            </w:pPr>
          </w:p>
        </w:tc>
        <w:tc>
          <w:tcPr>
            <w:tcW w:w="1361" w:type="dxa"/>
            <w:tcBorders>
              <w:top w:val="single" w:sz="6" w:space="0" w:color="auto"/>
              <w:left w:val="nil"/>
              <w:bottom w:val="nil"/>
              <w:right w:val="nil"/>
            </w:tcBorders>
          </w:tcPr>
          <w:p w14:paraId="4762A316" w14:textId="77777777" w:rsidR="00F42DB7" w:rsidRPr="008F03E5" w:rsidRDefault="00F42DB7" w:rsidP="007176EE">
            <w:pPr>
              <w:rPr>
                <w:sz w:val="18"/>
                <w:szCs w:val="18"/>
              </w:rPr>
            </w:pPr>
          </w:p>
        </w:tc>
      </w:tr>
    </w:tbl>
    <w:p w14:paraId="0C96D2B9" w14:textId="4B2028B0" w:rsidR="00E20EB1" w:rsidRPr="00E20EB1" w:rsidRDefault="00E20EB1" w:rsidP="00417520">
      <w:pPr>
        <w:pStyle w:val="Myhead3"/>
        <w:spacing w:after="120"/>
      </w:pPr>
      <w:r w:rsidRPr="008F03E5">
        <w:t>Gregorian</w:t>
      </w:r>
      <w:r w:rsidR="00BB58C6" w:rsidRPr="00BB58C6">
        <w:rPr>
          <w:b w:val="0"/>
          <w:i w:val="0"/>
          <w:iCs/>
          <w:sz w:val="12"/>
        </w:rPr>
        <w:fldChar w:fldCharType="begin"/>
      </w:r>
      <w:r w:rsidR="00BB58C6" w:rsidRPr="00BB58C6">
        <w:rPr>
          <w:b w:val="0"/>
          <w:i w:val="0"/>
          <w:iCs/>
          <w:sz w:val="12"/>
        </w:rPr>
        <w:instrText xml:space="preserve"> TC “</w:instrText>
      </w:r>
      <w:bookmarkStart w:id="214" w:name="_Toc149476393"/>
      <w:bookmarkStart w:id="215" w:name="_Toc167691895"/>
      <w:r w:rsidR="00BB58C6" w:rsidRPr="00074EB6">
        <w:rPr>
          <w:b w:val="0"/>
          <w:sz w:val="12"/>
        </w:rPr>
        <w:instrText>Gregorian</w:instrText>
      </w:r>
      <w:r w:rsidR="00BB58C6" w:rsidRPr="00074EB6">
        <w:rPr>
          <w:b w:val="0"/>
          <w:color w:val="FFFFFF" w:themeColor="background1"/>
          <w:sz w:val="12"/>
        </w:rPr>
        <w:instrText>..</w:instrText>
      </w:r>
      <w:r w:rsidR="00BB58C6" w:rsidRPr="00074EB6">
        <w:rPr>
          <w:b w:val="0"/>
          <w:sz w:val="12"/>
        </w:rPr>
        <w:tab/>
      </w:r>
      <w:r w:rsidR="00BB58C6" w:rsidRPr="00074EB6">
        <w:rPr>
          <w:b w:val="0"/>
          <w:color w:val="FFFFFF" w:themeColor="background1"/>
          <w:sz w:val="12"/>
        </w:rPr>
        <w:instrText>.</w:instrText>
      </w:r>
      <w:bookmarkEnd w:id="214"/>
      <w:bookmarkEnd w:id="215"/>
      <w:r w:rsidR="00BB58C6" w:rsidRPr="00BB58C6">
        <w:rPr>
          <w:b w:val="0"/>
          <w:i w:val="0"/>
          <w:iCs/>
          <w:sz w:val="12"/>
        </w:rPr>
        <w:instrText>” \l 2</w:instrText>
      </w:r>
      <w:r w:rsidR="00BB58C6" w:rsidRPr="00BB58C6">
        <w:rPr>
          <w:b w:val="0"/>
          <w:i w:val="0"/>
          <w:iCs/>
          <w:sz w:val="12"/>
        </w:rPr>
        <w:fldChar w:fldCharType="end"/>
      </w:r>
    </w:p>
    <w:tbl>
      <w:tblPr>
        <w:tblStyle w:val="TableGrid"/>
        <w:tblW w:w="0" w:type="auto"/>
        <w:jc w:val="center"/>
        <w:tblLook w:val="04A0" w:firstRow="1" w:lastRow="0" w:firstColumn="1" w:lastColumn="0" w:noHBand="0" w:noVBand="1"/>
      </w:tblPr>
      <w:tblGrid>
        <w:gridCol w:w="1247"/>
        <w:gridCol w:w="1644"/>
        <w:gridCol w:w="1531"/>
      </w:tblGrid>
      <w:tr w:rsidR="00E20EB1" w:rsidRPr="008F03E5" w14:paraId="485D5203" w14:textId="77777777" w:rsidTr="00E20EB1">
        <w:trPr>
          <w:jc w:val="center"/>
        </w:trPr>
        <w:tc>
          <w:tcPr>
            <w:tcW w:w="1247" w:type="dxa"/>
          </w:tcPr>
          <w:p w14:paraId="111EC167" w14:textId="77777777" w:rsidR="00E20EB1" w:rsidRPr="008F03E5" w:rsidRDefault="00E20EB1" w:rsidP="00E20EB1">
            <w:pPr>
              <w:keepNext/>
              <w:jc w:val="center"/>
              <w:rPr>
                <w:b/>
                <w:bCs/>
                <w:sz w:val="18"/>
                <w:szCs w:val="18"/>
              </w:rPr>
            </w:pPr>
            <w:r w:rsidRPr="008F03E5">
              <w:rPr>
                <w:b/>
                <w:bCs/>
                <w:sz w:val="18"/>
                <w:szCs w:val="18"/>
              </w:rPr>
              <w:t>English</w:t>
            </w:r>
          </w:p>
        </w:tc>
        <w:tc>
          <w:tcPr>
            <w:tcW w:w="1644" w:type="dxa"/>
          </w:tcPr>
          <w:p w14:paraId="63EE36C0" w14:textId="77777777" w:rsidR="00E20EB1" w:rsidRPr="008F03E5" w:rsidRDefault="00E20EB1" w:rsidP="00E20EB1">
            <w:pPr>
              <w:keepNext/>
              <w:jc w:val="center"/>
              <w:rPr>
                <w:b/>
                <w:bCs/>
                <w:sz w:val="18"/>
                <w:szCs w:val="18"/>
              </w:rPr>
            </w:pPr>
            <w:r w:rsidRPr="008F03E5">
              <w:rPr>
                <w:b/>
                <w:bCs/>
                <w:sz w:val="18"/>
                <w:szCs w:val="18"/>
              </w:rPr>
              <w:t>Arabic</w:t>
            </w:r>
          </w:p>
        </w:tc>
        <w:tc>
          <w:tcPr>
            <w:tcW w:w="1531" w:type="dxa"/>
          </w:tcPr>
          <w:p w14:paraId="44B755A4" w14:textId="77777777" w:rsidR="00E20EB1" w:rsidRPr="008F03E5" w:rsidRDefault="00E20EB1" w:rsidP="00E20EB1">
            <w:pPr>
              <w:keepNext/>
              <w:jc w:val="center"/>
              <w:rPr>
                <w:b/>
                <w:bCs/>
                <w:sz w:val="18"/>
                <w:szCs w:val="18"/>
              </w:rPr>
            </w:pPr>
            <w:r w:rsidRPr="008F03E5">
              <w:rPr>
                <w:b/>
                <w:bCs/>
                <w:sz w:val="18"/>
                <w:szCs w:val="18"/>
              </w:rPr>
              <w:t>Persian</w:t>
            </w:r>
          </w:p>
        </w:tc>
      </w:tr>
      <w:tr w:rsidR="00E20EB1" w:rsidRPr="008F03E5" w14:paraId="0816C2C5" w14:textId="77777777" w:rsidTr="00E20EB1">
        <w:trPr>
          <w:jc w:val="center"/>
        </w:trPr>
        <w:tc>
          <w:tcPr>
            <w:tcW w:w="1247" w:type="dxa"/>
            <w:tcBorders>
              <w:bottom w:val="nil"/>
            </w:tcBorders>
          </w:tcPr>
          <w:p w14:paraId="3F202A56" w14:textId="77777777" w:rsidR="00E20EB1" w:rsidRPr="008F03E5" w:rsidRDefault="00E20EB1" w:rsidP="00E20EB1">
            <w:pPr>
              <w:rPr>
                <w:sz w:val="18"/>
                <w:szCs w:val="18"/>
              </w:rPr>
            </w:pPr>
            <w:r w:rsidRPr="008F03E5">
              <w:rPr>
                <w:sz w:val="18"/>
                <w:szCs w:val="18"/>
              </w:rPr>
              <w:t>Sunday</w:t>
            </w:r>
          </w:p>
        </w:tc>
        <w:tc>
          <w:tcPr>
            <w:tcW w:w="1644" w:type="dxa"/>
            <w:tcBorders>
              <w:bottom w:val="nil"/>
            </w:tcBorders>
          </w:tcPr>
          <w:p w14:paraId="5004F8A3" w14:textId="77777777" w:rsidR="00E20EB1" w:rsidRPr="008F03E5" w:rsidRDefault="00E20EB1" w:rsidP="00E20EB1">
            <w:pPr>
              <w:rPr>
                <w:sz w:val="18"/>
                <w:szCs w:val="18"/>
              </w:rPr>
            </w:pPr>
            <w:r w:rsidRPr="008F03E5">
              <w:rPr>
                <w:sz w:val="18"/>
                <w:szCs w:val="18"/>
              </w:rPr>
              <w:t>yawm al-aḥad</w:t>
            </w:r>
          </w:p>
        </w:tc>
        <w:tc>
          <w:tcPr>
            <w:tcW w:w="1531" w:type="dxa"/>
            <w:tcBorders>
              <w:bottom w:val="nil"/>
            </w:tcBorders>
          </w:tcPr>
          <w:p w14:paraId="69C3656C" w14:textId="77777777" w:rsidR="00E20EB1" w:rsidRPr="008F03E5" w:rsidRDefault="00E20EB1" w:rsidP="00E20EB1">
            <w:pPr>
              <w:rPr>
                <w:sz w:val="18"/>
                <w:szCs w:val="18"/>
              </w:rPr>
            </w:pPr>
            <w:r w:rsidRPr="008F03E5">
              <w:rPr>
                <w:rFonts w:eastAsia="Times New Roman"/>
                <w:sz w:val="18"/>
                <w:szCs w:val="18"/>
              </w:rPr>
              <w:t>yak-</w:t>
            </w:r>
            <w:r w:rsidRPr="008F03E5">
              <w:rPr>
                <w:rFonts w:eastAsia="Times New Roman"/>
                <w:sz w:val="18"/>
                <w:szCs w:val="18"/>
                <w:u w:val="single"/>
              </w:rPr>
              <w:t>sh</w:t>
            </w:r>
            <w:r w:rsidRPr="008F03E5">
              <w:rPr>
                <w:rFonts w:eastAsia="Times New Roman"/>
                <w:sz w:val="18"/>
                <w:szCs w:val="18"/>
              </w:rPr>
              <w:t>anbih</w:t>
            </w:r>
          </w:p>
        </w:tc>
      </w:tr>
      <w:tr w:rsidR="00E20EB1" w:rsidRPr="008F03E5" w14:paraId="748453E1" w14:textId="77777777" w:rsidTr="00E20EB1">
        <w:trPr>
          <w:jc w:val="center"/>
        </w:trPr>
        <w:tc>
          <w:tcPr>
            <w:tcW w:w="1247" w:type="dxa"/>
            <w:tcBorders>
              <w:top w:val="nil"/>
              <w:bottom w:val="nil"/>
            </w:tcBorders>
          </w:tcPr>
          <w:p w14:paraId="6C3AAD92" w14:textId="77777777" w:rsidR="00E20EB1" w:rsidRPr="008F03E5" w:rsidRDefault="00E20EB1" w:rsidP="00E20EB1">
            <w:pPr>
              <w:rPr>
                <w:sz w:val="18"/>
                <w:szCs w:val="18"/>
              </w:rPr>
            </w:pPr>
            <w:r w:rsidRPr="008F03E5">
              <w:rPr>
                <w:sz w:val="18"/>
                <w:szCs w:val="18"/>
              </w:rPr>
              <w:t>Monday</w:t>
            </w:r>
          </w:p>
        </w:tc>
        <w:tc>
          <w:tcPr>
            <w:tcW w:w="1644" w:type="dxa"/>
            <w:tcBorders>
              <w:top w:val="nil"/>
              <w:bottom w:val="nil"/>
            </w:tcBorders>
          </w:tcPr>
          <w:p w14:paraId="2221A81C" w14:textId="77777777" w:rsidR="00E20EB1" w:rsidRPr="008F03E5" w:rsidRDefault="00E20EB1" w:rsidP="00E20EB1">
            <w:pPr>
              <w:keepNext/>
              <w:keepLines/>
              <w:rPr>
                <w:sz w:val="18"/>
                <w:szCs w:val="18"/>
              </w:rPr>
            </w:pPr>
            <w:r w:rsidRPr="008F03E5">
              <w:rPr>
                <w:sz w:val="18"/>
                <w:szCs w:val="18"/>
              </w:rPr>
              <w:t>yawm al-i</w:t>
            </w:r>
            <w:r w:rsidRPr="008F03E5">
              <w:rPr>
                <w:sz w:val="18"/>
                <w:szCs w:val="18"/>
                <w:u w:val="single"/>
              </w:rPr>
              <w:t>th</w:t>
            </w:r>
            <w:r w:rsidRPr="008F03E5">
              <w:rPr>
                <w:sz w:val="18"/>
                <w:szCs w:val="18"/>
              </w:rPr>
              <w:t>nayn</w:t>
            </w:r>
          </w:p>
        </w:tc>
        <w:tc>
          <w:tcPr>
            <w:tcW w:w="1531" w:type="dxa"/>
            <w:tcBorders>
              <w:top w:val="nil"/>
              <w:bottom w:val="nil"/>
            </w:tcBorders>
          </w:tcPr>
          <w:p w14:paraId="003B0D92" w14:textId="77777777" w:rsidR="00E20EB1" w:rsidRPr="008F03E5" w:rsidRDefault="00E20EB1" w:rsidP="00E20EB1">
            <w:pPr>
              <w:keepNext/>
              <w:keepLines/>
              <w:rPr>
                <w:sz w:val="18"/>
                <w:szCs w:val="18"/>
              </w:rPr>
            </w:pPr>
            <w:r w:rsidRPr="008F03E5">
              <w:rPr>
                <w:rFonts w:eastAsia="Times New Roman"/>
                <w:sz w:val="18"/>
                <w:szCs w:val="18"/>
              </w:rPr>
              <w:t>dú</w:t>
            </w:r>
            <w:r w:rsidRPr="008F03E5">
              <w:rPr>
                <w:rFonts w:eastAsia="Times New Roman"/>
                <w:sz w:val="18"/>
                <w:szCs w:val="18"/>
                <w:u w:val="single"/>
              </w:rPr>
              <w:t>sh</w:t>
            </w:r>
            <w:r w:rsidRPr="008F03E5">
              <w:rPr>
                <w:rFonts w:eastAsia="Times New Roman"/>
                <w:sz w:val="18"/>
                <w:szCs w:val="18"/>
              </w:rPr>
              <w:t>anbih</w:t>
            </w:r>
          </w:p>
        </w:tc>
      </w:tr>
      <w:tr w:rsidR="00E20EB1" w:rsidRPr="008F03E5" w14:paraId="47F836F2" w14:textId="77777777" w:rsidTr="00E20EB1">
        <w:trPr>
          <w:jc w:val="center"/>
        </w:trPr>
        <w:tc>
          <w:tcPr>
            <w:tcW w:w="1247" w:type="dxa"/>
            <w:tcBorders>
              <w:top w:val="nil"/>
              <w:bottom w:val="nil"/>
            </w:tcBorders>
          </w:tcPr>
          <w:p w14:paraId="1392E7A3" w14:textId="77777777" w:rsidR="00E20EB1" w:rsidRPr="008F03E5" w:rsidRDefault="00E20EB1" w:rsidP="00E20EB1">
            <w:pPr>
              <w:rPr>
                <w:sz w:val="18"/>
                <w:szCs w:val="18"/>
              </w:rPr>
            </w:pPr>
            <w:r w:rsidRPr="008F03E5">
              <w:rPr>
                <w:sz w:val="18"/>
                <w:szCs w:val="18"/>
              </w:rPr>
              <w:t>Tuesday</w:t>
            </w:r>
          </w:p>
        </w:tc>
        <w:tc>
          <w:tcPr>
            <w:tcW w:w="1644" w:type="dxa"/>
            <w:tcBorders>
              <w:top w:val="nil"/>
              <w:bottom w:val="nil"/>
            </w:tcBorders>
          </w:tcPr>
          <w:p w14:paraId="05CD1489" w14:textId="77777777" w:rsidR="00E20EB1" w:rsidRPr="008F03E5" w:rsidRDefault="00E20EB1" w:rsidP="00E20EB1">
            <w:pPr>
              <w:keepNext/>
              <w:keepLines/>
              <w:rPr>
                <w:sz w:val="18"/>
                <w:szCs w:val="18"/>
              </w:rPr>
            </w:pPr>
            <w:r w:rsidRPr="008F03E5">
              <w:rPr>
                <w:sz w:val="18"/>
                <w:szCs w:val="18"/>
              </w:rPr>
              <w:t>yawm a</w:t>
            </w:r>
            <w:r w:rsidRPr="008F03E5">
              <w:rPr>
                <w:sz w:val="18"/>
                <w:szCs w:val="18"/>
                <w:u w:val="single"/>
              </w:rPr>
              <w:t>th</w:t>
            </w:r>
            <w:r w:rsidRPr="008F03E5">
              <w:rPr>
                <w:sz w:val="18"/>
                <w:szCs w:val="18"/>
              </w:rPr>
              <w:t>-</w:t>
            </w:r>
            <w:r w:rsidRPr="008F03E5">
              <w:rPr>
                <w:sz w:val="18"/>
                <w:szCs w:val="18"/>
                <w:u w:val="single"/>
              </w:rPr>
              <w:t>th</w:t>
            </w:r>
            <w:r w:rsidRPr="008F03E5">
              <w:rPr>
                <w:sz w:val="18"/>
                <w:szCs w:val="18"/>
              </w:rPr>
              <w:t>alátá’</w:t>
            </w:r>
          </w:p>
        </w:tc>
        <w:tc>
          <w:tcPr>
            <w:tcW w:w="1531" w:type="dxa"/>
            <w:tcBorders>
              <w:top w:val="nil"/>
              <w:bottom w:val="nil"/>
            </w:tcBorders>
          </w:tcPr>
          <w:p w14:paraId="279987B7" w14:textId="77777777" w:rsidR="00E20EB1" w:rsidRPr="008F03E5" w:rsidRDefault="00E20EB1" w:rsidP="00E20EB1">
            <w:pPr>
              <w:keepNext/>
              <w:keepLines/>
              <w:rPr>
                <w:sz w:val="18"/>
                <w:szCs w:val="18"/>
              </w:rPr>
            </w:pPr>
            <w:r w:rsidRPr="008F03E5">
              <w:rPr>
                <w:rFonts w:eastAsia="Times New Roman"/>
                <w:sz w:val="18"/>
                <w:szCs w:val="18"/>
                <w:lang w:eastAsia="en-AU"/>
                <w14:numForm w14:val="default"/>
                <w14:numSpacing w14:val="default"/>
              </w:rPr>
              <w:t>sih-</w:t>
            </w:r>
            <w:r w:rsidRPr="008F03E5">
              <w:rPr>
                <w:rFonts w:eastAsia="Times New Roman"/>
                <w:sz w:val="18"/>
                <w:szCs w:val="18"/>
                <w:u w:val="single"/>
                <w:lang w:eastAsia="en-AU"/>
                <w14:numForm w14:val="default"/>
                <w14:numSpacing w14:val="default"/>
              </w:rPr>
              <w:t>sh</w:t>
            </w:r>
            <w:r w:rsidRPr="008F03E5">
              <w:rPr>
                <w:rFonts w:eastAsia="Times New Roman"/>
                <w:sz w:val="18"/>
                <w:szCs w:val="18"/>
                <w:lang w:eastAsia="en-AU"/>
                <w14:numForm w14:val="default"/>
                <w14:numSpacing w14:val="default"/>
              </w:rPr>
              <w:t>anbih</w:t>
            </w:r>
          </w:p>
        </w:tc>
      </w:tr>
      <w:tr w:rsidR="00E20EB1" w:rsidRPr="008F03E5" w14:paraId="30DE8EC2" w14:textId="77777777" w:rsidTr="00E20EB1">
        <w:trPr>
          <w:jc w:val="center"/>
        </w:trPr>
        <w:tc>
          <w:tcPr>
            <w:tcW w:w="1247" w:type="dxa"/>
            <w:tcBorders>
              <w:top w:val="nil"/>
              <w:bottom w:val="nil"/>
            </w:tcBorders>
          </w:tcPr>
          <w:p w14:paraId="1860B5FD" w14:textId="77777777" w:rsidR="00E20EB1" w:rsidRPr="008F03E5" w:rsidRDefault="00E20EB1" w:rsidP="00E20EB1">
            <w:pPr>
              <w:rPr>
                <w:sz w:val="18"/>
                <w:szCs w:val="18"/>
              </w:rPr>
            </w:pPr>
            <w:r w:rsidRPr="008F03E5">
              <w:rPr>
                <w:sz w:val="18"/>
                <w:szCs w:val="18"/>
              </w:rPr>
              <w:t>Wednesday</w:t>
            </w:r>
          </w:p>
        </w:tc>
        <w:tc>
          <w:tcPr>
            <w:tcW w:w="1644" w:type="dxa"/>
            <w:tcBorders>
              <w:top w:val="nil"/>
              <w:bottom w:val="nil"/>
            </w:tcBorders>
          </w:tcPr>
          <w:p w14:paraId="513256BE" w14:textId="77777777" w:rsidR="00E20EB1" w:rsidRPr="008F03E5" w:rsidRDefault="00E20EB1" w:rsidP="00E20EB1">
            <w:pPr>
              <w:rPr>
                <w:sz w:val="18"/>
                <w:szCs w:val="18"/>
              </w:rPr>
            </w:pPr>
            <w:r w:rsidRPr="008F03E5">
              <w:rPr>
                <w:sz w:val="18"/>
                <w:szCs w:val="18"/>
              </w:rPr>
              <w:t>yawm al-arbi‘á’</w:t>
            </w:r>
          </w:p>
        </w:tc>
        <w:tc>
          <w:tcPr>
            <w:tcW w:w="1531" w:type="dxa"/>
            <w:tcBorders>
              <w:top w:val="nil"/>
              <w:bottom w:val="nil"/>
            </w:tcBorders>
          </w:tcPr>
          <w:p w14:paraId="13369AD5" w14:textId="77777777" w:rsidR="00E20EB1" w:rsidRPr="008F03E5" w:rsidRDefault="00E20EB1" w:rsidP="00E20EB1">
            <w:pPr>
              <w:rPr>
                <w:sz w:val="18"/>
                <w:szCs w:val="18"/>
              </w:rPr>
            </w:pPr>
            <w:r w:rsidRPr="008F03E5">
              <w:rPr>
                <w:rFonts w:eastAsia="Times New Roman"/>
                <w:sz w:val="18"/>
                <w:szCs w:val="18"/>
                <w:u w:val="single"/>
              </w:rPr>
              <w:t>ch</w:t>
            </w:r>
            <w:r w:rsidRPr="008F03E5">
              <w:rPr>
                <w:rFonts w:eastAsia="Times New Roman"/>
                <w:sz w:val="18"/>
                <w:szCs w:val="18"/>
              </w:rPr>
              <w:t>ahár</w:t>
            </w:r>
            <w:r w:rsidRPr="008F03E5">
              <w:rPr>
                <w:rFonts w:eastAsia="Times New Roman"/>
                <w:sz w:val="18"/>
                <w:szCs w:val="18"/>
                <w:lang w:eastAsia="en-AU"/>
                <w14:numForm w14:val="default"/>
                <w14:numSpacing w14:val="default"/>
              </w:rPr>
              <w:t>-</w:t>
            </w:r>
            <w:r w:rsidRPr="008F03E5">
              <w:rPr>
                <w:rFonts w:eastAsia="Times New Roman"/>
                <w:sz w:val="18"/>
                <w:szCs w:val="18"/>
                <w:u w:val="single"/>
                <w:lang w:eastAsia="en-AU"/>
                <w14:numForm w14:val="default"/>
                <w14:numSpacing w14:val="default"/>
              </w:rPr>
              <w:t>sh</w:t>
            </w:r>
            <w:r w:rsidRPr="008F03E5">
              <w:rPr>
                <w:rFonts w:eastAsia="Times New Roman"/>
                <w:sz w:val="18"/>
                <w:szCs w:val="18"/>
                <w:lang w:eastAsia="en-AU"/>
                <w14:numForm w14:val="default"/>
                <w14:numSpacing w14:val="default"/>
              </w:rPr>
              <w:t>anbih</w:t>
            </w:r>
          </w:p>
        </w:tc>
      </w:tr>
      <w:tr w:rsidR="00E20EB1" w:rsidRPr="008F03E5" w14:paraId="69992028" w14:textId="77777777" w:rsidTr="00E20EB1">
        <w:trPr>
          <w:jc w:val="center"/>
        </w:trPr>
        <w:tc>
          <w:tcPr>
            <w:tcW w:w="1247" w:type="dxa"/>
            <w:tcBorders>
              <w:top w:val="nil"/>
              <w:bottom w:val="nil"/>
            </w:tcBorders>
          </w:tcPr>
          <w:p w14:paraId="651776DA" w14:textId="77777777" w:rsidR="00E20EB1" w:rsidRPr="008F03E5" w:rsidRDefault="00E20EB1" w:rsidP="00E20EB1">
            <w:pPr>
              <w:rPr>
                <w:sz w:val="18"/>
                <w:szCs w:val="18"/>
              </w:rPr>
            </w:pPr>
            <w:r w:rsidRPr="008F03E5">
              <w:rPr>
                <w:sz w:val="18"/>
                <w:szCs w:val="18"/>
              </w:rPr>
              <w:t>Thursday</w:t>
            </w:r>
          </w:p>
        </w:tc>
        <w:tc>
          <w:tcPr>
            <w:tcW w:w="1644" w:type="dxa"/>
            <w:tcBorders>
              <w:top w:val="nil"/>
              <w:bottom w:val="nil"/>
            </w:tcBorders>
          </w:tcPr>
          <w:p w14:paraId="503762E2" w14:textId="77777777" w:rsidR="00E20EB1" w:rsidRPr="008F03E5" w:rsidRDefault="00E20EB1" w:rsidP="00E20EB1">
            <w:pPr>
              <w:keepNext/>
              <w:keepLines/>
              <w:rPr>
                <w:sz w:val="18"/>
                <w:szCs w:val="18"/>
              </w:rPr>
            </w:pPr>
            <w:r w:rsidRPr="008F03E5">
              <w:rPr>
                <w:sz w:val="18"/>
                <w:szCs w:val="18"/>
              </w:rPr>
              <w:t>yawm al-</w:t>
            </w:r>
            <w:r w:rsidRPr="008F03E5">
              <w:rPr>
                <w:sz w:val="18"/>
                <w:szCs w:val="18"/>
                <w:u w:val="single"/>
              </w:rPr>
              <w:t>kh</w:t>
            </w:r>
            <w:r w:rsidRPr="008F03E5">
              <w:rPr>
                <w:sz w:val="18"/>
                <w:szCs w:val="18"/>
              </w:rPr>
              <w:t>amís</w:t>
            </w:r>
          </w:p>
        </w:tc>
        <w:tc>
          <w:tcPr>
            <w:tcW w:w="1531" w:type="dxa"/>
            <w:tcBorders>
              <w:top w:val="nil"/>
              <w:bottom w:val="nil"/>
            </w:tcBorders>
          </w:tcPr>
          <w:p w14:paraId="77D96232" w14:textId="77777777" w:rsidR="00E20EB1" w:rsidRPr="008F03E5" w:rsidRDefault="00E20EB1" w:rsidP="00E20EB1">
            <w:pPr>
              <w:keepNext/>
              <w:keepLines/>
              <w:rPr>
                <w:sz w:val="18"/>
                <w:szCs w:val="18"/>
              </w:rPr>
            </w:pPr>
            <w:r w:rsidRPr="008F03E5">
              <w:rPr>
                <w:rFonts w:eastAsia="Times New Roman"/>
                <w:sz w:val="18"/>
                <w:szCs w:val="18"/>
                <w:lang w:eastAsia="en-AU"/>
                <w14:numForm w14:val="default"/>
                <w14:numSpacing w14:val="default"/>
              </w:rPr>
              <w:t>panj-</w:t>
            </w:r>
            <w:r w:rsidRPr="008F03E5">
              <w:rPr>
                <w:rFonts w:eastAsia="Times New Roman"/>
                <w:sz w:val="18"/>
                <w:szCs w:val="18"/>
                <w:u w:val="single"/>
                <w:lang w:eastAsia="en-AU"/>
                <w14:numForm w14:val="default"/>
                <w14:numSpacing w14:val="default"/>
              </w:rPr>
              <w:t>sh</w:t>
            </w:r>
            <w:r w:rsidRPr="008F03E5">
              <w:rPr>
                <w:rFonts w:eastAsia="Times New Roman"/>
                <w:sz w:val="18"/>
                <w:szCs w:val="18"/>
                <w:lang w:eastAsia="en-AU"/>
                <w14:numForm w14:val="default"/>
                <w14:numSpacing w14:val="default"/>
              </w:rPr>
              <w:t>anbih</w:t>
            </w:r>
          </w:p>
        </w:tc>
      </w:tr>
      <w:tr w:rsidR="00E20EB1" w:rsidRPr="008F03E5" w14:paraId="2E82D405" w14:textId="77777777" w:rsidTr="00E20EB1">
        <w:trPr>
          <w:jc w:val="center"/>
        </w:trPr>
        <w:tc>
          <w:tcPr>
            <w:tcW w:w="1247" w:type="dxa"/>
            <w:tcBorders>
              <w:top w:val="nil"/>
              <w:bottom w:val="nil"/>
            </w:tcBorders>
          </w:tcPr>
          <w:p w14:paraId="32739272" w14:textId="77777777" w:rsidR="00E20EB1" w:rsidRPr="008F03E5" w:rsidRDefault="00E20EB1" w:rsidP="00E20EB1">
            <w:pPr>
              <w:rPr>
                <w:sz w:val="18"/>
                <w:szCs w:val="18"/>
              </w:rPr>
            </w:pPr>
            <w:r w:rsidRPr="008F03E5">
              <w:rPr>
                <w:sz w:val="18"/>
                <w:szCs w:val="18"/>
              </w:rPr>
              <w:t>Friday</w:t>
            </w:r>
          </w:p>
        </w:tc>
        <w:tc>
          <w:tcPr>
            <w:tcW w:w="1644" w:type="dxa"/>
            <w:tcBorders>
              <w:top w:val="nil"/>
              <w:bottom w:val="nil"/>
            </w:tcBorders>
          </w:tcPr>
          <w:p w14:paraId="16C5F92E" w14:textId="77777777" w:rsidR="00E20EB1" w:rsidRPr="008F03E5" w:rsidRDefault="00E20EB1" w:rsidP="00E20EB1">
            <w:pPr>
              <w:rPr>
                <w:sz w:val="18"/>
                <w:szCs w:val="18"/>
              </w:rPr>
            </w:pPr>
            <w:r w:rsidRPr="008F03E5">
              <w:rPr>
                <w:sz w:val="18"/>
                <w:szCs w:val="18"/>
              </w:rPr>
              <w:t>yawm al-jum‘a</w:t>
            </w:r>
          </w:p>
        </w:tc>
        <w:tc>
          <w:tcPr>
            <w:tcW w:w="1531" w:type="dxa"/>
            <w:tcBorders>
              <w:top w:val="nil"/>
              <w:bottom w:val="nil"/>
            </w:tcBorders>
          </w:tcPr>
          <w:p w14:paraId="43F5246A" w14:textId="77777777" w:rsidR="00E20EB1" w:rsidRPr="008F03E5" w:rsidRDefault="00E20EB1" w:rsidP="00E20EB1">
            <w:pPr>
              <w:rPr>
                <w:sz w:val="18"/>
                <w:szCs w:val="18"/>
              </w:rPr>
            </w:pPr>
            <w:r w:rsidRPr="008F03E5">
              <w:rPr>
                <w:rFonts w:eastAsia="Times New Roman"/>
                <w:sz w:val="18"/>
                <w:szCs w:val="18"/>
              </w:rPr>
              <w:t>jum‘a</w:t>
            </w:r>
          </w:p>
        </w:tc>
      </w:tr>
      <w:tr w:rsidR="00E20EB1" w:rsidRPr="008F03E5" w14:paraId="0F5D6F71" w14:textId="77777777" w:rsidTr="00E20EB1">
        <w:trPr>
          <w:jc w:val="center"/>
        </w:trPr>
        <w:tc>
          <w:tcPr>
            <w:tcW w:w="1247" w:type="dxa"/>
            <w:tcBorders>
              <w:top w:val="nil"/>
            </w:tcBorders>
          </w:tcPr>
          <w:p w14:paraId="6C0C91AA" w14:textId="77777777" w:rsidR="00E20EB1" w:rsidRPr="008F03E5" w:rsidRDefault="00E20EB1" w:rsidP="00E20EB1">
            <w:pPr>
              <w:rPr>
                <w:sz w:val="18"/>
                <w:szCs w:val="18"/>
              </w:rPr>
            </w:pPr>
            <w:r w:rsidRPr="008F03E5">
              <w:rPr>
                <w:sz w:val="18"/>
                <w:szCs w:val="18"/>
              </w:rPr>
              <w:t>Saturday</w:t>
            </w:r>
          </w:p>
        </w:tc>
        <w:tc>
          <w:tcPr>
            <w:tcW w:w="1644" w:type="dxa"/>
            <w:tcBorders>
              <w:top w:val="nil"/>
            </w:tcBorders>
          </w:tcPr>
          <w:p w14:paraId="393D1C65" w14:textId="77777777" w:rsidR="00E20EB1" w:rsidRPr="008F03E5" w:rsidRDefault="00E20EB1" w:rsidP="00E20EB1">
            <w:pPr>
              <w:rPr>
                <w:sz w:val="18"/>
                <w:szCs w:val="18"/>
              </w:rPr>
            </w:pPr>
            <w:r w:rsidRPr="008F03E5">
              <w:rPr>
                <w:sz w:val="18"/>
                <w:szCs w:val="18"/>
              </w:rPr>
              <w:t>yawm as-sabt</w:t>
            </w:r>
          </w:p>
        </w:tc>
        <w:tc>
          <w:tcPr>
            <w:tcW w:w="1531" w:type="dxa"/>
            <w:tcBorders>
              <w:top w:val="nil"/>
            </w:tcBorders>
          </w:tcPr>
          <w:p w14:paraId="78772F45" w14:textId="77777777" w:rsidR="00E20EB1" w:rsidRPr="008F03E5" w:rsidRDefault="00E20EB1" w:rsidP="00E20EB1">
            <w:pPr>
              <w:rPr>
                <w:sz w:val="18"/>
                <w:szCs w:val="18"/>
              </w:rPr>
            </w:pPr>
            <w:r w:rsidRPr="008F03E5">
              <w:rPr>
                <w:rFonts w:eastAsia="Times New Roman"/>
                <w:sz w:val="18"/>
                <w:szCs w:val="18"/>
                <w:u w:val="single"/>
                <w:lang w:eastAsia="en-AU"/>
                <w14:numForm w14:val="default"/>
                <w14:numSpacing w14:val="default"/>
              </w:rPr>
              <w:t>sh</w:t>
            </w:r>
            <w:r w:rsidRPr="008F03E5">
              <w:rPr>
                <w:rFonts w:eastAsia="Times New Roman"/>
                <w:sz w:val="18"/>
                <w:szCs w:val="18"/>
                <w:lang w:eastAsia="en-AU"/>
                <w14:numForm w14:val="default"/>
                <w14:numSpacing w14:val="default"/>
              </w:rPr>
              <w:t>anbih</w:t>
            </w:r>
          </w:p>
        </w:tc>
      </w:tr>
    </w:tbl>
    <w:p w14:paraId="0E8901D1" w14:textId="77777777" w:rsidR="00E20EB1" w:rsidRPr="008F03E5" w:rsidRDefault="00E20EB1" w:rsidP="00E20EB1"/>
    <w:tbl>
      <w:tblPr>
        <w:tblStyle w:val="TableGrid"/>
        <w:tblW w:w="8221" w:type="dxa"/>
        <w:jc w:val="center"/>
        <w:tblLook w:val="04A0" w:firstRow="1" w:lastRow="0" w:firstColumn="1" w:lastColumn="0" w:noHBand="0" w:noVBand="1"/>
      </w:tblPr>
      <w:tblGrid>
        <w:gridCol w:w="964"/>
        <w:gridCol w:w="1531"/>
        <w:gridCol w:w="1587"/>
        <w:gridCol w:w="1134"/>
        <w:gridCol w:w="1531"/>
        <w:gridCol w:w="1474"/>
      </w:tblGrid>
      <w:tr w:rsidR="00E20EB1" w:rsidRPr="008F03E5" w14:paraId="35C50BB5" w14:textId="77777777" w:rsidTr="00E20EB1">
        <w:trPr>
          <w:jc w:val="center"/>
        </w:trPr>
        <w:tc>
          <w:tcPr>
            <w:tcW w:w="964" w:type="dxa"/>
            <w:vAlign w:val="center"/>
          </w:tcPr>
          <w:p w14:paraId="39177882" w14:textId="77777777" w:rsidR="00E20EB1" w:rsidRPr="008F03E5" w:rsidRDefault="00E20EB1" w:rsidP="00E20EB1">
            <w:pPr>
              <w:keepNext/>
              <w:jc w:val="center"/>
              <w:rPr>
                <w:b/>
                <w:bCs/>
                <w:sz w:val="18"/>
                <w:szCs w:val="18"/>
              </w:rPr>
            </w:pPr>
            <w:r w:rsidRPr="008F03E5">
              <w:rPr>
                <w:b/>
                <w:bCs/>
                <w:sz w:val="18"/>
                <w:szCs w:val="18"/>
              </w:rPr>
              <w:t>English</w:t>
            </w:r>
          </w:p>
        </w:tc>
        <w:tc>
          <w:tcPr>
            <w:tcW w:w="1531" w:type="dxa"/>
            <w:vAlign w:val="center"/>
          </w:tcPr>
          <w:p w14:paraId="5476D4F0" w14:textId="77777777" w:rsidR="00E20EB1" w:rsidRPr="008F03E5" w:rsidRDefault="00E20EB1" w:rsidP="00E20EB1">
            <w:pPr>
              <w:keepNext/>
              <w:jc w:val="center"/>
              <w:rPr>
                <w:b/>
                <w:bCs/>
                <w:sz w:val="18"/>
                <w:szCs w:val="18"/>
              </w:rPr>
            </w:pPr>
            <w:r w:rsidRPr="008F03E5">
              <w:rPr>
                <w:b/>
                <w:bCs/>
                <w:sz w:val="18"/>
                <w:szCs w:val="18"/>
              </w:rPr>
              <w:t>Arabic</w:t>
            </w:r>
            <w:r w:rsidRPr="008F03E5">
              <w:rPr>
                <w:rStyle w:val="FootnoteReference"/>
              </w:rPr>
              <w:footnoteReference w:id="50"/>
            </w:r>
          </w:p>
        </w:tc>
        <w:tc>
          <w:tcPr>
            <w:tcW w:w="1587" w:type="dxa"/>
            <w:vAlign w:val="center"/>
          </w:tcPr>
          <w:p w14:paraId="6DD3E07D" w14:textId="77777777" w:rsidR="00E20EB1" w:rsidRPr="008F03E5" w:rsidRDefault="00E20EB1" w:rsidP="00E20EB1">
            <w:pPr>
              <w:keepNext/>
              <w:jc w:val="center"/>
              <w:rPr>
                <w:b/>
                <w:bCs/>
                <w:sz w:val="18"/>
                <w:szCs w:val="18"/>
              </w:rPr>
            </w:pPr>
            <w:r w:rsidRPr="008F03E5">
              <w:rPr>
                <w:b/>
                <w:bCs/>
                <w:sz w:val="18"/>
                <w:szCs w:val="18"/>
              </w:rPr>
              <w:t>Foreign</w:t>
            </w:r>
            <w:r w:rsidRPr="008F03E5">
              <w:rPr>
                <w:rStyle w:val="FootnoteReference"/>
              </w:rPr>
              <w:footnoteReference w:id="51"/>
            </w:r>
          </w:p>
        </w:tc>
        <w:tc>
          <w:tcPr>
            <w:tcW w:w="1134" w:type="dxa"/>
            <w:vAlign w:val="center"/>
          </w:tcPr>
          <w:p w14:paraId="74580B6D" w14:textId="77777777" w:rsidR="00E20EB1" w:rsidRPr="008F03E5" w:rsidRDefault="00E20EB1" w:rsidP="00E20EB1">
            <w:pPr>
              <w:keepNext/>
              <w:jc w:val="center"/>
              <w:rPr>
                <w:b/>
                <w:bCs/>
                <w:sz w:val="18"/>
                <w:szCs w:val="18"/>
              </w:rPr>
            </w:pPr>
            <w:r w:rsidRPr="008F03E5">
              <w:rPr>
                <w:b/>
                <w:bCs/>
                <w:sz w:val="18"/>
                <w:szCs w:val="18"/>
              </w:rPr>
              <w:t>English</w:t>
            </w:r>
          </w:p>
        </w:tc>
        <w:tc>
          <w:tcPr>
            <w:tcW w:w="1531" w:type="dxa"/>
            <w:vAlign w:val="center"/>
          </w:tcPr>
          <w:p w14:paraId="70BB43B7" w14:textId="77777777" w:rsidR="00E20EB1" w:rsidRPr="008F03E5" w:rsidRDefault="00E20EB1" w:rsidP="00E20EB1">
            <w:pPr>
              <w:keepNext/>
              <w:jc w:val="center"/>
              <w:rPr>
                <w:b/>
                <w:bCs/>
                <w:sz w:val="18"/>
                <w:szCs w:val="18"/>
              </w:rPr>
            </w:pPr>
            <w:r w:rsidRPr="008F03E5">
              <w:rPr>
                <w:b/>
                <w:bCs/>
                <w:sz w:val="18"/>
                <w:szCs w:val="18"/>
              </w:rPr>
              <w:t>Arabic</w:t>
            </w:r>
            <w:r w:rsidRPr="008F03E5">
              <w:rPr>
                <w:rStyle w:val="FootnoteReference"/>
                <w14:numForm w14:val="lining"/>
                <w14:numSpacing w14:val="tabular"/>
              </w:rPr>
              <w:t>1</w:t>
            </w:r>
          </w:p>
        </w:tc>
        <w:tc>
          <w:tcPr>
            <w:tcW w:w="1474" w:type="dxa"/>
            <w:vAlign w:val="center"/>
          </w:tcPr>
          <w:p w14:paraId="5B21ABB4" w14:textId="77777777" w:rsidR="00E20EB1" w:rsidRPr="008F03E5" w:rsidRDefault="00E20EB1" w:rsidP="00E20EB1">
            <w:pPr>
              <w:keepNext/>
              <w:jc w:val="center"/>
              <w:rPr>
                <w:b/>
                <w:bCs/>
                <w:sz w:val="18"/>
                <w:szCs w:val="18"/>
              </w:rPr>
            </w:pPr>
            <w:r w:rsidRPr="008F03E5">
              <w:rPr>
                <w:b/>
                <w:bCs/>
                <w:sz w:val="18"/>
                <w:szCs w:val="18"/>
              </w:rPr>
              <w:t>Foreign</w:t>
            </w:r>
            <w:r w:rsidRPr="008F03E5">
              <w:rPr>
                <w:rStyle w:val="FootnoteReference"/>
                <w14:numForm w14:val="lining"/>
                <w14:numSpacing w14:val="tabular"/>
              </w:rPr>
              <w:t>2</w:t>
            </w:r>
          </w:p>
        </w:tc>
      </w:tr>
      <w:tr w:rsidR="00E20EB1" w:rsidRPr="008F03E5" w14:paraId="4B29EB1A" w14:textId="77777777" w:rsidTr="00E20EB1">
        <w:trPr>
          <w:jc w:val="center"/>
        </w:trPr>
        <w:tc>
          <w:tcPr>
            <w:tcW w:w="964" w:type="dxa"/>
            <w:tcBorders>
              <w:bottom w:val="nil"/>
            </w:tcBorders>
          </w:tcPr>
          <w:p w14:paraId="635EE722" w14:textId="77777777" w:rsidR="00E20EB1" w:rsidRPr="008F03E5" w:rsidRDefault="00E20EB1" w:rsidP="00E20EB1">
            <w:pPr>
              <w:rPr>
                <w:sz w:val="18"/>
                <w:szCs w:val="18"/>
              </w:rPr>
            </w:pPr>
            <w:r w:rsidRPr="008F03E5">
              <w:rPr>
                <w:sz w:val="18"/>
                <w:szCs w:val="18"/>
              </w:rPr>
              <w:t>January</w:t>
            </w:r>
          </w:p>
        </w:tc>
        <w:tc>
          <w:tcPr>
            <w:tcW w:w="1531" w:type="dxa"/>
            <w:tcBorders>
              <w:bottom w:val="nil"/>
            </w:tcBorders>
          </w:tcPr>
          <w:p w14:paraId="4AD5EF06" w14:textId="77777777" w:rsidR="00E20EB1" w:rsidRPr="008F03E5" w:rsidRDefault="00E20EB1" w:rsidP="00E20EB1">
            <w:pPr>
              <w:rPr>
                <w:sz w:val="18"/>
                <w:szCs w:val="18"/>
              </w:rPr>
            </w:pPr>
            <w:r w:rsidRPr="008F03E5">
              <w:rPr>
                <w:sz w:val="18"/>
                <w:szCs w:val="18"/>
              </w:rPr>
              <w:t>kánún a</w:t>
            </w:r>
            <w:r w:rsidRPr="008F03E5">
              <w:rPr>
                <w:sz w:val="18"/>
                <w:szCs w:val="18"/>
                <w:u w:val="single"/>
              </w:rPr>
              <w:t>th</w:t>
            </w:r>
            <w:r w:rsidRPr="008F03E5">
              <w:rPr>
                <w:sz w:val="18"/>
                <w:szCs w:val="18"/>
              </w:rPr>
              <w:t>-</w:t>
            </w:r>
            <w:r w:rsidRPr="008F03E5">
              <w:rPr>
                <w:sz w:val="18"/>
                <w:szCs w:val="18"/>
                <w:u w:val="single"/>
              </w:rPr>
              <w:t>th</w:t>
            </w:r>
            <w:r w:rsidRPr="008F03E5">
              <w:rPr>
                <w:sz w:val="18"/>
                <w:szCs w:val="18"/>
              </w:rPr>
              <w:t>ání</w:t>
            </w:r>
          </w:p>
        </w:tc>
        <w:tc>
          <w:tcPr>
            <w:tcW w:w="1587" w:type="dxa"/>
            <w:tcBorders>
              <w:bottom w:val="nil"/>
            </w:tcBorders>
          </w:tcPr>
          <w:p w14:paraId="0C3F93B2" w14:textId="77777777" w:rsidR="00E20EB1" w:rsidRPr="008F03E5" w:rsidRDefault="00E20EB1" w:rsidP="00E20EB1">
            <w:pPr>
              <w:rPr>
                <w:sz w:val="18"/>
                <w:szCs w:val="18"/>
              </w:rPr>
            </w:pPr>
            <w:r w:rsidRPr="008F03E5">
              <w:rPr>
                <w:sz w:val="18"/>
                <w:szCs w:val="18"/>
              </w:rPr>
              <w:t>yanáyir</w:t>
            </w:r>
          </w:p>
        </w:tc>
        <w:tc>
          <w:tcPr>
            <w:tcW w:w="1134" w:type="dxa"/>
            <w:tcBorders>
              <w:bottom w:val="nil"/>
            </w:tcBorders>
          </w:tcPr>
          <w:p w14:paraId="7E11D752" w14:textId="77777777" w:rsidR="00E20EB1" w:rsidRPr="008F03E5" w:rsidRDefault="00E20EB1" w:rsidP="00E20EB1">
            <w:pPr>
              <w:rPr>
                <w:sz w:val="18"/>
                <w:szCs w:val="18"/>
              </w:rPr>
            </w:pPr>
            <w:r w:rsidRPr="008F03E5">
              <w:rPr>
                <w:sz w:val="18"/>
                <w:szCs w:val="18"/>
              </w:rPr>
              <w:t>July</w:t>
            </w:r>
          </w:p>
        </w:tc>
        <w:tc>
          <w:tcPr>
            <w:tcW w:w="1531" w:type="dxa"/>
            <w:tcBorders>
              <w:bottom w:val="nil"/>
            </w:tcBorders>
          </w:tcPr>
          <w:p w14:paraId="0D7E65D2" w14:textId="77777777" w:rsidR="00E20EB1" w:rsidRPr="008F03E5" w:rsidRDefault="00E20EB1" w:rsidP="00E20EB1">
            <w:pPr>
              <w:rPr>
                <w:sz w:val="18"/>
                <w:szCs w:val="18"/>
              </w:rPr>
            </w:pPr>
            <w:r w:rsidRPr="008F03E5">
              <w:rPr>
                <w:sz w:val="18"/>
                <w:szCs w:val="18"/>
              </w:rPr>
              <w:t>tammúz</w:t>
            </w:r>
          </w:p>
        </w:tc>
        <w:tc>
          <w:tcPr>
            <w:tcW w:w="1474" w:type="dxa"/>
            <w:tcBorders>
              <w:bottom w:val="nil"/>
            </w:tcBorders>
          </w:tcPr>
          <w:p w14:paraId="4514D486" w14:textId="77777777" w:rsidR="00E20EB1" w:rsidRPr="008F03E5" w:rsidRDefault="00E20EB1" w:rsidP="00E20EB1">
            <w:pPr>
              <w:rPr>
                <w:sz w:val="18"/>
                <w:szCs w:val="18"/>
              </w:rPr>
            </w:pPr>
            <w:r w:rsidRPr="008F03E5">
              <w:rPr>
                <w:sz w:val="18"/>
                <w:szCs w:val="18"/>
              </w:rPr>
              <w:t>yúliyú &amp; yúliyah</w:t>
            </w:r>
          </w:p>
        </w:tc>
      </w:tr>
      <w:tr w:rsidR="00E20EB1" w:rsidRPr="008F03E5" w14:paraId="7EA83DED" w14:textId="77777777" w:rsidTr="00E20EB1">
        <w:trPr>
          <w:jc w:val="center"/>
        </w:trPr>
        <w:tc>
          <w:tcPr>
            <w:tcW w:w="964" w:type="dxa"/>
            <w:tcBorders>
              <w:top w:val="nil"/>
              <w:bottom w:val="nil"/>
            </w:tcBorders>
          </w:tcPr>
          <w:p w14:paraId="222D16CB" w14:textId="77777777" w:rsidR="00E20EB1" w:rsidRPr="008F03E5" w:rsidRDefault="00E20EB1" w:rsidP="00E20EB1">
            <w:pPr>
              <w:rPr>
                <w:sz w:val="18"/>
                <w:szCs w:val="18"/>
              </w:rPr>
            </w:pPr>
            <w:r w:rsidRPr="008F03E5">
              <w:rPr>
                <w:sz w:val="18"/>
                <w:szCs w:val="18"/>
              </w:rPr>
              <w:t>February</w:t>
            </w:r>
          </w:p>
        </w:tc>
        <w:tc>
          <w:tcPr>
            <w:tcW w:w="1531" w:type="dxa"/>
            <w:tcBorders>
              <w:top w:val="nil"/>
              <w:bottom w:val="nil"/>
            </w:tcBorders>
          </w:tcPr>
          <w:p w14:paraId="36D03520" w14:textId="77777777" w:rsidR="00E20EB1" w:rsidRPr="008F03E5" w:rsidRDefault="00E20EB1" w:rsidP="00E20EB1">
            <w:pPr>
              <w:rPr>
                <w:sz w:val="18"/>
                <w:szCs w:val="18"/>
              </w:rPr>
            </w:pPr>
            <w:r w:rsidRPr="008F03E5">
              <w:rPr>
                <w:sz w:val="18"/>
                <w:szCs w:val="18"/>
                <w:u w:val="single"/>
              </w:rPr>
              <w:t>sh</w:t>
            </w:r>
            <w:r w:rsidRPr="008F03E5">
              <w:rPr>
                <w:sz w:val="18"/>
                <w:szCs w:val="18"/>
              </w:rPr>
              <w:t>ubáṭ</w:t>
            </w:r>
          </w:p>
        </w:tc>
        <w:tc>
          <w:tcPr>
            <w:tcW w:w="1587" w:type="dxa"/>
            <w:tcBorders>
              <w:top w:val="nil"/>
              <w:bottom w:val="nil"/>
            </w:tcBorders>
          </w:tcPr>
          <w:p w14:paraId="6C92DC1F" w14:textId="77777777" w:rsidR="00E20EB1" w:rsidRPr="008F03E5" w:rsidRDefault="00E20EB1" w:rsidP="00E20EB1">
            <w:pPr>
              <w:rPr>
                <w:sz w:val="18"/>
                <w:szCs w:val="18"/>
              </w:rPr>
            </w:pPr>
            <w:r w:rsidRPr="008F03E5">
              <w:rPr>
                <w:sz w:val="18"/>
                <w:szCs w:val="18"/>
              </w:rPr>
              <w:t>fabráyir</w:t>
            </w:r>
          </w:p>
        </w:tc>
        <w:tc>
          <w:tcPr>
            <w:tcW w:w="1134" w:type="dxa"/>
            <w:tcBorders>
              <w:top w:val="nil"/>
              <w:bottom w:val="nil"/>
            </w:tcBorders>
          </w:tcPr>
          <w:p w14:paraId="591386C0" w14:textId="77777777" w:rsidR="00E20EB1" w:rsidRPr="008F03E5" w:rsidRDefault="00E20EB1" w:rsidP="00E20EB1">
            <w:pPr>
              <w:rPr>
                <w:sz w:val="18"/>
                <w:szCs w:val="18"/>
              </w:rPr>
            </w:pPr>
            <w:r w:rsidRPr="008F03E5">
              <w:rPr>
                <w:sz w:val="18"/>
                <w:szCs w:val="18"/>
              </w:rPr>
              <w:t>August</w:t>
            </w:r>
          </w:p>
        </w:tc>
        <w:tc>
          <w:tcPr>
            <w:tcW w:w="1531" w:type="dxa"/>
            <w:tcBorders>
              <w:top w:val="nil"/>
              <w:bottom w:val="nil"/>
            </w:tcBorders>
          </w:tcPr>
          <w:p w14:paraId="5D254665" w14:textId="77777777" w:rsidR="00E20EB1" w:rsidRPr="008F03E5" w:rsidRDefault="00E20EB1" w:rsidP="00E20EB1">
            <w:pPr>
              <w:rPr>
                <w:sz w:val="18"/>
                <w:szCs w:val="18"/>
              </w:rPr>
            </w:pPr>
            <w:r w:rsidRPr="008F03E5">
              <w:rPr>
                <w:sz w:val="18"/>
                <w:szCs w:val="18"/>
              </w:rPr>
              <w:t>áb</w:t>
            </w:r>
          </w:p>
        </w:tc>
        <w:tc>
          <w:tcPr>
            <w:tcW w:w="1474" w:type="dxa"/>
            <w:tcBorders>
              <w:top w:val="nil"/>
              <w:bottom w:val="nil"/>
            </w:tcBorders>
          </w:tcPr>
          <w:p w14:paraId="7A0A77F0" w14:textId="77777777" w:rsidR="00E20EB1" w:rsidRPr="008F03E5" w:rsidRDefault="00E20EB1" w:rsidP="00E20EB1">
            <w:pPr>
              <w:rPr>
                <w:sz w:val="18"/>
                <w:szCs w:val="18"/>
              </w:rPr>
            </w:pPr>
            <w:r w:rsidRPr="008F03E5">
              <w:rPr>
                <w:sz w:val="18"/>
                <w:szCs w:val="18"/>
              </w:rPr>
              <w:t>‘aghustus</w:t>
            </w:r>
          </w:p>
        </w:tc>
      </w:tr>
      <w:tr w:rsidR="00E20EB1" w:rsidRPr="008F03E5" w14:paraId="4632404B" w14:textId="77777777" w:rsidTr="00E20EB1">
        <w:trPr>
          <w:jc w:val="center"/>
        </w:trPr>
        <w:tc>
          <w:tcPr>
            <w:tcW w:w="964" w:type="dxa"/>
            <w:tcBorders>
              <w:top w:val="nil"/>
              <w:bottom w:val="nil"/>
            </w:tcBorders>
          </w:tcPr>
          <w:p w14:paraId="175CA429" w14:textId="77777777" w:rsidR="00E20EB1" w:rsidRPr="008F03E5" w:rsidRDefault="00E20EB1" w:rsidP="00E20EB1">
            <w:pPr>
              <w:rPr>
                <w:sz w:val="18"/>
                <w:szCs w:val="18"/>
              </w:rPr>
            </w:pPr>
            <w:r w:rsidRPr="008F03E5">
              <w:rPr>
                <w:sz w:val="18"/>
                <w:szCs w:val="18"/>
              </w:rPr>
              <w:t>March</w:t>
            </w:r>
          </w:p>
        </w:tc>
        <w:tc>
          <w:tcPr>
            <w:tcW w:w="1531" w:type="dxa"/>
            <w:tcBorders>
              <w:top w:val="nil"/>
              <w:bottom w:val="nil"/>
            </w:tcBorders>
          </w:tcPr>
          <w:p w14:paraId="5812847F" w14:textId="77777777" w:rsidR="00E20EB1" w:rsidRPr="008F03E5" w:rsidRDefault="00E20EB1" w:rsidP="00E20EB1">
            <w:pPr>
              <w:rPr>
                <w:sz w:val="18"/>
                <w:szCs w:val="18"/>
              </w:rPr>
            </w:pPr>
            <w:r w:rsidRPr="008F03E5">
              <w:rPr>
                <w:sz w:val="18"/>
                <w:szCs w:val="18"/>
              </w:rPr>
              <w:t>ádár</w:t>
            </w:r>
          </w:p>
        </w:tc>
        <w:tc>
          <w:tcPr>
            <w:tcW w:w="1587" w:type="dxa"/>
            <w:tcBorders>
              <w:top w:val="nil"/>
              <w:bottom w:val="nil"/>
            </w:tcBorders>
          </w:tcPr>
          <w:p w14:paraId="5971E08A" w14:textId="77777777" w:rsidR="00E20EB1" w:rsidRPr="008F03E5" w:rsidRDefault="00E20EB1" w:rsidP="00E20EB1">
            <w:pPr>
              <w:rPr>
                <w:sz w:val="18"/>
                <w:szCs w:val="18"/>
              </w:rPr>
            </w:pPr>
            <w:r w:rsidRPr="008F03E5">
              <w:rPr>
                <w:sz w:val="18"/>
                <w:szCs w:val="18"/>
              </w:rPr>
              <w:t>márs</w:t>
            </w:r>
          </w:p>
        </w:tc>
        <w:tc>
          <w:tcPr>
            <w:tcW w:w="1134" w:type="dxa"/>
            <w:tcBorders>
              <w:top w:val="nil"/>
              <w:bottom w:val="nil"/>
            </w:tcBorders>
          </w:tcPr>
          <w:p w14:paraId="00BFF743" w14:textId="77777777" w:rsidR="00E20EB1" w:rsidRPr="008F03E5" w:rsidRDefault="00E20EB1" w:rsidP="00E20EB1">
            <w:pPr>
              <w:rPr>
                <w:sz w:val="18"/>
                <w:szCs w:val="18"/>
              </w:rPr>
            </w:pPr>
            <w:r w:rsidRPr="008F03E5">
              <w:rPr>
                <w:sz w:val="18"/>
                <w:szCs w:val="18"/>
              </w:rPr>
              <w:t>September</w:t>
            </w:r>
          </w:p>
        </w:tc>
        <w:tc>
          <w:tcPr>
            <w:tcW w:w="1531" w:type="dxa"/>
            <w:tcBorders>
              <w:top w:val="nil"/>
              <w:bottom w:val="nil"/>
            </w:tcBorders>
          </w:tcPr>
          <w:p w14:paraId="5F7D72BF" w14:textId="77777777" w:rsidR="00E20EB1" w:rsidRPr="008F03E5" w:rsidRDefault="00E20EB1" w:rsidP="00E20EB1">
            <w:pPr>
              <w:rPr>
                <w:sz w:val="18"/>
                <w:szCs w:val="18"/>
              </w:rPr>
            </w:pPr>
            <w:r w:rsidRPr="008F03E5">
              <w:rPr>
                <w:sz w:val="18"/>
                <w:szCs w:val="18"/>
              </w:rPr>
              <w:t>ailúl</w:t>
            </w:r>
          </w:p>
        </w:tc>
        <w:tc>
          <w:tcPr>
            <w:tcW w:w="1474" w:type="dxa"/>
            <w:tcBorders>
              <w:top w:val="nil"/>
              <w:bottom w:val="nil"/>
            </w:tcBorders>
          </w:tcPr>
          <w:p w14:paraId="6AA7E612" w14:textId="77777777" w:rsidR="00E20EB1" w:rsidRPr="008F03E5" w:rsidRDefault="00E20EB1" w:rsidP="00E20EB1">
            <w:pPr>
              <w:rPr>
                <w:sz w:val="18"/>
                <w:szCs w:val="18"/>
              </w:rPr>
            </w:pPr>
            <w:r w:rsidRPr="008F03E5">
              <w:rPr>
                <w:sz w:val="18"/>
                <w:szCs w:val="18"/>
              </w:rPr>
              <w:t>sibtambar</w:t>
            </w:r>
          </w:p>
        </w:tc>
      </w:tr>
      <w:tr w:rsidR="00E20EB1" w:rsidRPr="008F03E5" w14:paraId="28AC1174" w14:textId="77777777" w:rsidTr="00E20EB1">
        <w:trPr>
          <w:jc w:val="center"/>
        </w:trPr>
        <w:tc>
          <w:tcPr>
            <w:tcW w:w="964" w:type="dxa"/>
            <w:tcBorders>
              <w:top w:val="nil"/>
              <w:bottom w:val="nil"/>
            </w:tcBorders>
          </w:tcPr>
          <w:p w14:paraId="10D94B79" w14:textId="77777777" w:rsidR="00E20EB1" w:rsidRPr="008F03E5" w:rsidRDefault="00E20EB1" w:rsidP="00E20EB1">
            <w:pPr>
              <w:rPr>
                <w:sz w:val="18"/>
                <w:szCs w:val="18"/>
              </w:rPr>
            </w:pPr>
            <w:r w:rsidRPr="008F03E5">
              <w:rPr>
                <w:sz w:val="18"/>
                <w:szCs w:val="18"/>
              </w:rPr>
              <w:t>April</w:t>
            </w:r>
          </w:p>
        </w:tc>
        <w:tc>
          <w:tcPr>
            <w:tcW w:w="1531" w:type="dxa"/>
            <w:tcBorders>
              <w:top w:val="nil"/>
              <w:bottom w:val="nil"/>
            </w:tcBorders>
          </w:tcPr>
          <w:p w14:paraId="7B312CB5" w14:textId="77777777" w:rsidR="00E20EB1" w:rsidRPr="008F03E5" w:rsidRDefault="00E20EB1" w:rsidP="00E20EB1">
            <w:pPr>
              <w:rPr>
                <w:sz w:val="18"/>
                <w:szCs w:val="18"/>
              </w:rPr>
            </w:pPr>
            <w:r w:rsidRPr="008F03E5">
              <w:rPr>
                <w:sz w:val="18"/>
                <w:szCs w:val="18"/>
              </w:rPr>
              <w:t>nísán</w:t>
            </w:r>
          </w:p>
        </w:tc>
        <w:tc>
          <w:tcPr>
            <w:tcW w:w="1587" w:type="dxa"/>
            <w:tcBorders>
              <w:top w:val="nil"/>
              <w:bottom w:val="nil"/>
            </w:tcBorders>
          </w:tcPr>
          <w:p w14:paraId="288D0E19" w14:textId="77777777" w:rsidR="00E20EB1" w:rsidRPr="008F03E5" w:rsidRDefault="00E20EB1" w:rsidP="00E20EB1">
            <w:pPr>
              <w:rPr>
                <w:sz w:val="18"/>
                <w:szCs w:val="18"/>
              </w:rPr>
            </w:pPr>
            <w:r w:rsidRPr="008F03E5">
              <w:rPr>
                <w:sz w:val="18"/>
                <w:szCs w:val="18"/>
              </w:rPr>
              <w:t>‘abril</w:t>
            </w:r>
          </w:p>
        </w:tc>
        <w:tc>
          <w:tcPr>
            <w:tcW w:w="1134" w:type="dxa"/>
            <w:tcBorders>
              <w:top w:val="nil"/>
              <w:bottom w:val="nil"/>
            </w:tcBorders>
          </w:tcPr>
          <w:p w14:paraId="46628F9A" w14:textId="77777777" w:rsidR="00E20EB1" w:rsidRPr="008F03E5" w:rsidRDefault="00E20EB1" w:rsidP="00E20EB1">
            <w:pPr>
              <w:rPr>
                <w:sz w:val="18"/>
                <w:szCs w:val="18"/>
              </w:rPr>
            </w:pPr>
            <w:r w:rsidRPr="008F03E5">
              <w:rPr>
                <w:sz w:val="18"/>
                <w:szCs w:val="18"/>
              </w:rPr>
              <w:t>October</w:t>
            </w:r>
          </w:p>
        </w:tc>
        <w:tc>
          <w:tcPr>
            <w:tcW w:w="1531" w:type="dxa"/>
            <w:tcBorders>
              <w:top w:val="nil"/>
              <w:bottom w:val="nil"/>
            </w:tcBorders>
          </w:tcPr>
          <w:p w14:paraId="4E2BDB77" w14:textId="77777777" w:rsidR="00E20EB1" w:rsidRPr="008F03E5" w:rsidRDefault="00E20EB1" w:rsidP="00E20EB1">
            <w:pPr>
              <w:rPr>
                <w:sz w:val="18"/>
                <w:szCs w:val="18"/>
              </w:rPr>
            </w:pPr>
            <w:r w:rsidRPr="008F03E5">
              <w:rPr>
                <w:sz w:val="18"/>
                <w:szCs w:val="18"/>
              </w:rPr>
              <w:t>ti</w:t>
            </w:r>
            <w:r w:rsidRPr="008F03E5">
              <w:rPr>
                <w:sz w:val="18"/>
                <w:szCs w:val="18"/>
                <w:u w:val="single"/>
              </w:rPr>
              <w:t>sh</w:t>
            </w:r>
            <w:r w:rsidRPr="008F03E5">
              <w:rPr>
                <w:sz w:val="18"/>
                <w:szCs w:val="18"/>
              </w:rPr>
              <w:t>rín al-awwal</w:t>
            </w:r>
          </w:p>
        </w:tc>
        <w:tc>
          <w:tcPr>
            <w:tcW w:w="1474" w:type="dxa"/>
            <w:tcBorders>
              <w:top w:val="nil"/>
              <w:bottom w:val="nil"/>
            </w:tcBorders>
          </w:tcPr>
          <w:p w14:paraId="038F39E1" w14:textId="77777777" w:rsidR="00E20EB1" w:rsidRPr="008F03E5" w:rsidRDefault="00E20EB1" w:rsidP="00E20EB1">
            <w:pPr>
              <w:rPr>
                <w:sz w:val="18"/>
                <w:szCs w:val="18"/>
              </w:rPr>
            </w:pPr>
            <w:r w:rsidRPr="008F03E5">
              <w:rPr>
                <w:sz w:val="18"/>
                <w:szCs w:val="18"/>
              </w:rPr>
              <w:t>‘uktúbar</w:t>
            </w:r>
          </w:p>
        </w:tc>
      </w:tr>
      <w:tr w:rsidR="00E20EB1" w:rsidRPr="008F03E5" w14:paraId="756FB910" w14:textId="77777777" w:rsidTr="00E20EB1">
        <w:trPr>
          <w:jc w:val="center"/>
        </w:trPr>
        <w:tc>
          <w:tcPr>
            <w:tcW w:w="964" w:type="dxa"/>
            <w:tcBorders>
              <w:top w:val="nil"/>
              <w:bottom w:val="nil"/>
            </w:tcBorders>
          </w:tcPr>
          <w:p w14:paraId="6C266921" w14:textId="77777777" w:rsidR="00E20EB1" w:rsidRPr="008F03E5" w:rsidRDefault="00E20EB1" w:rsidP="00E20EB1">
            <w:pPr>
              <w:rPr>
                <w:sz w:val="18"/>
                <w:szCs w:val="18"/>
              </w:rPr>
            </w:pPr>
            <w:r w:rsidRPr="008F03E5">
              <w:rPr>
                <w:sz w:val="18"/>
                <w:szCs w:val="18"/>
              </w:rPr>
              <w:t>May</w:t>
            </w:r>
          </w:p>
        </w:tc>
        <w:tc>
          <w:tcPr>
            <w:tcW w:w="1531" w:type="dxa"/>
            <w:tcBorders>
              <w:top w:val="nil"/>
              <w:bottom w:val="nil"/>
            </w:tcBorders>
          </w:tcPr>
          <w:p w14:paraId="189BF699" w14:textId="77777777" w:rsidR="00E20EB1" w:rsidRPr="008F03E5" w:rsidRDefault="00E20EB1" w:rsidP="00E20EB1">
            <w:pPr>
              <w:rPr>
                <w:sz w:val="18"/>
                <w:szCs w:val="18"/>
              </w:rPr>
            </w:pPr>
            <w:r w:rsidRPr="008F03E5">
              <w:rPr>
                <w:sz w:val="18"/>
                <w:szCs w:val="18"/>
              </w:rPr>
              <w:t>ayyár</w:t>
            </w:r>
          </w:p>
        </w:tc>
        <w:tc>
          <w:tcPr>
            <w:tcW w:w="1587" w:type="dxa"/>
            <w:tcBorders>
              <w:top w:val="nil"/>
              <w:bottom w:val="nil"/>
            </w:tcBorders>
          </w:tcPr>
          <w:p w14:paraId="32501CBB" w14:textId="77777777" w:rsidR="00E20EB1" w:rsidRPr="008F03E5" w:rsidRDefault="00E20EB1" w:rsidP="00E20EB1">
            <w:pPr>
              <w:rPr>
                <w:sz w:val="18"/>
                <w:szCs w:val="18"/>
              </w:rPr>
            </w:pPr>
            <w:r w:rsidRPr="008F03E5">
              <w:rPr>
                <w:sz w:val="18"/>
                <w:szCs w:val="18"/>
              </w:rPr>
              <w:t>máyú</w:t>
            </w:r>
          </w:p>
        </w:tc>
        <w:tc>
          <w:tcPr>
            <w:tcW w:w="1134" w:type="dxa"/>
            <w:tcBorders>
              <w:top w:val="nil"/>
              <w:bottom w:val="nil"/>
            </w:tcBorders>
          </w:tcPr>
          <w:p w14:paraId="466B00E8" w14:textId="77777777" w:rsidR="00E20EB1" w:rsidRPr="008F03E5" w:rsidRDefault="00E20EB1" w:rsidP="00E20EB1">
            <w:pPr>
              <w:rPr>
                <w:sz w:val="18"/>
                <w:szCs w:val="18"/>
              </w:rPr>
            </w:pPr>
            <w:r w:rsidRPr="008F03E5">
              <w:rPr>
                <w:sz w:val="18"/>
                <w:szCs w:val="18"/>
              </w:rPr>
              <w:t>November</w:t>
            </w:r>
          </w:p>
        </w:tc>
        <w:tc>
          <w:tcPr>
            <w:tcW w:w="1531" w:type="dxa"/>
            <w:tcBorders>
              <w:top w:val="nil"/>
              <w:bottom w:val="nil"/>
            </w:tcBorders>
          </w:tcPr>
          <w:p w14:paraId="120EAF5B" w14:textId="77777777" w:rsidR="00E20EB1" w:rsidRPr="008F03E5" w:rsidRDefault="00E20EB1" w:rsidP="00E20EB1">
            <w:pPr>
              <w:rPr>
                <w:sz w:val="18"/>
                <w:szCs w:val="18"/>
              </w:rPr>
            </w:pPr>
            <w:r w:rsidRPr="008F03E5">
              <w:rPr>
                <w:sz w:val="18"/>
                <w:szCs w:val="18"/>
              </w:rPr>
              <w:t>ti</w:t>
            </w:r>
            <w:r w:rsidRPr="008F03E5">
              <w:rPr>
                <w:sz w:val="18"/>
                <w:szCs w:val="18"/>
                <w:u w:val="single"/>
              </w:rPr>
              <w:t>sh</w:t>
            </w:r>
            <w:r w:rsidRPr="008F03E5">
              <w:rPr>
                <w:sz w:val="18"/>
                <w:szCs w:val="18"/>
              </w:rPr>
              <w:t>rín a</w:t>
            </w:r>
            <w:r w:rsidRPr="008F03E5">
              <w:rPr>
                <w:sz w:val="18"/>
                <w:szCs w:val="18"/>
                <w:u w:val="single"/>
              </w:rPr>
              <w:t>th</w:t>
            </w:r>
            <w:r w:rsidRPr="008F03E5">
              <w:rPr>
                <w:sz w:val="18"/>
                <w:szCs w:val="18"/>
              </w:rPr>
              <w:t>-</w:t>
            </w:r>
            <w:r w:rsidRPr="008F03E5">
              <w:rPr>
                <w:sz w:val="18"/>
                <w:szCs w:val="18"/>
                <w:u w:val="single"/>
              </w:rPr>
              <w:t>th</w:t>
            </w:r>
            <w:r w:rsidRPr="008F03E5">
              <w:rPr>
                <w:sz w:val="18"/>
                <w:szCs w:val="18"/>
              </w:rPr>
              <w:t>ání</w:t>
            </w:r>
          </w:p>
        </w:tc>
        <w:tc>
          <w:tcPr>
            <w:tcW w:w="1474" w:type="dxa"/>
            <w:tcBorders>
              <w:top w:val="nil"/>
              <w:bottom w:val="nil"/>
            </w:tcBorders>
          </w:tcPr>
          <w:p w14:paraId="5869FF30" w14:textId="77777777" w:rsidR="00E20EB1" w:rsidRPr="008F03E5" w:rsidRDefault="00E20EB1" w:rsidP="00E20EB1">
            <w:pPr>
              <w:rPr>
                <w:sz w:val="18"/>
                <w:szCs w:val="18"/>
              </w:rPr>
            </w:pPr>
            <w:r w:rsidRPr="008F03E5">
              <w:rPr>
                <w:sz w:val="18"/>
                <w:szCs w:val="18"/>
              </w:rPr>
              <w:t>núfimbar</w:t>
            </w:r>
          </w:p>
        </w:tc>
      </w:tr>
      <w:tr w:rsidR="00E20EB1" w:rsidRPr="008F03E5" w14:paraId="2E32A729" w14:textId="77777777" w:rsidTr="00E20EB1">
        <w:trPr>
          <w:jc w:val="center"/>
        </w:trPr>
        <w:tc>
          <w:tcPr>
            <w:tcW w:w="964" w:type="dxa"/>
            <w:tcBorders>
              <w:top w:val="nil"/>
              <w:bottom w:val="single" w:sz="4" w:space="0" w:color="auto"/>
            </w:tcBorders>
          </w:tcPr>
          <w:p w14:paraId="5A1B98D7" w14:textId="77777777" w:rsidR="00E20EB1" w:rsidRPr="008F03E5" w:rsidRDefault="00E20EB1" w:rsidP="00E20EB1">
            <w:pPr>
              <w:rPr>
                <w:sz w:val="18"/>
                <w:szCs w:val="18"/>
              </w:rPr>
            </w:pPr>
            <w:r w:rsidRPr="008F03E5">
              <w:rPr>
                <w:sz w:val="18"/>
                <w:szCs w:val="18"/>
              </w:rPr>
              <w:t>June</w:t>
            </w:r>
          </w:p>
        </w:tc>
        <w:tc>
          <w:tcPr>
            <w:tcW w:w="1531" w:type="dxa"/>
            <w:tcBorders>
              <w:top w:val="nil"/>
              <w:bottom w:val="single" w:sz="4" w:space="0" w:color="auto"/>
            </w:tcBorders>
          </w:tcPr>
          <w:p w14:paraId="6FC35DDF" w14:textId="77777777" w:rsidR="00E20EB1" w:rsidRPr="008F03E5" w:rsidRDefault="00E20EB1" w:rsidP="00E20EB1">
            <w:pPr>
              <w:rPr>
                <w:sz w:val="18"/>
                <w:szCs w:val="18"/>
              </w:rPr>
            </w:pPr>
            <w:r w:rsidRPr="008F03E5">
              <w:rPr>
                <w:sz w:val="18"/>
                <w:szCs w:val="18"/>
              </w:rPr>
              <w:t>ḥazírán</w:t>
            </w:r>
          </w:p>
        </w:tc>
        <w:tc>
          <w:tcPr>
            <w:tcW w:w="1587" w:type="dxa"/>
            <w:tcBorders>
              <w:top w:val="nil"/>
              <w:bottom w:val="single" w:sz="4" w:space="0" w:color="auto"/>
            </w:tcBorders>
          </w:tcPr>
          <w:p w14:paraId="34F53830" w14:textId="77777777" w:rsidR="00E20EB1" w:rsidRPr="008F03E5" w:rsidRDefault="00E20EB1" w:rsidP="00E20EB1">
            <w:pPr>
              <w:rPr>
                <w:sz w:val="18"/>
                <w:szCs w:val="18"/>
              </w:rPr>
            </w:pPr>
            <w:r w:rsidRPr="008F03E5">
              <w:rPr>
                <w:sz w:val="18"/>
                <w:szCs w:val="18"/>
              </w:rPr>
              <w:t>yúniyú &amp; yúniyah</w:t>
            </w:r>
          </w:p>
        </w:tc>
        <w:tc>
          <w:tcPr>
            <w:tcW w:w="1134" w:type="dxa"/>
            <w:tcBorders>
              <w:top w:val="nil"/>
              <w:bottom w:val="single" w:sz="4" w:space="0" w:color="auto"/>
            </w:tcBorders>
          </w:tcPr>
          <w:p w14:paraId="3E794CCC" w14:textId="77777777" w:rsidR="00E20EB1" w:rsidRPr="008F03E5" w:rsidRDefault="00E20EB1" w:rsidP="00E20EB1">
            <w:pPr>
              <w:rPr>
                <w:sz w:val="18"/>
                <w:szCs w:val="18"/>
              </w:rPr>
            </w:pPr>
            <w:r w:rsidRPr="008F03E5">
              <w:rPr>
                <w:sz w:val="18"/>
                <w:szCs w:val="18"/>
              </w:rPr>
              <w:t>December</w:t>
            </w:r>
          </w:p>
        </w:tc>
        <w:tc>
          <w:tcPr>
            <w:tcW w:w="1531" w:type="dxa"/>
            <w:tcBorders>
              <w:top w:val="nil"/>
              <w:bottom w:val="single" w:sz="4" w:space="0" w:color="auto"/>
            </w:tcBorders>
          </w:tcPr>
          <w:p w14:paraId="4E841343" w14:textId="77777777" w:rsidR="00E20EB1" w:rsidRPr="008F03E5" w:rsidRDefault="00E20EB1" w:rsidP="00E20EB1">
            <w:pPr>
              <w:rPr>
                <w:sz w:val="18"/>
                <w:szCs w:val="18"/>
              </w:rPr>
            </w:pPr>
            <w:r w:rsidRPr="008F03E5">
              <w:rPr>
                <w:sz w:val="18"/>
                <w:szCs w:val="18"/>
              </w:rPr>
              <w:t>kánún al-awwal</w:t>
            </w:r>
          </w:p>
        </w:tc>
        <w:tc>
          <w:tcPr>
            <w:tcW w:w="1474" w:type="dxa"/>
            <w:tcBorders>
              <w:top w:val="nil"/>
              <w:bottom w:val="single" w:sz="4" w:space="0" w:color="auto"/>
            </w:tcBorders>
          </w:tcPr>
          <w:p w14:paraId="3BE3D36C" w14:textId="77777777" w:rsidR="00E20EB1" w:rsidRPr="008F03E5" w:rsidRDefault="00E20EB1" w:rsidP="00E20EB1">
            <w:pPr>
              <w:rPr>
                <w:sz w:val="18"/>
                <w:szCs w:val="18"/>
              </w:rPr>
            </w:pPr>
            <w:r w:rsidRPr="008F03E5">
              <w:rPr>
                <w:sz w:val="18"/>
                <w:szCs w:val="18"/>
              </w:rPr>
              <w:t>dísembar</w:t>
            </w:r>
          </w:p>
        </w:tc>
      </w:tr>
    </w:tbl>
    <w:p w14:paraId="684389F6" w14:textId="214A58C3" w:rsidR="00E20EB1" w:rsidRPr="00331245" w:rsidRDefault="00E20EB1" w:rsidP="00DD0863">
      <w:pPr>
        <w:pStyle w:val="Myhead3"/>
        <w:spacing w:after="120"/>
      </w:pPr>
      <w:r>
        <w:t>Islamic</w:t>
      </w:r>
      <w:r w:rsidR="00BB58C6" w:rsidRPr="00BB58C6">
        <w:rPr>
          <w:b w:val="0"/>
          <w:i w:val="0"/>
          <w:iCs/>
          <w:sz w:val="12"/>
        </w:rPr>
        <w:fldChar w:fldCharType="begin"/>
      </w:r>
      <w:r w:rsidR="00BB58C6" w:rsidRPr="00BB58C6">
        <w:rPr>
          <w:b w:val="0"/>
          <w:i w:val="0"/>
          <w:iCs/>
          <w:sz w:val="12"/>
        </w:rPr>
        <w:instrText xml:space="preserve"> TC “</w:instrText>
      </w:r>
      <w:bookmarkStart w:id="216" w:name="_Toc149476394"/>
      <w:bookmarkStart w:id="217" w:name="_Toc167691896"/>
      <w:r w:rsidR="00BB58C6" w:rsidRPr="00074EB6">
        <w:rPr>
          <w:b w:val="0"/>
          <w:sz w:val="12"/>
        </w:rPr>
        <w:instrText>Islamic</w:instrText>
      </w:r>
      <w:r w:rsidR="00BB58C6" w:rsidRPr="00074EB6">
        <w:rPr>
          <w:b w:val="0"/>
          <w:color w:val="FFFFFF" w:themeColor="background1"/>
          <w:sz w:val="12"/>
        </w:rPr>
        <w:instrText>..</w:instrText>
      </w:r>
      <w:r w:rsidR="00BB58C6" w:rsidRPr="00074EB6">
        <w:rPr>
          <w:b w:val="0"/>
          <w:sz w:val="12"/>
        </w:rPr>
        <w:tab/>
      </w:r>
      <w:r w:rsidR="00BB58C6" w:rsidRPr="00074EB6">
        <w:rPr>
          <w:b w:val="0"/>
          <w:color w:val="FFFFFF" w:themeColor="background1"/>
          <w:sz w:val="12"/>
        </w:rPr>
        <w:instrText>.</w:instrText>
      </w:r>
      <w:bookmarkEnd w:id="216"/>
      <w:bookmarkEnd w:id="217"/>
      <w:r w:rsidR="00BB58C6" w:rsidRPr="00BB58C6">
        <w:rPr>
          <w:b w:val="0"/>
          <w:i w:val="0"/>
          <w:iCs/>
          <w:sz w:val="12"/>
        </w:rPr>
        <w:instrText>” \l 2</w:instrText>
      </w:r>
      <w:r w:rsidR="00BB58C6" w:rsidRPr="00BB58C6">
        <w:rPr>
          <w:b w:val="0"/>
          <w:i w:val="0"/>
          <w:iCs/>
          <w:sz w:val="12"/>
        </w:rPr>
        <w:fldChar w:fldCharType="end"/>
      </w:r>
    </w:p>
    <w:tbl>
      <w:tblPr>
        <w:tblStyle w:val="TableGrid"/>
        <w:tblW w:w="0" w:type="auto"/>
        <w:jc w:val="center"/>
        <w:tblLayout w:type="fixed"/>
        <w:tblLook w:val="04A0" w:firstRow="1" w:lastRow="0" w:firstColumn="1" w:lastColumn="0" w:noHBand="0" w:noVBand="1"/>
      </w:tblPr>
      <w:tblGrid>
        <w:gridCol w:w="737"/>
        <w:gridCol w:w="1757"/>
        <w:gridCol w:w="3345"/>
        <w:gridCol w:w="624"/>
      </w:tblGrid>
      <w:tr w:rsidR="00E20EB1" w:rsidRPr="008F03E5" w14:paraId="4881D004" w14:textId="77777777" w:rsidTr="00E20EB1">
        <w:trPr>
          <w:jc w:val="center"/>
        </w:trPr>
        <w:tc>
          <w:tcPr>
            <w:tcW w:w="737" w:type="dxa"/>
          </w:tcPr>
          <w:p w14:paraId="021099CF" w14:textId="77777777" w:rsidR="00E20EB1" w:rsidRPr="008F03E5" w:rsidRDefault="00E20EB1" w:rsidP="00E20EB1">
            <w:pPr>
              <w:keepNext/>
              <w:jc w:val="center"/>
              <w:rPr>
                <w:b/>
                <w:bCs/>
                <w:sz w:val="18"/>
                <w:szCs w:val="18"/>
              </w:rPr>
            </w:pPr>
            <w:r w:rsidRPr="008F03E5">
              <w:rPr>
                <w:b/>
                <w:bCs/>
                <w:sz w:val="18"/>
                <w:szCs w:val="18"/>
              </w:rPr>
              <w:t>Order</w:t>
            </w:r>
          </w:p>
        </w:tc>
        <w:tc>
          <w:tcPr>
            <w:tcW w:w="1757" w:type="dxa"/>
          </w:tcPr>
          <w:p w14:paraId="51E93BD7" w14:textId="77777777" w:rsidR="00E20EB1" w:rsidRPr="008F03E5" w:rsidRDefault="00E20EB1" w:rsidP="00E20EB1">
            <w:pPr>
              <w:keepNext/>
              <w:jc w:val="center"/>
              <w:rPr>
                <w:b/>
                <w:bCs/>
                <w:sz w:val="18"/>
                <w:szCs w:val="18"/>
              </w:rPr>
            </w:pPr>
            <w:r w:rsidRPr="008F03E5">
              <w:rPr>
                <w:b/>
                <w:bCs/>
                <w:sz w:val="18"/>
                <w:szCs w:val="18"/>
              </w:rPr>
              <w:t>Arabic</w:t>
            </w:r>
            <w:r w:rsidRPr="008F03E5">
              <w:rPr>
                <w:rStyle w:val="FootnoteReference"/>
              </w:rPr>
              <w:footnoteReference w:id="52"/>
            </w:r>
          </w:p>
        </w:tc>
        <w:tc>
          <w:tcPr>
            <w:tcW w:w="3345" w:type="dxa"/>
          </w:tcPr>
          <w:p w14:paraId="7BA9964C" w14:textId="77777777" w:rsidR="00E20EB1" w:rsidRPr="008F03E5" w:rsidRDefault="00E20EB1" w:rsidP="00E20EB1">
            <w:pPr>
              <w:keepNext/>
              <w:jc w:val="center"/>
              <w:rPr>
                <w:b/>
                <w:bCs/>
                <w:sz w:val="18"/>
                <w:szCs w:val="18"/>
              </w:rPr>
            </w:pPr>
            <w:r w:rsidRPr="008F03E5">
              <w:rPr>
                <w:b/>
                <w:bCs/>
                <w:sz w:val="18"/>
                <w:szCs w:val="18"/>
              </w:rPr>
              <w:t>Meaning</w:t>
            </w:r>
          </w:p>
        </w:tc>
        <w:tc>
          <w:tcPr>
            <w:tcW w:w="624" w:type="dxa"/>
          </w:tcPr>
          <w:p w14:paraId="33F7E7BB" w14:textId="77777777" w:rsidR="00E20EB1" w:rsidRPr="008F03E5" w:rsidRDefault="00E20EB1" w:rsidP="00E20EB1">
            <w:pPr>
              <w:keepNext/>
              <w:jc w:val="center"/>
              <w:rPr>
                <w:b/>
                <w:bCs/>
                <w:sz w:val="18"/>
                <w:szCs w:val="18"/>
              </w:rPr>
            </w:pPr>
            <w:r w:rsidRPr="008F03E5">
              <w:rPr>
                <w:b/>
                <w:bCs/>
                <w:sz w:val="18"/>
                <w:szCs w:val="18"/>
              </w:rPr>
              <w:t>Days</w:t>
            </w:r>
          </w:p>
        </w:tc>
      </w:tr>
      <w:tr w:rsidR="00E20EB1" w:rsidRPr="008F03E5" w14:paraId="32F861D6" w14:textId="77777777" w:rsidTr="00E20EB1">
        <w:trPr>
          <w:jc w:val="center"/>
        </w:trPr>
        <w:tc>
          <w:tcPr>
            <w:tcW w:w="737" w:type="dxa"/>
            <w:tcBorders>
              <w:bottom w:val="nil"/>
            </w:tcBorders>
          </w:tcPr>
          <w:p w14:paraId="3716168D"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1</w:t>
            </w:r>
          </w:p>
        </w:tc>
        <w:tc>
          <w:tcPr>
            <w:tcW w:w="1757" w:type="dxa"/>
            <w:tcBorders>
              <w:bottom w:val="nil"/>
            </w:tcBorders>
          </w:tcPr>
          <w:p w14:paraId="656BE4AE" w14:textId="77777777" w:rsidR="00E20EB1" w:rsidRPr="008F03E5" w:rsidRDefault="00E20EB1" w:rsidP="00E20EB1">
            <w:pPr>
              <w:rPr>
                <w:sz w:val="18"/>
                <w:szCs w:val="18"/>
              </w:rPr>
            </w:pPr>
            <w:r w:rsidRPr="008F03E5">
              <w:rPr>
                <w:sz w:val="18"/>
                <w:szCs w:val="18"/>
              </w:rPr>
              <w:t>al-Muḥarram</w:t>
            </w:r>
          </w:p>
        </w:tc>
        <w:tc>
          <w:tcPr>
            <w:tcW w:w="3345" w:type="dxa"/>
            <w:tcBorders>
              <w:bottom w:val="nil"/>
            </w:tcBorders>
          </w:tcPr>
          <w:p w14:paraId="7730CFA8" w14:textId="77777777" w:rsidR="00E20EB1" w:rsidRPr="008F03E5" w:rsidRDefault="00E20EB1" w:rsidP="00E20EB1">
            <w:pPr>
              <w:rPr>
                <w:sz w:val="18"/>
                <w:szCs w:val="18"/>
              </w:rPr>
            </w:pPr>
            <w:r w:rsidRPr="008F03E5">
              <w:rPr>
                <w:sz w:val="18"/>
                <w:szCs w:val="18"/>
              </w:rPr>
              <w:t>Forbidden</w:t>
            </w:r>
          </w:p>
        </w:tc>
        <w:tc>
          <w:tcPr>
            <w:tcW w:w="624" w:type="dxa"/>
            <w:tcBorders>
              <w:bottom w:val="nil"/>
            </w:tcBorders>
          </w:tcPr>
          <w:p w14:paraId="269B682E"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30</w:t>
            </w:r>
          </w:p>
        </w:tc>
      </w:tr>
      <w:tr w:rsidR="00E20EB1" w:rsidRPr="008F03E5" w14:paraId="2BA06B47" w14:textId="77777777" w:rsidTr="00E20EB1">
        <w:trPr>
          <w:jc w:val="center"/>
        </w:trPr>
        <w:tc>
          <w:tcPr>
            <w:tcW w:w="737" w:type="dxa"/>
            <w:tcBorders>
              <w:top w:val="nil"/>
              <w:bottom w:val="nil"/>
            </w:tcBorders>
          </w:tcPr>
          <w:p w14:paraId="7DCE2043"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2</w:t>
            </w:r>
          </w:p>
        </w:tc>
        <w:tc>
          <w:tcPr>
            <w:tcW w:w="1757" w:type="dxa"/>
            <w:tcBorders>
              <w:top w:val="nil"/>
              <w:bottom w:val="nil"/>
            </w:tcBorders>
          </w:tcPr>
          <w:p w14:paraId="67B89C27" w14:textId="77777777" w:rsidR="00E20EB1" w:rsidRPr="008F03E5" w:rsidRDefault="00E20EB1" w:rsidP="00E20EB1">
            <w:pPr>
              <w:rPr>
                <w:sz w:val="18"/>
                <w:szCs w:val="18"/>
              </w:rPr>
            </w:pPr>
            <w:r w:rsidRPr="008F03E5">
              <w:rPr>
                <w:sz w:val="18"/>
                <w:szCs w:val="18"/>
              </w:rPr>
              <w:t>Ṣafar</w:t>
            </w:r>
          </w:p>
        </w:tc>
        <w:tc>
          <w:tcPr>
            <w:tcW w:w="3345" w:type="dxa"/>
            <w:tcBorders>
              <w:top w:val="nil"/>
              <w:bottom w:val="nil"/>
            </w:tcBorders>
          </w:tcPr>
          <w:p w14:paraId="304B8113" w14:textId="77777777" w:rsidR="00E20EB1" w:rsidRPr="008F03E5" w:rsidRDefault="00E20EB1" w:rsidP="00E20EB1">
            <w:pPr>
              <w:rPr>
                <w:sz w:val="18"/>
                <w:szCs w:val="18"/>
              </w:rPr>
            </w:pPr>
            <w:r w:rsidRPr="008F03E5">
              <w:rPr>
                <w:sz w:val="18"/>
                <w:szCs w:val="18"/>
              </w:rPr>
              <w:t>Departure or void</w:t>
            </w:r>
          </w:p>
        </w:tc>
        <w:tc>
          <w:tcPr>
            <w:tcW w:w="624" w:type="dxa"/>
            <w:tcBorders>
              <w:top w:val="nil"/>
              <w:bottom w:val="nil"/>
            </w:tcBorders>
          </w:tcPr>
          <w:p w14:paraId="5BA387DF"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29</w:t>
            </w:r>
          </w:p>
        </w:tc>
      </w:tr>
      <w:tr w:rsidR="00E20EB1" w:rsidRPr="008F03E5" w14:paraId="1DC9A196" w14:textId="77777777" w:rsidTr="00E20EB1">
        <w:trPr>
          <w:jc w:val="center"/>
        </w:trPr>
        <w:tc>
          <w:tcPr>
            <w:tcW w:w="737" w:type="dxa"/>
            <w:tcBorders>
              <w:top w:val="nil"/>
              <w:bottom w:val="nil"/>
            </w:tcBorders>
          </w:tcPr>
          <w:p w14:paraId="44404089"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3</w:t>
            </w:r>
          </w:p>
        </w:tc>
        <w:tc>
          <w:tcPr>
            <w:tcW w:w="1757" w:type="dxa"/>
            <w:tcBorders>
              <w:top w:val="nil"/>
              <w:bottom w:val="nil"/>
            </w:tcBorders>
          </w:tcPr>
          <w:p w14:paraId="6FF89505" w14:textId="77777777" w:rsidR="00E20EB1" w:rsidRPr="008F03E5" w:rsidRDefault="00E20EB1" w:rsidP="00E20EB1">
            <w:pPr>
              <w:rPr>
                <w:sz w:val="18"/>
                <w:szCs w:val="18"/>
              </w:rPr>
            </w:pPr>
            <w:r w:rsidRPr="008F03E5">
              <w:rPr>
                <w:sz w:val="18"/>
                <w:szCs w:val="18"/>
              </w:rPr>
              <w:t>Rabí‘u’l-Awwal</w:t>
            </w:r>
          </w:p>
        </w:tc>
        <w:tc>
          <w:tcPr>
            <w:tcW w:w="3345" w:type="dxa"/>
            <w:tcBorders>
              <w:top w:val="nil"/>
              <w:bottom w:val="nil"/>
            </w:tcBorders>
          </w:tcPr>
          <w:p w14:paraId="2E79C512" w14:textId="77777777" w:rsidR="00E20EB1" w:rsidRPr="008F03E5" w:rsidRDefault="00E20EB1" w:rsidP="00E20EB1">
            <w:pPr>
              <w:rPr>
                <w:sz w:val="18"/>
                <w:szCs w:val="18"/>
              </w:rPr>
            </w:pPr>
            <w:r w:rsidRPr="008F03E5">
              <w:rPr>
                <w:sz w:val="18"/>
                <w:szCs w:val="18"/>
              </w:rPr>
              <w:t>first month or beginning of spring</w:t>
            </w:r>
          </w:p>
        </w:tc>
        <w:tc>
          <w:tcPr>
            <w:tcW w:w="624" w:type="dxa"/>
            <w:tcBorders>
              <w:top w:val="nil"/>
              <w:bottom w:val="nil"/>
            </w:tcBorders>
          </w:tcPr>
          <w:p w14:paraId="108A1EBB"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30</w:t>
            </w:r>
          </w:p>
        </w:tc>
      </w:tr>
      <w:tr w:rsidR="00E20EB1" w:rsidRPr="008F03E5" w14:paraId="38093980" w14:textId="77777777" w:rsidTr="00E20EB1">
        <w:trPr>
          <w:jc w:val="center"/>
        </w:trPr>
        <w:tc>
          <w:tcPr>
            <w:tcW w:w="737" w:type="dxa"/>
            <w:tcBorders>
              <w:top w:val="nil"/>
              <w:bottom w:val="nil"/>
            </w:tcBorders>
          </w:tcPr>
          <w:p w14:paraId="5B48AD11"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4</w:t>
            </w:r>
          </w:p>
        </w:tc>
        <w:tc>
          <w:tcPr>
            <w:tcW w:w="1757" w:type="dxa"/>
            <w:tcBorders>
              <w:top w:val="nil"/>
              <w:bottom w:val="nil"/>
            </w:tcBorders>
          </w:tcPr>
          <w:p w14:paraId="0E243A26" w14:textId="77777777" w:rsidR="00E20EB1" w:rsidRPr="008F03E5" w:rsidRDefault="00E20EB1" w:rsidP="00E20EB1">
            <w:pPr>
              <w:rPr>
                <w:sz w:val="18"/>
                <w:szCs w:val="18"/>
              </w:rPr>
            </w:pPr>
            <w:r w:rsidRPr="008F03E5">
              <w:rPr>
                <w:sz w:val="18"/>
                <w:szCs w:val="18"/>
              </w:rPr>
              <w:t>Rabí‘u’</w:t>
            </w:r>
            <w:r w:rsidRPr="008F03E5">
              <w:rPr>
                <w:sz w:val="18"/>
                <w:szCs w:val="18"/>
                <w:u w:val="single"/>
              </w:rPr>
              <w:t>th</w:t>
            </w:r>
            <w:r w:rsidRPr="008F03E5">
              <w:rPr>
                <w:sz w:val="18"/>
                <w:szCs w:val="18"/>
              </w:rPr>
              <w:t>-</w:t>
            </w:r>
            <w:r w:rsidRPr="008F03E5">
              <w:rPr>
                <w:sz w:val="18"/>
                <w:szCs w:val="18"/>
                <w:u w:val="single"/>
              </w:rPr>
              <w:t>Th</w:t>
            </w:r>
            <w:r w:rsidRPr="008F03E5">
              <w:rPr>
                <w:sz w:val="18"/>
                <w:szCs w:val="18"/>
              </w:rPr>
              <w:t>ání</w:t>
            </w:r>
          </w:p>
        </w:tc>
        <w:tc>
          <w:tcPr>
            <w:tcW w:w="3345" w:type="dxa"/>
            <w:tcBorders>
              <w:top w:val="nil"/>
              <w:bottom w:val="nil"/>
            </w:tcBorders>
          </w:tcPr>
          <w:p w14:paraId="1ED77689" w14:textId="77777777" w:rsidR="00E20EB1" w:rsidRPr="008F03E5" w:rsidRDefault="00E20EB1" w:rsidP="00E20EB1">
            <w:pPr>
              <w:rPr>
                <w:sz w:val="18"/>
                <w:szCs w:val="18"/>
              </w:rPr>
            </w:pPr>
            <w:r w:rsidRPr="008F03E5">
              <w:rPr>
                <w:sz w:val="18"/>
                <w:szCs w:val="18"/>
              </w:rPr>
              <w:t>second/last spring</w:t>
            </w:r>
          </w:p>
        </w:tc>
        <w:tc>
          <w:tcPr>
            <w:tcW w:w="624" w:type="dxa"/>
            <w:tcBorders>
              <w:top w:val="nil"/>
              <w:bottom w:val="nil"/>
            </w:tcBorders>
          </w:tcPr>
          <w:p w14:paraId="4AEB181F"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29</w:t>
            </w:r>
          </w:p>
        </w:tc>
      </w:tr>
      <w:tr w:rsidR="00E20EB1" w:rsidRPr="008F03E5" w14:paraId="1CCF6D15" w14:textId="77777777" w:rsidTr="00E20EB1">
        <w:trPr>
          <w:jc w:val="center"/>
        </w:trPr>
        <w:tc>
          <w:tcPr>
            <w:tcW w:w="737" w:type="dxa"/>
            <w:tcBorders>
              <w:top w:val="nil"/>
              <w:bottom w:val="nil"/>
            </w:tcBorders>
          </w:tcPr>
          <w:p w14:paraId="54EFADFA"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5</w:t>
            </w:r>
          </w:p>
        </w:tc>
        <w:tc>
          <w:tcPr>
            <w:tcW w:w="1757" w:type="dxa"/>
            <w:tcBorders>
              <w:top w:val="nil"/>
              <w:bottom w:val="nil"/>
            </w:tcBorders>
          </w:tcPr>
          <w:p w14:paraId="09F23ECB" w14:textId="77777777" w:rsidR="00E20EB1" w:rsidRPr="008F03E5" w:rsidRDefault="00E20EB1" w:rsidP="00E20EB1">
            <w:pPr>
              <w:rPr>
                <w:sz w:val="18"/>
                <w:szCs w:val="18"/>
              </w:rPr>
            </w:pPr>
            <w:r w:rsidRPr="008F03E5">
              <w:rPr>
                <w:sz w:val="18"/>
                <w:szCs w:val="18"/>
              </w:rPr>
              <w:t>Jumádá al-Awwal</w:t>
            </w:r>
          </w:p>
        </w:tc>
        <w:tc>
          <w:tcPr>
            <w:tcW w:w="3345" w:type="dxa"/>
            <w:tcBorders>
              <w:top w:val="nil"/>
              <w:bottom w:val="nil"/>
            </w:tcBorders>
          </w:tcPr>
          <w:p w14:paraId="2D5FA599" w14:textId="77777777" w:rsidR="00E20EB1" w:rsidRPr="008F03E5" w:rsidRDefault="00E20EB1" w:rsidP="00E20EB1">
            <w:pPr>
              <w:rPr>
                <w:sz w:val="18"/>
                <w:szCs w:val="18"/>
              </w:rPr>
            </w:pPr>
            <w:r w:rsidRPr="008F03E5">
              <w:rPr>
                <w:sz w:val="18"/>
                <w:szCs w:val="18"/>
              </w:rPr>
              <w:t>the first of parched land</w:t>
            </w:r>
          </w:p>
        </w:tc>
        <w:tc>
          <w:tcPr>
            <w:tcW w:w="624" w:type="dxa"/>
            <w:tcBorders>
              <w:top w:val="nil"/>
              <w:bottom w:val="nil"/>
            </w:tcBorders>
          </w:tcPr>
          <w:p w14:paraId="4960ACBB"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30</w:t>
            </w:r>
          </w:p>
        </w:tc>
      </w:tr>
      <w:tr w:rsidR="00E20EB1" w:rsidRPr="008F03E5" w14:paraId="4B93B2B2" w14:textId="77777777" w:rsidTr="00E20EB1">
        <w:trPr>
          <w:jc w:val="center"/>
        </w:trPr>
        <w:tc>
          <w:tcPr>
            <w:tcW w:w="737" w:type="dxa"/>
            <w:tcBorders>
              <w:top w:val="nil"/>
              <w:bottom w:val="nil"/>
            </w:tcBorders>
          </w:tcPr>
          <w:p w14:paraId="5C988EBA"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6</w:t>
            </w:r>
          </w:p>
        </w:tc>
        <w:tc>
          <w:tcPr>
            <w:tcW w:w="1757" w:type="dxa"/>
            <w:tcBorders>
              <w:top w:val="nil"/>
              <w:bottom w:val="nil"/>
            </w:tcBorders>
          </w:tcPr>
          <w:p w14:paraId="63A85613" w14:textId="77777777" w:rsidR="00E20EB1" w:rsidRPr="008F03E5" w:rsidRDefault="00E20EB1" w:rsidP="00E20EB1">
            <w:pPr>
              <w:rPr>
                <w:sz w:val="18"/>
                <w:szCs w:val="18"/>
              </w:rPr>
            </w:pPr>
            <w:r w:rsidRPr="008F03E5">
              <w:rPr>
                <w:sz w:val="18"/>
                <w:szCs w:val="18"/>
              </w:rPr>
              <w:t>Jumádá a</w:t>
            </w:r>
            <w:r w:rsidRPr="008F03E5">
              <w:rPr>
                <w:sz w:val="18"/>
                <w:szCs w:val="18"/>
                <w:u w:val="single"/>
              </w:rPr>
              <w:t>th</w:t>
            </w:r>
            <w:r w:rsidRPr="008F03E5">
              <w:rPr>
                <w:sz w:val="18"/>
                <w:szCs w:val="18"/>
              </w:rPr>
              <w:t>-</w:t>
            </w:r>
            <w:r w:rsidRPr="008F03E5">
              <w:rPr>
                <w:sz w:val="18"/>
                <w:szCs w:val="18"/>
                <w:u w:val="single"/>
              </w:rPr>
              <w:t>Th</w:t>
            </w:r>
            <w:r w:rsidRPr="008F03E5">
              <w:rPr>
                <w:sz w:val="18"/>
                <w:szCs w:val="18"/>
              </w:rPr>
              <w:t>ání</w:t>
            </w:r>
          </w:p>
        </w:tc>
        <w:tc>
          <w:tcPr>
            <w:tcW w:w="3345" w:type="dxa"/>
            <w:tcBorders>
              <w:top w:val="nil"/>
              <w:bottom w:val="nil"/>
            </w:tcBorders>
          </w:tcPr>
          <w:p w14:paraId="4BFB154E" w14:textId="77777777" w:rsidR="00E20EB1" w:rsidRPr="008F03E5" w:rsidRDefault="00E20EB1" w:rsidP="00E20EB1">
            <w:pPr>
              <w:rPr>
                <w:sz w:val="18"/>
                <w:szCs w:val="18"/>
              </w:rPr>
            </w:pPr>
            <w:r w:rsidRPr="008F03E5">
              <w:rPr>
                <w:sz w:val="18"/>
                <w:szCs w:val="18"/>
              </w:rPr>
              <w:t>the second/last of parched land</w:t>
            </w:r>
          </w:p>
        </w:tc>
        <w:tc>
          <w:tcPr>
            <w:tcW w:w="624" w:type="dxa"/>
            <w:tcBorders>
              <w:top w:val="nil"/>
              <w:bottom w:val="nil"/>
            </w:tcBorders>
          </w:tcPr>
          <w:p w14:paraId="7A6D3B95"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29</w:t>
            </w:r>
          </w:p>
        </w:tc>
      </w:tr>
      <w:tr w:rsidR="00E20EB1" w:rsidRPr="008F03E5" w14:paraId="6F5308D5" w14:textId="77777777" w:rsidTr="00E20EB1">
        <w:trPr>
          <w:jc w:val="center"/>
        </w:trPr>
        <w:tc>
          <w:tcPr>
            <w:tcW w:w="737" w:type="dxa"/>
            <w:tcBorders>
              <w:top w:val="nil"/>
              <w:bottom w:val="nil"/>
            </w:tcBorders>
          </w:tcPr>
          <w:p w14:paraId="7C3B4255"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7</w:t>
            </w:r>
          </w:p>
        </w:tc>
        <w:tc>
          <w:tcPr>
            <w:tcW w:w="1757" w:type="dxa"/>
            <w:tcBorders>
              <w:top w:val="nil"/>
              <w:bottom w:val="nil"/>
            </w:tcBorders>
          </w:tcPr>
          <w:p w14:paraId="086CB7C2" w14:textId="77777777" w:rsidR="00E20EB1" w:rsidRPr="008F03E5" w:rsidRDefault="00E20EB1" w:rsidP="00E20EB1">
            <w:pPr>
              <w:rPr>
                <w:sz w:val="18"/>
                <w:szCs w:val="18"/>
              </w:rPr>
            </w:pPr>
            <w:r w:rsidRPr="008F03E5">
              <w:rPr>
                <w:sz w:val="18"/>
                <w:szCs w:val="18"/>
              </w:rPr>
              <w:t>Rajab</w:t>
            </w:r>
          </w:p>
        </w:tc>
        <w:tc>
          <w:tcPr>
            <w:tcW w:w="3345" w:type="dxa"/>
            <w:tcBorders>
              <w:top w:val="nil"/>
              <w:bottom w:val="nil"/>
            </w:tcBorders>
          </w:tcPr>
          <w:p w14:paraId="4DD25123" w14:textId="77777777" w:rsidR="00E20EB1" w:rsidRPr="008F03E5" w:rsidRDefault="00E20EB1" w:rsidP="00E20EB1">
            <w:pPr>
              <w:rPr>
                <w:sz w:val="18"/>
                <w:szCs w:val="18"/>
              </w:rPr>
            </w:pPr>
            <w:r w:rsidRPr="008F03E5">
              <w:rPr>
                <w:sz w:val="18"/>
                <w:szCs w:val="18"/>
              </w:rPr>
              <w:t>Respect, honour</w:t>
            </w:r>
          </w:p>
        </w:tc>
        <w:tc>
          <w:tcPr>
            <w:tcW w:w="624" w:type="dxa"/>
            <w:tcBorders>
              <w:top w:val="nil"/>
              <w:bottom w:val="nil"/>
            </w:tcBorders>
          </w:tcPr>
          <w:p w14:paraId="187F8661"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30</w:t>
            </w:r>
          </w:p>
        </w:tc>
      </w:tr>
      <w:tr w:rsidR="00E20EB1" w:rsidRPr="008F03E5" w14:paraId="0174B4D1" w14:textId="77777777" w:rsidTr="00E20EB1">
        <w:trPr>
          <w:jc w:val="center"/>
        </w:trPr>
        <w:tc>
          <w:tcPr>
            <w:tcW w:w="737" w:type="dxa"/>
            <w:tcBorders>
              <w:top w:val="nil"/>
              <w:bottom w:val="nil"/>
            </w:tcBorders>
          </w:tcPr>
          <w:p w14:paraId="5F86CC29"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8</w:t>
            </w:r>
          </w:p>
        </w:tc>
        <w:tc>
          <w:tcPr>
            <w:tcW w:w="1757" w:type="dxa"/>
            <w:tcBorders>
              <w:top w:val="nil"/>
              <w:bottom w:val="nil"/>
            </w:tcBorders>
          </w:tcPr>
          <w:p w14:paraId="5153399A" w14:textId="77777777" w:rsidR="00E20EB1" w:rsidRPr="008F03E5" w:rsidRDefault="00E20EB1" w:rsidP="00E20EB1">
            <w:pPr>
              <w:rPr>
                <w:sz w:val="18"/>
                <w:szCs w:val="18"/>
              </w:rPr>
            </w:pPr>
            <w:r w:rsidRPr="008F03E5">
              <w:rPr>
                <w:sz w:val="18"/>
                <w:szCs w:val="18"/>
                <w:u w:val="single"/>
              </w:rPr>
              <w:t>Sh</w:t>
            </w:r>
            <w:r w:rsidRPr="008F03E5">
              <w:rPr>
                <w:sz w:val="18"/>
                <w:szCs w:val="18"/>
              </w:rPr>
              <w:t>a‘bán</w:t>
            </w:r>
          </w:p>
        </w:tc>
        <w:tc>
          <w:tcPr>
            <w:tcW w:w="3345" w:type="dxa"/>
            <w:tcBorders>
              <w:top w:val="nil"/>
              <w:bottom w:val="nil"/>
            </w:tcBorders>
          </w:tcPr>
          <w:p w14:paraId="00D5BAB1" w14:textId="77777777" w:rsidR="00E20EB1" w:rsidRPr="008F03E5" w:rsidRDefault="00E20EB1" w:rsidP="00E20EB1">
            <w:pPr>
              <w:rPr>
                <w:sz w:val="18"/>
                <w:szCs w:val="18"/>
              </w:rPr>
            </w:pPr>
            <w:r w:rsidRPr="008F03E5">
              <w:rPr>
                <w:sz w:val="18"/>
                <w:szCs w:val="18"/>
              </w:rPr>
              <w:t>scattered</w:t>
            </w:r>
          </w:p>
        </w:tc>
        <w:tc>
          <w:tcPr>
            <w:tcW w:w="624" w:type="dxa"/>
            <w:tcBorders>
              <w:top w:val="nil"/>
              <w:bottom w:val="nil"/>
            </w:tcBorders>
          </w:tcPr>
          <w:p w14:paraId="2267C170"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29</w:t>
            </w:r>
          </w:p>
        </w:tc>
      </w:tr>
      <w:tr w:rsidR="00E20EB1" w:rsidRPr="008F03E5" w14:paraId="211E40D5" w14:textId="77777777" w:rsidTr="00E20EB1">
        <w:trPr>
          <w:jc w:val="center"/>
        </w:trPr>
        <w:tc>
          <w:tcPr>
            <w:tcW w:w="737" w:type="dxa"/>
            <w:tcBorders>
              <w:top w:val="nil"/>
              <w:bottom w:val="nil"/>
            </w:tcBorders>
          </w:tcPr>
          <w:p w14:paraId="75496DB5"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9</w:t>
            </w:r>
          </w:p>
        </w:tc>
        <w:tc>
          <w:tcPr>
            <w:tcW w:w="1757" w:type="dxa"/>
            <w:tcBorders>
              <w:top w:val="nil"/>
              <w:bottom w:val="nil"/>
            </w:tcBorders>
          </w:tcPr>
          <w:p w14:paraId="1D02AEA8" w14:textId="77777777" w:rsidR="00E20EB1" w:rsidRPr="008F03E5" w:rsidRDefault="00E20EB1" w:rsidP="00E20EB1">
            <w:pPr>
              <w:rPr>
                <w:sz w:val="18"/>
                <w:szCs w:val="18"/>
              </w:rPr>
            </w:pPr>
            <w:r w:rsidRPr="008F03E5">
              <w:rPr>
                <w:sz w:val="18"/>
                <w:szCs w:val="18"/>
              </w:rPr>
              <w:t>Ramaḍán</w:t>
            </w:r>
          </w:p>
        </w:tc>
        <w:tc>
          <w:tcPr>
            <w:tcW w:w="3345" w:type="dxa"/>
            <w:tcBorders>
              <w:top w:val="nil"/>
              <w:bottom w:val="nil"/>
            </w:tcBorders>
          </w:tcPr>
          <w:p w14:paraId="0AF32DE3" w14:textId="77777777" w:rsidR="00E20EB1" w:rsidRPr="008F03E5" w:rsidRDefault="00E20EB1" w:rsidP="00E20EB1">
            <w:pPr>
              <w:rPr>
                <w:sz w:val="18"/>
                <w:szCs w:val="18"/>
              </w:rPr>
            </w:pPr>
            <w:r w:rsidRPr="008F03E5">
              <w:rPr>
                <w:sz w:val="18"/>
                <w:szCs w:val="18"/>
              </w:rPr>
              <w:t>burning heat</w:t>
            </w:r>
          </w:p>
        </w:tc>
        <w:tc>
          <w:tcPr>
            <w:tcW w:w="624" w:type="dxa"/>
            <w:tcBorders>
              <w:top w:val="nil"/>
              <w:bottom w:val="nil"/>
            </w:tcBorders>
          </w:tcPr>
          <w:p w14:paraId="2E34228D"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30</w:t>
            </w:r>
          </w:p>
        </w:tc>
      </w:tr>
      <w:tr w:rsidR="00E20EB1" w:rsidRPr="008F03E5" w14:paraId="51EDE414" w14:textId="77777777" w:rsidTr="00E20EB1">
        <w:trPr>
          <w:jc w:val="center"/>
        </w:trPr>
        <w:tc>
          <w:tcPr>
            <w:tcW w:w="737" w:type="dxa"/>
            <w:tcBorders>
              <w:top w:val="nil"/>
              <w:bottom w:val="nil"/>
            </w:tcBorders>
          </w:tcPr>
          <w:p w14:paraId="20A9FB68"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10</w:t>
            </w:r>
          </w:p>
        </w:tc>
        <w:tc>
          <w:tcPr>
            <w:tcW w:w="1757" w:type="dxa"/>
            <w:tcBorders>
              <w:top w:val="nil"/>
              <w:bottom w:val="nil"/>
            </w:tcBorders>
          </w:tcPr>
          <w:p w14:paraId="341E77F5" w14:textId="77777777" w:rsidR="00E20EB1" w:rsidRPr="008F03E5" w:rsidRDefault="00E20EB1" w:rsidP="00E20EB1">
            <w:pPr>
              <w:rPr>
                <w:sz w:val="18"/>
                <w:szCs w:val="18"/>
              </w:rPr>
            </w:pPr>
            <w:r w:rsidRPr="008F03E5">
              <w:rPr>
                <w:sz w:val="18"/>
                <w:szCs w:val="18"/>
                <w:u w:val="single"/>
              </w:rPr>
              <w:t>Sh</w:t>
            </w:r>
            <w:r w:rsidRPr="008F03E5">
              <w:rPr>
                <w:sz w:val="18"/>
                <w:szCs w:val="18"/>
              </w:rPr>
              <w:t>awwál</w:t>
            </w:r>
          </w:p>
        </w:tc>
        <w:tc>
          <w:tcPr>
            <w:tcW w:w="3345" w:type="dxa"/>
            <w:tcBorders>
              <w:top w:val="nil"/>
              <w:bottom w:val="nil"/>
            </w:tcBorders>
          </w:tcPr>
          <w:p w14:paraId="0FECCE2B" w14:textId="77777777" w:rsidR="00E20EB1" w:rsidRPr="008F03E5" w:rsidRDefault="00E20EB1" w:rsidP="00E20EB1">
            <w:pPr>
              <w:rPr>
                <w:sz w:val="18"/>
                <w:szCs w:val="18"/>
              </w:rPr>
            </w:pPr>
            <w:r w:rsidRPr="008F03E5">
              <w:rPr>
                <w:sz w:val="18"/>
                <w:szCs w:val="18"/>
              </w:rPr>
              <w:t>lift or carry, raised</w:t>
            </w:r>
          </w:p>
        </w:tc>
        <w:tc>
          <w:tcPr>
            <w:tcW w:w="624" w:type="dxa"/>
            <w:tcBorders>
              <w:top w:val="nil"/>
              <w:bottom w:val="nil"/>
            </w:tcBorders>
          </w:tcPr>
          <w:p w14:paraId="0AAE0B23"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29</w:t>
            </w:r>
          </w:p>
        </w:tc>
      </w:tr>
      <w:tr w:rsidR="00E20EB1" w:rsidRPr="008F03E5" w14:paraId="562A7EBD" w14:textId="77777777" w:rsidTr="00E20EB1">
        <w:trPr>
          <w:jc w:val="center"/>
        </w:trPr>
        <w:tc>
          <w:tcPr>
            <w:tcW w:w="737" w:type="dxa"/>
            <w:tcBorders>
              <w:top w:val="nil"/>
              <w:bottom w:val="nil"/>
            </w:tcBorders>
          </w:tcPr>
          <w:p w14:paraId="2E53AD1B"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11</w:t>
            </w:r>
          </w:p>
        </w:tc>
        <w:tc>
          <w:tcPr>
            <w:tcW w:w="1757" w:type="dxa"/>
            <w:tcBorders>
              <w:top w:val="nil"/>
              <w:bottom w:val="nil"/>
            </w:tcBorders>
          </w:tcPr>
          <w:p w14:paraId="5B24B67B" w14:textId="77777777" w:rsidR="00E20EB1" w:rsidRPr="008F03E5" w:rsidRDefault="00E20EB1" w:rsidP="00E20EB1">
            <w:pPr>
              <w:rPr>
                <w:sz w:val="18"/>
                <w:szCs w:val="18"/>
              </w:rPr>
            </w:pPr>
            <w:r w:rsidRPr="008F03E5">
              <w:rPr>
                <w:sz w:val="18"/>
                <w:szCs w:val="18"/>
                <w:u w:val="single"/>
              </w:rPr>
              <w:t>Dh</w:t>
            </w:r>
            <w:r w:rsidRPr="008F03E5">
              <w:rPr>
                <w:sz w:val="18"/>
                <w:szCs w:val="18"/>
              </w:rPr>
              <w:t>u’l-Qa‘da</w:t>
            </w:r>
          </w:p>
        </w:tc>
        <w:tc>
          <w:tcPr>
            <w:tcW w:w="3345" w:type="dxa"/>
            <w:tcBorders>
              <w:top w:val="nil"/>
              <w:bottom w:val="nil"/>
            </w:tcBorders>
          </w:tcPr>
          <w:p w14:paraId="2A796613" w14:textId="77777777" w:rsidR="00E20EB1" w:rsidRPr="008F03E5" w:rsidRDefault="00E20EB1" w:rsidP="00E20EB1">
            <w:pPr>
              <w:rPr>
                <w:sz w:val="18"/>
                <w:szCs w:val="18"/>
              </w:rPr>
            </w:pPr>
            <w:r w:rsidRPr="008F03E5">
              <w:rPr>
                <w:sz w:val="18"/>
                <w:szCs w:val="18"/>
              </w:rPr>
              <w:t>the one of truce/sitting</w:t>
            </w:r>
          </w:p>
        </w:tc>
        <w:tc>
          <w:tcPr>
            <w:tcW w:w="624" w:type="dxa"/>
            <w:tcBorders>
              <w:top w:val="nil"/>
              <w:bottom w:val="nil"/>
            </w:tcBorders>
          </w:tcPr>
          <w:p w14:paraId="0E4DB521" w14:textId="77777777" w:rsidR="00E20EB1" w:rsidRPr="008F03E5" w:rsidRDefault="00E20EB1" w:rsidP="00E20EB1">
            <w:pPr>
              <w:tabs>
                <w:tab w:val="decimal" w:pos="200"/>
              </w:tabs>
              <w:rPr>
                <w:sz w:val="18"/>
                <w:szCs w:val="18"/>
                <w14:numSpacing w14:val="tabular"/>
              </w:rPr>
            </w:pPr>
            <w:r w:rsidRPr="008F03E5">
              <w:rPr>
                <w:sz w:val="18"/>
                <w:szCs w:val="18"/>
                <w14:numSpacing w14:val="tabular"/>
              </w:rPr>
              <w:t>30</w:t>
            </w:r>
          </w:p>
        </w:tc>
      </w:tr>
      <w:tr w:rsidR="00E20EB1" w:rsidRPr="008F03E5" w14:paraId="432AE2DC" w14:textId="77777777" w:rsidTr="00E20EB1">
        <w:trPr>
          <w:jc w:val="center"/>
        </w:trPr>
        <w:tc>
          <w:tcPr>
            <w:tcW w:w="737" w:type="dxa"/>
            <w:tcBorders>
              <w:top w:val="nil"/>
            </w:tcBorders>
          </w:tcPr>
          <w:p w14:paraId="374D0B00" w14:textId="77777777" w:rsidR="00E20EB1" w:rsidRPr="008F03E5" w:rsidRDefault="00E20EB1" w:rsidP="00E20EB1">
            <w:pPr>
              <w:tabs>
                <w:tab w:val="right" w:pos="317"/>
              </w:tabs>
              <w:rPr>
                <w:sz w:val="18"/>
                <w:szCs w:val="18"/>
                <w14:numSpacing w14:val="tabular"/>
              </w:rPr>
            </w:pPr>
            <w:r w:rsidRPr="008F03E5">
              <w:rPr>
                <w:sz w:val="18"/>
                <w:szCs w:val="18"/>
                <w14:numSpacing w14:val="tabular"/>
              </w:rPr>
              <w:tab/>
              <w:t>12</w:t>
            </w:r>
          </w:p>
        </w:tc>
        <w:tc>
          <w:tcPr>
            <w:tcW w:w="1757" w:type="dxa"/>
            <w:tcBorders>
              <w:top w:val="nil"/>
            </w:tcBorders>
          </w:tcPr>
          <w:p w14:paraId="21ABDFE2" w14:textId="77777777" w:rsidR="00E20EB1" w:rsidRPr="008F03E5" w:rsidRDefault="00E20EB1" w:rsidP="00E20EB1">
            <w:pPr>
              <w:rPr>
                <w:sz w:val="18"/>
                <w:szCs w:val="18"/>
              </w:rPr>
            </w:pPr>
            <w:r w:rsidRPr="008F03E5">
              <w:rPr>
                <w:sz w:val="18"/>
                <w:szCs w:val="18"/>
                <w:u w:val="single"/>
              </w:rPr>
              <w:t>Dh</w:t>
            </w:r>
            <w:r w:rsidRPr="008F03E5">
              <w:rPr>
                <w:sz w:val="18"/>
                <w:szCs w:val="18"/>
              </w:rPr>
              <w:t>u’l-Ḥijjah</w:t>
            </w:r>
          </w:p>
        </w:tc>
        <w:tc>
          <w:tcPr>
            <w:tcW w:w="3345" w:type="dxa"/>
            <w:tcBorders>
              <w:top w:val="nil"/>
            </w:tcBorders>
          </w:tcPr>
          <w:p w14:paraId="59B8B59F" w14:textId="77777777" w:rsidR="00E20EB1" w:rsidRPr="008F03E5" w:rsidRDefault="00E20EB1" w:rsidP="00E20EB1">
            <w:pPr>
              <w:rPr>
                <w:sz w:val="18"/>
                <w:szCs w:val="18"/>
              </w:rPr>
            </w:pPr>
            <w:r w:rsidRPr="008F03E5">
              <w:rPr>
                <w:sz w:val="18"/>
                <w:szCs w:val="18"/>
              </w:rPr>
              <w:t>the one of or possessor of the pilgrimage</w:t>
            </w:r>
          </w:p>
        </w:tc>
        <w:tc>
          <w:tcPr>
            <w:tcW w:w="624" w:type="dxa"/>
            <w:tcBorders>
              <w:top w:val="nil"/>
            </w:tcBorders>
          </w:tcPr>
          <w:p w14:paraId="1E1C6A68" w14:textId="77777777" w:rsidR="00E20EB1" w:rsidRPr="008F03E5" w:rsidRDefault="00E20EB1" w:rsidP="00E20EB1">
            <w:pPr>
              <w:tabs>
                <w:tab w:val="decimal" w:pos="170"/>
              </w:tabs>
              <w:rPr>
                <w:sz w:val="18"/>
                <w:szCs w:val="18"/>
                <w14:numSpacing w14:val="tabular"/>
              </w:rPr>
            </w:pPr>
            <w:r w:rsidRPr="008F03E5">
              <w:rPr>
                <w:sz w:val="18"/>
                <w:szCs w:val="18"/>
                <w14:numSpacing w14:val="tabular"/>
              </w:rPr>
              <w:t>29</w:t>
            </w:r>
            <w:r w:rsidRPr="008F03E5">
              <w:rPr>
                <w:sz w:val="18"/>
                <w:szCs w:val="18"/>
                <w14:numSpacing w14:val="tabular"/>
              </w:rPr>
              <w:footnoteReference w:customMarkFollows="1" w:id="53"/>
              <w:t>*</w:t>
            </w:r>
          </w:p>
        </w:tc>
      </w:tr>
    </w:tbl>
    <w:p w14:paraId="5F4DEBE9" w14:textId="56ECA9CF" w:rsidR="00E20EB1" w:rsidRPr="008F03E5" w:rsidRDefault="00E20EB1" w:rsidP="00DD0863">
      <w:pPr>
        <w:pStyle w:val="Myhead3"/>
      </w:pPr>
      <w:r w:rsidRPr="008F03E5">
        <w:t>Persian solar</w:t>
      </w:r>
      <w:r w:rsidR="00BB58C6" w:rsidRPr="00BB58C6">
        <w:rPr>
          <w:b w:val="0"/>
          <w:i w:val="0"/>
          <w:iCs/>
          <w:sz w:val="12"/>
        </w:rPr>
        <w:fldChar w:fldCharType="begin"/>
      </w:r>
      <w:r w:rsidR="00BB58C6" w:rsidRPr="00BB58C6">
        <w:rPr>
          <w:b w:val="0"/>
          <w:i w:val="0"/>
          <w:iCs/>
          <w:sz w:val="12"/>
        </w:rPr>
        <w:instrText xml:space="preserve"> TC “</w:instrText>
      </w:r>
      <w:bookmarkStart w:id="218" w:name="_Toc149476395"/>
      <w:bookmarkStart w:id="219" w:name="_Toc167691897"/>
      <w:r w:rsidR="00BB58C6" w:rsidRPr="00074EB6">
        <w:rPr>
          <w:b w:val="0"/>
          <w:sz w:val="12"/>
        </w:rPr>
        <w:instrText>Persian solar</w:instrText>
      </w:r>
      <w:r w:rsidR="00BB58C6" w:rsidRPr="00074EB6">
        <w:rPr>
          <w:b w:val="0"/>
          <w:color w:val="FFFFFF" w:themeColor="background1"/>
          <w:sz w:val="12"/>
        </w:rPr>
        <w:instrText>..</w:instrText>
      </w:r>
      <w:r w:rsidR="00BB58C6" w:rsidRPr="00074EB6">
        <w:rPr>
          <w:b w:val="0"/>
          <w:sz w:val="12"/>
        </w:rPr>
        <w:tab/>
      </w:r>
      <w:r w:rsidR="00BB58C6" w:rsidRPr="00074EB6">
        <w:rPr>
          <w:b w:val="0"/>
          <w:color w:val="FFFFFF" w:themeColor="background1"/>
          <w:sz w:val="12"/>
        </w:rPr>
        <w:instrText>.</w:instrText>
      </w:r>
      <w:bookmarkEnd w:id="218"/>
      <w:bookmarkEnd w:id="219"/>
      <w:r w:rsidR="00BB58C6" w:rsidRPr="00BB58C6">
        <w:rPr>
          <w:b w:val="0"/>
          <w:i w:val="0"/>
          <w:iCs/>
          <w:sz w:val="12"/>
        </w:rPr>
        <w:instrText>” \l 2</w:instrText>
      </w:r>
      <w:r w:rsidR="00BB58C6" w:rsidRPr="00BB58C6">
        <w:rPr>
          <w:b w:val="0"/>
          <w:i w:val="0"/>
          <w:iCs/>
          <w:sz w:val="12"/>
        </w:rPr>
        <w:fldChar w:fldCharType="end"/>
      </w:r>
    </w:p>
    <w:p w14:paraId="4B602941" w14:textId="77777777" w:rsidR="00E20EB1" w:rsidRPr="008F03E5" w:rsidRDefault="00E20EB1" w:rsidP="00E20EB1">
      <w:pPr>
        <w:pStyle w:val="Text"/>
        <w:spacing w:after="60"/>
      </w:pPr>
      <w:r w:rsidRPr="008F03E5">
        <w:t xml:space="preserve">Calendar started in </w:t>
      </w:r>
      <w:r w:rsidRPr="008F03E5">
        <w:rPr>
          <w:sz w:val="16"/>
          <w:szCs w:val="16"/>
        </w:rPr>
        <w:t>CE</w:t>
      </w:r>
      <w:r w:rsidRPr="008F03E5">
        <w:t xml:space="preserve"> 622, and the beginning of the year is the vernal equinox.</w:t>
      </w:r>
    </w:p>
    <w:tbl>
      <w:tblPr>
        <w:tblStyle w:val="TableGrid"/>
        <w:tblW w:w="9427" w:type="dxa"/>
        <w:jc w:val="center"/>
        <w:tblLook w:val="04A0" w:firstRow="1" w:lastRow="0" w:firstColumn="1" w:lastColumn="0" w:noHBand="0" w:noVBand="1"/>
      </w:tblPr>
      <w:tblGrid>
        <w:gridCol w:w="377"/>
        <w:gridCol w:w="1701"/>
        <w:gridCol w:w="662"/>
        <w:gridCol w:w="377"/>
        <w:gridCol w:w="1108"/>
        <w:gridCol w:w="662"/>
        <w:gridCol w:w="391"/>
        <w:gridCol w:w="1247"/>
        <w:gridCol w:w="662"/>
        <w:gridCol w:w="427"/>
        <w:gridCol w:w="1077"/>
        <w:gridCol w:w="736"/>
      </w:tblGrid>
      <w:tr w:rsidR="00E20EB1" w:rsidRPr="008F03E5" w14:paraId="6628047E" w14:textId="77777777" w:rsidTr="00E20EB1">
        <w:trPr>
          <w:jc w:val="center"/>
        </w:trPr>
        <w:tc>
          <w:tcPr>
            <w:tcW w:w="377" w:type="dxa"/>
            <w:tcBorders>
              <w:top w:val="nil"/>
              <w:left w:val="nil"/>
              <w:bottom w:val="single" w:sz="6" w:space="0" w:color="auto"/>
              <w:right w:val="single" w:sz="6" w:space="0" w:color="auto"/>
            </w:tcBorders>
          </w:tcPr>
          <w:p w14:paraId="431B73C3" w14:textId="77777777" w:rsidR="00E20EB1" w:rsidRPr="008F03E5" w:rsidRDefault="00E20EB1" w:rsidP="00E20EB1">
            <w:pPr>
              <w:keepNext/>
              <w:rPr>
                <w:b/>
                <w:bCs/>
                <w:sz w:val="18"/>
                <w:szCs w:val="18"/>
              </w:rPr>
            </w:pPr>
          </w:p>
        </w:tc>
        <w:tc>
          <w:tcPr>
            <w:tcW w:w="1701" w:type="dxa"/>
            <w:tcBorders>
              <w:top w:val="single" w:sz="8" w:space="0" w:color="auto"/>
              <w:left w:val="single" w:sz="6" w:space="0" w:color="auto"/>
              <w:bottom w:val="single" w:sz="6" w:space="0" w:color="auto"/>
              <w:right w:val="single" w:sz="4" w:space="0" w:color="auto"/>
            </w:tcBorders>
          </w:tcPr>
          <w:p w14:paraId="0F34CED1" w14:textId="77777777" w:rsidR="00E20EB1" w:rsidRPr="008F03E5" w:rsidRDefault="00E20EB1" w:rsidP="00E20EB1">
            <w:pPr>
              <w:keepNext/>
              <w:jc w:val="center"/>
              <w:rPr>
                <w:b/>
                <w:bCs/>
                <w:sz w:val="18"/>
                <w:szCs w:val="18"/>
              </w:rPr>
            </w:pPr>
            <w:r w:rsidRPr="008F03E5">
              <w:rPr>
                <w:b/>
                <w:bCs/>
                <w:sz w:val="18"/>
                <w:szCs w:val="18"/>
              </w:rPr>
              <w:t>Name</w:t>
            </w:r>
          </w:p>
        </w:tc>
        <w:tc>
          <w:tcPr>
            <w:tcW w:w="662" w:type="dxa"/>
            <w:tcBorders>
              <w:top w:val="single" w:sz="6" w:space="0" w:color="auto"/>
              <w:bottom w:val="single" w:sz="6" w:space="0" w:color="auto"/>
              <w:right w:val="single" w:sz="8" w:space="0" w:color="auto"/>
            </w:tcBorders>
          </w:tcPr>
          <w:p w14:paraId="77EEECA2" w14:textId="77777777" w:rsidR="00E20EB1" w:rsidRPr="008F03E5" w:rsidRDefault="00E20EB1" w:rsidP="00E20EB1">
            <w:pPr>
              <w:keepNext/>
              <w:jc w:val="center"/>
              <w:rPr>
                <w:b/>
                <w:bCs/>
                <w:sz w:val="18"/>
                <w:szCs w:val="18"/>
              </w:rPr>
            </w:pPr>
            <w:r w:rsidRPr="008F03E5">
              <w:rPr>
                <w:b/>
                <w:bCs/>
                <w:sz w:val="18"/>
                <w:szCs w:val="18"/>
              </w:rPr>
              <w:t>Days</w:t>
            </w:r>
          </w:p>
        </w:tc>
        <w:tc>
          <w:tcPr>
            <w:tcW w:w="377" w:type="dxa"/>
            <w:tcBorders>
              <w:top w:val="nil"/>
              <w:left w:val="single" w:sz="8" w:space="0" w:color="auto"/>
              <w:bottom w:val="single" w:sz="6" w:space="0" w:color="auto"/>
              <w:right w:val="single" w:sz="6" w:space="0" w:color="auto"/>
            </w:tcBorders>
          </w:tcPr>
          <w:p w14:paraId="23F8F259" w14:textId="77777777" w:rsidR="00E20EB1" w:rsidRPr="008F03E5" w:rsidRDefault="00E20EB1" w:rsidP="00E20EB1">
            <w:pPr>
              <w:keepNext/>
              <w:rPr>
                <w:b/>
                <w:bCs/>
                <w:sz w:val="18"/>
                <w:szCs w:val="18"/>
              </w:rPr>
            </w:pPr>
          </w:p>
        </w:tc>
        <w:tc>
          <w:tcPr>
            <w:tcW w:w="1108" w:type="dxa"/>
            <w:tcBorders>
              <w:top w:val="single" w:sz="8" w:space="0" w:color="auto"/>
              <w:left w:val="single" w:sz="6" w:space="0" w:color="auto"/>
              <w:bottom w:val="single" w:sz="6" w:space="0" w:color="auto"/>
              <w:right w:val="single" w:sz="4" w:space="0" w:color="auto"/>
            </w:tcBorders>
          </w:tcPr>
          <w:p w14:paraId="2075FE9A" w14:textId="77777777" w:rsidR="00E20EB1" w:rsidRPr="008F03E5" w:rsidRDefault="00E20EB1" w:rsidP="00E20EB1">
            <w:pPr>
              <w:keepNext/>
              <w:jc w:val="center"/>
              <w:rPr>
                <w:b/>
                <w:bCs/>
                <w:sz w:val="18"/>
                <w:szCs w:val="18"/>
              </w:rPr>
            </w:pPr>
            <w:r w:rsidRPr="008F03E5">
              <w:rPr>
                <w:b/>
                <w:bCs/>
                <w:sz w:val="18"/>
                <w:szCs w:val="18"/>
              </w:rPr>
              <w:t>Name</w:t>
            </w:r>
          </w:p>
        </w:tc>
        <w:tc>
          <w:tcPr>
            <w:tcW w:w="662" w:type="dxa"/>
            <w:tcBorders>
              <w:top w:val="single" w:sz="8" w:space="0" w:color="auto"/>
              <w:left w:val="single" w:sz="4" w:space="0" w:color="auto"/>
              <w:bottom w:val="single" w:sz="6" w:space="0" w:color="auto"/>
              <w:right w:val="single" w:sz="8" w:space="0" w:color="auto"/>
            </w:tcBorders>
          </w:tcPr>
          <w:p w14:paraId="69B50B3F" w14:textId="77777777" w:rsidR="00E20EB1" w:rsidRPr="008F03E5" w:rsidRDefault="00E20EB1" w:rsidP="00E20EB1">
            <w:pPr>
              <w:keepNext/>
              <w:jc w:val="center"/>
              <w:rPr>
                <w:b/>
                <w:bCs/>
                <w:sz w:val="18"/>
                <w:szCs w:val="18"/>
              </w:rPr>
            </w:pPr>
            <w:r w:rsidRPr="008F03E5">
              <w:rPr>
                <w:b/>
                <w:bCs/>
                <w:sz w:val="18"/>
                <w:szCs w:val="18"/>
              </w:rPr>
              <w:t>Days</w:t>
            </w:r>
          </w:p>
        </w:tc>
        <w:tc>
          <w:tcPr>
            <w:tcW w:w="391" w:type="dxa"/>
            <w:tcBorders>
              <w:top w:val="nil"/>
              <w:left w:val="single" w:sz="8" w:space="0" w:color="auto"/>
              <w:bottom w:val="single" w:sz="6" w:space="0" w:color="auto"/>
              <w:right w:val="single" w:sz="6" w:space="0" w:color="auto"/>
            </w:tcBorders>
          </w:tcPr>
          <w:p w14:paraId="617D5DA8" w14:textId="77777777" w:rsidR="00E20EB1" w:rsidRPr="008F03E5" w:rsidRDefault="00E20EB1" w:rsidP="00E20EB1">
            <w:pPr>
              <w:keepNext/>
              <w:rPr>
                <w:b/>
                <w:bCs/>
                <w:sz w:val="18"/>
                <w:szCs w:val="18"/>
              </w:rPr>
            </w:pPr>
          </w:p>
        </w:tc>
        <w:tc>
          <w:tcPr>
            <w:tcW w:w="1247" w:type="dxa"/>
            <w:tcBorders>
              <w:top w:val="single" w:sz="8" w:space="0" w:color="auto"/>
              <w:left w:val="single" w:sz="6" w:space="0" w:color="auto"/>
              <w:bottom w:val="single" w:sz="6" w:space="0" w:color="auto"/>
            </w:tcBorders>
          </w:tcPr>
          <w:p w14:paraId="217ED3D8" w14:textId="77777777" w:rsidR="00E20EB1" w:rsidRPr="008F03E5" w:rsidRDefault="00E20EB1" w:rsidP="00E20EB1">
            <w:pPr>
              <w:keepNext/>
              <w:jc w:val="center"/>
              <w:rPr>
                <w:b/>
                <w:bCs/>
                <w:sz w:val="18"/>
                <w:szCs w:val="18"/>
              </w:rPr>
            </w:pPr>
            <w:r w:rsidRPr="008F03E5">
              <w:rPr>
                <w:b/>
                <w:bCs/>
                <w:sz w:val="18"/>
                <w:szCs w:val="18"/>
              </w:rPr>
              <w:t>Name</w:t>
            </w:r>
          </w:p>
        </w:tc>
        <w:tc>
          <w:tcPr>
            <w:tcW w:w="662" w:type="dxa"/>
            <w:tcBorders>
              <w:top w:val="single" w:sz="8" w:space="0" w:color="auto"/>
              <w:bottom w:val="single" w:sz="6" w:space="0" w:color="auto"/>
            </w:tcBorders>
          </w:tcPr>
          <w:p w14:paraId="1991C8D5" w14:textId="77777777" w:rsidR="00E20EB1" w:rsidRPr="008F03E5" w:rsidRDefault="00E20EB1" w:rsidP="00E20EB1">
            <w:pPr>
              <w:keepNext/>
              <w:jc w:val="center"/>
              <w:rPr>
                <w:b/>
                <w:bCs/>
                <w:sz w:val="18"/>
                <w:szCs w:val="18"/>
              </w:rPr>
            </w:pPr>
            <w:r w:rsidRPr="008F03E5">
              <w:rPr>
                <w:b/>
                <w:bCs/>
                <w:sz w:val="18"/>
                <w:szCs w:val="18"/>
              </w:rPr>
              <w:t>Days</w:t>
            </w:r>
          </w:p>
        </w:tc>
        <w:tc>
          <w:tcPr>
            <w:tcW w:w="427" w:type="dxa"/>
            <w:tcBorders>
              <w:top w:val="nil"/>
              <w:left w:val="single" w:sz="6" w:space="0" w:color="auto"/>
              <w:bottom w:val="single" w:sz="6" w:space="0" w:color="auto"/>
              <w:right w:val="single" w:sz="6" w:space="0" w:color="auto"/>
            </w:tcBorders>
          </w:tcPr>
          <w:p w14:paraId="08D2522C" w14:textId="77777777" w:rsidR="00E20EB1" w:rsidRPr="008F03E5" w:rsidRDefault="00E20EB1" w:rsidP="00E20EB1">
            <w:pPr>
              <w:keepNext/>
              <w:rPr>
                <w:b/>
                <w:bCs/>
                <w:sz w:val="18"/>
                <w:szCs w:val="18"/>
              </w:rPr>
            </w:pPr>
          </w:p>
        </w:tc>
        <w:tc>
          <w:tcPr>
            <w:tcW w:w="1077" w:type="dxa"/>
            <w:tcBorders>
              <w:top w:val="single" w:sz="6" w:space="0" w:color="auto"/>
              <w:left w:val="single" w:sz="6" w:space="0" w:color="auto"/>
              <w:bottom w:val="single" w:sz="6" w:space="0" w:color="auto"/>
              <w:right w:val="single" w:sz="4" w:space="0" w:color="auto"/>
            </w:tcBorders>
          </w:tcPr>
          <w:p w14:paraId="07A71DB5" w14:textId="77777777" w:rsidR="00E20EB1" w:rsidRPr="008F03E5" w:rsidRDefault="00E20EB1" w:rsidP="00E20EB1">
            <w:pPr>
              <w:keepNext/>
              <w:jc w:val="center"/>
              <w:rPr>
                <w:b/>
                <w:bCs/>
                <w:sz w:val="18"/>
                <w:szCs w:val="18"/>
              </w:rPr>
            </w:pPr>
            <w:r w:rsidRPr="008F03E5">
              <w:rPr>
                <w:b/>
                <w:bCs/>
                <w:sz w:val="18"/>
                <w:szCs w:val="18"/>
              </w:rPr>
              <w:t>Name</w:t>
            </w:r>
          </w:p>
        </w:tc>
        <w:tc>
          <w:tcPr>
            <w:tcW w:w="736" w:type="dxa"/>
            <w:tcBorders>
              <w:top w:val="single" w:sz="6" w:space="0" w:color="auto"/>
              <w:left w:val="single" w:sz="4" w:space="0" w:color="auto"/>
              <w:bottom w:val="single" w:sz="6" w:space="0" w:color="auto"/>
              <w:right w:val="single" w:sz="8" w:space="0" w:color="auto"/>
            </w:tcBorders>
          </w:tcPr>
          <w:p w14:paraId="312B5350" w14:textId="77777777" w:rsidR="00E20EB1" w:rsidRPr="008F03E5" w:rsidRDefault="00E20EB1" w:rsidP="00E20EB1">
            <w:pPr>
              <w:keepNext/>
              <w:jc w:val="center"/>
              <w:rPr>
                <w:b/>
                <w:bCs/>
                <w:sz w:val="18"/>
                <w:szCs w:val="18"/>
              </w:rPr>
            </w:pPr>
            <w:r w:rsidRPr="008F03E5">
              <w:rPr>
                <w:b/>
                <w:bCs/>
                <w:sz w:val="18"/>
                <w:szCs w:val="18"/>
              </w:rPr>
              <w:t>Days</w:t>
            </w:r>
          </w:p>
        </w:tc>
      </w:tr>
      <w:tr w:rsidR="00E20EB1" w:rsidRPr="008F03E5" w14:paraId="68BAFECF" w14:textId="77777777" w:rsidTr="00E20EB1">
        <w:trPr>
          <w:jc w:val="center"/>
        </w:trPr>
        <w:tc>
          <w:tcPr>
            <w:tcW w:w="377" w:type="dxa"/>
            <w:tcBorders>
              <w:top w:val="single" w:sz="6" w:space="0" w:color="auto"/>
              <w:left w:val="single" w:sz="6" w:space="0" w:color="auto"/>
              <w:bottom w:val="nil"/>
            </w:tcBorders>
          </w:tcPr>
          <w:p w14:paraId="28414D36" w14:textId="77777777" w:rsidR="00E20EB1" w:rsidRPr="008F03E5" w:rsidRDefault="00E20EB1" w:rsidP="00E20EB1">
            <w:pPr>
              <w:jc w:val="center"/>
              <w:rPr>
                <w:sz w:val="18"/>
                <w:szCs w:val="18"/>
                <w14:numSpacing w14:val="tabular"/>
              </w:rPr>
            </w:pPr>
            <w:r w:rsidRPr="008F03E5">
              <w:rPr>
                <w:sz w:val="18"/>
                <w:szCs w:val="18"/>
                <w14:numSpacing w14:val="tabular"/>
              </w:rPr>
              <w:t>1</w:t>
            </w:r>
          </w:p>
        </w:tc>
        <w:tc>
          <w:tcPr>
            <w:tcW w:w="1701" w:type="dxa"/>
            <w:tcBorders>
              <w:top w:val="single" w:sz="6" w:space="0" w:color="auto"/>
              <w:bottom w:val="nil"/>
            </w:tcBorders>
          </w:tcPr>
          <w:p w14:paraId="6C3BD89F" w14:textId="77777777" w:rsidR="00E20EB1" w:rsidRPr="008F03E5" w:rsidRDefault="00E20EB1" w:rsidP="00E20EB1">
            <w:pPr>
              <w:rPr>
                <w:sz w:val="18"/>
                <w:szCs w:val="18"/>
                <w14:numSpacing w14:val="tabular"/>
              </w:rPr>
            </w:pPr>
            <w:r w:rsidRPr="008F03E5">
              <w:rPr>
                <w:sz w:val="18"/>
                <w:szCs w:val="18"/>
                <w14:numSpacing w14:val="tabular"/>
              </w:rPr>
              <w:t>Farwardín</w:t>
            </w:r>
          </w:p>
        </w:tc>
        <w:tc>
          <w:tcPr>
            <w:tcW w:w="662" w:type="dxa"/>
            <w:tcBorders>
              <w:top w:val="single" w:sz="6" w:space="0" w:color="auto"/>
              <w:bottom w:val="nil"/>
              <w:right w:val="single" w:sz="8" w:space="0" w:color="auto"/>
            </w:tcBorders>
          </w:tcPr>
          <w:p w14:paraId="4EF23AF4" w14:textId="77777777" w:rsidR="00E20EB1" w:rsidRPr="008F03E5" w:rsidRDefault="00E20EB1" w:rsidP="00E20EB1">
            <w:pPr>
              <w:jc w:val="center"/>
              <w:rPr>
                <w:sz w:val="18"/>
                <w:szCs w:val="18"/>
                <w14:numSpacing w14:val="tabular"/>
              </w:rPr>
            </w:pPr>
            <w:r w:rsidRPr="008F03E5">
              <w:rPr>
                <w:sz w:val="18"/>
                <w:szCs w:val="18"/>
                <w14:numSpacing w14:val="tabular"/>
              </w:rPr>
              <w:t>31</w:t>
            </w:r>
          </w:p>
        </w:tc>
        <w:tc>
          <w:tcPr>
            <w:tcW w:w="377" w:type="dxa"/>
            <w:tcBorders>
              <w:top w:val="single" w:sz="6" w:space="0" w:color="auto"/>
              <w:left w:val="single" w:sz="8" w:space="0" w:color="auto"/>
              <w:bottom w:val="nil"/>
            </w:tcBorders>
          </w:tcPr>
          <w:p w14:paraId="3DCC91C2" w14:textId="77777777" w:rsidR="00E20EB1" w:rsidRPr="008F03E5" w:rsidRDefault="00E20EB1" w:rsidP="00E20EB1">
            <w:pPr>
              <w:jc w:val="center"/>
              <w:rPr>
                <w:sz w:val="18"/>
                <w:szCs w:val="18"/>
                <w14:numSpacing w14:val="tabular"/>
              </w:rPr>
            </w:pPr>
            <w:r w:rsidRPr="008F03E5">
              <w:rPr>
                <w:sz w:val="18"/>
                <w:szCs w:val="18"/>
                <w14:numSpacing w14:val="tabular"/>
              </w:rPr>
              <w:t>4</w:t>
            </w:r>
          </w:p>
        </w:tc>
        <w:tc>
          <w:tcPr>
            <w:tcW w:w="1108" w:type="dxa"/>
            <w:tcBorders>
              <w:top w:val="single" w:sz="6" w:space="0" w:color="auto"/>
              <w:bottom w:val="nil"/>
              <w:right w:val="single" w:sz="4" w:space="0" w:color="auto"/>
            </w:tcBorders>
          </w:tcPr>
          <w:p w14:paraId="6C00A7A0" w14:textId="77777777" w:rsidR="00E20EB1" w:rsidRPr="008F03E5" w:rsidRDefault="00E20EB1" w:rsidP="00E20EB1">
            <w:pPr>
              <w:rPr>
                <w:sz w:val="18"/>
                <w:szCs w:val="18"/>
                <w14:numSpacing w14:val="tabular"/>
              </w:rPr>
            </w:pPr>
            <w:r w:rsidRPr="008F03E5">
              <w:rPr>
                <w:sz w:val="18"/>
                <w:szCs w:val="18"/>
                <w14:numSpacing w14:val="tabular"/>
              </w:rPr>
              <w:t>Tír</w:t>
            </w:r>
          </w:p>
        </w:tc>
        <w:tc>
          <w:tcPr>
            <w:tcW w:w="662" w:type="dxa"/>
            <w:tcBorders>
              <w:top w:val="single" w:sz="6" w:space="0" w:color="auto"/>
              <w:left w:val="single" w:sz="4" w:space="0" w:color="auto"/>
              <w:bottom w:val="nil"/>
              <w:right w:val="single" w:sz="8" w:space="0" w:color="auto"/>
            </w:tcBorders>
          </w:tcPr>
          <w:p w14:paraId="702B9165" w14:textId="77777777" w:rsidR="00E20EB1" w:rsidRPr="008F03E5" w:rsidRDefault="00E20EB1" w:rsidP="00E20EB1">
            <w:pPr>
              <w:jc w:val="center"/>
              <w:rPr>
                <w:sz w:val="18"/>
                <w:szCs w:val="18"/>
                <w14:numSpacing w14:val="tabular"/>
              </w:rPr>
            </w:pPr>
            <w:r w:rsidRPr="008F03E5">
              <w:rPr>
                <w:sz w:val="18"/>
                <w:szCs w:val="18"/>
                <w14:numSpacing w14:val="tabular"/>
              </w:rPr>
              <w:t>31</w:t>
            </w:r>
          </w:p>
        </w:tc>
        <w:tc>
          <w:tcPr>
            <w:tcW w:w="391" w:type="dxa"/>
            <w:tcBorders>
              <w:top w:val="single" w:sz="6" w:space="0" w:color="auto"/>
              <w:left w:val="single" w:sz="8" w:space="0" w:color="auto"/>
              <w:bottom w:val="nil"/>
              <w:right w:val="single" w:sz="4" w:space="0" w:color="auto"/>
            </w:tcBorders>
          </w:tcPr>
          <w:p w14:paraId="5275BBAA" w14:textId="77777777" w:rsidR="00E20EB1" w:rsidRPr="008F03E5" w:rsidRDefault="00E20EB1" w:rsidP="00E20EB1">
            <w:pPr>
              <w:tabs>
                <w:tab w:val="decimal" w:pos="159"/>
              </w:tabs>
              <w:rPr>
                <w:sz w:val="18"/>
                <w:szCs w:val="18"/>
                <w14:numSpacing w14:val="tabular"/>
              </w:rPr>
            </w:pPr>
            <w:r w:rsidRPr="008F03E5">
              <w:rPr>
                <w:sz w:val="18"/>
                <w:szCs w:val="18"/>
                <w14:numSpacing w14:val="tabular"/>
              </w:rPr>
              <w:t>7</w:t>
            </w:r>
          </w:p>
        </w:tc>
        <w:tc>
          <w:tcPr>
            <w:tcW w:w="1247" w:type="dxa"/>
            <w:tcBorders>
              <w:top w:val="single" w:sz="6" w:space="0" w:color="auto"/>
              <w:left w:val="single" w:sz="4" w:space="0" w:color="auto"/>
              <w:bottom w:val="nil"/>
            </w:tcBorders>
          </w:tcPr>
          <w:p w14:paraId="09AD38DC" w14:textId="77777777" w:rsidR="00E20EB1" w:rsidRPr="008F03E5" w:rsidRDefault="00E20EB1" w:rsidP="00E20EB1">
            <w:pPr>
              <w:rPr>
                <w:sz w:val="18"/>
                <w:szCs w:val="18"/>
                <w14:numSpacing w14:val="tabular"/>
              </w:rPr>
            </w:pPr>
            <w:r w:rsidRPr="008F03E5">
              <w:rPr>
                <w:sz w:val="18"/>
                <w:szCs w:val="18"/>
                <w14:numSpacing w14:val="tabular"/>
              </w:rPr>
              <w:t>Mihr</w:t>
            </w:r>
          </w:p>
        </w:tc>
        <w:tc>
          <w:tcPr>
            <w:tcW w:w="662" w:type="dxa"/>
            <w:tcBorders>
              <w:top w:val="single" w:sz="6" w:space="0" w:color="auto"/>
              <w:bottom w:val="nil"/>
            </w:tcBorders>
          </w:tcPr>
          <w:p w14:paraId="556B0A11" w14:textId="77777777" w:rsidR="00E20EB1" w:rsidRPr="008F03E5" w:rsidRDefault="00E20EB1" w:rsidP="00E20EB1">
            <w:pPr>
              <w:jc w:val="center"/>
              <w:rPr>
                <w:sz w:val="18"/>
                <w:szCs w:val="18"/>
                <w14:numSpacing w14:val="tabular"/>
              </w:rPr>
            </w:pPr>
            <w:r w:rsidRPr="008F03E5">
              <w:rPr>
                <w:sz w:val="18"/>
                <w:szCs w:val="18"/>
                <w14:numSpacing w14:val="tabular"/>
              </w:rPr>
              <w:t>30</w:t>
            </w:r>
          </w:p>
        </w:tc>
        <w:tc>
          <w:tcPr>
            <w:tcW w:w="427" w:type="dxa"/>
            <w:tcBorders>
              <w:top w:val="single" w:sz="6" w:space="0" w:color="auto"/>
              <w:left w:val="single" w:sz="6" w:space="0" w:color="auto"/>
              <w:bottom w:val="nil"/>
            </w:tcBorders>
          </w:tcPr>
          <w:p w14:paraId="066E0638" w14:textId="77777777" w:rsidR="00E20EB1" w:rsidRPr="008F03E5" w:rsidRDefault="00E20EB1" w:rsidP="00E20EB1">
            <w:pPr>
              <w:tabs>
                <w:tab w:val="decimal" w:pos="159"/>
              </w:tabs>
              <w:rPr>
                <w:sz w:val="18"/>
                <w:szCs w:val="18"/>
                <w14:numSpacing w14:val="tabular"/>
              </w:rPr>
            </w:pPr>
            <w:r w:rsidRPr="008F03E5">
              <w:rPr>
                <w:sz w:val="18"/>
                <w:szCs w:val="18"/>
                <w14:numSpacing w14:val="tabular"/>
              </w:rPr>
              <w:t>10</w:t>
            </w:r>
          </w:p>
        </w:tc>
        <w:tc>
          <w:tcPr>
            <w:tcW w:w="1077" w:type="dxa"/>
            <w:tcBorders>
              <w:top w:val="single" w:sz="6" w:space="0" w:color="auto"/>
              <w:bottom w:val="nil"/>
              <w:right w:val="single" w:sz="4" w:space="0" w:color="auto"/>
            </w:tcBorders>
          </w:tcPr>
          <w:p w14:paraId="45F1563B" w14:textId="77777777" w:rsidR="00E20EB1" w:rsidRPr="008F03E5" w:rsidRDefault="00E20EB1" w:rsidP="00E20EB1">
            <w:pPr>
              <w:rPr>
                <w:sz w:val="18"/>
                <w:szCs w:val="18"/>
                <w14:numSpacing w14:val="tabular"/>
              </w:rPr>
            </w:pPr>
            <w:r w:rsidRPr="008F03E5">
              <w:rPr>
                <w:sz w:val="18"/>
                <w:szCs w:val="18"/>
                <w14:numSpacing w14:val="tabular"/>
              </w:rPr>
              <w:t>Day (Dai)</w:t>
            </w:r>
          </w:p>
        </w:tc>
        <w:tc>
          <w:tcPr>
            <w:tcW w:w="736" w:type="dxa"/>
            <w:tcBorders>
              <w:top w:val="single" w:sz="6" w:space="0" w:color="auto"/>
              <w:left w:val="single" w:sz="4" w:space="0" w:color="auto"/>
              <w:bottom w:val="nil"/>
              <w:right w:val="single" w:sz="8" w:space="0" w:color="auto"/>
            </w:tcBorders>
          </w:tcPr>
          <w:p w14:paraId="5685DEA3" w14:textId="77777777" w:rsidR="00E20EB1" w:rsidRPr="008F03E5" w:rsidRDefault="00E20EB1" w:rsidP="00E20EB1">
            <w:pPr>
              <w:jc w:val="center"/>
              <w:rPr>
                <w:sz w:val="18"/>
                <w:szCs w:val="18"/>
                <w14:numSpacing w14:val="tabular"/>
              </w:rPr>
            </w:pPr>
            <w:r w:rsidRPr="008F03E5">
              <w:rPr>
                <w:sz w:val="18"/>
                <w:szCs w:val="18"/>
                <w14:numSpacing w14:val="tabular"/>
              </w:rPr>
              <w:t>30</w:t>
            </w:r>
          </w:p>
        </w:tc>
      </w:tr>
      <w:tr w:rsidR="00E20EB1" w:rsidRPr="008F03E5" w14:paraId="34189FB7" w14:textId="77777777" w:rsidTr="00E20EB1">
        <w:trPr>
          <w:jc w:val="center"/>
        </w:trPr>
        <w:tc>
          <w:tcPr>
            <w:tcW w:w="377" w:type="dxa"/>
            <w:tcBorders>
              <w:top w:val="nil"/>
              <w:left w:val="single" w:sz="6" w:space="0" w:color="auto"/>
              <w:bottom w:val="nil"/>
            </w:tcBorders>
          </w:tcPr>
          <w:p w14:paraId="68CE451B" w14:textId="77777777" w:rsidR="00E20EB1" w:rsidRPr="008F03E5" w:rsidRDefault="00E20EB1" w:rsidP="00E20EB1">
            <w:pPr>
              <w:jc w:val="center"/>
              <w:rPr>
                <w:sz w:val="18"/>
                <w:szCs w:val="18"/>
                <w14:numSpacing w14:val="tabular"/>
              </w:rPr>
            </w:pPr>
            <w:r w:rsidRPr="008F03E5">
              <w:rPr>
                <w:sz w:val="18"/>
                <w:szCs w:val="18"/>
                <w14:numSpacing w14:val="tabular"/>
              </w:rPr>
              <w:t>2</w:t>
            </w:r>
          </w:p>
        </w:tc>
        <w:tc>
          <w:tcPr>
            <w:tcW w:w="1701" w:type="dxa"/>
            <w:tcBorders>
              <w:top w:val="nil"/>
              <w:bottom w:val="nil"/>
            </w:tcBorders>
          </w:tcPr>
          <w:p w14:paraId="4C3E0AF4" w14:textId="77777777" w:rsidR="00E20EB1" w:rsidRPr="008F03E5" w:rsidRDefault="00E20EB1" w:rsidP="00E20EB1">
            <w:pPr>
              <w:rPr>
                <w:sz w:val="18"/>
                <w:szCs w:val="18"/>
                <w14:numSpacing w14:val="tabular"/>
              </w:rPr>
            </w:pPr>
            <w:r w:rsidRPr="008F03E5">
              <w:rPr>
                <w:sz w:val="18"/>
                <w:szCs w:val="18"/>
                <w14:numSpacing w14:val="tabular"/>
              </w:rPr>
              <w:t>Urdí (Ardí) bihi</w:t>
            </w:r>
            <w:r w:rsidRPr="008F03E5">
              <w:rPr>
                <w:sz w:val="18"/>
                <w:szCs w:val="18"/>
                <w:u w:val="single"/>
                <w14:numSpacing w14:val="tabular"/>
              </w:rPr>
              <w:t>sh</w:t>
            </w:r>
            <w:r w:rsidRPr="008F03E5">
              <w:rPr>
                <w:sz w:val="18"/>
                <w:szCs w:val="18"/>
                <w14:numSpacing w14:val="tabular"/>
              </w:rPr>
              <w:t>t</w:t>
            </w:r>
          </w:p>
        </w:tc>
        <w:tc>
          <w:tcPr>
            <w:tcW w:w="662" w:type="dxa"/>
            <w:tcBorders>
              <w:top w:val="nil"/>
              <w:bottom w:val="nil"/>
              <w:right w:val="single" w:sz="8" w:space="0" w:color="auto"/>
            </w:tcBorders>
          </w:tcPr>
          <w:p w14:paraId="03370CEF" w14:textId="77777777" w:rsidR="00E20EB1" w:rsidRPr="008F03E5" w:rsidRDefault="00E20EB1" w:rsidP="00E20EB1">
            <w:pPr>
              <w:jc w:val="center"/>
              <w:rPr>
                <w:sz w:val="18"/>
                <w:szCs w:val="18"/>
                <w14:numSpacing w14:val="tabular"/>
              </w:rPr>
            </w:pPr>
            <w:r w:rsidRPr="008F03E5">
              <w:rPr>
                <w:sz w:val="18"/>
                <w:szCs w:val="18"/>
                <w14:numSpacing w14:val="tabular"/>
              </w:rPr>
              <w:t>31</w:t>
            </w:r>
          </w:p>
        </w:tc>
        <w:tc>
          <w:tcPr>
            <w:tcW w:w="377" w:type="dxa"/>
            <w:tcBorders>
              <w:top w:val="nil"/>
              <w:left w:val="single" w:sz="8" w:space="0" w:color="auto"/>
              <w:bottom w:val="nil"/>
            </w:tcBorders>
          </w:tcPr>
          <w:p w14:paraId="71F7DB94" w14:textId="77777777" w:rsidR="00E20EB1" w:rsidRPr="008F03E5" w:rsidRDefault="00E20EB1" w:rsidP="00E20EB1">
            <w:pPr>
              <w:jc w:val="center"/>
              <w:rPr>
                <w:sz w:val="18"/>
                <w:szCs w:val="18"/>
                <w14:numSpacing w14:val="tabular"/>
              </w:rPr>
            </w:pPr>
            <w:r w:rsidRPr="008F03E5">
              <w:rPr>
                <w:sz w:val="18"/>
                <w:szCs w:val="18"/>
                <w14:numSpacing w14:val="tabular"/>
              </w:rPr>
              <w:t>5</w:t>
            </w:r>
          </w:p>
        </w:tc>
        <w:tc>
          <w:tcPr>
            <w:tcW w:w="1108" w:type="dxa"/>
            <w:tcBorders>
              <w:top w:val="nil"/>
              <w:bottom w:val="nil"/>
              <w:right w:val="single" w:sz="4" w:space="0" w:color="auto"/>
            </w:tcBorders>
          </w:tcPr>
          <w:p w14:paraId="4CAFA3CB" w14:textId="77777777" w:rsidR="00E20EB1" w:rsidRPr="008F03E5" w:rsidRDefault="00E20EB1" w:rsidP="00E20EB1">
            <w:pPr>
              <w:rPr>
                <w:sz w:val="18"/>
                <w:szCs w:val="18"/>
                <w14:numSpacing w14:val="tabular"/>
              </w:rPr>
            </w:pPr>
            <w:r w:rsidRPr="008F03E5">
              <w:rPr>
                <w:sz w:val="18"/>
                <w:szCs w:val="18"/>
                <w14:numSpacing w14:val="tabular"/>
              </w:rPr>
              <w:t>Murdád</w:t>
            </w:r>
          </w:p>
        </w:tc>
        <w:tc>
          <w:tcPr>
            <w:tcW w:w="662" w:type="dxa"/>
            <w:tcBorders>
              <w:top w:val="nil"/>
              <w:left w:val="single" w:sz="4" w:space="0" w:color="auto"/>
              <w:bottom w:val="nil"/>
              <w:right w:val="single" w:sz="8" w:space="0" w:color="auto"/>
            </w:tcBorders>
          </w:tcPr>
          <w:p w14:paraId="092B8A3A" w14:textId="77777777" w:rsidR="00E20EB1" w:rsidRPr="008F03E5" w:rsidRDefault="00E20EB1" w:rsidP="00E20EB1">
            <w:pPr>
              <w:jc w:val="center"/>
              <w:rPr>
                <w:sz w:val="18"/>
                <w:szCs w:val="18"/>
                <w14:numSpacing w14:val="tabular"/>
              </w:rPr>
            </w:pPr>
            <w:r w:rsidRPr="008F03E5">
              <w:rPr>
                <w:sz w:val="18"/>
                <w:szCs w:val="18"/>
                <w14:numSpacing w14:val="tabular"/>
              </w:rPr>
              <w:t>31</w:t>
            </w:r>
          </w:p>
        </w:tc>
        <w:tc>
          <w:tcPr>
            <w:tcW w:w="391" w:type="dxa"/>
            <w:tcBorders>
              <w:top w:val="nil"/>
              <w:left w:val="single" w:sz="8" w:space="0" w:color="auto"/>
              <w:bottom w:val="nil"/>
              <w:right w:val="single" w:sz="4" w:space="0" w:color="auto"/>
            </w:tcBorders>
          </w:tcPr>
          <w:p w14:paraId="666280A0" w14:textId="77777777" w:rsidR="00E20EB1" w:rsidRPr="008F03E5" w:rsidRDefault="00E20EB1" w:rsidP="00E20EB1">
            <w:pPr>
              <w:tabs>
                <w:tab w:val="decimal" w:pos="159"/>
              </w:tabs>
              <w:rPr>
                <w:sz w:val="18"/>
                <w:szCs w:val="18"/>
                <w14:numSpacing w14:val="tabular"/>
              </w:rPr>
            </w:pPr>
            <w:r w:rsidRPr="008F03E5">
              <w:rPr>
                <w:sz w:val="18"/>
                <w:szCs w:val="18"/>
                <w14:numSpacing w14:val="tabular"/>
              </w:rPr>
              <w:t>8</w:t>
            </w:r>
          </w:p>
        </w:tc>
        <w:tc>
          <w:tcPr>
            <w:tcW w:w="1247" w:type="dxa"/>
            <w:tcBorders>
              <w:top w:val="nil"/>
              <w:left w:val="single" w:sz="4" w:space="0" w:color="auto"/>
              <w:bottom w:val="nil"/>
            </w:tcBorders>
          </w:tcPr>
          <w:p w14:paraId="6BED64BF" w14:textId="77777777" w:rsidR="00E20EB1" w:rsidRPr="008F03E5" w:rsidRDefault="00E20EB1" w:rsidP="00E20EB1">
            <w:pPr>
              <w:rPr>
                <w:sz w:val="18"/>
                <w:szCs w:val="18"/>
                <w14:numSpacing w14:val="tabular"/>
              </w:rPr>
            </w:pPr>
            <w:r w:rsidRPr="008F03E5">
              <w:rPr>
                <w:sz w:val="18"/>
                <w:szCs w:val="18"/>
                <w14:numSpacing w14:val="tabular"/>
              </w:rPr>
              <w:t>Ábán</w:t>
            </w:r>
          </w:p>
        </w:tc>
        <w:tc>
          <w:tcPr>
            <w:tcW w:w="662" w:type="dxa"/>
            <w:tcBorders>
              <w:top w:val="nil"/>
              <w:bottom w:val="nil"/>
            </w:tcBorders>
          </w:tcPr>
          <w:p w14:paraId="0D3EDF70" w14:textId="77777777" w:rsidR="00E20EB1" w:rsidRPr="008F03E5" w:rsidRDefault="00E20EB1" w:rsidP="00E20EB1">
            <w:pPr>
              <w:jc w:val="center"/>
              <w:rPr>
                <w:sz w:val="18"/>
                <w:szCs w:val="18"/>
                <w14:numSpacing w14:val="tabular"/>
              </w:rPr>
            </w:pPr>
            <w:r w:rsidRPr="008F03E5">
              <w:rPr>
                <w:sz w:val="18"/>
                <w:szCs w:val="18"/>
                <w14:numSpacing w14:val="tabular"/>
              </w:rPr>
              <w:t>30</w:t>
            </w:r>
          </w:p>
        </w:tc>
        <w:tc>
          <w:tcPr>
            <w:tcW w:w="427" w:type="dxa"/>
            <w:tcBorders>
              <w:top w:val="nil"/>
              <w:left w:val="single" w:sz="6" w:space="0" w:color="auto"/>
              <w:bottom w:val="nil"/>
            </w:tcBorders>
          </w:tcPr>
          <w:p w14:paraId="400E7C51" w14:textId="77777777" w:rsidR="00E20EB1" w:rsidRPr="008F03E5" w:rsidRDefault="00E20EB1" w:rsidP="00E20EB1">
            <w:pPr>
              <w:tabs>
                <w:tab w:val="decimal" w:pos="159"/>
              </w:tabs>
              <w:rPr>
                <w:sz w:val="18"/>
                <w:szCs w:val="18"/>
                <w14:numSpacing w14:val="tabular"/>
              </w:rPr>
            </w:pPr>
            <w:r w:rsidRPr="008F03E5">
              <w:rPr>
                <w:sz w:val="18"/>
                <w:szCs w:val="18"/>
                <w14:numSpacing w14:val="tabular"/>
              </w:rPr>
              <w:t>11</w:t>
            </w:r>
          </w:p>
        </w:tc>
        <w:tc>
          <w:tcPr>
            <w:tcW w:w="1077" w:type="dxa"/>
            <w:tcBorders>
              <w:top w:val="nil"/>
              <w:bottom w:val="nil"/>
              <w:right w:val="single" w:sz="4" w:space="0" w:color="auto"/>
            </w:tcBorders>
          </w:tcPr>
          <w:p w14:paraId="06C404D9" w14:textId="77777777" w:rsidR="00E20EB1" w:rsidRPr="008F03E5" w:rsidRDefault="00E20EB1" w:rsidP="00E20EB1">
            <w:pPr>
              <w:rPr>
                <w:sz w:val="18"/>
                <w:szCs w:val="18"/>
                <w14:numSpacing w14:val="tabular"/>
              </w:rPr>
            </w:pPr>
            <w:r w:rsidRPr="008F03E5">
              <w:rPr>
                <w:sz w:val="18"/>
                <w:szCs w:val="18"/>
                <w14:numSpacing w14:val="tabular"/>
              </w:rPr>
              <w:t>Bahman</w:t>
            </w:r>
          </w:p>
        </w:tc>
        <w:tc>
          <w:tcPr>
            <w:tcW w:w="736" w:type="dxa"/>
            <w:tcBorders>
              <w:top w:val="nil"/>
              <w:left w:val="single" w:sz="4" w:space="0" w:color="auto"/>
              <w:bottom w:val="nil"/>
              <w:right w:val="single" w:sz="8" w:space="0" w:color="auto"/>
            </w:tcBorders>
          </w:tcPr>
          <w:p w14:paraId="28FAAF02" w14:textId="77777777" w:rsidR="00E20EB1" w:rsidRPr="008F03E5" w:rsidRDefault="00E20EB1" w:rsidP="00E20EB1">
            <w:pPr>
              <w:jc w:val="center"/>
              <w:rPr>
                <w:sz w:val="18"/>
                <w:szCs w:val="18"/>
                <w14:numSpacing w14:val="tabular"/>
              </w:rPr>
            </w:pPr>
            <w:r w:rsidRPr="008F03E5">
              <w:rPr>
                <w:sz w:val="18"/>
                <w:szCs w:val="18"/>
                <w14:numSpacing w14:val="tabular"/>
              </w:rPr>
              <w:t>30</w:t>
            </w:r>
          </w:p>
        </w:tc>
      </w:tr>
      <w:tr w:rsidR="00E20EB1" w:rsidRPr="008F03E5" w14:paraId="5189C05D" w14:textId="77777777" w:rsidTr="00E20EB1">
        <w:trPr>
          <w:jc w:val="center"/>
        </w:trPr>
        <w:tc>
          <w:tcPr>
            <w:tcW w:w="377" w:type="dxa"/>
            <w:tcBorders>
              <w:top w:val="nil"/>
              <w:left w:val="single" w:sz="6" w:space="0" w:color="auto"/>
              <w:bottom w:val="single" w:sz="8" w:space="0" w:color="auto"/>
            </w:tcBorders>
          </w:tcPr>
          <w:p w14:paraId="2FB40DF7" w14:textId="77777777" w:rsidR="00E20EB1" w:rsidRPr="008F03E5" w:rsidRDefault="00E20EB1" w:rsidP="00E20EB1">
            <w:pPr>
              <w:jc w:val="center"/>
              <w:rPr>
                <w:sz w:val="18"/>
                <w:szCs w:val="18"/>
                <w14:numSpacing w14:val="tabular"/>
              </w:rPr>
            </w:pPr>
            <w:r w:rsidRPr="008F03E5">
              <w:rPr>
                <w:sz w:val="18"/>
                <w:szCs w:val="18"/>
                <w14:numSpacing w14:val="tabular"/>
              </w:rPr>
              <w:t>3</w:t>
            </w:r>
          </w:p>
        </w:tc>
        <w:tc>
          <w:tcPr>
            <w:tcW w:w="1701" w:type="dxa"/>
            <w:tcBorders>
              <w:top w:val="nil"/>
              <w:bottom w:val="single" w:sz="8" w:space="0" w:color="auto"/>
            </w:tcBorders>
          </w:tcPr>
          <w:p w14:paraId="29889872" w14:textId="77777777" w:rsidR="00E20EB1" w:rsidRPr="008F03E5" w:rsidRDefault="00E20EB1" w:rsidP="00E20EB1">
            <w:pPr>
              <w:rPr>
                <w:sz w:val="18"/>
                <w:szCs w:val="18"/>
                <w14:numSpacing w14:val="tabular"/>
              </w:rPr>
            </w:pPr>
            <w:r w:rsidRPr="008F03E5">
              <w:rPr>
                <w:sz w:val="18"/>
                <w:szCs w:val="18"/>
                <w:u w:val="single"/>
                <w14:numSpacing w14:val="tabular"/>
              </w:rPr>
              <w:t>Kh</w:t>
            </w:r>
            <w:r w:rsidRPr="008F03E5">
              <w:rPr>
                <w:sz w:val="18"/>
                <w:szCs w:val="18"/>
                <w14:numSpacing w14:val="tabular"/>
              </w:rPr>
              <w:t>urdád</w:t>
            </w:r>
          </w:p>
        </w:tc>
        <w:tc>
          <w:tcPr>
            <w:tcW w:w="662" w:type="dxa"/>
            <w:tcBorders>
              <w:top w:val="nil"/>
              <w:bottom w:val="single" w:sz="8" w:space="0" w:color="auto"/>
              <w:right w:val="single" w:sz="8" w:space="0" w:color="auto"/>
            </w:tcBorders>
          </w:tcPr>
          <w:p w14:paraId="784D0D7A" w14:textId="77777777" w:rsidR="00E20EB1" w:rsidRPr="008F03E5" w:rsidRDefault="00E20EB1" w:rsidP="00E20EB1">
            <w:pPr>
              <w:jc w:val="center"/>
              <w:rPr>
                <w:sz w:val="18"/>
                <w:szCs w:val="18"/>
                <w14:numSpacing w14:val="tabular"/>
              </w:rPr>
            </w:pPr>
            <w:r w:rsidRPr="008F03E5">
              <w:rPr>
                <w:sz w:val="18"/>
                <w:szCs w:val="18"/>
                <w14:numSpacing w14:val="tabular"/>
              </w:rPr>
              <w:t>31</w:t>
            </w:r>
          </w:p>
        </w:tc>
        <w:tc>
          <w:tcPr>
            <w:tcW w:w="377" w:type="dxa"/>
            <w:tcBorders>
              <w:top w:val="nil"/>
              <w:left w:val="single" w:sz="8" w:space="0" w:color="auto"/>
              <w:bottom w:val="single" w:sz="8" w:space="0" w:color="auto"/>
            </w:tcBorders>
          </w:tcPr>
          <w:p w14:paraId="3F0AE6C6" w14:textId="77777777" w:rsidR="00E20EB1" w:rsidRPr="008F03E5" w:rsidRDefault="00E20EB1" w:rsidP="00E20EB1">
            <w:pPr>
              <w:jc w:val="center"/>
              <w:rPr>
                <w:sz w:val="18"/>
                <w:szCs w:val="18"/>
                <w14:numSpacing w14:val="tabular"/>
              </w:rPr>
            </w:pPr>
            <w:r w:rsidRPr="008F03E5">
              <w:rPr>
                <w:sz w:val="18"/>
                <w:szCs w:val="18"/>
                <w14:numSpacing w14:val="tabular"/>
              </w:rPr>
              <w:t>6</w:t>
            </w:r>
          </w:p>
        </w:tc>
        <w:tc>
          <w:tcPr>
            <w:tcW w:w="1108" w:type="dxa"/>
            <w:tcBorders>
              <w:top w:val="nil"/>
              <w:bottom w:val="single" w:sz="8" w:space="0" w:color="auto"/>
              <w:right w:val="single" w:sz="4" w:space="0" w:color="auto"/>
            </w:tcBorders>
          </w:tcPr>
          <w:p w14:paraId="20441186" w14:textId="77777777" w:rsidR="00E20EB1" w:rsidRPr="008F03E5" w:rsidRDefault="00E20EB1" w:rsidP="00E20EB1">
            <w:pPr>
              <w:rPr>
                <w:sz w:val="18"/>
                <w:szCs w:val="18"/>
                <w14:numSpacing w14:val="tabular"/>
              </w:rPr>
            </w:pPr>
            <w:r w:rsidRPr="008F03E5">
              <w:rPr>
                <w:sz w:val="18"/>
                <w:szCs w:val="18"/>
                <w:u w:val="single"/>
                <w14:numSpacing w14:val="tabular"/>
              </w:rPr>
              <w:t>Sh</w:t>
            </w:r>
            <w:r w:rsidRPr="008F03E5">
              <w:rPr>
                <w:sz w:val="18"/>
                <w:szCs w:val="18"/>
                <w14:numSpacing w14:val="tabular"/>
              </w:rPr>
              <w:t>ahríwar</w:t>
            </w:r>
          </w:p>
        </w:tc>
        <w:tc>
          <w:tcPr>
            <w:tcW w:w="662" w:type="dxa"/>
            <w:tcBorders>
              <w:top w:val="nil"/>
              <w:left w:val="single" w:sz="4" w:space="0" w:color="auto"/>
              <w:bottom w:val="single" w:sz="8" w:space="0" w:color="auto"/>
              <w:right w:val="single" w:sz="8" w:space="0" w:color="auto"/>
            </w:tcBorders>
          </w:tcPr>
          <w:p w14:paraId="6E61021E" w14:textId="77777777" w:rsidR="00E20EB1" w:rsidRPr="008F03E5" w:rsidRDefault="00E20EB1" w:rsidP="00E20EB1">
            <w:pPr>
              <w:jc w:val="center"/>
              <w:rPr>
                <w:sz w:val="18"/>
                <w:szCs w:val="18"/>
                <w14:numSpacing w14:val="tabular"/>
              </w:rPr>
            </w:pPr>
            <w:r w:rsidRPr="008F03E5">
              <w:rPr>
                <w:sz w:val="18"/>
                <w:szCs w:val="18"/>
                <w14:numSpacing w14:val="tabular"/>
              </w:rPr>
              <w:t>31</w:t>
            </w:r>
          </w:p>
        </w:tc>
        <w:tc>
          <w:tcPr>
            <w:tcW w:w="391" w:type="dxa"/>
            <w:tcBorders>
              <w:top w:val="nil"/>
              <w:left w:val="single" w:sz="8" w:space="0" w:color="auto"/>
              <w:bottom w:val="single" w:sz="8" w:space="0" w:color="auto"/>
              <w:right w:val="single" w:sz="4" w:space="0" w:color="auto"/>
            </w:tcBorders>
          </w:tcPr>
          <w:p w14:paraId="1A9B1AD5" w14:textId="77777777" w:rsidR="00E20EB1" w:rsidRPr="008F03E5" w:rsidRDefault="00E20EB1" w:rsidP="00E20EB1">
            <w:pPr>
              <w:tabs>
                <w:tab w:val="decimal" w:pos="159"/>
              </w:tabs>
              <w:rPr>
                <w:sz w:val="18"/>
                <w:szCs w:val="18"/>
                <w14:numSpacing w14:val="tabular"/>
              </w:rPr>
            </w:pPr>
            <w:r w:rsidRPr="008F03E5">
              <w:rPr>
                <w:sz w:val="18"/>
                <w:szCs w:val="18"/>
                <w14:numSpacing w14:val="tabular"/>
              </w:rPr>
              <w:t>9</w:t>
            </w:r>
          </w:p>
        </w:tc>
        <w:tc>
          <w:tcPr>
            <w:tcW w:w="1247" w:type="dxa"/>
            <w:tcBorders>
              <w:top w:val="nil"/>
              <w:left w:val="single" w:sz="4" w:space="0" w:color="auto"/>
              <w:bottom w:val="single" w:sz="8" w:space="0" w:color="auto"/>
            </w:tcBorders>
          </w:tcPr>
          <w:p w14:paraId="4B612070" w14:textId="77777777" w:rsidR="00E20EB1" w:rsidRPr="008F03E5" w:rsidRDefault="00E20EB1" w:rsidP="00E20EB1">
            <w:pPr>
              <w:rPr>
                <w:sz w:val="18"/>
                <w:szCs w:val="18"/>
                <w14:numSpacing w14:val="tabular"/>
              </w:rPr>
            </w:pPr>
            <w:r w:rsidRPr="008F03E5">
              <w:rPr>
                <w:sz w:val="18"/>
                <w:szCs w:val="18"/>
                <w14:numSpacing w14:val="tabular"/>
              </w:rPr>
              <w:t>Á</w:t>
            </w:r>
            <w:r w:rsidRPr="008F03E5">
              <w:rPr>
                <w:sz w:val="18"/>
                <w:szCs w:val="18"/>
                <w:u w:val="single"/>
                <w14:numSpacing w14:val="tabular"/>
              </w:rPr>
              <w:t>dh</w:t>
            </w:r>
            <w:r w:rsidRPr="008F03E5">
              <w:rPr>
                <w:sz w:val="18"/>
                <w:szCs w:val="18"/>
                <w14:numSpacing w14:val="tabular"/>
              </w:rPr>
              <w:t>ar (Ázar)</w:t>
            </w:r>
          </w:p>
        </w:tc>
        <w:tc>
          <w:tcPr>
            <w:tcW w:w="662" w:type="dxa"/>
            <w:tcBorders>
              <w:top w:val="nil"/>
              <w:bottom w:val="single" w:sz="8" w:space="0" w:color="auto"/>
            </w:tcBorders>
          </w:tcPr>
          <w:p w14:paraId="68265854" w14:textId="77777777" w:rsidR="00E20EB1" w:rsidRPr="008F03E5" w:rsidRDefault="00E20EB1" w:rsidP="00E20EB1">
            <w:pPr>
              <w:jc w:val="center"/>
              <w:rPr>
                <w:sz w:val="18"/>
                <w:szCs w:val="18"/>
                <w14:numSpacing w14:val="tabular"/>
              </w:rPr>
            </w:pPr>
            <w:r w:rsidRPr="008F03E5">
              <w:rPr>
                <w:sz w:val="18"/>
                <w:szCs w:val="18"/>
                <w14:numSpacing w14:val="tabular"/>
              </w:rPr>
              <w:t>30</w:t>
            </w:r>
          </w:p>
        </w:tc>
        <w:tc>
          <w:tcPr>
            <w:tcW w:w="427" w:type="dxa"/>
            <w:tcBorders>
              <w:top w:val="nil"/>
              <w:left w:val="single" w:sz="6" w:space="0" w:color="auto"/>
              <w:bottom w:val="single" w:sz="8" w:space="0" w:color="auto"/>
            </w:tcBorders>
          </w:tcPr>
          <w:p w14:paraId="22178115" w14:textId="77777777" w:rsidR="00E20EB1" w:rsidRPr="008F03E5" w:rsidRDefault="00E20EB1" w:rsidP="00E20EB1">
            <w:pPr>
              <w:tabs>
                <w:tab w:val="decimal" w:pos="159"/>
              </w:tabs>
              <w:rPr>
                <w:sz w:val="18"/>
                <w:szCs w:val="18"/>
                <w14:numSpacing w14:val="tabular"/>
              </w:rPr>
            </w:pPr>
            <w:r w:rsidRPr="008F03E5">
              <w:rPr>
                <w:sz w:val="18"/>
                <w:szCs w:val="18"/>
                <w14:numSpacing w14:val="tabular"/>
              </w:rPr>
              <w:t>12</w:t>
            </w:r>
          </w:p>
        </w:tc>
        <w:tc>
          <w:tcPr>
            <w:tcW w:w="1077" w:type="dxa"/>
            <w:tcBorders>
              <w:top w:val="nil"/>
              <w:bottom w:val="single" w:sz="8" w:space="0" w:color="auto"/>
              <w:right w:val="single" w:sz="4" w:space="0" w:color="auto"/>
            </w:tcBorders>
          </w:tcPr>
          <w:p w14:paraId="7ABFD20D" w14:textId="77777777" w:rsidR="00E20EB1" w:rsidRPr="008F03E5" w:rsidRDefault="00E20EB1" w:rsidP="00E20EB1">
            <w:pPr>
              <w:rPr>
                <w:sz w:val="18"/>
                <w:szCs w:val="18"/>
                <w14:numSpacing w14:val="tabular"/>
              </w:rPr>
            </w:pPr>
            <w:r w:rsidRPr="008F03E5">
              <w:rPr>
                <w:sz w:val="18"/>
                <w:szCs w:val="18"/>
                <w14:numSpacing w14:val="tabular"/>
              </w:rPr>
              <w:t>Isfand</w:t>
            </w:r>
          </w:p>
        </w:tc>
        <w:tc>
          <w:tcPr>
            <w:tcW w:w="736" w:type="dxa"/>
            <w:tcBorders>
              <w:top w:val="nil"/>
              <w:left w:val="single" w:sz="4" w:space="0" w:color="auto"/>
              <w:bottom w:val="single" w:sz="8" w:space="0" w:color="auto"/>
              <w:right w:val="single" w:sz="8" w:space="0" w:color="auto"/>
            </w:tcBorders>
          </w:tcPr>
          <w:p w14:paraId="2BEA2B3E" w14:textId="77777777" w:rsidR="00E20EB1" w:rsidRPr="008F03E5" w:rsidRDefault="00E20EB1" w:rsidP="00E20EB1">
            <w:pPr>
              <w:rPr>
                <w:sz w:val="18"/>
                <w:szCs w:val="18"/>
                <w14:numSpacing w14:val="tabular"/>
              </w:rPr>
            </w:pPr>
            <w:r w:rsidRPr="008F03E5">
              <w:rPr>
                <w:sz w:val="18"/>
                <w:szCs w:val="18"/>
                <w14:numSpacing w14:val="tabular"/>
              </w:rPr>
              <w:t>29/30</w:t>
            </w:r>
          </w:p>
        </w:tc>
      </w:tr>
    </w:tbl>
    <w:p w14:paraId="32568681" w14:textId="72D44ABE" w:rsidR="00371B18" w:rsidRPr="008F03E5" w:rsidRDefault="00371B18" w:rsidP="00DD0863">
      <w:pPr>
        <w:pStyle w:val="Myhead"/>
      </w:pPr>
      <w:bookmarkStart w:id="220" w:name="_Toc149326095"/>
      <w:r w:rsidRPr="008F03E5">
        <w:t>Caliph</w:t>
      </w:r>
      <w:r w:rsidR="00DD0863">
        <w:t>ates</w:t>
      </w:r>
      <w:r w:rsidRPr="008F03E5">
        <w:t xml:space="preserve"> (first </w:t>
      </w:r>
      <w:r w:rsidR="00B411F0" w:rsidRPr="008F03E5">
        <w:t>2</w:t>
      </w:r>
      <w:r w:rsidRPr="008F03E5">
        <w:t>8</w:t>
      </w:r>
      <w:r w:rsidR="00DD0863">
        <w:t xml:space="preserve"> caliphs</w:t>
      </w:r>
      <w:r w:rsidRPr="008F03E5">
        <w:t>)</w:t>
      </w:r>
      <w:bookmarkEnd w:id="220"/>
      <w:r w:rsidR="00BB58C6" w:rsidRPr="00BB58C6">
        <w:rPr>
          <w:b w:val="0"/>
          <w:sz w:val="12"/>
        </w:rPr>
        <w:fldChar w:fldCharType="begin"/>
      </w:r>
      <w:r w:rsidR="00BB58C6" w:rsidRPr="00BB58C6">
        <w:rPr>
          <w:b w:val="0"/>
          <w:sz w:val="12"/>
        </w:rPr>
        <w:instrText xml:space="preserve"> TC “</w:instrText>
      </w:r>
      <w:bookmarkStart w:id="221" w:name="_Toc149476396"/>
      <w:bookmarkStart w:id="222" w:name="_Toc167691898"/>
      <w:r w:rsidR="00BB58C6" w:rsidRPr="00BB58C6">
        <w:rPr>
          <w:b w:val="0"/>
          <w:sz w:val="12"/>
        </w:rPr>
        <w:instrText>Caliphs (first 28 caliphs)</w:instrText>
      </w:r>
      <w:r w:rsidR="00BB58C6" w:rsidRPr="00BB58C6">
        <w:rPr>
          <w:b w:val="0"/>
          <w:color w:val="FFFFFF" w:themeColor="background1"/>
          <w:sz w:val="12"/>
        </w:rPr>
        <w:instrText>..</w:instrText>
      </w:r>
      <w:r w:rsidR="00BB58C6" w:rsidRPr="00BB58C6">
        <w:rPr>
          <w:b w:val="0"/>
          <w:sz w:val="12"/>
        </w:rPr>
        <w:tab/>
      </w:r>
      <w:r w:rsidR="00BB58C6" w:rsidRPr="00BB58C6">
        <w:rPr>
          <w:b w:val="0"/>
          <w:color w:val="FFFFFF" w:themeColor="background1"/>
          <w:sz w:val="12"/>
        </w:rPr>
        <w:instrText>.</w:instrText>
      </w:r>
      <w:bookmarkEnd w:id="221"/>
      <w:bookmarkEnd w:id="222"/>
      <w:r w:rsidR="00BB58C6" w:rsidRPr="00BB58C6">
        <w:rPr>
          <w:b w:val="0"/>
          <w:sz w:val="12"/>
        </w:rPr>
        <w:instrText>” \l 1</w:instrText>
      </w:r>
      <w:r w:rsidR="00BB58C6" w:rsidRPr="00BB58C6">
        <w:rPr>
          <w:b w:val="0"/>
          <w:sz w:val="12"/>
        </w:rPr>
        <w:fldChar w:fldCharType="end"/>
      </w:r>
    </w:p>
    <w:p w14:paraId="3C72DEE0" w14:textId="4CA23FBC" w:rsidR="00371B18" w:rsidRPr="008F03E5" w:rsidRDefault="0029346C" w:rsidP="00DD0863">
      <w:pPr>
        <w:pStyle w:val="Myhead3"/>
        <w:spacing w:after="120"/>
        <w:rPr>
          <w:lang w:val="en-GB"/>
        </w:rPr>
      </w:pPr>
      <w:r w:rsidRPr="008F03E5">
        <w:rPr>
          <w:lang w:val="en-GB"/>
        </w:rPr>
        <w:t xml:space="preserve">The </w:t>
      </w:r>
      <w:r w:rsidR="00371B18" w:rsidRPr="008F03E5">
        <w:rPr>
          <w:lang w:val="en-GB"/>
        </w:rPr>
        <w:t>Rightly-</w:t>
      </w:r>
      <w:r w:rsidRPr="008F03E5">
        <w:rPr>
          <w:lang w:val="en-GB"/>
        </w:rPr>
        <w:t>g</w:t>
      </w:r>
      <w:r w:rsidR="00371B18" w:rsidRPr="008F03E5">
        <w:rPr>
          <w:lang w:val="en-GB"/>
        </w:rPr>
        <w:t>uided</w:t>
      </w:r>
      <w:r w:rsidR="00093607">
        <w:rPr>
          <w:lang w:val="en-GB"/>
        </w:rPr>
        <w:t xml:space="preserve"> </w:t>
      </w:r>
      <w:r w:rsidR="00371B18" w:rsidRPr="008F03E5">
        <w:rPr>
          <w:lang w:val="en-GB"/>
        </w:rPr>
        <w:t>(</w:t>
      </w:r>
      <w:r w:rsidR="000D1A26" w:rsidRPr="008F03E5">
        <w:rPr>
          <w:lang w:val="en-GB"/>
        </w:rPr>
        <w:t>al-</w:t>
      </w:r>
      <w:r w:rsidR="000D1A26" w:rsidRPr="008F03E5">
        <w:rPr>
          <w:u w:val="single"/>
          <w:lang w:val="en-GB"/>
        </w:rPr>
        <w:t>Kh</w:t>
      </w:r>
      <w:r w:rsidR="000D1A26" w:rsidRPr="008F03E5">
        <w:rPr>
          <w:lang w:val="en-GB"/>
        </w:rPr>
        <w:t>iláfah ar-Rá</w:t>
      </w:r>
      <w:r w:rsidR="000D1A26" w:rsidRPr="008F03E5">
        <w:rPr>
          <w:u w:val="single"/>
          <w:lang w:val="en-GB"/>
        </w:rPr>
        <w:t>sh</w:t>
      </w:r>
      <w:r w:rsidR="000D1A26" w:rsidRPr="008F03E5">
        <w:rPr>
          <w:lang w:val="en-GB"/>
        </w:rPr>
        <w:t>id</w:t>
      </w:r>
      <w:r w:rsidR="00502A53" w:rsidRPr="008F03E5">
        <w:rPr>
          <w:lang w:val="en-GB"/>
        </w:rPr>
        <w:t>ún</w:t>
      </w:r>
      <w:r w:rsidR="00371B18" w:rsidRPr="008F03E5">
        <w:rPr>
          <w:lang w:val="en-GB"/>
        </w:rPr>
        <w:t>)</w:t>
      </w:r>
      <w:r w:rsidR="00BB58C6" w:rsidRPr="00BB58C6">
        <w:rPr>
          <w:b w:val="0"/>
          <w:i w:val="0"/>
          <w:sz w:val="12"/>
        </w:rPr>
        <w:fldChar w:fldCharType="begin"/>
      </w:r>
      <w:r w:rsidR="00BB58C6" w:rsidRPr="00BB58C6">
        <w:rPr>
          <w:b w:val="0"/>
          <w:i w:val="0"/>
          <w:sz w:val="12"/>
        </w:rPr>
        <w:instrText xml:space="preserve"> TC “</w:instrText>
      </w:r>
      <w:bookmarkStart w:id="223" w:name="_Toc149476397"/>
      <w:bookmarkStart w:id="224" w:name="_Toc167691899"/>
      <w:r w:rsidR="00BB58C6" w:rsidRPr="00074EB6">
        <w:rPr>
          <w:b w:val="0"/>
          <w:iCs/>
          <w:sz w:val="12"/>
          <w:lang w:val="en-GB"/>
        </w:rPr>
        <w:instrText>The Rightly-guided</w:instrText>
      </w:r>
      <w:r w:rsidR="00BB58C6" w:rsidRPr="00074EB6">
        <w:rPr>
          <w:b w:val="0"/>
          <w:iCs/>
          <w:color w:val="FFFFFF" w:themeColor="background1"/>
          <w:sz w:val="12"/>
        </w:rPr>
        <w:instrText>..</w:instrText>
      </w:r>
      <w:r w:rsidR="00BB58C6" w:rsidRPr="00074EB6">
        <w:rPr>
          <w:b w:val="0"/>
          <w:iCs/>
          <w:sz w:val="12"/>
        </w:rPr>
        <w:tab/>
      </w:r>
      <w:r w:rsidR="00BB58C6" w:rsidRPr="00BB58C6">
        <w:rPr>
          <w:b w:val="0"/>
          <w:i w:val="0"/>
          <w:color w:val="FFFFFF" w:themeColor="background1"/>
          <w:sz w:val="12"/>
        </w:rPr>
        <w:instrText>.</w:instrText>
      </w:r>
      <w:bookmarkEnd w:id="223"/>
      <w:bookmarkEnd w:id="224"/>
      <w:r w:rsidR="00BB58C6" w:rsidRPr="00BB58C6">
        <w:rPr>
          <w:b w:val="0"/>
          <w:i w:val="0"/>
          <w:sz w:val="12"/>
        </w:rPr>
        <w:instrText>” \l 2</w:instrText>
      </w:r>
      <w:r w:rsidR="00BB58C6" w:rsidRPr="00BB58C6">
        <w:rPr>
          <w:b w:val="0"/>
          <w:i w:val="0"/>
          <w:sz w:val="12"/>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3005"/>
        <w:gridCol w:w="454"/>
        <w:gridCol w:w="2438"/>
      </w:tblGrid>
      <w:tr w:rsidR="00F019FC" w:rsidRPr="008F03E5" w14:paraId="17B40BEF" w14:textId="77777777" w:rsidTr="00F019FC">
        <w:trPr>
          <w:jc w:val="center"/>
        </w:trPr>
        <w:tc>
          <w:tcPr>
            <w:tcW w:w="454" w:type="dxa"/>
          </w:tcPr>
          <w:p w14:paraId="1DDD1350" w14:textId="77777777" w:rsidR="00371B18" w:rsidRPr="008F03E5" w:rsidRDefault="00371B18" w:rsidP="00563A1D">
            <w:pPr>
              <w:tabs>
                <w:tab w:val="decimal" w:pos="158"/>
              </w:tabs>
              <w:rPr>
                <w:sz w:val="18"/>
                <w:szCs w:val="18"/>
                <w14:numSpacing w14:val="tabular"/>
              </w:rPr>
            </w:pPr>
            <w:r w:rsidRPr="008F03E5">
              <w:rPr>
                <w:sz w:val="18"/>
                <w:szCs w:val="18"/>
                <w14:numSpacing w14:val="tabular"/>
              </w:rPr>
              <w:t>1</w:t>
            </w:r>
          </w:p>
        </w:tc>
        <w:tc>
          <w:tcPr>
            <w:tcW w:w="3005" w:type="dxa"/>
          </w:tcPr>
          <w:p w14:paraId="453AB908" w14:textId="506B6721" w:rsidR="00371B18" w:rsidRPr="008F03E5" w:rsidRDefault="00371B18" w:rsidP="00825D95">
            <w:pPr>
              <w:rPr>
                <w:sz w:val="18"/>
                <w:szCs w:val="18"/>
              </w:rPr>
            </w:pPr>
            <w:r w:rsidRPr="008F03E5">
              <w:rPr>
                <w:sz w:val="18"/>
                <w:szCs w:val="18"/>
              </w:rPr>
              <w:t xml:space="preserve">Abú-Bakr </w:t>
            </w:r>
            <w:r w:rsidR="002A49F0" w:rsidRPr="008F03E5">
              <w:rPr>
                <w:sz w:val="18"/>
                <w:szCs w:val="18"/>
              </w:rPr>
              <w:t>i</w:t>
            </w:r>
            <w:r w:rsidRPr="008F03E5">
              <w:rPr>
                <w:sz w:val="18"/>
                <w:szCs w:val="18"/>
              </w:rPr>
              <w:t>bn Abí-Quḥáfah (632–34)</w:t>
            </w:r>
          </w:p>
        </w:tc>
        <w:tc>
          <w:tcPr>
            <w:tcW w:w="454" w:type="dxa"/>
          </w:tcPr>
          <w:p w14:paraId="78D940FE" w14:textId="77777777" w:rsidR="00371B18" w:rsidRPr="008F03E5" w:rsidRDefault="00371B18" w:rsidP="00563A1D">
            <w:pPr>
              <w:tabs>
                <w:tab w:val="decimal" w:pos="158"/>
              </w:tabs>
              <w:rPr>
                <w:sz w:val="18"/>
                <w:szCs w:val="18"/>
                <w14:numSpacing w14:val="tabular"/>
              </w:rPr>
            </w:pPr>
            <w:r w:rsidRPr="008F03E5">
              <w:rPr>
                <w:sz w:val="18"/>
                <w:szCs w:val="18"/>
                <w14:numSpacing w14:val="tabular"/>
              </w:rPr>
              <w:t>3</w:t>
            </w:r>
          </w:p>
        </w:tc>
        <w:tc>
          <w:tcPr>
            <w:tcW w:w="2438" w:type="dxa"/>
          </w:tcPr>
          <w:p w14:paraId="419F4F5A" w14:textId="2EE12E13" w:rsidR="00371B18" w:rsidRPr="008F03E5" w:rsidRDefault="00371B18" w:rsidP="00371B18">
            <w:pPr>
              <w:rPr>
                <w:sz w:val="18"/>
                <w:szCs w:val="18"/>
              </w:rPr>
            </w:pPr>
            <w:r w:rsidRPr="008F03E5">
              <w:rPr>
                <w:sz w:val="18"/>
                <w:szCs w:val="18"/>
              </w:rPr>
              <w:t>‘U</w:t>
            </w:r>
            <w:r w:rsidRPr="008F03E5">
              <w:rPr>
                <w:sz w:val="18"/>
                <w:szCs w:val="18"/>
                <w:u w:val="single"/>
              </w:rPr>
              <w:t>th</w:t>
            </w:r>
            <w:r w:rsidRPr="008F03E5">
              <w:rPr>
                <w:sz w:val="18"/>
                <w:szCs w:val="18"/>
              </w:rPr>
              <w:t xml:space="preserve">mán </w:t>
            </w:r>
            <w:r w:rsidR="002A49F0" w:rsidRPr="008F03E5">
              <w:rPr>
                <w:sz w:val="18"/>
                <w:szCs w:val="18"/>
              </w:rPr>
              <w:t>i</w:t>
            </w:r>
            <w:r w:rsidRPr="008F03E5">
              <w:rPr>
                <w:sz w:val="18"/>
                <w:szCs w:val="18"/>
              </w:rPr>
              <w:t>bn ‘Affán (644–56)</w:t>
            </w:r>
          </w:p>
        </w:tc>
      </w:tr>
      <w:tr w:rsidR="00F019FC" w:rsidRPr="008F03E5" w14:paraId="45390B9B" w14:textId="77777777" w:rsidTr="00F019FC">
        <w:trPr>
          <w:jc w:val="center"/>
        </w:trPr>
        <w:tc>
          <w:tcPr>
            <w:tcW w:w="454" w:type="dxa"/>
          </w:tcPr>
          <w:p w14:paraId="713A9A4D" w14:textId="77777777" w:rsidR="00371B18" w:rsidRPr="008F03E5" w:rsidRDefault="00371B18" w:rsidP="00563A1D">
            <w:pPr>
              <w:tabs>
                <w:tab w:val="decimal" w:pos="158"/>
              </w:tabs>
              <w:rPr>
                <w:sz w:val="18"/>
                <w:szCs w:val="18"/>
                <w14:numSpacing w14:val="tabular"/>
              </w:rPr>
            </w:pPr>
            <w:r w:rsidRPr="008F03E5">
              <w:rPr>
                <w:sz w:val="18"/>
                <w:szCs w:val="18"/>
                <w14:numSpacing w14:val="tabular"/>
              </w:rPr>
              <w:t>2</w:t>
            </w:r>
          </w:p>
        </w:tc>
        <w:tc>
          <w:tcPr>
            <w:tcW w:w="3005" w:type="dxa"/>
          </w:tcPr>
          <w:p w14:paraId="703E6AF0" w14:textId="3B538C4F" w:rsidR="00371B18" w:rsidRPr="008F03E5" w:rsidRDefault="00371B18" w:rsidP="00371B18">
            <w:pPr>
              <w:rPr>
                <w:sz w:val="18"/>
                <w:szCs w:val="18"/>
              </w:rPr>
            </w:pPr>
            <w:r w:rsidRPr="008F03E5">
              <w:rPr>
                <w:sz w:val="18"/>
                <w:szCs w:val="18"/>
              </w:rPr>
              <w:t xml:space="preserve">‘Umar </w:t>
            </w:r>
            <w:r w:rsidR="002A49F0" w:rsidRPr="008F03E5">
              <w:rPr>
                <w:sz w:val="18"/>
                <w:szCs w:val="18"/>
              </w:rPr>
              <w:t>i</w:t>
            </w:r>
            <w:r w:rsidRPr="008F03E5">
              <w:rPr>
                <w:sz w:val="18"/>
                <w:szCs w:val="18"/>
              </w:rPr>
              <w:t>bn al-</w:t>
            </w:r>
            <w:r w:rsidRPr="008F03E5">
              <w:rPr>
                <w:sz w:val="18"/>
                <w:szCs w:val="18"/>
                <w:u w:val="single"/>
              </w:rPr>
              <w:t>Kh</w:t>
            </w:r>
            <w:r w:rsidRPr="008F03E5">
              <w:rPr>
                <w:sz w:val="18"/>
                <w:szCs w:val="18"/>
              </w:rPr>
              <w:t>aṭṭáb (634–44)</w:t>
            </w:r>
          </w:p>
        </w:tc>
        <w:tc>
          <w:tcPr>
            <w:tcW w:w="454" w:type="dxa"/>
          </w:tcPr>
          <w:p w14:paraId="259979D7" w14:textId="77777777" w:rsidR="00371B18" w:rsidRPr="008F03E5" w:rsidRDefault="00371B18" w:rsidP="00563A1D">
            <w:pPr>
              <w:tabs>
                <w:tab w:val="decimal" w:pos="158"/>
              </w:tabs>
              <w:rPr>
                <w:sz w:val="18"/>
                <w:szCs w:val="18"/>
                <w14:numSpacing w14:val="tabular"/>
              </w:rPr>
            </w:pPr>
            <w:r w:rsidRPr="008F03E5">
              <w:rPr>
                <w:sz w:val="18"/>
                <w:szCs w:val="18"/>
                <w14:numSpacing w14:val="tabular"/>
              </w:rPr>
              <w:t>4</w:t>
            </w:r>
          </w:p>
        </w:tc>
        <w:tc>
          <w:tcPr>
            <w:tcW w:w="2438" w:type="dxa"/>
          </w:tcPr>
          <w:p w14:paraId="0BE4024D" w14:textId="20C79855" w:rsidR="00371B18" w:rsidRPr="008F03E5" w:rsidRDefault="00371B18" w:rsidP="00825D95">
            <w:pPr>
              <w:rPr>
                <w:sz w:val="18"/>
                <w:szCs w:val="18"/>
              </w:rPr>
            </w:pPr>
            <w:r w:rsidRPr="008F03E5">
              <w:rPr>
                <w:sz w:val="18"/>
                <w:szCs w:val="18"/>
              </w:rPr>
              <w:t xml:space="preserve">‘Alí </w:t>
            </w:r>
            <w:r w:rsidR="002A49F0" w:rsidRPr="008F03E5">
              <w:rPr>
                <w:sz w:val="18"/>
                <w:szCs w:val="18"/>
              </w:rPr>
              <w:t>i</w:t>
            </w:r>
            <w:r w:rsidRPr="008F03E5">
              <w:rPr>
                <w:sz w:val="18"/>
                <w:szCs w:val="18"/>
              </w:rPr>
              <w:t>bn Abí-Ṭálib (656–61)</w:t>
            </w:r>
          </w:p>
        </w:tc>
      </w:tr>
    </w:tbl>
    <w:p w14:paraId="387F05A9" w14:textId="1142D997" w:rsidR="00371B18" w:rsidRPr="008F03E5" w:rsidRDefault="0029346C" w:rsidP="00DD0863">
      <w:pPr>
        <w:pStyle w:val="Myhead3"/>
        <w:spacing w:after="120"/>
        <w:rPr>
          <w:lang w:val="en-GB"/>
        </w:rPr>
      </w:pPr>
      <w:r w:rsidRPr="008F03E5">
        <w:rPr>
          <w:lang w:val="en-GB"/>
        </w:rPr>
        <w:t xml:space="preserve">The </w:t>
      </w:r>
      <w:r w:rsidR="00371B18" w:rsidRPr="008F03E5">
        <w:rPr>
          <w:lang w:val="en-GB"/>
        </w:rPr>
        <w:t>Umayyad</w:t>
      </w:r>
      <w:r w:rsidR="00093607">
        <w:rPr>
          <w:lang w:val="en-GB"/>
        </w:rPr>
        <w:t xml:space="preserve"> </w:t>
      </w:r>
      <w:r w:rsidR="00371B18" w:rsidRPr="008F03E5">
        <w:rPr>
          <w:lang w:val="en-GB"/>
        </w:rPr>
        <w:t>(</w:t>
      </w:r>
      <w:r w:rsidR="000D1A26" w:rsidRPr="008F03E5">
        <w:rPr>
          <w:lang w:val="en-GB"/>
        </w:rPr>
        <w:t>al-</w:t>
      </w:r>
      <w:r w:rsidR="000D1A26" w:rsidRPr="008F03E5">
        <w:rPr>
          <w:u w:val="single"/>
          <w:lang w:val="en-GB"/>
        </w:rPr>
        <w:t>Kh</w:t>
      </w:r>
      <w:r w:rsidR="000D1A26" w:rsidRPr="008F03E5">
        <w:rPr>
          <w:lang w:val="en-GB"/>
        </w:rPr>
        <w:t>iláfah al-‘Umawíyah</w:t>
      </w:r>
      <w:r w:rsidR="00371B18" w:rsidRPr="008F03E5">
        <w:rPr>
          <w:lang w:val="en-GB"/>
        </w:rPr>
        <w:t>)</w:t>
      </w:r>
      <w:r w:rsidR="00BB58C6" w:rsidRPr="00BB58C6">
        <w:rPr>
          <w:b w:val="0"/>
          <w:i w:val="0"/>
          <w:sz w:val="12"/>
        </w:rPr>
        <w:fldChar w:fldCharType="begin"/>
      </w:r>
      <w:r w:rsidR="00BB58C6" w:rsidRPr="00BB58C6">
        <w:rPr>
          <w:b w:val="0"/>
          <w:i w:val="0"/>
          <w:sz w:val="12"/>
        </w:rPr>
        <w:instrText xml:space="preserve"> TC “</w:instrText>
      </w:r>
      <w:bookmarkStart w:id="225" w:name="_Toc149476398"/>
      <w:bookmarkStart w:id="226" w:name="_Toc167691900"/>
      <w:r w:rsidR="00BB58C6" w:rsidRPr="00074EB6">
        <w:rPr>
          <w:b w:val="0"/>
          <w:iCs/>
          <w:sz w:val="12"/>
          <w:lang w:val="en-GB"/>
        </w:rPr>
        <w:instrText>The Umayyad</w:instrText>
      </w:r>
      <w:r w:rsidR="00BB58C6" w:rsidRPr="00074EB6">
        <w:rPr>
          <w:b w:val="0"/>
          <w:iCs/>
          <w:color w:val="FFFFFF" w:themeColor="background1"/>
          <w:sz w:val="12"/>
        </w:rPr>
        <w:instrText>..</w:instrText>
      </w:r>
      <w:r w:rsidR="00BB58C6" w:rsidRPr="00074EB6">
        <w:rPr>
          <w:b w:val="0"/>
          <w:iCs/>
          <w:sz w:val="12"/>
        </w:rPr>
        <w:tab/>
      </w:r>
      <w:r w:rsidR="00BB58C6" w:rsidRPr="00BB58C6">
        <w:rPr>
          <w:b w:val="0"/>
          <w:i w:val="0"/>
          <w:color w:val="FFFFFF" w:themeColor="background1"/>
          <w:sz w:val="12"/>
        </w:rPr>
        <w:instrText>.</w:instrText>
      </w:r>
      <w:bookmarkEnd w:id="225"/>
      <w:bookmarkEnd w:id="226"/>
      <w:r w:rsidR="00BB58C6" w:rsidRPr="00BB58C6">
        <w:rPr>
          <w:b w:val="0"/>
          <w:i w:val="0"/>
          <w:sz w:val="12"/>
        </w:rPr>
        <w:instrText>” \l 2</w:instrText>
      </w:r>
      <w:r w:rsidR="00BB58C6" w:rsidRPr="00BB58C6">
        <w:rPr>
          <w:b w:val="0"/>
          <w:i w:val="0"/>
          <w:sz w:val="12"/>
        </w:rPr>
        <w:fldChar w:fldCharType="end"/>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54"/>
        <w:gridCol w:w="4309"/>
        <w:gridCol w:w="454"/>
        <w:gridCol w:w="4309"/>
      </w:tblGrid>
      <w:tr w:rsidR="00755038" w:rsidRPr="008F03E5" w14:paraId="2D440175" w14:textId="77777777" w:rsidTr="0049198B">
        <w:trPr>
          <w:jc w:val="center"/>
        </w:trPr>
        <w:tc>
          <w:tcPr>
            <w:tcW w:w="454" w:type="dxa"/>
            <w:tcBorders>
              <w:right w:val="single" w:sz="4" w:space="0" w:color="auto"/>
            </w:tcBorders>
          </w:tcPr>
          <w:p w14:paraId="7C0901C0" w14:textId="77777777" w:rsidR="00371B18" w:rsidRPr="008F03E5" w:rsidRDefault="00371B18" w:rsidP="00563A1D">
            <w:pPr>
              <w:tabs>
                <w:tab w:val="decimal" w:pos="118"/>
              </w:tabs>
              <w:rPr>
                <w:sz w:val="18"/>
                <w:szCs w:val="18"/>
                <w14:numSpacing w14:val="tabular"/>
              </w:rPr>
            </w:pPr>
            <w:r w:rsidRPr="008F03E5">
              <w:rPr>
                <w:sz w:val="18"/>
                <w:szCs w:val="18"/>
                <w14:numSpacing w14:val="tabular"/>
              </w:rPr>
              <w:t>1</w:t>
            </w:r>
          </w:p>
        </w:tc>
        <w:tc>
          <w:tcPr>
            <w:tcW w:w="4309" w:type="dxa"/>
            <w:tcBorders>
              <w:top w:val="single" w:sz="4" w:space="0" w:color="auto"/>
              <w:left w:val="single" w:sz="4" w:space="0" w:color="auto"/>
              <w:bottom w:val="nil"/>
              <w:right w:val="single" w:sz="4" w:space="0" w:color="auto"/>
            </w:tcBorders>
          </w:tcPr>
          <w:p w14:paraId="00952F65" w14:textId="42C6CABA" w:rsidR="00371B18" w:rsidRPr="008F03E5" w:rsidRDefault="00371B18" w:rsidP="00371B18">
            <w:pPr>
              <w:tabs>
                <w:tab w:val="right" w:pos="327"/>
              </w:tabs>
              <w:rPr>
                <w:sz w:val="18"/>
                <w:szCs w:val="18"/>
                <w14:numSpacing w14:val="tabular"/>
              </w:rPr>
            </w:pPr>
            <w:r w:rsidRPr="008F03E5">
              <w:rPr>
                <w:sz w:val="18"/>
                <w:szCs w:val="18"/>
                <w14:numSpacing w14:val="tabular"/>
              </w:rPr>
              <w:t xml:space="preserve">Mu‘áwíyah </w:t>
            </w:r>
            <w:r w:rsidR="00176E21" w:rsidRPr="008F03E5">
              <w:rPr>
                <w:sz w:val="18"/>
                <w:szCs w:val="18"/>
                <w14:numSpacing w14:val="tabular"/>
              </w:rPr>
              <w:t>I</w:t>
            </w:r>
            <w:r w:rsidRPr="008F03E5">
              <w:rPr>
                <w:sz w:val="18"/>
                <w:szCs w:val="18"/>
                <w14:numSpacing w14:val="tabular"/>
              </w:rPr>
              <w:t xml:space="preserve"> (Mu‘áwíyah </w:t>
            </w:r>
            <w:r w:rsidR="002A49F0" w:rsidRPr="008F03E5">
              <w:rPr>
                <w:sz w:val="18"/>
                <w:szCs w:val="18"/>
                <w14:numSpacing w14:val="tabular"/>
              </w:rPr>
              <w:t>i</w:t>
            </w:r>
            <w:r w:rsidRPr="008F03E5">
              <w:rPr>
                <w:sz w:val="18"/>
                <w:szCs w:val="18"/>
                <w14:numSpacing w14:val="tabular"/>
              </w:rPr>
              <w:t>bn Abí-Sufyán) (661–80)</w:t>
            </w:r>
          </w:p>
        </w:tc>
        <w:tc>
          <w:tcPr>
            <w:tcW w:w="454" w:type="dxa"/>
            <w:tcBorders>
              <w:left w:val="single" w:sz="4" w:space="0" w:color="auto"/>
              <w:right w:val="single" w:sz="4" w:space="0" w:color="auto"/>
            </w:tcBorders>
          </w:tcPr>
          <w:p w14:paraId="7647E6EB" w14:textId="77777777" w:rsidR="00371B18" w:rsidRPr="008F03E5" w:rsidRDefault="00371B18" w:rsidP="00563A1D">
            <w:pPr>
              <w:tabs>
                <w:tab w:val="decimal" w:pos="175"/>
              </w:tabs>
              <w:rPr>
                <w:sz w:val="18"/>
                <w:szCs w:val="18"/>
                <w14:numSpacing w14:val="tabular"/>
              </w:rPr>
            </w:pPr>
            <w:r w:rsidRPr="008F03E5">
              <w:rPr>
                <w:sz w:val="18"/>
                <w:szCs w:val="18"/>
                <w14:numSpacing w14:val="tabular"/>
              </w:rPr>
              <w:t>8</w:t>
            </w:r>
          </w:p>
        </w:tc>
        <w:tc>
          <w:tcPr>
            <w:tcW w:w="4309" w:type="dxa"/>
            <w:tcBorders>
              <w:top w:val="single" w:sz="4" w:space="0" w:color="auto"/>
              <w:left w:val="single" w:sz="4" w:space="0" w:color="auto"/>
              <w:bottom w:val="nil"/>
            </w:tcBorders>
          </w:tcPr>
          <w:p w14:paraId="3F72AC2D" w14:textId="4ADE0E4B" w:rsidR="00371B18" w:rsidRPr="008F03E5" w:rsidRDefault="00371B18" w:rsidP="00825D95">
            <w:pPr>
              <w:rPr>
                <w:sz w:val="18"/>
                <w:szCs w:val="18"/>
              </w:rPr>
            </w:pPr>
            <w:r w:rsidRPr="008F03E5">
              <w:rPr>
                <w:sz w:val="18"/>
                <w:szCs w:val="18"/>
              </w:rPr>
              <w:t xml:space="preserve">‘Umar (‘Umar </w:t>
            </w:r>
            <w:r w:rsidR="002A49F0" w:rsidRPr="008F03E5">
              <w:rPr>
                <w:sz w:val="18"/>
                <w:szCs w:val="18"/>
              </w:rPr>
              <w:t>i</w:t>
            </w:r>
            <w:r w:rsidRPr="008F03E5">
              <w:rPr>
                <w:sz w:val="18"/>
                <w:szCs w:val="18"/>
              </w:rPr>
              <w:t xml:space="preserve">bn ‘Abdu’l-‘Azíz </w:t>
            </w:r>
            <w:r w:rsidR="002A49F0" w:rsidRPr="008F03E5">
              <w:rPr>
                <w:sz w:val="18"/>
                <w:szCs w:val="18"/>
              </w:rPr>
              <w:t>i</w:t>
            </w:r>
            <w:r w:rsidRPr="008F03E5">
              <w:rPr>
                <w:sz w:val="18"/>
                <w:szCs w:val="18"/>
              </w:rPr>
              <w:t>bn Marwán) (717–20)</w:t>
            </w:r>
          </w:p>
        </w:tc>
      </w:tr>
      <w:tr w:rsidR="00755038" w:rsidRPr="008F03E5" w14:paraId="78FE4E92" w14:textId="77777777" w:rsidTr="0049198B">
        <w:trPr>
          <w:jc w:val="center"/>
        </w:trPr>
        <w:tc>
          <w:tcPr>
            <w:tcW w:w="454" w:type="dxa"/>
            <w:tcBorders>
              <w:right w:val="single" w:sz="4" w:space="0" w:color="auto"/>
            </w:tcBorders>
          </w:tcPr>
          <w:p w14:paraId="24F8A771" w14:textId="77777777" w:rsidR="00371B18" w:rsidRPr="008F03E5" w:rsidRDefault="00371B18" w:rsidP="00563A1D">
            <w:pPr>
              <w:tabs>
                <w:tab w:val="decimal" w:pos="118"/>
              </w:tabs>
              <w:rPr>
                <w:sz w:val="18"/>
                <w:szCs w:val="18"/>
                <w14:numSpacing w14:val="tabular"/>
              </w:rPr>
            </w:pPr>
            <w:r w:rsidRPr="008F03E5">
              <w:rPr>
                <w:sz w:val="18"/>
                <w:szCs w:val="18"/>
                <w14:numSpacing w14:val="tabular"/>
              </w:rPr>
              <w:t>2</w:t>
            </w:r>
          </w:p>
        </w:tc>
        <w:tc>
          <w:tcPr>
            <w:tcW w:w="4309" w:type="dxa"/>
            <w:tcBorders>
              <w:top w:val="nil"/>
              <w:left w:val="single" w:sz="4" w:space="0" w:color="auto"/>
              <w:bottom w:val="nil"/>
              <w:right w:val="single" w:sz="4" w:space="0" w:color="auto"/>
            </w:tcBorders>
          </w:tcPr>
          <w:p w14:paraId="723C6DE5" w14:textId="2652FD96" w:rsidR="00371B18" w:rsidRPr="008F03E5" w:rsidRDefault="00371B18" w:rsidP="00371B18">
            <w:pPr>
              <w:tabs>
                <w:tab w:val="right" w:pos="327"/>
              </w:tabs>
              <w:rPr>
                <w:sz w:val="18"/>
                <w:szCs w:val="18"/>
                <w14:numSpacing w14:val="tabular"/>
              </w:rPr>
            </w:pPr>
            <w:r w:rsidRPr="008F03E5">
              <w:rPr>
                <w:sz w:val="18"/>
                <w:szCs w:val="18"/>
                <w14:numSpacing w14:val="tabular"/>
              </w:rPr>
              <w:t xml:space="preserve">Yazíd </w:t>
            </w:r>
            <w:r w:rsidR="00176E21" w:rsidRPr="008F03E5">
              <w:rPr>
                <w:sz w:val="18"/>
                <w:szCs w:val="18"/>
                <w14:numSpacing w14:val="tabular"/>
              </w:rPr>
              <w:t>I</w:t>
            </w:r>
            <w:r w:rsidRPr="008F03E5">
              <w:rPr>
                <w:sz w:val="18"/>
                <w:szCs w:val="18"/>
                <w14:numSpacing w14:val="tabular"/>
              </w:rPr>
              <w:t xml:space="preserve"> (</w:t>
            </w:r>
            <w:bookmarkStart w:id="227" w:name="_Hlk52627148"/>
            <w:r w:rsidRPr="008F03E5">
              <w:rPr>
                <w:sz w:val="18"/>
                <w:szCs w:val="18"/>
                <w14:numSpacing w14:val="tabular"/>
              </w:rPr>
              <w:t xml:space="preserve">Yazíd </w:t>
            </w:r>
            <w:r w:rsidR="002A49F0" w:rsidRPr="008F03E5">
              <w:rPr>
                <w:sz w:val="18"/>
                <w:szCs w:val="18"/>
                <w14:numSpacing w14:val="tabular"/>
              </w:rPr>
              <w:t>i</w:t>
            </w:r>
            <w:r w:rsidRPr="008F03E5">
              <w:rPr>
                <w:sz w:val="18"/>
                <w:szCs w:val="18"/>
                <w14:numSpacing w14:val="tabular"/>
              </w:rPr>
              <w:t>bn Abí-Sufyán</w:t>
            </w:r>
            <w:bookmarkEnd w:id="227"/>
            <w:r w:rsidRPr="008F03E5">
              <w:rPr>
                <w:sz w:val="18"/>
                <w:szCs w:val="18"/>
                <w14:numSpacing w14:val="tabular"/>
              </w:rPr>
              <w:t>) (680–83)</w:t>
            </w:r>
          </w:p>
        </w:tc>
        <w:tc>
          <w:tcPr>
            <w:tcW w:w="454" w:type="dxa"/>
            <w:tcBorders>
              <w:left w:val="single" w:sz="4" w:space="0" w:color="auto"/>
              <w:right w:val="single" w:sz="4" w:space="0" w:color="auto"/>
            </w:tcBorders>
          </w:tcPr>
          <w:p w14:paraId="1350CDD9" w14:textId="77777777" w:rsidR="00371B18" w:rsidRPr="008F03E5" w:rsidRDefault="00371B18" w:rsidP="00563A1D">
            <w:pPr>
              <w:tabs>
                <w:tab w:val="decimal" w:pos="175"/>
              </w:tabs>
              <w:rPr>
                <w:sz w:val="18"/>
                <w:szCs w:val="18"/>
                <w14:numSpacing w14:val="tabular"/>
              </w:rPr>
            </w:pPr>
            <w:r w:rsidRPr="008F03E5">
              <w:rPr>
                <w:sz w:val="18"/>
                <w:szCs w:val="18"/>
                <w14:numSpacing w14:val="tabular"/>
              </w:rPr>
              <w:t>9</w:t>
            </w:r>
          </w:p>
        </w:tc>
        <w:tc>
          <w:tcPr>
            <w:tcW w:w="4309" w:type="dxa"/>
            <w:tcBorders>
              <w:top w:val="nil"/>
              <w:left w:val="single" w:sz="4" w:space="0" w:color="auto"/>
              <w:bottom w:val="nil"/>
            </w:tcBorders>
          </w:tcPr>
          <w:p w14:paraId="1DF5C7CA" w14:textId="77777777" w:rsidR="00371B18" w:rsidRPr="008F03E5" w:rsidRDefault="00371B18" w:rsidP="00371B18">
            <w:pPr>
              <w:tabs>
                <w:tab w:val="right" w:pos="330"/>
              </w:tabs>
              <w:rPr>
                <w:sz w:val="18"/>
                <w:szCs w:val="18"/>
                <w14:numSpacing w14:val="tabular"/>
              </w:rPr>
            </w:pPr>
            <w:r w:rsidRPr="008F03E5">
              <w:rPr>
                <w:sz w:val="18"/>
                <w:szCs w:val="18"/>
                <w14:numSpacing w14:val="tabular"/>
              </w:rPr>
              <w:t xml:space="preserve">Yazíd </w:t>
            </w:r>
            <w:r w:rsidR="00176E21" w:rsidRPr="008F03E5">
              <w:rPr>
                <w:sz w:val="18"/>
                <w:szCs w:val="18"/>
                <w14:numSpacing w14:val="tabular"/>
              </w:rPr>
              <w:t>II</w:t>
            </w:r>
            <w:r w:rsidRPr="008F03E5">
              <w:rPr>
                <w:sz w:val="18"/>
                <w:szCs w:val="18"/>
                <w14:numSpacing w14:val="tabular"/>
              </w:rPr>
              <w:t xml:space="preserve"> (720–24)</w:t>
            </w:r>
          </w:p>
        </w:tc>
      </w:tr>
      <w:tr w:rsidR="00755038" w:rsidRPr="008F03E5" w14:paraId="0A8A0794" w14:textId="77777777" w:rsidTr="0049198B">
        <w:trPr>
          <w:jc w:val="center"/>
        </w:trPr>
        <w:tc>
          <w:tcPr>
            <w:tcW w:w="454" w:type="dxa"/>
            <w:tcBorders>
              <w:right w:val="single" w:sz="4" w:space="0" w:color="auto"/>
            </w:tcBorders>
          </w:tcPr>
          <w:p w14:paraId="4F192E19" w14:textId="77777777" w:rsidR="00371B18" w:rsidRPr="008F03E5" w:rsidRDefault="00371B18" w:rsidP="00563A1D">
            <w:pPr>
              <w:tabs>
                <w:tab w:val="decimal" w:pos="118"/>
              </w:tabs>
              <w:rPr>
                <w:sz w:val="18"/>
                <w:szCs w:val="18"/>
                <w14:numSpacing w14:val="tabular"/>
              </w:rPr>
            </w:pPr>
            <w:r w:rsidRPr="008F03E5">
              <w:rPr>
                <w:sz w:val="18"/>
                <w:szCs w:val="18"/>
                <w14:numSpacing w14:val="tabular"/>
              </w:rPr>
              <w:t>3</w:t>
            </w:r>
          </w:p>
        </w:tc>
        <w:tc>
          <w:tcPr>
            <w:tcW w:w="4309" w:type="dxa"/>
            <w:tcBorders>
              <w:top w:val="nil"/>
              <w:left w:val="single" w:sz="4" w:space="0" w:color="auto"/>
              <w:bottom w:val="nil"/>
              <w:right w:val="single" w:sz="4" w:space="0" w:color="auto"/>
            </w:tcBorders>
          </w:tcPr>
          <w:p w14:paraId="140A670D" w14:textId="77777777" w:rsidR="00371B18" w:rsidRPr="008F03E5" w:rsidRDefault="00371B18" w:rsidP="00371B18">
            <w:pPr>
              <w:tabs>
                <w:tab w:val="right" w:pos="327"/>
              </w:tabs>
              <w:rPr>
                <w:sz w:val="18"/>
                <w:szCs w:val="18"/>
                <w14:numSpacing w14:val="tabular"/>
              </w:rPr>
            </w:pPr>
            <w:r w:rsidRPr="008F03E5">
              <w:rPr>
                <w:sz w:val="18"/>
                <w:szCs w:val="18"/>
                <w14:numSpacing w14:val="tabular"/>
              </w:rPr>
              <w:t xml:space="preserve">Mu‘áwíyah </w:t>
            </w:r>
            <w:r w:rsidR="00176E21" w:rsidRPr="008F03E5">
              <w:rPr>
                <w:sz w:val="18"/>
                <w:szCs w:val="18"/>
                <w14:numSpacing w14:val="tabular"/>
              </w:rPr>
              <w:t>II</w:t>
            </w:r>
            <w:r w:rsidRPr="008F03E5">
              <w:rPr>
                <w:sz w:val="18"/>
                <w:szCs w:val="18"/>
                <w14:numSpacing w14:val="tabular"/>
              </w:rPr>
              <w:t xml:space="preserve"> (683–84)</w:t>
            </w:r>
          </w:p>
        </w:tc>
        <w:tc>
          <w:tcPr>
            <w:tcW w:w="454" w:type="dxa"/>
            <w:tcBorders>
              <w:left w:val="single" w:sz="4" w:space="0" w:color="auto"/>
              <w:right w:val="single" w:sz="4" w:space="0" w:color="auto"/>
            </w:tcBorders>
          </w:tcPr>
          <w:p w14:paraId="6E201BC3" w14:textId="77777777" w:rsidR="00371B18" w:rsidRPr="008F03E5" w:rsidRDefault="00371B18" w:rsidP="00563A1D">
            <w:pPr>
              <w:tabs>
                <w:tab w:val="decimal" w:pos="175"/>
              </w:tabs>
              <w:rPr>
                <w:sz w:val="18"/>
                <w:szCs w:val="18"/>
                <w14:numSpacing w14:val="tabular"/>
              </w:rPr>
            </w:pPr>
            <w:r w:rsidRPr="008F03E5">
              <w:rPr>
                <w:sz w:val="18"/>
                <w:szCs w:val="18"/>
                <w14:numSpacing w14:val="tabular"/>
              </w:rPr>
              <w:t>10</w:t>
            </w:r>
          </w:p>
        </w:tc>
        <w:tc>
          <w:tcPr>
            <w:tcW w:w="4309" w:type="dxa"/>
            <w:tcBorders>
              <w:top w:val="nil"/>
              <w:left w:val="single" w:sz="4" w:space="0" w:color="auto"/>
              <w:bottom w:val="nil"/>
            </w:tcBorders>
          </w:tcPr>
          <w:p w14:paraId="60D5F0F6" w14:textId="7899FCDF" w:rsidR="00371B18" w:rsidRPr="008F03E5" w:rsidRDefault="00371B18" w:rsidP="00371B18">
            <w:pPr>
              <w:tabs>
                <w:tab w:val="right" w:pos="330"/>
              </w:tabs>
              <w:rPr>
                <w:sz w:val="18"/>
                <w:szCs w:val="18"/>
                <w14:numSpacing w14:val="tabular"/>
              </w:rPr>
            </w:pPr>
            <w:r w:rsidRPr="008F03E5">
              <w:rPr>
                <w:sz w:val="18"/>
                <w:szCs w:val="18"/>
                <w14:numSpacing w14:val="tabular"/>
              </w:rPr>
              <w:t>Hi</w:t>
            </w:r>
            <w:r w:rsidRPr="008F03E5">
              <w:rPr>
                <w:sz w:val="18"/>
                <w:szCs w:val="18"/>
                <w:u w:val="single"/>
                <w14:numSpacing w14:val="tabular"/>
              </w:rPr>
              <w:t>sh</w:t>
            </w:r>
            <w:r w:rsidRPr="008F03E5">
              <w:rPr>
                <w:sz w:val="18"/>
                <w:szCs w:val="18"/>
                <w14:numSpacing w14:val="tabular"/>
              </w:rPr>
              <w:t>ám (Hi</w:t>
            </w:r>
            <w:r w:rsidRPr="008F03E5">
              <w:rPr>
                <w:sz w:val="18"/>
                <w:szCs w:val="18"/>
                <w:u w:val="single"/>
                <w14:numSpacing w14:val="tabular"/>
              </w:rPr>
              <w:t>sh</w:t>
            </w:r>
            <w:r w:rsidRPr="008F03E5">
              <w:rPr>
                <w:sz w:val="18"/>
                <w:szCs w:val="18"/>
                <w14:numSpacing w14:val="tabular"/>
              </w:rPr>
              <w:t xml:space="preserve">ám </w:t>
            </w:r>
            <w:r w:rsidR="002A49F0" w:rsidRPr="008F03E5">
              <w:rPr>
                <w:sz w:val="18"/>
                <w:szCs w:val="18"/>
                <w14:numSpacing w14:val="tabular"/>
              </w:rPr>
              <w:t>i</w:t>
            </w:r>
            <w:r w:rsidRPr="008F03E5">
              <w:rPr>
                <w:sz w:val="18"/>
                <w:szCs w:val="18"/>
                <w14:numSpacing w14:val="tabular"/>
              </w:rPr>
              <w:t>bn ‘Abdu’l-Malik) (724–43)</w:t>
            </w:r>
          </w:p>
        </w:tc>
      </w:tr>
      <w:tr w:rsidR="00755038" w:rsidRPr="008F03E5" w14:paraId="1AAF3E8C" w14:textId="77777777" w:rsidTr="0049198B">
        <w:trPr>
          <w:jc w:val="center"/>
        </w:trPr>
        <w:tc>
          <w:tcPr>
            <w:tcW w:w="454" w:type="dxa"/>
            <w:tcBorders>
              <w:right w:val="single" w:sz="4" w:space="0" w:color="auto"/>
            </w:tcBorders>
          </w:tcPr>
          <w:p w14:paraId="6C51760E" w14:textId="77777777" w:rsidR="00371B18" w:rsidRPr="008F03E5" w:rsidRDefault="00371B18" w:rsidP="00563A1D">
            <w:pPr>
              <w:tabs>
                <w:tab w:val="decimal" w:pos="118"/>
              </w:tabs>
              <w:rPr>
                <w:sz w:val="18"/>
                <w:szCs w:val="18"/>
                <w14:numSpacing w14:val="tabular"/>
              </w:rPr>
            </w:pPr>
            <w:r w:rsidRPr="008F03E5">
              <w:rPr>
                <w:sz w:val="18"/>
                <w:szCs w:val="18"/>
                <w14:numSpacing w14:val="tabular"/>
              </w:rPr>
              <w:t>4</w:t>
            </w:r>
          </w:p>
        </w:tc>
        <w:tc>
          <w:tcPr>
            <w:tcW w:w="4309" w:type="dxa"/>
            <w:tcBorders>
              <w:top w:val="nil"/>
              <w:left w:val="single" w:sz="4" w:space="0" w:color="auto"/>
              <w:bottom w:val="nil"/>
              <w:right w:val="single" w:sz="4" w:space="0" w:color="auto"/>
            </w:tcBorders>
          </w:tcPr>
          <w:p w14:paraId="0C2AE742" w14:textId="091D703E" w:rsidR="00371B18" w:rsidRPr="00D45A23" w:rsidRDefault="00371B18" w:rsidP="00371B18">
            <w:pPr>
              <w:tabs>
                <w:tab w:val="right" w:pos="327"/>
              </w:tabs>
              <w:rPr>
                <w:sz w:val="18"/>
                <w:szCs w:val="18"/>
                <w:lang w:val="it-IT"/>
                <w14:numSpacing w14:val="tabular"/>
              </w:rPr>
            </w:pPr>
            <w:r w:rsidRPr="00D45A23">
              <w:rPr>
                <w:sz w:val="18"/>
                <w:szCs w:val="18"/>
                <w:lang w:val="it-IT"/>
                <w14:numSpacing w14:val="tabular"/>
              </w:rPr>
              <w:t xml:space="preserve">Marwán </w:t>
            </w:r>
            <w:r w:rsidR="00176E21" w:rsidRPr="00D45A23">
              <w:rPr>
                <w:sz w:val="18"/>
                <w:szCs w:val="18"/>
                <w:lang w:val="it-IT"/>
                <w14:numSpacing w14:val="tabular"/>
              </w:rPr>
              <w:t>I</w:t>
            </w:r>
            <w:r w:rsidRPr="00D45A23">
              <w:rPr>
                <w:sz w:val="18"/>
                <w:szCs w:val="18"/>
                <w:lang w:val="it-IT"/>
                <w14:numSpacing w14:val="tabular"/>
              </w:rPr>
              <w:t xml:space="preserve"> (Marwán </w:t>
            </w:r>
            <w:r w:rsidR="002A49F0" w:rsidRPr="00D45A23">
              <w:rPr>
                <w:sz w:val="18"/>
                <w:szCs w:val="18"/>
                <w:lang w:val="it-IT"/>
                <w14:numSpacing w14:val="tabular"/>
              </w:rPr>
              <w:t>i</w:t>
            </w:r>
            <w:r w:rsidRPr="00D45A23">
              <w:rPr>
                <w:sz w:val="18"/>
                <w:szCs w:val="18"/>
                <w:lang w:val="it-IT"/>
                <w14:numSpacing w14:val="tabular"/>
              </w:rPr>
              <w:t>bn al-Ḥakam) (684–85)</w:t>
            </w:r>
          </w:p>
        </w:tc>
        <w:tc>
          <w:tcPr>
            <w:tcW w:w="454" w:type="dxa"/>
            <w:tcBorders>
              <w:left w:val="single" w:sz="4" w:space="0" w:color="auto"/>
              <w:right w:val="single" w:sz="4" w:space="0" w:color="auto"/>
            </w:tcBorders>
          </w:tcPr>
          <w:p w14:paraId="64F67F4E" w14:textId="77777777" w:rsidR="00371B18" w:rsidRPr="008F03E5" w:rsidRDefault="00371B18" w:rsidP="00563A1D">
            <w:pPr>
              <w:tabs>
                <w:tab w:val="decimal" w:pos="175"/>
              </w:tabs>
              <w:rPr>
                <w:sz w:val="18"/>
                <w:szCs w:val="18"/>
                <w14:numSpacing w14:val="tabular"/>
              </w:rPr>
            </w:pPr>
            <w:r w:rsidRPr="008F03E5">
              <w:rPr>
                <w:sz w:val="18"/>
                <w:szCs w:val="18"/>
                <w14:numSpacing w14:val="tabular"/>
              </w:rPr>
              <w:t>11</w:t>
            </w:r>
          </w:p>
        </w:tc>
        <w:tc>
          <w:tcPr>
            <w:tcW w:w="4309" w:type="dxa"/>
            <w:tcBorders>
              <w:top w:val="nil"/>
              <w:left w:val="single" w:sz="4" w:space="0" w:color="auto"/>
              <w:bottom w:val="nil"/>
            </w:tcBorders>
          </w:tcPr>
          <w:p w14:paraId="5F7EB33E" w14:textId="7E75091F" w:rsidR="00371B18" w:rsidRPr="008F03E5" w:rsidRDefault="002A49F0" w:rsidP="00371B18">
            <w:pPr>
              <w:tabs>
                <w:tab w:val="right" w:pos="330"/>
              </w:tabs>
              <w:rPr>
                <w:sz w:val="18"/>
                <w:szCs w:val="18"/>
                <w14:numSpacing w14:val="tabular"/>
              </w:rPr>
            </w:pPr>
            <w:r w:rsidRPr="008F03E5">
              <w:rPr>
                <w:sz w:val="18"/>
                <w:szCs w:val="18"/>
                <w14:numSpacing w14:val="tabular"/>
              </w:rPr>
              <w:t>a</w:t>
            </w:r>
            <w:r w:rsidR="00371B18" w:rsidRPr="008F03E5">
              <w:rPr>
                <w:sz w:val="18"/>
                <w:szCs w:val="18"/>
                <w14:numSpacing w14:val="tabular"/>
              </w:rPr>
              <w:t xml:space="preserve">l-Walíd </w:t>
            </w:r>
            <w:r w:rsidR="00176E21" w:rsidRPr="008F03E5">
              <w:rPr>
                <w:sz w:val="18"/>
                <w:szCs w:val="18"/>
                <w14:numSpacing w14:val="tabular"/>
              </w:rPr>
              <w:t>II</w:t>
            </w:r>
            <w:r w:rsidR="00371B18" w:rsidRPr="008F03E5">
              <w:rPr>
                <w:sz w:val="18"/>
                <w:szCs w:val="18"/>
                <w14:numSpacing w14:val="tabular"/>
              </w:rPr>
              <w:t xml:space="preserve"> (son of Yazíd II) (743–44)</w:t>
            </w:r>
          </w:p>
        </w:tc>
      </w:tr>
      <w:tr w:rsidR="00755038" w:rsidRPr="008F03E5" w14:paraId="31D84E27" w14:textId="77777777" w:rsidTr="0049198B">
        <w:trPr>
          <w:jc w:val="center"/>
        </w:trPr>
        <w:tc>
          <w:tcPr>
            <w:tcW w:w="454" w:type="dxa"/>
            <w:tcBorders>
              <w:right w:val="single" w:sz="4" w:space="0" w:color="auto"/>
            </w:tcBorders>
          </w:tcPr>
          <w:p w14:paraId="4FFF3F59" w14:textId="77777777" w:rsidR="00371B18" w:rsidRPr="008F03E5" w:rsidRDefault="00371B18" w:rsidP="00563A1D">
            <w:pPr>
              <w:tabs>
                <w:tab w:val="decimal" w:pos="118"/>
              </w:tabs>
              <w:rPr>
                <w:sz w:val="18"/>
                <w:szCs w:val="18"/>
                <w14:numSpacing w14:val="tabular"/>
              </w:rPr>
            </w:pPr>
            <w:r w:rsidRPr="008F03E5">
              <w:rPr>
                <w:sz w:val="18"/>
                <w:szCs w:val="18"/>
                <w14:numSpacing w14:val="tabular"/>
              </w:rPr>
              <w:t>5</w:t>
            </w:r>
          </w:p>
        </w:tc>
        <w:tc>
          <w:tcPr>
            <w:tcW w:w="4309" w:type="dxa"/>
            <w:tcBorders>
              <w:top w:val="nil"/>
              <w:left w:val="single" w:sz="4" w:space="0" w:color="auto"/>
              <w:bottom w:val="nil"/>
              <w:right w:val="single" w:sz="4" w:space="0" w:color="auto"/>
            </w:tcBorders>
          </w:tcPr>
          <w:p w14:paraId="0E2E25E8" w14:textId="2AA1DB21" w:rsidR="00371B18" w:rsidRPr="008F03E5" w:rsidRDefault="00371B18" w:rsidP="00825D95">
            <w:pPr>
              <w:rPr>
                <w:sz w:val="18"/>
                <w:szCs w:val="18"/>
                <w14:numSpacing w14:val="tabular"/>
              </w:rPr>
            </w:pPr>
            <w:r w:rsidRPr="008F03E5">
              <w:rPr>
                <w:sz w:val="18"/>
                <w:szCs w:val="18"/>
                <w14:numSpacing w14:val="tabular"/>
              </w:rPr>
              <w:t xml:space="preserve">‘Abdu’l-Malik (‘Abdu’l-Malik </w:t>
            </w:r>
            <w:r w:rsidR="002A49F0" w:rsidRPr="008F03E5">
              <w:rPr>
                <w:sz w:val="18"/>
                <w:szCs w:val="18"/>
                <w14:numSpacing w14:val="tabular"/>
              </w:rPr>
              <w:t>i</w:t>
            </w:r>
            <w:r w:rsidRPr="008F03E5">
              <w:rPr>
                <w:sz w:val="18"/>
                <w:szCs w:val="18"/>
                <w14:numSpacing w14:val="tabular"/>
              </w:rPr>
              <w:t>bn Marwán) (685–705)</w:t>
            </w:r>
          </w:p>
        </w:tc>
        <w:tc>
          <w:tcPr>
            <w:tcW w:w="454" w:type="dxa"/>
            <w:tcBorders>
              <w:left w:val="single" w:sz="4" w:space="0" w:color="auto"/>
              <w:right w:val="single" w:sz="4" w:space="0" w:color="auto"/>
            </w:tcBorders>
          </w:tcPr>
          <w:p w14:paraId="1B70F054" w14:textId="77777777" w:rsidR="00371B18" w:rsidRPr="008F03E5" w:rsidRDefault="00371B18" w:rsidP="00563A1D">
            <w:pPr>
              <w:tabs>
                <w:tab w:val="decimal" w:pos="175"/>
              </w:tabs>
              <w:rPr>
                <w:sz w:val="18"/>
                <w:szCs w:val="18"/>
                <w14:numSpacing w14:val="tabular"/>
              </w:rPr>
            </w:pPr>
            <w:r w:rsidRPr="008F03E5">
              <w:rPr>
                <w:sz w:val="18"/>
                <w:szCs w:val="18"/>
                <w14:numSpacing w14:val="tabular"/>
              </w:rPr>
              <w:t>12</w:t>
            </w:r>
          </w:p>
        </w:tc>
        <w:tc>
          <w:tcPr>
            <w:tcW w:w="4309" w:type="dxa"/>
            <w:tcBorders>
              <w:top w:val="nil"/>
              <w:left w:val="single" w:sz="4" w:space="0" w:color="auto"/>
              <w:bottom w:val="nil"/>
            </w:tcBorders>
          </w:tcPr>
          <w:p w14:paraId="56C07F16" w14:textId="2556C4CB" w:rsidR="00371B18" w:rsidRPr="008F03E5" w:rsidRDefault="00371B18" w:rsidP="00371B18">
            <w:pPr>
              <w:tabs>
                <w:tab w:val="right" w:pos="330"/>
              </w:tabs>
              <w:rPr>
                <w:sz w:val="18"/>
                <w:szCs w:val="18"/>
                <w14:numSpacing w14:val="tabular"/>
              </w:rPr>
            </w:pPr>
            <w:r w:rsidRPr="008F03E5">
              <w:rPr>
                <w:sz w:val="18"/>
                <w:szCs w:val="18"/>
                <w14:numSpacing w14:val="tabular"/>
              </w:rPr>
              <w:t xml:space="preserve">Yazíd </w:t>
            </w:r>
            <w:r w:rsidR="00176E21" w:rsidRPr="008F03E5">
              <w:rPr>
                <w:sz w:val="18"/>
                <w:szCs w:val="18"/>
                <w14:numSpacing w14:val="tabular"/>
              </w:rPr>
              <w:t>III</w:t>
            </w:r>
            <w:r w:rsidRPr="008F03E5">
              <w:rPr>
                <w:sz w:val="18"/>
                <w:szCs w:val="18"/>
                <w14:numSpacing w14:val="tabular"/>
              </w:rPr>
              <w:t xml:space="preserve"> (son of </w:t>
            </w:r>
            <w:r w:rsidR="002A49F0" w:rsidRPr="008F03E5">
              <w:rPr>
                <w:sz w:val="18"/>
                <w:szCs w:val="18"/>
                <w14:numSpacing w14:val="tabular"/>
              </w:rPr>
              <w:t>a</w:t>
            </w:r>
            <w:r w:rsidRPr="008F03E5">
              <w:rPr>
                <w:sz w:val="18"/>
                <w:szCs w:val="18"/>
                <w14:numSpacing w14:val="tabular"/>
              </w:rPr>
              <w:t>l-Walíd I) (744)</w:t>
            </w:r>
          </w:p>
        </w:tc>
      </w:tr>
      <w:tr w:rsidR="00755038" w:rsidRPr="008F03E5" w14:paraId="02365C8F" w14:textId="77777777" w:rsidTr="0049198B">
        <w:trPr>
          <w:jc w:val="center"/>
        </w:trPr>
        <w:tc>
          <w:tcPr>
            <w:tcW w:w="454" w:type="dxa"/>
            <w:tcBorders>
              <w:right w:val="single" w:sz="4" w:space="0" w:color="auto"/>
            </w:tcBorders>
          </w:tcPr>
          <w:p w14:paraId="523AFBDE" w14:textId="77777777" w:rsidR="00371B18" w:rsidRPr="008F03E5" w:rsidRDefault="00371B18" w:rsidP="00563A1D">
            <w:pPr>
              <w:tabs>
                <w:tab w:val="decimal" w:pos="118"/>
              </w:tabs>
              <w:rPr>
                <w:sz w:val="18"/>
                <w:szCs w:val="18"/>
                <w14:numSpacing w14:val="tabular"/>
              </w:rPr>
            </w:pPr>
            <w:r w:rsidRPr="008F03E5">
              <w:rPr>
                <w:sz w:val="18"/>
                <w:szCs w:val="18"/>
                <w14:numSpacing w14:val="tabular"/>
              </w:rPr>
              <w:t>6</w:t>
            </w:r>
          </w:p>
        </w:tc>
        <w:tc>
          <w:tcPr>
            <w:tcW w:w="4309" w:type="dxa"/>
            <w:tcBorders>
              <w:top w:val="nil"/>
              <w:left w:val="single" w:sz="4" w:space="0" w:color="auto"/>
              <w:bottom w:val="nil"/>
              <w:right w:val="single" w:sz="4" w:space="0" w:color="auto"/>
            </w:tcBorders>
          </w:tcPr>
          <w:p w14:paraId="3BDD5B5A" w14:textId="28DF64EE" w:rsidR="00371B18" w:rsidRPr="00D45A23" w:rsidRDefault="002A49F0" w:rsidP="00B225AD">
            <w:pPr>
              <w:tabs>
                <w:tab w:val="right" w:pos="327"/>
              </w:tabs>
              <w:rPr>
                <w:sz w:val="18"/>
                <w:szCs w:val="18"/>
                <w:lang w:val="it-IT"/>
                <w14:numSpacing w14:val="tabular"/>
              </w:rPr>
            </w:pPr>
            <w:r w:rsidRPr="00D45A23">
              <w:rPr>
                <w:sz w:val="18"/>
                <w:szCs w:val="18"/>
                <w:lang w:val="it-IT"/>
                <w14:numSpacing w14:val="tabular"/>
              </w:rPr>
              <w:t>a</w:t>
            </w:r>
            <w:r w:rsidR="00371B18" w:rsidRPr="00D45A23">
              <w:rPr>
                <w:sz w:val="18"/>
                <w:szCs w:val="18"/>
                <w:lang w:val="it-IT"/>
                <w14:numSpacing w14:val="tabular"/>
              </w:rPr>
              <w:t xml:space="preserve">l-Walíd </w:t>
            </w:r>
            <w:r w:rsidR="00176E21" w:rsidRPr="00D45A23">
              <w:rPr>
                <w:sz w:val="18"/>
                <w:szCs w:val="18"/>
                <w:lang w:val="it-IT"/>
                <w14:numSpacing w14:val="tabular"/>
              </w:rPr>
              <w:t>I</w:t>
            </w:r>
            <w:r w:rsidR="00371B18" w:rsidRPr="00D45A23">
              <w:rPr>
                <w:sz w:val="18"/>
                <w:szCs w:val="18"/>
                <w:lang w:val="it-IT"/>
                <w14:numSpacing w14:val="tabular"/>
              </w:rPr>
              <w:t xml:space="preserve"> (</w:t>
            </w:r>
            <w:r w:rsidRPr="00D45A23">
              <w:rPr>
                <w:sz w:val="18"/>
                <w:szCs w:val="18"/>
                <w:lang w:val="it-IT"/>
                <w14:numSpacing w14:val="tabular"/>
              </w:rPr>
              <w:t>a</w:t>
            </w:r>
            <w:r w:rsidR="00371B18" w:rsidRPr="00D45A23">
              <w:rPr>
                <w:sz w:val="18"/>
                <w:szCs w:val="18"/>
                <w:lang w:val="it-IT"/>
                <w14:numSpacing w14:val="tabular"/>
              </w:rPr>
              <w:t>l-Walíd Ibn ‘Abdu’l-Malik) (705</w:t>
            </w:r>
            <w:r w:rsidR="00B225AD" w:rsidRPr="00D45A23">
              <w:rPr>
                <w:sz w:val="18"/>
                <w:szCs w:val="18"/>
                <w:lang w:val="it-IT"/>
                <w14:numSpacing w14:val="tabular"/>
              </w:rPr>
              <w:t>–</w:t>
            </w:r>
            <w:r w:rsidR="00371B18" w:rsidRPr="00D45A23">
              <w:rPr>
                <w:sz w:val="18"/>
                <w:szCs w:val="18"/>
                <w:lang w:val="it-IT"/>
                <w14:numSpacing w14:val="tabular"/>
              </w:rPr>
              <w:t>15)</w:t>
            </w:r>
          </w:p>
        </w:tc>
        <w:tc>
          <w:tcPr>
            <w:tcW w:w="454" w:type="dxa"/>
            <w:tcBorders>
              <w:left w:val="single" w:sz="4" w:space="0" w:color="auto"/>
              <w:right w:val="single" w:sz="4" w:space="0" w:color="auto"/>
            </w:tcBorders>
          </w:tcPr>
          <w:p w14:paraId="36064E28" w14:textId="77777777" w:rsidR="00371B18" w:rsidRPr="008F03E5" w:rsidRDefault="00371B18" w:rsidP="00563A1D">
            <w:pPr>
              <w:tabs>
                <w:tab w:val="decimal" w:pos="175"/>
              </w:tabs>
              <w:rPr>
                <w:sz w:val="18"/>
                <w:szCs w:val="18"/>
                <w14:numSpacing w14:val="tabular"/>
              </w:rPr>
            </w:pPr>
            <w:r w:rsidRPr="008F03E5">
              <w:rPr>
                <w:sz w:val="18"/>
                <w:szCs w:val="18"/>
                <w14:numSpacing w14:val="tabular"/>
              </w:rPr>
              <w:t>13</w:t>
            </w:r>
          </w:p>
        </w:tc>
        <w:tc>
          <w:tcPr>
            <w:tcW w:w="4309" w:type="dxa"/>
            <w:tcBorders>
              <w:top w:val="nil"/>
              <w:left w:val="single" w:sz="4" w:space="0" w:color="auto"/>
              <w:bottom w:val="nil"/>
            </w:tcBorders>
          </w:tcPr>
          <w:p w14:paraId="2AF132CB" w14:textId="4F13F8F2" w:rsidR="00371B18" w:rsidRPr="008F03E5" w:rsidRDefault="00371B18" w:rsidP="00825D95">
            <w:pPr>
              <w:rPr>
                <w:sz w:val="18"/>
                <w:szCs w:val="18"/>
                <w14:numSpacing w14:val="tabular"/>
              </w:rPr>
            </w:pPr>
            <w:r w:rsidRPr="008F03E5">
              <w:rPr>
                <w:sz w:val="18"/>
                <w:szCs w:val="18"/>
                <w14:numSpacing w14:val="tabular"/>
              </w:rPr>
              <w:t xml:space="preserve">Ibráhím (son of </w:t>
            </w:r>
            <w:r w:rsidR="002A49F0" w:rsidRPr="008F03E5">
              <w:rPr>
                <w:sz w:val="18"/>
                <w:szCs w:val="18"/>
                <w14:numSpacing w14:val="tabular"/>
              </w:rPr>
              <w:t>a</w:t>
            </w:r>
            <w:r w:rsidRPr="008F03E5">
              <w:rPr>
                <w:sz w:val="18"/>
                <w:szCs w:val="18"/>
                <w14:numSpacing w14:val="tabular"/>
              </w:rPr>
              <w:t>l-Walíd I) (744)</w:t>
            </w:r>
          </w:p>
        </w:tc>
      </w:tr>
      <w:tr w:rsidR="00755038" w:rsidRPr="008063A9" w14:paraId="3AA20512" w14:textId="77777777" w:rsidTr="0049198B">
        <w:trPr>
          <w:jc w:val="center"/>
        </w:trPr>
        <w:tc>
          <w:tcPr>
            <w:tcW w:w="454" w:type="dxa"/>
            <w:tcBorders>
              <w:right w:val="single" w:sz="4" w:space="0" w:color="auto"/>
            </w:tcBorders>
          </w:tcPr>
          <w:p w14:paraId="7A898002" w14:textId="77777777" w:rsidR="00371B18" w:rsidRPr="008F03E5" w:rsidRDefault="00371B18" w:rsidP="00563A1D">
            <w:pPr>
              <w:tabs>
                <w:tab w:val="decimal" w:pos="118"/>
              </w:tabs>
              <w:rPr>
                <w:sz w:val="18"/>
                <w:szCs w:val="18"/>
                <w14:numSpacing w14:val="tabular"/>
              </w:rPr>
            </w:pPr>
            <w:r w:rsidRPr="008F03E5">
              <w:rPr>
                <w:sz w:val="18"/>
                <w:szCs w:val="18"/>
                <w14:numSpacing w14:val="tabular"/>
              </w:rPr>
              <w:t>7</w:t>
            </w:r>
          </w:p>
        </w:tc>
        <w:tc>
          <w:tcPr>
            <w:tcW w:w="4309" w:type="dxa"/>
            <w:tcBorders>
              <w:top w:val="nil"/>
              <w:left w:val="single" w:sz="4" w:space="0" w:color="auto"/>
              <w:bottom w:val="single" w:sz="4" w:space="0" w:color="auto"/>
              <w:right w:val="single" w:sz="4" w:space="0" w:color="auto"/>
            </w:tcBorders>
          </w:tcPr>
          <w:p w14:paraId="0800D76D" w14:textId="77777777" w:rsidR="00371B18" w:rsidRPr="008F03E5" w:rsidRDefault="00371B18" w:rsidP="00825D95">
            <w:pPr>
              <w:rPr>
                <w:sz w:val="18"/>
                <w:szCs w:val="18"/>
                <w14:numSpacing w14:val="tabular"/>
              </w:rPr>
            </w:pPr>
            <w:r w:rsidRPr="008F03E5">
              <w:rPr>
                <w:sz w:val="18"/>
                <w:szCs w:val="18"/>
                <w14:numSpacing w14:val="tabular"/>
              </w:rPr>
              <w:t>Sulaymán (715–17)</w:t>
            </w:r>
          </w:p>
        </w:tc>
        <w:tc>
          <w:tcPr>
            <w:tcW w:w="454" w:type="dxa"/>
            <w:tcBorders>
              <w:left w:val="single" w:sz="4" w:space="0" w:color="auto"/>
              <w:right w:val="single" w:sz="4" w:space="0" w:color="auto"/>
            </w:tcBorders>
          </w:tcPr>
          <w:p w14:paraId="23551D08" w14:textId="77777777" w:rsidR="00371B18" w:rsidRPr="008F03E5" w:rsidRDefault="00371B18" w:rsidP="00563A1D">
            <w:pPr>
              <w:tabs>
                <w:tab w:val="decimal" w:pos="175"/>
              </w:tabs>
              <w:rPr>
                <w:sz w:val="18"/>
                <w:szCs w:val="18"/>
                <w14:numSpacing w14:val="tabular"/>
              </w:rPr>
            </w:pPr>
            <w:r w:rsidRPr="008F03E5">
              <w:rPr>
                <w:sz w:val="18"/>
                <w:szCs w:val="18"/>
                <w14:numSpacing w14:val="tabular"/>
              </w:rPr>
              <w:t>14</w:t>
            </w:r>
          </w:p>
        </w:tc>
        <w:tc>
          <w:tcPr>
            <w:tcW w:w="4309" w:type="dxa"/>
            <w:tcBorders>
              <w:top w:val="nil"/>
              <w:left w:val="single" w:sz="4" w:space="0" w:color="auto"/>
              <w:bottom w:val="single" w:sz="4" w:space="0" w:color="auto"/>
            </w:tcBorders>
          </w:tcPr>
          <w:p w14:paraId="13478ABC" w14:textId="77777777" w:rsidR="00371B18" w:rsidRPr="00077779" w:rsidRDefault="00371B18" w:rsidP="00371B18">
            <w:pPr>
              <w:tabs>
                <w:tab w:val="right" w:pos="330"/>
              </w:tabs>
              <w:rPr>
                <w:sz w:val="18"/>
                <w:szCs w:val="18"/>
                <w:lang w:val="es-ES_tradnl"/>
                <w14:numSpacing w14:val="tabular"/>
              </w:rPr>
            </w:pPr>
            <w:r w:rsidRPr="00077779">
              <w:rPr>
                <w:sz w:val="18"/>
                <w:szCs w:val="18"/>
                <w:lang w:val="es-ES_tradnl"/>
                <w14:numSpacing w14:val="tabular"/>
              </w:rPr>
              <w:t xml:space="preserve">Marwán </w:t>
            </w:r>
            <w:r w:rsidR="00176E21" w:rsidRPr="00077779">
              <w:rPr>
                <w:sz w:val="18"/>
                <w:szCs w:val="18"/>
                <w:lang w:val="es-ES_tradnl"/>
                <w14:numSpacing w14:val="tabular"/>
              </w:rPr>
              <w:t>II</w:t>
            </w:r>
            <w:r w:rsidRPr="00077779">
              <w:rPr>
                <w:sz w:val="18"/>
                <w:szCs w:val="18"/>
                <w:lang w:val="es-ES_tradnl"/>
                <w14:numSpacing w14:val="tabular"/>
              </w:rPr>
              <w:t xml:space="preserve"> (Marwán al-Ḥimár) (744–50)</w:t>
            </w:r>
          </w:p>
        </w:tc>
      </w:tr>
    </w:tbl>
    <w:p w14:paraId="74A954E9" w14:textId="0773ECE3" w:rsidR="00B411F0" w:rsidRPr="00D45A23" w:rsidRDefault="0029346C" w:rsidP="00DD0863">
      <w:pPr>
        <w:pStyle w:val="Myhead3"/>
        <w:spacing w:after="120"/>
        <w:rPr>
          <w:lang w:val="it-IT"/>
        </w:rPr>
      </w:pPr>
      <w:bookmarkStart w:id="228" w:name="_Toc447693091"/>
      <w:r w:rsidRPr="00D45A23">
        <w:rPr>
          <w:lang w:val="it-IT"/>
        </w:rPr>
        <w:t xml:space="preserve">The </w:t>
      </w:r>
      <w:r w:rsidR="00B411F0" w:rsidRPr="00D45A23">
        <w:rPr>
          <w:lang w:val="it-IT"/>
        </w:rPr>
        <w:t>Abbaside</w:t>
      </w:r>
      <w:r w:rsidR="00093607">
        <w:rPr>
          <w:lang w:val="it-IT"/>
        </w:rPr>
        <w:t xml:space="preserve"> </w:t>
      </w:r>
      <w:r w:rsidR="00EC53AA" w:rsidRPr="00D45A23">
        <w:rPr>
          <w:lang w:val="it-IT"/>
        </w:rPr>
        <w:t>(al-</w:t>
      </w:r>
      <w:r w:rsidR="00EC53AA" w:rsidRPr="00D45A23">
        <w:rPr>
          <w:u w:val="single"/>
          <w:lang w:val="it-IT"/>
        </w:rPr>
        <w:t>Kh</w:t>
      </w:r>
      <w:r w:rsidR="00EC53AA" w:rsidRPr="00D45A23">
        <w:rPr>
          <w:lang w:val="it-IT"/>
        </w:rPr>
        <w:t>iláfah al-‘Abbásíyah)</w:t>
      </w:r>
      <w:r w:rsidR="00BB58C6" w:rsidRPr="00BB58C6">
        <w:rPr>
          <w:b w:val="0"/>
          <w:i w:val="0"/>
          <w:sz w:val="12"/>
        </w:rPr>
        <w:fldChar w:fldCharType="begin"/>
      </w:r>
      <w:r w:rsidR="00BB58C6" w:rsidRPr="00BB58C6">
        <w:rPr>
          <w:b w:val="0"/>
          <w:i w:val="0"/>
          <w:sz w:val="12"/>
          <w:lang w:val="it-IT"/>
        </w:rPr>
        <w:instrText xml:space="preserve"> TC “</w:instrText>
      </w:r>
      <w:bookmarkStart w:id="229" w:name="_Toc149476399"/>
      <w:bookmarkStart w:id="230" w:name="_Toc167691901"/>
      <w:r w:rsidR="00BB58C6" w:rsidRPr="00074EB6">
        <w:rPr>
          <w:b w:val="0"/>
          <w:iCs/>
          <w:sz w:val="12"/>
          <w:lang w:val="it-IT"/>
        </w:rPr>
        <w:instrText>The Abbaside</w:instrText>
      </w:r>
      <w:r w:rsidR="00BB58C6" w:rsidRPr="00074EB6">
        <w:rPr>
          <w:b w:val="0"/>
          <w:iCs/>
          <w:color w:val="FFFFFF" w:themeColor="background1"/>
          <w:sz w:val="12"/>
          <w:lang w:val="it-IT"/>
        </w:rPr>
        <w:instrText>..</w:instrText>
      </w:r>
      <w:r w:rsidR="00BB58C6" w:rsidRPr="00074EB6">
        <w:rPr>
          <w:b w:val="0"/>
          <w:iCs/>
          <w:sz w:val="12"/>
          <w:lang w:val="it-IT"/>
        </w:rPr>
        <w:tab/>
      </w:r>
      <w:r w:rsidR="00BB58C6" w:rsidRPr="00BB58C6">
        <w:rPr>
          <w:b w:val="0"/>
          <w:i w:val="0"/>
          <w:color w:val="FFFFFF" w:themeColor="background1"/>
          <w:sz w:val="12"/>
          <w:lang w:val="it-IT"/>
        </w:rPr>
        <w:instrText>.</w:instrText>
      </w:r>
      <w:bookmarkEnd w:id="229"/>
      <w:bookmarkEnd w:id="230"/>
      <w:r w:rsidR="00BB58C6" w:rsidRPr="00BB58C6">
        <w:rPr>
          <w:b w:val="0"/>
          <w:i w:val="0"/>
          <w:sz w:val="12"/>
          <w:lang w:val="it-IT"/>
        </w:rPr>
        <w:instrText>” \l 2</w:instrText>
      </w:r>
      <w:r w:rsidR="00BB58C6" w:rsidRPr="00BB58C6">
        <w:rPr>
          <w:b w:val="0"/>
          <w:i w:val="0"/>
          <w:sz w:val="12"/>
        </w:rPr>
        <w:fldChar w:fldCharType="end"/>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87"/>
        <w:gridCol w:w="3458"/>
        <w:gridCol w:w="454"/>
        <w:gridCol w:w="6236"/>
      </w:tblGrid>
      <w:tr w:rsidR="00B411F0" w:rsidRPr="008F03E5" w14:paraId="65D16BA7" w14:textId="77777777" w:rsidTr="0049198B">
        <w:trPr>
          <w:jc w:val="center"/>
        </w:trPr>
        <w:tc>
          <w:tcPr>
            <w:tcW w:w="387" w:type="dxa"/>
            <w:tcBorders>
              <w:right w:val="single" w:sz="4" w:space="0" w:color="auto"/>
            </w:tcBorders>
          </w:tcPr>
          <w:p w14:paraId="1F2B5287" w14:textId="77777777" w:rsidR="00B411F0" w:rsidRPr="008F03E5" w:rsidRDefault="00B411F0" w:rsidP="00254769">
            <w:pPr>
              <w:rPr>
                <w:sz w:val="18"/>
                <w:szCs w:val="18"/>
                <w14:numSpacing w14:val="tabular"/>
              </w:rPr>
            </w:pPr>
            <w:r w:rsidRPr="008F03E5">
              <w:rPr>
                <w:sz w:val="18"/>
                <w:szCs w:val="18"/>
                <w14:numSpacing w14:val="tabular"/>
              </w:rPr>
              <w:t>1</w:t>
            </w:r>
          </w:p>
        </w:tc>
        <w:tc>
          <w:tcPr>
            <w:tcW w:w="3458" w:type="dxa"/>
            <w:tcBorders>
              <w:top w:val="single" w:sz="4" w:space="0" w:color="auto"/>
              <w:left w:val="single" w:sz="4" w:space="0" w:color="auto"/>
              <w:bottom w:val="nil"/>
              <w:right w:val="single" w:sz="4" w:space="0" w:color="auto"/>
            </w:tcBorders>
          </w:tcPr>
          <w:p w14:paraId="5C09BD76" w14:textId="77777777" w:rsidR="00B411F0" w:rsidRPr="008F03E5" w:rsidRDefault="00B411F0" w:rsidP="00254769">
            <w:pPr>
              <w:rPr>
                <w:sz w:val="18"/>
                <w:szCs w:val="18"/>
                <w14:numSpacing w14:val="tabular"/>
              </w:rPr>
            </w:pPr>
            <w:r w:rsidRPr="008F03E5">
              <w:rPr>
                <w:sz w:val="18"/>
                <w:szCs w:val="18"/>
              </w:rPr>
              <w:t>Abu’l-‘Abbás ‘Abdu’lláh as-Saffáḥ (750–54)</w:t>
            </w:r>
          </w:p>
        </w:tc>
        <w:tc>
          <w:tcPr>
            <w:tcW w:w="454" w:type="dxa"/>
            <w:tcBorders>
              <w:left w:val="single" w:sz="4" w:space="0" w:color="auto"/>
              <w:right w:val="single" w:sz="4" w:space="0" w:color="auto"/>
            </w:tcBorders>
          </w:tcPr>
          <w:p w14:paraId="7CB64F73" w14:textId="77777777" w:rsidR="00B411F0" w:rsidRPr="008F03E5" w:rsidRDefault="00B411F0" w:rsidP="00B411F0">
            <w:pPr>
              <w:tabs>
                <w:tab w:val="decimal" w:pos="170"/>
              </w:tabs>
              <w:rPr>
                <w:sz w:val="18"/>
                <w:szCs w:val="18"/>
                <w14:numSpacing w14:val="tabular"/>
              </w:rPr>
            </w:pPr>
            <w:r w:rsidRPr="008F03E5">
              <w:rPr>
                <w:sz w:val="18"/>
                <w:szCs w:val="18"/>
                <w14:numSpacing w14:val="tabular"/>
              </w:rPr>
              <w:t>6</w:t>
            </w:r>
          </w:p>
        </w:tc>
        <w:tc>
          <w:tcPr>
            <w:tcW w:w="6236" w:type="dxa"/>
            <w:tcBorders>
              <w:top w:val="single" w:sz="4" w:space="0" w:color="auto"/>
              <w:left w:val="single" w:sz="4" w:space="0" w:color="auto"/>
              <w:bottom w:val="nil"/>
            </w:tcBorders>
          </w:tcPr>
          <w:p w14:paraId="7912EB15" w14:textId="77777777" w:rsidR="00B411F0" w:rsidRPr="008F03E5" w:rsidRDefault="00B411F0" w:rsidP="00254769">
            <w:pPr>
              <w:rPr>
                <w:sz w:val="18"/>
                <w:szCs w:val="18"/>
              </w:rPr>
            </w:pPr>
            <w:r w:rsidRPr="008F03E5">
              <w:rPr>
                <w:sz w:val="18"/>
                <w:szCs w:val="18"/>
              </w:rPr>
              <w:t>Muḥammad al-Amín (809–13)</w:t>
            </w:r>
          </w:p>
        </w:tc>
      </w:tr>
      <w:tr w:rsidR="00B411F0" w:rsidRPr="008F03E5" w14:paraId="5C1240DF" w14:textId="77777777" w:rsidTr="0049198B">
        <w:trPr>
          <w:jc w:val="center"/>
        </w:trPr>
        <w:tc>
          <w:tcPr>
            <w:tcW w:w="387" w:type="dxa"/>
            <w:tcBorders>
              <w:right w:val="single" w:sz="4" w:space="0" w:color="auto"/>
            </w:tcBorders>
          </w:tcPr>
          <w:p w14:paraId="2E1BDC95" w14:textId="77777777" w:rsidR="00B411F0" w:rsidRPr="008F03E5" w:rsidRDefault="00B411F0" w:rsidP="00254769">
            <w:pPr>
              <w:rPr>
                <w:sz w:val="18"/>
                <w:szCs w:val="18"/>
                <w14:numSpacing w14:val="tabular"/>
              </w:rPr>
            </w:pPr>
            <w:r w:rsidRPr="008F03E5">
              <w:rPr>
                <w:sz w:val="18"/>
                <w:szCs w:val="18"/>
                <w14:numSpacing w14:val="tabular"/>
              </w:rPr>
              <w:t>2</w:t>
            </w:r>
          </w:p>
        </w:tc>
        <w:tc>
          <w:tcPr>
            <w:tcW w:w="3458" w:type="dxa"/>
            <w:tcBorders>
              <w:top w:val="nil"/>
              <w:left w:val="single" w:sz="4" w:space="0" w:color="auto"/>
              <w:bottom w:val="nil"/>
              <w:right w:val="single" w:sz="4" w:space="0" w:color="auto"/>
            </w:tcBorders>
          </w:tcPr>
          <w:p w14:paraId="7DE9FDB7" w14:textId="77777777" w:rsidR="00B411F0" w:rsidRPr="00D45A23" w:rsidRDefault="00B411F0" w:rsidP="00254769">
            <w:pPr>
              <w:rPr>
                <w:sz w:val="18"/>
                <w:szCs w:val="18"/>
                <w:lang w:val="it-IT"/>
                <w14:numSpacing w14:val="tabular"/>
              </w:rPr>
            </w:pPr>
            <w:r w:rsidRPr="00D45A23">
              <w:rPr>
                <w:sz w:val="18"/>
                <w:szCs w:val="18"/>
                <w:lang w:val="it-IT"/>
              </w:rPr>
              <w:t>Abú-Ja‘far al-Manṣúr (754–75)</w:t>
            </w:r>
          </w:p>
        </w:tc>
        <w:tc>
          <w:tcPr>
            <w:tcW w:w="454" w:type="dxa"/>
            <w:tcBorders>
              <w:left w:val="single" w:sz="4" w:space="0" w:color="auto"/>
              <w:right w:val="single" w:sz="4" w:space="0" w:color="auto"/>
            </w:tcBorders>
          </w:tcPr>
          <w:p w14:paraId="14B76186" w14:textId="77777777" w:rsidR="00B411F0" w:rsidRPr="008F03E5" w:rsidRDefault="00B411F0" w:rsidP="00B411F0">
            <w:pPr>
              <w:tabs>
                <w:tab w:val="decimal" w:pos="170"/>
              </w:tabs>
              <w:rPr>
                <w:sz w:val="18"/>
                <w:szCs w:val="18"/>
                <w14:numSpacing w14:val="tabular"/>
              </w:rPr>
            </w:pPr>
            <w:r w:rsidRPr="008F03E5">
              <w:rPr>
                <w:sz w:val="18"/>
                <w:szCs w:val="18"/>
                <w14:numSpacing w14:val="tabular"/>
              </w:rPr>
              <w:t>7</w:t>
            </w:r>
          </w:p>
        </w:tc>
        <w:tc>
          <w:tcPr>
            <w:tcW w:w="6236" w:type="dxa"/>
            <w:tcBorders>
              <w:top w:val="nil"/>
              <w:left w:val="single" w:sz="4" w:space="0" w:color="auto"/>
              <w:bottom w:val="nil"/>
            </w:tcBorders>
          </w:tcPr>
          <w:p w14:paraId="5A2517E3" w14:textId="77777777" w:rsidR="00B411F0" w:rsidRPr="008F03E5" w:rsidRDefault="00B411F0" w:rsidP="00254769">
            <w:pPr>
              <w:rPr>
                <w:sz w:val="18"/>
                <w:szCs w:val="18"/>
              </w:rPr>
            </w:pPr>
            <w:r w:rsidRPr="008F03E5">
              <w:rPr>
                <w:sz w:val="18"/>
                <w:szCs w:val="18"/>
              </w:rPr>
              <w:t>‘Abdu’lláh al-Ma’mún (813–33)</w:t>
            </w:r>
          </w:p>
        </w:tc>
      </w:tr>
      <w:tr w:rsidR="00B411F0" w:rsidRPr="008F03E5" w14:paraId="4DACAFC4" w14:textId="77777777" w:rsidTr="0049198B">
        <w:trPr>
          <w:jc w:val="center"/>
        </w:trPr>
        <w:tc>
          <w:tcPr>
            <w:tcW w:w="387" w:type="dxa"/>
            <w:tcBorders>
              <w:right w:val="single" w:sz="4" w:space="0" w:color="auto"/>
            </w:tcBorders>
          </w:tcPr>
          <w:p w14:paraId="434F89F2" w14:textId="77777777" w:rsidR="00B411F0" w:rsidRPr="008F03E5" w:rsidRDefault="00B411F0" w:rsidP="00254769">
            <w:pPr>
              <w:rPr>
                <w:sz w:val="18"/>
                <w:szCs w:val="18"/>
                <w14:numSpacing w14:val="tabular"/>
              </w:rPr>
            </w:pPr>
            <w:r w:rsidRPr="008F03E5">
              <w:rPr>
                <w:sz w:val="18"/>
                <w:szCs w:val="18"/>
                <w14:numSpacing w14:val="tabular"/>
              </w:rPr>
              <w:t>3</w:t>
            </w:r>
          </w:p>
        </w:tc>
        <w:tc>
          <w:tcPr>
            <w:tcW w:w="3458" w:type="dxa"/>
            <w:tcBorders>
              <w:top w:val="nil"/>
              <w:left w:val="single" w:sz="4" w:space="0" w:color="auto"/>
              <w:bottom w:val="nil"/>
              <w:right w:val="single" w:sz="4" w:space="0" w:color="auto"/>
            </w:tcBorders>
          </w:tcPr>
          <w:p w14:paraId="5D6BE812" w14:textId="77777777" w:rsidR="00B411F0" w:rsidRPr="008F03E5" w:rsidRDefault="00B411F0" w:rsidP="00254769">
            <w:pPr>
              <w:rPr>
                <w:sz w:val="18"/>
                <w:szCs w:val="18"/>
                <w14:numSpacing w14:val="tabular"/>
              </w:rPr>
            </w:pPr>
            <w:r w:rsidRPr="008F03E5">
              <w:rPr>
                <w:sz w:val="18"/>
                <w:szCs w:val="18"/>
              </w:rPr>
              <w:t>Muḥammad al-Mahdí (775–85)</w:t>
            </w:r>
          </w:p>
        </w:tc>
        <w:tc>
          <w:tcPr>
            <w:tcW w:w="454" w:type="dxa"/>
            <w:tcBorders>
              <w:left w:val="single" w:sz="4" w:space="0" w:color="auto"/>
              <w:right w:val="single" w:sz="4" w:space="0" w:color="auto"/>
            </w:tcBorders>
          </w:tcPr>
          <w:p w14:paraId="0FB2EE9B" w14:textId="77777777" w:rsidR="00B411F0" w:rsidRPr="008F03E5" w:rsidRDefault="00B411F0" w:rsidP="00B411F0">
            <w:pPr>
              <w:tabs>
                <w:tab w:val="decimal" w:pos="170"/>
              </w:tabs>
              <w:rPr>
                <w:sz w:val="18"/>
                <w:szCs w:val="18"/>
                <w14:numSpacing w14:val="tabular"/>
              </w:rPr>
            </w:pPr>
            <w:r w:rsidRPr="008F03E5">
              <w:rPr>
                <w:sz w:val="18"/>
                <w:szCs w:val="18"/>
                <w14:numSpacing w14:val="tabular"/>
              </w:rPr>
              <w:t>8</w:t>
            </w:r>
          </w:p>
        </w:tc>
        <w:tc>
          <w:tcPr>
            <w:tcW w:w="6236" w:type="dxa"/>
            <w:tcBorders>
              <w:top w:val="nil"/>
              <w:left w:val="single" w:sz="4" w:space="0" w:color="auto"/>
              <w:bottom w:val="nil"/>
            </w:tcBorders>
          </w:tcPr>
          <w:p w14:paraId="5E7871A5" w14:textId="24A36CBE" w:rsidR="00B411F0" w:rsidRPr="008F03E5" w:rsidRDefault="00B411F0" w:rsidP="006A1C2F">
            <w:pPr>
              <w:rPr>
                <w:sz w:val="18"/>
                <w:szCs w:val="18"/>
              </w:rPr>
            </w:pPr>
            <w:r w:rsidRPr="008F03E5">
              <w:rPr>
                <w:sz w:val="18"/>
                <w:szCs w:val="18"/>
              </w:rPr>
              <w:t>Muḥammad al-Mu</w:t>
            </w:r>
            <w:r w:rsidR="006A1C2F" w:rsidRPr="008F03E5">
              <w:rPr>
                <w:sz w:val="18"/>
                <w:szCs w:val="18"/>
              </w:rPr>
              <w:t>‘</w:t>
            </w:r>
            <w:r w:rsidRPr="008F03E5">
              <w:rPr>
                <w:sz w:val="18"/>
                <w:szCs w:val="18"/>
              </w:rPr>
              <w:t>taṣim (“al-Mu</w:t>
            </w:r>
            <w:r w:rsidR="006A1C2F" w:rsidRPr="008F03E5">
              <w:rPr>
                <w:sz w:val="18"/>
                <w:szCs w:val="18"/>
              </w:rPr>
              <w:t>‘</w:t>
            </w:r>
            <w:r w:rsidRPr="008F03E5">
              <w:rPr>
                <w:sz w:val="18"/>
                <w:szCs w:val="18"/>
              </w:rPr>
              <w:t>taṣim-Bi’lláh”—‘He who is steadfast in God’) (833–42)</w:t>
            </w:r>
          </w:p>
        </w:tc>
      </w:tr>
      <w:tr w:rsidR="00B411F0" w:rsidRPr="008F03E5" w14:paraId="1A5A5D58" w14:textId="77777777" w:rsidTr="0049198B">
        <w:trPr>
          <w:jc w:val="center"/>
        </w:trPr>
        <w:tc>
          <w:tcPr>
            <w:tcW w:w="387" w:type="dxa"/>
            <w:tcBorders>
              <w:right w:val="single" w:sz="4" w:space="0" w:color="auto"/>
            </w:tcBorders>
          </w:tcPr>
          <w:p w14:paraId="74DFD076" w14:textId="77777777" w:rsidR="00B411F0" w:rsidRPr="008F03E5" w:rsidRDefault="00B411F0" w:rsidP="00254769">
            <w:pPr>
              <w:rPr>
                <w:sz w:val="18"/>
                <w:szCs w:val="18"/>
                <w14:numSpacing w14:val="tabular"/>
              </w:rPr>
            </w:pPr>
            <w:r w:rsidRPr="008F03E5">
              <w:rPr>
                <w:sz w:val="18"/>
                <w:szCs w:val="18"/>
                <w14:numSpacing w14:val="tabular"/>
              </w:rPr>
              <w:t>4</w:t>
            </w:r>
          </w:p>
        </w:tc>
        <w:tc>
          <w:tcPr>
            <w:tcW w:w="3458" w:type="dxa"/>
            <w:tcBorders>
              <w:top w:val="nil"/>
              <w:left w:val="single" w:sz="4" w:space="0" w:color="auto"/>
              <w:bottom w:val="nil"/>
              <w:right w:val="single" w:sz="4" w:space="0" w:color="auto"/>
            </w:tcBorders>
          </w:tcPr>
          <w:p w14:paraId="494D2C0A" w14:textId="77777777" w:rsidR="00B411F0" w:rsidRPr="008F03E5" w:rsidRDefault="00B411F0" w:rsidP="00254769">
            <w:pPr>
              <w:rPr>
                <w:sz w:val="18"/>
                <w:szCs w:val="18"/>
                <w14:numSpacing w14:val="tabular"/>
              </w:rPr>
            </w:pPr>
            <w:r w:rsidRPr="008F03E5">
              <w:rPr>
                <w:sz w:val="18"/>
                <w:szCs w:val="18"/>
              </w:rPr>
              <w:t>Músá al-Hádí (785–86)</w:t>
            </w:r>
          </w:p>
        </w:tc>
        <w:tc>
          <w:tcPr>
            <w:tcW w:w="454" w:type="dxa"/>
            <w:tcBorders>
              <w:left w:val="single" w:sz="4" w:space="0" w:color="auto"/>
              <w:right w:val="single" w:sz="4" w:space="0" w:color="auto"/>
            </w:tcBorders>
          </w:tcPr>
          <w:p w14:paraId="309F4823" w14:textId="77777777" w:rsidR="00B411F0" w:rsidRPr="008F03E5" w:rsidRDefault="00B411F0" w:rsidP="00B411F0">
            <w:pPr>
              <w:tabs>
                <w:tab w:val="decimal" w:pos="170"/>
              </w:tabs>
              <w:rPr>
                <w:sz w:val="18"/>
                <w:szCs w:val="18"/>
                <w14:numSpacing w14:val="tabular"/>
              </w:rPr>
            </w:pPr>
            <w:r w:rsidRPr="008F03E5">
              <w:rPr>
                <w:sz w:val="18"/>
                <w:szCs w:val="18"/>
                <w14:numSpacing w14:val="tabular"/>
              </w:rPr>
              <w:t>9</w:t>
            </w:r>
          </w:p>
        </w:tc>
        <w:tc>
          <w:tcPr>
            <w:tcW w:w="6236" w:type="dxa"/>
            <w:tcBorders>
              <w:top w:val="nil"/>
              <w:left w:val="single" w:sz="4" w:space="0" w:color="auto"/>
              <w:bottom w:val="nil"/>
            </w:tcBorders>
          </w:tcPr>
          <w:p w14:paraId="699F2BA6" w14:textId="77777777" w:rsidR="00B411F0" w:rsidRPr="008F03E5" w:rsidRDefault="00B411F0" w:rsidP="00254769">
            <w:pPr>
              <w:rPr>
                <w:sz w:val="18"/>
                <w:szCs w:val="18"/>
              </w:rPr>
            </w:pPr>
            <w:r w:rsidRPr="008F03E5">
              <w:rPr>
                <w:sz w:val="18"/>
                <w:szCs w:val="18"/>
              </w:rPr>
              <w:t>Hárún al-Wá</w:t>
            </w:r>
            <w:r w:rsidRPr="008F03E5">
              <w:rPr>
                <w:sz w:val="18"/>
                <w:szCs w:val="18"/>
                <w:u w:val="single"/>
              </w:rPr>
              <w:t>th</w:t>
            </w:r>
            <w:r w:rsidRPr="008F03E5">
              <w:rPr>
                <w:sz w:val="18"/>
                <w:szCs w:val="18"/>
              </w:rPr>
              <w:t>iq (“al-Wá</w:t>
            </w:r>
            <w:r w:rsidRPr="008F03E5">
              <w:rPr>
                <w:sz w:val="18"/>
                <w:szCs w:val="18"/>
                <w:u w:val="single"/>
              </w:rPr>
              <w:t>th</w:t>
            </w:r>
            <w:r w:rsidRPr="008F03E5">
              <w:rPr>
                <w:sz w:val="18"/>
                <w:szCs w:val="18"/>
              </w:rPr>
              <w:t>iq-Bi’lláh”—‘He who has his trust in God’) (842–47)</w:t>
            </w:r>
          </w:p>
        </w:tc>
      </w:tr>
      <w:tr w:rsidR="00B411F0" w:rsidRPr="008F03E5" w14:paraId="6EFC4B04" w14:textId="77777777" w:rsidTr="0049198B">
        <w:trPr>
          <w:jc w:val="center"/>
        </w:trPr>
        <w:tc>
          <w:tcPr>
            <w:tcW w:w="387" w:type="dxa"/>
            <w:tcBorders>
              <w:right w:val="single" w:sz="4" w:space="0" w:color="auto"/>
            </w:tcBorders>
          </w:tcPr>
          <w:p w14:paraId="17BBAAE0" w14:textId="77777777" w:rsidR="00B411F0" w:rsidRPr="008F03E5" w:rsidRDefault="00B411F0" w:rsidP="00254769">
            <w:pPr>
              <w:rPr>
                <w:sz w:val="18"/>
                <w:szCs w:val="18"/>
                <w14:numSpacing w14:val="tabular"/>
              </w:rPr>
            </w:pPr>
            <w:r w:rsidRPr="008F03E5">
              <w:rPr>
                <w:sz w:val="18"/>
                <w:szCs w:val="18"/>
                <w14:numSpacing w14:val="tabular"/>
              </w:rPr>
              <w:t>5</w:t>
            </w:r>
          </w:p>
        </w:tc>
        <w:tc>
          <w:tcPr>
            <w:tcW w:w="3458" w:type="dxa"/>
            <w:tcBorders>
              <w:top w:val="nil"/>
              <w:left w:val="single" w:sz="4" w:space="0" w:color="auto"/>
              <w:bottom w:val="single" w:sz="4" w:space="0" w:color="auto"/>
              <w:right w:val="single" w:sz="4" w:space="0" w:color="auto"/>
            </w:tcBorders>
          </w:tcPr>
          <w:p w14:paraId="159705CE" w14:textId="77777777" w:rsidR="00B411F0" w:rsidRPr="008F03E5" w:rsidRDefault="00B411F0" w:rsidP="00254769">
            <w:pPr>
              <w:rPr>
                <w:sz w:val="18"/>
                <w:szCs w:val="18"/>
                <w14:numSpacing w14:val="tabular"/>
              </w:rPr>
            </w:pPr>
            <w:r w:rsidRPr="008F03E5">
              <w:rPr>
                <w:sz w:val="18"/>
                <w:szCs w:val="18"/>
              </w:rPr>
              <w:t>Hárún ar-Ra</w:t>
            </w:r>
            <w:r w:rsidRPr="008F03E5">
              <w:rPr>
                <w:sz w:val="18"/>
                <w:szCs w:val="18"/>
                <w:u w:val="single"/>
              </w:rPr>
              <w:t>sh</w:t>
            </w:r>
            <w:r w:rsidRPr="008F03E5">
              <w:rPr>
                <w:sz w:val="18"/>
                <w:szCs w:val="18"/>
              </w:rPr>
              <w:t>íd (786–809)</w:t>
            </w:r>
          </w:p>
        </w:tc>
        <w:tc>
          <w:tcPr>
            <w:tcW w:w="454" w:type="dxa"/>
            <w:tcBorders>
              <w:left w:val="single" w:sz="4" w:space="0" w:color="auto"/>
              <w:right w:val="single" w:sz="4" w:space="0" w:color="auto"/>
            </w:tcBorders>
          </w:tcPr>
          <w:p w14:paraId="5DC66CAD" w14:textId="77777777" w:rsidR="00B411F0" w:rsidRPr="008F03E5" w:rsidRDefault="00B411F0" w:rsidP="00B411F0">
            <w:pPr>
              <w:tabs>
                <w:tab w:val="decimal" w:pos="170"/>
              </w:tabs>
              <w:rPr>
                <w:sz w:val="18"/>
                <w:szCs w:val="18"/>
                <w14:numSpacing w14:val="tabular"/>
              </w:rPr>
            </w:pPr>
            <w:r w:rsidRPr="008F03E5">
              <w:rPr>
                <w:sz w:val="18"/>
                <w:szCs w:val="18"/>
                <w14:numSpacing w14:val="tabular"/>
              </w:rPr>
              <w:t>10</w:t>
            </w:r>
          </w:p>
        </w:tc>
        <w:tc>
          <w:tcPr>
            <w:tcW w:w="6236" w:type="dxa"/>
            <w:tcBorders>
              <w:top w:val="nil"/>
              <w:left w:val="single" w:sz="4" w:space="0" w:color="auto"/>
              <w:bottom w:val="single" w:sz="4" w:space="0" w:color="auto"/>
            </w:tcBorders>
          </w:tcPr>
          <w:p w14:paraId="20441592" w14:textId="77777777" w:rsidR="00B411F0" w:rsidRPr="008F03E5" w:rsidRDefault="00B411F0" w:rsidP="00254769">
            <w:pPr>
              <w:rPr>
                <w:sz w:val="18"/>
                <w:szCs w:val="18"/>
              </w:rPr>
            </w:pPr>
            <w:r w:rsidRPr="008F03E5">
              <w:rPr>
                <w:sz w:val="18"/>
                <w:szCs w:val="18"/>
              </w:rPr>
              <w:t>Ja‘far al-Mutawakkil (“al-Mutawakkil ‘Alá ’lláh”—‘He who puts his reliance in God’) (847–61)</w:t>
            </w:r>
          </w:p>
        </w:tc>
      </w:tr>
    </w:tbl>
    <w:p w14:paraId="65CFC28F" w14:textId="30007ADC" w:rsidR="00AB426C" w:rsidRPr="008F03E5" w:rsidRDefault="00AB426C" w:rsidP="00AC20E3">
      <w:pPr>
        <w:pStyle w:val="Myhead"/>
      </w:pPr>
      <w:bookmarkStart w:id="231" w:name="_Toc149326097"/>
      <w:bookmarkEnd w:id="228"/>
      <w:r w:rsidRPr="008F03E5">
        <w:t xml:space="preserve">Font </w:t>
      </w:r>
      <w:r w:rsidR="00381B85" w:rsidRPr="008F03E5">
        <w:t>information</w:t>
      </w:r>
      <w:bookmarkEnd w:id="231"/>
      <w:r w:rsidR="00BB58C6" w:rsidRPr="00BB58C6">
        <w:rPr>
          <w:b w:val="0"/>
          <w:sz w:val="12"/>
        </w:rPr>
        <w:fldChar w:fldCharType="begin"/>
      </w:r>
      <w:r w:rsidR="00BB58C6" w:rsidRPr="00BB58C6">
        <w:rPr>
          <w:b w:val="0"/>
          <w:sz w:val="12"/>
          <w:lang w:val="en-AU"/>
        </w:rPr>
        <w:instrText xml:space="preserve"> TC “</w:instrText>
      </w:r>
      <w:bookmarkStart w:id="232" w:name="_Toc149476401"/>
      <w:bookmarkStart w:id="233" w:name="_Toc167691902"/>
      <w:r w:rsidR="00BB58C6" w:rsidRPr="00074EB6">
        <w:rPr>
          <w:b w:val="0"/>
          <w:i/>
          <w:iCs/>
          <w:sz w:val="12"/>
        </w:rPr>
        <w:instrText>Font information</w:instrText>
      </w:r>
      <w:r w:rsidR="00BB58C6" w:rsidRPr="00074EB6">
        <w:rPr>
          <w:b w:val="0"/>
          <w:i/>
          <w:iCs/>
          <w:color w:val="FFFFFF" w:themeColor="background1"/>
          <w:sz w:val="12"/>
          <w:lang w:val="en-AU"/>
        </w:rPr>
        <w:instrText>..</w:instrText>
      </w:r>
      <w:r w:rsidR="00BB58C6" w:rsidRPr="00074EB6">
        <w:rPr>
          <w:b w:val="0"/>
          <w:i/>
          <w:iCs/>
          <w:sz w:val="12"/>
          <w:lang w:val="en-AU"/>
        </w:rPr>
        <w:tab/>
      </w:r>
      <w:r w:rsidR="00BB58C6" w:rsidRPr="00BB58C6">
        <w:rPr>
          <w:b w:val="0"/>
          <w:color w:val="FFFFFF" w:themeColor="background1"/>
          <w:sz w:val="12"/>
          <w:lang w:val="en-AU"/>
        </w:rPr>
        <w:instrText>.</w:instrText>
      </w:r>
      <w:bookmarkEnd w:id="232"/>
      <w:bookmarkEnd w:id="233"/>
      <w:r w:rsidR="00BB58C6" w:rsidRPr="00BB58C6">
        <w:rPr>
          <w:b w:val="0"/>
          <w:sz w:val="12"/>
          <w:lang w:val="en-AU"/>
        </w:rPr>
        <w:instrText>” \l 1</w:instrText>
      </w:r>
      <w:r w:rsidR="00BB58C6" w:rsidRPr="00BB58C6">
        <w:rPr>
          <w:b w:val="0"/>
          <w:sz w:val="12"/>
        </w:rPr>
        <w:fldChar w:fldCharType="end"/>
      </w:r>
    </w:p>
    <w:p w14:paraId="0C998349" w14:textId="75543B45" w:rsidR="0069273E" w:rsidRDefault="00563A1D" w:rsidP="0069273E">
      <w:pPr>
        <w:pStyle w:val="Text"/>
      </w:pPr>
      <w:r w:rsidRPr="008F03E5">
        <w:t xml:space="preserve">Serif Cambria </w:t>
      </w:r>
      <w:r w:rsidR="00930CA5">
        <w:t xml:space="preserve">font </w:t>
      </w:r>
      <w:r w:rsidRPr="008F03E5">
        <w:t xml:space="preserve">has been used </w:t>
      </w:r>
      <w:r w:rsidR="00930CA5">
        <w:t>because it is an</w:t>
      </w:r>
      <w:r w:rsidRPr="008F03E5">
        <w:t xml:space="preserve"> OpenType font (a suc</w:t>
      </w:r>
      <w:r w:rsidRPr="00930CA5">
        <w:rPr>
          <w:b/>
          <w:bCs/>
        </w:rPr>
        <w:t>c</w:t>
      </w:r>
      <w:r w:rsidRPr="008F03E5">
        <w:t xml:space="preserve">essor of </w:t>
      </w:r>
      <w:r w:rsidR="0069273E">
        <w:t xml:space="preserve">the </w:t>
      </w:r>
      <w:r w:rsidRPr="008F03E5">
        <w:t xml:space="preserve">TrueType fonts) with a large character set containing underdots, and Proportional/Tabular and Lining/Old style numerals.  </w:t>
      </w:r>
      <w:r w:rsidR="0069273E">
        <w:t>However, the old Times New Roman font has to be used for Arabic text.</w:t>
      </w:r>
    </w:p>
    <w:p w14:paraId="6E67C5D5" w14:textId="784E378C" w:rsidR="00563A1D" w:rsidRPr="008F03E5" w:rsidRDefault="00563A1D" w:rsidP="00930CA5">
      <w:pPr>
        <w:pStyle w:val="Text"/>
      </w:pPr>
      <w:r w:rsidRPr="008F03E5">
        <w:t xml:space="preserve">Proportional/Old style numbers are used for text paragraphs since they blend better into text with a mix of upper- and lowercase, proportional letters.  Tabular/Lining numerals are used in tables (including </w:t>
      </w:r>
      <w:r w:rsidR="00381B85" w:rsidRPr="008F03E5">
        <w:t>the</w:t>
      </w:r>
      <w:r w:rsidRPr="008F03E5">
        <w:t xml:space="preserve"> Table of Contents).</w:t>
      </w:r>
    </w:p>
    <w:p w14:paraId="1E1D6D13" w14:textId="77777777" w:rsidR="00AB426C" w:rsidRPr="008F03E5" w:rsidRDefault="00AB426C" w:rsidP="00AB426C">
      <w:pPr>
        <w:pStyle w:val="BulletText"/>
      </w:pPr>
      <w:r w:rsidRPr="008F03E5">
        <w:t>•</w:t>
      </w:r>
      <w:r w:rsidRPr="008F03E5">
        <w:tab/>
      </w:r>
      <w:r w:rsidRPr="008F03E5">
        <w:rPr>
          <w:b/>
          <w:bCs/>
        </w:rPr>
        <w:t>Proportional</w:t>
      </w:r>
      <w:r w:rsidRPr="008F03E5">
        <w:t xml:space="preserve"> width numbers blend better into text with proportionally spaced letters</w:t>
      </w:r>
    </w:p>
    <w:p w14:paraId="69EE2C92" w14:textId="77777777" w:rsidR="00AB426C" w:rsidRPr="008F03E5" w:rsidRDefault="00AB426C" w:rsidP="00396899">
      <w:pPr>
        <w:pStyle w:val="Bullettextcont"/>
      </w:pPr>
      <w:r w:rsidRPr="008F03E5">
        <w:t>•</w:t>
      </w:r>
      <w:r w:rsidRPr="008F03E5">
        <w:tab/>
      </w:r>
      <w:r w:rsidRPr="008F03E5">
        <w:rPr>
          <w:b/>
          <w:bCs/>
        </w:rPr>
        <w:t>Tabular</w:t>
      </w:r>
      <w:r w:rsidRPr="008F03E5">
        <w:t xml:space="preserve"> numbers (equal width) are used in tables where they can be vertically aligned</w:t>
      </w:r>
    </w:p>
    <w:p w14:paraId="7130BF7E" w14:textId="77777777" w:rsidR="00AB426C" w:rsidRPr="008F03E5" w:rsidRDefault="00AB426C" w:rsidP="00AB426C">
      <w:pPr>
        <w:pStyle w:val="Bullettextcont"/>
      </w:pPr>
      <w:r w:rsidRPr="008F03E5">
        <w:t>•</w:t>
      </w:r>
      <w:r w:rsidRPr="008F03E5">
        <w:tab/>
      </w:r>
      <w:r w:rsidRPr="008F03E5">
        <w:rPr>
          <w:b/>
          <w:bCs/>
        </w:rPr>
        <w:t>Lining</w:t>
      </w:r>
      <w:r w:rsidRPr="008F03E5">
        <w:t xml:space="preserve"> numbers are equivalent to capital letters.  All cap</w:t>
      </w:r>
      <w:r w:rsidR="002B4EC0" w:rsidRPr="008F03E5">
        <w:t>ital</w:t>
      </w:r>
      <w:r w:rsidRPr="008F03E5">
        <w:t>s text is harder to recognize than lowercase letters due to their lack of ascenders (the portion of lowercase letters above the x-height) and tails (the portion of lowercase letters below the baseline)</w:t>
      </w:r>
    </w:p>
    <w:p w14:paraId="762F3889" w14:textId="77777777" w:rsidR="00AB426C" w:rsidRPr="008F03E5" w:rsidRDefault="00AB426C" w:rsidP="00AB426C">
      <w:pPr>
        <w:pStyle w:val="Bullettextcont"/>
        <w:spacing w:after="120"/>
      </w:pPr>
      <w:r w:rsidRPr="008F03E5">
        <w:t>•</w:t>
      </w:r>
      <w:r w:rsidRPr="008F03E5">
        <w:tab/>
      </w:r>
      <w:r w:rsidRPr="008F03E5">
        <w:rPr>
          <w:b/>
          <w:bCs/>
        </w:rPr>
        <w:t>OldStyle</w:t>
      </w:r>
      <w:r w:rsidRPr="008F03E5">
        <w:t xml:space="preserve"> numbers are equivalent to lowercase letters and blend better into text</w:t>
      </w:r>
    </w:p>
    <w:tbl>
      <w:tblPr>
        <w:tblStyle w:val="TableGrid"/>
        <w:tblW w:w="0" w:type="auto"/>
        <w:jc w:val="center"/>
        <w:tblLook w:val="04A0" w:firstRow="1" w:lastRow="0" w:firstColumn="1" w:lastColumn="0" w:noHBand="0" w:noVBand="1"/>
      </w:tblPr>
      <w:tblGrid>
        <w:gridCol w:w="907"/>
        <w:gridCol w:w="1291"/>
        <w:gridCol w:w="1213"/>
      </w:tblGrid>
      <w:tr w:rsidR="00B32D10" w:rsidRPr="008F03E5" w14:paraId="533347A4" w14:textId="77777777" w:rsidTr="00F019FC">
        <w:trPr>
          <w:jc w:val="center"/>
        </w:trPr>
        <w:tc>
          <w:tcPr>
            <w:tcW w:w="907" w:type="dxa"/>
            <w:tcBorders>
              <w:top w:val="nil"/>
              <w:left w:val="nil"/>
            </w:tcBorders>
          </w:tcPr>
          <w:p w14:paraId="0C98D20A" w14:textId="77777777" w:rsidR="00B32D10" w:rsidRPr="008F03E5" w:rsidRDefault="00B32D10" w:rsidP="000C0AAE">
            <w:pPr>
              <w:keepNext/>
              <w:rPr>
                <w:sz w:val="18"/>
                <w:szCs w:val="18"/>
              </w:rPr>
            </w:pPr>
          </w:p>
        </w:tc>
        <w:tc>
          <w:tcPr>
            <w:tcW w:w="1247" w:type="dxa"/>
          </w:tcPr>
          <w:p w14:paraId="5DBE7D42" w14:textId="77777777" w:rsidR="00B32D10" w:rsidRPr="008F03E5" w:rsidRDefault="00B32D10" w:rsidP="000C0AAE">
            <w:pPr>
              <w:keepNext/>
              <w:jc w:val="center"/>
              <w:rPr>
                <w:b/>
                <w:bCs/>
                <w:sz w:val="18"/>
                <w:szCs w:val="18"/>
              </w:rPr>
            </w:pPr>
            <w:r w:rsidRPr="008F03E5">
              <w:rPr>
                <w:b/>
                <w:bCs/>
                <w:sz w:val="18"/>
                <w:szCs w:val="18"/>
              </w:rPr>
              <w:t>Proportional</w:t>
            </w:r>
          </w:p>
        </w:tc>
        <w:tc>
          <w:tcPr>
            <w:tcW w:w="1191" w:type="dxa"/>
          </w:tcPr>
          <w:p w14:paraId="6FD82C95" w14:textId="77777777" w:rsidR="00B32D10" w:rsidRPr="008F03E5" w:rsidRDefault="00B32D10" w:rsidP="000C0AAE">
            <w:pPr>
              <w:keepNext/>
              <w:jc w:val="center"/>
              <w:rPr>
                <w:b/>
                <w:bCs/>
                <w:sz w:val="18"/>
                <w:szCs w:val="18"/>
              </w:rPr>
            </w:pPr>
            <w:r w:rsidRPr="008F03E5">
              <w:rPr>
                <w:b/>
                <w:bCs/>
                <w:sz w:val="18"/>
                <w:szCs w:val="18"/>
              </w:rPr>
              <w:t>Tabular</w:t>
            </w:r>
          </w:p>
        </w:tc>
      </w:tr>
      <w:tr w:rsidR="00B32D10" w:rsidRPr="008F03E5" w14:paraId="621B903B" w14:textId="77777777" w:rsidTr="0049198B">
        <w:trPr>
          <w:jc w:val="center"/>
        </w:trPr>
        <w:tc>
          <w:tcPr>
            <w:tcW w:w="907" w:type="dxa"/>
            <w:tcBorders>
              <w:bottom w:val="nil"/>
            </w:tcBorders>
          </w:tcPr>
          <w:p w14:paraId="71502DA0" w14:textId="77777777" w:rsidR="00B32D10" w:rsidRPr="008F03E5" w:rsidRDefault="00B32D10" w:rsidP="00B32D10">
            <w:pPr>
              <w:rPr>
                <w:sz w:val="18"/>
                <w:szCs w:val="18"/>
              </w:rPr>
            </w:pPr>
            <w:r w:rsidRPr="008F03E5">
              <w:rPr>
                <w:sz w:val="18"/>
                <w:szCs w:val="18"/>
              </w:rPr>
              <w:t>Lining</w:t>
            </w:r>
          </w:p>
        </w:tc>
        <w:tc>
          <w:tcPr>
            <w:tcW w:w="1247" w:type="dxa"/>
            <w:tcBorders>
              <w:bottom w:val="nil"/>
            </w:tcBorders>
          </w:tcPr>
          <w:p w14:paraId="2BF3452B" w14:textId="77777777" w:rsidR="00B32D10" w:rsidRPr="008F03E5" w:rsidRDefault="00B32D10" w:rsidP="00B32D10">
            <w:pPr>
              <w:rPr>
                <w:sz w:val="18"/>
                <w:szCs w:val="18"/>
                <w14:numForm w14:val="lining"/>
              </w:rPr>
            </w:pPr>
            <w:r w:rsidRPr="008F03E5">
              <w:rPr>
                <w:sz w:val="18"/>
                <w:szCs w:val="18"/>
                <w14:numForm w14:val="lining"/>
              </w:rPr>
              <w:t>0123456789</w:t>
            </w:r>
          </w:p>
        </w:tc>
        <w:tc>
          <w:tcPr>
            <w:tcW w:w="1191" w:type="dxa"/>
            <w:tcBorders>
              <w:bottom w:val="nil"/>
            </w:tcBorders>
          </w:tcPr>
          <w:p w14:paraId="2EB147C8" w14:textId="77777777" w:rsidR="00B32D10" w:rsidRPr="008F03E5" w:rsidRDefault="00B32D10" w:rsidP="00B32D10">
            <w:pPr>
              <w:rPr>
                <w:sz w:val="18"/>
                <w:szCs w:val="18"/>
                <w14:numForm w14:val="lining"/>
                <w14:numSpacing w14:val="tabular"/>
              </w:rPr>
            </w:pPr>
            <w:r w:rsidRPr="008F03E5">
              <w:rPr>
                <w:sz w:val="18"/>
                <w:szCs w:val="18"/>
                <w14:numForm w14:val="lining"/>
                <w14:numSpacing w14:val="tabular"/>
              </w:rPr>
              <w:t>0123456789</w:t>
            </w:r>
          </w:p>
        </w:tc>
      </w:tr>
      <w:tr w:rsidR="00B32D10" w:rsidRPr="008F03E5" w14:paraId="17691426" w14:textId="77777777" w:rsidTr="0049198B">
        <w:trPr>
          <w:jc w:val="center"/>
        </w:trPr>
        <w:tc>
          <w:tcPr>
            <w:tcW w:w="907" w:type="dxa"/>
            <w:tcBorders>
              <w:top w:val="nil"/>
            </w:tcBorders>
          </w:tcPr>
          <w:p w14:paraId="567919B3" w14:textId="77777777" w:rsidR="00B32D10" w:rsidRPr="008F03E5" w:rsidRDefault="00B32D10" w:rsidP="00B32D10">
            <w:pPr>
              <w:rPr>
                <w:sz w:val="18"/>
                <w:szCs w:val="18"/>
              </w:rPr>
            </w:pPr>
            <w:r w:rsidRPr="008F03E5">
              <w:rPr>
                <w:sz w:val="18"/>
                <w:szCs w:val="18"/>
              </w:rPr>
              <w:t>Oldstyle</w:t>
            </w:r>
          </w:p>
        </w:tc>
        <w:tc>
          <w:tcPr>
            <w:tcW w:w="1247" w:type="dxa"/>
            <w:tcBorders>
              <w:top w:val="nil"/>
            </w:tcBorders>
          </w:tcPr>
          <w:p w14:paraId="7EDBC1F0" w14:textId="77777777" w:rsidR="00B32D10" w:rsidRPr="008F03E5" w:rsidRDefault="00B32D10" w:rsidP="00B32D10">
            <w:pPr>
              <w:rPr>
                <w:sz w:val="18"/>
                <w:szCs w:val="18"/>
              </w:rPr>
            </w:pPr>
            <w:r w:rsidRPr="008F03E5">
              <w:rPr>
                <w:sz w:val="18"/>
                <w:szCs w:val="18"/>
              </w:rPr>
              <w:t>0123456789</w:t>
            </w:r>
          </w:p>
        </w:tc>
        <w:tc>
          <w:tcPr>
            <w:tcW w:w="1191" w:type="dxa"/>
            <w:tcBorders>
              <w:top w:val="nil"/>
            </w:tcBorders>
          </w:tcPr>
          <w:p w14:paraId="4FAC1331" w14:textId="77777777" w:rsidR="00B32D10" w:rsidRPr="008F03E5" w:rsidRDefault="00B32D10" w:rsidP="00B32D10">
            <w:pPr>
              <w:rPr>
                <w:sz w:val="18"/>
                <w:szCs w:val="18"/>
                <w14:numSpacing w14:val="tabular"/>
              </w:rPr>
            </w:pPr>
            <w:r w:rsidRPr="008F03E5">
              <w:rPr>
                <w:sz w:val="18"/>
                <w:szCs w:val="18"/>
                <w14:numSpacing w14:val="tabular"/>
              </w:rPr>
              <w:t>0123456789</w:t>
            </w:r>
          </w:p>
        </w:tc>
      </w:tr>
    </w:tbl>
    <w:p w14:paraId="31C7A5BC" w14:textId="32C8DE6A" w:rsidR="006E14CE" w:rsidRPr="00D9777D" w:rsidRDefault="006E14CE" w:rsidP="00CB0E5D">
      <w:pPr>
        <w:pStyle w:val="Myhead"/>
      </w:pPr>
      <w:bookmarkStart w:id="234" w:name="_Toc149326099"/>
      <w:r w:rsidRPr="008F03E5">
        <w:t>Im</w:t>
      </w:r>
      <w:r w:rsidR="00592ADD" w:rsidRPr="008F03E5">
        <w:t>a</w:t>
      </w:r>
      <w:r w:rsidRPr="008F03E5">
        <w:t>ms</w:t>
      </w:r>
      <w:r w:rsidR="00592ADD" w:rsidRPr="008F03E5">
        <w:t xml:space="preserve"> (</w:t>
      </w:r>
      <w:r w:rsidR="001D029F" w:rsidRPr="008F03E5">
        <w:t>A</w:t>
      </w:r>
      <w:r w:rsidR="00592ADD" w:rsidRPr="008F03E5">
        <w:t>’imma)</w:t>
      </w:r>
      <w:r w:rsidR="005B30CB" w:rsidRPr="008F03E5">
        <w:t xml:space="preserve"> and deputies</w:t>
      </w:r>
      <w:bookmarkEnd w:id="234"/>
      <w:r w:rsidR="00BB58C6" w:rsidRPr="0005057B">
        <w:rPr>
          <w:b w:val="0"/>
          <w:bCs/>
          <w:sz w:val="12"/>
        </w:rPr>
        <w:fldChar w:fldCharType="begin"/>
      </w:r>
      <w:r w:rsidR="00BB58C6" w:rsidRPr="0005057B">
        <w:rPr>
          <w:b w:val="0"/>
          <w:bCs/>
          <w:sz w:val="12"/>
          <w:lang w:val="en-AU"/>
        </w:rPr>
        <w:instrText xml:space="preserve"> TC “</w:instrText>
      </w:r>
      <w:bookmarkStart w:id="235" w:name="_Toc149476403"/>
      <w:bookmarkStart w:id="236" w:name="_Toc167691903"/>
      <w:r w:rsidR="00BB58C6" w:rsidRPr="0005057B">
        <w:rPr>
          <w:b w:val="0"/>
          <w:bCs/>
          <w:sz w:val="12"/>
        </w:rPr>
        <w:instrText>Imams</w:instrText>
      </w:r>
      <w:r w:rsidR="00CB0E5D">
        <w:rPr>
          <w:b w:val="0"/>
          <w:bCs/>
          <w:sz w:val="12"/>
        </w:rPr>
        <w:instrText xml:space="preserve"> and deputies</w:instrText>
      </w:r>
      <w:r w:rsidR="00BB58C6" w:rsidRPr="0005057B">
        <w:rPr>
          <w:b w:val="0"/>
          <w:bCs/>
          <w:color w:val="FFFFFF" w:themeColor="background1"/>
          <w:sz w:val="12"/>
          <w:lang w:val="en-AU"/>
        </w:rPr>
        <w:instrText>..</w:instrText>
      </w:r>
      <w:r w:rsidR="00BB58C6" w:rsidRPr="0005057B">
        <w:rPr>
          <w:b w:val="0"/>
          <w:bCs/>
          <w:sz w:val="12"/>
          <w:lang w:val="en-AU"/>
        </w:rPr>
        <w:tab/>
      </w:r>
      <w:r w:rsidR="00BB58C6" w:rsidRPr="0005057B">
        <w:rPr>
          <w:b w:val="0"/>
          <w:bCs/>
          <w:color w:val="FFFFFF" w:themeColor="background1"/>
          <w:sz w:val="12"/>
          <w:lang w:val="en-AU"/>
        </w:rPr>
        <w:instrText>.</w:instrText>
      </w:r>
      <w:bookmarkEnd w:id="235"/>
      <w:bookmarkEnd w:id="236"/>
      <w:r w:rsidR="00BB58C6" w:rsidRPr="0005057B">
        <w:rPr>
          <w:b w:val="0"/>
          <w:bCs/>
          <w:sz w:val="12"/>
          <w:lang w:val="en-AU"/>
        </w:rPr>
        <w:instrText>” \l 1</w:instrText>
      </w:r>
      <w:r w:rsidR="00BB58C6" w:rsidRPr="0005057B">
        <w:rPr>
          <w:b w:val="0"/>
          <w:bCs/>
          <w:sz w:val="12"/>
        </w:rPr>
        <w:fldChar w:fldCharType="end"/>
      </w:r>
    </w:p>
    <w:p w14:paraId="3B7A060D" w14:textId="72AE35F6" w:rsidR="00CB0E5D" w:rsidRPr="008F03E5" w:rsidRDefault="00CB0E5D" w:rsidP="005C5BDE">
      <w:pPr>
        <w:pStyle w:val="Myhead3"/>
      </w:pPr>
      <w:r>
        <w:t>T</w:t>
      </w:r>
      <w:r w:rsidR="005C5BDE">
        <w:t>welve</w:t>
      </w:r>
      <w:r>
        <w:t xml:space="preserve"> Imams</w:t>
      </w:r>
      <w:r w:rsidRPr="00CB0E5D">
        <w:rPr>
          <w:b w:val="0"/>
          <w:i w:val="0"/>
          <w:iCs/>
          <w:sz w:val="12"/>
        </w:rPr>
        <w:fldChar w:fldCharType="begin"/>
      </w:r>
      <w:r w:rsidRPr="00CB0E5D">
        <w:rPr>
          <w:b w:val="0"/>
          <w:i w:val="0"/>
          <w:iCs/>
          <w:sz w:val="12"/>
          <w:lang w:val="en-AU"/>
        </w:rPr>
        <w:instrText xml:space="preserve"> TC “</w:instrText>
      </w:r>
      <w:bookmarkStart w:id="237" w:name="_Toc167691904"/>
      <w:r w:rsidRPr="00407ECF">
        <w:rPr>
          <w:b w:val="0"/>
          <w:sz w:val="12"/>
        </w:rPr>
        <w:instrText>T</w:instrText>
      </w:r>
      <w:r w:rsidR="005C5BDE">
        <w:rPr>
          <w:b w:val="0"/>
          <w:sz w:val="12"/>
        </w:rPr>
        <w:instrText>welve</w:instrText>
      </w:r>
      <w:r w:rsidRPr="00407ECF">
        <w:rPr>
          <w:b w:val="0"/>
          <w:sz w:val="12"/>
        </w:rPr>
        <w:instrText xml:space="preserve"> Imams</w:instrText>
      </w:r>
      <w:r w:rsidRPr="00CB0E5D">
        <w:rPr>
          <w:b w:val="0"/>
          <w:i w:val="0"/>
          <w:iCs/>
          <w:color w:val="FFFFFF" w:themeColor="background1"/>
          <w:sz w:val="12"/>
          <w:lang w:val="en-AU"/>
        </w:rPr>
        <w:instrText>..</w:instrText>
      </w:r>
      <w:r w:rsidRPr="00CB0E5D">
        <w:rPr>
          <w:b w:val="0"/>
          <w:i w:val="0"/>
          <w:iCs/>
          <w:sz w:val="12"/>
          <w:lang w:val="en-AU"/>
        </w:rPr>
        <w:tab/>
      </w:r>
      <w:r w:rsidRPr="00CB0E5D">
        <w:rPr>
          <w:b w:val="0"/>
          <w:i w:val="0"/>
          <w:iCs/>
          <w:color w:val="FFFFFF" w:themeColor="background1"/>
          <w:sz w:val="12"/>
          <w:lang w:val="en-AU"/>
        </w:rPr>
        <w:instrText>.</w:instrText>
      </w:r>
      <w:bookmarkEnd w:id="237"/>
      <w:r w:rsidRPr="00CB0E5D">
        <w:rPr>
          <w:b w:val="0"/>
          <w:i w:val="0"/>
          <w:iCs/>
          <w:sz w:val="12"/>
          <w:lang w:val="en-AU"/>
        </w:rPr>
        <w:instrText xml:space="preserve">” \l </w:instrText>
      </w:r>
      <w:r>
        <w:rPr>
          <w:b w:val="0"/>
          <w:i w:val="0"/>
          <w:iCs/>
          <w:sz w:val="12"/>
          <w:lang w:val="en-AU"/>
        </w:rPr>
        <w:instrText>2</w:instrText>
      </w:r>
      <w:r w:rsidRPr="00CB0E5D">
        <w:rPr>
          <w:b w:val="0"/>
          <w:i w:val="0"/>
          <w:iCs/>
          <w:sz w:val="12"/>
        </w:rPr>
        <w:fldChar w:fldCharType="end"/>
      </w:r>
    </w:p>
    <w:tbl>
      <w:tblPr>
        <w:tblStyle w:val="TableGrid"/>
        <w:tblW w:w="0" w:type="auto"/>
        <w:jc w:val="center"/>
        <w:tblLook w:val="04A0" w:firstRow="1" w:lastRow="0" w:firstColumn="1" w:lastColumn="0" w:noHBand="0" w:noVBand="1"/>
      </w:tblPr>
      <w:tblGrid>
        <w:gridCol w:w="365"/>
        <w:gridCol w:w="3061"/>
        <w:gridCol w:w="567"/>
        <w:gridCol w:w="4479"/>
      </w:tblGrid>
      <w:tr w:rsidR="00755038" w:rsidRPr="008063A9" w14:paraId="258135FF" w14:textId="77777777" w:rsidTr="000C0AAE">
        <w:trPr>
          <w:jc w:val="center"/>
        </w:trPr>
        <w:tc>
          <w:tcPr>
            <w:tcW w:w="365" w:type="dxa"/>
          </w:tcPr>
          <w:p w14:paraId="532DD9D7" w14:textId="77777777" w:rsidR="0038753A" w:rsidRPr="008F03E5" w:rsidRDefault="0038753A" w:rsidP="00825D95">
            <w:pPr>
              <w:rPr>
                <w:sz w:val="18"/>
                <w:szCs w:val="18"/>
                <w14:numSpacing w14:val="tabular"/>
              </w:rPr>
            </w:pPr>
            <w:r w:rsidRPr="008F03E5">
              <w:rPr>
                <w:sz w:val="18"/>
                <w:szCs w:val="18"/>
                <w14:numSpacing w14:val="tabular"/>
              </w:rPr>
              <w:t>1</w:t>
            </w:r>
          </w:p>
        </w:tc>
        <w:tc>
          <w:tcPr>
            <w:tcW w:w="3061" w:type="dxa"/>
          </w:tcPr>
          <w:p w14:paraId="210ADDF5" w14:textId="12CA62B6" w:rsidR="0038753A" w:rsidRPr="008F03E5" w:rsidRDefault="0038753A" w:rsidP="00210425">
            <w:pPr>
              <w:rPr>
                <w:sz w:val="18"/>
                <w:szCs w:val="18"/>
                <w14:numSpacing w14:val="tabular"/>
              </w:rPr>
            </w:pPr>
            <w:r w:rsidRPr="008F03E5">
              <w:rPr>
                <w:sz w:val="18"/>
                <w:szCs w:val="18"/>
                <w14:numSpacing w14:val="tabular"/>
              </w:rPr>
              <w:t>‘Alí</w:t>
            </w:r>
            <w:r w:rsidR="00D30688" w:rsidRPr="008F03E5">
              <w:rPr>
                <w:sz w:val="18"/>
                <w:szCs w:val="18"/>
                <w14:numSpacing w14:val="tabular"/>
              </w:rPr>
              <w:t xml:space="preserve"> </w:t>
            </w:r>
            <w:r w:rsidRPr="008F03E5">
              <w:rPr>
                <w:sz w:val="18"/>
                <w:szCs w:val="18"/>
                <w14:numSpacing w14:val="tabular"/>
              </w:rPr>
              <w:t>ibn</w:t>
            </w:r>
            <w:r w:rsidR="00D30688" w:rsidRPr="008F03E5">
              <w:rPr>
                <w:sz w:val="18"/>
                <w:szCs w:val="18"/>
                <w14:numSpacing w14:val="tabular"/>
              </w:rPr>
              <w:t xml:space="preserve"> </w:t>
            </w:r>
            <w:r w:rsidRPr="008F03E5">
              <w:rPr>
                <w:sz w:val="18"/>
                <w:szCs w:val="18"/>
                <w14:numSpacing w14:val="tabular"/>
              </w:rPr>
              <w:t>Abí</w:t>
            </w:r>
            <w:r w:rsidR="00D30688" w:rsidRPr="008F03E5">
              <w:rPr>
                <w:sz w:val="18"/>
                <w:szCs w:val="18"/>
                <w14:numSpacing w14:val="tabular"/>
              </w:rPr>
              <w:t xml:space="preserve"> </w:t>
            </w:r>
            <w:r w:rsidRPr="008F03E5">
              <w:rPr>
                <w:sz w:val="18"/>
                <w:szCs w:val="18"/>
                <w14:numSpacing w14:val="tabular"/>
              </w:rPr>
              <w:t>Ṭ</w:t>
            </w:r>
            <w:r w:rsidR="00210425" w:rsidRPr="008F03E5">
              <w:rPr>
                <w:sz w:val="18"/>
                <w:szCs w:val="18"/>
                <w14:numSpacing w14:val="tabular"/>
              </w:rPr>
              <w:t>á</w:t>
            </w:r>
            <w:r w:rsidRPr="008F03E5">
              <w:rPr>
                <w:sz w:val="18"/>
                <w:szCs w:val="18"/>
                <w14:numSpacing w14:val="tabular"/>
              </w:rPr>
              <w:t>lib</w:t>
            </w:r>
            <w:r w:rsidR="00D30688" w:rsidRPr="008F03E5">
              <w:rPr>
                <w:sz w:val="18"/>
                <w:szCs w:val="18"/>
                <w14:numSpacing w14:val="tabular"/>
              </w:rPr>
              <w:t xml:space="preserve"> </w:t>
            </w:r>
            <w:r w:rsidRPr="008F03E5">
              <w:rPr>
                <w:sz w:val="18"/>
                <w:szCs w:val="18"/>
                <w14:numSpacing w14:val="tabular"/>
              </w:rPr>
              <w:t>(632–661)</w:t>
            </w:r>
            <w:r w:rsidR="001C1CBE" w:rsidRPr="0005057B">
              <w:rPr>
                <w:rStyle w:val="FootnoteReference"/>
              </w:rPr>
              <w:footnoteReference w:id="54"/>
            </w:r>
          </w:p>
        </w:tc>
        <w:tc>
          <w:tcPr>
            <w:tcW w:w="567" w:type="dxa"/>
          </w:tcPr>
          <w:p w14:paraId="38F1B31B" w14:textId="77777777" w:rsidR="0038753A" w:rsidRPr="008F03E5" w:rsidRDefault="0038753A" w:rsidP="00A6403D">
            <w:pPr>
              <w:tabs>
                <w:tab w:val="decimal" w:pos="175"/>
              </w:tabs>
              <w:rPr>
                <w:sz w:val="18"/>
                <w:szCs w:val="18"/>
                <w14:numSpacing w14:val="tabular"/>
              </w:rPr>
            </w:pPr>
            <w:r w:rsidRPr="008F03E5">
              <w:rPr>
                <w:sz w:val="18"/>
                <w:szCs w:val="18"/>
                <w14:numSpacing w14:val="tabular"/>
              </w:rPr>
              <w:t>7</w:t>
            </w:r>
          </w:p>
        </w:tc>
        <w:tc>
          <w:tcPr>
            <w:tcW w:w="4479" w:type="dxa"/>
          </w:tcPr>
          <w:p w14:paraId="2B70E801" w14:textId="77777777" w:rsidR="0038753A" w:rsidRPr="00077779" w:rsidRDefault="0038753A" w:rsidP="00825D95">
            <w:pPr>
              <w:rPr>
                <w:sz w:val="18"/>
                <w:szCs w:val="18"/>
                <w:lang w:val="es-ES_tradnl"/>
                <w14:numSpacing w14:val="tabular"/>
              </w:rPr>
            </w:pPr>
            <w:r w:rsidRPr="00077779">
              <w:rPr>
                <w:sz w:val="18"/>
                <w:szCs w:val="18"/>
                <w:lang w:val="es-ES_tradnl"/>
                <w14:numSpacing w14:val="tabular"/>
              </w:rPr>
              <w:t>Músá</w:t>
            </w:r>
            <w:r w:rsidR="00D30688" w:rsidRPr="00077779">
              <w:rPr>
                <w:sz w:val="18"/>
                <w:szCs w:val="18"/>
                <w:lang w:val="es-ES_tradnl"/>
                <w14:numSpacing w14:val="tabular"/>
              </w:rPr>
              <w:t xml:space="preserve"> </w:t>
            </w:r>
            <w:r w:rsidRPr="00077779">
              <w:rPr>
                <w:sz w:val="18"/>
                <w:szCs w:val="18"/>
                <w:lang w:val="es-ES_tradnl"/>
                <w14:numSpacing w14:val="tabular"/>
              </w:rPr>
              <w:t>al-Káẓim</w:t>
            </w:r>
            <w:r w:rsidR="00D30688" w:rsidRPr="00077779">
              <w:rPr>
                <w:sz w:val="18"/>
                <w:szCs w:val="18"/>
                <w:lang w:val="es-ES_tradnl"/>
                <w14:numSpacing w14:val="tabular"/>
              </w:rPr>
              <w:t xml:space="preserve"> </w:t>
            </w:r>
            <w:r w:rsidR="008B5AB4" w:rsidRPr="00077779">
              <w:rPr>
                <w:sz w:val="18"/>
                <w:szCs w:val="18"/>
                <w:lang w:val="es-ES_tradnl"/>
                <w14:numSpacing w14:val="tabular"/>
              </w:rPr>
              <w:t>i</w:t>
            </w:r>
            <w:r w:rsidRPr="00077779">
              <w:rPr>
                <w:sz w:val="18"/>
                <w:szCs w:val="18"/>
                <w:lang w:val="es-ES_tradnl"/>
                <w14:numSpacing w14:val="tabular"/>
              </w:rPr>
              <w:t>bn</w:t>
            </w:r>
            <w:r w:rsidR="00D30688" w:rsidRPr="00077779">
              <w:rPr>
                <w:sz w:val="18"/>
                <w:szCs w:val="18"/>
                <w:lang w:val="es-ES_tradnl"/>
                <w14:numSpacing w14:val="tabular"/>
              </w:rPr>
              <w:t xml:space="preserve"> </w:t>
            </w:r>
            <w:r w:rsidRPr="00077779">
              <w:rPr>
                <w:sz w:val="18"/>
                <w:szCs w:val="18"/>
                <w:lang w:val="es-ES_tradnl"/>
                <w14:numSpacing w14:val="tabular"/>
              </w:rPr>
              <w:t>Báqir</w:t>
            </w:r>
            <w:r w:rsidR="00D30688" w:rsidRPr="00077779">
              <w:rPr>
                <w:sz w:val="18"/>
                <w:szCs w:val="18"/>
                <w:lang w:val="es-ES_tradnl"/>
                <w14:numSpacing w14:val="tabular"/>
              </w:rPr>
              <w:t xml:space="preserve"> </w:t>
            </w:r>
            <w:r w:rsidRPr="00077779">
              <w:rPr>
                <w:sz w:val="18"/>
                <w:szCs w:val="18"/>
                <w:lang w:val="es-ES_tradnl"/>
                <w14:numSpacing w14:val="tabular"/>
              </w:rPr>
              <w:t>(765–799)</w:t>
            </w:r>
          </w:p>
        </w:tc>
      </w:tr>
      <w:tr w:rsidR="00755038" w:rsidRPr="008063A9" w14:paraId="155B5AC1" w14:textId="77777777" w:rsidTr="000C0AAE">
        <w:trPr>
          <w:jc w:val="center"/>
        </w:trPr>
        <w:tc>
          <w:tcPr>
            <w:tcW w:w="365" w:type="dxa"/>
          </w:tcPr>
          <w:p w14:paraId="690143FD" w14:textId="77777777" w:rsidR="0038753A" w:rsidRPr="008F03E5" w:rsidRDefault="0038753A" w:rsidP="00825D95">
            <w:pPr>
              <w:rPr>
                <w:sz w:val="18"/>
                <w:szCs w:val="18"/>
                <w14:numSpacing w14:val="tabular"/>
              </w:rPr>
            </w:pPr>
            <w:r w:rsidRPr="008F03E5">
              <w:rPr>
                <w:sz w:val="18"/>
                <w:szCs w:val="18"/>
                <w14:numSpacing w14:val="tabular"/>
              </w:rPr>
              <w:t>2</w:t>
            </w:r>
          </w:p>
        </w:tc>
        <w:tc>
          <w:tcPr>
            <w:tcW w:w="3061" w:type="dxa"/>
          </w:tcPr>
          <w:p w14:paraId="709A1E45" w14:textId="77777777" w:rsidR="0038753A" w:rsidRPr="008F03E5" w:rsidRDefault="0038753A" w:rsidP="00825D95">
            <w:pPr>
              <w:rPr>
                <w:sz w:val="18"/>
                <w:szCs w:val="18"/>
                <w14:numSpacing w14:val="tabular"/>
              </w:rPr>
            </w:pPr>
            <w:r w:rsidRPr="008F03E5">
              <w:rPr>
                <w:sz w:val="18"/>
                <w:szCs w:val="18"/>
                <w14:numSpacing w14:val="tabular"/>
              </w:rPr>
              <w:t>Ḥasan</w:t>
            </w:r>
            <w:r w:rsidR="00D30688" w:rsidRPr="008F03E5">
              <w:rPr>
                <w:sz w:val="18"/>
                <w:szCs w:val="18"/>
                <w14:numSpacing w14:val="tabular"/>
              </w:rPr>
              <w:t xml:space="preserve"> </w:t>
            </w:r>
            <w:r w:rsidR="008B5AB4" w:rsidRPr="008F03E5">
              <w:rPr>
                <w:sz w:val="18"/>
                <w:szCs w:val="18"/>
                <w14:numSpacing w14:val="tabular"/>
              </w:rPr>
              <w:t>i</w:t>
            </w:r>
            <w:r w:rsidRPr="008F03E5">
              <w:rPr>
                <w:sz w:val="18"/>
                <w:szCs w:val="18"/>
                <w14:numSpacing w14:val="tabular"/>
              </w:rPr>
              <w:t>bn</w:t>
            </w:r>
            <w:r w:rsidR="00D30688" w:rsidRPr="008F03E5">
              <w:rPr>
                <w:sz w:val="18"/>
                <w:szCs w:val="18"/>
                <w14:numSpacing w14:val="tabular"/>
              </w:rPr>
              <w:t xml:space="preserve"> </w:t>
            </w:r>
            <w:r w:rsidRPr="008F03E5">
              <w:rPr>
                <w:sz w:val="18"/>
                <w:szCs w:val="18"/>
                <w14:numSpacing w14:val="tabular"/>
              </w:rPr>
              <w:t>‘Alí</w:t>
            </w:r>
            <w:r w:rsidR="00D30688" w:rsidRPr="008F03E5">
              <w:rPr>
                <w:sz w:val="18"/>
                <w:szCs w:val="18"/>
                <w14:numSpacing w14:val="tabular"/>
              </w:rPr>
              <w:t xml:space="preserve"> </w:t>
            </w:r>
            <w:r w:rsidRPr="008F03E5">
              <w:rPr>
                <w:sz w:val="18"/>
                <w:szCs w:val="18"/>
                <w14:numSpacing w14:val="tabular"/>
              </w:rPr>
              <w:t>(661–669)</w:t>
            </w:r>
          </w:p>
        </w:tc>
        <w:tc>
          <w:tcPr>
            <w:tcW w:w="567" w:type="dxa"/>
          </w:tcPr>
          <w:p w14:paraId="63882357" w14:textId="77777777" w:rsidR="0038753A" w:rsidRPr="008F03E5" w:rsidRDefault="0038753A" w:rsidP="00A6403D">
            <w:pPr>
              <w:tabs>
                <w:tab w:val="decimal" w:pos="175"/>
              </w:tabs>
              <w:rPr>
                <w:sz w:val="18"/>
                <w:szCs w:val="18"/>
                <w14:numSpacing w14:val="tabular"/>
              </w:rPr>
            </w:pPr>
            <w:r w:rsidRPr="008F03E5">
              <w:rPr>
                <w:sz w:val="18"/>
                <w:szCs w:val="18"/>
                <w14:numSpacing w14:val="tabular"/>
              </w:rPr>
              <w:t>8</w:t>
            </w:r>
          </w:p>
        </w:tc>
        <w:tc>
          <w:tcPr>
            <w:tcW w:w="4479" w:type="dxa"/>
          </w:tcPr>
          <w:p w14:paraId="78C0BE8F" w14:textId="77777777" w:rsidR="0038753A" w:rsidRPr="00077779" w:rsidRDefault="0038753A" w:rsidP="008B5AB4">
            <w:pPr>
              <w:keepNext/>
              <w:rPr>
                <w:sz w:val="18"/>
                <w:szCs w:val="18"/>
                <w:lang w:val="es-ES_tradnl"/>
                <w14:numSpacing w14:val="tabular"/>
              </w:rPr>
            </w:pPr>
            <w:r w:rsidRPr="00077779">
              <w:rPr>
                <w:sz w:val="18"/>
                <w:szCs w:val="18"/>
                <w:lang w:val="es-ES_tradnl"/>
                <w14:numSpacing w14:val="tabular"/>
              </w:rPr>
              <w:t>‘Alí</w:t>
            </w:r>
            <w:r w:rsidR="00D30688" w:rsidRPr="00077779">
              <w:rPr>
                <w:sz w:val="18"/>
                <w:szCs w:val="18"/>
                <w:lang w:val="es-ES_tradnl"/>
                <w14:numSpacing w14:val="tabular"/>
              </w:rPr>
              <w:t xml:space="preserve"> </w:t>
            </w:r>
            <w:r w:rsidR="00176E21" w:rsidRPr="00077779">
              <w:rPr>
                <w:sz w:val="16"/>
                <w:szCs w:val="16"/>
                <w:lang w:val="es-ES_tradnl"/>
                <w14:numSpacing w14:val="tabular"/>
              </w:rPr>
              <w:t>III</w:t>
            </w:r>
            <w:r w:rsidR="00D30688" w:rsidRPr="00077779">
              <w:rPr>
                <w:sz w:val="18"/>
                <w:szCs w:val="18"/>
                <w:lang w:val="es-ES_tradnl"/>
                <w14:numSpacing w14:val="tabular"/>
              </w:rPr>
              <w:t xml:space="preserve"> </w:t>
            </w:r>
            <w:r w:rsidRPr="00077779">
              <w:rPr>
                <w:sz w:val="18"/>
                <w:szCs w:val="18"/>
                <w:lang w:val="es-ES_tradnl"/>
                <w14:numSpacing w14:val="tabular"/>
              </w:rPr>
              <w:t>(‘Alí</w:t>
            </w:r>
            <w:r w:rsidR="00D30688" w:rsidRPr="00077779">
              <w:rPr>
                <w:sz w:val="18"/>
                <w:szCs w:val="18"/>
                <w:lang w:val="es-ES_tradnl"/>
                <w14:numSpacing w14:val="tabular"/>
              </w:rPr>
              <w:t xml:space="preserve"> </w:t>
            </w:r>
            <w:r w:rsidR="008B5AB4" w:rsidRPr="00077779">
              <w:rPr>
                <w:sz w:val="18"/>
                <w:szCs w:val="18"/>
                <w:lang w:val="es-ES_tradnl"/>
                <w14:numSpacing w14:val="tabular"/>
              </w:rPr>
              <w:t>i</w:t>
            </w:r>
            <w:r w:rsidRPr="00077779">
              <w:rPr>
                <w:sz w:val="18"/>
                <w:szCs w:val="18"/>
                <w:lang w:val="es-ES_tradnl"/>
                <w14:numSpacing w14:val="tabular"/>
              </w:rPr>
              <w:t>bn</w:t>
            </w:r>
            <w:r w:rsidR="00D30688" w:rsidRPr="00077779">
              <w:rPr>
                <w:sz w:val="18"/>
                <w:szCs w:val="18"/>
                <w:lang w:val="es-ES_tradnl"/>
                <w14:numSpacing w14:val="tabular"/>
              </w:rPr>
              <w:t xml:space="preserve"> </w:t>
            </w:r>
            <w:r w:rsidRPr="00077779">
              <w:rPr>
                <w:sz w:val="18"/>
                <w:szCs w:val="18"/>
                <w:lang w:val="es-ES_tradnl"/>
                <w14:numSpacing w14:val="tabular"/>
              </w:rPr>
              <w:t>Músá</w:t>
            </w:r>
            <w:r w:rsidR="00D30688" w:rsidRPr="00077779">
              <w:rPr>
                <w:sz w:val="18"/>
                <w:szCs w:val="18"/>
                <w:lang w:val="es-ES_tradnl"/>
                <w14:numSpacing w14:val="tabular"/>
              </w:rPr>
              <w:t xml:space="preserve"> </w:t>
            </w:r>
            <w:r w:rsidRPr="00077779">
              <w:rPr>
                <w:sz w:val="18"/>
                <w:szCs w:val="18"/>
                <w:lang w:val="es-ES_tradnl"/>
                <w14:numSpacing w14:val="tabular"/>
              </w:rPr>
              <w:t>ar-Riḍá)</w:t>
            </w:r>
            <w:r w:rsidR="00D30688" w:rsidRPr="00077779">
              <w:rPr>
                <w:sz w:val="18"/>
                <w:szCs w:val="18"/>
                <w:lang w:val="es-ES_tradnl"/>
                <w14:numSpacing w14:val="tabular"/>
              </w:rPr>
              <w:t xml:space="preserve"> </w:t>
            </w:r>
            <w:r w:rsidRPr="00077779">
              <w:rPr>
                <w:sz w:val="18"/>
                <w:szCs w:val="18"/>
                <w:lang w:val="es-ES_tradnl"/>
                <w14:numSpacing w14:val="tabular"/>
              </w:rPr>
              <w:t>(799–818)</w:t>
            </w:r>
          </w:p>
        </w:tc>
      </w:tr>
      <w:tr w:rsidR="00755038" w:rsidRPr="008063A9" w14:paraId="22F75B9C" w14:textId="77777777" w:rsidTr="000C0AAE">
        <w:trPr>
          <w:jc w:val="center"/>
        </w:trPr>
        <w:tc>
          <w:tcPr>
            <w:tcW w:w="365" w:type="dxa"/>
          </w:tcPr>
          <w:p w14:paraId="6CB559AE" w14:textId="77777777" w:rsidR="0038753A" w:rsidRPr="008F03E5" w:rsidRDefault="0038753A" w:rsidP="00825D95">
            <w:pPr>
              <w:rPr>
                <w:sz w:val="18"/>
                <w:szCs w:val="18"/>
                <w14:numSpacing w14:val="tabular"/>
              </w:rPr>
            </w:pPr>
            <w:r w:rsidRPr="008F03E5">
              <w:rPr>
                <w:sz w:val="18"/>
                <w:szCs w:val="18"/>
                <w14:numSpacing w14:val="tabular"/>
              </w:rPr>
              <w:t>3</w:t>
            </w:r>
          </w:p>
        </w:tc>
        <w:tc>
          <w:tcPr>
            <w:tcW w:w="3061" w:type="dxa"/>
          </w:tcPr>
          <w:p w14:paraId="043E5190" w14:textId="77777777" w:rsidR="0038753A" w:rsidRPr="008F03E5" w:rsidRDefault="0038753A" w:rsidP="00825D95">
            <w:pPr>
              <w:rPr>
                <w:sz w:val="18"/>
                <w:szCs w:val="18"/>
                <w14:numSpacing w14:val="tabular"/>
              </w:rPr>
            </w:pPr>
            <w:r w:rsidRPr="008F03E5">
              <w:rPr>
                <w:sz w:val="18"/>
                <w:szCs w:val="18"/>
                <w14:numSpacing w14:val="tabular"/>
              </w:rPr>
              <w:t>Ḥusayn</w:t>
            </w:r>
            <w:r w:rsidR="00D30688" w:rsidRPr="008F03E5">
              <w:rPr>
                <w:sz w:val="18"/>
                <w:szCs w:val="18"/>
                <w14:numSpacing w14:val="tabular"/>
              </w:rPr>
              <w:t xml:space="preserve"> </w:t>
            </w:r>
            <w:r w:rsidR="008B5AB4" w:rsidRPr="008F03E5">
              <w:rPr>
                <w:sz w:val="18"/>
                <w:szCs w:val="18"/>
                <w14:numSpacing w14:val="tabular"/>
              </w:rPr>
              <w:t>i</w:t>
            </w:r>
            <w:r w:rsidRPr="008F03E5">
              <w:rPr>
                <w:sz w:val="18"/>
                <w:szCs w:val="18"/>
                <w14:numSpacing w14:val="tabular"/>
              </w:rPr>
              <w:t>bn</w:t>
            </w:r>
            <w:r w:rsidR="00D30688" w:rsidRPr="008F03E5">
              <w:rPr>
                <w:sz w:val="18"/>
                <w:szCs w:val="18"/>
                <w14:numSpacing w14:val="tabular"/>
              </w:rPr>
              <w:t xml:space="preserve"> </w:t>
            </w:r>
            <w:r w:rsidRPr="008F03E5">
              <w:rPr>
                <w:sz w:val="18"/>
                <w:szCs w:val="18"/>
                <w14:numSpacing w14:val="tabular"/>
              </w:rPr>
              <w:t>‘Alí</w:t>
            </w:r>
            <w:r w:rsidR="00D30688" w:rsidRPr="008F03E5">
              <w:rPr>
                <w:sz w:val="18"/>
                <w:szCs w:val="18"/>
                <w14:numSpacing w14:val="tabular"/>
              </w:rPr>
              <w:t xml:space="preserve"> </w:t>
            </w:r>
            <w:r w:rsidRPr="008F03E5">
              <w:rPr>
                <w:sz w:val="18"/>
                <w:szCs w:val="18"/>
                <w14:numSpacing w14:val="tabular"/>
              </w:rPr>
              <w:t>(669–680)</w:t>
            </w:r>
          </w:p>
        </w:tc>
        <w:tc>
          <w:tcPr>
            <w:tcW w:w="567" w:type="dxa"/>
          </w:tcPr>
          <w:p w14:paraId="65CBC3C6" w14:textId="77777777" w:rsidR="0038753A" w:rsidRPr="008F03E5" w:rsidRDefault="0038753A" w:rsidP="00A6403D">
            <w:pPr>
              <w:tabs>
                <w:tab w:val="decimal" w:pos="175"/>
              </w:tabs>
              <w:rPr>
                <w:sz w:val="18"/>
                <w:szCs w:val="18"/>
                <w14:numSpacing w14:val="tabular"/>
              </w:rPr>
            </w:pPr>
            <w:r w:rsidRPr="008F03E5">
              <w:rPr>
                <w:sz w:val="18"/>
                <w:szCs w:val="18"/>
                <w14:numSpacing w14:val="tabular"/>
              </w:rPr>
              <w:t>9</w:t>
            </w:r>
          </w:p>
        </w:tc>
        <w:tc>
          <w:tcPr>
            <w:tcW w:w="4479" w:type="dxa"/>
          </w:tcPr>
          <w:p w14:paraId="55226130" w14:textId="4BD343DD" w:rsidR="0038753A" w:rsidRPr="00077779" w:rsidRDefault="0038753A" w:rsidP="003222AE">
            <w:pPr>
              <w:rPr>
                <w:sz w:val="18"/>
                <w:szCs w:val="18"/>
                <w:lang w:val="es-ES_tradnl"/>
                <w14:numSpacing w14:val="tabular"/>
              </w:rPr>
            </w:pPr>
            <w:r w:rsidRPr="00077779">
              <w:rPr>
                <w:sz w:val="18"/>
                <w:szCs w:val="18"/>
                <w:lang w:val="es-ES_tradnl"/>
                <w14:numSpacing w14:val="tabular"/>
              </w:rPr>
              <w:t>Muḥammad</w:t>
            </w:r>
            <w:r w:rsidR="00D30688" w:rsidRPr="00077779">
              <w:rPr>
                <w:sz w:val="18"/>
                <w:szCs w:val="18"/>
                <w:lang w:val="es-ES_tradnl"/>
                <w14:numSpacing w14:val="tabular"/>
              </w:rPr>
              <w:t xml:space="preserve"> </w:t>
            </w:r>
            <w:r w:rsidR="00FA24DA" w:rsidRPr="00077779">
              <w:rPr>
                <w:sz w:val="18"/>
                <w:szCs w:val="18"/>
                <w:lang w:val="es-ES_tradnl"/>
                <w14:numSpacing w14:val="tabular"/>
              </w:rPr>
              <w:t xml:space="preserve">ibn ‘Alí </w:t>
            </w:r>
            <w:r w:rsidR="00FA24DA" w:rsidRPr="00077779">
              <w:rPr>
                <w:sz w:val="18"/>
                <w:szCs w:val="18"/>
                <w:lang w:val="es-ES_tradnl"/>
              </w:rPr>
              <w:t>al-Jawád</w:t>
            </w:r>
            <w:r w:rsidR="00D30688" w:rsidRPr="00077779">
              <w:rPr>
                <w:sz w:val="18"/>
                <w:szCs w:val="18"/>
                <w:lang w:val="es-ES_tradnl"/>
                <w14:numSpacing w14:val="tabular"/>
              </w:rPr>
              <w:t xml:space="preserve"> </w:t>
            </w:r>
            <w:r w:rsidRPr="00077779">
              <w:rPr>
                <w:sz w:val="18"/>
                <w:szCs w:val="18"/>
                <w:lang w:val="es-ES_tradnl"/>
                <w14:numSpacing w14:val="tabular"/>
              </w:rPr>
              <w:t>(818–835)</w:t>
            </w:r>
          </w:p>
        </w:tc>
      </w:tr>
      <w:tr w:rsidR="00755038" w:rsidRPr="00BB2796" w14:paraId="73AF70AB" w14:textId="77777777" w:rsidTr="000C0AAE">
        <w:trPr>
          <w:jc w:val="center"/>
        </w:trPr>
        <w:tc>
          <w:tcPr>
            <w:tcW w:w="365" w:type="dxa"/>
          </w:tcPr>
          <w:p w14:paraId="06823C1A" w14:textId="77777777" w:rsidR="0038753A" w:rsidRPr="008F03E5" w:rsidRDefault="0038753A" w:rsidP="00825D95">
            <w:pPr>
              <w:rPr>
                <w:sz w:val="18"/>
                <w:szCs w:val="18"/>
                <w14:numSpacing w14:val="tabular"/>
              </w:rPr>
            </w:pPr>
            <w:r w:rsidRPr="008F03E5">
              <w:rPr>
                <w:sz w:val="18"/>
                <w:szCs w:val="18"/>
                <w14:numSpacing w14:val="tabular"/>
              </w:rPr>
              <w:t>4</w:t>
            </w:r>
          </w:p>
        </w:tc>
        <w:tc>
          <w:tcPr>
            <w:tcW w:w="3061" w:type="dxa"/>
          </w:tcPr>
          <w:p w14:paraId="4D486F69" w14:textId="77777777" w:rsidR="0038753A" w:rsidRPr="008F03E5" w:rsidRDefault="0038753A" w:rsidP="00825D95">
            <w:pPr>
              <w:rPr>
                <w:sz w:val="18"/>
                <w:szCs w:val="18"/>
                <w14:numSpacing w14:val="tabular"/>
              </w:rPr>
            </w:pPr>
            <w:r w:rsidRPr="008F03E5">
              <w:rPr>
                <w:sz w:val="18"/>
                <w:szCs w:val="18"/>
                <w14:numSpacing w14:val="tabular"/>
              </w:rPr>
              <w:t>Zaynu’l-‘Ábidín</w:t>
            </w:r>
            <w:r w:rsidR="00D30688" w:rsidRPr="008F03E5">
              <w:rPr>
                <w:sz w:val="18"/>
                <w:szCs w:val="18"/>
                <w14:numSpacing w14:val="tabular"/>
              </w:rPr>
              <w:t xml:space="preserve"> </w:t>
            </w:r>
            <w:r w:rsidRPr="008F03E5">
              <w:rPr>
                <w:sz w:val="18"/>
                <w:szCs w:val="18"/>
                <w14:numSpacing w14:val="tabular"/>
              </w:rPr>
              <w:t>‘Alí</w:t>
            </w:r>
            <w:r w:rsidR="00D30688" w:rsidRPr="008F03E5">
              <w:rPr>
                <w:sz w:val="18"/>
                <w:szCs w:val="18"/>
                <w14:numSpacing w14:val="tabular"/>
              </w:rPr>
              <w:t xml:space="preserve"> </w:t>
            </w:r>
            <w:r w:rsidRPr="008F03E5">
              <w:rPr>
                <w:sz w:val="16"/>
                <w:szCs w:val="16"/>
                <w14:numSpacing w14:val="tabular"/>
              </w:rPr>
              <w:t>II</w:t>
            </w:r>
            <w:r w:rsidR="00D30688" w:rsidRPr="008F03E5">
              <w:rPr>
                <w:sz w:val="18"/>
                <w:szCs w:val="18"/>
                <w14:numSpacing w14:val="tabular"/>
              </w:rPr>
              <w:t xml:space="preserve"> </w:t>
            </w:r>
            <w:r w:rsidRPr="008F03E5">
              <w:rPr>
                <w:sz w:val="18"/>
                <w:szCs w:val="18"/>
                <w14:numSpacing w14:val="tabular"/>
              </w:rPr>
              <w:t>(680–712)</w:t>
            </w:r>
          </w:p>
        </w:tc>
        <w:tc>
          <w:tcPr>
            <w:tcW w:w="567" w:type="dxa"/>
          </w:tcPr>
          <w:p w14:paraId="6EE6F14C" w14:textId="77777777" w:rsidR="0038753A" w:rsidRPr="008F03E5" w:rsidRDefault="0038753A" w:rsidP="00A6403D">
            <w:pPr>
              <w:tabs>
                <w:tab w:val="decimal" w:pos="175"/>
              </w:tabs>
              <w:rPr>
                <w:sz w:val="18"/>
                <w:szCs w:val="18"/>
                <w14:numSpacing w14:val="tabular"/>
              </w:rPr>
            </w:pPr>
            <w:r w:rsidRPr="008F03E5">
              <w:rPr>
                <w:sz w:val="18"/>
                <w:szCs w:val="18"/>
                <w14:numSpacing w14:val="tabular"/>
              </w:rPr>
              <w:t>10</w:t>
            </w:r>
          </w:p>
        </w:tc>
        <w:tc>
          <w:tcPr>
            <w:tcW w:w="4479" w:type="dxa"/>
          </w:tcPr>
          <w:p w14:paraId="2CC3EEDD" w14:textId="77777777" w:rsidR="0038753A" w:rsidRPr="00D45A23" w:rsidRDefault="0038753A" w:rsidP="00FF3387">
            <w:pPr>
              <w:keepNext/>
              <w:rPr>
                <w:sz w:val="18"/>
                <w:szCs w:val="18"/>
                <w:lang w:val="de-DE"/>
                <w14:numSpacing w14:val="tabular"/>
              </w:rPr>
            </w:pPr>
            <w:r w:rsidRPr="00D45A23">
              <w:rPr>
                <w:sz w:val="18"/>
                <w:szCs w:val="18"/>
                <w:lang w:val="de-DE"/>
                <w14:numSpacing w14:val="tabular"/>
              </w:rPr>
              <w:t>‘Alí</w:t>
            </w:r>
            <w:r w:rsidR="00D30688" w:rsidRPr="00D45A23">
              <w:rPr>
                <w:sz w:val="18"/>
                <w:szCs w:val="18"/>
                <w:lang w:val="de-DE"/>
                <w14:numSpacing w14:val="tabular"/>
              </w:rPr>
              <w:t xml:space="preserve"> </w:t>
            </w:r>
            <w:r w:rsidR="00176E21" w:rsidRPr="00D45A23">
              <w:rPr>
                <w:sz w:val="16"/>
                <w:szCs w:val="16"/>
                <w:lang w:val="de-DE"/>
                <w14:numSpacing w14:val="tabular"/>
              </w:rPr>
              <w:t>IV</w:t>
            </w:r>
            <w:r w:rsidR="00D30688" w:rsidRPr="00D45A23">
              <w:rPr>
                <w:sz w:val="18"/>
                <w:szCs w:val="18"/>
                <w:lang w:val="de-DE"/>
                <w14:numSpacing w14:val="tabular"/>
              </w:rPr>
              <w:t xml:space="preserve"> </w:t>
            </w:r>
            <w:r w:rsidRPr="00D45A23">
              <w:rPr>
                <w:sz w:val="18"/>
                <w:szCs w:val="18"/>
                <w:lang w:val="de-DE"/>
                <w14:numSpacing w14:val="tabular"/>
              </w:rPr>
              <w:t>(‘Alí</w:t>
            </w:r>
            <w:r w:rsidR="00D30688" w:rsidRPr="00D45A23">
              <w:rPr>
                <w:sz w:val="18"/>
                <w:szCs w:val="18"/>
                <w:lang w:val="de-DE"/>
                <w14:numSpacing w14:val="tabular"/>
              </w:rPr>
              <w:t xml:space="preserve"> </w:t>
            </w:r>
            <w:r w:rsidRPr="00D45A23">
              <w:rPr>
                <w:sz w:val="18"/>
                <w:szCs w:val="18"/>
                <w:lang w:val="de-DE"/>
                <w14:numSpacing w14:val="tabular"/>
              </w:rPr>
              <w:t>an-Naqí)</w:t>
            </w:r>
            <w:r w:rsidR="00D30688" w:rsidRPr="00D45A23">
              <w:rPr>
                <w:sz w:val="18"/>
                <w:szCs w:val="18"/>
                <w:lang w:val="de-DE"/>
                <w14:numSpacing w14:val="tabular"/>
              </w:rPr>
              <w:t xml:space="preserve"> </w:t>
            </w:r>
            <w:r w:rsidRPr="00D45A23">
              <w:rPr>
                <w:sz w:val="18"/>
                <w:szCs w:val="18"/>
                <w:lang w:val="de-DE"/>
                <w14:numSpacing w14:val="tabular"/>
              </w:rPr>
              <w:t>(835–868)</w:t>
            </w:r>
          </w:p>
        </w:tc>
      </w:tr>
      <w:tr w:rsidR="00755038" w:rsidRPr="008063A9" w14:paraId="62F94B72" w14:textId="77777777" w:rsidTr="000C0AAE">
        <w:trPr>
          <w:jc w:val="center"/>
        </w:trPr>
        <w:tc>
          <w:tcPr>
            <w:tcW w:w="365" w:type="dxa"/>
          </w:tcPr>
          <w:p w14:paraId="2C824EE7" w14:textId="77777777" w:rsidR="0038753A" w:rsidRPr="008F03E5" w:rsidRDefault="0038753A" w:rsidP="00825D95">
            <w:pPr>
              <w:rPr>
                <w:sz w:val="18"/>
                <w:szCs w:val="18"/>
                <w14:numSpacing w14:val="tabular"/>
              </w:rPr>
            </w:pPr>
            <w:r w:rsidRPr="008F03E5">
              <w:rPr>
                <w:sz w:val="18"/>
                <w:szCs w:val="18"/>
                <w14:numSpacing w14:val="tabular"/>
              </w:rPr>
              <w:t>5</w:t>
            </w:r>
          </w:p>
        </w:tc>
        <w:tc>
          <w:tcPr>
            <w:tcW w:w="3061" w:type="dxa"/>
          </w:tcPr>
          <w:p w14:paraId="1E19B449" w14:textId="77777777" w:rsidR="0038753A" w:rsidRPr="008F03E5" w:rsidRDefault="0038753A" w:rsidP="00825D95">
            <w:pPr>
              <w:rPr>
                <w:sz w:val="18"/>
                <w:szCs w:val="18"/>
                <w14:numSpacing w14:val="tabular"/>
              </w:rPr>
            </w:pPr>
            <w:r w:rsidRPr="008F03E5">
              <w:rPr>
                <w:sz w:val="18"/>
                <w:szCs w:val="18"/>
                <w14:numSpacing w14:val="tabular"/>
              </w:rPr>
              <w:t>Muḥammad-Báqir</w:t>
            </w:r>
            <w:r w:rsidR="00D30688" w:rsidRPr="008F03E5">
              <w:rPr>
                <w:sz w:val="18"/>
                <w:szCs w:val="18"/>
                <w14:numSpacing w14:val="tabular"/>
              </w:rPr>
              <w:t xml:space="preserve"> </w:t>
            </w:r>
            <w:r w:rsidR="008B5AB4" w:rsidRPr="008F03E5">
              <w:rPr>
                <w:sz w:val="18"/>
                <w:szCs w:val="18"/>
                <w14:numSpacing w14:val="tabular"/>
              </w:rPr>
              <w:t>i</w:t>
            </w:r>
            <w:r w:rsidRPr="008F03E5">
              <w:rPr>
                <w:sz w:val="18"/>
                <w:szCs w:val="18"/>
                <w14:numSpacing w14:val="tabular"/>
              </w:rPr>
              <w:t>bn</w:t>
            </w:r>
            <w:r w:rsidR="00D30688" w:rsidRPr="008F03E5">
              <w:rPr>
                <w:sz w:val="18"/>
                <w:szCs w:val="18"/>
                <w14:numSpacing w14:val="tabular"/>
              </w:rPr>
              <w:t xml:space="preserve"> </w:t>
            </w:r>
            <w:r w:rsidRPr="008F03E5">
              <w:rPr>
                <w:sz w:val="18"/>
                <w:szCs w:val="18"/>
                <w14:numSpacing w14:val="tabular"/>
              </w:rPr>
              <w:t>‘Alí</w:t>
            </w:r>
            <w:r w:rsidR="00D30688" w:rsidRPr="008F03E5">
              <w:rPr>
                <w:sz w:val="18"/>
                <w:szCs w:val="18"/>
                <w14:numSpacing w14:val="tabular"/>
              </w:rPr>
              <w:t xml:space="preserve"> </w:t>
            </w:r>
            <w:r w:rsidRPr="008F03E5">
              <w:rPr>
                <w:sz w:val="18"/>
                <w:szCs w:val="18"/>
                <w14:numSpacing w14:val="tabular"/>
              </w:rPr>
              <w:t>(712–734)</w:t>
            </w:r>
          </w:p>
        </w:tc>
        <w:tc>
          <w:tcPr>
            <w:tcW w:w="567" w:type="dxa"/>
          </w:tcPr>
          <w:p w14:paraId="5B26091E" w14:textId="77777777" w:rsidR="0038753A" w:rsidRPr="008F03E5" w:rsidRDefault="0038753A" w:rsidP="00A6403D">
            <w:pPr>
              <w:tabs>
                <w:tab w:val="decimal" w:pos="175"/>
              </w:tabs>
              <w:rPr>
                <w:sz w:val="18"/>
                <w:szCs w:val="18"/>
                <w14:numSpacing w14:val="tabular"/>
              </w:rPr>
            </w:pPr>
            <w:r w:rsidRPr="008F03E5">
              <w:rPr>
                <w:sz w:val="18"/>
                <w:szCs w:val="18"/>
                <w14:numSpacing w14:val="tabular"/>
              </w:rPr>
              <w:t>11</w:t>
            </w:r>
          </w:p>
        </w:tc>
        <w:tc>
          <w:tcPr>
            <w:tcW w:w="4479" w:type="dxa"/>
          </w:tcPr>
          <w:p w14:paraId="5D38B15E" w14:textId="620CBF24" w:rsidR="0038753A" w:rsidRPr="00077779" w:rsidRDefault="0038753A" w:rsidP="008B5AB4">
            <w:pPr>
              <w:keepNext/>
              <w:rPr>
                <w:sz w:val="18"/>
                <w:szCs w:val="18"/>
                <w:lang w:val="es-ES_tradnl"/>
                <w14:numSpacing w14:val="tabular"/>
              </w:rPr>
            </w:pPr>
            <w:r w:rsidRPr="00077779">
              <w:rPr>
                <w:sz w:val="18"/>
                <w:szCs w:val="18"/>
                <w:lang w:val="es-ES_tradnl"/>
                <w14:numSpacing w14:val="tabular"/>
              </w:rPr>
              <w:t>Ḥasan</w:t>
            </w:r>
            <w:r w:rsidR="00D30688" w:rsidRPr="00077779">
              <w:rPr>
                <w:sz w:val="18"/>
                <w:szCs w:val="18"/>
                <w:lang w:val="es-ES_tradnl"/>
                <w14:numSpacing w14:val="tabular"/>
              </w:rPr>
              <w:t xml:space="preserve"> </w:t>
            </w:r>
            <w:r w:rsidR="00176E21" w:rsidRPr="00077779">
              <w:rPr>
                <w:sz w:val="16"/>
                <w:szCs w:val="16"/>
                <w:lang w:val="es-ES_tradnl"/>
                <w14:numSpacing w14:val="tabular"/>
              </w:rPr>
              <w:t>II</w:t>
            </w:r>
            <w:r w:rsidR="00D30688" w:rsidRPr="00077779">
              <w:rPr>
                <w:sz w:val="18"/>
                <w:szCs w:val="18"/>
                <w:lang w:val="es-ES_tradnl"/>
                <w14:numSpacing w14:val="tabular"/>
              </w:rPr>
              <w:t xml:space="preserve"> </w:t>
            </w:r>
            <w:r w:rsidRPr="00077779">
              <w:rPr>
                <w:sz w:val="18"/>
                <w:szCs w:val="18"/>
                <w:lang w:val="es-ES_tradnl"/>
                <w14:numSpacing w14:val="tabular"/>
              </w:rPr>
              <w:t>(Ḥasan</w:t>
            </w:r>
            <w:r w:rsidR="00D30688" w:rsidRPr="00077779">
              <w:rPr>
                <w:sz w:val="18"/>
                <w:szCs w:val="18"/>
                <w:lang w:val="es-ES_tradnl"/>
                <w14:numSpacing w14:val="tabular"/>
              </w:rPr>
              <w:t xml:space="preserve"> </w:t>
            </w:r>
            <w:r w:rsidR="00552754" w:rsidRPr="00077779">
              <w:rPr>
                <w:sz w:val="18"/>
                <w:szCs w:val="18"/>
                <w:lang w:val="es-ES_tradnl"/>
                <w14:numSpacing w14:val="tabular"/>
              </w:rPr>
              <w:t xml:space="preserve">ibn ‘Alí </w:t>
            </w:r>
            <w:r w:rsidRPr="00077779">
              <w:rPr>
                <w:sz w:val="18"/>
                <w:szCs w:val="18"/>
                <w:lang w:val="es-ES_tradnl"/>
                <w14:numSpacing w14:val="tabular"/>
              </w:rPr>
              <w:t>al-‘Askarí</w:t>
            </w:r>
            <w:r w:rsidR="00D30688" w:rsidRPr="00077779">
              <w:rPr>
                <w:sz w:val="18"/>
                <w:szCs w:val="18"/>
                <w:lang w:val="es-ES_tradnl"/>
                <w14:numSpacing w14:val="tabular"/>
              </w:rPr>
              <w:t xml:space="preserve"> </w:t>
            </w:r>
            <w:r w:rsidR="008B5AB4" w:rsidRPr="00077779">
              <w:rPr>
                <w:sz w:val="18"/>
                <w:szCs w:val="18"/>
                <w:lang w:val="es-ES_tradnl"/>
                <w14:numSpacing w14:val="tabular"/>
              </w:rPr>
              <w:t>i</w:t>
            </w:r>
            <w:r w:rsidRPr="00077779">
              <w:rPr>
                <w:sz w:val="18"/>
                <w:szCs w:val="18"/>
                <w:lang w:val="es-ES_tradnl"/>
                <w14:numSpacing w14:val="tabular"/>
              </w:rPr>
              <w:t>bn</w:t>
            </w:r>
            <w:r w:rsidR="00D30688" w:rsidRPr="00077779">
              <w:rPr>
                <w:sz w:val="18"/>
                <w:szCs w:val="18"/>
                <w:lang w:val="es-ES_tradnl"/>
                <w14:numSpacing w14:val="tabular"/>
              </w:rPr>
              <w:t xml:space="preserve"> </w:t>
            </w:r>
            <w:r w:rsidRPr="00077779">
              <w:rPr>
                <w:sz w:val="18"/>
                <w:szCs w:val="18"/>
                <w:lang w:val="es-ES_tradnl"/>
                <w14:numSpacing w14:val="tabular"/>
              </w:rPr>
              <w:t>Naqí)</w:t>
            </w:r>
            <w:r w:rsidR="00D30688" w:rsidRPr="00077779">
              <w:rPr>
                <w:sz w:val="18"/>
                <w:szCs w:val="18"/>
                <w:lang w:val="es-ES_tradnl"/>
                <w14:numSpacing w14:val="tabular"/>
              </w:rPr>
              <w:t xml:space="preserve"> </w:t>
            </w:r>
            <w:r w:rsidRPr="00077779">
              <w:rPr>
                <w:sz w:val="18"/>
                <w:szCs w:val="18"/>
                <w:lang w:val="es-ES_tradnl"/>
                <w14:numSpacing w14:val="tabular"/>
              </w:rPr>
              <w:t>(868–873)</w:t>
            </w:r>
          </w:p>
        </w:tc>
      </w:tr>
      <w:tr w:rsidR="00755038" w:rsidRPr="008063A9" w14:paraId="4CF1A82B" w14:textId="77777777" w:rsidTr="000C0AAE">
        <w:trPr>
          <w:jc w:val="center"/>
        </w:trPr>
        <w:tc>
          <w:tcPr>
            <w:tcW w:w="365" w:type="dxa"/>
          </w:tcPr>
          <w:p w14:paraId="10D04EA0" w14:textId="77777777" w:rsidR="0038753A" w:rsidRPr="008F03E5" w:rsidRDefault="0038753A" w:rsidP="00825D95">
            <w:pPr>
              <w:rPr>
                <w:sz w:val="18"/>
                <w:szCs w:val="18"/>
                <w14:numSpacing w14:val="tabular"/>
              </w:rPr>
            </w:pPr>
            <w:r w:rsidRPr="008F03E5">
              <w:rPr>
                <w:sz w:val="18"/>
                <w:szCs w:val="18"/>
                <w14:numSpacing w14:val="tabular"/>
              </w:rPr>
              <w:t>6</w:t>
            </w:r>
          </w:p>
        </w:tc>
        <w:tc>
          <w:tcPr>
            <w:tcW w:w="3061" w:type="dxa"/>
          </w:tcPr>
          <w:p w14:paraId="22650D6B" w14:textId="2E4E58AB" w:rsidR="0038753A" w:rsidRPr="008F03E5" w:rsidRDefault="0038753A" w:rsidP="002E7B38">
            <w:pPr>
              <w:rPr>
                <w:sz w:val="18"/>
                <w:szCs w:val="18"/>
                <w14:numSpacing w14:val="tabular"/>
              </w:rPr>
            </w:pPr>
            <w:r w:rsidRPr="008F03E5">
              <w:rPr>
                <w:sz w:val="18"/>
                <w:szCs w:val="18"/>
                <w14:numSpacing w14:val="tabular"/>
              </w:rPr>
              <w:t>Ja‘far</w:t>
            </w:r>
            <w:r w:rsidR="002E7B38">
              <w:rPr>
                <w:sz w:val="18"/>
                <w:szCs w:val="18"/>
                <w14:numSpacing w14:val="tabular"/>
              </w:rPr>
              <w:t xml:space="preserve"> </w:t>
            </w:r>
            <w:r w:rsidRPr="008F03E5">
              <w:rPr>
                <w:sz w:val="18"/>
                <w:szCs w:val="18"/>
                <w14:numSpacing w14:val="tabular"/>
              </w:rPr>
              <w:t>a</w:t>
            </w:r>
            <w:r w:rsidR="00E022EC" w:rsidRPr="008F03E5">
              <w:rPr>
                <w:sz w:val="18"/>
                <w:szCs w:val="18"/>
                <w14:numSpacing w14:val="tabular"/>
              </w:rPr>
              <w:t>ṣ</w:t>
            </w:r>
            <w:r w:rsidRPr="008F03E5">
              <w:rPr>
                <w:sz w:val="18"/>
                <w:szCs w:val="18"/>
                <w14:numSpacing w14:val="tabular"/>
              </w:rPr>
              <w:t>-Ṣádiq</w:t>
            </w:r>
            <w:r w:rsidR="00D30688" w:rsidRPr="008F03E5">
              <w:rPr>
                <w:sz w:val="18"/>
                <w:szCs w:val="18"/>
                <w14:numSpacing w14:val="tabular"/>
              </w:rPr>
              <w:t xml:space="preserve"> </w:t>
            </w:r>
            <w:r w:rsidR="008B5AB4" w:rsidRPr="008F03E5">
              <w:rPr>
                <w:sz w:val="18"/>
                <w:szCs w:val="18"/>
                <w14:numSpacing w14:val="tabular"/>
              </w:rPr>
              <w:t>i</w:t>
            </w:r>
            <w:r w:rsidRPr="008F03E5">
              <w:rPr>
                <w:sz w:val="18"/>
                <w:szCs w:val="18"/>
                <w14:numSpacing w14:val="tabular"/>
              </w:rPr>
              <w:t>bn</w:t>
            </w:r>
            <w:r w:rsidR="00D30688" w:rsidRPr="008F03E5">
              <w:rPr>
                <w:sz w:val="18"/>
                <w:szCs w:val="18"/>
                <w14:numSpacing w14:val="tabular"/>
              </w:rPr>
              <w:t xml:space="preserve"> </w:t>
            </w:r>
            <w:r w:rsidRPr="008F03E5">
              <w:rPr>
                <w:sz w:val="18"/>
                <w:szCs w:val="18"/>
                <w14:numSpacing w14:val="tabular"/>
              </w:rPr>
              <w:t>Báqir</w:t>
            </w:r>
            <w:r w:rsidR="00D30688" w:rsidRPr="008F03E5">
              <w:rPr>
                <w:sz w:val="18"/>
                <w:szCs w:val="18"/>
                <w14:numSpacing w14:val="tabular"/>
              </w:rPr>
              <w:t xml:space="preserve"> </w:t>
            </w:r>
            <w:r w:rsidRPr="008F03E5">
              <w:rPr>
                <w:sz w:val="18"/>
                <w:szCs w:val="18"/>
                <w14:numSpacing w14:val="tabular"/>
              </w:rPr>
              <w:t>(734–765)</w:t>
            </w:r>
          </w:p>
        </w:tc>
        <w:tc>
          <w:tcPr>
            <w:tcW w:w="567" w:type="dxa"/>
          </w:tcPr>
          <w:p w14:paraId="19C08BAE" w14:textId="77777777" w:rsidR="0038753A" w:rsidRPr="008F03E5" w:rsidRDefault="0038753A" w:rsidP="00A6403D">
            <w:pPr>
              <w:tabs>
                <w:tab w:val="decimal" w:pos="175"/>
              </w:tabs>
              <w:rPr>
                <w:sz w:val="18"/>
                <w:szCs w:val="18"/>
                <w14:numSpacing w14:val="tabular"/>
              </w:rPr>
            </w:pPr>
            <w:r w:rsidRPr="008F03E5">
              <w:rPr>
                <w:sz w:val="18"/>
                <w:szCs w:val="18"/>
                <w14:numSpacing w14:val="tabular"/>
              </w:rPr>
              <w:t>12</w:t>
            </w:r>
          </w:p>
        </w:tc>
        <w:tc>
          <w:tcPr>
            <w:tcW w:w="4479" w:type="dxa"/>
          </w:tcPr>
          <w:p w14:paraId="0ABB4278" w14:textId="77777777" w:rsidR="0038753A" w:rsidRPr="00077779" w:rsidRDefault="0038753A" w:rsidP="001369B6">
            <w:pPr>
              <w:rPr>
                <w:sz w:val="18"/>
                <w:szCs w:val="18"/>
                <w:lang w:val="es-ES_tradnl"/>
                <w14:numSpacing w14:val="tabular"/>
              </w:rPr>
            </w:pPr>
            <w:r w:rsidRPr="00077779">
              <w:rPr>
                <w:sz w:val="18"/>
                <w:szCs w:val="18"/>
                <w:lang w:val="es-ES_tradnl"/>
                <w14:numSpacing w14:val="tabular"/>
              </w:rPr>
              <w:t>Muḥammad</w:t>
            </w:r>
            <w:r w:rsidR="00D30688" w:rsidRPr="00077779">
              <w:rPr>
                <w:sz w:val="18"/>
                <w:szCs w:val="18"/>
                <w:lang w:val="es-ES_tradnl"/>
                <w14:numSpacing w14:val="tabular"/>
              </w:rPr>
              <w:t xml:space="preserve"> </w:t>
            </w:r>
            <w:r w:rsidRPr="00077779">
              <w:rPr>
                <w:sz w:val="18"/>
                <w:szCs w:val="18"/>
                <w:lang w:val="es-ES_tradnl"/>
                <w14:numSpacing w14:val="tabular"/>
              </w:rPr>
              <w:t>al-Mahdí</w:t>
            </w:r>
            <w:r w:rsidR="00D30688" w:rsidRPr="00077779">
              <w:rPr>
                <w:sz w:val="18"/>
                <w:szCs w:val="18"/>
                <w:lang w:val="es-ES_tradnl"/>
                <w14:numSpacing w14:val="tabular"/>
              </w:rPr>
              <w:t xml:space="preserve"> </w:t>
            </w:r>
            <w:r w:rsidR="008B5AB4" w:rsidRPr="00077779">
              <w:rPr>
                <w:sz w:val="18"/>
                <w:szCs w:val="18"/>
                <w:lang w:val="es-ES_tradnl"/>
                <w14:numSpacing w14:val="tabular"/>
              </w:rPr>
              <w:t>i</w:t>
            </w:r>
            <w:r w:rsidRPr="00077779">
              <w:rPr>
                <w:sz w:val="18"/>
                <w:szCs w:val="18"/>
                <w:lang w:val="es-ES_tradnl"/>
                <w14:numSpacing w14:val="tabular"/>
              </w:rPr>
              <w:t>bn</w:t>
            </w:r>
            <w:r w:rsidR="00D30688" w:rsidRPr="00077779">
              <w:rPr>
                <w:sz w:val="18"/>
                <w:szCs w:val="18"/>
                <w:lang w:val="es-ES_tradnl"/>
                <w14:numSpacing w14:val="tabular"/>
              </w:rPr>
              <w:t xml:space="preserve"> </w:t>
            </w:r>
            <w:r w:rsidRPr="00077779">
              <w:rPr>
                <w:sz w:val="18"/>
                <w:szCs w:val="18"/>
                <w:lang w:val="es-ES_tradnl"/>
                <w14:numSpacing w14:val="tabular"/>
              </w:rPr>
              <w:t>Ḥasan</w:t>
            </w:r>
            <w:r w:rsidR="00D30688" w:rsidRPr="00077779">
              <w:rPr>
                <w:sz w:val="18"/>
                <w:szCs w:val="18"/>
                <w:lang w:val="es-ES_tradnl"/>
                <w14:numSpacing w14:val="tabular"/>
              </w:rPr>
              <w:t xml:space="preserve"> </w:t>
            </w:r>
            <w:r w:rsidRPr="00077779">
              <w:rPr>
                <w:sz w:val="18"/>
                <w:szCs w:val="18"/>
                <w:lang w:val="es-ES_tradnl"/>
                <w14:numSpacing w14:val="tabular"/>
              </w:rPr>
              <w:t>(869–873</w:t>
            </w:r>
            <w:r w:rsidR="001369B6" w:rsidRPr="00077779">
              <w:rPr>
                <w:sz w:val="18"/>
                <w:szCs w:val="18"/>
                <w:lang w:val="es-ES_tradnl"/>
                <w14:numSpacing w14:val="tabular"/>
              </w:rPr>
              <w:t>/</w:t>
            </w:r>
            <w:r w:rsidR="00176E21" w:rsidRPr="00077779">
              <w:rPr>
                <w:sz w:val="18"/>
                <w:szCs w:val="18"/>
                <w:lang w:val="es-ES_tradnl"/>
                <w14:numSpacing w14:val="tabular"/>
              </w:rPr>
              <w:t>AH</w:t>
            </w:r>
            <w:r w:rsidR="00D30688" w:rsidRPr="00077779">
              <w:rPr>
                <w:sz w:val="18"/>
                <w:szCs w:val="18"/>
                <w:lang w:val="es-ES_tradnl"/>
                <w14:numSpacing w14:val="tabular"/>
              </w:rPr>
              <w:t xml:space="preserve"> </w:t>
            </w:r>
            <w:r w:rsidRPr="00077779">
              <w:rPr>
                <w:sz w:val="18"/>
                <w:szCs w:val="18"/>
                <w:lang w:val="es-ES_tradnl"/>
                <w14:numSpacing w14:val="tabular"/>
              </w:rPr>
              <w:t>260)</w:t>
            </w:r>
          </w:p>
        </w:tc>
      </w:tr>
    </w:tbl>
    <w:p w14:paraId="04FEAD57" w14:textId="47D12D28" w:rsidR="00557303" w:rsidRPr="008F03E5" w:rsidRDefault="00557303" w:rsidP="00112B76">
      <w:pPr>
        <w:pStyle w:val="Myhead3"/>
        <w:rPr>
          <w:lang w:val="en-GB"/>
        </w:rPr>
      </w:pPr>
      <w:r w:rsidRPr="008F03E5">
        <w:rPr>
          <w:lang w:val="en-GB"/>
        </w:rPr>
        <w:t>Twel</w:t>
      </w:r>
      <w:r w:rsidR="00083046" w:rsidRPr="008F03E5">
        <w:rPr>
          <w:lang w:val="en-GB"/>
        </w:rPr>
        <w:t>f</w:t>
      </w:r>
      <w:r w:rsidRPr="008F03E5">
        <w:rPr>
          <w:lang w:val="en-GB"/>
        </w:rPr>
        <w:t>th Imám</w:t>
      </w:r>
      <w:r w:rsidR="00BB58C6" w:rsidRPr="00BB58C6">
        <w:rPr>
          <w:b w:val="0"/>
          <w:i w:val="0"/>
          <w:sz w:val="12"/>
        </w:rPr>
        <w:fldChar w:fldCharType="begin"/>
      </w:r>
      <w:r w:rsidR="00BB58C6" w:rsidRPr="00BB58C6">
        <w:rPr>
          <w:b w:val="0"/>
          <w:i w:val="0"/>
          <w:sz w:val="12"/>
          <w:lang w:val="en-AU"/>
        </w:rPr>
        <w:instrText xml:space="preserve"> TC “</w:instrText>
      </w:r>
      <w:bookmarkStart w:id="238" w:name="_Toc149476404"/>
      <w:bookmarkStart w:id="239" w:name="_Toc167691905"/>
      <w:r w:rsidR="00BB58C6" w:rsidRPr="00074EB6">
        <w:rPr>
          <w:b w:val="0"/>
          <w:iCs/>
          <w:sz w:val="12"/>
          <w:lang w:val="en-AU"/>
        </w:rPr>
        <w:instrText>Twelfth</w:instrText>
      </w:r>
      <w:r w:rsidR="00BB58C6" w:rsidRPr="00074EB6">
        <w:rPr>
          <w:b w:val="0"/>
          <w:iCs/>
          <w:sz w:val="12"/>
          <w:lang w:val="en-GB"/>
        </w:rPr>
        <w:instrText xml:space="preserve"> Imám</w:instrText>
      </w:r>
      <w:r w:rsidR="00BB58C6" w:rsidRPr="00074EB6">
        <w:rPr>
          <w:b w:val="0"/>
          <w:iCs/>
          <w:color w:val="FFFFFF" w:themeColor="background1"/>
          <w:sz w:val="12"/>
          <w:lang w:val="en-AU"/>
        </w:rPr>
        <w:instrText>..</w:instrText>
      </w:r>
      <w:r w:rsidR="00BB58C6" w:rsidRPr="00074EB6">
        <w:rPr>
          <w:b w:val="0"/>
          <w:iCs/>
          <w:sz w:val="12"/>
          <w:lang w:val="en-AU"/>
        </w:rPr>
        <w:tab/>
      </w:r>
      <w:r w:rsidR="00BB58C6" w:rsidRPr="00BB58C6">
        <w:rPr>
          <w:b w:val="0"/>
          <w:i w:val="0"/>
          <w:color w:val="FFFFFF" w:themeColor="background1"/>
          <w:sz w:val="12"/>
          <w:lang w:val="en-AU"/>
        </w:rPr>
        <w:instrText>.</w:instrText>
      </w:r>
      <w:bookmarkEnd w:id="238"/>
      <w:bookmarkEnd w:id="239"/>
      <w:r w:rsidR="00BB58C6" w:rsidRPr="00BB58C6">
        <w:rPr>
          <w:b w:val="0"/>
          <w:i w:val="0"/>
          <w:sz w:val="12"/>
          <w:lang w:val="en-AU"/>
        </w:rPr>
        <w:instrText>” \l 2</w:instrText>
      </w:r>
      <w:r w:rsidR="00BB58C6" w:rsidRPr="00BB58C6">
        <w:rPr>
          <w:b w:val="0"/>
          <w:i w:val="0"/>
          <w:sz w:val="12"/>
        </w:rPr>
        <w:fldChar w:fldCharType="end"/>
      </w:r>
    </w:p>
    <w:p w14:paraId="394C9A21" w14:textId="723FD373" w:rsidR="00557303" w:rsidRPr="008F03E5" w:rsidRDefault="00557303" w:rsidP="005B30CB">
      <w:pPr>
        <w:pStyle w:val="Text"/>
      </w:pPr>
      <w:r w:rsidRPr="008F03E5">
        <w:rPr>
          <w:u w:val="single"/>
        </w:rPr>
        <w:t>Sh</w:t>
      </w:r>
      <w:r w:rsidRPr="008F03E5">
        <w:t>í‘ih Muslims believe the Minor Occultation (al-</w:t>
      </w:r>
      <w:r w:rsidRPr="008F03E5">
        <w:rPr>
          <w:u w:val="single"/>
        </w:rPr>
        <w:t>gh</w:t>
      </w:r>
      <w:r w:rsidRPr="008F03E5">
        <w:t>ayba aṣ-ṣu</w:t>
      </w:r>
      <w:r w:rsidRPr="008F03E5">
        <w:rPr>
          <w:u w:val="single"/>
        </w:rPr>
        <w:t>gh</w:t>
      </w:r>
      <w:r w:rsidRPr="008F03E5">
        <w:t xml:space="preserve">ra) began in </w:t>
      </w:r>
      <w:r w:rsidRPr="008F03E5">
        <w:rPr>
          <w:sz w:val="16"/>
          <w:szCs w:val="16"/>
        </w:rPr>
        <w:t>AH</w:t>
      </w:r>
      <w:r w:rsidRPr="008F03E5">
        <w:t xml:space="preserve"> 260/</w:t>
      </w:r>
      <w:r w:rsidRPr="008F03E5">
        <w:rPr>
          <w:sz w:val="16"/>
          <w:szCs w:val="16"/>
        </w:rPr>
        <w:t>CE</w:t>
      </w:r>
      <w:r w:rsidRPr="008F03E5">
        <w:t xml:space="preserve"> 874 with the “disappearance” at </w:t>
      </w:r>
      <w:r w:rsidR="005B30CB" w:rsidRPr="008F03E5">
        <w:t>as-</w:t>
      </w:r>
      <w:r w:rsidRPr="008F03E5">
        <w:t>Sámarrá</w:t>
      </w:r>
      <w:r w:rsidR="005B30CB" w:rsidRPr="008F03E5">
        <w:t>’</w:t>
      </w:r>
      <w:r w:rsidRPr="008F03E5">
        <w:t>, on the Tigris, of the twelfth Imám as a child.  The Hidden Imám was accessible through four successive “Deputies”</w:t>
      </w:r>
      <w:r w:rsidR="005B30CB" w:rsidRPr="008F03E5">
        <w:t>, “Agents”</w:t>
      </w:r>
      <w:r w:rsidRPr="008F03E5">
        <w:t xml:space="preserve"> or “Gates” (</w:t>
      </w:r>
      <w:r w:rsidRPr="008F03E5">
        <w:rPr>
          <w:i/>
          <w:iCs/>
        </w:rPr>
        <w:t>Abwáb</w:t>
      </w:r>
      <w:r w:rsidRPr="008F03E5">
        <w:t>) for 69 years.  The Major Occultation (al-</w:t>
      </w:r>
      <w:r w:rsidRPr="008F03E5">
        <w:rPr>
          <w:u w:val="single"/>
        </w:rPr>
        <w:t>gh</w:t>
      </w:r>
      <w:r w:rsidRPr="008F03E5">
        <w:t>ayba al-kubrá) began following the death of the “fourth gate” (</w:t>
      </w:r>
      <w:r w:rsidRPr="008F03E5">
        <w:rPr>
          <w:sz w:val="16"/>
          <w:szCs w:val="16"/>
        </w:rPr>
        <w:t>AH</w:t>
      </w:r>
      <w:r w:rsidRPr="008F03E5">
        <w:t xml:space="preserve"> 329/</w:t>
      </w:r>
      <w:r w:rsidRPr="008F03E5">
        <w:rPr>
          <w:sz w:val="16"/>
          <w:szCs w:val="16"/>
        </w:rPr>
        <w:t>CE</w:t>
      </w:r>
      <w:r w:rsidRPr="008F03E5">
        <w:t xml:space="preserve"> 941) and end</w:t>
      </w:r>
      <w:r w:rsidR="005B30CB" w:rsidRPr="008F03E5">
        <w:t>ed</w:t>
      </w:r>
      <w:r w:rsidRPr="008F03E5">
        <w:t xml:space="preserve"> with the return of the twelfth Imám (</w:t>
      </w:r>
      <w:r w:rsidRPr="008F03E5">
        <w:rPr>
          <w:sz w:val="16"/>
          <w:szCs w:val="16"/>
        </w:rPr>
        <w:t>AH</w:t>
      </w:r>
      <w:r w:rsidRPr="008F03E5">
        <w:t xml:space="preserve"> 1260/</w:t>
      </w:r>
      <w:r w:rsidRPr="008F03E5">
        <w:rPr>
          <w:sz w:val="16"/>
          <w:szCs w:val="16"/>
        </w:rPr>
        <w:t>CE</w:t>
      </w:r>
      <w:r w:rsidRPr="008F03E5">
        <w:t xml:space="preserve"> 1844).  During this time the twelfth Imám supposedly lived in one of two mysterious cities</w:t>
      </w:r>
      <w:r w:rsidR="005B30CB" w:rsidRPr="008F03E5">
        <w:t xml:space="preserve">: </w:t>
      </w:r>
      <w:r w:rsidRPr="008F03E5">
        <w:t xml:space="preserve"> Jábulqá and Jábulsá. </w:t>
      </w:r>
      <w:r w:rsidR="005B30CB" w:rsidRPr="008F03E5">
        <w:t xml:space="preserve"> </w:t>
      </w:r>
      <w:r w:rsidRPr="008F03E5">
        <w:t xml:space="preserve">See </w:t>
      </w:r>
      <w:r w:rsidRPr="008F03E5">
        <w:rPr>
          <w:i/>
          <w:iCs/>
        </w:rPr>
        <w:t>A Traveller’s Narrative</w:t>
      </w:r>
      <w:r w:rsidRPr="008F03E5">
        <w:t>, p. 98.</w:t>
      </w:r>
    </w:p>
    <w:p w14:paraId="10DED874" w14:textId="14F286D4" w:rsidR="00ED747A" w:rsidRPr="008F03E5" w:rsidRDefault="00ED747A" w:rsidP="00112B76">
      <w:pPr>
        <w:pStyle w:val="Myhead3"/>
        <w:rPr>
          <w:lang w:val="en-GB"/>
        </w:rPr>
      </w:pPr>
      <w:r w:rsidRPr="008F03E5">
        <w:rPr>
          <w:lang w:val="en-GB"/>
        </w:rPr>
        <w:t>Deputies</w:t>
      </w:r>
      <w:r w:rsidR="00AC20E3">
        <w:rPr>
          <w:lang w:val="en-GB"/>
        </w:rPr>
        <w:t xml:space="preserve"> of the twel</w:t>
      </w:r>
      <w:r w:rsidR="00112B76">
        <w:rPr>
          <w:lang w:val="en-GB"/>
        </w:rPr>
        <w:t>f</w:t>
      </w:r>
      <w:r w:rsidR="00AC20E3">
        <w:rPr>
          <w:lang w:val="en-GB"/>
        </w:rPr>
        <w:t>th Im</w:t>
      </w:r>
      <w:r w:rsidR="00AC20E3" w:rsidRPr="00AC20E3">
        <w:t>á</w:t>
      </w:r>
      <w:r w:rsidR="00AC20E3">
        <w:rPr>
          <w:lang w:val="en-GB"/>
        </w:rPr>
        <w:t>m</w:t>
      </w:r>
      <w:r w:rsidR="00BB58C6" w:rsidRPr="00BB58C6">
        <w:rPr>
          <w:b w:val="0"/>
          <w:i w:val="0"/>
          <w:sz w:val="12"/>
        </w:rPr>
        <w:fldChar w:fldCharType="begin"/>
      </w:r>
      <w:r w:rsidR="00BB58C6" w:rsidRPr="00BB58C6">
        <w:rPr>
          <w:b w:val="0"/>
          <w:i w:val="0"/>
          <w:sz w:val="12"/>
          <w:lang w:val="en-AU"/>
        </w:rPr>
        <w:instrText xml:space="preserve"> TC “</w:instrText>
      </w:r>
      <w:bookmarkStart w:id="240" w:name="_Toc149476405"/>
      <w:bookmarkStart w:id="241" w:name="_Toc167691906"/>
      <w:r w:rsidR="00BB58C6" w:rsidRPr="00074EB6">
        <w:rPr>
          <w:b w:val="0"/>
          <w:iCs/>
          <w:sz w:val="12"/>
          <w:lang w:val="en-GB"/>
        </w:rPr>
        <w:instrText>Deputies of the 12th Im</w:instrText>
      </w:r>
      <w:r w:rsidR="00BB58C6" w:rsidRPr="00074EB6">
        <w:rPr>
          <w:b w:val="0"/>
          <w:iCs/>
          <w:sz w:val="12"/>
        </w:rPr>
        <w:instrText>á</w:instrText>
      </w:r>
      <w:r w:rsidR="00BB58C6" w:rsidRPr="00074EB6">
        <w:rPr>
          <w:b w:val="0"/>
          <w:iCs/>
          <w:sz w:val="12"/>
          <w:lang w:val="en-GB"/>
        </w:rPr>
        <w:instrText>m</w:instrText>
      </w:r>
      <w:r w:rsidR="00BB58C6" w:rsidRPr="00074EB6">
        <w:rPr>
          <w:b w:val="0"/>
          <w:iCs/>
          <w:color w:val="FFFFFF" w:themeColor="background1"/>
          <w:sz w:val="12"/>
          <w:lang w:val="en-AU"/>
        </w:rPr>
        <w:instrText>..</w:instrText>
      </w:r>
      <w:r w:rsidR="00BB58C6" w:rsidRPr="00074EB6">
        <w:rPr>
          <w:b w:val="0"/>
          <w:iCs/>
          <w:sz w:val="12"/>
          <w:lang w:val="en-AU"/>
        </w:rPr>
        <w:tab/>
      </w:r>
      <w:r w:rsidR="00BB58C6" w:rsidRPr="00BB58C6">
        <w:rPr>
          <w:b w:val="0"/>
          <w:i w:val="0"/>
          <w:color w:val="FFFFFF" w:themeColor="background1"/>
          <w:sz w:val="12"/>
          <w:lang w:val="en-AU"/>
        </w:rPr>
        <w:instrText>.</w:instrText>
      </w:r>
      <w:bookmarkEnd w:id="240"/>
      <w:bookmarkEnd w:id="241"/>
      <w:r w:rsidR="00BB58C6" w:rsidRPr="00BB58C6">
        <w:rPr>
          <w:b w:val="0"/>
          <w:i w:val="0"/>
          <w:sz w:val="12"/>
          <w:lang w:val="en-AU"/>
        </w:rPr>
        <w:instrText>” \l 2</w:instrText>
      </w:r>
      <w:r w:rsidR="00BB58C6" w:rsidRPr="00BB58C6">
        <w:rPr>
          <w:b w:val="0"/>
          <w:i w:val="0"/>
          <w:sz w:val="12"/>
        </w:rPr>
        <w:fldChar w:fldCharType="end"/>
      </w:r>
    </w:p>
    <w:p w14:paraId="455B0277" w14:textId="1D65C630" w:rsidR="005B30CB" w:rsidRPr="008F03E5" w:rsidRDefault="005B30CB" w:rsidP="005B30CB">
      <w:pPr>
        <w:pStyle w:val="Bullet2"/>
      </w:pPr>
      <w:r w:rsidRPr="008F03E5">
        <w:t>1.  Abú ‘Amr ‘U</w:t>
      </w:r>
      <w:r w:rsidRPr="008F03E5">
        <w:rPr>
          <w:u w:val="single"/>
        </w:rPr>
        <w:t>th</w:t>
      </w:r>
      <w:r w:rsidRPr="008F03E5">
        <w:t>mán ibn Sa‘íd al-‘Amrí</w:t>
      </w:r>
    </w:p>
    <w:p w14:paraId="4F7A567D" w14:textId="126F055F" w:rsidR="005B30CB" w:rsidRPr="008F03E5" w:rsidRDefault="005B30CB" w:rsidP="005B30CB">
      <w:pPr>
        <w:pStyle w:val="Bullet2ct"/>
      </w:pPr>
      <w:r w:rsidRPr="008F03E5">
        <w:t>2.  Abú Ja‘far Muḥammad ibn ‘U</w:t>
      </w:r>
      <w:r w:rsidRPr="008F03E5">
        <w:rPr>
          <w:u w:val="single"/>
        </w:rPr>
        <w:t>th</w:t>
      </w:r>
      <w:r w:rsidRPr="008F03E5">
        <w:t>mán</w:t>
      </w:r>
    </w:p>
    <w:p w14:paraId="2354C949" w14:textId="77777777" w:rsidR="005B30CB" w:rsidRPr="008F03E5" w:rsidRDefault="005B30CB" w:rsidP="005B30CB">
      <w:pPr>
        <w:pStyle w:val="Bullet2ct"/>
      </w:pPr>
      <w:r w:rsidRPr="008F03E5">
        <w:t>3.  Abu’l-Qásim Ḥusayn ibn Rúḥ Naw-Ba</w:t>
      </w:r>
      <w:r w:rsidRPr="008F03E5">
        <w:rPr>
          <w:u w:val="single"/>
        </w:rPr>
        <w:t>kh</w:t>
      </w:r>
      <w:r w:rsidRPr="008F03E5">
        <w:t>tí (917-937)</w:t>
      </w:r>
    </w:p>
    <w:p w14:paraId="06BAC120" w14:textId="77777777" w:rsidR="005B30CB" w:rsidRPr="008F03E5" w:rsidRDefault="005B30CB" w:rsidP="005B30CB">
      <w:pPr>
        <w:pStyle w:val="Bullet2ct"/>
      </w:pPr>
      <w:r w:rsidRPr="008F03E5">
        <w:t>4.  Abu’l-Ḥasan ‘Alí ibn Muḥammad as-Sámarrí (937-941)</w:t>
      </w:r>
    </w:p>
    <w:p w14:paraId="668C7824" w14:textId="53BBCA3F" w:rsidR="00EB06E9" w:rsidRPr="008F03E5" w:rsidRDefault="00EB06E9" w:rsidP="00AC20E3">
      <w:pPr>
        <w:pStyle w:val="Myhead"/>
      </w:pPr>
      <w:bookmarkStart w:id="242" w:name="_Toc149326101"/>
      <w:r w:rsidRPr="008F03E5">
        <w:t>Meccan pilgrim meeting points</w:t>
      </w:r>
      <w:bookmarkEnd w:id="242"/>
      <w:r w:rsidR="00BB58C6" w:rsidRPr="00BB58C6">
        <w:rPr>
          <w:b w:val="0"/>
          <w:sz w:val="12"/>
        </w:rPr>
        <w:fldChar w:fldCharType="begin"/>
      </w:r>
      <w:r w:rsidR="00BB58C6" w:rsidRPr="00BB58C6">
        <w:rPr>
          <w:b w:val="0"/>
          <w:sz w:val="12"/>
          <w:lang w:val="en-AU"/>
        </w:rPr>
        <w:instrText xml:space="preserve"> TC “</w:instrText>
      </w:r>
      <w:bookmarkStart w:id="243" w:name="_Toc149476407"/>
      <w:bookmarkStart w:id="244" w:name="_Toc167691907"/>
      <w:r w:rsidR="00BB58C6" w:rsidRPr="00BB58C6">
        <w:rPr>
          <w:b w:val="0"/>
          <w:sz w:val="12"/>
        </w:rPr>
        <w:instrText>Meccan pilgrim meeting points</w:instrText>
      </w:r>
      <w:r w:rsidR="00BB58C6" w:rsidRPr="00BB58C6">
        <w:rPr>
          <w:b w:val="0"/>
          <w:color w:val="FFFFFF" w:themeColor="background1"/>
          <w:sz w:val="12"/>
          <w:lang w:val="en-AU"/>
        </w:rPr>
        <w:instrText>..</w:instrText>
      </w:r>
      <w:r w:rsidR="00BB58C6" w:rsidRPr="00BB58C6">
        <w:rPr>
          <w:b w:val="0"/>
          <w:sz w:val="12"/>
          <w:lang w:val="en-AU"/>
        </w:rPr>
        <w:tab/>
      </w:r>
      <w:r w:rsidR="00BB58C6" w:rsidRPr="00BB58C6">
        <w:rPr>
          <w:b w:val="0"/>
          <w:color w:val="FFFFFF" w:themeColor="background1"/>
          <w:sz w:val="12"/>
          <w:lang w:val="en-AU"/>
        </w:rPr>
        <w:instrText>.</w:instrText>
      </w:r>
      <w:bookmarkEnd w:id="243"/>
      <w:bookmarkEnd w:id="244"/>
      <w:r w:rsidR="00BB58C6" w:rsidRPr="00BB58C6">
        <w:rPr>
          <w:b w:val="0"/>
          <w:sz w:val="12"/>
          <w:lang w:val="en-AU"/>
        </w:rPr>
        <w:instrText>” \l 1</w:instrText>
      </w:r>
      <w:r w:rsidR="00BB58C6" w:rsidRPr="00BB58C6">
        <w:rPr>
          <w:b w:val="0"/>
          <w:sz w:val="12"/>
        </w:rPr>
        <w:fldChar w:fldCharType="end"/>
      </w:r>
    </w:p>
    <w:p w14:paraId="35E9DA4A" w14:textId="77777777" w:rsidR="00EB06E9" w:rsidRPr="008F03E5" w:rsidRDefault="00EB06E9" w:rsidP="00CB2FFE">
      <w:pPr>
        <w:pStyle w:val="BulletText"/>
      </w:pPr>
      <w:r w:rsidRPr="008F03E5">
        <w:t>1.</w:t>
      </w:r>
      <w:r w:rsidRPr="008F03E5">
        <w:tab/>
      </w:r>
      <w:r w:rsidRPr="008F03E5">
        <w:rPr>
          <w:u w:val="single"/>
        </w:rPr>
        <w:t>Dh</w:t>
      </w:r>
      <w:r w:rsidRPr="008F03E5">
        <w:t>u</w:t>
      </w:r>
      <w:r w:rsidR="00CB2FFE" w:rsidRPr="008F03E5">
        <w:t>’</w:t>
      </w:r>
      <w:r w:rsidRPr="008F03E5">
        <w:t>l-Ḥulayfah (Masjid a</w:t>
      </w:r>
      <w:r w:rsidRPr="008F03E5">
        <w:rPr>
          <w:u w:val="single"/>
        </w:rPr>
        <w:t>sh</w:t>
      </w:r>
      <w:r w:rsidRPr="008F03E5">
        <w:t>-</w:t>
      </w:r>
      <w:r w:rsidRPr="008F03E5">
        <w:rPr>
          <w:u w:val="single"/>
        </w:rPr>
        <w:t>Sh</w:t>
      </w:r>
      <w:r w:rsidRPr="008F03E5">
        <w:t>ajarah, “Mosque of the Tree”, 24.413730, 39.542951), 9 km from Medinah, and 435 km by road from Mecca.  It is the míqát for those who live in Madinah, and for those who approach Mecca from the direction of Medinah.</w:t>
      </w:r>
    </w:p>
    <w:p w14:paraId="67682139" w14:textId="06E945C5" w:rsidR="00EB06E9" w:rsidRPr="008F03E5" w:rsidRDefault="00EB06E9" w:rsidP="002B4995">
      <w:pPr>
        <w:pStyle w:val="Bullettextcont"/>
        <w:rPr>
          <w:rFonts w:eastAsia="Times New Roman"/>
        </w:rPr>
      </w:pPr>
      <w:r w:rsidRPr="008F03E5">
        <w:rPr>
          <w:rFonts w:eastAsia="Times New Roman"/>
        </w:rPr>
        <w:t>2.</w:t>
      </w:r>
      <w:r w:rsidRPr="008F03E5">
        <w:rPr>
          <w:rFonts w:eastAsia="Times New Roman"/>
        </w:rPr>
        <w:tab/>
        <w:t>al-Juḥfah</w:t>
      </w:r>
      <w:r w:rsidRPr="008F03E5">
        <w:t xml:space="preserve"> (22.705402, 39.146859) is 191 km by road, to the northwest of Mecca.  This is the míqát for the people who </w:t>
      </w:r>
      <w:r w:rsidRPr="008F03E5">
        <w:rPr>
          <w:rFonts w:eastAsia="Times New Roman"/>
        </w:rPr>
        <w:t>come from the direction of a</w:t>
      </w:r>
      <w:r w:rsidRPr="008F03E5">
        <w:rPr>
          <w:rFonts w:eastAsia="Times New Roman"/>
          <w:u w:val="single"/>
        </w:rPr>
        <w:t>sh</w:t>
      </w:r>
      <w:r w:rsidRPr="008F03E5">
        <w:rPr>
          <w:rFonts w:eastAsia="Times New Roman"/>
        </w:rPr>
        <w:t>-</w:t>
      </w:r>
      <w:r w:rsidRPr="008F03E5">
        <w:rPr>
          <w:rFonts w:eastAsia="Times New Roman"/>
          <w:u w:val="single"/>
        </w:rPr>
        <w:t>Sh</w:t>
      </w:r>
      <w:r w:rsidRPr="008F03E5">
        <w:rPr>
          <w:rFonts w:eastAsia="Times New Roman"/>
        </w:rPr>
        <w:t xml:space="preserve">ám (the sun), i.e. those flying or sailing (generally </w:t>
      </w:r>
      <w:r w:rsidRPr="008F03E5">
        <w:t xml:space="preserve">from North America, Europe, </w:t>
      </w:r>
      <w:r w:rsidR="002B4995" w:rsidRPr="008F03E5">
        <w:t>Türkiye</w:t>
      </w:r>
      <w:r w:rsidRPr="008F03E5">
        <w:t>, Syria, Egypt, Algeria, Sudan and other African countries).</w:t>
      </w:r>
    </w:p>
    <w:p w14:paraId="20CF6778" w14:textId="77777777" w:rsidR="00EB06E9" w:rsidRPr="008F03E5" w:rsidRDefault="00EB06E9" w:rsidP="00EB06E9">
      <w:pPr>
        <w:pStyle w:val="Bullettextcont"/>
        <w:rPr>
          <w:rFonts w:eastAsia="Times New Roman"/>
        </w:rPr>
      </w:pPr>
      <w:r w:rsidRPr="008F03E5">
        <w:rPr>
          <w:rFonts w:eastAsia="Times New Roman"/>
        </w:rPr>
        <w:t>3.</w:t>
      </w:r>
      <w:r w:rsidRPr="008F03E5">
        <w:rPr>
          <w:rFonts w:eastAsia="Times New Roman"/>
        </w:rPr>
        <w:tab/>
        <w:t>Qarn al-Manázil</w:t>
      </w:r>
      <w:r w:rsidRPr="008F03E5">
        <w:t xml:space="preserve"> (21.633256, 40.427478), also known</w:t>
      </w:r>
      <w:r w:rsidRPr="008F03E5">
        <w:rPr>
          <w:rFonts w:eastAsia="Times New Roman"/>
        </w:rPr>
        <w:t xml:space="preserve"> as Míqát as-Sayl, located 83 km by road from Mecca, in a small town of as-Sayl al-Kabír. It serves pilgrims coming from the Najdi region, which is essentially the middle of Saudi Arabia.</w:t>
      </w:r>
    </w:p>
    <w:p w14:paraId="4FC11F50" w14:textId="77777777" w:rsidR="00EB06E9" w:rsidRPr="008F03E5" w:rsidRDefault="00EB06E9" w:rsidP="00EB06E9">
      <w:pPr>
        <w:pStyle w:val="Bullettextcont"/>
        <w:rPr>
          <w:rFonts w:eastAsia="Times New Roman"/>
        </w:rPr>
      </w:pPr>
      <w:r w:rsidRPr="008F03E5">
        <w:rPr>
          <w:rFonts w:eastAsia="Times New Roman"/>
        </w:rPr>
        <w:t>4.</w:t>
      </w:r>
      <w:r w:rsidRPr="008F03E5">
        <w:rPr>
          <w:rFonts w:eastAsia="Times New Roman"/>
        </w:rPr>
        <w:tab/>
        <w:t>Yalamlam</w:t>
      </w:r>
      <w:r w:rsidRPr="008F03E5">
        <w:t xml:space="preserve"> (20.840153, 40.138544) is a small city</w:t>
      </w:r>
      <w:r w:rsidRPr="008F03E5">
        <w:rPr>
          <w:rFonts w:eastAsia="Times New Roman"/>
        </w:rPr>
        <w:t xml:space="preserve"> 105 km by road southwest of Mecca </w:t>
      </w:r>
      <w:r w:rsidRPr="008F03E5">
        <w:t>that ser</w:t>
      </w:r>
      <w:r w:rsidRPr="008F03E5">
        <w:rPr>
          <w:rFonts w:eastAsia="Times New Roman"/>
        </w:rPr>
        <w:t>ves the Ḥujjaj coming from the direction of Yemen.</w:t>
      </w:r>
    </w:p>
    <w:p w14:paraId="3EDB2D29" w14:textId="77777777" w:rsidR="00EB06E9" w:rsidRPr="008F03E5" w:rsidRDefault="00EB06E9" w:rsidP="00EB06E9">
      <w:pPr>
        <w:pStyle w:val="Bullettextcont"/>
        <w:rPr>
          <w:rFonts w:eastAsia="Times New Roman"/>
        </w:rPr>
      </w:pPr>
      <w:r w:rsidRPr="008F03E5">
        <w:rPr>
          <w:rFonts w:eastAsia="Times New Roman"/>
        </w:rPr>
        <w:t>5.</w:t>
      </w:r>
      <w:r w:rsidRPr="008F03E5">
        <w:rPr>
          <w:rFonts w:eastAsia="Times New Roman"/>
        </w:rPr>
        <w:tab/>
      </w:r>
      <w:r w:rsidRPr="008F03E5">
        <w:rPr>
          <w:rFonts w:eastAsia="Times New Roman"/>
          <w:u w:val="single"/>
        </w:rPr>
        <w:t>Dh</w:t>
      </w:r>
      <w:r w:rsidRPr="008F03E5">
        <w:rPr>
          <w:rFonts w:eastAsia="Times New Roman"/>
        </w:rPr>
        <w:t>át ‘Irq</w:t>
      </w:r>
      <w:r w:rsidRPr="008F03E5">
        <w:t xml:space="preserve"> (21.633216, 40.427497) 83</w:t>
      </w:r>
      <w:r w:rsidRPr="008F03E5">
        <w:rPr>
          <w:rFonts w:eastAsia="Times New Roman"/>
        </w:rPr>
        <w:t xml:space="preserve"> km by road, northeast of Mecca.  It serves pilgrims coming from the direction of Iraq, Iran, and other places en-route</w:t>
      </w:r>
    </w:p>
    <w:p w14:paraId="13B37BE1" w14:textId="16F0A719" w:rsidR="006828D1" w:rsidRPr="008F03E5" w:rsidRDefault="006828D1" w:rsidP="00AC20E3">
      <w:pPr>
        <w:pStyle w:val="Myhead"/>
        <w:spacing w:after="120"/>
      </w:pPr>
      <w:bookmarkStart w:id="245" w:name="_Toc149326103"/>
      <w:r w:rsidRPr="008F03E5">
        <w:t xml:space="preserve">Qur’án </w:t>
      </w:r>
      <w:r w:rsidR="001E596F" w:rsidRPr="008F03E5">
        <w:t>suras</w:t>
      </w:r>
      <w:bookmarkEnd w:id="245"/>
      <w:r w:rsidR="00BB58C6" w:rsidRPr="00BB58C6">
        <w:rPr>
          <w:b w:val="0"/>
          <w:sz w:val="12"/>
        </w:rPr>
        <w:fldChar w:fldCharType="begin"/>
      </w:r>
      <w:r w:rsidR="00BB58C6" w:rsidRPr="00BB58C6">
        <w:rPr>
          <w:b w:val="0"/>
          <w:sz w:val="12"/>
          <w:lang w:val="en-AU"/>
        </w:rPr>
        <w:instrText xml:space="preserve"> TC “</w:instrText>
      </w:r>
      <w:bookmarkStart w:id="246" w:name="_Toc149476409"/>
      <w:bookmarkStart w:id="247" w:name="_Toc167691908"/>
      <w:r w:rsidR="00BB58C6" w:rsidRPr="00BB58C6">
        <w:rPr>
          <w:b w:val="0"/>
          <w:sz w:val="12"/>
        </w:rPr>
        <w:instrText>Qur’án suras</w:instrText>
      </w:r>
      <w:r w:rsidR="00BB58C6" w:rsidRPr="00BB58C6">
        <w:rPr>
          <w:b w:val="0"/>
          <w:color w:val="FFFFFF" w:themeColor="background1"/>
          <w:sz w:val="12"/>
          <w:lang w:val="en-AU"/>
        </w:rPr>
        <w:instrText>..</w:instrText>
      </w:r>
      <w:r w:rsidR="00BB58C6" w:rsidRPr="00BB58C6">
        <w:rPr>
          <w:b w:val="0"/>
          <w:sz w:val="12"/>
          <w:lang w:val="en-AU"/>
        </w:rPr>
        <w:tab/>
      </w:r>
      <w:r w:rsidR="00BB58C6" w:rsidRPr="00BB58C6">
        <w:rPr>
          <w:b w:val="0"/>
          <w:color w:val="FFFFFF" w:themeColor="background1"/>
          <w:sz w:val="12"/>
          <w:lang w:val="en-AU"/>
        </w:rPr>
        <w:instrText>.</w:instrText>
      </w:r>
      <w:bookmarkEnd w:id="246"/>
      <w:bookmarkEnd w:id="247"/>
      <w:r w:rsidR="00BB58C6" w:rsidRPr="00BB58C6">
        <w:rPr>
          <w:b w:val="0"/>
          <w:sz w:val="12"/>
          <w:lang w:val="en-AU"/>
        </w:rPr>
        <w:instrText>” \l 1</w:instrText>
      </w:r>
      <w:r w:rsidR="00BB58C6" w:rsidRPr="00BB58C6">
        <w:rPr>
          <w:b w:val="0"/>
          <w:sz w:val="12"/>
        </w:rPr>
        <w:fldChar w:fldCharType="end"/>
      </w:r>
    </w:p>
    <w:tbl>
      <w:tblPr>
        <w:tblW w:w="10469" w:type="dxa"/>
        <w:jc w:val="center"/>
        <w:tblLook w:val="04A0" w:firstRow="1" w:lastRow="0" w:firstColumn="1" w:lastColumn="0" w:noHBand="0" w:noVBand="1"/>
      </w:tblPr>
      <w:tblGrid>
        <w:gridCol w:w="435"/>
        <w:gridCol w:w="4422"/>
        <w:gridCol w:w="510"/>
        <w:gridCol w:w="5102"/>
      </w:tblGrid>
      <w:tr w:rsidR="00B8290C" w:rsidRPr="008F03E5" w14:paraId="703FA23F" w14:textId="77777777" w:rsidTr="00F13B0C">
        <w:trPr>
          <w:trHeight w:val="255"/>
          <w:jc w:val="center"/>
        </w:trPr>
        <w:tc>
          <w:tcPr>
            <w:tcW w:w="435" w:type="dxa"/>
            <w:tcBorders>
              <w:top w:val="nil"/>
              <w:left w:val="nil"/>
              <w:bottom w:val="nil"/>
              <w:right w:val="nil"/>
            </w:tcBorders>
            <w:shd w:val="clear" w:color="auto" w:fill="auto"/>
            <w:noWrap/>
          </w:tcPr>
          <w:p w14:paraId="67A42347" w14:textId="77777777" w:rsidR="006828D1" w:rsidRPr="008F03E5" w:rsidRDefault="006828D1" w:rsidP="000C0AAE">
            <w:pPr>
              <w:keepNext/>
              <w:widowControl/>
              <w:tabs>
                <w:tab w:val="decimal" w:pos="219"/>
              </w:tabs>
              <w:kinsoku/>
              <w:overflowPunct/>
              <w:textAlignment w:val="auto"/>
              <w:rPr>
                <w:rFonts w:eastAsia="Times New Roman"/>
                <w:b/>
                <w:bCs/>
                <w:sz w:val="18"/>
                <w:szCs w:val="18"/>
                <w14:numSpacing w14:val="tabular"/>
              </w:rPr>
            </w:pPr>
          </w:p>
        </w:tc>
        <w:tc>
          <w:tcPr>
            <w:tcW w:w="4422" w:type="dxa"/>
            <w:tcBorders>
              <w:top w:val="nil"/>
              <w:left w:val="nil"/>
              <w:bottom w:val="nil"/>
              <w:right w:val="nil"/>
            </w:tcBorders>
            <w:shd w:val="clear" w:color="auto" w:fill="auto"/>
            <w:noWrap/>
          </w:tcPr>
          <w:p w14:paraId="1EEA5202" w14:textId="77777777" w:rsidR="006828D1" w:rsidRPr="008F03E5" w:rsidRDefault="006828D1" w:rsidP="000C0AAE">
            <w:pPr>
              <w:keepNext/>
              <w:jc w:val="center"/>
              <w:rPr>
                <w:b/>
                <w:bCs/>
                <w:sz w:val="18"/>
                <w:szCs w:val="18"/>
              </w:rPr>
            </w:pPr>
            <w:r w:rsidRPr="008F03E5">
              <w:rPr>
                <w:b/>
                <w:bCs/>
                <w:sz w:val="18"/>
                <w:szCs w:val="18"/>
              </w:rPr>
              <w:t>Súra</w:t>
            </w:r>
          </w:p>
        </w:tc>
        <w:tc>
          <w:tcPr>
            <w:tcW w:w="510" w:type="dxa"/>
            <w:tcBorders>
              <w:top w:val="nil"/>
              <w:left w:val="nil"/>
              <w:bottom w:val="nil"/>
              <w:right w:val="nil"/>
            </w:tcBorders>
            <w:shd w:val="clear" w:color="auto" w:fill="auto"/>
            <w:noWrap/>
          </w:tcPr>
          <w:p w14:paraId="1E58C9D4" w14:textId="77777777" w:rsidR="006828D1" w:rsidRPr="008F03E5" w:rsidRDefault="006828D1" w:rsidP="000C0AAE">
            <w:pPr>
              <w:keepNext/>
            </w:pPr>
          </w:p>
        </w:tc>
        <w:tc>
          <w:tcPr>
            <w:tcW w:w="5102" w:type="dxa"/>
            <w:tcBorders>
              <w:top w:val="nil"/>
              <w:left w:val="nil"/>
              <w:bottom w:val="nil"/>
              <w:right w:val="nil"/>
            </w:tcBorders>
            <w:shd w:val="clear" w:color="auto" w:fill="auto"/>
            <w:noWrap/>
          </w:tcPr>
          <w:p w14:paraId="4F439F35" w14:textId="77777777" w:rsidR="006828D1" w:rsidRPr="008F03E5" w:rsidRDefault="006828D1" w:rsidP="000C0AAE">
            <w:pPr>
              <w:keepNext/>
              <w:jc w:val="center"/>
              <w:rPr>
                <w:b/>
                <w:bCs/>
                <w:sz w:val="18"/>
                <w:szCs w:val="18"/>
              </w:rPr>
            </w:pPr>
            <w:r w:rsidRPr="008F03E5">
              <w:rPr>
                <w:b/>
                <w:bCs/>
                <w:sz w:val="18"/>
                <w:szCs w:val="18"/>
              </w:rPr>
              <w:t>Súra</w:t>
            </w:r>
          </w:p>
        </w:tc>
      </w:tr>
      <w:tr w:rsidR="00B8290C" w:rsidRPr="008F03E5" w14:paraId="379CBF42" w14:textId="77777777" w:rsidTr="00F13B0C">
        <w:trPr>
          <w:trHeight w:val="255"/>
          <w:jc w:val="center"/>
        </w:trPr>
        <w:tc>
          <w:tcPr>
            <w:tcW w:w="435" w:type="dxa"/>
            <w:tcBorders>
              <w:top w:val="nil"/>
              <w:left w:val="nil"/>
              <w:bottom w:val="nil"/>
              <w:right w:val="nil"/>
            </w:tcBorders>
            <w:shd w:val="clear" w:color="auto" w:fill="auto"/>
            <w:noWrap/>
            <w:hideMark/>
          </w:tcPr>
          <w:p w14:paraId="54403D9A"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w:t>
            </w:r>
          </w:p>
        </w:tc>
        <w:tc>
          <w:tcPr>
            <w:tcW w:w="4422" w:type="dxa"/>
            <w:tcBorders>
              <w:top w:val="nil"/>
              <w:left w:val="nil"/>
              <w:bottom w:val="nil"/>
              <w:right w:val="nil"/>
            </w:tcBorders>
            <w:shd w:val="clear" w:color="auto" w:fill="auto"/>
            <w:noWrap/>
            <w:hideMark/>
          </w:tcPr>
          <w:p w14:paraId="3F881A62" w14:textId="77777777" w:rsidR="006828D1" w:rsidRPr="008F03E5" w:rsidRDefault="006828D1" w:rsidP="00F13B0C">
            <w:pPr>
              <w:rPr>
                <w:sz w:val="18"/>
                <w:szCs w:val="18"/>
              </w:rPr>
            </w:pPr>
            <w:r w:rsidRPr="008F03E5">
              <w:rPr>
                <w:sz w:val="18"/>
                <w:szCs w:val="18"/>
              </w:rPr>
              <w:t>al-Fátiḥa</w:t>
            </w:r>
            <w:r w:rsidR="00120AFC" w:rsidRPr="008F03E5">
              <w:rPr>
                <w:sz w:val="18"/>
                <w:szCs w:val="18"/>
              </w:rPr>
              <w:t>—</w:t>
            </w:r>
            <w:r w:rsidRPr="008F03E5">
              <w:rPr>
                <w:sz w:val="18"/>
                <w:szCs w:val="18"/>
              </w:rPr>
              <w:t>The opening</w:t>
            </w:r>
          </w:p>
        </w:tc>
        <w:tc>
          <w:tcPr>
            <w:tcW w:w="510" w:type="dxa"/>
            <w:tcBorders>
              <w:top w:val="nil"/>
              <w:left w:val="nil"/>
              <w:bottom w:val="nil"/>
              <w:right w:val="nil"/>
            </w:tcBorders>
            <w:shd w:val="clear" w:color="auto" w:fill="auto"/>
            <w:noWrap/>
            <w:hideMark/>
          </w:tcPr>
          <w:p w14:paraId="6368E87B"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58</w:t>
            </w:r>
          </w:p>
        </w:tc>
        <w:tc>
          <w:tcPr>
            <w:tcW w:w="5102" w:type="dxa"/>
            <w:tcBorders>
              <w:top w:val="nil"/>
              <w:left w:val="nil"/>
              <w:bottom w:val="nil"/>
              <w:right w:val="nil"/>
            </w:tcBorders>
            <w:shd w:val="clear" w:color="auto" w:fill="auto"/>
            <w:noWrap/>
            <w:hideMark/>
          </w:tcPr>
          <w:p w14:paraId="4AABB071" w14:textId="77777777" w:rsidR="006828D1" w:rsidRPr="008F03E5" w:rsidRDefault="006828D1" w:rsidP="00F13B0C">
            <w:pPr>
              <w:rPr>
                <w:sz w:val="18"/>
                <w:szCs w:val="18"/>
              </w:rPr>
            </w:pPr>
            <w:r w:rsidRPr="008F03E5">
              <w:rPr>
                <w:sz w:val="18"/>
                <w:szCs w:val="18"/>
              </w:rPr>
              <w:t>al-Mujádilah</w:t>
            </w:r>
            <w:r w:rsidR="00120AFC" w:rsidRPr="008F03E5">
              <w:rPr>
                <w:sz w:val="18"/>
                <w:szCs w:val="18"/>
              </w:rPr>
              <w:t>—</w:t>
            </w:r>
            <w:r w:rsidRPr="008F03E5">
              <w:rPr>
                <w:sz w:val="18"/>
                <w:szCs w:val="18"/>
              </w:rPr>
              <w:t>The pleading woman</w:t>
            </w:r>
          </w:p>
        </w:tc>
      </w:tr>
      <w:tr w:rsidR="00B8290C" w:rsidRPr="008F03E5" w14:paraId="0A26C722" w14:textId="77777777" w:rsidTr="00F13B0C">
        <w:trPr>
          <w:trHeight w:val="255"/>
          <w:jc w:val="center"/>
        </w:trPr>
        <w:tc>
          <w:tcPr>
            <w:tcW w:w="435" w:type="dxa"/>
            <w:tcBorders>
              <w:top w:val="nil"/>
              <w:left w:val="nil"/>
              <w:bottom w:val="nil"/>
              <w:right w:val="nil"/>
            </w:tcBorders>
            <w:shd w:val="clear" w:color="auto" w:fill="auto"/>
            <w:noWrap/>
            <w:hideMark/>
          </w:tcPr>
          <w:p w14:paraId="13622983"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w:t>
            </w:r>
          </w:p>
        </w:tc>
        <w:tc>
          <w:tcPr>
            <w:tcW w:w="4422" w:type="dxa"/>
            <w:tcBorders>
              <w:top w:val="nil"/>
              <w:left w:val="nil"/>
              <w:bottom w:val="nil"/>
              <w:right w:val="nil"/>
            </w:tcBorders>
            <w:shd w:val="clear" w:color="auto" w:fill="auto"/>
            <w:noWrap/>
            <w:hideMark/>
          </w:tcPr>
          <w:p w14:paraId="37DF3499" w14:textId="77777777" w:rsidR="006828D1" w:rsidRPr="008F03E5" w:rsidRDefault="006828D1" w:rsidP="00F13B0C">
            <w:pPr>
              <w:rPr>
                <w:sz w:val="18"/>
                <w:szCs w:val="18"/>
              </w:rPr>
            </w:pPr>
            <w:r w:rsidRPr="008F03E5">
              <w:rPr>
                <w:sz w:val="18"/>
                <w:szCs w:val="18"/>
              </w:rPr>
              <w:t>al-Baqara</w:t>
            </w:r>
            <w:r w:rsidR="00120AFC" w:rsidRPr="008F03E5">
              <w:rPr>
                <w:sz w:val="18"/>
                <w:szCs w:val="18"/>
              </w:rPr>
              <w:t>—</w:t>
            </w:r>
            <w:r w:rsidRPr="008F03E5">
              <w:rPr>
                <w:sz w:val="18"/>
                <w:szCs w:val="18"/>
              </w:rPr>
              <w:t>The cow</w:t>
            </w:r>
          </w:p>
        </w:tc>
        <w:tc>
          <w:tcPr>
            <w:tcW w:w="510" w:type="dxa"/>
            <w:tcBorders>
              <w:top w:val="nil"/>
              <w:left w:val="nil"/>
              <w:bottom w:val="nil"/>
              <w:right w:val="nil"/>
            </w:tcBorders>
            <w:shd w:val="clear" w:color="auto" w:fill="auto"/>
            <w:noWrap/>
            <w:hideMark/>
          </w:tcPr>
          <w:p w14:paraId="08F1994B"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59</w:t>
            </w:r>
          </w:p>
        </w:tc>
        <w:tc>
          <w:tcPr>
            <w:tcW w:w="5102" w:type="dxa"/>
            <w:tcBorders>
              <w:top w:val="nil"/>
              <w:left w:val="nil"/>
              <w:bottom w:val="nil"/>
              <w:right w:val="nil"/>
            </w:tcBorders>
            <w:shd w:val="clear" w:color="auto" w:fill="auto"/>
            <w:noWrap/>
            <w:hideMark/>
          </w:tcPr>
          <w:p w14:paraId="37927F34"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al-Ḥa</w:t>
            </w:r>
            <w:r w:rsidRPr="008F03E5">
              <w:rPr>
                <w:sz w:val="18"/>
                <w:szCs w:val="18"/>
                <w:u w:val="single"/>
              </w:rPr>
              <w:t>sh</w:t>
            </w:r>
            <w:r w:rsidRPr="008F03E5">
              <w:rPr>
                <w:sz w:val="18"/>
                <w:szCs w:val="18"/>
              </w:rPr>
              <w:t>r</w:t>
            </w:r>
            <w:r w:rsidR="00120AFC" w:rsidRPr="008F03E5">
              <w:rPr>
                <w:sz w:val="18"/>
                <w:szCs w:val="18"/>
              </w:rPr>
              <w:t>—</w:t>
            </w:r>
            <w:r w:rsidRPr="008F03E5">
              <w:rPr>
                <w:sz w:val="18"/>
                <w:szCs w:val="18"/>
              </w:rPr>
              <w:t>The mustering, The exile or The emigration</w:t>
            </w:r>
          </w:p>
        </w:tc>
      </w:tr>
      <w:tr w:rsidR="00B8290C" w:rsidRPr="008F03E5" w14:paraId="36D819E0" w14:textId="77777777" w:rsidTr="00F13B0C">
        <w:trPr>
          <w:trHeight w:val="255"/>
          <w:jc w:val="center"/>
        </w:trPr>
        <w:tc>
          <w:tcPr>
            <w:tcW w:w="435" w:type="dxa"/>
            <w:tcBorders>
              <w:top w:val="nil"/>
              <w:left w:val="nil"/>
              <w:bottom w:val="nil"/>
              <w:right w:val="nil"/>
            </w:tcBorders>
            <w:shd w:val="clear" w:color="auto" w:fill="auto"/>
            <w:noWrap/>
            <w:hideMark/>
          </w:tcPr>
          <w:p w14:paraId="0CB223A5"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w:t>
            </w:r>
          </w:p>
        </w:tc>
        <w:tc>
          <w:tcPr>
            <w:tcW w:w="4422" w:type="dxa"/>
            <w:tcBorders>
              <w:top w:val="nil"/>
              <w:left w:val="nil"/>
              <w:bottom w:val="nil"/>
              <w:right w:val="nil"/>
            </w:tcBorders>
            <w:shd w:val="clear" w:color="auto" w:fill="auto"/>
            <w:noWrap/>
            <w:hideMark/>
          </w:tcPr>
          <w:p w14:paraId="290E1E93" w14:textId="77777777" w:rsidR="006828D1" w:rsidRPr="008F03E5" w:rsidRDefault="006828D1" w:rsidP="00F13B0C">
            <w:pPr>
              <w:rPr>
                <w:sz w:val="18"/>
                <w:szCs w:val="18"/>
              </w:rPr>
            </w:pPr>
            <w:r w:rsidRPr="008F03E5">
              <w:rPr>
                <w:sz w:val="18"/>
                <w:szCs w:val="18"/>
              </w:rPr>
              <w:t>Ál ‘Imrán</w:t>
            </w:r>
            <w:r w:rsidR="00120AFC" w:rsidRPr="008F03E5">
              <w:rPr>
                <w:sz w:val="18"/>
                <w:szCs w:val="18"/>
              </w:rPr>
              <w:t>—</w:t>
            </w:r>
            <w:r w:rsidRPr="008F03E5">
              <w:rPr>
                <w:sz w:val="18"/>
                <w:szCs w:val="18"/>
              </w:rPr>
              <w:t>The family of Imran</w:t>
            </w:r>
          </w:p>
        </w:tc>
        <w:tc>
          <w:tcPr>
            <w:tcW w:w="510" w:type="dxa"/>
            <w:tcBorders>
              <w:top w:val="nil"/>
              <w:left w:val="nil"/>
              <w:bottom w:val="nil"/>
              <w:right w:val="nil"/>
            </w:tcBorders>
            <w:shd w:val="clear" w:color="auto" w:fill="auto"/>
            <w:noWrap/>
            <w:hideMark/>
          </w:tcPr>
          <w:p w14:paraId="1DB7B8A2"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60</w:t>
            </w:r>
          </w:p>
        </w:tc>
        <w:tc>
          <w:tcPr>
            <w:tcW w:w="5102" w:type="dxa"/>
            <w:tcBorders>
              <w:top w:val="nil"/>
              <w:left w:val="nil"/>
              <w:bottom w:val="nil"/>
              <w:right w:val="nil"/>
            </w:tcBorders>
            <w:shd w:val="clear" w:color="auto" w:fill="auto"/>
            <w:noWrap/>
            <w:hideMark/>
          </w:tcPr>
          <w:p w14:paraId="2C32E06A" w14:textId="77777777" w:rsidR="006828D1" w:rsidRPr="008F03E5" w:rsidRDefault="00FD26F4" w:rsidP="00F13B0C">
            <w:pPr>
              <w:rPr>
                <w:sz w:val="18"/>
                <w:szCs w:val="18"/>
                <w14:numSpacing w14:val="tabular"/>
              </w:rPr>
            </w:pPr>
            <w:r w:rsidRPr="008F03E5">
              <w:rPr>
                <w:sz w:val="18"/>
                <w:szCs w:val="18"/>
              </w:rPr>
              <w:t>al</w:t>
            </w:r>
            <w:r w:rsidR="0086178E" w:rsidRPr="008F03E5">
              <w:rPr>
                <w:sz w:val="18"/>
                <w:szCs w:val="18"/>
              </w:rPr>
              <w:t>-</w:t>
            </w:r>
            <w:r w:rsidRPr="008F03E5">
              <w:rPr>
                <w:sz w:val="18"/>
                <w:szCs w:val="18"/>
              </w:rPr>
              <w:t>Mumtaḥinah</w:t>
            </w:r>
            <w:r w:rsidR="00120AFC" w:rsidRPr="008F03E5">
              <w:rPr>
                <w:sz w:val="18"/>
                <w:szCs w:val="18"/>
              </w:rPr>
              <w:t>—</w:t>
            </w:r>
            <w:r w:rsidRPr="008F03E5">
              <w:rPr>
                <w:sz w:val="18"/>
                <w:szCs w:val="18"/>
              </w:rPr>
              <w:t>She that is to be examined</w:t>
            </w:r>
            <w:r w:rsidR="00F13B0C" w:rsidRPr="008F03E5">
              <w:rPr>
                <w:sz w:val="18"/>
                <w:szCs w:val="18"/>
              </w:rPr>
              <w:t xml:space="preserve"> </w:t>
            </w:r>
            <w:r w:rsidRPr="008F03E5">
              <w:rPr>
                <w:sz w:val="18"/>
                <w:szCs w:val="18"/>
              </w:rPr>
              <w:t>or She who is tried (or tested)</w:t>
            </w:r>
            <w:r w:rsidR="002746B2" w:rsidRPr="008F03E5">
              <w:rPr>
                <w:rStyle w:val="FootnoteReference"/>
              </w:rPr>
              <w:footnoteReference w:customMarkFollows="1" w:id="55"/>
              <w:t>†</w:t>
            </w:r>
          </w:p>
        </w:tc>
      </w:tr>
      <w:tr w:rsidR="00B8290C" w:rsidRPr="008F03E5" w14:paraId="608EEF7C" w14:textId="77777777" w:rsidTr="00F13B0C">
        <w:trPr>
          <w:trHeight w:val="255"/>
          <w:jc w:val="center"/>
        </w:trPr>
        <w:tc>
          <w:tcPr>
            <w:tcW w:w="435" w:type="dxa"/>
            <w:tcBorders>
              <w:top w:val="nil"/>
              <w:left w:val="nil"/>
              <w:bottom w:val="nil"/>
              <w:right w:val="nil"/>
            </w:tcBorders>
            <w:shd w:val="clear" w:color="auto" w:fill="auto"/>
            <w:noWrap/>
            <w:hideMark/>
          </w:tcPr>
          <w:p w14:paraId="1B65784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w:t>
            </w:r>
          </w:p>
        </w:tc>
        <w:tc>
          <w:tcPr>
            <w:tcW w:w="4422" w:type="dxa"/>
            <w:tcBorders>
              <w:top w:val="nil"/>
              <w:left w:val="nil"/>
              <w:bottom w:val="nil"/>
              <w:right w:val="nil"/>
            </w:tcBorders>
            <w:shd w:val="clear" w:color="auto" w:fill="auto"/>
            <w:noWrap/>
            <w:hideMark/>
          </w:tcPr>
          <w:p w14:paraId="1EC3DD5D" w14:textId="77777777" w:rsidR="006828D1" w:rsidRPr="008F03E5" w:rsidRDefault="006828D1" w:rsidP="00F13B0C">
            <w:pPr>
              <w:rPr>
                <w:sz w:val="18"/>
                <w:szCs w:val="18"/>
              </w:rPr>
            </w:pPr>
            <w:r w:rsidRPr="008F03E5">
              <w:rPr>
                <w:sz w:val="18"/>
                <w:szCs w:val="18"/>
              </w:rPr>
              <w:t>an-Nisá’</w:t>
            </w:r>
            <w:r w:rsidR="00120AFC" w:rsidRPr="008F03E5">
              <w:rPr>
                <w:sz w:val="18"/>
                <w:szCs w:val="18"/>
              </w:rPr>
              <w:t>—</w:t>
            </w:r>
            <w:r w:rsidRPr="008F03E5">
              <w:rPr>
                <w:sz w:val="18"/>
                <w:szCs w:val="18"/>
              </w:rPr>
              <w:t>The women</w:t>
            </w:r>
          </w:p>
        </w:tc>
        <w:tc>
          <w:tcPr>
            <w:tcW w:w="510" w:type="dxa"/>
            <w:tcBorders>
              <w:top w:val="nil"/>
              <w:left w:val="nil"/>
              <w:bottom w:val="nil"/>
              <w:right w:val="nil"/>
            </w:tcBorders>
            <w:shd w:val="clear" w:color="auto" w:fill="auto"/>
            <w:noWrap/>
            <w:hideMark/>
          </w:tcPr>
          <w:p w14:paraId="5B0FFAA5"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61</w:t>
            </w:r>
          </w:p>
        </w:tc>
        <w:tc>
          <w:tcPr>
            <w:tcW w:w="5102" w:type="dxa"/>
            <w:tcBorders>
              <w:top w:val="nil"/>
              <w:left w:val="nil"/>
              <w:bottom w:val="nil"/>
              <w:right w:val="nil"/>
            </w:tcBorders>
            <w:shd w:val="clear" w:color="auto" w:fill="auto"/>
            <w:noWrap/>
            <w:hideMark/>
          </w:tcPr>
          <w:p w14:paraId="0F0F7F2F" w14:textId="77777777" w:rsidR="006828D1" w:rsidRPr="008F03E5" w:rsidRDefault="006828D1" w:rsidP="00F13B0C">
            <w:pPr>
              <w:rPr>
                <w:sz w:val="18"/>
                <w:szCs w:val="18"/>
              </w:rPr>
            </w:pPr>
            <w:r w:rsidRPr="008F03E5">
              <w:rPr>
                <w:sz w:val="18"/>
                <w:szCs w:val="18"/>
              </w:rPr>
              <w:t>aṣ-Ṣaff</w:t>
            </w:r>
            <w:r w:rsidR="00120AFC" w:rsidRPr="008F03E5">
              <w:rPr>
                <w:sz w:val="18"/>
                <w:szCs w:val="18"/>
              </w:rPr>
              <w:t>—</w:t>
            </w:r>
            <w:r w:rsidRPr="008F03E5">
              <w:rPr>
                <w:sz w:val="18"/>
                <w:szCs w:val="18"/>
              </w:rPr>
              <w:t>The rank or The battle array</w:t>
            </w:r>
          </w:p>
        </w:tc>
      </w:tr>
      <w:tr w:rsidR="00B8290C" w:rsidRPr="008F03E5" w14:paraId="6468ED23" w14:textId="77777777" w:rsidTr="00F13B0C">
        <w:trPr>
          <w:trHeight w:val="255"/>
          <w:jc w:val="center"/>
        </w:trPr>
        <w:tc>
          <w:tcPr>
            <w:tcW w:w="435" w:type="dxa"/>
            <w:tcBorders>
              <w:top w:val="nil"/>
              <w:left w:val="nil"/>
              <w:bottom w:val="nil"/>
              <w:right w:val="nil"/>
            </w:tcBorders>
            <w:shd w:val="clear" w:color="auto" w:fill="auto"/>
            <w:noWrap/>
            <w:hideMark/>
          </w:tcPr>
          <w:p w14:paraId="668657D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w:t>
            </w:r>
          </w:p>
        </w:tc>
        <w:tc>
          <w:tcPr>
            <w:tcW w:w="4422" w:type="dxa"/>
            <w:tcBorders>
              <w:top w:val="nil"/>
              <w:left w:val="nil"/>
              <w:bottom w:val="nil"/>
              <w:right w:val="nil"/>
            </w:tcBorders>
            <w:shd w:val="clear" w:color="auto" w:fill="auto"/>
            <w:noWrap/>
            <w:hideMark/>
          </w:tcPr>
          <w:p w14:paraId="4AE4AD3E" w14:textId="77777777" w:rsidR="006828D1" w:rsidRPr="008F03E5" w:rsidRDefault="006828D1" w:rsidP="00F13B0C">
            <w:pPr>
              <w:rPr>
                <w:sz w:val="18"/>
                <w:szCs w:val="18"/>
              </w:rPr>
            </w:pPr>
            <w:r w:rsidRPr="008F03E5">
              <w:rPr>
                <w:sz w:val="18"/>
                <w:szCs w:val="18"/>
              </w:rPr>
              <w:t>al-Má’ida</w:t>
            </w:r>
            <w:r w:rsidR="00120AFC" w:rsidRPr="008F03E5">
              <w:rPr>
                <w:sz w:val="18"/>
                <w:szCs w:val="18"/>
              </w:rPr>
              <w:t>—</w:t>
            </w:r>
            <w:r w:rsidRPr="008F03E5">
              <w:rPr>
                <w:sz w:val="18"/>
                <w:szCs w:val="18"/>
              </w:rPr>
              <w:t>The table spread</w:t>
            </w:r>
          </w:p>
        </w:tc>
        <w:tc>
          <w:tcPr>
            <w:tcW w:w="510" w:type="dxa"/>
            <w:tcBorders>
              <w:top w:val="nil"/>
              <w:left w:val="nil"/>
              <w:bottom w:val="nil"/>
              <w:right w:val="nil"/>
            </w:tcBorders>
            <w:shd w:val="clear" w:color="auto" w:fill="auto"/>
            <w:noWrap/>
            <w:hideMark/>
          </w:tcPr>
          <w:p w14:paraId="41D71112"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62</w:t>
            </w:r>
          </w:p>
        </w:tc>
        <w:tc>
          <w:tcPr>
            <w:tcW w:w="5102" w:type="dxa"/>
            <w:tcBorders>
              <w:top w:val="nil"/>
              <w:left w:val="nil"/>
              <w:bottom w:val="nil"/>
              <w:right w:val="nil"/>
            </w:tcBorders>
            <w:shd w:val="clear" w:color="auto" w:fill="auto"/>
            <w:noWrap/>
            <w:hideMark/>
          </w:tcPr>
          <w:p w14:paraId="72B6A871" w14:textId="77777777" w:rsidR="006828D1" w:rsidRPr="008F03E5" w:rsidRDefault="006828D1" w:rsidP="00F13B0C">
            <w:pPr>
              <w:rPr>
                <w:sz w:val="18"/>
                <w:szCs w:val="18"/>
              </w:rPr>
            </w:pPr>
            <w:r w:rsidRPr="008F03E5">
              <w:rPr>
                <w:sz w:val="18"/>
                <w:szCs w:val="18"/>
              </w:rPr>
              <w:t>al-Jumu‘ah</w:t>
            </w:r>
            <w:r w:rsidR="00120AFC" w:rsidRPr="008F03E5">
              <w:rPr>
                <w:sz w:val="18"/>
                <w:szCs w:val="18"/>
              </w:rPr>
              <w:t>—</w:t>
            </w:r>
            <w:r w:rsidRPr="008F03E5">
              <w:rPr>
                <w:sz w:val="18"/>
                <w:szCs w:val="18"/>
              </w:rPr>
              <w:t>The day of congregation or Friday</w:t>
            </w:r>
          </w:p>
        </w:tc>
      </w:tr>
      <w:tr w:rsidR="00B8290C" w:rsidRPr="008F03E5" w14:paraId="495D4FD0" w14:textId="77777777" w:rsidTr="00F13B0C">
        <w:trPr>
          <w:trHeight w:val="255"/>
          <w:jc w:val="center"/>
        </w:trPr>
        <w:tc>
          <w:tcPr>
            <w:tcW w:w="435" w:type="dxa"/>
            <w:tcBorders>
              <w:top w:val="nil"/>
              <w:left w:val="nil"/>
              <w:bottom w:val="nil"/>
              <w:right w:val="nil"/>
            </w:tcBorders>
            <w:shd w:val="clear" w:color="auto" w:fill="auto"/>
            <w:noWrap/>
            <w:hideMark/>
          </w:tcPr>
          <w:p w14:paraId="285E3BBF"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6</w:t>
            </w:r>
          </w:p>
        </w:tc>
        <w:tc>
          <w:tcPr>
            <w:tcW w:w="4422" w:type="dxa"/>
            <w:tcBorders>
              <w:top w:val="nil"/>
              <w:left w:val="nil"/>
              <w:bottom w:val="nil"/>
              <w:right w:val="nil"/>
            </w:tcBorders>
            <w:shd w:val="clear" w:color="auto" w:fill="auto"/>
            <w:noWrap/>
            <w:hideMark/>
          </w:tcPr>
          <w:p w14:paraId="4226D4AB" w14:textId="77777777" w:rsidR="006828D1" w:rsidRPr="008F03E5" w:rsidRDefault="006828D1" w:rsidP="00F13B0C">
            <w:pPr>
              <w:rPr>
                <w:sz w:val="18"/>
                <w:szCs w:val="18"/>
              </w:rPr>
            </w:pPr>
            <w:r w:rsidRPr="008F03E5">
              <w:rPr>
                <w:sz w:val="18"/>
                <w:szCs w:val="18"/>
              </w:rPr>
              <w:t>al-An‘ám</w:t>
            </w:r>
            <w:r w:rsidR="00120AFC" w:rsidRPr="008F03E5">
              <w:rPr>
                <w:sz w:val="18"/>
                <w:szCs w:val="18"/>
              </w:rPr>
              <w:t>—</w:t>
            </w:r>
            <w:r w:rsidRPr="008F03E5">
              <w:rPr>
                <w:sz w:val="18"/>
                <w:szCs w:val="18"/>
              </w:rPr>
              <w:t>The cattle</w:t>
            </w:r>
          </w:p>
        </w:tc>
        <w:tc>
          <w:tcPr>
            <w:tcW w:w="510" w:type="dxa"/>
            <w:tcBorders>
              <w:top w:val="nil"/>
              <w:left w:val="nil"/>
              <w:bottom w:val="nil"/>
              <w:right w:val="nil"/>
            </w:tcBorders>
            <w:shd w:val="clear" w:color="auto" w:fill="auto"/>
            <w:noWrap/>
            <w:hideMark/>
          </w:tcPr>
          <w:p w14:paraId="66B98C7F"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63</w:t>
            </w:r>
          </w:p>
        </w:tc>
        <w:tc>
          <w:tcPr>
            <w:tcW w:w="5102" w:type="dxa"/>
            <w:tcBorders>
              <w:top w:val="nil"/>
              <w:left w:val="nil"/>
              <w:bottom w:val="nil"/>
              <w:right w:val="nil"/>
            </w:tcBorders>
            <w:shd w:val="clear" w:color="auto" w:fill="auto"/>
            <w:noWrap/>
            <w:hideMark/>
          </w:tcPr>
          <w:p w14:paraId="774FBEF2" w14:textId="77777777" w:rsidR="006828D1" w:rsidRPr="008F03E5" w:rsidRDefault="006828D1" w:rsidP="00F13B0C">
            <w:pPr>
              <w:rPr>
                <w:sz w:val="18"/>
                <w:szCs w:val="18"/>
              </w:rPr>
            </w:pPr>
            <w:r w:rsidRPr="008F03E5">
              <w:rPr>
                <w:sz w:val="18"/>
                <w:szCs w:val="18"/>
              </w:rPr>
              <w:t>al-Munáfiqún</w:t>
            </w:r>
            <w:r w:rsidR="00120AFC" w:rsidRPr="008F03E5">
              <w:rPr>
                <w:sz w:val="18"/>
                <w:szCs w:val="18"/>
              </w:rPr>
              <w:t>—</w:t>
            </w:r>
            <w:r w:rsidRPr="008F03E5">
              <w:rPr>
                <w:sz w:val="18"/>
                <w:szCs w:val="18"/>
              </w:rPr>
              <w:t>The hypocrites</w:t>
            </w:r>
          </w:p>
        </w:tc>
      </w:tr>
      <w:tr w:rsidR="00B8290C" w:rsidRPr="008F03E5" w14:paraId="4E8B2EE8" w14:textId="77777777" w:rsidTr="00F13B0C">
        <w:trPr>
          <w:trHeight w:val="255"/>
          <w:jc w:val="center"/>
        </w:trPr>
        <w:tc>
          <w:tcPr>
            <w:tcW w:w="435" w:type="dxa"/>
            <w:tcBorders>
              <w:top w:val="nil"/>
              <w:left w:val="nil"/>
              <w:bottom w:val="nil"/>
              <w:right w:val="nil"/>
            </w:tcBorders>
            <w:shd w:val="clear" w:color="auto" w:fill="auto"/>
            <w:noWrap/>
            <w:hideMark/>
          </w:tcPr>
          <w:p w14:paraId="1BCBA8D2"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7</w:t>
            </w:r>
          </w:p>
        </w:tc>
        <w:tc>
          <w:tcPr>
            <w:tcW w:w="4422" w:type="dxa"/>
            <w:tcBorders>
              <w:top w:val="nil"/>
              <w:left w:val="nil"/>
              <w:bottom w:val="nil"/>
              <w:right w:val="nil"/>
            </w:tcBorders>
            <w:shd w:val="clear" w:color="auto" w:fill="auto"/>
            <w:noWrap/>
            <w:hideMark/>
          </w:tcPr>
          <w:p w14:paraId="6F1833FD" w14:textId="77777777" w:rsidR="006828D1" w:rsidRPr="008F03E5" w:rsidRDefault="006828D1" w:rsidP="00F13B0C">
            <w:pPr>
              <w:rPr>
                <w:sz w:val="18"/>
                <w:szCs w:val="18"/>
              </w:rPr>
            </w:pPr>
            <w:r w:rsidRPr="008F03E5">
              <w:rPr>
                <w:sz w:val="18"/>
                <w:szCs w:val="18"/>
              </w:rPr>
              <w:t>al-A‘ráf</w:t>
            </w:r>
            <w:r w:rsidR="00120AFC" w:rsidRPr="008F03E5">
              <w:rPr>
                <w:sz w:val="18"/>
                <w:szCs w:val="18"/>
              </w:rPr>
              <w:t>—</w:t>
            </w:r>
            <w:r w:rsidRPr="008F03E5">
              <w:rPr>
                <w:sz w:val="18"/>
                <w:szCs w:val="18"/>
              </w:rPr>
              <w:t>The heights</w:t>
            </w:r>
          </w:p>
        </w:tc>
        <w:tc>
          <w:tcPr>
            <w:tcW w:w="510" w:type="dxa"/>
            <w:tcBorders>
              <w:top w:val="nil"/>
              <w:left w:val="nil"/>
              <w:bottom w:val="nil"/>
              <w:right w:val="nil"/>
            </w:tcBorders>
            <w:shd w:val="clear" w:color="auto" w:fill="auto"/>
            <w:noWrap/>
            <w:hideMark/>
          </w:tcPr>
          <w:p w14:paraId="0E8F577E"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64</w:t>
            </w:r>
          </w:p>
        </w:tc>
        <w:tc>
          <w:tcPr>
            <w:tcW w:w="5102" w:type="dxa"/>
            <w:tcBorders>
              <w:top w:val="nil"/>
              <w:left w:val="nil"/>
              <w:bottom w:val="nil"/>
              <w:right w:val="nil"/>
            </w:tcBorders>
            <w:shd w:val="clear" w:color="auto" w:fill="auto"/>
            <w:noWrap/>
            <w:hideMark/>
          </w:tcPr>
          <w:p w14:paraId="2C1C2383"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at-Ta</w:t>
            </w:r>
            <w:r w:rsidRPr="008F03E5">
              <w:rPr>
                <w:sz w:val="18"/>
                <w:szCs w:val="18"/>
                <w:u w:val="single"/>
              </w:rPr>
              <w:t>gh</w:t>
            </w:r>
            <w:r w:rsidRPr="008F03E5">
              <w:rPr>
                <w:sz w:val="18"/>
                <w:szCs w:val="18"/>
              </w:rPr>
              <w:t>ábun</w:t>
            </w:r>
            <w:r w:rsidR="00120AFC" w:rsidRPr="008F03E5">
              <w:rPr>
                <w:sz w:val="18"/>
                <w:szCs w:val="18"/>
              </w:rPr>
              <w:t>—</w:t>
            </w:r>
            <w:r w:rsidRPr="008F03E5">
              <w:rPr>
                <w:sz w:val="18"/>
                <w:szCs w:val="18"/>
              </w:rPr>
              <w:t>The mutual deception or disillusion</w:t>
            </w:r>
            <w:r w:rsidR="00B8290C" w:rsidRPr="008F03E5">
              <w:rPr>
                <w:sz w:val="18"/>
                <w:szCs w:val="18"/>
              </w:rPr>
              <w:t xml:space="preserve"> </w:t>
            </w:r>
            <w:r w:rsidRPr="008F03E5">
              <w:rPr>
                <w:sz w:val="18"/>
                <w:szCs w:val="18"/>
              </w:rPr>
              <w:t>or The mutual loss and gain</w:t>
            </w:r>
          </w:p>
        </w:tc>
      </w:tr>
      <w:tr w:rsidR="00B8290C" w:rsidRPr="008F03E5" w14:paraId="3740243D" w14:textId="77777777" w:rsidTr="00F13B0C">
        <w:trPr>
          <w:trHeight w:val="255"/>
          <w:jc w:val="center"/>
        </w:trPr>
        <w:tc>
          <w:tcPr>
            <w:tcW w:w="435" w:type="dxa"/>
            <w:tcBorders>
              <w:top w:val="nil"/>
              <w:left w:val="nil"/>
              <w:bottom w:val="nil"/>
              <w:right w:val="nil"/>
            </w:tcBorders>
            <w:shd w:val="clear" w:color="auto" w:fill="auto"/>
            <w:noWrap/>
            <w:hideMark/>
          </w:tcPr>
          <w:p w14:paraId="4C935DB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8</w:t>
            </w:r>
          </w:p>
        </w:tc>
        <w:tc>
          <w:tcPr>
            <w:tcW w:w="4422" w:type="dxa"/>
            <w:tcBorders>
              <w:top w:val="nil"/>
              <w:left w:val="nil"/>
              <w:bottom w:val="nil"/>
              <w:right w:val="nil"/>
            </w:tcBorders>
            <w:shd w:val="clear" w:color="auto" w:fill="auto"/>
            <w:noWrap/>
            <w:hideMark/>
          </w:tcPr>
          <w:p w14:paraId="4C7EEA61" w14:textId="77777777" w:rsidR="006828D1" w:rsidRPr="008F03E5" w:rsidRDefault="006828D1" w:rsidP="00F13B0C">
            <w:pPr>
              <w:rPr>
                <w:sz w:val="18"/>
                <w:szCs w:val="18"/>
              </w:rPr>
            </w:pPr>
            <w:r w:rsidRPr="008F03E5">
              <w:rPr>
                <w:sz w:val="18"/>
                <w:szCs w:val="18"/>
              </w:rPr>
              <w:t>al-Anfál</w:t>
            </w:r>
            <w:r w:rsidR="00120AFC" w:rsidRPr="008F03E5">
              <w:rPr>
                <w:sz w:val="18"/>
                <w:szCs w:val="18"/>
              </w:rPr>
              <w:t>—</w:t>
            </w:r>
            <w:r w:rsidRPr="008F03E5">
              <w:rPr>
                <w:sz w:val="18"/>
                <w:szCs w:val="18"/>
              </w:rPr>
              <w:t>The spoils of war</w:t>
            </w:r>
          </w:p>
        </w:tc>
        <w:tc>
          <w:tcPr>
            <w:tcW w:w="510" w:type="dxa"/>
            <w:tcBorders>
              <w:top w:val="nil"/>
              <w:left w:val="nil"/>
              <w:bottom w:val="nil"/>
              <w:right w:val="nil"/>
            </w:tcBorders>
            <w:shd w:val="clear" w:color="auto" w:fill="auto"/>
            <w:noWrap/>
            <w:hideMark/>
          </w:tcPr>
          <w:p w14:paraId="3BF26E38"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65</w:t>
            </w:r>
          </w:p>
        </w:tc>
        <w:tc>
          <w:tcPr>
            <w:tcW w:w="5102" w:type="dxa"/>
            <w:tcBorders>
              <w:top w:val="nil"/>
              <w:left w:val="nil"/>
              <w:bottom w:val="nil"/>
              <w:right w:val="nil"/>
            </w:tcBorders>
            <w:shd w:val="clear" w:color="auto" w:fill="auto"/>
            <w:noWrap/>
            <w:hideMark/>
          </w:tcPr>
          <w:p w14:paraId="5E7B3228" w14:textId="77777777" w:rsidR="006828D1" w:rsidRPr="008F03E5" w:rsidRDefault="006828D1" w:rsidP="00F13B0C">
            <w:pPr>
              <w:rPr>
                <w:sz w:val="18"/>
                <w:szCs w:val="18"/>
              </w:rPr>
            </w:pPr>
            <w:r w:rsidRPr="008F03E5">
              <w:rPr>
                <w:sz w:val="18"/>
                <w:szCs w:val="18"/>
              </w:rPr>
              <w:t>aṭ-Ṭaláq</w:t>
            </w:r>
            <w:r w:rsidR="00120AFC" w:rsidRPr="008F03E5">
              <w:rPr>
                <w:sz w:val="18"/>
                <w:szCs w:val="18"/>
              </w:rPr>
              <w:t>—</w:t>
            </w:r>
            <w:r w:rsidRPr="008F03E5">
              <w:rPr>
                <w:sz w:val="18"/>
                <w:szCs w:val="18"/>
              </w:rPr>
              <w:t>The divorce</w:t>
            </w:r>
          </w:p>
        </w:tc>
      </w:tr>
      <w:tr w:rsidR="00B8290C" w:rsidRPr="008F03E5" w14:paraId="157C0CAB" w14:textId="77777777" w:rsidTr="00F13B0C">
        <w:trPr>
          <w:trHeight w:val="255"/>
          <w:jc w:val="center"/>
        </w:trPr>
        <w:tc>
          <w:tcPr>
            <w:tcW w:w="435" w:type="dxa"/>
            <w:tcBorders>
              <w:top w:val="nil"/>
              <w:left w:val="nil"/>
              <w:bottom w:val="nil"/>
              <w:right w:val="nil"/>
            </w:tcBorders>
            <w:shd w:val="clear" w:color="auto" w:fill="auto"/>
            <w:noWrap/>
            <w:hideMark/>
          </w:tcPr>
          <w:p w14:paraId="32BB0DBB"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9</w:t>
            </w:r>
          </w:p>
        </w:tc>
        <w:tc>
          <w:tcPr>
            <w:tcW w:w="4422" w:type="dxa"/>
            <w:tcBorders>
              <w:top w:val="nil"/>
              <w:left w:val="nil"/>
              <w:bottom w:val="nil"/>
              <w:right w:val="nil"/>
            </w:tcBorders>
            <w:shd w:val="clear" w:color="auto" w:fill="auto"/>
            <w:noWrap/>
            <w:hideMark/>
          </w:tcPr>
          <w:p w14:paraId="4D0A830B" w14:textId="77777777" w:rsidR="006828D1" w:rsidRPr="008F03E5" w:rsidRDefault="006828D1" w:rsidP="00F13B0C">
            <w:pPr>
              <w:rPr>
                <w:sz w:val="18"/>
                <w:szCs w:val="18"/>
              </w:rPr>
            </w:pPr>
            <w:r w:rsidRPr="008F03E5">
              <w:rPr>
                <w:sz w:val="18"/>
                <w:szCs w:val="18"/>
              </w:rPr>
              <w:t>at-Tawbah al-Bará’ah</w:t>
            </w:r>
            <w:r w:rsidR="00120AFC" w:rsidRPr="008F03E5">
              <w:rPr>
                <w:sz w:val="18"/>
                <w:szCs w:val="18"/>
              </w:rPr>
              <w:t>—</w:t>
            </w:r>
            <w:r w:rsidRPr="008F03E5">
              <w:rPr>
                <w:sz w:val="18"/>
                <w:szCs w:val="18"/>
              </w:rPr>
              <w:t>The repentance or The repudiation</w:t>
            </w:r>
          </w:p>
        </w:tc>
        <w:tc>
          <w:tcPr>
            <w:tcW w:w="510" w:type="dxa"/>
            <w:tcBorders>
              <w:top w:val="nil"/>
              <w:left w:val="nil"/>
              <w:bottom w:val="nil"/>
              <w:right w:val="nil"/>
            </w:tcBorders>
            <w:shd w:val="clear" w:color="auto" w:fill="auto"/>
            <w:noWrap/>
            <w:hideMark/>
          </w:tcPr>
          <w:p w14:paraId="27521B1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66</w:t>
            </w:r>
          </w:p>
        </w:tc>
        <w:tc>
          <w:tcPr>
            <w:tcW w:w="5102" w:type="dxa"/>
            <w:tcBorders>
              <w:top w:val="nil"/>
              <w:left w:val="nil"/>
              <w:bottom w:val="nil"/>
              <w:right w:val="nil"/>
            </w:tcBorders>
            <w:shd w:val="clear" w:color="auto" w:fill="auto"/>
            <w:noWrap/>
            <w:hideMark/>
          </w:tcPr>
          <w:p w14:paraId="13E6BA0C" w14:textId="77777777" w:rsidR="006828D1" w:rsidRPr="008F03E5" w:rsidRDefault="006828D1" w:rsidP="00F13B0C">
            <w:pPr>
              <w:rPr>
                <w:sz w:val="18"/>
                <w:szCs w:val="18"/>
              </w:rPr>
            </w:pPr>
            <w:r w:rsidRPr="008F03E5">
              <w:rPr>
                <w:sz w:val="18"/>
                <w:szCs w:val="18"/>
              </w:rPr>
              <w:t>at-Taḥrím</w:t>
            </w:r>
            <w:r w:rsidR="00120AFC" w:rsidRPr="008F03E5">
              <w:rPr>
                <w:sz w:val="18"/>
                <w:szCs w:val="18"/>
              </w:rPr>
              <w:t>—</w:t>
            </w:r>
            <w:r w:rsidRPr="008F03E5">
              <w:rPr>
                <w:sz w:val="18"/>
                <w:szCs w:val="18"/>
              </w:rPr>
              <w:t>The prohibition</w:t>
            </w:r>
          </w:p>
        </w:tc>
      </w:tr>
      <w:tr w:rsidR="00B8290C" w:rsidRPr="008F03E5" w14:paraId="50359794" w14:textId="77777777" w:rsidTr="00F13B0C">
        <w:trPr>
          <w:trHeight w:val="255"/>
          <w:jc w:val="center"/>
        </w:trPr>
        <w:tc>
          <w:tcPr>
            <w:tcW w:w="435" w:type="dxa"/>
            <w:tcBorders>
              <w:top w:val="nil"/>
              <w:left w:val="nil"/>
              <w:bottom w:val="nil"/>
              <w:right w:val="nil"/>
            </w:tcBorders>
            <w:shd w:val="clear" w:color="auto" w:fill="auto"/>
            <w:noWrap/>
            <w:hideMark/>
          </w:tcPr>
          <w:p w14:paraId="52FEB95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10</w:t>
            </w:r>
          </w:p>
        </w:tc>
        <w:tc>
          <w:tcPr>
            <w:tcW w:w="4422" w:type="dxa"/>
            <w:tcBorders>
              <w:top w:val="nil"/>
              <w:left w:val="nil"/>
              <w:bottom w:val="nil"/>
              <w:right w:val="nil"/>
            </w:tcBorders>
            <w:shd w:val="clear" w:color="auto" w:fill="auto"/>
            <w:noWrap/>
            <w:hideMark/>
          </w:tcPr>
          <w:p w14:paraId="11190172" w14:textId="77777777" w:rsidR="006828D1" w:rsidRPr="008F03E5" w:rsidRDefault="006828D1" w:rsidP="00F13B0C">
            <w:pPr>
              <w:rPr>
                <w:sz w:val="18"/>
                <w:szCs w:val="18"/>
              </w:rPr>
            </w:pPr>
            <w:r w:rsidRPr="008F03E5">
              <w:rPr>
                <w:sz w:val="18"/>
                <w:szCs w:val="18"/>
              </w:rPr>
              <w:t>al-Yúnus</w:t>
            </w:r>
            <w:r w:rsidR="00120AFC" w:rsidRPr="008F03E5">
              <w:rPr>
                <w:sz w:val="18"/>
                <w:szCs w:val="18"/>
              </w:rPr>
              <w:t>—</w:t>
            </w:r>
            <w:r w:rsidRPr="008F03E5">
              <w:rPr>
                <w:sz w:val="18"/>
                <w:szCs w:val="18"/>
              </w:rPr>
              <w:t>Jonah</w:t>
            </w:r>
          </w:p>
        </w:tc>
        <w:tc>
          <w:tcPr>
            <w:tcW w:w="510" w:type="dxa"/>
            <w:tcBorders>
              <w:top w:val="nil"/>
              <w:left w:val="nil"/>
              <w:bottom w:val="nil"/>
              <w:right w:val="nil"/>
            </w:tcBorders>
            <w:shd w:val="clear" w:color="auto" w:fill="auto"/>
            <w:noWrap/>
            <w:hideMark/>
          </w:tcPr>
          <w:p w14:paraId="075926CB"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67</w:t>
            </w:r>
          </w:p>
        </w:tc>
        <w:tc>
          <w:tcPr>
            <w:tcW w:w="5102" w:type="dxa"/>
            <w:tcBorders>
              <w:top w:val="nil"/>
              <w:left w:val="nil"/>
              <w:bottom w:val="nil"/>
              <w:right w:val="nil"/>
            </w:tcBorders>
            <w:shd w:val="clear" w:color="auto" w:fill="auto"/>
            <w:noWrap/>
            <w:hideMark/>
          </w:tcPr>
          <w:p w14:paraId="0231EBF4" w14:textId="77777777" w:rsidR="006828D1" w:rsidRPr="008F03E5" w:rsidRDefault="006828D1" w:rsidP="00F13B0C">
            <w:pPr>
              <w:rPr>
                <w:sz w:val="18"/>
                <w:szCs w:val="18"/>
              </w:rPr>
            </w:pPr>
            <w:r w:rsidRPr="008F03E5">
              <w:rPr>
                <w:sz w:val="18"/>
                <w:szCs w:val="18"/>
              </w:rPr>
              <w:t>al-Mulk</w:t>
            </w:r>
            <w:r w:rsidR="00120AFC" w:rsidRPr="008F03E5">
              <w:rPr>
                <w:sz w:val="18"/>
                <w:szCs w:val="18"/>
              </w:rPr>
              <w:t>—</w:t>
            </w:r>
            <w:r w:rsidRPr="008F03E5">
              <w:rPr>
                <w:sz w:val="18"/>
                <w:szCs w:val="18"/>
              </w:rPr>
              <w:t>The dominion or The sovereignty</w:t>
            </w:r>
          </w:p>
        </w:tc>
      </w:tr>
      <w:tr w:rsidR="00B8290C" w:rsidRPr="008F03E5" w14:paraId="6631EE6F" w14:textId="77777777" w:rsidTr="00F13B0C">
        <w:trPr>
          <w:trHeight w:val="255"/>
          <w:jc w:val="center"/>
        </w:trPr>
        <w:tc>
          <w:tcPr>
            <w:tcW w:w="435" w:type="dxa"/>
            <w:tcBorders>
              <w:top w:val="nil"/>
              <w:left w:val="nil"/>
              <w:bottom w:val="nil"/>
              <w:right w:val="nil"/>
            </w:tcBorders>
            <w:shd w:val="clear" w:color="auto" w:fill="auto"/>
            <w:noWrap/>
            <w:hideMark/>
          </w:tcPr>
          <w:p w14:paraId="3304DB7D"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11</w:t>
            </w:r>
          </w:p>
        </w:tc>
        <w:tc>
          <w:tcPr>
            <w:tcW w:w="4422" w:type="dxa"/>
            <w:tcBorders>
              <w:top w:val="nil"/>
              <w:left w:val="nil"/>
              <w:bottom w:val="nil"/>
              <w:right w:val="nil"/>
            </w:tcBorders>
            <w:shd w:val="clear" w:color="auto" w:fill="auto"/>
            <w:noWrap/>
            <w:hideMark/>
          </w:tcPr>
          <w:p w14:paraId="5C652945" w14:textId="77777777" w:rsidR="006828D1" w:rsidRPr="008F03E5" w:rsidRDefault="006828D1" w:rsidP="00F13B0C">
            <w:pPr>
              <w:rPr>
                <w:sz w:val="18"/>
                <w:szCs w:val="18"/>
              </w:rPr>
            </w:pPr>
            <w:r w:rsidRPr="008F03E5">
              <w:rPr>
                <w:sz w:val="18"/>
                <w:szCs w:val="18"/>
              </w:rPr>
              <w:t>Húd</w:t>
            </w:r>
            <w:r w:rsidR="00120AFC" w:rsidRPr="008F03E5">
              <w:rPr>
                <w:sz w:val="18"/>
                <w:szCs w:val="18"/>
              </w:rPr>
              <w:t>—</w:t>
            </w:r>
            <w:r w:rsidRPr="008F03E5">
              <w:rPr>
                <w:sz w:val="18"/>
                <w:szCs w:val="18"/>
              </w:rPr>
              <w:t>Húd</w:t>
            </w:r>
          </w:p>
        </w:tc>
        <w:tc>
          <w:tcPr>
            <w:tcW w:w="510" w:type="dxa"/>
            <w:tcBorders>
              <w:top w:val="nil"/>
              <w:left w:val="nil"/>
              <w:bottom w:val="nil"/>
              <w:right w:val="nil"/>
            </w:tcBorders>
            <w:shd w:val="clear" w:color="auto" w:fill="auto"/>
            <w:noWrap/>
            <w:hideMark/>
          </w:tcPr>
          <w:p w14:paraId="2FED1442"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68</w:t>
            </w:r>
          </w:p>
        </w:tc>
        <w:tc>
          <w:tcPr>
            <w:tcW w:w="5102" w:type="dxa"/>
            <w:tcBorders>
              <w:top w:val="nil"/>
              <w:left w:val="nil"/>
              <w:bottom w:val="nil"/>
              <w:right w:val="nil"/>
            </w:tcBorders>
            <w:shd w:val="clear" w:color="auto" w:fill="auto"/>
            <w:noWrap/>
            <w:hideMark/>
          </w:tcPr>
          <w:p w14:paraId="352EF9CD" w14:textId="77777777" w:rsidR="006828D1" w:rsidRPr="008F03E5" w:rsidRDefault="006828D1" w:rsidP="00F13B0C">
            <w:pPr>
              <w:rPr>
                <w:sz w:val="18"/>
                <w:szCs w:val="18"/>
              </w:rPr>
            </w:pPr>
            <w:r w:rsidRPr="008F03E5">
              <w:rPr>
                <w:sz w:val="18"/>
                <w:szCs w:val="18"/>
              </w:rPr>
              <w:t>al-Qalam</w:t>
            </w:r>
            <w:r w:rsidR="00120AFC" w:rsidRPr="008F03E5">
              <w:rPr>
                <w:sz w:val="18"/>
                <w:szCs w:val="18"/>
              </w:rPr>
              <w:t>—</w:t>
            </w:r>
            <w:r w:rsidRPr="008F03E5">
              <w:rPr>
                <w:sz w:val="18"/>
                <w:szCs w:val="18"/>
              </w:rPr>
              <w:t>The pen or Nún</w:t>
            </w:r>
          </w:p>
        </w:tc>
      </w:tr>
      <w:tr w:rsidR="00B8290C" w:rsidRPr="008F03E5" w14:paraId="1ACCB535" w14:textId="77777777" w:rsidTr="00F13B0C">
        <w:trPr>
          <w:trHeight w:val="255"/>
          <w:jc w:val="center"/>
        </w:trPr>
        <w:tc>
          <w:tcPr>
            <w:tcW w:w="435" w:type="dxa"/>
            <w:tcBorders>
              <w:top w:val="nil"/>
              <w:left w:val="nil"/>
              <w:bottom w:val="nil"/>
              <w:right w:val="nil"/>
            </w:tcBorders>
            <w:shd w:val="clear" w:color="auto" w:fill="auto"/>
            <w:noWrap/>
            <w:hideMark/>
          </w:tcPr>
          <w:p w14:paraId="249504AC"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12</w:t>
            </w:r>
          </w:p>
        </w:tc>
        <w:tc>
          <w:tcPr>
            <w:tcW w:w="4422" w:type="dxa"/>
            <w:tcBorders>
              <w:top w:val="nil"/>
              <w:left w:val="nil"/>
              <w:bottom w:val="nil"/>
              <w:right w:val="nil"/>
            </w:tcBorders>
            <w:shd w:val="clear" w:color="auto" w:fill="auto"/>
            <w:noWrap/>
            <w:hideMark/>
          </w:tcPr>
          <w:p w14:paraId="03E106FD" w14:textId="77777777" w:rsidR="006828D1" w:rsidRPr="008F03E5" w:rsidRDefault="006828D1" w:rsidP="00F13B0C">
            <w:pPr>
              <w:rPr>
                <w:sz w:val="18"/>
                <w:szCs w:val="18"/>
              </w:rPr>
            </w:pPr>
            <w:r w:rsidRPr="008F03E5">
              <w:rPr>
                <w:sz w:val="18"/>
                <w:szCs w:val="18"/>
              </w:rPr>
              <w:t>Yúsuf</w:t>
            </w:r>
            <w:r w:rsidR="00120AFC" w:rsidRPr="008F03E5">
              <w:rPr>
                <w:sz w:val="18"/>
                <w:szCs w:val="18"/>
              </w:rPr>
              <w:t>—</w:t>
            </w:r>
            <w:r w:rsidRPr="008F03E5">
              <w:rPr>
                <w:sz w:val="18"/>
                <w:szCs w:val="18"/>
              </w:rPr>
              <w:t>Joseph</w:t>
            </w:r>
          </w:p>
        </w:tc>
        <w:tc>
          <w:tcPr>
            <w:tcW w:w="510" w:type="dxa"/>
            <w:tcBorders>
              <w:top w:val="nil"/>
              <w:left w:val="nil"/>
              <w:bottom w:val="nil"/>
              <w:right w:val="nil"/>
            </w:tcBorders>
            <w:shd w:val="clear" w:color="auto" w:fill="auto"/>
            <w:noWrap/>
            <w:hideMark/>
          </w:tcPr>
          <w:p w14:paraId="6AD5DCD8"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69</w:t>
            </w:r>
          </w:p>
        </w:tc>
        <w:tc>
          <w:tcPr>
            <w:tcW w:w="5102" w:type="dxa"/>
            <w:tcBorders>
              <w:top w:val="nil"/>
              <w:left w:val="nil"/>
              <w:bottom w:val="nil"/>
              <w:right w:val="nil"/>
            </w:tcBorders>
            <w:shd w:val="clear" w:color="auto" w:fill="auto"/>
            <w:noWrap/>
            <w:hideMark/>
          </w:tcPr>
          <w:p w14:paraId="29862881" w14:textId="77777777" w:rsidR="006828D1" w:rsidRPr="008F03E5" w:rsidRDefault="006828D1" w:rsidP="00F13B0C">
            <w:pPr>
              <w:rPr>
                <w:sz w:val="18"/>
                <w:szCs w:val="18"/>
              </w:rPr>
            </w:pPr>
            <w:r w:rsidRPr="008F03E5">
              <w:rPr>
                <w:sz w:val="18"/>
                <w:szCs w:val="18"/>
              </w:rPr>
              <w:t>al-Ḥáqqah</w:t>
            </w:r>
            <w:r w:rsidR="00120AFC" w:rsidRPr="008F03E5">
              <w:rPr>
                <w:sz w:val="18"/>
                <w:szCs w:val="18"/>
              </w:rPr>
              <w:t>—</w:t>
            </w:r>
            <w:r w:rsidRPr="008F03E5">
              <w:rPr>
                <w:sz w:val="18"/>
                <w:szCs w:val="18"/>
              </w:rPr>
              <w:t>The reality or The sure reality</w:t>
            </w:r>
          </w:p>
        </w:tc>
      </w:tr>
      <w:tr w:rsidR="00B8290C" w:rsidRPr="008F03E5" w14:paraId="3D680F84" w14:textId="77777777" w:rsidTr="00F13B0C">
        <w:trPr>
          <w:trHeight w:val="255"/>
          <w:jc w:val="center"/>
        </w:trPr>
        <w:tc>
          <w:tcPr>
            <w:tcW w:w="435" w:type="dxa"/>
            <w:tcBorders>
              <w:top w:val="nil"/>
              <w:left w:val="nil"/>
              <w:bottom w:val="nil"/>
              <w:right w:val="nil"/>
            </w:tcBorders>
            <w:shd w:val="clear" w:color="auto" w:fill="auto"/>
            <w:noWrap/>
            <w:hideMark/>
          </w:tcPr>
          <w:p w14:paraId="3A506BA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13</w:t>
            </w:r>
          </w:p>
        </w:tc>
        <w:tc>
          <w:tcPr>
            <w:tcW w:w="4422" w:type="dxa"/>
            <w:tcBorders>
              <w:top w:val="nil"/>
              <w:left w:val="nil"/>
              <w:bottom w:val="nil"/>
              <w:right w:val="nil"/>
            </w:tcBorders>
            <w:shd w:val="clear" w:color="auto" w:fill="auto"/>
            <w:noWrap/>
            <w:hideMark/>
          </w:tcPr>
          <w:p w14:paraId="3A3E9E64" w14:textId="77777777" w:rsidR="006828D1" w:rsidRPr="008F03E5" w:rsidRDefault="006828D1" w:rsidP="00F13B0C">
            <w:pPr>
              <w:rPr>
                <w:sz w:val="18"/>
                <w:szCs w:val="18"/>
              </w:rPr>
            </w:pPr>
            <w:r w:rsidRPr="008F03E5">
              <w:rPr>
                <w:sz w:val="18"/>
                <w:szCs w:val="18"/>
              </w:rPr>
              <w:t>a</w:t>
            </w:r>
            <w:r w:rsidR="00A07EF4" w:rsidRPr="008F03E5">
              <w:rPr>
                <w:sz w:val="18"/>
                <w:szCs w:val="18"/>
              </w:rPr>
              <w:t>r</w:t>
            </w:r>
            <w:r w:rsidRPr="008F03E5">
              <w:rPr>
                <w:sz w:val="18"/>
                <w:szCs w:val="18"/>
              </w:rPr>
              <w:t>-Ra‘d</w:t>
            </w:r>
            <w:r w:rsidR="00120AFC" w:rsidRPr="008F03E5">
              <w:rPr>
                <w:sz w:val="18"/>
                <w:szCs w:val="18"/>
              </w:rPr>
              <w:t>—</w:t>
            </w:r>
            <w:r w:rsidRPr="008F03E5">
              <w:rPr>
                <w:sz w:val="18"/>
                <w:szCs w:val="18"/>
              </w:rPr>
              <w:t>The thunder</w:t>
            </w:r>
          </w:p>
        </w:tc>
        <w:tc>
          <w:tcPr>
            <w:tcW w:w="510" w:type="dxa"/>
            <w:tcBorders>
              <w:top w:val="nil"/>
              <w:left w:val="nil"/>
              <w:bottom w:val="nil"/>
              <w:right w:val="nil"/>
            </w:tcBorders>
            <w:shd w:val="clear" w:color="auto" w:fill="auto"/>
            <w:noWrap/>
            <w:hideMark/>
          </w:tcPr>
          <w:p w14:paraId="0F4F2910"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70</w:t>
            </w:r>
          </w:p>
        </w:tc>
        <w:tc>
          <w:tcPr>
            <w:tcW w:w="5102" w:type="dxa"/>
            <w:tcBorders>
              <w:top w:val="nil"/>
              <w:left w:val="nil"/>
              <w:bottom w:val="nil"/>
              <w:right w:val="nil"/>
            </w:tcBorders>
            <w:shd w:val="clear" w:color="auto" w:fill="auto"/>
            <w:noWrap/>
            <w:hideMark/>
          </w:tcPr>
          <w:p w14:paraId="6AE71045" w14:textId="77777777" w:rsidR="006828D1" w:rsidRPr="008F03E5" w:rsidRDefault="006828D1" w:rsidP="00F13B0C">
            <w:pPr>
              <w:rPr>
                <w:sz w:val="18"/>
                <w:szCs w:val="18"/>
              </w:rPr>
            </w:pPr>
            <w:r w:rsidRPr="008F03E5">
              <w:rPr>
                <w:sz w:val="18"/>
                <w:szCs w:val="18"/>
              </w:rPr>
              <w:t>al-Ma‘árij</w:t>
            </w:r>
            <w:r w:rsidR="00120AFC" w:rsidRPr="008F03E5">
              <w:rPr>
                <w:sz w:val="18"/>
                <w:szCs w:val="18"/>
              </w:rPr>
              <w:t>—</w:t>
            </w:r>
            <w:r w:rsidRPr="008F03E5">
              <w:rPr>
                <w:sz w:val="18"/>
                <w:szCs w:val="18"/>
              </w:rPr>
              <w:t>The ways of ascent or The ascending stairways</w:t>
            </w:r>
          </w:p>
        </w:tc>
      </w:tr>
      <w:tr w:rsidR="00B8290C" w:rsidRPr="008F03E5" w14:paraId="5025D147" w14:textId="77777777" w:rsidTr="00F13B0C">
        <w:trPr>
          <w:trHeight w:val="255"/>
          <w:jc w:val="center"/>
        </w:trPr>
        <w:tc>
          <w:tcPr>
            <w:tcW w:w="435" w:type="dxa"/>
            <w:tcBorders>
              <w:top w:val="nil"/>
              <w:left w:val="nil"/>
              <w:bottom w:val="nil"/>
              <w:right w:val="nil"/>
            </w:tcBorders>
            <w:shd w:val="clear" w:color="auto" w:fill="auto"/>
            <w:noWrap/>
            <w:hideMark/>
          </w:tcPr>
          <w:p w14:paraId="5C281CE2"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14</w:t>
            </w:r>
          </w:p>
        </w:tc>
        <w:tc>
          <w:tcPr>
            <w:tcW w:w="4422" w:type="dxa"/>
            <w:tcBorders>
              <w:top w:val="nil"/>
              <w:left w:val="nil"/>
              <w:bottom w:val="nil"/>
              <w:right w:val="nil"/>
            </w:tcBorders>
            <w:shd w:val="clear" w:color="auto" w:fill="auto"/>
            <w:noWrap/>
            <w:hideMark/>
          </w:tcPr>
          <w:p w14:paraId="09E8F374" w14:textId="77777777" w:rsidR="006828D1" w:rsidRPr="008F03E5" w:rsidRDefault="006828D1" w:rsidP="00F13B0C">
            <w:pPr>
              <w:rPr>
                <w:sz w:val="18"/>
                <w:szCs w:val="18"/>
              </w:rPr>
            </w:pPr>
            <w:r w:rsidRPr="008F03E5">
              <w:rPr>
                <w:sz w:val="18"/>
                <w:szCs w:val="18"/>
              </w:rPr>
              <w:t>al-Ibráhím</w:t>
            </w:r>
            <w:r w:rsidR="00120AFC" w:rsidRPr="008F03E5">
              <w:rPr>
                <w:sz w:val="18"/>
                <w:szCs w:val="18"/>
              </w:rPr>
              <w:t>—</w:t>
            </w:r>
            <w:r w:rsidRPr="008F03E5">
              <w:rPr>
                <w:sz w:val="18"/>
                <w:szCs w:val="18"/>
              </w:rPr>
              <w:t>Abraham</w:t>
            </w:r>
          </w:p>
        </w:tc>
        <w:tc>
          <w:tcPr>
            <w:tcW w:w="510" w:type="dxa"/>
            <w:tcBorders>
              <w:top w:val="nil"/>
              <w:left w:val="nil"/>
              <w:bottom w:val="nil"/>
              <w:right w:val="nil"/>
            </w:tcBorders>
            <w:shd w:val="clear" w:color="auto" w:fill="auto"/>
            <w:noWrap/>
            <w:hideMark/>
          </w:tcPr>
          <w:p w14:paraId="48D06B74"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71</w:t>
            </w:r>
          </w:p>
        </w:tc>
        <w:tc>
          <w:tcPr>
            <w:tcW w:w="5102" w:type="dxa"/>
            <w:tcBorders>
              <w:top w:val="nil"/>
              <w:left w:val="nil"/>
              <w:bottom w:val="nil"/>
              <w:right w:val="nil"/>
            </w:tcBorders>
            <w:shd w:val="clear" w:color="auto" w:fill="auto"/>
            <w:noWrap/>
            <w:hideMark/>
          </w:tcPr>
          <w:p w14:paraId="7EB71176" w14:textId="77777777" w:rsidR="006828D1" w:rsidRPr="008F03E5" w:rsidRDefault="006828D1" w:rsidP="00F13B0C">
            <w:pPr>
              <w:rPr>
                <w:sz w:val="18"/>
                <w:szCs w:val="18"/>
              </w:rPr>
            </w:pPr>
            <w:r w:rsidRPr="008F03E5">
              <w:rPr>
                <w:sz w:val="18"/>
                <w:szCs w:val="18"/>
              </w:rPr>
              <w:t>Núḥ</w:t>
            </w:r>
            <w:r w:rsidR="00120AFC" w:rsidRPr="008F03E5">
              <w:rPr>
                <w:sz w:val="18"/>
                <w:szCs w:val="18"/>
              </w:rPr>
              <w:t>—</w:t>
            </w:r>
            <w:r w:rsidRPr="008F03E5">
              <w:rPr>
                <w:sz w:val="18"/>
                <w:szCs w:val="18"/>
              </w:rPr>
              <w:t>Noah</w:t>
            </w:r>
          </w:p>
        </w:tc>
      </w:tr>
      <w:tr w:rsidR="00B8290C" w:rsidRPr="008F03E5" w14:paraId="515D1E82" w14:textId="77777777" w:rsidTr="00F13B0C">
        <w:trPr>
          <w:trHeight w:val="255"/>
          <w:jc w:val="center"/>
        </w:trPr>
        <w:tc>
          <w:tcPr>
            <w:tcW w:w="435" w:type="dxa"/>
            <w:tcBorders>
              <w:top w:val="nil"/>
              <w:left w:val="nil"/>
              <w:bottom w:val="nil"/>
              <w:right w:val="nil"/>
            </w:tcBorders>
            <w:shd w:val="clear" w:color="auto" w:fill="auto"/>
            <w:noWrap/>
            <w:hideMark/>
          </w:tcPr>
          <w:p w14:paraId="55DA82E8"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15</w:t>
            </w:r>
          </w:p>
        </w:tc>
        <w:tc>
          <w:tcPr>
            <w:tcW w:w="4422" w:type="dxa"/>
            <w:tcBorders>
              <w:top w:val="nil"/>
              <w:left w:val="nil"/>
              <w:bottom w:val="nil"/>
              <w:right w:val="nil"/>
            </w:tcBorders>
            <w:shd w:val="clear" w:color="auto" w:fill="auto"/>
            <w:noWrap/>
            <w:hideMark/>
          </w:tcPr>
          <w:p w14:paraId="3ADCF09F" w14:textId="77777777" w:rsidR="006828D1" w:rsidRPr="008F03E5" w:rsidRDefault="006828D1" w:rsidP="00F13B0C">
            <w:pPr>
              <w:rPr>
                <w:sz w:val="18"/>
                <w:szCs w:val="18"/>
              </w:rPr>
            </w:pPr>
            <w:r w:rsidRPr="008F03E5">
              <w:rPr>
                <w:sz w:val="18"/>
                <w:szCs w:val="18"/>
              </w:rPr>
              <w:t>al-Ḥijr</w:t>
            </w:r>
            <w:r w:rsidR="00120AFC" w:rsidRPr="008F03E5">
              <w:rPr>
                <w:sz w:val="18"/>
                <w:szCs w:val="18"/>
              </w:rPr>
              <w:t>—</w:t>
            </w:r>
            <w:r w:rsidRPr="008F03E5">
              <w:rPr>
                <w:sz w:val="18"/>
                <w:szCs w:val="18"/>
              </w:rPr>
              <w:t>The rock or The rocky tract</w:t>
            </w:r>
          </w:p>
        </w:tc>
        <w:tc>
          <w:tcPr>
            <w:tcW w:w="510" w:type="dxa"/>
            <w:tcBorders>
              <w:top w:val="nil"/>
              <w:left w:val="nil"/>
              <w:bottom w:val="nil"/>
              <w:right w:val="nil"/>
            </w:tcBorders>
            <w:shd w:val="clear" w:color="auto" w:fill="auto"/>
            <w:noWrap/>
            <w:hideMark/>
          </w:tcPr>
          <w:p w14:paraId="4907E4A5"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72</w:t>
            </w:r>
          </w:p>
        </w:tc>
        <w:tc>
          <w:tcPr>
            <w:tcW w:w="5102" w:type="dxa"/>
            <w:tcBorders>
              <w:top w:val="nil"/>
              <w:left w:val="nil"/>
              <w:bottom w:val="nil"/>
              <w:right w:val="nil"/>
            </w:tcBorders>
            <w:shd w:val="clear" w:color="auto" w:fill="auto"/>
            <w:noWrap/>
            <w:hideMark/>
          </w:tcPr>
          <w:p w14:paraId="4EDB6276" w14:textId="77777777" w:rsidR="006828D1" w:rsidRPr="008F03E5" w:rsidRDefault="006828D1" w:rsidP="00F13B0C">
            <w:pPr>
              <w:rPr>
                <w:sz w:val="18"/>
                <w:szCs w:val="18"/>
              </w:rPr>
            </w:pPr>
            <w:r w:rsidRPr="008F03E5">
              <w:rPr>
                <w:sz w:val="18"/>
                <w:szCs w:val="18"/>
              </w:rPr>
              <w:t>Jinn</w:t>
            </w:r>
            <w:r w:rsidR="00120AFC" w:rsidRPr="008F03E5">
              <w:rPr>
                <w:sz w:val="18"/>
                <w:szCs w:val="18"/>
              </w:rPr>
              <w:t>—</w:t>
            </w:r>
            <w:r w:rsidRPr="008F03E5">
              <w:rPr>
                <w:sz w:val="18"/>
                <w:szCs w:val="18"/>
              </w:rPr>
              <w:t>The spirits</w:t>
            </w:r>
          </w:p>
        </w:tc>
      </w:tr>
      <w:tr w:rsidR="00B8290C" w:rsidRPr="008F03E5" w14:paraId="39FFC9B4" w14:textId="77777777" w:rsidTr="00F13B0C">
        <w:trPr>
          <w:trHeight w:val="255"/>
          <w:jc w:val="center"/>
        </w:trPr>
        <w:tc>
          <w:tcPr>
            <w:tcW w:w="435" w:type="dxa"/>
            <w:tcBorders>
              <w:top w:val="nil"/>
              <w:left w:val="nil"/>
              <w:bottom w:val="nil"/>
              <w:right w:val="nil"/>
            </w:tcBorders>
            <w:shd w:val="clear" w:color="auto" w:fill="auto"/>
            <w:noWrap/>
            <w:hideMark/>
          </w:tcPr>
          <w:p w14:paraId="7C6852AA"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16</w:t>
            </w:r>
          </w:p>
        </w:tc>
        <w:tc>
          <w:tcPr>
            <w:tcW w:w="4422" w:type="dxa"/>
            <w:tcBorders>
              <w:top w:val="nil"/>
              <w:left w:val="nil"/>
              <w:bottom w:val="nil"/>
              <w:right w:val="nil"/>
            </w:tcBorders>
            <w:shd w:val="clear" w:color="auto" w:fill="auto"/>
            <w:noWrap/>
            <w:hideMark/>
          </w:tcPr>
          <w:p w14:paraId="4938441C" w14:textId="77777777" w:rsidR="006828D1" w:rsidRPr="008F03E5" w:rsidRDefault="006828D1" w:rsidP="00F13B0C">
            <w:pPr>
              <w:rPr>
                <w:sz w:val="18"/>
                <w:szCs w:val="18"/>
              </w:rPr>
            </w:pPr>
            <w:r w:rsidRPr="008F03E5">
              <w:rPr>
                <w:sz w:val="18"/>
                <w:szCs w:val="18"/>
              </w:rPr>
              <w:t>an-Naḥl</w:t>
            </w:r>
            <w:r w:rsidR="00120AFC" w:rsidRPr="008F03E5">
              <w:rPr>
                <w:sz w:val="18"/>
                <w:szCs w:val="18"/>
              </w:rPr>
              <w:t>—</w:t>
            </w:r>
            <w:r w:rsidRPr="008F03E5">
              <w:rPr>
                <w:sz w:val="18"/>
                <w:szCs w:val="18"/>
              </w:rPr>
              <w:t>The bees</w:t>
            </w:r>
          </w:p>
        </w:tc>
        <w:tc>
          <w:tcPr>
            <w:tcW w:w="510" w:type="dxa"/>
            <w:tcBorders>
              <w:top w:val="nil"/>
              <w:left w:val="nil"/>
              <w:bottom w:val="nil"/>
              <w:right w:val="nil"/>
            </w:tcBorders>
            <w:shd w:val="clear" w:color="auto" w:fill="auto"/>
            <w:noWrap/>
            <w:hideMark/>
          </w:tcPr>
          <w:p w14:paraId="0E99C5D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73</w:t>
            </w:r>
          </w:p>
        </w:tc>
        <w:tc>
          <w:tcPr>
            <w:tcW w:w="5102" w:type="dxa"/>
            <w:tcBorders>
              <w:top w:val="nil"/>
              <w:left w:val="nil"/>
              <w:bottom w:val="nil"/>
              <w:right w:val="nil"/>
            </w:tcBorders>
            <w:shd w:val="clear" w:color="auto" w:fill="auto"/>
            <w:noWrap/>
            <w:hideMark/>
          </w:tcPr>
          <w:p w14:paraId="3C483AAD" w14:textId="77777777" w:rsidR="006828D1" w:rsidRPr="008F03E5" w:rsidRDefault="006828D1" w:rsidP="00F13B0C">
            <w:pPr>
              <w:rPr>
                <w:sz w:val="18"/>
                <w:szCs w:val="18"/>
              </w:rPr>
            </w:pPr>
            <w:r w:rsidRPr="008F03E5">
              <w:rPr>
                <w:sz w:val="18"/>
                <w:szCs w:val="18"/>
              </w:rPr>
              <w:t>al-Muzzammil</w:t>
            </w:r>
            <w:r w:rsidR="00120AFC" w:rsidRPr="008F03E5">
              <w:rPr>
                <w:sz w:val="18"/>
                <w:szCs w:val="18"/>
              </w:rPr>
              <w:t>—</w:t>
            </w:r>
            <w:r w:rsidRPr="008F03E5">
              <w:rPr>
                <w:sz w:val="18"/>
                <w:szCs w:val="18"/>
              </w:rPr>
              <w:t>The enfolded one or The enshrouded one</w:t>
            </w:r>
          </w:p>
        </w:tc>
      </w:tr>
      <w:tr w:rsidR="00B8290C" w:rsidRPr="008F03E5" w14:paraId="5A148AA7" w14:textId="77777777" w:rsidTr="00F13B0C">
        <w:trPr>
          <w:trHeight w:val="255"/>
          <w:jc w:val="center"/>
        </w:trPr>
        <w:tc>
          <w:tcPr>
            <w:tcW w:w="435" w:type="dxa"/>
            <w:tcBorders>
              <w:top w:val="nil"/>
              <w:left w:val="nil"/>
              <w:bottom w:val="nil"/>
              <w:right w:val="nil"/>
            </w:tcBorders>
            <w:shd w:val="clear" w:color="auto" w:fill="auto"/>
            <w:noWrap/>
            <w:hideMark/>
          </w:tcPr>
          <w:p w14:paraId="24E9C37A"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17</w:t>
            </w:r>
          </w:p>
        </w:tc>
        <w:tc>
          <w:tcPr>
            <w:tcW w:w="4422" w:type="dxa"/>
            <w:tcBorders>
              <w:top w:val="nil"/>
              <w:left w:val="nil"/>
              <w:bottom w:val="nil"/>
              <w:right w:val="nil"/>
            </w:tcBorders>
            <w:shd w:val="clear" w:color="auto" w:fill="auto"/>
            <w:noWrap/>
            <w:hideMark/>
          </w:tcPr>
          <w:p w14:paraId="36FCE4EE" w14:textId="77777777" w:rsidR="006828D1" w:rsidRPr="008F03E5" w:rsidRDefault="006828D1" w:rsidP="00F13B0C">
            <w:pPr>
              <w:rPr>
                <w:sz w:val="18"/>
                <w:szCs w:val="18"/>
              </w:rPr>
            </w:pPr>
            <w:r w:rsidRPr="008F03E5">
              <w:rPr>
                <w:sz w:val="18"/>
                <w:szCs w:val="18"/>
              </w:rPr>
              <w:t>al-Isra’ or Baní Isrá’íl</w:t>
            </w:r>
            <w:r w:rsidR="00120AFC" w:rsidRPr="008F03E5">
              <w:rPr>
                <w:sz w:val="18"/>
                <w:szCs w:val="18"/>
              </w:rPr>
              <w:t>—</w:t>
            </w:r>
            <w:r w:rsidRPr="008F03E5">
              <w:rPr>
                <w:sz w:val="18"/>
                <w:szCs w:val="18"/>
              </w:rPr>
              <w:t>The night journey</w:t>
            </w:r>
            <w:r w:rsidR="00B8290C" w:rsidRPr="008F03E5">
              <w:rPr>
                <w:sz w:val="18"/>
                <w:szCs w:val="18"/>
              </w:rPr>
              <w:t xml:space="preserve"> </w:t>
            </w:r>
            <w:r w:rsidRPr="008F03E5">
              <w:rPr>
                <w:sz w:val="18"/>
                <w:szCs w:val="18"/>
              </w:rPr>
              <w:t>or The children of Israel</w:t>
            </w:r>
          </w:p>
        </w:tc>
        <w:tc>
          <w:tcPr>
            <w:tcW w:w="510" w:type="dxa"/>
            <w:tcBorders>
              <w:top w:val="nil"/>
              <w:left w:val="nil"/>
              <w:bottom w:val="nil"/>
              <w:right w:val="nil"/>
            </w:tcBorders>
            <w:shd w:val="clear" w:color="auto" w:fill="auto"/>
            <w:noWrap/>
            <w:hideMark/>
          </w:tcPr>
          <w:p w14:paraId="1EE74E7D"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74</w:t>
            </w:r>
          </w:p>
        </w:tc>
        <w:tc>
          <w:tcPr>
            <w:tcW w:w="5102" w:type="dxa"/>
            <w:tcBorders>
              <w:top w:val="nil"/>
              <w:left w:val="nil"/>
              <w:bottom w:val="nil"/>
              <w:right w:val="nil"/>
            </w:tcBorders>
            <w:shd w:val="clear" w:color="auto" w:fill="auto"/>
            <w:noWrap/>
            <w:hideMark/>
          </w:tcPr>
          <w:p w14:paraId="2ABAC496"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al-Mudda</w:t>
            </w:r>
            <w:r w:rsidRPr="008F03E5">
              <w:rPr>
                <w:sz w:val="18"/>
                <w:szCs w:val="18"/>
                <w:u w:val="single"/>
              </w:rPr>
              <w:t>thth</w:t>
            </w:r>
            <w:r w:rsidRPr="008F03E5">
              <w:rPr>
                <w:sz w:val="18"/>
                <w:szCs w:val="18"/>
              </w:rPr>
              <w:t>ir</w:t>
            </w:r>
            <w:r w:rsidR="00120AFC" w:rsidRPr="008F03E5">
              <w:rPr>
                <w:sz w:val="18"/>
                <w:szCs w:val="18"/>
              </w:rPr>
              <w:t>—</w:t>
            </w:r>
            <w:r w:rsidRPr="008F03E5">
              <w:rPr>
                <w:sz w:val="18"/>
                <w:szCs w:val="18"/>
              </w:rPr>
              <w:t>The one wrapped up</w:t>
            </w:r>
            <w:r w:rsidR="00B8290C" w:rsidRPr="008F03E5">
              <w:rPr>
                <w:sz w:val="18"/>
                <w:szCs w:val="18"/>
              </w:rPr>
              <w:t xml:space="preserve"> </w:t>
            </w:r>
            <w:r w:rsidRPr="008F03E5">
              <w:rPr>
                <w:sz w:val="18"/>
                <w:szCs w:val="18"/>
              </w:rPr>
              <w:t>or The cloaked one</w:t>
            </w:r>
          </w:p>
        </w:tc>
      </w:tr>
      <w:tr w:rsidR="00B8290C" w:rsidRPr="008F03E5" w14:paraId="59A791AA" w14:textId="77777777" w:rsidTr="00F13B0C">
        <w:trPr>
          <w:trHeight w:val="255"/>
          <w:jc w:val="center"/>
        </w:trPr>
        <w:tc>
          <w:tcPr>
            <w:tcW w:w="435" w:type="dxa"/>
            <w:tcBorders>
              <w:top w:val="nil"/>
              <w:left w:val="nil"/>
              <w:bottom w:val="nil"/>
              <w:right w:val="nil"/>
            </w:tcBorders>
            <w:shd w:val="clear" w:color="auto" w:fill="auto"/>
            <w:noWrap/>
            <w:hideMark/>
          </w:tcPr>
          <w:p w14:paraId="6118128A"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18</w:t>
            </w:r>
          </w:p>
        </w:tc>
        <w:tc>
          <w:tcPr>
            <w:tcW w:w="4422" w:type="dxa"/>
            <w:tcBorders>
              <w:top w:val="nil"/>
              <w:left w:val="nil"/>
              <w:bottom w:val="nil"/>
              <w:right w:val="nil"/>
            </w:tcBorders>
            <w:shd w:val="clear" w:color="auto" w:fill="auto"/>
            <w:noWrap/>
            <w:hideMark/>
          </w:tcPr>
          <w:p w14:paraId="738C2B38" w14:textId="77777777" w:rsidR="006828D1" w:rsidRPr="008F03E5" w:rsidRDefault="006828D1" w:rsidP="00F13B0C">
            <w:pPr>
              <w:rPr>
                <w:sz w:val="18"/>
                <w:szCs w:val="18"/>
              </w:rPr>
            </w:pPr>
            <w:r w:rsidRPr="008F03E5">
              <w:rPr>
                <w:sz w:val="18"/>
                <w:szCs w:val="18"/>
              </w:rPr>
              <w:t>al-Kahf</w:t>
            </w:r>
            <w:r w:rsidR="00120AFC" w:rsidRPr="008F03E5">
              <w:rPr>
                <w:sz w:val="18"/>
                <w:szCs w:val="18"/>
              </w:rPr>
              <w:t>—</w:t>
            </w:r>
            <w:r w:rsidRPr="008F03E5">
              <w:rPr>
                <w:sz w:val="18"/>
                <w:szCs w:val="18"/>
              </w:rPr>
              <w:t>The cave</w:t>
            </w:r>
          </w:p>
        </w:tc>
        <w:tc>
          <w:tcPr>
            <w:tcW w:w="510" w:type="dxa"/>
            <w:tcBorders>
              <w:top w:val="nil"/>
              <w:left w:val="nil"/>
              <w:bottom w:val="nil"/>
              <w:right w:val="nil"/>
            </w:tcBorders>
            <w:shd w:val="clear" w:color="auto" w:fill="auto"/>
            <w:noWrap/>
            <w:hideMark/>
          </w:tcPr>
          <w:p w14:paraId="6363038B"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75</w:t>
            </w:r>
          </w:p>
        </w:tc>
        <w:tc>
          <w:tcPr>
            <w:tcW w:w="5102" w:type="dxa"/>
            <w:tcBorders>
              <w:top w:val="nil"/>
              <w:left w:val="nil"/>
              <w:bottom w:val="nil"/>
              <w:right w:val="nil"/>
            </w:tcBorders>
            <w:shd w:val="clear" w:color="auto" w:fill="auto"/>
            <w:noWrap/>
            <w:hideMark/>
          </w:tcPr>
          <w:p w14:paraId="688BE39B" w14:textId="77777777" w:rsidR="006828D1" w:rsidRPr="008F03E5" w:rsidRDefault="006828D1" w:rsidP="00F13B0C">
            <w:pPr>
              <w:rPr>
                <w:sz w:val="18"/>
                <w:szCs w:val="18"/>
              </w:rPr>
            </w:pPr>
            <w:r w:rsidRPr="008F03E5">
              <w:rPr>
                <w:sz w:val="18"/>
                <w:szCs w:val="18"/>
              </w:rPr>
              <w:t>al-Qiyáma</w:t>
            </w:r>
            <w:r w:rsidR="00120AFC" w:rsidRPr="008F03E5">
              <w:rPr>
                <w:sz w:val="18"/>
                <w:szCs w:val="18"/>
              </w:rPr>
              <w:t>—</w:t>
            </w:r>
            <w:r w:rsidRPr="008F03E5">
              <w:rPr>
                <w:sz w:val="18"/>
                <w:szCs w:val="18"/>
              </w:rPr>
              <w:t>The resurrection</w:t>
            </w:r>
          </w:p>
        </w:tc>
      </w:tr>
      <w:tr w:rsidR="00B8290C" w:rsidRPr="008F03E5" w14:paraId="3C3F4BEA" w14:textId="77777777" w:rsidTr="00F13B0C">
        <w:trPr>
          <w:trHeight w:val="255"/>
          <w:jc w:val="center"/>
        </w:trPr>
        <w:tc>
          <w:tcPr>
            <w:tcW w:w="435" w:type="dxa"/>
            <w:tcBorders>
              <w:top w:val="nil"/>
              <w:left w:val="nil"/>
              <w:bottom w:val="nil"/>
              <w:right w:val="nil"/>
            </w:tcBorders>
            <w:shd w:val="clear" w:color="auto" w:fill="auto"/>
            <w:noWrap/>
            <w:hideMark/>
          </w:tcPr>
          <w:p w14:paraId="0C8C173B"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19</w:t>
            </w:r>
          </w:p>
        </w:tc>
        <w:tc>
          <w:tcPr>
            <w:tcW w:w="4422" w:type="dxa"/>
            <w:tcBorders>
              <w:top w:val="nil"/>
              <w:left w:val="nil"/>
              <w:bottom w:val="nil"/>
              <w:right w:val="nil"/>
            </w:tcBorders>
            <w:shd w:val="clear" w:color="auto" w:fill="auto"/>
            <w:noWrap/>
            <w:hideMark/>
          </w:tcPr>
          <w:p w14:paraId="7563D832" w14:textId="77777777" w:rsidR="006828D1" w:rsidRPr="008F03E5" w:rsidRDefault="006828D1" w:rsidP="00F13B0C">
            <w:pPr>
              <w:rPr>
                <w:sz w:val="18"/>
                <w:szCs w:val="18"/>
              </w:rPr>
            </w:pPr>
            <w:r w:rsidRPr="008F03E5">
              <w:rPr>
                <w:sz w:val="18"/>
                <w:szCs w:val="18"/>
              </w:rPr>
              <w:t>Maryam</w:t>
            </w:r>
            <w:r w:rsidR="00120AFC" w:rsidRPr="008F03E5">
              <w:rPr>
                <w:sz w:val="18"/>
                <w:szCs w:val="18"/>
              </w:rPr>
              <w:t>—</w:t>
            </w:r>
            <w:r w:rsidRPr="008F03E5">
              <w:rPr>
                <w:sz w:val="18"/>
                <w:szCs w:val="18"/>
              </w:rPr>
              <w:t>Mary</w:t>
            </w:r>
          </w:p>
        </w:tc>
        <w:tc>
          <w:tcPr>
            <w:tcW w:w="510" w:type="dxa"/>
            <w:tcBorders>
              <w:top w:val="nil"/>
              <w:left w:val="nil"/>
              <w:bottom w:val="nil"/>
              <w:right w:val="nil"/>
            </w:tcBorders>
            <w:shd w:val="clear" w:color="auto" w:fill="auto"/>
            <w:noWrap/>
            <w:hideMark/>
          </w:tcPr>
          <w:p w14:paraId="1269E4F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76</w:t>
            </w:r>
          </w:p>
        </w:tc>
        <w:tc>
          <w:tcPr>
            <w:tcW w:w="5102" w:type="dxa"/>
            <w:tcBorders>
              <w:top w:val="nil"/>
              <w:left w:val="nil"/>
              <w:bottom w:val="nil"/>
              <w:right w:val="nil"/>
            </w:tcBorders>
            <w:shd w:val="clear" w:color="auto" w:fill="auto"/>
            <w:noWrap/>
            <w:hideMark/>
          </w:tcPr>
          <w:p w14:paraId="038263E7" w14:textId="77777777" w:rsidR="006828D1" w:rsidRPr="008F03E5" w:rsidRDefault="006828D1" w:rsidP="00F13B0C">
            <w:pPr>
              <w:rPr>
                <w:sz w:val="18"/>
                <w:szCs w:val="18"/>
              </w:rPr>
            </w:pPr>
            <w:r w:rsidRPr="008F03E5">
              <w:rPr>
                <w:sz w:val="18"/>
                <w:szCs w:val="18"/>
              </w:rPr>
              <w:t>al-Insán or ad-Dahr</w:t>
            </w:r>
            <w:r w:rsidR="00120AFC" w:rsidRPr="008F03E5">
              <w:rPr>
                <w:sz w:val="18"/>
                <w:szCs w:val="18"/>
              </w:rPr>
              <w:t>—</w:t>
            </w:r>
            <w:r w:rsidRPr="008F03E5">
              <w:rPr>
                <w:sz w:val="18"/>
                <w:szCs w:val="18"/>
              </w:rPr>
              <w:t>The man or The time</w:t>
            </w:r>
          </w:p>
        </w:tc>
      </w:tr>
      <w:tr w:rsidR="00B8290C" w:rsidRPr="008F03E5" w14:paraId="41886F43" w14:textId="77777777" w:rsidTr="00F13B0C">
        <w:trPr>
          <w:trHeight w:val="255"/>
          <w:jc w:val="center"/>
        </w:trPr>
        <w:tc>
          <w:tcPr>
            <w:tcW w:w="435" w:type="dxa"/>
            <w:tcBorders>
              <w:top w:val="nil"/>
              <w:left w:val="nil"/>
              <w:bottom w:val="nil"/>
              <w:right w:val="nil"/>
            </w:tcBorders>
            <w:shd w:val="clear" w:color="auto" w:fill="auto"/>
            <w:noWrap/>
            <w:hideMark/>
          </w:tcPr>
          <w:p w14:paraId="63503648"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20</w:t>
            </w:r>
          </w:p>
        </w:tc>
        <w:tc>
          <w:tcPr>
            <w:tcW w:w="4422" w:type="dxa"/>
            <w:tcBorders>
              <w:top w:val="nil"/>
              <w:left w:val="nil"/>
              <w:bottom w:val="nil"/>
              <w:right w:val="nil"/>
            </w:tcBorders>
            <w:shd w:val="clear" w:color="auto" w:fill="auto"/>
            <w:noWrap/>
            <w:hideMark/>
          </w:tcPr>
          <w:p w14:paraId="173F660A" w14:textId="69364CC4" w:rsidR="006828D1" w:rsidRPr="008F03E5" w:rsidRDefault="006828D1" w:rsidP="004C2200">
            <w:pPr>
              <w:rPr>
                <w:sz w:val="18"/>
                <w:szCs w:val="18"/>
              </w:rPr>
            </w:pPr>
            <w:r w:rsidRPr="008F03E5">
              <w:rPr>
                <w:sz w:val="18"/>
                <w:szCs w:val="18"/>
              </w:rPr>
              <w:t>Ṭá</w:t>
            </w:r>
            <w:r w:rsidR="00E022EC" w:rsidRPr="008F03E5">
              <w:rPr>
                <w:sz w:val="18"/>
                <w:szCs w:val="18"/>
              </w:rPr>
              <w:t>’</w:t>
            </w:r>
            <w:r w:rsidRPr="008F03E5">
              <w:rPr>
                <w:sz w:val="18"/>
                <w:szCs w:val="18"/>
              </w:rPr>
              <w:t xml:space="preserve"> </w:t>
            </w:r>
            <w:r w:rsidR="004C2200" w:rsidRPr="008F03E5">
              <w:rPr>
                <w:sz w:val="18"/>
                <w:szCs w:val="18"/>
              </w:rPr>
              <w:t>H</w:t>
            </w:r>
            <w:r w:rsidRPr="008F03E5">
              <w:rPr>
                <w:sz w:val="18"/>
                <w:szCs w:val="18"/>
              </w:rPr>
              <w:t>á’</w:t>
            </w:r>
            <w:r w:rsidR="00120AFC" w:rsidRPr="008F03E5">
              <w:rPr>
                <w:sz w:val="18"/>
                <w:szCs w:val="18"/>
              </w:rPr>
              <w:t>—</w:t>
            </w:r>
            <w:r w:rsidRPr="008F03E5">
              <w:rPr>
                <w:sz w:val="18"/>
                <w:szCs w:val="18"/>
              </w:rPr>
              <w:t>Ṭá</w:t>
            </w:r>
            <w:r w:rsidR="00E022EC" w:rsidRPr="008F03E5">
              <w:rPr>
                <w:sz w:val="18"/>
                <w:szCs w:val="18"/>
              </w:rPr>
              <w:t>’</w:t>
            </w:r>
            <w:r w:rsidRPr="008F03E5">
              <w:rPr>
                <w:sz w:val="18"/>
                <w:szCs w:val="18"/>
              </w:rPr>
              <w:t xml:space="preserve"> </w:t>
            </w:r>
            <w:r w:rsidR="004C2200" w:rsidRPr="008F03E5">
              <w:rPr>
                <w:sz w:val="18"/>
                <w:szCs w:val="18"/>
              </w:rPr>
              <w:t>H</w:t>
            </w:r>
            <w:r w:rsidRPr="008F03E5">
              <w:rPr>
                <w:sz w:val="18"/>
                <w:szCs w:val="18"/>
              </w:rPr>
              <w:t>á</w:t>
            </w:r>
            <w:r w:rsidR="00205A16" w:rsidRPr="008F03E5">
              <w:rPr>
                <w:sz w:val="18"/>
                <w:szCs w:val="18"/>
              </w:rPr>
              <w:t>’</w:t>
            </w:r>
          </w:p>
        </w:tc>
        <w:tc>
          <w:tcPr>
            <w:tcW w:w="510" w:type="dxa"/>
            <w:tcBorders>
              <w:top w:val="nil"/>
              <w:left w:val="nil"/>
              <w:bottom w:val="nil"/>
              <w:right w:val="nil"/>
            </w:tcBorders>
            <w:shd w:val="clear" w:color="auto" w:fill="auto"/>
            <w:noWrap/>
            <w:hideMark/>
          </w:tcPr>
          <w:p w14:paraId="763A471A"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77</w:t>
            </w:r>
          </w:p>
        </w:tc>
        <w:tc>
          <w:tcPr>
            <w:tcW w:w="5102" w:type="dxa"/>
            <w:tcBorders>
              <w:top w:val="nil"/>
              <w:left w:val="nil"/>
              <w:bottom w:val="nil"/>
              <w:right w:val="nil"/>
            </w:tcBorders>
            <w:shd w:val="clear" w:color="auto" w:fill="auto"/>
            <w:noWrap/>
            <w:hideMark/>
          </w:tcPr>
          <w:p w14:paraId="34C69680" w14:textId="77777777" w:rsidR="006828D1" w:rsidRPr="008F03E5" w:rsidRDefault="006828D1" w:rsidP="00F13B0C">
            <w:pPr>
              <w:rPr>
                <w:sz w:val="18"/>
                <w:szCs w:val="18"/>
              </w:rPr>
            </w:pPr>
            <w:r w:rsidRPr="008F03E5">
              <w:rPr>
                <w:sz w:val="18"/>
                <w:szCs w:val="18"/>
              </w:rPr>
              <w:t>al-Mursalát</w:t>
            </w:r>
            <w:r w:rsidR="00120AFC" w:rsidRPr="008F03E5">
              <w:rPr>
                <w:sz w:val="18"/>
                <w:szCs w:val="18"/>
              </w:rPr>
              <w:t>—</w:t>
            </w:r>
            <w:r w:rsidRPr="008F03E5">
              <w:rPr>
                <w:sz w:val="18"/>
                <w:szCs w:val="18"/>
              </w:rPr>
              <w:t>Those sent forth or The emissaries</w:t>
            </w:r>
          </w:p>
        </w:tc>
      </w:tr>
      <w:tr w:rsidR="00B8290C" w:rsidRPr="008F03E5" w14:paraId="1681B85E" w14:textId="77777777" w:rsidTr="00F13B0C">
        <w:trPr>
          <w:trHeight w:val="255"/>
          <w:jc w:val="center"/>
        </w:trPr>
        <w:tc>
          <w:tcPr>
            <w:tcW w:w="435" w:type="dxa"/>
            <w:tcBorders>
              <w:top w:val="nil"/>
              <w:left w:val="nil"/>
              <w:bottom w:val="nil"/>
              <w:right w:val="nil"/>
            </w:tcBorders>
            <w:shd w:val="clear" w:color="auto" w:fill="auto"/>
            <w:noWrap/>
            <w:hideMark/>
          </w:tcPr>
          <w:p w14:paraId="2A21311D"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21</w:t>
            </w:r>
          </w:p>
        </w:tc>
        <w:tc>
          <w:tcPr>
            <w:tcW w:w="4422" w:type="dxa"/>
            <w:tcBorders>
              <w:top w:val="nil"/>
              <w:left w:val="nil"/>
              <w:bottom w:val="nil"/>
              <w:right w:val="nil"/>
            </w:tcBorders>
            <w:shd w:val="clear" w:color="auto" w:fill="auto"/>
            <w:noWrap/>
            <w:hideMark/>
          </w:tcPr>
          <w:p w14:paraId="5665DBDB" w14:textId="77777777" w:rsidR="006828D1" w:rsidRPr="008F03E5" w:rsidRDefault="006828D1" w:rsidP="00F13B0C">
            <w:pPr>
              <w:rPr>
                <w:sz w:val="18"/>
                <w:szCs w:val="18"/>
              </w:rPr>
            </w:pPr>
            <w:r w:rsidRPr="008F03E5">
              <w:rPr>
                <w:sz w:val="18"/>
                <w:szCs w:val="18"/>
              </w:rPr>
              <w:t>al-Anbiyá’</w:t>
            </w:r>
            <w:r w:rsidR="00120AFC" w:rsidRPr="008F03E5">
              <w:rPr>
                <w:sz w:val="18"/>
                <w:szCs w:val="18"/>
              </w:rPr>
              <w:t>—</w:t>
            </w:r>
            <w:r w:rsidRPr="008F03E5">
              <w:rPr>
                <w:sz w:val="18"/>
                <w:szCs w:val="18"/>
              </w:rPr>
              <w:t>The Prophets</w:t>
            </w:r>
          </w:p>
        </w:tc>
        <w:tc>
          <w:tcPr>
            <w:tcW w:w="510" w:type="dxa"/>
            <w:tcBorders>
              <w:top w:val="nil"/>
              <w:left w:val="nil"/>
              <w:bottom w:val="nil"/>
              <w:right w:val="nil"/>
            </w:tcBorders>
            <w:shd w:val="clear" w:color="auto" w:fill="auto"/>
            <w:noWrap/>
            <w:hideMark/>
          </w:tcPr>
          <w:p w14:paraId="1CB054DA"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78</w:t>
            </w:r>
          </w:p>
        </w:tc>
        <w:tc>
          <w:tcPr>
            <w:tcW w:w="5102" w:type="dxa"/>
            <w:tcBorders>
              <w:top w:val="nil"/>
              <w:left w:val="nil"/>
              <w:bottom w:val="nil"/>
              <w:right w:val="nil"/>
            </w:tcBorders>
            <w:shd w:val="clear" w:color="auto" w:fill="auto"/>
            <w:noWrap/>
            <w:hideMark/>
          </w:tcPr>
          <w:p w14:paraId="33B3DF13" w14:textId="77777777" w:rsidR="006828D1" w:rsidRPr="008F03E5" w:rsidRDefault="006828D1" w:rsidP="00F13B0C">
            <w:pPr>
              <w:rPr>
                <w:sz w:val="18"/>
                <w:szCs w:val="18"/>
              </w:rPr>
            </w:pPr>
            <w:r w:rsidRPr="008F03E5">
              <w:rPr>
                <w:sz w:val="18"/>
                <w:szCs w:val="18"/>
              </w:rPr>
              <w:t>an-Naba’</w:t>
            </w:r>
            <w:r w:rsidR="00120AFC" w:rsidRPr="008F03E5">
              <w:rPr>
                <w:sz w:val="18"/>
                <w:szCs w:val="18"/>
              </w:rPr>
              <w:t>—</w:t>
            </w:r>
            <w:r w:rsidRPr="008F03E5">
              <w:rPr>
                <w:sz w:val="18"/>
                <w:szCs w:val="18"/>
              </w:rPr>
              <w:t>The great news, The announcement or The tidings</w:t>
            </w:r>
          </w:p>
        </w:tc>
      </w:tr>
      <w:tr w:rsidR="00B8290C" w:rsidRPr="008F03E5" w14:paraId="2007E3A1" w14:textId="77777777" w:rsidTr="00F13B0C">
        <w:trPr>
          <w:trHeight w:val="255"/>
          <w:jc w:val="center"/>
        </w:trPr>
        <w:tc>
          <w:tcPr>
            <w:tcW w:w="435" w:type="dxa"/>
            <w:tcBorders>
              <w:top w:val="nil"/>
              <w:left w:val="nil"/>
              <w:bottom w:val="nil"/>
              <w:right w:val="nil"/>
            </w:tcBorders>
            <w:shd w:val="clear" w:color="auto" w:fill="auto"/>
            <w:noWrap/>
            <w:hideMark/>
          </w:tcPr>
          <w:p w14:paraId="098AA72C"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22</w:t>
            </w:r>
          </w:p>
        </w:tc>
        <w:tc>
          <w:tcPr>
            <w:tcW w:w="4422" w:type="dxa"/>
            <w:tcBorders>
              <w:top w:val="nil"/>
              <w:left w:val="nil"/>
              <w:bottom w:val="nil"/>
              <w:right w:val="nil"/>
            </w:tcBorders>
            <w:shd w:val="clear" w:color="auto" w:fill="auto"/>
            <w:noWrap/>
            <w:hideMark/>
          </w:tcPr>
          <w:p w14:paraId="273BFF3B" w14:textId="77777777" w:rsidR="006828D1" w:rsidRPr="008F03E5" w:rsidRDefault="006828D1" w:rsidP="00F13B0C">
            <w:pPr>
              <w:rPr>
                <w:sz w:val="18"/>
                <w:szCs w:val="18"/>
              </w:rPr>
            </w:pPr>
            <w:r w:rsidRPr="008F03E5">
              <w:rPr>
                <w:sz w:val="18"/>
                <w:szCs w:val="18"/>
              </w:rPr>
              <w:t>al-Ḥájj</w:t>
            </w:r>
            <w:r w:rsidR="00120AFC" w:rsidRPr="008F03E5">
              <w:rPr>
                <w:sz w:val="18"/>
                <w:szCs w:val="18"/>
              </w:rPr>
              <w:t>—</w:t>
            </w:r>
            <w:r w:rsidRPr="008F03E5">
              <w:rPr>
                <w:sz w:val="18"/>
                <w:szCs w:val="18"/>
              </w:rPr>
              <w:t>The pilgrimage</w:t>
            </w:r>
          </w:p>
        </w:tc>
        <w:tc>
          <w:tcPr>
            <w:tcW w:w="510" w:type="dxa"/>
            <w:tcBorders>
              <w:top w:val="nil"/>
              <w:left w:val="nil"/>
              <w:bottom w:val="nil"/>
              <w:right w:val="nil"/>
            </w:tcBorders>
            <w:shd w:val="clear" w:color="auto" w:fill="auto"/>
            <w:noWrap/>
            <w:hideMark/>
          </w:tcPr>
          <w:p w14:paraId="43BB2F68"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79</w:t>
            </w:r>
          </w:p>
        </w:tc>
        <w:tc>
          <w:tcPr>
            <w:tcW w:w="5102" w:type="dxa"/>
            <w:tcBorders>
              <w:top w:val="nil"/>
              <w:left w:val="nil"/>
              <w:bottom w:val="nil"/>
              <w:right w:val="nil"/>
            </w:tcBorders>
            <w:shd w:val="clear" w:color="auto" w:fill="auto"/>
            <w:noWrap/>
            <w:hideMark/>
          </w:tcPr>
          <w:p w14:paraId="7F1692BA" w14:textId="77777777" w:rsidR="006828D1" w:rsidRPr="008F03E5" w:rsidRDefault="006828D1" w:rsidP="00F13B0C">
            <w:pPr>
              <w:rPr>
                <w:sz w:val="18"/>
                <w:szCs w:val="18"/>
              </w:rPr>
            </w:pPr>
            <w:r w:rsidRPr="008F03E5">
              <w:rPr>
                <w:sz w:val="18"/>
                <w:szCs w:val="18"/>
              </w:rPr>
              <w:t>an-Názi‘át</w:t>
            </w:r>
            <w:r w:rsidR="00120AFC" w:rsidRPr="008F03E5">
              <w:rPr>
                <w:sz w:val="18"/>
                <w:szCs w:val="18"/>
              </w:rPr>
              <w:t>—</w:t>
            </w:r>
            <w:r w:rsidRPr="008F03E5">
              <w:rPr>
                <w:sz w:val="18"/>
                <w:szCs w:val="18"/>
              </w:rPr>
              <w:t>Those who tear out or Those who drag forth</w:t>
            </w:r>
          </w:p>
        </w:tc>
      </w:tr>
      <w:tr w:rsidR="00B8290C" w:rsidRPr="008F03E5" w14:paraId="54D03280" w14:textId="77777777" w:rsidTr="00F13B0C">
        <w:trPr>
          <w:trHeight w:val="255"/>
          <w:jc w:val="center"/>
        </w:trPr>
        <w:tc>
          <w:tcPr>
            <w:tcW w:w="435" w:type="dxa"/>
            <w:tcBorders>
              <w:top w:val="nil"/>
              <w:left w:val="nil"/>
              <w:bottom w:val="nil"/>
              <w:right w:val="nil"/>
            </w:tcBorders>
            <w:shd w:val="clear" w:color="auto" w:fill="auto"/>
            <w:noWrap/>
            <w:hideMark/>
          </w:tcPr>
          <w:p w14:paraId="69B46D47"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23</w:t>
            </w:r>
          </w:p>
        </w:tc>
        <w:tc>
          <w:tcPr>
            <w:tcW w:w="4422" w:type="dxa"/>
            <w:tcBorders>
              <w:top w:val="nil"/>
              <w:left w:val="nil"/>
              <w:bottom w:val="nil"/>
              <w:right w:val="nil"/>
            </w:tcBorders>
            <w:shd w:val="clear" w:color="auto" w:fill="auto"/>
            <w:noWrap/>
            <w:hideMark/>
          </w:tcPr>
          <w:p w14:paraId="49D13C2C" w14:textId="77777777" w:rsidR="006828D1" w:rsidRPr="008F03E5" w:rsidRDefault="006828D1" w:rsidP="00F13B0C">
            <w:pPr>
              <w:rPr>
                <w:sz w:val="18"/>
                <w:szCs w:val="18"/>
              </w:rPr>
            </w:pPr>
            <w:r w:rsidRPr="008F03E5">
              <w:rPr>
                <w:sz w:val="18"/>
                <w:szCs w:val="18"/>
              </w:rPr>
              <w:t>al-Mu</w:t>
            </w:r>
            <w:r w:rsidR="00FC200B" w:rsidRPr="008F03E5">
              <w:rPr>
                <w:sz w:val="18"/>
                <w:szCs w:val="18"/>
              </w:rPr>
              <w:t>’</w:t>
            </w:r>
            <w:r w:rsidRPr="008F03E5">
              <w:rPr>
                <w:sz w:val="18"/>
                <w:szCs w:val="18"/>
              </w:rPr>
              <w:t>minún</w:t>
            </w:r>
            <w:r w:rsidR="00120AFC" w:rsidRPr="008F03E5">
              <w:rPr>
                <w:sz w:val="18"/>
                <w:szCs w:val="18"/>
              </w:rPr>
              <w:t>—</w:t>
            </w:r>
            <w:r w:rsidRPr="008F03E5">
              <w:rPr>
                <w:sz w:val="18"/>
                <w:szCs w:val="18"/>
              </w:rPr>
              <w:t>The believers</w:t>
            </w:r>
          </w:p>
        </w:tc>
        <w:tc>
          <w:tcPr>
            <w:tcW w:w="510" w:type="dxa"/>
            <w:tcBorders>
              <w:top w:val="nil"/>
              <w:left w:val="nil"/>
              <w:bottom w:val="nil"/>
              <w:right w:val="nil"/>
            </w:tcBorders>
            <w:shd w:val="clear" w:color="auto" w:fill="auto"/>
            <w:noWrap/>
            <w:hideMark/>
          </w:tcPr>
          <w:p w14:paraId="7AFE35BA"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80</w:t>
            </w:r>
          </w:p>
        </w:tc>
        <w:tc>
          <w:tcPr>
            <w:tcW w:w="5102" w:type="dxa"/>
            <w:tcBorders>
              <w:top w:val="nil"/>
              <w:left w:val="nil"/>
              <w:bottom w:val="nil"/>
              <w:right w:val="nil"/>
            </w:tcBorders>
            <w:shd w:val="clear" w:color="auto" w:fill="auto"/>
            <w:noWrap/>
            <w:hideMark/>
          </w:tcPr>
          <w:p w14:paraId="0560274C" w14:textId="77777777" w:rsidR="006828D1" w:rsidRPr="008F03E5" w:rsidRDefault="006828D1" w:rsidP="00F13B0C">
            <w:pPr>
              <w:rPr>
                <w:sz w:val="18"/>
                <w:szCs w:val="18"/>
              </w:rPr>
            </w:pPr>
            <w:r w:rsidRPr="008F03E5">
              <w:rPr>
                <w:sz w:val="18"/>
                <w:szCs w:val="18"/>
              </w:rPr>
              <w:t>al-‘Abasa</w:t>
            </w:r>
            <w:r w:rsidR="00120AFC" w:rsidRPr="008F03E5">
              <w:rPr>
                <w:sz w:val="18"/>
                <w:szCs w:val="18"/>
              </w:rPr>
              <w:t>—</w:t>
            </w:r>
            <w:r w:rsidRPr="008F03E5">
              <w:rPr>
                <w:sz w:val="18"/>
                <w:szCs w:val="18"/>
              </w:rPr>
              <w:t>He frowned</w:t>
            </w:r>
          </w:p>
        </w:tc>
      </w:tr>
      <w:tr w:rsidR="00B8290C" w:rsidRPr="008F03E5" w14:paraId="008EEED6" w14:textId="77777777" w:rsidTr="00F13B0C">
        <w:trPr>
          <w:trHeight w:val="255"/>
          <w:jc w:val="center"/>
        </w:trPr>
        <w:tc>
          <w:tcPr>
            <w:tcW w:w="435" w:type="dxa"/>
            <w:tcBorders>
              <w:top w:val="nil"/>
              <w:left w:val="nil"/>
              <w:bottom w:val="nil"/>
              <w:right w:val="nil"/>
            </w:tcBorders>
            <w:shd w:val="clear" w:color="auto" w:fill="auto"/>
            <w:noWrap/>
            <w:hideMark/>
          </w:tcPr>
          <w:p w14:paraId="522E3290"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24</w:t>
            </w:r>
          </w:p>
        </w:tc>
        <w:tc>
          <w:tcPr>
            <w:tcW w:w="4422" w:type="dxa"/>
            <w:tcBorders>
              <w:top w:val="nil"/>
              <w:left w:val="nil"/>
              <w:bottom w:val="nil"/>
              <w:right w:val="nil"/>
            </w:tcBorders>
            <w:shd w:val="clear" w:color="auto" w:fill="auto"/>
            <w:noWrap/>
            <w:hideMark/>
          </w:tcPr>
          <w:p w14:paraId="5156A4E3" w14:textId="77777777" w:rsidR="006828D1" w:rsidRPr="008F03E5" w:rsidRDefault="006828D1" w:rsidP="00F13B0C">
            <w:pPr>
              <w:rPr>
                <w:sz w:val="18"/>
                <w:szCs w:val="18"/>
              </w:rPr>
            </w:pPr>
            <w:r w:rsidRPr="008F03E5">
              <w:rPr>
                <w:sz w:val="18"/>
                <w:szCs w:val="18"/>
              </w:rPr>
              <w:t>an-Núr</w:t>
            </w:r>
            <w:r w:rsidR="00120AFC" w:rsidRPr="008F03E5">
              <w:rPr>
                <w:sz w:val="18"/>
                <w:szCs w:val="18"/>
              </w:rPr>
              <w:t>—</w:t>
            </w:r>
            <w:r w:rsidRPr="008F03E5">
              <w:rPr>
                <w:sz w:val="18"/>
                <w:szCs w:val="18"/>
              </w:rPr>
              <w:t>The light</w:t>
            </w:r>
          </w:p>
        </w:tc>
        <w:tc>
          <w:tcPr>
            <w:tcW w:w="510" w:type="dxa"/>
            <w:tcBorders>
              <w:top w:val="nil"/>
              <w:left w:val="nil"/>
              <w:bottom w:val="nil"/>
              <w:right w:val="nil"/>
            </w:tcBorders>
            <w:shd w:val="clear" w:color="auto" w:fill="auto"/>
            <w:noWrap/>
            <w:hideMark/>
          </w:tcPr>
          <w:p w14:paraId="04008BD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81</w:t>
            </w:r>
          </w:p>
        </w:tc>
        <w:tc>
          <w:tcPr>
            <w:tcW w:w="5102" w:type="dxa"/>
            <w:tcBorders>
              <w:top w:val="nil"/>
              <w:left w:val="nil"/>
              <w:bottom w:val="nil"/>
              <w:right w:val="nil"/>
            </w:tcBorders>
            <w:shd w:val="clear" w:color="auto" w:fill="auto"/>
            <w:noWrap/>
            <w:hideMark/>
          </w:tcPr>
          <w:p w14:paraId="24021FE9" w14:textId="77777777" w:rsidR="006828D1" w:rsidRPr="008F03E5" w:rsidRDefault="006828D1" w:rsidP="00F13B0C">
            <w:pPr>
              <w:rPr>
                <w:sz w:val="18"/>
                <w:szCs w:val="18"/>
              </w:rPr>
            </w:pPr>
            <w:r w:rsidRPr="008F03E5">
              <w:rPr>
                <w:sz w:val="18"/>
                <w:szCs w:val="18"/>
              </w:rPr>
              <w:t>at-Takwír</w:t>
            </w:r>
            <w:r w:rsidR="00120AFC" w:rsidRPr="008F03E5">
              <w:rPr>
                <w:sz w:val="18"/>
                <w:szCs w:val="18"/>
              </w:rPr>
              <w:t>—</w:t>
            </w:r>
            <w:r w:rsidRPr="008F03E5">
              <w:rPr>
                <w:sz w:val="18"/>
                <w:szCs w:val="18"/>
              </w:rPr>
              <w:t>The folding up or The overthrowing</w:t>
            </w:r>
          </w:p>
        </w:tc>
      </w:tr>
      <w:tr w:rsidR="00B8290C" w:rsidRPr="008F03E5" w14:paraId="0A74842C" w14:textId="77777777" w:rsidTr="00F13B0C">
        <w:trPr>
          <w:trHeight w:val="255"/>
          <w:jc w:val="center"/>
        </w:trPr>
        <w:tc>
          <w:tcPr>
            <w:tcW w:w="435" w:type="dxa"/>
            <w:tcBorders>
              <w:top w:val="nil"/>
              <w:left w:val="nil"/>
              <w:bottom w:val="nil"/>
              <w:right w:val="nil"/>
            </w:tcBorders>
            <w:shd w:val="clear" w:color="auto" w:fill="auto"/>
            <w:noWrap/>
            <w:hideMark/>
          </w:tcPr>
          <w:p w14:paraId="066D3C45"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25</w:t>
            </w:r>
          </w:p>
        </w:tc>
        <w:tc>
          <w:tcPr>
            <w:tcW w:w="4422" w:type="dxa"/>
            <w:tcBorders>
              <w:top w:val="nil"/>
              <w:left w:val="nil"/>
              <w:bottom w:val="nil"/>
              <w:right w:val="nil"/>
            </w:tcBorders>
            <w:shd w:val="clear" w:color="auto" w:fill="auto"/>
            <w:noWrap/>
            <w:hideMark/>
          </w:tcPr>
          <w:p w14:paraId="27ADE335" w14:textId="77777777" w:rsidR="006828D1" w:rsidRPr="008F03E5" w:rsidRDefault="006828D1" w:rsidP="00F13B0C">
            <w:pPr>
              <w:rPr>
                <w:sz w:val="18"/>
                <w:szCs w:val="18"/>
              </w:rPr>
            </w:pPr>
            <w:r w:rsidRPr="008F03E5">
              <w:rPr>
                <w:sz w:val="18"/>
                <w:szCs w:val="18"/>
              </w:rPr>
              <w:t>al-Furqán</w:t>
            </w:r>
            <w:r w:rsidR="00120AFC" w:rsidRPr="008F03E5">
              <w:rPr>
                <w:sz w:val="18"/>
                <w:szCs w:val="18"/>
              </w:rPr>
              <w:t>—</w:t>
            </w:r>
            <w:r w:rsidRPr="008F03E5">
              <w:rPr>
                <w:sz w:val="18"/>
                <w:szCs w:val="18"/>
              </w:rPr>
              <w:t>The criterion</w:t>
            </w:r>
          </w:p>
        </w:tc>
        <w:tc>
          <w:tcPr>
            <w:tcW w:w="510" w:type="dxa"/>
            <w:tcBorders>
              <w:top w:val="nil"/>
              <w:left w:val="nil"/>
              <w:bottom w:val="nil"/>
              <w:right w:val="nil"/>
            </w:tcBorders>
            <w:shd w:val="clear" w:color="auto" w:fill="auto"/>
            <w:noWrap/>
            <w:hideMark/>
          </w:tcPr>
          <w:p w14:paraId="54F239CF"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82</w:t>
            </w:r>
          </w:p>
        </w:tc>
        <w:tc>
          <w:tcPr>
            <w:tcW w:w="5102" w:type="dxa"/>
            <w:tcBorders>
              <w:top w:val="nil"/>
              <w:left w:val="nil"/>
              <w:bottom w:val="nil"/>
              <w:right w:val="nil"/>
            </w:tcBorders>
            <w:shd w:val="clear" w:color="auto" w:fill="auto"/>
            <w:noWrap/>
            <w:hideMark/>
          </w:tcPr>
          <w:p w14:paraId="6BA094AC" w14:textId="77777777" w:rsidR="006828D1" w:rsidRPr="008F03E5" w:rsidRDefault="006828D1" w:rsidP="00F13B0C">
            <w:pPr>
              <w:rPr>
                <w:sz w:val="18"/>
                <w:szCs w:val="18"/>
              </w:rPr>
            </w:pPr>
            <w:r w:rsidRPr="008F03E5">
              <w:rPr>
                <w:sz w:val="18"/>
                <w:szCs w:val="18"/>
              </w:rPr>
              <w:t>al-Infiṭár</w:t>
            </w:r>
            <w:r w:rsidR="00120AFC" w:rsidRPr="008F03E5">
              <w:rPr>
                <w:sz w:val="18"/>
                <w:szCs w:val="18"/>
              </w:rPr>
              <w:t>—</w:t>
            </w:r>
            <w:r w:rsidRPr="008F03E5">
              <w:rPr>
                <w:sz w:val="18"/>
                <w:szCs w:val="18"/>
              </w:rPr>
              <w:t>The Cleaving or The cleaving asunder</w:t>
            </w:r>
          </w:p>
        </w:tc>
      </w:tr>
      <w:tr w:rsidR="00B8290C" w:rsidRPr="008F03E5" w14:paraId="79F8DD14" w14:textId="77777777" w:rsidTr="00F13B0C">
        <w:trPr>
          <w:trHeight w:val="255"/>
          <w:jc w:val="center"/>
        </w:trPr>
        <w:tc>
          <w:tcPr>
            <w:tcW w:w="435" w:type="dxa"/>
            <w:tcBorders>
              <w:top w:val="nil"/>
              <w:left w:val="nil"/>
              <w:bottom w:val="nil"/>
              <w:right w:val="nil"/>
            </w:tcBorders>
            <w:shd w:val="clear" w:color="auto" w:fill="auto"/>
            <w:noWrap/>
            <w:hideMark/>
          </w:tcPr>
          <w:p w14:paraId="32FF3EDD"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26</w:t>
            </w:r>
          </w:p>
        </w:tc>
        <w:tc>
          <w:tcPr>
            <w:tcW w:w="4422" w:type="dxa"/>
            <w:tcBorders>
              <w:top w:val="nil"/>
              <w:left w:val="nil"/>
              <w:bottom w:val="nil"/>
              <w:right w:val="nil"/>
            </w:tcBorders>
            <w:shd w:val="clear" w:color="auto" w:fill="auto"/>
            <w:noWrap/>
            <w:hideMark/>
          </w:tcPr>
          <w:p w14:paraId="051B6494" w14:textId="77777777" w:rsidR="006828D1" w:rsidRPr="008F03E5" w:rsidRDefault="006828D1" w:rsidP="00F13B0C">
            <w:pPr>
              <w:rPr>
                <w:sz w:val="18"/>
                <w:szCs w:val="18"/>
                <w14:numSpacing w14:val="tabular"/>
              </w:rPr>
            </w:pPr>
            <w:r w:rsidRPr="008F03E5">
              <w:rPr>
                <w:sz w:val="18"/>
                <w:szCs w:val="18"/>
              </w:rPr>
              <w:t>a</w:t>
            </w:r>
            <w:r w:rsidRPr="008F03E5">
              <w:rPr>
                <w:sz w:val="18"/>
                <w:szCs w:val="18"/>
                <w:u w:val="single"/>
              </w:rPr>
              <w:t>sh</w:t>
            </w:r>
            <w:r w:rsidRPr="008F03E5">
              <w:rPr>
                <w:sz w:val="18"/>
                <w:szCs w:val="18"/>
              </w:rPr>
              <w:t>-</w:t>
            </w:r>
            <w:r w:rsidRPr="008F03E5">
              <w:rPr>
                <w:sz w:val="18"/>
                <w:szCs w:val="18"/>
                <w:u w:val="single"/>
              </w:rPr>
              <w:t>Sh</w:t>
            </w:r>
            <w:r w:rsidRPr="008F03E5">
              <w:rPr>
                <w:sz w:val="18"/>
                <w:szCs w:val="18"/>
              </w:rPr>
              <w:t>u’ará’</w:t>
            </w:r>
            <w:r w:rsidR="00120AFC" w:rsidRPr="008F03E5">
              <w:rPr>
                <w:sz w:val="18"/>
                <w:szCs w:val="18"/>
              </w:rPr>
              <w:t>—</w:t>
            </w:r>
            <w:r w:rsidRPr="008F03E5">
              <w:rPr>
                <w:sz w:val="18"/>
                <w:szCs w:val="18"/>
              </w:rPr>
              <w:t>The poets</w:t>
            </w:r>
          </w:p>
        </w:tc>
        <w:tc>
          <w:tcPr>
            <w:tcW w:w="510" w:type="dxa"/>
            <w:tcBorders>
              <w:top w:val="nil"/>
              <w:left w:val="nil"/>
              <w:bottom w:val="nil"/>
              <w:right w:val="nil"/>
            </w:tcBorders>
            <w:shd w:val="clear" w:color="auto" w:fill="auto"/>
            <w:noWrap/>
            <w:hideMark/>
          </w:tcPr>
          <w:p w14:paraId="06EE2F67"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83</w:t>
            </w:r>
          </w:p>
        </w:tc>
        <w:tc>
          <w:tcPr>
            <w:tcW w:w="5102" w:type="dxa"/>
            <w:tcBorders>
              <w:top w:val="nil"/>
              <w:left w:val="nil"/>
              <w:bottom w:val="nil"/>
              <w:right w:val="nil"/>
            </w:tcBorders>
            <w:shd w:val="clear" w:color="auto" w:fill="auto"/>
            <w:noWrap/>
            <w:hideMark/>
          </w:tcPr>
          <w:p w14:paraId="7A9D2748" w14:textId="18AE011F" w:rsidR="006828D1" w:rsidRPr="008F03E5" w:rsidRDefault="006828D1" w:rsidP="00F13B0C">
            <w:pPr>
              <w:rPr>
                <w:sz w:val="18"/>
                <w:szCs w:val="18"/>
              </w:rPr>
            </w:pPr>
            <w:r w:rsidRPr="008F03E5">
              <w:rPr>
                <w:sz w:val="18"/>
                <w:szCs w:val="18"/>
              </w:rPr>
              <w:t>al-Mu</w:t>
            </w:r>
            <w:r w:rsidR="004F5215" w:rsidRPr="008F03E5">
              <w:rPr>
                <w:sz w:val="18"/>
                <w:szCs w:val="18"/>
              </w:rPr>
              <w:t>ṭ</w:t>
            </w:r>
            <w:r w:rsidRPr="008F03E5">
              <w:rPr>
                <w:sz w:val="18"/>
                <w:szCs w:val="18"/>
              </w:rPr>
              <w:t>affifín</w:t>
            </w:r>
            <w:r w:rsidR="00120AFC" w:rsidRPr="008F03E5">
              <w:rPr>
                <w:sz w:val="18"/>
                <w:szCs w:val="18"/>
              </w:rPr>
              <w:t>—</w:t>
            </w:r>
            <w:r w:rsidRPr="008F03E5">
              <w:rPr>
                <w:sz w:val="18"/>
                <w:szCs w:val="18"/>
              </w:rPr>
              <w:t>The defrauding or The dealers in fraud</w:t>
            </w:r>
          </w:p>
        </w:tc>
      </w:tr>
      <w:tr w:rsidR="00B8290C" w:rsidRPr="008F03E5" w14:paraId="260F2510" w14:textId="77777777" w:rsidTr="00F13B0C">
        <w:trPr>
          <w:trHeight w:val="255"/>
          <w:jc w:val="center"/>
        </w:trPr>
        <w:tc>
          <w:tcPr>
            <w:tcW w:w="435" w:type="dxa"/>
            <w:tcBorders>
              <w:top w:val="nil"/>
              <w:left w:val="nil"/>
              <w:bottom w:val="nil"/>
              <w:right w:val="nil"/>
            </w:tcBorders>
            <w:shd w:val="clear" w:color="auto" w:fill="auto"/>
            <w:noWrap/>
            <w:hideMark/>
          </w:tcPr>
          <w:p w14:paraId="5B464612"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27</w:t>
            </w:r>
          </w:p>
        </w:tc>
        <w:tc>
          <w:tcPr>
            <w:tcW w:w="4422" w:type="dxa"/>
            <w:tcBorders>
              <w:top w:val="nil"/>
              <w:left w:val="nil"/>
              <w:bottom w:val="nil"/>
              <w:right w:val="nil"/>
            </w:tcBorders>
            <w:shd w:val="clear" w:color="auto" w:fill="auto"/>
            <w:noWrap/>
            <w:hideMark/>
          </w:tcPr>
          <w:p w14:paraId="31FAF97B" w14:textId="77777777" w:rsidR="006828D1" w:rsidRPr="008F03E5" w:rsidRDefault="006828D1" w:rsidP="00F13B0C">
            <w:pPr>
              <w:rPr>
                <w:sz w:val="18"/>
                <w:szCs w:val="18"/>
              </w:rPr>
            </w:pPr>
            <w:r w:rsidRPr="008F03E5">
              <w:rPr>
                <w:sz w:val="18"/>
                <w:szCs w:val="18"/>
              </w:rPr>
              <w:t>an-Naml</w:t>
            </w:r>
            <w:r w:rsidR="00120AFC" w:rsidRPr="008F03E5">
              <w:rPr>
                <w:sz w:val="18"/>
                <w:szCs w:val="18"/>
              </w:rPr>
              <w:t>—</w:t>
            </w:r>
            <w:r w:rsidRPr="008F03E5">
              <w:rPr>
                <w:sz w:val="18"/>
                <w:szCs w:val="18"/>
              </w:rPr>
              <w:t>The ant</w:t>
            </w:r>
          </w:p>
        </w:tc>
        <w:tc>
          <w:tcPr>
            <w:tcW w:w="510" w:type="dxa"/>
            <w:tcBorders>
              <w:top w:val="nil"/>
              <w:left w:val="nil"/>
              <w:bottom w:val="nil"/>
              <w:right w:val="nil"/>
            </w:tcBorders>
            <w:shd w:val="clear" w:color="auto" w:fill="auto"/>
            <w:noWrap/>
            <w:hideMark/>
          </w:tcPr>
          <w:p w14:paraId="0441AE77"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84</w:t>
            </w:r>
          </w:p>
        </w:tc>
        <w:tc>
          <w:tcPr>
            <w:tcW w:w="5102" w:type="dxa"/>
            <w:tcBorders>
              <w:top w:val="nil"/>
              <w:left w:val="nil"/>
              <w:bottom w:val="nil"/>
              <w:right w:val="nil"/>
            </w:tcBorders>
            <w:shd w:val="clear" w:color="auto" w:fill="auto"/>
            <w:noWrap/>
            <w:hideMark/>
          </w:tcPr>
          <w:p w14:paraId="66CEC958"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al-In</w:t>
            </w:r>
            <w:r w:rsidRPr="008F03E5">
              <w:rPr>
                <w:sz w:val="18"/>
                <w:szCs w:val="18"/>
                <w:u w:val="single"/>
              </w:rPr>
              <w:t>sh</w:t>
            </w:r>
            <w:r w:rsidRPr="008F03E5">
              <w:rPr>
                <w:sz w:val="18"/>
                <w:szCs w:val="18"/>
              </w:rPr>
              <w:t>iqáq</w:t>
            </w:r>
            <w:r w:rsidR="00120AFC" w:rsidRPr="008F03E5">
              <w:rPr>
                <w:sz w:val="18"/>
                <w:szCs w:val="18"/>
              </w:rPr>
              <w:t>—</w:t>
            </w:r>
            <w:r w:rsidRPr="008F03E5">
              <w:rPr>
                <w:sz w:val="18"/>
                <w:szCs w:val="18"/>
              </w:rPr>
              <w:t>The sundering or The rending asunder</w:t>
            </w:r>
          </w:p>
        </w:tc>
      </w:tr>
      <w:tr w:rsidR="00B8290C" w:rsidRPr="008F03E5" w14:paraId="46824DDB" w14:textId="77777777" w:rsidTr="00F13B0C">
        <w:trPr>
          <w:trHeight w:val="255"/>
          <w:jc w:val="center"/>
        </w:trPr>
        <w:tc>
          <w:tcPr>
            <w:tcW w:w="435" w:type="dxa"/>
            <w:tcBorders>
              <w:top w:val="nil"/>
              <w:left w:val="nil"/>
              <w:bottom w:val="nil"/>
              <w:right w:val="nil"/>
            </w:tcBorders>
            <w:shd w:val="clear" w:color="auto" w:fill="auto"/>
            <w:noWrap/>
            <w:hideMark/>
          </w:tcPr>
          <w:p w14:paraId="2E0DA67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28</w:t>
            </w:r>
          </w:p>
        </w:tc>
        <w:tc>
          <w:tcPr>
            <w:tcW w:w="4422" w:type="dxa"/>
            <w:tcBorders>
              <w:top w:val="nil"/>
              <w:left w:val="nil"/>
              <w:bottom w:val="nil"/>
              <w:right w:val="nil"/>
            </w:tcBorders>
            <w:shd w:val="clear" w:color="auto" w:fill="auto"/>
            <w:noWrap/>
            <w:hideMark/>
          </w:tcPr>
          <w:p w14:paraId="5CB7D9ED" w14:textId="77777777" w:rsidR="006828D1" w:rsidRPr="008F03E5" w:rsidRDefault="006828D1" w:rsidP="00F13B0C">
            <w:pPr>
              <w:rPr>
                <w:sz w:val="18"/>
                <w:szCs w:val="18"/>
              </w:rPr>
            </w:pPr>
            <w:r w:rsidRPr="008F03E5">
              <w:rPr>
                <w:sz w:val="18"/>
                <w:szCs w:val="18"/>
              </w:rPr>
              <w:t>al-Qaṣaṣ</w:t>
            </w:r>
            <w:r w:rsidR="00120AFC" w:rsidRPr="008F03E5">
              <w:rPr>
                <w:sz w:val="18"/>
                <w:szCs w:val="18"/>
              </w:rPr>
              <w:t>—</w:t>
            </w:r>
            <w:r w:rsidRPr="008F03E5">
              <w:rPr>
                <w:sz w:val="18"/>
                <w:szCs w:val="18"/>
              </w:rPr>
              <w:t>The story or The narrative</w:t>
            </w:r>
          </w:p>
        </w:tc>
        <w:tc>
          <w:tcPr>
            <w:tcW w:w="510" w:type="dxa"/>
            <w:tcBorders>
              <w:top w:val="nil"/>
              <w:left w:val="nil"/>
              <w:bottom w:val="nil"/>
              <w:right w:val="nil"/>
            </w:tcBorders>
            <w:shd w:val="clear" w:color="auto" w:fill="auto"/>
            <w:noWrap/>
            <w:hideMark/>
          </w:tcPr>
          <w:p w14:paraId="143049DE"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85</w:t>
            </w:r>
          </w:p>
        </w:tc>
        <w:tc>
          <w:tcPr>
            <w:tcW w:w="5102" w:type="dxa"/>
            <w:tcBorders>
              <w:top w:val="nil"/>
              <w:left w:val="nil"/>
              <w:bottom w:val="nil"/>
              <w:right w:val="nil"/>
            </w:tcBorders>
            <w:shd w:val="clear" w:color="auto" w:fill="auto"/>
            <w:noWrap/>
            <w:hideMark/>
          </w:tcPr>
          <w:p w14:paraId="1B8E8B4A" w14:textId="77777777" w:rsidR="006828D1" w:rsidRPr="008F03E5" w:rsidRDefault="006828D1" w:rsidP="00F13B0C">
            <w:pPr>
              <w:rPr>
                <w:sz w:val="18"/>
                <w:szCs w:val="18"/>
              </w:rPr>
            </w:pPr>
            <w:r w:rsidRPr="008F03E5">
              <w:rPr>
                <w:sz w:val="18"/>
                <w:szCs w:val="18"/>
              </w:rPr>
              <w:t>al-Burúj</w:t>
            </w:r>
            <w:r w:rsidR="00120AFC" w:rsidRPr="008F03E5">
              <w:rPr>
                <w:sz w:val="18"/>
                <w:szCs w:val="18"/>
              </w:rPr>
              <w:t>—</w:t>
            </w:r>
            <w:r w:rsidRPr="008F03E5">
              <w:rPr>
                <w:sz w:val="18"/>
                <w:szCs w:val="18"/>
              </w:rPr>
              <w:t>The constellations or The mansions of the stars</w:t>
            </w:r>
          </w:p>
        </w:tc>
      </w:tr>
      <w:tr w:rsidR="00B8290C" w:rsidRPr="008F03E5" w14:paraId="02591D91" w14:textId="77777777" w:rsidTr="00F13B0C">
        <w:trPr>
          <w:trHeight w:val="255"/>
          <w:jc w:val="center"/>
        </w:trPr>
        <w:tc>
          <w:tcPr>
            <w:tcW w:w="435" w:type="dxa"/>
            <w:tcBorders>
              <w:top w:val="nil"/>
              <w:left w:val="nil"/>
              <w:bottom w:val="nil"/>
              <w:right w:val="nil"/>
            </w:tcBorders>
            <w:shd w:val="clear" w:color="auto" w:fill="auto"/>
            <w:noWrap/>
            <w:hideMark/>
          </w:tcPr>
          <w:p w14:paraId="0FF1985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29</w:t>
            </w:r>
          </w:p>
        </w:tc>
        <w:tc>
          <w:tcPr>
            <w:tcW w:w="4422" w:type="dxa"/>
            <w:tcBorders>
              <w:top w:val="nil"/>
              <w:left w:val="nil"/>
              <w:bottom w:val="nil"/>
              <w:right w:val="nil"/>
            </w:tcBorders>
            <w:shd w:val="clear" w:color="auto" w:fill="auto"/>
            <w:noWrap/>
            <w:hideMark/>
          </w:tcPr>
          <w:p w14:paraId="426DE38C" w14:textId="77777777" w:rsidR="006828D1" w:rsidRPr="008F03E5" w:rsidRDefault="006828D1" w:rsidP="00F13B0C">
            <w:pPr>
              <w:rPr>
                <w:sz w:val="18"/>
                <w:szCs w:val="18"/>
              </w:rPr>
            </w:pPr>
            <w:r w:rsidRPr="008F03E5">
              <w:rPr>
                <w:sz w:val="18"/>
                <w:szCs w:val="18"/>
              </w:rPr>
              <w:t>al-‘Ankabút</w:t>
            </w:r>
            <w:r w:rsidR="00120AFC" w:rsidRPr="008F03E5">
              <w:rPr>
                <w:sz w:val="18"/>
                <w:szCs w:val="18"/>
              </w:rPr>
              <w:t>—</w:t>
            </w:r>
            <w:r w:rsidRPr="008F03E5">
              <w:rPr>
                <w:sz w:val="18"/>
                <w:szCs w:val="18"/>
              </w:rPr>
              <w:t>The spider</w:t>
            </w:r>
          </w:p>
        </w:tc>
        <w:tc>
          <w:tcPr>
            <w:tcW w:w="510" w:type="dxa"/>
            <w:tcBorders>
              <w:top w:val="nil"/>
              <w:left w:val="nil"/>
              <w:bottom w:val="nil"/>
              <w:right w:val="nil"/>
            </w:tcBorders>
            <w:shd w:val="clear" w:color="auto" w:fill="auto"/>
            <w:noWrap/>
            <w:hideMark/>
          </w:tcPr>
          <w:p w14:paraId="0CBF5691"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86</w:t>
            </w:r>
          </w:p>
        </w:tc>
        <w:tc>
          <w:tcPr>
            <w:tcW w:w="5102" w:type="dxa"/>
            <w:tcBorders>
              <w:top w:val="nil"/>
              <w:left w:val="nil"/>
              <w:bottom w:val="nil"/>
              <w:right w:val="nil"/>
            </w:tcBorders>
            <w:shd w:val="clear" w:color="auto" w:fill="auto"/>
            <w:noWrap/>
            <w:hideMark/>
          </w:tcPr>
          <w:p w14:paraId="2368B0F3" w14:textId="77777777" w:rsidR="006828D1" w:rsidRPr="008F03E5" w:rsidRDefault="006828D1" w:rsidP="00F13B0C">
            <w:pPr>
              <w:rPr>
                <w:sz w:val="18"/>
                <w:szCs w:val="18"/>
              </w:rPr>
            </w:pPr>
            <w:r w:rsidRPr="008F03E5">
              <w:rPr>
                <w:sz w:val="18"/>
                <w:szCs w:val="18"/>
              </w:rPr>
              <w:t>aṭ-Ṭaríq</w:t>
            </w:r>
            <w:r w:rsidR="00120AFC" w:rsidRPr="008F03E5">
              <w:rPr>
                <w:sz w:val="18"/>
                <w:szCs w:val="18"/>
              </w:rPr>
              <w:t>—</w:t>
            </w:r>
            <w:r w:rsidRPr="008F03E5">
              <w:rPr>
                <w:sz w:val="18"/>
                <w:szCs w:val="18"/>
              </w:rPr>
              <w:t>The night star or The one who arrives at night</w:t>
            </w:r>
          </w:p>
        </w:tc>
      </w:tr>
      <w:tr w:rsidR="00B8290C" w:rsidRPr="008F03E5" w14:paraId="34CF8E60" w14:textId="77777777" w:rsidTr="00F13B0C">
        <w:trPr>
          <w:trHeight w:val="255"/>
          <w:jc w:val="center"/>
        </w:trPr>
        <w:tc>
          <w:tcPr>
            <w:tcW w:w="435" w:type="dxa"/>
            <w:tcBorders>
              <w:top w:val="nil"/>
              <w:left w:val="nil"/>
              <w:bottom w:val="nil"/>
              <w:right w:val="nil"/>
            </w:tcBorders>
            <w:shd w:val="clear" w:color="auto" w:fill="auto"/>
            <w:noWrap/>
            <w:hideMark/>
          </w:tcPr>
          <w:p w14:paraId="2FCFFB80"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30</w:t>
            </w:r>
          </w:p>
        </w:tc>
        <w:tc>
          <w:tcPr>
            <w:tcW w:w="4422" w:type="dxa"/>
            <w:tcBorders>
              <w:top w:val="nil"/>
              <w:left w:val="nil"/>
              <w:bottom w:val="nil"/>
              <w:right w:val="nil"/>
            </w:tcBorders>
            <w:shd w:val="clear" w:color="auto" w:fill="auto"/>
            <w:noWrap/>
            <w:hideMark/>
          </w:tcPr>
          <w:p w14:paraId="58F01D57" w14:textId="77777777" w:rsidR="006828D1" w:rsidRPr="008F03E5" w:rsidRDefault="006828D1" w:rsidP="00F13B0C">
            <w:pPr>
              <w:rPr>
                <w:sz w:val="18"/>
                <w:szCs w:val="18"/>
              </w:rPr>
            </w:pPr>
            <w:r w:rsidRPr="008F03E5">
              <w:rPr>
                <w:sz w:val="18"/>
                <w:szCs w:val="18"/>
              </w:rPr>
              <w:t>ar-Rúm</w:t>
            </w:r>
            <w:r w:rsidR="00120AFC" w:rsidRPr="008F03E5">
              <w:rPr>
                <w:sz w:val="18"/>
                <w:szCs w:val="18"/>
              </w:rPr>
              <w:t>—</w:t>
            </w:r>
            <w:r w:rsidRPr="008F03E5">
              <w:rPr>
                <w:sz w:val="18"/>
                <w:szCs w:val="18"/>
              </w:rPr>
              <w:t>The Romans</w:t>
            </w:r>
          </w:p>
        </w:tc>
        <w:tc>
          <w:tcPr>
            <w:tcW w:w="510" w:type="dxa"/>
            <w:tcBorders>
              <w:top w:val="nil"/>
              <w:left w:val="nil"/>
              <w:bottom w:val="nil"/>
              <w:right w:val="nil"/>
            </w:tcBorders>
            <w:shd w:val="clear" w:color="auto" w:fill="auto"/>
            <w:noWrap/>
            <w:hideMark/>
          </w:tcPr>
          <w:p w14:paraId="0EA27A29"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87</w:t>
            </w:r>
          </w:p>
        </w:tc>
        <w:tc>
          <w:tcPr>
            <w:tcW w:w="5102" w:type="dxa"/>
            <w:tcBorders>
              <w:top w:val="nil"/>
              <w:left w:val="nil"/>
              <w:bottom w:val="nil"/>
              <w:right w:val="nil"/>
            </w:tcBorders>
            <w:shd w:val="clear" w:color="auto" w:fill="auto"/>
            <w:noWrap/>
            <w:hideMark/>
          </w:tcPr>
          <w:p w14:paraId="0A352B6C" w14:textId="77777777" w:rsidR="006828D1" w:rsidRPr="008F03E5" w:rsidRDefault="006828D1" w:rsidP="00F13B0C">
            <w:pPr>
              <w:rPr>
                <w:sz w:val="18"/>
                <w:szCs w:val="18"/>
              </w:rPr>
            </w:pPr>
            <w:r w:rsidRPr="008F03E5">
              <w:rPr>
                <w:sz w:val="18"/>
                <w:szCs w:val="18"/>
              </w:rPr>
              <w:t>al-A‘lá</w:t>
            </w:r>
            <w:r w:rsidR="00120AFC" w:rsidRPr="008F03E5">
              <w:rPr>
                <w:sz w:val="18"/>
                <w:szCs w:val="18"/>
              </w:rPr>
              <w:t>—</w:t>
            </w:r>
            <w:r w:rsidRPr="008F03E5">
              <w:rPr>
                <w:sz w:val="18"/>
                <w:szCs w:val="18"/>
              </w:rPr>
              <w:t>The Most High</w:t>
            </w:r>
          </w:p>
        </w:tc>
      </w:tr>
      <w:tr w:rsidR="00B8290C" w:rsidRPr="008F03E5" w14:paraId="4FEEDDAF" w14:textId="77777777" w:rsidTr="00F13B0C">
        <w:trPr>
          <w:trHeight w:val="255"/>
          <w:jc w:val="center"/>
        </w:trPr>
        <w:tc>
          <w:tcPr>
            <w:tcW w:w="435" w:type="dxa"/>
            <w:tcBorders>
              <w:top w:val="nil"/>
              <w:left w:val="nil"/>
              <w:bottom w:val="nil"/>
              <w:right w:val="nil"/>
            </w:tcBorders>
            <w:shd w:val="clear" w:color="auto" w:fill="auto"/>
            <w:noWrap/>
            <w:hideMark/>
          </w:tcPr>
          <w:p w14:paraId="1995BEF0"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31</w:t>
            </w:r>
          </w:p>
        </w:tc>
        <w:tc>
          <w:tcPr>
            <w:tcW w:w="4422" w:type="dxa"/>
            <w:tcBorders>
              <w:top w:val="nil"/>
              <w:left w:val="nil"/>
              <w:bottom w:val="nil"/>
              <w:right w:val="nil"/>
            </w:tcBorders>
            <w:shd w:val="clear" w:color="auto" w:fill="auto"/>
            <w:noWrap/>
            <w:hideMark/>
          </w:tcPr>
          <w:p w14:paraId="20CAAA4C" w14:textId="77777777" w:rsidR="006828D1" w:rsidRPr="008F03E5" w:rsidRDefault="006828D1" w:rsidP="00F13B0C">
            <w:pPr>
              <w:rPr>
                <w:sz w:val="18"/>
                <w:szCs w:val="18"/>
              </w:rPr>
            </w:pPr>
            <w:r w:rsidRPr="008F03E5">
              <w:rPr>
                <w:sz w:val="18"/>
                <w:szCs w:val="18"/>
              </w:rPr>
              <w:t>Luqmán</w:t>
            </w:r>
            <w:r w:rsidR="00120AFC" w:rsidRPr="008F03E5">
              <w:rPr>
                <w:sz w:val="18"/>
                <w:szCs w:val="18"/>
              </w:rPr>
              <w:t>—</w:t>
            </w:r>
            <w:r w:rsidRPr="008F03E5">
              <w:rPr>
                <w:sz w:val="18"/>
                <w:szCs w:val="18"/>
              </w:rPr>
              <w:t>Luqmán</w:t>
            </w:r>
          </w:p>
        </w:tc>
        <w:tc>
          <w:tcPr>
            <w:tcW w:w="510" w:type="dxa"/>
            <w:tcBorders>
              <w:top w:val="nil"/>
              <w:left w:val="nil"/>
              <w:bottom w:val="nil"/>
              <w:right w:val="nil"/>
            </w:tcBorders>
            <w:shd w:val="clear" w:color="auto" w:fill="auto"/>
            <w:noWrap/>
            <w:hideMark/>
          </w:tcPr>
          <w:p w14:paraId="19F3E66D"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88</w:t>
            </w:r>
          </w:p>
        </w:tc>
        <w:tc>
          <w:tcPr>
            <w:tcW w:w="5102" w:type="dxa"/>
            <w:tcBorders>
              <w:top w:val="nil"/>
              <w:left w:val="nil"/>
              <w:bottom w:val="nil"/>
              <w:right w:val="nil"/>
            </w:tcBorders>
            <w:shd w:val="clear" w:color="auto" w:fill="auto"/>
            <w:noWrap/>
            <w:hideMark/>
          </w:tcPr>
          <w:p w14:paraId="3CDB9BA5"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al-</w:t>
            </w:r>
            <w:r w:rsidRPr="008F03E5">
              <w:rPr>
                <w:sz w:val="18"/>
                <w:szCs w:val="18"/>
                <w:u w:val="single"/>
              </w:rPr>
              <w:t>Gh</w:t>
            </w:r>
            <w:r w:rsidRPr="008F03E5">
              <w:rPr>
                <w:sz w:val="18"/>
                <w:szCs w:val="18"/>
              </w:rPr>
              <w:t>á</w:t>
            </w:r>
            <w:r w:rsidRPr="008F03E5">
              <w:rPr>
                <w:sz w:val="18"/>
                <w:szCs w:val="18"/>
                <w:u w:val="single"/>
              </w:rPr>
              <w:t>sh</w:t>
            </w:r>
            <w:r w:rsidRPr="008F03E5">
              <w:rPr>
                <w:sz w:val="18"/>
                <w:szCs w:val="18"/>
              </w:rPr>
              <w:t>iya</w:t>
            </w:r>
            <w:r w:rsidR="00120AFC" w:rsidRPr="008F03E5">
              <w:rPr>
                <w:sz w:val="18"/>
                <w:szCs w:val="18"/>
              </w:rPr>
              <w:t>—</w:t>
            </w:r>
            <w:r w:rsidRPr="008F03E5">
              <w:rPr>
                <w:sz w:val="18"/>
                <w:szCs w:val="18"/>
              </w:rPr>
              <w:t>The overwhelming or The overwhelming event</w:t>
            </w:r>
          </w:p>
        </w:tc>
      </w:tr>
      <w:tr w:rsidR="00B8290C" w:rsidRPr="008F03E5" w14:paraId="7CD50298" w14:textId="77777777" w:rsidTr="00F13B0C">
        <w:trPr>
          <w:trHeight w:val="255"/>
          <w:jc w:val="center"/>
        </w:trPr>
        <w:tc>
          <w:tcPr>
            <w:tcW w:w="435" w:type="dxa"/>
            <w:tcBorders>
              <w:top w:val="nil"/>
              <w:left w:val="nil"/>
              <w:bottom w:val="nil"/>
              <w:right w:val="nil"/>
            </w:tcBorders>
            <w:shd w:val="clear" w:color="auto" w:fill="auto"/>
            <w:noWrap/>
            <w:hideMark/>
          </w:tcPr>
          <w:p w14:paraId="19BB6D20"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32</w:t>
            </w:r>
          </w:p>
        </w:tc>
        <w:tc>
          <w:tcPr>
            <w:tcW w:w="4422" w:type="dxa"/>
            <w:tcBorders>
              <w:top w:val="nil"/>
              <w:left w:val="nil"/>
              <w:bottom w:val="nil"/>
              <w:right w:val="nil"/>
            </w:tcBorders>
            <w:shd w:val="clear" w:color="auto" w:fill="auto"/>
            <w:noWrap/>
            <w:hideMark/>
          </w:tcPr>
          <w:p w14:paraId="46562357" w14:textId="77777777" w:rsidR="006828D1" w:rsidRPr="008F03E5" w:rsidRDefault="006828D1" w:rsidP="00F13B0C">
            <w:pPr>
              <w:rPr>
                <w:sz w:val="18"/>
                <w:szCs w:val="18"/>
              </w:rPr>
            </w:pPr>
            <w:r w:rsidRPr="008F03E5">
              <w:rPr>
                <w:sz w:val="18"/>
                <w:szCs w:val="18"/>
              </w:rPr>
              <w:t>as-Sadjah</w:t>
            </w:r>
            <w:r w:rsidR="00120AFC" w:rsidRPr="008F03E5">
              <w:rPr>
                <w:sz w:val="18"/>
                <w:szCs w:val="18"/>
              </w:rPr>
              <w:t>—</w:t>
            </w:r>
            <w:r w:rsidRPr="008F03E5">
              <w:rPr>
                <w:sz w:val="18"/>
                <w:szCs w:val="18"/>
              </w:rPr>
              <w:t>The prostration</w:t>
            </w:r>
          </w:p>
        </w:tc>
        <w:tc>
          <w:tcPr>
            <w:tcW w:w="510" w:type="dxa"/>
            <w:tcBorders>
              <w:top w:val="nil"/>
              <w:left w:val="nil"/>
              <w:bottom w:val="nil"/>
              <w:right w:val="nil"/>
            </w:tcBorders>
            <w:shd w:val="clear" w:color="auto" w:fill="auto"/>
            <w:noWrap/>
            <w:hideMark/>
          </w:tcPr>
          <w:p w14:paraId="71969BB7"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89</w:t>
            </w:r>
          </w:p>
        </w:tc>
        <w:tc>
          <w:tcPr>
            <w:tcW w:w="5102" w:type="dxa"/>
            <w:tcBorders>
              <w:top w:val="nil"/>
              <w:left w:val="nil"/>
              <w:bottom w:val="nil"/>
              <w:right w:val="nil"/>
            </w:tcBorders>
            <w:shd w:val="clear" w:color="auto" w:fill="auto"/>
            <w:noWrap/>
            <w:hideMark/>
          </w:tcPr>
          <w:p w14:paraId="39E0B6E3" w14:textId="77777777" w:rsidR="006828D1" w:rsidRPr="008F03E5" w:rsidRDefault="006828D1" w:rsidP="00F13B0C">
            <w:pPr>
              <w:rPr>
                <w:sz w:val="18"/>
                <w:szCs w:val="18"/>
              </w:rPr>
            </w:pPr>
            <w:r w:rsidRPr="008F03E5">
              <w:rPr>
                <w:sz w:val="18"/>
                <w:szCs w:val="18"/>
              </w:rPr>
              <w:t>al-Fajr</w:t>
            </w:r>
            <w:r w:rsidR="00120AFC" w:rsidRPr="008F03E5">
              <w:rPr>
                <w:sz w:val="18"/>
                <w:szCs w:val="18"/>
              </w:rPr>
              <w:t>—</w:t>
            </w:r>
            <w:r w:rsidRPr="008F03E5">
              <w:rPr>
                <w:sz w:val="18"/>
                <w:szCs w:val="18"/>
              </w:rPr>
              <w:t>The dawn</w:t>
            </w:r>
          </w:p>
        </w:tc>
      </w:tr>
      <w:tr w:rsidR="00B8290C" w:rsidRPr="008F03E5" w14:paraId="6AFD65C3" w14:textId="77777777" w:rsidTr="00F13B0C">
        <w:trPr>
          <w:trHeight w:val="255"/>
          <w:jc w:val="center"/>
        </w:trPr>
        <w:tc>
          <w:tcPr>
            <w:tcW w:w="435" w:type="dxa"/>
            <w:tcBorders>
              <w:top w:val="nil"/>
              <w:left w:val="nil"/>
              <w:bottom w:val="nil"/>
              <w:right w:val="nil"/>
            </w:tcBorders>
            <w:shd w:val="clear" w:color="auto" w:fill="auto"/>
            <w:noWrap/>
            <w:hideMark/>
          </w:tcPr>
          <w:p w14:paraId="12D1832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33</w:t>
            </w:r>
          </w:p>
        </w:tc>
        <w:tc>
          <w:tcPr>
            <w:tcW w:w="4422" w:type="dxa"/>
            <w:tcBorders>
              <w:top w:val="nil"/>
              <w:left w:val="nil"/>
              <w:bottom w:val="nil"/>
              <w:right w:val="nil"/>
            </w:tcBorders>
            <w:shd w:val="clear" w:color="auto" w:fill="auto"/>
            <w:noWrap/>
            <w:hideMark/>
          </w:tcPr>
          <w:p w14:paraId="0AA0FB16" w14:textId="77777777" w:rsidR="006828D1" w:rsidRPr="008F03E5" w:rsidRDefault="006828D1" w:rsidP="00F13B0C">
            <w:pPr>
              <w:rPr>
                <w:sz w:val="18"/>
                <w:szCs w:val="18"/>
              </w:rPr>
            </w:pPr>
            <w:r w:rsidRPr="008F03E5">
              <w:rPr>
                <w:sz w:val="18"/>
                <w:szCs w:val="18"/>
              </w:rPr>
              <w:t>al-Aḥzáb</w:t>
            </w:r>
            <w:r w:rsidR="00120AFC" w:rsidRPr="008F03E5">
              <w:rPr>
                <w:sz w:val="18"/>
                <w:szCs w:val="18"/>
              </w:rPr>
              <w:t>—</w:t>
            </w:r>
            <w:r w:rsidRPr="008F03E5">
              <w:rPr>
                <w:sz w:val="18"/>
                <w:szCs w:val="18"/>
              </w:rPr>
              <w:t>The clans, The confederates or The cohorts</w:t>
            </w:r>
          </w:p>
        </w:tc>
        <w:tc>
          <w:tcPr>
            <w:tcW w:w="510" w:type="dxa"/>
            <w:tcBorders>
              <w:top w:val="nil"/>
              <w:left w:val="nil"/>
              <w:bottom w:val="nil"/>
              <w:right w:val="nil"/>
            </w:tcBorders>
            <w:shd w:val="clear" w:color="auto" w:fill="auto"/>
            <w:noWrap/>
            <w:hideMark/>
          </w:tcPr>
          <w:p w14:paraId="5CCD29E5"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90</w:t>
            </w:r>
          </w:p>
        </w:tc>
        <w:tc>
          <w:tcPr>
            <w:tcW w:w="5102" w:type="dxa"/>
            <w:tcBorders>
              <w:top w:val="nil"/>
              <w:left w:val="nil"/>
              <w:bottom w:val="nil"/>
              <w:right w:val="nil"/>
            </w:tcBorders>
            <w:shd w:val="clear" w:color="auto" w:fill="auto"/>
            <w:noWrap/>
            <w:hideMark/>
          </w:tcPr>
          <w:p w14:paraId="45CD2B28" w14:textId="77777777" w:rsidR="006828D1" w:rsidRPr="008F03E5" w:rsidRDefault="006828D1" w:rsidP="00F13B0C">
            <w:pPr>
              <w:rPr>
                <w:sz w:val="18"/>
                <w:szCs w:val="18"/>
              </w:rPr>
            </w:pPr>
            <w:r w:rsidRPr="008F03E5">
              <w:rPr>
                <w:sz w:val="18"/>
                <w:szCs w:val="18"/>
              </w:rPr>
              <w:t>al-Balad</w:t>
            </w:r>
            <w:r w:rsidR="00120AFC" w:rsidRPr="008F03E5">
              <w:rPr>
                <w:sz w:val="18"/>
                <w:szCs w:val="18"/>
              </w:rPr>
              <w:t>—</w:t>
            </w:r>
            <w:r w:rsidRPr="008F03E5">
              <w:rPr>
                <w:sz w:val="18"/>
                <w:szCs w:val="18"/>
              </w:rPr>
              <w:t>The city</w:t>
            </w:r>
          </w:p>
        </w:tc>
      </w:tr>
      <w:tr w:rsidR="00B8290C" w:rsidRPr="008F03E5" w14:paraId="5CAC2124" w14:textId="77777777" w:rsidTr="00F13B0C">
        <w:trPr>
          <w:trHeight w:val="255"/>
          <w:jc w:val="center"/>
        </w:trPr>
        <w:tc>
          <w:tcPr>
            <w:tcW w:w="435" w:type="dxa"/>
            <w:tcBorders>
              <w:top w:val="nil"/>
              <w:left w:val="nil"/>
              <w:bottom w:val="nil"/>
              <w:right w:val="nil"/>
            </w:tcBorders>
            <w:shd w:val="clear" w:color="auto" w:fill="auto"/>
            <w:noWrap/>
            <w:hideMark/>
          </w:tcPr>
          <w:p w14:paraId="1635C794"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34</w:t>
            </w:r>
          </w:p>
        </w:tc>
        <w:tc>
          <w:tcPr>
            <w:tcW w:w="4422" w:type="dxa"/>
            <w:tcBorders>
              <w:top w:val="nil"/>
              <w:left w:val="nil"/>
              <w:bottom w:val="nil"/>
              <w:right w:val="nil"/>
            </w:tcBorders>
            <w:shd w:val="clear" w:color="auto" w:fill="auto"/>
            <w:noWrap/>
            <w:hideMark/>
          </w:tcPr>
          <w:p w14:paraId="2836353C" w14:textId="77777777" w:rsidR="006828D1" w:rsidRPr="008F03E5" w:rsidRDefault="006828D1" w:rsidP="00F13B0C">
            <w:pPr>
              <w:rPr>
                <w:sz w:val="18"/>
                <w:szCs w:val="18"/>
              </w:rPr>
            </w:pPr>
            <w:r w:rsidRPr="008F03E5">
              <w:rPr>
                <w:sz w:val="18"/>
                <w:szCs w:val="18"/>
              </w:rPr>
              <w:t>Saba’</w:t>
            </w:r>
            <w:r w:rsidR="00120AFC" w:rsidRPr="008F03E5">
              <w:rPr>
                <w:sz w:val="18"/>
                <w:szCs w:val="18"/>
              </w:rPr>
              <w:t>—</w:t>
            </w:r>
            <w:r w:rsidRPr="008F03E5">
              <w:rPr>
                <w:sz w:val="18"/>
                <w:szCs w:val="18"/>
              </w:rPr>
              <w:t>Sheba</w:t>
            </w:r>
          </w:p>
        </w:tc>
        <w:tc>
          <w:tcPr>
            <w:tcW w:w="510" w:type="dxa"/>
            <w:tcBorders>
              <w:top w:val="nil"/>
              <w:left w:val="nil"/>
              <w:bottom w:val="nil"/>
              <w:right w:val="nil"/>
            </w:tcBorders>
            <w:shd w:val="clear" w:color="auto" w:fill="auto"/>
            <w:noWrap/>
            <w:hideMark/>
          </w:tcPr>
          <w:p w14:paraId="42A508AD"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91</w:t>
            </w:r>
          </w:p>
        </w:tc>
        <w:tc>
          <w:tcPr>
            <w:tcW w:w="5102" w:type="dxa"/>
            <w:tcBorders>
              <w:top w:val="nil"/>
              <w:left w:val="nil"/>
              <w:bottom w:val="nil"/>
              <w:right w:val="nil"/>
            </w:tcBorders>
            <w:shd w:val="clear" w:color="auto" w:fill="auto"/>
            <w:noWrap/>
            <w:hideMark/>
          </w:tcPr>
          <w:p w14:paraId="504AB26F"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w:t>
            </w:r>
            <w:r w:rsidRPr="008F03E5">
              <w:rPr>
                <w:sz w:val="18"/>
                <w:szCs w:val="18"/>
                <w:u w:val="single"/>
              </w:rPr>
              <w:t>sh</w:t>
            </w:r>
            <w:r w:rsidRPr="008F03E5">
              <w:rPr>
                <w:sz w:val="18"/>
                <w:szCs w:val="18"/>
              </w:rPr>
              <w:t>-</w:t>
            </w:r>
            <w:r w:rsidRPr="008F03E5">
              <w:rPr>
                <w:sz w:val="18"/>
                <w:szCs w:val="18"/>
                <w:u w:val="single"/>
              </w:rPr>
              <w:t>Sh</w:t>
            </w:r>
            <w:r w:rsidRPr="008F03E5">
              <w:rPr>
                <w:sz w:val="18"/>
                <w:szCs w:val="18"/>
              </w:rPr>
              <w:t>ams</w:t>
            </w:r>
            <w:r w:rsidR="00120AFC" w:rsidRPr="008F03E5">
              <w:rPr>
                <w:sz w:val="18"/>
                <w:szCs w:val="18"/>
              </w:rPr>
              <w:t>—</w:t>
            </w:r>
            <w:r w:rsidRPr="008F03E5">
              <w:rPr>
                <w:sz w:val="18"/>
                <w:szCs w:val="18"/>
              </w:rPr>
              <w:t>The sun</w:t>
            </w:r>
          </w:p>
        </w:tc>
      </w:tr>
      <w:tr w:rsidR="00B8290C" w:rsidRPr="008F03E5" w14:paraId="3C8A9F28" w14:textId="77777777" w:rsidTr="00F13B0C">
        <w:trPr>
          <w:trHeight w:val="255"/>
          <w:jc w:val="center"/>
        </w:trPr>
        <w:tc>
          <w:tcPr>
            <w:tcW w:w="435" w:type="dxa"/>
            <w:tcBorders>
              <w:top w:val="nil"/>
              <w:left w:val="nil"/>
              <w:bottom w:val="nil"/>
              <w:right w:val="nil"/>
            </w:tcBorders>
            <w:shd w:val="clear" w:color="auto" w:fill="auto"/>
            <w:noWrap/>
            <w:hideMark/>
          </w:tcPr>
          <w:p w14:paraId="52805398"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35</w:t>
            </w:r>
          </w:p>
        </w:tc>
        <w:tc>
          <w:tcPr>
            <w:tcW w:w="4422" w:type="dxa"/>
            <w:tcBorders>
              <w:top w:val="nil"/>
              <w:left w:val="nil"/>
              <w:bottom w:val="nil"/>
              <w:right w:val="nil"/>
            </w:tcBorders>
            <w:shd w:val="clear" w:color="auto" w:fill="auto"/>
            <w:noWrap/>
            <w:hideMark/>
          </w:tcPr>
          <w:p w14:paraId="2013CF2E" w14:textId="77777777" w:rsidR="006828D1" w:rsidRPr="008F03E5" w:rsidRDefault="006828D1" w:rsidP="00F13B0C">
            <w:pPr>
              <w:rPr>
                <w:sz w:val="18"/>
                <w:szCs w:val="18"/>
              </w:rPr>
            </w:pPr>
            <w:r w:rsidRPr="008F03E5">
              <w:rPr>
                <w:sz w:val="18"/>
                <w:szCs w:val="18"/>
              </w:rPr>
              <w:t>Fáṭir</w:t>
            </w:r>
            <w:r w:rsidR="00120AFC" w:rsidRPr="008F03E5">
              <w:rPr>
                <w:sz w:val="18"/>
                <w:szCs w:val="18"/>
              </w:rPr>
              <w:t>—</w:t>
            </w:r>
            <w:r w:rsidRPr="008F03E5">
              <w:rPr>
                <w:sz w:val="18"/>
                <w:szCs w:val="18"/>
              </w:rPr>
              <w:t>Originator or Creator</w:t>
            </w:r>
          </w:p>
        </w:tc>
        <w:tc>
          <w:tcPr>
            <w:tcW w:w="510" w:type="dxa"/>
            <w:tcBorders>
              <w:top w:val="nil"/>
              <w:left w:val="nil"/>
              <w:bottom w:val="nil"/>
              <w:right w:val="nil"/>
            </w:tcBorders>
            <w:shd w:val="clear" w:color="auto" w:fill="auto"/>
            <w:noWrap/>
            <w:hideMark/>
          </w:tcPr>
          <w:p w14:paraId="32FFCCD6"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92</w:t>
            </w:r>
          </w:p>
        </w:tc>
        <w:tc>
          <w:tcPr>
            <w:tcW w:w="5102" w:type="dxa"/>
            <w:tcBorders>
              <w:top w:val="nil"/>
              <w:left w:val="nil"/>
              <w:bottom w:val="nil"/>
              <w:right w:val="nil"/>
            </w:tcBorders>
            <w:shd w:val="clear" w:color="auto" w:fill="auto"/>
            <w:noWrap/>
            <w:hideMark/>
          </w:tcPr>
          <w:p w14:paraId="1A61FF44" w14:textId="77777777" w:rsidR="006828D1" w:rsidRPr="008F03E5" w:rsidRDefault="006828D1" w:rsidP="00F13B0C">
            <w:pPr>
              <w:rPr>
                <w:sz w:val="18"/>
                <w:szCs w:val="18"/>
              </w:rPr>
            </w:pPr>
            <w:r w:rsidRPr="008F03E5">
              <w:rPr>
                <w:sz w:val="18"/>
                <w:szCs w:val="18"/>
              </w:rPr>
              <w:t>al-Layl</w:t>
            </w:r>
            <w:r w:rsidR="00120AFC" w:rsidRPr="008F03E5">
              <w:rPr>
                <w:sz w:val="18"/>
                <w:szCs w:val="18"/>
              </w:rPr>
              <w:t>—</w:t>
            </w:r>
            <w:r w:rsidRPr="008F03E5">
              <w:rPr>
                <w:sz w:val="18"/>
                <w:szCs w:val="18"/>
              </w:rPr>
              <w:t>The night</w:t>
            </w:r>
          </w:p>
        </w:tc>
      </w:tr>
      <w:tr w:rsidR="00B8290C" w:rsidRPr="008F03E5" w14:paraId="33F884BA" w14:textId="77777777" w:rsidTr="00F13B0C">
        <w:trPr>
          <w:trHeight w:val="255"/>
          <w:jc w:val="center"/>
        </w:trPr>
        <w:tc>
          <w:tcPr>
            <w:tcW w:w="435" w:type="dxa"/>
            <w:tcBorders>
              <w:top w:val="nil"/>
              <w:left w:val="nil"/>
              <w:bottom w:val="nil"/>
              <w:right w:val="nil"/>
            </w:tcBorders>
            <w:shd w:val="clear" w:color="auto" w:fill="auto"/>
            <w:noWrap/>
            <w:hideMark/>
          </w:tcPr>
          <w:p w14:paraId="2D089800"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36</w:t>
            </w:r>
          </w:p>
        </w:tc>
        <w:tc>
          <w:tcPr>
            <w:tcW w:w="4422" w:type="dxa"/>
            <w:tcBorders>
              <w:top w:val="nil"/>
              <w:left w:val="nil"/>
              <w:bottom w:val="nil"/>
              <w:right w:val="nil"/>
            </w:tcBorders>
            <w:shd w:val="clear" w:color="auto" w:fill="auto"/>
            <w:noWrap/>
            <w:hideMark/>
          </w:tcPr>
          <w:p w14:paraId="3DBC0301" w14:textId="77777777" w:rsidR="006828D1" w:rsidRPr="008F03E5" w:rsidRDefault="006828D1" w:rsidP="00F13B0C">
            <w:pPr>
              <w:rPr>
                <w:sz w:val="18"/>
                <w:szCs w:val="18"/>
              </w:rPr>
            </w:pPr>
            <w:r w:rsidRPr="008F03E5">
              <w:rPr>
                <w:sz w:val="18"/>
                <w:szCs w:val="18"/>
              </w:rPr>
              <w:t>Yá Sín</w:t>
            </w:r>
            <w:r w:rsidR="00120AFC" w:rsidRPr="008F03E5">
              <w:rPr>
                <w:sz w:val="18"/>
                <w:szCs w:val="18"/>
              </w:rPr>
              <w:t>—</w:t>
            </w:r>
            <w:r w:rsidRPr="008F03E5">
              <w:rPr>
                <w:sz w:val="18"/>
                <w:szCs w:val="18"/>
              </w:rPr>
              <w:t>Yá Sín</w:t>
            </w:r>
          </w:p>
        </w:tc>
        <w:tc>
          <w:tcPr>
            <w:tcW w:w="510" w:type="dxa"/>
            <w:tcBorders>
              <w:top w:val="nil"/>
              <w:left w:val="nil"/>
              <w:bottom w:val="nil"/>
              <w:right w:val="nil"/>
            </w:tcBorders>
            <w:shd w:val="clear" w:color="auto" w:fill="auto"/>
            <w:noWrap/>
            <w:hideMark/>
          </w:tcPr>
          <w:p w14:paraId="70CC1062"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93</w:t>
            </w:r>
          </w:p>
        </w:tc>
        <w:tc>
          <w:tcPr>
            <w:tcW w:w="5102" w:type="dxa"/>
            <w:tcBorders>
              <w:top w:val="nil"/>
              <w:left w:val="nil"/>
              <w:bottom w:val="nil"/>
              <w:right w:val="nil"/>
            </w:tcBorders>
            <w:shd w:val="clear" w:color="auto" w:fill="auto"/>
            <w:noWrap/>
            <w:hideMark/>
          </w:tcPr>
          <w:p w14:paraId="5F9D6354" w14:textId="77777777" w:rsidR="006828D1" w:rsidRPr="008F03E5" w:rsidRDefault="006828D1" w:rsidP="00F13B0C">
            <w:pPr>
              <w:rPr>
                <w:sz w:val="18"/>
                <w:szCs w:val="18"/>
              </w:rPr>
            </w:pPr>
            <w:r w:rsidRPr="008F03E5">
              <w:rPr>
                <w:sz w:val="18"/>
                <w:szCs w:val="18"/>
              </w:rPr>
              <w:t>aḍ-Ḍuḥá</w:t>
            </w:r>
            <w:r w:rsidR="00120AFC" w:rsidRPr="008F03E5">
              <w:rPr>
                <w:sz w:val="18"/>
                <w:szCs w:val="18"/>
              </w:rPr>
              <w:t>—</w:t>
            </w:r>
            <w:r w:rsidRPr="008F03E5">
              <w:rPr>
                <w:sz w:val="18"/>
                <w:szCs w:val="18"/>
              </w:rPr>
              <w:t>The morning hours</w:t>
            </w:r>
          </w:p>
        </w:tc>
      </w:tr>
      <w:tr w:rsidR="00B8290C" w:rsidRPr="008F03E5" w14:paraId="1DAAEBA7" w14:textId="77777777" w:rsidTr="00F13B0C">
        <w:trPr>
          <w:trHeight w:val="255"/>
          <w:jc w:val="center"/>
        </w:trPr>
        <w:tc>
          <w:tcPr>
            <w:tcW w:w="435" w:type="dxa"/>
            <w:tcBorders>
              <w:top w:val="nil"/>
              <w:left w:val="nil"/>
              <w:bottom w:val="nil"/>
              <w:right w:val="nil"/>
            </w:tcBorders>
            <w:shd w:val="clear" w:color="auto" w:fill="auto"/>
            <w:noWrap/>
            <w:hideMark/>
          </w:tcPr>
          <w:p w14:paraId="6008AD08"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37</w:t>
            </w:r>
          </w:p>
        </w:tc>
        <w:tc>
          <w:tcPr>
            <w:tcW w:w="4422" w:type="dxa"/>
            <w:tcBorders>
              <w:top w:val="nil"/>
              <w:left w:val="nil"/>
              <w:bottom w:val="nil"/>
              <w:right w:val="nil"/>
            </w:tcBorders>
            <w:shd w:val="clear" w:color="auto" w:fill="auto"/>
            <w:noWrap/>
            <w:hideMark/>
          </w:tcPr>
          <w:p w14:paraId="47E30776" w14:textId="77777777" w:rsidR="006828D1" w:rsidRPr="008F03E5" w:rsidRDefault="006828D1" w:rsidP="00F13B0C">
            <w:pPr>
              <w:rPr>
                <w:sz w:val="18"/>
                <w:szCs w:val="18"/>
              </w:rPr>
            </w:pPr>
            <w:r w:rsidRPr="008F03E5">
              <w:rPr>
                <w:sz w:val="18"/>
                <w:szCs w:val="18"/>
              </w:rPr>
              <w:t>aṣ-Ṣáffát</w:t>
            </w:r>
            <w:r w:rsidR="00120AFC" w:rsidRPr="008F03E5">
              <w:rPr>
                <w:sz w:val="18"/>
                <w:szCs w:val="18"/>
              </w:rPr>
              <w:t>—</w:t>
            </w:r>
            <w:r w:rsidRPr="008F03E5">
              <w:rPr>
                <w:sz w:val="18"/>
                <w:szCs w:val="18"/>
              </w:rPr>
              <w:t>Those ranged in ranks</w:t>
            </w:r>
          </w:p>
        </w:tc>
        <w:tc>
          <w:tcPr>
            <w:tcW w:w="510" w:type="dxa"/>
            <w:tcBorders>
              <w:top w:val="nil"/>
              <w:left w:val="nil"/>
              <w:bottom w:val="nil"/>
              <w:right w:val="nil"/>
            </w:tcBorders>
            <w:shd w:val="clear" w:color="auto" w:fill="auto"/>
            <w:noWrap/>
            <w:hideMark/>
          </w:tcPr>
          <w:p w14:paraId="6BA227D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94</w:t>
            </w:r>
          </w:p>
        </w:tc>
        <w:tc>
          <w:tcPr>
            <w:tcW w:w="5102" w:type="dxa"/>
            <w:tcBorders>
              <w:top w:val="nil"/>
              <w:left w:val="nil"/>
              <w:bottom w:val="nil"/>
              <w:right w:val="nil"/>
            </w:tcBorders>
            <w:shd w:val="clear" w:color="auto" w:fill="auto"/>
            <w:noWrap/>
            <w:hideMark/>
          </w:tcPr>
          <w:p w14:paraId="46E015A3"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w:t>
            </w:r>
            <w:r w:rsidRPr="008F03E5">
              <w:rPr>
                <w:sz w:val="18"/>
                <w:szCs w:val="18"/>
                <w:u w:val="single"/>
              </w:rPr>
              <w:t>sh</w:t>
            </w:r>
            <w:r w:rsidRPr="008F03E5">
              <w:rPr>
                <w:sz w:val="18"/>
                <w:szCs w:val="18"/>
              </w:rPr>
              <w:t>-</w:t>
            </w:r>
            <w:r w:rsidRPr="008F03E5">
              <w:rPr>
                <w:sz w:val="18"/>
                <w:szCs w:val="18"/>
                <w:u w:val="single"/>
              </w:rPr>
              <w:t>Sh</w:t>
            </w:r>
            <w:r w:rsidRPr="008F03E5">
              <w:rPr>
                <w:sz w:val="18"/>
                <w:szCs w:val="18"/>
              </w:rPr>
              <w:t>arḥ</w:t>
            </w:r>
            <w:r w:rsidR="00120AFC" w:rsidRPr="008F03E5">
              <w:rPr>
                <w:sz w:val="18"/>
                <w:szCs w:val="18"/>
              </w:rPr>
              <w:t>—</w:t>
            </w:r>
            <w:r w:rsidRPr="008F03E5">
              <w:rPr>
                <w:sz w:val="18"/>
                <w:szCs w:val="18"/>
              </w:rPr>
              <w:t>The expansion</w:t>
            </w:r>
          </w:p>
        </w:tc>
      </w:tr>
      <w:tr w:rsidR="00B8290C" w:rsidRPr="008F03E5" w14:paraId="31AF9D8D" w14:textId="77777777" w:rsidTr="00F13B0C">
        <w:trPr>
          <w:trHeight w:val="255"/>
          <w:jc w:val="center"/>
        </w:trPr>
        <w:tc>
          <w:tcPr>
            <w:tcW w:w="435" w:type="dxa"/>
            <w:tcBorders>
              <w:top w:val="nil"/>
              <w:left w:val="nil"/>
              <w:bottom w:val="nil"/>
              <w:right w:val="nil"/>
            </w:tcBorders>
            <w:shd w:val="clear" w:color="auto" w:fill="auto"/>
            <w:noWrap/>
            <w:hideMark/>
          </w:tcPr>
          <w:p w14:paraId="411F2C8D"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38</w:t>
            </w:r>
          </w:p>
        </w:tc>
        <w:tc>
          <w:tcPr>
            <w:tcW w:w="4422" w:type="dxa"/>
            <w:tcBorders>
              <w:top w:val="nil"/>
              <w:left w:val="nil"/>
              <w:bottom w:val="nil"/>
              <w:right w:val="nil"/>
            </w:tcBorders>
            <w:shd w:val="clear" w:color="auto" w:fill="auto"/>
            <w:noWrap/>
            <w:hideMark/>
          </w:tcPr>
          <w:p w14:paraId="63FCF09E" w14:textId="77777777" w:rsidR="006828D1" w:rsidRPr="008F03E5" w:rsidRDefault="006828D1" w:rsidP="00F13B0C">
            <w:pPr>
              <w:rPr>
                <w:sz w:val="18"/>
                <w:szCs w:val="18"/>
              </w:rPr>
            </w:pPr>
            <w:r w:rsidRPr="008F03E5">
              <w:rPr>
                <w:sz w:val="18"/>
                <w:szCs w:val="18"/>
              </w:rPr>
              <w:t>Ṣád</w:t>
            </w:r>
            <w:r w:rsidR="00120AFC" w:rsidRPr="008F03E5">
              <w:rPr>
                <w:sz w:val="18"/>
                <w:szCs w:val="18"/>
              </w:rPr>
              <w:t>—</w:t>
            </w:r>
            <w:r w:rsidRPr="008F03E5">
              <w:rPr>
                <w:sz w:val="18"/>
                <w:szCs w:val="18"/>
              </w:rPr>
              <w:t>Ṣád</w:t>
            </w:r>
          </w:p>
        </w:tc>
        <w:tc>
          <w:tcPr>
            <w:tcW w:w="510" w:type="dxa"/>
            <w:tcBorders>
              <w:top w:val="nil"/>
              <w:left w:val="nil"/>
              <w:bottom w:val="nil"/>
              <w:right w:val="nil"/>
            </w:tcBorders>
            <w:shd w:val="clear" w:color="auto" w:fill="auto"/>
            <w:noWrap/>
            <w:hideMark/>
          </w:tcPr>
          <w:p w14:paraId="79A7BD9A"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95</w:t>
            </w:r>
          </w:p>
        </w:tc>
        <w:tc>
          <w:tcPr>
            <w:tcW w:w="5102" w:type="dxa"/>
            <w:tcBorders>
              <w:top w:val="nil"/>
              <w:left w:val="nil"/>
              <w:bottom w:val="nil"/>
              <w:right w:val="nil"/>
            </w:tcBorders>
            <w:shd w:val="clear" w:color="auto" w:fill="auto"/>
            <w:noWrap/>
            <w:hideMark/>
          </w:tcPr>
          <w:p w14:paraId="3321C5D7" w14:textId="77777777" w:rsidR="006828D1" w:rsidRPr="008F03E5" w:rsidRDefault="006828D1" w:rsidP="00F13B0C">
            <w:pPr>
              <w:rPr>
                <w:sz w:val="18"/>
                <w:szCs w:val="18"/>
              </w:rPr>
            </w:pPr>
            <w:r w:rsidRPr="008F03E5">
              <w:rPr>
                <w:sz w:val="18"/>
                <w:szCs w:val="18"/>
              </w:rPr>
              <w:t>at-Tín</w:t>
            </w:r>
            <w:r w:rsidR="00120AFC" w:rsidRPr="008F03E5">
              <w:rPr>
                <w:sz w:val="18"/>
                <w:szCs w:val="18"/>
              </w:rPr>
              <w:t>—</w:t>
            </w:r>
            <w:r w:rsidRPr="008F03E5">
              <w:rPr>
                <w:sz w:val="18"/>
                <w:szCs w:val="18"/>
              </w:rPr>
              <w:t>The fig</w:t>
            </w:r>
          </w:p>
        </w:tc>
      </w:tr>
      <w:tr w:rsidR="00B8290C" w:rsidRPr="008F03E5" w14:paraId="2E58B5C8" w14:textId="77777777" w:rsidTr="00F13B0C">
        <w:trPr>
          <w:trHeight w:val="255"/>
          <w:jc w:val="center"/>
        </w:trPr>
        <w:tc>
          <w:tcPr>
            <w:tcW w:w="435" w:type="dxa"/>
            <w:tcBorders>
              <w:top w:val="nil"/>
              <w:left w:val="nil"/>
              <w:bottom w:val="nil"/>
              <w:right w:val="nil"/>
            </w:tcBorders>
            <w:shd w:val="clear" w:color="auto" w:fill="auto"/>
            <w:noWrap/>
            <w:hideMark/>
          </w:tcPr>
          <w:p w14:paraId="393BF8E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39</w:t>
            </w:r>
          </w:p>
        </w:tc>
        <w:tc>
          <w:tcPr>
            <w:tcW w:w="4422" w:type="dxa"/>
            <w:tcBorders>
              <w:top w:val="nil"/>
              <w:left w:val="nil"/>
              <w:bottom w:val="nil"/>
              <w:right w:val="nil"/>
            </w:tcBorders>
            <w:shd w:val="clear" w:color="auto" w:fill="auto"/>
            <w:noWrap/>
            <w:hideMark/>
          </w:tcPr>
          <w:p w14:paraId="4CC85EC1" w14:textId="77777777" w:rsidR="006828D1" w:rsidRPr="008F03E5" w:rsidRDefault="006828D1" w:rsidP="00F13B0C">
            <w:pPr>
              <w:rPr>
                <w:sz w:val="18"/>
                <w:szCs w:val="18"/>
              </w:rPr>
            </w:pPr>
            <w:r w:rsidRPr="008F03E5">
              <w:rPr>
                <w:sz w:val="18"/>
                <w:szCs w:val="18"/>
              </w:rPr>
              <w:t>Zumar</w:t>
            </w:r>
            <w:r w:rsidR="00120AFC" w:rsidRPr="008F03E5">
              <w:rPr>
                <w:sz w:val="18"/>
                <w:szCs w:val="18"/>
              </w:rPr>
              <w:t>—</w:t>
            </w:r>
            <w:r w:rsidRPr="008F03E5">
              <w:rPr>
                <w:sz w:val="18"/>
                <w:szCs w:val="18"/>
              </w:rPr>
              <w:t>The troops or The crowds</w:t>
            </w:r>
          </w:p>
        </w:tc>
        <w:tc>
          <w:tcPr>
            <w:tcW w:w="510" w:type="dxa"/>
            <w:tcBorders>
              <w:top w:val="nil"/>
              <w:left w:val="nil"/>
              <w:bottom w:val="nil"/>
              <w:right w:val="nil"/>
            </w:tcBorders>
            <w:shd w:val="clear" w:color="auto" w:fill="auto"/>
            <w:noWrap/>
            <w:hideMark/>
          </w:tcPr>
          <w:p w14:paraId="3DE7EBBA"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96</w:t>
            </w:r>
          </w:p>
        </w:tc>
        <w:tc>
          <w:tcPr>
            <w:tcW w:w="5102" w:type="dxa"/>
            <w:tcBorders>
              <w:top w:val="nil"/>
              <w:left w:val="nil"/>
              <w:bottom w:val="nil"/>
              <w:right w:val="nil"/>
            </w:tcBorders>
            <w:shd w:val="clear" w:color="auto" w:fill="auto"/>
            <w:noWrap/>
            <w:hideMark/>
          </w:tcPr>
          <w:p w14:paraId="054B21B4" w14:textId="77777777" w:rsidR="006828D1" w:rsidRPr="008F03E5" w:rsidRDefault="006828D1" w:rsidP="00F13B0C">
            <w:pPr>
              <w:rPr>
                <w:sz w:val="18"/>
                <w:szCs w:val="18"/>
              </w:rPr>
            </w:pPr>
            <w:r w:rsidRPr="008F03E5">
              <w:rPr>
                <w:sz w:val="18"/>
                <w:szCs w:val="18"/>
              </w:rPr>
              <w:t>al-‘Alaq</w:t>
            </w:r>
            <w:r w:rsidR="00120AFC" w:rsidRPr="008F03E5">
              <w:rPr>
                <w:sz w:val="18"/>
                <w:szCs w:val="18"/>
              </w:rPr>
              <w:t>—</w:t>
            </w:r>
            <w:r w:rsidRPr="008F03E5">
              <w:rPr>
                <w:sz w:val="18"/>
                <w:szCs w:val="18"/>
              </w:rPr>
              <w:t>The clot</w:t>
            </w:r>
          </w:p>
        </w:tc>
      </w:tr>
      <w:tr w:rsidR="00B8290C" w:rsidRPr="008F03E5" w14:paraId="2C97CDCE" w14:textId="77777777" w:rsidTr="00F13B0C">
        <w:trPr>
          <w:trHeight w:val="255"/>
          <w:jc w:val="center"/>
        </w:trPr>
        <w:tc>
          <w:tcPr>
            <w:tcW w:w="435" w:type="dxa"/>
            <w:tcBorders>
              <w:top w:val="nil"/>
              <w:left w:val="nil"/>
              <w:bottom w:val="nil"/>
              <w:right w:val="nil"/>
            </w:tcBorders>
            <w:shd w:val="clear" w:color="auto" w:fill="auto"/>
            <w:noWrap/>
            <w:hideMark/>
          </w:tcPr>
          <w:p w14:paraId="1C4286C3"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40</w:t>
            </w:r>
          </w:p>
        </w:tc>
        <w:tc>
          <w:tcPr>
            <w:tcW w:w="4422" w:type="dxa"/>
            <w:tcBorders>
              <w:top w:val="nil"/>
              <w:left w:val="nil"/>
              <w:bottom w:val="nil"/>
              <w:right w:val="nil"/>
            </w:tcBorders>
            <w:shd w:val="clear" w:color="auto" w:fill="auto"/>
            <w:noWrap/>
            <w:hideMark/>
          </w:tcPr>
          <w:p w14:paraId="3F3896CB" w14:textId="77777777" w:rsidR="006828D1" w:rsidRPr="008F03E5" w:rsidRDefault="006828D1" w:rsidP="00F13B0C">
            <w:pPr>
              <w:rPr>
                <w:sz w:val="18"/>
                <w:szCs w:val="18"/>
                <w:u w:val="single"/>
                <w14:numSpacing w14:val="tabular"/>
              </w:rPr>
            </w:pPr>
            <w:r w:rsidRPr="008F03E5">
              <w:rPr>
                <w:sz w:val="18"/>
                <w:szCs w:val="18"/>
                <w:u w:val="single"/>
              </w:rPr>
              <w:t>Gh</w:t>
            </w:r>
            <w:r w:rsidRPr="008F03E5">
              <w:rPr>
                <w:sz w:val="18"/>
                <w:szCs w:val="18"/>
              </w:rPr>
              <w:t>áfir or al-Mu’min</w:t>
            </w:r>
            <w:r w:rsidR="00120AFC" w:rsidRPr="008F03E5">
              <w:rPr>
                <w:sz w:val="18"/>
                <w:szCs w:val="18"/>
              </w:rPr>
              <w:t>—</w:t>
            </w:r>
            <w:r w:rsidRPr="008F03E5">
              <w:rPr>
                <w:sz w:val="18"/>
                <w:szCs w:val="18"/>
              </w:rPr>
              <w:t>Forgiver or The believer</w:t>
            </w:r>
          </w:p>
        </w:tc>
        <w:tc>
          <w:tcPr>
            <w:tcW w:w="510" w:type="dxa"/>
            <w:tcBorders>
              <w:top w:val="nil"/>
              <w:left w:val="nil"/>
              <w:bottom w:val="nil"/>
              <w:right w:val="nil"/>
            </w:tcBorders>
            <w:shd w:val="clear" w:color="auto" w:fill="auto"/>
            <w:noWrap/>
            <w:hideMark/>
          </w:tcPr>
          <w:p w14:paraId="78FDCD2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97</w:t>
            </w:r>
          </w:p>
        </w:tc>
        <w:tc>
          <w:tcPr>
            <w:tcW w:w="5102" w:type="dxa"/>
            <w:tcBorders>
              <w:top w:val="nil"/>
              <w:left w:val="nil"/>
              <w:bottom w:val="nil"/>
              <w:right w:val="nil"/>
            </w:tcBorders>
            <w:shd w:val="clear" w:color="auto" w:fill="auto"/>
            <w:noWrap/>
            <w:hideMark/>
          </w:tcPr>
          <w:p w14:paraId="3BB5129C" w14:textId="77777777" w:rsidR="006828D1" w:rsidRPr="008F03E5" w:rsidRDefault="006828D1" w:rsidP="00F13B0C">
            <w:pPr>
              <w:rPr>
                <w:sz w:val="18"/>
                <w:szCs w:val="18"/>
              </w:rPr>
            </w:pPr>
            <w:r w:rsidRPr="008F03E5">
              <w:rPr>
                <w:sz w:val="18"/>
                <w:szCs w:val="18"/>
              </w:rPr>
              <w:t>al-Qadr</w:t>
            </w:r>
            <w:r w:rsidR="00120AFC" w:rsidRPr="008F03E5">
              <w:rPr>
                <w:sz w:val="18"/>
                <w:szCs w:val="18"/>
              </w:rPr>
              <w:t>—</w:t>
            </w:r>
            <w:r w:rsidRPr="008F03E5">
              <w:rPr>
                <w:sz w:val="18"/>
                <w:szCs w:val="18"/>
              </w:rPr>
              <w:t>The power</w:t>
            </w:r>
          </w:p>
        </w:tc>
      </w:tr>
      <w:tr w:rsidR="00B8290C" w:rsidRPr="008F03E5" w14:paraId="7FBF7EC1" w14:textId="77777777" w:rsidTr="00F13B0C">
        <w:trPr>
          <w:trHeight w:val="255"/>
          <w:jc w:val="center"/>
        </w:trPr>
        <w:tc>
          <w:tcPr>
            <w:tcW w:w="435" w:type="dxa"/>
            <w:tcBorders>
              <w:top w:val="nil"/>
              <w:left w:val="nil"/>
              <w:bottom w:val="nil"/>
              <w:right w:val="nil"/>
            </w:tcBorders>
            <w:shd w:val="clear" w:color="auto" w:fill="auto"/>
            <w:noWrap/>
            <w:hideMark/>
          </w:tcPr>
          <w:p w14:paraId="56BF1739"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41</w:t>
            </w:r>
          </w:p>
        </w:tc>
        <w:tc>
          <w:tcPr>
            <w:tcW w:w="4422" w:type="dxa"/>
            <w:tcBorders>
              <w:top w:val="nil"/>
              <w:left w:val="nil"/>
              <w:bottom w:val="nil"/>
              <w:right w:val="nil"/>
            </w:tcBorders>
            <w:shd w:val="clear" w:color="auto" w:fill="auto"/>
            <w:noWrap/>
            <w:hideMark/>
          </w:tcPr>
          <w:p w14:paraId="7BEAD92B" w14:textId="77777777" w:rsidR="006828D1" w:rsidRPr="008F03E5" w:rsidRDefault="006828D1" w:rsidP="00F13B0C">
            <w:pPr>
              <w:rPr>
                <w:sz w:val="18"/>
                <w:szCs w:val="18"/>
              </w:rPr>
            </w:pPr>
            <w:r w:rsidRPr="008F03E5">
              <w:rPr>
                <w:sz w:val="18"/>
                <w:szCs w:val="18"/>
              </w:rPr>
              <w:t>Fuṣṣilat or Ḥá Mím</w:t>
            </w:r>
            <w:r w:rsidR="00120AFC" w:rsidRPr="008F03E5">
              <w:rPr>
                <w:sz w:val="18"/>
                <w:szCs w:val="18"/>
              </w:rPr>
              <w:t>—</w:t>
            </w:r>
            <w:r w:rsidRPr="008F03E5">
              <w:rPr>
                <w:sz w:val="18"/>
                <w:szCs w:val="18"/>
              </w:rPr>
              <w:t>Explained in detail or Ḥá Mím</w:t>
            </w:r>
          </w:p>
        </w:tc>
        <w:tc>
          <w:tcPr>
            <w:tcW w:w="510" w:type="dxa"/>
            <w:tcBorders>
              <w:top w:val="nil"/>
              <w:left w:val="nil"/>
              <w:bottom w:val="nil"/>
              <w:right w:val="nil"/>
            </w:tcBorders>
            <w:shd w:val="clear" w:color="auto" w:fill="auto"/>
            <w:noWrap/>
            <w:hideMark/>
          </w:tcPr>
          <w:p w14:paraId="7B9A434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98</w:t>
            </w:r>
          </w:p>
        </w:tc>
        <w:tc>
          <w:tcPr>
            <w:tcW w:w="5102" w:type="dxa"/>
            <w:tcBorders>
              <w:top w:val="nil"/>
              <w:left w:val="nil"/>
              <w:bottom w:val="nil"/>
              <w:right w:val="nil"/>
            </w:tcBorders>
            <w:shd w:val="clear" w:color="auto" w:fill="auto"/>
            <w:noWrap/>
            <w:hideMark/>
          </w:tcPr>
          <w:p w14:paraId="6814C466" w14:textId="77777777" w:rsidR="006828D1" w:rsidRPr="008F03E5" w:rsidRDefault="006828D1" w:rsidP="00F13B0C">
            <w:pPr>
              <w:rPr>
                <w:sz w:val="18"/>
                <w:szCs w:val="18"/>
              </w:rPr>
            </w:pPr>
            <w:r w:rsidRPr="008F03E5">
              <w:rPr>
                <w:sz w:val="18"/>
                <w:szCs w:val="18"/>
              </w:rPr>
              <w:t>al-Bayyinah</w:t>
            </w:r>
            <w:r w:rsidR="00120AFC" w:rsidRPr="008F03E5">
              <w:rPr>
                <w:sz w:val="18"/>
                <w:szCs w:val="18"/>
              </w:rPr>
              <w:t>—</w:t>
            </w:r>
            <w:r w:rsidRPr="008F03E5">
              <w:rPr>
                <w:sz w:val="18"/>
                <w:szCs w:val="18"/>
              </w:rPr>
              <w:t>The evidence</w:t>
            </w:r>
          </w:p>
        </w:tc>
      </w:tr>
      <w:tr w:rsidR="00B8290C" w:rsidRPr="008F03E5" w14:paraId="4357A788" w14:textId="77777777" w:rsidTr="00F13B0C">
        <w:trPr>
          <w:trHeight w:val="255"/>
          <w:jc w:val="center"/>
        </w:trPr>
        <w:tc>
          <w:tcPr>
            <w:tcW w:w="435" w:type="dxa"/>
            <w:tcBorders>
              <w:top w:val="nil"/>
              <w:left w:val="nil"/>
              <w:bottom w:val="nil"/>
              <w:right w:val="nil"/>
            </w:tcBorders>
            <w:shd w:val="clear" w:color="auto" w:fill="auto"/>
            <w:noWrap/>
            <w:hideMark/>
          </w:tcPr>
          <w:p w14:paraId="706E9C0F"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42</w:t>
            </w:r>
          </w:p>
        </w:tc>
        <w:tc>
          <w:tcPr>
            <w:tcW w:w="4422" w:type="dxa"/>
            <w:tcBorders>
              <w:top w:val="nil"/>
              <w:left w:val="nil"/>
              <w:bottom w:val="nil"/>
              <w:right w:val="nil"/>
            </w:tcBorders>
            <w:shd w:val="clear" w:color="auto" w:fill="auto"/>
            <w:noWrap/>
            <w:hideMark/>
          </w:tcPr>
          <w:p w14:paraId="5E65E5A8" w14:textId="77777777" w:rsidR="006828D1" w:rsidRPr="008F03E5" w:rsidRDefault="006828D1" w:rsidP="00F13B0C">
            <w:pPr>
              <w:rPr>
                <w:sz w:val="18"/>
                <w:szCs w:val="18"/>
                <w14:numSpacing w14:val="tabular"/>
              </w:rPr>
            </w:pPr>
            <w:r w:rsidRPr="008F03E5">
              <w:rPr>
                <w:sz w:val="18"/>
                <w:szCs w:val="18"/>
              </w:rPr>
              <w:t>a</w:t>
            </w:r>
            <w:r w:rsidRPr="008F03E5">
              <w:rPr>
                <w:sz w:val="18"/>
                <w:szCs w:val="18"/>
                <w:u w:val="single"/>
              </w:rPr>
              <w:t>sh</w:t>
            </w:r>
            <w:r w:rsidRPr="008F03E5">
              <w:rPr>
                <w:sz w:val="18"/>
                <w:szCs w:val="18"/>
              </w:rPr>
              <w:t>-</w:t>
            </w:r>
            <w:r w:rsidRPr="008F03E5">
              <w:rPr>
                <w:sz w:val="18"/>
                <w:szCs w:val="18"/>
                <w:u w:val="single"/>
              </w:rPr>
              <w:t>Sh</w:t>
            </w:r>
            <w:r w:rsidRPr="008F03E5">
              <w:rPr>
                <w:sz w:val="18"/>
                <w:szCs w:val="18"/>
              </w:rPr>
              <w:t>úrá</w:t>
            </w:r>
            <w:r w:rsidR="00120AFC" w:rsidRPr="008F03E5">
              <w:rPr>
                <w:sz w:val="18"/>
                <w:szCs w:val="18"/>
              </w:rPr>
              <w:t>—</w:t>
            </w:r>
            <w:r w:rsidRPr="008F03E5">
              <w:rPr>
                <w:sz w:val="18"/>
                <w:szCs w:val="18"/>
              </w:rPr>
              <w:t>The consultation</w:t>
            </w:r>
          </w:p>
        </w:tc>
        <w:tc>
          <w:tcPr>
            <w:tcW w:w="510" w:type="dxa"/>
            <w:tcBorders>
              <w:top w:val="nil"/>
              <w:left w:val="nil"/>
              <w:bottom w:val="nil"/>
              <w:right w:val="nil"/>
            </w:tcBorders>
            <w:shd w:val="clear" w:color="auto" w:fill="auto"/>
            <w:noWrap/>
            <w:hideMark/>
          </w:tcPr>
          <w:p w14:paraId="062841C4"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99</w:t>
            </w:r>
          </w:p>
        </w:tc>
        <w:tc>
          <w:tcPr>
            <w:tcW w:w="5102" w:type="dxa"/>
            <w:tcBorders>
              <w:top w:val="nil"/>
              <w:left w:val="nil"/>
              <w:bottom w:val="nil"/>
              <w:right w:val="nil"/>
            </w:tcBorders>
            <w:shd w:val="clear" w:color="auto" w:fill="auto"/>
            <w:noWrap/>
            <w:hideMark/>
          </w:tcPr>
          <w:p w14:paraId="516FA69D" w14:textId="77777777" w:rsidR="006828D1" w:rsidRPr="008F03E5" w:rsidRDefault="006828D1" w:rsidP="00F13B0C">
            <w:pPr>
              <w:rPr>
                <w:sz w:val="18"/>
                <w:szCs w:val="18"/>
              </w:rPr>
            </w:pPr>
            <w:r w:rsidRPr="008F03E5">
              <w:rPr>
                <w:sz w:val="18"/>
                <w:szCs w:val="18"/>
              </w:rPr>
              <w:t>az-Zalzala</w:t>
            </w:r>
            <w:r w:rsidR="00120AFC" w:rsidRPr="008F03E5">
              <w:rPr>
                <w:sz w:val="18"/>
                <w:szCs w:val="18"/>
              </w:rPr>
              <w:t>—</w:t>
            </w:r>
            <w:r w:rsidRPr="008F03E5">
              <w:rPr>
                <w:sz w:val="18"/>
                <w:szCs w:val="18"/>
              </w:rPr>
              <w:t>The earthquake</w:t>
            </w:r>
          </w:p>
        </w:tc>
      </w:tr>
      <w:tr w:rsidR="00B8290C" w:rsidRPr="008F03E5" w14:paraId="1F0FBD8D" w14:textId="77777777" w:rsidTr="00F13B0C">
        <w:trPr>
          <w:trHeight w:val="255"/>
          <w:jc w:val="center"/>
        </w:trPr>
        <w:tc>
          <w:tcPr>
            <w:tcW w:w="435" w:type="dxa"/>
            <w:tcBorders>
              <w:top w:val="nil"/>
              <w:left w:val="nil"/>
              <w:bottom w:val="nil"/>
              <w:right w:val="nil"/>
            </w:tcBorders>
            <w:shd w:val="clear" w:color="auto" w:fill="auto"/>
            <w:noWrap/>
            <w:hideMark/>
          </w:tcPr>
          <w:p w14:paraId="14C2E5B9"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43</w:t>
            </w:r>
          </w:p>
        </w:tc>
        <w:tc>
          <w:tcPr>
            <w:tcW w:w="4422" w:type="dxa"/>
            <w:tcBorders>
              <w:top w:val="nil"/>
              <w:left w:val="nil"/>
              <w:bottom w:val="nil"/>
              <w:right w:val="nil"/>
            </w:tcBorders>
            <w:shd w:val="clear" w:color="auto" w:fill="auto"/>
            <w:noWrap/>
            <w:hideMark/>
          </w:tcPr>
          <w:p w14:paraId="13F3B178" w14:textId="77777777" w:rsidR="006828D1" w:rsidRPr="008F03E5" w:rsidRDefault="006828D1" w:rsidP="00F13B0C">
            <w:pPr>
              <w:rPr>
                <w:sz w:val="18"/>
                <w:szCs w:val="18"/>
                <w14:numSpacing w14:val="tabular"/>
              </w:rPr>
            </w:pPr>
            <w:r w:rsidRPr="008F03E5">
              <w:rPr>
                <w:sz w:val="18"/>
                <w:szCs w:val="18"/>
              </w:rPr>
              <w:t>az-Zu</w:t>
            </w:r>
            <w:r w:rsidRPr="008F03E5">
              <w:rPr>
                <w:sz w:val="18"/>
                <w:szCs w:val="18"/>
                <w:u w:val="single"/>
              </w:rPr>
              <w:t>kh</w:t>
            </w:r>
            <w:r w:rsidRPr="008F03E5">
              <w:rPr>
                <w:sz w:val="18"/>
                <w:szCs w:val="18"/>
              </w:rPr>
              <w:t>ruf</w:t>
            </w:r>
            <w:r w:rsidR="00120AFC" w:rsidRPr="008F03E5">
              <w:rPr>
                <w:sz w:val="18"/>
                <w:szCs w:val="18"/>
              </w:rPr>
              <w:t>—</w:t>
            </w:r>
            <w:r w:rsidRPr="008F03E5">
              <w:rPr>
                <w:sz w:val="18"/>
                <w:szCs w:val="18"/>
              </w:rPr>
              <w:t>The gold ornament, The embellishment</w:t>
            </w:r>
            <w:r w:rsidR="00F13B0C" w:rsidRPr="008F03E5">
              <w:rPr>
                <w:sz w:val="18"/>
                <w:szCs w:val="18"/>
              </w:rPr>
              <w:t xml:space="preserve"> </w:t>
            </w:r>
            <w:r w:rsidRPr="008F03E5">
              <w:rPr>
                <w:sz w:val="18"/>
                <w:szCs w:val="18"/>
              </w:rPr>
              <w:t>or The gilding</w:t>
            </w:r>
          </w:p>
        </w:tc>
        <w:tc>
          <w:tcPr>
            <w:tcW w:w="510" w:type="dxa"/>
            <w:tcBorders>
              <w:top w:val="nil"/>
              <w:left w:val="nil"/>
              <w:bottom w:val="nil"/>
              <w:right w:val="nil"/>
            </w:tcBorders>
            <w:shd w:val="clear" w:color="auto" w:fill="auto"/>
            <w:noWrap/>
            <w:hideMark/>
          </w:tcPr>
          <w:p w14:paraId="06EBF21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100</w:t>
            </w:r>
          </w:p>
        </w:tc>
        <w:tc>
          <w:tcPr>
            <w:tcW w:w="5102" w:type="dxa"/>
            <w:tcBorders>
              <w:top w:val="nil"/>
              <w:left w:val="nil"/>
              <w:bottom w:val="nil"/>
              <w:right w:val="nil"/>
            </w:tcBorders>
            <w:shd w:val="clear" w:color="auto" w:fill="auto"/>
            <w:noWrap/>
            <w:hideMark/>
          </w:tcPr>
          <w:p w14:paraId="24B3C16A" w14:textId="77777777" w:rsidR="006828D1" w:rsidRPr="008F03E5" w:rsidRDefault="006828D1" w:rsidP="00F13B0C">
            <w:pPr>
              <w:rPr>
                <w:sz w:val="18"/>
                <w:szCs w:val="18"/>
              </w:rPr>
            </w:pPr>
            <w:r w:rsidRPr="008F03E5">
              <w:rPr>
                <w:sz w:val="18"/>
                <w:szCs w:val="18"/>
              </w:rPr>
              <w:t>al-‘Ádiyát</w:t>
            </w:r>
            <w:r w:rsidR="00120AFC" w:rsidRPr="008F03E5">
              <w:rPr>
                <w:sz w:val="18"/>
                <w:szCs w:val="18"/>
              </w:rPr>
              <w:t>—</w:t>
            </w:r>
            <w:r w:rsidRPr="008F03E5">
              <w:rPr>
                <w:sz w:val="18"/>
                <w:szCs w:val="18"/>
              </w:rPr>
              <w:t>The chargers or The assaulters</w:t>
            </w:r>
          </w:p>
        </w:tc>
      </w:tr>
      <w:tr w:rsidR="00B8290C" w:rsidRPr="008F03E5" w14:paraId="29F0A91D" w14:textId="77777777" w:rsidTr="00F13B0C">
        <w:trPr>
          <w:trHeight w:val="255"/>
          <w:jc w:val="center"/>
        </w:trPr>
        <w:tc>
          <w:tcPr>
            <w:tcW w:w="435" w:type="dxa"/>
            <w:tcBorders>
              <w:top w:val="nil"/>
              <w:left w:val="nil"/>
              <w:bottom w:val="nil"/>
              <w:right w:val="nil"/>
            </w:tcBorders>
            <w:shd w:val="clear" w:color="auto" w:fill="auto"/>
            <w:noWrap/>
            <w:hideMark/>
          </w:tcPr>
          <w:p w14:paraId="39E78CFC"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44</w:t>
            </w:r>
          </w:p>
        </w:tc>
        <w:tc>
          <w:tcPr>
            <w:tcW w:w="4422" w:type="dxa"/>
            <w:tcBorders>
              <w:top w:val="nil"/>
              <w:left w:val="nil"/>
              <w:bottom w:val="nil"/>
              <w:right w:val="nil"/>
            </w:tcBorders>
            <w:shd w:val="clear" w:color="auto" w:fill="auto"/>
            <w:noWrap/>
            <w:hideMark/>
          </w:tcPr>
          <w:p w14:paraId="03187352" w14:textId="77777777" w:rsidR="006828D1" w:rsidRPr="008F03E5" w:rsidRDefault="006828D1" w:rsidP="00F13B0C">
            <w:pPr>
              <w:rPr>
                <w:sz w:val="18"/>
                <w:szCs w:val="18"/>
                <w14:numSpacing w14:val="tabular"/>
              </w:rPr>
            </w:pPr>
            <w:r w:rsidRPr="008F03E5">
              <w:rPr>
                <w:sz w:val="18"/>
                <w:szCs w:val="18"/>
              </w:rPr>
              <w:t>ad-Du</w:t>
            </w:r>
            <w:r w:rsidRPr="008F03E5">
              <w:rPr>
                <w:sz w:val="18"/>
                <w:szCs w:val="18"/>
                <w:u w:val="single"/>
              </w:rPr>
              <w:t>kh</w:t>
            </w:r>
            <w:r w:rsidRPr="008F03E5">
              <w:rPr>
                <w:sz w:val="18"/>
                <w:szCs w:val="18"/>
              </w:rPr>
              <w:t>án</w:t>
            </w:r>
            <w:r w:rsidR="00120AFC" w:rsidRPr="008F03E5">
              <w:rPr>
                <w:sz w:val="18"/>
                <w:szCs w:val="18"/>
              </w:rPr>
              <w:t>—</w:t>
            </w:r>
            <w:r w:rsidRPr="008F03E5">
              <w:rPr>
                <w:sz w:val="18"/>
                <w:szCs w:val="18"/>
              </w:rPr>
              <w:t>The smoke</w:t>
            </w:r>
          </w:p>
        </w:tc>
        <w:tc>
          <w:tcPr>
            <w:tcW w:w="510" w:type="dxa"/>
            <w:tcBorders>
              <w:top w:val="nil"/>
              <w:left w:val="nil"/>
              <w:bottom w:val="nil"/>
              <w:right w:val="nil"/>
            </w:tcBorders>
            <w:shd w:val="clear" w:color="auto" w:fill="auto"/>
            <w:noWrap/>
            <w:hideMark/>
          </w:tcPr>
          <w:p w14:paraId="5C0CC71C"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101</w:t>
            </w:r>
          </w:p>
        </w:tc>
        <w:tc>
          <w:tcPr>
            <w:tcW w:w="5102" w:type="dxa"/>
            <w:tcBorders>
              <w:top w:val="nil"/>
              <w:left w:val="nil"/>
              <w:bottom w:val="nil"/>
              <w:right w:val="nil"/>
            </w:tcBorders>
            <w:shd w:val="clear" w:color="auto" w:fill="auto"/>
            <w:noWrap/>
            <w:hideMark/>
          </w:tcPr>
          <w:p w14:paraId="713F7176" w14:textId="77777777" w:rsidR="006828D1" w:rsidRPr="008F03E5" w:rsidRDefault="006828D1" w:rsidP="00F13B0C">
            <w:pPr>
              <w:rPr>
                <w:sz w:val="18"/>
                <w:szCs w:val="18"/>
              </w:rPr>
            </w:pPr>
            <w:r w:rsidRPr="008F03E5">
              <w:rPr>
                <w:sz w:val="18"/>
                <w:szCs w:val="18"/>
              </w:rPr>
              <w:t>al-Qári‘ah</w:t>
            </w:r>
            <w:r w:rsidR="00120AFC" w:rsidRPr="008F03E5">
              <w:rPr>
                <w:sz w:val="18"/>
                <w:szCs w:val="18"/>
              </w:rPr>
              <w:t>—</w:t>
            </w:r>
            <w:r w:rsidRPr="008F03E5">
              <w:rPr>
                <w:sz w:val="18"/>
                <w:szCs w:val="18"/>
              </w:rPr>
              <w:t>The calamity or The great calamity</w:t>
            </w:r>
          </w:p>
        </w:tc>
      </w:tr>
      <w:tr w:rsidR="00B8290C" w:rsidRPr="008F03E5" w14:paraId="61C4D913" w14:textId="77777777" w:rsidTr="00F13B0C">
        <w:trPr>
          <w:trHeight w:val="255"/>
          <w:jc w:val="center"/>
        </w:trPr>
        <w:tc>
          <w:tcPr>
            <w:tcW w:w="435" w:type="dxa"/>
            <w:tcBorders>
              <w:top w:val="nil"/>
              <w:left w:val="nil"/>
              <w:bottom w:val="nil"/>
              <w:right w:val="nil"/>
            </w:tcBorders>
            <w:shd w:val="clear" w:color="auto" w:fill="auto"/>
            <w:noWrap/>
            <w:hideMark/>
          </w:tcPr>
          <w:p w14:paraId="10949115"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45</w:t>
            </w:r>
          </w:p>
        </w:tc>
        <w:tc>
          <w:tcPr>
            <w:tcW w:w="4422" w:type="dxa"/>
            <w:tcBorders>
              <w:top w:val="nil"/>
              <w:left w:val="nil"/>
              <w:bottom w:val="nil"/>
              <w:right w:val="nil"/>
            </w:tcBorders>
            <w:shd w:val="clear" w:color="auto" w:fill="auto"/>
            <w:noWrap/>
            <w:hideMark/>
          </w:tcPr>
          <w:p w14:paraId="2E8E9A69" w14:textId="77777777" w:rsidR="006828D1" w:rsidRPr="008F03E5" w:rsidRDefault="006828D1" w:rsidP="00F13B0C">
            <w:pPr>
              <w:rPr>
                <w:sz w:val="18"/>
                <w:szCs w:val="18"/>
                <w14:numSpacing w14:val="tabular"/>
              </w:rPr>
            </w:pPr>
            <w:r w:rsidRPr="008F03E5">
              <w:rPr>
                <w:sz w:val="18"/>
                <w:szCs w:val="18"/>
              </w:rPr>
              <w:t>al-Já</w:t>
            </w:r>
            <w:r w:rsidRPr="008F03E5">
              <w:rPr>
                <w:sz w:val="18"/>
                <w:szCs w:val="18"/>
                <w:u w:val="single"/>
              </w:rPr>
              <w:t>th</w:t>
            </w:r>
            <w:r w:rsidRPr="008F03E5">
              <w:rPr>
                <w:sz w:val="18"/>
                <w:szCs w:val="18"/>
              </w:rPr>
              <w:t>iya</w:t>
            </w:r>
            <w:r w:rsidR="00120AFC" w:rsidRPr="008F03E5">
              <w:rPr>
                <w:sz w:val="18"/>
                <w:szCs w:val="18"/>
              </w:rPr>
              <w:t>—</w:t>
            </w:r>
            <w:r w:rsidRPr="008F03E5">
              <w:rPr>
                <w:sz w:val="18"/>
                <w:szCs w:val="18"/>
              </w:rPr>
              <w:t>The kneeling one or The crouching one</w:t>
            </w:r>
          </w:p>
        </w:tc>
        <w:tc>
          <w:tcPr>
            <w:tcW w:w="510" w:type="dxa"/>
            <w:tcBorders>
              <w:top w:val="nil"/>
              <w:left w:val="nil"/>
              <w:bottom w:val="nil"/>
              <w:right w:val="nil"/>
            </w:tcBorders>
            <w:shd w:val="clear" w:color="auto" w:fill="auto"/>
            <w:noWrap/>
            <w:hideMark/>
          </w:tcPr>
          <w:p w14:paraId="2FC6886F"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102</w:t>
            </w:r>
          </w:p>
        </w:tc>
        <w:tc>
          <w:tcPr>
            <w:tcW w:w="5102" w:type="dxa"/>
            <w:tcBorders>
              <w:top w:val="nil"/>
              <w:left w:val="nil"/>
              <w:bottom w:val="nil"/>
              <w:right w:val="nil"/>
            </w:tcBorders>
            <w:shd w:val="clear" w:color="auto" w:fill="auto"/>
            <w:noWrap/>
            <w:hideMark/>
          </w:tcPr>
          <w:p w14:paraId="6E6CDF71"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at-Taká</w:t>
            </w:r>
            <w:r w:rsidRPr="008F03E5">
              <w:rPr>
                <w:sz w:val="18"/>
                <w:szCs w:val="18"/>
                <w:u w:val="single"/>
              </w:rPr>
              <w:t>th</w:t>
            </w:r>
            <w:r w:rsidRPr="008F03E5">
              <w:rPr>
                <w:sz w:val="18"/>
                <w:szCs w:val="18"/>
              </w:rPr>
              <w:t>ur</w:t>
            </w:r>
            <w:r w:rsidR="00120AFC" w:rsidRPr="008F03E5">
              <w:rPr>
                <w:sz w:val="18"/>
                <w:szCs w:val="18"/>
              </w:rPr>
              <w:t>—</w:t>
            </w:r>
            <w:r w:rsidRPr="008F03E5">
              <w:rPr>
                <w:sz w:val="18"/>
                <w:szCs w:val="18"/>
              </w:rPr>
              <w:t>The piling up or The worldly gain</w:t>
            </w:r>
          </w:p>
        </w:tc>
      </w:tr>
      <w:tr w:rsidR="00B8290C" w:rsidRPr="008F03E5" w14:paraId="2C2EFDFD" w14:textId="77777777" w:rsidTr="00F13B0C">
        <w:trPr>
          <w:trHeight w:val="255"/>
          <w:jc w:val="center"/>
        </w:trPr>
        <w:tc>
          <w:tcPr>
            <w:tcW w:w="435" w:type="dxa"/>
            <w:tcBorders>
              <w:top w:val="nil"/>
              <w:left w:val="nil"/>
              <w:bottom w:val="nil"/>
              <w:right w:val="nil"/>
            </w:tcBorders>
            <w:shd w:val="clear" w:color="auto" w:fill="auto"/>
            <w:noWrap/>
            <w:hideMark/>
          </w:tcPr>
          <w:p w14:paraId="57C8A4D0"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46</w:t>
            </w:r>
          </w:p>
        </w:tc>
        <w:tc>
          <w:tcPr>
            <w:tcW w:w="4422" w:type="dxa"/>
            <w:tcBorders>
              <w:top w:val="nil"/>
              <w:left w:val="nil"/>
              <w:bottom w:val="nil"/>
              <w:right w:val="nil"/>
            </w:tcBorders>
            <w:shd w:val="clear" w:color="auto" w:fill="auto"/>
            <w:noWrap/>
            <w:hideMark/>
          </w:tcPr>
          <w:p w14:paraId="4767A384" w14:textId="77777777" w:rsidR="006828D1" w:rsidRPr="008F03E5" w:rsidRDefault="006828D1" w:rsidP="00F13B0C">
            <w:pPr>
              <w:rPr>
                <w:sz w:val="18"/>
                <w:szCs w:val="18"/>
              </w:rPr>
            </w:pPr>
            <w:r w:rsidRPr="008F03E5">
              <w:rPr>
                <w:sz w:val="18"/>
                <w:szCs w:val="18"/>
              </w:rPr>
              <w:t>al-Aḥqáf</w:t>
            </w:r>
            <w:r w:rsidR="00120AFC" w:rsidRPr="008F03E5">
              <w:rPr>
                <w:sz w:val="18"/>
                <w:szCs w:val="18"/>
              </w:rPr>
              <w:t>—</w:t>
            </w:r>
            <w:r w:rsidRPr="008F03E5">
              <w:rPr>
                <w:sz w:val="18"/>
                <w:szCs w:val="18"/>
              </w:rPr>
              <w:t>The wind-curved sand hills or The winding sand-tracts</w:t>
            </w:r>
          </w:p>
        </w:tc>
        <w:tc>
          <w:tcPr>
            <w:tcW w:w="510" w:type="dxa"/>
            <w:tcBorders>
              <w:top w:val="nil"/>
              <w:left w:val="nil"/>
              <w:bottom w:val="nil"/>
              <w:right w:val="nil"/>
            </w:tcBorders>
            <w:shd w:val="clear" w:color="auto" w:fill="auto"/>
            <w:noWrap/>
            <w:hideMark/>
          </w:tcPr>
          <w:p w14:paraId="6DF8E4A1"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103</w:t>
            </w:r>
          </w:p>
        </w:tc>
        <w:tc>
          <w:tcPr>
            <w:tcW w:w="5102" w:type="dxa"/>
            <w:tcBorders>
              <w:top w:val="nil"/>
              <w:left w:val="nil"/>
              <w:bottom w:val="nil"/>
              <w:right w:val="nil"/>
            </w:tcBorders>
            <w:shd w:val="clear" w:color="auto" w:fill="auto"/>
            <w:noWrap/>
            <w:hideMark/>
          </w:tcPr>
          <w:p w14:paraId="0067E0FD" w14:textId="77777777" w:rsidR="006828D1" w:rsidRPr="008F03E5" w:rsidRDefault="006828D1" w:rsidP="00BC24FD">
            <w:pPr>
              <w:rPr>
                <w:sz w:val="18"/>
                <w:szCs w:val="18"/>
              </w:rPr>
            </w:pPr>
            <w:r w:rsidRPr="008F03E5">
              <w:rPr>
                <w:sz w:val="18"/>
                <w:szCs w:val="18"/>
              </w:rPr>
              <w:t>al-‘Aṣr</w:t>
            </w:r>
            <w:r w:rsidR="00120AFC" w:rsidRPr="008F03E5">
              <w:rPr>
                <w:sz w:val="18"/>
                <w:szCs w:val="18"/>
              </w:rPr>
              <w:t>—</w:t>
            </w:r>
            <w:r w:rsidRPr="008F03E5">
              <w:rPr>
                <w:sz w:val="18"/>
                <w:szCs w:val="18"/>
              </w:rPr>
              <w:t>Time or The afternoon</w:t>
            </w:r>
            <w:r w:rsidR="00BC24FD" w:rsidRPr="008F03E5">
              <w:rPr>
                <w:sz w:val="18"/>
                <w:szCs w:val="18"/>
              </w:rPr>
              <w:t xml:space="preserve"> (also wa’l-Aṣr, “By the Time”)</w:t>
            </w:r>
          </w:p>
        </w:tc>
      </w:tr>
      <w:tr w:rsidR="00B8290C" w:rsidRPr="008F03E5" w14:paraId="5FA97BD7" w14:textId="77777777" w:rsidTr="00F13B0C">
        <w:trPr>
          <w:trHeight w:val="255"/>
          <w:jc w:val="center"/>
        </w:trPr>
        <w:tc>
          <w:tcPr>
            <w:tcW w:w="435" w:type="dxa"/>
            <w:tcBorders>
              <w:top w:val="nil"/>
              <w:left w:val="nil"/>
              <w:bottom w:val="nil"/>
              <w:right w:val="nil"/>
            </w:tcBorders>
            <w:shd w:val="clear" w:color="auto" w:fill="auto"/>
            <w:noWrap/>
            <w:hideMark/>
          </w:tcPr>
          <w:p w14:paraId="21D28F9B"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47</w:t>
            </w:r>
          </w:p>
        </w:tc>
        <w:tc>
          <w:tcPr>
            <w:tcW w:w="4422" w:type="dxa"/>
            <w:tcBorders>
              <w:top w:val="nil"/>
              <w:left w:val="nil"/>
              <w:bottom w:val="nil"/>
              <w:right w:val="nil"/>
            </w:tcBorders>
            <w:shd w:val="clear" w:color="auto" w:fill="auto"/>
            <w:noWrap/>
            <w:hideMark/>
          </w:tcPr>
          <w:p w14:paraId="25DBF41E" w14:textId="77777777" w:rsidR="006828D1" w:rsidRPr="008F03E5" w:rsidRDefault="006828D1" w:rsidP="00F13B0C">
            <w:pPr>
              <w:rPr>
                <w:sz w:val="18"/>
                <w:szCs w:val="18"/>
              </w:rPr>
            </w:pPr>
            <w:r w:rsidRPr="008F03E5">
              <w:rPr>
                <w:sz w:val="18"/>
                <w:szCs w:val="18"/>
              </w:rPr>
              <w:t>Muḥammad</w:t>
            </w:r>
            <w:r w:rsidR="00120AFC" w:rsidRPr="008F03E5">
              <w:rPr>
                <w:sz w:val="18"/>
                <w:szCs w:val="18"/>
              </w:rPr>
              <w:t>—</w:t>
            </w:r>
            <w:r w:rsidRPr="008F03E5">
              <w:rPr>
                <w:sz w:val="18"/>
                <w:szCs w:val="18"/>
              </w:rPr>
              <w:t>Muḥammad</w:t>
            </w:r>
          </w:p>
        </w:tc>
        <w:tc>
          <w:tcPr>
            <w:tcW w:w="510" w:type="dxa"/>
            <w:tcBorders>
              <w:top w:val="nil"/>
              <w:left w:val="nil"/>
              <w:bottom w:val="nil"/>
              <w:right w:val="nil"/>
            </w:tcBorders>
            <w:shd w:val="clear" w:color="auto" w:fill="auto"/>
            <w:noWrap/>
            <w:hideMark/>
          </w:tcPr>
          <w:p w14:paraId="0230EF54"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104</w:t>
            </w:r>
          </w:p>
        </w:tc>
        <w:tc>
          <w:tcPr>
            <w:tcW w:w="5102" w:type="dxa"/>
            <w:tcBorders>
              <w:top w:val="nil"/>
              <w:left w:val="nil"/>
              <w:bottom w:val="nil"/>
              <w:right w:val="nil"/>
            </w:tcBorders>
            <w:shd w:val="clear" w:color="auto" w:fill="auto"/>
            <w:noWrap/>
            <w:hideMark/>
          </w:tcPr>
          <w:p w14:paraId="2A5A277C" w14:textId="77777777" w:rsidR="006828D1" w:rsidRPr="008F03E5" w:rsidRDefault="006828D1" w:rsidP="00F13B0C">
            <w:pPr>
              <w:rPr>
                <w:sz w:val="18"/>
                <w:szCs w:val="18"/>
              </w:rPr>
            </w:pPr>
            <w:r w:rsidRPr="008F03E5">
              <w:rPr>
                <w:sz w:val="18"/>
                <w:szCs w:val="18"/>
              </w:rPr>
              <w:t>al-Humazah</w:t>
            </w:r>
            <w:r w:rsidR="00120AFC" w:rsidRPr="008F03E5">
              <w:rPr>
                <w:sz w:val="18"/>
                <w:szCs w:val="18"/>
              </w:rPr>
              <w:t>—</w:t>
            </w:r>
            <w:r w:rsidRPr="008F03E5">
              <w:rPr>
                <w:sz w:val="18"/>
                <w:szCs w:val="18"/>
              </w:rPr>
              <w:t>The slanderer, The backbiter or The scandal-monger</w:t>
            </w:r>
          </w:p>
        </w:tc>
      </w:tr>
      <w:tr w:rsidR="00B8290C" w:rsidRPr="008F03E5" w14:paraId="405F98F5" w14:textId="77777777" w:rsidTr="00F13B0C">
        <w:trPr>
          <w:trHeight w:val="255"/>
          <w:jc w:val="center"/>
        </w:trPr>
        <w:tc>
          <w:tcPr>
            <w:tcW w:w="435" w:type="dxa"/>
            <w:tcBorders>
              <w:top w:val="nil"/>
              <w:left w:val="nil"/>
              <w:bottom w:val="nil"/>
              <w:right w:val="nil"/>
            </w:tcBorders>
            <w:shd w:val="clear" w:color="auto" w:fill="auto"/>
            <w:noWrap/>
            <w:hideMark/>
          </w:tcPr>
          <w:p w14:paraId="0400D601"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48</w:t>
            </w:r>
          </w:p>
        </w:tc>
        <w:tc>
          <w:tcPr>
            <w:tcW w:w="4422" w:type="dxa"/>
            <w:tcBorders>
              <w:top w:val="nil"/>
              <w:left w:val="nil"/>
              <w:bottom w:val="nil"/>
              <w:right w:val="nil"/>
            </w:tcBorders>
            <w:shd w:val="clear" w:color="auto" w:fill="auto"/>
            <w:noWrap/>
            <w:hideMark/>
          </w:tcPr>
          <w:p w14:paraId="2F1E913F" w14:textId="77777777" w:rsidR="006828D1" w:rsidRPr="008F03E5" w:rsidRDefault="006828D1" w:rsidP="00F13B0C">
            <w:pPr>
              <w:rPr>
                <w:sz w:val="18"/>
                <w:szCs w:val="18"/>
              </w:rPr>
            </w:pPr>
            <w:r w:rsidRPr="008F03E5">
              <w:rPr>
                <w:sz w:val="18"/>
                <w:szCs w:val="18"/>
              </w:rPr>
              <w:t>al-Fatḥ</w:t>
            </w:r>
            <w:r w:rsidR="00120AFC" w:rsidRPr="008F03E5">
              <w:rPr>
                <w:sz w:val="18"/>
                <w:szCs w:val="18"/>
              </w:rPr>
              <w:t>—</w:t>
            </w:r>
            <w:r w:rsidRPr="008F03E5">
              <w:rPr>
                <w:sz w:val="18"/>
                <w:szCs w:val="18"/>
              </w:rPr>
              <w:t>The victory</w:t>
            </w:r>
          </w:p>
        </w:tc>
        <w:tc>
          <w:tcPr>
            <w:tcW w:w="510" w:type="dxa"/>
            <w:tcBorders>
              <w:top w:val="nil"/>
              <w:left w:val="nil"/>
              <w:bottom w:val="nil"/>
              <w:right w:val="nil"/>
            </w:tcBorders>
            <w:shd w:val="clear" w:color="auto" w:fill="auto"/>
            <w:noWrap/>
            <w:hideMark/>
          </w:tcPr>
          <w:p w14:paraId="42B6F028"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105</w:t>
            </w:r>
          </w:p>
        </w:tc>
        <w:tc>
          <w:tcPr>
            <w:tcW w:w="5102" w:type="dxa"/>
            <w:tcBorders>
              <w:top w:val="nil"/>
              <w:left w:val="nil"/>
              <w:bottom w:val="nil"/>
              <w:right w:val="nil"/>
            </w:tcBorders>
            <w:shd w:val="clear" w:color="auto" w:fill="auto"/>
            <w:noWrap/>
            <w:hideMark/>
          </w:tcPr>
          <w:p w14:paraId="7F28194D" w14:textId="77777777" w:rsidR="006828D1" w:rsidRPr="008F03E5" w:rsidRDefault="006828D1" w:rsidP="00F13B0C">
            <w:pPr>
              <w:rPr>
                <w:sz w:val="18"/>
                <w:szCs w:val="18"/>
              </w:rPr>
            </w:pPr>
            <w:r w:rsidRPr="008F03E5">
              <w:rPr>
                <w:sz w:val="18"/>
                <w:szCs w:val="18"/>
              </w:rPr>
              <w:t>al-Fíl</w:t>
            </w:r>
            <w:r w:rsidR="00120AFC" w:rsidRPr="008F03E5">
              <w:rPr>
                <w:sz w:val="18"/>
                <w:szCs w:val="18"/>
              </w:rPr>
              <w:t>—</w:t>
            </w:r>
            <w:r w:rsidRPr="008F03E5">
              <w:rPr>
                <w:sz w:val="18"/>
                <w:szCs w:val="18"/>
              </w:rPr>
              <w:t>The elephant</w:t>
            </w:r>
          </w:p>
        </w:tc>
      </w:tr>
      <w:tr w:rsidR="00B8290C" w:rsidRPr="008F03E5" w14:paraId="5335AC6E" w14:textId="77777777" w:rsidTr="00F13B0C">
        <w:trPr>
          <w:trHeight w:val="255"/>
          <w:jc w:val="center"/>
        </w:trPr>
        <w:tc>
          <w:tcPr>
            <w:tcW w:w="435" w:type="dxa"/>
            <w:tcBorders>
              <w:top w:val="nil"/>
              <w:left w:val="nil"/>
              <w:bottom w:val="nil"/>
              <w:right w:val="nil"/>
            </w:tcBorders>
            <w:shd w:val="clear" w:color="auto" w:fill="auto"/>
            <w:noWrap/>
            <w:hideMark/>
          </w:tcPr>
          <w:p w14:paraId="2E7BBDC1"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49</w:t>
            </w:r>
          </w:p>
        </w:tc>
        <w:tc>
          <w:tcPr>
            <w:tcW w:w="4422" w:type="dxa"/>
            <w:tcBorders>
              <w:top w:val="nil"/>
              <w:left w:val="nil"/>
              <w:bottom w:val="nil"/>
              <w:right w:val="nil"/>
            </w:tcBorders>
            <w:shd w:val="clear" w:color="auto" w:fill="auto"/>
            <w:noWrap/>
            <w:hideMark/>
          </w:tcPr>
          <w:p w14:paraId="5C2B6B48" w14:textId="77777777" w:rsidR="006828D1" w:rsidRPr="008F03E5" w:rsidRDefault="006828D1" w:rsidP="00F13B0C">
            <w:pPr>
              <w:rPr>
                <w:sz w:val="18"/>
                <w:szCs w:val="18"/>
              </w:rPr>
            </w:pPr>
            <w:r w:rsidRPr="008F03E5">
              <w:rPr>
                <w:sz w:val="18"/>
                <w:szCs w:val="18"/>
              </w:rPr>
              <w:t>al-Ḥujarát</w:t>
            </w:r>
            <w:r w:rsidR="00120AFC" w:rsidRPr="008F03E5">
              <w:rPr>
                <w:sz w:val="18"/>
                <w:szCs w:val="18"/>
              </w:rPr>
              <w:t>—</w:t>
            </w:r>
            <w:r w:rsidRPr="008F03E5">
              <w:rPr>
                <w:sz w:val="18"/>
                <w:szCs w:val="18"/>
              </w:rPr>
              <w:t>The chambers or The rooms</w:t>
            </w:r>
          </w:p>
        </w:tc>
        <w:tc>
          <w:tcPr>
            <w:tcW w:w="510" w:type="dxa"/>
            <w:tcBorders>
              <w:top w:val="nil"/>
              <w:left w:val="nil"/>
              <w:bottom w:val="nil"/>
              <w:right w:val="nil"/>
            </w:tcBorders>
            <w:shd w:val="clear" w:color="auto" w:fill="auto"/>
            <w:noWrap/>
            <w:hideMark/>
          </w:tcPr>
          <w:p w14:paraId="08BF7EA7"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106</w:t>
            </w:r>
          </w:p>
        </w:tc>
        <w:tc>
          <w:tcPr>
            <w:tcW w:w="5102" w:type="dxa"/>
            <w:tcBorders>
              <w:top w:val="nil"/>
              <w:left w:val="nil"/>
              <w:bottom w:val="nil"/>
              <w:right w:val="nil"/>
            </w:tcBorders>
            <w:shd w:val="clear" w:color="auto" w:fill="auto"/>
            <w:noWrap/>
            <w:hideMark/>
          </w:tcPr>
          <w:p w14:paraId="356A89CF"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al-Quray</w:t>
            </w:r>
            <w:r w:rsidRPr="008F03E5">
              <w:rPr>
                <w:sz w:val="18"/>
                <w:szCs w:val="18"/>
                <w:u w:val="single"/>
              </w:rPr>
              <w:t>sh</w:t>
            </w:r>
            <w:r w:rsidR="00120AFC" w:rsidRPr="008F03E5">
              <w:rPr>
                <w:sz w:val="18"/>
                <w:szCs w:val="18"/>
              </w:rPr>
              <w:t>—</w:t>
            </w:r>
            <w:r w:rsidRPr="008F03E5">
              <w:rPr>
                <w:sz w:val="18"/>
                <w:szCs w:val="18"/>
              </w:rPr>
              <w:t>The Quraysh (tribe)</w:t>
            </w:r>
          </w:p>
        </w:tc>
      </w:tr>
      <w:tr w:rsidR="00B8290C" w:rsidRPr="008F03E5" w14:paraId="00056FDD" w14:textId="77777777" w:rsidTr="00F13B0C">
        <w:trPr>
          <w:trHeight w:val="255"/>
          <w:jc w:val="center"/>
        </w:trPr>
        <w:tc>
          <w:tcPr>
            <w:tcW w:w="435" w:type="dxa"/>
            <w:tcBorders>
              <w:top w:val="nil"/>
              <w:left w:val="nil"/>
              <w:bottom w:val="nil"/>
              <w:right w:val="nil"/>
            </w:tcBorders>
            <w:shd w:val="clear" w:color="auto" w:fill="auto"/>
            <w:noWrap/>
            <w:hideMark/>
          </w:tcPr>
          <w:p w14:paraId="4D24D6D2"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50</w:t>
            </w:r>
          </w:p>
        </w:tc>
        <w:tc>
          <w:tcPr>
            <w:tcW w:w="4422" w:type="dxa"/>
            <w:tcBorders>
              <w:top w:val="nil"/>
              <w:left w:val="nil"/>
              <w:bottom w:val="nil"/>
              <w:right w:val="nil"/>
            </w:tcBorders>
            <w:shd w:val="clear" w:color="auto" w:fill="auto"/>
            <w:noWrap/>
            <w:hideMark/>
          </w:tcPr>
          <w:p w14:paraId="19520E7B" w14:textId="77777777" w:rsidR="006828D1" w:rsidRPr="008F03E5" w:rsidRDefault="006828D1" w:rsidP="00F13B0C">
            <w:pPr>
              <w:rPr>
                <w:sz w:val="18"/>
                <w:szCs w:val="18"/>
              </w:rPr>
            </w:pPr>
            <w:r w:rsidRPr="008F03E5">
              <w:rPr>
                <w:sz w:val="18"/>
                <w:szCs w:val="18"/>
              </w:rPr>
              <w:t>Qáf</w:t>
            </w:r>
            <w:r w:rsidR="00120AFC" w:rsidRPr="008F03E5">
              <w:rPr>
                <w:sz w:val="18"/>
                <w:szCs w:val="18"/>
              </w:rPr>
              <w:t>—</w:t>
            </w:r>
            <w:r w:rsidRPr="008F03E5">
              <w:rPr>
                <w:sz w:val="18"/>
                <w:szCs w:val="18"/>
              </w:rPr>
              <w:t>Qáf</w:t>
            </w:r>
          </w:p>
        </w:tc>
        <w:tc>
          <w:tcPr>
            <w:tcW w:w="510" w:type="dxa"/>
            <w:tcBorders>
              <w:top w:val="nil"/>
              <w:left w:val="nil"/>
              <w:bottom w:val="nil"/>
              <w:right w:val="nil"/>
            </w:tcBorders>
            <w:shd w:val="clear" w:color="auto" w:fill="auto"/>
            <w:noWrap/>
            <w:hideMark/>
          </w:tcPr>
          <w:p w14:paraId="7C025680"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107</w:t>
            </w:r>
          </w:p>
        </w:tc>
        <w:tc>
          <w:tcPr>
            <w:tcW w:w="5102" w:type="dxa"/>
            <w:tcBorders>
              <w:top w:val="nil"/>
              <w:left w:val="nil"/>
              <w:bottom w:val="nil"/>
              <w:right w:val="nil"/>
            </w:tcBorders>
            <w:shd w:val="clear" w:color="auto" w:fill="auto"/>
            <w:noWrap/>
            <w:hideMark/>
          </w:tcPr>
          <w:p w14:paraId="00BD7A32" w14:textId="77777777" w:rsidR="006828D1" w:rsidRPr="008F03E5" w:rsidRDefault="006828D1" w:rsidP="00F13B0C">
            <w:pPr>
              <w:rPr>
                <w:sz w:val="18"/>
                <w:szCs w:val="18"/>
              </w:rPr>
            </w:pPr>
            <w:r w:rsidRPr="008F03E5">
              <w:rPr>
                <w:sz w:val="18"/>
                <w:szCs w:val="18"/>
              </w:rPr>
              <w:t>al-Ma‘ún</w:t>
            </w:r>
            <w:r w:rsidR="00120AFC" w:rsidRPr="008F03E5">
              <w:rPr>
                <w:sz w:val="18"/>
                <w:szCs w:val="18"/>
              </w:rPr>
              <w:t>—</w:t>
            </w:r>
            <w:r w:rsidRPr="008F03E5">
              <w:rPr>
                <w:sz w:val="18"/>
                <w:szCs w:val="18"/>
              </w:rPr>
              <w:t>The neighbourly assistance, The small kindnesses</w:t>
            </w:r>
            <w:r w:rsidR="00F13B0C" w:rsidRPr="008F03E5">
              <w:rPr>
                <w:sz w:val="18"/>
                <w:szCs w:val="18"/>
              </w:rPr>
              <w:t xml:space="preserve"> </w:t>
            </w:r>
            <w:r w:rsidRPr="008F03E5">
              <w:rPr>
                <w:sz w:val="18"/>
                <w:szCs w:val="18"/>
              </w:rPr>
              <w:t>or The alms giving</w:t>
            </w:r>
          </w:p>
        </w:tc>
      </w:tr>
      <w:tr w:rsidR="00B8290C" w:rsidRPr="008F03E5" w14:paraId="5EE7D0AB" w14:textId="77777777" w:rsidTr="00F13B0C">
        <w:trPr>
          <w:trHeight w:val="255"/>
          <w:jc w:val="center"/>
        </w:trPr>
        <w:tc>
          <w:tcPr>
            <w:tcW w:w="435" w:type="dxa"/>
            <w:tcBorders>
              <w:top w:val="nil"/>
              <w:left w:val="nil"/>
              <w:bottom w:val="nil"/>
              <w:right w:val="nil"/>
            </w:tcBorders>
            <w:shd w:val="clear" w:color="auto" w:fill="auto"/>
            <w:noWrap/>
            <w:hideMark/>
          </w:tcPr>
          <w:p w14:paraId="6BA11E64"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51</w:t>
            </w:r>
          </w:p>
        </w:tc>
        <w:tc>
          <w:tcPr>
            <w:tcW w:w="4422" w:type="dxa"/>
            <w:tcBorders>
              <w:top w:val="nil"/>
              <w:left w:val="nil"/>
              <w:bottom w:val="nil"/>
              <w:right w:val="nil"/>
            </w:tcBorders>
            <w:shd w:val="clear" w:color="auto" w:fill="auto"/>
            <w:noWrap/>
            <w:hideMark/>
          </w:tcPr>
          <w:p w14:paraId="1F17D502" w14:textId="77777777" w:rsidR="006828D1" w:rsidRPr="008F03E5" w:rsidRDefault="006828D1" w:rsidP="00F13B0C">
            <w:pPr>
              <w:rPr>
                <w:sz w:val="18"/>
                <w:szCs w:val="18"/>
                <w14:numSpacing w14:val="tabular"/>
              </w:rPr>
            </w:pPr>
            <w:r w:rsidRPr="008F03E5">
              <w:rPr>
                <w:sz w:val="18"/>
                <w:szCs w:val="18"/>
              </w:rPr>
              <w:t>a</w:t>
            </w:r>
            <w:r w:rsidRPr="008F03E5">
              <w:rPr>
                <w:sz w:val="18"/>
                <w:szCs w:val="18"/>
                <w:u w:val="single"/>
              </w:rPr>
              <w:t>dh</w:t>
            </w:r>
            <w:r w:rsidRPr="008F03E5">
              <w:rPr>
                <w:sz w:val="18"/>
                <w:szCs w:val="18"/>
              </w:rPr>
              <w:t>-</w:t>
            </w:r>
            <w:r w:rsidRPr="008F03E5">
              <w:rPr>
                <w:sz w:val="18"/>
                <w:szCs w:val="18"/>
                <w:u w:val="single"/>
              </w:rPr>
              <w:t>Dh</w:t>
            </w:r>
            <w:r w:rsidRPr="008F03E5">
              <w:rPr>
                <w:sz w:val="18"/>
                <w:szCs w:val="18"/>
              </w:rPr>
              <w:t>áriyát</w:t>
            </w:r>
            <w:r w:rsidR="00120AFC" w:rsidRPr="008F03E5">
              <w:rPr>
                <w:sz w:val="18"/>
                <w:szCs w:val="18"/>
              </w:rPr>
              <w:t>—</w:t>
            </w:r>
            <w:r w:rsidRPr="008F03E5">
              <w:rPr>
                <w:sz w:val="18"/>
                <w:szCs w:val="18"/>
              </w:rPr>
              <w:t>The winds that scatter</w:t>
            </w:r>
            <w:r w:rsidR="0086178E" w:rsidRPr="008F03E5">
              <w:rPr>
                <w:sz w:val="18"/>
                <w:szCs w:val="18"/>
              </w:rPr>
              <w:br/>
            </w:r>
            <w:r w:rsidRPr="008F03E5">
              <w:rPr>
                <w:sz w:val="18"/>
                <w:szCs w:val="18"/>
              </w:rPr>
              <w:t>or The winnowing winds</w:t>
            </w:r>
          </w:p>
        </w:tc>
        <w:tc>
          <w:tcPr>
            <w:tcW w:w="510" w:type="dxa"/>
            <w:tcBorders>
              <w:top w:val="nil"/>
              <w:left w:val="nil"/>
              <w:bottom w:val="nil"/>
              <w:right w:val="nil"/>
            </w:tcBorders>
            <w:shd w:val="clear" w:color="auto" w:fill="auto"/>
            <w:noWrap/>
            <w:hideMark/>
          </w:tcPr>
          <w:p w14:paraId="70535FDA"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108</w:t>
            </w:r>
          </w:p>
        </w:tc>
        <w:tc>
          <w:tcPr>
            <w:tcW w:w="5102" w:type="dxa"/>
            <w:tcBorders>
              <w:top w:val="nil"/>
              <w:left w:val="nil"/>
              <w:bottom w:val="nil"/>
              <w:right w:val="nil"/>
            </w:tcBorders>
            <w:shd w:val="clear" w:color="auto" w:fill="auto"/>
            <w:noWrap/>
            <w:hideMark/>
          </w:tcPr>
          <w:p w14:paraId="49911BE4"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al-Kaw</w:t>
            </w:r>
            <w:r w:rsidRPr="008F03E5">
              <w:rPr>
                <w:sz w:val="18"/>
                <w:szCs w:val="18"/>
                <w:u w:val="single"/>
              </w:rPr>
              <w:t>th</w:t>
            </w:r>
            <w:r w:rsidRPr="008F03E5">
              <w:rPr>
                <w:sz w:val="18"/>
                <w:szCs w:val="18"/>
              </w:rPr>
              <w:t>ar</w:t>
            </w:r>
            <w:r w:rsidR="00120AFC" w:rsidRPr="008F03E5">
              <w:rPr>
                <w:sz w:val="18"/>
                <w:szCs w:val="18"/>
              </w:rPr>
              <w:t>—</w:t>
            </w:r>
            <w:r w:rsidRPr="008F03E5">
              <w:rPr>
                <w:sz w:val="18"/>
                <w:szCs w:val="18"/>
              </w:rPr>
              <w:t>The abundance</w:t>
            </w:r>
          </w:p>
        </w:tc>
      </w:tr>
      <w:tr w:rsidR="00B8290C" w:rsidRPr="008F03E5" w14:paraId="60F273F2" w14:textId="77777777" w:rsidTr="00F13B0C">
        <w:trPr>
          <w:trHeight w:val="255"/>
          <w:jc w:val="center"/>
        </w:trPr>
        <w:tc>
          <w:tcPr>
            <w:tcW w:w="435" w:type="dxa"/>
            <w:tcBorders>
              <w:top w:val="nil"/>
              <w:left w:val="nil"/>
              <w:bottom w:val="nil"/>
              <w:right w:val="nil"/>
            </w:tcBorders>
            <w:shd w:val="clear" w:color="auto" w:fill="auto"/>
            <w:noWrap/>
            <w:hideMark/>
          </w:tcPr>
          <w:p w14:paraId="7E3D1DF6"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52</w:t>
            </w:r>
          </w:p>
        </w:tc>
        <w:tc>
          <w:tcPr>
            <w:tcW w:w="4422" w:type="dxa"/>
            <w:tcBorders>
              <w:top w:val="nil"/>
              <w:left w:val="nil"/>
              <w:bottom w:val="nil"/>
              <w:right w:val="nil"/>
            </w:tcBorders>
            <w:shd w:val="clear" w:color="auto" w:fill="auto"/>
            <w:noWrap/>
            <w:hideMark/>
          </w:tcPr>
          <w:p w14:paraId="09B37183" w14:textId="77777777" w:rsidR="006828D1" w:rsidRPr="008F03E5" w:rsidRDefault="006828D1" w:rsidP="00F13B0C">
            <w:pPr>
              <w:rPr>
                <w:sz w:val="18"/>
                <w:szCs w:val="18"/>
              </w:rPr>
            </w:pPr>
            <w:r w:rsidRPr="008F03E5">
              <w:rPr>
                <w:sz w:val="18"/>
                <w:szCs w:val="18"/>
              </w:rPr>
              <w:t>aṭ-Ṭúr</w:t>
            </w:r>
            <w:r w:rsidR="00120AFC" w:rsidRPr="008F03E5">
              <w:rPr>
                <w:sz w:val="18"/>
                <w:szCs w:val="18"/>
              </w:rPr>
              <w:t>—</w:t>
            </w:r>
            <w:r w:rsidRPr="008F03E5">
              <w:rPr>
                <w:sz w:val="18"/>
                <w:szCs w:val="18"/>
              </w:rPr>
              <w:t>The mountain or The mount</w:t>
            </w:r>
          </w:p>
        </w:tc>
        <w:tc>
          <w:tcPr>
            <w:tcW w:w="510" w:type="dxa"/>
            <w:tcBorders>
              <w:top w:val="nil"/>
              <w:left w:val="nil"/>
              <w:bottom w:val="nil"/>
              <w:right w:val="nil"/>
            </w:tcBorders>
            <w:shd w:val="clear" w:color="auto" w:fill="auto"/>
            <w:noWrap/>
            <w:hideMark/>
          </w:tcPr>
          <w:p w14:paraId="44166DE8"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109</w:t>
            </w:r>
          </w:p>
        </w:tc>
        <w:tc>
          <w:tcPr>
            <w:tcW w:w="5102" w:type="dxa"/>
            <w:tcBorders>
              <w:top w:val="nil"/>
              <w:left w:val="nil"/>
              <w:bottom w:val="nil"/>
              <w:right w:val="nil"/>
            </w:tcBorders>
            <w:shd w:val="clear" w:color="auto" w:fill="auto"/>
            <w:noWrap/>
            <w:hideMark/>
          </w:tcPr>
          <w:p w14:paraId="2B83236A" w14:textId="77777777" w:rsidR="006828D1" w:rsidRPr="008F03E5" w:rsidRDefault="006828D1" w:rsidP="00F13B0C">
            <w:pPr>
              <w:rPr>
                <w:sz w:val="18"/>
                <w:szCs w:val="18"/>
              </w:rPr>
            </w:pPr>
            <w:r w:rsidRPr="008F03E5">
              <w:rPr>
                <w:sz w:val="18"/>
                <w:szCs w:val="18"/>
              </w:rPr>
              <w:t>al-Káfirún</w:t>
            </w:r>
            <w:r w:rsidR="00120AFC" w:rsidRPr="008F03E5">
              <w:rPr>
                <w:sz w:val="18"/>
                <w:szCs w:val="18"/>
              </w:rPr>
              <w:t>—</w:t>
            </w:r>
            <w:r w:rsidRPr="008F03E5">
              <w:rPr>
                <w:sz w:val="18"/>
                <w:szCs w:val="18"/>
              </w:rPr>
              <w:t>The disbelievers or Those who reject faith</w:t>
            </w:r>
          </w:p>
        </w:tc>
      </w:tr>
      <w:tr w:rsidR="00B8290C" w:rsidRPr="008F03E5" w14:paraId="6D3631B9" w14:textId="77777777" w:rsidTr="00F13B0C">
        <w:trPr>
          <w:trHeight w:val="255"/>
          <w:jc w:val="center"/>
        </w:trPr>
        <w:tc>
          <w:tcPr>
            <w:tcW w:w="435" w:type="dxa"/>
            <w:tcBorders>
              <w:top w:val="nil"/>
              <w:left w:val="nil"/>
              <w:bottom w:val="nil"/>
              <w:right w:val="nil"/>
            </w:tcBorders>
            <w:shd w:val="clear" w:color="auto" w:fill="auto"/>
            <w:noWrap/>
            <w:hideMark/>
          </w:tcPr>
          <w:p w14:paraId="5056EDF8"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53</w:t>
            </w:r>
          </w:p>
        </w:tc>
        <w:tc>
          <w:tcPr>
            <w:tcW w:w="4422" w:type="dxa"/>
            <w:tcBorders>
              <w:top w:val="nil"/>
              <w:left w:val="nil"/>
              <w:bottom w:val="nil"/>
              <w:right w:val="nil"/>
            </w:tcBorders>
            <w:shd w:val="clear" w:color="auto" w:fill="auto"/>
            <w:noWrap/>
            <w:hideMark/>
          </w:tcPr>
          <w:p w14:paraId="31F421E1" w14:textId="77777777" w:rsidR="006828D1" w:rsidRPr="008F03E5" w:rsidRDefault="006828D1" w:rsidP="00F13B0C">
            <w:pPr>
              <w:rPr>
                <w:sz w:val="18"/>
                <w:szCs w:val="18"/>
              </w:rPr>
            </w:pPr>
            <w:r w:rsidRPr="008F03E5">
              <w:rPr>
                <w:sz w:val="18"/>
                <w:szCs w:val="18"/>
              </w:rPr>
              <w:t>an-Najm</w:t>
            </w:r>
            <w:r w:rsidR="00120AFC" w:rsidRPr="008F03E5">
              <w:rPr>
                <w:sz w:val="18"/>
                <w:szCs w:val="18"/>
              </w:rPr>
              <w:t>—</w:t>
            </w:r>
            <w:r w:rsidRPr="008F03E5">
              <w:rPr>
                <w:sz w:val="18"/>
                <w:szCs w:val="18"/>
              </w:rPr>
              <w:t>The star</w:t>
            </w:r>
          </w:p>
        </w:tc>
        <w:tc>
          <w:tcPr>
            <w:tcW w:w="510" w:type="dxa"/>
            <w:tcBorders>
              <w:top w:val="nil"/>
              <w:left w:val="nil"/>
              <w:bottom w:val="nil"/>
              <w:right w:val="nil"/>
            </w:tcBorders>
            <w:shd w:val="clear" w:color="auto" w:fill="auto"/>
            <w:noWrap/>
            <w:hideMark/>
          </w:tcPr>
          <w:p w14:paraId="7DC485F5"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110</w:t>
            </w:r>
          </w:p>
        </w:tc>
        <w:tc>
          <w:tcPr>
            <w:tcW w:w="5102" w:type="dxa"/>
            <w:tcBorders>
              <w:top w:val="nil"/>
              <w:left w:val="nil"/>
              <w:bottom w:val="nil"/>
              <w:right w:val="nil"/>
            </w:tcBorders>
            <w:shd w:val="clear" w:color="auto" w:fill="auto"/>
            <w:noWrap/>
            <w:hideMark/>
          </w:tcPr>
          <w:p w14:paraId="7754044F" w14:textId="77777777" w:rsidR="006828D1" w:rsidRPr="008F03E5" w:rsidRDefault="006828D1" w:rsidP="00F13B0C">
            <w:pPr>
              <w:rPr>
                <w:sz w:val="18"/>
                <w:szCs w:val="18"/>
              </w:rPr>
            </w:pPr>
            <w:r w:rsidRPr="008F03E5">
              <w:rPr>
                <w:sz w:val="18"/>
                <w:szCs w:val="18"/>
              </w:rPr>
              <w:t>an-Naṣr</w:t>
            </w:r>
            <w:r w:rsidR="00120AFC" w:rsidRPr="008F03E5">
              <w:rPr>
                <w:sz w:val="18"/>
                <w:szCs w:val="18"/>
              </w:rPr>
              <w:t>—</w:t>
            </w:r>
            <w:r w:rsidRPr="008F03E5">
              <w:rPr>
                <w:sz w:val="18"/>
                <w:szCs w:val="18"/>
              </w:rPr>
              <w:t>The help or The divine support</w:t>
            </w:r>
          </w:p>
        </w:tc>
      </w:tr>
      <w:tr w:rsidR="00B8290C" w:rsidRPr="008F03E5" w14:paraId="6B5847DE" w14:textId="77777777" w:rsidTr="00F13B0C">
        <w:trPr>
          <w:trHeight w:val="255"/>
          <w:jc w:val="center"/>
        </w:trPr>
        <w:tc>
          <w:tcPr>
            <w:tcW w:w="435" w:type="dxa"/>
            <w:tcBorders>
              <w:top w:val="nil"/>
              <w:left w:val="nil"/>
              <w:bottom w:val="nil"/>
              <w:right w:val="nil"/>
            </w:tcBorders>
            <w:shd w:val="clear" w:color="auto" w:fill="auto"/>
            <w:noWrap/>
            <w:hideMark/>
          </w:tcPr>
          <w:p w14:paraId="531E7D1E"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54</w:t>
            </w:r>
          </w:p>
        </w:tc>
        <w:tc>
          <w:tcPr>
            <w:tcW w:w="4422" w:type="dxa"/>
            <w:tcBorders>
              <w:top w:val="nil"/>
              <w:left w:val="nil"/>
              <w:bottom w:val="nil"/>
              <w:right w:val="nil"/>
            </w:tcBorders>
            <w:shd w:val="clear" w:color="auto" w:fill="auto"/>
            <w:noWrap/>
            <w:hideMark/>
          </w:tcPr>
          <w:p w14:paraId="53B2CBED" w14:textId="77777777" w:rsidR="006828D1" w:rsidRPr="008F03E5" w:rsidRDefault="006828D1" w:rsidP="00F13B0C">
            <w:pPr>
              <w:rPr>
                <w:sz w:val="18"/>
                <w:szCs w:val="18"/>
              </w:rPr>
            </w:pPr>
            <w:r w:rsidRPr="008F03E5">
              <w:rPr>
                <w:sz w:val="18"/>
                <w:szCs w:val="18"/>
              </w:rPr>
              <w:t>al-Qamar</w:t>
            </w:r>
            <w:r w:rsidR="00120AFC" w:rsidRPr="008F03E5">
              <w:rPr>
                <w:sz w:val="18"/>
                <w:szCs w:val="18"/>
              </w:rPr>
              <w:t>—</w:t>
            </w:r>
            <w:r w:rsidRPr="008F03E5">
              <w:rPr>
                <w:sz w:val="18"/>
                <w:szCs w:val="18"/>
              </w:rPr>
              <w:t>The moon</w:t>
            </w:r>
          </w:p>
        </w:tc>
        <w:tc>
          <w:tcPr>
            <w:tcW w:w="510" w:type="dxa"/>
            <w:tcBorders>
              <w:top w:val="nil"/>
              <w:left w:val="nil"/>
              <w:bottom w:val="nil"/>
              <w:right w:val="nil"/>
            </w:tcBorders>
            <w:shd w:val="clear" w:color="auto" w:fill="auto"/>
            <w:noWrap/>
            <w:hideMark/>
          </w:tcPr>
          <w:p w14:paraId="0D462FBF"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111</w:t>
            </w:r>
          </w:p>
        </w:tc>
        <w:tc>
          <w:tcPr>
            <w:tcW w:w="5102" w:type="dxa"/>
            <w:tcBorders>
              <w:top w:val="nil"/>
              <w:left w:val="nil"/>
              <w:bottom w:val="nil"/>
              <w:right w:val="nil"/>
            </w:tcBorders>
            <w:shd w:val="clear" w:color="auto" w:fill="auto"/>
            <w:noWrap/>
            <w:hideMark/>
          </w:tcPr>
          <w:p w14:paraId="58A27466" w14:textId="77777777" w:rsidR="006828D1" w:rsidRPr="008F03E5" w:rsidRDefault="006828D1" w:rsidP="00F13B0C">
            <w:pPr>
              <w:rPr>
                <w:sz w:val="18"/>
                <w:szCs w:val="18"/>
              </w:rPr>
            </w:pPr>
            <w:r w:rsidRPr="008F03E5">
              <w:rPr>
                <w:sz w:val="18"/>
                <w:szCs w:val="18"/>
              </w:rPr>
              <w:t>al-Masad or al-Lahab</w:t>
            </w:r>
            <w:r w:rsidR="00120AFC" w:rsidRPr="008F03E5">
              <w:rPr>
                <w:sz w:val="18"/>
                <w:szCs w:val="18"/>
              </w:rPr>
              <w:t>—</w:t>
            </w:r>
            <w:r w:rsidRPr="008F03E5">
              <w:rPr>
                <w:sz w:val="18"/>
                <w:szCs w:val="18"/>
              </w:rPr>
              <w:t>The palm fibre, The plaited rope</w:t>
            </w:r>
            <w:r w:rsidR="00F13B0C" w:rsidRPr="008F03E5">
              <w:rPr>
                <w:sz w:val="18"/>
                <w:szCs w:val="18"/>
              </w:rPr>
              <w:t xml:space="preserve"> </w:t>
            </w:r>
            <w:r w:rsidRPr="008F03E5">
              <w:rPr>
                <w:sz w:val="18"/>
                <w:szCs w:val="18"/>
              </w:rPr>
              <w:t>or The flame</w:t>
            </w:r>
          </w:p>
        </w:tc>
      </w:tr>
      <w:tr w:rsidR="00B8290C" w:rsidRPr="008F03E5" w14:paraId="174978FF" w14:textId="77777777" w:rsidTr="00F13B0C">
        <w:trPr>
          <w:trHeight w:val="255"/>
          <w:jc w:val="center"/>
        </w:trPr>
        <w:tc>
          <w:tcPr>
            <w:tcW w:w="435" w:type="dxa"/>
            <w:tcBorders>
              <w:top w:val="nil"/>
              <w:left w:val="nil"/>
              <w:bottom w:val="nil"/>
              <w:right w:val="nil"/>
            </w:tcBorders>
            <w:shd w:val="clear" w:color="auto" w:fill="auto"/>
            <w:noWrap/>
            <w:hideMark/>
          </w:tcPr>
          <w:p w14:paraId="34C9EF2F"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55</w:t>
            </w:r>
          </w:p>
        </w:tc>
        <w:tc>
          <w:tcPr>
            <w:tcW w:w="4422" w:type="dxa"/>
            <w:tcBorders>
              <w:top w:val="nil"/>
              <w:left w:val="nil"/>
              <w:bottom w:val="nil"/>
              <w:right w:val="nil"/>
            </w:tcBorders>
            <w:shd w:val="clear" w:color="auto" w:fill="auto"/>
            <w:noWrap/>
            <w:hideMark/>
          </w:tcPr>
          <w:p w14:paraId="41E9A854" w14:textId="77777777" w:rsidR="006828D1" w:rsidRPr="008F03E5" w:rsidRDefault="006828D1" w:rsidP="00F13B0C">
            <w:pPr>
              <w:rPr>
                <w:sz w:val="18"/>
                <w:szCs w:val="18"/>
              </w:rPr>
            </w:pPr>
            <w:r w:rsidRPr="008F03E5">
              <w:rPr>
                <w:sz w:val="18"/>
                <w:szCs w:val="18"/>
              </w:rPr>
              <w:t>ar-Raḥmán</w:t>
            </w:r>
            <w:r w:rsidR="00120AFC" w:rsidRPr="008F03E5">
              <w:rPr>
                <w:sz w:val="18"/>
                <w:szCs w:val="18"/>
              </w:rPr>
              <w:t>—</w:t>
            </w:r>
            <w:r w:rsidRPr="008F03E5">
              <w:rPr>
                <w:sz w:val="18"/>
                <w:szCs w:val="18"/>
              </w:rPr>
              <w:t>The Beneficent or The Most Gracious</w:t>
            </w:r>
          </w:p>
        </w:tc>
        <w:tc>
          <w:tcPr>
            <w:tcW w:w="510" w:type="dxa"/>
            <w:tcBorders>
              <w:top w:val="nil"/>
              <w:left w:val="nil"/>
              <w:bottom w:val="nil"/>
              <w:right w:val="nil"/>
            </w:tcBorders>
            <w:shd w:val="clear" w:color="auto" w:fill="auto"/>
            <w:noWrap/>
            <w:hideMark/>
          </w:tcPr>
          <w:p w14:paraId="3BEB7894"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112</w:t>
            </w:r>
          </w:p>
        </w:tc>
        <w:tc>
          <w:tcPr>
            <w:tcW w:w="5102" w:type="dxa"/>
            <w:tcBorders>
              <w:top w:val="nil"/>
              <w:left w:val="nil"/>
              <w:bottom w:val="nil"/>
              <w:right w:val="nil"/>
            </w:tcBorders>
            <w:shd w:val="clear" w:color="auto" w:fill="auto"/>
            <w:noWrap/>
            <w:hideMark/>
          </w:tcPr>
          <w:p w14:paraId="537DAC57" w14:textId="77777777" w:rsidR="006828D1" w:rsidRPr="008F03E5" w:rsidRDefault="006828D1" w:rsidP="00F13B0C">
            <w:pPr>
              <w:widowControl/>
              <w:kinsoku/>
              <w:overflowPunct/>
              <w:textAlignment w:val="auto"/>
              <w:rPr>
                <w:rFonts w:eastAsia="Times New Roman"/>
                <w:sz w:val="18"/>
                <w:szCs w:val="18"/>
                <w14:numSpacing w14:val="tabular"/>
              </w:rPr>
            </w:pPr>
            <w:r w:rsidRPr="008F03E5">
              <w:rPr>
                <w:sz w:val="18"/>
                <w:szCs w:val="18"/>
              </w:rPr>
              <w:t>al-I</w:t>
            </w:r>
            <w:r w:rsidRPr="008F03E5">
              <w:rPr>
                <w:sz w:val="18"/>
                <w:szCs w:val="18"/>
                <w:u w:val="single"/>
              </w:rPr>
              <w:t>kh</w:t>
            </w:r>
            <w:r w:rsidRPr="008F03E5">
              <w:rPr>
                <w:sz w:val="18"/>
                <w:szCs w:val="18"/>
              </w:rPr>
              <w:t>láṣ</w:t>
            </w:r>
            <w:r w:rsidR="00120AFC" w:rsidRPr="008F03E5">
              <w:rPr>
                <w:sz w:val="18"/>
                <w:szCs w:val="18"/>
              </w:rPr>
              <w:t>—</w:t>
            </w:r>
            <w:r w:rsidRPr="008F03E5">
              <w:rPr>
                <w:sz w:val="18"/>
                <w:szCs w:val="18"/>
              </w:rPr>
              <w:t>The sincerity or The purity of faith</w:t>
            </w:r>
          </w:p>
        </w:tc>
      </w:tr>
      <w:tr w:rsidR="00B8290C" w:rsidRPr="008F03E5" w14:paraId="6CA0FC6B" w14:textId="77777777" w:rsidTr="00F13B0C">
        <w:trPr>
          <w:trHeight w:val="255"/>
          <w:jc w:val="center"/>
        </w:trPr>
        <w:tc>
          <w:tcPr>
            <w:tcW w:w="435" w:type="dxa"/>
            <w:tcBorders>
              <w:top w:val="nil"/>
              <w:left w:val="nil"/>
              <w:bottom w:val="nil"/>
              <w:right w:val="nil"/>
            </w:tcBorders>
            <w:shd w:val="clear" w:color="auto" w:fill="auto"/>
            <w:noWrap/>
            <w:hideMark/>
          </w:tcPr>
          <w:p w14:paraId="78B39DFC"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56</w:t>
            </w:r>
          </w:p>
        </w:tc>
        <w:tc>
          <w:tcPr>
            <w:tcW w:w="4422" w:type="dxa"/>
            <w:tcBorders>
              <w:top w:val="nil"/>
              <w:left w:val="nil"/>
              <w:bottom w:val="nil"/>
              <w:right w:val="nil"/>
            </w:tcBorders>
            <w:shd w:val="clear" w:color="auto" w:fill="auto"/>
            <w:noWrap/>
            <w:hideMark/>
          </w:tcPr>
          <w:p w14:paraId="1DC0B41A" w14:textId="77777777" w:rsidR="006828D1" w:rsidRPr="008F03E5" w:rsidRDefault="006828D1" w:rsidP="00F13B0C">
            <w:pPr>
              <w:rPr>
                <w:sz w:val="18"/>
                <w:szCs w:val="18"/>
              </w:rPr>
            </w:pPr>
            <w:r w:rsidRPr="008F03E5">
              <w:rPr>
                <w:sz w:val="18"/>
                <w:szCs w:val="18"/>
              </w:rPr>
              <w:t>al-Wáqi‘ah</w:t>
            </w:r>
            <w:r w:rsidR="00120AFC" w:rsidRPr="008F03E5">
              <w:rPr>
                <w:sz w:val="18"/>
                <w:szCs w:val="18"/>
              </w:rPr>
              <w:t>—</w:t>
            </w:r>
            <w:r w:rsidRPr="008F03E5">
              <w:rPr>
                <w:sz w:val="18"/>
                <w:szCs w:val="18"/>
              </w:rPr>
              <w:t>The inevitable</w:t>
            </w:r>
          </w:p>
        </w:tc>
        <w:tc>
          <w:tcPr>
            <w:tcW w:w="510" w:type="dxa"/>
            <w:tcBorders>
              <w:top w:val="nil"/>
              <w:left w:val="nil"/>
              <w:bottom w:val="nil"/>
              <w:right w:val="nil"/>
            </w:tcBorders>
            <w:shd w:val="clear" w:color="auto" w:fill="auto"/>
            <w:noWrap/>
            <w:hideMark/>
          </w:tcPr>
          <w:p w14:paraId="04C9FE20"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113</w:t>
            </w:r>
          </w:p>
        </w:tc>
        <w:tc>
          <w:tcPr>
            <w:tcW w:w="5102" w:type="dxa"/>
            <w:tcBorders>
              <w:top w:val="nil"/>
              <w:left w:val="nil"/>
              <w:bottom w:val="nil"/>
              <w:right w:val="nil"/>
            </w:tcBorders>
            <w:shd w:val="clear" w:color="auto" w:fill="auto"/>
            <w:noWrap/>
            <w:hideMark/>
          </w:tcPr>
          <w:p w14:paraId="5426B956" w14:textId="77777777" w:rsidR="006828D1" w:rsidRPr="008F03E5" w:rsidRDefault="006828D1" w:rsidP="00F13B0C">
            <w:pPr>
              <w:rPr>
                <w:sz w:val="18"/>
                <w:szCs w:val="18"/>
              </w:rPr>
            </w:pPr>
            <w:r w:rsidRPr="008F03E5">
              <w:rPr>
                <w:sz w:val="18"/>
                <w:szCs w:val="18"/>
              </w:rPr>
              <w:t>al-Falaq</w:t>
            </w:r>
            <w:r w:rsidR="00120AFC" w:rsidRPr="008F03E5">
              <w:rPr>
                <w:sz w:val="18"/>
                <w:szCs w:val="18"/>
              </w:rPr>
              <w:t>—</w:t>
            </w:r>
            <w:r w:rsidRPr="008F03E5">
              <w:rPr>
                <w:sz w:val="18"/>
                <w:szCs w:val="18"/>
              </w:rPr>
              <w:t>The daybreak or The dawn</w:t>
            </w:r>
          </w:p>
        </w:tc>
      </w:tr>
      <w:tr w:rsidR="00B8290C" w:rsidRPr="008F03E5" w14:paraId="74D2D95E" w14:textId="77777777" w:rsidTr="00F13B0C">
        <w:trPr>
          <w:trHeight w:val="255"/>
          <w:jc w:val="center"/>
        </w:trPr>
        <w:tc>
          <w:tcPr>
            <w:tcW w:w="435" w:type="dxa"/>
            <w:tcBorders>
              <w:top w:val="nil"/>
              <w:left w:val="nil"/>
              <w:bottom w:val="nil"/>
              <w:right w:val="nil"/>
            </w:tcBorders>
            <w:shd w:val="clear" w:color="auto" w:fill="auto"/>
            <w:noWrap/>
            <w:hideMark/>
          </w:tcPr>
          <w:p w14:paraId="77008F73" w14:textId="77777777" w:rsidR="006828D1" w:rsidRPr="008F03E5" w:rsidRDefault="006828D1" w:rsidP="00F13B0C">
            <w:pPr>
              <w:tabs>
                <w:tab w:val="decimal" w:pos="219"/>
              </w:tabs>
              <w:rPr>
                <w:sz w:val="18"/>
                <w:szCs w:val="18"/>
                <w14:numSpacing w14:val="tabular"/>
              </w:rPr>
            </w:pPr>
            <w:r w:rsidRPr="008F03E5">
              <w:rPr>
                <w:sz w:val="18"/>
                <w:szCs w:val="18"/>
                <w14:numSpacing w14:val="tabular"/>
              </w:rPr>
              <w:t>57</w:t>
            </w:r>
          </w:p>
        </w:tc>
        <w:tc>
          <w:tcPr>
            <w:tcW w:w="4422" w:type="dxa"/>
            <w:tcBorders>
              <w:top w:val="nil"/>
              <w:left w:val="nil"/>
              <w:bottom w:val="nil"/>
              <w:right w:val="nil"/>
            </w:tcBorders>
            <w:shd w:val="clear" w:color="auto" w:fill="auto"/>
            <w:noWrap/>
            <w:hideMark/>
          </w:tcPr>
          <w:p w14:paraId="6B8C3545" w14:textId="77777777" w:rsidR="006828D1" w:rsidRPr="008F03E5" w:rsidRDefault="006828D1" w:rsidP="00F13B0C">
            <w:pPr>
              <w:rPr>
                <w:sz w:val="18"/>
                <w:szCs w:val="18"/>
              </w:rPr>
            </w:pPr>
            <w:r w:rsidRPr="008F03E5">
              <w:rPr>
                <w:sz w:val="18"/>
                <w:szCs w:val="18"/>
              </w:rPr>
              <w:t>al-Ḥadíd</w:t>
            </w:r>
            <w:r w:rsidR="00120AFC" w:rsidRPr="008F03E5">
              <w:rPr>
                <w:sz w:val="18"/>
                <w:szCs w:val="18"/>
              </w:rPr>
              <w:t>—</w:t>
            </w:r>
            <w:r w:rsidRPr="008F03E5">
              <w:rPr>
                <w:sz w:val="18"/>
                <w:szCs w:val="18"/>
              </w:rPr>
              <w:t>The iron</w:t>
            </w:r>
          </w:p>
        </w:tc>
        <w:tc>
          <w:tcPr>
            <w:tcW w:w="510" w:type="dxa"/>
            <w:tcBorders>
              <w:top w:val="nil"/>
              <w:left w:val="nil"/>
              <w:bottom w:val="nil"/>
              <w:right w:val="nil"/>
            </w:tcBorders>
            <w:shd w:val="clear" w:color="auto" w:fill="auto"/>
            <w:noWrap/>
            <w:hideMark/>
          </w:tcPr>
          <w:p w14:paraId="7CE49A10" w14:textId="77777777" w:rsidR="006828D1" w:rsidRPr="008F03E5" w:rsidRDefault="006828D1" w:rsidP="00F13B0C">
            <w:pPr>
              <w:tabs>
                <w:tab w:val="decimal" w:pos="288"/>
              </w:tabs>
              <w:rPr>
                <w:sz w:val="18"/>
                <w:szCs w:val="18"/>
                <w14:numSpacing w14:val="tabular"/>
              </w:rPr>
            </w:pPr>
            <w:r w:rsidRPr="008F03E5">
              <w:rPr>
                <w:sz w:val="18"/>
                <w:szCs w:val="18"/>
                <w14:numSpacing w14:val="tabular"/>
              </w:rPr>
              <w:t>114</w:t>
            </w:r>
          </w:p>
        </w:tc>
        <w:tc>
          <w:tcPr>
            <w:tcW w:w="5102" w:type="dxa"/>
            <w:tcBorders>
              <w:top w:val="nil"/>
              <w:left w:val="nil"/>
              <w:bottom w:val="nil"/>
              <w:right w:val="nil"/>
            </w:tcBorders>
            <w:shd w:val="clear" w:color="auto" w:fill="auto"/>
            <w:noWrap/>
            <w:hideMark/>
          </w:tcPr>
          <w:p w14:paraId="68F75DB5" w14:textId="77777777" w:rsidR="006828D1" w:rsidRPr="008F03E5" w:rsidRDefault="006828D1" w:rsidP="00F13B0C">
            <w:pPr>
              <w:rPr>
                <w:sz w:val="18"/>
                <w:szCs w:val="18"/>
              </w:rPr>
            </w:pPr>
            <w:r w:rsidRPr="008F03E5">
              <w:rPr>
                <w:sz w:val="18"/>
                <w:szCs w:val="18"/>
              </w:rPr>
              <w:t>an-Nás</w:t>
            </w:r>
            <w:r w:rsidR="00120AFC" w:rsidRPr="008F03E5">
              <w:rPr>
                <w:sz w:val="18"/>
                <w:szCs w:val="18"/>
              </w:rPr>
              <w:t>—</w:t>
            </w:r>
            <w:r w:rsidRPr="008F03E5">
              <w:rPr>
                <w:sz w:val="18"/>
                <w:szCs w:val="18"/>
              </w:rPr>
              <w:t>Mankind</w:t>
            </w:r>
          </w:p>
        </w:tc>
      </w:tr>
    </w:tbl>
    <w:p w14:paraId="57E9EB93" w14:textId="351D2D88" w:rsidR="000F1F81" w:rsidRPr="00AC20E3" w:rsidRDefault="000F1F81" w:rsidP="00112B76">
      <w:pPr>
        <w:pStyle w:val="Myhead"/>
      </w:pPr>
      <w:bookmarkStart w:id="248" w:name="_Toc149326104"/>
      <w:r w:rsidRPr="008F03E5">
        <w:t>Qur</w:t>
      </w:r>
      <w:r w:rsidR="004933FF" w:rsidRPr="008F03E5">
        <w:t>’</w:t>
      </w:r>
      <w:r w:rsidRPr="008F03E5">
        <w:t xml:space="preserve">anic </w:t>
      </w:r>
      <w:r w:rsidR="008F4ABA" w:rsidRPr="008F03E5">
        <w:t>“</w:t>
      </w:r>
      <w:r w:rsidRPr="008F03E5">
        <w:t>names</w:t>
      </w:r>
      <w:r w:rsidR="008F4ABA" w:rsidRPr="008F03E5">
        <w:t>”</w:t>
      </w:r>
      <w:r w:rsidRPr="008F03E5">
        <w:t xml:space="preserve"> of God</w:t>
      </w:r>
      <w:bookmarkEnd w:id="248"/>
      <w:r w:rsidR="00BB58C6" w:rsidRPr="00BB58C6">
        <w:rPr>
          <w:b w:val="0"/>
          <w:sz w:val="12"/>
        </w:rPr>
        <w:fldChar w:fldCharType="begin"/>
      </w:r>
      <w:r w:rsidR="00BB58C6" w:rsidRPr="00BB58C6">
        <w:rPr>
          <w:b w:val="0"/>
          <w:sz w:val="12"/>
          <w:lang w:val="en-AU"/>
        </w:rPr>
        <w:instrText xml:space="preserve"> TC “</w:instrText>
      </w:r>
      <w:bookmarkStart w:id="249" w:name="_Toc149476410"/>
      <w:bookmarkStart w:id="250" w:name="_Toc167691909"/>
      <w:r w:rsidR="00BB58C6" w:rsidRPr="00BB58C6">
        <w:rPr>
          <w:b w:val="0"/>
          <w:sz w:val="12"/>
        </w:rPr>
        <w:instrText>Qur’anic</w:instrText>
      </w:r>
      <w:bookmarkEnd w:id="249"/>
      <w:r w:rsidR="00BB58C6" w:rsidRPr="00BB58C6">
        <w:rPr>
          <w:b w:val="0"/>
          <w:sz w:val="12"/>
        </w:rPr>
        <w:instrText xml:space="preserve"> \“names\” of God</w:instrText>
      </w:r>
      <w:r w:rsidR="00BB58C6" w:rsidRPr="00BB58C6">
        <w:rPr>
          <w:b w:val="0"/>
          <w:color w:val="FFFFFF" w:themeColor="background1"/>
          <w:sz w:val="12"/>
          <w:lang w:val="en-AU"/>
        </w:rPr>
        <w:instrText>..</w:instrText>
      </w:r>
      <w:r w:rsidR="00BB58C6" w:rsidRPr="00BB58C6">
        <w:rPr>
          <w:b w:val="0"/>
          <w:sz w:val="12"/>
          <w:lang w:val="en-AU"/>
        </w:rPr>
        <w:tab/>
      </w:r>
      <w:r w:rsidR="00BB58C6" w:rsidRPr="00BB58C6">
        <w:rPr>
          <w:b w:val="0"/>
          <w:color w:val="FFFFFF" w:themeColor="background1"/>
          <w:sz w:val="12"/>
          <w:lang w:val="en-AU"/>
        </w:rPr>
        <w:instrText>.</w:instrText>
      </w:r>
      <w:bookmarkEnd w:id="250"/>
      <w:r w:rsidR="00BB58C6" w:rsidRPr="00BB58C6">
        <w:rPr>
          <w:b w:val="0"/>
          <w:sz w:val="12"/>
          <w:lang w:val="en-AU"/>
        </w:rPr>
        <w:instrText>” \l 1</w:instrText>
      </w:r>
      <w:r w:rsidR="00BB58C6" w:rsidRPr="00BB58C6">
        <w:rPr>
          <w:b w:val="0"/>
          <w:sz w:val="12"/>
        </w:rPr>
        <w:fldChar w:fldCharType="end"/>
      </w:r>
    </w:p>
    <w:p w14:paraId="43FF4D21" w14:textId="77777777" w:rsidR="002F317C" w:rsidRPr="008F03E5" w:rsidRDefault="002F317C" w:rsidP="00416F9A">
      <w:pPr>
        <w:pStyle w:val="Text"/>
      </w:pPr>
      <w:r w:rsidRPr="008F03E5">
        <w:t xml:space="preserve">The 99 names of God (Alláh) (listed in traditional order in the table), known as the ‘asmá’u’lláhi’l-ḥusná </w:t>
      </w:r>
      <w:r w:rsidRPr="008F03E5">
        <w:rPr>
          <w:cs/>
        </w:rPr>
        <w:t>‎</w:t>
      </w:r>
      <w:r w:rsidRPr="008F03E5">
        <w:t>(Beautiful Names of Alláh), are also called the 99 attributes of Alláh.</w:t>
      </w:r>
    </w:p>
    <w:p w14:paraId="343EC5F4" w14:textId="77777777" w:rsidR="002F317C" w:rsidRPr="008F03E5" w:rsidRDefault="002F317C" w:rsidP="002F317C">
      <w:pPr>
        <w:pStyle w:val="Text"/>
      </w:pPr>
      <w:r w:rsidRPr="008F03E5">
        <w:t>There is a tradition in Sufism that these names point to a mystical “Most Supreme and Superior Name” (</w:t>
      </w:r>
      <w:r w:rsidRPr="008F03E5">
        <w:rPr>
          <w:i/>
          <w:iCs/>
        </w:rPr>
        <w:t>Ismu’l-A‘ẓam</w:t>
      </w:r>
      <w:r w:rsidRPr="008F03E5">
        <w:t>).</w:t>
      </w:r>
    </w:p>
    <w:p w14:paraId="673CE8BF" w14:textId="77777777" w:rsidR="002F317C" w:rsidRPr="008F03E5" w:rsidRDefault="002F317C" w:rsidP="002F317C">
      <w:pPr>
        <w:pStyle w:val="Text"/>
      </w:pPr>
      <w:r w:rsidRPr="008F03E5">
        <w:t>Bahá</w:t>
      </w:r>
      <w:r w:rsidR="00BC2D6A" w:rsidRPr="008F03E5">
        <w:t>’</w:t>
      </w:r>
      <w:r w:rsidRPr="008F03E5">
        <w:t>í sources state the Greatest or 100th name is “Bahá’” (“glory, splendour”), which appears in the words Bahá’u’lláh and Bahá’í.</w:t>
      </w:r>
    </w:p>
    <w:p w14:paraId="26B9CFB0" w14:textId="77777777" w:rsidR="002F317C" w:rsidRPr="008F03E5" w:rsidRDefault="002F317C" w:rsidP="00446CC1">
      <w:pPr>
        <w:pStyle w:val="Text"/>
        <w:spacing w:after="60"/>
      </w:pPr>
      <w:r w:rsidRPr="008F03E5">
        <w:t>‘Abdu’l-Ḥamíd I</w:t>
      </w:r>
      <w:r w:rsidRPr="008F03E5">
        <w:rPr>
          <w:u w:val="single"/>
        </w:rPr>
        <w:t>sh</w:t>
      </w:r>
      <w:r w:rsidRPr="008F03E5">
        <w:t>ráq-</w:t>
      </w:r>
      <w:r w:rsidRPr="008F03E5">
        <w:rPr>
          <w:u w:val="single"/>
        </w:rPr>
        <w:t>Kh</w:t>
      </w:r>
      <w:r w:rsidRPr="008F03E5">
        <w:t>ávarí states Bahá’ a</w:t>
      </w:r>
      <w:r w:rsidR="005B4248" w:rsidRPr="008F03E5">
        <w:t>d</w:t>
      </w:r>
      <w:r w:rsidRPr="008F03E5">
        <w:t>-Dín al-‘Ámilí adopted the Persian poetic pen name “Bahá’” after being inspired by the words of Muḥammad al-Báqir, and the sixth Imám, Ja‘far a</w:t>
      </w:r>
      <w:r w:rsidR="005B4248" w:rsidRPr="008F03E5">
        <w:t>ṣ</w:t>
      </w:r>
      <w:r w:rsidRPr="008F03E5">
        <w:t xml:space="preserve">-Ṣádiq, who stated that the greatest name of God was included in either the </w:t>
      </w:r>
      <w:r w:rsidRPr="008F03E5">
        <w:rPr>
          <w:i/>
          <w:iCs/>
        </w:rPr>
        <w:t>Du‘á’u’l-Bahá’</w:t>
      </w:r>
      <w:r w:rsidRPr="008F03E5">
        <w:t xml:space="preserve"> (four times in the first verse), a dawn prayer for Ramaḍán or the </w:t>
      </w:r>
      <w:r w:rsidRPr="008F03E5">
        <w:rPr>
          <w:i/>
          <w:iCs/>
        </w:rPr>
        <w:t>‘A‘mal ‘am Dawúd</w:t>
      </w:r>
      <w:r w:rsidRPr="008F03E5">
        <w:t>.</w:t>
      </w:r>
    </w:p>
    <w:tbl>
      <w:tblPr>
        <w:tblW w:w="8098" w:type="dxa"/>
        <w:jc w:val="center"/>
        <w:tblLook w:val="04A0" w:firstRow="1" w:lastRow="0" w:firstColumn="1" w:lastColumn="0" w:noHBand="0" w:noVBand="1"/>
      </w:tblPr>
      <w:tblGrid>
        <w:gridCol w:w="444"/>
        <w:gridCol w:w="1417"/>
        <w:gridCol w:w="1928"/>
        <w:gridCol w:w="4309"/>
      </w:tblGrid>
      <w:tr w:rsidR="002F317C" w:rsidRPr="008F03E5" w14:paraId="45BEE0A5"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16166C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w:t>
            </w:r>
          </w:p>
        </w:tc>
        <w:tc>
          <w:tcPr>
            <w:tcW w:w="1417" w:type="dxa"/>
            <w:tcBorders>
              <w:top w:val="nil"/>
              <w:left w:val="nil"/>
              <w:bottom w:val="nil"/>
              <w:right w:val="nil"/>
            </w:tcBorders>
            <w:shd w:val="clear" w:color="auto" w:fill="auto"/>
            <w:noWrap/>
            <w:vAlign w:val="center"/>
            <w:hideMark/>
          </w:tcPr>
          <w:p w14:paraId="50B0EA4F" w14:textId="77777777" w:rsidR="002F317C" w:rsidRPr="008F03E5" w:rsidRDefault="002F317C" w:rsidP="00B243EB">
            <w:r w:rsidRPr="008F03E5">
              <w:rPr>
                <w:rtl/>
              </w:rPr>
              <w:t>ٱلْرَّحْمَـانُ</w:t>
            </w:r>
          </w:p>
        </w:tc>
        <w:tc>
          <w:tcPr>
            <w:tcW w:w="1928" w:type="dxa"/>
            <w:tcBorders>
              <w:top w:val="nil"/>
              <w:left w:val="nil"/>
              <w:bottom w:val="nil"/>
              <w:right w:val="nil"/>
            </w:tcBorders>
            <w:shd w:val="clear" w:color="auto" w:fill="auto"/>
            <w:noWrap/>
            <w:vAlign w:val="center"/>
            <w:hideMark/>
          </w:tcPr>
          <w:p w14:paraId="2E19C8DE" w14:textId="77777777" w:rsidR="002F317C" w:rsidRPr="008F03E5" w:rsidRDefault="002F317C" w:rsidP="003D329D">
            <w:pPr>
              <w:rPr>
                <w:sz w:val="18"/>
                <w:szCs w:val="18"/>
              </w:rPr>
            </w:pPr>
            <w:r w:rsidRPr="008F03E5">
              <w:rPr>
                <w:sz w:val="18"/>
                <w:szCs w:val="18"/>
              </w:rPr>
              <w:t>ar-Raḥmán</w:t>
            </w:r>
          </w:p>
        </w:tc>
        <w:tc>
          <w:tcPr>
            <w:tcW w:w="4309" w:type="dxa"/>
            <w:tcBorders>
              <w:top w:val="nil"/>
              <w:left w:val="nil"/>
              <w:bottom w:val="nil"/>
              <w:right w:val="nil"/>
            </w:tcBorders>
            <w:shd w:val="clear" w:color="auto" w:fill="auto"/>
            <w:noWrap/>
            <w:vAlign w:val="center"/>
            <w:hideMark/>
          </w:tcPr>
          <w:p w14:paraId="2E3BC344" w14:textId="77777777" w:rsidR="002F317C" w:rsidRPr="008F03E5" w:rsidRDefault="002F317C" w:rsidP="003D329D">
            <w:pPr>
              <w:rPr>
                <w:sz w:val="18"/>
                <w:szCs w:val="18"/>
              </w:rPr>
            </w:pPr>
            <w:r w:rsidRPr="008F03E5">
              <w:rPr>
                <w:sz w:val="18"/>
                <w:szCs w:val="18"/>
              </w:rPr>
              <w:t>The All Beneficent</w:t>
            </w:r>
          </w:p>
        </w:tc>
      </w:tr>
      <w:tr w:rsidR="002F317C" w:rsidRPr="008F03E5" w14:paraId="4F63B3C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6BCE4B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w:t>
            </w:r>
          </w:p>
        </w:tc>
        <w:tc>
          <w:tcPr>
            <w:tcW w:w="1417" w:type="dxa"/>
            <w:tcBorders>
              <w:top w:val="nil"/>
              <w:left w:val="nil"/>
              <w:bottom w:val="nil"/>
              <w:right w:val="nil"/>
            </w:tcBorders>
            <w:shd w:val="clear" w:color="auto" w:fill="auto"/>
            <w:noWrap/>
            <w:vAlign w:val="center"/>
            <w:hideMark/>
          </w:tcPr>
          <w:p w14:paraId="579F4B52" w14:textId="77777777" w:rsidR="002F317C" w:rsidRPr="008F03E5" w:rsidRDefault="002F317C" w:rsidP="00B243EB">
            <w:r w:rsidRPr="008F03E5">
              <w:rPr>
                <w:rtl/>
              </w:rPr>
              <w:t>ٱلْرَّحِيْمُ</w:t>
            </w:r>
          </w:p>
        </w:tc>
        <w:tc>
          <w:tcPr>
            <w:tcW w:w="1928" w:type="dxa"/>
            <w:tcBorders>
              <w:top w:val="nil"/>
              <w:left w:val="nil"/>
              <w:bottom w:val="nil"/>
              <w:right w:val="nil"/>
            </w:tcBorders>
            <w:shd w:val="clear" w:color="auto" w:fill="auto"/>
            <w:noWrap/>
            <w:vAlign w:val="center"/>
            <w:hideMark/>
          </w:tcPr>
          <w:p w14:paraId="151978E2" w14:textId="77777777" w:rsidR="002F317C" w:rsidRPr="008F03E5" w:rsidRDefault="002F317C" w:rsidP="003D329D">
            <w:pPr>
              <w:rPr>
                <w:sz w:val="18"/>
                <w:szCs w:val="18"/>
              </w:rPr>
            </w:pPr>
            <w:r w:rsidRPr="008F03E5">
              <w:rPr>
                <w:sz w:val="18"/>
                <w:szCs w:val="18"/>
              </w:rPr>
              <w:t>ar-Raḥím</w:t>
            </w:r>
          </w:p>
        </w:tc>
        <w:tc>
          <w:tcPr>
            <w:tcW w:w="4309" w:type="dxa"/>
            <w:tcBorders>
              <w:top w:val="nil"/>
              <w:left w:val="nil"/>
              <w:bottom w:val="nil"/>
              <w:right w:val="nil"/>
            </w:tcBorders>
            <w:shd w:val="clear" w:color="auto" w:fill="auto"/>
            <w:noWrap/>
            <w:vAlign w:val="center"/>
            <w:hideMark/>
          </w:tcPr>
          <w:p w14:paraId="0D3F45C1" w14:textId="77777777" w:rsidR="002F317C" w:rsidRPr="008F03E5" w:rsidRDefault="002F317C" w:rsidP="003D329D">
            <w:pPr>
              <w:rPr>
                <w:sz w:val="18"/>
                <w:szCs w:val="18"/>
              </w:rPr>
            </w:pPr>
            <w:r w:rsidRPr="008F03E5">
              <w:rPr>
                <w:sz w:val="18"/>
                <w:szCs w:val="18"/>
              </w:rPr>
              <w:t>The Most Merciful</w:t>
            </w:r>
          </w:p>
        </w:tc>
      </w:tr>
      <w:tr w:rsidR="002F317C" w:rsidRPr="008F03E5" w14:paraId="192771B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EF5FCF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w:t>
            </w:r>
          </w:p>
        </w:tc>
        <w:tc>
          <w:tcPr>
            <w:tcW w:w="1417" w:type="dxa"/>
            <w:tcBorders>
              <w:top w:val="nil"/>
              <w:left w:val="nil"/>
              <w:bottom w:val="nil"/>
              <w:right w:val="nil"/>
            </w:tcBorders>
            <w:shd w:val="clear" w:color="auto" w:fill="auto"/>
            <w:noWrap/>
            <w:vAlign w:val="center"/>
            <w:hideMark/>
          </w:tcPr>
          <w:p w14:paraId="7DF677BA" w14:textId="77777777" w:rsidR="002F317C" w:rsidRPr="008F03E5" w:rsidRDefault="002F317C" w:rsidP="00B243EB">
            <w:r w:rsidRPr="008F03E5">
              <w:rPr>
                <w:rtl/>
              </w:rPr>
              <w:t>ٱلْمَـالِكُ</w:t>
            </w:r>
          </w:p>
        </w:tc>
        <w:tc>
          <w:tcPr>
            <w:tcW w:w="1928" w:type="dxa"/>
            <w:tcBorders>
              <w:top w:val="nil"/>
              <w:left w:val="nil"/>
              <w:bottom w:val="nil"/>
              <w:right w:val="nil"/>
            </w:tcBorders>
            <w:shd w:val="clear" w:color="auto" w:fill="auto"/>
            <w:noWrap/>
            <w:vAlign w:val="center"/>
            <w:hideMark/>
          </w:tcPr>
          <w:p w14:paraId="735C1F44" w14:textId="77777777" w:rsidR="002F317C" w:rsidRPr="008F03E5" w:rsidRDefault="002F317C" w:rsidP="003D329D">
            <w:pPr>
              <w:rPr>
                <w:sz w:val="18"/>
                <w:szCs w:val="18"/>
              </w:rPr>
            </w:pPr>
            <w:r w:rsidRPr="008F03E5">
              <w:rPr>
                <w:sz w:val="18"/>
                <w:szCs w:val="18"/>
              </w:rPr>
              <w:t>al-Málik</w:t>
            </w:r>
          </w:p>
        </w:tc>
        <w:tc>
          <w:tcPr>
            <w:tcW w:w="4309" w:type="dxa"/>
            <w:tcBorders>
              <w:top w:val="nil"/>
              <w:left w:val="nil"/>
              <w:bottom w:val="nil"/>
              <w:right w:val="nil"/>
            </w:tcBorders>
            <w:shd w:val="clear" w:color="auto" w:fill="auto"/>
            <w:noWrap/>
            <w:vAlign w:val="center"/>
            <w:hideMark/>
          </w:tcPr>
          <w:p w14:paraId="302867EB" w14:textId="77777777" w:rsidR="002F317C" w:rsidRPr="008F03E5" w:rsidRDefault="002F317C" w:rsidP="003D329D">
            <w:pPr>
              <w:rPr>
                <w:sz w:val="18"/>
                <w:szCs w:val="18"/>
              </w:rPr>
            </w:pPr>
            <w:r w:rsidRPr="008F03E5">
              <w:rPr>
                <w:sz w:val="18"/>
                <w:szCs w:val="18"/>
              </w:rPr>
              <w:t>The King, the Sovereign</w:t>
            </w:r>
          </w:p>
        </w:tc>
      </w:tr>
      <w:tr w:rsidR="002F317C" w:rsidRPr="008F03E5" w14:paraId="30E9041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9428766"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w:t>
            </w:r>
          </w:p>
        </w:tc>
        <w:tc>
          <w:tcPr>
            <w:tcW w:w="1417" w:type="dxa"/>
            <w:tcBorders>
              <w:top w:val="nil"/>
              <w:left w:val="nil"/>
              <w:bottom w:val="nil"/>
              <w:right w:val="nil"/>
            </w:tcBorders>
            <w:shd w:val="clear" w:color="auto" w:fill="auto"/>
            <w:noWrap/>
            <w:vAlign w:val="center"/>
            <w:hideMark/>
          </w:tcPr>
          <w:p w14:paraId="28510895" w14:textId="77777777" w:rsidR="002F317C" w:rsidRPr="008F03E5" w:rsidRDefault="002F317C" w:rsidP="00B243EB">
            <w:r w:rsidRPr="008F03E5">
              <w:rPr>
                <w:rtl/>
              </w:rPr>
              <w:t>ٱلْقُدُّوسُ</w:t>
            </w:r>
          </w:p>
        </w:tc>
        <w:tc>
          <w:tcPr>
            <w:tcW w:w="1928" w:type="dxa"/>
            <w:tcBorders>
              <w:top w:val="nil"/>
              <w:left w:val="nil"/>
              <w:bottom w:val="nil"/>
              <w:right w:val="nil"/>
            </w:tcBorders>
            <w:shd w:val="clear" w:color="auto" w:fill="auto"/>
            <w:noWrap/>
            <w:vAlign w:val="center"/>
            <w:hideMark/>
          </w:tcPr>
          <w:p w14:paraId="47C2FC44" w14:textId="77777777" w:rsidR="002F317C" w:rsidRPr="008F03E5" w:rsidRDefault="002F317C" w:rsidP="003D329D">
            <w:pPr>
              <w:rPr>
                <w:sz w:val="18"/>
                <w:szCs w:val="18"/>
              </w:rPr>
            </w:pPr>
            <w:r w:rsidRPr="008F03E5">
              <w:rPr>
                <w:sz w:val="18"/>
                <w:szCs w:val="18"/>
              </w:rPr>
              <w:t>al-Quddús</w:t>
            </w:r>
          </w:p>
        </w:tc>
        <w:tc>
          <w:tcPr>
            <w:tcW w:w="4309" w:type="dxa"/>
            <w:tcBorders>
              <w:top w:val="nil"/>
              <w:left w:val="nil"/>
              <w:bottom w:val="nil"/>
              <w:right w:val="nil"/>
            </w:tcBorders>
            <w:shd w:val="clear" w:color="auto" w:fill="auto"/>
            <w:noWrap/>
            <w:vAlign w:val="center"/>
            <w:hideMark/>
          </w:tcPr>
          <w:p w14:paraId="1E54A920" w14:textId="77777777" w:rsidR="002F317C" w:rsidRPr="008F03E5" w:rsidRDefault="002F317C" w:rsidP="003D329D">
            <w:pPr>
              <w:rPr>
                <w:sz w:val="18"/>
                <w:szCs w:val="18"/>
              </w:rPr>
            </w:pPr>
            <w:r w:rsidRPr="008F03E5">
              <w:rPr>
                <w:sz w:val="18"/>
                <w:szCs w:val="18"/>
              </w:rPr>
              <w:t>The Most Holy</w:t>
            </w:r>
          </w:p>
        </w:tc>
      </w:tr>
      <w:tr w:rsidR="002F317C" w:rsidRPr="008F03E5" w14:paraId="12B7D247"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64EF3E4"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w:t>
            </w:r>
          </w:p>
        </w:tc>
        <w:tc>
          <w:tcPr>
            <w:tcW w:w="1417" w:type="dxa"/>
            <w:tcBorders>
              <w:top w:val="nil"/>
              <w:left w:val="nil"/>
              <w:bottom w:val="nil"/>
              <w:right w:val="nil"/>
            </w:tcBorders>
            <w:shd w:val="clear" w:color="auto" w:fill="auto"/>
            <w:noWrap/>
            <w:vAlign w:val="center"/>
            <w:hideMark/>
          </w:tcPr>
          <w:p w14:paraId="4DEF769A" w14:textId="77777777" w:rsidR="002F317C" w:rsidRPr="008F03E5" w:rsidRDefault="002F317C" w:rsidP="00B243EB">
            <w:r w:rsidRPr="008F03E5">
              <w:rPr>
                <w:rtl/>
              </w:rPr>
              <w:t>ٱلْسَّلَامُ</w:t>
            </w:r>
          </w:p>
        </w:tc>
        <w:tc>
          <w:tcPr>
            <w:tcW w:w="1928" w:type="dxa"/>
            <w:tcBorders>
              <w:top w:val="nil"/>
              <w:left w:val="nil"/>
              <w:bottom w:val="nil"/>
              <w:right w:val="nil"/>
            </w:tcBorders>
            <w:shd w:val="clear" w:color="auto" w:fill="auto"/>
            <w:noWrap/>
            <w:vAlign w:val="center"/>
            <w:hideMark/>
          </w:tcPr>
          <w:p w14:paraId="76A5C6B0" w14:textId="77777777" w:rsidR="002F317C" w:rsidRPr="008F03E5" w:rsidRDefault="002F317C" w:rsidP="003D329D">
            <w:pPr>
              <w:rPr>
                <w:sz w:val="18"/>
                <w:szCs w:val="18"/>
              </w:rPr>
            </w:pPr>
            <w:r w:rsidRPr="008F03E5">
              <w:rPr>
                <w:sz w:val="18"/>
                <w:szCs w:val="18"/>
              </w:rPr>
              <w:t>as-Salám</w:t>
            </w:r>
          </w:p>
        </w:tc>
        <w:tc>
          <w:tcPr>
            <w:tcW w:w="4309" w:type="dxa"/>
            <w:tcBorders>
              <w:top w:val="nil"/>
              <w:left w:val="nil"/>
              <w:bottom w:val="nil"/>
              <w:right w:val="nil"/>
            </w:tcBorders>
            <w:shd w:val="clear" w:color="auto" w:fill="auto"/>
            <w:noWrap/>
            <w:vAlign w:val="center"/>
            <w:hideMark/>
          </w:tcPr>
          <w:p w14:paraId="50C4387C" w14:textId="77777777" w:rsidR="002F317C" w:rsidRPr="008F03E5" w:rsidRDefault="002F317C" w:rsidP="003D329D">
            <w:pPr>
              <w:rPr>
                <w:sz w:val="18"/>
                <w:szCs w:val="18"/>
              </w:rPr>
            </w:pPr>
            <w:r w:rsidRPr="008F03E5">
              <w:rPr>
                <w:sz w:val="18"/>
                <w:szCs w:val="18"/>
              </w:rPr>
              <w:t>Peace and Blessing</w:t>
            </w:r>
          </w:p>
        </w:tc>
      </w:tr>
      <w:tr w:rsidR="002F317C" w:rsidRPr="008F03E5" w14:paraId="758F99F0"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10AB07B"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w:t>
            </w:r>
          </w:p>
        </w:tc>
        <w:tc>
          <w:tcPr>
            <w:tcW w:w="1417" w:type="dxa"/>
            <w:tcBorders>
              <w:top w:val="nil"/>
              <w:left w:val="nil"/>
              <w:bottom w:val="nil"/>
              <w:right w:val="nil"/>
            </w:tcBorders>
            <w:shd w:val="clear" w:color="auto" w:fill="auto"/>
            <w:noWrap/>
            <w:vAlign w:val="center"/>
            <w:hideMark/>
          </w:tcPr>
          <w:p w14:paraId="02212B7D" w14:textId="77777777" w:rsidR="002F317C" w:rsidRPr="008F03E5" w:rsidRDefault="002F317C" w:rsidP="00B243EB">
            <w:r w:rsidRPr="008F03E5">
              <w:rPr>
                <w:rtl/>
              </w:rPr>
              <w:t>ٱلْمُؤْمِنُ</w:t>
            </w:r>
          </w:p>
        </w:tc>
        <w:tc>
          <w:tcPr>
            <w:tcW w:w="1928" w:type="dxa"/>
            <w:tcBorders>
              <w:top w:val="nil"/>
              <w:left w:val="nil"/>
              <w:bottom w:val="nil"/>
              <w:right w:val="nil"/>
            </w:tcBorders>
            <w:shd w:val="clear" w:color="auto" w:fill="auto"/>
            <w:noWrap/>
            <w:vAlign w:val="center"/>
            <w:hideMark/>
          </w:tcPr>
          <w:p w14:paraId="4D8E14DB" w14:textId="77777777" w:rsidR="002F317C" w:rsidRPr="008F03E5" w:rsidRDefault="002F317C" w:rsidP="003D329D">
            <w:pPr>
              <w:rPr>
                <w:sz w:val="18"/>
                <w:szCs w:val="18"/>
              </w:rPr>
            </w:pPr>
            <w:r w:rsidRPr="008F03E5">
              <w:rPr>
                <w:sz w:val="18"/>
                <w:szCs w:val="18"/>
              </w:rPr>
              <w:t>al-Mu’min</w:t>
            </w:r>
          </w:p>
        </w:tc>
        <w:tc>
          <w:tcPr>
            <w:tcW w:w="4309" w:type="dxa"/>
            <w:tcBorders>
              <w:top w:val="nil"/>
              <w:left w:val="nil"/>
              <w:bottom w:val="nil"/>
              <w:right w:val="nil"/>
            </w:tcBorders>
            <w:shd w:val="clear" w:color="auto" w:fill="auto"/>
            <w:noWrap/>
            <w:vAlign w:val="center"/>
            <w:hideMark/>
          </w:tcPr>
          <w:p w14:paraId="5EC2E31C" w14:textId="77777777" w:rsidR="002F317C" w:rsidRPr="008F03E5" w:rsidRDefault="002F317C" w:rsidP="003D329D">
            <w:pPr>
              <w:rPr>
                <w:sz w:val="18"/>
                <w:szCs w:val="18"/>
              </w:rPr>
            </w:pPr>
            <w:r w:rsidRPr="008F03E5">
              <w:rPr>
                <w:sz w:val="18"/>
                <w:szCs w:val="18"/>
              </w:rPr>
              <w:t>The Guarantor</w:t>
            </w:r>
          </w:p>
        </w:tc>
      </w:tr>
      <w:tr w:rsidR="002F317C" w:rsidRPr="008F03E5" w14:paraId="70B46C26"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1117431"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w:t>
            </w:r>
          </w:p>
        </w:tc>
        <w:tc>
          <w:tcPr>
            <w:tcW w:w="1417" w:type="dxa"/>
            <w:tcBorders>
              <w:top w:val="nil"/>
              <w:left w:val="nil"/>
              <w:bottom w:val="nil"/>
              <w:right w:val="nil"/>
            </w:tcBorders>
            <w:shd w:val="clear" w:color="auto" w:fill="auto"/>
            <w:noWrap/>
            <w:vAlign w:val="center"/>
            <w:hideMark/>
          </w:tcPr>
          <w:p w14:paraId="35A333C6" w14:textId="77777777" w:rsidR="002F317C" w:rsidRPr="008F03E5" w:rsidRDefault="002F317C" w:rsidP="00B243EB">
            <w:r w:rsidRPr="008F03E5">
              <w:rPr>
                <w:rtl/>
              </w:rPr>
              <w:t>ٱلْمُهَيْمِنُ</w:t>
            </w:r>
          </w:p>
        </w:tc>
        <w:tc>
          <w:tcPr>
            <w:tcW w:w="1928" w:type="dxa"/>
            <w:tcBorders>
              <w:top w:val="nil"/>
              <w:left w:val="nil"/>
              <w:bottom w:val="nil"/>
              <w:right w:val="nil"/>
            </w:tcBorders>
            <w:shd w:val="clear" w:color="auto" w:fill="auto"/>
            <w:noWrap/>
            <w:vAlign w:val="center"/>
            <w:hideMark/>
          </w:tcPr>
          <w:p w14:paraId="510600B4" w14:textId="77777777" w:rsidR="002F317C" w:rsidRPr="008F03E5" w:rsidRDefault="002F317C" w:rsidP="003D329D">
            <w:pPr>
              <w:rPr>
                <w:sz w:val="18"/>
                <w:szCs w:val="18"/>
              </w:rPr>
            </w:pPr>
            <w:r w:rsidRPr="008F03E5">
              <w:rPr>
                <w:sz w:val="18"/>
                <w:szCs w:val="18"/>
              </w:rPr>
              <w:t>al-Muhaymin</w:t>
            </w:r>
          </w:p>
        </w:tc>
        <w:tc>
          <w:tcPr>
            <w:tcW w:w="4309" w:type="dxa"/>
            <w:tcBorders>
              <w:top w:val="nil"/>
              <w:left w:val="nil"/>
              <w:bottom w:val="nil"/>
              <w:right w:val="nil"/>
            </w:tcBorders>
            <w:shd w:val="clear" w:color="auto" w:fill="auto"/>
            <w:noWrap/>
            <w:vAlign w:val="center"/>
            <w:hideMark/>
          </w:tcPr>
          <w:p w14:paraId="6E55E80F" w14:textId="77777777" w:rsidR="002F317C" w:rsidRPr="008F03E5" w:rsidRDefault="002F317C" w:rsidP="003D329D">
            <w:pPr>
              <w:rPr>
                <w:sz w:val="18"/>
                <w:szCs w:val="18"/>
              </w:rPr>
            </w:pPr>
            <w:r w:rsidRPr="008F03E5">
              <w:rPr>
                <w:sz w:val="18"/>
                <w:szCs w:val="18"/>
              </w:rPr>
              <w:t>The Guardian, the Preserver</w:t>
            </w:r>
          </w:p>
        </w:tc>
      </w:tr>
      <w:tr w:rsidR="002F317C" w:rsidRPr="008F03E5" w14:paraId="1B5653F8"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4A5F2CD"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w:t>
            </w:r>
          </w:p>
        </w:tc>
        <w:tc>
          <w:tcPr>
            <w:tcW w:w="1417" w:type="dxa"/>
            <w:tcBorders>
              <w:top w:val="nil"/>
              <w:left w:val="nil"/>
              <w:bottom w:val="nil"/>
              <w:right w:val="nil"/>
            </w:tcBorders>
            <w:shd w:val="clear" w:color="auto" w:fill="auto"/>
            <w:noWrap/>
            <w:vAlign w:val="center"/>
            <w:hideMark/>
          </w:tcPr>
          <w:p w14:paraId="7D608C31" w14:textId="77777777" w:rsidR="002F317C" w:rsidRPr="008F03E5" w:rsidRDefault="002F317C" w:rsidP="00B243EB">
            <w:r w:rsidRPr="008F03E5">
              <w:rPr>
                <w:rtl/>
              </w:rPr>
              <w:t>ٱلْعَزِيزُ</w:t>
            </w:r>
          </w:p>
        </w:tc>
        <w:tc>
          <w:tcPr>
            <w:tcW w:w="1928" w:type="dxa"/>
            <w:tcBorders>
              <w:top w:val="nil"/>
              <w:left w:val="nil"/>
              <w:bottom w:val="nil"/>
              <w:right w:val="nil"/>
            </w:tcBorders>
            <w:shd w:val="clear" w:color="auto" w:fill="auto"/>
            <w:noWrap/>
            <w:vAlign w:val="center"/>
            <w:hideMark/>
          </w:tcPr>
          <w:p w14:paraId="7BEF3F50" w14:textId="77777777" w:rsidR="002F317C" w:rsidRPr="008F03E5" w:rsidRDefault="002F317C" w:rsidP="003D329D">
            <w:pPr>
              <w:rPr>
                <w:sz w:val="18"/>
                <w:szCs w:val="18"/>
              </w:rPr>
            </w:pPr>
            <w:r w:rsidRPr="008F03E5">
              <w:rPr>
                <w:sz w:val="18"/>
                <w:szCs w:val="18"/>
              </w:rPr>
              <w:t>al-‘Azíz</w:t>
            </w:r>
          </w:p>
        </w:tc>
        <w:tc>
          <w:tcPr>
            <w:tcW w:w="4309" w:type="dxa"/>
            <w:tcBorders>
              <w:top w:val="nil"/>
              <w:left w:val="nil"/>
              <w:bottom w:val="nil"/>
              <w:right w:val="nil"/>
            </w:tcBorders>
            <w:shd w:val="clear" w:color="auto" w:fill="auto"/>
            <w:noWrap/>
            <w:vAlign w:val="center"/>
            <w:hideMark/>
          </w:tcPr>
          <w:p w14:paraId="245CE8A9" w14:textId="77777777" w:rsidR="002F317C" w:rsidRPr="008F03E5" w:rsidRDefault="002F317C" w:rsidP="003D329D">
            <w:pPr>
              <w:rPr>
                <w:sz w:val="18"/>
                <w:szCs w:val="18"/>
              </w:rPr>
            </w:pPr>
            <w:r w:rsidRPr="008F03E5">
              <w:rPr>
                <w:sz w:val="18"/>
                <w:szCs w:val="18"/>
              </w:rPr>
              <w:t>The Almighty, the Self-sufficient</w:t>
            </w:r>
          </w:p>
        </w:tc>
      </w:tr>
      <w:tr w:rsidR="002F317C" w:rsidRPr="008F03E5" w14:paraId="03EA9A1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9E009E3"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w:t>
            </w:r>
          </w:p>
        </w:tc>
        <w:tc>
          <w:tcPr>
            <w:tcW w:w="1417" w:type="dxa"/>
            <w:tcBorders>
              <w:top w:val="nil"/>
              <w:left w:val="nil"/>
              <w:bottom w:val="nil"/>
              <w:right w:val="nil"/>
            </w:tcBorders>
            <w:shd w:val="clear" w:color="auto" w:fill="auto"/>
            <w:noWrap/>
            <w:vAlign w:val="center"/>
            <w:hideMark/>
          </w:tcPr>
          <w:p w14:paraId="02E83D88" w14:textId="77777777" w:rsidR="002F317C" w:rsidRPr="008F03E5" w:rsidRDefault="002F317C" w:rsidP="00B243EB">
            <w:r w:rsidRPr="008F03E5">
              <w:rPr>
                <w:rtl/>
              </w:rPr>
              <w:t>ٱلْجَبَّارُ</w:t>
            </w:r>
          </w:p>
        </w:tc>
        <w:tc>
          <w:tcPr>
            <w:tcW w:w="1928" w:type="dxa"/>
            <w:tcBorders>
              <w:top w:val="nil"/>
              <w:left w:val="nil"/>
              <w:bottom w:val="nil"/>
              <w:right w:val="nil"/>
            </w:tcBorders>
            <w:shd w:val="clear" w:color="auto" w:fill="auto"/>
            <w:noWrap/>
            <w:vAlign w:val="center"/>
            <w:hideMark/>
          </w:tcPr>
          <w:p w14:paraId="228D4BBF" w14:textId="77777777" w:rsidR="002F317C" w:rsidRPr="008F03E5" w:rsidRDefault="002F317C" w:rsidP="003D329D">
            <w:pPr>
              <w:rPr>
                <w:sz w:val="18"/>
                <w:szCs w:val="18"/>
              </w:rPr>
            </w:pPr>
            <w:r w:rsidRPr="008F03E5">
              <w:rPr>
                <w:sz w:val="18"/>
                <w:szCs w:val="18"/>
              </w:rPr>
              <w:t>al-Jabbár</w:t>
            </w:r>
          </w:p>
        </w:tc>
        <w:tc>
          <w:tcPr>
            <w:tcW w:w="4309" w:type="dxa"/>
            <w:tcBorders>
              <w:top w:val="nil"/>
              <w:left w:val="nil"/>
              <w:bottom w:val="nil"/>
              <w:right w:val="nil"/>
            </w:tcBorders>
            <w:shd w:val="clear" w:color="auto" w:fill="auto"/>
            <w:noWrap/>
            <w:vAlign w:val="center"/>
            <w:hideMark/>
          </w:tcPr>
          <w:p w14:paraId="219FA0DA" w14:textId="77777777" w:rsidR="002F317C" w:rsidRPr="008F03E5" w:rsidRDefault="002F317C" w:rsidP="003D329D">
            <w:pPr>
              <w:rPr>
                <w:sz w:val="18"/>
                <w:szCs w:val="18"/>
              </w:rPr>
            </w:pPr>
            <w:r w:rsidRPr="008F03E5">
              <w:rPr>
                <w:sz w:val="18"/>
                <w:szCs w:val="18"/>
              </w:rPr>
              <w:t>The Powerful, the Irresistible</w:t>
            </w:r>
          </w:p>
        </w:tc>
      </w:tr>
      <w:tr w:rsidR="002F317C" w:rsidRPr="008F03E5" w14:paraId="799531FE"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A266ED2"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10</w:t>
            </w:r>
          </w:p>
        </w:tc>
        <w:tc>
          <w:tcPr>
            <w:tcW w:w="1417" w:type="dxa"/>
            <w:tcBorders>
              <w:top w:val="nil"/>
              <w:left w:val="nil"/>
              <w:bottom w:val="nil"/>
              <w:right w:val="nil"/>
            </w:tcBorders>
            <w:shd w:val="clear" w:color="auto" w:fill="auto"/>
            <w:noWrap/>
            <w:vAlign w:val="center"/>
            <w:hideMark/>
          </w:tcPr>
          <w:p w14:paraId="0F7661E8" w14:textId="77777777" w:rsidR="002F317C" w:rsidRPr="008F03E5" w:rsidRDefault="002F317C" w:rsidP="00B243EB">
            <w:r w:rsidRPr="008F03E5">
              <w:rPr>
                <w:rtl/>
              </w:rPr>
              <w:t>ٱلْمُتَكَبِّرُ</w:t>
            </w:r>
          </w:p>
        </w:tc>
        <w:tc>
          <w:tcPr>
            <w:tcW w:w="1928" w:type="dxa"/>
            <w:tcBorders>
              <w:top w:val="nil"/>
              <w:left w:val="nil"/>
              <w:bottom w:val="nil"/>
              <w:right w:val="nil"/>
            </w:tcBorders>
            <w:shd w:val="clear" w:color="auto" w:fill="auto"/>
            <w:noWrap/>
            <w:vAlign w:val="center"/>
            <w:hideMark/>
          </w:tcPr>
          <w:p w14:paraId="4B96BF2C" w14:textId="77777777" w:rsidR="002F317C" w:rsidRPr="008F03E5" w:rsidRDefault="002F317C" w:rsidP="003D329D">
            <w:pPr>
              <w:rPr>
                <w:sz w:val="18"/>
                <w:szCs w:val="18"/>
              </w:rPr>
            </w:pPr>
            <w:r w:rsidRPr="008F03E5">
              <w:rPr>
                <w:sz w:val="18"/>
                <w:szCs w:val="18"/>
              </w:rPr>
              <w:t>al-Mutakabbir</w:t>
            </w:r>
          </w:p>
        </w:tc>
        <w:tc>
          <w:tcPr>
            <w:tcW w:w="4309" w:type="dxa"/>
            <w:tcBorders>
              <w:top w:val="nil"/>
              <w:left w:val="nil"/>
              <w:bottom w:val="nil"/>
              <w:right w:val="nil"/>
            </w:tcBorders>
            <w:shd w:val="clear" w:color="auto" w:fill="auto"/>
            <w:noWrap/>
            <w:vAlign w:val="center"/>
            <w:hideMark/>
          </w:tcPr>
          <w:p w14:paraId="7130D62B" w14:textId="77777777" w:rsidR="002F317C" w:rsidRPr="008F03E5" w:rsidRDefault="002F317C" w:rsidP="003D329D">
            <w:pPr>
              <w:rPr>
                <w:sz w:val="18"/>
                <w:szCs w:val="18"/>
              </w:rPr>
            </w:pPr>
            <w:r w:rsidRPr="008F03E5">
              <w:rPr>
                <w:sz w:val="18"/>
                <w:szCs w:val="18"/>
              </w:rPr>
              <w:t>The Tremendous</w:t>
            </w:r>
          </w:p>
        </w:tc>
      </w:tr>
      <w:tr w:rsidR="002F317C" w:rsidRPr="008F03E5" w14:paraId="352A7DE0"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6BABDF92"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11</w:t>
            </w:r>
          </w:p>
        </w:tc>
        <w:tc>
          <w:tcPr>
            <w:tcW w:w="1417" w:type="dxa"/>
            <w:tcBorders>
              <w:top w:val="nil"/>
              <w:left w:val="nil"/>
              <w:bottom w:val="nil"/>
              <w:right w:val="nil"/>
            </w:tcBorders>
            <w:shd w:val="clear" w:color="auto" w:fill="auto"/>
            <w:noWrap/>
            <w:vAlign w:val="center"/>
            <w:hideMark/>
          </w:tcPr>
          <w:p w14:paraId="3BACDF72" w14:textId="77777777" w:rsidR="002F317C" w:rsidRPr="008F03E5" w:rsidRDefault="002F317C" w:rsidP="00B243EB">
            <w:r w:rsidRPr="008F03E5">
              <w:rPr>
                <w:rtl/>
              </w:rPr>
              <w:t>ٱلْخَالِقُ</w:t>
            </w:r>
          </w:p>
        </w:tc>
        <w:tc>
          <w:tcPr>
            <w:tcW w:w="1928" w:type="dxa"/>
            <w:tcBorders>
              <w:top w:val="nil"/>
              <w:left w:val="nil"/>
              <w:bottom w:val="nil"/>
              <w:right w:val="nil"/>
            </w:tcBorders>
            <w:shd w:val="clear" w:color="auto" w:fill="auto"/>
            <w:noWrap/>
            <w:vAlign w:val="center"/>
            <w:hideMark/>
          </w:tcPr>
          <w:p w14:paraId="7204F88B" w14:textId="77777777" w:rsidR="002F317C" w:rsidRPr="008F03E5" w:rsidRDefault="002F317C" w:rsidP="00254769">
            <w:pPr>
              <w:rPr>
                <w:color w:val="000000"/>
                <w:sz w:val="18"/>
                <w:szCs w:val="18"/>
                <w14:numForm w14:val="default"/>
                <w14:numSpacing w14:val="default"/>
              </w:rPr>
            </w:pPr>
            <w:r w:rsidRPr="008F03E5">
              <w:rPr>
                <w:sz w:val="18"/>
                <w:szCs w:val="18"/>
              </w:rPr>
              <w:t>al-</w:t>
            </w:r>
            <w:r w:rsidRPr="008F03E5">
              <w:rPr>
                <w:sz w:val="18"/>
                <w:szCs w:val="18"/>
                <w:u w:val="single"/>
              </w:rPr>
              <w:t>Kh</w:t>
            </w:r>
            <w:r w:rsidRPr="008F03E5">
              <w:rPr>
                <w:sz w:val="18"/>
                <w:szCs w:val="18"/>
              </w:rPr>
              <w:t>áliq</w:t>
            </w:r>
          </w:p>
        </w:tc>
        <w:tc>
          <w:tcPr>
            <w:tcW w:w="4309" w:type="dxa"/>
            <w:tcBorders>
              <w:top w:val="nil"/>
              <w:left w:val="nil"/>
              <w:bottom w:val="nil"/>
              <w:right w:val="nil"/>
            </w:tcBorders>
            <w:shd w:val="clear" w:color="auto" w:fill="auto"/>
            <w:noWrap/>
            <w:vAlign w:val="center"/>
            <w:hideMark/>
          </w:tcPr>
          <w:p w14:paraId="43BFEE6C" w14:textId="77777777" w:rsidR="002F317C" w:rsidRPr="008F03E5" w:rsidRDefault="002F317C" w:rsidP="003D329D">
            <w:pPr>
              <w:rPr>
                <w:sz w:val="18"/>
                <w:szCs w:val="18"/>
              </w:rPr>
            </w:pPr>
            <w:r w:rsidRPr="008F03E5">
              <w:rPr>
                <w:sz w:val="18"/>
                <w:szCs w:val="18"/>
              </w:rPr>
              <w:t>The Creator</w:t>
            </w:r>
          </w:p>
        </w:tc>
      </w:tr>
      <w:tr w:rsidR="002F317C" w:rsidRPr="008F03E5" w14:paraId="768B5F2A"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A2BCFA5"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12</w:t>
            </w:r>
          </w:p>
        </w:tc>
        <w:tc>
          <w:tcPr>
            <w:tcW w:w="1417" w:type="dxa"/>
            <w:tcBorders>
              <w:top w:val="nil"/>
              <w:left w:val="nil"/>
              <w:bottom w:val="nil"/>
              <w:right w:val="nil"/>
            </w:tcBorders>
            <w:shd w:val="clear" w:color="auto" w:fill="auto"/>
            <w:noWrap/>
            <w:vAlign w:val="center"/>
            <w:hideMark/>
          </w:tcPr>
          <w:p w14:paraId="3DC9BB8B" w14:textId="77777777" w:rsidR="002F317C" w:rsidRPr="008F03E5" w:rsidRDefault="002F317C" w:rsidP="00B243EB">
            <w:r w:rsidRPr="008F03E5">
              <w:rPr>
                <w:rtl/>
              </w:rPr>
              <w:t>ٱلْبَارِئُ</w:t>
            </w:r>
          </w:p>
        </w:tc>
        <w:tc>
          <w:tcPr>
            <w:tcW w:w="1928" w:type="dxa"/>
            <w:tcBorders>
              <w:top w:val="nil"/>
              <w:left w:val="nil"/>
              <w:bottom w:val="nil"/>
              <w:right w:val="nil"/>
            </w:tcBorders>
            <w:shd w:val="clear" w:color="auto" w:fill="auto"/>
            <w:noWrap/>
            <w:vAlign w:val="center"/>
            <w:hideMark/>
          </w:tcPr>
          <w:p w14:paraId="7F2C8BB9" w14:textId="77777777" w:rsidR="002F317C" w:rsidRPr="008F03E5" w:rsidRDefault="002F317C" w:rsidP="003D329D">
            <w:pPr>
              <w:rPr>
                <w:sz w:val="18"/>
                <w:szCs w:val="18"/>
              </w:rPr>
            </w:pPr>
            <w:r w:rsidRPr="008F03E5">
              <w:rPr>
                <w:sz w:val="18"/>
                <w:szCs w:val="18"/>
              </w:rPr>
              <w:t>al-Bári’</w:t>
            </w:r>
          </w:p>
        </w:tc>
        <w:tc>
          <w:tcPr>
            <w:tcW w:w="4309" w:type="dxa"/>
            <w:tcBorders>
              <w:top w:val="nil"/>
              <w:left w:val="nil"/>
              <w:bottom w:val="nil"/>
              <w:right w:val="nil"/>
            </w:tcBorders>
            <w:shd w:val="clear" w:color="auto" w:fill="auto"/>
            <w:noWrap/>
            <w:vAlign w:val="center"/>
            <w:hideMark/>
          </w:tcPr>
          <w:p w14:paraId="6AF93C4E" w14:textId="77777777" w:rsidR="002F317C" w:rsidRPr="008F03E5" w:rsidRDefault="002F317C" w:rsidP="003D329D">
            <w:pPr>
              <w:rPr>
                <w:sz w:val="18"/>
                <w:szCs w:val="18"/>
              </w:rPr>
            </w:pPr>
            <w:r w:rsidRPr="008F03E5">
              <w:rPr>
                <w:sz w:val="18"/>
                <w:szCs w:val="18"/>
              </w:rPr>
              <w:t>The Maker</w:t>
            </w:r>
          </w:p>
        </w:tc>
      </w:tr>
      <w:tr w:rsidR="002F317C" w:rsidRPr="008F03E5" w14:paraId="69164D0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BCEBE93"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13</w:t>
            </w:r>
          </w:p>
        </w:tc>
        <w:tc>
          <w:tcPr>
            <w:tcW w:w="1417" w:type="dxa"/>
            <w:tcBorders>
              <w:top w:val="nil"/>
              <w:left w:val="nil"/>
              <w:bottom w:val="nil"/>
              <w:right w:val="nil"/>
            </w:tcBorders>
            <w:shd w:val="clear" w:color="auto" w:fill="auto"/>
            <w:noWrap/>
            <w:vAlign w:val="center"/>
            <w:hideMark/>
          </w:tcPr>
          <w:p w14:paraId="2571F208" w14:textId="77777777" w:rsidR="002F317C" w:rsidRPr="008F03E5" w:rsidRDefault="002F317C" w:rsidP="00B243EB">
            <w:r w:rsidRPr="008F03E5">
              <w:rPr>
                <w:rtl/>
              </w:rPr>
              <w:t>ٱلْمُصَوِّرُ</w:t>
            </w:r>
          </w:p>
        </w:tc>
        <w:tc>
          <w:tcPr>
            <w:tcW w:w="1928" w:type="dxa"/>
            <w:tcBorders>
              <w:top w:val="nil"/>
              <w:left w:val="nil"/>
              <w:bottom w:val="nil"/>
              <w:right w:val="nil"/>
            </w:tcBorders>
            <w:shd w:val="clear" w:color="auto" w:fill="auto"/>
            <w:noWrap/>
            <w:vAlign w:val="center"/>
            <w:hideMark/>
          </w:tcPr>
          <w:p w14:paraId="1F5EF493" w14:textId="77777777" w:rsidR="002F317C" w:rsidRPr="008F03E5" w:rsidRDefault="002F317C" w:rsidP="003D329D">
            <w:pPr>
              <w:rPr>
                <w:sz w:val="18"/>
                <w:szCs w:val="18"/>
              </w:rPr>
            </w:pPr>
            <w:r w:rsidRPr="008F03E5">
              <w:rPr>
                <w:sz w:val="18"/>
                <w:szCs w:val="18"/>
              </w:rPr>
              <w:t>al-Muṣawwir</w:t>
            </w:r>
          </w:p>
        </w:tc>
        <w:tc>
          <w:tcPr>
            <w:tcW w:w="4309" w:type="dxa"/>
            <w:tcBorders>
              <w:top w:val="nil"/>
              <w:left w:val="nil"/>
              <w:bottom w:val="nil"/>
              <w:right w:val="nil"/>
            </w:tcBorders>
            <w:shd w:val="clear" w:color="auto" w:fill="auto"/>
            <w:noWrap/>
            <w:vAlign w:val="center"/>
            <w:hideMark/>
          </w:tcPr>
          <w:p w14:paraId="18D972D0" w14:textId="77777777" w:rsidR="002F317C" w:rsidRPr="008F03E5" w:rsidRDefault="002F317C" w:rsidP="003D329D">
            <w:pPr>
              <w:rPr>
                <w:sz w:val="18"/>
                <w:szCs w:val="18"/>
              </w:rPr>
            </w:pPr>
            <w:r w:rsidRPr="008F03E5">
              <w:rPr>
                <w:sz w:val="18"/>
                <w:szCs w:val="18"/>
              </w:rPr>
              <w:t>The Fashioner of Forms</w:t>
            </w:r>
          </w:p>
        </w:tc>
      </w:tr>
      <w:tr w:rsidR="002F317C" w:rsidRPr="008F03E5" w14:paraId="3098C54E"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7952F74"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14</w:t>
            </w:r>
          </w:p>
        </w:tc>
        <w:tc>
          <w:tcPr>
            <w:tcW w:w="1417" w:type="dxa"/>
            <w:tcBorders>
              <w:top w:val="nil"/>
              <w:left w:val="nil"/>
              <w:bottom w:val="nil"/>
              <w:right w:val="nil"/>
            </w:tcBorders>
            <w:shd w:val="clear" w:color="auto" w:fill="auto"/>
            <w:noWrap/>
            <w:vAlign w:val="center"/>
            <w:hideMark/>
          </w:tcPr>
          <w:p w14:paraId="514A33EE" w14:textId="77777777" w:rsidR="002F317C" w:rsidRPr="008F03E5" w:rsidRDefault="002F317C" w:rsidP="00B243EB">
            <w:r w:rsidRPr="008F03E5">
              <w:rPr>
                <w:rtl/>
              </w:rPr>
              <w:t>ٱلْغَفَّارُ</w:t>
            </w:r>
          </w:p>
        </w:tc>
        <w:tc>
          <w:tcPr>
            <w:tcW w:w="1928" w:type="dxa"/>
            <w:tcBorders>
              <w:top w:val="nil"/>
              <w:left w:val="nil"/>
              <w:bottom w:val="nil"/>
              <w:right w:val="nil"/>
            </w:tcBorders>
            <w:shd w:val="clear" w:color="auto" w:fill="auto"/>
            <w:noWrap/>
            <w:vAlign w:val="center"/>
            <w:hideMark/>
          </w:tcPr>
          <w:p w14:paraId="26B7138B" w14:textId="77777777" w:rsidR="002F317C" w:rsidRPr="008F03E5" w:rsidRDefault="002F317C" w:rsidP="00254769">
            <w:pPr>
              <w:rPr>
                <w:color w:val="000000"/>
                <w:sz w:val="18"/>
                <w:szCs w:val="18"/>
                <w14:numForm w14:val="default"/>
                <w14:numSpacing w14:val="default"/>
              </w:rPr>
            </w:pPr>
            <w:r w:rsidRPr="008F03E5">
              <w:rPr>
                <w:sz w:val="18"/>
                <w:szCs w:val="18"/>
              </w:rPr>
              <w:t>al-</w:t>
            </w:r>
            <w:r w:rsidRPr="008F03E5">
              <w:rPr>
                <w:sz w:val="18"/>
                <w:szCs w:val="18"/>
                <w:u w:val="single"/>
              </w:rPr>
              <w:t>Gh</w:t>
            </w:r>
            <w:r w:rsidRPr="008F03E5">
              <w:rPr>
                <w:sz w:val="18"/>
                <w:szCs w:val="18"/>
              </w:rPr>
              <w:t>affár</w:t>
            </w:r>
          </w:p>
        </w:tc>
        <w:tc>
          <w:tcPr>
            <w:tcW w:w="4309" w:type="dxa"/>
            <w:tcBorders>
              <w:top w:val="nil"/>
              <w:left w:val="nil"/>
              <w:bottom w:val="nil"/>
              <w:right w:val="nil"/>
            </w:tcBorders>
            <w:shd w:val="clear" w:color="auto" w:fill="auto"/>
            <w:noWrap/>
            <w:vAlign w:val="center"/>
            <w:hideMark/>
          </w:tcPr>
          <w:p w14:paraId="58758C6B" w14:textId="77777777" w:rsidR="002F317C" w:rsidRPr="008F03E5" w:rsidRDefault="002F317C" w:rsidP="003D329D">
            <w:pPr>
              <w:rPr>
                <w:sz w:val="18"/>
                <w:szCs w:val="18"/>
              </w:rPr>
            </w:pPr>
            <w:r w:rsidRPr="008F03E5">
              <w:rPr>
                <w:sz w:val="18"/>
                <w:szCs w:val="18"/>
              </w:rPr>
              <w:t>The Ever Forgiving</w:t>
            </w:r>
          </w:p>
        </w:tc>
      </w:tr>
      <w:tr w:rsidR="002F317C" w:rsidRPr="008F03E5" w14:paraId="2DF3AC3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6FD6126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15</w:t>
            </w:r>
          </w:p>
        </w:tc>
        <w:tc>
          <w:tcPr>
            <w:tcW w:w="1417" w:type="dxa"/>
            <w:tcBorders>
              <w:top w:val="nil"/>
              <w:left w:val="nil"/>
              <w:bottom w:val="nil"/>
              <w:right w:val="nil"/>
            </w:tcBorders>
            <w:shd w:val="clear" w:color="auto" w:fill="auto"/>
            <w:noWrap/>
            <w:vAlign w:val="center"/>
            <w:hideMark/>
          </w:tcPr>
          <w:p w14:paraId="028D0E28" w14:textId="77777777" w:rsidR="002F317C" w:rsidRPr="008F03E5" w:rsidRDefault="002F317C" w:rsidP="00B243EB">
            <w:r w:rsidRPr="008F03E5">
              <w:rPr>
                <w:rtl/>
              </w:rPr>
              <w:t>ٱلْقَهَّارُ</w:t>
            </w:r>
          </w:p>
        </w:tc>
        <w:tc>
          <w:tcPr>
            <w:tcW w:w="1928" w:type="dxa"/>
            <w:tcBorders>
              <w:top w:val="nil"/>
              <w:left w:val="nil"/>
              <w:bottom w:val="nil"/>
              <w:right w:val="nil"/>
            </w:tcBorders>
            <w:shd w:val="clear" w:color="auto" w:fill="auto"/>
            <w:noWrap/>
            <w:vAlign w:val="center"/>
            <w:hideMark/>
          </w:tcPr>
          <w:p w14:paraId="7864B712" w14:textId="77777777" w:rsidR="002F317C" w:rsidRPr="008F03E5" w:rsidRDefault="002F317C" w:rsidP="003D329D">
            <w:pPr>
              <w:rPr>
                <w:sz w:val="18"/>
                <w:szCs w:val="18"/>
              </w:rPr>
            </w:pPr>
            <w:r w:rsidRPr="008F03E5">
              <w:rPr>
                <w:sz w:val="18"/>
                <w:szCs w:val="18"/>
              </w:rPr>
              <w:t>al-Qahhár</w:t>
            </w:r>
          </w:p>
        </w:tc>
        <w:tc>
          <w:tcPr>
            <w:tcW w:w="4309" w:type="dxa"/>
            <w:tcBorders>
              <w:top w:val="nil"/>
              <w:left w:val="nil"/>
              <w:bottom w:val="nil"/>
              <w:right w:val="nil"/>
            </w:tcBorders>
            <w:shd w:val="clear" w:color="auto" w:fill="auto"/>
            <w:noWrap/>
            <w:vAlign w:val="center"/>
            <w:hideMark/>
          </w:tcPr>
          <w:p w14:paraId="4AD023A1" w14:textId="77777777" w:rsidR="002F317C" w:rsidRPr="008F03E5" w:rsidRDefault="002F317C" w:rsidP="003D329D">
            <w:pPr>
              <w:rPr>
                <w:sz w:val="18"/>
                <w:szCs w:val="18"/>
              </w:rPr>
            </w:pPr>
            <w:r w:rsidRPr="008F03E5">
              <w:rPr>
                <w:sz w:val="18"/>
                <w:szCs w:val="18"/>
              </w:rPr>
              <w:t>The All Compelling Subduer</w:t>
            </w:r>
          </w:p>
        </w:tc>
      </w:tr>
      <w:tr w:rsidR="002F317C" w:rsidRPr="008F03E5" w14:paraId="6C6853E4"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8233DFB"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16</w:t>
            </w:r>
          </w:p>
        </w:tc>
        <w:tc>
          <w:tcPr>
            <w:tcW w:w="1417" w:type="dxa"/>
            <w:tcBorders>
              <w:top w:val="nil"/>
              <w:left w:val="nil"/>
              <w:bottom w:val="nil"/>
              <w:right w:val="nil"/>
            </w:tcBorders>
            <w:shd w:val="clear" w:color="auto" w:fill="auto"/>
            <w:noWrap/>
            <w:vAlign w:val="center"/>
            <w:hideMark/>
          </w:tcPr>
          <w:p w14:paraId="7B0DAB42" w14:textId="77777777" w:rsidR="002F317C" w:rsidRPr="008F03E5" w:rsidRDefault="002F317C" w:rsidP="00B243EB">
            <w:r w:rsidRPr="008F03E5">
              <w:rPr>
                <w:rtl/>
              </w:rPr>
              <w:t>ٱلْوَهَّابُ</w:t>
            </w:r>
          </w:p>
        </w:tc>
        <w:tc>
          <w:tcPr>
            <w:tcW w:w="1928" w:type="dxa"/>
            <w:tcBorders>
              <w:top w:val="nil"/>
              <w:left w:val="nil"/>
              <w:bottom w:val="nil"/>
              <w:right w:val="nil"/>
            </w:tcBorders>
            <w:shd w:val="clear" w:color="auto" w:fill="auto"/>
            <w:noWrap/>
            <w:vAlign w:val="center"/>
            <w:hideMark/>
          </w:tcPr>
          <w:p w14:paraId="56700487" w14:textId="77777777" w:rsidR="002F317C" w:rsidRPr="008F03E5" w:rsidRDefault="002F317C" w:rsidP="003D329D">
            <w:pPr>
              <w:rPr>
                <w:sz w:val="18"/>
                <w:szCs w:val="18"/>
              </w:rPr>
            </w:pPr>
            <w:r w:rsidRPr="008F03E5">
              <w:rPr>
                <w:sz w:val="18"/>
                <w:szCs w:val="18"/>
              </w:rPr>
              <w:t>al-Wahháb</w:t>
            </w:r>
          </w:p>
        </w:tc>
        <w:tc>
          <w:tcPr>
            <w:tcW w:w="4309" w:type="dxa"/>
            <w:tcBorders>
              <w:top w:val="nil"/>
              <w:left w:val="nil"/>
              <w:bottom w:val="nil"/>
              <w:right w:val="nil"/>
            </w:tcBorders>
            <w:shd w:val="clear" w:color="auto" w:fill="auto"/>
            <w:noWrap/>
            <w:vAlign w:val="center"/>
            <w:hideMark/>
          </w:tcPr>
          <w:p w14:paraId="226A8B22" w14:textId="77777777" w:rsidR="002F317C" w:rsidRPr="008F03E5" w:rsidRDefault="002F317C" w:rsidP="003D329D">
            <w:pPr>
              <w:rPr>
                <w:sz w:val="18"/>
                <w:szCs w:val="18"/>
              </w:rPr>
            </w:pPr>
            <w:r w:rsidRPr="008F03E5">
              <w:rPr>
                <w:sz w:val="18"/>
                <w:szCs w:val="18"/>
              </w:rPr>
              <w:t>The Bestower</w:t>
            </w:r>
          </w:p>
        </w:tc>
      </w:tr>
      <w:tr w:rsidR="002F317C" w:rsidRPr="008F03E5" w14:paraId="2ADD450B"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967490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17</w:t>
            </w:r>
          </w:p>
        </w:tc>
        <w:tc>
          <w:tcPr>
            <w:tcW w:w="1417" w:type="dxa"/>
            <w:tcBorders>
              <w:top w:val="nil"/>
              <w:left w:val="nil"/>
              <w:bottom w:val="nil"/>
              <w:right w:val="nil"/>
            </w:tcBorders>
            <w:shd w:val="clear" w:color="auto" w:fill="auto"/>
            <w:noWrap/>
            <w:vAlign w:val="center"/>
            <w:hideMark/>
          </w:tcPr>
          <w:p w14:paraId="0A69DE2D" w14:textId="77777777" w:rsidR="002F317C" w:rsidRPr="008F03E5" w:rsidRDefault="002F317C" w:rsidP="00B243EB">
            <w:r w:rsidRPr="008F03E5">
              <w:rPr>
                <w:rtl/>
              </w:rPr>
              <w:t>ٱلْرَّزَّاقُ</w:t>
            </w:r>
          </w:p>
        </w:tc>
        <w:tc>
          <w:tcPr>
            <w:tcW w:w="1928" w:type="dxa"/>
            <w:tcBorders>
              <w:top w:val="nil"/>
              <w:left w:val="nil"/>
              <w:bottom w:val="nil"/>
              <w:right w:val="nil"/>
            </w:tcBorders>
            <w:shd w:val="clear" w:color="auto" w:fill="auto"/>
            <w:noWrap/>
            <w:vAlign w:val="center"/>
            <w:hideMark/>
          </w:tcPr>
          <w:p w14:paraId="1A7D1A39" w14:textId="77777777" w:rsidR="002F317C" w:rsidRPr="008F03E5" w:rsidRDefault="002F317C" w:rsidP="003D329D">
            <w:pPr>
              <w:rPr>
                <w:sz w:val="18"/>
                <w:szCs w:val="18"/>
              </w:rPr>
            </w:pPr>
            <w:r w:rsidRPr="008F03E5">
              <w:rPr>
                <w:sz w:val="18"/>
                <w:szCs w:val="18"/>
              </w:rPr>
              <w:t>ar-Razzáq</w:t>
            </w:r>
          </w:p>
        </w:tc>
        <w:tc>
          <w:tcPr>
            <w:tcW w:w="4309" w:type="dxa"/>
            <w:tcBorders>
              <w:top w:val="nil"/>
              <w:left w:val="nil"/>
              <w:bottom w:val="nil"/>
              <w:right w:val="nil"/>
            </w:tcBorders>
            <w:shd w:val="clear" w:color="auto" w:fill="auto"/>
            <w:noWrap/>
            <w:vAlign w:val="center"/>
            <w:hideMark/>
          </w:tcPr>
          <w:p w14:paraId="4C63C72F" w14:textId="77777777" w:rsidR="002F317C" w:rsidRPr="008F03E5" w:rsidRDefault="002F317C" w:rsidP="003D329D">
            <w:pPr>
              <w:rPr>
                <w:sz w:val="18"/>
                <w:szCs w:val="18"/>
              </w:rPr>
            </w:pPr>
            <w:r w:rsidRPr="008F03E5">
              <w:rPr>
                <w:sz w:val="18"/>
                <w:szCs w:val="18"/>
              </w:rPr>
              <w:t>The Ever Providing</w:t>
            </w:r>
          </w:p>
        </w:tc>
      </w:tr>
      <w:tr w:rsidR="002F317C" w:rsidRPr="008F03E5" w14:paraId="3702DC41"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5AE913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18</w:t>
            </w:r>
          </w:p>
        </w:tc>
        <w:tc>
          <w:tcPr>
            <w:tcW w:w="1417" w:type="dxa"/>
            <w:tcBorders>
              <w:top w:val="nil"/>
              <w:left w:val="nil"/>
              <w:bottom w:val="nil"/>
              <w:right w:val="nil"/>
            </w:tcBorders>
            <w:shd w:val="clear" w:color="auto" w:fill="auto"/>
            <w:noWrap/>
            <w:vAlign w:val="center"/>
            <w:hideMark/>
          </w:tcPr>
          <w:p w14:paraId="150592C5" w14:textId="77777777" w:rsidR="002F317C" w:rsidRPr="008F03E5" w:rsidRDefault="002F317C" w:rsidP="00B243EB">
            <w:r w:rsidRPr="008F03E5">
              <w:rPr>
                <w:rtl/>
              </w:rPr>
              <w:t>ٱلْفَتَّاحُ</w:t>
            </w:r>
          </w:p>
        </w:tc>
        <w:tc>
          <w:tcPr>
            <w:tcW w:w="1928" w:type="dxa"/>
            <w:tcBorders>
              <w:top w:val="nil"/>
              <w:left w:val="nil"/>
              <w:bottom w:val="nil"/>
              <w:right w:val="nil"/>
            </w:tcBorders>
            <w:shd w:val="clear" w:color="auto" w:fill="auto"/>
            <w:noWrap/>
            <w:vAlign w:val="center"/>
            <w:hideMark/>
          </w:tcPr>
          <w:p w14:paraId="11DC545B" w14:textId="77777777" w:rsidR="002F317C" w:rsidRPr="008F03E5" w:rsidRDefault="002F317C" w:rsidP="003D329D">
            <w:pPr>
              <w:rPr>
                <w:sz w:val="18"/>
                <w:szCs w:val="18"/>
              </w:rPr>
            </w:pPr>
            <w:r w:rsidRPr="008F03E5">
              <w:rPr>
                <w:sz w:val="18"/>
                <w:szCs w:val="18"/>
              </w:rPr>
              <w:t>al-Fattáḥ</w:t>
            </w:r>
          </w:p>
        </w:tc>
        <w:tc>
          <w:tcPr>
            <w:tcW w:w="4309" w:type="dxa"/>
            <w:tcBorders>
              <w:top w:val="nil"/>
              <w:left w:val="nil"/>
              <w:bottom w:val="nil"/>
              <w:right w:val="nil"/>
            </w:tcBorders>
            <w:shd w:val="clear" w:color="auto" w:fill="auto"/>
            <w:noWrap/>
            <w:vAlign w:val="center"/>
            <w:hideMark/>
          </w:tcPr>
          <w:p w14:paraId="4C9CD0CB" w14:textId="77777777" w:rsidR="002F317C" w:rsidRPr="008F03E5" w:rsidRDefault="002F317C" w:rsidP="003D329D">
            <w:pPr>
              <w:rPr>
                <w:sz w:val="18"/>
                <w:szCs w:val="18"/>
              </w:rPr>
            </w:pPr>
            <w:r w:rsidRPr="008F03E5">
              <w:rPr>
                <w:sz w:val="18"/>
                <w:szCs w:val="18"/>
              </w:rPr>
              <w:t>The Opener, the Victory Giver</w:t>
            </w:r>
          </w:p>
        </w:tc>
      </w:tr>
      <w:tr w:rsidR="002F317C" w:rsidRPr="008F03E5" w14:paraId="4D571B8B"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3C881A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19</w:t>
            </w:r>
          </w:p>
        </w:tc>
        <w:tc>
          <w:tcPr>
            <w:tcW w:w="1417" w:type="dxa"/>
            <w:tcBorders>
              <w:top w:val="nil"/>
              <w:left w:val="nil"/>
              <w:bottom w:val="nil"/>
              <w:right w:val="nil"/>
            </w:tcBorders>
            <w:shd w:val="clear" w:color="auto" w:fill="auto"/>
            <w:noWrap/>
            <w:vAlign w:val="center"/>
            <w:hideMark/>
          </w:tcPr>
          <w:p w14:paraId="3E22CDEB" w14:textId="77777777" w:rsidR="002F317C" w:rsidRPr="008F03E5" w:rsidRDefault="002F317C" w:rsidP="00B243EB">
            <w:r w:rsidRPr="008F03E5">
              <w:rPr>
                <w:rtl/>
              </w:rPr>
              <w:t>ٱلْعَلِيمُ</w:t>
            </w:r>
          </w:p>
        </w:tc>
        <w:tc>
          <w:tcPr>
            <w:tcW w:w="1928" w:type="dxa"/>
            <w:tcBorders>
              <w:top w:val="nil"/>
              <w:left w:val="nil"/>
              <w:bottom w:val="nil"/>
              <w:right w:val="nil"/>
            </w:tcBorders>
            <w:shd w:val="clear" w:color="auto" w:fill="auto"/>
            <w:noWrap/>
            <w:vAlign w:val="center"/>
            <w:hideMark/>
          </w:tcPr>
          <w:p w14:paraId="58427993" w14:textId="77777777" w:rsidR="002F317C" w:rsidRPr="008F03E5" w:rsidRDefault="002F317C" w:rsidP="003D329D">
            <w:pPr>
              <w:rPr>
                <w:sz w:val="18"/>
                <w:szCs w:val="18"/>
              </w:rPr>
            </w:pPr>
            <w:r w:rsidRPr="008F03E5">
              <w:rPr>
                <w:sz w:val="18"/>
                <w:szCs w:val="18"/>
              </w:rPr>
              <w:t>al-‘Alím</w:t>
            </w:r>
          </w:p>
        </w:tc>
        <w:tc>
          <w:tcPr>
            <w:tcW w:w="4309" w:type="dxa"/>
            <w:tcBorders>
              <w:top w:val="nil"/>
              <w:left w:val="nil"/>
              <w:bottom w:val="nil"/>
              <w:right w:val="nil"/>
            </w:tcBorders>
            <w:shd w:val="clear" w:color="auto" w:fill="auto"/>
            <w:noWrap/>
            <w:vAlign w:val="center"/>
            <w:hideMark/>
          </w:tcPr>
          <w:p w14:paraId="093EE801" w14:textId="77777777" w:rsidR="002F317C" w:rsidRPr="008F03E5" w:rsidRDefault="002F317C" w:rsidP="003D329D">
            <w:pPr>
              <w:rPr>
                <w:sz w:val="18"/>
                <w:szCs w:val="18"/>
              </w:rPr>
            </w:pPr>
            <w:r w:rsidRPr="008F03E5">
              <w:rPr>
                <w:sz w:val="18"/>
                <w:szCs w:val="18"/>
              </w:rPr>
              <w:t>The All Knowing, the Omniscient</w:t>
            </w:r>
          </w:p>
        </w:tc>
      </w:tr>
      <w:tr w:rsidR="002F317C" w:rsidRPr="008F03E5" w14:paraId="497438E8"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1C891A5"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20</w:t>
            </w:r>
          </w:p>
        </w:tc>
        <w:tc>
          <w:tcPr>
            <w:tcW w:w="1417" w:type="dxa"/>
            <w:tcBorders>
              <w:top w:val="nil"/>
              <w:left w:val="nil"/>
              <w:bottom w:val="nil"/>
              <w:right w:val="nil"/>
            </w:tcBorders>
            <w:shd w:val="clear" w:color="auto" w:fill="auto"/>
            <w:noWrap/>
            <w:vAlign w:val="center"/>
            <w:hideMark/>
          </w:tcPr>
          <w:p w14:paraId="26881ADE" w14:textId="77777777" w:rsidR="002F317C" w:rsidRPr="008F03E5" w:rsidRDefault="002F317C" w:rsidP="00B243EB">
            <w:r w:rsidRPr="008F03E5">
              <w:rPr>
                <w:rtl/>
              </w:rPr>
              <w:t>ٱلْقَابِضُ</w:t>
            </w:r>
          </w:p>
        </w:tc>
        <w:tc>
          <w:tcPr>
            <w:tcW w:w="1928" w:type="dxa"/>
            <w:tcBorders>
              <w:top w:val="nil"/>
              <w:left w:val="nil"/>
              <w:bottom w:val="nil"/>
              <w:right w:val="nil"/>
            </w:tcBorders>
            <w:shd w:val="clear" w:color="auto" w:fill="auto"/>
            <w:noWrap/>
            <w:vAlign w:val="center"/>
            <w:hideMark/>
          </w:tcPr>
          <w:p w14:paraId="4E7B8BC4" w14:textId="77777777" w:rsidR="002F317C" w:rsidRPr="008F03E5" w:rsidRDefault="002F317C" w:rsidP="00A423A1">
            <w:pPr>
              <w:rPr>
                <w:sz w:val="18"/>
                <w:szCs w:val="18"/>
              </w:rPr>
            </w:pPr>
            <w:r w:rsidRPr="008F03E5">
              <w:rPr>
                <w:sz w:val="18"/>
                <w:szCs w:val="18"/>
              </w:rPr>
              <w:t>al-Q</w:t>
            </w:r>
            <w:r w:rsidR="00A423A1" w:rsidRPr="008F03E5">
              <w:rPr>
                <w:sz w:val="18"/>
                <w:szCs w:val="18"/>
              </w:rPr>
              <w:t>á</w:t>
            </w:r>
            <w:r w:rsidRPr="008F03E5">
              <w:rPr>
                <w:sz w:val="18"/>
                <w:szCs w:val="18"/>
              </w:rPr>
              <w:t>biḍ</w:t>
            </w:r>
          </w:p>
        </w:tc>
        <w:tc>
          <w:tcPr>
            <w:tcW w:w="4309" w:type="dxa"/>
            <w:tcBorders>
              <w:top w:val="nil"/>
              <w:left w:val="nil"/>
              <w:bottom w:val="nil"/>
              <w:right w:val="nil"/>
            </w:tcBorders>
            <w:shd w:val="clear" w:color="auto" w:fill="auto"/>
            <w:noWrap/>
            <w:vAlign w:val="center"/>
            <w:hideMark/>
          </w:tcPr>
          <w:p w14:paraId="74ADC53A" w14:textId="77777777" w:rsidR="002F317C" w:rsidRPr="008F03E5" w:rsidRDefault="002F317C" w:rsidP="003D329D">
            <w:pPr>
              <w:rPr>
                <w:sz w:val="18"/>
                <w:szCs w:val="18"/>
              </w:rPr>
            </w:pPr>
            <w:r w:rsidRPr="008F03E5">
              <w:rPr>
                <w:sz w:val="18"/>
                <w:szCs w:val="18"/>
              </w:rPr>
              <w:t>The Restrainer, the Straightener</w:t>
            </w:r>
          </w:p>
        </w:tc>
      </w:tr>
      <w:tr w:rsidR="002F317C" w:rsidRPr="008F03E5" w14:paraId="438FBB3E"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AB7F96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21</w:t>
            </w:r>
          </w:p>
        </w:tc>
        <w:tc>
          <w:tcPr>
            <w:tcW w:w="1417" w:type="dxa"/>
            <w:tcBorders>
              <w:top w:val="nil"/>
              <w:left w:val="nil"/>
              <w:bottom w:val="nil"/>
              <w:right w:val="nil"/>
            </w:tcBorders>
            <w:shd w:val="clear" w:color="auto" w:fill="auto"/>
            <w:noWrap/>
            <w:vAlign w:val="center"/>
            <w:hideMark/>
          </w:tcPr>
          <w:p w14:paraId="4EE84F3E" w14:textId="77777777" w:rsidR="002F317C" w:rsidRPr="008F03E5" w:rsidRDefault="002F317C" w:rsidP="00B243EB">
            <w:r w:rsidRPr="008F03E5">
              <w:rPr>
                <w:rtl/>
              </w:rPr>
              <w:t>ٱلْبَاسِطُ</w:t>
            </w:r>
          </w:p>
        </w:tc>
        <w:tc>
          <w:tcPr>
            <w:tcW w:w="1928" w:type="dxa"/>
            <w:tcBorders>
              <w:top w:val="nil"/>
              <w:left w:val="nil"/>
              <w:bottom w:val="nil"/>
              <w:right w:val="nil"/>
            </w:tcBorders>
            <w:shd w:val="clear" w:color="auto" w:fill="auto"/>
            <w:noWrap/>
            <w:vAlign w:val="center"/>
            <w:hideMark/>
          </w:tcPr>
          <w:p w14:paraId="4134E167" w14:textId="77777777" w:rsidR="002F317C" w:rsidRPr="008F03E5" w:rsidRDefault="002F317C" w:rsidP="003D329D">
            <w:pPr>
              <w:rPr>
                <w:sz w:val="18"/>
                <w:szCs w:val="18"/>
              </w:rPr>
            </w:pPr>
            <w:r w:rsidRPr="008F03E5">
              <w:rPr>
                <w:sz w:val="18"/>
                <w:szCs w:val="18"/>
              </w:rPr>
              <w:t>al-Básiṭ</w:t>
            </w:r>
          </w:p>
        </w:tc>
        <w:tc>
          <w:tcPr>
            <w:tcW w:w="4309" w:type="dxa"/>
            <w:tcBorders>
              <w:top w:val="nil"/>
              <w:left w:val="nil"/>
              <w:bottom w:val="nil"/>
              <w:right w:val="nil"/>
            </w:tcBorders>
            <w:shd w:val="clear" w:color="auto" w:fill="auto"/>
            <w:noWrap/>
            <w:vAlign w:val="center"/>
            <w:hideMark/>
          </w:tcPr>
          <w:p w14:paraId="24B80B21" w14:textId="77777777" w:rsidR="002F317C" w:rsidRPr="008F03E5" w:rsidRDefault="002F317C" w:rsidP="003D329D">
            <w:pPr>
              <w:rPr>
                <w:sz w:val="18"/>
                <w:szCs w:val="18"/>
              </w:rPr>
            </w:pPr>
            <w:r w:rsidRPr="008F03E5">
              <w:rPr>
                <w:sz w:val="18"/>
                <w:szCs w:val="18"/>
              </w:rPr>
              <w:t>The Expander, the Munificent</w:t>
            </w:r>
          </w:p>
        </w:tc>
      </w:tr>
      <w:tr w:rsidR="002F317C" w:rsidRPr="008F03E5" w14:paraId="4DB6789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C0F1395"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22</w:t>
            </w:r>
          </w:p>
        </w:tc>
        <w:tc>
          <w:tcPr>
            <w:tcW w:w="1417" w:type="dxa"/>
            <w:tcBorders>
              <w:top w:val="nil"/>
              <w:left w:val="nil"/>
              <w:bottom w:val="nil"/>
              <w:right w:val="nil"/>
            </w:tcBorders>
            <w:shd w:val="clear" w:color="auto" w:fill="auto"/>
            <w:noWrap/>
            <w:vAlign w:val="center"/>
            <w:hideMark/>
          </w:tcPr>
          <w:p w14:paraId="696F4811" w14:textId="77777777" w:rsidR="002F317C" w:rsidRPr="008F03E5" w:rsidRDefault="002F317C" w:rsidP="00B243EB">
            <w:r w:rsidRPr="008F03E5">
              <w:rPr>
                <w:rtl/>
              </w:rPr>
              <w:t>ٱلْخَافِضُ</w:t>
            </w:r>
          </w:p>
        </w:tc>
        <w:tc>
          <w:tcPr>
            <w:tcW w:w="1928" w:type="dxa"/>
            <w:tcBorders>
              <w:top w:val="nil"/>
              <w:left w:val="nil"/>
              <w:bottom w:val="nil"/>
              <w:right w:val="nil"/>
            </w:tcBorders>
            <w:shd w:val="clear" w:color="auto" w:fill="auto"/>
            <w:noWrap/>
            <w:vAlign w:val="center"/>
            <w:hideMark/>
          </w:tcPr>
          <w:p w14:paraId="6D2CA7A3" w14:textId="77777777" w:rsidR="002F317C" w:rsidRPr="008F03E5" w:rsidRDefault="002F317C" w:rsidP="00254769">
            <w:pPr>
              <w:rPr>
                <w:color w:val="000000"/>
                <w:sz w:val="18"/>
                <w:szCs w:val="18"/>
                <w14:numForm w14:val="default"/>
                <w14:numSpacing w14:val="default"/>
              </w:rPr>
            </w:pPr>
            <w:r w:rsidRPr="008F03E5">
              <w:rPr>
                <w:sz w:val="18"/>
                <w:szCs w:val="18"/>
              </w:rPr>
              <w:t>al-</w:t>
            </w:r>
            <w:r w:rsidRPr="008F03E5">
              <w:rPr>
                <w:sz w:val="18"/>
                <w:szCs w:val="18"/>
                <w:u w:val="single"/>
              </w:rPr>
              <w:t>Kh</w:t>
            </w:r>
            <w:r w:rsidRPr="008F03E5">
              <w:rPr>
                <w:sz w:val="18"/>
                <w:szCs w:val="18"/>
              </w:rPr>
              <w:t>áfiḍ</w:t>
            </w:r>
          </w:p>
        </w:tc>
        <w:tc>
          <w:tcPr>
            <w:tcW w:w="4309" w:type="dxa"/>
            <w:tcBorders>
              <w:top w:val="nil"/>
              <w:left w:val="nil"/>
              <w:bottom w:val="nil"/>
              <w:right w:val="nil"/>
            </w:tcBorders>
            <w:shd w:val="clear" w:color="auto" w:fill="auto"/>
            <w:noWrap/>
            <w:vAlign w:val="center"/>
            <w:hideMark/>
          </w:tcPr>
          <w:p w14:paraId="652814E5" w14:textId="77777777" w:rsidR="002F317C" w:rsidRPr="008F03E5" w:rsidRDefault="002F317C" w:rsidP="003D329D">
            <w:pPr>
              <w:rPr>
                <w:sz w:val="18"/>
                <w:szCs w:val="18"/>
              </w:rPr>
            </w:pPr>
            <w:r w:rsidRPr="008F03E5">
              <w:rPr>
                <w:sz w:val="18"/>
                <w:szCs w:val="18"/>
              </w:rPr>
              <w:t>The Abaser</w:t>
            </w:r>
          </w:p>
        </w:tc>
      </w:tr>
      <w:tr w:rsidR="002F317C" w:rsidRPr="008F03E5" w14:paraId="69A27D53"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6C3E4706"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23</w:t>
            </w:r>
          </w:p>
        </w:tc>
        <w:tc>
          <w:tcPr>
            <w:tcW w:w="1417" w:type="dxa"/>
            <w:tcBorders>
              <w:top w:val="nil"/>
              <w:left w:val="nil"/>
              <w:bottom w:val="nil"/>
              <w:right w:val="nil"/>
            </w:tcBorders>
            <w:shd w:val="clear" w:color="auto" w:fill="auto"/>
            <w:noWrap/>
            <w:vAlign w:val="center"/>
            <w:hideMark/>
          </w:tcPr>
          <w:p w14:paraId="2C379429" w14:textId="77777777" w:rsidR="002F317C" w:rsidRPr="008F03E5" w:rsidRDefault="002F317C" w:rsidP="00B243EB">
            <w:r w:rsidRPr="008F03E5">
              <w:rPr>
                <w:rtl/>
              </w:rPr>
              <w:t>ٱلْرَّافِعُ</w:t>
            </w:r>
          </w:p>
        </w:tc>
        <w:tc>
          <w:tcPr>
            <w:tcW w:w="1928" w:type="dxa"/>
            <w:tcBorders>
              <w:top w:val="nil"/>
              <w:left w:val="nil"/>
              <w:bottom w:val="nil"/>
              <w:right w:val="nil"/>
            </w:tcBorders>
            <w:shd w:val="clear" w:color="auto" w:fill="auto"/>
            <w:noWrap/>
            <w:vAlign w:val="center"/>
            <w:hideMark/>
          </w:tcPr>
          <w:p w14:paraId="6B3BC0C8" w14:textId="77777777" w:rsidR="002F317C" w:rsidRPr="008F03E5" w:rsidRDefault="002F317C" w:rsidP="003D329D">
            <w:pPr>
              <w:rPr>
                <w:sz w:val="18"/>
                <w:szCs w:val="18"/>
              </w:rPr>
            </w:pPr>
            <w:r w:rsidRPr="008F03E5">
              <w:rPr>
                <w:sz w:val="18"/>
                <w:szCs w:val="18"/>
              </w:rPr>
              <w:t>ar-Ráfi‘</w:t>
            </w:r>
          </w:p>
        </w:tc>
        <w:tc>
          <w:tcPr>
            <w:tcW w:w="4309" w:type="dxa"/>
            <w:tcBorders>
              <w:top w:val="nil"/>
              <w:left w:val="nil"/>
              <w:bottom w:val="nil"/>
              <w:right w:val="nil"/>
            </w:tcBorders>
            <w:shd w:val="clear" w:color="auto" w:fill="auto"/>
            <w:noWrap/>
            <w:vAlign w:val="center"/>
            <w:hideMark/>
          </w:tcPr>
          <w:p w14:paraId="6E5FBB54" w14:textId="77777777" w:rsidR="002F317C" w:rsidRPr="008F03E5" w:rsidRDefault="002F317C" w:rsidP="003D329D">
            <w:pPr>
              <w:rPr>
                <w:sz w:val="18"/>
                <w:szCs w:val="18"/>
              </w:rPr>
            </w:pPr>
            <w:r w:rsidRPr="008F03E5">
              <w:rPr>
                <w:sz w:val="18"/>
                <w:szCs w:val="18"/>
              </w:rPr>
              <w:t>The Exalter</w:t>
            </w:r>
          </w:p>
        </w:tc>
      </w:tr>
      <w:tr w:rsidR="002F317C" w:rsidRPr="008F03E5" w14:paraId="77F87231"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9AEC414"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24</w:t>
            </w:r>
          </w:p>
        </w:tc>
        <w:tc>
          <w:tcPr>
            <w:tcW w:w="1417" w:type="dxa"/>
            <w:tcBorders>
              <w:top w:val="nil"/>
              <w:left w:val="nil"/>
              <w:bottom w:val="nil"/>
              <w:right w:val="nil"/>
            </w:tcBorders>
            <w:shd w:val="clear" w:color="auto" w:fill="auto"/>
            <w:noWrap/>
            <w:vAlign w:val="center"/>
            <w:hideMark/>
          </w:tcPr>
          <w:p w14:paraId="60A4EE75" w14:textId="77777777" w:rsidR="002F317C" w:rsidRPr="008F03E5" w:rsidRDefault="002F317C" w:rsidP="00B243EB">
            <w:r w:rsidRPr="008F03E5">
              <w:rPr>
                <w:rtl/>
              </w:rPr>
              <w:t>ٱلْمُعِزُّ</w:t>
            </w:r>
          </w:p>
        </w:tc>
        <w:tc>
          <w:tcPr>
            <w:tcW w:w="1928" w:type="dxa"/>
            <w:tcBorders>
              <w:top w:val="nil"/>
              <w:left w:val="nil"/>
              <w:bottom w:val="nil"/>
              <w:right w:val="nil"/>
            </w:tcBorders>
            <w:shd w:val="clear" w:color="auto" w:fill="auto"/>
            <w:noWrap/>
            <w:vAlign w:val="center"/>
            <w:hideMark/>
          </w:tcPr>
          <w:p w14:paraId="325CEB60" w14:textId="77777777" w:rsidR="002F317C" w:rsidRPr="008F03E5" w:rsidRDefault="002F317C" w:rsidP="003D329D">
            <w:pPr>
              <w:rPr>
                <w:sz w:val="18"/>
                <w:szCs w:val="18"/>
              </w:rPr>
            </w:pPr>
            <w:r w:rsidRPr="008F03E5">
              <w:rPr>
                <w:sz w:val="18"/>
                <w:szCs w:val="18"/>
              </w:rPr>
              <w:t>al-Mu‘izz</w:t>
            </w:r>
          </w:p>
        </w:tc>
        <w:tc>
          <w:tcPr>
            <w:tcW w:w="4309" w:type="dxa"/>
            <w:tcBorders>
              <w:top w:val="nil"/>
              <w:left w:val="nil"/>
              <w:bottom w:val="nil"/>
              <w:right w:val="nil"/>
            </w:tcBorders>
            <w:shd w:val="clear" w:color="auto" w:fill="auto"/>
            <w:noWrap/>
            <w:vAlign w:val="center"/>
            <w:hideMark/>
          </w:tcPr>
          <w:p w14:paraId="31BE98CB" w14:textId="77777777" w:rsidR="002F317C" w:rsidRPr="008F03E5" w:rsidRDefault="002F317C" w:rsidP="003D329D">
            <w:pPr>
              <w:rPr>
                <w:sz w:val="18"/>
                <w:szCs w:val="18"/>
              </w:rPr>
            </w:pPr>
            <w:r w:rsidRPr="008F03E5">
              <w:rPr>
                <w:sz w:val="18"/>
                <w:szCs w:val="18"/>
              </w:rPr>
              <w:t>The Giver of Honour</w:t>
            </w:r>
          </w:p>
        </w:tc>
      </w:tr>
      <w:tr w:rsidR="002F317C" w:rsidRPr="008F03E5" w14:paraId="6677477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141C8D3"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25</w:t>
            </w:r>
          </w:p>
        </w:tc>
        <w:tc>
          <w:tcPr>
            <w:tcW w:w="1417" w:type="dxa"/>
            <w:tcBorders>
              <w:top w:val="nil"/>
              <w:left w:val="nil"/>
              <w:bottom w:val="nil"/>
              <w:right w:val="nil"/>
            </w:tcBorders>
            <w:shd w:val="clear" w:color="auto" w:fill="auto"/>
            <w:noWrap/>
            <w:vAlign w:val="center"/>
            <w:hideMark/>
          </w:tcPr>
          <w:p w14:paraId="23C2066B" w14:textId="77777777" w:rsidR="002F317C" w:rsidRPr="008F03E5" w:rsidRDefault="002F317C" w:rsidP="00B243EB">
            <w:r w:rsidRPr="008F03E5">
              <w:rPr>
                <w:rtl/>
              </w:rPr>
              <w:t>ٱلْمُذِلُّ</w:t>
            </w:r>
          </w:p>
        </w:tc>
        <w:tc>
          <w:tcPr>
            <w:tcW w:w="1928" w:type="dxa"/>
            <w:tcBorders>
              <w:top w:val="nil"/>
              <w:left w:val="nil"/>
              <w:bottom w:val="nil"/>
              <w:right w:val="nil"/>
            </w:tcBorders>
            <w:shd w:val="clear" w:color="auto" w:fill="auto"/>
            <w:noWrap/>
            <w:vAlign w:val="center"/>
            <w:hideMark/>
          </w:tcPr>
          <w:p w14:paraId="657D0073" w14:textId="77777777" w:rsidR="002F317C" w:rsidRPr="008F03E5" w:rsidRDefault="002F317C" w:rsidP="00254769">
            <w:pPr>
              <w:rPr>
                <w:color w:val="000000"/>
                <w:sz w:val="18"/>
                <w:szCs w:val="18"/>
                <w14:numForm w14:val="default"/>
                <w14:numSpacing w14:val="default"/>
              </w:rPr>
            </w:pPr>
            <w:r w:rsidRPr="008F03E5">
              <w:rPr>
                <w:sz w:val="18"/>
                <w:szCs w:val="18"/>
              </w:rPr>
              <w:t>al-Mu</w:t>
            </w:r>
            <w:r w:rsidRPr="008F03E5">
              <w:rPr>
                <w:sz w:val="18"/>
                <w:szCs w:val="18"/>
                <w:u w:val="single"/>
              </w:rPr>
              <w:t>dh</w:t>
            </w:r>
            <w:r w:rsidRPr="008F03E5">
              <w:rPr>
                <w:sz w:val="18"/>
                <w:szCs w:val="18"/>
              </w:rPr>
              <w:t>ill</w:t>
            </w:r>
          </w:p>
        </w:tc>
        <w:tc>
          <w:tcPr>
            <w:tcW w:w="4309" w:type="dxa"/>
            <w:tcBorders>
              <w:top w:val="nil"/>
              <w:left w:val="nil"/>
              <w:bottom w:val="nil"/>
              <w:right w:val="nil"/>
            </w:tcBorders>
            <w:shd w:val="clear" w:color="auto" w:fill="auto"/>
            <w:noWrap/>
            <w:vAlign w:val="center"/>
            <w:hideMark/>
          </w:tcPr>
          <w:p w14:paraId="078723DB" w14:textId="77777777" w:rsidR="002F317C" w:rsidRPr="008F03E5" w:rsidRDefault="002F317C" w:rsidP="003D329D">
            <w:pPr>
              <w:rPr>
                <w:sz w:val="18"/>
                <w:szCs w:val="18"/>
              </w:rPr>
            </w:pPr>
            <w:r w:rsidRPr="008F03E5">
              <w:rPr>
                <w:sz w:val="18"/>
                <w:szCs w:val="18"/>
              </w:rPr>
              <w:t>The Giver of Dishonour</w:t>
            </w:r>
          </w:p>
        </w:tc>
      </w:tr>
      <w:tr w:rsidR="002F317C" w:rsidRPr="008F03E5" w14:paraId="26112206"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8FEC32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26</w:t>
            </w:r>
          </w:p>
        </w:tc>
        <w:tc>
          <w:tcPr>
            <w:tcW w:w="1417" w:type="dxa"/>
            <w:tcBorders>
              <w:top w:val="nil"/>
              <w:left w:val="nil"/>
              <w:bottom w:val="nil"/>
              <w:right w:val="nil"/>
            </w:tcBorders>
            <w:shd w:val="clear" w:color="auto" w:fill="auto"/>
            <w:noWrap/>
            <w:vAlign w:val="center"/>
            <w:hideMark/>
          </w:tcPr>
          <w:p w14:paraId="30919E37" w14:textId="77777777" w:rsidR="002F317C" w:rsidRPr="008F03E5" w:rsidRDefault="002F317C" w:rsidP="00B243EB">
            <w:r w:rsidRPr="008F03E5">
              <w:rPr>
                <w:rtl/>
              </w:rPr>
              <w:t>ٱلْسَّمِيعُ</w:t>
            </w:r>
          </w:p>
        </w:tc>
        <w:tc>
          <w:tcPr>
            <w:tcW w:w="1928" w:type="dxa"/>
            <w:tcBorders>
              <w:top w:val="nil"/>
              <w:left w:val="nil"/>
              <w:bottom w:val="nil"/>
              <w:right w:val="nil"/>
            </w:tcBorders>
            <w:shd w:val="clear" w:color="auto" w:fill="auto"/>
            <w:noWrap/>
            <w:vAlign w:val="center"/>
            <w:hideMark/>
          </w:tcPr>
          <w:p w14:paraId="5D6F5ECC" w14:textId="77777777" w:rsidR="002F317C" w:rsidRPr="008F03E5" w:rsidRDefault="002F317C" w:rsidP="003D329D">
            <w:pPr>
              <w:rPr>
                <w:sz w:val="18"/>
                <w:szCs w:val="18"/>
              </w:rPr>
            </w:pPr>
            <w:r w:rsidRPr="008F03E5">
              <w:rPr>
                <w:sz w:val="18"/>
                <w:szCs w:val="18"/>
              </w:rPr>
              <w:t>as-Samí‘</w:t>
            </w:r>
          </w:p>
        </w:tc>
        <w:tc>
          <w:tcPr>
            <w:tcW w:w="4309" w:type="dxa"/>
            <w:tcBorders>
              <w:top w:val="nil"/>
              <w:left w:val="nil"/>
              <w:bottom w:val="nil"/>
              <w:right w:val="nil"/>
            </w:tcBorders>
            <w:shd w:val="clear" w:color="auto" w:fill="auto"/>
            <w:noWrap/>
            <w:vAlign w:val="center"/>
            <w:hideMark/>
          </w:tcPr>
          <w:p w14:paraId="1494A881" w14:textId="77777777" w:rsidR="002F317C" w:rsidRPr="008F03E5" w:rsidRDefault="002F317C" w:rsidP="003D329D">
            <w:pPr>
              <w:rPr>
                <w:sz w:val="18"/>
                <w:szCs w:val="18"/>
              </w:rPr>
            </w:pPr>
            <w:r w:rsidRPr="008F03E5">
              <w:rPr>
                <w:sz w:val="18"/>
                <w:szCs w:val="18"/>
              </w:rPr>
              <w:t>The All Hearing</w:t>
            </w:r>
          </w:p>
        </w:tc>
      </w:tr>
      <w:tr w:rsidR="002F317C" w:rsidRPr="008F03E5" w14:paraId="01D6115D"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A530CC1"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27</w:t>
            </w:r>
          </w:p>
        </w:tc>
        <w:tc>
          <w:tcPr>
            <w:tcW w:w="1417" w:type="dxa"/>
            <w:tcBorders>
              <w:top w:val="nil"/>
              <w:left w:val="nil"/>
              <w:bottom w:val="nil"/>
              <w:right w:val="nil"/>
            </w:tcBorders>
            <w:shd w:val="clear" w:color="auto" w:fill="auto"/>
            <w:noWrap/>
            <w:vAlign w:val="center"/>
            <w:hideMark/>
          </w:tcPr>
          <w:p w14:paraId="5F1D3A61" w14:textId="77777777" w:rsidR="002F317C" w:rsidRPr="008F03E5" w:rsidRDefault="002F317C" w:rsidP="00B243EB">
            <w:r w:rsidRPr="008F03E5">
              <w:rPr>
                <w:rtl/>
              </w:rPr>
              <w:t>ٱلْبَصِيرُ</w:t>
            </w:r>
          </w:p>
        </w:tc>
        <w:tc>
          <w:tcPr>
            <w:tcW w:w="1928" w:type="dxa"/>
            <w:tcBorders>
              <w:top w:val="nil"/>
              <w:left w:val="nil"/>
              <w:bottom w:val="nil"/>
              <w:right w:val="nil"/>
            </w:tcBorders>
            <w:shd w:val="clear" w:color="auto" w:fill="auto"/>
            <w:noWrap/>
            <w:vAlign w:val="center"/>
            <w:hideMark/>
          </w:tcPr>
          <w:p w14:paraId="7F557539" w14:textId="77777777" w:rsidR="002F317C" w:rsidRPr="008F03E5" w:rsidRDefault="002F317C" w:rsidP="003D329D">
            <w:pPr>
              <w:rPr>
                <w:sz w:val="18"/>
                <w:szCs w:val="18"/>
              </w:rPr>
            </w:pPr>
            <w:r w:rsidRPr="008F03E5">
              <w:rPr>
                <w:sz w:val="18"/>
                <w:szCs w:val="18"/>
              </w:rPr>
              <w:t>al-Baṣír</w:t>
            </w:r>
          </w:p>
        </w:tc>
        <w:tc>
          <w:tcPr>
            <w:tcW w:w="4309" w:type="dxa"/>
            <w:tcBorders>
              <w:top w:val="nil"/>
              <w:left w:val="nil"/>
              <w:bottom w:val="nil"/>
              <w:right w:val="nil"/>
            </w:tcBorders>
            <w:shd w:val="clear" w:color="auto" w:fill="auto"/>
            <w:noWrap/>
            <w:vAlign w:val="center"/>
            <w:hideMark/>
          </w:tcPr>
          <w:p w14:paraId="0C7F11AF" w14:textId="77777777" w:rsidR="002F317C" w:rsidRPr="008F03E5" w:rsidRDefault="002F317C" w:rsidP="003D329D">
            <w:pPr>
              <w:rPr>
                <w:sz w:val="18"/>
                <w:szCs w:val="18"/>
              </w:rPr>
            </w:pPr>
            <w:r w:rsidRPr="008F03E5">
              <w:rPr>
                <w:sz w:val="18"/>
                <w:szCs w:val="18"/>
              </w:rPr>
              <w:t>The All Seeing</w:t>
            </w:r>
          </w:p>
        </w:tc>
      </w:tr>
      <w:tr w:rsidR="002F317C" w:rsidRPr="008F03E5" w14:paraId="2FDBD91D"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C64C566"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28</w:t>
            </w:r>
          </w:p>
        </w:tc>
        <w:tc>
          <w:tcPr>
            <w:tcW w:w="1417" w:type="dxa"/>
            <w:tcBorders>
              <w:top w:val="nil"/>
              <w:left w:val="nil"/>
              <w:bottom w:val="nil"/>
              <w:right w:val="nil"/>
            </w:tcBorders>
            <w:shd w:val="clear" w:color="auto" w:fill="auto"/>
            <w:noWrap/>
            <w:vAlign w:val="center"/>
            <w:hideMark/>
          </w:tcPr>
          <w:p w14:paraId="10F59EC5" w14:textId="77777777" w:rsidR="002F317C" w:rsidRPr="008F03E5" w:rsidRDefault="002F317C" w:rsidP="00B243EB">
            <w:r w:rsidRPr="008F03E5">
              <w:rPr>
                <w:rtl/>
              </w:rPr>
              <w:t>ٱلْحَكَمُ</w:t>
            </w:r>
          </w:p>
        </w:tc>
        <w:tc>
          <w:tcPr>
            <w:tcW w:w="1928" w:type="dxa"/>
            <w:tcBorders>
              <w:top w:val="nil"/>
              <w:left w:val="nil"/>
              <w:bottom w:val="nil"/>
              <w:right w:val="nil"/>
            </w:tcBorders>
            <w:shd w:val="clear" w:color="auto" w:fill="auto"/>
            <w:noWrap/>
            <w:vAlign w:val="center"/>
            <w:hideMark/>
          </w:tcPr>
          <w:p w14:paraId="39D8A554" w14:textId="77777777" w:rsidR="002F317C" w:rsidRPr="008F03E5" w:rsidRDefault="002F317C" w:rsidP="003D329D">
            <w:pPr>
              <w:rPr>
                <w:sz w:val="18"/>
                <w:szCs w:val="18"/>
              </w:rPr>
            </w:pPr>
            <w:r w:rsidRPr="008F03E5">
              <w:rPr>
                <w:sz w:val="18"/>
                <w:szCs w:val="18"/>
              </w:rPr>
              <w:t>al-Ḥakam</w:t>
            </w:r>
          </w:p>
        </w:tc>
        <w:tc>
          <w:tcPr>
            <w:tcW w:w="4309" w:type="dxa"/>
            <w:tcBorders>
              <w:top w:val="nil"/>
              <w:left w:val="nil"/>
              <w:bottom w:val="nil"/>
              <w:right w:val="nil"/>
            </w:tcBorders>
            <w:shd w:val="clear" w:color="auto" w:fill="auto"/>
            <w:noWrap/>
            <w:vAlign w:val="center"/>
            <w:hideMark/>
          </w:tcPr>
          <w:p w14:paraId="474B53D4" w14:textId="77777777" w:rsidR="002F317C" w:rsidRPr="008F03E5" w:rsidRDefault="002F317C" w:rsidP="003D329D">
            <w:pPr>
              <w:rPr>
                <w:sz w:val="18"/>
                <w:szCs w:val="18"/>
              </w:rPr>
            </w:pPr>
            <w:r w:rsidRPr="008F03E5">
              <w:rPr>
                <w:sz w:val="18"/>
                <w:szCs w:val="18"/>
              </w:rPr>
              <w:t>The Judge, the Arbitrator</w:t>
            </w:r>
          </w:p>
        </w:tc>
      </w:tr>
      <w:tr w:rsidR="002F317C" w:rsidRPr="008F03E5" w14:paraId="55A21FB4"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024F2FF"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29</w:t>
            </w:r>
          </w:p>
        </w:tc>
        <w:tc>
          <w:tcPr>
            <w:tcW w:w="1417" w:type="dxa"/>
            <w:tcBorders>
              <w:top w:val="nil"/>
              <w:left w:val="nil"/>
              <w:bottom w:val="nil"/>
              <w:right w:val="nil"/>
            </w:tcBorders>
            <w:shd w:val="clear" w:color="auto" w:fill="auto"/>
            <w:noWrap/>
            <w:vAlign w:val="center"/>
            <w:hideMark/>
          </w:tcPr>
          <w:p w14:paraId="448AE2B9" w14:textId="77777777" w:rsidR="002F317C" w:rsidRPr="008F03E5" w:rsidRDefault="002F317C" w:rsidP="00B243EB">
            <w:r w:rsidRPr="008F03E5">
              <w:rPr>
                <w:rtl/>
              </w:rPr>
              <w:t>ٱلْعَدْلُ</w:t>
            </w:r>
          </w:p>
        </w:tc>
        <w:tc>
          <w:tcPr>
            <w:tcW w:w="1928" w:type="dxa"/>
            <w:tcBorders>
              <w:top w:val="nil"/>
              <w:left w:val="nil"/>
              <w:bottom w:val="nil"/>
              <w:right w:val="nil"/>
            </w:tcBorders>
            <w:shd w:val="clear" w:color="auto" w:fill="auto"/>
            <w:noWrap/>
            <w:vAlign w:val="center"/>
            <w:hideMark/>
          </w:tcPr>
          <w:p w14:paraId="1F28B4FE" w14:textId="77777777" w:rsidR="002F317C" w:rsidRPr="008F03E5" w:rsidRDefault="002F317C" w:rsidP="003D329D">
            <w:pPr>
              <w:rPr>
                <w:sz w:val="18"/>
                <w:szCs w:val="18"/>
              </w:rPr>
            </w:pPr>
            <w:r w:rsidRPr="008F03E5">
              <w:rPr>
                <w:sz w:val="18"/>
                <w:szCs w:val="18"/>
              </w:rPr>
              <w:t>al-‘Adl</w:t>
            </w:r>
          </w:p>
        </w:tc>
        <w:tc>
          <w:tcPr>
            <w:tcW w:w="4309" w:type="dxa"/>
            <w:tcBorders>
              <w:top w:val="nil"/>
              <w:left w:val="nil"/>
              <w:bottom w:val="nil"/>
              <w:right w:val="nil"/>
            </w:tcBorders>
            <w:shd w:val="clear" w:color="auto" w:fill="auto"/>
            <w:noWrap/>
            <w:vAlign w:val="center"/>
            <w:hideMark/>
          </w:tcPr>
          <w:p w14:paraId="77B42952" w14:textId="77777777" w:rsidR="002F317C" w:rsidRPr="008F03E5" w:rsidRDefault="002F317C" w:rsidP="003D329D">
            <w:pPr>
              <w:rPr>
                <w:sz w:val="18"/>
                <w:szCs w:val="18"/>
              </w:rPr>
            </w:pPr>
            <w:r w:rsidRPr="008F03E5">
              <w:rPr>
                <w:sz w:val="18"/>
                <w:szCs w:val="18"/>
              </w:rPr>
              <w:t>The Utterly Just</w:t>
            </w:r>
          </w:p>
        </w:tc>
      </w:tr>
      <w:tr w:rsidR="002F317C" w:rsidRPr="008F03E5" w14:paraId="02CE647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7A7326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30</w:t>
            </w:r>
          </w:p>
        </w:tc>
        <w:tc>
          <w:tcPr>
            <w:tcW w:w="1417" w:type="dxa"/>
            <w:tcBorders>
              <w:top w:val="nil"/>
              <w:left w:val="nil"/>
              <w:bottom w:val="nil"/>
              <w:right w:val="nil"/>
            </w:tcBorders>
            <w:shd w:val="clear" w:color="auto" w:fill="auto"/>
            <w:noWrap/>
            <w:vAlign w:val="center"/>
            <w:hideMark/>
          </w:tcPr>
          <w:p w14:paraId="7445767A" w14:textId="77777777" w:rsidR="002F317C" w:rsidRPr="008F03E5" w:rsidRDefault="002F317C" w:rsidP="00B243EB">
            <w:r w:rsidRPr="008F03E5">
              <w:rPr>
                <w:rtl/>
              </w:rPr>
              <w:t>ٱلْلَّطِيفُ</w:t>
            </w:r>
          </w:p>
        </w:tc>
        <w:tc>
          <w:tcPr>
            <w:tcW w:w="1928" w:type="dxa"/>
            <w:tcBorders>
              <w:top w:val="nil"/>
              <w:left w:val="nil"/>
              <w:bottom w:val="nil"/>
              <w:right w:val="nil"/>
            </w:tcBorders>
            <w:shd w:val="clear" w:color="auto" w:fill="auto"/>
            <w:noWrap/>
            <w:vAlign w:val="center"/>
            <w:hideMark/>
          </w:tcPr>
          <w:p w14:paraId="27DF1717" w14:textId="77777777" w:rsidR="002F317C" w:rsidRPr="008F03E5" w:rsidRDefault="002F317C" w:rsidP="003D329D">
            <w:pPr>
              <w:rPr>
                <w:sz w:val="18"/>
                <w:szCs w:val="18"/>
              </w:rPr>
            </w:pPr>
            <w:r w:rsidRPr="008F03E5">
              <w:rPr>
                <w:sz w:val="18"/>
                <w:szCs w:val="18"/>
              </w:rPr>
              <w:t>al-Laṭíf</w:t>
            </w:r>
          </w:p>
        </w:tc>
        <w:tc>
          <w:tcPr>
            <w:tcW w:w="4309" w:type="dxa"/>
            <w:tcBorders>
              <w:top w:val="nil"/>
              <w:left w:val="nil"/>
              <w:bottom w:val="nil"/>
              <w:right w:val="nil"/>
            </w:tcBorders>
            <w:shd w:val="clear" w:color="auto" w:fill="auto"/>
            <w:noWrap/>
            <w:vAlign w:val="center"/>
            <w:hideMark/>
          </w:tcPr>
          <w:p w14:paraId="34858F12" w14:textId="77777777" w:rsidR="002F317C" w:rsidRPr="008F03E5" w:rsidRDefault="002F317C" w:rsidP="003D329D">
            <w:pPr>
              <w:rPr>
                <w:sz w:val="18"/>
                <w:szCs w:val="18"/>
              </w:rPr>
            </w:pPr>
            <w:r w:rsidRPr="008F03E5">
              <w:rPr>
                <w:sz w:val="18"/>
                <w:szCs w:val="18"/>
              </w:rPr>
              <w:t>The Subtly Kind</w:t>
            </w:r>
          </w:p>
        </w:tc>
      </w:tr>
      <w:tr w:rsidR="002F317C" w:rsidRPr="008F03E5" w14:paraId="080A46D5"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2F18C5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31</w:t>
            </w:r>
          </w:p>
        </w:tc>
        <w:tc>
          <w:tcPr>
            <w:tcW w:w="1417" w:type="dxa"/>
            <w:tcBorders>
              <w:top w:val="nil"/>
              <w:left w:val="nil"/>
              <w:bottom w:val="nil"/>
              <w:right w:val="nil"/>
            </w:tcBorders>
            <w:shd w:val="clear" w:color="auto" w:fill="auto"/>
            <w:noWrap/>
            <w:vAlign w:val="center"/>
            <w:hideMark/>
          </w:tcPr>
          <w:p w14:paraId="47A1AE4A" w14:textId="77777777" w:rsidR="002F317C" w:rsidRPr="008F03E5" w:rsidRDefault="002F317C" w:rsidP="00B243EB">
            <w:r w:rsidRPr="008F03E5">
              <w:rPr>
                <w:rtl/>
              </w:rPr>
              <w:t>ٱلْخَبِيرُ</w:t>
            </w:r>
          </w:p>
        </w:tc>
        <w:tc>
          <w:tcPr>
            <w:tcW w:w="1928" w:type="dxa"/>
            <w:tcBorders>
              <w:top w:val="nil"/>
              <w:left w:val="nil"/>
              <w:bottom w:val="nil"/>
              <w:right w:val="nil"/>
            </w:tcBorders>
            <w:shd w:val="clear" w:color="auto" w:fill="auto"/>
            <w:noWrap/>
            <w:vAlign w:val="center"/>
            <w:hideMark/>
          </w:tcPr>
          <w:p w14:paraId="20A81EB5" w14:textId="77777777" w:rsidR="002F317C" w:rsidRPr="008F03E5" w:rsidRDefault="002F317C" w:rsidP="00254769">
            <w:pPr>
              <w:rPr>
                <w:color w:val="000000"/>
                <w:sz w:val="18"/>
                <w:szCs w:val="18"/>
                <w14:numForm w14:val="default"/>
                <w14:numSpacing w14:val="default"/>
              </w:rPr>
            </w:pPr>
            <w:r w:rsidRPr="008F03E5">
              <w:rPr>
                <w:sz w:val="18"/>
                <w:szCs w:val="18"/>
              </w:rPr>
              <w:t>al-</w:t>
            </w:r>
            <w:r w:rsidRPr="008F03E5">
              <w:rPr>
                <w:sz w:val="18"/>
                <w:szCs w:val="18"/>
                <w:u w:val="single"/>
              </w:rPr>
              <w:t>Kh</w:t>
            </w:r>
            <w:r w:rsidRPr="008F03E5">
              <w:rPr>
                <w:sz w:val="18"/>
                <w:szCs w:val="18"/>
              </w:rPr>
              <w:t>abír</w:t>
            </w:r>
          </w:p>
        </w:tc>
        <w:tc>
          <w:tcPr>
            <w:tcW w:w="4309" w:type="dxa"/>
            <w:tcBorders>
              <w:top w:val="nil"/>
              <w:left w:val="nil"/>
              <w:bottom w:val="nil"/>
              <w:right w:val="nil"/>
            </w:tcBorders>
            <w:shd w:val="clear" w:color="auto" w:fill="auto"/>
            <w:noWrap/>
            <w:vAlign w:val="center"/>
            <w:hideMark/>
          </w:tcPr>
          <w:p w14:paraId="6CAEC6B7" w14:textId="77777777" w:rsidR="002F317C" w:rsidRPr="008F03E5" w:rsidRDefault="002F317C" w:rsidP="003D329D">
            <w:pPr>
              <w:rPr>
                <w:sz w:val="18"/>
                <w:szCs w:val="18"/>
              </w:rPr>
            </w:pPr>
            <w:r w:rsidRPr="008F03E5">
              <w:rPr>
                <w:sz w:val="18"/>
                <w:szCs w:val="18"/>
              </w:rPr>
              <w:t>The All Aware</w:t>
            </w:r>
          </w:p>
        </w:tc>
      </w:tr>
      <w:tr w:rsidR="002F317C" w:rsidRPr="008F03E5" w14:paraId="16E2D98D"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D4BFFA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32</w:t>
            </w:r>
          </w:p>
        </w:tc>
        <w:tc>
          <w:tcPr>
            <w:tcW w:w="1417" w:type="dxa"/>
            <w:tcBorders>
              <w:top w:val="nil"/>
              <w:left w:val="nil"/>
              <w:bottom w:val="nil"/>
              <w:right w:val="nil"/>
            </w:tcBorders>
            <w:shd w:val="clear" w:color="auto" w:fill="auto"/>
            <w:noWrap/>
            <w:vAlign w:val="center"/>
            <w:hideMark/>
          </w:tcPr>
          <w:p w14:paraId="379C15FE" w14:textId="77777777" w:rsidR="002F317C" w:rsidRPr="008F03E5" w:rsidRDefault="002F317C" w:rsidP="00B243EB">
            <w:r w:rsidRPr="008F03E5">
              <w:rPr>
                <w:rtl/>
              </w:rPr>
              <w:t>ٱلْحَلِيمُ</w:t>
            </w:r>
          </w:p>
        </w:tc>
        <w:tc>
          <w:tcPr>
            <w:tcW w:w="1928" w:type="dxa"/>
            <w:tcBorders>
              <w:top w:val="nil"/>
              <w:left w:val="nil"/>
              <w:bottom w:val="nil"/>
              <w:right w:val="nil"/>
            </w:tcBorders>
            <w:shd w:val="clear" w:color="auto" w:fill="auto"/>
            <w:noWrap/>
            <w:vAlign w:val="center"/>
            <w:hideMark/>
          </w:tcPr>
          <w:p w14:paraId="7A048710" w14:textId="77777777" w:rsidR="002F317C" w:rsidRPr="008F03E5" w:rsidRDefault="002F317C" w:rsidP="003D329D">
            <w:pPr>
              <w:rPr>
                <w:sz w:val="18"/>
                <w:szCs w:val="18"/>
              </w:rPr>
            </w:pPr>
            <w:r w:rsidRPr="008F03E5">
              <w:rPr>
                <w:sz w:val="18"/>
                <w:szCs w:val="18"/>
              </w:rPr>
              <w:t>al-Ḥalím</w:t>
            </w:r>
          </w:p>
        </w:tc>
        <w:tc>
          <w:tcPr>
            <w:tcW w:w="4309" w:type="dxa"/>
            <w:tcBorders>
              <w:top w:val="nil"/>
              <w:left w:val="nil"/>
              <w:bottom w:val="nil"/>
              <w:right w:val="nil"/>
            </w:tcBorders>
            <w:shd w:val="clear" w:color="auto" w:fill="auto"/>
            <w:noWrap/>
            <w:vAlign w:val="center"/>
            <w:hideMark/>
          </w:tcPr>
          <w:p w14:paraId="1ABE7031" w14:textId="77777777" w:rsidR="002F317C" w:rsidRPr="008F03E5" w:rsidRDefault="002F317C" w:rsidP="003D329D">
            <w:pPr>
              <w:rPr>
                <w:sz w:val="18"/>
                <w:szCs w:val="18"/>
              </w:rPr>
            </w:pPr>
            <w:r w:rsidRPr="008F03E5">
              <w:rPr>
                <w:sz w:val="18"/>
                <w:szCs w:val="18"/>
              </w:rPr>
              <w:t>The Forbearing, the Indulgent</w:t>
            </w:r>
          </w:p>
        </w:tc>
      </w:tr>
      <w:tr w:rsidR="002F317C" w:rsidRPr="008F03E5" w14:paraId="216F0FF0"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7C0B03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33</w:t>
            </w:r>
          </w:p>
        </w:tc>
        <w:tc>
          <w:tcPr>
            <w:tcW w:w="1417" w:type="dxa"/>
            <w:tcBorders>
              <w:top w:val="nil"/>
              <w:left w:val="nil"/>
              <w:bottom w:val="nil"/>
              <w:right w:val="nil"/>
            </w:tcBorders>
            <w:shd w:val="clear" w:color="auto" w:fill="auto"/>
            <w:noWrap/>
            <w:vAlign w:val="center"/>
            <w:hideMark/>
          </w:tcPr>
          <w:p w14:paraId="56351E72" w14:textId="77777777" w:rsidR="002F317C" w:rsidRPr="008F03E5" w:rsidRDefault="002F317C" w:rsidP="00B243EB">
            <w:r w:rsidRPr="008F03E5">
              <w:rPr>
                <w:rtl/>
              </w:rPr>
              <w:t>ٱلْعَظِيمُ</w:t>
            </w:r>
          </w:p>
        </w:tc>
        <w:tc>
          <w:tcPr>
            <w:tcW w:w="1928" w:type="dxa"/>
            <w:tcBorders>
              <w:top w:val="nil"/>
              <w:left w:val="nil"/>
              <w:bottom w:val="nil"/>
              <w:right w:val="nil"/>
            </w:tcBorders>
            <w:shd w:val="clear" w:color="auto" w:fill="auto"/>
            <w:noWrap/>
            <w:vAlign w:val="center"/>
            <w:hideMark/>
          </w:tcPr>
          <w:p w14:paraId="4EDDEDE7" w14:textId="77777777" w:rsidR="002F317C" w:rsidRPr="008F03E5" w:rsidRDefault="002F317C" w:rsidP="003D329D">
            <w:pPr>
              <w:rPr>
                <w:sz w:val="18"/>
                <w:szCs w:val="18"/>
              </w:rPr>
            </w:pPr>
            <w:r w:rsidRPr="008F03E5">
              <w:rPr>
                <w:sz w:val="18"/>
                <w:szCs w:val="18"/>
              </w:rPr>
              <w:t>al-‘Aẓím</w:t>
            </w:r>
          </w:p>
        </w:tc>
        <w:tc>
          <w:tcPr>
            <w:tcW w:w="4309" w:type="dxa"/>
            <w:tcBorders>
              <w:top w:val="nil"/>
              <w:left w:val="nil"/>
              <w:bottom w:val="nil"/>
              <w:right w:val="nil"/>
            </w:tcBorders>
            <w:shd w:val="clear" w:color="auto" w:fill="auto"/>
            <w:noWrap/>
            <w:vAlign w:val="center"/>
            <w:hideMark/>
          </w:tcPr>
          <w:p w14:paraId="32FCA5BD" w14:textId="77777777" w:rsidR="002F317C" w:rsidRPr="008F03E5" w:rsidRDefault="002F317C" w:rsidP="003D329D">
            <w:pPr>
              <w:rPr>
                <w:sz w:val="18"/>
                <w:szCs w:val="18"/>
              </w:rPr>
            </w:pPr>
            <w:r w:rsidRPr="008F03E5">
              <w:rPr>
                <w:sz w:val="18"/>
                <w:szCs w:val="18"/>
              </w:rPr>
              <w:t>The Magnificent, the Infinite</w:t>
            </w:r>
          </w:p>
        </w:tc>
      </w:tr>
      <w:tr w:rsidR="002F317C" w:rsidRPr="008F03E5" w14:paraId="4796F670"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CC34095"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34</w:t>
            </w:r>
          </w:p>
        </w:tc>
        <w:tc>
          <w:tcPr>
            <w:tcW w:w="1417" w:type="dxa"/>
            <w:tcBorders>
              <w:top w:val="nil"/>
              <w:left w:val="nil"/>
              <w:bottom w:val="nil"/>
              <w:right w:val="nil"/>
            </w:tcBorders>
            <w:shd w:val="clear" w:color="auto" w:fill="auto"/>
            <w:noWrap/>
            <w:vAlign w:val="center"/>
            <w:hideMark/>
          </w:tcPr>
          <w:p w14:paraId="2991582A" w14:textId="77777777" w:rsidR="002F317C" w:rsidRPr="008F03E5" w:rsidRDefault="002F317C" w:rsidP="00B243EB">
            <w:r w:rsidRPr="008F03E5">
              <w:rPr>
                <w:rtl/>
              </w:rPr>
              <w:t>ٱلْغَفُورُ</w:t>
            </w:r>
          </w:p>
        </w:tc>
        <w:tc>
          <w:tcPr>
            <w:tcW w:w="1928" w:type="dxa"/>
            <w:tcBorders>
              <w:top w:val="nil"/>
              <w:left w:val="nil"/>
              <w:bottom w:val="nil"/>
              <w:right w:val="nil"/>
            </w:tcBorders>
            <w:shd w:val="clear" w:color="auto" w:fill="auto"/>
            <w:noWrap/>
            <w:vAlign w:val="center"/>
            <w:hideMark/>
          </w:tcPr>
          <w:p w14:paraId="47F01A66" w14:textId="77777777" w:rsidR="002F317C" w:rsidRPr="008F03E5" w:rsidRDefault="002F317C" w:rsidP="00254769">
            <w:pPr>
              <w:rPr>
                <w:color w:val="000000"/>
                <w:sz w:val="18"/>
                <w:szCs w:val="18"/>
                <w14:numForm w14:val="default"/>
                <w14:numSpacing w14:val="default"/>
              </w:rPr>
            </w:pPr>
            <w:r w:rsidRPr="008F03E5">
              <w:rPr>
                <w:sz w:val="18"/>
                <w:szCs w:val="18"/>
              </w:rPr>
              <w:t>al-</w:t>
            </w:r>
            <w:r w:rsidRPr="008F03E5">
              <w:rPr>
                <w:sz w:val="18"/>
                <w:szCs w:val="18"/>
                <w:u w:val="single"/>
              </w:rPr>
              <w:t>Gh</w:t>
            </w:r>
            <w:r w:rsidRPr="008F03E5">
              <w:rPr>
                <w:sz w:val="18"/>
                <w:szCs w:val="18"/>
              </w:rPr>
              <w:t>afúr</w:t>
            </w:r>
          </w:p>
        </w:tc>
        <w:tc>
          <w:tcPr>
            <w:tcW w:w="4309" w:type="dxa"/>
            <w:tcBorders>
              <w:top w:val="nil"/>
              <w:left w:val="nil"/>
              <w:bottom w:val="nil"/>
              <w:right w:val="nil"/>
            </w:tcBorders>
            <w:shd w:val="clear" w:color="auto" w:fill="auto"/>
            <w:noWrap/>
            <w:vAlign w:val="center"/>
            <w:hideMark/>
          </w:tcPr>
          <w:p w14:paraId="61319E68" w14:textId="77777777" w:rsidR="002F317C" w:rsidRPr="008F03E5" w:rsidRDefault="002F317C" w:rsidP="003D329D">
            <w:pPr>
              <w:rPr>
                <w:sz w:val="18"/>
                <w:szCs w:val="18"/>
              </w:rPr>
            </w:pPr>
            <w:r w:rsidRPr="008F03E5">
              <w:rPr>
                <w:sz w:val="18"/>
                <w:szCs w:val="18"/>
              </w:rPr>
              <w:t>The All Forgiving</w:t>
            </w:r>
          </w:p>
        </w:tc>
      </w:tr>
      <w:tr w:rsidR="002F317C" w:rsidRPr="008F03E5" w14:paraId="58E8F63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5790DCB"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35</w:t>
            </w:r>
          </w:p>
        </w:tc>
        <w:tc>
          <w:tcPr>
            <w:tcW w:w="1417" w:type="dxa"/>
            <w:tcBorders>
              <w:top w:val="nil"/>
              <w:left w:val="nil"/>
              <w:bottom w:val="nil"/>
              <w:right w:val="nil"/>
            </w:tcBorders>
            <w:shd w:val="clear" w:color="auto" w:fill="auto"/>
            <w:noWrap/>
            <w:vAlign w:val="center"/>
            <w:hideMark/>
          </w:tcPr>
          <w:p w14:paraId="1012D5D4" w14:textId="77777777" w:rsidR="002F317C" w:rsidRPr="008F03E5" w:rsidRDefault="002F317C" w:rsidP="00B243EB">
            <w:r w:rsidRPr="008F03E5">
              <w:rPr>
                <w:rtl/>
              </w:rPr>
              <w:t>ٱلْشَّكُورُ</w:t>
            </w:r>
          </w:p>
        </w:tc>
        <w:tc>
          <w:tcPr>
            <w:tcW w:w="1928" w:type="dxa"/>
            <w:tcBorders>
              <w:top w:val="nil"/>
              <w:left w:val="nil"/>
              <w:bottom w:val="nil"/>
              <w:right w:val="nil"/>
            </w:tcBorders>
            <w:shd w:val="clear" w:color="auto" w:fill="auto"/>
            <w:noWrap/>
            <w:vAlign w:val="center"/>
            <w:hideMark/>
          </w:tcPr>
          <w:p w14:paraId="3DA1D885" w14:textId="77777777" w:rsidR="002F317C" w:rsidRPr="008F03E5" w:rsidRDefault="002F317C" w:rsidP="00254769">
            <w:pPr>
              <w:rPr>
                <w:color w:val="000000"/>
                <w:sz w:val="18"/>
                <w:szCs w:val="18"/>
                <w14:numForm w14:val="default"/>
                <w14:numSpacing w14:val="default"/>
              </w:rPr>
            </w:pPr>
            <w:r w:rsidRPr="008F03E5">
              <w:rPr>
                <w:sz w:val="18"/>
                <w:szCs w:val="18"/>
              </w:rPr>
              <w:t>a</w:t>
            </w:r>
            <w:r w:rsidRPr="008F03E5">
              <w:rPr>
                <w:sz w:val="18"/>
                <w:szCs w:val="18"/>
                <w:u w:val="single"/>
              </w:rPr>
              <w:t>sh</w:t>
            </w:r>
            <w:r w:rsidRPr="008F03E5">
              <w:rPr>
                <w:sz w:val="18"/>
                <w:szCs w:val="18"/>
              </w:rPr>
              <w:t>-</w:t>
            </w:r>
            <w:r w:rsidRPr="008F03E5">
              <w:rPr>
                <w:sz w:val="18"/>
                <w:szCs w:val="18"/>
                <w:u w:val="single"/>
              </w:rPr>
              <w:t>Sh</w:t>
            </w:r>
            <w:r w:rsidRPr="008F03E5">
              <w:rPr>
                <w:sz w:val="18"/>
                <w:szCs w:val="18"/>
              </w:rPr>
              <w:t>akúr</w:t>
            </w:r>
          </w:p>
        </w:tc>
        <w:tc>
          <w:tcPr>
            <w:tcW w:w="4309" w:type="dxa"/>
            <w:tcBorders>
              <w:top w:val="nil"/>
              <w:left w:val="nil"/>
              <w:bottom w:val="nil"/>
              <w:right w:val="nil"/>
            </w:tcBorders>
            <w:shd w:val="clear" w:color="auto" w:fill="auto"/>
            <w:noWrap/>
            <w:vAlign w:val="center"/>
            <w:hideMark/>
          </w:tcPr>
          <w:p w14:paraId="04FC2A21" w14:textId="77777777" w:rsidR="002F317C" w:rsidRPr="008F03E5" w:rsidRDefault="002F317C" w:rsidP="003D329D">
            <w:pPr>
              <w:rPr>
                <w:sz w:val="18"/>
                <w:szCs w:val="18"/>
              </w:rPr>
            </w:pPr>
            <w:r w:rsidRPr="008F03E5">
              <w:rPr>
                <w:sz w:val="18"/>
                <w:szCs w:val="18"/>
              </w:rPr>
              <w:t>The Grateful</w:t>
            </w:r>
          </w:p>
        </w:tc>
      </w:tr>
      <w:tr w:rsidR="002F317C" w:rsidRPr="008F03E5" w14:paraId="5418D278"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C3AD86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36</w:t>
            </w:r>
          </w:p>
        </w:tc>
        <w:tc>
          <w:tcPr>
            <w:tcW w:w="1417" w:type="dxa"/>
            <w:tcBorders>
              <w:top w:val="nil"/>
              <w:left w:val="nil"/>
              <w:bottom w:val="nil"/>
              <w:right w:val="nil"/>
            </w:tcBorders>
            <w:shd w:val="clear" w:color="auto" w:fill="auto"/>
            <w:noWrap/>
            <w:vAlign w:val="center"/>
            <w:hideMark/>
          </w:tcPr>
          <w:p w14:paraId="788DA0C4" w14:textId="77777777" w:rsidR="002F317C" w:rsidRPr="008F03E5" w:rsidRDefault="002F317C" w:rsidP="00B243EB">
            <w:r w:rsidRPr="008F03E5">
              <w:rPr>
                <w:rtl/>
              </w:rPr>
              <w:t>ٱلْعَلِىُّ</w:t>
            </w:r>
          </w:p>
        </w:tc>
        <w:tc>
          <w:tcPr>
            <w:tcW w:w="1928" w:type="dxa"/>
            <w:tcBorders>
              <w:top w:val="nil"/>
              <w:left w:val="nil"/>
              <w:bottom w:val="nil"/>
              <w:right w:val="nil"/>
            </w:tcBorders>
            <w:shd w:val="clear" w:color="auto" w:fill="auto"/>
            <w:noWrap/>
            <w:vAlign w:val="center"/>
            <w:hideMark/>
          </w:tcPr>
          <w:p w14:paraId="6C5D7104" w14:textId="77777777" w:rsidR="002F317C" w:rsidRPr="008F03E5" w:rsidRDefault="002F317C" w:rsidP="003D329D">
            <w:pPr>
              <w:rPr>
                <w:sz w:val="18"/>
                <w:szCs w:val="18"/>
              </w:rPr>
            </w:pPr>
            <w:r w:rsidRPr="008F03E5">
              <w:rPr>
                <w:sz w:val="18"/>
                <w:szCs w:val="18"/>
              </w:rPr>
              <w:t>al-‘Alíy</w:t>
            </w:r>
          </w:p>
        </w:tc>
        <w:tc>
          <w:tcPr>
            <w:tcW w:w="4309" w:type="dxa"/>
            <w:tcBorders>
              <w:top w:val="nil"/>
              <w:left w:val="nil"/>
              <w:bottom w:val="nil"/>
              <w:right w:val="nil"/>
            </w:tcBorders>
            <w:shd w:val="clear" w:color="auto" w:fill="auto"/>
            <w:noWrap/>
            <w:vAlign w:val="center"/>
            <w:hideMark/>
          </w:tcPr>
          <w:p w14:paraId="57C5A35C" w14:textId="77777777" w:rsidR="002F317C" w:rsidRPr="008F03E5" w:rsidRDefault="002F317C" w:rsidP="003D329D">
            <w:pPr>
              <w:rPr>
                <w:sz w:val="18"/>
                <w:szCs w:val="18"/>
              </w:rPr>
            </w:pPr>
            <w:r w:rsidRPr="008F03E5">
              <w:rPr>
                <w:sz w:val="18"/>
                <w:szCs w:val="18"/>
              </w:rPr>
              <w:t>The Sublimely Exalted</w:t>
            </w:r>
          </w:p>
        </w:tc>
      </w:tr>
      <w:tr w:rsidR="002F317C" w:rsidRPr="008F03E5" w14:paraId="6BA60AC3"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74F1B76"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37</w:t>
            </w:r>
          </w:p>
        </w:tc>
        <w:tc>
          <w:tcPr>
            <w:tcW w:w="1417" w:type="dxa"/>
            <w:tcBorders>
              <w:top w:val="nil"/>
              <w:left w:val="nil"/>
              <w:bottom w:val="nil"/>
              <w:right w:val="nil"/>
            </w:tcBorders>
            <w:shd w:val="clear" w:color="auto" w:fill="auto"/>
            <w:noWrap/>
            <w:vAlign w:val="center"/>
            <w:hideMark/>
          </w:tcPr>
          <w:p w14:paraId="10DD5DDB" w14:textId="77777777" w:rsidR="002F317C" w:rsidRPr="008F03E5" w:rsidRDefault="002F317C" w:rsidP="00B243EB">
            <w:r w:rsidRPr="008F03E5">
              <w:rPr>
                <w:rtl/>
              </w:rPr>
              <w:t>ٱلْكَبِيرُ</w:t>
            </w:r>
          </w:p>
        </w:tc>
        <w:tc>
          <w:tcPr>
            <w:tcW w:w="1928" w:type="dxa"/>
            <w:tcBorders>
              <w:top w:val="nil"/>
              <w:left w:val="nil"/>
              <w:bottom w:val="nil"/>
              <w:right w:val="nil"/>
            </w:tcBorders>
            <w:shd w:val="clear" w:color="auto" w:fill="auto"/>
            <w:noWrap/>
            <w:vAlign w:val="center"/>
            <w:hideMark/>
          </w:tcPr>
          <w:p w14:paraId="176641D3" w14:textId="77777777" w:rsidR="002F317C" w:rsidRPr="008F03E5" w:rsidRDefault="002F317C" w:rsidP="003D329D">
            <w:pPr>
              <w:rPr>
                <w:sz w:val="18"/>
                <w:szCs w:val="18"/>
              </w:rPr>
            </w:pPr>
            <w:r w:rsidRPr="008F03E5">
              <w:rPr>
                <w:sz w:val="18"/>
                <w:szCs w:val="18"/>
              </w:rPr>
              <w:t>al-Kabír</w:t>
            </w:r>
          </w:p>
        </w:tc>
        <w:tc>
          <w:tcPr>
            <w:tcW w:w="4309" w:type="dxa"/>
            <w:tcBorders>
              <w:top w:val="nil"/>
              <w:left w:val="nil"/>
              <w:bottom w:val="nil"/>
              <w:right w:val="nil"/>
            </w:tcBorders>
            <w:shd w:val="clear" w:color="auto" w:fill="auto"/>
            <w:noWrap/>
            <w:vAlign w:val="center"/>
            <w:hideMark/>
          </w:tcPr>
          <w:p w14:paraId="48F7F605" w14:textId="77777777" w:rsidR="002F317C" w:rsidRPr="008F03E5" w:rsidRDefault="002F317C" w:rsidP="003D329D">
            <w:pPr>
              <w:rPr>
                <w:sz w:val="18"/>
                <w:szCs w:val="18"/>
              </w:rPr>
            </w:pPr>
            <w:r w:rsidRPr="008F03E5">
              <w:rPr>
                <w:sz w:val="18"/>
                <w:szCs w:val="18"/>
              </w:rPr>
              <w:t>The Great</w:t>
            </w:r>
          </w:p>
        </w:tc>
      </w:tr>
      <w:tr w:rsidR="002F317C" w:rsidRPr="008F03E5" w14:paraId="053A90E3"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BF7B8B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38</w:t>
            </w:r>
          </w:p>
        </w:tc>
        <w:tc>
          <w:tcPr>
            <w:tcW w:w="1417" w:type="dxa"/>
            <w:tcBorders>
              <w:top w:val="nil"/>
              <w:left w:val="nil"/>
              <w:bottom w:val="nil"/>
              <w:right w:val="nil"/>
            </w:tcBorders>
            <w:shd w:val="clear" w:color="auto" w:fill="auto"/>
            <w:noWrap/>
            <w:vAlign w:val="center"/>
            <w:hideMark/>
          </w:tcPr>
          <w:p w14:paraId="497681F9" w14:textId="77777777" w:rsidR="002F317C" w:rsidRPr="008F03E5" w:rsidRDefault="002F317C" w:rsidP="00B243EB">
            <w:r w:rsidRPr="008F03E5">
              <w:rPr>
                <w:rtl/>
              </w:rPr>
              <w:t>ٱلْحَفِيظُ</w:t>
            </w:r>
          </w:p>
        </w:tc>
        <w:tc>
          <w:tcPr>
            <w:tcW w:w="1928" w:type="dxa"/>
            <w:tcBorders>
              <w:top w:val="nil"/>
              <w:left w:val="nil"/>
              <w:bottom w:val="nil"/>
              <w:right w:val="nil"/>
            </w:tcBorders>
            <w:shd w:val="clear" w:color="auto" w:fill="auto"/>
            <w:noWrap/>
            <w:vAlign w:val="center"/>
            <w:hideMark/>
          </w:tcPr>
          <w:p w14:paraId="62651575" w14:textId="77777777" w:rsidR="002F317C" w:rsidRPr="008F03E5" w:rsidRDefault="002F317C" w:rsidP="003D329D">
            <w:pPr>
              <w:rPr>
                <w:sz w:val="18"/>
                <w:szCs w:val="18"/>
              </w:rPr>
            </w:pPr>
            <w:r w:rsidRPr="008F03E5">
              <w:rPr>
                <w:sz w:val="18"/>
                <w:szCs w:val="18"/>
              </w:rPr>
              <w:t>al-Ḥafíẓ</w:t>
            </w:r>
          </w:p>
        </w:tc>
        <w:tc>
          <w:tcPr>
            <w:tcW w:w="4309" w:type="dxa"/>
            <w:tcBorders>
              <w:top w:val="nil"/>
              <w:left w:val="nil"/>
              <w:bottom w:val="nil"/>
              <w:right w:val="nil"/>
            </w:tcBorders>
            <w:shd w:val="clear" w:color="auto" w:fill="auto"/>
            <w:noWrap/>
            <w:vAlign w:val="center"/>
            <w:hideMark/>
          </w:tcPr>
          <w:p w14:paraId="5AF507D6" w14:textId="77777777" w:rsidR="002F317C" w:rsidRPr="008F03E5" w:rsidRDefault="002F317C" w:rsidP="003D329D">
            <w:pPr>
              <w:rPr>
                <w:sz w:val="18"/>
                <w:szCs w:val="18"/>
              </w:rPr>
            </w:pPr>
            <w:r w:rsidRPr="008F03E5">
              <w:rPr>
                <w:sz w:val="18"/>
                <w:szCs w:val="18"/>
              </w:rPr>
              <w:t>The Preserver</w:t>
            </w:r>
          </w:p>
        </w:tc>
      </w:tr>
      <w:tr w:rsidR="002F317C" w:rsidRPr="008F03E5" w14:paraId="560CE51B"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2D4F66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39</w:t>
            </w:r>
          </w:p>
        </w:tc>
        <w:tc>
          <w:tcPr>
            <w:tcW w:w="1417" w:type="dxa"/>
            <w:tcBorders>
              <w:top w:val="nil"/>
              <w:left w:val="nil"/>
              <w:bottom w:val="nil"/>
              <w:right w:val="nil"/>
            </w:tcBorders>
            <w:shd w:val="clear" w:color="auto" w:fill="auto"/>
            <w:noWrap/>
            <w:vAlign w:val="center"/>
            <w:hideMark/>
          </w:tcPr>
          <w:p w14:paraId="2EFDD87C" w14:textId="77777777" w:rsidR="002F317C" w:rsidRPr="008F03E5" w:rsidRDefault="002F317C" w:rsidP="00B243EB">
            <w:r w:rsidRPr="008F03E5">
              <w:rPr>
                <w:rtl/>
              </w:rPr>
              <w:t>ٱلْمُقِيتُ</w:t>
            </w:r>
          </w:p>
        </w:tc>
        <w:tc>
          <w:tcPr>
            <w:tcW w:w="1928" w:type="dxa"/>
            <w:tcBorders>
              <w:top w:val="nil"/>
              <w:left w:val="nil"/>
              <w:bottom w:val="nil"/>
              <w:right w:val="nil"/>
            </w:tcBorders>
            <w:shd w:val="clear" w:color="auto" w:fill="auto"/>
            <w:noWrap/>
            <w:vAlign w:val="center"/>
            <w:hideMark/>
          </w:tcPr>
          <w:p w14:paraId="5B66EBAE" w14:textId="77777777" w:rsidR="002F317C" w:rsidRPr="008F03E5" w:rsidRDefault="002F317C" w:rsidP="003D329D">
            <w:pPr>
              <w:rPr>
                <w:sz w:val="18"/>
                <w:szCs w:val="18"/>
              </w:rPr>
            </w:pPr>
            <w:r w:rsidRPr="008F03E5">
              <w:rPr>
                <w:sz w:val="18"/>
                <w:szCs w:val="18"/>
              </w:rPr>
              <w:t>al-Muqít</w:t>
            </w:r>
          </w:p>
        </w:tc>
        <w:tc>
          <w:tcPr>
            <w:tcW w:w="4309" w:type="dxa"/>
            <w:tcBorders>
              <w:top w:val="nil"/>
              <w:left w:val="nil"/>
              <w:bottom w:val="nil"/>
              <w:right w:val="nil"/>
            </w:tcBorders>
            <w:shd w:val="clear" w:color="auto" w:fill="auto"/>
            <w:noWrap/>
            <w:vAlign w:val="center"/>
            <w:hideMark/>
          </w:tcPr>
          <w:p w14:paraId="166C5BDD" w14:textId="77777777" w:rsidR="002F317C" w:rsidRPr="008F03E5" w:rsidRDefault="002F317C" w:rsidP="003D329D">
            <w:pPr>
              <w:rPr>
                <w:sz w:val="18"/>
                <w:szCs w:val="18"/>
              </w:rPr>
            </w:pPr>
            <w:r w:rsidRPr="008F03E5">
              <w:rPr>
                <w:sz w:val="18"/>
                <w:szCs w:val="18"/>
              </w:rPr>
              <w:t>The Nourisher</w:t>
            </w:r>
          </w:p>
        </w:tc>
      </w:tr>
      <w:tr w:rsidR="002F317C" w:rsidRPr="008F03E5" w14:paraId="2B0C661B"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7BE2303"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40</w:t>
            </w:r>
          </w:p>
        </w:tc>
        <w:tc>
          <w:tcPr>
            <w:tcW w:w="1417" w:type="dxa"/>
            <w:tcBorders>
              <w:top w:val="nil"/>
              <w:left w:val="nil"/>
              <w:bottom w:val="nil"/>
              <w:right w:val="nil"/>
            </w:tcBorders>
            <w:shd w:val="clear" w:color="auto" w:fill="auto"/>
            <w:noWrap/>
            <w:vAlign w:val="center"/>
            <w:hideMark/>
          </w:tcPr>
          <w:p w14:paraId="6451FAA3" w14:textId="77777777" w:rsidR="002F317C" w:rsidRPr="008F03E5" w:rsidRDefault="002F317C" w:rsidP="00B243EB">
            <w:r w:rsidRPr="008F03E5">
              <w:rPr>
                <w:rtl/>
              </w:rPr>
              <w:t>ٱلْحَسِيبُ</w:t>
            </w:r>
          </w:p>
        </w:tc>
        <w:tc>
          <w:tcPr>
            <w:tcW w:w="1928" w:type="dxa"/>
            <w:tcBorders>
              <w:top w:val="nil"/>
              <w:left w:val="nil"/>
              <w:bottom w:val="nil"/>
              <w:right w:val="nil"/>
            </w:tcBorders>
            <w:shd w:val="clear" w:color="auto" w:fill="auto"/>
            <w:noWrap/>
            <w:vAlign w:val="center"/>
            <w:hideMark/>
          </w:tcPr>
          <w:p w14:paraId="3809232C" w14:textId="77777777" w:rsidR="002F317C" w:rsidRPr="008F03E5" w:rsidRDefault="002F317C" w:rsidP="003D329D">
            <w:pPr>
              <w:rPr>
                <w:sz w:val="18"/>
                <w:szCs w:val="18"/>
              </w:rPr>
            </w:pPr>
            <w:r w:rsidRPr="008F03E5">
              <w:rPr>
                <w:sz w:val="18"/>
                <w:szCs w:val="18"/>
              </w:rPr>
              <w:t>al-Ḥasíb</w:t>
            </w:r>
          </w:p>
        </w:tc>
        <w:tc>
          <w:tcPr>
            <w:tcW w:w="4309" w:type="dxa"/>
            <w:tcBorders>
              <w:top w:val="nil"/>
              <w:left w:val="nil"/>
              <w:bottom w:val="nil"/>
              <w:right w:val="nil"/>
            </w:tcBorders>
            <w:shd w:val="clear" w:color="auto" w:fill="auto"/>
            <w:noWrap/>
            <w:vAlign w:val="center"/>
            <w:hideMark/>
          </w:tcPr>
          <w:p w14:paraId="51970E4C" w14:textId="77777777" w:rsidR="002F317C" w:rsidRPr="008F03E5" w:rsidRDefault="002F317C" w:rsidP="003D329D">
            <w:pPr>
              <w:rPr>
                <w:sz w:val="18"/>
                <w:szCs w:val="18"/>
              </w:rPr>
            </w:pPr>
            <w:r w:rsidRPr="008F03E5">
              <w:rPr>
                <w:sz w:val="18"/>
                <w:szCs w:val="18"/>
              </w:rPr>
              <w:t>The Reckoner</w:t>
            </w:r>
          </w:p>
        </w:tc>
      </w:tr>
      <w:tr w:rsidR="002F317C" w:rsidRPr="008F03E5" w14:paraId="1BAECC90"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5B5F440"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41</w:t>
            </w:r>
          </w:p>
        </w:tc>
        <w:tc>
          <w:tcPr>
            <w:tcW w:w="1417" w:type="dxa"/>
            <w:tcBorders>
              <w:top w:val="nil"/>
              <w:left w:val="nil"/>
              <w:bottom w:val="nil"/>
              <w:right w:val="nil"/>
            </w:tcBorders>
            <w:shd w:val="clear" w:color="auto" w:fill="auto"/>
            <w:noWrap/>
            <w:vAlign w:val="center"/>
            <w:hideMark/>
          </w:tcPr>
          <w:p w14:paraId="0067F7F2" w14:textId="77777777" w:rsidR="002F317C" w:rsidRPr="008F03E5" w:rsidRDefault="002F317C" w:rsidP="00B243EB">
            <w:r w:rsidRPr="008F03E5">
              <w:rPr>
                <w:rtl/>
              </w:rPr>
              <w:t>ٱلْجَلِيلُ</w:t>
            </w:r>
          </w:p>
        </w:tc>
        <w:tc>
          <w:tcPr>
            <w:tcW w:w="1928" w:type="dxa"/>
            <w:tcBorders>
              <w:top w:val="nil"/>
              <w:left w:val="nil"/>
              <w:bottom w:val="nil"/>
              <w:right w:val="nil"/>
            </w:tcBorders>
            <w:shd w:val="clear" w:color="auto" w:fill="auto"/>
            <w:noWrap/>
            <w:vAlign w:val="center"/>
            <w:hideMark/>
          </w:tcPr>
          <w:p w14:paraId="2F9FB756" w14:textId="77777777" w:rsidR="002F317C" w:rsidRPr="008F03E5" w:rsidRDefault="002F317C" w:rsidP="003D329D">
            <w:pPr>
              <w:rPr>
                <w:sz w:val="18"/>
                <w:szCs w:val="18"/>
              </w:rPr>
            </w:pPr>
            <w:r w:rsidRPr="008F03E5">
              <w:rPr>
                <w:sz w:val="18"/>
                <w:szCs w:val="18"/>
              </w:rPr>
              <w:t>al-Jalíl</w:t>
            </w:r>
          </w:p>
        </w:tc>
        <w:tc>
          <w:tcPr>
            <w:tcW w:w="4309" w:type="dxa"/>
            <w:tcBorders>
              <w:top w:val="nil"/>
              <w:left w:val="nil"/>
              <w:bottom w:val="nil"/>
              <w:right w:val="nil"/>
            </w:tcBorders>
            <w:shd w:val="clear" w:color="auto" w:fill="auto"/>
            <w:noWrap/>
            <w:vAlign w:val="center"/>
            <w:hideMark/>
          </w:tcPr>
          <w:p w14:paraId="1D492F78" w14:textId="77777777" w:rsidR="002F317C" w:rsidRPr="008F03E5" w:rsidRDefault="002F317C" w:rsidP="003D329D">
            <w:pPr>
              <w:rPr>
                <w:sz w:val="18"/>
                <w:szCs w:val="18"/>
              </w:rPr>
            </w:pPr>
            <w:r w:rsidRPr="008F03E5">
              <w:rPr>
                <w:sz w:val="18"/>
                <w:szCs w:val="18"/>
              </w:rPr>
              <w:t>The Majestic</w:t>
            </w:r>
          </w:p>
        </w:tc>
      </w:tr>
      <w:tr w:rsidR="002F317C" w:rsidRPr="008F03E5" w14:paraId="66D36E9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BEA6C1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42</w:t>
            </w:r>
          </w:p>
        </w:tc>
        <w:tc>
          <w:tcPr>
            <w:tcW w:w="1417" w:type="dxa"/>
            <w:tcBorders>
              <w:top w:val="nil"/>
              <w:left w:val="nil"/>
              <w:bottom w:val="nil"/>
              <w:right w:val="nil"/>
            </w:tcBorders>
            <w:shd w:val="clear" w:color="auto" w:fill="auto"/>
            <w:noWrap/>
            <w:vAlign w:val="center"/>
            <w:hideMark/>
          </w:tcPr>
          <w:p w14:paraId="0B421FB4" w14:textId="77777777" w:rsidR="002F317C" w:rsidRPr="008F03E5" w:rsidRDefault="002F317C" w:rsidP="00B243EB">
            <w:r w:rsidRPr="008F03E5">
              <w:rPr>
                <w:rtl/>
              </w:rPr>
              <w:t>ٱلْكَرِيمُ</w:t>
            </w:r>
          </w:p>
        </w:tc>
        <w:tc>
          <w:tcPr>
            <w:tcW w:w="1928" w:type="dxa"/>
            <w:tcBorders>
              <w:top w:val="nil"/>
              <w:left w:val="nil"/>
              <w:bottom w:val="nil"/>
              <w:right w:val="nil"/>
            </w:tcBorders>
            <w:shd w:val="clear" w:color="auto" w:fill="auto"/>
            <w:noWrap/>
            <w:vAlign w:val="center"/>
            <w:hideMark/>
          </w:tcPr>
          <w:p w14:paraId="02C6F258" w14:textId="77777777" w:rsidR="002F317C" w:rsidRPr="008F03E5" w:rsidRDefault="002F317C" w:rsidP="003D329D">
            <w:pPr>
              <w:rPr>
                <w:sz w:val="18"/>
                <w:szCs w:val="18"/>
              </w:rPr>
            </w:pPr>
            <w:r w:rsidRPr="008F03E5">
              <w:rPr>
                <w:sz w:val="18"/>
                <w:szCs w:val="18"/>
              </w:rPr>
              <w:t>al-Karím</w:t>
            </w:r>
          </w:p>
        </w:tc>
        <w:tc>
          <w:tcPr>
            <w:tcW w:w="4309" w:type="dxa"/>
            <w:tcBorders>
              <w:top w:val="nil"/>
              <w:left w:val="nil"/>
              <w:bottom w:val="nil"/>
              <w:right w:val="nil"/>
            </w:tcBorders>
            <w:shd w:val="clear" w:color="auto" w:fill="auto"/>
            <w:noWrap/>
            <w:vAlign w:val="center"/>
            <w:hideMark/>
          </w:tcPr>
          <w:p w14:paraId="254BC50E" w14:textId="77777777" w:rsidR="002F317C" w:rsidRPr="008F03E5" w:rsidRDefault="002F317C" w:rsidP="003D329D">
            <w:pPr>
              <w:rPr>
                <w:sz w:val="18"/>
                <w:szCs w:val="18"/>
              </w:rPr>
            </w:pPr>
            <w:r w:rsidRPr="008F03E5">
              <w:rPr>
                <w:sz w:val="18"/>
                <w:szCs w:val="18"/>
              </w:rPr>
              <w:t>The Bountiful, the Generous</w:t>
            </w:r>
          </w:p>
        </w:tc>
      </w:tr>
      <w:tr w:rsidR="002F317C" w:rsidRPr="008F03E5" w14:paraId="152EED5E"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845C8A1"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43</w:t>
            </w:r>
          </w:p>
        </w:tc>
        <w:tc>
          <w:tcPr>
            <w:tcW w:w="1417" w:type="dxa"/>
            <w:tcBorders>
              <w:top w:val="nil"/>
              <w:left w:val="nil"/>
              <w:bottom w:val="nil"/>
              <w:right w:val="nil"/>
            </w:tcBorders>
            <w:shd w:val="clear" w:color="auto" w:fill="auto"/>
            <w:noWrap/>
            <w:vAlign w:val="center"/>
            <w:hideMark/>
          </w:tcPr>
          <w:p w14:paraId="082EB06B" w14:textId="77777777" w:rsidR="002F317C" w:rsidRPr="008F03E5" w:rsidRDefault="002F317C" w:rsidP="00B243EB">
            <w:r w:rsidRPr="008F03E5">
              <w:rPr>
                <w:rtl/>
              </w:rPr>
              <w:t>ٱلْرَّقِيبُ</w:t>
            </w:r>
          </w:p>
        </w:tc>
        <w:tc>
          <w:tcPr>
            <w:tcW w:w="1928" w:type="dxa"/>
            <w:tcBorders>
              <w:top w:val="nil"/>
              <w:left w:val="nil"/>
              <w:bottom w:val="nil"/>
              <w:right w:val="nil"/>
            </w:tcBorders>
            <w:shd w:val="clear" w:color="auto" w:fill="auto"/>
            <w:noWrap/>
            <w:vAlign w:val="center"/>
            <w:hideMark/>
          </w:tcPr>
          <w:p w14:paraId="0232A9E1" w14:textId="77777777" w:rsidR="002F317C" w:rsidRPr="008F03E5" w:rsidRDefault="002F317C" w:rsidP="003D329D">
            <w:pPr>
              <w:rPr>
                <w:sz w:val="18"/>
                <w:szCs w:val="18"/>
              </w:rPr>
            </w:pPr>
            <w:r w:rsidRPr="008F03E5">
              <w:rPr>
                <w:sz w:val="18"/>
                <w:szCs w:val="18"/>
              </w:rPr>
              <w:t>ar-Raqíb</w:t>
            </w:r>
          </w:p>
        </w:tc>
        <w:tc>
          <w:tcPr>
            <w:tcW w:w="4309" w:type="dxa"/>
            <w:tcBorders>
              <w:top w:val="nil"/>
              <w:left w:val="nil"/>
              <w:bottom w:val="nil"/>
              <w:right w:val="nil"/>
            </w:tcBorders>
            <w:shd w:val="clear" w:color="auto" w:fill="auto"/>
            <w:noWrap/>
            <w:vAlign w:val="center"/>
            <w:hideMark/>
          </w:tcPr>
          <w:p w14:paraId="6CABC845" w14:textId="77777777" w:rsidR="002F317C" w:rsidRPr="008F03E5" w:rsidRDefault="002F317C" w:rsidP="003D329D">
            <w:pPr>
              <w:rPr>
                <w:sz w:val="18"/>
                <w:szCs w:val="18"/>
              </w:rPr>
            </w:pPr>
            <w:r w:rsidRPr="008F03E5">
              <w:rPr>
                <w:sz w:val="18"/>
                <w:szCs w:val="18"/>
              </w:rPr>
              <w:t>The Watchful</w:t>
            </w:r>
          </w:p>
        </w:tc>
      </w:tr>
      <w:tr w:rsidR="002F317C" w:rsidRPr="008F03E5" w14:paraId="65459AE5"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454E1BA"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44</w:t>
            </w:r>
          </w:p>
        </w:tc>
        <w:tc>
          <w:tcPr>
            <w:tcW w:w="1417" w:type="dxa"/>
            <w:tcBorders>
              <w:top w:val="nil"/>
              <w:left w:val="nil"/>
              <w:bottom w:val="nil"/>
              <w:right w:val="nil"/>
            </w:tcBorders>
            <w:shd w:val="clear" w:color="auto" w:fill="auto"/>
            <w:noWrap/>
            <w:vAlign w:val="center"/>
            <w:hideMark/>
          </w:tcPr>
          <w:p w14:paraId="0764675A" w14:textId="77777777" w:rsidR="002F317C" w:rsidRPr="008F03E5" w:rsidRDefault="002F317C" w:rsidP="00B243EB">
            <w:r w:rsidRPr="008F03E5">
              <w:rPr>
                <w:rtl/>
              </w:rPr>
              <w:t>ٱلْمُجِيبُ</w:t>
            </w:r>
          </w:p>
        </w:tc>
        <w:tc>
          <w:tcPr>
            <w:tcW w:w="1928" w:type="dxa"/>
            <w:tcBorders>
              <w:top w:val="nil"/>
              <w:left w:val="nil"/>
              <w:bottom w:val="nil"/>
              <w:right w:val="nil"/>
            </w:tcBorders>
            <w:shd w:val="clear" w:color="auto" w:fill="auto"/>
            <w:noWrap/>
            <w:vAlign w:val="center"/>
            <w:hideMark/>
          </w:tcPr>
          <w:p w14:paraId="31DDA5D0" w14:textId="77777777" w:rsidR="002F317C" w:rsidRPr="008F03E5" w:rsidRDefault="002F317C" w:rsidP="003D329D">
            <w:pPr>
              <w:rPr>
                <w:sz w:val="18"/>
                <w:szCs w:val="18"/>
              </w:rPr>
            </w:pPr>
            <w:r w:rsidRPr="008F03E5">
              <w:rPr>
                <w:sz w:val="18"/>
                <w:szCs w:val="18"/>
              </w:rPr>
              <w:t>al-Mujíb</w:t>
            </w:r>
          </w:p>
        </w:tc>
        <w:tc>
          <w:tcPr>
            <w:tcW w:w="4309" w:type="dxa"/>
            <w:tcBorders>
              <w:top w:val="nil"/>
              <w:left w:val="nil"/>
              <w:bottom w:val="nil"/>
              <w:right w:val="nil"/>
            </w:tcBorders>
            <w:shd w:val="clear" w:color="auto" w:fill="auto"/>
            <w:noWrap/>
            <w:vAlign w:val="center"/>
            <w:hideMark/>
          </w:tcPr>
          <w:p w14:paraId="1F2EE64B" w14:textId="77777777" w:rsidR="002F317C" w:rsidRPr="008F03E5" w:rsidRDefault="002F317C" w:rsidP="003D329D">
            <w:pPr>
              <w:rPr>
                <w:sz w:val="18"/>
                <w:szCs w:val="18"/>
              </w:rPr>
            </w:pPr>
            <w:r w:rsidRPr="008F03E5">
              <w:rPr>
                <w:sz w:val="18"/>
                <w:szCs w:val="18"/>
              </w:rPr>
              <w:t>The Responsive, the Answerer</w:t>
            </w:r>
          </w:p>
        </w:tc>
      </w:tr>
      <w:tr w:rsidR="002F317C" w:rsidRPr="008F03E5" w14:paraId="18B2671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A542041"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45</w:t>
            </w:r>
          </w:p>
        </w:tc>
        <w:tc>
          <w:tcPr>
            <w:tcW w:w="1417" w:type="dxa"/>
            <w:tcBorders>
              <w:top w:val="nil"/>
              <w:left w:val="nil"/>
              <w:bottom w:val="nil"/>
              <w:right w:val="nil"/>
            </w:tcBorders>
            <w:shd w:val="clear" w:color="auto" w:fill="auto"/>
            <w:noWrap/>
            <w:vAlign w:val="center"/>
            <w:hideMark/>
          </w:tcPr>
          <w:p w14:paraId="48662804" w14:textId="77777777" w:rsidR="002F317C" w:rsidRPr="008F03E5" w:rsidRDefault="002F317C" w:rsidP="00B243EB">
            <w:r w:rsidRPr="008F03E5">
              <w:rPr>
                <w:rtl/>
              </w:rPr>
              <w:t>ٱلْوَاسِعُ</w:t>
            </w:r>
          </w:p>
        </w:tc>
        <w:tc>
          <w:tcPr>
            <w:tcW w:w="1928" w:type="dxa"/>
            <w:tcBorders>
              <w:top w:val="nil"/>
              <w:left w:val="nil"/>
              <w:bottom w:val="nil"/>
              <w:right w:val="nil"/>
            </w:tcBorders>
            <w:shd w:val="clear" w:color="auto" w:fill="auto"/>
            <w:noWrap/>
            <w:vAlign w:val="center"/>
            <w:hideMark/>
          </w:tcPr>
          <w:p w14:paraId="121A0975" w14:textId="77777777" w:rsidR="002F317C" w:rsidRPr="008F03E5" w:rsidRDefault="002F317C" w:rsidP="003D329D">
            <w:pPr>
              <w:rPr>
                <w:sz w:val="18"/>
                <w:szCs w:val="18"/>
              </w:rPr>
            </w:pPr>
            <w:r w:rsidRPr="008F03E5">
              <w:rPr>
                <w:sz w:val="18"/>
                <w:szCs w:val="18"/>
              </w:rPr>
              <w:t>al-Wási‘</w:t>
            </w:r>
          </w:p>
        </w:tc>
        <w:tc>
          <w:tcPr>
            <w:tcW w:w="4309" w:type="dxa"/>
            <w:tcBorders>
              <w:top w:val="nil"/>
              <w:left w:val="nil"/>
              <w:bottom w:val="nil"/>
              <w:right w:val="nil"/>
            </w:tcBorders>
            <w:shd w:val="clear" w:color="auto" w:fill="auto"/>
            <w:noWrap/>
            <w:vAlign w:val="center"/>
            <w:hideMark/>
          </w:tcPr>
          <w:p w14:paraId="0BE9857B" w14:textId="77777777" w:rsidR="002F317C" w:rsidRPr="008F03E5" w:rsidRDefault="002F317C" w:rsidP="003D329D">
            <w:pPr>
              <w:rPr>
                <w:sz w:val="18"/>
                <w:szCs w:val="18"/>
              </w:rPr>
            </w:pPr>
            <w:r w:rsidRPr="008F03E5">
              <w:rPr>
                <w:sz w:val="18"/>
                <w:szCs w:val="18"/>
              </w:rPr>
              <w:t>The Vast, the All Encompassing</w:t>
            </w:r>
          </w:p>
        </w:tc>
      </w:tr>
      <w:tr w:rsidR="002F317C" w:rsidRPr="008F03E5" w14:paraId="6DB09A2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F29F264"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46</w:t>
            </w:r>
          </w:p>
        </w:tc>
        <w:tc>
          <w:tcPr>
            <w:tcW w:w="1417" w:type="dxa"/>
            <w:tcBorders>
              <w:top w:val="nil"/>
              <w:left w:val="nil"/>
              <w:bottom w:val="nil"/>
              <w:right w:val="nil"/>
            </w:tcBorders>
            <w:shd w:val="clear" w:color="auto" w:fill="auto"/>
            <w:noWrap/>
            <w:vAlign w:val="center"/>
            <w:hideMark/>
          </w:tcPr>
          <w:p w14:paraId="5744A4AB" w14:textId="77777777" w:rsidR="002F317C" w:rsidRPr="008F03E5" w:rsidRDefault="002F317C" w:rsidP="00B243EB">
            <w:r w:rsidRPr="008F03E5">
              <w:rPr>
                <w:rtl/>
              </w:rPr>
              <w:t>ٱلْحَكِيمُ</w:t>
            </w:r>
          </w:p>
        </w:tc>
        <w:tc>
          <w:tcPr>
            <w:tcW w:w="1928" w:type="dxa"/>
            <w:tcBorders>
              <w:top w:val="nil"/>
              <w:left w:val="nil"/>
              <w:bottom w:val="nil"/>
              <w:right w:val="nil"/>
            </w:tcBorders>
            <w:shd w:val="clear" w:color="auto" w:fill="auto"/>
            <w:noWrap/>
            <w:vAlign w:val="center"/>
            <w:hideMark/>
          </w:tcPr>
          <w:p w14:paraId="7F6E12C1" w14:textId="77777777" w:rsidR="002F317C" w:rsidRPr="008F03E5" w:rsidRDefault="002F317C" w:rsidP="003D329D">
            <w:pPr>
              <w:rPr>
                <w:sz w:val="18"/>
                <w:szCs w:val="18"/>
              </w:rPr>
            </w:pPr>
            <w:r w:rsidRPr="008F03E5">
              <w:rPr>
                <w:sz w:val="18"/>
                <w:szCs w:val="18"/>
              </w:rPr>
              <w:t>al-Ḥakím</w:t>
            </w:r>
          </w:p>
        </w:tc>
        <w:tc>
          <w:tcPr>
            <w:tcW w:w="4309" w:type="dxa"/>
            <w:tcBorders>
              <w:top w:val="nil"/>
              <w:left w:val="nil"/>
              <w:bottom w:val="nil"/>
              <w:right w:val="nil"/>
            </w:tcBorders>
            <w:shd w:val="clear" w:color="auto" w:fill="auto"/>
            <w:noWrap/>
            <w:vAlign w:val="center"/>
            <w:hideMark/>
          </w:tcPr>
          <w:p w14:paraId="3CD25FC3" w14:textId="77777777" w:rsidR="002F317C" w:rsidRPr="008F03E5" w:rsidRDefault="002F317C" w:rsidP="003D329D">
            <w:pPr>
              <w:rPr>
                <w:sz w:val="18"/>
                <w:szCs w:val="18"/>
              </w:rPr>
            </w:pPr>
            <w:r w:rsidRPr="008F03E5">
              <w:rPr>
                <w:sz w:val="18"/>
                <w:szCs w:val="18"/>
              </w:rPr>
              <w:t>The Wise</w:t>
            </w:r>
          </w:p>
        </w:tc>
      </w:tr>
      <w:tr w:rsidR="002F317C" w:rsidRPr="008F03E5" w14:paraId="00969DE3"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B177E20"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47</w:t>
            </w:r>
          </w:p>
        </w:tc>
        <w:tc>
          <w:tcPr>
            <w:tcW w:w="1417" w:type="dxa"/>
            <w:tcBorders>
              <w:top w:val="nil"/>
              <w:left w:val="nil"/>
              <w:bottom w:val="nil"/>
              <w:right w:val="nil"/>
            </w:tcBorders>
            <w:shd w:val="clear" w:color="auto" w:fill="auto"/>
            <w:noWrap/>
            <w:vAlign w:val="center"/>
            <w:hideMark/>
          </w:tcPr>
          <w:p w14:paraId="3F4E5A15" w14:textId="77777777" w:rsidR="002F317C" w:rsidRPr="008F03E5" w:rsidRDefault="002F317C" w:rsidP="00B243EB">
            <w:r w:rsidRPr="008F03E5">
              <w:rPr>
                <w:rtl/>
              </w:rPr>
              <w:t>ٱلْوَدُودُ</w:t>
            </w:r>
          </w:p>
        </w:tc>
        <w:tc>
          <w:tcPr>
            <w:tcW w:w="1928" w:type="dxa"/>
            <w:tcBorders>
              <w:top w:val="nil"/>
              <w:left w:val="nil"/>
              <w:bottom w:val="nil"/>
              <w:right w:val="nil"/>
            </w:tcBorders>
            <w:shd w:val="clear" w:color="auto" w:fill="auto"/>
            <w:noWrap/>
            <w:vAlign w:val="center"/>
            <w:hideMark/>
          </w:tcPr>
          <w:p w14:paraId="3BE2A3E8" w14:textId="77777777" w:rsidR="002F317C" w:rsidRPr="008F03E5" w:rsidRDefault="002F317C" w:rsidP="003D329D">
            <w:pPr>
              <w:rPr>
                <w:sz w:val="18"/>
                <w:szCs w:val="18"/>
              </w:rPr>
            </w:pPr>
            <w:r w:rsidRPr="008F03E5">
              <w:rPr>
                <w:sz w:val="18"/>
                <w:szCs w:val="18"/>
              </w:rPr>
              <w:t>al-Wadúd</w:t>
            </w:r>
          </w:p>
        </w:tc>
        <w:tc>
          <w:tcPr>
            <w:tcW w:w="4309" w:type="dxa"/>
            <w:tcBorders>
              <w:top w:val="nil"/>
              <w:left w:val="nil"/>
              <w:bottom w:val="nil"/>
              <w:right w:val="nil"/>
            </w:tcBorders>
            <w:shd w:val="clear" w:color="auto" w:fill="auto"/>
            <w:noWrap/>
            <w:vAlign w:val="center"/>
            <w:hideMark/>
          </w:tcPr>
          <w:p w14:paraId="00B6D1AE" w14:textId="77777777" w:rsidR="002F317C" w:rsidRPr="008F03E5" w:rsidRDefault="002F317C" w:rsidP="003D329D">
            <w:pPr>
              <w:rPr>
                <w:sz w:val="18"/>
                <w:szCs w:val="18"/>
              </w:rPr>
            </w:pPr>
            <w:r w:rsidRPr="008F03E5">
              <w:rPr>
                <w:sz w:val="18"/>
                <w:szCs w:val="18"/>
              </w:rPr>
              <w:t>The Loving, the Kind One</w:t>
            </w:r>
          </w:p>
        </w:tc>
      </w:tr>
      <w:tr w:rsidR="002F317C" w:rsidRPr="008F03E5" w14:paraId="16089BDD"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D33BE3F"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48</w:t>
            </w:r>
          </w:p>
        </w:tc>
        <w:tc>
          <w:tcPr>
            <w:tcW w:w="1417" w:type="dxa"/>
            <w:tcBorders>
              <w:top w:val="nil"/>
              <w:left w:val="nil"/>
              <w:bottom w:val="nil"/>
              <w:right w:val="nil"/>
            </w:tcBorders>
            <w:shd w:val="clear" w:color="auto" w:fill="auto"/>
            <w:noWrap/>
            <w:vAlign w:val="center"/>
            <w:hideMark/>
          </w:tcPr>
          <w:p w14:paraId="35163F61" w14:textId="77777777" w:rsidR="002F317C" w:rsidRPr="008F03E5" w:rsidRDefault="002F317C" w:rsidP="00B243EB">
            <w:r w:rsidRPr="008F03E5">
              <w:rPr>
                <w:rtl/>
              </w:rPr>
              <w:t>ٱلْمَجِيدُ</w:t>
            </w:r>
          </w:p>
        </w:tc>
        <w:tc>
          <w:tcPr>
            <w:tcW w:w="1928" w:type="dxa"/>
            <w:tcBorders>
              <w:top w:val="nil"/>
              <w:left w:val="nil"/>
              <w:bottom w:val="nil"/>
              <w:right w:val="nil"/>
            </w:tcBorders>
            <w:shd w:val="clear" w:color="auto" w:fill="auto"/>
            <w:noWrap/>
            <w:vAlign w:val="center"/>
            <w:hideMark/>
          </w:tcPr>
          <w:p w14:paraId="318A382E" w14:textId="77777777" w:rsidR="002F317C" w:rsidRPr="008F03E5" w:rsidRDefault="002F317C" w:rsidP="003D329D">
            <w:pPr>
              <w:rPr>
                <w:sz w:val="18"/>
                <w:szCs w:val="18"/>
              </w:rPr>
            </w:pPr>
            <w:r w:rsidRPr="008F03E5">
              <w:rPr>
                <w:sz w:val="18"/>
                <w:szCs w:val="18"/>
              </w:rPr>
              <w:t>al-Majíd</w:t>
            </w:r>
          </w:p>
        </w:tc>
        <w:tc>
          <w:tcPr>
            <w:tcW w:w="4309" w:type="dxa"/>
            <w:tcBorders>
              <w:top w:val="nil"/>
              <w:left w:val="nil"/>
              <w:bottom w:val="nil"/>
              <w:right w:val="nil"/>
            </w:tcBorders>
            <w:shd w:val="clear" w:color="auto" w:fill="auto"/>
            <w:noWrap/>
            <w:vAlign w:val="center"/>
            <w:hideMark/>
          </w:tcPr>
          <w:p w14:paraId="1E9A06EE" w14:textId="77777777" w:rsidR="002F317C" w:rsidRPr="008F03E5" w:rsidRDefault="002F317C" w:rsidP="003D329D">
            <w:pPr>
              <w:rPr>
                <w:sz w:val="18"/>
                <w:szCs w:val="18"/>
              </w:rPr>
            </w:pPr>
            <w:r w:rsidRPr="008F03E5">
              <w:rPr>
                <w:sz w:val="18"/>
                <w:szCs w:val="18"/>
              </w:rPr>
              <w:t>The All Glorious</w:t>
            </w:r>
          </w:p>
        </w:tc>
      </w:tr>
      <w:tr w:rsidR="002F317C" w:rsidRPr="008F03E5" w14:paraId="78E916DD"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63501C60"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49</w:t>
            </w:r>
          </w:p>
        </w:tc>
        <w:tc>
          <w:tcPr>
            <w:tcW w:w="1417" w:type="dxa"/>
            <w:tcBorders>
              <w:top w:val="nil"/>
              <w:left w:val="nil"/>
              <w:bottom w:val="nil"/>
              <w:right w:val="nil"/>
            </w:tcBorders>
            <w:shd w:val="clear" w:color="auto" w:fill="auto"/>
            <w:noWrap/>
            <w:vAlign w:val="center"/>
            <w:hideMark/>
          </w:tcPr>
          <w:p w14:paraId="135D8215" w14:textId="77777777" w:rsidR="002F317C" w:rsidRPr="008F03E5" w:rsidRDefault="002F317C" w:rsidP="00B243EB">
            <w:r w:rsidRPr="008F03E5">
              <w:rPr>
                <w:rtl/>
              </w:rPr>
              <w:t>ٱلْبَاعِثُ</w:t>
            </w:r>
          </w:p>
        </w:tc>
        <w:tc>
          <w:tcPr>
            <w:tcW w:w="1928" w:type="dxa"/>
            <w:tcBorders>
              <w:top w:val="nil"/>
              <w:left w:val="nil"/>
              <w:bottom w:val="nil"/>
              <w:right w:val="nil"/>
            </w:tcBorders>
            <w:shd w:val="clear" w:color="auto" w:fill="auto"/>
            <w:noWrap/>
            <w:vAlign w:val="center"/>
            <w:hideMark/>
          </w:tcPr>
          <w:p w14:paraId="05540A58" w14:textId="77777777" w:rsidR="002F317C" w:rsidRPr="008F03E5" w:rsidRDefault="002F317C" w:rsidP="00254769">
            <w:pPr>
              <w:rPr>
                <w:color w:val="000000"/>
                <w:sz w:val="18"/>
                <w:szCs w:val="18"/>
                <w14:numForm w14:val="default"/>
                <w14:numSpacing w14:val="default"/>
              </w:rPr>
            </w:pPr>
            <w:r w:rsidRPr="008F03E5">
              <w:rPr>
                <w:sz w:val="18"/>
                <w:szCs w:val="18"/>
              </w:rPr>
              <w:t>al-Bá‘i</w:t>
            </w:r>
            <w:r w:rsidRPr="008F03E5">
              <w:rPr>
                <w:sz w:val="18"/>
                <w:szCs w:val="18"/>
                <w:u w:val="single"/>
              </w:rPr>
              <w:t>th</w:t>
            </w:r>
          </w:p>
        </w:tc>
        <w:tc>
          <w:tcPr>
            <w:tcW w:w="4309" w:type="dxa"/>
            <w:tcBorders>
              <w:top w:val="nil"/>
              <w:left w:val="nil"/>
              <w:bottom w:val="nil"/>
              <w:right w:val="nil"/>
            </w:tcBorders>
            <w:shd w:val="clear" w:color="auto" w:fill="auto"/>
            <w:noWrap/>
            <w:vAlign w:val="center"/>
            <w:hideMark/>
          </w:tcPr>
          <w:p w14:paraId="041D739E" w14:textId="77777777" w:rsidR="002F317C" w:rsidRPr="008F03E5" w:rsidRDefault="002F317C" w:rsidP="003D329D">
            <w:pPr>
              <w:rPr>
                <w:sz w:val="18"/>
                <w:szCs w:val="18"/>
              </w:rPr>
            </w:pPr>
            <w:r w:rsidRPr="008F03E5">
              <w:rPr>
                <w:sz w:val="18"/>
                <w:szCs w:val="18"/>
              </w:rPr>
              <w:t>The Raiser of the Dead</w:t>
            </w:r>
          </w:p>
        </w:tc>
      </w:tr>
      <w:tr w:rsidR="002F317C" w:rsidRPr="008F03E5" w14:paraId="515D5BD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11F0B6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50</w:t>
            </w:r>
          </w:p>
        </w:tc>
        <w:tc>
          <w:tcPr>
            <w:tcW w:w="1417" w:type="dxa"/>
            <w:tcBorders>
              <w:top w:val="nil"/>
              <w:left w:val="nil"/>
              <w:bottom w:val="nil"/>
              <w:right w:val="nil"/>
            </w:tcBorders>
            <w:shd w:val="clear" w:color="auto" w:fill="auto"/>
            <w:noWrap/>
            <w:vAlign w:val="center"/>
            <w:hideMark/>
          </w:tcPr>
          <w:p w14:paraId="3F0556A5" w14:textId="77777777" w:rsidR="002F317C" w:rsidRPr="008F03E5" w:rsidRDefault="002F317C" w:rsidP="00B243EB">
            <w:r w:rsidRPr="008F03E5">
              <w:rPr>
                <w:rtl/>
              </w:rPr>
              <w:t>ٱلْشَّهِيدُ</w:t>
            </w:r>
          </w:p>
        </w:tc>
        <w:tc>
          <w:tcPr>
            <w:tcW w:w="1928" w:type="dxa"/>
            <w:tcBorders>
              <w:top w:val="nil"/>
              <w:left w:val="nil"/>
              <w:bottom w:val="nil"/>
              <w:right w:val="nil"/>
            </w:tcBorders>
            <w:shd w:val="clear" w:color="auto" w:fill="auto"/>
            <w:noWrap/>
            <w:vAlign w:val="center"/>
            <w:hideMark/>
          </w:tcPr>
          <w:p w14:paraId="4AD9C4D1" w14:textId="77777777" w:rsidR="002F317C" w:rsidRPr="008F03E5" w:rsidRDefault="002F317C" w:rsidP="00254769">
            <w:pPr>
              <w:rPr>
                <w:color w:val="000000"/>
                <w:sz w:val="18"/>
                <w:szCs w:val="18"/>
                <w14:numForm w14:val="default"/>
                <w14:numSpacing w14:val="default"/>
              </w:rPr>
            </w:pPr>
            <w:r w:rsidRPr="008F03E5">
              <w:rPr>
                <w:sz w:val="18"/>
                <w:szCs w:val="18"/>
              </w:rPr>
              <w:t>a</w:t>
            </w:r>
            <w:r w:rsidRPr="008F03E5">
              <w:rPr>
                <w:sz w:val="18"/>
                <w:szCs w:val="18"/>
                <w:u w:val="single"/>
              </w:rPr>
              <w:t>sh</w:t>
            </w:r>
            <w:r w:rsidRPr="008F03E5">
              <w:rPr>
                <w:sz w:val="18"/>
                <w:szCs w:val="18"/>
              </w:rPr>
              <w:t>-</w:t>
            </w:r>
            <w:r w:rsidRPr="008F03E5">
              <w:rPr>
                <w:sz w:val="18"/>
                <w:szCs w:val="18"/>
                <w:u w:val="single"/>
              </w:rPr>
              <w:t>Sh</w:t>
            </w:r>
            <w:r w:rsidRPr="008F03E5">
              <w:rPr>
                <w:sz w:val="18"/>
                <w:szCs w:val="18"/>
              </w:rPr>
              <w:t>ahíd</w:t>
            </w:r>
          </w:p>
        </w:tc>
        <w:tc>
          <w:tcPr>
            <w:tcW w:w="4309" w:type="dxa"/>
            <w:tcBorders>
              <w:top w:val="nil"/>
              <w:left w:val="nil"/>
              <w:bottom w:val="nil"/>
              <w:right w:val="nil"/>
            </w:tcBorders>
            <w:shd w:val="clear" w:color="auto" w:fill="auto"/>
            <w:noWrap/>
            <w:vAlign w:val="center"/>
            <w:hideMark/>
          </w:tcPr>
          <w:p w14:paraId="1F606DB4" w14:textId="77777777" w:rsidR="002F317C" w:rsidRPr="008F03E5" w:rsidRDefault="002F317C" w:rsidP="003D329D">
            <w:pPr>
              <w:rPr>
                <w:sz w:val="18"/>
                <w:szCs w:val="18"/>
              </w:rPr>
            </w:pPr>
            <w:r w:rsidRPr="008F03E5">
              <w:rPr>
                <w:sz w:val="18"/>
                <w:szCs w:val="18"/>
              </w:rPr>
              <w:t>The Witness</w:t>
            </w:r>
          </w:p>
        </w:tc>
      </w:tr>
      <w:tr w:rsidR="002F317C" w:rsidRPr="008F03E5" w14:paraId="67F33F1D"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598616F"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51</w:t>
            </w:r>
          </w:p>
        </w:tc>
        <w:tc>
          <w:tcPr>
            <w:tcW w:w="1417" w:type="dxa"/>
            <w:tcBorders>
              <w:top w:val="nil"/>
              <w:left w:val="nil"/>
              <w:bottom w:val="nil"/>
              <w:right w:val="nil"/>
            </w:tcBorders>
            <w:shd w:val="clear" w:color="auto" w:fill="auto"/>
            <w:noWrap/>
            <w:vAlign w:val="center"/>
            <w:hideMark/>
          </w:tcPr>
          <w:p w14:paraId="41DE8025" w14:textId="77777777" w:rsidR="002F317C" w:rsidRPr="008F03E5" w:rsidRDefault="002F317C" w:rsidP="00B243EB">
            <w:r w:rsidRPr="008F03E5">
              <w:rPr>
                <w:rtl/>
              </w:rPr>
              <w:t>ٱلْحَقُّ</w:t>
            </w:r>
          </w:p>
        </w:tc>
        <w:tc>
          <w:tcPr>
            <w:tcW w:w="1928" w:type="dxa"/>
            <w:tcBorders>
              <w:top w:val="nil"/>
              <w:left w:val="nil"/>
              <w:bottom w:val="nil"/>
              <w:right w:val="nil"/>
            </w:tcBorders>
            <w:shd w:val="clear" w:color="auto" w:fill="auto"/>
            <w:noWrap/>
            <w:vAlign w:val="center"/>
            <w:hideMark/>
          </w:tcPr>
          <w:p w14:paraId="0FE6D45A" w14:textId="77777777" w:rsidR="002F317C" w:rsidRPr="008F03E5" w:rsidRDefault="002F317C" w:rsidP="003D329D">
            <w:pPr>
              <w:rPr>
                <w:sz w:val="18"/>
                <w:szCs w:val="18"/>
              </w:rPr>
            </w:pPr>
            <w:r w:rsidRPr="008F03E5">
              <w:rPr>
                <w:sz w:val="18"/>
                <w:szCs w:val="18"/>
              </w:rPr>
              <w:t>al-Ḥaqq</w:t>
            </w:r>
          </w:p>
        </w:tc>
        <w:tc>
          <w:tcPr>
            <w:tcW w:w="4309" w:type="dxa"/>
            <w:tcBorders>
              <w:top w:val="nil"/>
              <w:left w:val="nil"/>
              <w:bottom w:val="nil"/>
              <w:right w:val="nil"/>
            </w:tcBorders>
            <w:shd w:val="clear" w:color="auto" w:fill="auto"/>
            <w:noWrap/>
            <w:vAlign w:val="center"/>
            <w:hideMark/>
          </w:tcPr>
          <w:p w14:paraId="256D2A0F" w14:textId="77777777" w:rsidR="002F317C" w:rsidRPr="008F03E5" w:rsidRDefault="002F317C" w:rsidP="003D329D">
            <w:pPr>
              <w:rPr>
                <w:sz w:val="18"/>
                <w:szCs w:val="18"/>
              </w:rPr>
            </w:pPr>
            <w:r w:rsidRPr="008F03E5">
              <w:rPr>
                <w:sz w:val="18"/>
                <w:szCs w:val="18"/>
              </w:rPr>
              <w:t>The Truth, the Real</w:t>
            </w:r>
          </w:p>
        </w:tc>
      </w:tr>
      <w:tr w:rsidR="002F317C" w:rsidRPr="008F03E5" w14:paraId="3F11F595"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9C9282E"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52</w:t>
            </w:r>
          </w:p>
        </w:tc>
        <w:tc>
          <w:tcPr>
            <w:tcW w:w="1417" w:type="dxa"/>
            <w:tcBorders>
              <w:top w:val="nil"/>
              <w:left w:val="nil"/>
              <w:bottom w:val="nil"/>
              <w:right w:val="nil"/>
            </w:tcBorders>
            <w:shd w:val="clear" w:color="auto" w:fill="auto"/>
            <w:noWrap/>
            <w:vAlign w:val="center"/>
            <w:hideMark/>
          </w:tcPr>
          <w:p w14:paraId="35175516" w14:textId="77777777" w:rsidR="002F317C" w:rsidRPr="008F03E5" w:rsidRDefault="002F317C" w:rsidP="00B243EB">
            <w:r w:rsidRPr="008F03E5">
              <w:rPr>
                <w:rtl/>
              </w:rPr>
              <w:t>ٱلْوَكِيلُ</w:t>
            </w:r>
          </w:p>
        </w:tc>
        <w:tc>
          <w:tcPr>
            <w:tcW w:w="1928" w:type="dxa"/>
            <w:tcBorders>
              <w:top w:val="nil"/>
              <w:left w:val="nil"/>
              <w:bottom w:val="nil"/>
              <w:right w:val="nil"/>
            </w:tcBorders>
            <w:shd w:val="clear" w:color="auto" w:fill="auto"/>
            <w:noWrap/>
            <w:vAlign w:val="center"/>
            <w:hideMark/>
          </w:tcPr>
          <w:p w14:paraId="5B2807E1" w14:textId="77777777" w:rsidR="002F317C" w:rsidRPr="008F03E5" w:rsidRDefault="002F317C" w:rsidP="003D329D">
            <w:pPr>
              <w:rPr>
                <w:sz w:val="18"/>
                <w:szCs w:val="18"/>
              </w:rPr>
            </w:pPr>
            <w:r w:rsidRPr="008F03E5">
              <w:rPr>
                <w:sz w:val="18"/>
                <w:szCs w:val="18"/>
              </w:rPr>
              <w:t>al-Wakíl</w:t>
            </w:r>
          </w:p>
        </w:tc>
        <w:tc>
          <w:tcPr>
            <w:tcW w:w="4309" w:type="dxa"/>
            <w:tcBorders>
              <w:top w:val="nil"/>
              <w:left w:val="nil"/>
              <w:bottom w:val="nil"/>
              <w:right w:val="nil"/>
            </w:tcBorders>
            <w:shd w:val="clear" w:color="auto" w:fill="auto"/>
            <w:noWrap/>
            <w:vAlign w:val="center"/>
            <w:hideMark/>
          </w:tcPr>
          <w:p w14:paraId="29C3293E" w14:textId="77777777" w:rsidR="002F317C" w:rsidRPr="008F03E5" w:rsidRDefault="002F317C" w:rsidP="003D329D">
            <w:pPr>
              <w:rPr>
                <w:sz w:val="18"/>
                <w:szCs w:val="18"/>
              </w:rPr>
            </w:pPr>
            <w:r w:rsidRPr="008F03E5">
              <w:rPr>
                <w:sz w:val="18"/>
                <w:szCs w:val="18"/>
              </w:rPr>
              <w:t>The Trustee, the Dependable</w:t>
            </w:r>
          </w:p>
        </w:tc>
      </w:tr>
      <w:tr w:rsidR="002F317C" w:rsidRPr="008F03E5" w14:paraId="50AFECCD"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F07289A"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53</w:t>
            </w:r>
          </w:p>
        </w:tc>
        <w:tc>
          <w:tcPr>
            <w:tcW w:w="1417" w:type="dxa"/>
            <w:tcBorders>
              <w:top w:val="nil"/>
              <w:left w:val="nil"/>
              <w:bottom w:val="nil"/>
              <w:right w:val="nil"/>
            </w:tcBorders>
            <w:shd w:val="clear" w:color="auto" w:fill="auto"/>
            <w:noWrap/>
            <w:vAlign w:val="center"/>
            <w:hideMark/>
          </w:tcPr>
          <w:p w14:paraId="40AD5CC2" w14:textId="77777777" w:rsidR="002F317C" w:rsidRPr="008F03E5" w:rsidRDefault="002F317C" w:rsidP="00B243EB">
            <w:r w:rsidRPr="008F03E5">
              <w:rPr>
                <w:rtl/>
              </w:rPr>
              <w:t>ٱلْقَوِيُّ</w:t>
            </w:r>
          </w:p>
        </w:tc>
        <w:tc>
          <w:tcPr>
            <w:tcW w:w="1928" w:type="dxa"/>
            <w:tcBorders>
              <w:top w:val="nil"/>
              <w:left w:val="nil"/>
              <w:bottom w:val="nil"/>
              <w:right w:val="nil"/>
            </w:tcBorders>
            <w:shd w:val="clear" w:color="auto" w:fill="auto"/>
            <w:noWrap/>
            <w:vAlign w:val="center"/>
            <w:hideMark/>
          </w:tcPr>
          <w:p w14:paraId="55CC5CE3" w14:textId="77777777" w:rsidR="002F317C" w:rsidRPr="008F03E5" w:rsidRDefault="002F317C" w:rsidP="003D329D">
            <w:pPr>
              <w:rPr>
                <w:sz w:val="18"/>
                <w:szCs w:val="18"/>
              </w:rPr>
            </w:pPr>
            <w:r w:rsidRPr="008F03E5">
              <w:rPr>
                <w:sz w:val="18"/>
                <w:szCs w:val="18"/>
              </w:rPr>
              <w:t>al-Qawíy</w:t>
            </w:r>
          </w:p>
        </w:tc>
        <w:tc>
          <w:tcPr>
            <w:tcW w:w="4309" w:type="dxa"/>
            <w:tcBorders>
              <w:top w:val="nil"/>
              <w:left w:val="nil"/>
              <w:bottom w:val="nil"/>
              <w:right w:val="nil"/>
            </w:tcBorders>
            <w:shd w:val="clear" w:color="auto" w:fill="auto"/>
            <w:noWrap/>
            <w:vAlign w:val="center"/>
            <w:hideMark/>
          </w:tcPr>
          <w:p w14:paraId="1C144536" w14:textId="77777777" w:rsidR="002F317C" w:rsidRPr="008F03E5" w:rsidRDefault="002F317C" w:rsidP="003D329D">
            <w:pPr>
              <w:rPr>
                <w:sz w:val="18"/>
                <w:szCs w:val="18"/>
              </w:rPr>
            </w:pPr>
            <w:r w:rsidRPr="008F03E5">
              <w:rPr>
                <w:sz w:val="18"/>
                <w:szCs w:val="18"/>
              </w:rPr>
              <w:t>The Strong</w:t>
            </w:r>
          </w:p>
        </w:tc>
      </w:tr>
      <w:tr w:rsidR="002F317C" w:rsidRPr="008F03E5" w14:paraId="77309F5B"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81C598E"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54</w:t>
            </w:r>
          </w:p>
        </w:tc>
        <w:tc>
          <w:tcPr>
            <w:tcW w:w="1417" w:type="dxa"/>
            <w:tcBorders>
              <w:top w:val="nil"/>
              <w:left w:val="nil"/>
              <w:bottom w:val="nil"/>
              <w:right w:val="nil"/>
            </w:tcBorders>
            <w:shd w:val="clear" w:color="auto" w:fill="auto"/>
            <w:noWrap/>
            <w:vAlign w:val="center"/>
            <w:hideMark/>
          </w:tcPr>
          <w:p w14:paraId="42A45156" w14:textId="77777777" w:rsidR="002F317C" w:rsidRPr="008F03E5" w:rsidRDefault="002F317C" w:rsidP="00B243EB">
            <w:r w:rsidRPr="008F03E5">
              <w:rPr>
                <w:rtl/>
              </w:rPr>
              <w:t>ٱلْمَتِينُ</w:t>
            </w:r>
          </w:p>
        </w:tc>
        <w:tc>
          <w:tcPr>
            <w:tcW w:w="1928" w:type="dxa"/>
            <w:tcBorders>
              <w:top w:val="nil"/>
              <w:left w:val="nil"/>
              <w:bottom w:val="nil"/>
              <w:right w:val="nil"/>
            </w:tcBorders>
            <w:shd w:val="clear" w:color="auto" w:fill="auto"/>
            <w:noWrap/>
            <w:vAlign w:val="center"/>
            <w:hideMark/>
          </w:tcPr>
          <w:p w14:paraId="34D12549" w14:textId="77777777" w:rsidR="002F317C" w:rsidRPr="008F03E5" w:rsidRDefault="002F317C" w:rsidP="003D329D">
            <w:pPr>
              <w:rPr>
                <w:sz w:val="18"/>
                <w:szCs w:val="18"/>
              </w:rPr>
            </w:pPr>
            <w:r w:rsidRPr="008F03E5">
              <w:rPr>
                <w:sz w:val="18"/>
                <w:szCs w:val="18"/>
              </w:rPr>
              <w:t>al-Matín</w:t>
            </w:r>
          </w:p>
        </w:tc>
        <w:tc>
          <w:tcPr>
            <w:tcW w:w="4309" w:type="dxa"/>
            <w:tcBorders>
              <w:top w:val="nil"/>
              <w:left w:val="nil"/>
              <w:bottom w:val="nil"/>
              <w:right w:val="nil"/>
            </w:tcBorders>
            <w:shd w:val="clear" w:color="auto" w:fill="auto"/>
            <w:noWrap/>
            <w:vAlign w:val="center"/>
            <w:hideMark/>
          </w:tcPr>
          <w:p w14:paraId="56904194" w14:textId="77777777" w:rsidR="002F317C" w:rsidRPr="008F03E5" w:rsidRDefault="002F317C" w:rsidP="003D329D">
            <w:pPr>
              <w:rPr>
                <w:sz w:val="18"/>
                <w:szCs w:val="18"/>
              </w:rPr>
            </w:pPr>
            <w:r w:rsidRPr="008F03E5">
              <w:rPr>
                <w:sz w:val="18"/>
                <w:szCs w:val="18"/>
              </w:rPr>
              <w:t>The Firm, the Steadfast</w:t>
            </w:r>
          </w:p>
        </w:tc>
      </w:tr>
      <w:tr w:rsidR="002F317C" w:rsidRPr="008F03E5" w14:paraId="5EA9E10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F5E690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55</w:t>
            </w:r>
          </w:p>
        </w:tc>
        <w:tc>
          <w:tcPr>
            <w:tcW w:w="1417" w:type="dxa"/>
            <w:tcBorders>
              <w:top w:val="nil"/>
              <w:left w:val="nil"/>
              <w:bottom w:val="nil"/>
              <w:right w:val="nil"/>
            </w:tcBorders>
            <w:shd w:val="clear" w:color="auto" w:fill="auto"/>
            <w:noWrap/>
            <w:vAlign w:val="center"/>
            <w:hideMark/>
          </w:tcPr>
          <w:p w14:paraId="03F0453B" w14:textId="77777777" w:rsidR="002F317C" w:rsidRPr="008F03E5" w:rsidRDefault="002F317C" w:rsidP="00B243EB">
            <w:r w:rsidRPr="008F03E5">
              <w:rPr>
                <w:rtl/>
              </w:rPr>
              <w:t>ٱلْوَلِيُّ</w:t>
            </w:r>
          </w:p>
        </w:tc>
        <w:tc>
          <w:tcPr>
            <w:tcW w:w="1928" w:type="dxa"/>
            <w:tcBorders>
              <w:top w:val="nil"/>
              <w:left w:val="nil"/>
              <w:bottom w:val="nil"/>
              <w:right w:val="nil"/>
            </w:tcBorders>
            <w:shd w:val="clear" w:color="auto" w:fill="auto"/>
            <w:noWrap/>
            <w:vAlign w:val="center"/>
            <w:hideMark/>
          </w:tcPr>
          <w:p w14:paraId="339C9C6F" w14:textId="77777777" w:rsidR="002F317C" w:rsidRPr="008F03E5" w:rsidRDefault="002F317C" w:rsidP="003D329D">
            <w:pPr>
              <w:rPr>
                <w:sz w:val="18"/>
                <w:szCs w:val="18"/>
              </w:rPr>
            </w:pPr>
            <w:r w:rsidRPr="008F03E5">
              <w:rPr>
                <w:sz w:val="18"/>
                <w:szCs w:val="18"/>
              </w:rPr>
              <w:t>al-Walíy</w:t>
            </w:r>
          </w:p>
        </w:tc>
        <w:tc>
          <w:tcPr>
            <w:tcW w:w="4309" w:type="dxa"/>
            <w:tcBorders>
              <w:top w:val="nil"/>
              <w:left w:val="nil"/>
              <w:bottom w:val="nil"/>
              <w:right w:val="nil"/>
            </w:tcBorders>
            <w:shd w:val="clear" w:color="auto" w:fill="auto"/>
            <w:noWrap/>
            <w:vAlign w:val="center"/>
            <w:hideMark/>
          </w:tcPr>
          <w:p w14:paraId="1A2A2A6A" w14:textId="77777777" w:rsidR="002F317C" w:rsidRPr="008F03E5" w:rsidRDefault="002F317C" w:rsidP="003D329D">
            <w:pPr>
              <w:rPr>
                <w:sz w:val="18"/>
                <w:szCs w:val="18"/>
              </w:rPr>
            </w:pPr>
            <w:r w:rsidRPr="008F03E5">
              <w:rPr>
                <w:sz w:val="18"/>
                <w:szCs w:val="18"/>
              </w:rPr>
              <w:t>The Friend, Helper</w:t>
            </w:r>
          </w:p>
        </w:tc>
      </w:tr>
      <w:tr w:rsidR="002F317C" w:rsidRPr="008F03E5" w14:paraId="3CD398FB"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62B8092"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56</w:t>
            </w:r>
          </w:p>
        </w:tc>
        <w:tc>
          <w:tcPr>
            <w:tcW w:w="1417" w:type="dxa"/>
            <w:tcBorders>
              <w:top w:val="nil"/>
              <w:left w:val="nil"/>
              <w:bottom w:val="nil"/>
              <w:right w:val="nil"/>
            </w:tcBorders>
            <w:shd w:val="clear" w:color="auto" w:fill="auto"/>
            <w:noWrap/>
            <w:vAlign w:val="center"/>
            <w:hideMark/>
          </w:tcPr>
          <w:p w14:paraId="3DF03A81" w14:textId="77777777" w:rsidR="002F317C" w:rsidRPr="008F03E5" w:rsidRDefault="002F317C" w:rsidP="00B243EB">
            <w:r w:rsidRPr="008F03E5">
              <w:rPr>
                <w:rtl/>
              </w:rPr>
              <w:t>ٱلْحَمِيدُ</w:t>
            </w:r>
          </w:p>
        </w:tc>
        <w:tc>
          <w:tcPr>
            <w:tcW w:w="1928" w:type="dxa"/>
            <w:tcBorders>
              <w:top w:val="nil"/>
              <w:left w:val="nil"/>
              <w:bottom w:val="nil"/>
              <w:right w:val="nil"/>
            </w:tcBorders>
            <w:shd w:val="clear" w:color="auto" w:fill="auto"/>
            <w:noWrap/>
            <w:vAlign w:val="center"/>
            <w:hideMark/>
          </w:tcPr>
          <w:p w14:paraId="44013C0F" w14:textId="77777777" w:rsidR="002F317C" w:rsidRPr="008F03E5" w:rsidRDefault="002F317C" w:rsidP="003D329D">
            <w:pPr>
              <w:rPr>
                <w:sz w:val="18"/>
                <w:szCs w:val="18"/>
              </w:rPr>
            </w:pPr>
            <w:r w:rsidRPr="008F03E5">
              <w:rPr>
                <w:sz w:val="18"/>
                <w:szCs w:val="18"/>
              </w:rPr>
              <w:t>al-Ḥamíd</w:t>
            </w:r>
          </w:p>
        </w:tc>
        <w:tc>
          <w:tcPr>
            <w:tcW w:w="4309" w:type="dxa"/>
            <w:tcBorders>
              <w:top w:val="nil"/>
              <w:left w:val="nil"/>
              <w:bottom w:val="nil"/>
              <w:right w:val="nil"/>
            </w:tcBorders>
            <w:shd w:val="clear" w:color="auto" w:fill="auto"/>
            <w:noWrap/>
            <w:vAlign w:val="center"/>
            <w:hideMark/>
          </w:tcPr>
          <w:p w14:paraId="7E69D314" w14:textId="77777777" w:rsidR="002F317C" w:rsidRPr="008F03E5" w:rsidRDefault="002F317C" w:rsidP="003D329D">
            <w:pPr>
              <w:rPr>
                <w:sz w:val="18"/>
                <w:szCs w:val="18"/>
              </w:rPr>
            </w:pPr>
            <w:r w:rsidRPr="008F03E5">
              <w:rPr>
                <w:sz w:val="18"/>
                <w:szCs w:val="18"/>
              </w:rPr>
              <w:t>The All Praiseworthy</w:t>
            </w:r>
          </w:p>
        </w:tc>
      </w:tr>
      <w:tr w:rsidR="002F317C" w:rsidRPr="008F03E5" w14:paraId="57D6FE4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CA0B29F"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57</w:t>
            </w:r>
          </w:p>
        </w:tc>
        <w:tc>
          <w:tcPr>
            <w:tcW w:w="1417" w:type="dxa"/>
            <w:tcBorders>
              <w:top w:val="nil"/>
              <w:left w:val="nil"/>
              <w:bottom w:val="nil"/>
              <w:right w:val="nil"/>
            </w:tcBorders>
            <w:shd w:val="clear" w:color="auto" w:fill="auto"/>
            <w:noWrap/>
            <w:vAlign w:val="center"/>
            <w:hideMark/>
          </w:tcPr>
          <w:p w14:paraId="5BF144A4" w14:textId="77777777" w:rsidR="002F317C" w:rsidRPr="008F03E5" w:rsidRDefault="002F317C" w:rsidP="00B243EB">
            <w:r w:rsidRPr="008F03E5">
              <w:rPr>
                <w:rtl/>
              </w:rPr>
              <w:t>ٱلْمُحْصِيُ</w:t>
            </w:r>
          </w:p>
        </w:tc>
        <w:tc>
          <w:tcPr>
            <w:tcW w:w="1928" w:type="dxa"/>
            <w:tcBorders>
              <w:top w:val="nil"/>
              <w:left w:val="nil"/>
              <w:bottom w:val="nil"/>
              <w:right w:val="nil"/>
            </w:tcBorders>
            <w:shd w:val="clear" w:color="auto" w:fill="auto"/>
            <w:noWrap/>
            <w:vAlign w:val="center"/>
            <w:hideMark/>
          </w:tcPr>
          <w:p w14:paraId="51E34156" w14:textId="77777777" w:rsidR="002F317C" w:rsidRPr="008F03E5" w:rsidRDefault="002F317C" w:rsidP="003D329D">
            <w:pPr>
              <w:rPr>
                <w:sz w:val="18"/>
                <w:szCs w:val="18"/>
              </w:rPr>
            </w:pPr>
            <w:r w:rsidRPr="008F03E5">
              <w:rPr>
                <w:sz w:val="18"/>
                <w:szCs w:val="18"/>
              </w:rPr>
              <w:t>al-Muḥṣí</w:t>
            </w:r>
          </w:p>
        </w:tc>
        <w:tc>
          <w:tcPr>
            <w:tcW w:w="4309" w:type="dxa"/>
            <w:tcBorders>
              <w:top w:val="nil"/>
              <w:left w:val="nil"/>
              <w:bottom w:val="nil"/>
              <w:right w:val="nil"/>
            </w:tcBorders>
            <w:shd w:val="clear" w:color="auto" w:fill="auto"/>
            <w:noWrap/>
            <w:vAlign w:val="center"/>
            <w:hideMark/>
          </w:tcPr>
          <w:p w14:paraId="164E6074" w14:textId="77777777" w:rsidR="002F317C" w:rsidRPr="008F03E5" w:rsidRDefault="002F317C" w:rsidP="003D329D">
            <w:pPr>
              <w:rPr>
                <w:sz w:val="18"/>
                <w:szCs w:val="18"/>
              </w:rPr>
            </w:pPr>
            <w:r w:rsidRPr="008F03E5">
              <w:rPr>
                <w:sz w:val="18"/>
                <w:szCs w:val="18"/>
              </w:rPr>
              <w:t>The Accounter, the Numberer of All</w:t>
            </w:r>
          </w:p>
        </w:tc>
      </w:tr>
      <w:tr w:rsidR="002F317C" w:rsidRPr="008F03E5" w14:paraId="57BE1B51"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6DE6F111"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58</w:t>
            </w:r>
          </w:p>
        </w:tc>
        <w:tc>
          <w:tcPr>
            <w:tcW w:w="1417" w:type="dxa"/>
            <w:tcBorders>
              <w:top w:val="nil"/>
              <w:left w:val="nil"/>
              <w:bottom w:val="nil"/>
              <w:right w:val="nil"/>
            </w:tcBorders>
            <w:shd w:val="clear" w:color="auto" w:fill="auto"/>
            <w:noWrap/>
            <w:vAlign w:val="center"/>
            <w:hideMark/>
          </w:tcPr>
          <w:p w14:paraId="4FBB073F" w14:textId="77777777" w:rsidR="002F317C" w:rsidRPr="008F03E5" w:rsidRDefault="002F317C" w:rsidP="00B243EB">
            <w:r w:rsidRPr="008F03E5">
              <w:rPr>
                <w:rtl/>
              </w:rPr>
              <w:t>ٱلْمُبْدِئُ</w:t>
            </w:r>
          </w:p>
        </w:tc>
        <w:tc>
          <w:tcPr>
            <w:tcW w:w="1928" w:type="dxa"/>
            <w:tcBorders>
              <w:top w:val="nil"/>
              <w:left w:val="nil"/>
              <w:bottom w:val="nil"/>
              <w:right w:val="nil"/>
            </w:tcBorders>
            <w:shd w:val="clear" w:color="auto" w:fill="auto"/>
            <w:noWrap/>
            <w:vAlign w:val="center"/>
            <w:hideMark/>
          </w:tcPr>
          <w:p w14:paraId="5511CF48" w14:textId="77777777" w:rsidR="002F317C" w:rsidRPr="008F03E5" w:rsidRDefault="002F317C" w:rsidP="003D329D">
            <w:pPr>
              <w:rPr>
                <w:sz w:val="18"/>
                <w:szCs w:val="18"/>
              </w:rPr>
            </w:pPr>
            <w:r w:rsidRPr="008F03E5">
              <w:rPr>
                <w:sz w:val="18"/>
                <w:szCs w:val="18"/>
              </w:rPr>
              <w:t>al-Mubdi‘</w:t>
            </w:r>
          </w:p>
        </w:tc>
        <w:tc>
          <w:tcPr>
            <w:tcW w:w="4309" w:type="dxa"/>
            <w:tcBorders>
              <w:top w:val="nil"/>
              <w:left w:val="nil"/>
              <w:bottom w:val="nil"/>
              <w:right w:val="nil"/>
            </w:tcBorders>
            <w:shd w:val="clear" w:color="auto" w:fill="auto"/>
            <w:noWrap/>
            <w:vAlign w:val="center"/>
            <w:hideMark/>
          </w:tcPr>
          <w:p w14:paraId="2749DD5E" w14:textId="77777777" w:rsidR="002F317C" w:rsidRPr="008F03E5" w:rsidRDefault="002F317C" w:rsidP="003D329D">
            <w:pPr>
              <w:rPr>
                <w:sz w:val="18"/>
                <w:szCs w:val="18"/>
              </w:rPr>
            </w:pPr>
            <w:r w:rsidRPr="008F03E5">
              <w:rPr>
                <w:sz w:val="18"/>
                <w:szCs w:val="18"/>
              </w:rPr>
              <w:t>The Producer, Originator, &amp; Initiator of All</w:t>
            </w:r>
          </w:p>
        </w:tc>
      </w:tr>
      <w:tr w:rsidR="002F317C" w:rsidRPr="008F03E5" w14:paraId="45170447"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32AC6C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59</w:t>
            </w:r>
          </w:p>
        </w:tc>
        <w:tc>
          <w:tcPr>
            <w:tcW w:w="1417" w:type="dxa"/>
            <w:tcBorders>
              <w:top w:val="nil"/>
              <w:left w:val="nil"/>
              <w:bottom w:val="nil"/>
              <w:right w:val="nil"/>
            </w:tcBorders>
            <w:shd w:val="clear" w:color="auto" w:fill="auto"/>
            <w:noWrap/>
            <w:vAlign w:val="center"/>
            <w:hideMark/>
          </w:tcPr>
          <w:p w14:paraId="0B1947D2" w14:textId="77777777" w:rsidR="002F317C" w:rsidRPr="008F03E5" w:rsidRDefault="002F317C" w:rsidP="00B243EB">
            <w:r w:rsidRPr="008F03E5">
              <w:rPr>
                <w:rtl/>
              </w:rPr>
              <w:t>ٱلْمُعِيدُ</w:t>
            </w:r>
          </w:p>
        </w:tc>
        <w:tc>
          <w:tcPr>
            <w:tcW w:w="1928" w:type="dxa"/>
            <w:tcBorders>
              <w:top w:val="nil"/>
              <w:left w:val="nil"/>
              <w:bottom w:val="nil"/>
              <w:right w:val="nil"/>
            </w:tcBorders>
            <w:shd w:val="clear" w:color="auto" w:fill="auto"/>
            <w:noWrap/>
            <w:vAlign w:val="center"/>
            <w:hideMark/>
          </w:tcPr>
          <w:p w14:paraId="63E4F03F" w14:textId="77777777" w:rsidR="002F317C" w:rsidRPr="008F03E5" w:rsidRDefault="002F317C" w:rsidP="003D329D">
            <w:pPr>
              <w:rPr>
                <w:sz w:val="18"/>
                <w:szCs w:val="18"/>
              </w:rPr>
            </w:pPr>
            <w:r w:rsidRPr="008F03E5">
              <w:rPr>
                <w:sz w:val="18"/>
                <w:szCs w:val="18"/>
              </w:rPr>
              <w:t>al-Mu‘íd</w:t>
            </w:r>
          </w:p>
        </w:tc>
        <w:tc>
          <w:tcPr>
            <w:tcW w:w="4309" w:type="dxa"/>
            <w:tcBorders>
              <w:top w:val="nil"/>
              <w:left w:val="nil"/>
              <w:bottom w:val="nil"/>
              <w:right w:val="nil"/>
            </w:tcBorders>
            <w:shd w:val="clear" w:color="auto" w:fill="auto"/>
            <w:noWrap/>
            <w:vAlign w:val="center"/>
            <w:hideMark/>
          </w:tcPr>
          <w:p w14:paraId="60E17A20" w14:textId="77777777" w:rsidR="002F317C" w:rsidRPr="008F03E5" w:rsidRDefault="002F317C" w:rsidP="003D329D">
            <w:pPr>
              <w:rPr>
                <w:sz w:val="18"/>
                <w:szCs w:val="18"/>
              </w:rPr>
            </w:pPr>
            <w:r w:rsidRPr="008F03E5">
              <w:rPr>
                <w:sz w:val="18"/>
                <w:szCs w:val="18"/>
              </w:rPr>
              <w:t>The Reinstater Who Brings Back All</w:t>
            </w:r>
          </w:p>
        </w:tc>
      </w:tr>
      <w:tr w:rsidR="002F317C" w:rsidRPr="008F03E5" w14:paraId="778B232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F0BEBCA"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60</w:t>
            </w:r>
          </w:p>
        </w:tc>
        <w:tc>
          <w:tcPr>
            <w:tcW w:w="1417" w:type="dxa"/>
            <w:tcBorders>
              <w:top w:val="nil"/>
              <w:left w:val="nil"/>
              <w:bottom w:val="nil"/>
              <w:right w:val="nil"/>
            </w:tcBorders>
            <w:shd w:val="clear" w:color="auto" w:fill="auto"/>
            <w:noWrap/>
            <w:vAlign w:val="center"/>
            <w:hideMark/>
          </w:tcPr>
          <w:p w14:paraId="27616F9D" w14:textId="77777777" w:rsidR="002F317C" w:rsidRPr="008F03E5" w:rsidRDefault="002F317C" w:rsidP="00B243EB">
            <w:r w:rsidRPr="008F03E5">
              <w:rPr>
                <w:rtl/>
              </w:rPr>
              <w:t>ٱلْمُحْيِي</w:t>
            </w:r>
          </w:p>
        </w:tc>
        <w:tc>
          <w:tcPr>
            <w:tcW w:w="1928" w:type="dxa"/>
            <w:tcBorders>
              <w:top w:val="nil"/>
              <w:left w:val="nil"/>
              <w:bottom w:val="nil"/>
              <w:right w:val="nil"/>
            </w:tcBorders>
            <w:shd w:val="clear" w:color="auto" w:fill="auto"/>
            <w:noWrap/>
            <w:vAlign w:val="center"/>
            <w:hideMark/>
          </w:tcPr>
          <w:p w14:paraId="60039B99" w14:textId="77777777" w:rsidR="002F317C" w:rsidRPr="008F03E5" w:rsidRDefault="002F317C" w:rsidP="003D329D">
            <w:pPr>
              <w:rPr>
                <w:sz w:val="18"/>
                <w:szCs w:val="18"/>
              </w:rPr>
            </w:pPr>
            <w:r w:rsidRPr="008F03E5">
              <w:rPr>
                <w:sz w:val="18"/>
                <w:szCs w:val="18"/>
              </w:rPr>
              <w:t>al-Muḥyí</w:t>
            </w:r>
          </w:p>
        </w:tc>
        <w:tc>
          <w:tcPr>
            <w:tcW w:w="4309" w:type="dxa"/>
            <w:tcBorders>
              <w:top w:val="nil"/>
              <w:left w:val="nil"/>
              <w:bottom w:val="nil"/>
              <w:right w:val="nil"/>
            </w:tcBorders>
            <w:shd w:val="clear" w:color="auto" w:fill="auto"/>
            <w:noWrap/>
            <w:vAlign w:val="center"/>
            <w:hideMark/>
          </w:tcPr>
          <w:p w14:paraId="057513F4" w14:textId="77777777" w:rsidR="002F317C" w:rsidRPr="008F03E5" w:rsidRDefault="002F317C" w:rsidP="003D329D">
            <w:pPr>
              <w:rPr>
                <w:sz w:val="18"/>
                <w:szCs w:val="18"/>
              </w:rPr>
            </w:pPr>
            <w:r w:rsidRPr="008F03E5">
              <w:rPr>
                <w:sz w:val="18"/>
                <w:szCs w:val="18"/>
              </w:rPr>
              <w:t>The Giver of Life</w:t>
            </w:r>
          </w:p>
        </w:tc>
      </w:tr>
      <w:tr w:rsidR="002F317C" w:rsidRPr="008F03E5" w14:paraId="2EE933C6"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FD13D4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61</w:t>
            </w:r>
          </w:p>
        </w:tc>
        <w:tc>
          <w:tcPr>
            <w:tcW w:w="1417" w:type="dxa"/>
            <w:tcBorders>
              <w:top w:val="nil"/>
              <w:left w:val="nil"/>
              <w:bottom w:val="nil"/>
              <w:right w:val="nil"/>
            </w:tcBorders>
            <w:shd w:val="clear" w:color="auto" w:fill="auto"/>
            <w:noWrap/>
            <w:vAlign w:val="center"/>
            <w:hideMark/>
          </w:tcPr>
          <w:p w14:paraId="0928B506" w14:textId="77777777" w:rsidR="002F317C" w:rsidRPr="008F03E5" w:rsidRDefault="002F317C" w:rsidP="00B243EB">
            <w:r w:rsidRPr="008F03E5">
              <w:rPr>
                <w:rtl/>
              </w:rPr>
              <w:t>ٱلْمُمِيتُ</w:t>
            </w:r>
          </w:p>
        </w:tc>
        <w:tc>
          <w:tcPr>
            <w:tcW w:w="1928" w:type="dxa"/>
            <w:tcBorders>
              <w:top w:val="nil"/>
              <w:left w:val="nil"/>
              <w:bottom w:val="nil"/>
              <w:right w:val="nil"/>
            </w:tcBorders>
            <w:shd w:val="clear" w:color="auto" w:fill="auto"/>
            <w:noWrap/>
            <w:vAlign w:val="center"/>
            <w:hideMark/>
          </w:tcPr>
          <w:p w14:paraId="79B54DB1" w14:textId="77777777" w:rsidR="002F317C" w:rsidRPr="008F03E5" w:rsidRDefault="002F317C" w:rsidP="003D329D">
            <w:pPr>
              <w:rPr>
                <w:sz w:val="18"/>
                <w:szCs w:val="18"/>
              </w:rPr>
            </w:pPr>
            <w:r w:rsidRPr="008F03E5">
              <w:rPr>
                <w:sz w:val="18"/>
                <w:szCs w:val="18"/>
              </w:rPr>
              <w:t>al-Mumít</w:t>
            </w:r>
          </w:p>
        </w:tc>
        <w:tc>
          <w:tcPr>
            <w:tcW w:w="4309" w:type="dxa"/>
            <w:tcBorders>
              <w:top w:val="nil"/>
              <w:left w:val="nil"/>
              <w:bottom w:val="nil"/>
              <w:right w:val="nil"/>
            </w:tcBorders>
            <w:shd w:val="clear" w:color="auto" w:fill="auto"/>
            <w:noWrap/>
            <w:vAlign w:val="center"/>
            <w:hideMark/>
          </w:tcPr>
          <w:p w14:paraId="3B726714" w14:textId="77777777" w:rsidR="002F317C" w:rsidRPr="008F03E5" w:rsidRDefault="002F317C" w:rsidP="003D329D">
            <w:pPr>
              <w:rPr>
                <w:sz w:val="18"/>
                <w:szCs w:val="18"/>
              </w:rPr>
            </w:pPr>
            <w:r w:rsidRPr="008F03E5">
              <w:rPr>
                <w:sz w:val="18"/>
                <w:szCs w:val="18"/>
              </w:rPr>
              <w:t>The Bringer of Death, the Destroyer</w:t>
            </w:r>
          </w:p>
        </w:tc>
      </w:tr>
      <w:tr w:rsidR="002F317C" w:rsidRPr="008F03E5" w14:paraId="1798DC66"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373EDA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62</w:t>
            </w:r>
          </w:p>
        </w:tc>
        <w:tc>
          <w:tcPr>
            <w:tcW w:w="1417" w:type="dxa"/>
            <w:tcBorders>
              <w:top w:val="nil"/>
              <w:left w:val="nil"/>
              <w:bottom w:val="nil"/>
              <w:right w:val="nil"/>
            </w:tcBorders>
            <w:shd w:val="clear" w:color="auto" w:fill="auto"/>
            <w:noWrap/>
            <w:vAlign w:val="center"/>
            <w:hideMark/>
          </w:tcPr>
          <w:p w14:paraId="5171C8E8" w14:textId="77777777" w:rsidR="002F317C" w:rsidRPr="008F03E5" w:rsidRDefault="002F317C" w:rsidP="00B243EB">
            <w:r w:rsidRPr="008F03E5">
              <w:rPr>
                <w:rtl/>
              </w:rPr>
              <w:t>ٱلْحَىُّ</w:t>
            </w:r>
          </w:p>
        </w:tc>
        <w:tc>
          <w:tcPr>
            <w:tcW w:w="1928" w:type="dxa"/>
            <w:tcBorders>
              <w:top w:val="nil"/>
              <w:left w:val="nil"/>
              <w:bottom w:val="nil"/>
              <w:right w:val="nil"/>
            </w:tcBorders>
            <w:shd w:val="clear" w:color="auto" w:fill="auto"/>
            <w:noWrap/>
            <w:vAlign w:val="center"/>
            <w:hideMark/>
          </w:tcPr>
          <w:p w14:paraId="15355BED" w14:textId="77777777" w:rsidR="002F317C" w:rsidRPr="008F03E5" w:rsidRDefault="002F317C" w:rsidP="003D329D">
            <w:pPr>
              <w:rPr>
                <w:sz w:val="18"/>
                <w:szCs w:val="18"/>
              </w:rPr>
            </w:pPr>
            <w:r w:rsidRPr="008F03E5">
              <w:rPr>
                <w:sz w:val="18"/>
                <w:szCs w:val="18"/>
              </w:rPr>
              <w:t>al-Ḥayy</w:t>
            </w:r>
          </w:p>
        </w:tc>
        <w:tc>
          <w:tcPr>
            <w:tcW w:w="4309" w:type="dxa"/>
            <w:tcBorders>
              <w:top w:val="nil"/>
              <w:left w:val="nil"/>
              <w:bottom w:val="nil"/>
              <w:right w:val="nil"/>
            </w:tcBorders>
            <w:shd w:val="clear" w:color="auto" w:fill="auto"/>
            <w:noWrap/>
            <w:vAlign w:val="center"/>
            <w:hideMark/>
          </w:tcPr>
          <w:p w14:paraId="3B145F4D" w14:textId="77777777" w:rsidR="002F317C" w:rsidRPr="008F03E5" w:rsidRDefault="002F317C" w:rsidP="003D329D">
            <w:pPr>
              <w:rPr>
                <w:sz w:val="18"/>
                <w:szCs w:val="18"/>
              </w:rPr>
            </w:pPr>
            <w:r w:rsidRPr="008F03E5">
              <w:rPr>
                <w:sz w:val="18"/>
                <w:szCs w:val="18"/>
              </w:rPr>
              <w:t>The Ever Living</w:t>
            </w:r>
          </w:p>
        </w:tc>
      </w:tr>
      <w:tr w:rsidR="002F317C" w:rsidRPr="008F03E5" w14:paraId="61440F9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E4BFD36"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63</w:t>
            </w:r>
          </w:p>
        </w:tc>
        <w:tc>
          <w:tcPr>
            <w:tcW w:w="1417" w:type="dxa"/>
            <w:tcBorders>
              <w:top w:val="nil"/>
              <w:left w:val="nil"/>
              <w:bottom w:val="nil"/>
              <w:right w:val="nil"/>
            </w:tcBorders>
            <w:shd w:val="clear" w:color="auto" w:fill="auto"/>
            <w:noWrap/>
            <w:vAlign w:val="center"/>
            <w:hideMark/>
          </w:tcPr>
          <w:p w14:paraId="243DD763" w14:textId="77777777" w:rsidR="002F317C" w:rsidRPr="008F03E5" w:rsidRDefault="002F317C" w:rsidP="00B243EB">
            <w:r w:rsidRPr="008F03E5">
              <w:rPr>
                <w:rtl/>
              </w:rPr>
              <w:t>ٱلْقَيُّومُ</w:t>
            </w:r>
          </w:p>
        </w:tc>
        <w:tc>
          <w:tcPr>
            <w:tcW w:w="1928" w:type="dxa"/>
            <w:tcBorders>
              <w:top w:val="nil"/>
              <w:left w:val="nil"/>
              <w:bottom w:val="nil"/>
              <w:right w:val="nil"/>
            </w:tcBorders>
            <w:shd w:val="clear" w:color="auto" w:fill="auto"/>
            <w:noWrap/>
            <w:vAlign w:val="center"/>
            <w:hideMark/>
          </w:tcPr>
          <w:p w14:paraId="737CB17A" w14:textId="77777777" w:rsidR="002F317C" w:rsidRPr="008F03E5" w:rsidRDefault="002F317C" w:rsidP="003D329D">
            <w:pPr>
              <w:rPr>
                <w:sz w:val="18"/>
                <w:szCs w:val="18"/>
              </w:rPr>
            </w:pPr>
            <w:r w:rsidRPr="008F03E5">
              <w:rPr>
                <w:sz w:val="18"/>
                <w:szCs w:val="18"/>
              </w:rPr>
              <w:t>al-Qayyúm</w:t>
            </w:r>
          </w:p>
        </w:tc>
        <w:tc>
          <w:tcPr>
            <w:tcW w:w="4309" w:type="dxa"/>
            <w:tcBorders>
              <w:top w:val="nil"/>
              <w:left w:val="nil"/>
              <w:bottom w:val="nil"/>
              <w:right w:val="nil"/>
            </w:tcBorders>
            <w:shd w:val="clear" w:color="auto" w:fill="auto"/>
            <w:noWrap/>
            <w:vAlign w:val="center"/>
            <w:hideMark/>
          </w:tcPr>
          <w:p w14:paraId="11B17E39" w14:textId="77777777" w:rsidR="002F317C" w:rsidRPr="008F03E5" w:rsidRDefault="002F317C" w:rsidP="003D329D">
            <w:pPr>
              <w:rPr>
                <w:sz w:val="18"/>
                <w:szCs w:val="18"/>
              </w:rPr>
            </w:pPr>
            <w:r w:rsidRPr="008F03E5">
              <w:rPr>
                <w:sz w:val="18"/>
                <w:szCs w:val="18"/>
              </w:rPr>
              <w:t>The Self Subsisting Sustainer of All</w:t>
            </w:r>
          </w:p>
        </w:tc>
      </w:tr>
      <w:tr w:rsidR="002F317C" w:rsidRPr="008F03E5" w14:paraId="2010125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B163D1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64</w:t>
            </w:r>
          </w:p>
        </w:tc>
        <w:tc>
          <w:tcPr>
            <w:tcW w:w="1417" w:type="dxa"/>
            <w:tcBorders>
              <w:top w:val="nil"/>
              <w:left w:val="nil"/>
              <w:bottom w:val="nil"/>
              <w:right w:val="nil"/>
            </w:tcBorders>
            <w:shd w:val="clear" w:color="auto" w:fill="auto"/>
            <w:noWrap/>
            <w:vAlign w:val="center"/>
            <w:hideMark/>
          </w:tcPr>
          <w:p w14:paraId="6F326828" w14:textId="77777777" w:rsidR="002F317C" w:rsidRPr="008F03E5" w:rsidRDefault="002F317C" w:rsidP="00B243EB">
            <w:r w:rsidRPr="008F03E5">
              <w:rPr>
                <w:rtl/>
              </w:rPr>
              <w:t>ٱلْوَاجِدُ</w:t>
            </w:r>
          </w:p>
        </w:tc>
        <w:tc>
          <w:tcPr>
            <w:tcW w:w="1928" w:type="dxa"/>
            <w:tcBorders>
              <w:top w:val="nil"/>
              <w:left w:val="nil"/>
              <w:bottom w:val="nil"/>
              <w:right w:val="nil"/>
            </w:tcBorders>
            <w:shd w:val="clear" w:color="auto" w:fill="auto"/>
            <w:noWrap/>
            <w:vAlign w:val="center"/>
            <w:hideMark/>
          </w:tcPr>
          <w:p w14:paraId="7BD2A756" w14:textId="77777777" w:rsidR="002F317C" w:rsidRPr="008F03E5" w:rsidRDefault="002F317C" w:rsidP="003D329D">
            <w:pPr>
              <w:rPr>
                <w:sz w:val="18"/>
                <w:szCs w:val="18"/>
              </w:rPr>
            </w:pPr>
            <w:r w:rsidRPr="008F03E5">
              <w:rPr>
                <w:sz w:val="18"/>
                <w:szCs w:val="18"/>
              </w:rPr>
              <w:t>al-Wájid</w:t>
            </w:r>
          </w:p>
        </w:tc>
        <w:tc>
          <w:tcPr>
            <w:tcW w:w="4309" w:type="dxa"/>
            <w:tcBorders>
              <w:top w:val="nil"/>
              <w:left w:val="nil"/>
              <w:bottom w:val="nil"/>
              <w:right w:val="nil"/>
            </w:tcBorders>
            <w:shd w:val="clear" w:color="auto" w:fill="auto"/>
            <w:noWrap/>
            <w:vAlign w:val="center"/>
            <w:hideMark/>
          </w:tcPr>
          <w:p w14:paraId="5B6A8228" w14:textId="77777777" w:rsidR="002F317C" w:rsidRPr="008F03E5" w:rsidRDefault="002F317C" w:rsidP="003D329D">
            <w:pPr>
              <w:rPr>
                <w:sz w:val="18"/>
                <w:szCs w:val="18"/>
              </w:rPr>
            </w:pPr>
            <w:r w:rsidRPr="008F03E5">
              <w:rPr>
                <w:sz w:val="18"/>
                <w:szCs w:val="18"/>
              </w:rPr>
              <w:t>The Perceiver, the Finder, the Unfailing</w:t>
            </w:r>
          </w:p>
        </w:tc>
      </w:tr>
      <w:tr w:rsidR="002F317C" w:rsidRPr="008F03E5" w14:paraId="754CBAF3"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39D9830"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65</w:t>
            </w:r>
          </w:p>
        </w:tc>
        <w:tc>
          <w:tcPr>
            <w:tcW w:w="1417" w:type="dxa"/>
            <w:tcBorders>
              <w:top w:val="nil"/>
              <w:left w:val="nil"/>
              <w:bottom w:val="nil"/>
              <w:right w:val="nil"/>
            </w:tcBorders>
            <w:shd w:val="clear" w:color="auto" w:fill="auto"/>
            <w:noWrap/>
            <w:vAlign w:val="center"/>
            <w:hideMark/>
          </w:tcPr>
          <w:p w14:paraId="6FE41C76" w14:textId="77777777" w:rsidR="002F317C" w:rsidRPr="008F03E5" w:rsidRDefault="002F317C" w:rsidP="00B243EB">
            <w:r w:rsidRPr="008F03E5">
              <w:rPr>
                <w:rtl/>
              </w:rPr>
              <w:t>ٱلْمَاجِدُ</w:t>
            </w:r>
          </w:p>
        </w:tc>
        <w:tc>
          <w:tcPr>
            <w:tcW w:w="1928" w:type="dxa"/>
            <w:tcBorders>
              <w:top w:val="nil"/>
              <w:left w:val="nil"/>
              <w:bottom w:val="nil"/>
              <w:right w:val="nil"/>
            </w:tcBorders>
            <w:shd w:val="clear" w:color="auto" w:fill="auto"/>
            <w:noWrap/>
            <w:vAlign w:val="center"/>
            <w:hideMark/>
          </w:tcPr>
          <w:p w14:paraId="1D24CF75" w14:textId="77777777" w:rsidR="002F317C" w:rsidRPr="008F03E5" w:rsidRDefault="002F317C" w:rsidP="003D329D">
            <w:pPr>
              <w:rPr>
                <w:sz w:val="18"/>
                <w:szCs w:val="18"/>
              </w:rPr>
            </w:pPr>
            <w:r w:rsidRPr="008F03E5">
              <w:rPr>
                <w:sz w:val="18"/>
                <w:szCs w:val="18"/>
              </w:rPr>
              <w:t>al-Májid</w:t>
            </w:r>
          </w:p>
        </w:tc>
        <w:tc>
          <w:tcPr>
            <w:tcW w:w="4309" w:type="dxa"/>
            <w:tcBorders>
              <w:top w:val="nil"/>
              <w:left w:val="nil"/>
              <w:bottom w:val="nil"/>
              <w:right w:val="nil"/>
            </w:tcBorders>
            <w:shd w:val="clear" w:color="auto" w:fill="auto"/>
            <w:noWrap/>
            <w:vAlign w:val="center"/>
            <w:hideMark/>
          </w:tcPr>
          <w:p w14:paraId="28378742" w14:textId="77777777" w:rsidR="002F317C" w:rsidRPr="008F03E5" w:rsidRDefault="002F317C" w:rsidP="003D329D">
            <w:pPr>
              <w:rPr>
                <w:sz w:val="18"/>
                <w:szCs w:val="18"/>
              </w:rPr>
            </w:pPr>
            <w:r w:rsidRPr="008F03E5">
              <w:rPr>
                <w:sz w:val="18"/>
                <w:szCs w:val="18"/>
              </w:rPr>
              <w:t>The Illustrious, the Magnificent</w:t>
            </w:r>
          </w:p>
        </w:tc>
      </w:tr>
      <w:tr w:rsidR="002F317C" w:rsidRPr="008F03E5" w14:paraId="195F510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BAD038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66</w:t>
            </w:r>
          </w:p>
        </w:tc>
        <w:tc>
          <w:tcPr>
            <w:tcW w:w="1417" w:type="dxa"/>
            <w:tcBorders>
              <w:top w:val="nil"/>
              <w:left w:val="nil"/>
              <w:bottom w:val="nil"/>
              <w:right w:val="nil"/>
            </w:tcBorders>
            <w:shd w:val="clear" w:color="auto" w:fill="auto"/>
            <w:noWrap/>
            <w:vAlign w:val="center"/>
            <w:hideMark/>
          </w:tcPr>
          <w:p w14:paraId="576D0046" w14:textId="77777777" w:rsidR="002F317C" w:rsidRPr="008F03E5" w:rsidRDefault="002F317C" w:rsidP="00B243EB">
            <w:r w:rsidRPr="008F03E5">
              <w:rPr>
                <w:rtl/>
              </w:rPr>
              <w:t>ٱلْوَاحِدُ</w:t>
            </w:r>
          </w:p>
        </w:tc>
        <w:tc>
          <w:tcPr>
            <w:tcW w:w="1928" w:type="dxa"/>
            <w:tcBorders>
              <w:top w:val="nil"/>
              <w:left w:val="nil"/>
              <w:bottom w:val="nil"/>
              <w:right w:val="nil"/>
            </w:tcBorders>
            <w:shd w:val="clear" w:color="auto" w:fill="auto"/>
            <w:noWrap/>
            <w:vAlign w:val="center"/>
            <w:hideMark/>
          </w:tcPr>
          <w:p w14:paraId="0BB05A0B" w14:textId="77777777" w:rsidR="002F317C" w:rsidRPr="008F03E5" w:rsidRDefault="002F317C" w:rsidP="003D329D">
            <w:pPr>
              <w:rPr>
                <w:sz w:val="18"/>
                <w:szCs w:val="18"/>
              </w:rPr>
            </w:pPr>
            <w:r w:rsidRPr="008F03E5">
              <w:rPr>
                <w:sz w:val="18"/>
                <w:szCs w:val="18"/>
              </w:rPr>
              <w:t>al-Wáḥid</w:t>
            </w:r>
          </w:p>
        </w:tc>
        <w:tc>
          <w:tcPr>
            <w:tcW w:w="4309" w:type="dxa"/>
            <w:tcBorders>
              <w:top w:val="nil"/>
              <w:left w:val="nil"/>
              <w:bottom w:val="nil"/>
              <w:right w:val="nil"/>
            </w:tcBorders>
            <w:shd w:val="clear" w:color="auto" w:fill="auto"/>
            <w:noWrap/>
            <w:vAlign w:val="center"/>
            <w:hideMark/>
          </w:tcPr>
          <w:p w14:paraId="077B1EF5" w14:textId="77777777" w:rsidR="002F317C" w:rsidRPr="008F03E5" w:rsidRDefault="002F317C" w:rsidP="003D329D">
            <w:pPr>
              <w:rPr>
                <w:sz w:val="18"/>
                <w:szCs w:val="18"/>
              </w:rPr>
            </w:pPr>
            <w:r w:rsidRPr="008F03E5">
              <w:rPr>
                <w:sz w:val="18"/>
                <w:szCs w:val="18"/>
              </w:rPr>
              <w:t>The One, the All Inclusive, the Indivisible</w:t>
            </w:r>
          </w:p>
        </w:tc>
      </w:tr>
      <w:tr w:rsidR="002F317C" w:rsidRPr="008F03E5" w14:paraId="43199F5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8B36F72"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67</w:t>
            </w:r>
          </w:p>
        </w:tc>
        <w:tc>
          <w:tcPr>
            <w:tcW w:w="1417" w:type="dxa"/>
            <w:tcBorders>
              <w:top w:val="nil"/>
              <w:left w:val="nil"/>
              <w:bottom w:val="nil"/>
              <w:right w:val="nil"/>
            </w:tcBorders>
            <w:shd w:val="clear" w:color="auto" w:fill="auto"/>
            <w:noWrap/>
            <w:vAlign w:val="center"/>
            <w:hideMark/>
          </w:tcPr>
          <w:p w14:paraId="16C771AF" w14:textId="77777777" w:rsidR="002F317C" w:rsidRPr="008F03E5" w:rsidRDefault="002F317C" w:rsidP="00B243EB">
            <w:r w:rsidRPr="008F03E5">
              <w:rPr>
                <w:rtl/>
              </w:rPr>
              <w:t>ٱلْأَحَد</w:t>
            </w:r>
          </w:p>
        </w:tc>
        <w:tc>
          <w:tcPr>
            <w:tcW w:w="1928" w:type="dxa"/>
            <w:tcBorders>
              <w:top w:val="nil"/>
              <w:left w:val="nil"/>
              <w:bottom w:val="nil"/>
              <w:right w:val="nil"/>
            </w:tcBorders>
            <w:shd w:val="clear" w:color="auto" w:fill="auto"/>
            <w:noWrap/>
            <w:vAlign w:val="center"/>
            <w:hideMark/>
          </w:tcPr>
          <w:p w14:paraId="7C61176B" w14:textId="77777777" w:rsidR="002F317C" w:rsidRPr="008F03E5" w:rsidRDefault="002F317C" w:rsidP="003D329D">
            <w:pPr>
              <w:rPr>
                <w:sz w:val="18"/>
                <w:szCs w:val="18"/>
              </w:rPr>
            </w:pPr>
            <w:r w:rsidRPr="008F03E5">
              <w:rPr>
                <w:sz w:val="18"/>
                <w:szCs w:val="18"/>
              </w:rPr>
              <w:t>al-Aḥad</w:t>
            </w:r>
          </w:p>
        </w:tc>
        <w:tc>
          <w:tcPr>
            <w:tcW w:w="4309" w:type="dxa"/>
            <w:tcBorders>
              <w:top w:val="nil"/>
              <w:left w:val="nil"/>
              <w:bottom w:val="nil"/>
              <w:right w:val="nil"/>
            </w:tcBorders>
            <w:shd w:val="clear" w:color="auto" w:fill="auto"/>
            <w:noWrap/>
            <w:vAlign w:val="center"/>
            <w:hideMark/>
          </w:tcPr>
          <w:p w14:paraId="33CC63B3" w14:textId="77777777" w:rsidR="002F317C" w:rsidRPr="008F03E5" w:rsidRDefault="002F317C" w:rsidP="003D329D">
            <w:pPr>
              <w:rPr>
                <w:sz w:val="18"/>
                <w:szCs w:val="18"/>
              </w:rPr>
            </w:pPr>
            <w:r w:rsidRPr="008F03E5">
              <w:rPr>
                <w:sz w:val="18"/>
                <w:szCs w:val="18"/>
              </w:rPr>
              <w:t>The One, the Indivisible</w:t>
            </w:r>
          </w:p>
        </w:tc>
      </w:tr>
      <w:tr w:rsidR="002F317C" w:rsidRPr="008F03E5" w14:paraId="175C0325"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903D514"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68</w:t>
            </w:r>
          </w:p>
        </w:tc>
        <w:tc>
          <w:tcPr>
            <w:tcW w:w="1417" w:type="dxa"/>
            <w:tcBorders>
              <w:top w:val="nil"/>
              <w:left w:val="nil"/>
              <w:bottom w:val="nil"/>
              <w:right w:val="nil"/>
            </w:tcBorders>
            <w:shd w:val="clear" w:color="auto" w:fill="auto"/>
            <w:noWrap/>
            <w:vAlign w:val="center"/>
            <w:hideMark/>
          </w:tcPr>
          <w:p w14:paraId="33124ABD" w14:textId="77777777" w:rsidR="002F317C" w:rsidRPr="008F03E5" w:rsidRDefault="002F317C" w:rsidP="00B243EB">
            <w:r w:rsidRPr="008F03E5">
              <w:rPr>
                <w:rtl/>
              </w:rPr>
              <w:t>ٱلْصَّمَدُ</w:t>
            </w:r>
          </w:p>
        </w:tc>
        <w:tc>
          <w:tcPr>
            <w:tcW w:w="1928" w:type="dxa"/>
            <w:tcBorders>
              <w:top w:val="nil"/>
              <w:left w:val="nil"/>
              <w:bottom w:val="nil"/>
              <w:right w:val="nil"/>
            </w:tcBorders>
            <w:shd w:val="clear" w:color="auto" w:fill="auto"/>
            <w:noWrap/>
            <w:vAlign w:val="center"/>
            <w:hideMark/>
          </w:tcPr>
          <w:p w14:paraId="5FCA12C5" w14:textId="77777777" w:rsidR="002F317C" w:rsidRPr="008F03E5" w:rsidRDefault="002F317C" w:rsidP="003D329D">
            <w:pPr>
              <w:rPr>
                <w:sz w:val="18"/>
                <w:szCs w:val="18"/>
              </w:rPr>
            </w:pPr>
            <w:r w:rsidRPr="008F03E5">
              <w:rPr>
                <w:sz w:val="18"/>
                <w:szCs w:val="18"/>
              </w:rPr>
              <w:t>aṣ-Ṣamad</w:t>
            </w:r>
          </w:p>
        </w:tc>
        <w:tc>
          <w:tcPr>
            <w:tcW w:w="4309" w:type="dxa"/>
            <w:tcBorders>
              <w:top w:val="nil"/>
              <w:left w:val="nil"/>
              <w:bottom w:val="nil"/>
              <w:right w:val="nil"/>
            </w:tcBorders>
            <w:shd w:val="clear" w:color="auto" w:fill="auto"/>
            <w:noWrap/>
            <w:vAlign w:val="center"/>
            <w:hideMark/>
          </w:tcPr>
          <w:p w14:paraId="663EEECC" w14:textId="77777777" w:rsidR="002F317C" w:rsidRPr="008F03E5" w:rsidRDefault="002F317C" w:rsidP="003D329D">
            <w:pPr>
              <w:rPr>
                <w:sz w:val="18"/>
                <w:szCs w:val="18"/>
              </w:rPr>
            </w:pPr>
            <w:r w:rsidRPr="008F03E5">
              <w:rPr>
                <w:sz w:val="18"/>
                <w:szCs w:val="18"/>
              </w:rPr>
              <w:t>The Self-Sufficient, the Impregnable, the Eternally Besought of All, the Everlasting</w:t>
            </w:r>
          </w:p>
        </w:tc>
      </w:tr>
      <w:tr w:rsidR="002F317C" w:rsidRPr="008F03E5" w14:paraId="067A5E87"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FF15FA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69</w:t>
            </w:r>
          </w:p>
        </w:tc>
        <w:tc>
          <w:tcPr>
            <w:tcW w:w="1417" w:type="dxa"/>
            <w:tcBorders>
              <w:top w:val="nil"/>
              <w:left w:val="nil"/>
              <w:bottom w:val="nil"/>
              <w:right w:val="nil"/>
            </w:tcBorders>
            <w:shd w:val="clear" w:color="auto" w:fill="auto"/>
            <w:noWrap/>
            <w:vAlign w:val="center"/>
            <w:hideMark/>
          </w:tcPr>
          <w:p w14:paraId="29EF993B" w14:textId="77777777" w:rsidR="002F317C" w:rsidRPr="008F03E5" w:rsidRDefault="002F317C" w:rsidP="00B243EB">
            <w:r w:rsidRPr="008F03E5">
              <w:rPr>
                <w:rtl/>
              </w:rPr>
              <w:t>ٱلْقَادِرُ</w:t>
            </w:r>
          </w:p>
        </w:tc>
        <w:tc>
          <w:tcPr>
            <w:tcW w:w="1928" w:type="dxa"/>
            <w:tcBorders>
              <w:top w:val="nil"/>
              <w:left w:val="nil"/>
              <w:bottom w:val="nil"/>
              <w:right w:val="nil"/>
            </w:tcBorders>
            <w:shd w:val="clear" w:color="auto" w:fill="auto"/>
            <w:noWrap/>
            <w:vAlign w:val="center"/>
            <w:hideMark/>
          </w:tcPr>
          <w:p w14:paraId="67D6472B" w14:textId="77777777" w:rsidR="002F317C" w:rsidRPr="008F03E5" w:rsidRDefault="002F317C" w:rsidP="003D329D">
            <w:pPr>
              <w:rPr>
                <w:sz w:val="18"/>
                <w:szCs w:val="18"/>
              </w:rPr>
            </w:pPr>
            <w:r w:rsidRPr="008F03E5">
              <w:rPr>
                <w:sz w:val="18"/>
                <w:szCs w:val="18"/>
              </w:rPr>
              <w:t>al-Qádir</w:t>
            </w:r>
          </w:p>
        </w:tc>
        <w:tc>
          <w:tcPr>
            <w:tcW w:w="4309" w:type="dxa"/>
            <w:tcBorders>
              <w:top w:val="nil"/>
              <w:left w:val="nil"/>
              <w:bottom w:val="nil"/>
              <w:right w:val="nil"/>
            </w:tcBorders>
            <w:shd w:val="clear" w:color="auto" w:fill="auto"/>
            <w:noWrap/>
            <w:vAlign w:val="center"/>
            <w:hideMark/>
          </w:tcPr>
          <w:p w14:paraId="22753B8D" w14:textId="77777777" w:rsidR="002F317C" w:rsidRPr="008F03E5" w:rsidRDefault="002F317C" w:rsidP="003D329D">
            <w:pPr>
              <w:rPr>
                <w:sz w:val="18"/>
                <w:szCs w:val="18"/>
              </w:rPr>
            </w:pPr>
            <w:r w:rsidRPr="008F03E5">
              <w:rPr>
                <w:sz w:val="18"/>
                <w:szCs w:val="18"/>
              </w:rPr>
              <w:t>The All Able</w:t>
            </w:r>
          </w:p>
        </w:tc>
      </w:tr>
      <w:tr w:rsidR="002F317C" w:rsidRPr="008F03E5" w14:paraId="5BEFA63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F890D6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70</w:t>
            </w:r>
          </w:p>
        </w:tc>
        <w:tc>
          <w:tcPr>
            <w:tcW w:w="1417" w:type="dxa"/>
            <w:tcBorders>
              <w:top w:val="nil"/>
              <w:left w:val="nil"/>
              <w:bottom w:val="nil"/>
              <w:right w:val="nil"/>
            </w:tcBorders>
            <w:shd w:val="clear" w:color="auto" w:fill="auto"/>
            <w:noWrap/>
            <w:vAlign w:val="center"/>
            <w:hideMark/>
          </w:tcPr>
          <w:p w14:paraId="67D3F046" w14:textId="77777777" w:rsidR="002F317C" w:rsidRPr="008F03E5" w:rsidRDefault="002F317C" w:rsidP="00B243EB">
            <w:r w:rsidRPr="008F03E5">
              <w:rPr>
                <w:rtl/>
              </w:rPr>
              <w:t>ٱلْمُقْتَدِرُ</w:t>
            </w:r>
          </w:p>
        </w:tc>
        <w:tc>
          <w:tcPr>
            <w:tcW w:w="1928" w:type="dxa"/>
            <w:tcBorders>
              <w:top w:val="nil"/>
              <w:left w:val="nil"/>
              <w:bottom w:val="nil"/>
              <w:right w:val="nil"/>
            </w:tcBorders>
            <w:shd w:val="clear" w:color="auto" w:fill="auto"/>
            <w:noWrap/>
            <w:vAlign w:val="center"/>
            <w:hideMark/>
          </w:tcPr>
          <w:p w14:paraId="48B58EB0" w14:textId="77777777" w:rsidR="002F317C" w:rsidRPr="008F03E5" w:rsidRDefault="002F317C" w:rsidP="003D329D">
            <w:pPr>
              <w:rPr>
                <w:sz w:val="18"/>
                <w:szCs w:val="18"/>
              </w:rPr>
            </w:pPr>
            <w:r w:rsidRPr="008F03E5">
              <w:rPr>
                <w:sz w:val="18"/>
                <w:szCs w:val="18"/>
              </w:rPr>
              <w:t>al-Muqtadir</w:t>
            </w:r>
          </w:p>
        </w:tc>
        <w:tc>
          <w:tcPr>
            <w:tcW w:w="4309" w:type="dxa"/>
            <w:tcBorders>
              <w:top w:val="nil"/>
              <w:left w:val="nil"/>
              <w:bottom w:val="nil"/>
              <w:right w:val="nil"/>
            </w:tcBorders>
            <w:shd w:val="clear" w:color="auto" w:fill="auto"/>
            <w:noWrap/>
            <w:vAlign w:val="center"/>
            <w:hideMark/>
          </w:tcPr>
          <w:p w14:paraId="782FC6EF" w14:textId="77777777" w:rsidR="002F317C" w:rsidRPr="008F03E5" w:rsidRDefault="002F317C" w:rsidP="003D329D">
            <w:pPr>
              <w:rPr>
                <w:sz w:val="18"/>
                <w:szCs w:val="18"/>
              </w:rPr>
            </w:pPr>
            <w:r w:rsidRPr="008F03E5">
              <w:rPr>
                <w:sz w:val="18"/>
                <w:szCs w:val="18"/>
              </w:rPr>
              <w:t>The All Determiner, the Dominant</w:t>
            </w:r>
          </w:p>
        </w:tc>
      </w:tr>
      <w:tr w:rsidR="002F317C" w:rsidRPr="008F03E5" w14:paraId="0C227075"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3C8CC06"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71</w:t>
            </w:r>
          </w:p>
        </w:tc>
        <w:tc>
          <w:tcPr>
            <w:tcW w:w="1417" w:type="dxa"/>
            <w:tcBorders>
              <w:top w:val="nil"/>
              <w:left w:val="nil"/>
              <w:bottom w:val="nil"/>
              <w:right w:val="nil"/>
            </w:tcBorders>
            <w:shd w:val="clear" w:color="auto" w:fill="auto"/>
            <w:noWrap/>
            <w:vAlign w:val="center"/>
            <w:hideMark/>
          </w:tcPr>
          <w:p w14:paraId="1947CA90" w14:textId="77777777" w:rsidR="002F317C" w:rsidRPr="008F03E5" w:rsidRDefault="002F317C" w:rsidP="00B243EB">
            <w:r w:rsidRPr="008F03E5">
              <w:rPr>
                <w:rtl/>
              </w:rPr>
              <w:t>ٱلْمُقَدِّمُ</w:t>
            </w:r>
          </w:p>
        </w:tc>
        <w:tc>
          <w:tcPr>
            <w:tcW w:w="1928" w:type="dxa"/>
            <w:tcBorders>
              <w:top w:val="nil"/>
              <w:left w:val="nil"/>
              <w:bottom w:val="nil"/>
              <w:right w:val="nil"/>
            </w:tcBorders>
            <w:shd w:val="clear" w:color="auto" w:fill="auto"/>
            <w:noWrap/>
            <w:vAlign w:val="center"/>
            <w:hideMark/>
          </w:tcPr>
          <w:p w14:paraId="7232BB9E" w14:textId="77777777" w:rsidR="002F317C" w:rsidRPr="008F03E5" w:rsidRDefault="002F317C" w:rsidP="003D329D">
            <w:pPr>
              <w:rPr>
                <w:sz w:val="18"/>
                <w:szCs w:val="18"/>
              </w:rPr>
            </w:pPr>
            <w:r w:rsidRPr="008F03E5">
              <w:rPr>
                <w:sz w:val="18"/>
                <w:szCs w:val="18"/>
              </w:rPr>
              <w:t>al-Muqaddim</w:t>
            </w:r>
          </w:p>
        </w:tc>
        <w:tc>
          <w:tcPr>
            <w:tcW w:w="4309" w:type="dxa"/>
            <w:tcBorders>
              <w:top w:val="nil"/>
              <w:left w:val="nil"/>
              <w:bottom w:val="nil"/>
              <w:right w:val="nil"/>
            </w:tcBorders>
            <w:shd w:val="clear" w:color="auto" w:fill="auto"/>
            <w:noWrap/>
            <w:vAlign w:val="center"/>
            <w:hideMark/>
          </w:tcPr>
          <w:p w14:paraId="1F549D47" w14:textId="77777777" w:rsidR="002F317C" w:rsidRPr="008F03E5" w:rsidRDefault="002F317C" w:rsidP="003D329D">
            <w:pPr>
              <w:rPr>
                <w:sz w:val="18"/>
                <w:szCs w:val="18"/>
              </w:rPr>
            </w:pPr>
            <w:r w:rsidRPr="008F03E5">
              <w:rPr>
                <w:sz w:val="18"/>
                <w:szCs w:val="18"/>
              </w:rPr>
              <w:t>The Expediter, He who Brings Forward</w:t>
            </w:r>
          </w:p>
        </w:tc>
      </w:tr>
      <w:tr w:rsidR="002F317C" w:rsidRPr="008F03E5" w14:paraId="621034A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040ECCE"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72</w:t>
            </w:r>
          </w:p>
        </w:tc>
        <w:tc>
          <w:tcPr>
            <w:tcW w:w="1417" w:type="dxa"/>
            <w:tcBorders>
              <w:top w:val="nil"/>
              <w:left w:val="nil"/>
              <w:bottom w:val="nil"/>
              <w:right w:val="nil"/>
            </w:tcBorders>
            <w:shd w:val="clear" w:color="auto" w:fill="auto"/>
            <w:noWrap/>
            <w:vAlign w:val="center"/>
            <w:hideMark/>
          </w:tcPr>
          <w:p w14:paraId="75C96C6E" w14:textId="77777777" w:rsidR="002F317C" w:rsidRPr="008F03E5" w:rsidRDefault="002F317C" w:rsidP="00B243EB">
            <w:r w:rsidRPr="008F03E5">
              <w:rPr>
                <w:rtl/>
              </w:rPr>
              <w:t>ٱلْمُؤَخِّرُ</w:t>
            </w:r>
          </w:p>
        </w:tc>
        <w:tc>
          <w:tcPr>
            <w:tcW w:w="1928" w:type="dxa"/>
            <w:tcBorders>
              <w:top w:val="nil"/>
              <w:left w:val="nil"/>
              <w:bottom w:val="nil"/>
              <w:right w:val="nil"/>
            </w:tcBorders>
            <w:shd w:val="clear" w:color="auto" w:fill="auto"/>
            <w:noWrap/>
            <w:vAlign w:val="center"/>
            <w:hideMark/>
          </w:tcPr>
          <w:p w14:paraId="4B51B0BF" w14:textId="77777777" w:rsidR="002F317C" w:rsidRPr="008F03E5" w:rsidRDefault="002F317C" w:rsidP="00254769">
            <w:pPr>
              <w:rPr>
                <w:color w:val="000000"/>
                <w:sz w:val="18"/>
                <w:szCs w:val="18"/>
                <w14:numForm w14:val="default"/>
                <w14:numSpacing w14:val="default"/>
              </w:rPr>
            </w:pPr>
            <w:r w:rsidRPr="008F03E5">
              <w:rPr>
                <w:sz w:val="18"/>
                <w:szCs w:val="18"/>
              </w:rPr>
              <w:t>al-Mu’a</w:t>
            </w:r>
            <w:r w:rsidRPr="008F03E5">
              <w:rPr>
                <w:sz w:val="18"/>
                <w:szCs w:val="18"/>
                <w:u w:val="single"/>
              </w:rPr>
              <w:t>khkh</w:t>
            </w:r>
            <w:r w:rsidRPr="008F03E5">
              <w:rPr>
                <w:sz w:val="18"/>
                <w:szCs w:val="18"/>
              </w:rPr>
              <w:t>ir</w:t>
            </w:r>
          </w:p>
        </w:tc>
        <w:tc>
          <w:tcPr>
            <w:tcW w:w="4309" w:type="dxa"/>
            <w:tcBorders>
              <w:top w:val="nil"/>
              <w:left w:val="nil"/>
              <w:bottom w:val="nil"/>
              <w:right w:val="nil"/>
            </w:tcBorders>
            <w:shd w:val="clear" w:color="auto" w:fill="auto"/>
            <w:noWrap/>
            <w:vAlign w:val="center"/>
            <w:hideMark/>
          </w:tcPr>
          <w:p w14:paraId="17F661BC" w14:textId="77777777" w:rsidR="002F317C" w:rsidRPr="008F03E5" w:rsidRDefault="002F317C" w:rsidP="003D329D">
            <w:pPr>
              <w:rPr>
                <w:sz w:val="18"/>
                <w:szCs w:val="18"/>
              </w:rPr>
            </w:pPr>
            <w:r w:rsidRPr="008F03E5">
              <w:rPr>
                <w:sz w:val="18"/>
                <w:szCs w:val="18"/>
              </w:rPr>
              <w:t>The Delayer, He who Puts Far Away</w:t>
            </w:r>
          </w:p>
        </w:tc>
      </w:tr>
      <w:tr w:rsidR="002F317C" w:rsidRPr="008F03E5" w14:paraId="076C3F6A"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2C1A05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73</w:t>
            </w:r>
          </w:p>
        </w:tc>
        <w:tc>
          <w:tcPr>
            <w:tcW w:w="1417" w:type="dxa"/>
            <w:tcBorders>
              <w:top w:val="nil"/>
              <w:left w:val="nil"/>
              <w:bottom w:val="nil"/>
              <w:right w:val="nil"/>
            </w:tcBorders>
            <w:shd w:val="clear" w:color="auto" w:fill="auto"/>
            <w:noWrap/>
            <w:vAlign w:val="center"/>
            <w:hideMark/>
          </w:tcPr>
          <w:p w14:paraId="79314574" w14:textId="77777777" w:rsidR="002F317C" w:rsidRPr="008F03E5" w:rsidRDefault="002F317C" w:rsidP="00B243EB">
            <w:r w:rsidRPr="008F03E5">
              <w:rPr>
                <w:rtl/>
              </w:rPr>
              <w:t>ٱلأَوَّلُ</w:t>
            </w:r>
          </w:p>
        </w:tc>
        <w:tc>
          <w:tcPr>
            <w:tcW w:w="1928" w:type="dxa"/>
            <w:tcBorders>
              <w:top w:val="nil"/>
              <w:left w:val="nil"/>
              <w:bottom w:val="nil"/>
              <w:right w:val="nil"/>
            </w:tcBorders>
            <w:shd w:val="clear" w:color="auto" w:fill="auto"/>
            <w:noWrap/>
            <w:vAlign w:val="center"/>
            <w:hideMark/>
          </w:tcPr>
          <w:p w14:paraId="72426C26" w14:textId="77777777" w:rsidR="002F317C" w:rsidRPr="008F03E5" w:rsidRDefault="002F317C" w:rsidP="003D329D">
            <w:pPr>
              <w:rPr>
                <w:sz w:val="18"/>
                <w:szCs w:val="18"/>
              </w:rPr>
            </w:pPr>
            <w:r w:rsidRPr="008F03E5">
              <w:rPr>
                <w:sz w:val="18"/>
                <w:szCs w:val="18"/>
              </w:rPr>
              <w:t>al-Awwal</w:t>
            </w:r>
          </w:p>
        </w:tc>
        <w:tc>
          <w:tcPr>
            <w:tcW w:w="4309" w:type="dxa"/>
            <w:tcBorders>
              <w:top w:val="nil"/>
              <w:left w:val="nil"/>
              <w:bottom w:val="nil"/>
              <w:right w:val="nil"/>
            </w:tcBorders>
            <w:shd w:val="clear" w:color="auto" w:fill="auto"/>
            <w:noWrap/>
            <w:vAlign w:val="center"/>
            <w:hideMark/>
          </w:tcPr>
          <w:p w14:paraId="793BD521" w14:textId="77777777" w:rsidR="002F317C" w:rsidRPr="008F03E5" w:rsidRDefault="002F317C" w:rsidP="003D329D">
            <w:pPr>
              <w:rPr>
                <w:sz w:val="18"/>
                <w:szCs w:val="18"/>
              </w:rPr>
            </w:pPr>
            <w:r w:rsidRPr="008F03E5">
              <w:rPr>
                <w:sz w:val="18"/>
                <w:szCs w:val="18"/>
              </w:rPr>
              <w:t>The First, Without Beginning</w:t>
            </w:r>
          </w:p>
        </w:tc>
      </w:tr>
      <w:tr w:rsidR="002F317C" w:rsidRPr="008F03E5" w14:paraId="2339AD4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EC972B0"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74</w:t>
            </w:r>
          </w:p>
        </w:tc>
        <w:tc>
          <w:tcPr>
            <w:tcW w:w="1417" w:type="dxa"/>
            <w:tcBorders>
              <w:top w:val="nil"/>
              <w:left w:val="nil"/>
              <w:bottom w:val="nil"/>
              <w:right w:val="nil"/>
            </w:tcBorders>
            <w:shd w:val="clear" w:color="auto" w:fill="auto"/>
            <w:noWrap/>
            <w:vAlign w:val="center"/>
            <w:hideMark/>
          </w:tcPr>
          <w:p w14:paraId="7141B814" w14:textId="77777777" w:rsidR="002F317C" w:rsidRPr="008F03E5" w:rsidRDefault="002F317C" w:rsidP="00B243EB">
            <w:r w:rsidRPr="008F03E5">
              <w:rPr>
                <w:rtl/>
              </w:rPr>
              <w:t>ٱلْأَخِرُ</w:t>
            </w:r>
          </w:p>
        </w:tc>
        <w:tc>
          <w:tcPr>
            <w:tcW w:w="1928" w:type="dxa"/>
            <w:tcBorders>
              <w:top w:val="nil"/>
              <w:left w:val="nil"/>
              <w:bottom w:val="nil"/>
              <w:right w:val="nil"/>
            </w:tcBorders>
            <w:shd w:val="clear" w:color="auto" w:fill="auto"/>
            <w:noWrap/>
            <w:vAlign w:val="center"/>
            <w:hideMark/>
          </w:tcPr>
          <w:p w14:paraId="013FD7EC" w14:textId="77777777" w:rsidR="002F317C" w:rsidRPr="008F03E5" w:rsidRDefault="002F317C" w:rsidP="00254769">
            <w:pPr>
              <w:rPr>
                <w:color w:val="000000"/>
                <w:sz w:val="18"/>
                <w:szCs w:val="18"/>
                <w14:numForm w14:val="default"/>
                <w14:numSpacing w14:val="default"/>
              </w:rPr>
            </w:pPr>
            <w:r w:rsidRPr="008F03E5">
              <w:rPr>
                <w:sz w:val="18"/>
                <w:szCs w:val="18"/>
              </w:rPr>
              <w:t>al-Á</w:t>
            </w:r>
            <w:r w:rsidRPr="008F03E5">
              <w:rPr>
                <w:sz w:val="18"/>
                <w:szCs w:val="18"/>
                <w:u w:val="single"/>
              </w:rPr>
              <w:t>kh</w:t>
            </w:r>
            <w:r w:rsidRPr="008F03E5">
              <w:rPr>
                <w:sz w:val="18"/>
                <w:szCs w:val="18"/>
              </w:rPr>
              <w:t>ir</w:t>
            </w:r>
          </w:p>
        </w:tc>
        <w:tc>
          <w:tcPr>
            <w:tcW w:w="4309" w:type="dxa"/>
            <w:tcBorders>
              <w:top w:val="nil"/>
              <w:left w:val="nil"/>
              <w:bottom w:val="nil"/>
              <w:right w:val="nil"/>
            </w:tcBorders>
            <w:shd w:val="clear" w:color="auto" w:fill="auto"/>
            <w:noWrap/>
            <w:vAlign w:val="center"/>
            <w:hideMark/>
          </w:tcPr>
          <w:p w14:paraId="094B2791" w14:textId="77777777" w:rsidR="002F317C" w:rsidRPr="008F03E5" w:rsidRDefault="002F317C" w:rsidP="003D329D">
            <w:pPr>
              <w:rPr>
                <w:sz w:val="18"/>
                <w:szCs w:val="18"/>
              </w:rPr>
            </w:pPr>
            <w:r w:rsidRPr="008F03E5">
              <w:rPr>
                <w:sz w:val="18"/>
                <w:szCs w:val="18"/>
              </w:rPr>
              <w:t>The Last</w:t>
            </w:r>
          </w:p>
        </w:tc>
      </w:tr>
      <w:tr w:rsidR="002F317C" w:rsidRPr="008F03E5" w14:paraId="09B4E7E7"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6BA878D"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75</w:t>
            </w:r>
          </w:p>
        </w:tc>
        <w:tc>
          <w:tcPr>
            <w:tcW w:w="1417" w:type="dxa"/>
            <w:tcBorders>
              <w:top w:val="nil"/>
              <w:left w:val="nil"/>
              <w:bottom w:val="nil"/>
              <w:right w:val="nil"/>
            </w:tcBorders>
            <w:shd w:val="clear" w:color="auto" w:fill="auto"/>
            <w:noWrap/>
            <w:vAlign w:val="center"/>
            <w:hideMark/>
          </w:tcPr>
          <w:p w14:paraId="6CEF183B" w14:textId="77777777" w:rsidR="002F317C" w:rsidRPr="008F03E5" w:rsidRDefault="002F317C" w:rsidP="00B243EB">
            <w:r w:rsidRPr="008F03E5">
              <w:rPr>
                <w:rtl/>
              </w:rPr>
              <w:t>ٱلْظَّـٰهِرُ</w:t>
            </w:r>
          </w:p>
        </w:tc>
        <w:tc>
          <w:tcPr>
            <w:tcW w:w="1928" w:type="dxa"/>
            <w:tcBorders>
              <w:top w:val="nil"/>
              <w:left w:val="nil"/>
              <w:bottom w:val="nil"/>
              <w:right w:val="nil"/>
            </w:tcBorders>
            <w:shd w:val="clear" w:color="auto" w:fill="auto"/>
            <w:noWrap/>
            <w:vAlign w:val="center"/>
            <w:hideMark/>
          </w:tcPr>
          <w:p w14:paraId="2B817629" w14:textId="77777777" w:rsidR="002F317C" w:rsidRPr="008F03E5" w:rsidRDefault="002F317C" w:rsidP="003D329D">
            <w:pPr>
              <w:rPr>
                <w:sz w:val="18"/>
                <w:szCs w:val="18"/>
              </w:rPr>
            </w:pPr>
            <w:r w:rsidRPr="008F03E5">
              <w:rPr>
                <w:sz w:val="18"/>
                <w:szCs w:val="18"/>
              </w:rPr>
              <w:t>aẓ-Ẓáhir</w:t>
            </w:r>
          </w:p>
        </w:tc>
        <w:tc>
          <w:tcPr>
            <w:tcW w:w="4309" w:type="dxa"/>
            <w:tcBorders>
              <w:top w:val="nil"/>
              <w:left w:val="nil"/>
              <w:bottom w:val="nil"/>
              <w:right w:val="nil"/>
            </w:tcBorders>
            <w:shd w:val="clear" w:color="auto" w:fill="auto"/>
            <w:noWrap/>
            <w:vAlign w:val="center"/>
            <w:hideMark/>
          </w:tcPr>
          <w:p w14:paraId="209EDDEF" w14:textId="77777777" w:rsidR="002F317C" w:rsidRPr="008F03E5" w:rsidRDefault="002F317C" w:rsidP="003D329D">
            <w:pPr>
              <w:rPr>
                <w:sz w:val="18"/>
                <w:szCs w:val="18"/>
              </w:rPr>
            </w:pPr>
            <w:r w:rsidRPr="008F03E5">
              <w:rPr>
                <w:sz w:val="18"/>
                <w:szCs w:val="18"/>
              </w:rPr>
              <w:t>The Manifest; the All Victorious</w:t>
            </w:r>
          </w:p>
        </w:tc>
      </w:tr>
      <w:tr w:rsidR="002F317C" w:rsidRPr="008F03E5" w14:paraId="1DA75914"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C3146BB"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76</w:t>
            </w:r>
          </w:p>
        </w:tc>
        <w:tc>
          <w:tcPr>
            <w:tcW w:w="1417" w:type="dxa"/>
            <w:tcBorders>
              <w:top w:val="nil"/>
              <w:left w:val="nil"/>
              <w:bottom w:val="nil"/>
              <w:right w:val="nil"/>
            </w:tcBorders>
            <w:shd w:val="clear" w:color="auto" w:fill="auto"/>
            <w:noWrap/>
            <w:vAlign w:val="center"/>
            <w:hideMark/>
          </w:tcPr>
          <w:p w14:paraId="09736E85" w14:textId="77777777" w:rsidR="002F317C" w:rsidRPr="008F03E5" w:rsidRDefault="002F317C" w:rsidP="00B243EB">
            <w:r w:rsidRPr="008F03E5">
              <w:rPr>
                <w:rtl/>
              </w:rPr>
              <w:t>ٱلْبَاطِنُ</w:t>
            </w:r>
          </w:p>
        </w:tc>
        <w:tc>
          <w:tcPr>
            <w:tcW w:w="1928" w:type="dxa"/>
            <w:tcBorders>
              <w:top w:val="nil"/>
              <w:left w:val="nil"/>
              <w:bottom w:val="nil"/>
              <w:right w:val="nil"/>
            </w:tcBorders>
            <w:shd w:val="clear" w:color="auto" w:fill="auto"/>
            <w:noWrap/>
            <w:vAlign w:val="center"/>
            <w:hideMark/>
          </w:tcPr>
          <w:p w14:paraId="2C639E16" w14:textId="77777777" w:rsidR="002F317C" w:rsidRPr="008F03E5" w:rsidRDefault="002F317C" w:rsidP="003D329D">
            <w:pPr>
              <w:rPr>
                <w:sz w:val="18"/>
                <w:szCs w:val="18"/>
              </w:rPr>
            </w:pPr>
            <w:r w:rsidRPr="008F03E5">
              <w:rPr>
                <w:sz w:val="18"/>
                <w:szCs w:val="18"/>
              </w:rPr>
              <w:t>al-Báṭin</w:t>
            </w:r>
          </w:p>
        </w:tc>
        <w:tc>
          <w:tcPr>
            <w:tcW w:w="4309" w:type="dxa"/>
            <w:tcBorders>
              <w:top w:val="nil"/>
              <w:left w:val="nil"/>
              <w:bottom w:val="nil"/>
              <w:right w:val="nil"/>
            </w:tcBorders>
            <w:shd w:val="clear" w:color="auto" w:fill="auto"/>
            <w:noWrap/>
            <w:vAlign w:val="center"/>
            <w:hideMark/>
          </w:tcPr>
          <w:p w14:paraId="04B48D8F" w14:textId="77777777" w:rsidR="002F317C" w:rsidRPr="008F03E5" w:rsidRDefault="002F317C" w:rsidP="003D329D">
            <w:pPr>
              <w:rPr>
                <w:sz w:val="18"/>
                <w:szCs w:val="18"/>
              </w:rPr>
            </w:pPr>
            <w:r w:rsidRPr="008F03E5">
              <w:rPr>
                <w:sz w:val="18"/>
                <w:szCs w:val="18"/>
              </w:rPr>
              <w:t>The Hidden; the All Encompassing</w:t>
            </w:r>
          </w:p>
        </w:tc>
      </w:tr>
      <w:tr w:rsidR="002F317C" w:rsidRPr="008F03E5" w14:paraId="4398039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8111B9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77</w:t>
            </w:r>
          </w:p>
        </w:tc>
        <w:tc>
          <w:tcPr>
            <w:tcW w:w="1417" w:type="dxa"/>
            <w:tcBorders>
              <w:top w:val="nil"/>
              <w:left w:val="nil"/>
              <w:bottom w:val="nil"/>
              <w:right w:val="nil"/>
            </w:tcBorders>
            <w:shd w:val="clear" w:color="auto" w:fill="auto"/>
            <w:noWrap/>
            <w:vAlign w:val="center"/>
            <w:hideMark/>
          </w:tcPr>
          <w:p w14:paraId="035C936E" w14:textId="77777777" w:rsidR="002F317C" w:rsidRPr="008F03E5" w:rsidRDefault="002F317C" w:rsidP="00B243EB">
            <w:r w:rsidRPr="008F03E5">
              <w:rPr>
                <w:rtl/>
              </w:rPr>
              <w:t>ٱلْوَالِي</w:t>
            </w:r>
          </w:p>
        </w:tc>
        <w:tc>
          <w:tcPr>
            <w:tcW w:w="1928" w:type="dxa"/>
            <w:tcBorders>
              <w:top w:val="nil"/>
              <w:left w:val="nil"/>
              <w:bottom w:val="nil"/>
              <w:right w:val="nil"/>
            </w:tcBorders>
            <w:shd w:val="clear" w:color="auto" w:fill="auto"/>
            <w:noWrap/>
            <w:vAlign w:val="center"/>
            <w:hideMark/>
          </w:tcPr>
          <w:p w14:paraId="11908415" w14:textId="77777777" w:rsidR="002F317C" w:rsidRPr="008F03E5" w:rsidRDefault="002F317C" w:rsidP="003D329D">
            <w:pPr>
              <w:rPr>
                <w:sz w:val="18"/>
                <w:szCs w:val="18"/>
              </w:rPr>
            </w:pPr>
            <w:r w:rsidRPr="008F03E5">
              <w:rPr>
                <w:sz w:val="18"/>
                <w:szCs w:val="18"/>
              </w:rPr>
              <w:t>al-Wálí</w:t>
            </w:r>
          </w:p>
        </w:tc>
        <w:tc>
          <w:tcPr>
            <w:tcW w:w="4309" w:type="dxa"/>
            <w:tcBorders>
              <w:top w:val="nil"/>
              <w:left w:val="nil"/>
              <w:bottom w:val="nil"/>
              <w:right w:val="nil"/>
            </w:tcBorders>
            <w:shd w:val="clear" w:color="auto" w:fill="auto"/>
            <w:noWrap/>
            <w:vAlign w:val="center"/>
            <w:hideMark/>
          </w:tcPr>
          <w:p w14:paraId="7027D80B" w14:textId="77777777" w:rsidR="002F317C" w:rsidRPr="008F03E5" w:rsidRDefault="002F317C" w:rsidP="003D329D">
            <w:pPr>
              <w:rPr>
                <w:sz w:val="18"/>
                <w:szCs w:val="18"/>
              </w:rPr>
            </w:pPr>
            <w:r w:rsidRPr="008F03E5">
              <w:rPr>
                <w:sz w:val="18"/>
                <w:szCs w:val="18"/>
              </w:rPr>
              <w:t>The Patron, The Protecting Friend, The Friendly Lord</w:t>
            </w:r>
          </w:p>
        </w:tc>
      </w:tr>
      <w:tr w:rsidR="002F317C" w:rsidRPr="008F03E5" w14:paraId="3B38966F"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9CEEA1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78</w:t>
            </w:r>
          </w:p>
        </w:tc>
        <w:tc>
          <w:tcPr>
            <w:tcW w:w="1417" w:type="dxa"/>
            <w:tcBorders>
              <w:top w:val="nil"/>
              <w:left w:val="nil"/>
              <w:bottom w:val="nil"/>
              <w:right w:val="nil"/>
            </w:tcBorders>
            <w:shd w:val="clear" w:color="auto" w:fill="auto"/>
            <w:noWrap/>
            <w:vAlign w:val="center"/>
            <w:hideMark/>
          </w:tcPr>
          <w:p w14:paraId="51F812BB" w14:textId="77777777" w:rsidR="002F317C" w:rsidRPr="008F03E5" w:rsidRDefault="002F317C" w:rsidP="00B243EB">
            <w:r w:rsidRPr="008F03E5">
              <w:rPr>
                <w:rtl/>
              </w:rPr>
              <w:t>ٱلْمُتَعَالِي</w:t>
            </w:r>
          </w:p>
        </w:tc>
        <w:tc>
          <w:tcPr>
            <w:tcW w:w="1928" w:type="dxa"/>
            <w:tcBorders>
              <w:top w:val="nil"/>
              <w:left w:val="nil"/>
              <w:bottom w:val="nil"/>
              <w:right w:val="nil"/>
            </w:tcBorders>
            <w:shd w:val="clear" w:color="auto" w:fill="auto"/>
            <w:noWrap/>
            <w:vAlign w:val="center"/>
            <w:hideMark/>
          </w:tcPr>
          <w:p w14:paraId="34F3729D" w14:textId="77777777" w:rsidR="002F317C" w:rsidRPr="008F03E5" w:rsidRDefault="002F317C" w:rsidP="003D329D">
            <w:pPr>
              <w:rPr>
                <w:sz w:val="18"/>
                <w:szCs w:val="18"/>
              </w:rPr>
            </w:pPr>
            <w:r w:rsidRPr="008F03E5">
              <w:rPr>
                <w:sz w:val="18"/>
                <w:szCs w:val="18"/>
              </w:rPr>
              <w:t>al-Muta‘álí</w:t>
            </w:r>
          </w:p>
        </w:tc>
        <w:tc>
          <w:tcPr>
            <w:tcW w:w="4309" w:type="dxa"/>
            <w:tcBorders>
              <w:top w:val="nil"/>
              <w:left w:val="nil"/>
              <w:bottom w:val="nil"/>
              <w:right w:val="nil"/>
            </w:tcBorders>
            <w:shd w:val="clear" w:color="auto" w:fill="auto"/>
            <w:noWrap/>
            <w:vAlign w:val="center"/>
            <w:hideMark/>
          </w:tcPr>
          <w:p w14:paraId="7A80D356" w14:textId="77777777" w:rsidR="002F317C" w:rsidRPr="008F03E5" w:rsidRDefault="002F317C" w:rsidP="003D329D">
            <w:pPr>
              <w:rPr>
                <w:sz w:val="18"/>
                <w:szCs w:val="18"/>
              </w:rPr>
            </w:pPr>
            <w:r w:rsidRPr="008F03E5">
              <w:rPr>
                <w:sz w:val="18"/>
                <w:szCs w:val="18"/>
              </w:rPr>
              <w:t>The Self Exalted</w:t>
            </w:r>
          </w:p>
        </w:tc>
      </w:tr>
      <w:tr w:rsidR="002F317C" w:rsidRPr="008F03E5" w14:paraId="086680F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4EFF47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79</w:t>
            </w:r>
          </w:p>
        </w:tc>
        <w:tc>
          <w:tcPr>
            <w:tcW w:w="1417" w:type="dxa"/>
            <w:tcBorders>
              <w:top w:val="nil"/>
              <w:left w:val="nil"/>
              <w:bottom w:val="nil"/>
              <w:right w:val="nil"/>
            </w:tcBorders>
            <w:shd w:val="clear" w:color="auto" w:fill="auto"/>
            <w:noWrap/>
            <w:vAlign w:val="center"/>
            <w:hideMark/>
          </w:tcPr>
          <w:p w14:paraId="048278C3" w14:textId="77777777" w:rsidR="002F317C" w:rsidRPr="008F03E5" w:rsidRDefault="002F317C" w:rsidP="00B243EB">
            <w:r w:rsidRPr="008F03E5">
              <w:rPr>
                <w:rtl/>
              </w:rPr>
              <w:t>ٱلْبَرُّ</w:t>
            </w:r>
          </w:p>
        </w:tc>
        <w:tc>
          <w:tcPr>
            <w:tcW w:w="1928" w:type="dxa"/>
            <w:tcBorders>
              <w:top w:val="nil"/>
              <w:left w:val="nil"/>
              <w:bottom w:val="nil"/>
              <w:right w:val="nil"/>
            </w:tcBorders>
            <w:shd w:val="clear" w:color="auto" w:fill="auto"/>
            <w:noWrap/>
            <w:vAlign w:val="center"/>
            <w:hideMark/>
          </w:tcPr>
          <w:p w14:paraId="1C5F8A2A" w14:textId="77777777" w:rsidR="002F317C" w:rsidRPr="008F03E5" w:rsidRDefault="002F317C" w:rsidP="003D329D">
            <w:pPr>
              <w:rPr>
                <w:sz w:val="18"/>
                <w:szCs w:val="18"/>
              </w:rPr>
            </w:pPr>
            <w:r w:rsidRPr="008F03E5">
              <w:rPr>
                <w:sz w:val="18"/>
                <w:szCs w:val="18"/>
              </w:rPr>
              <w:t>al-Barr</w:t>
            </w:r>
          </w:p>
        </w:tc>
        <w:tc>
          <w:tcPr>
            <w:tcW w:w="4309" w:type="dxa"/>
            <w:tcBorders>
              <w:top w:val="nil"/>
              <w:left w:val="nil"/>
              <w:bottom w:val="nil"/>
              <w:right w:val="nil"/>
            </w:tcBorders>
            <w:shd w:val="clear" w:color="auto" w:fill="auto"/>
            <w:noWrap/>
            <w:vAlign w:val="center"/>
            <w:hideMark/>
          </w:tcPr>
          <w:p w14:paraId="18441F03" w14:textId="77777777" w:rsidR="002F317C" w:rsidRPr="008F03E5" w:rsidRDefault="002F317C" w:rsidP="003D329D">
            <w:pPr>
              <w:rPr>
                <w:sz w:val="18"/>
                <w:szCs w:val="18"/>
              </w:rPr>
            </w:pPr>
            <w:r w:rsidRPr="008F03E5">
              <w:rPr>
                <w:sz w:val="18"/>
                <w:szCs w:val="18"/>
              </w:rPr>
              <w:t>The Most Kind and Righteous</w:t>
            </w:r>
          </w:p>
        </w:tc>
      </w:tr>
      <w:tr w:rsidR="002F317C" w:rsidRPr="008F03E5" w14:paraId="27E1B70E"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F6D88FF"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80</w:t>
            </w:r>
          </w:p>
        </w:tc>
        <w:tc>
          <w:tcPr>
            <w:tcW w:w="1417" w:type="dxa"/>
            <w:tcBorders>
              <w:top w:val="nil"/>
              <w:left w:val="nil"/>
              <w:bottom w:val="nil"/>
              <w:right w:val="nil"/>
            </w:tcBorders>
            <w:shd w:val="clear" w:color="auto" w:fill="auto"/>
            <w:noWrap/>
            <w:vAlign w:val="center"/>
            <w:hideMark/>
          </w:tcPr>
          <w:p w14:paraId="082D8A9D" w14:textId="77777777" w:rsidR="002F317C" w:rsidRPr="008F03E5" w:rsidRDefault="002F317C" w:rsidP="00B243EB">
            <w:r w:rsidRPr="008F03E5">
              <w:rPr>
                <w:rtl/>
              </w:rPr>
              <w:t>ٱلْتَّوَّابُ</w:t>
            </w:r>
          </w:p>
        </w:tc>
        <w:tc>
          <w:tcPr>
            <w:tcW w:w="1928" w:type="dxa"/>
            <w:tcBorders>
              <w:top w:val="nil"/>
              <w:left w:val="nil"/>
              <w:bottom w:val="nil"/>
              <w:right w:val="nil"/>
            </w:tcBorders>
            <w:shd w:val="clear" w:color="auto" w:fill="auto"/>
            <w:noWrap/>
            <w:vAlign w:val="center"/>
            <w:hideMark/>
          </w:tcPr>
          <w:p w14:paraId="562B52B2" w14:textId="77777777" w:rsidR="002F317C" w:rsidRPr="008F03E5" w:rsidRDefault="002F317C" w:rsidP="003D329D">
            <w:pPr>
              <w:rPr>
                <w:sz w:val="18"/>
                <w:szCs w:val="18"/>
              </w:rPr>
            </w:pPr>
            <w:r w:rsidRPr="008F03E5">
              <w:rPr>
                <w:sz w:val="18"/>
                <w:szCs w:val="18"/>
              </w:rPr>
              <w:t>at-Tawwáb</w:t>
            </w:r>
          </w:p>
        </w:tc>
        <w:tc>
          <w:tcPr>
            <w:tcW w:w="4309" w:type="dxa"/>
            <w:tcBorders>
              <w:top w:val="nil"/>
              <w:left w:val="nil"/>
              <w:bottom w:val="nil"/>
              <w:right w:val="nil"/>
            </w:tcBorders>
            <w:shd w:val="clear" w:color="auto" w:fill="auto"/>
            <w:noWrap/>
            <w:vAlign w:val="center"/>
            <w:hideMark/>
          </w:tcPr>
          <w:p w14:paraId="57105034" w14:textId="77777777" w:rsidR="002F317C" w:rsidRPr="008F03E5" w:rsidRDefault="002F317C" w:rsidP="003D329D">
            <w:pPr>
              <w:rPr>
                <w:sz w:val="18"/>
                <w:szCs w:val="18"/>
              </w:rPr>
            </w:pPr>
            <w:r w:rsidRPr="008F03E5">
              <w:rPr>
                <w:sz w:val="18"/>
                <w:szCs w:val="18"/>
              </w:rPr>
              <w:t>The Ever Returning, Ever Relenting</w:t>
            </w:r>
          </w:p>
        </w:tc>
      </w:tr>
      <w:tr w:rsidR="002F317C" w:rsidRPr="008F03E5" w14:paraId="2085B43A"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19385799"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81</w:t>
            </w:r>
          </w:p>
        </w:tc>
        <w:tc>
          <w:tcPr>
            <w:tcW w:w="1417" w:type="dxa"/>
            <w:tcBorders>
              <w:top w:val="nil"/>
              <w:left w:val="nil"/>
              <w:bottom w:val="nil"/>
              <w:right w:val="nil"/>
            </w:tcBorders>
            <w:shd w:val="clear" w:color="auto" w:fill="auto"/>
            <w:noWrap/>
            <w:vAlign w:val="center"/>
            <w:hideMark/>
          </w:tcPr>
          <w:p w14:paraId="21855550" w14:textId="77777777" w:rsidR="002F317C" w:rsidRPr="008F03E5" w:rsidRDefault="002F317C" w:rsidP="00B243EB">
            <w:r w:rsidRPr="008F03E5">
              <w:rPr>
                <w:rtl/>
              </w:rPr>
              <w:t>ٱلْمُنْتَقِمُ</w:t>
            </w:r>
          </w:p>
        </w:tc>
        <w:tc>
          <w:tcPr>
            <w:tcW w:w="1928" w:type="dxa"/>
            <w:tcBorders>
              <w:top w:val="nil"/>
              <w:left w:val="nil"/>
              <w:bottom w:val="nil"/>
              <w:right w:val="nil"/>
            </w:tcBorders>
            <w:shd w:val="clear" w:color="auto" w:fill="auto"/>
            <w:noWrap/>
            <w:vAlign w:val="center"/>
            <w:hideMark/>
          </w:tcPr>
          <w:p w14:paraId="1326918B" w14:textId="77777777" w:rsidR="002F317C" w:rsidRPr="008F03E5" w:rsidRDefault="002F317C" w:rsidP="003D329D">
            <w:pPr>
              <w:rPr>
                <w:sz w:val="18"/>
                <w:szCs w:val="18"/>
              </w:rPr>
            </w:pPr>
            <w:r w:rsidRPr="008F03E5">
              <w:rPr>
                <w:sz w:val="18"/>
                <w:szCs w:val="18"/>
              </w:rPr>
              <w:t>al-Muntaqim</w:t>
            </w:r>
          </w:p>
        </w:tc>
        <w:tc>
          <w:tcPr>
            <w:tcW w:w="4309" w:type="dxa"/>
            <w:tcBorders>
              <w:top w:val="nil"/>
              <w:left w:val="nil"/>
              <w:bottom w:val="nil"/>
              <w:right w:val="nil"/>
            </w:tcBorders>
            <w:shd w:val="clear" w:color="auto" w:fill="auto"/>
            <w:noWrap/>
            <w:vAlign w:val="center"/>
            <w:hideMark/>
          </w:tcPr>
          <w:p w14:paraId="49AA2CCE" w14:textId="77777777" w:rsidR="002F317C" w:rsidRPr="008F03E5" w:rsidRDefault="002F317C" w:rsidP="003D329D">
            <w:pPr>
              <w:rPr>
                <w:sz w:val="18"/>
                <w:szCs w:val="18"/>
              </w:rPr>
            </w:pPr>
            <w:r w:rsidRPr="008F03E5">
              <w:rPr>
                <w:sz w:val="18"/>
                <w:szCs w:val="18"/>
              </w:rPr>
              <w:t>The Avenger</w:t>
            </w:r>
          </w:p>
        </w:tc>
      </w:tr>
      <w:tr w:rsidR="002F317C" w:rsidRPr="008F03E5" w14:paraId="3203B3BA"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45FE34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82</w:t>
            </w:r>
          </w:p>
        </w:tc>
        <w:tc>
          <w:tcPr>
            <w:tcW w:w="1417" w:type="dxa"/>
            <w:tcBorders>
              <w:top w:val="nil"/>
              <w:left w:val="nil"/>
              <w:bottom w:val="nil"/>
              <w:right w:val="nil"/>
            </w:tcBorders>
            <w:shd w:val="clear" w:color="auto" w:fill="auto"/>
            <w:noWrap/>
            <w:vAlign w:val="center"/>
            <w:hideMark/>
          </w:tcPr>
          <w:p w14:paraId="2D9FA65D" w14:textId="77777777" w:rsidR="002F317C" w:rsidRPr="008F03E5" w:rsidRDefault="002F317C" w:rsidP="00B243EB">
            <w:r w:rsidRPr="008F03E5">
              <w:rPr>
                <w:rtl/>
              </w:rPr>
              <w:t>ٱلْعَفُوُّ</w:t>
            </w:r>
          </w:p>
        </w:tc>
        <w:tc>
          <w:tcPr>
            <w:tcW w:w="1928" w:type="dxa"/>
            <w:tcBorders>
              <w:top w:val="nil"/>
              <w:left w:val="nil"/>
              <w:bottom w:val="nil"/>
              <w:right w:val="nil"/>
            </w:tcBorders>
            <w:shd w:val="clear" w:color="auto" w:fill="auto"/>
            <w:noWrap/>
            <w:vAlign w:val="center"/>
            <w:hideMark/>
          </w:tcPr>
          <w:p w14:paraId="60BE09C3" w14:textId="77777777" w:rsidR="002F317C" w:rsidRPr="008F03E5" w:rsidRDefault="002F317C" w:rsidP="003D329D">
            <w:pPr>
              <w:rPr>
                <w:sz w:val="18"/>
                <w:szCs w:val="18"/>
              </w:rPr>
            </w:pPr>
            <w:r w:rsidRPr="008F03E5">
              <w:rPr>
                <w:sz w:val="18"/>
                <w:szCs w:val="18"/>
              </w:rPr>
              <w:t>al-‘Afúw</w:t>
            </w:r>
          </w:p>
        </w:tc>
        <w:tc>
          <w:tcPr>
            <w:tcW w:w="4309" w:type="dxa"/>
            <w:tcBorders>
              <w:top w:val="nil"/>
              <w:left w:val="nil"/>
              <w:bottom w:val="nil"/>
              <w:right w:val="nil"/>
            </w:tcBorders>
            <w:shd w:val="clear" w:color="auto" w:fill="auto"/>
            <w:noWrap/>
            <w:vAlign w:val="center"/>
            <w:hideMark/>
          </w:tcPr>
          <w:p w14:paraId="75895EB8" w14:textId="77777777" w:rsidR="002F317C" w:rsidRPr="008F03E5" w:rsidRDefault="002F317C" w:rsidP="003D329D">
            <w:pPr>
              <w:rPr>
                <w:sz w:val="18"/>
                <w:szCs w:val="18"/>
              </w:rPr>
            </w:pPr>
            <w:r w:rsidRPr="008F03E5">
              <w:rPr>
                <w:sz w:val="18"/>
                <w:szCs w:val="18"/>
              </w:rPr>
              <w:t>The Pardoner, the Effacer of Sins</w:t>
            </w:r>
          </w:p>
        </w:tc>
      </w:tr>
      <w:tr w:rsidR="002F317C" w:rsidRPr="008F03E5" w14:paraId="247E86C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312BC36"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83</w:t>
            </w:r>
          </w:p>
        </w:tc>
        <w:tc>
          <w:tcPr>
            <w:tcW w:w="1417" w:type="dxa"/>
            <w:tcBorders>
              <w:top w:val="nil"/>
              <w:left w:val="nil"/>
              <w:bottom w:val="nil"/>
              <w:right w:val="nil"/>
            </w:tcBorders>
            <w:shd w:val="clear" w:color="auto" w:fill="auto"/>
            <w:noWrap/>
            <w:vAlign w:val="center"/>
            <w:hideMark/>
          </w:tcPr>
          <w:p w14:paraId="10CB5510" w14:textId="77777777" w:rsidR="002F317C" w:rsidRPr="008F03E5" w:rsidRDefault="002F317C" w:rsidP="00B243EB">
            <w:r w:rsidRPr="008F03E5">
              <w:rPr>
                <w:rtl/>
              </w:rPr>
              <w:t>ٱلْرَّؤُفُ</w:t>
            </w:r>
          </w:p>
        </w:tc>
        <w:tc>
          <w:tcPr>
            <w:tcW w:w="1928" w:type="dxa"/>
            <w:tcBorders>
              <w:top w:val="nil"/>
              <w:left w:val="nil"/>
              <w:bottom w:val="nil"/>
              <w:right w:val="nil"/>
            </w:tcBorders>
            <w:shd w:val="clear" w:color="auto" w:fill="auto"/>
            <w:noWrap/>
            <w:vAlign w:val="center"/>
            <w:hideMark/>
          </w:tcPr>
          <w:p w14:paraId="638AFA70" w14:textId="77777777" w:rsidR="002F317C" w:rsidRPr="008F03E5" w:rsidRDefault="002F317C" w:rsidP="003D329D">
            <w:pPr>
              <w:rPr>
                <w:sz w:val="18"/>
                <w:szCs w:val="18"/>
              </w:rPr>
            </w:pPr>
            <w:r w:rsidRPr="008F03E5">
              <w:rPr>
                <w:sz w:val="18"/>
                <w:szCs w:val="18"/>
              </w:rPr>
              <w:t>ar-Ra’úf</w:t>
            </w:r>
          </w:p>
        </w:tc>
        <w:tc>
          <w:tcPr>
            <w:tcW w:w="4309" w:type="dxa"/>
            <w:tcBorders>
              <w:top w:val="nil"/>
              <w:left w:val="nil"/>
              <w:bottom w:val="nil"/>
              <w:right w:val="nil"/>
            </w:tcBorders>
            <w:shd w:val="clear" w:color="auto" w:fill="auto"/>
            <w:noWrap/>
            <w:vAlign w:val="center"/>
            <w:hideMark/>
          </w:tcPr>
          <w:p w14:paraId="65B67A4B" w14:textId="77777777" w:rsidR="002F317C" w:rsidRPr="008F03E5" w:rsidRDefault="002F317C" w:rsidP="003D329D">
            <w:pPr>
              <w:rPr>
                <w:sz w:val="18"/>
                <w:szCs w:val="18"/>
              </w:rPr>
            </w:pPr>
            <w:r w:rsidRPr="008F03E5">
              <w:rPr>
                <w:sz w:val="18"/>
                <w:szCs w:val="18"/>
              </w:rPr>
              <w:t>The Compassionate, the All Pitying</w:t>
            </w:r>
          </w:p>
        </w:tc>
      </w:tr>
      <w:tr w:rsidR="002F317C" w:rsidRPr="008F03E5" w14:paraId="7CB2E552"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5048F74"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84</w:t>
            </w:r>
          </w:p>
        </w:tc>
        <w:tc>
          <w:tcPr>
            <w:tcW w:w="1417" w:type="dxa"/>
            <w:tcBorders>
              <w:top w:val="nil"/>
              <w:left w:val="nil"/>
              <w:bottom w:val="nil"/>
              <w:right w:val="nil"/>
            </w:tcBorders>
            <w:shd w:val="clear" w:color="auto" w:fill="auto"/>
            <w:noWrap/>
            <w:vAlign w:val="center"/>
            <w:hideMark/>
          </w:tcPr>
          <w:p w14:paraId="3B0019DA" w14:textId="77777777" w:rsidR="002F317C" w:rsidRPr="008F03E5" w:rsidRDefault="002F317C" w:rsidP="00B243EB">
            <w:r w:rsidRPr="008F03E5">
              <w:rPr>
                <w:rtl/>
              </w:rPr>
              <w:t>مَالِكُ</w:t>
            </w:r>
            <w:r w:rsidRPr="008F03E5">
              <w:t xml:space="preserve"> </w:t>
            </w:r>
            <w:r w:rsidRPr="008F03E5">
              <w:rPr>
                <w:rtl/>
              </w:rPr>
              <w:t>ٱلْمُلْكُ</w:t>
            </w:r>
          </w:p>
        </w:tc>
        <w:tc>
          <w:tcPr>
            <w:tcW w:w="1928" w:type="dxa"/>
            <w:tcBorders>
              <w:top w:val="nil"/>
              <w:left w:val="nil"/>
              <w:bottom w:val="nil"/>
              <w:right w:val="nil"/>
            </w:tcBorders>
            <w:shd w:val="clear" w:color="auto" w:fill="auto"/>
            <w:noWrap/>
            <w:vAlign w:val="center"/>
            <w:hideMark/>
          </w:tcPr>
          <w:p w14:paraId="0DEC8954" w14:textId="77777777" w:rsidR="002F317C" w:rsidRPr="008F03E5" w:rsidRDefault="002F317C" w:rsidP="003D329D">
            <w:pPr>
              <w:rPr>
                <w:sz w:val="18"/>
                <w:szCs w:val="18"/>
              </w:rPr>
            </w:pPr>
            <w:r w:rsidRPr="008F03E5">
              <w:rPr>
                <w:sz w:val="18"/>
                <w:szCs w:val="18"/>
              </w:rPr>
              <w:t>Máliku’l-Mulk</w:t>
            </w:r>
          </w:p>
        </w:tc>
        <w:tc>
          <w:tcPr>
            <w:tcW w:w="4309" w:type="dxa"/>
            <w:tcBorders>
              <w:top w:val="nil"/>
              <w:left w:val="nil"/>
              <w:bottom w:val="nil"/>
              <w:right w:val="nil"/>
            </w:tcBorders>
            <w:shd w:val="clear" w:color="auto" w:fill="auto"/>
            <w:noWrap/>
            <w:vAlign w:val="center"/>
            <w:hideMark/>
          </w:tcPr>
          <w:p w14:paraId="465D19C8" w14:textId="77777777" w:rsidR="002F317C" w:rsidRPr="008F03E5" w:rsidRDefault="002F317C" w:rsidP="003D329D">
            <w:pPr>
              <w:rPr>
                <w:sz w:val="18"/>
                <w:szCs w:val="18"/>
              </w:rPr>
            </w:pPr>
            <w:r w:rsidRPr="008F03E5">
              <w:rPr>
                <w:sz w:val="18"/>
                <w:szCs w:val="18"/>
              </w:rPr>
              <w:t>The Owner of All Sovereignty</w:t>
            </w:r>
          </w:p>
        </w:tc>
      </w:tr>
      <w:tr w:rsidR="002F317C" w:rsidRPr="008F03E5" w14:paraId="064CAF64"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614688E"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85</w:t>
            </w:r>
          </w:p>
        </w:tc>
        <w:tc>
          <w:tcPr>
            <w:tcW w:w="1417" w:type="dxa"/>
            <w:tcBorders>
              <w:top w:val="nil"/>
              <w:left w:val="nil"/>
              <w:bottom w:val="nil"/>
              <w:right w:val="nil"/>
            </w:tcBorders>
            <w:shd w:val="clear" w:color="auto" w:fill="auto"/>
            <w:noWrap/>
            <w:vAlign w:val="center"/>
            <w:hideMark/>
          </w:tcPr>
          <w:p w14:paraId="07FC13D7" w14:textId="77777777" w:rsidR="002F317C" w:rsidRPr="008F03E5" w:rsidRDefault="002F317C" w:rsidP="00B243EB">
            <w:r w:rsidRPr="008F03E5">
              <w:rPr>
                <w:rtl/>
              </w:rPr>
              <w:t>وَٱلْإِكْرَامُ</w:t>
            </w:r>
            <w:r w:rsidRPr="008F03E5">
              <w:t xml:space="preserve"> </w:t>
            </w:r>
            <w:r w:rsidRPr="008F03E5">
              <w:rPr>
                <w:rtl/>
              </w:rPr>
              <w:t>ٱلْجَلَالِ</w:t>
            </w:r>
            <w:r w:rsidRPr="008F03E5">
              <w:t xml:space="preserve"> </w:t>
            </w:r>
            <w:r w:rsidRPr="008F03E5">
              <w:rPr>
                <w:rtl/>
              </w:rPr>
              <w:t>ذُو</w:t>
            </w:r>
          </w:p>
        </w:tc>
        <w:tc>
          <w:tcPr>
            <w:tcW w:w="1928" w:type="dxa"/>
            <w:tcBorders>
              <w:top w:val="nil"/>
              <w:left w:val="nil"/>
              <w:bottom w:val="nil"/>
              <w:right w:val="nil"/>
            </w:tcBorders>
            <w:shd w:val="clear" w:color="auto" w:fill="auto"/>
            <w:noWrap/>
            <w:vAlign w:val="center"/>
            <w:hideMark/>
          </w:tcPr>
          <w:p w14:paraId="6C91C325" w14:textId="77777777" w:rsidR="002F317C" w:rsidRPr="008F03E5" w:rsidRDefault="002F317C" w:rsidP="00254769">
            <w:pPr>
              <w:rPr>
                <w:color w:val="000000"/>
                <w:sz w:val="18"/>
                <w:szCs w:val="18"/>
                <w:u w:val="single"/>
                <w14:numForm w14:val="default"/>
                <w14:numSpacing w14:val="default"/>
              </w:rPr>
            </w:pPr>
            <w:r w:rsidRPr="008F03E5">
              <w:rPr>
                <w:sz w:val="18"/>
                <w:szCs w:val="18"/>
                <w:u w:val="single"/>
              </w:rPr>
              <w:t>Dh</w:t>
            </w:r>
            <w:r w:rsidRPr="008F03E5">
              <w:rPr>
                <w:sz w:val="18"/>
                <w:szCs w:val="18"/>
              </w:rPr>
              <w:t>u’l-Jalál wa’l-Ikrám</w:t>
            </w:r>
          </w:p>
        </w:tc>
        <w:tc>
          <w:tcPr>
            <w:tcW w:w="4309" w:type="dxa"/>
            <w:tcBorders>
              <w:top w:val="nil"/>
              <w:left w:val="nil"/>
              <w:bottom w:val="nil"/>
              <w:right w:val="nil"/>
            </w:tcBorders>
            <w:shd w:val="clear" w:color="auto" w:fill="auto"/>
            <w:noWrap/>
            <w:vAlign w:val="center"/>
            <w:hideMark/>
          </w:tcPr>
          <w:p w14:paraId="2EF84A71" w14:textId="77777777" w:rsidR="002F317C" w:rsidRPr="008F03E5" w:rsidRDefault="002F317C" w:rsidP="003D329D">
            <w:pPr>
              <w:rPr>
                <w:sz w:val="18"/>
                <w:szCs w:val="18"/>
              </w:rPr>
            </w:pPr>
            <w:r w:rsidRPr="008F03E5">
              <w:rPr>
                <w:sz w:val="18"/>
                <w:szCs w:val="18"/>
              </w:rPr>
              <w:t>The Lord of Majesty &amp; Generosity</w:t>
            </w:r>
          </w:p>
        </w:tc>
      </w:tr>
      <w:tr w:rsidR="002F317C" w:rsidRPr="008F03E5" w14:paraId="02C5487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46F136BE"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86</w:t>
            </w:r>
          </w:p>
        </w:tc>
        <w:tc>
          <w:tcPr>
            <w:tcW w:w="1417" w:type="dxa"/>
            <w:tcBorders>
              <w:top w:val="nil"/>
              <w:left w:val="nil"/>
              <w:bottom w:val="nil"/>
              <w:right w:val="nil"/>
            </w:tcBorders>
            <w:shd w:val="clear" w:color="auto" w:fill="auto"/>
            <w:noWrap/>
            <w:vAlign w:val="center"/>
            <w:hideMark/>
          </w:tcPr>
          <w:p w14:paraId="2ECDDF55" w14:textId="77777777" w:rsidR="002F317C" w:rsidRPr="008F03E5" w:rsidRDefault="002F317C" w:rsidP="00B243EB">
            <w:r w:rsidRPr="008F03E5">
              <w:rPr>
                <w:rtl/>
              </w:rPr>
              <w:t>ٱلْمُقْسِطُ</w:t>
            </w:r>
          </w:p>
        </w:tc>
        <w:tc>
          <w:tcPr>
            <w:tcW w:w="1928" w:type="dxa"/>
            <w:tcBorders>
              <w:top w:val="nil"/>
              <w:left w:val="nil"/>
              <w:bottom w:val="nil"/>
              <w:right w:val="nil"/>
            </w:tcBorders>
            <w:shd w:val="clear" w:color="auto" w:fill="auto"/>
            <w:noWrap/>
            <w:vAlign w:val="center"/>
            <w:hideMark/>
          </w:tcPr>
          <w:p w14:paraId="2AFD7E39" w14:textId="77777777" w:rsidR="002F317C" w:rsidRPr="008F03E5" w:rsidRDefault="002F317C" w:rsidP="003D329D">
            <w:pPr>
              <w:rPr>
                <w:sz w:val="18"/>
                <w:szCs w:val="18"/>
              </w:rPr>
            </w:pPr>
            <w:r w:rsidRPr="008F03E5">
              <w:rPr>
                <w:sz w:val="18"/>
                <w:szCs w:val="18"/>
              </w:rPr>
              <w:t>al-Muqsiṭ</w:t>
            </w:r>
          </w:p>
        </w:tc>
        <w:tc>
          <w:tcPr>
            <w:tcW w:w="4309" w:type="dxa"/>
            <w:tcBorders>
              <w:top w:val="nil"/>
              <w:left w:val="nil"/>
              <w:bottom w:val="nil"/>
              <w:right w:val="nil"/>
            </w:tcBorders>
            <w:shd w:val="clear" w:color="auto" w:fill="auto"/>
            <w:noWrap/>
            <w:vAlign w:val="center"/>
            <w:hideMark/>
          </w:tcPr>
          <w:p w14:paraId="59E008FA" w14:textId="77777777" w:rsidR="002F317C" w:rsidRPr="008F03E5" w:rsidRDefault="002F317C" w:rsidP="003D329D">
            <w:pPr>
              <w:rPr>
                <w:sz w:val="18"/>
                <w:szCs w:val="18"/>
              </w:rPr>
            </w:pPr>
            <w:r w:rsidRPr="008F03E5">
              <w:rPr>
                <w:sz w:val="18"/>
                <w:szCs w:val="18"/>
              </w:rPr>
              <w:t>The Equitable, the Requiter</w:t>
            </w:r>
          </w:p>
        </w:tc>
      </w:tr>
      <w:tr w:rsidR="002F317C" w:rsidRPr="008F03E5" w14:paraId="1A25A728"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657A01C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87</w:t>
            </w:r>
          </w:p>
        </w:tc>
        <w:tc>
          <w:tcPr>
            <w:tcW w:w="1417" w:type="dxa"/>
            <w:tcBorders>
              <w:top w:val="nil"/>
              <w:left w:val="nil"/>
              <w:bottom w:val="nil"/>
              <w:right w:val="nil"/>
            </w:tcBorders>
            <w:shd w:val="clear" w:color="auto" w:fill="auto"/>
            <w:noWrap/>
            <w:vAlign w:val="center"/>
            <w:hideMark/>
          </w:tcPr>
          <w:p w14:paraId="14A31580" w14:textId="77777777" w:rsidR="002F317C" w:rsidRPr="008F03E5" w:rsidRDefault="002F317C" w:rsidP="00B243EB">
            <w:r w:rsidRPr="008F03E5">
              <w:rPr>
                <w:rtl/>
              </w:rPr>
              <w:t>ٱلْجَامِعُ</w:t>
            </w:r>
          </w:p>
        </w:tc>
        <w:tc>
          <w:tcPr>
            <w:tcW w:w="1928" w:type="dxa"/>
            <w:tcBorders>
              <w:top w:val="nil"/>
              <w:left w:val="nil"/>
              <w:bottom w:val="nil"/>
              <w:right w:val="nil"/>
            </w:tcBorders>
            <w:shd w:val="clear" w:color="auto" w:fill="auto"/>
            <w:noWrap/>
            <w:vAlign w:val="center"/>
            <w:hideMark/>
          </w:tcPr>
          <w:p w14:paraId="4F7C90B0" w14:textId="77777777" w:rsidR="002F317C" w:rsidRPr="008F03E5" w:rsidRDefault="002F317C" w:rsidP="003D329D">
            <w:pPr>
              <w:rPr>
                <w:sz w:val="18"/>
                <w:szCs w:val="18"/>
              </w:rPr>
            </w:pPr>
            <w:r w:rsidRPr="008F03E5">
              <w:rPr>
                <w:sz w:val="18"/>
                <w:szCs w:val="18"/>
              </w:rPr>
              <w:t>al-Jámi‘</w:t>
            </w:r>
          </w:p>
        </w:tc>
        <w:tc>
          <w:tcPr>
            <w:tcW w:w="4309" w:type="dxa"/>
            <w:tcBorders>
              <w:top w:val="nil"/>
              <w:left w:val="nil"/>
              <w:bottom w:val="nil"/>
              <w:right w:val="nil"/>
            </w:tcBorders>
            <w:shd w:val="clear" w:color="auto" w:fill="auto"/>
            <w:noWrap/>
            <w:vAlign w:val="center"/>
            <w:hideMark/>
          </w:tcPr>
          <w:p w14:paraId="78C78AD3" w14:textId="77777777" w:rsidR="002F317C" w:rsidRPr="008F03E5" w:rsidRDefault="002F317C" w:rsidP="003D329D">
            <w:pPr>
              <w:rPr>
                <w:sz w:val="18"/>
                <w:szCs w:val="18"/>
              </w:rPr>
            </w:pPr>
            <w:r w:rsidRPr="008F03E5">
              <w:rPr>
                <w:sz w:val="18"/>
                <w:szCs w:val="18"/>
              </w:rPr>
              <w:t>The Gatherer, the Unifier</w:t>
            </w:r>
          </w:p>
        </w:tc>
      </w:tr>
      <w:tr w:rsidR="002F317C" w:rsidRPr="008F03E5" w14:paraId="7AC6AED7"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18A6F9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88</w:t>
            </w:r>
          </w:p>
        </w:tc>
        <w:tc>
          <w:tcPr>
            <w:tcW w:w="1417" w:type="dxa"/>
            <w:tcBorders>
              <w:top w:val="nil"/>
              <w:left w:val="nil"/>
              <w:bottom w:val="nil"/>
              <w:right w:val="nil"/>
            </w:tcBorders>
            <w:shd w:val="clear" w:color="auto" w:fill="auto"/>
            <w:noWrap/>
            <w:vAlign w:val="center"/>
            <w:hideMark/>
          </w:tcPr>
          <w:p w14:paraId="26E7C754" w14:textId="77777777" w:rsidR="002F317C" w:rsidRPr="008F03E5" w:rsidRDefault="002F317C" w:rsidP="00B243EB">
            <w:r w:rsidRPr="008F03E5">
              <w:rPr>
                <w:rtl/>
              </w:rPr>
              <w:t>ٱلْغَنيُّ</w:t>
            </w:r>
          </w:p>
        </w:tc>
        <w:tc>
          <w:tcPr>
            <w:tcW w:w="1928" w:type="dxa"/>
            <w:tcBorders>
              <w:top w:val="nil"/>
              <w:left w:val="nil"/>
              <w:bottom w:val="nil"/>
              <w:right w:val="nil"/>
            </w:tcBorders>
            <w:shd w:val="clear" w:color="auto" w:fill="auto"/>
            <w:noWrap/>
            <w:vAlign w:val="center"/>
            <w:hideMark/>
          </w:tcPr>
          <w:p w14:paraId="24D6A255" w14:textId="77777777" w:rsidR="002F317C" w:rsidRPr="008F03E5" w:rsidRDefault="002F317C" w:rsidP="00254769">
            <w:pPr>
              <w:rPr>
                <w:color w:val="000000"/>
                <w:sz w:val="18"/>
                <w:szCs w:val="18"/>
                <w14:numForm w14:val="default"/>
                <w14:numSpacing w14:val="default"/>
              </w:rPr>
            </w:pPr>
            <w:r w:rsidRPr="008F03E5">
              <w:rPr>
                <w:sz w:val="18"/>
                <w:szCs w:val="18"/>
              </w:rPr>
              <w:t>al-</w:t>
            </w:r>
            <w:r w:rsidRPr="008F03E5">
              <w:rPr>
                <w:sz w:val="18"/>
                <w:szCs w:val="18"/>
                <w:u w:val="single"/>
              </w:rPr>
              <w:t>Gh</w:t>
            </w:r>
            <w:r w:rsidRPr="008F03E5">
              <w:rPr>
                <w:sz w:val="18"/>
                <w:szCs w:val="18"/>
              </w:rPr>
              <w:t>ání</w:t>
            </w:r>
          </w:p>
        </w:tc>
        <w:tc>
          <w:tcPr>
            <w:tcW w:w="4309" w:type="dxa"/>
            <w:tcBorders>
              <w:top w:val="nil"/>
              <w:left w:val="nil"/>
              <w:bottom w:val="nil"/>
              <w:right w:val="nil"/>
            </w:tcBorders>
            <w:shd w:val="clear" w:color="auto" w:fill="auto"/>
            <w:noWrap/>
            <w:vAlign w:val="center"/>
            <w:hideMark/>
          </w:tcPr>
          <w:p w14:paraId="591E4EED" w14:textId="77777777" w:rsidR="002F317C" w:rsidRPr="008F03E5" w:rsidRDefault="002F317C" w:rsidP="003D329D">
            <w:pPr>
              <w:rPr>
                <w:sz w:val="18"/>
                <w:szCs w:val="18"/>
              </w:rPr>
            </w:pPr>
            <w:r w:rsidRPr="008F03E5">
              <w:rPr>
                <w:sz w:val="18"/>
                <w:szCs w:val="18"/>
              </w:rPr>
              <w:t>The All Rich, the Independent</w:t>
            </w:r>
          </w:p>
        </w:tc>
      </w:tr>
      <w:tr w:rsidR="002F317C" w:rsidRPr="008F03E5" w14:paraId="7C03A4F5"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32E58A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89</w:t>
            </w:r>
          </w:p>
        </w:tc>
        <w:tc>
          <w:tcPr>
            <w:tcW w:w="1417" w:type="dxa"/>
            <w:tcBorders>
              <w:top w:val="nil"/>
              <w:left w:val="nil"/>
              <w:bottom w:val="nil"/>
              <w:right w:val="nil"/>
            </w:tcBorders>
            <w:shd w:val="clear" w:color="auto" w:fill="auto"/>
            <w:noWrap/>
            <w:vAlign w:val="center"/>
            <w:hideMark/>
          </w:tcPr>
          <w:p w14:paraId="140BE3E6" w14:textId="77777777" w:rsidR="002F317C" w:rsidRPr="008F03E5" w:rsidRDefault="002F317C" w:rsidP="00B243EB">
            <w:r w:rsidRPr="008F03E5">
              <w:rPr>
                <w:rtl/>
              </w:rPr>
              <w:t>ٱلْمُغْنِيُّ</w:t>
            </w:r>
          </w:p>
        </w:tc>
        <w:tc>
          <w:tcPr>
            <w:tcW w:w="1928" w:type="dxa"/>
            <w:tcBorders>
              <w:top w:val="nil"/>
              <w:left w:val="nil"/>
              <w:bottom w:val="nil"/>
              <w:right w:val="nil"/>
            </w:tcBorders>
            <w:shd w:val="clear" w:color="auto" w:fill="auto"/>
            <w:noWrap/>
            <w:vAlign w:val="center"/>
            <w:hideMark/>
          </w:tcPr>
          <w:p w14:paraId="2732B13E" w14:textId="77777777" w:rsidR="002F317C" w:rsidRPr="008F03E5" w:rsidRDefault="002F317C" w:rsidP="00254769">
            <w:pPr>
              <w:rPr>
                <w:color w:val="000000"/>
                <w:sz w:val="18"/>
                <w:szCs w:val="18"/>
                <w14:numForm w14:val="default"/>
                <w14:numSpacing w14:val="default"/>
              </w:rPr>
            </w:pPr>
            <w:r w:rsidRPr="008F03E5">
              <w:rPr>
                <w:sz w:val="18"/>
                <w:szCs w:val="18"/>
              </w:rPr>
              <w:t>al-Mu</w:t>
            </w:r>
            <w:r w:rsidRPr="008F03E5">
              <w:rPr>
                <w:sz w:val="18"/>
                <w:szCs w:val="18"/>
                <w:u w:val="single"/>
              </w:rPr>
              <w:t>gh</w:t>
            </w:r>
            <w:r w:rsidRPr="008F03E5">
              <w:rPr>
                <w:sz w:val="18"/>
                <w:szCs w:val="18"/>
              </w:rPr>
              <w:t>ní</w:t>
            </w:r>
          </w:p>
        </w:tc>
        <w:tc>
          <w:tcPr>
            <w:tcW w:w="4309" w:type="dxa"/>
            <w:tcBorders>
              <w:top w:val="nil"/>
              <w:left w:val="nil"/>
              <w:bottom w:val="nil"/>
              <w:right w:val="nil"/>
            </w:tcBorders>
            <w:shd w:val="clear" w:color="auto" w:fill="auto"/>
            <w:noWrap/>
            <w:vAlign w:val="center"/>
            <w:hideMark/>
          </w:tcPr>
          <w:p w14:paraId="5EC66453" w14:textId="77777777" w:rsidR="002F317C" w:rsidRPr="008F03E5" w:rsidRDefault="002F317C" w:rsidP="003D329D">
            <w:pPr>
              <w:rPr>
                <w:sz w:val="18"/>
                <w:szCs w:val="18"/>
              </w:rPr>
            </w:pPr>
            <w:r w:rsidRPr="008F03E5">
              <w:rPr>
                <w:sz w:val="18"/>
                <w:szCs w:val="18"/>
              </w:rPr>
              <w:t>The Enricher, the Emancipator</w:t>
            </w:r>
          </w:p>
        </w:tc>
      </w:tr>
      <w:tr w:rsidR="002F317C" w:rsidRPr="008F03E5" w14:paraId="05D25FA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2DC3EEB"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90</w:t>
            </w:r>
          </w:p>
        </w:tc>
        <w:tc>
          <w:tcPr>
            <w:tcW w:w="1417" w:type="dxa"/>
            <w:tcBorders>
              <w:top w:val="nil"/>
              <w:left w:val="nil"/>
              <w:bottom w:val="nil"/>
              <w:right w:val="nil"/>
            </w:tcBorders>
            <w:shd w:val="clear" w:color="auto" w:fill="auto"/>
            <w:noWrap/>
            <w:vAlign w:val="center"/>
            <w:hideMark/>
          </w:tcPr>
          <w:p w14:paraId="46669736" w14:textId="77777777" w:rsidR="002F317C" w:rsidRPr="008F03E5" w:rsidRDefault="002F317C" w:rsidP="00B243EB">
            <w:r w:rsidRPr="008F03E5">
              <w:rPr>
                <w:rtl/>
              </w:rPr>
              <w:t>ٱلْمَانِعُ</w:t>
            </w:r>
          </w:p>
        </w:tc>
        <w:tc>
          <w:tcPr>
            <w:tcW w:w="1928" w:type="dxa"/>
            <w:tcBorders>
              <w:top w:val="nil"/>
              <w:left w:val="nil"/>
              <w:bottom w:val="nil"/>
              <w:right w:val="nil"/>
            </w:tcBorders>
            <w:shd w:val="clear" w:color="auto" w:fill="auto"/>
            <w:noWrap/>
            <w:vAlign w:val="center"/>
            <w:hideMark/>
          </w:tcPr>
          <w:p w14:paraId="68C3C449" w14:textId="77777777" w:rsidR="002F317C" w:rsidRPr="008F03E5" w:rsidRDefault="002F317C" w:rsidP="003D329D">
            <w:pPr>
              <w:rPr>
                <w:sz w:val="18"/>
                <w:szCs w:val="18"/>
              </w:rPr>
            </w:pPr>
            <w:r w:rsidRPr="008F03E5">
              <w:rPr>
                <w:sz w:val="18"/>
                <w:szCs w:val="18"/>
              </w:rPr>
              <w:t>al-Máni‘</w:t>
            </w:r>
          </w:p>
        </w:tc>
        <w:tc>
          <w:tcPr>
            <w:tcW w:w="4309" w:type="dxa"/>
            <w:tcBorders>
              <w:top w:val="nil"/>
              <w:left w:val="nil"/>
              <w:bottom w:val="nil"/>
              <w:right w:val="nil"/>
            </w:tcBorders>
            <w:shd w:val="clear" w:color="auto" w:fill="auto"/>
            <w:noWrap/>
            <w:vAlign w:val="center"/>
            <w:hideMark/>
          </w:tcPr>
          <w:p w14:paraId="394E2446" w14:textId="77777777" w:rsidR="002F317C" w:rsidRPr="008F03E5" w:rsidRDefault="002F317C" w:rsidP="003D329D">
            <w:pPr>
              <w:rPr>
                <w:sz w:val="18"/>
                <w:szCs w:val="18"/>
              </w:rPr>
            </w:pPr>
            <w:r w:rsidRPr="008F03E5">
              <w:rPr>
                <w:sz w:val="18"/>
                <w:szCs w:val="18"/>
              </w:rPr>
              <w:t>The Withholder, the Shielder, the Defender</w:t>
            </w:r>
          </w:p>
        </w:tc>
      </w:tr>
      <w:tr w:rsidR="002F317C" w:rsidRPr="008F03E5" w14:paraId="3C784151"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2AC7BC8"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91</w:t>
            </w:r>
          </w:p>
        </w:tc>
        <w:tc>
          <w:tcPr>
            <w:tcW w:w="1417" w:type="dxa"/>
            <w:tcBorders>
              <w:top w:val="nil"/>
              <w:left w:val="nil"/>
              <w:bottom w:val="nil"/>
              <w:right w:val="nil"/>
            </w:tcBorders>
            <w:shd w:val="clear" w:color="auto" w:fill="auto"/>
            <w:noWrap/>
            <w:vAlign w:val="center"/>
            <w:hideMark/>
          </w:tcPr>
          <w:p w14:paraId="5E1599FF" w14:textId="77777777" w:rsidR="002F317C" w:rsidRPr="008F03E5" w:rsidRDefault="002F317C" w:rsidP="00B243EB">
            <w:r w:rsidRPr="008F03E5">
              <w:rPr>
                <w:rtl/>
              </w:rPr>
              <w:t>ٱلْضَّارُ</w:t>
            </w:r>
          </w:p>
        </w:tc>
        <w:tc>
          <w:tcPr>
            <w:tcW w:w="1928" w:type="dxa"/>
            <w:tcBorders>
              <w:top w:val="nil"/>
              <w:left w:val="nil"/>
              <w:bottom w:val="nil"/>
              <w:right w:val="nil"/>
            </w:tcBorders>
            <w:shd w:val="clear" w:color="auto" w:fill="auto"/>
            <w:noWrap/>
            <w:vAlign w:val="center"/>
            <w:hideMark/>
          </w:tcPr>
          <w:p w14:paraId="7DC1ACAA" w14:textId="77777777" w:rsidR="002F317C" w:rsidRPr="008F03E5" w:rsidRDefault="002F317C" w:rsidP="003D329D">
            <w:pPr>
              <w:rPr>
                <w:sz w:val="18"/>
                <w:szCs w:val="18"/>
              </w:rPr>
            </w:pPr>
            <w:r w:rsidRPr="008F03E5">
              <w:rPr>
                <w:sz w:val="18"/>
                <w:szCs w:val="18"/>
              </w:rPr>
              <w:t>aḍ-Ḍárr</w:t>
            </w:r>
          </w:p>
        </w:tc>
        <w:tc>
          <w:tcPr>
            <w:tcW w:w="4309" w:type="dxa"/>
            <w:tcBorders>
              <w:top w:val="nil"/>
              <w:left w:val="nil"/>
              <w:bottom w:val="nil"/>
              <w:right w:val="nil"/>
            </w:tcBorders>
            <w:shd w:val="clear" w:color="auto" w:fill="auto"/>
            <w:noWrap/>
            <w:vAlign w:val="center"/>
            <w:hideMark/>
          </w:tcPr>
          <w:p w14:paraId="0A09FE95" w14:textId="77777777" w:rsidR="002F317C" w:rsidRPr="008F03E5" w:rsidRDefault="002F317C" w:rsidP="003D329D">
            <w:pPr>
              <w:rPr>
                <w:sz w:val="18"/>
                <w:szCs w:val="18"/>
              </w:rPr>
            </w:pPr>
            <w:r w:rsidRPr="008F03E5">
              <w:rPr>
                <w:sz w:val="18"/>
                <w:szCs w:val="18"/>
              </w:rPr>
              <w:t>The Distressor, the Harmer</w:t>
            </w:r>
          </w:p>
        </w:tc>
      </w:tr>
      <w:tr w:rsidR="002F317C" w:rsidRPr="008F03E5" w14:paraId="58D72EB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6C6E9A30"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92</w:t>
            </w:r>
          </w:p>
        </w:tc>
        <w:tc>
          <w:tcPr>
            <w:tcW w:w="1417" w:type="dxa"/>
            <w:tcBorders>
              <w:top w:val="nil"/>
              <w:left w:val="nil"/>
              <w:bottom w:val="nil"/>
              <w:right w:val="nil"/>
            </w:tcBorders>
            <w:shd w:val="clear" w:color="auto" w:fill="auto"/>
            <w:noWrap/>
            <w:vAlign w:val="center"/>
            <w:hideMark/>
          </w:tcPr>
          <w:p w14:paraId="6A1E1481" w14:textId="77777777" w:rsidR="002F317C" w:rsidRPr="008F03E5" w:rsidRDefault="002F317C" w:rsidP="00B243EB">
            <w:r w:rsidRPr="008F03E5">
              <w:rPr>
                <w:rtl/>
              </w:rPr>
              <w:t>ٱلْنَّافِعُ</w:t>
            </w:r>
          </w:p>
        </w:tc>
        <w:tc>
          <w:tcPr>
            <w:tcW w:w="1928" w:type="dxa"/>
            <w:tcBorders>
              <w:top w:val="nil"/>
              <w:left w:val="nil"/>
              <w:bottom w:val="nil"/>
              <w:right w:val="nil"/>
            </w:tcBorders>
            <w:shd w:val="clear" w:color="auto" w:fill="auto"/>
            <w:noWrap/>
            <w:vAlign w:val="center"/>
            <w:hideMark/>
          </w:tcPr>
          <w:p w14:paraId="1F057673" w14:textId="77777777" w:rsidR="002F317C" w:rsidRPr="008F03E5" w:rsidRDefault="002F317C" w:rsidP="003D329D">
            <w:pPr>
              <w:rPr>
                <w:sz w:val="18"/>
                <w:szCs w:val="18"/>
              </w:rPr>
            </w:pPr>
            <w:r w:rsidRPr="008F03E5">
              <w:rPr>
                <w:sz w:val="18"/>
                <w:szCs w:val="18"/>
              </w:rPr>
              <w:t>an-Náfi‘</w:t>
            </w:r>
          </w:p>
        </w:tc>
        <w:tc>
          <w:tcPr>
            <w:tcW w:w="4309" w:type="dxa"/>
            <w:tcBorders>
              <w:top w:val="nil"/>
              <w:left w:val="nil"/>
              <w:bottom w:val="nil"/>
              <w:right w:val="nil"/>
            </w:tcBorders>
            <w:shd w:val="clear" w:color="auto" w:fill="auto"/>
            <w:noWrap/>
            <w:vAlign w:val="center"/>
            <w:hideMark/>
          </w:tcPr>
          <w:p w14:paraId="2F9DEE99" w14:textId="77777777" w:rsidR="002F317C" w:rsidRPr="008F03E5" w:rsidRDefault="002F317C" w:rsidP="003D329D">
            <w:pPr>
              <w:rPr>
                <w:sz w:val="18"/>
                <w:szCs w:val="18"/>
              </w:rPr>
            </w:pPr>
            <w:r w:rsidRPr="008F03E5">
              <w:rPr>
                <w:sz w:val="18"/>
                <w:szCs w:val="18"/>
              </w:rPr>
              <w:t>The Propitious, the Benefactor</w:t>
            </w:r>
          </w:p>
        </w:tc>
      </w:tr>
      <w:tr w:rsidR="002F317C" w:rsidRPr="008F03E5" w14:paraId="6AD7F3CA"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5228C341"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93</w:t>
            </w:r>
          </w:p>
        </w:tc>
        <w:tc>
          <w:tcPr>
            <w:tcW w:w="1417" w:type="dxa"/>
            <w:tcBorders>
              <w:top w:val="nil"/>
              <w:left w:val="nil"/>
              <w:bottom w:val="nil"/>
              <w:right w:val="nil"/>
            </w:tcBorders>
            <w:shd w:val="clear" w:color="auto" w:fill="auto"/>
            <w:noWrap/>
            <w:vAlign w:val="center"/>
            <w:hideMark/>
          </w:tcPr>
          <w:p w14:paraId="00D7701B" w14:textId="77777777" w:rsidR="002F317C" w:rsidRPr="008F03E5" w:rsidRDefault="002F317C" w:rsidP="00B243EB">
            <w:r w:rsidRPr="008F03E5">
              <w:rPr>
                <w:rtl/>
              </w:rPr>
              <w:t>ٱلْنُّورُ</w:t>
            </w:r>
          </w:p>
        </w:tc>
        <w:tc>
          <w:tcPr>
            <w:tcW w:w="1928" w:type="dxa"/>
            <w:tcBorders>
              <w:top w:val="nil"/>
              <w:left w:val="nil"/>
              <w:bottom w:val="nil"/>
              <w:right w:val="nil"/>
            </w:tcBorders>
            <w:shd w:val="clear" w:color="auto" w:fill="auto"/>
            <w:noWrap/>
            <w:vAlign w:val="center"/>
            <w:hideMark/>
          </w:tcPr>
          <w:p w14:paraId="63F466F7" w14:textId="77777777" w:rsidR="002F317C" w:rsidRPr="008F03E5" w:rsidRDefault="002F317C" w:rsidP="003D329D">
            <w:pPr>
              <w:rPr>
                <w:sz w:val="18"/>
                <w:szCs w:val="18"/>
              </w:rPr>
            </w:pPr>
            <w:r w:rsidRPr="008F03E5">
              <w:rPr>
                <w:sz w:val="18"/>
                <w:szCs w:val="18"/>
              </w:rPr>
              <w:t>an-Núr</w:t>
            </w:r>
          </w:p>
        </w:tc>
        <w:tc>
          <w:tcPr>
            <w:tcW w:w="4309" w:type="dxa"/>
            <w:tcBorders>
              <w:top w:val="nil"/>
              <w:left w:val="nil"/>
              <w:bottom w:val="nil"/>
              <w:right w:val="nil"/>
            </w:tcBorders>
            <w:shd w:val="clear" w:color="auto" w:fill="auto"/>
            <w:noWrap/>
            <w:vAlign w:val="center"/>
            <w:hideMark/>
          </w:tcPr>
          <w:p w14:paraId="321F038D" w14:textId="77777777" w:rsidR="002F317C" w:rsidRPr="008F03E5" w:rsidRDefault="002F317C" w:rsidP="003D329D">
            <w:pPr>
              <w:rPr>
                <w:sz w:val="18"/>
                <w:szCs w:val="18"/>
              </w:rPr>
            </w:pPr>
            <w:r w:rsidRPr="008F03E5">
              <w:rPr>
                <w:sz w:val="18"/>
                <w:szCs w:val="18"/>
              </w:rPr>
              <w:t>The Light</w:t>
            </w:r>
          </w:p>
        </w:tc>
      </w:tr>
      <w:tr w:rsidR="002F317C" w:rsidRPr="008F03E5" w14:paraId="7F05ED69"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9B075BB"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94</w:t>
            </w:r>
          </w:p>
        </w:tc>
        <w:tc>
          <w:tcPr>
            <w:tcW w:w="1417" w:type="dxa"/>
            <w:tcBorders>
              <w:top w:val="nil"/>
              <w:left w:val="nil"/>
              <w:bottom w:val="nil"/>
              <w:right w:val="nil"/>
            </w:tcBorders>
            <w:shd w:val="clear" w:color="auto" w:fill="auto"/>
            <w:noWrap/>
            <w:vAlign w:val="center"/>
            <w:hideMark/>
          </w:tcPr>
          <w:p w14:paraId="01A16FC3" w14:textId="77777777" w:rsidR="002F317C" w:rsidRPr="008F03E5" w:rsidRDefault="002F317C" w:rsidP="00B243EB">
            <w:r w:rsidRPr="008F03E5">
              <w:rPr>
                <w:rtl/>
              </w:rPr>
              <w:t>ٱلْهَادِي</w:t>
            </w:r>
          </w:p>
        </w:tc>
        <w:tc>
          <w:tcPr>
            <w:tcW w:w="1928" w:type="dxa"/>
            <w:tcBorders>
              <w:top w:val="nil"/>
              <w:left w:val="nil"/>
              <w:bottom w:val="nil"/>
              <w:right w:val="nil"/>
            </w:tcBorders>
            <w:shd w:val="clear" w:color="auto" w:fill="auto"/>
            <w:noWrap/>
            <w:vAlign w:val="center"/>
            <w:hideMark/>
          </w:tcPr>
          <w:p w14:paraId="294943D0" w14:textId="77777777" w:rsidR="002F317C" w:rsidRPr="008F03E5" w:rsidRDefault="002F317C" w:rsidP="003D329D">
            <w:pPr>
              <w:rPr>
                <w:sz w:val="18"/>
                <w:szCs w:val="18"/>
              </w:rPr>
            </w:pPr>
            <w:r w:rsidRPr="008F03E5">
              <w:rPr>
                <w:sz w:val="18"/>
                <w:szCs w:val="18"/>
              </w:rPr>
              <w:t>al-Hádí</w:t>
            </w:r>
          </w:p>
        </w:tc>
        <w:tc>
          <w:tcPr>
            <w:tcW w:w="4309" w:type="dxa"/>
            <w:tcBorders>
              <w:top w:val="nil"/>
              <w:left w:val="nil"/>
              <w:bottom w:val="nil"/>
              <w:right w:val="nil"/>
            </w:tcBorders>
            <w:shd w:val="clear" w:color="auto" w:fill="auto"/>
            <w:noWrap/>
            <w:vAlign w:val="center"/>
            <w:hideMark/>
          </w:tcPr>
          <w:p w14:paraId="7ABB5056" w14:textId="77777777" w:rsidR="002F317C" w:rsidRPr="008F03E5" w:rsidRDefault="002F317C" w:rsidP="003D329D">
            <w:pPr>
              <w:rPr>
                <w:sz w:val="18"/>
                <w:szCs w:val="18"/>
              </w:rPr>
            </w:pPr>
            <w:r w:rsidRPr="008F03E5">
              <w:rPr>
                <w:sz w:val="18"/>
                <w:szCs w:val="18"/>
              </w:rPr>
              <w:t>The Guide</w:t>
            </w:r>
          </w:p>
        </w:tc>
      </w:tr>
      <w:tr w:rsidR="002F317C" w:rsidRPr="008F03E5" w14:paraId="073796D6"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171C89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95</w:t>
            </w:r>
          </w:p>
        </w:tc>
        <w:tc>
          <w:tcPr>
            <w:tcW w:w="1417" w:type="dxa"/>
            <w:tcBorders>
              <w:top w:val="nil"/>
              <w:left w:val="nil"/>
              <w:bottom w:val="nil"/>
              <w:right w:val="nil"/>
            </w:tcBorders>
            <w:shd w:val="clear" w:color="auto" w:fill="auto"/>
            <w:noWrap/>
            <w:vAlign w:val="center"/>
            <w:hideMark/>
          </w:tcPr>
          <w:p w14:paraId="2529DF11" w14:textId="77777777" w:rsidR="002F317C" w:rsidRPr="008F03E5" w:rsidRDefault="002F317C" w:rsidP="00B243EB">
            <w:r w:rsidRPr="008F03E5">
              <w:rPr>
                <w:rtl/>
              </w:rPr>
              <w:t>ٱلْبَدِيعُ</w:t>
            </w:r>
          </w:p>
        </w:tc>
        <w:tc>
          <w:tcPr>
            <w:tcW w:w="1928" w:type="dxa"/>
            <w:tcBorders>
              <w:top w:val="nil"/>
              <w:left w:val="nil"/>
              <w:bottom w:val="nil"/>
              <w:right w:val="nil"/>
            </w:tcBorders>
            <w:shd w:val="clear" w:color="auto" w:fill="auto"/>
            <w:noWrap/>
            <w:vAlign w:val="center"/>
            <w:hideMark/>
          </w:tcPr>
          <w:p w14:paraId="525F5336" w14:textId="77777777" w:rsidR="002F317C" w:rsidRPr="008F03E5" w:rsidRDefault="002F317C" w:rsidP="003D329D">
            <w:pPr>
              <w:rPr>
                <w:sz w:val="18"/>
                <w:szCs w:val="18"/>
              </w:rPr>
            </w:pPr>
            <w:r w:rsidRPr="008F03E5">
              <w:rPr>
                <w:sz w:val="18"/>
                <w:szCs w:val="18"/>
              </w:rPr>
              <w:t>al-Badí‘</w:t>
            </w:r>
          </w:p>
        </w:tc>
        <w:tc>
          <w:tcPr>
            <w:tcW w:w="4309" w:type="dxa"/>
            <w:tcBorders>
              <w:top w:val="nil"/>
              <w:left w:val="nil"/>
              <w:bottom w:val="nil"/>
              <w:right w:val="nil"/>
            </w:tcBorders>
            <w:shd w:val="clear" w:color="auto" w:fill="auto"/>
            <w:noWrap/>
            <w:vAlign w:val="center"/>
            <w:hideMark/>
          </w:tcPr>
          <w:p w14:paraId="2E0815C3" w14:textId="77777777" w:rsidR="002F317C" w:rsidRPr="008F03E5" w:rsidRDefault="002F317C" w:rsidP="003D329D">
            <w:pPr>
              <w:rPr>
                <w:sz w:val="18"/>
                <w:szCs w:val="18"/>
              </w:rPr>
            </w:pPr>
            <w:r w:rsidRPr="008F03E5">
              <w:rPr>
                <w:sz w:val="18"/>
                <w:szCs w:val="18"/>
              </w:rPr>
              <w:t>The Incomparable, the Originator</w:t>
            </w:r>
          </w:p>
        </w:tc>
      </w:tr>
      <w:tr w:rsidR="002F317C" w:rsidRPr="008F03E5" w14:paraId="605A761C"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7AA23DAC"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96</w:t>
            </w:r>
          </w:p>
        </w:tc>
        <w:tc>
          <w:tcPr>
            <w:tcW w:w="1417" w:type="dxa"/>
            <w:tcBorders>
              <w:top w:val="nil"/>
              <w:left w:val="nil"/>
              <w:bottom w:val="nil"/>
              <w:right w:val="nil"/>
            </w:tcBorders>
            <w:shd w:val="clear" w:color="auto" w:fill="auto"/>
            <w:noWrap/>
            <w:vAlign w:val="center"/>
            <w:hideMark/>
          </w:tcPr>
          <w:p w14:paraId="3D24D696" w14:textId="77777777" w:rsidR="002F317C" w:rsidRPr="008F03E5" w:rsidRDefault="002F317C" w:rsidP="00B243EB">
            <w:r w:rsidRPr="008F03E5">
              <w:rPr>
                <w:rtl/>
              </w:rPr>
              <w:t>ٱلْبَاقِي</w:t>
            </w:r>
          </w:p>
        </w:tc>
        <w:tc>
          <w:tcPr>
            <w:tcW w:w="1928" w:type="dxa"/>
            <w:tcBorders>
              <w:top w:val="nil"/>
              <w:left w:val="nil"/>
              <w:bottom w:val="nil"/>
              <w:right w:val="nil"/>
            </w:tcBorders>
            <w:shd w:val="clear" w:color="auto" w:fill="auto"/>
            <w:noWrap/>
            <w:vAlign w:val="center"/>
            <w:hideMark/>
          </w:tcPr>
          <w:p w14:paraId="49490FEF" w14:textId="77777777" w:rsidR="002F317C" w:rsidRPr="008F03E5" w:rsidRDefault="002F317C" w:rsidP="003D329D">
            <w:pPr>
              <w:rPr>
                <w:sz w:val="18"/>
                <w:szCs w:val="18"/>
              </w:rPr>
            </w:pPr>
            <w:r w:rsidRPr="008F03E5">
              <w:rPr>
                <w:sz w:val="18"/>
                <w:szCs w:val="18"/>
              </w:rPr>
              <w:t>al-Báqí</w:t>
            </w:r>
          </w:p>
        </w:tc>
        <w:tc>
          <w:tcPr>
            <w:tcW w:w="4309" w:type="dxa"/>
            <w:tcBorders>
              <w:top w:val="nil"/>
              <w:left w:val="nil"/>
              <w:bottom w:val="nil"/>
              <w:right w:val="nil"/>
            </w:tcBorders>
            <w:shd w:val="clear" w:color="auto" w:fill="auto"/>
            <w:noWrap/>
            <w:vAlign w:val="center"/>
            <w:hideMark/>
          </w:tcPr>
          <w:p w14:paraId="12F51CB1" w14:textId="77777777" w:rsidR="002F317C" w:rsidRPr="008F03E5" w:rsidRDefault="002F317C" w:rsidP="003D329D">
            <w:pPr>
              <w:rPr>
                <w:sz w:val="18"/>
                <w:szCs w:val="18"/>
              </w:rPr>
            </w:pPr>
            <w:r w:rsidRPr="008F03E5">
              <w:rPr>
                <w:sz w:val="18"/>
                <w:szCs w:val="18"/>
              </w:rPr>
              <w:t>The Ever Enduring and Immutable</w:t>
            </w:r>
          </w:p>
        </w:tc>
      </w:tr>
      <w:tr w:rsidR="002F317C" w:rsidRPr="008F03E5" w14:paraId="4F270B94"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0971F8C7"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97</w:t>
            </w:r>
          </w:p>
        </w:tc>
        <w:tc>
          <w:tcPr>
            <w:tcW w:w="1417" w:type="dxa"/>
            <w:tcBorders>
              <w:top w:val="nil"/>
              <w:left w:val="nil"/>
              <w:bottom w:val="nil"/>
              <w:right w:val="nil"/>
            </w:tcBorders>
            <w:shd w:val="clear" w:color="auto" w:fill="auto"/>
            <w:noWrap/>
            <w:vAlign w:val="center"/>
            <w:hideMark/>
          </w:tcPr>
          <w:p w14:paraId="74618D48" w14:textId="77777777" w:rsidR="002F317C" w:rsidRPr="008F03E5" w:rsidRDefault="002F317C" w:rsidP="00B243EB">
            <w:r w:rsidRPr="008F03E5">
              <w:rPr>
                <w:rtl/>
              </w:rPr>
              <w:t>ٱلْوَارِثُ</w:t>
            </w:r>
          </w:p>
        </w:tc>
        <w:tc>
          <w:tcPr>
            <w:tcW w:w="1928" w:type="dxa"/>
            <w:tcBorders>
              <w:top w:val="nil"/>
              <w:left w:val="nil"/>
              <w:bottom w:val="nil"/>
              <w:right w:val="nil"/>
            </w:tcBorders>
            <w:shd w:val="clear" w:color="auto" w:fill="auto"/>
            <w:noWrap/>
            <w:vAlign w:val="center"/>
            <w:hideMark/>
          </w:tcPr>
          <w:p w14:paraId="5D75FCB0" w14:textId="77777777" w:rsidR="002F317C" w:rsidRPr="008F03E5" w:rsidRDefault="002F317C" w:rsidP="00254769">
            <w:pPr>
              <w:rPr>
                <w:color w:val="000000"/>
                <w:sz w:val="18"/>
                <w:szCs w:val="18"/>
                <w14:numForm w14:val="default"/>
                <w14:numSpacing w14:val="default"/>
              </w:rPr>
            </w:pPr>
            <w:r w:rsidRPr="008F03E5">
              <w:rPr>
                <w:sz w:val="18"/>
                <w:szCs w:val="18"/>
              </w:rPr>
              <w:t>al-Wári</w:t>
            </w:r>
            <w:r w:rsidRPr="008F03E5">
              <w:rPr>
                <w:sz w:val="18"/>
                <w:szCs w:val="18"/>
                <w:u w:val="single"/>
              </w:rPr>
              <w:t>th</w:t>
            </w:r>
          </w:p>
        </w:tc>
        <w:tc>
          <w:tcPr>
            <w:tcW w:w="4309" w:type="dxa"/>
            <w:tcBorders>
              <w:top w:val="nil"/>
              <w:left w:val="nil"/>
              <w:bottom w:val="nil"/>
              <w:right w:val="nil"/>
            </w:tcBorders>
            <w:shd w:val="clear" w:color="auto" w:fill="auto"/>
            <w:noWrap/>
            <w:vAlign w:val="center"/>
            <w:hideMark/>
          </w:tcPr>
          <w:p w14:paraId="126BDDC2" w14:textId="77777777" w:rsidR="002F317C" w:rsidRPr="008F03E5" w:rsidRDefault="002F317C" w:rsidP="003D329D">
            <w:pPr>
              <w:rPr>
                <w:sz w:val="18"/>
                <w:szCs w:val="18"/>
              </w:rPr>
            </w:pPr>
            <w:r w:rsidRPr="008F03E5">
              <w:rPr>
                <w:sz w:val="18"/>
                <w:szCs w:val="18"/>
              </w:rPr>
              <w:t>The Heir, the Inheritor of All</w:t>
            </w:r>
          </w:p>
        </w:tc>
      </w:tr>
      <w:tr w:rsidR="002F317C" w:rsidRPr="008F03E5" w14:paraId="375E3A1B"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27F41E22"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98</w:t>
            </w:r>
          </w:p>
        </w:tc>
        <w:tc>
          <w:tcPr>
            <w:tcW w:w="1417" w:type="dxa"/>
            <w:tcBorders>
              <w:top w:val="nil"/>
              <w:left w:val="nil"/>
              <w:bottom w:val="nil"/>
              <w:right w:val="nil"/>
            </w:tcBorders>
            <w:shd w:val="clear" w:color="auto" w:fill="auto"/>
            <w:noWrap/>
            <w:vAlign w:val="center"/>
            <w:hideMark/>
          </w:tcPr>
          <w:p w14:paraId="5B34D15F" w14:textId="77777777" w:rsidR="002F317C" w:rsidRPr="008F03E5" w:rsidRDefault="002F317C" w:rsidP="00B243EB">
            <w:r w:rsidRPr="008F03E5">
              <w:rPr>
                <w:rtl/>
              </w:rPr>
              <w:t>ٱلْرَّشِيدُ</w:t>
            </w:r>
          </w:p>
        </w:tc>
        <w:tc>
          <w:tcPr>
            <w:tcW w:w="1928" w:type="dxa"/>
            <w:tcBorders>
              <w:top w:val="nil"/>
              <w:left w:val="nil"/>
              <w:bottom w:val="nil"/>
              <w:right w:val="nil"/>
            </w:tcBorders>
            <w:shd w:val="clear" w:color="auto" w:fill="auto"/>
            <w:noWrap/>
            <w:vAlign w:val="center"/>
            <w:hideMark/>
          </w:tcPr>
          <w:p w14:paraId="14510D3F" w14:textId="77777777" w:rsidR="002F317C" w:rsidRPr="008F03E5" w:rsidRDefault="002F317C" w:rsidP="00254769">
            <w:pPr>
              <w:rPr>
                <w:color w:val="000000"/>
                <w:sz w:val="18"/>
                <w:szCs w:val="18"/>
                <w14:numForm w14:val="default"/>
                <w14:numSpacing w14:val="default"/>
              </w:rPr>
            </w:pPr>
            <w:r w:rsidRPr="008F03E5">
              <w:rPr>
                <w:sz w:val="18"/>
                <w:szCs w:val="18"/>
              </w:rPr>
              <w:t>ar-Ra</w:t>
            </w:r>
            <w:r w:rsidRPr="008F03E5">
              <w:rPr>
                <w:sz w:val="18"/>
                <w:szCs w:val="18"/>
                <w:u w:val="single"/>
              </w:rPr>
              <w:t>sh</w:t>
            </w:r>
            <w:r w:rsidRPr="008F03E5">
              <w:rPr>
                <w:sz w:val="18"/>
                <w:szCs w:val="18"/>
              </w:rPr>
              <w:t>íd</w:t>
            </w:r>
          </w:p>
        </w:tc>
        <w:tc>
          <w:tcPr>
            <w:tcW w:w="4309" w:type="dxa"/>
            <w:tcBorders>
              <w:top w:val="nil"/>
              <w:left w:val="nil"/>
              <w:bottom w:val="nil"/>
              <w:right w:val="nil"/>
            </w:tcBorders>
            <w:shd w:val="clear" w:color="auto" w:fill="auto"/>
            <w:noWrap/>
            <w:vAlign w:val="center"/>
            <w:hideMark/>
          </w:tcPr>
          <w:p w14:paraId="0475D44D" w14:textId="77777777" w:rsidR="002F317C" w:rsidRPr="008F03E5" w:rsidRDefault="002F317C" w:rsidP="003D329D">
            <w:pPr>
              <w:rPr>
                <w:sz w:val="18"/>
                <w:szCs w:val="18"/>
              </w:rPr>
            </w:pPr>
            <w:r w:rsidRPr="008F03E5">
              <w:rPr>
                <w:sz w:val="18"/>
                <w:szCs w:val="18"/>
              </w:rPr>
              <w:t>The Guide, Infallible Teacher, &amp; Knower</w:t>
            </w:r>
          </w:p>
        </w:tc>
      </w:tr>
      <w:tr w:rsidR="002F317C" w:rsidRPr="008F03E5" w14:paraId="4FB363A3" w14:textId="77777777" w:rsidTr="00F13B0C">
        <w:trPr>
          <w:trHeight w:val="285"/>
          <w:jc w:val="center"/>
        </w:trPr>
        <w:tc>
          <w:tcPr>
            <w:tcW w:w="444" w:type="dxa"/>
            <w:tcBorders>
              <w:top w:val="nil"/>
              <w:left w:val="nil"/>
              <w:bottom w:val="nil"/>
              <w:right w:val="nil"/>
            </w:tcBorders>
            <w:shd w:val="clear" w:color="auto" w:fill="auto"/>
            <w:noWrap/>
            <w:vAlign w:val="center"/>
            <w:hideMark/>
          </w:tcPr>
          <w:p w14:paraId="34E7F720" w14:textId="77777777" w:rsidR="002F317C" w:rsidRPr="008F03E5" w:rsidRDefault="002F317C" w:rsidP="00F13B0C">
            <w:pPr>
              <w:tabs>
                <w:tab w:val="decimal" w:pos="227"/>
              </w:tabs>
              <w:jc w:val="center"/>
              <w:rPr>
                <w:sz w:val="18"/>
                <w:szCs w:val="18"/>
                <w14:numSpacing w14:val="tabular"/>
              </w:rPr>
            </w:pPr>
            <w:r w:rsidRPr="008F03E5">
              <w:rPr>
                <w:sz w:val="18"/>
                <w:szCs w:val="18"/>
                <w14:numSpacing w14:val="tabular"/>
              </w:rPr>
              <w:t>99</w:t>
            </w:r>
          </w:p>
        </w:tc>
        <w:tc>
          <w:tcPr>
            <w:tcW w:w="1417" w:type="dxa"/>
            <w:tcBorders>
              <w:top w:val="nil"/>
              <w:left w:val="nil"/>
              <w:bottom w:val="nil"/>
              <w:right w:val="nil"/>
            </w:tcBorders>
            <w:shd w:val="clear" w:color="auto" w:fill="auto"/>
            <w:noWrap/>
            <w:vAlign w:val="center"/>
            <w:hideMark/>
          </w:tcPr>
          <w:p w14:paraId="42004DE2" w14:textId="77777777" w:rsidR="002F317C" w:rsidRPr="008F03E5" w:rsidRDefault="002F317C" w:rsidP="00B243EB">
            <w:r w:rsidRPr="008F03E5">
              <w:rPr>
                <w:rtl/>
              </w:rPr>
              <w:t>ٱلْصَّبُورُ</w:t>
            </w:r>
          </w:p>
        </w:tc>
        <w:tc>
          <w:tcPr>
            <w:tcW w:w="1928" w:type="dxa"/>
            <w:tcBorders>
              <w:top w:val="nil"/>
              <w:left w:val="nil"/>
              <w:bottom w:val="nil"/>
              <w:right w:val="nil"/>
            </w:tcBorders>
            <w:shd w:val="clear" w:color="auto" w:fill="auto"/>
            <w:noWrap/>
            <w:vAlign w:val="center"/>
            <w:hideMark/>
          </w:tcPr>
          <w:p w14:paraId="20B8A6FA" w14:textId="77777777" w:rsidR="002F317C" w:rsidRPr="008F03E5" w:rsidRDefault="002F317C" w:rsidP="003D329D">
            <w:pPr>
              <w:rPr>
                <w:sz w:val="18"/>
                <w:szCs w:val="18"/>
              </w:rPr>
            </w:pPr>
            <w:r w:rsidRPr="008F03E5">
              <w:rPr>
                <w:sz w:val="18"/>
                <w:szCs w:val="18"/>
              </w:rPr>
              <w:t>aṣ-Ṣabúr</w:t>
            </w:r>
          </w:p>
        </w:tc>
        <w:tc>
          <w:tcPr>
            <w:tcW w:w="4309" w:type="dxa"/>
            <w:tcBorders>
              <w:top w:val="nil"/>
              <w:left w:val="nil"/>
              <w:bottom w:val="nil"/>
              <w:right w:val="nil"/>
            </w:tcBorders>
            <w:shd w:val="clear" w:color="auto" w:fill="auto"/>
            <w:noWrap/>
            <w:vAlign w:val="center"/>
            <w:hideMark/>
          </w:tcPr>
          <w:p w14:paraId="66EA906C" w14:textId="77777777" w:rsidR="002F317C" w:rsidRPr="008F03E5" w:rsidRDefault="002F317C" w:rsidP="003D329D">
            <w:pPr>
              <w:rPr>
                <w:sz w:val="18"/>
                <w:szCs w:val="18"/>
              </w:rPr>
            </w:pPr>
            <w:r w:rsidRPr="008F03E5">
              <w:rPr>
                <w:sz w:val="18"/>
                <w:szCs w:val="18"/>
              </w:rPr>
              <w:t>The Patient, the Timeless</w:t>
            </w:r>
          </w:p>
        </w:tc>
      </w:tr>
    </w:tbl>
    <w:p w14:paraId="3C78C2B0" w14:textId="07F66B57" w:rsidR="00EB06E9" w:rsidRPr="008F03E5" w:rsidRDefault="00EB06E9" w:rsidP="00065B99">
      <w:pPr>
        <w:pStyle w:val="Myhead"/>
      </w:pPr>
      <w:bookmarkStart w:id="251" w:name="_Toc149326106"/>
      <w:r w:rsidRPr="008F03E5">
        <w:t>Special characters</w:t>
      </w:r>
      <w:bookmarkEnd w:id="251"/>
      <w:r w:rsidR="00BB58C6" w:rsidRPr="00BB58C6">
        <w:rPr>
          <w:b w:val="0"/>
          <w:sz w:val="12"/>
        </w:rPr>
        <w:fldChar w:fldCharType="begin"/>
      </w:r>
      <w:r w:rsidR="00BB58C6" w:rsidRPr="00BB58C6">
        <w:rPr>
          <w:b w:val="0"/>
          <w:sz w:val="12"/>
          <w:lang w:val="en-AU"/>
        </w:rPr>
        <w:instrText xml:space="preserve"> TC “</w:instrText>
      </w:r>
      <w:bookmarkStart w:id="252" w:name="_Toc149476414"/>
      <w:bookmarkStart w:id="253" w:name="_Toc167691910"/>
      <w:r w:rsidR="00BB58C6" w:rsidRPr="00BB58C6">
        <w:rPr>
          <w:b w:val="0"/>
          <w:sz w:val="12"/>
        </w:rPr>
        <w:instrText>Special characters</w:instrText>
      </w:r>
      <w:r w:rsidR="00BB58C6" w:rsidRPr="00BB58C6">
        <w:rPr>
          <w:b w:val="0"/>
          <w:color w:val="FFFFFF" w:themeColor="background1"/>
          <w:sz w:val="12"/>
          <w:lang w:val="en-AU"/>
        </w:rPr>
        <w:instrText>..</w:instrText>
      </w:r>
      <w:r w:rsidR="00BB58C6" w:rsidRPr="00BB58C6">
        <w:rPr>
          <w:b w:val="0"/>
          <w:sz w:val="12"/>
          <w:lang w:val="en-AU"/>
        </w:rPr>
        <w:tab/>
      </w:r>
      <w:r w:rsidR="00BB58C6" w:rsidRPr="00BB58C6">
        <w:rPr>
          <w:b w:val="0"/>
          <w:color w:val="FFFFFF" w:themeColor="background1"/>
          <w:sz w:val="12"/>
          <w:lang w:val="en-AU"/>
        </w:rPr>
        <w:instrText>.</w:instrText>
      </w:r>
      <w:bookmarkEnd w:id="252"/>
      <w:bookmarkEnd w:id="253"/>
      <w:r w:rsidR="00BB58C6" w:rsidRPr="00BB58C6">
        <w:rPr>
          <w:b w:val="0"/>
          <w:sz w:val="12"/>
          <w:lang w:val="en-AU"/>
        </w:rPr>
        <w:instrText>” \l 1</w:instrText>
      </w:r>
      <w:r w:rsidR="00BB58C6" w:rsidRPr="00BB58C6">
        <w:rPr>
          <w:b w:val="0"/>
          <w:sz w:val="12"/>
        </w:rPr>
        <w:fldChar w:fldCharType="end"/>
      </w:r>
    </w:p>
    <w:p w14:paraId="0B51D9CD" w14:textId="713EB9BE" w:rsidR="00EB06E9" w:rsidRPr="008F03E5" w:rsidRDefault="00065B99" w:rsidP="00DD0863">
      <w:pPr>
        <w:pStyle w:val="Myhead3"/>
        <w:rPr>
          <w:lang w:val="en-GB"/>
        </w:rPr>
      </w:pPr>
      <w:r>
        <w:rPr>
          <w:lang w:val="en-GB"/>
        </w:rPr>
        <w:t>N</w:t>
      </w:r>
      <w:r w:rsidR="00EB06E9" w:rsidRPr="008F03E5">
        <w:rPr>
          <w:lang w:val="en-GB"/>
        </w:rPr>
        <w:t>on-printing character</w:t>
      </w:r>
      <w:r w:rsidR="00594B45" w:rsidRPr="008F03E5">
        <w:rPr>
          <w:lang w:val="en-GB"/>
        </w:rPr>
        <w:t>s</w:t>
      </w:r>
      <w:r w:rsidR="00BB58C6" w:rsidRPr="00BB58C6">
        <w:rPr>
          <w:b w:val="0"/>
          <w:i w:val="0"/>
          <w:sz w:val="12"/>
        </w:rPr>
        <w:fldChar w:fldCharType="begin"/>
      </w:r>
      <w:r w:rsidR="00BB58C6" w:rsidRPr="00BB58C6">
        <w:rPr>
          <w:b w:val="0"/>
          <w:i w:val="0"/>
          <w:sz w:val="12"/>
          <w:lang w:val="en-AU"/>
        </w:rPr>
        <w:instrText xml:space="preserve"> TC “</w:instrText>
      </w:r>
      <w:bookmarkStart w:id="254" w:name="_Toc149476415"/>
      <w:bookmarkStart w:id="255" w:name="_Toc167691911"/>
      <w:r w:rsidR="00BB58C6" w:rsidRPr="00074EB6">
        <w:rPr>
          <w:b w:val="0"/>
          <w:iCs/>
          <w:sz w:val="12"/>
          <w:lang w:val="en-GB"/>
        </w:rPr>
        <w:instrText>Non-printing characters</w:instrText>
      </w:r>
      <w:r w:rsidR="00BB58C6" w:rsidRPr="00074EB6">
        <w:rPr>
          <w:b w:val="0"/>
          <w:iCs/>
          <w:color w:val="FFFFFF" w:themeColor="background1"/>
          <w:sz w:val="12"/>
          <w:lang w:val="en-AU"/>
        </w:rPr>
        <w:instrText>..</w:instrText>
      </w:r>
      <w:r w:rsidR="00BB58C6" w:rsidRPr="00074EB6">
        <w:rPr>
          <w:b w:val="0"/>
          <w:iCs/>
          <w:sz w:val="12"/>
          <w:lang w:val="en-AU"/>
        </w:rPr>
        <w:tab/>
      </w:r>
      <w:r w:rsidR="00BB58C6" w:rsidRPr="00BB58C6">
        <w:rPr>
          <w:b w:val="0"/>
          <w:i w:val="0"/>
          <w:color w:val="FFFFFF" w:themeColor="background1"/>
          <w:sz w:val="12"/>
          <w:lang w:val="en-AU"/>
        </w:rPr>
        <w:instrText>.</w:instrText>
      </w:r>
      <w:bookmarkEnd w:id="254"/>
      <w:bookmarkEnd w:id="255"/>
      <w:r w:rsidR="00BB58C6" w:rsidRPr="00BB58C6">
        <w:rPr>
          <w:b w:val="0"/>
          <w:i w:val="0"/>
          <w:sz w:val="12"/>
          <w:lang w:val="en-AU"/>
        </w:rPr>
        <w:instrText>” \l 2</w:instrText>
      </w:r>
      <w:r w:rsidR="00BB58C6" w:rsidRPr="00BB58C6">
        <w:rPr>
          <w:b w:val="0"/>
          <w:i w:val="0"/>
          <w:sz w:val="12"/>
        </w:rPr>
        <w:fldChar w:fldCharType="end"/>
      </w:r>
    </w:p>
    <w:p w14:paraId="5E1D4584" w14:textId="6C9636C5" w:rsidR="00EB06E9" w:rsidRPr="008F03E5" w:rsidRDefault="00EB06E9" w:rsidP="00502A2C">
      <w:pPr>
        <w:pStyle w:val="Text"/>
        <w:spacing w:after="60"/>
      </w:pPr>
      <w:r w:rsidRPr="008F03E5">
        <w:t xml:space="preserve">Some additional characters </w:t>
      </w:r>
      <w:r w:rsidR="00502A2C" w:rsidRPr="008F03E5">
        <w:t>in</w:t>
      </w:r>
      <w:r w:rsidRPr="008F03E5">
        <w:t xml:space="preserve"> </w:t>
      </w:r>
      <w:r w:rsidR="00502A2C" w:rsidRPr="008F03E5">
        <w:t xml:space="preserve">Arabic text </w:t>
      </w:r>
      <w:r w:rsidRPr="008F03E5">
        <w:t>documents.</w:t>
      </w:r>
    </w:p>
    <w:tbl>
      <w:tblPr>
        <w:tblStyle w:val="TableGrid"/>
        <w:tblW w:w="0" w:type="auto"/>
        <w:jc w:val="center"/>
        <w:tblLook w:val="04A0" w:firstRow="1" w:lastRow="0" w:firstColumn="1" w:lastColumn="0" w:noHBand="0" w:noVBand="1"/>
      </w:tblPr>
      <w:tblGrid>
        <w:gridCol w:w="1928"/>
        <w:gridCol w:w="7257"/>
      </w:tblGrid>
      <w:tr w:rsidR="00EB06E9" w:rsidRPr="008F03E5" w14:paraId="3CF574B7" w14:textId="77777777" w:rsidTr="00462090">
        <w:trPr>
          <w:jc w:val="center"/>
        </w:trPr>
        <w:tc>
          <w:tcPr>
            <w:tcW w:w="1928" w:type="dxa"/>
          </w:tcPr>
          <w:p w14:paraId="2400D410" w14:textId="77777777" w:rsidR="00EB06E9" w:rsidRPr="008F03E5" w:rsidRDefault="00EB06E9" w:rsidP="00431AA7">
            <w:pPr>
              <w:keepNext/>
              <w:jc w:val="center"/>
              <w:rPr>
                <w:b/>
                <w:bCs/>
                <w:sz w:val="18"/>
                <w:szCs w:val="18"/>
              </w:rPr>
            </w:pPr>
            <w:r w:rsidRPr="008F03E5">
              <w:rPr>
                <w:b/>
                <w:bCs/>
                <w:sz w:val="18"/>
                <w:szCs w:val="18"/>
              </w:rPr>
              <w:t>Unicode, search seq.</w:t>
            </w:r>
          </w:p>
        </w:tc>
        <w:tc>
          <w:tcPr>
            <w:tcW w:w="7257" w:type="dxa"/>
          </w:tcPr>
          <w:p w14:paraId="4ED42DFF" w14:textId="696634C7" w:rsidR="00EB06E9" w:rsidRPr="008F03E5" w:rsidRDefault="00EB06E9" w:rsidP="00431AA7">
            <w:pPr>
              <w:keepNext/>
              <w:jc w:val="center"/>
              <w:rPr>
                <w:b/>
                <w:bCs/>
                <w:sz w:val="18"/>
                <w:szCs w:val="18"/>
              </w:rPr>
            </w:pPr>
            <w:r w:rsidRPr="008F03E5">
              <w:rPr>
                <w:b/>
                <w:bCs/>
                <w:sz w:val="18"/>
                <w:szCs w:val="18"/>
              </w:rPr>
              <w:t>Description</w:t>
            </w:r>
          </w:p>
        </w:tc>
      </w:tr>
      <w:tr w:rsidR="00EB06E9" w:rsidRPr="008F03E5" w14:paraId="57A49966" w14:textId="77777777" w:rsidTr="0050779C">
        <w:trPr>
          <w:jc w:val="center"/>
        </w:trPr>
        <w:tc>
          <w:tcPr>
            <w:tcW w:w="1928" w:type="dxa"/>
            <w:tcBorders>
              <w:bottom w:val="nil"/>
            </w:tcBorders>
          </w:tcPr>
          <w:p w14:paraId="2F8B6B98" w14:textId="77777777" w:rsidR="00EB06E9" w:rsidRPr="008F03E5" w:rsidRDefault="00EB06E9" w:rsidP="00462090">
            <w:pPr>
              <w:rPr>
                <w:sz w:val="18"/>
                <w:szCs w:val="18"/>
              </w:rPr>
            </w:pPr>
            <w:r w:rsidRPr="008F03E5">
              <w:rPr>
                <w:sz w:val="18"/>
                <w:szCs w:val="18"/>
              </w:rPr>
              <w:t>200C (^u8204)</w:t>
            </w:r>
          </w:p>
        </w:tc>
        <w:tc>
          <w:tcPr>
            <w:tcW w:w="7257" w:type="dxa"/>
            <w:tcBorders>
              <w:bottom w:val="nil"/>
            </w:tcBorders>
          </w:tcPr>
          <w:p w14:paraId="12AB7B44" w14:textId="77777777" w:rsidR="00EB06E9" w:rsidRPr="008F03E5" w:rsidRDefault="00EB06E9" w:rsidP="00462090">
            <w:pPr>
              <w:rPr>
                <w:sz w:val="18"/>
                <w:szCs w:val="18"/>
              </w:rPr>
            </w:pPr>
            <w:r w:rsidRPr="008F03E5">
              <w:rPr>
                <w:sz w:val="18"/>
                <w:szCs w:val="18"/>
              </w:rPr>
              <w:t>zero width non-joiner between two characters that otherwise might be joined as a ligature</w:t>
            </w:r>
          </w:p>
        </w:tc>
      </w:tr>
      <w:tr w:rsidR="00EB06E9" w:rsidRPr="008F03E5" w14:paraId="28080C54" w14:textId="77777777" w:rsidTr="0050779C">
        <w:trPr>
          <w:jc w:val="center"/>
        </w:trPr>
        <w:tc>
          <w:tcPr>
            <w:tcW w:w="1928" w:type="dxa"/>
            <w:tcBorders>
              <w:top w:val="nil"/>
              <w:bottom w:val="nil"/>
            </w:tcBorders>
          </w:tcPr>
          <w:p w14:paraId="609DB2A6" w14:textId="77777777" w:rsidR="00EB06E9" w:rsidRPr="008F03E5" w:rsidRDefault="00EB06E9" w:rsidP="00462090">
            <w:pPr>
              <w:rPr>
                <w:sz w:val="18"/>
                <w:szCs w:val="18"/>
              </w:rPr>
            </w:pPr>
            <w:r w:rsidRPr="008F03E5">
              <w:rPr>
                <w:sz w:val="18"/>
                <w:szCs w:val="18"/>
              </w:rPr>
              <w:t>200E (^u8206)</w:t>
            </w:r>
          </w:p>
        </w:tc>
        <w:tc>
          <w:tcPr>
            <w:tcW w:w="7257" w:type="dxa"/>
            <w:tcBorders>
              <w:top w:val="nil"/>
              <w:bottom w:val="nil"/>
            </w:tcBorders>
          </w:tcPr>
          <w:p w14:paraId="1CDB66EB" w14:textId="77777777" w:rsidR="00EB06E9" w:rsidRPr="008F03E5" w:rsidRDefault="00EB06E9" w:rsidP="00462090">
            <w:pPr>
              <w:rPr>
                <w:sz w:val="18"/>
                <w:szCs w:val="18"/>
              </w:rPr>
            </w:pPr>
            <w:r w:rsidRPr="008F03E5">
              <w:rPr>
                <w:sz w:val="18"/>
                <w:szCs w:val="18"/>
              </w:rPr>
              <w:t>left-to-right mark</w:t>
            </w:r>
          </w:p>
        </w:tc>
      </w:tr>
      <w:tr w:rsidR="00EB06E9" w:rsidRPr="008F03E5" w14:paraId="791B148E" w14:textId="77777777" w:rsidTr="0050779C">
        <w:trPr>
          <w:jc w:val="center"/>
        </w:trPr>
        <w:tc>
          <w:tcPr>
            <w:tcW w:w="1928" w:type="dxa"/>
            <w:tcBorders>
              <w:top w:val="nil"/>
            </w:tcBorders>
          </w:tcPr>
          <w:p w14:paraId="57CDCCE1" w14:textId="77777777" w:rsidR="00EB06E9" w:rsidRPr="008F03E5" w:rsidRDefault="00EB06E9" w:rsidP="00462090">
            <w:pPr>
              <w:rPr>
                <w:sz w:val="18"/>
                <w:szCs w:val="18"/>
              </w:rPr>
            </w:pPr>
            <w:r w:rsidRPr="008F03E5">
              <w:rPr>
                <w:sz w:val="18"/>
                <w:szCs w:val="18"/>
              </w:rPr>
              <w:t>200F (^u8207)</w:t>
            </w:r>
          </w:p>
        </w:tc>
        <w:tc>
          <w:tcPr>
            <w:tcW w:w="7257" w:type="dxa"/>
            <w:tcBorders>
              <w:top w:val="nil"/>
            </w:tcBorders>
          </w:tcPr>
          <w:p w14:paraId="0D39AFD4" w14:textId="77777777" w:rsidR="00EB06E9" w:rsidRPr="008F03E5" w:rsidRDefault="00EB06E9" w:rsidP="00462090">
            <w:pPr>
              <w:rPr>
                <w:sz w:val="18"/>
                <w:szCs w:val="18"/>
              </w:rPr>
            </w:pPr>
            <w:r w:rsidRPr="008F03E5">
              <w:rPr>
                <w:sz w:val="18"/>
                <w:szCs w:val="18"/>
              </w:rPr>
              <w:t>right-to-left mark</w:t>
            </w:r>
          </w:p>
        </w:tc>
      </w:tr>
    </w:tbl>
    <w:p w14:paraId="1EF082CD" w14:textId="77777777" w:rsidR="00EB06E9" w:rsidRPr="008F03E5" w:rsidRDefault="00EB06E9" w:rsidP="00EB06E9">
      <w:pPr>
        <w:pStyle w:val="Text"/>
      </w:pPr>
      <w:r w:rsidRPr="008F03E5">
        <w:t>Search for the above characters in Word (pressing Alt+X will reveal the Unicode of a character or convert a Unicode to the character) using the search sequences—character strings that are preceded by a ^.</w:t>
      </w:r>
    </w:p>
    <w:p w14:paraId="4413C3BE" w14:textId="0C5E4C55" w:rsidR="00065B99" w:rsidRPr="008F03E5" w:rsidRDefault="00065B99" w:rsidP="00065B99">
      <w:pPr>
        <w:pStyle w:val="Myhead3"/>
        <w:rPr>
          <w:lang w:val="en-GB"/>
        </w:rPr>
      </w:pPr>
      <w:bookmarkStart w:id="256" w:name="_Toc149326107"/>
      <w:r w:rsidRPr="008F03E5">
        <w:rPr>
          <w:lang w:val="en-GB"/>
        </w:rPr>
        <w:t>Unusual characters</w:t>
      </w:r>
      <w:r w:rsidR="00BB58C6" w:rsidRPr="00BB58C6">
        <w:rPr>
          <w:b w:val="0"/>
          <w:i w:val="0"/>
          <w:sz w:val="12"/>
        </w:rPr>
        <w:fldChar w:fldCharType="begin"/>
      </w:r>
      <w:r w:rsidR="00BB58C6" w:rsidRPr="00BB58C6">
        <w:rPr>
          <w:b w:val="0"/>
          <w:i w:val="0"/>
          <w:sz w:val="12"/>
          <w:lang w:val="en-AU"/>
        </w:rPr>
        <w:instrText xml:space="preserve"> TC “</w:instrText>
      </w:r>
      <w:bookmarkStart w:id="257" w:name="_Toc149476416"/>
      <w:bookmarkStart w:id="258" w:name="_Toc167691912"/>
      <w:r w:rsidR="00BB58C6" w:rsidRPr="00074EB6">
        <w:rPr>
          <w:b w:val="0"/>
          <w:iCs/>
          <w:sz w:val="12"/>
          <w:lang w:val="en-GB"/>
        </w:rPr>
        <w:instrText>Unusual characters</w:instrText>
      </w:r>
      <w:r w:rsidR="00BB58C6" w:rsidRPr="00074EB6">
        <w:rPr>
          <w:b w:val="0"/>
          <w:iCs/>
          <w:color w:val="FFFFFF" w:themeColor="background1"/>
          <w:sz w:val="12"/>
          <w:lang w:val="en-AU"/>
        </w:rPr>
        <w:instrText>..</w:instrText>
      </w:r>
      <w:r w:rsidR="00BB58C6" w:rsidRPr="00074EB6">
        <w:rPr>
          <w:b w:val="0"/>
          <w:iCs/>
          <w:sz w:val="12"/>
          <w:lang w:val="en-AU"/>
        </w:rPr>
        <w:tab/>
      </w:r>
      <w:r w:rsidR="00BB58C6" w:rsidRPr="00BB58C6">
        <w:rPr>
          <w:b w:val="0"/>
          <w:i w:val="0"/>
          <w:color w:val="FFFFFF" w:themeColor="background1"/>
          <w:sz w:val="12"/>
          <w:lang w:val="en-AU"/>
        </w:rPr>
        <w:instrText>.</w:instrText>
      </w:r>
      <w:bookmarkEnd w:id="257"/>
      <w:bookmarkEnd w:id="258"/>
      <w:r w:rsidR="00BB58C6" w:rsidRPr="00BB58C6">
        <w:rPr>
          <w:b w:val="0"/>
          <w:i w:val="0"/>
          <w:sz w:val="12"/>
          <w:lang w:val="en-AU"/>
        </w:rPr>
        <w:instrText>” \l 2</w:instrText>
      </w:r>
      <w:r w:rsidR="00BB58C6" w:rsidRPr="00BB58C6">
        <w:rPr>
          <w:b w:val="0"/>
          <w:i w:val="0"/>
          <w:sz w:val="12"/>
        </w:rPr>
        <w:fldChar w:fldCharType="end"/>
      </w:r>
    </w:p>
    <w:p w14:paraId="45493507" w14:textId="77777777" w:rsidR="00065B99" w:rsidRPr="008F03E5" w:rsidRDefault="00065B99" w:rsidP="00065B99">
      <w:pPr>
        <w:pStyle w:val="Text"/>
      </w:pPr>
      <w:r w:rsidRPr="008F03E5">
        <w:t>Some unusual characters (character, unicode and search sequences are listed) need to be removed from a document when pasting text from other sources.  First paste the text into Notepad (or a similar application) to remove all formatting, and then copy and paste the text into Word.  Alternatively, paste with the Keep Text Only option (Home | Paste drop down arrow, Keep Text Only).</w:t>
      </w:r>
    </w:p>
    <w:p w14:paraId="248421B0" w14:textId="77777777" w:rsidR="00065B99" w:rsidRPr="008F03E5" w:rsidRDefault="00065B99" w:rsidP="00065B99">
      <w:pPr>
        <w:pStyle w:val="Text"/>
        <w:spacing w:after="60"/>
      </w:pPr>
      <w:r w:rsidRPr="008F03E5">
        <w:t>An ẖ (“h with line underneath”, 1E96, ^u7830) should be replaced with an underlined “h”, and ṯ (1E6F, ^u7791) with ṭ.  The following table lists some other characters that should be replaced with curly left or right single quotes:</w:t>
      </w:r>
    </w:p>
    <w:tbl>
      <w:tblPr>
        <w:tblStyle w:val="TableGrid"/>
        <w:tblW w:w="0" w:type="auto"/>
        <w:jc w:val="center"/>
        <w:tblLook w:val="04A0" w:firstRow="1" w:lastRow="0" w:firstColumn="1" w:lastColumn="0" w:noHBand="0" w:noVBand="1"/>
      </w:tblPr>
      <w:tblGrid>
        <w:gridCol w:w="1304"/>
        <w:gridCol w:w="1304"/>
        <w:gridCol w:w="1304"/>
        <w:gridCol w:w="1361"/>
        <w:gridCol w:w="1361"/>
      </w:tblGrid>
      <w:tr w:rsidR="00065B99" w:rsidRPr="008F03E5" w14:paraId="5EA4C12D" w14:textId="77777777" w:rsidTr="000B7D0D">
        <w:trPr>
          <w:jc w:val="center"/>
        </w:trPr>
        <w:tc>
          <w:tcPr>
            <w:tcW w:w="5272" w:type="dxa"/>
            <w:gridSpan w:val="4"/>
          </w:tcPr>
          <w:p w14:paraId="7C0D3619" w14:textId="77777777" w:rsidR="00065B99" w:rsidRPr="008F03E5" w:rsidRDefault="00065B99" w:rsidP="000B7D0D">
            <w:pPr>
              <w:keepNext/>
              <w:jc w:val="center"/>
              <w:rPr>
                <w:b/>
                <w:bCs/>
                <w:sz w:val="18"/>
                <w:szCs w:val="18"/>
              </w:rPr>
            </w:pPr>
            <w:r w:rsidRPr="008F03E5">
              <w:rPr>
                <w:b/>
                <w:bCs/>
                <w:sz w:val="18"/>
                <w:szCs w:val="18"/>
              </w:rPr>
              <w:t>Replace</w:t>
            </w:r>
          </w:p>
        </w:tc>
        <w:tc>
          <w:tcPr>
            <w:tcW w:w="1361" w:type="dxa"/>
          </w:tcPr>
          <w:p w14:paraId="21E16322" w14:textId="77777777" w:rsidR="00065B99" w:rsidRPr="008F03E5" w:rsidRDefault="00065B99" w:rsidP="000B7D0D">
            <w:pPr>
              <w:keepNext/>
              <w:jc w:val="center"/>
              <w:rPr>
                <w:b/>
                <w:bCs/>
                <w:sz w:val="18"/>
                <w:szCs w:val="18"/>
              </w:rPr>
            </w:pPr>
            <w:r w:rsidRPr="008F03E5">
              <w:rPr>
                <w:b/>
                <w:bCs/>
                <w:sz w:val="18"/>
                <w:szCs w:val="18"/>
              </w:rPr>
              <w:t>With</w:t>
            </w:r>
          </w:p>
        </w:tc>
      </w:tr>
      <w:tr w:rsidR="00065B99" w:rsidRPr="008F03E5" w14:paraId="5FDE1BC0" w14:textId="77777777" w:rsidTr="000B7D0D">
        <w:trPr>
          <w:jc w:val="center"/>
        </w:trPr>
        <w:tc>
          <w:tcPr>
            <w:tcW w:w="1304" w:type="dxa"/>
          </w:tcPr>
          <w:p w14:paraId="7193D388" w14:textId="77777777" w:rsidR="00065B99" w:rsidRPr="008F03E5" w:rsidRDefault="00065B99" w:rsidP="000B7D0D">
            <w:pPr>
              <w:kinsoku/>
              <w:overflowPunct/>
              <w:textAlignment w:val="auto"/>
              <w:rPr>
                <w:sz w:val="18"/>
                <w:szCs w:val="18"/>
              </w:rPr>
            </w:pPr>
            <w:r w:rsidRPr="008F03E5">
              <w:rPr>
                <w:sz w:val="18"/>
                <w:szCs w:val="18"/>
              </w:rPr>
              <w:t>`, 60, ^96</w:t>
            </w:r>
          </w:p>
        </w:tc>
        <w:tc>
          <w:tcPr>
            <w:tcW w:w="1304" w:type="dxa"/>
          </w:tcPr>
          <w:p w14:paraId="4F26EFBB" w14:textId="77777777" w:rsidR="00065B99" w:rsidRPr="008F03E5" w:rsidRDefault="00065B99" w:rsidP="000B7D0D">
            <w:pPr>
              <w:kinsoku/>
              <w:overflowPunct/>
              <w:textAlignment w:val="auto"/>
              <w:rPr>
                <w:sz w:val="18"/>
                <w:szCs w:val="18"/>
              </w:rPr>
            </w:pPr>
            <w:r w:rsidRPr="008F03E5">
              <w:rPr>
                <w:sz w:val="18"/>
                <w:szCs w:val="18"/>
              </w:rPr>
              <w:t>ʻ, 02BB, ^u699</w:t>
            </w:r>
          </w:p>
        </w:tc>
        <w:tc>
          <w:tcPr>
            <w:tcW w:w="1304" w:type="dxa"/>
          </w:tcPr>
          <w:p w14:paraId="23C7C55B" w14:textId="77777777" w:rsidR="00065B99" w:rsidRPr="008F03E5" w:rsidRDefault="00065B99" w:rsidP="000B7D0D">
            <w:pPr>
              <w:kinsoku/>
              <w:overflowPunct/>
              <w:textAlignment w:val="auto"/>
              <w:rPr>
                <w:sz w:val="18"/>
                <w:szCs w:val="18"/>
              </w:rPr>
            </w:pPr>
            <w:r w:rsidRPr="008F03E5">
              <w:rPr>
                <w:sz w:val="18"/>
                <w:szCs w:val="18"/>
              </w:rPr>
              <w:t>ʽ, 02BD, ^u701</w:t>
            </w:r>
          </w:p>
        </w:tc>
        <w:tc>
          <w:tcPr>
            <w:tcW w:w="1361" w:type="dxa"/>
          </w:tcPr>
          <w:p w14:paraId="41EB0787" w14:textId="77777777" w:rsidR="00065B99" w:rsidRPr="008F03E5" w:rsidRDefault="00065B99" w:rsidP="000B7D0D">
            <w:pPr>
              <w:kinsoku/>
              <w:overflowPunct/>
              <w:textAlignment w:val="auto"/>
              <w:rPr>
                <w:sz w:val="18"/>
                <w:szCs w:val="18"/>
              </w:rPr>
            </w:pPr>
            <w:r w:rsidRPr="008F03E5">
              <w:rPr>
                <w:sz w:val="18"/>
                <w:szCs w:val="18"/>
              </w:rPr>
              <w:t>ʿ, 02BF, ^u703</w:t>
            </w:r>
            <w:r w:rsidRPr="008F03E5">
              <w:rPr>
                <w:rStyle w:val="FootnoteReference"/>
              </w:rPr>
              <w:footnoteReference w:id="56"/>
            </w:r>
          </w:p>
        </w:tc>
        <w:tc>
          <w:tcPr>
            <w:tcW w:w="1361" w:type="dxa"/>
          </w:tcPr>
          <w:p w14:paraId="708CAD37" w14:textId="77777777" w:rsidR="00065B99" w:rsidRPr="008F03E5" w:rsidRDefault="00065B99" w:rsidP="000B7D0D">
            <w:pPr>
              <w:kinsoku/>
              <w:overflowPunct/>
              <w:textAlignment w:val="auto"/>
              <w:rPr>
                <w:sz w:val="18"/>
                <w:szCs w:val="18"/>
              </w:rPr>
            </w:pPr>
            <w:r w:rsidRPr="008F03E5">
              <w:rPr>
                <w:sz w:val="18"/>
                <w:szCs w:val="18"/>
              </w:rPr>
              <w:t>‘, 2018, ^u8216</w:t>
            </w:r>
          </w:p>
        </w:tc>
      </w:tr>
      <w:tr w:rsidR="00065B99" w:rsidRPr="008F03E5" w14:paraId="4EB64542" w14:textId="77777777" w:rsidTr="000B7D0D">
        <w:trPr>
          <w:jc w:val="center"/>
        </w:trPr>
        <w:tc>
          <w:tcPr>
            <w:tcW w:w="1304" w:type="dxa"/>
          </w:tcPr>
          <w:p w14:paraId="66DB8FDB" w14:textId="77777777" w:rsidR="00065B99" w:rsidRPr="008F03E5" w:rsidRDefault="00065B99" w:rsidP="000B7D0D">
            <w:pPr>
              <w:kinsoku/>
              <w:overflowPunct/>
              <w:textAlignment w:val="auto"/>
              <w:rPr>
                <w:sz w:val="18"/>
                <w:szCs w:val="18"/>
              </w:rPr>
            </w:pPr>
            <w:r w:rsidRPr="008F03E5">
              <w:rPr>
                <w:sz w:val="18"/>
                <w:szCs w:val="18"/>
              </w:rPr>
              <w:t>´, 00B4, ^u180</w:t>
            </w:r>
          </w:p>
        </w:tc>
        <w:tc>
          <w:tcPr>
            <w:tcW w:w="1304" w:type="dxa"/>
          </w:tcPr>
          <w:p w14:paraId="102AAF1C" w14:textId="77777777" w:rsidR="00065B99" w:rsidRPr="008F03E5" w:rsidRDefault="00065B99" w:rsidP="000B7D0D">
            <w:pPr>
              <w:kinsoku/>
              <w:overflowPunct/>
              <w:textAlignment w:val="auto"/>
              <w:rPr>
                <w:sz w:val="18"/>
                <w:szCs w:val="18"/>
              </w:rPr>
            </w:pPr>
            <w:r w:rsidRPr="008F03E5">
              <w:rPr>
                <w:sz w:val="18"/>
                <w:szCs w:val="18"/>
              </w:rPr>
              <w:t>ʹ, 02B9, ^u697</w:t>
            </w:r>
          </w:p>
        </w:tc>
        <w:tc>
          <w:tcPr>
            <w:tcW w:w="1304" w:type="dxa"/>
          </w:tcPr>
          <w:p w14:paraId="508C83E3" w14:textId="77777777" w:rsidR="00065B99" w:rsidRPr="008F03E5" w:rsidRDefault="00065B99" w:rsidP="000B7D0D">
            <w:pPr>
              <w:kinsoku/>
              <w:overflowPunct/>
              <w:textAlignment w:val="auto"/>
              <w:rPr>
                <w:sz w:val="18"/>
                <w:szCs w:val="18"/>
              </w:rPr>
            </w:pPr>
            <w:r w:rsidRPr="008F03E5">
              <w:rPr>
                <w:sz w:val="18"/>
                <w:szCs w:val="18"/>
              </w:rPr>
              <w:t>ʼ, 02BC, ^u700</w:t>
            </w:r>
          </w:p>
        </w:tc>
        <w:tc>
          <w:tcPr>
            <w:tcW w:w="1361" w:type="dxa"/>
          </w:tcPr>
          <w:p w14:paraId="39AC7694" w14:textId="5F5AA140" w:rsidR="00065B99" w:rsidRPr="008F03E5" w:rsidRDefault="00065B99" w:rsidP="00442EAD">
            <w:pPr>
              <w:kinsoku/>
              <w:overflowPunct/>
              <w:textAlignment w:val="auto"/>
              <w:rPr>
                <w:sz w:val="18"/>
                <w:szCs w:val="18"/>
              </w:rPr>
            </w:pPr>
            <w:r w:rsidRPr="008F03E5">
              <w:rPr>
                <w:sz w:val="18"/>
                <w:szCs w:val="18"/>
              </w:rPr>
              <w:t>ʾ, 02BE, ^u702</w:t>
            </w:r>
          </w:p>
        </w:tc>
        <w:tc>
          <w:tcPr>
            <w:tcW w:w="1361" w:type="dxa"/>
          </w:tcPr>
          <w:p w14:paraId="284DE0D0" w14:textId="77777777" w:rsidR="00065B99" w:rsidRPr="008F03E5" w:rsidRDefault="00065B99" w:rsidP="000B7D0D">
            <w:pPr>
              <w:kinsoku/>
              <w:overflowPunct/>
              <w:textAlignment w:val="auto"/>
              <w:rPr>
                <w:sz w:val="18"/>
                <w:szCs w:val="18"/>
              </w:rPr>
            </w:pPr>
            <w:r w:rsidRPr="008F03E5">
              <w:rPr>
                <w:sz w:val="18"/>
                <w:szCs w:val="18"/>
              </w:rPr>
              <w:t>’, 2019, ^u8217</w:t>
            </w:r>
          </w:p>
        </w:tc>
      </w:tr>
    </w:tbl>
    <w:p w14:paraId="418BC992" w14:textId="77777777" w:rsidR="00065B99" w:rsidRDefault="00065B99" w:rsidP="00065B99">
      <w:pPr>
        <w:pStyle w:val="Text"/>
      </w:pPr>
      <w:r w:rsidRPr="008F03E5">
        <w:t>Replace straight quotes, (', 27, ^39) and (", 22, ^34), with their equivalent curly quotes—Word automatically replaces with left and right symbols based on position, so the replace character is the single or double quote entered from the keyboard.  The exception is the grave accent or straight ‘Ayn (`, 60, ^96), this should be replaced using the string ^u8216.  It is useful to enter the grave accent during the optical character recognition (OCR) process to ensure an ‘Ayn within a word or name remains as a left single quote when replacing all single straight quotes with their curly equivalent.  In some cases, insert a right straight quote (´, U+00B4; e.g. ’tis) during the OCR process.</w:t>
      </w:r>
    </w:p>
    <w:p w14:paraId="349F3845" w14:textId="225C9987" w:rsidR="00E64B38" w:rsidRPr="00E64B38" w:rsidRDefault="00E64B38" w:rsidP="00E64B38">
      <w:pPr>
        <w:pStyle w:val="Text"/>
      </w:pPr>
      <w:r>
        <w:t>Copying or converting (e.g. PDF files) text containing ligatures (</w:t>
      </w:r>
      <w:r w:rsidRPr="00E64B38">
        <w:t>two or more</w:t>
      </w:r>
      <w:r>
        <w:t xml:space="preserve"> </w:t>
      </w:r>
      <w:r w:rsidRPr="00E64B38">
        <w:rPr>
          <w:i/>
          <w:iCs/>
        </w:rPr>
        <w:t>graphemes</w:t>
      </w:r>
      <w:r>
        <w:t xml:space="preserve"> </w:t>
      </w:r>
      <w:r w:rsidRPr="00E64B38">
        <w:t>or letters joined to form a single</w:t>
      </w:r>
      <w:r>
        <w:t xml:space="preserve"> </w:t>
      </w:r>
      <w:r w:rsidRPr="00E64B38">
        <w:rPr>
          <w:i/>
          <w:iCs/>
        </w:rPr>
        <w:t>glyph</w:t>
      </w:r>
      <w:r w:rsidRPr="00E64B38">
        <w:t xml:space="preserve">) </w:t>
      </w:r>
      <w:r>
        <w:t xml:space="preserve">will also impede text searches.  Search for (Æ, 00C6; æ, 00E6; Œ, 0152; œ, 0153; ﬀ, FB00; ﬁ, FB01; and ﬂ, FB02) and replace them with the corresponding two </w:t>
      </w:r>
      <w:r w:rsidR="00F27FC4">
        <w:t xml:space="preserve">single </w:t>
      </w:r>
      <w:r>
        <w:t>letters.</w:t>
      </w:r>
    </w:p>
    <w:p w14:paraId="0BD6A5A7" w14:textId="1F6BF0F9" w:rsidR="00C63E49" w:rsidRPr="008F03E5" w:rsidRDefault="00C63E49" w:rsidP="00065B99">
      <w:pPr>
        <w:pStyle w:val="Myhead"/>
        <w:spacing w:after="120"/>
      </w:pPr>
      <w:r w:rsidRPr="008F03E5">
        <w:t>Traditional Qur’anic/</w:t>
      </w:r>
      <w:r w:rsidR="00787E3E" w:rsidRPr="008F03E5">
        <w:t>Su</w:t>
      </w:r>
      <w:r w:rsidRPr="008F03E5">
        <w:t>f</w:t>
      </w:r>
      <w:r w:rsidR="00787E3E" w:rsidRPr="008F03E5">
        <w:t>i</w:t>
      </w:r>
      <w:r w:rsidRPr="008F03E5">
        <w:t xml:space="preserve"> concepts</w:t>
      </w:r>
      <w:bookmarkEnd w:id="256"/>
      <w:r w:rsidR="00BB58C6" w:rsidRPr="00BB58C6">
        <w:rPr>
          <w:b w:val="0"/>
          <w:sz w:val="12"/>
        </w:rPr>
        <w:fldChar w:fldCharType="begin"/>
      </w:r>
      <w:r w:rsidR="00BB58C6" w:rsidRPr="00BB58C6">
        <w:rPr>
          <w:b w:val="0"/>
          <w:sz w:val="12"/>
          <w:lang w:val="en-AU"/>
        </w:rPr>
        <w:instrText xml:space="preserve"> TC “</w:instrText>
      </w:r>
      <w:bookmarkStart w:id="259" w:name="_Toc149476417"/>
      <w:bookmarkStart w:id="260" w:name="_Toc167691913"/>
      <w:r w:rsidR="00BB58C6" w:rsidRPr="00BB58C6">
        <w:rPr>
          <w:b w:val="0"/>
          <w:sz w:val="12"/>
        </w:rPr>
        <w:instrText>Traditional Qur’anic/Sufi concepts</w:instrText>
      </w:r>
      <w:r w:rsidR="00BB58C6" w:rsidRPr="00BB58C6">
        <w:rPr>
          <w:b w:val="0"/>
          <w:color w:val="FFFFFF" w:themeColor="background1"/>
          <w:sz w:val="12"/>
          <w:lang w:val="en-AU"/>
        </w:rPr>
        <w:instrText>..</w:instrText>
      </w:r>
      <w:r w:rsidR="00BB58C6" w:rsidRPr="00BB58C6">
        <w:rPr>
          <w:b w:val="0"/>
          <w:sz w:val="12"/>
          <w:lang w:val="en-AU"/>
        </w:rPr>
        <w:tab/>
      </w:r>
      <w:r w:rsidR="00BB58C6" w:rsidRPr="00BB58C6">
        <w:rPr>
          <w:b w:val="0"/>
          <w:color w:val="FFFFFF" w:themeColor="background1"/>
          <w:sz w:val="12"/>
          <w:lang w:val="en-AU"/>
        </w:rPr>
        <w:instrText>.</w:instrText>
      </w:r>
      <w:bookmarkEnd w:id="259"/>
      <w:bookmarkEnd w:id="260"/>
      <w:r w:rsidR="00BB58C6" w:rsidRPr="00BB58C6">
        <w:rPr>
          <w:b w:val="0"/>
          <w:sz w:val="12"/>
          <w:lang w:val="en-AU"/>
        </w:rPr>
        <w:instrText>” \l 1</w:instrText>
      </w:r>
      <w:r w:rsidR="00BB58C6" w:rsidRPr="00BB58C6">
        <w:rPr>
          <w:b w:val="0"/>
          <w:sz w:val="12"/>
        </w:rPr>
        <w:fldChar w:fldCharType="end"/>
      </w:r>
    </w:p>
    <w:tbl>
      <w:tblPr>
        <w:tblStyle w:val="TableGrid"/>
        <w:tblW w:w="0" w:type="auto"/>
        <w:jc w:val="center"/>
        <w:tblLook w:val="04A0" w:firstRow="1" w:lastRow="0" w:firstColumn="1" w:lastColumn="0" w:noHBand="0" w:noVBand="1"/>
      </w:tblPr>
      <w:tblGrid>
        <w:gridCol w:w="1361"/>
        <w:gridCol w:w="8334"/>
      </w:tblGrid>
      <w:tr w:rsidR="00C63E49" w:rsidRPr="008F03E5" w14:paraId="611C1089" w14:textId="77777777" w:rsidTr="00F13B0C">
        <w:trPr>
          <w:jc w:val="center"/>
        </w:trPr>
        <w:tc>
          <w:tcPr>
            <w:tcW w:w="1361" w:type="dxa"/>
          </w:tcPr>
          <w:p w14:paraId="449DAD77" w14:textId="77777777" w:rsidR="00C63E49" w:rsidRPr="008F03E5" w:rsidRDefault="00C63E49" w:rsidP="00941FC0">
            <w:pPr>
              <w:rPr>
                <w:sz w:val="18"/>
                <w:szCs w:val="18"/>
              </w:rPr>
            </w:pPr>
            <w:r w:rsidRPr="008F03E5">
              <w:rPr>
                <w:sz w:val="18"/>
                <w:szCs w:val="18"/>
              </w:rPr>
              <w:t>Stages of</w:t>
            </w:r>
            <w:r w:rsidRPr="008F03E5">
              <w:rPr>
                <w:sz w:val="18"/>
                <w:szCs w:val="18"/>
              </w:rPr>
              <w:br/>
              <w:t>the quest (3)</w:t>
            </w:r>
          </w:p>
        </w:tc>
        <w:tc>
          <w:tcPr>
            <w:tcW w:w="8334" w:type="dxa"/>
          </w:tcPr>
          <w:p w14:paraId="7014981A" w14:textId="77777777" w:rsidR="00C63E49" w:rsidRPr="008F03E5" w:rsidRDefault="00C63E49" w:rsidP="00941FC0">
            <w:pPr>
              <w:jc w:val="both"/>
              <w:rPr>
                <w:sz w:val="18"/>
                <w:szCs w:val="18"/>
              </w:rPr>
            </w:pPr>
            <w:r w:rsidRPr="008F03E5">
              <w:rPr>
                <w:sz w:val="18"/>
                <w:szCs w:val="18"/>
              </w:rPr>
              <w:t xml:space="preserve">The </w:t>
            </w:r>
            <w:r w:rsidRPr="008F03E5">
              <w:rPr>
                <w:i/>
                <w:iCs/>
                <w:sz w:val="18"/>
                <w:szCs w:val="18"/>
                <w:u w:val="single"/>
              </w:rPr>
              <w:t>sh</w:t>
            </w:r>
            <w:r w:rsidRPr="008F03E5">
              <w:rPr>
                <w:i/>
                <w:iCs/>
                <w:sz w:val="18"/>
                <w:szCs w:val="18"/>
              </w:rPr>
              <w:t>arí‘a</w:t>
            </w:r>
            <w:r w:rsidRPr="008F03E5">
              <w:rPr>
                <w:sz w:val="18"/>
                <w:szCs w:val="18"/>
              </w:rPr>
              <w:t xml:space="preserve"> or obedience to the religious law, is absolutely essential for the spiritual life of the believer.  This obedience is destined to lead that believer to a fuller knowledge or awareness, symbolized by </w:t>
            </w:r>
            <w:r w:rsidRPr="008F03E5">
              <w:rPr>
                <w:i/>
                <w:iCs/>
                <w:sz w:val="18"/>
                <w:szCs w:val="18"/>
              </w:rPr>
              <w:t>ṭaríqa</w:t>
            </w:r>
            <w:r w:rsidRPr="008F03E5">
              <w:rPr>
                <w:sz w:val="18"/>
                <w:szCs w:val="18"/>
              </w:rPr>
              <w:t xml:space="preserve">, the ‘way’ or ‘path’ and is the standard technical term for a mystical order.  </w:t>
            </w:r>
            <w:r w:rsidRPr="008F03E5">
              <w:rPr>
                <w:i/>
                <w:iCs/>
                <w:sz w:val="18"/>
                <w:szCs w:val="18"/>
              </w:rPr>
              <w:t>Ḥaqíqa</w:t>
            </w:r>
            <w:r w:rsidRPr="008F03E5">
              <w:rPr>
                <w:sz w:val="18"/>
                <w:szCs w:val="18"/>
              </w:rPr>
              <w:t>, ‘ultimate’ or ‘divine’ reality, is used to indicate the highest possible limit (essentially unachievable) of human aspiration.</w:t>
            </w:r>
          </w:p>
        </w:tc>
      </w:tr>
      <w:tr w:rsidR="00C63E49" w:rsidRPr="008F03E5" w14:paraId="298AAC5C" w14:textId="77777777" w:rsidTr="00F13B0C">
        <w:trPr>
          <w:jc w:val="center"/>
        </w:trPr>
        <w:tc>
          <w:tcPr>
            <w:tcW w:w="1361" w:type="dxa"/>
          </w:tcPr>
          <w:p w14:paraId="0CB3319D" w14:textId="77777777" w:rsidR="00C63E49" w:rsidRPr="008F03E5" w:rsidRDefault="00C63E49" w:rsidP="00941FC0">
            <w:pPr>
              <w:rPr>
                <w:sz w:val="18"/>
                <w:szCs w:val="18"/>
              </w:rPr>
            </w:pPr>
            <w:r w:rsidRPr="008F03E5">
              <w:rPr>
                <w:sz w:val="18"/>
                <w:szCs w:val="18"/>
              </w:rPr>
              <w:t>Modes of</w:t>
            </w:r>
            <w:r w:rsidRPr="008F03E5">
              <w:rPr>
                <w:sz w:val="18"/>
                <w:szCs w:val="18"/>
              </w:rPr>
              <w:br/>
              <w:t>being (3)</w:t>
            </w:r>
          </w:p>
        </w:tc>
        <w:tc>
          <w:tcPr>
            <w:tcW w:w="8334" w:type="dxa"/>
          </w:tcPr>
          <w:p w14:paraId="5182FF58" w14:textId="77777777" w:rsidR="00C63E49" w:rsidRPr="008F03E5" w:rsidRDefault="00C63E49" w:rsidP="00941FC0">
            <w:pPr>
              <w:jc w:val="both"/>
              <w:rPr>
                <w:sz w:val="18"/>
                <w:szCs w:val="18"/>
              </w:rPr>
            </w:pPr>
            <w:r w:rsidRPr="008F03E5">
              <w:rPr>
                <w:sz w:val="18"/>
                <w:szCs w:val="18"/>
              </w:rPr>
              <w:t xml:space="preserve">The </w:t>
            </w:r>
            <w:r w:rsidRPr="008F03E5">
              <w:rPr>
                <w:i/>
                <w:iCs/>
                <w:sz w:val="18"/>
                <w:szCs w:val="18"/>
              </w:rPr>
              <w:t>muslim</w:t>
            </w:r>
            <w:r w:rsidRPr="008F03E5">
              <w:rPr>
                <w:sz w:val="18"/>
                <w:szCs w:val="18"/>
              </w:rPr>
              <w:t xml:space="preserve"> is the one who submits to the law or </w:t>
            </w:r>
            <w:r w:rsidRPr="008F03E5">
              <w:rPr>
                <w:sz w:val="18"/>
                <w:szCs w:val="18"/>
                <w:u w:val="single"/>
              </w:rPr>
              <w:t>sh</w:t>
            </w:r>
            <w:r w:rsidRPr="008F03E5">
              <w:rPr>
                <w:sz w:val="18"/>
                <w:szCs w:val="18"/>
              </w:rPr>
              <w:t xml:space="preserve">arí‘a, even if he does not fully ‘understand’ why he should.  The </w:t>
            </w:r>
            <w:r w:rsidRPr="008F03E5">
              <w:rPr>
                <w:i/>
                <w:iCs/>
                <w:sz w:val="18"/>
                <w:szCs w:val="18"/>
              </w:rPr>
              <w:t>mu’min</w:t>
            </w:r>
            <w:r w:rsidRPr="008F03E5">
              <w:rPr>
                <w:sz w:val="18"/>
                <w:szCs w:val="18"/>
              </w:rPr>
              <w:t xml:space="preserve">, or secure (or faithful) believer, has through his submission acquired a fuller understanding of obedience and the law.  The </w:t>
            </w:r>
            <w:r w:rsidRPr="008F03E5">
              <w:rPr>
                <w:i/>
                <w:iCs/>
                <w:sz w:val="18"/>
                <w:szCs w:val="18"/>
              </w:rPr>
              <w:t>muḥsin</w:t>
            </w:r>
            <w:r w:rsidRPr="008F03E5">
              <w:rPr>
                <w:sz w:val="18"/>
                <w:szCs w:val="18"/>
              </w:rPr>
              <w:t>, one made pleasing to God, ‘automatically’ reflects in his actions and deeds the transformative beauty of this faith and understanding.</w:t>
            </w:r>
          </w:p>
        </w:tc>
      </w:tr>
      <w:tr w:rsidR="00C63E49" w:rsidRPr="008F03E5" w14:paraId="0BB7726E" w14:textId="77777777" w:rsidTr="00F13B0C">
        <w:trPr>
          <w:jc w:val="center"/>
        </w:trPr>
        <w:tc>
          <w:tcPr>
            <w:tcW w:w="1361" w:type="dxa"/>
          </w:tcPr>
          <w:p w14:paraId="480313A6" w14:textId="77777777" w:rsidR="00C63E49" w:rsidRPr="008F03E5" w:rsidRDefault="00C63E49" w:rsidP="00941FC0">
            <w:pPr>
              <w:rPr>
                <w:sz w:val="18"/>
                <w:szCs w:val="18"/>
              </w:rPr>
            </w:pPr>
            <w:r w:rsidRPr="008F03E5">
              <w:rPr>
                <w:sz w:val="18"/>
                <w:szCs w:val="18"/>
              </w:rPr>
              <w:t>Modes of</w:t>
            </w:r>
            <w:r w:rsidRPr="008F03E5">
              <w:rPr>
                <w:sz w:val="18"/>
                <w:szCs w:val="18"/>
              </w:rPr>
              <w:br/>
              <w:t>perception (3)</w:t>
            </w:r>
          </w:p>
        </w:tc>
        <w:tc>
          <w:tcPr>
            <w:tcW w:w="8334" w:type="dxa"/>
          </w:tcPr>
          <w:p w14:paraId="3915930F" w14:textId="63195979" w:rsidR="00C63E49" w:rsidRPr="008F03E5" w:rsidRDefault="00C63E49" w:rsidP="005652ED">
            <w:pPr>
              <w:jc w:val="both"/>
              <w:rPr>
                <w:sz w:val="18"/>
                <w:szCs w:val="18"/>
              </w:rPr>
            </w:pPr>
            <w:r w:rsidRPr="008F03E5">
              <w:rPr>
                <w:i/>
                <w:iCs/>
                <w:sz w:val="18"/>
                <w:szCs w:val="18"/>
              </w:rPr>
              <w:t>‘ilmi yaqín</w:t>
            </w:r>
            <w:r w:rsidRPr="008F03E5">
              <w:rPr>
                <w:sz w:val="18"/>
                <w:szCs w:val="18"/>
              </w:rPr>
              <w:t xml:space="preserve"> (knowledge of certitude, demonstration; a religious life—Qur’án 102:5); </w:t>
            </w:r>
            <w:r w:rsidRPr="008F03E5">
              <w:rPr>
                <w:i/>
                <w:iCs/>
                <w:sz w:val="18"/>
                <w:szCs w:val="18"/>
              </w:rPr>
              <w:t>‘ainu’l-yaqín</w:t>
            </w:r>
            <w:r w:rsidRPr="008F03E5">
              <w:rPr>
                <w:sz w:val="18"/>
                <w:szCs w:val="18"/>
              </w:rPr>
              <w:t xml:space="preserve"> (experimental knowledge; truth ascertained by evidence; certainty</w:t>
            </w:r>
            <w:r w:rsidR="005652ED" w:rsidRPr="008F03E5">
              <w:rPr>
                <w:sz w:val="18"/>
                <w:szCs w:val="18"/>
              </w:rPr>
              <w:t>,</w:t>
            </w:r>
            <w:r w:rsidRPr="008F03E5">
              <w:rPr>
                <w:sz w:val="18"/>
                <w:szCs w:val="18"/>
              </w:rPr>
              <w:t xml:space="preserve"> Qur’án 102:7); and </w:t>
            </w:r>
            <w:r w:rsidRPr="008F03E5">
              <w:rPr>
                <w:i/>
                <w:iCs/>
                <w:sz w:val="18"/>
                <w:szCs w:val="18"/>
              </w:rPr>
              <w:t xml:space="preserve">ḥaqqu (‘ilmu) ’l-yaqín </w:t>
            </w:r>
            <w:r w:rsidRPr="008F03E5">
              <w:rPr>
                <w:sz w:val="18"/>
                <w:szCs w:val="18"/>
              </w:rPr>
              <w:t>(certain truth or knowledge</w:t>
            </w:r>
            <w:r w:rsidR="005652ED" w:rsidRPr="008F03E5">
              <w:rPr>
                <w:sz w:val="18"/>
                <w:szCs w:val="18"/>
              </w:rPr>
              <w:t>,</w:t>
            </w:r>
            <w:r w:rsidRPr="008F03E5">
              <w:rPr>
                <w:sz w:val="18"/>
                <w:szCs w:val="18"/>
              </w:rPr>
              <w:t xml:space="preserve"> Qur’án 56:95, 69:51)</w:t>
            </w:r>
          </w:p>
        </w:tc>
      </w:tr>
      <w:tr w:rsidR="00C63E49" w:rsidRPr="008F03E5" w14:paraId="3FD49789" w14:textId="77777777" w:rsidTr="00F13B0C">
        <w:trPr>
          <w:jc w:val="center"/>
        </w:trPr>
        <w:tc>
          <w:tcPr>
            <w:tcW w:w="1361" w:type="dxa"/>
          </w:tcPr>
          <w:p w14:paraId="17ADA07C" w14:textId="77777777" w:rsidR="00C63E49" w:rsidRPr="008F03E5" w:rsidRDefault="00C63E49" w:rsidP="00941FC0">
            <w:pPr>
              <w:rPr>
                <w:sz w:val="18"/>
                <w:szCs w:val="18"/>
              </w:rPr>
            </w:pPr>
            <w:r w:rsidRPr="008F03E5">
              <w:rPr>
                <w:sz w:val="18"/>
                <w:szCs w:val="18"/>
              </w:rPr>
              <w:t>Modes of</w:t>
            </w:r>
            <w:r w:rsidRPr="008F03E5">
              <w:rPr>
                <w:sz w:val="18"/>
                <w:szCs w:val="18"/>
              </w:rPr>
              <w:br/>
              <w:t>the soul (3)</w:t>
            </w:r>
          </w:p>
        </w:tc>
        <w:tc>
          <w:tcPr>
            <w:tcW w:w="8334" w:type="dxa"/>
          </w:tcPr>
          <w:p w14:paraId="7AF26333" w14:textId="18A79473" w:rsidR="00C63E49" w:rsidRPr="008F03E5" w:rsidRDefault="00C63E49" w:rsidP="005652ED">
            <w:pPr>
              <w:jc w:val="both"/>
              <w:rPr>
                <w:i/>
                <w:iCs/>
                <w:sz w:val="18"/>
                <w:szCs w:val="18"/>
              </w:rPr>
            </w:pPr>
            <w:r w:rsidRPr="008F03E5">
              <w:rPr>
                <w:i/>
                <w:iCs/>
                <w:sz w:val="18"/>
                <w:szCs w:val="18"/>
              </w:rPr>
              <w:t>an-nafs al-‘ammára bi’l-sú’</w:t>
            </w:r>
            <w:r w:rsidRPr="008F03E5">
              <w:rPr>
                <w:sz w:val="18"/>
                <w:szCs w:val="18"/>
              </w:rPr>
              <w:t xml:space="preserve"> (the erring soul</w:t>
            </w:r>
            <w:r w:rsidR="005652ED" w:rsidRPr="008F03E5">
              <w:rPr>
                <w:sz w:val="18"/>
                <w:szCs w:val="18"/>
              </w:rPr>
              <w:t>,</w:t>
            </w:r>
            <w:r w:rsidRPr="008F03E5">
              <w:rPr>
                <w:sz w:val="18"/>
                <w:szCs w:val="18"/>
              </w:rPr>
              <w:t xml:space="preserve"> Qur’án 12:53), </w:t>
            </w:r>
            <w:r w:rsidRPr="008F03E5">
              <w:rPr>
                <w:i/>
                <w:iCs/>
                <w:sz w:val="18"/>
                <w:szCs w:val="18"/>
              </w:rPr>
              <w:t>an-nafs al-lawwáma</w:t>
            </w:r>
            <w:r w:rsidRPr="008F03E5">
              <w:rPr>
                <w:sz w:val="18"/>
                <w:szCs w:val="18"/>
              </w:rPr>
              <w:t xml:space="preserve"> (the guiding soul</w:t>
            </w:r>
            <w:r w:rsidR="005652ED" w:rsidRPr="008F03E5">
              <w:rPr>
                <w:sz w:val="18"/>
                <w:szCs w:val="18"/>
              </w:rPr>
              <w:t>,</w:t>
            </w:r>
            <w:r w:rsidRPr="008F03E5">
              <w:rPr>
                <w:sz w:val="18"/>
                <w:szCs w:val="18"/>
              </w:rPr>
              <w:t xml:space="preserve"> Qur’án 75:2), </w:t>
            </w:r>
            <w:r w:rsidRPr="008F03E5">
              <w:rPr>
                <w:i/>
                <w:iCs/>
                <w:sz w:val="18"/>
                <w:szCs w:val="18"/>
              </w:rPr>
              <w:t>an-nafs al-muṭma’inna</w:t>
            </w:r>
            <w:r w:rsidRPr="008F03E5">
              <w:rPr>
                <w:sz w:val="18"/>
                <w:szCs w:val="18"/>
              </w:rPr>
              <w:t xml:space="preserve"> (the soul at peace</w:t>
            </w:r>
            <w:r w:rsidR="005652ED" w:rsidRPr="008F03E5">
              <w:rPr>
                <w:sz w:val="18"/>
                <w:szCs w:val="18"/>
              </w:rPr>
              <w:t xml:space="preserve">, </w:t>
            </w:r>
            <w:r w:rsidRPr="008F03E5">
              <w:rPr>
                <w:sz w:val="18"/>
                <w:szCs w:val="18"/>
              </w:rPr>
              <w:t>Qur’án 89:27)</w:t>
            </w:r>
            <w:r w:rsidRPr="008F03E5">
              <w:rPr>
                <w:rStyle w:val="FootnoteReference"/>
              </w:rPr>
              <w:footnoteReference w:id="57"/>
            </w:r>
          </w:p>
        </w:tc>
      </w:tr>
    </w:tbl>
    <w:p w14:paraId="66FA9904" w14:textId="222FA07F" w:rsidR="007B4BFC" w:rsidRPr="008F03E5" w:rsidRDefault="00CF2902" w:rsidP="00065B99">
      <w:pPr>
        <w:pStyle w:val="Myhead"/>
      </w:pPr>
      <w:bookmarkStart w:id="261" w:name="_Toc149326110"/>
      <w:r w:rsidRPr="008F03E5">
        <w:t>Word</w:t>
      </w:r>
      <w:r w:rsidR="001B05E1" w:rsidRPr="008F03E5">
        <w:t xml:space="preserve"> </w:t>
      </w:r>
      <w:r w:rsidR="007A6CB0">
        <w:t xml:space="preserve">transcription </w:t>
      </w:r>
      <w:r w:rsidR="001B05E1" w:rsidRPr="008F03E5">
        <w:t>macros</w:t>
      </w:r>
      <w:r w:rsidR="00EB06E9" w:rsidRPr="008F03E5">
        <w:t xml:space="preserve"> (Microsoft)</w:t>
      </w:r>
      <w:bookmarkEnd w:id="261"/>
      <w:r w:rsidR="00BB58C6" w:rsidRPr="00BB58C6">
        <w:rPr>
          <w:b w:val="0"/>
          <w:sz w:val="12"/>
        </w:rPr>
        <w:fldChar w:fldCharType="begin"/>
      </w:r>
      <w:r w:rsidR="00BB58C6" w:rsidRPr="00BB58C6">
        <w:rPr>
          <w:b w:val="0"/>
          <w:sz w:val="12"/>
          <w:lang w:val="en-AU"/>
        </w:rPr>
        <w:instrText xml:space="preserve"> TC “</w:instrText>
      </w:r>
      <w:bookmarkStart w:id="262" w:name="_Toc149476420"/>
      <w:bookmarkStart w:id="263" w:name="_Toc167691914"/>
      <w:r w:rsidR="00BB58C6" w:rsidRPr="00BB58C6">
        <w:rPr>
          <w:b w:val="0"/>
          <w:sz w:val="12"/>
        </w:rPr>
        <w:instrText xml:space="preserve">Word </w:instrText>
      </w:r>
      <w:r w:rsidR="007A6CB0">
        <w:rPr>
          <w:b w:val="0"/>
          <w:sz w:val="12"/>
        </w:rPr>
        <w:instrText xml:space="preserve">transcription </w:instrText>
      </w:r>
      <w:r w:rsidR="00BB58C6" w:rsidRPr="00BB58C6">
        <w:rPr>
          <w:b w:val="0"/>
          <w:sz w:val="12"/>
        </w:rPr>
        <w:instrText>macros</w:instrText>
      </w:r>
      <w:r w:rsidR="00BB58C6" w:rsidRPr="00BB58C6">
        <w:rPr>
          <w:b w:val="0"/>
          <w:color w:val="FFFFFF" w:themeColor="background1"/>
          <w:sz w:val="12"/>
          <w:lang w:val="en-AU"/>
        </w:rPr>
        <w:instrText>..</w:instrText>
      </w:r>
      <w:r w:rsidR="00BB58C6" w:rsidRPr="00BB58C6">
        <w:rPr>
          <w:b w:val="0"/>
          <w:sz w:val="12"/>
          <w:lang w:val="en-AU"/>
        </w:rPr>
        <w:tab/>
      </w:r>
      <w:r w:rsidR="00BB58C6" w:rsidRPr="00BB58C6">
        <w:rPr>
          <w:b w:val="0"/>
          <w:color w:val="FFFFFF" w:themeColor="background1"/>
          <w:sz w:val="12"/>
          <w:lang w:val="en-AU"/>
        </w:rPr>
        <w:instrText>.</w:instrText>
      </w:r>
      <w:bookmarkEnd w:id="262"/>
      <w:bookmarkEnd w:id="263"/>
      <w:r w:rsidR="00BB58C6" w:rsidRPr="00BB58C6">
        <w:rPr>
          <w:b w:val="0"/>
          <w:sz w:val="12"/>
          <w:lang w:val="en-AU"/>
        </w:rPr>
        <w:instrText>” \l 1</w:instrText>
      </w:r>
      <w:r w:rsidR="00BB58C6" w:rsidRPr="00BB58C6">
        <w:rPr>
          <w:b w:val="0"/>
          <w:sz w:val="12"/>
        </w:rPr>
        <w:fldChar w:fldCharType="end"/>
      </w:r>
    </w:p>
    <w:p w14:paraId="36CD1E52" w14:textId="77777777" w:rsidR="003713C3" w:rsidRPr="008F03E5" w:rsidRDefault="003713C3" w:rsidP="004C4CFD">
      <w:pPr>
        <w:pStyle w:val="Text"/>
      </w:pPr>
      <w:r w:rsidRPr="008F03E5">
        <w:t>A number of useful Word macros are provided in this section</w:t>
      </w:r>
      <w:r w:rsidR="004C4CFD" w:rsidRPr="008F03E5">
        <w:t xml:space="preserve">.  Buttons linked to the macros are placed on the Add-in tab on the Word Ribbon that allow the user to insert various transcription characters or </w:t>
      </w:r>
      <w:r w:rsidR="001026DD" w:rsidRPr="008F03E5">
        <w:t xml:space="preserve">to </w:t>
      </w:r>
      <w:r w:rsidR="004C4CFD" w:rsidRPr="008F03E5">
        <w:t xml:space="preserve">replace </w:t>
      </w:r>
      <w:r w:rsidR="001026DD" w:rsidRPr="008F03E5">
        <w:t>a letter</w:t>
      </w:r>
      <w:r w:rsidR="004C4CFD" w:rsidRPr="008F03E5">
        <w:t xml:space="preserve"> with </w:t>
      </w:r>
      <w:r w:rsidR="001026DD" w:rsidRPr="008F03E5">
        <w:t xml:space="preserve">one that has an </w:t>
      </w:r>
      <w:r w:rsidR="004C4CFD" w:rsidRPr="008F03E5">
        <w:t>accent</w:t>
      </w:r>
      <w:r w:rsidR="001026DD" w:rsidRPr="008F03E5">
        <w:t xml:space="preserve"> or underdot</w:t>
      </w:r>
      <w:r w:rsidR="004C4CFD" w:rsidRPr="008F03E5">
        <w:t>.</w:t>
      </w:r>
    </w:p>
    <w:p w14:paraId="761110E5" w14:textId="77777777" w:rsidR="0070463A" w:rsidRPr="008F03E5" w:rsidRDefault="0070463A" w:rsidP="00CF6AF7">
      <w:pPr>
        <w:pStyle w:val="Myhead3"/>
        <w:rPr>
          <w:lang w:val="en-GB"/>
        </w:rPr>
      </w:pPr>
      <w:r w:rsidRPr="008F03E5">
        <w:rPr>
          <w:lang w:val="en-GB"/>
        </w:rPr>
        <w:t>‘Ayn</w:t>
      </w:r>
      <w:r w:rsidR="00D30688" w:rsidRPr="008F03E5">
        <w:rPr>
          <w:lang w:val="en-GB"/>
        </w:rPr>
        <w:t xml:space="preserve"> </w:t>
      </w:r>
      <w:r w:rsidRPr="008F03E5">
        <w:rPr>
          <w:lang w:val="en-GB"/>
        </w:rPr>
        <w:t>macro</w:t>
      </w:r>
    </w:p>
    <w:p w14:paraId="07C20A9F" w14:textId="77777777" w:rsidR="0070463A" w:rsidRPr="008F03E5" w:rsidRDefault="0070463A" w:rsidP="00A243E9">
      <w:pPr>
        <w:pStyle w:val="Text"/>
      </w:pPr>
      <w:r w:rsidRPr="008F03E5">
        <w:t>Use</w:t>
      </w:r>
      <w:r w:rsidR="00D30688" w:rsidRPr="008F03E5">
        <w:t xml:space="preserve"> </w:t>
      </w:r>
      <w:r w:rsidRPr="008F03E5">
        <w:t>the</w:t>
      </w:r>
      <w:r w:rsidR="00D30688" w:rsidRPr="008F03E5">
        <w:t xml:space="preserve"> </w:t>
      </w:r>
      <w:r w:rsidRPr="008F03E5">
        <w:t>following</w:t>
      </w:r>
      <w:r w:rsidR="00D30688" w:rsidRPr="008F03E5">
        <w:t xml:space="preserve"> </w:t>
      </w:r>
      <w:r w:rsidRPr="008F03E5">
        <w:t>macro</w:t>
      </w:r>
      <w:r w:rsidR="00D30688" w:rsidRPr="008F03E5">
        <w:t xml:space="preserve"> </w:t>
      </w:r>
      <w:r w:rsidRPr="008F03E5">
        <w:t>to</w:t>
      </w:r>
      <w:r w:rsidR="00D30688" w:rsidRPr="008F03E5">
        <w:t xml:space="preserve"> </w:t>
      </w:r>
      <w:r w:rsidRPr="008F03E5">
        <w:t>insert</w:t>
      </w:r>
      <w:r w:rsidR="00D30688" w:rsidRPr="008F03E5">
        <w:t xml:space="preserve"> </w:t>
      </w:r>
      <w:r w:rsidRPr="008F03E5">
        <w:t>a</w:t>
      </w:r>
      <w:r w:rsidR="00D30688" w:rsidRPr="008F03E5">
        <w:t xml:space="preserve"> </w:t>
      </w:r>
      <w:r w:rsidRPr="008F03E5">
        <w:t>left</w:t>
      </w:r>
      <w:r w:rsidR="00D30688" w:rsidRPr="008F03E5">
        <w:t xml:space="preserve"> </w:t>
      </w:r>
      <w:r w:rsidRPr="008F03E5">
        <w:t>curly</w:t>
      </w:r>
      <w:r w:rsidR="00D30688" w:rsidRPr="008F03E5">
        <w:t xml:space="preserve"> </w:t>
      </w:r>
      <w:r w:rsidRPr="008F03E5">
        <w:t>apostrophe</w:t>
      </w:r>
      <w:r w:rsidR="00740DD5" w:rsidRPr="008F03E5">
        <w:t>, even when i</w:t>
      </w:r>
      <w:r w:rsidR="004C4CFD" w:rsidRPr="008F03E5">
        <w:t>t</w:t>
      </w:r>
      <w:r w:rsidR="00740DD5" w:rsidRPr="008F03E5">
        <w:t xml:space="preserve"> follows a letter</w:t>
      </w:r>
      <w:r w:rsidRPr="008F03E5">
        <w:t>:</w:t>
      </w:r>
    </w:p>
    <w:p w14:paraId="3A1E18C1" w14:textId="77777777" w:rsidR="0070463A" w:rsidRPr="00442EAD" w:rsidRDefault="0070463A" w:rsidP="00442EAD">
      <w:pPr>
        <w:pStyle w:val="Quote"/>
      </w:pPr>
      <w:r w:rsidRPr="00442EAD">
        <w:t>Sub</w:t>
      </w:r>
      <w:r w:rsidR="00D30688" w:rsidRPr="00442EAD">
        <w:t xml:space="preserve"> </w:t>
      </w:r>
      <w:r w:rsidRPr="00442EAD">
        <w:t>Ayn()</w:t>
      </w:r>
    </w:p>
    <w:p w14:paraId="2FA87749" w14:textId="77777777" w:rsidR="0070463A" w:rsidRPr="00442EAD" w:rsidRDefault="0070463A" w:rsidP="005A69E3">
      <w:pPr>
        <w:pStyle w:val="Quotects"/>
        <w:rPr>
          <w:sz w:val="18"/>
          <w:szCs w:val="18"/>
        </w:rPr>
      </w:pPr>
      <w:r w:rsidRPr="00442EAD">
        <w:rPr>
          <w:sz w:val="18"/>
          <w:szCs w:val="18"/>
        </w:rPr>
        <w:t>'</w:t>
      </w:r>
      <w:r w:rsidR="00D30688" w:rsidRPr="00442EAD">
        <w:rPr>
          <w:sz w:val="18"/>
          <w:szCs w:val="18"/>
        </w:rPr>
        <w:t xml:space="preserve"> </w:t>
      </w:r>
      <w:r w:rsidRPr="00442EAD">
        <w:rPr>
          <w:sz w:val="18"/>
          <w:szCs w:val="18"/>
        </w:rPr>
        <w:t>Ayn</w:t>
      </w:r>
      <w:r w:rsidR="00D30688" w:rsidRPr="00442EAD">
        <w:rPr>
          <w:sz w:val="18"/>
          <w:szCs w:val="18"/>
        </w:rPr>
        <w:t xml:space="preserve"> </w:t>
      </w:r>
      <w:r w:rsidRPr="00442EAD">
        <w:rPr>
          <w:sz w:val="18"/>
          <w:szCs w:val="18"/>
        </w:rPr>
        <w:t>Macro</w:t>
      </w:r>
    </w:p>
    <w:p w14:paraId="6CF4F6D2" w14:textId="77777777" w:rsidR="0070463A" w:rsidRPr="00442EAD" w:rsidRDefault="00D30688" w:rsidP="005A69E3">
      <w:pPr>
        <w:pStyle w:val="Quotects"/>
        <w:rPr>
          <w:sz w:val="18"/>
          <w:szCs w:val="18"/>
        </w:rPr>
      </w:pPr>
      <w:r w:rsidRPr="00442EAD">
        <w:rPr>
          <w:sz w:val="18"/>
          <w:szCs w:val="18"/>
        </w:rPr>
        <w:t xml:space="preserve">    </w:t>
      </w:r>
      <w:r w:rsidR="0070463A" w:rsidRPr="00442EAD">
        <w:rPr>
          <w:sz w:val="18"/>
          <w:szCs w:val="18"/>
        </w:rPr>
        <w:t>Selection.InsertSymbol</w:t>
      </w:r>
      <w:r w:rsidRPr="00442EAD">
        <w:rPr>
          <w:sz w:val="18"/>
          <w:szCs w:val="18"/>
        </w:rPr>
        <w:t xml:space="preserve"> </w:t>
      </w:r>
      <w:r w:rsidR="0070463A" w:rsidRPr="00442EAD">
        <w:rPr>
          <w:sz w:val="18"/>
          <w:szCs w:val="18"/>
        </w:rPr>
        <w:t>CharacterNumber:=8216,</w:t>
      </w:r>
      <w:r w:rsidRPr="00442EAD">
        <w:rPr>
          <w:sz w:val="18"/>
          <w:szCs w:val="18"/>
        </w:rPr>
        <w:t xml:space="preserve"> </w:t>
      </w:r>
      <w:r w:rsidR="0070463A" w:rsidRPr="00442EAD">
        <w:rPr>
          <w:sz w:val="18"/>
          <w:szCs w:val="18"/>
        </w:rPr>
        <w:t>Unicode:=</w:t>
      </w:r>
      <w:r w:rsidRPr="00442EAD">
        <w:rPr>
          <w:sz w:val="18"/>
          <w:szCs w:val="18"/>
        </w:rPr>
        <w:t xml:space="preserve"> </w:t>
      </w:r>
      <w:r w:rsidR="0070463A" w:rsidRPr="00442EAD">
        <w:rPr>
          <w:sz w:val="18"/>
          <w:szCs w:val="18"/>
        </w:rPr>
        <w:t>_</w:t>
      </w:r>
    </w:p>
    <w:p w14:paraId="0CADC530" w14:textId="77777777" w:rsidR="0070463A" w:rsidRPr="00442EAD" w:rsidRDefault="00D30688" w:rsidP="005A69E3">
      <w:pPr>
        <w:pStyle w:val="Quotects"/>
        <w:rPr>
          <w:sz w:val="18"/>
          <w:szCs w:val="18"/>
        </w:rPr>
      </w:pPr>
      <w:r w:rsidRPr="00442EAD">
        <w:rPr>
          <w:sz w:val="18"/>
          <w:szCs w:val="18"/>
        </w:rPr>
        <w:t xml:space="preserve">        </w:t>
      </w:r>
      <w:r w:rsidR="0070463A" w:rsidRPr="00442EAD">
        <w:rPr>
          <w:sz w:val="18"/>
          <w:szCs w:val="18"/>
        </w:rPr>
        <w:t>True</w:t>
      </w:r>
    </w:p>
    <w:p w14:paraId="01726F53" w14:textId="77777777" w:rsidR="0070463A" w:rsidRPr="00442EAD" w:rsidRDefault="0070463A" w:rsidP="005A69E3">
      <w:pPr>
        <w:pStyle w:val="Quotects"/>
        <w:rPr>
          <w:sz w:val="18"/>
          <w:szCs w:val="18"/>
        </w:rPr>
      </w:pPr>
      <w:r w:rsidRPr="00442EAD">
        <w:rPr>
          <w:sz w:val="18"/>
          <w:szCs w:val="18"/>
        </w:rPr>
        <w:t>End</w:t>
      </w:r>
      <w:r w:rsidR="00D30688" w:rsidRPr="00442EAD">
        <w:rPr>
          <w:sz w:val="18"/>
          <w:szCs w:val="18"/>
        </w:rPr>
        <w:t xml:space="preserve"> </w:t>
      </w:r>
      <w:r w:rsidRPr="00442EAD">
        <w:rPr>
          <w:sz w:val="18"/>
          <w:szCs w:val="18"/>
        </w:rPr>
        <w:t>Sub</w:t>
      </w:r>
    </w:p>
    <w:p w14:paraId="1E256F10" w14:textId="77777777" w:rsidR="00CF2902" w:rsidRPr="008F03E5" w:rsidRDefault="00CF2902" w:rsidP="00CF6AF7">
      <w:pPr>
        <w:pStyle w:val="Myhead3"/>
        <w:rPr>
          <w:lang w:val="en-GB"/>
        </w:rPr>
      </w:pPr>
      <w:r w:rsidRPr="008F03E5">
        <w:rPr>
          <w:lang w:val="en-GB"/>
        </w:rPr>
        <w:t>Acute</w:t>
      </w:r>
      <w:r w:rsidR="00D30688" w:rsidRPr="008F03E5">
        <w:rPr>
          <w:lang w:val="en-GB"/>
        </w:rPr>
        <w:t xml:space="preserve"> </w:t>
      </w:r>
      <w:r w:rsidR="009C54B5" w:rsidRPr="008F03E5">
        <w:rPr>
          <w:lang w:val="en-GB"/>
        </w:rPr>
        <w:t>macro</w:t>
      </w:r>
    </w:p>
    <w:p w14:paraId="1D227D3A" w14:textId="77777777" w:rsidR="00CF2902" w:rsidRPr="00442EAD" w:rsidRDefault="00CF2902" w:rsidP="00442EAD">
      <w:pPr>
        <w:pStyle w:val="Text"/>
      </w:pPr>
      <w:r w:rsidRPr="00442EAD">
        <w:t>A</w:t>
      </w:r>
      <w:r w:rsidR="00D30688" w:rsidRPr="00442EAD">
        <w:t xml:space="preserve"> </w:t>
      </w:r>
      <w:r w:rsidRPr="00442EAD">
        <w:t>macro</w:t>
      </w:r>
      <w:r w:rsidR="00D30688" w:rsidRPr="00442EAD">
        <w:t xml:space="preserve"> </w:t>
      </w:r>
      <w:r w:rsidRPr="00442EAD">
        <w:t>to</w:t>
      </w:r>
      <w:r w:rsidR="00D30688" w:rsidRPr="00442EAD">
        <w:t xml:space="preserve"> </w:t>
      </w:r>
      <w:r w:rsidRPr="00442EAD">
        <w:t>replace</w:t>
      </w:r>
      <w:r w:rsidR="00D30688" w:rsidRPr="00442EAD">
        <w:t xml:space="preserve"> </w:t>
      </w:r>
      <w:r w:rsidRPr="00442EAD">
        <w:t>a</w:t>
      </w:r>
      <w:r w:rsidR="00D30688" w:rsidRPr="00442EAD">
        <w:t xml:space="preserve"> </w:t>
      </w:r>
      <w:r w:rsidRPr="00442EAD">
        <w:t>letter</w:t>
      </w:r>
      <w:r w:rsidR="00D30688" w:rsidRPr="00442EAD">
        <w:t xml:space="preserve"> </w:t>
      </w:r>
      <w:r w:rsidRPr="00442EAD">
        <w:t>with</w:t>
      </w:r>
      <w:r w:rsidR="00D30688" w:rsidRPr="00442EAD">
        <w:t xml:space="preserve"> </w:t>
      </w:r>
      <w:r w:rsidRPr="00442EAD">
        <w:t>its</w:t>
      </w:r>
      <w:r w:rsidR="00D30688" w:rsidRPr="00442EAD">
        <w:t xml:space="preserve"> </w:t>
      </w:r>
      <w:r w:rsidRPr="00442EAD">
        <w:t>accented</w:t>
      </w:r>
      <w:r w:rsidR="00D30688" w:rsidRPr="00442EAD">
        <w:t xml:space="preserve"> </w:t>
      </w:r>
      <w:r w:rsidRPr="00442EAD">
        <w:t>form:</w:t>
      </w:r>
    </w:p>
    <w:p w14:paraId="4F2AD2D4" w14:textId="77777777" w:rsidR="00CF2902" w:rsidRPr="00442EAD" w:rsidRDefault="00CF2902" w:rsidP="00442EAD">
      <w:pPr>
        <w:pStyle w:val="Quote"/>
      </w:pPr>
      <w:r w:rsidRPr="00442EAD">
        <w:t>Public</w:t>
      </w:r>
      <w:r w:rsidR="00D30688" w:rsidRPr="00442EAD">
        <w:t xml:space="preserve"> </w:t>
      </w:r>
      <w:r w:rsidRPr="00442EAD">
        <w:t>Sub</w:t>
      </w:r>
      <w:r w:rsidR="00D30688" w:rsidRPr="00442EAD">
        <w:t xml:space="preserve"> </w:t>
      </w:r>
      <w:r w:rsidRPr="00442EAD">
        <w:t>Acute()</w:t>
      </w:r>
    </w:p>
    <w:p w14:paraId="38E6EC6A" w14:textId="77777777" w:rsidR="00CF2902" w:rsidRPr="00442EAD" w:rsidRDefault="00CF2902" w:rsidP="005A69E3">
      <w:pPr>
        <w:pStyle w:val="Quotects"/>
        <w:rPr>
          <w:sz w:val="18"/>
          <w:szCs w:val="18"/>
        </w:rPr>
      </w:pPr>
      <w:r w:rsidRPr="00442EAD">
        <w:rPr>
          <w:sz w:val="18"/>
          <w:szCs w:val="18"/>
        </w:rPr>
        <w:t>'</w:t>
      </w:r>
      <w:r w:rsidR="00D30688" w:rsidRPr="00442EAD">
        <w:rPr>
          <w:sz w:val="18"/>
          <w:szCs w:val="18"/>
        </w:rPr>
        <w:t xml:space="preserve"> </w:t>
      </w:r>
      <w:r w:rsidRPr="00442EAD">
        <w:rPr>
          <w:sz w:val="18"/>
          <w:szCs w:val="18"/>
        </w:rPr>
        <w:t>Acute</w:t>
      </w:r>
      <w:r w:rsidR="00D30688" w:rsidRPr="00442EAD">
        <w:rPr>
          <w:sz w:val="18"/>
          <w:szCs w:val="18"/>
        </w:rPr>
        <w:t xml:space="preserve"> </w:t>
      </w:r>
      <w:r w:rsidR="00406BCB" w:rsidRPr="00442EAD">
        <w:rPr>
          <w:sz w:val="18"/>
          <w:szCs w:val="18"/>
        </w:rPr>
        <w:t>m</w:t>
      </w:r>
      <w:r w:rsidRPr="00442EAD">
        <w:rPr>
          <w:sz w:val="18"/>
          <w:szCs w:val="18"/>
        </w:rPr>
        <w:t>acro</w:t>
      </w:r>
    </w:p>
    <w:p w14:paraId="0E087521" w14:textId="77777777" w:rsidR="00CF2902" w:rsidRPr="00442EAD" w:rsidRDefault="0070463A" w:rsidP="005A69E3">
      <w:pPr>
        <w:pStyle w:val="Quotects"/>
        <w:rPr>
          <w:sz w:val="18"/>
          <w:szCs w:val="18"/>
        </w:rPr>
      </w:pPr>
      <w:r w:rsidRPr="00442EAD">
        <w:rPr>
          <w:sz w:val="18"/>
          <w:szCs w:val="18"/>
        </w:rPr>
        <w:t>'</w:t>
      </w:r>
    </w:p>
    <w:p w14:paraId="75822590"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A_ChrSetAcuteUnicode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Array(65,</w:t>
      </w:r>
      <w:r w:rsidRPr="00442EAD">
        <w:rPr>
          <w:sz w:val="18"/>
          <w:szCs w:val="18"/>
        </w:rPr>
        <w:t xml:space="preserve"> </w:t>
      </w:r>
      <w:r w:rsidR="00CF2902" w:rsidRPr="00442EAD">
        <w:rPr>
          <w:sz w:val="18"/>
          <w:szCs w:val="18"/>
        </w:rPr>
        <w:t>97,</w:t>
      </w:r>
      <w:r w:rsidRPr="00442EAD">
        <w:rPr>
          <w:sz w:val="18"/>
          <w:szCs w:val="18"/>
        </w:rPr>
        <w:t xml:space="preserve"> </w:t>
      </w:r>
      <w:r w:rsidR="00CF2902" w:rsidRPr="00442EAD">
        <w:rPr>
          <w:sz w:val="18"/>
          <w:szCs w:val="18"/>
        </w:rPr>
        <w:t>67,</w:t>
      </w:r>
      <w:r w:rsidRPr="00442EAD">
        <w:rPr>
          <w:sz w:val="18"/>
          <w:szCs w:val="18"/>
        </w:rPr>
        <w:t xml:space="preserve"> </w:t>
      </w:r>
      <w:r w:rsidR="00CF2902" w:rsidRPr="00442EAD">
        <w:rPr>
          <w:sz w:val="18"/>
          <w:szCs w:val="18"/>
        </w:rPr>
        <w:t>99,</w:t>
      </w:r>
      <w:r w:rsidRPr="00442EAD">
        <w:rPr>
          <w:sz w:val="18"/>
          <w:szCs w:val="18"/>
        </w:rPr>
        <w:t xml:space="preserve"> </w:t>
      </w:r>
      <w:r w:rsidR="00CF2902" w:rsidRPr="00442EAD">
        <w:rPr>
          <w:sz w:val="18"/>
          <w:szCs w:val="18"/>
        </w:rPr>
        <w:t>69,</w:t>
      </w:r>
      <w:r w:rsidRPr="00442EAD">
        <w:rPr>
          <w:sz w:val="18"/>
          <w:szCs w:val="18"/>
        </w:rPr>
        <w:t xml:space="preserve"> </w:t>
      </w:r>
      <w:r w:rsidR="00CF2902" w:rsidRPr="00442EAD">
        <w:rPr>
          <w:sz w:val="18"/>
          <w:szCs w:val="18"/>
        </w:rPr>
        <w:t>101,</w:t>
      </w:r>
      <w:r w:rsidRPr="00442EAD">
        <w:rPr>
          <w:sz w:val="18"/>
          <w:szCs w:val="18"/>
        </w:rPr>
        <w:t xml:space="preserve"> </w:t>
      </w:r>
      <w:r w:rsidR="00CF2902" w:rsidRPr="00442EAD">
        <w:rPr>
          <w:sz w:val="18"/>
          <w:szCs w:val="18"/>
        </w:rPr>
        <w:t>71,</w:t>
      </w:r>
      <w:r w:rsidRPr="00442EAD">
        <w:rPr>
          <w:sz w:val="18"/>
          <w:szCs w:val="18"/>
        </w:rPr>
        <w:t xml:space="preserve"> </w:t>
      </w:r>
      <w:r w:rsidR="00CF2902" w:rsidRPr="00442EAD">
        <w:rPr>
          <w:sz w:val="18"/>
          <w:szCs w:val="18"/>
        </w:rPr>
        <w:t>103,</w:t>
      </w:r>
      <w:r w:rsidRPr="00442EAD">
        <w:rPr>
          <w:sz w:val="18"/>
          <w:szCs w:val="18"/>
        </w:rPr>
        <w:t xml:space="preserve"> </w:t>
      </w:r>
      <w:r w:rsidR="00CF2902" w:rsidRPr="00442EAD">
        <w:rPr>
          <w:sz w:val="18"/>
          <w:szCs w:val="18"/>
        </w:rPr>
        <w:t>73,</w:t>
      </w:r>
      <w:r w:rsidRPr="00442EAD">
        <w:rPr>
          <w:sz w:val="18"/>
          <w:szCs w:val="18"/>
        </w:rPr>
        <w:t xml:space="preserve"> </w:t>
      </w:r>
      <w:r w:rsidR="00CF2902" w:rsidRPr="00442EAD">
        <w:rPr>
          <w:sz w:val="18"/>
          <w:szCs w:val="18"/>
        </w:rPr>
        <w:t>105,</w:t>
      </w:r>
      <w:r w:rsidRPr="00442EAD">
        <w:rPr>
          <w:sz w:val="18"/>
          <w:szCs w:val="18"/>
        </w:rPr>
        <w:t xml:space="preserve"> </w:t>
      </w:r>
      <w:r w:rsidR="00CF2902" w:rsidRPr="00442EAD">
        <w:rPr>
          <w:sz w:val="18"/>
          <w:szCs w:val="18"/>
        </w:rPr>
        <w:t>75,</w:t>
      </w:r>
      <w:r w:rsidRPr="00442EAD">
        <w:rPr>
          <w:sz w:val="18"/>
          <w:szCs w:val="18"/>
        </w:rPr>
        <w:t xml:space="preserve"> </w:t>
      </w:r>
      <w:r w:rsidR="00CF2902" w:rsidRPr="00442EAD">
        <w:rPr>
          <w:sz w:val="18"/>
          <w:szCs w:val="18"/>
        </w:rPr>
        <w:t>107,</w:t>
      </w:r>
      <w:r w:rsidRPr="00442EAD">
        <w:rPr>
          <w:sz w:val="18"/>
          <w:szCs w:val="18"/>
        </w:rPr>
        <w:t xml:space="preserve"> </w:t>
      </w:r>
      <w:r w:rsidR="00CF2902" w:rsidRPr="00442EAD">
        <w:rPr>
          <w:sz w:val="18"/>
          <w:szCs w:val="18"/>
        </w:rPr>
        <w:t>76,</w:t>
      </w:r>
      <w:r w:rsidRPr="00442EAD">
        <w:rPr>
          <w:sz w:val="18"/>
          <w:szCs w:val="18"/>
        </w:rPr>
        <w:t xml:space="preserve"> </w:t>
      </w:r>
      <w:r w:rsidR="00CF2902" w:rsidRPr="00442EAD">
        <w:rPr>
          <w:sz w:val="18"/>
          <w:szCs w:val="18"/>
        </w:rPr>
        <w:t>108,</w:t>
      </w:r>
      <w:r w:rsidRPr="00442EAD">
        <w:rPr>
          <w:sz w:val="18"/>
          <w:szCs w:val="18"/>
        </w:rPr>
        <w:t xml:space="preserve"> </w:t>
      </w:r>
      <w:r w:rsidR="00CF2902" w:rsidRPr="00442EAD">
        <w:rPr>
          <w:sz w:val="18"/>
          <w:szCs w:val="18"/>
        </w:rPr>
        <w:t>77,</w:t>
      </w:r>
      <w:r w:rsidRPr="00442EAD">
        <w:rPr>
          <w:sz w:val="18"/>
          <w:szCs w:val="18"/>
        </w:rPr>
        <w:t xml:space="preserve"> </w:t>
      </w:r>
      <w:r w:rsidR="00CF2902" w:rsidRPr="00442EAD">
        <w:rPr>
          <w:sz w:val="18"/>
          <w:szCs w:val="18"/>
        </w:rPr>
        <w:t>109,</w:t>
      </w:r>
      <w:r w:rsidRPr="00442EAD">
        <w:rPr>
          <w:sz w:val="18"/>
          <w:szCs w:val="18"/>
        </w:rPr>
        <w:t xml:space="preserve"> </w:t>
      </w:r>
      <w:r w:rsidR="00CF2902" w:rsidRPr="00442EAD">
        <w:rPr>
          <w:sz w:val="18"/>
          <w:szCs w:val="18"/>
        </w:rPr>
        <w:t>78,</w:t>
      </w:r>
      <w:r w:rsidRPr="00442EAD">
        <w:rPr>
          <w:sz w:val="18"/>
          <w:szCs w:val="18"/>
        </w:rPr>
        <w:t xml:space="preserve"> </w:t>
      </w:r>
      <w:r w:rsidR="00CF2902" w:rsidRPr="00442EAD">
        <w:rPr>
          <w:sz w:val="18"/>
          <w:szCs w:val="18"/>
        </w:rPr>
        <w:t>110,</w:t>
      </w:r>
      <w:r w:rsidRPr="00442EAD">
        <w:rPr>
          <w:sz w:val="18"/>
          <w:szCs w:val="18"/>
        </w:rPr>
        <w:t xml:space="preserve"> </w:t>
      </w:r>
      <w:r w:rsidR="00CF2902" w:rsidRPr="00442EAD">
        <w:rPr>
          <w:sz w:val="18"/>
          <w:szCs w:val="18"/>
        </w:rPr>
        <w:t>79,</w:t>
      </w:r>
      <w:r w:rsidRPr="00442EAD">
        <w:rPr>
          <w:sz w:val="18"/>
          <w:szCs w:val="18"/>
        </w:rPr>
        <w:t xml:space="preserve"> </w:t>
      </w:r>
      <w:r w:rsidR="00CF2902" w:rsidRPr="00442EAD">
        <w:rPr>
          <w:sz w:val="18"/>
          <w:szCs w:val="18"/>
        </w:rPr>
        <w:t>111,</w:t>
      </w:r>
      <w:r w:rsidRPr="00442EAD">
        <w:rPr>
          <w:sz w:val="18"/>
          <w:szCs w:val="18"/>
        </w:rPr>
        <w:t xml:space="preserve"> </w:t>
      </w:r>
      <w:r w:rsidR="00CF2902" w:rsidRPr="00442EAD">
        <w:rPr>
          <w:sz w:val="18"/>
          <w:szCs w:val="18"/>
        </w:rPr>
        <w:t>80,</w:t>
      </w:r>
      <w:r w:rsidRPr="00442EAD">
        <w:rPr>
          <w:sz w:val="18"/>
          <w:szCs w:val="18"/>
        </w:rPr>
        <w:t xml:space="preserve"> </w:t>
      </w:r>
      <w:r w:rsidR="00CF2902" w:rsidRPr="00442EAD">
        <w:rPr>
          <w:sz w:val="18"/>
          <w:szCs w:val="18"/>
        </w:rPr>
        <w:t>112,</w:t>
      </w:r>
      <w:r w:rsidRPr="00442EAD">
        <w:rPr>
          <w:sz w:val="18"/>
          <w:szCs w:val="18"/>
        </w:rPr>
        <w:t xml:space="preserve"> </w:t>
      </w:r>
      <w:r w:rsidR="00CF2902" w:rsidRPr="00442EAD">
        <w:rPr>
          <w:sz w:val="18"/>
          <w:szCs w:val="18"/>
        </w:rPr>
        <w:t>82,</w:t>
      </w:r>
      <w:r w:rsidRPr="00442EAD">
        <w:rPr>
          <w:sz w:val="18"/>
          <w:szCs w:val="18"/>
        </w:rPr>
        <w:t xml:space="preserve"> </w:t>
      </w:r>
      <w:r w:rsidR="00CF2902" w:rsidRPr="00442EAD">
        <w:rPr>
          <w:sz w:val="18"/>
          <w:szCs w:val="18"/>
        </w:rPr>
        <w:t>114,</w:t>
      </w:r>
      <w:r w:rsidRPr="00442EAD">
        <w:rPr>
          <w:sz w:val="18"/>
          <w:szCs w:val="18"/>
        </w:rPr>
        <w:t xml:space="preserve"> </w:t>
      </w:r>
      <w:r w:rsidR="00CF2902" w:rsidRPr="00442EAD">
        <w:rPr>
          <w:sz w:val="18"/>
          <w:szCs w:val="18"/>
        </w:rPr>
        <w:t>83,</w:t>
      </w:r>
      <w:r w:rsidRPr="00442EAD">
        <w:rPr>
          <w:sz w:val="18"/>
          <w:szCs w:val="18"/>
        </w:rPr>
        <w:t xml:space="preserve"> </w:t>
      </w:r>
      <w:r w:rsidR="00CF2902" w:rsidRPr="00442EAD">
        <w:rPr>
          <w:sz w:val="18"/>
          <w:szCs w:val="18"/>
        </w:rPr>
        <w:t>115,</w:t>
      </w:r>
      <w:r w:rsidRPr="00442EAD">
        <w:rPr>
          <w:sz w:val="18"/>
          <w:szCs w:val="18"/>
        </w:rPr>
        <w:t xml:space="preserve"> </w:t>
      </w:r>
      <w:r w:rsidR="00CF2902" w:rsidRPr="00442EAD">
        <w:rPr>
          <w:sz w:val="18"/>
          <w:szCs w:val="18"/>
        </w:rPr>
        <w:t>85,</w:t>
      </w:r>
      <w:r w:rsidRPr="00442EAD">
        <w:rPr>
          <w:sz w:val="18"/>
          <w:szCs w:val="18"/>
        </w:rPr>
        <w:t xml:space="preserve"> </w:t>
      </w:r>
      <w:r w:rsidR="00CF2902" w:rsidRPr="00442EAD">
        <w:rPr>
          <w:sz w:val="18"/>
          <w:szCs w:val="18"/>
        </w:rPr>
        <w:t>117,</w:t>
      </w:r>
      <w:r w:rsidRPr="00442EAD">
        <w:rPr>
          <w:sz w:val="18"/>
          <w:szCs w:val="18"/>
        </w:rPr>
        <w:t xml:space="preserve"> </w:t>
      </w:r>
      <w:r w:rsidR="00CF2902" w:rsidRPr="00442EAD">
        <w:rPr>
          <w:sz w:val="18"/>
          <w:szCs w:val="18"/>
        </w:rPr>
        <w:t>87,</w:t>
      </w:r>
      <w:r w:rsidRPr="00442EAD">
        <w:rPr>
          <w:sz w:val="18"/>
          <w:szCs w:val="18"/>
        </w:rPr>
        <w:t xml:space="preserve"> </w:t>
      </w:r>
      <w:r w:rsidR="00CF2902" w:rsidRPr="00442EAD">
        <w:rPr>
          <w:sz w:val="18"/>
          <w:szCs w:val="18"/>
        </w:rPr>
        <w:t>119,</w:t>
      </w:r>
      <w:r w:rsidRPr="00442EAD">
        <w:rPr>
          <w:sz w:val="18"/>
          <w:szCs w:val="18"/>
        </w:rPr>
        <w:t xml:space="preserve"> </w:t>
      </w:r>
      <w:r w:rsidR="00CF2902" w:rsidRPr="00442EAD">
        <w:rPr>
          <w:sz w:val="18"/>
          <w:szCs w:val="18"/>
        </w:rPr>
        <w:t>89,</w:t>
      </w:r>
      <w:r w:rsidRPr="00442EAD">
        <w:rPr>
          <w:sz w:val="18"/>
          <w:szCs w:val="18"/>
        </w:rPr>
        <w:t xml:space="preserve"> </w:t>
      </w:r>
      <w:r w:rsidR="00CF2902" w:rsidRPr="00442EAD">
        <w:rPr>
          <w:sz w:val="18"/>
          <w:szCs w:val="18"/>
        </w:rPr>
        <w:t>121,</w:t>
      </w:r>
      <w:r w:rsidRPr="00442EAD">
        <w:rPr>
          <w:sz w:val="18"/>
          <w:szCs w:val="18"/>
        </w:rPr>
        <w:t xml:space="preserve"> </w:t>
      </w:r>
      <w:r w:rsidR="00CF2902" w:rsidRPr="00442EAD">
        <w:rPr>
          <w:sz w:val="18"/>
          <w:szCs w:val="18"/>
        </w:rPr>
        <w:t>90,</w:t>
      </w:r>
      <w:r w:rsidRPr="00442EAD">
        <w:rPr>
          <w:sz w:val="18"/>
          <w:szCs w:val="18"/>
        </w:rPr>
        <w:t xml:space="preserve"> </w:t>
      </w:r>
      <w:r w:rsidR="00CF2902" w:rsidRPr="00442EAD">
        <w:rPr>
          <w:sz w:val="18"/>
          <w:szCs w:val="18"/>
        </w:rPr>
        <w:t>122)</w:t>
      </w:r>
    </w:p>
    <w:p w14:paraId="1CE7F675"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A_ChrSetUnicode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Array(193,</w:t>
      </w:r>
      <w:r w:rsidRPr="00442EAD">
        <w:rPr>
          <w:sz w:val="18"/>
          <w:szCs w:val="18"/>
        </w:rPr>
        <w:t xml:space="preserve"> </w:t>
      </w:r>
      <w:r w:rsidR="00CF2902" w:rsidRPr="00442EAD">
        <w:rPr>
          <w:sz w:val="18"/>
          <w:szCs w:val="18"/>
        </w:rPr>
        <w:t>225,</w:t>
      </w:r>
      <w:r w:rsidRPr="00442EAD">
        <w:rPr>
          <w:sz w:val="18"/>
          <w:szCs w:val="18"/>
        </w:rPr>
        <w:t xml:space="preserve"> </w:t>
      </w:r>
      <w:r w:rsidR="00CF2902" w:rsidRPr="00442EAD">
        <w:rPr>
          <w:sz w:val="18"/>
          <w:szCs w:val="18"/>
        </w:rPr>
        <w:t>262,</w:t>
      </w:r>
      <w:r w:rsidRPr="00442EAD">
        <w:rPr>
          <w:sz w:val="18"/>
          <w:szCs w:val="18"/>
        </w:rPr>
        <w:t xml:space="preserve"> </w:t>
      </w:r>
      <w:r w:rsidR="00CF2902" w:rsidRPr="00442EAD">
        <w:rPr>
          <w:sz w:val="18"/>
          <w:szCs w:val="18"/>
        </w:rPr>
        <w:t>263,</w:t>
      </w:r>
      <w:r w:rsidRPr="00442EAD">
        <w:rPr>
          <w:sz w:val="18"/>
          <w:szCs w:val="18"/>
        </w:rPr>
        <w:t xml:space="preserve"> </w:t>
      </w:r>
      <w:r w:rsidR="00CF2902" w:rsidRPr="00442EAD">
        <w:rPr>
          <w:sz w:val="18"/>
          <w:szCs w:val="18"/>
        </w:rPr>
        <w:t>201,</w:t>
      </w:r>
      <w:r w:rsidRPr="00442EAD">
        <w:rPr>
          <w:sz w:val="18"/>
          <w:szCs w:val="18"/>
        </w:rPr>
        <w:t xml:space="preserve"> </w:t>
      </w:r>
      <w:r w:rsidR="00CF2902" w:rsidRPr="00442EAD">
        <w:rPr>
          <w:sz w:val="18"/>
          <w:szCs w:val="18"/>
        </w:rPr>
        <w:t>233,</w:t>
      </w:r>
      <w:r w:rsidRPr="00442EAD">
        <w:rPr>
          <w:sz w:val="18"/>
          <w:szCs w:val="18"/>
        </w:rPr>
        <w:t xml:space="preserve"> </w:t>
      </w:r>
      <w:r w:rsidR="00CF2902" w:rsidRPr="00442EAD">
        <w:rPr>
          <w:sz w:val="18"/>
          <w:szCs w:val="18"/>
        </w:rPr>
        <w:t>500,</w:t>
      </w:r>
      <w:r w:rsidRPr="00442EAD">
        <w:rPr>
          <w:sz w:val="18"/>
          <w:szCs w:val="18"/>
        </w:rPr>
        <w:t xml:space="preserve"> </w:t>
      </w:r>
      <w:r w:rsidR="00CF2902" w:rsidRPr="00442EAD">
        <w:rPr>
          <w:sz w:val="18"/>
          <w:szCs w:val="18"/>
        </w:rPr>
        <w:t>501,</w:t>
      </w:r>
      <w:r w:rsidRPr="00442EAD">
        <w:rPr>
          <w:sz w:val="18"/>
          <w:szCs w:val="18"/>
        </w:rPr>
        <w:t xml:space="preserve"> </w:t>
      </w:r>
      <w:r w:rsidR="00CF2902" w:rsidRPr="00442EAD">
        <w:rPr>
          <w:sz w:val="18"/>
          <w:szCs w:val="18"/>
        </w:rPr>
        <w:t>205,</w:t>
      </w:r>
      <w:r w:rsidRPr="00442EAD">
        <w:rPr>
          <w:sz w:val="18"/>
          <w:szCs w:val="18"/>
        </w:rPr>
        <w:t xml:space="preserve"> </w:t>
      </w:r>
      <w:r w:rsidR="00CF2902" w:rsidRPr="00442EAD">
        <w:rPr>
          <w:sz w:val="18"/>
          <w:szCs w:val="18"/>
        </w:rPr>
        <w:t>237,</w:t>
      </w:r>
      <w:r w:rsidRPr="00442EAD">
        <w:rPr>
          <w:sz w:val="18"/>
          <w:szCs w:val="18"/>
        </w:rPr>
        <w:t xml:space="preserve"> </w:t>
      </w:r>
      <w:r w:rsidR="00CF2902" w:rsidRPr="00442EAD">
        <w:rPr>
          <w:sz w:val="18"/>
          <w:szCs w:val="18"/>
        </w:rPr>
        <w:t>7728,</w:t>
      </w:r>
      <w:r w:rsidRPr="00442EAD">
        <w:rPr>
          <w:sz w:val="18"/>
          <w:szCs w:val="18"/>
        </w:rPr>
        <w:t xml:space="preserve"> </w:t>
      </w:r>
      <w:r w:rsidR="00CF2902" w:rsidRPr="00442EAD">
        <w:rPr>
          <w:sz w:val="18"/>
          <w:szCs w:val="18"/>
        </w:rPr>
        <w:t>7729,</w:t>
      </w:r>
      <w:r w:rsidRPr="00442EAD">
        <w:rPr>
          <w:sz w:val="18"/>
          <w:szCs w:val="18"/>
        </w:rPr>
        <w:t xml:space="preserve"> </w:t>
      </w:r>
      <w:r w:rsidR="00CF2902" w:rsidRPr="00442EAD">
        <w:rPr>
          <w:sz w:val="18"/>
          <w:szCs w:val="18"/>
        </w:rPr>
        <w:t>313,</w:t>
      </w:r>
      <w:r w:rsidRPr="00442EAD">
        <w:rPr>
          <w:sz w:val="18"/>
          <w:szCs w:val="18"/>
        </w:rPr>
        <w:t xml:space="preserve"> </w:t>
      </w:r>
      <w:r w:rsidR="00CF2902" w:rsidRPr="00442EAD">
        <w:rPr>
          <w:sz w:val="18"/>
          <w:szCs w:val="18"/>
        </w:rPr>
        <w:t>314,</w:t>
      </w:r>
      <w:r w:rsidRPr="00442EAD">
        <w:rPr>
          <w:sz w:val="18"/>
          <w:szCs w:val="18"/>
        </w:rPr>
        <w:t xml:space="preserve"> </w:t>
      </w:r>
      <w:r w:rsidR="00CF2902" w:rsidRPr="00442EAD">
        <w:rPr>
          <w:sz w:val="18"/>
          <w:szCs w:val="18"/>
        </w:rPr>
        <w:t>7742,</w:t>
      </w:r>
      <w:r w:rsidRPr="00442EAD">
        <w:rPr>
          <w:sz w:val="18"/>
          <w:szCs w:val="18"/>
        </w:rPr>
        <w:t xml:space="preserve"> </w:t>
      </w:r>
      <w:r w:rsidR="00CF2902" w:rsidRPr="00442EAD">
        <w:rPr>
          <w:sz w:val="18"/>
          <w:szCs w:val="18"/>
        </w:rPr>
        <w:t>7743,</w:t>
      </w:r>
      <w:r w:rsidRPr="00442EAD">
        <w:rPr>
          <w:sz w:val="18"/>
          <w:szCs w:val="18"/>
        </w:rPr>
        <w:t xml:space="preserve"> </w:t>
      </w:r>
      <w:r w:rsidR="00CF2902" w:rsidRPr="00442EAD">
        <w:rPr>
          <w:sz w:val="18"/>
          <w:szCs w:val="18"/>
        </w:rPr>
        <w:t>323,</w:t>
      </w:r>
      <w:r w:rsidRPr="00442EAD">
        <w:rPr>
          <w:sz w:val="18"/>
          <w:szCs w:val="18"/>
        </w:rPr>
        <w:t xml:space="preserve"> </w:t>
      </w:r>
      <w:r w:rsidR="00CF2902" w:rsidRPr="00442EAD">
        <w:rPr>
          <w:sz w:val="18"/>
          <w:szCs w:val="18"/>
        </w:rPr>
        <w:t>324,</w:t>
      </w:r>
      <w:r w:rsidRPr="00442EAD">
        <w:rPr>
          <w:sz w:val="18"/>
          <w:szCs w:val="18"/>
        </w:rPr>
        <w:t xml:space="preserve"> </w:t>
      </w:r>
      <w:r w:rsidR="00CF2902" w:rsidRPr="00442EAD">
        <w:rPr>
          <w:sz w:val="18"/>
          <w:szCs w:val="18"/>
        </w:rPr>
        <w:t>211,</w:t>
      </w:r>
      <w:r w:rsidRPr="00442EAD">
        <w:rPr>
          <w:sz w:val="18"/>
          <w:szCs w:val="18"/>
        </w:rPr>
        <w:t xml:space="preserve"> </w:t>
      </w:r>
      <w:r w:rsidR="00CF2902" w:rsidRPr="00442EAD">
        <w:rPr>
          <w:sz w:val="18"/>
          <w:szCs w:val="18"/>
        </w:rPr>
        <w:t>243,</w:t>
      </w:r>
      <w:r w:rsidRPr="00442EAD">
        <w:rPr>
          <w:sz w:val="18"/>
          <w:szCs w:val="18"/>
        </w:rPr>
        <w:t xml:space="preserve"> </w:t>
      </w:r>
      <w:r w:rsidR="00CF2902" w:rsidRPr="00442EAD">
        <w:rPr>
          <w:sz w:val="18"/>
          <w:szCs w:val="18"/>
        </w:rPr>
        <w:t>7764,</w:t>
      </w:r>
      <w:r w:rsidRPr="00442EAD">
        <w:rPr>
          <w:sz w:val="18"/>
          <w:szCs w:val="18"/>
        </w:rPr>
        <w:t xml:space="preserve"> </w:t>
      </w:r>
      <w:r w:rsidR="00CF2902" w:rsidRPr="00442EAD">
        <w:rPr>
          <w:sz w:val="18"/>
          <w:szCs w:val="18"/>
        </w:rPr>
        <w:t>7765,</w:t>
      </w:r>
      <w:r w:rsidRPr="00442EAD">
        <w:rPr>
          <w:sz w:val="18"/>
          <w:szCs w:val="18"/>
        </w:rPr>
        <w:t xml:space="preserve"> </w:t>
      </w:r>
      <w:r w:rsidR="00CF2902" w:rsidRPr="00442EAD">
        <w:rPr>
          <w:sz w:val="18"/>
          <w:szCs w:val="18"/>
        </w:rPr>
        <w:t>340,</w:t>
      </w:r>
      <w:r w:rsidRPr="00442EAD">
        <w:rPr>
          <w:sz w:val="18"/>
          <w:szCs w:val="18"/>
        </w:rPr>
        <w:t xml:space="preserve"> </w:t>
      </w:r>
      <w:r w:rsidR="00CF2902" w:rsidRPr="00442EAD">
        <w:rPr>
          <w:sz w:val="18"/>
          <w:szCs w:val="18"/>
        </w:rPr>
        <w:t>341,</w:t>
      </w:r>
      <w:r w:rsidRPr="00442EAD">
        <w:rPr>
          <w:sz w:val="18"/>
          <w:szCs w:val="18"/>
        </w:rPr>
        <w:t xml:space="preserve"> </w:t>
      </w:r>
      <w:r w:rsidR="00CF2902" w:rsidRPr="00442EAD">
        <w:rPr>
          <w:sz w:val="18"/>
          <w:szCs w:val="18"/>
        </w:rPr>
        <w:t>346,</w:t>
      </w:r>
      <w:r w:rsidRPr="00442EAD">
        <w:rPr>
          <w:sz w:val="18"/>
          <w:szCs w:val="18"/>
        </w:rPr>
        <w:t xml:space="preserve"> </w:t>
      </w:r>
      <w:r w:rsidR="00CF2902" w:rsidRPr="00442EAD">
        <w:rPr>
          <w:sz w:val="18"/>
          <w:szCs w:val="18"/>
        </w:rPr>
        <w:t>347,</w:t>
      </w:r>
      <w:r w:rsidRPr="00442EAD">
        <w:rPr>
          <w:sz w:val="18"/>
          <w:szCs w:val="18"/>
        </w:rPr>
        <w:t xml:space="preserve"> </w:t>
      </w:r>
      <w:r w:rsidR="00CF2902" w:rsidRPr="00442EAD">
        <w:rPr>
          <w:sz w:val="18"/>
          <w:szCs w:val="18"/>
        </w:rPr>
        <w:t>218,</w:t>
      </w:r>
      <w:r w:rsidRPr="00442EAD">
        <w:rPr>
          <w:sz w:val="18"/>
          <w:szCs w:val="18"/>
        </w:rPr>
        <w:t xml:space="preserve"> </w:t>
      </w:r>
      <w:r w:rsidR="00CF2902" w:rsidRPr="00442EAD">
        <w:rPr>
          <w:sz w:val="18"/>
          <w:szCs w:val="18"/>
        </w:rPr>
        <w:t>250,</w:t>
      </w:r>
      <w:r w:rsidRPr="00442EAD">
        <w:rPr>
          <w:sz w:val="18"/>
          <w:szCs w:val="18"/>
        </w:rPr>
        <w:t xml:space="preserve"> </w:t>
      </w:r>
      <w:r w:rsidR="00CF2902" w:rsidRPr="00442EAD">
        <w:rPr>
          <w:sz w:val="18"/>
          <w:szCs w:val="18"/>
        </w:rPr>
        <w:t>7810,</w:t>
      </w:r>
      <w:r w:rsidRPr="00442EAD">
        <w:rPr>
          <w:sz w:val="18"/>
          <w:szCs w:val="18"/>
        </w:rPr>
        <w:t xml:space="preserve"> </w:t>
      </w:r>
      <w:r w:rsidR="00CF2902" w:rsidRPr="00442EAD">
        <w:rPr>
          <w:sz w:val="18"/>
          <w:szCs w:val="18"/>
        </w:rPr>
        <w:t>7811,</w:t>
      </w:r>
      <w:r w:rsidRPr="00442EAD">
        <w:rPr>
          <w:sz w:val="18"/>
          <w:szCs w:val="18"/>
        </w:rPr>
        <w:t xml:space="preserve"> </w:t>
      </w:r>
      <w:r w:rsidR="00CF2902" w:rsidRPr="00442EAD">
        <w:rPr>
          <w:sz w:val="18"/>
          <w:szCs w:val="18"/>
        </w:rPr>
        <w:t>221,</w:t>
      </w:r>
      <w:r w:rsidRPr="00442EAD">
        <w:rPr>
          <w:sz w:val="18"/>
          <w:szCs w:val="18"/>
        </w:rPr>
        <w:t xml:space="preserve"> </w:t>
      </w:r>
      <w:r w:rsidR="00CF2902" w:rsidRPr="00442EAD">
        <w:rPr>
          <w:sz w:val="18"/>
          <w:szCs w:val="18"/>
        </w:rPr>
        <w:t>253,</w:t>
      </w:r>
      <w:r w:rsidRPr="00442EAD">
        <w:rPr>
          <w:sz w:val="18"/>
          <w:szCs w:val="18"/>
        </w:rPr>
        <w:t xml:space="preserve"> </w:t>
      </w:r>
      <w:r w:rsidR="00CF2902" w:rsidRPr="00442EAD">
        <w:rPr>
          <w:sz w:val="18"/>
          <w:szCs w:val="18"/>
        </w:rPr>
        <w:t>377,</w:t>
      </w:r>
      <w:r w:rsidRPr="00442EAD">
        <w:rPr>
          <w:sz w:val="18"/>
          <w:szCs w:val="18"/>
        </w:rPr>
        <w:t xml:space="preserve"> </w:t>
      </w:r>
      <w:r w:rsidR="00CF2902" w:rsidRPr="00442EAD">
        <w:rPr>
          <w:sz w:val="18"/>
          <w:szCs w:val="18"/>
        </w:rPr>
        <w:t>378)</w:t>
      </w:r>
    </w:p>
    <w:p w14:paraId="09E6A4C6"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Call</w:t>
      </w:r>
      <w:r w:rsidRPr="00442EAD">
        <w:rPr>
          <w:sz w:val="18"/>
          <w:szCs w:val="18"/>
        </w:rPr>
        <w:t xml:space="preserve"> </w:t>
      </w:r>
      <w:r w:rsidR="00CF2902" w:rsidRPr="00442EAD">
        <w:rPr>
          <w:sz w:val="18"/>
          <w:szCs w:val="18"/>
        </w:rPr>
        <w:t>S_ChangeCharacterUnicode(A_ChrSetAcuteUnicode,</w:t>
      </w:r>
      <w:r w:rsidRPr="00442EAD">
        <w:rPr>
          <w:sz w:val="18"/>
          <w:szCs w:val="18"/>
        </w:rPr>
        <w:t xml:space="preserve"> </w:t>
      </w:r>
      <w:r w:rsidR="00CF2902" w:rsidRPr="00442EAD">
        <w:rPr>
          <w:sz w:val="18"/>
          <w:szCs w:val="18"/>
        </w:rPr>
        <w:t>A_ChrSetUnicode)</w:t>
      </w:r>
    </w:p>
    <w:p w14:paraId="704BF13B" w14:textId="77777777" w:rsidR="00CF2902" w:rsidRPr="00442EAD" w:rsidRDefault="00CF2902" w:rsidP="005A69E3">
      <w:pPr>
        <w:pStyle w:val="Quotects"/>
        <w:rPr>
          <w:sz w:val="18"/>
          <w:szCs w:val="18"/>
        </w:rPr>
      </w:pPr>
      <w:r w:rsidRPr="00442EAD">
        <w:rPr>
          <w:sz w:val="18"/>
          <w:szCs w:val="18"/>
        </w:rPr>
        <w:t>End</w:t>
      </w:r>
      <w:r w:rsidR="00D30688" w:rsidRPr="00442EAD">
        <w:rPr>
          <w:sz w:val="18"/>
          <w:szCs w:val="18"/>
        </w:rPr>
        <w:t xml:space="preserve"> </w:t>
      </w:r>
      <w:r w:rsidRPr="00442EAD">
        <w:rPr>
          <w:sz w:val="18"/>
          <w:szCs w:val="18"/>
        </w:rPr>
        <w:t>Sub</w:t>
      </w:r>
    </w:p>
    <w:p w14:paraId="2C725234" w14:textId="77777777" w:rsidR="00406BCB" w:rsidRPr="008F03E5" w:rsidRDefault="00406BCB" w:rsidP="00CF6AF7">
      <w:pPr>
        <w:pStyle w:val="Myhead3"/>
        <w:rPr>
          <w:lang w:val="en-GB"/>
        </w:rPr>
      </w:pPr>
      <w:r w:rsidRPr="008F03E5">
        <w:rPr>
          <w:lang w:val="en-GB"/>
        </w:rPr>
        <w:t>Underdot</w:t>
      </w:r>
      <w:r w:rsidR="00D30688" w:rsidRPr="008F03E5">
        <w:rPr>
          <w:lang w:val="en-GB"/>
        </w:rPr>
        <w:t xml:space="preserve"> </w:t>
      </w:r>
      <w:r w:rsidRPr="008F03E5">
        <w:rPr>
          <w:lang w:val="en-GB"/>
        </w:rPr>
        <w:t>macro</w:t>
      </w:r>
    </w:p>
    <w:p w14:paraId="38C872C7" w14:textId="77777777" w:rsidR="00406BCB" w:rsidRPr="008F03E5" w:rsidRDefault="00406BCB" w:rsidP="00A243E9">
      <w:pPr>
        <w:pStyle w:val="Text"/>
      </w:pPr>
      <w:r w:rsidRPr="008F03E5">
        <w:t>A</w:t>
      </w:r>
      <w:r w:rsidR="00D30688" w:rsidRPr="008F03E5">
        <w:t xml:space="preserve"> </w:t>
      </w:r>
      <w:r w:rsidRPr="008F03E5">
        <w:t>macro</w:t>
      </w:r>
      <w:r w:rsidR="00D30688" w:rsidRPr="008F03E5">
        <w:t xml:space="preserve"> </w:t>
      </w:r>
      <w:r w:rsidRPr="008F03E5">
        <w:t>to</w:t>
      </w:r>
      <w:r w:rsidR="00D30688" w:rsidRPr="008F03E5">
        <w:t xml:space="preserve"> </w:t>
      </w:r>
      <w:r w:rsidRPr="008F03E5">
        <w:t>replace</w:t>
      </w:r>
      <w:r w:rsidR="00D30688" w:rsidRPr="008F03E5">
        <w:t xml:space="preserve"> </w:t>
      </w:r>
      <w:r w:rsidRPr="008F03E5">
        <w:t>a</w:t>
      </w:r>
      <w:r w:rsidR="00D30688" w:rsidRPr="008F03E5">
        <w:t xml:space="preserve"> </w:t>
      </w:r>
      <w:r w:rsidRPr="008F03E5">
        <w:t>letter</w:t>
      </w:r>
      <w:r w:rsidR="00D30688" w:rsidRPr="008F03E5">
        <w:t xml:space="preserve"> </w:t>
      </w:r>
      <w:r w:rsidRPr="008F03E5">
        <w:t>with</w:t>
      </w:r>
      <w:r w:rsidR="00D30688" w:rsidRPr="008F03E5">
        <w:t xml:space="preserve"> </w:t>
      </w:r>
      <w:r w:rsidRPr="008F03E5">
        <w:t>its</w:t>
      </w:r>
      <w:r w:rsidR="00D30688" w:rsidRPr="008F03E5">
        <w:t xml:space="preserve"> </w:t>
      </w:r>
      <w:r w:rsidRPr="008F03E5">
        <w:t>equivalent</w:t>
      </w:r>
      <w:r w:rsidR="00D30688" w:rsidRPr="008F03E5">
        <w:t xml:space="preserve"> </w:t>
      </w:r>
      <w:r w:rsidRPr="008F03E5">
        <w:t>underdotted</w:t>
      </w:r>
      <w:r w:rsidR="00D30688" w:rsidRPr="008F03E5">
        <w:t xml:space="preserve"> </w:t>
      </w:r>
      <w:r w:rsidRPr="008F03E5">
        <w:t>form:</w:t>
      </w:r>
    </w:p>
    <w:p w14:paraId="7CE8069E" w14:textId="77777777" w:rsidR="00406BCB" w:rsidRPr="00442EAD" w:rsidRDefault="00406BCB" w:rsidP="00442EAD">
      <w:pPr>
        <w:pStyle w:val="Quote"/>
      </w:pPr>
      <w:r w:rsidRPr="00442EAD">
        <w:t>Public</w:t>
      </w:r>
      <w:r w:rsidR="00D30688" w:rsidRPr="00442EAD">
        <w:t xml:space="preserve"> </w:t>
      </w:r>
      <w:r w:rsidRPr="00442EAD">
        <w:t>Sub</w:t>
      </w:r>
      <w:r w:rsidR="00D30688" w:rsidRPr="00442EAD">
        <w:t xml:space="preserve"> </w:t>
      </w:r>
      <w:r w:rsidRPr="00442EAD">
        <w:t>Underdot()</w:t>
      </w:r>
    </w:p>
    <w:p w14:paraId="6C52E2CB" w14:textId="77777777" w:rsidR="00406BCB" w:rsidRPr="00442EAD" w:rsidRDefault="00406BCB" w:rsidP="005A69E3">
      <w:pPr>
        <w:pStyle w:val="Quotects"/>
        <w:rPr>
          <w:sz w:val="18"/>
          <w:szCs w:val="18"/>
        </w:rPr>
      </w:pPr>
      <w:r w:rsidRPr="00442EAD">
        <w:rPr>
          <w:sz w:val="18"/>
          <w:szCs w:val="18"/>
        </w:rPr>
        <w:t>'</w:t>
      </w:r>
      <w:r w:rsidR="00D30688" w:rsidRPr="00442EAD">
        <w:rPr>
          <w:sz w:val="18"/>
          <w:szCs w:val="18"/>
        </w:rPr>
        <w:t xml:space="preserve"> </w:t>
      </w:r>
      <w:r w:rsidRPr="00442EAD">
        <w:rPr>
          <w:sz w:val="18"/>
          <w:szCs w:val="18"/>
        </w:rPr>
        <w:t>Underdot</w:t>
      </w:r>
      <w:r w:rsidR="00D30688" w:rsidRPr="00442EAD">
        <w:rPr>
          <w:sz w:val="18"/>
          <w:szCs w:val="18"/>
        </w:rPr>
        <w:t xml:space="preserve"> </w:t>
      </w:r>
      <w:r w:rsidRPr="00442EAD">
        <w:rPr>
          <w:sz w:val="18"/>
          <w:szCs w:val="18"/>
        </w:rPr>
        <w:t>macro</w:t>
      </w:r>
    </w:p>
    <w:p w14:paraId="42D36847" w14:textId="77777777" w:rsidR="00406BCB" w:rsidRPr="00442EAD" w:rsidRDefault="00D30688" w:rsidP="005A69E3">
      <w:pPr>
        <w:pStyle w:val="Quotects"/>
        <w:rPr>
          <w:sz w:val="18"/>
          <w:szCs w:val="18"/>
        </w:rPr>
      </w:pPr>
      <w:r w:rsidRPr="00442EAD">
        <w:rPr>
          <w:sz w:val="18"/>
          <w:szCs w:val="18"/>
        </w:rPr>
        <w:t xml:space="preserve">    </w:t>
      </w:r>
      <w:r w:rsidR="00406BCB" w:rsidRPr="00442EAD">
        <w:rPr>
          <w:sz w:val="18"/>
          <w:szCs w:val="18"/>
        </w:rPr>
        <w:t>W_ChrSetUnderdotUnicode</w:t>
      </w:r>
      <w:r w:rsidRPr="00442EAD">
        <w:rPr>
          <w:sz w:val="18"/>
          <w:szCs w:val="18"/>
        </w:rPr>
        <w:t xml:space="preserve"> </w:t>
      </w:r>
      <w:r w:rsidR="00406BCB" w:rsidRPr="00442EAD">
        <w:rPr>
          <w:sz w:val="18"/>
          <w:szCs w:val="18"/>
        </w:rPr>
        <w:t>=</w:t>
      </w:r>
      <w:r w:rsidRPr="00442EAD">
        <w:rPr>
          <w:sz w:val="18"/>
          <w:szCs w:val="18"/>
        </w:rPr>
        <w:t xml:space="preserve"> </w:t>
      </w:r>
      <w:r w:rsidR="00406BCB" w:rsidRPr="00442EAD">
        <w:rPr>
          <w:sz w:val="18"/>
          <w:szCs w:val="18"/>
        </w:rPr>
        <w:t>Array(65,</w:t>
      </w:r>
      <w:r w:rsidRPr="00442EAD">
        <w:rPr>
          <w:sz w:val="18"/>
          <w:szCs w:val="18"/>
        </w:rPr>
        <w:t xml:space="preserve"> </w:t>
      </w:r>
      <w:r w:rsidR="00406BCB" w:rsidRPr="00442EAD">
        <w:rPr>
          <w:sz w:val="18"/>
          <w:szCs w:val="18"/>
        </w:rPr>
        <w:t>97,</w:t>
      </w:r>
      <w:r w:rsidRPr="00442EAD">
        <w:rPr>
          <w:sz w:val="18"/>
          <w:szCs w:val="18"/>
        </w:rPr>
        <w:t xml:space="preserve"> </w:t>
      </w:r>
      <w:r w:rsidR="00406BCB" w:rsidRPr="00442EAD">
        <w:rPr>
          <w:sz w:val="18"/>
          <w:szCs w:val="18"/>
        </w:rPr>
        <w:t>66,</w:t>
      </w:r>
      <w:r w:rsidRPr="00442EAD">
        <w:rPr>
          <w:sz w:val="18"/>
          <w:szCs w:val="18"/>
        </w:rPr>
        <w:t xml:space="preserve"> </w:t>
      </w:r>
      <w:r w:rsidR="00406BCB" w:rsidRPr="00442EAD">
        <w:rPr>
          <w:sz w:val="18"/>
          <w:szCs w:val="18"/>
        </w:rPr>
        <w:t>98,</w:t>
      </w:r>
      <w:r w:rsidRPr="00442EAD">
        <w:rPr>
          <w:sz w:val="18"/>
          <w:szCs w:val="18"/>
        </w:rPr>
        <w:t xml:space="preserve"> </w:t>
      </w:r>
      <w:r w:rsidR="00406BCB" w:rsidRPr="00442EAD">
        <w:rPr>
          <w:sz w:val="18"/>
          <w:szCs w:val="18"/>
        </w:rPr>
        <w:t>68,</w:t>
      </w:r>
      <w:r w:rsidRPr="00442EAD">
        <w:rPr>
          <w:sz w:val="18"/>
          <w:szCs w:val="18"/>
        </w:rPr>
        <w:t xml:space="preserve"> </w:t>
      </w:r>
      <w:r w:rsidR="00406BCB" w:rsidRPr="00442EAD">
        <w:rPr>
          <w:sz w:val="18"/>
          <w:szCs w:val="18"/>
        </w:rPr>
        <w:t>100,</w:t>
      </w:r>
      <w:r w:rsidRPr="00442EAD">
        <w:rPr>
          <w:sz w:val="18"/>
          <w:szCs w:val="18"/>
        </w:rPr>
        <w:t xml:space="preserve"> </w:t>
      </w:r>
      <w:r w:rsidR="00406BCB" w:rsidRPr="00442EAD">
        <w:rPr>
          <w:sz w:val="18"/>
          <w:szCs w:val="18"/>
        </w:rPr>
        <w:t>69,</w:t>
      </w:r>
      <w:r w:rsidRPr="00442EAD">
        <w:rPr>
          <w:sz w:val="18"/>
          <w:szCs w:val="18"/>
        </w:rPr>
        <w:t xml:space="preserve"> </w:t>
      </w:r>
      <w:r w:rsidR="00406BCB" w:rsidRPr="00442EAD">
        <w:rPr>
          <w:sz w:val="18"/>
          <w:szCs w:val="18"/>
        </w:rPr>
        <w:t>101,</w:t>
      </w:r>
      <w:r w:rsidRPr="00442EAD">
        <w:rPr>
          <w:sz w:val="18"/>
          <w:szCs w:val="18"/>
        </w:rPr>
        <w:t xml:space="preserve"> </w:t>
      </w:r>
      <w:r w:rsidR="00406BCB" w:rsidRPr="00442EAD">
        <w:rPr>
          <w:sz w:val="18"/>
          <w:szCs w:val="18"/>
        </w:rPr>
        <w:t>72,</w:t>
      </w:r>
      <w:r w:rsidRPr="00442EAD">
        <w:rPr>
          <w:sz w:val="18"/>
          <w:szCs w:val="18"/>
        </w:rPr>
        <w:t xml:space="preserve"> </w:t>
      </w:r>
      <w:r w:rsidR="00406BCB" w:rsidRPr="00442EAD">
        <w:rPr>
          <w:sz w:val="18"/>
          <w:szCs w:val="18"/>
        </w:rPr>
        <w:t>104,</w:t>
      </w:r>
      <w:r w:rsidRPr="00442EAD">
        <w:rPr>
          <w:sz w:val="18"/>
          <w:szCs w:val="18"/>
        </w:rPr>
        <w:t xml:space="preserve"> </w:t>
      </w:r>
      <w:r w:rsidR="00406BCB" w:rsidRPr="00442EAD">
        <w:rPr>
          <w:sz w:val="18"/>
          <w:szCs w:val="18"/>
        </w:rPr>
        <w:t>73,</w:t>
      </w:r>
      <w:r w:rsidRPr="00442EAD">
        <w:rPr>
          <w:sz w:val="18"/>
          <w:szCs w:val="18"/>
        </w:rPr>
        <w:t xml:space="preserve"> </w:t>
      </w:r>
      <w:r w:rsidR="00406BCB" w:rsidRPr="00442EAD">
        <w:rPr>
          <w:sz w:val="18"/>
          <w:szCs w:val="18"/>
        </w:rPr>
        <w:t>105,</w:t>
      </w:r>
      <w:r w:rsidRPr="00442EAD">
        <w:rPr>
          <w:sz w:val="18"/>
          <w:szCs w:val="18"/>
        </w:rPr>
        <w:t xml:space="preserve"> </w:t>
      </w:r>
      <w:r w:rsidR="00406BCB" w:rsidRPr="00442EAD">
        <w:rPr>
          <w:sz w:val="18"/>
          <w:szCs w:val="18"/>
        </w:rPr>
        <w:t>75,</w:t>
      </w:r>
      <w:r w:rsidRPr="00442EAD">
        <w:rPr>
          <w:sz w:val="18"/>
          <w:szCs w:val="18"/>
        </w:rPr>
        <w:t xml:space="preserve"> </w:t>
      </w:r>
      <w:r w:rsidR="00406BCB" w:rsidRPr="00442EAD">
        <w:rPr>
          <w:sz w:val="18"/>
          <w:szCs w:val="18"/>
        </w:rPr>
        <w:t>107,</w:t>
      </w:r>
      <w:r w:rsidRPr="00442EAD">
        <w:rPr>
          <w:sz w:val="18"/>
          <w:szCs w:val="18"/>
        </w:rPr>
        <w:t xml:space="preserve"> </w:t>
      </w:r>
      <w:r w:rsidR="00406BCB" w:rsidRPr="00442EAD">
        <w:rPr>
          <w:sz w:val="18"/>
          <w:szCs w:val="18"/>
        </w:rPr>
        <w:t>76,</w:t>
      </w:r>
      <w:r w:rsidRPr="00442EAD">
        <w:rPr>
          <w:sz w:val="18"/>
          <w:szCs w:val="18"/>
        </w:rPr>
        <w:t xml:space="preserve"> </w:t>
      </w:r>
      <w:r w:rsidR="00406BCB" w:rsidRPr="00442EAD">
        <w:rPr>
          <w:sz w:val="18"/>
          <w:szCs w:val="18"/>
        </w:rPr>
        <w:t>108,</w:t>
      </w:r>
      <w:r w:rsidRPr="00442EAD">
        <w:rPr>
          <w:sz w:val="18"/>
          <w:szCs w:val="18"/>
        </w:rPr>
        <w:t xml:space="preserve"> </w:t>
      </w:r>
      <w:r w:rsidR="00406BCB" w:rsidRPr="00442EAD">
        <w:rPr>
          <w:sz w:val="18"/>
          <w:szCs w:val="18"/>
        </w:rPr>
        <w:t>77,</w:t>
      </w:r>
      <w:r w:rsidRPr="00442EAD">
        <w:rPr>
          <w:sz w:val="18"/>
          <w:szCs w:val="18"/>
        </w:rPr>
        <w:t xml:space="preserve"> </w:t>
      </w:r>
      <w:r w:rsidR="00406BCB" w:rsidRPr="00442EAD">
        <w:rPr>
          <w:sz w:val="18"/>
          <w:szCs w:val="18"/>
        </w:rPr>
        <w:t>109,</w:t>
      </w:r>
      <w:r w:rsidRPr="00442EAD">
        <w:rPr>
          <w:sz w:val="18"/>
          <w:szCs w:val="18"/>
        </w:rPr>
        <w:t xml:space="preserve"> </w:t>
      </w:r>
      <w:r w:rsidR="00406BCB" w:rsidRPr="00442EAD">
        <w:rPr>
          <w:sz w:val="18"/>
          <w:szCs w:val="18"/>
        </w:rPr>
        <w:t>78,</w:t>
      </w:r>
      <w:r w:rsidRPr="00442EAD">
        <w:rPr>
          <w:sz w:val="18"/>
          <w:szCs w:val="18"/>
        </w:rPr>
        <w:t xml:space="preserve"> </w:t>
      </w:r>
      <w:r w:rsidR="00406BCB" w:rsidRPr="00442EAD">
        <w:rPr>
          <w:sz w:val="18"/>
          <w:szCs w:val="18"/>
        </w:rPr>
        <w:t>110,</w:t>
      </w:r>
      <w:r w:rsidRPr="00442EAD">
        <w:rPr>
          <w:sz w:val="18"/>
          <w:szCs w:val="18"/>
        </w:rPr>
        <w:t xml:space="preserve"> </w:t>
      </w:r>
      <w:r w:rsidR="00406BCB" w:rsidRPr="00442EAD">
        <w:rPr>
          <w:sz w:val="18"/>
          <w:szCs w:val="18"/>
        </w:rPr>
        <w:t>79,</w:t>
      </w:r>
      <w:r w:rsidRPr="00442EAD">
        <w:rPr>
          <w:sz w:val="18"/>
          <w:szCs w:val="18"/>
        </w:rPr>
        <w:t xml:space="preserve"> </w:t>
      </w:r>
      <w:r w:rsidR="00406BCB" w:rsidRPr="00442EAD">
        <w:rPr>
          <w:sz w:val="18"/>
          <w:szCs w:val="18"/>
        </w:rPr>
        <w:t>111,</w:t>
      </w:r>
      <w:r w:rsidRPr="00442EAD">
        <w:rPr>
          <w:sz w:val="18"/>
          <w:szCs w:val="18"/>
        </w:rPr>
        <w:t xml:space="preserve"> </w:t>
      </w:r>
      <w:r w:rsidR="00406BCB" w:rsidRPr="00442EAD">
        <w:rPr>
          <w:sz w:val="18"/>
          <w:szCs w:val="18"/>
        </w:rPr>
        <w:t>82,</w:t>
      </w:r>
      <w:r w:rsidRPr="00442EAD">
        <w:rPr>
          <w:sz w:val="18"/>
          <w:szCs w:val="18"/>
        </w:rPr>
        <w:t xml:space="preserve"> </w:t>
      </w:r>
      <w:r w:rsidR="00406BCB" w:rsidRPr="00442EAD">
        <w:rPr>
          <w:sz w:val="18"/>
          <w:szCs w:val="18"/>
        </w:rPr>
        <w:t>114,</w:t>
      </w:r>
      <w:r w:rsidRPr="00442EAD">
        <w:rPr>
          <w:sz w:val="18"/>
          <w:szCs w:val="18"/>
        </w:rPr>
        <w:t xml:space="preserve"> </w:t>
      </w:r>
      <w:r w:rsidR="00406BCB" w:rsidRPr="00442EAD">
        <w:rPr>
          <w:sz w:val="18"/>
          <w:szCs w:val="18"/>
        </w:rPr>
        <w:t>83,</w:t>
      </w:r>
      <w:r w:rsidRPr="00442EAD">
        <w:rPr>
          <w:sz w:val="18"/>
          <w:szCs w:val="18"/>
        </w:rPr>
        <w:t xml:space="preserve"> </w:t>
      </w:r>
      <w:r w:rsidR="00406BCB" w:rsidRPr="00442EAD">
        <w:rPr>
          <w:sz w:val="18"/>
          <w:szCs w:val="18"/>
        </w:rPr>
        <w:t>115,</w:t>
      </w:r>
      <w:r w:rsidRPr="00442EAD">
        <w:rPr>
          <w:sz w:val="18"/>
          <w:szCs w:val="18"/>
        </w:rPr>
        <w:t xml:space="preserve"> </w:t>
      </w:r>
      <w:r w:rsidR="00406BCB" w:rsidRPr="00442EAD">
        <w:rPr>
          <w:sz w:val="18"/>
          <w:szCs w:val="18"/>
        </w:rPr>
        <w:t>84,</w:t>
      </w:r>
      <w:r w:rsidRPr="00442EAD">
        <w:rPr>
          <w:sz w:val="18"/>
          <w:szCs w:val="18"/>
        </w:rPr>
        <w:t xml:space="preserve"> </w:t>
      </w:r>
      <w:r w:rsidR="00406BCB" w:rsidRPr="00442EAD">
        <w:rPr>
          <w:sz w:val="18"/>
          <w:szCs w:val="18"/>
        </w:rPr>
        <w:t>116,</w:t>
      </w:r>
      <w:r w:rsidRPr="00442EAD">
        <w:rPr>
          <w:sz w:val="18"/>
          <w:szCs w:val="18"/>
        </w:rPr>
        <w:t xml:space="preserve"> </w:t>
      </w:r>
      <w:r w:rsidR="00406BCB" w:rsidRPr="00442EAD">
        <w:rPr>
          <w:sz w:val="18"/>
          <w:szCs w:val="18"/>
        </w:rPr>
        <w:t>85,</w:t>
      </w:r>
      <w:r w:rsidRPr="00442EAD">
        <w:rPr>
          <w:sz w:val="18"/>
          <w:szCs w:val="18"/>
        </w:rPr>
        <w:t xml:space="preserve"> </w:t>
      </w:r>
      <w:r w:rsidR="00406BCB" w:rsidRPr="00442EAD">
        <w:rPr>
          <w:sz w:val="18"/>
          <w:szCs w:val="18"/>
        </w:rPr>
        <w:t>117,</w:t>
      </w:r>
      <w:r w:rsidRPr="00442EAD">
        <w:rPr>
          <w:sz w:val="18"/>
          <w:szCs w:val="18"/>
        </w:rPr>
        <w:t xml:space="preserve"> </w:t>
      </w:r>
      <w:r w:rsidR="00406BCB" w:rsidRPr="00442EAD">
        <w:rPr>
          <w:sz w:val="18"/>
          <w:szCs w:val="18"/>
        </w:rPr>
        <w:t>86,</w:t>
      </w:r>
      <w:r w:rsidRPr="00442EAD">
        <w:rPr>
          <w:sz w:val="18"/>
          <w:szCs w:val="18"/>
        </w:rPr>
        <w:t xml:space="preserve"> </w:t>
      </w:r>
      <w:r w:rsidR="00406BCB" w:rsidRPr="00442EAD">
        <w:rPr>
          <w:sz w:val="18"/>
          <w:szCs w:val="18"/>
        </w:rPr>
        <w:t>118,</w:t>
      </w:r>
      <w:r w:rsidRPr="00442EAD">
        <w:rPr>
          <w:sz w:val="18"/>
          <w:szCs w:val="18"/>
        </w:rPr>
        <w:t xml:space="preserve"> </w:t>
      </w:r>
      <w:r w:rsidR="00406BCB" w:rsidRPr="00442EAD">
        <w:rPr>
          <w:sz w:val="18"/>
          <w:szCs w:val="18"/>
        </w:rPr>
        <w:t>87,</w:t>
      </w:r>
      <w:r w:rsidRPr="00442EAD">
        <w:rPr>
          <w:sz w:val="18"/>
          <w:szCs w:val="18"/>
        </w:rPr>
        <w:t xml:space="preserve"> </w:t>
      </w:r>
      <w:r w:rsidR="00406BCB" w:rsidRPr="00442EAD">
        <w:rPr>
          <w:sz w:val="18"/>
          <w:szCs w:val="18"/>
        </w:rPr>
        <w:t>119,</w:t>
      </w:r>
      <w:r w:rsidRPr="00442EAD">
        <w:rPr>
          <w:sz w:val="18"/>
          <w:szCs w:val="18"/>
        </w:rPr>
        <w:t xml:space="preserve"> </w:t>
      </w:r>
      <w:r w:rsidR="00406BCB" w:rsidRPr="00442EAD">
        <w:rPr>
          <w:sz w:val="18"/>
          <w:szCs w:val="18"/>
        </w:rPr>
        <w:t>89,</w:t>
      </w:r>
      <w:r w:rsidRPr="00442EAD">
        <w:rPr>
          <w:sz w:val="18"/>
          <w:szCs w:val="18"/>
        </w:rPr>
        <w:t xml:space="preserve"> </w:t>
      </w:r>
      <w:r w:rsidR="00406BCB" w:rsidRPr="00442EAD">
        <w:rPr>
          <w:sz w:val="18"/>
          <w:szCs w:val="18"/>
        </w:rPr>
        <w:t>121,</w:t>
      </w:r>
      <w:r w:rsidRPr="00442EAD">
        <w:rPr>
          <w:sz w:val="18"/>
          <w:szCs w:val="18"/>
        </w:rPr>
        <w:t xml:space="preserve"> </w:t>
      </w:r>
      <w:r w:rsidR="00406BCB" w:rsidRPr="00442EAD">
        <w:rPr>
          <w:sz w:val="18"/>
          <w:szCs w:val="18"/>
        </w:rPr>
        <w:t>90,</w:t>
      </w:r>
      <w:r w:rsidRPr="00442EAD">
        <w:rPr>
          <w:sz w:val="18"/>
          <w:szCs w:val="18"/>
        </w:rPr>
        <w:t xml:space="preserve"> </w:t>
      </w:r>
      <w:r w:rsidR="00406BCB" w:rsidRPr="00442EAD">
        <w:rPr>
          <w:sz w:val="18"/>
          <w:szCs w:val="18"/>
        </w:rPr>
        <w:t>122)</w:t>
      </w:r>
    </w:p>
    <w:p w14:paraId="4354403D" w14:textId="77777777" w:rsidR="00406BCB" w:rsidRPr="00442EAD" w:rsidRDefault="00D30688" w:rsidP="005A69E3">
      <w:pPr>
        <w:pStyle w:val="Quotects"/>
        <w:rPr>
          <w:sz w:val="18"/>
          <w:szCs w:val="18"/>
        </w:rPr>
      </w:pPr>
      <w:r w:rsidRPr="00442EAD">
        <w:rPr>
          <w:sz w:val="18"/>
          <w:szCs w:val="18"/>
        </w:rPr>
        <w:t xml:space="preserve">    </w:t>
      </w:r>
      <w:r w:rsidR="00406BCB" w:rsidRPr="00442EAD">
        <w:rPr>
          <w:sz w:val="18"/>
          <w:szCs w:val="18"/>
        </w:rPr>
        <w:t>W_ChrSetUnicode</w:t>
      </w:r>
      <w:r w:rsidRPr="00442EAD">
        <w:rPr>
          <w:sz w:val="18"/>
          <w:szCs w:val="18"/>
        </w:rPr>
        <w:t xml:space="preserve"> </w:t>
      </w:r>
      <w:r w:rsidR="00406BCB" w:rsidRPr="00442EAD">
        <w:rPr>
          <w:sz w:val="18"/>
          <w:szCs w:val="18"/>
        </w:rPr>
        <w:t>=</w:t>
      </w:r>
      <w:r w:rsidRPr="00442EAD">
        <w:rPr>
          <w:sz w:val="18"/>
          <w:szCs w:val="18"/>
        </w:rPr>
        <w:t xml:space="preserve"> </w:t>
      </w:r>
      <w:r w:rsidR="00406BCB" w:rsidRPr="00442EAD">
        <w:rPr>
          <w:sz w:val="18"/>
          <w:szCs w:val="18"/>
        </w:rPr>
        <w:t>Array(7840,</w:t>
      </w:r>
      <w:r w:rsidRPr="00442EAD">
        <w:rPr>
          <w:sz w:val="18"/>
          <w:szCs w:val="18"/>
        </w:rPr>
        <w:t xml:space="preserve"> </w:t>
      </w:r>
      <w:r w:rsidR="00406BCB" w:rsidRPr="00442EAD">
        <w:rPr>
          <w:sz w:val="18"/>
          <w:szCs w:val="18"/>
        </w:rPr>
        <w:t>7841,</w:t>
      </w:r>
      <w:r w:rsidRPr="00442EAD">
        <w:rPr>
          <w:sz w:val="18"/>
          <w:szCs w:val="18"/>
        </w:rPr>
        <w:t xml:space="preserve"> </w:t>
      </w:r>
      <w:r w:rsidR="00406BCB" w:rsidRPr="00442EAD">
        <w:rPr>
          <w:sz w:val="18"/>
          <w:szCs w:val="18"/>
        </w:rPr>
        <w:t>7684,</w:t>
      </w:r>
      <w:r w:rsidRPr="00442EAD">
        <w:rPr>
          <w:sz w:val="18"/>
          <w:szCs w:val="18"/>
        </w:rPr>
        <w:t xml:space="preserve"> </w:t>
      </w:r>
      <w:r w:rsidR="00406BCB" w:rsidRPr="00442EAD">
        <w:rPr>
          <w:sz w:val="18"/>
          <w:szCs w:val="18"/>
        </w:rPr>
        <w:t>7685,</w:t>
      </w:r>
      <w:r w:rsidRPr="00442EAD">
        <w:rPr>
          <w:sz w:val="18"/>
          <w:szCs w:val="18"/>
        </w:rPr>
        <w:t xml:space="preserve"> </w:t>
      </w:r>
      <w:r w:rsidR="00406BCB" w:rsidRPr="00442EAD">
        <w:rPr>
          <w:sz w:val="18"/>
          <w:szCs w:val="18"/>
        </w:rPr>
        <w:t>7692,</w:t>
      </w:r>
      <w:r w:rsidRPr="00442EAD">
        <w:rPr>
          <w:sz w:val="18"/>
          <w:szCs w:val="18"/>
        </w:rPr>
        <w:t xml:space="preserve"> </w:t>
      </w:r>
      <w:r w:rsidR="00406BCB" w:rsidRPr="00442EAD">
        <w:rPr>
          <w:sz w:val="18"/>
          <w:szCs w:val="18"/>
        </w:rPr>
        <w:t>7693,</w:t>
      </w:r>
      <w:r w:rsidRPr="00442EAD">
        <w:rPr>
          <w:sz w:val="18"/>
          <w:szCs w:val="18"/>
        </w:rPr>
        <w:t xml:space="preserve"> </w:t>
      </w:r>
      <w:r w:rsidR="00406BCB" w:rsidRPr="00442EAD">
        <w:rPr>
          <w:sz w:val="18"/>
          <w:szCs w:val="18"/>
        </w:rPr>
        <w:t>7864,</w:t>
      </w:r>
      <w:r w:rsidRPr="00442EAD">
        <w:rPr>
          <w:sz w:val="18"/>
          <w:szCs w:val="18"/>
        </w:rPr>
        <w:t xml:space="preserve"> </w:t>
      </w:r>
      <w:r w:rsidR="00406BCB" w:rsidRPr="00442EAD">
        <w:rPr>
          <w:sz w:val="18"/>
          <w:szCs w:val="18"/>
        </w:rPr>
        <w:t>7865,</w:t>
      </w:r>
      <w:r w:rsidRPr="00442EAD">
        <w:rPr>
          <w:sz w:val="18"/>
          <w:szCs w:val="18"/>
        </w:rPr>
        <w:t xml:space="preserve"> </w:t>
      </w:r>
      <w:r w:rsidR="00406BCB" w:rsidRPr="00442EAD">
        <w:rPr>
          <w:sz w:val="18"/>
          <w:szCs w:val="18"/>
        </w:rPr>
        <w:t>7716,</w:t>
      </w:r>
      <w:r w:rsidRPr="00442EAD">
        <w:rPr>
          <w:sz w:val="18"/>
          <w:szCs w:val="18"/>
        </w:rPr>
        <w:t xml:space="preserve"> </w:t>
      </w:r>
      <w:r w:rsidR="00406BCB" w:rsidRPr="00442EAD">
        <w:rPr>
          <w:sz w:val="18"/>
          <w:szCs w:val="18"/>
        </w:rPr>
        <w:t>7717,</w:t>
      </w:r>
      <w:r w:rsidRPr="00442EAD">
        <w:rPr>
          <w:sz w:val="18"/>
          <w:szCs w:val="18"/>
        </w:rPr>
        <w:t xml:space="preserve"> </w:t>
      </w:r>
      <w:r w:rsidR="00406BCB" w:rsidRPr="00442EAD">
        <w:rPr>
          <w:sz w:val="18"/>
          <w:szCs w:val="18"/>
        </w:rPr>
        <w:t>7882,</w:t>
      </w:r>
      <w:r w:rsidRPr="00442EAD">
        <w:rPr>
          <w:sz w:val="18"/>
          <w:szCs w:val="18"/>
        </w:rPr>
        <w:t xml:space="preserve"> </w:t>
      </w:r>
      <w:r w:rsidR="00406BCB" w:rsidRPr="00442EAD">
        <w:rPr>
          <w:sz w:val="18"/>
          <w:szCs w:val="18"/>
        </w:rPr>
        <w:t>7883,</w:t>
      </w:r>
      <w:r w:rsidRPr="00442EAD">
        <w:rPr>
          <w:sz w:val="18"/>
          <w:szCs w:val="18"/>
        </w:rPr>
        <w:t xml:space="preserve"> </w:t>
      </w:r>
      <w:r w:rsidR="00406BCB" w:rsidRPr="00442EAD">
        <w:rPr>
          <w:sz w:val="18"/>
          <w:szCs w:val="18"/>
        </w:rPr>
        <w:t>7730,</w:t>
      </w:r>
      <w:r w:rsidRPr="00442EAD">
        <w:rPr>
          <w:sz w:val="18"/>
          <w:szCs w:val="18"/>
        </w:rPr>
        <w:t xml:space="preserve"> </w:t>
      </w:r>
      <w:r w:rsidR="00406BCB" w:rsidRPr="00442EAD">
        <w:rPr>
          <w:sz w:val="18"/>
          <w:szCs w:val="18"/>
        </w:rPr>
        <w:t>7731,</w:t>
      </w:r>
      <w:r w:rsidRPr="00442EAD">
        <w:rPr>
          <w:sz w:val="18"/>
          <w:szCs w:val="18"/>
        </w:rPr>
        <w:t xml:space="preserve"> </w:t>
      </w:r>
      <w:r w:rsidR="00406BCB" w:rsidRPr="00442EAD">
        <w:rPr>
          <w:sz w:val="18"/>
          <w:szCs w:val="18"/>
        </w:rPr>
        <w:t>7734,</w:t>
      </w:r>
      <w:r w:rsidRPr="00442EAD">
        <w:rPr>
          <w:sz w:val="18"/>
          <w:szCs w:val="18"/>
        </w:rPr>
        <w:t xml:space="preserve"> </w:t>
      </w:r>
      <w:r w:rsidR="00406BCB" w:rsidRPr="00442EAD">
        <w:rPr>
          <w:sz w:val="18"/>
          <w:szCs w:val="18"/>
        </w:rPr>
        <w:t>7735,</w:t>
      </w:r>
      <w:r w:rsidRPr="00442EAD">
        <w:rPr>
          <w:sz w:val="18"/>
          <w:szCs w:val="18"/>
        </w:rPr>
        <w:t xml:space="preserve"> </w:t>
      </w:r>
      <w:r w:rsidR="00406BCB" w:rsidRPr="00442EAD">
        <w:rPr>
          <w:sz w:val="18"/>
          <w:szCs w:val="18"/>
        </w:rPr>
        <w:t>7746,</w:t>
      </w:r>
      <w:r w:rsidRPr="00442EAD">
        <w:rPr>
          <w:sz w:val="18"/>
          <w:szCs w:val="18"/>
        </w:rPr>
        <w:t xml:space="preserve"> </w:t>
      </w:r>
      <w:r w:rsidR="00406BCB" w:rsidRPr="00442EAD">
        <w:rPr>
          <w:sz w:val="18"/>
          <w:szCs w:val="18"/>
        </w:rPr>
        <w:t>7747,</w:t>
      </w:r>
      <w:r w:rsidRPr="00442EAD">
        <w:rPr>
          <w:sz w:val="18"/>
          <w:szCs w:val="18"/>
        </w:rPr>
        <w:t xml:space="preserve"> </w:t>
      </w:r>
      <w:r w:rsidR="00406BCB" w:rsidRPr="00442EAD">
        <w:rPr>
          <w:sz w:val="18"/>
          <w:szCs w:val="18"/>
        </w:rPr>
        <w:t>7750,</w:t>
      </w:r>
      <w:r w:rsidRPr="00442EAD">
        <w:rPr>
          <w:sz w:val="18"/>
          <w:szCs w:val="18"/>
        </w:rPr>
        <w:t xml:space="preserve"> </w:t>
      </w:r>
      <w:r w:rsidR="00406BCB" w:rsidRPr="00442EAD">
        <w:rPr>
          <w:sz w:val="18"/>
          <w:szCs w:val="18"/>
        </w:rPr>
        <w:t>7751,</w:t>
      </w:r>
      <w:r w:rsidRPr="00442EAD">
        <w:rPr>
          <w:sz w:val="18"/>
          <w:szCs w:val="18"/>
        </w:rPr>
        <w:t xml:space="preserve"> </w:t>
      </w:r>
      <w:r w:rsidR="00406BCB" w:rsidRPr="00442EAD">
        <w:rPr>
          <w:sz w:val="18"/>
          <w:szCs w:val="18"/>
        </w:rPr>
        <w:t>7884,</w:t>
      </w:r>
      <w:r w:rsidRPr="00442EAD">
        <w:rPr>
          <w:sz w:val="18"/>
          <w:szCs w:val="18"/>
        </w:rPr>
        <w:t xml:space="preserve"> </w:t>
      </w:r>
      <w:r w:rsidR="00406BCB" w:rsidRPr="00442EAD">
        <w:rPr>
          <w:sz w:val="18"/>
          <w:szCs w:val="18"/>
        </w:rPr>
        <w:t>7885,</w:t>
      </w:r>
      <w:r w:rsidRPr="00442EAD">
        <w:rPr>
          <w:sz w:val="18"/>
          <w:szCs w:val="18"/>
        </w:rPr>
        <w:t xml:space="preserve"> </w:t>
      </w:r>
      <w:r w:rsidR="00406BCB" w:rsidRPr="00442EAD">
        <w:rPr>
          <w:sz w:val="18"/>
          <w:szCs w:val="18"/>
        </w:rPr>
        <w:t>7770,</w:t>
      </w:r>
      <w:r w:rsidRPr="00442EAD">
        <w:rPr>
          <w:sz w:val="18"/>
          <w:szCs w:val="18"/>
        </w:rPr>
        <w:t xml:space="preserve"> </w:t>
      </w:r>
      <w:r w:rsidR="00406BCB" w:rsidRPr="00442EAD">
        <w:rPr>
          <w:sz w:val="18"/>
          <w:szCs w:val="18"/>
        </w:rPr>
        <w:t>7771,</w:t>
      </w:r>
      <w:r w:rsidRPr="00442EAD">
        <w:rPr>
          <w:sz w:val="18"/>
          <w:szCs w:val="18"/>
        </w:rPr>
        <w:t xml:space="preserve"> </w:t>
      </w:r>
      <w:r w:rsidR="00406BCB" w:rsidRPr="00442EAD">
        <w:rPr>
          <w:sz w:val="18"/>
          <w:szCs w:val="18"/>
        </w:rPr>
        <w:t>7778,</w:t>
      </w:r>
      <w:r w:rsidRPr="00442EAD">
        <w:rPr>
          <w:sz w:val="18"/>
          <w:szCs w:val="18"/>
        </w:rPr>
        <w:t xml:space="preserve"> </w:t>
      </w:r>
      <w:r w:rsidR="00406BCB" w:rsidRPr="00442EAD">
        <w:rPr>
          <w:sz w:val="18"/>
          <w:szCs w:val="18"/>
        </w:rPr>
        <w:t>7779,</w:t>
      </w:r>
      <w:r w:rsidRPr="00442EAD">
        <w:rPr>
          <w:sz w:val="18"/>
          <w:szCs w:val="18"/>
        </w:rPr>
        <w:t xml:space="preserve"> </w:t>
      </w:r>
      <w:r w:rsidR="00406BCB" w:rsidRPr="00442EAD">
        <w:rPr>
          <w:sz w:val="18"/>
          <w:szCs w:val="18"/>
        </w:rPr>
        <w:t>7788,</w:t>
      </w:r>
      <w:r w:rsidRPr="00442EAD">
        <w:rPr>
          <w:sz w:val="18"/>
          <w:szCs w:val="18"/>
        </w:rPr>
        <w:t xml:space="preserve"> </w:t>
      </w:r>
      <w:r w:rsidR="00406BCB" w:rsidRPr="00442EAD">
        <w:rPr>
          <w:sz w:val="18"/>
          <w:szCs w:val="18"/>
        </w:rPr>
        <w:t>7789,</w:t>
      </w:r>
      <w:r w:rsidRPr="00442EAD">
        <w:rPr>
          <w:sz w:val="18"/>
          <w:szCs w:val="18"/>
        </w:rPr>
        <w:t xml:space="preserve"> </w:t>
      </w:r>
      <w:r w:rsidR="00406BCB" w:rsidRPr="00442EAD">
        <w:rPr>
          <w:sz w:val="18"/>
          <w:szCs w:val="18"/>
        </w:rPr>
        <w:t>7908,</w:t>
      </w:r>
      <w:r w:rsidRPr="00442EAD">
        <w:rPr>
          <w:sz w:val="18"/>
          <w:szCs w:val="18"/>
        </w:rPr>
        <w:t xml:space="preserve"> </w:t>
      </w:r>
      <w:r w:rsidR="00406BCB" w:rsidRPr="00442EAD">
        <w:rPr>
          <w:sz w:val="18"/>
          <w:szCs w:val="18"/>
        </w:rPr>
        <w:t>7909,</w:t>
      </w:r>
      <w:r w:rsidRPr="00442EAD">
        <w:rPr>
          <w:sz w:val="18"/>
          <w:szCs w:val="18"/>
        </w:rPr>
        <w:t xml:space="preserve"> </w:t>
      </w:r>
      <w:r w:rsidR="00406BCB" w:rsidRPr="00442EAD">
        <w:rPr>
          <w:sz w:val="18"/>
          <w:szCs w:val="18"/>
        </w:rPr>
        <w:t>7806,</w:t>
      </w:r>
      <w:r w:rsidRPr="00442EAD">
        <w:rPr>
          <w:sz w:val="18"/>
          <w:szCs w:val="18"/>
        </w:rPr>
        <w:t xml:space="preserve"> </w:t>
      </w:r>
      <w:r w:rsidR="00406BCB" w:rsidRPr="00442EAD">
        <w:rPr>
          <w:sz w:val="18"/>
          <w:szCs w:val="18"/>
        </w:rPr>
        <w:t>7807,</w:t>
      </w:r>
      <w:r w:rsidRPr="00442EAD">
        <w:rPr>
          <w:sz w:val="18"/>
          <w:szCs w:val="18"/>
        </w:rPr>
        <w:t xml:space="preserve"> </w:t>
      </w:r>
      <w:r w:rsidR="00406BCB" w:rsidRPr="00442EAD">
        <w:rPr>
          <w:sz w:val="18"/>
          <w:szCs w:val="18"/>
        </w:rPr>
        <w:t>7816,</w:t>
      </w:r>
      <w:r w:rsidRPr="00442EAD">
        <w:rPr>
          <w:sz w:val="18"/>
          <w:szCs w:val="18"/>
        </w:rPr>
        <w:t xml:space="preserve"> </w:t>
      </w:r>
      <w:r w:rsidR="00406BCB" w:rsidRPr="00442EAD">
        <w:rPr>
          <w:sz w:val="18"/>
          <w:szCs w:val="18"/>
        </w:rPr>
        <w:t>7817,</w:t>
      </w:r>
      <w:r w:rsidRPr="00442EAD">
        <w:rPr>
          <w:sz w:val="18"/>
          <w:szCs w:val="18"/>
        </w:rPr>
        <w:t xml:space="preserve"> </w:t>
      </w:r>
      <w:r w:rsidR="00406BCB" w:rsidRPr="00442EAD">
        <w:rPr>
          <w:sz w:val="18"/>
          <w:szCs w:val="18"/>
        </w:rPr>
        <w:t>7924,</w:t>
      </w:r>
      <w:r w:rsidRPr="00442EAD">
        <w:rPr>
          <w:sz w:val="18"/>
          <w:szCs w:val="18"/>
        </w:rPr>
        <w:t xml:space="preserve"> </w:t>
      </w:r>
      <w:r w:rsidR="00406BCB" w:rsidRPr="00442EAD">
        <w:rPr>
          <w:sz w:val="18"/>
          <w:szCs w:val="18"/>
        </w:rPr>
        <w:t>7925,</w:t>
      </w:r>
      <w:r w:rsidRPr="00442EAD">
        <w:rPr>
          <w:sz w:val="18"/>
          <w:szCs w:val="18"/>
        </w:rPr>
        <w:t xml:space="preserve"> </w:t>
      </w:r>
      <w:r w:rsidR="00406BCB" w:rsidRPr="00442EAD">
        <w:rPr>
          <w:sz w:val="18"/>
          <w:szCs w:val="18"/>
        </w:rPr>
        <w:t>7826,</w:t>
      </w:r>
      <w:r w:rsidRPr="00442EAD">
        <w:rPr>
          <w:sz w:val="18"/>
          <w:szCs w:val="18"/>
        </w:rPr>
        <w:t xml:space="preserve"> </w:t>
      </w:r>
      <w:r w:rsidR="00406BCB" w:rsidRPr="00442EAD">
        <w:rPr>
          <w:sz w:val="18"/>
          <w:szCs w:val="18"/>
        </w:rPr>
        <w:t>7827)</w:t>
      </w:r>
      <w:r w:rsidR="00406BCB" w:rsidRPr="00442EAD">
        <w:rPr>
          <w:sz w:val="18"/>
          <w:szCs w:val="18"/>
        </w:rPr>
        <w:cr/>
      </w:r>
    </w:p>
    <w:p w14:paraId="123132D7" w14:textId="77777777" w:rsidR="00406BCB" w:rsidRPr="00442EAD" w:rsidRDefault="00D30688" w:rsidP="005A69E3">
      <w:pPr>
        <w:pStyle w:val="Quotects"/>
        <w:rPr>
          <w:sz w:val="18"/>
          <w:szCs w:val="18"/>
        </w:rPr>
      </w:pPr>
      <w:r w:rsidRPr="00442EAD">
        <w:rPr>
          <w:sz w:val="18"/>
          <w:szCs w:val="18"/>
        </w:rPr>
        <w:t xml:space="preserve">    </w:t>
      </w:r>
      <w:r w:rsidR="00406BCB" w:rsidRPr="00442EAD">
        <w:rPr>
          <w:sz w:val="18"/>
          <w:szCs w:val="18"/>
        </w:rPr>
        <w:t>Call</w:t>
      </w:r>
      <w:r w:rsidRPr="00442EAD">
        <w:rPr>
          <w:sz w:val="18"/>
          <w:szCs w:val="18"/>
        </w:rPr>
        <w:t xml:space="preserve"> </w:t>
      </w:r>
      <w:r w:rsidR="00406BCB" w:rsidRPr="00442EAD">
        <w:rPr>
          <w:sz w:val="18"/>
          <w:szCs w:val="18"/>
        </w:rPr>
        <w:t>S_ChangeCharacterUnicode(W_ChrSetUnderdotUnicode,</w:t>
      </w:r>
      <w:r w:rsidRPr="00442EAD">
        <w:rPr>
          <w:sz w:val="18"/>
          <w:szCs w:val="18"/>
        </w:rPr>
        <w:t xml:space="preserve"> </w:t>
      </w:r>
      <w:r w:rsidR="00406BCB" w:rsidRPr="00442EAD">
        <w:rPr>
          <w:sz w:val="18"/>
          <w:szCs w:val="18"/>
        </w:rPr>
        <w:t>W_ChrSetUnicode)</w:t>
      </w:r>
    </w:p>
    <w:p w14:paraId="04780AF2" w14:textId="77777777" w:rsidR="00406BCB" w:rsidRPr="00442EAD" w:rsidRDefault="00406BCB" w:rsidP="005A69E3">
      <w:pPr>
        <w:pStyle w:val="Quotects"/>
        <w:rPr>
          <w:sz w:val="18"/>
          <w:szCs w:val="18"/>
        </w:rPr>
      </w:pPr>
      <w:r w:rsidRPr="00442EAD">
        <w:rPr>
          <w:sz w:val="18"/>
          <w:szCs w:val="18"/>
        </w:rPr>
        <w:t>End</w:t>
      </w:r>
      <w:r w:rsidR="00D30688" w:rsidRPr="00442EAD">
        <w:rPr>
          <w:sz w:val="18"/>
          <w:szCs w:val="18"/>
        </w:rPr>
        <w:t xml:space="preserve"> </w:t>
      </w:r>
      <w:r w:rsidRPr="00442EAD">
        <w:rPr>
          <w:sz w:val="18"/>
          <w:szCs w:val="18"/>
        </w:rPr>
        <w:t>Sub</w:t>
      </w:r>
    </w:p>
    <w:p w14:paraId="0C48992B" w14:textId="77777777" w:rsidR="00CF2902" w:rsidRPr="008F03E5" w:rsidRDefault="00E83A08" w:rsidP="00CF6AF7">
      <w:pPr>
        <w:pStyle w:val="Myhead3"/>
        <w:rPr>
          <w:lang w:val="en-GB"/>
        </w:rPr>
      </w:pPr>
      <w:r w:rsidRPr="008F03E5">
        <w:rPr>
          <w:lang w:val="en-GB"/>
        </w:rPr>
        <w:t>Subroutines</w:t>
      </w:r>
      <w:r w:rsidR="00D30688" w:rsidRPr="008F03E5">
        <w:rPr>
          <w:lang w:val="en-GB"/>
        </w:rPr>
        <w:t xml:space="preserve"> </w:t>
      </w:r>
      <w:r w:rsidR="00CF2902" w:rsidRPr="008F03E5">
        <w:rPr>
          <w:lang w:val="en-GB"/>
        </w:rPr>
        <w:t>called</w:t>
      </w:r>
      <w:r w:rsidR="00D30688" w:rsidRPr="008F03E5">
        <w:rPr>
          <w:lang w:val="en-GB"/>
        </w:rPr>
        <w:t xml:space="preserve"> </w:t>
      </w:r>
      <w:r w:rsidR="00CF2902" w:rsidRPr="008F03E5">
        <w:rPr>
          <w:lang w:val="en-GB"/>
        </w:rPr>
        <w:t>by</w:t>
      </w:r>
      <w:r w:rsidR="00D30688" w:rsidRPr="008F03E5">
        <w:rPr>
          <w:lang w:val="en-GB"/>
        </w:rPr>
        <w:t xml:space="preserve"> </w:t>
      </w:r>
      <w:r w:rsidR="00CF2902" w:rsidRPr="008F03E5">
        <w:rPr>
          <w:lang w:val="en-GB"/>
        </w:rPr>
        <w:t>the</w:t>
      </w:r>
      <w:r w:rsidR="00D30688" w:rsidRPr="008F03E5">
        <w:rPr>
          <w:lang w:val="en-GB"/>
        </w:rPr>
        <w:t xml:space="preserve"> </w:t>
      </w:r>
      <w:r w:rsidR="00CF2902" w:rsidRPr="008F03E5">
        <w:rPr>
          <w:lang w:val="en-GB"/>
        </w:rPr>
        <w:t>above</w:t>
      </w:r>
      <w:r w:rsidR="00D30688" w:rsidRPr="008F03E5">
        <w:rPr>
          <w:lang w:val="en-GB"/>
        </w:rPr>
        <w:t xml:space="preserve"> </w:t>
      </w:r>
      <w:r w:rsidRPr="008F03E5">
        <w:rPr>
          <w:lang w:val="en-GB"/>
        </w:rPr>
        <w:t>macro</w:t>
      </w:r>
      <w:r w:rsidR="00CF2902" w:rsidRPr="008F03E5">
        <w:rPr>
          <w:lang w:val="en-GB"/>
        </w:rPr>
        <w:t>s</w:t>
      </w:r>
    </w:p>
    <w:p w14:paraId="5828C363" w14:textId="77777777" w:rsidR="00CF2902" w:rsidRPr="00442EAD" w:rsidRDefault="00CF2902" w:rsidP="00442EAD">
      <w:pPr>
        <w:pStyle w:val="Quote"/>
      </w:pPr>
      <w:r w:rsidRPr="00442EAD">
        <w:t>Sub</w:t>
      </w:r>
      <w:r w:rsidR="00D30688" w:rsidRPr="00442EAD">
        <w:t xml:space="preserve"> </w:t>
      </w:r>
      <w:r w:rsidRPr="00442EAD">
        <w:t>S_ChangeCharacterUnicode(A_ChrSet1,</w:t>
      </w:r>
      <w:r w:rsidR="00D30688" w:rsidRPr="00442EAD">
        <w:t xml:space="preserve"> </w:t>
      </w:r>
      <w:r w:rsidRPr="00442EAD">
        <w:t>A_ChrSet2,</w:t>
      </w:r>
      <w:r w:rsidR="00D30688" w:rsidRPr="00442EAD">
        <w:t xml:space="preserve"> </w:t>
      </w:r>
      <w:r w:rsidRPr="00442EAD">
        <w:t>Optional</w:t>
      </w:r>
      <w:r w:rsidR="00D30688" w:rsidRPr="00442EAD">
        <w:t xml:space="preserve"> </w:t>
      </w:r>
      <w:r w:rsidRPr="00442EAD">
        <w:t>V_StringLength,</w:t>
      </w:r>
      <w:r w:rsidR="00D30688" w:rsidRPr="00442EAD">
        <w:t xml:space="preserve"> </w:t>
      </w:r>
      <w:r w:rsidRPr="00442EAD">
        <w:t>Optional</w:t>
      </w:r>
      <w:r w:rsidR="00D30688" w:rsidRPr="00442EAD">
        <w:t xml:space="preserve"> </w:t>
      </w:r>
      <w:r w:rsidRPr="00442EAD">
        <w:t>Vb_NoChangeMade)</w:t>
      </w:r>
    </w:p>
    <w:p w14:paraId="2EDC92B8" w14:textId="77777777" w:rsidR="00CF2902" w:rsidRPr="00442EAD" w:rsidRDefault="00CF2902" w:rsidP="005A69E3">
      <w:pPr>
        <w:pStyle w:val="Quotects"/>
        <w:rPr>
          <w:sz w:val="18"/>
          <w:szCs w:val="18"/>
        </w:rPr>
      </w:pPr>
      <w:r w:rsidRPr="00442EAD">
        <w:rPr>
          <w:sz w:val="18"/>
          <w:szCs w:val="18"/>
        </w:rPr>
        <w:t>'</w:t>
      </w:r>
      <w:r w:rsidR="00D30688" w:rsidRPr="00442EAD">
        <w:rPr>
          <w:sz w:val="18"/>
          <w:szCs w:val="18"/>
        </w:rPr>
        <w:t xml:space="preserve"> </w:t>
      </w:r>
      <w:r w:rsidRPr="00442EAD">
        <w:rPr>
          <w:sz w:val="18"/>
          <w:szCs w:val="18"/>
        </w:rPr>
        <w:t>Exchange</w:t>
      </w:r>
      <w:r w:rsidR="00D30688" w:rsidRPr="00442EAD">
        <w:rPr>
          <w:sz w:val="18"/>
          <w:szCs w:val="18"/>
        </w:rPr>
        <w:t xml:space="preserve"> </w:t>
      </w:r>
      <w:r w:rsidRPr="00442EAD">
        <w:rPr>
          <w:sz w:val="18"/>
          <w:szCs w:val="18"/>
        </w:rPr>
        <w:t>character</w:t>
      </w:r>
      <w:r w:rsidR="00D30688" w:rsidRPr="00442EAD">
        <w:rPr>
          <w:sz w:val="18"/>
          <w:szCs w:val="18"/>
        </w:rPr>
        <w:t xml:space="preserve"> </w:t>
      </w:r>
      <w:r w:rsidRPr="00442EAD">
        <w:rPr>
          <w:sz w:val="18"/>
          <w:szCs w:val="18"/>
        </w:rPr>
        <w:t>from</w:t>
      </w:r>
      <w:r w:rsidR="00D30688" w:rsidRPr="00442EAD">
        <w:rPr>
          <w:sz w:val="18"/>
          <w:szCs w:val="18"/>
        </w:rPr>
        <w:t xml:space="preserve"> </w:t>
      </w:r>
      <w:r w:rsidRPr="00442EAD">
        <w:rPr>
          <w:sz w:val="18"/>
          <w:szCs w:val="18"/>
        </w:rPr>
        <w:t>CharacterSet1</w:t>
      </w:r>
      <w:r w:rsidR="00D30688" w:rsidRPr="00442EAD">
        <w:rPr>
          <w:sz w:val="18"/>
          <w:szCs w:val="18"/>
        </w:rPr>
        <w:t xml:space="preserve"> </w:t>
      </w:r>
      <w:r w:rsidRPr="00442EAD">
        <w:rPr>
          <w:sz w:val="18"/>
          <w:szCs w:val="18"/>
        </w:rPr>
        <w:t>with</w:t>
      </w:r>
      <w:r w:rsidR="00D30688" w:rsidRPr="00442EAD">
        <w:rPr>
          <w:sz w:val="18"/>
          <w:szCs w:val="18"/>
        </w:rPr>
        <w:t xml:space="preserve"> </w:t>
      </w:r>
      <w:r w:rsidRPr="00442EAD">
        <w:rPr>
          <w:sz w:val="18"/>
          <w:szCs w:val="18"/>
        </w:rPr>
        <w:t>equivalent</w:t>
      </w:r>
      <w:r w:rsidR="00D30688" w:rsidRPr="00442EAD">
        <w:rPr>
          <w:sz w:val="18"/>
          <w:szCs w:val="18"/>
        </w:rPr>
        <w:t xml:space="preserve"> </w:t>
      </w:r>
      <w:r w:rsidRPr="00442EAD">
        <w:rPr>
          <w:sz w:val="18"/>
          <w:szCs w:val="18"/>
        </w:rPr>
        <w:t>character</w:t>
      </w:r>
      <w:r w:rsidR="00D30688" w:rsidRPr="00442EAD">
        <w:rPr>
          <w:sz w:val="18"/>
          <w:szCs w:val="18"/>
        </w:rPr>
        <w:t xml:space="preserve"> </w:t>
      </w:r>
      <w:r w:rsidRPr="00442EAD">
        <w:rPr>
          <w:sz w:val="18"/>
          <w:szCs w:val="18"/>
        </w:rPr>
        <w:t>from</w:t>
      </w:r>
      <w:r w:rsidR="00D30688" w:rsidRPr="00442EAD">
        <w:rPr>
          <w:sz w:val="18"/>
          <w:szCs w:val="18"/>
        </w:rPr>
        <w:t xml:space="preserve"> </w:t>
      </w:r>
      <w:r w:rsidRPr="00442EAD">
        <w:rPr>
          <w:sz w:val="18"/>
          <w:szCs w:val="18"/>
        </w:rPr>
        <w:t>CharacterSet2.</w:t>
      </w:r>
    </w:p>
    <w:p w14:paraId="5EF569F2" w14:textId="77777777" w:rsidR="00CF2902" w:rsidRPr="00442EAD" w:rsidRDefault="00CF2902" w:rsidP="005A69E3">
      <w:pPr>
        <w:pStyle w:val="Quotects"/>
        <w:rPr>
          <w:sz w:val="18"/>
          <w:szCs w:val="18"/>
        </w:rPr>
      </w:pPr>
      <w:r w:rsidRPr="00442EAD">
        <w:rPr>
          <w:sz w:val="18"/>
          <w:szCs w:val="18"/>
        </w:rPr>
        <w:t>'</w:t>
      </w:r>
      <w:r w:rsidR="00D30688" w:rsidRPr="00442EAD">
        <w:rPr>
          <w:sz w:val="18"/>
          <w:szCs w:val="18"/>
        </w:rPr>
        <w:t xml:space="preserve"> </w:t>
      </w:r>
      <w:r w:rsidRPr="00442EAD">
        <w:rPr>
          <w:sz w:val="18"/>
          <w:szCs w:val="18"/>
        </w:rPr>
        <w:t>Process</w:t>
      </w:r>
      <w:r w:rsidR="00D30688" w:rsidRPr="00442EAD">
        <w:rPr>
          <w:sz w:val="18"/>
          <w:szCs w:val="18"/>
        </w:rPr>
        <w:t xml:space="preserve"> </w:t>
      </w:r>
      <w:r w:rsidRPr="00442EAD">
        <w:rPr>
          <w:sz w:val="18"/>
          <w:szCs w:val="18"/>
        </w:rPr>
        <w:t>characters</w:t>
      </w:r>
      <w:r w:rsidR="00D30688" w:rsidRPr="00442EAD">
        <w:rPr>
          <w:sz w:val="18"/>
          <w:szCs w:val="18"/>
        </w:rPr>
        <w:t xml:space="preserve"> </w:t>
      </w:r>
      <w:r w:rsidRPr="00442EAD">
        <w:rPr>
          <w:sz w:val="18"/>
          <w:szCs w:val="18"/>
        </w:rPr>
        <w:t>as</w:t>
      </w:r>
      <w:r w:rsidR="00D30688" w:rsidRPr="00442EAD">
        <w:rPr>
          <w:sz w:val="18"/>
          <w:szCs w:val="18"/>
        </w:rPr>
        <w:t xml:space="preserve"> </w:t>
      </w:r>
      <w:r w:rsidRPr="00442EAD">
        <w:rPr>
          <w:sz w:val="18"/>
          <w:szCs w:val="18"/>
        </w:rPr>
        <w:t>Unicode.</w:t>
      </w:r>
    </w:p>
    <w:p w14:paraId="07EE3F3C" w14:textId="77777777" w:rsidR="00CF2902" w:rsidRPr="00442EAD" w:rsidRDefault="0070463A" w:rsidP="005A69E3">
      <w:pPr>
        <w:pStyle w:val="Quotects"/>
        <w:rPr>
          <w:sz w:val="18"/>
          <w:szCs w:val="18"/>
        </w:rPr>
      </w:pPr>
      <w:r w:rsidRPr="00442EAD">
        <w:rPr>
          <w:sz w:val="18"/>
          <w:szCs w:val="18"/>
        </w:rPr>
        <w:t>'</w:t>
      </w:r>
    </w:p>
    <w:p w14:paraId="59FC9DDD"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If</w:t>
      </w:r>
      <w:r w:rsidRPr="00442EAD">
        <w:rPr>
          <w:sz w:val="18"/>
          <w:szCs w:val="18"/>
        </w:rPr>
        <w:t xml:space="preserve"> </w:t>
      </w:r>
      <w:r w:rsidR="00CF2902" w:rsidRPr="00442EAD">
        <w:rPr>
          <w:sz w:val="18"/>
          <w:szCs w:val="18"/>
        </w:rPr>
        <w:t>IsMissing(V_StringLength)</w:t>
      </w:r>
      <w:r w:rsidRPr="00442EAD">
        <w:rPr>
          <w:sz w:val="18"/>
          <w:szCs w:val="18"/>
        </w:rPr>
        <w:t xml:space="preserve"> </w:t>
      </w:r>
      <w:r w:rsidR="00CF2902" w:rsidRPr="00442EAD">
        <w:rPr>
          <w:sz w:val="18"/>
          <w:szCs w:val="18"/>
        </w:rPr>
        <w:t>Then</w:t>
      </w:r>
      <w:r w:rsidRPr="00442EAD">
        <w:rPr>
          <w:sz w:val="18"/>
          <w:szCs w:val="18"/>
        </w:rPr>
        <w:t xml:space="preserve"> </w:t>
      </w:r>
      <w:r w:rsidR="00CF2902" w:rsidRPr="00442EAD">
        <w:rPr>
          <w:sz w:val="18"/>
          <w:szCs w:val="18"/>
        </w:rPr>
        <w:t>V_StringLength</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1</w:t>
      </w:r>
    </w:p>
    <w:p w14:paraId="4B41028C"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If</w:t>
      </w:r>
      <w:r w:rsidRPr="00442EAD">
        <w:rPr>
          <w:sz w:val="18"/>
          <w:szCs w:val="18"/>
        </w:rPr>
        <w:t xml:space="preserve"> </w:t>
      </w:r>
      <w:r w:rsidR="00CF2902" w:rsidRPr="00442EAD">
        <w:rPr>
          <w:sz w:val="18"/>
          <w:szCs w:val="18"/>
        </w:rPr>
        <w:t>Selection.Type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wdSelectionIP</w:t>
      </w:r>
      <w:r w:rsidRPr="00442EAD">
        <w:rPr>
          <w:sz w:val="18"/>
          <w:szCs w:val="18"/>
        </w:rPr>
        <w:t xml:space="preserve"> </w:t>
      </w:r>
      <w:r w:rsidR="00CF2902" w:rsidRPr="00442EAD">
        <w:rPr>
          <w:sz w:val="18"/>
          <w:szCs w:val="18"/>
        </w:rPr>
        <w:t>Then</w:t>
      </w:r>
      <w:r w:rsidRPr="00442EAD">
        <w:rPr>
          <w:sz w:val="18"/>
          <w:szCs w:val="18"/>
        </w:rPr>
        <w:t xml:space="preserve"> </w:t>
      </w:r>
      <w:r w:rsidR="00CF2902" w:rsidRPr="00442EAD">
        <w:rPr>
          <w:sz w:val="18"/>
          <w:szCs w:val="18"/>
        </w:rPr>
        <w:t>Selection.MoveLeft</w:t>
      </w:r>
      <w:r w:rsidRPr="00442EAD">
        <w:rPr>
          <w:sz w:val="18"/>
          <w:szCs w:val="18"/>
        </w:rPr>
        <w:t xml:space="preserve"> </w:t>
      </w:r>
      <w:r w:rsidR="00CF2902" w:rsidRPr="00442EAD">
        <w:rPr>
          <w:sz w:val="18"/>
          <w:szCs w:val="18"/>
        </w:rPr>
        <w:t>Unit:=wdCharacter,</w:t>
      </w:r>
      <w:r w:rsidRPr="00442EAD">
        <w:rPr>
          <w:sz w:val="18"/>
          <w:szCs w:val="18"/>
        </w:rPr>
        <w:t xml:space="preserve"> </w:t>
      </w:r>
      <w:r w:rsidR="00CF2902" w:rsidRPr="00442EAD">
        <w:rPr>
          <w:sz w:val="18"/>
          <w:szCs w:val="18"/>
        </w:rPr>
        <w:t>Count:=V_StringLength,</w:t>
      </w:r>
      <w:r w:rsidRPr="00442EAD">
        <w:rPr>
          <w:sz w:val="18"/>
          <w:szCs w:val="18"/>
        </w:rPr>
        <w:t xml:space="preserve"> </w:t>
      </w:r>
      <w:r w:rsidR="00CF2902" w:rsidRPr="00442EAD">
        <w:rPr>
          <w:sz w:val="18"/>
          <w:szCs w:val="18"/>
        </w:rPr>
        <w:t>Extend:=wdExtend</w:t>
      </w:r>
    </w:p>
    <w:p w14:paraId="180B97D8"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V_ToBeChanged</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Selection()</w:t>
      </w:r>
    </w:p>
    <w:p w14:paraId="0FCCEAED" w14:textId="77777777" w:rsidR="00CF2902" w:rsidRPr="00442EAD" w:rsidRDefault="00D30688" w:rsidP="005A69E3">
      <w:pPr>
        <w:pStyle w:val="Quotects"/>
        <w:rPr>
          <w:sz w:val="18"/>
          <w:szCs w:val="18"/>
        </w:rPr>
      </w:pPr>
      <w:r w:rsidRPr="00442EAD">
        <w:rPr>
          <w:sz w:val="18"/>
          <w:szCs w:val="18"/>
        </w:rPr>
        <w:t xml:space="preserve">    </w:t>
      </w:r>
      <w:r w:rsidR="0070463A" w:rsidRPr="00442EAD">
        <w:rPr>
          <w:sz w:val="18"/>
          <w:szCs w:val="18"/>
        </w:rPr>
        <w:t>'</w:t>
      </w:r>
    </w:p>
    <w:p w14:paraId="435D3514"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Vb_NoChangeMade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True</w:t>
      </w:r>
    </w:p>
    <w:p w14:paraId="69CA15D5" w14:textId="77777777" w:rsidR="00CF2902" w:rsidRPr="00442EAD" w:rsidRDefault="00D30688" w:rsidP="005A69E3">
      <w:pPr>
        <w:pStyle w:val="Quotects"/>
        <w:rPr>
          <w:sz w:val="18"/>
          <w:szCs w:val="18"/>
        </w:rPr>
      </w:pPr>
      <w:r w:rsidRPr="00442EAD">
        <w:rPr>
          <w:sz w:val="18"/>
          <w:szCs w:val="18"/>
        </w:rPr>
        <w:t xml:space="preserve">        </w:t>
      </w:r>
      <w:r w:rsidR="0070463A" w:rsidRPr="00442EAD">
        <w:rPr>
          <w:sz w:val="18"/>
          <w:szCs w:val="18"/>
        </w:rPr>
        <w:t>'</w:t>
      </w:r>
    </w:p>
    <w:p w14:paraId="08B476DB"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Call</w:t>
      </w:r>
      <w:r w:rsidRPr="00442EAD">
        <w:rPr>
          <w:sz w:val="18"/>
          <w:szCs w:val="18"/>
        </w:rPr>
        <w:t xml:space="preserve"> </w:t>
      </w:r>
      <w:r w:rsidR="00CF2902" w:rsidRPr="00442EAD">
        <w:rPr>
          <w:sz w:val="18"/>
          <w:szCs w:val="18"/>
        </w:rPr>
        <w:t>S_CheckAndReplace1Chr(A_ChrSet1,</w:t>
      </w:r>
      <w:r w:rsidRPr="00442EAD">
        <w:rPr>
          <w:sz w:val="18"/>
          <w:szCs w:val="18"/>
        </w:rPr>
        <w:t xml:space="preserve"> </w:t>
      </w:r>
      <w:r w:rsidR="00CF2902" w:rsidRPr="00442EAD">
        <w:rPr>
          <w:sz w:val="18"/>
          <w:szCs w:val="18"/>
        </w:rPr>
        <w:t>A_ChrSet2,</w:t>
      </w:r>
      <w:r w:rsidRPr="00442EAD">
        <w:rPr>
          <w:sz w:val="18"/>
          <w:szCs w:val="18"/>
        </w:rPr>
        <w:t xml:space="preserve"> </w:t>
      </w:r>
      <w:r w:rsidR="00CF2902" w:rsidRPr="00442EAD">
        <w:rPr>
          <w:sz w:val="18"/>
          <w:szCs w:val="18"/>
        </w:rPr>
        <w:t>V_ToBeChanged,</w:t>
      </w:r>
      <w:r w:rsidRPr="00442EAD">
        <w:rPr>
          <w:sz w:val="18"/>
          <w:szCs w:val="18"/>
        </w:rPr>
        <w:t xml:space="preserve"> </w:t>
      </w:r>
      <w:r w:rsidR="00CF2902" w:rsidRPr="00442EAD">
        <w:rPr>
          <w:sz w:val="18"/>
          <w:szCs w:val="18"/>
        </w:rPr>
        <w:t>Vb_NoChangeMade)</w:t>
      </w:r>
    </w:p>
    <w:p w14:paraId="0E40674F"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If</w:t>
      </w:r>
      <w:r w:rsidRPr="00442EAD">
        <w:rPr>
          <w:sz w:val="18"/>
          <w:szCs w:val="18"/>
        </w:rPr>
        <w:t xml:space="preserve"> </w:t>
      </w:r>
      <w:r w:rsidR="00CF2902" w:rsidRPr="00442EAD">
        <w:rPr>
          <w:sz w:val="18"/>
          <w:szCs w:val="18"/>
        </w:rPr>
        <w:t>Vb_NoChangeMade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True</w:t>
      </w:r>
      <w:r w:rsidRPr="00442EAD">
        <w:rPr>
          <w:sz w:val="18"/>
          <w:szCs w:val="18"/>
        </w:rPr>
        <w:t xml:space="preserve"> </w:t>
      </w:r>
      <w:r w:rsidR="00CF2902" w:rsidRPr="00442EAD">
        <w:rPr>
          <w:sz w:val="18"/>
          <w:szCs w:val="18"/>
        </w:rPr>
        <w:t>Then</w:t>
      </w:r>
      <w:r w:rsidRPr="00442EAD">
        <w:rPr>
          <w:sz w:val="18"/>
          <w:szCs w:val="18"/>
        </w:rPr>
        <w:t xml:space="preserve"> </w:t>
      </w:r>
      <w:r w:rsidR="00CF2902" w:rsidRPr="00442EAD">
        <w:rPr>
          <w:sz w:val="18"/>
          <w:szCs w:val="18"/>
        </w:rPr>
        <w:t>Call</w:t>
      </w:r>
      <w:r w:rsidRPr="00442EAD">
        <w:rPr>
          <w:sz w:val="18"/>
          <w:szCs w:val="18"/>
        </w:rPr>
        <w:t xml:space="preserve"> </w:t>
      </w:r>
      <w:r w:rsidR="00CF2902" w:rsidRPr="00442EAD">
        <w:rPr>
          <w:sz w:val="18"/>
          <w:szCs w:val="18"/>
        </w:rPr>
        <w:t>S_CheckAndReplace1Chr(A_ChrSet2,</w:t>
      </w:r>
      <w:r w:rsidRPr="00442EAD">
        <w:rPr>
          <w:sz w:val="18"/>
          <w:szCs w:val="18"/>
        </w:rPr>
        <w:t xml:space="preserve"> </w:t>
      </w:r>
      <w:r w:rsidR="00CF2902" w:rsidRPr="00442EAD">
        <w:rPr>
          <w:sz w:val="18"/>
          <w:szCs w:val="18"/>
        </w:rPr>
        <w:t>A_ChrSet1,</w:t>
      </w:r>
      <w:r w:rsidRPr="00442EAD">
        <w:rPr>
          <w:sz w:val="18"/>
          <w:szCs w:val="18"/>
        </w:rPr>
        <w:t xml:space="preserve"> </w:t>
      </w:r>
      <w:r w:rsidR="00CF2902" w:rsidRPr="00442EAD">
        <w:rPr>
          <w:sz w:val="18"/>
          <w:szCs w:val="18"/>
        </w:rPr>
        <w:t>V_ToBeChanged,</w:t>
      </w:r>
      <w:r w:rsidRPr="00442EAD">
        <w:rPr>
          <w:sz w:val="18"/>
          <w:szCs w:val="18"/>
        </w:rPr>
        <w:t xml:space="preserve"> </w:t>
      </w:r>
      <w:r w:rsidR="00CF2902" w:rsidRPr="00442EAD">
        <w:rPr>
          <w:sz w:val="18"/>
          <w:szCs w:val="18"/>
        </w:rPr>
        <w:t>Vb_NoChangeMade)</w:t>
      </w:r>
    </w:p>
    <w:p w14:paraId="57C7FA92"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Selection.MoveRight</w:t>
      </w:r>
      <w:r w:rsidRPr="00442EAD">
        <w:rPr>
          <w:sz w:val="18"/>
          <w:szCs w:val="18"/>
        </w:rPr>
        <w:t xml:space="preserve"> </w:t>
      </w:r>
      <w:r w:rsidR="00CF2902" w:rsidRPr="00442EAD">
        <w:rPr>
          <w:sz w:val="18"/>
          <w:szCs w:val="18"/>
        </w:rPr>
        <w:t>Unit:=wdCharacter,</w:t>
      </w:r>
      <w:r w:rsidRPr="00442EAD">
        <w:rPr>
          <w:sz w:val="18"/>
          <w:szCs w:val="18"/>
        </w:rPr>
        <w:t xml:space="preserve"> </w:t>
      </w:r>
      <w:r w:rsidR="00CF2902" w:rsidRPr="00442EAD">
        <w:rPr>
          <w:sz w:val="18"/>
          <w:szCs w:val="18"/>
        </w:rPr>
        <w:t>Count:=1</w:t>
      </w:r>
    </w:p>
    <w:p w14:paraId="2DE487B6" w14:textId="77777777" w:rsidR="00CF2902" w:rsidRPr="00442EAD" w:rsidRDefault="00CF2902" w:rsidP="005A69E3">
      <w:pPr>
        <w:pStyle w:val="Quotects"/>
        <w:rPr>
          <w:sz w:val="18"/>
          <w:szCs w:val="18"/>
        </w:rPr>
      </w:pPr>
      <w:r w:rsidRPr="00442EAD">
        <w:rPr>
          <w:sz w:val="18"/>
          <w:szCs w:val="18"/>
        </w:rPr>
        <w:t>End</w:t>
      </w:r>
      <w:r w:rsidR="00D30688" w:rsidRPr="00442EAD">
        <w:rPr>
          <w:sz w:val="18"/>
          <w:szCs w:val="18"/>
        </w:rPr>
        <w:t xml:space="preserve"> </w:t>
      </w:r>
      <w:r w:rsidRPr="00442EAD">
        <w:rPr>
          <w:sz w:val="18"/>
          <w:szCs w:val="18"/>
        </w:rPr>
        <w:t>Sub</w:t>
      </w:r>
    </w:p>
    <w:p w14:paraId="33370E56" w14:textId="77777777" w:rsidR="00CF2902" w:rsidRPr="00442EAD" w:rsidRDefault="00CF2902" w:rsidP="005A69E3">
      <w:pPr>
        <w:pStyle w:val="Quotects"/>
        <w:rPr>
          <w:sz w:val="18"/>
          <w:szCs w:val="18"/>
        </w:rPr>
      </w:pPr>
    </w:p>
    <w:p w14:paraId="622DBC14" w14:textId="77777777" w:rsidR="00CF2902" w:rsidRPr="00442EAD" w:rsidRDefault="00CF2902" w:rsidP="005A69E3">
      <w:pPr>
        <w:pStyle w:val="Quotects"/>
        <w:rPr>
          <w:sz w:val="18"/>
          <w:szCs w:val="18"/>
        </w:rPr>
      </w:pPr>
      <w:r w:rsidRPr="00442EAD">
        <w:rPr>
          <w:sz w:val="18"/>
          <w:szCs w:val="18"/>
        </w:rPr>
        <w:t>Sub</w:t>
      </w:r>
      <w:r w:rsidR="00D30688" w:rsidRPr="00442EAD">
        <w:rPr>
          <w:sz w:val="18"/>
          <w:szCs w:val="18"/>
        </w:rPr>
        <w:t xml:space="preserve"> </w:t>
      </w:r>
      <w:r w:rsidRPr="00442EAD">
        <w:rPr>
          <w:sz w:val="18"/>
          <w:szCs w:val="18"/>
        </w:rPr>
        <w:t>S_CheckAndReplace1Chr(A_ChrCodeSet1,</w:t>
      </w:r>
      <w:r w:rsidR="00D30688" w:rsidRPr="00442EAD">
        <w:rPr>
          <w:sz w:val="18"/>
          <w:szCs w:val="18"/>
        </w:rPr>
        <w:t xml:space="preserve"> </w:t>
      </w:r>
      <w:r w:rsidRPr="00442EAD">
        <w:rPr>
          <w:sz w:val="18"/>
          <w:szCs w:val="18"/>
        </w:rPr>
        <w:t>A_ChrCodeSet2,</w:t>
      </w:r>
      <w:r w:rsidR="00D30688" w:rsidRPr="00442EAD">
        <w:rPr>
          <w:sz w:val="18"/>
          <w:szCs w:val="18"/>
        </w:rPr>
        <w:t xml:space="preserve"> </w:t>
      </w:r>
      <w:r w:rsidRPr="00442EAD">
        <w:rPr>
          <w:sz w:val="18"/>
          <w:szCs w:val="18"/>
        </w:rPr>
        <w:t>V_ToBeChanged,</w:t>
      </w:r>
      <w:r w:rsidR="00D30688" w:rsidRPr="00442EAD">
        <w:rPr>
          <w:sz w:val="18"/>
          <w:szCs w:val="18"/>
        </w:rPr>
        <w:t xml:space="preserve"> </w:t>
      </w:r>
      <w:r w:rsidRPr="00442EAD">
        <w:rPr>
          <w:sz w:val="18"/>
          <w:szCs w:val="18"/>
        </w:rPr>
        <w:t>Vb_NoChangeMade)</w:t>
      </w:r>
    </w:p>
    <w:p w14:paraId="0F952602" w14:textId="77777777" w:rsidR="00CF2902" w:rsidRPr="00442EAD" w:rsidRDefault="00CF2902" w:rsidP="005A69E3">
      <w:pPr>
        <w:pStyle w:val="Quotects"/>
        <w:rPr>
          <w:sz w:val="18"/>
          <w:szCs w:val="18"/>
        </w:rPr>
      </w:pPr>
      <w:r w:rsidRPr="00442EAD">
        <w:rPr>
          <w:sz w:val="18"/>
          <w:szCs w:val="18"/>
        </w:rPr>
        <w:t>'</w:t>
      </w:r>
      <w:r w:rsidR="00D30688" w:rsidRPr="00442EAD">
        <w:rPr>
          <w:sz w:val="18"/>
          <w:szCs w:val="18"/>
        </w:rPr>
        <w:t xml:space="preserve"> </w:t>
      </w:r>
      <w:r w:rsidRPr="00442EAD">
        <w:rPr>
          <w:sz w:val="18"/>
          <w:szCs w:val="18"/>
        </w:rPr>
        <w:t>If</w:t>
      </w:r>
      <w:r w:rsidR="00D30688" w:rsidRPr="00442EAD">
        <w:rPr>
          <w:sz w:val="18"/>
          <w:szCs w:val="18"/>
        </w:rPr>
        <w:t xml:space="preserve"> </w:t>
      </w:r>
      <w:r w:rsidR="00F51BFC" w:rsidRPr="00442EAD">
        <w:rPr>
          <w:sz w:val="18"/>
          <w:szCs w:val="18"/>
        </w:rPr>
        <w:t>“</w:t>
      </w:r>
      <w:r w:rsidRPr="00442EAD">
        <w:rPr>
          <w:sz w:val="18"/>
          <w:szCs w:val="18"/>
        </w:rPr>
        <w:t>ToBeChanged</w:t>
      </w:r>
      <w:r w:rsidR="00F51BFC" w:rsidRPr="00442EAD">
        <w:rPr>
          <w:sz w:val="18"/>
          <w:szCs w:val="18"/>
        </w:rPr>
        <w:t>”</w:t>
      </w:r>
      <w:r w:rsidR="00D30688" w:rsidRPr="00442EAD">
        <w:rPr>
          <w:sz w:val="18"/>
          <w:szCs w:val="18"/>
        </w:rPr>
        <w:t xml:space="preserve"> </w:t>
      </w:r>
      <w:r w:rsidRPr="00442EAD">
        <w:rPr>
          <w:sz w:val="18"/>
          <w:szCs w:val="18"/>
        </w:rPr>
        <w:t>is</w:t>
      </w:r>
      <w:r w:rsidR="00D30688" w:rsidRPr="00442EAD">
        <w:rPr>
          <w:sz w:val="18"/>
          <w:szCs w:val="18"/>
        </w:rPr>
        <w:t xml:space="preserve"> </w:t>
      </w:r>
      <w:r w:rsidRPr="00442EAD">
        <w:rPr>
          <w:sz w:val="18"/>
          <w:szCs w:val="18"/>
        </w:rPr>
        <w:t>found</w:t>
      </w:r>
      <w:r w:rsidR="00D30688" w:rsidRPr="00442EAD">
        <w:rPr>
          <w:sz w:val="18"/>
          <w:szCs w:val="18"/>
        </w:rPr>
        <w:t xml:space="preserve"> </w:t>
      </w:r>
      <w:r w:rsidRPr="00442EAD">
        <w:rPr>
          <w:sz w:val="18"/>
          <w:szCs w:val="18"/>
        </w:rPr>
        <w:t>in</w:t>
      </w:r>
      <w:r w:rsidR="00D30688" w:rsidRPr="00442EAD">
        <w:rPr>
          <w:sz w:val="18"/>
          <w:szCs w:val="18"/>
        </w:rPr>
        <w:t xml:space="preserve"> </w:t>
      </w:r>
      <w:r w:rsidR="00F51BFC" w:rsidRPr="00442EAD">
        <w:rPr>
          <w:sz w:val="18"/>
          <w:szCs w:val="18"/>
        </w:rPr>
        <w:t>“</w:t>
      </w:r>
      <w:r w:rsidRPr="00442EAD">
        <w:rPr>
          <w:sz w:val="18"/>
          <w:szCs w:val="18"/>
        </w:rPr>
        <w:t>ChrCodeSet1</w:t>
      </w:r>
      <w:r w:rsidR="00F51BFC" w:rsidRPr="00442EAD">
        <w:rPr>
          <w:sz w:val="18"/>
          <w:szCs w:val="18"/>
        </w:rPr>
        <w:t>”</w:t>
      </w:r>
      <w:r w:rsidRPr="00442EAD">
        <w:rPr>
          <w:sz w:val="18"/>
          <w:szCs w:val="18"/>
        </w:rPr>
        <w:t>,</w:t>
      </w:r>
      <w:r w:rsidR="00D30688" w:rsidRPr="00442EAD">
        <w:rPr>
          <w:sz w:val="18"/>
          <w:szCs w:val="18"/>
        </w:rPr>
        <w:t xml:space="preserve"> </w:t>
      </w:r>
      <w:r w:rsidRPr="00442EAD">
        <w:rPr>
          <w:sz w:val="18"/>
          <w:szCs w:val="18"/>
        </w:rPr>
        <w:t>replace</w:t>
      </w:r>
      <w:r w:rsidR="00D30688" w:rsidRPr="00442EAD">
        <w:rPr>
          <w:sz w:val="18"/>
          <w:szCs w:val="18"/>
        </w:rPr>
        <w:t xml:space="preserve"> </w:t>
      </w:r>
      <w:r w:rsidRPr="00442EAD">
        <w:rPr>
          <w:sz w:val="18"/>
          <w:szCs w:val="18"/>
        </w:rPr>
        <w:t>selected</w:t>
      </w:r>
      <w:r w:rsidR="00D30688" w:rsidRPr="00442EAD">
        <w:rPr>
          <w:sz w:val="18"/>
          <w:szCs w:val="18"/>
        </w:rPr>
        <w:t xml:space="preserve"> </w:t>
      </w:r>
      <w:r w:rsidRPr="00442EAD">
        <w:rPr>
          <w:sz w:val="18"/>
          <w:szCs w:val="18"/>
        </w:rPr>
        <w:t>character</w:t>
      </w:r>
      <w:r w:rsidR="00D30688" w:rsidRPr="00442EAD">
        <w:rPr>
          <w:sz w:val="18"/>
          <w:szCs w:val="18"/>
        </w:rPr>
        <w:t xml:space="preserve"> </w:t>
      </w:r>
      <w:r w:rsidRPr="00442EAD">
        <w:rPr>
          <w:sz w:val="18"/>
          <w:szCs w:val="18"/>
        </w:rPr>
        <w:t>with</w:t>
      </w:r>
      <w:r w:rsidR="00D30688" w:rsidRPr="00442EAD">
        <w:rPr>
          <w:sz w:val="18"/>
          <w:szCs w:val="18"/>
        </w:rPr>
        <w:t xml:space="preserve"> </w:t>
      </w:r>
      <w:r w:rsidRPr="00442EAD">
        <w:rPr>
          <w:sz w:val="18"/>
          <w:szCs w:val="18"/>
        </w:rPr>
        <w:t>equivalent</w:t>
      </w:r>
      <w:r w:rsidR="00D30688" w:rsidRPr="00442EAD">
        <w:rPr>
          <w:sz w:val="18"/>
          <w:szCs w:val="18"/>
        </w:rPr>
        <w:t xml:space="preserve"> </w:t>
      </w:r>
      <w:r w:rsidRPr="00442EAD">
        <w:rPr>
          <w:sz w:val="18"/>
          <w:szCs w:val="18"/>
        </w:rPr>
        <w:t>defined</w:t>
      </w:r>
      <w:r w:rsidR="00D30688" w:rsidRPr="00442EAD">
        <w:rPr>
          <w:sz w:val="18"/>
          <w:szCs w:val="18"/>
        </w:rPr>
        <w:t xml:space="preserve"> </w:t>
      </w:r>
      <w:r w:rsidRPr="00442EAD">
        <w:rPr>
          <w:sz w:val="18"/>
          <w:szCs w:val="18"/>
        </w:rPr>
        <w:t>in</w:t>
      </w:r>
      <w:r w:rsidR="00D30688" w:rsidRPr="00442EAD">
        <w:rPr>
          <w:sz w:val="18"/>
          <w:szCs w:val="18"/>
        </w:rPr>
        <w:t xml:space="preserve"> </w:t>
      </w:r>
      <w:r w:rsidR="00F51BFC" w:rsidRPr="00442EAD">
        <w:rPr>
          <w:sz w:val="18"/>
          <w:szCs w:val="18"/>
        </w:rPr>
        <w:t>“</w:t>
      </w:r>
      <w:r w:rsidRPr="00442EAD">
        <w:rPr>
          <w:sz w:val="18"/>
          <w:szCs w:val="18"/>
        </w:rPr>
        <w:t>ChrCodeSet2</w:t>
      </w:r>
      <w:r w:rsidR="00F51BFC" w:rsidRPr="00442EAD">
        <w:rPr>
          <w:sz w:val="18"/>
          <w:szCs w:val="18"/>
        </w:rPr>
        <w:t>”</w:t>
      </w:r>
      <w:r w:rsidRPr="00442EAD">
        <w:rPr>
          <w:sz w:val="18"/>
          <w:szCs w:val="18"/>
        </w:rPr>
        <w:t>,</w:t>
      </w:r>
    </w:p>
    <w:p w14:paraId="67DFCCED" w14:textId="77777777" w:rsidR="00CF2902" w:rsidRPr="00442EAD" w:rsidRDefault="00CF2902" w:rsidP="005A69E3">
      <w:pPr>
        <w:pStyle w:val="Quotects"/>
        <w:rPr>
          <w:sz w:val="18"/>
          <w:szCs w:val="18"/>
        </w:rPr>
      </w:pPr>
      <w:r w:rsidRPr="00442EAD">
        <w:rPr>
          <w:sz w:val="18"/>
          <w:szCs w:val="18"/>
        </w:rPr>
        <w:t>'</w:t>
      </w:r>
      <w:r w:rsidR="00D30688" w:rsidRPr="00442EAD">
        <w:rPr>
          <w:sz w:val="18"/>
          <w:szCs w:val="18"/>
        </w:rPr>
        <w:t xml:space="preserve"> </w:t>
      </w:r>
      <w:r w:rsidRPr="00442EAD">
        <w:rPr>
          <w:sz w:val="18"/>
          <w:szCs w:val="18"/>
        </w:rPr>
        <w:t>expected</w:t>
      </w:r>
      <w:r w:rsidR="00D30688" w:rsidRPr="00442EAD">
        <w:rPr>
          <w:sz w:val="18"/>
          <w:szCs w:val="18"/>
        </w:rPr>
        <w:t xml:space="preserve"> </w:t>
      </w:r>
      <w:r w:rsidRPr="00442EAD">
        <w:rPr>
          <w:sz w:val="18"/>
          <w:szCs w:val="18"/>
        </w:rPr>
        <w:t>that</w:t>
      </w:r>
      <w:r w:rsidR="00D30688" w:rsidRPr="00442EAD">
        <w:rPr>
          <w:sz w:val="18"/>
          <w:szCs w:val="18"/>
        </w:rPr>
        <w:t xml:space="preserve"> </w:t>
      </w:r>
      <w:r w:rsidR="00F51BFC" w:rsidRPr="00442EAD">
        <w:rPr>
          <w:sz w:val="18"/>
          <w:szCs w:val="18"/>
        </w:rPr>
        <w:t>“</w:t>
      </w:r>
      <w:r w:rsidRPr="00442EAD">
        <w:rPr>
          <w:sz w:val="18"/>
          <w:szCs w:val="18"/>
        </w:rPr>
        <w:t>ToBeChanged</w:t>
      </w:r>
      <w:r w:rsidR="00F51BFC" w:rsidRPr="00442EAD">
        <w:rPr>
          <w:sz w:val="18"/>
          <w:szCs w:val="18"/>
        </w:rPr>
        <w:t>”</w:t>
      </w:r>
      <w:r w:rsidR="00D30688" w:rsidRPr="00442EAD">
        <w:rPr>
          <w:sz w:val="18"/>
          <w:szCs w:val="18"/>
        </w:rPr>
        <w:t xml:space="preserve"> </w:t>
      </w:r>
      <w:r w:rsidRPr="00442EAD">
        <w:rPr>
          <w:sz w:val="18"/>
          <w:szCs w:val="18"/>
        </w:rPr>
        <w:t>is</w:t>
      </w:r>
      <w:r w:rsidR="00D30688" w:rsidRPr="00442EAD">
        <w:rPr>
          <w:sz w:val="18"/>
          <w:szCs w:val="18"/>
        </w:rPr>
        <w:t xml:space="preserve"> </w:t>
      </w:r>
      <w:r w:rsidRPr="00442EAD">
        <w:rPr>
          <w:sz w:val="18"/>
          <w:szCs w:val="18"/>
        </w:rPr>
        <w:t>identical</w:t>
      </w:r>
      <w:r w:rsidR="00D30688" w:rsidRPr="00442EAD">
        <w:rPr>
          <w:sz w:val="18"/>
          <w:szCs w:val="18"/>
        </w:rPr>
        <w:t xml:space="preserve"> </w:t>
      </w:r>
      <w:r w:rsidRPr="00442EAD">
        <w:rPr>
          <w:sz w:val="18"/>
          <w:szCs w:val="18"/>
        </w:rPr>
        <w:t>with</w:t>
      </w:r>
      <w:r w:rsidR="00D30688" w:rsidRPr="00442EAD">
        <w:rPr>
          <w:sz w:val="18"/>
          <w:szCs w:val="18"/>
        </w:rPr>
        <w:t xml:space="preserve"> </w:t>
      </w:r>
      <w:r w:rsidRPr="00442EAD">
        <w:rPr>
          <w:sz w:val="18"/>
          <w:szCs w:val="18"/>
        </w:rPr>
        <w:t>selected</w:t>
      </w:r>
      <w:r w:rsidR="00D30688" w:rsidRPr="00442EAD">
        <w:rPr>
          <w:sz w:val="18"/>
          <w:szCs w:val="18"/>
        </w:rPr>
        <w:t xml:space="preserve"> </w:t>
      </w:r>
      <w:r w:rsidRPr="00442EAD">
        <w:rPr>
          <w:sz w:val="18"/>
          <w:szCs w:val="18"/>
        </w:rPr>
        <w:t>character.</w:t>
      </w:r>
    </w:p>
    <w:p w14:paraId="0FC594C4" w14:textId="77777777" w:rsidR="00CF2902" w:rsidRPr="00442EAD" w:rsidRDefault="0070463A" w:rsidP="005A69E3">
      <w:pPr>
        <w:pStyle w:val="Quotects"/>
        <w:rPr>
          <w:sz w:val="18"/>
          <w:szCs w:val="18"/>
        </w:rPr>
      </w:pPr>
      <w:r w:rsidRPr="00442EAD">
        <w:rPr>
          <w:sz w:val="18"/>
          <w:szCs w:val="18"/>
        </w:rPr>
        <w:t>'</w:t>
      </w:r>
    </w:p>
    <w:p w14:paraId="29E8CF90"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V_StToBeChanged</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Selection.Style()</w:t>
      </w:r>
    </w:p>
    <w:p w14:paraId="636F8F2B"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boolVb_Bold</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False</w:t>
      </w:r>
    </w:p>
    <w:p w14:paraId="49D445E1"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If</w:t>
      </w:r>
      <w:r w:rsidRPr="00442EAD">
        <w:rPr>
          <w:sz w:val="18"/>
          <w:szCs w:val="18"/>
        </w:rPr>
        <w:t xml:space="preserve"> </w:t>
      </w:r>
      <w:r w:rsidR="00CF2902" w:rsidRPr="00442EAD">
        <w:rPr>
          <w:sz w:val="18"/>
          <w:szCs w:val="18"/>
        </w:rPr>
        <w:t>Selection.Font.Bold</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True</w:t>
      </w:r>
      <w:r w:rsidRPr="00442EAD">
        <w:rPr>
          <w:sz w:val="18"/>
          <w:szCs w:val="18"/>
        </w:rPr>
        <w:t xml:space="preserve"> </w:t>
      </w:r>
      <w:r w:rsidR="00CF2902" w:rsidRPr="00442EAD">
        <w:rPr>
          <w:sz w:val="18"/>
          <w:szCs w:val="18"/>
        </w:rPr>
        <w:t>Then</w:t>
      </w:r>
      <w:r w:rsidRPr="00442EAD">
        <w:rPr>
          <w:sz w:val="18"/>
          <w:szCs w:val="18"/>
        </w:rPr>
        <w:t xml:space="preserve"> </w:t>
      </w:r>
      <w:r w:rsidR="00CF2902" w:rsidRPr="00442EAD">
        <w:rPr>
          <w:sz w:val="18"/>
          <w:szCs w:val="18"/>
        </w:rPr>
        <w:t>boolVb_Bold</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True</w:t>
      </w:r>
    </w:p>
    <w:p w14:paraId="6F8999BC"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boolVb_Italic</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False</w:t>
      </w:r>
    </w:p>
    <w:p w14:paraId="0CDBA8B4"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If</w:t>
      </w:r>
      <w:r w:rsidRPr="00442EAD">
        <w:rPr>
          <w:sz w:val="18"/>
          <w:szCs w:val="18"/>
        </w:rPr>
        <w:t xml:space="preserve"> </w:t>
      </w:r>
      <w:r w:rsidR="00CF2902" w:rsidRPr="00442EAD">
        <w:rPr>
          <w:sz w:val="18"/>
          <w:szCs w:val="18"/>
        </w:rPr>
        <w:t>Selection.Font.Italic</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True</w:t>
      </w:r>
      <w:r w:rsidRPr="00442EAD">
        <w:rPr>
          <w:sz w:val="18"/>
          <w:szCs w:val="18"/>
        </w:rPr>
        <w:t xml:space="preserve"> </w:t>
      </w:r>
      <w:r w:rsidR="00CF2902" w:rsidRPr="00442EAD">
        <w:rPr>
          <w:sz w:val="18"/>
          <w:szCs w:val="18"/>
        </w:rPr>
        <w:t>Then</w:t>
      </w:r>
      <w:r w:rsidRPr="00442EAD">
        <w:rPr>
          <w:sz w:val="18"/>
          <w:szCs w:val="18"/>
        </w:rPr>
        <w:t xml:space="preserve"> </w:t>
      </w:r>
      <w:r w:rsidR="00CF2902" w:rsidRPr="00442EAD">
        <w:rPr>
          <w:sz w:val="18"/>
          <w:szCs w:val="18"/>
        </w:rPr>
        <w:t>boolVb_Italic</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True</w:t>
      </w:r>
    </w:p>
    <w:p w14:paraId="61E3A7FA"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Vb_Size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Selection.Font.Size</w:t>
      </w:r>
    </w:p>
    <w:p w14:paraId="75B01090"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Vn_Counter</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0</w:t>
      </w:r>
    </w:p>
    <w:p w14:paraId="7E784FFB"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For</w:t>
      </w:r>
      <w:r w:rsidRPr="00442EAD">
        <w:rPr>
          <w:sz w:val="18"/>
          <w:szCs w:val="18"/>
        </w:rPr>
        <w:t xml:space="preserve"> </w:t>
      </w:r>
      <w:r w:rsidR="00CF2902" w:rsidRPr="00442EAD">
        <w:rPr>
          <w:sz w:val="18"/>
          <w:szCs w:val="18"/>
        </w:rPr>
        <w:t>Each</w:t>
      </w:r>
      <w:r w:rsidRPr="00442EAD">
        <w:rPr>
          <w:sz w:val="18"/>
          <w:szCs w:val="18"/>
        </w:rPr>
        <w:t xml:space="preserve"> </w:t>
      </w:r>
      <w:r w:rsidR="00CF2902" w:rsidRPr="00442EAD">
        <w:rPr>
          <w:sz w:val="18"/>
          <w:szCs w:val="18"/>
        </w:rPr>
        <w:t>V_Code</w:t>
      </w:r>
      <w:r w:rsidRPr="00442EAD">
        <w:rPr>
          <w:sz w:val="18"/>
          <w:szCs w:val="18"/>
        </w:rPr>
        <w:t xml:space="preserve"> </w:t>
      </w:r>
      <w:r w:rsidR="00CF2902" w:rsidRPr="00442EAD">
        <w:rPr>
          <w:sz w:val="18"/>
          <w:szCs w:val="18"/>
        </w:rPr>
        <w:t>In</w:t>
      </w:r>
      <w:r w:rsidRPr="00442EAD">
        <w:rPr>
          <w:sz w:val="18"/>
          <w:szCs w:val="18"/>
        </w:rPr>
        <w:t xml:space="preserve"> </w:t>
      </w:r>
      <w:r w:rsidR="00CF2902" w:rsidRPr="00442EAD">
        <w:rPr>
          <w:sz w:val="18"/>
          <w:szCs w:val="18"/>
        </w:rPr>
        <w:t>A_ChrCodeSet1</w:t>
      </w:r>
    </w:p>
    <w:p w14:paraId="68A15122"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If</w:t>
      </w:r>
      <w:r w:rsidRPr="00442EAD">
        <w:rPr>
          <w:sz w:val="18"/>
          <w:szCs w:val="18"/>
        </w:rPr>
        <w:t xml:space="preserve"> </w:t>
      </w:r>
      <w:r w:rsidR="00CF2902" w:rsidRPr="00442EAD">
        <w:rPr>
          <w:sz w:val="18"/>
          <w:szCs w:val="18"/>
        </w:rPr>
        <w:t>V_Code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AscW(V_ToBeChanged)</w:t>
      </w:r>
      <w:r w:rsidRPr="00442EAD">
        <w:rPr>
          <w:sz w:val="18"/>
          <w:szCs w:val="18"/>
        </w:rPr>
        <w:t xml:space="preserve"> </w:t>
      </w:r>
      <w:r w:rsidR="00CF2902" w:rsidRPr="00442EAD">
        <w:rPr>
          <w:sz w:val="18"/>
          <w:szCs w:val="18"/>
        </w:rPr>
        <w:t>And</w:t>
      </w:r>
      <w:r w:rsidRPr="00442EAD">
        <w:rPr>
          <w:sz w:val="18"/>
          <w:szCs w:val="18"/>
        </w:rPr>
        <w:t xml:space="preserve"> </w:t>
      </w:r>
      <w:r w:rsidR="00CF2902" w:rsidRPr="00442EAD">
        <w:rPr>
          <w:sz w:val="18"/>
          <w:szCs w:val="18"/>
        </w:rPr>
        <w:t>Vb_NoChangeMade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True</w:t>
      </w:r>
      <w:r w:rsidRPr="00442EAD">
        <w:rPr>
          <w:sz w:val="18"/>
          <w:szCs w:val="18"/>
        </w:rPr>
        <w:t xml:space="preserve"> </w:t>
      </w:r>
      <w:r w:rsidR="00CF2902" w:rsidRPr="00442EAD">
        <w:rPr>
          <w:sz w:val="18"/>
          <w:szCs w:val="18"/>
        </w:rPr>
        <w:t>Then</w:t>
      </w:r>
    </w:p>
    <w:p w14:paraId="0FB2766C"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tmpOutput</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A_ChrCodeSet2(Vn_Counter)</w:t>
      </w:r>
    </w:p>
    <w:p w14:paraId="4C75C462"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V_Changed</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ChrW(A_ChrCodeSet2(Vn_Counter))</w:t>
      </w:r>
    </w:p>
    <w:p w14:paraId="5CFBB173"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Selection.Delete</w:t>
      </w:r>
    </w:p>
    <w:p w14:paraId="3ED37E6A"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Selection.Text</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V_Changed</w:t>
      </w:r>
    </w:p>
    <w:p w14:paraId="52A58917"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Selection.Style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V_StToBeChanged</w:t>
      </w:r>
    </w:p>
    <w:p w14:paraId="3389165E"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Selection.Font.Size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Vb_Size</w:t>
      </w:r>
    </w:p>
    <w:p w14:paraId="2D2BD3EA"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Selection.Font.Bold</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boolVb_Bold</w:t>
      </w:r>
    </w:p>
    <w:p w14:paraId="056D8197"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Selection.Font.Italic</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boolVb_Italic</w:t>
      </w:r>
    </w:p>
    <w:p w14:paraId="55113F91"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Vb_NoChangeMade</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False</w:t>
      </w:r>
    </w:p>
    <w:p w14:paraId="11C082FB"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End</w:t>
      </w:r>
      <w:r w:rsidRPr="00442EAD">
        <w:rPr>
          <w:sz w:val="18"/>
          <w:szCs w:val="18"/>
        </w:rPr>
        <w:t xml:space="preserve"> </w:t>
      </w:r>
      <w:r w:rsidR="00CF2902" w:rsidRPr="00442EAD">
        <w:rPr>
          <w:sz w:val="18"/>
          <w:szCs w:val="18"/>
        </w:rPr>
        <w:t>If</w:t>
      </w:r>
    </w:p>
    <w:p w14:paraId="216DA0D7"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Vn_Counter</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Vn_Counter</w:t>
      </w:r>
      <w:r w:rsidRPr="00442EAD">
        <w:rPr>
          <w:sz w:val="18"/>
          <w:szCs w:val="18"/>
        </w:rPr>
        <w:t xml:space="preserve"> </w:t>
      </w:r>
      <w:r w:rsidR="00CF2902" w:rsidRPr="00442EAD">
        <w:rPr>
          <w:sz w:val="18"/>
          <w:szCs w:val="18"/>
        </w:rPr>
        <w:t>+</w:t>
      </w:r>
      <w:r w:rsidRPr="00442EAD">
        <w:rPr>
          <w:sz w:val="18"/>
          <w:szCs w:val="18"/>
        </w:rPr>
        <w:t xml:space="preserve"> </w:t>
      </w:r>
      <w:r w:rsidR="00CF2902" w:rsidRPr="00442EAD">
        <w:rPr>
          <w:sz w:val="18"/>
          <w:szCs w:val="18"/>
        </w:rPr>
        <w:t>1</w:t>
      </w:r>
    </w:p>
    <w:p w14:paraId="05C020CA" w14:textId="77777777" w:rsidR="00CF2902" w:rsidRPr="00442EAD" w:rsidRDefault="00D30688" w:rsidP="005A69E3">
      <w:pPr>
        <w:pStyle w:val="Quotects"/>
        <w:rPr>
          <w:sz w:val="18"/>
          <w:szCs w:val="18"/>
        </w:rPr>
      </w:pPr>
      <w:r w:rsidRPr="00442EAD">
        <w:rPr>
          <w:sz w:val="18"/>
          <w:szCs w:val="18"/>
        </w:rPr>
        <w:t xml:space="preserve">        </w:t>
      </w:r>
      <w:r w:rsidR="00CF2902" w:rsidRPr="00442EAD">
        <w:rPr>
          <w:sz w:val="18"/>
          <w:szCs w:val="18"/>
        </w:rPr>
        <w:t>Next</w:t>
      </w:r>
      <w:r w:rsidRPr="00442EAD">
        <w:rPr>
          <w:sz w:val="18"/>
          <w:szCs w:val="18"/>
        </w:rPr>
        <w:t xml:space="preserve"> </w:t>
      </w:r>
      <w:r w:rsidR="00CF2902" w:rsidRPr="00442EAD">
        <w:rPr>
          <w:sz w:val="18"/>
          <w:szCs w:val="18"/>
        </w:rPr>
        <w:t>V_Code</w:t>
      </w:r>
    </w:p>
    <w:p w14:paraId="36B6A034" w14:textId="77777777" w:rsidR="00CF2902" w:rsidRPr="00230E37" w:rsidRDefault="00CF2902" w:rsidP="005A69E3">
      <w:pPr>
        <w:pStyle w:val="Quotects"/>
        <w:rPr>
          <w:sz w:val="18"/>
          <w:szCs w:val="18"/>
          <w:lang w:val="fr-FR"/>
        </w:rPr>
      </w:pPr>
      <w:r w:rsidRPr="00442EAD">
        <w:rPr>
          <w:sz w:val="18"/>
          <w:szCs w:val="18"/>
        </w:rPr>
        <w:t>End</w:t>
      </w:r>
      <w:r w:rsidR="00D30688" w:rsidRPr="00442EAD">
        <w:rPr>
          <w:sz w:val="18"/>
          <w:szCs w:val="18"/>
        </w:rPr>
        <w:t xml:space="preserve"> </w:t>
      </w:r>
      <w:r w:rsidRPr="00442EAD">
        <w:rPr>
          <w:sz w:val="18"/>
          <w:szCs w:val="18"/>
        </w:rPr>
        <w:t>Sub</w:t>
      </w:r>
    </w:p>
    <w:p w14:paraId="172CB4EC" w14:textId="3EF2CA1F" w:rsidR="00156243" w:rsidRPr="00230E37" w:rsidRDefault="00156243" w:rsidP="004B4D88">
      <w:pPr>
        <w:rPr>
          <w:lang w:val="fr-FR"/>
        </w:rPr>
      </w:pPr>
    </w:p>
    <w:sectPr w:rsidR="00156243" w:rsidRPr="00230E37" w:rsidSect="006A0123">
      <w:headerReference w:type="even" r:id="rId15"/>
      <w:headerReference w:type="default" r:id="rId16"/>
      <w:footerReference w:type="even" r:id="rId17"/>
      <w:footnotePr>
        <w:numRestart w:val="eachPage"/>
      </w:footnotePr>
      <w:type w:val="continuous"/>
      <w:pgSz w:w="11909" w:h="16834" w:code="9"/>
      <w:pgMar w:top="720" w:right="567" w:bottom="720" w:left="567" w:header="720" w:footer="567"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7924A" w14:textId="77777777" w:rsidR="00012B86" w:rsidRDefault="00012B86" w:rsidP="00DA35A5">
      <w:r>
        <w:separator/>
      </w:r>
    </w:p>
  </w:endnote>
  <w:endnote w:type="continuationSeparator" w:id="0">
    <w:p w14:paraId="1489F986" w14:textId="77777777" w:rsidR="00012B86" w:rsidRDefault="00012B86" w:rsidP="00DA3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2A0F806-7769-4468-B9D1-4B561CDE9B9D}"/>
    <w:embedBold r:id="rId2" w:fontKey="{05250922-BBEB-4EA9-A6E3-E07CD2829ED3}"/>
    <w:embedItalic r:id="rId3" w:fontKey="{0250907A-5ADB-4D18-86C7-438891476117}"/>
    <w:embedBoldItalic r:id="rId4" w:fontKey="{9DAD45A9-AA2B-46AC-8465-2BCB82D38B6B}"/>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0DB60" w14:textId="77777777" w:rsidR="00012B86" w:rsidRDefault="00012B86">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A8A08" w14:textId="77777777" w:rsidR="00012B86" w:rsidRDefault="00012B86">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877D0" w14:textId="77777777" w:rsidR="00012B86" w:rsidRDefault="00012B86" w:rsidP="002E4229">
    <w:pPr>
      <w:jc w:val="center"/>
    </w:pPr>
    <w:r>
      <w:fldChar w:fldCharType="begin"/>
    </w:r>
    <w:r>
      <w:instrText xml:space="preserve"> Page </w:instrText>
    </w:r>
    <w:r>
      <w:fldChar w:fldCharType="separate"/>
    </w:r>
    <w:r w:rsidR="00A36C2E">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14C10" w14:textId="77777777" w:rsidR="00012B86" w:rsidRPr="002E4229" w:rsidRDefault="00012B86" w:rsidP="002E42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FAE89" w14:textId="77777777" w:rsidR="00012B86" w:rsidRDefault="00012B86" w:rsidP="00DA35A5">
      <w:r>
        <w:separator/>
      </w:r>
    </w:p>
  </w:footnote>
  <w:footnote w:type="continuationSeparator" w:id="0">
    <w:p w14:paraId="268FC8C7" w14:textId="77777777" w:rsidR="00012B86" w:rsidRDefault="00012B86" w:rsidP="00DA35A5">
      <w:r>
        <w:continuationSeparator/>
      </w:r>
    </w:p>
  </w:footnote>
  <w:footnote w:id="1">
    <w:p w14:paraId="7EACA471" w14:textId="77777777" w:rsidR="00012B86" w:rsidRPr="00D4259C" w:rsidRDefault="00012B86" w:rsidP="00C949FD">
      <w:pPr>
        <w:pStyle w:val="FootnoteText"/>
      </w:pPr>
      <w:r w:rsidRPr="00D4259C">
        <w:rPr>
          <w:rStyle w:val="FootnoteReference"/>
        </w:rPr>
        <w:footnoteRef/>
      </w:r>
      <w:r w:rsidRPr="00D4259C">
        <w:tab/>
        <w:t>The smallest meaningful contrastive unit in a writing system.</w:t>
      </w:r>
    </w:p>
  </w:footnote>
  <w:footnote w:id="2">
    <w:p w14:paraId="3C558036" w14:textId="77777777" w:rsidR="00012B86" w:rsidRPr="00D4259C" w:rsidRDefault="00012B86" w:rsidP="00C949FD">
      <w:pPr>
        <w:pStyle w:val="FootnoteText"/>
      </w:pPr>
      <w:r w:rsidRPr="00D4259C">
        <w:rPr>
          <w:rStyle w:val="FootnoteReference"/>
        </w:rPr>
        <w:footnoteRef/>
      </w:r>
      <w:r w:rsidRPr="00D4259C">
        <w:tab/>
        <w:t>Any of the perceptually distinct units of sound in a specified language that distinguish one word from another.</w:t>
      </w:r>
    </w:p>
  </w:footnote>
  <w:footnote w:id="3">
    <w:p w14:paraId="24E50E28" w14:textId="229C5BF9" w:rsidR="00012B86" w:rsidRPr="00E375D1" w:rsidRDefault="00012B86">
      <w:pPr>
        <w:pStyle w:val="FootnoteText"/>
        <w:rPr>
          <w:lang w:val="en-US"/>
        </w:rPr>
      </w:pPr>
      <w:r>
        <w:rPr>
          <w:rStyle w:val="FootnoteReference"/>
        </w:rPr>
        <w:footnoteRef/>
      </w:r>
      <w:r>
        <w:tab/>
        <w:t xml:space="preserve">Shoghi Effendi, postscript to a letter dated 12 March 1923, </w:t>
      </w:r>
      <w:r w:rsidRPr="00FC782A">
        <w:rPr>
          <w:i/>
        </w:rPr>
        <w:t>Bahá’í Administration</w:t>
      </w:r>
      <w:r>
        <w:t>, p. 43.</w:t>
      </w:r>
    </w:p>
  </w:footnote>
  <w:footnote w:id="4">
    <w:p w14:paraId="0C1C84EA" w14:textId="77777777" w:rsidR="00012B86" w:rsidRPr="00D4259C" w:rsidRDefault="00012B86" w:rsidP="00F355CE">
      <w:pPr>
        <w:pStyle w:val="FootnoteText"/>
      </w:pPr>
      <w:r w:rsidRPr="00D4259C">
        <w:rPr>
          <w:rStyle w:val="FootnoteReference"/>
        </w:rPr>
        <w:footnoteRef/>
      </w:r>
      <w:r w:rsidRPr="00D4259C">
        <w:tab/>
        <w:t>From a letter written on behalf of the Universal House of Justice to the National Spiritual Assembly of Panama, 16 July 1979.</w:t>
      </w:r>
    </w:p>
  </w:footnote>
  <w:footnote w:id="5">
    <w:p w14:paraId="3D23ABAC" w14:textId="2C64940F" w:rsidR="00012B86" w:rsidRPr="00D4259C" w:rsidRDefault="00012B86" w:rsidP="00A0359B">
      <w:pPr>
        <w:pStyle w:val="FootnoteText"/>
      </w:pPr>
      <w:r w:rsidRPr="00D4259C">
        <w:rPr>
          <w:rStyle w:val="FootnoteReference"/>
        </w:rPr>
        <w:footnoteRef/>
      </w:r>
      <w:r w:rsidRPr="00D4259C">
        <w:tab/>
        <w:t xml:space="preserve">The Universal House of Justice, 21 July 1998, </w:t>
      </w:r>
      <w:r w:rsidRPr="006E4F84">
        <w:rPr>
          <w:i/>
        </w:rPr>
        <w:t>Messages from the Universal House of Justice 1963–1986</w:t>
      </w:r>
      <w:r>
        <w:t>, p. 187.</w:t>
      </w:r>
    </w:p>
  </w:footnote>
  <w:footnote w:id="6">
    <w:p w14:paraId="3901D29E" w14:textId="404785FD" w:rsidR="00012B86" w:rsidRPr="003F4F8E" w:rsidRDefault="00012B86" w:rsidP="0012551E">
      <w:pPr>
        <w:pStyle w:val="FootnoteText"/>
        <w:rPr>
          <w:lang w:val="en-US"/>
        </w:rPr>
      </w:pPr>
      <w:r>
        <w:rPr>
          <w:rStyle w:val="FootnoteReference"/>
        </w:rPr>
        <w:footnoteRef/>
      </w:r>
      <w:r>
        <w:tab/>
      </w:r>
      <w:r w:rsidRPr="008E557A">
        <w:t xml:space="preserve">The Universal House of Justice </w:t>
      </w:r>
      <w:r>
        <w:t xml:space="preserve">letter to an individual dated </w:t>
      </w:r>
      <w:r w:rsidRPr="008E557A">
        <w:t>20 October 1978</w:t>
      </w:r>
      <w:r>
        <w:t>, paras 5.2, 5.5 &amp; 5.9.</w:t>
      </w:r>
    </w:p>
  </w:footnote>
  <w:footnote w:id="7">
    <w:p w14:paraId="13BB7306" w14:textId="77777777" w:rsidR="00012B86" w:rsidRPr="00932850" w:rsidRDefault="00012B86" w:rsidP="00932850">
      <w:pPr>
        <w:pStyle w:val="FootnoteText"/>
        <w:rPr>
          <w:lang w:val="en-US"/>
        </w:rPr>
      </w:pPr>
      <w:r>
        <w:rPr>
          <w:rStyle w:val="FootnoteReference"/>
        </w:rPr>
        <w:footnoteRef/>
      </w:r>
      <w:r>
        <w:tab/>
        <w:t>A</w:t>
      </w:r>
      <w:r w:rsidRPr="005F3587">
        <w:t xml:space="preserve"> system of color symbolism representing the cardinal directions, </w:t>
      </w:r>
      <w:r>
        <w:t xml:space="preserve">believed to be used by the </w:t>
      </w:r>
      <w:r w:rsidRPr="005F3587">
        <w:t>Achaemenids</w:t>
      </w:r>
      <w:r>
        <w:t xml:space="preserve"> (or First Persian Empire)</w:t>
      </w:r>
      <w:r w:rsidRPr="005F3587">
        <w:t xml:space="preserve"> (550–330  BC)</w:t>
      </w:r>
      <w:r>
        <w:t>, had</w:t>
      </w:r>
      <w:r w:rsidRPr="005F3587">
        <w:t xml:space="preserve"> black for north</w:t>
      </w:r>
      <w:r>
        <w:t xml:space="preserve"> (e.g. North or Black Sea)</w:t>
      </w:r>
      <w:r w:rsidRPr="005F3587">
        <w:t>, red for south</w:t>
      </w:r>
      <w:r>
        <w:t xml:space="preserve"> (e.g. South or Red Sea)</w:t>
      </w:r>
      <w:r w:rsidRPr="005F3587">
        <w:t>, white for west</w:t>
      </w:r>
      <w:r>
        <w:t xml:space="preserve"> (e.g. White or Mediterranean Sea)</w:t>
      </w:r>
      <w:r w:rsidRPr="005F3587">
        <w:t>, and green or light blue for east.</w:t>
      </w:r>
    </w:p>
  </w:footnote>
  <w:footnote w:id="8">
    <w:p w14:paraId="19387590" w14:textId="77777777" w:rsidR="00012B86" w:rsidRPr="00D4259C" w:rsidRDefault="00012B86">
      <w:pPr>
        <w:pStyle w:val="FootnoteText"/>
      </w:pPr>
      <w:r w:rsidRPr="00D4259C">
        <w:rPr>
          <w:rStyle w:val="FootnoteReference"/>
        </w:rPr>
        <w:footnoteRef/>
      </w:r>
      <w:r w:rsidRPr="00D4259C">
        <w:tab/>
        <w:t>See https://hurqalya.ucmerced.edu/node/428</w:t>
      </w:r>
    </w:p>
  </w:footnote>
  <w:footnote w:id="9">
    <w:p w14:paraId="2602DAA0" w14:textId="77777777" w:rsidR="00012B86" w:rsidRPr="00D4259C" w:rsidRDefault="00012B86">
      <w:pPr>
        <w:pStyle w:val="FootnoteText"/>
      </w:pPr>
      <w:r w:rsidRPr="00D4259C">
        <w:rPr>
          <w:rStyle w:val="FootnoteReference"/>
        </w:rPr>
        <w:footnoteRef/>
      </w:r>
      <w:r w:rsidRPr="00D4259C">
        <w:tab/>
        <w:t>https://en.wikipedia.org/wiki/Bah%C3%A1%27%C3%AD_cosmology</w:t>
      </w:r>
    </w:p>
  </w:footnote>
  <w:footnote w:id="10">
    <w:p w14:paraId="5689E046" w14:textId="77777777" w:rsidR="00012B86" w:rsidRPr="00D4259C" w:rsidRDefault="00012B86">
      <w:pPr>
        <w:pStyle w:val="FootnoteText"/>
      </w:pPr>
      <w:r w:rsidRPr="00D4259C">
        <w:rPr>
          <w:rStyle w:val="FootnoteReference"/>
        </w:rPr>
        <w:footnoteRef/>
      </w:r>
      <w:r w:rsidRPr="00D4259C">
        <w:tab/>
        <w:t xml:space="preserve">See www.scribd.com/document/ 21263244/HURQALYA-HAVARQALYA and </w:t>
      </w:r>
      <w:r w:rsidRPr="00D4259C">
        <w:rPr>
          <w:i/>
        </w:rPr>
        <w:t xml:space="preserve">The development of Shaykhí thought in </w:t>
      </w:r>
      <w:r w:rsidRPr="00D4259C">
        <w:rPr>
          <w:i/>
          <w:u w:val="single"/>
        </w:rPr>
        <w:t>Sh</w:t>
      </w:r>
      <w:r w:rsidRPr="00D4259C">
        <w:rPr>
          <w:i/>
        </w:rPr>
        <w:t>í‘í Islam</w:t>
      </w:r>
      <w:r w:rsidRPr="00D4259C">
        <w:t>, pp. 106–7</w:t>
      </w:r>
      <w:r>
        <w:t>.</w:t>
      </w:r>
    </w:p>
  </w:footnote>
  <w:footnote w:id="11">
    <w:p w14:paraId="026DC775" w14:textId="77777777" w:rsidR="00012B86" w:rsidRPr="00E23E7E" w:rsidRDefault="00012B86" w:rsidP="00D51C41">
      <w:pPr>
        <w:pStyle w:val="FootnoteText"/>
        <w:rPr>
          <w:lang w:val="en-US"/>
        </w:rPr>
      </w:pPr>
      <w:r>
        <w:rPr>
          <w:rStyle w:val="FootnoteReference"/>
        </w:rPr>
        <w:footnoteRef/>
      </w:r>
      <w:r>
        <w:tab/>
      </w:r>
      <w:r w:rsidRPr="0092322B">
        <w:t>https://en.wikipedia.org/wiki/Tel_Kabri#/media/File:TelKabriRegion.png</w:t>
      </w:r>
    </w:p>
  </w:footnote>
  <w:footnote w:id="12">
    <w:p w14:paraId="488987CE" w14:textId="77777777" w:rsidR="00012B86" w:rsidRPr="0003224C" w:rsidRDefault="00012B86">
      <w:pPr>
        <w:pStyle w:val="FootnoteText"/>
        <w:rPr>
          <w:lang w:val="en-US"/>
        </w:rPr>
      </w:pPr>
      <w:r>
        <w:rPr>
          <w:rStyle w:val="FootnoteReference"/>
        </w:rPr>
        <w:footnoteRef/>
      </w:r>
      <w:r>
        <w:tab/>
      </w:r>
      <w:r w:rsidRPr="0003224C">
        <w:t>When used independently</w:t>
      </w:r>
      <w:r>
        <w:t xml:space="preserve"> (</w:t>
      </w:r>
      <w:r w:rsidRPr="0003224C">
        <w:t>not as a quotation</w:t>
      </w:r>
      <w:r>
        <w:t>)</w:t>
      </w:r>
      <w:r w:rsidRPr="0003224C">
        <w:t xml:space="preserve">, the first term should be presented in the nominative, i.e. </w:t>
      </w:r>
      <w:r w:rsidRPr="0003224C">
        <w:rPr>
          <w:u w:val="single"/>
        </w:rPr>
        <w:t>Kh</w:t>
      </w:r>
      <w:r w:rsidRPr="0003224C">
        <w:t>átamu.</w:t>
      </w:r>
      <w:r>
        <w:t xml:space="preserve"> </w:t>
      </w:r>
      <w:r w:rsidRPr="0003224C">
        <w:t xml:space="preserve"> In an-Nabiyyína, the double </w:t>
      </w:r>
      <w:r>
        <w:t>‘</w:t>
      </w:r>
      <w:r w:rsidRPr="0003224C">
        <w:t>yy</w:t>
      </w:r>
      <w:r>
        <w:t>’</w:t>
      </w:r>
      <w:r w:rsidRPr="0003224C">
        <w:t xml:space="preserve"> transcribes the </w:t>
      </w:r>
      <w:r>
        <w:t>‘</w:t>
      </w:r>
      <w:r w:rsidRPr="0003224C">
        <w:t xml:space="preserve">y + </w:t>
      </w:r>
      <w:r w:rsidRPr="0003224C">
        <w:rPr>
          <w:u w:val="single"/>
        </w:rPr>
        <w:t>sh</w:t>
      </w:r>
      <w:r w:rsidRPr="0003224C">
        <w:t>adda</w:t>
      </w:r>
      <w:r>
        <w:t>’</w:t>
      </w:r>
      <w:r w:rsidRPr="0003224C">
        <w:t>.</w:t>
      </w:r>
      <w:r>
        <w:t xml:space="preserve"> </w:t>
      </w:r>
      <w:r w:rsidRPr="0003224C">
        <w:t xml:space="preserve"> This is transcribed as </w:t>
      </w:r>
      <w:r>
        <w:t>‘</w:t>
      </w:r>
      <w:r w:rsidRPr="0003224C">
        <w:t>yy</w:t>
      </w:r>
      <w:r>
        <w:t>’</w:t>
      </w:r>
      <w:r w:rsidRPr="0003224C">
        <w:t xml:space="preserve"> rather than </w:t>
      </w:r>
      <w:r>
        <w:t>‘</w:t>
      </w:r>
      <w:r w:rsidRPr="0003224C">
        <w:t>íí</w:t>
      </w:r>
      <w:r>
        <w:t>’</w:t>
      </w:r>
      <w:r w:rsidRPr="0003224C">
        <w:t xml:space="preserve"> because the </w:t>
      </w:r>
      <w:r>
        <w:t>‘</w:t>
      </w:r>
      <w:r w:rsidRPr="0003224C">
        <w:t>y</w:t>
      </w:r>
      <w:r>
        <w:t>’</w:t>
      </w:r>
      <w:r w:rsidRPr="0003224C">
        <w:t xml:space="preserve">s are used here as consonants (i.e. producing the </w:t>
      </w:r>
      <w:r>
        <w:t>‘</w:t>
      </w:r>
      <w:r w:rsidRPr="0003224C">
        <w:t>yy</w:t>
      </w:r>
      <w:r>
        <w:t>’</w:t>
      </w:r>
      <w:r w:rsidRPr="0003224C">
        <w:t xml:space="preserve"> sound) rather than as long vowels.</w:t>
      </w:r>
      <w:r>
        <w:t xml:space="preserve"> </w:t>
      </w:r>
      <w:r w:rsidRPr="0003224C">
        <w:t xml:space="preserve"> The </w:t>
      </w:r>
      <w:r>
        <w:t>‘</w:t>
      </w:r>
      <w:r w:rsidRPr="0003224C">
        <w:t>ína</w:t>
      </w:r>
      <w:r>
        <w:t>’</w:t>
      </w:r>
      <w:r w:rsidRPr="0003224C">
        <w:t xml:space="preserve"> end</w:t>
      </w:r>
      <w:r>
        <w:t>ing</w:t>
      </w:r>
      <w:r w:rsidRPr="0003224C">
        <w:t xml:space="preserve"> of ’n-Nabiyyína indicates the genitive (i.e. “of the Prophets”), which in the plural has the same ending as the accusative.</w:t>
      </w:r>
    </w:p>
  </w:footnote>
  <w:footnote w:id="13">
    <w:p w14:paraId="5F2BBB6F" w14:textId="77777777" w:rsidR="00012B86" w:rsidRPr="00D4259C" w:rsidRDefault="00012B86" w:rsidP="004F4907">
      <w:pPr>
        <w:pStyle w:val="FootnoteText"/>
      </w:pPr>
      <w:r w:rsidRPr="00D4259C">
        <w:rPr>
          <w:rStyle w:val="FootnoteReference"/>
        </w:rPr>
        <w:footnoteRef/>
      </w:r>
      <w:r w:rsidRPr="00D4259C">
        <w:tab/>
      </w:r>
      <w:r w:rsidRPr="00D4259C">
        <w:rPr>
          <w:u w:val="single"/>
        </w:rPr>
        <w:t>Kh</w:t>
      </w:r>
      <w:r w:rsidRPr="00D4259C">
        <w:rPr>
          <w:szCs w:val="20"/>
        </w:rPr>
        <w:t>á</w:t>
      </w:r>
      <w:r w:rsidRPr="00D4259C">
        <w:t xml:space="preserve">razm is an example of a word where the “v” (váv, Persian) or “w” (wáw, Arabic) after the </w:t>
      </w:r>
      <w:r w:rsidRPr="00D4259C">
        <w:rPr>
          <w:u w:val="single"/>
        </w:rPr>
        <w:t>Kh</w:t>
      </w:r>
      <w:r w:rsidRPr="00D4259C">
        <w:t>á’ is not pronounced and should not be included in the transcription.  The same applies to al-</w:t>
      </w:r>
      <w:r w:rsidRPr="00D4259C">
        <w:rPr>
          <w:u w:val="single"/>
        </w:rPr>
        <w:t>Kh</w:t>
      </w:r>
      <w:r w:rsidRPr="00D4259C">
        <w:t xml:space="preserve">árazmí, </w:t>
      </w:r>
      <w:r w:rsidRPr="00D4259C">
        <w:rPr>
          <w:u w:val="single"/>
        </w:rPr>
        <w:t>Kh</w:t>
      </w:r>
      <w:r w:rsidRPr="00D4259C">
        <w:t>árazm</w:t>
      </w:r>
      <w:r w:rsidRPr="00D4259C">
        <w:rPr>
          <w:u w:val="single"/>
        </w:rPr>
        <w:t>sh</w:t>
      </w:r>
      <w:r w:rsidRPr="00D4259C">
        <w:t xml:space="preserve">áh and </w:t>
      </w:r>
      <w:r w:rsidRPr="00D4259C">
        <w:rPr>
          <w:rFonts w:eastAsia="Times New Roman" w:cs="Arial"/>
          <w:color w:val="000000"/>
          <w:u w:val="single"/>
          <w14:numForm w14:val="default"/>
          <w14:numSpacing w14:val="default"/>
        </w:rPr>
        <w:t>Kh</w:t>
      </w:r>
      <w:r w:rsidRPr="00D4259C">
        <w:rPr>
          <w:rFonts w:eastAsiaTheme="minorHAnsi"/>
          <w:lang w:eastAsia="en-GB"/>
        </w:rPr>
        <w:t>á</w:t>
      </w:r>
      <w:r w:rsidRPr="00D4259C">
        <w:rPr>
          <w:rFonts w:eastAsia="Times New Roman" w:cs="Arial"/>
          <w:color w:val="000000"/>
          <w14:numForm w14:val="default"/>
          <w14:numSpacing w14:val="default"/>
        </w:rPr>
        <w:t>razm</w:t>
      </w:r>
      <w:r w:rsidRPr="00D4259C">
        <w:rPr>
          <w:rFonts w:eastAsia="Times New Roman" w:cs="Arial"/>
          <w:color w:val="000000"/>
          <w:u w:val="single"/>
          <w14:numForm w14:val="default"/>
          <w14:numSpacing w14:val="default"/>
        </w:rPr>
        <w:t>sh</w:t>
      </w:r>
      <w:r w:rsidRPr="00D4259C">
        <w:rPr>
          <w:rFonts w:eastAsia="Times New Roman" w:cs="Arial"/>
          <w:color w:val="000000"/>
          <w14:numForm w14:val="default"/>
          <w14:numSpacing w14:val="default"/>
        </w:rPr>
        <w:t>áhiyán.</w:t>
      </w:r>
    </w:p>
  </w:footnote>
  <w:footnote w:id="14">
    <w:p w14:paraId="2BC27AC0" w14:textId="77777777" w:rsidR="00012B86" w:rsidRPr="00D4259C" w:rsidRDefault="00012B86">
      <w:pPr>
        <w:pStyle w:val="FootnoteText"/>
      </w:pPr>
      <w:r w:rsidRPr="00D4259C">
        <w:rPr>
          <w:rStyle w:val="FootnoteReference"/>
        </w:rPr>
        <w:footnoteRef/>
      </w:r>
      <w:r w:rsidRPr="00D4259C">
        <w:tab/>
        <w:t xml:space="preserve">Máhíyah in Islamic philosophy is used in two different senses:  1.  the particular sense—“quiddity” that refers to “what something is” without requiring its actual existence, i.e. it is strictly a concept in the mind.  “Species”, “quiddities” and “universals” in this sense refer to mental constructs derived from actual biological particulars.  This is the concept of “species” used by Aristotle and modem science.  2.  the general sense is “that by which a thing is what it is”, which corresponds to the understanding of Plato and </w:t>
      </w:r>
      <w:r w:rsidRPr="00D4259C">
        <w:rPr>
          <w:rFonts w:eastAsia="Times New Roman"/>
          <w:color w:val="000000"/>
        </w:rPr>
        <w:t>‘</w:t>
      </w:r>
      <w:r w:rsidRPr="00D4259C">
        <w:t>Abdu’l-Bahá where máhíyah (essence) and naw</w:t>
      </w:r>
      <w:r w:rsidRPr="00D4259C">
        <w:rPr>
          <w:rFonts w:eastAsia="Times New Roman"/>
          <w:color w:val="000000"/>
        </w:rPr>
        <w:t>‘</w:t>
      </w:r>
      <w:r w:rsidRPr="00D4259C">
        <w:t xml:space="preserve">íyah (species) refer to a divine reality existing in a realm outside of space and time.  See </w:t>
      </w:r>
      <w:r w:rsidRPr="00D4259C">
        <w:rPr>
          <w:i/>
        </w:rPr>
        <w:t>Evolution &amp; Bahá’í Belief</w:t>
      </w:r>
      <w:r w:rsidRPr="00D4259C">
        <w:t>, pp. 46–7.</w:t>
      </w:r>
    </w:p>
  </w:footnote>
  <w:footnote w:id="15">
    <w:p w14:paraId="5EEBE107" w14:textId="77777777" w:rsidR="00012B86" w:rsidRPr="00D4259C" w:rsidRDefault="00012B86" w:rsidP="002A1DCE">
      <w:pPr>
        <w:pStyle w:val="FootnoteText"/>
      </w:pPr>
      <w:r w:rsidRPr="00D4259C">
        <w:rPr>
          <w:rStyle w:val="FootnoteReference"/>
        </w:rPr>
        <w:footnoteRef/>
      </w:r>
      <w:r w:rsidRPr="00D4259C">
        <w:tab/>
        <w:t xml:space="preserve">It is more logical to assume Qur’án 2:230 refers to a husband thrice declaring that he is divorcing his wife rather thrice divorcing her.  See </w:t>
      </w:r>
      <w:r w:rsidRPr="00D4259C">
        <w:rPr>
          <w:lang w:eastAsia="zh-TW"/>
        </w:rPr>
        <w:t>ẓihár.</w:t>
      </w:r>
    </w:p>
  </w:footnote>
  <w:footnote w:id="16">
    <w:p w14:paraId="1A24BC1C" w14:textId="77777777" w:rsidR="00012B86" w:rsidRPr="00D4259C" w:rsidRDefault="00012B86" w:rsidP="001D49F1">
      <w:pPr>
        <w:pStyle w:val="FootnoteText"/>
      </w:pPr>
      <w:r w:rsidRPr="00D4259C">
        <w:rPr>
          <w:rStyle w:val="FootnoteReference"/>
        </w:rPr>
        <w:footnoteRef/>
      </w:r>
      <w:r w:rsidRPr="00D4259C">
        <w:tab/>
        <w:t>Muḥammad ibn ‘Abdu’lláh:  Prophet of Islám born Mecca 570 or 571, Mission 610, public declaration 612, fled to Medina 622–632.  Five names:  Muḥammad; Aḥmad; al-Maḥi (“Effacing”, “Eraser”), by means of which God effaces infidelity; al-Ḥá</w:t>
      </w:r>
      <w:r w:rsidRPr="00D4259C">
        <w:rPr>
          <w:u w:val="single"/>
        </w:rPr>
        <w:t>sh</w:t>
      </w:r>
      <w:r w:rsidRPr="00D4259C">
        <w:t>ir (“Gatherer”), who will gather people; and al-‘Áqib (“Final”), that is to say, the last of the Prophets.</w:t>
      </w:r>
    </w:p>
    <w:p w14:paraId="0E514D99" w14:textId="77777777" w:rsidR="00012B86" w:rsidRPr="00D4259C" w:rsidRDefault="00012B86" w:rsidP="00FD4F36">
      <w:pPr>
        <w:pStyle w:val="FootnoteText"/>
      </w:pPr>
      <w:r w:rsidRPr="00D4259C">
        <w:tab/>
        <w:t>Muḥammad has an h underdot, except when an English suffix is added.  Accepted exception appears to be “Muḥammad’s”.  Muhammadan implies a follower of Muḥammad instead of a “follower of God” (Muslim).  Muhammadanism implies that the religion is the “religion of Muḥammad” instead of the “religion of God” (i.e. Islám)—this idea is offensive to Muslims.</w:t>
      </w:r>
    </w:p>
  </w:footnote>
  <w:footnote w:id="17">
    <w:p w14:paraId="601AAEBD" w14:textId="77777777" w:rsidR="00012B86" w:rsidRPr="00E57300" w:rsidRDefault="00012B86">
      <w:pPr>
        <w:pStyle w:val="FootnoteText"/>
        <w:rPr>
          <w:lang w:val="en-US"/>
        </w:rPr>
      </w:pPr>
      <w:r>
        <w:rPr>
          <w:rStyle w:val="FootnoteReference"/>
        </w:rPr>
        <w:footnoteRef/>
      </w:r>
      <w:r>
        <w:tab/>
        <w:t>U</w:t>
      </w:r>
      <w:r w:rsidRPr="00E57300">
        <w:t>sufruct</w:t>
      </w:r>
      <w:r>
        <w:t xml:space="preserve">: </w:t>
      </w:r>
      <w:r w:rsidRPr="00E57300">
        <w:t xml:space="preserve"> the right to enjoy the use and advantages of another</w:t>
      </w:r>
      <w:r>
        <w:t>’</w:t>
      </w:r>
      <w:r w:rsidRPr="00E57300">
        <w:t>s property short of the destruction or waste of its substance</w:t>
      </w:r>
      <w:r>
        <w:t>.</w:t>
      </w:r>
    </w:p>
  </w:footnote>
  <w:footnote w:id="18">
    <w:p w14:paraId="7AAE5F6D" w14:textId="77777777" w:rsidR="00012B86" w:rsidRPr="00D4259C" w:rsidRDefault="00012B86" w:rsidP="0071690E">
      <w:pPr>
        <w:pStyle w:val="FootnoteText"/>
      </w:pPr>
      <w:r w:rsidRPr="00D4259C">
        <w:rPr>
          <w:rStyle w:val="FootnoteReference"/>
        </w:rPr>
        <w:t>*</w:t>
      </w:r>
      <w:r w:rsidRPr="00D4259C">
        <w:tab/>
        <w:t>Turn south off Ben Ami (east of Akko) to Shlom ha-Galil St, and continue south along the track at the end (32.915223, 35.090547)</w:t>
      </w:r>
    </w:p>
  </w:footnote>
  <w:footnote w:id="19">
    <w:p w14:paraId="0E8FBF7A" w14:textId="77777777" w:rsidR="00012B86" w:rsidRPr="00D4259C" w:rsidRDefault="00012B86" w:rsidP="003D7DB8">
      <w:pPr>
        <w:pStyle w:val="FootnoteText"/>
      </w:pPr>
      <w:r w:rsidRPr="00D4259C">
        <w:rPr>
          <w:rStyle w:val="FootnoteReference"/>
        </w:rPr>
        <w:footnoteRef/>
      </w:r>
      <w:r w:rsidRPr="00D4259C">
        <w:tab/>
        <w:t xml:space="preserve">Ian Semple, </w:t>
      </w:r>
      <w:r w:rsidRPr="00D4259C">
        <w:rPr>
          <w:i/>
        </w:rPr>
        <w:t>Interpretation and the Guardianship</w:t>
      </w:r>
      <w:r w:rsidRPr="00D4259C">
        <w:t>, 18 February 1984.</w:t>
      </w:r>
    </w:p>
  </w:footnote>
  <w:footnote w:id="20">
    <w:p w14:paraId="3BB16DEF" w14:textId="77777777" w:rsidR="00012B86" w:rsidRPr="00D4259C" w:rsidRDefault="00012B86" w:rsidP="00CD5D29">
      <w:pPr>
        <w:pStyle w:val="FootnoteText"/>
      </w:pPr>
      <w:r w:rsidRPr="00D4259C">
        <w:rPr>
          <w:rStyle w:val="FootnoteReference"/>
        </w:rPr>
        <w:footnoteRef/>
      </w:r>
      <w:r w:rsidRPr="00D4259C">
        <w:tab/>
        <w:t xml:space="preserve">“While suffering death on the pathway of God is the highest attainment, still, that dying which continues on throughout life, giving life to other souls, is the station of ‘living martyrdom’.  The death of a martyr means the immediate end to all his afflictions and tests:  martyrdom is the easiest way to enter the Kingdom of Heaven.  But those who rise up to serve the Cause, to bear afflictions and undergo tribulations and trials in order to draw souls into the holy Faith—those are living martyrs, their labour goes on and on, and their noble work, the regeneration of all humankind, will win them the highest of rewards, for ever and ever.  My prayer for you … is that you will reach that goal, the goal of the living martyrs.” </w:t>
      </w:r>
      <w:r w:rsidRPr="00D4259C">
        <w:rPr>
          <w:i/>
        </w:rPr>
        <w:t>Summon up remembrance</w:t>
      </w:r>
      <w:r w:rsidRPr="00D4259C">
        <w:t>, pp. 135–6.</w:t>
      </w:r>
    </w:p>
  </w:footnote>
  <w:footnote w:id="21">
    <w:p w14:paraId="20D32FA9" w14:textId="77777777" w:rsidR="00012B86" w:rsidRPr="00D4259C" w:rsidRDefault="00012B86" w:rsidP="000218C3">
      <w:pPr>
        <w:pStyle w:val="FootnoteText"/>
      </w:pPr>
      <w:r w:rsidRPr="00D4259C">
        <w:rPr>
          <w:rStyle w:val="FootnoteReference"/>
        </w:rPr>
        <w:footnoteRef/>
      </w:r>
      <w:r w:rsidRPr="00D4259C">
        <w:tab/>
        <w:t>The verses were written at a time when kings asked poets to praise them in prose and poems.  Sometimes there was competition between the poets of different kingdoms.  Ḥáfiẓ was requested by one of the rulers of India to finish a poem that he (the ruler) had written, but neither he nor the poets of his court could finish to make a nice “</w:t>
      </w:r>
      <w:r w:rsidRPr="00D4259C">
        <w:rPr>
          <w:rFonts w:asciiTheme="majorHAnsi" w:hAnsiTheme="majorHAnsi"/>
          <w:u w:val="single"/>
        </w:rPr>
        <w:t>gh</w:t>
      </w:r>
      <w:r w:rsidRPr="00D4259C">
        <w:rPr>
          <w:rFonts w:asciiTheme="majorHAnsi" w:hAnsiTheme="majorHAnsi"/>
        </w:rPr>
        <w:t>azál</w:t>
      </w:r>
      <w:r w:rsidRPr="00D4259C">
        <w:t>”.</w:t>
      </w:r>
    </w:p>
    <w:p w14:paraId="60D824F5" w14:textId="77777777" w:rsidR="00012B86" w:rsidRPr="00D4259C" w:rsidRDefault="00012B86" w:rsidP="001160B8">
      <w:pPr>
        <w:pStyle w:val="FootnoteText"/>
      </w:pPr>
      <w:r w:rsidRPr="00D4259C">
        <w:tab/>
        <w:t>In Persia the only known parrots (ṭúṭí) were those from India, and they were considered to be like the nightingale of Persia, a symbol of meaning, eloquence and mysticism.  Persians believed parrots were very fond of lumps of sugar.  Also a parrot is able to learn and imitate words or short phrases.  So it is a speaking bird.  “</w:t>
      </w:r>
      <w:r w:rsidRPr="00D4259C">
        <w:rPr>
          <w:u w:val="single"/>
        </w:rPr>
        <w:t>Sh</w:t>
      </w:r>
      <w:r w:rsidRPr="00D4259C">
        <w:t xml:space="preserve">ikkar </w:t>
      </w:r>
      <w:r w:rsidRPr="00D4259C">
        <w:rPr>
          <w:u w:val="single"/>
        </w:rPr>
        <w:t>Sh</w:t>
      </w:r>
      <w:r w:rsidRPr="00D4259C">
        <w:t xml:space="preserve">ikan” is a reference to the lumps of sugar being broken by a parrot’s beak!  Allegorically, it means “sweet speaking” or having a pleasant disposition or talent.  Hafiz wants to convey that his poetry is so sweet that can make the parrots in India sweet speaking birds!  Briefly, </w:t>
      </w:r>
      <w:r w:rsidRPr="00D4259C">
        <w:rPr>
          <w:u w:val="single"/>
        </w:rPr>
        <w:t>Sh</w:t>
      </w:r>
      <w:r w:rsidRPr="00D4259C">
        <w:t xml:space="preserve">ikar </w:t>
      </w:r>
      <w:r w:rsidRPr="00D4259C">
        <w:rPr>
          <w:u w:val="single"/>
        </w:rPr>
        <w:t>Sh</w:t>
      </w:r>
      <w:r w:rsidRPr="00D4259C">
        <w:t>ikan means the sweet voice, or poems of Bengal, is broken (</w:t>
      </w:r>
      <w:r w:rsidRPr="00D4259C">
        <w:rPr>
          <w:u w:val="single"/>
        </w:rPr>
        <w:t>sh</w:t>
      </w:r>
      <w:r w:rsidRPr="00D4259C">
        <w:t xml:space="preserve">ikan) by the sweet melody from </w:t>
      </w:r>
      <w:r w:rsidRPr="00D4259C">
        <w:rPr>
          <w:rFonts w:cs="Arial"/>
          <w:color w:val="000000"/>
          <w:u w:val="single"/>
        </w:rPr>
        <w:t>Sh</w:t>
      </w:r>
      <w:r w:rsidRPr="00D4259C">
        <w:rPr>
          <w:rFonts w:cs="Arial"/>
          <w:color w:val="000000"/>
        </w:rPr>
        <w:t>íráz</w:t>
      </w:r>
      <w:r w:rsidRPr="00D4259C">
        <w:t xml:space="preserve">.  So Hafez says to them that Bengal is no more the centre of prose and poems (once a famous seat for Persian language and literature) and </w:t>
      </w:r>
      <w:r w:rsidRPr="00D4259C">
        <w:rPr>
          <w:u w:val="single"/>
        </w:rPr>
        <w:t>Sh</w:t>
      </w:r>
      <w:r w:rsidRPr="00D4259C">
        <w:t xml:space="preserve">íráz has exceeded Bengal.  In the meantime he prophesizes that the Divine voice is going to be raised in </w:t>
      </w:r>
      <w:r w:rsidRPr="00D4259C">
        <w:rPr>
          <w:rFonts w:cs="Arial"/>
          <w:color w:val="000000"/>
          <w:u w:val="single"/>
        </w:rPr>
        <w:t>Sh</w:t>
      </w:r>
      <w:r w:rsidRPr="00D4259C">
        <w:rPr>
          <w:rFonts w:cs="Arial"/>
          <w:color w:val="000000"/>
        </w:rPr>
        <w:t>íráz</w:t>
      </w:r>
      <w:r w:rsidRPr="00D4259C">
        <w:t>.  In this Tablet Bahá’u’lláh refers to His station as the Divine melody and the Voice that was heard on Mount Sinai by Moses.</w:t>
      </w:r>
    </w:p>
  </w:footnote>
  <w:footnote w:id="22">
    <w:p w14:paraId="5F0EBE8B" w14:textId="77777777" w:rsidR="00012B86" w:rsidRPr="0021678C" w:rsidRDefault="00012B86" w:rsidP="00E74DD4">
      <w:pPr>
        <w:pStyle w:val="FootnoteText"/>
        <w:rPr>
          <w:lang w:val="en-US"/>
        </w:rPr>
      </w:pPr>
      <w:r>
        <w:rPr>
          <w:rStyle w:val="FootnoteReference"/>
        </w:rPr>
        <w:footnoteRef/>
      </w:r>
      <w:r>
        <w:tab/>
      </w:r>
      <w:r w:rsidRPr="00AF0087">
        <w:t>When thou attaineth the threshold of thy Beloved</w:t>
      </w:r>
      <w:r>
        <w:br/>
      </w:r>
      <w:r w:rsidRPr="00AF0087">
        <w:t>Say yea, for this is not the place to exchange Salám (peace) and ‘Alayk (upon thee be peace).</w:t>
      </w:r>
      <w:r>
        <w:br/>
      </w:r>
      <w:r w:rsidRPr="00AF0087">
        <w:t>This is the valley of love, mind thy step.</w:t>
      </w:r>
      <w:r>
        <w:br/>
      </w:r>
      <w:r w:rsidRPr="00AF0087">
        <w:t xml:space="preserve">This is the Holy Land, </w:t>
      </w:r>
      <w:r>
        <w:t>cast</w:t>
      </w:r>
      <w:r w:rsidRPr="00AF0087">
        <w:t xml:space="preserve"> off thy shoes.</w:t>
      </w:r>
    </w:p>
  </w:footnote>
  <w:footnote w:id="23">
    <w:p w14:paraId="53B0B7C8" w14:textId="77777777" w:rsidR="00012B86" w:rsidRPr="00D4259C" w:rsidRDefault="00012B86">
      <w:pPr>
        <w:pStyle w:val="FootnoteText"/>
      </w:pPr>
      <w:r w:rsidRPr="00D4259C">
        <w:rPr>
          <w:rStyle w:val="FootnoteReference"/>
        </w:rPr>
        <w:footnoteRef/>
      </w:r>
      <w:r w:rsidRPr="00D4259C">
        <w:tab/>
      </w:r>
      <w:r w:rsidRPr="00D4259C">
        <w:rPr>
          <w:i/>
        </w:rPr>
        <w:t>The Kitáb-i-Aqdas</w:t>
      </w:r>
      <w:r w:rsidRPr="00D4259C">
        <w:t xml:space="preserve">.  Quoted from Shoghi Effendi, </w:t>
      </w:r>
      <w:r w:rsidRPr="00D4259C">
        <w:rPr>
          <w:i/>
        </w:rPr>
        <w:t>God Passes By</w:t>
      </w:r>
      <w:r w:rsidRPr="00D4259C">
        <w:t>, p. 326.</w:t>
      </w:r>
    </w:p>
  </w:footnote>
  <w:footnote w:id="24">
    <w:p w14:paraId="3D8752F7" w14:textId="77777777" w:rsidR="00012B86" w:rsidRPr="00D4259C" w:rsidRDefault="00012B86">
      <w:pPr>
        <w:pStyle w:val="FootnoteText"/>
      </w:pPr>
      <w:r w:rsidRPr="00D4259C">
        <w:rPr>
          <w:rStyle w:val="FootnoteReference"/>
        </w:rPr>
        <w:footnoteRef/>
      </w:r>
      <w:r w:rsidRPr="00D4259C">
        <w:tab/>
        <w:t xml:space="preserve">‘Abdu’l-Bahá in </w:t>
      </w:r>
      <w:r w:rsidRPr="00D4259C">
        <w:rPr>
          <w:i/>
        </w:rPr>
        <w:t>Summon up remembrance</w:t>
      </w:r>
      <w:r w:rsidRPr="00D4259C">
        <w:t>, p. 248.</w:t>
      </w:r>
    </w:p>
  </w:footnote>
  <w:footnote w:id="25">
    <w:p w14:paraId="0B86A95F" w14:textId="77777777" w:rsidR="00012B86" w:rsidRPr="00D4259C" w:rsidRDefault="00012B86" w:rsidP="00B06D43">
      <w:pPr>
        <w:pStyle w:val="FootnoteText"/>
      </w:pPr>
      <w:r w:rsidRPr="00D4259C">
        <w:rPr>
          <w:rStyle w:val="FootnoteReference"/>
        </w:rPr>
        <w:t>*</w:t>
      </w:r>
      <w:r w:rsidRPr="00D4259C">
        <w:tab/>
        <w:t>Note:  the Arabic letters are right-to-left text.</w:t>
      </w:r>
    </w:p>
  </w:footnote>
  <w:footnote w:id="26">
    <w:p w14:paraId="0143AC48" w14:textId="77777777" w:rsidR="00012B86" w:rsidRPr="00D4259C" w:rsidRDefault="00012B86" w:rsidP="000008C6">
      <w:pPr>
        <w:pStyle w:val="FootnoteText"/>
      </w:pPr>
      <w:r w:rsidRPr="00D4259C">
        <w:rPr>
          <w:rStyle w:val="FootnoteReference"/>
        </w:rPr>
        <w:footnoteRef/>
      </w:r>
      <w:r w:rsidRPr="00D4259C">
        <w:tab/>
        <w:t>Transcription</w:t>
      </w:r>
    </w:p>
  </w:footnote>
  <w:footnote w:id="27">
    <w:p w14:paraId="4AA2B194" w14:textId="6C9B27B7" w:rsidR="00012B86" w:rsidRPr="003E1CE9" w:rsidRDefault="00012B86" w:rsidP="003E1CE9">
      <w:pPr>
        <w:pStyle w:val="FootnoteText"/>
        <w:rPr>
          <w:lang w:val="en-US"/>
        </w:rPr>
      </w:pPr>
      <w:r>
        <w:rPr>
          <w:rStyle w:val="FootnoteReference"/>
        </w:rPr>
        <w:footnoteRef/>
      </w:r>
      <w:r>
        <w:tab/>
        <w:t>The isolated hamza (</w:t>
      </w:r>
      <w:r w:rsidRPr="003E1CE9">
        <w:rPr>
          <w:rFonts w:hint="eastAsia"/>
          <w:rtl/>
        </w:rPr>
        <w:t>ء</w:t>
      </w:r>
      <w:r>
        <w:t>) is treated a</w:t>
      </w:r>
      <w:r w:rsidRPr="003E1CE9">
        <w:t>s if it were placed on an alif</w:t>
      </w:r>
      <w:r>
        <w:t xml:space="preserve"> where it would have an abjad value of 1.</w:t>
      </w:r>
    </w:p>
  </w:footnote>
  <w:footnote w:id="28">
    <w:p w14:paraId="1C34FBE2" w14:textId="77777777" w:rsidR="00012B86" w:rsidRPr="00D4259C" w:rsidRDefault="00012B86" w:rsidP="00D617B2">
      <w:pPr>
        <w:pStyle w:val="FootnoteText"/>
      </w:pPr>
      <w:r w:rsidRPr="00D4259C">
        <w:rPr>
          <w:rStyle w:val="FootnoteReference"/>
        </w:rPr>
        <w:footnoteRef/>
      </w:r>
      <w:r w:rsidRPr="00D4259C">
        <w:tab/>
        <w:t>Searching in Word:  use ^39 for single straight quote, ^34 for double straight quote and ^013 for paragraph or carrage return mark.</w:t>
      </w:r>
    </w:p>
  </w:footnote>
  <w:footnote w:id="29">
    <w:p w14:paraId="3E299F20" w14:textId="77777777" w:rsidR="00012B86" w:rsidRPr="00D4259C" w:rsidRDefault="00012B86" w:rsidP="00F42DB7">
      <w:pPr>
        <w:pStyle w:val="FootnoteText"/>
      </w:pPr>
      <w:r w:rsidRPr="00D4259C">
        <w:rPr>
          <w:rStyle w:val="FootnoteReference"/>
        </w:rPr>
        <w:footnoteRef/>
      </w:r>
      <w:r w:rsidRPr="00D4259C">
        <w:tab/>
        <w:t xml:space="preserve">Further information can be found </w:t>
      </w:r>
      <w:r>
        <w:t>at</w:t>
      </w:r>
      <w:r w:rsidRPr="00D4259C">
        <w:t xml:space="preserve"> https://pronunciation-guide-ll4k9v1xc.now.sh/</w:t>
      </w:r>
    </w:p>
  </w:footnote>
  <w:footnote w:id="30">
    <w:p w14:paraId="50D74709" w14:textId="5E40B04C" w:rsidR="00012B86" w:rsidRPr="009C3E19" w:rsidRDefault="00012B86" w:rsidP="00573CA0">
      <w:pPr>
        <w:pStyle w:val="FootnoteText"/>
        <w:rPr>
          <w:lang w:val="es-ES_tradnl"/>
        </w:rPr>
      </w:pPr>
      <w:r>
        <w:rPr>
          <w:rStyle w:val="FootnoteReference"/>
        </w:rPr>
        <w:footnoteRef/>
      </w:r>
      <w:r w:rsidRPr="009C3E19">
        <w:rPr>
          <w:lang w:val="es-ES_tradnl"/>
        </w:rPr>
        <w:tab/>
        <w:t>Qur’án 69:17 (Rodwell).</w:t>
      </w:r>
    </w:p>
  </w:footnote>
  <w:footnote w:id="31">
    <w:p w14:paraId="07DE0AF1" w14:textId="226E2936" w:rsidR="00012B86" w:rsidRPr="001B1929" w:rsidRDefault="00012B86" w:rsidP="001B1929">
      <w:pPr>
        <w:pStyle w:val="FootnoteText"/>
        <w:rPr>
          <w:lang w:val="en-AU"/>
        </w:rPr>
      </w:pPr>
      <w:r>
        <w:rPr>
          <w:rStyle w:val="FootnoteReference"/>
        </w:rPr>
        <w:footnoteRef/>
      </w:r>
      <w:r w:rsidRPr="0056566B">
        <w:rPr>
          <w:lang w:val="es-ES_tradnl"/>
        </w:rPr>
        <w:tab/>
      </w:r>
      <w:r w:rsidRPr="0056566B">
        <w:rPr>
          <w:i/>
          <w:iCs w:val="0"/>
          <w:lang w:val="es-ES_tradnl"/>
        </w:rPr>
        <w:t>Majma‘ al-Bayan</w:t>
      </w:r>
      <w:r w:rsidRPr="0056566B">
        <w:rPr>
          <w:lang w:val="es-ES_tradnl"/>
        </w:rPr>
        <w:t xml:space="preserve">, vol. 10, p. 346.  </w:t>
      </w:r>
      <w:r w:rsidRPr="001B1929">
        <w:rPr>
          <w:lang w:val="en-AU"/>
        </w:rPr>
        <w:t>See www.al-islam.org/enlightening-commentary-light-holy-quran-vol-18/surah-al-haqqa-chapter-69</w:t>
      </w:r>
      <w:r>
        <w:rPr>
          <w:lang w:val="en-AU"/>
        </w:rPr>
        <w:t xml:space="preserve">.  </w:t>
      </w:r>
      <w:r>
        <w:t xml:space="preserve">See Frank Ayers, </w:t>
      </w:r>
      <w:r w:rsidRPr="00E378ED">
        <w:rPr>
          <w:i/>
          <w:iCs w:val="0"/>
        </w:rPr>
        <w:t>Studying the Holy Qur’án</w:t>
      </w:r>
      <w:r>
        <w:t>, vol. 2, p. 35.</w:t>
      </w:r>
    </w:p>
  </w:footnote>
  <w:footnote w:id="32">
    <w:p w14:paraId="7BC92248" w14:textId="77777777" w:rsidR="00012B86" w:rsidRPr="001D1F0F" w:rsidRDefault="00012B86" w:rsidP="0022269F">
      <w:pPr>
        <w:pStyle w:val="FootnoteText"/>
      </w:pPr>
      <w:r w:rsidRPr="001D1F0F">
        <w:rPr>
          <w:rStyle w:val="FootnoteReference"/>
        </w:rPr>
        <w:footnoteRef/>
      </w:r>
      <w:r w:rsidRPr="001D1F0F">
        <w:tab/>
      </w:r>
      <w:r>
        <w:t xml:space="preserve">Shoghi Effendi, </w:t>
      </w:r>
      <w:r>
        <w:rPr>
          <w:i/>
          <w:iCs w:val="0"/>
        </w:rPr>
        <w:t>Directives of the Guardian</w:t>
      </w:r>
      <w:r w:rsidRPr="0022269F">
        <w:t>, pp. 51–2.</w:t>
      </w:r>
    </w:p>
  </w:footnote>
  <w:footnote w:id="33">
    <w:p w14:paraId="5C37AD0A" w14:textId="6CC205F6" w:rsidR="00012B86" w:rsidRPr="00423E22" w:rsidRDefault="00012B86" w:rsidP="00CC1E63">
      <w:pPr>
        <w:pStyle w:val="FootnoteText"/>
        <w:rPr>
          <w:lang w:val="it-IT"/>
        </w:rPr>
      </w:pPr>
      <w:r w:rsidRPr="001D1F0F">
        <w:rPr>
          <w:rStyle w:val="FootnoteReference"/>
        </w:rPr>
        <w:footnoteRef/>
      </w:r>
      <w:r w:rsidRPr="00423E22">
        <w:rPr>
          <w:lang w:val="it-IT"/>
        </w:rPr>
        <w:tab/>
        <w:t xml:space="preserve">Ugo Giachery, </w:t>
      </w:r>
      <w:r w:rsidRPr="00423E22">
        <w:rPr>
          <w:i/>
          <w:iCs w:val="0"/>
          <w:lang w:val="it-IT"/>
        </w:rPr>
        <w:t>Shoghi Effendi</w:t>
      </w:r>
      <w:r w:rsidRPr="00423E22">
        <w:rPr>
          <w:lang w:val="it-IT"/>
        </w:rPr>
        <w:t>, p. 89.</w:t>
      </w:r>
    </w:p>
  </w:footnote>
  <w:footnote w:id="34">
    <w:p w14:paraId="29AFB2F4" w14:textId="77777777" w:rsidR="00012B86" w:rsidRPr="001D1F0F" w:rsidRDefault="00012B86" w:rsidP="00CC1E63">
      <w:pPr>
        <w:pStyle w:val="FootnoteText"/>
      </w:pPr>
      <w:r w:rsidRPr="001D1F0F">
        <w:rPr>
          <w:rStyle w:val="FootnoteReference"/>
        </w:rPr>
        <w:footnoteRef/>
      </w:r>
      <w:r w:rsidRPr="001D1F0F">
        <w:tab/>
        <w:t xml:space="preserve">See Muḥammad Muṣṭafá, </w:t>
      </w:r>
      <w:r w:rsidRPr="001D1F0F">
        <w:rPr>
          <w:i/>
          <w:iCs w:val="0"/>
        </w:rPr>
        <w:t>Bahá’u’lláh the Great Announcement of the Qur’án</w:t>
      </w:r>
      <w:r w:rsidRPr="001D1F0F">
        <w:t>, pp. 102–103.</w:t>
      </w:r>
    </w:p>
  </w:footnote>
  <w:footnote w:id="35">
    <w:p w14:paraId="0F553158" w14:textId="5A8CAF6D" w:rsidR="00012B86" w:rsidRPr="00573CA0" w:rsidRDefault="00012B86">
      <w:pPr>
        <w:pStyle w:val="FootnoteText"/>
        <w:rPr>
          <w:lang w:val="en-US"/>
        </w:rPr>
      </w:pPr>
      <w:r>
        <w:rPr>
          <w:rStyle w:val="FootnoteReference"/>
        </w:rPr>
        <w:footnoteRef/>
      </w:r>
      <w:r>
        <w:tab/>
        <w:t xml:space="preserve">See Frank Ayers, </w:t>
      </w:r>
      <w:r w:rsidRPr="00E378ED">
        <w:rPr>
          <w:i/>
          <w:iCs w:val="0"/>
        </w:rPr>
        <w:t>Studying the Holy Qur’án</w:t>
      </w:r>
      <w:r>
        <w:t>, vol. 6, pp. 205–6.</w:t>
      </w:r>
    </w:p>
  </w:footnote>
  <w:footnote w:id="36">
    <w:p w14:paraId="6F3AED6E" w14:textId="0A6EF9F2" w:rsidR="00012B86" w:rsidRPr="00573CA0" w:rsidRDefault="00012B86">
      <w:pPr>
        <w:pStyle w:val="FootnoteText"/>
        <w:rPr>
          <w:lang w:val="en-US"/>
        </w:rPr>
      </w:pPr>
      <w:r>
        <w:rPr>
          <w:rStyle w:val="FootnoteReference"/>
        </w:rPr>
        <w:footnoteRef/>
      </w:r>
      <w:r>
        <w:tab/>
      </w:r>
      <w:r>
        <w:rPr>
          <w:lang w:val="en-US"/>
        </w:rPr>
        <w:t xml:space="preserve">Marzieh Gail, </w:t>
      </w:r>
      <w:r w:rsidRPr="00573CA0">
        <w:rPr>
          <w:i/>
          <w:iCs w:val="0"/>
          <w:lang w:val="en-US"/>
        </w:rPr>
        <w:t>Summon up remembrance</w:t>
      </w:r>
      <w:r>
        <w:rPr>
          <w:lang w:val="en-US"/>
        </w:rPr>
        <w:t>, p. 128.</w:t>
      </w:r>
    </w:p>
  </w:footnote>
  <w:footnote w:id="37">
    <w:p w14:paraId="3B03754C" w14:textId="24667E7B" w:rsidR="00012B86" w:rsidRPr="001565D3" w:rsidRDefault="00012B86">
      <w:pPr>
        <w:pStyle w:val="FootnoteText"/>
        <w:rPr>
          <w:lang w:val="en-US"/>
        </w:rPr>
      </w:pPr>
      <w:r>
        <w:rPr>
          <w:rStyle w:val="FootnoteReference"/>
        </w:rPr>
        <w:footnoteRef/>
      </w:r>
      <w:r>
        <w:tab/>
      </w:r>
      <w:r w:rsidRPr="0043255A">
        <w:t>The Báb, Persian Bayán 4:18.</w:t>
      </w:r>
    </w:p>
  </w:footnote>
  <w:footnote w:id="38">
    <w:p w14:paraId="648D0A7E" w14:textId="3B4718B1" w:rsidR="00012B86" w:rsidRPr="00573CA0" w:rsidRDefault="00012B86">
      <w:pPr>
        <w:pStyle w:val="FootnoteText"/>
        <w:rPr>
          <w:lang w:val="en-US"/>
        </w:rPr>
      </w:pPr>
      <w:r>
        <w:rPr>
          <w:rStyle w:val="FootnoteReference"/>
        </w:rPr>
        <w:footnoteRef/>
      </w:r>
      <w:r>
        <w:tab/>
        <w:t xml:space="preserve">See </w:t>
      </w:r>
      <w:r w:rsidRPr="00410AAA">
        <w:t xml:space="preserve">Nader Saiedi, </w:t>
      </w:r>
      <w:r w:rsidRPr="00E474EA">
        <w:rPr>
          <w:i/>
          <w:iCs w:val="0"/>
        </w:rPr>
        <w:t>Gate of the Heart</w:t>
      </w:r>
      <w:r>
        <w:t>, p. 285.</w:t>
      </w:r>
    </w:p>
  </w:footnote>
  <w:footnote w:id="39">
    <w:p w14:paraId="7A2DA3A0" w14:textId="30456468" w:rsidR="00012B86" w:rsidRPr="00573CA0" w:rsidRDefault="00012B86">
      <w:pPr>
        <w:pStyle w:val="FootnoteText"/>
        <w:rPr>
          <w:lang w:val="it-IT"/>
        </w:rPr>
      </w:pPr>
      <w:r>
        <w:rPr>
          <w:rStyle w:val="FootnoteReference"/>
        </w:rPr>
        <w:footnoteRef/>
      </w:r>
      <w:r w:rsidRPr="00573CA0">
        <w:rPr>
          <w:lang w:val="it-IT"/>
        </w:rPr>
        <w:tab/>
        <w:t xml:space="preserve">Shoghi Effendi in Ugo Giachery, </w:t>
      </w:r>
      <w:r w:rsidRPr="00573CA0">
        <w:rPr>
          <w:i/>
          <w:iCs w:val="0"/>
          <w:lang w:val="it-IT"/>
        </w:rPr>
        <w:t>Shoghi Effendi:  recollections</w:t>
      </w:r>
      <w:r w:rsidRPr="00573CA0">
        <w:rPr>
          <w:lang w:val="it-IT"/>
        </w:rPr>
        <w:t>, p. 83.</w:t>
      </w:r>
    </w:p>
  </w:footnote>
  <w:footnote w:id="40">
    <w:p w14:paraId="76FFEDC2" w14:textId="77777777" w:rsidR="00012B86" w:rsidRPr="00786755" w:rsidRDefault="00012B86" w:rsidP="00F42DB7">
      <w:pPr>
        <w:pStyle w:val="FootnoteText"/>
        <w:rPr>
          <w:lang w:val="en-US"/>
        </w:rPr>
      </w:pPr>
      <w:r>
        <w:rPr>
          <w:rStyle w:val="FootnoteReference"/>
        </w:rPr>
        <w:footnoteRef/>
      </w:r>
      <w:r>
        <w:tab/>
      </w:r>
      <w:r w:rsidRPr="00786755">
        <w:t>St.</w:t>
      </w:r>
      <w:r>
        <w:t xml:space="preserve"> </w:t>
      </w:r>
      <w:r w:rsidRPr="00786755">
        <w:t>Patrick’s</w:t>
      </w:r>
      <w:r>
        <w:t xml:space="preserve"> Church</w:t>
      </w:r>
      <w:r w:rsidRPr="00786755">
        <w:t>, Enniskerry, Co. Wicklow (53.189726, -6.168756) with his wife</w:t>
      </w:r>
      <w:r>
        <w:t xml:space="preserve"> (</w:t>
      </w:r>
      <w:r w:rsidRPr="00013912">
        <w:t>Ann</w:t>
      </w:r>
      <w:r>
        <w:t>a</w:t>
      </w:r>
      <w:r w:rsidRPr="00013912">
        <w:t xml:space="preserve"> Sarah (</w:t>
      </w:r>
      <w:r>
        <w:t>‘</w:t>
      </w:r>
      <w:r w:rsidRPr="00013912">
        <w:t>Nancy</w:t>
      </w:r>
      <w:r>
        <w:t>’</w:t>
      </w:r>
      <w:r w:rsidRPr="00013912">
        <w:t>) Maxwell</w:t>
      </w:r>
      <w:r>
        <w:t xml:space="preserve"> (1889–1974))</w:t>
      </w:r>
      <w:r w:rsidRPr="00786755">
        <w:t xml:space="preserve"> and son, Brian</w:t>
      </w:r>
      <w:r>
        <w:t xml:space="preserve"> (1920–1988)—</w:t>
      </w:r>
      <w:r w:rsidRPr="00786755">
        <w:t>plot 382.</w:t>
      </w:r>
      <w:r>
        <w:t xml:space="preserve">  Nearby is the grave of his mother</w:t>
      </w:r>
      <w:r w:rsidRPr="008B1F5B">
        <w:t xml:space="preserve"> (Anna Maria</w:t>
      </w:r>
      <w:r>
        <w:t xml:space="preserve"> </w:t>
      </w:r>
      <w:r w:rsidRPr="008B1F5B">
        <w:t>Roberts</w:t>
      </w:r>
      <w:r>
        <w:t xml:space="preserve"> (1849–1919)).</w:t>
      </w:r>
    </w:p>
  </w:footnote>
  <w:footnote w:id="41">
    <w:p w14:paraId="560B34AE" w14:textId="77777777" w:rsidR="00012B86" w:rsidRPr="00D4259C" w:rsidRDefault="00012B86" w:rsidP="00F42DB7">
      <w:pPr>
        <w:pStyle w:val="FootnoteText"/>
      </w:pPr>
      <w:r w:rsidRPr="00D4259C">
        <w:rPr>
          <w:rStyle w:val="FootnoteReference"/>
        </w:rPr>
        <w:t>*</w:t>
      </w:r>
      <w:r w:rsidRPr="00D4259C">
        <w:tab/>
        <w:t xml:space="preserve">Shoghi Effendi, </w:t>
      </w:r>
      <w:r w:rsidRPr="00D4259C">
        <w:rPr>
          <w:i/>
        </w:rPr>
        <w:t>God Passes By</w:t>
      </w:r>
      <w:r w:rsidRPr="00D4259C">
        <w:t>, pp. 281–282.</w:t>
      </w:r>
    </w:p>
  </w:footnote>
  <w:footnote w:id="42">
    <w:p w14:paraId="06F0E9C8" w14:textId="77777777" w:rsidR="00012B86" w:rsidRPr="0004125E" w:rsidRDefault="00012B86" w:rsidP="00F42DB7">
      <w:pPr>
        <w:pStyle w:val="FootnoteText"/>
        <w:rPr>
          <w:lang w:val="en-AU"/>
        </w:rPr>
      </w:pPr>
      <w:r>
        <w:rPr>
          <w:rStyle w:val="FootnoteReference"/>
        </w:rPr>
        <w:footnoteRef/>
      </w:r>
      <w:r>
        <w:tab/>
        <w:t xml:space="preserve">The Universal House of Justice, </w:t>
      </w:r>
      <w:r w:rsidRPr="0004125E">
        <w:rPr>
          <w:i/>
          <w:iCs w:val="0"/>
        </w:rPr>
        <w:t>Messages 1963 to 1986</w:t>
      </w:r>
      <w:r>
        <w:t>, p. 217.</w:t>
      </w:r>
    </w:p>
  </w:footnote>
  <w:footnote w:id="43">
    <w:p w14:paraId="634546B7" w14:textId="77777777" w:rsidR="00012B86" w:rsidRPr="00AA1C08" w:rsidRDefault="00012B86" w:rsidP="00F42DB7">
      <w:pPr>
        <w:pStyle w:val="FootnoteText"/>
        <w:rPr>
          <w:lang w:val="en-AU"/>
        </w:rPr>
      </w:pPr>
      <w:r>
        <w:rPr>
          <w:rStyle w:val="FootnoteReference"/>
        </w:rPr>
        <w:footnoteRef/>
      </w:r>
      <w:r>
        <w:tab/>
        <w:t xml:space="preserve">Universal House of Justice, </w:t>
      </w:r>
      <w:r w:rsidRPr="007069AB">
        <w:t>Individual Rights and Freedoms</w:t>
      </w:r>
      <w:r>
        <w:t>, letter dated 29–12–</w:t>
      </w:r>
      <w:r w:rsidRPr="007069AB">
        <w:t>1988</w:t>
      </w:r>
      <w:r>
        <w:t>.</w:t>
      </w:r>
    </w:p>
  </w:footnote>
  <w:footnote w:id="44">
    <w:p w14:paraId="739FA765" w14:textId="77777777" w:rsidR="00012B86" w:rsidRPr="007247E2" w:rsidRDefault="00012B86" w:rsidP="00417520">
      <w:pPr>
        <w:pStyle w:val="FootnoteText"/>
        <w:rPr>
          <w:lang w:val="it-IT"/>
        </w:rPr>
      </w:pPr>
      <w:r w:rsidRPr="00D4259C">
        <w:rPr>
          <w:rStyle w:val="FootnoteReference"/>
        </w:rPr>
        <w:footnoteRef/>
      </w:r>
      <w:r w:rsidRPr="007247E2">
        <w:rPr>
          <w:lang w:val="it-IT"/>
        </w:rPr>
        <w:tab/>
        <w:t xml:space="preserve">Shoghi Effendi in Ugo Giachery, </w:t>
      </w:r>
      <w:r w:rsidRPr="007247E2">
        <w:rPr>
          <w:i/>
          <w:lang w:val="it-IT"/>
        </w:rPr>
        <w:t>Shoghi Effendi:  Recollections</w:t>
      </w:r>
      <w:r w:rsidRPr="007247E2">
        <w:rPr>
          <w:lang w:val="it-IT"/>
        </w:rPr>
        <w:t>, p. 84.</w:t>
      </w:r>
    </w:p>
  </w:footnote>
  <w:footnote w:id="45">
    <w:p w14:paraId="4EE5C1AE" w14:textId="77777777" w:rsidR="00012B86" w:rsidRPr="00D4259C" w:rsidRDefault="00012B86" w:rsidP="00417520">
      <w:pPr>
        <w:pStyle w:val="FootnoteText"/>
      </w:pPr>
      <w:r w:rsidRPr="00D4259C">
        <w:rPr>
          <w:rStyle w:val="FootnoteReference"/>
        </w:rPr>
        <w:footnoteRef/>
      </w:r>
      <w:r w:rsidRPr="00D4259C">
        <w:tab/>
        <w:t>ibid. p. 96.  Qur’án 69:17:  “</w:t>
      </w:r>
      <w:r w:rsidRPr="00D4259C">
        <w:rPr>
          <w:i/>
        </w:rPr>
        <w:t>And the angels will be on its sides, and eight will, that Day, bear the Throne of thy Lord above them.</w:t>
      </w:r>
      <w:r w:rsidRPr="00D4259C">
        <w:t>”</w:t>
      </w:r>
    </w:p>
  </w:footnote>
  <w:footnote w:id="46">
    <w:p w14:paraId="5F4410F1" w14:textId="77777777" w:rsidR="00012B86" w:rsidRPr="00D4259C" w:rsidRDefault="00012B86" w:rsidP="00417520">
      <w:pPr>
        <w:pStyle w:val="FootnoteText"/>
      </w:pPr>
      <w:r w:rsidRPr="00D4259C">
        <w:rPr>
          <w:rStyle w:val="FootnoteReference"/>
        </w:rPr>
        <w:footnoteRef/>
      </w:r>
      <w:r w:rsidRPr="00D4259C">
        <w:tab/>
      </w:r>
      <w:r w:rsidRPr="00D4259C">
        <w:rPr>
          <w:i/>
        </w:rPr>
        <w:t>Summon Up Remembrance</w:t>
      </w:r>
      <w:r w:rsidRPr="00D4259C">
        <w:t>, p. 128.</w:t>
      </w:r>
    </w:p>
  </w:footnote>
  <w:footnote w:id="47">
    <w:p w14:paraId="514ADA7F" w14:textId="77777777" w:rsidR="00012B86" w:rsidRPr="00D4259C" w:rsidRDefault="00012B86" w:rsidP="00417520">
      <w:pPr>
        <w:pStyle w:val="FootnoteText"/>
      </w:pPr>
      <w:r w:rsidRPr="00D4259C">
        <w:rPr>
          <w:rStyle w:val="FootnoteReference"/>
        </w:rPr>
        <w:footnoteRef/>
      </w:r>
      <w:r w:rsidRPr="00D4259C">
        <w:tab/>
        <w:t xml:space="preserve">Nader Saiedi, </w:t>
      </w:r>
      <w:r w:rsidRPr="00D4259C">
        <w:rPr>
          <w:i/>
        </w:rPr>
        <w:t>Gate of the heart</w:t>
      </w:r>
      <w:r w:rsidRPr="00D4259C">
        <w:t>, p. 285.</w:t>
      </w:r>
    </w:p>
  </w:footnote>
  <w:footnote w:id="48">
    <w:p w14:paraId="4502036C" w14:textId="77777777" w:rsidR="00012B86" w:rsidRPr="00D4259C" w:rsidRDefault="00012B86" w:rsidP="00B078AA">
      <w:pPr>
        <w:pStyle w:val="FootnoteText"/>
      </w:pPr>
      <w:r w:rsidRPr="00D4259C">
        <w:rPr>
          <w:rStyle w:val="FootnoteReference"/>
        </w:rPr>
        <w:footnoteRef/>
      </w:r>
      <w:r w:rsidRPr="00D4259C">
        <w:tab/>
        <w:t>Qal’a—fort or stronghold</w:t>
      </w:r>
    </w:p>
  </w:footnote>
  <w:footnote w:id="49">
    <w:p w14:paraId="794A2398" w14:textId="77777777" w:rsidR="00012B86" w:rsidRPr="00D4259C" w:rsidRDefault="00012B86" w:rsidP="00B078AA">
      <w:pPr>
        <w:pStyle w:val="FootnoteText"/>
      </w:pPr>
      <w:r w:rsidRPr="00D4259C">
        <w:rPr>
          <w:rStyle w:val="FootnoteReference"/>
        </w:rPr>
        <w:footnoteRef/>
      </w:r>
      <w:r w:rsidRPr="00D4259C">
        <w:tab/>
        <w:t>The first stop after Najíbíyyih (for seven days) was at Firayját, on the bank of the Tigris River, 5 km to the north.</w:t>
      </w:r>
    </w:p>
  </w:footnote>
  <w:footnote w:id="50">
    <w:p w14:paraId="2CA59DA2" w14:textId="77777777" w:rsidR="00012B86" w:rsidRPr="00D4259C" w:rsidRDefault="00012B86" w:rsidP="00E20EB1">
      <w:pPr>
        <w:pStyle w:val="FootnoteText"/>
      </w:pPr>
      <w:r w:rsidRPr="00D4259C">
        <w:rPr>
          <w:rStyle w:val="FootnoteReference"/>
        </w:rPr>
        <w:footnoteRef/>
      </w:r>
      <w:r w:rsidRPr="00D4259C">
        <w:tab/>
        <w:t>Syria, Lebanon, Jordan and Iran (from classical Arabic, which are from Syriac).</w:t>
      </w:r>
    </w:p>
  </w:footnote>
  <w:footnote w:id="51">
    <w:p w14:paraId="689D0E44" w14:textId="77777777" w:rsidR="00012B86" w:rsidRPr="00D4259C" w:rsidRDefault="00012B86" w:rsidP="00E20EB1">
      <w:pPr>
        <w:pStyle w:val="FootnoteText"/>
      </w:pPr>
      <w:r w:rsidRPr="00D4259C">
        <w:rPr>
          <w:rStyle w:val="FootnoteReference"/>
        </w:rPr>
        <w:footnoteRef/>
      </w:r>
      <w:r w:rsidRPr="00D4259C">
        <w:tab/>
        <w:t>Egypt, Sudan, Arab countries in the Persian Gulf (phonetic based on old Latin names).</w:t>
      </w:r>
    </w:p>
  </w:footnote>
  <w:footnote w:id="52">
    <w:p w14:paraId="6C392C4E" w14:textId="77777777" w:rsidR="00012B86" w:rsidRPr="00916BA1" w:rsidRDefault="00012B86" w:rsidP="00E20EB1">
      <w:pPr>
        <w:pStyle w:val="FootnoteText"/>
        <w:rPr>
          <w:lang w:val="en-IN"/>
        </w:rPr>
      </w:pPr>
      <w:r>
        <w:rPr>
          <w:rStyle w:val="FootnoteReference"/>
        </w:rPr>
        <w:footnoteRef/>
      </w:r>
      <w:r>
        <w:tab/>
        <w:t xml:space="preserve">Fifth month also (using </w:t>
      </w:r>
      <w:r w:rsidRPr="00916BA1">
        <w:rPr>
          <w:lang w:val="en-IN"/>
        </w:rPr>
        <w:t xml:space="preserve">fem. </w:t>
      </w:r>
      <w:r>
        <w:rPr>
          <w:lang w:val="en-IN"/>
        </w:rPr>
        <w:t>of a</w:t>
      </w:r>
      <w:r w:rsidRPr="00DD4E1E">
        <w:rPr>
          <w:lang w:val="en-IN"/>
        </w:rPr>
        <w:t>wwal</w:t>
      </w:r>
      <w:r>
        <w:rPr>
          <w:lang w:val="en-IN"/>
        </w:rPr>
        <w:t xml:space="preserve">) </w:t>
      </w:r>
      <w:r w:rsidRPr="00916BA1">
        <w:rPr>
          <w:lang w:val="en-IN"/>
        </w:rPr>
        <w:t>Jumádá al-Úlá.  Alternatives for 4th and 6th months are Rabí‘ al-Á</w:t>
      </w:r>
      <w:r w:rsidRPr="00916BA1">
        <w:rPr>
          <w:u w:val="single"/>
          <w:lang w:val="en-IN"/>
        </w:rPr>
        <w:t>kh</w:t>
      </w:r>
      <w:r w:rsidRPr="009B668A">
        <w:rPr>
          <w:lang w:val="en-IN"/>
        </w:rPr>
        <w:t>i</w:t>
      </w:r>
      <w:r w:rsidRPr="00916BA1">
        <w:rPr>
          <w:lang w:val="en-IN"/>
        </w:rPr>
        <w:t>r</w:t>
      </w:r>
      <w:r>
        <w:rPr>
          <w:lang w:val="en-IN"/>
        </w:rPr>
        <w:t xml:space="preserve"> and </w:t>
      </w:r>
      <w:r w:rsidRPr="00E31A27">
        <w:t>Jumádá al-Á</w:t>
      </w:r>
      <w:r w:rsidRPr="00E31A27">
        <w:rPr>
          <w:u w:val="single"/>
        </w:rPr>
        <w:t>kh</w:t>
      </w:r>
      <w:r>
        <w:t>i</w:t>
      </w:r>
      <w:r w:rsidRPr="00E31A27">
        <w:t>r</w:t>
      </w:r>
      <w:r>
        <w:t xml:space="preserve"> respectively.</w:t>
      </w:r>
    </w:p>
  </w:footnote>
  <w:footnote w:id="53">
    <w:p w14:paraId="686591DD" w14:textId="77777777" w:rsidR="00012B86" w:rsidRPr="00D4259C" w:rsidRDefault="00012B86" w:rsidP="00E20EB1">
      <w:pPr>
        <w:pStyle w:val="FootnoteText"/>
      </w:pPr>
      <w:r w:rsidRPr="00D4259C">
        <w:rPr>
          <w:rStyle w:val="FootnoteReference"/>
        </w:rPr>
        <w:t>*</w:t>
      </w:r>
      <w:r w:rsidRPr="00D4259C">
        <w:tab/>
        <w:t>30 days in leap years</w:t>
      </w:r>
    </w:p>
  </w:footnote>
  <w:footnote w:id="54">
    <w:p w14:paraId="7939A3D9" w14:textId="1E592F70" w:rsidR="00012B86" w:rsidRPr="001C1CBE" w:rsidRDefault="00012B86" w:rsidP="00E12D81">
      <w:pPr>
        <w:pStyle w:val="FootnoteText"/>
        <w:rPr>
          <w:lang w:val="en-US"/>
        </w:rPr>
      </w:pPr>
      <w:r>
        <w:rPr>
          <w:rStyle w:val="FootnoteReference"/>
        </w:rPr>
        <w:footnoteRef/>
      </w:r>
      <w:r>
        <w:tab/>
        <w:t xml:space="preserve">Dates are for the time the </w:t>
      </w:r>
      <w:r w:rsidRPr="008F03E5">
        <w:t>A’imma</w:t>
      </w:r>
      <w:r>
        <w:t xml:space="preserve"> held office (imamah).</w:t>
      </w:r>
    </w:p>
  </w:footnote>
  <w:footnote w:id="55">
    <w:p w14:paraId="328CE6C8" w14:textId="77777777" w:rsidR="00012B86" w:rsidRPr="00D4259C" w:rsidRDefault="00012B86">
      <w:pPr>
        <w:pStyle w:val="FootnoteText"/>
      </w:pPr>
      <w:r w:rsidRPr="00D4259C">
        <w:rPr>
          <w:rStyle w:val="FootnoteReference"/>
        </w:rPr>
        <w:t>†</w:t>
      </w:r>
      <w:r w:rsidRPr="00D4259C">
        <w:tab/>
        <w:t>The tests faced by the women who emigrated to Medina.</w:t>
      </w:r>
    </w:p>
  </w:footnote>
  <w:footnote w:id="56">
    <w:p w14:paraId="2AC0C2A7" w14:textId="77777777" w:rsidR="00012B86" w:rsidRPr="00292975" w:rsidRDefault="00012B86" w:rsidP="00065B99">
      <w:pPr>
        <w:pStyle w:val="FootnoteText"/>
        <w:rPr>
          <w:lang w:val="en-US"/>
        </w:rPr>
      </w:pPr>
      <w:r>
        <w:rPr>
          <w:rStyle w:val="FootnoteReference"/>
        </w:rPr>
        <w:footnoteRef/>
      </w:r>
      <w:r>
        <w:tab/>
        <w:t>Left and right half ring or half circle.</w:t>
      </w:r>
    </w:p>
  </w:footnote>
  <w:footnote w:id="57">
    <w:p w14:paraId="3121FD0C" w14:textId="77777777" w:rsidR="00012B86" w:rsidRPr="00D4259C" w:rsidRDefault="00012B86" w:rsidP="00C63E49">
      <w:pPr>
        <w:pStyle w:val="FootnoteText"/>
      </w:pPr>
      <w:r w:rsidRPr="00D4259C">
        <w:rPr>
          <w:rStyle w:val="FootnoteReference"/>
        </w:rPr>
        <w:footnoteRef/>
      </w:r>
      <w:r w:rsidRPr="00D4259C">
        <w:tab/>
        <w:t>See “The Báb’s epistle on the spiritual journey towards God”, Todd Lawson.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078022"/>
      <w:docPartObj>
        <w:docPartGallery w:val="Page Numbers (Top of Page)"/>
        <w:docPartUnique/>
      </w:docPartObj>
    </w:sdtPr>
    <w:sdtEndPr>
      <w:rPr>
        <w:noProof/>
      </w:rPr>
    </w:sdtEndPr>
    <w:sdtContent>
      <w:p w14:paraId="02125D09" w14:textId="77777777" w:rsidR="00012B86" w:rsidRDefault="00012B86">
        <w:pPr>
          <w:pStyle w:val="Header"/>
          <w:jc w:val="right"/>
        </w:pPr>
        <w:r>
          <w:fldChar w:fldCharType="begin"/>
        </w:r>
        <w:r>
          <w:instrText xml:space="preserve"> PAGE   \* MERGEFORMAT </w:instrText>
        </w:r>
        <w:r>
          <w:fldChar w:fldCharType="separate"/>
        </w:r>
        <w:r>
          <w:rPr>
            <w:noProof/>
          </w:rPr>
          <w:t>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440E3" w14:textId="24E3F9D4" w:rsidR="00012B86" w:rsidRDefault="00012B86" w:rsidP="00787E3E">
    <w:pPr>
      <w:pStyle w:val="Header"/>
      <w:tabs>
        <w:tab w:val="center" w:pos="5500"/>
      </w:tabs>
      <w:jc w:val="left"/>
    </w:pPr>
    <w:r>
      <w:fldChar w:fldCharType="begin"/>
    </w:r>
    <w:r>
      <w:instrText xml:space="preserve"> Page </w:instrText>
    </w:r>
    <w:r>
      <w:fldChar w:fldCharType="separate"/>
    </w:r>
    <w:r w:rsidR="00A36C2E">
      <w:rPr>
        <w:noProof/>
      </w:rPr>
      <w:t>324</w:t>
    </w:r>
    <w:r>
      <w:fldChar w:fldCharType="end"/>
    </w:r>
    <w:r>
      <w:tab/>
      <w:t xml:space="preserve">Glossary and transcription for </w:t>
    </w:r>
    <w:r w:rsidRPr="00D9264F">
      <w:t xml:space="preserve">Arabic &amp; </w:t>
    </w:r>
    <w:r>
      <w:t>Persian</w:t>
    </w:r>
    <w:r w:rsidRPr="00D9264F">
      <w:t xml:space="preserve"> </w:t>
    </w:r>
    <w:r>
      <w:t>terms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224334"/>
      <w:docPartObj>
        <w:docPartGallery w:val="Page Numbers (Top of Page)"/>
        <w:docPartUnique/>
      </w:docPartObj>
    </w:sdtPr>
    <w:sdtEndPr>
      <w:rPr>
        <w:noProof/>
      </w:rPr>
    </w:sdtEndPr>
    <w:sdtContent>
      <w:p w14:paraId="4BCAF81A" w14:textId="7972FDC7" w:rsidR="00012B86" w:rsidRDefault="00012B86" w:rsidP="00787E3E">
        <w:pPr>
          <w:pStyle w:val="Header"/>
          <w:tabs>
            <w:tab w:val="center" w:pos="5500"/>
            <w:tab w:val="right" w:pos="11000"/>
          </w:tabs>
          <w:jc w:val="right"/>
        </w:pPr>
        <w:r>
          <w:tab/>
          <w:t xml:space="preserve">Glossary and transcription for </w:t>
        </w:r>
        <w:r w:rsidRPr="00D9264F">
          <w:t xml:space="preserve">Arabic &amp; </w:t>
        </w:r>
        <w:r>
          <w:t>Persian</w:t>
        </w:r>
        <w:r w:rsidRPr="00D9264F">
          <w:t xml:space="preserve"> </w:t>
        </w:r>
        <w:r>
          <w:t>terms</w:t>
        </w:r>
        <w:r>
          <w:tab/>
        </w:r>
        <w:r>
          <w:fldChar w:fldCharType="begin"/>
        </w:r>
        <w:r>
          <w:instrText xml:space="preserve"> PAGE   \* MERGEFORMAT </w:instrText>
        </w:r>
        <w:r>
          <w:fldChar w:fldCharType="separate"/>
        </w:r>
        <w:r w:rsidR="00A36C2E">
          <w:rPr>
            <w:noProof/>
          </w:rPr>
          <w:t>267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3B84"/>
    <w:multiLevelType w:val="multilevel"/>
    <w:tmpl w:val="CAE8C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61D67"/>
    <w:multiLevelType w:val="multilevel"/>
    <w:tmpl w:val="7D164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686756"/>
    <w:multiLevelType w:val="multilevel"/>
    <w:tmpl w:val="116E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D43145"/>
    <w:multiLevelType w:val="multilevel"/>
    <w:tmpl w:val="D726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443C9F"/>
    <w:multiLevelType w:val="multilevel"/>
    <w:tmpl w:val="DBBEA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514078"/>
    <w:multiLevelType w:val="multilevel"/>
    <w:tmpl w:val="F0E6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4776F6"/>
    <w:multiLevelType w:val="multilevel"/>
    <w:tmpl w:val="118A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7D7906"/>
    <w:multiLevelType w:val="multilevel"/>
    <w:tmpl w:val="7F02E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B21C69"/>
    <w:multiLevelType w:val="multilevel"/>
    <w:tmpl w:val="2E40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222BC9"/>
    <w:multiLevelType w:val="multilevel"/>
    <w:tmpl w:val="F3E8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5975052"/>
    <w:multiLevelType w:val="hybridMultilevel"/>
    <w:tmpl w:val="5D4ED2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65F77AE0"/>
    <w:multiLevelType w:val="multilevel"/>
    <w:tmpl w:val="7568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FD1A96"/>
    <w:multiLevelType w:val="multilevel"/>
    <w:tmpl w:val="578C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1F2237"/>
    <w:multiLevelType w:val="multilevel"/>
    <w:tmpl w:val="AB5A10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9E3380"/>
    <w:multiLevelType w:val="multilevel"/>
    <w:tmpl w:val="06147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12"/>
  </w:num>
  <w:num w:numId="4">
    <w:abstractNumId w:val="10"/>
  </w:num>
  <w:num w:numId="5">
    <w:abstractNumId w:val="0"/>
  </w:num>
  <w:num w:numId="6">
    <w:abstractNumId w:val="6"/>
  </w:num>
  <w:num w:numId="7">
    <w:abstractNumId w:val="5"/>
  </w:num>
  <w:num w:numId="8">
    <w:abstractNumId w:val="9"/>
  </w:num>
  <w:num w:numId="9">
    <w:abstractNumId w:val="14"/>
  </w:num>
  <w:num w:numId="10">
    <w:abstractNumId w:val="1"/>
  </w:num>
  <w:num w:numId="11">
    <w:abstractNumId w:val="8"/>
  </w:num>
  <w:num w:numId="12">
    <w:abstractNumId w:val="11"/>
  </w:num>
  <w:num w:numId="13">
    <w:abstractNumId w:val="13"/>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5"/>
  <w:evenAndOddHeaders/>
  <w:drawingGridHorizontalSpacing w:val="100"/>
  <w:drawingGridVerticalSpacing w:val="136"/>
  <w:displayHorizontalDrawingGridEvery w:val="0"/>
  <w:displayVerticalDrawingGridEvery w:val="2"/>
  <w:noPunctuationKerning/>
  <w:characterSpacingControl w:val="doNotCompress"/>
  <w:savePreviewPicture/>
  <w:footnotePr>
    <w:numRestart w:val="eachPage"/>
    <w:footnote w:id="-1"/>
    <w:footnote w:id="0"/>
  </w:footnotePr>
  <w:endnotePr>
    <w:endnote w:id="-1"/>
    <w:endnote w:id="0"/>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D76"/>
    <w:rsid w:val="00000047"/>
    <w:rsid w:val="000000E5"/>
    <w:rsid w:val="0000012E"/>
    <w:rsid w:val="000001B0"/>
    <w:rsid w:val="000001C6"/>
    <w:rsid w:val="00000269"/>
    <w:rsid w:val="00000342"/>
    <w:rsid w:val="00000353"/>
    <w:rsid w:val="00000536"/>
    <w:rsid w:val="00000820"/>
    <w:rsid w:val="000008C6"/>
    <w:rsid w:val="00000AF3"/>
    <w:rsid w:val="00000B30"/>
    <w:rsid w:val="00000D6A"/>
    <w:rsid w:val="00000E24"/>
    <w:rsid w:val="00000ED1"/>
    <w:rsid w:val="0000118F"/>
    <w:rsid w:val="0000119A"/>
    <w:rsid w:val="000011BF"/>
    <w:rsid w:val="00001257"/>
    <w:rsid w:val="0000164C"/>
    <w:rsid w:val="00001822"/>
    <w:rsid w:val="0000197F"/>
    <w:rsid w:val="000019C1"/>
    <w:rsid w:val="00001A31"/>
    <w:rsid w:val="00001C69"/>
    <w:rsid w:val="00001C7B"/>
    <w:rsid w:val="00001C94"/>
    <w:rsid w:val="00001CF9"/>
    <w:rsid w:val="00001DB5"/>
    <w:rsid w:val="00001DDD"/>
    <w:rsid w:val="00001F21"/>
    <w:rsid w:val="00002203"/>
    <w:rsid w:val="00002211"/>
    <w:rsid w:val="000022B8"/>
    <w:rsid w:val="000023BF"/>
    <w:rsid w:val="00002433"/>
    <w:rsid w:val="0000247D"/>
    <w:rsid w:val="00002570"/>
    <w:rsid w:val="00002772"/>
    <w:rsid w:val="0000281B"/>
    <w:rsid w:val="000028F1"/>
    <w:rsid w:val="00002AF9"/>
    <w:rsid w:val="00002DC3"/>
    <w:rsid w:val="00003029"/>
    <w:rsid w:val="000031A4"/>
    <w:rsid w:val="000031A7"/>
    <w:rsid w:val="0000334A"/>
    <w:rsid w:val="0000349E"/>
    <w:rsid w:val="000034E4"/>
    <w:rsid w:val="000034EF"/>
    <w:rsid w:val="0000361A"/>
    <w:rsid w:val="000036A6"/>
    <w:rsid w:val="00003718"/>
    <w:rsid w:val="000037F6"/>
    <w:rsid w:val="000038F7"/>
    <w:rsid w:val="00003B10"/>
    <w:rsid w:val="00003B4B"/>
    <w:rsid w:val="00003CA7"/>
    <w:rsid w:val="00003D37"/>
    <w:rsid w:val="00003DCA"/>
    <w:rsid w:val="00003E4C"/>
    <w:rsid w:val="00003EFD"/>
    <w:rsid w:val="00003F0E"/>
    <w:rsid w:val="00004358"/>
    <w:rsid w:val="0000457C"/>
    <w:rsid w:val="0000469B"/>
    <w:rsid w:val="00004A01"/>
    <w:rsid w:val="00004DDD"/>
    <w:rsid w:val="00005345"/>
    <w:rsid w:val="00005364"/>
    <w:rsid w:val="00005444"/>
    <w:rsid w:val="000054EF"/>
    <w:rsid w:val="00005554"/>
    <w:rsid w:val="000055F6"/>
    <w:rsid w:val="00005666"/>
    <w:rsid w:val="00005977"/>
    <w:rsid w:val="000059A9"/>
    <w:rsid w:val="000059C6"/>
    <w:rsid w:val="00005A05"/>
    <w:rsid w:val="00005AF4"/>
    <w:rsid w:val="000061BE"/>
    <w:rsid w:val="00006592"/>
    <w:rsid w:val="00006598"/>
    <w:rsid w:val="00006C75"/>
    <w:rsid w:val="00006DB8"/>
    <w:rsid w:val="00006E0E"/>
    <w:rsid w:val="00006E8C"/>
    <w:rsid w:val="00006F13"/>
    <w:rsid w:val="0000702E"/>
    <w:rsid w:val="0000708A"/>
    <w:rsid w:val="0000717A"/>
    <w:rsid w:val="00007295"/>
    <w:rsid w:val="000073E9"/>
    <w:rsid w:val="0000740F"/>
    <w:rsid w:val="00007559"/>
    <w:rsid w:val="000075BF"/>
    <w:rsid w:val="0000764C"/>
    <w:rsid w:val="00007816"/>
    <w:rsid w:val="00007895"/>
    <w:rsid w:val="000079AB"/>
    <w:rsid w:val="00007D5F"/>
    <w:rsid w:val="00007E09"/>
    <w:rsid w:val="00007E67"/>
    <w:rsid w:val="00007F1C"/>
    <w:rsid w:val="000100A7"/>
    <w:rsid w:val="000102AF"/>
    <w:rsid w:val="00010351"/>
    <w:rsid w:val="000103B5"/>
    <w:rsid w:val="000103B9"/>
    <w:rsid w:val="00010451"/>
    <w:rsid w:val="0001052E"/>
    <w:rsid w:val="0001061C"/>
    <w:rsid w:val="000106A1"/>
    <w:rsid w:val="000106AB"/>
    <w:rsid w:val="00010940"/>
    <w:rsid w:val="00010B1E"/>
    <w:rsid w:val="00010B82"/>
    <w:rsid w:val="00010C53"/>
    <w:rsid w:val="00010CAC"/>
    <w:rsid w:val="0001104F"/>
    <w:rsid w:val="00011331"/>
    <w:rsid w:val="0001143B"/>
    <w:rsid w:val="000114F8"/>
    <w:rsid w:val="00011610"/>
    <w:rsid w:val="00011733"/>
    <w:rsid w:val="00011AA0"/>
    <w:rsid w:val="00011D5D"/>
    <w:rsid w:val="00011DCB"/>
    <w:rsid w:val="00011EF8"/>
    <w:rsid w:val="00011F05"/>
    <w:rsid w:val="00011F7A"/>
    <w:rsid w:val="00011FA4"/>
    <w:rsid w:val="0001229C"/>
    <w:rsid w:val="000122EA"/>
    <w:rsid w:val="00012607"/>
    <w:rsid w:val="00012625"/>
    <w:rsid w:val="0001268F"/>
    <w:rsid w:val="000127BF"/>
    <w:rsid w:val="000128DF"/>
    <w:rsid w:val="00012B86"/>
    <w:rsid w:val="00012D55"/>
    <w:rsid w:val="00012E17"/>
    <w:rsid w:val="000132B7"/>
    <w:rsid w:val="00013379"/>
    <w:rsid w:val="000133A4"/>
    <w:rsid w:val="0001351F"/>
    <w:rsid w:val="000135E1"/>
    <w:rsid w:val="000138A8"/>
    <w:rsid w:val="000139C7"/>
    <w:rsid w:val="00013A17"/>
    <w:rsid w:val="00013AC1"/>
    <w:rsid w:val="00013B47"/>
    <w:rsid w:val="00013B98"/>
    <w:rsid w:val="00013DBB"/>
    <w:rsid w:val="0001406A"/>
    <w:rsid w:val="000142EB"/>
    <w:rsid w:val="00014353"/>
    <w:rsid w:val="000144C6"/>
    <w:rsid w:val="0001459D"/>
    <w:rsid w:val="0001461D"/>
    <w:rsid w:val="0001472D"/>
    <w:rsid w:val="00014867"/>
    <w:rsid w:val="000148CD"/>
    <w:rsid w:val="000148E8"/>
    <w:rsid w:val="00014C28"/>
    <w:rsid w:val="00014C6F"/>
    <w:rsid w:val="00014D78"/>
    <w:rsid w:val="00014E68"/>
    <w:rsid w:val="00014F2A"/>
    <w:rsid w:val="00014FDF"/>
    <w:rsid w:val="000151ED"/>
    <w:rsid w:val="000152E8"/>
    <w:rsid w:val="00015346"/>
    <w:rsid w:val="000153E8"/>
    <w:rsid w:val="00015735"/>
    <w:rsid w:val="0001583F"/>
    <w:rsid w:val="00015920"/>
    <w:rsid w:val="00015957"/>
    <w:rsid w:val="00015AEB"/>
    <w:rsid w:val="00015C1D"/>
    <w:rsid w:val="00015E23"/>
    <w:rsid w:val="00015E9F"/>
    <w:rsid w:val="00015F04"/>
    <w:rsid w:val="00015F84"/>
    <w:rsid w:val="000160B7"/>
    <w:rsid w:val="0001610C"/>
    <w:rsid w:val="000164FA"/>
    <w:rsid w:val="000165F6"/>
    <w:rsid w:val="00016642"/>
    <w:rsid w:val="000166A5"/>
    <w:rsid w:val="000169A0"/>
    <w:rsid w:val="00016AD5"/>
    <w:rsid w:val="00016AF5"/>
    <w:rsid w:val="00016CF4"/>
    <w:rsid w:val="00016D46"/>
    <w:rsid w:val="00016D4E"/>
    <w:rsid w:val="00016EA8"/>
    <w:rsid w:val="00016FB1"/>
    <w:rsid w:val="0001736D"/>
    <w:rsid w:val="00017390"/>
    <w:rsid w:val="0001753B"/>
    <w:rsid w:val="00017A0E"/>
    <w:rsid w:val="00017ADF"/>
    <w:rsid w:val="00017CA8"/>
    <w:rsid w:val="00017E2E"/>
    <w:rsid w:val="00017EDB"/>
    <w:rsid w:val="00017F54"/>
    <w:rsid w:val="00020014"/>
    <w:rsid w:val="000200A5"/>
    <w:rsid w:val="000201B6"/>
    <w:rsid w:val="000205B4"/>
    <w:rsid w:val="000205BC"/>
    <w:rsid w:val="000209F6"/>
    <w:rsid w:val="00020A29"/>
    <w:rsid w:val="00020B55"/>
    <w:rsid w:val="00020D29"/>
    <w:rsid w:val="00020D7A"/>
    <w:rsid w:val="00020F0E"/>
    <w:rsid w:val="00020F3E"/>
    <w:rsid w:val="0002103B"/>
    <w:rsid w:val="00021228"/>
    <w:rsid w:val="00021278"/>
    <w:rsid w:val="000212CC"/>
    <w:rsid w:val="000214BA"/>
    <w:rsid w:val="0002162A"/>
    <w:rsid w:val="00021682"/>
    <w:rsid w:val="000217EA"/>
    <w:rsid w:val="000218C3"/>
    <w:rsid w:val="00021911"/>
    <w:rsid w:val="0002191F"/>
    <w:rsid w:val="00021944"/>
    <w:rsid w:val="0002198E"/>
    <w:rsid w:val="000219FE"/>
    <w:rsid w:val="00021BF2"/>
    <w:rsid w:val="00021E2D"/>
    <w:rsid w:val="00021F5B"/>
    <w:rsid w:val="000222E3"/>
    <w:rsid w:val="000222F7"/>
    <w:rsid w:val="00022311"/>
    <w:rsid w:val="00022393"/>
    <w:rsid w:val="000223A6"/>
    <w:rsid w:val="000224BF"/>
    <w:rsid w:val="000226FC"/>
    <w:rsid w:val="00022AF4"/>
    <w:rsid w:val="00022C9F"/>
    <w:rsid w:val="00022E66"/>
    <w:rsid w:val="00022EDA"/>
    <w:rsid w:val="00022F0B"/>
    <w:rsid w:val="000230F5"/>
    <w:rsid w:val="00023202"/>
    <w:rsid w:val="0002326B"/>
    <w:rsid w:val="0002341D"/>
    <w:rsid w:val="0002355F"/>
    <w:rsid w:val="000235BE"/>
    <w:rsid w:val="0002388F"/>
    <w:rsid w:val="000238E1"/>
    <w:rsid w:val="00023C97"/>
    <w:rsid w:val="00024134"/>
    <w:rsid w:val="0002421C"/>
    <w:rsid w:val="00024287"/>
    <w:rsid w:val="000244DD"/>
    <w:rsid w:val="000245A0"/>
    <w:rsid w:val="00024667"/>
    <w:rsid w:val="000247F3"/>
    <w:rsid w:val="0002482E"/>
    <w:rsid w:val="00024891"/>
    <w:rsid w:val="00024928"/>
    <w:rsid w:val="00024B69"/>
    <w:rsid w:val="00024CAB"/>
    <w:rsid w:val="00024D08"/>
    <w:rsid w:val="00024E54"/>
    <w:rsid w:val="00024E7F"/>
    <w:rsid w:val="000250C2"/>
    <w:rsid w:val="0002510D"/>
    <w:rsid w:val="000252DB"/>
    <w:rsid w:val="00025305"/>
    <w:rsid w:val="0002538F"/>
    <w:rsid w:val="000253AB"/>
    <w:rsid w:val="0002559C"/>
    <w:rsid w:val="000256D7"/>
    <w:rsid w:val="0002571E"/>
    <w:rsid w:val="00025922"/>
    <w:rsid w:val="00025995"/>
    <w:rsid w:val="00025B13"/>
    <w:rsid w:val="00025B90"/>
    <w:rsid w:val="00025C5B"/>
    <w:rsid w:val="00025D2B"/>
    <w:rsid w:val="00025F5E"/>
    <w:rsid w:val="0002601B"/>
    <w:rsid w:val="00026153"/>
    <w:rsid w:val="000261BC"/>
    <w:rsid w:val="00026300"/>
    <w:rsid w:val="000263AD"/>
    <w:rsid w:val="00026713"/>
    <w:rsid w:val="0002671C"/>
    <w:rsid w:val="000267B7"/>
    <w:rsid w:val="0002682E"/>
    <w:rsid w:val="00026C4D"/>
    <w:rsid w:val="00026D07"/>
    <w:rsid w:val="00026E93"/>
    <w:rsid w:val="00026EE5"/>
    <w:rsid w:val="00026F23"/>
    <w:rsid w:val="00027158"/>
    <w:rsid w:val="00027293"/>
    <w:rsid w:val="000276AD"/>
    <w:rsid w:val="00027753"/>
    <w:rsid w:val="0002781B"/>
    <w:rsid w:val="0002799F"/>
    <w:rsid w:val="00027FA4"/>
    <w:rsid w:val="00027FA5"/>
    <w:rsid w:val="00027FCD"/>
    <w:rsid w:val="0003019D"/>
    <w:rsid w:val="000301E4"/>
    <w:rsid w:val="0003045E"/>
    <w:rsid w:val="00030527"/>
    <w:rsid w:val="0003059E"/>
    <w:rsid w:val="000306B4"/>
    <w:rsid w:val="00030705"/>
    <w:rsid w:val="00030891"/>
    <w:rsid w:val="000308AA"/>
    <w:rsid w:val="000308DB"/>
    <w:rsid w:val="00030A47"/>
    <w:rsid w:val="00030A79"/>
    <w:rsid w:val="00030BD4"/>
    <w:rsid w:val="00030C5A"/>
    <w:rsid w:val="00030CAC"/>
    <w:rsid w:val="00030CAD"/>
    <w:rsid w:val="00030DE3"/>
    <w:rsid w:val="00030E64"/>
    <w:rsid w:val="00031016"/>
    <w:rsid w:val="000310A1"/>
    <w:rsid w:val="000312A5"/>
    <w:rsid w:val="000314FF"/>
    <w:rsid w:val="00031978"/>
    <w:rsid w:val="00031A17"/>
    <w:rsid w:val="00031B12"/>
    <w:rsid w:val="00031B73"/>
    <w:rsid w:val="00031C4A"/>
    <w:rsid w:val="00031EA6"/>
    <w:rsid w:val="00031EF1"/>
    <w:rsid w:val="00031F5A"/>
    <w:rsid w:val="00031FF6"/>
    <w:rsid w:val="000320CB"/>
    <w:rsid w:val="000321B6"/>
    <w:rsid w:val="0003224C"/>
    <w:rsid w:val="000322C8"/>
    <w:rsid w:val="000322E2"/>
    <w:rsid w:val="000322F0"/>
    <w:rsid w:val="00032358"/>
    <w:rsid w:val="00032489"/>
    <w:rsid w:val="00032513"/>
    <w:rsid w:val="00032595"/>
    <w:rsid w:val="00032663"/>
    <w:rsid w:val="00032870"/>
    <w:rsid w:val="000329D8"/>
    <w:rsid w:val="00032AC8"/>
    <w:rsid w:val="00032EE3"/>
    <w:rsid w:val="00032F77"/>
    <w:rsid w:val="0003325C"/>
    <w:rsid w:val="0003327D"/>
    <w:rsid w:val="0003348C"/>
    <w:rsid w:val="000334D5"/>
    <w:rsid w:val="00033545"/>
    <w:rsid w:val="000336CB"/>
    <w:rsid w:val="0003372A"/>
    <w:rsid w:val="00033875"/>
    <w:rsid w:val="00033A1F"/>
    <w:rsid w:val="00033E4B"/>
    <w:rsid w:val="00033E8D"/>
    <w:rsid w:val="00034144"/>
    <w:rsid w:val="0003414D"/>
    <w:rsid w:val="000344D4"/>
    <w:rsid w:val="00034623"/>
    <w:rsid w:val="000346C2"/>
    <w:rsid w:val="0003483C"/>
    <w:rsid w:val="0003484C"/>
    <w:rsid w:val="00034967"/>
    <w:rsid w:val="000349F6"/>
    <w:rsid w:val="00034CC2"/>
    <w:rsid w:val="00034FD3"/>
    <w:rsid w:val="00035034"/>
    <w:rsid w:val="000352BF"/>
    <w:rsid w:val="000352DA"/>
    <w:rsid w:val="000354DB"/>
    <w:rsid w:val="000356A8"/>
    <w:rsid w:val="00035793"/>
    <w:rsid w:val="000359D3"/>
    <w:rsid w:val="00035BC3"/>
    <w:rsid w:val="00035BED"/>
    <w:rsid w:val="00035C8F"/>
    <w:rsid w:val="00035CAD"/>
    <w:rsid w:val="00035FF1"/>
    <w:rsid w:val="000360A8"/>
    <w:rsid w:val="000365A6"/>
    <w:rsid w:val="000365DF"/>
    <w:rsid w:val="000366AA"/>
    <w:rsid w:val="000367BF"/>
    <w:rsid w:val="0003685F"/>
    <w:rsid w:val="00036A16"/>
    <w:rsid w:val="00036B50"/>
    <w:rsid w:val="00036C62"/>
    <w:rsid w:val="00036D39"/>
    <w:rsid w:val="00036E0A"/>
    <w:rsid w:val="00036E4C"/>
    <w:rsid w:val="00036FAD"/>
    <w:rsid w:val="00037048"/>
    <w:rsid w:val="000370AD"/>
    <w:rsid w:val="00037142"/>
    <w:rsid w:val="00037180"/>
    <w:rsid w:val="0003737B"/>
    <w:rsid w:val="00037818"/>
    <w:rsid w:val="00037838"/>
    <w:rsid w:val="0003789F"/>
    <w:rsid w:val="000378B9"/>
    <w:rsid w:val="000378D1"/>
    <w:rsid w:val="00037998"/>
    <w:rsid w:val="00037A69"/>
    <w:rsid w:val="00037CCC"/>
    <w:rsid w:val="00037CCD"/>
    <w:rsid w:val="00037D01"/>
    <w:rsid w:val="00037DD8"/>
    <w:rsid w:val="00037E4E"/>
    <w:rsid w:val="00037EDA"/>
    <w:rsid w:val="00040291"/>
    <w:rsid w:val="0004045F"/>
    <w:rsid w:val="00040654"/>
    <w:rsid w:val="00040690"/>
    <w:rsid w:val="00040AD5"/>
    <w:rsid w:val="00040C8A"/>
    <w:rsid w:val="00040F2D"/>
    <w:rsid w:val="00040F3D"/>
    <w:rsid w:val="0004125E"/>
    <w:rsid w:val="00041292"/>
    <w:rsid w:val="000412B0"/>
    <w:rsid w:val="00041320"/>
    <w:rsid w:val="0004148E"/>
    <w:rsid w:val="00041560"/>
    <w:rsid w:val="00041647"/>
    <w:rsid w:val="00041662"/>
    <w:rsid w:val="0004169A"/>
    <w:rsid w:val="000416AF"/>
    <w:rsid w:val="00041856"/>
    <w:rsid w:val="00041868"/>
    <w:rsid w:val="00041AC7"/>
    <w:rsid w:val="00041B54"/>
    <w:rsid w:val="00041FD4"/>
    <w:rsid w:val="0004204D"/>
    <w:rsid w:val="000420A8"/>
    <w:rsid w:val="000422B5"/>
    <w:rsid w:val="000424BD"/>
    <w:rsid w:val="00042570"/>
    <w:rsid w:val="000425AE"/>
    <w:rsid w:val="000425B9"/>
    <w:rsid w:val="0004277E"/>
    <w:rsid w:val="00042906"/>
    <w:rsid w:val="00042AF4"/>
    <w:rsid w:val="00042CAB"/>
    <w:rsid w:val="00042CE8"/>
    <w:rsid w:val="00042E79"/>
    <w:rsid w:val="00042FC0"/>
    <w:rsid w:val="000430A9"/>
    <w:rsid w:val="000430D6"/>
    <w:rsid w:val="000431FC"/>
    <w:rsid w:val="0004327B"/>
    <w:rsid w:val="000432A1"/>
    <w:rsid w:val="0004331C"/>
    <w:rsid w:val="00043457"/>
    <w:rsid w:val="000434EB"/>
    <w:rsid w:val="00043972"/>
    <w:rsid w:val="00043B7B"/>
    <w:rsid w:val="00043D3D"/>
    <w:rsid w:val="00043D6F"/>
    <w:rsid w:val="00043F49"/>
    <w:rsid w:val="000440C0"/>
    <w:rsid w:val="00044288"/>
    <w:rsid w:val="000442C9"/>
    <w:rsid w:val="0004447C"/>
    <w:rsid w:val="0004450D"/>
    <w:rsid w:val="0004450F"/>
    <w:rsid w:val="0004458E"/>
    <w:rsid w:val="000445C4"/>
    <w:rsid w:val="00044A6F"/>
    <w:rsid w:val="00044B51"/>
    <w:rsid w:val="00044BE3"/>
    <w:rsid w:val="00044C37"/>
    <w:rsid w:val="00044D95"/>
    <w:rsid w:val="00044E18"/>
    <w:rsid w:val="00044EC2"/>
    <w:rsid w:val="000453BE"/>
    <w:rsid w:val="000458F3"/>
    <w:rsid w:val="00045CB4"/>
    <w:rsid w:val="00045CD3"/>
    <w:rsid w:val="00045CE8"/>
    <w:rsid w:val="00045D57"/>
    <w:rsid w:val="00045E6E"/>
    <w:rsid w:val="00046085"/>
    <w:rsid w:val="000461FA"/>
    <w:rsid w:val="0004626D"/>
    <w:rsid w:val="00046424"/>
    <w:rsid w:val="0004654B"/>
    <w:rsid w:val="0004657C"/>
    <w:rsid w:val="000465E3"/>
    <w:rsid w:val="000466AE"/>
    <w:rsid w:val="000466BA"/>
    <w:rsid w:val="0004673B"/>
    <w:rsid w:val="00046785"/>
    <w:rsid w:val="000467CF"/>
    <w:rsid w:val="00046938"/>
    <w:rsid w:val="000469E5"/>
    <w:rsid w:val="00046A36"/>
    <w:rsid w:val="00046AB5"/>
    <w:rsid w:val="00046B22"/>
    <w:rsid w:val="00046C99"/>
    <w:rsid w:val="00046E08"/>
    <w:rsid w:val="000471C4"/>
    <w:rsid w:val="000474AF"/>
    <w:rsid w:val="000476C3"/>
    <w:rsid w:val="000476F1"/>
    <w:rsid w:val="000476FE"/>
    <w:rsid w:val="000477DE"/>
    <w:rsid w:val="0004793F"/>
    <w:rsid w:val="00047FAB"/>
    <w:rsid w:val="00050007"/>
    <w:rsid w:val="0005018B"/>
    <w:rsid w:val="0005057B"/>
    <w:rsid w:val="00050666"/>
    <w:rsid w:val="00050871"/>
    <w:rsid w:val="00050B9A"/>
    <w:rsid w:val="00050D13"/>
    <w:rsid w:val="00050D69"/>
    <w:rsid w:val="00050DC0"/>
    <w:rsid w:val="00050E14"/>
    <w:rsid w:val="000510B4"/>
    <w:rsid w:val="000510FB"/>
    <w:rsid w:val="0005117E"/>
    <w:rsid w:val="000511A6"/>
    <w:rsid w:val="00051238"/>
    <w:rsid w:val="0005129E"/>
    <w:rsid w:val="000513D8"/>
    <w:rsid w:val="0005155F"/>
    <w:rsid w:val="000518EA"/>
    <w:rsid w:val="00051BB2"/>
    <w:rsid w:val="00051EEC"/>
    <w:rsid w:val="00051F00"/>
    <w:rsid w:val="00051F02"/>
    <w:rsid w:val="00051F68"/>
    <w:rsid w:val="00052149"/>
    <w:rsid w:val="000522B3"/>
    <w:rsid w:val="00052331"/>
    <w:rsid w:val="000524C7"/>
    <w:rsid w:val="0005251D"/>
    <w:rsid w:val="000525DE"/>
    <w:rsid w:val="000526D0"/>
    <w:rsid w:val="0005293B"/>
    <w:rsid w:val="00052A0A"/>
    <w:rsid w:val="00052BA0"/>
    <w:rsid w:val="00052BC1"/>
    <w:rsid w:val="00052C39"/>
    <w:rsid w:val="00052E13"/>
    <w:rsid w:val="00052EFF"/>
    <w:rsid w:val="00052FCE"/>
    <w:rsid w:val="0005301B"/>
    <w:rsid w:val="0005302E"/>
    <w:rsid w:val="00053057"/>
    <w:rsid w:val="000533F5"/>
    <w:rsid w:val="00053AC3"/>
    <w:rsid w:val="00053B42"/>
    <w:rsid w:val="00053C11"/>
    <w:rsid w:val="00053CA0"/>
    <w:rsid w:val="00053ED4"/>
    <w:rsid w:val="00053FDB"/>
    <w:rsid w:val="00054029"/>
    <w:rsid w:val="000542B9"/>
    <w:rsid w:val="000543E7"/>
    <w:rsid w:val="00054426"/>
    <w:rsid w:val="00054468"/>
    <w:rsid w:val="000544B9"/>
    <w:rsid w:val="000544F8"/>
    <w:rsid w:val="0005456D"/>
    <w:rsid w:val="000548E8"/>
    <w:rsid w:val="00054CE1"/>
    <w:rsid w:val="00054D95"/>
    <w:rsid w:val="00054F7B"/>
    <w:rsid w:val="00054F97"/>
    <w:rsid w:val="0005517E"/>
    <w:rsid w:val="000551F5"/>
    <w:rsid w:val="000553DC"/>
    <w:rsid w:val="000555E7"/>
    <w:rsid w:val="00055617"/>
    <w:rsid w:val="00055686"/>
    <w:rsid w:val="00055741"/>
    <w:rsid w:val="000557F0"/>
    <w:rsid w:val="0005584A"/>
    <w:rsid w:val="000558A9"/>
    <w:rsid w:val="000558AB"/>
    <w:rsid w:val="000559E1"/>
    <w:rsid w:val="00055A3B"/>
    <w:rsid w:val="00055A4A"/>
    <w:rsid w:val="00055A6F"/>
    <w:rsid w:val="00055ADC"/>
    <w:rsid w:val="00055CB2"/>
    <w:rsid w:val="00055D7C"/>
    <w:rsid w:val="00055D8C"/>
    <w:rsid w:val="00055F16"/>
    <w:rsid w:val="0005606B"/>
    <w:rsid w:val="00056119"/>
    <w:rsid w:val="000564B9"/>
    <w:rsid w:val="000566E4"/>
    <w:rsid w:val="000566E6"/>
    <w:rsid w:val="00056AF1"/>
    <w:rsid w:val="00056DA4"/>
    <w:rsid w:val="000570CC"/>
    <w:rsid w:val="0005717F"/>
    <w:rsid w:val="0005731B"/>
    <w:rsid w:val="00057425"/>
    <w:rsid w:val="00057480"/>
    <w:rsid w:val="00057595"/>
    <w:rsid w:val="00057648"/>
    <w:rsid w:val="0005766A"/>
    <w:rsid w:val="000576BF"/>
    <w:rsid w:val="000577D7"/>
    <w:rsid w:val="00057A0B"/>
    <w:rsid w:val="00057A61"/>
    <w:rsid w:val="00057AEC"/>
    <w:rsid w:val="00057C0E"/>
    <w:rsid w:val="00057D0E"/>
    <w:rsid w:val="00057E88"/>
    <w:rsid w:val="00057F92"/>
    <w:rsid w:val="00060040"/>
    <w:rsid w:val="00060420"/>
    <w:rsid w:val="00060539"/>
    <w:rsid w:val="00060718"/>
    <w:rsid w:val="0006072E"/>
    <w:rsid w:val="000607AA"/>
    <w:rsid w:val="000608BA"/>
    <w:rsid w:val="0006098E"/>
    <w:rsid w:val="00060A28"/>
    <w:rsid w:val="00060ABF"/>
    <w:rsid w:val="00060AC9"/>
    <w:rsid w:val="00060B52"/>
    <w:rsid w:val="00060D4B"/>
    <w:rsid w:val="00060DF6"/>
    <w:rsid w:val="00060FF3"/>
    <w:rsid w:val="000611C0"/>
    <w:rsid w:val="000611C6"/>
    <w:rsid w:val="000611D9"/>
    <w:rsid w:val="0006139E"/>
    <w:rsid w:val="0006162B"/>
    <w:rsid w:val="00061740"/>
    <w:rsid w:val="0006187A"/>
    <w:rsid w:val="0006190B"/>
    <w:rsid w:val="000619E8"/>
    <w:rsid w:val="00061A29"/>
    <w:rsid w:val="00061A86"/>
    <w:rsid w:val="00061B9E"/>
    <w:rsid w:val="00061CEB"/>
    <w:rsid w:val="00061D9F"/>
    <w:rsid w:val="00061EB0"/>
    <w:rsid w:val="00062330"/>
    <w:rsid w:val="00062363"/>
    <w:rsid w:val="00062667"/>
    <w:rsid w:val="000628E3"/>
    <w:rsid w:val="00062949"/>
    <w:rsid w:val="0006296E"/>
    <w:rsid w:val="000629F5"/>
    <w:rsid w:val="00062B8A"/>
    <w:rsid w:val="00062C58"/>
    <w:rsid w:val="00062F7C"/>
    <w:rsid w:val="0006303D"/>
    <w:rsid w:val="0006318C"/>
    <w:rsid w:val="000631F4"/>
    <w:rsid w:val="00063260"/>
    <w:rsid w:val="000632D9"/>
    <w:rsid w:val="0006335B"/>
    <w:rsid w:val="00063375"/>
    <w:rsid w:val="000633B8"/>
    <w:rsid w:val="00063597"/>
    <w:rsid w:val="000636F5"/>
    <w:rsid w:val="00063752"/>
    <w:rsid w:val="000638D3"/>
    <w:rsid w:val="00063915"/>
    <w:rsid w:val="000639BF"/>
    <w:rsid w:val="00063BA3"/>
    <w:rsid w:val="00063C88"/>
    <w:rsid w:val="00063C93"/>
    <w:rsid w:val="00063C95"/>
    <w:rsid w:val="00063EA1"/>
    <w:rsid w:val="00063F6F"/>
    <w:rsid w:val="00063F93"/>
    <w:rsid w:val="00064115"/>
    <w:rsid w:val="00064156"/>
    <w:rsid w:val="000641E6"/>
    <w:rsid w:val="000642A5"/>
    <w:rsid w:val="000642B1"/>
    <w:rsid w:val="00064351"/>
    <w:rsid w:val="00064637"/>
    <w:rsid w:val="000646B0"/>
    <w:rsid w:val="000646BB"/>
    <w:rsid w:val="0006487E"/>
    <w:rsid w:val="00064BD0"/>
    <w:rsid w:val="0006515D"/>
    <w:rsid w:val="000651FE"/>
    <w:rsid w:val="00065222"/>
    <w:rsid w:val="00065289"/>
    <w:rsid w:val="000652C7"/>
    <w:rsid w:val="000653DF"/>
    <w:rsid w:val="0006542B"/>
    <w:rsid w:val="0006543F"/>
    <w:rsid w:val="0006547F"/>
    <w:rsid w:val="00065585"/>
    <w:rsid w:val="000655EA"/>
    <w:rsid w:val="000657C9"/>
    <w:rsid w:val="000658D0"/>
    <w:rsid w:val="00065920"/>
    <w:rsid w:val="00065A0F"/>
    <w:rsid w:val="00065B99"/>
    <w:rsid w:val="00065CAA"/>
    <w:rsid w:val="00065CFE"/>
    <w:rsid w:val="00065D51"/>
    <w:rsid w:val="00065DE3"/>
    <w:rsid w:val="00065E90"/>
    <w:rsid w:val="00065F5E"/>
    <w:rsid w:val="00066052"/>
    <w:rsid w:val="00066091"/>
    <w:rsid w:val="000660BA"/>
    <w:rsid w:val="000660C3"/>
    <w:rsid w:val="000661C7"/>
    <w:rsid w:val="00066206"/>
    <w:rsid w:val="00066416"/>
    <w:rsid w:val="0006656E"/>
    <w:rsid w:val="00066648"/>
    <w:rsid w:val="0006675F"/>
    <w:rsid w:val="00066792"/>
    <w:rsid w:val="00066C93"/>
    <w:rsid w:val="00066DCE"/>
    <w:rsid w:val="00066EA4"/>
    <w:rsid w:val="00066F64"/>
    <w:rsid w:val="00066F75"/>
    <w:rsid w:val="00066FA4"/>
    <w:rsid w:val="000671A9"/>
    <w:rsid w:val="000672D8"/>
    <w:rsid w:val="00067483"/>
    <w:rsid w:val="0006763A"/>
    <w:rsid w:val="00067641"/>
    <w:rsid w:val="00067706"/>
    <w:rsid w:val="00067716"/>
    <w:rsid w:val="000678F9"/>
    <w:rsid w:val="00067945"/>
    <w:rsid w:val="00067A25"/>
    <w:rsid w:val="00067AC2"/>
    <w:rsid w:val="00067AC8"/>
    <w:rsid w:val="00067B6C"/>
    <w:rsid w:val="00067CC4"/>
    <w:rsid w:val="00067DEB"/>
    <w:rsid w:val="00067E3B"/>
    <w:rsid w:val="00067EDB"/>
    <w:rsid w:val="00067EF6"/>
    <w:rsid w:val="00067F46"/>
    <w:rsid w:val="00067F85"/>
    <w:rsid w:val="00067F88"/>
    <w:rsid w:val="00067FC4"/>
    <w:rsid w:val="00067FD1"/>
    <w:rsid w:val="00067FF8"/>
    <w:rsid w:val="0007021D"/>
    <w:rsid w:val="00070668"/>
    <w:rsid w:val="000707AE"/>
    <w:rsid w:val="00070857"/>
    <w:rsid w:val="000708EF"/>
    <w:rsid w:val="000708FE"/>
    <w:rsid w:val="000709E7"/>
    <w:rsid w:val="00070AC5"/>
    <w:rsid w:val="00070AF8"/>
    <w:rsid w:val="00070BD7"/>
    <w:rsid w:val="00070D24"/>
    <w:rsid w:val="00070E15"/>
    <w:rsid w:val="0007118D"/>
    <w:rsid w:val="00071489"/>
    <w:rsid w:val="000716AC"/>
    <w:rsid w:val="000718B1"/>
    <w:rsid w:val="00071945"/>
    <w:rsid w:val="00071B6B"/>
    <w:rsid w:val="00071B95"/>
    <w:rsid w:val="00071D1D"/>
    <w:rsid w:val="00071D81"/>
    <w:rsid w:val="00071D85"/>
    <w:rsid w:val="000720D5"/>
    <w:rsid w:val="00072226"/>
    <w:rsid w:val="0007223C"/>
    <w:rsid w:val="000724AD"/>
    <w:rsid w:val="000725A1"/>
    <w:rsid w:val="0007260A"/>
    <w:rsid w:val="000726EC"/>
    <w:rsid w:val="00072794"/>
    <w:rsid w:val="0007288D"/>
    <w:rsid w:val="00072948"/>
    <w:rsid w:val="00072B3E"/>
    <w:rsid w:val="00072BEC"/>
    <w:rsid w:val="00072BF3"/>
    <w:rsid w:val="00072CAB"/>
    <w:rsid w:val="00072DE4"/>
    <w:rsid w:val="00072E51"/>
    <w:rsid w:val="00072F97"/>
    <w:rsid w:val="000730C2"/>
    <w:rsid w:val="000733AA"/>
    <w:rsid w:val="00073706"/>
    <w:rsid w:val="00073773"/>
    <w:rsid w:val="00073914"/>
    <w:rsid w:val="0007399B"/>
    <w:rsid w:val="00073B3D"/>
    <w:rsid w:val="00073CF1"/>
    <w:rsid w:val="00073CF3"/>
    <w:rsid w:val="00073D3E"/>
    <w:rsid w:val="00073D8E"/>
    <w:rsid w:val="00073DBF"/>
    <w:rsid w:val="00073FC6"/>
    <w:rsid w:val="000742D7"/>
    <w:rsid w:val="0007436E"/>
    <w:rsid w:val="0007437A"/>
    <w:rsid w:val="00074501"/>
    <w:rsid w:val="000746EC"/>
    <w:rsid w:val="0007491E"/>
    <w:rsid w:val="00074973"/>
    <w:rsid w:val="000749F8"/>
    <w:rsid w:val="00074A90"/>
    <w:rsid w:val="00074B11"/>
    <w:rsid w:val="00074BA7"/>
    <w:rsid w:val="00074C6F"/>
    <w:rsid w:val="00074CF7"/>
    <w:rsid w:val="00074EB6"/>
    <w:rsid w:val="00074F71"/>
    <w:rsid w:val="0007503F"/>
    <w:rsid w:val="00075367"/>
    <w:rsid w:val="00075577"/>
    <w:rsid w:val="000756EC"/>
    <w:rsid w:val="0007580E"/>
    <w:rsid w:val="000758D8"/>
    <w:rsid w:val="00075930"/>
    <w:rsid w:val="00075966"/>
    <w:rsid w:val="00075A0D"/>
    <w:rsid w:val="00075D23"/>
    <w:rsid w:val="00075DBD"/>
    <w:rsid w:val="00075E69"/>
    <w:rsid w:val="00075E9B"/>
    <w:rsid w:val="000760F1"/>
    <w:rsid w:val="00076109"/>
    <w:rsid w:val="000763FD"/>
    <w:rsid w:val="0007666C"/>
    <w:rsid w:val="000768F3"/>
    <w:rsid w:val="00076994"/>
    <w:rsid w:val="00076A3D"/>
    <w:rsid w:val="00076C3B"/>
    <w:rsid w:val="00076D1E"/>
    <w:rsid w:val="00076D84"/>
    <w:rsid w:val="00076E8C"/>
    <w:rsid w:val="00076EF9"/>
    <w:rsid w:val="00077006"/>
    <w:rsid w:val="000774AB"/>
    <w:rsid w:val="00077657"/>
    <w:rsid w:val="00077744"/>
    <w:rsid w:val="00077779"/>
    <w:rsid w:val="00077A4D"/>
    <w:rsid w:val="00077BD6"/>
    <w:rsid w:val="00077CD8"/>
    <w:rsid w:val="00077CFA"/>
    <w:rsid w:val="00077E10"/>
    <w:rsid w:val="00077E3F"/>
    <w:rsid w:val="00080037"/>
    <w:rsid w:val="00080224"/>
    <w:rsid w:val="00080250"/>
    <w:rsid w:val="0008037B"/>
    <w:rsid w:val="00080654"/>
    <w:rsid w:val="0008083E"/>
    <w:rsid w:val="0008088A"/>
    <w:rsid w:val="00080D48"/>
    <w:rsid w:val="00080EE4"/>
    <w:rsid w:val="00081062"/>
    <w:rsid w:val="0008110C"/>
    <w:rsid w:val="00081335"/>
    <w:rsid w:val="0008156E"/>
    <w:rsid w:val="00081B29"/>
    <w:rsid w:val="00081C36"/>
    <w:rsid w:val="00081D99"/>
    <w:rsid w:val="000821CA"/>
    <w:rsid w:val="000821D6"/>
    <w:rsid w:val="00082216"/>
    <w:rsid w:val="00082672"/>
    <w:rsid w:val="00082674"/>
    <w:rsid w:val="000826A1"/>
    <w:rsid w:val="0008272A"/>
    <w:rsid w:val="00082843"/>
    <w:rsid w:val="0008296D"/>
    <w:rsid w:val="00082A92"/>
    <w:rsid w:val="00082B8B"/>
    <w:rsid w:val="00082C3E"/>
    <w:rsid w:val="00083046"/>
    <w:rsid w:val="00083160"/>
    <w:rsid w:val="00083233"/>
    <w:rsid w:val="0008329D"/>
    <w:rsid w:val="00083509"/>
    <w:rsid w:val="00083548"/>
    <w:rsid w:val="0008367C"/>
    <w:rsid w:val="000836F6"/>
    <w:rsid w:val="00083A87"/>
    <w:rsid w:val="000840DE"/>
    <w:rsid w:val="00084126"/>
    <w:rsid w:val="00084138"/>
    <w:rsid w:val="00084327"/>
    <w:rsid w:val="000844D4"/>
    <w:rsid w:val="000846DE"/>
    <w:rsid w:val="0008474A"/>
    <w:rsid w:val="000847F9"/>
    <w:rsid w:val="00084909"/>
    <w:rsid w:val="0008493C"/>
    <w:rsid w:val="00084A1A"/>
    <w:rsid w:val="00084A8F"/>
    <w:rsid w:val="00084AE2"/>
    <w:rsid w:val="00084B3B"/>
    <w:rsid w:val="00084C14"/>
    <w:rsid w:val="00084DBE"/>
    <w:rsid w:val="00084E65"/>
    <w:rsid w:val="00085076"/>
    <w:rsid w:val="0008509A"/>
    <w:rsid w:val="00085180"/>
    <w:rsid w:val="00085298"/>
    <w:rsid w:val="000852F3"/>
    <w:rsid w:val="000854DC"/>
    <w:rsid w:val="00085847"/>
    <w:rsid w:val="0008588D"/>
    <w:rsid w:val="00085A34"/>
    <w:rsid w:val="00085CAB"/>
    <w:rsid w:val="00085FFE"/>
    <w:rsid w:val="00086059"/>
    <w:rsid w:val="000860B0"/>
    <w:rsid w:val="00086320"/>
    <w:rsid w:val="00086333"/>
    <w:rsid w:val="00086486"/>
    <w:rsid w:val="0008670C"/>
    <w:rsid w:val="00086728"/>
    <w:rsid w:val="00086997"/>
    <w:rsid w:val="000869CE"/>
    <w:rsid w:val="000869F5"/>
    <w:rsid w:val="00086B11"/>
    <w:rsid w:val="00086C6E"/>
    <w:rsid w:val="00086C9D"/>
    <w:rsid w:val="00086D23"/>
    <w:rsid w:val="00086D31"/>
    <w:rsid w:val="00086EBA"/>
    <w:rsid w:val="00086F57"/>
    <w:rsid w:val="00087047"/>
    <w:rsid w:val="000871AD"/>
    <w:rsid w:val="00087451"/>
    <w:rsid w:val="0008757E"/>
    <w:rsid w:val="000875AE"/>
    <w:rsid w:val="00087677"/>
    <w:rsid w:val="00087792"/>
    <w:rsid w:val="00087822"/>
    <w:rsid w:val="00087897"/>
    <w:rsid w:val="00087A37"/>
    <w:rsid w:val="00087B21"/>
    <w:rsid w:val="00087CCF"/>
    <w:rsid w:val="00087FB0"/>
    <w:rsid w:val="00087FE7"/>
    <w:rsid w:val="00090097"/>
    <w:rsid w:val="0009017E"/>
    <w:rsid w:val="0009041B"/>
    <w:rsid w:val="00090681"/>
    <w:rsid w:val="0009089B"/>
    <w:rsid w:val="000908FE"/>
    <w:rsid w:val="00090A8B"/>
    <w:rsid w:val="00090BA3"/>
    <w:rsid w:val="00090D56"/>
    <w:rsid w:val="00090DA6"/>
    <w:rsid w:val="00090DE8"/>
    <w:rsid w:val="00090E4A"/>
    <w:rsid w:val="00090E63"/>
    <w:rsid w:val="00090FD8"/>
    <w:rsid w:val="000910C2"/>
    <w:rsid w:val="000910F7"/>
    <w:rsid w:val="000911F6"/>
    <w:rsid w:val="000911FD"/>
    <w:rsid w:val="0009126F"/>
    <w:rsid w:val="000912E5"/>
    <w:rsid w:val="00091371"/>
    <w:rsid w:val="000913DF"/>
    <w:rsid w:val="00091555"/>
    <w:rsid w:val="000915D7"/>
    <w:rsid w:val="0009169C"/>
    <w:rsid w:val="00091744"/>
    <w:rsid w:val="00091B46"/>
    <w:rsid w:val="00091E19"/>
    <w:rsid w:val="00091EFA"/>
    <w:rsid w:val="000921C1"/>
    <w:rsid w:val="00092323"/>
    <w:rsid w:val="00092447"/>
    <w:rsid w:val="00092969"/>
    <w:rsid w:val="00092A7A"/>
    <w:rsid w:val="00092C5B"/>
    <w:rsid w:val="00092C98"/>
    <w:rsid w:val="00092D32"/>
    <w:rsid w:val="00092D3B"/>
    <w:rsid w:val="00092E08"/>
    <w:rsid w:val="00093182"/>
    <w:rsid w:val="000933CC"/>
    <w:rsid w:val="000933EC"/>
    <w:rsid w:val="000934AD"/>
    <w:rsid w:val="0009356A"/>
    <w:rsid w:val="000935EB"/>
    <w:rsid w:val="00093607"/>
    <w:rsid w:val="0009364C"/>
    <w:rsid w:val="000939A2"/>
    <w:rsid w:val="00093B62"/>
    <w:rsid w:val="00093CDF"/>
    <w:rsid w:val="00093D30"/>
    <w:rsid w:val="00093F05"/>
    <w:rsid w:val="00094367"/>
    <w:rsid w:val="00094489"/>
    <w:rsid w:val="00094955"/>
    <w:rsid w:val="00094A4E"/>
    <w:rsid w:val="00094CE0"/>
    <w:rsid w:val="00094D1C"/>
    <w:rsid w:val="00094DBE"/>
    <w:rsid w:val="00094DCC"/>
    <w:rsid w:val="00094E04"/>
    <w:rsid w:val="000950A0"/>
    <w:rsid w:val="0009513D"/>
    <w:rsid w:val="00095250"/>
    <w:rsid w:val="0009530A"/>
    <w:rsid w:val="000954C8"/>
    <w:rsid w:val="000955C6"/>
    <w:rsid w:val="00095719"/>
    <w:rsid w:val="0009583C"/>
    <w:rsid w:val="000958D3"/>
    <w:rsid w:val="00095DEA"/>
    <w:rsid w:val="00095DF2"/>
    <w:rsid w:val="00095DFD"/>
    <w:rsid w:val="00095E29"/>
    <w:rsid w:val="0009604C"/>
    <w:rsid w:val="0009605F"/>
    <w:rsid w:val="000961CF"/>
    <w:rsid w:val="000961DD"/>
    <w:rsid w:val="000962D9"/>
    <w:rsid w:val="000963A2"/>
    <w:rsid w:val="00096430"/>
    <w:rsid w:val="0009663D"/>
    <w:rsid w:val="00096712"/>
    <w:rsid w:val="00096864"/>
    <w:rsid w:val="00096A62"/>
    <w:rsid w:val="00096B52"/>
    <w:rsid w:val="00096B53"/>
    <w:rsid w:val="00096C08"/>
    <w:rsid w:val="00096C0F"/>
    <w:rsid w:val="00096E41"/>
    <w:rsid w:val="00096E47"/>
    <w:rsid w:val="00096F8B"/>
    <w:rsid w:val="00097068"/>
    <w:rsid w:val="00097177"/>
    <w:rsid w:val="000971A0"/>
    <w:rsid w:val="000972B0"/>
    <w:rsid w:val="00097317"/>
    <w:rsid w:val="000978EC"/>
    <w:rsid w:val="000978F6"/>
    <w:rsid w:val="000979A0"/>
    <w:rsid w:val="00097B91"/>
    <w:rsid w:val="00097BFB"/>
    <w:rsid w:val="00097E1C"/>
    <w:rsid w:val="00097F87"/>
    <w:rsid w:val="000A0038"/>
    <w:rsid w:val="000A0297"/>
    <w:rsid w:val="000A02D2"/>
    <w:rsid w:val="000A0522"/>
    <w:rsid w:val="000A092B"/>
    <w:rsid w:val="000A09F0"/>
    <w:rsid w:val="000A0A34"/>
    <w:rsid w:val="000A0BF0"/>
    <w:rsid w:val="000A0F4E"/>
    <w:rsid w:val="000A10B6"/>
    <w:rsid w:val="000A113B"/>
    <w:rsid w:val="000A119A"/>
    <w:rsid w:val="000A14A1"/>
    <w:rsid w:val="000A14A7"/>
    <w:rsid w:val="000A17DB"/>
    <w:rsid w:val="000A1809"/>
    <w:rsid w:val="000A18E3"/>
    <w:rsid w:val="000A199E"/>
    <w:rsid w:val="000A1A64"/>
    <w:rsid w:val="000A1A84"/>
    <w:rsid w:val="000A1CDD"/>
    <w:rsid w:val="000A1D8E"/>
    <w:rsid w:val="000A1E4B"/>
    <w:rsid w:val="000A2005"/>
    <w:rsid w:val="000A205B"/>
    <w:rsid w:val="000A2456"/>
    <w:rsid w:val="000A24A1"/>
    <w:rsid w:val="000A265F"/>
    <w:rsid w:val="000A2734"/>
    <w:rsid w:val="000A2780"/>
    <w:rsid w:val="000A27BB"/>
    <w:rsid w:val="000A29C5"/>
    <w:rsid w:val="000A2AA2"/>
    <w:rsid w:val="000A2B72"/>
    <w:rsid w:val="000A2F13"/>
    <w:rsid w:val="000A2F57"/>
    <w:rsid w:val="000A2F70"/>
    <w:rsid w:val="000A2F79"/>
    <w:rsid w:val="000A303C"/>
    <w:rsid w:val="000A3131"/>
    <w:rsid w:val="000A3375"/>
    <w:rsid w:val="000A35B0"/>
    <w:rsid w:val="000A383D"/>
    <w:rsid w:val="000A3ABE"/>
    <w:rsid w:val="000A3AFC"/>
    <w:rsid w:val="000A3BC7"/>
    <w:rsid w:val="000A3CAD"/>
    <w:rsid w:val="000A3E98"/>
    <w:rsid w:val="000A4032"/>
    <w:rsid w:val="000A40AD"/>
    <w:rsid w:val="000A4102"/>
    <w:rsid w:val="000A41EB"/>
    <w:rsid w:val="000A4276"/>
    <w:rsid w:val="000A431F"/>
    <w:rsid w:val="000A435F"/>
    <w:rsid w:val="000A440D"/>
    <w:rsid w:val="000A44C7"/>
    <w:rsid w:val="000A467F"/>
    <w:rsid w:val="000A4733"/>
    <w:rsid w:val="000A4D9D"/>
    <w:rsid w:val="000A4E86"/>
    <w:rsid w:val="000A5181"/>
    <w:rsid w:val="000A53E4"/>
    <w:rsid w:val="000A5529"/>
    <w:rsid w:val="000A552B"/>
    <w:rsid w:val="000A5683"/>
    <w:rsid w:val="000A597D"/>
    <w:rsid w:val="000A5CCE"/>
    <w:rsid w:val="000A5E44"/>
    <w:rsid w:val="000A5F4B"/>
    <w:rsid w:val="000A5FA8"/>
    <w:rsid w:val="000A6026"/>
    <w:rsid w:val="000A606E"/>
    <w:rsid w:val="000A60E5"/>
    <w:rsid w:val="000A63B8"/>
    <w:rsid w:val="000A6700"/>
    <w:rsid w:val="000A6799"/>
    <w:rsid w:val="000A6842"/>
    <w:rsid w:val="000A69B4"/>
    <w:rsid w:val="000A6B6F"/>
    <w:rsid w:val="000A6B95"/>
    <w:rsid w:val="000A7077"/>
    <w:rsid w:val="000A734B"/>
    <w:rsid w:val="000A73FC"/>
    <w:rsid w:val="000A7538"/>
    <w:rsid w:val="000A7629"/>
    <w:rsid w:val="000A763E"/>
    <w:rsid w:val="000A7666"/>
    <w:rsid w:val="000A78A8"/>
    <w:rsid w:val="000A7906"/>
    <w:rsid w:val="000A7AAE"/>
    <w:rsid w:val="000A7BB5"/>
    <w:rsid w:val="000A7C4F"/>
    <w:rsid w:val="000A7C7D"/>
    <w:rsid w:val="000A7D23"/>
    <w:rsid w:val="000A7D83"/>
    <w:rsid w:val="000A7DDA"/>
    <w:rsid w:val="000A7F16"/>
    <w:rsid w:val="000B0211"/>
    <w:rsid w:val="000B0429"/>
    <w:rsid w:val="000B04B5"/>
    <w:rsid w:val="000B04DF"/>
    <w:rsid w:val="000B07EB"/>
    <w:rsid w:val="000B0888"/>
    <w:rsid w:val="000B09D2"/>
    <w:rsid w:val="000B0A60"/>
    <w:rsid w:val="000B0ACC"/>
    <w:rsid w:val="000B0B88"/>
    <w:rsid w:val="000B0D59"/>
    <w:rsid w:val="000B0DDD"/>
    <w:rsid w:val="000B0E21"/>
    <w:rsid w:val="000B0EA5"/>
    <w:rsid w:val="000B109F"/>
    <w:rsid w:val="000B1202"/>
    <w:rsid w:val="000B145E"/>
    <w:rsid w:val="000B1572"/>
    <w:rsid w:val="000B1924"/>
    <w:rsid w:val="000B1AA7"/>
    <w:rsid w:val="000B1C19"/>
    <w:rsid w:val="000B2005"/>
    <w:rsid w:val="000B2080"/>
    <w:rsid w:val="000B2152"/>
    <w:rsid w:val="000B252A"/>
    <w:rsid w:val="000B2546"/>
    <w:rsid w:val="000B2587"/>
    <w:rsid w:val="000B2871"/>
    <w:rsid w:val="000B287F"/>
    <w:rsid w:val="000B2A10"/>
    <w:rsid w:val="000B2AAB"/>
    <w:rsid w:val="000B2C17"/>
    <w:rsid w:val="000B2E29"/>
    <w:rsid w:val="000B2E78"/>
    <w:rsid w:val="000B2F10"/>
    <w:rsid w:val="000B2F5B"/>
    <w:rsid w:val="000B2FFF"/>
    <w:rsid w:val="000B300D"/>
    <w:rsid w:val="000B302D"/>
    <w:rsid w:val="000B3124"/>
    <w:rsid w:val="000B316B"/>
    <w:rsid w:val="000B3245"/>
    <w:rsid w:val="000B346D"/>
    <w:rsid w:val="000B3499"/>
    <w:rsid w:val="000B352D"/>
    <w:rsid w:val="000B35E5"/>
    <w:rsid w:val="000B36D8"/>
    <w:rsid w:val="000B3A22"/>
    <w:rsid w:val="000B3BB2"/>
    <w:rsid w:val="000B3EFE"/>
    <w:rsid w:val="000B3F3C"/>
    <w:rsid w:val="000B3F87"/>
    <w:rsid w:val="000B3FE3"/>
    <w:rsid w:val="000B4053"/>
    <w:rsid w:val="000B41B6"/>
    <w:rsid w:val="000B42DF"/>
    <w:rsid w:val="000B4359"/>
    <w:rsid w:val="000B4405"/>
    <w:rsid w:val="000B4483"/>
    <w:rsid w:val="000B47A5"/>
    <w:rsid w:val="000B49FA"/>
    <w:rsid w:val="000B4B41"/>
    <w:rsid w:val="000B4ED4"/>
    <w:rsid w:val="000B5328"/>
    <w:rsid w:val="000B54C1"/>
    <w:rsid w:val="000B576C"/>
    <w:rsid w:val="000B58B4"/>
    <w:rsid w:val="000B5BA9"/>
    <w:rsid w:val="000B5C22"/>
    <w:rsid w:val="000B5FCE"/>
    <w:rsid w:val="000B6091"/>
    <w:rsid w:val="000B6113"/>
    <w:rsid w:val="000B6203"/>
    <w:rsid w:val="000B620A"/>
    <w:rsid w:val="000B6310"/>
    <w:rsid w:val="000B644B"/>
    <w:rsid w:val="000B6472"/>
    <w:rsid w:val="000B64C0"/>
    <w:rsid w:val="000B64F2"/>
    <w:rsid w:val="000B6580"/>
    <w:rsid w:val="000B6599"/>
    <w:rsid w:val="000B65DF"/>
    <w:rsid w:val="000B6771"/>
    <w:rsid w:val="000B69B5"/>
    <w:rsid w:val="000B69EF"/>
    <w:rsid w:val="000B6A98"/>
    <w:rsid w:val="000B6B0A"/>
    <w:rsid w:val="000B6CF7"/>
    <w:rsid w:val="000B6D9E"/>
    <w:rsid w:val="000B6EF4"/>
    <w:rsid w:val="000B6F20"/>
    <w:rsid w:val="000B71DB"/>
    <w:rsid w:val="000B747C"/>
    <w:rsid w:val="000B76DD"/>
    <w:rsid w:val="000B7719"/>
    <w:rsid w:val="000B7974"/>
    <w:rsid w:val="000B7978"/>
    <w:rsid w:val="000B7D0D"/>
    <w:rsid w:val="000B7DAC"/>
    <w:rsid w:val="000B7F39"/>
    <w:rsid w:val="000B7F8F"/>
    <w:rsid w:val="000B7FA1"/>
    <w:rsid w:val="000B7FA7"/>
    <w:rsid w:val="000C01D2"/>
    <w:rsid w:val="000C0426"/>
    <w:rsid w:val="000C0772"/>
    <w:rsid w:val="000C0883"/>
    <w:rsid w:val="000C089D"/>
    <w:rsid w:val="000C0AAE"/>
    <w:rsid w:val="000C0B5B"/>
    <w:rsid w:val="000C0BC7"/>
    <w:rsid w:val="000C0BE7"/>
    <w:rsid w:val="000C0C85"/>
    <w:rsid w:val="000C0E76"/>
    <w:rsid w:val="000C0E79"/>
    <w:rsid w:val="000C10B2"/>
    <w:rsid w:val="000C12BD"/>
    <w:rsid w:val="000C1374"/>
    <w:rsid w:val="000C1376"/>
    <w:rsid w:val="000C13D5"/>
    <w:rsid w:val="000C140F"/>
    <w:rsid w:val="000C14B3"/>
    <w:rsid w:val="000C14F9"/>
    <w:rsid w:val="000C19A8"/>
    <w:rsid w:val="000C19B7"/>
    <w:rsid w:val="000C1B60"/>
    <w:rsid w:val="000C1E05"/>
    <w:rsid w:val="000C1E4E"/>
    <w:rsid w:val="000C1F2B"/>
    <w:rsid w:val="000C1F2F"/>
    <w:rsid w:val="000C2071"/>
    <w:rsid w:val="000C20A9"/>
    <w:rsid w:val="000C22B5"/>
    <w:rsid w:val="000C2434"/>
    <w:rsid w:val="000C2473"/>
    <w:rsid w:val="000C2533"/>
    <w:rsid w:val="000C26D6"/>
    <w:rsid w:val="000C270C"/>
    <w:rsid w:val="000C2814"/>
    <w:rsid w:val="000C2881"/>
    <w:rsid w:val="000C2AEE"/>
    <w:rsid w:val="000C2D3D"/>
    <w:rsid w:val="000C2DFD"/>
    <w:rsid w:val="000C2FE2"/>
    <w:rsid w:val="000C339A"/>
    <w:rsid w:val="000C33B8"/>
    <w:rsid w:val="000C3418"/>
    <w:rsid w:val="000C34F4"/>
    <w:rsid w:val="000C3561"/>
    <w:rsid w:val="000C3683"/>
    <w:rsid w:val="000C3764"/>
    <w:rsid w:val="000C379F"/>
    <w:rsid w:val="000C3896"/>
    <w:rsid w:val="000C3A6A"/>
    <w:rsid w:val="000C3B17"/>
    <w:rsid w:val="000C3CF3"/>
    <w:rsid w:val="000C3D48"/>
    <w:rsid w:val="000C3ED1"/>
    <w:rsid w:val="000C419C"/>
    <w:rsid w:val="000C4616"/>
    <w:rsid w:val="000C488B"/>
    <w:rsid w:val="000C4C82"/>
    <w:rsid w:val="000C4CE8"/>
    <w:rsid w:val="000C4E38"/>
    <w:rsid w:val="000C4EDB"/>
    <w:rsid w:val="000C5051"/>
    <w:rsid w:val="000C528F"/>
    <w:rsid w:val="000C564B"/>
    <w:rsid w:val="000C57BD"/>
    <w:rsid w:val="000C57EF"/>
    <w:rsid w:val="000C57F8"/>
    <w:rsid w:val="000C592F"/>
    <w:rsid w:val="000C5987"/>
    <w:rsid w:val="000C5B64"/>
    <w:rsid w:val="000C5CB8"/>
    <w:rsid w:val="000C5CE4"/>
    <w:rsid w:val="000C5CF9"/>
    <w:rsid w:val="000C5E6A"/>
    <w:rsid w:val="000C5FF6"/>
    <w:rsid w:val="000C6199"/>
    <w:rsid w:val="000C65FC"/>
    <w:rsid w:val="000C6693"/>
    <w:rsid w:val="000C6725"/>
    <w:rsid w:val="000C679A"/>
    <w:rsid w:val="000C685B"/>
    <w:rsid w:val="000C6957"/>
    <w:rsid w:val="000C69D9"/>
    <w:rsid w:val="000C6AC5"/>
    <w:rsid w:val="000C6C1C"/>
    <w:rsid w:val="000C6CAF"/>
    <w:rsid w:val="000C6F1E"/>
    <w:rsid w:val="000C7506"/>
    <w:rsid w:val="000C75F3"/>
    <w:rsid w:val="000C77AB"/>
    <w:rsid w:val="000C78E0"/>
    <w:rsid w:val="000C7AC6"/>
    <w:rsid w:val="000C7B1F"/>
    <w:rsid w:val="000C7B61"/>
    <w:rsid w:val="000C7E52"/>
    <w:rsid w:val="000C7F50"/>
    <w:rsid w:val="000D0102"/>
    <w:rsid w:val="000D0251"/>
    <w:rsid w:val="000D0337"/>
    <w:rsid w:val="000D03F5"/>
    <w:rsid w:val="000D04AB"/>
    <w:rsid w:val="000D0687"/>
    <w:rsid w:val="000D06E4"/>
    <w:rsid w:val="000D08F2"/>
    <w:rsid w:val="000D0A3E"/>
    <w:rsid w:val="000D0AE9"/>
    <w:rsid w:val="000D0B15"/>
    <w:rsid w:val="000D0CE2"/>
    <w:rsid w:val="000D0E03"/>
    <w:rsid w:val="000D0E22"/>
    <w:rsid w:val="000D0EAD"/>
    <w:rsid w:val="000D1026"/>
    <w:rsid w:val="000D1040"/>
    <w:rsid w:val="000D1460"/>
    <w:rsid w:val="000D1508"/>
    <w:rsid w:val="000D1850"/>
    <w:rsid w:val="000D18C3"/>
    <w:rsid w:val="000D1922"/>
    <w:rsid w:val="000D1A26"/>
    <w:rsid w:val="000D1B14"/>
    <w:rsid w:val="000D1EB0"/>
    <w:rsid w:val="000D1F35"/>
    <w:rsid w:val="000D2194"/>
    <w:rsid w:val="000D2266"/>
    <w:rsid w:val="000D2384"/>
    <w:rsid w:val="000D2394"/>
    <w:rsid w:val="000D248B"/>
    <w:rsid w:val="000D24A6"/>
    <w:rsid w:val="000D24E6"/>
    <w:rsid w:val="000D258B"/>
    <w:rsid w:val="000D27DB"/>
    <w:rsid w:val="000D28B2"/>
    <w:rsid w:val="000D2C4D"/>
    <w:rsid w:val="000D2D58"/>
    <w:rsid w:val="000D2D6C"/>
    <w:rsid w:val="000D2ECB"/>
    <w:rsid w:val="000D2F04"/>
    <w:rsid w:val="000D2F61"/>
    <w:rsid w:val="000D31B4"/>
    <w:rsid w:val="000D3222"/>
    <w:rsid w:val="000D32F1"/>
    <w:rsid w:val="000D3385"/>
    <w:rsid w:val="000D3564"/>
    <w:rsid w:val="000D35EC"/>
    <w:rsid w:val="000D382A"/>
    <w:rsid w:val="000D3887"/>
    <w:rsid w:val="000D3888"/>
    <w:rsid w:val="000D38CF"/>
    <w:rsid w:val="000D3D91"/>
    <w:rsid w:val="000D3E0B"/>
    <w:rsid w:val="000D3E34"/>
    <w:rsid w:val="000D3E76"/>
    <w:rsid w:val="000D3EA9"/>
    <w:rsid w:val="000D4050"/>
    <w:rsid w:val="000D409C"/>
    <w:rsid w:val="000D40EF"/>
    <w:rsid w:val="000D4206"/>
    <w:rsid w:val="000D423F"/>
    <w:rsid w:val="000D42E4"/>
    <w:rsid w:val="000D4315"/>
    <w:rsid w:val="000D442C"/>
    <w:rsid w:val="000D44FB"/>
    <w:rsid w:val="000D45EC"/>
    <w:rsid w:val="000D4778"/>
    <w:rsid w:val="000D495F"/>
    <w:rsid w:val="000D4A9D"/>
    <w:rsid w:val="000D4BE4"/>
    <w:rsid w:val="000D4CB9"/>
    <w:rsid w:val="000D4F36"/>
    <w:rsid w:val="000D516C"/>
    <w:rsid w:val="000D51DB"/>
    <w:rsid w:val="000D5379"/>
    <w:rsid w:val="000D544D"/>
    <w:rsid w:val="000D5587"/>
    <w:rsid w:val="000D5670"/>
    <w:rsid w:val="000D56AF"/>
    <w:rsid w:val="000D570E"/>
    <w:rsid w:val="000D572E"/>
    <w:rsid w:val="000D5745"/>
    <w:rsid w:val="000D5804"/>
    <w:rsid w:val="000D58F9"/>
    <w:rsid w:val="000D58FB"/>
    <w:rsid w:val="000D5911"/>
    <w:rsid w:val="000D5975"/>
    <w:rsid w:val="000D59AE"/>
    <w:rsid w:val="000D5B3D"/>
    <w:rsid w:val="000D5B7F"/>
    <w:rsid w:val="000D5BE4"/>
    <w:rsid w:val="000D5C2A"/>
    <w:rsid w:val="000D5E1A"/>
    <w:rsid w:val="000D5E60"/>
    <w:rsid w:val="000D5FB0"/>
    <w:rsid w:val="000D60F2"/>
    <w:rsid w:val="000D6257"/>
    <w:rsid w:val="000D67B1"/>
    <w:rsid w:val="000D6813"/>
    <w:rsid w:val="000D6A77"/>
    <w:rsid w:val="000D6C20"/>
    <w:rsid w:val="000D6C30"/>
    <w:rsid w:val="000D6EDD"/>
    <w:rsid w:val="000D6FFB"/>
    <w:rsid w:val="000D72C9"/>
    <w:rsid w:val="000D741A"/>
    <w:rsid w:val="000D7603"/>
    <w:rsid w:val="000D78A1"/>
    <w:rsid w:val="000D7908"/>
    <w:rsid w:val="000D7917"/>
    <w:rsid w:val="000D79C9"/>
    <w:rsid w:val="000D7A62"/>
    <w:rsid w:val="000D7B2A"/>
    <w:rsid w:val="000D7C3D"/>
    <w:rsid w:val="000D7C62"/>
    <w:rsid w:val="000D7CAB"/>
    <w:rsid w:val="000D7D55"/>
    <w:rsid w:val="000E02D0"/>
    <w:rsid w:val="000E02D8"/>
    <w:rsid w:val="000E0426"/>
    <w:rsid w:val="000E0518"/>
    <w:rsid w:val="000E062B"/>
    <w:rsid w:val="000E08BC"/>
    <w:rsid w:val="000E0A64"/>
    <w:rsid w:val="000E0C58"/>
    <w:rsid w:val="000E0C89"/>
    <w:rsid w:val="000E0ED0"/>
    <w:rsid w:val="000E0F0E"/>
    <w:rsid w:val="000E0F60"/>
    <w:rsid w:val="000E0F8D"/>
    <w:rsid w:val="000E122F"/>
    <w:rsid w:val="000E1380"/>
    <w:rsid w:val="000E14DF"/>
    <w:rsid w:val="000E14EF"/>
    <w:rsid w:val="000E157E"/>
    <w:rsid w:val="000E169B"/>
    <w:rsid w:val="000E18D0"/>
    <w:rsid w:val="000E1B23"/>
    <w:rsid w:val="000E1DA5"/>
    <w:rsid w:val="000E1DE4"/>
    <w:rsid w:val="000E1F08"/>
    <w:rsid w:val="000E1F26"/>
    <w:rsid w:val="000E1FF4"/>
    <w:rsid w:val="000E20C7"/>
    <w:rsid w:val="000E2179"/>
    <w:rsid w:val="000E2937"/>
    <w:rsid w:val="000E29B8"/>
    <w:rsid w:val="000E2AD9"/>
    <w:rsid w:val="000E2B25"/>
    <w:rsid w:val="000E2B72"/>
    <w:rsid w:val="000E2C1F"/>
    <w:rsid w:val="000E2E5B"/>
    <w:rsid w:val="000E2FCD"/>
    <w:rsid w:val="000E30F5"/>
    <w:rsid w:val="000E310D"/>
    <w:rsid w:val="000E3188"/>
    <w:rsid w:val="000E3204"/>
    <w:rsid w:val="000E3212"/>
    <w:rsid w:val="000E3232"/>
    <w:rsid w:val="000E36E4"/>
    <w:rsid w:val="000E376C"/>
    <w:rsid w:val="000E37A4"/>
    <w:rsid w:val="000E38A7"/>
    <w:rsid w:val="000E38D3"/>
    <w:rsid w:val="000E39D0"/>
    <w:rsid w:val="000E3A12"/>
    <w:rsid w:val="000E3B1A"/>
    <w:rsid w:val="000E3DC4"/>
    <w:rsid w:val="000E3E66"/>
    <w:rsid w:val="000E4006"/>
    <w:rsid w:val="000E401B"/>
    <w:rsid w:val="000E4024"/>
    <w:rsid w:val="000E407C"/>
    <w:rsid w:val="000E4089"/>
    <w:rsid w:val="000E43F3"/>
    <w:rsid w:val="000E4716"/>
    <w:rsid w:val="000E47FC"/>
    <w:rsid w:val="000E486E"/>
    <w:rsid w:val="000E4EB1"/>
    <w:rsid w:val="000E4F5D"/>
    <w:rsid w:val="000E4F6B"/>
    <w:rsid w:val="000E4FC5"/>
    <w:rsid w:val="000E4FF7"/>
    <w:rsid w:val="000E5017"/>
    <w:rsid w:val="000E5095"/>
    <w:rsid w:val="000E5175"/>
    <w:rsid w:val="000E5178"/>
    <w:rsid w:val="000E52AC"/>
    <w:rsid w:val="000E53A7"/>
    <w:rsid w:val="000E546A"/>
    <w:rsid w:val="000E548A"/>
    <w:rsid w:val="000E56A9"/>
    <w:rsid w:val="000E5760"/>
    <w:rsid w:val="000E58B0"/>
    <w:rsid w:val="000E58D7"/>
    <w:rsid w:val="000E58D9"/>
    <w:rsid w:val="000E5940"/>
    <w:rsid w:val="000E5966"/>
    <w:rsid w:val="000E5A6C"/>
    <w:rsid w:val="000E5B0C"/>
    <w:rsid w:val="000E5C86"/>
    <w:rsid w:val="000E5E38"/>
    <w:rsid w:val="000E5EC3"/>
    <w:rsid w:val="000E6331"/>
    <w:rsid w:val="000E6522"/>
    <w:rsid w:val="000E654C"/>
    <w:rsid w:val="000E6563"/>
    <w:rsid w:val="000E677C"/>
    <w:rsid w:val="000E67F5"/>
    <w:rsid w:val="000E687F"/>
    <w:rsid w:val="000E6928"/>
    <w:rsid w:val="000E6A51"/>
    <w:rsid w:val="000E6A6C"/>
    <w:rsid w:val="000E6C02"/>
    <w:rsid w:val="000E6CC2"/>
    <w:rsid w:val="000E6DFC"/>
    <w:rsid w:val="000E6FCD"/>
    <w:rsid w:val="000E7260"/>
    <w:rsid w:val="000E72E7"/>
    <w:rsid w:val="000E7376"/>
    <w:rsid w:val="000E7378"/>
    <w:rsid w:val="000E73B5"/>
    <w:rsid w:val="000E7599"/>
    <w:rsid w:val="000E78C4"/>
    <w:rsid w:val="000F001E"/>
    <w:rsid w:val="000F0193"/>
    <w:rsid w:val="000F05EB"/>
    <w:rsid w:val="000F06E4"/>
    <w:rsid w:val="000F07D6"/>
    <w:rsid w:val="000F0D8F"/>
    <w:rsid w:val="000F0F1E"/>
    <w:rsid w:val="000F0FF9"/>
    <w:rsid w:val="000F1005"/>
    <w:rsid w:val="000F1030"/>
    <w:rsid w:val="000F103D"/>
    <w:rsid w:val="000F1168"/>
    <w:rsid w:val="000F129F"/>
    <w:rsid w:val="000F159F"/>
    <w:rsid w:val="000F1621"/>
    <w:rsid w:val="000F1749"/>
    <w:rsid w:val="000F1A6C"/>
    <w:rsid w:val="000F1C11"/>
    <w:rsid w:val="000F1C2B"/>
    <w:rsid w:val="000F1D34"/>
    <w:rsid w:val="000F1EBE"/>
    <w:rsid w:val="000F1F6E"/>
    <w:rsid w:val="000F1F81"/>
    <w:rsid w:val="000F2022"/>
    <w:rsid w:val="000F209A"/>
    <w:rsid w:val="000F21C7"/>
    <w:rsid w:val="000F25EA"/>
    <w:rsid w:val="000F2647"/>
    <w:rsid w:val="000F2729"/>
    <w:rsid w:val="000F2812"/>
    <w:rsid w:val="000F2B56"/>
    <w:rsid w:val="000F2C95"/>
    <w:rsid w:val="000F2E4C"/>
    <w:rsid w:val="000F2F08"/>
    <w:rsid w:val="000F2FB5"/>
    <w:rsid w:val="000F3044"/>
    <w:rsid w:val="000F3074"/>
    <w:rsid w:val="000F323E"/>
    <w:rsid w:val="000F3283"/>
    <w:rsid w:val="000F3493"/>
    <w:rsid w:val="000F364A"/>
    <w:rsid w:val="000F384B"/>
    <w:rsid w:val="000F3990"/>
    <w:rsid w:val="000F39EC"/>
    <w:rsid w:val="000F3B54"/>
    <w:rsid w:val="000F3B73"/>
    <w:rsid w:val="000F3B95"/>
    <w:rsid w:val="000F3C08"/>
    <w:rsid w:val="000F3FF1"/>
    <w:rsid w:val="000F42E8"/>
    <w:rsid w:val="000F43FE"/>
    <w:rsid w:val="000F4620"/>
    <w:rsid w:val="000F46EA"/>
    <w:rsid w:val="000F4818"/>
    <w:rsid w:val="000F48A3"/>
    <w:rsid w:val="000F48E0"/>
    <w:rsid w:val="000F4A96"/>
    <w:rsid w:val="000F4C10"/>
    <w:rsid w:val="000F4D61"/>
    <w:rsid w:val="000F4EDA"/>
    <w:rsid w:val="000F500E"/>
    <w:rsid w:val="000F500F"/>
    <w:rsid w:val="000F5296"/>
    <w:rsid w:val="000F5350"/>
    <w:rsid w:val="000F5374"/>
    <w:rsid w:val="000F537C"/>
    <w:rsid w:val="000F57E8"/>
    <w:rsid w:val="000F58E3"/>
    <w:rsid w:val="000F5912"/>
    <w:rsid w:val="000F5A37"/>
    <w:rsid w:val="000F5BD6"/>
    <w:rsid w:val="000F5C24"/>
    <w:rsid w:val="000F5E40"/>
    <w:rsid w:val="000F5EFD"/>
    <w:rsid w:val="000F5F54"/>
    <w:rsid w:val="000F5F80"/>
    <w:rsid w:val="000F6078"/>
    <w:rsid w:val="000F6371"/>
    <w:rsid w:val="000F657B"/>
    <w:rsid w:val="000F6776"/>
    <w:rsid w:val="000F6977"/>
    <w:rsid w:val="000F6AAC"/>
    <w:rsid w:val="000F6B05"/>
    <w:rsid w:val="000F6B49"/>
    <w:rsid w:val="000F6B57"/>
    <w:rsid w:val="000F6C21"/>
    <w:rsid w:val="000F6DB6"/>
    <w:rsid w:val="000F6F6B"/>
    <w:rsid w:val="000F735F"/>
    <w:rsid w:val="000F7474"/>
    <w:rsid w:val="000F752D"/>
    <w:rsid w:val="000F78D1"/>
    <w:rsid w:val="000F7909"/>
    <w:rsid w:val="000F7955"/>
    <w:rsid w:val="000F7972"/>
    <w:rsid w:val="000F7AF1"/>
    <w:rsid w:val="000F7AFA"/>
    <w:rsid w:val="000F7B44"/>
    <w:rsid w:val="000F7BD1"/>
    <w:rsid w:val="000F7C79"/>
    <w:rsid w:val="000F7EB5"/>
    <w:rsid w:val="000F7EC6"/>
    <w:rsid w:val="000F7FE7"/>
    <w:rsid w:val="00100205"/>
    <w:rsid w:val="00100293"/>
    <w:rsid w:val="0010035F"/>
    <w:rsid w:val="001004B2"/>
    <w:rsid w:val="001005FC"/>
    <w:rsid w:val="0010064A"/>
    <w:rsid w:val="00100682"/>
    <w:rsid w:val="00100689"/>
    <w:rsid w:val="00100780"/>
    <w:rsid w:val="00100974"/>
    <w:rsid w:val="00100C86"/>
    <w:rsid w:val="00100DA6"/>
    <w:rsid w:val="00101082"/>
    <w:rsid w:val="001010BD"/>
    <w:rsid w:val="001011DF"/>
    <w:rsid w:val="00101347"/>
    <w:rsid w:val="001013B3"/>
    <w:rsid w:val="001014F9"/>
    <w:rsid w:val="00101609"/>
    <w:rsid w:val="0010164B"/>
    <w:rsid w:val="001017BE"/>
    <w:rsid w:val="001018FC"/>
    <w:rsid w:val="00101A56"/>
    <w:rsid w:val="00101ACF"/>
    <w:rsid w:val="00101B27"/>
    <w:rsid w:val="00101B31"/>
    <w:rsid w:val="00101E41"/>
    <w:rsid w:val="00101E87"/>
    <w:rsid w:val="00101EC8"/>
    <w:rsid w:val="001020A5"/>
    <w:rsid w:val="00102198"/>
    <w:rsid w:val="00102319"/>
    <w:rsid w:val="0010246E"/>
    <w:rsid w:val="00102586"/>
    <w:rsid w:val="001025B9"/>
    <w:rsid w:val="001025F2"/>
    <w:rsid w:val="001025FF"/>
    <w:rsid w:val="0010265A"/>
    <w:rsid w:val="001026DD"/>
    <w:rsid w:val="0010277C"/>
    <w:rsid w:val="00102968"/>
    <w:rsid w:val="00102B65"/>
    <w:rsid w:val="00102BE8"/>
    <w:rsid w:val="00102D3D"/>
    <w:rsid w:val="00103021"/>
    <w:rsid w:val="0010311F"/>
    <w:rsid w:val="001032E6"/>
    <w:rsid w:val="00103601"/>
    <w:rsid w:val="001036CF"/>
    <w:rsid w:val="00103A37"/>
    <w:rsid w:val="00103BDC"/>
    <w:rsid w:val="00103E17"/>
    <w:rsid w:val="00103F69"/>
    <w:rsid w:val="00104058"/>
    <w:rsid w:val="001042D5"/>
    <w:rsid w:val="001042D9"/>
    <w:rsid w:val="001044AF"/>
    <w:rsid w:val="00104680"/>
    <w:rsid w:val="00104749"/>
    <w:rsid w:val="0010498E"/>
    <w:rsid w:val="001049E5"/>
    <w:rsid w:val="00104AEA"/>
    <w:rsid w:val="00104C41"/>
    <w:rsid w:val="00105028"/>
    <w:rsid w:val="001050A8"/>
    <w:rsid w:val="001051A2"/>
    <w:rsid w:val="001053B4"/>
    <w:rsid w:val="00105475"/>
    <w:rsid w:val="00105514"/>
    <w:rsid w:val="00105689"/>
    <w:rsid w:val="0010568F"/>
    <w:rsid w:val="00105777"/>
    <w:rsid w:val="001058BA"/>
    <w:rsid w:val="00105AF2"/>
    <w:rsid w:val="00105B90"/>
    <w:rsid w:val="00105B9E"/>
    <w:rsid w:val="00105BC4"/>
    <w:rsid w:val="00106053"/>
    <w:rsid w:val="001061B3"/>
    <w:rsid w:val="00106684"/>
    <w:rsid w:val="0010676B"/>
    <w:rsid w:val="0010696E"/>
    <w:rsid w:val="00106975"/>
    <w:rsid w:val="001069BD"/>
    <w:rsid w:val="001069EB"/>
    <w:rsid w:val="00106AB2"/>
    <w:rsid w:val="00106C4C"/>
    <w:rsid w:val="00106C70"/>
    <w:rsid w:val="00106CB5"/>
    <w:rsid w:val="00106D55"/>
    <w:rsid w:val="00106E27"/>
    <w:rsid w:val="00106EB8"/>
    <w:rsid w:val="00107188"/>
    <w:rsid w:val="00107362"/>
    <w:rsid w:val="0010741D"/>
    <w:rsid w:val="001074FD"/>
    <w:rsid w:val="00107821"/>
    <w:rsid w:val="00107851"/>
    <w:rsid w:val="001078A7"/>
    <w:rsid w:val="001079A5"/>
    <w:rsid w:val="00107A7F"/>
    <w:rsid w:val="00107CCB"/>
    <w:rsid w:val="00107DB4"/>
    <w:rsid w:val="00107F89"/>
    <w:rsid w:val="00110068"/>
    <w:rsid w:val="001100B0"/>
    <w:rsid w:val="00110268"/>
    <w:rsid w:val="001104CA"/>
    <w:rsid w:val="001106E6"/>
    <w:rsid w:val="00110797"/>
    <w:rsid w:val="0011092B"/>
    <w:rsid w:val="00110AAB"/>
    <w:rsid w:val="00110ADE"/>
    <w:rsid w:val="00110B60"/>
    <w:rsid w:val="00110CA2"/>
    <w:rsid w:val="00110CE8"/>
    <w:rsid w:val="00111019"/>
    <w:rsid w:val="00111043"/>
    <w:rsid w:val="001110B7"/>
    <w:rsid w:val="00111176"/>
    <w:rsid w:val="001111BE"/>
    <w:rsid w:val="001113E8"/>
    <w:rsid w:val="00111527"/>
    <w:rsid w:val="001116FC"/>
    <w:rsid w:val="001118BE"/>
    <w:rsid w:val="00111A08"/>
    <w:rsid w:val="00111A72"/>
    <w:rsid w:val="00111ABD"/>
    <w:rsid w:val="00111B2E"/>
    <w:rsid w:val="00111CDA"/>
    <w:rsid w:val="00111D27"/>
    <w:rsid w:val="00111E43"/>
    <w:rsid w:val="00111F4F"/>
    <w:rsid w:val="00112117"/>
    <w:rsid w:val="00112127"/>
    <w:rsid w:val="0011222C"/>
    <w:rsid w:val="00112499"/>
    <w:rsid w:val="001124A6"/>
    <w:rsid w:val="001125B0"/>
    <w:rsid w:val="00112646"/>
    <w:rsid w:val="001126A7"/>
    <w:rsid w:val="00112761"/>
    <w:rsid w:val="00112A7D"/>
    <w:rsid w:val="00112ABF"/>
    <w:rsid w:val="00112B76"/>
    <w:rsid w:val="001131C4"/>
    <w:rsid w:val="00113236"/>
    <w:rsid w:val="001134D5"/>
    <w:rsid w:val="0011361A"/>
    <w:rsid w:val="00113622"/>
    <w:rsid w:val="001137E4"/>
    <w:rsid w:val="001137EB"/>
    <w:rsid w:val="00113840"/>
    <w:rsid w:val="0011389F"/>
    <w:rsid w:val="0011399A"/>
    <w:rsid w:val="00113A09"/>
    <w:rsid w:val="00113AAA"/>
    <w:rsid w:val="001140FC"/>
    <w:rsid w:val="00114424"/>
    <w:rsid w:val="001144AE"/>
    <w:rsid w:val="0011455A"/>
    <w:rsid w:val="001146BA"/>
    <w:rsid w:val="00114824"/>
    <w:rsid w:val="001149B8"/>
    <w:rsid w:val="00114C18"/>
    <w:rsid w:val="00114E4B"/>
    <w:rsid w:val="001151CE"/>
    <w:rsid w:val="00115368"/>
    <w:rsid w:val="001154D6"/>
    <w:rsid w:val="00115647"/>
    <w:rsid w:val="001156CF"/>
    <w:rsid w:val="0011574A"/>
    <w:rsid w:val="00115790"/>
    <w:rsid w:val="001157B5"/>
    <w:rsid w:val="00115CA6"/>
    <w:rsid w:val="00115CEA"/>
    <w:rsid w:val="001160B8"/>
    <w:rsid w:val="001160D5"/>
    <w:rsid w:val="00116221"/>
    <w:rsid w:val="0011632F"/>
    <w:rsid w:val="00116371"/>
    <w:rsid w:val="00116489"/>
    <w:rsid w:val="001165BD"/>
    <w:rsid w:val="00116926"/>
    <w:rsid w:val="00116A0B"/>
    <w:rsid w:val="00116A77"/>
    <w:rsid w:val="00116AE1"/>
    <w:rsid w:val="00116BC6"/>
    <w:rsid w:val="00116D21"/>
    <w:rsid w:val="00116D9C"/>
    <w:rsid w:val="00116E38"/>
    <w:rsid w:val="00116F9C"/>
    <w:rsid w:val="00116FAC"/>
    <w:rsid w:val="00117092"/>
    <w:rsid w:val="0011714E"/>
    <w:rsid w:val="001173CD"/>
    <w:rsid w:val="001175A9"/>
    <w:rsid w:val="0011766C"/>
    <w:rsid w:val="0011776C"/>
    <w:rsid w:val="00117772"/>
    <w:rsid w:val="00117856"/>
    <w:rsid w:val="0011785A"/>
    <w:rsid w:val="00117D18"/>
    <w:rsid w:val="00117E84"/>
    <w:rsid w:val="00117F54"/>
    <w:rsid w:val="00117FC4"/>
    <w:rsid w:val="00120015"/>
    <w:rsid w:val="00120039"/>
    <w:rsid w:val="0012008B"/>
    <w:rsid w:val="0012016F"/>
    <w:rsid w:val="001205EC"/>
    <w:rsid w:val="00120773"/>
    <w:rsid w:val="0012080D"/>
    <w:rsid w:val="0012084A"/>
    <w:rsid w:val="00120966"/>
    <w:rsid w:val="00120AAD"/>
    <w:rsid w:val="00120AFC"/>
    <w:rsid w:val="00120AFD"/>
    <w:rsid w:val="00120BFE"/>
    <w:rsid w:val="00120CC6"/>
    <w:rsid w:val="00120DEA"/>
    <w:rsid w:val="00120F12"/>
    <w:rsid w:val="001210A3"/>
    <w:rsid w:val="0012146F"/>
    <w:rsid w:val="001214A3"/>
    <w:rsid w:val="001214CF"/>
    <w:rsid w:val="00121527"/>
    <w:rsid w:val="001216DA"/>
    <w:rsid w:val="0012190D"/>
    <w:rsid w:val="00121A56"/>
    <w:rsid w:val="00121B05"/>
    <w:rsid w:val="00121CD5"/>
    <w:rsid w:val="00121D00"/>
    <w:rsid w:val="00121D74"/>
    <w:rsid w:val="00122261"/>
    <w:rsid w:val="001222AE"/>
    <w:rsid w:val="001223D1"/>
    <w:rsid w:val="00122412"/>
    <w:rsid w:val="00122469"/>
    <w:rsid w:val="00122581"/>
    <w:rsid w:val="00122585"/>
    <w:rsid w:val="001227B0"/>
    <w:rsid w:val="00122ADF"/>
    <w:rsid w:val="00122B2E"/>
    <w:rsid w:val="00122D8F"/>
    <w:rsid w:val="00122F45"/>
    <w:rsid w:val="00122F7F"/>
    <w:rsid w:val="001231F6"/>
    <w:rsid w:val="00123218"/>
    <w:rsid w:val="0012322B"/>
    <w:rsid w:val="00123342"/>
    <w:rsid w:val="00123386"/>
    <w:rsid w:val="00123419"/>
    <w:rsid w:val="00123710"/>
    <w:rsid w:val="00123817"/>
    <w:rsid w:val="001238D8"/>
    <w:rsid w:val="001239C1"/>
    <w:rsid w:val="00123A6A"/>
    <w:rsid w:val="00123C02"/>
    <w:rsid w:val="00123CA8"/>
    <w:rsid w:val="00123CDA"/>
    <w:rsid w:val="00123DF2"/>
    <w:rsid w:val="00123E4F"/>
    <w:rsid w:val="00123F8F"/>
    <w:rsid w:val="00124294"/>
    <w:rsid w:val="00124428"/>
    <w:rsid w:val="001244EB"/>
    <w:rsid w:val="00124531"/>
    <w:rsid w:val="00124671"/>
    <w:rsid w:val="00124691"/>
    <w:rsid w:val="00124791"/>
    <w:rsid w:val="00124793"/>
    <w:rsid w:val="001247D0"/>
    <w:rsid w:val="0012488E"/>
    <w:rsid w:val="00124A4D"/>
    <w:rsid w:val="00124B0C"/>
    <w:rsid w:val="00124B1B"/>
    <w:rsid w:val="00124C4C"/>
    <w:rsid w:val="00124C7F"/>
    <w:rsid w:val="00124D1D"/>
    <w:rsid w:val="00124D4E"/>
    <w:rsid w:val="00124D85"/>
    <w:rsid w:val="00124DBE"/>
    <w:rsid w:val="0012507B"/>
    <w:rsid w:val="00125090"/>
    <w:rsid w:val="00125405"/>
    <w:rsid w:val="001254E3"/>
    <w:rsid w:val="0012551E"/>
    <w:rsid w:val="00125590"/>
    <w:rsid w:val="00125760"/>
    <w:rsid w:val="00125A3C"/>
    <w:rsid w:val="00125AB2"/>
    <w:rsid w:val="00125B02"/>
    <w:rsid w:val="00125BBB"/>
    <w:rsid w:val="00125F68"/>
    <w:rsid w:val="001260EC"/>
    <w:rsid w:val="00126145"/>
    <w:rsid w:val="0012616B"/>
    <w:rsid w:val="00126194"/>
    <w:rsid w:val="001261D8"/>
    <w:rsid w:val="00126517"/>
    <w:rsid w:val="0012680A"/>
    <w:rsid w:val="0012685B"/>
    <w:rsid w:val="00126896"/>
    <w:rsid w:val="00126C04"/>
    <w:rsid w:val="00126E31"/>
    <w:rsid w:val="00126ED1"/>
    <w:rsid w:val="00126ED4"/>
    <w:rsid w:val="00127068"/>
    <w:rsid w:val="0012729A"/>
    <w:rsid w:val="001272AA"/>
    <w:rsid w:val="001274EE"/>
    <w:rsid w:val="001275A6"/>
    <w:rsid w:val="001276B0"/>
    <w:rsid w:val="00127817"/>
    <w:rsid w:val="00127B74"/>
    <w:rsid w:val="00127C56"/>
    <w:rsid w:val="00127D63"/>
    <w:rsid w:val="00127E0B"/>
    <w:rsid w:val="00127E9E"/>
    <w:rsid w:val="00127FE7"/>
    <w:rsid w:val="00130157"/>
    <w:rsid w:val="001306F9"/>
    <w:rsid w:val="001308B4"/>
    <w:rsid w:val="001309CE"/>
    <w:rsid w:val="00130A41"/>
    <w:rsid w:val="00130CD4"/>
    <w:rsid w:val="00130D13"/>
    <w:rsid w:val="00130D5B"/>
    <w:rsid w:val="00130DA1"/>
    <w:rsid w:val="00130DCE"/>
    <w:rsid w:val="00130E28"/>
    <w:rsid w:val="0013106A"/>
    <w:rsid w:val="001310C5"/>
    <w:rsid w:val="00131100"/>
    <w:rsid w:val="001311CB"/>
    <w:rsid w:val="0013129A"/>
    <w:rsid w:val="001315D0"/>
    <w:rsid w:val="00131715"/>
    <w:rsid w:val="0013174F"/>
    <w:rsid w:val="00131856"/>
    <w:rsid w:val="0013194C"/>
    <w:rsid w:val="00131964"/>
    <w:rsid w:val="00131A3C"/>
    <w:rsid w:val="00131AE8"/>
    <w:rsid w:val="00131CE3"/>
    <w:rsid w:val="00131DEE"/>
    <w:rsid w:val="00131EDA"/>
    <w:rsid w:val="00131F29"/>
    <w:rsid w:val="00132094"/>
    <w:rsid w:val="0013225F"/>
    <w:rsid w:val="001322F3"/>
    <w:rsid w:val="0013262B"/>
    <w:rsid w:val="00132646"/>
    <w:rsid w:val="00132815"/>
    <w:rsid w:val="0013281D"/>
    <w:rsid w:val="00132B30"/>
    <w:rsid w:val="00132BC3"/>
    <w:rsid w:val="00132D4C"/>
    <w:rsid w:val="00132DA8"/>
    <w:rsid w:val="00132EF5"/>
    <w:rsid w:val="00132F75"/>
    <w:rsid w:val="00132F7C"/>
    <w:rsid w:val="00132FA4"/>
    <w:rsid w:val="00132FFE"/>
    <w:rsid w:val="0013316B"/>
    <w:rsid w:val="00133195"/>
    <w:rsid w:val="00133199"/>
    <w:rsid w:val="0013331D"/>
    <w:rsid w:val="001334D0"/>
    <w:rsid w:val="00133591"/>
    <w:rsid w:val="0013387D"/>
    <w:rsid w:val="00133A4F"/>
    <w:rsid w:val="00133A71"/>
    <w:rsid w:val="00133C10"/>
    <w:rsid w:val="00133C36"/>
    <w:rsid w:val="00133CA6"/>
    <w:rsid w:val="00133D53"/>
    <w:rsid w:val="00133E41"/>
    <w:rsid w:val="00133E98"/>
    <w:rsid w:val="0013402C"/>
    <w:rsid w:val="0013417F"/>
    <w:rsid w:val="001341DC"/>
    <w:rsid w:val="001341FE"/>
    <w:rsid w:val="001342EA"/>
    <w:rsid w:val="00134321"/>
    <w:rsid w:val="00134402"/>
    <w:rsid w:val="00134516"/>
    <w:rsid w:val="00134718"/>
    <w:rsid w:val="00134B58"/>
    <w:rsid w:val="00134B79"/>
    <w:rsid w:val="00134BBA"/>
    <w:rsid w:val="00134DCE"/>
    <w:rsid w:val="00134F5C"/>
    <w:rsid w:val="00134F83"/>
    <w:rsid w:val="00135008"/>
    <w:rsid w:val="001350FE"/>
    <w:rsid w:val="001351FA"/>
    <w:rsid w:val="001352D0"/>
    <w:rsid w:val="001352EA"/>
    <w:rsid w:val="001353B6"/>
    <w:rsid w:val="0013549C"/>
    <w:rsid w:val="001358F6"/>
    <w:rsid w:val="00135C67"/>
    <w:rsid w:val="00135E2B"/>
    <w:rsid w:val="00135E41"/>
    <w:rsid w:val="00135F4E"/>
    <w:rsid w:val="00135FEF"/>
    <w:rsid w:val="001362B0"/>
    <w:rsid w:val="0013633F"/>
    <w:rsid w:val="001364AF"/>
    <w:rsid w:val="00136527"/>
    <w:rsid w:val="001365B3"/>
    <w:rsid w:val="00136621"/>
    <w:rsid w:val="001367BB"/>
    <w:rsid w:val="00136892"/>
    <w:rsid w:val="001369B6"/>
    <w:rsid w:val="00136B96"/>
    <w:rsid w:val="00136C1D"/>
    <w:rsid w:val="00136E03"/>
    <w:rsid w:val="00136E95"/>
    <w:rsid w:val="0013716C"/>
    <w:rsid w:val="00137243"/>
    <w:rsid w:val="0013728A"/>
    <w:rsid w:val="001372A3"/>
    <w:rsid w:val="001372B7"/>
    <w:rsid w:val="001372E7"/>
    <w:rsid w:val="0013737A"/>
    <w:rsid w:val="001375C3"/>
    <w:rsid w:val="00137661"/>
    <w:rsid w:val="0013770C"/>
    <w:rsid w:val="001377EC"/>
    <w:rsid w:val="0013784E"/>
    <w:rsid w:val="001378B5"/>
    <w:rsid w:val="001378F3"/>
    <w:rsid w:val="00137905"/>
    <w:rsid w:val="00137940"/>
    <w:rsid w:val="001379CA"/>
    <w:rsid w:val="00137B86"/>
    <w:rsid w:val="00137C4A"/>
    <w:rsid w:val="00137F60"/>
    <w:rsid w:val="0014000D"/>
    <w:rsid w:val="00140030"/>
    <w:rsid w:val="001400D3"/>
    <w:rsid w:val="00140205"/>
    <w:rsid w:val="001404F2"/>
    <w:rsid w:val="001404F5"/>
    <w:rsid w:val="001408D6"/>
    <w:rsid w:val="00140957"/>
    <w:rsid w:val="00140AD0"/>
    <w:rsid w:val="00140B86"/>
    <w:rsid w:val="00140C32"/>
    <w:rsid w:val="00140E44"/>
    <w:rsid w:val="00140ECA"/>
    <w:rsid w:val="00140F45"/>
    <w:rsid w:val="001410BB"/>
    <w:rsid w:val="0014111E"/>
    <w:rsid w:val="00141196"/>
    <w:rsid w:val="00141238"/>
    <w:rsid w:val="00141593"/>
    <w:rsid w:val="00141666"/>
    <w:rsid w:val="00141715"/>
    <w:rsid w:val="00141723"/>
    <w:rsid w:val="0014179A"/>
    <w:rsid w:val="0014197F"/>
    <w:rsid w:val="00141B59"/>
    <w:rsid w:val="00141BAA"/>
    <w:rsid w:val="00141C8C"/>
    <w:rsid w:val="00141C99"/>
    <w:rsid w:val="00141F15"/>
    <w:rsid w:val="00142127"/>
    <w:rsid w:val="00142198"/>
    <w:rsid w:val="001421D3"/>
    <w:rsid w:val="00142463"/>
    <w:rsid w:val="00142514"/>
    <w:rsid w:val="00142687"/>
    <w:rsid w:val="001426B3"/>
    <w:rsid w:val="00142750"/>
    <w:rsid w:val="00142D43"/>
    <w:rsid w:val="00142FEB"/>
    <w:rsid w:val="001430ED"/>
    <w:rsid w:val="00143311"/>
    <w:rsid w:val="0014334B"/>
    <w:rsid w:val="0014350E"/>
    <w:rsid w:val="001438CC"/>
    <w:rsid w:val="001439EE"/>
    <w:rsid w:val="00143C64"/>
    <w:rsid w:val="00143CCC"/>
    <w:rsid w:val="00143DF3"/>
    <w:rsid w:val="0014404D"/>
    <w:rsid w:val="001443AC"/>
    <w:rsid w:val="001444D1"/>
    <w:rsid w:val="001444D2"/>
    <w:rsid w:val="001444F3"/>
    <w:rsid w:val="00144576"/>
    <w:rsid w:val="001445B9"/>
    <w:rsid w:val="001445EE"/>
    <w:rsid w:val="00144968"/>
    <w:rsid w:val="00144A6E"/>
    <w:rsid w:val="00144AD1"/>
    <w:rsid w:val="00144AD5"/>
    <w:rsid w:val="00144B68"/>
    <w:rsid w:val="00144C06"/>
    <w:rsid w:val="00144C73"/>
    <w:rsid w:val="00144CDF"/>
    <w:rsid w:val="00144F94"/>
    <w:rsid w:val="00144FAF"/>
    <w:rsid w:val="00145224"/>
    <w:rsid w:val="0014535B"/>
    <w:rsid w:val="0014566A"/>
    <w:rsid w:val="001456B9"/>
    <w:rsid w:val="001457C8"/>
    <w:rsid w:val="00145CDD"/>
    <w:rsid w:val="00145D6A"/>
    <w:rsid w:val="00145E41"/>
    <w:rsid w:val="00145EB8"/>
    <w:rsid w:val="00146013"/>
    <w:rsid w:val="001461C2"/>
    <w:rsid w:val="0014637F"/>
    <w:rsid w:val="001464B3"/>
    <w:rsid w:val="00146538"/>
    <w:rsid w:val="00146585"/>
    <w:rsid w:val="0014678E"/>
    <w:rsid w:val="0014688E"/>
    <w:rsid w:val="001468A0"/>
    <w:rsid w:val="00146C9A"/>
    <w:rsid w:val="00146CA6"/>
    <w:rsid w:val="00146DC5"/>
    <w:rsid w:val="00146DCE"/>
    <w:rsid w:val="00146FC0"/>
    <w:rsid w:val="00147196"/>
    <w:rsid w:val="0014724F"/>
    <w:rsid w:val="00147314"/>
    <w:rsid w:val="00147404"/>
    <w:rsid w:val="00147434"/>
    <w:rsid w:val="0014743D"/>
    <w:rsid w:val="0014754A"/>
    <w:rsid w:val="001475C2"/>
    <w:rsid w:val="00147739"/>
    <w:rsid w:val="00147963"/>
    <w:rsid w:val="00147C7A"/>
    <w:rsid w:val="00147CB2"/>
    <w:rsid w:val="00147D19"/>
    <w:rsid w:val="00147FB9"/>
    <w:rsid w:val="0015017F"/>
    <w:rsid w:val="00150241"/>
    <w:rsid w:val="001502DD"/>
    <w:rsid w:val="001502ED"/>
    <w:rsid w:val="00150350"/>
    <w:rsid w:val="001504FC"/>
    <w:rsid w:val="0015058C"/>
    <w:rsid w:val="0015058E"/>
    <w:rsid w:val="00150611"/>
    <w:rsid w:val="00150687"/>
    <w:rsid w:val="001507F3"/>
    <w:rsid w:val="00150AF7"/>
    <w:rsid w:val="00150C0C"/>
    <w:rsid w:val="00150EC5"/>
    <w:rsid w:val="00150F43"/>
    <w:rsid w:val="0015114C"/>
    <w:rsid w:val="001511F3"/>
    <w:rsid w:val="001514EB"/>
    <w:rsid w:val="0015169C"/>
    <w:rsid w:val="001517C5"/>
    <w:rsid w:val="001517CA"/>
    <w:rsid w:val="001518D8"/>
    <w:rsid w:val="00151AF7"/>
    <w:rsid w:val="00151B00"/>
    <w:rsid w:val="00151C69"/>
    <w:rsid w:val="00151CA6"/>
    <w:rsid w:val="00151D5F"/>
    <w:rsid w:val="00151DAB"/>
    <w:rsid w:val="00151DB4"/>
    <w:rsid w:val="00151DEF"/>
    <w:rsid w:val="00151EDC"/>
    <w:rsid w:val="00151F61"/>
    <w:rsid w:val="00152085"/>
    <w:rsid w:val="00152111"/>
    <w:rsid w:val="00152217"/>
    <w:rsid w:val="0015229D"/>
    <w:rsid w:val="001523BD"/>
    <w:rsid w:val="001523E7"/>
    <w:rsid w:val="0015246A"/>
    <w:rsid w:val="00152565"/>
    <w:rsid w:val="001525DB"/>
    <w:rsid w:val="0015279E"/>
    <w:rsid w:val="00152AC7"/>
    <w:rsid w:val="00152B48"/>
    <w:rsid w:val="00152C13"/>
    <w:rsid w:val="00152CA8"/>
    <w:rsid w:val="00152CBB"/>
    <w:rsid w:val="00152D14"/>
    <w:rsid w:val="00152D8A"/>
    <w:rsid w:val="00152DC0"/>
    <w:rsid w:val="00152EA5"/>
    <w:rsid w:val="00152F7C"/>
    <w:rsid w:val="00152F81"/>
    <w:rsid w:val="00152F86"/>
    <w:rsid w:val="00153001"/>
    <w:rsid w:val="00153388"/>
    <w:rsid w:val="001533D3"/>
    <w:rsid w:val="00153516"/>
    <w:rsid w:val="001535F9"/>
    <w:rsid w:val="00153613"/>
    <w:rsid w:val="00153639"/>
    <w:rsid w:val="001536F6"/>
    <w:rsid w:val="001537BC"/>
    <w:rsid w:val="0015386B"/>
    <w:rsid w:val="00153968"/>
    <w:rsid w:val="00153AF5"/>
    <w:rsid w:val="00153B3D"/>
    <w:rsid w:val="00153FD7"/>
    <w:rsid w:val="00154036"/>
    <w:rsid w:val="001540DD"/>
    <w:rsid w:val="0015422E"/>
    <w:rsid w:val="001542CF"/>
    <w:rsid w:val="0015443D"/>
    <w:rsid w:val="00154489"/>
    <w:rsid w:val="00154948"/>
    <w:rsid w:val="001549D9"/>
    <w:rsid w:val="00154F37"/>
    <w:rsid w:val="001553E5"/>
    <w:rsid w:val="001555D8"/>
    <w:rsid w:val="001557C1"/>
    <w:rsid w:val="00155A67"/>
    <w:rsid w:val="00155AA2"/>
    <w:rsid w:val="00155ACA"/>
    <w:rsid w:val="00155AF7"/>
    <w:rsid w:val="00155B44"/>
    <w:rsid w:val="0015602C"/>
    <w:rsid w:val="00156084"/>
    <w:rsid w:val="001560E8"/>
    <w:rsid w:val="00156243"/>
    <w:rsid w:val="00156288"/>
    <w:rsid w:val="00156305"/>
    <w:rsid w:val="00156393"/>
    <w:rsid w:val="00156411"/>
    <w:rsid w:val="0015644E"/>
    <w:rsid w:val="0015655D"/>
    <w:rsid w:val="001565D3"/>
    <w:rsid w:val="001567C0"/>
    <w:rsid w:val="00156942"/>
    <w:rsid w:val="00156BC6"/>
    <w:rsid w:val="00156DB9"/>
    <w:rsid w:val="00156E6D"/>
    <w:rsid w:val="00156EF0"/>
    <w:rsid w:val="0015702E"/>
    <w:rsid w:val="001571AD"/>
    <w:rsid w:val="0015761E"/>
    <w:rsid w:val="001578E7"/>
    <w:rsid w:val="00157B68"/>
    <w:rsid w:val="00157BEE"/>
    <w:rsid w:val="00157CA8"/>
    <w:rsid w:val="00157F68"/>
    <w:rsid w:val="00157F89"/>
    <w:rsid w:val="001600DA"/>
    <w:rsid w:val="001602F5"/>
    <w:rsid w:val="00160315"/>
    <w:rsid w:val="0016048D"/>
    <w:rsid w:val="001604E5"/>
    <w:rsid w:val="0016058D"/>
    <w:rsid w:val="00160691"/>
    <w:rsid w:val="001607E1"/>
    <w:rsid w:val="001609D3"/>
    <w:rsid w:val="00160B94"/>
    <w:rsid w:val="00160CBB"/>
    <w:rsid w:val="00160CE0"/>
    <w:rsid w:val="00160D47"/>
    <w:rsid w:val="0016103C"/>
    <w:rsid w:val="00161213"/>
    <w:rsid w:val="0016141C"/>
    <w:rsid w:val="001616DF"/>
    <w:rsid w:val="001617C0"/>
    <w:rsid w:val="00161966"/>
    <w:rsid w:val="00161A1D"/>
    <w:rsid w:val="00161A36"/>
    <w:rsid w:val="00161B7B"/>
    <w:rsid w:val="00161F2A"/>
    <w:rsid w:val="00161F6B"/>
    <w:rsid w:val="00162083"/>
    <w:rsid w:val="00162084"/>
    <w:rsid w:val="001620C4"/>
    <w:rsid w:val="00162189"/>
    <w:rsid w:val="00162249"/>
    <w:rsid w:val="00162323"/>
    <w:rsid w:val="001623EE"/>
    <w:rsid w:val="00162414"/>
    <w:rsid w:val="00162440"/>
    <w:rsid w:val="00162459"/>
    <w:rsid w:val="00162677"/>
    <w:rsid w:val="001627E0"/>
    <w:rsid w:val="00162BC4"/>
    <w:rsid w:val="00162C9E"/>
    <w:rsid w:val="00163070"/>
    <w:rsid w:val="001630E5"/>
    <w:rsid w:val="00163338"/>
    <w:rsid w:val="0016351B"/>
    <w:rsid w:val="001635BB"/>
    <w:rsid w:val="00163756"/>
    <w:rsid w:val="0016384B"/>
    <w:rsid w:val="00163977"/>
    <w:rsid w:val="00163BCB"/>
    <w:rsid w:val="00163D7C"/>
    <w:rsid w:val="00163D91"/>
    <w:rsid w:val="00163DC3"/>
    <w:rsid w:val="00163E0B"/>
    <w:rsid w:val="00163E22"/>
    <w:rsid w:val="00163EE7"/>
    <w:rsid w:val="0016421B"/>
    <w:rsid w:val="001642C6"/>
    <w:rsid w:val="001642F7"/>
    <w:rsid w:val="00164399"/>
    <w:rsid w:val="001644D6"/>
    <w:rsid w:val="00164633"/>
    <w:rsid w:val="0016476C"/>
    <w:rsid w:val="00164ACC"/>
    <w:rsid w:val="00164AFD"/>
    <w:rsid w:val="00164E01"/>
    <w:rsid w:val="00164E74"/>
    <w:rsid w:val="00164EAC"/>
    <w:rsid w:val="00164F75"/>
    <w:rsid w:val="00164FC9"/>
    <w:rsid w:val="0016501F"/>
    <w:rsid w:val="001652F5"/>
    <w:rsid w:val="00165652"/>
    <w:rsid w:val="001657EB"/>
    <w:rsid w:val="00165943"/>
    <w:rsid w:val="00165A26"/>
    <w:rsid w:val="00165A2B"/>
    <w:rsid w:val="00165A96"/>
    <w:rsid w:val="00165C12"/>
    <w:rsid w:val="00165D22"/>
    <w:rsid w:val="00165DC6"/>
    <w:rsid w:val="00165EBD"/>
    <w:rsid w:val="00165F74"/>
    <w:rsid w:val="0016603B"/>
    <w:rsid w:val="001660BE"/>
    <w:rsid w:val="001660D0"/>
    <w:rsid w:val="00166130"/>
    <w:rsid w:val="001661BD"/>
    <w:rsid w:val="00166255"/>
    <w:rsid w:val="0016632E"/>
    <w:rsid w:val="00166620"/>
    <w:rsid w:val="0016668C"/>
    <w:rsid w:val="001667DD"/>
    <w:rsid w:val="00166898"/>
    <w:rsid w:val="0016697E"/>
    <w:rsid w:val="00166A2D"/>
    <w:rsid w:val="00166A3E"/>
    <w:rsid w:val="00166D0E"/>
    <w:rsid w:val="00167027"/>
    <w:rsid w:val="001671A8"/>
    <w:rsid w:val="001672B4"/>
    <w:rsid w:val="00167392"/>
    <w:rsid w:val="00167395"/>
    <w:rsid w:val="001676D2"/>
    <w:rsid w:val="00167C96"/>
    <w:rsid w:val="00167CE4"/>
    <w:rsid w:val="00167E48"/>
    <w:rsid w:val="00170386"/>
    <w:rsid w:val="00170421"/>
    <w:rsid w:val="0017055C"/>
    <w:rsid w:val="00170608"/>
    <w:rsid w:val="0017073E"/>
    <w:rsid w:val="001708FE"/>
    <w:rsid w:val="00170B44"/>
    <w:rsid w:val="00170C17"/>
    <w:rsid w:val="00170C52"/>
    <w:rsid w:val="00170C91"/>
    <w:rsid w:val="00170DC7"/>
    <w:rsid w:val="00170E89"/>
    <w:rsid w:val="001710F9"/>
    <w:rsid w:val="001711AF"/>
    <w:rsid w:val="00171300"/>
    <w:rsid w:val="0017155D"/>
    <w:rsid w:val="001719EB"/>
    <w:rsid w:val="00171A5E"/>
    <w:rsid w:val="00171A6B"/>
    <w:rsid w:val="00171B1D"/>
    <w:rsid w:val="00171D00"/>
    <w:rsid w:val="00171D64"/>
    <w:rsid w:val="0017210C"/>
    <w:rsid w:val="00172226"/>
    <w:rsid w:val="00172248"/>
    <w:rsid w:val="00172521"/>
    <w:rsid w:val="00172534"/>
    <w:rsid w:val="00172582"/>
    <w:rsid w:val="00172644"/>
    <w:rsid w:val="0017273D"/>
    <w:rsid w:val="00172777"/>
    <w:rsid w:val="0017283E"/>
    <w:rsid w:val="00172A32"/>
    <w:rsid w:val="00172A38"/>
    <w:rsid w:val="00172AA1"/>
    <w:rsid w:val="001731CC"/>
    <w:rsid w:val="001733E6"/>
    <w:rsid w:val="0017341B"/>
    <w:rsid w:val="001734C9"/>
    <w:rsid w:val="00173632"/>
    <w:rsid w:val="00173667"/>
    <w:rsid w:val="001736EF"/>
    <w:rsid w:val="00173879"/>
    <w:rsid w:val="001738B3"/>
    <w:rsid w:val="0017397D"/>
    <w:rsid w:val="00173988"/>
    <w:rsid w:val="00173F95"/>
    <w:rsid w:val="0017428F"/>
    <w:rsid w:val="001746E2"/>
    <w:rsid w:val="001748CE"/>
    <w:rsid w:val="00174BDD"/>
    <w:rsid w:val="00174C53"/>
    <w:rsid w:val="001751C3"/>
    <w:rsid w:val="00175534"/>
    <w:rsid w:val="00175571"/>
    <w:rsid w:val="00175588"/>
    <w:rsid w:val="001755A1"/>
    <w:rsid w:val="001755A5"/>
    <w:rsid w:val="001757B3"/>
    <w:rsid w:val="00175A19"/>
    <w:rsid w:val="00175AFD"/>
    <w:rsid w:val="00175E23"/>
    <w:rsid w:val="00175E6E"/>
    <w:rsid w:val="0017615A"/>
    <w:rsid w:val="001762ED"/>
    <w:rsid w:val="001763FF"/>
    <w:rsid w:val="00176411"/>
    <w:rsid w:val="001766BE"/>
    <w:rsid w:val="0017690C"/>
    <w:rsid w:val="00176DC6"/>
    <w:rsid w:val="00176E21"/>
    <w:rsid w:val="00176EF2"/>
    <w:rsid w:val="00176EFC"/>
    <w:rsid w:val="00176FB2"/>
    <w:rsid w:val="00177146"/>
    <w:rsid w:val="00177273"/>
    <w:rsid w:val="001773A0"/>
    <w:rsid w:val="001773CB"/>
    <w:rsid w:val="001775B1"/>
    <w:rsid w:val="001776BE"/>
    <w:rsid w:val="00177704"/>
    <w:rsid w:val="00177710"/>
    <w:rsid w:val="001777EF"/>
    <w:rsid w:val="00177968"/>
    <w:rsid w:val="00177A20"/>
    <w:rsid w:val="00177A81"/>
    <w:rsid w:val="00177A82"/>
    <w:rsid w:val="00177B2F"/>
    <w:rsid w:val="00177B7C"/>
    <w:rsid w:val="00177C6B"/>
    <w:rsid w:val="00177CB5"/>
    <w:rsid w:val="00177EE9"/>
    <w:rsid w:val="00180129"/>
    <w:rsid w:val="0018032E"/>
    <w:rsid w:val="00180332"/>
    <w:rsid w:val="00180381"/>
    <w:rsid w:val="00180546"/>
    <w:rsid w:val="0018055C"/>
    <w:rsid w:val="001807C7"/>
    <w:rsid w:val="001807CA"/>
    <w:rsid w:val="00180830"/>
    <w:rsid w:val="00180947"/>
    <w:rsid w:val="0018095A"/>
    <w:rsid w:val="00180A16"/>
    <w:rsid w:val="00180AA7"/>
    <w:rsid w:val="00180BE4"/>
    <w:rsid w:val="00180C4E"/>
    <w:rsid w:val="00180F03"/>
    <w:rsid w:val="0018110E"/>
    <w:rsid w:val="001814A2"/>
    <w:rsid w:val="001816A9"/>
    <w:rsid w:val="001816DE"/>
    <w:rsid w:val="0018170C"/>
    <w:rsid w:val="00181753"/>
    <w:rsid w:val="00181890"/>
    <w:rsid w:val="00181926"/>
    <w:rsid w:val="00181C90"/>
    <w:rsid w:val="00181D78"/>
    <w:rsid w:val="00181D7F"/>
    <w:rsid w:val="00181E3A"/>
    <w:rsid w:val="00181F21"/>
    <w:rsid w:val="001820A4"/>
    <w:rsid w:val="00182223"/>
    <w:rsid w:val="001823CD"/>
    <w:rsid w:val="001824D8"/>
    <w:rsid w:val="00182981"/>
    <w:rsid w:val="00182997"/>
    <w:rsid w:val="00182A85"/>
    <w:rsid w:val="00182BF1"/>
    <w:rsid w:val="00182C82"/>
    <w:rsid w:val="00182D85"/>
    <w:rsid w:val="00182DEE"/>
    <w:rsid w:val="00182EE2"/>
    <w:rsid w:val="00182FF4"/>
    <w:rsid w:val="00183031"/>
    <w:rsid w:val="00183036"/>
    <w:rsid w:val="0018306B"/>
    <w:rsid w:val="001831FD"/>
    <w:rsid w:val="00183297"/>
    <w:rsid w:val="0018347C"/>
    <w:rsid w:val="001834A0"/>
    <w:rsid w:val="001834DC"/>
    <w:rsid w:val="001834F1"/>
    <w:rsid w:val="001835A0"/>
    <w:rsid w:val="00183B9E"/>
    <w:rsid w:val="00183CD0"/>
    <w:rsid w:val="00183D0A"/>
    <w:rsid w:val="0018404D"/>
    <w:rsid w:val="0018427B"/>
    <w:rsid w:val="00184391"/>
    <w:rsid w:val="0018447E"/>
    <w:rsid w:val="00184914"/>
    <w:rsid w:val="0018497D"/>
    <w:rsid w:val="001849B5"/>
    <w:rsid w:val="001849D6"/>
    <w:rsid w:val="001849F9"/>
    <w:rsid w:val="00184A1D"/>
    <w:rsid w:val="00184B6F"/>
    <w:rsid w:val="00184CFD"/>
    <w:rsid w:val="00184D4E"/>
    <w:rsid w:val="00184D62"/>
    <w:rsid w:val="00184EA5"/>
    <w:rsid w:val="00184FD8"/>
    <w:rsid w:val="00185048"/>
    <w:rsid w:val="001851E1"/>
    <w:rsid w:val="00185340"/>
    <w:rsid w:val="001853EC"/>
    <w:rsid w:val="00185477"/>
    <w:rsid w:val="001859AD"/>
    <w:rsid w:val="00185B88"/>
    <w:rsid w:val="00185C97"/>
    <w:rsid w:val="00186210"/>
    <w:rsid w:val="00186262"/>
    <w:rsid w:val="00186282"/>
    <w:rsid w:val="0018665C"/>
    <w:rsid w:val="00186678"/>
    <w:rsid w:val="0018685F"/>
    <w:rsid w:val="0018689E"/>
    <w:rsid w:val="0018690C"/>
    <w:rsid w:val="00186941"/>
    <w:rsid w:val="001869F7"/>
    <w:rsid w:val="00186B1E"/>
    <w:rsid w:val="00186CA3"/>
    <w:rsid w:val="00186CD3"/>
    <w:rsid w:val="00186F6B"/>
    <w:rsid w:val="0018712F"/>
    <w:rsid w:val="00187434"/>
    <w:rsid w:val="0018749D"/>
    <w:rsid w:val="001874FE"/>
    <w:rsid w:val="00187594"/>
    <w:rsid w:val="00187630"/>
    <w:rsid w:val="0018777D"/>
    <w:rsid w:val="00187BEE"/>
    <w:rsid w:val="00187EB9"/>
    <w:rsid w:val="00187FCC"/>
    <w:rsid w:val="00190082"/>
    <w:rsid w:val="00190399"/>
    <w:rsid w:val="0019040D"/>
    <w:rsid w:val="001905F5"/>
    <w:rsid w:val="00190772"/>
    <w:rsid w:val="001908D0"/>
    <w:rsid w:val="00190950"/>
    <w:rsid w:val="00190A61"/>
    <w:rsid w:val="00190AE3"/>
    <w:rsid w:val="00190C09"/>
    <w:rsid w:val="00190C2C"/>
    <w:rsid w:val="00190D9B"/>
    <w:rsid w:val="00190E38"/>
    <w:rsid w:val="00190F85"/>
    <w:rsid w:val="0019100C"/>
    <w:rsid w:val="001910BA"/>
    <w:rsid w:val="0019122B"/>
    <w:rsid w:val="00191303"/>
    <w:rsid w:val="001913D9"/>
    <w:rsid w:val="00191422"/>
    <w:rsid w:val="0019145A"/>
    <w:rsid w:val="0019165F"/>
    <w:rsid w:val="00191926"/>
    <w:rsid w:val="0019198A"/>
    <w:rsid w:val="00191A33"/>
    <w:rsid w:val="00191A5C"/>
    <w:rsid w:val="00191B9E"/>
    <w:rsid w:val="00191E32"/>
    <w:rsid w:val="00191E6D"/>
    <w:rsid w:val="00191E74"/>
    <w:rsid w:val="00191F20"/>
    <w:rsid w:val="00191F49"/>
    <w:rsid w:val="00191F60"/>
    <w:rsid w:val="0019245D"/>
    <w:rsid w:val="001924BB"/>
    <w:rsid w:val="001924C3"/>
    <w:rsid w:val="001924CC"/>
    <w:rsid w:val="001924DB"/>
    <w:rsid w:val="001925AB"/>
    <w:rsid w:val="0019267E"/>
    <w:rsid w:val="00192826"/>
    <w:rsid w:val="001928EA"/>
    <w:rsid w:val="00192A92"/>
    <w:rsid w:val="00192C13"/>
    <w:rsid w:val="00192CEB"/>
    <w:rsid w:val="00192DF4"/>
    <w:rsid w:val="00192DF9"/>
    <w:rsid w:val="00192E24"/>
    <w:rsid w:val="00192F36"/>
    <w:rsid w:val="001932DE"/>
    <w:rsid w:val="00193300"/>
    <w:rsid w:val="0019333E"/>
    <w:rsid w:val="00193541"/>
    <w:rsid w:val="001935FC"/>
    <w:rsid w:val="00193688"/>
    <w:rsid w:val="00193788"/>
    <w:rsid w:val="0019380B"/>
    <w:rsid w:val="001939D1"/>
    <w:rsid w:val="001939E4"/>
    <w:rsid w:val="00193C25"/>
    <w:rsid w:val="00193D76"/>
    <w:rsid w:val="00193D81"/>
    <w:rsid w:val="00193E26"/>
    <w:rsid w:val="00193F60"/>
    <w:rsid w:val="00193F64"/>
    <w:rsid w:val="00194137"/>
    <w:rsid w:val="0019419F"/>
    <w:rsid w:val="00194295"/>
    <w:rsid w:val="0019432F"/>
    <w:rsid w:val="00194389"/>
    <w:rsid w:val="00194563"/>
    <w:rsid w:val="0019485F"/>
    <w:rsid w:val="00194902"/>
    <w:rsid w:val="00194ABD"/>
    <w:rsid w:val="00194BE2"/>
    <w:rsid w:val="00194CD3"/>
    <w:rsid w:val="00194E33"/>
    <w:rsid w:val="00194ED1"/>
    <w:rsid w:val="00194FC5"/>
    <w:rsid w:val="001950AE"/>
    <w:rsid w:val="001951FA"/>
    <w:rsid w:val="00195210"/>
    <w:rsid w:val="0019526D"/>
    <w:rsid w:val="0019533A"/>
    <w:rsid w:val="0019539B"/>
    <w:rsid w:val="0019541C"/>
    <w:rsid w:val="00195759"/>
    <w:rsid w:val="0019575C"/>
    <w:rsid w:val="001958BE"/>
    <w:rsid w:val="001958DC"/>
    <w:rsid w:val="0019593C"/>
    <w:rsid w:val="00195F9C"/>
    <w:rsid w:val="00195FDC"/>
    <w:rsid w:val="00196094"/>
    <w:rsid w:val="0019639D"/>
    <w:rsid w:val="0019648A"/>
    <w:rsid w:val="001964F7"/>
    <w:rsid w:val="00196814"/>
    <w:rsid w:val="00196891"/>
    <w:rsid w:val="00196A94"/>
    <w:rsid w:val="00196BA6"/>
    <w:rsid w:val="00196C51"/>
    <w:rsid w:val="00196EF2"/>
    <w:rsid w:val="0019721F"/>
    <w:rsid w:val="0019724F"/>
    <w:rsid w:val="001973E5"/>
    <w:rsid w:val="001977A6"/>
    <w:rsid w:val="001977C8"/>
    <w:rsid w:val="001979BB"/>
    <w:rsid w:val="001979D9"/>
    <w:rsid w:val="00197A1F"/>
    <w:rsid w:val="00197C81"/>
    <w:rsid w:val="00197E68"/>
    <w:rsid w:val="00197F74"/>
    <w:rsid w:val="001A00DE"/>
    <w:rsid w:val="001A0274"/>
    <w:rsid w:val="001A046E"/>
    <w:rsid w:val="001A0478"/>
    <w:rsid w:val="001A05D7"/>
    <w:rsid w:val="001A05E1"/>
    <w:rsid w:val="001A0B1D"/>
    <w:rsid w:val="001A0B6C"/>
    <w:rsid w:val="001A0F76"/>
    <w:rsid w:val="001A0FB1"/>
    <w:rsid w:val="001A1014"/>
    <w:rsid w:val="001A10B3"/>
    <w:rsid w:val="001A1110"/>
    <w:rsid w:val="001A1124"/>
    <w:rsid w:val="001A12AC"/>
    <w:rsid w:val="001A1353"/>
    <w:rsid w:val="001A1929"/>
    <w:rsid w:val="001A195A"/>
    <w:rsid w:val="001A1991"/>
    <w:rsid w:val="001A19BB"/>
    <w:rsid w:val="001A1A90"/>
    <w:rsid w:val="001A1AA7"/>
    <w:rsid w:val="001A1C2B"/>
    <w:rsid w:val="001A1DFF"/>
    <w:rsid w:val="001A1F7C"/>
    <w:rsid w:val="001A20BE"/>
    <w:rsid w:val="001A20C1"/>
    <w:rsid w:val="001A20D5"/>
    <w:rsid w:val="001A20EF"/>
    <w:rsid w:val="001A2314"/>
    <w:rsid w:val="001A2472"/>
    <w:rsid w:val="001A2661"/>
    <w:rsid w:val="001A26A7"/>
    <w:rsid w:val="001A26AD"/>
    <w:rsid w:val="001A2909"/>
    <w:rsid w:val="001A296F"/>
    <w:rsid w:val="001A2A34"/>
    <w:rsid w:val="001A2EDE"/>
    <w:rsid w:val="001A2FA1"/>
    <w:rsid w:val="001A32B9"/>
    <w:rsid w:val="001A3375"/>
    <w:rsid w:val="001A344C"/>
    <w:rsid w:val="001A3580"/>
    <w:rsid w:val="001A3584"/>
    <w:rsid w:val="001A3612"/>
    <w:rsid w:val="001A361B"/>
    <w:rsid w:val="001A3678"/>
    <w:rsid w:val="001A3684"/>
    <w:rsid w:val="001A376E"/>
    <w:rsid w:val="001A381C"/>
    <w:rsid w:val="001A3874"/>
    <w:rsid w:val="001A3B12"/>
    <w:rsid w:val="001A3B1D"/>
    <w:rsid w:val="001A3BB0"/>
    <w:rsid w:val="001A3D15"/>
    <w:rsid w:val="001A3D37"/>
    <w:rsid w:val="001A3D3B"/>
    <w:rsid w:val="001A3E34"/>
    <w:rsid w:val="001A4767"/>
    <w:rsid w:val="001A4CA0"/>
    <w:rsid w:val="001A4E82"/>
    <w:rsid w:val="001A4E93"/>
    <w:rsid w:val="001A4F5C"/>
    <w:rsid w:val="001A4F8A"/>
    <w:rsid w:val="001A5061"/>
    <w:rsid w:val="001A524E"/>
    <w:rsid w:val="001A53C6"/>
    <w:rsid w:val="001A54FF"/>
    <w:rsid w:val="001A5580"/>
    <w:rsid w:val="001A5600"/>
    <w:rsid w:val="001A5621"/>
    <w:rsid w:val="001A5685"/>
    <w:rsid w:val="001A56FD"/>
    <w:rsid w:val="001A571C"/>
    <w:rsid w:val="001A581D"/>
    <w:rsid w:val="001A587C"/>
    <w:rsid w:val="001A5887"/>
    <w:rsid w:val="001A5910"/>
    <w:rsid w:val="001A5AC1"/>
    <w:rsid w:val="001A5BCC"/>
    <w:rsid w:val="001A5E3A"/>
    <w:rsid w:val="001A5F6B"/>
    <w:rsid w:val="001A5FA1"/>
    <w:rsid w:val="001A6420"/>
    <w:rsid w:val="001A6BC0"/>
    <w:rsid w:val="001A6DBF"/>
    <w:rsid w:val="001A6E1E"/>
    <w:rsid w:val="001A7183"/>
    <w:rsid w:val="001A71FC"/>
    <w:rsid w:val="001A7293"/>
    <w:rsid w:val="001A72CB"/>
    <w:rsid w:val="001A7338"/>
    <w:rsid w:val="001A7638"/>
    <w:rsid w:val="001A7687"/>
    <w:rsid w:val="001A76D2"/>
    <w:rsid w:val="001A7738"/>
    <w:rsid w:val="001A77FC"/>
    <w:rsid w:val="001A79A1"/>
    <w:rsid w:val="001A7A1A"/>
    <w:rsid w:val="001A7A4B"/>
    <w:rsid w:val="001A7C14"/>
    <w:rsid w:val="001A7DB1"/>
    <w:rsid w:val="001A7FB4"/>
    <w:rsid w:val="001B00AA"/>
    <w:rsid w:val="001B016F"/>
    <w:rsid w:val="001B028E"/>
    <w:rsid w:val="001B029F"/>
    <w:rsid w:val="001B02C9"/>
    <w:rsid w:val="001B0364"/>
    <w:rsid w:val="001B0398"/>
    <w:rsid w:val="001B04F5"/>
    <w:rsid w:val="001B052C"/>
    <w:rsid w:val="001B0580"/>
    <w:rsid w:val="001B05E1"/>
    <w:rsid w:val="001B0685"/>
    <w:rsid w:val="001B0864"/>
    <w:rsid w:val="001B0A2D"/>
    <w:rsid w:val="001B0A32"/>
    <w:rsid w:val="001B0B6D"/>
    <w:rsid w:val="001B0B7B"/>
    <w:rsid w:val="001B0D62"/>
    <w:rsid w:val="001B0DC9"/>
    <w:rsid w:val="001B0ED0"/>
    <w:rsid w:val="001B1081"/>
    <w:rsid w:val="001B10EC"/>
    <w:rsid w:val="001B12D5"/>
    <w:rsid w:val="001B1362"/>
    <w:rsid w:val="001B1385"/>
    <w:rsid w:val="001B13A7"/>
    <w:rsid w:val="001B13E3"/>
    <w:rsid w:val="001B14A2"/>
    <w:rsid w:val="001B1705"/>
    <w:rsid w:val="001B1792"/>
    <w:rsid w:val="001B1929"/>
    <w:rsid w:val="001B1B37"/>
    <w:rsid w:val="001B1D67"/>
    <w:rsid w:val="001B1E8D"/>
    <w:rsid w:val="001B1F28"/>
    <w:rsid w:val="001B2165"/>
    <w:rsid w:val="001B21F1"/>
    <w:rsid w:val="001B22B1"/>
    <w:rsid w:val="001B2444"/>
    <w:rsid w:val="001B2504"/>
    <w:rsid w:val="001B264A"/>
    <w:rsid w:val="001B27B8"/>
    <w:rsid w:val="001B2B32"/>
    <w:rsid w:val="001B2C5F"/>
    <w:rsid w:val="001B2CAB"/>
    <w:rsid w:val="001B2D6F"/>
    <w:rsid w:val="001B2E67"/>
    <w:rsid w:val="001B2E6A"/>
    <w:rsid w:val="001B2EA4"/>
    <w:rsid w:val="001B3147"/>
    <w:rsid w:val="001B35A0"/>
    <w:rsid w:val="001B35BF"/>
    <w:rsid w:val="001B37D1"/>
    <w:rsid w:val="001B38D0"/>
    <w:rsid w:val="001B39B7"/>
    <w:rsid w:val="001B3D71"/>
    <w:rsid w:val="001B3F60"/>
    <w:rsid w:val="001B4219"/>
    <w:rsid w:val="001B42AC"/>
    <w:rsid w:val="001B43C0"/>
    <w:rsid w:val="001B4747"/>
    <w:rsid w:val="001B47F5"/>
    <w:rsid w:val="001B492F"/>
    <w:rsid w:val="001B49A4"/>
    <w:rsid w:val="001B49BC"/>
    <w:rsid w:val="001B4B90"/>
    <w:rsid w:val="001B4BA4"/>
    <w:rsid w:val="001B4CC8"/>
    <w:rsid w:val="001B4E5D"/>
    <w:rsid w:val="001B4FC1"/>
    <w:rsid w:val="001B5017"/>
    <w:rsid w:val="001B5087"/>
    <w:rsid w:val="001B508E"/>
    <w:rsid w:val="001B5363"/>
    <w:rsid w:val="001B54D1"/>
    <w:rsid w:val="001B5664"/>
    <w:rsid w:val="001B5811"/>
    <w:rsid w:val="001B58DC"/>
    <w:rsid w:val="001B5C16"/>
    <w:rsid w:val="001B5CBD"/>
    <w:rsid w:val="001B5D9F"/>
    <w:rsid w:val="001B5DE7"/>
    <w:rsid w:val="001B5FA3"/>
    <w:rsid w:val="001B6066"/>
    <w:rsid w:val="001B60F4"/>
    <w:rsid w:val="001B62DD"/>
    <w:rsid w:val="001B69E8"/>
    <w:rsid w:val="001B6AA2"/>
    <w:rsid w:val="001B6AF7"/>
    <w:rsid w:val="001B6BCB"/>
    <w:rsid w:val="001B6C57"/>
    <w:rsid w:val="001B6E95"/>
    <w:rsid w:val="001B6ED5"/>
    <w:rsid w:val="001B705A"/>
    <w:rsid w:val="001B7073"/>
    <w:rsid w:val="001B7160"/>
    <w:rsid w:val="001B71A9"/>
    <w:rsid w:val="001B72B9"/>
    <w:rsid w:val="001B72DD"/>
    <w:rsid w:val="001B747F"/>
    <w:rsid w:val="001B76A4"/>
    <w:rsid w:val="001B771E"/>
    <w:rsid w:val="001B77EB"/>
    <w:rsid w:val="001B7804"/>
    <w:rsid w:val="001B7854"/>
    <w:rsid w:val="001B7860"/>
    <w:rsid w:val="001B7967"/>
    <w:rsid w:val="001B7A9A"/>
    <w:rsid w:val="001B7E07"/>
    <w:rsid w:val="001C0051"/>
    <w:rsid w:val="001C013B"/>
    <w:rsid w:val="001C0161"/>
    <w:rsid w:val="001C042E"/>
    <w:rsid w:val="001C06D1"/>
    <w:rsid w:val="001C0703"/>
    <w:rsid w:val="001C074A"/>
    <w:rsid w:val="001C0BFA"/>
    <w:rsid w:val="001C0C57"/>
    <w:rsid w:val="001C0D61"/>
    <w:rsid w:val="001C0F13"/>
    <w:rsid w:val="001C0FAC"/>
    <w:rsid w:val="001C0FD4"/>
    <w:rsid w:val="001C104B"/>
    <w:rsid w:val="001C11C4"/>
    <w:rsid w:val="001C1306"/>
    <w:rsid w:val="001C1452"/>
    <w:rsid w:val="001C1984"/>
    <w:rsid w:val="001C1991"/>
    <w:rsid w:val="001C1AB4"/>
    <w:rsid w:val="001C1AEA"/>
    <w:rsid w:val="001C1CAB"/>
    <w:rsid w:val="001C1CBE"/>
    <w:rsid w:val="001C1CF1"/>
    <w:rsid w:val="001C1CFE"/>
    <w:rsid w:val="001C1D52"/>
    <w:rsid w:val="001C1EC1"/>
    <w:rsid w:val="001C205F"/>
    <w:rsid w:val="001C21F1"/>
    <w:rsid w:val="001C22EE"/>
    <w:rsid w:val="001C2304"/>
    <w:rsid w:val="001C234F"/>
    <w:rsid w:val="001C27CD"/>
    <w:rsid w:val="001C2A01"/>
    <w:rsid w:val="001C2B0A"/>
    <w:rsid w:val="001C2B22"/>
    <w:rsid w:val="001C2CAE"/>
    <w:rsid w:val="001C2DCA"/>
    <w:rsid w:val="001C2EA8"/>
    <w:rsid w:val="001C2EBE"/>
    <w:rsid w:val="001C2FF7"/>
    <w:rsid w:val="001C33E6"/>
    <w:rsid w:val="001C3530"/>
    <w:rsid w:val="001C3539"/>
    <w:rsid w:val="001C372E"/>
    <w:rsid w:val="001C38B5"/>
    <w:rsid w:val="001C3AE6"/>
    <w:rsid w:val="001C3D9C"/>
    <w:rsid w:val="001C3DCF"/>
    <w:rsid w:val="001C3E0A"/>
    <w:rsid w:val="001C3E1C"/>
    <w:rsid w:val="001C3F02"/>
    <w:rsid w:val="001C3F44"/>
    <w:rsid w:val="001C3F63"/>
    <w:rsid w:val="001C3FB6"/>
    <w:rsid w:val="001C3FDB"/>
    <w:rsid w:val="001C3FFB"/>
    <w:rsid w:val="001C4144"/>
    <w:rsid w:val="001C42BA"/>
    <w:rsid w:val="001C42E0"/>
    <w:rsid w:val="001C4303"/>
    <w:rsid w:val="001C4404"/>
    <w:rsid w:val="001C441F"/>
    <w:rsid w:val="001C4746"/>
    <w:rsid w:val="001C4782"/>
    <w:rsid w:val="001C49B8"/>
    <w:rsid w:val="001C4A4A"/>
    <w:rsid w:val="001C4CDC"/>
    <w:rsid w:val="001C4D56"/>
    <w:rsid w:val="001C4E9C"/>
    <w:rsid w:val="001C4F2C"/>
    <w:rsid w:val="001C4F32"/>
    <w:rsid w:val="001C4F5B"/>
    <w:rsid w:val="001C5009"/>
    <w:rsid w:val="001C54AB"/>
    <w:rsid w:val="001C54FB"/>
    <w:rsid w:val="001C55F7"/>
    <w:rsid w:val="001C5672"/>
    <w:rsid w:val="001C56BD"/>
    <w:rsid w:val="001C588A"/>
    <w:rsid w:val="001C58D4"/>
    <w:rsid w:val="001C597E"/>
    <w:rsid w:val="001C5AD4"/>
    <w:rsid w:val="001C5BB9"/>
    <w:rsid w:val="001C5D72"/>
    <w:rsid w:val="001C5FEE"/>
    <w:rsid w:val="001C6099"/>
    <w:rsid w:val="001C6290"/>
    <w:rsid w:val="001C631D"/>
    <w:rsid w:val="001C6340"/>
    <w:rsid w:val="001C6386"/>
    <w:rsid w:val="001C65B4"/>
    <w:rsid w:val="001C6701"/>
    <w:rsid w:val="001C6844"/>
    <w:rsid w:val="001C6862"/>
    <w:rsid w:val="001C69FC"/>
    <w:rsid w:val="001C6BFF"/>
    <w:rsid w:val="001C6D25"/>
    <w:rsid w:val="001C6FA3"/>
    <w:rsid w:val="001C6FB3"/>
    <w:rsid w:val="001C7071"/>
    <w:rsid w:val="001C7223"/>
    <w:rsid w:val="001C72ED"/>
    <w:rsid w:val="001C75E0"/>
    <w:rsid w:val="001C76D3"/>
    <w:rsid w:val="001C772E"/>
    <w:rsid w:val="001C78CC"/>
    <w:rsid w:val="001C7997"/>
    <w:rsid w:val="001C7A7D"/>
    <w:rsid w:val="001C7B3A"/>
    <w:rsid w:val="001C7CCD"/>
    <w:rsid w:val="001C7D09"/>
    <w:rsid w:val="001C7ECA"/>
    <w:rsid w:val="001C7F58"/>
    <w:rsid w:val="001D0100"/>
    <w:rsid w:val="001D0274"/>
    <w:rsid w:val="001D0279"/>
    <w:rsid w:val="001D029F"/>
    <w:rsid w:val="001D0355"/>
    <w:rsid w:val="001D0896"/>
    <w:rsid w:val="001D08C6"/>
    <w:rsid w:val="001D0A44"/>
    <w:rsid w:val="001D0AB7"/>
    <w:rsid w:val="001D0AE6"/>
    <w:rsid w:val="001D0B18"/>
    <w:rsid w:val="001D0B1C"/>
    <w:rsid w:val="001D0B24"/>
    <w:rsid w:val="001D0B42"/>
    <w:rsid w:val="001D12E5"/>
    <w:rsid w:val="001D1479"/>
    <w:rsid w:val="001D15F0"/>
    <w:rsid w:val="001D183C"/>
    <w:rsid w:val="001D19B4"/>
    <w:rsid w:val="001D1E83"/>
    <w:rsid w:val="001D24CE"/>
    <w:rsid w:val="001D2529"/>
    <w:rsid w:val="001D2915"/>
    <w:rsid w:val="001D2962"/>
    <w:rsid w:val="001D29EA"/>
    <w:rsid w:val="001D2A7D"/>
    <w:rsid w:val="001D2AE3"/>
    <w:rsid w:val="001D2B29"/>
    <w:rsid w:val="001D2B34"/>
    <w:rsid w:val="001D2BC8"/>
    <w:rsid w:val="001D2F81"/>
    <w:rsid w:val="001D3174"/>
    <w:rsid w:val="001D33EA"/>
    <w:rsid w:val="001D34C0"/>
    <w:rsid w:val="001D34F0"/>
    <w:rsid w:val="001D3686"/>
    <w:rsid w:val="001D37B7"/>
    <w:rsid w:val="001D38B6"/>
    <w:rsid w:val="001D3956"/>
    <w:rsid w:val="001D3982"/>
    <w:rsid w:val="001D3A3A"/>
    <w:rsid w:val="001D3BB6"/>
    <w:rsid w:val="001D3CC2"/>
    <w:rsid w:val="001D3E7B"/>
    <w:rsid w:val="001D3FD6"/>
    <w:rsid w:val="001D4009"/>
    <w:rsid w:val="001D4088"/>
    <w:rsid w:val="001D41F0"/>
    <w:rsid w:val="001D4461"/>
    <w:rsid w:val="001D459F"/>
    <w:rsid w:val="001D45B2"/>
    <w:rsid w:val="001D45F6"/>
    <w:rsid w:val="001D469E"/>
    <w:rsid w:val="001D46E3"/>
    <w:rsid w:val="001D4740"/>
    <w:rsid w:val="001D4794"/>
    <w:rsid w:val="001D4882"/>
    <w:rsid w:val="001D4883"/>
    <w:rsid w:val="001D4939"/>
    <w:rsid w:val="001D49F1"/>
    <w:rsid w:val="001D4CE1"/>
    <w:rsid w:val="001D4CF9"/>
    <w:rsid w:val="001D4D0F"/>
    <w:rsid w:val="001D4E04"/>
    <w:rsid w:val="001D4F47"/>
    <w:rsid w:val="001D4F78"/>
    <w:rsid w:val="001D507B"/>
    <w:rsid w:val="001D5118"/>
    <w:rsid w:val="001D5181"/>
    <w:rsid w:val="001D51A4"/>
    <w:rsid w:val="001D5213"/>
    <w:rsid w:val="001D5476"/>
    <w:rsid w:val="001D567C"/>
    <w:rsid w:val="001D56B6"/>
    <w:rsid w:val="001D58B5"/>
    <w:rsid w:val="001D594A"/>
    <w:rsid w:val="001D594E"/>
    <w:rsid w:val="001D59E6"/>
    <w:rsid w:val="001D5B6A"/>
    <w:rsid w:val="001D5B9B"/>
    <w:rsid w:val="001D5D89"/>
    <w:rsid w:val="001D5E24"/>
    <w:rsid w:val="001D5E51"/>
    <w:rsid w:val="001D6046"/>
    <w:rsid w:val="001D6052"/>
    <w:rsid w:val="001D60EA"/>
    <w:rsid w:val="001D6113"/>
    <w:rsid w:val="001D6133"/>
    <w:rsid w:val="001D61C9"/>
    <w:rsid w:val="001D634A"/>
    <w:rsid w:val="001D6489"/>
    <w:rsid w:val="001D6518"/>
    <w:rsid w:val="001D65F6"/>
    <w:rsid w:val="001D660E"/>
    <w:rsid w:val="001D676A"/>
    <w:rsid w:val="001D6776"/>
    <w:rsid w:val="001D68A8"/>
    <w:rsid w:val="001D6A42"/>
    <w:rsid w:val="001D6A7E"/>
    <w:rsid w:val="001D6A89"/>
    <w:rsid w:val="001D6AB1"/>
    <w:rsid w:val="001D6E2D"/>
    <w:rsid w:val="001D701A"/>
    <w:rsid w:val="001D701D"/>
    <w:rsid w:val="001D710F"/>
    <w:rsid w:val="001D71EE"/>
    <w:rsid w:val="001D7358"/>
    <w:rsid w:val="001D737B"/>
    <w:rsid w:val="001D73A9"/>
    <w:rsid w:val="001D73B9"/>
    <w:rsid w:val="001D7411"/>
    <w:rsid w:val="001D7555"/>
    <w:rsid w:val="001D7627"/>
    <w:rsid w:val="001D76A9"/>
    <w:rsid w:val="001D783C"/>
    <w:rsid w:val="001D78AA"/>
    <w:rsid w:val="001D7A4C"/>
    <w:rsid w:val="001D7A4D"/>
    <w:rsid w:val="001D7C9A"/>
    <w:rsid w:val="001D7E91"/>
    <w:rsid w:val="001D7F82"/>
    <w:rsid w:val="001E0218"/>
    <w:rsid w:val="001E038F"/>
    <w:rsid w:val="001E0428"/>
    <w:rsid w:val="001E06FC"/>
    <w:rsid w:val="001E07D9"/>
    <w:rsid w:val="001E082E"/>
    <w:rsid w:val="001E08B8"/>
    <w:rsid w:val="001E08F7"/>
    <w:rsid w:val="001E0B4A"/>
    <w:rsid w:val="001E0BB8"/>
    <w:rsid w:val="001E0C45"/>
    <w:rsid w:val="001E0FDB"/>
    <w:rsid w:val="001E1028"/>
    <w:rsid w:val="001E103B"/>
    <w:rsid w:val="001E1339"/>
    <w:rsid w:val="001E15DA"/>
    <w:rsid w:val="001E1733"/>
    <w:rsid w:val="001E17E2"/>
    <w:rsid w:val="001E18CD"/>
    <w:rsid w:val="001E19D8"/>
    <w:rsid w:val="001E1A76"/>
    <w:rsid w:val="001E1C20"/>
    <w:rsid w:val="001E2028"/>
    <w:rsid w:val="001E2093"/>
    <w:rsid w:val="001E21A2"/>
    <w:rsid w:val="001E2293"/>
    <w:rsid w:val="001E22AB"/>
    <w:rsid w:val="001E237E"/>
    <w:rsid w:val="001E2631"/>
    <w:rsid w:val="001E283F"/>
    <w:rsid w:val="001E28F5"/>
    <w:rsid w:val="001E29F9"/>
    <w:rsid w:val="001E2B25"/>
    <w:rsid w:val="001E2B33"/>
    <w:rsid w:val="001E2B6A"/>
    <w:rsid w:val="001E2B8E"/>
    <w:rsid w:val="001E2BF5"/>
    <w:rsid w:val="001E2D6D"/>
    <w:rsid w:val="001E2DD7"/>
    <w:rsid w:val="001E2E68"/>
    <w:rsid w:val="001E2FD0"/>
    <w:rsid w:val="001E301C"/>
    <w:rsid w:val="001E30C0"/>
    <w:rsid w:val="001E31C5"/>
    <w:rsid w:val="001E3228"/>
    <w:rsid w:val="001E327B"/>
    <w:rsid w:val="001E3335"/>
    <w:rsid w:val="001E33E0"/>
    <w:rsid w:val="001E3454"/>
    <w:rsid w:val="001E346E"/>
    <w:rsid w:val="001E35D2"/>
    <w:rsid w:val="001E3645"/>
    <w:rsid w:val="001E379F"/>
    <w:rsid w:val="001E3844"/>
    <w:rsid w:val="001E3895"/>
    <w:rsid w:val="001E3A0C"/>
    <w:rsid w:val="001E3A41"/>
    <w:rsid w:val="001E3A9B"/>
    <w:rsid w:val="001E3AED"/>
    <w:rsid w:val="001E3BE2"/>
    <w:rsid w:val="001E3C53"/>
    <w:rsid w:val="001E3CE7"/>
    <w:rsid w:val="001E3E01"/>
    <w:rsid w:val="001E3E0D"/>
    <w:rsid w:val="001E4130"/>
    <w:rsid w:val="001E4302"/>
    <w:rsid w:val="001E4341"/>
    <w:rsid w:val="001E4399"/>
    <w:rsid w:val="001E443C"/>
    <w:rsid w:val="001E4533"/>
    <w:rsid w:val="001E46FD"/>
    <w:rsid w:val="001E49E6"/>
    <w:rsid w:val="001E4C17"/>
    <w:rsid w:val="001E4C6D"/>
    <w:rsid w:val="001E4DC9"/>
    <w:rsid w:val="001E5032"/>
    <w:rsid w:val="001E54FC"/>
    <w:rsid w:val="001E564D"/>
    <w:rsid w:val="001E5670"/>
    <w:rsid w:val="001E596F"/>
    <w:rsid w:val="001E5AC4"/>
    <w:rsid w:val="001E5B02"/>
    <w:rsid w:val="001E5B34"/>
    <w:rsid w:val="001E5BC2"/>
    <w:rsid w:val="001E5CA1"/>
    <w:rsid w:val="001E5CEE"/>
    <w:rsid w:val="001E5E0A"/>
    <w:rsid w:val="001E5E64"/>
    <w:rsid w:val="001E5E8A"/>
    <w:rsid w:val="001E5F2B"/>
    <w:rsid w:val="001E5FAE"/>
    <w:rsid w:val="001E600E"/>
    <w:rsid w:val="001E6011"/>
    <w:rsid w:val="001E6038"/>
    <w:rsid w:val="001E6058"/>
    <w:rsid w:val="001E6165"/>
    <w:rsid w:val="001E64AD"/>
    <w:rsid w:val="001E6689"/>
    <w:rsid w:val="001E6811"/>
    <w:rsid w:val="001E6898"/>
    <w:rsid w:val="001E68CC"/>
    <w:rsid w:val="001E68E4"/>
    <w:rsid w:val="001E6983"/>
    <w:rsid w:val="001E6B55"/>
    <w:rsid w:val="001E6C09"/>
    <w:rsid w:val="001E6C21"/>
    <w:rsid w:val="001E6CED"/>
    <w:rsid w:val="001E6D60"/>
    <w:rsid w:val="001E6D6C"/>
    <w:rsid w:val="001E6E58"/>
    <w:rsid w:val="001E6ECD"/>
    <w:rsid w:val="001E6F2E"/>
    <w:rsid w:val="001E6FD5"/>
    <w:rsid w:val="001E724E"/>
    <w:rsid w:val="001E7515"/>
    <w:rsid w:val="001E781D"/>
    <w:rsid w:val="001E7832"/>
    <w:rsid w:val="001E7857"/>
    <w:rsid w:val="001E7BAC"/>
    <w:rsid w:val="001E7C20"/>
    <w:rsid w:val="001E7CEA"/>
    <w:rsid w:val="001E7D3C"/>
    <w:rsid w:val="001F0162"/>
    <w:rsid w:val="001F0237"/>
    <w:rsid w:val="001F04A8"/>
    <w:rsid w:val="001F04C7"/>
    <w:rsid w:val="001F04DF"/>
    <w:rsid w:val="001F04FE"/>
    <w:rsid w:val="001F059A"/>
    <w:rsid w:val="001F0982"/>
    <w:rsid w:val="001F0A4C"/>
    <w:rsid w:val="001F0A83"/>
    <w:rsid w:val="001F0A94"/>
    <w:rsid w:val="001F0B92"/>
    <w:rsid w:val="001F0C89"/>
    <w:rsid w:val="001F0D0D"/>
    <w:rsid w:val="001F0D4C"/>
    <w:rsid w:val="001F0FB7"/>
    <w:rsid w:val="001F1119"/>
    <w:rsid w:val="001F1157"/>
    <w:rsid w:val="001F1169"/>
    <w:rsid w:val="001F1389"/>
    <w:rsid w:val="001F13D6"/>
    <w:rsid w:val="001F1445"/>
    <w:rsid w:val="001F1472"/>
    <w:rsid w:val="001F1569"/>
    <w:rsid w:val="001F1958"/>
    <w:rsid w:val="001F1A29"/>
    <w:rsid w:val="001F1C2C"/>
    <w:rsid w:val="001F1D63"/>
    <w:rsid w:val="001F21FD"/>
    <w:rsid w:val="001F23AD"/>
    <w:rsid w:val="001F24C2"/>
    <w:rsid w:val="001F2775"/>
    <w:rsid w:val="001F2815"/>
    <w:rsid w:val="001F2829"/>
    <w:rsid w:val="001F2917"/>
    <w:rsid w:val="001F2973"/>
    <w:rsid w:val="001F2B7B"/>
    <w:rsid w:val="001F2DE0"/>
    <w:rsid w:val="001F2E08"/>
    <w:rsid w:val="001F2F00"/>
    <w:rsid w:val="001F2F51"/>
    <w:rsid w:val="001F31DE"/>
    <w:rsid w:val="001F3323"/>
    <w:rsid w:val="001F36EF"/>
    <w:rsid w:val="001F379D"/>
    <w:rsid w:val="001F393D"/>
    <w:rsid w:val="001F3A34"/>
    <w:rsid w:val="001F3DC3"/>
    <w:rsid w:val="001F40DA"/>
    <w:rsid w:val="001F40E2"/>
    <w:rsid w:val="001F4179"/>
    <w:rsid w:val="001F4448"/>
    <w:rsid w:val="001F45C4"/>
    <w:rsid w:val="001F45E9"/>
    <w:rsid w:val="001F4642"/>
    <w:rsid w:val="001F4665"/>
    <w:rsid w:val="001F4912"/>
    <w:rsid w:val="001F4AD3"/>
    <w:rsid w:val="001F4DCF"/>
    <w:rsid w:val="001F4ECA"/>
    <w:rsid w:val="001F4F98"/>
    <w:rsid w:val="001F51D0"/>
    <w:rsid w:val="001F52EE"/>
    <w:rsid w:val="001F5404"/>
    <w:rsid w:val="001F541A"/>
    <w:rsid w:val="001F582F"/>
    <w:rsid w:val="001F5927"/>
    <w:rsid w:val="001F5B40"/>
    <w:rsid w:val="001F5BFC"/>
    <w:rsid w:val="001F5C60"/>
    <w:rsid w:val="001F5E92"/>
    <w:rsid w:val="001F5F22"/>
    <w:rsid w:val="001F5FE7"/>
    <w:rsid w:val="001F60E3"/>
    <w:rsid w:val="001F60E7"/>
    <w:rsid w:val="001F619D"/>
    <w:rsid w:val="001F61EE"/>
    <w:rsid w:val="001F6232"/>
    <w:rsid w:val="001F6368"/>
    <w:rsid w:val="001F637A"/>
    <w:rsid w:val="001F63B6"/>
    <w:rsid w:val="001F653C"/>
    <w:rsid w:val="001F66B4"/>
    <w:rsid w:val="001F676D"/>
    <w:rsid w:val="001F6823"/>
    <w:rsid w:val="001F6859"/>
    <w:rsid w:val="001F68F9"/>
    <w:rsid w:val="001F69F6"/>
    <w:rsid w:val="001F704C"/>
    <w:rsid w:val="001F7166"/>
    <w:rsid w:val="001F723A"/>
    <w:rsid w:val="001F7309"/>
    <w:rsid w:val="001F7475"/>
    <w:rsid w:val="001F7533"/>
    <w:rsid w:val="001F7559"/>
    <w:rsid w:val="001F7611"/>
    <w:rsid w:val="001F77AF"/>
    <w:rsid w:val="001F7AC1"/>
    <w:rsid w:val="001F7DC8"/>
    <w:rsid w:val="001F7F55"/>
    <w:rsid w:val="002000A4"/>
    <w:rsid w:val="002000B9"/>
    <w:rsid w:val="00200131"/>
    <w:rsid w:val="002003FE"/>
    <w:rsid w:val="00200896"/>
    <w:rsid w:val="00200A38"/>
    <w:rsid w:val="00200B5F"/>
    <w:rsid w:val="00200C04"/>
    <w:rsid w:val="00200C94"/>
    <w:rsid w:val="00200DBB"/>
    <w:rsid w:val="00200E12"/>
    <w:rsid w:val="00200FE1"/>
    <w:rsid w:val="00201018"/>
    <w:rsid w:val="00201305"/>
    <w:rsid w:val="00201526"/>
    <w:rsid w:val="002016C0"/>
    <w:rsid w:val="0020179D"/>
    <w:rsid w:val="00201897"/>
    <w:rsid w:val="00201898"/>
    <w:rsid w:val="002019E3"/>
    <w:rsid w:val="00201A91"/>
    <w:rsid w:val="00201D1D"/>
    <w:rsid w:val="00201D72"/>
    <w:rsid w:val="00201D95"/>
    <w:rsid w:val="00201F88"/>
    <w:rsid w:val="00202121"/>
    <w:rsid w:val="002021DE"/>
    <w:rsid w:val="0020235C"/>
    <w:rsid w:val="0020237D"/>
    <w:rsid w:val="00202392"/>
    <w:rsid w:val="00202598"/>
    <w:rsid w:val="002025DB"/>
    <w:rsid w:val="00202730"/>
    <w:rsid w:val="0020277D"/>
    <w:rsid w:val="00202891"/>
    <w:rsid w:val="00202AE6"/>
    <w:rsid w:val="00202BC1"/>
    <w:rsid w:val="00202CAD"/>
    <w:rsid w:val="00202DD5"/>
    <w:rsid w:val="00202F29"/>
    <w:rsid w:val="00202FD1"/>
    <w:rsid w:val="002032AF"/>
    <w:rsid w:val="002036C0"/>
    <w:rsid w:val="00203777"/>
    <w:rsid w:val="0020380C"/>
    <w:rsid w:val="00203811"/>
    <w:rsid w:val="00203987"/>
    <w:rsid w:val="002039B9"/>
    <w:rsid w:val="002039DE"/>
    <w:rsid w:val="00203A22"/>
    <w:rsid w:val="00203A2A"/>
    <w:rsid w:val="00203B4B"/>
    <w:rsid w:val="00203BCB"/>
    <w:rsid w:val="00203C74"/>
    <w:rsid w:val="00203EE0"/>
    <w:rsid w:val="00204077"/>
    <w:rsid w:val="002040B1"/>
    <w:rsid w:val="002043C7"/>
    <w:rsid w:val="00204499"/>
    <w:rsid w:val="00204645"/>
    <w:rsid w:val="002046A5"/>
    <w:rsid w:val="0020480A"/>
    <w:rsid w:val="00204870"/>
    <w:rsid w:val="00204AC5"/>
    <w:rsid w:val="00204E54"/>
    <w:rsid w:val="0020521E"/>
    <w:rsid w:val="00205399"/>
    <w:rsid w:val="002056CE"/>
    <w:rsid w:val="00205766"/>
    <w:rsid w:val="00205A16"/>
    <w:rsid w:val="00205A2C"/>
    <w:rsid w:val="00205A3F"/>
    <w:rsid w:val="00205A72"/>
    <w:rsid w:val="00205B22"/>
    <w:rsid w:val="00205D4A"/>
    <w:rsid w:val="00205D89"/>
    <w:rsid w:val="00205FD9"/>
    <w:rsid w:val="0020601D"/>
    <w:rsid w:val="0020607A"/>
    <w:rsid w:val="0020607B"/>
    <w:rsid w:val="00206201"/>
    <w:rsid w:val="00206255"/>
    <w:rsid w:val="0020646F"/>
    <w:rsid w:val="00206570"/>
    <w:rsid w:val="002065A5"/>
    <w:rsid w:val="002067FC"/>
    <w:rsid w:val="00206877"/>
    <w:rsid w:val="002068E3"/>
    <w:rsid w:val="00206B44"/>
    <w:rsid w:val="00206DE7"/>
    <w:rsid w:val="00206E4F"/>
    <w:rsid w:val="00206ED8"/>
    <w:rsid w:val="00206F4A"/>
    <w:rsid w:val="00207112"/>
    <w:rsid w:val="00207254"/>
    <w:rsid w:val="00207295"/>
    <w:rsid w:val="00207421"/>
    <w:rsid w:val="002074BC"/>
    <w:rsid w:val="0020763C"/>
    <w:rsid w:val="002076A2"/>
    <w:rsid w:val="002077E1"/>
    <w:rsid w:val="002078A3"/>
    <w:rsid w:val="002078A7"/>
    <w:rsid w:val="002078DD"/>
    <w:rsid w:val="00207A21"/>
    <w:rsid w:val="00207AEF"/>
    <w:rsid w:val="00207E00"/>
    <w:rsid w:val="00207E8C"/>
    <w:rsid w:val="00207F33"/>
    <w:rsid w:val="00207FE0"/>
    <w:rsid w:val="0021001E"/>
    <w:rsid w:val="0021035A"/>
    <w:rsid w:val="0021036A"/>
    <w:rsid w:val="002103EC"/>
    <w:rsid w:val="0021040A"/>
    <w:rsid w:val="00210425"/>
    <w:rsid w:val="0021045A"/>
    <w:rsid w:val="002104AB"/>
    <w:rsid w:val="002105BB"/>
    <w:rsid w:val="002109CC"/>
    <w:rsid w:val="00210A62"/>
    <w:rsid w:val="00210BE1"/>
    <w:rsid w:val="00210E95"/>
    <w:rsid w:val="00210F06"/>
    <w:rsid w:val="00210F0F"/>
    <w:rsid w:val="00211239"/>
    <w:rsid w:val="00211328"/>
    <w:rsid w:val="0021139C"/>
    <w:rsid w:val="0021164B"/>
    <w:rsid w:val="002118A7"/>
    <w:rsid w:val="00211BD8"/>
    <w:rsid w:val="00211BFA"/>
    <w:rsid w:val="00211BFF"/>
    <w:rsid w:val="00211D7B"/>
    <w:rsid w:val="00211E1E"/>
    <w:rsid w:val="00211E6F"/>
    <w:rsid w:val="00211FC9"/>
    <w:rsid w:val="00212123"/>
    <w:rsid w:val="002121E6"/>
    <w:rsid w:val="00212323"/>
    <w:rsid w:val="00212474"/>
    <w:rsid w:val="00212628"/>
    <w:rsid w:val="0021275E"/>
    <w:rsid w:val="0021288A"/>
    <w:rsid w:val="00212894"/>
    <w:rsid w:val="00212A2C"/>
    <w:rsid w:val="00212C3F"/>
    <w:rsid w:val="00212DA4"/>
    <w:rsid w:val="00212DB4"/>
    <w:rsid w:val="00212DDB"/>
    <w:rsid w:val="0021303B"/>
    <w:rsid w:val="00213110"/>
    <w:rsid w:val="00213128"/>
    <w:rsid w:val="002132CB"/>
    <w:rsid w:val="0021350C"/>
    <w:rsid w:val="002135EA"/>
    <w:rsid w:val="0021367B"/>
    <w:rsid w:val="002137BF"/>
    <w:rsid w:val="00213A6B"/>
    <w:rsid w:val="00213A72"/>
    <w:rsid w:val="00213A73"/>
    <w:rsid w:val="00213C84"/>
    <w:rsid w:val="00213CB2"/>
    <w:rsid w:val="00213DC6"/>
    <w:rsid w:val="00213EE4"/>
    <w:rsid w:val="00213F64"/>
    <w:rsid w:val="00213F88"/>
    <w:rsid w:val="00213FB7"/>
    <w:rsid w:val="0021412F"/>
    <w:rsid w:val="002141FF"/>
    <w:rsid w:val="002143F9"/>
    <w:rsid w:val="002145FE"/>
    <w:rsid w:val="00214947"/>
    <w:rsid w:val="00214A69"/>
    <w:rsid w:val="00214BD1"/>
    <w:rsid w:val="00214C2A"/>
    <w:rsid w:val="00214D65"/>
    <w:rsid w:val="002152FB"/>
    <w:rsid w:val="00215623"/>
    <w:rsid w:val="002157EB"/>
    <w:rsid w:val="002157ED"/>
    <w:rsid w:val="0021587E"/>
    <w:rsid w:val="002158DC"/>
    <w:rsid w:val="0021594A"/>
    <w:rsid w:val="002159AE"/>
    <w:rsid w:val="00215AAD"/>
    <w:rsid w:val="00215ACB"/>
    <w:rsid w:val="00215D03"/>
    <w:rsid w:val="00215EA5"/>
    <w:rsid w:val="00215F02"/>
    <w:rsid w:val="00216153"/>
    <w:rsid w:val="00216192"/>
    <w:rsid w:val="0021621D"/>
    <w:rsid w:val="002162CE"/>
    <w:rsid w:val="00216390"/>
    <w:rsid w:val="00216568"/>
    <w:rsid w:val="0021678C"/>
    <w:rsid w:val="00216816"/>
    <w:rsid w:val="002168A9"/>
    <w:rsid w:val="002169A2"/>
    <w:rsid w:val="00216A01"/>
    <w:rsid w:val="00216A4C"/>
    <w:rsid w:val="00216A72"/>
    <w:rsid w:val="00216A83"/>
    <w:rsid w:val="00216AA4"/>
    <w:rsid w:val="00216C49"/>
    <w:rsid w:val="00216E1D"/>
    <w:rsid w:val="00216EF6"/>
    <w:rsid w:val="0021707C"/>
    <w:rsid w:val="002171E4"/>
    <w:rsid w:val="00217304"/>
    <w:rsid w:val="00217455"/>
    <w:rsid w:val="0021747E"/>
    <w:rsid w:val="00217607"/>
    <w:rsid w:val="00217928"/>
    <w:rsid w:val="002179EB"/>
    <w:rsid w:val="00217B7B"/>
    <w:rsid w:val="00217BD9"/>
    <w:rsid w:val="00217DAF"/>
    <w:rsid w:val="00217E3F"/>
    <w:rsid w:val="00217E62"/>
    <w:rsid w:val="00217F45"/>
    <w:rsid w:val="0022002A"/>
    <w:rsid w:val="002200EB"/>
    <w:rsid w:val="0022016F"/>
    <w:rsid w:val="00220220"/>
    <w:rsid w:val="002202E5"/>
    <w:rsid w:val="00220517"/>
    <w:rsid w:val="0022053C"/>
    <w:rsid w:val="0022057D"/>
    <w:rsid w:val="0022063C"/>
    <w:rsid w:val="00220845"/>
    <w:rsid w:val="00220945"/>
    <w:rsid w:val="00220A4E"/>
    <w:rsid w:val="00220AF6"/>
    <w:rsid w:val="00220E99"/>
    <w:rsid w:val="0022104B"/>
    <w:rsid w:val="00221400"/>
    <w:rsid w:val="00221576"/>
    <w:rsid w:val="0022163B"/>
    <w:rsid w:val="00221669"/>
    <w:rsid w:val="00221738"/>
    <w:rsid w:val="0022173E"/>
    <w:rsid w:val="002218D2"/>
    <w:rsid w:val="002219A0"/>
    <w:rsid w:val="002219A4"/>
    <w:rsid w:val="00221A1F"/>
    <w:rsid w:val="00221BC0"/>
    <w:rsid w:val="00221D31"/>
    <w:rsid w:val="00222097"/>
    <w:rsid w:val="00222298"/>
    <w:rsid w:val="002222C3"/>
    <w:rsid w:val="0022246A"/>
    <w:rsid w:val="002225A5"/>
    <w:rsid w:val="00222695"/>
    <w:rsid w:val="0022269F"/>
    <w:rsid w:val="00222746"/>
    <w:rsid w:val="00222923"/>
    <w:rsid w:val="00222AAE"/>
    <w:rsid w:val="00222B4E"/>
    <w:rsid w:val="00222BA3"/>
    <w:rsid w:val="00222C9E"/>
    <w:rsid w:val="00222CDC"/>
    <w:rsid w:val="00222DE1"/>
    <w:rsid w:val="00222E2F"/>
    <w:rsid w:val="00222ECC"/>
    <w:rsid w:val="00222EF7"/>
    <w:rsid w:val="00223151"/>
    <w:rsid w:val="00223210"/>
    <w:rsid w:val="00223543"/>
    <w:rsid w:val="002235E9"/>
    <w:rsid w:val="00223852"/>
    <w:rsid w:val="00223C0D"/>
    <w:rsid w:val="00223E1D"/>
    <w:rsid w:val="00223FBD"/>
    <w:rsid w:val="002240E3"/>
    <w:rsid w:val="00224244"/>
    <w:rsid w:val="00224594"/>
    <w:rsid w:val="00224620"/>
    <w:rsid w:val="002246D8"/>
    <w:rsid w:val="0022476A"/>
    <w:rsid w:val="0022479B"/>
    <w:rsid w:val="00224837"/>
    <w:rsid w:val="00224844"/>
    <w:rsid w:val="00224986"/>
    <w:rsid w:val="002249C5"/>
    <w:rsid w:val="00224ACB"/>
    <w:rsid w:val="00224C15"/>
    <w:rsid w:val="00224C82"/>
    <w:rsid w:val="00224D87"/>
    <w:rsid w:val="00224E22"/>
    <w:rsid w:val="00224E53"/>
    <w:rsid w:val="00224ED7"/>
    <w:rsid w:val="00224EEF"/>
    <w:rsid w:val="00224FE7"/>
    <w:rsid w:val="0022510E"/>
    <w:rsid w:val="002251E6"/>
    <w:rsid w:val="00225371"/>
    <w:rsid w:val="002253B1"/>
    <w:rsid w:val="002254B2"/>
    <w:rsid w:val="002257E8"/>
    <w:rsid w:val="00225845"/>
    <w:rsid w:val="00225A20"/>
    <w:rsid w:val="00225A9F"/>
    <w:rsid w:val="00225B0F"/>
    <w:rsid w:val="00225B90"/>
    <w:rsid w:val="00225CDB"/>
    <w:rsid w:val="00225CE3"/>
    <w:rsid w:val="00225D3F"/>
    <w:rsid w:val="00225E1A"/>
    <w:rsid w:val="00225F22"/>
    <w:rsid w:val="00226098"/>
    <w:rsid w:val="002261D8"/>
    <w:rsid w:val="00226512"/>
    <w:rsid w:val="00226533"/>
    <w:rsid w:val="002265B4"/>
    <w:rsid w:val="0022668C"/>
    <w:rsid w:val="00226720"/>
    <w:rsid w:val="002267DB"/>
    <w:rsid w:val="00226809"/>
    <w:rsid w:val="00226A69"/>
    <w:rsid w:val="00226B0C"/>
    <w:rsid w:val="00226E00"/>
    <w:rsid w:val="00226ECA"/>
    <w:rsid w:val="00226FAC"/>
    <w:rsid w:val="002272CD"/>
    <w:rsid w:val="002272E2"/>
    <w:rsid w:val="0022754D"/>
    <w:rsid w:val="00227554"/>
    <w:rsid w:val="00227A92"/>
    <w:rsid w:val="00227D30"/>
    <w:rsid w:val="00227E08"/>
    <w:rsid w:val="00227E55"/>
    <w:rsid w:val="00227E60"/>
    <w:rsid w:val="00230130"/>
    <w:rsid w:val="00230137"/>
    <w:rsid w:val="002302E8"/>
    <w:rsid w:val="00230483"/>
    <w:rsid w:val="0023053A"/>
    <w:rsid w:val="0023058D"/>
    <w:rsid w:val="0023060C"/>
    <w:rsid w:val="00230857"/>
    <w:rsid w:val="002308A7"/>
    <w:rsid w:val="002309B6"/>
    <w:rsid w:val="00230B7A"/>
    <w:rsid w:val="00230BE3"/>
    <w:rsid w:val="00230C18"/>
    <w:rsid w:val="00230C23"/>
    <w:rsid w:val="00230D32"/>
    <w:rsid w:val="00230E37"/>
    <w:rsid w:val="00230F3A"/>
    <w:rsid w:val="002310D9"/>
    <w:rsid w:val="0023131F"/>
    <w:rsid w:val="0023133F"/>
    <w:rsid w:val="00231639"/>
    <w:rsid w:val="00231872"/>
    <w:rsid w:val="002318D6"/>
    <w:rsid w:val="002319F8"/>
    <w:rsid w:val="00231CBC"/>
    <w:rsid w:val="00231DAD"/>
    <w:rsid w:val="00231E67"/>
    <w:rsid w:val="00231E9A"/>
    <w:rsid w:val="00231EF6"/>
    <w:rsid w:val="00231F88"/>
    <w:rsid w:val="002320AE"/>
    <w:rsid w:val="0023211F"/>
    <w:rsid w:val="00232187"/>
    <w:rsid w:val="00232261"/>
    <w:rsid w:val="002322D7"/>
    <w:rsid w:val="00232538"/>
    <w:rsid w:val="002326D2"/>
    <w:rsid w:val="0023271F"/>
    <w:rsid w:val="002327BE"/>
    <w:rsid w:val="00232869"/>
    <w:rsid w:val="00232AC4"/>
    <w:rsid w:val="00232B50"/>
    <w:rsid w:val="00232C80"/>
    <w:rsid w:val="00232D3C"/>
    <w:rsid w:val="00232E49"/>
    <w:rsid w:val="00232F55"/>
    <w:rsid w:val="00233042"/>
    <w:rsid w:val="00233090"/>
    <w:rsid w:val="002332DC"/>
    <w:rsid w:val="002333EC"/>
    <w:rsid w:val="0023357F"/>
    <w:rsid w:val="002335E4"/>
    <w:rsid w:val="00233760"/>
    <w:rsid w:val="0023389B"/>
    <w:rsid w:val="00233BB7"/>
    <w:rsid w:val="00233D34"/>
    <w:rsid w:val="00233D3D"/>
    <w:rsid w:val="00233D7E"/>
    <w:rsid w:val="00233F33"/>
    <w:rsid w:val="00233FBC"/>
    <w:rsid w:val="00234166"/>
    <w:rsid w:val="0023420B"/>
    <w:rsid w:val="0023424E"/>
    <w:rsid w:val="00234533"/>
    <w:rsid w:val="00234585"/>
    <w:rsid w:val="00234590"/>
    <w:rsid w:val="002345CC"/>
    <w:rsid w:val="00234726"/>
    <w:rsid w:val="002347D4"/>
    <w:rsid w:val="0023481D"/>
    <w:rsid w:val="00234AA9"/>
    <w:rsid w:val="00234B36"/>
    <w:rsid w:val="00234CFD"/>
    <w:rsid w:val="00234D42"/>
    <w:rsid w:val="00234E29"/>
    <w:rsid w:val="00234FD3"/>
    <w:rsid w:val="002350CE"/>
    <w:rsid w:val="00235234"/>
    <w:rsid w:val="0023524C"/>
    <w:rsid w:val="002352FD"/>
    <w:rsid w:val="002353A6"/>
    <w:rsid w:val="002356F5"/>
    <w:rsid w:val="0023595A"/>
    <w:rsid w:val="00235989"/>
    <w:rsid w:val="00235A5B"/>
    <w:rsid w:val="00235A9D"/>
    <w:rsid w:val="00235B46"/>
    <w:rsid w:val="00235DAE"/>
    <w:rsid w:val="00235E82"/>
    <w:rsid w:val="00235EDF"/>
    <w:rsid w:val="002361E6"/>
    <w:rsid w:val="00236203"/>
    <w:rsid w:val="00236224"/>
    <w:rsid w:val="0023635D"/>
    <w:rsid w:val="002368CC"/>
    <w:rsid w:val="00236917"/>
    <w:rsid w:val="00236BC4"/>
    <w:rsid w:val="00236D9E"/>
    <w:rsid w:val="00236E11"/>
    <w:rsid w:val="00236F70"/>
    <w:rsid w:val="00236FCE"/>
    <w:rsid w:val="00236FFD"/>
    <w:rsid w:val="00237035"/>
    <w:rsid w:val="002372A6"/>
    <w:rsid w:val="002372D8"/>
    <w:rsid w:val="0023736F"/>
    <w:rsid w:val="0023748D"/>
    <w:rsid w:val="002374F4"/>
    <w:rsid w:val="00237674"/>
    <w:rsid w:val="002376BE"/>
    <w:rsid w:val="002377C9"/>
    <w:rsid w:val="002379A0"/>
    <w:rsid w:val="002379C1"/>
    <w:rsid w:val="00237B4F"/>
    <w:rsid w:val="00237E00"/>
    <w:rsid w:val="0024000F"/>
    <w:rsid w:val="00240149"/>
    <w:rsid w:val="00240492"/>
    <w:rsid w:val="00240565"/>
    <w:rsid w:val="002408B2"/>
    <w:rsid w:val="00240972"/>
    <w:rsid w:val="002409B4"/>
    <w:rsid w:val="00240A47"/>
    <w:rsid w:val="00240AD3"/>
    <w:rsid w:val="00240E1C"/>
    <w:rsid w:val="002414B3"/>
    <w:rsid w:val="00241809"/>
    <w:rsid w:val="0024185F"/>
    <w:rsid w:val="002418E3"/>
    <w:rsid w:val="00241965"/>
    <w:rsid w:val="00241A4E"/>
    <w:rsid w:val="00241AB4"/>
    <w:rsid w:val="00241AE4"/>
    <w:rsid w:val="00241B59"/>
    <w:rsid w:val="00241D6F"/>
    <w:rsid w:val="00242325"/>
    <w:rsid w:val="00242351"/>
    <w:rsid w:val="00242679"/>
    <w:rsid w:val="00242C20"/>
    <w:rsid w:val="00242C42"/>
    <w:rsid w:val="00242C66"/>
    <w:rsid w:val="00242E75"/>
    <w:rsid w:val="00243015"/>
    <w:rsid w:val="00243161"/>
    <w:rsid w:val="00243168"/>
    <w:rsid w:val="002431DB"/>
    <w:rsid w:val="00243269"/>
    <w:rsid w:val="0024326A"/>
    <w:rsid w:val="00243319"/>
    <w:rsid w:val="00243406"/>
    <w:rsid w:val="002434C2"/>
    <w:rsid w:val="00243804"/>
    <w:rsid w:val="0024390E"/>
    <w:rsid w:val="00243A0E"/>
    <w:rsid w:val="00243A28"/>
    <w:rsid w:val="00243B1A"/>
    <w:rsid w:val="00243B96"/>
    <w:rsid w:val="00243E78"/>
    <w:rsid w:val="00243F25"/>
    <w:rsid w:val="002441CD"/>
    <w:rsid w:val="002442B0"/>
    <w:rsid w:val="0024433A"/>
    <w:rsid w:val="002443D5"/>
    <w:rsid w:val="002444B7"/>
    <w:rsid w:val="002444ED"/>
    <w:rsid w:val="00244695"/>
    <w:rsid w:val="0024469F"/>
    <w:rsid w:val="002446D9"/>
    <w:rsid w:val="002447BA"/>
    <w:rsid w:val="002447C3"/>
    <w:rsid w:val="00244D63"/>
    <w:rsid w:val="00244F53"/>
    <w:rsid w:val="00245166"/>
    <w:rsid w:val="00245225"/>
    <w:rsid w:val="00245407"/>
    <w:rsid w:val="00245433"/>
    <w:rsid w:val="0024559B"/>
    <w:rsid w:val="00245622"/>
    <w:rsid w:val="00245921"/>
    <w:rsid w:val="00245AE9"/>
    <w:rsid w:val="00245DEE"/>
    <w:rsid w:val="00245EDA"/>
    <w:rsid w:val="00245EE8"/>
    <w:rsid w:val="0024619D"/>
    <w:rsid w:val="00246525"/>
    <w:rsid w:val="0024654F"/>
    <w:rsid w:val="002465B8"/>
    <w:rsid w:val="002465FA"/>
    <w:rsid w:val="002467ED"/>
    <w:rsid w:val="00246AC9"/>
    <w:rsid w:val="00246C35"/>
    <w:rsid w:val="00246C44"/>
    <w:rsid w:val="00246E9E"/>
    <w:rsid w:val="00246F25"/>
    <w:rsid w:val="00246FC7"/>
    <w:rsid w:val="00246FD9"/>
    <w:rsid w:val="0024732B"/>
    <w:rsid w:val="002476A0"/>
    <w:rsid w:val="0024771D"/>
    <w:rsid w:val="0024772F"/>
    <w:rsid w:val="002479BD"/>
    <w:rsid w:val="00247DE9"/>
    <w:rsid w:val="00247F82"/>
    <w:rsid w:val="00250551"/>
    <w:rsid w:val="0025063E"/>
    <w:rsid w:val="00250697"/>
    <w:rsid w:val="002507D9"/>
    <w:rsid w:val="00250921"/>
    <w:rsid w:val="00250AFF"/>
    <w:rsid w:val="00250B06"/>
    <w:rsid w:val="00250CE0"/>
    <w:rsid w:val="00250E37"/>
    <w:rsid w:val="00250E58"/>
    <w:rsid w:val="00250E70"/>
    <w:rsid w:val="00250EA5"/>
    <w:rsid w:val="002512E9"/>
    <w:rsid w:val="002513F5"/>
    <w:rsid w:val="002515E8"/>
    <w:rsid w:val="0025168E"/>
    <w:rsid w:val="00251951"/>
    <w:rsid w:val="00251A29"/>
    <w:rsid w:val="00251E45"/>
    <w:rsid w:val="00251F7F"/>
    <w:rsid w:val="0025216E"/>
    <w:rsid w:val="00252205"/>
    <w:rsid w:val="00252435"/>
    <w:rsid w:val="002524CB"/>
    <w:rsid w:val="00252691"/>
    <w:rsid w:val="002529DB"/>
    <w:rsid w:val="00252AAC"/>
    <w:rsid w:val="00252C28"/>
    <w:rsid w:val="00252CA6"/>
    <w:rsid w:val="00252CB1"/>
    <w:rsid w:val="00252D68"/>
    <w:rsid w:val="00252D9B"/>
    <w:rsid w:val="00252F0E"/>
    <w:rsid w:val="00252FA9"/>
    <w:rsid w:val="002530B5"/>
    <w:rsid w:val="002530C1"/>
    <w:rsid w:val="0025310F"/>
    <w:rsid w:val="002535E2"/>
    <w:rsid w:val="0025369F"/>
    <w:rsid w:val="00253760"/>
    <w:rsid w:val="00253895"/>
    <w:rsid w:val="00253CCB"/>
    <w:rsid w:val="00253D74"/>
    <w:rsid w:val="00253E2E"/>
    <w:rsid w:val="00253E85"/>
    <w:rsid w:val="002540D0"/>
    <w:rsid w:val="002541EF"/>
    <w:rsid w:val="002543CA"/>
    <w:rsid w:val="002543E0"/>
    <w:rsid w:val="00254404"/>
    <w:rsid w:val="0025444B"/>
    <w:rsid w:val="00254572"/>
    <w:rsid w:val="0025463F"/>
    <w:rsid w:val="00254769"/>
    <w:rsid w:val="00254790"/>
    <w:rsid w:val="0025483B"/>
    <w:rsid w:val="002548A7"/>
    <w:rsid w:val="00254989"/>
    <w:rsid w:val="00254B36"/>
    <w:rsid w:val="00254B9F"/>
    <w:rsid w:val="00254BC8"/>
    <w:rsid w:val="00254D23"/>
    <w:rsid w:val="00254DF1"/>
    <w:rsid w:val="002553E2"/>
    <w:rsid w:val="00255439"/>
    <w:rsid w:val="00255486"/>
    <w:rsid w:val="002557DD"/>
    <w:rsid w:val="0025585F"/>
    <w:rsid w:val="002558AE"/>
    <w:rsid w:val="002558BD"/>
    <w:rsid w:val="00255EA7"/>
    <w:rsid w:val="00255F79"/>
    <w:rsid w:val="00255FD1"/>
    <w:rsid w:val="0025612A"/>
    <w:rsid w:val="00256138"/>
    <w:rsid w:val="0025653D"/>
    <w:rsid w:val="0025656D"/>
    <w:rsid w:val="002566EA"/>
    <w:rsid w:val="00256816"/>
    <w:rsid w:val="002568AD"/>
    <w:rsid w:val="002569FF"/>
    <w:rsid w:val="00256A5A"/>
    <w:rsid w:val="00256C0B"/>
    <w:rsid w:val="00256C22"/>
    <w:rsid w:val="00256C76"/>
    <w:rsid w:val="00256C80"/>
    <w:rsid w:val="00256C89"/>
    <w:rsid w:val="00256DE0"/>
    <w:rsid w:val="00256F40"/>
    <w:rsid w:val="00257061"/>
    <w:rsid w:val="00257091"/>
    <w:rsid w:val="002570CC"/>
    <w:rsid w:val="002570DE"/>
    <w:rsid w:val="00257118"/>
    <w:rsid w:val="00257131"/>
    <w:rsid w:val="00257182"/>
    <w:rsid w:val="002571F7"/>
    <w:rsid w:val="002572E4"/>
    <w:rsid w:val="0025757F"/>
    <w:rsid w:val="0025780F"/>
    <w:rsid w:val="002578C1"/>
    <w:rsid w:val="00257DCB"/>
    <w:rsid w:val="00257E49"/>
    <w:rsid w:val="0026024D"/>
    <w:rsid w:val="002602ED"/>
    <w:rsid w:val="002603CC"/>
    <w:rsid w:val="002604F4"/>
    <w:rsid w:val="00260569"/>
    <w:rsid w:val="00260577"/>
    <w:rsid w:val="002607B6"/>
    <w:rsid w:val="0026092F"/>
    <w:rsid w:val="00260BA2"/>
    <w:rsid w:val="00260C29"/>
    <w:rsid w:val="00260CEB"/>
    <w:rsid w:val="00260F6A"/>
    <w:rsid w:val="00260FBF"/>
    <w:rsid w:val="00260FD8"/>
    <w:rsid w:val="002613EB"/>
    <w:rsid w:val="0026157C"/>
    <w:rsid w:val="00261612"/>
    <w:rsid w:val="00261889"/>
    <w:rsid w:val="00261B35"/>
    <w:rsid w:val="00261B9C"/>
    <w:rsid w:val="00261BD7"/>
    <w:rsid w:val="00261CC0"/>
    <w:rsid w:val="00261CEB"/>
    <w:rsid w:val="00261D95"/>
    <w:rsid w:val="00261DEA"/>
    <w:rsid w:val="00261E1A"/>
    <w:rsid w:val="00261EBA"/>
    <w:rsid w:val="00261FD9"/>
    <w:rsid w:val="00262122"/>
    <w:rsid w:val="00262284"/>
    <w:rsid w:val="002623F6"/>
    <w:rsid w:val="00262554"/>
    <w:rsid w:val="00262588"/>
    <w:rsid w:val="002625D1"/>
    <w:rsid w:val="002625F0"/>
    <w:rsid w:val="0026285C"/>
    <w:rsid w:val="002629C9"/>
    <w:rsid w:val="00262AB8"/>
    <w:rsid w:val="00262B58"/>
    <w:rsid w:val="00262B92"/>
    <w:rsid w:val="00262E0B"/>
    <w:rsid w:val="00262E9E"/>
    <w:rsid w:val="00262F15"/>
    <w:rsid w:val="0026303B"/>
    <w:rsid w:val="002630AB"/>
    <w:rsid w:val="0026319B"/>
    <w:rsid w:val="002632E3"/>
    <w:rsid w:val="002636DF"/>
    <w:rsid w:val="0026377E"/>
    <w:rsid w:val="00263853"/>
    <w:rsid w:val="002638AC"/>
    <w:rsid w:val="002639E8"/>
    <w:rsid w:val="00263C21"/>
    <w:rsid w:val="00263EC5"/>
    <w:rsid w:val="00264091"/>
    <w:rsid w:val="0026411F"/>
    <w:rsid w:val="0026431B"/>
    <w:rsid w:val="002644BF"/>
    <w:rsid w:val="00264520"/>
    <w:rsid w:val="00264824"/>
    <w:rsid w:val="002649E3"/>
    <w:rsid w:val="00264AD1"/>
    <w:rsid w:val="00264B27"/>
    <w:rsid w:val="00264CDC"/>
    <w:rsid w:val="00264D23"/>
    <w:rsid w:val="00264E3C"/>
    <w:rsid w:val="0026502D"/>
    <w:rsid w:val="00265059"/>
    <w:rsid w:val="00265111"/>
    <w:rsid w:val="00265287"/>
    <w:rsid w:val="002654F2"/>
    <w:rsid w:val="0026561A"/>
    <w:rsid w:val="002656B8"/>
    <w:rsid w:val="00265727"/>
    <w:rsid w:val="002657BF"/>
    <w:rsid w:val="00265810"/>
    <w:rsid w:val="00265A7C"/>
    <w:rsid w:val="00265C15"/>
    <w:rsid w:val="00265C64"/>
    <w:rsid w:val="00265DF5"/>
    <w:rsid w:val="00265F4E"/>
    <w:rsid w:val="00265FA7"/>
    <w:rsid w:val="00266039"/>
    <w:rsid w:val="00266165"/>
    <w:rsid w:val="0026633C"/>
    <w:rsid w:val="002663B7"/>
    <w:rsid w:val="002663E4"/>
    <w:rsid w:val="0026649E"/>
    <w:rsid w:val="00266821"/>
    <w:rsid w:val="002668B6"/>
    <w:rsid w:val="0026697D"/>
    <w:rsid w:val="002669DB"/>
    <w:rsid w:val="00266AA9"/>
    <w:rsid w:val="00266BE2"/>
    <w:rsid w:val="00266CF5"/>
    <w:rsid w:val="00266ED1"/>
    <w:rsid w:val="002672E8"/>
    <w:rsid w:val="00267398"/>
    <w:rsid w:val="00267500"/>
    <w:rsid w:val="00267675"/>
    <w:rsid w:val="00267AF8"/>
    <w:rsid w:val="00267BFB"/>
    <w:rsid w:val="00267BFC"/>
    <w:rsid w:val="00267C04"/>
    <w:rsid w:val="00267C6D"/>
    <w:rsid w:val="00267CDC"/>
    <w:rsid w:val="00267F02"/>
    <w:rsid w:val="00267FAC"/>
    <w:rsid w:val="002700E9"/>
    <w:rsid w:val="00270304"/>
    <w:rsid w:val="0027035D"/>
    <w:rsid w:val="00270549"/>
    <w:rsid w:val="00270722"/>
    <w:rsid w:val="002709B7"/>
    <w:rsid w:val="00270C66"/>
    <w:rsid w:val="00270D46"/>
    <w:rsid w:val="00270D58"/>
    <w:rsid w:val="00270DC5"/>
    <w:rsid w:val="00270E3E"/>
    <w:rsid w:val="00270F82"/>
    <w:rsid w:val="00270FC4"/>
    <w:rsid w:val="0027113B"/>
    <w:rsid w:val="00271216"/>
    <w:rsid w:val="00271290"/>
    <w:rsid w:val="0027145F"/>
    <w:rsid w:val="00271578"/>
    <w:rsid w:val="002717E1"/>
    <w:rsid w:val="0027187C"/>
    <w:rsid w:val="0027189C"/>
    <w:rsid w:val="002719B7"/>
    <w:rsid w:val="00271AB1"/>
    <w:rsid w:val="00271CF5"/>
    <w:rsid w:val="00271D4A"/>
    <w:rsid w:val="00271FCE"/>
    <w:rsid w:val="00271FE5"/>
    <w:rsid w:val="0027226D"/>
    <w:rsid w:val="00272379"/>
    <w:rsid w:val="002723BB"/>
    <w:rsid w:val="00272536"/>
    <w:rsid w:val="0027268E"/>
    <w:rsid w:val="002726DC"/>
    <w:rsid w:val="00272C1D"/>
    <w:rsid w:val="00272CA9"/>
    <w:rsid w:val="00272D96"/>
    <w:rsid w:val="00272E6C"/>
    <w:rsid w:val="00272FF1"/>
    <w:rsid w:val="00273215"/>
    <w:rsid w:val="002732FA"/>
    <w:rsid w:val="002733A4"/>
    <w:rsid w:val="00273480"/>
    <w:rsid w:val="00273654"/>
    <w:rsid w:val="002736CE"/>
    <w:rsid w:val="002738E3"/>
    <w:rsid w:val="00273981"/>
    <w:rsid w:val="00273A79"/>
    <w:rsid w:val="00273B2D"/>
    <w:rsid w:val="00273BB7"/>
    <w:rsid w:val="00273C59"/>
    <w:rsid w:val="00273C83"/>
    <w:rsid w:val="00273F1C"/>
    <w:rsid w:val="00274196"/>
    <w:rsid w:val="00274282"/>
    <w:rsid w:val="002742CF"/>
    <w:rsid w:val="00274342"/>
    <w:rsid w:val="0027437D"/>
    <w:rsid w:val="00274420"/>
    <w:rsid w:val="00274421"/>
    <w:rsid w:val="0027443D"/>
    <w:rsid w:val="002746A6"/>
    <w:rsid w:val="002746B2"/>
    <w:rsid w:val="00274716"/>
    <w:rsid w:val="00274892"/>
    <w:rsid w:val="002749C4"/>
    <w:rsid w:val="00274BA0"/>
    <w:rsid w:val="00274D5B"/>
    <w:rsid w:val="00274D5C"/>
    <w:rsid w:val="00274EED"/>
    <w:rsid w:val="00274F79"/>
    <w:rsid w:val="0027503A"/>
    <w:rsid w:val="00275136"/>
    <w:rsid w:val="00275145"/>
    <w:rsid w:val="00275147"/>
    <w:rsid w:val="002752FF"/>
    <w:rsid w:val="00275350"/>
    <w:rsid w:val="002755A2"/>
    <w:rsid w:val="002756BE"/>
    <w:rsid w:val="0027585C"/>
    <w:rsid w:val="00275B1C"/>
    <w:rsid w:val="00275D80"/>
    <w:rsid w:val="00275DEA"/>
    <w:rsid w:val="00275F37"/>
    <w:rsid w:val="00275FFD"/>
    <w:rsid w:val="00276081"/>
    <w:rsid w:val="002760CB"/>
    <w:rsid w:val="002760F6"/>
    <w:rsid w:val="0027621E"/>
    <w:rsid w:val="0027624D"/>
    <w:rsid w:val="00276506"/>
    <w:rsid w:val="0027671F"/>
    <w:rsid w:val="0027678F"/>
    <w:rsid w:val="002769A1"/>
    <w:rsid w:val="00276A27"/>
    <w:rsid w:val="00276B73"/>
    <w:rsid w:val="00276CB4"/>
    <w:rsid w:val="00276D04"/>
    <w:rsid w:val="00276D4F"/>
    <w:rsid w:val="00276DE9"/>
    <w:rsid w:val="00276DEE"/>
    <w:rsid w:val="00276E04"/>
    <w:rsid w:val="00276E7C"/>
    <w:rsid w:val="00276EE2"/>
    <w:rsid w:val="00276FB7"/>
    <w:rsid w:val="00277014"/>
    <w:rsid w:val="002771CD"/>
    <w:rsid w:val="0027729B"/>
    <w:rsid w:val="0027731E"/>
    <w:rsid w:val="0027747B"/>
    <w:rsid w:val="00277515"/>
    <w:rsid w:val="0027754D"/>
    <w:rsid w:val="002776E8"/>
    <w:rsid w:val="00277857"/>
    <w:rsid w:val="00277A10"/>
    <w:rsid w:val="00277BA6"/>
    <w:rsid w:val="00277BE5"/>
    <w:rsid w:val="00277D3F"/>
    <w:rsid w:val="00277DEC"/>
    <w:rsid w:val="002804A3"/>
    <w:rsid w:val="002805B6"/>
    <w:rsid w:val="00280794"/>
    <w:rsid w:val="00280853"/>
    <w:rsid w:val="00280957"/>
    <w:rsid w:val="00280988"/>
    <w:rsid w:val="00280C1C"/>
    <w:rsid w:val="00280D07"/>
    <w:rsid w:val="00280DF5"/>
    <w:rsid w:val="00280E14"/>
    <w:rsid w:val="0028105A"/>
    <w:rsid w:val="002810C3"/>
    <w:rsid w:val="002811D8"/>
    <w:rsid w:val="00281425"/>
    <w:rsid w:val="00281465"/>
    <w:rsid w:val="00281540"/>
    <w:rsid w:val="0028189D"/>
    <w:rsid w:val="00281AA1"/>
    <w:rsid w:val="00281AD6"/>
    <w:rsid w:val="00281B42"/>
    <w:rsid w:val="00281B56"/>
    <w:rsid w:val="00281B6D"/>
    <w:rsid w:val="00281F04"/>
    <w:rsid w:val="00281F3B"/>
    <w:rsid w:val="0028219C"/>
    <w:rsid w:val="002821CC"/>
    <w:rsid w:val="00282483"/>
    <w:rsid w:val="0028276D"/>
    <w:rsid w:val="00282B01"/>
    <w:rsid w:val="00282B09"/>
    <w:rsid w:val="00282C01"/>
    <w:rsid w:val="00282C41"/>
    <w:rsid w:val="00282CF6"/>
    <w:rsid w:val="00282EDD"/>
    <w:rsid w:val="00282FB6"/>
    <w:rsid w:val="00283038"/>
    <w:rsid w:val="002831B9"/>
    <w:rsid w:val="002831F5"/>
    <w:rsid w:val="00283210"/>
    <w:rsid w:val="0028325F"/>
    <w:rsid w:val="0028352F"/>
    <w:rsid w:val="002837CB"/>
    <w:rsid w:val="00283979"/>
    <w:rsid w:val="002839A7"/>
    <w:rsid w:val="00283A00"/>
    <w:rsid w:val="00283A1C"/>
    <w:rsid w:val="00283B13"/>
    <w:rsid w:val="00283BB1"/>
    <w:rsid w:val="00283CC2"/>
    <w:rsid w:val="00283F63"/>
    <w:rsid w:val="0028410D"/>
    <w:rsid w:val="00284251"/>
    <w:rsid w:val="00284277"/>
    <w:rsid w:val="002842B1"/>
    <w:rsid w:val="002843FB"/>
    <w:rsid w:val="00284574"/>
    <w:rsid w:val="0028458E"/>
    <w:rsid w:val="00284600"/>
    <w:rsid w:val="00284675"/>
    <w:rsid w:val="0028483F"/>
    <w:rsid w:val="002849EE"/>
    <w:rsid w:val="002849F8"/>
    <w:rsid w:val="00284B5C"/>
    <w:rsid w:val="00284BC5"/>
    <w:rsid w:val="00284C5B"/>
    <w:rsid w:val="00284CFB"/>
    <w:rsid w:val="00284F38"/>
    <w:rsid w:val="00284F7B"/>
    <w:rsid w:val="00285137"/>
    <w:rsid w:val="002851E5"/>
    <w:rsid w:val="002853A3"/>
    <w:rsid w:val="00285484"/>
    <w:rsid w:val="002854A0"/>
    <w:rsid w:val="00285543"/>
    <w:rsid w:val="00285659"/>
    <w:rsid w:val="0028588F"/>
    <w:rsid w:val="00285BD1"/>
    <w:rsid w:val="00285BD3"/>
    <w:rsid w:val="00285D9F"/>
    <w:rsid w:val="00285FCC"/>
    <w:rsid w:val="002860AC"/>
    <w:rsid w:val="00286257"/>
    <w:rsid w:val="00286347"/>
    <w:rsid w:val="00286356"/>
    <w:rsid w:val="0028655D"/>
    <w:rsid w:val="002865B9"/>
    <w:rsid w:val="00286980"/>
    <w:rsid w:val="002869C4"/>
    <w:rsid w:val="00286AEF"/>
    <w:rsid w:val="00286B52"/>
    <w:rsid w:val="00286BA8"/>
    <w:rsid w:val="00286C70"/>
    <w:rsid w:val="00286E21"/>
    <w:rsid w:val="00286E8C"/>
    <w:rsid w:val="00286EA5"/>
    <w:rsid w:val="00286ECF"/>
    <w:rsid w:val="00286FA4"/>
    <w:rsid w:val="00287505"/>
    <w:rsid w:val="00287598"/>
    <w:rsid w:val="002876A7"/>
    <w:rsid w:val="00287885"/>
    <w:rsid w:val="002878B6"/>
    <w:rsid w:val="00287A88"/>
    <w:rsid w:val="00287AE1"/>
    <w:rsid w:val="00287AF1"/>
    <w:rsid w:val="00287AFE"/>
    <w:rsid w:val="00287B05"/>
    <w:rsid w:val="00287B83"/>
    <w:rsid w:val="00287BDF"/>
    <w:rsid w:val="00287C05"/>
    <w:rsid w:val="00287D3B"/>
    <w:rsid w:val="00287EA4"/>
    <w:rsid w:val="00287ED0"/>
    <w:rsid w:val="00287F37"/>
    <w:rsid w:val="0029003E"/>
    <w:rsid w:val="00290155"/>
    <w:rsid w:val="0029016D"/>
    <w:rsid w:val="00290226"/>
    <w:rsid w:val="002903BC"/>
    <w:rsid w:val="00290410"/>
    <w:rsid w:val="002904EE"/>
    <w:rsid w:val="002907E4"/>
    <w:rsid w:val="00290ADB"/>
    <w:rsid w:val="00290BC4"/>
    <w:rsid w:val="00290FD8"/>
    <w:rsid w:val="002911B6"/>
    <w:rsid w:val="002914EE"/>
    <w:rsid w:val="002916D5"/>
    <w:rsid w:val="00291705"/>
    <w:rsid w:val="00291823"/>
    <w:rsid w:val="002919C3"/>
    <w:rsid w:val="00291C46"/>
    <w:rsid w:val="00291DDE"/>
    <w:rsid w:val="00291E6A"/>
    <w:rsid w:val="00291EAC"/>
    <w:rsid w:val="00291EBA"/>
    <w:rsid w:val="00291EF2"/>
    <w:rsid w:val="00291FFE"/>
    <w:rsid w:val="002920BE"/>
    <w:rsid w:val="00292130"/>
    <w:rsid w:val="00292289"/>
    <w:rsid w:val="002922A1"/>
    <w:rsid w:val="002922A6"/>
    <w:rsid w:val="0029236E"/>
    <w:rsid w:val="002923E3"/>
    <w:rsid w:val="002924B3"/>
    <w:rsid w:val="00292515"/>
    <w:rsid w:val="0029272F"/>
    <w:rsid w:val="00292867"/>
    <w:rsid w:val="00292975"/>
    <w:rsid w:val="002929F9"/>
    <w:rsid w:val="00292AF4"/>
    <w:rsid w:val="00292BD7"/>
    <w:rsid w:val="00292C31"/>
    <w:rsid w:val="00292E1A"/>
    <w:rsid w:val="00292E2F"/>
    <w:rsid w:val="0029306E"/>
    <w:rsid w:val="0029317A"/>
    <w:rsid w:val="002931B0"/>
    <w:rsid w:val="002933B2"/>
    <w:rsid w:val="0029346C"/>
    <w:rsid w:val="002938CE"/>
    <w:rsid w:val="0029393B"/>
    <w:rsid w:val="00293D7D"/>
    <w:rsid w:val="00293E88"/>
    <w:rsid w:val="00294073"/>
    <w:rsid w:val="002942AF"/>
    <w:rsid w:val="002942BD"/>
    <w:rsid w:val="0029430D"/>
    <w:rsid w:val="00294354"/>
    <w:rsid w:val="0029435F"/>
    <w:rsid w:val="0029436F"/>
    <w:rsid w:val="00294447"/>
    <w:rsid w:val="002945E9"/>
    <w:rsid w:val="00294610"/>
    <w:rsid w:val="002948DB"/>
    <w:rsid w:val="00294B57"/>
    <w:rsid w:val="00294BE1"/>
    <w:rsid w:val="00294BF4"/>
    <w:rsid w:val="00294CA8"/>
    <w:rsid w:val="00294DF0"/>
    <w:rsid w:val="00294E0F"/>
    <w:rsid w:val="00294F53"/>
    <w:rsid w:val="00294FC6"/>
    <w:rsid w:val="002950EE"/>
    <w:rsid w:val="00295176"/>
    <w:rsid w:val="002951D0"/>
    <w:rsid w:val="00295270"/>
    <w:rsid w:val="0029547E"/>
    <w:rsid w:val="00295534"/>
    <w:rsid w:val="00295666"/>
    <w:rsid w:val="0029571D"/>
    <w:rsid w:val="0029581F"/>
    <w:rsid w:val="002958E1"/>
    <w:rsid w:val="00295C0A"/>
    <w:rsid w:val="00295C8A"/>
    <w:rsid w:val="00295E3D"/>
    <w:rsid w:val="00295FDB"/>
    <w:rsid w:val="00296068"/>
    <w:rsid w:val="002960DE"/>
    <w:rsid w:val="0029628C"/>
    <w:rsid w:val="0029638E"/>
    <w:rsid w:val="00296579"/>
    <w:rsid w:val="002967A4"/>
    <w:rsid w:val="00296945"/>
    <w:rsid w:val="00296B59"/>
    <w:rsid w:val="00296FC3"/>
    <w:rsid w:val="00296FE1"/>
    <w:rsid w:val="002970E3"/>
    <w:rsid w:val="00297107"/>
    <w:rsid w:val="0029724E"/>
    <w:rsid w:val="002973AD"/>
    <w:rsid w:val="0029750C"/>
    <w:rsid w:val="00297676"/>
    <w:rsid w:val="002976A8"/>
    <w:rsid w:val="00297769"/>
    <w:rsid w:val="002977A2"/>
    <w:rsid w:val="002978DA"/>
    <w:rsid w:val="00297BF2"/>
    <w:rsid w:val="00297C80"/>
    <w:rsid w:val="00297D0D"/>
    <w:rsid w:val="00297FDB"/>
    <w:rsid w:val="002A00D4"/>
    <w:rsid w:val="002A01AA"/>
    <w:rsid w:val="002A0297"/>
    <w:rsid w:val="002A02A0"/>
    <w:rsid w:val="002A0342"/>
    <w:rsid w:val="002A03BB"/>
    <w:rsid w:val="002A05CB"/>
    <w:rsid w:val="002A0654"/>
    <w:rsid w:val="002A0834"/>
    <w:rsid w:val="002A08DB"/>
    <w:rsid w:val="002A08DD"/>
    <w:rsid w:val="002A0EB6"/>
    <w:rsid w:val="002A1031"/>
    <w:rsid w:val="002A108A"/>
    <w:rsid w:val="002A1098"/>
    <w:rsid w:val="002A118C"/>
    <w:rsid w:val="002A1353"/>
    <w:rsid w:val="002A13C5"/>
    <w:rsid w:val="002A14C5"/>
    <w:rsid w:val="002A1628"/>
    <w:rsid w:val="002A1636"/>
    <w:rsid w:val="002A16B2"/>
    <w:rsid w:val="002A16C9"/>
    <w:rsid w:val="002A172E"/>
    <w:rsid w:val="002A1819"/>
    <w:rsid w:val="002A194A"/>
    <w:rsid w:val="002A1BBF"/>
    <w:rsid w:val="002A1C6B"/>
    <w:rsid w:val="002A1D31"/>
    <w:rsid w:val="002A1DCE"/>
    <w:rsid w:val="002A20A6"/>
    <w:rsid w:val="002A2348"/>
    <w:rsid w:val="002A25BC"/>
    <w:rsid w:val="002A274F"/>
    <w:rsid w:val="002A27E5"/>
    <w:rsid w:val="002A2902"/>
    <w:rsid w:val="002A291A"/>
    <w:rsid w:val="002A29CD"/>
    <w:rsid w:val="002A2B96"/>
    <w:rsid w:val="002A2B9B"/>
    <w:rsid w:val="002A2BDD"/>
    <w:rsid w:val="002A2D63"/>
    <w:rsid w:val="002A2D66"/>
    <w:rsid w:val="002A2EAB"/>
    <w:rsid w:val="002A2F83"/>
    <w:rsid w:val="002A30AC"/>
    <w:rsid w:val="002A3191"/>
    <w:rsid w:val="002A3198"/>
    <w:rsid w:val="002A32D8"/>
    <w:rsid w:val="002A3471"/>
    <w:rsid w:val="002A3793"/>
    <w:rsid w:val="002A3A5D"/>
    <w:rsid w:val="002A3B0A"/>
    <w:rsid w:val="002A3BCB"/>
    <w:rsid w:val="002A3CBF"/>
    <w:rsid w:val="002A3F1A"/>
    <w:rsid w:val="002A4040"/>
    <w:rsid w:val="002A40D1"/>
    <w:rsid w:val="002A41DC"/>
    <w:rsid w:val="002A45BC"/>
    <w:rsid w:val="002A461D"/>
    <w:rsid w:val="002A472E"/>
    <w:rsid w:val="002A4734"/>
    <w:rsid w:val="002A4791"/>
    <w:rsid w:val="002A4808"/>
    <w:rsid w:val="002A49F0"/>
    <w:rsid w:val="002A4A1B"/>
    <w:rsid w:val="002A4A71"/>
    <w:rsid w:val="002A4AF6"/>
    <w:rsid w:val="002A4C36"/>
    <w:rsid w:val="002A4D2F"/>
    <w:rsid w:val="002A4FA8"/>
    <w:rsid w:val="002A4FD1"/>
    <w:rsid w:val="002A50A0"/>
    <w:rsid w:val="002A519A"/>
    <w:rsid w:val="002A536B"/>
    <w:rsid w:val="002A57E4"/>
    <w:rsid w:val="002A5866"/>
    <w:rsid w:val="002A586B"/>
    <w:rsid w:val="002A59F0"/>
    <w:rsid w:val="002A5AB8"/>
    <w:rsid w:val="002A5ADC"/>
    <w:rsid w:val="002A5BE5"/>
    <w:rsid w:val="002A5BFD"/>
    <w:rsid w:val="002A5C4A"/>
    <w:rsid w:val="002A5CB6"/>
    <w:rsid w:val="002A5D59"/>
    <w:rsid w:val="002A5D64"/>
    <w:rsid w:val="002A5F97"/>
    <w:rsid w:val="002A60A4"/>
    <w:rsid w:val="002A61BD"/>
    <w:rsid w:val="002A6321"/>
    <w:rsid w:val="002A6353"/>
    <w:rsid w:val="002A66CF"/>
    <w:rsid w:val="002A66DE"/>
    <w:rsid w:val="002A6899"/>
    <w:rsid w:val="002A6A6C"/>
    <w:rsid w:val="002A6BBC"/>
    <w:rsid w:val="002A6D92"/>
    <w:rsid w:val="002A7036"/>
    <w:rsid w:val="002A7225"/>
    <w:rsid w:val="002A7394"/>
    <w:rsid w:val="002A75D8"/>
    <w:rsid w:val="002A75FF"/>
    <w:rsid w:val="002A7709"/>
    <w:rsid w:val="002A777D"/>
    <w:rsid w:val="002A7831"/>
    <w:rsid w:val="002A7846"/>
    <w:rsid w:val="002A788E"/>
    <w:rsid w:val="002A78F3"/>
    <w:rsid w:val="002A79AB"/>
    <w:rsid w:val="002A7DEC"/>
    <w:rsid w:val="002A7EBF"/>
    <w:rsid w:val="002A7F45"/>
    <w:rsid w:val="002A7FFD"/>
    <w:rsid w:val="002B003C"/>
    <w:rsid w:val="002B006F"/>
    <w:rsid w:val="002B00B5"/>
    <w:rsid w:val="002B0149"/>
    <w:rsid w:val="002B0215"/>
    <w:rsid w:val="002B0224"/>
    <w:rsid w:val="002B02CC"/>
    <w:rsid w:val="002B0364"/>
    <w:rsid w:val="002B0541"/>
    <w:rsid w:val="002B0624"/>
    <w:rsid w:val="002B06E6"/>
    <w:rsid w:val="002B0724"/>
    <w:rsid w:val="002B08C8"/>
    <w:rsid w:val="002B099E"/>
    <w:rsid w:val="002B0B00"/>
    <w:rsid w:val="002B0CE1"/>
    <w:rsid w:val="002B0E4B"/>
    <w:rsid w:val="002B0EC3"/>
    <w:rsid w:val="002B0F67"/>
    <w:rsid w:val="002B0F73"/>
    <w:rsid w:val="002B0FC8"/>
    <w:rsid w:val="002B0FD9"/>
    <w:rsid w:val="002B1121"/>
    <w:rsid w:val="002B11F8"/>
    <w:rsid w:val="002B1456"/>
    <w:rsid w:val="002B14CD"/>
    <w:rsid w:val="002B154C"/>
    <w:rsid w:val="002B159B"/>
    <w:rsid w:val="002B160D"/>
    <w:rsid w:val="002B1644"/>
    <w:rsid w:val="002B194D"/>
    <w:rsid w:val="002B19C6"/>
    <w:rsid w:val="002B1AB3"/>
    <w:rsid w:val="002B1B4C"/>
    <w:rsid w:val="002B1D04"/>
    <w:rsid w:val="002B1E42"/>
    <w:rsid w:val="002B1FBD"/>
    <w:rsid w:val="002B20FA"/>
    <w:rsid w:val="002B23F3"/>
    <w:rsid w:val="002B25DD"/>
    <w:rsid w:val="002B2674"/>
    <w:rsid w:val="002B2994"/>
    <w:rsid w:val="002B2AAB"/>
    <w:rsid w:val="002B2BBF"/>
    <w:rsid w:val="002B2E79"/>
    <w:rsid w:val="002B2ED4"/>
    <w:rsid w:val="002B305F"/>
    <w:rsid w:val="002B31CE"/>
    <w:rsid w:val="002B34AC"/>
    <w:rsid w:val="002B34E4"/>
    <w:rsid w:val="002B3527"/>
    <w:rsid w:val="002B3847"/>
    <w:rsid w:val="002B39A7"/>
    <w:rsid w:val="002B3AD9"/>
    <w:rsid w:val="002B3ADE"/>
    <w:rsid w:val="002B3AFB"/>
    <w:rsid w:val="002B3B97"/>
    <w:rsid w:val="002B3CDA"/>
    <w:rsid w:val="002B3DE4"/>
    <w:rsid w:val="002B3DF5"/>
    <w:rsid w:val="002B3F3D"/>
    <w:rsid w:val="002B3FF5"/>
    <w:rsid w:val="002B4019"/>
    <w:rsid w:val="002B401B"/>
    <w:rsid w:val="002B4138"/>
    <w:rsid w:val="002B41D9"/>
    <w:rsid w:val="002B41E3"/>
    <w:rsid w:val="002B438B"/>
    <w:rsid w:val="002B4402"/>
    <w:rsid w:val="002B4495"/>
    <w:rsid w:val="002B45AB"/>
    <w:rsid w:val="002B46F9"/>
    <w:rsid w:val="002B480F"/>
    <w:rsid w:val="002B4840"/>
    <w:rsid w:val="002B4995"/>
    <w:rsid w:val="002B4A74"/>
    <w:rsid w:val="002B4E2C"/>
    <w:rsid w:val="002B4EC0"/>
    <w:rsid w:val="002B524D"/>
    <w:rsid w:val="002B57C9"/>
    <w:rsid w:val="002B5918"/>
    <w:rsid w:val="002B59A2"/>
    <w:rsid w:val="002B5B28"/>
    <w:rsid w:val="002B5C69"/>
    <w:rsid w:val="002B5E05"/>
    <w:rsid w:val="002B5E2B"/>
    <w:rsid w:val="002B5E5B"/>
    <w:rsid w:val="002B5E8D"/>
    <w:rsid w:val="002B5E91"/>
    <w:rsid w:val="002B60FE"/>
    <w:rsid w:val="002B6153"/>
    <w:rsid w:val="002B6441"/>
    <w:rsid w:val="002B6520"/>
    <w:rsid w:val="002B6676"/>
    <w:rsid w:val="002B6770"/>
    <w:rsid w:val="002B69A8"/>
    <w:rsid w:val="002B6B88"/>
    <w:rsid w:val="002B6BA1"/>
    <w:rsid w:val="002B6C50"/>
    <w:rsid w:val="002B6DD1"/>
    <w:rsid w:val="002B6DD5"/>
    <w:rsid w:val="002B70F0"/>
    <w:rsid w:val="002B7289"/>
    <w:rsid w:val="002B73EC"/>
    <w:rsid w:val="002B74AD"/>
    <w:rsid w:val="002B74EB"/>
    <w:rsid w:val="002B75A6"/>
    <w:rsid w:val="002B75AF"/>
    <w:rsid w:val="002B765B"/>
    <w:rsid w:val="002B7835"/>
    <w:rsid w:val="002B7905"/>
    <w:rsid w:val="002B7998"/>
    <w:rsid w:val="002B79BD"/>
    <w:rsid w:val="002B7A34"/>
    <w:rsid w:val="002B7AAD"/>
    <w:rsid w:val="002B7B7B"/>
    <w:rsid w:val="002B7BE7"/>
    <w:rsid w:val="002B7C51"/>
    <w:rsid w:val="002B7CAC"/>
    <w:rsid w:val="002B7E12"/>
    <w:rsid w:val="002B7FE4"/>
    <w:rsid w:val="002B7FF9"/>
    <w:rsid w:val="002C00E4"/>
    <w:rsid w:val="002C011D"/>
    <w:rsid w:val="002C0134"/>
    <w:rsid w:val="002C02CE"/>
    <w:rsid w:val="002C0615"/>
    <w:rsid w:val="002C07E1"/>
    <w:rsid w:val="002C09FC"/>
    <w:rsid w:val="002C0AAB"/>
    <w:rsid w:val="002C0B9F"/>
    <w:rsid w:val="002C0C74"/>
    <w:rsid w:val="002C0E7F"/>
    <w:rsid w:val="002C0ED2"/>
    <w:rsid w:val="002C0FF0"/>
    <w:rsid w:val="002C1283"/>
    <w:rsid w:val="002C12B2"/>
    <w:rsid w:val="002C134B"/>
    <w:rsid w:val="002C1376"/>
    <w:rsid w:val="002C14A1"/>
    <w:rsid w:val="002C1614"/>
    <w:rsid w:val="002C1642"/>
    <w:rsid w:val="002C175C"/>
    <w:rsid w:val="002C18FA"/>
    <w:rsid w:val="002C192D"/>
    <w:rsid w:val="002C1AD5"/>
    <w:rsid w:val="002C1C3C"/>
    <w:rsid w:val="002C1E57"/>
    <w:rsid w:val="002C2052"/>
    <w:rsid w:val="002C234F"/>
    <w:rsid w:val="002C2400"/>
    <w:rsid w:val="002C2415"/>
    <w:rsid w:val="002C2430"/>
    <w:rsid w:val="002C2496"/>
    <w:rsid w:val="002C2541"/>
    <w:rsid w:val="002C25E9"/>
    <w:rsid w:val="002C26CE"/>
    <w:rsid w:val="002C28AB"/>
    <w:rsid w:val="002C2B7F"/>
    <w:rsid w:val="002C2ED1"/>
    <w:rsid w:val="002C2FCF"/>
    <w:rsid w:val="002C30A0"/>
    <w:rsid w:val="002C31E6"/>
    <w:rsid w:val="002C3218"/>
    <w:rsid w:val="002C3590"/>
    <w:rsid w:val="002C374C"/>
    <w:rsid w:val="002C3849"/>
    <w:rsid w:val="002C3850"/>
    <w:rsid w:val="002C38CC"/>
    <w:rsid w:val="002C39C1"/>
    <w:rsid w:val="002C3A97"/>
    <w:rsid w:val="002C3C06"/>
    <w:rsid w:val="002C3C52"/>
    <w:rsid w:val="002C3CA3"/>
    <w:rsid w:val="002C3D1D"/>
    <w:rsid w:val="002C409C"/>
    <w:rsid w:val="002C409E"/>
    <w:rsid w:val="002C40D2"/>
    <w:rsid w:val="002C4270"/>
    <w:rsid w:val="002C4463"/>
    <w:rsid w:val="002C452B"/>
    <w:rsid w:val="002C45C7"/>
    <w:rsid w:val="002C4915"/>
    <w:rsid w:val="002C498F"/>
    <w:rsid w:val="002C4A15"/>
    <w:rsid w:val="002C4B95"/>
    <w:rsid w:val="002C4D54"/>
    <w:rsid w:val="002C509F"/>
    <w:rsid w:val="002C51B6"/>
    <w:rsid w:val="002C51F8"/>
    <w:rsid w:val="002C543D"/>
    <w:rsid w:val="002C5596"/>
    <w:rsid w:val="002C564F"/>
    <w:rsid w:val="002C577D"/>
    <w:rsid w:val="002C5809"/>
    <w:rsid w:val="002C5887"/>
    <w:rsid w:val="002C591D"/>
    <w:rsid w:val="002C59DC"/>
    <w:rsid w:val="002C59EB"/>
    <w:rsid w:val="002C5A3F"/>
    <w:rsid w:val="002C5CDF"/>
    <w:rsid w:val="002C5D22"/>
    <w:rsid w:val="002C5FEA"/>
    <w:rsid w:val="002C6022"/>
    <w:rsid w:val="002C61CD"/>
    <w:rsid w:val="002C61FA"/>
    <w:rsid w:val="002C6289"/>
    <w:rsid w:val="002C6358"/>
    <w:rsid w:val="002C640C"/>
    <w:rsid w:val="002C6427"/>
    <w:rsid w:val="002C6525"/>
    <w:rsid w:val="002C67EF"/>
    <w:rsid w:val="002C6EAB"/>
    <w:rsid w:val="002C6F06"/>
    <w:rsid w:val="002C7039"/>
    <w:rsid w:val="002C70E7"/>
    <w:rsid w:val="002C7274"/>
    <w:rsid w:val="002C7311"/>
    <w:rsid w:val="002C736E"/>
    <w:rsid w:val="002C743C"/>
    <w:rsid w:val="002C7444"/>
    <w:rsid w:val="002C7450"/>
    <w:rsid w:val="002C7491"/>
    <w:rsid w:val="002C779E"/>
    <w:rsid w:val="002C786B"/>
    <w:rsid w:val="002C78C3"/>
    <w:rsid w:val="002C7901"/>
    <w:rsid w:val="002C7AD6"/>
    <w:rsid w:val="002C7B47"/>
    <w:rsid w:val="002C7BB1"/>
    <w:rsid w:val="002C7BD0"/>
    <w:rsid w:val="002C7E95"/>
    <w:rsid w:val="002C7FE5"/>
    <w:rsid w:val="002D009F"/>
    <w:rsid w:val="002D00D0"/>
    <w:rsid w:val="002D026F"/>
    <w:rsid w:val="002D027C"/>
    <w:rsid w:val="002D02CC"/>
    <w:rsid w:val="002D0302"/>
    <w:rsid w:val="002D049B"/>
    <w:rsid w:val="002D06FC"/>
    <w:rsid w:val="002D07F6"/>
    <w:rsid w:val="002D08CD"/>
    <w:rsid w:val="002D0CDF"/>
    <w:rsid w:val="002D0ED1"/>
    <w:rsid w:val="002D0F91"/>
    <w:rsid w:val="002D15B3"/>
    <w:rsid w:val="002D1652"/>
    <w:rsid w:val="002D170D"/>
    <w:rsid w:val="002D17A2"/>
    <w:rsid w:val="002D1856"/>
    <w:rsid w:val="002D18CB"/>
    <w:rsid w:val="002D18E4"/>
    <w:rsid w:val="002D1C36"/>
    <w:rsid w:val="002D1E5F"/>
    <w:rsid w:val="002D1F69"/>
    <w:rsid w:val="002D1FB2"/>
    <w:rsid w:val="002D1FF5"/>
    <w:rsid w:val="002D2200"/>
    <w:rsid w:val="002D234F"/>
    <w:rsid w:val="002D2457"/>
    <w:rsid w:val="002D253F"/>
    <w:rsid w:val="002D25C6"/>
    <w:rsid w:val="002D2692"/>
    <w:rsid w:val="002D26FB"/>
    <w:rsid w:val="002D2714"/>
    <w:rsid w:val="002D2796"/>
    <w:rsid w:val="002D27AE"/>
    <w:rsid w:val="002D2931"/>
    <w:rsid w:val="002D2AE5"/>
    <w:rsid w:val="002D2C32"/>
    <w:rsid w:val="002D2C5A"/>
    <w:rsid w:val="002D2D55"/>
    <w:rsid w:val="002D2E5C"/>
    <w:rsid w:val="002D2E8C"/>
    <w:rsid w:val="002D3100"/>
    <w:rsid w:val="002D31EB"/>
    <w:rsid w:val="002D32A7"/>
    <w:rsid w:val="002D3470"/>
    <w:rsid w:val="002D3560"/>
    <w:rsid w:val="002D35FE"/>
    <w:rsid w:val="002D37AB"/>
    <w:rsid w:val="002D3A24"/>
    <w:rsid w:val="002D3B5E"/>
    <w:rsid w:val="002D3DA4"/>
    <w:rsid w:val="002D3E58"/>
    <w:rsid w:val="002D3EEE"/>
    <w:rsid w:val="002D447C"/>
    <w:rsid w:val="002D4594"/>
    <w:rsid w:val="002D46B1"/>
    <w:rsid w:val="002D47E7"/>
    <w:rsid w:val="002D4A5C"/>
    <w:rsid w:val="002D4B21"/>
    <w:rsid w:val="002D4BA6"/>
    <w:rsid w:val="002D4C0D"/>
    <w:rsid w:val="002D4C9B"/>
    <w:rsid w:val="002D50D5"/>
    <w:rsid w:val="002D523D"/>
    <w:rsid w:val="002D54C9"/>
    <w:rsid w:val="002D5516"/>
    <w:rsid w:val="002D55CF"/>
    <w:rsid w:val="002D567A"/>
    <w:rsid w:val="002D5A97"/>
    <w:rsid w:val="002D5B0B"/>
    <w:rsid w:val="002D5B11"/>
    <w:rsid w:val="002D5C63"/>
    <w:rsid w:val="002D5E19"/>
    <w:rsid w:val="002D5E2A"/>
    <w:rsid w:val="002D5FDC"/>
    <w:rsid w:val="002D60B7"/>
    <w:rsid w:val="002D6566"/>
    <w:rsid w:val="002D65E1"/>
    <w:rsid w:val="002D6874"/>
    <w:rsid w:val="002D6899"/>
    <w:rsid w:val="002D6A18"/>
    <w:rsid w:val="002D6B52"/>
    <w:rsid w:val="002D6DA3"/>
    <w:rsid w:val="002D6DE0"/>
    <w:rsid w:val="002D6E92"/>
    <w:rsid w:val="002D7094"/>
    <w:rsid w:val="002D71E7"/>
    <w:rsid w:val="002D7374"/>
    <w:rsid w:val="002D7397"/>
    <w:rsid w:val="002D746F"/>
    <w:rsid w:val="002D7896"/>
    <w:rsid w:val="002D7BCF"/>
    <w:rsid w:val="002D7D54"/>
    <w:rsid w:val="002D7D91"/>
    <w:rsid w:val="002D7E15"/>
    <w:rsid w:val="002D7E53"/>
    <w:rsid w:val="002D7EC7"/>
    <w:rsid w:val="002D7F98"/>
    <w:rsid w:val="002E015D"/>
    <w:rsid w:val="002E0168"/>
    <w:rsid w:val="002E0214"/>
    <w:rsid w:val="002E03FD"/>
    <w:rsid w:val="002E04F4"/>
    <w:rsid w:val="002E06A7"/>
    <w:rsid w:val="002E090F"/>
    <w:rsid w:val="002E09A2"/>
    <w:rsid w:val="002E09E4"/>
    <w:rsid w:val="002E0A18"/>
    <w:rsid w:val="002E0B46"/>
    <w:rsid w:val="002E10A5"/>
    <w:rsid w:val="002E1166"/>
    <w:rsid w:val="002E15EB"/>
    <w:rsid w:val="002E1677"/>
    <w:rsid w:val="002E1771"/>
    <w:rsid w:val="002E17BC"/>
    <w:rsid w:val="002E1800"/>
    <w:rsid w:val="002E1829"/>
    <w:rsid w:val="002E1A65"/>
    <w:rsid w:val="002E1AE2"/>
    <w:rsid w:val="002E1DEF"/>
    <w:rsid w:val="002E1F20"/>
    <w:rsid w:val="002E1F85"/>
    <w:rsid w:val="002E21B1"/>
    <w:rsid w:val="002E22D1"/>
    <w:rsid w:val="002E24CB"/>
    <w:rsid w:val="002E261F"/>
    <w:rsid w:val="002E2631"/>
    <w:rsid w:val="002E272B"/>
    <w:rsid w:val="002E279F"/>
    <w:rsid w:val="002E288B"/>
    <w:rsid w:val="002E28A1"/>
    <w:rsid w:val="002E28FF"/>
    <w:rsid w:val="002E2960"/>
    <w:rsid w:val="002E2B22"/>
    <w:rsid w:val="002E2B4B"/>
    <w:rsid w:val="002E2B85"/>
    <w:rsid w:val="002E2C78"/>
    <w:rsid w:val="002E2D0A"/>
    <w:rsid w:val="002E2D98"/>
    <w:rsid w:val="002E2DD2"/>
    <w:rsid w:val="002E2E5F"/>
    <w:rsid w:val="002E2E9B"/>
    <w:rsid w:val="002E2FB2"/>
    <w:rsid w:val="002E2FE5"/>
    <w:rsid w:val="002E304E"/>
    <w:rsid w:val="002E3256"/>
    <w:rsid w:val="002E33F6"/>
    <w:rsid w:val="002E3429"/>
    <w:rsid w:val="002E351F"/>
    <w:rsid w:val="002E3563"/>
    <w:rsid w:val="002E3629"/>
    <w:rsid w:val="002E3745"/>
    <w:rsid w:val="002E38BC"/>
    <w:rsid w:val="002E3AA9"/>
    <w:rsid w:val="002E3B7B"/>
    <w:rsid w:val="002E3BCD"/>
    <w:rsid w:val="002E3C34"/>
    <w:rsid w:val="002E3CFA"/>
    <w:rsid w:val="002E3E35"/>
    <w:rsid w:val="002E3E4D"/>
    <w:rsid w:val="002E3E9B"/>
    <w:rsid w:val="002E3FDD"/>
    <w:rsid w:val="002E40B5"/>
    <w:rsid w:val="002E41B5"/>
    <w:rsid w:val="002E4218"/>
    <w:rsid w:val="002E4229"/>
    <w:rsid w:val="002E42D3"/>
    <w:rsid w:val="002E43F5"/>
    <w:rsid w:val="002E4590"/>
    <w:rsid w:val="002E4616"/>
    <w:rsid w:val="002E48A2"/>
    <w:rsid w:val="002E48FB"/>
    <w:rsid w:val="002E497D"/>
    <w:rsid w:val="002E4BEA"/>
    <w:rsid w:val="002E4D0F"/>
    <w:rsid w:val="002E4D7F"/>
    <w:rsid w:val="002E5177"/>
    <w:rsid w:val="002E5197"/>
    <w:rsid w:val="002E51BE"/>
    <w:rsid w:val="002E524C"/>
    <w:rsid w:val="002E52CD"/>
    <w:rsid w:val="002E5347"/>
    <w:rsid w:val="002E53ED"/>
    <w:rsid w:val="002E547E"/>
    <w:rsid w:val="002E571D"/>
    <w:rsid w:val="002E57CC"/>
    <w:rsid w:val="002E5A86"/>
    <w:rsid w:val="002E5B44"/>
    <w:rsid w:val="002E5D03"/>
    <w:rsid w:val="002E5D4E"/>
    <w:rsid w:val="002E5DEA"/>
    <w:rsid w:val="002E5E67"/>
    <w:rsid w:val="002E604D"/>
    <w:rsid w:val="002E60D2"/>
    <w:rsid w:val="002E6115"/>
    <w:rsid w:val="002E6752"/>
    <w:rsid w:val="002E681A"/>
    <w:rsid w:val="002E69D0"/>
    <w:rsid w:val="002E69DE"/>
    <w:rsid w:val="002E6A92"/>
    <w:rsid w:val="002E707C"/>
    <w:rsid w:val="002E7112"/>
    <w:rsid w:val="002E723E"/>
    <w:rsid w:val="002E72ED"/>
    <w:rsid w:val="002E737E"/>
    <w:rsid w:val="002E74DE"/>
    <w:rsid w:val="002E7509"/>
    <w:rsid w:val="002E7573"/>
    <w:rsid w:val="002E7943"/>
    <w:rsid w:val="002E7AD8"/>
    <w:rsid w:val="002E7B38"/>
    <w:rsid w:val="002E7FBE"/>
    <w:rsid w:val="002F00A0"/>
    <w:rsid w:val="002F020F"/>
    <w:rsid w:val="002F0354"/>
    <w:rsid w:val="002F04B1"/>
    <w:rsid w:val="002F07BA"/>
    <w:rsid w:val="002F0B77"/>
    <w:rsid w:val="002F0BBE"/>
    <w:rsid w:val="002F0C48"/>
    <w:rsid w:val="002F0C91"/>
    <w:rsid w:val="002F0D0F"/>
    <w:rsid w:val="002F0D28"/>
    <w:rsid w:val="002F0E92"/>
    <w:rsid w:val="002F1107"/>
    <w:rsid w:val="002F1109"/>
    <w:rsid w:val="002F15D4"/>
    <w:rsid w:val="002F15F7"/>
    <w:rsid w:val="002F1622"/>
    <w:rsid w:val="002F175A"/>
    <w:rsid w:val="002F1812"/>
    <w:rsid w:val="002F1A42"/>
    <w:rsid w:val="002F1D0C"/>
    <w:rsid w:val="002F1E80"/>
    <w:rsid w:val="002F1ED9"/>
    <w:rsid w:val="002F1FC9"/>
    <w:rsid w:val="002F20E1"/>
    <w:rsid w:val="002F216D"/>
    <w:rsid w:val="002F2254"/>
    <w:rsid w:val="002F232B"/>
    <w:rsid w:val="002F2496"/>
    <w:rsid w:val="002F2612"/>
    <w:rsid w:val="002F2689"/>
    <w:rsid w:val="002F286B"/>
    <w:rsid w:val="002F2910"/>
    <w:rsid w:val="002F2927"/>
    <w:rsid w:val="002F29C2"/>
    <w:rsid w:val="002F2AAB"/>
    <w:rsid w:val="002F2BC4"/>
    <w:rsid w:val="002F2D9E"/>
    <w:rsid w:val="002F2F4B"/>
    <w:rsid w:val="002F3092"/>
    <w:rsid w:val="002F30C1"/>
    <w:rsid w:val="002F30CF"/>
    <w:rsid w:val="002F3146"/>
    <w:rsid w:val="002F3163"/>
    <w:rsid w:val="002F317C"/>
    <w:rsid w:val="002F321F"/>
    <w:rsid w:val="002F3318"/>
    <w:rsid w:val="002F338E"/>
    <w:rsid w:val="002F3496"/>
    <w:rsid w:val="002F3828"/>
    <w:rsid w:val="002F3844"/>
    <w:rsid w:val="002F3901"/>
    <w:rsid w:val="002F3A51"/>
    <w:rsid w:val="002F3BF6"/>
    <w:rsid w:val="002F3E6D"/>
    <w:rsid w:val="002F3E79"/>
    <w:rsid w:val="002F3EBA"/>
    <w:rsid w:val="002F3F6D"/>
    <w:rsid w:val="002F3FFC"/>
    <w:rsid w:val="002F4044"/>
    <w:rsid w:val="002F4070"/>
    <w:rsid w:val="002F41DC"/>
    <w:rsid w:val="002F423F"/>
    <w:rsid w:val="002F425E"/>
    <w:rsid w:val="002F44C2"/>
    <w:rsid w:val="002F44D5"/>
    <w:rsid w:val="002F44E9"/>
    <w:rsid w:val="002F452C"/>
    <w:rsid w:val="002F4621"/>
    <w:rsid w:val="002F47CA"/>
    <w:rsid w:val="002F47DF"/>
    <w:rsid w:val="002F494A"/>
    <w:rsid w:val="002F4A9C"/>
    <w:rsid w:val="002F4B3C"/>
    <w:rsid w:val="002F4CE8"/>
    <w:rsid w:val="002F4EFB"/>
    <w:rsid w:val="002F52C8"/>
    <w:rsid w:val="002F531D"/>
    <w:rsid w:val="002F58D9"/>
    <w:rsid w:val="002F5967"/>
    <w:rsid w:val="002F596A"/>
    <w:rsid w:val="002F5BC2"/>
    <w:rsid w:val="002F5C4C"/>
    <w:rsid w:val="002F5D3E"/>
    <w:rsid w:val="002F5D64"/>
    <w:rsid w:val="002F5F99"/>
    <w:rsid w:val="002F61DC"/>
    <w:rsid w:val="002F62D4"/>
    <w:rsid w:val="002F636D"/>
    <w:rsid w:val="002F6407"/>
    <w:rsid w:val="002F6425"/>
    <w:rsid w:val="002F646B"/>
    <w:rsid w:val="002F667C"/>
    <w:rsid w:val="002F68D2"/>
    <w:rsid w:val="002F6B25"/>
    <w:rsid w:val="002F6C72"/>
    <w:rsid w:val="002F6FB8"/>
    <w:rsid w:val="002F6FE9"/>
    <w:rsid w:val="002F703A"/>
    <w:rsid w:val="002F713C"/>
    <w:rsid w:val="002F7152"/>
    <w:rsid w:val="002F7285"/>
    <w:rsid w:val="002F72B7"/>
    <w:rsid w:val="002F7A0C"/>
    <w:rsid w:val="002F7A5C"/>
    <w:rsid w:val="002F7A71"/>
    <w:rsid w:val="002F7A8F"/>
    <w:rsid w:val="002F7B03"/>
    <w:rsid w:val="002F7CD6"/>
    <w:rsid w:val="002F7D59"/>
    <w:rsid w:val="002F7DBD"/>
    <w:rsid w:val="002F7E21"/>
    <w:rsid w:val="0030008D"/>
    <w:rsid w:val="003001EA"/>
    <w:rsid w:val="003003F6"/>
    <w:rsid w:val="00300596"/>
    <w:rsid w:val="003006A4"/>
    <w:rsid w:val="0030070C"/>
    <w:rsid w:val="00300893"/>
    <w:rsid w:val="003008B0"/>
    <w:rsid w:val="00300901"/>
    <w:rsid w:val="00300A2A"/>
    <w:rsid w:val="00300BEC"/>
    <w:rsid w:val="00300DAF"/>
    <w:rsid w:val="00300EDB"/>
    <w:rsid w:val="00300F64"/>
    <w:rsid w:val="00301115"/>
    <w:rsid w:val="003011E2"/>
    <w:rsid w:val="00301351"/>
    <w:rsid w:val="00301355"/>
    <w:rsid w:val="0030142B"/>
    <w:rsid w:val="00301517"/>
    <w:rsid w:val="0030161A"/>
    <w:rsid w:val="00301635"/>
    <w:rsid w:val="00301739"/>
    <w:rsid w:val="003017ED"/>
    <w:rsid w:val="0030183E"/>
    <w:rsid w:val="003018AB"/>
    <w:rsid w:val="003019F2"/>
    <w:rsid w:val="00301CF5"/>
    <w:rsid w:val="0030235D"/>
    <w:rsid w:val="0030247D"/>
    <w:rsid w:val="00302567"/>
    <w:rsid w:val="003026A3"/>
    <w:rsid w:val="00302733"/>
    <w:rsid w:val="0030287B"/>
    <w:rsid w:val="00302935"/>
    <w:rsid w:val="00302C23"/>
    <w:rsid w:val="00302CAB"/>
    <w:rsid w:val="00302CE7"/>
    <w:rsid w:val="00302FFD"/>
    <w:rsid w:val="003030AA"/>
    <w:rsid w:val="00303204"/>
    <w:rsid w:val="003036CC"/>
    <w:rsid w:val="0030386E"/>
    <w:rsid w:val="00303D0B"/>
    <w:rsid w:val="00303E07"/>
    <w:rsid w:val="003040B7"/>
    <w:rsid w:val="003040C2"/>
    <w:rsid w:val="0030423F"/>
    <w:rsid w:val="0030477B"/>
    <w:rsid w:val="00304797"/>
    <w:rsid w:val="00304913"/>
    <w:rsid w:val="00304AB0"/>
    <w:rsid w:val="00304F1D"/>
    <w:rsid w:val="00304F7B"/>
    <w:rsid w:val="00304FA7"/>
    <w:rsid w:val="00304FE6"/>
    <w:rsid w:val="003051AA"/>
    <w:rsid w:val="003052B2"/>
    <w:rsid w:val="003052BE"/>
    <w:rsid w:val="00305372"/>
    <w:rsid w:val="003053EF"/>
    <w:rsid w:val="0030561D"/>
    <w:rsid w:val="00305654"/>
    <w:rsid w:val="00305737"/>
    <w:rsid w:val="00305836"/>
    <w:rsid w:val="0030583C"/>
    <w:rsid w:val="00305917"/>
    <w:rsid w:val="00305A66"/>
    <w:rsid w:val="00305B41"/>
    <w:rsid w:val="00305C45"/>
    <w:rsid w:val="00305EAB"/>
    <w:rsid w:val="00306199"/>
    <w:rsid w:val="00306304"/>
    <w:rsid w:val="0030665D"/>
    <w:rsid w:val="00306A56"/>
    <w:rsid w:val="00306C78"/>
    <w:rsid w:val="00306CDB"/>
    <w:rsid w:val="00306DA2"/>
    <w:rsid w:val="00306DF4"/>
    <w:rsid w:val="00306F6F"/>
    <w:rsid w:val="00306FDB"/>
    <w:rsid w:val="0030702A"/>
    <w:rsid w:val="0030702C"/>
    <w:rsid w:val="003071B3"/>
    <w:rsid w:val="00307255"/>
    <w:rsid w:val="00307390"/>
    <w:rsid w:val="00307479"/>
    <w:rsid w:val="00307487"/>
    <w:rsid w:val="00307700"/>
    <w:rsid w:val="00307701"/>
    <w:rsid w:val="00307C6C"/>
    <w:rsid w:val="00307C81"/>
    <w:rsid w:val="00307CAB"/>
    <w:rsid w:val="00307CD9"/>
    <w:rsid w:val="00307EA6"/>
    <w:rsid w:val="00307EEA"/>
    <w:rsid w:val="00310059"/>
    <w:rsid w:val="003101EF"/>
    <w:rsid w:val="00310512"/>
    <w:rsid w:val="003105A2"/>
    <w:rsid w:val="00310750"/>
    <w:rsid w:val="00310833"/>
    <w:rsid w:val="003109B6"/>
    <w:rsid w:val="00310A16"/>
    <w:rsid w:val="00310AB7"/>
    <w:rsid w:val="00310C42"/>
    <w:rsid w:val="00310C96"/>
    <w:rsid w:val="00310D73"/>
    <w:rsid w:val="00310FDE"/>
    <w:rsid w:val="00311071"/>
    <w:rsid w:val="003110C9"/>
    <w:rsid w:val="00311238"/>
    <w:rsid w:val="0031150C"/>
    <w:rsid w:val="0031173D"/>
    <w:rsid w:val="0031176C"/>
    <w:rsid w:val="00311794"/>
    <w:rsid w:val="003117F6"/>
    <w:rsid w:val="00311A82"/>
    <w:rsid w:val="00311D68"/>
    <w:rsid w:val="00311ECB"/>
    <w:rsid w:val="00312045"/>
    <w:rsid w:val="00312065"/>
    <w:rsid w:val="00312137"/>
    <w:rsid w:val="003122BF"/>
    <w:rsid w:val="00312322"/>
    <w:rsid w:val="00312443"/>
    <w:rsid w:val="00312815"/>
    <w:rsid w:val="00312A4D"/>
    <w:rsid w:val="00312F5E"/>
    <w:rsid w:val="00312FB4"/>
    <w:rsid w:val="0031325B"/>
    <w:rsid w:val="00313279"/>
    <w:rsid w:val="003133FD"/>
    <w:rsid w:val="00313445"/>
    <w:rsid w:val="00313523"/>
    <w:rsid w:val="003135B6"/>
    <w:rsid w:val="003135ED"/>
    <w:rsid w:val="0031382E"/>
    <w:rsid w:val="00313878"/>
    <w:rsid w:val="003139E1"/>
    <w:rsid w:val="00313A4A"/>
    <w:rsid w:val="00313B15"/>
    <w:rsid w:val="00313B63"/>
    <w:rsid w:val="00313C58"/>
    <w:rsid w:val="00313CA7"/>
    <w:rsid w:val="00313E35"/>
    <w:rsid w:val="00313FCF"/>
    <w:rsid w:val="00313FE9"/>
    <w:rsid w:val="003143A3"/>
    <w:rsid w:val="003143AB"/>
    <w:rsid w:val="003144FD"/>
    <w:rsid w:val="003145CD"/>
    <w:rsid w:val="003145DE"/>
    <w:rsid w:val="003146C9"/>
    <w:rsid w:val="00314716"/>
    <w:rsid w:val="003149CF"/>
    <w:rsid w:val="003149D3"/>
    <w:rsid w:val="00314C92"/>
    <w:rsid w:val="00314CAA"/>
    <w:rsid w:val="00314EB0"/>
    <w:rsid w:val="00314F68"/>
    <w:rsid w:val="00314F6D"/>
    <w:rsid w:val="0031501E"/>
    <w:rsid w:val="00315037"/>
    <w:rsid w:val="00315126"/>
    <w:rsid w:val="003151C8"/>
    <w:rsid w:val="0031520D"/>
    <w:rsid w:val="00315239"/>
    <w:rsid w:val="00315332"/>
    <w:rsid w:val="0031539C"/>
    <w:rsid w:val="003154F1"/>
    <w:rsid w:val="00315552"/>
    <w:rsid w:val="0031561B"/>
    <w:rsid w:val="003156E4"/>
    <w:rsid w:val="003158B0"/>
    <w:rsid w:val="00315961"/>
    <w:rsid w:val="003159E6"/>
    <w:rsid w:val="00315A23"/>
    <w:rsid w:val="00315A72"/>
    <w:rsid w:val="00315A9B"/>
    <w:rsid w:val="00315B46"/>
    <w:rsid w:val="00315B7D"/>
    <w:rsid w:val="00315C94"/>
    <w:rsid w:val="00315E4D"/>
    <w:rsid w:val="00315F0C"/>
    <w:rsid w:val="00315F67"/>
    <w:rsid w:val="003160B3"/>
    <w:rsid w:val="00316287"/>
    <w:rsid w:val="003162E3"/>
    <w:rsid w:val="00316425"/>
    <w:rsid w:val="00316545"/>
    <w:rsid w:val="00316563"/>
    <w:rsid w:val="003165C1"/>
    <w:rsid w:val="00316625"/>
    <w:rsid w:val="003167F9"/>
    <w:rsid w:val="00316859"/>
    <w:rsid w:val="00316AB6"/>
    <w:rsid w:val="00316BCF"/>
    <w:rsid w:val="00316CF0"/>
    <w:rsid w:val="00316DF7"/>
    <w:rsid w:val="00316E19"/>
    <w:rsid w:val="00316EDF"/>
    <w:rsid w:val="00316F10"/>
    <w:rsid w:val="0031700A"/>
    <w:rsid w:val="00317184"/>
    <w:rsid w:val="0031718B"/>
    <w:rsid w:val="003172EE"/>
    <w:rsid w:val="003175CF"/>
    <w:rsid w:val="00317741"/>
    <w:rsid w:val="003177EA"/>
    <w:rsid w:val="00317824"/>
    <w:rsid w:val="00317A15"/>
    <w:rsid w:val="00317A33"/>
    <w:rsid w:val="00317B89"/>
    <w:rsid w:val="00317CBB"/>
    <w:rsid w:val="00317D57"/>
    <w:rsid w:val="00317DC5"/>
    <w:rsid w:val="00317E47"/>
    <w:rsid w:val="00317F08"/>
    <w:rsid w:val="00317F7C"/>
    <w:rsid w:val="00320113"/>
    <w:rsid w:val="0032015A"/>
    <w:rsid w:val="003202A9"/>
    <w:rsid w:val="003202C5"/>
    <w:rsid w:val="003202CA"/>
    <w:rsid w:val="00320417"/>
    <w:rsid w:val="00320546"/>
    <w:rsid w:val="0032075D"/>
    <w:rsid w:val="0032079B"/>
    <w:rsid w:val="00320882"/>
    <w:rsid w:val="00320991"/>
    <w:rsid w:val="003209EC"/>
    <w:rsid w:val="00320B35"/>
    <w:rsid w:val="00320D19"/>
    <w:rsid w:val="00320DFF"/>
    <w:rsid w:val="00320E52"/>
    <w:rsid w:val="00320EBE"/>
    <w:rsid w:val="00320FA5"/>
    <w:rsid w:val="00321123"/>
    <w:rsid w:val="003211EA"/>
    <w:rsid w:val="00321270"/>
    <w:rsid w:val="00321273"/>
    <w:rsid w:val="0032139D"/>
    <w:rsid w:val="003213DC"/>
    <w:rsid w:val="0032145E"/>
    <w:rsid w:val="00321486"/>
    <w:rsid w:val="0032149A"/>
    <w:rsid w:val="00321572"/>
    <w:rsid w:val="00321586"/>
    <w:rsid w:val="003217D4"/>
    <w:rsid w:val="003217F2"/>
    <w:rsid w:val="00321B95"/>
    <w:rsid w:val="00321ED5"/>
    <w:rsid w:val="00321F0D"/>
    <w:rsid w:val="00321FC3"/>
    <w:rsid w:val="003222AE"/>
    <w:rsid w:val="0032235B"/>
    <w:rsid w:val="003223F3"/>
    <w:rsid w:val="0032241E"/>
    <w:rsid w:val="0032265E"/>
    <w:rsid w:val="00322779"/>
    <w:rsid w:val="003227DB"/>
    <w:rsid w:val="00322B2A"/>
    <w:rsid w:val="00322BA3"/>
    <w:rsid w:val="00322BA9"/>
    <w:rsid w:val="00322E88"/>
    <w:rsid w:val="00323043"/>
    <w:rsid w:val="003234B9"/>
    <w:rsid w:val="003234D2"/>
    <w:rsid w:val="00323652"/>
    <w:rsid w:val="003239FE"/>
    <w:rsid w:val="00323AAD"/>
    <w:rsid w:val="00323B11"/>
    <w:rsid w:val="00323CAC"/>
    <w:rsid w:val="00323DC8"/>
    <w:rsid w:val="00323DC9"/>
    <w:rsid w:val="00323FA8"/>
    <w:rsid w:val="00323FC4"/>
    <w:rsid w:val="00324466"/>
    <w:rsid w:val="0032457A"/>
    <w:rsid w:val="00324752"/>
    <w:rsid w:val="0032478C"/>
    <w:rsid w:val="00324867"/>
    <w:rsid w:val="003249CC"/>
    <w:rsid w:val="00324A94"/>
    <w:rsid w:val="00324C66"/>
    <w:rsid w:val="00324C9F"/>
    <w:rsid w:val="00324CAB"/>
    <w:rsid w:val="00324DFA"/>
    <w:rsid w:val="00324E5C"/>
    <w:rsid w:val="00324FF9"/>
    <w:rsid w:val="003250BD"/>
    <w:rsid w:val="0032536A"/>
    <w:rsid w:val="00325485"/>
    <w:rsid w:val="0032549A"/>
    <w:rsid w:val="0032574E"/>
    <w:rsid w:val="003259DD"/>
    <w:rsid w:val="003259FE"/>
    <w:rsid w:val="00325ACA"/>
    <w:rsid w:val="00325D6C"/>
    <w:rsid w:val="00325EF4"/>
    <w:rsid w:val="00325F30"/>
    <w:rsid w:val="00325F36"/>
    <w:rsid w:val="00326087"/>
    <w:rsid w:val="003261B6"/>
    <w:rsid w:val="00326228"/>
    <w:rsid w:val="00326400"/>
    <w:rsid w:val="00326473"/>
    <w:rsid w:val="00326497"/>
    <w:rsid w:val="0032655E"/>
    <w:rsid w:val="00326866"/>
    <w:rsid w:val="00326BC5"/>
    <w:rsid w:val="00326BCD"/>
    <w:rsid w:val="00326BD7"/>
    <w:rsid w:val="00326C0D"/>
    <w:rsid w:val="00326CCB"/>
    <w:rsid w:val="00326CFD"/>
    <w:rsid w:val="00326D55"/>
    <w:rsid w:val="00326F4D"/>
    <w:rsid w:val="00326FAB"/>
    <w:rsid w:val="003272E0"/>
    <w:rsid w:val="0032750E"/>
    <w:rsid w:val="0032771D"/>
    <w:rsid w:val="003277BD"/>
    <w:rsid w:val="003277C7"/>
    <w:rsid w:val="00327883"/>
    <w:rsid w:val="00327BD5"/>
    <w:rsid w:val="00327C63"/>
    <w:rsid w:val="00327DFB"/>
    <w:rsid w:val="00327E4C"/>
    <w:rsid w:val="00327EDC"/>
    <w:rsid w:val="00330295"/>
    <w:rsid w:val="003302F6"/>
    <w:rsid w:val="00330351"/>
    <w:rsid w:val="003303D1"/>
    <w:rsid w:val="003303FA"/>
    <w:rsid w:val="00330512"/>
    <w:rsid w:val="0033069B"/>
    <w:rsid w:val="0033076B"/>
    <w:rsid w:val="0033099B"/>
    <w:rsid w:val="00330BD8"/>
    <w:rsid w:val="00330BEF"/>
    <w:rsid w:val="00330C05"/>
    <w:rsid w:val="00330C0B"/>
    <w:rsid w:val="00330C76"/>
    <w:rsid w:val="00330CE5"/>
    <w:rsid w:val="00330DA5"/>
    <w:rsid w:val="00330DB9"/>
    <w:rsid w:val="00330DC6"/>
    <w:rsid w:val="00330DEA"/>
    <w:rsid w:val="00330F60"/>
    <w:rsid w:val="003310BB"/>
    <w:rsid w:val="00331245"/>
    <w:rsid w:val="0033160C"/>
    <w:rsid w:val="0033168B"/>
    <w:rsid w:val="00331748"/>
    <w:rsid w:val="003317E6"/>
    <w:rsid w:val="003317F8"/>
    <w:rsid w:val="00331954"/>
    <w:rsid w:val="00331A74"/>
    <w:rsid w:val="00331B06"/>
    <w:rsid w:val="00331CF9"/>
    <w:rsid w:val="00331EA0"/>
    <w:rsid w:val="00331EB3"/>
    <w:rsid w:val="00331F01"/>
    <w:rsid w:val="00331F9E"/>
    <w:rsid w:val="00332135"/>
    <w:rsid w:val="0033220D"/>
    <w:rsid w:val="003323AF"/>
    <w:rsid w:val="0033240C"/>
    <w:rsid w:val="003324A5"/>
    <w:rsid w:val="003324CD"/>
    <w:rsid w:val="00332596"/>
    <w:rsid w:val="00332770"/>
    <w:rsid w:val="003327C5"/>
    <w:rsid w:val="00332835"/>
    <w:rsid w:val="00332A5B"/>
    <w:rsid w:val="00332A5E"/>
    <w:rsid w:val="00332B31"/>
    <w:rsid w:val="00332BD3"/>
    <w:rsid w:val="00332CB9"/>
    <w:rsid w:val="00332E51"/>
    <w:rsid w:val="00332FE8"/>
    <w:rsid w:val="00333496"/>
    <w:rsid w:val="0033353D"/>
    <w:rsid w:val="003336A0"/>
    <w:rsid w:val="003337ED"/>
    <w:rsid w:val="00333887"/>
    <w:rsid w:val="00333B79"/>
    <w:rsid w:val="00334015"/>
    <w:rsid w:val="00334094"/>
    <w:rsid w:val="003341FB"/>
    <w:rsid w:val="0033445C"/>
    <w:rsid w:val="00334509"/>
    <w:rsid w:val="003345AD"/>
    <w:rsid w:val="00334771"/>
    <w:rsid w:val="00334822"/>
    <w:rsid w:val="0033494C"/>
    <w:rsid w:val="0033496D"/>
    <w:rsid w:val="0033499F"/>
    <w:rsid w:val="003349F1"/>
    <w:rsid w:val="00334A77"/>
    <w:rsid w:val="00334CEF"/>
    <w:rsid w:val="00334FA3"/>
    <w:rsid w:val="00334FD3"/>
    <w:rsid w:val="0033500B"/>
    <w:rsid w:val="003353C2"/>
    <w:rsid w:val="003353EF"/>
    <w:rsid w:val="003354D5"/>
    <w:rsid w:val="0033553B"/>
    <w:rsid w:val="003357BA"/>
    <w:rsid w:val="003359B5"/>
    <w:rsid w:val="00335B21"/>
    <w:rsid w:val="00335BF7"/>
    <w:rsid w:val="00335C57"/>
    <w:rsid w:val="00335C5A"/>
    <w:rsid w:val="00335C9A"/>
    <w:rsid w:val="00335D4B"/>
    <w:rsid w:val="00335DF9"/>
    <w:rsid w:val="00335DFF"/>
    <w:rsid w:val="0033611A"/>
    <w:rsid w:val="003361CE"/>
    <w:rsid w:val="003362C2"/>
    <w:rsid w:val="00336359"/>
    <w:rsid w:val="00336454"/>
    <w:rsid w:val="00336475"/>
    <w:rsid w:val="00336517"/>
    <w:rsid w:val="00336709"/>
    <w:rsid w:val="0033698B"/>
    <w:rsid w:val="00336A45"/>
    <w:rsid w:val="00336ABF"/>
    <w:rsid w:val="00336CFD"/>
    <w:rsid w:val="00336D0B"/>
    <w:rsid w:val="00336D3B"/>
    <w:rsid w:val="00336E6F"/>
    <w:rsid w:val="00336FD3"/>
    <w:rsid w:val="003371B3"/>
    <w:rsid w:val="003371EB"/>
    <w:rsid w:val="003373DE"/>
    <w:rsid w:val="00337455"/>
    <w:rsid w:val="003374A6"/>
    <w:rsid w:val="0033761B"/>
    <w:rsid w:val="00337678"/>
    <w:rsid w:val="0033774C"/>
    <w:rsid w:val="00337766"/>
    <w:rsid w:val="00337843"/>
    <w:rsid w:val="00337881"/>
    <w:rsid w:val="0033799C"/>
    <w:rsid w:val="00337B2E"/>
    <w:rsid w:val="00337B4E"/>
    <w:rsid w:val="00337CC1"/>
    <w:rsid w:val="00337CFC"/>
    <w:rsid w:val="00337EC9"/>
    <w:rsid w:val="0034009F"/>
    <w:rsid w:val="00340156"/>
    <w:rsid w:val="00340170"/>
    <w:rsid w:val="00340331"/>
    <w:rsid w:val="0034074D"/>
    <w:rsid w:val="00340762"/>
    <w:rsid w:val="0034086A"/>
    <w:rsid w:val="0034086B"/>
    <w:rsid w:val="003408F0"/>
    <w:rsid w:val="00340957"/>
    <w:rsid w:val="0034099E"/>
    <w:rsid w:val="00340ABF"/>
    <w:rsid w:val="00340ADA"/>
    <w:rsid w:val="00340BBA"/>
    <w:rsid w:val="00340CD2"/>
    <w:rsid w:val="00340F2D"/>
    <w:rsid w:val="00340FC9"/>
    <w:rsid w:val="00340FCE"/>
    <w:rsid w:val="00341190"/>
    <w:rsid w:val="003411A3"/>
    <w:rsid w:val="00341453"/>
    <w:rsid w:val="00341A51"/>
    <w:rsid w:val="00341B6A"/>
    <w:rsid w:val="00341BFD"/>
    <w:rsid w:val="00341DB4"/>
    <w:rsid w:val="00341F28"/>
    <w:rsid w:val="00341FBA"/>
    <w:rsid w:val="00342026"/>
    <w:rsid w:val="00342043"/>
    <w:rsid w:val="00342189"/>
    <w:rsid w:val="00342193"/>
    <w:rsid w:val="003421D9"/>
    <w:rsid w:val="0034230A"/>
    <w:rsid w:val="0034234A"/>
    <w:rsid w:val="00342373"/>
    <w:rsid w:val="003423D8"/>
    <w:rsid w:val="0034246F"/>
    <w:rsid w:val="0034248F"/>
    <w:rsid w:val="003427A0"/>
    <w:rsid w:val="00342937"/>
    <w:rsid w:val="00342A2F"/>
    <w:rsid w:val="00342A7E"/>
    <w:rsid w:val="00342ABA"/>
    <w:rsid w:val="00342C83"/>
    <w:rsid w:val="00342D55"/>
    <w:rsid w:val="00343016"/>
    <w:rsid w:val="0034314B"/>
    <w:rsid w:val="00343208"/>
    <w:rsid w:val="003435B6"/>
    <w:rsid w:val="00343658"/>
    <w:rsid w:val="003436B1"/>
    <w:rsid w:val="003436DB"/>
    <w:rsid w:val="00343965"/>
    <w:rsid w:val="00343A8B"/>
    <w:rsid w:val="00343A8C"/>
    <w:rsid w:val="00343BBB"/>
    <w:rsid w:val="00343BCA"/>
    <w:rsid w:val="00343BCD"/>
    <w:rsid w:val="00343C11"/>
    <w:rsid w:val="00343DBF"/>
    <w:rsid w:val="00344093"/>
    <w:rsid w:val="0034409D"/>
    <w:rsid w:val="00344106"/>
    <w:rsid w:val="003441DF"/>
    <w:rsid w:val="003442CD"/>
    <w:rsid w:val="00344555"/>
    <w:rsid w:val="00344668"/>
    <w:rsid w:val="00344893"/>
    <w:rsid w:val="00344A81"/>
    <w:rsid w:val="00344ACD"/>
    <w:rsid w:val="00344B74"/>
    <w:rsid w:val="00344CBD"/>
    <w:rsid w:val="00344F62"/>
    <w:rsid w:val="00344FA3"/>
    <w:rsid w:val="00344FEC"/>
    <w:rsid w:val="00345116"/>
    <w:rsid w:val="003453C8"/>
    <w:rsid w:val="003453EB"/>
    <w:rsid w:val="003455C7"/>
    <w:rsid w:val="0034577E"/>
    <w:rsid w:val="00345A10"/>
    <w:rsid w:val="00345AA1"/>
    <w:rsid w:val="00345B3A"/>
    <w:rsid w:val="00345BC1"/>
    <w:rsid w:val="00345BDB"/>
    <w:rsid w:val="00345D85"/>
    <w:rsid w:val="00345FE9"/>
    <w:rsid w:val="0034607F"/>
    <w:rsid w:val="00346109"/>
    <w:rsid w:val="00346125"/>
    <w:rsid w:val="00346377"/>
    <w:rsid w:val="00346496"/>
    <w:rsid w:val="003464C7"/>
    <w:rsid w:val="003467D2"/>
    <w:rsid w:val="003467F6"/>
    <w:rsid w:val="003467F9"/>
    <w:rsid w:val="00346860"/>
    <w:rsid w:val="00346874"/>
    <w:rsid w:val="00346899"/>
    <w:rsid w:val="00346A5B"/>
    <w:rsid w:val="00346ADB"/>
    <w:rsid w:val="00346B4E"/>
    <w:rsid w:val="00346DA4"/>
    <w:rsid w:val="00346FC1"/>
    <w:rsid w:val="00346FEA"/>
    <w:rsid w:val="00347073"/>
    <w:rsid w:val="00347117"/>
    <w:rsid w:val="00347296"/>
    <w:rsid w:val="00347368"/>
    <w:rsid w:val="0034758D"/>
    <w:rsid w:val="00347697"/>
    <w:rsid w:val="003476DB"/>
    <w:rsid w:val="00347792"/>
    <w:rsid w:val="00347856"/>
    <w:rsid w:val="00347865"/>
    <w:rsid w:val="00347939"/>
    <w:rsid w:val="003479CC"/>
    <w:rsid w:val="003479D9"/>
    <w:rsid w:val="00347D78"/>
    <w:rsid w:val="00347D79"/>
    <w:rsid w:val="00347E9D"/>
    <w:rsid w:val="0035021B"/>
    <w:rsid w:val="00350493"/>
    <w:rsid w:val="003504CD"/>
    <w:rsid w:val="0035090A"/>
    <w:rsid w:val="00350991"/>
    <w:rsid w:val="00350A65"/>
    <w:rsid w:val="00350AD0"/>
    <w:rsid w:val="00350ADC"/>
    <w:rsid w:val="00350BF7"/>
    <w:rsid w:val="00350DC3"/>
    <w:rsid w:val="00350E89"/>
    <w:rsid w:val="00350F36"/>
    <w:rsid w:val="00350FA3"/>
    <w:rsid w:val="0035108A"/>
    <w:rsid w:val="00351173"/>
    <w:rsid w:val="00351406"/>
    <w:rsid w:val="00351501"/>
    <w:rsid w:val="00351535"/>
    <w:rsid w:val="00351615"/>
    <w:rsid w:val="00351635"/>
    <w:rsid w:val="003518C5"/>
    <w:rsid w:val="00351964"/>
    <w:rsid w:val="00351992"/>
    <w:rsid w:val="00351994"/>
    <w:rsid w:val="003519DA"/>
    <w:rsid w:val="00351A3E"/>
    <w:rsid w:val="00351B57"/>
    <w:rsid w:val="00351BD9"/>
    <w:rsid w:val="00351C8C"/>
    <w:rsid w:val="003521A2"/>
    <w:rsid w:val="003521D0"/>
    <w:rsid w:val="003521FE"/>
    <w:rsid w:val="003524C6"/>
    <w:rsid w:val="003524CE"/>
    <w:rsid w:val="00352686"/>
    <w:rsid w:val="003526B1"/>
    <w:rsid w:val="0035272B"/>
    <w:rsid w:val="003529D5"/>
    <w:rsid w:val="003529FD"/>
    <w:rsid w:val="00352AE0"/>
    <w:rsid w:val="00352CF0"/>
    <w:rsid w:val="00352F04"/>
    <w:rsid w:val="00352F05"/>
    <w:rsid w:val="00352F45"/>
    <w:rsid w:val="0035304A"/>
    <w:rsid w:val="003530D3"/>
    <w:rsid w:val="00353223"/>
    <w:rsid w:val="00353291"/>
    <w:rsid w:val="003532DC"/>
    <w:rsid w:val="00353498"/>
    <w:rsid w:val="00353628"/>
    <w:rsid w:val="003536EF"/>
    <w:rsid w:val="00353918"/>
    <w:rsid w:val="00353C0A"/>
    <w:rsid w:val="00353CF8"/>
    <w:rsid w:val="00353E89"/>
    <w:rsid w:val="00353F03"/>
    <w:rsid w:val="003541CC"/>
    <w:rsid w:val="003541CF"/>
    <w:rsid w:val="00354343"/>
    <w:rsid w:val="00354417"/>
    <w:rsid w:val="003545CF"/>
    <w:rsid w:val="00354605"/>
    <w:rsid w:val="00354834"/>
    <w:rsid w:val="00354B1B"/>
    <w:rsid w:val="00354B89"/>
    <w:rsid w:val="00354BDE"/>
    <w:rsid w:val="00354BFB"/>
    <w:rsid w:val="00354D18"/>
    <w:rsid w:val="00354ED0"/>
    <w:rsid w:val="00354F22"/>
    <w:rsid w:val="003551BF"/>
    <w:rsid w:val="003551EF"/>
    <w:rsid w:val="00355464"/>
    <w:rsid w:val="00355755"/>
    <w:rsid w:val="00355914"/>
    <w:rsid w:val="00355B0F"/>
    <w:rsid w:val="00355B25"/>
    <w:rsid w:val="00355DF4"/>
    <w:rsid w:val="00355E1E"/>
    <w:rsid w:val="00355E96"/>
    <w:rsid w:val="00355EBD"/>
    <w:rsid w:val="00355F03"/>
    <w:rsid w:val="00355F44"/>
    <w:rsid w:val="00355F58"/>
    <w:rsid w:val="0035626F"/>
    <w:rsid w:val="003562AF"/>
    <w:rsid w:val="0035633A"/>
    <w:rsid w:val="0035635D"/>
    <w:rsid w:val="003564E7"/>
    <w:rsid w:val="003566CA"/>
    <w:rsid w:val="00356B4E"/>
    <w:rsid w:val="00356C82"/>
    <w:rsid w:val="00356D76"/>
    <w:rsid w:val="00357059"/>
    <w:rsid w:val="003571E5"/>
    <w:rsid w:val="0035734F"/>
    <w:rsid w:val="0035741C"/>
    <w:rsid w:val="003575B0"/>
    <w:rsid w:val="003576CD"/>
    <w:rsid w:val="0035794B"/>
    <w:rsid w:val="00357B35"/>
    <w:rsid w:val="00357D70"/>
    <w:rsid w:val="00357DE2"/>
    <w:rsid w:val="00357EB3"/>
    <w:rsid w:val="00357FEA"/>
    <w:rsid w:val="0036015F"/>
    <w:rsid w:val="00360190"/>
    <w:rsid w:val="00360574"/>
    <w:rsid w:val="003605EE"/>
    <w:rsid w:val="0036060C"/>
    <w:rsid w:val="00360841"/>
    <w:rsid w:val="00360AD3"/>
    <w:rsid w:val="00360B36"/>
    <w:rsid w:val="00360C40"/>
    <w:rsid w:val="00360D2F"/>
    <w:rsid w:val="00360E1A"/>
    <w:rsid w:val="00360FFD"/>
    <w:rsid w:val="00361044"/>
    <w:rsid w:val="003610FD"/>
    <w:rsid w:val="0036115E"/>
    <w:rsid w:val="003611BB"/>
    <w:rsid w:val="003613C4"/>
    <w:rsid w:val="00361434"/>
    <w:rsid w:val="003614F2"/>
    <w:rsid w:val="00361590"/>
    <w:rsid w:val="003615EA"/>
    <w:rsid w:val="00361643"/>
    <w:rsid w:val="003616D4"/>
    <w:rsid w:val="00361876"/>
    <w:rsid w:val="00361A3E"/>
    <w:rsid w:val="00361CB2"/>
    <w:rsid w:val="00361D36"/>
    <w:rsid w:val="00361D8E"/>
    <w:rsid w:val="00361E09"/>
    <w:rsid w:val="00361EAE"/>
    <w:rsid w:val="00362110"/>
    <w:rsid w:val="00362683"/>
    <w:rsid w:val="003626DA"/>
    <w:rsid w:val="00362895"/>
    <w:rsid w:val="00362991"/>
    <w:rsid w:val="00362A99"/>
    <w:rsid w:val="00362ACC"/>
    <w:rsid w:val="00362BC4"/>
    <w:rsid w:val="00362C15"/>
    <w:rsid w:val="00362D8D"/>
    <w:rsid w:val="00362E2B"/>
    <w:rsid w:val="00362FD2"/>
    <w:rsid w:val="0036302E"/>
    <w:rsid w:val="00363299"/>
    <w:rsid w:val="00363370"/>
    <w:rsid w:val="00363485"/>
    <w:rsid w:val="0036352E"/>
    <w:rsid w:val="00363636"/>
    <w:rsid w:val="00363907"/>
    <w:rsid w:val="00363CE1"/>
    <w:rsid w:val="00363EDF"/>
    <w:rsid w:val="00364102"/>
    <w:rsid w:val="003642AE"/>
    <w:rsid w:val="00364373"/>
    <w:rsid w:val="003643A1"/>
    <w:rsid w:val="003643BD"/>
    <w:rsid w:val="00364449"/>
    <w:rsid w:val="0036469A"/>
    <w:rsid w:val="00364B1E"/>
    <w:rsid w:val="00364C58"/>
    <w:rsid w:val="00364E98"/>
    <w:rsid w:val="00364EF3"/>
    <w:rsid w:val="00364F84"/>
    <w:rsid w:val="0036512A"/>
    <w:rsid w:val="00365192"/>
    <w:rsid w:val="003651B6"/>
    <w:rsid w:val="0036531E"/>
    <w:rsid w:val="00365397"/>
    <w:rsid w:val="003653D1"/>
    <w:rsid w:val="00365824"/>
    <w:rsid w:val="0036585E"/>
    <w:rsid w:val="003658BD"/>
    <w:rsid w:val="00365967"/>
    <w:rsid w:val="00365FB5"/>
    <w:rsid w:val="00366027"/>
    <w:rsid w:val="00366301"/>
    <w:rsid w:val="0036641E"/>
    <w:rsid w:val="003668EC"/>
    <w:rsid w:val="00366A34"/>
    <w:rsid w:val="00366BB0"/>
    <w:rsid w:val="00366C07"/>
    <w:rsid w:val="00366C3B"/>
    <w:rsid w:val="00366CC0"/>
    <w:rsid w:val="00366D75"/>
    <w:rsid w:val="00366E0A"/>
    <w:rsid w:val="00366E7F"/>
    <w:rsid w:val="00366EC0"/>
    <w:rsid w:val="00366F10"/>
    <w:rsid w:val="00366FE5"/>
    <w:rsid w:val="003670E3"/>
    <w:rsid w:val="00367145"/>
    <w:rsid w:val="0036718C"/>
    <w:rsid w:val="003672C3"/>
    <w:rsid w:val="00367347"/>
    <w:rsid w:val="00367432"/>
    <w:rsid w:val="003674BD"/>
    <w:rsid w:val="003676D9"/>
    <w:rsid w:val="0036780D"/>
    <w:rsid w:val="00367A86"/>
    <w:rsid w:val="00367CF1"/>
    <w:rsid w:val="00367FDC"/>
    <w:rsid w:val="0037004B"/>
    <w:rsid w:val="0037005C"/>
    <w:rsid w:val="003700C4"/>
    <w:rsid w:val="003701FE"/>
    <w:rsid w:val="003703A5"/>
    <w:rsid w:val="0037040B"/>
    <w:rsid w:val="0037051D"/>
    <w:rsid w:val="0037052D"/>
    <w:rsid w:val="00370546"/>
    <w:rsid w:val="0037054D"/>
    <w:rsid w:val="003706E5"/>
    <w:rsid w:val="0037070E"/>
    <w:rsid w:val="003707E8"/>
    <w:rsid w:val="00370BE6"/>
    <w:rsid w:val="00370C69"/>
    <w:rsid w:val="00370F57"/>
    <w:rsid w:val="00370FC2"/>
    <w:rsid w:val="00371091"/>
    <w:rsid w:val="003713B0"/>
    <w:rsid w:val="003713C3"/>
    <w:rsid w:val="003713C7"/>
    <w:rsid w:val="0037163E"/>
    <w:rsid w:val="00371654"/>
    <w:rsid w:val="003717B7"/>
    <w:rsid w:val="003719AD"/>
    <w:rsid w:val="003719B5"/>
    <w:rsid w:val="00371B18"/>
    <w:rsid w:val="00371C1C"/>
    <w:rsid w:val="00371DB1"/>
    <w:rsid w:val="00371DF9"/>
    <w:rsid w:val="00371E90"/>
    <w:rsid w:val="00372100"/>
    <w:rsid w:val="00372409"/>
    <w:rsid w:val="00372426"/>
    <w:rsid w:val="00372789"/>
    <w:rsid w:val="003727CD"/>
    <w:rsid w:val="003728B0"/>
    <w:rsid w:val="0037290B"/>
    <w:rsid w:val="00372940"/>
    <w:rsid w:val="00372966"/>
    <w:rsid w:val="00372AD2"/>
    <w:rsid w:val="00372B82"/>
    <w:rsid w:val="00372C6A"/>
    <w:rsid w:val="00372EAE"/>
    <w:rsid w:val="00373033"/>
    <w:rsid w:val="003730D5"/>
    <w:rsid w:val="00373151"/>
    <w:rsid w:val="003731FD"/>
    <w:rsid w:val="003732EF"/>
    <w:rsid w:val="00373605"/>
    <w:rsid w:val="0037389A"/>
    <w:rsid w:val="00373ABA"/>
    <w:rsid w:val="00373BF0"/>
    <w:rsid w:val="00373C21"/>
    <w:rsid w:val="00373CD9"/>
    <w:rsid w:val="00373CEE"/>
    <w:rsid w:val="00373D93"/>
    <w:rsid w:val="00373F3C"/>
    <w:rsid w:val="00373FC2"/>
    <w:rsid w:val="003740FC"/>
    <w:rsid w:val="003742D9"/>
    <w:rsid w:val="0037451C"/>
    <w:rsid w:val="00374593"/>
    <w:rsid w:val="0037459F"/>
    <w:rsid w:val="003745A1"/>
    <w:rsid w:val="003747EE"/>
    <w:rsid w:val="003747FD"/>
    <w:rsid w:val="003749C9"/>
    <w:rsid w:val="00374B09"/>
    <w:rsid w:val="00374E0D"/>
    <w:rsid w:val="00374E33"/>
    <w:rsid w:val="00374E82"/>
    <w:rsid w:val="00374EBF"/>
    <w:rsid w:val="00374FF6"/>
    <w:rsid w:val="00375010"/>
    <w:rsid w:val="00375052"/>
    <w:rsid w:val="0037513B"/>
    <w:rsid w:val="00375167"/>
    <w:rsid w:val="003753AB"/>
    <w:rsid w:val="003753F3"/>
    <w:rsid w:val="00375611"/>
    <w:rsid w:val="00375816"/>
    <w:rsid w:val="003759E1"/>
    <w:rsid w:val="00375A90"/>
    <w:rsid w:val="00375C3F"/>
    <w:rsid w:val="00375CDB"/>
    <w:rsid w:val="00375F36"/>
    <w:rsid w:val="00376051"/>
    <w:rsid w:val="0037619A"/>
    <w:rsid w:val="003763BD"/>
    <w:rsid w:val="00376481"/>
    <w:rsid w:val="003765EC"/>
    <w:rsid w:val="003766AA"/>
    <w:rsid w:val="00376756"/>
    <w:rsid w:val="00376847"/>
    <w:rsid w:val="003768A6"/>
    <w:rsid w:val="003768DD"/>
    <w:rsid w:val="00376D74"/>
    <w:rsid w:val="00376D9F"/>
    <w:rsid w:val="00376DE7"/>
    <w:rsid w:val="00376E67"/>
    <w:rsid w:val="00377383"/>
    <w:rsid w:val="0037759C"/>
    <w:rsid w:val="003778CA"/>
    <w:rsid w:val="003778E4"/>
    <w:rsid w:val="00377ABD"/>
    <w:rsid w:val="00377B14"/>
    <w:rsid w:val="00377BA6"/>
    <w:rsid w:val="00377CA1"/>
    <w:rsid w:val="00377CE7"/>
    <w:rsid w:val="00377D03"/>
    <w:rsid w:val="00377D61"/>
    <w:rsid w:val="00377DBD"/>
    <w:rsid w:val="00377E01"/>
    <w:rsid w:val="00377EF2"/>
    <w:rsid w:val="00377F37"/>
    <w:rsid w:val="00377F9D"/>
    <w:rsid w:val="00380002"/>
    <w:rsid w:val="003800EA"/>
    <w:rsid w:val="003801B6"/>
    <w:rsid w:val="00380294"/>
    <w:rsid w:val="0038055D"/>
    <w:rsid w:val="00380683"/>
    <w:rsid w:val="003808C6"/>
    <w:rsid w:val="003809A4"/>
    <w:rsid w:val="00380A5F"/>
    <w:rsid w:val="00380B43"/>
    <w:rsid w:val="00380E0D"/>
    <w:rsid w:val="003811FE"/>
    <w:rsid w:val="00381241"/>
    <w:rsid w:val="0038125C"/>
    <w:rsid w:val="003812C9"/>
    <w:rsid w:val="0038148F"/>
    <w:rsid w:val="00381517"/>
    <w:rsid w:val="0038175B"/>
    <w:rsid w:val="0038193E"/>
    <w:rsid w:val="003819E4"/>
    <w:rsid w:val="00381AB3"/>
    <w:rsid w:val="00381AEB"/>
    <w:rsid w:val="00381B2B"/>
    <w:rsid w:val="00381B64"/>
    <w:rsid w:val="00381B85"/>
    <w:rsid w:val="00381B87"/>
    <w:rsid w:val="00381C17"/>
    <w:rsid w:val="00381C8E"/>
    <w:rsid w:val="00381F89"/>
    <w:rsid w:val="00381FAF"/>
    <w:rsid w:val="00382136"/>
    <w:rsid w:val="00382772"/>
    <w:rsid w:val="0038297E"/>
    <w:rsid w:val="00382B83"/>
    <w:rsid w:val="00382C19"/>
    <w:rsid w:val="00382D67"/>
    <w:rsid w:val="00382DF8"/>
    <w:rsid w:val="00383068"/>
    <w:rsid w:val="0038312E"/>
    <w:rsid w:val="00383312"/>
    <w:rsid w:val="0038334F"/>
    <w:rsid w:val="003836CA"/>
    <w:rsid w:val="00383738"/>
    <w:rsid w:val="003839DF"/>
    <w:rsid w:val="00383A3E"/>
    <w:rsid w:val="00383C2D"/>
    <w:rsid w:val="00383C89"/>
    <w:rsid w:val="00383E68"/>
    <w:rsid w:val="00383FD7"/>
    <w:rsid w:val="00383FDC"/>
    <w:rsid w:val="00384277"/>
    <w:rsid w:val="00384279"/>
    <w:rsid w:val="00384487"/>
    <w:rsid w:val="003844B8"/>
    <w:rsid w:val="00384543"/>
    <w:rsid w:val="00384807"/>
    <w:rsid w:val="00384A31"/>
    <w:rsid w:val="00384ABF"/>
    <w:rsid w:val="00384AD3"/>
    <w:rsid w:val="00384CDB"/>
    <w:rsid w:val="00384CE8"/>
    <w:rsid w:val="00384D5D"/>
    <w:rsid w:val="00384DEA"/>
    <w:rsid w:val="00384F7B"/>
    <w:rsid w:val="00385015"/>
    <w:rsid w:val="0038503F"/>
    <w:rsid w:val="0038510A"/>
    <w:rsid w:val="00385140"/>
    <w:rsid w:val="00385252"/>
    <w:rsid w:val="00385281"/>
    <w:rsid w:val="003852FC"/>
    <w:rsid w:val="00385363"/>
    <w:rsid w:val="00385390"/>
    <w:rsid w:val="00385437"/>
    <w:rsid w:val="0038562A"/>
    <w:rsid w:val="0038570C"/>
    <w:rsid w:val="003857A3"/>
    <w:rsid w:val="00385A2B"/>
    <w:rsid w:val="00385AC8"/>
    <w:rsid w:val="00385B96"/>
    <w:rsid w:val="00385CAD"/>
    <w:rsid w:val="00385D73"/>
    <w:rsid w:val="00385DDB"/>
    <w:rsid w:val="00385DE2"/>
    <w:rsid w:val="00385E9B"/>
    <w:rsid w:val="00385ED3"/>
    <w:rsid w:val="00386019"/>
    <w:rsid w:val="0038601A"/>
    <w:rsid w:val="0038624B"/>
    <w:rsid w:val="003862F7"/>
    <w:rsid w:val="0038634A"/>
    <w:rsid w:val="0038652D"/>
    <w:rsid w:val="003869A8"/>
    <w:rsid w:val="00386BC3"/>
    <w:rsid w:val="0038708B"/>
    <w:rsid w:val="00387188"/>
    <w:rsid w:val="003871F5"/>
    <w:rsid w:val="003872BC"/>
    <w:rsid w:val="00387349"/>
    <w:rsid w:val="003874FA"/>
    <w:rsid w:val="0038753A"/>
    <w:rsid w:val="00387641"/>
    <w:rsid w:val="003877CE"/>
    <w:rsid w:val="00387917"/>
    <w:rsid w:val="00387926"/>
    <w:rsid w:val="00387A6A"/>
    <w:rsid w:val="00387C5C"/>
    <w:rsid w:val="00387D9E"/>
    <w:rsid w:val="00387E5C"/>
    <w:rsid w:val="003903F3"/>
    <w:rsid w:val="00390837"/>
    <w:rsid w:val="00390871"/>
    <w:rsid w:val="0039097A"/>
    <w:rsid w:val="003909A7"/>
    <w:rsid w:val="003909AD"/>
    <w:rsid w:val="00390BA3"/>
    <w:rsid w:val="00390C51"/>
    <w:rsid w:val="00390DB5"/>
    <w:rsid w:val="00390FFF"/>
    <w:rsid w:val="00391014"/>
    <w:rsid w:val="00391188"/>
    <w:rsid w:val="003911DE"/>
    <w:rsid w:val="00391392"/>
    <w:rsid w:val="003914B5"/>
    <w:rsid w:val="003914D1"/>
    <w:rsid w:val="0039150E"/>
    <w:rsid w:val="00391548"/>
    <w:rsid w:val="00391563"/>
    <w:rsid w:val="00391933"/>
    <w:rsid w:val="00391CC1"/>
    <w:rsid w:val="00391D34"/>
    <w:rsid w:val="00391D51"/>
    <w:rsid w:val="00391E1B"/>
    <w:rsid w:val="00392188"/>
    <w:rsid w:val="00392245"/>
    <w:rsid w:val="003923D2"/>
    <w:rsid w:val="003925BF"/>
    <w:rsid w:val="0039267F"/>
    <w:rsid w:val="003926D8"/>
    <w:rsid w:val="0039282C"/>
    <w:rsid w:val="0039287F"/>
    <w:rsid w:val="003929D2"/>
    <w:rsid w:val="00392D15"/>
    <w:rsid w:val="0039318F"/>
    <w:rsid w:val="00393197"/>
    <w:rsid w:val="003931F9"/>
    <w:rsid w:val="00393233"/>
    <w:rsid w:val="00393299"/>
    <w:rsid w:val="0039329F"/>
    <w:rsid w:val="0039345D"/>
    <w:rsid w:val="0039347D"/>
    <w:rsid w:val="0039353B"/>
    <w:rsid w:val="00393610"/>
    <w:rsid w:val="00393715"/>
    <w:rsid w:val="00393964"/>
    <w:rsid w:val="00393B34"/>
    <w:rsid w:val="00393BA4"/>
    <w:rsid w:val="00393C83"/>
    <w:rsid w:val="00393DB3"/>
    <w:rsid w:val="00393E4A"/>
    <w:rsid w:val="00394005"/>
    <w:rsid w:val="003941E6"/>
    <w:rsid w:val="003943D2"/>
    <w:rsid w:val="00394479"/>
    <w:rsid w:val="00394576"/>
    <w:rsid w:val="00394649"/>
    <w:rsid w:val="0039469C"/>
    <w:rsid w:val="003947CE"/>
    <w:rsid w:val="00394933"/>
    <w:rsid w:val="00394990"/>
    <w:rsid w:val="003949C0"/>
    <w:rsid w:val="00394A04"/>
    <w:rsid w:val="00394AB2"/>
    <w:rsid w:val="00394BF3"/>
    <w:rsid w:val="00394C41"/>
    <w:rsid w:val="00394C9C"/>
    <w:rsid w:val="00394CE2"/>
    <w:rsid w:val="00394D01"/>
    <w:rsid w:val="00394E97"/>
    <w:rsid w:val="0039502E"/>
    <w:rsid w:val="00395205"/>
    <w:rsid w:val="0039521E"/>
    <w:rsid w:val="0039549C"/>
    <w:rsid w:val="00395533"/>
    <w:rsid w:val="00395553"/>
    <w:rsid w:val="0039563E"/>
    <w:rsid w:val="003958E4"/>
    <w:rsid w:val="0039596A"/>
    <w:rsid w:val="00395AD5"/>
    <w:rsid w:val="00395B52"/>
    <w:rsid w:val="00395BA5"/>
    <w:rsid w:val="00395D42"/>
    <w:rsid w:val="00395DAD"/>
    <w:rsid w:val="00395DCF"/>
    <w:rsid w:val="003961D5"/>
    <w:rsid w:val="003961F7"/>
    <w:rsid w:val="00396466"/>
    <w:rsid w:val="00396620"/>
    <w:rsid w:val="00396899"/>
    <w:rsid w:val="00396B22"/>
    <w:rsid w:val="00396D70"/>
    <w:rsid w:val="00396E11"/>
    <w:rsid w:val="00396E28"/>
    <w:rsid w:val="00396F91"/>
    <w:rsid w:val="00396FC9"/>
    <w:rsid w:val="003970BC"/>
    <w:rsid w:val="0039710D"/>
    <w:rsid w:val="0039727A"/>
    <w:rsid w:val="0039741C"/>
    <w:rsid w:val="00397460"/>
    <w:rsid w:val="003974A0"/>
    <w:rsid w:val="00397500"/>
    <w:rsid w:val="003975BA"/>
    <w:rsid w:val="00397675"/>
    <w:rsid w:val="0039776B"/>
    <w:rsid w:val="00397873"/>
    <w:rsid w:val="0039790A"/>
    <w:rsid w:val="00397977"/>
    <w:rsid w:val="0039797A"/>
    <w:rsid w:val="00397A8B"/>
    <w:rsid w:val="00397CBA"/>
    <w:rsid w:val="00397F45"/>
    <w:rsid w:val="003A000D"/>
    <w:rsid w:val="003A004E"/>
    <w:rsid w:val="003A024D"/>
    <w:rsid w:val="003A0250"/>
    <w:rsid w:val="003A0350"/>
    <w:rsid w:val="003A057B"/>
    <w:rsid w:val="003A063D"/>
    <w:rsid w:val="003A06A8"/>
    <w:rsid w:val="003A0762"/>
    <w:rsid w:val="003A084C"/>
    <w:rsid w:val="003A0B37"/>
    <w:rsid w:val="003A0B42"/>
    <w:rsid w:val="003A0BD3"/>
    <w:rsid w:val="003A0C48"/>
    <w:rsid w:val="003A0E88"/>
    <w:rsid w:val="003A0FE3"/>
    <w:rsid w:val="003A1040"/>
    <w:rsid w:val="003A155C"/>
    <w:rsid w:val="003A156C"/>
    <w:rsid w:val="003A165B"/>
    <w:rsid w:val="003A1851"/>
    <w:rsid w:val="003A1B18"/>
    <w:rsid w:val="003A1DED"/>
    <w:rsid w:val="003A1E77"/>
    <w:rsid w:val="003A2068"/>
    <w:rsid w:val="003A216D"/>
    <w:rsid w:val="003A2399"/>
    <w:rsid w:val="003A23F2"/>
    <w:rsid w:val="003A2513"/>
    <w:rsid w:val="003A2557"/>
    <w:rsid w:val="003A2B48"/>
    <w:rsid w:val="003A2E18"/>
    <w:rsid w:val="003A2E2B"/>
    <w:rsid w:val="003A2F59"/>
    <w:rsid w:val="003A302B"/>
    <w:rsid w:val="003A302C"/>
    <w:rsid w:val="003A3099"/>
    <w:rsid w:val="003A32B2"/>
    <w:rsid w:val="003A33DD"/>
    <w:rsid w:val="003A345B"/>
    <w:rsid w:val="003A364A"/>
    <w:rsid w:val="003A3A27"/>
    <w:rsid w:val="003A3CA8"/>
    <w:rsid w:val="003A3CAF"/>
    <w:rsid w:val="003A3DA7"/>
    <w:rsid w:val="003A3ED8"/>
    <w:rsid w:val="003A3FAE"/>
    <w:rsid w:val="003A40D3"/>
    <w:rsid w:val="003A4538"/>
    <w:rsid w:val="003A45B1"/>
    <w:rsid w:val="003A46B1"/>
    <w:rsid w:val="003A476E"/>
    <w:rsid w:val="003A47CE"/>
    <w:rsid w:val="003A492C"/>
    <w:rsid w:val="003A4A5D"/>
    <w:rsid w:val="003A4A7E"/>
    <w:rsid w:val="003A4AC7"/>
    <w:rsid w:val="003A4C48"/>
    <w:rsid w:val="003A4E5C"/>
    <w:rsid w:val="003A4F60"/>
    <w:rsid w:val="003A5435"/>
    <w:rsid w:val="003A56B4"/>
    <w:rsid w:val="003A5749"/>
    <w:rsid w:val="003A5BA4"/>
    <w:rsid w:val="003A5C43"/>
    <w:rsid w:val="003A5CE7"/>
    <w:rsid w:val="003A5D5E"/>
    <w:rsid w:val="003A5D71"/>
    <w:rsid w:val="003A5DE7"/>
    <w:rsid w:val="003A5E43"/>
    <w:rsid w:val="003A6167"/>
    <w:rsid w:val="003A6278"/>
    <w:rsid w:val="003A645D"/>
    <w:rsid w:val="003A6650"/>
    <w:rsid w:val="003A6A1C"/>
    <w:rsid w:val="003A6A2E"/>
    <w:rsid w:val="003A6B05"/>
    <w:rsid w:val="003A6C64"/>
    <w:rsid w:val="003A6C95"/>
    <w:rsid w:val="003A6CF2"/>
    <w:rsid w:val="003A708B"/>
    <w:rsid w:val="003A712C"/>
    <w:rsid w:val="003A7149"/>
    <w:rsid w:val="003A72EB"/>
    <w:rsid w:val="003A7309"/>
    <w:rsid w:val="003A7456"/>
    <w:rsid w:val="003A77F8"/>
    <w:rsid w:val="003A7871"/>
    <w:rsid w:val="003A7D2A"/>
    <w:rsid w:val="003A7EBA"/>
    <w:rsid w:val="003A7FBA"/>
    <w:rsid w:val="003B02F9"/>
    <w:rsid w:val="003B03E3"/>
    <w:rsid w:val="003B0670"/>
    <w:rsid w:val="003B078F"/>
    <w:rsid w:val="003B084A"/>
    <w:rsid w:val="003B0AE6"/>
    <w:rsid w:val="003B0C10"/>
    <w:rsid w:val="003B0CC4"/>
    <w:rsid w:val="003B0D13"/>
    <w:rsid w:val="003B0DD3"/>
    <w:rsid w:val="003B0E45"/>
    <w:rsid w:val="003B0E52"/>
    <w:rsid w:val="003B0FB1"/>
    <w:rsid w:val="003B1045"/>
    <w:rsid w:val="003B10BF"/>
    <w:rsid w:val="003B111B"/>
    <w:rsid w:val="003B120C"/>
    <w:rsid w:val="003B148C"/>
    <w:rsid w:val="003B1534"/>
    <w:rsid w:val="003B16E5"/>
    <w:rsid w:val="003B17CE"/>
    <w:rsid w:val="003B18FC"/>
    <w:rsid w:val="003B1A91"/>
    <w:rsid w:val="003B1AA5"/>
    <w:rsid w:val="003B1AC9"/>
    <w:rsid w:val="003B1BD5"/>
    <w:rsid w:val="003B1E08"/>
    <w:rsid w:val="003B1F01"/>
    <w:rsid w:val="003B1F5E"/>
    <w:rsid w:val="003B20B3"/>
    <w:rsid w:val="003B2308"/>
    <w:rsid w:val="003B251D"/>
    <w:rsid w:val="003B256E"/>
    <w:rsid w:val="003B2638"/>
    <w:rsid w:val="003B2836"/>
    <w:rsid w:val="003B30AA"/>
    <w:rsid w:val="003B32B3"/>
    <w:rsid w:val="003B32BB"/>
    <w:rsid w:val="003B3496"/>
    <w:rsid w:val="003B34EB"/>
    <w:rsid w:val="003B3863"/>
    <w:rsid w:val="003B3B3B"/>
    <w:rsid w:val="003B3D27"/>
    <w:rsid w:val="003B3E89"/>
    <w:rsid w:val="003B3F4B"/>
    <w:rsid w:val="003B3FA5"/>
    <w:rsid w:val="003B40DC"/>
    <w:rsid w:val="003B419A"/>
    <w:rsid w:val="003B4647"/>
    <w:rsid w:val="003B4A4A"/>
    <w:rsid w:val="003B4D29"/>
    <w:rsid w:val="003B4DDD"/>
    <w:rsid w:val="003B4E88"/>
    <w:rsid w:val="003B50CE"/>
    <w:rsid w:val="003B5142"/>
    <w:rsid w:val="003B5215"/>
    <w:rsid w:val="003B5287"/>
    <w:rsid w:val="003B54AC"/>
    <w:rsid w:val="003B5516"/>
    <w:rsid w:val="003B57FC"/>
    <w:rsid w:val="003B58E5"/>
    <w:rsid w:val="003B5922"/>
    <w:rsid w:val="003B59F9"/>
    <w:rsid w:val="003B5C08"/>
    <w:rsid w:val="003B5C4D"/>
    <w:rsid w:val="003B5CED"/>
    <w:rsid w:val="003B5D0A"/>
    <w:rsid w:val="003B5D98"/>
    <w:rsid w:val="003B5E08"/>
    <w:rsid w:val="003B5F3E"/>
    <w:rsid w:val="003B617A"/>
    <w:rsid w:val="003B6204"/>
    <w:rsid w:val="003B62AA"/>
    <w:rsid w:val="003B62B2"/>
    <w:rsid w:val="003B6441"/>
    <w:rsid w:val="003B6556"/>
    <w:rsid w:val="003B65A9"/>
    <w:rsid w:val="003B6622"/>
    <w:rsid w:val="003B6623"/>
    <w:rsid w:val="003B67AE"/>
    <w:rsid w:val="003B67EC"/>
    <w:rsid w:val="003B6A5F"/>
    <w:rsid w:val="003B6D7F"/>
    <w:rsid w:val="003B6DDA"/>
    <w:rsid w:val="003B6EF4"/>
    <w:rsid w:val="003B6FA3"/>
    <w:rsid w:val="003B7291"/>
    <w:rsid w:val="003B742C"/>
    <w:rsid w:val="003B744A"/>
    <w:rsid w:val="003B74BD"/>
    <w:rsid w:val="003B751B"/>
    <w:rsid w:val="003B760D"/>
    <w:rsid w:val="003B7D9D"/>
    <w:rsid w:val="003B7FF4"/>
    <w:rsid w:val="003C00BA"/>
    <w:rsid w:val="003C0214"/>
    <w:rsid w:val="003C039F"/>
    <w:rsid w:val="003C040C"/>
    <w:rsid w:val="003C05BC"/>
    <w:rsid w:val="003C06A5"/>
    <w:rsid w:val="003C076C"/>
    <w:rsid w:val="003C09E1"/>
    <w:rsid w:val="003C0A45"/>
    <w:rsid w:val="003C0B99"/>
    <w:rsid w:val="003C0B9E"/>
    <w:rsid w:val="003C0EC3"/>
    <w:rsid w:val="003C0F25"/>
    <w:rsid w:val="003C0FDA"/>
    <w:rsid w:val="003C109F"/>
    <w:rsid w:val="003C1250"/>
    <w:rsid w:val="003C1489"/>
    <w:rsid w:val="003C14DD"/>
    <w:rsid w:val="003C170D"/>
    <w:rsid w:val="003C170F"/>
    <w:rsid w:val="003C1810"/>
    <w:rsid w:val="003C19CF"/>
    <w:rsid w:val="003C1AE2"/>
    <w:rsid w:val="003C1B24"/>
    <w:rsid w:val="003C1D88"/>
    <w:rsid w:val="003C1E3C"/>
    <w:rsid w:val="003C1E44"/>
    <w:rsid w:val="003C20C8"/>
    <w:rsid w:val="003C20DC"/>
    <w:rsid w:val="003C22E6"/>
    <w:rsid w:val="003C23E7"/>
    <w:rsid w:val="003C242F"/>
    <w:rsid w:val="003C252C"/>
    <w:rsid w:val="003C26BD"/>
    <w:rsid w:val="003C277B"/>
    <w:rsid w:val="003C28F3"/>
    <w:rsid w:val="003C2989"/>
    <w:rsid w:val="003C29A4"/>
    <w:rsid w:val="003C2A75"/>
    <w:rsid w:val="003C2CB8"/>
    <w:rsid w:val="003C2D9A"/>
    <w:rsid w:val="003C2DB4"/>
    <w:rsid w:val="003C2E3E"/>
    <w:rsid w:val="003C2EBF"/>
    <w:rsid w:val="003C2FA5"/>
    <w:rsid w:val="003C309D"/>
    <w:rsid w:val="003C3172"/>
    <w:rsid w:val="003C31F9"/>
    <w:rsid w:val="003C3368"/>
    <w:rsid w:val="003C36D2"/>
    <w:rsid w:val="003C37A2"/>
    <w:rsid w:val="003C37DB"/>
    <w:rsid w:val="003C3881"/>
    <w:rsid w:val="003C38AA"/>
    <w:rsid w:val="003C38BA"/>
    <w:rsid w:val="003C38C5"/>
    <w:rsid w:val="003C3BFD"/>
    <w:rsid w:val="003C3FFD"/>
    <w:rsid w:val="003C43BA"/>
    <w:rsid w:val="003C4834"/>
    <w:rsid w:val="003C49D0"/>
    <w:rsid w:val="003C4C59"/>
    <w:rsid w:val="003C4D8C"/>
    <w:rsid w:val="003C4E77"/>
    <w:rsid w:val="003C4F7D"/>
    <w:rsid w:val="003C529B"/>
    <w:rsid w:val="003C52C2"/>
    <w:rsid w:val="003C52D3"/>
    <w:rsid w:val="003C535B"/>
    <w:rsid w:val="003C53FC"/>
    <w:rsid w:val="003C54A9"/>
    <w:rsid w:val="003C54EE"/>
    <w:rsid w:val="003C55E5"/>
    <w:rsid w:val="003C5852"/>
    <w:rsid w:val="003C5A22"/>
    <w:rsid w:val="003C5B3C"/>
    <w:rsid w:val="003C5BF2"/>
    <w:rsid w:val="003C5C9B"/>
    <w:rsid w:val="003C5F05"/>
    <w:rsid w:val="003C624E"/>
    <w:rsid w:val="003C64F4"/>
    <w:rsid w:val="003C664C"/>
    <w:rsid w:val="003C6708"/>
    <w:rsid w:val="003C68DB"/>
    <w:rsid w:val="003C69B2"/>
    <w:rsid w:val="003C69B9"/>
    <w:rsid w:val="003C6A1D"/>
    <w:rsid w:val="003C6AC9"/>
    <w:rsid w:val="003C6C74"/>
    <w:rsid w:val="003C6CCC"/>
    <w:rsid w:val="003C6E4C"/>
    <w:rsid w:val="003C6F15"/>
    <w:rsid w:val="003C7029"/>
    <w:rsid w:val="003C714D"/>
    <w:rsid w:val="003C71D7"/>
    <w:rsid w:val="003C730A"/>
    <w:rsid w:val="003C73F1"/>
    <w:rsid w:val="003C74FC"/>
    <w:rsid w:val="003C758B"/>
    <w:rsid w:val="003C7960"/>
    <w:rsid w:val="003C7ECD"/>
    <w:rsid w:val="003C7F00"/>
    <w:rsid w:val="003C7F78"/>
    <w:rsid w:val="003C7FD2"/>
    <w:rsid w:val="003D02C3"/>
    <w:rsid w:val="003D0509"/>
    <w:rsid w:val="003D0536"/>
    <w:rsid w:val="003D0552"/>
    <w:rsid w:val="003D070D"/>
    <w:rsid w:val="003D0780"/>
    <w:rsid w:val="003D084C"/>
    <w:rsid w:val="003D091C"/>
    <w:rsid w:val="003D0A95"/>
    <w:rsid w:val="003D0B83"/>
    <w:rsid w:val="003D0CD5"/>
    <w:rsid w:val="003D0E09"/>
    <w:rsid w:val="003D0F47"/>
    <w:rsid w:val="003D10BF"/>
    <w:rsid w:val="003D10F5"/>
    <w:rsid w:val="003D11D0"/>
    <w:rsid w:val="003D125A"/>
    <w:rsid w:val="003D12AF"/>
    <w:rsid w:val="003D1310"/>
    <w:rsid w:val="003D1536"/>
    <w:rsid w:val="003D1667"/>
    <w:rsid w:val="003D1695"/>
    <w:rsid w:val="003D18E4"/>
    <w:rsid w:val="003D1933"/>
    <w:rsid w:val="003D1A4A"/>
    <w:rsid w:val="003D1C29"/>
    <w:rsid w:val="003D1C6D"/>
    <w:rsid w:val="003D20AF"/>
    <w:rsid w:val="003D2341"/>
    <w:rsid w:val="003D2394"/>
    <w:rsid w:val="003D2531"/>
    <w:rsid w:val="003D2613"/>
    <w:rsid w:val="003D2925"/>
    <w:rsid w:val="003D29B3"/>
    <w:rsid w:val="003D2B3D"/>
    <w:rsid w:val="003D2E39"/>
    <w:rsid w:val="003D2E7E"/>
    <w:rsid w:val="003D2FE2"/>
    <w:rsid w:val="003D2FF5"/>
    <w:rsid w:val="003D300A"/>
    <w:rsid w:val="003D306A"/>
    <w:rsid w:val="003D3281"/>
    <w:rsid w:val="003D329D"/>
    <w:rsid w:val="003D3472"/>
    <w:rsid w:val="003D359A"/>
    <w:rsid w:val="003D36E9"/>
    <w:rsid w:val="003D37C3"/>
    <w:rsid w:val="003D3814"/>
    <w:rsid w:val="003D38D2"/>
    <w:rsid w:val="003D3A9B"/>
    <w:rsid w:val="003D3ADE"/>
    <w:rsid w:val="003D3BC5"/>
    <w:rsid w:val="003D3BCD"/>
    <w:rsid w:val="003D3DAB"/>
    <w:rsid w:val="003D3E91"/>
    <w:rsid w:val="003D3EB5"/>
    <w:rsid w:val="003D3EBE"/>
    <w:rsid w:val="003D3EC7"/>
    <w:rsid w:val="003D3F7F"/>
    <w:rsid w:val="003D4224"/>
    <w:rsid w:val="003D4244"/>
    <w:rsid w:val="003D431C"/>
    <w:rsid w:val="003D43FA"/>
    <w:rsid w:val="003D4501"/>
    <w:rsid w:val="003D4528"/>
    <w:rsid w:val="003D4553"/>
    <w:rsid w:val="003D4626"/>
    <w:rsid w:val="003D4676"/>
    <w:rsid w:val="003D469B"/>
    <w:rsid w:val="003D46B3"/>
    <w:rsid w:val="003D4ED4"/>
    <w:rsid w:val="003D50DD"/>
    <w:rsid w:val="003D5163"/>
    <w:rsid w:val="003D5200"/>
    <w:rsid w:val="003D520D"/>
    <w:rsid w:val="003D5288"/>
    <w:rsid w:val="003D52EE"/>
    <w:rsid w:val="003D5581"/>
    <w:rsid w:val="003D559F"/>
    <w:rsid w:val="003D5691"/>
    <w:rsid w:val="003D590F"/>
    <w:rsid w:val="003D59E8"/>
    <w:rsid w:val="003D5E2C"/>
    <w:rsid w:val="003D5EE9"/>
    <w:rsid w:val="003D5FF5"/>
    <w:rsid w:val="003D61D6"/>
    <w:rsid w:val="003D62CE"/>
    <w:rsid w:val="003D637A"/>
    <w:rsid w:val="003D6499"/>
    <w:rsid w:val="003D6534"/>
    <w:rsid w:val="003D6618"/>
    <w:rsid w:val="003D668A"/>
    <w:rsid w:val="003D67F6"/>
    <w:rsid w:val="003D686C"/>
    <w:rsid w:val="003D69EA"/>
    <w:rsid w:val="003D6A0C"/>
    <w:rsid w:val="003D6B39"/>
    <w:rsid w:val="003D6DC8"/>
    <w:rsid w:val="003D6E27"/>
    <w:rsid w:val="003D6E76"/>
    <w:rsid w:val="003D6EC9"/>
    <w:rsid w:val="003D703E"/>
    <w:rsid w:val="003D7040"/>
    <w:rsid w:val="003D72A9"/>
    <w:rsid w:val="003D744A"/>
    <w:rsid w:val="003D74C7"/>
    <w:rsid w:val="003D7541"/>
    <w:rsid w:val="003D75B0"/>
    <w:rsid w:val="003D76A9"/>
    <w:rsid w:val="003D771D"/>
    <w:rsid w:val="003D7919"/>
    <w:rsid w:val="003D7C60"/>
    <w:rsid w:val="003D7DB8"/>
    <w:rsid w:val="003D7F33"/>
    <w:rsid w:val="003E003F"/>
    <w:rsid w:val="003E0051"/>
    <w:rsid w:val="003E00C0"/>
    <w:rsid w:val="003E02BD"/>
    <w:rsid w:val="003E0348"/>
    <w:rsid w:val="003E03E8"/>
    <w:rsid w:val="003E045B"/>
    <w:rsid w:val="003E04F4"/>
    <w:rsid w:val="003E0566"/>
    <w:rsid w:val="003E066E"/>
    <w:rsid w:val="003E0776"/>
    <w:rsid w:val="003E0798"/>
    <w:rsid w:val="003E0833"/>
    <w:rsid w:val="003E0913"/>
    <w:rsid w:val="003E0A52"/>
    <w:rsid w:val="003E0ABE"/>
    <w:rsid w:val="003E0AE1"/>
    <w:rsid w:val="003E0BB7"/>
    <w:rsid w:val="003E0DDE"/>
    <w:rsid w:val="003E0E74"/>
    <w:rsid w:val="003E0E7C"/>
    <w:rsid w:val="003E0FD8"/>
    <w:rsid w:val="003E1131"/>
    <w:rsid w:val="003E1156"/>
    <w:rsid w:val="003E11A6"/>
    <w:rsid w:val="003E1231"/>
    <w:rsid w:val="003E131E"/>
    <w:rsid w:val="003E152D"/>
    <w:rsid w:val="003E158F"/>
    <w:rsid w:val="003E1A02"/>
    <w:rsid w:val="003E1C1B"/>
    <w:rsid w:val="003E1CE9"/>
    <w:rsid w:val="003E1DB9"/>
    <w:rsid w:val="003E1EAD"/>
    <w:rsid w:val="003E2165"/>
    <w:rsid w:val="003E21B3"/>
    <w:rsid w:val="003E22D1"/>
    <w:rsid w:val="003E2301"/>
    <w:rsid w:val="003E2362"/>
    <w:rsid w:val="003E2578"/>
    <w:rsid w:val="003E2654"/>
    <w:rsid w:val="003E27AC"/>
    <w:rsid w:val="003E28A9"/>
    <w:rsid w:val="003E29BC"/>
    <w:rsid w:val="003E2A41"/>
    <w:rsid w:val="003E2B8B"/>
    <w:rsid w:val="003E2E3D"/>
    <w:rsid w:val="003E2F45"/>
    <w:rsid w:val="003E2FE8"/>
    <w:rsid w:val="003E31CB"/>
    <w:rsid w:val="003E3447"/>
    <w:rsid w:val="003E3558"/>
    <w:rsid w:val="003E3622"/>
    <w:rsid w:val="003E374D"/>
    <w:rsid w:val="003E3B5E"/>
    <w:rsid w:val="003E3B6E"/>
    <w:rsid w:val="003E3CBA"/>
    <w:rsid w:val="003E3D41"/>
    <w:rsid w:val="003E3D92"/>
    <w:rsid w:val="003E3FEC"/>
    <w:rsid w:val="003E409C"/>
    <w:rsid w:val="003E41C6"/>
    <w:rsid w:val="003E429E"/>
    <w:rsid w:val="003E4404"/>
    <w:rsid w:val="003E4965"/>
    <w:rsid w:val="003E4995"/>
    <w:rsid w:val="003E4C0B"/>
    <w:rsid w:val="003E4D8A"/>
    <w:rsid w:val="003E4F39"/>
    <w:rsid w:val="003E50F3"/>
    <w:rsid w:val="003E51CF"/>
    <w:rsid w:val="003E56E3"/>
    <w:rsid w:val="003E58CF"/>
    <w:rsid w:val="003E59A2"/>
    <w:rsid w:val="003E5B9F"/>
    <w:rsid w:val="003E5BA0"/>
    <w:rsid w:val="003E5C59"/>
    <w:rsid w:val="003E5E22"/>
    <w:rsid w:val="003E5F2B"/>
    <w:rsid w:val="003E5FC3"/>
    <w:rsid w:val="003E630D"/>
    <w:rsid w:val="003E64CC"/>
    <w:rsid w:val="003E6620"/>
    <w:rsid w:val="003E673C"/>
    <w:rsid w:val="003E6770"/>
    <w:rsid w:val="003E6850"/>
    <w:rsid w:val="003E6A29"/>
    <w:rsid w:val="003E6BF2"/>
    <w:rsid w:val="003E6D14"/>
    <w:rsid w:val="003E6DE1"/>
    <w:rsid w:val="003E6E51"/>
    <w:rsid w:val="003E6F8A"/>
    <w:rsid w:val="003E6FD6"/>
    <w:rsid w:val="003E7197"/>
    <w:rsid w:val="003E75E9"/>
    <w:rsid w:val="003E76E5"/>
    <w:rsid w:val="003E7789"/>
    <w:rsid w:val="003E779E"/>
    <w:rsid w:val="003E77B3"/>
    <w:rsid w:val="003E78D0"/>
    <w:rsid w:val="003E7A94"/>
    <w:rsid w:val="003E7B78"/>
    <w:rsid w:val="003E7BF8"/>
    <w:rsid w:val="003E7C88"/>
    <w:rsid w:val="003E7DA6"/>
    <w:rsid w:val="003E7FB7"/>
    <w:rsid w:val="003F0307"/>
    <w:rsid w:val="003F040D"/>
    <w:rsid w:val="003F0545"/>
    <w:rsid w:val="003F0A07"/>
    <w:rsid w:val="003F0BE5"/>
    <w:rsid w:val="003F0CBC"/>
    <w:rsid w:val="003F0D3F"/>
    <w:rsid w:val="003F0EBF"/>
    <w:rsid w:val="003F0F62"/>
    <w:rsid w:val="003F0F7D"/>
    <w:rsid w:val="003F0F93"/>
    <w:rsid w:val="003F0FDF"/>
    <w:rsid w:val="003F1159"/>
    <w:rsid w:val="003F12D8"/>
    <w:rsid w:val="003F136D"/>
    <w:rsid w:val="003F1383"/>
    <w:rsid w:val="003F14EE"/>
    <w:rsid w:val="003F1648"/>
    <w:rsid w:val="003F167F"/>
    <w:rsid w:val="003F18B0"/>
    <w:rsid w:val="003F196E"/>
    <w:rsid w:val="003F19A1"/>
    <w:rsid w:val="003F1B21"/>
    <w:rsid w:val="003F1B5F"/>
    <w:rsid w:val="003F1B91"/>
    <w:rsid w:val="003F1BC7"/>
    <w:rsid w:val="003F1DAD"/>
    <w:rsid w:val="003F1E18"/>
    <w:rsid w:val="003F1FB4"/>
    <w:rsid w:val="003F22DC"/>
    <w:rsid w:val="003F2578"/>
    <w:rsid w:val="003F25D7"/>
    <w:rsid w:val="003F2AF1"/>
    <w:rsid w:val="003F2B92"/>
    <w:rsid w:val="003F2D40"/>
    <w:rsid w:val="003F2F84"/>
    <w:rsid w:val="003F2F9C"/>
    <w:rsid w:val="003F3223"/>
    <w:rsid w:val="003F34D6"/>
    <w:rsid w:val="003F35F5"/>
    <w:rsid w:val="003F3A63"/>
    <w:rsid w:val="003F3AA6"/>
    <w:rsid w:val="003F3B6D"/>
    <w:rsid w:val="003F3CAF"/>
    <w:rsid w:val="003F3CFF"/>
    <w:rsid w:val="003F3D50"/>
    <w:rsid w:val="003F415C"/>
    <w:rsid w:val="003F4199"/>
    <w:rsid w:val="003F42A6"/>
    <w:rsid w:val="003F42A7"/>
    <w:rsid w:val="003F453A"/>
    <w:rsid w:val="003F455E"/>
    <w:rsid w:val="003F4567"/>
    <w:rsid w:val="003F4633"/>
    <w:rsid w:val="003F4634"/>
    <w:rsid w:val="003F47A8"/>
    <w:rsid w:val="003F4816"/>
    <w:rsid w:val="003F4A50"/>
    <w:rsid w:val="003F4AA8"/>
    <w:rsid w:val="003F4BA6"/>
    <w:rsid w:val="003F4C3E"/>
    <w:rsid w:val="003F4E19"/>
    <w:rsid w:val="003F4EFF"/>
    <w:rsid w:val="003F4F8E"/>
    <w:rsid w:val="003F514B"/>
    <w:rsid w:val="003F5172"/>
    <w:rsid w:val="003F5257"/>
    <w:rsid w:val="003F5272"/>
    <w:rsid w:val="003F546E"/>
    <w:rsid w:val="003F55EE"/>
    <w:rsid w:val="003F566E"/>
    <w:rsid w:val="003F56B8"/>
    <w:rsid w:val="003F5785"/>
    <w:rsid w:val="003F5939"/>
    <w:rsid w:val="003F5952"/>
    <w:rsid w:val="003F599B"/>
    <w:rsid w:val="003F5BA2"/>
    <w:rsid w:val="003F5C38"/>
    <w:rsid w:val="003F5C64"/>
    <w:rsid w:val="003F5C7D"/>
    <w:rsid w:val="003F5C8F"/>
    <w:rsid w:val="003F5E7F"/>
    <w:rsid w:val="003F5EB5"/>
    <w:rsid w:val="003F5EDB"/>
    <w:rsid w:val="003F5F0F"/>
    <w:rsid w:val="003F5F8B"/>
    <w:rsid w:val="003F6118"/>
    <w:rsid w:val="003F6316"/>
    <w:rsid w:val="003F6378"/>
    <w:rsid w:val="003F6381"/>
    <w:rsid w:val="003F6522"/>
    <w:rsid w:val="003F6953"/>
    <w:rsid w:val="003F6D6A"/>
    <w:rsid w:val="003F6D89"/>
    <w:rsid w:val="003F6EA5"/>
    <w:rsid w:val="003F6F09"/>
    <w:rsid w:val="003F6F51"/>
    <w:rsid w:val="003F700B"/>
    <w:rsid w:val="003F736F"/>
    <w:rsid w:val="003F741E"/>
    <w:rsid w:val="003F7474"/>
    <w:rsid w:val="003F74C2"/>
    <w:rsid w:val="003F758F"/>
    <w:rsid w:val="003F76ED"/>
    <w:rsid w:val="003F7A70"/>
    <w:rsid w:val="003F7CD9"/>
    <w:rsid w:val="003F7E11"/>
    <w:rsid w:val="004000B8"/>
    <w:rsid w:val="004000C3"/>
    <w:rsid w:val="00400186"/>
    <w:rsid w:val="004001D4"/>
    <w:rsid w:val="004002D5"/>
    <w:rsid w:val="004003CC"/>
    <w:rsid w:val="004004AA"/>
    <w:rsid w:val="00400657"/>
    <w:rsid w:val="004008BE"/>
    <w:rsid w:val="00400990"/>
    <w:rsid w:val="00400A0C"/>
    <w:rsid w:val="00400BCC"/>
    <w:rsid w:val="00400BFE"/>
    <w:rsid w:val="00400D62"/>
    <w:rsid w:val="00400E28"/>
    <w:rsid w:val="00400F05"/>
    <w:rsid w:val="00401100"/>
    <w:rsid w:val="0040134B"/>
    <w:rsid w:val="00401603"/>
    <w:rsid w:val="00401767"/>
    <w:rsid w:val="0040177A"/>
    <w:rsid w:val="00401794"/>
    <w:rsid w:val="004017FC"/>
    <w:rsid w:val="00401D53"/>
    <w:rsid w:val="00401E07"/>
    <w:rsid w:val="004021C3"/>
    <w:rsid w:val="00402315"/>
    <w:rsid w:val="00402371"/>
    <w:rsid w:val="00402397"/>
    <w:rsid w:val="004024AB"/>
    <w:rsid w:val="0040256C"/>
    <w:rsid w:val="0040280D"/>
    <w:rsid w:val="00402C18"/>
    <w:rsid w:val="00402CE8"/>
    <w:rsid w:val="00402D04"/>
    <w:rsid w:val="00402DC9"/>
    <w:rsid w:val="00402EB7"/>
    <w:rsid w:val="00402F5E"/>
    <w:rsid w:val="00402F76"/>
    <w:rsid w:val="00402FF1"/>
    <w:rsid w:val="00403059"/>
    <w:rsid w:val="00403206"/>
    <w:rsid w:val="00403232"/>
    <w:rsid w:val="004032DB"/>
    <w:rsid w:val="004033FC"/>
    <w:rsid w:val="004035BF"/>
    <w:rsid w:val="004035F9"/>
    <w:rsid w:val="00403BFF"/>
    <w:rsid w:val="00403C32"/>
    <w:rsid w:val="00403D7A"/>
    <w:rsid w:val="00403DF9"/>
    <w:rsid w:val="00403E9F"/>
    <w:rsid w:val="004040D2"/>
    <w:rsid w:val="004044D4"/>
    <w:rsid w:val="004044E0"/>
    <w:rsid w:val="00404500"/>
    <w:rsid w:val="004046B2"/>
    <w:rsid w:val="00404762"/>
    <w:rsid w:val="004047E7"/>
    <w:rsid w:val="0040483B"/>
    <w:rsid w:val="004049C0"/>
    <w:rsid w:val="00404A3A"/>
    <w:rsid w:val="00404ACE"/>
    <w:rsid w:val="00404BF7"/>
    <w:rsid w:val="00404C51"/>
    <w:rsid w:val="00404C71"/>
    <w:rsid w:val="00404D62"/>
    <w:rsid w:val="00404D7A"/>
    <w:rsid w:val="00404E4D"/>
    <w:rsid w:val="00404EFD"/>
    <w:rsid w:val="0040514B"/>
    <w:rsid w:val="004052CA"/>
    <w:rsid w:val="00405770"/>
    <w:rsid w:val="004059A8"/>
    <w:rsid w:val="00405AD2"/>
    <w:rsid w:val="00405B25"/>
    <w:rsid w:val="00405D4E"/>
    <w:rsid w:val="004063C5"/>
    <w:rsid w:val="00406545"/>
    <w:rsid w:val="004066BC"/>
    <w:rsid w:val="00406743"/>
    <w:rsid w:val="00406770"/>
    <w:rsid w:val="0040699B"/>
    <w:rsid w:val="004069DD"/>
    <w:rsid w:val="00406B6C"/>
    <w:rsid w:val="00406BBB"/>
    <w:rsid w:val="00406BCB"/>
    <w:rsid w:val="00406E0D"/>
    <w:rsid w:val="0040714D"/>
    <w:rsid w:val="0040722E"/>
    <w:rsid w:val="00407633"/>
    <w:rsid w:val="0040772D"/>
    <w:rsid w:val="00407876"/>
    <w:rsid w:val="00407907"/>
    <w:rsid w:val="00407B57"/>
    <w:rsid w:val="00407B5C"/>
    <w:rsid w:val="00407E51"/>
    <w:rsid w:val="00407ECF"/>
    <w:rsid w:val="00407F74"/>
    <w:rsid w:val="00407FC2"/>
    <w:rsid w:val="00410241"/>
    <w:rsid w:val="004102DC"/>
    <w:rsid w:val="0041031F"/>
    <w:rsid w:val="004104B1"/>
    <w:rsid w:val="004105CA"/>
    <w:rsid w:val="004106FB"/>
    <w:rsid w:val="00410797"/>
    <w:rsid w:val="0041080B"/>
    <w:rsid w:val="004108B2"/>
    <w:rsid w:val="00410A26"/>
    <w:rsid w:val="00410AAA"/>
    <w:rsid w:val="00410B4B"/>
    <w:rsid w:val="00410BE7"/>
    <w:rsid w:val="00410DB6"/>
    <w:rsid w:val="00410E6C"/>
    <w:rsid w:val="00410F26"/>
    <w:rsid w:val="00410FAF"/>
    <w:rsid w:val="004111FE"/>
    <w:rsid w:val="004112A5"/>
    <w:rsid w:val="004113B6"/>
    <w:rsid w:val="00411430"/>
    <w:rsid w:val="00411570"/>
    <w:rsid w:val="0041181D"/>
    <w:rsid w:val="00411967"/>
    <w:rsid w:val="00411A1C"/>
    <w:rsid w:val="00411B73"/>
    <w:rsid w:val="00411E23"/>
    <w:rsid w:val="0041209F"/>
    <w:rsid w:val="004120A6"/>
    <w:rsid w:val="004123C3"/>
    <w:rsid w:val="00412672"/>
    <w:rsid w:val="004126A0"/>
    <w:rsid w:val="00412A1E"/>
    <w:rsid w:val="00412C2B"/>
    <w:rsid w:val="00412CE0"/>
    <w:rsid w:val="00412DB4"/>
    <w:rsid w:val="00412E45"/>
    <w:rsid w:val="00412E4A"/>
    <w:rsid w:val="00412EA8"/>
    <w:rsid w:val="004130CE"/>
    <w:rsid w:val="004132A8"/>
    <w:rsid w:val="00413370"/>
    <w:rsid w:val="004135ED"/>
    <w:rsid w:val="00413636"/>
    <w:rsid w:val="0041378D"/>
    <w:rsid w:val="004137F7"/>
    <w:rsid w:val="0041383B"/>
    <w:rsid w:val="00413941"/>
    <w:rsid w:val="00413A61"/>
    <w:rsid w:val="00413BA2"/>
    <w:rsid w:val="00413BE3"/>
    <w:rsid w:val="00413CDE"/>
    <w:rsid w:val="00413D47"/>
    <w:rsid w:val="00413D9E"/>
    <w:rsid w:val="0041405B"/>
    <w:rsid w:val="00414203"/>
    <w:rsid w:val="0041425F"/>
    <w:rsid w:val="00414350"/>
    <w:rsid w:val="0041442E"/>
    <w:rsid w:val="0041453B"/>
    <w:rsid w:val="004145F0"/>
    <w:rsid w:val="0041495F"/>
    <w:rsid w:val="00414A8A"/>
    <w:rsid w:val="00414CAF"/>
    <w:rsid w:val="00414E1A"/>
    <w:rsid w:val="00414E59"/>
    <w:rsid w:val="00414EAF"/>
    <w:rsid w:val="00414F75"/>
    <w:rsid w:val="00415098"/>
    <w:rsid w:val="0041517F"/>
    <w:rsid w:val="004152FF"/>
    <w:rsid w:val="004153A6"/>
    <w:rsid w:val="0041576C"/>
    <w:rsid w:val="0041586F"/>
    <w:rsid w:val="00415980"/>
    <w:rsid w:val="00415A24"/>
    <w:rsid w:val="00415CCB"/>
    <w:rsid w:val="00415DA2"/>
    <w:rsid w:val="00415DB2"/>
    <w:rsid w:val="00415E6C"/>
    <w:rsid w:val="00415F31"/>
    <w:rsid w:val="00415F9B"/>
    <w:rsid w:val="00415F9E"/>
    <w:rsid w:val="00415FFC"/>
    <w:rsid w:val="00416619"/>
    <w:rsid w:val="0041662C"/>
    <w:rsid w:val="004169FC"/>
    <w:rsid w:val="00416CC9"/>
    <w:rsid w:val="00416F9A"/>
    <w:rsid w:val="00417205"/>
    <w:rsid w:val="004173AF"/>
    <w:rsid w:val="00417435"/>
    <w:rsid w:val="00417520"/>
    <w:rsid w:val="0041768B"/>
    <w:rsid w:val="004176F3"/>
    <w:rsid w:val="00417975"/>
    <w:rsid w:val="00417A90"/>
    <w:rsid w:val="00417C70"/>
    <w:rsid w:val="00417DB4"/>
    <w:rsid w:val="00417DB9"/>
    <w:rsid w:val="00417FD5"/>
    <w:rsid w:val="00420012"/>
    <w:rsid w:val="00420084"/>
    <w:rsid w:val="004201FE"/>
    <w:rsid w:val="0042020F"/>
    <w:rsid w:val="004202A9"/>
    <w:rsid w:val="004202C3"/>
    <w:rsid w:val="00420345"/>
    <w:rsid w:val="00420359"/>
    <w:rsid w:val="0042036F"/>
    <w:rsid w:val="004203DF"/>
    <w:rsid w:val="0042044E"/>
    <w:rsid w:val="00420496"/>
    <w:rsid w:val="0042053D"/>
    <w:rsid w:val="004208A2"/>
    <w:rsid w:val="00420925"/>
    <w:rsid w:val="00420AAB"/>
    <w:rsid w:val="00420BC1"/>
    <w:rsid w:val="00420BE5"/>
    <w:rsid w:val="00420CC6"/>
    <w:rsid w:val="00420E0A"/>
    <w:rsid w:val="00420E97"/>
    <w:rsid w:val="00420ECD"/>
    <w:rsid w:val="00420F4D"/>
    <w:rsid w:val="00420FE6"/>
    <w:rsid w:val="0042102F"/>
    <w:rsid w:val="004210CB"/>
    <w:rsid w:val="004216EC"/>
    <w:rsid w:val="00421B56"/>
    <w:rsid w:val="00421B90"/>
    <w:rsid w:val="00421CCE"/>
    <w:rsid w:val="00421D63"/>
    <w:rsid w:val="00421E3C"/>
    <w:rsid w:val="00421E76"/>
    <w:rsid w:val="00421EC9"/>
    <w:rsid w:val="00421F22"/>
    <w:rsid w:val="00421F65"/>
    <w:rsid w:val="00421FE2"/>
    <w:rsid w:val="004220E1"/>
    <w:rsid w:val="00422300"/>
    <w:rsid w:val="0042240B"/>
    <w:rsid w:val="00422585"/>
    <w:rsid w:val="0042270A"/>
    <w:rsid w:val="00422835"/>
    <w:rsid w:val="00422AA9"/>
    <w:rsid w:val="0042316C"/>
    <w:rsid w:val="0042324C"/>
    <w:rsid w:val="00423376"/>
    <w:rsid w:val="00423467"/>
    <w:rsid w:val="004238AE"/>
    <w:rsid w:val="004239D7"/>
    <w:rsid w:val="00423A0F"/>
    <w:rsid w:val="00423A36"/>
    <w:rsid w:val="00423AC2"/>
    <w:rsid w:val="00423BA8"/>
    <w:rsid w:val="00423E22"/>
    <w:rsid w:val="00424031"/>
    <w:rsid w:val="004240CD"/>
    <w:rsid w:val="004240ED"/>
    <w:rsid w:val="00424161"/>
    <w:rsid w:val="00424385"/>
    <w:rsid w:val="0042453B"/>
    <w:rsid w:val="00424762"/>
    <w:rsid w:val="004247AF"/>
    <w:rsid w:val="004247C7"/>
    <w:rsid w:val="0042480B"/>
    <w:rsid w:val="00424903"/>
    <w:rsid w:val="00424996"/>
    <w:rsid w:val="00424A39"/>
    <w:rsid w:val="00424AEF"/>
    <w:rsid w:val="00424B34"/>
    <w:rsid w:val="00424B74"/>
    <w:rsid w:val="00424BA1"/>
    <w:rsid w:val="00424C3D"/>
    <w:rsid w:val="00424D2A"/>
    <w:rsid w:val="00424DE2"/>
    <w:rsid w:val="00424EF1"/>
    <w:rsid w:val="00424EFA"/>
    <w:rsid w:val="00424F19"/>
    <w:rsid w:val="00424F60"/>
    <w:rsid w:val="00425113"/>
    <w:rsid w:val="00425185"/>
    <w:rsid w:val="004252E1"/>
    <w:rsid w:val="004252FE"/>
    <w:rsid w:val="00425415"/>
    <w:rsid w:val="0042545F"/>
    <w:rsid w:val="0042549C"/>
    <w:rsid w:val="004255E9"/>
    <w:rsid w:val="00425C99"/>
    <w:rsid w:val="00425D36"/>
    <w:rsid w:val="00425D4C"/>
    <w:rsid w:val="00425D6A"/>
    <w:rsid w:val="00425D75"/>
    <w:rsid w:val="00425D93"/>
    <w:rsid w:val="004262B6"/>
    <w:rsid w:val="004266EC"/>
    <w:rsid w:val="00426738"/>
    <w:rsid w:val="0042674C"/>
    <w:rsid w:val="004267D9"/>
    <w:rsid w:val="004269C6"/>
    <w:rsid w:val="00426DFB"/>
    <w:rsid w:val="00426EE9"/>
    <w:rsid w:val="00426F6E"/>
    <w:rsid w:val="00426FA8"/>
    <w:rsid w:val="00427093"/>
    <w:rsid w:val="00427271"/>
    <w:rsid w:val="0042735D"/>
    <w:rsid w:val="004276BF"/>
    <w:rsid w:val="00427702"/>
    <w:rsid w:val="00427716"/>
    <w:rsid w:val="004277F5"/>
    <w:rsid w:val="004279C3"/>
    <w:rsid w:val="00427B75"/>
    <w:rsid w:val="00427C37"/>
    <w:rsid w:val="00427CAA"/>
    <w:rsid w:val="00427D40"/>
    <w:rsid w:val="004301AF"/>
    <w:rsid w:val="004301D1"/>
    <w:rsid w:val="0043038C"/>
    <w:rsid w:val="004303AA"/>
    <w:rsid w:val="004303B8"/>
    <w:rsid w:val="004304F9"/>
    <w:rsid w:val="004305A8"/>
    <w:rsid w:val="004305D1"/>
    <w:rsid w:val="004307AA"/>
    <w:rsid w:val="00430869"/>
    <w:rsid w:val="0043097B"/>
    <w:rsid w:val="00430C1D"/>
    <w:rsid w:val="00430E6B"/>
    <w:rsid w:val="00430E7E"/>
    <w:rsid w:val="00430ECF"/>
    <w:rsid w:val="004310C6"/>
    <w:rsid w:val="004311D6"/>
    <w:rsid w:val="00431441"/>
    <w:rsid w:val="004316D0"/>
    <w:rsid w:val="004317BD"/>
    <w:rsid w:val="00431836"/>
    <w:rsid w:val="00431AA7"/>
    <w:rsid w:val="00431C71"/>
    <w:rsid w:val="00431CB7"/>
    <w:rsid w:val="0043201D"/>
    <w:rsid w:val="004322D1"/>
    <w:rsid w:val="00432305"/>
    <w:rsid w:val="0043231B"/>
    <w:rsid w:val="0043263E"/>
    <w:rsid w:val="004328BA"/>
    <w:rsid w:val="004329F3"/>
    <w:rsid w:val="00432B3D"/>
    <w:rsid w:val="00432BC3"/>
    <w:rsid w:val="00432C76"/>
    <w:rsid w:val="00432E12"/>
    <w:rsid w:val="00432E4F"/>
    <w:rsid w:val="00432E9F"/>
    <w:rsid w:val="00433023"/>
    <w:rsid w:val="00433143"/>
    <w:rsid w:val="00433208"/>
    <w:rsid w:val="004332AB"/>
    <w:rsid w:val="004332CC"/>
    <w:rsid w:val="004333CC"/>
    <w:rsid w:val="00433502"/>
    <w:rsid w:val="004337B2"/>
    <w:rsid w:val="00433A1F"/>
    <w:rsid w:val="00433A8B"/>
    <w:rsid w:val="00433C32"/>
    <w:rsid w:val="00433E2E"/>
    <w:rsid w:val="00433FE7"/>
    <w:rsid w:val="00434216"/>
    <w:rsid w:val="00434460"/>
    <w:rsid w:val="0043454C"/>
    <w:rsid w:val="004345F7"/>
    <w:rsid w:val="00434998"/>
    <w:rsid w:val="00434C0F"/>
    <w:rsid w:val="00434CC0"/>
    <w:rsid w:val="00434D49"/>
    <w:rsid w:val="00434F77"/>
    <w:rsid w:val="00435273"/>
    <w:rsid w:val="004355C5"/>
    <w:rsid w:val="00435794"/>
    <w:rsid w:val="004358E2"/>
    <w:rsid w:val="00435996"/>
    <w:rsid w:val="00435A65"/>
    <w:rsid w:val="00436121"/>
    <w:rsid w:val="00436230"/>
    <w:rsid w:val="0043647E"/>
    <w:rsid w:val="00436560"/>
    <w:rsid w:val="00436610"/>
    <w:rsid w:val="00436ADE"/>
    <w:rsid w:val="00436AE3"/>
    <w:rsid w:val="00436DAA"/>
    <w:rsid w:val="00437057"/>
    <w:rsid w:val="00437135"/>
    <w:rsid w:val="004371DA"/>
    <w:rsid w:val="00437214"/>
    <w:rsid w:val="00437234"/>
    <w:rsid w:val="00437325"/>
    <w:rsid w:val="0043780E"/>
    <w:rsid w:val="00437951"/>
    <w:rsid w:val="0043798B"/>
    <w:rsid w:val="00437C1D"/>
    <w:rsid w:val="00440068"/>
    <w:rsid w:val="00440156"/>
    <w:rsid w:val="004403C7"/>
    <w:rsid w:val="00440554"/>
    <w:rsid w:val="004405AD"/>
    <w:rsid w:val="004406F0"/>
    <w:rsid w:val="0044098D"/>
    <w:rsid w:val="00440C10"/>
    <w:rsid w:val="00440EC6"/>
    <w:rsid w:val="004410DE"/>
    <w:rsid w:val="00441163"/>
    <w:rsid w:val="00441318"/>
    <w:rsid w:val="00441632"/>
    <w:rsid w:val="004418E9"/>
    <w:rsid w:val="00441A85"/>
    <w:rsid w:val="00441ABA"/>
    <w:rsid w:val="00441B50"/>
    <w:rsid w:val="00441BC9"/>
    <w:rsid w:val="00441EA0"/>
    <w:rsid w:val="00441F34"/>
    <w:rsid w:val="00441FF0"/>
    <w:rsid w:val="00442015"/>
    <w:rsid w:val="00442076"/>
    <w:rsid w:val="00442104"/>
    <w:rsid w:val="004421A6"/>
    <w:rsid w:val="00442257"/>
    <w:rsid w:val="004422D0"/>
    <w:rsid w:val="00442317"/>
    <w:rsid w:val="004423E3"/>
    <w:rsid w:val="004423FA"/>
    <w:rsid w:val="004424DC"/>
    <w:rsid w:val="004425A4"/>
    <w:rsid w:val="00442640"/>
    <w:rsid w:val="004426D9"/>
    <w:rsid w:val="004428FF"/>
    <w:rsid w:val="00442A5E"/>
    <w:rsid w:val="00442BFE"/>
    <w:rsid w:val="00442EAD"/>
    <w:rsid w:val="00442F10"/>
    <w:rsid w:val="00442F60"/>
    <w:rsid w:val="00442F88"/>
    <w:rsid w:val="00442FC4"/>
    <w:rsid w:val="00443041"/>
    <w:rsid w:val="0044306F"/>
    <w:rsid w:val="00443189"/>
    <w:rsid w:val="004431A4"/>
    <w:rsid w:val="00443208"/>
    <w:rsid w:val="0044320D"/>
    <w:rsid w:val="0044329B"/>
    <w:rsid w:val="00443530"/>
    <w:rsid w:val="00443641"/>
    <w:rsid w:val="00443671"/>
    <w:rsid w:val="004437D2"/>
    <w:rsid w:val="00443860"/>
    <w:rsid w:val="004438F8"/>
    <w:rsid w:val="004439AD"/>
    <w:rsid w:val="00443A1E"/>
    <w:rsid w:val="00443C84"/>
    <w:rsid w:val="00443CBA"/>
    <w:rsid w:val="00443E86"/>
    <w:rsid w:val="004441AE"/>
    <w:rsid w:val="0044425F"/>
    <w:rsid w:val="00444347"/>
    <w:rsid w:val="004443BD"/>
    <w:rsid w:val="00444425"/>
    <w:rsid w:val="004444C2"/>
    <w:rsid w:val="00444777"/>
    <w:rsid w:val="00444886"/>
    <w:rsid w:val="00444C9C"/>
    <w:rsid w:val="00444D1D"/>
    <w:rsid w:val="00444FFA"/>
    <w:rsid w:val="004450B5"/>
    <w:rsid w:val="004450E4"/>
    <w:rsid w:val="00445189"/>
    <w:rsid w:val="00445341"/>
    <w:rsid w:val="00445386"/>
    <w:rsid w:val="0044538D"/>
    <w:rsid w:val="004454B2"/>
    <w:rsid w:val="004456FC"/>
    <w:rsid w:val="004457C6"/>
    <w:rsid w:val="0044588B"/>
    <w:rsid w:val="004458B5"/>
    <w:rsid w:val="004458FC"/>
    <w:rsid w:val="00445986"/>
    <w:rsid w:val="00445A09"/>
    <w:rsid w:val="00445A99"/>
    <w:rsid w:val="00445BA5"/>
    <w:rsid w:val="00445BF5"/>
    <w:rsid w:val="00445CE3"/>
    <w:rsid w:val="00445D99"/>
    <w:rsid w:val="00445E74"/>
    <w:rsid w:val="00445EDE"/>
    <w:rsid w:val="00445F45"/>
    <w:rsid w:val="00446047"/>
    <w:rsid w:val="00446098"/>
    <w:rsid w:val="004462DE"/>
    <w:rsid w:val="00446522"/>
    <w:rsid w:val="00446545"/>
    <w:rsid w:val="00446566"/>
    <w:rsid w:val="004469AE"/>
    <w:rsid w:val="00446A40"/>
    <w:rsid w:val="00446AE6"/>
    <w:rsid w:val="00446B32"/>
    <w:rsid w:val="00446B59"/>
    <w:rsid w:val="00446CC1"/>
    <w:rsid w:val="00446D7D"/>
    <w:rsid w:val="00446F0A"/>
    <w:rsid w:val="00446F15"/>
    <w:rsid w:val="00446F4D"/>
    <w:rsid w:val="00446FDA"/>
    <w:rsid w:val="00447559"/>
    <w:rsid w:val="004475BF"/>
    <w:rsid w:val="00447868"/>
    <w:rsid w:val="0044793A"/>
    <w:rsid w:val="00447A03"/>
    <w:rsid w:val="00447A22"/>
    <w:rsid w:val="00447AF4"/>
    <w:rsid w:val="00447B7D"/>
    <w:rsid w:val="00447BD8"/>
    <w:rsid w:val="00447CE9"/>
    <w:rsid w:val="00447D1F"/>
    <w:rsid w:val="00447D7E"/>
    <w:rsid w:val="004500EE"/>
    <w:rsid w:val="00450111"/>
    <w:rsid w:val="004504DB"/>
    <w:rsid w:val="00450686"/>
    <w:rsid w:val="00450CEC"/>
    <w:rsid w:val="00450F68"/>
    <w:rsid w:val="00450FCE"/>
    <w:rsid w:val="0045125F"/>
    <w:rsid w:val="004512FA"/>
    <w:rsid w:val="00451426"/>
    <w:rsid w:val="0045142D"/>
    <w:rsid w:val="00451636"/>
    <w:rsid w:val="00451807"/>
    <w:rsid w:val="00451946"/>
    <w:rsid w:val="00451A4B"/>
    <w:rsid w:val="00451A7B"/>
    <w:rsid w:val="00451ABB"/>
    <w:rsid w:val="00451B29"/>
    <w:rsid w:val="00451CC1"/>
    <w:rsid w:val="00451D0C"/>
    <w:rsid w:val="00451FDF"/>
    <w:rsid w:val="00452159"/>
    <w:rsid w:val="004523F1"/>
    <w:rsid w:val="0045244D"/>
    <w:rsid w:val="0045249B"/>
    <w:rsid w:val="004525DD"/>
    <w:rsid w:val="004527A9"/>
    <w:rsid w:val="004528B2"/>
    <w:rsid w:val="00452BD7"/>
    <w:rsid w:val="00452C8E"/>
    <w:rsid w:val="00452D4E"/>
    <w:rsid w:val="00453261"/>
    <w:rsid w:val="0045367D"/>
    <w:rsid w:val="00453767"/>
    <w:rsid w:val="00453848"/>
    <w:rsid w:val="004538F3"/>
    <w:rsid w:val="00453A10"/>
    <w:rsid w:val="00453B82"/>
    <w:rsid w:val="00453C76"/>
    <w:rsid w:val="00453D48"/>
    <w:rsid w:val="00453DFA"/>
    <w:rsid w:val="00453EB0"/>
    <w:rsid w:val="00454005"/>
    <w:rsid w:val="0045416B"/>
    <w:rsid w:val="004543E2"/>
    <w:rsid w:val="004544A6"/>
    <w:rsid w:val="00454980"/>
    <w:rsid w:val="004549F2"/>
    <w:rsid w:val="00454B0D"/>
    <w:rsid w:val="00454B64"/>
    <w:rsid w:val="00454C38"/>
    <w:rsid w:val="00454D8C"/>
    <w:rsid w:val="00454F39"/>
    <w:rsid w:val="00454F70"/>
    <w:rsid w:val="00455034"/>
    <w:rsid w:val="00455118"/>
    <w:rsid w:val="00455131"/>
    <w:rsid w:val="004553CD"/>
    <w:rsid w:val="004553E2"/>
    <w:rsid w:val="00455564"/>
    <w:rsid w:val="0045558C"/>
    <w:rsid w:val="004555A3"/>
    <w:rsid w:val="004555C3"/>
    <w:rsid w:val="00455756"/>
    <w:rsid w:val="00455798"/>
    <w:rsid w:val="0045583C"/>
    <w:rsid w:val="004559EE"/>
    <w:rsid w:val="00455D6A"/>
    <w:rsid w:val="00455E7B"/>
    <w:rsid w:val="00455EFC"/>
    <w:rsid w:val="0045611E"/>
    <w:rsid w:val="00456333"/>
    <w:rsid w:val="00456391"/>
    <w:rsid w:val="004563DB"/>
    <w:rsid w:val="0045668E"/>
    <w:rsid w:val="0045672C"/>
    <w:rsid w:val="0045672F"/>
    <w:rsid w:val="00456925"/>
    <w:rsid w:val="00456AEB"/>
    <w:rsid w:val="00456BAF"/>
    <w:rsid w:val="00456CD0"/>
    <w:rsid w:val="00456DEE"/>
    <w:rsid w:val="00456E06"/>
    <w:rsid w:val="00457016"/>
    <w:rsid w:val="0045711E"/>
    <w:rsid w:val="0045745C"/>
    <w:rsid w:val="00457584"/>
    <w:rsid w:val="0045763F"/>
    <w:rsid w:val="00457911"/>
    <w:rsid w:val="00457984"/>
    <w:rsid w:val="004579E0"/>
    <w:rsid w:val="00457CB7"/>
    <w:rsid w:val="00457D27"/>
    <w:rsid w:val="00460124"/>
    <w:rsid w:val="004601C6"/>
    <w:rsid w:val="0046026E"/>
    <w:rsid w:val="0046030B"/>
    <w:rsid w:val="00460468"/>
    <w:rsid w:val="004606CE"/>
    <w:rsid w:val="0046078F"/>
    <w:rsid w:val="00460795"/>
    <w:rsid w:val="0046086D"/>
    <w:rsid w:val="00460AD0"/>
    <w:rsid w:val="00460B7D"/>
    <w:rsid w:val="00460BD6"/>
    <w:rsid w:val="00460E25"/>
    <w:rsid w:val="00460EB1"/>
    <w:rsid w:val="00460EDB"/>
    <w:rsid w:val="00460F4A"/>
    <w:rsid w:val="004613A2"/>
    <w:rsid w:val="004615C6"/>
    <w:rsid w:val="00461820"/>
    <w:rsid w:val="00461828"/>
    <w:rsid w:val="0046193C"/>
    <w:rsid w:val="004619B7"/>
    <w:rsid w:val="00461AC9"/>
    <w:rsid w:val="00461BE8"/>
    <w:rsid w:val="00461BFD"/>
    <w:rsid w:val="00461C2A"/>
    <w:rsid w:val="00461CA9"/>
    <w:rsid w:val="00461D79"/>
    <w:rsid w:val="00461D9D"/>
    <w:rsid w:val="00461DEF"/>
    <w:rsid w:val="00461E0A"/>
    <w:rsid w:val="00461EA0"/>
    <w:rsid w:val="00461F8B"/>
    <w:rsid w:val="00461FD3"/>
    <w:rsid w:val="00462090"/>
    <w:rsid w:val="0046213C"/>
    <w:rsid w:val="00462170"/>
    <w:rsid w:val="0046229D"/>
    <w:rsid w:val="004622A4"/>
    <w:rsid w:val="0046242C"/>
    <w:rsid w:val="0046261B"/>
    <w:rsid w:val="0046270B"/>
    <w:rsid w:val="00462891"/>
    <w:rsid w:val="00462903"/>
    <w:rsid w:val="00462A96"/>
    <w:rsid w:val="00462B8F"/>
    <w:rsid w:val="00462BF4"/>
    <w:rsid w:val="00462CCB"/>
    <w:rsid w:val="00462D93"/>
    <w:rsid w:val="00462E2E"/>
    <w:rsid w:val="00462ED2"/>
    <w:rsid w:val="00462F83"/>
    <w:rsid w:val="00462FBA"/>
    <w:rsid w:val="00462FF8"/>
    <w:rsid w:val="00463031"/>
    <w:rsid w:val="00463362"/>
    <w:rsid w:val="004633F8"/>
    <w:rsid w:val="00463495"/>
    <w:rsid w:val="004635A6"/>
    <w:rsid w:val="004636DE"/>
    <w:rsid w:val="004638CC"/>
    <w:rsid w:val="0046390A"/>
    <w:rsid w:val="00463A4D"/>
    <w:rsid w:val="00463A5A"/>
    <w:rsid w:val="00463ACD"/>
    <w:rsid w:val="00463B66"/>
    <w:rsid w:val="00463D7B"/>
    <w:rsid w:val="00463DBB"/>
    <w:rsid w:val="0046414B"/>
    <w:rsid w:val="004642E4"/>
    <w:rsid w:val="0046449A"/>
    <w:rsid w:val="0046471A"/>
    <w:rsid w:val="004648E1"/>
    <w:rsid w:val="004649BE"/>
    <w:rsid w:val="00464AF5"/>
    <w:rsid w:val="00464CA6"/>
    <w:rsid w:val="00464EE4"/>
    <w:rsid w:val="00464FEF"/>
    <w:rsid w:val="0046502D"/>
    <w:rsid w:val="00465061"/>
    <w:rsid w:val="00465070"/>
    <w:rsid w:val="004650BB"/>
    <w:rsid w:val="004650BC"/>
    <w:rsid w:val="00465428"/>
    <w:rsid w:val="00465498"/>
    <w:rsid w:val="00465503"/>
    <w:rsid w:val="004655F8"/>
    <w:rsid w:val="00465618"/>
    <w:rsid w:val="004658A4"/>
    <w:rsid w:val="00465C3D"/>
    <w:rsid w:val="0046613C"/>
    <w:rsid w:val="0046629A"/>
    <w:rsid w:val="004662EB"/>
    <w:rsid w:val="0046637C"/>
    <w:rsid w:val="004665DC"/>
    <w:rsid w:val="004666F6"/>
    <w:rsid w:val="0046683E"/>
    <w:rsid w:val="004668B3"/>
    <w:rsid w:val="004669CC"/>
    <w:rsid w:val="00466B3C"/>
    <w:rsid w:val="00466C03"/>
    <w:rsid w:val="00466E06"/>
    <w:rsid w:val="00466F05"/>
    <w:rsid w:val="00466F6F"/>
    <w:rsid w:val="00466FC9"/>
    <w:rsid w:val="00467102"/>
    <w:rsid w:val="00467136"/>
    <w:rsid w:val="0046715E"/>
    <w:rsid w:val="004673A9"/>
    <w:rsid w:val="004673B8"/>
    <w:rsid w:val="004674B7"/>
    <w:rsid w:val="00467648"/>
    <w:rsid w:val="0046791C"/>
    <w:rsid w:val="00467A4A"/>
    <w:rsid w:val="00467A67"/>
    <w:rsid w:val="00467B59"/>
    <w:rsid w:val="00467EDF"/>
    <w:rsid w:val="00467F18"/>
    <w:rsid w:val="00467F53"/>
    <w:rsid w:val="00470010"/>
    <w:rsid w:val="00470154"/>
    <w:rsid w:val="0047020D"/>
    <w:rsid w:val="00470319"/>
    <w:rsid w:val="004704F8"/>
    <w:rsid w:val="00470560"/>
    <w:rsid w:val="0047056F"/>
    <w:rsid w:val="00470666"/>
    <w:rsid w:val="0047069D"/>
    <w:rsid w:val="004707AC"/>
    <w:rsid w:val="004707AE"/>
    <w:rsid w:val="00470893"/>
    <w:rsid w:val="00470900"/>
    <w:rsid w:val="00470968"/>
    <w:rsid w:val="0047098C"/>
    <w:rsid w:val="00470A12"/>
    <w:rsid w:val="00470B7C"/>
    <w:rsid w:val="00470BFC"/>
    <w:rsid w:val="00470D98"/>
    <w:rsid w:val="00470E58"/>
    <w:rsid w:val="00470F94"/>
    <w:rsid w:val="00470FE4"/>
    <w:rsid w:val="004710C0"/>
    <w:rsid w:val="004712A0"/>
    <w:rsid w:val="004712A5"/>
    <w:rsid w:val="004712F8"/>
    <w:rsid w:val="004715B7"/>
    <w:rsid w:val="00471751"/>
    <w:rsid w:val="004717E0"/>
    <w:rsid w:val="00471887"/>
    <w:rsid w:val="00471A50"/>
    <w:rsid w:val="00471B01"/>
    <w:rsid w:val="00471BFB"/>
    <w:rsid w:val="00471D77"/>
    <w:rsid w:val="00471D9C"/>
    <w:rsid w:val="00471F36"/>
    <w:rsid w:val="0047219D"/>
    <w:rsid w:val="004721F3"/>
    <w:rsid w:val="004722CC"/>
    <w:rsid w:val="00472347"/>
    <w:rsid w:val="004724CF"/>
    <w:rsid w:val="00472556"/>
    <w:rsid w:val="00472597"/>
    <w:rsid w:val="0047259B"/>
    <w:rsid w:val="00472745"/>
    <w:rsid w:val="00472A06"/>
    <w:rsid w:val="00473195"/>
    <w:rsid w:val="004731FD"/>
    <w:rsid w:val="00473361"/>
    <w:rsid w:val="004733FE"/>
    <w:rsid w:val="004734DC"/>
    <w:rsid w:val="00473630"/>
    <w:rsid w:val="00473667"/>
    <w:rsid w:val="00473728"/>
    <w:rsid w:val="004737AD"/>
    <w:rsid w:val="004739E0"/>
    <w:rsid w:val="00473B7B"/>
    <w:rsid w:val="00473C80"/>
    <w:rsid w:val="00473F6C"/>
    <w:rsid w:val="00473FDD"/>
    <w:rsid w:val="00473FF3"/>
    <w:rsid w:val="0047413E"/>
    <w:rsid w:val="004741BA"/>
    <w:rsid w:val="00474457"/>
    <w:rsid w:val="00474615"/>
    <w:rsid w:val="0047468F"/>
    <w:rsid w:val="004746C1"/>
    <w:rsid w:val="004747C7"/>
    <w:rsid w:val="00474B45"/>
    <w:rsid w:val="00474BB8"/>
    <w:rsid w:val="00474C55"/>
    <w:rsid w:val="0047501A"/>
    <w:rsid w:val="00475198"/>
    <w:rsid w:val="00475283"/>
    <w:rsid w:val="004755AF"/>
    <w:rsid w:val="00475633"/>
    <w:rsid w:val="0047568C"/>
    <w:rsid w:val="00475950"/>
    <w:rsid w:val="00475AAB"/>
    <w:rsid w:val="00475B45"/>
    <w:rsid w:val="00475C06"/>
    <w:rsid w:val="00475C75"/>
    <w:rsid w:val="00475DF4"/>
    <w:rsid w:val="00475E1B"/>
    <w:rsid w:val="0047613E"/>
    <w:rsid w:val="00476195"/>
    <w:rsid w:val="004761A4"/>
    <w:rsid w:val="00476221"/>
    <w:rsid w:val="0047625F"/>
    <w:rsid w:val="004765FF"/>
    <w:rsid w:val="004766C0"/>
    <w:rsid w:val="00476869"/>
    <w:rsid w:val="00476A61"/>
    <w:rsid w:val="00476B91"/>
    <w:rsid w:val="00476CA9"/>
    <w:rsid w:val="00476E41"/>
    <w:rsid w:val="00477031"/>
    <w:rsid w:val="0047735C"/>
    <w:rsid w:val="00477414"/>
    <w:rsid w:val="0047743C"/>
    <w:rsid w:val="004774C4"/>
    <w:rsid w:val="0047770F"/>
    <w:rsid w:val="00477B9A"/>
    <w:rsid w:val="00477C8D"/>
    <w:rsid w:val="00477D28"/>
    <w:rsid w:val="00477D62"/>
    <w:rsid w:val="00480005"/>
    <w:rsid w:val="0048004A"/>
    <w:rsid w:val="00480134"/>
    <w:rsid w:val="0048038E"/>
    <w:rsid w:val="0048045B"/>
    <w:rsid w:val="00480765"/>
    <w:rsid w:val="0048078D"/>
    <w:rsid w:val="00480A31"/>
    <w:rsid w:val="00480B36"/>
    <w:rsid w:val="00480CC0"/>
    <w:rsid w:val="00480EB9"/>
    <w:rsid w:val="00480F75"/>
    <w:rsid w:val="00480FAD"/>
    <w:rsid w:val="0048102E"/>
    <w:rsid w:val="004810D5"/>
    <w:rsid w:val="00481126"/>
    <w:rsid w:val="004813A1"/>
    <w:rsid w:val="004815B9"/>
    <w:rsid w:val="00481622"/>
    <w:rsid w:val="004818B4"/>
    <w:rsid w:val="004818E6"/>
    <w:rsid w:val="00481D02"/>
    <w:rsid w:val="00481E09"/>
    <w:rsid w:val="00481E9D"/>
    <w:rsid w:val="004820C9"/>
    <w:rsid w:val="004821C2"/>
    <w:rsid w:val="004822BA"/>
    <w:rsid w:val="00482443"/>
    <w:rsid w:val="0048279E"/>
    <w:rsid w:val="00482BC2"/>
    <w:rsid w:val="00482E13"/>
    <w:rsid w:val="00482E14"/>
    <w:rsid w:val="00482F4C"/>
    <w:rsid w:val="00482F99"/>
    <w:rsid w:val="00483015"/>
    <w:rsid w:val="004833E3"/>
    <w:rsid w:val="0048359C"/>
    <w:rsid w:val="0048369E"/>
    <w:rsid w:val="0048380D"/>
    <w:rsid w:val="00483CD9"/>
    <w:rsid w:val="00483D60"/>
    <w:rsid w:val="00483F89"/>
    <w:rsid w:val="00484012"/>
    <w:rsid w:val="0048415F"/>
    <w:rsid w:val="0048419F"/>
    <w:rsid w:val="004842B4"/>
    <w:rsid w:val="00484434"/>
    <w:rsid w:val="0048447A"/>
    <w:rsid w:val="004845B7"/>
    <w:rsid w:val="00484647"/>
    <w:rsid w:val="00484652"/>
    <w:rsid w:val="00484834"/>
    <w:rsid w:val="0048485A"/>
    <w:rsid w:val="004848B8"/>
    <w:rsid w:val="00484A5C"/>
    <w:rsid w:val="00484AF1"/>
    <w:rsid w:val="00484D55"/>
    <w:rsid w:val="00484FE9"/>
    <w:rsid w:val="004850CC"/>
    <w:rsid w:val="00485242"/>
    <w:rsid w:val="004854CC"/>
    <w:rsid w:val="0048563E"/>
    <w:rsid w:val="004856C1"/>
    <w:rsid w:val="00485A87"/>
    <w:rsid w:val="00485AE1"/>
    <w:rsid w:val="00485B90"/>
    <w:rsid w:val="00485D5B"/>
    <w:rsid w:val="00485ED0"/>
    <w:rsid w:val="00486155"/>
    <w:rsid w:val="004861F9"/>
    <w:rsid w:val="004862B2"/>
    <w:rsid w:val="004862C7"/>
    <w:rsid w:val="00486371"/>
    <w:rsid w:val="004865A6"/>
    <w:rsid w:val="00486661"/>
    <w:rsid w:val="00486683"/>
    <w:rsid w:val="00486874"/>
    <w:rsid w:val="00486938"/>
    <w:rsid w:val="004869EA"/>
    <w:rsid w:val="00486A2A"/>
    <w:rsid w:val="00486B2D"/>
    <w:rsid w:val="00486EB3"/>
    <w:rsid w:val="00486F5D"/>
    <w:rsid w:val="00487033"/>
    <w:rsid w:val="004871A3"/>
    <w:rsid w:val="00487209"/>
    <w:rsid w:val="004874B8"/>
    <w:rsid w:val="004874C6"/>
    <w:rsid w:val="00487566"/>
    <w:rsid w:val="0048775B"/>
    <w:rsid w:val="004877B9"/>
    <w:rsid w:val="00487842"/>
    <w:rsid w:val="00487DC0"/>
    <w:rsid w:val="00487DD0"/>
    <w:rsid w:val="00490195"/>
    <w:rsid w:val="004902D1"/>
    <w:rsid w:val="0049036F"/>
    <w:rsid w:val="00490571"/>
    <w:rsid w:val="0049057E"/>
    <w:rsid w:val="00490660"/>
    <w:rsid w:val="004906C8"/>
    <w:rsid w:val="00490B88"/>
    <w:rsid w:val="00490BB9"/>
    <w:rsid w:val="00490F63"/>
    <w:rsid w:val="00491005"/>
    <w:rsid w:val="00491056"/>
    <w:rsid w:val="00491123"/>
    <w:rsid w:val="004911F5"/>
    <w:rsid w:val="0049130D"/>
    <w:rsid w:val="00491322"/>
    <w:rsid w:val="00491348"/>
    <w:rsid w:val="0049153D"/>
    <w:rsid w:val="004915C5"/>
    <w:rsid w:val="004915E7"/>
    <w:rsid w:val="004917C0"/>
    <w:rsid w:val="00491868"/>
    <w:rsid w:val="004918B8"/>
    <w:rsid w:val="0049198B"/>
    <w:rsid w:val="00491D3B"/>
    <w:rsid w:val="00491E2F"/>
    <w:rsid w:val="00491EF9"/>
    <w:rsid w:val="00491F44"/>
    <w:rsid w:val="00491FAE"/>
    <w:rsid w:val="0049203F"/>
    <w:rsid w:val="0049207C"/>
    <w:rsid w:val="004924BD"/>
    <w:rsid w:val="004925D8"/>
    <w:rsid w:val="00492600"/>
    <w:rsid w:val="00492628"/>
    <w:rsid w:val="00492705"/>
    <w:rsid w:val="0049280C"/>
    <w:rsid w:val="0049280F"/>
    <w:rsid w:val="00492844"/>
    <w:rsid w:val="0049299E"/>
    <w:rsid w:val="00492F50"/>
    <w:rsid w:val="00492F88"/>
    <w:rsid w:val="00493060"/>
    <w:rsid w:val="00493095"/>
    <w:rsid w:val="004930DC"/>
    <w:rsid w:val="0049323D"/>
    <w:rsid w:val="00493291"/>
    <w:rsid w:val="004933FF"/>
    <w:rsid w:val="004934A8"/>
    <w:rsid w:val="00493534"/>
    <w:rsid w:val="00493680"/>
    <w:rsid w:val="004936E5"/>
    <w:rsid w:val="00493788"/>
    <w:rsid w:val="004938A6"/>
    <w:rsid w:val="004938CE"/>
    <w:rsid w:val="004938F3"/>
    <w:rsid w:val="0049393E"/>
    <w:rsid w:val="00493BAC"/>
    <w:rsid w:val="00493D03"/>
    <w:rsid w:val="00493E6B"/>
    <w:rsid w:val="00494187"/>
    <w:rsid w:val="00494225"/>
    <w:rsid w:val="004942BC"/>
    <w:rsid w:val="004942C5"/>
    <w:rsid w:val="0049443A"/>
    <w:rsid w:val="004944E4"/>
    <w:rsid w:val="004945C9"/>
    <w:rsid w:val="00494662"/>
    <w:rsid w:val="004948A2"/>
    <w:rsid w:val="00494915"/>
    <w:rsid w:val="00494AE9"/>
    <w:rsid w:val="00494CEB"/>
    <w:rsid w:val="00495028"/>
    <w:rsid w:val="0049509E"/>
    <w:rsid w:val="004950C3"/>
    <w:rsid w:val="004950E2"/>
    <w:rsid w:val="0049520E"/>
    <w:rsid w:val="004953E7"/>
    <w:rsid w:val="004955F6"/>
    <w:rsid w:val="004955FB"/>
    <w:rsid w:val="00495761"/>
    <w:rsid w:val="0049596E"/>
    <w:rsid w:val="00495A32"/>
    <w:rsid w:val="00495A81"/>
    <w:rsid w:val="00495B8E"/>
    <w:rsid w:val="00495FA2"/>
    <w:rsid w:val="0049605F"/>
    <w:rsid w:val="004962F8"/>
    <w:rsid w:val="00496A0D"/>
    <w:rsid w:val="00496BA6"/>
    <w:rsid w:val="00496BC2"/>
    <w:rsid w:val="00496FD6"/>
    <w:rsid w:val="00497130"/>
    <w:rsid w:val="004971F5"/>
    <w:rsid w:val="0049734C"/>
    <w:rsid w:val="0049736A"/>
    <w:rsid w:val="004973AA"/>
    <w:rsid w:val="0049745F"/>
    <w:rsid w:val="00497496"/>
    <w:rsid w:val="004977D3"/>
    <w:rsid w:val="00497978"/>
    <w:rsid w:val="00497A92"/>
    <w:rsid w:val="00497E77"/>
    <w:rsid w:val="004A00B3"/>
    <w:rsid w:val="004A0138"/>
    <w:rsid w:val="004A0183"/>
    <w:rsid w:val="004A0210"/>
    <w:rsid w:val="004A0216"/>
    <w:rsid w:val="004A054D"/>
    <w:rsid w:val="004A0639"/>
    <w:rsid w:val="004A0BF5"/>
    <w:rsid w:val="004A0C64"/>
    <w:rsid w:val="004A0DDA"/>
    <w:rsid w:val="004A0DE6"/>
    <w:rsid w:val="004A0ECE"/>
    <w:rsid w:val="004A0F52"/>
    <w:rsid w:val="004A0FB0"/>
    <w:rsid w:val="004A0FCE"/>
    <w:rsid w:val="004A1007"/>
    <w:rsid w:val="004A106C"/>
    <w:rsid w:val="004A1116"/>
    <w:rsid w:val="004A1297"/>
    <w:rsid w:val="004A136C"/>
    <w:rsid w:val="004A1487"/>
    <w:rsid w:val="004A1579"/>
    <w:rsid w:val="004A157A"/>
    <w:rsid w:val="004A15D0"/>
    <w:rsid w:val="004A171A"/>
    <w:rsid w:val="004A1B4F"/>
    <w:rsid w:val="004A1C1B"/>
    <w:rsid w:val="004A1EC3"/>
    <w:rsid w:val="004A1F44"/>
    <w:rsid w:val="004A1FCD"/>
    <w:rsid w:val="004A2045"/>
    <w:rsid w:val="004A2063"/>
    <w:rsid w:val="004A233B"/>
    <w:rsid w:val="004A2354"/>
    <w:rsid w:val="004A239A"/>
    <w:rsid w:val="004A2416"/>
    <w:rsid w:val="004A2435"/>
    <w:rsid w:val="004A2454"/>
    <w:rsid w:val="004A2461"/>
    <w:rsid w:val="004A250E"/>
    <w:rsid w:val="004A2543"/>
    <w:rsid w:val="004A2596"/>
    <w:rsid w:val="004A287C"/>
    <w:rsid w:val="004A2888"/>
    <w:rsid w:val="004A29DA"/>
    <w:rsid w:val="004A2A67"/>
    <w:rsid w:val="004A2B69"/>
    <w:rsid w:val="004A2BB1"/>
    <w:rsid w:val="004A2CC9"/>
    <w:rsid w:val="004A2D86"/>
    <w:rsid w:val="004A2DF4"/>
    <w:rsid w:val="004A2E0A"/>
    <w:rsid w:val="004A2EE1"/>
    <w:rsid w:val="004A2EE9"/>
    <w:rsid w:val="004A30B0"/>
    <w:rsid w:val="004A3119"/>
    <w:rsid w:val="004A319A"/>
    <w:rsid w:val="004A32CA"/>
    <w:rsid w:val="004A3308"/>
    <w:rsid w:val="004A3325"/>
    <w:rsid w:val="004A3334"/>
    <w:rsid w:val="004A33B6"/>
    <w:rsid w:val="004A347B"/>
    <w:rsid w:val="004A34C5"/>
    <w:rsid w:val="004A3580"/>
    <w:rsid w:val="004A35C0"/>
    <w:rsid w:val="004A3C94"/>
    <w:rsid w:val="004A3E33"/>
    <w:rsid w:val="004A4193"/>
    <w:rsid w:val="004A41F7"/>
    <w:rsid w:val="004A4291"/>
    <w:rsid w:val="004A438B"/>
    <w:rsid w:val="004A44AE"/>
    <w:rsid w:val="004A4645"/>
    <w:rsid w:val="004A47C9"/>
    <w:rsid w:val="004A4977"/>
    <w:rsid w:val="004A4A70"/>
    <w:rsid w:val="004A4A8F"/>
    <w:rsid w:val="004A4AA5"/>
    <w:rsid w:val="004A4C0C"/>
    <w:rsid w:val="004A4CD9"/>
    <w:rsid w:val="004A4D13"/>
    <w:rsid w:val="004A4DEC"/>
    <w:rsid w:val="004A4E3B"/>
    <w:rsid w:val="004A4EC1"/>
    <w:rsid w:val="004A4F0A"/>
    <w:rsid w:val="004A4FF4"/>
    <w:rsid w:val="004A50A0"/>
    <w:rsid w:val="004A528A"/>
    <w:rsid w:val="004A5414"/>
    <w:rsid w:val="004A54AF"/>
    <w:rsid w:val="004A550E"/>
    <w:rsid w:val="004A5523"/>
    <w:rsid w:val="004A55EF"/>
    <w:rsid w:val="004A5748"/>
    <w:rsid w:val="004A582C"/>
    <w:rsid w:val="004A5967"/>
    <w:rsid w:val="004A5A28"/>
    <w:rsid w:val="004A5B34"/>
    <w:rsid w:val="004A5C2A"/>
    <w:rsid w:val="004A5D16"/>
    <w:rsid w:val="004A5D37"/>
    <w:rsid w:val="004A5D68"/>
    <w:rsid w:val="004A5D7D"/>
    <w:rsid w:val="004A5DFE"/>
    <w:rsid w:val="004A5FE7"/>
    <w:rsid w:val="004A6098"/>
    <w:rsid w:val="004A610E"/>
    <w:rsid w:val="004A6703"/>
    <w:rsid w:val="004A6C19"/>
    <w:rsid w:val="004A6D35"/>
    <w:rsid w:val="004A6D6D"/>
    <w:rsid w:val="004A6F24"/>
    <w:rsid w:val="004A6F9A"/>
    <w:rsid w:val="004A70B7"/>
    <w:rsid w:val="004A70E2"/>
    <w:rsid w:val="004A71A5"/>
    <w:rsid w:val="004A756C"/>
    <w:rsid w:val="004A75FB"/>
    <w:rsid w:val="004A7655"/>
    <w:rsid w:val="004A7694"/>
    <w:rsid w:val="004A76A8"/>
    <w:rsid w:val="004A776A"/>
    <w:rsid w:val="004A77C7"/>
    <w:rsid w:val="004A783D"/>
    <w:rsid w:val="004A7972"/>
    <w:rsid w:val="004A79AF"/>
    <w:rsid w:val="004A79EB"/>
    <w:rsid w:val="004A7A59"/>
    <w:rsid w:val="004A7A6E"/>
    <w:rsid w:val="004A7A6F"/>
    <w:rsid w:val="004A7C72"/>
    <w:rsid w:val="004A7D0C"/>
    <w:rsid w:val="004A7FB2"/>
    <w:rsid w:val="004B0254"/>
    <w:rsid w:val="004B027B"/>
    <w:rsid w:val="004B035C"/>
    <w:rsid w:val="004B03F3"/>
    <w:rsid w:val="004B03FF"/>
    <w:rsid w:val="004B062B"/>
    <w:rsid w:val="004B0AEE"/>
    <w:rsid w:val="004B0C09"/>
    <w:rsid w:val="004B0C8E"/>
    <w:rsid w:val="004B0E01"/>
    <w:rsid w:val="004B10A4"/>
    <w:rsid w:val="004B142C"/>
    <w:rsid w:val="004B1490"/>
    <w:rsid w:val="004B14D7"/>
    <w:rsid w:val="004B150F"/>
    <w:rsid w:val="004B1624"/>
    <w:rsid w:val="004B18DA"/>
    <w:rsid w:val="004B1996"/>
    <w:rsid w:val="004B1A67"/>
    <w:rsid w:val="004B1AC1"/>
    <w:rsid w:val="004B1ADC"/>
    <w:rsid w:val="004B1B01"/>
    <w:rsid w:val="004B1D55"/>
    <w:rsid w:val="004B1EC9"/>
    <w:rsid w:val="004B2151"/>
    <w:rsid w:val="004B25F2"/>
    <w:rsid w:val="004B26B5"/>
    <w:rsid w:val="004B2815"/>
    <w:rsid w:val="004B2905"/>
    <w:rsid w:val="004B296B"/>
    <w:rsid w:val="004B2A52"/>
    <w:rsid w:val="004B2D2C"/>
    <w:rsid w:val="004B2D54"/>
    <w:rsid w:val="004B3180"/>
    <w:rsid w:val="004B341E"/>
    <w:rsid w:val="004B35A0"/>
    <w:rsid w:val="004B35BF"/>
    <w:rsid w:val="004B3674"/>
    <w:rsid w:val="004B373A"/>
    <w:rsid w:val="004B3744"/>
    <w:rsid w:val="004B382A"/>
    <w:rsid w:val="004B382D"/>
    <w:rsid w:val="004B39F9"/>
    <w:rsid w:val="004B39FC"/>
    <w:rsid w:val="004B3B0D"/>
    <w:rsid w:val="004B3C81"/>
    <w:rsid w:val="004B3D6C"/>
    <w:rsid w:val="004B3F53"/>
    <w:rsid w:val="004B3FD2"/>
    <w:rsid w:val="004B4111"/>
    <w:rsid w:val="004B441D"/>
    <w:rsid w:val="004B47DE"/>
    <w:rsid w:val="004B47F8"/>
    <w:rsid w:val="004B48A0"/>
    <w:rsid w:val="004B48F6"/>
    <w:rsid w:val="004B49BF"/>
    <w:rsid w:val="004B4A39"/>
    <w:rsid w:val="004B4A47"/>
    <w:rsid w:val="004B4C3B"/>
    <w:rsid w:val="004B4D88"/>
    <w:rsid w:val="004B50C2"/>
    <w:rsid w:val="004B50C5"/>
    <w:rsid w:val="004B51B3"/>
    <w:rsid w:val="004B5291"/>
    <w:rsid w:val="004B544F"/>
    <w:rsid w:val="004B54EA"/>
    <w:rsid w:val="004B5542"/>
    <w:rsid w:val="004B5666"/>
    <w:rsid w:val="004B56FA"/>
    <w:rsid w:val="004B590D"/>
    <w:rsid w:val="004B5B15"/>
    <w:rsid w:val="004B5B76"/>
    <w:rsid w:val="004B5B92"/>
    <w:rsid w:val="004B5B99"/>
    <w:rsid w:val="004B5C68"/>
    <w:rsid w:val="004B5E86"/>
    <w:rsid w:val="004B5F57"/>
    <w:rsid w:val="004B603D"/>
    <w:rsid w:val="004B60EF"/>
    <w:rsid w:val="004B6284"/>
    <w:rsid w:val="004B630E"/>
    <w:rsid w:val="004B6477"/>
    <w:rsid w:val="004B647E"/>
    <w:rsid w:val="004B677E"/>
    <w:rsid w:val="004B6839"/>
    <w:rsid w:val="004B6900"/>
    <w:rsid w:val="004B6E82"/>
    <w:rsid w:val="004B6F0B"/>
    <w:rsid w:val="004B7220"/>
    <w:rsid w:val="004B7252"/>
    <w:rsid w:val="004B73A1"/>
    <w:rsid w:val="004B74BD"/>
    <w:rsid w:val="004B750C"/>
    <w:rsid w:val="004B75A3"/>
    <w:rsid w:val="004B76E3"/>
    <w:rsid w:val="004B7784"/>
    <w:rsid w:val="004B77C2"/>
    <w:rsid w:val="004B793D"/>
    <w:rsid w:val="004B7A8E"/>
    <w:rsid w:val="004B7AB1"/>
    <w:rsid w:val="004B7D07"/>
    <w:rsid w:val="004B7FD0"/>
    <w:rsid w:val="004C008A"/>
    <w:rsid w:val="004C00C1"/>
    <w:rsid w:val="004C0412"/>
    <w:rsid w:val="004C05C8"/>
    <w:rsid w:val="004C05FA"/>
    <w:rsid w:val="004C08B5"/>
    <w:rsid w:val="004C0B1E"/>
    <w:rsid w:val="004C0CB7"/>
    <w:rsid w:val="004C0DAD"/>
    <w:rsid w:val="004C0F37"/>
    <w:rsid w:val="004C111E"/>
    <w:rsid w:val="004C11EF"/>
    <w:rsid w:val="004C12A6"/>
    <w:rsid w:val="004C140C"/>
    <w:rsid w:val="004C15E3"/>
    <w:rsid w:val="004C15E6"/>
    <w:rsid w:val="004C15EE"/>
    <w:rsid w:val="004C1882"/>
    <w:rsid w:val="004C1960"/>
    <w:rsid w:val="004C1C1C"/>
    <w:rsid w:val="004C1F91"/>
    <w:rsid w:val="004C2200"/>
    <w:rsid w:val="004C2246"/>
    <w:rsid w:val="004C2356"/>
    <w:rsid w:val="004C23DD"/>
    <w:rsid w:val="004C2403"/>
    <w:rsid w:val="004C240F"/>
    <w:rsid w:val="004C24C4"/>
    <w:rsid w:val="004C24F6"/>
    <w:rsid w:val="004C24F8"/>
    <w:rsid w:val="004C2612"/>
    <w:rsid w:val="004C2613"/>
    <w:rsid w:val="004C2867"/>
    <w:rsid w:val="004C2894"/>
    <w:rsid w:val="004C28BB"/>
    <w:rsid w:val="004C29F5"/>
    <w:rsid w:val="004C2A24"/>
    <w:rsid w:val="004C2BC6"/>
    <w:rsid w:val="004C2C23"/>
    <w:rsid w:val="004C2CF0"/>
    <w:rsid w:val="004C2D0F"/>
    <w:rsid w:val="004C2DCC"/>
    <w:rsid w:val="004C2F39"/>
    <w:rsid w:val="004C3103"/>
    <w:rsid w:val="004C3458"/>
    <w:rsid w:val="004C3470"/>
    <w:rsid w:val="004C3970"/>
    <w:rsid w:val="004C3B43"/>
    <w:rsid w:val="004C3C79"/>
    <w:rsid w:val="004C3C9C"/>
    <w:rsid w:val="004C3CA5"/>
    <w:rsid w:val="004C3CDA"/>
    <w:rsid w:val="004C3EEE"/>
    <w:rsid w:val="004C3F0F"/>
    <w:rsid w:val="004C400E"/>
    <w:rsid w:val="004C4077"/>
    <w:rsid w:val="004C415A"/>
    <w:rsid w:val="004C41FF"/>
    <w:rsid w:val="004C420B"/>
    <w:rsid w:val="004C4311"/>
    <w:rsid w:val="004C4454"/>
    <w:rsid w:val="004C4825"/>
    <w:rsid w:val="004C4876"/>
    <w:rsid w:val="004C48DB"/>
    <w:rsid w:val="004C48E6"/>
    <w:rsid w:val="004C498F"/>
    <w:rsid w:val="004C4B69"/>
    <w:rsid w:val="004C4B77"/>
    <w:rsid w:val="004C4CFD"/>
    <w:rsid w:val="004C4D02"/>
    <w:rsid w:val="004C4E96"/>
    <w:rsid w:val="004C4EA7"/>
    <w:rsid w:val="004C515A"/>
    <w:rsid w:val="004C5406"/>
    <w:rsid w:val="004C54CA"/>
    <w:rsid w:val="004C55F6"/>
    <w:rsid w:val="004C575C"/>
    <w:rsid w:val="004C583F"/>
    <w:rsid w:val="004C5917"/>
    <w:rsid w:val="004C59CA"/>
    <w:rsid w:val="004C59D4"/>
    <w:rsid w:val="004C5AC2"/>
    <w:rsid w:val="004C5B27"/>
    <w:rsid w:val="004C613E"/>
    <w:rsid w:val="004C6181"/>
    <w:rsid w:val="004C61DE"/>
    <w:rsid w:val="004C629D"/>
    <w:rsid w:val="004C62BE"/>
    <w:rsid w:val="004C63A4"/>
    <w:rsid w:val="004C6477"/>
    <w:rsid w:val="004C6683"/>
    <w:rsid w:val="004C66B2"/>
    <w:rsid w:val="004C6989"/>
    <w:rsid w:val="004C6A2A"/>
    <w:rsid w:val="004C6AFB"/>
    <w:rsid w:val="004C6B03"/>
    <w:rsid w:val="004C6EE8"/>
    <w:rsid w:val="004C6FB8"/>
    <w:rsid w:val="004C6FD2"/>
    <w:rsid w:val="004C6FDF"/>
    <w:rsid w:val="004C710F"/>
    <w:rsid w:val="004C713A"/>
    <w:rsid w:val="004C7180"/>
    <w:rsid w:val="004C7341"/>
    <w:rsid w:val="004C73B6"/>
    <w:rsid w:val="004C75C6"/>
    <w:rsid w:val="004C76E7"/>
    <w:rsid w:val="004C7809"/>
    <w:rsid w:val="004C7A23"/>
    <w:rsid w:val="004C7BFA"/>
    <w:rsid w:val="004C7CCB"/>
    <w:rsid w:val="004C7F88"/>
    <w:rsid w:val="004D0029"/>
    <w:rsid w:val="004D01FE"/>
    <w:rsid w:val="004D0233"/>
    <w:rsid w:val="004D0716"/>
    <w:rsid w:val="004D0853"/>
    <w:rsid w:val="004D0858"/>
    <w:rsid w:val="004D0921"/>
    <w:rsid w:val="004D1060"/>
    <w:rsid w:val="004D113C"/>
    <w:rsid w:val="004D14C0"/>
    <w:rsid w:val="004D14F7"/>
    <w:rsid w:val="004D1554"/>
    <w:rsid w:val="004D15F9"/>
    <w:rsid w:val="004D173E"/>
    <w:rsid w:val="004D1895"/>
    <w:rsid w:val="004D1B92"/>
    <w:rsid w:val="004D2035"/>
    <w:rsid w:val="004D2085"/>
    <w:rsid w:val="004D20F5"/>
    <w:rsid w:val="004D24D5"/>
    <w:rsid w:val="004D2881"/>
    <w:rsid w:val="004D28C1"/>
    <w:rsid w:val="004D2A0A"/>
    <w:rsid w:val="004D2B19"/>
    <w:rsid w:val="004D2C36"/>
    <w:rsid w:val="004D2D05"/>
    <w:rsid w:val="004D3059"/>
    <w:rsid w:val="004D30D4"/>
    <w:rsid w:val="004D317D"/>
    <w:rsid w:val="004D33B7"/>
    <w:rsid w:val="004D3434"/>
    <w:rsid w:val="004D35C0"/>
    <w:rsid w:val="004D3675"/>
    <w:rsid w:val="004D377B"/>
    <w:rsid w:val="004D384B"/>
    <w:rsid w:val="004D3A42"/>
    <w:rsid w:val="004D3C78"/>
    <w:rsid w:val="004D3F87"/>
    <w:rsid w:val="004D3FA0"/>
    <w:rsid w:val="004D3FA5"/>
    <w:rsid w:val="004D4087"/>
    <w:rsid w:val="004D40DF"/>
    <w:rsid w:val="004D41AF"/>
    <w:rsid w:val="004D4239"/>
    <w:rsid w:val="004D425F"/>
    <w:rsid w:val="004D42A6"/>
    <w:rsid w:val="004D43A2"/>
    <w:rsid w:val="004D4526"/>
    <w:rsid w:val="004D4589"/>
    <w:rsid w:val="004D4613"/>
    <w:rsid w:val="004D46CC"/>
    <w:rsid w:val="004D46F8"/>
    <w:rsid w:val="004D4759"/>
    <w:rsid w:val="004D4833"/>
    <w:rsid w:val="004D4968"/>
    <w:rsid w:val="004D4A13"/>
    <w:rsid w:val="004D4AB5"/>
    <w:rsid w:val="004D4B6F"/>
    <w:rsid w:val="004D4E5D"/>
    <w:rsid w:val="004D4F50"/>
    <w:rsid w:val="004D50CF"/>
    <w:rsid w:val="004D515F"/>
    <w:rsid w:val="004D542C"/>
    <w:rsid w:val="004D5617"/>
    <w:rsid w:val="004D5652"/>
    <w:rsid w:val="004D56A0"/>
    <w:rsid w:val="004D57AB"/>
    <w:rsid w:val="004D57C0"/>
    <w:rsid w:val="004D580B"/>
    <w:rsid w:val="004D583E"/>
    <w:rsid w:val="004D589E"/>
    <w:rsid w:val="004D5AD0"/>
    <w:rsid w:val="004D5C05"/>
    <w:rsid w:val="004D6114"/>
    <w:rsid w:val="004D6365"/>
    <w:rsid w:val="004D6445"/>
    <w:rsid w:val="004D65E0"/>
    <w:rsid w:val="004D66A8"/>
    <w:rsid w:val="004D690A"/>
    <w:rsid w:val="004D69DD"/>
    <w:rsid w:val="004D6A28"/>
    <w:rsid w:val="004D6A34"/>
    <w:rsid w:val="004D6B89"/>
    <w:rsid w:val="004D6BF1"/>
    <w:rsid w:val="004D6C29"/>
    <w:rsid w:val="004D6C60"/>
    <w:rsid w:val="004D6D0B"/>
    <w:rsid w:val="004D6D6A"/>
    <w:rsid w:val="004D707B"/>
    <w:rsid w:val="004D70E5"/>
    <w:rsid w:val="004D71B3"/>
    <w:rsid w:val="004D7348"/>
    <w:rsid w:val="004D74A4"/>
    <w:rsid w:val="004D74D1"/>
    <w:rsid w:val="004D7750"/>
    <w:rsid w:val="004D7BA8"/>
    <w:rsid w:val="004D7BB3"/>
    <w:rsid w:val="004D7C69"/>
    <w:rsid w:val="004D7EB9"/>
    <w:rsid w:val="004D7F13"/>
    <w:rsid w:val="004E006A"/>
    <w:rsid w:val="004E01CF"/>
    <w:rsid w:val="004E06E1"/>
    <w:rsid w:val="004E0787"/>
    <w:rsid w:val="004E078C"/>
    <w:rsid w:val="004E07BC"/>
    <w:rsid w:val="004E0A44"/>
    <w:rsid w:val="004E0B12"/>
    <w:rsid w:val="004E0BFA"/>
    <w:rsid w:val="004E0C0E"/>
    <w:rsid w:val="004E0E4A"/>
    <w:rsid w:val="004E0E9F"/>
    <w:rsid w:val="004E0F24"/>
    <w:rsid w:val="004E113B"/>
    <w:rsid w:val="004E1403"/>
    <w:rsid w:val="004E1461"/>
    <w:rsid w:val="004E14AE"/>
    <w:rsid w:val="004E171D"/>
    <w:rsid w:val="004E1775"/>
    <w:rsid w:val="004E18BA"/>
    <w:rsid w:val="004E1C23"/>
    <w:rsid w:val="004E1E04"/>
    <w:rsid w:val="004E1F17"/>
    <w:rsid w:val="004E2124"/>
    <w:rsid w:val="004E2222"/>
    <w:rsid w:val="004E2260"/>
    <w:rsid w:val="004E2412"/>
    <w:rsid w:val="004E2435"/>
    <w:rsid w:val="004E2483"/>
    <w:rsid w:val="004E26A0"/>
    <w:rsid w:val="004E2753"/>
    <w:rsid w:val="004E27B1"/>
    <w:rsid w:val="004E284C"/>
    <w:rsid w:val="004E290B"/>
    <w:rsid w:val="004E296F"/>
    <w:rsid w:val="004E2AA5"/>
    <w:rsid w:val="004E2BA4"/>
    <w:rsid w:val="004E2BAE"/>
    <w:rsid w:val="004E2CF4"/>
    <w:rsid w:val="004E2F61"/>
    <w:rsid w:val="004E2F94"/>
    <w:rsid w:val="004E3008"/>
    <w:rsid w:val="004E30E7"/>
    <w:rsid w:val="004E325F"/>
    <w:rsid w:val="004E332F"/>
    <w:rsid w:val="004E34CE"/>
    <w:rsid w:val="004E36C1"/>
    <w:rsid w:val="004E36E0"/>
    <w:rsid w:val="004E3862"/>
    <w:rsid w:val="004E38FE"/>
    <w:rsid w:val="004E3902"/>
    <w:rsid w:val="004E394E"/>
    <w:rsid w:val="004E3A26"/>
    <w:rsid w:val="004E3A47"/>
    <w:rsid w:val="004E3B5A"/>
    <w:rsid w:val="004E3F01"/>
    <w:rsid w:val="004E3FA6"/>
    <w:rsid w:val="004E419A"/>
    <w:rsid w:val="004E4371"/>
    <w:rsid w:val="004E4697"/>
    <w:rsid w:val="004E469A"/>
    <w:rsid w:val="004E476D"/>
    <w:rsid w:val="004E47B8"/>
    <w:rsid w:val="004E47C6"/>
    <w:rsid w:val="004E48E7"/>
    <w:rsid w:val="004E48F2"/>
    <w:rsid w:val="004E4B35"/>
    <w:rsid w:val="004E4FFF"/>
    <w:rsid w:val="004E53FC"/>
    <w:rsid w:val="004E55BA"/>
    <w:rsid w:val="004E5690"/>
    <w:rsid w:val="004E5696"/>
    <w:rsid w:val="004E56DE"/>
    <w:rsid w:val="004E57BA"/>
    <w:rsid w:val="004E5D08"/>
    <w:rsid w:val="004E5DC8"/>
    <w:rsid w:val="004E603B"/>
    <w:rsid w:val="004E6050"/>
    <w:rsid w:val="004E6137"/>
    <w:rsid w:val="004E63A2"/>
    <w:rsid w:val="004E63F0"/>
    <w:rsid w:val="004E6792"/>
    <w:rsid w:val="004E67F3"/>
    <w:rsid w:val="004E6900"/>
    <w:rsid w:val="004E6DAB"/>
    <w:rsid w:val="004E6E36"/>
    <w:rsid w:val="004E6F3E"/>
    <w:rsid w:val="004E724A"/>
    <w:rsid w:val="004E72C9"/>
    <w:rsid w:val="004E739E"/>
    <w:rsid w:val="004E7426"/>
    <w:rsid w:val="004E74B2"/>
    <w:rsid w:val="004E767E"/>
    <w:rsid w:val="004E7826"/>
    <w:rsid w:val="004E79F5"/>
    <w:rsid w:val="004E7A41"/>
    <w:rsid w:val="004E7D45"/>
    <w:rsid w:val="004E7EBD"/>
    <w:rsid w:val="004E7ED7"/>
    <w:rsid w:val="004E7F16"/>
    <w:rsid w:val="004F03A6"/>
    <w:rsid w:val="004F04A8"/>
    <w:rsid w:val="004F050F"/>
    <w:rsid w:val="004F088C"/>
    <w:rsid w:val="004F0ACB"/>
    <w:rsid w:val="004F0BCD"/>
    <w:rsid w:val="004F0C26"/>
    <w:rsid w:val="004F0C29"/>
    <w:rsid w:val="004F0C6E"/>
    <w:rsid w:val="004F0EB8"/>
    <w:rsid w:val="004F0ED6"/>
    <w:rsid w:val="004F108B"/>
    <w:rsid w:val="004F10D3"/>
    <w:rsid w:val="004F1121"/>
    <w:rsid w:val="004F1203"/>
    <w:rsid w:val="004F14FF"/>
    <w:rsid w:val="004F1763"/>
    <w:rsid w:val="004F18C8"/>
    <w:rsid w:val="004F1AD0"/>
    <w:rsid w:val="004F1CDD"/>
    <w:rsid w:val="004F1FAD"/>
    <w:rsid w:val="004F1FE4"/>
    <w:rsid w:val="004F215E"/>
    <w:rsid w:val="004F2272"/>
    <w:rsid w:val="004F26CA"/>
    <w:rsid w:val="004F2802"/>
    <w:rsid w:val="004F2870"/>
    <w:rsid w:val="004F28DE"/>
    <w:rsid w:val="004F2918"/>
    <w:rsid w:val="004F2A16"/>
    <w:rsid w:val="004F2A6E"/>
    <w:rsid w:val="004F2B7A"/>
    <w:rsid w:val="004F2C16"/>
    <w:rsid w:val="004F2C3D"/>
    <w:rsid w:val="004F2CF6"/>
    <w:rsid w:val="004F2D98"/>
    <w:rsid w:val="004F2E08"/>
    <w:rsid w:val="004F2E8A"/>
    <w:rsid w:val="004F2F03"/>
    <w:rsid w:val="004F32E8"/>
    <w:rsid w:val="004F3455"/>
    <w:rsid w:val="004F358F"/>
    <w:rsid w:val="004F35F3"/>
    <w:rsid w:val="004F365C"/>
    <w:rsid w:val="004F391E"/>
    <w:rsid w:val="004F3971"/>
    <w:rsid w:val="004F3ADC"/>
    <w:rsid w:val="004F3B6B"/>
    <w:rsid w:val="004F3C49"/>
    <w:rsid w:val="004F3CF4"/>
    <w:rsid w:val="004F3E1E"/>
    <w:rsid w:val="004F3E88"/>
    <w:rsid w:val="004F3FEF"/>
    <w:rsid w:val="004F4098"/>
    <w:rsid w:val="004F40B1"/>
    <w:rsid w:val="004F40E0"/>
    <w:rsid w:val="004F41A1"/>
    <w:rsid w:val="004F427D"/>
    <w:rsid w:val="004F4685"/>
    <w:rsid w:val="004F4790"/>
    <w:rsid w:val="004F47F2"/>
    <w:rsid w:val="004F4866"/>
    <w:rsid w:val="004F4907"/>
    <w:rsid w:val="004F4A19"/>
    <w:rsid w:val="004F4BE8"/>
    <w:rsid w:val="004F4CFB"/>
    <w:rsid w:val="004F4DC8"/>
    <w:rsid w:val="004F50FF"/>
    <w:rsid w:val="004F5215"/>
    <w:rsid w:val="004F55C6"/>
    <w:rsid w:val="004F5786"/>
    <w:rsid w:val="004F5AB2"/>
    <w:rsid w:val="004F5B14"/>
    <w:rsid w:val="004F5D47"/>
    <w:rsid w:val="004F5D59"/>
    <w:rsid w:val="004F5DDA"/>
    <w:rsid w:val="004F5E3A"/>
    <w:rsid w:val="004F5EDB"/>
    <w:rsid w:val="004F5FB4"/>
    <w:rsid w:val="004F608F"/>
    <w:rsid w:val="004F60C1"/>
    <w:rsid w:val="004F60FE"/>
    <w:rsid w:val="004F61B5"/>
    <w:rsid w:val="004F6222"/>
    <w:rsid w:val="004F633A"/>
    <w:rsid w:val="004F68B6"/>
    <w:rsid w:val="004F68D4"/>
    <w:rsid w:val="004F69C0"/>
    <w:rsid w:val="004F6AD7"/>
    <w:rsid w:val="004F6C90"/>
    <w:rsid w:val="004F6FF2"/>
    <w:rsid w:val="004F70F3"/>
    <w:rsid w:val="004F72FD"/>
    <w:rsid w:val="004F73FF"/>
    <w:rsid w:val="004F7564"/>
    <w:rsid w:val="004F763A"/>
    <w:rsid w:val="004F76B9"/>
    <w:rsid w:val="004F78E4"/>
    <w:rsid w:val="004F7956"/>
    <w:rsid w:val="004F7C0E"/>
    <w:rsid w:val="004F7CBD"/>
    <w:rsid w:val="004F7D3D"/>
    <w:rsid w:val="004F7DED"/>
    <w:rsid w:val="004F7E68"/>
    <w:rsid w:val="00500211"/>
    <w:rsid w:val="00500235"/>
    <w:rsid w:val="005002F0"/>
    <w:rsid w:val="005004B0"/>
    <w:rsid w:val="00500560"/>
    <w:rsid w:val="005005B4"/>
    <w:rsid w:val="005007A7"/>
    <w:rsid w:val="0050086D"/>
    <w:rsid w:val="00500908"/>
    <w:rsid w:val="00500A8B"/>
    <w:rsid w:val="00500B25"/>
    <w:rsid w:val="00500F73"/>
    <w:rsid w:val="00500F99"/>
    <w:rsid w:val="00500FEB"/>
    <w:rsid w:val="005010F8"/>
    <w:rsid w:val="005013DF"/>
    <w:rsid w:val="005014E4"/>
    <w:rsid w:val="0050154F"/>
    <w:rsid w:val="005015A4"/>
    <w:rsid w:val="00501679"/>
    <w:rsid w:val="0050170F"/>
    <w:rsid w:val="00501AFC"/>
    <w:rsid w:val="00501C2C"/>
    <w:rsid w:val="00501EB2"/>
    <w:rsid w:val="00502249"/>
    <w:rsid w:val="00502358"/>
    <w:rsid w:val="0050248A"/>
    <w:rsid w:val="005024B7"/>
    <w:rsid w:val="005026F8"/>
    <w:rsid w:val="0050288A"/>
    <w:rsid w:val="005028D6"/>
    <w:rsid w:val="00502A08"/>
    <w:rsid w:val="00502A2C"/>
    <w:rsid w:val="00502A53"/>
    <w:rsid w:val="00502B6D"/>
    <w:rsid w:val="00502B8F"/>
    <w:rsid w:val="00502C0B"/>
    <w:rsid w:val="00502EEA"/>
    <w:rsid w:val="00502F39"/>
    <w:rsid w:val="005031E0"/>
    <w:rsid w:val="005032A6"/>
    <w:rsid w:val="005033B0"/>
    <w:rsid w:val="005034B4"/>
    <w:rsid w:val="0050352C"/>
    <w:rsid w:val="0050356B"/>
    <w:rsid w:val="0050358E"/>
    <w:rsid w:val="0050396C"/>
    <w:rsid w:val="005039BF"/>
    <w:rsid w:val="00503A79"/>
    <w:rsid w:val="00503C18"/>
    <w:rsid w:val="00503CE8"/>
    <w:rsid w:val="00503D2A"/>
    <w:rsid w:val="005041B3"/>
    <w:rsid w:val="005041DC"/>
    <w:rsid w:val="005043D3"/>
    <w:rsid w:val="0050457B"/>
    <w:rsid w:val="005045EB"/>
    <w:rsid w:val="00504831"/>
    <w:rsid w:val="005048DB"/>
    <w:rsid w:val="00504B9C"/>
    <w:rsid w:val="00504C77"/>
    <w:rsid w:val="00504D0E"/>
    <w:rsid w:val="00504F6E"/>
    <w:rsid w:val="0050526E"/>
    <w:rsid w:val="005052C4"/>
    <w:rsid w:val="00505446"/>
    <w:rsid w:val="0050547C"/>
    <w:rsid w:val="005056B4"/>
    <w:rsid w:val="00505790"/>
    <w:rsid w:val="00505814"/>
    <w:rsid w:val="00505851"/>
    <w:rsid w:val="00505A06"/>
    <w:rsid w:val="00505ABB"/>
    <w:rsid w:val="00505BAB"/>
    <w:rsid w:val="00505C15"/>
    <w:rsid w:val="00505F73"/>
    <w:rsid w:val="00506234"/>
    <w:rsid w:val="00506263"/>
    <w:rsid w:val="00506395"/>
    <w:rsid w:val="00506574"/>
    <w:rsid w:val="0050657C"/>
    <w:rsid w:val="00506722"/>
    <w:rsid w:val="00506862"/>
    <w:rsid w:val="00506892"/>
    <w:rsid w:val="0050699A"/>
    <w:rsid w:val="00506BC5"/>
    <w:rsid w:val="00506CC2"/>
    <w:rsid w:val="00506CC8"/>
    <w:rsid w:val="00506E45"/>
    <w:rsid w:val="00506E85"/>
    <w:rsid w:val="00506F1D"/>
    <w:rsid w:val="00507017"/>
    <w:rsid w:val="00507098"/>
    <w:rsid w:val="005070CC"/>
    <w:rsid w:val="005071FD"/>
    <w:rsid w:val="0050731A"/>
    <w:rsid w:val="0050750E"/>
    <w:rsid w:val="0050757D"/>
    <w:rsid w:val="005075E3"/>
    <w:rsid w:val="0050763C"/>
    <w:rsid w:val="0050779C"/>
    <w:rsid w:val="005077F4"/>
    <w:rsid w:val="00507930"/>
    <w:rsid w:val="005079C0"/>
    <w:rsid w:val="005079DA"/>
    <w:rsid w:val="00507E0A"/>
    <w:rsid w:val="00507F4B"/>
    <w:rsid w:val="00510242"/>
    <w:rsid w:val="00510285"/>
    <w:rsid w:val="00510308"/>
    <w:rsid w:val="005106AE"/>
    <w:rsid w:val="00510804"/>
    <w:rsid w:val="005108FE"/>
    <w:rsid w:val="005109CD"/>
    <w:rsid w:val="00510B29"/>
    <w:rsid w:val="00510C83"/>
    <w:rsid w:val="00510DE6"/>
    <w:rsid w:val="00510FF5"/>
    <w:rsid w:val="00511262"/>
    <w:rsid w:val="00511287"/>
    <w:rsid w:val="005112FF"/>
    <w:rsid w:val="005113A4"/>
    <w:rsid w:val="005113F1"/>
    <w:rsid w:val="005115C7"/>
    <w:rsid w:val="005115D8"/>
    <w:rsid w:val="005116F9"/>
    <w:rsid w:val="00511728"/>
    <w:rsid w:val="00511732"/>
    <w:rsid w:val="00511BDA"/>
    <w:rsid w:val="00511BDC"/>
    <w:rsid w:val="00511BF4"/>
    <w:rsid w:val="00511C4A"/>
    <w:rsid w:val="00511D18"/>
    <w:rsid w:val="00511E91"/>
    <w:rsid w:val="00511FA6"/>
    <w:rsid w:val="00512083"/>
    <w:rsid w:val="005122C8"/>
    <w:rsid w:val="00512335"/>
    <w:rsid w:val="0051244E"/>
    <w:rsid w:val="005124E6"/>
    <w:rsid w:val="005125C9"/>
    <w:rsid w:val="0051264C"/>
    <w:rsid w:val="00512748"/>
    <w:rsid w:val="005127F9"/>
    <w:rsid w:val="00512943"/>
    <w:rsid w:val="00512B87"/>
    <w:rsid w:val="00512C40"/>
    <w:rsid w:val="00512D97"/>
    <w:rsid w:val="00512D98"/>
    <w:rsid w:val="00513184"/>
    <w:rsid w:val="00513467"/>
    <w:rsid w:val="005134D2"/>
    <w:rsid w:val="005134E5"/>
    <w:rsid w:val="005136E4"/>
    <w:rsid w:val="0051377C"/>
    <w:rsid w:val="00513903"/>
    <w:rsid w:val="0051394A"/>
    <w:rsid w:val="00513A44"/>
    <w:rsid w:val="00513AB9"/>
    <w:rsid w:val="00513B10"/>
    <w:rsid w:val="00513C6A"/>
    <w:rsid w:val="00513F13"/>
    <w:rsid w:val="00513F3E"/>
    <w:rsid w:val="00514049"/>
    <w:rsid w:val="00514146"/>
    <w:rsid w:val="00514412"/>
    <w:rsid w:val="00514486"/>
    <w:rsid w:val="00514548"/>
    <w:rsid w:val="005145BC"/>
    <w:rsid w:val="00514661"/>
    <w:rsid w:val="0051467D"/>
    <w:rsid w:val="005147BD"/>
    <w:rsid w:val="00514989"/>
    <w:rsid w:val="00514A8C"/>
    <w:rsid w:val="00514B41"/>
    <w:rsid w:val="00514F71"/>
    <w:rsid w:val="00515182"/>
    <w:rsid w:val="005151F6"/>
    <w:rsid w:val="00515365"/>
    <w:rsid w:val="00515366"/>
    <w:rsid w:val="005153D4"/>
    <w:rsid w:val="005154C7"/>
    <w:rsid w:val="005154DC"/>
    <w:rsid w:val="00515661"/>
    <w:rsid w:val="00515E18"/>
    <w:rsid w:val="00515F23"/>
    <w:rsid w:val="00516008"/>
    <w:rsid w:val="00516209"/>
    <w:rsid w:val="00516364"/>
    <w:rsid w:val="0051677B"/>
    <w:rsid w:val="00516AC4"/>
    <w:rsid w:val="00516C4D"/>
    <w:rsid w:val="00516C80"/>
    <w:rsid w:val="00516CBB"/>
    <w:rsid w:val="00516D8B"/>
    <w:rsid w:val="00516DFB"/>
    <w:rsid w:val="00516F08"/>
    <w:rsid w:val="00517437"/>
    <w:rsid w:val="00517443"/>
    <w:rsid w:val="005175BB"/>
    <w:rsid w:val="005177AB"/>
    <w:rsid w:val="005178FC"/>
    <w:rsid w:val="00517CE9"/>
    <w:rsid w:val="00517DC9"/>
    <w:rsid w:val="00517EAD"/>
    <w:rsid w:val="00520255"/>
    <w:rsid w:val="005202B1"/>
    <w:rsid w:val="005203CC"/>
    <w:rsid w:val="00520495"/>
    <w:rsid w:val="005205B8"/>
    <w:rsid w:val="00520739"/>
    <w:rsid w:val="00520788"/>
    <w:rsid w:val="0052083F"/>
    <w:rsid w:val="005209D9"/>
    <w:rsid w:val="00520A3A"/>
    <w:rsid w:val="00520B7E"/>
    <w:rsid w:val="00520D98"/>
    <w:rsid w:val="00520E7A"/>
    <w:rsid w:val="00520E83"/>
    <w:rsid w:val="00520EC4"/>
    <w:rsid w:val="00521098"/>
    <w:rsid w:val="005210F6"/>
    <w:rsid w:val="00521363"/>
    <w:rsid w:val="00521575"/>
    <w:rsid w:val="0052167D"/>
    <w:rsid w:val="005217B6"/>
    <w:rsid w:val="005218B7"/>
    <w:rsid w:val="00521968"/>
    <w:rsid w:val="00521AB5"/>
    <w:rsid w:val="00521ABF"/>
    <w:rsid w:val="00521B32"/>
    <w:rsid w:val="00521C18"/>
    <w:rsid w:val="00521CBD"/>
    <w:rsid w:val="00521F80"/>
    <w:rsid w:val="005220B0"/>
    <w:rsid w:val="00522111"/>
    <w:rsid w:val="005222BD"/>
    <w:rsid w:val="00522356"/>
    <w:rsid w:val="00522506"/>
    <w:rsid w:val="005225C3"/>
    <w:rsid w:val="00522621"/>
    <w:rsid w:val="00522914"/>
    <w:rsid w:val="00522A2A"/>
    <w:rsid w:val="00522A2E"/>
    <w:rsid w:val="00522A7D"/>
    <w:rsid w:val="00522B97"/>
    <w:rsid w:val="00522CCD"/>
    <w:rsid w:val="00522D0E"/>
    <w:rsid w:val="00523014"/>
    <w:rsid w:val="0052334D"/>
    <w:rsid w:val="005234E8"/>
    <w:rsid w:val="00523547"/>
    <w:rsid w:val="005235A5"/>
    <w:rsid w:val="005235B8"/>
    <w:rsid w:val="005236F3"/>
    <w:rsid w:val="005238A0"/>
    <w:rsid w:val="005239E3"/>
    <w:rsid w:val="005239FB"/>
    <w:rsid w:val="00523A59"/>
    <w:rsid w:val="00523A7F"/>
    <w:rsid w:val="00523A86"/>
    <w:rsid w:val="00523AB5"/>
    <w:rsid w:val="00523D7A"/>
    <w:rsid w:val="00523D92"/>
    <w:rsid w:val="00523F38"/>
    <w:rsid w:val="00523FBC"/>
    <w:rsid w:val="00524073"/>
    <w:rsid w:val="00524095"/>
    <w:rsid w:val="005240F2"/>
    <w:rsid w:val="005241C6"/>
    <w:rsid w:val="00524611"/>
    <w:rsid w:val="0052465A"/>
    <w:rsid w:val="005246EC"/>
    <w:rsid w:val="00524914"/>
    <w:rsid w:val="00524AE9"/>
    <w:rsid w:val="00524BC2"/>
    <w:rsid w:val="00524C93"/>
    <w:rsid w:val="00524D07"/>
    <w:rsid w:val="00524D45"/>
    <w:rsid w:val="00524E4C"/>
    <w:rsid w:val="00524E5A"/>
    <w:rsid w:val="00524F11"/>
    <w:rsid w:val="0052518D"/>
    <w:rsid w:val="00525308"/>
    <w:rsid w:val="0052534A"/>
    <w:rsid w:val="00525367"/>
    <w:rsid w:val="0052542F"/>
    <w:rsid w:val="005256C6"/>
    <w:rsid w:val="005256D6"/>
    <w:rsid w:val="00525730"/>
    <w:rsid w:val="0052598E"/>
    <w:rsid w:val="00525A0D"/>
    <w:rsid w:val="00525AB7"/>
    <w:rsid w:val="00525B8A"/>
    <w:rsid w:val="00525CAE"/>
    <w:rsid w:val="00525D58"/>
    <w:rsid w:val="00525E8F"/>
    <w:rsid w:val="00525FA1"/>
    <w:rsid w:val="00525FFC"/>
    <w:rsid w:val="00526035"/>
    <w:rsid w:val="005260DD"/>
    <w:rsid w:val="005261FC"/>
    <w:rsid w:val="00526378"/>
    <w:rsid w:val="005268E6"/>
    <w:rsid w:val="005268F7"/>
    <w:rsid w:val="00526922"/>
    <w:rsid w:val="00526B43"/>
    <w:rsid w:val="00526D16"/>
    <w:rsid w:val="00526DB2"/>
    <w:rsid w:val="00526F83"/>
    <w:rsid w:val="00526F9D"/>
    <w:rsid w:val="005270CD"/>
    <w:rsid w:val="00527159"/>
    <w:rsid w:val="005271BD"/>
    <w:rsid w:val="00527295"/>
    <w:rsid w:val="005273D0"/>
    <w:rsid w:val="005273E3"/>
    <w:rsid w:val="005274BF"/>
    <w:rsid w:val="0052753A"/>
    <w:rsid w:val="0052759D"/>
    <w:rsid w:val="005275FE"/>
    <w:rsid w:val="00527669"/>
    <w:rsid w:val="0052770C"/>
    <w:rsid w:val="005277AF"/>
    <w:rsid w:val="005278AD"/>
    <w:rsid w:val="00527DBE"/>
    <w:rsid w:val="00527E16"/>
    <w:rsid w:val="005300DD"/>
    <w:rsid w:val="0053029E"/>
    <w:rsid w:val="00530734"/>
    <w:rsid w:val="00530824"/>
    <w:rsid w:val="00530959"/>
    <w:rsid w:val="00530E38"/>
    <w:rsid w:val="00530EEB"/>
    <w:rsid w:val="00530F9B"/>
    <w:rsid w:val="00531127"/>
    <w:rsid w:val="005311A5"/>
    <w:rsid w:val="005314C7"/>
    <w:rsid w:val="0053155B"/>
    <w:rsid w:val="00531931"/>
    <w:rsid w:val="0053197E"/>
    <w:rsid w:val="00531A6F"/>
    <w:rsid w:val="00531B33"/>
    <w:rsid w:val="00531BA2"/>
    <w:rsid w:val="00531CA3"/>
    <w:rsid w:val="00531D0C"/>
    <w:rsid w:val="00531E03"/>
    <w:rsid w:val="00532049"/>
    <w:rsid w:val="00532119"/>
    <w:rsid w:val="005322AB"/>
    <w:rsid w:val="00532528"/>
    <w:rsid w:val="005325BC"/>
    <w:rsid w:val="005328EC"/>
    <w:rsid w:val="005329FD"/>
    <w:rsid w:val="00532AD9"/>
    <w:rsid w:val="00532D85"/>
    <w:rsid w:val="00532EB1"/>
    <w:rsid w:val="005330B2"/>
    <w:rsid w:val="0053335E"/>
    <w:rsid w:val="005333AF"/>
    <w:rsid w:val="005333CA"/>
    <w:rsid w:val="005336D7"/>
    <w:rsid w:val="0053391D"/>
    <w:rsid w:val="00533936"/>
    <w:rsid w:val="005339B1"/>
    <w:rsid w:val="00533AFA"/>
    <w:rsid w:val="00533E56"/>
    <w:rsid w:val="0053405F"/>
    <w:rsid w:val="005343F8"/>
    <w:rsid w:val="00534488"/>
    <w:rsid w:val="00534593"/>
    <w:rsid w:val="00534640"/>
    <w:rsid w:val="00534689"/>
    <w:rsid w:val="00534756"/>
    <w:rsid w:val="005347D1"/>
    <w:rsid w:val="005347EF"/>
    <w:rsid w:val="0053484C"/>
    <w:rsid w:val="0053484F"/>
    <w:rsid w:val="00534947"/>
    <w:rsid w:val="00534960"/>
    <w:rsid w:val="005349C0"/>
    <w:rsid w:val="00534A07"/>
    <w:rsid w:val="00534B1B"/>
    <w:rsid w:val="00534B32"/>
    <w:rsid w:val="00534DC2"/>
    <w:rsid w:val="00534DD0"/>
    <w:rsid w:val="00534DEC"/>
    <w:rsid w:val="0053532D"/>
    <w:rsid w:val="005353DF"/>
    <w:rsid w:val="005355C6"/>
    <w:rsid w:val="00535996"/>
    <w:rsid w:val="00535B61"/>
    <w:rsid w:val="00535C87"/>
    <w:rsid w:val="00535D21"/>
    <w:rsid w:val="00535D32"/>
    <w:rsid w:val="00535D58"/>
    <w:rsid w:val="00535EB6"/>
    <w:rsid w:val="00535F0C"/>
    <w:rsid w:val="00536126"/>
    <w:rsid w:val="0053629D"/>
    <w:rsid w:val="00536323"/>
    <w:rsid w:val="00536436"/>
    <w:rsid w:val="00536442"/>
    <w:rsid w:val="005366E9"/>
    <w:rsid w:val="00536823"/>
    <w:rsid w:val="00536C66"/>
    <w:rsid w:val="00536CEC"/>
    <w:rsid w:val="00536CED"/>
    <w:rsid w:val="005375F7"/>
    <w:rsid w:val="0053763B"/>
    <w:rsid w:val="00537821"/>
    <w:rsid w:val="00537B18"/>
    <w:rsid w:val="00537B4C"/>
    <w:rsid w:val="00537B55"/>
    <w:rsid w:val="00537B56"/>
    <w:rsid w:val="00537C34"/>
    <w:rsid w:val="00537C8E"/>
    <w:rsid w:val="00537CBC"/>
    <w:rsid w:val="00537DF5"/>
    <w:rsid w:val="00537DFE"/>
    <w:rsid w:val="00537F37"/>
    <w:rsid w:val="00537F97"/>
    <w:rsid w:val="00540040"/>
    <w:rsid w:val="005400EE"/>
    <w:rsid w:val="00540275"/>
    <w:rsid w:val="0054027A"/>
    <w:rsid w:val="005406E3"/>
    <w:rsid w:val="0054078F"/>
    <w:rsid w:val="00540A20"/>
    <w:rsid w:val="00540A52"/>
    <w:rsid w:val="00540C1C"/>
    <w:rsid w:val="00540D1E"/>
    <w:rsid w:val="00540F58"/>
    <w:rsid w:val="0054111D"/>
    <w:rsid w:val="0054119D"/>
    <w:rsid w:val="00541215"/>
    <w:rsid w:val="00541689"/>
    <w:rsid w:val="005416A0"/>
    <w:rsid w:val="0054177C"/>
    <w:rsid w:val="0054178F"/>
    <w:rsid w:val="00541AAF"/>
    <w:rsid w:val="00541B13"/>
    <w:rsid w:val="00541F49"/>
    <w:rsid w:val="00542100"/>
    <w:rsid w:val="005421C1"/>
    <w:rsid w:val="00542281"/>
    <w:rsid w:val="00542381"/>
    <w:rsid w:val="00542421"/>
    <w:rsid w:val="005424FD"/>
    <w:rsid w:val="005425A8"/>
    <w:rsid w:val="00542643"/>
    <w:rsid w:val="00542770"/>
    <w:rsid w:val="00542786"/>
    <w:rsid w:val="005427EF"/>
    <w:rsid w:val="0054291E"/>
    <w:rsid w:val="00542933"/>
    <w:rsid w:val="0054295F"/>
    <w:rsid w:val="00542AE6"/>
    <w:rsid w:val="00542B71"/>
    <w:rsid w:val="00542C20"/>
    <w:rsid w:val="00542DB4"/>
    <w:rsid w:val="00542DC5"/>
    <w:rsid w:val="00542DDD"/>
    <w:rsid w:val="00542F4E"/>
    <w:rsid w:val="00543080"/>
    <w:rsid w:val="005430D0"/>
    <w:rsid w:val="005430D1"/>
    <w:rsid w:val="00543358"/>
    <w:rsid w:val="005434F5"/>
    <w:rsid w:val="0054356C"/>
    <w:rsid w:val="005435A0"/>
    <w:rsid w:val="005436F7"/>
    <w:rsid w:val="0054373F"/>
    <w:rsid w:val="00543765"/>
    <w:rsid w:val="0054381F"/>
    <w:rsid w:val="005438B2"/>
    <w:rsid w:val="005438C8"/>
    <w:rsid w:val="0054395F"/>
    <w:rsid w:val="005439B5"/>
    <w:rsid w:val="00543BE8"/>
    <w:rsid w:val="00543CBD"/>
    <w:rsid w:val="00543CC1"/>
    <w:rsid w:val="00543D30"/>
    <w:rsid w:val="00544048"/>
    <w:rsid w:val="0054405B"/>
    <w:rsid w:val="00544067"/>
    <w:rsid w:val="005440B3"/>
    <w:rsid w:val="005440EB"/>
    <w:rsid w:val="005442A9"/>
    <w:rsid w:val="00544337"/>
    <w:rsid w:val="005444FE"/>
    <w:rsid w:val="0054459A"/>
    <w:rsid w:val="005446C6"/>
    <w:rsid w:val="00544709"/>
    <w:rsid w:val="00544794"/>
    <w:rsid w:val="005447DC"/>
    <w:rsid w:val="00544904"/>
    <w:rsid w:val="005449F2"/>
    <w:rsid w:val="00544AA4"/>
    <w:rsid w:val="00544DD1"/>
    <w:rsid w:val="00544E39"/>
    <w:rsid w:val="00544E62"/>
    <w:rsid w:val="00544F01"/>
    <w:rsid w:val="00544FC4"/>
    <w:rsid w:val="005450A4"/>
    <w:rsid w:val="005451C5"/>
    <w:rsid w:val="0054526D"/>
    <w:rsid w:val="00545A28"/>
    <w:rsid w:val="00545C45"/>
    <w:rsid w:val="00545D34"/>
    <w:rsid w:val="00545D84"/>
    <w:rsid w:val="005460F1"/>
    <w:rsid w:val="00546139"/>
    <w:rsid w:val="005465FA"/>
    <w:rsid w:val="00546659"/>
    <w:rsid w:val="0054669D"/>
    <w:rsid w:val="005466E0"/>
    <w:rsid w:val="00546787"/>
    <w:rsid w:val="00546807"/>
    <w:rsid w:val="00546879"/>
    <w:rsid w:val="00546A69"/>
    <w:rsid w:val="00546AC1"/>
    <w:rsid w:val="00546CC4"/>
    <w:rsid w:val="00546ECF"/>
    <w:rsid w:val="00546ED2"/>
    <w:rsid w:val="00546F63"/>
    <w:rsid w:val="00546FDC"/>
    <w:rsid w:val="00546FED"/>
    <w:rsid w:val="00547654"/>
    <w:rsid w:val="005476A6"/>
    <w:rsid w:val="00547770"/>
    <w:rsid w:val="00547C0C"/>
    <w:rsid w:val="00547C12"/>
    <w:rsid w:val="00547C27"/>
    <w:rsid w:val="00547C9E"/>
    <w:rsid w:val="00547F7D"/>
    <w:rsid w:val="00550388"/>
    <w:rsid w:val="0055076E"/>
    <w:rsid w:val="005507E9"/>
    <w:rsid w:val="005508A6"/>
    <w:rsid w:val="0055099E"/>
    <w:rsid w:val="005509C0"/>
    <w:rsid w:val="00550CD8"/>
    <w:rsid w:val="00550DAF"/>
    <w:rsid w:val="00550FA2"/>
    <w:rsid w:val="00550FD2"/>
    <w:rsid w:val="00550FF3"/>
    <w:rsid w:val="0055103C"/>
    <w:rsid w:val="00551122"/>
    <w:rsid w:val="0055122C"/>
    <w:rsid w:val="005513AF"/>
    <w:rsid w:val="00551407"/>
    <w:rsid w:val="005514EB"/>
    <w:rsid w:val="00551816"/>
    <w:rsid w:val="00551A1F"/>
    <w:rsid w:val="00551A3F"/>
    <w:rsid w:val="00551BB8"/>
    <w:rsid w:val="00551C48"/>
    <w:rsid w:val="00551D7E"/>
    <w:rsid w:val="00551E14"/>
    <w:rsid w:val="00551E55"/>
    <w:rsid w:val="00551FAE"/>
    <w:rsid w:val="005520EA"/>
    <w:rsid w:val="005521CB"/>
    <w:rsid w:val="005522E1"/>
    <w:rsid w:val="005523A5"/>
    <w:rsid w:val="005523F4"/>
    <w:rsid w:val="0055265D"/>
    <w:rsid w:val="00552754"/>
    <w:rsid w:val="005528C7"/>
    <w:rsid w:val="00552A2A"/>
    <w:rsid w:val="00552A42"/>
    <w:rsid w:val="00552AF1"/>
    <w:rsid w:val="00552CE2"/>
    <w:rsid w:val="00552EA0"/>
    <w:rsid w:val="00553236"/>
    <w:rsid w:val="0055337B"/>
    <w:rsid w:val="00553399"/>
    <w:rsid w:val="00553558"/>
    <w:rsid w:val="0055374E"/>
    <w:rsid w:val="005537A6"/>
    <w:rsid w:val="005537C9"/>
    <w:rsid w:val="00553928"/>
    <w:rsid w:val="00553929"/>
    <w:rsid w:val="005539BA"/>
    <w:rsid w:val="00553A70"/>
    <w:rsid w:val="00553D21"/>
    <w:rsid w:val="00553D30"/>
    <w:rsid w:val="00553DEE"/>
    <w:rsid w:val="00554073"/>
    <w:rsid w:val="00554142"/>
    <w:rsid w:val="0055429F"/>
    <w:rsid w:val="005542F0"/>
    <w:rsid w:val="0055432A"/>
    <w:rsid w:val="00554580"/>
    <w:rsid w:val="00554591"/>
    <w:rsid w:val="005546E0"/>
    <w:rsid w:val="005547A1"/>
    <w:rsid w:val="005548CD"/>
    <w:rsid w:val="00554965"/>
    <w:rsid w:val="00554A7D"/>
    <w:rsid w:val="00554ACD"/>
    <w:rsid w:val="00554B25"/>
    <w:rsid w:val="00554B69"/>
    <w:rsid w:val="00554C9A"/>
    <w:rsid w:val="00554F4C"/>
    <w:rsid w:val="00554FEA"/>
    <w:rsid w:val="0055502C"/>
    <w:rsid w:val="00555205"/>
    <w:rsid w:val="005553A4"/>
    <w:rsid w:val="00555409"/>
    <w:rsid w:val="00555522"/>
    <w:rsid w:val="005556DE"/>
    <w:rsid w:val="00555804"/>
    <w:rsid w:val="005558A4"/>
    <w:rsid w:val="00555948"/>
    <w:rsid w:val="00555976"/>
    <w:rsid w:val="005559CE"/>
    <w:rsid w:val="00555C32"/>
    <w:rsid w:val="00555E02"/>
    <w:rsid w:val="00555EFD"/>
    <w:rsid w:val="00556082"/>
    <w:rsid w:val="00556190"/>
    <w:rsid w:val="005561FF"/>
    <w:rsid w:val="005563EA"/>
    <w:rsid w:val="00556531"/>
    <w:rsid w:val="005566EB"/>
    <w:rsid w:val="0055670D"/>
    <w:rsid w:val="005567F9"/>
    <w:rsid w:val="005568FF"/>
    <w:rsid w:val="00556AC0"/>
    <w:rsid w:val="00556B78"/>
    <w:rsid w:val="00556B9F"/>
    <w:rsid w:val="00556C75"/>
    <w:rsid w:val="005571F4"/>
    <w:rsid w:val="00557303"/>
    <w:rsid w:val="00557517"/>
    <w:rsid w:val="0055770F"/>
    <w:rsid w:val="00557777"/>
    <w:rsid w:val="005579A3"/>
    <w:rsid w:val="00557AC4"/>
    <w:rsid w:val="00557BC4"/>
    <w:rsid w:val="00557CFF"/>
    <w:rsid w:val="00557E3F"/>
    <w:rsid w:val="00557F23"/>
    <w:rsid w:val="00557FAE"/>
    <w:rsid w:val="00560120"/>
    <w:rsid w:val="0056048A"/>
    <w:rsid w:val="005605EA"/>
    <w:rsid w:val="00560605"/>
    <w:rsid w:val="00560645"/>
    <w:rsid w:val="00560797"/>
    <w:rsid w:val="005608E7"/>
    <w:rsid w:val="00560901"/>
    <w:rsid w:val="00560979"/>
    <w:rsid w:val="00560A11"/>
    <w:rsid w:val="00560BE8"/>
    <w:rsid w:val="00560C7A"/>
    <w:rsid w:val="00560EBC"/>
    <w:rsid w:val="00560F9B"/>
    <w:rsid w:val="005610EC"/>
    <w:rsid w:val="0056132B"/>
    <w:rsid w:val="005614D0"/>
    <w:rsid w:val="00561511"/>
    <w:rsid w:val="0056158E"/>
    <w:rsid w:val="00561656"/>
    <w:rsid w:val="005616A8"/>
    <w:rsid w:val="00561926"/>
    <w:rsid w:val="00561ADF"/>
    <w:rsid w:val="00561B9D"/>
    <w:rsid w:val="00561D36"/>
    <w:rsid w:val="00561E25"/>
    <w:rsid w:val="00561E64"/>
    <w:rsid w:val="00561F25"/>
    <w:rsid w:val="0056200A"/>
    <w:rsid w:val="0056209E"/>
    <w:rsid w:val="005620E9"/>
    <w:rsid w:val="00562238"/>
    <w:rsid w:val="005622B7"/>
    <w:rsid w:val="00562394"/>
    <w:rsid w:val="005623BC"/>
    <w:rsid w:val="005623C7"/>
    <w:rsid w:val="0056247B"/>
    <w:rsid w:val="005624BC"/>
    <w:rsid w:val="005624E7"/>
    <w:rsid w:val="00562634"/>
    <w:rsid w:val="0056280E"/>
    <w:rsid w:val="005628A5"/>
    <w:rsid w:val="005628F9"/>
    <w:rsid w:val="00562919"/>
    <w:rsid w:val="00562977"/>
    <w:rsid w:val="00562A46"/>
    <w:rsid w:val="00562A94"/>
    <w:rsid w:val="00562C0D"/>
    <w:rsid w:val="00562C21"/>
    <w:rsid w:val="00562C2A"/>
    <w:rsid w:val="00562E85"/>
    <w:rsid w:val="0056304A"/>
    <w:rsid w:val="005634B7"/>
    <w:rsid w:val="005635A4"/>
    <w:rsid w:val="0056393B"/>
    <w:rsid w:val="0056393D"/>
    <w:rsid w:val="00563A1D"/>
    <w:rsid w:val="00563B60"/>
    <w:rsid w:val="00563B6F"/>
    <w:rsid w:val="00563C3C"/>
    <w:rsid w:val="00563EEF"/>
    <w:rsid w:val="00563FED"/>
    <w:rsid w:val="0056447E"/>
    <w:rsid w:val="00564536"/>
    <w:rsid w:val="00564584"/>
    <w:rsid w:val="0056461D"/>
    <w:rsid w:val="00564852"/>
    <w:rsid w:val="0056490B"/>
    <w:rsid w:val="00564A4F"/>
    <w:rsid w:val="00564AA4"/>
    <w:rsid w:val="00564BB3"/>
    <w:rsid w:val="00564DA6"/>
    <w:rsid w:val="00564DC7"/>
    <w:rsid w:val="00564DE8"/>
    <w:rsid w:val="005650B7"/>
    <w:rsid w:val="00565112"/>
    <w:rsid w:val="00565173"/>
    <w:rsid w:val="0056517E"/>
    <w:rsid w:val="00565185"/>
    <w:rsid w:val="005651F4"/>
    <w:rsid w:val="005652ED"/>
    <w:rsid w:val="005654B5"/>
    <w:rsid w:val="005654CD"/>
    <w:rsid w:val="005656AB"/>
    <w:rsid w:val="00565705"/>
    <w:rsid w:val="005657CD"/>
    <w:rsid w:val="00565DA9"/>
    <w:rsid w:val="00566036"/>
    <w:rsid w:val="00566209"/>
    <w:rsid w:val="0056628B"/>
    <w:rsid w:val="0056632B"/>
    <w:rsid w:val="005663D8"/>
    <w:rsid w:val="005664B1"/>
    <w:rsid w:val="005665E8"/>
    <w:rsid w:val="00566693"/>
    <w:rsid w:val="005666EA"/>
    <w:rsid w:val="005667C0"/>
    <w:rsid w:val="00566B96"/>
    <w:rsid w:val="00566FA5"/>
    <w:rsid w:val="0056704E"/>
    <w:rsid w:val="005672F9"/>
    <w:rsid w:val="00567364"/>
    <w:rsid w:val="0056744A"/>
    <w:rsid w:val="005675F7"/>
    <w:rsid w:val="005678C0"/>
    <w:rsid w:val="00567B66"/>
    <w:rsid w:val="00567CC5"/>
    <w:rsid w:val="00567E3C"/>
    <w:rsid w:val="00567FD2"/>
    <w:rsid w:val="00570126"/>
    <w:rsid w:val="005701FE"/>
    <w:rsid w:val="00570415"/>
    <w:rsid w:val="00570495"/>
    <w:rsid w:val="005705BD"/>
    <w:rsid w:val="00570658"/>
    <w:rsid w:val="005706AD"/>
    <w:rsid w:val="00570893"/>
    <w:rsid w:val="005708CB"/>
    <w:rsid w:val="005709AE"/>
    <w:rsid w:val="00570A23"/>
    <w:rsid w:val="00570A48"/>
    <w:rsid w:val="00570A85"/>
    <w:rsid w:val="00570B7B"/>
    <w:rsid w:val="00570BD2"/>
    <w:rsid w:val="00570CDE"/>
    <w:rsid w:val="00570F7F"/>
    <w:rsid w:val="00570FB0"/>
    <w:rsid w:val="0057106A"/>
    <w:rsid w:val="0057115F"/>
    <w:rsid w:val="0057116D"/>
    <w:rsid w:val="0057116F"/>
    <w:rsid w:val="005711FB"/>
    <w:rsid w:val="0057133F"/>
    <w:rsid w:val="00571370"/>
    <w:rsid w:val="0057143C"/>
    <w:rsid w:val="0057173E"/>
    <w:rsid w:val="005718C8"/>
    <w:rsid w:val="005718D3"/>
    <w:rsid w:val="005719E8"/>
    <w:rsid w:val="00571A03"/>
    <w:rsid w:val="00571B64"/>
    <w:rsid w:val="00571C4B"/>
    <w:rsid w:val="00571CD4"/>
    <w:rsid w:val="0057201B"/>
    <w:rsid w:val="005720C5"/>
    <w:rsid w:val="00572186"/>
    <w:rsid w:val="00572235"/>
    <w:rsid w:val="0057229D"/>
    <w:rsid w:val="005722B0"/>
    <w:rsid w:val="00572377"/>
    <w:rsid w:val="00572433"/>
    <w:rsid w:val="0057245A"/>
    <w:rsid w:val="0057253D"/>
    <w:rsid w:val="005725D5"/>
    <w:rsid w:val="005729DA"/>
    <w:rsid w:val="00572A22"/>
    <w:rsid w:val="00572BE6"/>
    <w:rsid w:val="00572D56"/>
    <w:rsid w:val="00572EC4"/>
    <w:rsid w:val="00572EC6"/>
    <w:rsid w:val="00572F8E"/>
    <w:rsid w:val="005730AF"/>
    <w:rsid w:val="005730BE"/>
    <w:rsid w:val="00573243"/>
    <w:rsid w:val="005732BB"/>
    <w:rsid w:val="00573358"/>
    <w:rsid w:val="005733CC"/>
    <w:rsid w:val="005733FF"/>
    <w:rsid w:val="00573518"/>
    <w:rsid w:val="00573560"/>
    <w:rsid w:val="005736EE"/>
    <w:rsid w:val="00573769"/>
    <w:rsid w:val="00573788"/>
    <w:rsid w:val="005737C1"/>
    <w:rsid w:val="005738F7"/>
    <w:rsid w:val="0057398A"/>
    <w:rsid w:val="00573A1D"/>
    <w:rsid w:val="00573A9D"/>
    <w:rsid w:val="00573AEC"/>
    <w:rsid w:val="00573C83"/>
    <w:rsid w:val="00573CA0"/>
    <w:rsid w:val="00573CAF"/>
    <w:rsid w:val="00573D02"/>
    <w:rsid w:val="00574062"/>
    <w:rsid w:val="0057407D"/>
    <w:rsid w:val="0057410D"/>
    <w:rsid w:val="00574343"/>
    <w:rsid w:val="005743F1"/>
    <w:rsid w:val="005744F5"/>
    <w:rsid w:val="0057467F"/>
    <w:rsid w:val="00574692"/>
    <w:rsid w:val="0057473F"/>
    <w:rsid w:val="00574AEA"/>
    <w:rsid w:val="00574FAA"/>
    <w:rsid w:val="00574FDC"/>
    <w:rsid w:val="005750FA"/>
    <w:rsid w:val="0057536F"/>
    <w:rsid w:val="0057556C"/>
    <w:rsid w:val="00575649"/>
    <w:rsid w:val="00575B56"/>
    <w:rsid w:val="00575CDE"/>
    <w:rsid w:val="00575DA3"/>
    <w:rsid w:val="00575F3C"/>
    <w:rsid w:val="005760FF"/>
    <w:rsid w:val="0057648D"/>
    <w:rsid w:val="0057661E"/>
    <w:rsid w:val="0057678D"/>
    <w:rsid w:val="005767F3"/>
    <w:rsid w:val="00576815"/>
    <w:rsid w:val="0057694C"/>
    <w:rsid w:val="00576A6C"/>
    <w:rsid w:val="00576C63"/>
    <w:rsid w:val="00576C80"/>
    <w:rsid w:val="00576C98"/>
    <w:rsid w:val="00576DEE"/>
    <w:rsid w:val="005770B4"/>
    <w:rsid w:val="00577138"/>
    <w:rsid w:val="00577161"/>
    <w:rsid w:val="005773F1"/>
    <w:rsid w:val="0057756D"/>
    <w:rsid w:val="00577752"/>
    <w:rsid w:val="00577819"/>
    <w:rsid w:val="005778A5"/>
    <w:rsid w:val="005778D7"/>
    <w:rsid w:val="00577A95"/>
    <w:rsid w:val="00577C07"/>
    <w:rsid w:val="00577E0B"/>
    <w:rsid w:val="00580296"/>
    <w:rsid w:val="005802E4"/>
    <w:rsid w:val="00580360"/>
    <w:rsid w:val="0058046F"/>
    <w:rsid w:val="0058054F"/>
    <w:rsid w:val="00580663"/>
    <w:rsid w:val="00580839"/>
    <w:rsid w:val="005809FC"/>
    <w:rsid w:val="00580BB8"/>
    <w:rsid w:val="00580D3B"/>
    <w:rsid w:val="00581162"/>
    <w:rsid w:val="00581174"/>
    <w:rsid w:val="005811E2"/>
    <w:rsid w:val="0058140A"/>
    <w:rsid w:val="005814FC"/>
    <w:rsid w:val="005816A7"/>
    <w:rsid w:val="00581829"/>
    <w:rsid w:val="00581C46"/>
    <w:rsid w:val="00581EB0"/>
    <w:rsid w:val="0058211B"/>
    <w:rsid w:val="00582246"/>
    <w:rsid w:val="00582443"/>
    <w:rsid w:val="0058246B"/>
    <w:rsid w:val="0058256A"/>
    <w:rsid w:val="0058263A"/>
    <w:rsid w:val="0058267F"/>
    <w:rsid w:val="0058284B"/>
    <w:rsid w:val="00582952"/>
    <w:rsid w:val="00582967"/>
    <w:rsid w:val="00582B3E"/>
    <w:rsid w:val="0058301A"/>
    <w:rsid w:val="005830D1"/>
    <w:rsid w:val="00583118"/>
    <w:rsid w:val="0058312C"/>
    <w:rsid w:val="00583218"/>
    <w:rsid w:val="005832B6"/>
    <w:rsid w:val="005832CB"/>
    <w:rsid w:val="005835CC"/>
    <w:rsid w:val="00583860"/>
    <w:rsid w:val="00583F4F"/>
    <w:rsid w:val="00584100"/>
    <w:rsid w:val="00584253"/>
    <w:rsid w:val="0058428E"/>
    <w:rsid w:val="0058440B"/>
    <w:rsid w:val="0058457C"/>
    <w:rsid w:val="005846C4"/>
    <w:rsid w:val="005847A7"/>
    <w:rsid w:val="005847A9"/>
    <w:rsid w:val="00584807"/>
    <w:rsid w:val="00584906"/>
    <w:rsid w:val="00584B6B"/>
    <w:rsid w:val="00584C16"/>
    <w:rsid w:val="00585046"/>
    <w:rsid w:val="005850F8"/>
    <w:rsid w:val="00585107"/>
    <w:rsid w:val="00585156"/>
    <w:rsid w:val="0058520C"/>
    <w:rsid w:val="0058522E"/>
    <w:rsid w:val="0058525F"/>
    <w:rsid w:val="00585282"/>
    <w:rsid w:val="00585288"/>
    <w:rsid w:val="005852F7"/>
    <w:rsid w:val="005853AE"/>
    <w:rsid w:val="005858A2"/>
    <w:rsid w:val="00585A64"/>
    <w:rsid w:val="00585B74"/>
    <w:rsid w:val="00585B83"/>
    <w:rsid w:val="00585CEF"/>
    <w:rsid w:val="00585F93"/>
    <w:rsid w:val="00586012"/>
    <w:rsid w:val="005860A0"/>
    <w:rsid w:val="00586154"/>
    <w:rsid w:val="00586221"/>
    <w:rsid w:val="00586247"/>
    <w:rsid w:val="0058631B"/>
    <w:rsid w:val="005863D9"/>
    <w:rsid w:val="00586506"/>
    <w:rsid w:val="00586587"/>
    <w:rsid w:val="005865E6"/>
    <w:rsid w:val="0058689D"/>
    <w:rsid w:val="00586972"/>
    <w:rsid w:val="00586B31"/>
    <w:rsid w:val="00586C31"/>
    <w:rsid w:val="00586C50"/>
    <w:rsid w:val="00586D6D"/>
    <w:rsid w:val="00586DAC"/>
    <w:rsid w:val="00586F86"/>
    <w:rsid w:val="005872FC"/>
    <w:rsid w:val="005873D3"/>
    <w:rsid w:val="00587590"/>
    <w:rsid w:val="005877C0"/>
    <w:rsid w:val="00587823"/>
    <w:rsid w:val="005879FA"/>
    <w:rsid w:val="00587B97"/>
    <w:rsid w:val="00587D28"/>
    <w:rsid w:val="00587FB5"/>
    <w:rsid w:val="005900A6"/>
    <w:rsid w:val="005900B4"/>
    <w:rsid w:val="005900EA"/>
    <w:rsid w:val="005901EC"/>
    <w:rsid w:val="00590235"/>
    <w:rsid w:val="00590237"/>
    <w:rsid w:val="00590394"/>
    <w:rsid w:val="005906CB"/>
    <w:rsid w:val="0059094D"/>
    <w:rsid w:val="00590D08"/>
    <w:rsid w:val="00591061"/>
    <w:rsid w:val="00591194"/>
    <w:rsid w:val="00591733"/>
    <w:rsid w:val="00591738"/>
    <w:rsid w:val="00591788"/>
    <w:rsid w:val="0059186C"/>
    <w:rsid w:val="005919B2"/>
    <w:rsid w:val="005919F8"/>
    <w:rsid w:val="00591CDF"/>
    <w:rsid w:val="00591DC9"/>
    <w:rsid w:val="00591E12"/>
    <w:rsid w:val="00591F80"/>
    <w:rsid w:val="005923A1"/>
    <w:rsid w:val="0059241E"/>
    <w:rsid w:val="00592494"/>
    <w:rsid w:val="005924FE"/>
    <w:rsid w:val="00592617"/>
    <w:rsid w:val="00592745"/>
    <w:rsid w:val="00592791"/>
    <w:rsid w:val="00592A92"/>
    <w:rsid w:val="00592AA7"/>
    <w:rsid w:val="00592ADD"/>
    <w:rsid w:val="00592B0B"/>
    <w:rsid w:val="00592B2E"/>
    <w:rsid w:val="00592B9F"/>
    <w:rsid w:val="00592C18"/>
    <w:rsid w:val="00592C49"/>
    <w:rsid w:val="00592C6E"/>
    <w:rsid w:val="00592D37"/>
    <w:rsid w:val="00592EB3"/>
    <w:rsid w:val="00592F68"/>
    <w:rsid w:val="00593109"/>
    <w:rsid w:val="0059327B"/>
    <w:rsid w:val="0059382B"/>
    <w:rsid w:val="005939BB"/>
    <w:rsid w:val="00593BDF"/>
    <w:rsid w:val="00593D9F"/>
    <w:rsid w:val="00594033"/>
    <w:rsid w:val="00594200"/>
    <w:rsid w:val="005944A3"/>
    <w:rsid w:val="005945C0"/>
    <w:rsid w:val="00594756"/>
    <w:rsid w:val="005948ED"/>
    <w:rsid w:val="005948EF"/>
    <w:rsid w:val="005949D0"/>
    <w:rsid w:val="00594B45"/>
    <w:rsid w:val="00594C81"/>
    <w:rsid w:val="00594D1E"/>
    <w:rsid w:val="00594ED4"/>
    <w:rsid w:val="00595104"/>
    <w:rsid w:val="00595250"/>
    <w:rsid w:val="0059559F"/>
    <w:rsid w:val="0059565C"/>
    <w:rsid w:val="005958D3"/>
    <w:rsid w:val="00595B32"/>
    <w:rsid w:val="00595CA3"/>
    <w:rsid w:val="00595CA8"/>
    <w:rsid w:val="00595E6E"/>
    <w:rsid w:val="00595E78"/>
    <w:rsid w:val="00595F59"/>
    <w:rsid w:val="00595FB0"/>
    <w:rsid w:val="00596078"/>
    <w:rsid w:val="0059641F"/>
    <w:rsid w:val="0059646B"/>
    <w:rsid w:val="00596506"/>
    <w:rsid w:val="00596541"/>
    <w:rsid w:val="0059664F"/>
    <w:rsid w:val="005966B5"/>
    <w:rsid w:val="00596965"/>
    <w:rsid w:val="005969FA"/>
    <w:rsid w:val="00596C3A"/>
    <w:rsid w:val="00596C56"/>
    <w:rsid w:val="00596C74"/>
    <w:rsid w:val="00596CEB"/>
    <w:rsid w:val="00597080"/>
    <w:rsid w:val="005972D3"/>
    <w:rsid w:val="00597358"/>
    <w:rsid w:val="00597560"/>
    <w:rsid w:val="0059796B"/>
    <w:rsid w:val="005979AE"/>
    <w:rsid w:val="00597A44"/>
    <w:rsid w:val="00597A66"/>
    <w:rsid w:val="00597E9A"/>
    <w:rsid w:val="005A0029"/>
    <w:rsid w:val="005A0045"/>
    <w:rsid w:val="005A0180"/>
    <w:rsid w:val="005A029D"/>
    <w:rsid w:val="005A0376"/>
    <w:rsid w:val="005A03B1"/>
    <w:rsid w:val="005A05A6"/>
    <w:rsid w:val="005A06BA"/>
    <w:rsid w:val="005A06E3"/>
    <w:rsid w:val="005A072B"/>
    <w:rsid w:val="005A07A1"/>
    <w:rsid w:val="005A0B1F"/>
    <w:rsid w:val="005A0C4F"/>
    <w:rsid w:val="005A0CC0"/>
    <w:rsid w:val="005A0CD6"/>
    <w:rsid w:val="005A0DDB"/>
    <w:rsid w:val="005A0ED3"/>
    <w:rsid w:val="005A105C"/>
    <w:rsid w:val="005A190A"/>
    <w:rsid w:val="005A1931"/>
    <w:rsid w:val="005A1955"/>
    <w:rsid w:val="005A1978"/>
    <w:rsid w:val="005A1994"/>
    <w:rsid w:val="005A1A9D"/>
    <w:rsid w:val="005A1BB1"/>
    <w:rsid w:val="005A1E2B"/>
    <w:rsid w:val="005A1F23"/>
    <w:rsid w:val="005A20A7"/>
    <w:rsid w:val="005A218E"/>
    <w:rsid w:val="005A21DD"/>
    <w:rsid w:val="005A21E8"/>
    <w:rsid w:val="005A2249"/>
    <w:rsid w:val="005A2278"/>
    <w:rsid w:val="005A234D"/>
    <w:rsid w:val="005A247C"/>
    <w:rsid w:val="005A247D"/>
    <w:rsid w:val="005A268A"/>
    <w:rsid w:val="005A26B1"/>
    <w:rsid w:val="005A27EF"/>
    <w:rsid w:val="005A296D"/>
    <w:rsid w:val="005A2AD0"/>
    <w:rsid w:val="005A2B97"/>
    <w:rsid w:val="005A2CBC"/>
    <w:rsid w:val="005A2D19"/>
    <w:rsid w:val="005A2DC6"/>
    <w:rsid w:val="005A2F33"/>
    <w:rsid w:val="005A300F"/>
    <w:rsid w:val="005A3049"/>
    <w:rsid w:val="005A31C6"/>
    <w:rsid w:val="005A3398"/>
    <w:rsid w:val="005A3475"/>
    <w:rsid w:val="005A37BE"/>
    <w:rsid w:val="005A3B60"/>
    <w:rsid w:val="005A3DD3"/>
    <w:rsid w:val="005A3E26"/>
    <w:rsid w:val="005A3EA7"/>
    <w:rsid w:val="005A3EAA"/>
    <w:rsid w:val="005A4938"/>
    <w:rsid w:val="005A4957"/>
    <w:rsid w:val="005A49C6"/>
    <w:rsid w:val="005A4A36"/>
    <w:rsid w:val="005A4A75"/>
    <w:rsid w:val="005A4BF8"/>
    <w:rsid w:val="005A4C0C"/>
    <w:rsid w:val="005A4E8C"/>
    <w:rsid w:val="005A4EC9"/>
    <w:rsid w:val="005A4EF7"/>
    <w:rsid w:val="005A4F31"/>
    <w:rsid w:val="005A4FBD"/>
    <w:rsid w:val="005A4FF9"/>
    <w:rsid w:val="005A503A"/>
    <w:rsid w:val="005A504D"/>
    <w:rsid w:val="005A50B1"/>
    <w:rsid w:val="005A53B9"/>
    <w:rsid w:val="005A5435"/>
    <w:rsid w:val="005A544F"/>
    <w:rsid w:val="005A5603"/>
    <w:rsid w:val="005A5A25"/>
    <w:rsid w:val="005A5AB5"/>
    <w:rsid w:val="005A5B4A"/>
    <w:rsid w:val="005A5D57"/>
    <w:rsid w:val="005A5EAC"/>
    <w:rsid w:val="005A5F52"/>
    <w:rsid w:val="005A6210"/>
    <w:rsid w:val="005A62D7"/>
    <w:rsid w:val="005A63F3"/>
    <w:rsid w:val="005A6516"/>
    <w:rsid w:val="005A6653"/>
    <w:rsid w:val="005A674E"/>
    <w:rsid w:val="005A69E3"/>
    <w:rsid w:val="005A69F4"/>
    <w:rsid w:val="005A6D41"/>
    <w:rsid w:val="005A6D76"/>
    <w:rsid w:val="005A6F97"/>
    <w:rsid w:val="005A7015"/>
    <w:rsid w:val="005A7098"/>
    <w:rsid w:val="005A7140"/>
    <w:rsid w:val="005A784F"/>
    <w:rsid w:val="005A78C4"/>
    <w:rsid w:val="005A7930"/>
    <w:rsid w:val="005A7AF8"/>
    <w:rsid w:val="005A7AFD"/>
    <w:rsid w:val="005A7C8B"/>
    <w:rsid w:val="005A7CC5"/>
    <w:rsid w:val="005A7D34"/>
    <w:rsid w:val="005A7DCF"/>
    <w:rsid w:val="005A7DE5"/>
    <w:rsid w:val="005A7EE4"/>
    <w:rsid w:val="005B0200"/>
    <w:rsid w:val="005B02B1"/>
    <w:rsid w:val="005B0718"/>
    <w:rsid w:val="005B0751"/>
    <w:rsid w:val="005B07C1"/>
    <w:rsid w:val="005B07E5"/>
    <w:rsid w:val="005B07E9"/>
    <w:rsid w:val="005B0824"/>
    <w:rsid w:val="005B085F"/>
    <w:rsid w:val="005B0DB2"/>
    <w:rsid w:val="005B0DC7"/>
    <w:rsid w:val="005B0E5A"/>
    <w:rsid w:val="005B0E64"/>
    <w:rsid w:val="005B116D"/>
    <w:rsid w:val="005B1278"/>
    <w:rsid w:val="005B14B6"/>
    <w:rsid w:val="005B1878"/>
    <w:rsid w:val="005B1B3F"/>
    <w:rsid w:val="005B1D32"/>
    <w:rsid w:val="005B1FD7"/>
    <w:rsid w:val="005B229B"/>
    <w:rsid w:val="005B23C3"/>
    <w:rsid w:val="005B2691"/>
    <w:rsid w:val="005B2D04"/>
    <w:rsid w:val="005B2DD3"/>
    <w:rsid w:val="005B2DD9"/>
    <w:rsid w:val="005B2E65"/>
    <w:rsid w:val="005B30CB"/>
    <w:rsid w:val="005B3140"/>
    <w:rsid w:val="005B3145"/>
    <w:rsid w:val="005B3229"/>
    <w:rsid w:val="005B33D0"/>
    <w:rsid w:val="005B37F2"/>
    <w:rsid w:val="005B39F8"/>
    <w:rsid w:val="005B3B68"/>
    <w:rsid w:val="005B3BAD"/>
    <w:rsid w:val="005B3E2C"/>
    <w:rsid w:val="005B3E70"/>
    <w:rsid w:val="005B3F29"/>
    <w:rsid w:val="005B4066"/>
    <w:rsid w:val="005B420B"/>
    <w:rsid w:val="005B4248"/>
    <w:rsid w:val="005B49B3"/>
    <w:rsid w:val="005B4AE0"/>
    <w:rsid w:val="005B4CC6"/>
    <w:rsid w:val="005B4CD4"/>
    <w:rsid w:val="005B4D94"/>
    <w:rsid w:val="005B5092"/>
    <w:rsid w:val="005B50AD"/>
    <w:rsid w:val="005B51CC"/>
    <w:rsid w:val="005B51E5"/>
    <w:rsid w:val="005B5320"/>
    <w:rsid w:val="005B53D6"/>
    <w:rsid w:val="005B53FB"/>
    <w:rsid w:val="005B543C"/>
    <w:rsid w:val="005B57B2"/>
    <w:rsid w:val="005B581F"/>
    <w:rsid w:val="005B5951"/>
    <w:rsid w:val="005B5E2E"/>
    <w:rsid w:val="005B5ED2"/>
    <w:rsid w:val="005B6105"/>
    <w:rsid w:val="005B6247"/>
    <w:rsid w:val="005B639A"/>
    <w:rsid w:val="005B63C5"/>
    <w:rsid w:val="005B67E1"/>
    <w:rsid w:val="005B6924"/>
    <w:rsid w:val="005B6A74"/>
    <w:rsid w:val="005B6BE2"/>
    <w:rsid w:val="005B6BE9"/>
    <w:rsid w:val="005B6C23"/>
    <w:rsid w:val="005B6C95"/>
    <w:rsid w:val="005B6D2B"/>
    <w:rsid w:val="005B6E13"/>
    <w:rsid w:val="005B6F59"/>
    <w:rsid w:val="005B70A6"/>
    <w:rsid w:val="005B71C8"/>
    <w:rsid w:val="005B722C"/>
    <w:rsid w:val="005B728F"/>
    <w:rsid w:val="005B73FD"/>
    <w:rsid w:val="005B75B5"/>
    <w:rsid w:val="005B7730"/>
    <w:rsid w:val="005B79DC"/>
    <w:rsid w:val="005B7B50"/>
    <w:rsid w:val="005B7C5B"/>
    <w:rsid w:val="005B7D0E"/>
    <w:rsid w:val="005B7D57"/>
    <w:rsid w:val="005B7E1B"/>
    <w:rsid w:val="005B7E22"/>
    <w:rsid w:val="005B7ED5"/>
    <w:rsid w:val="005B7FE5"/>
    <w:rsid w:val="005C002B"/>
    <w:rsid w:val="005C0188"/>
    <w:rsid w:val="005C01CE"/>
    <w:rsid w:val="005C01D6"/>
    <w:rsid w:val="005C01F4"/>
    <w:rsid w:val="005C02E4"/>
    <w:rsid w:val="005C0542"/>
    <w:rsid w:val="005C06B4"/>
    <w:rsid w:val="005C0CE8"/>
    <w:rsid w:val="005C0E33"/>
    <w:rsid w:val="005C1003"/>
    <w:rsid w:val="005C119F"/>
    <w:rsid w:val="005C11E8"/>
    <w:rsid w:val="005C131F"/>
    <w:rsid w:val="005C1365"/>
    <w:rsid w:val="005C13DF"/>
    <w:rsid w:val="005C147F"/>
    <w:rsid w:val="005C181A"/>
    <w:rsid w:val="005C1914"/>
    <w:rsid w:val="005C19E1"/>
    <w:rsid w:val="005C1A46"/>
    <w:rsid w:val="005C1AF4"/>
    <w:rsid w:val="005C1BAB"/>
    <w:rsid w:val="005C1E54"/>
    <w:rsid w:val="005C2009"/>
    <w:rsid w:val="005C2258"/>
    <w:rsid w:val="005C23E4"/>
    <w:rsid w:val="005C2403"/>
    <w:rsid w:val="005C253F"/>
    <w:rsid w:val="005C25ED"/>
    <w:rsid w:val="005C2626"/>
    <w:rsid w:val="005C26AE"/>
    <w:rsid w:val="005C2715"/>
    <w:rsid w:val="005C28D0"/>
    <w:rsid w:val="005C28EB"/>
    <w:rsid w:val="005C28F2"/>
    <w:rsid w:val="005C2911"/>
    <w:rsid w:val="005C29CB"/>
    <w:rsid w:val="005C2CEE"/>
    <w:rsid w:val="005C2D3F"/>
    <w:rsid w:val="005C2D9F"/>
    <w:rsid w:val="005C2E4E"/>
    <w:rsid w:val="005C2FFF"/>
    <w:rsid w:val="005C3025"/>
    <w:rsid w:val="005C3049"/>
    <w:rsid w:val="005C3052"/>
    <w:rsid w:val="005C3170"/>
    <w:rsid w:val="005C3257"/>
    <w:rsid w:val="005C330B"/>
    <w:rsid w:val="005C33E9"/>
    <w:rsid w:val="005C3705"/>
    <w:rsid w:val="005C383D"/>
    <w:rsid w:val="005C38AA"/>
    <w:rsid w:val="005C38C7"/>
    <w:rsid w:val="005C3AD5"/>
    <w:rsid w:val="005C3ADF"/>
    <w:rsid w:val="005C3BD4"/>
    <w:rsid w:val="005C3DF4"/>
    <w:rsid w:val="005C40A1"/>
    <w:rsid w:val="005C40FA"/>
    <w:rsid w:val="005C40FD"/>
    <w:rsid w:val="005C4137"/>
    <w:rsid w:val="005C4216"/>
    <w:rsid w:val="005C434C"/>
    <w:rsid w:val="005C43E3"/>
    <w:rsid w:val="005C446A"/>
    <w:rsid w:val="005C448C"/>
    <w:rsid w:val="005C4548"/>
    <w:rsid w:val="005C4870"/>
    <w:rsid w:val="005C48DA"/>
    <w:rsid w:val="005C4CDF"/>
    <w:rsid w:val="005C4DF7"/>
    <w:rsid w:val="005C4F19"/>
    <w:rsid w:val="005C4FE7"/>
    <w:rsid w:val="005C5027"/>
    <w:rsid w:val="005C52B2"/>
    <w:rsid w:val="005C5534"/>
    <w:rsid w:val="005C5635"/>
    <w:rsid w:val="005C56DA"/>
    <w:rsid w:val="005C57E8"/>
    <w:rsid w:val="005C5A2C"/>
    <w:rsid w:val="005C5AB0"/>
    <w:rsid w:val="005C5B41"/>
    <w:rsid w:val="005C5B42"/>
    <w:rsid w:val="005C5B64"/>
    <w:rsid w:val="005C5BDE"/>
    <w:rsid w:val="005C5D0A"/>
    <w:rsid w:val="005C5D37"/>
    <w:rsid w:val="005C5D84"/>
    <w:rsid w:val="005C5DE9"/>
    <w:rsid w:val="005C5EA3"/>
    <w:rsid w:val="005C5F6B"/>
    <w:rsid w:val="005C5FCC"/>
    <w:rsid w:val="005C6011"/>
    <w:rsid w:val="005C6098"/>
    <w:rsid w:val="005C613B"/>
    <w:rsid w:val="005C6198"/>
    <w:rsid w:val="005C64BF"/>
    <w:rsid w:val="005C64D8"/>
    <w:rsid w:val="005C64FD"/>
    <w:rsid w:val="005C673A"/>
    <w:rsid w:val="005C690E"/>
    <w:rsid w:val="005C6A08"/>
    <w:rsid w:val="005C6A8F"/>
    <w:rsid w:val="005C6B55"/>
    <w:rsid w:val="005C6C33"/>
    <w:rsid w:val="005C6C97"/>
    <w:rsid w:val="005C6D29"/>
    <w:rsid w:val="005C6F4B"/>
    <w:rsid w:val="005C7036"/>
    <w:rsid w:val="005C70AA"/>
    <w:rsid w:val="005C70D5"/>
    <w:rsid w:val="005C71B2"/>
    <w:rsid w:val="005C72F8"/>
    <w:rsid w:val="005C73DB"/>
    <w:rsid w:val="005C74F1"/>
    <w:rsid w:val="005C7611"/>
    <w:rsid w:val="005C76A9"/>
    <w:rsid w:val="005C777D"/>
    <w:rsid w:val="005C78A4"/>
    <w:rsid w:val="005C79A7"/>
    <w:rsid w:val="005C79AB"/>
    <w:rsid w:val="005C7C44"/>
    <w:rsid w:val="005C7DE7"/>
    <w:rsid w:val="005D0246"/>
    <w:rsid w:val="005D02A7"/>
    <w:rsid w:val="005D02E0"/>
    <w:rsid w:val="005D032E"/>
    <w:rsid w:val="005D03FC"/>
    <w:rsid w:val="005D058D"/>
    <w:rsid w:val="005D0849"/>
    <w:rsid w:val="005D0A64"/>
    <w:rsid w:val="005D0BE2"/>
    <w:rsid w:val="005D0CF1"/>
    <w:rsid w:val="005D0F08"/>
    <w:rsid w:val="005D1085"/>
    <w:rsid w:val="005D1087"/>
    <w:rsid w:val="005D1110"/>
    <w:rsid w:val="005D1222"/>
    <w:rsid w:val="005D1232"/>
    <w:rsid w:val="005D12E7"/>
    <w:rsid w:val="005D1456"/>
    <w:rsid w:val="005D14BD"/>
    <w:rsid w:val="005D1620"/>
    <w:rsid w:val="005D1D71"/>
    <w:rsid w:val="005D1F91"/>
    <w:rsid w:val="005D206C"/>
    <w:rsid w:val="005D23BC"/>
    <w:rsid w:val="005D245B"/>
    <w:rsid w:val="005D24BD"/>
    <w:rsid w:val="005D262D"/>
    <w:rsid w:val="005D267C"/>
    <w:rsid w:val="005D2728"/>
    <w:rsid w:val="005D2846"/>
    <w:rsid w:val="005D2A0F"/>
    <w:rsid w:val="005D2A4D"/>
    <w:rsid w:val="005D2AE4"/>
    <w:rsid w:val="005D2BC7"/>
    <w:rsid w:val="005D2C41"/>
    <w:rsid w:val="005D2CEA"/>
    <w:rsid w:val="005D2DE4"/>
    <w:rsid w:val="005D2E10"/>
    <w:rsid w:val="005D2ED4"/>
    <w:rsid w:val="005D2F87"/>
    <w:rsid w:val="005D30FE"/>
    <w:rsid w:val="005D31C8"/>
    <w:rsid w:val="005D325D"/>
    <w:rsid w:val="005D32E2"/>
    <w:rsid w:val="005D331A"/>
    <w:rsid w:val="005D3357"/>
    <w:rsid w:val="005D33F2"/>
    <w:rsid w:val="005D342A"/>
    <w:rsid w:val="005D349D"/>
    <w:rsid w:val="005D3791"/>
    <w:rsid w:val="005D37DB"/>
    <w:rsid w:val="005D38C0"/>
    <w:rsid w:val="005D3930"/>
    <w:rsid w:val="005D3D42"/>
    <w:rsid w:val="005D3DC6"/>
    <w:rsid w:val="005D3E1C"/>
    <w:rsid w:val="005D3FED"/>
    <w:rsid w:val="005D410A"/>
    <w:rsid w:val="005D43B8"/>
    <w:rsid w:val="005D44A5"/>
    <w:rsid w:val="005D46A9"/>
    <w:rsid w:val="005D46B7"/>
    <w:rsid w:val="005D478B"/>
    <w:rsid w:val="005D47D2"/>
    <w:rsid w:val="005D4888"/>
    <w:rsid w:val="005D4A62"/>
    <w:rsid w:val="005D4A7E"/>
    <w:rsid w:val="005D4D9F"/>
    <w:rsid w:val="005D5071"/>
    <w:rsid w:val="005D5157"/>
    <w:rsid w:val="005D51A2"/>
    <w:rsid w:val="005D51A6"/>
    <w:rsid w:val="005D521E"/>
    <w:rsid w:val="005D525D"/>
    <w:rsid w:val="005D52EE"/>
    <w:rsid w:val="005D553D"/>
    <w:rsid w:val="005D56D8"/>
    <w:rsid w:val="005D5731"/>
    <w:rsid w:val="005D58C0"/>
    <w:rsid w:val="005D5A45"/>
    <w:rsid w:val="005D5AAC"/>
    <w:rsid w:val="005D5C8E"/>
    <w:rsid w:val="005D5CEC"/>
    <w:rsid w:val="005D5CF3"/>
    <w:rsid w:val="005D5D54"/>
    <w:rsid w:val="005D5E32"/>
    <w:rsid w:val="005D5FE8"/>
    <w:rsid w:val="005D6016"/>
    <w:rsid w:val="005D618E"/>
    <w:rsid w:val="005D61FD"/>
    <w:rsid w:val="005D62D7"/>
    <w:rsid w:val="005D654B"/>
    <w:rsid w:val="005D65DD"/>
    <w:rsid w:val="005D66A2"/>
    <w:rsid w:val="005D66DF"/>
    <w:rsid w:val="005D67EF"/>
    <w:rsid w:val="005D6A22"/>
    <w:rsid w:val="005D6ADD"/>
    <w:rsid w:val="005D6CD0"/>
    <w:rsid w:val="005D6D43"/>
    <w:rsid w:val="005D6DD1"/>
    <w:rsid w:val="005D6FB9"/>
    <w:rsid w:val="005D70B1"/>
    <w:rsid w:val="005D7126"/>
    <w:rsid w:val="005D7162"/>
    <w:rsid w:val="005D71BE"/>
    <w:rsid w:val="005D71CA"/>
    <w:rsid w:val="005D7224"/>
    <w:rsid w:val="005D7309"/>
    <w:rsid w:val="005D73B9"/>
    <w:rsid w:val="005D7450"/>
    <w:rsid w:val="005D7463"/>
    <w:rsid w:val="005D75E8"/>
    <w:rsid w:val="005D76B1"/>
    <w:rsid w:val="005D77FF"/>
    <w:rsid w:val="005D7C03"/>
    <w:rsid w:val="005D7F78"/>
    <w:rsid w:val="005E0006"/>
    <w:rsid w:val="005E0094"/>
    <w:rsid w:val="005E0156"/>
    <w:rsid w:val="005E01A7"/>
    <w:rsid w:val="005E02CC"/>
    <w:rsid w:val="005E0605"/>
    <w:rsid w:val="005E0716"/>
    <w:rsid w:val="005E0A5C"/>
    <w:rsid w:val="005E0A7B"/>
    <w:rsid w:val="005E0A8C"/>
    <w:rsid w:val="005E0B6A"/>
    <w:rsid w:val="005E0BBC"/>
    <w:rsid w:val="005E0E6C"/>
    <w:rsid w:val="005E107C"/>
    <w:rsid w:val="005E1284"/>
    <w:rsid w:val="005E13A8"/>
    <w:rsid w:val="005E15CD"/>
    <w:rsid w:val="005E1671"/>
    <w:rsid w:val="005E1739"/>
    <w:rsid w:val="005E1827"/>
    <w:rsid w:val="005E1A16"/>
    <w:rsid w:val="005E1A78"/>
    <w:rsid w:val="005E1BC2"/>
    <w:rsid w:val="005E1D57"/>
    <w:rsid w:val="005E1F8F"/>
    <w:rsid w:val="005E1FC7"/>
    <w:rsid w:val="005E20A9"/>
    <w:rsid w:val="005E20F8"/>
    <w:rsid w:val="005E2197"/>
    <w:rsid w:val="005E232F"/>
    <w:rsid w:val="005E2555"/>
    <w:rsid w:val="005E2578"/>
    <w:rsid w:val="005E264A"/>
    <w:rsid w:val="005E2723"/>
    <w:rsid w:val="005E288E"/>
    <w:rsid w:val="005E28BD"/>
    <w:rsid w:val="005E2947"/>
    <w:rsid w:val="005E2B3F"/>
    <w:rsid w:val="005E2FB7"/>
    <w:rsid w:val="005E2FFB"/>
    <w:rsid w:val="005E303F"/>
    <w:rsid w:val="005E30B2"/>
    <w:rsid w:val="005E31B0"/>
    <w:rsid w:val="005E3245"/>
    <w:rsid w:val="005E33FC"/>
    <w:rsid w:val="005E34B5"/>
    <w:rsid w:val="005E34F3"/>
    <w:rsid w:val="005E35FE"/>
    <w:rsid w:val="005E3606"/>
    <w:rsid w:val="005E36AC"/>
    <w:rsid w:val="005E37FF"/>
    <w:rsid w:val="005E3915"/>
    <w:rsid w:val="005E3979"/>
    <w:rsid w:val="005E3A15"/>
    <w:rsid w:val="005E3AB0"/>
    <w:rsid w:val="005E3B3F"/>
    <w:rsid w:val="005E3B9E"/>
    <w:rsid w:val="005E3BFE"/>
    <w:rsid w:val="005E3C3A"/>
    <w:rsid w:val="005E3C65"/>
    <w:rsid w:val="005E3C7D"/>
    <w:rsid w:val="005E3D2A"/>
    <w:rsid w:val="005E3D8F"/>
    <w:rsid w:val="005E3FB8"/>
    <w:rsid w:val="005E430A"/>
    <w:rsid w:val="005E4572"/>
    <w:rsid w:val="005E45B8"/>
    <w:rsid w:val="005E47A7"/>
    <w:rsid w:val="005E48F0"/>
    <w:rsid w:val="005E4920"/>
    <w:rsid w:val="005E4944"/>
    <w:rsid w:val="005E4963"/>
    <w:rsid w:val="005E49FF"/>
    <w:rsid w:val="005E4A3F"/>
    <w:rsid w:val="005E4AEA"/>
    <w:rsid w:val="005E4B3A"/>
    <w:rsid w:val="005E4C91"/>
    <w:rsid w:val="005E4D9B"/>
    <w:rsid w:val="005E4F8B"/>
    <w:rsid w:val="005E51E1"/>
    <w:rsid w:val="005E51E9"/>
    <w:rsid w:val="005E5671"/>
    <w:rsid w:val="005E5959"/>
    <w:rsid w:val="005E5A3F"/>
    <w:rsid w:val="005E5A4B"/>
    <w:rsid w:val="005E5C40"/>
    <w:rsid w:val="005E5C87"/>
    <w:rsid w:val="005E5E3A"/>
    <w:rsid w:val="005E5E94"/>
    <w:rsid w:val="005E5F28"/>
    <w:rsid w:val="005E5F7B"/>
    <w:rsid w:val="005E5FA3"/>
    <w:rsid w:val="005E607F"/>
    <w:rsid w:val="005E62D0"/>
    <w:rsid w:val="005E6518"/>
    <w:rsid w:val="005E651F"/>
    <w:rsid w:val="005E6534"/>
    <w:rsid w:val="005E6650"/>
    <w:rsid w:val="005E672E"/>
    <w:rsid w:val="005E68CC"/>
    <w:rsid w:val="005E6B23"/>
    <w:rsid w:val="005E6B8B"/>
    <w:rsid w:val="005E6BD6"/>
    <w:rsid w:val="005E6C18"/>
    <w:rsid w:val="005E6C3A"/>
    <w:rsid w:val="005E6E13"/>
    <w:rsid w:val="005E6E85"/>
    <w:rsid w:val="005E6F1E"/>
    <w:rsid w:val="005E6F45"/>
    <w:rsid w:val="005E6F47"/>
    <w:rsid w:val="005E7961"/>
    <w:rsid w:val="005E79B6"/>
    <w:rsid w:val="005E7A11"/>
    <w:rsid w:val="005E7A35"/>
    <w:rsid w:val="005E7A9B"/>
    <w:rsid w:val="005E7CA8"/>
    <w:rsid w:val="005E7DB9"/>
    <w:rsid w:val="005E7F5B"/>
    <w:rsid w:val="005F0070"/>
    <w:rsid w:val="005F01F2"/>
    <w:rsid w:val="005F02F7"/>
    <w:rsid w:val="005F031F"/>
    <w:rsid w:val="005F042B"/>
    <w:rsid w:val="005F045B"/>
    <w:rsid w:val="005F0512"/>
    <w:rsid w:val="005F0DDE"/>
    <w:rsid w:val="005F0DFE"/>
    <w:rsid w:val="005F1001"/>
    <w:rsid w:val="005F10AC"/>
    <w:rsid w:val="005F1112"/>
    <w:rsid w:val="005F1182"/>
    <w:rsid w:val="005F1413"/>
    <w:rsid w:val="005F1506"/>
    <w:rsid w:val="005F1570"/>
    <w:rsid w:val="005F16CD"/>
    <w:rsid w:val="005F1755"/>
    <w:rsid w:val="005F1824"/>
    <w:rsid w:val="005F189F"/>
    <w:rsid w:val="005F195E"/>
    <w:rsid w:val="005F1AFB"/>
    <w:rsid w:val="005F1B1A"/>
    <w:rsid w:val="005F1B29"/>
    <w:rsid w:val="005F1B64"/>
    <w:rsid w:val="005F1BF7"/>
    <w:rsid w:val="005F1BFE"/>
    <w:rsid w:val="005F1CA9"/>
    <w:rsid w:val="005F1CAA"/>
    <w:rsid w:val="005F1CBD"/>
    <w:rsid w:val="005F1D08"/>
    <w:rsid w:val="005F1EDF"/>
    <w:rsid w:val="005F1FA8"/>
    <w:rsid w:val="005F202E"/>
    <w:rsid w:val="005F2044"/>
    <w:rsid w:val="005F2113"/>
    <w:rsid w:val="005F21FB"/>
    <w:rsid w:val="005F2267"/>
    <w:rsid w:val="005F22F2"/>
    <w:rsid w:val="005F2383"/>
    <w:rsid w:val="005F2450"/>
    <w:rsid w:val="005F24B2"/>
    <w:rsid w:val="005F24BB"/>
    <w:rsid w:val="005F2691"/>
    <w:rsid w:val="005F26A7"/>
    <w:rsid w:val="005F282A"/>
    <w:rsid w:val="005F290C"/>
    <w:rsid w:val="005F2AB1"/>
    <w:rsid w:val="005F2B01"/>
    <w:rsid w:val="005F2BF1"/>
    <w:rsid w:val="005F2C4E"/>
    <w:rsid w:val="005F2DC5"/>
    <w:rsid w:val="005F2ED5"/>
    <w:rsid w:val="005F30A3"/>
    <w:rsid w:val="005F30AA"/>
    <w:rsid w:val="005F347E"/>
    <w:rsid w:val="005F3592"/>
    <w:rsid w:val="005F367F"/>
    <w:rsid w:val="005F3774"/>
    <w:rsid w:val="005F3840"/>
    <w:rsid w:val="005F3A4D"/>
    <w:rsid w:val="005F3B3B"/>
    <w:rsid w:val="005F3BE1"/>
    <w:rsid w:val="005F3BF1"/>
    <w:rsid w:val="005F3DB5"/>
    <w:rsid w:val="005F3EA0"/>
    <w:rsid w:val="005F3EA4"/>
    <w:rsid w:val="005F4143"/>
    <w:rsid w:val="005F4232"/>
    <w:rsid w:val="005F42F5"/>
    <w:rsid w:val="005F4619"/>
    <w:rsid w:val="005F4637"/>
    <w:rsid w:val="005F4641"/>
    <w:rsid w:val="005F46B3"/>
    <w:rsid w:val="005F475D"/>
    <w:rsid w:val="005F47F9"/>
    <w:rsid w:val="005F48D5"/>
    <w:rsid w:val="005F490C"/>
    <w:rsid w:val="005F4952"/>
    <w:rsid w:val="005F499B"/>
    <w:rsid w:val="005F49C6"/>
    <w:rsid w:val="005F4FEC"/>
    <w:rsid w:val="005F50DD"/>
    <w:rsid w:val="005F5331"/>
    <w:rsid w:val="005F535F"/>
    <w:rsid w:val="005F54B2"/>
    <w:rsid w:val="005F5636"/>
    <w:rsid w:val="005F5814"/>
    <w:rsid w:val="005F5DE4"/>
    <w:rsid w:val="005F5F26"/>
    <w:rsid w:val="005F6162"/>
    <w:rsid w:val="005F6527"/>
    <w:rsid w:val="005F671F"/>
    <w:rsid w:val="005F6749"/>
    <w:rsid w:val="005F6B11"/>
    <w:rsid w:val="005F6C33"/>
    <w:rsid w:val="005F6C38"/>
    <w:rsid w:val="005F6C76"/>
    <w:rsid w:val="005F6C9A"/>
    <w:rsid w:val="005F6CC9"/>
    <w:rsid w:val="005F6DB9"/>
    <w:rsid w:val="005F7034"/>
    <w:rsid w:val="005F728C"/>
    <w:rsid w:val="005F750B"/>
    <w:rsid w:val="005F7595"/>
    <w:rsid w:val="005F75FE"/>
    <w:rsid w:val="005F765E"/>
    <w:rsid w:val="005F7692"/>
    <w:rsid w:val="005F79EE"/>
    <w:rsid w:val="005F7A37"/>
    <w:rsid w:val="005F7ADB"/>
    <w:rsid w:val="005F7BB5"/>
    <w:rsid w:val="005F7D94"/>
    <w:rsid w:val="005F7E00"/>
    <w:rsid w:val="005F7E40"/>
    <w:rsid w:val="005F7E45"/>
    <w:rsid w:val="005F7EE1"/>
    <w:rsid w:val="005F7F2B"/>
    <w:rsid w:val="006000C4"/>
    <w:rsid w:val="00600285"/>
    <w:rsid w:val="00600360"/>
    <w:rsid w:val="00600545"/>
    <w:rsid w:val="00600578"/>
    <w:rsid w:val="006005D2"/>
    <w:rsid w:val="00600604"/>
    <w:rsid w:val="00600657"/>
    <w:rsid w:val="00600877"/>
    <w:rsid w:val="00600A12"/>
    <w:rsid w:val="00600B26"/>
    <w:rsid w:val="00600C2B"/>
    <w:rsid w:val="00600FA2"/>
    <w:rsid w:val="00601102"/>
    <w:rsid w:val="0060112F"/>
    <w:rsid w:val="0060127A"/>
    <w:rsid w:val="006012BA"/>
    <w:rsid w:val="00601410"/>
    <w:rsid w:val="006014E3"/>
    <w:rsid w:val="00601847"/>
    <w:rsid w:val="00601982"/>
    <w:rsid w:val="00601B5D"/>
    <w:rsid w:val="00601E1A"/>
    <w:rsid w:val="00601E79"/>
    <w:rsid w:val="00601F14"/>
    <w:rsid w:val="00601FAC"/>
    <w:rsid w:val="00602290"/>
    <w:rsid w:val="006022BF"/>
    <w:rsid w:val="006024AB"/>
    <w:rsid w:val="00602627"/>
    <w:rsid w:val="006026CF"/>
    <w:rsid w:val="00602844"/>
    <w:rsid w:val="00602855"/>
    <w:rsid w:val="006029B4"/>
    <w:rsid w:val="00602BF9"/>
    <w:rsid w:val="00602DE1"/>
    <w:rsid w:val="00602F30"/>
    <w:rsid w:val="00602FB7"/>
    <w:rsid w:val="00602FB8"/>
    <w:rsid w:val="006033F9"/>
    <w:rsid w:val="006034C6"/>
    <w:rsid w:val="006034F3"/>
    <w:rsid w:val="00603535"/>
    <w:rsid w:val="00603596"/>
    <w:rsid w:val="00603762"/>
    <w:rsid w:val="00603AEF"/>
    <w:rsid w:val="00603B1F"/>
    <w:rsid w:val="00603CC1"/>
    <w:rsid w:val="00603D54"/>
    <w:rsid w:val="00603DFC"/>
    <w:rsid w:val="00603E21"/>
    <w:rsid w:val="00603EE5"/>
    <w:rsid w:val="00603FDC"/>
    <w:rsid w:val="00604010"/>
    <w:rsid w:val="00604040"/>
    <w:rsid w:val="006041CD"/>
    <w:rsid w:val="006043B5"/>
    <w:rsid w:val="0060447C"/>
    <w:rsid w:val="00604603"/>
    <w:rsid w:val="006047ED"/>
    <w:rsid w:val="0060492C"/>
    <w:rsid w:val="00604AEB"/>
    <w:rsid w:val="00604B0B"/>
    <w:rsid w:val="00604DD3"/>
    <w:rsid w:val="00604F9F"/>
    <w:rsid w:val="006052A6"/>
    <w:rsid w:val="0060532F"/>
    <w:rsid w:val="006053CC"/>
    <w:rsid w:val="00605587"/>
    <w:rsid w:val="006055D3"/>
    <w:rsid w:val="006056B5"/>
    <w:rsid w:val="00605884"/>
    <w:rsid w:val="00605BCA"/>
    <w:rsid w:val="00605BF5"/>
    <w:rsid w:val="00605CD8"/>
    <w:rsid w:val="00605F45"/>
    <w:rsid w:val="00605F9E"/>
    <w:rsid w:val="00605FF1"/>
    <w:rsid w:val="00606117"/>
    <w:rsid w:val="00606126"/>
    <w:rsid w:val="00606138"/>
    <w:rsid w:val="0060618F"/>
    <w:rsid w:val="00606190"/>
    <w:rsid w:val="00606217"/>
    <w:rsid w:val="00606316"/>
    <w:rsid w:val="0060667E"/>
    <w:rsid w:val="006067F6"/>
    <w:rsid w:val="006068D0"/>
    <w:rsid w:val="00606914"/>
    <w:rsid w:val="00606959"/>
    <w:rsid w:val="00606A88"/>
    <w:rsid w:val="00606BB0"/>
    <w:rsid w:val="00606BC4"/>
    <w:rsid w:val="00606C09"/>
    <w:rsid w:val="00606CFE"/>
    <w:rsid w:val="00606DE4"/>
    <w:rsid w:val="00606ED3"/>
    <w:rsid w:val="00606F6A"/>
    <w:rsid w:val="00606FEF"/>
    <w:rsid w:val="00607092"/>
    <w:rsid w:val="0060716E"/>
    <w:rsid w:val="00607719"/>
    <w:rsid w:val="00607749"/>
    <w:rsid w:val="0060779E"/>
    <w:rsid w:val="006077D2"/>
    <w:rsid w:val="006077E4"/>
    <w:rsid w:val="006077E5"/>
    <w:rsid w:val="006078DB"/>
    <w:rsid w:val="006079D9"/>
    <w:rsid w:val="00607A3D"/>
    <w:rsid w:val="00607B23"/>
    <w:rsid w:val="00607B63"/>
    <w:rsid w:val="00607BD4"/>
    <w:rsid w:val="00607C9C"/>
    <w:rsid w:val="00607DAF"/>
    <w:rsid w:val="00607DEE"/>
    <w:rsid w:val="00607E03"/>
    <w:rsid w:val="00607FF3"/>
    <w:rsid w:val="00610038"/>
    <w:rsid w:val="006100F0"/>
    <w:rsid w:val="006104C9"/>
    <w:rsid w:val="00610510"/>
    <w:rsid w:val="0061059B"/>
    <w:rsid w:val="006108A1"/>
    <w:rsid w:val="0061093A"/>
    <w:rsid w:val="0061093D"/>
    <w:rsid w:val="00610967"/>
    <w:rsid w:val="006109BF"/>
    <w:rsid w:val="00610CFA"/>
    <w:rsid w:val="00610EAC"/>
    <w:rsid w:val="00610FF5"/>
    <w:rsid w:val="00611289"/>
    <w:rsid w:val="00611519"/>
    <w:rsid w:val="00611704"/>
    <w:rsid w:val="0061187E"/>
    <w:rsid w:val="00611A9E"/>
    <w:rsid w:val="00611B0C"/>
    <w:rsid w:val="00611BDB"/>
    <w:rsid w:val="00611D74"/>
    <w:rsid w:val="00611E8F"/>
    <w:rsid w:val="0061208F"/>
    <w:rsid w:val="0061218F"/>
    <w:rsid w:val="006123B8"/>
    <w:rsid w:val="006123D3"/>
    <w:rsid w:val="00612495"/>
    <w:rsid w:val="006125EB"/>
    <w:rsid w:val="00612679"/>
    <w:rsid w:val="00612844"/>
    <w:rsid w:val="00612998"/>
    <w:rsid w:val="00612CB8"/>
    <w:rsid w:val="00612E03"/>
    <w:rsid w:val="00613142"/>
    <w:rsid w:val="00613288"/>
    <w:rsid w:val="006134B4"/>
    <w:rsid w:val="00613540"/>
    <w:rsid w:val="006135E4"/>
    <w:rsid w:val="00613632"/>
    <w:rsid w:val="006136B9"/>
    <w:rsid w:val="006138D1"/>
    <w:rsid w:val="00613953"/>
    <w:rsid w:val="006139FF"/>
    <w:rsid w:val="00613B19"/>
    <w:rsid w:val="00613B3F"/>
    <w:rsid w:val="00613E18"/>
    <w:rsid w:val="0061408E"/>
    <w:rsid w:val="006140C7"/>
    <w:rsid w:val="00614187"/>
    <w:rsid w:val="00614374"/>
    <w:rsid w:val="00614378"/>
    <w:rsid w:val="006143A3"/>
    <w:rsid w:val="006143C4"/>
    <w:rsid w:val="00614573"/>
    <w:rsid w:val="006146BA"/>
    <w:rsid w:val="006148A5"/>
    <w:rsid w:val="006149EF"/>
    <w:rsid w:val="00614C65"/>
    <w:rsid w:val="00614D26"/>
    <w:rsid w:val="00614F91"/>
    <w:rsid w:val="00614FE3"/>
    <w:rsid w:val="00615062"/>
    <w:rsid w:val="0061516D"/>
    <w:rsid w:val="0061523E"/>
    <w:rsid w:val="006153D3"/>
    <w:rsid w:val="0061570D"/>
    <w:rsid w:val="006158BD"/>
    <w:rsid w:val="006159E4"/>
    <w:rsid w:val="00615A11"/>
    <w:rsid w:val="00615D0D"/>
    <w:rsid w:val="00615D63"/>
    <w:rsid w:val="00615E5C"/>
    <w:rsid w:val="00615F36"/>
    <w:rsid w:val="00615F48"/>
    <w:rsid w:val="00615FDA"/>
    <w:rsid w:val="0061604B"/>
    <w:rsid w:val="00616224"/>
    <w:rsid w:val="0061627F"/>
    <w:rsid w:val="0061638C"/>
    <w:rsid w:val="006165F9"/>
    <w:rsid w:val="00616739"/>
    <w:rsid w:val="0061695E"/>
    <w:rsid w:val="00616B4B"/>
    <w:rsid w:val="00616B8B"/>
    <w:rsid w:val="00616BEF"/>
    <w:rsid w:val="00616C33"/>
    <w:rsid w:val="00616DB3"/>
    <w:rsid w:val="00616ECA"/>
    <w:rsid w:val="00616EE5"/>
    <w:rsid w:val="00616FDF"/>
    <w:rsid w:val="00617104"/>
    <w:rsid w:val="0061715F"/>
    <w:rsid w:val="006172E7"/>
    <w:rsid w:val="00617346"/>
    <w:rsid w:val="0061740F"/>
    <w:rsid w:val="006174D0"/>
    <w:rsid w:val="0061789B"/>
    <w:rsid w:val="006179B5"/>
    <w:rsid w:val="00617A63"/>
    <w:rsid w:val="00617CAA"/>
    <w:rsid w:val="00617E22"/>
    <w:rsid w:val="00617E33"/>
    <w:rsid w:val="00617E9A"/>
    <w:rsid w:val="00617F05"/>
    <w:rsid w:val="00620046"/>
    <w:rsid w:val="0062005E"/>
    <w:rsid w:val="0062065E"/>
    <w:rsid w:val="006206F1"/>
    <w:rsid w:val="0062091B"/>
    <w:rsid w:val="00620A22"/>
    <w:rsid w:val="00620CA5"/>
    <w:rsid w:val="00620F98"/>
    <w:rsid w:val="00621045"/>
    <w:rsid w:val="00621485"/>
    <w:rsid w:val="00621650"/>
    <w:rsid w:val="006218E1"/>
    <w:rsid w:val="00621BA6"/>
    <w:rsid w:val="00621C0F"/>
    <w:rsid w:val="00621D5E"/>
    <w:rsid w:val="00621D7D"/>
    <w:rsid w:val="00621F09"/>
    <w:rsid w:val="00621F38"/>
    <w:rsid w:val="0062204A"/>
    <w:rsid w:val="00622159"/>
    <w:rsid w:val="00622164"/>
    <w:rsid w:val="006221B0"/>
    <w:rsid w:val="006221F2"/>
    <w:rsid w:val="00622303"/>
    <w:rsid w:val="00622306"/>
    <w:rsid w:val="00622680"/>
    <w:rsid w:val="006227EE"/>
    <w:rsid w:val="006228CB"/>
    <w:rsid w:val="006228F1"/>
    <w:rsid w:val="00622A2F"/>
    <w:rsid w:val="00622BA3"/>
    <w:rsid w:val="00622EE7"/>
    <w:rsid w:val="00623102"/>
    <w:rsid w:val="00623551"/>
    <w:rsid w:val="00623668"/>
    <w:rsid w:val="006236C8"/>
    <w:rsid w:val="00623711"/>
    <w:rsid w:val="0062376C"/>
    <w:rsid w:val="00623792"/>
    <w:rsid w:val="00623877"/>
    <w:rsid w:val="0062395D"/>
    <w:rsid w:val="0062396F"/>
    <w:rsid w:val="006239E1"/>
    <w:rsid w:val="00623B25"/>
    <w:rsid w:val="00623BCF"/>
    <w:rsid w:val="00623D71"/>
    <w:rsid w:val="00623D77"/>
    <w:rsid w:val="00623F05"/>
    <w:rsid w:val="00623F8F"/>
    <w:rsid w:val="00623F97"/>
    <w:rsid w:val="00624042"/>
    <w:rsid w:val="006240ED"/>
    <w:rsid w:val="006242A9"/>
    <w:rsid w:val="006242FE"/>
    <w:rsid w:val="00624360"/>
    <w:rsid w:val="006245D1"/>
    <w:rsid w:val="00624774"/>
    <w:rsid w:val="0062478A"/>
    <w:rsid w:val="0062489E"/>
    <w:rsid w:val="00624A5B"/>
    <w:rsid w:val="00624AE9"/>
    <w:rsid w:val="00624B85"/>
    <w:rsid w:val="00624CF2"/>
    <w:rsid w:val="00624EB4"/>
    <w:rsid w:val="006250BA"/>
    <w:rsid w:val="0062510E"/>
    <w:rsid w:val="00625134"/>
    <w:rsid w:val="00625650"/>
    <w:rsid w:val="006257BD"/>
    <w:rsid w:val="00625820"/>
    <w:rsid w:val="00625834"/>
    <w:rsid w:val="0062589A"/>
    <w:rsid w:val="00625A5B"/>
    <w:rsid w:val="00625B2A"/>
    <w:rsid w:val="00625CC1"/>
    <w:rsid w:val="00625DE7"/>
    <w:rsid w:val="00626045"/>
    <w:rsid w:val="00626057"/>
    <w:rsid w:val="006260A3"/>
    <w:rsid w:val="006261AF"/>
    <w:rsid w:val="0062620D"/>
    <w:rsid w:val="00626631"/>
    <w:rsid w:val="006266B9"/>
    <w:rsid w:val="00626773"/>
    <w:rsid w:val="0062684C"/>
    <w:rsid w:val="0062687F"/>
    <w:rsid w:val="006269FC"/>
    <w:rsid w:val="00626B36"/>
    <w:rsid w:val="00626BAE"/>
    <w:rsid w:val="00626CCD"/>
    <w:rsid w:val="00626F5B"/>
    <w:rsid w:val="00627034"/>
    <w:rsid w:val="0062725E"/>
    <w:rsid w:val="00627329"/>
    <w:rsid w:val="006273EC"/>
    <w:rsid w:val="00627417"/>
    <w:rsid w:val="00627539"/>
    <w:rsid w:val="0062777D"/>
    <w:rsid w:val="006278A1"/>
    <w:rsid w:val="00627A89"/>
    <w:rsid w:val="00627AA4"/>
    <w:rsid w:val="00627AA9"/>
    <w:rsid w:val="00627B59"/>
    <w:rsid w:val="00627B9B"/>
    <w:rsid w:val="00627CAB"/>
    <w:rsid w:val="00627D40"/>
    <w:rsid w:val="00627D4E"/>
    <w:rsid w:val="00627D69"/>
    <w:rsid w:val="00627DCE"/>
    <w:rsid w:val="00627DF4"/>
    <w:rsid w:val="00630029"/>
    <w:rsid w:val="0063014F"/>
    <w:rsid w:val="0063025A"/>
    <w:rsid w:val="0063041C"/>
    <w:rsid w:val="00630447"/>
    <w:rsid w:val="00630647"/>
    <w:rsid w:val="0063069B"/>
    <w:rsid w:val="00630794"/>
    <w:rsid w:val="0063090A"/>
    <w:rsid w:val="00630919"/>
    <w:rsid w:val="00630AE2"/>
    <w:rsid w:val="00630BC8"/>
    <w:rsid w:val="00630DEF"/>
    <w:rsid w:val="00630F6C"/>
    <w:rsid w:val="00630FB3"/>
    <w:rsid w:val="00631052"/>
    <w:rsid w:val="00631126"/>
    <w:rsid w:val="00631385"/>
    <w:rsid w:val="00631508"/>
    <w:rsid w:val="00631E97"/>
    <w:rsid w:val="00631EC9"/>
    <w:rsid w:val="00631F7E"/>
    <w:rsid w:val="00631FED"/>
    <w:rsid w:val="0063201E"/>
    <w:rsid w:val="006324E6"/>
    <w:rsid w:val="0063256C"/>
    <w:rsid w:val="00632725"/>
    <w:rsid w:val="006329D3"/>
    <w:rsid w:val="00632DA3"/>
    <w:rsid w:val="00632E72"/>
    <w:rsid w:val="00632F5A"/>
    <w:rsid w:val="006332E8"/>
    <w:rsid w:val="00633328"/>
    <w:rsid w:val="006334B1"/>
    <w:rsid w:val="00633557"/>
    <w:rsid w:val="00633717"/>
    <w:rsid w:val="00633785"/>
    <w:rsid w:val="00633A21"/>
    <w:rsid w:val="00633AE1"/>
    <w:rsid w:val="00633C61"/>
    <w:rsid w:val="00633D73"/>
    <w:rsid w:val="00633F97"/>
    <w:rsid w:val="00633FC5"/>
    <w:rsid w:val="00633FC8"/>
    <w:rsid w:val="00634025"/>
    <w:rsid w:val="00634230"/>
    <w:rsid w:val="00634265"/>
    <w:rsid w:val="00634268"/>
    <w:rsid w:val="006347B5"/>
    <w:rsid w:val="00634BAD"/>
    <w:rsid w:val="00634C1C"/>
    <w:rsid w:val="00634D15"/>
    <w:rsid w:val="00634E8F"/>
    <w:rsid w:val="0063501D"/>
    <w:rsid w:val="0063521D"/>
    <w:rsid w:val="0063539A"/>
    <w:rsid w:val="00635483"/>
    <w:rsid w:val="0063557D"/>
    <w:rsid w:val="006355E7"/>
    <w:rsid w:val="00635680"/>
    <w:rsid w:val="006356F2"/>
    <w:rsid w:val="00635891"/>
    <w:rsid w:val="006358B6"/>
    <w:rsid w:val="00635A82"/>
    <w:rsid w:val="00635D20"/>
    <w:rsid w:val="00635D27"/>
    <w:rsid w:val="00635E25"/>
    <w:rsid w:val="00635F04"/>
    <w:rsid w:val="006360C4"/>
    <w:rsid w:val="00636405"/>
    <w:rsid w:val="00636541"/>
    <w:rsid w:val="00636593"/>
    <w:rsid w:val="006365C6"/>
    <w:rsid w:val="006365D0"/>
    <w:rsid w:val="006365D9"/>
    <w:rsid w:val="006367D2"/>
    <w:rsid w:val="006368C5"/>
    <w:rsid w:val="0063691A"/>
    <w:rsid w:val="00636B43"/>
    <w:rsid w:val="00636B4F"/>
    <w:rsid w:val="00636CC1"/>
    <w:rsid w:val="00636D4A"/>
    <w:rsid w:val="00636D6B"/>
    <w:rsid w:val="00636E00"/>
    <w:rsid w:val="00637142"/>
    <w:rsid w:val="00637592"/>
    <w:rsid w:val="006375A1"/>
    <w:rsid w:val="006376AC"/>
    <w:rsid w:val="00637805"/>
    <w:rsid w:val="0063785B"/>
    <w:rsid w:val="00637899"/>
    <w:rsid w:val="0063797E"/>
    <w:rsid w:val="00637990"/>
    <w:rsid w:val="00637EC2"/>
    <w:rsid w:val="00637F2C"/>
    <w:rsid w:val="00637F88"/>
    <w:rsid w:val="006400D5"/>
    <w:rsid w:val="00640106"/>
    <w:rsid w:val="00640225"/>
    <w:rsid w:val="0064033C"/>
    <w:rsid w:val="006403F3"/>
    <w:rsid w:val="00640408"/>
    <w:rsid w:val="00640420"/>
    <w:rsid w:val="00640437"/>
    <w:rsid w:val="006404F4"/>
    <w:rsid w:val="0064052C"/>
    <w:rsid w:val="0064053B"/>
    <w:rsid w:val="006405A5"/>
    <w:rsid w:val="006406B5"/>
    <w:rsid w:val="00640702"/>
    <w:rsid w:val="006407BD"/>
    <w:rsid w:val="0064082D"/>
    <w:rsid w:val="006408D8"/>
    <w:rsid w:val="00640929"/>
    <w:rsid w:val="00640A55"/>
    <w:rsid w:val="00640A6D"/>
    <w:rsid w:val="00640BA3"/>
    <w:rsid w:val="00640CA7"/>
    <w:rsid w:val="00640FD4"/>
    <w:rsid w:val="00641033"/>
    <w:rsid w:val="0064106E"/>
    <w:rsid w:val="00641138"/>
    <w:rsid w:val="00641228"/>
    <w:rsid w:val="006413CC"/>
    <w:rsid w:val="00641526"/>
    <w:rsid w:val="0064166F"/>
    <w:rsid w:val="006416EB"/>
    <w:rsid w:val="00641850"/>
    <w:rsid w:val="006419A7"/>
    <w:rsid w:val="00641A84"/>
    <w:rsid w:val="00641AA6"/>
    <w:rsid w:val="00641BB4"/>
    <w:rsid w:val="00641F5D"/>
    <w:rsid w:val="006420DB"/>
    <w:rsid w:val="00642346"/>
    <w:rsid w:val="006423CF"/>
    <w:rsid w:val="006424B8"/>
    <w:rsid w:val="006424D7"/>
    <w:rsid w:val="00642562"/>
    <w:rsid w:val="00642679"/>
    <w:rsid w:val="0064272C"/>
    <w:rsid w:val="0064278E"/>
    <w:rsid w:val="0064279B"/>
    <w:rsid w:val="00642807"/>
    <w:rsid w:val="0064297D"/>
    <w:rsid w:val="00642A48"/>
    <w:rsid w:val="00642D63"/>
    <w:rsid w:val="00642DAE"/>
    <w:rsid w:val="00642DB6"/>
    <w:rsid w:val="0064315F"/>
    <w:rsid w:val="006431D0"/>
    <w:rsid w:val="0064320F"/>
    <w:rsid w:val="00643261"/>
    <w:rsid w:val="0064354A"/>
    <w:rsid w:val="0064356B"/>
    <w:rsid w:val="00643625"/>
    <w:rsid w:val="00643895"/>
    <w:rsid w:val="006438BD"/>
    <w:rsid w:val="00643BD6"/>
    <w:rsid w:val="00643C5A"/>
    <w:rsid w:val="00643DE3"/>
    <w:rsid w:val="00643FCC"/>
    <w:rsid w:val="00644264"/>
    <w:rsid w:val="0064435E"/>
    <w:rsid w:val="0064443F"/>
    <w:rsid w:val="0064465D"/>
    <w:rsid w:val="0064467B"/>
    <w:rsid w:val="0064468C"/>
    <w:rsid w:val="006447CB"/>
    <w:rsid w:val="00644905"/>
    <w:rsid w:val="00644A52"/>
    <w:rsid w:val="00644A7B"/>
    <w:rsid w:val="00644CB8"/>
    <w:rsid w:val="00644DC8"/>
    <w:rsid w:val="00644E25"/>
    <w:rsid w:val="00644E6D"/>
    <w:rsid w:val="00645048"/>
    <w:rsid w:val="006450E7"/>
    <w:rsid w:val="006451C1"/>
    <w:rsid w:val="00645285"/>
    <w:rsid w:val="0064531A"/>
    <w:rsid w:val="0064542D"/>
    <w:rsid w:val="00645446"/>
    <w:rsid w:val="006454E4"/>
    <w:rsid w:val="00645707"/>
    <w:rsid w:val="006457D7"/>
    <w:rsid w:val="006457EF"/>
    <w:rsid w:val="006459B4"/>
    <w:rsid w:val="00645B14"/>
    <w:rsid w:val="00645CC4"/>
    <w:rsid w:val="00645DD4"/>
    <w:rsid w:val="00645DE3"/>
    <w:rsid w:val="00645E0C"/>
    <w:rsid w:val="006463DB"/>
    <w:rsid w:val="006464EF"/>
    <w:rsid w:val="006466F4"/>
    <w:rsid w:val="00646701"/>
    <w:rsid w:val="00646753"/>
    <w:rsid w:val="006469E9"/>
    <w:rsid w:val="00646B1B"/>
    <w:rsid w:val="00646B1C"/>
    <w:rsid w:val="00646CC0"/>
    <w:rsid w:val="00646CDA"/>
    <w:rsid w:val="00646D2A"/>
    <w:rsid w:val="00646DC6"/>
    <w:rsid w:val="00646E0F"/>
    <w:rsid w:val="00646F5B"/>
    <w:rsid w:val="00646FD7"/>
    <w:rsid w:val="006472BB"/>
    <w:rsid w:val="00647359"/>
    <w:rsid w:val="006474D2"/>
    <w:rsid w:val="00647565"/>
    <w:rsid w:val="00647598"/>
    <w:rsid w:val="006475A2"/>
    <w:rsid w:val="006476D9"/>
    <w:rsid w:val="00647734"/>
    <w:rsid w:val="006477AA"/>
    <w:rsid w:val="00647B35"/>
    <w:rsid w:val="00647C97"/>
    <w:rsid w:val="00647F24"/>
    <w:rsid w:val="00647F62"/>
    <w:rsid w:val="00647F70"/>
    <w:rsid w:val="00647FB5"/>
    <w:rsid w:val="006501F1"/>
    <w:rsid w:val="00650368"/>
    <w:rsid w:val="00650395"/>
    <w:rsid w:val="006504FE"/>
    <w:rsid w:val="00650AC4"/>
    <w:rsid w:val="00650F86"/>
    <w:rsid w:val="00651003"/>
    <w:rsid w:val="00651173"/>
    <w:rsid w:val="0065123A"/>
    <w:rsid w:val="006512ED"/>
    <w:rsid w:val="006513C1"/>
    <w:rsid w:val="00651DC0"/>
    <w:rsid w:val="00651E15"/>
    <w:rsid w:val="00651E59"/>
    <w:rsid w:val="00651F3B"/>
    <w:rsid w:val="00652101"/>
    <w:rsid w:val="00652220"/>
    <w:rsid w:val="006522C6"/>
    <w:rsid w:val="006522E5"/>
    <w:rsid w:val="00652393"/>
    <w:rsid w:val="00652469"/>
    <w:rsid w:val="006524A2"/>
    <w:rsid w:val="0065261C"/>
    <w:rsid w:val="006526CA"/>
    <w:rsid w:val="0065276A"/>
    <w:rsid w:val="00652992"/>
    <w:rsid w:val="006529AC"/>
    <w:rsid w:val="00652A3D"/>
    <w:rsid w:val="00652A43"/>
    <w:rsid w:val="00652B22"/>
    <w:rsid w:val="00652DF6"/>
    <w:rsid w:val="00653079"/>
    <w:rsid w:val="0065316F"/>
    <w:rsid w:val="00653221"/>
    <w:rsid w:val="006534BA"/>
    <w:rsid w:val="00653667"/>
    <w:rsid w:val="00653739"/>
    <w:rsid w:val="0065373E"/>
    <w:rsid w:val="006537BD"/>
    <w:rsid w:val="006537D3"/>
    <w:rsid w:val="0065383A"/>
    <w:rsid w:val="00653890"/>
    <w:rsid w:val="00653893"/>
    <w:rsid w:val="006538CD"/>
    <w:rsid w:val="006538ED"/>
    <w:rsid w:val="00653B25"/>
    <w:rsid w:val="00653DF9"/>
    <w:rsid w:val="00653E31"/>
    <w:rsid w:val="00653EBC"/>
    <w:rsid w:val="00653EE4"/>
    <w:rsid w:val="00654145"/>
    <w:rsid w:val="00654217"/>
    <w:rsid w:val="00654341"/>
    <w:rsid w:val="006543A4"/>
    <w:rsid w:val="006543BB"/>
    <w:rsid w:val="006544FF"/>
    <w:rsid w:val="006546BD"/>
    <w:rsid w:val="0065481A"/>
    <w:rsid w:val="00654C77"/>
    <w:rsid w:val="00654C8A"/>
    <w:rsid w:val="00654CB8"/>
    <w:rsid w:val="00654CDD"/>
    <w:rsid w:val="00654E1B"/>
    <w:rsid w:val="00654E5E"/>
    <w:rsid w:val="00654E94"/>
    <w:rsid w:val="006552CD"/>
    <w:rsid w:val="00655694"/>
    <w:rsid w:val="006559F3"/>
    <w:rsid w:val="00655B2F"/>
    <w:rsid w:val="00655CEE"/>
    <w:rsid w:val="00655D3F"/>
    <w:rsid w:val="00655DA3"/>
    <w:rsid w:val="00655EC8"/>
    <w:rsid w:val="0065610C"/>
    <w:rsid w:val="00656140"/>
    <w:rsid w:val="0065618E"/>
    <w:rsid w:val="0065627D"/>
    <w:rsid w:val="00656AD1"/>
    <w:rsid w:val="00656CA5"/>
    <w:rsid w:val="00657578"/>
    <w:rsid w:val="0065761F"/>
    <w:rsid w:val="00657651"/>
    <w:rsid w:val="00657712"/>
    <w:rsid w:val="00657739"/>
    <w:rsid w:val="00657786"/>
    <w:rsid w:val="006577D1"/>
    <w:rsid w:val="006579BA"/>
    <w:rsid w:val="00657A42"/>
    <w:rsid w:val="00657B08"/>
    <w:rsid w:val="00657BC3"/>
    <w:rsid w:val="00657C83"/>
    <w:rsid w:val="00657DAF"/>
    <w:rsid w:val="00657ECB"/>
    <w:rsid w:val="00657EF0"/>
    <w:rsid w:val="00657EFD"/>
    <w:rsid w:val="00660091"/>
    <w:rsid w:val="006602D9"/>
    <w:rsid w:val="0066033F"/>
    <w:rsid w:val="00660374"/>
    <w:rsid w:val="00660A4F"/>
    <w:rsid w:val="00660B0F"/>
    <w:rsid w:val="00660B83"/>
    <w:rsid w:val="00660BC6"/>
    <w:rsid w:val="00660C74"/>
    <w:rsid w:val="00660D9C"/>
    <w:rsid w:val="00660DFB"/>
    <w:rsid w:val="00660E1C"/>
    <w:rsid w:val="00660EC0"/>
    <w:rsid w:val="00660FA7"/>
    <w:rsid w:val="00660FDE"/>
    <w:rsid w:val="00661011"/>
    <w:rsid w:val="00661022"/>
    <w:rsid w:val="006610B3"/>
    <w:rsid w:val="0066111E"/>
    <w:rsid w:val="0066120E"/>
    <w:rsid w:val="00661211"/>
    <w:rsid w:val="00661287"/>
    <w:rsid w:val="006612FC"/>
    <w:rsid w:val="00661602"/>
    <w:rsid w:val="0066177E"/>
    <w:rsid w:val="0066178E"/>
    <w:rsid w:val="00661922"/>
    <w:rsid w:val="006619DD"/>
    <w:rsid w:val="00661A08"/>
    <w:rsid w:val="00661ABF"/>
    <w:rsid w:val="00661ACD"/>
    <w:rsid w:val="00661CD8"/>
    <w:rsid w:val="00661DC9"/>
    <w:rsid w:val="00661DE7"/>
    <w:rsid w:val="00661E40"/>
    <w:rsid w:val="00661E9D"/>
    <w:rsid w:val="00661FB4"/>
    <w:rsid w:val="0066210E"/>
    <w:rsid w:val="0066217A"/>
    <w:rsid w:val="0066223A"/>
    <w:rsid w:val="0066240F"/>
    <w:rsid w:val="00662532"/>
    <w:rsid w:val="006626A1"/>
    <w:rsid w:val="00662721"/>
    <w:rsid w:val="00662973"/>
    <w:rsid w:val="00662BC8"/>
    <w:rsid w:val="00662C58"/>
    <w:rsid w:val="00662E61"/>
    <w:rsid w:val="00663191"/>
    <w:rsid w:val="006632F0"/>
    <w:rsid w:val="0066330F"/>
    <w:rsid w:val="00663456"/>
    <w:rsid w:val="00663660"/>
    <w:rsid w:val="00663830"/>
    <w:rsid w:val="0066398C"/>
    <w:rsid w:val="00663A0D"/>
    <w:rsid w:val="00663A19"/>
    <w:rsid w:val="00663AD7"/>
    <w:rsid w:val="00663B4A"/>
    <w:rsid w:val="00663B93"/>
    <w:rsid w:val="00663C7C"/>
    <w:rsid w:val="00664060"/>
    <w:rsid w:val="0066417C"/>
    <w:rsid w:val="00664324"/>
    <w:rsid w:val="00664383"/>
    <w:rsid w:val="00664471"/>
    <w:rsid w:val="006644AE"/>
    <w:rsid w:val="0066472C"/>
    <w:rsid w:val="00664864"/>
    <w:rsid w:val="006649A7"/>
    <w:rsid w:val="00664D8D"/>
    <w:rsid w:val="00664DB9"/>
    <w:rsid w:val="00664E43"/>
    <w:rsid w:val="00664F1C"/>
    <w:rsid w:val="006650C1"/>
    <w:rsid w:val="006651D3"/>
    <w:rsid w:val="006651F0"/>
    <w:rsid w:val="006652F0"/>
    <w:rsid w:val="00665365"/>
    <w:rsid w:val="00665696"/>
    <w:rsid w:val="0066577A"/>
    <w:rsid w:val="0066590F"/>
    <w:rsid w:val="0066597B"/>
    <w:rsid w:val="00665BAA"/>
    <w:rsid w:val="00665C6A"/>
    <w:rsid w:val="00665D14"/>
    <w:rsid w:val="00665D8E"/>
    <w:rsid w:val="00665E97"/>
    <w:rsid w:val="00665F51"/>
    <w:rsid w:val="00665F6A"/>
    <w:rsid w:val="00665FB4"/>
    <w:rsid w:val="00666265"/>
    <w:rsid w:val="0066637F"/>
    <w:rsid w:val="00666472"/>
    <w:rsid w:val="0066685E"/>
    <w:rsid w:val="006668D9"/>
    <w:rsid w:val="00666A98"/>
    <w:rsid w:val="00666AC2"/>
    <w:rsid w:val="00666AFE"/>
    <w:rsid w:val="00666B30"/>
    <w:rsid w:val="00666C2D"/>
    <w:rsid w:val="00666FDF"/>
    <w:rsid w:val="006670A9"/>
    <w:rsid w:val="006671E2"/>
    <w:rsid w:val="006672A7"/>
    <w:rsid w:val="0066746C"/>
    <w:rsid w:val="00667513"/>
    <w:rsid w:val="00667882"/>
    <w:rsid w:val="00667906"/>
    <w:rsid w:val="00667A3F"/>
    <w:rsid w:val="00667B0C"/>
    <w:rsid w:val="00667B2A"/>
    <w:rsid w:val="00667E4B"/>
    <w:rsid w:val="00667ECA"/>
    <w:rsid w:val="00667ED3"/>
    <w:rsid w:val="00667F3D"/>
    <w:rsid w:val="00667FAD"/>
    <w:rsid w:val="00670138"/>
    <w:rsid w:val="006701A3"/>
    <w:rsid w:val="006702CF"/>
    <w:rsid w:val="00670310"/>
    <w:rsid w:val="006703D9"/>
    <w:rsid w:val="00670419"/>
    <w:rsid w:val="006705FD"/>
    <w:rsid w:val="006709B9"/>
    <w:rsid w:val="00670A51"/>
    <w:rsid w:val="00670A87"/>
    <w:rsid w:val="00670BE1"/>
    <w:rsid w:val="00670BF6"/>
    <w:rsid w:val="00670EEA"/>
    <w:rsid w:val="00671068"/>
    <w:rsid w:val="0067118D"/>
    <w:rsid w:val="0067124C"/>
    <w:rsid w:val="006712BE"/>
    <w:rsid w:val="006713E0"/>
    <w:rsid w:val="00671433"/>
    <w:rsid w:val="00671478"/>
    <w:rsid w:val="006715D0"/>
    <w:rsid w:val="006717BC"/>
    <w:rsid w:val="006718BE"/>
    <w:rsid w:val="00671A2F"/>
    <w:rsid w:val="00671A3B"/>
    <w:rsid w:val="00671E56"/>
    <w:rsid w:val="006720D4"/>
    <w:rsid w:val="006721B4"/>
    <w:rsid w:val="0067221E"/>
    <w:rsid w:val="0067234C"/>
    <w:rsid w:val="0067264B"/>
    <w:rsid w:val="006726DF"/>
    <w:rsid w:val="006729EB"/>
    <w:rsid w:val="00672CDB"/>
    <w:rsid w:val="00672E5E"/>
    <w:rsid w:val="00672ED0"/>
    <w:rsid w:val="00672F5C"/>
    <w:rsid w:val="006730A2"/>
    <w:rsid w:val="006730BA"/>
    <w:rsid w:val="00673224"/>
    <w:rsid w:val="00673331"/>
    <w:rsid w:val="00673433"/>
    <w:rsid w:val="00673469"/>
    <w:rsid w:val="006737CA"/>
    <w:rsid w:val="00673945"/>
    <w:rsid w:val="0067394D"/>
    <w:rsid w:val="00673A52"/>
    <w:rsid w:val="00673B7D"/>
    <w:rsid w:val="00673BA5"/>
    <w:rsid w:val="00673C07"/>
    <w:rsid w:val="00673CA0"/>
    <w:rsid w:val="00673CE8"/>
    <w:rsid w:val="00673D56"/>
    <w:rsid w:val="00673DD3"/>
    <w:rsid w:val="00673E6E"/>
    <w:rsid w:val="00673EAF"/>
    <w:rsid w:val="00673EEF"/>
    <w:rsid w:val="00673F30"/>
    <w:rsid w:val="00674012"/>
    <w:rsid w:val="00674105"/>
    <w:rsid w:val="006741E6"/>
    <w:rsid w:val="00674220"/>
    <w:rsid w:val="00674292"/>
    <w:rsid w:val="006743DC"/>
    <w:rsid w:val="00674423"/>
    <w:rsid w:val="006744D4"/>
    <w:rsid w:val="0067460F"/>
    <w:rsid w:val="00674989"/>
    <w:rsid w:val="00674BC6"/>
    <w:rsid w:val="00674CA8"/>
    <w:rsid w:val="00674FB7"/>
    <w:rsid w:val="00675023"/>
    <w:rsid w:val="006750D4"/>
    <w:rsid w:val="006750D8"/>
    <w:rsid w:val="0067511B"/>
    <w:rsid w:val="00675167"/>
    <w:rsid w:val="0067516D"/>
    <w:rsid w:val="00675229"/>
    <w:rsid w:val="006752B2"/>
    <w:rsid w:val="0067570F"/>
    <w:rsid w:val="006758BF"/>
    <w:rsid w:val="00675939"/>
    <w:rsid w:val="00675975"/>
    <w:rsid w:val="00675D96"/>
    <w:rsid w:val="00675E8E"/>
    <w:rsid w:val="00676098"/>
    <w:rsid w:val="006763C1"/>
    <w:rsid w:val="0067641D"/>
    <w:rsid w:val="00676764"/>
    <w:rsid w:val="0067695B"/>
    <w:rsid w:val="00676985"/>
    <w:rsid w:val="00676BBA"/>
    <w:rsid w:val="00676D4D"/>
    <w:rsid w:val="00676DBE"/>
    <w:rsid w:val="00676E34"/>
    <w:rsid w:val="00676E7F"/>
    <w:rsid w:val="00676E9D"/>
    <w:rsid w:val="00676ED6"/>
    <w:rsid w:val="00676FB2"/>
    <w:rsid w:val="00677024"/>
    <w:rsid w:val="006771F5"/>
    <w:rsid w:val="0067750F"/>
    <w:rsid w:val="00677827"/>
    <w:rsid w:val="00677931"/>
    <w:rsid w:val="00677A95"/>
    <w:rsid w:val="00677BA8"/>
    <w:rsid w:val="00677F16"/>
    <w:rsid w:val="00677F37"/>
    <w:rsid w:val="00677FDD"/>
    <w:rsid w:val="0068001B"/>
    <w:rsid w:val="00680059"/>
    <w:rsid w:val="006800B0"/>
    <w:rsid w:val="006800FE"/>
    <w:rsid w:val="006803A7"/>
    <w:rsid w:val="00680541"/>
    <w:rsid w:val="00680CEE"/>
    <w:rsid w:val="00680EB0"/>
    <w:rsid w:val="00680F1E"/>
    <w:rsid w:val="00680F44"/>
    <w:rsid w:val="00680FBA"/>
    <w:rsid w:val="006811E3"/>
    <w:rsid w:val="00681275"/>
    <w:rsid w:val="006813F4"/>
    <w:rsid w:val="00681670"/>
    <w:rsid w:val="0068167D"/>
    <w:rsid w:val="00681733"/>
    <w:rsid w:val="0068194E"/>
    <w:rsid w:val="006819F5"/>
    <w:rsid w:val="00681D56"/>
    <w:rsid w:val="00681E1A"/>
    <w:rsid w:val="00682077"/>
    <w:rsid w:val="006821C4"/>
    <w:rsid w:val="00682282"/>
    <w:rsid w:val="00682298"/>
    <w:rsid w:val="006822DC"/>
    <w:rsid w:val="006823B5"/>
    <w:rsid w:val="00682422"/>
    <w:rsid w:val="0068261D"/>
    <w:rsid w:val="006827FD"/>
    <w:rsid w:val="0068280B"/>
    <w:rsid w:val="006828D1"/>
    <w:rsid w:val="00682993"/>
    <w:rsid w:val="00682B0C"/>
    <w:rsid w:val="00682B1A"/>
    <w:rsid w:val="00682C42"/>
    <w:rsid w:val="00683017"/>
    <w:rsid w:val="006830FF"/>
    <w:rsid w:val="00683180"/>
    <w:rsid w:val="0068324A"/>
    <w:rsid w:val="006832CB"/>
    <w:rsid w:val="006832EB"/>
    <w:rsid w:val="0068334F"/>
    <w:rsid w:val="00683390"/>
    <w:rsid w:val="006835D5"/>
    <w:rsid w:val="0068374B"/>
    <w:rsid w:val="0068387E"/>
    <w:rsid w:val="00683A49"/>
    <w:rsid w:val="00683AF0"/>
    <w:rsid w:val="00683B03"/>
    <w:rsid w:val="00683B60"/>
    <w:rsid w:val="00683C3B"/>
    <w:rsid w:val="00684096"/>
    <w:rsid w:val="006842CE"/>
    <w:rsid w:val="006842F5"/>
    <w:rsid w:val="006843A0"/>
    <w:rsid w:val="006844C5"/>
    <w:rsid w:val="0068466E"/>
    <w:rsid w:val="0068493A"/>
    <w:rsid w:val="00684997"/>
    <w:rsid w:val="00684AA0"/>
    <w:rsid w:val="00684DAD"/>
    <w:rsid w:val="00684FB1"/>
    <w:rsid w:val="006851D6"/>
    <w:rsid w:val="00685332"/>
    <w:rsid w:val="0068549F"/>
    <w:rsid w:val="006855C9"/>
    <w:rsid w:val="006855F8"/>
    <w:rsid w:val="00685793"/>
    <w:rsid w:val="006857EA"/>
    <w:rsid w:val="00685ABE"/>
    <w:rsid w:val="00685B65"/>
    <w:rsid w:val="00685F34"/>
    <w:rsid w:val="00685F9F"/>
    <w:rsid w:val="006861B8"/>
    <w:rsid w:val="00686416"/>
    <w:rsid w:val="00686963"/>
    <w:rsid w:val="0068699F"/>
    <w:rsid w:val="00686C65"/>
    <w:rsid w:val="00686F27"/>
    <w:rsid w:val="00687028"/>
    <w:rsid w:val="0068725F"/>
    <w:rsid w:val="0068727D"/>
    <w:rsid w:val="0068728F"/>
    <w:rsid w:val="0068731E"/>
    <w:rsid w:val="00687467"/>
    <w:rsid w:val="00687582"/>
    <w:rsid w:val="0068774D"/>
    <w:rsid w:val="006877FC"/>
    <w:rsid w:val="0068780C"/>
    <w:rsid w:val="006878B4"/>
    <w:rsid w:val="00687A4E"/>
    <w:rsid w:val="00687BE1"/>
    <w:rsid w:val="00687F51"/>
    <w:rsid w:val="006902AC"/>
    <w:rsid w:val="006903B9"/>
    <w:rsid w:val="0069062E"/>
    <w:rsid w:val="006907E1"/>
    <w:rsid w:val="0069080E"/>
    <w:rsid w:val="0069083F"/>
    <w:rsid w:val="0069090A"/>
    <w:rsid w:val="00690984"/>
    <w:rsid w:val="00690D1E"/>
    <w:rsid w:val="00690D4E"/>
    <w:rsid w:val="00690E3A"/>
    <w:rsid w:val="00691459"/>
    <w:rsid w:val="0069146A"/>
    <w:rsid w:val="00691535"/>
    <w:rsid w:val="0069154E"/>
    <w:rsid w:val="00691BD0"/>
    <w:rsid w:val="00691C42"/>
    <w:rsid w:val="00691C8B"/>
    <w:rsid w:val="00691D20"/>
    <w:rsid w:val="00691DEC"/>
    <w:rsid w:val="00691E7A"/>
    <w:rsid w:val="00691F83"/>
    <w:rsid w:val="00691FE9"/>
    <w:rsid w:val="00692091"/>
    <w:rsid w:val="006920CC"/>
    <w:rsid w:val="0069217F"/>
    <w:rsid w:val="0069228D"/>
    <w:rsid w:val="00692375"/>
    <w:rsid w:val="0069249C"/>
    <w:rsid w:val="006924B5"/>
    <w:rsid w:val="00692593"/>
    <w:rsid w:val="0069273E"/>
    <w:rsid w:val="006928C7"/>
    <w:rsid w:val="0069291D"/>
    <w:rsid w:val="00692A3B"/>
    <w:rsid w:val="00692D85"/>
    <w:rsid w:val="00693180"/>
    <w:rsid w:val="00693188"/>
    <w:rsid w:val="006932D6"/>
    <w:rsid w:val="006933EB"/>
    <w:rsid w:val="006935EF"/>
    <w:rsid w:val="00693616"/>
    <w:rsid w:val="006937E6"/>
    <w:rsid w:val="00693803"/>
    <w:rsid w:val="006938CC"/>
    <w:rsid w:val="006938D7"/>
    <w:rsid w:val="00693D1F"/>
    <w:rsid w:val="00693DDD"/>
    <w:rsid w:val="00693E59"/>
    <w:rsid w:val="00693F63"/>
    <w:rsid w:val="00694017"/>
    <w:rsid w:val="006940CF"/>
    <w:rsid w:val="006940E6"/>
    <w:rsid w:val="0069410E"/>
    <w:rsid w:val="00694193"/>
    <w:rsid w:val="0069419B"/>
    <w:rsid w:val="006942F8"/>
    <w:rsid w:val="006943AC"/>
    <w:rsid w:val="00694AC8"/>
    <w:rsid w:val="00694C44"/>
    <w:rsid w:val="00694CCB"/>
    <w:rsid w:val="00694D4B"/>
    <w:rsid w:val="006952BE"/>
    <w:rsid w:val="00695357"/>
    <w:rsid w:val="00695393"/>
    <w:rsid w:val="0069576E"/>
    <w:rsid w:val="00695796"/>
    <w:rsid w:val="0069586D"/>
    <w:rsid w:val="006958F4"/>
    <w:rsid w:val="0069593A"/>
    <w:rsid w:val="00695B1C"/>
    <w:rsid w:val="00695DB9"/>
    <w:rsid w:val="00695E9F"/>
    <w:rsid w:val="00695F8F"/>
    <w:rsid w:val="00695FEE"/>
    <w:rsid w:val="006960A0"/>
    <w:rsid w:val="00696194"/>
    <w:rsid w:val="00696237"/>
    <w:rsid w:val="00696251"/>
    <w:rsid w:val="00696273"/>
    <w:rsid w:val="006964D2"/>
    <w:rsid w:val="00696566"/>
    <w:rsid w:val="006965F0"/>
    <w:rsid w:val="006966EA"/>
    <w:rsid w:val="0069682B"/>
    <w:rsid w:val="006968A6"/>
    <w:rsid w:val="0069694E"/>
    <w:rsid w:val="00696A1E"/>
    <w:rsid w:val="00696BFC"/>
    <w:rsid w:val="00696CFE"/>
    <w:rsid w:val="00696D0A"/>
    <w:rsid w:val="00696D91"/>
    <w:rsid w:val="00696FBF"/>
    <w:rsid w:val="00696FEB"/>
    <w:rsid w:val="00697088"/>
    <w:rsid w:val="006970FD"/>
    <w:rsid w:val="00697183"/>
    <w:rsid w:val="006971DA"/>
    <w:rsid w:val="00697303"/>
    <w:rsid w:val="0069749F"/>
    <w:rsid w:val="006976A3"/>
    <w:rsid w:val="0069770C"/>
    <w:rsid w:val="00697A95"/>
    <w:rsid w:val="00697BE4"/>
    <w:rsid w:val="00697D5E"/>
    <w:rsid w:val="00697EB3"/>
    <w:rsid w:val="00697F0A"/>
    <w:rsid w:val="006A004A"/>
    <w:rsid w:val="006A0123"/>
    <w:rsid w:val="006A0143"/>
    <w:rsid w:val="006A03C2"/>
    <w:rsid w:val="006A03DF"/>
    <w:rsid w:val="006A05C3"/>
    <w:rsid w:val="006A074C"/>
    <w:rsid w:val="006A0A88"/>
    <w:rsid w:val="006A0C46"/>
    <w:rsid w:val="006A0C6B"/>
    <w:rsid w:val="006A0D14"/>
    <w:rsid w:val="006A0D7B"/>
    <w:rsid w:val="006A0F6A"/>
    <w:rsid w:val="006A10C0"/>
    <w:rsid w:val="006A1256"/>
    <w:rsid w:val="006A17E1"/>
    <w:rsid w:val="006A17E4"/>
    <w:rsid w:val="006A183D"/>
    <w:rsid w:val="006A1987"/>
    <w:rsid w:val="006A1ADE"/>
    <w:rsid w:val="006A1B04"/>
    <w:rsid w:val="006A1BC0"/>
    <w:rsid w:val="006A1C2F"/>
    <w:rsid w:val="006A1F27"/>
    <w:rsid w:val="006A200F"/>
    <w:rsid w:val="006A2268"/>
    <w:rsid w:val="006A2385"/>
    <w:rsid w:val="006A2407"/>
    <w:rsid w:val="006A274B"/>
    <w:rsid w:val="006A2750"/>
    <w:rsid w:val="006A285C"/>
    <w:rsid w:val="006A2891"/>
    <w:rsid w:val="006A28D2"/>
    <w:rsid w:val="006A28F5"/>
    <w:rsid w:val="006A2956"/>
    <w:rsid w:val="006A29AF"/>
    <w:rsid w:val="006A2BE9"/>
    <w:rsid w:val="006A2CA5"/>
    <w:rsid w:val="006A2D8E"/>
    <w:rsid w:val="006A2EE0"/>
    <w:rsid w:val="006A30A8"/>
    <w:rsid w:val="006A3299"/>
    <w:rsid w:val="006A330C"/>
    <w:rsid w:val="006A33B4"/>
    <w:rsid w:val="006A3477"/>
    <w:rsid w:val="006A3480"/>
    <w:rsid w:val="006A362A"/>
    <w:rsid w:val="006A364C"/>
    <w:rsid w:val="006A3711"/>
    <w:rsid w:val="006A3AA3"/>
    <w:rsid w:val="006A3BCA"/>
    <w:rsid w:val="006A3D55"/>
    <w:rsid w:val="006A3EC2"/>
    <w:rsid w:val="006A42FF"/>
    <w:rsid w:val="006A43CF"/>
    <w:rsid w:val="006A442A"/>
    <w:rsid w:val="006A45D4"/>
    <w:rsid w:val="006A473D"/>
    <w:rsid w:val="006A47D3"/>
    <w:rsid w:val="006A482A"/>
    <w:rsid w:val="006A4871"/>
    <w:rsid w:val="006A495D"/>
    <w:rsid w:val="006A4A22"/>
    <w:rsid w:val="006A4A35"/>
    <w:rsid w:val="006A4A5A"/>
    <w:rsid w:val="006A4B47"/>
    <w:rsid w:val="006A4BCF"/>
    <w:rsid w:val="006A4BD3"/>
    <w:rsid w:val="006A4C99"/>
    <w:rsid w:val="006A50B1"/>
    <w:rsid w:val="006A515E"/>
    <w:rsid w:val="006A54A8"/>
    <w:rsid w:val="006A5622"/>
    <w:rsid w:val="006A5724"/>
    <w:rsid w:val="006A57E2"/>
    <w:rsid w:val="006A58BB"/>
    <w:rsid w:val="006A59A8"/>
    <w:rsid w:val="006A5B29"/>
    <w:rsid w:val="006A5C1E"/>
    <w:rsid w:val="006A5CC0"/>
    <w:rsid w:val="006A5CF5"/>
    <w:rsid w:val="006A5D35"/>
    <w:rsid w:val="006A6040"/>
    <w:rsid w:val="006A6084"/>
    <w:rsid w:val="006A67F5"/>
    <w:rsid w:val="006A682B"/>
    <w:rsid w:val="006A6AE2"/>
    <w:rsid w:val="006A6B70"/>
    <w:rsid w:val="006A6DE3"/>
    <w:rsid w:val="006A6F8F"/>
    <w:rsid w:val="006A6FC6"/>
    <w:rsid w:val="006A7130"/>
    <w:rsid w:val="006A7173"/>
    <w:rsid w:val="006A71AA"/>
    <w:rsid w:val="006A7530"/>
    <w:rsid w:val="006A7560"/>
    <w:rsid w:val="006A7689"/>
    <w:rsid w:val="006A76C4"/>
    <w:rsid w:val="006A76CB"/>
    <w:rsid w:val="006A774B"/>
    <w:rsid w:val="006A7796"/>
    <w:rsid w:val="006A78D0"/>
    <w:rsid w:val="006A796C"/>
    <w:rsid w:val="006A799D"/>
    <w:rsid w:val="006A7AD0"/>
    <w:rsid w:val="006B0074"/>
    <w:rsid w:val="006B007C"/>
    <w:rsid w:val="006B0127"/>
    <w:rsid w:val="006B0240"/>
    <w:rsid w:val="006B0320"/>
    <w:rsid w:val="006B04E8"/>
    <w:rsid w:val="006B0648"/>
    <w:rsid w:val="006B06F0"/>
    <w:rsid w:val="006B08DD"/>
    <w:rsid w:val="006B0ACD"/>
    <w:rsid w:val="006B0CED"/>
    <w:rsid w:val="006B0D72"/>
    <w:rsid w:val="006B0E27"/>
    <w:rsid w:val="006B124A"/>
    <w:rsid w:val="006B1302"/>
    <w:rsid w:val="006B1333"/>
    <w:rsid w:val="006B1437"/>
    <w:rsid w:val="006B1499"/>
    <w:rsid w:val="006B1543"/>
    <w:rsid w:val="006B16CD"/>
    <w:rsid w:val="006B182A"/>
    <w:rsid w:val="006B1847"/>
    <w:rsid w:val="006B18F2"/>
    <w:rsid w:val="006B1987"/>
    <w:rsid w:val="006B199C"/>
    <w:rsid w:val="006B19BA"/>
    <w:rsid w:val="006B1AF6"/>
    <w:rsid w:val="006B1B4B"/>
    <w:rsid w:val="006B1D17"/>
    <w:rsid w:val="006B20B4"/>
    <w:rsid w:val="006B229A"/>
    <w:rsid w:val="006B24B1"/>
    <w:rsid w:val="006B254C"/>
    <w:rsid w:val="006B25F3"/>
    <w:rsid w:val="006B2A55"/>
    <w:rsid w:val="006B2A5A"/>
    <w:rsid w:val="006B2AD0"/>
    <w:rsid w:val="006B2B99"/>
    <w:rsid w:val="006B2C34"/>
    <w:rsid w:val="006B2D6A"/>
    <w:rsid w:val="006B2E6F"/>
    <w:rsid w:val="006B3079"/>
    <w:rsid w:val="006B34F1"/>
    <w:rsid w:val="006B35C3"/>
    <w:rsid w:val="006B364C"/>
    <w:rsid w:val="006B3760"/>
    <w:rsid w:val="006B377B"/>
    <w:rsid w:val="006B38DF"/>
    <w:rsid w:val="006B39F4"/>
    <w:rsid w:val="006B3B4F"/>
    <w:rsid w:val="006B3D1F"/>
    <w:rsid w:val="006B3F10"/>
    <w:rsid w:val="006B42F2"/>
    <w:rsid w:val="006B436F"/>
    <w:rsid w:val="006B4433"/>
    <w:rsid w:val="006B4488"/>
    <w:rsid w:val="006B4645"/>
    <w:rsid w:val="006B475A"/>
    <w:rsid w:val="006B4809"/>
    <w:rsid w:val="006B4901"/>
    <w:rsid w:val="006B493C"/>
    <w:rsid w:val="006B4B9E"/>
    <w:rsid w:val="006B4D5D"/>
    <w:rsid w:val="006B4DB5"/>
    <w:rsid w:val="006B4E2A"/>
    <w:rsid w:val="006B4E2F"/>
    <w:rsid w:val="006B4F6C"/>
    <w:rsid w:val="006B50C3"/>
    <w:rsid w:val="006B5200"/>
    <w:rsid w:val="006B52A9"/>
    <w:rsid w:val="006B5487"/>
    <w:rsid w:val="006B5576"/>
    <w:rsid w:val="006B56E0"/>
    <w:rsid w:val="006B57F4"/>
    <w:rsid w:val="006B5A75"/>
    <w:rsid w:val="006B5ADE"/>
    <w:rsid w:val="006B5B3D"/>
    <w:rsid w:val="006B5BCC"/>
    <w:rsid w:val="006B5E7C"/>
    <w:rsid w:val="006B624A"/>
    <w:rsid w:val="006B62CE"/>
    <w:rsid w:val="006B644F"/>
    <w:rsid w:val="006B6775"/>
    <w:rsid w:val="006B6A1C"/>
    <w:rsid w:val="006B6AB9"/>
    <w:rsid w:val="006B6B63"/>
    <w:rsid w:val="006B6D2A"/>
    <w:rsid w:val="006B6D6C"/>
    <w:rsid w:val="006B6D90"/>
    <w:rsid w:val="006B6FC9"/>
    <w:rsid w:val="006B7068"/>
    <w:rsid w:val="006B7108"/>
    <w:rsid w:val="006B7227"/>
    <w:rsid w:val="006B72E2"/>
    <w:rsid w:val="006B7482"/>
    <w:rsid w:val="006B755C"/>
    <w:rsid w:val="006B75AA"/>
    <w:rsid w:val="006B7747"/>
    <w:rsid w:val="006B7922"/>
    <w:rsid w:val="006B798F"/>
    <w:rsid w:val="006B7AD3"/>
    <w:rsid w:val="006B7D49"/>
    <w:rsid w:val="006B7F31"/>
    <w:rsid w:val="006B7FDB"/>
    <w:rsid w:val="006C036D"/>
    <w:rsid w:val="006C0470"/>
    <w:rsid w:val="006C07C3"/>
    <w:rsid w:val="006C0BC0"/>
    <w:rsid w:val="006C0C8C"/>
    <w:rsid w:val="006C0D55"/>
    <w:rsid w:val="006C103B"/>
    <w:rsid w:val="006C118A"/>
    <w:rsid w:val="006C11C1"/>
    <w:rsid w:val="006C11C8"/>
    <w:rsid w:val="006C1316"/>
    <w:rsid w:val="006C145A"/>
    <w:rsid w:val="006C1485"/>
    <w:rsid w:val="006C1504"/>
    <w:rsid w:val="006C15A9"/>
    <w:rsid w:val="006C15AD"/>
    <w:rsid w:val="006C16CF"/>
    <w:rsid w:val="006C16D1"/>
    <w:rsid w:val="006C1703"/>
    <w:rsid w:val="006C177A"/>
    <w:rsid w:val="006C183A"/>
    <w:rsid w:val="006C194A"/>
    <w:rsid w:val="006C1B69"/>
    <w:rsid w:val="006C1DA8"/>
    <w:rsid w:val="006C1DD7"/>
    <w:rsid w:val="006C1E39"/>
    <w:rsid w:val="006C1E56"/>
    <w:rsid w:val="006C1EA5"/>
    <w:rsid w:val="006C1FB5"/>
    <w:rsid w:val="006C20FF"/>
    <w:rsid w:val="006C21AE"/>
    <w:rsid w:val="006C2321"/>
    <w:rsid w:val="006C2691"/>
    <w:rsid w:val="006C2725"/>
    <w:rsid w:val="006C2785"/>
    <w:rsid w:val="006C2843"/>
    <w:rsid w:val="006C2966"/>
    <w:rsid w:val="006C29CF"/>
    <w:rsid w:val="006C2AF8"/>
    <w:rsid w:val="006C2B91"/>
    <w:rsid w:val="006C2D33"/>
    <w:rsid w:val="006C2EAA"/>
    <w:rsid w:val="006C31B1"/>
    <w:rsid w:val="006C32BB"/>
    <w:rsid w:val="006C3310"/>
    <w:rsid w:val="006C3354"/>
    <w:rsid w:val="006C3391"/>
    <w:rsid w:val="006C34D4"/>
    <w:rsid w:val="006C36BD"/>
    <w:rsid w:val="006C39ED"/>
    <w:rsid w:val="006C3D98"/>
    <w:rsid w:val="006C3EDF"/>
    <w:rsid w:val="006C3FBD"/>
    <w:rsid w:val="006C423E"/>
    <w:rsid w:val="006C4444"/>
    <w:rsid w:val="006C4688"/>
    <w:rsid w:val="006C4698"/>
    <w:rsid w:val="006C46BE"/>
    <w:rsid w:val="006C481D"/>
    <w:rsid w:val="006C482D"/>
    <w:rsid w:val="006C49CE"/>
    <w:rsid w:val="006C49EE"/>
    <w:rsid w:val="006C4A55"/>
    <w:rsid w:val="006C4AA0"/>
    <w:rsid w:val="006C4ADF"/>
    <w:rsid w:val="006C4CF6"/>
    <w:rsid w:val="006C5130"/>
    <w:rsid w:val="006C51E6"/>
    <w:rsid w:val="006C5289"/>
    <w:rsid w:val="006C5356"/>
    <w:rsid w:val="006C54C3"/>
    <w:rsid w:val="006C54EB"/>
    <w:rsid w:val="006C5A31"/>
    <w:rsid w:val="006C5BA7"/>
    <w:rsid w:val="006C5BE8"/>
    <w:rsid w:val="006C5C48"/>
    <w:rsid w:val="006C5FD8"/>
    <w:rsid w:val="006C605F"/>
    <w:rsid w:val="006C61B4"/>
    <w:rsid w:val="006C65EC"/>
    <w:rsid w:val="006C66A9"/>
    <w:rsid w:val="006C66CF"/>
    <w:rsid w:val="006C683B"/>
    <w:rsid w:val="006C69EC"/>
    <w:rsid w:val="006C6AE1"/>
    <w:rsid w:val="006C6F55"/>
    <w:rsid w:val="006C6FDC"/>
    <w:rsid w:val="006C6FFE"/>
    <w:rsid w:val="006C732B"/>
    <w:rsid w:val="006C7521"/>
    <w:rsid w:val="006C75A0"/>
    <w:rsid w:val="006C75BD"/>
    <w:rsid w:val="006C7856"/>
    <w:rsid w:val="006C7BA0"/>
    <w:rsid w:val="006C7BF4"/>
    <w:rsid w:val="006C7CA1"/>
    <w:rsid w:val="006C7DF8"/>
    <w:rsid w:val="006C7E98"/>
    <w:rsid w:val="006C7EFE"/>
    <w:rsid w:val="006D0058"/>
    <w:rsid w:val="006D009B"/>
    <w:rsid w:val="006D019C"/>
    <w:rsid w:val="006D02D7"/>
    <w:rsid w:val="006D0320"/>
    <w:rsid w:val="006D06D1"/>
    <w:rsid w:val="006D0751"/>
    <w:rsid w:val="006D08AA"/>
    <w:rsid w:val="006D0936"/>
    <w:rsid w:val="006D0941"/>
    <w:rsid w:val="006D0C12"/>
    <w:rsid w:val="006D0C57"/>
    <w:rsid w:val="006D0C62"/>
    <w:rsid w:val="006D0E04"/>
    <w:rsid w:val="006D0F5F"/>
    <w:rsid w:val="006D10E6"/>
    <w:rsid w:val="006D12DC"/>
    <w:rsid w:val="006D13FF"/>
    <w:rsid w:val="006D1609"/>
    <w:rsid w:val="006D181B"/>
    <w:rsid w:val="006D18BB"/>
    <w:rsid w:val="006D1A6A"/>
    <w:rsid w:val="006D1B47"/>
    <w:rsid w:val="006D1E97"/>
    <w:rsid w:val="006D1F59"/>
    <w:rsid w:val="006D2108"/>
    <w:rsid w:val="006D21BB"/>
    <w:rsid w:val="006D2249"/>
    <w:rsid w:val="006D22FE"/>
    <w:rsid w:val="006D24A0"/>
    <w:rsid w:val="006D25EE"/>
    <w:rsid w:val="006D25F4"/>
    <w:rsid w:val="006D266F"/>
    <w:rsid w:val="006D2735"/>
    <w:rsid w:val="006D276A"/>
    <w:rsid w:val="006D28F4"/>
    <w:rsid w:val="006D29F0"/>
    <w:rsid w:val="006D2B4E"/>
    <w:rsid w:val="006D2BE8"/>
    <w:rsid w:val="006D2BE9"/>
    <w:rsid w:val="006D2DBB"/>
    <w:rsid w:val="006D2DE5"/>
    <w:rsid w:val="006D3058"/>
    <w:rsid w:val="006D329F"/>
    <w:rsid w:val="006D3497"/>
    <w:rsid w:val="006D34B4"/>
    <w:rsid w:val="006D351B"/>
    <w:rsid w:val="006D37B4"/>
    <w:rsid w:val="006D38A0"/>
    <w:rsid w:val="006D39DE"/>
    <w:rsid w:val="006D3AA0"/>
    <w:rsid w:val="006D3CD2"/>
    <w:rsid w:val="006D3D27"/>
    <w:rsid w:val="006D3E83"/>
    <w:rsid w:val="006D3F48"/>
    <w:rsid w:val="006D3FD8"/>
    <w:rsid w:val="006D4016"/>
    <w:rsid w:val="006D417B"/>
    <w:rsid w:val="006D434E"/>
    <w:rsid w:val="006D4368"/>
    <w:rsid w:val="006D4386"/>
    <w:rsid w:val="006D46FD"/>
    <w:rsid w:val="006D4722"/>
    <w:rsid w:val="006D47BD"/>
    <w:rsid w:val="006D4842"/>
    <w:rsid w:val="006D4904"/>
    <w:rsid w:val="006D4D4E"/>
    <w:rsid w:val="006D4E02"/>
    <w:rsid w:val="006D4E4F"/>
    <w:rsid w:val="006D4FBB"/>
    <w:rsid w:val="006D50C0"/>
    <w:rsid w:val="006D5182"/>
    <w:rsid w:val="006D5259"/>
    <w:rsid w:val="006D5271"/>
    <w:rsid w:val="006D5384"/>
    <w:rsid w:val="006D567B"/>
    <w:rsid w:val="006D58BA"/>
    <w:rsid w:val="006D5914"/>
    <w:rsid w:val="006D5A82"/>
    <w:rsid w:val="006D60E1"/>
    <w:rsid w:val="006D610F"/>
    <w:rsid w:val="006D6171"/>
    <w:rsid w:val="006D6352"/>
    <w:rsid w:val="006D635D"/>
    <w:rsid w:val="006D637B"/>
    <w:rsid w:val="006D6713"/>
    <w:rsid w:val="006D6906"/>
    <w:rsid w:val="006D693C"/>
    <w:rsid w:val="006D6A64"/>
    <w:rsid w:val="006D6CE5"/>
    <w:rsid w:val="006D6CEC"/>
    <w:rsid w:val="006D6E29"/>
    <w:rsid w:val="006D6E91"/>
    <w:rsid w:val="006D6FD6"/>
    <w:rsid w:val="006D70E1"/>
    <w:rsid w:val="006D70EE"/>
    <w:rsid w:val="006D710D"/>
    <w:rsid w:val="006D7154"/>
    <w:rsid w:val="006D7384"/>
    <w:rsid w:val="006D7455"/>
    <w:rsid w:val="006D74AC"/>
    <w:rsid w:val="006D74CF"/>
    <w:rsid w:val="006D7550"/>
    <w:rsid w:val="006D7925"/>
    <w:rsid w:val="006D7A81"/>
    <w:rsid w:val="006D7AE1"/>
    <w:rsid w:val="006D7BE0"/>
    <w:rsid w:val="006D7DB4"/>
    <w:rsid w:val="006D7DE7"/>
    <w:rsid w:val="006D7E05"/>
    <w:rsid w:val="006D7E3D"/>
    <w:rsid w:val="006E00A8"/>
    <w:rsid w:val="006E0378"/>
    <w:rsid w:val="006E03B5"/>
    <w:rsid w:val="006E03E8"/>
    <w:rsid w:val="006E0412"/>
    <w:rsid w:val="006E05C9"/>
    <w:rsid w:val="006E061D"/>
    <w:rsid w:val="006E0890"/>
    <w:rsid w:val="006E08D3"/>
    <w:rsid w:val="006E08D6"/>
    <w:rsid w:val="006E08D7"/>
    <w:rsid w:val="006E09DC"/>
    <w:rsid w:val="006E0A04"/>
    <w:rsid w:val="006E0A07"/>
    <w:rsid w:val="006E0A25"/>
    <w:rsid w:val="006E0A87"/>
    <w:rsid w:val="006E0C52"/>
    <w:rsid w:val="006E0CF1"/>
    <w:rsid w:val="006E0F3F"/>
    <w:rsid w:val="006E1140"/>
    <w:rsid w:val="006E11A9"/>
    <w:rsid w:val="006E125C"/>
    <w:rsid w:val="006E132A"/>
    <w:rsid w:val="006E14CE"/>
    <w:rsid w:val="006E1541"/>
    <w:rsid w:val="006E1792"/>
    <w:rsid w:val="006E1807"/>
    <w:rsid w:val="006E19FB"/>
    <w:rsid w:val="006E1A89"/>
    <w:rsid w:val="006E21D2"/>
    <w:rsid w:val="006E2211"/>
    <w:rsid w:val="006E2369"/>
    <w:rsid w:val="006E24F0"/>
    <w:rsid w:val="006E26E1"/>
    <w:rsid w:val="006E274D"/>
    <w:rsid w:val="006E2954"/>
    <w:rsid w:val="006E2B23"/>
    <w:rsid w:val="006E2BE6"/>
    <w:rsid w:val="006E2C7E"/>
    <w:rsid w:val="006E2CFC"/>
    <w:rsid w:val="006E2D18"/>
    <w:rsid w:val="006E2D65"/>
    <w:rsid w:val="006E2DA5"/>
    <w:rsid w:val="006E31ED"/>
    <w:rsid w:val="006E32ED"/>
    <w:rsid w:val="006E337A"/>
    <w:rsid w:val="006E3430"/>
    <w:rsid w:val="006E3445"/>
    <w:rsid w:val="006E3509"/>
    <w:rsid w:val="006E35B7"/>
    <w:rsid w:val="006E3701"/>
    <w:rsid w:val="006E37C7"/>
    <w:rsid w:val="006E392C"/>
    <w:rsid w:val="006E39FE"/>
    <w:rsid w:val="006E3C01"/>
    <w:rsid w:val="006E3FE6"/>
    <w:rsid w:val="006E414C"/>
    <w:rsid w:val="006E41B5"/>
    <w:rsid w:val="006E42ED"/>
    <w:rsid w:val="006E4608"/>
    <w:rsid w:val="006E4844"/>
    <w:rsid w:val="006E4A53"/>
    <w:rsid w:val="006E4C88"/>
    <w:rsid w:val="006E4EFA"/>
    <w:rsid w:val="006E4F7B"/>
    <w:rsid w:val="006E5209"/>
    <w:rsid w:val="006E5841"/>
    <w:rsid w:val="006E5857"/>
    <w:rsid w:val="006E59DE"/>
    <w:rsid w:val="006E5B17"/>
    <w:rsid w:val="006E5D25"/>
    <w:rsid w:val="006E5D55"/>
    <w:rsid w:val="006E60C9"/>
    <w:rsid w:val="006E6231"/>
    <w:rsid w:val="006E623F"/>
    <w:rsid w:val="006E6387"/>
    <w:rsid w:val="006E63AD"/>
    <w:rsid w:val="006E63EA"/>
    <w:rsid w:val="006E64DD"/>
    <w:rsid w:val="006E660A"/>
    <w:rsid w:val="006E6666"/>
    <w:rsid w:val="006E6780"/>
    <w:rsid w:val="006E6992"/>
    <w:rsid w:val="006E6AC5"/>
    <w:rsid w:val="006E6B5F"/>
    <w:rsid w:val="006E6BBC"/>
    <w:rsid w:val="006E6BF6"/>
    <w:rsid w:val="006E6CBC"/>
    <w:rsid w:val="006E6E40"/>
    <w:rsid w:val="006E7204"/>
    <w:rsid w:val="006E7245"/>
    <w:rsid w:val="006E7362"/>
    <w:rsid w:val="006E7492"/>
    <w:rsid w:val="006E7637"/>
    <w:rsid w:val="006E764F"/>
    <w:rsid w:val="006E76A9"/>
    <w:rsid w:val="006E7727"/>
    <w:rsid w:val="006E7746"/>
    <w:rsid w:val="006E7B62"/>
    <w:rsid w:val="006E7B75"/>
    <w:rsid w:val="006E7C3A"/>
    <w:rsid w:val="006E7F9B"/>
    <w:rsid w:val="006F00D9"/>
    <w:rsid w:val="006F014C"/>
    <w:rsid w:val="006F02BB"/>
    <w:rsid w:val="006F07C0"/>
    <w:rsid w:val="006F094A"/>
    <w:rsid w:val="006F0AD7"/>
    <w:rsid w:val="006F0D4E"/>
    <w:rsid w:val="006F1054"/>
    <w:rsid w:val="006F1149"/>
    <w:rsid w:val="006F1215"/>
    <w:rsid w:val="006F121E"/>
    <w:rsid w:val="006F133C"/>
    <w:rsid w:val="006F137A"/>
    <w:rsid w:val="006F1392"/>
    <w:rsid w:val="006F1494"/>
    <w:rsid w:val="006F18DB"/>
    <w:rsid w:val="006F195F"/>
    <w:rsid w:val="006F198A"/>
    <w:rsid w:val="006F1AC0"/>
    <w:rsid w:val="006F1BB2"/>
    <w:rsid w:val="006F1BF3"/>
    <w:rsid w:val="006F1D00"/>
    <w:rsid w:val="006F1D90"/>
    <w:rsid w:val="006F1E61"/>
    <w:rsid w:val="006F1EB7"/>
    <w:rsid w:val="006F1FE4"/>
    <w:rsid w:val="006F207C"/>
    <w:rsid w:val="006F2090"/>
    <w:rsid w:val="006F21BE"/>
    <w:rsid w:val="006F2356"/>
    <w:rsid w:val="006F2412"/>
    <w:rsid w:val="006F2482"/>
    <w:rsid w:val="006F2919"/>
    <w:rsid w:val="006F2AE2"/>
    <w:rsid w:val="006F2B09"/>
    <w:rsid w:val="006F2BDB"/>
    <w:rsid w:val="006F2D46"/>
    <w:rsid w:val="006F2DDB"/>
    <w:rsid w:val="006F333A"/>
    <w:rsid w:val="006F3444"/>
    <w:rsid w:val="006F346F"/>
    <w:rsid w:val="006F349E"/>
    <w:rsid w:val="006F35C9"/>
    <w:rsid w:val="006F36F9"/>
    <w:rsid w:val="006F3821"/>
    <w:rsid w:val="006F3A5B"/>
    <w:rsid w:val="006F3A67"/>
    <w:rsid w:val="006F3A76"/>
    <w:rsid w:val="006F3A80"/>
    <w:rsid w:val="006F3C88"/>
    <w:rsid w:val="006F3EFF"/>
    <w:rsid w:val="006F3F28"/>
    <w:rsid w:val="006F4019"/>
    <w:rsid w:val="006F40E8"/>
    <w:rsid w:val="006F418B"/>
    <w:rsid w:val="006F420B"/>
    <w:rsid w:val="006F44C1"/>
    <w:rsid w:val="006F4664"/>
    <w:rsid w:val="006F473E"/>
    <w:rsid w:val="006F491C"/>
    <w:rsid w:val="006F4A71"/>
    <w:rsid w:val="006F4B03"/>
    <w:rsid w:val="006F4D58"/>
    <w:rsid w:val="006F4DF1"/>
    <w:rsid w:val="006F50F2"/>
    <w:rsid w:val="006F511B"/>
    <w:rsid w:val="006F5121"/>
    <w:rsid w:val="006F5336"/>
    <w:rsid w:val="006F53DB"/>
    <w:rsid w:val="006F5468"/>
    <w:rsid w:val="006F55F7"/>
    <w:rsid w:val="006F5BD3"/>
    <w:rsid w:val="006F5C6B"/>
    <w:rsid w:val="006F5FF3"/>
    <w:rsid w:val="006F6007"/>
    <w:rsid w:val="006F61BD"/>
    <w:rsid w:val="006F61D1"/>
    <w:rsid w:val="006F62A6"/>
    <w:rsid w:val="006F63F7"/>
    <w:rsid w:val="006F63F8"/>
    <w:rsid w:val="006F641E"/>
    <w:rsid w:val="006F64AD"/>
    <w:rsid w:val="006F66D8"/>
    <w:rsid w:val="006F673A"/>
    <w:rsid w:val="006F68CE"/>
    <w:rsid w:val="006F68E7"/>
    <w:rsid w:val="006F692B"/>
    <w:rsid w:val="006F6989"/>
    <w:rsid w:val="006F6CC3"/>
    <w:rsid w:val="006F6D5F"/>
    <w:rsid w:val="006F6E43"/>
    <w:rsid w:val="006F6EB4"/>
    <w:rsid w:val="006F7082"/>
    <w:rsid w:val="006F70A2"/>
    <w:rsid w:val="006F70B8"/>
    <w:rsid w:val="006F70FA"/>
    <w:rsid w:val="006F722B"/>
    <w:rsid w:val="006F7457"/>
    <w:rsid w:val="006F7468"/>
    <w:rsid w:val="006F7608"/>
    <w:rsid w:val="006F7847"/>
    <w:rsid w:val="006F7899"/>
    <w:rsid w:val="006F7B24"/>
    <w:rsid w:val="006F7BBA"/>
    <w:rsid w:val="006F7C0D"/>
    <w:rsid w:val="006F7D50"/>
    <w:rsid w:val="00700157"/>
    <w:rsid w:val="00700357"/>
    <w:rsid w:val="007004D2"/>
    <w:rsid w:val="007005CB"/>
    <w:rsid w:val="007006EA"/>
    <w:rsid w:val="007008CB"/>
    <w:rsid w:val="00700989"/>
    <w:rsid w:val="007009BA"/>
    <w:rsid w:val="00700D0B"/>
    <w:rsid w:val="00700E56"/>
    <w:rsid w:val="0070104F"/>
    <w:rsid w:val="007012D0"/>
    <w:rsid w:val="00701463"/>
    <w:rsid w:val="00701548"/>
    <w:rsid w:val="0070156D"/>
    <w:rsid w:val="0070156F"/>
    <w:rsid w:val="007015CC"/>
    <w:rsid w:val="00701B45"/>
    <w:rsid w:val="00701D21"/>
    <w:rsid w:val="00701E6F"/>
    <w:rsid w:val="00701EDD"/>
    <w:rsid w:val="00701EE2"/>
    <w:rsid w:val="0070206C"/>
    <w:rsid w:val="0070207E"/>
    <w:rsid w:val="007021A9"/>
    <w:rsid w:val="0070229A"/>
    <w:rsid w:val="007022F7"/>
    <w:rsid w:val="00702543"/>
    <w:rsid w:val="007026FD"/>
    <w:rsid w:val="00702726"/>
    <w:rsid w:val="0070278A"/>
    <w:rsid w:val="0070280F"/>
    <w:rsid w:val="0070291F"/>
    <w:rsid w:val="0070295B"/>
    <w:rsid w:val="007029F0"/>
    <w:rsid w:val="00702C18"/>
    <w:rsid w:val="00702C3F"/>
    <w:rsid w:val="00702C8D"/>
    <w:rsid w:val="00702D4A"/>
    <w:rsid w:val="0070303E"/>
    <w:rsid w:val="007030B9"/>
    <w:rsid w:val="007030C5"/>
    <w:rsid w:val="007030D2"/>
    <w:rsid w:val="007030D6"/>
    <w:rsid w:val="0070315B"/>
    <w:rsid w:val="0070324A"/>
    <w:rsid w:val="00703400"/>
    <w:rsid w:val="0070371A"/>
    <w:rsid w:val="00703916"/>
    <w:rsid w:val="0070395B"/>
    <w:rsid w:val="00703A9E"/>
    <w:rsid w:val="00703B69"/>
    <w:rsid w:val="00704046"/>
    <w:rsid w:val="007040CF"/>
    <w:rsid w:val="0070414B"/>
    <w:rsid w:val="00704309"/>
    <w:rsid w:val="00704459"/>
    <w:rsid w:val="0070454C"/>
    <w:rsid w:val="007045B6"/>
    <w:rsid w:val="007045CB"/>
    <w:rsid w:val="0070463A"/>
    <w:rsid w:val="00704715"/>
    <w:rsid w:val="00704D4A"/>
    <w:rsid w:val="00704D4F"/>
    <w:rsid w:val="00704E40"/>
    <w:rsid w:val="00704F8B"/>
    <w:rsid w:val="007050D7"/>
    <w:rsid w:val="00705126"/>
    <w:rsid w:val="0070528A"/>
    <w:rsid w:val="0070538D"/>
    <w:rsid w:val="007053FD"/>
    <w:rsid w:val="0070563D"/>
    <w:rsid w:val="00705A71"/>
    <w:rsid w:val="00705ACE"/>
    <w:rsid w:val="00705B09"/>
    <w:rsid w:val="00705C52"/>
    <w:rsid w:val="00705CB8"/>
    <w:rsid w:val="00705CD0"/>
    <w:rsid w:val="00705DD5"/>
    <w:rsid w:val="00706017"/>
    <w:rsid w:val="007060B8"/>
    <w:rsid w:val="0070624C"/>
    <w:rsid w:val="0070634C"/>
    <w:rsid w:val="0070637B"/>
    <w:rsid w:val="0070638E"/>
    <w:rsid w:val="007063B2"/>
    <w:rsid w:val="0070648F"/>
    <w:rsid w:val="00706579"/>
    <w:rsid w:val="0070674C"/>
    <w:rsid w:val="007067EF"/>
    <w:rsid w:val="00706918"/>
    <w:rsid w:val="0070693E"/>
    <w:rsid w:val="00706AE2"/>
    <w:rsid w:val="00706BD8"/>
    <w:rsid w:val="00706C86"/>
    <w:rsid w:val="00706DDD"/>
    <w:rsid w:val="0070704A"/>
    <w:rsid w:val="007070E3"/>
    <w:rsid w:val="00707421"/>
    <w:rsid w:val="007075F4"/>
    <w:rsid w:val="007077EF"/>
    <w:rsid w:val="00707848"/>
    <w:rsid w:val="00707920"/>
    <w:rsid w:val="00707979"/>
    <w:rsid w:val="00707AE0"/>
    <w:rsid w:val="00707D68"/>
    <w:rsid w:val="00707DCC"/>
    <w:rsid w:val="00707EB4"/>
    <w:rsid w:val="007100A4"/>
    <w:rsid w:val="00710109"/>
    <w:rsid w:val="00710303"/>
    <w:rsid w:val="0071034C"/>
    <w:rsid w:val="0071047B"/>
    <w:rsid w:val="007104B0"/>
    <w:rsid w:val="00710503"/>
    <w:rsid w:val="0071067B"/>
    <w:rsid w:val="0071068F"/>
    <w:rsid w:val="007106B4"/>
    <w:rsid w:val="00710834"/>
    <w:rsid w:val="0071090B"/>
    <w:rsid w:val="00710D4C"/>
    <w:rsid w:val="00710DE6"/>
    <w:rsid w:val="00710E10"/>
    <w:rsid w:val="00710E90"/>
    <w:rsid w:val="00711259"/>
    <w:rsid w:val="007114BE"/>
    <w:rsid w:val="007114E5"/>
    <w:rsid w:val="007115E1"/>
    <w:rsid w:val="00711601"/>
    <w:rsid w:val="0071182B"/>
    <w:rsid w:val="0071182D"/>
    <w:rsid w:val="00711ABF"/>
    <w:rsid w:val="00711BDC"/>
    <w:rsid w:val="00711E80"/>
    <w:rsid w:val="00712155"/>
    <w:rsid w:val="007121DE"/>
    <w:rsid w:val="00712233"/>
    <w:rsid w:val="007122EC"/>
    <w:rsid w:val="0071236D"/>
    <w:rsid w:val="0071253C"/>
    <w:rsid w:val="00712631"/>
    <w:rsid w:val="00712701"/>
    <w:rsid w:val="0071272A"/>
    <w:rsid w:val="00712AAC"/>
    <w:rsid w:val="00712B64"/>
    <w:rsid w:val="00712BEC"/>
    <w:rsid w:val="00712CE0"/>
    <w:rsid w:val="00712DA0"/>
    <w:rsid w:val="00712F04"/>
    <w:rsid w:val="00712F28"/>
    <w:rsid w:val="0071309D"/>
    <w:rsid w:val="007130C5"/>
    <w:rsid w:val="00713133"/>
    <w:rsid w:val="007131F0"/>
    <w:rsid w:val="007135BB"/>
    <w:rsid w:val="00713631"/>
    <w:rsid w:val="0071375A"/>
    <w:rsid w:val="00713835"/>
    <w:rsid w:val="00713D3C"/>
    <w:rsid w:val="00713D86"/>
    <w:rsid w:val="00713DD9"/>
    <w:rsid w:val="00714044"/>
    <w:rsid w:val="00714267"/>
    <w:rsid w:val="00714287"/>
    <w:rsid w:val="00714899"/>
    <w:rsid w:val="00714B1F"/>
    <w:rsid w:val="00714DA7"/>
    <w:rsid w:val="00715194"/>
    <w:rsid w:val="0071537A"/>
    <w:rsid w:val="007153C7"/>
    <w:rsid w:val="0071545B"/>
    <w:rsid w:val="0071552D"/>
    <w:rsid w:val="007155AC"/>
    <w:rsid w:val="00715873"/>
    <w:rsid w:val="00715931"/>
    <w:rsid w:val="00715B23"/>
    <w:rsid w:val="00715C7A"/>
    <w:rsid w:val="00715CAA"/>
    <w:rsid w:val="00715E8D"/>
    <w:rsid w:val="0071606A"/>
    <w:rsid w:val="00716122"/>
    <w:rsid w:val="00716439"/>
    <w:rsid w:val="00716495"/>
    <w:rsid w:val="00716505"/>
    <w:rsid w:val="00716708"/>
    <w:rsid w:val="0071678C"/>
    <w:rsid w:val="007167CB"/>
    <w:rsid w:val="00716854"/>
    <w:rsid w:val="00716871"/>
    <w:rsid w:val="007168E7"/>
    <w:rsid w:val="0071690E"/>
    <w:rsid w:val="007169BB"/>
    <w:rsid w:val="007169BF"/>
    <w:rsid w:val="00716A8F"/>
    <w:rsid w:val="00716A91"/>
    <w:rsid w:val="00716AF2"/>
    <w:rsid w:val="00716C1B"/>
    <w:rsid w:val="00716E51"/>
    <w:rsid w:val="00716E77"/>
    <w:rsid w:val="00716E94"/>
    <w:rsid w:val="00716F33"/>
    <w:rsid w:val="00716F91"/>
    <w:rsid w:val="00717260"/>
    <w:rsid w:val="0071738F"/>
    <w:rsid w:val="007173E0"/>
    <w:rsid w:val="00717503"/>
    <w:rsid w:val="0071752C"/>
    <w:rsid w:val="00717547"/>
    <w:rsid w:val="007175D3"/>
    <w:rsid w:val="00717650"/>
    <w:rsid w:val="007176BA"/>
    <w:rsid w:val="007176EE"/>
    <w:rsid w:val="007177D3"/>
    <w:rsid w:val="00717847"/>
    <w:rsid w:val="007178C9"/>
    <w:rsid w:val="007178E4"/>
    <w:rsid w:val="007179B1"/>
    <w:rsid w:val="00717A23"/>
    <w:rsid w:val="00717AEF"/>
    <w:rsid w:val="00717C0D"/>
    <w:rsid w:val="00717CF8"/>
    <w:rsid w:val="0072021E"/>
    <w:rsid w:val="007204E4"/>
    <w:rsid w:val="00720508"/>
    <w:rsid w:val="007205F2"/>
    <w:rsid w:val="00720781"/>
    <w:rsid w:val="007207EB"/>
    <w:rsid w:val="00720826"/>
    <w:rsid w:val="00720962"/>
    <w:rsid w:val="00720982"/>
    <w:rsid w:val="00720AEA"/>
    <w:rsid w:val="00720C73"/>
    <w:rsid w:val="00720D5E"/>
    <w:rsid w:val="00720D99"/>
    <w:rsid w:val="00720DD1"/>
    <w:rsid w:val="00720F7B"/>
    <w:rsid w:val="00720FC7"/>
    <w:rsid w:val="0072113F"/>
    <w:rsid w:val="00721544"/>
    <w:rsid w:val="007216A8"/>
    <w:rsid w:val="00721C66"/>
    <w:rsid w:val="00721E53"/>
    <w:rsid w:val="00721EA0"/>
    <w:rsid w:val="00721F20"/>
    <w:rsid w:val="00721F7B"/>
    <w:rsid w:val="00721F8B"/>
    <w:rsid w:val="00722167"/>
    <w:rsid w:val="007222CE"/>
    <w:rsid w:val="00722314"/>
    <w:rsid w:val="007226C1"/>
    <w:rsid w:val="0072290B"/>
    <w:rsid w:val="00722A80"/>
    <w:rsid w:val="00722A8A"/>
    <w:rsid w:val="00722AA3"/>
    <w:rsid w:val="00722AC0"/>
    <w:rsid w:val="00722D0B"/>
    <w:rsid w:val="00722DE8"/>
    <w:rsid w:val="00722EA4"/>
    <w:rsid w:val="00722ECA"/>
    <w:rsid w:val="007230EE"/>
    <w:rsid w:val="00723464"/>
    <w:rsid w:val="007234C5"/>
    <w:rsid w:val="007235CF"/>
    <w:rsid w:val="007236D5"/>
    <w:rsid w:val="00723706"/>
    <w:rsid w:val="00723710"/>
    <w:rsid w:val="00723756"/>
    <w:rsid w:val="007239A8"/>
    <w:rsid w:val="007239E6"/>
    <w:rsid w:val="00723BE3"/>
    <w:rsid w:val="00723D73"/>
    <w:rsid w:val="00723EF6"/>
    <w:rsid w:val="0072404D"/>
    <w:rsid w:val="00724302"/>
    <w:rsid w:val="007245AF"/>
    <w:rsid w:val="0072465B"/>
    <w:rsid w:val="007247E2"/>
    <w:rsid w:val="007248BA"/>
    <w:rsid w:val="00724940"/>
    <w:rsid w:val="0072494D"/>
    <w:rsid w:val="00724BA4"/>
    <w:rsid w:val="00724C6E"/>
    <w:rsid w:val="00724F42"/>
    <w:rsid w:val="0072538D"/>
    <w:rsid w:val="00725459"/>
    <w:rsid w:val="00725739"/>
    <w:rsid w:val="0072580A"/>
    <w:rsid w:val="0072588F"/>
    <w:rsid w:val="007258AD"/>
    <w:rsid w:val="0072591C"/>
    <w:rsid w:val="00725DDF"/>
    <w:rsid w:val="00726290"/>
    <w:rsid w:val="007264CA"/>
    <w:rsid w:val="0072651E"/>
    <w:rsid w:val="00726682"/>
    <w:rsid w:val="00726DA6"/>
    <w:rsid w:val="007270AF"/>
    <w:rsid w:val="007272A7"/>
    <w:rsid w:val="0072732B"/>
    <w:rsid w:val="00727718"/>
    <w:rsid w:val="00727AA0"/>
    <w:rsid w:val="00727BE4"/>
    <w:rsid w:val="00727C8E"/>
    <w:rsid w:val="00727D1E"/>
    <w:rsid w:val="00727F74"/>
    <w:rsid w:val="00727FFD"/>
    <w:rsid w:val="007300F5"/>
    <w:rsid w:val="00730208"/>
    <w:rsid w:val="007303FF"/>
    <w:rsid w:val="00730451"/>
    <w:rsid w:val="0073059C"/>
    <w:rsid w:val="007305B9"/>
    <w:rsid w:val="00730619"/>
    <w:rsid w:val="0073063C"/>
    <w:rsid w:val="007306A6"/>
    <w:rsid w:val="0073072D"/>
    <w:rsid w:val="00730889"/>
    <w:rsid w:val="0073090C"/>
    <w:rsid w:val="007309BA"/>
    <w:rsid w:val="00730E39"/>
    <w:rsid w:val="00730FD1"/>
    <w:rsid w:val="0073130F"/>
    <w:rsid w:val="007313A0"/>
    <w:rsid w:val="007318B3"/>
    <w:rsid w:val="00731982"/>
    <w:rsid w:val="00731A13"/>
    <w:rsid w:val="00731B3F"/>
    <w:rsid w:val="00731BEE"/>
    <w:rsid w:val="00731D43"/>
    <w:rsid w:val="00732206"/>
    <w:rsid w:val="00732277"/>
    <w:rsid w:val="007327EF"/>
    <w:rsid w:val="00732924"/>
    <w:rsid w:val="00732978"/>
    <w:rsid w:val="00732A89"/>
    <w:rsid w:val="00732ACA"/>
    <w:rsid w:val="00732CFF"/>
    <w:rsid w:val="00732F61"/>
    <w:rsid w:val="007330E9"/>
    <w:rsid w:val="007330F4"/>
    <w:rsid w:val="0073312C"/>
    <w:rsid w:val="00733142"/>
    <w:rsid w:val="007331AC"/>
    <w:rsid w:val="00733230"/>
    <w:rsid w:val="00733261"/>
    <w:rsid w:val="0073340C"/>
    <w:rsid w:val="007334C4"/>
    <w:rsid w:val="0073357A"/>
    <w:rsid w:val="0073367C"/>
    <w:rsid w:val="007336A8"/>
    <w:rsid w:val="0073371D"/>
    <w:rsid w:val="00733819"/>
    <w:rsid w:val="007338EB"/>
    <w:rsid w:val="00733938"/>
    <w:rsid w:val="00733955"/>
    <w:rsid w:val="00733CE9"/>
    <w:rsid w:val="00733EBE"/>
    <w:rsid w:val="0073401B"/>
    <w:rsid w:val="007344A5"/>
    <w:rsid w:val="00734541"/>
    <w:rsid w:val="007345C8"/>
    <w:rsid w:val="007348E4"/>
    <w:rsid w:val="007349A6"/>
    <w:rsid w:val="00734AC6"/>
    <w:rsid w:val="00734BEC"/>
    <w:rsid w:val="00734E34"/>
    <w:rsid w:val="007350E3"/>
    <w:rsid w:val="00735348"/>
    <w:rsid w:val="00735513"/>
    <w:rsid w:val="0073584C"/>
    <w:rsid w:val="00735D13"/>
    <w:rsid w:val="00735E5E"/>
    <w:rsid w:val="00735E6F"/>
    <w:rsid w:val="00735F9B"/>
    <w:rsid w:val="00735FA3"/>
    <w:rsid w:val="0073610C"/>
    <w:rsid w:val="00736209"/>
    <w:rsid w:val="007365FE"/>
    <w:rsid w:val="00736698"/>
    <w:rsid w:val="007369B7"/>
    <w:rsid w:val="00736AE2"/>
    <w:rsid w:val="00736CB3"/>
    <w:rsid w:val="00736D07"/>
    <w:rsid w:val="00736D5E"/>
    <w:rsid w:val="00736F64"/>
    <w:rsid w:val="00737017"/>
    <w:rsid w:val="00737318"/>
    <w:rsid w:val="00737366"/>
    <w:rsid w:val="00737649"/>
    <w:rsid w:val="007376F4"/>
    <w:rsid w:val="00737817"/>
    <w:rsid w:val="00737931"/>
    <w:rsid w:val="00737B32"/>
    <w:rsid w:val="00737C13"/>
    <w:rsid w:val="00737C46"/>
    <w:rsid w:val="00737DCB"/>
    <w:rsid w:val="00740060"/>
    <w:rsid w:val="00740174"/>
    <w:rsid w:val="007401C4"/>
    <w:rsid w:val="0074020A"/>
    <w:rsid w:val="00740290"/>
    <w:rsid w:val="00740439"/>
    <w:rsid w:val="007404DB"/>
    <w:rsid w:val="00740633"/>
    <w:rsid w:val="00740852"/>
    <w:rsid w:val="007409EA"/>
    <w:rsid w:val="00740AA2"/>
    <w:rsid w:val="00740ACC"/>
    <w:rsid w:val="00740BC8"/>
    <w:rsid w:val="00740C0E"/>
    <w:rsid w:val="00740CEE"/>
    <w:rsid w:val="00740DA7"/>
    <w:rsid w:val="00740DD5"/>
    <w:rsid w:val="00740DFE"/>
    <w:rsid w:val="007410A3"/>
    <w:rsid w:val="00741383"/>
    <w:rsid w:val="0074139B"/>
    <w:rsid w:val="007413A7"/>
    <w:rsid w:val="007414E6"/>
    <w:rsid w:val="007417F0"/>
    <w:rsid w:val="00741855"/>
    <w:rsid w:val="007418B9"/>
    <w:rsid w:val="00741997"/>
    <w:rsid w:val="007419F1"/>
    <w:rsid w:val="00741ABA"/>
    <w:rsid w:val="00741D5F"/>
    <w:rsid w:val="00741D95"/>
    <w:rsid w:val="00741EC9"/>
    <w:rsid w:val="00741ED1"/>
    <w:rsid w:val="00742156"/>
    <w:rsid w:val="007423C6"/>
    <w:rsid w:val="00742886"/>
    <w:rsid w:val="00742A5C"/>
    <w:rsid w:val="00742A94"/>
    <w:rsid w:val="00742FCC"/>
    <w:rsid w:val="007430F1"/>
    <w:rsid w:val="007431DA"/>
    <w:rsid w:val="00743209"/>
    <w:rsid w:val="00743278"/>
    <w:rsid w:val="007432BE"/>
    <w:rsid w:val="00743376"/>
    <w:rsid w:val="0074339E"/>
    <w:rsid w:val="0074385B"/>
    <w:rsid w:val="00743890"/>
    <w:rsid w:val="007438F7"/>
    <w:rsid w:val="007439D5"/>
    <w:rsid w:val="00743B00"/>
    <w:rsid w:val="00743C09"/>
    <w:rsid w:val="00743E4E"/>
    <w:rsid w:val="00743EAB"/>
    <w:rsid w:val="00744366"/>
    <w:rsid w:val="007445BE"/>
    <w:rsid w:val="00744852"/>
    <w:rsid w:val="0074489C"/>
    <w:rsid w:val="007449FE"/>
    <w:rsid w:val="00744CDA"/>
    <w:rsid w:val="00744D45"/>
    <w:rsid w:val="00744DBD"/>
    <w:rsid w:val="00744F20"/>
    <w:rsid w:val="00745003"/>
    <w:rsid w:val="007450B7"/>
    <w:rsid w:val="00745103"/>
    <w:rsid w:val="00745244"/>
    <w:rsid w:val="007452DE"/>
    <w:rsid w:val="00745370"/>
    <w:rsid w:val="0074537D"/>
    <w:rsid w:val="007454CD"/>
    <w:rsid w:val="007456F0"/>
    <w:rsid w:val="007457FE"/>
    <w:rsid w:val="0074587C"/>
    <w:rsid w:val="00745899"/>
    <w:rsid w:val="0074593C"/>
    <w:rsid w:val="00745B7C"/>
    <w:rsid w:val="00745C48"/>
    <w:rsid w:val="00745D66"/>
    <w:rsid w:val="00745DB6"/>
    <w:rsid w:val="00745F2D"/>
    <w:rsid w:val="00745F4E"/>
    <w:rsid w:val="007460BB"/>
    <w:rsid w:val="0074624B"/>
    <w:rsid w:val="0074625C"/>
    <w:rsid w:val="00746296"/>
    <w:rsid w:val="007463BE"/>
    <w:rsid w:val="007467BA"/>
    <w:rsid w:val="007467FE"/>
    <w:rsid w:val="007468FF"/>
    <w:rsid w:val="00746991"/>
    <w:rsid w:val="00746ACA"/>
    <w:rsid w:val="00746C1A"/>
    <w:rsid w:val="00746C65"/>
    <w:rsid w:val="00746DFA"/>
    <w:rsid w:val="00746E8B"/>
    <w:rsid w:val="00746F12"/>
    <w:rsid w:val="00746FEA"/>
    <w:rsid w:val="007470BF"/>
    <w:rsid w:val="007470FB"/>
    <w:rsid w:val="007472FF"/>
    <w:rsid w:val="0074731F"/>
    <w:rsid w:val="00747322"/>
    <w:rsid w:val="0074735B"/>
    <w:rsid w:val="007473E7"/>
    <w:rsid w:val="007475E3"/>
    <w:rsid w:val="007477E1"/>
    <w:rsid w:val="00747958"/>
    <w:rsid w:val="007479CF"/>
    <w:rsid w:val="00747A89"/>
    <w:rsid w:val="00747CF3"/>
    <w:rsid w:val="00747FAF"/>
    <w:rsid w:val="007506BE"/>
    <w:rsid w:val="0075073D"/>
    <w:rsid w:val="00750794"/>
    <w:rsid w:val="00750A00"/>
    <w:rsid w:val="00750A26"/>
    <w:rsid w:val="00750B9C"/>
    <w:rsid w:val="00750BBB"/>
    <w:rsid w:val="00750CD2"/>
    <w:rsid w:val="00750CDC"/>
    <w:rsid w:val="00750D28"/>
    <w:rsid w:val="007510DB"/>
    <w:rsid w:val="007511CE"/>
    <w:rsid w:val="007511FC"/>
    <w:rsid w:val="00751541"/>
    <w:rsid w:val="00751583"/>
    <w:rsid w:val="007516B3"/>
    <w:rsid w:val="0075183A"/>
    <w:rsid w:val="00751C6C"/>
    <w:rsid w:val="00751CD0"/>
    <w:rsid w:val="00751E43"/>
    <w:rsid w:val="00751EA6"/>
    <w:rsid w:val="00751EEB"/>
    <w:rsid w:val="00751FCA"/>
    <w:rsid w:val="007521CA"/>
    <w:rsid w:val="007521F1"/>
    <w:rsid w:val="007522DD"/>
    <w:rsid w:val="007523AF"/>
    <w:rsid w:val="007523EF"/>
    <w:rsid w:val="00752706"/>
    <w:rsid w:val="00752711"/>
    <w:rsid w:val="007527A9"/>
    <w:rsid w:val="00752806"/>
    <w:rsid w:val="00752807"/>
    <w:rsid w:val="0075298B"/>
    <w:rsid w:val="00752ADA"/>
    <w:rsid w:val="00752B94"/>
    <w:rsid w:val="00752BC6"/>
    <w:rsid w:val="00752E4F"/>
    <w:rsid w:val="00752F70"/>
    <w:rsid w:val="00752F8D"/>
    <w:rsid w:val="00752FD1"/>
    <w:rsid w:val="00753120"/>
    <w:rsid w:val="00753261"/>
    <w:rsid w:val="007532A1"/>
    <w:rsid w:val="007533AC"/>
    <w:rsid w:val="00753540"/>
    <w:rsid w:val="007535B1"/>
    <w:rsid w:val="007536F7"/>
    <w:rsid w:val="0075373F"/>
    <w:rsid w:val="00753851"/>
    <w:rsid w:val="00753960"/>
    <w:rsid w:val="00753AA1"/>
    <w:rsid w:val="00753D0B"/>
    <w:rsid w:val="00753FCA"/>
    <w:rsid w:val="0075419C"/>
    <w:rsid w:val="0075428D"/>
    <w:rsid w:val="0075432A"/>
    <w:rsid w:val="007543E3"/>
    <w:rsid w:val="00754449"/>
    <w:rsid w:val="0075476A"/>
    <w:rsid w:val="00754E91"/>
    <w:rsid w:val="00755038"/>
    <w:rsid w:val="00755514"/>
    <w:rsid w:val="0075564C"/>
    <w:rsid w:val="00755845"/>
    <w:rsid w:val="007559FE"/>
    <w:rsid w:val="00755AD0"/>
    <w:rsid w:val="00755BF8"/>
    <w:rsid w:val="00755C2F"/>
    <w:rsid w:val="00755F7E"/>
    <w:rsid w:val="0075605E"/>
    <w:rsid w:val="00756090"/>
    <w:rsid w:val="0075628D"/>
    <w:rsid w:val="007562E7"/>
    <w:rsid w:val="0075639C"/>
    <w:rsid w:val="00756404"/>
    <w:rsid w:val="0075641B"/>
    <w:rsid w:val="00756460"/>
    <w:rsid w:val="007564A5"/>
    <w:rsid w:val="007566FA"/>
    <w:rsid w:val="0075679F"/>
    <w:rsid w:val="007568A4"/>
    <w:rsid w:val="00756B59"/>
    <w:rsid w:val="00756CCF"/>
    <w:rsid w:val="00756D13"/>
    <w:rsid w:val="00756F09"/>
    <w:rsid w:val="00756F67"/>
    <w:rsid w:val="00756FAF"/>
    <w:rsid w:val="007571FB"/>
    <w:rsid w:val="00757245"/>
    <w:rsid w:val="007572A2"/>
    <w:rsid w:val="007573BC"/>
    <w:rsid w:val="007574F5"/>
    <w:rsid w:val="00757557"/>
    <w:rsid w:val="00757727"/>
    <w:rsid w:val="00757752"/>
    <w:rsid w:val="00757BD4"/>
    <w:rsid w:val="00757C40"/>
    <w:rsid w:val="00757E2F"/>
    <w:rsid w:val="00757F1E"/>
    <w:rsid w:val="00757F27"/>
    <w:rsid w:val="00757F39"/>
    <w:rsid w:val="0076010E"/>
    <w:rsid w:val="00760252"/>
    <w:rsid w:val="007602CE"/>
    <w:rsid w:val="0076039C"/>
    <w:rsid w:val="007603F4"/>
    <w:rsid w:val="00760422"/>
    <w:rsid w:val="0076076C"/>
    <w:rsid w:val="00760832"/>
    <w:rsid w:val="00760936"/>
    <w:rsid w:val="007609FB"/>
    <w:rsid w:val="00760DBA"/>
    <w:rsid w:val="00760E58"/>
    <w:rsid w:val="00760F14"/>
    <w:rsid w:val="00760FD4"/>
    <w:rsid w:val="00761051"/>
    <w:rsid w:val="0076127F"/>
    <w:rsid w:val="007613C9"/>
    <w:rsid w:val="00761577"/>
    <w:rsid w:val="007615B9"/>
    <w:rsid w:val="007617F5"/>
    <w:rsid w:val="007618CF"/>
    <w:rsid w:val="00761A6D"/>
    <w:rsid w:val="00761C65"/>
    <w:rsid w:val="00761C71"/>
    <w:rsid w:val="00761FE3"/>
    <w:rsid w:val="007620B2"/>
    <w:rsid w:val="007621B5"/>
    <w:rsid w:val="007621E3"/>
    <w:rsid w:val="00762234"/>
    <w:rsid w:val="00762331"/>
    <w:rsid w:val="0076252A"/>
    <w:rsid w:val="007626E4"/>
    <w:rsid w:val="00762A10"/>
    <w:rsid w:val="00762A2E"/>
    <w:rsid w:val="00762AFF"/>
    <w:rsid w:val="00762C5D"/>
    <w:rsid w:val="00762D22"/>
    <w:rsid w:val="00762DF9"/>
    <w:rsid w:val="0076319C"/>
    <w:rsid w:val="0076326C"/>
    <w:rsid w:val="00763355"/>
    <w:rsid w:val="007634D3"/>
    <w:rsid w:val="00763599"/>
    <w:rsid w:val="007636F4"/>
    <w:rsid w:val="0076383B"/>
    <w:rsid w:val="00763E10"/>
    <w:rsid w:val="00763F9D"/>
    <w:rsid w:val="007640D0"/>
    <w:rsid w:val="0076421D"/>
    <w:rsid w:val="007642BF"/>
    <w:rsid w:val="007642CD"/>
    <w:rsid w:val="007642FA"/>
    <w:rsid w:val="00764363"/>
    <w:rsid w:val="00764379"/>
    <w:rsid w:val="00764412"/>
    <w:rsid w:val="007644F0"/>
    <w:rsid w:val="0076457F"/>
    <w:rsid w:val="007647C0"/>
    <w:rsid w:val="0076490A"/>
    <w:rsid w:val="00764996"/>
    <w:rsid w:val="00764A6D"/>
    <w:rsid w:val="00764C45"/>
    <w:rsid w:val="00764E25"/>
    <w:rsid w:val="00764EF0"/>
    <w:rsid w:val="007650DD"/>
    <w:rsid w:val="00765345"/>
    <w:rsid w:val="007655C0"/>
    <w:rsid w:val="007655CE"/>
    <w:rsid w:val="007656A1"/>
    <w:rsid w:val="00765724"/>
    <w:rsid w:val="0076592C"/>
    <w:rsid w:val="00765A02"/>
    <w:rsid w:val="00765A05"/>
    <w:rsid w:val="00765A41"/>
    <w:rsid w:val="00765A83"/>
    <w:rsid w:val="00765B3F"/>
    <w:rsid w:val="00765B78"/>
    <w:rsid w:val="00765BC1"/>
    <w:rsid w:val="00765D00"/>
    <w:rsid w:val="00765D0E"/>
    <w:rsid w:val="00765E48"/>
    <w:rsid w:val="0076625F"/>
    <w:rsid w:val="007662B3"/>
    <w:rsid w:val="007664D3"/>
    <w:rsid w:val="00766551"/>
    <w:rsid w:val="0076657D"/>
    <w:rsid w:val="00766736"/>
    <w:rsid w:val="007667EE"/>
    <w:rsid w:val="00766817"/>
    <w:rsid w:val="00766929"/>
    <w:rsid w:val="00766956"/>
    <w:rsid w:val="00766998"/>
    <w:rsid w:val="00766A5E"/>
    <w:rsid w:val="00766BF7"/>
    <w:rsid w:val="00766CEC"/>
    <w:rsid w:val="00766ED2"/>
    <w:rsid w:val="00766FA1"/>
    <w:rsid w:val="0076703D"/>
    <w:rsid w:val="007672E2"/>
    <w:rsid w:val="0076732F"/>
    <w:rsid w:val="007673E6"/>
    <w:rsid w:val="00767565"/>
    <w:rsid w:val="007676B5"/>
    <w:rsid w:val="00767828"/>
    <w:rsid w:val="0077007B"/>
    <w:rsid w:val="0077012A"/>
    <w:rsid w:val="00770299"/>
    <w:rsid w:val="0077035B"/>
    <w:rsid w:val="0077038B"/>
    <w:rsid w:val="007704A1"/>
    <w:rsid w:val="00770914"/>
    <w:rsid w:val="00770BF4"/>
    <w:rsid w:val="00770C4E"/>
    <w:rsid w:val="00770CA1"/>
    <w:rsid w:val="00770CAE"/>
    <w:rsid w:val="00770DBC"/>
    <w:rsid w:val="00770ED0"/>
    <w:rsid w:val="00770F5C"/>
    <w:rsid w:val="00771097"/>
    <w:rsid w:val="0077112B"/>
    <w:rsid w:val="00771527"/>
    <w:rsid w:val="007715CF"/>
    <w:rsid w:val="00771680"/>
    <w:rsid w:val="00771691"/>
    <w:rsid w:val="0077171A"/>
    <w:rsid w:val="00771741"/>
    <w:rsid w:val="0077177B"/>
    <w:rsid w:val="007717A9"/>
    <w:rsid w:val="007717BE"/>
    <w:rsid w:val="00771AAF"/>
    <w:rsid w:val="00771AC9"/>
    <w:rsid w:val="00771C73"/>
    <w:rsid w:val="00771E2A"/>
    <w:rsid w:val="00771F70"/>
    <w:rsid w:val="00771FE9"/>
    <w:rsid w:val="0077210B"/>
    <w:rsid w:val="0077214E"/>
    <w:rsid w:val="00772202"/>
    <w:rsid w:val="007722CF"/>
    <w:rsid w:val="007722F5"/>
    <w:rsid w:val="007725A5"/>
    <w:rsid w:val="007725F9"/>
    <w:rsid w:val="00772861"/>
    <w:rsid w:val="00772864"/>
    <w:rsid w:val="007728F2"/>
    <w:rsid w:val="007735D6"/>
    <w:rsid w:val="007736F8"/>
    <w:rsid w:val="00773794"/>
    <w:rsid w:val="007737E1"/>
    <w:rsid w:val="007739A9"/>
    <w:rsid w:val="00773A73"/>
    <w:rsid w:val="00773AF1"/>
    <w:rsid w:val="00773EB0"/>
    <w:rsid w:val="00773F6F"/>
    <w:rsid w:val="00773FBF"/>
    <w:rsid w:val="00773FDD"/>
    <w:rsid w:val="00774182"/>
    <w:rsid w:val="007741E1"/>
    <w:rsid w:val="00774294"/>
    <w:rsid w:val="00774355"/>
    <w:rsid w:val="007744D7"/>
    <w:rsid w:val="007746BD"/>
    <w:rsid w:val="007747A5"/>
    <w:rsid w:val="00774A56"/>
    <w:rsid w:val="00774C06"/>
    <w:rsid w:val="00774CDC"/>
    <w:rsid w:val="00774E35"/>
    <w:rsid w:val="00774E93"/>
    <w:rsid w:val="00774F8D"/>
    <w:rsid w:val="00774FDF"/>
    <w:rsid w:val="007750AA"/>
    <w:rsid w:val="007750C8"/>
    <w:rsid w:val="0077529F"/>
    <w:rsid w:val="00775318"/>
    <w:rsid w:val="00775538"/>
    <w:rsid w:val="00775635"/>
    <w:rsid w:val="007756B8"/>
    <w:rsid w:val="00775722"/>
    <w:rsid w:val="007758B8"/>
    <w:rsid w:val="007758DD"/>
    <w:rsid w:val="00775939"/>
    <w:rsid w:val="00775B40"/>
    <w:rsid w:val="00775DE6"/>
    <w:rsid w:val="00775EBA"/>
    <w:rsid w:val="00775ECD"/>
    <w:rsid w:val="00775F64"/>
    <w:rsid w:val="00775FF7"/>
    <w:rsid w:val="007760C3"/>
    <w:rsid w:val="00776109"/>
    <w:rsid w:val="00776245"/>
    <w:rsid w:val="0077635B"/>
    <w:rsid w:val="00776445"/>
    <w:rsid w:val="0077644D"/>
    <w:rsid w:val="007765FF"/>
    <w:rsid w:val="0077666E"/>
    <w:rsid w:val="0077670E"/>
    <w:rsid w:val="00776762"/>
    <w:rsid w:val="0077679E"/>
    <w:rsid w:val="00776849"/>
    <w:rsid w:val="0077693A"/>
    <w:rsid w:val="00776AEB"/>
    <w:rsid w:val="00776B5C"/>
    <w:rsid w:val="00776C7C"/>
    <w:rsid w:val="00776E7B"/>
    <w:rsid w:val="007770D0"/>
    <w:rsid w:val="007772F5"/>
    <w:rsid w:val="007773EB"/>
    <w:rsid w:val="00777441"/>
    <w:rsid w:val="0077760D"/>
    <w:rsid w:val="0077766A"/>
    <w:rsid w:val="0077766D"/>
    <w:rsid w:val="0077788B"/>
    <w:rsid w:val="00777BDB"/>
    <w:rsid w:val="00777C3D"/>
    <w:rsid w:val="00777E58"/>
    <w:rsid w:val="00777F0F"/>
    <w:rsid w:val="00780091"/>
    <w:rsid w:val="0078014A"/>
    <w:rsid w:val="00780213"/>
    <w:rsid w:val="0078029C"/>
    <w:rsid w:val="0078060D"/>
    <w:rsid w:val="0078066F"/>
    <w:rsid w:val="0078079D"/>
    <w:rsid w:val="007807BA"/>
    <w:rsid w:val="00780855"/>
    <w:rsid w:val="00780A0A"/>
    <w:rsid w:val="00780AF7"/>
    <w:rsid w:val="00780B08"/>
    <w:rsid w:val="00780C12"/>
    <w:rsid w:val="00780C92"/>
    <w:rsid w:val="00780DB3"/>
    <w:rsid w:val="00780EC8"/>
    <w:rsid w:val="00780F07"/>
    <w:rsid w:val="00781331"/>
    <w:rsid w:val="00781570"/>
    <w:rsid w:val="007815BC"/>
    <w:rsid w:val="007815E4"/>
    <w:rsid w:val="007816E9"/>
    <w:rsid w:val="0078179D"/>
    <w:rsid w:val="00781A3C"/>
    <w:rsid w:val="00781C02"/>
    <w:rsid w:val="00781CFB"/>
    <w:rsid w:val="00781F0C"/>
    <w:rsid w:val="00781F58"/>
    <w:rsid w:val="00782108"/>
    <w:rsid w:val="0078210A"/>
    <w:rsid w:val="007821A3"/>
    <w:rsid w:val="00782200"/>
    <w:rsid w:val="0078221D"/>
    <w:rsid w:val="0078242A"/>
    <w:rsid w:val="00782463"/>
    <w:rsid w:val="007827B4"/>
    <w:rsid w:val="0078286C"/>
    <w:rsid w:val="00782A87"/>
    <w:rsid w:val="00782D6B"/>
    <w:rsid w:val="00782D7C"/>
    <w:rsid w:val="00782E49"/>
    <w:rsid w:val="00782E9D"/>
    <w:rsid w:val="0078316D"/>
    <w:rsid w:val="00783298"/>
    <w:rsid w:val="0078355B"/>
    <w:rsid w:val="00783856"/>
    <w:rsid w:val="007838E6"/>
    <w:rsid w:val="00783942"/>
    <w:rsid w:val="0078395C"/>
    <w:rsid w:val="00783A56"/>
    <w:rsid w:val="00783B29"/>
    <w:rsid w:val="00783CE0"/>
    <w:rsid w:val="00783D4C"/>
    <w:rsid w:val="00783FD2"/>
    <w:rsid w:val="00783FD3"/>
    <w:rsid w:val="00783FE5"/>
    <w:rsid w:val="0078416E"/>
    <w:rsid w:val="0078421B"/>
    <w:rsid w:val="007842DE"/>
    <w:rsid w:val="00784514"/>
    <w:rsid w:val="00784527"/>
    <w:rsid w:val="00784753"/>
    <w:rsid w:val="007848A8"/>
    <w:rsid w:val="00784B09"/>
    <w:rsid w:val="00784B92"/>
    <w:rsid w:val="00784CB0"/>
    <w:rsid w:val="00784D81"/>
    <w:rsid w:val="00784D97"/>
    <w:rsid w:val="00784E17"/>
    <w:rsid w:val="00784EF5"/>
    <w:rsid w:val="00784EFE"/>
    <w:rsid w:val="007850A7"/>
    <w:rsid w:val="007850A9"/>
    <w:rsid w:val="00785378"/>
    <w:rsid w:val="007854A3"/>
    <w:rsid w:val="00785541"/>
    <w:rsid w:val="00785707"/>
    <w:rsid w:val="00785736"/>
    <w:rsid w:val="007857B1"/>
    <w:rsid w:val="007857BB"/>
    <w:rsid w:val="007857F2"/>
    <w:rsid w:val="00785859"/>
    <w:rsid w:val="00785D68"/>
    <w:rsid w:val="00785DD0"/>
    <w:rsid w:val="00785F47"/>
    <w:rsid w:val="00785FC7"/>
    <w:rsid w:val="007860E5"/>
    <w:rsid w:val="0078624C"/>
    <w:rsid w:val="00786407"/>
    <w:rsid w:val="00786423"/>
    <w:rsid w:val="00786638"/>
    <w:rsid w:val="00786640"/>
    <w:rsid w:val="00786723"/>
    <w:rsid w:val="00786755"/>
    <w:rsid w:val="0078678F"/>
    <w:rsid w:val="0078695B"/>
    <w:rsid w:val="00786B00"/>
    <w:rsid w:val="00786BEA"/>
    <w:rsid w:val="00786C19"/>
    <w:rsid w:val="00786CCA"/>
    <w:rsid w:val="00786CE1"/>
    <w:rsid w:val="00786D04"/>
    <w:rsid w:val="00786D56"/>
    <w:rsid w:val="00786DD0"/>
    <w:rsid w:val="0078723C"/>
    <w:rsid w:val="00787262"/>
    <w:rsid w:val="0078786A"/>
    <w:rsid w:val="007878E8"/>
    <w:rsid w:val="00787A47"/>
    <w:rsid w:val="00787B2D"/>
    <w:rsid w:val="00787B81"/>
    <w:rsid w:val="00787C83"/>
    <w:rsid w:val="00787D53"/>
    <w:rsid w:val="00787DEB"/>
    <w:rsid w:val="00787E3E"/>
    <w:rsid w:val="00787FE1"/>
    <w:rsid w:val="00790021"/>
    <w:rsid w:val="00790236"/>
    <w:rsid w:val="00790237"/>
    <w:rsid w:val="0079026E"/>
    <w:rsid w:val="0079034F"/>
    <w:rsid w:val="0079037C"/>
    <w:rsid w:val="007903E7"/>
    <w:rsid w:val="00790816"/>
    <w:rsid w:val="00790930"/>
    <w:rsid w:val="00790AD5"/>
    <w:rsid w:val="00790D0A"/>
    <w:rsid w:val="00790EBC"/>
    <w:rsid w:val="00791006"/>
    <w:rsid w:val="007910D4"/>
    <w:rsid w:val="007911F0"/>
    <w:rsid w:val="00791205"/>
    <w:rsid w:val="007913A2"/>
    <w:rsid w:val="00791459"/>
    <w:rsid w:val="00791509"/>
    <w:rsid w:val="007915BC"/>
    <w:rsid w:val="0079161A"/>
    <w:rsid w:val="00791716"/>
    <w:rsid w:val="0079191D"/>
    <w:rsid w:val="00791A3C"/>
    <w:rsid w:val="00791B46"/>
    <w:rsid w:val="00791CE9"/>
    <w:rsid w:val="00791EF8"/>
    <w:rsid w:val="00791FE5"/>
    <w:rsid w:val="00791FE9"/>
    <w:rsid w:val="00791FF4"/>
    <w:rsid w:val="007921EE"/>
    <w:rsid w:val="00792250"/>
    <w:rsid w:val="007922AF"/>
    <w:rsid w:val="00792485"/>
    <w:rsid w:val="007925D8"/>
    <w:rsid w:val="0079286F"/>
    <w:rsid w:val="00792B17"/>
    <w:rsid w:val="007931D6"/>
    <w:rsid w:val="0079336F"/>
    <w:rsid w:val="0079339A"/>
    <w:rsid w:val="0079360C"/>
    <w:rsid w:val="0079362A"/>
    <w:rsid w:val="007938EF"/>
    <w:rsid w:val="00793A0C"/>
    <w:rsid w:val="00793B81"/>
    <w:rsid w:val="00793F3B"/>
    <w:rsid w:val="007942BA"/>
    <w:rsid w:val="007943C5"/>
    <w:rsid w:val="0079458E"/>
    <w:rsid w:val="007947C5"/>
    <w:rsid w:val="0079480F"/>
    <w:rsid w:val="00794857"/>
    <w:rsid w:val="00794A69"/>
    <w:rsid w:val="00794A75"/>
    <w:rsid w:val="00794B8C"/>
    <w:rsid w:val="00794BF5"/>
    <w:rsid w:val="00794C20"/>
    <w:rsid w:val="00795114"/>
    <w:rsid w:val="00795121"/>
    <w:rsid w:val="0079515F"/>
    <w:rsid w:val="0079529F"/>
    <w:rsid w:val="00795399"/>
    <w:rsid w:val="007954FF"/>
    <w:rsid w:val="0079556A"/>
    <w:rsid w:val="0079558A"/>
    <w:rsid w:val="0079583F"/>
    <w:rsid w:val="007958EE"/>
    <w:rsid w:val="00795B91"/>
    <w:rsid w:val="00795DF7"/>
    <w:rsid w:val="00795F0A"/>
    <w:rsid w:val="00795F2E"/>
    <w:rsid w:val="00795FB0"/>
    <w:rsid w:val="007960DA"/>
    <w:rsid w:val="00796194"/>
    <w:rsid w:val="00796278"/>
    <w:rsid w:val="007962F2"/>
    <w:rsid w:val="00796316"/>
    <w:rsid w:val="00796327"/>
    <w:rsid w:val="0079649C"/>
    <w:rsid w:val="00796751"/>
    <w:rsid w:val="007967FD"/>
    <w:rsid w:val="00796AFB"/>
    <w:rsid w:val="00796B9D"/>
    <w:rsid w:val="00796CFB"/>
    <w:rsid w:val="00796ED4"/>
    <w:rsid w:val="00796F21"/>
    <w:rsid w:val="00796F58"/>
    <w:rsid w:val="00797031"/>
    <w:rsid w:val="007971D2"/>
    <w:rsid w:val="007972AB"/>
    <w:rsid w:val="00797382"/>
    <w:rsid w:val="007973EE"/>
    <w:rsid w:val="007973F5"/>
    <w:rsid w:val="007974AB"/>
    <w:rsid w:val="007975B5"/>
    <w:rsid w:val="007975CC"/>
    <w:rsid w:val="0079769B"/>
    <w:rsid w:val="00797A51"/>
    <w:rsid w:val="00797A5A"/>
    <w:rsid w:val="00797C36"/>
    <w:rsid w:val="00797C7D"/>
    <w:rsid w:val="00797C9D"/>
    <w:rsid w:val="00797CD6"/>
    <w:rsid w:val="00797E07"/>
    <w:rsid w:val="00797E1B"/>
    <w:rsid w:val="00797F90"/>
    <w:rsid w:val="00797FAE"/>
    <w:rsid w:val="007A001E"/>
    <w:rsid w:val="007A0163"/>
    <w:rsid w:val="007A01B7"/>
    <w:rsid w:val="007A02E7"/>
    <w:rsid w:val="007A05FD"/>
    <w:rsid w:val="007A0606"/>
    <w:rsid w:val="007A076C"/>
    <w:rsid w:val="007A086D"/>
    <w:rsid w:val="007A08DE"/>
    <w:rsid w:val="007A090A"/>
    <w:rsid w:val="007A090D"/>
    <w:rsid w:val="007A092C"/>
    <w:rsid w:val="007A0981"/>
    <w:rsid w:val="007A09AB"/>
    <w:rsid w:val="007A09C9"/>
    <w:rsid w:val="007A0A63"/>
    <w:rsid w:val="007A0C5B"/>
    <w:rsid w:val="007A0CEF"/>
    <w:rsid w:val="007A0D3B"/>
    <w:rsid w:val="007A0D42"/>
    <w:rsid w:val="007A0E0A"/>
    <w:rsid w:val="007A0E36"/>
    <w:rsid w:val="007A0E3B"/>
    <w:rsid w:val="007A0F8F"/>
    <w:rsid w:val="007A0FB4"/>
    <w:rsid w:val="007A106F"/>
    <w:rsid w:val="007A1255"/>
    <w:rsid w:val="007A150C"/>
    <w:rsid w:val="007A174F"/>
    <w:rsid w:val="007A184A"/>
    <w:rsid w:val="007A198C"/>
    <w:rsid w:val="007A19C8"/>
    <w:rsid w:val="007A1E4B"/>
    <w:rsid w:val="007A1F21"/>
    <w:rsid w:val="007A21E8"/>
    <w:rsid w:val="007A2317"/>
    <w:rsid w:val="007A25D9"/>
    <w:rsid w:val="007A260F"/>
    <w:rsid w:val="007A27F3"/>
    <w:rsid w:val="007A2894"/>
    <w:rsid w:val="007A29C7"/>
    <w:rsid w:val="007A2A40"/>
    <w:rsid w:val="007A2DF1"/>
    <w:rsid w:val="007A30A7"/>
    <w:rsid w:val="007A30CF"/>
    <w:rsid w:val="007A3262"/>
    <w:rsid w:val="007A3487"/>
    <w:rsid w:val="007A3B16"/>
    <w:rsid w:val="007A3C7C"/>
    <w:rsid w:val="007A3F4C"/>
    <w:rsid w:val="007A3FFB"/>
    <w:rsid w:val="007A405C"/>
    <w:rsid w:val="007A40FD"/>
    <w:rsid w:val="007A44A3"/>
    <w:rsid w:val="007A48D5"/>
    <w:rsid w:val="007A494F"/>
    <w:rsid w:val="007A4A27"/>
    <w:rsid w:val="007A4DBA"/>
    <w:rsid w:val="007A4F6B"/>
    <w:rsid w:val="007A50FF"/>
    <w:rsid w:val="007A51E5"/>
    <w:rsid w:val="007A5285"/>
    <w:rsid w:val="007A5773"/>
    <w:rsid w:val="007A57C5"/>
    <w:rsid w:val="007A580E"/>
    <w:rsid w:val="007A581F"/>
    <w:rsid w:val="007A5861"/>
    <w:rsid w:val="007A5978"/>
    <w:rsid w:val="007A5AE3"/>
    <w:rsid w:val="007A5B06"/>
    <w:rsid w:val="007A5D4B"/>
    <w:rsid w:val="007A5DCF"/>
    <w:rsid w:val="007A5E48"/>
    <w:rsid w:val="007A5EC7"/>
    <w:rsid w:val="007A60C1"/>
    <w:rsid w:val="007A6241"/>
    <w:rsid w:val="007A62B6"/>
    <w:rsid w:val="007A6470"/>
    <w:rsid w:val="007A6507"/>
    <w:rsid w:val="007A6517"/>
    <w:rsid w:val="007A66AF"/>
    <w:rsid w:val="007A67CC"/>
    <w:rsid w:val="007A6880"/>
    <w:rsid w:val="007A6C8E"/>
    <w:rsid w:val="007A6CB0"/>
    <w:rsid w:val="007A6D16"/>
    <w:rsid w:val="007A6E8A"/>
    <w:rsid w:val="007A70E9"/>
    <w:rsid w:val="007A7282"/>
    <w:rsid w:val="007A73C8"/>
    <w:rsid w:val="007A766E"/>
    <w:rsid w:val="007A76E9"/>
    <w:rsid w:val="007A777C"/>
    <w:rsid w:val="007A77BE"/>
    <w:rsid w:val="007A782A"/>
    <w:rsid w:val="007A7AA0"/>
    <w:rsid w:val="007A7B6F"/>
    <w:rsid w:val="007A7CF3"/>
    <w:rsid w:val="007A7D67"/>
    <w:rsid w:val="007B07BA"/>
    <w:rsid w:val="007B07D7"/>
    <w:rsid w:val="007B0812"/>
    <w:rsid w:val="007B0AC6"/>
    <w:rsid w:val="007B0D3B"/>
    <w:rsid w:val="007B0D47"/>
    <w:rsid w:val="007B0E07"/>
    <w:rsid w:val="007B0E95"/>
    <w:rsid w:val="007B0F76"/>
    <w:rsid w:val="007B0F88"/>
    <w:rsid w:val="007B11CB"/>
    <w:rsid w:val="007B13B6"/>
    <w:rsid w:val="007B15B8"/>
    <w:rsid w:val="007B17DF"/>
    <w:rsid w:val="007B198F"/>
    <w:rsid w:val="007B1A04"/>
    <w:rsid w:val="007B1CD3"/>
    <w:rsid w:val="007B1DD7"/>
    <w:rsid w:val="007B20EB"/>
    <w:rsid w:val="007B212E"/>
    <w:rsid w:val="007B2245"/>
    <w:rsid w:val="007B227A"/>
    <w:rsid w:val="007B24D8"/>
    <w:rsid w:val="007B2746"/>
    <w:rsid w:val="007B27B2"/>
    <w:rsid w:val="007B27FB"/>
    <w:rsid w:val="007B2972"/>
    <w:rsid w:val="007B29EE"/>
    <w:rsid w:val="007B2ED7"/>
    <w:rsid w:val="007B2EF3"/>
    <w:rsid w:val="007B2F2D"/>
    <w:rsid w:val="007B3024"/>
    <w:rsid w:val="007B359F"/>
    <w:rsid w:val="007B363D"/>
    <w:rsid w:val="007B3689"/>
    <w:rsid w:val="007B3713"/>
    <w:rsid w:val="007B3B33"/>
    <w:rsid w:val="007B3CF4"/>
    <w:rsid w:val="007B3D57"/>
    <w:rsid w:val="007B3DB0"/>
    <w:rsid w:val="007B3E24"/>
    <w:rsid w:val="007B3ED8"/>
    <w:rsid w:val="007B3F68"/>
    <w:rsid w:val="007B4032"/>
    <w:rsid w:val="007B40C8"/>
    <w:rsid w:val="007B43B6"/>
    <w:rsid w:val="007B441E"/>
    <w:rsid w:val="007B44D6"/>
    <w:rsid w:val="007B450B"/>
    <w:rsid w:val="007B4568"/>
    <w:rsid w:val="007B472F"/>
    <w:rsid w:val="007B476B"/>
    <w:rsid w:val="007B47E2"/>
    <w:rsid w:val="007B49F2"/>
    <w:rsid w:val="007B4BB5"/>
    <w:rsid w:val="007B4BC1"/>
    <w:rsid w:val="007B4BFC"/>
    <w:rsid w:val="007B4D70"/>
    <w:rsid w:val="007B4FAE"/>
    <w:rsid w:val="007B5071"/>
    <w:rsid w:val="007B50F8"/>
    <w:rsid w:val="007B52B0"/>
    <w:rsid w:val="007B5342"/>
    <w:rsid w:val="007B535C"/>
    <w:rsid w:val="007B5370"/>
    <w:rsid w:val="007B5537"/>
    <w:rsid w:val="007B5780"/>
    <w:rsid w:val="007B57AC"/>
    <w:rsid w:val="007B58D9"/>
    <w:rsid w:val="007B5915"/>
    <w:rsid w:val="007B59C6"/>
    <w:rsid w:val="007B5A71"/>
    <w:rsid w:val="007B5C99"/>
    <w:rsid w:val="007B5E7E"/>
    <w:rsid w:val="007B5FB2"/>
    <w:rsid w:val="007B6202"/>
    <w:rsid w:val="007B62DF"/>
    <w:rsid w:val="007B63D9"/>
    <w:rsid w:val="007B64EC"/>
    <w:rsid w:val="007B6620"/>
    <w:rsid w:val="007B66B7"/>
    <w:rsid w:val="007B677F"/>
    <w:rsid w:val="007B6CB5"/>
    <w:rsid w:val="007B6D20"/>
    <w:rsid w:val="007B6DA6"/>
    <w:rsid w:val="007B6EA8"/>
    <w:rsid w:val="007B6F82"/>
    <w:rsid w:val="007B6F9B"/>
    <w:rsid w:val="007B704F"/>
    <w:rsid w:val="007B72BB"/>
    <w:rsid w:val="007B72FD"/>
    <w:rsid w:val="007B74DA"/>
    <w:rsid w:val="007B7698"/>
    <w:rsid w:val="007B7725"/>
    <w:rsid w:val="007B7927"/>
    <w:rsid w:val="007B79C6"/>
    <w:rsid w:val="007B7D63"/>
    <w:rsid w:val="007B7F39"/>
    <w:rsid w:val="007C01AF"/>
    <w:rsid w:val="007C01B6"/>
    <w:rsid w:val="007C01D3"/>
    <w:rsid w:val="007C021D"/>
    <w:rsid w:val="007C0257"/>
    <w:rsid w:val="007C02A5"/>
    <w:rsid w:val="007C02B8"/>
    <w:rsid w:val="007C045B"/>
    <w:rsid w:val="007C0759"/>
    <w:rsid w:val="007C07E2"/>
    <w:rsid w:val="007C0810"/>
    <w:rsid w:val="007C0A8E"/>
    <w:rsid w:val="007C0DA8"/>
    <w:rsid w:val="007C0F6E"/>
    <w:rsid w:val="007C0FE8"/>
    <w:rsid w:val="007C13E7"/>
    <w:rsid w:val="007C1430"/>
    <w:rsid w:val="007C166C"/>
    <w:rsid w:val="007C17A5"/>
    <w:rsid w:val="007C1858"/>
    <w:rsid w:val="007C1AD0"/>
    <w:rsid w:val="007C1D50"/>
    <w:rsid w:val="007C1DFB"/>
    <w:rsid w:val="007C1EC1"/>
    <w:rsid w:val="007C1ED3"/>
    <w:rsid w:val="007C1F3D"/>
    <w:rsid w:val="007C1FDD"/>
    <w:rsid w:val="007C2194"/>
    <w:rsid w:val="007C22DC"/>
    <w:rsid w:val="007C2359"/>
    <w:rsid w:val="007C25F0"/>
    <w:rsid w:val="007C266D"/>
    <w:rsid w:val="007C2919"/>
    <w:rsid w:val="007C2A1F"/>
    <w:rsid w:val="007C2A32"/>
    <w:rsid w:val="007C2BCF"/>
    <w:rsid w:val="007C2CA9"/>
    <w:rsid w:val="007C2D95"/>
    <w:rsid w:val="007C2F47"/>
    <w:rsid w:val="007C300D"/>
    <w:rsid w:val="007C3043"/>
    <w:rsid w:val="007C32E8"/>
    <w:rsid w:val="007C33E9"/>
    <w:rsid w:val="007C343A"/>
    <w:rsid w:val="007C34FC"/>
    <w:rsid w:val="007C35CE"/>
    <w:rsid w:val="007C35D9"/>
    <w:rsid w:val="007C3682"/>
    <w:rsid w:val="007C36A5"/>
    <w:rsid w:val="007C3850"/>
    <w:rsid w:val="007C39BD"/>
    <w:rsid w:val="007C3B1E"/>
    <w:rsid w:val="007C3BC0"/>
    <w:rsid w:val="007C3D57"/>
    <w:rsid w:val="007C3EC3"/>
    <w:rsid w:val="007C40FA"/>
    <w:rsid w:val="007C41DB"/>
    <w:rsid w:val="007C431A"/>
    <w:rsid w:val="007C44A1"/>
    <w:rsid w:val="007C4577"/>
    <w:rsid w:val="007C4979"/>
    <w:rsid w:val="007C4B75"/>
    <w:rsid w:val="007C4BBB"/>
    <w:rsid w:val="007C4C55"/>
    <w:rsid w:val="007C4C78"/>
    <w:rsid w:val="007C4CA1"/>
    <w:rsid w:val="007C5060"/>
    <w:rsid w:val="007C52C4"/>
    <w:rsid w:val="007C52D4"/>
    <w:rsid w:val="007C541D"/>
    <w:rsid w:val="007C5705"/>
    <w:rsid w:val="007C5718"/>
    <w:rsid w:val="007C5894"/>
    <w:rsid w:val="007C59B2"/>
    <w:rsid w:val="007C59E5"/>
    <w:rsid w:val="007C5A91"/>
    <w:rsid w:val="007C5D03"/>
    <w:rsid w:val="007C5FC3"/>
    <w:rsid w:val="007C5FF2"/>
    <w:rsid w:val="007C610C"/>
    <w:rsid w:val="007C67F9"/>
    <w:rsid w:val="007C690E"/>
    <w:rsid w:val="007C6A6A"/>
    <w:rsid w:val="007C6AC8"/>
    <w:rsid w:val="007C6DDC"/>
    <w:rsid w:val="007C6E78"/>
    <w:rsid w:val="007C6E88"/>
    <w:rsid w:val="007C6EC9"/>
    <w:rsid w:val="007C6F38"/>
    <w:rsid w:val="007C70D4"/>
    <w:rsid w:val="007C729B"/>
    <w:rsid w:val="007C7442"/>
    <w:rsid w:val="007C753E"/>
    <w:rsid w:val="007C7648"/>
    <w:rsid w:val="007C7658"/>
    <w:rsid w:val="007C780E"/>
    <w:rsid w:val="007C789A"/>
    <w:rsid w:val="007C78B0"/>
    <w:rsid w:val="007C7960"/>
    <w:rsid w:val="007C7E93"/>
    <w:rsid w:val="007D0011"/>
    <w:rsid w:val="007D014E"/>
    <w:rsid w:val="007D0151"/>
    <w:rsid w:val="007D02DE"/>
    <w:rsid w:val="007D04FE"/>
    <w:rsid w:val="007D0514"/>
    <w:rsid w:val="007D0591"/>
    <w:rsid w:val="007D05E7"/>
    <w:rsid w:val="007D071B"/>
    <w:rsid w:val="007D07D7"/>
    <w:rsid w:val="007D09F1"/>
    <w:rsid w:val="007D0D6F"/>
    <w:rsid w:val="007D0D92"/>
    <w:rsid w:val="007D0EA4"/>
    <w:rsid w:val="007D1081"/>
    <w:rsid w:val="007D11A5"/>
    <w:rsid w:val="007D1268"/>
    <w:rsid w:val="007D1276"/>
    <w:rsid w:val="007D12D8"/>
    <w:rsid w:val="007D12FE"/>
    <w:rsid w:val="007D1585"/>
    <w:rsid w:val="007D15CB"/>
    <w:rsid w:val="007D16FD"/>
    <w:rsid w:val="007D1810"/>
    <w:rsid w:val="007D1BA9"/>
    <w:rsid w:val="007D1C61"/>
    <w:rsid w:val="007D1E5D"/>
    <w:rsid w:val="007D1EE7"/>
    <w:rsid w:val="007D200F"/>
    <w:rsid w:val="007D20F5"/>
    <w:rsid w:val="007D2117"/>
    <w:rsid w:val="007D2578"/>
    <w:rsid w:val="007D265E"/>
    <w:rsid w:val="007D2A44"/>
    <w:rsid w:val="007D2A52"/>
    <w:rsid w:val="007D2B1B"/>
    <w:rsid w:val="007D2C12"/>
    <w:rsid w:val="007D2CCD"/>
    <w:rsid w:val="007D2E0B"/>
    <w:rsid w:val="007D343F"/>
    <w:rsid w:val="007D3633"/>
    <w:rsid w:val="007D3637"/>
    <w:rsid w:val="007D3909"/>
    <w:rsid w:val="007D3BC2"/>
    <w:rsid w:val="007D3CE6"/>
    <w:rsid w:val="007D3DA0"/>
    <w:rsid w:val="007D43A1"/>
    <w:rsid w:val="007D45F1"/>
    <w:rsid w:val="007D45F9"/>
    <w:rsid w:val="007D4769"/>
    <w:rsid w:val="007D4A22"/>
    <w:rsid w:val="007D4AC5"/>
    <w:rsid w:val="007D4AC9"/>
    <w:rsid w:val="007D4AEB"/>
    <w:rsid w:val="007D4D2E"/>
    <w:rsid w:val="007D4DE7"/>
    <w:rsid w:val="007D4F7D"/>
    <w:rsid w:val="007D5014"/>
    <w:rsid w:val="007D5433"/>
    <w:rsid w:val="007D54B7"/>
    <w:rsid w:val="007D589B"/>
    <w:rsid w:val="007D5979"/>
    <w:rsid w:val="007D5997"/>
    <w:rsid w:val="007D5B76"/>
    <w:rsid w:val="007D5DD4"/>
    <w:rsid w:val="007D60B0"/>
    <w:rsid w:val="007D6494"/>
    <w:rsid w:val="007D655A"/>
    <w:rsid w:val="007D6858"/>
    <w:rsid w:val="007D6A67"/>
    <w:rsid w:val="007D6C9C"/>
    <w:rsid w:val="007D702A"/>
    <w:rsid w:val="007D7083"/>
    <w:rsid w:val="007D7364"/>
    <w:rsid w:val="007D73BB"/>
    <w:rsid w:val="007D73DA"/>
    <w:rsid w:val="007D7900"/>
    <w:rsid w:val="007D7B03"/>
    <w:rsid w:val="007D7D92"/>
    <w:rsid w:val="007D7E79"/>
    <w:rsid w:val="007E0074"/>
    <w:rsid w:val="007E03DF"/>
    <w:rsid w:val="007E0637"/>
    <w:rsid w:val="007E0949"/>
    <w:rsid w:val="007E0970"/>
    <w:rsid w:val="007E0997"/>
    <w:rsid w:val="007E09EB"/>
    <w:rsid w:val="007E0A2A"/>
    <w:rsid w:val="007E0AF1"/>
    <w:rsid w:val="007E0CED"/>
    <w:rsid w:val="007E0D0F"/>
    <w:rsid w:val="007E0E0C"/>
    <w:rsid w:val="007E0F7E"/>
    <w:rsid w:val="007E1110"/>
    <w:rsid w:val="007E1194"/>
    <w:rsid w:val="007E1197"/>
    <w:rsid w:val="007E14A4"/>
    <w:rsid w:val="007E1525"/>
    <w:rsid w:val="007E1591"/>
    <w:rsid w:val="007E15DB"/>
    <w:rsid w:val="007E160D"/>
    <w:rsid w:val="007E1642"/>
    <w:rsid w:val="007E1734"/>
    <w:rsid w:val="007E179A"/>
    <w:rsid w:val="007E18D7"/>
    <w:rsid w:val="007E18F1"/>
    <w:rsid w:val="007E1CC5"/>
    <w:rsid w:val="007E1D51"/>
    <w:rsid w:val="007E1DD3"/>
    <w:rsid w:val="007E20B4"/>
    <w:rsid w:val="007E20B6"/>
    <w:rsid w:val="007E212A"/>
    <w:rsid w:val="007E2139"/>
    <w:rsid w:val="007E2174"/>
    <w:rsid w:val="007E233E"/>
    <w:rsid w:val="007E23C2"/>
    <w:rsid w:val="007E241F"/>
    <w:rsid w:val="007E24DB"/>
    <w:rsid w:val="007E25AB"/>
    <w:rsid w:val="007E26F7"/>
    <w:rsid w:val="007E274F"/>
    <w:rsid w:val="007E28F9"/>
    <w:rsid w:val="007E29EA"/>
    <w:rsid w:val="007E2D0C"/>
    <w:rsid w:val="007E2DDC"/>
    <w:rsid w:val="007E2EDC"/>
    <w:rsid w:val="007E311F"/>
    <w:rsid w:val="007E34BE"/>
    <w:rsid w:val="007E3783"/>
    <w:rsid w:val="007E38C3"/>
    <w:rsid w:val="007E3964"/>
    <w:rsid w:val="007E3B59"/>
    <w:rsid w:val="007E3BA0"/>
    <w:rsid w:val="007E3D7A"/>
    <w:rsid w:val="007E3FA5"/>
    <w:rsid w:val="007E4143"/>
    <w:rsid w:val="007E4237"/>
    <w:rsid w:val="007E4987"/>
    <w:rsid w:val="007E4AAF"/>
    <w:rsid w:val="007E4CEF"/>
    <w:rsid w:val="007E4D44"/>
    <w:rsid w:val="007E4DFA"/>
    <w:rsid w:val="007E4EEB"/>
    <w:rsid w:val="007E5000"/>
    <w:rsid w:val="007E52CA"/>
    <w:rsid w:val="007E54C3"/>
    <w:rsid w:val="007E5534"/>
    <w:rsid w:val="007E558B"/>
    <w:rsid w:val="007E55FD"/>
    <w:rsid w:val="007E5DE0"/>
    <w:rsid w:val="007E5E83"/>
    <w:rsid w:val="007E5E91"/>
    <w:rsid w:val="007E5F73"/>
    <w:rsid w:val="007E6122"/>
    <w:rsid w:val="007E61C2"/>
    <w:rsid w:val="007E62FF"/>
    <w:rsid w:val="007E640E"/>
    <w:rsid w:val="007E64C0"/>
    <w:rsid w:val="007E6518"/>
    <w:rsid w:val="007E6523"/>
    <w:rsid w:val="007E68A9"/>
    <w:rsid w:val="007E6A85"/>
    <w:rsid w:val="007E6AE0"/>
    <w:rsid w:val="007E6BDF"/>
    <w:rsid w:val="007E6CBC"/>
    <w:rsid w:val="007E6D9E"/>
    <w:rsid w:val="007E6DC5"/>
    <w:rsid w:val="007E6EDB"/>
    <w:rsid w:val="007E754F"/>
    <w:rsid w:val="007E757C"/>
    <w:rsid w:val="007E75B4"/>
    <w:rsid w:val="007E7617"/>
    <w:rsid w:val="007E76D9"/>
    <w:rsid w:val="007E772B"/>
    <w:rsid w:val="007E796D"/>
    <w:rsid w:val="007E7D6B"/>
    <w:rsid w:val="007E7DA8"/>
    <w:rsid w:val="007F0321"/>
    <w:rsid w:val="007F036B"/>
    <w:rsid w:val="007F0577"/>
    <w:rsid w:val="007F0676"/>
    <w:rsid w:val="007F068F"/>
    <w:rsid w:val="007F094B"/>
    <w:rsid w:val="007F0BE1"/>
    <w:rsid w:val="007F0BEE"/>
    <w:rsid w:val="007F0C1F"/>
    <w:rsid w:val="007F0C43"/>
    <w:rsid w:val="007F0CF8"/>
    <w:rsid w:val="007F0D4E"/>
    <w:rsid w:val="007F0FB7"/>
    <w:rsid w:val="007F103A"/>
    <w:rsid w:val="007F109E"/>
    <w:rsid w:val="007F1256"/>
    <w:rsid w:val="007F151C"/>
    <w:rsid w:val="007F15A1"/>
    <w:rsid w:val="007F16D9"/>
    <w:rsid w:val="007F175C"/>
    <w:rsid w:val="007F17E8"/>
    <w:rsid w:val="007F185B"/>
    <w:rsid w:val="007F1874"/>
    <w:rsid w:val="007F18E5"/>
    <w:rsid w:val="007F1916"/>
    <w:rsid w:val="007F1B3A"/>
    <w:rsid w:val="007F1C67"/>
    <w:rsid w:val="007F1D59"/>
    <w:rsid w:val="007F1EF8"/>
    <w:rsid w:val="007F2046"/>
    <w:rsid w:val="007F2095"/>
    <w:rsid w:val="007F2419"/>
    <w:rsid w:val="007F2469"/>
    <w:rsid w:val="007F28E3"/>
    <w:rsid w:val="007F2905"/>
    <w:rsid w:val="007F2B43"/>
    <w:rsid w:val="007F2B47"/>
    <w:rsid w:val="007F2DB3"/>
    <w:rsid w:val="007F2FA3"/>
    <w:rsid w:val="007F32A4"/>
    <w:rsid w:val="007F331D"/>
    <w:rsid w:val="007F3424"/>
    <w:rsid w:val="007F3468"/>
    <w:rsid w:val="007F348D"/>
    <w:rsid w:val="007F399B"/>
    <w:rsid w:val="007F39AB"/>
    <w:rsid w:val="007F3BCD"/>
    <w:rsid w:val="007F3C0F"/>
    <w:rsid w:val="007F3E76"/>
    <w:rsid w:val="007F3FCB"/>
    <w:rsid w:val="007F43C1"/>
    <w:rsid w:val="007F447D"/>
    <w:rsid w:val="007F45A2"/>
    <w:rsid w:val="007F4636"/>
    <w:rsid w:val="007F4724"/>
    <w:rsid w:val="007F474B"/>
    <w:rsid w:val="007F4824"/>
    <w:rsid w:val="007F4893"/>
    <w:rsid w:val="007F48E7"/>
    <w:rsid w:val="007F4920"/>
    <w:rsid w:val="007F4AE5"/>
    <w:rsid w:val="007F4C1F"/>
    <w:rsid w:val="007F4C35"/>
    <w:rsid w:val="007F4E89"/>
    <w:rsid w:val="007F500A"/>
    <w:rsid w:val="007F503A"/>
    <w:rsid w:val="007F5109"/>
    <w:rsid w:val="007F51A5"/>
    <w:rsid w:val="007F51D8"/>
    <w:rsid w:val="007F52C9"/>
    <w:rsid w:val="007F559E"/>
    <w:rsid w:val="007F567D"/>
    <w:rsid w:val="007F56F6"/>
    <w:rsid w:val="007F5701"/>
    <w:rsid w:val="007F59A1"/>
    <w:rsid w:val="007F5B4E"/>
    <w:rsid w:val="007F60F7"/>
    <w:rsid w:val="007F62F4"/>
    <w:rsid w:val="007F649F"/>
    <w:rsid w:val="007F65C3"/>
    <w:rsid w:val="007F6654"/>
    <w:rsid w:val="007F66FD"/>
    <w:rsid w:val="007F67B8"/>
    <w:rsid w:val="007F67EE"/>
    <w:rsid w:val="007F68C1"/>
    <w:rsid w:val="007F69D2"/>
    <w:rsid w:val="007F6D0C"/>
    <w:rsid w:val="007F7037"/>
    <w:rsid w:val="007F7081"/>
    <w:rsid w:val="007F70CE"/>
    <w:rsid w:val="007F70E8"/>
    <w:rsid w:val="007F7259"/>
    <w:rsid w:val="007F74DD"/>
    <w:rsid w:val="007F74F3"/>
    <w:rsid w:val="007F753B"/>
    <w:rsid w:val="007F7558"/>
    <w:rsid w:val="007F758B"/>
    <w:rsid w:val="007F7ACD"/>
    <w:rsid w:val="007F7B5B"/>
    <w:rsid w:val="007F7D0A"/>
    <w:rsid w:val="00800196"/>
    <w:rsid w:val="00800513"/>
    <w:rsid w:val="0080058A"/>
    <w:rsid w:val="008005A4"/>
    <w:rsid w:val="008005E8"/>
    <w:rsid w:val="0080060B"/>
    <w:rsid w:val="00800667"/>
    <w:rsid w:val="008007F5"/>
    <w:rsid w:val="0080084E"/>
    <w:rsid w:val="008008A7"/>
    <w:rsid w:val="008008C5"/>
    <w:rsid w:val="008008F2"/>
    <w:rsid w:val="00800C68"/>
    <w:rsid w:val="00800CAC"/>
    <w:rsid w:val="00800F79"/>
    <w:rsid w:val="0080106D"/>
    <w:rsid w:val="00801110"/>
    <w:rsid w:val="0080117C"/>
    <w:rsid w:val="00801439"/>
    <w:rsid w:val="00801C1F"/>
    <w:rsid w:val="00801EF5"/>
    <w:rsid w:val="00802332"/>
    <w:rsid w:val="00802448"/>
    <w:rsid w:val="008025EE"/>
    <w:rsid w:val="00802617"/>
    <w:rsid w:val="008026FA"/>
    <w:rsid w:val="00802785"/>
    <w:rsid w:val="00802836"/>
    <w:rsid w:val="00802845"/>
    <w:rsid w:val="00802923"/>
    <w:rsid w:val="00802A38"/>
    <w:rsid w:val="00802E27"/>
    <w:rsid w:val="00802E8F"/>
    <w:rsid w:val="00802FC0"/>
    <w:rsid w:val="00803122"/>
    <w:rsid w:val="008032B1"/>
    <w:rsid w:val="00803448"/>
    <w:rsid w:val="008034D9"/>
    <w:rsid w:val="00803563"/>
    <w:rsid w:val="0080361C"/>
    <w:rsid w:val="00803868"/>
    <w:rsid w:val="00803869"/>
    <w:rsid w:val="0080392B"/>
    <w:rsid w:val="00803938"/>
    <w:rsid w:val="00803A33"/>
    <w:rsid w:val="00803B2D"/>
    <w:rsid w:val="00803B4D"/>
    <w:rsid w:val="00803B88"/>
    <w:rsid w:val="00803D53"/>
    <w:rsid w:val="00803F3F"/>
    <w:rsid w:val="00803FEE"/>
    <w:rsid w:val="00804199"/>
    <w:rsid w:val="008043B8"/>
    <w:rsid w:val="008044C9"/>
    <w:rsid w:val="008047EE"/>
    <w:rsid w:val="00804A84"/>
    <w:rsid w:val="00804AFF"/>
    <w:rsid w:val="00804B6A"/>
    <w:rsid w:val="00804B6E"/>
    <w:rsid w:val="00804C9A"/>
    <w:rsid w:val="00804C9F"/>
    <w:rsid w:val="00804D1E"/>
    <w:rsid w:val="00804D70"/>
    <w:rsid w:val="00804F19"/>
    <w:rsid w:val="00805016"/>
    <w:rsid w:val="00805165"/>
    <w:rsid w:val="008052E7"/>
    <w:rsid w:val="00805306"/>
    <w:rsid w:val="00805379"/>
    <w:rsid w:val="0080553B"/>
    <w:rsid w:val="00805542"/>
    <w:rsid w:val="00805756"/>
    <w:rsid w:val="008057E9"/>
    <w:rsid w:val="008058F1"/>
    <w:rsid w:val="00805A4A"/>
    <w:rsid w:val="00805B3A"/>
    <w:rsid w:val="00805BAB"/>
    <w:rsid w:val="00805BF9"/>
    <w:rsid w:val="00805C6F"/>
    <w:rsid w:val="00805CB7"/>
    <w:rsid w:val="00806085"/>
    <w:rsid w:val="008060FE"/>
    <w:rsid w:val="0080629B"/>
    <w:rsid w:val="00806378"/>
    <w:rsid w:val="008063A9"/>
    <w:rsid w:val="008067D6"/>
    <w:rsid w:val="00806A39"/>
    <w:rsid w:val="00806AFE"/>
    <w:rsid w:val="00806B06"/>
    <w:rsid w:val="00806D34"/>
    <w:rsid w:val="00807271"/>
    <w:rsid w:val="00807462"/>
    <w:rsid w:val="008075AC"/>
    <w:rsid w:val="00807614"/>
    <w:rsid w:val="008076B2"/>
    <w:rsid w:val="00807804"/>
    <w:rsid w:val="008078A4"/>
    <w:rsid w:val="0080792C"/>
    <w:rsid w:val="00807CFB"/>
    <w:rsid w:val="00807DEB"/>
    <w:rsid w:val="00810105"/>
    <w:rsid w:val="00810173"/>
    <w:rsid w:val="008101D6"/>
    <w:rsid w:val="0081048E"/>
    <w:rsid w:val="00810508"/>
    <w:rsid w:val="008108FD"/>
    <w:rsid w:val="0081098E"/>
    <w:rsid w:val="00810AED"/>
    <w:rsid w:val="00810C41"/>
    <w:rsid w:val="00810C90"/>
    <w:rsid w:val="00810E17"/>
    <w:rsid w:val="00810E42"/>
    <w:rsid w:val="00810E94"/>
    <w:rsid w:val="00810EEA"/>
    <w:rsid w:val="00810F19"/>
    <w:rsid w:val="00810F2E"/>
    <w:rsid w:val="00810FF4"/>
    <w:rsid w:val="008110D9"/>
    <w:rsid w:val="00811313"/>
    <w:rsid w:val="00811588"/>
    <w:rsid w:val="008116E5"/>
    <w:rsid w:val="0081178C"/>
    <w:rsid w:val="00811B4D"/>
    <w:rsid w:val="00811C21"/>
    <w:rsid w:val="00811D66"/>
    <w:rsid w:val="00811D9B"/>
    <w:rsid w:val="00811E0A"/>
    <w:rsid w:val="00811E0F"/>
    <w:rsid w:val="00811EF7"/>
    <w:rsid w:val="00811EFA"/>
    <w:rsid w:val="00811FAF"/>
    <w:rsid w:val="0081226A"/>
    <w:rsid w:val="008124E3"/>
    <w:rsid w:val="00812559"/>
    <w:rsid w:val="00812659"/>
    <w:rsid w:val="00812701"/>
    <w:rsid w:val="00812D2E"/>
    <w:rsid w:val="00812F29"/>
    <w:rsid w:val="00812FE5"/>
    <w:rsid w:val="0081303F"/>
    <w:rsid w:val="00813043"/>
    <w:rsid w:val="008130CD"/>
    <w:rsid w:val="00813311"/>
    <w:rsid w:val="008133C6"/>
    <w:rsid w:val="008133DC"/>
    <w:rsid w:val="00813409"/>
    <w:rsid w:val="00813588"/>
    <w:rsid w:val="008136A2"/>
    <w:rsid w:val="00813889"/>
    <w:rsid w:val="00813A88"/>
    <w:rsid w:val="00813B61"/>
    <w:rsid w:val="00813F5F"/>
    <w:rsid w:val="008145A7"/>
    <w:rsid w:val="008145B9"/>
    <w:rsid w:val="0081461F"/>
    <w:rsid w:val="008146DD"/>
    <w:rsid w:val="00814755"/>
    <w:rsid w:val="0081491F"/>
    <w:rsid w:val="00814994"/>
    <w:rsid w:val="00814BC0"/>
    <w:rsid w:val="00814BDF"/>
    <w:rsid w:val="008150F8"/>
    <w:rsid w:val="0081511F"/>
    <w:rsid w:val="00815524"/>
    <w:rsid w:val="00815597"/>
    <w:rsid w:val="008156E7"/>
    <w:rsid w:val="0081577D"/>
    <w:rsid w:val="008158BE"/>
    <w:rsid w:val="008159FB"/>
    <w:rsid w:val="00815CB9"/>
    <w:rsid w:val="00815DEA"/>
    <w:rsid w:val="00815E20"/>
    <w:rsid w:val="00815E23"/>
    <w:rsid w:val="00815EF4"/>
    <w:rsid w:val="00815F38"/>
    <w:rsid w:val="008161DD"/>
    <w:rsid w:val="008162D8"/>
    <w:rsid w:val="00816378"/>
    <w:rsid w:val="00816665"/>
    <w:rsid w:val="0081666A"/>
    <w:rsid w:val="00816674"/>
    <w:rsid w:val="00816AA0"/>
    <w:rsid w:val="00816C58"/>
    <w:rsid w:val="00816C87"/>
    <w:rsid w:val="00816CE2"/>
    <w:rsid w:val="00816D44"/>
    <w:rsid w:val="00816DC7"/>
    <w:rsid w:val="00817192"/>
    <w:rsid w:val="008172F2"/>
    <w:rsid w:val="008175E2"/>
    <w:rsid w:val="008176A9"/>
    <w:rsid w:val="008178EE"/>
    <w:rsid w:val="008178F2"/>
    <w:rsid w:val="00817992"/>
    <w:rsid w:val="008179CF"/>
    <w:rsid w:val="00817A9B"/>
    <w:rsid w:val="00817AC4"/>
    <w:rsid w:val="00817B01"/>
    <w:rsid w:val="00817B3C"/>
    <w:rsid w:val="00817C27"/>
    <w:rsid w:val="00817C54"/>
    <w:rsid w:val="00817D52"/>
    <w:rsid w:val="00817DAB"/>
    <w:rsid w:val="00817F2B"/>
    <w:rsid w:val="0082002D"/>
    <w:rsid w:val="008204A5"/>
    <w:rsid w:val="008205F2"/>
    <w:rsid w:val="008207E5"/>
    <w:rsid w:val="00820890"/>
    <w:rsid w:val="008209EF"/>
    <w:rsid w:val="00820A75"/>
    <w:rsid w:val="00820AD1"/>
    <w:rsid w:val="00820BA1"/>
    <w:rsid w:val="00820BE2"/>
    <w:rsid w:val="00820C20"/>
    <w:rsid w:val="00820C98"/>
    <w:rsid w:val="00820CC7"/>
    <w:rsid w:val="00820F47"/>
    <w:rsid w:val="00821026"/>
    <w:rsid w:val="0082124A"/>
    <w:rsid w:val="0082146D"/>
    <w:rsid w:val="00821548"/>
    <w:rsid w:val="00821682"/>
    <w:rsid w:val="00821A30"/>
    <w:rsid w:val="00821ACA"/>
    <w:rsid w:val="00821C3E"/>
    <w:rsid w:val="00821E3C"/>
    <w:rsid w:val="00821FFB"/>
    <w:rsid w:val="00822266"/>
    <w:rsid w:val="008223F4"/>
    <w:rsid w:val="008224A6"/>
    <w:rsid w:val="00822552"/>
    <w:rsid w:val="00822689"/>
    <w:rsid w:val="00822771"/>
    <w:rsid w:val="0082288C"/>
    <w:rsid w:val="00822A1F"/>
    <w:rsid w:val="00822A58"/>
    <w:rsid w:val="00822B44"/>
    <w:rsid w:val="00822B7A"/>
    <w:rsid w:val="00822C03"/>
    <w:rsid w:val="00822C99"/>
    <w:rsid w:val="00822E2D"/>
    <w:rsid w:val="00822E90"/>
    <w:rsid w:val="00822EBB"/>
    <w:rsid w:val="00822F0C"/>
    <w:rsid w:val="00822F7C"/>
    <w:rsid w:val="00822FEE"/>
    <w:rsid w:val="00822FFE"/>
    <w:rsid w:val="0082313A"/>
    <w:rsid w:val="00823185"/>
    <w:rsid w:val="008231DF"/>
    <w:rsid w:val="00823444"/>
    <w:rsid w:val="00823653"/>
    <w:rsid w:val="0082395F"/>
    <w:rsid w:val="008239B2"/>
    <w:rsid w:val="00823C6B"/>
    <w:rsid w:val="00823E58"/>
    <w:rsid w:val="00823F65"/>
    <w:rsid w:val="00824030"/>
    <w:rsid w:val="00824081"/>
    <w:rsid w:val="008240F6"/>
    <w:rsid w:val="008242EC"/>
    <w:rsid w:val="008243D3"/>
    <w:rsid w:val="008243FE"/>
    <w:rsid w:val="00824607"/>
    <w:rsid w:val="00824666"/>
    <w:rsid w:val="00824833"/>
    <w:rsid w:val="0082498F"/>
    <w:rsid w:val="008249A0"/>
    <w:rsid w:val="008249CE"/>
    <w:rsid w:val="00824DDC"/>
    <w:rsid w:val="00824DF0"/>
    <w:rsid w:val="00824E55"/>
    <w:rsid w:val="00825079"/>
    <w:rsid w:val="008251FF"/>
    <w:rsid w:val="00825393"/>
    <w:rsid w:val="008255EA"/>
    <w:rsid w:val="00825753"/>
    <w:rsid w:val="008257E8"/>
    <w:rsid w:val="00825BBB"/>
    <w:rsid w:val="00825C62"/>
    <w:rsid w:val="00825D78"/>
    <w:rsid w:val="00825D95"/>
    <w:rsid w:val="00825E2E"/>
    <w:rsid w:val="00825FC8"/>
    <w:rsid w:val="0082615D"/>
    <w:rsid w:val="00826292"/>
    <w:rsid w:val="008262E5"/>
    <w:rsid w:val="008263DB"/>
    <w:rsid w:val="008264DC"/>
    <w:rsid w:val="00826633"/>
    <w:rsid w:val="0082663B"/>
    <w:rsid w:val="0082676E"/>
    <w:rsid w:val="008267EC"/>
    <w:rsid w:val="00826897"/>
    <w:rsid w:val="00826938"/>
    <w:rsid w:val="00826A95"/>
    <w:rsid w:val="00826BCC"/>
    <w:rsid w:val="00826C07"/>
    <w:rsid w:val="00826C60"/>
    <w:rsid w:val="00826CD7"/>
    <w:rsid w:val="00826E9B"/>
    <w:rsid w:val="0082700A"/>
    <w:rsid w:val="00827136"/>
    <w:rsid w:val="008273D1"/>
    <w:rsid w:val="008273F0"/>
    <w:rsid w:val="0082755E"/>
    <w:rsid w:val="00827576"/>
    <w:rsid w:val="00827722"/>
    <w:rsid w:val="00827849"/>
    <w:rsid w:val="008278FF"/>
    <w:rsid w:val="008279F5"/>
    <w:rsid w:val="00827B75"/>
    <w:rsid w:val="00827BAA"/>
    <w:rsid w:val="00827D7D"/>
    <w:rsid w:val="00827E0B"/>
    <w:rsid w:val="00827EB7"/>
    <w:rsid w:val="00827F90"/>
    <w:rsid w:val="00830278"/>
    <w:rsid w:val="00830402"/>
    <w:rsid w:val="008304CB"/>
    <w:rsid w:val="008305E6"/>
    <w:rsid w:val="0083064F"/>
    <w:rsid w:val="00830723"/>
    <w:rsid w:val="0083075C"/>
    <w:rsid w:val="0083082C"/>
    <w:rsid w:val="0083083B"/>
    <w:rsid w:val="008308A2"/>
    <w:rsid w:val="00830933"/>
    <w:rsid w:val="0083095A"/>
    <w:rsid w:val="00830A5D"/>
    <w:rsid w:val="00830AFC"/>
    <w:rsid w:val="00830C67"/>
    <w:rsid w:val="00830CD9"/>
    <w:rsid w:val="00830E4C"/>
    <w:rsid w:val="0083112F"/>
    <w:rsid w:val="00831481"/>
    <w:rsid w:val="008314CD"/>
    <w:rsid w:val="00831844"/>
    <w:rsid w:val="008319CB"/>
    <w:rsid w:val="00831A3C"/>
    <w:rsid w:val="00831A4E"/>
    <w:rsid w:val="00831B22"/>
    <w:rsid w:val="00831DB5"/>
    <w:rsid w:val="00831E26"/>
    <w:rsid w:val="0083213D"/>
    <w:rsid w:val="008324B5"/>
    <w:rsid w:val="008327C4"/>
    <w:rsid w:val="008327EB"/>
    <w:rsid w:val="00832804"/>
    <w:rsid w:val="00832881"/>
    <w:rsid w:val="008328D7"/>
    <w:rsid w:val="00832A13"/>
    <w:rsid w:val="00832A40"/>
    <w:rsid w:val="00832A8D"/>
    <w:rsid w:val="00832AE3"/>
    <w:rsid w:val="00832AE7"/>
    <w:rsid w:val="00832C7A"/>
    <w:rsid w:val="00832CF2"/>
    <w:rsid w:val="00832D7E"/>
    <w:rsid w:val="00832F78"/>
    <w:rsid w:val="00833107"/>
    <w:rsid w:val="008331ED"/>
    <w:rsid w:val="0083336A"/>
    <w:rsid w:val="008333D6"/>
    <w:rsid w:val="0083378E"/>
    <w:rsid w:val="00833813"/>
    <w:rsid w:val="008338D4"/>
    <w:rsid w:val="00833962"/>
    <w:rsid w:val="008339F3"/>
    <w:rsid w:val="008339FC"/>
    <w:rsid w:val="00833BBB"/>
    <w:rsid w:val="00833BBE"/>
    <w:rsid w:val="00833BD6"/>
    <w:rsid w:val="00833D10"/>
    <w:rsid w:val="00833DDA"/>
    <w:rsid w:val="00833F32"/>
    <w:rsid w:val="008340B9"/>
    <w:rsid w:val="008341E8"/>
    <w:rsid w:val="008342EB"/>
    <w:rsid w:val="00834320"/>
    <w:rsid w:val="00834332"/>
    <w:rsid w:val="008343DF"/>
    <w:rsid w:val="0083443F"/>
    <w:rsid w:val="00834594"/>
    <w:rsid w:val="008345D0"/>
    <w:rsid w:val="0083481E"/>
    <w:rsid w:val="0083482F"/>
    <w:rsid w:val="008348AE"/>
    <w:rsid w:val="00834961"/>
    <w:rsid w:val="00834B61"/>
    <w:rsid w:val="00834C6D"/>
    <w:rsid w:val="00834C7B"/>
    <w:rsid w:val="00834CE6"/>
    <w:rsid w:val="00834DC4"/>
    <w:rsid w:val="00834DCE"/>
    <w:rsid w:val="00834FEA"/>
    <w:rsid w:val="008350B3"/>
    <w:rsid w:val="00835250"/>
    <w:rsid w:val="00835540"/>
    <w:rsid w:val="0083557F"/>
    <w:rsid w:val="008357C2"/>
    <w:rsid w:val="008359CB"/>
    <w:rsid w:val="00835A44"/>
    <w:rsid w:val="00835A95"/>
    <w:rsid w:val="00835CCD"/>
    <w:rsid w:val="00835D89"/>
    <w:rsid w:val="00835FA3"/>
    <w:rsid w:val="008361E9"/>
    <w:rsid w:val="00836226"/>
    <w:rsid w:val="00836635"/>
    <w:rsid w:val="00836650"/>
    <w:rsid w:val="0083688E"/>
    <w:rsid w:val="00836ADB"/>
    <w:rsid w:val="00836DAC"/>
    <w:rsid w:val="00836EDB"/>
    <w:rsid w:val="00836F9A"/>
    <w:rsid w:val="00836FDC"/>
    <w:rsid w:val="008370A6"/>
    <w:rsid w:val="008370C0"/>
    <w:rsid w:val="00837183"/>
    <w:rsid w:val="00837192"/>
    <w:rsid w:val="00837428"/>
    <w:rsid w:val="0083750F"/>
    <w:rsid w:val="0083751C"/>
    <w:rsid w:val="00837530"/>
    <w:rsid w:val="0083766B"/>
    <w:rsid w:val="008379A8"/>
    <w:rsid w:val="00837C02"/>
    <w:rsid w:val="00837C23"/>
    <w:rsid w:val="00837C39"/>
    <w:rsid w:val="00837D6F"/>
    <w:rsid w:val="00837DAC"/>
    <w:rsid w:val="00837DBE"/>
    <w:rsid w:val="00837E1E"/>
    <w:rsid w:val="00837E38"/>
    <w:rsid w:val="00837FAC"/>
    <w:rsid w:val="0084002B"/>
    <w:rsid w:val="008400DA"/>
    <w:rsid w:val="00840195"/>
    <w:rsid w:val="008401A6"/>
    <w:rsid w:val="008401F3"/>
    <w:rsid w:val="00840218"/>
    <w:rsid w:val="0084071B"/>
    <w:rsid w:val="008407B4"/>
    <w:rsid w:val="00840836"/>
    <w:rsid w:val="00840F61"/>
    <w:rsid w:val="00841147"/>
    <w:rsid w:val="008413B2"/>
    <w:rsid w:val="0084145A"/>
    <w:rsid w:val="008414C4"/>
    <w:rsid w:val="0084171D"/>
    <w:rsid w:val="008417F8"/>
    <w:rsid w:val="0084181C"/>
    <w:rsid w:val="00841AF3"/>
    <w:rsid w:val="00841B28"/>
    <w:rsid w:val="00841C24"/>
    <w:rsid w:val="00841DD2"/>
    <w:rsid w:val="00842313"/>
    <w:rsid w:val="00842519"/>
    <w:rsid w:val="008426C6"/>
    <w:rsid w:val="0084295A"/>
    <w:rsid w:val="00842986"/>
    <w:rsid w:val="008429ED"/>
    <w:rsid w:val="008429FC"/>
    <w:rsid w:val="00842AFF"/>
    <w:rsid w:val="00842C37"/>
    <w:rsid w:val="00842CE5"/>
    <w:rsid w:val="008431EB"/>
    <w:rsid w:val="00843336"/>
    <w:rsid w:val="00843433"/>
    <w:rsid w:val="008435FC"/>
    <w:rsid w:val="00843617"/>
    <w:rsid w:val="008437F9"/>
    <w:rsid w:val="0084387F"/>
    <w:rsid w:val="00843A3B"/>
    <w:rsid w:val="00843A7B"/>
    <w:rsid w:val="00843C71"/>
    <w:rsid w:val="00843CEC"/>
    <w:rsid w:val="00843D58"/>
    <w:rsid w:val="00843E8F"/>
    <w:rsid w:val="00844097"/>
    <w:rsid w:val="008440EC"/>
    <w:rsid w:val="00844163"/>
    <w:rsid w:val="00844325"/>
    <w:rsid w:val="0084433E"/>
    <w:rsid w:val="00844528"/>
    <w:rsid w:val="00844570"/>
    <w:rsid w:val="0084458E"/>
    <w:rsid w:val="00844597"/>
    <w:rsid w:val="00844693"/>
    <w:rsid w:val="00844757"/>
    <w:rsid w:val="0084486D"/>
    <w:rsid w:val="0084491B"/>
    <w:rsid w:val="00844BAF"/>
    <w:rsid w:val="00844DB6"/>
    <w:rsid w:val="00844DE9"/>
    <w:rsid w:val="00844F1A"/>
    <w:rsid w:val="00845030"/>
    <w:rsid w:val="008450E7"/>
    <w:rsid w:val="0084527A"/>
    <w:rsid w:val="0084528A"/>
    <w:rsid w:val="008454F1"/>
    <w:rsid w:val="0084560F"/>
    <w:rsid w:val="00845628"/>
    <w:rsid w:val="00845649"/>
    <w:rsid w:val="00845671"/>
    <w:rsid w:val="0084578C"/>
    <w:rsid w:val="00845819"/>
    <w:rsid w:val="0084584B"/>
    <w:rsid w:val="00845930"/>
    <w:rsid w:val="008459A6"/>
    <w:rsid w:val="00845D05"/>
    <w:rsid w:val="00845E3B"/>
    <w:rsid w:val="00845F7C"/>
    <w:rsid w:val="0084603B"/>
    <w:rsid w:val="00846165"/>
    <w:rsid w:val="00846209"/>
    <w:rsid w:val="0084624B"/>
    <w:rsid w:val="008463D4"/>
    <w:rsid w:val="00846451"/>
    <w:rsid w:val="0084680F"/>
    <w:rsid w:val="00846F31"/>
    <w:rsid w:val="00846F55"/>
    <w:rsid w:val="00846FF6"/>
    <w:rsid w:val="00847076"/>
    <w:rsid w:val="0084749B"/>
    <w:rsid w:val="00847546"/>
    <w:rsid w:val="00847550"/>
    <w:rsid w:val="0084755B"/>
    <w:rsid w:val="008476A8"/>
    <w:rsid w:val="00847731"/>
    <w:rsid w:val="00847867"/>
    <w:rsid w:val="0084791E"/>
    <w:rsid w:val="00847934"/>
    <w:rsid w:val="00847A31"/>
    <w:rsid w:val="00847B5E"/>
    <w:rsid w:val="00847B91"/>
    <w:rsid w:val="00847CD4"/>
    <w:rsid w:val="00847D18"/>
    <w:rsid w:val="00847D4A"/>
    <w:rsid w:val="00847DF1"/>
    <w:rsid w:val="00847FAE"/>
    <w:rsid w:val="008500EC"/>
    <w:rsid w:val="00850186"/>
    <w:rsid w:val="008504C7"/>
    <w:rsid w:val="008507C6"/>
    <w:rsid w:val="0085080D"/>
    <w:rsid w:val="00850B32"/>
    <w:rsid w:val="00850C2E"/>
    <w:rsid w:val="00850CDC"/>
    <w:rsid w:val="00850D65"/>
    <w:rsid w:val="008510BB"/>
    <w:rsid w:val="008511CE"/>
    <w:rsid w:val="008513A6"/>
    <w:rsid w:val="008513E6"/>
    <w:rsid w:val="0085140E"/>
    <w:rsid w:val="00851478"/>
    <w:rsid w:val="008515E4"/>
    <w:rsid w:val="008516C3"/>
    <w:rsid w:val="00851745"/>
    <w:rsid w:val="008518D9"/>
    <w:rsid w:val="008518F8"/>
    <w:rsid w:val="008518FF"/>
    <w:rsid w:val="00851B27"/>
    <w:rsid w:val="00851C53"/>
    <w:rsid w:val="00851C60"/>
    <w:rsid w:val="00851E88"/>
    <w:rsid w:val="00851EE0"/>
    <w:rsid w:val="008520BA"/>
    <w:rsid w:val="00852224"/>
    <w:rsid w:val="008523E0"/>
    <w:rsid w:val="008523F1"/>
    <w:rsid w:val="00852492"/>
    <w:rsid w:val="0085264D"/>
    <w:rsid w:val="00852661"/>
    <w:rsid w:val="008526CA"/>
    <w:rsid w:val="00852714"/>
    <w:rsid w:val="0085291D"/>
    <w:rsid w:val="00852996"/>
    <w:rsid w:val="00852A2B"/>
    <w:rsid w:val="00852AD7"/>
    <w:rsid w:val="00852B3A"/>
    <w:rsid w:val="00852BD3"/>
    <w:rsid w:val="00852E58"/>
    <w:rsid w:val="00852F89"/>
    <w:rsid w:val="00853015"/>
    <w:rsid w:val="0085320A"/>
    <w:rsid w:val="008532FA"/>
    <w:rsid w:val="008532FE"/>
    <w:rsid w:val="008533BD"/>
    <w:rsid w:val="008533F5"/>
    <w:rsid w:val="00853428"/>
    <w:rsid w:val="0085347B"/>
    <w:rsid w:val="008536D7"/>
    <w:rsid w:val="0085395E"/>
    <w:rsid w:val="00853A42"/>
    <w:rsid w:val="00853BD6"/>
    <w:rsid w:val="00853C70"/>
    <w:rsid w:val="00853CD9"/>
    <w:rsid w:val="00853D84"/>
    <w:rsid w:val="00854229"/>
    <w:rsid w:val="0085429B"/>
    <w:rsid w:val="0085441D"/>
    <w:rsid w:val="00854581"/>
    <w:rsid w:val="008545D2"/>
    <w:rsid w:val="00854604"/>
    <w:rsid w:val="00854666"/>
    <w:rsid w:val="0085466B"/>
    <w:rsid w:val="00854918"/>
    <w:rsid w:val="00854923"/>
    <w:rsid w:val="008549AC"/>
    <w:rsid w:val="00854A26"/>
    <w:rsid w:val="00854A9C"/>
    <w:rsid w:val="00854B5D"/>
    <w:rsid w:val="00854B6D"/>
    <w:rsid w:val="00854D44"/>
    <w:rsid w:val="00854D65"/>
    <w:rsid w:val="00854DF2"/>
    <w:rsid w:val="00854E22"/>
    <w:rsid w:val="00854E2F"/>
    <w:rsid w:val="0085504A"/>
    <w:rsid w:val="008550C3"/>
    <w:rsid w:val="00855150"/>
    <w:rsid w:val="008551C9"/>
    <w:rsid w:val="0085537C"/>
    <w:rsid w:val="00855604"/>
    <w:rsid w:val="008556E4"/>
    <w:rsid w:val="00855756"/>
    <w:rsid w:val="00855840"/>
    <w:rsid w:val="00855949"/>
    <w:rsid w:val="00855B50"/>
    <w:rsid w:val="00855CF1"/>
    <w:rsid w:val="00855D00"/>
    <w:rsid w:val="00855D0E"/>
    <w:rsid w:val="00855F91"/>
    <w:rsid w:val="00855FC7"/>
    <w:rsid w:val="00856172"/>
    <w:rsid w:val="00856199"/>
    <w:rsid w:val="008561F8"/>
    <w:rsid w:val="008562AA"/>
    <w:rsid w:val="008563FC"/>
    <w:rsid w:val="00856692"/>
    <w:rsid w:val="00856731"/>
    <w:rsid w:val="008568CF"/>
    <w:rsid w:val="00856C43"/>
    <w:rsid w:val="00856C7A"/>
    <w:rsid w:val="00856FEF"/>
    <w:rsid w:val="008570BB"/>
    <w:rsid w:val="00857162"/>
    <w:rsid w:val="008572A3"/>
    <w:rsid w:val="008574A4"/>
    <w:rsid w:val="008575B5"/>
    <w:rsid w:val="008575CA"/>
    <w:rsid w:val="00857689"/>
    <w:rsid w:val="0085781B"/>
    <w:rsid w:val="00857865"/>
    <w:rsid w:val="008578AA"/>
    <w:rsid w:val="00857997"/>
    <w:rsid w:val="00857999"/>
    <w:rsid w:val="00857A26"/>
    <w:rsid w:val="00857BA8"/>
    <w:rsid w:val="00857DC4"/>
    <w:rsid w:val="0086004B"/>
    <w:rsid w:val="008603E1"/>
    <w:rsid w:val="0086047C"/>
    <w:rsid w:val="008604CB"/>
    <w:rsid w:val="008605A0"/>
    <w:rsid w:val="0086066B"/>
    <w:rsid w:val="008606F6"/>
    <w:rsid w:val="008606FB"/>
    <w:rsid w:val="008607B2"/>
    <w:rsid w:val="008607B9"/>
    <w:rsid w:val="00860951"/>
    <w:rsid w:val="008609B8"/>
    <w:rsid w:val="00860A38"/>
    <w:rsid w:val="00860BF2"/>
    <w:rsid w:val="00860F68"/>
    <w:rsid w:val="00861004"/>
    <w:rsid w:val="008611C2"/>
    <w:rsid w:val="0086125F"/>
    <w:rsid w:val="00861344"/>
    <w:rsid w:val="0086178E"/>
    <w:rsid w:val="00861998"/>
    <w:rsid w:val="00861A6E"/>
    <w:rsid w:val="00861CE3"/>
    <w:rsid w:val="00861FF5"/>
    <w:rsid w:val="00862363"/>
    <w:rsid w:val="008623A1"/>
    <w:rsid w:val="008623F7"/>
    <w:rsid w:val="00862548"/>
    <w:rsid w:val="00862555"/>
    <w:rsid w:val="00862576"/>
    <w:rsid w:val="0086270D"/>
    <w:rsid w:val="0086277B"/>
    <w:rsid w:val="00862794"/>
    <w:rsid w:val="008627C0"/>
    <w:rsid w:val="008627D5"/>
    <w:rsid w:val="008628A0"/>
    <w:rsid w:val="00862983"/>
    <w:rsid w:val="00862B02"/>
    <w:rsid w:val="00862BFF"/>
    <w:rsid w:val="00862C3B"/>
    <w:rsid w:val="00862DA0"/>
    <w:rsid w:val="00862FB6"/>
    <w:rsid w:val="00863198"/>
    <w:rsid w:val="0086333C"/>
    <w:rsid w:val="0086339C"/>
    <w:rsid w:val="00863484"/>
    <w:rsid w:val="00863660"/>
    <w:rsid w:val="00863672"/>
    <w:rsid w:val="008636FA"/>
    <w:rsid w:val="00863716"/>
    <w:rsid w:val="00863755"/>
    <w:rsid w:val="008637B4"/>
    <w:rsid w:val="0086382F"/>
    <w:rsid w:val="00863AC3"/>
    <w:rsid w:val="00863B07"/>
    <w:rsid w:val="00863D8A"/>
    <w:rsid w:val="00863FCB"/>
    <w:rsid w:val="00864543"/>
    <w:rsid w:val="008645CB"/>
    <w:rsid w:val="008645F1"/>
    <w:rsid w:val="008646F8"/>
    <w:rsid w:val="00864743"/>
    <w:rsid w:val="0086481F"/>
    <w:rsid w:val="008649AB"/>
    <w:rsid w:val="00864A27"/>
    <w:rsid w:val="00864AB1"/>
    <w:rsid w:val="00864B46"/>
    <w:rsid w:val="00864B6E"/>
    <w:rsid w:val="00864CB3"/>
    <w:rsid w:val="00864EE9"/>
    <w:rsid w:val="00864EF7"/>
    <w:rsid w:val="008651DE"/>
    <w:rsid w:val="00865341"/>
    <w:rsid w:val="00865450"/>
    <w:rsid w:val="008656A3"/>
    <w:rsid w:val="0086571E"/>
    <w:rsid w:val="0086592C"/>
    <w:rsid w:val="00865A49"/>
    <w:rsid w:val="00865A94"/>
    <w:rsid w:val="00865B4B"/>
    <w:rsid w:val="00865C13"/>
    <w:rsid w:val="00865C52"/>
    <w:rsid w:val="00865D9E"/>
    <w:rsid w:val="00865E5A"/>
    <w:rsid w:val="00866038"/>
    <w:rsid w:val="00866122"/>
    <w:rsid w:val="0086618A"/>
    <w:rsid w:val="008661FE"/>
    <w:rsid w:val="008663E6"/>
    <w:rsid w:val="0086649E"/>
    <w:rsid w:val="00866518"/>
    <w:rsid w:val="00866546"/>
    <w:rsid w:val="00866566"/>
    <w:rsid w:val="0086656E"/>
    <w:rsid w:val="00866616"/>
    <w:rsid w:val="00866664"/>
    <w:rsid w:val="00866826"/>
    <w:rsid w:val="008669C4"/>
    <w:rsid w:val="00866A3F"/>
    <w:rsid w:val="00866AD2"/>
    <w:rsid w:val="00866B36"/>
    <w:rsid w:val="00866C74"/>
    <w:rsid w:val="00866CD1"/>
    <w:rsid w:val="00866D10"/>
    <w:rsid w:val="00866E09"/>
    <w:rsid w:val="00866E37"/>
    <w:rsid w:val="008670CB"/>
    <w:rsid w:val="008670D8"/>
    <w:rsid w:val="0086716D"/>
    <w:rsid w:val="00867281"/>
    <w:rsid w:val="00867302"/>
    <w:rsid w:val="0086743D"/>
    <w:rsid w:val="00867544"/>
    <w:rsid w:val="008675BF"/>
    <w:rsid w:val="00867666"/>
    <w:rsid w:val="008676A1"/>
    <w:rsid w:val="00867890"/>
    <w:rsid w:val="00867940"/>
    <w:rsid w:val="008679BB"/>
    <w:rsid w:val="00867A55"/>
    <w:rsid w:val="00867A6E"/>
    <w:rsid w:val="00867ADC"/>
    <w:rsid w:val="00867AF0"/>
    <w:rsid w:val="00867C01"/>
    <w:rsid w:val="00867C17"/>
    <w:rsid w:val="00867C6C"/>
    <w:rsid w:val="00867F8F"/>
    <w:rsid w:val="00870128"/>
    <w:rsid w:val="00870355"/>
    <w:rsid w:val="0087035E"/>
    <w:rsid w:val="008703C0"/>
    <w:rsid w:val="008704E2"/>
    <w:rsid w:val="00870571"/>
    <w:rsid w:val="00870635"/>
    <w:rsid w:val="00870682"/>
    <w:rsid w:val="008707B0"/>
    <w:rsid w:val="0087090C"/>
    <w:rsid w:val="0087091D"/>
    <w:rsid w:val="00870A49"/>
    <w:rsid w:val="00870CCA"/>
    <w:rsid w:val="00870CE1"/>
    <w:rsid w:val="00870E39"/>
    <w:rsid w:val="00870E7F"/>
    <w:rsid w:val="00870F60"/>
    <w:rsid w:val="00870FDF"/>
    <w:rsid w:val="0087108D"/>
    <w:rsid w:val="008711F4"/>
    <w:rsid w:val="00871257"/>
    <w:rsid w:val="00871297"/>
    <w:rsid w:val="00871497"/>
    <w:rsid w:val="008714F1"/>
    <w:rsid w:val="0087158A"/>
    <w:rsid w:val="0087164A"/>
    <w:rsid w:val="00871B42"/>
    <w:rsid w:val="00871BC4"/>
    <w:rsid w:val="00871C2F"/>
    <w:rsid w:val="00871CA3"/>
    <w:rsid w:val="00871F41"/>
    <w:rsid w:val="00871F61"/>
    <w:rsid w:val="00871F77"/>
    <w:rsid w:val="00872247"/>
    <w:rsid w:val="00872281"/>
    <w:rsid w:val="008722A1"/>
    <w:rsid w:val="008724E7"/>
    <w:rsid w:val="00872568"/>
    <w:rsid w:val="0087279B"/>
    <w:rsid w:val="008729BA"/>
    <w:rsid w:val="00872B0B"/>
    <w:rsid w:val="00872B52"/>
    <w:rsid w:val="00872B55"/>
    <w:rsid w:val="00872BCF"/>
    <w:rsid w:val="00872F6F"/>
    <w:rsid w:val="0087311C"/>
    <w:rsid w:val="008731E9"/>
    <w:rsid w:val="0087324E"/>
    <w:rsid w:val="008734BD"/>
    <w:rsid w:val="00873573"/>
    <w:rsid w:val="00873700"/>
    <w:rsid w:val="00873732"/>
    <w:rsid w:val="008737C1"/>
    <w:rsid w:val="008737E2"/>
    <w:rsid w:val="0087382D"/>
    <w:rsid w:val="00873873"/>
    <w:rsid w:val="00873931"/>
    <w:rsid w:val="00873984"/>
    <w:rsid w:val="00873AC2"/>
    <w:rsid w:val="00873BEB"/>
    <w:rsid w:val="00873E1F"/>
    <w:rsid w:val="00873EE9"/>
    <w:rsid w:val="00873EFF"/>
    <w:rsid w:val="00873FD3"/>
    <w:rsid w:val="00873FFB"/>
    <w:rsid w:val="00874097"/>
    <w:rsid w:val="00874219"/>
    <w:rsid w:val="0087422A"/>
    <w:rsid w:val="008742C4"/>
    <w:rsid w:val="0087433D"/>
    <w:rsid w:val="008743BC"/>
    <w:rsid w:val="00874514"/>
    <w:rsid w:val="00874645"/>
    <w:rsid w:val="00874679"/>
    <w:rsid w:val="00874775"/>
    <w:rsid w:val="0087499A"/>
    <w:rsid w:val="00874C7A"/>
    <w:rsid w:val="00874CA4"/>
    <w:rsid w:val="00874CF3"/>
    <w:rsid w:val="00874D0E"/>
    <w:rsid w:val="00874D29"/>
    <w:rsid w:val="00874F7C"/>
    <w:rsid w:val="008750A6"/>
    <w:rsid w:val="008750BE"/>
    <w:rsid w:val="008750BF"/>
    <w:rsid w:val="008751DF"/>
    <w:rsid w:val="0087533F"/>
    <w:rsid w:val="00875370"/>
    <w:rsid w:val="008754B2"/>
    <w:rsid w:val="008755C0"/>
    <w:rsid w:val="008755C3"/>
    <w:rsid w:val="0087570E"/>
    <w:rsid w:val="0087580A"/>
    <w:rsid w:val="00875A46"/>
    <w:rsid w:val="00875A6D"/>
    <w:rsid w:val="00875DF4"/>
    <w:rsid w:val="00876023"/>
    <w:rsid w:val="00876082"/>
    <w:rsid w:val="008761C9"/>
    <w:rsid w:val="00876254"/>
    <w:rsid w:val="00876287"/>
    <w:rsid w:val="00876290"/>
    <w:rsid w:val="00876294"/>
    <w:rsid w:val="008763A7"/>
    <w:rsid w:val="00876492"/>
    <w:rsid w:val="008764A5"/>
    <w:rsid w:val="008766B1"/>
    <w:rsid w:val="008766BF"/>
    <w:rsid w:val="00876819"/>
    <w:rsid w:val="0087682E"/>
    <w:rsid w:val="00876A02"/>
    <w:rsid w:val="00876A4D"/>
    <w:rsid w:val="00876B28"/>
    <w:rsid w:val="00876BD8"/>
    <w:rsid w:val="00876D02"/>
    <w:rsid w:val="00876D05"/>
    <w:rsid w:val="008770E4"/>
    <w:rsid w:val="008775A5"/>
    <w:rsid w:val="0087786D"/>
    <w:rsid w:val="008778F5"/>
    <w:rsid w:val="00877A73"/>
    <w:rsid w:val="00877A8C"/>
    <w:rsid w:val="00877AD9"/>
    <w:rsid w:val="00877C0A"/>
    <w:rsid w:val="00877C46"/>
    <w:rsid w:val="00877CC5"/>
    <w:rsid w:val="00877CEB"/>
    <w:rsid w:val="00877E32"/>
    <w:rsid w:val="00877E45"/>
    <w:rsid w:val="00877EBC"/>
    <w:rsid w:val="008801E2"/>
    <w:rsid w:val="008801E8"/>
    <w:rsid w:val="00880237"/>
    <w:rsid w:val="008802B0"/>
    <w:rsid w:val="00880443"/>
    <w:rsid w:val="00880685"/>
    <w:rsid w:val="008806B9"/>
    <w:rsid w:val="00880983"/>
    <w:rsid w:val="00880B62"/>
    <w:rsid w:val="00880CC3"/>
    <w:rsid w:val="00880D20"/>
    <w:rsid w:val="00880D6E"/>
    <w:rsid w:val="00880E29"/>
    <w:rsid w:val="00880ED8"/>
    <w:rsid w:val="008810DA"/>
    <w:rsid w:val="0088134C"/>
    <w:rsid w:val="008817E3"/>
    <w:rsid w:val="00881A62"/>
    <w:rsid w:val="00881BE5"/>
    <w:rsid w:val="00881CB2"/>
    <w:rsid w:val="00881F8C"/>
    <w:rsid w:val="00882097"/>
    <w:rsid w:val="008822EF"/>
    <w:rsid w:val="00882310"/>
    <w:rsid w:val="0088241B"/>
    <w:rsid w:val="008825A1"/>
    <w:rsid w:val="00882692"/>
    <w:rsid w:val="008826D4"/>
    <w:rsid w:val="00882B90"/>
    <w:rsid w:val="00882C13"/>
    <w:rsid w:val="00882CCA"/>
    <w:rsid w:val="00882D43"/>
    <w:rsid w:val="00882D44"/>
    <w:rsid w:val="00882DA0"/>
    <w:rsid w:val="00882DA5"/>
    <w:rsid w:val="00882E26"/>
    <w:rsid w:val="00882F2B"/>
    <w:rsid w:val="00882F54"/>
    <w:rsid w:val="00882FDB"/>
    <w:rsid w:val="008831FB"/>
    <w:rsid w:val="00883362"/>
    <w:rsid w:val="008835BA"/>
    <w:rsid w:val="008837A9"/>
    <w:rsid w:val="00883881"/>
    <w:rsid w:val="00883955"/>
    <w:rsid w:val="00883C93"/>
    <w:rsid w:val="00883CE4"/>
    <w:rsid w:val="00883DA7"/>
    <w:rsid w:val="008840A6"/>
    <w:rsid w:val="00884375"/>
    <w:rsid w:val="00884382"/>
    <w:rsid w:val="008844B7"/>
    <w:rsid w:val="00884516"/>
    <w:rsid w:val="00884566"/>
    <w:rsid w:val="008845E5"/>
    <w:rsid w:val="00884780"/>
    <w:rsid w:val="0088481F"/>
    <w:rsid w:val="0088486F"/>
    <w:rsid w:val="00884885"/>
    <w:rsid w:val="0088490B"/>
    <w:rsid w:val="00884C65"/>
    <w:rsid w:val="00884E02"/>
    <w:rsid w:val="00884E24"/>
    <w:rsid w:val="00884F4C"/>
    <w:rsid w:val="00885092"/>
    <w:rsid w:val="008851C7"/>
    <w:rsid w:val="00885370"/>
    <w:rsid w:val="008856CE"/>
    <w:rsid w:val="00885868"/>
    <w:rsid w:val="00885979"/>
    <w:rsid w:val="00885B77"/>
    <w:rsid w:val="00885BB6"/>
    <w:rsid w:val="00885C4F"/>
    <w:rsid w:val="00885DA7"/>
    <w:rsid w:val="00885E02"/>
    <w:rsid w:val="00886121"/>
    <w:rsid w:val="00886290"/>
    <w:rsid w:val="008863E9"/>
    <w:rsid w:val="00886404"/>
    <w:rsid w:val="008864E4"/>
    <w:rsid w:val="00886536"/>
    <w:rsid w:val="008865E1"/>
    <w:rsid w:val="0088665B"/>
    <w:rsid w:val="00886668"/>
    <w:rsid w:val="008866E9"/>
    <w:rsid w:val="008867D7"/>
    <w:rsid w:val="008868D2"/>
    <w:rsid w:val="00886AB4"/>
    <w:rsid w:val="00886B31"/>
    <w:rsid w:val="00886CD0"/>
    <w:rsid w:val="00886D22"/>
    <w:rsid w:val="00886F5A"/>
    <w:rsid w:val="00887083"/>
    <w:rsid w:val="00887095"/>
    <w:rsid w:val="00887099"/>
    <w:rsid w:val="008870D3"/>
    <w:rsid w:val="00887351"/>
    <w:rsid w:val="008873B9"/>
    <w:rsid w:val="008873BE"/>
    <w:rsid w:val="0088745E"/>
    <w:rsid w:val="0088757A"/>
    <w:rsid w:val="008878A1"/>
    <w:rsid w:val="008879FF"/>
    <w:rsid w:val="00887B4F"/>
    <w:rsid w:val="00887C9C"/>
    <w:rsid w:val="00887D34"/>
    <w:rsid w:val="00887D9D"/>
    <w:rsid w:val="00887F27"/>
    <w:rsid w:val="00887F7F"/>
    <w:rsid w:val="008901E5"/>
    <w:rsid w:val="008903C9"/>
    <w:rsid w:val="00890421"/>
    <w:rsid w:val="00890466"/>
    <w:rsid w:val="00890793"/>
    <w:rsid w:val="00890A0F"/>
    <w:rsid w:val="00890A93"/>
    <w:rsid w:val="00890AA8"/>
    <w:rsid w:val="00890AFD"/>
    <w:rsid w:val="00890BED"/>
    <w:rsid w:val="00890DAD"/>
    <w:rsid w:val="00890DF2"/>
    <w:rsid w:val="00890E3D"/>
    <w:rsid w:val="00890F5B"/>
    <w:rsid w:val="008910CE"/>
    <w:rsid w:val="008911AF"/>
    <w:rsid w:val="008911C6"/>
    <w:rsid w:val="008911CF"/>
    <w:rsid w:val="00891296"/>
    <w:rsid w:val="0089131E"/>
    <w:rsid w:val="00891485"/>
    <w:rsid w:val="00891672"/>
    <w:rsid w:val="00891685"/>
    <w:rsid w:val="00891885"/>
    <w:rsid w:val="0089195F"/>
    <w:rsid w:val="00891DAE"/>
    <w:rsid w:val="00891DDC"/>
    <w:rsid w:val="00891F10"/>
    <w:rsid w:val="00891F24"/>
    <w:rsid w:val="00891F6F"/>
    <w:rsid w:val="00892130"/>
    <w:rsid w:val="008921A1"/>
    <w:rsid w:val="008921ED"/>
    <w:rsid w:val="0089238B"/>
    <w:rsid w:val="008923CC"/>
    <w:rsid w:val="008923E8"/>
    <w:rsid w:val="0089243E"/>
    <w:rsid w:val="008926AC"/>
    <w:rsid w:val="008926F1"/>
    <w:rsid w:val="00892844"/>
    <w:rsid w:val="0089291D"/>
    <w:rsid w:val="00892C0B"/>
    <w:rsid w:val="00892DE1"/>
    <w:rsid w:val="00892F72"/>
    <w:rsid w:val="008930AD"/>
    <w:rsid w:val="008930B5"/>
    <w:rsid w:val="008930FB"/>
    <w:rsid w:val="008932E1"/>
    <w:rsid w:val="00893312"/>
    <w:rsid w:val="00893360"/>
    <w:rsid w:val="008935EA"/>
    <w:rsid w:val="008936FF"/>
    <w:rsid w:val="00893721"/>
    <w:rsid w:val="0089373A"/>
    <w:rsid w:val="0089399C"/>
    <w:rsid w:val="008939B2"/>
    <w:rsid w:val="00893A32"/>
    <w:rsid w:val="00893C5A"/>
    <w:rsid w:val="00893E14"/>
    <w:rsid w:val="0089409B"/>
    <w:rsid w:val="00894315"/>
    <w:rsid w:val="008943ED"/>
    <w:rsid w:val="00894416"/>
    <w:rsid w:val="008947C6"/>
    <w:rsid w:val="00894818"/>
    <w:rsid w:val="00894971"/>
    <w:rsid w:val="00894AE3"/>
    <w:rsid w:val="00894C53"/>
    <w:rsid w:val="00894D9C"/>
    <w:rsid w:val="00894EE5"/>
    <w:rsid w:val="0089507C"/>
    <w:rsid w:val="00895260"/>
    <w:rsid w:val="00895555"/>
    <w:rsid w:val="00895574"/>
    <w:rsid w:val="0089574A"/>
    <w:rsid w:val="00895AFC"/>
    <w:rsid w:val="00895C3F"/>
    <w:rsid w:val="00895D42"/>
    <w:rsid w:val="00895E5E"/>
    <w:rsid w:val="00895E93"/>
    <w:rsid w:val="00895EA8"/>
    <w:rsid w:val="00895FC6"/>
    <w:rsid w:val="008960E7"/>
    <w:rsid w:val="00896166"/>
    <w:rsid w:val="00896278"/>
    <w:rsid w:val="008962D6"/>
    <w:rsid w:val="008962EC"/>
    <w:rsid w:val="00896310"/>
    <w:rsid w:val="0089647B"/>
    <w:rsid w:val="008964CB"/>
    <w:rsid w:val="00896805"/>
    <w:rsid w:val="008968F0"/>
    <w:rsid w:val="00896968"/>
    <w:rsid w:val="00896C6A"/>
    <w:rsid w:val="00896EE7"/>
    <w:rsid w:val="00896FE2"/>
    <w:rsid w:val="00897086"/>
    <w:rsid w:val="0089708D"/>
    <w:rsid w:val="00897105"/>
    <w:rsid w:val="008972BB"/>
    <w:rsid w:val="0089732D"/>
    <w:rsid w:val="00897409"/>
    <w:rsid w:val="008974F5"/>
    <w:rsid w:val="0089751B"/>
    <w:rsid w:val="00897654"/>
    <w:rsid w:val="00897739"/>
    <w:rsid w:val="008977A5"/>
    <w:rsid w:val="00897A42"/>
    <w:rsid w:val="00897AA1"/>
    <w:rsid w:val="00897EF4"/>
    <w:rsid w:val="00897FA6"/>
    <w:rsid w:val="008A0010"/>
    <w:rsid w:val="008A002B"/>
    <w:rsid w:val="008A016B"/>
    <w:rsid w:val="008A0201"/>
    <w:rsid w:val="008A0266"/>
    <w:rsid w:val="008A0493"/>
    <w:rsid w:val="008A052F"/>
    <w:rsid w:val="008A05D9"/>
    <w:rsid w:val="008A0652"/>
    <w:rsid w:val="008A0791"/>
    <w:rsid w:val="008A0846"/>
    <w:rsid w:val="008A0956"/>
    <w:rsid w:val="008A0BE4"/>
    <w:rsid w:val="008A0D3E"/>
    <w:rsid w:val="008A0D53"/>
    <w:rsid w:val="008A0E36"/>
    <w:rsid w:val="008A0FAE"/>
    <w:rsid w:val="008A0FBE"/>
    <w:rsid w:val="008A1048"/>
    <w:rsid w:val="008A1062"/>
    <w:rsid w:val="008A106F"/>
    <w:rsid w:val="008A1184"/>
    <w:rsid w:val="008A1242"/>
    <w:rsid w:val="008A12BF"/>
    <w:rsid w:val="008A14DA"/>
    <w:rsid w:val="008A162F"/>
    <w:rsid w:val="008A169C"/>
    <w:rsid w:val="008A181C"/>
    <w:rsid w:val="008A18BF"/>
    <w:rsid w:val="008A196B"/>
    <w:rsid w:val="008A1B8A"/>
    <w:rsid w:val="008A1BB5"/>
    <w:rsid w:val="008A1C8F"/>
    <w:rsid w:val="008A1EF4"/>
    <w:rsid w:val="008A1F53"/>
    <w:rsid w:val="008A20A2"/>
    <w:rsid w:val="008A20EE"/>
    <w:rsid w:val="008A212C"/>
    <w:rsid w:val="008A21EF"/>
    <w:rsid w:val="008A2403"/>
    <w:rsid w:val="008A259E"/>
    <w:rsid w:val="008A26C3"/>
    <w:rsid w:val="008A26EA"/>
    <w:rsid w:val="008A2702"/>
    <w:rsid w:val="008A2797"/>
    <w:rsid w:val="008A2AF9"/>
    <w:rsid w:val="008A2BFE"/>
    <w:rsid w:val="008A2C01"/>
    <w:rsid w:val="008A2C8D"/>
    <w:rsid w:val="008A2CBA"/>
    <w:rsid w:val="008A2D93"/>
    <w:rsid w:val="008A2E2F"/>
    <w:rsid w:val="008A2F8D"/>
    <w:rsid w:val="008A2FA6"/>
    <w:rsid w:val="008A303D"/>
    <w:rsid w:val="008A30FF"/>
    <w:rsid w:val="008A3176"/>
    <w:rsid w:val="008A3247"/>
    <w:rsid w:val="008A3359"/>
    <w:rsid w:val="008A361E"/>
    <w:rsid w:val="008A3759"/>
    <w:rsid w:val="008A38A0"/>
    <w:rsid w:val="008A38C6"/>
    <w:rsid w:val="008A39B7"/>
    <w:rsid w:val="008A3A95"/>
    <w:rsid w:val="008A3D5C"/>
    <w:rsid w:val="008A3D79"/>
    <w:rsid w:val="008A3E4D"/>
    <w:rsid w:val="008A403A"/>
    <w:rsid w:val="008A410C"/>
    <w:rsid w:val="008A41CE"/>
    <w:rsid w:val="008A4216"/>
    <w:rsid w:val="008A43C9"/>
    <w:rsid w:val="008A47AC"/>
    <w:rsid w:val="008A4881"/>
    <w:rsid w:val="008A48D6"/>
    <w:rsid w:val="008A4972"/>
    <w:rsid w:val="008A4A22"/>
    <w:rsid w:val="008A4AC7"/>
    <w:rsid w:val="008A4C0B"/>
    <w:rsid w:val="008A4D70"/>
    <w:rsid w:val="008A4DBD"/>
    <w:rsid w:val="008A5080"/>
    <w:rsid w:val="008A51FA"/>
    <w:rsid w:val="008A5200"/>
    <w:rsid w:val="008A54CF"/>
    <w:rsid w:val="008A553B"/>
    <w:rsid w:val="008A5973"/>
    <w:rsid w:val="008A5A16"/>
    <w:rsid w:val="008A5B1E"/>
    <w:rsid w:val="008A5C23"/>
    <w:rsid w:val="008A5C24"/>
    <w:rsid w:val="008A5C2B"/>
    <w:rsid w:val="008A5CD9"/>
    <w:rsid w:val="008A5D9D"/>
    <w:rsid w:val="008A5E0A"/>
    <w:rsid w:val="008A631D"/>
    <w:rsid w:val="008A640F"/>
    <w:rsid w:val="008A65D4"/>
    <w:rsid w:val="008A6A73"/>
    <w:rsid w:val="008A6A8F"/>
    <w:rsid w:val="008A6B58"/>
    <w:rsid w:val="008A71B3"/>
    <w:rsid w:val="008A71F9"/>
    <w:rsid w:val="008A7423"/>
    <w:rsid w:val="008A7832"/>
    <w:rsid w:val="008A7958"/>
    <w:rsid w:val="008A7A81"/>
    <w:rsid w:val="008A7D85"/>
    <w:rsid w:val="008A7DE7"/>
    <w:rsid w:val="008B00A0"/>
    <w:rsid w:val="008B0236"/>
    <w:rsid w:val="008B04DE"/>
    <w:rsid w:val="008B05F5"/>
    <w:rsid w:val="008B061F"/>
    <w:rsid w:val="008B06FC"/>
    <w:rsid w:val="008B0706"/>
    <w:rsid w:val="008B07BB"/>
    <w:rsid w:val="008B07E7"/>
    <w:rsid w:val="008B0ABD"/>
    <w:rsid w:val="008B0E3C"/>
    <w:rsid w:val="008B12C4"/>
    <w:rsid w:val="008B14A6"/>
    <w:rsid w:val="008B1540"/>
    <w:rsid w:val="008B154A"/>
    <w:rsid w:val="008B16F6"/>
    <w:rsid w:val="008B188F"/>
    <w:rsid w:val="008B18BB"/>
    <w:rsid w:val="008B1A8E"/>
    <w:rsid w:val="008B1AED"/>
    <w:rsid w:val="008B1CFD"/>
    <w:rsid w:val="008B1F5B"/>
    <w:rsid w:val="008B20FA"/>
    <w:rsid w:val="008B2128"/>
    <w:rsid w:val="008B21EB"/>
    <w:rsid w:val="008B2261"/>
    <w:rsid w:val="008B2339"/>
    <w:rsid w:val="008B23FA"/>
    <w:rsid w:val="008B2596"/>
    <w:rsid w:val="008B2998"/>
    <w:rsid w:val="008B2DC6"/>
    <w:rsid w:val="008B3158"/>
    <w:rsid w:val="008B31AD"/>
    <w:rsid w:val="008B3359"/>
    <w:rsid w:val="008B33DB"/>
    <w:rsid w:val="008B33EA"/>
    <w:rsid w:val="008B354F"/>
    <w:rsid w:val="008B3652"/>
    <w:rsid w:val="008B366A"/>
    <w:rsid w:val="008B37F9"/>
    <w:rsid w:val="008B389A"/>
    <w:rsid w:val="008B389F"/>
    <w:rsid w:val="008B3930"/>
    <w:rsid w:val="008B3944"/>
    <w:rsid w:val="008B3B98"/>
    <w:rsid w:val="008B3C1C"/>
    <w:rsid w:val="008B3E5D"/>
    <w:rsid w:val="008B40A3"/>
    <w:rsid w:val="008B4138"/>
    <w:rsid w:val="008B4150"/>
    <w:rsid w:val="008B450B"/>
    <w:rsid w:val="008B452B"/>
    <w:rsid w:val="008B458D"/>
    <w:rsid w:val="008B4619"/>
    <w:rsid w:val="008B461B"/>
    <w:rsid w:val="008B4638"/>
    <w:rsid w:val="008B4881"/>
    <w:rsid w:val="008B4A21"/>
    <w:rsid w:val="008B4BF6"/>
    <w:rsid w:val="008B4C79"/>
    <w:rsid w:val="008B4D48"/>
    <w:rsid w:val="008B4DDD"/>
    <w:rsid w:val="008B4E8E"/>
    <w:rsid w:val="008B4E92"/>
    <w:rsid w:val="008B50A4"/>
    <w:rsid w:val="008B535E"/>
    <w:rsid w:val="008B53B9"/>
    <w:rsid w:val="008B5470"/>
    <w:rsid w:val="008B5604"/>
    <w:rsid w:val="008B585E"/>
    <w:rsid w:val="008B5885"/>
    <w:rsid w:val="008B5A5C"/>
    <w:rsid w:val="008B5AB4"/>
    <w:rsid w:val="008B5AF8"/>
    <w:rsid w:val="008B5CA0"/>
    <w:rsid w:val="008B5D7F"/>
    <w:rsid w:val="008B5EC8"/>
    <w:rsid w:val="008B5EE2"/>
    <w:rsid w:val="008B618D"/>
    <w:rsid w:val="008B65B0"/>
    <w:rsid w:val="008B6616"/>
    <w:rsid w:val="008B661E"/>
    <w:rsid w:val="008B6692"/>
    <w:rsid w:val="008B6790"/>
    <w:rsid w:val="008B6BC2"/>
    <w:rsid w:val="008B6E1E"/>
    <w:rsid w:val="008B6E4D"/>
    <w:rsid w:val="008B7150"/>
    <w:rsid w:val="008B72BC"/>
    <w:rsid w:val="008B7485"/>
    <w:rsid w:val="008B7850"/>
    <w:rsid w:val="008B785B"/>
    <w:rsid w:val="008B7C78"/>
    <w:rsid w:val="008B7DBF"/>
    <w:rsid w:val="008B7EA9"/>
    <w:rsid w:val="008C01F8"/>
    <w:rsid w:val="008C02A4"/>
    <w:rsid w:val="008C02FE"/>
    <w:rsid w:val="008C0383"/>
    <w:rsid w:val="008C05DE"/>
    <w:rsid w:val="008C07EC"/>
    <w:rsid w:val="008C0894"/>
    <w:rsid w:val="008C0926"/>
    <w:rsid w:val="008C0BA0"/>
    <w:rsid w:val="008C0C0B"/>
    <w:rsid w:val="008C0D38"/>
    <w:rsid w:val="008C0EB7"/>
    <w:rsid w:val="008C0EE1"/>
    <w:rsid w:val="008C10C0"/>
    <w:rsid w:val="008C17D3"/>
    <w:rsid w:val="008C191B"/>
    <w:rsid w:val="008C1A61"/>
    <w:rsid w:val="008C1A93"/>
    <w:rsid w:val="008C1A99"/>
    <w:rsid w:val="008C1ADA"/>
    <w:rsid w:val="008C1B40"/>
    <w:rsid w:val="008C1B84"/>
    <w:rsid w:val="008C1BB0"/>
    <w:rsid w:val="008C1CE4"/>
    <w:rsid w:val="008C1CF2"/>
    <w:rsid w:val="008C1DAD"/>
    <w:rsid w:val="008C1E34"/>
    <w:rsid w:val="008C2082"/>
    <w:rsid w:val="008C229A"/>
    <w:rsid w:val="008C2541"/>
    <w:rsid w:val="008C2671"/>
    <w:rsid w:val="008C29E4"/>
    <w:rsid w:val="008C2A35"/>
    <w:rsid w:val="008C2D14"/>
    <w:rsid w:val="008C2EFE"/>
    <w:rsid w:val="008C2F72"/>
    <w:rsid w:val="008C3404"/>
    <w:rsid w:val="008C3481"/>
    <w:rsid w:val="008C348B"/>
    <w:rsid w:val="008C3610"/>
    <w:rsid w:val="008C363E"/>
    <w:rsid w:val="008C367F"/>
    <w:rsid w:val="008C375F"/>
    <w:rsid w:val="008C37CD"/>
    <w:rsid w:val="008C37F5"/>
    <w:rsid w:val="008C3A0F"/>
    <w:rsid w:val="008C3B33"/>
    <w:rsid w:val="008C3C24"/>
    <w:rsid w:val="008C3CC2"/>
    <w:rsid w:val="008C3D4C"/>
    <w:rsid w:val="008C3E00"/>
    <w:rsid w:val="008C3F48"/>
    <w:rsid w:val="008C400B"/>
    <w:rsid w:val="008C4063"/>
    <w:rsid w:val="008C4456"/>
    <w:rsid w:val="008C44FD"/>
    <w:rsid w:val="008C4816"/>
    <w:rsid w:val="008C4911"/>
    <w:rsid w:val="008C4B94"/>
    <w:rsid w:val="008C4C5F"/>
    <w:rsid w:val="008C4D3C"/>
    <w:rsid w:val="008C4E5B"/>
    <w:rsid w:val="008C4F1F"/>
    <w:rsid w:val="008C507A"/>
    <w:rsid w:val="008C50E8"/>
    <w:rsid w:val="008C5178"/>
    <w:rsid w:val="008C52FD"/>
    <w:rsid w:val="008C53AD"/>
    <w:rsid w:val="008C5447"/>
    <w:rsid w:val="008C5564"/>
    <w:rsid w:val="008C589E"/>
    <w:rsid w:val="008C589F"/>
    <w:rsid w:val="008C5AED"/>
    <w:rsid w:val="008C5B29"/>
    <w:rsid w:val="008C5B78"/>
    <w:rsid w:val="008C5BB1"/>
    <w:rsid w:val="008C5C60"/>
    <w:rsid w:val="008C5C76"/>
    <w:rsid w:val="008C5EBE"/>
    <w:rsid w:val="008C6010"/>
    <w:rsid w:val="008C601C"/>
    <w:rsid w:val="008C6142"/>
    <w:rsid w:val="008C6211"/>
    <w:rsid w:val="008C6216"/>
    <w:rsid w:val="008C6280"/>
    <w:rsid w:val="008C6483"/>
    <w:rsid w:val="008C66A2"/>
    <w:rsid w:val="008C66D2"/>
    <w:rsid w:val="008C6736"/>
    <w:rsid w:val="008C69A7"/>
    <w:rsid w:val="008C69CA"/>
    <w:rsid w:val="008C69E9"/>
    <w:rsid w:val="008C6AB0"/>
    <w:rsid w:val="008C6B3F"/>
    <w:rsid w:val="008C6D50"/>
    <w:rsid w:val="008C6DDD"/>
    <w:rsid w:val="008C6DF6"/>
    <w:rsid w:val="008C700E"/>
    <w:rsid w:val="008C70BC"/>
    <w:rsid w:val="008C719A"/>
    <w:rsid w:val="008C722D"/>
    <w:rsid w:val="008C72CF"/>
    <w:rsid w:val="008C7308"/>
    <w:rsid w:val="008C7360"/>
    <w:rsid w:val="008C7632"/>
    <w:rsid w:val="008C7658"/>
    <w:rsid w:val="008C7873"/>
    <w:rsid w:val="008C7DAA"/>
    <w:rsid w:val="008C7EAC"/>
    <w:rsid w:val="008C7FC8"/>
    <w:rsid w:val="008D0053"/>
    <w:rsid w:val="008D037F"/>
    <w:rsid w:val="008D050A"/>
    <w:rsid w:val="008D0663"/>
    <w:rsid w:val="008D07A7"/>
    <w:rsid w:val="008D07AD"/>
    <w:rsid w:val="008D084C"/>
    <w:rsid w:val="008D08AB"/>
    <w:rsid w:val="008D08EA"/>
    <w:rsid w:val="008D0A4C"/>
    <w:rsid w:val="008D0CB8"/>
    <w:rsid w:val="008D0CD1"/>
    <w:rsid w:val="008D0D97"/>
    <w:rsid w:val="008D0E63"/>
    <w:rsid w:val="008D0F60"/>
    <w:rsid w:val="008D0FAA"/>
    <w:rsid w:val="008D10AF"/>
    <w:rsid w:val="008D12B9"/>
    <w:rsid w:val="008D1529"/>
    <w:rsid w:val="008D153A"/>
    <w:rsid w:val="008D15D6"/>
    <w:rsid w:val="008D1A23"/>
    <w:rsid w:val="008D1AC5"/>
    <w:rsid w:val="008D1CE0"/>
    <w:rsid w:val="008D1DA7"/>
    <w:rsid w:val="008D2028"/>
    <w:rsid w:val="008D21C7"/>
    <w:rsid w:val="008D21DE"/>
    <w:rsid w:val="008D2212"/>
    <w:rsid w:val="008D2242"/>
    <w:rsid w:val="008D2497"/>
    <w:rsid w:val="008D2702"/>
    <w:rsid w:val="008D27ED"/>
    <w:rsid w:val="008D29DB"/>
    <w:rsid w:val="008D2AB0"/>
    <w:rsid w:val="008D2ABF"/>
    <w:rsid w:val="008D2C69"/>
    <w:rsid w:val="008D2DBD"/>
    <w:rsid w:val="008D2E9B"/>
    <w:rsid w:val="008D2F1D"/>
    <w:rsid w:val="008D30CC"/>
    <w:rsid w:val="008D3123"/>
    <w:rsid w:val="008D314E"/>
    <w:rsid w:val="008D3460"/>
    <w:rsid w:val="008D3488"/>
    <w:rsid w:val="008D3657"/>
    <w:rsid w:val="008D3704"/>
    <w:rsid w:val="008D3973"/>
    <w:rsid w:val="008D3AD3"/>
    <w:rsid w:val="008D3D77"/>
    <w:rsid w:val="008D3F35"/>
    <w:rsid w:val="008D4140"/>
    <w:rsid w:val="008D4440"/>
    <w:rsid w:val="008D447A"/>
    <w:rsid w:val="008D457E"/>
    <w:rsid w:val="008D4581"/>
    <w:rsid w:val="008D466D"/>
    <w:rsid w:val="008D4812"/>
    <w:rsid w:val="008D492A"/>
    <w:rsid w:val="008D4B79"/>
    <w:rsid w:val="008D4B7B"/>
    <w:rsid w:val="008D4C39"/>
    <w:rsid w:val="008D4F0C"/>
    <w:rsid w:val="008D51FF"/>
    <w:rsid w:val="008D5439"/>
    <w:rsid w:val="008D54F5"/>
    <w:rsid w:val="008D5579"/>
    <w:rsid w:val="008D5744"/>
    <w:rsid w:val="008D57A8"/>
    <w:rsid w:val="008D5843"/>
    <w:rsid w:val="008D5C37"/>
    <w:rsid w:val="008D5C81"/>
    <w:rsid w:val="008D600B"/>
    <w:rsid w:val="008D6064"/>
    <w:rsid w:val="008D60AE"/>
    <w:rsid w:val="008D621A"/>
    <w:rsid w:val="008D6301"/>
    <w:rsid w:val="008D685A"/>
    <w:rsid w:val="008D6C0E"/>
    <w:rsid w:val="008D6D4B"/>
    <w:rsid w:val="008D6D5D"/>
    <w:rsid w:val="008D6DBB"/>
    <w:rsid w:val="008D6FFE"/>
    <w:rsid w:val="008D70FE"/>
    <w:rsid w:val="008D72B1"/>
    <w:rsid w:val="008D73F4"/>
    <w:rsid w:val="008D7651"/>
    <w:rsid w:val="008D7669"/>
    <w:rsid w:val="008D7672"/>
    <w:rsid w:val="008D77D8"/>
    <w:rsid w:val="008D7A72"/>
    <w:rsid w:val="008D7B54"/>
    <w:rsid w:val="008D7B75"/>
    <w:rsid w:val="008D7C36"/>
    <w:rsid w:val="008D7E0B"/>
    <w:rsid w:val="008D7EC9"/>
    <w:rsid w:val="008D7EE1"/>
    <w:rsid w:val="008D7F23"/>
    <w:rsid w:val="008D7F74"/>
    <w:rsid w:val="008E008A"/>
    <w:rsid w:val="008E00BF"/>
    <w:rsid w:val="008E011B"/>
    <w:rsid w:val="008E0326"/>
    <w:rsid w:val="008E0469"/>
    <w:rsid w:val="008E04AD"/>
    <w:rsid w:val="008E0579"/>
    <w:rsid w:val="008E06BB"/>
    <w:rsid w:val="008E0995"/>
    <w:rsid w:val="008E09D2"/>
    <w:rsid w:val="008E0B54"/>
    <w:rsid w:val="008E0BFB"/>
    <w:rsid w:val="008E0EC1"/>
    <w:rsid w:val="008E1254"/>
    <w:rsid w:val="008E1264"/>
    <w:rsid w:val="008E12EF"/>
    <w:rsid w:val="008E169A"/>
    <w:rsid w:val="008E16A6"/>
    <w:rsid w:val="008E1814"/>
    <w:rsid w:val="008E190A"/>
    <w:rsid w:val="008E1C0E"/>
    <w:rsid w:val="008E1CC1"/>
    <w:rsid w:val="008E1D3C"/>
    <w:rsid w:val="008E1D49"/>
    <w:rsid w:val="008E1DFD"/>
    <w:rsid w:val="008E1FF8"/>
    <w:rsid w:val="008E20F7"/>
    <w:rsid w:val="008E2133"/>
    <w:rsid w:val="008E223F"/>
    <w:rsid w:val="008E2778"/>
    <w:rsid w:val="008E2B9C"/>
    <w:rsid w:val="008E2DE8"/>
    <w:rsid w:val="008E2DF5"/>
    <w:rsid w:val="008E2EFC"/>
    <w:rsid w:val="008E2F0B"/>
    <w:rsid w:val="008E2F1B"/>
    <w:rsid w:val="008E2F91"/>
    <w:rsid w:val="008E3080"/>
    <w:rsid w:val="008E3169"/>
    <w:rsid w:val="008E31AC"/>
    <w:rsid w:val="008E31AD"/>
    <w:rsid w:val="008E332E"/>
    <w:rsid w:val="008E3381"/>
    <w:rsid w:val="008E34FA"/>
    <w:rsid w:val="008E3608"/>
    <w:rsid w:val="008E3777"/>
    <w:rsid w:val="008E3897"/>
    <w:rsid w:val="008E3B6F"/>
    <w:rsid w:val="008E3CA3"/>
    <w:rsid w:val="008E3EC5"/>
    <w:rsid w:val="008E403E"/>
    <w:rsid w:val="008E41CA"/>
    <w:rsid w:val="008E4241"/>
    <w:rsid w:val="008E45F6"/>
    <w:rsid w:val="008E46A1"/>
    <w:rsid w:val="008E478E"/>
    <w:rsid w:val="008E4B66"/>
    <w:rsid w:val="008E4BCC"/>
    <w:rsid w:val="008E4C16"/>
    <w:rsid w:val="008E4CB7"/>
    <w:rsid w:val="008E4CF6"/>
    <w:rsid w:val="008E4D02"/>
    <w:rsid w:val="008E4EFE"/>
    <w:rsid w:val="008E4F8D"/>
    <w:rsid w:val="008E4FF4"/>
    <w:rsid w:val="008E50C0"/>
    <w:rsid w:val="008E50EF"/>
    <w:rsid w:val="008E512F"/>
    <w:rsid w:val="008E5541"/>
    <w:rsid w:val="008E557A"/>
    <w:rsid w:val="008E5695"/>
    <w:rsid w:val="008E5802"/>
    <w:rsid w:val="008E5877"/>
    <w:rsid w:val="008E5A49"/>
    <w:rsid w:val="008E5AE2"/>
    <w:rsid w:val="008E5B69"/>
    <w:rsid w:val="008E5E97"/>
    <w:rsid w:val="008E5EA5"/>
    <w:rsid w:val="008E6058"/>
    <w:rsid w:val="008E6199"/>
    <w:rsid w:val="008E6240"/>
    <w:rsid w:val="008E65C8"/>
    <w:rsid w:val="008E66F6"/>
    <w:rsid w:val="008E68E0"/>
    <w:rsid w:val="008E6A85"/>
    <w:rsid w:val="008E6A9E"/>
    <w:rsid w:val="008E6C2A"/>
    <w:rsid w:val="008E6C8A"/>
    <w:rsid w:val="008E6E29"/>
    <w:rsid w:val="008E6E2E"/>
    <w:rsid w:val="008E7214"/>
    <w:rsid w:val="008E7215"/>
    <w:rsid w:val="008E728B"/>
    <w:rsid w:val="008E72F9"/>
    <w:rsid w:val="008E7346"/>
    <w:rsid w:val="008E73B9"/>
    <w:rsid w:val="008E75DC"/>
    <w:rsid w:val="008E7786"/>
    <w:rsid w:val="008E7827"/>
    <w:rsid w:val="008E78E1"/>
    <w:rsid w:val="008E798E"/>
    <w:rsid w:val="008E7C85"/>
    <w:rsid w:val="008E7DB3"/>
    <w:rsid w:val="008E7DCE"/>
    <w:rsid w:val="008E7E70"/>
    <w:rsid w:val="008E7F06"/>
    <w:rsid w:val="008F00FF"/>
    <w:rsid w:val="008F0201"/>
    <w:rsid w:val="008F0267"/>
    <w:rsid w:val="008F03E5"/>
    <w:rsid w:val="008F05E3"/>
    <w:rsid w:val="008F08F5"/>
    <w:rsid w:val="008F0C4E"/>
    <w:rsid w:val="008F0D06"/>
    <w:rsid w:val="008F0D60"/>
    <w:rsid w:val="008F0D6A"/>
    <w:rsid w:val="008F0E1E"/>
    <w:rsid w:val="008F0EEE"/>
    <w:rsid w:val="008F0F12"/>
    <w:rsid w:val="008F0F5E"/>
    <w:rsid w:val="008F1113"/>
    <w:rsid w:val="008F124F"/>
    <w:rsid w:val="008F1256"/>
    <w:rsid w:val="008F142A"/>
    <w:rsid w:val="008F1470"/>
    <w:rsid w:val="008F16A6"/>
    <w:rsid w:val="008F16CF"/>
    <w:rsid w:val="008F1838"/>
    <w:rsid w:val="008F1C88"/>
    <w:rsid w:val="008F1E22"/>
    <w:rsid w:val="008F1E80"/>
    <w:rsid w:val="008F204D"/>
    <w:rsid w:val="008F2056"/>
    <w:rsid w:val="008F2151"/>
    <w:rsid w:val="008F224D"/>
    <w:rsid w:val="008F2275"/>
    <w:rsid w:val="008F227E"/>
    <w:rsid w:val="008F2289"/>
    <w:rsid w:val="008F22FC"/>
    <w:rsid w:val="008F23D7"/>
    <w:rsid w:val="008F23EC"/>
    <w:rsid w:val="008F2444"/>
    <w:rsid w:val="008F245B"/>
    <w:rsid w:val="008F2894"/>
    <w:rsid w:val="008F28AC"/>
    <w:rsid w:val="008F2B6E"/>
    <w:rsid w:val="008F2C39"/>
    <w:rsid w:val="008F2C7B"/>
    <w:rsid w:val="008F2D39"/>
    <w:rsid w:val="008F2E13"/>
    <w:rsid w:val="008F2EDA"/>
    <w:rsid w:val="008F2FE3"/>
    <w:rsid w:val="008F3302"/>
    <w:rsid w:val="008F3366"/>
    <w:rsid w:val="008F3400"/>
    <w:rsid w:val="008F34CE"/>
    <w:rsid w:val="008F3583"/>
    <w:rsid w:val="008F36E4"/>
    <w:rsid w:val="008F38C5"/>
    <w:rsid w:val="008F3952"/>
    <w:rsid w:val="008F3AA7"/>
    <w:rsid w:val="008F3B2C"/>
    <w:rsid w:val="008F3C05"/>
    <w:rsid w:val="008F3EE5"/>
    <w:rsid w:val="008F4058"/>
    <w:rsid w:val="008F4091"/>
    <w:rsid w:val="008F42F7"/>
    <w:rsid w:val="008F44D4"/>
    <w:rsid w:val="008F4556"/>
    <w:rsid w:val="008F45D0"/>
    <w:rsid w:val="008F47F1"/>
    <w:rsid w:val="008F490B"/>
    <w:rsid w:val="008F4A16"/>
    <w:rsid w:val="008F4AA9"/>
    <w:rsid w:val="008F4ABA"/>
    <w:rsid w:val="008F4B66"/>
    <w:rsid w:val="008F4B9C"/>
    <w:rsid w:val="008F4BC2"/>
    <w:rsid w:val="008F4DA4"/>
    <w:rsid w:val="008F4E22"/>
    <w:rsid w:val="008F4EF0"/>
    <w:rsid w:val="008F4F69"/>
    <w:rsid w:val="008F50A2"/>
    <w:rsid w:val="008F5295"/>
    <w:rsid w:val="008F53BD"/>
    <w:rsid w:val="008F53C7"/>
    <w:rsid w:val="008F5413"/>
    <w:rsid w:val="008F566D"/>
    <w:rsid w:val="008F59F8"/>
    <w:rsid w:val="008F5AC9"/>
    <w:rsid w:val="008F5AD5"/>
    <w:rsid w:val="008F5BD0"/>
    <w:rsid w:val="008F5CCF"/>
    <w:rsid w:val="008F5D0E"/>
    <w:rsid w:val="008F5E2F"/>
    <w:rsid w:val="008F5E91"/>
    <w:rsid w:val="008F6112"/>
    <w:rsid w:val="008F62F4"/>
    <w:rsid w:val="008F67DD"/>
    <w:rsid w:val="008F691A"/>
    <w:rsid w:val="008F6B2C"/>
    <w:rsid w:val="008F6B5E"/>
    <w:rsid w:val="008F6D91"/>
    <w:rsid w:val="008F6DA8"/>
    <w:rsid w:val="008F6EFD"/>
    <w:rsid w:val="008F71FE"/>
    <w:rsid w:val="008F73D5"/>
    <w:rsid w:val="008F7481"/>
    <w:rsid w:val="008F7945"/>
    <w:rsid w:val="008F7AAF"/>
    <w:rsid w:val="008F7AC4"/>
    <w:rsid w:val="008F7AE5"/>
    <w:rsid w:val="008F7B73"/>
    <w:rsid w:val="008F7B7E"/>
    <w:rsid w:val="008F7D2B"/>
    <w:rsid w:val="008F7DCE"/>
    <w:rsid w:val="008F7DF2"/>
    <w:rsid w:val="0090004F"/>
    <w:rsid w:val="009000E3"/>
    <w:rsid w:val="0090020F"/>
    <w:rsid w:val="00900383"/>
    <w:rsid w:val="0090051E"/>
    <w:rsid w:val="00900539"/>
    <w:rsid w:val="00900551"/>
    <w:rsid w:val="009007B3"/>
    <w:rsid w:val="00900852"/>
    <w:rsid w:val="00900A71"/>
    <w:rsid w:val="00900A82"/>
    <w:rsid w:val="00900ABC"/>
    <w:rsid w:val="00900D98"/>
    <w:rsid w:val="0090104F"/>
    <w:rsid w:val="00901055"/>
    <w:rsid w:val="009010B5"/>
    <w:rsid w:val="009010F2"/>
    <w:rsid w:val="0090149D"/>
    <w:rsid w:val="009015CD"/>
    <w:rsid w:val="00901620"/>
    <w:rsid w:val="00901755"/>
    <w:rsid w:val="009017E0"/>
    <w:rsid w:val="00901D73"/>
    <w:rsid w:val="00902109"/>
    <w:rsid w:val="009021A0"/>
    <w:rsid w:val="00902217"/>
    <w:rsid w:val="0090229B"/>
    <w:rsid w:val="00902383"/>
    <w:rsid w:val="00902403"/>
    <w:rsid w:val="00902609"/>
    <w:rsid w:val="009026B5"/>
    <w:rsid w:val="009026D9"/>
    <w:rsid w:val="00902725"/>
    <w:rsid w:val="00902846"/>
    <w:rsid w:val="00902AF6"/>
    <w:rsid w:val="00902D1D"/>
    <w:rsid w:val="00902D53"/>
    <w:rsid w:val="00902DF7"/>
    <w:rsid w:val="00902E61"/>
    <w:rsid w:val="00902E92"/>
    <w:rsid w:val="0090318A"/>
    <w:rsid w:val="009031F8"/>
    <w:rsid w:val="0090333A"/>
    <w:rsid w:val="00903519"/>
    <w:rsid w:val="0090383A"/>
    <w:rsid w:val="00903A16"/>
    <w:rsid w:val="00903A1C"/>
    <w:rsid w:val="00903A63"/>
    <w:rsid w:val="00903B7F"/>
    <w:rsid w:val="00903DDA"/>
    <w:rsid w:val="00903DEA"/>
    <w:rsid w:val="00904055"/>
    <w:rsid w:val="0090410C"/>
    <w:rsid w:val="00904194"/>
    <w:rsid w:val="0090426D"/>
    <w:rsid w:val="009042B6"/>
    <w:rsid w:val="00904314"/>
    <w:rsid w:val="00904448"/>
    <w:rsid w:val="0090447C"/>
    <w:rsid w:val="0090458F"/>
    <w:rsid w:val="009045E2"/>
    <w:rsid w:val="009048C5"/>
    <w:rsid w:val="00904A74"/>
    <w:rsid w:val="00904AE5"/>
    <w:rsid w:val="00904B4B"/>
    <w:rsid w:val="00904C37"/>
    <w:rsid w:val="00904D06"/>
    <w:rsid w:val="00904DCE"/>
    <w:rsid w:val="009050D9"/>
    <w:rsid w:val="0090532B"/>
    <w:rsid w:val="00905355"/>
    <w:rsid w:val="00905406"/>
    <w:rsid w:val="009054CF"/>
    <w:rsid w:val="009056D1"/>
    <w:rsid w:val="00905931"/>
    <w:rsid w:val="00905EC2"/>
    <w:rsid w:val="00905F3A"/>
    <w:rsid w:val="00905F6F"/>
    <w:rsid w:val="009060CB"/>
    <w:rsid w:val="009060D1"/>
    <w:rsid w:val="009061EA"/>
    <w:rsid w:val="00906366"/>
    <w:rsid w:val="009063C2"/>
    <w:rsid w:val="00906409"/>
    <w:rsid w:val="00906444"/>
    <w:rsid w:val="009064A1"/>
    <w:rsid w:val="009064C4"/>
    <w:rsid w:val="009065CA"/>
    <w:rsid w:val="009066E3"/>
    <w:rsid w:val="0090684F"/>
    <w:rsid w:val="00906AFF"/>
    <w:rsid w:val="00906BFE"/>
    <w:rsid w:val="00906C4E"/>
    <w:rsid w:val="00906CA5"/>
    <w:rsid w:val="00906E5A"/>
    <w:rsid w:val="00907096"/>
    <w:rsid w:val="009072A8"/>
    <w:rsid w:val="00907850"/>
    <w:rsid w:val="00907BDA"/>
    <w:rsid w:val="00907C67"/>
    <w:rsid w:val="00907E20"/>
    <w:rsid w:val="00910070"/>
    <w:rsid w:val="0091017F"/>
    <w:rsid w:val="0091019C"/>
    <w:rsid w:val="009101B1"/>
    <w:rsid w:val="009101B7"/>
    <w:rsid w:val="0091028A"/>
    <w:rsid w:val="009102E7"/>
    <w:rsid w:val="009103C9"/>
    <w:rsid w:val="0091069F"/>
    <w:rsid w:val="00910761"/>
    <w:rsid w:val="009107D2"/>
    <w:rsid w:val="00910821"/>
    <w:rsid w:val="00910A84"/>
    <w:rsid w:val="00910B6B"/>
    <w:rsid w:val="00910ED3"/>
    <w:rsid w:val="00911012"/>
    <w:rsid w:val="00911037"/>
    <w:rsid w:val="009110DD"/>
    <w:rsid w:val="0091114E"/>
    <w:rsid w:val="009111E0"/>
    <w:rsid w:val="00911284"/>
    <w:rsid w:val="009114D2"/>
    <w:rsid w:val="0091159A"/>
    <w:rsid w:val="00911839"/>
    <w:rsid w:val="009119F8"/>
    <w:rsid w:val="00911CB0"/>
    <w:rsid w:val="00911D4E"/>
    <w:rsid w:val="00911E07"/>
    <w:rsid w:val="00911EDB"/>
    <w:rsid w:val="0091221D"/>
    <w:rsid w:val="009122B6"/>
    <w:rsid w:val="009124B5"/>
    <w:rsid w:val="0091264B"/>
    <w:rsid w:val="009129AD"/>
    <w:rsid w:val="00912B82"/>
    <w:rsid w:val="00912C76"/>
    <w:rsid w:val="00912CD4"/>
    <w:rsid w:val="00912DEB"/>
    <w:rsid w:val="00912E0F"/>
    <w:rsid w:val="00912E25"/>
    <w:rsid w:val="00912EC8"/>
    <w:rsid w:val="009130C4"/>
    <w:rsid w:val="0091323E"/>
    <w:rsid w:val="009133E1"/>
    <w:rsid w:val="00913452"/>
    <w:rsid w:val="00913615"/>
    <w:rsid w:val="00913BDD"/>
    <w:rsid w:val="00913C81"/>
    <w:rsid w:val="00913CC6"/>
    <w:rsid w:val="00914095"/>
    <w:rsid w:val="0091414A"/>
    <w:rsid w:val="00914196"/>
    <w:rsid w:val="009143FD"/>
    <w:rsid w:val="009144A7"/>
    <w:rsid w:val="00914516"/>
    <w:rsid w:val="00914645"/>
    <w:rsid w:val="00914692"/>
    <w:rsid w:val="00914702"/>
    <w:rsid w:val="009148C2"/>
    <w:rsid w:val="00914B0A"/>
    <w:rsid w:val="00914C72"/>
    <w:rsid w:val="00914C9A"/>
    <w:rsid w:val="00914D05"/>
    <w:rsid w:val="00914F4F"/>
    <w:rsid w:val="00914F69"/>
    <w:rsid w:val="00914FA7"/>
    <w:rsid w:val="0091506A"/>
    <w:rsid w:val="009151EE"/>
    <w:rsid w:val="00915582"/>
    <w:rsid w:val="009158F8"/>
    <w:rsid w:val="0091595F"/>
    <w:rsid w:val="009159F1"/>
    <w:rsid w:val="00915BEF"/>
    <w:rsid w:val="00915CFC"/>
    <w:rsid w:val="00915D2F"/>
    <w:rsid w:val="00915D6A"/>
    <w:rsid w:val="00915DFE"/>
    <w:rsid w:val="00915EF4"/>
    <w:rsid w:val="00916692"/>
    <w:rsid w:val="00916748"/>
    <w:rsid w:val="0091676E"/>
    <w:rsid w:val="0091688E"/>
    <w:rsid w:val="00916947"/>
    <w:rsid w:val="00916A1F"/>
    <w:rsid w:val="00916BA1"/>
    <w:rsid w:val="00916BC3"/>
    <w:rsid w:val="00916E2B"/>
    <w:rsid w:val="00916EA0"/>
    <w:rsid w:val="00917533"/>
    <w:rsid w:val="009178AE"/>
    <w:rsid w:val="00917A22"/>
    <w:rsid w:val="00917A33"/>
    <w:rsid w:val="00917ADF"/>
    <w:rsid w:val="00917C8D"/>
    <w:rsid w:val="00917E94"/>
    <w:rsid w:val="00917EE1"/>
    <w:rsid w:val="00920043"/>
    <w:rsid w:val="00920085"/>
    <w:rsid w:val="00920274"/>
    <w:rsid w:val="00920628"/>
    <w:rsid w:val="0092062E"/>
    <w:rsid w:val="009206D4"/>
    <w:rsid w:val="009208F0"/>
    <w:rsid w:val="0092090A"/>
    <w:rsid w:val="00920A2A"/>
    <w:rsid w:val="00920A2D"/>
    <w:rsid w:val="00920AEF"/>
    <w:rsid w:val="00920B80"/>
    <w:rsid w:val="00920D5B"/>
    <w:rsid w:val="00920EC7"/>
    <w:rsid w:val="009210DB"/>
    <w:rsid w:val="00921473"/>
    <w:rsid w:val="00921498"/>
    <w:rsid w:val="00921533"/>
    <w:rsid w:val="00921616"/>
    <w:rsid w:val="0092183D"/>
    <w:rsid w:val="00921913"/>
    <w:rsid w:val="00921BA0"/>
    <w:rsid w:val="00921C51"/>
    <w:rsid w:val="00921E39"/>
    <w:rsid w:val="00921E4D"/>
    <w:rsid w:val="0092218B"/>
    <w:rsid w:val="009221C9"/>
    <w:rsid w:val="0092222A"/>
    <w:rsid w:val="009223D2"/>
    <w:rsid w:val="009226A6"/>
    <w:rsid w:val="009226B2"/>
    <w:rsid w:val="00922969"/>
    <w:rsid w:val="00922985"/>
    <w:rsid w:val="009229DA"/>
    <w:rsid w:val="00922A12"/>
    <w:rsid w:val="00922AF7"/>
    <w:rsid w:val="00922CA2"/>
    <w:rsid w:val="00922D2A"/>
    <w:rsid w:val="00922D9E"/>
    <w:rsid w:val="0092316D"/>
    <w:rsid w:val="0092322B"/>
    <w:rsid w:val="00923285"/>
    <w:rsid w:val="0092329E"/>
    <w:rsid w:val="00923689"/>
    <w:rsid w:val="00923820"/>
    <w:rsid w:val="009239B4"/>
    <w:rsid w:val="009239D6"/>
    <w:rsid w:val="00923A7C"/>
    <w:rsid w:val="00923C8B"/>
    <w:rsid w:val="00923CEB"/>
    <w:rsid w:val="00923DF6"/>
    <w:rsid w:val="00923FF3"/>
    <w:rsid w:val="00923FFC"/>
    <w:rsid w:val="009241D9"/>
    <w:rsid w:val="00924265"/>
    <w:rsid w:val="00924266"/>
    <w:rsid w:val="00924299"/>
    <w:rsid w:val="00924605"/>
    <w:rsid w:val="00924753"/>
    <w:rsid w:val="00924B3A"/>
    <w:rsid w:val="00924D55"/>
    <w:rsid w:val="00924E03"/>
    <w:rsid w:val="00925244"/>
    <w:rsid w:val="0092529E"/>
    <w:rsid w:val="00925498"/>
    <w:rsid w:val="009257C1"/>
    <w:rsid w:val="009259EA"/>
    <w:rsid w:val="00925A81"/>
    <w:rsid w:val="00925F66"/>
    <w:rsid w:val="009260C2"/>
    <w:rsid w:val="0092658A"/>
    <w:rsid w:val="00926621"/>
    <w:rsid w:val="00926910"/>
    <w:rsid w:val="00926AE3"/>
    <w:rsid w:val="00926D98"/>
    <w:rsid w:val="00926DEE"/>
    <w:rsid w:val="00926E7E"/>
    <w:rsid w:val="00926EBB"/>
    <w:rsid w:val="009270A0"/>
    <w:rsid w:val="009270E9"/>
    <w:rsid w:val="0092711E"/>
    <w:rsid w:val="0092736E"/>
    <w:rsid w:val="00927375"/>
    <w:rsid w:val="009274BC"/>
    <w:rsid w:val="009276F1"/>
    <w:rsid w:val="00927734"/>
    <w:rsid w:val="0092785C"/>
    <w:rsid w:val="0092790B"/>
    <w:rsid w:val="00927AC0"/>
    <w:rsid w:val="00927C33"/>
    <w:rsid w:val="00927D7C"/>
    <w:rsid w:val="00927E8E"/>
    <w:rsid w:val="009300FA"/>
    <w:rsid w:val="00930373"/>
    <w:rsid w:val="009303DA"/>
    <w:rsid w:val="0093080C"/>
    <w:rsid w:val="00930911"/>
    <w:rsid w:val="00930955"/>
    <w:rsid w:val="00930A5A"/>
    <w:rsid w:val="00930C78"/>
    <w:rsid w:val="00930CA5"/>
    <w:rsid w:val="0093109A"/>
    <w:rsid w:val="00931103"/>
    <w:rsid w:val="0093113D"/>
    <w:rsid w:val="00931187"/>
    <w:rsid w:val="009314E1"/>
    <w:rsid w:val="0093152A"/>
    <w:rsid w:val="0093153C"/>
    <w:rsid w:val="00931712"/>
    <w:rsid w:val="00931792"/>
    <w:rsid w:val="0093183F"/>
    <w:rsid w:val="00931D97"/>
    <w:rsid w:val="00931ECE"/>
    <w:rsid w:val="00932051"/>
    <w:rsid w:val="00932566"/>
    <w:rsid w:val="009326A4"/>
    <w:rsid w:val="00932850"/>
    <w:rsid w:val="0093286B"/>
    <w:rsid w:val="00932A15"/>
    <w:rsid w:val="00932A7A"/>
    <w:rsid w:val="00932AB9"/>
    <w:rsid w:val="00932BA0"/>
    <w:rsid w:val="00932D32"/>
    <w:rsid w:val="00932D41"/>
    <w:rsid w:val="00932F2A"/>
    <w:rsid w:val="00932FB0"/>
    <w:rsid w:val="00932FD1"/>
    <w:rsid w:val="00933027"/>
    <w:rsid w:val="0093317E"/>
    <w:rsid w:val="00933370"/>
    <w:rsid w:val="009336EA"/>
    <w:rsid w:val="0093379C"/>
    <w:rsid w:val="009338A4"/>
    <w:rsid w:val="00933C57"/>
    <w:rsid w:val="00933DF1"/>
    <w:rsid w:val="00933EF5"/>
    <w:rsid w:val="00933EF8"/>
    <w:rsid w:val="00934238"/>
    <w:rsid w:val="009342C2"/>
    <w:rsid w:val="009343E2"/>
    <w:rsid w:val="009346F9"/>
    <w:rsid w:val="009348B6"/>
    <w:rsid w:val="00934918"/>
    <w:rsid w:val="00934934"/>
    <w:rsid w:val="00934ADB"/>
    <w:rsid w:val="00934B92"/>
    <w:rsid w:val="00934BDD"/>
    <w:rsid w:val="00934EE7"/>
    <w:rsid w:val="00935057"/>
    <w:rsid w:val="0093526E"/>
    <w:rsid w:val="0093536D"/>
    <w:rsid w:val="009355AC"/>
    <w:rsid w:val="00935634"/>
    <w:rsid w:val="0093576D"/>
    <w:rsid w:val="0093579D"/>
    <w:rsid w:val="009358E0"/>
    <w:rsid w:val="00935969"/>
    <w:rsid w:val="009359CD"/>
    <w:rsid w:val="009359E1"/>
    <w:rsid w:val="00935A69"/>
    <w:rsid w:val="00935ABB"/>
    <w:rsid w:val="00935AFE"/>
    <w:rsid w:val="00935B80"/>
    <w:rsid w:val="00935DF3"/>
    <w:rsid w:val="00935ECA"/>
    <w:rsid w:val="009360E0"/>
    <w:rsid w:val="009365A0"/>
    <w:rsid w:val="009367A6"/>
    <w:rsid w:val="00936ABB"/>
    <w:rsid w:val="00936B64"/>
    <w:rsid w:val="00936D78"/>
    <w:rsid w:val="00936E56"/>
    <w:rsid w:val="00937140"/>
    <w:rsid w:val="00937233"/>
    <w:rsid w:val="00937315"/>
    <w:rsid w:val="00937324"/>
    <w:rsid w:val="0093735E"/>
    <w:rsid w:val="00937390"/>
    <w:rsid w:val="009373F4"/>
    <w:rsid w:val="00937643"/>
    <w:rsid w:val="0093766A"/>
    <w:rsid w:val="00937738"/>
    <w:rsid w:val="00937CE0"/>
    <w:rsid w:val="00937EB4"/>
    <w:rsid w:val="00937FDA"/>
    <w:rsid w:val="009400E0"/>
    <w:rsid w:val="00940171"/>
    <w:rsid w:val="00940237"/>
    <w:rsid w:val="009402C4"/>
    <w:rsid w:val="009404F4"/>
    <w:rsid w:val="009405E0"/>
    <w:rsid w:val="009405E6"/>
    <w:rsid w:val="0094072F"/>
    <w:rsid w:val="0094094B"/>
    <w:rsid w:val="00940AB5"/>
    <w:rsid w:val="00940E97"/>
    <w:rsid w:val="00940FA8"/>
    <w:rsid w:val="00940FBA"/>
    <w:rsid w:val="009410AA"/>
    <w:rsid w:val="0094115D"/>
    <w:rsid w:val="009412E2"/>
    <w:rsid w:val="009413CA"/>
    <w:rsid w:val="0094148C"/>
    <w:rsid w:val="009414AB"/>
    <w:rsid w:val="009414F6"/>
    <w:rsid w:val="0094158F"/>
    <w:rsid w:val="009415A3"/>
    <w:rsid w:val="009417A3"/>
    <w:rsid w:val="009417F8"/>
    <w:rsid w:val="009419CF"/>
    <w:rsid w:val="009419FE"/>
    <w:rsid w:val="00941C48"/>
    <w:rsid w:val="00941CF8"/>
    <w:rsid w:val="00941D4E"/>
    <w:rsid w:val="00941F4C"/>
    <w:rsid w:val="00941F90"/>
    <w:rsid w:val="00941FC0"/>
    <w:rsid w:val="0094201D"/>
    <w:rsid w:val="0094202D"/>
    <w:rsid w:val="0094216D"/>
    <w:rsid w:val="00942227"/>
    <w:rsid w:val="009422C4"/>
    <w:rsid w:val="009424E1"/>
    <w:rsid w:val="00942551"/>
    <w:rsid w:val="00942586"/>
    <w:rsid w:val="0094294F"/>
    <w:rsid w:val="0094297F"/>
    <w:rsid w:val="00942A2F"/>
    <w:rsid w:val="00942DE5"/>
    <w:rsid w:val="00942E97"/>
    <w:rsid w:val="00942F73"/>
    <w:rsid w:val="0094312B"/>
    <w:rsid w:val="009431F5"/>
    <w:rsid w:val="00943493"/>
    <w:rsid w:val="00943532"/>
    <w:rsid w:val="00943553"/>
    <w:rsid w:val="0094371D"/>
    <w:rsid w:val="0094379C"/>
    <w:rsid w:val="0094380C"/>
    <w:rsid w:val="0094383F"/>
    <w:rsid w:val="009438BE"/>
    <w:rsid w:val="009438EE"/>
    <w:rsid w:val="0094390E"/>
    <w:rsid w:val="00943945"/>
    <w:rsid w:val="009439DC"/>
    <w:rsid w:val="00943EE2"/>
    <w:rsid w:val="00943F49"/>
    <w:rsid w:val="00944051"/>
    <w:rsid w:val="0094435D"/>
    <w:rsid w:val="009443A6"/>
    <w:rsid w:val="009446F5"/>
    <w:rsid w:val="0094497B"/>
    <w:rsid w:val="009449AD"/>
    <w:rsid w:val="00944C0C"/>
    <w:rsid w:val="00944C2A"/>
    <w:rsid w:val="00944CB7"/>
    <w:rsid w:val="00944DB6"/>
    <w:rsid w:val="00944EB1"/>
    <w:rsid w:val="00944F60"/>
    <w:rsid w:val="00945421"/>
    <w:rsid w:val="00945507"/>
    <w:rsid w:val="0094566D"/>
    <w:rsid w:val="00945779"/>
    <w:rsid w:val="0094577E"/>
    <w:rsid w:val="0094586E"/>
    <w:rsid w:val="009459EB"/>
    <w:rsid w:val="00945B4E"/>
    <w:rsid w:val="00945BD3"/>
    <w:rsid w:val="00945D5F"/>
    <w:rsid w:val="00945F60"/>
    <w:rsid w:val="009460CA"/>
    <w:rsid w:val="00946225"/>
    <w:rsid w:val="00946349"/>
    <w:rsid w:val="0094652A"/>
    <w:rsid w:val="0094654D"/>
    <w:rsid w:val="0094656A"/>
    <w:rsid w:val="009465C3"/>
    <w:rsid w:val="0094665F"/>
    <w:rsid w:val="009467F5"/>
    <w:rsid w:val="00946B51"/>
    <w:rsid w:val="00946C2F"/>
    <w:rsid w:val="00946C36"/>
    <w:rsid w:val="00947199"/>
    <w:rsid w:val="00947209"/>
    <w:rsid w:val="00947499"/>
    <w:rsid w:val="009475F9"/>
    <w:rsid w:val="0094778C"/>
    <w:rsid w:val="009478A9"/>
    <w:rsid w:val="00947B67"/>
    <w:rsid w:val="00947BBE"/>
    <w:rsid w:val="00947FC8"/>
    <w:rsid w:val="0095000D"/>
    <w:rsid w:val="0095007C"/>
    <w:rsid w:val="00950123"/>
    <w:rsid w:val="00950172"/>
    <w:rsid w:val="009502C3"/>
    <w:rsid w:val="009505C6"/>
    <w:rsid w:val="00950802"/>
    <w:rsid w:val="00950A50"/>
    <w:rsid w:val="00950ACC"/>
    <w:rsid w:val="00950B20"/>
    <w:rsid w:val="00950B3E"/>
    <w:rsid w:val="00950D3B"/>
    <w:rsid w:val="00950E3C"/>
    <w:rsid w:val="00950F09"/>
    <w:rsid w:val="00950F4C"/>
    <w:rsid w:val="00951134"/>
    <w:rsid w:val="009511BE"/>
    <w:rsid w:val="00951294"/>
    <w:rsid w:val="009514F2"/>
    <w:rsid w:val="00951692"/>
    <w:rsid w:val="009516F1"/>
    <w:rsid w:val="00951713"/>
    <w:rsid w:val="0095187E"/>
    <w:rsid w:val="00951925"/>
    <w:rsid w:val="00951990"/>
    <w:rsid w:val="009519F6"/>
    <w:rsid w:val="00951D5B"/>
    <w:rsid w:val="00951DC6"/>
    <w:rsid w:val="00951EC3"/>
    <w:rsid w:val="00951F03"/>
    <w:rsid w:val="00951F18"/>
    <w:rsid w:val="009520CF"/>
    <w:rsid w:val="009521E3"/>
    <w:rsid w:val="0095260B"/>
    <w:rsid w:val="00952637"/>
    <w:rsid w:val="00952A69"/>
    <w:rsid w:val="00952B72"/>
    <w:rsid w:val="00952C0E"/>
    <w:rsid w:val="00952C78"/>
    <w:rsid w:val="00952CB4"/>
    <w:rsid w:val="00952DA0"/>
    <w:rsid w:val="00952F45"/>
    <w:rsid w:val="00953023"/>
    <w:rsid w:val="009530E8"/>
    <w:rsid w:val="0095330A"/>
    <w:rsid w:val="009534BC"/>
    <w:rsid w:val="00953609"/>
    <w:rsid w:val="0095370F"/>
    <w:rsid w:val="00953901"/>
    <w:rsid w:val="00953B29"/>
    <w:rsid w:val="00953C46"/>
    <w:rsid w:val="00953C67"/>
    <w:rsid w:val="00953D52"/>
    <w:rsid w:val="00953D9E"/>
    <w:rsid w:val="00954271"/>
    <w:rsid w:val="009542A0"/>
    <w:rsid w:val="0095440D"/>
    <w:rsid w:val="00954545"/>
    <w:rsid w:val="00954746"/>
    <w:rsid w:val="00954821"/>
    <w:rsid w:val="00954E49"/>
    <w:rsid w:val="00955006"/>
    <w:rsid w:val="0095500E"/>
    <w:rsid w:val="0095510C"/>
    <w:rsid w:val="00955180"/>
    <w:rsid w:val="0095521C"/>
    <w:rsid w:val="0095528D"/>
    <w:rsid w:val="0095531A"/>
    <w:rsid w:val="00955347"/>
    <w:rsid w:val="009556E9"/>
    <w:rsid w:val="009558B5"/>
    <w:rsid w:val="00955957"/>
    <w:rsid w:val="00955991"/>
    <w:rsid w:val="00955C2E"/>
    <w:rsid w:val="00955D48"/>
    <w:rsid w:val="00955D83"/>
    <w:rsid w:val="00955DB7"/>
    <w:rsid w:val="00955DEC"/>
    <w:rsid w:val="00955E82"/>
    <w:rsid w:val="00955FB4"/>
    <w:rsid w:val="0095603F"/>
    <w:rsid w:val="009560EA"/>
    <w:rsid w:val="0095634A"/>
    <w:rsid w:val="009563C9"/>
    <w:rsid w:val="009564BF"/>
    <w:rsid w:val="009565F0"/>
    <w:rsid w:val="0095661E"/>
    <w:rsid w:val="009566ED"/>
    <w:rsid w:val="00956789"/>
    <w:rsid w:val="0095689D"/>
    <w:rsid w:val="00956958"/>
    <w:rsid w:val="00956995"/>
    <w:rsid w:val="009569A6"/>
    <w:rsid w:val="009569BB"/>
    <w:rsid w:val="00956A12"/>
    <w:rsid w:val="00956C91"/>
    <w:rsid w:val="00956E02"/>
    <w:rsid w:val="00956ED6"/>
    <w:rsid w:val="00956FE7"/>
    <w:rsid w:val="009570AE"/>
    <w:rsid w:val="00957330"/>
    <w:rsid w:val="00957752"/>
    <w:rsid w:val="009577CE"/>
    <w:rsid w:val="00957897"/>
    <w:rsid w:val="009578B6"/>
    <w:rsid w:val="009579F6"/>
    <w:rsid w:val="00957ABF"/>
    <w:rsid w:val="00957BD2"/>
    <w:rsid w:val="00957C0F"/>
    <w:rsid w:val="00957D94"/>
    <w:rsid w:val="00957E27"/>
    <w:rsid w:val="00957F34"/>
    <w:rsid w:val="00957FA5"/>
    <w:rsid w:val="00957FB1"/>
    <w:rsid w:val="009601ED"/>
    <w:rsid w:val="00960205"/>
    <w:rsid w:val="0096020F"/>
    <w:rsid w:val="00960281"/>
    <w:rsid w:val="0096055C"/>
    <w:rsid w:val="009609C1"/>
    <w:rsid w:val="00960A87"/>
    <w:rsid w:val="00960B63"/>
    <w:rsid w:val="00960BB6"/>
    <w:rsid w:val="00960C62"/>
    <w:rsid w:val="00960D15"/>
    <w:rsid w:val="00960D70"/>
    <w:rsid w:val="00960D75"/>
    <w:rsid w:val="00960E1C"/>
    <w:rsid w:val="00961559"/>
    <w:rsid w:val="0096155F"/>
    <w:rsid w:val="00961560"/>
    <w:rsid w:val="00961612"/>
    <w:rsid w:val="0096175B"/>
    <w:rsid w:val="009618A4"/>
    <w:rsid w:val="009618E6"/>
    <w:rsid w:val="0096199C"/>
    <w:rsid w:val="00961B97"/>
    <w:rsid w:val="00961BA7"/>
    <w:rsid w:val="00961EDE"/>
    <w:rsid w:val="009620A3"/>
    <w:rsid w:val="009621A3"/>
    <w:rsid w:val="009621CF"/>
    <w:rsid w:val="0096232D"/>
    <w:rsid w:val="00962680"/>
    <w:rsid w:val="009628DB"/>
    <w:rsid w:val="00962A15"/>
    <w:rsid w:val="00962A98"/>
    <w:rsid w:val="00962BCC"/>
    <w:rsid w:val="00962C0B"/>
    <w:rsid w:val="00962D64"/>
    <w:rsid w:val="00962ED4"/>
    <w:rsid w:val="00962F0F"/>
    <w:rsid w:val="00962FBF"/>
    <w:rsid w:val="00963335"/>
    <w:rsid w:val="00963830"/>
    <w:rsid w:val="009639C1"/>
    <w:rsid w:val="009639F7"/>
    <w:rsid w:val="00963B29"/>
    <w:rsid w:val="00963BA5"/>
    <w:rsid w:val="00963C1B"/>
    <w:rsid w:val="00963DC4"/>
    <w:rsid w:val="00963E98"/>
    <w:rsid w:val="00963ED7"/>
    <w:rsid w:val="00964174"/>
    <w:rsid w:val="00964187"/>
    <w:rsid w:val="00964244"/>
    <w:rsid w:val="0096430C"/>
    <w:rsid w:val="00964512"/>
    <w:rsid w:val="00964595"/>
    <w:rsid w:val="009646AB"/>
    <w:rsid w:val="009649B6"/>
    <w:rsid w:val="00964A71"/>
    <w:rsid w:val="00964ADC"/>
    <w:rsid w:val="00964F91"/>
    <w:rsid w:val="00965150"/>
    <w:rsid w:val="00965252"/>
    <w:rsid w:val="00965297"/>
    <w:rsid w:val="009652BB"/>
    <w:rsid w:val="009653E1"/>
    <w:rsid w:val="00965445"/>
    <w:rsid w:val="0096590E"/>
    <w:rsid w:val="00965950"/>
    <w:rsid w:val="00965B7D"/>
    <w:rsid w:val="00965EFE"/>
    <w:rsid w:val="00965F41"/>
    <w:rsid w:val="00966031"/>
    <w:rsid w:val="00966044"/>
    <w:rsid w:val="00966101"/>
    <w:rsid w:val="0096613A"/>
    <w:rsid w:val="00966198"/>
    <w:rsid w:val="009663BC"/>
    <w:rsid w:val="0096678A"/>
    <w:rsid w:val="00966792"/>
    <w:rsid w:val="0096680C"/>
    <w:rsid w:val="00966880"/>
    <w:rsid w:val="009669F2"/>
    <w:rsid w:val="00966E35"/>
    <w:rsid w:val="009670D2"/>
    <w:rsid w:val="009671A3"/>
    <w:rsid w:val="009671E4"/>
    <w:rsid w:val="00967200"/>
    <w:rsid w:val="00967240"/>
    <w:rsid w:val="009676DD"/>
    <w:rsid w:val="00967789"/>
    <w:rsid w:val="00967858"/>
    <w:rsid w:val="00967873"/>
    <w:rsid w:val="009679B3"/>
    <w:rsid w:val="00967CB8"/>
    <w:rsid w:val="00967D59"/>
    <w:rsid w:val="00970088"/>
    <w:rsid w:val="009700F4"/>
    <w:rsid w:val="00970131"/>
    <w:rsid w:val="00970196"/>
    <w:rsid w:val="00970230"/>
    <w:rsid w:val="009702E7"/>
    <w:rsid w:val="0097042A"/>
    <w:rsid w:val="0097083D"/>
    <w:rsid w:val="00970854"/>
    <w:rsid w:val="00970A02"/>
    <w:rsid w:val="00970AA4"/>
    <w:rsid w:val="00970B6C"/>
    <w:rsid w:val="00970C44"/>
    <w:rsid w:val="00970D6B"/>
    <w:rsid w:val="00970DD1"/>
    <w:rsid w:val="00971155"/>
    <w:rsid w:val="0097123A"/>
    <w:rsid w:val="0097133F"/>
    <w:rsid w:val="009714EF"/>
    <w:rsid w:val="00971536"/>
    <w:rsid w:val="009716B8"/>
    <w:rsid w:val="00971809"/>
    <w:rsid w:val="00971825"/>
    <w:rsid w:val="00971896"/>
    <w:rsid w:val="00971AA3"/>
    <w:rsid w:val="00971BA9"/>
    <w:rsid w:val="00971E3C"/>
    <w:rsid w:val="00971EAB"/>
    <w:rsid w:val="00972070"/>
    <w:rsid w:val="00972336"/>
    <w:rsid w:val="00972688"/>
    <w:rsid w:val="0097281D"/>
    <w:rsid w:val="0097298C"/>
    <w:rsid w:val="00972B2D"/>
    <w:rsid w:val="00972BFF"/>
    <w:rsid w:val="00972C2A"/>
    <w:rsid w:val="00973005"/>
    <w:rsid w:val="0097336D"/>
    <w:rsid w:val="00973454"/>
    <w:rsid w:val="00973468"/>
    <w:rsid w:val="00973697"/>
    <w:rsid w:val="009736FC"/>
    <w:rsid w:val="009739AF"/>
    <w:rsid w:val="00973A58"/>
    <w:rsid w:val="00973D1A"/>
    <w:rsid w:val="00973D61"/>
    <w:rsid w:val="00973F0D"/>
    <w:rsid w:val="0097412C"/>
    <w:rsid w:val="0097447E"/>
    <w:rsid w:val="009746DD"/>
    <w:rsid w:val="00974845"/>
    <w:rsid w:val="00974A51"/>
    <w:rsid w:val="00974D57"/>
    <w:rsid w:val="00974E3C"/>
    <w:rsid w:val="00974E94"/>
    <w:rsid w:val="00975018"/>
    <w:rsid w:val="0097526C"/>
    <w:rsid w:val="009752BA"/>
    <w:rsid w:val="009752F4"/>
    <w:rsid w:val="009753EC"/>
    <w:rsid w:val="00975640"/>
    <w:rsid w:val="009756F4"/>
    <w:rsid w:val="00975878"/>
    <w:rsid w:val="009759FE"/>
    <w:rsid w:val="00975A18"/>
    <w:rsid w:val="00975ABE"/>
    <w:rsid w:val="00975B66"/>
    <w:rsid w:val="00975BB2"/>
    <w:rsid w:val="00975BD1"/>
    <w:rsid w:val="00975FE2"/>
    <w:rsid w:val="00976078"/>
    <w:rsid w:val="00976093"/>
    <w:rsid w:val="0097625B"/>
    <w:rsid w:val="0097630F"/>
    <w:rsid w:val="0097644E"/>
    <w:rsid w:val="009764B5"/>
    <w:rsid w:val="00976653"/>
    <w:rsid w:val="00976754"/>
    <w:rsid w:val="0097676C"/>
    <w:rsid w:val="0097685F"/>
    <w:rsid w:val="009768C2"/>
    <w:rsid w:val="00976AB5"/>
    <w:rsid w:val="00976EB1"/>
    <w:rsid w:val="00976F49"/>
    <w:rsid w:val="009770A8"/>
    <w:rsid w:val="0097713F"/>
    <w:rsid w:val="00977176"/>
    <w:rsid w:val="0097720E"/>
    <w:rsid w:val="009773B8"/>
    <w:rsid w:val="00977523"/>
    <w:rsid w:val="0097759A"/>
    <w:rsid w:val="0097795D"/>
    <w:rsid w:val="00977A44"/>
    <w:rsid w:val="00977A7D"/>
    <w:rsid w:val="00977AEA"/>
    <w:rsid w:val="00977C98"/>
    <w:rsid w:val="00977E41"/>
    <w:rsid w:val="00977EBB"/>
    <w:rsid w:val="00980272"/>
    <w:rsid w:val="00980413"/>
    <w:rsid w:val="009804C2"/>
    <w:rsid w:val="009804E9"/>
    <w:rsid w:val="009806C5"/>
    <w:rsid w:val="00980750"/>
    <w:rsid w:val="00980851"/>
    <w:rsid w:val="0098088C"/>
    <w:rsid w:val="00980AD3"/>
    <w:rsid w:val="00980B92"/>
    <w:rsid w:val="00980C14"/>
    <w:rsid w:val="00981079"/>
    <w:rsid w:val="009810FB"/>
    <w:rsid w:val="00981474"/>
    <w:rsid w:val="0098180A"/>
    <w:rsid w:val="0098187F"/>
    <w:rsid w:val="009819A0"/>
    <w:rsid w:val="00981A7E"/>
    <w:rsid w:val="00981AE7"/>
    <w:rsid w:val="00981C65"/>
    <w:rsid w:val="00981C95"/>
    <w:rsid w:val="00981CAB"/>
    <w:rsid w:val="00981D6A"/>
    <w:rsid w:val="00981EFA"/>
    <w:rsid w:val="009820D7"/>
    <w:rsid w:val="009820E8"/>
    <w:rsid w:val="00982110"/>
    <w:rsid w:val="009821C4"/>
    <w:rsid w:val="009821F0"/>
    <w:rsid w:val="009825E7"/>
    <w:rsid w:val="00982657"/>
    <w:rsid w:val="00982690"/>
    <w:rsid w:val="00982711"/>
    <w:rsid w:val="009827AD"/>
    <w:rsid w:val="009827B8"/>
    <w:rsid w:val="009827C8"/>
    <w:rsid w:val="00982843"/>
    <w:rsid w:val="0098288B"/>
    <w:rsid w:val="009828B3"/>
    <w:rsid w:val="009828C3"/>
    <w:rsid w:val="00982A14"/>
    <w:rsid w:val="00982A45"/>
    <w:rsid w:val="00982D4A"/>
    <w:rsid w:val="00982DC6"/>
    <w:rsid w:val="00982E5E"/>
    <w:rsid w:val="00982EE9"/>
    <w:rsid w:val="009830DC"/>
    <w:rsid w:val="009831C1"/>
    <w:rsid w:val="0098327E"/>
    <w:rsid w:val="0098342F"/>
    <w:rsid w:val="009835AD"/>
    <w:rsid w:val="009835B0"/>
    <w:rsid w:val="009835C5"/>
    <w:rsid w:val="0098368F"/>
    <w:rsid w:val="0098369E"/>
    <w:rsid w:val="00983707"/>
    <w:rsid w:val="00983836"/>
    <w:rsid w:val="0098386B"/>
    <w:rsid w:val="009838B0"/>
    <w:rsid w:val="009839E5"/>
    <w:rsid w:val="00983DFA"/>
    <w:rsid w:val="00983F15"/>
    <w:rsid w:val="00983F31"/>
    <w:rsid w:val="00983F37"/>
    <w:rsid w:val="009840BC"/>
    <w:rsid w:val="009840DB"/>
    <w:rsid w:val="00984101"/>
    <w:rsid w:val="0098441B"/>
    <w:rsid w:val="0098447F"/>
    <w:rsid w:val="0098451C"/>
    <w:rsid w:val="00984601"/>
    <w:rsid w:val="00984736"/>
    <w:rsid w:val="0098479E"/>
    <w:rsid w:val="00984B04"/>
    <w:rsid w:val="00984C61"/>
    <w:rsid w:val="00984C98"/>
    <w:rsid w:val="00984F23"/>
    <w:rsid w:val="0098540E"/>
    <w:rsid w:val="009856F1"/>
    <w:rsid w:val="00985740"/>
    <w:rsid w:val="00985800"/>
    <w:rsid w:val="009858AD"/>
    <w:rsid w:val="00985A3B"/>
    <w:rsid w:val="00985A48"/>
    <w:rsid w:val="00985B49"/>
    <w:rsid w:val="00985B57"/>
    <w:rsid w:val="00985C30"/>
    <w:rsid w:val="00985F04"/>
    <w:rsid w:val="00985FB5"/>
    <w:rsid w:val="00986284"/>
    <w:rsid w:val="0098630E"/>
    <w:rsid w:val="009863C6"/>
    <w:rsid w:val="009863E3"/>
    <w:rsid w:val="0098645A"/>
    <w:rsid w:val="009864FF"/>
    <w:rsid w:val="009865F4"/>
    <w:rsid w:val="0098661A"/>
    <w:rsid w:val="00986921"/>
    <w:rsid w:val="00986940"/>
    <w:rsid w:val="00986A7F"/>
    <w:rsid w:val="00986B14"/>
    <w:rsid w:val="00986CDA"/>
    <w:rsid w:val="00986DF5"/>
    <w:rsid w:val="00986E3D"/>
    <w:rsid w:val="00986ED5"/>
    <w:rsid w:val="00987276"/>
    <w:rsid w:val="00987632"/>
    <w:rsid w:val="009877B1"/>
    <w:rsid w:val="00987A1F"/>
    <w:rsid w:val="00987B77"/>
    <w:rsid w:val="00987BB0"/>
    <w:rsid w:val="00987EE7"/>
    <w:rsid w:val="00987EFE"/>
    <w:rsid w:val="00987F84"/>
    <w:rsid w:val="00990180"/>
    <w:rsid w:val="009901CA"/>
    <w:rsid w:val="00990312"/>
    <w:rsid w:val="0099033B"/>
    <w:rsid w:val="009903B2"/>
    <w:rsid w:val="009904FB"/>
    <w:rsid w:val="009905D2"/>
    <w:rsid w:val="009906BA"/>
    <w:rsid w:val="009907C6"/>
    <w:rsid w:val="00990825"/>
    <w:rsid w:val="00990B6B"/>
    <w:rsid w:val="00990C77"/>
    <w:rsid w:val="00990C92"/>
    <w:rsid w:val="00990E5E"/>
    <w:rsid w:val="00990E8D"/>
    <w:rsid w:val="0099113E"/>
    <w:rsid w:val="009913EB"/>
    <w:rsid w:val="009914D8"/>
    <w:rsid w:val="0099165E"/>
    <w:rsid w:val="0099179C"/>
    <w:rsid w:val="00991B0D"/>
    <w:rsid w:val="00991BAC"/>
    <w:rsid w:val="00991BF4"/>
    <w:rsid w:val="00991D31"/>
    <w:rsid w:val="00991F0C"/>
    <w:rsid w:val="00991FC6"/>
    <w:rsid w:val="009920F8"/>
    <w:rsid w:val="009921C6"/>
    <w:rsid w:val="00992230"/>
    <w:rsid w:val="00992436"/>
    <w:rsid w:val="00992636"/>
    <w:rsid w:val="00992756"/>
    <w:rsid w:val="00992853"/>
    <w:rsid w:val="0099297A"/>
    <w:rsid w:val="00992AAF"/>
    <w:rsid w:val="00992E50"/>
    <w:rsid w:val="009932BF"/>
    <w:rsid w:val="009932E5"/>
    <w:rsid w:val="009933FE"/>
    <w:rsid w:val="00993430"/>
    <w:rsid w:val="00993473"/>
    <w:rsid w:val="00993615"/>
    <w:rsid w:val="00993725"/>
    <w:rsid w:val="0099378C"/>
    <w:rsid w:val="00993907"/>
    <w:rsid w:val="009939C9"/>
    <w:rsid w:val="009939E5"/>
    <w:rsid w:val="00993D0A"/>
    <w:rsid w:val="00993D19"/>
    <w:rsid w:val="00993D23"/>
    <w:rsid w:val="00993DBD"/>
    <w:rsid w:val="00993E3B"/>
    <w:rsid w:val="00993E50"/>
    <w:rsid w:val="00993E8C"/>
    <w:rsid w:val="0099409C"/>
    <w:rsid w:val="009941C7"/>
    <w:rsid w:val="0099422F"/>
    <w:rsid w:val="00994389"/>
    <w:rsid w:val="00994495"/>
    <w:rsid w:val="00994521"/>
    <w:rsid w:val="009948BD"/>
    <w:rsid w:val="00994982"/>
    <w:rsid w:val="009949D1"/>
    <w:rsid w:val="009949DB"/>
    <w:rsid w:val="00994B4B"/>
    <w:rsid w:val="00994C2F"/>
    <w:rsid w:val="00994DD7"/>
    <w:rsid w:val="00995088"/>
    <w:rsid w:val="00995148"/>
    <w:rsid w:val="00995363"/>
    <w:rsid w:val="009954FE"/>
    <w:rsid w:val="00995615"/>
    <w:rsid w:val="00995616"/>
    <w:rsid w:val="00995742"/>
    <w:rsid w:val="00995E12"/>
    <w:rsid w:val="00995F73"/>
    <w:rsid w:val="00995FCC"/>
    <w:rsid w:val="0099626A"/>
    <w:rsid w:val="009962F1"/>
    <w:rsid w:val="009963C0"/>
    <w:rsid w:val="00996407"/>
    <w:rsid w:val="0099665C"/>
    <w:rsid w:val="00996913"/>
    <w:rsid w:val="00996B2D"/>
    <w:rsid w:val="00996BDA"/>
    <w:rsid w:val="00996BFA"/>
    <w:rsid w:val="00996C2D"/>
    <w:rsid w:val="00996C31"/>
    <w:rsid w:val="00996CA3"/>
    <w:rsid w:val="00996D16"/>
    <w:rsid w:val="00996E1F"/>
    <w:rsid w:val="00996E53"/>
    <w:rsid w:val="00997130"/>
    <w:rsid w:val="0099723A"/>
    <w:rsid w:val="0099737E"/>
    <w:rsid w:val="009973D9"/>
    <w:rsid w:val="00997535"/>
    <w:rsid w:val="00997959"/>
    <w:rsid w:val="009979AF"/>
    <w:rsid w:val="009979B5"/>
    <w:rsid w:val="009979CA"/>
    <w:rsid w:val="00997B16"/>
    <w:rsid w:val="00997BAD"/>
    <w:rsid w:val="00997D08"/>
    <w:rsid w:val="009A0098"/>
    <w:rsid w:val="009A0165"/>
    <w:rsid w:val="009A01BA"/>
    <w:rsid w:val="009A0253"/>
    <w:rsid w:val="009A0323"/>
    <w:rsid w:val="009A0358"/>
    <w:rsid w:val="009A03C5"/>
    <w:rsid w:val="009A04BF"/>
    <w:rsid w:val="009A0636"/>
    <w:rsid w:val="009A06A6"/>
    <w:rsid w:val="009A07FB"/>
    <w:rsid w:val="009A0801"/>
    <w:rsid w:val="009A0961"/>
    <w:rsid w:val="009A09CC"/>
    <w:rsid w:val="009A0B10"/>
    <w:rsid w:val="009A0CBA"/>
    <w:rsid w:val="009A0E46"/>
    <w:rsid w:val="009A0EC0"/>
    <w:rsid w:val="009A0F8D"/>
    <w:rsid w:val="009A1114"/>
    <w:rsid w:val="009A135E"/>
    <w:rsid w:val="009A1414"/>
    <w:rsid w:val="009A1446"/>
    <w:rsid w:val="009A14EA"/>
    <w:rsid w:val="009A152D"/>
    <w:rsid w:val="009A16CC"/>
    <w:rsid w:val="009A18CF"/>
    <w:rsid w:val="009A193F"/>
    <w:rsid w:val="009A1979"/>
    <w:rsid w:val="009A1A00"/>
    <w:rsid w:val="009A1B9A"/>
    <w:rsid w:val="009A1DE8"/>
    <w:rsid w:val="009A1F2F"/>
    <w:rsid w:val="009A242E"/>
    <w:rsid w:val="009A2451"/>
    <w:rsid w:val="009A2492"/>
    <w:rsid w:val="009A2765"/>
    <w:rsid w:val="009A27C4"/>
    <w:rsid w:val="009A284D"/>
    <w:rsid w:val="009A2A1F"/>
    <w:rsid w:val="009A2C15"/>
    <w:rsid w:val="009A2D7C"/>
    <w:rsid w:val="009A2DD0"/>
    <w:rsid w:val="009A2E4C"/>
    <w:rsid w:val="009A2EEF"/>
    <w:rsid w:val="009A2F6F"/>
    <w:rsid w:val="009A2FF7"/>
    <w:rsid w:val="009A321A"/>
    <w:rsid w:val="009A3333"/>
    <w:rsid w:val="009A333E"/>
    <w:rsid w:val="009A3522"/>
    <w:rsid w:val="009A35BA"/>
    <w:rsid w:val="009A35FB"/>
    <w:rsid w:val="009A3693"/>
    <w:rsid w:val="009A3983"/>
    <w:rsid w:val="009A3B3B"/>
    <w:rsid w:val="009A3B57"/>
    <w:rsid w:val="009A3B7C"/>
    <w:rsid w:val="009A3B82"/>
    <w:rsid w:val="009A3BD8"/>
    <w:rsid w:val="009A3C65"/>
    <w:rsid w:val="009A44F7"/>
    <w:rsid w:val="009A490C"/>
    <w:rsid w:val="009A4A19"/>
    <w:rsid w:val="009A4A56"/>
    <w:rsid w:val="009A4A99"/>
    <w:rsid w:val="009A4CDA"/>
    <w:rsid w:val="009A4F32"/>
    <w:rsid w:val="009A51F2"/>
    <w:rsid w:val="009A554E"/>
    <w:rsid w:val="009A555B"/>
    <w:rsid w:val="009A55C3"/>
    <w:rsid w:val="009A562C"/>
    <w:rsid w:val="009A5803"/>
    <w:rsid w:val="009A5AAA"/>
    <w:rsid w:val="009A5AC6"/>
    <w:rsid w:val="009A5CC1"/>
    <w:rsid w:val="009A5D10"/>
    <w:rsid w:val="009A5E79"/>
    <w:rsid w:val="009A5E8D"/>
    <w:rsid w:val="009A5E94"/>
    <w:rsid w:val="009A5EC6"/>
    <w:rsid w:val="009A5FBB"/>
    <w:rsid w:val="009A61C3"/>
    <w:rsid w:val="009A6283"/>
    <w:rsid w:val="009A6441"/>
    <w:rsid w:val="009A664A"/>
    <w:rsid w:val="009A679F"/>
    <w:rsid w:val="009A6BF9"/>
    <w:rsid w:val="009A6C60"/>
    <w:rsid w:val="009A6CF0"/>
    <w:rsid w:val="009A6FB9"/>
    <w:rsid w:val="009A6FC0"/>
    <w:rsid w:val="009A72DC"/>
    <w:rsid w:val="009A7316"/>
    <w:rsid w:val="009A7362"/>
    <w:rsid w:val="009A743E"/>
    <w:rsid w:val="009A74D9"/>
    <w:rsid w:val="009A755F"/>
    <w:rsid w:val="009A7560"/>
    <w:rsid w:val="009A781E"/>
    <w:rsid w:val="009A79AF"/>
    <w:rsid w:val="009A7AFE"/>
    <w:rsid w:val="009A7E55"/>
    <w:rsid w:val="009A7FE6"/>
    <w:rsid w:val="009B0039"/>
    <w:rsid w:val="009B004D"/>
    <w:rsid w:val="009B006B"/>
    <w:rsid w:val="009B019E"/>
    <w:rsid w:val="009B083A"/>
    <w:rsid w:val="009B0D00"/>
    <w:rsid w:val="009B0D60"/>
    <w:rsid w:val="009B127B"/>
    <w:rsid w:val="009B1429"/>
    <w:rsid w:val="009B14A3"/>
    <w:rsid w:val="009B162C"/>
    <w:rsid w:val="009B1740"/>
    <w:rsid w:val="009B177E"/>
    <w:rsid w:val="009B1842"/>
    <w:rsid w:val="009B1978"/>
    <w:rsid w:val="009B1987"/>
    <w:rsid w:val="009B1A7C"/>
    <w:rsid w:val="009B1ABD"/>
    <w:rsid w:val="009B1F02"/>
    <w:rsid w:val="009B1F0E"/>
    <w:rsid w:val="009B2007"/>
    <w:rsid w:val="009B20B1"/>
    <w:rsid w:val="009B2160"/>
    <w:rsid w:val="009B21A1"/>
    <w:rsid w:val="009B2252"/>
    <w:rsid w:val="009B226D"/>
    <w:rsid w:val="009B241D"/>
    <w:rsid w:val="009B25FF"/>
    <w:rsid w:val="009B2755"/>
    <w:rsid w:val="009B27B6"/>
    <w:rsid w:val="009B2832"/>
    <w:rsid w:val="009B2991"/>
    <w:rsid w:val="009B2A25"/>
    <w:rsid w:val="009B2A64"/>
    <w:rsid w:val="009B2B33"/>
    <w:rsid w:val="009B2D99"/>
    <w:rsid w:val="009B2EDD"/>
    <w:rsid w:val="009B2FE9"/>
    <w:rsid w:val="009B2FEB"/>
    <w:rsid w:val="009B2FF4"/>
    <w:rsid w:val="009B32CF"/>
    <w:rsid w:val="009B34EE"/>
    <w:rsid w:val="009B3627"/>
    <w:rsid w:val="009B3646"/>
    <w:rsid w:val="009B365D"/>
    <w:rsid w:val="009B36A2"/>
    <w:rsid w:val="009B38B2"/>
    <w:rsid w:val="009B3908"/>
    <w:rsid w:val="009B3B21"/>
    <w:rsid w:val="009B3CFC"/>
    <w:rsid w:val="009B3D8B"/>
    <w:rsid w:val="009B4198"/>
    <w:rsid w:val="009B4A1F"/>
    <w:rsid w:val="009B4B2F"/>
    <w:rsid w:val="009B4DA1"/>
    <w:rsid w:val="009B50B0"/>
    <w:rsid w:val="009B5143"/>
    <w:rsid w:val="009B5283"/>
    <w:rsid w:val="009B5439"/>
    <w:rsid w:val="009B549F"/>
    <w:rsid w:val="009B54DC"/>
    <w:rsid w:val="009B552E"/>
    <w:rsid w:val="009B557A"/>
    <w:rsid w:val="009B55BF"/>
    <w:rsid w:val="009B56A6"/>
    <w:rsid w:val="009B56A9"/>
    <w:rsid w:val="009B5755"/>
    <w:rsid w:val="009B596C"/>
    <w:rsid w:val="009B5B41"/>
    <w:rsid w:val="009B5C2E"/>
    <w:rsid w:val="009B5D28"/>
    <w:rsid w:val="009B5DD1"/>
    <w:rsid w:val="009B5E59"/>
    <w:rsid w:val="009B5E96"/>
    <w:rsid w:val="009B5F79"/>
    <w:rsid w:val="009B6170"/>
    <w:rsid w:val="009B6223"/>
    <w:rsid w:val="009B632C"/>
    <w:rsid w:val="009B63BE"/>
    <w:rsid w:val="009B63CA"/>
    <w:rsid w:val="009B63E3"/>
    <w:rsid w:val="009B6436"/>
    <w:rsid w:val="009B64AE"/>
    <w:rsid w:val="009B668A"/>
    <w:rsid w:val="009B66D4"/>
    <w:rsid w:val="009B66FE"/>
    <w:rsid w:val="009B6778"/>
    <w:rsid w:val="009B677A"/>
    <w:rsid w:val="009B69DC"/>
    <w:rsid w:val="009B6B39"/>
    <w:rsid w:val="009B6BF5"/>
    <w:rsid w:val="009B6D0C"/>
    <w:rsid w:val="009B6D56"/>
    <w:rsid w:val="009B6EC6"/>
    <w:rsid w:val="009B7038"/>
    <w:rsid w:val="009B7047"/>
    <w:rsid w:val="009B7173"/>
    <w:rsid w:val="009B7262"/>
    <w:rsid w:val="009B729F"/>
    <w:rsid w:val="009B72CD"/>
    <w:rsid w:val="009B73F9"/>
    <w:rsid w:val="009B7400"/>
    <w:rsid w:val="009B7464"/>
    <w:rsid w:val="009B74E8"/>
    <w:rsid w:val="009B7576"/>
    <w:rsid w:val="009B758E"/>
    <w:rsid w:val="009B7783"/>
    <w:rsid w:val="009B77AC"/>
    <w:rsid w:val="009B77FC"/>
    <w:rsid w:val="009B7836"/>
    <w:rsid w:val="009B7956"/>
    <w:rsid w:val="009B79E3"/>
    <w:rsid w:val="009B7A89"/>
    <w:rsid w:val="009B7B65"/>
    <w:rsid w:val="009B7F1C"/>
    <w:rsid w:val="009C0204"/>
    <w:rsid w:val="009C020D"/>
    <w:rsid w:val="009C02E3"/>
    <w:rsid w:val="009C0347"/>
    <w:rsid w:val="009C037D"/>
    <w:rsid w:val="009C03D3"/>
    <w:rsid w:val="009C03D9"/>
    <w:rsid w:val="009C03E2"/>
    <w:rsid w:val="009C04CE"/>
    <w:rsid w:val="009C08D5"/>
    <w:rsid w:val="009C09F2"/>
    <w:rsid w:val="009C09FD"/>
    <w:rsid w:val="009C0A42"/>
    <w:rsid w:val="009C0A9A"/>
    <w:rsid w:val="009C0E7D"/>
    <w:rsid w:val="009C1131"/>
    <w:rsid w:val="009C11DF"/>
    <w:rsid w:val="009C1201"/>
    <w:rsid w:val="009C1295"/>
    <w:rsid w:val="009C12D2"/>
    <w:rsid w:val="009C13A3"/>
    <w:rsid w:val="009C190D"/>
    <w:rsid w:val="009C1A50"/>
    <w:rsid w:val="009C1C3B"/>
    <w:rsid w:val="009C2076"/>
    <w:rsid w:val="009C225D"/>
    <w:rsid w:val="009C245F"/>
    <w:rsid w:val="009C24BF"/>
    <w:rsid w:val="009C2878"/>
    <w:rsid w:val="009C2964"/>
    <w:rsid w:val="009C2BA6"/>
    <w:rsid w:val="009C2C00"/>
    <w:rsid w:val="009C2D4A"/>
    <w:rsid w:val="009C2D52"/>
    <w:rsid w:val="009C2F5E"/>
    <w:rsid w:val="009C2F78"/>
    <w:rsid w:val="009C2F95"/>
    <w:rsid w:val="009C2FC3"/>
    <w:rsid w:val="009C30D7"/>
    <w:rsid w:val="009C3180"/>
    <w:rsid w:val="009C318F"/>
    <w:rsid w:val="009C3497"/>
    <w:rsid w:val="009C35FD"/>
    <w:rsid w:val="009C3749"/>
    <w:rsid w:val="009C3979"/>
    <w:rsid w:val="009C3A52"/>
    <w:rsid w:val="009C3B6A"/>
    <w:rsid w:val="009C3BE8"/>
    <w:rsid w:val="009C3BF3"/>
    <w:rsid w:val="009C3C8A"/>
    <w:rsid w:val="009C3DF8"/>
    <w:rsid w:val="009C3E19"/>
    <w:rsid w:val="009C3F0E"/>
    <w:rsid w:val="009C423A"/>
    <w:rsid w:val="009C42CB"/>
    <w:rsid w:val="009C442B"/>
    <w:rsid w:val="009C446A"/>
    <w:rsid w:val="009C45FA"/>
    <w:rsid w:val="009C4614"/>
    <w:rsid w:val="009C46E5"/>
    <w:rsid w:val="009C4842"/>
    <w:rsid w:val="009C485A"/>
    <w:rsid w:val="009C48BD"/>
    <w:rsid w:val="009C4A6F"/>
    <w:rsid w:val="009C4D11"/>
    <w:rsid w:val="009C4E04"/>
    <w:rsid w:val="009C4EDE"/>
    <w:rsid w:val="009C4F17"/>
    <w:rsid w:val="009C50CE"/>
    <w:rsid w:val="009C5186"/>
    <w:rsid w:val="009C531C"/>
    <w:rsid w:val="009C54B5"/>
    <w:rsid w:val="009C5521"/>
    <w:rsid w:val="009C55A3"/>
    <w:rsid w:val="009C55BF"/>
    <w:rsid w:val="009C58F2"/>
    <w:rsid w:val="009C59F3"/>
    <w:rsid w:val="009C5D44"/>
    <w:rsid w:val="009C5D7F"/>
    <w:rsid w:val="009C5DE7"/>
    <w:rsid w:val="009C5DF1"/>
    <w:rsid w:val="009C5E38"/>
    <w:rsid w:val="009C5FB1"/>
    <w:rsid w:val="009C60A6"/>
    <w:rsid w:val="009C6246"/>
    <w:rsid w:val="009C63E6"/>
    <w:rsid w:val="009C64CD"/>
    <w:rsid w:val="009C6627"/>
    <w:rsid w:val="009C664D"/>
    <w:rsid w:val="009C66AA"/>
    <w:rsid w:val="009C68EF"/>
    <w:rsid w:val="009C6A5D"/>
    <w:rsid w:val="009C6AD7"/>
    <w:rsid w:val="009C6B16"/>
    <w:rsid w:val="009C6BF1"/>
    <w:rsid w:val="009C7282"/>
    <w:rsid w:val="009C7638"/>
    <w:rsid w:val="009C76DA"/>
    <w:rsid w:val="009C7707"/>
    <w:rsid w:val="009C78E5"/>
    <w:rsid w:val="009C7B48"/>
    <w:rsid w:val="009D0332"/>
    <w:rsid w:val="009D04C1"/>
    <w:rsid w:val="009D091C"/>
    <w:rsid w:val="009D093F"/>
    <w:rsid w:val="009D0BC9"/>
    <w:rsid w:val="009D0BFB"/>
    <w:rsid w:val="009D0E89"/>
    <w:rsid w:val="009D1026"/>
    <w:rsid w:val="009D105B"/>
    <w:rsid w:val="009D139C"/>
    <w:rsid w:val="009D1512"/>
    <w:rsid w:val="009D1B31"/>
    <w:rsid w:val="009D1CEC"/>
    <w:rsid w:val="009D1D58"/>
    <w:rsid w:val="009D20B2"/>
    <w:rsid w:val="009D216C"/>
    <w:rsid w:val="009D2236"/>
    <w:rsid w:val="009D2251"/>
    <w:rsid w:val="009D2385"/>
    <w:rsid w:val="009D2454"/>
    <w:rsid w:val="009D2497"/>
    <w:rsid w:val="009D24F7"/>
    <w:rsid w:val="009D2524"/>
    <w:rsid w:val="009D25B0"/>
    <w:rsid w:val="009D25EC"/>
    <w:rsid w:val="009D2651"/>
    <w:rsid w:val="009D26BB"/>
    <w:rsid w:val="009D274C"/>
    <w:rsid w:val="009D275F"/>
    <w:rsid w:val="009D277E"/>
    <w:rsid w:val="009D2792"/>
    <w:rsid w:val="009D2805"/>
    <w:rsid w:val="009D29A7"/>
    <w:rsid w:val="009D29F8"/>
    <w:rsid w:val="009D2A5B"/>
    <w:rsid w:val="009D2AB1"/>
    <w:rsid w:val="009D2B48"/>
    <w:rsid w:val="009D2C71"/>
    <w:rsid w:val="009D2D58"/>
    <w:rsid w:val="009D2D70"/>
    <w:rsid w:val="009D3236"/>
    <w:rsid w:val="009D324D"/>
    <w:rsid w:val="009D32A3"/>
    <w:rsid w:val="009D32D8"/>
    <w:rsid w:val="009D334A"/>
    <w:rsid w:val="009D3892"/>
    <w:rsid w:val="009D3AC8"/>
    <w:rsid w:val="009D3CA3"/>
    <w:rsid w:val="009D3E10"/>
    <w:rsid w:val="009D3FDA"/>
    <w:rsid w:val="009D4056"/>
    <w:rsid w:val="009D407A"/>
    <w:rsid w:val="009D4216"/>
    <w:rsid w:val="009D42F9"/>
    <w:rsid w:val="009D4372"/>
    <w:rsid w:val="009D44DE"/>
    <w:rsid w:val="009D458F"/>
    <w:rsid w:val="009D4648"/>
    <w:rsid w:val="009D4659"/>
    <w:rsid w:val="009D469F"/>
    <w:rsid w:val="009D471E"/>
    <w:rsid w:val="009D4749"/>
    <w:rsid w:val="009D4832"/>
    <w:rsid w:val="009D4AF4"/>
    <w:rsid w:val="009D4B32"/>
    <w:rsid w:val="009D4BA9"/>
    <w:rsid w:val="009D4D32"/>
    <w:rsid w:val="009D4D44"/>
    <w:rsid w:val="009D4D49"/>
    <w:rsid w:val="009D4D7F"/>
    <w:rsid w:val="009D5026"/>
    <w:rsid w:val="009D50F7"/>
    <w:rsid w:val="009D5265"/>
    <w:rsid w:val="009D5328"/>
    <w:rsid w:val="009D5329"/>
    <w:rsid w:val="009D56CF"/>
    <w:rsid w:val="009D56FE"/>
    <w:rsid w:val="009D582A"/>
    <w:rsid w:val="009D5A96"/>
    <w:rsid w:val="009D5C00"/>
    <w:rsid w:val="009D5C89"/>
    <w:rsid w:val="009D5D39"/>
    <w:rsid w:val="009D5DD6"/>
    <w:rsid w:val="009D5E06"/>
    <w:rsid w:val="009D5EA1"/>
    <w:rsid w:val="009D5F19"/>
    <w:rsid w:val="009D6053"/>
    <w:rsid w:val="009D609C"/>
    <w:rsid w:val="009D60B9"/>
    <w:rsid w:val="009D6172"/>
    <w:rsid w:val="009D629E"/>
    <w:rsid w:val="009D62BE"/>
    <w:rsid w:val="009D62F4"/>
    <w:rsid w:val="009D631F"/>
    <w:rsid w:val="009D670D"/>
    <w:rsid w:val="009D6739"/>
    <w:rsid w:val="009D6B5E"/>
    <w:rsid w:val="009D6C5E"/>
    <w:rsid w:val="009D6C90"/>
    <w:rsid w:val="009D6D4E"/>
    <w:rsid w:val="009D6DFC"/>
    <w:rsid w:val="009D6F9B"/>
    <w:rsid w:val="009D700A"/>
    <w:rsid w:val="009D713A"/>
    <w:rsid w:val="009D7199"/>
    <w:rsid w:val="009D75EC"/>
    <w:rsid w:val="009D763E"/>
    <w:rsid w:val="009D7956"/>
    <w:rsid w:val="009D7977"/>
    <w:rsid w:val="009D79C1"/>
    <w:rsid w:val="009D7B1D"/>
    <w:rsid w:val="009D7B7A"/>
    <w:rsid w:val="009D7D67"/>
    <w:rsid w:val="009D7E31"/>
    <w:rsid w:val="009E0143"/>
    <w:rsid w:val="009E04B4"/>
    <w:rsid w:val="009E053B"/>
    <w:rsid w:val="009E058A"/>
    <w:rsid w:val="009E0680"/>
    <w:rsid w:val="009E0ACD"/>
    <w:rsid w:val="009E0B62"/>
    <w:rsid w:val="009E0D25"/>
    <w:rsid w:val="009E0D3A"/>
    <w:rsid w:val="009E0D4D"/>
    <w:rsid w:val="009E0DA2"/>
    <w:rsid w:val="009E1006"/>
    <w:rsid w:val="009E10A5"/>
    <w:rsid w:val="009E13AC"/>
    <w:rsid w:val="009E15B6"/>
    <w:rsid w:val="009E1782"/>
    <w:rsid w:val="009E183A"/>
    <w:rsid w:val="009E18AE"/>
    <w:rsid w:val="009E18DD"/>
    <w:rsid w:val="009E1912"/>
    <w:rsid w:val="009E192C"/>
    <w:rsid w:val="009E1AD1"/>
    <w:rsid w:val="009E1C88"/>
    <w:rsid w:val="009E1CE4"/>
    <w:rsid w:val="009E1D4B"/>
    <w:rsid w:val="009E1F48"/>
    <w:rsid w:val="009E20B8"/>
    <w:rsid w:val="009E2182"/>
    <w:rsid w:val="009E2224"/>
    <w:rsid w:val="009E229A"/>
    <w:rsid w:val="009E22A6"/>
    <w:rsid w:val="009E2472"/>
    <w:rsid w:val="009E2505"/>
    <w:rsid w:val="009E254A"/>
    <w:rsid w:val="009E2691"/>
    <w:rsid w:val="009E27DE"/>
    <w:rsid w:val="009E2A35"/>
    <w:rsid w:val="009E2A5D"/>
    <w:rsid w:val="009E2BD4"/>
    <w:rsid w:val="009E2BE7"/>
    <w:rsid w:val="009E2C65"/>
    <w:rsid w:val="009E2C7F"/>
    <w:rsid w:val="009E2D06"/>
    <w:rsid w:val="009E2F35"/>
    <w:rsid w:val="009E303D"/>
    <w:rsid w:val="009E30C0"/>
    <w:rsid w:val="009E30C1"/>
    <w:rsid w:val="009E312C"/>
    <w:rsid w:val="009E346F"/>
    <w:rsid w:val="009E36E1"/>
    <w:rsid w:val="009E382D"/>
    <w:rsid w:val="009E3866"/>
    <w:rsid w:val="009E39E6"/>
    <w:rsid w:val="009E3A59"/>
    <w:rsid w:val="009E3BFF"/>
    <w:rsid w:val="009E3C8F"/>
    <w:rsid w:val="009E3E38"/>
    <w:rsid w:val="009E407B"/>
    <w:rsid w:val="009E4147"/>
    <w:rsid w:val="009E4255"/>
    <w:rsid w:val="009E4316"/>
    <w:rsid w:val="009E4438"/>
    <w:rsid w:val="009E4520"/>
    <w:rsid w:val="009E45AA"/>
    <w:rsid w:val="009E4759"/>
    <w:rsid w:val="009E480B"/>
    <w:rsid w:val="009E48E5"/>
    <w:rsid w:val="009E4905"/>
    <w:rsid w:val="009E491F"/>
    <w:rsid w:val="009E493E"/>
    <w:rsid w:val="009E49DC"/>
    <w:rsid w:val="009E4B00"/>
    <w:rsid w:val="009E4B58"/>
    <w:rsid w:val="009E4BE0"/>
    <w:rsid w:val="009E4D96"/>
    <w:rsid w:val="009E4DA6"/>
    <w:rsid w:val="009E5000"/>
    <w:rsid w:val="009E50B3"/>
    <w:rsid w:val="009E52FC"/>
    <w:rsid w:val="009E5474"/>
    <w:rsid w:val="009E54E8"/>
    <w:rsid w:val="009E5660"/>
    <w:rsid w:val="009E56A7"/>
    <w:rsid w:val="009E56B6"/>
    <w:rsid w:val="009E57E3"/>
    <w:rsid w:val="009E5B0A"/>
    <w:rsid w:val="009E5BDC"/>
    <w:rsid w:val="009E5C17"/>
    <w:rsid w:val="009E5C66"/>
    <w:rsid w:val="009E5CBB"/>
    <w:rsid w:val="009E5CC7"/>
    <w:rsid w:val="009E5D21"/>
    <w:rsid w:val="009E5E31"/>
    <w:rsid w:val="009E60C9"/>
    <w:rsid w:val="009E60CB"/>
    <w:rsid w:val="009E61FD"/>
    <w:rsid w:val="009E6282"/>
    <w:rsid w:val="009E62BC"/>
    <w:rsid w:val="009E635F"/>
    <w:rsid w:val="009E6410"/>
    <w:rsid w:val="009E6A83"/>
    <w:rsid w:val="009E6ACA"/>
    <w:rsid w:val="009E6D09"/>
    <w:rsid w:val="009E6D81"/>
    <w:rsid w:val="009E6DAC"/>
    <w:rsid w:val="009E6ED4"/>
    <w:rsid w:val="009E6EEF"/>
    <w:rsid w:val="009E72F4"/>
    <w:rsid w:val="009E733A"/>
    <w:rsid w:val="009E783F"/>
    <w:rsid w:val="009E79DE"/>
    <w:rsid w:val="009E7C4C"/>
    <w:rsid w:val="009E7C84"/>
    <w:rsid w:val="009E7E2B"/>
    <w:rsid w:val="009E7F12"/>
    <w:rsid w:val="009F0143"/>
    <w:rsid w:val="009F01C9"/>
    <w:rsid w:val="009F029C"/>
    <w:rsid w:val="009F0432"/>
    <w:rsid w:val="009F0588"/>
    <w:rsid w:val="009F0699"/>
    <w:rsid w:val="009F072A"/>
    <w:rsid w:val="009F077B"/>
    <w:rsid w:val="009F0795"/>
    <w:rsid w:val="009F08FA"/>
    <w:rsid w:val="009F0A0A"/>
    <w:rsid w:val="009F0AB9"/>
    <w:rsid w:val="009F0AC6"/>
    <w:rsid w:val="009F0B0A"/>
    <w:rsid w:val="009F0D86"/>
    <w:rsid w:val="009F0EE5"/>
    <w:rsid w:val="009F0F43"/>
    <w:rsid w:val="009F1154"/>
    <w:rsid w:val="009F1310"/>
    <w:rsid w:val="009F14ED"/>
    <w:rsid w:val="009F15C4"/>
    <w:rsid w:val="009F160F"/>
    <w:rsid w:val="009F1635"/>
    <w:rsid w:val="009F181C"/>
    <w:rsid w:val="009F1A2A"/>
    <w:rsid w:val="009F1AFD"/>
    <w:rsid w:val="009F1CC6"/>
    <w:rsid w:val="009F1DDB"/>
    <w:rsid w:val="009F209C"/>
    <w:rsid w:val="009F21BA"/>
    <w:rsid w:val="009F2377"/>
    <w:rsid w:val="009F23E1"/>
    <w:rsid w:val="009F2447"/>
    <w:rsid w:val="009F24AD"/>
    <w:rsid w:val="009F25C6"/>
    <w:rsid w:val="009F261F"/>
    <w:rsid w:val="009F279A"/>
    <w:rsid w:val="009F28B5"/>
    <w:rsid w:val="009F29B0"/>
    <w:rsid w:val="009F2ACC"/>
    <w:rsid w:val="009F2B86"/>
    <w:rsid w:val="009F2C1A"/>
    <w:rsid w:val="009F2E38"/>
    <w:rsid w:val="009F33CC"/>
    <w:rsid w:val="009F34F1"/>
    <w:rsid w:val="009F361F"/>
    <w:rsid w:val="009F379F"/>
    <w:rsid w:val="009F3878"/>
    <w:rsid w:val="009F38DA"/>
    <w:rsid w:val="009F395C"/>
    <w:rsid w:val="009F3BD8"/>
    <w:rsid w:val="009F3D83"/>
    <w:rsid w:val="009F3F7A"/>
    <w:rsid w:val="009F4066"/>
    <w:rsid w:val="009F42E3"/>
    <w:rsid w:val="009F4341"/>
    <w:rsid w:val="009F43BF"/>
    <w:rsid w:val="009F45FA"/>
    <w:rsid w:val="009F45FE"/>
    <w:rsid w:val="009F4683"/>
    <w:rsid w:val="009F487B"/>
    <w:rsid w:val="009F4A3B"/>
    <w:rsid w:val="009F4B4F"/>
    <w:rsid w:val="009F4D31"/>
    <w:rsid w:val="009F5288"/>
    <w:rsid w:val="009F532B"/>
    <w:rsid w:val="009F542B"/>
    <w:rsid w:val="009F548E"/>
    <w:rsid w:val="009F5890"/>
    <w:rsid w:val="009F59E6"/>
    <w:rsid w:val="009F5B49"/>
    <w:rsid w:val="009F5B79"/>
    <w:rsid w:val="009F5B93"/>
    <w:rsid w:val="009F5BA3"/>
    <w:rsid w:val="009F5BF3"/>
    <w:rsid w:val="009F5CDF"/>
    <w:rsid w:val="009F5E2D"/>
    <w:rsid w:val="009F613E"/>
    <w:rsid w:val="009F645D"/>
    <w:rsid w:val="009F64E5"/>
    <w:rsid w:val="009F6609"/>
    <w:rsid w:val="009F660F"/>
    <w:rsid w:val="009F6645"/>
    <w:rsid w:val="009F6781"/>
    <w:rsid w:val="009F69BA"/>
    <w:rsid w:val="009F6A28"/>
    <w:rsid w:val="009F6C30"/>
    <w:rsid w:val="009F6CFF"/>
    <w:rsid w:val="009F6F0C"/>
    <w:rsid w:val="009F6F2E"/>
    <w:rsid w:val="009F6FD7"/>
    <w:rsid w:val="009F7094"/>
    <w:rsid w:val="009F72A9"/>
    <w:rsid w:val="009F744B"/>
    <w:rsid w:val="009F76AC"/>
    <w:rsid w:val="009F7878"/>
    <w:rsid w:val="009F78CE"/>
    <w:rsid w:val="009F7966"/>
    <w:rsid w:val="009F7A85"/>
    <w:rsid w:val="009F7BBD"/>
    <w:rsid w:val="009F7BC7"/>
    <w:rsid w:val="009F7BF2"/>
    <w:rsid w:val="009F7E58"/>
    <w:rsid w:val="009F7ED0"/>
    <w:rsid w:val="009F7FA4"/>
    <w:rsid w:val="00A00044"/>
    <w:rsid w:val="00A0009C"/>
    <w:rsid w:val="00A000AA"/>
    <w:rsid w:val="00A000EB"/>
    <w:rsid w:val="00A001AF"/>
    <w:rsid w:val="00A001B8"/>
    <w:rsid w:val="00A00301"/>
    <w:rsid w:val="00A00312"/>
    <w:rsid w:val="00A00494"/>
    <w:rsid w:val="00A004A0"/>
    <w:rsid w:val="00A005D7"/>
    <w:rsid w:val="00A005F8"/>
    <w:rsid w:val="00A005FA"/>
    <w:rsid w:val="00A0064B"/>
    <w:rsid w:val="00A00731"/>
    <w:rsid w:val="00A009A8"/>
    <w:rsid w:val="00A00C08"/>
    <w:rsid w:val="00A00E1B"/>
    <w:rsid w:val="00A00E2C"/>
    <w:rsid w:val="00A01323"/>
    <w:rsid w:val="00A01467"/>
    <w:rsid w:val="00A014E7"/>
    <w:rsid w:val="00A015FC"/>
    <w:rsid w:val="00A0162D"/>
    <w:rsid w:val="00A016C8"/>
    <w:rsid w:val="00A01726"/>
    <w:rsid w:val="00A01875"/>
    <w:rsid w:val="00A019B7"/>
    <w:rsid w:val="00A01ABD"/>
    <w:rsid w:val="00A01C26"/>
    <w:rsid w:val="00A01C69"/>
    <w:rsid w:val="00A01E4F"/>
    <w:rsid w:val="00A01E9E"/>
    <w:rsid w:val="00A01F36"/>
    <w:rsid w:val="00A01FCC"/>
    <w:rsid w:val="00A0208A"/>
    <w:rsid w:val="00A020C4"/>
    <w:rsid w:val="00A023A9"/>
    <w:rsid w:val="00A023B0"/>
    <w:rsid w:val="00A023F4"/>
    <w:rsid w:val="00A0249D"/>
    <w:rsid w:val="00A025A7"/>
    <w:rsid w:val="00A02C72"/>
    <w:rsid w:val="00A02C85"/>
    <w:rsid w:val="00A02DAD"/>
    <w:rsid w:val="00A02EF3"/>
    <w:rsid w:val="00A031FE"/>
    <w:rsid w:val="00A0330F"/>
    <w:rsid w:val="00A033F8"/>
    <w:rsid w:val="00A0359B"/>
    <w:rsid w:val="00A03676"/>
    <w:rsid w:val="00A036D5"/>
    <w:rsid w:val="00A0382A"/>
    <w:rsid w:val="00A03865"/>
    <w:rsid w:val="00A039D0"/>
    <w:rsid w:val="00A03C5B"/>
    <w:rsid w:val="00A03E20"/>
    <w:rsid w:val="00A04056"/>
    <w:rsid w:val="00A04084"/>
    <w:rsid w:val="00A041D0"/>
    <w:rsid w:val="00A0437D"/>
    <w:rsid w:val="00A0447C"/>
    <w:rsid w:val="00A04575"/>
    <w:rsid w:val="00A046D5"/>
    <w:rsid w:val="00A046FB"/>
    <w:rsid w:val="00A04955"/>
    <w:rsid w:val="00A04A41"/>
    <w:rsid w:val="00A04CBD"/>
    <w:rsid w:val="00A04D68"/>
    <w:rsid w:val="00A05001"/>
    <w:rsid w:val="00A050A2"/>
    <w:rsid w:val="00A05193"/>
    <w:rsid w:val="00A0534C"/>
    <w:rsid w:val="00A0569D"/>
    <w:rsid w:val="00A057C8"/>
    <w:rsid w:val="00A05963"/>
    <w:rsid w:val="00A05BAF"/>
    <w:rsid w:val="00A05D29"/>
    <w:rsid w:val="00A05D3D"/>
    <w:rsid w:val="00A05F36"/>
    <w:rsid w:val="00A0604B"/>
    <w:rsid w:val="00A060F4"/>
    <w:rsid w:val="00A0615E"/>
    <w:rsid w:val="00A061FB"/>
    <w:rsid w:val="00A06492"/>
    <w:rsid w:val="00A065A2"/>
    <w:rsid w:val="00A065B9"/>
    <w:rsid w:val="00A06795"/>
    <w:rsid w:val="00A067D9"/>
    <w:rsid w:val="00A06A0F"/>
    <w:rsid w:val="00A06A84"/>
    <w:rsid w:val="00A06BF6"/>
    <w:rsid w:val="00A06BF8"/>
    <w:rsid w:val="00A06CD7"/>
    <w:rsid w:val="00A06E81"/>
    <w:rsid w:val="00A06E8D"/>
    <w:rsid w:val="00A06FAF"/>
    <w:rsid w:val="00A07037"/>
    <w:rsid w:val="00A073ED"/>
    <w:rsid w:val="00A07423"/>
    <w:rsid w:val="00A07436"/>
    <w:rsid w:val="00A07C99"/>
    <w:rsid w:val="00A07D8C"/>
    <w:rsid w:val="00A07EF4"/>
    <w:rsid w:val="00A07F45"/>
    <w:rsid w:val="00A101A6"/>
    <w:rsid w:val="00A10388"/>
    <w:rsid w:val="00A1064C"/>
    <w:rsid w:val="00A1075E"/>
    <w:rsid w:val="00A10879"/>
    <w:rsid w:val="00A1089D"/>
    <w:rsid w:val="00A10E6A"/>
    <w:rsid w:val="00A10F11"/>
    <w:rsid w:val="00A11016"/>
    <w:rsid w:val="00A110BA"/>
    <w:rsid w:val="00A11555"/>
    <w:rsid w:val="00A11569"/>
    <w:rsid w:val="00A11606"/>
    <w:rsid w:val="00A1187D"/>
    <w:rsid w:val="00A118B7"/>
    <w:rsid w:val="00A11A60"/>
    <w:rsid w:val="00A11B66"/>
    <w:rsid w:val="00A11BA7"/>
    <w:rsid w:val="00A11CA7"/>
    <w:rsid w:val="00A11E4E"/>
    <w:rsid w:val="00A11E6B"/>
    <w:rsid w:val="00A11FE0"/>
    <w:rsid w:val="00A1274D"/>
    <w:rsid w:val="00A129AB"/>
    <w:rsid w:val="00A129CB"/>
    <w:rsid w:val="00A129EC"/>
    <w:rsid w:val="00A12C3D"/>
    <w:rsid w:val="00A12CA7"/>
    <w:rsid w:val="00A12E9D"/>
    <w:rsid w:val="00A12EE7"/>
    <w:rsid w:val="00A12F89"/>
    <w:rsid w:val="00A130E7"/>
    <w:rsid w:val="00A131CD"/>
    <w:rsid w:val="00A1321F"/>
    <w:rsid w:val="00A1324F"/>
    <w:rsid w:val="00A1352F"/>
    <w:rsid w:val="00A13720"/>
    <w:rsid w:val="00A13C47"/>
    <w:rsid w:val="00A13CB1"/>
    <w:rsid w:val="00A13FFF"/>
    <w:rsid w:val="00A14064"/>
    <w:rsid w:val="00A1414B"/>
    <w:rsid w:val="00A141E7"/>
    <w:rsid w:val="00A14332"/>
    <w:rsid w:val="00A148AE"/>
    <w:rsid w:val="00A148F7"/>
    <w:rsid w:val="00A14B22"/>
    <w:rsid w:val="00A14BBF"/>
    <w:rsid w:val="00A14CF4"/>
    <w:rsid w:val="00A14D98"/>
    <w:rsid w:val="00A14DEC"/>
    <w:rsid w:val="00A14FC6"/>
    <w:rsid w:val="00A15198"/>
    <w:rsid w:val="00A15211"/>
    <w:rsid w:val="00A1538F"/>
    <w:rsid w:val="00A15395"/>
    <w:rsid w:val="00A153E5"/>
    <w:rsid w:val="00A1540F"/>
    <w:rsid w:val="00A15479"/>
    <w:rsid w:val="00A15710"/>
    <w:rsid w:val="00A157F1"/>
    <w:rsid w:val="00A15A6D"/>
    <w:rsid w:val="00A15B06"/>
    <w:rsid w:val="00A15DB1"/>
    <w:rsid w:val="00A15E68"/>
    <w:rsid w:val="00A16052"/>
    <w:rsid w:val="00A16150"/>
    <w:rsid w:val="00A16187"/>
    <w:rsid w:val="00A1627A"/>
    <w:rsid w:val="00A1627D"/>
    <w:rsid w:val="00A1661D"/>
    <w:rsid w:val="00A166B8"/>
    <w:rsid w:val="00A166CD"/>
    <w:rsid w:val="00A166F9"/>
    <w:rsid w:val="00A16701"/>
    <w:rsid w:val="00A16875"/>
    <w:rsid w:val="00A168FE"/>
    <w:rsid w:val="00A16936"/>
    <w:rsid w:val="00A16951"/>
    <w:rsid w:val="00A16A16"/>
    <w:rsid w:val="00A16AC4"/>
    <w:rsid w:val="00A16AE2"/>
    <w:rsid w:val="00A16CFD"/>
    <w:rsid w:val="00A16D1C"/>
    <w:rsid w:val="00A16D2A"/>
    <w:rsid w:val="00A16D78"/>
    <w:rsid w:val="00A172D2"/>
    <w:rsid w:val="00A17619"/>
    <w:rsid w:val="00A1766F"/>
    <w:rsid w:val="00A17777"/>
    <w:rsid w:val="00A177D6"/>
    <w:rsid w:val="00A17839"/>
    <w:rsid w:val="00A17895"/>
    <w:rsid w:val="00A17899"/>
    <w:rsid w:val="00A179BC"/>
    <w:rsid w:val="00A17A51"/>
    <w:rsid w:val="00A17B15"/>
    <w:rsid w:val="00A17CB3"/>
    <w:rsid w:val="00A17DE9"/>
    <w:rsid w:val="00A17E05"/>
    <w:rsid w:val="00A17E52"/>
    <w:rsid w:val="00A200D4"/>
    <w:rsid w:val="00A2010A"/>
    <w:rsid w:val="00A201A1"/>
    <w:rsid w:val="00A20360"/>
    <w:rsid w:val="00A2048D"/>
    <w:rsid w:val="00A20500"/>
    <w:rsid w:val="00A205EE"/>
    <w:rsid w:val="00A20634"/>
    <w:rsid w:val="00A20877"/>
    <w:rsid w:val="00A208A3"/>
    <w:rsid w:val="00A20AFB"/>
    <w:rsid w:val="00A20BE2"/>
    <w:rsid w:val="00A20DD7"/>
    <w:rsid w:val="00A20F2F"/>
    <w:rsid w:val="00A20FCA"/>
    <w:rsid w:val="00A2106B"/>
    <w:rsid w:val="00A210CB"/>
    <w:rsid w:val="00A21226"/>
    <w:rsid w:val="00A212BE"/>
    <w:rsid w:val="00A212F2"/>
    <w:rsid w:val="00A21683"/>
    <w:rsid w:val="00A2192F"/>
    <w:rsid w:val="00A2193F"/>
    <w:rsid w:val="00A2195F"/>
    <w:rsid w:val="00A219A0"/>
    <w:rsid w:val="00A21BE8"/>
    <w:rsid w:val="00A21CDD"/>
    <w:rsid w:val="00A21D04"/>
    <w:rsid w:val="00A21F2F"/>
    <w:rsid w:val="00A222D1"/>
    <w:rsid w:val="00A22341"/>
    <w:rsid w:val="00A22641"/>
    <w:rsid w:val="00A227DF"/>
    <w:rsid w:val="00A2285C"/>
    <w:rsid w:val="00A2299C"/>
    <w:rsid w:val="00A22A70"/>
    <w:rsid w:val="00A22C17"/>
    <w:rsid w:val="00A22C9C"/>
    <w:rsid w:val="00A22D49"/>
    <w:rsid w:val="00A22E8F"/>
    <w:rsid w:val="00A22FB9"/>
    <w:rsid w:val="00A23119"/>
    <w:rsid w:val="00A2311B"/>
    <w:rsid w:val="00A232B8"/>
    <w:rsid w:val="00A23334"/>
    <w:rsid w:val="00A2362B"/>
    <w:rsid w:val="00A237F4"/>
    <w:rsid w:val="00A23A94"/>
    <w:rsid w:val="00A23F0A"/>
    <w:rsid w:val="00A23F42"/>
    <w:rsid w:val="00A23FEB"/>
    <w:rsid w:val="00A24027"/>
    <w:rsid w:val="00A24091"/>
    <w:rsid w:val="00A241C6"/>
    <w:rsid w:val="00A242D1"/>
    <w:rsid w:val="00A2434D"/>
    <w:rsid w:val="00A243E9"/>
    <w:rsid w:val="00A24426"/>
    <w:rsid w:val="00A24436"/>
    <w:rsid w:val="00A24672"/>
    <w:rsid w:val="00A246DE"/>
    <w:rsid w:val="00A2484D"/>
    <w:rsid w:val="00A24B76"/>
    <w:rsid w:val="00A24FCC"/>
    <w:rsid w:val="00A24FCE"/>
    <w:rsid w:val="00A25192"/>
    <w:rsid w:val="00A253E2"/>
    <w:rsid w:val="00A255A6"/>
    <w:rsid w:val="00A2566E"/>
    <w:rsid w:val="00A256CB"/>
    <w:rsid w:val="00A2577A"/>
    <w:rsid w:val="00A257F9"/>
    <w:rsid w:val="00A25843"/>
    <w:rsid w:val="00A258C2"/>
    <w:rsid w:val="00A258C3"/>
    <w:rsid w:val="00A25989"/>
    <w:rsid w:val="00A25B44"/>
    <w:rsid w:val="00A25B5D"/>
    <w:rsid w:val="00A25B8E"/>
    <w:rsid w:val="00A25C21"/>
    <w:rsid w:val="00A25C5F"/>
    <w:rsid w:val="00A25CB4"/>
    <w:rsid w:val="00A260CB"/>
    <w:rsid w:val="00A2625F"/>
    <w:rsid w:val="00A26288"/>
    <w:rsid w:val="00A263E9"/>
    <w:rsid w:val="00A265FD"/>
    <w:rsid w:val="00A26663"/>
    <w:rsid w:val="00A2677E"/>
    <w:rsid w:val="00A26839"/>
    <w:rsid w:val="00A26B03"/>
    <w:rsid w:val="00A26C48"/>
    <w:rsid w:val="00A26C54"/>
    <w:rsid w:val="00A26DAE"/>
    <w:rsid w:val="00A26DBA"/>
    <w:rsid w:val="00A26DC3"/>
    <w:rsid w:val="00A26DF5"/>
    <w:rsid w:val="00A27031"/>
    <w:rsid w:val="00A270CC"/>
    <w:rsid w:val="00A27197"/>
    <w:rsid w:val="00A274F5"/>
    <w:rsid w:val="00A27542"/>
    <w:rsid w:val="00A27568"/>
    <w:rsid w:val="00A276ED"/>
    <w:rsid w:val="00A2776F"/>
    <w:rsid w:val="00A277FB"/>
    <w:rsid w:val="00A278C2"/>
    <w:rsid w:val="00A278EB"/>
    <w:rsid w:val="00A27A90"/>
    <w:rsid w:val="00A27B0D"/>
    <w:rsid w:val="00A27B7A"/>
    <w:rsid w:val="00A27BB0"/>
    <w:rsid w:val="00A27C0C"/>
    <w:rsid w:val="00A27C14"/>
    <w:rsid w:val="00A27C78"/>
    <w:rsid w:val="00A27CDE"/>
    <w:rsid w:val="00A302EB"/>
    <w:rsid w:val="00A30347"/>
    <w:rsid w:val="00A303BC"/>
    <w:rsid w:val="00A307CD"/>
    <w:rsid w:val="00A30A4B"/>
    <w:rsid w:val="00A30B3C"/>
    <w:rsid w:val="00A30C1C"/>
    <w:rsid w:val="00A30C61"/>
    <w:rsid w:val="00A310C2"/>
    <w:rsid w:val="00A31491"/>
    <w:rsid w:val="00A31598"/>
    <w:rsid w:val="00A315A9"/>
    <w:rsid w:val="00A31623"/>
    <w:rsid w:val="00A3169D"/>
    <w:rsid w:val="00A319C4"/>
    <w:rsid w:val="00A31ACE"/>
    <w:rsid w:val="00A31BC8"/>
    <w:rsid w:val="00A31C71"/>
    <w:rsid w:val="00A31F67"/>
    <w:rsid w:val="00A32200"/>
    <w:rsid w:val="00A32249"/>
    <w:rsid w:val="00A3230D"/>
    <w:rsid w:val="00A32510"/>
    <w:rsid w:val="00A325B3"/>
    <w:rsid w:val="00A3262C"/>
    <w:rsid w:val="00A32957"/>
    <w:rsid w:val="00A32A84"/>
    <w:rsid w:val="00A32AA3"/>
    <w:rsid w:val="00A32D5E"/>
    <w:rsid w:val="00A33073"/>
    <w:rsid w:val="00A331AD"/>
    <w:rsid w:val="00A3324B"/>
    <w:rsid w:val="00A333EF"/>
    <w:rsid w:val="00A335A9"/>
    <w:rsid w:val="00A3382E"/>
    <w:rsid w:val="00A33975"/>
    <w:rsid w:val="00A3397D"/>
    <w:rsid w:val="00A33A65"/>
    <w:rsid w:val="00A33B48"/>
    <w:rsid w:val="00A33B63"/>
    <w:rsid w:val="00A33C6E"/>
    <w:rsid w:val="00A33F57"/>
    <w:rsid w:val="00A34150"/>
    <w:rsid w:val="00A34158"/>
    <w:rsid w:val="00A34252"/>
    <w:rsid w:val="00A3425C"/>
    <w:rsid w:val="00A343DB"/>
    <w:rsid w:val="00A3458F"/>
    <w:rsid w:val="00A346E6"/>
    <w:rsid w:val="00A34905"/>
    <w:rsid w:val="00A3491F"/>
    <w:rsid w:val="00A34AA4"/>
    <w:rsid w:val="00A34ADC"/>
    <w:rsid w:val="00A34C02"/>
    <w:rsid w:val="00A34D24"/>
    <w:rsid w:val="00A34DB9"/>
    <w:rsid w:val="00A34F8C"/>
    <w:rsid w:val="00A34FCB"/>
    <w:rsid w:val="00A35115"/>
    <w:rsid w:val="00A35174"/>
    <w:rsid w:val="00A353A4"/>
    <w:rsid w:val="00A35647"/>
    <w:rsid w:val="00A356AE"/>
    <w:rsid w:val="00A35892"/>
    <w:rsid w:val="00A35917"/>
    <w:rsid w:val="00A35A51"/>
    <w:rsid w:val="00A35A7F"/>
    <w:rsid w:val="00A35C33"/>
    <w:rsid w:val="00A35D14"/>
    <w:rsid w:val="00A35E05"/>
    <w:rsid w:val="00A360B3"/>
    <w:rsid w:val="00A360B5"/>
    <w:rsid w:val="00A36160"/>
    <w:rsid w:val="00A367DE"/>
    <w:rsid w:val="00A367FC"/>
    <w:rsid w:val="00A36868"/>
    <w:rsid w:val="00A36893"/>
    <w:rsid w:val="00A36B9C"/>
    <w:rsid w:val="00A36BE0"/>
    <w:rsid w:val="00A36C2E"/>
    <w:rsid w:val="00A36CA9"/>
    <w:rsid w:val="00A36CFF"/>
    <w:rsid w:val="00A36D90"/>
    <w:rsid w:val="00A36E90"/>
    <w:rsid w:val="00A370BC"/>
    <w:rsid w:val="00A37136"/>
    <w:rsid w:val="00A372E4"/>
    <w:rsid w:val="00A3764F"/>
    <w:rsid w:val="00A3774C"/>
    <w:rsid w:val="00A3775D"/>
    <w:rsid w:val="00A378B0"/>
    <w:rsid w:val="00A37962"/>
    <w:rsid w:val="00A37A63"/>
    <w:rsid w:val="00A37AC0"/>
    <w:rsid w:val="00A37B43"/>
    <w:rsid w:val="00A37C25"/>
    <w:rsid w:val="00A37E25"/>
    <w:rsid w:val="00A37E4A"/>
    <w:rsid w:val="00A37FBD"/>
    <w:rsid w:val="00A40049"/>
    <w:rsid w:val="00A40071"/>
    <w:rsid w:val="00A40249"/>
    <w:rsid w:val="00A4052B"/>
    <w:rsid w:val="00A40557"/>
    <w:rsid w:val="00A4058A"/>
    <w:rsid w:val="00A40680"/>
    <w:rsid w:val="00A40827"/>
    <w:rsid w:val="00A40912"/>
    <w:rsid w:val="00A4095F"/>
    <w:rsid w:val="00A40AC5"/>
    <w:rsid w:val="00A40BA5"/>
    <w:rsid w:val="00A40CA6"/>
    <w:rsid w:val="00A4114B"/>
    <w:rsid w:val="00A4142D"/>
    <w:rsid w:val="00A415B9"/>
    <w:rsid w:val="00A41611"/>
    <w:rsid w:val="00A417E0"/>
    <w:rsid w:val="00A41883"/>
    <w:rsid w:val="00A41AB0"/>
    <w:rsid w:val="00A41BE2"/>
    <w:rsid w:val="00A41D89"/>
    <w:rsid w:val="00A41E76"/>
    <w:rsid w:val="00A420A0"/>
    <w:rsid w:val="00A421CB"/>
    <w:rsid w:val="00A4222C"/>
    <w:rsid w:val="00A4223A"/>
    <w:rsid w:val="00A42374"/>
    <w:rsid w:val="00A423A1"/>
    <w:rsid w:val="00A42424"/>
    <w:rsid w:val="00A42490"/>
    <w:rsid w:val="00A4251B"/>
    <w:rsid w:val="00A42A18"/>
    <w:rsid w:val="00A42C20"/>
    <w:rsid w:val="00A43119"/>
    <w:rsid w:val="00A4311C"/>
    <w:rsid w:val="00A4326C"/>
    <w:rsid w:val="00A43501"/>
    <w:rsid w:val="00A43605"/>
    <w:rsid w:val="00A43631"/>
    <w:rsid w:val="00A436E8"/>
    <w:rsid w:val="00A4382C"/>
    <w:rsid w:val="00A4385B"/>
    <w:rsid w:val="00A43908"/>
    <w:rsid w:val="00A43999"/>
    <w:rsid w:val="00A439FE"/>
    <w:rsid w:val="00A43A4B"/>
    <w:rsid w:val="00A43B43"/>
    <w:rsid w:val="00A43B53"/>
    <w:rsid w:val="00A43B75"/>
    <w:rsid w:val="00A43CCA"/>
    <w:rsid w:val="00A43FBE"/>
    <w:rsid w:val="00A441FF"/>
    <w:rsid w:val="00A44229"/>
    <w:rsid w:val="00A4423F"/>
    <w:rsid w:val="00A4447D"/>
    <w:rsid w:val="00A444A9"/>
    <w:rsid w:val="00A446BD"/>
    <w:rsid w:val="00A44814"/>
    <w:rsid w:val="00A44884"/>
    <w:rsid w:val="00A448F3"/>
    <w:rsid w:val="00A44CD3"/>
    <w:rsid w:val="00A44EB3"/>
    <w:rsid w:val="00A45008"/>
    <w:rsid w:val="00A4503B"/>
    <w:rsid w:val="00A451A1"/>
    <w:rsid w:val="00A451F9"/>
    <w:rsid w:val="00A45369"/>
    <w:rsid w:val="00A45403"/>
    <w:rsid w:val="00A455A3"/>
    <w:rsid w:val="00A455FE"/>
    <w:rsid w:val="00A45768"/>
    <w:rsid w:val="00A4596B"/>
    <w:rsid w:val="00A459B4"/>
    <w:rsid w:val="00A45B1D"/>
    <w:rsid w:val="00A45B44"/>
    <w:rsid w:val="00A45B97"/>
    <w:rsid w:val="00A45E56"/>
    <w:rsid w:val="00A46010"/>
    <w:rsid w:val="00A46043"/>
    <w:rsid w:val="00A46103"/>
    <w:rsid w:val="00A461F1"/>
    <w:rsid w:val="00A463C2"/>
    <w:rsid w:val="00A463E1"/>
    <w:rsid w:val="00A4645B"/>
    <w:rsid w:val="00A467CB"/>
    <w:rsid w:val="00A469DA"/>
    <w:rsid w:val="00A46C62"/>
    <w:rsid w:val="00A472F0"/>
    <w:rsid w:val="00A47321"/>
    <w:rsid w:val="00A47349"/>
    <w:rsid w:val="00A473D2"/>
    <w:rsid w:val="00A475FF"/>
    <w:rsid w:val="00A47674"/>
    <w:rsid w:val="00A4774E"/>
    <w:rsid w:val="00A47983"/>
    <w:rsid w:val="00A47C57"/>
    <w:rsid w:val="00A47D44"/>
    <w:rsid w:val="00A47D4B"/>
    <w:rsid w:val="00A47E71"/>
    <w:rsid w:val="00A47E89"/>
    <w:rsid w:val="00A5008F"/>
    <w:rsid w:val="00A5009B"/>
    <w:rsid w:val="00A501A3"/>
    <w:rsid w:val="00A505DD"/>
    <w:rsid w:val="00A506CD"/>
    <w:rsid w:val="00A50925"/>
    <w:rsid w:val="00A50A2F"/>
    <w:rsid w:val="00A50AA0"/>
    <w:rsid w:val="00A50AEC"/>
    <w:rsid w:val="00A50BDE"/>
    <w:rsid w:val="00A50C13"/>
    <w:rsid w:val="00A50C48"/>
    <w:rsid w:val="00A51103"/>
    <w:rsid w:val="00A5112C"/>
    <w:rsid w:val="00A51255"/>
    <w:rsid w:val="00A51578"/>
    <w:rsid w:val="00A515EC"/>
    <w:rsid w:val="00A5166D"/>
    <w:rsid w:val="00A51717"/>
    <w:rsid w:val="00A51887"/>
    <w:rsid w:val="00A51975"/>
    <w:rsid w:val="00A51AE1"/>
    <w:rsid w:val="00A51B1B"/>
    <w:rsid w:val="00A51BDA"/>
    <w:rsid w:val="00A51C91"/>
    <w:rsid w:val="00A51CAB"/>
    <w:rsid w:val="00A51D65"/>
    <w:rsid w:val="00A51E09"/>
    <w:rsid w:val="00A51F62"/>
    <w:rsid w:val="00A51FED"/>
    <w:rsid w:val="00A52003"/>
    <w:rsid w:val="00A5211B"/>
    <w:rsid w:val="00A5215B"/>
    <w:rsid w:val="00A521E2"/>
    <w:rsid w:val="00A52206"/>
    <w:rsid w:val="00A522DB"/>
    <w:rsid w:val="00A522E3"/>
    <w:rsid w:val="00A523E9"/>
    <w:rsid w:val="00A5268E"/>
    <w:rsid w:val="00A52815"/>
    <w:rsid w:val="00A5286B"/>
    <w:rsid w:val="00A5291F"/>
    <w:rsid w:val="00A52A28"/>
    <w:rsid w:val="00A52AD6"/>
    <w:rsid w:val="00A52B49"/>
    <w:rsid w:val="00A52BBE"/>
    <w:rsid w:val="00A52D51"/>
    <w:rsid w:val="00A5303D"/>
    <w:rsid w:val="00A5307C"/>
    <w:rsid w:val="00A5332F"/>
    <w:rsid w:val="00A535BE"/>
    <w:rsid w:val="00A538F2"/>
    <w:rsid w:val="00A53CA1"/>
    <w:rsid w:val="00A53E3D"/>
    <w:rsid w:val="00A53F4C"/>
    <w:rsid w:val="00A541C3"/>
    <w:rsid w:val="00A54270"/>
    <w:rsid w:val="00A54356"/>
    <w:rsid w:val="00A54378"/>
    <w:rsid w:val="00A544B9"/>
    <w:rsid w:val="00A5459E"/>
    <w:rsid w:val="00A546D7"/>
    <w:rsid w:val="00A54783"/>
    <w:rsid w:val="00A5489B"/>
    <w:rsid w:val="00A549B8"/>
    <w:rsid w:val="00A54CEA"/>
    <w:rsid w:val="00A5565C"/>
    <w:rsid w:val="00A5571E"/>
    <w:rsid w:val="00A5576F"/>
    <w:rsid w:val="00A558E7"/>
    <w:rsid w:val="00A5590E"/>
    <w:rsid w:val="00A55B5D"/>
    <w:rsid w:val="00A55B96"/>
    <w:rsid w:val="00A55BD2"/>
    <w:rsid w:val="00A55C48"/>
    <w:rsid w:val="00A55CE6"/>
    <w:rsid w:val="00A55DAB"/>
    <w:rsid w:val="00A55E99"/>
    <w:rsid w:val="00A55F97"/>
    <w:rsid w:val="00A55FB9"/>
    <w:rsid w:val="00A55FFB"/>
    <w:rsid w:val="00A56016"/>
    <w:rsid w:val="00A56145"/>
    <w:rsid w:val="00A561DF"/>
    <w:rsid w:val="00A56238"/>
    <w:rsid w:val="00A5644E"/>
    <w:rsid w:val="00A56585"/>
    <w:rsid w:val="00A5677D"/>
    <w:rsid w:val="00A5681E"/>
    <w:rsid w:val="00A568FE"/>
    <w:rsid w:val="00A56972"/>
    <w:rsid w:val="00A56A08"/>
    <w:rsid w:val="00A56C0A"/>
    <w:rsid w:val="00A56CD4"/>
    <w:rsid w:val="00A56D79"/>
    <w:rsid w:val="00A56D93"/>
    <w:rsid w:val="00A56DE1"/>
    <w:rsid w:val="00A56F4C"/>
    <w:rsid w:val="00A56FC0"/>
    <w:rsid w:val="00A57034"/>
    <w:rsid w:val="00A57197"/>
    <w:rsid w:val="00A57335"/>
    <w:rsid w:val="00A5736E"/>
    <w:rsid w:val="00A57376"/>
    <w:rsid w:val="00A577D6"/>
    <w:rsid w:val="00A57829"/>
    <w:rsid w:val="00A578DD"/>
    <w:rsid w:val="00A57911"/>
    <w:rsid w:val="00A57934"/>
    <w:rsid w:val="00A57AF7"/>
    <w:rsid w:val="00A57B7A"/>
    <w:rsid w:val="00A57F81"/>
    <w:rsid w:val="00A601BD"/>
    <w:rsid w:val="00A603AE"/>
    <w:rsid w:val="00A603C6"/>
    <w:rsid w:val="00A605B6"/>
    <w:rsid w:val="00A60A16"/>
    <w:rsid w:val="00A60C68"/>
    <w:rsid w:val="00A60CA9"/>
    <w:rsid w:val="00A60F02"/>
    <w:rsid w:val="00A60F0F"/>
    <w:rsid w:val="00A60F14"/>
    <w:rsid w:val="00A60F9E"/>
    <w:rsid w:val="00A60FA6"/>
    <w:rsid w:val="00A6114E"/>
    <w:rsid w:val="00A6117A"/>
    <w:rsid w:val="00A6139E"/>
    <w:rsid w:val="00A6148A"/>
    <w:rsid w:val="00A616A5"/>
    <w:rsid w:val="00A61703"/>
    <w:rsid w:val="00A61721"/>
    <w:rsid w:val="00A61895"/>
    <w:rsid w:val="00A61B1A"/>
    <w:rsid w:val="00A61D4B"/>
    <w:rsid w:val="00A61DC3"/>
    <w:rsid w:val="00A61E1C"/>
    <w:rsid w:val="00A61FB4"/>
    <w:rsid w:val="00A62230"/>
    <w:rsid w:val="00A622DD"/>
    <w:rsid w:val="00A624A1"/>
    <w:rsid w:val="00A62831"/>
    <w:rsid w:val="00A62AD9"/>
    <w:rsid w:val="00A62AE3"/>
    <w:rsid w:val="00A62BA1"/>
    <w:rsid w:val="00A62CA9"/>
    <w:rsid w:val="00A62E43"/>
    <w:rsid w:val="00A62F79"/>
    <w:rsid w:val="00A62F90"/>
    <w:rsid w:val="00A6303C"/>
    <w:rsid w:val="00A63121"/>
    <w:rsid w:val="00A632DC"/>
    <w:rsid w:val="00A633A0"/>
    <w:rsid w:val="00A633B5"/>
    <w:rsid w:val="00A637F0"/>
    <w:rsid w:val="00A639FE"/>
    <w:rsid w:val="00A63A91"/>
    <w:rsid w:val="00A63D71"/>
    <w:rsid w:val="00A63DB7"/>
    <w:rsid w:val="00A63E05"/>
    <w:rsid w:val="00A6403D"/>
    <w:rsid w:val="00A64272"/>
    <w:rsid w:val="00A64A06"/>
    <w:rsid w:val="00A64B91"/>
    <w:rsid w:val="00A64C69"/>
    <w:rsid w:val="00A652B2"/>
    <w:rsid w:val="00A65411"/>
    <w:rsid w:val="00A6552F"/>
    <w:rsid w:val="00A65573"/>
    <w:rsid w:val="00A65642"/>
    <w:rsid w:val="00A65662"/>
    <w:rsid w:val="00A6568F"/>
    <w:rsid w:val="00A656C7"/>
    <w:rsid w:val="00A65780"/>
    <w:rsid w:val="00A65844"/>
    <w:rsid w:val="00A6590A"/>
    <w:rsid w:val="00A65952"/>
    <w:rsid w:val="00A659B3"/>
    <w:rsid w:val="00A65DD4"/>
    <w:rsid w:val="00A65DF8"/>
    <w:rsid w:val="00A66134"/>
    <w:rsid w:val="00A6619A"/>
    <w:rsid w:val="00A661B0"/>
    <w:rsid w:val="00A666BD"/>
    <w:rsid w:val="00A6694C"/>
    <w:rsid w:val="00A66B01"/>
    <w:rsid w:val="00A66E07"/>
    <w:rsid w:val="00A66EA2"/>
    <w:rsid w:val="00A66F3E"/>
    <w:rsid w:val="00A67108"/>
    <w:rsid w:val="00A671CC"/>
    <w:rsid w:val="00A673EF"/>
    <w:rsid w:val="00A673FB"/>
    <w:rsid w:val="00A676A5"/>
    <w:rsid w:val="00A67785"/>
    <w:rsid w:val="00A677B6"/>
    <w:rsid w:val="00A67825"/>
    <w:rsid w:val="00A67AFC"/>
    <w:rsid w:val="00A67C2C"/>
    <w:rsid w:val="00A67D3F"/>
    <w:rsid w:val="00A67F4F"/>
    <w:rsid w:val="00A67F60"/>
    <w:rsid w:val="00A7022D"/>
    <w:rsid w:val="00A70295"/>
    <w:rsid w:val="00A70636"/>
    <w:rsid w:val="00A706F1"/>
    <w:rsid w:val="00A70775"/>
    <w:rsid w:val="00A7079D"/>
    <w:rsid w:val="00A70936"/>
    <w:rsid w:val="00A709AB"/>
    <w:rsid w:val="00A709BD"/>
    <w:rsid w:val="00A70A00"/>
    <w:rsid w:val="00A70AF9"/>
    <w:rsid w:val="00A70B2C"/>
    <w:rsid w:val="00A70B78"/>
    <w:rsid w:val="00A70CE5"/>
    <w:rsid w:val="00A70CF5"/>
    <w:rsid w:val="00A70D63"/>
    <w:rsid w:val="00A7100A"/>
    <w:rsid w:val="00A710E4"/>
    <w:rsid w:val="00A71236"/>
    <w:rsid w:val="00A71412"/>
    <w:rsid w:val="00A7159F"/>
    <w:rsid w:val="00A71673"/>
    <w:rsid w:val="00A717F0"/>
    <w:rsid w:val="00A718F4"/>
    <w:rsid w:val="00A719B2"/>
    <w:rsid w:val="00A719BA"/>
    <w:rsid w:val="00A71A10"/>
    <w:rsid w:val="00A71B22"/>
    <w:rsid w:val="00A71BD1"/>
    <w:rsid w:val="00A71CA2"/>
    <w:rsid w:val="00A71D09"/>
    <w:rsid w:val="00A71D4F"/>
    <w:rsid w:val="00A71E15"/>
    <w:rsid w:val="00A71EA2"/>
    <w:rsid w:val="00A71EF3"/>
    <w:rsid w:val="00A7211C"/>
    <w:rsid w:val="00A72226"/>
    <w:rsid w:val="00A72276"/>
    <w:rsid w:val="00A722B3"/>
    <w:rsid w:val="00A722EF"/>
    <w:rsid w:val="00A723B7"/>
    <w:rsid w:val="00A729A9"/>
    <w:rsid w:val="00A72B3D"/>
    <w:rsid w:val="00A73117"/>
    <w:rsid w:val="00A7311F"/>
    <w:rsid w:val="00A73299"/>
    <w:rsid w:val="00A733C3"/>
    <w:rsid w:val="00A7366A"/>
    <w:rsid w:val="00A73783"/>
    <w:rsid w:val="00A73901"/>
    <w:rsid w:val="00A7393C"/>
    <w:rsid w:val="00A73A7D"/>
    <w:rsid w:val="00A73D4C"/>
    <w:rsid w:val="00A73EED"/>
    <w:rsid w:val="00A73F1D"/>
    <w:rsid w:val="00A74311"/>
    <w:rsid w:val="00A7445D"/>
    <w:rsid w:val="00A744AA"/>
    <w:rsid w:val="00A7475D"/>
    <w:rsid w:val="00A7499E"/>
    <w:rsid w:val="00A74A33"/>
    <w:rsid w:val="00A74A66"/>
    <w:rsid w:val="00A74BA2"/>
    <w:rsid w:val="00A74BA6"/>
    <w:rsid w:val="00A74C0B"/>
    <w:rsid w:val="00A74DA2"/>
    <w:rsid w:val="00A75498"/>
    <w:rsid w:val="00A75562"/>
    <w:rsid w:val="00A755F4"/>
    <w:rsid w:val="00A75602"/>
    <w:rsid w:val="00A75761"/>
    <w:rsid w:val="00A75829"/>
    <w:rsid w:val="00A75AFD"/>
    <w:rsid w:val="00A75C06"/>
    <w:rsid w:val="00A75FFA"/>
    <w:rsid w:val="00A760FE"/>
    <w:rsid w:val="00A761D3"/>
    <w:rsid w:val="00A765BF"/>
    <w:rsid w:val="00A766D6"/>
    <w:rsid w:val="00A767AE"/>
    <w:rsid w:val="00A769DC"/>
    <w:rsid w:val="00A76A38"/>
    <w:rsid w:val="00A76B75"/>
    <w:rsid w:val="00A76C23"/>
    <w:rsid w:val="00A76F72"/>
    <w:rsid w:val="00A770FA"/>
    <w:rsid w:val="00A77128"/>
    <w:rsid w:val="00A772F2"/>
    <w:rsid w:val="00A77307"/>
    <w:rsid w:val="00A7735E"/>
    <w:rsid w:val="00A77400"/>
    <w:rsid w:val="00A7745D"/>
    <w:rsid w:val="00A77577"/>
    <w:rsid w:val="00A776DA"/>
    <w:rsid w:val="00A77A4F"/>
    <w:rsid w:val="00A77AD9"/>
    <w:rsid w:val="00A77BA2"/>
    <w:rsid w:val="00A77C8A"/>
    <w:rsid w:val="00A77ED1"/>
    <w:rsid w:val="00A80508"/>
    <w:rsid w:val="00A805FB"/>
    <w:rsid w:val="00A80707"/>
    <w:rsid w:val="00A807CD"/>
    <w:rsid w:val="00A807E2"/>
    <w:rsid w:val="00A809B8"/>
    <w:rsid w:val="00A80B0D"/>
    <w:rsid w:val="00A80C62"/>
    <w:rsid w:val="00A80D27"/>
    <w:rsid w:val="00A80ECA"/>
    <w:rsid w:val="00A80FD7"/>
    <w:rsid w:val="00A81191"/>
    <w:rsid w:val="00A8142D"/>
    <w:rsid w:val="00A8152B"/>
    <w:rsid w:val="00A81536"/>
    <w:rsid w:val="00A8177E"/>
    <w:rsid w:val="00A81BDD"/>
    <w:rsid w:val="00A81DD6"/>
    <w:rsid w:val="00A81EA7"/>
    <w:rsid w:val="00A81EAC"/>
    <w:rsid w:val="00A82046"/>
    <w:rsid w:val="00A821C1"/>
    <w:rsid w:val="00A8234E"/>
    <w:rsid w:val="00A82400"/>
    <w:rsid w:val="00A82452"/>
    <w:rsid w:val="00A8253A"/>
    <w:rsid w:val="00A82573"/>
    <w:rsid w:val="00A825BA"/>
    <w:rsid w:val="00A827B6"/>
    <w:rsid w:val="00A82A65"/>
    <w:rsid w:val="00A82AAD"/>
    <w:rsid w:val="00A82B3D"/>
    <w:rsid w:val="00A82E18"/>
    <w:rsid w:val="00A830C3"/>
    <w:rsid w:val="00A83193"/>
    <w:rsid w:val="00A83317"/>
    <w:rsid w:val="00A83389"/>
    <w:rsid w:val="00A83695"/>
    <w:rsid w:val="00A8379C"/>
    <w:rsid w:val="00A837FF"/>
    <w:rsid w:val="00A8393C"/>
    <w:rsid w:val="00A83A20"/>
    <w:rsid w:val="00A83A9C"/>
    <w:rsid w:val="00A83E35"/>
    <w:rsid w:val="00A83F66"/>
    <w:rsid w:val="00A841D7"/>
    <w:rsid w:val="00A84329"/>
    <w:rsid w:val="00A8441A"/>
    <w:rsid w:val="00A84567"/>
    <w:rsid w:val="00A8456D"/>
    <w:rsid w:val="00A845B6"/>
    <w:rsid w:val="00A845D9"/>
    <w:rsid w:val="00A845E7"/>
    <w:rsid w:val="00A84638"/>
    <w:rsid w:val="00A8476D"/>
    <w:rsid w:val="00A84EA6"/>
    <w:rsid w:val="00A85049"/>
    <w:rsid w:val="00A85281"/>
    <w:rsid w:val="00A853A9"/>
    <w:rsid w:val="00A8554F"/>
    <w:rsid w:val="00A855AD"/>
    <w:rsid w:val="00A85769"/>
    <w:rsid w:val="00A857FB"/>
    <w:rsid w:val="00A85AE6"/>
    <w:rsid w:val="00A85B59"/>
    <w:rsid w:val="00A85B71"/>
    <w:rsid w:val="00A85BD8"/>
    <w:rsid w:val="00A85E6E"/>
    <w:rsid w:val="00A85EC3"/>
    <w:rsid w:val="00A85FEC"/>
    <w:rsid w:val="00A860E7"/>
    <w:rsid w:val="00A862FC"/>
    <w:rsid w:val="00A86589"/>
    <w:rsid w:val="00A865E1"/>
    <w:rsid w:val="00A86731"/>
    <w:rsid w:val="00A868CE"/>
    <w:rsid w:val="00A86F0E"/>
    <w:rsid w:val="00A870D1"/>
    <w:rsid w:val="00A87208"/>
    <w:rsid w:val="00A87242"/>
    <w:rsid w:val="00A873F5"/>
    <w:rsid w:val="00A8746F"/>
    <w:rsid w:val="00A876F3"/>
    <w:rsid w:val="00A877BA"/>
    <w:rsid w:val="00A878BD"/>
    <w:rsid w:val="00A879CA"/>
    <w:rsid w:val="00A87B74"/>
    <w:rsid w:val="00A87BDB"/>
    <w:rsid w:val="00A87DE0"/>
    <w:rsid w:val="00A87FF7"/>
    <w:rsid w:val="00A90051"/>
    <w:rsid w:val="00A90084"/>
    <w:rsid w:val="00A90248"/>
    <w:rsid w:val="00A90253"/>
    <w:rsid w:val="00A903B4"/>
    <w:rsid w:val="00A903D0"/>
    <w:rsid w:val="00A9061F"/>
    <w:rsid w:val="00A90931"/>
    <w:rsid w:val="00A90AC5"/>
    <w:rsid w:val="00A90D58"/>
    <w:rsid w:val="00A90D61"/>
    <w:rsid w:val="00A90F9D"/>
    <w:rsid w:val="00A9101C"/>
    <w:rsid w:val="00A9133A"/>
    <w:rsid w:val="00A9144E"/>
    <w:rsid w:val="00A914C7"/>
    <w:rsid w:val="00A9177F"/>
    <w:rsid w:val="00A919A6"/>
    <w:rsid w:val="00A91ABB"/>
    <w:rsid w:val="00A91ABF"/>
    <w:rsid w:val="00A91D46"/>
    <w:rsid w:val="00A91EF5"/>
    <w:rsid w:val="00A921A1"/>
    <w:rsid w:val="00A9227B"/>
    <w:rsid w:val="00A9227C"/>
    <w:rsid w:val="00A922CB"/>
    <w:rsid w:val="00A9236F"/>
    <w:rsid w:val="00A9237A"/>
    <w:rsid w:val="00A9242E"/>
    <w:rsid w:val="00A9250F"/>
    <w:rsid w:val="00A92526"/>
    <w:rsid w:val="00A926D8"/>
    <w:rsid w:val="00A9274D"/>
    <w:rsid w:val="00A928AF"/>
    <w:rsid w:val="00A929D6"/>
    <w:rsid w:val="00A929E6"/>
    <w:rsid w:val="00A92B5D"/>
    <w:rsid w:val="00A92B93"/>
    <w:rsid w:val="00A92DCC"/>
    <w:rsid w:val="00A92E2A"/>
    <w:rsid w:val="00A92E48"/>
    <w:rsid w:val="00A9315D"/>
    <w:rsid w:val="00A93297"/>
    <w:rsid w:val="00A93358"/>
    <w:rsid w:val="00A933EC"/>
    <w:rsid w:val="00A9344A"/>
    <w:rsid w:val="00A93557"/>
    <w:rsid w:val="00A9359D"/>
    <w:rsid w:val="00A935F8"/>
    <w:rsid w:val="00A936D6"/>
    <w:rsid w:val="00A937FA"/>
    <w:rsid w:val="00A938DD"/>
    <w:rsid w:val="00A93B57"/>
    <w:rsid w:val="00A93CFD"/>
    <w:rsid w:val="00A93FCF"/>
    <w:rsid w:val="00A9400C"/>
    <w:rsid w:val="00A94159"/>
    <w:rsid w:val="00A94268"/>
    <w:rsid w:val="00A942A0"/>
    <w:rsid w:val="00A9462B"/>
    <w:rsid w:val="00A94932"/>
    <w:rsid w:val="00A94BA8"/>
    <w:rsid w:val="00A94C96"/>
    <w:rsid w:val="00A94CDA"/>
    <w:rsid w:val="00A94EDD"/>
    <w:rsid w:val="00A95128"/>
    <w:rsid w:val="00A95146"/>
    <w:rsid w:val="00A95267"/>
    <w:rsid w:val="00A953B7"/>
    <w:rsid w:val="00A953F9"/>
    <w:rsid w:val="00A9541F"/>
    <w:rsid w:val="00A954AF"/>
    <w:rsid w:val="00A95576"/>
    <w:rsid w:val="00A955EA"/>
    <w:rsid w:val="00A957A2"/>
    <w:rsid w:val="00A958DE"/>
    <w:rsid w:val="00A95B86"/>
    <w:rsid w:val="00A95C61"/>
    <w:rsid w:val="00A95D35"/>
    <w:rsid w:val="00A95E03"/>
    <w:rsid w:val="00A95E13"/>
    <w:rsid w:val="00A95F6D"/>
    <w:rsid w:val="00A95FA8"/>
    <w:rsid w:val="00A96054"/>
    <w:rsid w:val="00A96078"/>
    <w:rsid w:val="00A960A3"/>
    <w:rsid w:val="00A96254"/>
    <w:rsid w:val="00A96277"/>
    <w:rsid w:val="00A962D2"/>
    <w:rsid w:val="00A9633B"/>
    <w:rsid w:val="00A96369"/>
    <w:rsid w:val="00A96441"/>
    <w:rsid w:val="00A96509"/>
    <w:rsid w:val="00A9664A"/>
    <w:rsid w:val="00A96721"/>
    <w:rsid w:val="00A967AF"/>
    <w:rsid w:val="00A96C39"/>
    <w:rsid w:val="00A96D0D"/>
    <w:rsid w:val="00A96DAE"/>
    <w:rsid w:val="00A96DE4"/>
    <w:rsid w:val="00A96E4D"/>
    <w:rsid w:val="00A97010"/>
    <w:rsid w:val="00A970DE"/>
    <w:rsid w:val="00A97118"/>
    <w:rsid w:val="00A9731C"/>
    <w:rsid w:val="00A9739C"/>
    <w:rsid w:val="00A975E6"/>
    <w:rsid w:val="00A976A5"/>
    <w:rsid w:val="00A976BE"/>
    <w:rsid w:val="00A976C4"/>
    <w:rsid w:val="00A97AB4"/>
    <w:rsid w:val="00A97AC2"/>
    <w:rsid w:val="00A97D32"/>
    <w:rsid w:val="00A97E80"/>
    <w:rsid w:val="00A97F1D"/>
    <w:rsid w:val="00A97F6A"/>
    <w:rsid w:val="00AA00D6"/>
    <w:rsid w:val="00AA017F"/>
    <w:rsid w:val="00AA0280"/>
    <w:rsid w:val="00AA0378"/>
    <w:rsid w:val="00AA0514"/>
    <w:rsid w:val="00AA0841"/>
    <w:rsid w:val="00AA092A"/>
    <w:rsid w:val="00AA0977"/>
    <w:rsid w:val="00AA0995"/>
    <w:rsid w:val="00AA09BC"/>
    <w:rsid w:val="00AA0A13"/>
    <w:rsid w:val="00AA0B05"/>
    <w:rsid w:val="00AA0B57"/>
    <w:rsid w:val="00AA0D6A"/>
    <w:rsid w:val="00AA0DEA"/>
    <w:rsid w:val="00AA0E76"/>
    <w:rsid w:val="00AA0E87"/>
    <w:rsid w:val="00AA0F4C"/>
    <w:rsid w:val="00AA0F8E"/>
    <w:rsid w:val="00AA104C"/>
    <w:rsid w:val="00AA104D"/>
    <w:rsid w:val="00AA106E"/>
    <w:rsid w:val="00AA144F"/>
    <w:rsid w:val="00AA1576"/>
    <w:rsid w:val="00AA1603"/>
    <w:rsid w:val="00AA189B"/>
    <w:rsid w:val="00AA1C08"/>
    <w:rsid w:val="00AA1DFC"/>
    <w:rsid w:val="00AA1E8B"/>
    <w:rsid w:val="00AA1F88"/>
    <w:rsid w:val="00AA1FAF"/>
    <w:rsid w:val="00AA2414"/>
    <w:rsid w:val="00AA277B"/>
    <w:rsid w:val="00AA2C10"/>
    <w:rsid w:val="00AA2D4E"/>
    <w:rsid w:val="00AA2E00"/>
    <w:rsid w:val="00AA2F1B"/>
    <w:rsid w:val="00AA3158"/>
    <w:rsid w:val="00AA3411"/>
    <w:rsid w:val="00AA3472"/>
    <w:rsid w:val="00AA3492"/>
    <w:rsid w:val="00AA387E"/>
    <w:rsid w:val="00AA3891"/>
    <w:rsid w:val="00AA3950"/>
    <w:rsid w:val="00AA39C4"/>
    <w:rsid w:val="00AA3B15"/>
    <w:rsid w:val="00AA3FEF"/>
    <w:rsid w:val="00AA4023"/>
    <w:rsid w:val="00AA40F9"/>
    <w:rsid w:val="00AA410D"/>
    <w:rsid w:val="00AA4156"/>
    <w:rsid w:val="00AA41AE"/>
    <w:rsid w:val="00AA41D6"/>
    <w:rsid w:val="00AA4233"/>
    <w:rsid w:val="00AA42AE"/>
    <w:rsid w:val="00AA42C9"/>
    <w:rsid w:val="00AA43B7"/>
    <w:rsid w:val="00AA4601"/>
    <w:rsid w:val="00AA4645"/>
    <w:rsid w:val="00AA46FA"/>
    <w:rsid w:val="00AA4868"/>
    <w:rsid w:val="00AA48D4"/>
    <w:rsid w:val="00AA4AF0"/>
    <w:rsid w:val="00AA4BDA"/>
    <w:rsid w:val="00AA4C45"/>
    <w:rsid w:val="00AA4C7F"/>
    <w:rsid w:val="00AA4CF9"/>
    <w:rsid w:val="00AA4DA8"/>
    <w:rsid w:val="00AA5045"/>
    <w:rsid w:val="00AA51C8"/>
    <w:rsid w:val="00AA524D"/>
    <w:rsid w:val="00AA52A1"/>
    <w:rsid w:val="00AA533E"/>
    <w:rsid w:val="00AA538C"/>
    <w:rsid w:val="00AA59C5"/>
    <w:rsid w:val="00AA5A37"/>
    <w:rsid w:val="00AA5EAD"/>
    <w:rsid w:val="00AA6076"/>
    <w:rsid w:val="00AA60BD"/>
    <w:rsid w:val="00AA6155"/>
    <w:rsid w:val="00AA62FB"/>
    <w:rsid w:val="00AA6570"/>
    <w:rsid w:val="00AA660C"/>
    <w:rsid w:val="00AA6639"/>
    <w:rsid w:val="00AA672A"/>
    <w:rsid w:val="00AA67F2"/>
    <w:rsid w:val="00AA69DC"/>
    <w:rsid w:val="00AA6A00"/>
    <w:rsid w:val="00AA6C86"/>
    <w:rsid w:val="00AA6D20"/>
    <w:rsid w:val="00AA6F44"/>
    <w:rsid w:val="00AA6F52"/>
    <w:rsid w:val="00AA6F66"/>
    <w:rsid w:val="00AA6FFE"/>
    <w:rsid w:val="00AA7073"/>
    <w:rsid w:val="00AA7196"/>
    <w:rsid w:val="00AA7230"/>
    <w:rsid w:val="00AA750A"/>
    <w:rsid w:val="00AA7671"/>
    <w:rsid w:val="00AA773C"/>
    <w:rsid w:val="00AA7894"/>
    <w:rsid w:val="00AA791B"/>
    <w:rsid w:val="00AA7AE5"/>
    <w:rsid w:val="00AA7BD3"/>
    <w:rsid w:val="00AA7D19"/>
    <w:rsid w:val="00AA7D71"/>
    <w:rsid w:val="00AA7D79"/>
    <w:rsid w:val="00AA7DFA"/>
    <w:rsid w:val="00AA7EC2"/>
    <w:rsid w:val="00AA7EEE"/>
    <w:rsid w:val="00AB01CA"/>
    <w:rsid w:val="00AB0288"/>
    <w:rsid w:val="00AB0313"/>
    <w:rsid w:val="00AB05B8"/>
    <w:rsid w:val="00AB05BF"/>
    <w:rsid w:val="00AB05DD"/>
    <w:rsid w:val="00AB0630"/>
    <w:rsid w:val="00AB0648"/>
    <w:rsid w:val="00AB07BA"/>
    <w:rsid w:val="00AB0837"/>
    <w:rsid w:val="00AB08C5"/>
    <w:rsid w:val="00AB08EE"/>
    <w:rsid w:val="00AB0B12"/>
    <w:rsid w:val="00AB0B6C"/>
    <w:rsid w:val="00AB0CFB"/>
    <w:rsid w:val="00AB0F95"/>
    <w:rsid w:val="00AB104A"/>
    <w:rsid w:val="00AB1394"/>
    <w:rsid w:val="00AB13BC"/>
    <w:rsid w:val="00AB14A1"/>
    <w:rsid w:val="00AB175E"/>
    <w:rsid w:val="00AB184E"/>
    <w:rsid w:val="00AB18F0"/>
    <w:rsid w:val="00AB1978"/>
    <w:rsid w:val="00AB19F3"/>
    <w:rsid w:val="00AB1B32"/>
    <w:rsid w:val="00AB1C1A"/>
    <w:rsid w:val="00AB1CB2"/>
    <w:rsid w:val="00AB202F"/>
    <w:rsid w:val="00AB2084"/>
    <w:rsid w:val="00AB2111"/>
    <w:rsid w:val="00AB22B2"/>
    <w:rsid w:val="00AB23B0"/>
    <w:rsid w:val="00AB23DF"/>
    <w:rsid w:val="00AB2408"/>
    <w:rsid w:val="00AB248D"/>
    <w:rsid w:val="00AB2522"/>
    <w:rsid w:val="00AB2537"/>
    <w:rsid w:val="00AB25CD"/>
    <w:rsid w:val="00AB2610"/>
    <w:rsid w:val="00AB2666"/>
    <w:rsid w:val="00AB27F1"/>
    <w:rsid w:val="00AB2975"/>
    <w:rsid w:val="00AB29B0"/>
    <w:rsid w:val="00AB2C44"/>
    <w:rsid w:val="00AB2C7E"/>
    <w:rsid w:val="00AB2D99"/>
    <w:rsid w:val="00AB2F0A"/>
    <w:rsid w:val="00AB300E"/>
    <w:rsid w:val="00AB301C"/>
    <w:rsid w:val="00AB31C8"/>
    <w:rsid w:val="00AB33A8"/>
    <w:rsid w:val="00AB340A"/>
    <w:rsid w:val="00AB3578"/>
    <w:rsid w:val="00AB3776"/>
    <w:rsid w:val="00AB3797"/>
    <w:rsid w:val="00AB37E3"/>
    <w:rsid w:val="00AB3832"/>
    <w:rsid w:val="00AB3A4C"/>
    <w:rsid w:val="00AB3A5D"/>
    <w:rsid w:val="00AB3A8B"/>
    <w:rsid w:val="00AB3B1F"/>
    <w:rsid w:val="00AB3B99"/>
    <w:rsid w:val="00AB3D8A"/>
    <w:rsid w:val="00AB3E1E"/>
    <w:rsid w:val="00AB3F17"/>
    <w:rsid w:val="00AB41A9"/>
    <w:rsid w:val="00AB422E"/>
    <w:rsid w:val="00AB4239"/>
    <w:rsid w:val="00AB426C"/>
    <w:rsid w:val="00AB440C"/>
    <w:rsid w:val="00AB4440"/>
    <w:rsid w:val="00AB458E"/>
    <w:rsid w:val="00AB4667"/>
    <w:rsid w:val="00AB4696"/>
    <w:rsid w:val="00AB478E"/>
    <w:rsid w:val="00AB4941"/>
    <w:rsid w:val="00AB49F0"/>
    <w:rsid w:val="00AB4C08"/>
    <w:rsid w:val="00AB4E55"/>
    <w:rsid w:val="00AB4EFF"/>
    <w:rsid w:val="00AB4F7C"/>
    <w:rsid w:val="00AB5037"/>
    <w:rsid w:val="00AB511D"/>
    <w:rsid w:val="00AB5481"/>
    <w:rsid w:val="00AB558E"/>
    <w:rsid w:val="00AB55CD"/>
    <w:rsid w:val="00AB55EB"/>
    <w:rsid w:val="00AB5600"/>
    <w:rsid w:val="00AB5681"/>
    <w:rsid w:val="00AB5757"/>
    <w:rsid w:val="00AB5B5B"/>
    <w:rsid w:val="00AB5BA4"/>
    <w:rsid w:val="00AB5CD2"/>
    <w:rsid w:val="00AB5FCC"/>
    <w:rsid w:val="00AB6015"/>
    <w:rsid w:val="00AB603B"/>
    <w:rsid w:val="00AB613E"/>
    <w:rsid w:val="00AB6243"/>
    <w:rsid w:val="00AB6586"/>
    <w:rsid w:val="00AB6679"/>
    <w:rsid w:val="00AB680B"/>
    <w:rsid w:val="00AB6A0A"/>
    <w:rsid w:val="00AB6A46"/>
    <w:rsid w:val="00AB6B52"/>
    <w:rsid w:val="00AB6BBC"/>
    <w:rsid w:val="00AB6C8A"/>
    <w:rsid w:val="00AB6CA6"/>
    <w:rsid w:val="00AB6CB8"/>
    <w:rsid w:val="00AB6D6C"/>
    <w:rsid w:val="00AB6EC8"/>
    <w:rsid w:val="00AB6F2D"/>
    <w:rsid w:val="00AB7123"/>
    <w:rsid w:val="00AB71E2"/>
    <w:rsid w:val="00AB7333"/>
    <w:rsid w:val="00AB733A"/>
    <w:rsid w:val="00AB7461"/>
    <w:rsid w:val="00AB7533"/>
    <w:rsid w:val="00AB76C6"/>
    <w:rsid w:val="00AB7878"/>
    <w:rsid w:val="00AB7961"/>
    <w:rsid w:val="00AB7A6E"/>
    <w:rsid w:val="00AB7B9C"/>
    <w:rsid w:val="00AB7C43"/>
    <w:rsid w:val="00AB7DB3"/>
    <w:rsid w:val="00AC0169"/>
    <w:rsid w:val="00AC0221"/>
    <w:rsid w:val="00AC0396"/>
    <w:rsid w:val="00AC0494"/>
    <w:rsid w:val="00AC04E9"/>
    <w:rsid w:val="00AC06DC"/>
    <w:rsid w:val="00AC07A4"/>
    <w:rsid w:val="00AC08E4"/>
    <w:rsid w:val="00AC0994"/>
    <w:rsid w:val="00AC0AF8"/>
    <w:rsid w:val="00AC12A6"/>
    <w:rsid w:val="00AC18E5"/>
    <w:rsid w:val="00AC1A43"/>
    <w:rsid w:val="00AC1B28"/>
    <w:rsid w:val="00AC1B72"/>
    <w:rsid w:val="00AC1C4C"/>
    <w:rsid w:val="00AC1CF1"/>
    <w:rsid w:val="00AC1D0B"/>
    <w:rsid w:val="00AC1DE5"/>
    <w:rsid w:val="00AC1F6A"/>
    <w:rsid w:val="00AC20A6"/>
    <w:rsid w:val="00AC20E3"/>
    <w:rsid w:val="00AC217B"/>
    <w:rsid w:val="00AC236D"/>
    <w:rsid w:val="00AC2374"/>
    <w:rsid w:val="00AC24F0"/>
    <w:rsid w:val="00AC2620"/>
    <w:rsid w:val="00AC2638"/>
    <w:rsid w:val="00AC2714"/>
    <w:rsid w:val="00AC2773"/>
    <w:rsid w:val="00AC29BC"/>
    <w:rsid w:val="00AC2B2B"/>
    <w:rsid w:val="00AC2B8D"/>
    <w:rsid w:val="00AC2C00"/>
    <w:rsid w:val="00AC2C0A"/>
    <w:rsid w:val="00AC2C34"/>
    <w:rsid w:val="00AC2E9A"/>
    <w:rsid w:val="00AC2ED2"/>
    <w:rsid w:val="00AC2EE4"/>
    <w:rsid w:val="00AC3017"/>
    <w:rsid w:val="00AC30B4"/>
    <w:rsid w:val="00AC31C8"/>
    <w:rsid w:val="00AC32BD"/>
    <w:rsid w:val="00AC360D"/>
    <w:rsid w:val="00AC384F"/>
    <w:rsid w:val="00AC3AAF"/>
    <w:rsid w:val="00AC3C46"/>
    <w:rsid w:val="00AC3D4C"/>
    <w:rsid w:val="00AC4067"/>
    <w:rsid w:val="00AC4083"/>
    <w:rsid w:val="00AC42CF"/>
    <w:rsid w:val="00AC4314"/>
    <w:rsid w:val="00AC4385"/>
    <w:rsid w:val="00AC43EA"/>
    <w:rsid w:val="00AC4415"/>
    <w:rsid w:val="00AC44D3"/>
    <w:rsid w:val="00AC459A"/>
    <w:rsid w:val="00AC461B"/>
    <w:rsid w:val="00AC4715"/>
    <w:rsid w:val="00AC4719"/>
    <w:rsid w:val="00AC47E3"/>
    <w:rsid w:val="00AC49ED"/>
    <w:rsid w:val="00AC4C6C"/>
    <w:rsid w:val="00AC4D8E"/>
    <w:rsid w:val="00AC4EF1"/>
    <w:rsid w:val="00AC4F41"/>
    <w:rsid w:val="00AC4F63"/>
    <w:rsid w:val="00AC5242"/>
    <w:rsid w:val="00AC53E0"/>
    <w:rsid w:val="00AC548F"/>
    <w:rsid w:val="00AC54F8"/>
    <w:rsid w:val="00AC552B"/>
    <w:rsid w:val="00AC55A9"/>
    <w:rsid w:val="00AC55CB"/>
    <w:rsid w:val="00AC567D"/>
    <w:rsid w:val="00AC58A6"/>
    <w:rsid w:val="00AC58A7"/>
    <w:rsid w:val="00AC59D1"/>
    <w:rsid w:val="00AC5CC9"/>
    <w:rsid w:val="00AC5CEE"/>
    <w:rsid w:val="00AC5E84"/>
    <w:rsid w:val="00AC617F"/>
    <w:rsid w:val="00AC63FC"/>
    <w:rsid w:val="00AC650C"/>
    <w:rsid w:val="00AC65E0"/>
    <w:rsid w:val="00AC66A3"/>
    <w:rsid w:val="00AC6728"/>
    <w:rsid w:val="00AC6949"/>
    <w:rsid w:val="00AC695F"/>
    <w:rsid w:val="00AC6A31"/>
    <w:rsid w:val="00AC6AA4"/>
    <w:rsid w:val="00AC6BE8"/>
    <w:rsid w:val="00AC6D7F"/>
    <w:rsid w:val="00AC6E53"/>
    <w:rsid w:val="00AC6FF4"/>
    <w:rsid w:val="00AC70D0"/>
    <w:rsid w:val="00AC721D"/>
    <w:rsid w:val="00AC72DD"/>
    <w:rsid w:val="00AC737F"/>
    <w:rsid w:val="00AC7526"/>
    <w:rsid w:val="00AC76F5"/>
    <w:rsid w:val="00AC7890"/>
    <w:rsid w:val="00AC789D"/>
    <w:rsid w:val="00AC78EC"/>
    <w:rsid w:val="00AC79A7"/>
    <w:rsid w:val="00AC7AC7"/>
    <w:rsid w:val="00AC7B89"/>
    <w:rsid w:val="00AC7FDA"/>
    <w:rsid w:val="00AD001F"/>
    <w:rsid w:val="00AD003C"/>
    <w:rsid w:val="00AD01ED"/>
    <w:rsid w:val="00AD0292"/>
    <w:rsid w:val="00AD0436"/>
    <w:rsid w:val="00AD057F"/>
    <w:rsid w:val="00AD05C2"/>
    <w:rsid w:val="00AD0693"/>
    <w:rsid w:val="00AD06A3"/>
    <w:rsid w:val="00AD06AF"/>
    <w:rsid w:val="00AD06ED"/>
    <w:rsid w:val="00AD08C6"/>
    <w:rsid w:val="00AD092A"/>
    <w:rsid w:val="00AD0997"/>
    <w:rsid w:val="00AD0A30"/>
    <w:rsid w:val="00AD0BC1"/>
    <w:rsid w:val="00AD0C17"/>
    <w:rsid w:val="00AD0CFD"/>
    <w:rsid w:val="00AD0DA2"/>
    <w:rsid w:val="00AD0DCB"/>
    <w:rsid w:val="00AD0E15"/>
    <w:rsid w:val="00AD0E5F"/>
    <w:rsid w:val="00AD0F16"/>
    <w:rsid w:val="00AD110A"/>
    <w:rsid w:val="00AD13D1"/>
    <w:rsid w:val="00AD1417"/>
    <w:rsid w:val="00AD1B9C"/>
    <w:rsid w:val="00AD1BA9"/>
    <w:rsid w:val="00AD1C44"/>
    <w:rsid w:val="00AD1F1B"/>
    <w:rsid w:val="00AD20B8"/>
    <w:rsid w:val="00AD22DC"/>
    <w:rsid w:val="00AD22FC"/>
    <w:rsid w:val="00AD2662"/>
    <w:rsid w:val="00AD26F4"/>
    <w:rsid w:val="00AD27B3"/>
    <w:rsid w:val="00AD27F4"/>
    <w:rsid w:val="00AD29A7"/>
    <w:rsid w:val="00AD2A09"/>
    <w:rsid w:val="00AD2B09"/>
    <w:rsid w:val="00AD2C34"/>
    <w:rsid w:val="00AD2F6F"/>
    <w:rsid w:val="00AD2FF7"/>
    <w:rsid w:val="00AD3062"/>
    <w:rsid w:val="00AD316F"/>
    <w:rsid w:val="00AD3211"/>
    <w:rsid w:val="00AD3290"/>
    <w:rsid w:val="00AD3329"/>
    <w:rsid w:val="00AD3463"/>
    <w:rsid w:val="00AD379F"/>
    <w:rsid w:val="00AD3C9F"/>
    <w:rsid w:val="00AD3CC1"/>
    <w:rsid w:val="00AD3DF5"/>
    <w:rsid w:val="00AD3EB5"/>
    <w:rsid w:val="00AD3F6E"/>
    <w:rsid w:val="00AD41A5"/>
    <w:rsid w:val="00AD425E"/>
    <w:rsid w:val="00AD4715"/>
    <w:rsid w:val="00AD48CA"/>
    <w:rsid w:val="00AD4C30"/>
    <w:rsid w:val="00AD4C4F"/>
    <w:rsid w:val="00AD4C74"/>
    <w:rsid w:val="00AD4D8E"/>
    <w:rsid w:val="00AD4DA3"/>
    <w:rsid w:val="00AD4DEE"/>
    <w:rsid w:val="00AD4E2B"/>
    <w:rsid w:val="00AD50E5"/>
    <w:rsid w:val="00AD5106"/>
    <w:rsid w:val="00AD5111"/>
    <w:rsid w:val="00AD5233"/>
    <w:rsid w:val="00AD524B"/>
    <w:rsid w:val="00AD5384"/>
    <w:rsid w:val="00AD54B7"/>
    <w:rsid w:val="00AD560B"/>
    <w:rsid w:val="00AD59F8"/>
    <w:rsid w:val="00AD5C9E"/>
    <w:rsid w:val="00AD5DCE"/>
    <w:rsid w:val="00AD5FB4"/>
    <w:rsid w:val="00AD6320"/>
    <w:rsid w:val="00AD652A"/>
    <w:rsid w:val="00AD6580"/>
    <w:rsid w:val="00AD6604"/>
    <w:rsid w:val="00AD66BF"/>
    <w:rsid w:val="00AD6915"/>
    <w:rsid w:val="00AD692A"/>
    <w:rsid w:val="00AD6A6B"/>
    <w:rsid w:val="00AD6B45"/>
    <w:rsid w:val="00AD6B4A"/>
    <w:rsid w:val="00AD6CDA"/>
    <w:rsid w:val="00AD6DDD"/>
    <w:rsid w:val="00AD6E08"/>
    <w:rsid w:val="00AD6EC0"/>
    <w:rsid w:val="00AD6EEC"/>
    <w:rsid w:val="00AD6EF5"/>
    <w:rsid w:val="00AD6FD5"/>
    <w:rsid w:val="00AD72AE"/>
    <w:rsid w:val="00AD7497"/>
    <w:rsid w:val="00AD74CB"/>
    <w:rsid w:val="00AD76E2"/>
    <w:rsid w:val="00AD789B"/>
    <w:rsid w:val="00AD78F1"/>
    <w:rsid w:val="00AD7A14"/>
    <w:rsid w:val="00AD7CCB"/>
    <w:rsid w:val="00AD7F42"/>
    <w:rsid w:val="00AE0039"/>
    <w:rsid w:val="00AE00BB"/>
    <w:rsid w:val="00AE0259"/>
    <w:rsid w:val="00AE029E"/>
    <w:rsid w:val="00AE0342"/>
    <w:rsid w:val="00AE0360"/>
    <w:rsid w:val="00AE041B"/>
    <w:rsid w:val="00AE04A7"/>
    <w:rsid w:val="00AE0588"/>
    <w:rsid w:val="00AE05A6"/>
    <w:rsid w:val="00AE074D"/>
    <w:rsid w:val="00AE0803"/>
    <w:rsid w:val="00AE0826"/>
    <w:rsid w:val="00AE088D"/>
    <w:rsid w:val="00AE08A2"/>
    <w:rsid w:val="00AE08C1"/>
    <w:rsid w:val="00AE098D"/>
    <w:rsid w:val="00AE0999"/>
    <w:rsid w:val="00AE0A3F"/>
    <w:rsid w:val="00AE0AA4"/>
    <w:rsid w:val="00AE0D19"/>
    <w:rsid w:val="00AE0DB9"/>
    <w:rsid w:val="00AE0DD7"/>
    <w:rsid w:val="00AE0E35"/>
    <w:rsid w:val="00AE0E67"/>
    <w:rsid w:val="00AE122B"/>
    <w:rsid w:val="00AE132F"/>
    <w:rsid w:val="00AE14FA"/>
    <w:rsid w:val="00AE1590"/>
    <w:rsid w:val="00AE163E"/>
    <w:rsid w:val="00AE1659"/>
    <w:rsid w:val="00AE1704"/>
    <w:rsid w:val="00AE17B3"/>
    <w:rsid w:val="00AE181C"/>
    <w:rsid w:val="00AE1A0A"/>
    <w:rsid w:val="00AE1A23"/>
    <w:rsid w:val="00AE1A9B"/>
    <w:rsid w:val="00AE1BD9"/>
    <w:rsid w:val="00AE1EBD"/>
    <w:rsid w:val="00AE20CA"/>
    <w:rsid w:val="00AE21A9"/>
    <w:rsid w:val="00AE2529"/>
    <w:rsid w:val="00AE2608"/>
    <w:rsid w:val="00AE262A"/>
    <w:rsid w:val="00AE2850"/>
    <w:rsid w:val="00AE2ADE"/>
    <w:rsid w:val="00AE2B20"/>
    <w:rsid w:val="00AE2D4E"/>
    <w:rsid w:val="00AE2F51"/>
    <w:rsid w:val="00AE2F54"/>
    <w:rsid w:val="00AE300D"/>
    <w:rsid w:val="00AE31FF"/>
    <w:rsid w:val="00AE34AF"/>
    <w:rsid w:val="00AE3513"/>
    <w:rsid w:val="00AE3635"/>
    <w:rsid w:val="00AE367F"/>
    <w:rsid w:val="00AE3721"/>
    <w:rsid w:val="00AE3AF5"/>
    <w:rsid w:val="00AE4053"/>
    <w:rsid w:val="00AE414C"/>
    <w:rsid w:val="00AE417F"/>
    <w:rsid w:val="00AE426B"/>
    <w:rsid w:val="00AE437E"/>
    <w:rsid w:val="00AE43F1"/>
    <w:rsid w:val="00AE4476"/>
    <w:rsid w:val="00AE44C7"/>
    <w:rsid w:val="00AE4528"/>
    <w:rsid w:val="00AE4727"/>
    <w:rsid w:val="00AE4880"/>
    <w:rsid w:val="00AE4998"/>
    <w:rsid w:val="00AE49CD"/>
    <w:rsid w:val="00AE4BD3"/>
    <w:rsid w:val="00AE4CAA"/>
    <w:rsid w:val="00AE4D6B"/>
    <w:rsid w:val="00AE4DF6"/>
    <w:rsid w:val="00AE4E76"/>
    <w:rsid w:val="00AE4F66"/>
    <w:rsid w:val="00AE50D1"/>
    <w:rsid w:val="00AE53AF"/>
    <w:rsid w:val="00AE58B1"/>
    <w:rsid w:val="00AE5C17"/>
    <w:rsid w:val="00AE5D0D"/>
    <w:rsid w:val="00AE5E74"/>
    <w:rsid w:val="00AE5E86"/>
    <w:rsid w:val="00AE5ECB"/>
    <w:rsid w:val="00AE60B4"/>
    <w:rsid w:val="00AE6262"/>
    <w:rsid w:val="00AE626D"/>
    <w:rsid w:val="00AE6375"/>
    <w:rsid w:val="00AE6377"/>
    <w:rsid w:val="00AE63AC"/>
    <w:rsid w:val="00AE63CE"/>
    <w:rsid w:val="00AE651D"/>
    <w:rsid w:val="00AE6536"/>
    <w:rsid w:val="00AE6840"/>
    <w:rsid w:val="00AE6A4B"/>
    <w:rsid w:val="00AE6AA7"/>
    <w:rsid w:val="00AE6C49"/>
    <w:rsid w:val="00AE6CAB"/>
    <w:rsid w:val="00AE6CF0"/>
    <w:rsid w:val="00AE6E06"/>
    <w:rsid w:val="00AE6E4F"/>
    <w:rsid w:val="00AE6EE0"/>
    <w:rsid w:val="00AE7004"/>
    <w:rsid w:val="00AE7149"/>
    <w:rsid w:val="00AE7168"/>
    <w:rsid w:val="00AE73E2"/>
    <w:rsid w:val="00AE762E"/>
    <w:rsid w:val="00AE76C4"/>
    <w:rsid w:val="00AE7B68"/>
    <w:rsid w:val="00AE7C54"/>
    <w:rsid w:val="00AE7CBD"/>
    <w:rsid w:val="00AE7E6C"/>
    <w:rsid w:val="00AE7EA5"/>
    <w:rsid w:val="00AF0063"/>
    <w:rsid w:val="00AF0505"/>
    <w:rsid w:val="00AF0527"/>
    <w:rsid w:val="00AF064F"/>
    <w:rsid w:val="00AF0666"/>
    <w:rsid w:val="00AF06A7"/>
    <w:rsid w:val="00AF06F0"/>
    <w:rsid w:val="00AF0971"/>
    <w:rsid w:val="00AF0A25"/>
    <w:rsid w:val="00AF0BFD"/>
    <w:rsid w:val="00AF0CDD"/>
    <w:rsid w:val="00AF0EE6"/>
    <w:rsid w:val="00AF0F15"/>
    <w:rsid w:val="00AF1041"/>
    <w:rsid w:val="00AF1092"/>
    <w:rsid w:val="00AF1199"/>
    <w:rsid w:val="00AF1229"/>
    <w:rsid w:val="00AF1271"/>
    <w:rsid w:val="00AF1460"/>
    <w:rsid w:val="00AF1761"/>
    <w:rsid w:val="00AF176D"/>
    <w:rsid w:val="00AF177D"/>
    <w:rsid w:val="00AF18A6"/>
    <w:rsid w:val="00AF1C21"/>
    <w:rsid w:val="00AF1D3F"/>
    <w:rsid w:val="00AF1DCB"/>
    <w:rsid w:val="00AF2069"/>
    <w:rsid w:val="00AF20C8"/>
    <w:rsid w:val="00AF213C"/>
    <w:rsid w:val="00AF24D5"/>
    <w:rsid w:val="00AF24DA"/>
    <w:rsid w:val="00AF2622"/>
    <w:rsid w:val="00AF2662"/>
    <w:rsid w:val="00AF2705"/>
    <w:rsid w:val="00AF279B"/>
    <w:rsid w:val="00AF2840"/>
    <w:rsid w:val="00AF29E7"/>
    <w:rsid w:val="00AF2AC5"/>
    <w:rsid w:val="00AF2B53"/>
    <w:rsid w:val="00AF2C24"/>
    <w:rsid w:val="00AF2F48"/>
    <w:rsid w:val="00AF2F74"/>
    <w:rsid w:val="00AF340F"/>
    <w:rsid w:val="00AF36EE"/>
    <w:rsid w:val="00AF3744"/>
    <w:rsid w:val="00AF3807"/>
    <w:rsid w:val="00AF39E4"/>
    <w:rsid w:val="00AF3A9C"/>
    <w:rsid w:val="00AF3C19"/>
    <w:rsid w:val="00AF3CF7"/>
    <w:rsid w:val="00AF421B"/>
    <w:rsid w:val="00AF4530"/>
    <w:rsid w:val="00AF45F0"/>
    <w:rsid w:val="00AF47CD"/>
    <w:rsid w:val="00AF4ABA"/>
    <w:rsid w:val="00AF4FAA"/>
    <w:rsid w:val="00AF50FF"/>
    <w:rsid w:val="00AF529C"/>
    <w:rsid w:val="00AF537C"/>
    <w:rsid w:val="00AF5393"/>
    <w:rsid w:val="00AF539F"/>
    <w:rsid w:val="00AF5523"/>
    <w:rsid w:val="00AF5E7B"/>
    <w:rsid w:val="00AF5EFC"/>
    <w:rsid w:val="00AF5F72"/>
    <w:rsid w:val="00AF61D2"/>
    <w:rsid w:val="00AF6276"/>
    <w:rsid w:val="00AF654A"/>
    <w:rsid w:val="00AF6681"/>
    <w:rsid w:val="00AF668F"/>
    <w:rsid w:val="00AF6696"/>
    <w:rsid w:val="00AF686D"/>
    <w:rsid w:val="00AF687E"/>
    <w:rsid w:val="00AF690A"/>
    <w:rsid w:val="00AF696B"/>
    <w:rsid w:val="00AF6C11"/>
    <w:rsid w:val="00AF6D3D"/>
    <w:rsid w:val="00AF6D7B"/>
    <w:rsid w:val="00AF701B"/>
    <w:rsid w:val="00AF714B"/>
    <w:rsid w:val="00AF7222"/>
    <w:rsid w:val="00AF7273"/>
    <w:rsid w:val="00AF7351"/>
    <w:rsid w:val="00AF736F"/>
    <w:rsid w:val="00AF738C"/>
    <w:rsid w:val="00AF73FF"/>
    <w:rsid w:val="00AF7839"/>
    <w:rsid w:val="00AF783E"/>
    <w:rsid w:val="00AF7972"/>
    <w:rsid w:val="00AF7A9A"/>
    <w:rsid w:val="00AF7D02"/>
    <w:rsid w:val="00AF7DBA"/>
    <w:rsid w:val="00AF7DC8"/>
    <w:rsid w:val="00AF7EEB"/>
    <w:rsid w:val="00AF7F17"/>
    <w:rsid w:val="00B00096"/>
    <w:rsid w:val="00B00246"/>
    <w:rsid w:val="00B00557"/>
    <w:rsid w:val="00B005DE"/>
    <w:rsid w:val="00B006F9"/>
    <w:rsid w:val="00B00733"/>
    <w:rsid w:val="00B0078F"/>
    <w:rsid w:val="00B007C7"/>
    <w:rsid w:val="00B00805"/>
    <w:rsid w:val="00B008E7"/>
    <w:rsid w:val="00B00950"/>
    <w:rsid w:val="00B00B5D"/>
    <w:rsid w:val="00B00B84"/>
    <w:rsid w:val="00B00C7D"/>
    <w:rsid w:val="00B00CD4"/>
    <w:rsid w:val="00B00D65"/>
    <w:rsid w:val="00B00F59"/>
    <w:rsid w:val="00B010EF"/>
    <w:rsid w:val="00B0110E"/>
    <w:rsid w:val="00B015D2"/>
    <w:rsid w:val="00B01677"/>
    <w:rsid w:val="00B0177B"/>
    <w:rsid w:val="00B01823"/>
    <w:rsid w:val="00B018DF"/>
    <w:rsid w:val="00B01D65"/>
    <w:rsid w:val="00B01DFA"/>
    <w:rsid w:val="00B01E60"/>
    <w:rsid w:val="00B01EEA"/>
    <w:rsid w:val="00B01F60"/>
    <w:rsid w:val="00B020F6"/>
    <w:rsid w:val="00B02482"/>
    <w:rsid w:val="00B024CB"/>
    <w:rsid w:val="00B024ED"/>
    <w:rsid w:val="00B024F7"/>
    <w:rsid w:val="00B02ACF"/>
    <w:rsid w:val="00B02B50"/>
    <w:rsid w:val="00B02D03"/>
    <w:rsid w:val="00B02E04"/>
    <w:rsid w:val="00B02FCC"/>
    <w:rsid w:val="00B030A9"/>
    <w:rsid w:val="00B031AF"/>
    <w:rsid w:val="00B03264"/>
    <w:rsid w:val="00B036CE"/>
    <w:rsid w:val="00B038FF"/>
    <w:rsid w:val="00B03924"/>
    <w:rsid w:val="00B03947"/>
    <w:rsid w:val="00B0398B"/>
    <w:rsid w:val="00B039FE"/>
    <w:rsid w:val="00B03D3F"/>
    <w:rsid w:val="00B03D50"/>
    <w:rsid w:val="00B03F1C"/>
    <w:rsid w:val="00B040C6"/>
    <w:rsid w:val="00B040F6"/>
    <w:rsid w:val="00B0412C"/>
    <w:rsid w:val="00B041A7"/>
    <w:rsid w:val="00B0425C"/>
    <w:rsid w:val="00B0429C"/>
    <w:rsid w:val="00B042BE"/>
    <w:rsid w:val="00B04444"/>
    <w:rsid w:val="00B044C2"/>
    <w:rsid w:val="00B045C1"/>
    <w:rsid w:val="00B0464D"/>
    <w:rsid w:val="00B04785"/>
    <w:rsid w:val="00B047B4"/>
    <w:rsid w:val="00B048E5"/>
    <w:rsid w:val="00B04A1D"/>
    <w:rsid w:val="00B04A6F"/>
    <w:rsid w:val="00B04B15"/>
    <w:rsid w:val="00B04B53"/>
    <w:rsid w:val="00B04BAE"/>
    <w:rsid w:val="00B04BC5"/>
    <w:rsid w:val="00B04F53"/>
    <w:rsid w:val="00B050DE"/>
    <w:rsid w:val="00B05299"/>
    <w:rsid w:val="00B053CF"/>
    <w:rsid w:val="00B05434"/>
    <w:rsid w:val="00B05781"/>
    <w:rsid w:val="00B058B4"/>
    <w:rsid w:val="00B0598D"/>
    <w:rsid w:val="00B059FF"/>
    <w:rsid w:val="00B05CAE"/>
    <w:rsid w:val="00B05CB0"/>
    <w:rsid w:val="00B05CCF"/>
    <w:rsid w:val="00B05EC1"/>
    <w:rsid w:val="00B05F94"/>
    <w:rsid w:val="00B0608F"/>
    <w:rsid w:val="00B060AD"/>
    <w:rsid w:val="00B061EB"/>
    <w:rsid w:val="00B064AF"/>
    <w:rsid w:val="00B064BE"/>
    <w:rsid w:val="00B06524"/>
    <w:rsid w:val="00B065EE"/>
    <w:rsid w:val="00B06632"/>
    <w:rsid w:val="00B06696"/>
    <w:rsid w:val="00B066DE"/>
    <w:rsid w:val="00B0678E"/>
    <w:rsid w:val="00B06811"/>
    <w:rsid w:val="00B06A32"/>
    <w:rsid w:val="00B06B42"/>
    <w:rsid w:val="00B06D43"/>
    <w:rsid w:val="00B06F38"/>
    <w:rsid w:val="00B06F5E"/>
    <w:rsid w:val="00B06F9C"/>
    <w:rsid w:val="00B06FBA"/>
    <w:rsid w:val="00B0700E"/>
    <w:rsid w:val="00B0716A"/>
    <w:rsid w:val="00B07643"/>
    <w:rsid w:val="00B076FE"/>
    <w:rsid w:val="00B078AA"/>
    <w:rsid w:val="00B078D0"/>
    <w:rsid w:val="00B078E9"/>
    <w:rsid w:val="00B0799E"/>
    <w:rsid w:val="00B07A37"/>
    <w:rsid w:val="00B07BEB"/>
    <w:rsid w:val="00B1010F"/>
    <w:rsid w:val="00B101DC"/>
    <w:rsid w:val="00B10575"/>
    <w:rsid w:val="00B10805"/>
    <w:rsid w:val="00B1084A"/>
    <w:rsid w:val="00B10B36"/>
    <w:rsid w:val="00B10CDB"/>
    <w:rsid w:val="00B10D71"/>
    <w:rsid w:val="00B10ED5"/>
    <w:rsid w:val="00B10F56"/>
    <w:rsid w:val="00B10FE3"/>
    <w:rsid w:val="00B11157"/>
    <w:rsid w:val="00B111C5"/>
    <w:rsid w:val="00B1125D"/>
    <w:rsid w:val="00B113C1"/>
    <w:rsid w:val="00B11414"/>
    <w:rsid w:val="00B1152C"/>
    <w:rsid w:val="00B115FF"/>
    <w:rsid w:val="00B11754"/>
    <w:rsid w:val="00B11934"/>
    <w:rsid w:val="00B11AB9"/>
    <w:rsid w:val="00B11E59"/>
    <w:rsid w:val="00B11E91"/>
    <w:rsid w:val="00B11F50"/>
    <w:rsid w:val="00B121BB"/>
    <w:rsid w:val="00B121E7"/>
    <w:rsid w:val="00B12528"/>
    <w:rsid w:val="00B1264D"/>
    <w:rsid w:val="00B126B2"/>
    <w:rsid w:val="00B1292B"/>
    <w:rsid w:val="00B12936"/>
    <w:rsid w:val="00B1298E"/>
    <w:rsid w:val="00B12A37"/>
    <w:rsid w:val="00B12A76"/>
    <w:rsid w:val="00B12BD3"/>
    <w:rsid w:val="00B12C24"/>
    <w:rsid w:val="00B12CF5"/>
    <w:rsid w:val="00B12E48"/>
    <w:rsid w:val="00B12EB2"/>
    <w:rsid w:val="00B130CE"/>
    <w:rsid w:val="00B130CF"/>
    <w:rsid w:val="00B131E9"/>
    <w:rsid w:val="00B134FB"/>
    <w:rsid w:val="00B135C2"/>
    <w:rsid w:val="00B135D3"/>
    <w:rsid w:val="00B13656"/>
    <w:rsid w:val="00B1383C"/>
    <w:rsid w:val="00B1391C"/>
    <w:rsid w:val="00B139FD"/>
    <w:rsid w:val="00B13A65"/>
    <w:rsid w:val="00B13B0E"/>
    <w:rsid w:val="00B13B7C"/>
    <w:rsid w:val="00B13CEF"/>
    <w:rsid w:val="00B13D2A"/>
    <w:rsid w:val="00B1436D"/>
    <w:rsid w:val="00B14451"/>
    <w:rsid w:val="00B1454A"/>
    <w:rsid w:val="00B145E2"/>
    <w:rsid w:val="00B14D79"/>
    <w:rsid w:val="00B14E3E"/>
    <w:rsid w:val="00B1508E"/>
    <w:rsid w:val="00B1520C"/>
    <w:rsid w:val="00B1533F"/>
    <w:rsid w:val="00B15391"/>
    <w:rsid w:val="00B155A8"/>
    <w:rsid w:val="00B155D1"/>
    <w:rsid w:val="00B155FA"/>
    <w:rsid w:val="00B15712"/>
    <w:rsid w:val="00B1572E"/>
    <w:rsid w:val="00B15A27"/>
    <w:rsid w:val="00B15C20"/>
    <w:rsid w:val="00B15C34"/>
    <w:rsid w:val="00B15D58"/>
    <w:rsid w:val="00B15E3D"/>
    <w:rsid w:val="00B1624C"/>
    <w:rsid w:val="00B16541"/>
    <w:rsid w:val="00B1683A"/>
    <w:rsid w:val="00B16CE1"/>
    <w:rsid w:val="00B16DA5"/>
    <w:rsid w:val="00B16E0E"/>
    <w:rsid w:val="00B16EE1"/>
    <w:rsid w:val="00B16FD0"/>
    <w:rsid w:val="00B17220"/>
    <w:rsid w:val="00B17329"/>
    <w:rsid w:val="00B174B9"/>
    <w:rsid w:val="00B176D9"/>
    <w:rsid w:val="00B17711"/>
    <w:rsid w:val="00B178C5"/>
    <w:rsid w:val="00B17978"/>
    <w:rsid w:val="00B17B24"/>
    <w:rsid w:val="00B17CA1"/>
    <w:rsid w:val="00B2000A"/>
    <w:rsid w:val="00B2009F"/>
    <w:rsid w:val="00B20240"/>
    <w:rsid w:val="00B20374"/>
    <w:rsid w:val="00B203DB"/>
    <w:rsid w:val="00B2053E"/>
    <w:rsid w:val="00B205CB"/>
    <w:rsid w:val="00B20700"/>
    <w:rsid w:val="00B209CA"/>
    <w:rsid w:val="00B20BB6"/>
    <w:rsid w:val="00B20D29"/>
    <w:rsid w:val="00B20ECF"/>
    <w:rsid w:val="00B20F32"/>
    <w:rsid w:val="00B20F45"/>
    <w:rsid w:val="00B20F92"/>
    <w:rsid w:val="00B20FF4"/>
    <w:rsid w:val="00B211A4"/>
    <w:rsid w:val="00B21267"/>
    <w:rsid w:val="00B2135A"/>
    <w:rsid w:val="00B2149A"/>
    <w:rsid w:val="00B216F5"/>
    <w:rsid w:val="00B21796"/>
    <w:rsid w:val="00B21925"/>
    <w:rsid w:val="00B2199F"/>
    <w:rsid w:val="00B21B48"/>
    <w:rsid w:val="00B21BE3"/>
    <w:rsid w:val="00B21C7F"/>
    <w:rsid w:val="00B21E3C"/>
    <w:rsid w:val="00B21EC6"/>
    <w:rsid w:val="00B21FD6"/>
    <w:rsid w:val="00B22069"/>
    <w:rsid w:val="00B22338"/>
    <w:rsid w:val="00B224E5"/>
    <w:rsid w:val="00B22582"/>
    <w:rsid w:val="00B225AD"/>
    <w:rsid w:val="00B227ED"/>
    <w:rsid w:val="00B227FA"/>
    <w:rsid w:val="00B22A71"/>
    <w:rsid w:val="00B22B0F"/>
    <w:rsid w:val="00B22C40"/>
    <w:rsid w:val="00B22CD7"/>
    <w:rsid w:val="00B22E0C"/>
    <w:rsid w:val="00B22E11"/>
    <w:rsid w:val="00B23140"/>
    <w:rsid w:val="00B2320A"/>
    <w:rsid w:val="00B234ED"/>
    <w:rsid w:val="00B235A1"/>
    <w:rsid w:val="00B2369C"/>
    <w:rsid w:val="00B236F8"/>
    <w:rsid w:val="00B23710"/>
    <w:rsid w:val="00B23725"/>
    <w:rsid w:val="00B238E5"/>
    <w:rsid w:val="00B23946"/>
    <w:rsid w:val="00B23AB9"/>
    <w:rsid w:val="00B23B06"/>
    <w:rsid w:val="00B23B46"/>
    <w:rsid w:val="00B23F50"/>
    <w:rsid w:val="00B24117"/>
    <w:rsid w:val="00B2412C"/>
    <w:rsid w:val="00B24133"/>
    <w:rsid w:val="00B2421A"/>
    <w:rsid w:val="00B243B0"/>
    <w:rsid w:val="00B243EB"/>
    <w:rsid w:val="00B2446C"/>
    <w:rsid w:val="00B245AB"/>
    <w:rsid w:val="00B24743"/>
    <w:rsid w:val="00B24885"/>
    <w:rsid w:val="00B24992"/>
    <w:rsid w:val="00B24A2D"/>
    <w:rsid w:val="00B24B29"/>
    <w:rsid w:val="00B24E90"/>
    <w:rsid w:val="00B24F65"/>
    <w:rsid w:val="00B24FC9"/>
    <w:rsid w:val="00B2503B"/>
    <w:rsid w:val="00B2507F"/>
    <w:rsid w:val="00B2538E"/>
    <w:rsid w:val="00B253E1"/>
    <w:rsid w:val="00B25593"/>
    <w:rsid w:val="00B255B6"/>
    <w:rsid w:val="00B2562C"/>
    <w:rsid w:val="00B256F7"/>
    <w:rsid w:val="00B25731"/>
    <w:rsid w:val="00B2578B"/>
    <w:rsid w:val="00B25A9F"/>
    <w:rsid w:val="00B25D3E"/>
    <w:rsid w:val="00B25DDF"/>
    <w:rsid w:val="00B2603B"/>
    <w:rsid w:val="00B26244"/>
    <w:rsid w:val="00B2640E"/>
    <w:rsid w:val="00B264B6"/>
    <w:rsid w:val="00B26659"/>
    <w:rsid w:val="00B26A95"/>
    <w:rsid w:val="00B26AB0"/>
    <w:rsid w:val="00B26AB6"/>
    <w:rsid w:val="00B26B99"/>
    <w:rsid w:val="00B26D92"/>
    <w:rsid w:val="00B26F95"/>
    <w:rsid w:val="00B26FB4"/>
    <w:rsid w:val="00B27049"/>
    <w:rsid w:val="00B270D8"/>
    <w:rsid w:val="00B272EC"/>
    <w:rsid w:val="00B2733B"/>
    <w:rsid w:val="00B2740F"/>
    <w:rsid w:val="00B2747E"/>
    <w:rsid w:val="00B274A4"/>
    <w:rsid w:val="00B2799F"/>
    <w:rsid w:val="00B27AC1"/>
    <w:rsid w:val="00B27B5A"/>
    <w:rsid w:val="00B27E8C"/>
    <w:rsid w:val="00B30099"/>
    <w:rsid w:val="00B300BD"/>
    <w:rsid w:val="00B30198"/>
    <w:rsid w:val="00B30344"/>
    <w:rsid w:val="00B30434"/>
    <w:rsid w:val="00B3062B"/>
    <w:rsid w:val="00B3066B"/>
    <w:rsid w:val="00B30726"/>
    <w:rsid w:val="00B309D9"/>
    <w:rsid w:val="00B30BD8"/>
    <w:rsid w:val="00B30C0B"/>
    <w:rsid w:val="00B30DD3"/>
    <w:rsid w:val="00B30E10"/>
    <w:rsid w:val="00B30F9D"/>
    <w:rsid w:val="00B310F9"/>
    <w:rsid w:val="00B31109"/>
    <w:rsid w:val="00B3110A"/>
    <w:rsid w:val="00B31250"/>
    <w:rsid w:val="00B31327"/>
    <w:rsid w:val="00B314D9"/>
    <w:rsid w:val="00B3154E"/>
    <w:rsid w:val="00B3159B"/>
    <w:rsid w:val="00B31600"/>
    <w:rsid w:val="00B316A4"/>
    <w:rsid w:val="00B31BBC"/>
    <w:rsid w:val="00B31C65"/>
    <w:rsid w:val="00B31D70"/>
    <w:rsid w:val="00B31DDA"/>
    <w:rsid w:val="00B31E89"/>
    <w:rsid w:val="00B31EA2"/>
    <w:rsid w:val="00B31F1D"/>
    <w:rsid w:val="00B32040"/>
    <w:rsid w:val="00B32198"/>
    <w:rsid w:val="00B323E8"/>
    <w:rsid w:val="00B324A5"/>
    <w:rsid w:val="00B324D4"/>
    <w:rsid w:val="00B32523"/>
    <w:rsid w:val="00B32547"/>
    <w:rsid w:val="00B32607"/>
    <w:rsid w:val="00B32C9D"/>
    <w:rsid w:val="00B32D10"/>
    <w:rsid w:val="00B32D2D"/>
    <w:rsid w:val="00B32E87"/>
    <w:rsid w:val="00B33190"/>
    <w:rsid w:val="00B333D1"/>
    <w:rsid w:val="00B333F9"/>
    <w:rsid w:val="00B33422"/>
    <w:rsid w:val="00B334B7"/>
    <w:rsid w:val="00B33546"/>
    <w:rsid w:val="00B335FC"/>
    <w:rsid w:val="00B3379F"/>
    <w:rsid w:val="00B338A9"/>
    <w:rsid w:val="00B338D3"/>
    <w:rsid w:val="00B3393F"/>
    <w:rsid w:val="00B33A06"/>
    <w:rsid w:val="00B33B1B"/>
    <w:rsid w:val="00B33BC7"/>
    <w:rsid w:val="00B33D63"/>
    <w:rsid w:val="00B33F9E"/>
    <w:rsid w:val="00B34013"/>
    <w:rsid w:val="00B34536"/>
    <w:rsid w:val="00B3476F"/>
    <w:rsid w:val="00B34800"/>
    <w:rsid w:val="00B349EC"/>
    <w:rsid w:val="00B34C41"/>
    <w:rsid w:val="00B34C49"/>
    <w:rsid w:val="00B34D51"/>
    <w:rsid w:val="00B34D7A"/>
    <w:rsid w:val="00B34E9A"/>
    <w:rsid w:val="00B34F04"/>
    <w:rsid w:val="00B35066"/>
    <w:rsid w:val="00B350F0"/>
    <w:rsid w:val="00B354D8"/>
    <w:rsid w:val="00B355DE"/>
    <w:rsid w:val="00B356B4"/>
    <w:rsid w:val="00B35730"/>
    <w:rsid w:val="00B357ED"/>
    <w:rsid w:val="00B35813"/>
    <w:rsid w:val="00B3588D"/>
    <w:rsid w:val="00B35A2B"/>
    <w:rsid w:val="00B35B53"/>
    <w:rsid w:val="00B35F3D"/>
    <w:rsid w:val="00B36148"/>
    <w:rsid w:val="00B363C4"/>
    <w:rsid w:val="00B3648B"/>
    <w:rsid w:val="00B36572"/>
    <w:rsid w:val="00B3672B"/>
    <w:rsid w:val="00B3692F"/>
    <w:rsid w:val="00B3693C"/>
    <w:rsid w:val="00B36A7B"/>
    <w:rsid w:val="00B36BE1"/>
    <w:rsid w:val="00B36DD9"/>
    <w:rsid w:val="00B36E27"/>
    <w:rsid w:val="00B36F89"/>
    <w:rsid w:val="00B36FB1"/>
    <w:rsid w:val="00B37013"/>
    <w:rsid w:val="00B37052"/>
    <w:rsid w:val="00B3707C"/>
    <w:rsid w:val="00B37572"/>
    <w:rsid w:val="00B37658"/>
    <w:rsid w:val="00B3768F"/>
    <w:rsid w:val="00B3770F"/>
    <w:rsid w:val="00B37940"/>
    <w:rsid w:val="00B379E9"/>
    <w:rsid w:val="00B37A09"/>
    <w:rsid w:val="00B37CE9"/>
    <w:rsid w:val="00B37DAC"/>
    <w:rsid w:val="00B37DE4"/>
    <w:rsid w:val="00B37F1E"/>
    <w:rsid w:val="00B37F54"/>
    <w:rsid w:val="00B37FBB"/>
    <w:rsid w:val="00B37FF2"/>
    <w:rsid w:val="00B40029"/>
    <w:rsid w:val="00B4004E"/>
    <w:rsid w:val="00B400DD"/>
    <w:rsid w:val="00B4011E"/>
    <w:rsid w:val="00B4017F"/>
    <w:rsid w:val="00B40346"/>
    <w:rsid w:val="00B4034A"/>
    <w:rsid w:val="00B406CB"/>
    <w:rsid w:val="00B408AF"/>
    <w:rsid w:val="00B40BA2"/>
    <w:rsid w:val="00B40BB9"/>
    <w:rsid w:val="00B40DFA"/>
    <w:rsid w:val="00B40EC2"/>
    <w:rsid w:val="00B40F1B"/>
    <w:rsid w:val="00B40FFB"/>
    <w:rsid w:val="00B4113D"/>
    <w:rsid w:val="00B411A6"/>
    <w:rsid w:val="00B411CC"/>
    <w:rsid w:val="00B411F0"/>
    <w:rsid w:val="00B413A9"/>
    <w:rsid w:val="00B413BB"/>
    <w:rsid w:val="00B416FC"/>
    <w:rsid w:val="00B4170A"/>
    <w:rsid w:val="00B41737"/>
    <w:rsid w:val="00B41836"/>
    <w:rsid w:val="00B4187B"/>
    <w:rsid w:val="00B418F0"/>
    <w:rsid w:val="00B41A1F"/>
    <w:rsid w:val="00B41A46"/>
    <w:rsid w:val="00B41B8F"/>
    <w:rsid w:val="00B41DC0"/>
    <w:rsid w:val="00B41E01"/>
    <w:rsid w:val="00B42158"/>
    <w:rsid w:val="00B42170"/>
    <w:rsid w:val="00B4218C"/>
    <w:rsid w:val="00B42251"/>
    <w:rsid w:val="00B4226A"/>
    <w:rsid w:val="00B422CA"/>
    <w:rsid w:val="00B4238D"/>
    <w:rsid w:val="00B423C2"/>
    <w:rsid w:val="00B426C6"/>
    <w:rsid w:val="00B429E2"/>
    <w:rsid w:val="00B429E7"/>
    <w:rsid w:val="00B42A26"/>
    <w:rsid w:val="00B42AAC"/>
    <w:rsid w:val="00B42D09"/>
    <w:rsid w:val="00B42EB1"/>
    <w:rsid w:val="00B42F28"/>
    <w:rsid w:val="00B42FE9"/>
    <w:rsid w:val="00B4300E"/>
    <w:rsid w:val="00B43084"/>
    <w:rsid w:val="00B430C2"/>
    <w:rsid w:val="00B4312F"/>
    <w:rsid w:val="00B43178"/>
    <w:rsid w:val="00B4323D"/>
    <w:rsid w:val="00B43240"/>
    <w:rsid w:val="00B43319"/>
    <w:rsid w:val="00B43365"/>
    <w:rsid w:val="00B434F2"/>
    <w:rsid w:val="00B4352A"/>
    <w:rsid w:val="00B43563"/>
    <w:rsid w:val="00B43745"/>
    <w:rsid w:val="00B43862"/>
    <w:rsid w:val="00B43865"/>
    <w:rsid w:val="00B43A10"/>
    <w:rsid w:val="00B43A14"/>
    <w:rsid w:val="00B43D6F"/>
    <w:rsid w:val="00B43E0D"/>
    <w:rsid w:val="00B440DD"/>
    <w:rsid w:val="00B44139"/>
    <w:rsid w:val="00B441C1"/>
    <w:rsid w:val="00B44345"/>
    <w:rsid w:val="00B4467E"/>
    <w:rsid w:val="00B446C3"/>
    <w:rsid w:val="00B448BF"/>
    <w:rsid w:val="00B44A09"/>
    <w:rsid w:val="00B44AAD"/>
    <w:rsid w:val="00B44E65"/>
    <w:rsid w:val="00B44EB6"/>
    <w:rsid w:val="00B451C3"/>
    <w:rsid w:val="00B4534D"/>
    <w:rsid w:val="00B45480"/>
    <w:rsid w:val="00B457A8"/>
    <w:rsid w:val="00B45993"/>
    <w:rsid w:val="00B45BDE"/>
    <w:rsid w:val="00B45D1A"/>
    <w:rsid w:val="00B45D9A"/>
    <w:rsid w:val="00B45DB9"/>
    <w:rsid w:val="00B45E3D"/>
    <w:rsid w:val="00B45FDE"/>
    <w:rsid w:val="00B46132"/>
    <w:rsid w:val="00B461BD"/>
    <w:rsid w:val="00B46227"/>
    <w:rsid w:val="00B46307"/>
    <w:rsid w:val="00B46461"/>
    <w:rsid w:val="00B4649D"/>
    <w:rsid w:val="00B4652F"/>
    <w:rsid w:val="00B465FD"/>
    <w:rsid w:val="00B4662A"/>
    <w:rsid w:val="00B466AC"/>
    <w:rsid w:val="00B46780"/>
    <w:rsid w:val="00B469D0"/>
    <w:rsid w:val="00B46B45"/>
    <w:rsid w:val="00B46B93"/>
    <w:rsid w:val="00B46EB0"/>
    <w:rsid w:val="00B46F42"/>
    <w:rsid w:val="00B47122"/>
    <w:rsid w:val="00B47203"/>
    <w:rsid w:val="00B476D3"/>
    <w:rsid w:val="00B47700"/>
    <w:rsid w:val="00B4773B"/>
    <w:rsid w:val="00B4775B"/>
    <w:rsid w:val="00B47814"/>
    <w:rsid w:val="00B47899"/>
    <w:rsid w:val="00B47991"/>
    <w:rsid w:val="00B47D9C"/>
    <w:rsid w:val="00B47DF9"/>
    <w:rsid w:val="00B47E07"/>
    <w:rsid w:val="00B47F07"/>
    <w:rsid w:val="00B47F3D"/>
    <w:rsid w:val="00B47FC4"/>
    <w:rsid w:val="00B500E6"/>
    <w:rsid w:val="00B501A1"/>
    <w:rsid w:val="00B501B6"/>
    <w:rsid w:val="00B50267"/>
    <w:rsid w:val="00B503F4"/>
    <w:rsid w:val="00B50462"/>
    <w:rsid w:val="00B505BA"/>
    <w:rsid w:val="00B50880"/>
    <w:rsid w:val="00B5089F"/>
    <w:rsid w:val="00B508DF"/>
    <w:rsid w:val="00B508F9"/>
    <w:rsid w:val="00B50A7F"/>
    <w:rsid w:val="00B50DA0"/>
    <w:rsid w:val="00B50F2F"/>
    <w:rsid w:val="00B5120C"/>
    <w:rsid w:val="00B5142D"/>
    <w:rsid w:val="00B51436"/>
    <w:rsid w:val="00B5146E"/>
    <w:rsid w:val="00B515E8"/>
    <w:rsid w:val="00B5175C"/>
    <w:rsid w:val="00B51A02"/>
    <w:rsid w:val="00B51ABE"/>
    <w:rsid w:val="00B51CDB"/>
    <w:rsid w:val="00B51D7F"/>
    <w:rsid w:val="00B52009"/>
    <w:rsid w:val="00B520EA"/>
    <w:rsid w:val="00B521DC"/>
    <w:rsid w:val="00B5224E"/>
    <w:rsid w:val="00B52355"/>
    <w:rsid w:val="00B5237C"/>
    <w:rsid w:val="00B52468"/>
    <w:rsid w:val="00B52570"/>
    <w:rsid w:val="00B5285E"/>
    <w:rsid w:val="00B528B1"/>
    <w:rsid w:val="00B52944"/>
    <w:rsid w:val="00B52957"/>
    <w:rsid w:val="00B52B6A"/>
    <w:rsid w:val="00B52BA6"/>
    <w:rsid w:val="00B52F23"/>
    <w:rsid w:val="00B52F3D"/>
    <w:rsid w:val="00B53016"/>
    <w:rsid w:val="00B53286"/>
    <w:rsid w:val="00B533C6"/>
    <w:rsid w:val="00B53461"/>
    <w:rsid w:val="00B53488"/>
    <w:rsid w:val="00B534B2"/>
    <w:rsid w:val="00B534FA"/>
    <w:rsid w:val="00B53758"/>
    <w:rsid w:val="00B5399B"/>
    <w:rsid w:val="00B53A99"/>
    <w:rsid w:val="00B53ADD"/>
    <w:rsid w:val="00B53BED"/>
    <w:rsid w:val="00B53C34"/>
    <w:rsid w:val="00B53C81"/>
    <w:rsid w:val="00B54298"/>
    <w:rsid w:val="00B543BB"/>
    <w:rsid w:val="00B5444C"/>
    <w:rsid w:val="00B544F4"/>
    <w:rsid w:val="00B545E7"/>
    <w:rsid w:val="00B54883"/>
    <w:rsid w:val="00B548F5"/>
    <w:rsid w:val="00B5498F"/>
    <w:rsid w:val="00B54C4F"/>
    <w:rsid w:val="00B54C65"/>
    <w:rsid w:val="00B54DFD"/>
    <w:rsid w:val="00B54E70"/>
    <w:rsid w:val="00B54ECF"/>
    <w:rsid w:val="00B54FC3"/>
    <w:rsid w:val="00B5516F"/>
    <w:rsid w:val="00B553DC"/>
    <w:rsid w:val="00B5550B"/>
    <w:rsid w:val="00B55751"/>
    <w:rsid w:val="00B5585E"/>
    <w:rsid w:val="00B559BF"/>
    <w:rsid w:val="00B55A26"/>
    <w:rsid w:val="00B55A6F"/>
    <w:rsid w:val="00B55AAD"/>
    <w:rsid w:val="00B55B98"/>
    <w:rsid w:val="00B55D3F"/>
    <w:rsid w:val="00B55D41"/>
    <w:rsid w:val="00B55ECB"/>
    <w:rsid w:val="00B55F4D"/>
    <w:rsid w:val="00B55FEC"/>
    <w:rsid w:val="00B55FF0"/>
    <w:rsid w:val="00B55FF3"/>
    <w:rsid w:val="00B560D0"/>
    <w:rsid w:val="00B56180"/>
    <w:rsid w:val="00B56203"/>
    <w:rsid w:val="00B5639A"/>
    <w:rsid w:val="00B56441"/>
    <w:rsid w:val="00B564C5"/>
    <w:rsid w:val="00B56625"/>
    <w:rsid w:val="00B56B69"/>
    <w:rsid w:val="00B56DF0"/>
    <w:rsid w:val="00B56F26"/>
    <w:rsid w:val="00B570A3"/>
    <w:rsid w:val="00B57199"/>
    <w:rsid w:val="00B57265"/>
    <w:rsid w:val="00B57268"/>
    <w:rsid w:val="00B57288"/>
    <w:rsid w:val="00B572D9"/>
    <w:rsid w:val="00B57453"/>
    <w:rsid w:val="00B574BA"/>
    <w:rsid w:val="00B5756F"/>
    <w:rsid w:val="00B575DA"/>
    <w:rsid w:val="00B576E7"/>
    <w:rsid w:val="00B57704"/>
    <w:rsid w:val="00B577A6"/>
    <w:rsid w:val="00B57874"/>
    <w:rsid w:val="00B578EA"/>
    <w:rsid w:val="00B57A58"/>
    <w:rsid w:val="00B57AE6"/>
    <w:rsid w:val="00B57B8F"/>
    <w:rsid w:val="00B600A0"/>
    <w:rsid w:val="00B60170"/>
    <w:rsid w:val="00B6020C"/>
    <w:rsid w:val="00B60268"/>
    <w:rsid w:val="00B60569"/>
    <w:rsid w:val="00B60582"/>
    <w:rsid w:val="00B606AE"/>
    <w:rsid w:val="00B6070C"/>
    <w:rsid w:val="00B608EC"/>
    <w:rsid w:val="00B60A61"/>
    <w:rsid w:val="00B60CEE"/>
    <w:rsid w:val="00B610E8"/>
    <w:rsid w:val="00B6116B"/>
    <w:rsid w:val="00B611CE"/>
    <w:rsid w:val="00B61325"/>
    <w:rsid w:val="00B616C4"/>
    <w:rsid w:val="00B617B7"/>
    <w:rsid w:val="00B6191E"/>
    <w:rsid w:val="00B61A67"/>
    <w:rsid w:val="00B61B2C"/>
    <w:rsid w:val="00B61F20"/>
    <w:rsid w:val="00B61F4C"/>
    <w:rsid w:val="00B621CC"/>
    <w:rsid w:val="00B623A9"/>
    <w:rsid w:val="00B624AA"/>
    <w:rsid w:val="00B62635"/>
    <w:rsid w:val="00B626B2"/>
    <w:rsid w:val="00B62879"/>
    <w:rsid w:val="00B629A7"/>
    <w:rsid w:val="00B62B3E"/>
    <w:rsid w:val="00B62D0C"/>
    <w:rsid w:val="00B62D3A"/>
    <w:rsid w:val="00B63064"/>
    <w:rsid w:val="00B6311C"/>
    <w:rsid w:val="00B631A8"/>
    <w:rsid w:val="00B63480"/>
    <w:rsid w:val="00B634FA"/>
    <w:rsid w:val="00B635D0"/>
    <w:rsid w:val="00B63624"/>
    <w:rsid w:val="00B63A81"/>
    <w:rsid w:val="00B63BAF"/>
    <w:rsid w:val="00B63BB8"/>
    <w:rsid w:val="00B63DB3"/>
    <w:rsid w:val="00B63EE7"/>
    <w:rsid w:val="00B63F10"/>
    <w:rsid w:val="00B63F1A"/>
    <w:rsid w:val="00B6405D"/>
    <w:rsid w:val="00B64087"/>
    <w:rsid w:val="00B6408A"/>
    <w:rsid w:val="00B6424D"/>
    <w:rsid w:val="00B64360"/>
    <w:rsid w:val="00B644E2"/>
    <w:rsid w:val="00B6450A"/>
    <w:rsid w:val="00B6452E"/>
    <w:rsid w:val="00B64558"/>
    <w:rsid w:val="00B646CA"/>
    <w:rsid w:val="00B64794"/>
    <w:rsid w:val="00B6482A"/>
    <w:rsid w:val="00B648B1"/>
    <w:rsid w:val="00B64BAA"/>
    <w:rsid w:val="00B64CB0"/>
    <w:rsid w:val="00B65257"/>
    <w:rsid w:val="00B65295"/>
    <w:rsid w:val="00B652BF"/>
    <w:rsid w:val="00B652D2"/>
    <w:rsid w:val="00B652EF"/>
    <w:rsid w:val="00B654CA"/>
    <w:rsid w:val="00B65515"/>
    <w:rsid w:val="00B657D2"/>
    <w:rsid w:val="00B658FB"/>
    <w:rsid w:val="00B65AE5"/>
    <w:rsid w:val="00B65C2F"/>
    <w:rsid w:val="00B65E4A"/>
    <w:rsid w:val="00B65F24"/>
    <w:rsid w:val="00B661FE"/>
    <w:rsid w:val="00B6645E"/>
    <w:rsid w:val="00B666D9"/>
    <w:rsid w:val="00B6696D"/>
    <w:rsid w:val="00B66A9B"/>
    <w:rsid w:val="00B66B1B"/>
    <w:rsid w:val="00B66C87"/>
    <w:rsid w:val="00B66D44"/>
    <w:rsid w:val="00B66D8B"/>
    <w:rsid w:val="00B66E2C"/>
    <w:rsid w:val="00B66EE4"/>
    <w:rsid w:val="00B6707C"/>
    <w:rsid w:val="00B6748A"/>
    <w:rsid w:val="00B675F0"/>
    <w:rsid w:val="00B67600"/>
    <w:rsid w:val="00B6765B"/>
    <w:rsid w:val="00B67C02"/>
    <w:rsid w:val="00B67D84"/>
    <w:rsid w:val="00B67E97"/>
    <w:rsid w:val="00B67EA2"/>
    <w:rsid w:val="00B67F31"/>
    <w:rsid w:val="00B70381"/>
    <w:rsid w:val="00B703A5"/>
    <w:rsid w:val="00B7070F"/>
    <w:rsid w:val="00B7096D"/>
    <w:rsid w:val="00B70ADD"/>
    <w:rsid w:val="00B70AF3"/>
    <w:rsid w:val="00B70D13"/>
    <w:rsid w:val="00B70D6C"/>
    <w:rsid w:val="00B70ED6"/>
    <w:rsid w:val="00B70F4E"/>
    <w:rsid w:val="00B71029"/>
    <w:rsid w:val="00B7111F"/>
    <w:rsid w:val="00B71188"/>
    <w:rsid w:val="00B71211"/>
    <w:rsid w:val="00B71722"/>
    <w:rsid w:val="00B717A9"/>
    <w:rsid w:val="00B71858"/>
    <w:rsid w:val="00B7188A"/>
    <w:rsid w:val="00B719EF"/>
    <w:rsid w:val="00B71A0F"/>
    <w:rsid w:val="00B71B8A"/>
    <w:rsid w:val="00B71CCB"/>
    <w:rsid w:val="00B71E10"/>
    <w:rsid w:val="00B71ECA"/>
    <w:rsid w:val="00B72034"/>
    <w:rsid w:val="00B72143"/>
    <w:rsid w:val="00B72215"/>
    <w:rsid w:val="00B72262"/>
    <w:rsid w:val="00B723D3"/>
    <w:rsid w:val="00B723DC"/>
    <w:rsid w:val="00B724D7"/>
    <w:rsid w:val="00B727BE"/>
    <w:rsid w:val="00B728C4"/>
    <w:rsid w:val="00B72E6D"/>
    <w:rsid w:val="00B73024"/>
    <w:rsid w:val="00B73025"/>
    <w:rsid w:val="00B7302D"/>
    <w:rsid w:val="00B7316F"/>
    <w:rsid w:val="00B73671"/>
    <w:rsid w:val="00B7386E"/>
    <w:rsid w:val="00B739A2"/>
    <w:rsid w:val="00B73A7E"/>
    <w:rsid w:val="00B73ABB"/>
    <w:rsid w:val="00B73BA3"/>
    <w:rsid w:val="00B73C89"/>
    <w:rsid w:val="00B73D3A"/>
    <w:rsid w:val="00B73D58"/>
    <w:rsid w:val="00B73DC2"/>
    <w:rsid w:val="00B73EBD"/>
    <w:rsid w:val="00B73F6D"/>
    <w:rsid w:val="00B7402B"/>
    <w:rsid w:val="00B74185"/>
    <w:rsid w:val="00B741E0"/>
    <w:rsid w:val="00B7438C"/>
    <w:rsid w:val="00B74433"/>
    <w:rsid w:val="00B7453A"/>
    <w:rsid w:val="00B745BF"/>
    <w:rsid w:val="00B746E6"/>
    <w:rsid w:val="00B746E9"/>
    <w:rsid w:val="00B74941"/>
    <w:rsid w:val="00B74A75"/>
    <w:rsid w:val="00B74A7D"/>
    <w:rsid w:val="00B74B24"/>
    <w:rsid w:val="00B74C40"/>
    <w:rsid w:val="00B74DAB"/>
    <w:rsid w:val="00B74F92"/>
    <w:rsid w:val="00B75098"/>
    <w:rsid w:val="00B7528A"/>
    <w:rsid w:val="00B753A2"/>
    <w:rsid w:val="00B75456"/>
    <w:rsid w:val="00B758C8"/>
    <w:rsid w:val="00B759A5"/>
    <w:rsid w:val="00B75A9A"/>
    <w:rsid w:val="00B75BE4"/>
    <w:rsid w:val="00B75CAE"/>
    <w:rsid w:val="00B75CB2"/>
    <w:rsid w:val="00B75D31"/>
    <w:rsid w:val="00B75DE7"/>
    <w:rsid w:val="00B76076"/>
    <w:rsid w:val="00B76078"/>
    <w:rsid w:val="00B761B9"/>
    <w:rsid w:val="00B7623C"/>
    <w:rsid w:val="00B76461"/>
    <w:rsid w:val="00B764D2"/>
    <w:rsid w:val="00B76743"/>
    <w:rsid w:val="00B7680D"/>
    <w:rsid w:val="00B7682B"/>
    <w:rsid w:val="00B76A31"/>
    <w:rsid w:val="00B76A41"/>
    <w:rsid w:val="00B76B07"/>
    <w:rsid w:val="00B76C2F"/>
    <w:rsid w:val="00B76C9B"/>
    <w:rsid w:val="00B76CE7"/>
    <w:rsid w:val="00B76D21"/>
    <w:rsid w:val="00B76EA5"/>
    <w:rsid w:val="00B76EB8"/>
    <w:rsid w:val="00B76EDE"/>
    <w:rsid w:val="00B770D7"/>
    <w:rsid w:val="00B774F1"/>
    <w:rsid w:val="00B77638"/>
    <w:rsid w:val="00B77A9F"/>
    <w:rsid w:val="00B77BD1"/>
    <w:rsid w:val="00B77E8D"/>
    <w:rsid w:val="00B77F34"/>
    <w:rsid w:val="00B77F96"/>
    <w:rsid w:val="00B77F9D"/>
    <w:rsid w:val="00B80009"/>
    <w:rsid w:val="00B8010A"/>
    <w:rsid w:val="00B80299"/>
    <w:rsid w:val="00B80534"/>
    <w:rsid w:val="00B80653"/>
    <w:rsid w:val="00B807A9"/>
    <w:rsid w:val="00B8080D"/>
    <w:rsid w:val="00B80A51"/>
    <w:rsid w:val="00B80B8B"/>
    <w:rsid w:val="00B80C69"/>
    <w:rsid w:val="00B80CC5"/>
    <w:rsid w:val="00B80D16"/>
    <w:rsid w:val="00B80D75"/>
    <w:rsid w:val="00B80E24"/>
    <w:rsid w:val="00B80EB9"/>
    <w:rsid w:val="00B80FBD"/>
    <w:rsid w:val="00B81020"/>
    <w:rsid w:val="00B8104B"/>
    <w:rsid w:val="00B81357"/>
    <w:rsid w:val="00B81470"/>
    <w:rsid w:val="00B814AA"/>
    <w:rsid w:val="00B814DF"/>
    <w:rsid w:val="00B81764"/>
    <w:rsid w:val="00B81774"/>
    <w:rsid w:val="00B8179F"/>
    <w:rsid w:val="00B8197F"/>
    <w:rsid w:val="00B81B1D"/>
    <w:rsid w:val="00B81BC9"/>
    <w:rsid w:val="00B81E63"/>
    <w:rsid w:val="00B81F73"/>
    <w:rsid w:val="00B82049"/>
    <w:rsid w:val="00B82115"/>
    <w:rsid w:val="00B8223D"/>
    <w:rsid w:val="00B82534"/>
    <w:rsid w:val="00B8267B"/>
    <w:rsid w:val="00B826DC"/>
    <w:rsid w:val="00B82771"/>
    <w:rsid w:val="00B827AE"/>
    <w:rsid w:val="00B82848"/>
    <w:rsid w:val="00B82883"/>
    <w:rsid w:val="00B8290C"/>
    <w:rsid w:val="00B82919"/>
    <w:rsid w:val="00B8297C"/>
    <w:rsid w:val="00B82B70"/>
    <w:rsid w:val="00B82B91"/>
    <w:rsid w:val="00B82D4B"/>
    <w:rsid w:val="00B82EAB"/>
    <w:rsid w:val="00B82F24"/>
    <w:rsid w:val="00B8318E"/>
    <w:rsid w:val="00B834A9"/>
    <w:rsid w:val="00B835A0"/>
    <w:rsid w:val="00B83602"/>
    <w:rsid w:val="00B8388B"/>
    <w:rsid w:val="00B83B46"/>
    <w:rsid w:val="00B83C40"/>
    <w:rsid w:val="00B83C66"/>
    <w:rsid w:val="00B83C68"/>
    <w:rsid w:val="00B83CA1"/>
    <w:rsid w:val="00B83CF1"/>
    <w:rsid w:val="00B83D6F"/>
    <w:rsid w:val="00B83D71"/>
    <w:rsid w:val="00B84063"/>
    <w:rsid w:val="00B8414C"/>
    <w:rsid w:val="00B84513"/>
    <w:rsid w:val="00B84630"/>
    <w:rsid w:val="00B84741"/>
    <w:rsid w:val="00B84A41"/>
    <w:rsid w:val="00B84A62"/>
    <w:rsid w:val="00B84D5D"/>
    <w:rsid w:val="00B84DA2"/>
    <w:rsid w:val="00B84DF3"/>
    <w:rsid w:val="00B84EEE"/>
    <w:rsid w:val="00B84F14"/>
    <w:rsid w:val="00B851F8"/>
    <w:rsid w:val="00B85521"/>
    <w:rsid w:val="00B8563C"/>
    <w:rsid w:val="00B85957"/>
    <w:rsid w:val="00B859F6"/>
    <w:rsid w:val="00B859F8"/>
    <w:rsid w:val="00B85ABE"/>
    <w:rsid w:val="00B85ADB"/>
    <w:rsid w:val="00B85C5F"/>
    <w:rsid w:val="00B85D37"/>
    <w:rsid w:val="00B85DF1"/>
    <w:rsid w:val="00B85FDE"/>
    <w:rsid w:val="00B86080"/>
    <w:rsid w:val="00B8621E"/>
    <w:rsid w:val="00B862ED"/>
    <w:rsid w:val="00B86321"/>
    <w:rsid w:val="00B86419"/>
    <w:rsid w:val="00B86487"/>
    <w:rsid w:val="00B86587"/>
    <w:rsid w:val="00B86601"/>
    <w:rsid w:val="00B86768"/>
    <w:rsid w:val="00B86954"/>
    <w:rsid w:val="00B86A02"/>
    <w:rsid w:val="00B86B95"/>
    <w:rsid w:val="00B86C9A"/>
    <w:rsid w:val="00B86CA5"/>
    <w:rsid w:val="00B86D61"/>
    <w:rsid w:val="00B86E8D"/>
    <w:rsid w:val="00B86F7B"/>
    <w:rsid w:val="00B86FE6"/>
    <w:rsid w:val="00B8701F"/>
    <w:rsid w:val="00B872F4"/>
    <w:rsid w:val="00B87336"/>
    <w:rsid w:val="00B873E1"/>
    <w:rsid w:val="00B875E0"/>
    <w:rsid w:val="00B877B0"/>
    <w:rsid w:val="00B877DB"/>
    <w:rsid w:val="00B878BF"/>
    <w:rsid w:val="00B878EC"/>
    <w:rsid w:val="00B879BA"/>
    <w:rsid w:val="00B87B52"/>
    <w:rsid w:val="00B87BE3"/>
    <w:rsid w:val="00B87C8C"/>
    <w:rsid w:val="00B87D80"/>
    <w:rsid w:val="00B87E05"/>
    <w:rsid w:val="00B87E3D"/>
    <w:rsid w:val="00B87F00"/>
    <w:rsid w:val="00B9021F"/>
    <w:rsid w:val="00B90698"/>
    <w:rsid w:val="00B906B4"/>
    <w:rsid w:val="00B90775"/>
    <w:rsid w:val="00B90977"/>
    <w:rsid w:val="00B90A75"/>
    <w:rsid w:val="00B90AC6"/>
    <w:rsid w:val="00B90C66"/>
    <w:rsid w:val="00B90D71"/>
    <w:rsid w:val="00B90DB1"/>
    <w:rsid w:val="00B90DEF"/>
    <w:rsid w:val="00B90F14"/>
    <w:rsid w:val="00B90F5C"/>
    <w:rsid w:val="00B9117A"/>
    <w:rsid w:val="00B911C1"/>
    <w:rsid w:val="00B91247"/>
    <w:rsid w:val="00B912D7"/>
    <w:rsid w:val="00B9135B"/>
    <w:rsid w:val="00B91434"/>
    <w:rsid w:val="00B9143B"/>
    <w:rsid w:val="00B916B6"/>
    <w:rsid w:val="00B917DE"/>
    <w:rsid w:val="00B91937"/>
    <w:rsid w:val="00B91988"/>
    <w:rsid w:val="00B91A80"/>
    <w:rsid w:val="00B91B36"/>
    <w:rsid w:val="00B91B3C"/>
    <w:rsid w:val="00B91BD4"/>
    <w:rsid w:val="00B91BDB"/>
    <w:rsid w:val="00B91ED5"/>
    <w:rsid w:val="00B92082"/>
    <w:rsid w:val="00B920E8"/>
    <w:rsid w:val="00B9212D"/>
    <w:rsid w:val="00B92164"/>
    <w:rsid w:val="00B92214"/>
    <w:rsid w:val="00B922DE"/>
    <w:rsid w:val="00B92371"/>
    <w:rsid w:val="00B9267C"/>
    <w:rsid w:val="00B9276E"/>
    <w:rsid w:val="00B928C2"/>
    <w:rsid w:val="00B928FE"/>
    <w:rsid w:val="00B92A64"/>
    <w:rsid w:val="00B92A8F"/>
    <w:rsid w:val="00B92AFD"/>
    <w:rsid w:val="00B92C1A"/>
    <w:rsid w:val="00B92DA7"/>
    <w:rsid w:val="00B92DC3"/>
    <w:rsid w:val="00B92F9F"/>
    <w:rsid w:val="00B93181"/>
    <w:rsid w:val="00B9321A"/>
    <w:rsid w:val="00B932FD"/>
    <w:rsid w:val="00B933AD"/>
    <w:rsid w:val="00B9358A"/>
    <w:rsid w:val="00B935AE"/>
    <w:rsid w:val="00B93704"/>
    <w:rsid w:val="00B93705"/>
    <w:rsid w:val="00B93982"/>
    <w:rsid w:val="00B93B7B"/>
    <w:rsid w:val="00B93BC6"/>
    <w:rsid w:val="00B93C89"/>
    <w:rsid w:val="00B941FA"/>
    <w:rsid w:val="00B94679"/>
    <w:rsid w:val="00B9487D"/>
    <w:rsid w:val="00B948FF"/>
    <w:rsid w:val="00B94AD7"/>
    <w:rsid w:val="00B94B67"/>
    <w:rsid w:val="00B94CBE"/>
    <w:rsid w:val="00B94D61"/>
    <w:rsid w:val="00B94DAB"/>
    <w:rsid w:val="00B94EF4"/>
    <w:rsid w:val="00B94F08"/>
    <w:rsid w:val="00B94F5A"/>
    <w:rsid w:val="00B9507C"/>
    <w:rsid w:val="00B951B4"/>
    <w:rsid w:val="00B951B5"/>
    <w:rsid w:val="00B952A9"/>
    <w:rsid w:val="00B952F2"/>
    <w:rsid w:val="00B95486"/>
    <w:rsid w:val="00B95490"/>
    <w:rsid w:val="00B9557F"/>
    <w:rsid w:val="00B955F1"/>
    <w:rsid w:val="00B95669"/>
    <w:rsid w:val="00B956D4"/>
    <w:rsid w:val="00B95818"/>
    <w:rsid w:val="00B95970"/>
    <w:rsid w:val="00B959CB"/>
    <w:rsid w:val="00B95C68"/>
    <w:rsid w:val="00B95F1A"/>
    <w:rsid w:val="00B95FDB"/>
    <w:rsid w:val="00B95FF0"/>
    <w:rsid w:val="00B961A0"/>
    <w:rsid w:val="00B964B9"/>
    <w:rsid w:val="00B967D9"/>
    <w:rsid w:val="00B96A14"/>
    <w:rsid w:val="00B96AE1"/>
    <w:rsid w:val="00B96B96"/>
    <w:rsid w:val="00B96E51"/>
    <w:rsid w:val="00B96FFE"/>
    <w:rsid w:val="00B97020"/>
    <w:rsid w:val="00B9749C"/>
    <w:rsid w:val="00B974BD"/>
    <w:rsid w:val="00B97504"/>
    <w:rsid w:val="00B97724"/>
    <w:rsid w:val="00B97B84"/>
    <w:rsid w:val="00B97CD8"/>
    <w:rsid w:val="00B97D99"/>
    <w:rsid w:val="00B97E61"/>
    <w:rsid w:val="00BA034D"/>
    <w:rsid w:val="00BA0527"/>
    <w:rsid w:val="00BA0560"/>
    <w:rsid w:val="00BA0748"/>
    <w:rsid w:val="00BA07A4"/>
    <w:rsid w:val="00BA0874"/>
    <w:rsid w:val="00BA0893"/>
    <w:rsid w:val="00BA0AD4"/>
    <w:rsid w:val="00BA0CDA"/>
    <w:rsid w:val="00BA0D66"/>
    <w:rsid w:val="00BA0D7D"/>
    <w:rsid w:val="00BA0DC0"/>
    <w:rsid w:val="00BA0F09"/>
    <w:rsid w:val="00BA0FA5"/>
    <w:rsid w:val="00BA12FB"/>
    <w:rsid w:val="00BA13A2"/>
    <w:rsid w:val="00BA1577"/>
    <w:rsid w:val="00BA16E3"/>
    <w:rsid w:val="00BA1935"/>
    <w:rsid w:val="00BA1A8A"/>
    <w:rsid w:val="00BA1B34"/>
    <w:rsid w:val="00BA1D02"/>
    <w:rsid w:val="00BA1D5B"/>
    <w:rsid w:val="00BA1E34"/>
    <w:rsid w:val="00BA1FDE"/>
    <w:rsid w:val="00BA2094"/>
    <w:rsid w:val="00BA2271"/>
    <w:rsid w:val="00BA24A4"/>
    <w:rsid w:val="00BA25C7"/>
    <w:rsid w:val="00BA27F9"/>
    <w:rsid w:val="00BA2971"/>
    <w:rsid w:val="00BA2A34"/>
    <w:rsid w:val="00BA2C3C"/>
    <w:rsid w:val="00BA2C40"/>
    <w:rsid w:val="00BA2F79"/>
    <w:rsid w:val="00BA2FA0"/>
    <w:rsid w:val="00BA3059"/>
    <w:rsid w:val="00BA3349"/>
    <w:rsid w:val="00BA3573"/>
    <w:rsid w:val="00BA3607"/>
    <w:rsid w:val="00BA3847"/>
    <w:rsid w:val="00BA38DD"/>
    <w:rsid w:val="00BA392C"/>
    <w:rsid w:val="00BA3953"/>
    <w:rsid w:val="00BA3AF1"/>
    <w:rsid w:val="00BA40DF"/>
    <w:rsid w:val="00BA457A"/>
    <w:rsid w:val="00BA45CE"/>
    <w:rsid w:val="00BA4616"/>
    <w:rsid w:val="00BA4762"/>
    <w:rsid w:val="00BA47C7"/>
    <w:rsid w:val="00BA48CA"/>
    <w:rsid w:val="00BA4C94"/>
    <w:rsid w:val="00BA4E57"/>
    <w:rsid w:val="00BA4F42"/>
    <w:rsid w:val="00BA50FA"/>
    <w:rsid w:val="00BA51A3"/>
    <w:rsid w:val="00BA5263"/>
    <w:rsid w:val="00BA52B1"/>
    <w:rsid w:val="00BA52D8"/>
    <w:rsid w:val="00BA571C"/>
    <w:rsid w:val="00BA57EB"/>
    <w:rsid w:val="00BA585D"/>
    <w:rsid w:val="00BA590A"/>
    <w:rsid w:val="00BA5B53"/>
    <w:rsid w:val="00BA5D68"/>
    <w:rsid w:val="00BA612A"/>
    <w:rsid w:val="00BA6326"/>
    <w:rsid w:val="00BA6461"/>
    <w:rsid w:val="00BA6481"/>
    <w:rsid w:val="00BA6492"/>
    <w:rsid w:val="00BA67C4"/>
    <w:rsid w:val="00BA6985"/>
    <w:rsid w:val="00BA6A6D"/>
    <w:rsid w:val="00BA6BC6"/>
    <w:rsid w:val="00BA6D20"/>
    <w:rsid w:val="00BA6D3A"/>
    <w:rsid w:val="00BA6D41"/>
    <w:rsid w:val="00BA6E8E"/>
    <w:rsid w:val="00BA6F18"/>
    <w:rsid w:val="00BA708D"/>
    <w:rsid w:val="00BA7112"/>
    <w:rsid w:val="00BA73DF"/>
    <w:rsid w:val="00BA744A"/>
    <w:rsid w:val="00BA74BF"/>
    <w:rsid w:val="00BA74E6"/>
    <w:rsid w:val="00BA76E8"/>
    <w:rsid w:val="00BA7981"/>
    <w:rsid w:val="00BA79A3"/>
    <w:rsid w:val="00BA7A2B"/>
    <w:rsid w:val="00BA7A8F"/>
    <w:rsid w:val="00BA7B6E"/>
    <w:rsid w:val="00BA7C53"/>
    <w:rsid w:val="00BA7D8B"/>
    <w:rsid w:val="00BA7E69"/>
    <w:rsid w:val="00BB0018"/>
    <w:rsid w:val="00BB0056"/>
    <w:rsid w:val="00BB008E"/>
    <w:rsid w:val="00BB035A"/>
    <w:rsid w:val="00BB036B"/>
    <w:rsid w:val="00BB04B1"/>
    <w:rsid w:val="00BB0934"/>
    <w:rsid w:val="00BB096D"/>
    <w:rsid w:val="00BB0B4D"/>
    <w:rsid w:val="00BB0BE3"/>
    <w:rsid w:val="00BB0D61"/>
    <w:rsid w:val="00BB0DC1"/>
    <w:rsid w:val="00BB0EFE"/>
    <w:rsid w:val="00BB1027"/>
    <w:rsid w:val="00BB112A"/>
    <w:rsid w:val="00BB13A6"/>
    <w:rsid w:val="00BB1820"/>
    <w:rsid w:val="00BB1A42"/>
    <w:rsid w:val="00BB1BF0"/>
    <w:rsid w:val="00BB1C50"/>
    <w:rsid w:val="00BB1C60"/>
    <w:rsid w:val="00BB1CB0"/>
    <w:rsid w:val="00BB1E9C"/>
    <w:rsid w:val="00BB1F5B"/>
    <w:rsid w:val="00BB1F85"/>
    <w:rsid w:val="00BB1F91"/>
    <w:rsid w:val="00BB1FFC"/>
    <w:rsid w:val="00BB2005"/>
    <w:rsid w:val="00BB2144"/>
    <w:rsid w:val="00BB22A0"/>
    <w:rsid w:val="00BB2372"/>
    <w:rsid w:val="00BB2398"/>
    <w:rsid w:val="00BB2587"/>
    <w:rsid w:val="00BB25EA"/>
    <w:rsid w:val="00BB265A"/>
    <w:rsid w:val="00BB2796"/>
    <w:rsid w:val="00BB280A"/>
    <w:rsid w:val="00BB2964"/>
    <w:rsid w:val="00BB2A19"/>
    <w:rsid w:val="00BB2A73"/>
    <w:rsid w:val="00BB2A8F"/>
    <w:rsid w:val="00BB2AA8"/>
    <w:rsid w:val="00BB2CC6"/>
    <w:rsid w:val="00BB2DDD"/>
    <w:rsid w:val="00BB2E26"/>
    <w:rsid w:val="00BB2F8D"/>
    <w:rsid w:val="00BB2FCD"/>
    <w:rsid w:val="00BB30B3"/>
    <w:rsid w:val="00BB3109"/>
    <w:rsid w:val="00BB34DC"/>
    <w:rsid w:val="00BB35E6"/>
    <w:rsid w:val="00BB360B"/>
    <w:rsid w:val="00BB3888"/>
    <w:rsid w:val="00BB38E2"/>
    <w:rsid w:val="00BB3901"/>
    <w:rsid w:val="00BB391F"/>
    <w:rsid w:val="00BB3971"/>
    <w:rsid w:val="00BB39CB"/>
    <w:rsid w:val="00BB3AA1"/>
    <w:rsid w:val="00BB3D0B"/>
    <w:rsid w:val="00BB3FAA"/>
    <w:rsid w:val="00BB3FB1"/>
    <w:rsid w:val="00BB4194"/>
    <w:rsid w:val="00BB41B6"/>
    <w:rsid w:val="00BB41B9"/>
    <w:rsid w:val="00BB42A6"/>
    <w:rsid w:val="00BB42D3"/>
    <w:rsid w:val="00BB4316"/>
    <w:rsid w:val="00BB433A"/>
    <w:rsid w:val="00BB437A"/>
    <w:rsid w:val="00BB43A6"/>
    <w:rsid w:val="00BB4A1F"/>
    <w:rsid w:val="00BB4A4F"/>
    <w:rsid w:val="00BB4BD7"/>
    <w:rsid w:val="00BB4C89"/>
    <w:rsid w:val="00BB4EE3"/>
    <w:rsid w:val="00BB5080"/>
    <w:rsid w:val="00BB5239"/>
    <w:rsid w:val="00BB5269"/>
    <w:rsid w:val="00BB52B6"/>
    <w:rsid w:val="00BB531C"/>
    <w:rsid w:val="00BB5600"/>
    <w:rsid w:val="00BB5705"/>
    <w:rsid w:val="00BB58C6"/>
    <w:rsid w:val="00BB5933"/>
    <w:rsid w:val="00BB5A92"/>
    <w:rsid w:val="00BB5CB0"/>
    <w:rsid w:val="00BB5E32"/>
    <w:rsid w:val="00BB5E34"/>
    <w:rsid w:val="00BB602A"/>
    <w:rsid w:val="00BB6321"/>
    <w:rsid w:val="00BB6487"/>
    <w:rsid w:val="00BB67C3"/>
    <w:rsid w:val="00BB6C9A"/>
    <w:rsid w:val="00BB74AE"/>
    <w:rsid w:val="00BB74C7"/>
    <w:rsid w:val="00BB74FF"/>
    <w:rsid w:val="00BB750E"/>
    <w:rsid w:val="00BB7527"/>
    <w:rsid w:val="00BB7678"/>
    <w:rsid w:val="00BB77F3"/>
    <w:rsid w:val="00BB78CC"/>
    <w:rsid w:val="00BB7A03"/>
    <w:rsid w:val="00BB7A57"/>
    <w:rsid w:val="00BB7C0A"/>
    <w:rsid w:val="00BB7C26"/>
    <w:rsid w:val="00BB7E91"/>
    <w:rsid w:val="00BB7F05"/>
    <w:rsid w:val="00BB7F7E"/>
    <w:rsid w:val="00BC008E"/>
    <w:rsid w:val="00BC0199"/>
    <w:rsid w:val="00BC035D"/>
    <w:rsid w:val="00BC07C0"/>
    <w:rsid w:val="00BC0957"/>
    <w:rsid w:val="00BC0DBB"/>
    <w:rsid w:val="00BC0E93"/>
    <w:rsid w:val="00BC0FE4"/>
    <w:rsid w:val="00BC1238"/>
    <w:rsid w:val="00BC1483"/>
    <w:rsid w:val="00BC149C"/>
    <w:rsid w:val="00BC14E7"/>
    <w:rsid w:val="00BC151E"/>
    <w:rsid w:val="00BC1584"/>
    <w:rsid w:val="00BC1710"/>
    <w:rsid w:val="00BC189D"/>
    <w:rsid w:val="00BC1B2C"/>
    <w:rsid w:val="00BC1CB2"/>
    <w:rsid w:val="00BC1D85"/>
    <w:rsid w:val="00BC1F05"/>
    <w:rsid w:val="00BC22C1"/>
    <w:rsid w:val="00BC235C"/>
    <w:rsid w:val="00BC249C"/>
    <w:rsid w:val="00BC24FC"/>
    <w:rsid w:val="00BC24FD"/>
    <w:rsid w:val="00BC2846"/>
    <w:rsid w:val="00BC2899"/>
    <w:rsid w:val="00BC2BCF"/>
    <w:rsid w:val="00BC2C21"/>
    <w:rsid w:val="00BC2D6A"/>
    <w:rsid w:val="00BC2DAB"/>
    <w:rsid w:val="00BC2DC7"/>
    <w:rsid w:val="00BC2E48"/>
    <w:rsid w:val="00BC2E4C"/>
    <w:rsid w:val="00BC3063"/>
    <w:rsid w:val="00BC31D9"/>
    <w:rsid w:val="00BC34A1"/>
    <w:rsid w:val="00BC3647"/>
    <w:rsid w:val="00BC3686"/>
    <w:rsid w:val="00BC390B"/>
    <w:rsid w:val="00BC3912"/>
    <w:rsid w:val="00BC39A2"/>
    <w:rsid w:val="00BC3B9D"/>
    <w:rsid w:val="00BC3C49"/>
    <w:rsid w:val="00BC3DA5"/>
    <w:rsid w:val="00BC3DB3"/>
    <w:rsid w:val="00BC3F8C"/>
    <w:rsid w:val="00BC3FCF"/>
    <w:rsid w:val="00BC4073"/>
    <w:rsid w:val="00BC413C"/>
    <w:rsid w:val="00BC41B3"/>
    <w:rsid w:val="00BC4257"/>
    <w:rsid w:val="00BC4264"/>
    <w:rsid w:val="00BC43A5"/>
    <w:rsid w:val="00BC43FD"/>
    <w:rsid w:val="00BC4449"/>
    <w:rsid w:val="00BC455C"/>
    <w:rsid w:val="00BC4621"/>
    <w:rsid w:val="00BC466A"/>
    <w:rsid w:val="00BC47D7"/>
    <w:rsid w:val="00BC48B1"/>
    <w:rsid w:val="00BC4AD6"/>
    <w:rsid w:val="00BC4B29"/>
    <w:rsid w:val="00BC4B6E"/>
    <w:rsid w:val="00BC4C8A"/>
    <w:rsid w:val="00BC4CE6"/>
    <w:rsid w:val="00BC4DA9"/>
    <w:rsid w:val="00BC4DE1"/>
    <w:rsid w:val="00BC532B"/>
    <w:rsid w:val="00BC5659"/>
    <w:rsid w:val="00BC56D2"/>
    <w:rsid w:val="00BC5800"/>
    <w:rsid w:val="00BC58AD"/>
    <w:rsid w:val="00BC5917"/>
    <w:rsid w:val="00BC5A72"/>
    <w:rsid w:val="00BC5B95"/>
    <w:rsid w:val="00BC5C1C"/>
    <w:rsid w:val="00BC5CA6"/>
    <w:rsid w:val="00BC5DE6"/>
    <w:rsid w:val="00BC5FC2"/>
    <w:rsid w:val="00BC600C"/>
    <w:rsid w:val="00BC621C"/>
    <w:rsid w:val="00BC623B"/>
    <w:rsid w:val="00BC624A"/>
    <w:rsid w:val="00BC6491"/>
    <w:rsid w:val="00BC64C9"/>
    <w:rsid w:val="00BC6594"/>
    <w:rsid w:val="00BC6595"/>
    <w:rsid w:val="00BC6603"/>
    <w:rsid w:val="00BC66E9"/>
    <w:rsid w:val="00BC68C6"/>
    <w:rsid w:val="00BC68FF"/>
    <w:rsid w:val="00BC6C6B"/>
    <w:rsid w:val="00BC6C72"/>
    <w:rsid w:val="00BC6D1E"/>
    <w:rsid w:val="00BC6D54"/>
    <w:rsid w:val="00BC710C"/>
    <w:rsid w:val="00BC7149"/>
    <w:rsid w:val="00BC716A"/>
    <w:rsid w:val="00BC71E3"/>
    <w:rsid w:val="00BC763B"/>
    <w:rsid w:val="00BC7705"/>
    <w:rsid w:val="00BC7725"/>
    <w:rsid w:val="00BC77D6"/>
    <w:rsid w:val="00BC77E2"/>
    <w:rsid w:val="00BC7827"/>
    <w:rsid w:val="00BC78DA"/>
    <w:rsid w:val="00BC7A05"/>
    <w:rsid w:val="00BC7AE2"/>
    <w:rsid w:val="00BC7C0D"/>
    <w:rsid w:val="00BC7EC2"/>
    <w:rsid w:val="00BD0194"/>
    <w:rsid w:val="00BD02A7"/>
    <w:rsid w:val="00BD041C"/>
    <w:rsid w:val="00BD0658"/>
    <w:rsid w:val="00BD066F"/>
    <w:rsid w:val="00BD06D5"/>
    <w:rsid w:val="00BD091E"/>
    <w:rsid w:val="00BD09C9"/>
    <w:rsid w:val="00BD09D7"/>
    <w:rsid w:val="00BD0AFB"/>
    <w:rsid w:val="00BD1121"/>
    <w:rsid w:val="00BD13A9"/>
    <w:rsid w:val="00BD1870"/>
    <w:rsid w:val="00BD1B01"/>
    <w:rsid w:val="00BD1B3B"/>
    <w:rsid w:val="00BD1BB5"/>
    <w:rsid w:val="00BD1BF0"/>
    <w:rsid w:val="00BD1CDE"/>
    <w:rsid w:val="00BD1DC3"/>
    <w:rsid w:val="00BD1F01"/>
    <w:rsid w:val="00BD2026"/>
    <w:rsid w:val="00BD21D8"/>
    <w:rsid w:val="00BD244D"/>
    <w:rsid w:val="00BD256C"/>
    <w:rsid w:val="00BD258B"/>
    <w:rsid w:val="00BD270B"/>
    <w:rsid w:val="00BD28F5"/>
    <w:rsid w:val="00BD2915"/>
    <w:rsid w:val="00BD292B"/>
    <w:rsid w:val="00BD2984"/>
    <w:rsid w:val="00BD29FB"/>
    <w:rsid w:val="00BD2DD8"/>
    <w:rsid w:val="00BD2E81"/>
    <w:rsid w:val="00BD2EA4"/>
    <w:rsid w:val="00BD2F3F"/>
    <w:rsid w:val="00BD3133"/>
    <w:rsid w:val="00BD3218"/>
    <w:rsid w:val="00BD3308"/>
    <w:rsid w:val="00BD340C"/>
    <w:rsid w:val="00BD348E"/>
    <w:rsid w:val="00BD35C3"/>
    <w:rsid w:val="00BD36CC"/>
    <w:rsid w:val="00BD3736"/>
    <w:rsid w:val="00BD38B1"/>
    <w:rsid w:val="00BD3994"/>
    <w:rsid w:val="00BD3A7E"/>
    <w:rsid w:val="00BD3ADC"/>
    <w:rsid w:val="00BD3C8D"/>
    <w:rsid w:val="00BD3D8A"/>
    <w:rsid w:val="00BD3E56"/>
    <w:rsid w:val="00BD3EAF"/>
    <w:rsid w:val="00BD3F74"/>
    <w:rsid w:val="00BD3FD4"/>
    <w:rsid w:val="00BD410F"/>
    <w:rsid w:val="00BD4305"/>
    <w:rsid w:val="00BD440E"/>
    <w:rsid w:val="00BD45CD"/>
    <w:rsid w:val="00BD470A"/>
    <w:rsid w:val="00BD4BC1"/>
    <w:rsid w:val="00BD4D98"/>
    <w:rsid w:val="00BD4E0F"/>
    <w:rsid w:val="00BD4F73"/>
    <w:rsid w:val="00BD50CC"/>
    <w:rsid w:val="00BD50EA"/>
    <w:rsid w:val="00BD5157"/>
    <w:rsid w:val="00BD5241"/>
    <w:rsid w:val="00BD52B5"/>
    <w:rsid w:val="00BD553F"/>
    <w:rsid w:val="00BD5727"/>
    <w:rsid w:val="00BD582B"/>
    <w:rsid w:val="00BD5886"/>
    <w:rsid w:val="00BD59D2"/>
    <w:rsid w:val="00BD5ADE"/>
    <w:rsid w:val="00BD5CDD"/>
    <w:rsid w:val="00BD5CF0"/>
    <w:rsid w:val="00BD5D34"/>
    <w:rsid w:val="00BD5E7E"/>
    <w:rsid w:val="00BD62E4"/>
    <w:rsid w:val="00BD649E"/>
    <w:rsid w:val="00BD6546"/>
    <w:rsid w:val="00BD6591"/>
    <w:rsid w:val="00BD65BC"/>
    <w:rsid w:val="00BD6624"/>
    <w:rsid w:val="00BD6640"/>
    <w:rsid w:val="00BD69B6"/>
    <w:rsid w:val="00BD6B03"/>
    <w:rsid w:val="00BD6E4F"/>
    <w:rsid w:val="00BD6F9F"/>
    <w:rsid w:val="00BD6FC7"/>
    <w:rsid w:val="00BD6FF3"/>
    <w:rsid w:val="00BD70B8"/>
    <w:rsid w:val="00BD715C"/>
    <w:rsid w:val="00BD71C9"/>
    <w:rsid w:val="00BD74D2"/>
    <w:rsid w:val="00BD7577"/>
    <w:rsid w:val="00BD7599"/>
    <w:rsid w:val="00BD7601"/>
    <w:rsid w:val="00BD7C60"/>
    <w:rsid w:val="00BD7E2D"/>
    <w:rsid w:val="00BD7F77"/>
    <w:rsid w:val="00BE0265"/>
    <w:rsid w:val="00BE0273"/>
    <w:rsid w:val="00BE03CE"/>
    <w:rsid w:val="00BE0409"/>
    <w:rsid w:val="00BE04FD"/>
    <w:rsid w:val="00BE0911"/>
    <w:rsid w:val="00BE094B"/>
    <w:rsid w:val="00BE0956"/>
    <w:rsid w:val="00BE0AD6"/>
    <w:rsid w:val="00BE0C49"/>
    <w:rsid w:val="00BE0D2A"/>
    <w:rsid w:val="00BE0D70"/>
    <w:rsid w:val="00BE0FF5"/>
    <w:rsid w:val="00BE10FC"/>
    <w:rsid w:val="00BE1566"/>
    <w:rsid w:val="00BE1628"/>
    <w:rsid w:val="00BE18CC"/>
    <w:rsid w:val="00BE1A30"/>
    <w:rsid w:val="00BE1B75"/>
    <w:rsid w:val="00BE1BD6"/>
    <w:rsid w:val="00BE1C09"/>
    <w:rsid w:val="00BE1D59"/>
    <w:rsid w:val="00BE1E22"/>
    <w:rsid w:val="00BE1E64"/>
    <w:rsid w:val="00BE1F02"/>
    <w:rsid w:val="00BE2086"/>
    <w:rsid w:val="00BE2119"/>
    <w:rsid w:val="00BE215D"/>
    <w:rsid w:val="00BE224C"/>
    <w:rsid w:val="00BE23B6"/>
    <w:rsid w:val="00BE24F3"/>
    <w:rsid w:val="00BE2529"/>
    <w:rsid w:val="00BE31D0"/>
    <w:rsid w:val="00BE34DE"/>
    <w:rsid w:val="00BE3707"/>
    <w:rsid w:val="00BE3780"/>
    <w:rsid w:val="00BE3A29"/>
    <w:rsid w:val="00BE3B67"/>
    <w:rsid w:val="00BE3C51"/>
    <w:rsid w:val="00BE3DAC"/>
    <w:rsid w:val="00BE3E7E"/>
    <w:rsid w:val="00BE3F4D"/>
    <w:rsid w:val="00BE4048"/>
    <w:rsid w:val="00BE4089"/>
    <w:rsid w:val="00BE417D"/>
    <w:rsid w:val="00BE43D9"/>
    <w:rsid w:val="00BE4701"/>
    <w:rsid w:val="00BE4A61"/>
    <w:rsid w:val="00BE4C07"/>
    <w:rsid w:val="00BE4C17"/>
    <w:rsid w:val="00BE4C85"/>
    <w:rsid w:val="00BE503F"/>
    <w:rsid w:val="00BE5050"/>
    <w:rsid w:val="00BE52E3"/>
    <w:rsid w:val="00BE53AB"/>
    <w:rsid w:val="00BE5611"/>
    <w:rsid w:val="00BE5889"/>
    <w:rsid w:val="00BE5AB3"/>
    <w:rsid w:val="00BE5B73"/>
    <w:rsid w:val="00BE5CB1"/>
    <w:rsid w:val="00BE5D81"/>
    <w:rsid w:val="00BE5DD2"/>
    <w:rsid w:val="00BE5E6A"/>
    <w:rsid w:val="00BE5E98"/>
    <w:rsid w:val="00BE5EEE"/>
    <w:rsid w:val="00BE5F23"/>
    <w:rsid w:val="00BE60CE"/>
    <w:rsid w:val="00BE61B0"/>
    <w:rsid w:val="00BE61D1"/>
    <w:rsid w:val="00BE63C6"/>
    <w:rsid w:val="00BE63E0"/>
    <w:rsid w:val="00BE6405"/>
    <w:rsid w:val="00BE645E"/>
    <w:rsid w:val="00BE6505"/>
    <w:rsid w:val="00BE657A"/>
    <w:rsid w:val="00BE661D"/>
    <w:rsid w:val="00BE6B04"/>
    <w:rsid w:val="00BE6C3F"/>
    <w:rsid w:val="00BE6D5E"/>
    <w:rsid w:val="00BE6E6C"/>
    <w:rsid w:val="00BE6FEA"/>
    <w:rsid w:val="00BE7141"/>
    <w:rsid w:val="00BE7443"/>
    <w:rsid w:val="00BE7618"/>
    <w:rsid w:val="00BE77AF"/>
    <w:rsid w:val="00BE7A85"/>
    <w:rsid w:val="00BE7C3D"/>
    <w:rsid w:val="00BE7C41"/>
    <w:rsid w:val="00BE7CDD"/>
    <w:rsid w:val="00BE7F8B"/>
    <w:rsid w:val="00BE7FFE"/>
    <w:rsid w:val="00BF00F0"/>
    <w:rsid w:val="00BF02D2"/>
    <w:rsid w:val="00BF0316"/>
    <w:rsid w:val="00BF037A"/>
    <w:rsid w:val="00BF0402"/>
    <w:rsid w:val="00BF04C7"/>
    <w:rsid w:val="00BF07BE"/>
    <w:rsid w:val="00BF0802"/>
    <w:rsid w:val="00BF0878"/>
    <w:rsid w:val="00BF0B70"/>
    <w:rsid w:val="00BF0EA9"/>
    <w:rsid w:val="00BF0EC2"/>
    <w:rsid w:val="00BF0F0E"/>
    <w:rsid w:val="00BF0FC6"/>
    <w:rsid w:val="00BF118A"/>
    <w:rsid w:val="00BF121E"/>
    <w:rsid w:val="00BF12FF"/>
    <w:rsid w:val="00BF1302"/>
    <w:rsid w:val="00BF1398"/>
    <w:rsid w:val="00BF13A7"/>
    <w:rsid w:val="00BF14DC"/>
    <w:rsid w:val="00BF1513"/>
    <w:rsid w:val="00BF1596"/>
    <w:rsid w:val="00BF1597"/>
    <w:rsid w:val="00BF17F7"/>
    <w:rsid w:val="00BF1948"/>
    <w:rsid w:val="00BF19F8"/>
    <w:rsid w:val="00BF1A04"/>
    <w:rsid w:val="00BF1DA2"/>
    <w:rsid w:val="00BF1E31"/>
    <w:rsid w:val="00BF1E89"/>
    <w:rsid w:val="00BF1EA7"/>
    <w:rsid w:val="00BF1EC3"/>
    <w:rsid w:val="00BF216D"/>
    <w:rsid w:val="00BF22AD"/>
    <w:rsid w:val="00BF22E9"/>
    <w:rsid w:val="00BF2308"/>
    <w:rsid w:val="00BF2519"/>
    <w:rsid w:val="00BF254D"/>
    <w:rsid w:val="00BF2947"/>
    <w:rsid w:val="00BF29A6"/>
    <w:rsid w:val="00BF2BB5"/>
    <w:rsid w:val="00BF2BBC"/>
    <w:rsid w:val="00BF2C3A"/>
    <w:rsid w:val="00BF2C65"/>
    <w:rsid w:val="00BF2D8B"/>
    <w:rsid w:val="00BF2DF8"/>
    <w:rsid w:val="00BF2E94"/>
    <w:rsid w:val="00BF2F57"/>
    <w:rsid w:val="00BF3129"/>
    <w:rsid w:val="00BF3280"/>
    <w:rsid w:val="00BF3485"/>
    <w:rsid w:val="00BF3716"/>
    <w:rsid w:val="00BF3797"/>
    <w:rsid w:val="00BF3901"/>
    <w:rsid w:val="00BF3A49"/>
    <w:rsid w:val="00BF3BB1"/>
    <w:rsid w:val="00BF3D0D"/>
    <w:rsid w:val="00BF3D43"/>
    <w:rsid w:val="00BF3FD2"/>
    <w:rsid w:val="00BF3FEE"/>
    <w:rsid w:val="00BF415E"/>
    <w:rsid w:val="00BF41DA"/>
    <w:rsid w:val="00BF4205"/>
    <w:rsid w:val="00BF4299"/>
    <w:rsid w:val="00BF44E0"/>
    <w:rsid w:val="00BF4624"/>
    <w:rsid w:val="00BF4791"/>
    <w:rsid w:val="00BF4866"/>
    <w:rsid w:val="00BF48EB"/>
    <w:rsid w:val="00BF4D7E"/>
    <w:rsid w:val="00BF527E"/>
    <w:rsid w:val="00BF5313"/>
    <w:rsid w:val="00BF55A9"/>
    <w:rsid w:val="00BF56D1"/>
    <w:rsid w:val="00BF599F"/>
    <w:rsid w:val="00BF5A6C"/>
    <w:rsid w:val="00BF5B9B"/>
    <w:rsid w:val="00BF5BCE"/>
    <w:rsid w:val="00BF5C1A"/>
    <w:rsid w:val="00BF5C60"/>
    <w:rsid w:val="00BF5C6C"/>
    <w:rsid w:val="00BF5F44"/>
    <w:rsid w:val="00BF606B"/>
    <w:rsid w:val="00BF610B"/>
    <w:rsid w:val="00BF626D"/>
    <w:rsid w:val="00BF6297"/>
    <w:rsid w:val="00BF63F1"/>
    <w:rsid w:val="00BF6602"/>
    <w:rsid w:val="00BF66C5"/>
    <w:rsid w:val="00BF66F3"/>
    <w:rsid w:val="00BF686C"/>
    <w:rsid w:val="00BF6A92"/>
    <w:rsid w:val="00BF6ABA"/>
    <w:rsid w:val="00BF6BD4"/>
    <w:rsid w:val="00BF6DC9"/>
    <w:rsid w:val="00BF6E4A"/>
    <w:rsid w:val="00BF6F3C"/>
    <w:rsid w:val="00BF6FE9"/>
    <w:rsid w:val="00BF724A"/>
    <w:rsid w:val="00BF72F6"/>
    <w:rsid w:val="00BF7347"/>
    <w:rsid w:val="00BF743D"/>
    <w:rsid w:val="00BF74B3"/>
    <w:rsid w:val="00BF74E4"/>
    <w:rsid w:val="00BF756E"/>
    <w:rsid w:val="00BF764D"/>
    <w:rsid w:val="00BF772C"/>
    <w:rsid w:val="00BF7893"/>
    <w:rsid w:val="00BF79AA"/>
    <w:rsid w:val="00BF79BC"/>
    <w:rsid w:val="00BF7F47"/>
    <w:rsid w:val="00BF7FAE"/>
    <w:rsid w:val="00BF7FF5"/>
    <w:rsid w:val="00C00118"/>
    <w:rsid w:val="00C001DF"/>
    <w:rsid w:val="00C0021C"/>
    <w:rsid w:val="00C0044F"/>
    <w:rsid w:val="00C005EB"/>
    <w:rsid w:val="00C00639"/>
    <w:rsid w:val="00C00781"/>
    <w:rsid w:val="00C00887"/>
    <w:rsid w:val="00C00A92"/>
    <w:rsid w:val="00C00B2D"/>
    <w:rsid w:val="00C00CE5"/>
    <w:rsid w:val="00C00DEA"/>
    <w:rsid w:val="00C00EB9"/>
    <w:rsid w:val="00C00F9B"/>
    <w:rsid w:val="00C0106D"/>
    <w:rsid w:val="00C01144"/>
    <w:rsid w:val="00C011C0"/>
    <w:rsid w:val="00C015C5"/>
    <w:rsid w:val="00C019C8"/>
    <w:rsid w:val="00C01AF2"/>
    <w:rsid w:val="00C01BDD"/>
    <w:rsid w:val="00C01DDD"/>
    <w:rsid w:val="00C01FF4"/>
    <w:rsid w:val="00C0200D"/>
    <w:rsid w:val="00C02046"/>
    <w:rsid w:val="00C020F7"/>
    <w:rsid w:val="00C0218F"/>
    <w:rsid w:val="00C021F0"/>
    <w:rsid w:val="00C025F8"/>
    <w:rsid w:val="00C0284B"/>
    <w:rsid w:val="00C028B0"/>
    <w:rsid w:val="00C02C50"/>
    <w:rsid w:val="00C02DBC"/>
    <w:rsid w:val="00C02E5B"/>
    <w:rsid w:val="00C03119"/>
    <w:rsid w:val="00C0325D"/>
    <w:rsid w:val="00C03379"/>
    <w:rsid w:val="00C033CC"/>
    <w:rsid w:val="00C03437"/>
    <w:rsid w:val="00C0360F"/>
    <w:rsid w:val="00C03699"/>
    <w:rsid w:val="00C0382B"/>
    <w:rsid w:val="00C039B2"/>
    <w:rsid w:val="00C03BDC"/>
    <w:rsid w:val="00C03C62"/>
    <w:rsid w:val="00C03E3F"/>
    <w:rsid w:val="00C03FE6"/>
    <w:rsid w:val="00C04193"/>
    <w:rsid w:val="00C043F3"/>
    <w:rsid w:val="00C0471E"/>
    <w:rsid w:val="00C04BA9"/>
    <w:rsid w:val="00C04BB5"/>
    <w:rsid w:val="00C04C0E"/>
    <w:rsid w:val="00C04F73"/>
    <w:rsid w:val="00C05026"/>
    <w:rsid w:val="00C05329"/>
    <w:rsid w:val="00C053B7"/>
    <w:rsid w:val="00C05476"/>
    <w:rsid w:val="00C054A0"/>
    <w:rsid w:val="00C0555A"/>
    <w:rsid w:val="00C05691"/>
    <w:rsid w:val="00C058D9"/>
    <w:rsid w:val="00C05AD7"/>
    <w:rsid w:val="00C05B36"/>
    <w:rsid w:val="00C05C0A"/>
    <w:rsid w:val="00C05CEC"/>
    <w:rsid w:val="00C05EBB"/>
    <w:rsid w:val="00C05EFC"/>
    <w:rsid w:val="00C05FDE"/>
    <w:rsid w:val="00C061D9"/>
    <w:rsid w:val="00C06416"/>
    <w:rsid w:val="00C0667F"/>
    <w:rsid w:val="00C066C6"/>
    <w:rsid w:val="00C066F1"/>
    <w:rsid w:val="00C06871"/>
    <w:rsid w:val="00C06987"/>
    <w:rsid w:val="00C069DD"/>
    <w:rsid w:val="00C06BA9"/>
    <w:rsid w:val="00C06E04"/>
    <w:rsid w:val="00C06F00"/>
    <w:rsid w:val="00C06FE3"/>
    <w:rsid w:val="00C0717C"/>
    <w:rsid w:val="00C0721D"/>
    <w:rsid w:val="00C0736E"/>
    <w:rsid w:val="00C0738E"/>
    <w:rsid w:val="00C07545"/>
    <w:rsid w:val="00C07646"/>
    <w:rsid w:val="00C076B2"/>
    <w:rsid w:val="00C076EF"/>
    <w:rsid w:val="00C0773C"/>
    <w:rsid w:val="00C0784E"/>
    <w:rsid w:val="00C0789A"/>
    <w:rsid w:val="00C07AC2"/>
    <w:rsid w:val="00C07B31"/>
    <w:rsid w:val="00C07C06"/>
    <w:rsid w:val="00C07C15"/>
    <w:rsid w:val="00C07D5B"/>
    <w:rsid w:val="00C07DFC"/>
    <w:rsid w:val="00C07E2C"/>
    <w:rsid w:val="00C1001C"/>
    <w:rsid w:val="00C1009D"/>
    <w:rsid w:val="00C103C0"/>
    <w:rsid w:val="00C10624"/>
    <w:rsid w:val="00C106F3"/>
    <w:rsid w:val="00C10804"/>
    <w:rsid w:val="00C10992"/>
    <w:rsid w:val="00C10A59"/>
    <w:rsid w:val="00C10D0E"/>
    <w:rsid w:val="00C10E4D"/>
    <w:rsid w:val="00C11494"/>
    <w:rsid w:val="00C11818"/>
    <w:rsid w:val="00C1198B"/>
    <w:rsid w:val="00C11A8E"/>
    <w:rsid w:val="00C11AE3"/>
    <w:rsid w:val="00C11D91"/>
    <w:rsid w:val="00C11E32"/>
    <w:rsid w:val="00C11F4D"/>
    <w:rsid w:val="00C120A7"/>
    <w:rsid w:val="00C120B6"/>
    <w:rsid w:val="00C12139"/>
    <w:rsid w:val="00C121E6"/>
    <w:rsid w:val="00C125B5"/>
    <w:rsid w:val="00C125D7"/>
    <w:rsid w:val="00C125F2"/>
    <w:rsid w:val="00C129E1"/>
    <w:rsid w:val="00C12A41"/>
    <w:rsid w:val="00C12AB4"/>
    <w:rsid w:val="00C12C61"/>
    <w:rsid w:val="00C12D51"/>
    <w:rsid w:val="00C12FAD"/>
    <w:rsid w:val="00C1309C"/>
    <w:rsid w:val="00C13338"/>
    <w:rsid w:val="00C1346F"/>
    <w:rsid w:val="00C135C5"/>
    <w:rsid w:val="00C13631"/>
    <w:rsid w:val="00C1372B"/>
    <w:rsid w:val="00C13779"/>
    <w:rsid w:val="00C138FB"/>
    <w:rsid w:val="00C139AA"/>
    <w:rsid w:val="00C13A50"/>
    <w:rsid w:val="00C13BB6"/>
    <w:rsid w:val="00C13C85"/>
    <w:rsid w:val="00C13C8A"/>
    <w:rsid w:val="00C13D4A"/>
    <w:rsid w:val="00C13DAB"/>
    <w:rsid w:val="00C13F47"/>
    <w:rsid w:val="00C13FA1"/>
    <w:rsid w:val="00C13FBD"/>
    <w:rsid w:val="00C13FD0"/>
    <w:rsid w:val="00C14044"/>
    <w:rsid w:val="00C1432A"/>
    <w:rsid w:val="00C144AD"/>
    <w:rsid w:val="00C145C8"/>
    <w:rsid w:val="00C146A4"/>
    <w:rsid w:val="00C146F3"/>
    <w:rsid w:val="00C14A12"/>
    <w:rsid w:val="00C14BE9"/>
    <w:rsid w:val="00C14BFA"/>
    <w:rsid w:val="00C14C02"/>
    <w:rsid w:val="00C14ED0"/>
    <w:rsid w:val="00C14EF5"/>
    <w:rsid w:val="00C14F05"/>
    <w:rsid w:val="00C1511A"/>
    <w:rsid w:val="00C15163"/>
    <w:rsid w:val="00C1538B"/>
    <w:rsid w:val="00C153C2"/>
    <w:rsid w:val="00C15515"/>
    <w:rsid w:val="00C155EE"/>
    <w:rsid w:val="00C15956"/>
    <w:rsid w:val="00C1598C"/>
    <w:rsid w:val="00C15C03"/>
    <w:rsid w:val="00C15E59"/>
    <w:rsid w:val="00C15FC6"/>
    <w:rsid w:val="00C15FEA"/>
    <w:rsid w:val="00C16085"/>
    <w:rsid w:val="00C161BB"/>
    <w:rsid w:val="00C16238"/>
    <w:rsid w:val="00C1632D"/>
    <w:rsid w:val="00C16566"/>
    <w:rsid w:val="00C165A0"/>
    <w:rsid w:val="00C1665F"/>
    <w:rsid w:val="00C16699"/>
    <w:rsid w:val="00C16A1A"/>
    <w:rsid w:val="00C16CBC"/>
    <w:rsid w:val="00C16D0B"/>
    <w:rsid w:val="00C16E44"/>
    <w:rsid w:val="00C16E4E"/>
    <w:rsid w:val="00C16F49"/>
    <w:rsid w:val="00C17254"/>
    <w:rsid w:val="00C172BB"/>
    <w:rsid w:val="00C172F7"/>
    <w:rsid w:val="00C173D0"/>
    <w:rsid w:val="00C17432"/>
    <w:rsid w:val="00C174D4"/>
    <w:rsid w:val="00C17ABE"/>
    <w:rsid w:val="00C17AC5"/>
    <w:rsid w:val="00C17B5E"/>
    <w:rsid w:val="00C17CD6"/>
    <w:rsid w:val="00C17F4A"/>
    <w:rsid w:val="00C17FCB"/>
    <w:rsid w:val="00C2007F"/>
    <w:rsid w:val="00C20325"/>
    <w:rsid w:val="00C20643"/>
    <w:rsid w:val="00C20691"/>
    <w:rsid w:val="00C207F9"/>
    <w:rsid w:val="00C209B0"/>
    <w:rsid w:val="00C20D00"/>
    <w:rsid w:val="00C20E3B"/>
    <w:rsid w:val="00C20E81"/>
    <w:rsid w:val="00C2103E"/>
    <w:rsid w:val="00C210EB"/>
    <w:rsid w:val="00C210F7"/>
    <w:rsid w:val="00C211C4"/>
    <w:rsid w:val="00C211E8"/>
    <w:rsid w:val="00C21218"/>
    <w:rsid w:val="00C21307"/>
    <w:rsid w:val="00C213B2"/>
    <w:rsid w:val="00C213B7"/>
    <w:rsid w:val="00C2143A"/>
    <w:rsid w:val="00C215E3"/>
    <w:rsid w:val="00C216AB"/>
    <w:rsid w:val="00C216CD"/>
    <w:rsid w:val="00C216EA"/>
    <w:rsid w:val="00C21A97"/>
    <w:rsid w:val="00C21BAA"/>
    <w:rsid w:val="00C21E1D"/>
    <w:rsid w:val="00C220A6"/>
    <w:rsid w:val="00C220E8"/>
    <w:rsid w:val="00C222DF"/>
    <w:rsid w:val="00C224EA"/>
    <w:rsid w:val="00C225FC"/>
    <w:rsid w:val="00C22921"/>
    <w:rsid w:val="00C22944"/>
    <w:rsid w:val="00C2295F"/>
    <w:rsid w:val="00C22AD7"/>
    <w:rsid w:val="00C22C74"/>
    <w:rsid w:val="00C22C83"/>
    <w:rsid w:val="00C22D41"/>
    <w:rsid w:val="00C22DAE"/>
    <w:rsid w:val="00C22EE3"/>
    <w:rsid w:val="00C22F96"/>
    <w:rsid w:val="00C23042"/>
    <w:rsid w:val="00C2331D"/>
    <w:rsid w:val="00C2341A"/>
    <w:rsid w:val="00C23613"/>
    <w:rsid w:val="00C2365D"/>
    <w:rsid w:val="00C23C45"/>
    <w:rsid w:val="00C23DE2"/>
    <w:rsid w:val="00C23F8B"/>
    <w:rsid w:val="00C2410E"/>
    <w:rsid w:val="00C2425B"/>
    <w:rsid w:val="00C244B5"/>
    <w:rsid w:val="00C244F7"/>
    <w:rsid w:val="00C24786"/>
    <w:rsid w:val="00C24861"/>
    <w:rsid w:val="00C248AC"/>
    <w:rsid w:val="00C24D50"/>
    <w:rsid w:val="00C24D7B"/>
    <w:rsid w:val="00C24DCE"/>
    <w:rsid w:val="00C24E60"/>
    <w:rsid w:val="00C24F56"/>
    <w:rsid w:val="00C25179"/>
    <w:rsid w:val="00C254B0"/>
    <w:rsid w:val="00C254B1"/>
    <w:rsid w:val="00C254F3"/>
    <w:rsid w:val="00C25824"/>
    <w:rsid w:val="00C25921"/>
    <w:rsid w:val="00C25A56"/>
    <w:rsid w:val="00C25D04"/>
    <w:rsid w:val="00C25D97"/>
    <w:rsid w:val="00C25DF0"/>
    <w:rsid w:val="00C25DF5"/>
    <w:rsid w:val="00C25E19"/>
    <w:rsid w:val="00C25E39"/>
    <w:rsid w:val="00C25EC8"/>
    <w:rsid w:val="00C25F97"/>
    <w:rsid w:val="00C261A3"/>
    <w:rsid w:val="00C26264"/>
    <w:rsid w:val="00C265AC"/>
    <w:rsid w:val="00C26826"/>
    <w:rsid w:val="00C268CC"/>
    <w:rsid w:val="00C268FC"/>
    <w:rsid w:val="00C26956"/>
    <w:rsid w:val="00C269C2"/>
    <w:rsid w:val="00C269E2"/>
    <w:rsid w:val="00C26AAD"/>
    <w:rsid w:val="00C26C09"/>
    <w:rsid w:val="00C26D98"/>
    <w:rsid w:val="00C26EFD"/>
    <w:rsid w:val="00C26F3D"/>
    <w:rsid w:val="00C271B8"/>
    <w:rsid w:val="00C27236"/>
    <w:rsid w:val="00C27609"/>
    <w:rsid w:val="00C2762B"/>
    <w:rsid w:val="00C2774A"/>
    <w:rsid w:val="00C27A08"/>
    <w:rsid w:val="00C27B2E"/>
    <w:rsid w:val="00C27DF1"/>
    <w:rsid w:val="00C27E39"/>
    <w:rsid w:val="00C27EB4"/>
    <w:rsid w:val="00C27EF0"/>
    <w:rsid w:val="00C27F4B"/>
    <w:rsid w:val="00C27FFA"/>
    <w:rsid w:val="00C300D5"/>
    <w:rsid w:val="00C30459"/>
    <w:rsid w:val="00C304B7"/>
    <w:rsid w:val="00C3058C"/>
    <w:rsid w:val="00C305CF"/>
    <w:rsid w:val="00C3086C"/>
    <w:rsid w:val="00C30984"/>
    <w:rsid w:val="00C309D6"/>
    <w:rsid w:val="00C30ACB"/>
    <w:rsid w:val="00C30BAF"/>
    <w:rsid w:val="00C30BEA"/>
    <w:rsid w:val="00C30CB3"/>
    <w:rsid w:val="00C30E93"/>
    <w:rsid w:val="00C31263"/>
    <w:rsid w:val="00C3130E"/>
    <w:rsid w:val="00C3132A"/>
    <w:rsid w:val="00C3144B"/>
    <w:rsid w:val="00C31478"/>
    <w:rsid w:val="00C314B7"/>
    <w:rsid w:val="00C314C5"/>
    <w:rsid w:val="00C315F7"/>
    <w:rsid w:val="00C31823"/>
    <w:rsid w:val="00C318B3"/>
    <w:rsid w:val="00C31C43"/>
    <w:rsid w:val="00C31CD2"/>
    <w:rsid w:val="00C32168"/>
    <w:rsid w:val="00C3248C"/>
    <w:rsid w:val="00C324B1"/>
    <w:rsid w:val="00C32618"/>
    <w:rsid w:val="00C32721"/>
    <w:rsid w:val="00C3280B"/>
    <w:rsid w:val="00C32848"/>
    <w:rsid w:val="00C329B6"/>
    <w:rsid w:val="00C329FF"/>
    <w:rsid w:val="00C32C07"/>
    <w:rsid w:val="00C32C3C"/>
    <w:rsid w:val="00C32C99"/>
    <w:rsid w:val="00C32CB1"/>
    <w:rsid w:val="00C32D50"/>
    <w:rsid w:val="00C32DBB"/>
    <w:rsid w:val="00C32DE8"/>
    <w:rsid w:val="00C32E08"/>
    <w:rsid w:val="00C32F0C"/>
    <w:rsid w:val="00C32F5E"/>
    <w:rsid w:val="00C331A4"/>
    <w:rsid w:val="00C3330F"/>
    <w:rsid w:val="00C3337F"/>
    <w:rsid w:val="00C3339E"/>
    <w:rsid w:val="00C33423"/>
    <w:rsid w:val="00C33551"/>
    <w:rsid w:val="00C33742"/>
    <w:rsid w:val="00C337AD"/>
    <w:rsid w:val="00C3396A"/>
    <w:rsid w:val="00C339AB"/>
    <w:rsid w:val="00C33A1E"/>
    <w:rsid w:val="00C33AFD"/>
    <w:rsid w:val="00C33C10"/>
    <w:rsid w:val="00C340FC"/>
    <w:rsid w:val="00C3424F"/>
    <w:rsid w:val="00C34263"/>
    <w:rsid w:val="00C3449E"/>
    <w:rsid w:val="00C344C1"/>
    <w:rsid w:val="00C344FB"/>
    <w:rsid w:val="00C345D6"/>
    <w:rsid w:val="00C3482D"/>
    <w:rsid w:val="00C34A22"/>
    <w:rsid w:val="00C34AB2"/>
    <w:rsid w:val="00C34AC3"/>
    <w:rsid w:val="00C34C6C"/>
    <w:rsid w:val="00C34D2B"/>
    <w:rsid w:val="00C34D5D"/>
    <w:rsid w:val="00C34EA8"/>
    <w:rsid w:val="00C34EBC"/>
    <w:rsid w:val="00C35084"/>
    <w:rsid w:val="00C35112"/>
    <w:rsid w:val="00C35179"/>
    <w:rsid w:val="00C352C2"/>
    <w:rsid w:val="00C3538A"/>
    <w:rsid w:val="00C35857"/>
    <w:rsid w:val="00C3590B"/>
    <w:rsid w:val="00C35958"/>
    <w:rsid w:val="00C35A9F"/>
    <w:rsid w:val="00C35BB6"/>
    <w:rsid w:val="00C35C37"/>
    <w:rsid w:val="00C35F82"/>
    <w:rsid w:val="00C36065"/>
    <w:rsid w:val="00C360BB"/>
    <w:rsid w:val="00C36278"/>
    <w:rsid w:val="00C36318"/>
    <w:rsid w:val="00C363BD"/>
    <w:rsid w:val="00C363D4"/>
    <w:rsid w:val="00C36445"/>
    <w:rsid w:val="00C365B3"/>
    <w:rsid w:val="00C365DE"/>
    <w:rsid w:val="00C3665C"/>
    <w:rsid w:val="00C36786"/>
    <w:rsid w:val="00C36DB5"/>
    <w:rsid w:val="00C36DE1"/>
    <w:rsid w:val="00C36F89"/>
    <w:rsid w:val="00C370CC"/>
    <w:rsid w:val="00C37232"/>
    <w:rsid w:val="00C37290"/>
    <w:rsid w:val="00C3734F"/>
    <w:rsid w:val="00C37684"/>
    <w:rsid w:val="00C37696"/>
    <w:rsid w:val="00C377C7"/>
    <w:rsid w:val="00C378E9"/>
    <w:rsid w:val="00C37A2A"/>
    <w:rsid w:val="00C37B05"/>
    <w:rsid w:val="00C37E25"/>
    <w:rsid w:val="00C37FB4"/>
    <w:rsid w:val="00C37FDD"/>
    <w:rsid w:val="00C4002B"/>
    <w:rsid w:val="00C4006A"/>
    <w:rsid w:val="00C400E3"/>
    <w:rsid w:val="00C401A8"/>
    <w:rsid w:val="00C403EB"/>
    <w:rsid w:val="00C4055F"/>
    <w:rsid w:val="00C40607"/>
    <w:rsid w:val="00C40635"/>
    <w:rsid w:val="00C40724"/>
    <w:rsid w:val="00C4084B"/>
    <w:rsid w:val="00C408CE"/>
    <w:rsid w:val="00C4095B"/>
    <w:rsid w:val="00C40D5E"/>
    <w:rsid w:val="00C40D87"/>
    <w:rsid w:val="00C40E8F"/>
    <w:rsid w:val="00C40F27"/>
    <w:rsid w:val="00C40F65"/>
    <w:rsid w:val="00C41183"/>
    <w:rsid w:val="00C412E3"/>
    <w:rsid w:val="00C41308"/>
    <w:rsid w:val="00C41337"/>
    <w:rsid w:val="00C414F5"/>
    <w:rsid w:val="00C4154A"/>
    <w:rsid w:val="00C415F9"/>
    <w:rsid w:val="00C41600"/>
    <w:rsid w:val="00C417A5"/>
    <w:rsid w:val="00C41A5D"/>
    <w:rsid w:val="00C41B03"/>
    <w:rsid w:val="00C41B2E"/>
    <w:rsid w:val="00C41B80"/>
    <w:rsid w:val="00C41F15"/>
    <w:rsid w:val="00C41F2A"/>
    <w:rsid w:val="00C4217A"/>
    <w:rsid w:val="00C421EB"/>
    <w:rsid w:val="00C422E0"/>
    <w:rsid w:val="00C422F6"/>
    <w:rsid w:val="00C42346"/>
    <w:rsid w:val="00C42385"/>
    <w:rsid w:val="00C4243E"/>
    <w:rsid w:val="00C42527"/>
    <w:rsid w:val="00C42529"/>
    <w:rsid w:val="00C42673"/>
    <w:rsid w:val="00C4273B"/>
    <w:rsid w:val="00C42741"/>
    <w:rsid w:val="00C42760"/>
    <w:rsid w:val="00C4281E"/>
    <w:rsid w:val="00C4284B"/>
    <w:rsid w:val="00C42C93"/>
    <w:rsid w:val="00C42FAD"/>
    <w:rsid w:val="00C43034"/>
    <w:rsid w:val="00C43147"/>
    <w:rsid w:val="00C4321C"/>
    <w:rsid w:val="00C43773"/>
    <w:rsid w:val="00C4386B"/>
    <w:rsid w:val="00C43B17"/>
    <w:rsid w:val="00C43B8B"/>
    <w:rsid w:val="00C43BD5"/>
    <w:rsid w:val="00C43CCA"/>
    <w:rsid w:val="00C43CD0"/>
    <w:rsid w:val="00C43D16"/>
    <w:rsid w:val="00C43E8C"/>
    <w:rsid w:val="00C43EE3"/>
    <w:rsid w:val="00C43EF2"/>
    <w:rsid w:val="00C43F62"/>
    <w:rsid w:val="00C440BD"/>
    <w:rsid w:val="00C4444B"/>
    <w:rsid w:val="00C44454"/>
    <w:rsid w:val="00C44513"/>
    <w:rsid w:val="00C445E9"/>
    <w:rsid w:val="00C44623"/>
    <w:rsid w:val="00C447B5"/>
    <w:rsid w:val="00C448E4"/>
    <w:rsid w:val="00C448FC"/>
    <w:rsid w:val="00C44DC3"/>
    <w:rsid w:val="00C44DF7"/>
    <w:rsid w:val="00C44EB0"/>
    <w:rsid w:val="00C45061"/>
    <w:rsid w:val="00C4506F"/>
    <w:rsid w:val="00C45263"/>
    <w:rsid w:val="00C452F0"/>
    <w:rsid w:val="00C453B0"/>
    <w:rsid w:val="00C454C5"/>
    <w:rsid w:val="00C455E0"/>
    <w:rsid w:val="00C45949"/>
    <w:rsid w:val="00C4594F"/>
    <w:rsid w:val="00C45B71"/>
    <w:rsid w:val="00C45C0A"/>
    <w:rsid w:val="00C45DAC"/>
    <w:rsid w:val="00C45DBF"/>
    <w:rsid w:val="00C46023"/>
    <w:rsid w:val="00C46107"/>
    <w:rsid w:val="00C461F1"/>
    <w:rsid w:val="00C46252"/>
    <w:rsid w:val="00C462BF"/>
    <w:rsid w:val="00C46375"/>
    <w:rsid w:val="00C46845"/>
    <w:rsid w:val="00C46BA6"/>
    <w:rsid w:val="00C46CC2"/>
    <w:rsid w:val="00C46D4C"/>
    <w:rsid w:val="00C46EC6"/>
    <w:rsid w:val="00C46EF3"/>
    <w:rsid w:val="00C470BF"/>
    <w:rsid w:val="00C47290"/>
    <w:rsid w:val="00C472B2"/>
    <w:rsid w:val="00C47334"/>
    <w:rsid w:val="00C4745E"/>
    <w:rsid w:val="00C47549"/>
    <w:rsid w:val="00C4774F"/>
    <w:rsid w:val="00C47AC7"/>
    <w:rsid w:val="00C47B2D"/>
    <w:rsid w:val="00C47D1A"/>
    <w:rsid w:val="00C47D60"/>
    <w:rsid w:val="00C47DF9"/>
    <w:rsid w:val="00C47ED3"/>
    <w:rsid w:val="00C47F7C"/>
    <w:rsid w:val="00C50071"/>
    <w:rsid w:val="00C5008D"/>
    <w:rsid w:val="00C50602"/>
    <w:rsid w:val="00C506C2"/>
    <w:rsid w:val="00C50756"/>
    <w:rsid w:val="00C50801"/>
    <w:rsid w:val="00C508E0"/>
    <w:rsid w:val="00C50981"/>
    <w:rsid w:val="00C509FD"/>
    <w:rsid w:val="00C50B02"/>
    <w:rsid w:val="00C50D67"/>
    <w:rsid w:val="00C50F92"/>
    <w:rsid w:val="00C51016"/>
    <w:rsid w:val="00C5101A"/>
    <w:rsid w:val="00C5132F"/>
    <w:rsid w:val="00C5137F"/>
    <w:rsid w:val="00C5139B"/>
    <w:rsid w:val="00C51406"/>
    <w:rsid w:val="00C5156A"/>
    <w:rsid w:val="00C51863"/>
    <w:rsid w:val="00C518EA"/>
    <w:rsid w:val="00C519F0"/>
    <w:rsid w:val="00C51A7E"/>
    <w:rsid w:val="00C51ED8"/>
    <w:rsid w:val="00C51F84"/>
    <w:rsid w:val="00C51FBE"/>
    <w:rsid w:val="00C52029"/>
    <w:rsid w:val="00C5202B"/>
    <w:rsid w:val="00C521E7"/>
    <w:rsid w:val="00C5257A"/>
    <w:rsid w:val="00C525B2"/>
    <w:rsid w:val="00C526CA"/>
    <w:rsid w:val="00C52739"/>
    <w:rsid w:val="00C527A2"/>
    <w:rsid w:val="00C527D3"/>
    <w:rsid w:val="00C529A8"/>
    <w:rsid w:val="00C52A5C"/>
    <w:rsid w:val="00C52C58"/>
    <w:rsid w:val="00C52C59"/>
    <w:rsid w:val="00C52DE7"/>
    <w:rsid w:val="00C52E6C"/>
    <w:rsid w:val="00C52FD5"/>
    <w:rsid w:val="00C52FFC"/>
    <w:rsid w:val="00C53120"/>
    <w:rsid w:val="00C53285"/>
    <w:rsid w:val="00C532E1"/>
    <w:rsid w:val="00C533A0"/>
    <w:rsid w:val="00C53419"/>
    <w:rsid w:val="00C53433"/>
    <w:rsid w:val="00C53439"/>
    <w:rsid w:val="00C536FD"/>
    <w:rsid w:val="00C5377B"/>
    <w:rsid w:val="00C53945"/>
    <w:rsid w:val="00C5396D"/>
    <w:rsid w:val="00C53A13"/>
    <w:rsid w:val="00C53C3E"/>
    <w:rsid w:val="00C53F14"/>
    <w:rsid w:val="00C53F65"/>
    <w:rsid w:val="00C54072"/>
    <w:rsid w:val="00C540D9"/>
    <w:rsid w:val="00C541E4"/>
    <w:rsid w:val="00C541E7"/>
    <w:rsid w:val="00C54234"/>
    <w:rsid w:val="00C5449A"/>
    <w:rsid w:val="00C544E2"/>
    <w:rsid w:val="00C54539"/>
    <w:rsid w:val="00C54608"/>
    <w:rsid w:val="00C54685"/>
    <w:rsid w:val="00C546A9"/>
    <w:rsid w:val="00C547DA"/>
    <w:rsid w:val="00C54D13"/>
    <w:rsid w:val="00C54E07"/>
    <w:rsid w:val="00C54E6F"/>
    <w:rsid w:val="00C54EE8"/>
    <w:rsid w:val="00C55026"/>
    <w:rsid w:val="00C5517C"/>
    <w:rsid w:val="00C5527D"/>
    <w:rsid w:val="00C55304"/>
    <w:rsid w:val="00C5546D"/>
    <w:rsid w:val="00C55566"/>
    <w:rsid w:val="00C555EA"/>
    <w:rsid w:val="00C556C0"/>
    <w:rsid w:val="00C55705"/>
    <w:rsid w:val="00C559BD"/>
    <w:rsid w:val="00C55A5F"/>
    <w:rsid w:val="00C55B11"/>
    <w:rsid w:val="00C55B6D"/>
    <w:rsid w:val="00C55D3F"/>
    <w:rsid w:val="00C55E15"/>
    <w:rsid w:val="00C55F17"/>
    <w:rsid w:val="00C55F23"/>
    <w:rsid w:val="00C55F4C"/>
    <w:rsid w:val="00C55F81"/>
    <w:rsid w:val="00C55FDC"/>
    <w:rsid w:val="00C55FF8"/>
    <w:rsid w:val="00C56574"/>
    <w:rsid w:val="00C565D8"/>
    <w:rsid w:val="00C567CD"/>
    <w:rsid w:val="00C5680F"/>
    <w:rsid w:val="00C5684D"/>
    <w:rsid w:val="00C5685C"/>
    <w:rsid w:val="00C56A32"/>
    <w:rsid w:val="00C56B1E"/>
    <w:rsid w:val="00C56DBF"/>
    <w:rsid w:val="00C56DD5"/>
    <w:rsid w:val="00C56E7D"/>
    <w:rsid w:val="00C570D7"/>
    <w:rsid w:val="00C57283"/>
    <w:rsid w:val="00C572F5"/>
    <w:rsid w:val="00C57350"/>
    <w:rsid w:val="00C5768F"/>
    <w:rsid w:val="00C57837"/>
    <w:rsid w:val="00C57976"/>
    <w:rsid w:val="00C57A16"/>
    <w:rsid w:val="00C57AFF"/>
    <w:rsid w:val="00C57B22"/>
    <w:rsid w:val="00C57B2A"/>
    <w:rsid w:val="00C57B64"/>
    <w:rsid w:val="00C57C2C"/>
    <w:rsid w:val="00C57D56"/>
    <w:rsid w:val="00C57EAD"/>
    <w:rsid w:val="00C57F7F"/>
    <w:rsid w:val="00C57FE3"/>
    <w:rsid w:val="00C604BA"/>
    <w:rsid w:val="00C604C0"/>
    <w:rsid w:val="00C60712"/>
    <w:rsid w:val="00C608DD"/>
    <w:rsid w:val="00C608FF"/>
    <w:rsid w:val="00C60938"/>
    <w:rsid w:val="00C60AC6"/>
    <w:rsid w:val="00C60BE5"/>
    <w:rsid w:val="00C60C75"/>
    <w:rsid w:val="00C60FAC"/>
    <w:rsid w:val="00C61069"/>
    <w:rsid w:val="00C612CF"/>
    <w:rsid w:val="00C6132E"/>
    <w:rsid w:val="00C614A8"/>
    <w:rsid w:val="00C615FF"/>
    <w:rsid w:val="00C618E7"/>
    <w:rsid w:val="00C61B77"/>
    <w:rsid w:val="00C61BEC"/>
    <w:rsid w:val="00C61C2E"/>
    <w:rsid w:val="00C620BC"/>
    <w:rsid w:val="00C62180"/>
    <w:rsid w:val="00C62415"/>
    <w:rsid w:val="00C625FC"/>
    <w:rsid w:val="00C625FD"/>
    <w:rsid w:val="00C6261A"/>
    <w:rsid w:val="00C6261C"/>
    <w:rsid w:val="00C62955"/>
    <w:rsid w:val="00C62AD9"/>
    <w:rsid w:val="00C62CE0"/>
    <w:rsid w:val="00C63384"/>
    <w:rsid w:val="00C6338B"/>
    <w:rsid w:val="00C6366F"/>
    <w:rsid w:val="00C6368E"/>
    <w:rsid w:val="00C636FF"/>
    <w:rsid w:val="00C63746"/>
    <w:rsid w:val="00C638F3"/>
    <w:rsid w:val="00C63AF7"/>
    <w:rsid w:val="00C63B36"/>
    <w:rsid w:val="00C63D83"/>
    <w:rsid w:val="00C63E3D"/>
    <w:rsid w:val="00C63E49"/>
    <w:rsid w:val="00C63EB5"/>
    <w:rsid w:val="00C6411C"/>
    <w:rsid w:val="00C6412E"/>
    <w:rsid w:val="00C641F4"/>
    <w:rsid w:val="00C64246"/>
    <w:rsid w:val="00C642AD"/>
    <w:rsid w:val="00C642CE"/>
    <w:rsid w:val="00C642EC"/>
    <w:rsid w:val="00C644F2"/>
    <w:rsid w:val="00C645C0"/>
    <w:rsid w:val="00C645D2"/>
    <w:rsid w:val="00C64663"/>
    <w:rsid w:val="00C649F9"/>
    <w:rsid w:val="00C64ABB"/>
    <w:rsid w:val="00C64E60"/>
    <w:rsid w:val="00C65129"/>
    <w:rsid w:val="00C6517E"/>
    <w:rsid w:val="00C651A4"/>
    <w:rsid w:val="00C651CD"/>
    <w:rsid w:val="00C652AE"/>
    <w:rsid w:val="00C652B5"/>
    <w:rsid w:val="00C65466"/>
    <w:rsid w:val="00C65539"/>
    <w:rsid w:val="00C655D1"/>
    <w:rsid w:val="00C65715"/>
    <w:rsid w:val="00C65722"/>
    <w:rsid w:val="00C6589E"/>
    <w:rsid w:val="00C65940"/>
    <w:rsid w:val="00C65A96"/>
    <w:rsid w:val="00C65CA7"/>
    <w:rsid w:val="00C65DD7"/>
    <w:rsid w:val="00C65EC9"/>
    <w:rsid w:val="00C65EEF"/>
    <w:rsid w:val="00C65EFF"/>
    <w:rsid w:val="00C65F05"/>
    <w:rsid w:val="00C65F3A"/>
    <w:rsid w:val="00C6600E"/>
    <w:rsid w:val="00C6611E"/>
    <w:rsid w:val="00C66174"/>
    <w:rsid w:val="00C6629A"/>
    <w:rsid w:val="00C66373"/>
    <w:rsid w:val="00C663F3"/>
    <w:rsid w:val="00C66449"/>
    <w:rsid w:val="00C66543"/>
    <w:rsid w:val="00C665FD"/>
    <w:rsid w:val="00C6662D"/>
    <w:rsid w:val="00C666CA"/>
    <w:rsid w:val="00C66713"/>
    <w:rsid w:val="00C6697E"/>
    <w:rsid w:val="00C66A2A"/>
    <w:rsid w:val="00C66B5E"/>
    <w:rsid w:val="00C66BFD"/>
    <w:rsid w:val="00C66E2C"/>
    <w:rsid w:val="00C66ECC"/>
    <w:rsid w:val="00C66EE6"/>
    <w:rsid w:val="00C66EEF"/>
    <w:rsid w:val="00C66FA9"/>
    <w:rsid w:val="00C670B3"/>
    <w:rsid w:val="00C670D6"/>
    <w:rsid w:val="00C67166"/>
    <w:rsid w:val="00C6742A"/>
    <w:rsid w:val="00C6757F"/>
    <w:rsid w:val="00C6762A"/>
    <w:rsid w:val="00C67640"/>
    <w:rsid w:val="00C67644"/>
    <w:rsid w:val="00C67657"/>
    <w:rsid w:val="00C6767D"/>
    <w:rsid w:val="00C676A4"/>
    <w:rsid w:val="00C676DE"/>
    <w:rsid w:val="00C67768"/>
    <w:rsid w:val="00C679BA"/>
    <w:rsid w:val="00C67AEE"/>
    <w:rsid w:val="00C67BD7"/>
    <w:rsid w:val="00C67C33"/>
    <w:rsid w:val="00C67CB5"/>
    <w:rsid w:val="00C67F54"/>
    <w:rsid w:val="00C70163"/>
    <w:rsid w:val="00C7018B"/>
    <w:rsid w:val="00C7034A"/>
    <w:rsid w:val="00C7059A"/>
    <w:rsid w:val="00C70818"/>
    <w:rsid w:val="00C70858"/>
    <w:rsid w:val="00C70BCB"/>
    <w:rsid w:val="00C70CC5"/>
    <w:rsid w:val="00C70E5E"/>
    <w:rsid w:val="00C70E6B"/>
    <w:rsid w:val="00C711B7"/>
    <w:rsid w:val="00C7120A"/>
    <w:rsid w:val="00C7131E"/>
    <w:rsid w:val="00C7135C"/>
    <w:rsid w:val="00C71394"/>
    <w:rsid w:val="00C71688"/>
    <w:rsid w:val="00C716B4"/>
    <w:rsid w:val="00C717B9"/>
    <w:rsid w:val="00C71A43"/>
    <w:rsid w:val="00C71A4D"/>
    <w:rsid w:val="00C71BE0"/>
    <w:rsid w:val="00C71C0E"/>
    <w:rsid w:val="00C71EA3"/>
    <w:rsid w:val="00C71F6D"/>
    <w:rsid w:val="00C7206E"/>
    <w:rsid w:val="00C720DF"/>
    <w:rsid w:val="00C72100"/>
    <w:rsid w:val="00C72377"/>
    <w:rsid w:val="00C723C3"/>
    <w:rsid w:val="00C724BF"/>
    <w:rsid w:val="00C72722"/>
    <w:rsid w:val="00C72860"/>
    <w:rsid w:val="00C729BD"/>
    <w:rsid w:val="00C72A61"/>
    <w:rsid w:val="00C72B25"/>
    <w:rsid w:val="00C72C50"/>
    <w:rsid w:val="00C72D91"/>
    <w:rsid w:val="00C72DBC"/>
    <w:rsid w:val="00C72E1E"/>
    <w:rsid w:val="00C732B7"/>
    <w:rsid w:val="00C732D9"/>
    <w:rsid w:val="00C73384"/>
    <w:rsid w:val="00C7366A"/>
    <w:rsid w:val="00C737EF"/>
    <w:rsid w:val="00C73AD0"/>
    <w:rsid w:val="00C73CDF"/>
    <w:rsid w:val="00C73D78"/>
    <w:rsid w:val="00C73F0F"/>
    <w:rsid w:val="00C740BC"/>
    <w:rsid w:val="00C7428A"/>
    <w:rsid w:val="00C7439E"/>
    <w:rsid w:val="00C747C9"/>
    <w:rsid w:val="00C74903"/>
    <w:rsid w:val="00C74B9C"/>
    <w:rsid w:val="00C74C06"/>
    <w:rsid w:val="00C74CE9"/>
    <w:rsid w:val="00C74DD2"/>
    <w:rsid w:val="00C74E1F"/>
    <w:rsid w:val="00C74FE6"/>
    <w:rsid w:val="00C750BA"/>
    <w:rsid w:val="00C750CF"/>
    <w:rsid w:val="00C7551F"/>
    <w:rsid w:val="00C755B3"/>
    <w:rsid w:val="00C75670"/>
    <w:rsid w:val="00C75694"/>
    <w:rsid w:val="00C75918"/>
    <w:rsid w:val="00C7599F"/>
    <w:rsid w:val="00C75A72"/>
    <w:rsid w:val="00C75C7C"/>
    <w:rsid w:val="00C75D18"/>
    <w:rsid w:val="00C75F4E"/>
    <w:rsid w:val="00C760C6"/>
    <w:rsid w:val="00C7612B"/>
    <w:rsid w:val="00C763AE"/>
    <w:rsid w:val="00C763B4"/>
    <w:rsid w:val="00C76476"/>
    <w:rsid w:val="00C765EE"/>
    <w:rsid w:val="00C768B6"/>
    <w:rsid w:val="00C76BA8"/>
    <w:rsid w:val="00C76D48"/>
    <w:rsid w:val="00C76D57"/>
    <w:rsid w:val="00C76EEC"/>
    <w:rsid w:val="00C77241"/>
    <w:rsid w:val="00C7732A"/>
    <w:rsid w:val="00C774D1"/>
    <w:rsid w:val="00C774D4"/>
    <w:rsid w:val="00C774E7"/>
    <w:rsid w:val="00C77620"/>
    <w:rsid w:val="00C7766A"/>
    <w:rsid w:val="00C7777E"/>
    <w:rsid w:val="00C779EC"/>
    <w:rsid w:val="00C77A28"/>
    <w:rsid w:val="00C77A6A"/>
    <w:rsid w:val="00C77AA8"/>
    <w:rsid w:val="00C77B0A"/>
    <w:rsid w:val="00C77BAE"/>
    <w:rsid w:val="00C77C41"/>
    <w:rsid w:val="00C77CF2"/>
    <w:rsid w:val="00C80090"/>
    <w:rsid w:val="00C80096"/>
    <w:rsid w:val="00C800D4"/>
    <w:rsid w:val="00C8017A"/>
    <w:rsid w:val="00C8066E"/>
    <w:rsid w:val="00C8070B"/>
    <w:rsid w:val="00C80869"/>
    <w:rsid w:val="00C808CE"/>
    <w:rsid w:val="00C809C6"/>
    <w:rsid w:val="00C80AD0"/>
    <w:rsid w:val="00C80DF3"/>
    <w:rsid w:val="00C80F31"/>
    <w:rsid w:val="00C81125"/>
    <w:rsid w:val="00C81174"/>
    <w:rsid w:val="00C81440"/>
    <w:rsid w:val="00C814B4"/>
    <w:rsid w:val="00C815C1"/>
    <w:rsid w:val="00C81646"/>
    <w:rsid w:val="00C816BA"/>
    <w:rsid w:val="00C81AE2"/>
    <w:rsid w:val="00C81BD1"/>
    <w:rsid w:val="00C81CF5"/>
    <w:rsid w:val="00C81D36"/>
    <w:rsid w:val="00C81E00"/>
    <w:rsid w:val="00C81ED3"/>
    <w:rsid w:val="00C81F9E"/>
    <w:rsid w:val="00C8201D"/>
    <w:rsid w:val="00C82079"/>
    <w:rsid w:val="00C820CD"/>
    <w:rsid w:val="00C821B9"/>
    <w:rsid w:val="00C8231B"/>
    <w:rsid w:val="00C823C0"/>
    <w:rsid w:val="00C82712"/>
    <w:rsid w:val="00C82789"/>
    <w:rsid w:val="00C8284E"/>
    <w:rsid w:val="00C82A59"/>
    <w:rsid w:val="00C82AA4"/>
    <w:rsid w:val="00C82B1D"/>
    <w:rsid w:val="00C82E70"/>
    <w:rsid w:val="00C8308E"/>
    <w:rsid w:val="00C830CB"/>
    <w:rsid w:val="00C83244"/>
    <w:rsid w:val="00C834D7"/>
    <w:rsid w:val="00C83809"/>
    <w:rsid w:val="00C83901"/>
    <w:rsid w:val="00C83A46"/>
    <w:rsid w:val="00C83B1D"/>
    <w:rsid w:val="00C83DB9"/>
    <w:rsid w:val="00C83E78"/>
    <w:rsid w:val="00C83FCC"/>
    <w:rsid w:val="00C8402C"/>
    <w:rsid w:val="00C841D5"/>
    <w:rsid w:val="00C84565"/>
    <w:rsid w:val="00C845BE"/>
    <w:rsid w:val="00C84644"/>
    <w:rsid w:val="00C848E6"/>
    <w:rsid w:val="00C849DF"/>
    <w:rsid w:val="00C84B39"/>
    <w:rsid w:val="00C84F28"/>
    <w:rsid w:val="00C84F6E"/>
    <w:rsid w:val="00C85049"/>
    <w:rsid w:val="00C85194"/>
    <w:rsid w:val="00C85246"/>
    <w:rsid w:val="00C85332"/>
    <w:rsid w:val="00C854ED"/>
    <w:rsid w:val="00C8552A"/>
    <w:rsid w:val="00C85544"/>
    <w:rsid w:val="00C85734"/>
    <w:rsid w:val="00C8580C"/>
    <w:rsid w:val="00C85898"/>
    <w:rsid w:val="00C8598A"/>
    <w:rsid w:val="00C859B2"/>
    <w:rsid w:val="00C85A01"/>
    <w:rsid w:val="00C85BD2"/>
    <w:rsid w:val="00C85D13"/>
    <w:rsid w:val="00C85E6F"/>
    <w:rsid w:val="00C86000"/>
    <w:rsid w:val="00C8605C"/>
    <w:rsid w:val="00C86205"/>
    <w:rsid w:val="00C863E5"/>
    <w:rsid w:val="00C86489"/>
    <w:rsid w:val="00C864F1"/>
    <w:rsid w:val="00C866BA"/>
    <w:rsid w:val="00C866EA"/>
    <w:rsid w:val="00C86BBA"/>
    <w:rsid w:val="00C86CC8"/>
    <w:rsid w:val="00C86F96"/>
    <w:rsid w:val="00C870C6"/>
    <w:rsid w:val="00C872D7"/>
    <w:rsid w:val="00C874B1"/>
    <w:rsid w:val="00C87540"/>
    <w:rsid w:val="00C875EE"/>
    <w:rsid w:val="00C876B8"/>
    <w:rsid w:val="00C876C6"/>
    <w:rsid w:val="00C876E8"/>
    <w:rsid w:val="00C8777D"/>
    <w:rsid w:val="00C878C9"/>
    <w:rsid w:val="00C87947"/>
    <w:rsid w:val="00C87A54"/>
    <w:rsid w:val="00C87AF0"/>
    <w:rsid w:val="00C87B3E"/>
    <w:rsid w:val="00C87C90"/>
    <w:rsid w:val="00C87D3E"/>
    <w:rsid w:val="00C87DC4"/>
    <w:rsid w:val="00C87E0E"/>
    <w:rsid w:val="00C87E56"/>
    <w:rsid w:val="00C87E6A"/>
    <w:rsid w:val="00C87EEF"/>
    <w:rsid w:val="00C901B2"/>
    <w:rsid w:val="00C90385"/>
    <w:rsid w:val="00C904BC"/>
    <w:rsid w:val="00C90675"/>
    <w:rsid w:val="00C90A84"/>
    <w:rsid w:val="00C90BED"/>
    <w:rsid w:val="00C90CAF"/>
    <w:rsid w:val="00C90EF2"/>
    <w:rsid w:val="00C90F57"/>
    <w:rsid w:val="00C90F9B"/>
    <w:rsid w:val="00C9108D"/>
    <w:rsid w:val="00C91178"/>
    <w:rsid w:val="00C912DD"/>
    <w:rsid w:val="00C91831"/>
    <w:rsid w:val="00C91917"/>
    <w:rsid w:val="00C919AA"/>
    <w:rsid w:val="00C91A75"/>
    <w:rsid w:val="00C91AF5"/>
    <w:rsid w:val="00C91B45"/>
    <w:rsid w:val="00C91CDC"/>
    <w:rsid w:val="00C91D21"/>
    <w:rsid w:val="00C91DFD"/>
    <w:rsid w:val="00C91E60"/>
    <w:rsid w:val="00C91E7E"/>
    <w:rsid w:val="00C91EC4"/>
    <w:rsid w:val="00C91F2E"/>
    <w:rsid w:val="00C92060"/>
    <w:rsid w:val="00C920C5"/>
    <w:rsid w:val="00C921DB"/>
    <w:rsid w:val="00C9236A"/>
    <w:rsid w:val="00C924A6"/>
    <w:rsid w:val="00C9251D"/>
    <w:rsid w:val="00C925B0"/>
    <w:rsid w:val="00C925BD"/>
    <w:rsid w:val="00C925DA"/>
    <w:rsid w:val="00C92709"/>
    <w:rsid w:val="00C9273A"/>
    <w:rsid w:val="00C92772"/>
    <w:rsid w:val="00C927A1"/>
    <w:rsid w:val="00C92865"/>
    <w:rsid w:val="00C92AE9"/>
    <w:rsid w:val="00C92BCC"/>
    <w:rsid w:val="00C92CD3"/>
    <w:rsid w:val="00C92EDE"/>
    <w:rsid w:val="00C92F51"/>
    <w:rsid w:val="00C92F94"/>
    <w:rsid w:val="00C92FD1"/>
    <w:rsid w:val="00C93039"/>
    <w:rsid w:val="00C930F3"/>
    <w:rsid w:val="00C931DD"/>
    <w:rsid w:val="00C9320E"/>
    <w:rsid w:val="00C936F4"/>
    <w:rsid w:val="00C9378C"/>
    <w:rsid w:val="00C93797"/>
    <w:rsid w:val="00C93AC1"/>
    <w:rsid w:val="00C93DAA"/>
    <w:rsid w:val="00C94026"/>
    <w:rsid w:val="00C94047"/>
    <w:rsid w:val="00C94287"/>
    <w:rsid w:val="00C94290"/>
    <w:rsid w:val="00C9439B"/>
    <w:rsid w:val="00C94510"/>
    <w:rsid w:val="00C9453D"/>
    <w:rsid w:val="00C94553"/>
    <w:rsid w:val="00C94738"/>
    <w:rsid w:val="00C94744"/>
    <w:rsid w:val="00C94765"/>
    <w:rsid w:val="00C947A3"/>
    <w:rsid w:val="00C94825"/>
    <w:rsid w:val="00C949FD"/>
    <w:rsid w:val="00C94A70"/>
    <w:rsid w:val="00C94BD1"/>
    <w:rsid w:val="00C94E70"/>
    <w:rsid w:val="00C94FAE"/>
    <w:rsid w:val="00C95159"/>
    <w:rsid w:val="00C951E3"/>
    <w:rsid w:val="00C95201"/>
    <w:rsid w:val="00C95459"/>
    <w:rsid w:val="00C954F4"/>
    <w:rsid w:val="00C95639"/>
    <w:rsid w:val="00C956D5"/>
    <w:rsid w:val="00C9587F"/>
    <w:rsid w:val="00C95B65"/>
    <w:rsid w:val="00C95C8B"/>
    <w:rsid w:val="00C96238"/>
    <w:rsid w:val="00C9633D"/>
    <w:rsid w:val="00C963A6"/>
    <w:rsid w:val="00C964DC"/>
    <w:rsid w:val="00C966FC"/>
    <w:rsid w:val="00C968ED"/>
    <w:rsid w:val="00C96C14"/>
    <w:rsid w:val="00C96D32"/>
    <w:rsid w:val="00C96D9F"/>
    <w:rsid w:val="00C96F83"/>
    <w:rsid w:val="00C97102"/>
    <w:rsid w:val="00C97110"/>
    <w:rsid w:val="00C97148"/>
    <w:rsid w:val="00C971AE"/>
    <w:rsid w:val="00C971B3"/>
    <w:rsid w:val="00C97256"/>
    <w:rsid w:val="00C9746E"/>
    <w:rsid w:val="00C97712"/>
    <w:rsid w:val="00C9792D"/>
    <w:rsid w:val="00C97976"/>
    <w:rsid w:val="00C97994"/>
    <w:rsid w:val="00C97AE8"/>
    <w:rsid w:val="00C97B5C"/>
    <w:rsid w:val="00C97BF8"/>
    <w:rsid w:val="00C97E7E"/>
    <w:rsid w:val="00C97EA6"/>
    <w:rsid w:val="00C97FB9"/>
    <w:rsid w:val="00C97FDE"/>
    <w:rsid w:val="00CA01E9"/>
    <w:rsid w:val="00CA0294"/>
    <w:rsid w:val="00CA033B"/>
    <w:rsid w:val="00CA0503"/>
    <w:rsid w:val="00CA0611"/>
    <w:rsid w:val="00CA0857"/>
    <w:rsid w:val="00CA09BE"/>
    <w:rsid w:val="00CA09E0"/>
    <w:rsid w:val="00CA0BBA"/>
    <w:rsid w:val="00CA0CEF"/>
    <w:rsid w:val="00CA10D8"/>
    <w:rsid w:val="00CA11A3"/>
    <w:rsid w:val="00CA12C6"/>
    <w:rsid w:val="00CA1301"/>
    <w:rsid w:val="00CA144D"/>
    <w:rsid w:val="00CA1542"/>
    <w:rsid w:val="00CA1677"/>
    <w:rsid w:val="00CA184A"/>
    <w:rsid w:val="00CA1A8D"/>
    <w:rsid w:val="00CA1BC2"/>
    <w:rsid w:val="00CA1D3F"/>
    <w:rsid w:val="00CA1D8E"/>
    <w:rsid w:val="00CA1D94"/>
    <w:rsid w:val="00CA1E50"/>
    <w:rsid w:val="00CA22AB"/>
    <w:rsid w:val="00CA2477"/>
    <w:rsid w:val="00CA2696"/>
    <w:rsid w:val="00CA2723"/>
    <w:rsid w:val="00CA27D1"/>
    <w:rsid w:val="00CA2AD8"/>
    <w:rsid w:val="00CA2C6B"/>
    <w:rsid w:val="00CA2D14"/>
    <w:rsid w:val="00CA2D70"/>
    <w:rsid w:val="00CA2DE2"/>
    <w:rsid w:val="00CA2EA2"/>
    <w:rsid w:val="00CA2F07"/>
    <w:rsid w:val="00CA2F8C"/>
    <w:rsid w:val="00CA2FAB"/>
    <w:rsid w:val="00CA3071"/>
    <w:rsid w:val="00CA3275"/>
    <w:rsid w:val="00CA3307"/>
    <w:rsid w:val="00CA3465"/>
    <w:rsid w:val="00CA347D"/>
    <w:rsid w:val="00CA34C5"/>
    <w:rsid w:val="00CA35F4"/>
    <w:rsid w:val="00CA3625"/>
    <w:rsid w:val="00CA36EB"/>
    <w:rsid w:val="00CA381E"/>
    <w:rsid w:val="00CA384B"/>
    <w:rsid w:val="00CA3A58"/>
    <w:rsid w:val="00CA3A92"/>
    <w:rsid w:val="00CA3F85"/>
    <w:rsid w:val="00CA3F95"/>
    <w:rsid w:val="00CA406D"/>
    <w:rsid w:val="00CA4128"/>
    <w:rsid w:val="00CA4384"/>
    <w:rsid w:val="00CA46F5"/>
    <w:rsid w:val="00CA47D7"/>
    <w:rsid w:val="00CA47FD"/>
    <w:rsid w:val="00CA4AAD"/>
    <w:rsid w:val="00CA4C1A"/>
    <w:rsid w:val="00CA4C50"/>
    <w:rsid w:val="00CA4D24"/>
    <w:rsid w:val="00CA5060"/>
    <w:rsid w:val="00CA5150"/>
    <w:rsid w:val="00CA5196"/>
    <w:rsid w:val="00CA5264"/>
    <w:rsid w:val="00CA535E"/>
    <w:rsid w:val="00CA5490"/>
    <w:rsid w:val="00CA54B2"/>
    <w:rsid w:val="00CA553D"/>
    <w:rsid w:val="00CA560D"/>
    <w:rsid w:val="00CA5658"/>
    <w:rsid w:val="00CA56EF"/>
    <w:rsid w:val="00CA592A"/>
    <w:rsid w:val="00CA5AB5"/>
    <w:rsid w:val="00CA5D4D"/>
    <w:rsid w:val="00CA5D68"/>
    <w:rsid w:val="00CA5F82"/>
    <w:rsid w:val="00CA601B"/>
    <w:rsid w:val="00CA611F"/>
    <w:rsid w:val="00CA6482"/>
    <w:rsid w:val="00CA6493"/>
    <w:rsid w:val="00CA6854"/>
    <w:rsid w:val="00CA698D"/>
    <w:rsid w:val="00CA6A68"/>
    <w:rsid w:val="00CA6A72"/>
    <w:rsid w:val="00CA6B02"/>
    <w:rsid w:val="00CA6D45"/>
    <w:rsid w:val="00CA6E66"/>
    <w:rsid w:val="00CA6E7A"/>
    <w:rsid w:val="00CA6E8D"/>
    <w:rsid w:val="00CA6EC2"/>
    <w:rsid w:val="00CA6ED8"/>
    <w:rsid w:val="00CA6FA3"/>
    <w:rsid w:val="00CA716A"/>
    <w:rsid w:val="00CA7348"/>
    <w:rsid w:val="00CA7390"/>
    <w:rsid w:val="00CA744D"/>
    <w:rsid w:val="00CA79B0"/>
    <w:rsid w:val="00CA7B74"/>
    <w:rsid w:val="00CA7B8E"/>
    <w:rsid w:val="00CA7C22"/>
    <w:rsid w:val="00CA7C4F"/>
    <w:rsid w:val="00CA7D6E"/>
    <w:rsid w:val="00CA7E6A"/>
    <w:rsid w:val="00CA7FA3"/>
    <w:rsid w:val="00CB0120"/>
    <w:rsid w:val="00CB015A"/>
    <w:rsid w:val="00CB0193"/>
    <w:rsid w:val="00CB0355"/>
    <w:rsid w:val="00CB04AE"/>
    <w:rsid w:val="00CB0595"/>
    <w:rsid w:val="00CB0B58"/>
    <w:rsid w:val="00CB0C1D"/>
    <w:rsid w:val="00CB0C84"/>
    <w:rsid w:val="00CB0DE0"/>
    <w:rsid w:val="00CB0E5D"/>
    <w:rsid w:val="00CB0FD5"/>
    <w:rsid w:val="00CB111B"/>
    <w:rsid w:val="00CB1158"/>
    <w:rsid w:val="00CB12A7"/>
    <w:rsid w:val="00CB137A"/>
    <w:rsid w:val="00CB1398"/>
    <w:rsid w:val="00CB13A3"/>
    <w:rsid w:val="00CB14D7"/>
    <w:rsid w:val="00CB152F"/>
    <w:rsid w:val="00CB15D2"/>
    <w:rsid w:val="00CB16B4"/>
    <w:rsid w:val="00CB1B5B"/>
    <w:rsid w:val="00CB1BFB"/>
    <w:rsid w:val="00CB1C98"/>
    <w:rsid w:val="00CB1D04"/>
    <w:rsid w:val="00CB1DAE"/>
    <w:rsid w:val="00CB1E19"/>
    <w:rsid w:val="00CB1E3B"/>
    <w:rsid w:val="00CB1F2A"/>
    <w:rsid w:val="00CB204B"/>
    <w:rsid w:val="00CB2070"/>
    <w:rsid w:val="00CB2118"/>
    <w:rsid w:val="00CB213D"/>
    <w:rsid w:val="00CB224D"/>
    <w:rsid w:val="00CB2336"/>
    <w:rsid w:val="00CB23A9"/>
    <w:rsid w:val="00CB258C"/>
    <w:rsid w:val="00CB278B"/>
    <w:rsid w:val="00CB28CF"/>
    <w:rsid w:val="00CB295F"/>
    <w:rsid w:val="00CB2EC8"/>
    <w:rsid w:val="00CB2F80"/>
    <w:rsid w:val="00CB2FDD"/>
    <w:rsid w:val="00CB2FFE"/>
    <w:rsid w:val="00CB305C"/>
    <w:rsid w:val="00CB3346"/>
    <w:rsid w:val="00CB35E5"/>
    <w:rsid w:val="00CB37EB"/>
    <w:rsid w:val="00CB3834"/>
    <w:rsid w:val="00CB38BB"/>
    <w:rsid w:val="00CB3903"/>
    <w:rsid w:val="00CB3A8C"/>
    <w:rsid w:val="00CB3A96"/>
    <w:rsid w:val="00CB3BD6"/>
    <w:rsid w:val="00CB3C26"/>
    <w:rsid w:val="00CB3C2F"/>
    <w:rsid w:val="00CB3E98"/>
    <w:rsid w:val="00CB3F8F"/>
    <w:rsid w:val="00CB3F9F"/>
    <w:rsid w:val="00CB4051"/>
    <w:rsid w:val="00CB41E0"/>
    <w:rsid w:val="00CB4279"/>
    <w:rsid w:val="00CB464A"/>
    <w:rsid w:val="00CB4676"/>
    <w:rsid w:val="00CB4889"/>
    <w:rsid w:val="00CB4998"/>
    <w:rsid w:val="00CB49E1"/>
    <w:rsid w:val="00CB4ABA"/>
    <w:rsid w:val="00CB4CD8"/>
    <w:rsid w:val="00CB4CEE"/>
    <w:rsid w:val="00CB4F85"/>
    <w:rsid w:val="00CB521D"/>
    <w:rsid w:val="00CB5291"/>
    <w:rsid w:val="00CB53AB"/>
    <w:rsid w:val="00CB5584"/>
    <w:rsid w:val="00CB55B3"/>
    <w:rsid w:val="00CB5694"/>
    <w:rsid w:val="00CB5842"/>
    <w:rsid w:val="00CB5853"/>
    <w:rsid w:val="00CB5A68"/>
    <w:rsid w:val="00CB5C0D"/>
    <w:rsid w:val="00CB5D90"/>
    <w:rsid w:val="00CB5E71"/>
    <w:rsid w:val="00CB5EC1"/>
    <w:rsid w:val="00CB5FB8"/>
    <w:rsid w:val="00CB613F"/>
    <w:rsid w:val="00CB6173"/>
    <w:rsid w:val="00CB6232"/>
    <w:rsid w:val="00CB643D"/>
    <w:rsid w:val="00CB6468"/>
    <w:rsid w:val="00CB650D"/>
    <w:rsid w:val="00CB657A"/>
    <w:rsid w:val="00CB661A"/>
    <w:rsid w:val="00CB6652"/>
    <w:rsid w:val="00CB66D2"/>
    <w:rsid w:val="00CB679D"/>
    <w:rsid w:val="00CB67CF"/>
    <w:rsid w:val="00CB683F"/>
    <w:rsid w:val="00CB6905"/>
    <w:rsid w:val="00CB6962"/>
    <w:rsid w:val="00CB69AA"/>
    <w:rsid w:val="00CB6BAE"/>
    <w:rsid w:val="00CB6C0B"/>
    <w:rsid w:val="00CB6FBC"/>
    <w:rsid w:val="00CB7242"/>
    <w:rsid w:val="00CB74EB"/>
    <w:rsid w:val="00CB787A"/>
    <w:rsid w:val="00CB78B4"/>
    <w:rsid w:val="00CB792F"/>
    <w:rsid w:val="00CB7CAA"/>
    <w:rsid w:val="00CB7D2F"/>
    <w:rsid w:val="00CB7FF3"/>
    <w:rsid w:val="00CC0002"/>
    <w:rsid w:val="00CC0213"/>
    <w:rsid w:val="00CC067D"/>
    <w:rsid w:val="00CC078C"/>
    <w:rsid w:val="00CC08B9"/>
    <w:rsid w:val="00CC0975"/>
    <w:rsid w:val="00CC0A3B"/>
    <w:rsid w:val="00CC0B3E"/>
    <w:rsid w:val="00CC0B85"/>
    <w:rsid w:val="00CC0E36"/>
    <w:rsid w:val="00CC1109"/>
    <w:rsid w:val="00CC1138"/>
    <w:rsid w:val="00CC1186"/>
    <w:rsid w:val="00CC1212"/>
    <w:rsid w:val="00CC13DE"/>
    <w:rsid w:val="00CC14DB"/>
    <w:rsid w:val="00CC160A"/>
    <w:rsid w:val="00CC1767"/>
    <w:rsid w:val="00CC188E"/>
    <w:rsid w:val="00CC19F9"/>
    <w:rsid w:val="00CC1AB6"/>
    <w:rsid w:val="00CC1B59"/>
    <w:rsid w:val="00CC1B93"/>
    <w:rsid w:val="00CC1E63"/>
    <w:rsid w:val="00CC1EBA"/>
    <w:rsid w:val="00CC20CF"/>
    <w:rsid w:val="00CC2262"/>
    <w:rsid w:val="00CC22BC"/>
    <w:rsid w:val="00CC2476"/>
    <w:rsid w:val="00CC2492"/>
    <w:rsid w:val="00CC24FE"/>
    <w:rsid w:val="00CC253B"/>
    <w:rsid w:val="00CC262C"/>
    <w:rsid w:val="00CC2641"/>
    <w:rsid w:val="00CC276C"/>
    <w:rsid w:val="00CC279E"/>
    <w:rsid w:val="00CC27C6"/>
    <w:rsid w:val="00CC27DC"/>
    <w:rsid w:val="00CC2860"/>
    <w:rsid w:val="00CC29B4"/>
    <w:rsid w:val="00CC29C3"/>
    <w:rsid w:val="00CC2BE9"/>
    <w:rsid w:val="00CC2CDD"/>
    <w:rsid w:val="00CC2DF8"/>
    <w:rsid w:val="00CC2E3F"/>
    <w:rsid w:val="00CC3232"/>
    <w:rsid w:val="00CC32E0"/>
    <w:rsid w:val="00CC33A0"/>
    <w:rsid w:val="00CC34F1"/>
    <w:rsid w:val="00CC36C3"/>
    <w:rsid w:val="00CC373F"/>
    <w:rsid w:val="00CC37F9"/>
    <w:rsid w:val="00CC38F7"/>
    <w:rsid w:val="00CC3ACC"/>
    <w:rsid w:val="00CC3B93"/>
    <w:rsid w:val="00CC4330"/>
    <w:rsid w:val="00CC4631"/>
    <w:rsid w:val="00CC4690"/>
    <w:rsid w:val="00CC4752"/>
    <w:rsid w:val="00CC47C2"/>
    <w:rsid w:val="00CC47EC"/>
    <w:rsid w:val="00CC4862"/>
    <w:rsid w:val="00CC492D"/>
    <w:rsid w:val="00CC49E7"/>
    <w:rsid w:val="00CC4A31"/>
    <w:rsid w:val="00CC4DE1"/>
    <w:rsid w:val="00CC4DEA"/>
    <w:rsid w:val="00CC4E7C"/>
    <w:rsid w:val="00CC4EC0"/>
    <w:rsid w:val="00CC4EC9"/>
    <w:rsid w:val="00CC4F1C"/>
    <w:rsid w:val="00CC50E9"/>
    <w:rsid w:val="00CC5120"/>
    <w:rsid w:val="00CC52E6"/>
    <w:rsid w:val="00CC532A"/>
    <w:rsid w:val="00CC5684"/>
    <w:rsid w:val="00CC5718"/>
    <w:rsid w:val="00CC578B"/>
    <w:rsid w:val="00CC5A25"/>
    <w:rsid w:val="00CC5AFF"/>
    <w:rsid w:val="00CC5B43"/>
    <w:rsid w:val="00CC5D1E"/>
    <w:rsid w:val="00CC5D35"/>
    <w:rsid w:val="00CC60C6"/>
    <w:rsid w:val="00CC64D5"/>
    <w:rsid w:val="00CC651A"/>
    <w:rsid w:val="00CC6678"/>
    <w:rsid w:val="00CC6BBA"/>
    <w:rsid w:val="00CC6D19"/>
    <w:rsid w:val="00CC6EAF"/>
    <w:rsid w:val="00CC7101"/>
    <w:rsid w:val="00CC7108"/>
    <w:rsid w:val="00CC712F"/>
    <w:rsid w:val="00CC727D"/>
    <w:rsid w:val="00CC7445"/>
    <w:rsid w:val="00CC756B"/>
    <w:rsid w:val="00CC7592"/>
    <w:rsid w:val="00CC76F7"/>
    <w:rsid w:val="00CC7953"/>
    <w:rsid w:val="00CC7C3E"/>
    <w:rsid w:val="00CC7C73"/>
    <w:rsid w:val="00CC7CB0"/>
    <w:rsid w:val="00CC7EDC"/>
    <w:rsid w:val="00CD0102"/>
    <w:rsid w:val="00CD010F"/>
    <w:rsid w:val="00CD023F"/>
    <w:rsid w:val="00CD0542"/>
    <w:rsid w:val="00CD061D"/>
    <w:rsid w:val="00CD06AB"/>
    <w:rsid w:val="00CD06C0"/>
    <w:rsid w:val="00CD0754"/>
    <w:rsid w:val="00CD0A54"/>
    <w:rsid w:val="00CD0AA9"/>
    <w:rsid w:val="00CD0D24"/>
    <w:rsid w:val="00CD0D31"/>
    <w:rsid w:val="00CD0D8A"/>
    <w:rsid w:val="00CD0D9A"/>
    <w:rsid w:val="00CD0DE9"/>
    <w:rsid w:val="00CD0E02"/>
    <w:rsid w:val="00CD10E0"/>
    <w:rsid w:val="00CD1146"/>
    <w:rsid w:val="00CD1230"/>
    <w:rsid w:val="00CD1268"/>
    <w:rsid w:val="00CD15DF"/>
    <w:rsid w:val="00CD161E"/>
    <w:rsid w:val="00CD1826"/>
    <w:rsid w:val="00CD1954"/>
    <w:rsid w:val="00CD1965"/>
    <w:rsid w:val="00CD1B21"/>
    <w:rsid w:val="00CD1C80"/>
    <w:rsid w:val="00CD1DA8"/>
    <w:rsid w:val="00CD1F3A"/>
    <w:rsid w:val="00CD2019"/>
    <w:rsid w:val="00CD2132"/>
    <w:rsid w:val="00CD227C"/>
    <w:rsid w:val="00CD23B1"/>
    <w:rsid w:val="00CD23B2"/>
    <w:rsid w:val="00CD2507"/>
    <w:rsid w:val="00CD2744"/>
    <w:rsid w:val="00CD28BC"/>
    <w:rsid w:val="00CD2BC8"/>
    <w:rsid w:val="00CD2D9B"/>
    <w:rsid w:val="00CD2F81"/>
    <w:rsid w:val="00CD312E"/>
    <w:rsid w:val="00CD318B"/>
    <w:rsid w:val="00CD3252"/>
    <w:rsid w:val="00CD3254"/>
    <w:rsid w:val="00CD3485"/>
    <w:rsid w:val="00CD35CE"/>
    <w:rsid w:val="00CD399D"/>
    <w:rsid w:val="00CD3A66"/>
    <w:rsid w:val="00CD3B23"/>
    <w:rsid w:val="00CD3D04"/>
    <w:rsid w:val="00CD3E3D"/>
    <w:rsid w:val="00CD40BA"/>
    <w:rsid w:val="00CD412C"/>
    <w:rsid w:val="00CD451B"/>
    <w:rsid w:val="00CD460C"/>
    <w:rsid w:val="00CD466D"/>
    <w:rsid w:val="00CD49CE"/>
    <w:rsid w:val="00CD4A3F"/>
    <w:rsid w:val="00CD4B35"/>
    <w:rsid w:val="00CD4C41"/>
    <w:rsid w:val="00CD4C81"/>
    <w:rsid w:val="00CD4F09"/>
    <w:rsid w:val="00CD4F72"/>
    <w:rsid w:val="00CD505E"/>
    <w:rsid w:val="00CD513A"/>
    <w:rsid w:val="00CD51A0"/>
    <w:rsid w:val="00CD533F"/>
    <w:rsid w:val="00CD53A6"/>
    <w:rsid w:val="00CD53B4"/>
    <w:rsid w:val="00CD5437"/>
    <w:rsid w:val="00CD544C"/>
    <w:rsid w:val="00CD5703"/>
    <w:rsid w:val="00CD57BC"/>
    <w:rsid w:val="00CD58CF"/>
    <w:rsid w:val="00CD58DD"/>
    <w:rsid w:val="00CD590F"/>
    <w:rsid w:val="00CD5A06"/>
    <w:rsid w:val="00CD5AD1"/>
    <w:rsid w:val="00CD5BAC"/>
    <w:rsid w:val="00CD5BD8"/>
    <w:rsid w:val="00CD5C28"/>
    <w:rsid w:val="00CD5D29"/>
    <w:rsid w:val="00CD5E70"/>
    <w:rsid w:val="00CD5E74"/>
    <w:rsid w:val="00CD5EFD"/>
    <w:rsid w:val="00CD5F22"/>
    <w:rsid w:val="00CD62ED"/>
    <w:rsid w:val="00CD6348"/>
    <w:rsid w:val="00CD6532"/>
    <w:rsid w:val="00CD6688"/>
    <w:rsid w:val="00CD69B4"/>
    <w:rsid w:val="00CD6BC8"/>
    <w:rsid w:val="00CD6BCB"/>
    <w:rsid w:val="00CD6C3F"/>
    <w:rsid w:val="00CD6DA0"/>
    <w:rsid w:val="00CD6DD3"/>
    <w:rsid w:val="00CD6F26"/>
    <w:rsid w:val="00CD714A"/>
    <w:rsid w:val="00CD717A"/>
    <w:rsid w:val="00CD73F7"/>
    <w:rsid w:val="00CD747F"/>
    <w:rsid w:val="00CD751D"/>
    <w:rsid w:val="00CD76BE"/>
    <w:rsid w:val="00CD790F"/>
    <w:rsid w:val="00CD7919"/>
    <w:rsid w:val="00CD7B00"/>
    <w:rsid w:val="00CD7D28"/>
    <w:rsid w:val="00CD7D8A"/>
    <w:rsid w:val="00CD7DA1"/>
    <w:rsid w:val="00CD7DBB"/>
    <w:rsid w:val="00CD7FBF"/>
    <w:rsid w:val="00CE0075"/>
    <w:rsid w:val="00CE0107"/>
    <w:rsid w:val="00CE0237"/>
    <w:rsid w:val="00CE02D4"/>
    <w:rsid w:val="00CE0606"/>
    <w:rsid w:val="00CE0819"/>
    <w:rsid w:val="00CE0888"/>
    <w:rsid w:val="00CE088C"/>
    <w:rsid w:val="00CE0C8D"/>
    <w:rsid w:val="00CE0CA6"/>
    <w:rsid w:val="00CE0CE9"/>
    <w:rsid w:val="00CE0D1E"/>
    <w:rsid w:val="00CE0D67"/>
    <w:rsid w:val="00CE0DB1"/>
    <w:rsid w:val="00CE0F45"/>
    <w:rsid w:val="00CE0F7F"/>
    <w:rsid w:val="00CE1619"/>
    <w:rsid w:val="00CE17BD"/>
    <w:rsid w:val="00CE18AE"/>
    <w:rsid w:val="00CE19E5"/>
    <w:rsid w:val="00CE1A06"/>
    <w:rsid w:val="00CE1AE4"/>
    <w:rsid w:val="00CE1B1F"/>
    <w:rsid w:val="00CE1B27"/>
    <w:rsid w:val="00CE1F5C"/>
    <w:rsid w:val="00CE2003"/>
    <w:rsid w:val="00CE23CE"/>
    <w:rsid w:val="00CE2812"/>
    <w:rsid w:val="00CE28D6"/>
    <w:rsid w:val="00CE293E"/>
    <w:rsid w:val="00CE2996"/>
    <w:rsid w:val="00CE2AD3"/>
    <w:rsid w:val="00CE2F30"/>
    <w:rsid w:val="00CE2F65"/>
    <w:rsid w:val="00CE314C"/>
    <w:rsid w:val="00CE31F7"/>
    <w:rsid w:val="00CE321B"/>
    <w:rsid w:val="00CE3223"/>
    <w:rsid w:val="00CE32A9"/>
    <w:rsid w:val="00CE332A"/>
    <w:rsid w:val="00CE3645"/>
    <w:rsid w:val="00CE3826"/>
    <w:rsid w:val="00CE38C2"/>
    <w:rsid w:val="00CE38F9"/>
    <w:rsid w:val="00CE3B2F"/>
    <w:rsid w:val="00CE3C11"/>
    <w:rsid w:val="00CE3C71"/>
    <w:rsid w:val="00CE3E80"/>
    <w:rsid w:val="00CE41DF"/>
    <w:rsid w:val="00CE422F"/>
    <w:rsid w:val="00CE4298"/>
    <w:rsid w:val="00CE4826"/>
    <w:rsid w:val="00CE484D"/>
    <w:rsid w:val="00CE4A26"/>
    <w:rsid w:val="00CE4BE0"/>
    <w:rsid w:val="00CE4D50"/>
    <w:rsid w:val="00CE4EE7"/>
    <w:rsid w:val="00CE509B"/>
    <w:rsid w:val="00CE5194"/>
    <w:rsid w:val="00CE5213"/>
    <w:rsid w:val="00CE5310"/>
    <w:rsid w:val="00CE532F"/>
    <w:rsid w:val="00CE5426"/>
    <w:rsid w:val="00CE5610"/>
    <w:rsid w:val="00CE56DA"/>
    <w:rsid w:val="00CE56EA"/>
    <w:rsid w:val="00CE5865"/>
    <w:rsid w:val="00CE58D8"/>
    <w:rsid w:val="00CE59D9"/>
    <w:rsid w:val="00CE5A15"/>
    <w:rsid w:val="00CE5AE4"/>
    <w:rsid w:val="00CE5B7F"/>
    <w:rsid w:val="00CE5BB8"/>
    <w:rsid w:val="00CE5BE1"/>
    <w:rsid w:val="00CE5CC5"/>
    <w:rsid w:val="00CE5D04"/>
    <w:rsid w:val="00CE5DEB"/>
    <w:rsid w:val="00CE5E0E"/>
    <w:rsid w:val="00CE5EB7"/>
    <w:rsid w:val="00CE5F2A"/>
    <w:rsid w:val="00CE5F2D"/>
    <w:rsid w:val="00CE608B"/>
    <w:rsid w:val="00CE61C2"/>
    <w:rsid w:val="00CE6304"/>
    <w:rsid w:val="00CE6324"/>
    <w:rsid w:val="00CE6521"/>
    <w:rsid w:val="00CE68DD"/>
    <w:rsid w:val="00CE696B"/>
    <w:rsid w:val="00CE6AAD"/>
    <w:rsid w:val="00CE6B96"/>
    <w:rsid w:val="00CE6C61"/>
    <w:rsid w:val="00CE6CA7"/>
    <w:rsid w:val="00CE6CEC"/>
    <w:rsid w:val="00CE6D28"/>
    <w:rsid w:val="00CE7099"/>
    <w:rsid w:val="00CE7154"/>
    <w:rsid w:val="00CE73E6"/>
    <w:rsid w:val="00CE7472"/>
    <w:rsid w:val="00CE7719"/>
    <w:rsid w:val="00CE7A46"/>
    <w:rsid w:val="00CE7A53"/>
    <w:rsid w:val="00CE7AE6"/>
    <w:rsid w:val="00CE7B2A"/>
    <w:rsid w:val="00CE7D02"/>
    <w:rsid w:val="00CE7D52"/>
    <w:rsid w:val="00CF0006"/>
    <w:rsid w:val="00CF00B4"/>
    <w:rsid w:val="00CF00EE"/>
    <w:rsid w:val="00CF0142"/>
    <w:rsid w:val="00CF0393"/>
    <w:rsid w:val="00CF04AF"/>
    <w:rsid w:val="00CF04C6"/>
    <w:rsid w:val="00CF0585"/>
    <w:rsid w:val="00CF08C1"/>
    <w:rsid w:val="00CF0940"/>
    <w:rsid w:val="00CF098E"/>
    <w:rsid w:val="00CF0A5A"/>
    <w:rsid w:val="00CF0BBA"/>
    <w:rsid w:val="00CF0C03"/>
    <w:rsid w:val="00CF0CB1"/>
    <w:rsid w:val="00CF0E91"/>
    <w:rsid w:val="00CF0E96"/>
    <w:rsid w:val="00CF0F88"/>
    <w:rsid w:val="00CF12BD"/>
    <w:rsid w:val="00CF15F4"/>
    <w:rsid w:val="00CF1873"/>
    <w:rsid w:val="00CF1903"/>
    <w:rsid w:val="00CF1AA4"/>
    <w:rsid w:val="00CF1BE7"/>
    <w:rsid w:val="00CF1D59"/>
    <w:rsid w:val="00CF1F93"/>
    <w:rsid w:val="00CF20CE"/>
    <w:rsid w:val="00CF210B"/>
    <w:rsid w:val="00CF21F2"/>
    <w:rsid w:val="00CF22C6"/>
    <w:rsid w:val="00CF253A"/>
    <w:rsid w:val="00CF25CE"/>
    <w:rsid w:val="00CF25F2"/>
    <w:rsid w:val="00CF283D"/>
    <w:rsid w:val="00CF2891"/>
    <w:rsid w:val="00CF28A3"/>
    <w:rsid w:val="00CF2902"/>
    <w:rsid w:val="00CF2932"/>
    <w:rsid w:val="00CF2CF8"/>
    <w:rsid w:val="00CF2D90"/>
    <w:rsid w:val="00CF2F55"/>
    <w:rsid w:val="00CF30A0"/>
    <w:rsid w:val="00CF358F"/>
    <w:rsid w:val="00CF3684"/>
    <w:rsid w:val="00CF3714"/>
    <w:rsid w:val="00CF3823"/>
    <w:rsid w:val="00CF39B0"/>
    <w:rsid w:val="00CF39DC"/>
    <w:rsid w:val="00CF3A13"/>
    <w:rsid w:val="00CF3A14"/>
    <w:rsid w:val="00CF3A56"/>
    <w:rsid w:val="00CF3BA8"/>
    <w:rsid w:val="00CF3C57"/>
    <w:rsid w:val="00CF3DCE"/>
    <w:rsid w:val="00CF3DD0"/>
    <w:rsid w:val="00CF3E4D"/>
    <w:rsid w:val="00CF3E55"/>
    <w:rsid w:val="00CF3F0B"/>
    <w:rsid w:val="00CF3F36"/>
    <w:rsid w:val="00CF408C"/>
    <w:rsid w:val="00CF40CE"/>
    <w:rsid w:val="00CF42A5"/>
    <w:rsid w:val="00CF4679"/>
    <w:rsid w:val="00CF47FE"/>
    <w:rsid w:val="00CF4826"/>
    <w:rsid w:val="00CF4AB0"/>
    <w:rsid w:val="00CF4DA4"/>
    <w:rsid w:val="00CF4EBA"/>
    <w:rsid w:val="00CF4F23"/>
    <w:rsid w:val="00CF50E5"/>
    <w:rsid w:val="00CF51A0"/>
    <w:rsid w:val="00CF53D2"/>
    <w:rsid w:val="00CF54E4"/>
    <w:rsid w:val="00CF5696"/>
    <w:rsid w:val="00CF57B9"/>
    <w:rsid w:val="00CF57BF"/>
    <w:rsid w:val="00CF5A14"/>
    <w:rsid w:val="00CF5C36"/>
    <w:rsid w:val="00CF5CC3"/>
    <w:rsid w:val="00CF5DF1"/>
    <w:rsid w:val="00CF5E6A"/>
    <w:rsid w:val="00CF5F17"/>
    <w:rsid w:val="00CF5FB1"/>
    <w:rsid w:val="00CF61A2"/>
    <w:rsid w:val="00CF61FE"/>
    <w:rsid w:val="00CF6566"/>
    <w:rsid w:val="00CF6697"/>
    <w:rsid w:val="00CF67D8"/>
    <w:rsid w:val="00CF693B"/>
    <w:rsid w:val="00CF6949"/>
    <w:rsid w:val="00CF69B6"/>
    <w:rsid w:val="00CF6A81"/>
    <w:rsid w:val="00CF6A9F"/>
    <w:rsid w:val="00CF6AAB"/>
    <w:rsid w:val="00CF6AF7"/>
    <w:rsid w:val="00CF6B09"/>
    <w:rsid w:val="00CF6B44"/>
    <w:rsid w:val="00CF6B9E"/>
    <w:rsid w:val="00CF6BF8"/>
    <w:rsid w:val="00CF6E9F"/>
    <w:rsid w:val="00CF6FB6"/>
    <w:rsid w:val="00CF7186"/>
    <w:rsid w:val="00CF72C6"/>
    <w:rsid w:val="00CF72E7"/>
    <w:rsid w:val="00CF72E9"/>
    <w:rsid w:val="00CF72EF"/>
    <w:rsid w:val="00CF74D0"/>
    <w:rsid w:val="00CF7543"/>
    <w:rsid w:val="00CF767A"/>
    <w:rsid w:val="00CF7809"/>
    <w:rsid w:val="00CF7874"/>
    <w:rsid w:val="00CF78C2"/>
    <w:rsid w:val="00CF78E7"/>
    <w:rsid w:val="00CF7956"/>
    <w:rsid w:val="00CF7A6B"/>
    <w:rsid w:val="00CF7BC8"/>
    <w:rsid w:val="00CF7BD2"/>
    <w:rsid w:val="00CF7D06"/>
    <w:rsid w:val="00CF7E15"/>
    <w:rsid w:val="00CF7E88"/>
    <w:rsid w:val="00CF7EFB"/>
    <w:rsid w:val="00CF7F28"/>
    <w:rsid w:val="00D00011"/>
    <w:rsid w:val="00D002CB"/>
    <w:rsid w:val="00D005CB"/>
    <w:rsid w:val="00D00602"/>
    <w:rsid w:val="00D007CE"/>
    <w:rsid w:val="00D007E8"/>
    <w:rsid w:val="00D0098E"/>
    <w:rsid w:val="00D009FA"/>
    <w:rsid w:val="00D00D9C"/>
    <w:rsid w:val="00D00E46"/>
    <w:rsid w:val="00D00EA6"/>
    <w:rsid w:val="00D00F04"/>
    <w:rsid w:val="00D0106D"/>
    <w:rsid w:val="00D0111F"/>
    <w:rsid w:val="00D011E8"/>
    <w:rsid w:val="00D011FC"/>
    <w:rsid w:val="00D0136F"/>
    <w:rsid w:val="00D013C3"/>
    <w:rsid w:val="00D01417"/>
    <w:rsid w:val="00D0143C"/>
    <w:rsid w:val="00D01442"/>
    <w:rsid w:val="00D0167F"/>
    <w:rsid w:val="00D01774"/>
    <w:rsid w:val="00D0185E"/>
    <w:rsid w:val="00D0190E"/>
    <w:rsid w:val="00D0194F"/>
    <w:rsid w:val="00D01ACD"/>
    <w:rsid w:val="00D01B07"/>
    <w:rsid w:val="00D01C54"/>
    <w:rsid w:val="00D01ED0"/>
    <w:rsid w:val="00D01EFF"/>
    <w:rsid w:val="00D01F02"/>
    <w:rsid w:val="00D01F85"/>
    <w:rsid w:val="00D0204C"/>
    <w:rsid w:val="00D0205A"/>
    <w:rsid w:val="00D02087"/>
    <w:rsid w:val="00D021FF"/>
    <w:rsid w:val="00D0220F"/>
    <w:rsid w:val="00D0224F"/>
    <w:rsid w:val="00D02700"/>
    <w:rsid w:val="00D02771"/>
    <w:rsid w:val="00D027AC"/>
    <w:rsid w:val="00D02CB4"/>
    <w:rsid w:val="00D02FC3"/>
    <w:rsid w:val="00D03031"/>
    <w:rsid w:val="00D030B7"/>
    <w:rsid w:val="00D031B9"/>
    <w:rsid w:val="00D03546"/>
    <w:rsid w:val="00D038A8"/>
    <w:rsid w:val="00D03A39"/>
    <w:rsid w:val="00D03B93"/>
    <w:rsid w:val="00D03DAF"/>
    <w:rsid w:val="00D03E30"/>
    <w:rsid w:val="00D03F1B"/>
    <w:rsid w:val="00D03FA7"/>
    <w:rsid w:val="00D03FFA"/>
    <w:rsid w:val="00D0412E"/>
    <w:rsid w:val="00D0432F"/>
    <w:rsid w:val="00D04393"/>
    <w:rsid w:val="00D04414"/>
    <w:rsid w:val="00D04477"/>
    <w:rsid w:val="00D045E9"/>
    <w:rsid w:val="00D04624"/>
    <w:rsid w:val="00D047E4"/>
    <w:rsid w:val="00D04B12"/>
    <w:rsid w:val="00D04C0C"/>
    <w:rsid w:val="00D04F06"/>
    <w:rsid w:val="00D04FC9"/>
    <w:rsid w:val="00D050AB"/>
    <w:rsid w:val="00D0514A"/>
    <w:rsid w:val="00D054B8"/>
    <w:rsid w:val="00D058F7"/>
    <w:rsid w:val="00D05951"/>
    <w:rsid w:val="00D05983"/>
    <w:rsid w:val="00D059F1"/>
    <w:rsid w:val="00D05B10"/>
    <w:rsid w:val="00D05C81"/>
    <w:rsid w:val="00D05CA9"/>
    <w:rsid w:val="00D05EC6"/>
    <w:rsid w:val="00D0609F"/>
    <w:rsid w:val="00D060B4"/>
    <w:rsid w:val="00D061E0"/>
    <w:rsid w:val="00D06219"/>
    <w:rsid w:val="00D062C7"/>
    <w:rsid w:val="00D062DA"/>
    <w:rsid w:val="00D062E4"/>
    <w:rsid w:val="00D0642C"/>
    <w:rsid w:val="00D06C26"/>
    <w:rsid w:val="00D06D6E"/>
    <w:rsid w:val="00D06DE2"/>
    <w:rsid w:val="00D06E0F"/>
    <w:rsid w:val="00D06E7D"/>
    <w:rsid w:val="00D06FE3"/>
    <w:rsid w:val="00D07061"/>
    <w:rsid w:val="00D07066"/>
    <w:rsid w:val="00D070FF"/>
    <w:rsid w:val="00D0712A"/>
    <w:rsid w:val="00D07238"/>
    <w:rsid w:val="00D07315"/>
    <w:rsid w:val="00D0733E"/>
    <w:rsid w:val="00D07406"/>
    <w:rsid w:val="00D07D11"/>
    <w:rsid w:val="00D07D4D"/>
    <w:rsid w:val="00D07D84"/>
    <w:rsid w:val="00D10014"/>
    <w:rsid w:val="00D10226"/>
    <w:rsid w:val="00D10400"/>
    <w:rsid w:val="00D10506"/>
    <w:rsid w:val="00D10530"/>
    <w:rsid w:val="00D105C3"/>
    <w:rsid w:val="00D105EB"/>
    <w:rsid w:val="00D10606"/>
    <w:rsid w:val="00D106D8"/>
    <w:rsid w:val="00D1072A"/>
    <w:rsid w:val="00D10D45"/>
    <w:rsid w:val="00D10D89"/>
    <w:rsid w:val="00D10EF6"/>
    <w:rsid w:val="00D10F3F"/>
    <w:rsid w:val="00D10F9F"/>
    <w:rsid w:val="00D11059"/>
    <w:rsid w:val="00D110D2"/>
    <w:rsid w:val="00D110EB"/>
    <w:rsid w:val="00D11687"/>
    <w:rsid w:val="00D11707"/>
    <w:rsid w:val="00D11899"/>
    <w:rsid w:val="00D118DA"/>
    <w:rsid w:val="00D119E5"/>
    <w:rsid w:val="00D11C90"/>
    <w:rsid w:val="00D11CC9"/>
    <w:rsid w:val="00D11D0F"/>
    <w:rsid w:val="00D11E1D"/>
    <w:rsid w:val="00D123DB"/>
    <w:rsid w:val="00D124A3"/>
    <w:rsid w:val="00D12703"/>
    <w:rsid w:val="00D12A28"/>
    <w:rsid w:val="00D12BDE"/>
    <w:rsid w:val="00D12C64"/>
    <w:rsid w:val="00D12D63"/>
    <w:rsid w:val="00D12DF0"/>
    <w:rsid w:val="00D12E86"/>
    <w:rsid w:val="00D12EE5"/>
    <w:rsid w:val="00D12FDA"/>
    <w:rsid w:val="00D13072"/>
    <w:rsid w:val="00D130AE"/>
    <w:rsid w:val="00D13603"/>
    <w:rsid w:val="00D1360F"/>
    <w:rsid w:val="00D13628"/>
    <w:rsid w:val="00D136D6"/>
    <w:rsid w:val="00D13794"/>
    <w:rsid w:val="00D137DC"/>
    <w:rsid w:val="00D13ABD"/>
    <w:rsid w:val="00D13AE2"/>
    <w:rsid w:val="00D13B23"/>
    <w:rsid w:val="00D13BA5"/>
    <w:rsid w:val="00D13BFC"/>
    <w:rsid w:val="00D13CF7"/>
    <w:rsid w:val="00D13E46"/>
    <w:rsid w:val="00D13E51"/>
    <w:rsid w:val="00D13E68"/>
    <w:rsid w:val="00D13FE5"/>
    <w:rsid w:val="00D1407D"/>
    <w:rsid w:val="00D140D6"/>
    <w:rsid w:val="00D14543"/>
    <w:rsid w:val="00D14629"/>
    <w:rsid w:val="00D14945"/>
    <w:rsid w:val="00D14B6C"/>
    <w:rsid w:val="00D14F4E"/>
    <w:rsid w:val="00D15010"/>
    <w:rsid w:val="00D1561C"/>
    <w:rsid w:val="00D1562C"/>
    <w:rsid w:val="00D1572D"/>
    <w:rsid w:val="00D15736"/>
    <w:rsid w:val="00D157EA"/>
    <w:rsid w:val="00D160FE"/>
    <w:rsid w:val="00D1630B"/>
    <w:rsid w:val="00D1634C"/>
    <w:rsid w:val="00D16357"/>
    <w:rsid w:val="00D163E7"/>
    <w:rsid w:val="00D1653A"/>
    <w:rsid w:val="00D1658B"/>
    <w:rsid w:val="00D16787"/>
    <w:rsid w:val="00D1678E"/>
    <w:rsid w:val="00D16797"/>
    <w:rsid w:val="00D16B6C"/>
    <w:rsid w:val="00D16CDF"/>
    <w:rsid w:val="00D16D84"/>
    <w:rsid w:val="00D16F84"/>
    <w:rsid w:val="00D17165"/>
    <w:rsid w:val="00D1719B"/>
    <w:rsid w:val="00D171AD"/>
    <w:rsid w:val="00D17267"/>
    <w:rsid w:val="00D1764F"/>
    <w:rsid w:val="00D17690"/>
    <w:rsid w:val="00D17841"/>
    <w:rsid w:val="00D17A03"/>
    <w:rsid w:val="00D17B78"/>
    <w:rsid w:val="00D17CEE"/>
    <w:rsid w:val="00D17E4E"/>
    <w:rsid w:val="00D17EB9"/>
    <w:rsid w:val="00D17F35"/>
    <w:rsid w:val="00D17F6C"/>
    <w:rsid w:val="00D17FB4"/>
    <w:rsid w:val="00D20021"/>
    <w:rsid w:val="00D2015D"/>
    <w:rsid w:val="00D203BF"/>
    <w:rsid w:val="00D2044A"/>
    <w:rsid w:val="00D2058D"/>
    <w:rsid w:val="00D206DE"/>
    <w:rsid w:val="00D2095C"/>
    <w:rsid w:val="00D209AB"/>
    <w:rsid w:val="00D209E9"/>
    <w:rsid w:val="00D20A3C"/>
    <w:rsid w:val="00D20AA4"/>
    <w:rsid w:val="00D20D12"/>
    <w:rsid w:val="00D20E8A"/>
    <w:rsid w:val="00D20FD9"/>
    <w:rsid w:val="00D21166"/>
    <w:rsid w:val="00D211BE"/>
    <w:rsid w:val="00D2124F"/>
    <w:rsid w:val="00D21269"/>
    <w:rsid w:val="00D212BC"/>
    <w:rsid w:val="00D213C1"/>
    <w:rsid w:val="00D214B9"/>
    <w:rsid w:val="00D21759"/>
    <w:rsid w:val="00D2179B"/>
    <w:rsid w:val="00D217E3"/>
    <w:rsid w:val="00D218C8"/>
    <w:rsid w:val="00D2196A"/>
    <w:rsid w:val="00D21BAB"/>
    <w:rsid w:val="00D21C7C"/>
    <w:rsid w:val="00D21CA3"/>
    <w:rsid w:val="00D21D75"/>
    <w:rsid w:val="00D21E90"/>
    <w:rsid w:val="00D21F21"/>
    <w:rsid w:val="00D22163"/>
    <w:rsid w:val="00D2219F"/>
    <w:rsid w:val="00D221C8"/>
    <w:rsid w:val="00D223CE"/>
    <w:rsid w:val="00D2248E"/>
    <w:rsid w:val="00D2271D"/>
    <w:rsid w:val="00D22856"/>
    <w:rsid w:val="00D228BC"/>
    <w:rsid w:val="00D22EE3"/>
    <w:rsid w:val="00D22FCC"/>
    <w:rsid w:val="00D232B8"/>
    <w:rsid w:val="00D23307"/>
    <w:rsid w:val="00D23324"/>
    <w:rsid w:val="00D233B0"/>
    <w:rsid w:val="00D234A4"/>
    <w:rsid w:val="00D23517"/>
    <w:rsid w:val="00D23544"/>
    <w:rsid w:val="00D235F3"/>
    <w:rsid w:val="00D2361A"/>
    <w:rsid w:val="00D2368B"/>
    <w:rsid w:val="00D236DD"/>
    <w:rsid w:val="00D2392B"/>
    <w:rsid w:val="00D23A5B"/>
    <w:rsid w:val="00D23AE7"/>
    <w:rsid w:val="00D23B2E"/>
    <w:rsid w:val="00D23BB8"/>
    <w:rsid w:val="00D23CC0"/>
    <w:rsid w:val="00D23DA3"/>
    <w:rsid w:val="00D23F19"/>
    <w:rsid w:val="00D2413F"/>
    <w:rsid w:val="00D241D6"/>
    <w:rsid w:val="00D24256"/>
    <w:rsid w:val="00D24359"/>
    <w:rsid w:val="00D243FB"/>
    <w:rsid w:val="00D24421"/>
    <w:rsid w:val="00D244E7"/>
    <w:rsid w:val="00D24504"/>
    <w:rsid w:val="00D24510"/>
    <w:rsid w:val="00D24533"/>
    <w:rsid w:val="00D2457C"/>
    <w:rsid w:val="00D24732"/>
    <w:rsid w:val="00D249C8"/>
    <w:rsid w:val="00D24AD2"/>
    <w:rsid w:val="00D24BF0"/>
    <w:rsid w:val="00D24C18"/>
    <w:rsid w:val="00D24DA5"/>
    <w:rsid w:val="00D24E03"/>
    <w:rsid w:val="00D24EBD"/>
    <w:rsid w:val="00D24ED4"/>
    <w:rsid w:val="00D25022"/>
    <w:rsid w:val="00D251C0"/>
    <w:rsid w:val="00D2521C"/>
    <w:rsid w:val="00D252E7"/>
    <w:rsid w:val="00D25448"/>
    <w:rsid w:val="00D25484"/>
    <w:rsid w:val="00D25928"/>
    <w:rsid w:val="00D25B4F"/>
    <w:rsid w:val="00D25C43"/>
    <w:rsid w:val="00D25D13"/>
    <w:rsid w:val="00D25D74"/>
    <w:rsid w:val="00D26238"/>
    <w:rsid w:val="00D262BA"/>
    <w:rsid w:val="00D26302"/>
    <w:rsid w:val="00D2659A"/>
    <w:rsid w:val="00D2659F"/>
    <w:rsid w:val="00D26760"/>
    <w:rsid w:val="00D267AB"/>
    <w:rsid w:val="00D269BF"/>
    <w:rsid w:val="00D26B09"/>
    <w:rsid w:val="00D26B3F"/>
    <w:rsid w:val="00D26C1F"/>
    <w:rsid w:val="00D26C6E"/>
    <w:rsid w:val="00D26C79"/>
    <w:rsid w:val="00D26CB4"/>
    <w:rsid w:val="00D26CFA"/>
    <w:rsid w:val="00D26D81"/>
    <w:rsid w:val="00D26E0B"/>
    <w:rsid w:val="00D26E7A"/>
    <w:rsid w:val="00D26FB4"/>
    <w:rsid w:val="00D270A7"/>
    <w:rsid w:val="00D270E3"/>
    <w:rsid w:val="00D27285"/>
    <w:rsid w:val="00D2747F"/>
    <w:rsid w:val="00D274F4"/>
    <w:rsid w:val="00D27558"/>
    <w:rsid w:val="00D27619"/>
    <w:rsid w:val="00D276AB"/>
    <w:rsid w:val="00D276D8"/>
    <w:rsid w:val="00D279A3"/>
    <w:rsid w:val="00D27AAB"/>
    <w:rsid w:val="00D27C38"/>
    <w:rsid w:val="00D27D8B"/>
    <w:rsid w:val="00D27EFE"/>
    <w:rsid w:val="00D27FF1"/>
    <w:rsid w:val="00D3003F"/>
    <w:rsid w:val="00D300DE"/>
    <w:rsid w:val="00D30189"/>
    <w:rsid w:val="00D302E1"/>
    <w:rsid w:val="00D30628"/>
    <w:rsid w:val="00D30688"/>
    <w:rsid w:val="00D30912"/>
    <w:rsid w:val="00D3099C"/>
    <w:rsid w:val="00D30AF5"/>
    <w:rsid w:val="00D30BB4"/>
    <w:rsid w:val="00D30C9F"/>
    <w:rsid w:val="00D310B9"/>
    <w:rsid w:val="00D3110A"/>
    <w:rsid w:val="00D311A4"/>
    <w:rsid w:val="00D31349"/>
    <w:rsid w:val="00D31385"/>
    <w:rsid w:val="00D31450"/>
    <w:rsid w:val="00D3163F"/>
    <w:rsid w:val="00D317BE"/>
    <w:rsid w:val="00D318E4"/>
    <w:rsid w:val="00D31A5D"/>
    <w:rsid w:val="00D31B14"/>
    <w:rsid w:val="00D31B21"/>
    <w:rsid w:val="00D31C66"/>
    <w:rsid w:val="00D31D14"/>
    <w:rsid w:val="00D31D1B"/>
    <w:rsid w:val="00D31D77"/>
    <w:rsid w:val="00D31E46"/>
    <w:rsid w:val="00D31EF2"/>
    <w:rsid w:val="00D32014"/>
    <w:rsid w:val="00D3209B"/>
    <w:rsid w:val="00D321FE"/>
    <w:rsid w:val="00D3225C"/>
    <w:rsid w:val="00D3230E"/>
    <w:rsid w:val="00D32347"/>
    <w:rsid w:val="00D3248F"/>
    <w:rsid w:val="00D32600"/>
    <w:rsid w:val="00D3274D"/>
    <w:rsid w:val="00D327E2"/>
    <w:rsid w:val="00D32827"/>
    <w:rsid w:val="00D3293A"/>
    <w:rsid w:val="00D32972"/>
    <w:rsid w:val="00D32AB8"/>
    <w:rsid w:val="00D32AFC"/>
    <w:rsid w:val="00D32DCD"/>
    <w:rsid w:val="00D32EB1"/>
    <w:rsid w:val="00D330CD"/>
    <w:rsid w:val="00D33519"/>
    <w:rsid w:val="00D3372A"/>
    <w:rsid w:val="00D339C2"/>
    <w:rsid w:val="00D339DD"/>
    <w:rsid w:val="00D33C13"/>
    <w:rsid w:val="00D33EBF"/>
    <w:rsid w:val="00D340AF"/>
    <w:rsid w:val="00D340D1"/>
    <w:rsid w:val="00D340EC"/>
    <w:rsid w:val="00D34243"/>
    <w:rsid w:val="00D34301"/>
    <w:rsid w:val="00D3441D"/>
    <w:rsid w:val="00D3448D"/>
    <w:rsid w:val="00D3472B"/>
    <w:rsid w:val="00D34B3E"/>
    <w:rsid w:val="00D34B81"/>
    <w:rsid w:val="00D34D2A"/>
    <w:rsid w:val="00D34DA7"/>
    <w:rsid w:val="00D34DB0"/>
    <w:rsid w:val="00D34EA0"/>
    <w:rsid w:val="00D34FE6"/>
    <w:rsid w:val="00D35066"/>
    <w:rsid w:val="00D3519B"/>
    <w:rsid w:val="00D35672"/>
    <w:rsid w:val="00D358A8"/>
    <w:rsid w:val="00D358F7"/>
    <w:rsid w:val="00D359D3"/>
    <w:rsid w:val="00D359DB"/>
    <w:rsid w:val="00D35AAA"/>
    <w:rsid w:val="00D35ED8"/>
    <w:rsid w:val="00D360CC"/>
    <w:rsid w:val="00D36356"/>
    <w:rsid w:val="00D364EC"/>
    <w:rsid w:val="00D365D8"/>
    <w:rsid w:val="00D36897"/>
    <w:rsid w:val="00D3689A"/>
    <w:rsid w:val="00D368B3"/>
    <w:rsid w:val="00D36B16"/>
    <w:rsid w:val="00D36D7E"/>
    <w:rsid w:val="00D36DA0"/>
    <w:rsid w:val="00D36DF7"/>
    <w:rsid w:val="00D36F60"/>
    <w:rsid w:val="00D37107"/>
    <w:rsid w:val="00D374CB"/>
    <w:rsid w:val="00D37666"/>
    <w:rsid w:val="00D37753"/>
    <w:rsid w:val="00D37ACA"/>
    <w:rsid w:val="00D37D1B"/>
    <w:rsid w:val="00D37F36"/>
    <w:rsid w:val="00D402FC"/>
    <w:rsid w:val="00D40453"/>
    <w:rsid w:val="00D40458"/>
    <w:rsid w:val="00D40AC3"/>
    <w:rsid w:val="00D40C60"/>
    <w:rsid w:val="00D40CB8"/>
    <w:rsid w:val="00D40E48"/>
    <w:rsid w:val="00D40F4D"/>
    <w:rsid w:val="00D4129F"/>
    <w:rsid w:val="00D412EC"/>
    <w:rsid w:val="00D419B5"/>
    <w:rsid w:val="00D41A09"/>
    <w:rsid w:val="00D41A13"/>
    <w:rsid w:val="00D41B01"/>
    <w:rsid w:val="00D41B21"/>
    <w:rsid w:val="00D41EBD"/>
    <w:rsid w:val="00D41FB5"/>
    <w:rsid w:val="00D422A5"/>
    <w:rsid w:val="00D422AA"/>
    <w:rsid w:val="00D42311"/>
    <w:rsid w:val="00D42337"/>
    <w:rsid w:val="00D42354"/>
    <w:rsid w:val="00D42369"/>
    <w:rsid w:val="00D42422"/>
    <w:rsid w:val="00D4259C"/>
    <w:rsid w:val="00D42602"/>
    <w:rsid w:val="00D42646"/>
    <w:rsid w:val="00D42B64"/>
    <w:rsid w:val="00D42E7A"/>
    <w:rsid w:val="00D42FF7"/>
    <w:rsid w:val="00D43082"/>
    <w:rsid w:val="00D43276"/>
    <w:rsid w:val="00D43387"/>
    <w:rsid w:val="00D43611"/>
    <w:rsid w:val="00D436EB"/>
    <w:rsid w:val="00D43724"/>
    <w:rsid w:val="00D43771"/>
    <w:rsid w:val="00D4383D"/>
    <w:rsid w:val="00D43AC4"/>
    <w:rsid w:val="00D43AC7"/>
    <w:rsid w:val="00D43B14"/>
    <w:rsid w:val="00D43B53"/>
    <w:rsid w:val="00D43B6E"/>
    <w:rsid w:val="00D43DC9"/>
    <w:rsid w:val="00D43ED9"/>
    <w:rsid w:val="00D44004"/>
    <w:rsid w:val="00D44010"/>
    <w:rsid w:val="00D440DA"/>
    <w:rsid w:val="00D44266"/>
    <w:rsid w:val="00D4454A"/>
    <w:rsid w:val="00D445BF"/>
    <w:rsid w:val="00D44664"/>
    <w:rsid w:val="00D44671"/>
    <w:rsid w:val="00D44C38"/>
    <w:rsid w:val="00D44D58"/>
    <w:rsid w:val="00D4505B"/>
    <w:rsid w:val="00D451AB"/>
    <w:rsid w:val="00D451DA"/>
    <w:rsid w:val="00D4556A"/>
    <w:rsid w:val="00D456B6"/>
    <w:rsid w:val="00D456DF"/>
    <w:rsid w:val="00D45733"/>
    <w:rsid w:val="00D459CB"/>
    <w:rsid w:val="00D45A23"/>
    <w:rsid w:val="00D45A7E"/>
    <w:rsid w:val="00D45A9B"/>
    <w:rsid w:val="00D45CC1"/>
    <w:rsid w:val="00D45D66"/>
    <w:rsid w:val="00D45D85"/>
    <w:rsid w:val="00D46068"/>
    <w:rsid w:val="00D46285"/>
    <w:rsid w:val="00D464C3"/>
    <w:rsid w:val="00D464E0"/>
    <w:rsid w:val="00D4650F"/>
    <w:rsid w:val="00D4655A"/>
    <w:rsid w:val="00D465A0"/>
    <w:rsid w:val="00D46617"/>
    <w:rsid w:val="00D46872"/>
    <w:rsid w:val="00D46BAF"/>
    <w:rsid w:val="00D46D05"/>
    <w:rsid w:val="00D46D16"/>
    <w:rsid w:val="00D46DC3"/>
    <w:rsid w:val="00D47062"/>
    <w:rsid w:val="00D471CA"/>
    <w:rsid w:val="00D4741A"/>
    <w:rsid w:val="00D474C1"/>
    <w:rsid w:val="00D4762D"/>
    <w:rsid w:val="00D476E3"/>
    <w:rsid w:val="00D47800"/>
    <w:rsid w:val="00D478DD"/>
    <w:rsid w:val="00D4793D"/>
    <w:rsid w:val="00D47B71"/>
    <w:rsid w:val="00D47BEA"/>
    <w:rsid w:val="00D47CB4"/>
    <w:rsid w:val="00D47CD8"/>
    <w:rsid w:val="00D47F10"/>
    <w:rsid w:val="00D47F20"/>
    <w:rsid w:val="00D5007F"/>
    <w:rsid w:val="00D500BA"/>
    <w:rsid w:val="00D50195"/>
    <w:rsid w:val="00D5063F"/>
    <w:rsid w:val="00D50707"/>
    <w:rsid w:val="00D5093B"/>
    <w:rsid w:val="00D50997"/>
    <w:rsid w:val="00D50BD7"/>
    <w:rsid w:val="00D50C96"/>
    <w:rsid w:val="00D510DE"/>
    <w:rsid w:val="00D51148"/>
    <w:rsid w:val="00D512D1"/>
    <w:rsid w:val="00D512D5"/>
    <w:rsid w:val="00D51441"/>
    <w:rsid w:val="00D51452"/>
    <w:rsid w:val="00D51662"/>
    <w:rsid w:val="00D516E4"/>
    <w:rsid w:val="00D51806"/>
    <w:rsid w:val="00D51866"/>
    <w:rsid w:val="00D51889"/>
    <w:rsid w:val="00D51B43"/>
    <w:rsid w:val="00D51C41"/>
    <w:rsid w:val="00D51D64"/>
    <w:rsid w:val="00D51DF1"/>
    <w:rsid w:val="00D51EC1"/>
    <w:rsid w:val="00D51F54"/>
    <w:rsid w:val="00D5205B"/>
    <w:rsid w:val="00D520C8"/>
    <w:rsid w:val="00D52123"/>
    <w:rsid w:val="00D522A9"/>
    <w:rsid w:val="00D52341"/>
    <w:rsid w:val="00D52358"/>
    <w:rsid w:val="00D525F0"/>
    <w:rsid w:val="00D526BE"/>
    <w:rsid w:val="00D52733"/>
    <w:rsid w:val="00D52B24"/>
    <w:rsid w:val="00D52EF8"/>
    <w:rsid w:val="00D52FBC"/>
    <w:rsid w:val="00D52FED"/>
    <w:rsid w:val="00D5302C"/>
    <w:rsid w:val="00D53181"/>
    <w:rsid w:val="00D53265"/>
    <w:rsid w:val="00D534A5"/>
    <w:rsid w:val="00D5362A"/>
    <w:rsid w:val="00D53664"/>
    <w:rsid w:val="00D53700"/>
    <w:rsid w:val="00D53720"/>
    <w:rsid w:val="00D53904"/>
    <w:rsid w:val="00D53E4D"/>
    <w:rsid w:val="00D54092"/>
    <w:rsid w:val="00D54334"/>
    <w:rsid w:val="00D543ED"/>
    <w:rsid w:val="00D543EE"/>
    <w:rsid w:val="00D54443"/>
    <w:rsid w:val="00D5478F"/>
    <w:rsid w:val="00D547BB"/>
    <w:rsid w:val="00D54915"/>
    <w:rsid w:val="00D5492E"/>
    <w:rsid w:val="00D54B89"/>
    <w:rsid w:val="00D54C80"/>
    <w:rsid w:val="00D54E99"/>
    <w:rsid w:val="00D54EA8"/>
    <w:rsid w:val="00D550E1"/>
    <w:rsid w:val="00D55120"/>
    <w:rsid w:val="00D55303"/>
    <w:rsid w:val="00D55310"/>
    <w:rsid w:val="00D553A5"/>
    <w:rsid w:val="00D55494"/>
    <w:rsid w:val="00D557FB"/>
    <w:rsid w:val="00D559D5"/>
    <w:rsid w:val="00D55C19"/>
    <w:rsid w:val="00D55D90"/>
    <w:rsid w:val="00D55DA7"/>
    <w:rsid w:val="00D55E66"/>
    <w:rsid w:val="00D55E7E"/>
    <w:rsid w:val="00D55F38"/>
    <w:rsid w:val="00D562CC"/>
    <w:rsid w:val="00D566A7"/>
    <w:rsid w:val="00D566CD"/>
    <w:rsid w:val="00D56D63"/>
    <w:rsid w:val="00D56DDD"/>
    <w:rsid w:val="00D56EB6"/>
    <w:rsid w:val="00D56F03"/>
    <w:rsid w:val="00D56F7F"/>
    <w:rsid w:val="00D56FA0"/>
    <w:rsid w:val="00D57147"/>
    <w:rsid w:val="00D5717C"/>
    <w:rsid w:val="00D5733F"/>
    <w:rsid w:val="00D57456"/>
    <w:rsid w:val="00D574A6"/>
    <w:rsid w:val="00D57544"/>
    <w:rsid w:val="00D5754F"/>
    <w:rsid w:val="00D57AED"/>
    <w:rsid w:val="00D57CD9"/>
    <w:rsid w:val="00D600FD"/>
    <w:rsid w:val="00D60184"/>
    <w:rsid w:val="00D6035A"/>
    <w:rsid w:val="00D60439"/>
    <w:rsid w:val="00D60481"/>
    <w:rsid w:val="00D605F4"/>
    <w:rsid w:val="00D60694"/>
    <w:rsid w:val="00D60797"/>
    <w:rsid w:val="00D60843"/>
    <w:rsid w:val="00D608B8"/>
    <w:rsid w:val="00D60B43"/>
    <w:rsid w:val="00D60B61"/>
    <w:rsid w:val="00D60C18"/>
    <w:rsid w:val="00D60FFC"/>
    <w:rsid w:val="00D6100F"/>
    <w:rsid w:val="00D61128"/>
    <w:rsid w:val="00D61224"/>
    <w:rsid w:val="00D61281"/>
    <w:rsid w:val="00D612F0"/>
    <w:rsid w:val="00D616FE"/>
    <w:rsid w:val="00D617B1"/>
    <w:rsid w:val="00D617B2"/>
    <w:rsid w:val="00D61A4D"/>
    <w:rsid w:val="00D61D68"/>
    <w:rsid w:val="00D61DFE"/>
    <w:rsid w:val="00D62026"/>
    <w:rsid w:val="00D621E1"/>
    <w:rsid w:val="00D62257"/>
    <w:rsid w:val="00D623C0"/>
    <w:rsid w:val="00D62548"/>
    <w:rsid w:val="00D625BF"/>
    <w:rsid w:val="00D6285E"/>
    <w:rsid w:val="00D62897"/>
    <w:rsid w:val="00D629BE"/>
    <w:rsid w:val="00D629EF"/>
    <w:rsid w:val="00D62B7B"/>
    <w:rsid w:val="00D62BDA"/>
    <w:rsid w:val="00D62C9D"/>
    <w:rsid w:val="00D62ECF"/>
    <w:rsid w:val="00D62EF2"/>
    <w:rsid w:val="00D62EF8"/>
    <w:rsid w:val="00D62F1C"/>
    <w:rsid w:val="00D63092"/>
    <w:rsid w:val="00D63142"/>
    <w:rsid w:val="00D631A4"/>
    <w:rsid w:val="00D63294"/>
    <w:rsid w:val="00D6339E"/>
    <w:rsid w:val="00D634B3"/>
    <w:rsid w:val="00D63561"/>
    <w:rsid w:val="00D6389D"/>
    <w:rsid w:val="00D63A70"/>
    <w:rsid w:val="00D63B6D"/>
    <w:rsid w:val="00D63B8A"/>
    <w:rsid w:val="00D63BD6"/>
    <w:rsid w:val="00D63C9B"/>
    <w:rsid w:val="00D63FB3"/>
    <w:rsid w:val="00D64198"/>
    <w:rsid w:val="00D641EB"/>
    <w:rsid w:val="00D642FB"/>
    <w:rsid w:val="00D646B0"/>
    <w:rsid w:val="00D64765"/>
    <w:rsid w:val="00D649BC"/>
    <w:rsid w:val="00D64A05"/>
    <w:rsid w:val="00D64E89"/>
    <w:rsid w:val="00D64EC7"/>
    <w:rsid w:val="00D64FCA"/>
    <w:rsid w:val="00D65018"/>
    <w:rsid w:val="00D65059"/>
    <w:rsid w:val="00D650A4"/>
    <w:rsid w:val="00D6514B"/>
    <w:rsid w:val="00D6547C"/>
    <w:rsid w:val="00D6550F"/>
    <w:rsid w:val="00D65705"/>
    <w:rsid w:val="00D658F2"/>
    <w:rsid w:val="00D659E5"/>
    <w:rsid w:val="00D65B0A"/>
    <w:rsid w:val="00D65BA1"/>
    <w:rsid w:val="00D65BF6"/>
    <w:rsid w:val="00D65ED0"/>
    <w:rsid w:val="00D660CE"/>
    <w:rsid w:val="00D66129"/>
    <w:rsid w:val="00D664E3"/>
    <w:rsid w:val="00D66634"/>
    <w:rsid w:val="00D6667A"/>
    <w:rsid w:val="00D6668B"/>
    <w:rsid w:val="00D669E7"/>
    <w:rsid w:val="00D67135"/>
    <w:rsid w:val="00D67351"/>
    <w:rsid w:val="00D6735A"/>
    <w:rsid w:val="00D67456"/>
    <w:rsid w:val="00D6768E"/>
    <w:rsid w:val="00D676B1"/>
    <w:rsid w:val="00D67787"/>
    <w:rsid w:val="00D677C1"/>
    <w:rsid w:val="00D67884"/>
    <w:rsid w:val="00D678D5"/>
    <w:rsid w:val="00D67AA0"/>
    <w:rsid w:val="00D67F95"/>
    <w:rsid w:val="00D700D5"/>
    <w:rsid w:val="00D701C1"/>
    <w:rsid w:val="00D701CC"/>
    <w:rsid w:val="00D703AF"/>
    <w:rsid w:val="00D703DF"/>
    <w:rsid w:val="00D705DA"/>
    <w:rsid w:val="00D70607"/>
    <w:rsid w:val="00D706C5"/>
    <w:rsid w:val="00D706E2"/>
    <w:rsid w:val="00D707A2"/>
    <w:rsid w:val="00D707E7"/>
    <w:rsid w:val="00D7089B"/>
    <w:rsid w:val="00D708A2"/>
    <w:rsid w:val="00D7096D"/>
    <w:rsid w:val="00D70A13"/>
    <w:rsid w:val="00D70AFD"/>
    <w:rsid w:val="00D70C4A"/>
    <w:rsid w:val="00D70D00"/>
    <w:rsid w:val="00D70D57"/>
    <w:rsid w:val="00D70D71"/>
    <w:rsid w:val="00D70D97"/>
    <w:rsid w:val="00D70DDD"/>
    <w:rsid w:val="00D70F2C"/>
    <w:rsid w:val="00D71101"/>
    <w:rsid w:val="00D7116A"/>
    <w:rsid w:val="00D71186"/>
    <w:rsid w:val="00D711B5"/>
    <w:rsid w:val="00D711DB"/>
    <w:rsid w:val="00D712C7"/>
    <w:rsid w:val="00D71398"/>
    <w:rsid w:val="00D71410"/>
    <w:rsid w:val="00D71514"/>
    <w:rsid w:val="00D71682"/>
    <w:rsid w:val="00D717FA"/>
    <w:rsid w:val="00D71A3D"/>
    <w:rsid w:val="00D71B1F"/>
    <w:rsid w:val="00D71C6D"/>
    <w:rsid w:val="00D71EBF"/>
    <w:rsid w:val="00D71F64"/>
    <w:rsid w:val="00D71FF5"/>
    <w:rsid w:val="00D72048"/>
    <w:rsid w:val="00D72211"/>
    <w:rsid w:val="00D72270"/>
    <w:rsid w:val="00D72297"/>
    <w:rsid w:val="00D725A0"/>
    <w:rsid w:val="00D72642"/>
    <w:rsid w:val="00D72673"/>
    <w:rsid w:val="00D72B43"/>
    <w:rsid w:val="00D72BC0"/>
    <w:rsid w:val="00D72F61"/>
    <w:rsid w:val="00D72FCD"/>
    <w:rsid w:val="00D7329E"/>
    <w:rsid w:val="00D733CD"/>
    <w:rsid w:val="00D73542"/>
    <w:rsid w:val="00D7358F"/>
    <w:rsid w:val="00D73711"/>
    <w:rsid w:val="00D73808"/>
    <w:rsid w:val="00D73AD6"/>
    <w:rsid w:val="00D73B19"/>
    <w:rsid w:val="00D73BAA"/>
    <w:rsid w:val="00D73BEA"/>
    <w:rsid w:val="00D73DB6"/>
    <w:rsid w:val="00D73F4E"/>
    <w:rsid w:val="00D73F80"/>
    <w:rsid w:val="00D7410D"/>
    <w:rsid w:val="00D74161"/>
    <w:rsid w:val="00D74289"/>
    <w:rsid w:val="00D742DB"/>
    <w:rsid w:val="00D742E6"/>
    <w:rsid w:val="00D743C2"/>
    <w:rsid w:val="00D743FB"/>
    <w:rsid w:val="00D74543"/>
    <w:rsid w:val="00D74677"/>
    <w:rsid w:val="00D7469B"/>
    <w:rsid w:val="00D74754"/>
    <w:rsid w:val="00D748A3"/>
    <w:rsid w:val="00D74AF9"/>
    <w:rsid w:val="00D74AFA"/>
    <w:rsid w:val="00D74CAD"/>
    <w:rsid w:val="00D74CF9"/>
    <w:rsid w:val="00D74D27"/>
    <w:rsid w:val="00D74FBB"/>
    <w:rsid w:val="00D7526C"/>
    <w:rsid w:val="00D752EA"/>
    <w:rsid w:val="00D75437"/>
    <w:rsid w:val="00D75440"/>
    <w:rsid w:val="00D754C4"/>
    <w:rsid w:val="00D75632"/>
    <w:rsid w:val="00D7566D"/>
    <w:rsid w:val="00D75A6B"/>
    <w:rsid w:val="00D75B26"/>
    <w:rsid w:val="00D75F02"/>
    <w:rsid w:val="00D76127"/>
    <w:rsid w:val="00D76216"/>
    <w:rsid w:val="00D76226"/>
    <w:rsid w:val="00D76271"/>
    <w:rsid w:val="00D7630D"/>
    <w:rsid w:val="00D76340"/>
    <w:rsid w:val="00D7639E"/>
    <w:rsid w:val="00D764E6"/>
    <w:rsid w:val="00D7650A"/>
    <w:rsid w:val="00D765A3"/>
    <w:rsid w:val="00D7670A"/>
    <w:rsid w:val="00D768B6"/>
    <w:rsid w:val="00D769A2"/>
    <w:rsid w:val="00D76A5F"/>
    <w:rsid w:val="00D76CB4"/>
    <w:rsid w:val="00D76CE3"/>
    <w:rsid w:val="00D76F8C"/>
    <w:rsid w:val="00D76FBD"/>
    <w:rsid w:val="00D77023"/>
    <w:rsid w:val="00D77166"/>
    <w:rsid w:val="00D77273"/>
    <w:rsid w:val="00D772DD"/>
    <w:rsid w:val="00D77554"/>
    <w:rsid w:val="00D775D7"/>
    <w:rsid w:val="00D77748"/>
    <w:rsid w:val="00D77756"/>
    <w:rsid w:val="00D777F9"/>
    <w:rsid w:val="00D77921"/>
    <w:rsid w:val="00D77957"/>
    <w:rsid w:val="00D77A45"/>
    <w:rsid w:val="00D77AB2"/>
    <w:rsid w:val="00D77C59"/>
    <w:rsid w:val="00D77E31"/>
    <w:rsid w:val="00D800C1"/>
    <w:rsid w:val="00D8030E"/>
    <w:rsid w:val="00D803AD"/>
    <w:rsid w:val="00D809DE"/>
    <w:rsid w:val="00D809E9"/>
    <w:rsid w:val="00D80A17"/>
    <w:rsid w:val="00D80C24"/>
    <w:rsid w:val="00D80C8C"/>
    <w:rsid w:val="00D80DF6"/>
    <w:rsid w:val="00D80E88"/>
    <w:rsid w:val="00D810C6"/>
    <w:rsid w:val="00D8115B"/>
    <w:rsid w:val="00D81254"/>
    <w:rsid w:val="00D8129D"/>
    <w:rsid w:val="00D812B7"/>
    <w:rsid w:val="00D8137B"/>
    <w:rsid w:val="00D813B3"/>
    <w:rsid w:val="00D813DF"/>
    <w:rsid w:val="00D817DD"/>
    <w:rsid w:val="00D818AB"/>
    <w:rsid w:val="00D81A72"/>
    <w:rsid w:val="00D81B14"/>
    <w:rsid w:val="00D81D47"/>
    <w:rsid w:val="00D81D5E"/>
    <w:rsid w:val="00D81F7B"/>
    <w:rsid w:val="00D82062"/>
    <w:rsid w:val="00D82136"/>
    <w:rsid w:val="00D8216A"/>
    <w:rsid w:val="00D825A4"/>
    <w:rsid w:val="00D825FD"/>
    <w:rsid w:val="00D826ED"/>
    <w:rsid w:val="00D82A28"/>
    <w:rsid w:val="00D82BB1"/>
    <w:rsid w:val="00D82BDA"/>
    <w:rsid w:val="00D82E28"/>
    <w:rsid w:val="00D82E52"/>
    <w:rsid w:val="00D82F6B"/>
    <w:rsid w:val="00D82FC2"/>
    <w:rsid w:val="00D83017"/>
    <w:rsid w:val="00D830ED"/>
    <w:rsid w:val="00D83244"/>
    <w:rsid w:val="00D8338B"/>
    <w:rsid w:val="00D83430"/>
    <w:rsid w:val="00D83453"/>
    <w:rsid w:val="00D83491"/>
    <w:rsid w:val="00D83637"/>
    <w:rsid w:val="00D838CF"/>
    <w:rsid w:val="00D83929"/>
    <w:rsid w:val="00D83A01"/>
    <w:rsid w:val="00D83AA1"/>
    <w:rsid w:val="00D83AE0"/>
    <w:rsid w:val="00D83AF8"/>
    <w:rsid w:val="00D83C8E"/>
    <w:rsid w:val="00D83CA2"/>
    <w:rsid w:val="00D83DF4"/>
    <w:rsid w:val="00D83E4C"/>
    <w:rsid w:val="00D83E75"/>
    <w:rsid w:val="00D83EA3"/>
    <w:rsid w:val="00D83F73"/>
    <w:rsid w:val="00D83FBB"/>
    <w:rsid w:val="00D84270"/>
    <w:rsid w:val="00D84291"/>
    <w:rsid w:val="00D84413"/>
    <w:rsid w:val="00D844DC"/>
    <w:rsid w:val="00D84553"/>
    <w:rsid w:val="00D84591"/>
    <w:rsid w:val="00D845B1"/>
    <w:rsid w:val="00D8464D"/>
    <w:rsid w:val="00D846A5"/>
    <w:rsid w:val="00D84791"/>
    <w:rsid w:val="00D84822"/>
    <w:rsid w:val="00D848AE"/>
    <w:rsid w:val="00D8495E"/>
    <w:rsid w:val="00D84982"/>
    <w:rsid w:val="00D849BB"/>
    <w:rsid w:val="00D849DF"/>
    <w:rsid w:val="00D84AD3"/>
    <w:rsid w:val="00D84B57"/>
    <w:rsid w:val="00D84B69"/>
    <w:rsid w:val="00D84B7B"/>
    <w:rsid w:val="00D84BDB"/>
    <w:rsid w:val="00D84DB0"/>
    <w:rsid w:val="00D84E16"/>
    <w:rsid w:val="00D84E2F"/>
    <w:rsid w:val="00D84F55"/>
    <w:rsid w:val="00D84F7F"/>
    <w:rsid w:val="00D85103"/>
    <w:rsid w:val="00D8525B"/>
    <w:rsid w:val="00D856FC"/>
    <w:rsid w:val="00D8574D"/>
    <w:rsid w:val="00D857EF"/>
    <w:rsid w:val="00D85912"/>
    <w:rsid w:val="00D85CD4"/>
    <w:rsid w:val="00D85E65"/>
    <w:rsid w:val="00D85F0D"/>
    <w:rsid w:val="00D85FFD"/>
    <w:rsid w:val="00D861FB"/>
    <w:rsid w:val="00D862E1"/>
    <w:rsid w:val="00D86395"/>
    <w:rsid w:val="00D863FB"/>
    <w:rsid w:val="00D864A9"/>
    <w:rsid w:val="00D8668B"/>
    <w:rsid w:val="00D8678B"/>
    <w:rsid w:val="00D86978"/>
    <w:rsid w:val="00D869CE"/>
    <w:rsid w:val="00D86CBF"/>
    <w:rsid w:val="00D86CFE"/>
    <w:rsid w:val="00D86F9A"/>
    <w:rsid w:val="00D871B7"/>
    <w:rsid w:val="00D87248"/>
    <w:rsid w:val="00D87254"/>
    <w:rsid w:val="00D87405"/>
    <w:rsid w:val="00D8744E"/>
    <w:rsid w:val="00D874CE"/>
    <w:rsid w:val="00D874E6"/>
    <w:rsid w:val="00D87507"/>
    <w:rsid w:val="00D8764A"/>
    <w:rsid w:val="00D876E6"/>
    <w:rsid w:val="00D877E9"/>
    <w:rsid w:val="00D87872"/>
    <w:rsid w:val="00D8787D"/>
    <w:rsid w:val="00D87898"/>
    <w:rsid w:val="00D878DD"/>
    <w:rsid w:val="00D8796B"/>
    <w:rsid w:val="00D87AA5"/>
    <w:rsid w:val="00D87BF0"/>
    <w:rsid w:val="00D87D02"/>
    <w:rsid w:val="00D87D49"/>
    <w:rsid w:val="00D87E4A"/>
    <w:rsid w:val="00D90130"/>
    <w:rsid w:val="00D90374"/>
    <w:rsid w:val="00D90382"/>
    <w:rsid w:val="00D9039D"/>
    <w:rsid w:val="00D903FF"/>
    <w:rsid w:val="00D905C5"/>
    <w:rsid w:val="00D90834"/>
    <w:rsid w:val="00D90858"/>
    <w:rsid w:val="00D90898"/>
    <w:rsid w:val="00D90951"/>
    <w:rsid w:val="00D90996"/>
    <w:rsid w:val="00D909B8"/>
    <w:rsid w:val="00D909BE"/>
    <w:rsid w:val="00D909DD"/>
    <w:rsid w:val="00D90A64"/>
    <w:rsid w:val="00D90A79"/>
    <w:rsid w:val="00D90C67"/>
    <w:rsid w:val="00D90C7D"/>
    <w:rsid w:val="00D90DDF"/>
    <w:rsid w:val="00D90EF4"/>
    <w:rsid w:val="00D90F8D"/>
    <w:rsid w:val="00D910B8"/>
    <w:rsid w:val="00D915EE"/>
    <w:rsid w:val="00D915FB"/>
    <w:rsid w:val="00D91693"/>
    <w:rsid w:val="00D91843"/>
    <w:rsid w:val="00D9184D"/>
    <w:rsid w:val="00D919F2"/>
    <w:rsid w:val="00D91B5B"/>
    <w:rsid w:val="00D91B8E"/>
    <w:rsid w:val="00D91BE2"/>
    <w:rsid w:val="00D91BF3"/>
    <w:rsid w:val="00D91CC2"/>
    <w:rsid w:val="00D91CCD"/>
    <w:rsid w:val="00D91D78"/>
    <w:rsid w:val="00D91E73"/>
    <w:rsid w:val="00D920ED"/>
    <w:rsid w:val="00D92135"/>
    <w:rsid w:val="00D9226C"/>
    <w:rsid w:val="00D9246C"/>
    <w:rsid w:val="00D924D5"/>
    <w:rsid w:val="00D9264F"/>
    <w:rsid w:val="00D92737"/>
    <w:rsid w:val="00D927B1"/>
    <w:rsid w:val="00D927D9"/>
    <w:rsid w:val="00D927F0"/>
    <w:rsid w:val="00D92C14"/>
    <w:rsid w:val="00D93178"/>
    <w:rsid w:val="00D93225"/>
    <w:rsid w:val="00D932CE"/>
    <w:rsid w:val="00D934C4"/>
    <w:rsid w:val="00D93792"/>
    <w:rsid w:val="00D93849"/>
    <w:rsid w:val="00D9390F"/>
    <w:rsid w:val="00D93977"/>
    <w:rsid w:val="00D939BC"/>
    <w:rsid w:val="00D93A96"/>
    <w:rsid w:val="00D93B8E"/>
    <w:rsid w:val="00D93C5A"/>
    <w:rsid w:val="00D93C97"/>
    <w:rsid w:val="00D93EED"/>
    <w:rsid w:val="00D94238"/>
    <w:rsid w:val="00D9423D"/>
    <w:rsid w:val="00D94420"/>
    <w:rsid w:val="00D94518"/>
    <w:rsid w:val="00D9461A"/>
    <w:rsid w:val="00D948E4"/>
    <w:rsid w:val="00D948FF"/>
    <w:rsid w:val="00D94A69"/>
    <w:rsid w:val="00D94AC1"/>
    <w:rsid w:val="00D94B4B"/>
    <w:rsid w:val="00D94C89"/>
    <w:rsid w:val="00D94D8C"/>
    <w:rsid w:val="00D9502B"/>
    <w:rsid w:val="00D950FB"/>
    <w:rsid w:val="00D95147"/>
    <w:rsid w:val="00D951F7"/>
    <w:rsid w:val="00D952A9"/>
    <w:rsid w:val="00D95364"/>
    <w:rsid w:val="00D95547"/>
    <w:rsid w:val="00D9559C"/>
    <w:rsid w:val="00D95689"/>
    <w:rsid w:val="00D95979"/>
    <w:rsid w:val="00D95B42"/>
    <w:rsid w:val="00D95C29"/>
    <w:rsid w:val="00D95EC8"/>
    <w:rsid w:val="00D95F35"/>
    <w:rsid w:val="00D962F5"/>
    <w:rsid w:val="00D96365"/>
    <w:rsid w:val="00D963C8"/>
    <w:rsid w:val="00D9673F"/>
    <w:rsid w:val="00D96768"/>
    <w:rsid w:val="00D967E4"/>
    <w:rsid w:val="00D96B8C"/>
    <w:rsid w:val="00D96E7A"/>
    <w:rsid w:val="00D96E9D"/>
    <w:rsid w:val="00D96F7B"/>
    <w:rsid w:val="00D972A0"/>
    <w:rsid w:val="00D9744C"/>
    <w:rsid w:val="00D9753F"/>
    <w:rsid w:val="00D97545"/>
    <w:rsid w:val="00D97560"/>
    <w:rsid w:val="00D97625"/>
    <w:rsid w:val="00D97728"/>
    <w:rsid w:val="00D9777D"/>
    <w:rsid w:val="00D97899"/>
    <w:rsid w:val="00D97973"/>
    <w:rsid w:val="00D9799B"/>
    <w:rsid w:val="00D979F1"/>
    <w:rsid w:val="00D97A44"/>
    <w:rsid w:val="00D97AD7"/>
    <w:rsid w:val="00D97B19"/>
    <w:rsid w:val="00D97C04"/>
    <w:rsid w:val="00D97D7A"/>
    <w:rsid w:val="00D97E0A"/>
    <w:rsid w:val="00D97EE2"/>
    <w:rsid w:val="00DA0190"/>
    <w:rsid w:val="00DA029D"/>
    <w:rsid w:val="00DA0382"/>
    <w:rsid w:val="00DA04E8"/>
    <w:rsid w:val="00DA0516"/>
    <w:rsid w:val="00DA069B"/>
    <w:rsid w:val="00DA07B7"/>
    <w:rsid w:val="00DA08C7"/>
    <w:rsid w:val="00DA08D0"/>
    <w:rsid w:val="00DA0A09"/>
    <w:rsid w:val="00DA0A75"/>
    <w:rsid w:val="00DA0BE2"/>
    <w:rsid w:val="00DA0C9E"/>
    <w:rsid w:val="00DA0DD9"/>
    <w:rsid w:val="00DA0E75"/>
    <w:rsid w:val="00DA10D8"/>
    <w:rsid w:val="00DA10E2"/>
    <w:rsid w:val="00DA1166"/>
    <w:rsid w:val="00DA11B4"/>
    <w:rsid w:val="00DA128D"/>
    <w:rsid w:val="00DA1502"/>
    <w:rsid w:val="00DA1627"/>
    <w:rsid w:val="00DA1675"/>
    <w:rsid w:val="00DA16EE"/>
    <w:rsid w:val="00DA18ED"/>
    <w:rsid w:val="00DA1987"/>
    <w:rsid w:val="00DA19BF"/>
    <w:rsid w:val="00DA1A5D"/>
    <w:rsid w:val="00DA1DCD"/>
    <w:rsid w:val="00DA1E10"/>
    <w:rsid w:val="00DA1E83"/>
    <w:rsid w:val="00DA2028"/>
    <w:rsid w:val="00DA2080"/>
    <w:rsid w:val="00DA20BB"/>
    <w:rsid w:val="00DA2169"/>
    <w:rsid w:val="00DA2223"/>
    <w:rsid w:val="00DA2238"/>
    <w:rsid w:val="00DA2402"/>
    <w:rsid w:val="00DA243A"/>
    <w:rsid w:val="00DA290F"/>
    <w:rsid w:val="00DA2970"/>
    <w:rsid w:val="00DA29DE"/>
    <w:rsid w:val="00DA2BCC"/>
    <w:rsid w:val="00DA2C08"/>
    <w:rsid w:val="00DA2C39"/>
    <w:rsid w:val="00DA2D40"/>
    <w:rsid w:val="00DA2E3A"/>
    <w:rsid w:val="00DA2EC5"/>
    <w:rsid w:val="00DA2F23"/>
    <w:rsid w:val="00DA2F91"/>
    <w:rsid w:val="00DA3019"/>
    <w:rsid w:val="00DA319A"/>
    <w:rsid w:val="00DA31D0"/>
    <w:rsid w:val="00DA33DC"/>
    <w:rsid w:val="00DA3400"/>
    <w:rsid w:val="00DA3462"/>
    <w:rsid w:val="00DA353D"/>
    <w:rsid w:val="00DA35A5"/>
    <w:rsid w:val="00DA35FF"/>
    <w:rsid w:val="00DA3801"/>
    <w:rsid w:val="00DA392D"/>
    <w:rsid w:val="00DA39FE"/>
    <w:rsid w:val="00DA3B11"/>
    <w:rsid w:val="00DA3EE0"/>
    <w:rsid w:val="00DA40CE"/>
    <w:rsid w:val="00DA40D4"/>
    <w:rsid w:val="00DA412E"/>
    <w:rsid w:val="00DA415A"/>
    <w:rsid w:val="00DA4385"/>
    <w:rsid w:val="00DA46BD"/>
    <w:rsid w:val="00DA4853"/>
    <w:rsid w:val="00DA48A8"/>
    <w:rsid w:val="00DA4A20"/>
    <w:rsid w:val="00DA4D18"/>
    <w:rsid w:val="00DA4D4D"/>
    <w:rsid w:val="00DA4EB3"/>
    <w:rsid w:val="00DA4EF4"/>
    <w:rsid w:val="00DA4FD8"/>
    <w:rsid w:val="00DA53AE"/>
    <w:rsid w:val="00DA546C"/>
    <w:rsid w:val="00DA547B"/>
    <w:rsid w:val="00DA5493"/>
    <w:rsid w:val="00DA57EC"/>
    <w:rsid w:val="00DA5949"/>
    <w:rsid w:val="00DA597F"/>
    <w:rsid w:val="00DA5DCA"/>
    <w:rsid w:val="00DA5E6A"/>
    <w:rsid w:val="00DA5F51"/>
    <w:rsid w:val="00DA6486"/>
    <w:rsid w:val="00DA6628"/>
    <w:rsid w:val="00DA6888"/>
    <w:rsid w:val="00DA699B"/>
    <w:rsid w:val="00DA6ADF"/>
    <w:rsid w:val="00DA6B2E"/>
    <w:rsid w:val="00DA6B79"/>
    <w:rsid w:val="00DA6C70"/>
    <w:rsid w:val="00DA6F1F"/>
    <w:rsid w:val="00DA6FAD"/>
    <w:rsid w:val="00DA6FF2"/>
    <w:rsid w:val="00DA70D0"/>
    <w:rsid w:val="00DA71A9"/>
    <w:rsid w:val="00DA7554"/>
    <w:rsid w:val="00DA7567"/>
    <w:rsid w:val="00DA7773"/>
    <w:rsid w:val="00DA779B"/>
    <w:rsid w:val="00DA79A9"/>
    <w:rsid w:val="00DA7C5B"/>
    <w:rsid w:val="00DA7CAF"/>
    <w:rsid w:val="00DB005C"/>
    <w:rsid w:val="00DB012D"/>
    <w:rsid w:val="00DB0486"/>
    <w:rsid w:val="00DB04D3"/>
    <w:rsid w:val="00DB05F6"/>
    <w:rsid w:val="00DB0801"/>
    <w:rsid w:val="00DB0996"/>
    <w:rsid w:val="00DB09E6"/>
    <w:rsid w:val="00DB0CAB"/>
    <w:rsid w:val="00DB0CFF"/>
    <w:rsid w:val="00DB0FC8"/>
    <w:rsid w:val="00DB1035"/>
    <w:rsid w:val="00DB12D4"/>
    <w:rsid w:val="00DB13D8"/>
    <w:rsid w:val="00DB13DC"/>
    <w:rsid w:val="00DB15B0"/>
    <w:rsid w:val="00DB167F"/>
    <w:rsid w:val="00DB1696"/>
    <w:rsid w:val="00DB1B0F"/>
    <w:rsid w:val="00DB1B10"/>
    <w:rsid w:val="00DB1BF9"/>
    <w:rsid w:val="00DB1C49"/>
    <w:rsid w:val="00DB1C4A"/>
    <w:rsid w:val="00DB1D77"/>
    <w:rsid w:val="00DB1DF5"/>
    <w:rsid w:val="00DB2158"/>
    <w:rsid w:val="00DB2353"/>
    <w:rsid w:val="00DB26A6"/>
    <w:rsid w:val="00DB27D2"/>
    <w:rsid w:val="00DB28CF"/>
    <w:rsid w:val="00DB2964"/>
    <w:rsid w:val="00DB2A21"/>
    <w:rsid w:val="00DB2A4D"/>
    <w:rsid w:val="00DB2BBD"/>
    <w:rsid w:val="00DB2D00"/>
    <w:rsid w:val="00DB2F6C"/>
    <w:rsid w:val="00DB324F"/>
    <w:rsid w:val="00DB3431"/>
    <w:rsid w:val="00DB34A4"/>
    <w:rsid w:val="00DB3601"/>
    <w:rsid w:val="00DB3771"/>
    <w:rsid w:val="00DB3961"/>
    <w:rsid w:val="00DB3ABB"/>
    <w:rsid w:val="00DB3BB1"/>
    <w:rsid w:val="00DB3C38"/>
    <w:rsid w:val="00DB3C9B"/>
    <w:rsid w:val="00DB3DD0"/>
    <w:rsid w:val="00DB3E86"/>
    <w:rsid w:val="00DB3F7C"/>
    <w:rsid w:val="00DB3F9A"/>
    <w:rsid w:val="00DB427C"/>
    <w:rsid w:val="00DB42A5"/>
    <w:rsid w:val="00DB4311"/>
    <w:rsid w:val="00DB4420"/>
    <w:rsid w:val="00DB4535"/>
    <w:rsid w:val="00DB45E2"/>
    <w:rsid w:val="00DB461C"/>
    <w:rsid w:val="00DB4627"/>
    <w:rsid w:val="00DB4692"/>
    <w:rsid w:val="00DB495B"/>
    <w:rsid w:val="00DB4A2D"/>
    <w:rsid w:val="00DB4B06"/>
    <w:rsid w:val="00DB4CE2"/>
    <w:rsid w:val="00DB4DFA"/>
    <w:rsid w:val="00DB4E81"/>
    <w:rsid w:val="00DB4EEE"/>
    <w:rsid w:val="00DB4F09"/>
    <w:rsid w:val="00DB5213"/>
    <w:rsid w:val="00DB524D"/>
    <w:rsid w:val="00DB52E6"/>
    <w:rsid w:val="00DB55A9"/>
    <w:rsid w:val="00DB577A"/>
    <w:rsid w:val="00DB5B76"/>
    <w:rsid w:val="00DB5C2A"/>
    <w:rsid w:val="00DB5E26"/>
    <w:rsid w:val="00DB5E95"/>
    <w:rsid w:val="00DB5F46"/>
    <w:rsid w:val="00DB607E"/>
    <w:rsid w:val="00DB60C1"/>
    <w:rsid w:val="00DB61CA"/>
    <w:rsid w:val="00DB67CB"/>
    <w:rsid w:val="00DB696E"/>
    <w:rsid w:val="00DB6A08"/>
    <w:rsid w:val="00DB6AB1"/>
    <w:rsid w:val="00DB6ABE"/>
    <w:rsid w:val="00DB6B0B"/>
    <w:rsid w:val="00DB6C48"/>
    <w:rsid w:val="00DB6C88"/>
    <w:rsid w:val="00DB6D42"/>
    <w:rsid w:val="00DB6D67"/>
    <w:rsid w:val="00DB6DB3"/>
    <w:rsid w:val="00DB6DBF"/>
    <w:rsid w:val="00DB6DC7"/>
    <w:rsid w:val="00DB6FDC"/>
    <w:rsid w:val="00DB70A1"/>
    <w:rsid w:val="00DB70C4"/>
    <w:rsid w:val="00DB7188"/>
    <w:rsid w:val="00DB7217"/>
    <w:rsid w:val="00DB72CD"/>
    <w:rsid w:val="00DB72FE"/>
    <w:rsid w:val="00DB7669"/>
    <w:rsid w:val="00DB7BBB"/>
    <w:rsid w:val="00DB7DFE"/>
    <w:rsid w:val="00DB7F52"/>
    <w:rsid w:val="00DC003C"/>
    <w:rsid w:val="00DC0217"/>
    <w:rsid w:val="00DC02E8"/>
    <w:rsid w:val="00DC0657"/>
    <w:rsid w:val="00DC0746"/>
    <w:rsid w:val="00DC074F"/>
    <w:rsid w:val="00DC09AF"/>
    <w:rsid w:val="00DC0C3C"/>
    <w:rsid w:val="00DC0EC2"/>
    <w:rsid w:val="00DC0F2F"/>
    <w:rsid w:val="00DC0FA7"/>
    <w:rsid w:val="00DC13BA"/>
    <w:rsid w:val="00DC13E0"/>
    <w:rsid w:val="00DC1482"/>
    <w:rsid w:val="00DC150F"/>
    <w:rsid w:val="00DC15C8"/>
    <w:rsid w:val="00DC1611"/>
    <w:rsid w:val="00DC1929"/>
    <w:rsid w:val="00DC19CD"/>
    <w:rsid w:val="00DC1A65"/>
    <w:rsid w:val="00DC1A6A"/>
    <w:rsid w:val="00DC1BE7"/>
    <w:rsid w:val="00DC1C40"/>
    <w:rsid w:val="00DC1CF6"/>
    <w:rsid w:val="00DC2013"/>
    <w:rsid w:val="00DC206D"/>
    <w:rsid w:val="00DC20BB"/>
    <w:rsid w:val="00DC22D3"/>
    <w:rsid w:val="00DC23C3"/>
    <w:rsid w:val="00DC2408"/>
    <w:rsid w:val="00DC24F7"/>
    <w:rsid w:val="00DC253E"/>
    <w:rsid w:val="00DC25B4"/>
    <w:rsid w:val="00DC2838"/>
    <w:rsid w:val="00DC288D"/>
    <w:rsid w:val="00DC2918"/>
    <w:rsid w:val="00DC29B9"/>
    <w:rsid w:val="00DC2AF1"/>
    <w:rsid w:val="00DC2C86"/>
    <w:rsid w:val="00DC2D17"/>
    <w:rsid w:val="00DC2D44"/>
    <w:rsid w:val="00DC2D5A"/>
    <w:rsid w:val="00DC2D98"/>
    <w:rsid w:val="00DC2DFF"/>
    <w:rsid w:val="00DC2EF5"/>
    <w:rsid w:val="00DC2FF5"/>
    <w:rsid w:val="00DC313E"/>
    <w:rsid w:val="00DC324E"/>
    <w:rsid w:val="00DC32D8"/>
    <w:rsid w:val="00DC331F"/>
    <w:rsid w:val="00DC3702"/>
    <w:rsid w:val="00DC3754"/>
    <w:rsid w:val="00DC37C2"/>
    <w:rsid w:val="00DC3A63"/>
    <w:rsid w:val="00DC3AB6"/>
    <w:rsid w:val="00DC3C43"/>
    <w:rsid w:val="00DC3C6F"/>
    <w:rsid w:val="00DC3E70"/>
    <w:rsid w:val="00DC3F01"/>
    <w:rsid w:val="00DC3F1D"/>
    <w:rsid w:val="00DC3F2B"/>
    <w:rsid w:val="00DC3FBE"/>
    <w:rsid w:val="00DC3FF1"/>
    <w:rsid w:val="00DC44FA"/>
    <w:rsid w:val="00DC45C0"/>
    <w:rsid w:val="00DC46CC"/>
    <w:rsid w:val="00DC4746"/>
    <w:rsid w:val="00DC4766"/>
    <w:rsid w:val="00DC4979"/>
    <w:rsid w:val="00DC4B99"/>
    <w:rsid w:val="00DC4BBF"/>
    <w:rsid w:val="00DC4CBF"/>
    <w:rsid w:val="00DC4DDD"/>
    <w:rsid w:val="00DC4E0F"/>
    <w:rsid w:val="00DC50B5"/>
    <w:rsid w:val="00DC515E"/>
    <w:rsid w:val="00DC51A2"/>
    <w:rsid w:val="00DC54F7"/>
    <w:rsid w:val="00DC5506"/>
    <w:rsid w:val="00DC55D0"/>
    <w:rsid w:val="00DC5618"/>
    <w:rsid w:val="00DC5771"/>
    <w:rsid w:val="00DC57A8"/>
    <w:rsid w:val="00DC5823"/>
    <w:rsid w:val="00DC5A79"/>
    <w:rsid w:val="00DC5B90"/>
    <w:rsid w:val="00DC5C22"/>
    <w:rsid w:val="00DC5E1E"/>
    <w:rsid w:val="00DC5E27"/>
    <w:rsid w:val="00DC6069"/>
    <w:rsid w:val="00DC624B"/>
    <w:rsid w:val="00DC6369"/>
    <w:rsid w:val="00DC63AF"/>
    <w:rsid w:val="00DC6423"/>
    <w:rsid w:val="00DC6475"/>
    <w:rsid w:val="00DC6577"/>
    <w:rsid w:val="00DC6583"/>
    <w:rsid w:val="00DC6817"/>
    <w:rsid w:val="00DC684A"/>
    <w:rsid w:val="00DC6AC9"/>
    <w:rsid w:val="00DC6BBA"/>
    <w:rsid w:val="00DC6BF7"/>
    <w:rsid w:val="00DC6DC2"/>
    <w:rsid w:val="00DC6DF1"/>
    <w:rsid w:val="00DC6E74"/>
    <w:rsid w:val="00DC7121"/>
    <w:rsid w:val="00DC71F8"/>
    <w:rsid w:val="00DC7469"/>
    <w:rsid w:val="00DC7513"/>
    <w:rsid w:val="00DC75B4"/>
    <w:rsid w:val="00DC75FC"/>
    <w:rsid w:val="00DC7714"/>
    <w:rsid w:val="00DC7824"/>
    <w:rsid w:val="00DC7CCA"/>
    <w:rsid w:val="00DC7CEC"/>
    <w:rsid w:val="00DC7D05"/>
    <w:rsid w:val="00DC7DB0"/>
    <w:rsid w:val="00DC7E4F"/>
    <w:rsid w:val="00DC7EEB"/>
    <w:rsid w:val="00DC7F26"/>
    <w:rsid w:val="00DC7FF3"/>
    <w:rsid w:val="00DD0015"/>
    <w:rsid w:val="00DD00BF"/>
    <w:rsid w:val="00DD02C4"/>
    <w:rsid w:val="00DD0323"/>
    <w:rsid w:val="00DD0332"/>
    <w:rsid w:val="00DD048A"/>
    <w:rsid w:val="00DD05A6"/>
    <w:rsid w:val="00DD06BC"/>
    <w:rsid w:val="00DD071F"/>
    <w:rsid w:val="00DD0811"/>
    <w:rsid w:val="00DD0863"/>
    <w:rsid w:val="00DD09D3"/>
    <w:rsid w:val="00DD0A5D"/>
    <w:rsid w:val="00DD0B65"/>
    <w:rsid w:val="00DD0BD3"/>
    <w:rsid w:val="00DD0D02"/>
    <w:rsid w:val="00DD0D21"/>
    <w:rsid w:val="00DD0D2E"/>
    <w:rsid w:val="00DD0E97"/>
    <w:rsid w:val="00DD123B"/>
    <w:rsid w:val="00DD1343"/>
    <w:rsid w:val="00DD1610"/>
    <w:rsid w:val="00DD1611"/>
    <w:rsid w:val="00DD1636"/>
    <w:rsid w:val="00DD1657"/>
    <w:rsid w:val="00DD1731"/>
    <w:rsid w:val="00DD1B2C"/>
    <w:rsid w:val="00DD1BD8"/>
    <w:rsid w:val="00DD1C05"/>
    <w:rsid w:val="00DD1D2E"/>
    <w:rsid w:val="00DD2028"/>
    <w:rsid w:val="00DD232E"/>
    <w:rsid w:val="00DD241F"/>
    <w:rsid w:val="00DD25CB"/>
    <w:rsid w:val="00DD279C"/>
    <w:rsid w:val="00DD28CB"/>
    <w:rsid w:val="00DD2A43"/>
    <w:rsid w:val="00DD2A7C"/>
    <w:rsid w:val="00DD2CBE"/>
    <w:rsid w:val="00DD3000"/>
    <w:rsid w:val="00DD3053"/>
    <w:rsid w:val="00DD31D7"/>
    <w:rsid w:val="00DD32D6"/>
    <w:rsid w:val="00DD3820"/>
    <w:rsid w:val="00DD3912"/>
    <w:rsid w:val="00DD3A97"/>
    <w:rsid w:val="00DD3BAF"/>
    <w:rsid w:val="00DD3D4F"/>
    <w:rsid w:val="00DD3EF8"/>
    <w:rsid w:val="00DD4054"/>
    <w:rsid w:val="00DD41F0"/>
    <w:rsid w:val="00DD4220"/>
    <w:rsid w:val="00DD42A3"/>
    <w:rsid w:val="00DD4444"/>
    <w:rsid w:val="00DD4453"/>
    <w:rsid w:val="00DD44BF"/>
    <w:rsid w:val="00DD45C0"/>
    <w:rsid w:val="00DD4633"/>
    <w:rsid w:val="00DD4663"/>
    <w:rsid w:val="00DD4892"/>
    <w:rsid w:val="00DD48E9"/>
    <w:rsid w:val="00DD4930"/>
    <w:rsid w:val="00DD49F6"/>
    <w:rsid w:val="00DD4A4F"/>
    <w:rsid w:val="00DD4E1E"/>
    <w:rsid w:val="00DD4ECD"/>
    <w:rsid w:val="00DD5362"/>
    <w:rsid w:val="00DD5A40"/>
    <w:rsid w:val="00DD5C96"/>
    <w:rsid w:val="00DD5D0A"/>
    <w:rsid w:val="00DD5E14"/>
    <w:rsid w:val="00DD5EF8"/>
    <w:rsid w:val="00DD5FBE"/>
    <w:rsid w:val="00DD6051"/>
    <w:rsid w:val="00DD61A0"/>
    <w:rsid w:val="00DD63EE"/>
    <w:rsid w:val="00DD6661"/>
    <w:rsid w:val="00DD671E"/>
    <w:rsid w:val="00DD67A3"/>
    <w:rsid w:val="00DD67D6"/>
    <w:rsid w:val="00DD68BC"/>
    <w:rsid w:val="00DD68F7"/>
    <w:rsid w:val="00DD69A3"/>
    <w:rsid w:val="00DD6CAF"/>
    <w:rsid w:val="00DD6CF3"/>
    <w:rsid w:val="00DD6DD6"/>
    <w:rsid w:val="00DD6E1B"/>
    <w:rsid w:val="00DD70DF"/>
    <w:rsid w:val="00DD7315"/>
    <w:rsid w:val="00DD739D"/>
    <w:rsid w:val="00DD7419"/>
    <w:rsid w:val="00DD768B"/>
    <w:rsid w:val="00DD76E1"/>
    <w:rsid w:val="00DD791D"/>
    <w:rsid w:val="00DD7AF2"/>
    <w:rsid w:val="00DD7C00"/>
    <w:rsid w:val="00DD7D2D"/>
    <w:rsid w:val="00DD7DEF"/>
    <w:rsid w:val="00DD7EB8"/>
    <w:rsid w:val="00DD7FA9"/>
    <w:rsid w:val="00DE01AA"/>
    <w:rsid w:val="00DE03AC"/>
    <w:rsid w:val="00DE06EA"/>
    <w:rsid w:val="00DE0771"/>
    <w:rsid w:val="00DE0797"/>
    <w:rsid w:val="00DE0C95"/>
    <w:rsid w:val="00DE0E1B"/>
    <w:rsid w:val="00DE13D5"/>
    <w:rsid w:val="00DE1446"/>
    <w:rsid w:val="00DE14E2"/>
    <w:rsid w:val="00DE15D6"/>
    <w:rsid w:val="00DE17E5"/>
    <w:rsid w:val="00DE1A38"/>
    <w:rsid w:val="00DE1B44"/>
    <w:rsid w:val="00DE1CA7"/>
    <w:rsid w:val="00DE1D42"/>
    <w:rsid w:val="00DE1E70"/>
    <w:rsid w:val="00DE202A"/>
    <w:rsid w:val="00DE2318"/>
    <w:rsid w:val="00DE2540"/>
    <w:rsid w:val="00DE2671"/>
    <w:rsid w:val="00DE2873"/>
    <w:rsid w:val="00DE2B05"/>
    <w:rsid w:val="00DE2BF5"/>
    <w:rsid w:val="00DE2E54"/>
    <w:rsid w:val="00DE2FAE"/>
    <w:rsid w:val="00DE3066"/>
    <w:rsid w:val="00DE315A"/>
    <w:rsid w:val="00DE31C0"/>
    <w:rsid w:val="00DE3420"/>
    <w:rsid w:val="00DE346D"/>
    <w:rsid w:val="00DE34C0"/>
    <w:rsid w:val="00DE388D"/>
    <w:rsid w:val="00DE3976"/>
    <w:rsid w:val="00DE39F5"/>
    <w:rsid w:val="00DE3B2E"/>
    <w:rsid w:val="00DE3F67"/>
    <w:rsid w:val="00DE412E"/>
    <w:rsid w:val="00DE4177"/>
    <w:rsid w:val="00DE427E"/>
    <w:rsid w:val="00DE47FB"/>
    <w:rsid w:val="00DE4958"/>
    <w:rsid w:val="00DE4B42"/>
    <w:rsid w:val="00DE4BA4"/>
    <w:rsid w:val="00DE4D32"/>
    <w:rsid w:val="00DE4E0D"/>
    <w:rsid w:val="00DE4E8E"/>
    <w:rsid w:val="00DE4FA2"/>
    <w:rsid w:val="00DE4FB2"/>
    <w:rsid w:val="00DE531B"/>
    <w:rsid w:val="00DE5611"/>
    <w:rsid w:val="00DE5757"/>
    <w:rsid w:val="00DE5797"/>
    <w:rsid w:val="00DE5802"/>
    <w:rsid w:val="00DE591B"/>
    <w:rsid w:val="00DE59CF"/>
    <w:rsid w:val="00DE5B62"/>
    <w:rsid w:val="00DE5BDB"/>
    <w:rsid w:val="00DE5C49"/>
    <w:rsid w:val="00DE5D0F"/>
    <w:rsid w:val="00DE5DB7"/>
    <w:rsid w:val="00DE61F7"/>
    <w:rsid w:val="00DE623F"/>
    <w:rsid w:val="00DE6299"/>
    <w:rsid w:val="00DE6357"/>
    <w:rsid w:val="00DE6398"/>
    <w:rsid w:val="00DE6792"/>
    <w:rsid w:val="00DE6969"/>
    <w:rsid w:val="00DE6D3B"/>
    <w:rsid w:val="00DE6EBA"/>
    <w:rsid w:val="00DE6F3C"/>
    <w:rsid w:val="00DE71FD"/>
    <w:rsid w:val="00DE72C6"/>
    <w:rsid w:val="00DE73AC"/>
    <w:rsid w:val="00DE73F7"/>
    <w:rsid w:val="00DE74AD"/>
    <w:rsid w:val="00DE79C4"/>
    <w:rsid w:val="00DE7BAA"/>
    <w:rsid w:val="00DE7BDA"/>
    <w:rsid w:val="00DE7CB9"/>
    <w:rsid w:val="00DE7E24"/>
    <w:rsid w:val="00DF0046"/>
    <w:rsid w:val="00DF046C"/>
    <w:rsid w:val="00DF0474"/>
    <w:rsid w:val="00DF065C"/>
    <w:rsid w:val="00DF07A2"/>
    <w:rsid w:val="00DF08A5"/>
    <w:rsid w:val="00DF09D0"/>
    <w:rsid w:val="00DF0AF5"/>
    <w:rsid w:val="00DF0BD9"/>
    <w:rsid w:val="00DF0E4F"/>
    <w:rsid w:val="00DF0F23"/>
    <w:rsid w:val="00DF0F6E"/>
    <w:rsid w:val="00DF10AA"/>
    <w:rsid w:val="00DF10EC"/>
    <w:rsid w:val="00DF1163"/>
    <w:rsid w:val="00DF13C3"/>
    <w:rsid w:val="00DF1415"/>
    <w:rsid w:val="00DF14B2"/>
    <w:rsid w:val="00DF16A2"/>
    <w:rsid w:val="00DF179F"/>
    <w:rsid w:val="00DF1859"/>
    <w:rsid w:val="00DF1896"/>
    <w:rsid w:val="00DF1C6A"/>
    <w:rsid w:val="00DF1CE0"/>
    <w:rsid w:val="00DF1EB6"/>
    <w:rsid w:val="00DF2057"/>
    <w:rsid w:val="00DF22C2"/>
    <w:rsid w:val="00DF24D2"/>
    <w:rsid w:val="00DF289A"/>
    <w:rsid w:val="00DF28EC"/>
    <w:rsid w:val="00DF2954"/>
    <w:rsid w:val="00DF29BA"/>
    <w:rsid w:val="00DF2A0E"/>
    <w:rsid w:val="00DF2A96"/>
    <w:rsid w:val="00DF2AF7"/>
    <w:rsid w:val="00DF2BF3"/>
    <w:rsid w:val="00DF2D09"/>
    <w:rsid w:val="00DF2DFA"/>
    <w:rsid w:val="00DF2F63"/>
    <w:rsid w:val="00DF2FDD"/>
    <w:rsid w:val="00DF2FE5"/>
    <w:rsid w:val="00DF317D"/>
    <w:rsid w:val="00DF3181"/>
    <w:rsid w:val="00DF31D3"/>
    <w:rsid w:val="00DF3231"/>
    <w:rsid w:val="00DF338F"/>
    <w:rsid w:val="00DF3A3D"/>
    <w:rsid w:val="00DF3A5A"/>
    <w:rsid w:val="00DF3B7B"/>
    <w:rsid w:val="00DF3E92"/>
    <w:rsid w:val="00DF4227"/>
    <w:rsid w:val="00DF475E"/>
    <w:rsid w:val="00DF479A"/>
    <w:rsid w:val="00DF48BF"/>
    <w:rsid w:val="00DF493A"/>
    <w:rsid w:val="00DF493E"/>
    <w:rsid w:val="00DF4951"/>
    <w:rsid w:val="00DF49CA"/>
    <w:rsid w:val="00DF4A19"/>
    <w:rsid w:val="00DF4AA5"/>
    <w:rsid w:val="00DF4B8C"/>
    <w:rsid w:val="00DF4BEE"/>
    <w:rsid w:val="00DF4C4C"/>
    <w:rsid w:val="00DF4EA0"/>
    <w:rsid w:val="00DF4FBB"/>
    <w:rsid w:val="00DF5055"/>
    <w:rsid w:val="00DF50B2"/>
    <w:rsid w:val="00DF5123"/>
    <w:rsid w:val="00DF5359"/>
    <w:rsid w:val="00DF54F1"/>
    <w:rsid w:val="00DF580A"/>
    <w:rsid w:val="00DF5A0D"/>
    <w:rsid w:val="00DF5B09"/>
    <w:rsid w:val="00DF5C41"/>
    <w:rsid w:val="00DF5D7B"/>
    <w:rsid w:val="00DF5D83"/>
    <w:rsid w:val="00DF5FD4"/>
    <w:rsid w:val="00DF60F5"/>
    <w:rsid w:val="00DF6128"/>
    <w:rsid w:val="00DF617F"/>
    <w:rsid w:val="00DF6268"/>
    <w:rsid w:val="00DF62ED"/>
    <w:rsid w:val="00DF64B4"/>
    <w:rsid w:val="00DF6521"/>
    <w:rsid w:val="00DF652A"/>
    <w:rsid w:val="00DF6602"/>
    <w:rsid w:val="00DF66E6"/>
    <w:rsid w:val="00DF6787"/>
    <w:rsid w:val="00DF68E0"/>
    <w:rsid w:val="00DF69BF"/>
    <w:rsid w:val="00DF6C6D"/>
    <w:rsid w:val="00DF6CFE"/>
    <w:rsid w:val="00DF6E47"/>
    <w:rsid w:val="00DF72CE"/>
    <w:rsid w:val="00DF75E7"/>
    <w:rsid w:val="00DF7685"/>
    <w:rsid w:val="00DF7872"/>
    <w:rsid w:val="00DF78A4"/>
    <w:rsid w:val="00DF78EA"/>
    <w:rsid w:val="00DF7A80"/>
    <w:rsid w:val="00DF7AE6"/>
    <w:rsid w:val="00DF7B26"/>
    <w:rsid w:val="00DF7B7F"/>
    <w:rsid w:val="00DF7B82"/>
    <w:rsid w:val="00DF7C5E"/>
    <w:rsid w:val="00DF7DC0"/>
    <w:rsid w:val="00DF7DC1"/>
    <w:rsid w:val="00DF7E15"/>
    <w:rsid w:val="00E00085"/>
    <w:rsid w:val="00E00164"/>
    <w:rsid w:val="00E002B9"/>
    <w:rsid w:val="00E00398"/>
    <w:rsid w:val="00E0041A"/>
    <w:rsid w:val="00E00504"/>
    <w:rsid w:val="00E005E6"/>
    <w:rsid w:val="00E005F1"/>
    <w:rsid w:val="00E00782"/>
    <w:rsid w:val="00E0093B"/>
    <w:rsid w:val="00E00C84"/>
    <w:rsid w:val="00E00D43"/>
    <w:rsid w:val="00E00DA3"/>
    <w:rsid w:val="00E00FE6"/>
    <w:rsid w:val="00E01065"/>
    <w:rsid w:val="00E010DD"/>
    <w:rsid w:val="00E01148"/>
    <w:rsid w:val="00E0117A"/>
    <w:rsid w:val="00E017CD"/>
    <w:rsid w:val="00E017ED"/>
    <w:rsid w:val="00E01B40"/>
    <w:rsid w:val="00E01B43"/>
    <w:rsid w:val="00E01BE2"/>
    <w:rsid w:val="00E01D4B"/>
    <w:rsid w:val="00E01D61"/>
    <w:rsid w:val="00E01E42"/>
    <w:rsid w:val="00E01FE8"/>
    <w:rsid w:val="00E020A3"/>
    <w:rsid w:val="00E0217A"/>
    <w:rsid w:val="00E022EC"/>
    <w:rsid w:val="00E022F1"/>
    <w:rsid w:val="00E023D4"/>
    <w:rsid w:val="00E02685"/>
    <w:rsid w:val="00E02754"/>
    <w:rsid w:val="00E02814"/>
    <w:rsid w:val="00E0286B"/>
    <w:rsid w:val="00E02A45"/>
    <w:rsid w:val="00E02A7D"/>
    <w:rsid w:val="00E02C60"/>
    <w:rsid w:val="00E02C67"/>
    <w:rsid w:val="00E02F08"/>
    <w:rsid w:val="00E03124"/>
    <w:rsid w:val="00E03564"/>
    <w:rsid w:val="00E035CD"/>
    <w:rsid w:val="00E035E9"/>
    <w:rsid w:val="00E0361B"/>
    <w:rsid w:val="00E036B0"/>
    <w:rsid w:val="00E036CD"/>
    <w:rsid w:val="00E0385A"/>
    <w:rsid w:val="00E039A7"/>
    <w:rsid w:val="00E03A9D"/>
    <w:rsid w:val="00E03C7B"/>
    <w:rsid w:val="00E03CE1"/>
    <w:rsid w:val="00E0403E"/>
    <w:rsid w:val="00E04208"/>
    <w:rsid w:val="00E0430F"/>
    <w:rsid w:val="00E043A9"/>
    <w:rsid w:val="00E046C5"/>
    <w:rsid w:val="00E048D8"/>
    <w:rsid w:val="00E0493F"/>
    <w:rsid w:val="00E04C11"/>
    <w:rsid w:val="00E04C21"/>
    <w:rsid w:val="00E04D0D"/>
    <w:rsid w:val="00E04E80"/>
    <w:rsid w:val="00E05053"/>
    <w:rsid w:val="00E0523A"/>
    <w:rsid w:val="00E0530D"/>
    <w:rsid w:val="00E05398"/>
    <w:rsid w:val="00E053C3"/>
    <w:rsid w:val="00E056FB"/>
    <w:rsid w:val="00E05AA4"/>
    <w:rsid w:val="00E05B88"/>
    <w:rsid w:val="00E05D80"/>
    <w:rsid w:val="00E05E76"/>
    <w:rsid w:val="00E05FFF"/>
    <w:rsid w:val="00E06175"/>
    <w:rsid w:val="00E06322"/>
    <w:rsid w:val="00E06465"/>
    <w:rsid w:val="00E068C0"/>
    <w:rsid w:val="00E06A79"/>
    <w:rsid w:val="00E06B2C"/>
    <w:rsid w:val="00E06B2E"/>
    <w:rsid w:val="00E06C68"/>
    <w:rsid w:val="00E06C94"/>
    <w:rsid w:val="00E06CF4"/>
    <w:rsid w:val="00E06E27"/>
    <w:rsid w:val="00E06E62"/>
    <w:rsid w:val="00E06F05"/>
    <w:rsid w:val="00E06F4F"/>
    <w:rsid w:val="00E06F58"/>
    <w:rsid w:val="00E0709A"/>
    <w:rsid w:val="00E071F4"/>
    <w:rsid w:val="00E07534"/>
    <w:rsid w:val="00E07734"/>
    <w:rsid w:val="00E077F3"/>
    <w:rsid w:val="00E07944"/>
    <w:rsid w:val="00E0795F"/>
    <w:rsid w:val="00E07966"/>
    <w:rsid w:val="00E07BF7"/>
    <w:rsid w:val="00E07DF1"/>
    <w:rsid w:val="00E07FA3"/>
    <w:rsid w:val="00E07FCD"/>
    <w:rsid w:val="00E07FF9"/>
    <w:rsid w:val="00E10320"/>
    <w:rsid w:val="00E103CD"/>
    <w:rsid w:val="00E10487"/>
    <w:rsid w:val="00E106B7"/>
    <w:rsid w:val="00E106C4"/>
    <w:rsid w:val="00E1081B"/>
    <w:rsid w:val="00E10867"/>
    <w:rsid w:val="00E108A1"/>
    <w:rsid w:val="00E10A81"/>
    <w:rsid w:val="00E10D02"/>
    <w:rsid w:val="00E11088"/>
    <w:rsid w:val="00E110DF"/>
    <w:rsid w:val="00E111B3"/>
    <w:rsid w:val="00E113C0"/>
    <w:rsid w:val="00E1141E"/>
    <w:rsid w:val="00E114AC"/>
    <w:rsid w:val="00E118BD"/>
    <w:rsid w:val="00E11A2C"/>
    <w:rsid w:val="00E11A68"/>
    <w:rsid w:val="00E11B7A"/>
    <w:rsid w:val="00E11BD8"/>
    <w:rsid w:val="00E11C3A"/>
    <w:rsid w:val="00E11DCD"/>
    <w:rsid w:val="00E11FA7"/>
    <w:rsid w:val="00E121A0"/>
    <w:rsid w:val="00E12218"/>
    <w:rsid w:val="00E12340"/>
    <w:rsid w:val="00E12367"/>
    <w:rsid w:val="00E12440"/>
    <w:rsid w:val="00E12449"/>
    <w:rsid w:val="00E1248B"/>
    <w:rsid w:val="00E124B6"/>
    <w:rsid w:val="00E12500"/>
    <w:rsid w:val="00E12737"/>
    <w:rsid w:val="00E127F6"/>
    <w:rsid w:val="00E12BB6"/>
    <w:rsid w:val="00E12C93"/>
    <w:rsid w:val="00E12CB8"/>
    <w:rsid w:val="00E12D7F"/>
    <w:rsid w:val="00E12D81"/>
    <w:rsid w:val="00E12DA5"/>
    <w:rsid w:val="00E12DDF"/>
    <w:rsid w:val="00E1302E"/>
    <w:rsid w:val="00E1304D"/>
    <w:rsid w:val="00E13279"/>
    <w:rsid w:val="00E1339F"/>
    <w:rsid w:val="00E13471"/>
    <w:rsid w:val="00E137D6"/>
    <w:rsid w:val="00E13915"/>
    <w:rsid w:val="00E13AFA"/>
    <w:rsid w:val="00E13B2B"/>
    <w:rsid w:val="00E13BCB"/>
    <w:rsid w:val="00E13D25"/>
    <w:rsid w:val="00E14035"/>
    <w:rsid w:val="00E14065"/>
    <w:rsid w:val="00E14673"/>
    <w:rsid w:val="00E14BA4"/>
    <w:rsid w:val="00E1503C"/>
    <w:rsid w:val="00E15069"/>
    <w:rsid w:val="00E153B3"/>
    <w:rsid w:val="00E154B1"/>
    <w:rsid w:val="00E15659"/>
    <w:rsid w:val="00E1569B"/>
    <w:rsid w:val="00E157DF"/>
    <w:rsid w:val="00E15B1D"/>
    <w:rsid w:val="00E15B25"/>
    <w:rsid w:val="00E15BB4"/>
    <w:rsid w:val="00E15C05"/>
    <w:rsid w:val="00E15E35"/>
    <w:rsid w:val="00E15E68"/>
    <w:rsid w:val="00E15FE3"/>
    <w:rsid w:val="00E160BC"/>
    <w:rsid w:val="00E16118"/>
    <w:rsid w:val="00E161CE"/>
    <w:rsid w:val="00E16313"/>
    <w:rsid w:val="00E16367"/>
    <w:rsid w:val="00E163E9"/>
    <w:rsid w:val="00E1656E"/>
    <w:rsid w:val="00E16845"/>
    <w:rsid w:val="00E16859"/>
    <w:rsid w:val="00E16A83"/>
    <w:rsid w:val="00E16AE7"/>
    <w:rsid w:val="00E16AFC"/>
    <w:rsid w:val="00E16C8C"/>
    <w:rsid w:val="00E16CE5"/>
    <w:rsid w:val="00E16D65"/>
    <w:rsid w:val="00E16E5A"/>
    <w:rsid w:val="00E16EB0"/>
    <w:rsid w:val="00E16FCC"/>
    <w:rsid w:val="00E17260"/>
    <w:rsid w:val="00E1731D"/>
    <w:rsid w:val="00E17375"/>
    <w:rsid w:val="00E17376"/>
    <w:rsid w:val="00E173B7"/>
    <w:rsid w:val="00E1764F"/>
    <w:rsid w:val="00E177AE"/>
    <w:rsid w:val="00E17948"/>
    <w:rsid w:val="00E17A7D"/>
    <w:rsid w:val="00E17B9B"/>
    <w:rsid w:val="00E17C3D"/>
    <w:rsid w:val="00E17D2F"/>
    <w:rsid w:val="00E17E9D"/>
    <w:rsid w:val="00E200C3"/>
    <w:rsid w:val="00E2039F"/>
    <w:rsid w:val="00E20490"/>
    <w:rsid w:val="00E207FF"/>
    <w:rsid w:val="00E208DB"/>
    <w:rsid w:val="00E209C6"/>
    <w:rsid w:val="00E20DEC"/>
    <w:rsid w:val="00E20EB1"/>
    <w:rsid w:val="00E21132"/>
    <w:rsid w:val="00E2114D"/>
    <w:rsid w:val="00E21305"/>
    <w:rsid w:val="00E213BE"/>
    <w:rsid w:val="00E21830"/>
    <w:rsid w:val="00E21846"/>
    <w:rsid w:val="00E21923"/>
    <w:rsid w:val="00E219F0"/>
    <w:rsid w:val="00E21A23"/>
    <w:rsid w:val="00E21AAD"/>
    <w:rsid w:val="00E21AD8"/>
    <w:rsid w:val="00E21BB0"/>
    <w:rsid w:val="00E21BCF"/>
    <w:rsid w:val="00E21C97"/>
    <w:rsid w:val="00E21CA7"/>
    <w:rsid w:val="00E21D1A"/>
    <w:rsid w:val="00E21D66"/>
    <w:rsid w:val="00E21EA7"/>
    <w:rsid w:val="00E21F29"/>
    <w:rsid w:val="00E220D6"/>
    <w:rsid w:val="00E2220A"/>
    <w:rsid w:val="00E223D9"/>
    <w:rsid w:val="00E225A7"/>
    <w:rsid w:val="00E2284B"/>
    <w:rsid w:val="00E2297A"/>
    <w:rsid w:val="00E22A0C"/>
    <w:rsid w:val="00E22AF0"/>
    <w:rsid w:val="00E22CAD"/>
    <w:rsid w:val="00E22CE9"/>
    <w:rsid w:val="00E22CEE"/>
    <w:rsid w:val="00E22D0E"/>
    <w:rsid w:val="00E23171"/>
    <w:rsid w:val="00E23369"/>
    <w:rsid w:val="00E236EE"/>
    <w:rsid w:val="00E2375E"/>
    <w:rsid w:val="00E2378C"/>
    <w:rsid w:val="00E23B0F"/>
    <w:rsid w:val="00E23D9E"/>
    <w:rsid w:val="00E23DBA"/>
    <w:rsid w:val="00E23E7E"/>
    <w:rsid w:val="00E23F35"/>
    <w:rsid w:val="00E23F4C"/>
    <w:rsid w:val="00E24243"/>
    <w:rsid w:val="00E24784"/>
    <w:rsid w:val="00E247F0"/>
    <w:rsid w:val="00E248B4"/>
    <w:rsid w:val="00E24AA0"/>
    <w:rsid w:val="00E24C8F"/>
    <w:rsid w:val="00E24DE4"/>
    <w:rsid w:val="00E24E6D"/>
    <w:rsid w:val="00E24E78"/>
    <w:rsid w:val="00E24F39"/>
    <w:rsid w:val="00E25048"/>
    <w:rsid w:val="00E25263"/>
    <w:rsid w:val="00E2529A"/>
    <w:rsid w:val="00E2535E"/>
    <w:rsid w:val="00E2536E"/>
    <w:rsid w:val="00E25731"/>
    <w:rsid w:val="00E258AF"/>
    <w:rsid w:val="00E25C5F"/>
    <w:rsid w:val="00E25D87"/>
    <w:rsid w:val="00E25F7D"/>
    <w:rsid w:val="00E2606D"/>
    <w:rsid w:val="00E26179"/>
    <w:rsid w:val="00E26375"/>
    <w:rsid w:val="00E2655D"/>
    <w:rsid w:val="00E2661D"/>
    <w:rsid w:val="00E26651"/>
    <w:rsid w:val="00E2668B"/>
    <w:rsid w:val="00E2671E"/>
    <w:rsid w:val="00E2684C"/>
    <w:rsid w:val="00E26893"/>
    <w:rsid w:val="00E268E0"/>
    <w:rsid w:val="00E26A1E"/>
    <w:rsid w:val="00E26CE9"/>
    <w:rsid w:val="00E26FB4"/>
    <w:rsid w:val="00E27031"/>
    <w:rsid w:val="00E27034"/>
    <w:rsid w:val="00E272F1"/>
    <w:rsid w:val="00E27394"/>
    <w:rsid w:val="00E27673"/>
    <w:rsid w:val="00E27772"/>
    <w:rsid w:val="00E27853"/>
    <w:rsid w:val="00E27865"/>
    <w:rsid w:val="00E278D8"/>
    <w:rsid w:val="00E27A4D"/>
    <w:rsid w:val="00E27B3D"/>
    <w:rsid w:val="00E27B64"/>
    <w:rsid w:val="00E27CA0"/>
    <w:rsid w:val="00E27DDF"/>
    <w:rsid w:val="00E27E7C"/>
    <w:rsid w:val="00E3004A"/>
    <w:rsid w:val="00E301C5"/>
    <w:rsid w:val="00E304BC"/>
    <w:rsid w:val="00E30571"/>
    <w:rsid w:val="00E30590"/>
    <w:rsid w:val="00E30726"/>
    <w:rsid w:val="00E307E9"/>
    <w:rsid w:val="00E308AF"/>
    <w:rsid w:val="00E30A46"/>
    <w:rsid w:val="00E30C24"/>
    <w:rsid w:val="00E30D77"/>
    <w:rsid w:val="00E31154"/>
    <w:rsid w:val="00E311DD"/>
    <w:rsid w:val="00E31291"/>
    <w:rsid w:val="00E313B7"/>
    <w:rsid w:val="00E314A9"/>
    <w:rsid w:val="00E314EF"/>
    <w:rsid w:val="00E317A9"/>
    <w:rsid w:val="00E31805"/>
    <w:rsid w:val="00E3187E"/>
    <w:rsid w:val="00E3188F"/>
    <w:rsid w:val="00E31974"/>
    <w:rsid w:val="00E31A27"/>
    <w:rsid w:val="00E31B94"/>
    <w:rsid w:val="00E31BF5"/>
    <w:rsid w:val="00E31CEF"/>
    <w:rsid w:val="00E31EBF"/>
    <w:rsid w:val="00E31ED6"/>
    <w:rsid w:val="00E31F27"/>
    <w:rsid w:val="00E32050"/>
    <w:rsid w:val="00E320BA"/>
    <w:rsid w:val="00E320F2"/>
    <w:rsid w:val="00E321B0"/>
    <w:rsid w:val="00E32341"/>
    <w:rsid w:val="00E3235D"/>
    <w:rsid w:val="00E3236D"/>
    <w:rsid w:val="00E324BA"/>
    <w:rsid w:val="00E324CF"/>
    <w:rsid w:val="00E32790"/>
    <w:rsid w:val="00E32805"/>
    <w:rsid w:val="00E329DA"/>
    <w:rsid w:val="00E32C3C"/>
    <w:rsid w:val="00E32D9B"/>
    <w:rsid w:val="00E32DC6"/>
    <w:rsid w:val="00E32EED"/>
    <w:rsid w:val="00E3311E"/>
    <w:rsid w:val="00E33221"/>
    <w:rsid w:val="00E33658"/>
    <w:rsid w:val="00E33717"/>
    <w:rsid w:val="00E33766"/>
    <w:rsid w:val="00E338EE"/>
    <w:rsid w:val="00E33922"/>
    <w:rsid w:val="00E3397D"/>
    <w:rsid w:val="00E339B5"/>
    <w:rsid w:val="00E339BE"/>
    <w:rsid w:val="00E33A1B"/>
    <w:rsid w:val="00E33AC5"/>
    <w:rsid w:val="00E33F0F"/>
    <w:rsid w:val="00E3436E"/>
    <w:rsid w:val="00E3447C"/>
    <w:rsid w:val="00E345A7"/>
    <w:rsid w:val="00E347B6"/>
    <w:rsid w:val="00E34A1F"/>
    <w:rsid w:val="00E34A83"/>
    <w:rsid w:val="00E34BC6"/>
    <w:rsid w:val="00E34DA2"/>
    <w:rsid w:val="00E3502F"/>
    <w:rsid w:val="00E351B6"/>
    <w:rsid w:val="00E35464"/>
    <w:rsid w:val="00E35699"/>
    <w:rsid w:val="00E3570F"/>
    <w:rsid w:val="00E357A5"/>
    <w:rsid w:val="00E3597B"/>
    <w:rsid w:val="00E35BD1"/>
    <w:rsid w:val="00E35CCF"/>
    <w:rsid w:val="00E35D45"/>
    <w:rsid w:val="00E35D51"/>
    <w:rsid w:val="00E35DF1"/>
    <w:rsid w:val="00E35E89"/>
    <w:rsid w:val="00E36028"/>
    <w:rsid w:val="00E36080"/>
    <w:rsid w:val="00E360EF"/>
    <w:rsid w:val="00E36184"/>
    <w:rsid w:val="00E36252"/>
    <w:rsid w:val="00E36375"/>
    <w:rsid w:val="00E36718"/>
    <w:rsid w:val="00E36796"/>
    <w:rsid w:val="00E368F1"/>
    <w:rsid w:val="00E3696C"/>
    <w:rsid w:val="00E36AC6"/>
    <w:rsid w:val="00E36CC3"/>
    <w:rsid w:val="00E36CEA"/>
    <w:rsid w:val="00E36E6B"/>
    <w:rsid w:val="00E36E6D"/>
    <w:rsid w:val="00E370C5"/>
    <w:rsid w:val="00E373B1"/>
    <w:rsid w:val="00E3741A"/>
    <w:rsid w:val="00E37570"/>
    <w:rsid w:val="00E375D1"/>
    <w:rsid w:val="00E37623"/>
    <w:rsid w:val="00E3770E"/>
    <w:rsid w:val="00E378ED"/>
    <w:rsid w:val="00E37A5C"/>
    <w:rsid w:val="00E37B10"/>
    <w:rsid w:val="00E37B48"/>
    <w:rsid w:val="00E37C50"/>
    <w:rsid w:val="00E37D76"/>
    <w:rsid w:val="00E37DCA"/>
    <w:rsid w:val="00E37E81"/>
    <w:rsid w:val="00E37EE1"/>
    <w:rsid w:val="00E40137"/>
    <w:rsid w:val="00E4014F"/>
    <w:rsid w:val="00E403E1"/>
    <w:rsid w:val="00E4044F"/>
    <w:rsid w:val="00E40619"/>
    <w:rsid w:val="00E408C1"/>
    <w:rsid w:val="00E409FE"/>
    <w:rsid w:val="00E40AAB"/>
    <w:rsid w:val="00E40B1E"/>
    <w:rsid w:val="00E40B67"/>
    <w:rsid w:val="00E40B81"/>
    <w:rsid w:val="00E40CCD"/>
    <w:rsid w:val="00E40CF8"/>
    <w:rsid w:val="00E40D25"/>
    <w:rsid w:val="00E40DF4"/>
    <w:rsid w:val="00E40FDC"/>
    <w:rsid w:val="00E41000"/>
    <w:rsid w:val="00E410EF"/>
    <w:rsid w:val="00E4119A"/>
    <w:rsid w:val="00E41252"/>
    <w:rsid w:val="00E4126D"/>
    <w:rsid w:val="00E412F2"/>
    <w:rsid w:val="00E41362"/>
    <w:rsid w:val="00E41366"/>
    <w:rsid w:val="00E415FB"/>
    <w:rsid w:val="00E4162C"/>
    <w:rsid w:val="00E4163D"/>
    <w:rsid w:val="00E41645"/>
    <w:rsid w:val="00E4165C"/>
    <w:rsid w:val="00E41662"/>
    <w:rsid w:val="00E419F9"/>
    <w:rsid w:val="00E41A09"/>
    <w:rsid w:val="00E41A0D"/>
    <w:rsid w:val="00E41B8A"/>
    <w:rsid w:val="00E41C1D"/>
    <w:rsid w:val="00E41C24"/>
    <w:rsid w:val="00E41C73"/>
    <w:rsid w:val="00E41D0E"/>
    <w:rsid w:val="00E41DC4"/>
    <w:rsid w:val="00E41E62"/>
    <w:rsid w:val="00E41FDA"/>
    <w:rsid w:val="00E42054"/>
    <w:rsid w:val="00E42320"/>
    <w:rsid w:val="00E42501"/>
    <w:rsid w:val="00E42558"/>
    <w:rsid w:val="00E426D6"/>
    <w:rsid w:val="00E426F9"/>
    <w:rsid w:val="00E42788"/>
    <w:rsid w:val="00E427D5"/>
    <w:rsid w:val="00E42AA8"/>
    <w:rsid w:val="00E42AB3"/>
    <w:rsid w:val="00E42B0F"/>
    <w:rsid w:val="00E42B77"/>
    <w:rsid w:val="00E42D04"/>
    <w:rsid w:val="00E42D15"/>
    <w:rsid w:val="00E42D88"/>
    <w:rsid w:val="00E4305D"/>
    <w:rsid w:val="00E431E5"/>
    <w:rsid w:val="00E4323A"/>
    <w:rsid w:val="00E4346F"/>
    <w:rsid w:val="00E434E2"/>
    <w:rsid w:val="00E43578"/>
    <w:rsid w:val="00E43613"/>
    <w:rsid w:val="00E43847"/>
    <w:rsid w:val="00E438DD"/>
    <w:rsid w:val="00E43AB0"/>
    <w:rsid w:val="00E43DA6"/>
    <w:rsid w:val="00E43F71"/>
    <w:rsid w:val="00E4404B"/>
    <w:rsid w:val="00E44093"/>
    <w:rsid w:val="00E44097"/>
    <w:rsid w:val="00E443AE"/>
    <w:rsid w:val="00E44481"/>
    <w:rsid w:val="00E4450F"/>
    <w:rsid w:val="00E445B4"/>
    <w:rsid w:val="00E44788"/>
    <w:rsid w:val="00E447A3"/>
    <w:rsid w:val="00E4483A"/>
    <w:rsid w:val="00E4488C"/>
    <w:rsid w:val="00E449BD"/>
    <w:rsid w:val="00E449E1"/>
    <w:rsid w:val="00E44CA9"/>
    <w:rsid w:val="00E44D3E"/>
    <w:rsid w:val="00E44E8A"/>
    <w:rsid w:val="00E44F13"/>
    <w:rsid w:val="00E44F40"/>
    <w:rsid w:val="00E44FD1"/>
    <w:rsid w:val="00E45133"/>
    <w:rsid w:val="00E4535B"/>
    <w:rsid w:val="00E45427"/>
    <w:rsid w:val="00E45691"/>
    <w:rsid w:val="00E456BA"/>
    <w:rsid w:val="00E45757"/>
    <w:rsid w:val="00E459CE"/>
    <w:rsid w:val="00E45BFC"/>
    <w:rsid w:val="00E45D40"/>
    <w:rsid w:val="00E45DA7"/>
    <w:rsid w:val="00E45F88"/>
    <w:rsid w:val="00E4607E"/>
    <w:rsid w:val="00E4613C"/>
    <w:rsid w:val="00E464F1"/>
    <w:rsid w:val="00E466FB"/>
    <w:rsid w:val="00E466FC"/>
    <w:rsid w:val="00E46710"/>
    <w:rsid w:val="00E46826"/>
    <w:rsid w:val="00E46A22"/>
    <w:rsid w:val="00E46AB0"/>
    <w:rsid w:val="00E46C18"/>
    <w:rsid w:val="00E46C5E"/>
    <w:rsid w:val="00E46C7A"/>
    <w:rsid w:val="00E46E36"/>
    <w:rsid w:val="00E46FFC"/>
    <w:rsid w:val="00E47075"/>
    <w:rsid w:val="00E47211"/>
    <w:rsid w:val="00E47260"/>
    <w:rsid w:val="00E4744F"/>
    <w:rsid w:val="00E47466"/>
    <w:rsid w:val="00E474B1"/>
    <w:rsid w:val="00E475D1"/>
    <w:rsid w:val="00E476BD"/>
    <w:rsid w:val="00E47985"/>
    <w:rsid w:val="00E47E2E"/>
    <w:rsid w:val="00E47E4E"/>
    <w:rsid w:val="00E47E66"/>
    <w:rsid w:val="00E47EAD"/>
    <w:rsid w:val="00E47EBF"/>
    <w:rsid w:val="00E47ECF"/>
    <w:rsid w:val="00E50086"/>
    <w:rsid w:val="00E501A3"/>
    <w:rsid w:val="00E502E6"/>
    <w:rsid w:val="00E5032F"/>
    <w:rsid w:val="00E503CE"/>
    <w:rsid w:val="00E504A9"/>
    <w:rsid w:val="00E504B3"/>
    <w:rsid w:val="00E5097A"/>
    <w:rsid w:val="00E50A4B"/>
    <w:rsid w:val="00E50AC6"/>
    <w:rsid w:val="00E50B28"/>
    <w:rsid w:val="00E50BC7"/>
    <w:rsid w:val="00E50E2B"/>
    <w:rsid w:val="00E50E8E"/>
    <w:rsid w:val="00E5129C"/>
    <w:rsid w:val="00E513D3"/>
    <w:rsid w:val="00E5143F"/>
    <w:rsid w:val="00E51483"/>
    <w:rsid w:val="00E51724"/>
    <w:rsid w:val="00E5191E"/>
    <w:rsid w:val="00E519CD"/>
    <w:rsid w:val="00E51A5F"/>
    <w:rsid w:val="00E51D28"/>
    <w:rsid w:val="00E51D7B"/>
    <w:rsid w:val="00E51DBB"/>
    <w:rsid w:val="00E51F8D"/>
    <w:rsid w:val="00E520E2"/>
    <w:rsid w:val="00E5213B"/>
    <w:rsid w:val="00E52743"/>
    <w:rsid w:val="00E5288C"/>
    <w:rsid w:val="00E52990"/>
    <w:rsid w:val="00E52B28"/>
    <w:rsid w:val="00E52BAE"/>
    <w:rsid w:val="00E52C63"/>
    <w:rsid w:val="00E52C97"/>
    <w:rsid w:val="00E52E64"/>
    <w:rsid w:val="00E52FB3"/>
    <w:rsid w:val="00E53047"/>
    <w:rsid w:val="00E531B1"/>
    <w:rsid w:val="00E532F0"/>
    <w:rsid w:val="00E5334C"/>
    <w:rsid w:val="00E5337B"/>
    <w:rsid w:val="00E533AD"/>
    <w:rsid w:val="00E5350C"/>
    <w:rsid w:val="00E53783"/>
    <w:rsid w:val="00E53835"/>
    <w:rsid w:val="00E538A9"/>
    <w:rsid w:val="00E538F4"/>
    <w:rsid w:val="00E53A1D"/>
    <w:rsid w:val="00E53D6A"/>
    <w:rsid w:val="00E53DD1"/>
    <w:rsid w:val="00E541CE"/>
    <w:rsid w:val="00E54219"/>
    <w:rsid w:val="00E5434C"/>
    <w:rsid w:val="00E545E9"/>
    <w:rsid w:val="00E548F7"/>
    <w:rsid w:val="00E54979"/>
    <w:rsid w:val="00E54A73"/>
    <w:rsid w:val="00E54A8B"/>
    <w:rsid w:val="00E54C3C"/>
    <w:rsid w:val="00E54D7F"/>
    <w:rsid w:val="00E54EF8"/>
    <w:rsid w:val="00E54F8F"/>
    <w:rsid w:val="00E554DB"/>
    <w:rsid w:val="00E554F1"/>
    <w:rsid w:val="00E55504"/>
    <w:rsid w:val="00E5553D"/>
    <w:rsid w:val="00E555B7"/>
    <w:rsid w:val="00E55618"/>
    <w:rsid w:val="00E55885"/>
    <w:rsid w:val="00E55EBA"/>
    <w:rsid w:val="00E55FE7"/>
    <w:rsid w:val="00E56053"/>
    <w:rsid w:val="00E5607D"/>
    <w:rsid w:val="00E560C0"/>
    <w:rsid w:val="00E560DD"/>
    <w:rsid w:val="00E560FE"/>
    <w:rsid w:val="00E5623A"/>
    <w:rsid w:val="00E563E6"/>
    <w:rsid w:val="00E5649F"/>
    <w:rsid w:val="00E564AE"/>
    <w:rsid w:val="00E56695"/>
    <w:rsid w:val="00E5689B"/>
    <w:rsid w:val="00E568BC"/>
    <w:rsid w:val="00E56A08"/>
    <w:rsid w:val="00E56F99"/>
    <w:rsid w:val="00E56F9D"/>
    <w:rsid w:val="00E571D0"/>
    <w:rsid w:val="00E57300"/>
    <w:rsid w:val="00E57348"/>
    <w:rsid w:val="00E57402"/>
    <w:rsid w:val="00E574D6"/>
    <w:rsid w:val="00E57562"/>
    <w:rsid w:val="00E57634"/>
    <w:rsid w:val="00E576AB"/>
    <w:rsid w:val="00E57775"/>
    <w:rsid w:val="00E577B9"/>
    <w:rsid w:val="00E577CA"/>
    <w:rsid w:val="00E578D7"/>
    <w:rsid w:val="00E57921"/>
    <w:rsid w:val="00E57957"/>
    <w:rsid w:val="00E57990"/>
    <w:rsid w:val="00E579BF"/>
    <w:rsid w:val="00E57A67"/>
    <w:rsid w:val="00E57BC7"/>
    <w:rsid w:val="00E57DFE"/>
    <w:rsid w:val="00E57E76"/>
    <w:rsid w:val="00E57E7F"/>
    <w:rsid w:val="00E57F1B"/>
    <w:rsid w:val="00E601A7"/>
    <w:rsid w:val="00E60466"/>
    <w:rsid w:val="00E6049A"/>
    <w:rsid w:val="00E60635"/>
    <w:rsid w:val="00E6065E"/>
    <w:rsid w:val="00E60796"/>
    <w:rsid w:val="00E60CCE"/>
    <w:rsid w:val="00E60D99"/>
    <w:rsid w:val="00E60E1C"/>
    <w:rsid w:val="00E60FDE"/>
    <w:rsid w:val="00E60FE9"/>
    <w:rsid w:val="00E610BD"/>
    <w:rsid w:val="00E611BB"/>
    <w:rsid w:val="00E61341"/>
    <w:rsid w:val="00E6152B"/>
    <w:rsid w:val="00E6169A"/>
    <w:rsid w:val="00E616B5"/>
    <w:rsid w:val="00E6170B"/>
    <w:rsid w:val="00E6192E"/>
    <w:rsid w:val="00E61971"/>
    <w:rsid w:val="00E61AF0"/>
    <w:rsid w:val="00E61B1A"/>
    <w:rsid w:val="00E6205E"/>
    <w:rsid w:val="00E6210B"/>
    <w:rsid w:val="00E6212D"/>
    <w:rsid w:val="00E62157"/>
    <w:rsid w:val="00E62189"/>
    <w:rsid w:val="00E622C2"/>
    <w:rsid w:val="00E625F7"/>
    <w:rsid w:val="00E629CA"/>
    <w:rsid w:val="00E62A93"/>
    <w:rsid w:val="00E62B46"/>
    <w:rsid w:val="00E62C2A"/>
    <w:rsid w:val="00E62D0D"/>
    <w:rsid w:val="00E62D1F"/>
    <w:rsid w:val="00E62FD4"/>
    <w:rsid w:val="00E630F1"/>
    <w:rsid w:val="00E63156"/>
    <w:rsid w:val="00E63245"/>
    <w:rsid w:val="00E63303"/>
    <w:rsid w:val="00E63321"/>
    <w:rsid w:val="00E63355"/>
    <w:rsid w:val="00E6339D"/>
    <w:rsid w:val="00E634ED"/>
    <w:rsid w:val="00E635B2"/>
    <w:rsid w:val="00E639F7"/>
    <w:rsid w:val="00E63BAC"/>
    <w:rsid w:val="00E63C0C"/>
    <w:rsid w:val="00E63CA2"/>
    <w:rsid w:val="00E64034"/>
    <w:rsid w:val="00E64095"/>
    <w:rsid w:val="00E640D4"/>
    <w:rsid w:val="00E641B4"/>
    <w:rsid w:val="00E6423E"/>
    <w:rsid w:val="00E6424F"/>
    <w:rsid w:val="00E643AC"/>
    <w:rsid w:val="00E64562"/>
    <w:rsid w:val="00E645BA"/>
    <w:rsid w:val="00E645BE"/>
    <w:rsid w:val="00E64640"/>
    <w:rsid w:val="00E646BA"/>
    <w:rsid w:val="00E64780"/>
    <w:rsid w:val="00E64794"/>
    <w:rsid w:val="00E647D2"/>
    <w:rsid w:val="00E649CB"/>
    <w:rsid w:val="00E64A39"/>
    <w:rsid w:val="00E64A41"/>
    <w:rsid w:val="00E64A79"/>
    <w:rsid w:val="00E64B1F"/>
    <w:rsid w:val="00E64B38"/>
    <w:rsid w:val="00E64E94"/>
    <w:rsid w:val="00E64FA3"/>
    <w:rsid w:val="00E64FCF"/>
    <w:rsid w:val="00E651A3"/>
    <w:rsid w:val="00E653ED"/>
    <w:rsid w:val="00E65453"/>
    <w:rsid w:val="00E6565E"/>
    <w:rsid w:val="00E65793"/>
    <w:rsid w:val="00E658EC"/>
    <w:rsid w:val="00E65A86"/>
    <w:rsid w:val="00E65A89"/>
    <w:rsid w:val="00E65AD2"/>
    <w:rsid w:val="00E65CFB"/>
    <w:rsid w:val="00E65D02"/>
    <w:rsid w:val="00E65DC6"/>
    <w:rsid w:val="00E65E95"/>
    <w:rsid w:val="00E662CF"/>
    <w:rsid w:val="00E663A2"/>
    <w:rsid w:val="00E66485"/>
    <w:rsid w:val="00E66672"/>
    <w:rsid w:val="00E666AA"/>
    <w:rsid w:val="00E6670C"/>
    <w:rsid w:val="00E6671C"/>
    <w:rsid w:val="00E66859"/>
    <w:rsid w:val="00E66A07"/>
    <w:rsid w:val="00E66ACE"/>
    <w:rsid w:val="00E66B27"/>
    <w:rsid w:val="00E66CCB"/>
    <w:rsid w:val="00E66E4A"/>
    <w:rsid w:val="00E66F67"/>
    <w:rsid w:val="00E66F74"/>
    <w:rsid w:val="00E66FB1"/>
    <w:rsid w:val="00E6700F"/>
    <w:rsid w:val="00E67149"/>
    <w:rsid w:val="00E6728B"/>
    <w:rsid w:val="00E67356"/>
    <w:rsid w:val="00E673D0"/>
    <w:rsid w:val="00E6741B"/>
    <w:rsid w:val="00E6742F"/>
    <w:rsid w:val="00E67576"/>
    <w:rsid w:val="00E675B5"/>
    <w:rsid w:val="00E67614"/>
    <w:rsid w:val="00E6789D"/>
    <w:rsid w:val="00E678D6"/>
    <w:rsid w:val="00E679CC"/>
    <w:rsid w:val="00E679E3"/>
    <w:rsid w:val="00E67ACF"/>
    <w:rsid w:val="00E67C80"/>
    <w:rsid w:val="00E67CB4"/>
    <w:rsid w:val="00E67D21"/>
    <w:rsid w:val="00E67E1C"/>
    <w:rsid w:val="00E67E50"/>
    <w:rsid w:val="00E67EFA"/>
    <w:rsid w:val="00E67FDC"/>
    <w:rsid w:val="00E70035"/>
    <w:rsid w:val="00E70616"/>
    <w:rsid w:val="00E708D2"/>
    <w:rsid w:val="00E70998"/>
    <w:rsid w:val="00E70999"/>
    <w:rsid w:val="00E709AD"/>
    <w:rsid w:val="00E709C4"/>
    <w:rsid w:val="00E70B44"/>
    <w:rsid w:val="00E70BCB"/>
    <w:rsid w:val="00E70CD5"/>
    <w:rsid w:val="00E70FCC"/>
    <w:rsid w:val="00E71100"/>
    <w:rsid w:val="00E71117"/>
    <w:rsid w:val="00E7112A"/>
    <w:rsid w:val="00E713DC"/>
    <w:rsid w:val="00E714E5"/>
    <w:rsid w:val="00E7154B"/>
    <w:rsid w:val="00E717AF"/>
    <w:rsid w:val="00E717DC"/>
    <w:rsid w:val="00E717DF"/>
    <w:rsid w:val="00E71877"/>
    <w:rsid w:val="00E718C0"/>
    <w:rsid w:val="00E719A6"/>
    <w:rsid w:val="00E722CF"/>
    <w:rsid w:val="00E723FA"/>
    <w:rsid w:val="00E72498"/>
    <w:rsid w:val="00E724C9"/>
    <w:rsid w:val="00E725D8"/>
    <w:rsid w:val="00E725E4"/>
    <w:rsid w:val="00E7272A"/>
    <w:rsid w:val="00E727DA"/>
    <w:rsid w:val="00E727E2"/>
    <w:rsid w:val="00E727EE"/>
    <w:rsid w:val="00E72CDE"/>
    <w:rsid w:val="00E731CF"/>
    <w:rsid w:val="00E7328D"/>
    <w:rsid w:val="00E732CA"/>
    <w:rsid w:val="00E7332D"/>
    <w:rsid w:val="00E73349"/>
    <w:rsid w:val="00E733FC"/>
    <w:rsid w:val="00E734C0"/>
    <w:rsid w:val="00E7350A"/>
    <w:rsid w:val="00E73516"/>
    <w:rsid w:val="00E73932"/>
    <w:rsid w:val="00E73EA7"/>
    <w:rsid w:val="00E73F76"/>
    <w:rsid w:val="00E7405C"/>
    <w:rsid w:val="00E7413D"/>
    <w:rsid w:val="00E74571"/>
    <w:rsid w:val="00E74705"/>
    <w:rsid w:val="00E747BF"/>
    <w:rsid w:val="00E747D0"/>
    <w:rsid w:val="00E74896"/>
    <w:rsid w:val="00E748BE"/>
    <w:rsid w:val="00E7495D"/>
    <w:rsid w:val="00E7497F"/>
    <w:rsid w:val="00E74A95"/>
    <w:rsid w:val="00E74B6D"/>
    <w:rsid w:val="00E74C3F"/>
    <w:rsid w:val="00E74C8C"/>
    <w:rsid w:val="00E74CB0"/>
    <w:rsid w:val="00E74DD4"/>
    <w:rsid w:val="00E74E7C"/>
    <w:rsid w:val="00E74EFC"/>
    <w:rsid w:val="00E74FE7"/>
    <w:rsid w:val="00E750D8"/>
    <w:rsid w:val="00E7517E"/>
    <w:rsid w:val="00E751B2"/>
    <w:rsid w:val="00E7524A"/>
    <w:rsid w:val="00E75349"/>
    <w:rsid w:val="00E753CC"/>
    <w:rsid w:val="00E75673"/>
    <w:rsid w:val="00E759FA"/>
    <w:rsid w:val="00E75AFD"/>
    <w:rsid w:val="00E75B57"/>
    <w:rsid w:val="00E75BBA"/>
    <w:rsid w:val="00E75C60"/>
    <w:rsid w:val="00E76038"/>
    <w:rsid w:val="00E760BB"/>
    <w:rsid w:val="00E7618B"/>
    <w:rsid w:val="00E76332"/>
    <w:rsid w:val="00E76437"/>
    <w:rsid w:val="00E7682D"/>
    <w:rsid w:val="00E76934"/>
    <w:rsid w:val="00E769CA"/>
    <w:rsid w:val="00E76A03"/>
    <w:rsid w:val="00E76ADF"/>
    <w:rsid w:val="00E76C1C"/>
    <w:rsid w:val="00E76C80"/>
    <w:rsid w:val="00E76CFB"/>
    <w:rsid w:val="00E76E5B"/>
    <w:rsid w:val="00E76ED0"/>
    <w:rsid w:val="00E76ED8"/>
    <w:rsid w:val="00E76EF3"/>
    <w:rsid w:val="00E76F24"/>
    <w:rsid w:val="00E77123"/>
    <w:rsid w:val="00E774D4"/>
    <w:rsid w:val="00E77538"/>
    <w:rsid w:val="00E77575"/>
    <w:rsid w:val="00E775CD"/>
    <w:rsid w:val="00E77619"/>
    <w:rsid w:val="00E77A0D"/>
    <w:rsid w:val="00E77A68"/>
    <w:rsid w:val="00E77CE8"/>
    <w:rsid w:val="00E77D61"/>
    <w:rsid w:val="00E77DED"/>
    <w:rsid w:val="00E77EDF"/>
    <w:rsid w:val="00E77F6E"/>
    <w:rsid w:val="00E80076"/>
    <w:rsid w:val="00E80195"/>
    <w:rsid w:val="00E80370"/>
    <w:rsid w:val="00E8041A"/>
    <w:rsid w:val="00E8068F"/>
    <w:rsid w:val="00E806EC"/>
    <w:rsid w:val="00E806FA"/>
    <w:rsid w:val="00E80856"/>
    <w:rsid w:val="00E80A5B"/>
    <w:rsid w:val="00E80AAF"/>
    <w:rsid w:val="00E80ABF"/>
    <w:rsid w:val="00E80B03"/>
    <w:rsid w:val="00E80D17"/>
    <w:rsid w:val="00E80DF3"/>
    <w:rsid w:val="00E8100C"/>
    <w:rsid w:val="00E81074"/>
    <w:rsid w:val="00E81089"/>
    <w:rsid w:val="00E81096"/>
    <w:rsid w:val="00E810E5"/>
    <w:rsid w:val="00E81313"/>
    <w:rsid w:val="00E814F0"/>
    <w:rsid w:val="00E81552"/>
    <w:rsid w:val="00E81583"/>
    <w:rsid w:val="00E815E2"/>
    <w:rsid w:val="00E815EC"/>
    <w:rsid w:val="00E8164B"/>
    <w:rsid w:val="00E81742"/>
    <w:rsid w:val="00E81773"/>
    <w:rsid w:val="00E817DD"/>
    <w:rsid w:val="00E81803"/>
    <w:rsid w:val="00E8192B"/>
    <w:rsid w:val="00E81941"/>
    <w:rsid w:val="00E81A9D"/>
    <w:rsid w:val="00E81B95"/>
    <w:rsid w:val="00E81C39"/>
    <w:rsid w:val="00E81DA0"/>
    <w:rsid w:val="00E81DE7"/>
    <w:rsid w:val="00E81E6B"/>
    <w:rsid w:val="00E81EDB"/>
    <w:rsid w:val="00E820DA"/>
    <w:rsid w:val="00E8215B"/>
    <w:rsid w:val="00E82205"/>
    <w:rsid w:val="00E82548"/>
    <w:rsid w:val="00E82596"/>
    <w:rsid w:val="00E8281A"/>
    <w:rsid w:val="00E82B1B"/>
    <w:rsid w:val="00E82BA4"/>
    <w:rsid w:val="00E82BCA"/>
    <w:rsid w:val="00E82BD7"/>
    <w:rsid w:val="00E82C7C"/>
    <w:rsid w:val="00E82FD7"/>
    <w:rsid w:val="00E830FD"/>
    <w:rsid w:val="00E832AD"/>
    <w:rsid w:val="00E832D1"/>
    <w:rsid w:val="00E8332D"/>
    <w:rsid w:val="00E8338A"/>
    <w:rsid w:val="00E83457"/>
    <w:rsid w:val="00E8355A"/>
    <w:rsid w:val="00E837EE"/>
    <w:rsid w:val="00E8383F"/>
    <w:rsid w:val="00E838D3"/>
    <w:rsid w:val="00E83A08"/>
    <w:rsid w:val="00E83C87"/>
    <w:rsid w:val="00E83E93"/>
    <w:rsid w:val="00E83ED8"/>
    <w:rsid w:val="00E83F98"/>
    <w:rsid w:val="00E8423C"/>
    <w:rsid w:val="00E8426C"/>
    <w:rsid w:val="00E84281"/>
    <w:rsid w:val="00E845A7"/>
    <w:rsid w:val="00E845FE"/>
    <w:rsid w:val="00E84624"/>
    <w:rsid w:val="00E846E1"/>
    <w:rsid w:val="00E8479C"/>
    <w:rsid w:val="00E847FD"/>
    <w:rsid w:val="00E84B3B"/>
    <w:rsid w:val="00E84CFD"/>
    <w:rsid w:val="00E84D96"/>
    <w:rsid w:val="00E84DD4"/>
    <w:rsid w:val="00E84DDD"/>
    <w:rsid w:val="00E84DF3"/>
    <w:rsid w:val="00E84F0A"/>
    <w:rsid w:val="00E850A2"/>
    <w:rsid w:val="00E850CE"/>
    <w:rsid w:val="00E85127"/>
    <w:rsid w:val="00E851CF"/>
    <w:rsid w:val="00E853B5"/>
    <w:rsid w:val="00E853DD"/>
    <w:rsid w:val="00E85414"/>
    <w:rsid w:val="00E8557B"/>
    <w:rsid w:val="00E855CA"/>
    <w:rsid w:val="00E856AA"/>
    <w:rsid w:val="00E8574C"/>
    <w:rsid w:val="00E8575A"/>
    <w:rsid w:val="00E85900"/>
    <w:rsid w:val="00E85A84"/>
    <w:rsid w:val="00E85DC0"/>
    <w:rsid w:val="00E85F40"/>
    <w:rsid w:val="00E8620B"/>
    <w:rsid w:val="00E8623C"/>
    <w:rsid w:val="00E862C8"/>
    <w:rsid w:val="00E862EC"/>
    <w:rsid w:val="00E86345"/>
    <w:rsid w:val="00E865A0"/>
    <w:rsid w:val="00E865D5"/>
    <w:rsid w:val="00E866F8"/>
    <w:rsid w:val="00E8672A"/>
    <w:rsid w:val="00E8673A"/>
    <w:rsid w:val="00E869A1"/>
    <w:rsid w:val="00E869D7"/>
    <w:rsid w:val="00E86A2D"/>
    <w:rsid w:val="00E86A59"/>
    <w:rsid w:val="00E86A9E"/>
    <w:rsid w:val="00E86B7C"/>
    <w:rsid w:val="00E86B95"/>
    <w:rsid w:val="00E86CAF"/>
    <w:rsid w:val="00E86FC0"/>
    <w:rsid w:val="00E86FD5"/>
    <w:rsid w:val="00E87112"/>
    <w:rsid w:val="00E8730B"/>
    <w:rsid w:val="00E87949"/>
    <w:rsid w:val="00E87961"/>
    <w:rsid w:val="00E879FB"/>
    <w:rsid w:val="00E87C5E"/>
    <w:rsid w:val="00E87C84"/>
    <w:rsid w:val="00E87DA2"/>
    <w:rsid w:val="00E901A7"/>
    <w:rsid w:val="00E90387"/>
    <w:rsid w:val="00E904AB"/>
    <w:rsid w:val="00E904B1"/>
    <w:rsid w:val="00E905CD"/>
    <w:rsid w:val="00E9083E"/>
    <w:rsid w:val="00E90E1C"/>
    <w:rsid w:val="00E90F01"/>
    <w:rsid w:val="00E90F0B"/>
    <w:rsid w:val="00E90F1E"/>
    <w:rsid w:val="00E911FD"/>
    <w:rsid w:val="00E91280"/>
    <w:rsid w:val="00E91485"/>
    <w:rsid w:val="00E9161D"/>
    <w:rsid w:val="00E91817"/>
    <w:rsid w:val="00E919E3"/>
    <w:rsid w:val="00E91BB5"/>
    <w:rsid w:val="00E91E40"/>
    <w:rsid w:val="00E9223E"/>
    <w:rsid w:val="00E9246A"/>
    <w:rsid w:val="00E92872"/>
    <w:rsid w:val="00E928DE"/>
    <w:rsid w:val="00E92959"/>
    <w:rsid w:val="00E929FD"/>
    <w:rsid w:val="00E92B58"/>
    <w:rsid w:val="00E92C94"/>
    <w:rsid w:val="00E92D88"/>
    <w:rsid w:val="00E92DB2"/>
    <w:rsid w:val="00E92F16"/>
    <w:rsid w:val="00E92F98"/>
    <w:rsid w:val="00E92FF8"/>
    <w:rsid w:val="00E93352"/>
    <w:rsid w:val="00E9344C"/>
    <w:rsid w:val="00E93541"/>
    <w:rsid w:val="00E937FF"/>
    <w:rsid w:val="00E939C6"/>
    <w:rsid w:val="00E93A75"/>
    <w:rsid w:val="00E93AB4"/>
    <w:rsid w:val="00E93AF7"/>
    <w:rsid w:val="00E93C0F"/>
    <w:rsid w:val="00E93EC3"/>
    <w:rsid w:val="00E93EF0"/>
    <w:rsid w:val="00E93FFE"/>
    <w:rsid w:val="00E9420C"/>
    <w:rsid w:val="00E94244"/>
    <w:rsid w:val="00E942AF"/>
    <w:rsid w:val="00E942E7"/>
    <w:rsid w:val="00E942FA"/>
    <w:rsid w:val="00E94364"/>
    <w:rsid w:val="00E945BD"/>
    <w:rsid w:val="00E94609"/>
    <w:rsid w:val="00E947C2"/>
    <w:rsid w:val="00E94A7F"/>
    <w:rsid w:val="00E94D3A"/>
    <w:rsid w:val="00E95259"/>
    <w:rsid w:val="00E954C3"/>
    <w:rsid w:val="00E95771"/>
    <w:rsid w:val="00E9588C"/>
    <w:rsid w:val="00E95899"/>
    <w:rsid w:val="00E95D10"/>
    <w:rsid w:val="00E95D57"/>
    <w:rsid w:val="00E95E88"/>
    <w:rsid w:val="00E95EF8"/>
    <w:rsid w:val="00E95F02"/>
    <w:rsid w:val="00E95FF8"/>
    <w:rsid w:val="00E960E7"/>
    <w:rsid w:val="00E960ED"/>
    <w:rsid w:val="00E9629F"/>
    <w:rsid w:val="00E964FE"/>
    <w:rsid w:val="00E967BB"/>
    <w:rsid w:val="00E96953"/>
    <w:rsid w:val="00E969E7"/>
    <w:rsid w:val="00E96DD4"/>
    <w:rsid w:val="00E97051"/>
    <w:rsid w:val="00E970BC"/>
    <w:rsid w:val="00E97103"/>
    <w:rsid w:val="00E973AE"/>
    <w:rsid w:val="00E97663"/>
    <w:rsid w:val="00E97A34"/>
    <w:rsid w:val="00E97A81"/>
    <w:rsid w:val="00E97AF7"/>
    <w:rsid w:val="00E97E55"/>
    <w:rsid w:val="00E97EAB"/>
    <w:rsid w:val="00E97FCA"/>
    <w:rsid w:val="00EA00C7"/>
    <w:rsid w:val="00EA02A8"/>
    <w:rsid w:val="00EA04B2"/>
    <w:rsid w:val="00EA04F1"/>
    <w:rsid w:val="00EA0610"/>
    <w:rsid w:val="00EA0704"/>
    <w:rsid w:val="00EA07B9"/>
    <w:rsid w:val="00EA090D"/>
    <w:rsid w:val="00EA09BF"/>
    <w:rsid w:val="00EA0A2E"/>
    <w:rsid w:val="00EA0A84"/>
    <w:rsid w:val="00EA0CD9"/>
    <w:rsid w:val="00EA0E4F"/>
    <w:rsid w:val="00EA0ED3"/>
    <w:rsid w:val="00EA0F07"/>
    <w:rsid w:val="00EA0F63"/>
    <w:rsid w:val="00EA0FB5"/>
    <w:rsid w:val="00EA1103"/>
    <w:rsid w:val="00EA128A"/>
    <w:rsid w:val="00EA12B5"/>
    <w:rsid w:val="00EA157E"/>
    <w:rsid w:val="00EA1A79"/>
    <w:rsid w:val="00EA1BC2"/>
    <w:rsid w:val="00EA1C39"/>
    <w:rsid w:val="00EA1C91"/>
    <w:rsid w:val="00EA1FC9"/>
    <w:rsid w:val="00EA20DF"/>
    <w:rsid w:val="00EA2291"/>
    <w:rsid w:val="00EA22E4"/>
    <w:rsid w:val="00EA2348"/>
    <w:rsid w:val="00EA2379"/>
    <w:rsid w:val="00EA23EC"/>
    <w:rsid w:val="00EA2411"/>
    <w:rsid w:val="00EA2423"/>
    <w:rsid w:val="00EA266F"/>
    <w:rsid w:val="00EA290D"/>
    <w:rsid w:val="00EA2B1D"/>
    <w:rsid w:val="00EA2BD3"/>
    <w:rsid w:val="00EA2C28"/>
    <w:rsid w:val="00EA2D45"/>
    <w:rsid w:val="00EA2D97"/>
    <w:rsid w:val="00EA2E98"/>
    <w:rsid w:val="00EA2EE2"/>
    <w:rsid w:val="00EA2F5D"/>
    <w:rsid w:val="00EA32C8"/>
    <w:rsid w:val="00EA32E9"/>
    <w:rsid w:val="00EA370E"/>
    <w:rsid w:val="00EA37BA"/>
    <w:rsid w:val="00EA37BF"/>
    <w:rsid w:val="00EA37FA"/>
    <w:rsid w:val="00EA3875"/>
    <w:rsid w:val="00EA38C6"/>
    <w:rsid w:val="00EA3935"/>
    <w:rsid w:val="00EA3A24"/>
    <w:rsid w:val="00EA3A3E"/>
    <w:rsid w:val="00EA3CAA"/>
    <w:rsid w:val="00EA3D70"/>
    <w:rsid w:val="00EA3E1C"/>
    <w:rsid w:val="00EA3ECB"/>
    <w:rsid w:val="00EA3F0A"/>
    <w:rsid w:val="00EA4190"/>
    <w:rsid w:val="00EA433F"/>
    <w:rsid w:val="00EA4406"/>
    <w:rsid w:val="00EA4479"/>
    <w:rsid w:val="00EA4510"/>
    <w:rsid w:val="00EA4545"/>
    <w:rsid w:val="00EA4B44"/>
    <w:rsid w:val="00EA4CA8"/>
    <w:rsid w:val="00EA4CAD"/>
    <w:rsid w:val="00EA4D93"/>
    <w:rsid w:val="00EA4DB4"/>
    <w:rsid w:val="00EA4DD7"/>
    <w:rsid w:val="00EA4E0D"/>
    <w:rsid w:val="00EA4ED3"/>
    <w:rsid w:val="00EA516F"/>
    <w:rsid w:val="00EA52BC"/>
    <w:rsid w:val="00EA54B4"/>
    <w:rsid w:val="00EA5632"/>
    <w:rsid w:val="00EA576C"/>
    <w:rsid w:val="00EA57CD"/>
    <w:rsid w:val="00EA59F5"/>
    <w:rsid w:val="00EA5B48"/>
    <w:rsid w:val="00EA5BB0"/>
    <w:rsid w:val="00EA5DED"/>
    <w:rsid w:val="00EA5F5B"/>
    <w:rsid w:val="00EA60BE"/>
    <w:rsid w:val="00EA60D9"/>
    <w:rsid w:val="00EA6160"/>
    <w:rsid w:val="00EA61EA"/>
    <w:rsid w:val="00EA6303"/>
    <w:rsid w:val="00EA63C3"/>
    <w:rsid w:val="00EA643B"/>
    <w:rsid w:val="00EA6469"/>
    <w:rsid w:val="00EA64B2"/>
    <w:rsid w:val="00EA65CF"/>
    <w:rsid w:val="00EA6633"/>
    <w:rsid w:val="00EA6746"/>
    <w:rsid w:val="00EA674D"/>
    <w:rsid w:val="00EA67CC"/>
    <w:rsid w:val="00EA67EA"/>
    <w:rsid w:val="00EA68ED"/>
    <w:rsid w:val="00EA69F3"/>
    <w:rsid w:val="00EA6C37"/>
    <w:rsid w:val="00EA7060"/>
    <w:rsid w:val="00EA72BD"/>
    <w:rsid w:val="00EA7416"/>
    <w:rsid w:val="00EA750B"/>
    <w:rsid w:val="00EA75A8"/>
    <w:rsid w:val="00EA77D1"/>
    <w:rsid w:val="00EA78D4"/>
    <w:rsid w:val="00EA7A16"/>
    <w:rsid w:val="00EA7BA4"/>
    <w:rsid w:val="00EA7C0A"/>
    <w:rsid w:val="00EA7C25"/>
    <w:rsid w:val="00EA7CCD"/>
    <w:rsid w:val="00EA7DB3"/>
    <w:rsid w:val="00EA7E7F"/>
    <w:rsid w:val="00EA7F02"/>
    <w:rsid w:val="00EB0283"/>
    <w:rsid w:val="00EB02C4"/>
    <w:rsid w:val="00EB049E"/>
    <w:rsid w:val="00EB056F"/>
    <w:rsid w:val="00EB064A"/>
    <w:rsid w:val="00EB06E9"/>
    <w:rsid w:val="00EB0811"/>
    <w:rsid w:val="00EB08B8"/>
    <w:rsid w:val="00EB0925"/>
    <w:rsid w:val="00EB0ABB"/>
    <w:rsid w:val="00EB0AFD"/>
    <w:rsid w:val="00EB0B67"/>
    <w:rsid w:val="00EB0B9C"/>
    <w:rsid w:val="00EB0CED"/>
    <w:rsid w:val="00EB0DC0"/>
    <w:rsid w:val="00EB0DDC"/>
    <w:rsid w:val="00EB0DDF"/>
    <w:rsid w:val="00EB0E32"/>
    <w:rsid w:val="00EB10A9"/>
    <w:rsid w:val="00EB10E7"/>
    <w:rsid w:val="00EB131E"/>
    <w:rsid w:val="00EB1669"/>
    <w:rsid w:val="00EB1745"/>
    <w:rsid w:val="00EB1A80"/>
    <w:rsid w:val="00EB1ABC"/>
    <w:rsid w:val="00EB1BDE"/>
    <w:rsid w:val="00EB1F6D"/>
    <w:rsid w:val="00EB20EE"/>
    <w:rsid w:val="00EB22DF"/>
    <w:rsid w:val="00EB23AF"/>
    <w:rsid w:val="00EB23DA"/>
    <w:rsid w:val="00EB2A52"/>
    <w:rsid w:val="00EB2E68"/>
    <w:rsid w:val="00EB2F00"/>
    <w:rsid w:val="00EB2F49"/>
    <w:rsid w:val="00EB3050"/>
    <w:rsid w:val="00EB34B8"/>
    <w:rsid w:val="00EB3807"/>
    <w:rsid w:val="00EB386B"/>
    <w:rsid w:val="00EB3883"/>
    <w:rsid w:val="00EB3B08"/>
    <w:rsid w:val="00EB3C4E"/>
    <w:rsid w:val="00EB3CB3"/>
    <w:rsid w:val="00EB3D0A"/>
    <w:rsid w:val="00EB3F4A"/>
    <w:rsid w:val="00EB4017"/>
    <w:rsid w:val="00EB41A0"/>
    <w:rsid w:val="00EB435A"/>
    <w:rsid w:val="00EB440F"/>
    <w:rsid w:val="00EB4446"/>
    <w:rsid w:val="00EB452F"/>
    <w:rsid w:val="00EB4711"/>
    <w:rsid w:val="00EB47AA"/>
    <w:rsid w:val="00EB47B6"/>
    <w:rsid w:val="00EB47DB"/>
    <w:rsid w:val="00EB4801"/>
    <w:rsid w:val="00EB48CA"/>
    <w:rsid w:val="00EB48E2"/>
    <w:rsid w:val="00EB4A7E"/>
    <w:rsid w:val="00EB4B49"/>
    <w:rsid w:val="00EB4DAC"/>
    <w:rsid w:val="00EB4E70"/>
    <w:rsid w:val="00EB52FC"/>
    <w:rsid w:val="00EB5310"/>
    <w:rsid w:val="00EB543C"/>
    <w:rsid w:val="00EB549D"/>
    <w:rsid w:val="00EB55F8"/>
    <w:rsid w:val="00EB56BF"/>
    <w:rsid w:val="00EB58CB"/>
    <w:rsid w:val="00EB58F7"/>
    <w:rsid w:val="00EB5944"/>
    <w:rsid w:val="00EB5A26"/>
    <w:rsid w:val="00EB5AE0"/>
    <w:rsid w:val="00EB5D67"/>
    <w:rsid w:val="00EB5EFE"/>
    <w:rsid w:val="00EB5F0A"/>
    <w:rsid w:val="00EB5FA7"/>
    <w:rsid w:val="00EB60AF"/>
    <w:rsid w:val="00EB60E0"/>
    <w:rsid w:val="00EB6139"/>
    <w:rsid w:val="00EB6261"/>
    <w:rsid w:val="00EB62BB"/>
    <w:rsid w:val="00EB6499"/>
    <w:rsid w:val="00EB64A4"/>
    <w:rsid w:val="00EB66D7"/>
    <w:rsid w:val="00EB67F4"/>
    <w:rsid w:val="00EB68A2"/>
    <w:rsid w:val="00EB6904"/>
    <w:rsid w:val="00EB6AEC"/>
    <w:rsid w:val="00EB6D37"/>
    <w:rsid w:val="00EB6F85"/>
    <w:rsid w:val="00EB703C"/>
    <w:rsid w:val="00EB70BC"/>
    <w:rsid w:val="00EB7198"/>
    <w:rsid w:val="00EB73E1"/>
    <w:rsid w:val="00EB742D"/>
    <w:rsid w:val="00EB74D9"/>
    <w:rsid w:val="00EB775E"/>
    <w:rsid w:val="00EB7997"/>
    <w:rsid w:val="00EB79EC"/>
    <w:rsid w:val="00EB7B07"/>
    <w:rsid w:val="00EB7D05"/>
    <w:rsid w:val="00EB7D31"/>
    <w:rsid w:val="00EB7E1E"/>
    <w:rsid w:val="00EB7FBF"/>
    <w:rsid w:val="00EC0015"/>
    <w:rsid w:val="00EC029B"/>
    <w:rsid w:val="00EC03B3"/>
    <w:rsid w:val="00EC06ED"/>
    <w:rsid w:val="00EC0713"/>
    <w:rsid w:val="00EC09EE"/>
    <w:rsid w:val="00EC0A40"/>
    <w:rsid w:val="00EC0A77"/>
    <w:rsid w:val="00EC0BFA"/>
    <w:rsid w:val="00EC0C0E"/>
    <w:rsid w:val="00EC0D04"/>
    <w:rsid w:val="00EC0DD2"/>
    <w:rsid w:val="00EC10B3"/>
    <w:rsid w:val="00EC1125"/>
    <w:rsid w:val="00EC1240"/>
    <w:rsid w:val="00EC1429"/>
    <w:rsid w:val="00EC1461"/>
    <w:rsid w:val="00EC154D"/>
    <w:rsid w:val="00EC1747"/>
    <w:rsid w:val="00EC1815"/>
    <w:rsid w:val="00EC1883"/>
    <w:rsid w:val="00EC1A80"/>
    <w:rsid w:val="00EC1BF7"/>
    <w:rsid w:val="00EC1C1C"/>
    <w:rsid w:val="00EC1F1A"/>
    <w:rsid w:val="00EC1F8B"/>
    <w:rsid w:val="00EC1FBD"/>
    <w:rsid w:val="00EC20AF"/>
    <w:rsid w:val="00EC2363"/>
    <w:rsid w:val="00EC2426"/>
    <w:rsid w:val="00EC25FB"/>
    <w:rsid w:val="00EC27D1"/>
    <w:rsid w:val="00EC2877"/>
    <w:rsid w:val="00EC28D8"/>
    <w:rsid w:val="00EC2A59"/>
    <w:rsid w:val="00EC2A90"/>
    <w:rsid w:val="00EC2D00"/>
    <w:rsid w:val="00EC2D56"/>
    <w:rsid w:val="00EC2E1D"/>
    <w:rsid w:val="00EC30A4"/>
    <w:rsid w:val="00EC30EF"/>
    <w:rsid w:val="00EC31C1"/>
    <w:rsid w:val="00EC32F2"/>
    <w:rsid w:val="00EC335E"/>
    <w:rsid w:val="00EC35DC"/>
    <w:rsid w:val="00EC3881"/>
    <w:rsid w:val="00EC38D8"/>
    <w:rsid w:val="00EC39D7"/>
    <w:rsid w:val="00EC3A79"/>
    <w:rsid w:val="00EC3BDE"/>
    <w:rsid w:val="00EC3CA1"/>
    <w:rsid w:val="00EC3D16"/>
    <w:rsid w:val="00EC3D21"/>
    <w:rsid w:val="00EC3F5C"/>
    <w:rsid w:val="00EC403A"/>
    <w:rsid w:val="00EC44B6"/>
    <w:rsid w:val="00EC4622"/>
    <w:rsid w:val="00EC469B"/>
    <w:rsid w:val="00EC46F9"/>
    <w:rsid w:val="00EC4B30"/>
    <w:rsid w:val="00EC4BE6"/>
    <w:rsid w:val="00EC4C3C"/>
    <w:rsid w:val="00EC4C69"/>
    <w:rsid w:val="00EC4EB7"/>
    <w:rsid w:val="00EC4F88"/>
    <w:rsid w:val="00EC4FF4"/>
    <w:rsid w:val="00EC5322"/>
    <w:rsid w:val="00EC53AA"/>
    <w:rsid w:val="00EC5424"/>
    <w:rsid w:val="00EC54DA"/>
    <w:rsid w:val="00EC55D4"/>
    <w:rsid w:val="00EC5678"/>
    <w:rsid w:val="00EC572B"/>
    <w:rsid w:val="00EC575D"/>
    <w:rsid w:val="00EC5787"/>
    <w:rsid w:val="00EC5960"/>
    <w:rsid w:val="00EC5963"/>
    <w:rsid w:val="00EC5C7B"/>
    <w:rsid w:val="00EC5DFD"/>
    <w:rsid w:val="00EC6102"/>
    <w:rsid w:val="00EC62CC"/>
    <w:rsid w:val="00EC635B"/>
    <w:rsid w:val="00EC6445"/>
    <w:rsid w:val="00EC64F2"/>
    <w:rsid w:val="00EC6562"/>
    <w:rsid w:val="00EC6658"/>
    <w:rsid w:val="00EC66D7"/>
    <w:rsid w:val="00EC67E8"/>
    <w:rsid w:val="00EC6CB7"/>
    <w:rsid w:val="00EC6DCF"/>
    <w:rsid w:val="00EC6EB8"/>
    <w:rsid w:val="00EC7027"/>
    <w:rsid w:val="00EC711F"/>
    <w:rsid w:val="00EC7A14"/>
    <w:rsid w:val="00EC7C32"/>
    <w:rsid w:val="00EC7F2F"/>
    <w:rsid w:val="00ED0010"/>
    <w:rsid w:val="00ED036B"/>
    <w:rsid w:val="00ED0527"/>
    <w:rsid w:val="00ED066E"/>
    <w:rsid w:val="00ED0960"/>
    <w:rsid w:val="00ED0986"/>
    <w:rsid w:val="00ED09DE"/>
    <w:rsid w:val="00ED0AD5"/>
    <w:rsid w:val="00ED0B6F"/>
    <w:rsid w:val="00ED0BE2"/>
    <w:rsid w:val="00ED0D51"/>
    <w:rsid w:val="00ED0D6D"/>
    <w:rsid w:val="00ED101D"/>
    <w:rsid w:val="00ED1035"/>
    <w:rsid w:val="00ED10BB"/>
    <w:rsid w:val="00ED114D"/>
    <w:rsid w:val="00ED1307"/>
    <w:rsid w:val="00ED140F"/>
    <w:rsid w:val="00ED145D"/>
    <w:rsid w:val="00ED149B"/>
    <w:rsid w:val="00ED160A"/>
    <w:rsid w:val="00ED176C"/>
    <w:rsid w:val="00ED17B7"/>
    <w:rsid w:val="00ED17EE"/>
    <w:rsid w:val="00ED1896"/>
    <w:rsid w:val="00ED18E6"/>
    <w:rsid w:val="00ED1B69"/>
    <w:rsid w:val="00ED1BFF"/>
    <w:rsid w:val="00ED1CBA"/>
    <w:rsid w:val="00ED1E7F"/>
    <w:rsid w:val="00ED1E8C"/>
    <w:rsid w:val="00ED1F7D"/>
    <w:rsid w:val="00ED1F89"/>
    <w:rsid w:val="00ED1FB5"/>
    <w:rsid w:val="00ED20D3"/>
    <w:rsid w:val="00ED22B2"/>
    <w:rsid w:val="00ED2418"/>
    <w:rsid w:val="00ED275C"/>
    <w:rsid w:val="00ED278D"/>
    <w:rsid w:val="00ED27A5"/>
    <w:rsid w:val="00ED2849"/>
    <w:rsid w:val="00ED2D0D"/>
    <w:rsid w:val="00ED2D53"/>
    <w:rsid w:val="00ED2DA4"/>
    <w:rsid w:val="00ED30E4"/>
    <w:rsid w:val="00ED30FD"/>
    <w:rsid w:val="00ED3116"/>
    <w:rsid w:val="00ED31AC"/>
    <w:rsid w:val="00ED3273"/>
    <w:rsid w:val="00ED32E6"/>
    <w:rsid w:val="00ED33E5"/>
    <w:rsid w:val="00ED3411"/>
    <w:rsid w:val="00ED359E"/>
    <w:rsid w:val="00ED3645"/>
    <w:rsid w:val="00ED371A"/>
    <w:rsid w:val="00ED3A47"/>
    <w:rsid w:val="00ED3BB9"/>
    <w:rsid w:val="00ED3CE9"/>
    <w:rsid w:val="00ED3E10"/>
    <w:rsid w:val="00ED3EB6"/>
    <w:rsid w:val="00ED40CD"/>
    <w:rsid w:val="00ED418D"/>
    <w:rsid w:val="00ED42D4"/>
    <w:rsid w:val="00ED43E7"/>
    <w:rsid w:val="00ED4473"/>
    <w:rsid w:val="00ED4479"/>
    <w:rsid w:val="00ED4516"/>
    <w:rsid w:val="00ED465F"/>
    <w:rsid w:val="00ED4AC8"/>
    <w:rsid w:val="00ED4CBD"/>
    <w:rsid w:val="00ED4D1A"/>
    <w:rsid w:val="00ED4D1F"/>
    <w:rsid w:val="00ED5033"/>
    <w:rsid w:val="00ED5191"/>
    <w:rsid w:val="00ED5382"/>
    <w:rsid w:val="00ED550A"/>
    <w:rsid w:val="00ED5693"/>
    <w:rsid w:val="00ED58E6"/>
    <w:rsid w:val="00ED5AFE"/>
    <w:rsid w:val="00ED5B99"/>
    <w:rsid w:val="00ED5EC6"/>
    <w:rsid w:val="00ED5F92"/>
    <w:rsid w:val="00ED600A"/>
    <w:rsid w:val="00ED60F5"/>
    <w:rsid w:val="00ED61DF"/>
    <w:rsid w:val="00ED6221"/>
    <w:rsid w:val="00ED642F"/>
    <w:rsid w:val="00ED660C"/>
    <w:rsid w:val="00ED6633"/>
    <w:rsid w:val="00ED672E"/>
    <w:rsid w:val="00ED68B9"/>
    <w:rsid w:val="00ED6972"/>
    <w:rsid w:val="00ED69A9"/>
    <w:rsid w:val="00ED69AC"/>
    <w:rsid w:val="00ED6B11"/>
    <w:rsid w:val="00ED6D80"/>
    <w:rsid w:val="00ED6E53"/>
    <w:rsid w:val="00ED6F50"/>
    <w:rsid w:val="00ED6F76"/>
    <w:rsid w:val="00ED6FDA"/>
    <w:rsid w:val="00ED747A"/>
    <w:rsid w:val="00ED74E8"/>
    <w:rsid w:val="00ED758E"/>
    <w:rsid w:val="00ED7600"/>
    <w:rsid w:val="00ED7656"/>
    <w:rsid w:val="00ED765E"/>
    <w:rsid w:val="00ED7747"/>
    <w:rsid w:val="00ED7855"/>
    <w:rsid w:val="00EE025D"/>
    <w:rsid w:val="00EE05C0"/>
    <w:rsid w:val="00EE094D"/>
    <w:rsid w:val="00EE0D33"/>
    <w:rsid w:val="00EE0F22"/>
    <w:rsid w:val="00EE0F4A"/>
    <w:rsid w:val="00EE0F6C"/>
    <w:rsid w:val="00EE1018"/>
    <w:rsid w:val="00EE1038"/>
    <w:rsid w:val="00EE1063"/>
    <w:rsid w:val="00EE1099"/>
    <w:rsid w:val="00EE1256"/>
    <w:rsid w:val="00EE169A"/>
    <w:rsid w:val="00EE1721"/>
    <w:rsid w:val="00EE185E"/>
    <w:rsid w:val="00EE18EF"/>
    <w:rsid w:val="00EE1915"/>
    <w:rsid w:val="00EE19AF"/>
    <w:rsid w:val="00EE1D34"/>
    <w:rsid w:val="00EE1D88"/>
    <w:rsid w:val="00EE1D99"/>
    <w:rsid w:val="00EE1E75"/>
    <w:rsid w:val="00EE20FF"/>
    <w:rsid w:val="00EE2134"/>
    <w:rsid w:val="00EE2312"/>
    <w:rsid w:val="00EE2A11"/>
    <w:rsid w:val="00EE2E2D"/>
    <w:rsid w:val="00EE2F93"/>
    <w:rsid w:val="00EE2FF4"/>
    <w:rsid w:val="00EE3003"/>
    <w:rsid w:val="00EE3057"/>
    <w:rsid w:val="00EE30A6"/>
    <w:rsid w:val="00EE3160"/>
    <w:rsid w:val="00EE3192"/>
    <w:rsid w:val="00EE325A"/>
    <w:rsid w:val="00EE3433"/>
    <w:rsid w:val="00EE360C"/>
    <w:rsid w:val="00EE3635"/>
    <w:rsid w:val="00EE3708"/>
    <w:rsid w:val="00EE3755"/>
    <w:rsid w:val="00EE3760"/>
    <w:rsid w:val="00EE396D"/>
    <w:rsid w:val="00EE3A2B"/>
    <w:rsid w:val="00EE3AAC"/>
    <w:rsid w:val="00EE3B6E"/>
    <w:rsid w:val="00EE3CF0"/>
    <w:rsid w:val="00EE3D71"/>
    <w:rsid w:val="00EE3DBC"/>
    <w:rsid w:val="00EE3EAF"/>
    <w:rsid w:val="00EE3FB4"/>
    <w:rsid w:val="00EE3FB8"/>
    <w:rsid w:val="00EE3FD9"/>
    <w:rsid w:val="00EE40A9"/>
    <w:rsid w:val="00EE4109"/>
    <w:rsid w:val="00EE44D1"/>
    <w:rsid w:val="00EE4676"/>
    <w:rsid w:val="00EE46B7"/>
    <w:rsid w:val="00EE46D3"/>
    <w:rsid w:val="00EE46E8"/>
    <w:rsid w:val="00EE4B94"/>
    <w:rsid w:val="00EE4D10"/>
    <w:rsid w:val="00EE4E1F"/>
    <w:rsid w:val="00EE4EC0"/>
    <w:rsid w:val="00EE4EF3"/>
    <w:rsid w:val="00EE4FAE"/>
    <w:rsid w:val="00EE506A"/>
    <w:rsid w:val="00EE5075"/>
    <w:rsid w:val="00EE513A"/>
    <w:rsid w:val="00EE525F"/>
    <w:rsid w:val="00EE5282"/>
    <w:rsid w:val="00EE5570"/>
    <w:rsid w:val="00EE55CA"/>
    <w:rsid w:val="00EE58E6"/>
    <w:rsid w:val="00EE5925"/>
    <w:rsid w:val="00EE5A0D"/>
    <w:rsid w:val="00EE5A64"/>
    <w:rsid w:val="00EE5B16"/>
    <w:rsid w:val="00EE5B18"/>
    <w:rsid w:val="00EE5CC5"/>
    <w:rsid w:val="00EE6021"/>
    <w:rsid w:val="00EE610E"/>
    <w:rsid w:val="00EE6147"/>
    <w:rsid w:val="00EE61BC"/>
    <w:rsid w:val="00EE61FE"/>
    <w:rsid w:val="00EE6317"/>
    <w:rsid w:val="00EE631A"/>
    <w:rsid w:val="00EE6439"/>
    <w:rsid w:val="00EE649F"/>
    <w:rsid w:val="00EE65C8"/>
    <w:rsid w:val="00EE66BB"/>
    <w:rsid w:val="00EE68BB"/>
    <w:rsid w:val="00EE6A87"/>
    <w:rsid w:val="00EE6CE8"/>
    <w:rsid w:val="00EE6D6D"/>
    <w:rsid w:val="00EE6DF5"/>
    <w:rsid w:val="00EE6E15"/>
    <w:rsid w:val="00EE6F85"/>
    <w:rsid w:val="00EE6FE7"/>
    <w:rsid w:val="00EE7152"/>
    <w:rsid w:val="00EE732B"/>
    <w:rsid w:val="00EE74CC"/>
    <w:rsid w:val="00EE753F"/>
    <w:rsid w:val="00EE7844"/>
    <w:rsid w:val="00EE7897"/>
    <w:rsid w:val="00EE79DC"/>
    <w:rsid w:val="00EE7A98"/>
    <w:rsid w:val="00EE7DE1"/>
    <w:rsid w:val="00EE7F95"/>
    <w:rsid w:val="00EE7FBF"/>
    <w:rsid w:val="00EF00B5"/>
    <w:rsid w:val="00EF04BD"/>
    <w:rsid w:val="00EF04D2"/>
    <w:rsid w:val="00EF04F9"/>
    <w:rsid w:val="00EF05A1"/>
    <w:rsid w:val="00EF05B8"/>
    <w:rsid w:val="00EF05EE"/>
    <w:rsid w:val="00EF06C0"/>
    <w:rsid w:val="00EF06C8"/>
    <w:rsid w:val="00EF06DE"/>
    <w:rsid w:val="00EF0747"/>
    <w:rsid w:val="00EF07D6"/>
    <w:rsid w:val="00EF07DD"/>
    <w:rsid w:val="00EF0864"/>
    <w:rsid w:val="00EF090A"/>
    <w:rsid w:val="00EF0CA4"/>
    <w:rsid w:val="00EF0D2F"/>
    <w:rsid w:val="00EF0E9D"/>
    <w:rsid w:val="00EF0FE9"/>
    <w:rsid w:val="00EF117B"/>
    <w:rsid w:val="00EF11E9"/>
    <w:rsid w:val="00EF122F"/>
    <w:rsid w:val="00EF1240"/>
    <w:rsid w:val="00EF12ED"/>
    <w:rsid w:val="00EF1323"/>
    <w:rsid w:val="00EF1559"/>
    <w:rsid w:val="00EF1606"/>
    <w:rsid w:val="00EF161B"/>
    <w:rsid w:val="00EF16FE"/>
    <w:rsid w:val="00EF1933"/>
    <w:rsid w:val="00EF1AF7"/>
    <w:rsid w:val="00EF1B98"/>
    <w:rsid w:val="00EF1BA2"/>
    <w:rsid w:val="00EF1C4C"/>
    <w:rsid w:val="00EF1C9E"/>
    <w:rsid w:val="00EF1EB0"/>
    <w:rsid w:val="00EF1F79"/>
    <w:rsid w:val="00EF201E"/>
    <w:rsid w:val="00EF2082"/>
    <w:rsid w:val="00EF20C3"/>
    <w:rsid w:val="00EF2156"/>
    <w:rsid w:val="00EF247B"/>
    <w:rsid w:val="00EF260A"/>
    <w:rsid w:val="00EF274C"/>
    <w:rsid w:val="00EF2A35"/>
    <w:rsid w:val="00EF2B86"/>
    <w:rsid w:val="00EF2CBF"/>
    <w:rsid w:val="00EF2EE1"/>
    <w:rsid w:val="00EF2EEE"/>
    <w:rsid w:val="00EF315F"/>
    <w:rsid w:val="00EF3186"/>
    <w:rsid w:val="00EF32C8"/>
    <w:rsid w:val="00EF330F"/>
    <w:rsid w:val="00EF33B1"/>
    <w:rsid w:val="00EF35FD"/>
    <w:rsid w:val="00EF386B"/>
    <w:rsid w:val="00EF38D8"/>
    <w:rsid w:val="00EF38ED"/>
    <w:rsid w:val="00EF3B15"/>
    <w:rsid w:val="00EF3E75"/>
    <w:rsid w:val="00EF3EBA"/>
    <w:rsid w:val="00EF3ECD"/>
    <w:rsid w:val="00EF3F67"/>
    <w:rsid w:val="00EF4097"/>
    <w:rsid w:val="00EF422B"/>
    <w:rsid w:val="00EF4368"/>
    <w:rsid w:val="00EF4487"/>
    <w:rsid w:val="00EF44FF"/>
    <w:rsid w:val="00EF471E"/>
    <w:rsid w:val="00EF474A"/>
    <w:rsid w:val="00EF48DE"/>
    <w:rsid w:val="00EF4A62"/>
    <w:rsid w:val="00EF4B95"/>
    <w:rsid w:val="00EF4C4C"/>
    <w:rsid w:val="00EF4DC4"/>
    <w:rsid w:val="00EF4EDC"/>
    <w:rsid w:val="00EF4F9E"/>
    <w:rsid w:val="00EF5009"/>
    <w:rsid w:val="00EF5029"/>
    <w:rsid w:val="00EF516B"/>
    <w:rsid w:val="00EF51B2"/>
    <w:rsid w:val="00EF53CF"/>
    <w:rsid w:val="00EF53EA"/>
    <w:rsid w:val="00EF54C8"/>
    <w:rsid w:val="00EF5679"/>
    <w:rsid w:val="00EF594B"/>
    <w:rsid w:val="00EF5952"/>
    <w:rsid w:val="00EF59DA"/>
    <w:rsid w:val="00EF5A39"/>
    <w:rsid w:val="00EF5CCA"/>
    <w:rsid w:val="00EF6086"/>
    <w:rsid w:val="00EF6186"/>
    <w:rsid w:val="00EF61DD"/>
    <w:rsid w:val="00EF638F"/>
    <w:rsid w:val="00EF653C"/>
    <w:rsid w:val="00EF666C"/>
    <w:rsid w:val="00EF6674"/>
    <w:rsid w:val="00EF6732"/>
    <w:rsid w:val="00EF680F"/>
    <w:rsid w:val="00EF694D"/>
    <w:rsid w:val="00EF69B8"/>
    <w:rsid w:val="00EF6A6C"/>
    <w:rsid w:val="00EF6AF2"/>
    <w:rsid w:val="00EF6C91"/>
    <w:rsid w:val="00EF6E55"/>
    <w:rsid w:val="00EF6EE4"/>
    <w:rsid w:val="00EF704C"/>
    <w:rsid w:val="00EF7152"/>
    <w:rsid w:val="00EF761D"/>
    <w:rsid w:val="00EF7681"/>
    <w:rsid w:val="00EF77D2"/>
    <w:rsid w:val="00EF785B"/>
    <w:rsid w:val="00EF793A"/>
    <w:rsid w:val="00EF7BCA"/>
    <w:rsid w:val="00EF7DCD"/>
    <w:rsid w:val="00EF7E2B"/>
    <w:rsid w:val="00EF7F31"/>
    <w:rsid w:val="00F00082"/>
    <w:rsid w:val="00F000ED"/>
    <w:rsid w:val="00F00235"/>
    <w:rsid w:val="00F003BF"/>
    <w:rsid w:val="00F003F2"/>
    <w:rsid w:val="00F00745"/>
    <w:rsid w:val="00F00852"/>
    <w:rsid w:val="00F008AA"/>
    <w:rsid w:val="00F00971"/>
    <w:rsid w:val="00F00A8C"/>
    <w:rsid w:val="00F00D71"/>
    <w:rsid w:val="00F00EF7"/>
    <w:rsid w:val="00F010AC"/>
    <w:rsid w:val="00F01324"/>
    <w:rsid w:val="00F01446"/>
    <w:rsid w:val="00F014ED"/>
    <w:rsid w:val="00F0159A"/>
    <w:rsid w:val="00F015F3"/>
    <w:rsid w:val="00F0160C"/>
    <w:rsid w:val="00F01656"/>
    <w:rsid w:val="00F016B6"/>
    <w:rsid w:val="00F01725"/>
    <w:rsid w:val="00F01857"/>
    <w:rsid w:val="00F01867"/>
    <w:rsid w:val="00F019FC"/>
    <w:rsid w:val="00F01C46"/>
    <w:rsid w:val="00F01C55"/>
    <w:rsid w:val="00F01EF4"/>
    <w:rsid w:val="00F01F40"/>
    <w:rsid w:val="00F01FAB"/>
    <w:rsid w:val="00F0202E"/>
    <w:rsid w:val="00F02079"/>
    <w:rsid w:val="00F0221B"/>
    <w:rsid w:val="00F02373"/>
    <w:rsid w:val="00F0257E"/>
    <w:rsid w:val="00F025D3"/>
    <w:rsid w:val="00F02907"/>
    <w:rsid w:val="00F02B47"/>
    <w:rsid w:val="00F02BA8"/>
    <w:rsid w:val="00F02BBC"/>
    <w:rsid w:val="00F02C5F"/>
    <w:rsid w:val="00F02D2C"/>
    <w:rsid w:val="00F02D62"/>
    <w:rsid w:val="00F02F14"/>
    <w:rsid w:val="00F02F17"/>
    <w:rsid w:val="00F03089"/>
    <w:rsid w:val="00F03162"/>
    <w:rsid w:val="00F03237"/>
    <w:rsid w:val="00F03238"/>
    <w:rsid w:val="00F0324F"/>
    <w:rsid w:val="00F0327C"/>
    <w:rsid w:val="00F03351"/>
    <w:rsid w:val="00F036AD"/>
    <w:rsid w:val="00F03800"/>
    <w:rsid w:val="00F0390E"/>
    <w:rsid w:val="00F039E9"/>
    <w:rsid w:val="00F03E5B"/>
    <w:rsid w:val="00F03EE3"/>
    <w:rsid w:val="00F04115"/>
    <w:rsid w:val="00F04321"/>
    <w:rsid w:val="00F0440B"/>
    <w:rsid w:val="00F04470"/>
    <w:rsid w:val="00F046D9"/>
    <w:rsid w:val="00F048AB"/>
    <w:rsid w:val="00F048E0"/>
    <w:rsid w:val="00F0491F"/>
    <w:rsid w:val="00F0496B"/>
    <w:rsid w:val="00F04A62"/>
    <w:rsid w:val="00F04CBC"/>
    <w:rsid w:val="00F04CFC"/>
    <w:rsid w:val="00F04EE7"/>
    <w:rsid w:val="00F04F49"/>
    <w:rsid w:val="00F051AA"/>
    <w:rsid w:val="00F05303"/>
    <w:rsid w:val="00F054FF"/>
    <w:rsid w:val="00F0551E"/>
    <w:rsid w:val="00F0558E"/>
    <w:rsid w:val="00F0591C"/>
    <w:rsid w:val="00F05AB9"/>
    <w:rsid w:val="00F05EF6"/>
    <w:rsid w:val="00F05F29"/>
    <w:rsid w:val="00F0609F"/>
    <w:rsid w:val="00F060B7"/>
    <w:rsid w:val="00F06379"/>
    <w:rsid w:val="00F06488"/>
    <w:rsid w:val="00F0650A"/>
    <w:rsid w:val="00F06682"/>
    <w:rsid w:val="00F066CD"/>
    <w:rsid w:val="00F0679B"/>
    <w:rsid w:val="00F067F7"/>
    <w:rsid w:val="00F06A77"/>
    <w:rsid w:val="00F06A9F"/>
    <w:rsid w:val="00F06C4A"/>
    <w:rsid w:val="00F06E1F"/>
    <w:rsid w:val="00F06E27"/>
    <w:rsid w:val="00F06EAB"/>
    <w:rsid w:val="00F06F9F"/>
    <w:rsid w:val="00F07145"/>
    <w:rsid w:val="00F0718E"/>
    <w:rsid w:val="00F072EE"/>
    <w:rsid w:val="00F074BA"/>
    <w:rsid w:val="00F07675"/>
    <w:rsid w:val="00F0768C"/>
    <w:rsid w:val="00F07891"/>
    <w:rsid w:val="00F07909"/>
    <w:rsid w:val="00F07A65"/>
    <w:rsid w:val="00F07BC6"/>
    <w:rsid w:val="00F07D3A"/>
    <w:rsid w:val="00F07DAA"/>
    <w:rsid w:val="00F07E0C"/>
    <w:rsid w:val="00F07E90"/>
    <w:rsid w:val="00F07ED5"/>
    <w:rsid w:val="00F07FCF"/>
    <w:rsid w:val="00F10085"/>
    <w:rsid w:val="00F10125"/>
    <w:rsid w:val="00F101DC"/>
    <w:rsid w:val="00F10560"/>
    <w:rsid w:val="00F1069B"/>
    <w:rsid w:val="00F10862"/>
    <w:rsid w:val="00F108BE"/>
    <w:rsid w:val="00F10905"/>
    <w:rsid w:val="00F10A73"/>
    <w:rsid w:val="00F10B02"/>
    <w:rsid w:val="00F10B20"/>
    <w:rsid w:val="00F10B99"/>
    <w:rsid w:val="00F10C1D"/>
    <w:rsid w:val="00F10C92"/>
    <w:rsid w:val="00F10CFB"/>
    <w:rsid w:val="00F10F00"/>
    <w:rsid w:val="00F10FCE"/>
    <w:rsid w:val="00F110B3"/>
    <w:rsid w:val="00F11278"/>
    <w:rsid w:val="00F112AC"/>
    <w:rsid w:val="00F11535"/>
    <w:rsid w:val="00F11587"/>
    <w:rsid w:val="00F115C1"/>
    <w:rsid w:val="00F117D8"/>
    <w:rsid w:val="00F11869"/>
    <w:rsid w:val="00F11875"/>
    <w:rsid w:val="00F119F3"/>
    <w:rsid w:val="00F11F60"/>
    <w:rsid w:val="00F120B2"/>
    <w:rsid w:val="00F120CC"/>
    <w:rsid w:val="00F120F4"/>
    <w:rsid w:val="00F120F5"/>
    <w:rsid w:val="00F12171"/>
    <w:rsid w:val="00F12244"/>
    <w:rsid w:val="00F122E4"/>
    <w:rsid w:val="00F12343"/>
    <w:rsid w:val="00F12494"/>
    <w:rsid w:val="00F12525"/>
    <w:rsid w:val="00F126D8"/>
    <w:rsid w:val="00F1282C"/>
    <w:rsid w:val="00F12BC7"/>
    <w:rsid w:val="00F12CB3"/>
    <w:rsid w:val="00F12E1F"/>
    <w:rsid w:val="00F12E26"/>
    <w:rsid w:val="00F12E54"/>
    <w:rsid w:val="00F13221"/>
    <w:rsid w:val="00F13331"/>
    <w:rsid w:val="00F1350B"/>
    <w:rsid w:val="00F138A7"/>
    <w:rsid w:val="00F138F3"/>
    <w:rsid w:val="00F13A39"/>
    <w:rsid w:val="00F13B0C"/>
    <w:rsid w:val="00F13D5F"/>
    <w:rsid w:val="00F13DD0"/>
    <w:rsid w:val="00F13E31"/>
    <w:rsid w:val="00F13E3D"/>
    <w:rsid w:val="00F1416C"/>
    <w:rsid w:val="00F141A5"/>
    <w:rsid w:val="00F141AF"/>
    <w:rsid w:val="00F14324"/>
    <w:rsid w:val="00F14366"/>
    <w:rsid w:val="00F14412"/>
    <w:rsid w:val="00F1460B"/>
    <w:rsid w:val="00F14728"/>
    <w:rsid w:val="00F14871"/>
    <w:rsid w:val="00F14ACD"/>
    <w:rsid w:val="00F14B0F"/>
    <w:rsid w:val="00F14D27"/>
    <w:rsid w:val="00F14FA9"/>
    <w:rsid w:val="00F150D4"/>
    <w:rsid w:val="00F150F5"/>
    <w:rsid w:val="00F15143"/>
    <w:rsid w:val="00F1525D"/>
    <w:rsid w:val="00F15275"/>
    <w:rsid w:val="00F153A0"/>
    <w:rsid w:val="00F15430"/>
    <w:rsid w:val="00F15610"/>
    <w:rsid w:val="00F15627"/>
    <w:rsid w:val="00F1572E"/>
    <w:rsid w:val="00F15736"/>
    <w:rsid w:val="00F15877"/>
    <w:rsid w:val="00F15A63"/>
    <w:rsid w:val="00F15C0E"/>
    <w:rsid w:val="00F15C6E"/>
    <w:rsid w:val="00F15C9D"/>
    <w:rsid w:val="00F15E4E"/>
    <w:rsid w:val="00F15EC3"/>
    <w:rsid w:val="00F15F1D"/>
    <w:rsid w:val="00F15F7C"/>
    <w:rsid w:val="00F16286"/>
    <w:rsid w:val="00F1633C"/>
    <w:rsid w:val="00F16549"/>
    <w:rsid w:val="00F16566"/>
    <w:rsid w:val="00F166F4"/>
    <w:rsid w:val="00F1678A"/>
    <w:rsid w:val="00F168C1"/>
    <w:rsid w:val="00F169BE"/>
    <w:rsid w:val="00F16BCD"/>
    <w:rsid w:val="00F16D1B"/>
    <w:rsid w:val="00F171AB"/>
    <w:rsid w:val="00F171F6"/>
    <w:rsid w:val="00F17370"/>
    <w:rsid w:val="00F1740B"/>
    <w:rsid w:val="00F1760B"/>
    <w:rsid w:val="00F176E6"/>
    <w:rsid w:val="00F17757"/>
    <w:rsid w:val="00F178D0"/>
    <w:rsid w:val="00F17CC3"/>
    <w:rsid w:val="00F17CFB"/>
    <w:rsid w:val="00F17D5B"/>
    <w:rsid w:val="00F17E75"/>
    <w:rsid w:val="00F20016"/>
    <w:rsid w:val="00F2007E"/>
    <w:rsid w:val="00F20124"/>
    <w:rsid w:val="00F2037D"/>
    <w:rsid w:val="00F204AC"/>
    <w:rsid w:val="00F20541"/>
    <w:rsid w:val="00F205A7"/>
    <w:rsid w:val="00F20737"/>
    <w:rsid w:val="00F207DC"/>
    <w:rsid w:val="00F20974"/>
    <w:rsid w:val="00F20A11"/>
    <w:rsid w:val="00F20BE0"/>
    <w:rsid w:val="00F20D2D"/>
    <w:rsid w:val="00F21079"/>
    <w:rsid w:val="00F211A6"/>
    <w:rsid w:val="00F211E1"/>
    <w:rsid w:val="00F212D3"/>
    <w:rsid w:val="00F213DB"/>
    <w:rsid w:val="00F21427"/>
    <w:rsid w:val="00F21608"/>
    <w:rsid w:val="00F216D2"/>
    <w:rsid w:val="00F218CD"/>
    <w:rsid w:val="00F218E3"/>
    <w:rsid w:val="00F219AD"/>
    <w:rsid w:val="00F219DB"/>
    <w:rsid w:val="00F21A12"/>
    <w:rsid w:val="00F21AFE"/>
    <w:rsid w:val="00F21B01"/>
    <w:rsid w:val="00F21CBB"/>
    <w:rsid w:val="00F21DF3"/>
    <w:rsid w:val="00F21E50"/>
    <w:rsid w:val="00F22159"/>
    <w:rsid w:val="00F2230F"/>
    <w:rsid w:val="00F22496"/>
    <w:rsid w:val="00F22528"/>
    <w:rsid w:val="00F2263D"/>
    <w:rsid w:val="00F22A4C"/>
    <w:rsid w:val="00F22A6D"/>
    <w:rsid w:val="00F22ACB"/>
    <w:rsid w:val="00F22AD0"/>
    <w:rsid w:val="00F22B6D"/>
    <w:rsid w:val="00F22B80"/>
    <w:rsid w:val="00F22DA2"/>
    <w:rsid w:val="00F22EC0"/>
    <w:rsid w:val="00F22FDB"/>
    <w:rsid w:val="00F231DB"/>
    <w:rsid w:val="00F2338B"/>
    <w:rsid w:val="00F2369A"/>
    <w:rsid w:val="00F238F8"/>
    <w:rsid w:val="00F239ED"/>
    <w:rsid w:val="00F23A34"/>
    <w:rsid w:val="00F23B1B"/>
    <w:rsid w:val="00F23EEC"/>
    <w:rsid w:val="00F23F1A"/>
    <w:rsid w:val="00F23FAC"/>
    <w:rsid w:val="00F23FFC"/>
    <w:rsid w:val="00F24060"/>
    <w:rsid w:val="00F240E1"/>
    <w:rsid w:val="00F24116"/>
    <w:rsid w:val="00F241EC"/>
    <w:rsid w:val="00F241F5"/>
    <w:rsid w:val="00F243E1"/>
    <w:rsid w:val="00F24426"/>
    <w:rsid w:val="00F244D1"/>
    <w:rsid w:val="00F244ED"/>
    <w:rsid w:val="00F24594"/>
    <w:rsid w:val="00F246A2"/>
    <w:rsid w:val="00F24756"/>
    <w:rsid w:val="00F24777"/>
    <w:rsid w:val="00F24A5D"/>
    <w:rsid w:val="00F24ACE"/>
    <w:rsid w:val="00F24C6F"/>
    <w:rsid w:val="00F24CA3"/>
    <w:rsid w:val="00F24CBA"/>
    <w:rsid w:val="00F24D92"/>
    <w:rsid w:val="00F24DAB"/>
    <w:rsid w:val="00F24E34"/>
    <w:rsid w:val="00F24EF0"/>
    <w:rsid w:val="00F24F74"/>
    <w:rsid w:val="00F2517A"/>
    <w:rsid w:val="00F25212"/>
    <w:rsid w:val="00F2529C"/>
    <w:rsid w:val="00F2531F"/>
    <w:rsid w:val="00F25347"/>
    <w:rsid w:val="00F254F5"/>
    <w:rsid w:val="00F254F7"/>
    <w:rsid w:val="00F25663"/>
    <w:rsid w:val="00F25E13"/>
    <w:rsid w:val="00F25E63"/>
    <w:rsid w:val="00F25E7C"/>
    <w:rsid w:val="00F25ED9"/>
    <w:rsid w:val="00F26156"/>
    <w:rsid w:val="00F261C2"/>
    <w:rsid w:val="00F261DD"/>
    <w:rsid w:val="00F26266"/>
    <w:rsid w:val="00F26382"/>
    <w:rsid w:val="00F26493"/>
    <w:rsid w:val="00F266C0"/>
    <w:rsid w:val="00F2670A"/>
    <w:rsid w:val="00F26743"/>
    <w:rsid w:val="00F26747"/>
    <w:rsid w:val="00F267A2"/>
    <w:rsid w:val="00F267EC"/>
    <w:rsid w:val="00F2683A"/>
    <w:rsid w:val="00F2697D"/>
    <w:rsid w:val="00F269B0"/>
    <w:rsid w:val="00F26A6C"/>
    <w:rsid w:val="00F26CA4"/>
    <w:rsid w:val="00F26E27"/>
    <w:rsid w:val="00F27125"/>
    <w:rsid w:val="00F2713A"/>
    <w:rsid w:val="00F2725E"/>
    <w:rsid w:val="00F2729F"/>
    <w:rsid w:val="00F272A1"/>
    <w:rsid w:val="00F27390"/>
    <w:rsid w:val="00F2749D"/>
    <w:rsid w:val="00F275AA"/>
    <w:rsid w:val="00F275CC"/>
    <w:rsid w:val="00F275D2"/>
    <w:rsid w:val="00F2763A"/>
    <w:rsid w:val="00F27801"/>
    <w:rsid w:val="00F27994"/>
    <w:rsid w:val="00F27A80"/>
    <w:rsid w:val="00F27B6A"/>
    <w:rsid w:val="00F27C50"/>
    <w:rsid w:val="00F27D27"/>
    <w:rsid w:val="00F27E68"/>
    <w:rsid w:val="00F27EBE"/>
    <w:rsid w:val="00F27FC4"/>
    <w:rsid w:val="00F27FE5"/>
    <w:rsid w:val="00F30145"/>
    <w:rsid w:val="00F30282"/>
    <w:rsid w:val="00F302A7"/>
    <w:rsid w:val="00F303E1"/>
    <w:rsid w:val="00F304DC"/>
    <w:rsid w:val="00F306B0"/>
    <w:rsid w:val="00F3082B"/>
    <w:rsid w:val="00F30AE2"/>
    <w:rsid w:val="00F30B3A"/>
    <w:rsid w:val="00F30B48"/>
    <w:rsid w:val="00F30B85"/>
    <w:rsid w:val="00F30BF3"/>
    <w:rsid w:val="00F30C7E"/>
    <w:rsid w:val="00F30F15"/>
    <w:rsid w:val="00F310C3"/>
    <w:rsid w:val="00F310CA"/>
    <w:rsid w:val="00F31480"/>
    <w:rsid w:val="00F31687"/>
    <w:rsid w:val="00F316FF"/>
    <w:rsid w:val="00F3184C"/>
    <w:rsid w:val="00F31A5C"/>
    <w:rsid w:val="00F31E10"/>
    <w:rsid w:val="00F3206C"/>
    <w:rsid w:val="00F3206E"/>
    <w:rsid w:val="00F321F2"/>
    <w:rsid w:val="00F323A0"/>
    <w:rsid w:val="00F32521"/>
    <w:rsid w:val="00F328C5"/>
    <w:rsid w:val="00F32C5A"/>
    <w:rsid w:val="00F32C61"/>
    <w:rsid w:val="00F32C6F"/>
    <w:rsid w:val="00F32E67"/>
    <w:rsid w:val="00F32E96"/>
    <w:rsid w:val="00F32F79"/>
    <w:rsid w:val="00F3318A"/>
    <w:rsid w:val="00F3319A"/>
    <w:rsid w:val="00F33367"/>
    <w:rsid w:val="00F3341D"/>
    <w:rsid w:val="00F33563"/>
    <w:rsid w:val="00F3356F"/>
    <w:rsid w:val="00F33606"/>
    <w:rsid w:val="00F336E4"/>
    <w:rsid w:val="00F336F3"/>
    <w:rsid w:val="00F336F4"/>
    <w:rsid w:val="00F33708"/>
    <w:rsid w:val="00F33746"/>
    <w:rsid w:val="00F3379A"/>
    <w:rsid w:val="00F33832"/>
    <w:rsid w:val="00F3385D"/>
    <w:rsid w:val="00F338B2"/>
    <w:rsid w:val="00F338B7"/>
    <w:rsid w:val="00F338CA"/>
    <w:rsid w:val="00F339ED"/>
    <w:rsid w:val="00F33A77"/>
    <w:rsid w:val="00F33A91"/>
    <w:rsid w:val="00F33E70"/>
    <w:rsid w:val="00F33E7C"/>
    <w:rsid w:val="00F33F9D"/>
    <w:rsid w:val="00F3432E"/>
    <w:rsid w:val="00F343FA"/>
    <w:rsid w:val="00F344BA"/>
    <w:rsid w:val="00F347AC"/>
    <w:rsid w:val="00F347DC"/>
    <w:rsid w:val="00F34858"/>
    <w:rsid w:val="00F348DE"/>
    <w:rsid w:val="00F349D2"/>
    <w:rsid w:val="00F34A08"/>
    <w:rsid w:val="00F34A9F"/>
    <w:rsid w:val="00F34B79"/>
    <w:rsid w:val="00F34D1F"/>
    <w:rsid w:val="00F3546D"/>
    <w:rsid w:val="00F355B5"/>
    <w:rsid w:val="00F355CE"/>
    <w:rsid w:val="00F3562F"/>
    <w:rsid w:val="00F3565D"/>
    <w:rsid w:val="00F357B9"/>
    <w:rsid w:val="00F3581C"/>
    <w:rsid w:val="00F358FC"/>
    <w:rsid w:val="00F35916"/>
    <w:rsid w:val="00F359FD"/>
    <w:rsid w:val="00F35B10"/>
    <w:rsid w:val="00F35E1D"/>
    <w:rsid w:val="00F363FA"/>
    <w:rsid w:val="00F367E7"/>
    <w:rsid w:val="00F367EB"/>
    <w:rsid w:val="00F3685C"/>
    <w:rsid w:val="00F36AC9"/>
    <w:rsid w:val="00F36CC9"/>
    <w:rsid w:val="00F36E06"/>
    <w:rsid w:val="00F36E0C"/>
    <w:rsid w:val="00F36E5E"/>
    <w:rsid w:val="00F36F1F"/>
    <w:rsid w:val="00F37009"/>
    <w:rsid w:val="00F37087"/>
    <w:rsid w:val="00F3759E"/>
    <w:rsid w:val="00F378AC"/>
    <w:rsid w:val="00F37E4C"/>
    <w:rsid w:val="00F37EF6"/>
    <w:rsid w:val="00F37F55"/>
    <w:rsid w:val="00F401AF"/>
    <w:rsid w:val="00F40239"/>
    <w:rsid w:val="00F404F3"/>
    <w:rsid w:val="00F40541"/>
    <w:rsid w:val="00F40634"/>
    <w:rsid w:val="00F40B81"/>
    <w:rsid w:val="00F40BD6"/>
    <w:rsid w:val="00F40D31"/>
    <w:rsid w:val="00F40F7E"/>
    <w:rsid w:val="00F410AB"/>
    <w:rsid w:val="00F41316"/>
    <w:rsid w:val="00F4149D"/>
    <w:rsid w:val="00F41717"/>
    <w:rsid w:val="00F418A7"/>
    <w:rsid w:val="00F419AE"/>
    <w:rsid w:val="00F419D4"/>
    <w:rsid w:val="00F41A83"/>
    <w:rsid w:val="00F41CCD"/>
    <w:rsid w:val="00F421A3"/>
    <w:rsid w:val="00F42218"/>
    <w:rsid w:val="00F4225E"/>
    <w:rsid w:val="00F42501"/>
    <w:rsid w:val="00F4280E"/>
    <w:rsid w:val="00F42822"/>
    <w:rsid w:val="00F42832"/>
    <w:rsid w:val="00F4286A"/>
    <w:rsid w:val="00F42889"/>
    <w:rsid w:val="00F42A3A"/>
    <w:rsid w:val="00F42A93"/>
    <w:rsid w:val="00F42CFB"/>
    <w:rsid w:val="00F42DB7"/>
    <w:rsid w:val="00F42E3F"/>
    <w:rsid w:val="00F43198"/>
    <w:rsid w:val="00F431D5"/>
    <w:rsid w:val="00F432CB"/>
    <w:rsid w:val="00F432FB"/>
    <w:rsid w:val="00F434C0"/>
    <w:rsid w:val="00F43534"/>
    <w:rsid w:val="00F435C6"/>
    <w:rsid w:val="00F43770"/>
    <w:rsid w:val="00F43850"/>
    <w:rsid w:val="00F43B9D"/>
    <w:rsid w:val="00F43C0B"/>
    <w:rsid w:val="00F440A9"/>
    <w:rsid w:val="00F4433B"/>
    <w:rsid w:val="00F44428"/>
    <w:rsid w:val="00F444D4"/>
    <w:rsid w:val="00F4452E"/>
    <w:rsid w:val="00F445A3"/>
    <w:rsid w:val="00F4463F"/>
    <w:rsid w:val="00F448F8"/>
    <w:rsid w:val="00F44A31"/>
    <w:rsid w:val="00F44C86"/>
    <w:rsid w:val="00F44D49"/>
    <w:rsid w:val="00F44D53"/>
    <w:rsid w:val="00F44E77"/>
    <w:rsid w:val="00F44FD7"/>
    <w:rsid w:val="00F4519E"/>
    <w:rsid w:val="00F451C4"/>
    <w:rsid w:val="00F45378"/>
    <w:rsid w:val="00F453E8"/>
    <w:rsid w:val="00F456F8"/>
    <w:rsid w:val="00F45946"/>
    <w:rsid w:val="00F4597B"/>
    <w:rsid w:val="00F459A4"/>
    <w:rsid w:val="00F45CAF"/>
    <w:rsid w:val="00F45CEB"/>
    <w:rsid w:val="00F45DA0"/>
    <w:rsid w:val="00F45E20"/>
    <w:rsid w:val="00F45FD2"/>
    <w:rsid w:val="00F462B6"/>
    <w:rsid w:val="00F4645C"/>
    <w:rsid w:val="00F4648C"/>
    <w:rsid w:val="00F46511"/>
    <w:rsid w:val="00F465BE"/>
    <w:rsid w:val="00F46691"/>
    <w:rsid w:val="00F466C8"/>
    <w:rsid w:val="00F467A3"/>
    <w:rsid w:val="00F4682F"/>
    <w:rsid w:val="00F46847"/>
    <w:rsid w:val="00F469BD"/>
    <w:rsid w:val="00F46CF7"/>
    <w:rsid w:val="00F46EA1"/>
    <w:rsid w:val="00F46EB6"/>
    <w:rsid w:val="00F47310"/>
    <w:rsid w:val="00F47398"/>
    <w:rsid w:val="00F4744D"/>
    <w:rsid w:val="00F47551"/>
    <w:rsid w:val="00F4777B"/>
    <w:rsid w:val="00F47785"/>
    <w:rsid w:val="00F47A25"/>
    <w:rsid w:val="00F47AAF"/>
    <w:rsid w:val="00F47C00"/>
    <w:rsid w:val="00F47D3B"/>
    <w:rsid w:val="00F502D9"/>
    <w:rsid w:val="00F503D3"/>
    <w:rsid w:val="00F5060F"/>
    <w:rsid w:val="00F50633"/>
    <w:rsid w:val="00F5064E"/>
    <w:rsid w:val="00F509AE"/>
    <w:rsid w:val="00F50C62"/>
    <w:rsid w:val="00F50CFF"/>
    <w:rsid w:val="00F50E13"/>
    <w:rsid w:val="00F50E83"/>
    <w:rsid w:val="00F50FCC"/>
    <w:rsid w:val="00F5101E"/>
    <w:rsid w:val="00F51069"/>
    <w:rsid w:val="00F51098"/>
    <w:rsid w:val="00F51410"/>
    <w:rsid w:val="00F5174B"/>
    <w:rsid w:val="00F518A4"/>
    <w:rsid w:val="00F51A08"/>
    <w:rsid w:val="00F51B2F"/>
    <w:rsid w:val="00F51BBD"/>
    <w:rsid w:val="00F51BFC"/>
    <w:rsid w:val="00F51C68"/>
    <w:rsid w:val="00F51C6F"/>
    <w:rsid w:val="00F51C76"/>
    <w:rsid w:val="00F51F3F"/>
    <w:rsid w:val="00F51F74"/>
    <w:rsid w:val="00F5210C"/>
    <w:rsid w:val="00F52131"/>
    <w:rsid w:val="00F5218C"/>
    <w:rsid w:val="00F521B6"/>
    <w:rsid w:val="00F521E3"/>
    <w:rsid w:val="00F522C1"/>
    <w:rsid w:val="00F5259E"/>
    <w:rsid w:val="00F526E8"/>
    <w:rsid w:val="00F5271E"/>
    <w:rsid w:val="00F527E8"/>
    <w:rsid w:val="00F52826"/>
    <w:rsid w:val="00F52B7F"/>
    <w:rsid w:val="00F52D46"/>
    <w:rsid w:val="00F52E40"/>
    <w:rsid w:val="00F531B3"/>
    <w:rsid w:val="00F531E8"/>
    <w:rsid w:val="00F53463"/>
    <w:rsid w:val="00F534CC"/>
    <w:rsid w:val="00F535D2"/>
    <w:rsid w:val="00F53812"/>
    <w:rsid w:val="00F5385A"/>
    <w:rsid w:val="00F5391A"/>
    <w:rsid w:val="00F53A17"/>
    <w:rsid w:val="00F53B3C"/>
    <w:rsid w:val="00F53B6B"/>
    <w:rsid w:val="00F53B78"/>
    <w:rsid w:val="00F53EC2"/>
    <w:rsid w:val="00F53F30"/>
    <w:rsid w:val="00F54020"/>
    <w:rsid w:val="00F54034"/>
    <w:rsid w:val="00F542C2"/>
    <w:rsid w:val="00F54426"/>
    <w:rsid w:val="00F54548"/>
    <w:rsid w:val="00F5456D"/>
    <w:rsid w:val="00F54695"/>
    <w:rsid w:val="00F547D3"/>
    <w:rsid w:val="00F54DD3"/>
    <w:rsid w:val="00F54DF6"/>
    <w:rsid w:val="00F54F10"/>
    <w:rsid w:val="00F55075"/>
    <w:rsid w:val="00F551F6"/>
    <w:rsid w:val="00F55203"/>
    <w:rsid w:val="00F55342"/>
    <w:rsid w:val="00F5546A"/>
    <w:rsid w:val="00F556AB"/>
    <w:rsid w:val="00F5583A"/>
    <w:rsid w:val="00F5592D"/>
    <w:rsid w:val="00F5599C"/>
    <w:rsid w:val="00F559D4"/>
    <w:rsid w:val="00F55A4A"/>
    <w:rsid w:val="00F55B47"/>
    <w:rsid w:val="00F55B86"/>
    <w:rsid w:val="00F55D20"/>
    <w:rsid w:val="00F55DC2"/>
    <w:rsid w:val="00F560E6"/>
    <w:rsid w:val="00F56271"/>
    <w:rsid w:val="00F563E5"/>
    <w:rsid w:val="00F56445"/>
    <w:rsid w:val="00F564AB"/>
    <w:rsid w:val="00F56559"/>
    <w:rsid w:val="00F567C0"/>
    <w:rsid w:val="00F56912"/>
    <w:rsid w:val="00F56939"/>
    <w:rsid w:val="00F569E0"/>
    <w:rsid w:val="00F569E2"/>
    <w:rsid w:val="00F56B76"/>
    <w:rsid w:val="00F56C2E"/>
    <w:rsid w:val="00F56C4A"/>
    <w:rsid w:val="00F56EEB"/>
    <w:rsid w:val="00F56F05"/>
    <w:rsid w:val="00F57088"/>
    <w:rsid w:val="00F571BB"/>
    <w:rsid w:val="00F57357"/>
    <w:rsid w:val="00F5739E"/>
    <w:rsid w:val="00F5740C"/>
    <w:rsid w:val="00F5763F"/>
    <w:rsid w:val="00F57874"/>
    <w:rsid w:val="00F57934"/>
    <w:rsid w:val="00F579C5"/>
    <w:rsid w:val="00F57AE3"/>
    <w:rsid w:val="00F57BEF"/>
    <w:rsid w:val="00F57CD6"/>
    <w:rsid w:val="00F57ED9"/>
    <w:rsid w:val="00F57F57"/>
    <w:rsid w:val="00F60197"/>
    <w:rsid w:val="00F6020E"/>
    <w:rsid w:val="00F60292"/>
    <w:rsid w:val="00F60323"/>
    <w:rsid w:val="00F6045E"/>
    <w:rsid w:val="00F605CF"/>
    <w:rsid w:val="00F60616"/>
    <w:rsid w:val="00F606EF"/>
    <w:rsid w:val="00F60A1A"/>
    <w:rsid w:val="00F60AC0"/>
    <w:rsid w:val="00F60D18"/>
    <w:rsid w:val="00F60DB1"/>
    <w:rsid w:val="00F60DC6"/>
    <w:rsid w:val="00F60E66"/>
    <w:rsid w:val="00F60F37"/>
    <w:rsid w:val="00F60F5B"/>
    <w:rsid w:val="00F61044"/>
    <w:rsid w:val="00F610E0"/>
    <w:rsid w:val="00F61152"/>
    <w:rsid w:val="00F611E1"/>
    <w:rsid w:val="00F612A9"/>
    <w:rsid w:val="00F612CE"/>
    <w:rsid w:val="00F61372"/>
    <w:rsid w:val="00F6139C"/>
    <w:rsid w:val="00F61548"/>
    <w:rsid w:val="00F616DD"/>
    <w:rsid w:val="00F61733"/>
    <w:rsid w:val="00F6173D"/>
    <w:rsid w:val="00F61747"/>
    <w:rsid w:val="00F617E3"/>
    <w:rsid w:val="00F61806"/>
    <w:rsid w:val="00F618C8"/>
    <w:rsid w:val="00F619F7"/>
    <w:rsid w:val="00F61AB2"/>
    <w:rsid w:val="00F61CDC"/>
    <w:rsid w:val="00F61D23"/>
    <w:rsid w:val="00F61E79"/>
    <w:rsid w:val="00F6239C"/>
    <w:rsid w:val="00F624F7"/>
    <w:rsid w:val="00F6252F"/>
    <w:rsid w:val="00F6266E"/>
    <w:rsid w:val="00F62686"/>
    <w:rsid w:val="00F6273C"/>
    <w:rsid w:val="00F629C2"/>
    <w:rsid w:val="00F629C8"/>
    <w:rsid w:val="00F62A9E"/>
    <w:rsid w:val="00F62BE9"/>
    <w:rsid w:val="00F62C87"/>
    <w:rsid w:val="00F62F3D"/>
    <w:rsid w:val="00F62F9B"/>
    <w:rsid w:val="00F62FD6"/>
    <w:rsid w:val="00F62FEC"/>
    <w:rsid w:val="00F6308D"/>
    <w:rsid w:val="00F6313E"/>
    <w:rsid w:val="00F6317D"/>
    <w:rsid w:val="00F632EA"/>
    <w:rsid w:val="00F63590"/>
    <w:rsid w:val="00F635C5"/>
    <w:rsid w:val="00F637FB"/>
    <w:rsid w:val="00F638C6"/>
    <w:rsid w:val="00F63A2B"/>
    <w:rsid w:val="00F63CE8"/>
    <w:rsid w:val="00F63DA4"/>
    <w:rsid w:val="00F64250"/>
    <w:rsid w:val="00F642B6"/>
    <w:rsid w:val="00F642C6"/>
    <w:rsid w:val="00F64367"/>
    <w:rsid w:val="00F6443F"/>
    <w:rsid w:val="00F64455"/>
    <w:rsid w:val="00F6466F"/>
    <w:rsid w:val="00F64901"/>
    <w:rsid w:val="00F64978"/>
    <w:rsid w:val="00F6498F"/>
    <w:rsid w:val="00F64AAA"/>
    <w:rsid w:val="00F64B3E"/>
    <w:rsid w:val="00F64D52"/>
    <w:rsid w:val="00F64DFD"/>
    <w:rsid w:val="00F64F2B"/>
    <w:rsid w:val="00F64FC7"/>
    <w:rsid w:val="00F65201"/>
    <w:rsid w:val="00F65227"/>
    <w:rsid w:val="00F65876"/>
    <w:rsid w:val="00F65986"/>
    <w:rsid w:val="00F65AB5"/>
    <w:rsid w:val="00F65B26"/>
    <w:rsid w:val="00F65CE8"/>
    <w:rsid w:val="00F65E34"/>
    <w:rsid w:val="00F65F2D"/>
    <w:rsid w:val="00F65F6D"/>
    <w:rsid w:val="00F6600B"/>
    <w:rsid w:val="00F6601B"/>
    <w:rsid w:val="00F6618C"/>
    <w:rsid w:val="00F661C2"/>
    <w:rsid w:val="00F662F0"/>
    <w:rsid w:val="00F6639E"/>
    <w:rsid w:val="00F66528"/>
    <w:rsid w:val="00F6653E"/>
    <w:rsid w:val="00F6657D"/>
    <w:rsid w:val="00F66992"/>
    <w:rsid w:val="00F669CE"/>
    <w:rsid w:val="00F66A35"/>
    <w:rsid w:val="00F66A45"/>
    <w:rsid w:val="00F66C04"/>
    <w:rsid w:val="00F66C8C"/>
    <w:rsid w:val="00F66CDD"/>
    <w:rsid w:val="00F66D31"/>
    <w:rsid w:val="00F66D4B"/>
    <w:rsid w:val="00F66D82"/>
    <w:rsid w:val="00F66D95"/>
    <w:rsid w:val="00F66DB2"/>
    <w:rsid w:val="00F66DFF"/>
    <w:rsid w:val="00F66EA4"/>
    <w:rsid w:val="00F66F93"/>
    <w:rsid w:val="00F67147"/>
    <w:rsid w:val="00F67192"/>
    <w:rsid w:val="00F671EE"/>
    <w:rsid w:val="00F6733C"/>
    <w:rsid w:val="00F6784C"/>
    <w:rsid w:val="00F678D5"/>
    <w:rsid w:val="00F678F3"/>
    <w:rsid w:val="00F67A5A"/>
    <w:rsid w:val="00F67AFC"/>
    <w:rsid w:val="00F67B0E"/>
    <w:rsid w:val="00F67B92"/>
    <w:rsid w:val="00F67C8C"/>
    <w:rsid w:val="00F67DCC"/>
    <w:rsid w:val="00F67DD8"/>
    <w:rsid w:val="00F701D1"/>
    <w:rsid w:val="00F7029B"/>
    <w:rsid w:val="00F702F1"/>
    <w:rsid w:val="00F7030A"/>
    <w:rsid w:val="00F7036A"/>
    <w:rsid w:val="00F704BD"/>
    <w:rsid w:val="00F70515"/>
    <w:rsid w:val="00F705EB"/>
    <w:rsid w:val="00F70ADE"/>
    <w:rsid w:val="00F70EC5"/>
    <w:rsid w:val="00F70FDE"/>
    <w:rsid w:val="00F71161"/>
    <w:rsid w:val="00F7119C"/>
    <w:rsid w:val="00F712A8"/>
    <w:rsid w:val="00F71429"/>
    <w:rsid w:val="00F7143D"/>
    <w:rsid w:val="00F71592"/>
    <w:rsid w:val="00F7161E"/>
    <w:rsid w:val="00F7178C"/>
    <w:rsid w:val="00F7182B"/>
    <w:rsid w:val="00F71924"/>
    <w:rsid w:val="00F719FE"/>
    <w:rsid w:val="00F71B55"/>
    <w:rsid w:val="00F71BB9"/>
    <w:rsid w:val="00F72038"/>
    <w:rsid w:val="00F72142"/>
    <w:rsid w:val="00F722B5"/>
    <w:rsid w:val="00F722DB"/>
    <w:rsid w:val="00F724EE"/>
    <w:rsid w:val="00F725DC"/>
    <w:rsid w:val="00F726A7"/>
    <w:rsid w:val="00F72E25"/>
    <w:rsid w:val="00F73015"/>
    <w:rsid w:val="00F7316E"/>
    <w:rsid w:val="00F73173"/>
    <w:rsid w:val="00F7342B"/>
    <w:rsid w:val="00F7384B"/>
    <w:rsid w:val="00F73881"/>
    <w:rsid w:val="00F73965"/>
    <w:rsid w:val="00F739DF"/>
    <w:rsid w:val="00F73CBB"/>
    <w:rsid w:val="00F73D5E"/>
    <w:rsid w:val="00F73DE9"/>
    <w:rsid w:val="00F73E68"/>
    <w:rsid w:val="00F73EEF"/>
    <w:rsid w:val="00F73F82"/>
    <w:rsid w:val="00F740D4"/>
    <w:rsid w:val="00F74105"/>
    <w:rsid w:val="00F74516"/>
    <w:rsid w:val="00F7457B"/>
    <w:rsid w:val="00F74580"/>
    <w:rsid w:val="00F7464E"/>
    <w:rsid w:val="00F74745"/>
    <w:rsid w:val="00F747E7"/>
    <w:rsid w:val="00F74827"/>
    <w:rsid w:val="00F749DA"/>
    <w:rsid w:val="00F74CDD"/>
    <w:rsid w:val="00F74D73"/>
    <w:rsid w:val="00F74E47"/>
    <w:rsid w:val="00F74EF3"/>
    <w:rsid w:val="00F7510A"/>
    <w:rsid w:val="00F75227"/>
    <w:rsid w:val="00F754DF"/>
    <w:rsid w:val="00F75521"/>
    <w:rsid w:val="00F75554"/>
    <w:rsid w:val="00F755DE"/>
    <w:rsid w:val="00F75749"/>
    <w:rsid w:val="00F75813"/>
    <w:rsid w:val="00F75860"/>
    <w:rsid w:val="00F7593F"/>
    <w:rsid w:val="00F759FA"/>
    <w:rsid w:val="00F75BD6"/>
    <w:rsid w:val="00F7635B"/>
    <w:rsid w:val="00F765E5"/>
    <w:rsid w:val="00F765ED"/>
    <w:rsid w:val="00F767FC"/>
    <w:rsid w:val="00F76983"/>
    <w:rsid w:val="00F76A58"/>
    <w:rsid w:val="00F76CEF"/>
    <w:rsid w:val="00F76EDF"/>
    <w:rsid w:val="00F76EEE"/>
    <w:rsid w:val="00F76F77"/>
    <w:rsid w:val="00F7702C"/>
    <w:rsid w:val="00F77198"/>
    <w:rsid w:val="00F77287"/>
    <w:rsid w:val="00F77350"/>
    <w:rsid w:val="00F773E2"/>
    <w:rsid w:val="00F773E4"/>
    <w:rsid w:val="00F773F1"/>
    <w:rsid w:val="00F773F2"/>
    <w:rsid w:val="00F7740A"/>
    <w:rsid w:val="00F775AB"/>
    <w:rsid w:val="00F776D9"/>
    <w:rsid w:val="00F77755"/>
    <w:rsid w:val="00F77810"/>
    <w:rsid w:val="00F77AB1"/>
    <w:rsid w:val="00F77E5A"/>
    <w:rsid w:val="00F77EE6"/>
    <w:rsid w:val="00F77EF7"/>
    <w:rsid w:val="00F800C9"/>
    <w:rsid w:val="00F80128"/>
    <w:rsid w:val="00F8030F"/>
    <w:rsid w:val="00F8039A"/>
    <w:rsid w:val="00F803A8"/>
    <w:rsid w:val="00F804D6"/>
    <w:rsid w:val="00F805AD"/>
    <w:rsid w:val="00F80E08"/>
    <w:rsid w:val="00F80ECC"/>
    <w:rsid w:val="00F81095"/>
    <w:rsid w:val="00F813E1"/>
    <w:rsid w:val="00F8158D"/>
    <w:rsid w:val="00F81684"/>
    <w:rsid w:val="00F81780"/>
    <w:rsid w:val="00F81A84"/>
    <w:rsid w:val="00F81C82"/>
    <w:rsid w:val="00F81DB6"/>
    <w:rsid w:val="00F81FE1"/>
    <w:rsid w:val="00F823FF"/>
    <w:rsid w:val="00F82613"/>
    <w:rsid w:val="00F8262F"/>
    <w:rsid w:val="00F8264F"/>
    <w:rsid w:val="00F826E8"/>
    <w:rsid w:val="00F82836"/>
    <w:rsid w:val="00F828AC"/>
    <w:rsid w:val="00F828C6"/>
    <w:rsid w:val="00F82A69"/>
    <w:rsid w:val="00F82AB4"/>
    <w:rsid w:val="00F82B59"/>
    <w:rsid w:val="00F82C71"/>
    <w:rsid w:val="00F82D30"/>
    <w:rsid w:val="00F82DC6"/>
    <w:rsid w:val="00F82E8A"/>
    <w:rsid w:val="00F82F56"/>
    <w:rsid w:val="00F8305B"/>
    <w:rsid w:val="00F83430"/>
    <w:rsid w:val="00F83472"/>
    <w:rsid w:val="00F83494"/>
    <w:rsid w:val="00F83578"/>
    <w:rsid w:val="00F8389A"/>
    <w:rsid w:val="00F838AF"/>
    <w:rsid w:val="00F83B13"/>
    <w:rsid w:val="00F83B1D"/>
    <w:rsid w:val="00F8429A"/>
    <w:rsid w:val="00F8434F"/>
    <w:rsid w:val="00F8443A"/>
    <w:rsid w:val="00F845B7"/>
    <w:rsid w:val="00F84651"/>
    <w:rsid w:val="00F84737"/>
    <w:rsid w:val="00F847D5"/>
    <w:rsid w:val="00F84904"/>
    <w:rsid w:val="00F849C5"/>
    <w:rsid w:val="00F849D3"/>
    <w:rsid w:val="00F84A73"/>
    <w:rsid w:val="00F84B32"/>
    <w:rsid w:val="00F84BA1"/>
    <w:rsid w:val="00F84C13"/>
    <w:rsid w:val="00F8508C"/>
    <w:rsid w:val="00F850E5"/>
    <w:rsid w:val="00F850F9"/>
    <w:rsid w:val="00F85122"/>
    <w:rsid w:val="00F8525F"/>
    <w:rsid w:val="00F853D9"/>
    <w:rsid w:val="00F85412"/>
    <w:rsid w:val="00F8543A"/>
    <w:rsid w:val="00F854C3"/>
    <w:rsid w:val="00F8591F"/>
    <w:rsid w:val="00F859FA"/>
    <w:rsid w:val="00F85ACD"/>
    <w:rsid w:val="00F85CB2"/>
    <w:rsid w:val="00F85EDB"/>
    <w:rsid w:val="00F85F1E"/>
    <w:rsid w:val="00F8603B"/>
    <w:rsid w:val="00F862EF"/>
    <w:rsid w:val="00F863ED"/>
    <w:rsid w:val="00F8649B"/>
    <w:rsid w:val="00F865AB"/>
    <w:rsid w:val="00F865C5"/>
    <w:rsid w:val="00F86697"/>
    <w:rsid w:val="00F866B1"/>
    <w:rsid w:val="00F86745"/>
    <w:rsid w:val="00F8677E"/>
    <w:rsid w:val="00F8691C"/>
    <w:rsid w:val="00F86C01"/>
    <w:rsid w:val="00F86C2C"/>
    <w:rsid w:val="00F86C80"/>
    <w:rsid w:val="00F86CF1"/>
    <w:rsid w:val="00F86DF3"/>
    <w:rsid w:val="00F86F6F"/>
    <w:rsid w:val="00F870BC"/>
    <w:rsid w:val="00F874C2"/>
    <w:rsid w:val="00F874E0"/>
    <w:rsid w:val="00F874ED"/>
    <w:rsid w:val="00F87641"/>
    <w:rsid w:val="00F877F8"/>
    <w:rsid w:val="00F8792C"/>
    <w:rsid w:val="00F879D4"/>
    <w:rsid w:val="00F87A63"/>
    <w:rsid w:val="00F87B0D"/>
    <w:rsid w:val="00F87B90"/>
    <w:rsid w:val="00F87BC6"/>
    <w:rsid w:val="00F87CF2"/>
    <w:rsid w:val="00F87D3A"/>
    <w:rsid w:val="00F87E6B"/>
    <w:rsid w:val="00F87FF8"/>
    <w:rsid w:val="00F900F8"/>
    <w:rsid w:val="00F9029E"/>
    <w:rsid w:val="00F9055E"/>
    <w:rsid w:val="00F90578"/>
    <w:rsid w:val="00F905C0"/>
    <w:rsid w:val="00F9062D"/>
    <w:rsid w:val="00F90690"/>
    <w:rsid w:val="00F90712"/>
    <w:rsid w:val="00F907DF"/>
    <w:rsid w:val="00F9082E"/>
    <w:rsid w:val="00F90834"/>
    <w:rsid w:val="00F9098C"/>
    <w:rsid w:val="00F90A7F"/>
    <w:rsid w:val="00F90AA7"/>
    <w:rsid w:val="00F90AEB"/>
    <w:rsid w:val="00F90B09"/>
    <w:rsid w:val="00F90C5C"/>
    <w:rsid w:val="00F90D6F"/>
    <w:rsid w:val="00F90F00"/>
    <w:rsid w:val="00F90F3D"/>
    <w:rsid w:val="00F910C0"/>
    <w:rsid w:val="00F91293"/>
    <w:rsid w:val="00F913E4"/>
    <w:rsid w:val="00F9151E"/>
    <w:rsid w:val="00F915E5"/>
    <w:rsid w:val="00F91747"/>
    <w:rsid w:val="00F91862"/>
    <w:rsid w:val="00F919BC"/>
    <w:rsid w:val="00F919CE"/>
    <w:rsid w:val="00F91A13"/>
    <w:rsid w:val="00F91A43"/>
    <w:rsid w:val="00F91C42"/>
    <w:rsid w:val="00F91C65"/>
    <w:rsid w:val="00F91D11"/>
    <w:rsid w:val="00F91EB1"/>
    <w:rsid w:val="00F91F3F"/>
    <w:rsid w:val="00F921D3"/>
    <w:rsid w:val="00F923A4"/>
    <w:rsid w:val="00F923BD"/>
    <w:rsid w:val="00F92481"/>
    <w:rsid w:val="00F924C7"/>
    <w:rsid w:val="00F925C2"/>
    <w:rsid w:val="00F92624"/>
    <w:rsid w:val="00F926AF"/>
    <w:rsid w:val="00F926F1"/>
    <w:rsid w:val="00F927C9"/>
    <w:rsid w:val="00F9284A"/>
    <w:rsid w:val="00F9287B"/>
    <w:rsid w:val="00F929D9"/>
    <w:rsid w:val="00F92A81"/>
    <w:rsid w:val="00F92AFB"/>
    <w:rsid w:val="00F92CDD"/>
    <w:rsid w:val="00F9313B"/>
    <w:rsid w:val="00F9320F"/>
    <w:rsid w:val="00F933C4"/>
    <w:rsid w:val="00F934A9"/>
    <w:rsid w:val="00F934DF"/>
    <w:rsid w:val="00F9369C"/>
    <w:rsid w:val="00F936CA"/>
    <w:rsid w:val="00F93BF6"/>
    <w:rsid w:val="00F93CE7"/>
    <w:rsid w:val="00F93D9C"/>
    <w:rsid w:val="00F93FDD"/>
    <w:rsid w:val="00F94032"/>
    <w:rsid w:val="00F9427F"/>
    <w:rsid w:val="00F94322"/>
    <w:rsid w:val="00F9434A"/>
    <w:rsid w:val="00F945CB"/>
    <w:rsid w:val="00F945E3"/>
    <w:rsid w:val="00F94640"/>
    <w:rsid w:val="00F94837"/>
    <w:rsid w:val="00F948D7"/>
    <w:rsid w:val="00F949E6"/>
    <w:rsid w:val="00F94B6A"/>
    <w:rsid w:val="00F94B7D"/>
    <w:rsid w:val="00F94D5A"/>
    <w:rsid w:val="00F94ECE"/>
    <w:rsid w:val="00F950E8"/>
    <w:rsid w:val="00F9518F"/>
    <w:rsid w:val="00F951D3"/>
    <w:rsid w:val="00F9537F"/>
    <w:rsid w:val="00F954D1"/>
    <w:rsid w:val="00F95933"/>
    <w:rsid w:val="00F959DA"/>
    <w:rsid w:val="00F95A90"/>
    <w:rsid w:val="00F95D4F"/>
    <w:rsid w:val="00F95E69"/>
    <w:rsid w:val="00F95EE0"/>
    <w:rsid w:val="00F95F30"/>
    <w:rsid w:val="00F96499"/>
    <w:rsid w:val="00F967A8"/>
    <w:rsid w:val="00F96899"/>
    <w:rsid w:val="00F96A50"/>
    <w:rsid w:val="00F96AAB"/>
    <w:rsid w:val="00F96C15"/>
    <w:rsid w:val="00F96C88"/>
    <w:rsid w:val="00F96D10"/>
    <w:rsid w:val="00F96E1D"/>
    <w:rsid w:val="00F96FDA"/>
    <w:rsid w:val="00F97152"/>
    <w:rsid w:val="00F9748B"/>
    <w:rsid w:val="00F97493"/>
    <w:rsid w:val="00F9763F"/>
    <w:rsid w:val="00F9777A"/>
    <w:rsid w:val="00F977DC"/>
    <w:rsid w:val="00F9785D"/>
    <w:rsid w:val="00F97B72"/>
    <w:rsid w:val="00F97CAA"/>
    <w:rsid w:val="00F97CAC"/>
    <w:rsid w:val="00F97D0B"/>
    <w:rsid w:val="00F97DB2"/>
    <w:rsid w:val="00F97E72"/>
    <w:rsid w:val="00F97E77"/>
    <w:rsid w:val="00FA012E"/>
    <w:rsid w:val="00FA014C"/>
    <w:rsid w:val="00FA024E"/>
    <w:rsid w:val="00FA0386"/>
    <w:rsid w:val="00FA03BE"/>
    <w:rsid w:val="00FA0480"/>
    <w:rsid w:val="00FA06C9"/>
    <w:rsid w:val="00FA06FA"/>
    <w:rsid w:val="00FA076E"/>
    <w:rsid w:val="00FA077D"/>
    <w:rsid w:val="00FA086A"/>
    <w:rsid w:val="00FA09D7"/>
    <w:rsid w:val="00FA0BB1"/>
    <w:rsid w:val="00FA0BD5"/>
    <w:rsid w:val="00FA0BD6"/>
    <w:rsid w:val="00FA0D17"/>
    <w:rsid w:val="00FA0E35"/>
    <w:rsid w:val="00FA120E"/>
    <w:rsid w:val="00FA1439"/>
    <w:rsid w:val="00FA1A23"/>
    <w:rsid w:val="00FA1CC8"/>
    <w:rsid w:val="00FA1E42"/>
    <w:rsid w:val="00FA1EDB"/>
    <w:rsid w:val="00FA1F69"/>
    <w:rsid w:val="00FA1FE5"/>
    <w:rsid w:val="00FA20DF"/>
    <w:rsid w:val="00FA2251"/>
    <w:rsid w:val="00FA225C"/>
    <w:rsid w:val="00FA2319"/>
    <w:rsid w:val="00FA2350"/>
    <w:rsid w:val="00FA23A1"/>
    <w:rsid w:val="00FA23B1"/>
    <w:rsid w:val="00FA24DA"/>
    <w:rsid w:val="00FA25A3"/>
    <w:rsid w:val="00FA2933"/>
    <w:rsid w:val="00FA2BA4"/>
    <w:rsid w:val="00FA2CF6"/>
    <w:rsid w:val="00FA2D08"/>
    <w:rsid w:val="00FA2E67"/>
    <w:rsid w:val="00FA2ED3"/>
    <w:rsid w:val="00FA301E"/>
    <w:rsid w:val="00FA304D"/>
    <w:rsid w:val="00FA306F"/>
    <w:rsid w:val="00FA3119"/>
    <w:rsid w:val="00FA316C"/>
    <w:rsid w:val="00FA335B"/>
    <w:rsid w:val="00FA33A0"/>
    <w:rsid w:val="00FA342A"/>
    <w:rsid w:val="00FA35B8"/>
    <w:rsid w:val="00FA36FC"/>
    <w:rsid w:val="00FA3732"/>
    <w:rsid w:val="00FA3921"/>
    <w:rsid w:val="00FA39A0"/>
    <w:rsid w:val="00FA39CC"/>
    <w:rsid w:val="00FA39E7"/>
    <w:rsid w:val="00FA3A75"/>
    <w:rsid w:val="00FA3A83"/>
    <w:rsid w:val="00FA3B5E"/>
    <w:rsid w:val="00FA3C76"/>
    <w:rsid w:val="00FA4036"/>
    <w:rsid w:val="00FA4127"/>
    <w:rsid w:val="00FA4153"/>
    <w:rsid w:val="00FA43F3"/>
    <w:rsid w:val="00FA45AC"/>
    <w:rsid w:val="00FA4602"/>
    <w:rsid w:val="00FA4718"/>
    <w:rsid w:val="00FA474D"/>
    <w:rsid w:val="00FA4774"/>
    <w:rsid w:val="00FA47DC"/>
    <w:rsid w:val="00FA4AA2"/>
    <w:rsid w:val="00FA4C20"/>
    <w:rsid w:val="00FA52DC"/>
    <w:rsid w:val="00FA5362"/>
    <w:rsid w:val="00FA538A"/>
    <w:rsid w:val="00FA566F"/>
    <w:rsid w:val="00FA572D"/>
    <w:rsid w:val="00FA575B"/>
    <w:rsid w:val="00FA590E"/>
    <w:rsid w:val="00FA5A59"/>
    <w:rsid w:val="00FA5BD7"/>
    <w:rsid w:val="00FA5C95"/>
    <w:rsid w:val="00FA5D2B"/>
    <w:rsid w:val="00FA5D2C"/>
    <w:rsid w:val="00FA60FC"/>
    <w:rsid w:val="00FA62A7"/>
    <w:rsid w:val="00FA62CB"/>
    <w:rsid w:val="00FA633B"/>
    <w:rsid w:val="00FA6346"/>
    <w:rsid w:val="00FA64EF"/>
    <w:rsid w:val="00FA6602"/>
    <w:rsid w:val="00FA671F"/>
    <w:rsid w:val="00FA67D6"/>
    <w:rsid w:val="00FA6906"/>
    <w:rsid w:val="00FA6938"/>
    <w:rsid w:val="00FA6BEC"/>
    <w:rsid w:val="00FA6CEB"/>
    <w:rsid w:val="00FA70C5"/>
    <w:rsid w:val="00FA70EC"/>
    <w:rsid w:val="00FA72AE"/>
    <w:rsid w:val="00FA76E7"/>
    <w:rsid w:val="00FA7728"/>
    <w:rsid w:val="00FA7853"/>
    <w:rsid w:val="00FA78CB"/>
    <w:rsid w:val="00FA7E30"/>
    <w:rsid w:val="00FA7E9E"/>
    <w:rsid w:val="00FB0008"/>
    <w:rsid w:val="00FB008D"/>
    <w:rsid w:val="00FB0291"/>
    <w:rsid w:val="00FB04A1"/>
    <w:rsid w:val="00FB0604"/>
    <w:rsid w:val="00FB0937"/>
    <w:rsid w:val="00FB0958"/>
    <w:rsid w:val="00FB0B60"/>
    <w:rsid w:val="00FB0BCE"/>
    <w:rsid w:val="00FB0BE5"/>
    <w:rsid w:val="00FB0DA1"/>
    <w:rsid w:val="00FB0E20"/>
    <w:rsid w:val="00FB0ED7"/>
    <w:rsid w:val="00FB115F"/>
    <w:rsid w:val="00FB11C7"/>
    <w:rsid w:val="00FB1711"/>
    <w:rsid w:val="00FB18AA"/>
    <w:rsid w:val="00FB1A10"/>
    <w:rsid w:val="00FB1B37"/>
    <w:rsid w:val="00FB1BF5"/>
    <w:rsid w:val="00FB1CB1"/>
    <w:rsid w:val="00FB1CD3"/>
    <w:rsid w:val="00FB2409"/>
    <w:rsid w:val="00FB24AC"/>
    <w:rsid w:val="00FB2539"/>
    <w:rsid w:val="00FB2582"/>
    <w:rsid w:val="00FB25BD"/>
    <w:rsid w:val="00FB2630"/>
    <w:rsid w:val="00FB2960"/>
    <w:rsid w:val="00FB2993"/>
    <w:rsid w:val="00FB2BB6"/>
    <w:rsid w:val="00FB2D9D"/>
    <w:rsid w:val="00FB33B5"/>
    <w:rsid w:val="00FB33D5"/>
    <w:rsid w:val="00FB349A"/>
    <w:rsid w:val="00FB3881"/>
    <w:rsid w:val="00FB38BA"/>
    <w:rsid w:val="00FB3901"/>
    <w:rsid w:val="00FB39B5"/>
    <w:rsid w:val="00FB3BAE"/>
    <w:rsid w:val="00FB3E07"/>
    <w:rsid w:val="00FB3EF6"/>
    <w:rsid w:val="00FB41C3"/>
    <w:rsid w:val="00FB43B3"/>
    <w:rsid w:val="00FB43D0"/>
    <w:rsid w:val="00FB452F"/>
    <w:rsid w:val="00FB4781"/>
    <w:rsid w:val="00FB4789"/>
    <w:rsid w:val="00FB47FE"/>
    <w:rsid w:val="00FB4866"/>
    <w:rsid w:val="00FB499A"/>
    <w:rsid w:val="00FB4C42"/>
    <w:rsid w:val="00FB4DBD"/>
    <w:rsid w:val="00FB4FC7"/>
    <w:rsid w:val="00FB4FC9"/>
    <w:rsid w:val="00FB52D1"/>
    <w:rsid w:val="00FB5339"/>
    <w:rsid w:val="00FB5435"/>
    <w:rsid w:val="00FB572A"/>
    <w:rsid w:val="00FB578F"/>
    <w:rsid w:val="00FB58C6"/>
    <w:rsid w:val="00FB59F9"/>
    <w:rsid w:val="00FB5DFE"/>
    <w:rsid w:val="00FB5E57"/>
    <w:rsid w:val="00FB5EC6"/>
    <w:rsid w:val="00FB5FC3"/>
    <w:rsid w:val="00FB6103"/>
    <w:rsid w:val="00FB6195"/>
    <w:rsid w:val="00FB6201"/>
    <w:rsid w:val="00FB653A"/>
    <w:rsid w:val="00FB6992"/>
    <w:rsid w:val="00FB69B5"/>
    <w:rsid w:val="00FB6A11"/>
    <w:rsid w:val="00FB6BC0"/>
    <w:rsid w:val="00FB6D5A"/>
    <w:rsid w:val="00FB6DAA"/>
    <w:rsid w:val="00FB6DE5"/>
    <w:rsid w:val="00FB6E65"/>
    <w:rsid w:val="00FB6EB9"/>
    <w:rsid w:val="00FB7312"/>
    <w:rsid w:val="00FB7534"/>
    <w:rsid w:val="00FB7679"/>
    <w:rsid w:val="00FB7768"/>
    <w:rsid w:val="00FB77F5"/>
    <w:rsid w:val="00FB7814"/>
    <w:rsid w:val="00FB7937"/>
    <w:rsid w:val="00FB7A6A"/>
    <w:rsid w:val="00FB7C6E"/>
    <w:rsid w:val="00FB7C9B"/>
    <w:rsid w:val="00FB7CB8"/>
    <w:rsid w:val="00FB7F58"/>
    <w:rsid w:val="00FB7FA3"/>
    <w:rsid w:val="00FC00BE"/>
    <w:rsid w:val="00FC00E2"/>
    <w:rsid w:val="00FC0387"/>
    <w:rsid w:val="00FC06D7"/>
    <w:rsid w:val="00FC078E"/>
    <w:rsid w:val="00FC08A2"/>
    <w:rsid w:val="00FC095D"/>
    <w:rsid w:val="00FC0961"/>
    <w:rsid w:val="00FC0AB3"/>
    <w:rsid w:val="00FC0E13"/>
    <w:rsid w:val="00FC0E83"/>
    <w:rsid w:val="00FC1174"/>
    <w:rsid w:val="00FC148B"/>
    <w:rsid w:val="00FC15E6"/>
    <w:rsid w:val="00FC164B"/>
    <w:rsid w:val="00FC173F"/>
    <w:rsid w:val="00FC17E0"/>
    <w:rsid w:val="00FC181D"/>
    <w:rsid w:val="00FC197B"/>
    <w:rsid w:val="00FC1B66"/>
    <w:rsid w:val="00FC1E7F"/>
    <w:rsid w:val="00FC1E9A"/>
    <w:rsid w:val="00FC1FCC"/>
    <w:rsid w:val="00FC200B"/>
    <w:rsid w:val="00FC2106"/>
    <w:rsid w:val="00FC25E0"/>
    <w:rsid w:val="00FC2604"/>
    <w:rsid w:val="00FC26F5"/>
    <w:rsid w:val="00FC2872"/>
    <w:rsid w:val="00FC2953"/>
    <w:rsid w:val="00FC2963"/>
    <w:rsid w:val="00FC2A4A"/>
    <w:rsid w:val="00FC2C42"/>
    <w:rsid w:val="00FC2CD3"/>
    <w:rsid w:val="00FC31B9"/>
    <w:rsid w:val="00FC3208"/>
    <w:rsid w:val="00FC3392"/>
    <w:rsid w:val="00FC3421"/>
    <w:rsid w:val="00FC3592"/>
    <w:rsid w:val="00FC3829"/>
    <w:rsid w:val="00FC3B4E"/>
    <w:rsid w:val="00FC3C2E"/>
    <w:rsid w:val="00FC3CCD"/>
    <w:rsid w:val="00FC3DBA"/>
    <w:rsid w:val="00FC3E7F"/>
    <w:rsid w:val="00FC3EA4"/>
    <w:rsid w:val="00FC3FF3"/>
    <w:rsid w:val="00FC4006"/>
    <w:rsid w:val="00FC404B"/>
    <w:rsid w:val="00FC4051"/>
    <w:rsid w:val="00FC40B1"/>
    <w:rsid w:val="00FC411C"/>
    <w:rsid w:val="00FC41F7"/>
    <w:rsid w:val="00FC420B"/>
    <w:rsid w:val="00FC4213"/>
    <w:rsid w:val="00FC422D"/>
    <w:rsid w:val="00FC428F"/>
    <w:rsid w:val="00FC43BB"/>
    <w:rsid w:val="00FC4529"/>
    <w:rsid w:val="00FC483E"/>
    <w:rsid w:val="00FC4873"/>
    <w:rsid w:val="00FC48F3"/>
    <w:rsid w:val="00FC496C"/>
    <w:rsid w:val="00FC4AC3"/>
    <w:rsid w:val="00FC4CA2"/>
    <w:rsid w:val="00FC4CE3"/>
    <w:rsid w:val="00FC4D35"/>
    <w:rsid w:val="00FC50B6"/>
    <w:rsid w:val="00FC515E"/>
    <w:rsid w:val="00FC51AF"/>
    <w:rsid w:val="00FC5229"/>
    <w:rsid w:val="00FC52A1"/>
    <w:rsid w:val="00FC52B0"/>
    <w:rsid w:val="00FC52FE"/>
    <w:rsid w:val="00FC5359"/>
    <w:rsid w:val="00FC5463"/>
    <w:rsid w:val="00FC551A"/>
    <w:rsid w:val="00FC5606"/>
    <w:rsid w:val="00FC5618"/>
    <w:rsid w:val="00FC576A"/>
    <w:rsid w:val="00FC5926"/>
    <w:rsid w:val="00FC5956"/>
    <w:rsid w:val="00FC598B"/>
    <w:rsid w:val="00FC5C14"/>
    <w:rsid w:val="00FC5CC4"/>
    <w:rsid w:val="00FC5D6C"/>
    <w:rsid w:val="00FC5DD6"/>
    <w:rsid w:val="00FC5DEB"/>
    <w:rsid w:val="00FC5DED"/>
    <w:rsid w:val="00FC5ECC"/>
    <w:rsid w:val="00FC628D"/>
    <w:rsid w:val="00FC6295"/>
    <w:rsid w:val="00FC62CE"/>
    <w:rsid w:val="00FC630A"/>
    <w:rsid w:val="00FC6512"/>
    <w:rsid w:val="00FC674B"/>
    <w:rsid w:val="00FC68CE"/>
    <w:rsid w:val="00FC6999"/>
    <w:rsid w:val="00FC6A7A"/>
    <w:rsid w:val="00FC6B56"/>
    <w:rsid w:val="00FC6E68"/>
    <w:rsid w:val="00FC6E7D"/>
    <w:rsid w:val="00FC6F07"/>
    <w:rsid w:val="00FC7068"/>
    <w:rsid w:val="00FC7238"/>
    <w:rsid w:val="00FC72D6"/>
    <w:rsid w:val="00FC76F0"/>
    <w:rsid w:val="00FC772D"/>
    <w:rsid w:val="00FC782A"/>
    <w:rsid w:val="00FC7986"/>
    <w:rsid w:val="00FC7A42"/>
    <w:rsid w:val="00FC7B23"/>
    <w:rsid w:val="00FC7F12"/>
    <w:rsid w:val="00FC7F47"/>
    <w:rsid w:val="00FD00E5"/>
    <w:rsid w:val="00FD021D"/>
    <w:rsid w:val="00FD02D8"/>
    <w:rsid w:val="00FD0379"/>
    <w:rsid w:val="00FD04A9"/>
    <w:rsid w:val="00FD04FE"/>
    <w:rsid w:val="00FD050C"/>
    <w:rsid w:val="00FD053A"/>
    <w:rsid w:val="00FD0564"/>
    <w:rsid w:val="00FD0712"/>
    <w:rsid w:val="00FD0899"/>
    <w:rsid w:val="00FD090B"/>
    <w:rsid w:val="00FD090C"/>
    <w:rsid w:val="00FD094A"/>
    <w:rsid w:val="00FD09E9"/>
    <w:rsid w:val="00FD0C20"/>
    <w:rsid w:val="00FD0D3F"/>
    <w:rsid w:val="00FD101E"/>
    <w:rsid w:val="00FD108B"/>
    <w:rsid w:val="00FD109C"/>
    <w:rsid w:val="00FD1284"/>
    <w:rsid w:val="00FD13EF"/>
    <w:rsid w:val="00FD1532"/>
    <w:rsid w:val="00FD1552"/>
    <w:rsid w:val="00FD1581"/>
    <w:rsid w:val="00FD1977"/>
    <w:rsid w:val="00FD1C96"/>
    <w:rsid w:val="00FD1CC0"/>
    <w:rsid w:val="00FD1CF2"/>
    <w:rsid w:val="00FD1DCA"/>
    <w:rsid w:val="00FD1EA4"/>
    <w:rsid w:val="00FD1F48"/>
    <w:rsid w:val="00FD21C7"/>
    <w:rsid w:val="00FD22FF"/>
    <w:rsid w:val="00FD26F4"/>
    <w:rsid w:val="00FD2763"/>
    <w:rsid w:val="00FD28F1"/>
    <w:rsid w:val="00FD29D9"/>
    <w:rsid w:val="00FD2A15"/>
    <w:rsid w:val="00FD2AD7"/>
    <w:rsid w:val="00FD2C33"/>
    <w:rsid w:val="00FD2D5E"/>
    <w:rsid w:val="00FD2E79"/>
    <w:rsid w:val="00FD2F24"/>
    <w:rsid w:val="00FD3159"/>
    <w:rsid w:val="00FD31AF"/>
    <w:rsid w:val="00FD321E"/>
    <w:rsid w:val="00FD3330"/>
    <w:rsid w:val="00FD3487"/>
    <w:rsid w:val="00FD34F1"/>
    <w:rsid w:val="00FD35AA"/>
    <w:rsid w:val="00FD376B"/>
    <w:rsid w:val="00FD37A7"/>
    <w:rsid w:val="00FD3A65"/>
    <w:rsid w:val="00FD3AF2"/>
    <w:rsid w:val="00FD3B04"/>
    <w:rsid w:val="00FD3B0B"/>
    <w:rsid w:val="00FD3B8D"/>
    <w:rsid w:val="00FD3CBC"/>
    <w:rsid w:val="00FD3D18"/>
    <w:rsid w:val="00FD3D75"/>
    <w:rsid w:val="00FD3D89"/>
    <w:rsid w:val="00FD3E85"/>
    <w:rsid w:val="00FD3FEF"/>
    <w:rsid w:val="00FD40BD"/>
    <w:rsid w:val="00FD4148"/>
    <w:rsid w:val="00FD41C7"/>
    <w:rsid w:val="00FD4275"/>
    <w:rsid w:val="00FD4282"/>
    <w:rsid w:val="00FD42B1"/>
    <w:rsid w:val="00FD435C"/>
    <w:rsid w:val="00FD43C1"/>
    <w:rsid w:val="00FD43FE"/>
    <w:rsid w:val="00FD45A7"/>
    <w:rsid w:val="00FD46BA"/>
    <w:rsid w:val="00FD476F"/>
    <w:rsid w:val="00FD47D8"/>
    <w:rsid w:val="00FD481D"/>
    <w:rsid w:val="00FD49A2"/>
    <w:rsid w:val="00FD49F4"/>
    <w:rsid w:val="00FD4BDD"/>
    <w:rsid w:val="00FD4E96"/>
    <w:rsid w:val="00FD4F13"/>
    <w:rsid w:val="00FD4F36"/>
    <w:rsid w:val="00FD4FFA"/>
    <w:rsid w:val="00FD5281"/>
    <w:rsid w:val="00FD5381"/>
    <w:rsid w:val="00FD53FB"/>
    <w:rsid w:val="00FD540C"/>
    <w:rsid w:val="00FD5971"/>
    <w:rsid w:val="00FD5A9A"/>
    <w:rsid w:val="00FD5BE0"/>
    <w:rsid w:val="00FD5E26"/>
    <w:rsid w:val="00FD66B2"/>
    <w:rsid w:val="00FD6724"/>
    <w:rsid w:val="00FD6897"/>
    <w:rsid w:val="00FD69C6"/>
    <w:rsid w:val="00FD6BC2"/>
    <w:rsid w:val="00FD7039"/>
    <w:rsid w:val="00FD711E"/>
    <w:rsid w:val="00FD7169"/>
    <w:rsid w:val="00FD71C8"/>
    <w:rsid w:val="00FD71E9"/>
    <w:rsid w:val="00FD741E"/>
    <w:rsid w:val="00FD7560"/>
    <w:rsid w:val="00FD7630"/>
    <w:rsid w:val="00FD76F9"/>
    <w:rsid w:val="00FD7A57"/>
    <w:rsid w:val="00FD7DBD"/>
    <w:rsid w:val="00FD7F06"/>
    <w:rsid w:val="00FE00DC"/>
    <w:rsid w:val="00FE0181"/>
    <w:rsid w:val="00FE020A"/>
    <w:rsid w:val="00FE02BE"/>
    <w:rsid w:val="00FE02C9"/>
    <w:rsid w:val="00FE02E3"/>
    <w:rsid w:val="00FE0351"/>
    <w:rsid w:val="00FE044E"/>
    <w:rsid w:val="00FE046A"/>
    <w:rsid w:val="00FE0566"/>
    <w:rsid w:val="00FE085E"/>
    <w:rsid w:val="00FE095F"/>
    <w:rsid w:val="00FE0997"/>
    <w:rsid w:val="00FE0A54"/>
    <w:rsid w:val="00FE0C54"/>
    <w:rsid w:val="00FE0CB0"/>
    <w:rsid w:val="00FE0D44"/>
    <w:rsid w:val="00FE0E71"/>
    <w:rsid w:val="00FE1291"/>
    <w:rsid w:val="00FE146E"/>
    <w:rsid w:val="00FE1563"/>
    <w:rsid w:val="00FE1655"/>
    <w:rsid w:val="00FE1685"/>
    <w:rsid w:val="00FE17C0"/>
    <w:rsid w:val="00FE1A3F"/>
    <w:rsid w:val="00FE1C51"/>
    <w:rsid w:val="00FE1C84"/>
    <w:rsid w:val="00FE1D98"/>
    <w:rsid w:val="00FE1EB5"/>
    <w:rsid w:val="00FE1FD4"/>
    <w:rsid w:val="00FE1FFE"/>
    <w:rsid w:val="00FE20A2"/>
    <w:rsid w:val="00FE2193"/>
    <w:rsid w:val="00FE22B3"/>
    <w:rsid w:val="00FE2386"/>
    <w:rsid w:val="00FE2476"/>
    <w:rsid w:val="00FE24D4"/>
    <w:rsid w:val="00FE2813"/>
    <w:rsid w:val="00FE2BC4"/>
    <w:rsid w:val="00FE3049"/>
    <w:rsid w:val="00FE30C9"/>
    <w:rsid w:val="00FE31A0"/>
    <w:rsid w:val="00FE33BD"/>
    <w:rsid w:val="00FE3872"/>
    <w:rsid w:val="00FE38AD"/>
    <w:rsid w:val="00FE3957"/>
    <w:rsid w:val="00FE399E"/>
    <w:rsid w:val="00FE3AAD"/>
    <w:rsid w:val="00FE3B3D"/>
    <w:rsid w:val="00FE3BCB"/>
    <w:rsid w:val="00FE3C45"/>
    <w:rsid w:val="00FE3D4A"/>
    <w:rsid w:val="00FE3D51"/>
    <w:rsid w:val="00FE3D60"/>
    <w:rsid w:val="00FE3DAD"/>
    <w:rsid w:val="00FE3F2C"/>
    <w:rsid w:val="00FE40FD"/>
    <w:rsid w:val="00FE4190"/>
    <w:rsid w:val="00FE4229"/>
    <w:rsid w:val="00FE42B4"/>
    <w:rsid w:val="00FE44E6"/>
    <w:rsid w:val="00FE44FB"/>
    <w:rsid w:val="00FE44FC"/>
    <w:rsid w:val="00FE452C"/>
    <w:rsid w:val="00FE4850"/>
    <w:rsid w:val="00FE489A"/>
    <w:rsid w:val="00FE4B7E"/>
    <w:rsid w:val="00FE4CF1"/>
    <w:rsid w:val="00FE4ECA"/>
    <w:rsid w:val="00FE4FC5"/>
    <w:rsid w:val="00FE517D"/>
    <w:rsid w:val="00FE5193"/>
    <w:rsid w:val="00FE5250"/>
    <w:rsid w:val="00FE5294"/>
    <w:rsid w:val="00FE53F6"/>
    <w:rsid w:val="00FE5662"/>
    <w:rsid w:val="00FE5721"/>
    <w:rsid w:val="00FE5732"/>
    <w:rsid w:val="00FE57A4"/>
    <w:rsid w:val="00FE57F4"/>
    <w:rsid w:val="00FE5A4C"/>
    <w:rsid w:val="00FE5DD4"/>
    <w:rsid w:val="00FE5E89"/>
    <w:rsid w:val="00FE5FCE"/>
    <w:rsid w:val="00FE6139"/>
    <w:rsid w:val="00FE62C0"/>
    <w:rsid w:val="00FE64CC"/>
    <w:rsid w:val="00FE65A0"/>
    <w:rsid w:val="00FE65E1"/>
    <w:rsid w:val="00FE667F"/>
    <w:rsid w:val="00FE6695"/>
    <w:rsid w:val="00FE669C"/>
    <w:rsid w:val="00FE6741"/>
    <w:rsid w:val="00FE67B1"/>
    <w:rsid w:val="00FE68B7"/>
    <w:rsid w:val="00FE6A82"/>
    <w:rsid w:val="00FE6B11"/>
    <w:rsid w:val="00FE6C83"/>
    <w:rsid w:val="00FE6CEB"/>
    <w:rsid w:val="00FE6D84"/>
    <w:rsid w:val="00FE6E9E"/>
    <w:rsid w:val="00FE700E"/>
    <w:rsid w:val="00FE7086"/>
    <w:rsid w:val="00FE70F0"/>
    <w:rsid w:val="00FE732D"/>
    <w:rsid w:val="00FE735F"/>
    <w:rsid w:val="00FE770D"/>
    <w:rsid w:val="00FE774C"/>
    <w:rsid w:val="00FE776F"/>
    <w:rsid w:val="00FE79E3"/>
    <w:rsid w:val="00FE7A29"/>
    <w:rsid w:val="00FE7B3F"/>
    <w:rsid w:val="00FE7CC4"/>
    <w:rsid w:val="00FE7E0D"/>
    <w:rsid w:val="00FE7E19"/>
    <w:rsid w:val="00FE7F96"/>
    <w:rsid w:val="00FE7FFA"/>
    <w:rsid w:val="00FF0068"/>
    <w:rsid w:val="00FF00AF"/>
    <w:rsid w:val="00FF0192"/>
    <w:rsid w:val="00FF0207"/>
    <w:rsid w:val="00FF02BA"/>
    <w:rsid w:val="00FF031C"/>
    <w:rsid w:val="00FF03F7"/>
    <w:rsid w:val="00FF03FB"/>
    <w:rsid w:val="00FF04E7"/>
    <w:rsid w:val="00FF0691"/>
    <w:rsid w:val="00FF06CE"/>
    <w:rsid w:val="00FF0710"/>
    <w:rsid w:val="00FF0737"/>
    <w:rsid w:val="00FF08AB"/>
    <w:rsid w:val="00FF094B"/>
    <w:rsid w:val="00FF0A1C"/>
    <w:rsid w:val="00FF0ADB"/>
    <w:rsid w:val="00FF0C07"/>
    <w:rsid w:val="00FF0E08"/>
    <w:rsid w:val="00FF0EE7"/>
    <w:rsid w:val="00FF0F71"/>
    <w:rsid w:val="00FF105C"/>
    <w:rsid w:val="00FF114D"/>
    <w:rsid w:val="00FF133B"/>
    <w:rsid w:val="00FF1357"/>
    <w:rsid w:val="00FF13D7"/>
    <w:rsid w:val="00FF1502"/>
    <w:rsid w:val="00FF15AF"/>
    <w:rsid w:val="00FF195D"/>
    <w:rsid w:val="00FF1996"/>
    <w:rsid w:val="00FF1D4A"/>
    <w:rsid w:val="00FF1DC6"/>
    <w:rsid w:val="00FF1E03"/>
    <w:rsid w:val="00FF1EBA"/>
    <w:rsid w:val="00FF1F57"/>
    <w:rsid w:val="00FF1FD3"/>
    <w:rsid w:val="00FF206F"/>
    <w:rsid w:val="00FF2185"/>
    <w:rsid w:val="00FF21A0"/>
    <w:rsid w:val="00FF227B"/>
    <w:rsid w:val="00FF2335"/>
    <w:rsid w:val="00FF23DD"/>
    <w:rsid w:val="00FF2753"/>
    <w:rsid w:val="00FF2818"/>
    <w:rsid w:val="00FF2876"/>
    <w:rsid w:val="00FF28A6"/>
    <w:rsid w:val="00FF28CC"/>
    <w:rsid w:val="00FF294F"/>
    <w:rsid w:val="00FF2A5B"/>
    <w:rsid w:val="00FF2A85"/>
    <w:rsid w:val="00FF2B2F"/>
    <w:rsid w:val="00FF2C19"/>
    <w:rsid w:val="00FF2CB0"/>
    <w:rsid w:val="00FF2D50"/>
    <w:rsid w:val="00FF2E20"/>
    <w:rsid w:val="00FF333E"/>
    <w:rsid w:val="00FF3387"/>
    <w:rsid w:val="00FF357D"/>
    <w:rsid w:val="00FF3619"/>
    <w:rsid w:val="00FF3745"/>
    <w:rsid w:val="00FF375D"/>
    <w:rsid w:val="00FF37CB"/>
    <w:rsid w:val="00FF3868"/>
    <w:rsid w:val="00FF3954"/>
    <w:rsid w:val="00FF3AE0"/>
    <w:rsid w:val="00FF3E1C"/>
    <w:rsid w:val="00FF3E36"/>
    <w:rsid w:val="00FF405B"/>
    <w:rsid w:val="00FF4123"/>
    <w:rsid w:val="00FF41F3"/>
    <w:rsid w:val="00FF43FD"/>
    <w:rsid w:val="00FF4818"/>
    <w:rsid w:val="00FF485E"/>
    <w:rsid w:val="00FF4933"/>
    <w:rsid w:val="00FF49A5"/>
    <w:rsid w:val="00FF4E4C"/>
    <w:rsid w:val="00FF4F08"/>
    <w:rsid w:val="00FF4F57"/>
    <w:rsid w:val="00FF5079"/>
    <w:rsid w:val="00FF50E8"/>
    <w:rsid w:val="00FF5311"/>
    <w:rsid w:val="00FF55F0"/>
    <w:rsid w:val="00FF561D"/>
    <w:rsid w:val="00FF5658"/>
    <w:rsid w:val="00FF575D"/>
    <w:rsid w:val="00FF5F43"/>
    <w:rsid w:val="00FF6328"/>
    <w:rsid w:val="00FF6385"/>
    <w:rsid w:val="00FF63F3"/>
    <w:rsid w:val="00FF66E0"/>
    <w:rsid w:val="00FF6730"/>
    <w:rsid w:val="00FF6C04"/>
    <w:rsid w:val="00FF6C0F"/>
    <w:rsid w:val="00FF6F63"/>
    <w:rsid w:val="00FF703B"/>
    <w:rsid w:val="00FF7151"/>
    <w:rsid w:val="00FF7313"/>
    <w:rsid w:val="00FF74B3"/>
    <w:rsid w:val="00FF769E"/>
    <w:rsid w:val="00FF7716"/>
    <w:rsid w:val="00FF7899"/>
    <w:rsid w:val="00FF79AD"/>
    <w:rsid w:val="00FF79B0"/>
    <w:rsid w:val="00FF7B08"/>
    <w:rsid w:val="00FF7C3B"/>
    <w:rsid w:val="00FF7CD3"/>
    <w:rsid w:val="00FF7E84"/>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23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F03E5"/>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FB3881"/>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uiPriority w:val="9"/>
    <w:rsid w:val="00092C5B"/>
    <w:pPr>
      <w:keepNext/>
      <w:spacing w:before="120"/>
      <w:outlineLvl w:val="1"/>
    </w:pPr>
    <w:rPr>
      <w:b/>
      <w:noProof/>
      <w:szCs w:val="24"/>
    </w:rPr>
  </w:style>
  <w:style w:type="paragraph" w:styleId="Heading3">
    <w:name w:val="heading 3"/>
    <w:basedOn w:val="Normal"/>
    <w:next w:val="Normal"/>
    <w:link w:val="Heading3Char"/>
    <w:qFormat/>
    <w:rsid w:val="009C11DF"/>
    <w:pPr>
      <w:keepNext/>
      <w:spacing w:before="120"/>
      <w:outlineLvl w:val="2"/>
    </w:pPr>
    <w:rPr>
      <w:rFonts w:cs="Arial"/>
      <w:b/>
      <w:bCs/>
      <w:i/>
      <w:noProof/>
      <w:sz w:val="18"/>
      <w14:numForm w14:val="default"/>
      <w14:numSpacing w14:val="default"/>
    </w:rPr>
  </w:style>
  <w:style w:type="paragraph" w:styleId="Heading4">
    <w:name w:val="heading 4"/>
    <w:basedOn w:val="Normal"/>
    <w:next w:val="Normal"/>
    <w:rsid w:val="00FE1A3F"/>
    <w:pPr>
      <w:keepNext/>
      <w:spacing w:before="120"/>
      <w:outlineLvl w:val="3"/>
    </w:pPr>
    <w:rPr>
      <w:rFonts w:ascii="Arial" w:hAnsi="Arial"/>
      <w:bCs/>
      <w:i/>
      <w:szCs w:val="28"/>
    </w:rPr>
  </w:style>
  <w:style w:type="paragraph" w:styleId="Heading5">
    <w:name w:val="heading 5"/>
    <w:basedOn w:val="Normal"/>
    <w:next w:val="Normal"/>
    <w:link w:val="Heading5Char"/>
    <w:semiHidden/>
    <w:unhideWhenUsed/>
    <w:qFormat/>
    <w:rsid w:val="00FB3881"/>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FB3881"/>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FB3881"/>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FB3881"/>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B3881"/>
    <w:rPr>
      <w:rFonts w:ascii="Cambria" w:hAnsi="Cambria" w:cs="Arial"/>
      <w:b/>
      <w:bCs/>
      <w:noProof/>
      <w:kern w:val="32"/>
      <w:sz w:val="24"/>
      <w:szCs w:val="24"/>
    </w:rPr>
  </w:style>
  <w:style w:type="character" w:customStyle="1" w:styleId="Heading2Char">
    <w:name w:val="Heading 2 Char"/>
    <w:basedOn w:val="DefaultParagraphFont"/>
    <w:link w:val="Heading2"/>
    <w:uiPriority w:val="9"/>
    <w:rsid w:val="00092C5B"/>
    <w:rPr>
      <w:rFonts w:ascii="Cambria" w:hAnsi="Cambria"/>
      <w:b/>
      <w:noProof/>
      <w:szCs w:val="24"/>
      <w14:numForm w14:val="oldStyle"/>
      <w14:numSpacing w14:val="proportional"/>
    </w:rPr>
  </w:style>
  <w:style w:type="character" w:customStyle="1" w:styleId="Heading3Char">
    <w:name w:val="Heading 3 Char"/>
    <w:link w:val="Heading3"/>
    <w:rsid w:val="009C11DF"/>
    <w:rPr>
      <w:rFonts w:ascii="Cambria" w:hAnsi="Cambria" w:cs="Arial"/>
      <w:b/>
      <w:bCs/>
      <w:i/>
      <w:noProof/>
      <w:sz w:val="18"/>
    </w:rPr>
  </w:style>
  <w:style w:type="paragraph" w:customStyle="1" w:styleId="Myhead">
    <w:name w:val="Myhead"/>
    <w:basedOn w:val="Normal"/>
    <w:rsid w:val="00E11C3A"/>
    <w:pPr>
      <w:keepNext/>
      <w:keepLines/>
      <w:spacing w:before="120"/>
    </w:pPr>
    <w:rPr>
      <w:b/>
    </w:rPr>
  </w:style>
  <w:style w:type="paragraph" w:styleId="CommentText">
    <w:name w:val="annotation text"/>
    <w:basedOn w:val="Normal"/>
    <w:link w:val="CommentTextChar"/>
    <w:uiPriority w:val="99"/>
    <w:rsid w:val="00077744"/>
  </w:style>
  <w:style w:type="character" w:customStyle="1" w:styleId="CommentTextChar">
    <w:name w:val="Comment Text Char"/>
    <w:link w:val="CommentText"/>
    <w:uiPriority w:val="99"/>
    <w:rsid w:val="006F50F2"/>
    <w:rPr>
      <w:lang w:val="en-GB"/>
    </w:rPr>
  </w:style>
  <w:style w:type="character" w:styleId="FootnoteReference">
    <w:name w:val="footnote reference"/>
    <w:rsid w:val="000008C6"/>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A1321F"/>
    <w:pPr>
      <w:keepLines/>
      <w:kinsoku/>
      <w:overflowPunct/>
      <w:ind w:left="284" w:hanging="284"/>
      <w:jc w:val="both"/>
      <w:textAlignment w:val="auto"/>
    </w:pPr>
    <w:rPr>
      <w:rFonts w:eastAsia="PMingLiU"/>
      <w:iCs/>
      <w:kern w:val="20"/>
      <w:sz w:val="18"/>
      <w:szCs w:val="18"/>
      <w:lang w:eastAsia="en-US"/>
    </w:rPr>
  </w:style>
  <w:style w:type="character" w:customStyle="1" w:styleId="FootnoteTextChar">
    <w:name w:val="Footnote Text Char"/>
    <w:link w:val="FootnoteText"/>
    <w:locked/>
    <w:rsid w:val="00A1321F"/>
    <w:rPr>
      <w:rFonts w:ascii="Cambria" w:eastAsia="PMingLiU" w:hAnsi="Cambria"/>
      <w:iCs/>
      <w:kern w:val="20"/>
      <w:sz w:val="18"/>
      <w:szCs w:val="18"/>
      <w:lang w:eastAsia="en-US"/>
      <w14:numForm w14:val="oldStyle"/>
      <w14:numSpacing w14:val="proportional"/>
    </w:rPr>
  </w:style>
  <w:style w:type="paragraph" w:customStyle="1" w:styleId="Reference">
    <w:name w:val="Reference"/>
    <w:basedOn w:val="Text"/>
    <w:rsid w:val="009A755F"/>
    <w:pPr>
      <w:spacing w:before="0"/>
      <w:ind w:left="425" w:hanging="425"/>
    </w:pPr>
  </w:style>
  <w:style w:type="paragraph" w:customStyle="1" w:styleId="Text">
    <w:name w:val="Text"/>
    <w:basedOn w:val="Normal"/>
    <w:link w:val="TextChar"/>
    <w:qFormat/>
    <w:rsid w:val="00366E0A"/>
    <w:pPr>
      <w:suppressAutoHyphens/>
      <w:overflowPunct/>
      <w:spacing w:before="120"/>
      <w:ind w:firstLine="284"/>
      <w:jc w:val="both"/>
      <w:textAlignment w:val="auto"/>
    </w:pPr>
    <w:rPr>
      <w:sz w:val="18"/>
    </w:rPr>
  </w:style>
  <w:style w:type="paragraph" w:styleId="TOC1">
    <w:name w:val="toc 1"/>
    <w:basedOn w:val="Normal"/>
    <w:next w:val="Normal"/>
    <w:autoRedefine/>
    <w:uiPriority w:val="39"/>
    <w:rsid w:val="00112B76"/>
    <w:pPr>
      <w:widowControl/>
      <w:tabs>
        <w:tab w:val="right" w:leader="dot" w:pos="3005"/>
        <w:tab w:val="right" w:pos="3402"/>
      </w:tabs>
      <w:spacing w:before="60"/>
    </w:pPr>
    <w:rPr>
      <w:sz w:val="18"/>
      <w:szCs w:val="22"/>
      <w14:numSpacing w14:val="tabular"/>
    </w:rPr>
  </w:style>
  <w:style w:type="paragraph" w:styleId="TOC2">
    <w:name w:val="toc 2"/>
    <w:basedOn w:val="Normal"/>
    <w:next w:val="Normal"/>
    <w:autoRedefine/>
    <w:uiPriority w:val="39"/>
    <w:rsid w:val="002D18CB"/>
    <w:pPr>
      <w:widowControl/>
      <w:tabs>
        <w:tab w:val="right" w:leader="dot" w:pos="3005"/>
        <w:tab w:val="right" w:pos="3402"/>
      </w:tabs>
      <w:ind w:left="340"/>
    </w:pPr>
    <w:rPr>
      <w:i/>
      <w:sz w:val="18"/>
      <w:szCs w:val="22"/>
      <w14:numSpacing w14:val="tabular"/>
    </w:rPr>
  </w:style>
  <w:style w:type="paragraph" w:styleId="TOC3">
    <w:name w:val="toc 3"/>
    <w:basedOn w:val="Normal"/>
    <w:next w:val="Normal"/>
    <w:autoRedefine/>
    <w:uiPriority w:val="39"/>
    <w:rsid w:val="003F700B"/>
    <w:pPr>
      <w:tabs>
        <w:tab w:val="left" w:leader="dot" w:pos="3005"/>
        <w:tab w:val="right" w:pos="3392"/>
      </w:tabs>
    </w:pPr>
    <w:rPr>
      <w:b/>
      <w:sz w:val="18"/>
    </w:rPr>
  </w:style>
  <w:style w:type="paragraph" w:styleId="TOC4">
    <w:name w:val="toc 4"/>
    <w:basedOn w:val="Normal"/>
    <w:next w:val="Normal"/>
    <w:semiHidden/>
    <w:rsid w:val="00077744"/>
    <w:pPr>
      <w:tabs>
        <w:tab w:val="right" w:leader="dot" w:pos="7474"/>
      </w:tabs>
      <w:ind w:left="1276"/>
    </w:pPr>
  </w:style>
  <w:style w:type="paragraph" w:styleId="EndnoteText">
    <w:name w:val="endnote text"/>
    <w:basedOn w:val="Normal"/>
    <w:link w:val="EndnoteTextChar"/>
    <w:rsid w:val="000008C6"/>
    <w:pPr>
      <w:widowControl/>
      <w:tabs>
        <w:tab w:val="left" w:pos="284"/>
      </w:tabs>
      <w:kinsoku/>
      <w:overflowPunct/>
      <w:ind w:left="425" w:hanging="425"/>
      <w:textAlignment w:val="auto"/>
    </w:pPr>
    <w:rPr>
      <w:rFonts w:eastAsia="PMingLiU"/>
      <w:kern w:val="20"/>
      <w:sz w:val="16"/>
      <w:szCs w:val="22"/>
      <w:lang w:eastAsia="en-US"/>
    </w:rPr>
  </w:style>
  <w:style w:type="paragraph" w:customStyle="1" w:styleId="BulletText">
    <w:name w:val="Bullet Text"/>
    <w:basedOn w:val="Text"/>
    <w:qFormat/>
    <w:rsid w:val="00FB3881"/>
    <w:pPr>
      <w:ind w:left="425" w:hanging="425"/>
    </w:pPr>
  </w:style>
  <w:style w:type="paragraph" w:customStyle="1" w:styleId="Bullettextcont">
    <w:name w:val="Bullet text cont"/>
    <w:basedOn w:val="BulletText"/>
    <w:qFormat/>
    <w:rsid w:val="00FB3881"/>
    <w:pPr>
      <w:spacing w:before="0"/>
    </w:pPr>
  </w:style>
  <w:style w:type="paragraph" w:styleId="Header">
    <w:name w:val="header"/>
    <w:basedOn w:val="Normal"/>
    <w:link w:val="HeaderChar"/>
    <w:rsid w:val="002A118C"/>
    <w:pPr>
      <w:widowControl/>
      <w:kinsoku/>
      <w:overflowPunct/>
      <w:spacing w:after="120"/>
      <w:jc w:val="center"/>
      <w:textAlignment w:val="auto"/>
    </w:pPr>
    <w:rPr>
      <w:kern w:val="20"/>
      <w:sz w:val="16"/>
      <w:lang w:eastAsia="en-US"/>
    </w:rPr>
  </w:style>
  <w:style w:type="character" w:customStyle="1" w:styleId="HeaderChar">
    <w:name w:val="Header Char"/>
    <w:link w:val="Header"/>
    <w:rsid w:val="002A118C"/>
    <w:rPr>
      <w:rFonts w:ascii="Cambria" w:hAnsi="Cambria"/>
      <w:kern w:val="20"/>
      <w:sz w:val="16"/>
      <w:lang w:eastAsia="en-US"/>
      <w14:numForm w14:val="oldStyle"/>
      <w14:numSpacing w14:val="proportional"/>
    </w:rPr>
  </w:style>
  <w:style w:type="paragraph" w:customStyle="1" w:styleId="Hidden">
    <w:name w:val="Hidden"/>
    <w:basedOn w:val="Normal"/>
    <w:qFormat/>
    <w:rsid w:val="00FB3881"/>
    <w:rPr>
      <w:vanish/>
      <w:color w:val="FF0000"/>
    </w:rPr>
  </w:style>
  <w:style w:type="character" w:styleId="CommentReference">
    <w:name w:val="annotation reference"/>
    <w:rsid w:val="00356D76"/>
    <w:rPr>
      <w:sz w:val="16"/>
      <w:szCs w:val="16"/>
    </w:rPr>
  </w:style>
  <w:style w:type="paragraph" w:customStyle="1" w:styleId="Translit">
    <w:name w:val="Translit"/>
    <w:basedOn w:val="Normal"/>
    <w:link w:val="TranslitChar"/>
    <w:qFormat/>
    <w:rsid w:val="006A0123"/>
    <w:pPr>
      <w:widowControl/>
      <w:tabs>
        <w:tab w:val="left" w:pos="3260"/>
        <w:tab w:val="left" w:pos="6521"/>
      </w:tabs>
      <w:ind w:left="6521" w:hanging="6521"/>
      <w:jc w:val="both"/>
    </w:pPr>
    <w:rPr>
      <w:sz w:val="18"/>
    </w:rPr>
  </w:style>
  <w:style w:type="character" w:customStyle="1" w:styleId="TranslitChar">
    <w:name w:val="Translit Char"/>
    <w:link w:val="Translit"/>
    <w:rsid w:val="006A0123"/>
    <w:rPr>
      <w:rFonts w:ascii="Cambria" w:hAnsi="Cambria"/>
      <w:sz w:val="18"/>
      <w14:numForm w14:val="oldStyle"/>
      <w14:numSpacing w14:val="proportional"/>
    </w:rPr>
  </w:style>
  <w:style w:type="paragraph" w:styleId="Quote">
    <w:name w:val="Quote"/>
    <w:basedOn w:val="Normal"/>
    <w:next w:val="Normal"/>
    <w:link w:val="QuoteChar"/>
    <w:qFormat/>
    <w:rsid w:val="003F4F8E"/>
    <w:pPr>
      <w:spacing w:before="120"/>
      <w:ind w:left="567"/>
      <w:jc w:val="both"/>
    </w:pPr>
    <w:rPr>
      <w:rFonts w:cstheme="minorBidi"/>
      <w:iCs/>
      <w:sz w:val="18"/>
    </w:rPr>
  </w:style>
  <w:style w:type="character" w:customStyle="1" w:styleId="QuoteChar">
    <w:name w:val="Quote Char"/>
    <w:link w:val="Quote"/>
    <w:rsid w:val="003F4F8E"/>
    <w:rPr>
      <w:rFonts w:ascii="Cambria" w:hAnsi="Cambria" w:cstheme="minorBidi"/>
      <w:iCs/>
      <w:sz w:val="18"/>
      <w14:numForm w14:val="oldStyle"/>
      <w14:numSpacing w14:val="proportional"/>
    </w:rPr>
  </w:style>
  <w:style w:type="paragraph" w:customStyle="1" w:styleId="Quotects">
    <w:name w:val="Quotects"/>
    <w:basedOn w:val="Normal"/>
    <w:qFormat/>
    <w:rsid w:val="00A1321F"/>
    <w:pPr>
      <w:ind w:left="851" w:hanging="284"/>
    </w:pPr>
  </w:style>
  <w:style w:type="paragraph" w:customStyle="1" w:styleId="Address">
    <w:name w:val="Address"/>
    <w:basedOn w:val="Normal"/>
    <w:rsid w:val="009A755F"/>
    <w:pPr>
      <w:ind w:left="425" w:hanging="425"/>
      <w:jc w:val="both"/>
    </w:pPr>
  </w:style>
  <w:style w:type="paragraph" w:customStyle="1" w:styleId="Textcts">
    <w:name w:val="Textcts"/>
    <w:basedOn w:val="Text"/>
    <w:qFormat/>
    <w:rsid w:val="00FB3881"/>
    <w:pPr>
      <w:spacing w:before="0"/>
      <w:ind w:firstLine="0"/>
    </w:pPr>
    <w:rPr>
      <w:kern w:val="20"/>
    </w:rPr>
  </w:style>
  <w:style w:type="paragraph" w:customStyle="1" w:styleId="Myheadc">
    <w:name w:val="Myheadc"/>
    <w:basedOn w:val="Normal"/>
    <w:rsid w:val="00563A1D"/>
    <w:pPr>
      <w:keepNext/>
      <w:keepLines/>
      <w:spacing w:before="120"/>
      <w:jc w:val="center"/>
    </w:pPr>
    <w:rPr>
      <w:b/>
      <w:sz w:val="22"/>
    </w:rPr>
  </w:style>
  <w:style w:type="table" w:styleId="TableGrid">
    <w:name w:val="Table Grid"/>
    <w:basedOn w:val="TableNormal"/>
    <w:uiPriority w:val="59"/>
    <w:rsid w:val="009E1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BulletText"/>
    <w:link w:val="Bullet2Char"/>
    <w:qFormat/>
    <w:rsid w:val="00FB3881"/>
    <w:pPr>
      <w:ind w:left="709"/>
    </w:pPr>
    <w:rPr>
      <w14:numSpacing w14:val="default"/>
    </w:rPr>
  </w:style>
  <w:style w:type="character" w:customStyle="1" w:styleId="Bullet2Char">
    <w:name w:val="Bullet2 Char"/>
    <w:basedOn w:val="DefaultParagraphFont"/>
    <w:link w:val="Bullet2"/>
    <w:rsid w:val="00FB3881"/>
    <w:rPr>
      <w:rFonts w:ascii="Cambria" w:hAnsi="Cambria"/>
      <w14:numForm w14:val="oldStyle"/>
    </w:rPr>
  </w:style>
  <w:style w:type="paragraph" w:customStyle="1" w:styleId="Bullet2ct">
    <w:name w:val="Bullet2 ct"/>
    <w:basedOn w:val="BulletText"/>
    <w:link w:val="Bullet2ctChar"/>
    <w:qFormat/>
    <w:rsid w:val="00FB3881"/>
    <w:pPr>
      <w:spacing w:before="0"/>
      <w:ind w:left="709"/>
    </w:pPr>
    <w:rPr>
      <w14:numSpacing w14:val="default"/>
    </w:rPr>
  </w:style>
  <w:style w:type="character" w:customStyle="1" w:styleId="Bullet2ctChar">
    <w:name w:val="Bullet2 ct Char"/>
    <w:basedOn w:val="DefaultParagraphFont"/>
    <w:link w:val="Bullet2ct"/>
    <w:rsid w:val="00FB3881"/>
    <w:rPr>
      <w:rFonts w:ascii="Cambria" w:hAnsi="Cambria"/>
      <w14:numForm w14:val="oldStyle"/>
    </w:rPr>
  </w:style>
  <w:style w:type="character" w:customStyle="1" w:styleId="Heading5Char">
    <w:name w:val="Heading 5 Char"/>
    <w:basedOn w:val="DefaultParagraphFont"/>
    <w:link w:val="Heading5"/>
    <w:semiHidden/>
    <w:rsid w:val="00FB3881"/>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FB3881"/>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FB3881"/>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FB3881"/>
    <w:rPr>
      <w:rFonts w:asciiTheme="majorHAnsi" w:eastAsiaTheme="majorEastAsia" w:hAnsiTheme="majorHAnsi" w:cstheme="majorBidi"/>
      <w:i/>
      <w:iCs/>
      <w:noProof/>
      <w:color w:val="404040" w:themeColor="text1" w:themeTint="BF"/>
    </w:rPr>
  </w:style>
  <w:style w:type="paragraph" w:styleId="Caption">
    <w:name w:val="caption"/>
    <w:basedOn w:val="Normal"/>
    <w:next w:val="Normal"/>
    <w:semiHidden/>
    <w:unhideWhenUsed/>
    <w:qFormat/>
    <w:rsid w:val="00FB3881"/>
    <w:pPr>
      <w:spacing w:after="200"/>
    </w:pPr>
    <w:rPr>
      <w:b/>
      <w:bCs/>
      <w:color w:val="4F81BD" w:themeColor="accent1"/>
      <w:sz w:val="18"/>
      <w:szCs w:val="18"/>
    </w:rPr>
  </w:style>
  <w:style w:type="character" w:styleId="PlaceholderText">
    <w:name w:val="Placeholder Text"/>
    <w:basedOn w:val="DefaultParagraphFont"/>
    <w:uiPriority w:val="99"/>
    <w:semiHidden/>
    <w:rsid w:val="00696D0A"/>
    <w:rPr>
      <w:color w:val="808080"/>
    </w:rPr>
  </w:style>
  <w:style w:type="character" w:customStyle="1" w:styleId="EndnoteTextChar">
    <w:name w:val="Endnote Text Char"/>
    <w:link w:val="EndnoteText"/>
    <w:rsid w:val="000008C6"/>
    <w:rPr>
      <w:rFonts w:ascii="Cambria" w:eastAsia="PMingLiU" w:hAnsi="Cambria"/>
      <w:kern w:val="20"/>
      <w:sz w:val="16"/>
      <w:szCs w:val="22"/>
      <w:lang w:eastAsia="en-US"/>
      <w14:numForm w14:val="oldStyle"/>
      <w14:numSpacing w14:val="proportional"/>
    </w:rPr>
  </w:style>
  <w:style w:type="character" w:customStyle="1" w:styleId="TextChar">
    <w:name w:val="Text Char"/>
    <w:basedOn w:val="DefaultParagraphFont"/>
    <w:link w:val="Text"/>
    <w:rsid w:val="00366E0A"/>
    <w:rPr>
      <w:rFonts w:ascii="Cambria" w:hAnsi="Cambria"/>
      <w:sz w:val="18"/>
      <w14:numForm w14:val="oldStyle"/>
      <w14:numSpacing w14:val="proportional"/>
    </w:rPr>
  </w:style>
  <w:style w:type="paragraph" w:styleId="CommentSubject">
    <w:name w:val="annotation subject"/>
    <w:basedOn w:val="CommentText"/>
    <w:next w:val="CommentText"/>
    <w:link w:val="CommentSubjectChar"/>
    <w:rsid w:val="00D617B2"/>
    <w:rPr>
      <w:b/>
      <w:bCs/>
    </w:rPr>
  </w:style>
  <w:style w:type="character" w:customStyle="1" w:styleId="CommentSubjectChar">
    <w:name w:val="Comment Subject Char"/>
    <w:basedOn w:val="CommentTextChar"/>
    <w:link w:val="CommentSubject"/>
    <w:rsid w:val="00D617B2"/>
    <w:rPr>
      <w:rFonts w:ascii="Cambria" w:hAnsi="Cambria"/>
      <w:b/>
      <w:bCs/>
      <w:lang w:val="en-GB"/>
      <w14:numForm w14:val="oldStyle"/>
      <w14:numSpacing w14:val="proportional"/>
    </w:rPr>
  </w:style>
  <w:style w:type="character" w:customStyle="1" w:styleId="Hashtag1">
    <w:name w:val="Hashtag1"/>
    <w:basedOn w:val="DefaultParagraphFont"/>
    <w:uiPriority w:val="99"/>
    <w:semiHidden/>
    <w:unhideWhenUsed/>
    <w:rsid w:val="00A42374"/>
    <w:rPr>
      <w:color w:val="2B579A"/>
      <w:shd w:val="clear" w:color="auto" w:fill="E1DFDD"/>
    </w:rPr>
  </w:style>
  <w:style w:type="character" w:styleId="EndnoteReference">
    <w:name w:val="endnote reference"/>
    <w:rsid w:val="00FA52DC"/>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0008C6"/>
    <w:pPr>
      <w:keepNext/>
      <w:spacing w:before="60" w:after="20"/>
      <w:ind w:left="284" w:hanging="284"/>
    </w:pPr>
    <w:rPr>
      <w:b/>
      <w:bCs/>
    </w:rPr>
  </w:style>
  <w:style w:type="character" w:customStyle="1" w:styleId="EndnoteTextHeadChar">
    <w:name w:val="Endnote Text Head Char"/>
    <w:basedOn w:val="EndnoteTextChar"/>
    <w:link w:val="EndnoteTextHead"/>
    <w:rsid w:val="000008C6"/>
    <w:rPr>
      <w:rFonts w:ascii="Cambria" w:eastAsia="PMingLiU" w:hAnsi="Cambria"/>
      <w:b/>
      <w:bCs/>
      <w:kern w:val="20"/>
      <w:sz w:val="16"/>
      <w:szCs w:val="22"/>
      <w:lang w:eastAsia="en-US"/>
      <w14:numForm w14:val="oldStyle"/>
      <w14:numSpacing w14:val="proportional"/>
    </w:rPr>
  </w:style>
  <w:style w:type="paragraph" w:styleId="HTMLPreformatted">
    <w:name w:val="HTML Preformatted"/>
    <w:basedOn w:val="Normal"/>
    <w:link w:val="HTMLPreformattedChar"/>
    <w:uiPriority w:val="99"/>
    <w:semiHidden/>
    <w:unhideWhenUsed/>
    <w:rsid w:val="00CE5A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extAlignment w:val="auto"/>
    </w:pPr>
    <w:rPr>
      <w:rFonts w:ascii="Courier New" w:eastAsia="Times New Roman" w:hAnsi="Courier New" w:cs="Courier New"/>
      <w:lang w:val="en-US" w:eastAsia="en-US"/>
      <w14:numForm w14:val="default"/>
      <w14:numSpacing w14:val="default"/>
    </w:rPr>
  </w:style>
  <w:style w:type="character" w:customStyle="1" w:styleId="HTMLPreformattedChar">
    <w:name w:val="HTML Preformatted Char"/>
    <w:basedOn w:val="DefaultParagraphFont"/>
    <w:link w:val="HTMLPreformatted"/>
    <w:uiPriority w:val="99"/>
    <w:semiHidden/>
    <w:rsid w:val="00CE5AE4"/>
    <w:rPr>
      <w:rFonts w:ascii="Courier New" w:eastAsia="Times New Roman" w:hAnsi="Courier New" w:cs="Courier New"/>
      <w:lang w:val="en-US" w:eastAsia="en-US"/>
    </w:rPr>
  </w:style>
  <w:style w:type="character" w:styleId="FollowedHyperlink">
    <w:name w:val="FollowedHyperlink"/>
    <w:basedOn w:val="DefaultParagraphFont"/>
    <w:semiHidden/>
    <w:unhideWhenUsed/>
    <w:rsid w:val="0024326A"/>
    <w:rPr>
      <w:color w:val="800080" w:themeColor="followedHyperlink"/>
      <w:u w:val="single"/>
    </w:rPr>
  </w:style>
  <w:style w:type="paragraph" w:styleId="NormalWeb">
    <w:name w:val="Normal (Web)"/>
    <w:basedOn w:val="Normal"/>
    <w:uiPriority w:val="99"/>
    <w:semiHidden/>
    <w:unhideWhenUsed/>
    <w:rsid w:val="0048279E"/>
    <w:pPr>
      <w:widowControl/>
      <w:kinsoku/>
      <w:overflowPunct/>
      <w:spacing w:before="100" w:beforeAutospacing="1" w:after="100" w:afterAutospacing="1"/>
      <w:textAlignment w:val="auto"/>
    </w:pPr>
    <w:rPr>
      <w:rFonts w:ascii="Times New Roman" w:eastAsia="Times New Roman" w:hAnsi="Times New Roman"/>
      <w:sz w:val="24"/>
      <w:szCs w:val="24"/>
      <w:lang w:val="en-US" w:eastAsia="en-US"/>
      <w14:numForm w14:val="default"/>
      <w14:numSpacing w14:val="default"/>
    </w:rPr>
  </w:style>
  <w:style w:type="paragraph" w:styleId="BalloonText">
    <w:name w:val="Balloon Text"/>
    <w:basedOn w:val="Normal"/>
    <w:link w:val="BalloonTextChar"/>
    <w:semiHidden/>
    <w:unhideWhenUsed/>
    <w:rsid w:val="00E10867"/>
    <w:rPr>
      <w:rFonts w:ascii="Tahoma" w:hAnsi="Tahoma" w:cs="Tahoma"/>
      <w:sz w:val="16"/>
      <w:szCs w:val="16"/>
    </w:rPr>
  </w:style>
  <w:style w:type="character" w:customStyle="1" w:styleId="BalloonTextChar">
    <w:name w:val="Balloon Text Char"/>
    <w:basedOn w:val="DefaultParagraphFont"/>
    <w:link w:val="BalloonText"/>
    <w:semiHidden/>
    <w:rsid w:val="00E10867"/>
    <w:rPr>
      <w:rFonts w:ascii="Tahoma" w:hAnsi="Tahoma" w:cs="Tahoma"/>
      <w:sz w:val="16"/>
      <w:szCs w:val="16"/>
      <w14:numForm w14:val="oldStyle"/>
      <w14:numSpacing w14:val="proportional"/>
    </w:rPr>
  </w:style>
  <w:style w:type="paragraph" w:styleId="Footer">
    <w:name w:val="footer"/>
    <w:basedOn w:val="Normal"/>
    <w:link w:val="FooterChar"/>
    <w:uiPriority w:val="99"/>
    <w:semiHidden/>
    <w:unhideWhenUsed/>
    <w:rsid w:val="00810F2E"/>
    <w:pPr>
      <w:tabs>
        <w:tab w:val="center" w:pos="4513"/>
        <w:tab w:val="right" w:pos="9026"/>
      </w:tabs>
    </w:pPr>
  </w:style>
  <w:style w:type="character" w:customStyle="1" w:styleId="FooterChar">
    <w:name w:val="Footer Char"/>
    <w:basedOn w:val="DefaultParagraphFont"/>
    <w:link w:val="Footer"/>
    <w:uiPriority w:val="99"/>
    <w:semiHidden/>
    <w:rsid w:val="00810F2E"/>
    <w:rPr>
      <w:rFonts w:ascii="Cambria" w:hAnsi="Cambria"/>
      <w14:numForm w14:val="oldStyle"/>
      <w14:numSpacing w14:val="proportional"/>
    </w:rPr>
  </w:style>
  <w:style w:type="paragraph" w:customStyle="1" w:styleId="Myhead3">
    <w:name w:val="Myhead3"/>
    <w:basedOn w:val="Normal"/>
    <w:rsid w:val="00431AA7"/>
    <w:pPr>
      <w:keepNext/>
      <w:widowControl/>
      <w:spacing w:before="120"/>
      <w:jc w:val="both"/>
    </w:pPr>
    <w:rPr>
      <w:rFonts w:eastAsiaTheme="minorEastAsia"/>
      <w:b/>
      <w:i/>
      <w:color w:val="000000" w:themeColor="text1"/>
      <w:sz w:val="18"/>
      <w:szCs w:val="22"/>
      <w:lang w:val="en-US"/>
    </w:rPr>
  </w:style>
  <w:style w:type="paragraph" w:customStyle="1" w:styleId="MyHead4">
    <w:name w:val="MyHead4"/>
    <w:basedOn w:val="Myhead3"/>
    <w:qFormat/>
    <w:rsid w:val="00FD1284"/>
    <w:pPr>
      <w:keepNext w:val="0"/>
      <w:widowControl w:val="0"/>
    </w:pPr>
    <w:rPr>
      <w:b w:val="0"/>
      <w:color w:val="auto"/>
      <w:szCs w:val="24"/>
      <w:lang w:eastAsia="en-AU"/>
    </w:rPr>
  </w:style>
  <w:style w:type="character" w:customStyle="1" w:styleId="latitude">
    <w:name w:val="latitude"/>
    <w:basedOn w:val="DefaultParagraphFont"/>
    <w:rsid w:val="002016C0"/>
  </w:style>
  <w:style w:type="character" w:customStyle="1" w:styleId="longitude">
    <w:name w:val="longitude"/>
    <w:basedOn w:val="DefaultParagraphFont"/>
    <w:rsid w:val="002016C0"/>
  </w:style>
  <w:style w:type="character" w:styleId="Hyperlink">
    <w:name w:val="Hyperlink"/>
    <w:basedOn w:val="DefaultParagraphFont"/>
    <w:uiPriority w:val="99"/>
    <w:semiHidden/>
    <w:unhideWhenUsed/>
    <w:rsid w:val="00E942A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F03E5"/>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FB3881"/>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uiPriority w:val="9"/>
    <w:rsid w:val="00092C5B"/>
    <w:pPr>
      <w:keepNext/>
      <w:spacing w:before="120"/>
      <w:outlineLvl w:val="1"/>
    </w:pPr>
    <w:rPr>
      <w:b/>
      <w:noProof/>
      <w:szCs w:val="24"/>
    </w:rPr>
  </w:style>
  <w:style w:type="paragraph" w:styleId="Heading3">
    <w:name w:val="heading 3"/>
    <w:basedOn w:val="Normal"/>
    <w:next w:val="Normal"/>
    <w:link w:val="Heading3Char"/>
    <w:qFormat/>
    <w:rsid w:val="009C11DF"/>
    <w:pPr>
      <w:keepNext/>
      <w:spacing w:before="120"/>
      <w:outlineLvl w:val="2"/>
    </w:pPr>
    <w:rPr>
      <w:rFonts w:cs="Arial"/>
      <w:b/>
      <w:bCs/>
      <w:i/>
      <w:noProof/>
      <w:sz w:val="18"/>
      <w14:numForm w14:val="default"/>
      <w14:numSpacing w14:val="default"/>
    </w:rPr>
  </w:style>
  <w:style w:type="paragraph" w:styleId="Heading4">
    <w:name w:val="heading 4"/>
    <w:basedOn w:val="Normal"/>
    <w:next w:val="Normal"/>
    <w:rsid w:val="00FE1A3F"/>
    <w:pPr>
      <w:keepNext/>
      <w:spacing w:before="120"/>
      <w:outlineLvl w:val="3"/>
    </w:pPr>
    <w:rPr>
      <w:rFonts w:ascii="Arial" w:hAnsi="Arial"/>
      <w:bCs/>
      <w:i/>
      <w:szCs w:val="28"/>
    </w:rPr>
  </w:style>
  <w:style w:type="paragraph" w:styleId="Heading5">
    <w:name w:val="heading 5"/>
    <w:basedOn w:val="Normal"/>
    <w:next w:val="Normal"/>
    <w:link w:val="Heading5Char"/>
    <w:semiHidden/>
    <w:unhideWhenUsed/>
    <w:qFormat/>
    <w:rsid w:val="00FB3881"/>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FB3881"/>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FB3881"/>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FB3881"/>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B3881"/>
    <w:rPr>
      <w:rFonts w:ascii="Cambria" w:hAnsi="Cambria" w:cs="Arial"/>
      <w:b/>
      <w:bCs/>
      <w:noProof/>
      <w:kern w:val="32"/>
      <w:sz w:val="24"/>
      <w:szCs w:val="24"/>
    </w:rPr>
  </w:style>
  <w:style w:type="character" w:customStyle="1" w:styleId="Heading2Char">
    <w:name w:val="Heading 2 Char"/>
    <w:basedOn w:val="DefaultParagraphFont"/>
    <w:link w:val="Heading2"/>
    <w:uiPriority w:val="9"/>
    <w:rsid w:val="00092C5B"/>
    <w:rPr>
      <w:rFonts w:ascii="Cambria" w:hAnsi="Cambria"/>
      <w:b/>
      <w:noProof/>
      <w:szCs w:val="24"/>
      <w14:numForm w14:val="oldStyle"/>
      <w14:numSpacing w14:val="proportional"/>
    </w:rPr>
  </w:style>
  <w:style w:type="character" w:customStyle="1" w:styleId="Heading3Char">
    <w:name w:val="Heading 3 Char"/>
    <w:link w:val="Heading3"/>
    <w:rsid w:val="009C11DF"/>
    <w:rPr>
      <w:rFonts w:ascii="Cambria" w:hAnsi="Cambria" w:cs="Arial"/>
      <w:b/>
      <w:bCs/>
      <w:i/>
      <w:noProof/>
      <w:sz w:val="18"/>
    </w:rPr>
  </w:style>
  <w:style w:type="paragraph" w:customStyle="1" w:styleId="Myhead">
    <w:name w:val="Myhead"/>
    <w:basedOn w:val="Normal"/>
    <w:rsid w:val="00E11C3A"/>
    <w:pPr>
      <w:keepNext/>
      <w:keepLines/>
      <w:spacing w:before="120"/>
    </w:pPr>
    <w:rPr>
      <w:b/>
    </w:rPr>
  </w:style>
  <w:style w:type="paragraph" w:styleId="CommentText">
    <w:name w:val="annotation text"/>
    <w:basedOn w:val="Normal"/>
    <w:link w:val="CommentTextChar"/>
    <w:uiPriority w:val="99"/>
    <w:rsid w:val="00077744"/>
  </w:style>
  <w:style w:type="character" w:customStyle="1" w:styleId="CommentTextChar">
    <w:name w:val="Comment Text Char"/>
    <w:link w:val="CommentText"/>
    <w:uiPriority w:val="99"/>
    <w:rsid w:val="006F50F2"/>
    <w:rPr>
      <w:lang w:val="en-GB"/>
    </w:rPr>
  </w:style>
  <w:style w:type="character" w:styleId="FootnoteReference">
    <w:name w:val="footnote reference"/>
    <w:rsid w:val="000008C6"/>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A1321F"/>
    <w:pPr>
      <w:keepLines/>
      <w:kinsoku/>
      <w:overflowPunct/>
      <w:ind w:left="284" w:hanging="284"/>
      <w:jc w:val="both"/>
      <w:textAlignment w:val="auto"/>
    </w:pPr>
    <w:rPr>
      <w:rFonts w:eastAsia="PMingLiU"/>
      <w:iCs/>
      <w:kern w:val="20"/>
      <w:sz w:val="18"/>
      <w:szCs w:val="18"/>
      <w:lang w:eastAsia="en-US"/>
    </w:rPr>
  </w:style>
  <w:style w:type="character" w:customStyle="1" w:styleId="FootnoteTextChar">
    <w:name w:val="Footnote Text Char"/>
    <w:link w:val="FootnoteText"/>
    <w:locked/>
    <w:rsid w:val="00A1321F"/>
    <w:rPr>
      <w:rFonts w:ascii="Cambria" w:eastAsia="PMingLiU" w:hAnsi="Cambria"/>
      <w:iCs/>
      <w:kern w:val="20"/>
      <w:sz w:val="18"/>
      <w:szCs w:val="18"/>
      <w:lang w:eastAsia="en-US"/>
      <w14:numForm w14:val="oldStyle"/>
      <w14:numSpacing w14:val="proportional"/>
    </w:rPr>
  </w:style>
  <w:style w:type="paragraph" w:customStyle="1" w:styleId="Reference">
    <w:name w:val="Reference"/>
    <w:basedOn w:val="Text"/>
    <w:rsid w:val="009A755F"/>
    <w:pPr>
      <w:spacing w:before="0"/>
      <w:ind w:left="425" w:hanging="425"/>
    </w:pPr>
  </w:style>
  <w:style w:type="paragraph" w:customStyle="1" w:styleId="Text">
    <w:name w:val="Text"/>
    <w:basedOn w:val="Normal"/>
    <w:link w:val="TextChar"/>
    <w:qFormat/>
    <w:rsid w:val="00366E0A"/>
    <w:pPr>
      <w:suppressAutoHyphens/>
      <w:overflowPunct/>
      <w:spacing w:before="120"/>
      <w:ind w:firstLine="284"/>
      <w:jc w:val="both"/>
      <w:textAlignment w:val="auto"/>
    </w:pPr>
    <w:rPr>
      <w:sz w:val="18"/>
    </w:rPr>
  </w:style>
  <w:style w:type="paragraph" w:styleId="TOC1">
    <w:name w:val="toc 1"/>
    <w:basedOn w:val="Normal"/>
    <w:next w:val="Normal"/>
    <w:autoRedefine/>
    <w:uiPriority w:val="39"/>
    <w:rsid w:val="00112B76"/>
    <w:pPr>
      <w:widowControl/>
      <w:tabs>
        <w:tab w:val="right" w:leader="dot" w:pos="3005"/>
        <w:tab w:val="right" w:pos="3402"/>
      </w:tabs>
      <w:spacing w:before="60"/>
    </w:pPr>
    <w:rPr>
      <w:sz w:val="18"/>
      <w:szCs w:val="22"/>
      <w14:numSpacing w14:val="tabular"/>
    </w:rPr>
  </w:style>
  <w:style w:type="paragraph" w:styleId="TOC2">
    <w:name w:val="toc 2"/>
    <w:basedOn w:val="Normal"/>
    <w:next w:val="Normal"/>
    <w:autoRedefine/>
    <w:uiPriority w:val="39"/>
    <w:rsid w:val="002D18CB"/>
    <w:pPr>
      <w:widowControl/>
      <w:tabs>
        <w:tab w:val="right" w:leader="dot" w:pos="3005"/>
        <w:tab w:val="right" w:pos="3402"/>
      </w:tabs>
      <w:ind w:left="340"/>
    </w:pPr>
    <w:rPr>
      <w:i/>
      <w:sz w:val="18"/>
      <w:szCs w:val="22"/>
      <w14:numSpacing w14:val="tabular"/>
    </w:rPr>
  </w:style>
  <w:style w:type="paragraph" w:styleId="TOC3">
    <w:name w:val="toc 3"/>
    <w:basedOn w:val="Normal"/>
    <w:next w:val="Normal"/>
    <w:autoRedefine/>
    <w:uiPriority w:val="39"/>
    <w:rsid w:val="003F700B"/>
    <w:pPr>
      <w:tabs>
        <w:tab w:val="left" w:leader="dot" w:pos="3005"/>
        <w:tab w:val="right" w:pos="3392"/>
      </w:tabs>
    </w:pPr>
    <w:rPr>
      <w:b/>
      <w:sz w:val="18"/>
    </w:rPr>
  </w:style>
  <w:style w:type="paragraph" w:styleId="TOC4">
    <w:name w:val="toc 4"/>
    <w:basedOn w:val="Normal"/>
    <w:next w:val="Normal"/>
    <w:semiHidden/>
    <w:rsid w:val="00077744"/>
    <w:pPr>
      <w:tabs>
        <w:tab w:val="right" w:leader="dot" w:pos="7474"/>
      </w:tabs>
      <w:ind w:left="1276"/>
    </w:pPr>
  </w:style>
  <w:style w:type="paragraph" w:styleId="EndnoteText">
    <w:name w:val="endnote text"/>
    <w:basedOn w:val="Normal"/>
    <w:link w:val="EndnoteTextChar"/>
    <w:rsid w:val="000008C6"/>
    <w:pPr>
      <w:widowControl/>
      <w:tabs>
        <w:tab w:val="left" w:pos="284"/>
      </w:tabs>
      <w:kinsoku/>
      <w:overflowPunct/>
      <w:ind w:left="425" w:hanging="425"/>
      <w:textAlignment w:val="auto"/>
    </w:pPr>
    <w:rPr>
      <w:rFonts w:eastAsia="PMingLiU"/>
      <w:kern w:val="20"/>
      <w:sz w:val="16"/>
      <w:szCs w:val="22"/>
      <w:lang w:eastAsia="en-US"/>
    </w:rPr>
  </w:style>
  <w:style w:type="paragraph" w:customStyle="1" w:styleId="BulletText">
    <w:name w:val="Bullet Text"/>
    <w:basedOn w:val="Text"/>
    <w:qFormat/>
    <w:rsid w:val="00FB3881"/>
    <w:pPr>
      <w:ind w:left="425" w:hanging="425"/>
    </w:pPr>
  </w:style>
  <w:style w:type="paragraph" w:customStyle="1" w:styleId="Bullettextcont">
    <w:name w:val="Bullet text cont"/>
    <w:basedOn w:val="BulletText"/>
    <w:qFormat/>
    <w:rsid w:val="00FB3881"/>
    <w:pPr>
      <w:spacing w:before="0"/>
    </w:pPr>
  </w:style>
  <w:style w:type="paragraph" w:styleId="Header">
    <w:name w:val="header"/>
    <w:basedOn w:val="Normal"/>
    <w:link w:val="HeaderChar"/>
    <w:rsid w:val="002A118C"/>
    <w:pPr>
      <w:widowControl/>
      <w:kinsoku/>
      <w:overflowPunct/>
      <w:spacing w:after="120"/>
      <w:jc w:val="center"/>
      <w:textAlignment w:val="auto"/>
    </w:pPr>
    <w:rPr>
      <w:kern w:val="20"/>
      <w:sz w:val="16"/>
      <w:lang w:eastAsia="en-US"/>
    </w:rPr>
  </w:style>
  <w:style w:type="character" w:customStyle="1" w:styleId="HeaderChar">
    <w:name w:val="Header Char"/>
    <w:link w:val="Header"/>
    <w:rsid w:val="002A118C"/>
    <w:rPr>
      <w:rFonts w:ascii="Cambria" w:hAnsi="Cambria"/>
      <w:kern w:val="20"/>
      <w:sz w:val="16"/>
      <w:lang w:eastAsia="en-US"/>
      <w14:numForm w14:val="oldStyle"/>
      <w14:numSpacing w14:val="proportional"/>
    </w:rPr>
  </w:style>
  <w:style w:type="paragraph" w:customStyle="1" w:styleId="Hidden">
    <w:name w:val="Hidden"/>
    <w:basedOn w:val="Normal"/>
    <w:qFormat/>
    <w:rsid w:val="00FB3881"/>
    <w:rPr>
      <w:vanish/>
      <w:color w:val="FF0000"/>
    </w:rPr>
  </w:style>
  <w:style w:type="character" w:styleId="CommentReference">
    <w:name w:val="annotation reference"/>
    <w:rsid w:val="00356D76"/>
    <w:rPr>
      <w:sz w:val="16"/>
      <w:szCs w:val="16"/>
    </w:rPr>
  </w:style>
  <w:style w:type="paragraph" w:customStyle="1" w:styleId="Translit">
    <w:name w:val="Translit"/>
    <w:basedOn w:val="Normal"/>
    <w:link w:val="TranslitChar"/>
    <w:qFormat/>
    <w:rsid w:val="006A0123"/>
    <w:pPr>
      <w:widowControl/>
      <w:tabs>
        <w:tab w:val="left" w:pos="3260"/>
        <w:tab w:val="left" w:pos="6521"/>
      </w:tabs>
      <w:ind w:left="6521" w:hanging="6521"/>
      <w:jc w:val="both"/>
    </w:pPr>
    <w:rPr>
      <w:sz w:val="18"/>
    </w:rPr>
  </w:style>
  <w:style w:type="character" w:customStyle="1" w:styleId="TranslitChar">
    <w:name w:val="Translit Char"/>
    <w:link w:val="Translit"/>
    <w:rsid w:val="006A0123"/>
    <w:rPr>
      <w:rFonts w:ascii="Cambria" w:hAnsi="Cambria"/>
      <w:sz w:val="18"/>
      <w14:numForm w14:val="oldStyle"/>
      <w14:numSpacing w14:val="proportional"/>
    </w:rPr>
  </w:style>
  <w:style w:type="paragraph" w:styleId="Quote">
    <w:name w:val="Quote"/>
    <w:basedOn w:val="Normal"/>
    <w:next w:val="Normal"/>
    <w:link w:val="QuoteChar"/>
    <w:qFormat/>
    <w:rsid w:val="003F4F8E"/>
    <w:pPr>
      <w:spacing w:before="120"/>
      <w:ind w:left="567"/>
      <w:jc w:val="both"/>
    </w:pPr>
    <w:rPr>
      <w:rFonts w:cstheme="minorBidi"/>
      <w:iCs/>
      <w:sz w:val="18"/>
    </w:rPr>
  </w:style>
  <w:style w:type="character" w:customStyle="1" w:styleId="QuoteChar">
    <w:name w:val="Quote Char"/>
    <w:link w:val="Quote"/>
    <w:rsid w:val="003F4F8E"/>
    <w:rPr>
      <w:rFonts w:ascii="Cambria" w:hAnsi="Cambria" w:cstheme="minorBidi"/>
      <w:iCs/>
      <w:sz w:val="18"/>
      <w14:numForm w14:val="oldStyle"/>
      <w14:numSpacing w14:val="proportional"/>
    </w:rPr>
  </w:style>
  <w:style w:type="paragraph" w:customStyle="1" w:styleId="Quotects">
    <w:name w:val="Quotects"/>
    <w:basedOn w:val="Normal"/>
    <w:qFormat/>
    <w:rsid w:val="00A1321F"/>
    <w:pPr>
      <w:ind w:left="851" w:hanging="284"/>
    </w:pPr>
  </w:style>
  <w:style w:type="paragraph" w:customStyle="1" w:styleId="Address">
    <w:name w:val="Address"/>
    <w:basedOn w:val="Normal"/>
    <w:rsid w:val="009A755F"/>
    <w:pPr>
      <w:ind w:left="425" w:hanging="425"/>
      <w:jc w:val="both"/>
    </w:pPr>
  </w:style>
  <w:style w:type="paragraph" w:customStyle="1" w:styleId="Textcts">
    <w:name w:val="Textcts"/>
    <w:basedOn w:val="Text"/>
    <w:qFormat/>
    <w:rsid w:val="00FB3881"/>
    <w:pPr>
      <w:spacing w:before="0"/>
      <w:ind w:firstLine="0"/>
    </w:pPr>
    <w:rPr>
      <w:kern w:val="20"/>
    </w:rPr>
  </w:style>
  <w:style w:type="paragraph" w:customStyle="1" w:styleId="Myheadc">
    <w:name w:val="Myheadc"/>
    <w:basedOn w:val="Normal"/>
    <w:rsid w:val="00563A1D"/>
    <w:pPr>
      <w:keepNext/>
      <w:keepLines/>
      <w:spacing w:before="120"/>
      <w:jc w:val="center"/>
    </w:pPr>
    <w:rPr>
      <w:b/>
      <w:sz w:val="22"/>
    </w:rPr>
  </w:style>
  <w:style w:type="table" w:styleId="TableGrid">
    <w:name w:val="Table Grid"/>
    <w:basedOn w:val="TableNormal"/>
    <w:uiPriority w:val="59"/>
    <w:rsid w:val="009E1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BulletText"/>
    <w:link w:val="Bullet2Char"/>
    <w:qFormat/>
    <w:rsid w:val="00FB3881"/>
    <w:pPr>
      <w:ind w:left="709"/>
    </w:pPr>
    <w:rPr>
      <w14:numSpacing w14:val="default"/>
    </w:rPr>
  </w:style>
  <w:style w:type="character" w:customStyle="1" w:styleId="Bullet2Char">
    <w:name w:val="Bullet2 Char"/>
    <w:basedOn w:val="DefaultParagraphFont"/>
    <w:link w:val="Bullet2"/>
    <w:rsid w:val="00FB3881"/>
    <w:rPr>
      <w:rFonts w:ascii="Cambria" w:hAnsi="Cambria"/>
      <w14:numForm w14:val="oldStyle"/>
    </w:rPr>
  </w:style>
  <w:style w:type="paragraph" w:customStyle="1" w:styleId="Bullet2ct">
    <w:name w:val="Bullet2 ct"/>
    <w:basedOn w:val="BulletText"/>
    <w:link w:val="Bullet2ctChar"/>
    <w:qFormat/>
    <w:rsid w:val="00FB3881"/>
    <w:pPr>
      <w:spacing w:before="0"/>
      <w:ind w:left="709"/>
    </w:pPr>
    <w:rPr>
      <w14:numSpacing w14:val="default"/>
    </w:rPr>
  </w:style>
  <w:style w:type="character" w:customStyle="1" w:styleId="Bullet2ctChar">
    <w:name w:val="Bullet2 ct Char"/>
    <w:basedOn w:val="DefaultParagraphFont"/>
    <w:link w:val="Bullet2ct"/>
    <w:rsid w:val="00FB3881"/>
    <w:rPr>
      <w:rFonts w:ascii="Cambria" w:hAnsi="Cambria"/>
      <w14:numForm w14:val="oldStyle"/>
    </w:rPr>
  </w:style>
  <w:style w:type="character" w:customStyle="1" w:styleId="Heading5Char">
    <w:name w:val="Heading 5 Char"/>
    <w:basedOn w:val="DefaultParagraphFont"/>
    <w:link w:val="Heading5"/>
    <w:semiHidden/>
    <w:rsid w:val="00FB3881"/>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FB3881"/>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FB3881"/>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FB3881"/>
    <w:rPr>
      <w:rFonts w:asciiTheme="majorHAnsi" w:eastAsiaTheme="majorEastAsia" w:hAnsiTheme="majorHAnsi" w:cstheme="majorBidi"/>
      <w:i/>
      <w:iCs/>
      <w:noProof/>
      <w:color w:val="404040" w:themeColor="text1" w:themeTint="BF"/>
    </w:rPr>
  </w:style>
  <w:style w:type="paragraph" w:styleId="Caption">
    <w:name w:val="caption"/>
    <w:basedOn w:val="Normal"/>
    <w:next w:val="Normal"/>
    <w:semiHidden/>
    <w:unhideWhenUsed/>
    <w:qFormat/>
    <w:rsid w:val="00FB3881"/>
    <w:pPr>
      <w:spacing w:after="200"/>
    </w:pPr>
    <w:rPr>
      <w:b/>
      <w:bCs/>
      <w:color w:val="4F81BD" w:themeColor="accent1"/>
      <w:sz w:val="18"/>
      <w:szCs w:val="18"/>
    </w:rPr>
  </w:style>
  <w:style w:type="character" w:styleId="PlaceholderText">
    <w:name w:val="Placeholder Text"/>
    <w:basedOn w:val="DefaultParagraphFont"/>
    <w:uiPriority w:val="99"/>
    <w:semiHidden/>
    <w:rsid w:val="00696D0A"/>
    <w:rPr>
      <w:color w:val="808080"/>
    </w:rPr>
  </w:style>
  <w:style w:type="character" w:customStyle="1" w:styleId="EndnoteTextChar">
    <w:name w:val="Endnote Text Char"/>
    <w:link w:val="EndnoteText"/>
    <w:rsid w:val="000008C6"/>
    <w:rPr>
      <w:rFonts w:ascii="Cambria" w:eastAsia="PMingLiU" w:hAnsi="Cambria"/>
      <w:kern w:val="20"/>
      <w:sz w:val="16"/>
      <w:szCs w:val="22"/>
      <w:lang w:eastAsia="en-US"/>
      <w14:numForm w14:val="oldStyle"/>
      <w14:numSpacing w14:val="proportional"/>
    </w:rPr>
  </w:style>
  <w:style w:type="character" w:customStyle="1" w:styleId="TextChar">
    <w:name w:val="Text Char"/>
    <w:basedOn w:val="DefaultParagraphFont"/>
    <w:link w:val="Text"/>
    <w:rsid w:val="00366E0A"/>
    <w:rPr>
      <w:rFonts w:ascii="Cambria" w:hAnsi="Cambria"/>
      <w:sz w:val="18"/>
      <w14:numForm w14:val="oldStyle"/>
      <w14:numSpacing w14:val="proportional"/>
    </w:rPr>
  </w:style>
  <w:style w:type="paragraph" w:styleId="CommentSubject">
    <w:name w:val="annotation subject"/>
    <w:basedOn w:val="CommentText"/>
    <w:next w:val="CommentText"/>
    <w:link w:val="CommentSubjectChar"/>
    <w:rsid w:val="00D617B2"/>
    <w:rPr>
      <w:b/>
      <w:bCs/>
    </w:rPr>
  </w:style>
  <w:style w:type="character" w:customStyle="1" w:styleId="CommentSubjectChar">
    <w:name w:val="Comment Subject Char"/>
    <w:basedOn w:val="CommentTextChar"/>
    <w:link w:val="CommentSubject"/>
    <w:rsid w:val="00D617B2"/>
    <w:rPr>
      <w:rFonts w:ascii="Cambria" w:hAnsi="Cambria"/>
      <w:b/>
      <w:bCs/>
      <w:lang w:val="en-GB"/>
      <w14:numForm w14:val="oldStyle"/>
      <w14:numSpacing w14:val="proportional"/>
    </w:rPr>
  </w:style>
  <w:style w:type="character" w:customStyle="1" w:styleId="Hashtag1">
    <w:name w:val="Hashtag1"/>
    <w:basedOn w:val="DefaultParagraphFont"/>
    <w:uiPriority w:val="99"/>
    <w:semiHidden/>
    <w:unhideWhenUsed/>
    <w:rsid w:val="00A42374"/>
    <w:rPr>
      <w:color w:val="2B579A"/>
      <w:shd w:val="clear" w:color="auto" w:fill="E1DFDD"/>
    </w:rPr>
  </w:style>
  <w:style w:type="character" w:styleId="EndnoteReference">
    <w:name w:val="endnote reference"/>
    <w:rsid w:val="00FA52DC"/>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0008C6"/>
    <w:pPr>
      <w:keepNext/>
      <w:spacing w:before="60" w:after="20"/>
      <w:ind w:left="284" w:hanging="284"/>
    </w:pPr>
    <w:rPr>
      <w:b/>
      <w:bCs/>
    </w:rPr>
  </w:style>
  <w:style w:type="character" w:customStyle="1" w:styleId="EndnoteTextHeadChar">
    <w:name w:val="Endnote Text Head Char"/>
    <w:basedOn w:val="EndnoteTextChar"/>
    <w:link w:val="EndnoteTextHead"/>
    <w:rsid w:val="000008C6"/>
    <w:rPr>
      <w:rFonts w:ascii="Cambria" w:eastAsia="PMingLiU" w:hAnsi="Cambria"/>
      <w:b/>
      <w:bCs/>
      <w:kern w:val="20"/>
      <w:sz w:val="16"/>
      <w:szCs w:val="22"/>
      <w:lang w:eastAsia="en-US"/>
      <w14:numForm w14:val="oldStyle"/>
      <w14:numSpacing w14:val="proportional"/>
    </w:rPr>
  </w:style>
  <w:style w:type="paragraph" w:styleId="HTMLPreformatted">
    <w:name w:val="HTML Preformatted"/>
    <w:basedOn w:val="Normal"/>
    <w:link w:val="HTMLPreformattedChar"/>
    <w:uiPriority w:val="99"/>
    <w:semiHidden/>
    <w:unhideWhenUsed/>
    <w:rsid w:val="00CE5A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extAlignment w:val="auto"/>
    </w:pPr>
    <w:rPr>
      <w:rFonts w:ascii="Courier New" w:eastAsia="Times New Roman" w:hAnsi="Courier New" w:cs="Courier New"/>
      <w:lang w:val="en-US" w:eastAsia="en-US"/>
      <w14:numForm w14:val="default"/>
      <w14:numSpacing w14:val="default"/>
    </w:rPr>
  </w:style>
  <w:style w:type="character" w:customStyle="1" w:styleId="HTMLPreformattedChar">
    <w:name w:val="HTML Preformatted Char"/>
    <w:basedOn w:val="DefaultParagraphFont"/>
    <w:link w:val="HTMLPreformatted"/>
    <w:uiPriority w:val="99"/>
    <w:semiHidden/>
    <w:rsid w:val="00CE5AE4"/>
    <w:rPr>
      <w:rFonts w:ascii="Courier New" w:eastAsia="Times New Roman" w:hAnsi="Courier New" w:cs="Courier New"/>
      <w:lang w:val="en-US" w:eastAsia="en-US"/>
    </w:rPr>
  </w:style>
  <w:style w:type="character" w:styleId="FollowedHyperlink">
    <w:name w:val="FollowedHyperlink"/>
    <w:basedOn w:val="DefaultParagraphFont"/>
    <w:semiHidden/>
    <w:unhideWhenUsed/>
    <w:rsid w:val="0024326A"/>
    <w:rPr>
      <w:color w:val="800080" w:themeColor="followedHyperlink"/>
      <w:u w:val="single"/>
    </w:rPr>
  </w:style>
  <w:style w:type="paragraph" w:styleId="NormalWeb">
    <w:name w:val="Normal (Web)"/>
    <w:basedOn w:val="Normal"/>
    <w:uiPriority w:val="99"/>
    <w:semiHidden/>
    <w:unhideWhenUsed/>
    <w:rsid w:val="0048279E"/>
    <w:pPr>
      <w:widowControl/>
      <w:kinsoku/>
      <w:overflowPunct/>
      <w:spacing w:before="100" w:beforeAutospacing="1" w:after="100" w:afterAutospacing="1"/>
      <w:textAlignment w:val="auto"/>
    </w:pPr>
    <w:rPr>
      <w:rFonts w:ascii="Times New Roman" w:eastAsia="Times New Roman" w:hAnsi="Times New Roman"/>
      <w:sz w:val="24"/>
      <w:szCs w:val="24"/>
      <w:lang w:val="en-US" w:eastAsia="en-US"/>
      <w14:numForm w14:val="default"/>
      <w14:numSpacing w14:val="default"/>
    </w:rPr>
  </w:style>
  <w:style w:type="paragraph" w:styleId="BalloonText">
    <w:name w:val="Balloon Text"/>
    <w:basedOn w:val="Normal"/>
    <w:link w:val="BalloonTextChar"/>
    <w:semiHidden/>
    <w:unhideWhenUsed/>
    <w:rsid w:val="00E10867"/>
    <w:rPr>
      <w:rFonts w:ascii="Tahoma" w:hAnsi="Tahoma" w:cs="Tahoma"/>
      <w:sz w:val="16"/>
      <w:szCs w:val="16"/>
    </w:rPr>
  </w:style>
  <w:style w:type="character" w:customStyle="1" w:styleId="BalloonTextChar">
    <w:name w:val="Balloon Text Char"/>
    <w:basedOn w:val="DefaultParagraphFont"/>
    <w:link w:val="BalloonText"/>
    <w:semiHidden/>
    <w:rsid w:val="00E10867"/>
    <w:rPr>
      <w:rFonts w:ascii="Tahoma" w:hAnsi="Tahoma" w:cs="Tahoma"/>
      <w:sz w:val="16"/>
      <w:szCs w:val="16"/>
      <w14:numForm w14:val="oldStyle"/>
      <w14:numSpacing w14:val="proportional"/>
    </w:rPr>
  </w:style>
  <w:style w:type="paragraph" w:styleId="Footer">
    <w:name w:val="footer"/>
    <w:basedOn w:val="Normal"/>
    <w:link w:val="FooterChar"/>
    <w:uiPriority w:val="99"/>
    <w:semiHidden/>
    <w:unhideWhenUsed/>
    <w:rsid w:val="00810F2E"/>
    <w:pPr>
      <w:tabs>
        <w:tab w:val="center" w:pos="4513"/>
        <w:tab w:val="right" w:pos="9026"/>
      </w:tabs>
    </w:pPr>
  </w:style>
  <w:style w:type="character" w:customStyle="1" w:styleId="FooterChar">
    <w:name w:val="Footer Char"/>
    <w:basedOn w:val="DefaultParagraphFont"/>
    <w:link w:val="Footer"/>
    <w:uiPriority w:val="99"/>
    <w:semiHidden/>
    <w:rsid w:val="00810F2E"/>
    <w:rPr>
      <w:rFonts w:ascii="Cambria" w:hAnsi="Cambria"/>
      <w14:numForm w14:val="oldStyle"/>
      <w14:numSpacing w14:val="proportional"/>
    </w:rPr>
  </w:style>
  <w:style w:type="paragraph" w:customStyle="1" w:styleId="Myhead3">
    <w:name w:val="Myhead3"/>
    <w:basedOn w:val="Normal"/>
    <w:rsid w:val="00431AA7"/>
    <w:pPr>
      <w:keepNext/>
      <w:widowControl/>
      <w:spacing w:before="120"/>
      <w:jc w:val="both"/>
    </w:pPr>
    <w:rPr>
      <w:rFonts w:eastAsiaTheme="minorEastAsia"/>
      <w:b/>
      <w:i/>
      <w:color w:val="000000" w:themeColor="text1"/>
      <w:sz w:val="18"/>
      <w:szCs w:val="22"/>
      <w:lang w:val="en-US"/>
    </w:rPr>
  </w:style>
  <w:style w:type="paragraph" w:customStyle="1" w:styleId="MyHead4">
    <w:name w:val="MyHead4"/>
    <w:basedOn w:val="Myhead3"/>
    <w:qFormat/>
    <w:rsid w:val="00FD1284"/>
    <w:pPr>
      <w:keepNext w:val="0"/>
      <w:widowControl w:val="0"/>
    </w:pPr>
    <w:rPr>
      <w:b w:val="0"/>
      <w:color w:val="auto"/>
      <w:szCs w:val="24"/>
      <w:lang w:eastAsia="en-AU"/>
    </w:rPr>
  </w:style>
  <w:style w:type="character" w:customStyle="1" w:styleId="latitude">
    <w:name w:val="latitude"/>
    <w:basedOn w:val="DefaultParagraphFont"/>
    <w:rsid w:val="002016C0"/>
  </w:style>
  <w:style w:type="character" w:customStyle="1" w:styleId="longitude">
    <w:name w:val="longitude"/>
    <w:basedOn w:val="DefaultParagraphFont"/>
    <w:rsid w:val="002016C0"/>
  </w:style>
  <w:style w:type="character" w:styleId="Hyperlink">
    <w:name w:val="Hyperlink"/>
    <w:basedOn w:val="DefaultParagraphFont"/>
    <w:uiPriority w:val="99"/>
    <w:semiHidden/>
    <w:unhideWhenUsed/>
    <w:rsid w:val="00E942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967">
      <w:bodyDiv w:val="1"/>
      <w:marLeft w:val="0"/>
      <w:marRight w:val="0"/>
      <w:marTop w:val="0"/>
      <w:marBottom w:val="0"/>
      <w:divBdr>
        <w:top w:val="none" w:sz="0" w:space="0" w:color="auto"/>
        <w:left w:val="none" w:sz="0" w:space="0" w:color="auto"/>
        <w:bottom w:val="none" w:sz="0" w:space="0" w:color="auto"/>
        <w:right w:val="none" w:sz="0" w:space="0" w:color="auto"/>
      </w:divBdr>
    </w:div>
    <w:div w:id="2440559">
      <w:bodyDiv w:val="1"/>
      <w:marLeft w:val="0"/>
      <w:marRight w:val="0"/>
      <w:marTop w:val="0"/>
      <w:marBottom w:val="0"/>
      <w:divBdr>
        <w:top w:val="none" w:sz="0" w:space="0" w:color="auto"/>
        <w:left w:val="none" w:sz="0" w:space="0" w:color="auto"/>
        <w:bottom w:val="none" w:sz="0" w:space="0" w:color="auto"/>
        <w:right w:val="none" w:sz="0" w:space="0" w:color="auto"/>
      </w:divBdr>
    </w:div>
    <w:div w:id="11692254">
      <w:bodyDiv w:val="1"/>
      <w:marLeft w:val="0"/>
      <w:marRight w:val="0"/>
      <w:marTop w:val="0"/>
      <w:marBottom w:val="0"/>
      <w:divBdr>
        <w:top w:val="none" w:sz="0" w:space="0" w:color="auto"/>
        <w:left w:val="none" w:sz="0" w:space="0" w:color="auto"/>
        <w:bottom w:val="none" w:sz="0" w:space="0" w:color="auto"/>
        <w:right w:val="none" w:sz="0" w:space="0" w:color="auto"/>
      </w:divBdr>
    </w:div>
    <w:div w:id="26688541">
      <w:bodyDiv w:val="1"/>
      <w:marLeft w:val="0"/>
      <w:marRight w:val="0"/>
      <w:marTop w:val="0"/>
      <w:marBottom w:val="0"/>
      <w:divBdr>
        <w:top w:val="none" w:sz="0" w:space="0" w:color="auto"/>
        <w:left w:val="none" w:sz="0" w:space="0" w:color="auto"/>
        <w:bottom w:val="none" w:sz="0" w:space="0" w:color="auto"/>
        <w:right w:val="none" w:sz="0" w:space="0" w:color="auto"/>
      </w:divBdr>
      <w:divsChild>
        <w:div w:id="89737151">
          <w:marLeft w:val="0"/>
          <w:marRight w:val="0"/>
          <w:marTop w:val="0"/>
          <w:marBottom w:val="0"/>
          <w:divBdr>
            <w:top w:val="none" w:sz="0" w:space="0" w:color="auto"/>
            <w:left w:val="none" w:sz="0" w:space="0" w:color="auto"/>
            <w:bottom w:val="none" w:sz="0" w:space="0" w:color="auto"/>
            <w:right w:val="none" w:sz="0" w:space="0" w:color="auto"/>
          </w:divBdr>
          <w:divsChild>
            <w:div w:id="532302590">
              <w:marLeft w:val="0"/>
              <w:marRight w:val="0"/>
              <w:marTop w:val="105"/>
              <w:marBottom w:val="0"/>
              <w:divBdr>
                <w:top w:val="none" w:sz="0" w:space="0" w:color="auto"/>
                <w:left w:val="none" w:sz="0" w:space="0" w:color="auto"/>
                <w:bottom w:val="none" w:sz="0" w:space="0" w:color="auto"/>
                <w:right w:val="none" w:sz="0" w:space="0" w:color="auto"/>
              </w:divBdr>
              <w:divsChild>
                <w:div w:id="16735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2975">
          <w:marLeft w:val="0"/>
          <w:marRight w:val="0"/>
          <w:marTop w:val="0"/>
          <w:marBottom w:val="0"/>
          <w:divBdr>
            <w:top w:val="none" w:sz="0" w:space="0" w:color="auto"/>
            <w:left w:val="none" w:sz="0" w:space="0" w:color="auto"/>
            <w:bottom w:val="none" w:sz="0" w:space="0" w:color="auto"/>
            <w:right w:val="none" w:sz="0" w:space="0" w:color="auto"/>
          </w:divBdr>
          <w:divsChild>
            <w:div w:id="1401630656">
              <w:marLeft w:val="0"/>
              <w:marRight w:val="0"/>
              <w:marTop w:val="105"/>
              <w:marBottom w:val="0"/>
              <w:divBdr>
                <w:top w:val="none" w:sz="0" w:space="0" w:color="auto"/>
                <w:left w:val="none" w:sz="0" w:space="0" w:color="auto"/>
                <w:bottom w:val="none" w:sz="0" w:space="0" w:color="auto"/>
                <w:right w:val="none" w:sz="0" w:space="0" w:color="auto"/>
              </w:divBdr>
              <w:divsChild>
                <w:div w:id="2064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3311">
      <w:bodyDiv w:val="1"/>
      <w:marLeft w:val="0"/>
      <w:marRight w:val="0"/>
      <w:marTop w:val="0"/>
      <w:marBottom w:val="0"/>
      <w:divBdr>
        <w:top w:val="none" w:sz="0" w:space="0" w:color="auto"/>
        <w:left w:val="none" w:sz="0" w:space="0" w:color="auto"/>
        <w:bottom w:val="none" w:sz="0" w:space="0" w:color="auto"/>
        <w:right w:val="none" w:sz="0" w:space="0" w:color="auto"/>
      </w:divBdr>
      <w:divsChild>
        <w:div w:id="322397727">
          <w:marLeft w:val="0"/>
          <w:marRight w:val="0"/>
          <w:marTop w:val="0"/>
          <w:marBottom w:val="0"/>
          <w:divBdr>
            <w:top w:val="none" w:sz="0" w:space="0" w:color="auto"/>
            <w:left w:val="none" w:sz="0" w:space="0" w:color="auto"/>
            <w:bottom w:val="none" w:sz="0" w:space="0" w:color="auto"/>
            <w:right w:val="none" w:sz="0" w:space="0" w:color="auto"/>
          </w:divBdr>
        </w:div>
        <w:div w:id="1480074966">
          <w:marLeft w:val="0"/>
          <w:marRight w:val="0"/>
          <w:marTop w:val="0"/>
          <w:marBottom w:val="0"/>
          <w:divBdr>
            <w:top w:val="none" w:sz="0" w:space="0" w:color="auto"/>
            <w:left w:val="none" w:sz="0" w:space="0" w:color="auto"/>
            <w:bottom w:val="none" w:sz="0" w:space="0" w:color="auto"/>
            <w:right w:val="none" w:sz="0" w:space="0" w:color="auto"/>
          </w:divBdr>
        </w:div>
      </w:divsChild>
    </w:div>
    <w:div w:id="61409476">
      <w:bodyDiv w:val="1"/>
      <w:marLeft w:val="0"/>
      <w:marRight w:val="0"/>
      <w:marTop w:val="0"/>
      <w:marBottom w:val="0"/>
      <w:divBdr>
        <w:top w:val="none" w:sz="0" w:space="0" w:color="auto"/>
        <w:left w:val="none" w:sz="0" w:space="0" w:color="auto"/>
        <w:bottom w:val="none" w:sz="0" w:space="0" w:color="auto"/>
        <w:right w:val="none" w:sz="0" w:space="0" w:color="auto"/>
      </w:divBdr>
    </w:div>
    <w:div w:id="64842509">
      <w:bodyDiv w:val="1"/>
      <w:marLeft w:val="0"/>
      <w:marRight w:val="0"/>
      <w:marTop w:val="0"/>
      <w:marBottom w:val="0"/>
      <w:divBdr>
        <w:top w:val="none" w:sz="0" w:space="0" w:color="auto"/>
        <w:left w:val="none" w:sz="0" w:space="0" w:color="auto"/>
        <w:bottom w:val="none" w:sz="0" w:space="0" w:color="auto"/>
        <w:right w:val="none" w:sz="0" w:space="0" w:color="auto"/>
      </w:divBdr>
    </w:div>
    <w:div w:id="65764617">
      <w:bodyDiv w:val="1"/>
      <w:marLeft w:val="0"/>
      <w:marRight w:val="0"/>
      <w:marTop w:val="0"/>
      <w:marBottom w:val="0"/>
      <w:divBdr>
        <w:top w:val="none" w:sz="0" w:space="0" w:color="auto"/>
        <w:left w:val="none" w:sz="0" w:space="0" w:color="auto"/>
        <w:bottom w:val="none" w:sz="0" w:space="0" w:color="auto"/>
        <w:right w:val="none" w:sz="0" w:space="0" w:color="auto"/>
      </w:divBdr>
    </w:div>
    <w:div w:id="68581640">
      <w:bodyDiv w:val="1"/>
      <w:marLeft w:val="0"/>
      <w:marRight w:val="0"/>
      <w:marTop w:val="0"/>
      <w:marBottom w:val="0"/>
      <w:divBdr>
        <w:top w:val="none" w:sz="0" w:space="0" w:color="auto"/>
        <w:left w:val="none" w:sz="0" w:space="0" w:color="auto"/>
        <w:bottom w:val="none" w:sz="0" w:space="0" w:color="auto"/>
        <w:right w:val="none" w:sz="0" w:space="0" w:color="auto"/>
      </w:divBdr>
    </w:div>
    <w:div w:id="98571423">
      <w:bodyDiv w:val="1"/>
      <w:marLeft w:val="0"/>
      <w:marRight w:val="0"/>
      <w:marTop w:val="0"/>
      <w:marBottom w:val="0"/>
      <w:divBdr>
        <w:top w:val="none" w:sz="0" w:space="0" w:color="auto"/>
        <w:left w:val="none" w:sz="0" w:space="0" w:color="auto"/>
        <w:bottom w:val="none" w:sz="0" w:space="0" w:color="auto"/>
        <w:right w:val="none" w:sz="0" w:space="0" w:color="auto"/>
      </w:divBdr>
    </w:div>
    <w:div w:id="121965989">
      <w:bodyDiv w:val="1"/>
      <w:marLeft w:val="0"/>
      <w:marRight w:val="0"/>
      <w:marTop w:val="0"/>
      <w:marBottom w:val="0"/>
      <w:divBdr>
        <w:top w:val="none" w:sz="0" w:space="0" w:color="auto"/>
        <w:left w:val="none" w:sz="0" w:space="0" w:color="auto"/>
        <w:bottom w:val="none" w:sz="0" w:space="0" w:color="auto"/>
        <w:right w:val="none" w:sz="0" w:space="0" w:color="auto"/>
      </w:divBdr>
      <w:divsChild>
        <w:div w:id="89131783">
          <w:marLeft w:val="0"/>
          <w:marRight w:val="0"/>
          <w:marTop w:val="0"/>
          <w:marBottom w:val="0"/>
          <w:divBdr>
            <w:top w:val="none" w:sz="0" w:space="0" w:color="auto"/>
            <w:left w:val="none" w:sz="0" w:space="0" w:color="auto"/>
            <w:bottom w:val="none" w:sz="0" w:space="0" w:color="auto"/>
            <w:right w:val="none" w:sz="0" w:space="0" w:color="auto"/>
          </w:divBdr>
        </w:div>
      </w:divsChild>
    </w:div>
    <w:div w:id="131680305">
      <w:bodyDiv w:val="1"/>
      <w:marLeft w:val="0"/>
      <w:marRight w:val="0"/>
      <w:marTop w:val="0"/>
      <w:marBottom w:val="0"/>
      <w:divBdr>
        <w:top w:val="none" w:sz="0" w:space="0" w:color="auto"/>
        <w:left w:val="none" w:sz="0" w:space="0" w:color="auto"/>
        <w:bottom w:val="none" w:sz="0" w:space="0" w:color="auto"/>
        <w:right w:val="none" w:sz="0" w:space="0" w:color="auto"/>
      </w:divBdr>
    </w:div>
    <w:div w:id="151677467">
      <w:bodyDiv w:val="1"/>
      <w:marLeft w:val="0"/>
      <w:marRight w:val="0"/>
      <w:marTop w:val="0"/>
      <w:marBottom w:val="0"/>
      <w:divBdr>
        <w:top w:val="none" w:sz="0" w:space="0" w:color="auto"/>
        <w:left w:val="none" w:sz="0" w:space="0" w:color="auto"/>
        <w:bottom w:val="none" w:sz="0" w:space="0" w:color="auto"/>
        <w:right w:val="none" w:sz="0" w:space="0" w:color="auto"/>
      </w:divBdr>
    </w:div>
    <w:div w:id="154079038">
      <w:bodyDiv w:val="1"/>
      <w:marLeft w:val="0"/>
      <w:marRight w:val="0"/>
      <w:marTop w:val="0"/>
      <w:marBottom w:val="0"/>
      <w:divBdr>
        <w:top w:val="none" w:sz="0" w:space="0" w:color="auto"/>
        <w:left w:val="none" w:sz="0" w:space="0" w:color="auto"/>
        <w:bottom w:val="none" w:sz="0" w:space="0" w:color="auto"/>
        <w:right w:val="none" w:sz="0" w:space="0" w:color="auto"/>
      </w:divBdr>
    </w:div>
    <w:div w:id="176042114">
      <w:bodyDiv w:val="1"/>
      <w:marLeft w:val="0"/>
      <w:marRight w:val="0"/>
      <w:marTop w:val="0"/>
      <w:marBottom w:val="0"/>
      <w:divBdr>
        <w:top w:val="none" w:sz="0" w:space="0" w:color="auto"/>
        <w:left w:val="none" w:sz="0" w:space="0" w:color="auto"/>
        <w:bottom w:val="none" w:sz="0" w:space="0" w:color="auto"/>
        <w:right w:val="none" w:sz="0" w:space="0" w:color="auto"/>
      </w:divBdr>
      <w:divsChild>
        <w:div w:id="249775526">
          <w:marLeft w:val="0"/>
          <w:marRight w:val="0"/>
          <w:marTop w:val="0"/>
          <w:marBottom w:val="0"/>
          <w:divBdr>
            <w:top w:val="none" w:sz="0" w:space="0" w:color="auto"/>
            <w:left w:val="none" w:sz="0" w:space="0" w:color="auto"/>
            <w:bottom w:val="none" w:sz="0" w:space="0" w:color="auto"/>
            <w:right w:val="none" w:sz="0" w:space="0" w:color="auto"/>
          </w:divBdr>
          <w:divsChild>
            <w:div w:id="908534359">
              <w:marLeft w:val="0"/>
              <w:marRight w:val="0"/>
              <w:marTop w:val="0"/>
              <w:marBottom w:val="0"/>
              <w:divBdr>
                <w:top w:val="none" w:sz="0" w:space="0" w:color="auto"/>
                <w:left w:val="none" w:sz="0" w:space="0" w:color="auto"/>
                <w:bottom w:val="none" w:sz="0" w:space="0" w:color="auto"/>
                <w:right w:val="none" w:sz="0" w:space="0" w:color="auto"/>
              </w:divBdr>
            </w:div>
            <w:div w:id="1809008553">
              <w:marLeft w:val="0"/>
              <w:marRight w:val="0"/>
              <w:marTop w:val="0"/>
              <w:marBottom w:val="0"/>
              <w:divBdr>
                <w:top w:val="none" w:sz="0" w:space="0" w:color="auto"/>
                <w:left w:val="none" w:sz="0" w:space="0" w:color="auto"/>
                <w:bottom w:val="none" w:sz="0" w:space="0" w:color="auto"/>
                <w:right w:val="none" w:sz="0" w:space="0" w:color="auto"/>
              </w:divBdr>
            </w:div>
            <w:div w:id="2032607171">
              <w:marLeft w:val="0"/>
              <w:marRight w:val="0"/>
              <w:marTop w:val="0"/>
              <w:marBottom w:val="0"/>
              <w:divBdr>
                <w:top w:val="none" w:sz="0" w:space="0" w:color="auto"/>
                <w:left w:val="none" w:sz="0" w:space="0" w:color="auto"/>
                <w:bottom w:val="none" w:sz="0" w:space="0" w:color="auto"/>
                <w:right w:val="none" w:sz="0" w:space="0" w:color="auto"/>
              </w:divBdr>
            </w:div>
            <w:div w:id="21226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0754">
      <w:bodyDiv w:val="1"/>
      <w:marLeft w:val="0"/>
      <w:marRight w:val="0"/>
      <w:marTop w:val="0"/>
      <w:marBottom w:val="0"/>
      <w:divBdr>
        <w:top w:val="none" w:sz="0" w:space="0" w:color="auto"/>
        <w:left w:val="none" w:sz="0" w:space="0" w:color="auto"/>
        <w:bottom w:val="none" w:sz="0" w:space="0" w:color="auto"/>
        <w:right w:val="none" w:sz="0" w:space="0" w:color="auto"/>
      </w:divBdr>
    </w:div>
    <w:div w:id="189030584">
      <w:bodyDiv w:val="1"/>
      <w:marLeft w:val="0"/>
      <w:marRight w:val="0"/>
      <w:marTop w:val="0"/>
      <w:marBottom w:val="0"/>
      <w:divBdr>
        <w:top w:val="none" w:sz="0" w:space="0" w:color="auto"/>
        <w:left w:val="none" w:sz="0" w:space="0" w:color="auto"/>
        <w:bottom w:val="none" w:sz="0" w:space="0" w:color="auto"/>
        <w:right w:val="none" w:sz="0" w:space="0" w:color="auto"/>
      </w:divBdr>
    </w:div>
    <w:div w:id="203568981">
      <w:bodyDiv w:val="1"/>
      <w:marLeft w:val="0"/>
      <w:marRight w:val="0"/>
      <w:marTop w:val="0"/>
      <w:marBottom w:val="0"/>
      <w:divBdr>
        <w:top w:val="none" w:sz="0" w:space="0" w:color="auto"/>
        <w:left w:val="none" w:sz="0" w:space="0" w:color="auto"/>
        <w:bottom w:val="none" w:sz="0" w:space="0" w:color="auto"/>
        <w:right w:val="none" w:sz="0" w:space="0" w:color="auto"/>
      </w:divBdr>
    </w:div>
    <w:div w:id="254869531">
      <w:bodyDiv w:val="1"/>
      <w:marLeft w:val="0"/>
      <w:marRight w:val="0"/>
      <w:marTop w:val="0"/>
      <w:marBottom w:val="0"/>
      <w:divBdr>
        <w:top w:val="none" w:sz="0" w:space="0" w:color="auto"/>
        <w:left w:val="none" w:sz="0" w:space="0" w:color="auto"/>
        <w:bottom w:val="none" w:sz="0" w:space="0" w:color="auto"/>
        <w:right w:val="none" w:sz="0" w:space="0" w:color="auto"/>
      </w:divBdr>
    </w:div>
    <w:div w:id="262031853">
      <w:bodyDiv w:val="1"/>
      <w:marLeft w:val="0"/>
      <w:marRight w:val="0"/>
      <w:marTop w:val="0"/>
      <w:marBottom w:val="0"/>
      <w:divBdr>
        <w:top w:val="none" w:sz="0" w:space="0" w:color="auto"/>
        <w:left w:val="none" w:sz="0" w:space="0" w:color="auto"/>
        <w:bottom w:val="none" w:sz="0" w:space="0" w:color="auto"/>
        <w:right w:val="none" w:sz="0" w:space="0" w:color="auto"/>
      </w:divBdr>
    </w:div>
    <w:div w:id="270861773">
      <w:bodyDiv w:val="1"/>
      <w:marLeft w:val="0"/>
      <w:marRight w:val="0"/>
      <w:marTop w:val="0"/>
      <w:marBottom w:val="0"/>
      <w:divBdr>
        <w:top w:val="none" w:sz="0" w:space="0" w:color="auto"/>
        <w:left w:val="none" w:sz="0" w:space="0" w:color="auto"/>
        <w:bottom w:val="none" w:sz="0" w:space="0" w:color="auto"/>
        <w:right w:val="none" w:sz="0" w:space="0" w:color="auto"/>
      </w:divBdr>
    </w:div>
    <w:div w:id="275064234">
      <w:bodyDiv w:val="1"/>
      <w:marLeft w:val="0"/>
      <w:marRight w:val="0"/>
      <w:marTop w:val="0"/>
      <w:marBottom w:val="0"/>
      <w:divBdr>
        <w:top w:val="none" w:sz="0" w:space="0" w:color="auto"/>
        <w:left w:val="none" w:sz="0" w:space="0" w:color="auto"/>
        <w:bottom w:val="none" w:sz="0" w:space="0" w:color="auto"/>
        <w:right w:val="none" w:sz="0" w:space="0" w:color="auto"/>
      </w:divBdr>
    </w:div>
    <w:div w:id="279336532">
      <w:bodyDiv w:val="1"/>
      <w:marLeft w:val="0"/>
      <w:marRight w:val="0"/>
      <w:marTop w:val="0"/>
      <w:marBottom w:val="0"/>
      <w:divBdr>
        <w:top w:val="none" w:sz="0" w:space="0" w:color="auto"/>
        <w:left w:val="none" w:sz="0" w:space="0" w:color="auto"/>
        <w:bottom w:val="none" w:sz="0" w:space="0" w:color="auto"/>
        <w:right w:val="none" w:sz="0" w:space="0" w:color="auto"/>
      </w:divBdr>
      <w:divsChild>
        <w:div w:id="1398627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307298">
              <w:marLeft w:val="0"/>
              <w:marRight w:val="0"/>
              <w:marTop w:val="0"/>
              <w:marBottom w:val="0"/>
              <w:divBdr>
                <w:top w:val="none" w:sz="0" w:space="0" w:color="auto"/>
                <w:left w:val="none" w:sz="0" w:space="0" w:color="auto"/>
                <w:bottom w:val="none" w:sz="0" w:space="0" w:color="auto"/>
                <w:right w:val="none" w:sz="0" w:space="0" w:color="auto"/>
              </w:divBdr>
              <w:divsChild>
                <w:div w:id="1930581974">
                  <w:marLeft w:val="0"/>
                  <w:marRight w:val="0"/>
                  <w:marTop w:val="0"/>
                  <w:marBottom w:val="0"/>
                  <w:divBdr>
                    <w:top w:val="none" w:sz="0" w:space="0" w:color="auto"/>
                    <w:left w:val="none" w:sz="0" w:space="0" w:color="auto"/>
                    <w:bottom w:val="none" w:sz="0" w:space="0" w:color="auto"/>
                    <w:right w:val="none" w:sz="0" w:space="0" w:color="auto"/>
                  </w:divBdr>
                  <w:divsChild>
                    <w:div w:id="1747728100">
                      <w:marLeft w:val="0"/>
                      <w:marRight w:val="0"/>
                      <w:marTop w:val="0"/>
                      <w:marBottom w:val="0"/>
                      <w:divBdr>
                        <w:top w:val="none" w:sz="0" w:space="0" w:color="auto"/>
                        <w:left w:val="none" w:sz="0" w:space="0" w:color="auto"/>
                        <w:bottom w:val="none" w:sz="0" w:space="0" w:color="auto"/>
                        <w:right w:val="none" w:sz="0" w:space="0" w:color="auto"/>
                      </w:divBdr>
                      <w:divsChild>
                        <w:div w:id="1287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43026">
      <w:bodyDiv w:val="1"/>
      <w:marLeft w:val="0"/>
      <w:marRight w:val="0"/>
      <w:marTop w:val="0"/>
      <w:marBottom w:val="0"/>
      <w:divBdr>
        <w:top w:val="none" w:sz="0" w:space="0" w:color="auto"/>
        <w:left w:val="none" w:sz="0" w:space="0" w:color="auto"/>
        <w:bottom w:val="none" w:sz="0" w:space="0" w:color="auto"/>
        <w:right w:val="none" w:sz="0" w:space="0" w:color="auto"/>
      </w:divBdr>
      <w:divsChild>
        <w:div w:id="1703050659">
          <w:marLeft w:val="0"/>
          <w:marRight w:val="0"/>
          <w:marTop w:val="0"/>
          <w:marBottom w:val="0"/>
          <w:divBdr>
            <w:top w:val="none" w:sz="0" w:space="0" w:color="auto"/>
            <w:left w:val="none" w:sz="0" w:space="0" w:color="auto"/>
            <w:bottom w:val="none" w:sz="0" w:space="0" w:color="auto"/>
            <w:right w:val="none" w:sz="0" w:space="0" w:color="auto"/>
          </w:divBdr>
        </w:div>
      </w:divsChild>
    </w:div>
    <w:div w:id="286670414">
      <w:bodyDiv w:val="1"/>
      <w:marLeft w:val="0"/>
      <w:marRight w:val="0"/>
      <w:marTop w:val="0"/>
      <w:marBottom w:val="0"/>
      <w:divBdr>
        <w:top w:val="none" w:sz="0" w:space="0" w:color="auto"/>
        <w:left w:val="none" w:sz="0" w:space="0" w:color="auto"/>
        <w:bottom w:val="none" w:sz="0" w:space="0" w:color="auto"/>
        <w:right w:val="none" w:sz="0" w:space="0" w:color="auto"/>
      </w:divBdr>
      <w:divsChild>
        <w:div w:id="447968161">
          <w:marLeft w:val="0"/>
          <w:marRight w:val="0"/>
          <w:marTop w:val="0"/>
          <w:marBottom w:val="0"/>
          <w:divBdr>
            <w:top w:val="none" w:sz="0" w:space="0" w:color="auto"/>
            <w:left w:val="none" w:sz="0" w:space="0" w:color="auto"/>
            <w:bottom w:val="none" w:sz="0" w:space="0" w:color="auto"/>
            <w:right w:val="none" w:sz="0" w:space="0" w:color="auto"/>
          </w:divBdr>
        </w:div>
        <w:div w:id="1298146307">
          <w:marLeft w:val="0"/>
          <w:marRight w:val="0"/>
          <w:marTop w:val="0"/>
          <w:marBottom w:val="0"/>
          <w:divBdr>
            <w:top w:val="none" w:sz="0" w:space="0" w:color="auto"/>
            <w:left w:val="none" w:sz="0" w:space="0" w:color="auto"/>
            <w:bottom w:val="none" w:sz="0" w:space="0" w:color="auto"/>
            <w:right w:val="none" w:sz="0" w:space="0" w:color="auto"/>
          </w:divBdr>
        </w:div>
      </w:divsChild>
    </w:div>
    <w:div w:id="290980604">
      <w:bodyDiv w:val="1"/>
      <w:marLeft w:val="0"/>
      <w:marRight w:val="0"/>
      <w:marTop w:val="0"/>
      <w:marBottom w:val="0"/>
      <w:divBdr>
        <w:top w:val="none" w:sz="0" w:space="0" w:color="auto"/>
        <w:left w:val="none" w:sz="0" w:space="0" w:color="auto"/>
        <w:bottom w:val="none" w:sz="0" w:space="0" w:color="auto"/>
        <w:right w:val="none" w:sz="0" w:space="0" w:color="auto"/>
      </w:divBdr>
    </w:div>
    <w:div w:id="309753527">
      <w:bodyDiv w:val="1"/>
      <w:marLeft w:val="0"/>
      <w:marRight w:val="0"/>
      <w:marTop w:val="0"/>
      <w:marBottom w:val="0"/>
      <w:divBdr>
        <w:top w:val="none" w:sz="0" w:space="0" w:color="auto"/>
        <w:left w:val="none" w:sz="0" w:space="0" w:color="auto"/>
        <w:bottom w:val="none" w:sz="0" w:space="0" w:color="auto"/>
        <w:right w:val="none" w:sz="0" w:space="0" w:color="auto"/>
      </w:divBdr>
    </w:div>
    <w:div w:id="347832232">
      <w:bodyDiv w:val="1"/>
      <w:marLeft w:val="0"/>
      <w:marRight w:val="0"/>
      <w:marTop w:val="0"/>
      <w:marBottom w:val="0"/>
      <w:divBdr>
        <w:top w:val="none" w:sz="0" w:space="0" w:color="auto"/>
        <w:left w:val="none" w:sz="0" w:space="0" w:color="auto"/>
        <w:bottom w:val="none" w:sz="0" w:space="0" w:color="auto"/>
        <w:right w:val="none" w:sz="0" w:space="0" w:color="auto"/>
      </w:divBdr>
      <w:divsChild>
        <w:div w:id="1174144488">
          <w:marLeft w:val="0"/>
          <w:marRight w:val="0"/>
          <w:marTop w:val="0"/>
          <w:marBottom w:val="0"/>
          <w:divBdr>
            <w:top w:val="none" w:sz="0" w:space="0" w:color="auto"/>
            <w:left w:val="none" w:sz="0" w:space="0" w:color="auto"/>
            <w:bottom w:val="none" w:sz="0" w:space="0" w:color="auto"/>
            <w:right w:val="none" w:sz="0" w:space="0" w:color="auto"/>
          </w:divBdr>
          <w:divsChild>
            <w:div w:id="1303849151">
              <w:marLeft w:val="0"/>
              <w:marRight w:val="0"/>
              <w:marTop w:val="0"/>
              <w:marBottom w:val="0"/>
              <w:divBdr>
                <w:top w:val="none" w:sz="0" w:space="0" w:color="auto"/>
                <w:left w:val="none" w:sz="0" w:space="0" w:color="auto"/>
                <w:bottom w:val="none" w:sz="0" w:space="0" w:color="auto"/>
                <w:right w:val="none" w:sz="0" w:space="0" w:color="auto"/>
              </w:divBdr>
              <w:divsChild>
                <w:div w:id="229772958">
                  <w:marLeft w:val="0"/>
                  <w:marRight w:val="0"/>
                  <w:marTop w:val="0"/>
                  <w:marBottom w:val="0"/>
                  <w:divBdr>
                    <w:top w:val="none" w:sz="0" w:space="0" w:color="auto"/>
                    <w:left w:val="none" w:sz="0" w:space="0" w:color="auto"/>
                    <w:bottom w:val="none" w:sz="0" w:space="0" w:color="auto"/>
                    <w:right w:val="none" w:sz="0" w:space="0" w:color="auto"/>
                  </w:divBdr>
                  <w:divsChild>
                    <w:div w:id="899093342">
                      <w:marLeft w:val="0"/>
                      <w:marRight w:val="0"/>
                      <w:marTop w:val="0"/>
                      <w:marBottom w:val="0"/>
                      <w:divBdr>
                        <w:top w:val="none" w:sz="0" w:space="0" w:color="auto"/>
                        <w:left w:val="none" w:sz="0" w:space="0" w:color="auto"/>
                        <w:bottom w:val="none" w:sz="0" w:space="0" w:color="auto"/>
                        <w:right w:val="none" w:sz="0" w:space="0" w:color="auto"/>
                      </w:divBdr>
                      <w:divsChild>
                        <w:div w:id="1526209743">
                          <w:marLeft w:val="0"/>
                          <w:marRight w:val="0"/>
                          <w:marTop w:val="0"/>
                          <w:marBottom w:val="0"/>
                          <w:divBdr>
                            <w:top w:val="none" w:sz="0" w:space="0" w:color="auto"/>
                            <w:left w:val="none" w:sz="0" w:space="0" w:color="auto"/>
                            <w:bottom w:val="none" w:sz="0" w:space="0" w:color="auto"/>
                            <w:right w:val="none" w:sz="0" w:space="0" w:color="auto"/>
                          </w:divBdr>
                          <w:divsChild>
                            <w:div w:id="1358853464">
                              <w:marLeft w:val="0"/>
                              <w:marRight w:val="0"/>
                              <w:marTop w:val="0"/>
                              <w:marBottom w:val="0"/>
                              <w:divBdr>
                                <w:top w:val="none" w:sz="0" w:space="0" w:color="auto"/>
                                <w:left w:val="none" w:sz="0" w:space="0" w:color="auto"/>
                                <w:bottom w:val="none" w:sz="0" w:space="0" w:color="auto"/>
                                <w:right w:val="none" w:sz="0" w:space="0" w:color="auto"/>
                              </w:divBdr>
                              <w:divsChild>
                                <w:div w:id="1450392032">
                                  <w:marLeft w:val="0"/>
                                  <w:marRight w:val="0"/>
                                  <w:marTop w:val="0"/>
                                  <w:marBottom w:val="0"/>
                                  <w:divBdr>
                                    <w:top w:val="none" w:sz="0" w:space="0" w:color="auto"/>
                                    <w:left w:val="none" w:sz="0" w:space="0" w:color="auto"/>
                                    <w:bottom w:val="none" w:sz="0" w:space="0" w:color="auto"/>
                                    <w:right w:val="none" w:sz="0" w:space="0" w:color="auto"/>
                                  </w:divBdr>
                                  <w:divsChild>
                                    <w:div w:id="181629602">
                                      <w:marLeft w:val="0"/>
                                      <w:marRight w:val="0"/>
                                      <w:marTop w:val="0"/>
                                      <w:marBottom w:val="0"/>
                                      <w:divBdr>
                                        <w:top w:val="none" w:sz="0" w:space="0" w:color="auto"/>
                                        <w:left w:val="none" w:sz="0" w:space="0" w:color="auto"/>
                                        <w:bottom w:val="none" w:sz="0" w:space="0" w:color="auto"/>
                                        <w:right w:val="none" w:sz="0" w:space="0" w:color="auto"/>
                                      </w:divBdr>
                                      <w:divsChild>
                                        <w:div w:id="571277689">
                                          <w:marLeft w:val="0"/>
                                          <w:marRight w:val="0"/>
                                          <w:marTop w:val="0"/>
                                          <w:marBottom w:val="0"/>
                                          <w:divBdr>
                                            <w:top w:val="none" w:sz="0" w:space="0" w:color="auto"/>
                                            <w:left w:val="none" w:sz="0" w:space="0" w:color="auto"/>
                                            <w:bottom w:val="none" w:sz="0" w:space="0" w:color="auto"/>
                                            <w:right w:val="none" w:sz="0" w:space="0" w:color="auto"/>
                                          </w:divBdr>
                                          <w:divsChild>
                                            <w:div w:id="2057969577">
                                              <w:marLeft w:val="0"/>
                                              <w:marRight w:val="0"/>
                                              <w:marTop w:val="0"/>
                                              <w:marBottom w:val="0"/>
                                              <w:divBdr>
                                                <w:top w:val="none" w:sz="0" w:space="0" w:color="auto"/>
                                                <w:left w:val="none" w:sz="0" w:space="0" w:color="auto"/>
                                                <w:bottom w:val="none" w:sz="0" w:space="0" w:color="auto"/>
                                                <w:right w:val="none" w:sz="0" w:space="0" w:color="auto"/>
                                              </w:divBdr>
                                              <w:divsChild>
                                                <w:div w:id="1056389457">
                                                  <w:marLeft w:val="0"/>
                                                  <w:marRight w:val="0"/>
                                                  <w:marTop w:val="0"/>
                                                  <w:marBottom w:val="0"/>
                                                  <w:divBdr>
                                                    <w:top w:val="none" w:sz="0" w:space="0" w:color="auto"/>
                                                    <w:left w:val="none" w:sz="0" w:space="0" w:color="auto"/>
                                                    <w:bottom w:val="none" w:sz="0" w:space="0" w:color="auto"/>
                                                    <w:right w:val="none" w:sz="0" w:space="0" w:color="auto"/>
                                                  </w:divBdr>
                                                  <w:divsChild>
                                                    <w:div w:id="723875763">
                                                      <w:marLeft w:val="0"/>
                                                      <w:marRight w:val="0"/>
                                                      <w:marTop w:val="0"/>
                                                      <w:marBottom w:val="0"/>
                                                      <w:divBdr>
                                                        <w:top w:val="none" w:sz="0" w:space="0" w:color="auto"/>
                                                        <w:left w:val="none" w:sz="0" w:space="0" w:color="auto"/>
                                                        <w:bottom w:val="none" w:sz="0" w:space="0" w:color="auto"/>
                                                        <w:right w:val="none" w:sz="0" w:space="0" w:color="auto"/>
                                                      </w:divBdr>
                                                      <w:divsChild>
                                                        <w:div w:id="1815564118">
                                                          <w:marLeft w:val="0"/>
                                                          <w:marRight w:val="0"/>
                                                          <w:marTop w:val="0"/>
                                                          <w:marBottom w:val="0"/>
                                                          <w:divBdr>
                                                            <w:top w:val="none" w:sz="0" w:space="0" w:color="auto"/>
                                                            <w:left w:val="none" w:sz="0" w:space="0" w:color="auto"/>
                                                            <w:bottom w:val="none" w:sz="0" w:space="0" w:color="auto"/>
                                                            <w:right w:val="none" w:sz="0" w:space="0" w:color="auto"/>
                                                          </w:divBdr>
                                                          <w:divsChild>
                                                            <w:div w:id="2086292838">
                                                              <w:marLeft w:val="0"/>
                                                              <w:marRight w:val="0"/>
                                                              <w:marTop w:val="0"/>
                                                              <w:marBottom w:val="0"/>
                                                              <w:divBdr>
                                                                <w:top w:val="none" w:sz="0" w:space="0" w:color="auto"/>
                                                                <w:left w:val="none" w:sz="0" w:space="0" w:color="auto"/>
                                                                <w:bottom w:val="none" w:sz="0" w:space="0" w:color="auto"/>
                                                                <w:right w:val="none" w:sz="0" w:space="0" w:color="auto"/>
                                                              </w:divBdr>
                                                              <w:divsChild>
                                                                <w:div w:id="2097626513">
                                                                  <w:marLeft w:val="0"/>
                                                                  <w:marRight w:val="0"/>
                                                                  <w:marTop w:val="0"/>
                                                                  <w:marBottom w:val="0"/>
                                                                  <w:divBdr>
                                                                    <w:top w:val="none" w:sz="0" w:space="0" w:color="auto"/>
                                                                    <w:left w:val="none" w:sz="0" w:space="0" w:color="auto"/>
                                                                    <w:bottom w:val="none" w:sz="0" w:space="0" w:color="auto"/>
                                                                    <w:right w:val="none" w:sz="0" w:space="0" w:color="auto"/>
                                                                  </w:divBdr>
                                                                  <w:divsChild>
                                                                    <w:div w:id="1726297075">
                                                                      <w:marLeft w:val="0"/>
                                                                      <w:marRight w:val="0"/>
                                                                      <w:marTop w:val="0"/>
                                                                      <w:marBottom w:val="0"/>
                                                                      <w:divBdr>
                                                                        <w:top w:val="none" w:sz="0" w:space="0" w:color="auto"/>
                                                                        <w:left w:val="none" w:sz="0" w:space="0" w:color="auto"/>
                                                                        <w:bottom w:val="none" w:sz="0" w:space="0" w:color="auto"/>
                                                                        <w:right w:val="none" w:sz="0" w:space="0" w:color="auto"/>
                                                                      </w:divBdr>
                                                                      <w:divsChild>
                                                                        <w:div w:id="1798991969">
                                                                          <w:marLeft w:val="0"/>
                                                                          <w:marRight w:val="0"/>
                                                                          <w:marTop w:val="0"/>
                                                                          <w:marBottom w:val="0"/>
                                                                          <w:divBdr>
                                                                            <w:top w:val="none" w:sz="0" w:space="0" w:color="auto"/>
                                                                            <w:left w:val="none" w:sz="0" w:space="0" w:color="auto"/>
                                                                            <w:bottom w:val="none" w:sz="0" w:space="0" w:color="auto"/>
                                                                            <w:right w:val="none" w:sz="0" w:space="0" w:color="auto"/>
                                                                          </w:divBdr>
                                                                          <w:divsChild>
                                                                            <w:div w:id="1607536627">
                                                                              <w:marLeft w:val="0"/>
                                                                              <w:marRight w:val="0"/>
                                                                              <w:marTop w:val="0"/>
                                                                              <w:marBottom w:val="0"/>
                                                                              <w:divBdr>
                                                                                <w:top w:val="none" w:sz="0" w:space="0" w:color="auto"/>
                                                                                <w:left w:val="none" w:sz="0" w:space="0" w:color="auto"/>
                                                                                <w:bottom w:val="none" w:sz="0" w:space="0" w:color="auto"/>
                                                                                <w:right w:val="none" w:sz="0" w:space="0" w:color="auto"/>
                                                                              </w:divBdr>
                                                                              <w:divsChild>
                                                                                <w:div w:id="953026570">
                                                                                  <w:marLeft w:val="0"/>
                                                                                  <w:marRight w:val="0"/>
                                                                                  <w:marTop w:val="0"/>
                                                                                  <w:marBottom w:val="0"/>
                                                                                  <w:divBdr>
                                                                                    <w:top w:val="none" w:sz="0" w:space="0" w:color="auto"/>
                                                                                    <w:left w:val="none" w:sz="0" w:space="0" w:color="auto"/>
                                                                                    <w:bottom w:val="none" w:sz="0" w:space="0" w:color="auto"/>
                                                                                    <w:right w:val="none" w:sz="0" w:space="0" w:color="auto"/>
                                                                                  </w:divBdr>
                                                                                  <w:divsChild>
                                                                                    <w:div w:id="714039050">
                                                                                      <w:marLeft w:val="0"/>
                                                                                      <w:marRight w:val="0"/>
                                                                                      <w:marTop w:val="0"/>
                                                                                      <w:marBottom w:val="0"/>
                                                                                      <w:divBdr>
                                                                                        <w:top w:val="none" w:sz="0" w:space="0" w:color="auto"/>
                                                                                        <w:left w:val="none" w:sz="0" w:space="0" w:color="auto"/>
                                                                                        <w:bottom w:val="none" w:sz="0" w:space="0" w:color="auto"/>
                                                                                        <w:right w:val="none" w:sz="0" w:space="0" w:color="auto"/>
                                                                                      </w:divBdr>
                                                                                      <w:divsChild>
                                                                                        <w:div w:id="1470828252">
                                                                                          <w:marLeft w:val="0"/>
                                                                                          <w:marRight w:val="0"/>
                                                                                          <w:marTop w:val="0"/>
                                                                                          <w:marBottom w:val="0"/>
                                                                                          <w:divBdr>
                                                                                            <w:top w:val="none" w:sz="0" w:space="0" w:color="auto"/>
                                                                                            <w:left w:val="none" w:sz="0" w:space="0" w:color="auto"/>
                                                                                            <w:bottom w:val="none" w:sz="0" w:space="0" w:color="auto"/>
                                                                                            <w:right w:val="none" w:sz="0" w:space="0" w:color="auto"/>
                                                                                          </w:divBdr>
                                                                                          <w:divsChild>
                                                                                            <w:div w:id="206721726">
                                                                                              <w:marLeft w:val="0"/>
                                                                                              <w:marRight w:val="0"/>
                                                                                              <w:marTop w:val="0"/>
                                                                                              <w:marBottom w:val="0"/>
                                                                                              <w:divBdr>
                                                                                                <w:top w:val="none" w:sz="0" w:space="0" w:color="auto"/>
                                                                                                <w:left w:val="none" w:sz="0" w:space="0" w:color="auto"/>
                                                                                                <w:bottom w:val="none" w:sz="0" w:space="0" w:color="auto"/>
                                                                                                <w:right w:val="none" w:sz="0" w:space="0" w:color="auto"/>
                                                                                              </w:divBdr>
                                                                                            </w:div>
                                                                                            <w:div w:id="279646283">
                                                                                              <w:marLeft w:val="0"/>
                                                                                              <w:marRight w:val="0"/>
                                                                                              <w:marTop w:val="0"/>
                                                                                              <w:marBottom w:val="0"/>
                                                                                              <w:divBdr>
                                                                                                <w:top w:val="none" w:sz="0" w:space="0" w:color="auto"/>
                                                                                                <w:left w:val="none" w:sz="0" w:space="0" w:color="auto"/>
                                                                                                <w:bottom w:val="none" w:sz="0" w:space="0" w:color="auto"/>
                                                                                                <w:right w:val="none" w:sz="0" w:space="0" w:color="auto"/>
                                                                                              </w:divBdr>
                                                                                            </w:div>
                                                                                            <w:div w:id="553926761">
                                                                                              <w:marLeft w:val="0"/>
                                                                                              <w:marRight w:val="0"/>
                                                                                              <w:marTop w:val="0"/>
                                                                                              <w:marBottom w:val="0"/>
                                                                                              <w:divBdr>
                                                                                                <w:top w:val="none" w:sz="0" w:space="0" w:color="auto"/>
                                                                                                <w:left w:val="none" w:sz="0" w:space="0" w:color="auto"/>
                                                                                                <w:bottom w:val="none" w:sz="0" w:space="0" w:color="auto"/>
                                                                                                <w:right w:val="none" w:sz="0" w:space="0" w:color="auto"/>
                                                                                              </w:divBdr>
                                                                                            </w:div>
                                                                                            <w:div w:id="15047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76133">
      <w:bodyDiv w:val="1"/>
      <w:marLeft w:val="0"/>
      <w:marRight w:val="0"/>
      <w:marTop w:val="0"/>
      <w:marBottom w:val="0"/>
      <w:divBdr>
        <w:top w:val="none" w:sz="0" w:space="0" w:color="auto"/>
        <w:left w:val="none" w:sz="0" w:space="0" w:color="auto"/>
        <w:bottom w:val="none" w:sz="0" w:space="0" w:color="auto"/>
        <w:right w:val="none" w:sz="0" w:space="0" w:color="auto"/>
      </w:divBdr>
      <w:divsChild>
        <w:div w:id="785345971">
          <w:marLeft w:val="0"/>
          <w:marRight w:val="0"/>
          <w:marTop w:val="0"/>
          <w:marBottom w:val="0"/>
          <w:divBdr>
            <w:top w:val="none" w:sz="0" w:space="0" w:color="auto"/>
            <w:left w:val="none" w:sz="0" w:space="0" w:color="auto"/>
            <w:bottom w:val="none" w:sz="0" w:space="0" w:color="auto"/>
            <w:right w:val="none" w:sz="0" w:space="0" w:color="auto"/>
          </w:divBdr>
          <w:divsChild>
            <w:div w:id="8341553">
              <w:marLeft w:val="0"/>
              <w:marRight w:val="0"/>
              <w:marTop w:val="105"/>
              <w:marBottom w:val="0"/>
              <w:divBdr>
                <w:top w:val="none" w:sz="0" w:space="0" w:color="auto"/>
                <w:left w:val="none" w:sz="0" w:space="0" w:color="auto"/>
                <w:bottom w:val="none" w:sz="0" w:space="0" w:color="auto"/>
                <w:right w:val="none" w:sz="0" w:space="0" w:color="auto"/>
              </w:divBdr>
              <w:divsChild>
                <w:div w:id="5623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469">
          <w:marLeft w:val="0"/>
          <w:marRight w:val="0"/>
          <w:marTop w:val="0"/>
          <w:marBottom w:val="0"/>
          <w:divBdr>
            <w:top w:val="none" w:sz="0" w:space="0" w:color="auto"/>
            <w:left w:val="none" w:sz="0" w:space="0" w:color="auto"/>
            <w:bottom w:val="none" w:sz="0" w:space="0" w:color="auto"/>
            <w:right w:val="none" w:sz="0" w:space="0" w:color="auto"/>
          </w:divBdr>
          <w:divsChild>
            <w:div w:id="145514742">
              <w:marLeft w:val="0"/>
              <w:marRight w:val="0"/>
              <w:marTop w:val="105"/>
              <w:marBottom w:val="0"/>
              <w:divBdr>
                <w:top w:val="none" w:sz="0" w:space="0" w:color="auto"/>
                <w:left w:val="none" w:sz="0" w:space="0" w:color="auto"/>
                <w:bottom w:val="none" w:sz="0" w:space="0" w:color="auto"/>
                <w:right w:val="none" w:sz="0" w:space="0" w:color="auto"/>
              </w:divBdr>
              <w:divsChild>
                <w:div w:id="84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435">
      <w:bodyDiv w:val="1"/>
      <w:marLeft w:val="0"/>
      <w:marRight w:val="0"/>
      <w:marTop w:val="0"/>
      <w:marBottom w:val="0"/>
      <w:divBdr>
        <w:top w:val="none" w:sz="0" w:space="0" w:color="auto"/>
        <w:left w:val="none" w:sz="0" w:space="0" w:color="auto"/>
        <w:bottom w:val="none" w:sz="0" w:space="0" w:color="auto"/>
        <w:right w:val="none" w:sz="0" w:space="0" w:color="auto"/>
      </w:divBdr>
    </w:div>
    <w:div w:id="365445481">
      <w:bodyDiv w:val="1"/>
      <w:marLeft w:val="0"/>
      <w:marRight w:val="0"/>
      <w:marTop w:val="0"/>
      <w:marBottom w:val="0"/>
      <w:divBdr>
        <w:top w:val="none" w:sz="0" w:space="0" w:color="auto"/>
        <w:left w:val="none" w:sz="0" w:space="0" w:color="auto"/>
        <w:bottom w:val="none" w:sz="0" w:space="0" w:color="auto"/>
        <w:right w:val="none" w:sz="0" w:space="0" w:color="auto"/>
      </w:divBdr>
    </w:div>
    <w:div w:id="367800428">
      <w:bodyDiv w:val="1"/>
      <w:marLeft w:val="0"/>
      <w:marRight w:val="0"/>
      <w:marTop w:val="0"/>
      <w:marBottom w:val="0"/>
      <w:divBdr>
        <w:top w:val="none" w:sz="0" w:space="0" w:color="auto"/>
        <w:left w:val="none" w:sz="0" w:space="0" w:color="auto"/>
        <w:bottom w:val="none" w:sz="0" w:space="0" w:color="auto"/>
        <w:right w:val="none" w:sz="0" w:space="0" w:color="auto"/>
      </w:divBdr>
      <w:divsChild>
        <w:div w:id="2143426412">
          <w:marLeft w:val="0"/>
          <w:marRight w:val="0"/>
          <w:marTop w:val="0"/>
          <w:marBottom w:val="0"/>
          <w:divBdr>
            <w:top w:val="none" w:sz="0" w:space="0" w:color="auto"/>
            <w:left w:val="none" w:sz="0" w:space="0" w:color="auto"/>
            <w:bottom w:val="none" w:sz="0" w:space="0" w:color="auto"/>
            <w:right w:val="none" w:sz="0" w:space="0" w:color="auto"/>
          </w:divBdr>
          <w:divsChild>
            <w:div w:id="6537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19080">
      <w:bodyDiv w:val="1"/>
      <w:marLeft w:val="0"/>
      <w:marRight w:val="0"/>
      <w:marTop w:val="0"/>
      <w:marBottom w:val="0"/>
      <w:divBdr>
        <w:top w:val="none" w:sz="0" w:space="0" w:color="auto"/>
        <w:left w:val="none" w:sz="0" w:space="0" w:color="auto"/>
        <w:bottom w:val="none" w:sz="0" w:space="0" w:color="auto"/>
        <w:right w:val="none" w:sz="0" w:space="0" w:color="auto"/>
      </w:divBdr>
    </w:div>
    <w:div w:id="383792050">
      <w:bodyDiv w:val="1"/>
      <w:marLeft w:val="0"/>
      <w:marRight w:val="0"/>
      <w:marTop w:val="0"/>
      <w:marBottom w:val="0"/>
      <w:divBdr>
        <w:top w:val="none" w:sz="0" w:space="0" w:color="auto"/>
        <w:left w:val="none" w:sz="0" w:space="0" w:color="auto"/>
        <w:bottom w:val="none" w:sz="0" w:space="0" w:color="auto"/>
        <w:right w:val="none" w:sz="0" w:space="0" w:color="auto"/>
      </w:divBdr>
    </w:div>
    <w:div w:id="391390485">
      <w:bodyDiv w:val="1"/>
      <w:marLeft w:val="0"/>
      <w:marRight w:val="0"/>
      <w:marTop w:val="0"/>
      <w:marBottom w:val="0"/>
      <w:divBdr>
        <w:top w:val="none" w:sz="0" w:space="0" w:color="auto"/>
        <w:left w:val="none" w:sz="0" w:space="0" w:color="auto"/>
        <w:bottom w:val="none" w:sz="0" w:space="0" w:color="auto"/>
        <w:right w:val="none" w:sz="0" w:space="0" w:color="auto"/>
      </w:divBdr>
      <w:divsChild>
        <w:div w:id="1434784546">
          <w:marLeft w:val="0"/>
          <w:marRight w:val="0"/>
          <w:marTop w:val="0"/>
          <w:marBottom w:val="0"/>
          <w:divBdr>
            <w:top w:val="none" w:sz="0" w:space="0" w:color="auto"/>
            <w:left w:val="none" w:sz="0" w:space="0" w:color="auto"/>
            <w:bottom w:val="none" w:sz="0" w:space="0" w:color="auto"/>
            <w:right w:val="none" w:sz="0" w:space="0" w:color="auto"/>
          </w:divBdr>
          <w:divsChild>
            <w:div w:id="1925260796">
              <w:marLeft w:val="0"/>
              <w:marRight w:val="0"/>
              <w:marTop w:val="0"/>
              <w:marBottom w:val="0"/>
              <w:divBdr>
                <w:top w:val="none" w:sz="0" w:space="0" w:color="auto"/>
                <w:left w:val="none" w:sz="0" w:space="0" w:color="auto"/>
                <w:bottom w:val="none" w:sz="0" w:space="0" w:color="auto"/>
                <w:right w:val="none" w:sz="0" w:space="0" w:color="auto"/>
              </w:divBdr>
              <w:divsChild>
                <w:div w:id="1836144596">
                  <w:marLeft w:val="0"/>
                  <w:marRight w:val="0"/>
                  <w:marTop w:val="0"/>
                  <w:marBottom w:val="0"/>
                  <w:divBdr>
                    <w:top w:val="none" w:sz="0" w:space="0" w:color="auto"/>
                    <w:left w:val="none" w:sz="0" w:space="0" w:color="auto"/>
                    <w:bottom w:val="none" w:sz="0" w:space="0" w:color="auto"/>
                    <w:right w:val="none" w:sz="0" w:space="0" w:color="auto"/>
                  </w:divBdr>
                  <w:divsChild>
                    <w:div w:id="2120180372">
                      <w:marLeft w:val="0"/>
                      <w:marRight w:val="0"/>
                      <w:marTop w:val="0"/>
                      <w:marBottom w:val="0"/>
                      <w:divBdr>
                        <w:top w:val="none" w:sz="0" w:space="0" w:color="auto"/>
                        <w:left w:val="none" w:sz="0" w:space="0" w:color="auto"/>
                        <w:bottom w:val="none" w:sz="0" w:space="0" w:color="auto"/>
                        <w:right w:val="none" w:sz="0" w:space="0" w:color="auto"/>
                      </w:divBdr>
                      <w:divsChild>
                        <w:div w:id="206838369">
                          <w:marLeft w:val="0"/>
                          <w:marRight w:val="0"/>
                          <w:marTop w:val="0"/>
                          <w:marBottom w:val="0"/>
                          <w:divBdr>
                            <w:top w:val="none" w:sz="0" w:space="0" w:color="auto"/>
                            <w:left w:val="none" w:sz="0" w:space="0" w:color="auto"/>
                            <w:bottom w:val="none" w:sz="0" w:space="0" w:color="auto"/>
                            <w:right w:val="none" w:sz="0" w:space="0" w:color="auto"/>
                          </w:divBdr>
                          <w:divsChild>
                            <w:div w:id="90512957">
                              <w:marLeft w:val="0"/>
                              <w:marRight w:val="0"/>
                              <w:marTop w:val="0"/>
                              <w:marBottom w:val="0"/>
                              <w:divBdr>
                                <w:top w:val="none" w:sz="0" w:space="0" w:color="auto"/>
                                <w:left w:val="none" w:sz="0" w:space="0" w:color="auto"/>
                                <w:bottom w:val="none" w:sz="0" w:space="0" w:color="auto"/>
                                <w:right w:val="none" w:sz="0" w:space="0" w:color="auto"/>
                              </w:divBdr>
                              <w:divsChild>
                                <w:div w:id="525289717">
                                  <w:marLeft w:val="0"/>
                                  <w:marRight w:val="0"/>
                                  <w:marTop w:val="0"/>
                                  <w:marBottom w:val="0"/>
                                  <w:divBdr>
                                    <w:top w:val="none" w:sz="0" w:space="0" w:color="auto"/>
                                    <w:left w:val="none" w:sz="0" w:space="0" w:color="auto"/>
                                    <w:bottom w:val="none" w:sz="0" w:space="0" w:color="auto"/>
                                    <w:right w:val="none" w:sz="0" w:space="0" w:color="auto"/>
                                  </w:divBdr>
                                  <w:divsChild>
                                    <w:div w:id="1865242000">
                                      <w:marLeft w:val="0"/>
                                      <w:marRight w:val="0"/>
                                      <w:marTop w:val="0"/>
                                      <w:marBottom w:val="0"/>
                                      <w:divBdr>
                                        <w:top w:val="none" w:sz="0" w:space="0" w:color="auto"/>
                                        <w:left w:val="none" w:sz="0" w:space="0" w:color="auto"/>
                                        <w:bottom w:val="none" w:sz="0" w:space="0" w:color="auto"/>
                                        <w:right w:val="none" w:sz="0" w:space="0" w:color="auto"/>
                                      </w:divBdr>
                                      <w:divsChild>
                                        <w:div w:id="1951547196">
                                          <w:marLeft w:val="0"/>
                                          <w:marRight w:val="0"/>
                                          <w:marTop w:val="0"/>
                                          <w:marBottom w:val="0"/>
                                          <w:divBdr>
                                            <w:top w:val="none" w:sz="0" w:space="0" w:color="auto"/>
                                            <w:left w:val="none" w:sz="0" w:space="0" w:color="auto"/>
                                            <w:bottom w:val="none" w:sz="0" w:space="0" w:color="auto"/>
                                            <w:right w:val="none" w:sz="0" w:space="0" w:color="auto"/>
                                          </w:divBdr>
                                          <w:divsChild>
                                            <w:div w:id="339699395">
                                              <w:marLeft w:val="0"/>
                                              <w:marRight w:val="0"/>
                                              <w:marTop w:val="0"/>
                                              <w:marBottom w:val="0"/>
                                              <w:divBdr>
                                                <w:top w:val="none" w:sz="0" w:space="0" w:color="auto"/>
                                                <w:left w:val="none" w:sz="0" w:space="0" w:color="auto"/>
                                                <w:bottom w:val="none" w:sz="0" w:space="0" w:color="auto"/>
                                                <w:right w:val="none" w:sz="0" w:space="0" w:color="auto"/>
                                              </w:divBdr>
                                              <w:divsChild>
                                                <w:div w:id="636493213">
                                                  <w:marLeft w:val="0"/>
                                                  <w:marRight w:val="0"/>
                                                  <w:marTop w:val="0"/>
                                                  <w:marBottom w:val="0"/>
                                                  <w:divBdr>
                                                    <w:top w:val="none" w:sz="0" w:space="0" w:color="auto"/>
                                                    <w:left w:val="none" w:sz="0" w:space="0" w:color="auto"/>
                                                    <w:bottom w:val="none" w:sz="0" w:space="0" w:color="auto"/>
                                                    <w:right w:val="none" w:sz="0" w:space="0" w:color="auto"/>
                                                  </w:divBdr>
                                                  <w:divsChild>
                                                    <w:div w:id="493028874">
                                                      <w:marLeft w:val="0"/>
                                                      <w:marRight w:val="0"/>
                                                      <w:marTop w:val="0"/>
                                                      <w:marBottom w:val="0"/>
                                                      <w:divBdr>
                                                        <w:top w:val="none" w:sz="0" w:space="0" w:color="auto"/>
                                                        <w:left w:val="none" w:sz="0" w:space="0" w:color="auto"/>
                                                        <w:bottom w:val="none" w:sz="0" w:space="0" w:color="auto"/>
                                                        <w:right w:val="none" w:sz="0" w:space="0" w:color="auto"/>
                                                      </w:divBdr>
                                                      <w:divsChild>
                                                        <w:div w:id="370691822">
                                                          <w:marLeft w:val="0"/>
                                                          <w:marRight w:val="0"/>
                                                          <w:marTop w:val="0"/>
                                                          <w:marBottom w:val="0"/>
                                                          <w:divBdr>
                                                            <w:top w:val="none" w:sz="0" w:space="0" w:color="auto"/>
                                                            <w:left w:val="none" w:sz="0" w:space="0" w:color="auto"/>
                                                            <w:bottom w:val="none" w:sz="0" w:space="0" w:color="auto"/>
                                                            <w:right w:val="none" w:sz="0" w:space="0" w:color="auto"/>
                                                          </w:divBdr>
                                                          <w:divsChild>
                                                            <w:div w:id="122159625">
                                                              <w:marLeft w:val="0"/>
                                                              <w:marRight w:val="0"/>
                                                              <w:marTop w:val="0"/>
                                                              <w:marBottom w:val="0"/>
                                                              <w:divBdr>
                                                                <w:top w:val="none" w:sz="0" w:space="0" w:color="auto"/>
                                                                <w:left w:val="none" w:sz="0" w:space="0" w:color="auto"/>
                                                                <w:bottom w:val="none" w:sz="0" w:space="0" w:color="auto"/>
                                                                <w:right w:val="none" w:sz="0" w:space="0" w:color="auto"/>
                                                              </w:divBdr>
                                                              <w:divsChild>
                                                                <w:div w:id="594484703">
                                                                  <w:marLeft w:val="0"/>
                                                                  <w:marRight w:val="0"/>
                                                                  <w:marTop w:val="0"/>
                                                                  <w:marBottom w:val="0"/>
                                                                  <w:divBdr>
                                                                    <w:top w:val="none" w:sz="0" w:space="0" w:color="auto"/>
                                                                    <w:left w:val="none" w:sz="0" w:space="0" w:color="auto"/>
                                                                    <w:bottom w:val="none" w:sz="0" w:space="0" w:color="auto"/>
                                                                    <w:right w:val="none" w:sz="0" w:space="0" w:color="auto"/>
                                                                  </w:divBdr>
                                                                  <w:divsChild>
                                                                    <w:div w:id="1521235095">
                                                                      <w:marLeft w:val="0"/>
                                                                      <w:marRight w:val="0"/>
                                                                      <w:marTop w:val="0"/>
                                                                      <w:marBottom w:val="0"/>
                                                                      <w:divBdr>
                                                                        <w:top w:val="none" w:sz="0" w:space="0" w:color="auto"/>
                                                                        <w:left w:val="none" w:sz="0" w:space="0" w:color="auto"/>
                                                                        <w:bottom w:val="none" w:sz="0" w:space="0" w:color="auto"/>
                                                                        <w:right w:val="none" w:sz="0" w:space="0" w:color="auto"/>
                                                                      </w:divBdr>
                                                                      <w:divsChild>
                                                                        <w:div w:id="921640220">
                                                                          <w:marLeft w:val="0"/>
                                                                          <w:marRight w:val="0"/>
                                                                          <w:marTop w:val="0"/>
                                                                          <w:marBottom w:val="0"/>
                                                                          <w:divBdr>
                                                                            <w:top w:val="none" w:sz="0" w:space="0" w:color="auto"/>
                                                                            <w:left w:val="none" w:sz="0" w:space="0" w:color="auto"/>
                                                                            <w:bottom w:val="none" w:sz="0" w:space="0" w:color="auto"/>
                                                                            <w:right w:val="none" w:sz="0" w:space="0" w:color="auto"/>
                                                                          </w:divBdr>
                                                                          <w:divsChild>
                                                                            <w:div w:id="340402763">
                                                                              <w:marLeft w:val="0"/>
                                                                              <w:marRight w:val="0"/>
                                                                              <w:marTop w:val="0"/>
                                                                              <w:marBottom w:val="0"/>
                                                                              <w:divBdr>
                                                                                <w:top w:val="none" w:sz="0" w:space="0" w:color="auto"/>
                                                                                <w:left w:val="none" w:sz="0" w:space="0" w:color="auto"/>
                                                                                <w:bottom w:val="none" w:sz="0" w:space="0" w:color="auto"/>
                                                                                <w:right w:val="none" w:sz="0" w:space="0" w:color="auto"/>
                                                                              </w:divBdr>
                                                                              <w:divsChild>
                                                                                <w:div w:id="941455746">
                                                                                  <w:marLeft w:val="0"/>
                                                                                  <w:marRight w:val="0"/>
                                                                                  <w:marTop w:val="0"/>
                                                                                  <w:marBottom w:val="0"/>
                                                                                  <w:divBdr>
                                                                                    <w:top w:val="none" w:sz="0" w:space="0" w:color="auto"/>
                                                                                    <w:left w:val="none" w:sz="0" w:space="0" w:color="auto"/>
                                                                                    <w:bottom w:val="none" w:sz="0" w:space="0" w:color="auto"/>
                                                                                    <w:right w:val="none" w:sz="0" w:space="0" w:color="auto"/>
                                                                                  </w:divBdr>
                                                                                  <w:divsChild>
                                                                                    <w:div w:id="1371760518">
                                                                                      <w:marLeft w:val="0"/>
                                                                                      <w:marRight w:val="0"/>
                                                                                      <w:marTop w:val="0"/>
                                                                                      <w:marBottom w:val="0"/>
                                                                                      <w:divBdr>
                                                                                        <w:top w:val="none" w:sz="0" w:space="0" w:color="auto"/>
                                                                                        <w:left w:val="none" w:sz="0" w:space="0" w:color="auto"/>
                                                                                        <w:bottom w:val="none" w:sz="0" w:space="0" w:color="auto"/>
                                                                                        <w:right w:val="none" w:sz="0" w:space="0" w:color="auto"/>
                                                                                      </w:divBdr>
                                                                                      <w:divsChild>
                                                                                        <w:div w:id="1136291363">
                                                                                          <w:marLeft w:val="0"/>
                                                                                          <w:marRight w:val="0"/>
                                                                                          <w:marTop w:val="0"/>
                                                                                          <w:marBottom w:val="0"/>
                                                                                          <w:divBdr>
                                                                                            <w:top w:val="none" w:sz="0" w:space="0" w:color="auto"/>
                                                                                            <w:left w:val="none" w:sz="0" w:space="0" w:color="auto"/>
                                                                                            <w:bottom w:val="none" w:sz="0" w:space="0" w:color="auto"/>
                                                                                            <w:right w:val="none" w:sz="0" w:space="0" w:color="auto"/>
                                                                                          </w:divBdr>
                                                                                          <w:divsChild>
                                                                                            <w:div w:id="57896929">
                                                                                              <w:marLeft w:val="0"/>
                                                                                              <w:marRight w:val="0"/>
                                                                                              <w:marTop w:val="0"/>
                                                                                              <w:marBottom w:val="0"/>
                                                                                              <w:divBdr>
                                                                                                <w:top w:val="none" w:sz="0" w:space="0" w:color="auto"/>
                                                                                                <w:left w:val="none" w:sz="0" w:space="0" w:color="auto"/>
                                                                                                <w:bottom w:val="none" w:sz="0" w:space="0" w:color="auto"/>
                                                                                                <w:right w:val="none" w:sz="0" w:space="0" w:color="auto"/>
                                                                                              </w:divBdr>
                                                                                              <w:divsChild>
                                                                                                <w:div w:id="1853492462">
                                                                                                  <w:marLeft w:val="0"/>
                                                                                                  <w:marRight w:val="0"/>
                                                                                                  <w:marTop w:val="0"/>
                                                                                                  <w:marBottom w:val="0"/>
                                                                                                  <w:divBdr>
                                                                                                    <w:top w:val="none" w:sz="0" w:space="0" w:color="auto"/>
                                                                                                    <w:left w:val="none" w:sz="0" w:space="0" w:color="auto"/>
                                                                                                    <w:bottom w:val="none" w:sz="0" w:space="0" w:color="auto"/>
                                                                                                    <w:right w:val="none" w:sz="0" w:space="0" w:color="auto"/>
                                                                                                  </w:divBdr>
                                                                                                  <w:divsChild>
                                                                                                    <w:div w:id="13310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864898">
      <w:bodyDiv w:val="1"/>
      <w:marLeft w:val="0"/>
      <w:marRight w:val="0"/>
      <w:marTop w:val="0"/>
      <w:marBottom w:val="0"/>
      <w:divBdr>
        <w:top w:val="none" w:sz="0" w:space="0" w:color="auto"/>
        <w:left w:val="none" w:sz="0" w:space="0" w:color="auto"/>
        <w:bottom w:val="none" w:sz="0" w:space="0" w:color="auto"/>
        <w:right w:val="none" w:sz="0" w:space="0" w:color="auto"/>
      </w:divBdr>
    </w:div>
    <w:div w:id="399788888">
      <w:bodyDiv w:val="1"/>
      <w:marLeft w:val="0"/>
      <w:marRight w:val="0"/>
      <w:marTop w:val="0"/>
      <w:marBottom w:val="0"/>
      <w:divBdr>
        <w:top w:val="none" w:sz="0" w:space="0" w:color="auto"/>
        <w:left w:val="none" w:sz="0" w:space="0" w:color="auto"/>
        <w:bottom w:val="none" w:sz="0" w:space="0" w:color="auto"/>
        <w:right w:val="none" w:sz="0" w:space="0" w:color="auto"/>
      </w:divBdr>
    </w:div>
    <w:div w:id="403842552">
      <w:bodyDiv w:val="1"/>
      <w:marLeft w:val="0"/>
      <w:marRight w:val="0"/>
      <w:marTop w:val="0"/>
      <w:marBottom w:val="0"/>
      <w:divBdr>
        <w:top w:val="none" w:sz="0" w:space="0" w:color="auto"/>
        <w:left w:val="none" w:sz="0" w:space="0" w:color="auto"/>
        <w:bottom w:val="none" w:sz="0" w:space="0" w:color="auto"/>
        <w:right w:val="none" w:sz="0" w:space="0" w:color="auto"/>
      </w:divBdr>
    </w:div>
    <w:div w:id="405692693">
      <w:bodyDiv w:val="1"/>
      <w:marLeft w:val="0"/>
      <w:marRight w:val="0"/>
      <w:marTop w:val="0"/>
      <w:marBottom w:val="0"/>
      <w:divBdr>
        <w:top w:val="none" w:sz="0" w:space="0" w:color="auto"/>
        <w:left w:val="none" w:sz="0" w:space="0" w:color="auto"/>
        <w:bottom w:val="none" w:sz="0" w:space="0" w:color="auto"/>
        <w:right w:val="none" w:sz="0" w:space="0" w:color="auto"/>
      </w:divBdr>
    </w:div>
    <w:div w:id="414471204">
      <w:bodyDiv w:val="1"/>
      <w:marLeft w:val="0"/>
      <w:marRight w:val="0"/>
      <w:marTop w:val="0"/>
      <w:marBottom w:val="0"/>
      <w:divBdr>
        <w:top w:val="none" w:sz="0" w:space="0" w:color="auto"/>
        <w:left w:val="none" w:sz="0" w:space="0" w:color="auto"/>
        <w:bottom w:val="none" w:sz="0" w:space="0" w:color="auto"/>
        <w:right w:val="none" w:sz="0" w:space="0" w:color="auto"/>
      </w:divBdr>
    </w:div>
    <w:div w:id="416824324">
      <w:bodyDiv w:val="1"/>
      <w:marLeft w:val="0"/>
      <w:marRight w:val="0"/>
      <w:marTop w:val="0"/>
      <w:marBottom w:val="0"/>
      <w:divBdr>
        <w:top w:val="none" w:sz="0" w:space="0" w:color="auto"/>
        <w:left w:val="none" w:sz="0" w:space="0" w:color="auto"/>
        <w:bottom w:val="none" w:sz="0" w:space="0" w:color="auto"/>
        <w:right w:val="none" w:sz="0" w:space="0" w:color="auto"/>
      </w:divBdr>
      <w:divsChild>
        <w:div w:id="1040860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195571">
      <w:bodyDiv w:val="1"/>
      <w:marLeft w:val="0"/>
      <w:marRight w:val="0"/>
      <w:marTop w:val="0"/>
      <w:marBottom w:val="0"/>
      <w:divBdr>
        <w:top w:val="none" w:sz="0" w:space="0" w:color="auto"/>
        <w:left w:val="none" w:sz="0" w:space="0" w:color="auto"/>
        <w:bottom w:val="none" w:sz="0" w:space="0" w:color="auto"/>
        <w:right w:val="none" w:sz="0" w:space="0" w:color="auto"/>
      </w:divBdr>
    </w:div>
    <w:div w:id="431824767">
      <w:bodyDiv w:val="1"/>
      <w:marLeft w:val="0"/>
      <w:marRight w:val="0"/>
      <w:marTop w:val="0"/>
      <w:marBottom w:val="0"/>
      <w:divBdr>
        <w:top w:val="none" w:sz="0" w:space="0" w:color="auto"/>
        <w:left w:val="none" w:sz="0" w:space="0" w:color="auto"/>
        <w:bottom w:val="none" w:sz="0" w:space="0" w:color="auto"/>
        <w:right w:val="none" w:sz="0" w:space="0" w:color="auto"/>
      </w:divBdr>
    </w:div>
    <w:div w:id="441656700">
      <w:bodyDiv w:val="1"/>
      <w:marLeft w:val="0"/>
      <w:marRight w:val="0"/>
      <w:marTop w:val="0"/>
      <w:marBottom w:val="0"/>
      <w:divBdr>
        <w:top w:val="none" w:sz="0" w:space="0" w:color="auto"/>
        <w:left w:val="none" w:sz="0" w:space="0" w:color="auto"/>
        <w:bottom w:val="none" w:sz="0" w:space="0" w:color="auto"/>
        <w:right w:val="none" w:sz="0" w:space="0" w:color="auto"/>
      </w:divBdr>
      <w:divsChild>
        <w:div w:id="1420056723">
          <w:marLeft w:val="0"/>
          <w:marRight w:val="0"/>
          <w:marTop w:val="0"/>
          <w:marBottom w:val="0"/>
          <w:divBdr>
            <w:top w:val="none" w:sz="0" w:space="0" w:color="auto"/>
            <w:left w:val="none" w:sz="0" w:space="0" w:color="auto"/>
            <w:bottom w:val="none" w:sz="0" w:space="0" w:color="auto"/>
            <w:right w:val="none" w:sz="0" w:space="0" w:color="auto"/>
          </w:divBdr>
          <w:divsChild>
            <w:div w:id="8933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3269">
      <w:bodyDiv w:val="1"/>
      <w:marLeft w:val="0"/>
      <w:marRight w:val="0"/>
      <w:marTop w:val="0"/>
      <w:marBottom w:val="0"/>
      <w:divBdr>
        <w:top w:val="none" w:sz="0" w:space="0" w:color="auto"/>
        <w:left w:val="none" w:sz="0" w:space="0" w:color="auto"/>
        <w:bottom w:val="none" w:sz="0" w:space="0" w:color="auto"/>
        <w:right w:val="none" w:sz="0" w:space="0" w:color="auto"/>
      </w:divBdr>
    </w:div>
    <w:div w:id="453257344">
      <w:bodyDiv w:val="1"/>
      <w:marLeft w:val="0"/>
      <w:marRight w:val="0"/>
      <w:marTop w:val="0"/>
      <w:marBottom w:val="0"/>
      <w:divBdr>
        <w:top w:val="none" w:sz="0" w:space="0" w:color="auto"/>
        <w:left w:val="none" w:sz="0" w:space="0" w:color="auto"/>
        <w:bottom w:val="none" w:sz="0" w:space="0" w:color="auto"/>
        <w:right w:val="none" w:sz="0" w:space="0" w:color="auto"/>
      </w:divBdr>
    </w:div>
    <w:div w:id="463275031">
      <w:bodyDiv w:val="1"/>
      <w:marLeft w:val="0"/>
      <w:marRight w:val="0"/>
      <w:marTop w:val="0"/>
      <w:marBottom w:val="0"/>
      <w:divBdr>
        <w:top w:val="none" w:sz="0" w:space="0" w:color="auto"/>
        <w:left w:val="none" w:sz="0" w:space="0" w:color="auto"/>
        <w:bottom w:val="none" w:sz="0" w:space="0" w:color="auto"/>
        <w:right w:val="none" w:sz="0" w:space="0" w:color="auto"/>
      </w:divBdr>
    </w:div>
    <w:div w:id="481625380">
      <w:bodyDiv w:val="1"/>
      <w:marLeft w:val="0"/>
      <w:marRight w:val="0"/>
      <w:marTop w:val="0"/>
      <w:marBottom w:val="0"/>
      <w:divBdr>
        <w:top w:val="none" w:sz="0" w:space="0" w:color="auto"/>
        <w:left w:val="none" w:sz="0" w:space="0" w:color="auto"/>
        <w:bottom w:val="none" w:sz="0" w:space="0" w:color="auto"/>
        <w:right w:val="none" w:sz="0" w:space="0" w:color="auto"/>
      </w:divBdr>
      <w:divsChild>
        <w:div w:id="1190337974">
          <w:marLeft w:val="0"/>
          <w:marRight w:val="0"/>
          <w:marTop w:val="0"/>
          <w:marBottom w:val="0"/>
          <w:divBdr>
            <w:top w:val="none" w:sz="0" w:space="0" w:color="auto"/>
            <w:left w:val="none" w:sz="0" w:space="0" w:color="auto"/>
            <w:bottom w:val="none" w:sz="0" w:space="0" w:color="auto"/>
            <w:right w:val="none" w:sz="0" w:space="0" w:color="auto"/>
          </w:divBdr>
        </w:div>
        <w:div w:id="1556356248">
          <w:marLeft w:val="0"/>
          <w:marRight w:val="0"/>
          <w:marTop w:val="0"/>
          <w:marBottom w:val="0"/>
          <w:divBdr>
            <w:top w:val="none" w:sz="0" w:space="0" w:color="auto"/>
            <w:left w:val="none" w:sz="0" w:space="0" w:color="auto"/>
            <w:bottom w:val="none" w:sz="0" w:space="0" w:color="auto"/>
            <w:right w:val="none" w:sz="0" w:space="0" w:color="auto"/>
          </w:divBdr>
        </w:div>
      </w:divsChild>
    </w:div>
    <w:div w:id="482235308">
      <w:bodyDiv w:val="1"/>
      <w:marLeft w:val="0"/>
      <w:marRight w:val="0"/>
      <w:marTop w:val="0"/>
      <w:marBottom w:val="0"/>
      <w:divBdr>
        <w:top w:val="none" w:sz="0" w:space="0" w:color="auto"/>
        <w:left w:val="none" w:sz="0" w:space="0" w:color="auto"/>
        <w:bottom w:val="none" w:sz="0" w:space="0" w:color="auto"/>
        <w:right w:val="none" w:sz="0" w:space="0" w:color="auto"/>
      </w:divBdr>
    </w:div>
    <w:div w:id="496576712">
      <w:bodyDiv w:val="1"/>
      <w:marLeft w:val="0"/>
      <w:marRight w:val="0"/>
      <w:marTop w:val="0"/>
      <w:marBottom w:val="0"/>
      <w:divBdr>
        <w:top w:val="none" w:sz="0" w:space="0" w:color="auto"/>
        <w:left w:val="none" w:sz="0" w:space="0" w:color="auto"/>
        <w:bottom w:val="none" w:sz="0" w:space="0" w:color="auto"/>
        <w:right w:val="none" w:sz="0" w:space="0" w:color="auto"/>
      </w:divBdr>
    </w:div>
    <w:div w:id="497113255">
      <w:bodyDiv w:val="1"/>
      <w:marLeft w:val="0"/>
      <w:marRight w:val="0"/>
      <w:marTop w:val="0"/>
      <w:marBottom w:val="0"/>
      <w:divBdr>
        <w:top w:val="none" w:sz="0" w:space="0" w:color="auto"/>
        <w:left w:val="none" w:sz="0" w:space="0" w:color="auto"/>
        <w:bottom w:val="none" w:sz="0" w:space="0" w:color="auto"/>
        <w:right w:val="none" w:sz="0" w:space="0" w:color="auto"/>
      </w:divBdr>
    </w:div>
    <w:div w:id="503669249">
      <w:bodyDiv w:val="1"/>
      <w:marLeft w:val="0"/>
      <w:marRight w:val="0"/>
      <w:marTop w:val="0"/>
      <w:marBottom w:val="0"/>
      <w:divBdr>
        <w:top w:val="none" w:sz="0" w:space="0" w:color="auto"/>
        <w:left w:val="none" w:sz="0" w:space="0" w:color="auto"/>
        <w:bottom w:val="none" w:sz="0" w:space="0" w:color="auto"/>
        <w:right w:val="none" w:sz="0" w:space="0" w:color="auto"/>
      </w:divBdr>
    </w:div>
    <w:div w:id="505826334">
      <w:bodyDiv w:val="1"/>
      <w:marLeft w:val="0"/>
      <w:marRight w:val="0"/>
      <w:marTop w:val="0"/>
      <w:marBottom w:val="0"/>
      <w:divBdr>
        <w:top w:val="none" w:sz="0" w:space="0" w:color="auto"/>
        <w:left w:val="none" w:sz="0" w:space="0" w:color="auto"/>
        <w:bottom w:val="none" w:sz="0" w:space="0" w:color="auto"/>
        <w:right w:val="none" w:sz="0" w:space="0" w:color="auto"/>
      </w:divBdr>
    </w:div>
    <w:div w:id="508250158">
      <w:bodyDiv w:val="1"/>
      <w:marLeft w:val="0"/>
      <w:marRight w:val="0"/>
      <w:marTop w:val="0"/>
      <w:marBottom w:val="0"/>
      <w:divBdr>
        <w:top w:val="none" w:sz="0" w:space="0" w:color="auto"/>
        <w:left w:val="none" w:sz="0" w:space="0" w:color="auto"/>
        <w:bottom w:val="none" w:sz="0" w:space="0" w:color="auto"/>
        <w:right w:val="none" w:sz="0" w:space="0" w:color="auto"/>
      </w:divBdr>
    </w:div>
    <w:div w:id="529072402">
      <w:bodyDiv w:val="1"/>
      <w:marLeft w:val="0"/>
      <w:marRight w:val="0"/>
      <w:marTop w:val="0"/>
      <w:marBottom w:val="0"/>
      <w:divBdr>
        <w:top w:val="none" w:sz="0" w:space="0" w:color="auto"/>
        <w:left w:val="none" w:sz="0" w:space="0" w:color="auto"/>
        <w:bottom w:val="none" w:sz="0" w:space="0" w:color="auto"/>
        <w:right w:val="none" w:sz="0" w:space="0" w:color="auto"/>
      </w:divBdr>
    </w:div>
    <w:div w:id="558058074">
      <w:bodyDiv w:val="1"/>
      <w:marLeft w:val="0"/>
      <w:marRight w:val="0"/>
      <w:marTop w:val="0"/>
      <w:marBottom w:val="0"/>
      <w:divBdr>
        <w:top w:val="none" w:sz="0" w:space="0" w:color="auto"/>
        <w:left w:val="none" w:sz="0" w:space="0" w:color="auto"/>
        <w:bottom w:val="none" w:sz="0" w:space="0" w:color="auto"/>
        <w:right w:val="none" w:sz="0" w:space="0" w:color="auto"/>
      </w:divBdr>
    </w:div>
    <w:div w:id="579407091">
      <w:bodyDiv w:val="1"/>
      <w:marLeft w:val="0"/>
      <w:marRight w:val="0"/>
      <w:marTop w:val="0"/>
      <w:marBottom w:val="0"/>
      <w:divBdr>
        <w:top w:val="none" w:sz="0" w:space="0" w:color="auto"/>
        <w:left w:val="none" w:sz="0" w:space="0" w:color="auto"/>
        <w:bottom w:val="none" w:sz="0" w:space="0" w:color="auto"/>
        <w:right w:val="none" w:sz="0" w:space="0" w:color="auto"/>
      </w:divBdr>
      <w:divsChild>
        <w:div w:id="947935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278529">
      <w:bodyDiv w:val="1"/>
      <w:marLeft w:val="0"/>
      <w:marRight w:val="0"/>
      <w:marTop w:val="0"/>
      <w:marBottom w:val="0"/>
      <w:divBdr>
        <w:top w:val="none" w:sz="0" w:space="0" w:color="auto"/>
        <w:left w:val="none" w:sz="0" w:space="0" w:color="auto"/>
        <w:bottom w:val="none" w:sz="0" w:space="0" w:color="auto"/>
        <w:right w:val="none" w:sz="0" w:space="0" w:color="auto"/>
      </w:divBdr>
      <w:divsChild>
        <w:div w:id="396585866">
          <w:marLeft w:val="0"/>
          <w:marRight w:val="0"/>
          <w:marTop w:val="0"/>
          <w:marBottom w:val="0"/>
          <w:divBdr>
            <w:top w:val="none" w:sz="0" w:space="0" w:color="auto"/>
            <w:left w:val="none" w:sz="0" w:space="0" w:color="auto"/>
            <w:bottom w:val="none" w:sz="0" w:space="0" w:color="auto"/>
            <w:right w:val="none" w:sz="0" w:space="0" w:color="auto"/>
          </w:divBdr>
        </w:div>
      </w:divsChild>
    </w:div>
    <w:div w:id="627013280">
      <w:bodyDiv w:val="1"/>
      <w:marLeft w:val="0"/>
      <w:marRight w:val="0"/>
      <w:marTop w:val="0"/>
      <w:marBottom w:val="0"/>
      <w:divBdr>
        <w:top w:val="none" w:sz="0" w:space="0" w:color="auto"/>
        <w:left w:val="none" w:sz="0" w:space="0" w:color="auto"/>
        <w:bottom w:val="none" w:sz="0" w:space="0" w:color="auto"/>
        <w:right w:val="none" w:sz="0" w:space="0" w:color="auto"/>
      </w:divBdr>
    </w:div>
    <w:div w:id="629437967">
      <w:bodyDiv w:val="1"/>
      <w:marLeft w:val="0"/>
      <w:marRight w:val="0"/>
      <w:marTop w:val="0"/>
      <w:marBottom w:val="0"/>
      <w:divBdr>
        <w:top w:val="none" w:sz="0" w:space="0" w:color="auto"/>
        <w:left w:val="none" w:sz="0" w:space="0" w:color="auto"/>
        <w:bottom w:val="none" w:sz="0" w:space="0" w:color="auto"/>
        <w:right w:val="none" w:sz="0" w:space="0" w:color="auto"/>
      </w:divBdr>
    </w:div>
    <w:div w:id="650912611">
      <w:bodyDiv w:val="1"/>
      <w:marLeft w:val="0"/>
      <w:marRight w:val="0"/>
      <w:marTop w:val="0"/>
      <w:marBottom w:val="0"/>
      <w:divBdr>
        <w:top w:val="none" w:sz="0" w:space="0" w:color="auto"/>
        <w:left w:val="none" w:sz="0" w:space="0" w:color="auto"/>
        <w:bottom w:val="none" w:sz="0" w:space="0" w:color="auto"/>
        <w:right w:val="none" w:sz="0" w:space="0" w:color="auto"/>
      </w:divBdr>
    </w:div>
    <w:div w:id="666370377">
      <w:bodyDiv w:val="1"/>
      <w:marLeft w:val="0"/>
      <w:marRight w:val="0"/>
      <w:marTop w:val="0"/>
      <w:marBottom w:val="0"/>
      <w:divBdr>
        <w:top w:val="none" w:sz="0" w:space="0" w:color="auto"/>
        <w:left w:val="none" w:sz="0" w:space="0" w:color="auto"/>
        <w:bottom w:val="none" w:sz="0" w:space="0" w:color="auto"/>
        <w:right w:val="none" w:sz="0" w:space="0" w:color="auto"/>
      </w:divBdr>
      <w:divsChild>
        <w:div w:id="302661715">
          <w:marLeft w:val="0"/>
          <w:marRight w:val="0"/>
          <w:marTop w:val="195"/>
          <w:marBottom w:val="195"/>
          <w:divBdr>
            <w:top w:val="none" w:sz="0" w:space="0" w:color="auto"/>
            <w:left w:val="none" w:sz="0" w:space="0" w:color="auto"/>
            <w:bottom w:val="none" w:sz="0" w:space="0" w:color="auto"/>
            <w:right w:val="none" w:sz="0" w:space="0" w:color="auto"/>
          </w:divBdr>
          <w:divsChild>
            <w:div w:id="268778731">
              <w:marLeft w:val="0"/>
              <w:marRight w:val="0"/>
              <w:marTop w:val="0"/>
              <w:marBottom w:val="0"/>
              <w:divBdr>
                <w:top w:val="none" w:sz="0" w:space="0" w:color="auto"/>
                <w:left w:val="none" w:sz="0" w:space="0" w:color="auto"/>
                <w:bottom w:val="none" w:sz="0" w:space="0" w:color="auto"/>
                <w:right w:val="none" w:sz="0" w:space="0" w:color="auto"/>
              </w:divBdr>
              <w:divsChild>
                <w:div w:id="1196694870">
                  <w:marLeft w:val="0"/>
                  <w:marRight w:val="0"/>
                  <w:marTop w:val="0"/>
                  <w:marBottom w:val="0"/>
                  <w:divBdr>
                    <w:top w:val="none" w:sz="0" w:space="0" w:color="auto"/>
                    <w:left w:val="none" w:sz="0" w:space="0" w:color="auto"/>
                    <w:bottom w:val="none" w:sz="0" w:space="0" w:color="auto"/>
                    <w:right w:val="none" w:sz="0" w:space="0" w:color="auto"/>
                  </w:divBdr>
                  <w:divsChild>
                    <w:div w:id="13376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18766">
          <w:marLeft w:val="0"/>
          <w:marRight w:val="0"/>
          <w:marTop w:val="0"/>
          <w:marBottom w:val="0"/>
          <w:divBdr>
            <w:top w:val="none" w:sz="0" w:space="0" w:color="auto"/>
            <w:left w:val="none" w:sz="0" w:space="0" w:color="auto"/>
            <w:bottom w:val="none" w:sz="0" w:space="0" w:color="auto"/>
            <w:right w:val="none" w:sz="0" w:space="0" w:color="auto"/>
          </w:divBdr>
          <w:divsChild>
            <w:div w:id="9794806">
              <w:marLeft w:val="0"/>
              <w:marRight w:val="0"/>
              <w:marTop w:val="105"/>
              <w:marBottom w:val="0"/>
              <w:divBdr>
                <w:top w:val="none" w:sz="0" w:space="0" w:color="auto"/>
                <w:left w:val="none" w:sz="0" w:space="0" w:color="auto"/>
                <w:bottom w:val="none" w:sz="0" w:space="0" w:color="auto"/>
                <w:right w:val="none" w:sz="0" w:space="0" w:color="auto"/>
              </w:divBdr>
            </w:div>
          </w:divsChild>
        </w:div>
        <w:div w:id="1615820198">
          <w:marLeft w:val="0"/>
          <w:marRight w:val="0"/>
          <w:marTop w:val="0"/>
          <w:marBottom w:val="0"/>
          <w:divBdr>
            <w:top w:val="none" w:sz="0" w:space="0" w:color="auto"/>
            <w:left w:val="none" w:sz="0" w:space="0" w:color="auto"/>
            <w:bottom w:val="none" w:sz="0" w:space="0" w:color="auto"/>
            <w:right w:val="none" w:sz="0" w:space="0" w:color="auto"/>
          </w:divBdr>
          <w:divsChild>
            <w:div w:id="14382547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59253133">
      <w:bodyDiv w:val="1"/>
      <w:marLeft w:val="0"/>
      <w:marRight w:val="0"/>
      <w:marTop w:val="0"/>
      <w:marBottom w:val="0"/>
      <w:divBdr>
        <w:top w:val="none" w:sz="0" w:space="0" w:color="auto"/>
        <w:left w:val="none" w:sz="0" w:space="0" w:color="auto"/>
        <w:bottom w:val="none" w:sz="0" w:space="0" w:color="auto"/>
        <w:right w:val="none" w:sz="0" w:space="0" w:color="auto"/>
      </w:divBdr>
    </w:div>
    <w:div w:id="764770524">
      <w:bodyDiv w:val="1"/>
      <w:marLeft w:val="0"/>
      <w:marRight w:val="0"/>
      <w:marTop w:val="0"/>
      <w:marBottom w:val="0"/>
      <w:divBdr>
        <w:top w:val="none" w:sz="0" w:space="0" w:color="auto"/>
        <w:left w:val="none" w:sz="0" w:space="0" w:color="auto"/>
        <w:bottom w:val="none" w:sz="0" w:space="0" w:color="auto"/>
        <w:right w:val="none" w:sz="0" w:space="0" w:color="auto"/>
      </w:divBdr>
    </w:div>
    <w:div w:id="803696592">
      <w:bodyDiv w:val="1"/>
      <w:marLeft w:val="0"/>
      <w:marRight w:val="0"/>
      <w:marTop w:val="0"/>
      <w:marBottom w:val="0"/>
      <w:divBdr>
        <w:top w:val="none" w:sz="0" w:space="0" w:color="auto"/>
        <w:left w:val="none" w:sz="0" w:space="0" w:color="auto"/>
        <w:bottom w:val="none" w:sz="0" w:space="0" w:color="auto"/>
        <w:right w:val="none" w:sz="0" w:space="0" w:color="auto"/>
      </w:divBdr>
    </w:div>
    <w:div w:id="803736886">
      <w:bodyDiv w:val="1"/>
      <w:marLeft w:val="0"/>
      <w:marRight w:val="0"/>
      <w:marTop w:val="0"/>
      <w:marBottom w:val="0"/>
      <w:divBdr>
        <w:top w:val="none" w:sz="0" w:space="0" w:color="auto"/>
        <w:left w:val="none" w:sz="0" w:space="0" w:color="auto"/>
        <w:bottom w:val="none" w:sz="0" w:space="0" w:color="auto"/>
        <w:right w:val="none" w:sz="0" w:space="0" w:color="auto"/>
      </w:divBdr>
    </w:div>
    <w:div w:id="811604644">
      <w:bodyDiv w:val="1"/>
      <w:marLeft w:val="0"/>
      <w:marRight w:val="0"/>
      <w:marTop w:val="0"/>
      <w:marBottom w:val="0"/>
      <w:divBdr>
        <w:top w:val="none" w:sz="0" w:space="0" w:color="auto"/>
        <w:left w:val="none" w:sz="0" w:space="0" w:color="auto"/>
        <w:bottom w:val="none" w:sz="0" w:space="0" w:color="auto"/>
        <w:right w:val="none" w:sz="0" w:space="0" w:color="auto"/>
      </w:divBdr>
    </w:div>
    <w:div w:id="839392662">
      <w:bodyDiv w:val="1"/>
      <w:marLeft w:val="0"/>
      <w:marRight w:val="0"/>
      <w:marTop w:val="0"/>
      <w:marBottom w:val="0"/>
      <w:divBdr>
        <w:top w:val="none" w:sz="0" w:space="0" w:color="auto"/>
        <w:left w:val="none" w:sz="0" w:space="0" w:color="auto"/>
        <w:bottom w:val="none" w:sz="0" w:space="0" w:color="auto"/>
        <w:right w:val="none" w:sz="0" w:space="0" w:color="auto"/>
      </w:divBdr>
    </w:div>
    <w:div w:id="861942282">
      <w:bodyDiv w:val="1"/>
      <w:marLeft w:val="0"/>
      <w:marRight w:val="0"/>
      <w:marTop w:val="0"/>
      <w:marBottom w:val="0"/>
      <w:divBdr>
        <w:top w:val="none" w:sz="0" w:space="0" w:color="auto"/>
        <w:left w:val="none" w:sz="0" w:space="0" w:color="auto"/>
        <w:bottom w:val="none" w:sz="0" w:space="0" w:color="auto"/>
        <w:right w:val="none" w:sz="0" w:space="0" w:color="auto"/>
      </w:divBdr>
      <w:divsChild>
        <w:div w:id="1328901358">
          <w:marLeft w:val="0"/>
          <w:marRight w:val="0"/>
          <w:marTop w:val="0"/>
          <w:marBottom w:val="0"/>
          <w:divBdr>
            <w:top w:val="none" w:sz="0" w:space="0" w:color="auto"/>
            <w:left w:val="none" w:sz="0" w:space="0" w:color="auto"/>
            <w:bottom w:val="none" w:sz="0" w:space="0" w:color="auto"/>
            <w:right w:val="none" w:sz="0" w:space="0" w:color="auto"/>
          </w:divBdr>
        </w:div>
        <w:div w:id="1666394664">
          <w:marLeft w:val="0"/>
          <w:marRight w:val="0"/>
          <w:marTop w:val="0"/>
          <w:marBottom w:val="0"/>
          <w:divBdr>
            <w:top w:val="none" w:sz="0" w:space="0" w:color="auto"/>
            <w:left w:val="none" w:sz="0" w:space="0" w:color="auto"/>
            <w:bottom w:val="none" w:sz="0" w:space="0" w:color="auto"/>
            <w:right w:val="none" w:sz="0" w:space="0" w:color="auto"/>
          </w:divBdr>
        </w:div>
      </w:divsChild>
    </w:div>
    <w:div w:id="884482750">
      <w:bodyDiv w:val="1"/>
      <w:marLeft w:val="0"/>
      <w:marRight w:val="0"/>
      <w:marTop w:val="0"/>
      <w:marBottom w:val="0"/>
      <w:divBdr>
        <w:top w:val="none" w:sz="0" w:space="0" w:color="auto"/>
        <w:left w:val="none" w:sz="0" w:space="0" w:color="auto"/>
        <w:bottom w:val="none" w:sz="0" w:space="0" w:color="auto"/>
        <w:right w:val="none" w:sz="0" w:space="0" w:color="auto"/>
      </w:divBdr>
      <w:divsChild>
        <w:div w:id="616910191">
          <w:marLeft w:val="0"/>
          <w:marRight w:val="0"/>
          <w:marTop w:val="0"/>
          <w:marBottom w:val="0"/>
          <w:divBdr>
            <w:top w:val="none" w:sz="0" w:space="0" w:color="auto"/>
            <w:left w:val="none" w:sz="0" w:space="0" w:color="auto"/>
            <w:bottom w:val="none" w:sz="0" w:space="0" w:color="auto"/>
            <w:right w:val="none" w:sz="0" w:space="0" w:color="auto"/>
          </w:divBdr>
          <w:divsChild>
            <w:div w:id="587613823">
              <w:marLeft w:val="0"/>
              <w:marRight w:val="0"/>
              <w:marTop w:val="0"/>
              <w:marBottom w:val="0"/>
              <w:divBdr>
                <w:top w:val="none" w:sz="0" w:space="0" w:color="auto"/>
                <w:left w:val="none" w:sz="0" w:space="0" w:color="auto"/>
                <w:bottom w:val="none" w:sz="0" w:space="0" w:color="auto"/>
                <w:right w:val="none" w:sz="0" w:space="0" w:color="auto"/>
              </w:divBdr>
              <w:divsChild>
                <w:div w:id="1727299137">
                  <w:marLeft w:val="0"/>
                  <w:marRight w:val="0"/>
                  <w:marTop w:val="0"/>
                  <w:marBottom w:val="0"/>
                  <w:divBdr>
                    <w:top w:val="none" w:sz="0" w:space="0" w:color="auto"/>
                    <w:left w:val="none" w:sz="0" w:space="0" w:color="auto"/>
                    <w:bottom w:val="none" w:sz="0" w:space="0" w:color="auto"/>
                    <w:right w:val="none" w:sz="0" w:space="0" w:color="auto"/>
                  </w:divBdr>
                </w:div>
                <w:div w:id="18860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12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202">
          <w:marLeft w:val="0"/>
          <w:marRight w:val="0"/>
          <w:marTop w:val="0"/>
          <w:marBottom w:val="0"/>
          <w:divBdr>
            <w:top w:val="none" w:sz="0" w:space="0" w:color="auto"/>
            <w:left w:val="none" w:sz="0" w:space="0" w:color="auto"/>
            <w:bottom w:val="none" w:sz="0" w:space="0" w:color="auto"/>
            <w:right w:val="none" w:sz="0" w:space="0" w:color="auto"/>
          </w:divBdr>
          <w:divsChild>
            <w:div w:id="1720595710">
              <w:marLeft w:val="0"/>
              <w:marRight w:val="0"/>
              <w:marTop w:val="0"/>
              <w:marBottom w:val="0"/>
              <w:divBdr>
                <w:top w:val="none" w:sz="0" w:space="0" w:color="auto"/>
                <w:left w:val="none" w:sz="0" w:space="0" w:color="auto"/>
                <w:bottom w:val="none" w:sz="0" w:space="0" w:color="auto"/>
                <w:right w:val="none" w:sz="0" w:space="0" w:color="auto"/>
              </w:divBdr>
              <w:divsChild>
                <w:div w:id="795177087">
                  <w:marLeft w:val="0"/>
                  <w:marRight w:val="0"/>
                  <w:marTop w:val="0"/>
                  <w:marBottom w:val="0"/>
                  <w:divBdr>
                    <w:top w:val="none" w:sz="0" w:space="0" w:color="auto"/>
                    <w:left w:val="none" w:sz="0" w:space="0" w:color="auto"/>
                    <w:bottom w:val="none" w:sz="0" w:space="0" w:color="auto"/>
                    <w:right w:val="none" w:sz="0" w:space="0" w:color="auto"/>
                  </w:divBdr>
                </w:div>
                <w:div w:id="14160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51510">
      <w:bodyDiv w:val="1"/>
      <w:marLeft w:val="0"/>
      <w:marRight w:val="0"/>
      <w:marTop w:val="0"/>
      <w:marBottom w:val="0"/>
      <w:divBdr>
        <w:top w:val="none" w:sz="0" w:space="0" w:color="auto"/>
        <w:left w:val="none" w:sz="0" w:space="0" w:color="auto"/>
        <w:bottom w:val="none" w:sz="0" w:space="0" w:color="auto"/>
        <w:right w:val="none" w:sz="0" w:space="0" w:color="auto"/>
      </w:divBdr>
    </w:div>
    <w:div w:id="905795852">
      <w:bodyDiv w:val="1"/>
      <w:marLeft w:val="0"/>
      <w:marRight w:val="0"/>
      <w:marTop w:val="0"/>
      <w:marBottom w:val="0"/>
      <w:divBdr>
        <w:top w:val="none" w:sz="0" w:space="0" w:color="auto"/>
        <w:left w:val="none" w:sz="0" w:space="0" w:color="auto"/>
        <w:bottom w:val="none" w:sz="0" w:space="0" w:color="auto"/>
        <w:right w:val="none" w:sz="0" w:space="0" w:color="auto"/>
      </w:divBdr>
      <w:divsChild>
        <w:div w:id="1669945401">
          <w:marLeft w:val="0"/>
          <w:marRight w:val="0"/>
          <w:marTop w:val="0"/>
          <w:marBottom w:val="0"/>
          <w:divBdr>
            <w:top w:val="none" w:sz="0" w:space="0" w:color="auto"/>
            <w:left w:val="none" w:sz="0" w:space="0" w:color="auto"/>
            <w:bottom w:val="none" w:sz="0" w:space="0" w:color="auto"/>
            <w:right w:val="none" w:sz="0" w:space="0" w:color="auto"/>
          </w:divBdr>
          <w:divsChild>
            <w:div w:id="1269459811">
              <w:marLeft w:val="0"/>
              <w:marRight w:val="0"/>
              <w:marTop w:val="0"/>
              <w:marBottom w:val="0"/>
              <w:divBdr>
                <w:top w:val="none" w:sz="0" w:space="0" w:color="auto"/>
                <w:left w:val="none" w:sz="0" w:space="0" w:color="auto"/>
                <w:bottom w:val="none" w:sz="0" w:space="0" w:color="auto"/>
                <w:right w:val="none" w:sz="0" w:space="0" w:color="auto"/>
              </w:divBdr>
              <w:divsChild>
                <w:div w:id="75054280">
                  <w:marLeft w:val="0"/>
                  <w:marRight w:val="0"/>
                  <w:marTop w:val="0"/>
                  <w:marBottom w:val="0"/>
                  <w:divBdr>
                    <w:top w:val="none" w:sz="0" w:space="0" w:color="auto"/>
                    <w:left w:val="none" w:sz="0" w:space="0" w:color="auto"/>
                    <w:bottom w:val="none" w:sz="0" w:space="0" w:color="auto"/>
                    <w:right w:val="none" w:sz="0" w:space="0" w:color="auto"/>
                  </w:divBdr>
                  <w:divsChild>
                    <w:div w:id="1059397754">
                      <w:marLeft w:val="0"/>
                      <w:marRight w:val="0"/>
                      <w:marTop w:val="0"/>
                      <w:marBottom w:val="0"/>
                      <w:divBdr>
                        <w:top w:val="none" w:sz="0" w:space="0" w:color="auto"/>
                        <w:left w:val="none" w:sz="0" w:space="0" w:color="auto"/>
                        <w:bottom w:val="none" w:sz="0" w:space="0" w:color="auto"/>
                        <w:right w:val="none" w:sz="0" w:space="0" w:color="auto"/>
                      </w:divBdr>
                      <w:divsChild>
                        <w:div w:id="10492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109657">
      <w:bodyDiv w:val="1"/>
      <w:marLeft w:val="0"/>
      <w:marRight w:val="0"/>
      <w:marTop w:val="0"/>
      <w:marBottom w:val="0"/>
      <w:divBdr>
        <w:top w:val="none" w:sz="0" w:space="0" w:color="auto"/>
        <w:left w:val="none" w:sz="0" w:space="0" w:color="auto"/>
        <w:bottom w:val="none" w:sz="0" w:space="0" w:color="auto"/>
        <w:right w:val="none" w:sz="0" w:space="0" w:color="auto"/>
      </w:divBdr>
    </w:div>
    <w:div w:id="931166506">
      <w:bodyDiv w:val="1"/>
      <w:marLeft w:val="0"/>
      <w:marRight w:val="0"/>
      <w:marTop w:val="0"/>
      <w:marBottom w:val="0"/>
      <w:divBdr>
        <w:top w:val="none" w:sz="0" w:space="0" w:color="auto"/>
        <w:left w:val="none" w:sz="0" w:space="0" w:color="auto"/>
        <w:bottom w:val="none" w:sz="0" w:space="0" w:color="auto"/>
        <w:right w:val="none" w:sz="0" w:space="0" w:color="auto"/>
      </w:divBdr>
    </w:div>
    <w:div w:id="940408130">
      <w:bodyDiv w:val="1"/>
      <w:marLeft w:val="0"/>
      <w:marRight w:val="0"/>
      <w:marTop w:val="0"/>
      <w:marBottom w:val="0"/>
      <w:divBdr>
        <w:top w:val="none" w:sz="0" w:space="0" w:color="auto"/>
        <w:left w:val="none" w:sz="0" w:space="0" w:color="auto"/>
        <w:bottom w:val="none" w:sz="0" w:space="0" w:color="auto"/>
        <w:right w:val="none" w:sz="0" w:space="0" w:color="auto"/>
      </w:divBdr>
    </w:div>
    <w:div w:id="954755176">
      <w:bodyDiv w:val="1"/>
      <w:marLeft w:val="0"/>
      <w:marRight w:val="0"/>
      <w:marTop w:val="0"/>
      <w:marBottom w:val="0"/>
      <w:divBdr>
        <w:top w:val="none" w:sz="0" w:space="0" w:color="auto"/>
        <w:left w:val="none" w:sz="0" w:space="0" w:color="auto"/>
        <w:bottom w:val="none" w:sz="0" w:space="0" w:color="auto"/>
        <w:right w:val="none" w:sz="0" w:space="0" w:color="auto"/>
      </w:divBdr>
    </w:div>
    <w:div w:id="961957263">
      <w:bodyDiv w:val="1"/>
      <w:marLeft w:val="0"/>
      <w:marRight w:val="0"/>
      <w:marTop w:val="0"/>
      <w:marBottom w:val="0"/>
      <w:divBdr>
        <w:top w:val="none" w:sz="0" w:space="0" w:color="auto"/>
        <w:left w:val="none" w:sz="0" w:space="0" w:color="auto"/>
        <w:bottom w:val="none" w:sz="0" w:space="0" w:color="auto"/>
        <w:right w:val="none" w:sz="0" w:space="0" w:color="auto"/>
      </w:divBdr>
    </w:div>
    <w:div w:id="965280649">
      <w:bodyDiv w:val="1"/>
      <w:marLeft w:val="0"/>
      <w:marRight w:val="0"/>
      <w:marTop w:val="0"/>
      <w:marBottom w:val="0"/>
      <w:divBdr>
        <w:top w:val="none" w:sz="0" w:space="0" w:color="auto"/>
        <w:left w:val="none" w:sz="0" w:space="0" w:color="auto"/>
        <w:bottom w:val="none" w:sz="0" w:space="0" w:color="auto"/>
        <w:right w:val="none" w:sz="0" w:space="0" w:color="auto"/>
      </w:divBdr>
      <w:divsChild>
        <w:div w:id="1161696913">
          <w:marLeft w:val="0"/>
          <w:marRight w:val="0"/>
          <w:marTop w:val="0"/>
          <w:marBottom w:val="0"/>
          <w:divBdr>
            <w:top w:val="none" w:sz="0" w:space="0" w:color="auto"/>
            <w:left w:val="none" w:sz="0" w:space="0" w:color="auto"/>
            <w:bottom w:val="none" w:sz="0" w:space="0" w:color="auto"/>
            <w:right w:val="none" w:sz="0" w:space="0" w:color="auto"/>
          </w:divBdr>
        </w:div>
        <w:div w:id="1309437127">
          <w:marLeft w:val="0"/>
          <w:marRight w:val="0"/>
          <w:marTop w:val="0"/>
          <w:marBottom w:val="90"/>
          <w:divBdr>
            <w:top w:val="none" w:sz="0" w:space="0" w:color="auto"/>
            <w:left w:val="none" w:sz="0" w:space="0" w:color="auto"/>
            <w:bottom w:val="none" w:sz="0" w:space="0" w:color="auto"/>
            <w:right w:val="none" w:sz="0" w:space="0" w:color="auto"/>
          </w:divBdr>
        </w:div>
      </w:divsChild>
    </w:div>
    <w:div w:id="994574580">
      <w:bodyDiv w:val="1"/>
      <w:marLeft w:val="0"/>
      <w:marRight w:val="0"/>
      <w:marTop w:val="0"/>
      <w:marBottom w:val="0"/>
      <w:divBdr>
        <w:top w:val="none" w:sz="0" w:space="0" w:color="auto"/>
        <w:left w:val="none" w:sz="0" w:space="0" w:color="auto"/>
        <w:bottom w:val="none" w:sz="0" w:space="0" w:color="auto"/>
        <w:right w:val="none" w:sz="0" w:space="0" w:color="auto"/>
      </w:divBdr>
      <w:divsChild>
        <w:div w:id="8680950">
          <w:marLeft w:val="0"/>
          <w:marRight w:val="0"/>
          <w:marTop w:val="0"/>
          <w:marBottom w:val="0"/>
          <w:divBdr>
            <w:top w:val="none" w:sz="0" w:space="0" w:color="auto"/>
            <w:left w:val="none" w:sz="0" w:space="0" w:color="auto"/>
            <w:bottom w:val="none" w:sz="0" w:space="0" w:color="auto"/>
            <w:right w:val="none" w:sz="0" w:space="0" w:color="auto"/>
          </w:divBdr>
        </w:div>
        <w:div w:id="391971585">
          <w:marLeft w:val="0"/>
          <w:marRight w:val="0"/>
          <w:marTop w:val="0"/>
          <w:marBottom w:val="0"/>
          <w:divBdr>
            <w:top w:val="none" w:sz="0" w:space="0" w:color="auto"/>
            <w:left w:val="none" w:sz="0" w:space="0" w:color="auto"/>
            <w:bottom w:val="none" w:sz="0" w:space="0" w:color="auto"/>
            <w:right w:val="none" w:sz="0" w:space="0" w:color="auto"/>
          </w:divBdr>
        </w:div>
      </w:divsChild>
    </w:div>
    <w:div w:id="1010059748">
      <w:bodyDiv w:val="1"/>
      <w:marLeft w:val="0"/>
      <w:marRight w:val="0"/>
      <w:marTop w:val="0"/>
      <w:marBottom w:val="0"/>
      <w:divBdr>
        <w:top w:val="none" w:sz="0" w:space="0" w:color="auto"/>
        <w:left w:val="none" w:sz="0" w:space="0" w:color="auto"/>
        <w:bottom w:val="none" w:sz="0" w:space="0" w:color="auto"/>
        <w:right w:val="none" w:sz="0" w:space="0" w:color="auto"/>
      </w:divBdr>
    </w:div>
    <w:div w:id="1011568508">
      <w:bodyDiv w:val="1"/>
      <w:marLeft w:val="0"/>
      <w:marRight w:val="0"/>
      <w:marTop w:val="0"/>
      <w:marBottom w:val="0"/>
      <w:divBdr>
        <w:top w:val="none" w:sz="0" w:space="0" w:color="auto"/>
        <w:left w:val="none" w:sz="0" w:space="0" w:color="auto"/>
        <w:bottom w:val="none" w:sz="0" w:space="0" w:color="auto"/>
        <w:right w:val="none" w:sz="0" w:space="0" w:color="auto"/>
      </w:divBdr>
    </w:div>
    <w:div w:id="1012531969">
      <w:bodyDiv w:val="1"/>
      <w:marLeft w:val="0"/>
      <w:marRight w:val="0"/>
      <w:marTop w:val="0"/>
      <w:marBottom w:val="0"/>
      <w:divBdr>
        <w:top w:val="none" w:sz="0" w:space="0" w:color="auto"/>
        <w:left w:val="none" w:sz="0" w:space="0" w:color="auto"/>
        <w:bottom w:val="none" w:sz="0" w:space="0" w:color="auto"/>
        <w:right w:val="none" w:sz="0" w:space="0" w:color="auto"/>
      </w:divBdr>
    </w:div>
    <w:div w:id="1031220901">
      <w:bodyDiv w:val="1"/>
      <w:marLeft w:val="0"/>
      <w:marRight w:val="0"/>
      <w:marTop w:val="0"/>
      <w:marBottom w:val="0"/>
      <w:divBdr>
        <w:top w:val="none" w:sz="0" w:space="0" w:color="auto"/>
        <w:left w:val="none" w:sz="0" w:space="0" w:color="auto"/>
        <w:bottom w:val="none" w:sz="0" w:space="0" w:color="auto"/>
        <w:right w:val="none" w:sz="0" w:space="0" w:color="auto"/>
      </w:divBdr>
    </w:div>
    <w:div w:id="1034189182">
      <w:bodyDiv w:val="1"/>
      <w:marLeft w:val="0"/>
      <w:marRight w:val="0"/>
      <w:marTop w:val="0"/>
      <w:marBottom w:val="0"/>
      <w:divBdr>
        <w:top w:val="none" w:sz="0" w:space="0" w:color="auto"/>
        <w:left w:val="none" w:sz="0" w:space="0" w:color="auto"/>
        <w:bottom w:val="none" w:sz="0" w:space="0" w:color="auto"/>
        <w:right w:val="none" w:sz="0" w:space="0" w:color="auto"/>
      </w:divBdr>
    </w:div>
    <w:div w:id="1053309570">
      <w:bodyDiv w:val="1"/>
      <w:marLeft w:val="0"/>
      <w:marRight w:val="0"/>
      <w:marTop w:val="0"/>
      <w:marBottom w:val="0"/>
      <w:divBdr>
        <w:top w:val="none" w:sz="0" w:space="0" w:color="auto"/>
        <w:left w:val="none" w:sz="0" w:space="0" w:color="auto"/>
        <w:bottom w:val="none" w:sz="0" w:space="0" w:color="auto"/>
        <w:right w:val="none" w:sz="0" w:space="0" w:color="auto"/>
      </w:divBdr>
      <w:divsChild>
        <w:div w:id="922110289">
          <w:marLeft w:val="0"/>
          <w:marRight w:val="0"/>
          <w:marTop w:val="0"/>
          <w:marBottom w:val="0"/>
          <w:divBdr>
            <w:top w:val="none" w:sz="0" w:space="0" w:color="auto"/>
            <w:left w:val="none" w:sz="0" w:space="0" w:color="auto"/>
            <w:bottom w:val="none" w:sz="0" w:space="0" w:color="auto"/>
            <w:right w:val="none" w:sz="0" w:space="0" w:color="auto"/>
          </w:divBdr>
          <w:divsChild>
            <w:div w:id="1153135709">
              <w:marLeft w:val="0"/>
              <w:marRight w:val="0"/>
              <w:marTop w:val="0"/>
              <w:marBottom w:val="0"/>
              <w:divBdr>
                <w:top w:val="none" w:sz="0" w:space="0" w:color="auto"/>
                <w:left w:val="none" w:sz="0" w:space="0" w:color="auto"/>
                <w:bottom w:val="none" w:sz="0" w:space="0" w:color="auto"/>
                <w:right w:val="none" w:sz="0" w:space="0" w:color="auto"/>
              </w:divBdr>
              <w:divsChild>
                <w:div w:id="1232547478">
                  <w:marLeft w:val="0"/>
                  <w:marRight w:val="0"/>
                  <w:marTop w:val="0"/>
                  <w:marBottom w:val="0"/>
                  <w:divBdr>
                    <w:top w:val="none" w:sz="0" w:space="0" w:color="auto"/>
                    <w:left w:val="none" w:sz="0" w:space="0" w:color="auto"/>
                    <w:bottom w:val="none" w:sz="0" w:space="0" w:color="auto"/>
                    <w:right w:val="none" w:sz="0" w:space="0" w:color="auto"/>
                  </w:divBdr>
                  <w:divsChild>
                    <w:div w:id="1562600140">
                      <w:marLeft w:val="0"/>
                      <w:marRight w:val="0"/>
                      <w:marTop w:val="0"/>
                      <w:marBottom w:val="0"/>
                      <w:divBdr>
                        <w:top w:val="none" w:sz="0" w:space="0" w:color="auto"/>
                        <w:left w:val="none" w:sz="0" w:space="0" w:color="auto"/>
                        <w:bottom w:val="none" w:sz="0" w:space="0" w:color="auto"/>
                        <w:right w:val="none" w:sz="0" w:space="0" w:color="auto"/>
                      </w:divBdr>
                      <w:divsChild>
                        <w:div w:id="402684088">
                          <w:marLeft w:val="0"/>
                          <w:marRight w:val="0"/>
                          <w:marTop w:val="0"/>
                          <w:marBottom w:val="0"/>
                          <w:divBdr>
                            <w:top w:val="none" w:sz="0" w:space="0" w:color="auto"/>
                            <w:left w:val="none" w:sz="0" w:space="0" w:color="auto"/>
                            <w:bottom w:val="none" w:sz="0" w:space="0" w:color="auto"/>
                            <w:right w:val="none" w:sz="0" w:space="0" w:color="auto"/>
                          </w:divBdr>
                          <w:divsChild>
                            <w:div w:id="139273873">
                              <w:marLeft w:val="0"/>
                              <w:marRight w:val="0"/>
                              <w:marTop w:val="0"/>
                              <w:marBottom w:val="0"/>
                              <w:divBdr>
                                <w:top w:val="none" w:sz="0" w:space="0" w:color="auto"/>
                                <w:left w:val="none" w:sz="0" w:space="0" w:color="auto"/>
                                <w:bottom w:val="none" w:sz="0" w:space="0" w:color="auto"/>
                                <w:right w:val="none" w:sz="0" w:space="0" w:color="auto"/>
                              </w:divBdr>
                              <w:divsChild>
                                <w:div w:id="1884556122">
                                  <w:marLeft w:val="0"/>
                                  <w:marRight w:val="0"/>
                                  <w:marTop w:val="0"/>
                                  <w:marBottom w:val="0"/>
                                  <w:divBdr>
                                    <w:top w:val="none" w:sz="0" w:space="0" w:color="auto"/>
                                    <w:left w:val="none" w:sz="0" w:space="0" w:color="auto"/>
                                    <w:bottom w:val="none" w:sz="0" w:space="0" w:color="auto"/>
                                    <w:right w:val="none" w:sz="0" w:space="0" w:color="auto"/>
                                  </w:divBdr>
                                  <w:divsChild>
                                    <w:div w:id="2136943121">
                                      <w:marLeft w:val="0"/>
                                      <w:marRight w:val="0"/>
                                      <w:marTop w:val="0"/>
                                      <w:marBottom w:val="0"/>
                                      <w:divBdr>
                                        <w:top w:val="none" w:sz="0" w:space="0" w:color="auto"/>
                                        <w:left w:val="none" w:sz="0" w:space="0" w:color="auto"/>
                                        <w:bottom w:val="none" w:sz="0" w:space="0" w:color="auto"/>
                                        <w:right w:val="none" w:sz="0" w:space="0" w:color="auto"/>
                                      </w:divBdr>
                                      <w:divsChild>
                                        <w:div w:id="2099324360">
                                          <w:marLeft w:val="0"/>
                                          <w:marRight w:val="0"/>
                                          <w:marTop w:val="0"/>
                                          <w:marBottom w:val="0"/>
                                          <w:divBdr>
                                            <w:top w:val="none" w:sz="0" w:space="0" w:color="auto"/>
                                            <w:left w:val="none" w:sz="0" w:space="0" w:color="auto"/>
                                            <w:bottom w:val="none" w:sz="0" w:space="0" w:color="auto"/>
                                            <w:right w:val="none" w:sz="0" w:space="0" w:color="auto"/>
                                          </w:divBdr>
                                          <w:divsChild>
                                            <w:div w:id="691151043">
                                              <w:marLeft w:val="0"/>
                                              <w:marRight w:val="0"/>
                                              <w:marTop w:val="0"/>
                                              <w:marBottom w:val="0"/>
                                              <w:divBdr>
                                                <w:top w:val="none" w:sz="0" w:space="0" w:color="auto"/>
                                                <w:left w:val="none" w:sz="0" w:space="0" w:color="auto"/>
                                                <w:bottom w:val="none" w:sz="0" w:space="0" w:color="auto"/>
                                                <w:right w:val="none" w:sz="0" w:space="0" w:color="auto"/>
                                              </w:divBdr>
                                              <w:divsChild>
                                                <w:div w:id="1709529956">
                                                  <w:marLeft w:val="0"/>
                                                  <w:marRight w:val="0"/>
                                                  <w:marTop w:val="0"/>
                                                  <w:marBottom w:val="0"/>
                                                  <w:divBdr>
                                                    <w:top w:val="none" w:sz="0" w:space="0" w:color="auto"/>
                                                    <w:left w:val="none" w:sz="0" w:space="0" w:color="auto"/>
                                                    <w:bottom w:val="none" w:sz="0" w:space="0" w:color="auto"/>
                                                    <w:right w:val="none" w:sz="0" w:space="0" w:color="auto"/>
                                                  </w:divBdr>
                                                  <w:divsChild>
                                                    <w:div w:id="1242835770">
                                                      <w:marLeft w:val="0"/>
                                                      <w:marRight w:val="0"/>
                                                      <w:marTop w:val="0"/>
                                                      <w:marBottom w:val="0"/>
                                                      <w:divBdr>
                                                        <w:top w:val="none" w:sz="0" w:space="0" w:color="auto"/>
                                                        <w:left w:val="none" w:sz="0" w:space="0" w:color="auto"/>
                                                        <w:bottom w:val="none" w:sz="0" w:space="0" w:color="auto"/>
                                                        <w:right w:val="none" w:sz="0" w:space="0" w:color="auto"/>
                                                      </w:divBdr>
                                                      <w:divsChild>
                                                        <w:div w:id="1206913300">
                                                          <w:marLeft w:val="0"/>
                                                          <w:marRight w:val="0"/>
                                                          <w:marTop w:val="0"/>
                                                          <w:marBottom w:val="0"/>
                                                          <w:divBdr>
                                                            <w:top w:val="none" w:sz="0" w:space="0" w:color="auto"/>
                                                            <w:left w:val="none" w:sz="0" w:space="0" w:color="auto"/>
                                                            <w:bottom w:val="none" w:sz="0" w:space="0" w:color="auto"/>
                                                            <w:right w:val="none" w:sz="0" w:space="0" w:color="auto"/>
                                                          </w:divBdr>
                                                          <w:divsChild>
                                                            <w:div w:id="614946063">
                                                              <w:marLeft w:val="0"/>
                                                              <w:marRight w:val="0"/>
                                                              <w:marTop w:val="0"/>
                                                              <w:marBottom w:val="0"/>
                                                              <w:divBdr>
                                                                <w:top w:val="none" w:sz="0" w:space="0" w:color="auto"/>
                                                                <w:left w:val="none" w:sz="0" w:space="0" w:color="auto"/>
                                                                <w:bottom w:val="none" w:sz="0" w:space="0" w:color="auto"/>
                                                                <w:right w:val="none" w:sz="0" w:space="0" w:color="auto"/>
                                                              </w:divBdr>
                                                              <w:divsChild>
                                                                <w:div w:id="1029797594">
                                                                  <w:marLeft w:val="0"/>
                                                                  <w:marRight w:val="0"/>
                                                                  <w:marTop w:val="0"/>
                                                                  <w:marBottom w:val="0"/>
                                                                  <w:divBdr>
                                                                    <w:top w:val="none" w:sz="0" w:space="0" w:color="auto"/>
                                                                    <w:left w:val="none" w:sz="0" w:space="0" w:color="auto"/>
                                                                    <w:bottom w:val="none" w:sz="0" w:space="0" w:color="auto"/>
                                                                    <w:right w:val="none" w:sz="0" w:space="0" w:color="auto"/>
                                                                  </w:divBdr>
                                                                  <w:divsChild>
                                                                    <w:div w:id="13771593">
                                                                      <w:marLeft w:val="0"/>
                                                                      <w:marRight w:val="0"/>
                                                                      <w:marTop w:val="0"/>
                                                                      <w:marBottom w:val="0"/>
                                                                      <w:divBdr>
                                                                        <w:top w:val="none" w:sz="0" w:space="0" w:color="auto"/>
                                                                        <w:left w:val="none" w:sz="0" w:space="0" w:color="auto"/>
                                                                        <w:bottom w:val="none" w:sz="0" w:space="0" w:color="auto"/>
                                                                        <w:right w:val="none" w:sz="0" w:space="0" w:color="auto"/>
                                                                      </w:divBdr>
                                                                      <w:divsChild>
                                                                        <w:div w:id="491677937">
                                                                          <w:marLeft w:val="0"/>
                                                                          <w:marRight w:val="0"/>
                                                                          <w:marTop w:val="0"/>
                                                                          <w:marBottom w:val="0"/>
                                                                          <w:divBdr>
                                                                            <w:top w:val="none" w:sz="0" w:space="0" w:color="auto"/>
                                                                            <w:left w:val="none" w:sz="0" w:space="0" w:color="auto"/>
                                                                            <w:bottom w:val="none" w:sz="0" w:space="0" w:color="auto"/>
                                                                            <w:right w:val="none" w:sz="0" w:space="0" w:color="auto"/>
                                                                          </w:divBdr>
                                                                          <w:divsChild>
                                                                            <w:div w:id="1616523812">
                                                                              <w:marLeft w:val="0"/>
                                                                              <w:marRight w:val="0"/>
                                                                              <w:marTop w:val="0"/>
                                                                              <w:marBottom w:val="0"/>
                                                                              <w:divBdr>
                                                                                <w:top w:val="none" w:sz="0" w:space="0" w:color="auto"/>
                                                                                <w:left w:val="none" w:sz="0" w:space="0" w:color="auto"/>
                                                                                <w:bottom w:val="none" w:sz="0" w:space="0" w:color="auto"/>
                                                                                <w:right w:val="none" w:sz="0" w:space="0" w:color="auto"/>
                                                                              </w:divBdr>
                                                                              <w:divsChild>
                                                                                <w:div w:id="1682201525">
                                                                                  <w:marLeft w:val="0"/>
                                                                                  <w:marRight w:val="0"/>
                                                                                  <w:marTop w:val="0"/>
                                                                                  <w:marBottom w:val="0"/>
                                                                                  <w:divBdr>
                                                                                    <w:top w:val="none" w:sz="0" w:space="0" w:color="auto"/>
                                                                                    <w:left w:val="none" w:sz="0" w:space="0" w:color="auto"/>
                                                                                    <w:bottom w:val="none" w:sz="0" w:space="0" w:color="auto"/>
                                                                                    <w:right w:val="none" w:sz="0" w:space="0" w:color="auto"/>
                                                                                  </w:divBdr>
                                                                                  <w:divsChild>
                                                                                    <w:div w:id="498040643">
                                                                                      <w:marLeft w:val="0"/>
                                                                                      <w:marRight w:val="0"/>
                                                                                      <w:marTop w:val="0"/>
                                                                                      <w:marBottom w:val="0"/>
                                                                                      <w:divBdr>
                                                                                        <w:top w:val="none" w:sz="0" w:space="0" w:color="auto"/>
                                                                                        <w:left w:val="none" w:sz="0" w:space="0" w:color="auto"/>
                                                                                        <w:bottom w:val="none" w:sz="0" w:space="0" w:color="auto"/>
                                                                                        <w:right w:val="none" w:sz="0" w:space="0" w:color="auto"/>
                                                                                      </w:divBdr>
                                                                                      <w:divsChild>
                                                                                        <w:div w:id="834691606">
                                                                                          <w:marLeft w:val="0"/>
                                                                                          <w:marRight w:val="0"/>
                                                                                          <w:marTop w:val="0"/>
                                                                                          <w:marBottom w:val="0"/>
                                                                                          <w:divBdr>
                                                                                            <w:top w:val="none" w:sz="0" w:space="0" w:color="auto"/>
                                                                                            <w:left w:val="none" w:sz="0" w:space="0" w:color="auto"/>
                                                                                            <w:bottom w:val="none" w:sz="0" w:space="0" w:color="auto"/>
                                                                                            <w:right w:val="none" w:sz="0" w:space="0" w:color="auto"/>
                                                                                          </w:divBdr>
                                                                                          <w:divsChild>
                                                                                            <w:div w:id="189995398">
                                                                                              <w:marLeft w:val="0"/>
                                                                                              <w:marRight w:val="0"/>
                                                                                              <w:marTop w:val="0"/>
                                                                                              <w:marBottom w:val="0"/>
                                                                                              <w:divBdr>
                                                                                                <w:top w:val="none" w:sz="0" w:space="0" w:color="auto"/>
                                                                                                <w:left w:val="none" w:sz="0" w:space="0" w:color="auto"/>
                                                                                                <w:bottom w:val="none" w:sz="0" w:space="0" w:color="auto"/>
                                                                                                <w:right w:val="none" w:sz="0" w:space="0" w:color="auto"/>
                                                                                              </w:divBdr>
                                                                                              <w:divsChild>
                                                                                                <w:div w:id="480390691">
                                                                                                  <w:marLeft w:val="0"/>
                                                                                                  <w:marRight w:val="0"/>
                                                                                                  <w:marTop w:val="0"/>
                                                                                                  <w:marBottom w:val="0"/>
                                                                                                  <w:divBdr>
                                                                                                    <w:top w:val="none" w:sz="0" w:space="0" w:color="auto"/>
                                                                                                    <w:left w:val="none" w:sz="0" w:space="0" w:color="auto"/>
                                                                                                    <w:bottom w:val="none" w:sz="0" w:space="0" w:color="auto"/>
                                                                                                    <w:right w:val="none" w:sz="0" w:space="0" w:color="auto"/>
                                                                                                  </w:divBdr>
                                                                                                  <w:divsChild>
                                                                                                    <w:div w:id="968129652">
                                                                                                      <w:marLeft w:val="0"/>
                                                                                                      <w:marRight w:val="0"/>
                                                                                                      <w:marTop w:val="0"/>
                                                                                                      <w:marBottom w:val="0"/>
                                                                                                      <w:divBdr>
                                                                                                        <w:top w:val="none" w:sz="0" w:space="0" w:color="auto"/>
                                                                                                        <w:left w:val="none" w:sz="0" w:space="0" w:color="auto"/>
                                                                                                        <w:bottom w:val="none" w:sz="0" w:space="0" w:color="auto"/>
                                                                                                        <w:right w:val="none" w:sz="0" w:space="0" w:color="auto"/>
                                                                                                      </w:divBdr>
                                                                                                      <w:divsChild>
                                                                                                        <w:div w:id="1727533092">
                                                                                                          <w:marLeft w:val="0"/>
                                                                                                          <w:marRight w:val="0"/>
                                                                                                          <w:marTop w:val="0"/>
                                                                                                          <w:marBottom w:val="0"/>
                                                                                                          <w:divBdr>
                                                                                                            <w:top w:val="none" w:sz="0" w:space="0" w:color="auto"/>
                                                                                                            <w:left w:val="none" w:sz="0" w:space="0" w:color="auto"/>
                                                                                                            <w:bottom w:val="none" w:sz="0" w:space="0" w:color="auto"/>
                                                                                                            <w:right w:val="none" w:sz="0" w:space="0" w:color="auto"/>
                                                                                                          </w:divBdr>
                                                                                                          <w:divsChild>
                                                                                                            <w:div w:id="37434478">
                                                                                                              <w:marLeft w:val="0"/>
                                                                                                              <w:marRight w:val="0"/>
                                                                                                              <w:marTop w:val="0"/>
                                                                                                              <w:marBottom w:val="0"/>
                                                                                                              <w:divBdr>
                                                                                                                <w:top w:val="none" w:sz="0" w:space="0" w:color="auto"/>
                                                                                                                <w:left w:val="none" w:sz="0" w:space="0" w:color="auto"/>
                                                                                                                <w:bottom w:val="none" w:sz="0" w:space="0" w:color="auto"/>
                                                                                                                <w:right w:val="none" w:sz="0" w:space="0" w:color="auto"/>
                                                                                                              </w:divBdr>
                                                                                                              <w:divsChild>
                                                                                                                <w:div w:id="913778093">
                                                                                                                  <w:marLeft w:val="0"/>
                                                                                                                  <w:marRight w:val="0"/>
                                                                                                                  <w:marTop w:val="0"/>
                                                                                                                  <w:marBottom w:val="0"/>
                                                                                                                  <w:divBdr>
                                                                                                                    <w:top w:val="none" w:sz="0" w:space="0" w:color="auto"/>
                                                                                                                    <w:left w:val="none" w:sz="0" w:space="0" w:color="auto"/>
                                                                                                                    <w:bottom w:val="none" w:sz="0" w:space="0" w:color="auto"/>
                                                                                                                    <w:right w:val="none" w:sz="0" w:space="0" w:color="auto"/>
                                                                                                                  </w:divBdr>
                                                                                                                  <w:divsChild>
                                                                                                                    <w:div w:id="1892450254">
                                                                                                                      <w:marLeft w:val="0"/>
                                                                                                                      <w:marRight w:val="0"/>
                                                                                                                      <w:marTop w:val="0"/>
                                                                                                                      <w:marBottom w:val="0"/>
                                                                                                                      <w:divBdr>
                                                                                                                        <w:top w:val="none" w:sz="0" w:space="0" w:color="auto"/>
                                                                                                                        <w:left w:val="none" w:sz="0" w:space="0" w:color="auto"/>
                                                                                                                        <w:bottom w:val="none" w:sz="0" w:space="0" w:color="auto"/>
                                                                                                                        <w:right w:val="none" w:sz="0" w:space="0" w:color="auto"/>
                                                                                                                      </w:divBdr>
                                                                                                                      <w:divsChild>
                                                                                                                        <w:div w:id="997535210">
                                                                                                                          <w:marLeft w:val="0"/>
                                                                                                                          <w:marRight w:val="0"/>
                                                                                                                          <w:marTop w:val="0"/>
                                                                                                                          <w:marBottom w:val="0"/>
                                                                                                                          <w:divBdr>
                                                                                                                            <w:top w:val="none" w:sz="0" w:space="0" w:color="auto"/>
                                                                                                                            <w:left w:val="none" w:sz="0" w:space="0" w:color="auto"/>
                                                                                                                            <w:bottom w:val="none" w:sz="0" w:space="0" w:color="auto"/>
                                                                                                                            <w:right w:val="none" w:sz="0" w:space="0" w:color="auto"/>
                                                                                                                          </w:divBdr>
                                                                                                                          <w:divsChild>
                                                                                                                            <w:div w:id="1466699031">
                                                                                                                              <w:marLeft w:val="0"/>
                                                                                                                              <w:marRight w:val="0"/>
                                                                                                                              <w:marTop w:val="0"/>
                                                                                                                              <w:marBottom w:val="0"/>
                                                                                                                              <w:divBdr>
                                                                                                                                <w:top w:val="none" w:sz="0" w:space="0" w:color="auto"/>
                                                                                                                                <w:left w:val="none" w:sz="0" w:space="0" w:color="auto"/>
                                                                                                                                <w:bottom w:val="none" w:sz="0" w:space="0" w:color="auto"/>
                                                                                                                                <w:right w:val="none" w:sz="0" w:space="0" w:color="auto"/>
                                                                                                                              </w:divBdr>
                                                                                                                              <w:divsChild>
                                                                                                                                <w:div w:id="89929971">
                                                                                                                                  <w:marLeft w:val="0"/>
                                                                                                                                  <w:marRight w:val="0"/>
                                                                                                                                  <w:marTop w:val="0"/>
                                                                                                                                  <w:marBottom w:val="0"/>
                                                                                                                                  <w:divBdr>
                                                                                                                                    <w:top w:val="none" w:sz="0" w:space="0" w:color="auto"/>
                                                                                                                                    <w:left w:val="none" w:sz="0" w:space="0" w:color="auto"/>
                                                                                                                                    <w:bottom w:val="none" w:sz="0" w:space="0" w:color="auto"/>
                                                                                                                                    <w:right w:val="none" w:sz="0" w:space="0" w:color="auto"/>
                                                                                                                                  </w:divBdr>
                                                                                                                                  <w:divsChild>
                                                                                                                                    <w:div w:id="1281687779">
                                                                                                                                      <w:marLeft w:val="0"/>
                                                                                                                                      <w:marRight w:val="0"/>
                                                                                                                                      <w:marTop w:val="0"/>
                                                                                                                                      <w:marBottom w:val="0"/>
                                                                                                                                      <w:divBdr>
                                                                                                                                        <w:top w:val="none" w:sz="0" w:space="0" w:color="auto"/>
                                                                                                                                        <w:left w:val="none" w:sz="0" w:space="0" w:color="auto"/>
                                                                                                                                        <w:bottom w:val="none" w:sz="0" w:space="0" w:color="auto"/>
                                                                                                                                        <w:right w:val="none" w:sz="0" w:space="0" w:color="auto"/>
                                                                                                                                      </w:divBdr>
                                                                                                                                      <w:divsChild>
                                                                                                                                        <w:div w:id="1380283922">
                                                                                                                                          <w:marLeft w:val="0"/>
                                                                                                                                          <w:marRight w:val="0"/>
                                                                                                                                          <w:marTop w:val="0"/>
                                                                                                                                          <w:marBottom w:val="0"/>
                                                                                                                                          <w:divBdr>
                                                                                                                                            <w:top w:val="none" w:sz="0" w:space="0" w:color="auto"/>
                                                                                                                                            <w:left w:val="none" w:sz="0" w:space="0" w:color="auto"/>
                                                                                                                                            <w:bottom w:val="none" w:sz="0" w:space="0" w:color="auto"/>
                                                                                                                                            <w:right w:val="none" w:sz="0" w:space="0" w:color="auto"/>
                                                                                                                                          </w:divBdr>
                                                                                                                                          <w:divsChild>
                                                                                                                                            <w:div w:id="1546284909">
                                                                                                                                              <w:marLeft w:val="0"/>
                                                                                                                                              <w:marRight w:val="0"/>
                                                                                                                                              <w:marTop w:val="0"/>
                                                                                                                                              <w:marBottom w:val="0"/>
                                                                                                                                              <w:divBdr>
                                                                                                                                                <w:top w:val="none" w:sz="0" w:space="0" w:color="auto"/>
                                                                                                                                                <w:left w:val="none" w:sz="0" w:space="0" w:color="auto"/>
                                                                                                                                                <w:bottom w:val="none" w:sz="0" w:space="0" w:color="auto"/>
                                                                                                                                                <w:right w:val="none" w:sz="0" w:space="0" w:color="auto"/>
                                                                                                                                              </w:divBdr>
                                                                                                                                              <w:divsChild>
                                                                                                                                                <w:div w:id="2019576589">
                                                                                                                                                  <w:marLeft w:val="0"/>
                                                                                                                                                  <w:marRight w:val="0"/>
                                                                                                                                                  <w:marTop w:val="0"/>
                                                                                                                                                  <w:marBottom w:val="0"/>
                                                                                                                                                  <w:divBdr>
                                                                                                                                                    <w:top w:val="none" w:sz="0" w:space="0" w:color="auto"/>
                                                                                                                                                    <w:left w:val="none" w:sz="0" w:space="0" w:color="auto"/>
                                                                                                                                                    <w:bottom w:val="none" w:sz="0" w:space="0" w:color="auto"/>
                                                                                                                                                    <w:right w:val="none" w:sz="0" w:space="0" w:color="auto"/>
                                                                                                                                                  </w:divBdr>
                                                                                                                                                  <w:divsChild>
                                                                                                                                                    <w:div w:id="860237997">
                                                                                                                                                      <w:marLeft w:val="0"/>
                                                                                                                                                      <w:marRight w:val="0"/>
                                                                                                                                                      <w:marTop w:val="0"/>
                                                                                                                                                      <w:marBottom w:val="0"/>
                                                                                                                                                      <w:divBdr>
                                                                                                                                                        <w:top w:val="none" w:sz="0" w:space="0" w:color="auto"/>
                                                                                                                                                        <w:left w:val="none" w:sz="0" w:space="0" w:color="auto"/>
                                                                                                                                                        <w:bottom w:val="none" w:sz="0" w:space="0" w:color="auto"/>
                                                                                                                                                        <w:right w:val="none" w:sz="0" w:space="0" w:color="auto"/>
                                                                                                                                                      </w:divBdr>
                                                                                                                                                      <w:divsChild>
                                                                                                                                                        <w:div w:id="1320690648">
                                                                                                                                                          <w:marLeft w:val="0"/>
                                                                                                                                                          <w:marRight w:val="0"/>
                                                                                                                                                          <w:marTop w:val="0"/>
                                                                                                                                                          <w:marBottom w:val="0"/>
                                                                                                                                                          <w:divBdr>
                                                                                                                                                            <w:top w:val="none" w:sz="0" w:space="0" w:color="auto"/>
                                                                                                                                                            <w:left w:val="none" w:sz="0" w:space="0" w:color="auto"/>
                                                                                                                                                            <w:bottom w:val="none" w:sz="0" w:space="0" w:color="auto"/>
                                                                                                                                                            <w:right w:val="none" w:sz="0" w:space="0" w:color="auto"/>
                                                                                                                                                          </w:divBdr>
                                                                                                                                                          <w:divsChild>
                                                                                                                                                            <w:div w:id="421146336">
                                                                                                                                                              <w:marLeft w:val="0"/>
                                                                                                                                                              <w:marRight w:val="0"/>
                                                                                                                                                              <w:marTop w:val="0"/>
                                                                                                                                                              <w:marBottom w:val="0"/>
                                                                                                                                                              <w:divBdr>
                                                                                                                                                                <w:top w:val="none" w:sz="0" w:space="0" w:color="auto"/>
                                                                                                                                                                <w:left w:val="none" w:sz="0" w:space="0" w:color="auto"/>
                                                                                                                                                                <w:bottom w:val="none" w:sz="0" w:space="0" w:color="auto"/>
                                                                                                                                                                <w:right w:val="none" w:sz="0" w:space="0" w:color="auto"/>
                                                                                                                                                              </w:divBdr>
                                                                                                                                                              <w:divsChild>
                                                                                                                                                                <w:div w:id="1308778130">
                                                                                                                                                                  <w:marLeft w:val="0"/>
                                                                                                                                                                  <w:marRight w:val="0"/>
                                                                                                                                                                  <w:marTop w:val="0"/>
                                                                                                                                                                  <w:marBottom w:val="0"/>
                                                                                                                                                                  <w:divBdr>
                                                                                                                                                                    <w:top w:val="none" w:sz="0" w:space="0" w:color="auto"/>
                                                                                                                                                                    <w:left w:val="none" w:sz="0" w:space="0" w:color="auto"/>
                                                                                                                                                                    <w:bottom w:val="none" w:sz="0" w:space="0" w:color="auto"/>
                                                                                                                                                                    <w:right w:val="none" w:sz="0" w:space="0" w:color="auto"/>
                                                                                                                                                                  </w:divBdr>
                                                                                                                                                                  <w:divsChild>
                                                                                                                                                                    <w:div w:id="1797522814">
                                                                                                                                                                      <w:marLeft w:val="0"/>
                                                                                                                                                                      <w:marRight w:val="0"/>
                                                                                                                                                                      <w:marTop w:val="0"/>
                                                                                                                                                                      <w:marBottom w:val="0"/>
                                                                                                                                                                      <w:divBdr>
                                                                                                                                                                        <w:top w:val="none" w:sz="0" w:space="0" w:color="auto"/>
                                                                                                                                                                        <w:left w:val="none" w:sz="0" w:space="0" w:color="auto"/>
                                                                                                                                                                        <w:bottom w:val="none" w:sz="0" w:space="0" w:color="auto"/>
                                                                                                                                                                        <w:right w:val="none" w:sz="0" w:space="0" w:color="auto"/>
                                                                                                                                                                      </w:divBdr>
                                                                                                                                                                      <w:divsChild>
                                                                                                                                                                        <w:div w:id="792333856">
                                                                                                                                                                          <w:marLeft w:val="0"/>
                                                                                                                                                                          <w:marRight w:val="0"/>
                                                                                                                                                                          <w:marTop w:val="0"/>
                                                                                                                                                                          <w:marBottom w:val="0"/>
                                                                                                                                                                          <w:divBdr>
                                                                                                                                                                            <w:top w:val="none" w:sz="0" w:space="0" w:color="auto"/>
                                                                                                                                                                            <w:left w:val="none" w:sz="0" w:space="0" w:color="auto"/>
                                                                                                                                                                            <w:bottom w:val="none" w:sz="0" w:space="0" w:color="auto"/>
                                                                                                                                                                            <w:right w:val="none" w:sz="0" w:space="0" w:color="auto"/>
                                                                                                                                                                          </w:divBdr>
                                                                                                                                                                          <w:divsChild>
                                                                                                                                                                            <w:div w:id="333069524">
                                                                                                                                                                              <w:marLeft w:val="0"/>
                                                                                                                                                                              <w:marRight w:val="0"/>
                                                                                                                                                                              <w:marTop w:val="0"/>
                                                                                                                                                                              <w:marBottom w:val="0"/>
                                                                                                                                                                              <w:divBdr>
                                                                                                                                                                                <w:top w:val="none" w:sz="0" w:space="0" w:color="auto"/>
                                                                                                                                                                                <w:left w:val="none" w:sz="0" w:space="0" w:color="auto"/>
                                                                                                                                                                                <w:bottom w:val="none" w:sz="0" w:space="0" w:color="auto"/>
                                                                                                                                                                                <w:right w:val="none" w:sz="0" w:space="0" w:color="auto"/>
                                                                                                                                                                              </w:divBdr>
                                                                                                                                                                              <w:divsChild>
                                                                                                                                                                                <w:div w:id="838619305">
                                                                                                                                                                                  <w:marLeft w:val="0"/>
                                                                                                                                                                                  <w:marRight w:val="0"/>
                                                                                                                                                                                  <w:marTop w:val="0"/>
                                                                                                                                                                                  <w:marBottom w:val="0"/>
                                                                                                                                                                                  <w:divBdr>
                                                                                                                                                                                    <w:top w:val="none" w:sz="0" w:space="0" w:color="auto"/>
                                                                                                                                                                                    <w:left w:val="none" w:sz="0" w:space="0" w:color="auto"/>
                                                                                                                                                                                    <w:bottom w:val="none" w:sz="0" w:space="0" w:color="auto"/>
                                                                                                                                                                                    <w:right w:val="none" w:sz="0" w:space="0" w:color="auto"/>
                                                                                                                                                                                  </w:divBdr>
                                                                                                                                                                                  <w:divsChild>
                                                                                                                                                                                    <w:div w:id="364450188">
                                                                                                                                                                                      <w:marLeft w:val="0"/>
                                                                                                                                                                                      <w:marRight w:val="0"/>
                                                                                                                                                                                      <w:marTop w:val="0"/>
                                                                                                                                                                                      <w:marBottom w:val="0"/>
                                                                                                                                                                                      <w:divBdr>
                                                                                                                                                                                        <w:top w:val="none" w:sz="0" w:space="0" w:color="auto"/>
                                                                                                                                                                                        <w:left w:val="none" w:sz="0" w:space="0" w:color="auto"/>
                                                                                                                                                                                        <w:bottom w:val="none" w:sz="0" w:space="0" w:color="auto"/>
                                                                                                                                                                                        <w:right w:val="none" w:sz="0" w:space="0" w:color="auto"/>
                                                                                                                                                                                      </w:divBdr>
                                                                                                                                                                                      <w:divsChild>
                                                                                                                                                                                        <w:div w:id="486822264">
                                                                                                                                                                                          <w:marLeft w:val="0"/>
                                                                                                                                                                                          <w:marRight w:val="0"/>
                                                                                                                                                                                          <w:marTop w:val="0"/>
                                                                                                                                                                                          <w:marBottom w:val="0"/>
                                                                                                                                                                                          <w:divBdr>
                                                                                                                                                                                            <w:top w:val="none" w:sz="0" w:space="0" w:color="auto"/>
                                                                                                                                                                                            <w:left w:val="none" w:sz="0" w:space="0" w:color="auto"/>
                                                                                                                                                                                            <w:bottom w:val="none" w:sz="0" w:space="0" w:color="auto"/>
                                                                                                                                                                                            <w:right w:val="none" w:sz="0" w:space="0" w:color="auto"/>
                                                                                                                                                                                          </w:divBdr>
                                                                                                                                                                                          <w:divsChild>
                                                                                                                                                                                            <w:div w:id="529612695">
                                                                                                                                                                                              <w:marLeft w:val="0"/>
                                                                                                                                                                                              <w:marRight w:val="0"/>
                                                                                                                                                                                              <w:marTop w:val="0"/>
                                                                                                                                                                                              <w:marBottom w:val="0"/>
                                                                                                                                                                                              <w:divBdr>
                                                                                                                                                                                                <w:top w:val="none" w:sz="0" w:space="0" w:color="auto"/>
                                                                                                                                                                                                <w:left w:val="none" w:sz="0" w:space="0" w:color="auto"/>
                                                                                                                                                                                                <w:bottom w:val="none" w:sz="0" w:space="0" w:color="auto"/>
                                                                                                                                                                                                <w:right w:val="none" w:sz="0" w:space="0" w:color="auto"/>
                                                                                                                                                                                              </w:divBdr>
                                                                                                                                                                                              <w:divsChild>
                                                                                                                                                                                                <w:div w:id="1552961849">
                                                                                                                                                                                                  <w:marLeft w:val="0"/>
                                                                                                                                                                                                  <w:marRight w:val="0"/>
                                                                                                                                                                                                  <w:marTop w:val="0"/>
                                                                                                                                                                                                  <w:marBottom w:val="0"/>
                                                                                                                                                                                                  <w:divBdr>
                                                                                                                                                                                                    <w:top w:val="none" w:sz="0" w:space="0" w:color="auto"/>
                                                                                                                                                                                                    <w:left w:val="none" w:sz="0" w:space="0" w:color="auto"/>
                                                                                                                                                                                                    <w:bottom w:val="none" w:sz="0" w:space="0" w:color="auto"/>
                                                                                                                                                                                                    <w:right w:val="none" w:sz="0" w:space="0" w:color="auto"/>
                                                                                                                                                                                                  </w:divBdr>
                                                                                                                                                                                                  <w:divsChild>
                                                                                                                                                                                                    <w:div w:id="114326589">
                                                                                                                                                                                                      <w:marLeft w:val="0"/>
                                                                                                                                                                                                      <w:marRight w:val="0"/>
                                                                                                                                                                                                      <w:marTop w:val="0"/>
                                                                                                                                                                                                      <w:marBottom w:val="0"/>
                                                                                                                                                                                                      <w:divBdr>
                                                                                                                                                                                                        <w:top w:val="none" w:sz="0" w:space="0" w:color="auto"/>
                                                                                                                                                                                                        <w:left w:val="none" w:sz="0" w:space="0" w:color="auto"/>
                                                                                                                                                                                                        <w:bottom w:val="none" w:sz="0" w:space="0" w:color="auto"/>
                                                                                                                                                                                                        <w:right w:val="none" w:sz="0" w:space="0" w:color="auto"/>
                                                                                                                                                                                                      </w:divBdr>
                                                                                                                                                                                                      <w:divsChild>
                                                                                                                                                                                                        <w:div w:id="1335493205">
                                                                                                                                                                                                          <w:marLeft w:val="0"/>
                                                                                                                                                                                                          <w:marRight w:val="0"/>
                                                                                                                                                                                                          <w:marTop w:val="0"/>
                                                                                                                                                                                                          <w:marBottom w:val="0"/>
                                                                                                                                                                                                          <w:divBdr>
                                                                                                                                                                                                            <w:top w:val="none" w:sz="0" w:space="0" w:color="auto"/>
                                                                                                                                                                                                            <w:left w:val="none" w:sz="0" w:space="0" w:color="auto"/>
                                                                                                                                                                                                            <w:bottom w:val="none" w:sz="0" w:space="0" w:color="auto"/>
                                                                                                                                                                                                            <w:right w:val="none" w:sz="0" w:space="0" w:color="auto"/>
                                                                                                                                                                                                          </w:divBdr>
                                                                                                                                                                                                          <w:divsChild>
                                                                                                                                                                                                            <w:div w:id="1252859408">
                                                                                                                                                                                                              <w:marLeft w:val="0"/>
                                                                                                                                                                                                              <w:marRight w:val="0"/>
                                                                                                                                                                                                              <w:marTop w:val="0"/>
                                                                                                                                                                                                              <w:marBottom w:val="0"/>
                                                                                                                                                                                                              <w:divBdr>
                                                                                                                                                                                                                <w:top w:val="none" w:sz="0" w:space="0" w:color="auto"/>
                                                                                                                                                                                                                <w:left w:val="none" w:sz="0" w:space="0" w:color="auto"/>
                                                                                                                                                                                                                <w:bottom w:val="none" w:sz="0" w:space="0" w:color="auto"/>
                                                                                                                                                                                                                <w:right w:val="none" w:sz="0" w:space="0" w:color="auto"/>
                                                                                                                                                                                                              </w:divBdr>
                                                                                                                                                                                                              <w:divsChild>
                                                                                                                                                                                                                <w:div w:id="1792627910">
                                                                                                                                                                                                                  <w:marLeft w:val="0"/>
                                                                                                                                                                                                                  <w:marRight w:val="0"/>
                                                                                                                                                                                                                  <w:marTop w:val="0"/>
                                                                                                                                                                                                                  <w:marBottom w:val="0"/>
                                                                                                                                                                                                                  <w:divBdr>
                                                                                                                                                                                                                    <w:top w:val="none" w:sz="0" w:space="0" w:color="auto"/>
                                                                                                                                                                                                                    <w:left w:val="none" w:sz="0" w:space="0" w:color="auto"/>
                                                                                                                                                                                                                    <w:bottom w:val="none" w:sz="0" w:space="0" w:color="auto"/>
                                                                                                                                                                                                                    <w:right w:val="none" w:sz="0" w:space="0" w:color="auto"/>
                                                                                                                                                                                                                  </w:divBdr>
                                                                                                                                                                                                                  <w:divsChild>
                                                                                                                                                                                                                    <w:div w:id="1440757299">
                                                                                                                                                                                                                      <w:marLeft w:val="0"/>
                                                                                                                                                                                                                      <w:marRight w:val="0"/>
                                                                                                                                                                                                                      <w:marTop w:val="0"/>
                                                                                                                                                                                                                      <w:marBottom w:val="0"/>
                                                                                                                                                                                                                      <w:divBdr>
                                                                                                                                                                                                                        <w:top w:val="none" w:sz="0" w:space="0" w:color="auto"/>
                                                                                                                                                                                                                        <w:left w:val="none" w:sz="0" w:space="0" w:color="auto"/>
                                                                                                                                                                                                                        <w:bottom w:val="none" w:sz="0" w:space="0" w:color="auto"/>
                                                                                                                                                                                                                        <w:right w:val="none" w:sz="0" w:space="0" w:color="auto"/>
                                                                                                                                                                                                                      </w:divBdr>
                                                                                                                                                                                                                      <w:divsChild>
                                                                                                                                                                                                                        <w:div w:id="1973320171">
                                                                                                                                                                                                                          <w:marLeft w:val="0"/>
                                                                                                                                                                                                                          <w:marRight w:val="0"/>
                                                                                                                                                                                                                          <w:marTop w:val="0"/>
                                                                                                                                                                                                                          <w:marBottom w:val="0"/>
                                                                                                                                                                                                                          <w:divBdr>
                                                                                                                                                                                                                            <w:top w:val="none" w:sz="0" w:space="0" w:color="auto"/>
                                                                                                                                                                                                                            <w:left w:val="none" w:sz="0" w:space="0" w:color="auto"/>
                                                                                                                                                                                                                            <w:bottom w:val="none" w:sz="0" w:space="0" w:color="auto"/>
                                                                                                                                                                                                                            <w:right w:val="none" w:sz="0" w:space="0" w:color="auto"/>
                                                                                                                                                                                                                          </w:divBdr>
                                                                                                                                                                                                                          <w:divsChild>
                                                                                                                                                                                                                            <w:div w:id="206844344">
                                                                                                                                                                                                                              <w:marLeft w:val="0"/>
                                                                                                                                                                                                                              <w:marRight w:val="0"/>
                                                                                                                                                                                                                              <w:marTop w:val="0"/>
                                                                                                                                                                                                                              <w:marBottom w:val="0"/>
                                                                                                                                                                                                                              <w:divBdr>
                                                                                                                                                                                                                                <w:top w:val="none" w:sz="0" w:space="0" w:color="auto"/>
                                                                                                                                                                                                                                <w:left w:val="none" w:sz="0" w:space="0" w:color="auto"/>
                                                                                                                                                                                                                                <w:bottom w:val="none" w:sz="0" w:space="0" w:color="auto"/>
                                                                                                                                                                                                                                <w:right w:val="none" w:sz="0" w:space="0" w:color="auto"/>
                                                                                                                                                                                                                              </w:divBdr>
                                                                                                                                                                                                                              <w:divsChild>
                                                                                                                                                                                                                                <w:div w:id="1754546331">
                                                                                                                                                                                                                                  <w:marLeft w:val="0"/>
                                                                                                                                                                                                                                  <w:marRight w:val="0"/>
                                                                                                                                                                                                                                  <w:marTop w:val="0"/>
                                                                                                                                                                                                                                  <w:marBottom w:val="0"/>
                                                                                                                                                                                                                                  <w:divBdr>
                                                                                                                                                                                                                                    <w:top w:val="none" w:sz="0" w:space="0" w:color="auto"/>
                                                                                                                                                                                                                                    <w:left w:val="none" w:sz="0" w:space="0" w:color="auto"/>
                                                                                                                                                                                                                                    <w:bottom w:val="none" w:sz="0" w:space="0" w:color="auto"/>
                                                                                                                                                                                                                                    <w:right w:val="none" w:sz="0" w:space="0" w:color="auto"/>
                                                                                                                                                                                                                                  </w:divBdr>
                                                                                                                                                                                                                                  <w:divsChild>
                                                                                                                                                                                                                                    <w:div w:id="238099941">
                                                                                                                                                                                                                                      <w:marLeft w:val="0"/>
                                                                                                                                                                                                                                      <w:marRight w:val="0"/>
                                                                                                                                                                                                                                      <w:marTop w:val="0"/>
                                                                                                                                                                                                                                      <w:marBottom w:val="0"/>
                                                                                                                                                                                                                                      <w:divBdr>
                                                                                                                                                                                                                                        <w:top w:val="none" w:sz="0" w:space="0" w:color="auto"/>
                                                                                                                                                                                                                                        <w:left w:val="none" w:sz="0" w:space="0" w:color="auto"/>
                                                                                                                                                                                                                                        <w:bottom w:val="none" w:sz="0" w:space="0" w:color="auto"/>
                                                                                                                                                                                                                                        <w:right w:val="none" w:sz="0" w:space="0" w:color="auto"/>
                                                                                                                                                                                                                                      </w:divBdr>
                                                                                                                                                                                                                                      <w:divsChild>
                                                                                                                                                                                                                                        <w:div w:id="33387515">
                                                                                                                                                                                                                                          <w:marLeft w:val="0"/>
                                                                                                                                                                                                                                          <w:marRight w:val="0"/>
                                                                                                                                                                                                                                          <w:marTop w:val="0"/>
                                                                                                                                                                                                                                          <w:marBottom w:val="0"/>
                                                                                                                                                                                                                                          <w:divBdr>
                                                                                                                                                                                                                                            <w:top w:val="none" w:sz="0" w:space="0" w:color="auto"/>
                                                                                                                                                                                                                                            <w:left w:val="none" w:sz="0" w:space="0" w:color="auto"/>
                                                                                                                                                                                                                                            <w:bottom w:val="none" w:sz="0" w:space="0" w:color="auto"/>
                                                                                                                                                                                                                                            <w:right w:val="none" w:sz="0" w:space="0" w:color="auto"/>
                                                                                                                                                                                                                                          </w:divBdr>
                                                                                                                                                                                                                                          <w:divsChild>
                                                                                                                                                                                                                                            <w:div w:id="1128813203">
                                                                                                                                                                                                                                              <w:marLeft w:val="0"/>
                                                                                                                                                                                                                                              <w:marRight w:val="0"/>
                                                                                                                                                                                                                                              <w:marTop w:val="0"/>
                                                                                                                                                                                                                                              <w:marBottom w:val="0"/>
                                                                                                                                                                                                                                              <w:divBdr>
                                                                                                                                                                                                                                                <w:top w:val="none" w:sz="0" w:space="0" w:color="auto"/>
                                                                                                                                                                                                                                                <w:left w:val="none" w:sz="0" w:space="0" w:color="auto"/>
                                                                                                                                                                                                                                                <w:bottom w:val="none" w:sz="0" w:space="0" w:color="auto"/>
                                                                                                                                                                                                                                                <w:right w:val="none" w:sz="0" w:space="0" w:color="auto"/>
                                                                                                                                                                                                                                              </w:divBdr>
                                                                                                                                                                                                                                              <w:divsChild>
                                                                                                                                                                                                                                                <w:div w:id="1844396715">
                                                                                                                                                                                                                                                  <w:marLeft w:val="0"/>
                                                                                                                                                                                                                                                  <w:marRight w:val="0"/>
                                                                                                                                                                                                                                                  <w:marTop w:val="0"/>
                                                                                                                                                                                                                                                  <w:marBottom w:val="0"/>
                                                                                                                                                                                                                                                  <w:divBdr>
                                                                                                                                                                                                                                                    <w:top w:val="none" w:sz="0" w:space="0" w:color="auto"/>
                                                                                                                                                                                                                                                    <w:left w:val="none" w:sz="0" w:space="0" w:color="auto"/>
                                                                                                                                                                                                                                                    <w:bottom w:val="none" w:sz="0" w:space="0" w:color="auto"/>
                                                                                                                                                                                                                                                    <w:right w:val="none" w:sz="0" w:space="0" w:color="auto"/>
                                                                                                                                                                                                                                                  </w:divBdr>
                                                                                                                                                                                                                                                  <w:divsChild>
                                                                                                                                                                                                                                                    <w:div w:id="1942640449">
                                                                                                                                                                                                                                                      <w:marLeft w:val="0"/>
                                                                                                                                                                                                                                                      <w:marRight w:val="0"/>
                                                                                                                                                                                                                                                      <w:marTop w:val="0"/>
                                                                                                                                                                                                                                                      <w:marBottom w:val="0"/>
                                                                                                                                                                                                                                                      <w:divBdr>
                                                                                                                                                                                                                                                        <w:top w:val="none" w:sz="0" w:space="0" w:color="auto"/>
                                                                                                                                                                                                                                                        <w:left w:val="none" w:sz="0" w:space="0" w:color="auto"/>
                                                                                                                                                                                                                                                        <w:bottom w:val="none" w:sz="0" w:space="0" w:color="auto"/>
                                                                                                                                                                                                                                                        <w:right w:val="none" w:sz="0" w:space="0" w:color="auto"/>
                                                                                                                                                                                                                                                      </w:divBdr>
                                                                                                                                                                                                                                                      <w:divsChild>
                                                                                                                                                                                                                                                        <w:div w:id="2131707335">
                                                                                                                                                                                                                                                          <w:marLeft w:val="0"/>
                                                                                                                                                                                                                                                          <w:marRight w:val="0"/>
                                                                                                                                                                                                                                                          <w:marTop w:val="0"/>
                                                                                                                                                                                                                                                          <w:marBottom w:val="0"/>
                                                                                                                                                                                                                                                          <w:divBdr>
                                                                                                                                                                                                                                                            <w:top w:val="none" w:sz="0" w:space="0" w:color="auto"/>
                                                                                                                                                                                                                                                            <w:left w:val="none" w:sz="0" w:space="0" w:color="auto"/>
                                                                                                                                                                                                                                                            <w:bottom w:val="none" w:sz="0" w:space="0" w:color="auto"/>
                                                                                                                                                                                                                                                            <w:right w:val="none" w:sz="0" w:space="0" w:color="auto"/>
                                                                                                                                                                                                                                                          </w:divBdr>
                                                                                                                                                                                                                                                          <w:divsChild>
                                                                                                                                                                                                                                                            <w:div w:id="1324317304">
                                                                                                                                                                                                                                                              <w:marLeft w:val="0"/>
                                                                                                                                                                                                                                                              <w:marRight w:val="0"/>
                                                                                                                                                                                                                                                              <w:marTop w:val="0"/>
                                                                                                                                                                                                                                                              <w:marBottom w:val="0"/>
                                                                                                                                                                                                                                                              <w:divBdr>
                                                                                                                                                                                                                                                                <w:top w:val="none" w:sz="0" w:space="0" w:color="auto"/>
                                                                                                                                                                                                                                                                <w:left w:val="none" w:sz="0" w:space="0" w:color="auto"/>
                                                                                                                                                                                                                                                                <w:bottom w:val="none" w:sz="0" w:space="0" w:color="auto"/>
                                                                                                                                                                                                                                                                <w:right w:val="none" w:sz="0" w:space="0" w:color="auto"/>
                                                                                                                                                                                                                                                              </w:divBdr>
                                                                                                                                                                                                                                                              <w:divsChild>
                                                                                                                                                                                                                                                                <w:div w:id="1124808843">
                                                                                                                                                                                                                                                                  <w:marLeft w:val="0"/>
                                                                                                                                                                                                                                                                  <w:marRight w:val="0"/>
                                                                                                                                                                                                                                                                  <w:marTop w:val="0"/>
                                                                                                                                                                                                                                                                  <w:marBottom w:val="0"/>
                                                                                                                                                                                                                                                                  <w:divBdr>
                                                                                                                                                                                                                                                                    <w:top w:val="none" w:sz="0" w:space="0" w:color="auto"/>
                                                                                                                                                                                                                                                                    <w:left w:val="none" w:sz="0" w:space="0" w:color="auto"/>
                                                                                                                                                                                                                                                                    <w:bottom w:val="none" w:sz="0" w:space="0" w:color="auto"/>
                                                                                                                                                                                                                                                                    <w:right w:val="none" w:sz="0" w:space="0" w:color="auto"/>
                                                                                                                                                                                                                                                                  </w:divBdr>
                                                                                                                                                                                                                                                                  <w:divsChild>
                                                                                                                                                                                                                                                                    <w:div w:id="1782996233">
                                                                                                                                                                                                                                                                      <w:marLeft w:val="0"/>
                                                                                                                                                                                                                                                                      <w:marRight w:val="0"/>
                                                                                                                                                                                                                                                                      <w:marTop w:val="0"/>
                                                                                                                                                                                                                                                                      <w:marBottom w:val="0"/>
                                                                                                                                                                                                                                                                      <w:divBdr>
                                                                                                                                                                                                                                                                        <w:top w:val="none" w:sz="0" w:space="0" w:color="auto"/>
                                                                                                                                                                                                                                                                        <w:left w:val="none" w:sz="0" w:space="0" w:color="auto"/>
                                                                                                                                                                                                                                                                        <w:bottom w:val="none" w:sz="0" w:space="0" w:color="auto"/>
                                                                                                                                                                                                                                                                        <w:right w:val="none" w:sz="0" w:space="0" w:color="auto"/>
                                                                                                                                                                                                                                                                      </w:divBdr>
                                                                                                                                                                                                                                                                      <w:divsChild>
                                                                                                                                                                                                                                                                        <w:div w:id="1015767566">
                                                                                                                                                                                                                                                                          <w:marLeft w:val="0"/>
                                                                                                                                                                                                                                                                          <w:marRight w:val="0"/>
                                                                                                                                                                                                                                                                          <w:marTop w:val="0"/>
                                                                                                                                                                                                                                                                          <w:marBottom w:val="0"/>
                                                                                                                                                                                                                                                                          <w:divBdr>
                                                                                                                                                                                                                                                                            <w:top w:val="none" w:sz="0" w:space="0" w:color="auto"/>
                                                                                                                                                                                                                                                                            <w:left w:val="none" w:sz="0" w:space="0" w:color="auto"/>
                                                                                                                                                                                                                                                                            <w:bottom w:val="none" w:sz="0" w:space="0" w:color="auto"/>
                                                                                                                                                                                                                                                                            <w:right w:val="none" w:sz="0" w:space="0" w:color="auto"/>
                                                                                                                                                                                                                                                                          </w:divBdr>
                                                                                                                                                                                                                                                                          <w:divsChild>
                                                                                                                                                                                                                                                                            <w:div w:id="750810976">
                                                                                                                                                                                                                                                                              <w:marLeft w:val="0"/>
                                                                                                                                                                                                                                                                              <w:marRight w:val="0"/>
                                                                                                                                                                                                                                                                              <w:marTop w:val="0"/>
                                                                                                                                                                                                                                                                              <w:marBottom w:val="0"/>
                                                                                                                                                                                                                                                                              <w:divBdr>
                                                                                                                                                                                                                                                                                <w:top w:val="none" w:sz="0" w:space="0" w:color="auto"/>
                                                                                                                                                                                                                                                                                <w:left w:val="none" w:sz="0" w:space="0" w:color="auto"/>
                                                                                                                                                                                                                                                                                <w:bottom w:val="none" w:sz="0" w:space="0" w:color="auto"/>
                                                                                                                                                                                                                                                                                <w:right w:val="none" w:sz="0" w:space="0" w:color="auto"/>
                                                                                                                                                                                                                                                                              </w:divBdr>
                                                                                                                                                                                                                                                                              <w:divsChild>
                                                                                                                                                                                                                                                                                <w:div w:id="1244950083">
                                                                                                                                                                                                                                                                                  <w:marLeft w:val="0"/>
                                                                                                                                                                                                                                                                                  <w:marRight w:val="0"/>
                                                                                                                                                                                                                                                                                  <w:marTop w:val="0"/>
                                                                                                                                                                                                                                                                                  <w:marBottom w:val="0"/>
                                                                                                                                                                                                                                                                                  <w:divBdr>
                                                                                                                                                                                                                                                                                    <w:top w:val="none" w:sz="0" w:space="0" w:color="auto"/>
                                                                                                                                                                                                                                                                                    <w:left w:val="none" w:sz="0" w:space="0" w:color="auto"/>
                                                                                                                                                                                                                                                                                    <w:bottom w:val="none" w:sz="0" w:space="0" w:color="auto"/>
                                                                                                                                                                                                                                                                                    <w:right w:val="none" w:sz="0" w:space="0" w:color="auto"/>
                                                                                                                                                                                                                                                                                  </w:divBdr>
                                                                                                                                                                                                                                                                                  <w:divsChild>
                                                                                                                                                                                                                                                                                    <w:div w:id="563685064">
                                                                                                                                                                                                                                                                                      <w:marLeft w:val="0"/>
                                                                                                                                                                                                                                                                                      <w:marRight w:val="0"/>
                                                                                                                                                                                                                                                                                      <w:marTop w:val="0"/>
                                                                                                                                                                                                                                                                                      <w:marBottom w:val="0"/>
                                                                                                                                                                                                                                                                                      <w:divBdr>
                                                                                                                                                                                                                                                                                        <w:top w:val="none" w:sz="0" w:space="0" w:color="auto"/>
                                                                                                                                                                                                                                                                                        <w:left w:val="none" w:sz="0" w:space="0" w:color="auto"/>
                                                                                                                                                                                                                                                                                        <w:bottom w:val="none" w:sz="0" w:space="0" w:color="auto"/>
                                                                                                                                                                                                                                                                                        <w:right w:val="none" w:sz="0" w:space="0" w:color="auto"/>
                                                                                                                                                                                                                                                                                      </w:divBdr>
                                                                                                                                                                                                                                                                                      <w:divsChild>
                                                                                                                                                                                                                                                                                        <w:div w:id="1209342855">
                                                                                                                                                                                                                                                                                          <w:marLeft w:val="0"/>
                                                                                                                                                                                                                                                                                          <w:marRight w:val="0"/>
                                                                                                                                                                                                                                                                                          <w:marTop w:val="0"/>
                                                                                                                                                                                                                                                                                          <w:marBottom w:val="0"/>
                                                                                                                                                                                                                                                                                          <w:divBdr>
                                                                                                                                                                                                                                                                                            <w:top w:val="none" w:sz="0" w:space="0" w:color="auto"/>
                                                                                                                                                                                                                                                                                            <w:left w:val="none" w:sz="0" w:space="0" w:color="auto"/>
                                                                                                                                                                                                                                                                                            <w:bottom w:val="none" w:sz="0" w:space="0" w:color="auto"/>
                                                                                                                                                                                                                                                                                            <w:right w:val="none" w:sz="0" w:space="0" w:color="auto"/>
                                                                                                                                                                                                                                                                                          </w:divBdr>
                                                                                                                                                                                                                                                                                          <w:divsChild>
                                                                                                                                                                                                                                                                                            <w:div w:id="698245062">
                                                                                                                                                                                                                                                                                              <w:marLeft w:val="0"/>
                                                                                                                                                                                                                                                                                              <w:marRight w:val="0"/>
                                                                                                                                                                                                                                                                                              <w:marTop w:val="0"/>
                                                                                                                                                                                                                                                                                              <w:marBottom w:val="0"/>
                                                                                                                                                                                                                                                                                              <w:divBdr>
                                                                                                                                                                                                                                                                                                <w:top w:val="none" w:sz="0" w:space="0" w:color="auto"/>
                                                                                                                                                                                                                                                                                                <w:left w:val="none" w:sz="0" w:space="0" w:color="auto"/>
                                                                                                                                                                                                                                                                                                <w:bottom w:val="none" w:sz="0" w:space="0" w:color="auto"/>
                                                                                                                                                                                                                                                                                                <w:right w:val="none" w:sz="0" w:space="0" w:color="auto"/>
                                                                                                                                                                                                                                                                                              </w:divBdr>
                                                                                                                                                                                                                                                                                              <w:divsChild>
                                                                                                                                                                                                                                                                                                <w:div w:id="557670311">
                                                                                                                                                                                                                                                                                                  <w:marLeft w:val="0"/>
                                                                                                                                                                                                                                                                                                  <w:marRight w:val="0"/>
                                                                                                                                                                                                                                                                                                  <w:marTop w:val="0"/>
                                                                                                                                                                                                                                                                                                  <w:marBottom w:val="0"/>
                                                                                                                                                                                                                                                                                                  <w:divBdr>
                                                                                                                                                                                                                                                                                                    <w:top w:val="none" w:sz="0" w:space="0" w:color="auto"/>
                                                                                                                                                                                                                                                                                                    <w:left w:val="none" w:sz="0" w:space="0" w:color="auto"/>
                                                                                                                                                                                                                                                                                                    <w:bottom w:val="none" w:sz="0" w:space="0" w:color="auto"/>
                                                                                                                                                                                                                                                                                                    <w:right w:val="none" w:sz="0" w:space="0" w:color="auto"/>
                                                                                                                                                                                                                                                                                                  </w:divBdr>
                                                                                                                                                                                                                                                                                                  <w:divsChild>
                                                                                                                                                                                                                                                                                                    <w:div w:id="2009944441">
                                                                                                                                                                                                                                                                                                      <w:marLeft w:val="0"/>
                                                                                                                                                                                                                                                                                                      <w:marRight w:val="0"/>
                                                                                                                                                                                                                                                                                                      <w:marTop w:val="0"/>
                                                                                                                                                                                                                                                                                                      <w:marBottom w:val="0"/>
                                                                                                                                                                                                                                                                                                      <w:divBdr>
                                                                                                                                                                                                                                                                                                        <w:top w:val="none" w:sz="0" w:space="0" w:color="auto"/>
                                                                                                                                                                                                                                                                                                        <w:left w:val="none" w:sz="0" w:space="0" w:color="auto"/>
                                                                                                                                                                                                                                                                                                        <w:bottom w:val="none" w:sz="0" w:space="0" w:color="auto"/>
                                                                                                                                                                                                                                                                                                        <w:right w:val="none" w:sz="0" w:space="0" w:color="auto"/>
                                                                                                                                                                                                                                                                                                      </w:divBdr>
                                                                                                                                                                                                                                                                                                      <w:divsChild>
                                                                                                                                                                                                                                                                                                        <w:div w:id="1072390300">
                                                                                                                                                                                                                                                                                                          <w:marLeft w:val="0"/>
                                                                                                                                                                                                                                                                                                          <w:marRight w:val="0"/>
                                                                                                                                                                                                                                                                                                          <w:marTop w:val="0"/>
                                                                                                                                                                                                                                                                                                          <w:marBottom w:val="0"/>
                                                                                                                                                                                                                                                                                                          <w:divBdr>
                                                                                                                                                                                                                                                                                                            <w:top w:val="none" w:sz="0" w:space="0" w:color="auto"/>
                                                                                                                                                                                                                                                                                                            <w:left w:val="none" w:sz="0" w:space="0" w:color="auto"/>
                                                                                                                                                                                                                                                                                                            <w:bottom w:val="none" w:sz="0" w:space="0" w:color="auto"/>
                                                                                                                                                                                                                                                                                                            <w:right w:val="none" w:sz="0" w:space="0" w:color="auto"/>
                                                                                                                                                                                                                                                                                                          </w:divBdr>
                                                                                                                                                                                                                                                                                                          <w:divsChild>
                                                                                                                                                                                                                                                                                                            <w:div w:id="928805214">
                                                                                                                                                                                                                                                                                                              <w:marLeft w:val="0"/>
                                                                                                                                                                                                                                                                                                              <w:marRight w:val="0"/>
                                                                                                                                                                                                                                                                                                              <w:marTop w:val="0"/>
                                                                                                                                                                                                                                                                                                              <w:marBottom w:val="0"/>
                                                                                                                                                                                                                                                                                                              <w:divBdr>
                                                                                                                                                                                                                                                                                                                <w:top w:val="none" w:sz="0" w:space="0" w:color="auto"/>
                                                                                                                                                                                                                                                                                                                <w:left w:val="none" w:sz="0" w:space="0" w:color="auto"/>
                                                                                                                                                                                                                                                                                                                <w:bottom w:val="none" w:sz="0" w:space="0" w:color="auto"/>
                                                                                                                                                                                                                                                                                                                <w:right w:val="none" w:sz="0" w:space="0" w:color="auto"/>
                                                                                                                                                                                                                                                                                                              </w:divBdr>
                                                                                                                                                                                                                                                                                                              <w:divsChild>
                                                                                                                                                                                                                                                                                                                <w:div w:id="1650091610">
                                                                                                                                                                                                                                                                                                                  <w:marLeft w:val="0"/>
                                                                                                                                                                                                                                                                                                                  <w:marRight w:val="0"/>
                                                                                                                                                                                                                                                                                                                  <w:marTop w:val="0"/>
                                                                                                                                                                                                                                                                                                                  <w:marBottom w:val="0"/>
                                                                                                                                                                                                                                                                                                                  <w:divBdr>
                                                                                                                                                                                                                                                                                                                    <w:top w:val="none" w:sz="0" w:space="0" w:color="auto"/>
                                                                                                                                                                                                                                                                                                                    <w:left w:val="none" w:sz="0" w:space="0" w:color="auto"/>
                                                                                                                                                                                                                                                                                                                    <w:bottom w:val="none" w:sz="0" w:space="0" w:color="auto"/>
                                                                                                                                                                                                                                                                                                                    <w:right w:val="none" w:sz="0" w:space="0" w:color="auto"/>
                                                                                                                                                                                                                                                                                                                  </w:divBdr>
                                                                                                                                                                                                                                                                                                                  <w:divsChild>
                                                                                                                                                                                                                                                                                                                    <w:div w:id="444349063">
                                                                                                                                                                                                                                                                                                                      <w:marLeft w:val="0"/>
                                                                                                                                                                                                                                                                                                                      <w:marRight w:val="0"/>
                                                                                                                                                                                                                                                                                                                      <w:marTop w:val="0"/>
                                                                                                                                                                                                                                                                                                                      <w:marBottom w:val="0"/>
                                                                                                                                                                                                                                                                                                                      <w:divBdr>
                                                                                                                                                                                                                                                                                                                        <w:top w:val="none" w:sz="0" w:space="0" w:color="auto"/>
                                                                                                                                                                                                                                                                                                                        <w:left w:val="none" w:sz="0" w:space="0" w:color="auto"/>
                                                                                                                                                                                                                                                                                                                        <w:bottom w:val="none" w:sz="0" w:space="0" w:color="auto"/>
                                                                                                                                                                                                                                                                                                                        <w:right w:val="none" w:sz="0" w:space="0" w:color="auto"/>
                                                                                                                                                                                                                                                                                                                      </w:divBdr>
                                                                                                                                                                                                                                                                                                                      <w:divsChild>
                                                                                                                                                                                                                                                                                                                        <w:div w:id="905071045">
                                                                                                                                                                                                                                                                                                                          <w:marLeft w:val="0"/>
                                                                                                                                                                                                                                                                                                                          <w:marRight w:val="0"/>
                                                                                                                                                                                                                                                                                                                          <w:marTop w:val="0"/>
                                                                                                                                                                                                                                                                                                                          <w:marBottom w:val="0"/>
                                                                                                                                                                                                                                                                                                                          <w:divBdr>
                                                                                                                                                                                                                                                                                                                            <w:top w:val="none" w:sz="0" w:space="0" w:color="auto"/>
                                                                                                                                                                                                                                                                                                                            <w:left w:val="none" w:sz="0" w:space="0" w:color="auto"/>
                                                                                                                                                                                                                                                                                                                            <w:bottom w:val="none" w:sz="0" w:space="0" w:color="auto"/>
                                                                                                                                                                                                                                                                                                                            <w:right w:val="none" w:sz="0" w:space="0" w:color="auto"/>
                                                                                                                                                                                                                                                                                                                          </w:divBdr>
                                                                                                                                                                                                                                                                                                                          <w:divsChild>
                                                                                                                                                                                                                                                                                                                            <w:div w:id="620115293">
                                                                                                                                                                                                                                                                                                                              <w:marLeft w:val="0"/>
                                                                                                                                                                                                                                                                                                                              <w:marRight w:val="0"/>
                                                                                                                                                                                                                                                                                                                              <w:marTop w:val="0"/>
                                                                                                                                                                                                                                                                                                                              <w:marBottom w:val="0"/>
                                                                                                                                                                                                                                                                                                                              <w:divBdr>
                                                                                                                                                                                                                                                                                                                                <w:top w:val="none" w:sz="0" w:space="0" w:color="auto"/>
                                                                                                                                                                                                                                                                                                                                <w:left w:val="none" w:sz="0" w:space="0" w:color="auto"/>
                                                                                                                                                                                                                                                                                                                                <w:bottom w:val="none" w:sz="0" w:space="0" w:color="auto"/>
                                                                                                                                                                                                                                                                                                                                <w:right w:val="none" w:sz="0" w:space="0" w:color="auto"/>
                                                                                                                                                                                                                                                                                                                              </w:divBdr>
                                                                                                                                                                                                                                                                                                                              <w:divsChild>
                                                                                                                                                                                                                                                                                                                                <w:div w:id="1558928418">
                                                                                                                                                                                                                                                                                                                                  <w:marLeft w:val="0"/>
                                                                                                                                                                                                                                                                                                                                  <w:marRight w:val="0"/>
                                                                                                                                                                                                                                                                                                                                  <w:marTop w:val="0"/>
                                                                                                                                                                                                                                                                                                                                  <w:marBottom w:val="0"/>
                                                                                                                                                                                                                                                                                                                                  <w:divBdr>
                                                                                                                                                                                                                                                                                                                                    <w:top w:val="none" w:sz="0" w:space="0" w:color="auto"/>
                                                                                                                                                                                                                                                                                                                                    <w:left w:val="none" w:sz="0" w:space="0" w:color="auto"/>
                                                                                                                                                                                                                                                                                                                                    <w:bottom w:val="none" w:sz="0" w:space="0" w:color="auto"/>
                                                                                                                                                                                                                                                                                                                                    <w:right w:val="none" w:sz="0" w:space="0" w:color="auto"/>
                                                                                                                                                                                                                                                                                                                                  </w:divBdr>
                                                                                                                                                                                                                                                                                                                                  <w:divsChild>
                                                                                                                                                                                                                                                                                                                                    <w:div w:id="459690646">
                                                                                                                                                                                                                                                                                                                                      <w:marLeft w:val="0"/>
                                                                                                                                                                                                                                                                                                                                      <w:marRight w:val="0"/>
                                                                                                                                                                                                                                                                                                                                      <w:marTop w:val="0"/>
                                                                                                                                                                                                                                                                                                                                      <w:marBottom w:val="0"/>
                                                                                                                                                                                                                                                                                                                                      <w:divBdr>
                                                                                                                                                                                                                                                                                                                                        <w:top w:val="none" w:sz="0" w:space="0" w:color="auto"/>
                                                                                                                                                                                                                                                                                                                                        <w:left w:val="none" w:sz="0" w:space="0" w:color="auto"/>
                                                                                                                                                                                                                                                                                                                                        <w:bottom w:val="none" w:sz="0" w:space="0" w:color="auto"/>
                                                                                                                                                                                                                                                                                                                                        <w:right w:val="none" w:sz="0" w:space="0" w:color="auto"/>
                                                                                                                                                                                                                                                                                                                                      </w:divBdr>
                                                                                                                                                                                                                                                                                                                                      <w:divsChild>
                                                                                                                                                                                                                                                                                                                                        <w:div w:id="276759006">
                                                                                                                                                                                                                                                                                                                                          <w:marLeft w:val="0"/>
                                                                                                                                                                                                                                                                                                                                          <w:marRight w:val="0"/>
                                                                                                                                                                                                                                                                                                                                          <w:marTop w:val="0"/>
                                                                                                                                                                                                                                                                                                                                          <w:marBottom w:val="0"/>
                                                                                                                                                                                                                                                                                                                                          <w:divBdr>
                                                                                                                                                                                                                                                                                                                                            <w:top w:val="none" w:sz="0" w:space="0" w:color="auto"/>
                                                                                                                                                                                                                                                                                                                                            <w:left w:val="none" w:sz="0" w:space="0" w:color="auto"/>
                                                                                                                                                                                                                                                                                                                                            <w:bottom w:val="none" w:sz="0" w:space="0" w:color="auto"/>
                                                                                                                                                                                                                                                                                                                                            <w:right w:val="none" w:sz="0" w:space="0" w:color="auto"/>
                                                                                                                                                                                                                                                                                                                                          </w:divBdr>
                                                                                                                                                                                                                                                                                                                                          <w:divsChild>
                                                                                                                                                                                                                                                                                                                                            <w:div w:id="901331759">
                                                                                                                                                                                                                                                                                                                                              <w:marLeft w:val="0"/>
                                                                                                                                                                                                                                                                                                                                              <w:marRight w:val="0"/>
                                                                                                                                                                                                                                                                                                                                              <w:marTop w:val="0"/>
                                                                                                                                                                                                                                                                                                                                              <w:marBottom w:val="0"/>
                                                                                                                                                                                                                                                                                                                                              <w:divBdr>
                                                                                                                                                                                                                                                                                                                                                <w:top w:val="none" w:sz="0" w:space="0" w:color="auto"/>
                                                                                                                                                                                                                                                                                                                                                <w:left w:val="none" w:sz="0" w:space="0" w:color="auto"/>
                                                                                                                                                                                                                                                                                                                                                <w:bottom w:val="none" w:sz="0" w:space="0" w:color="auto"/>
                                                                                                                                                                                                                                                                                                                                                <w:right w:val="none" w:sz="0" w:space="0" w:color="auto"/>
                                                                                                                                                                                                                                                                                                                                              </w:divBdr>
                                                                                                                                                                                                                                                                                                                                              <w:divsChild>
                                                                                                                                                                                                                                                                                                                                                <w:div w:id="1567495531">
                                                                                                                                                                                                                                                                                                                                                  <w:marLeft w:val="0"/>
                                                                                                                                                                                                                                                                                                                                                  <w:marRight w:val="0"/>
                                                                                                                                                                                                                                                                                                                                                  <w:marTop w:val="0"/>
                                                                                                                                                                                                                                                                                                                                                  <w:marBottom w:val="0"/>
                                                                                                                                                                                                                                                                                                                                                  <w:divBdr>
                                                                                                                                                                                                                                                                                                                                                    <w:top w:val="none" w:sz="0" w:space="0" w:color="auto"/>
                                                                                                                                                                                                                                                                                                                                                    <w:left w:val="none" w:sz="0" w:space="0" w:color="auto"/>
                                                                                                                                                                                                                                                                                                                                                    <w:bottom w:val="none" w:sz="0" w:space="0" w:color="auto"/>
                                                                                                                                                                                                                                                                                                                                                    <w:right w:val="none" w:sz="0" w:space="0" w:color="auto"/>
                                                                                                                                                                                                                                                                                                                                                  </w:divBdr>
                                                                                                                                                                                                                                                                                                                                                  <w:divsChild>
                                                                                                                                                                                                                                                                                                                                                    <w:div w:id="292905419">
                                                                                                                                                                                                                                                                                                                                                      <w:marLeft w:val="0"/>
                                                                                                                                                                                                                                                                                                                                                      <w:marRight w:val="0"/>
                                                                                                                                                                                                                                                                                                                                                      <w:marTop w:val="0"/>
                                                                                                                                                                                                                                                                                                                                                      <w:marBottom w:val="0"/>
                                                                                                                                                                                                                                                                                                                                                      <w:divBdr>
                                                                                                                                                                                                                                                                                                                                                        <w:top w:val="none" w:sz="0" w:space="0" w:color="auto"/>
                                                                                                                                                                                                                                                                                                                                                        <w:left w:val="none" w:sz="0" w:space="0" w:color="auto"/>
                                                                                                                                                                                                                                                                                                                                                        <w:bottom w:val="none" w:sz="0" w:space="0" w:color="auto"/>
                                                                                                                                                                                                                                                                                                                                                        <w:right w:val="none" w:sz="0" w:space="0" w:color="auto"/>
                                                                                                                                                                                                                                                                                                                                                      </w:divBdr>
                                                                                                                                                                                                                                                                                                                                                      <w:divsChild>
                                                                                                                                                                                                                                                                                                                                                        <w:div w:id="221405985">
                                                                                                                                                                                                                                                                                                                                                          <w:marLeft w:val="0"/>
                                                                                                                                                                                                                                                                                                                                                          <w:marRight w:val="0"/>
                                                                                                                                                                                                                                                                                                                                                          <w:marTop w:val="0"/>
                                                                                                                                                                                                                                                                                                                                                          <w:marBottom w:val="0"/>
                                                                                                                                                                                                                                                                                                                                                          <w:divBdr>
                                                                                                                                                                                                                                                                                                                                                            <w:top w:val="none" w:sz="0" w:space="0" w:color="auto"/>
                                                                                                                                                                                                                                                                                                                                                            <w:left w:val="none" w:sz="0" w:space="0" w:color="auto"/>
                                                                                                                                                                                                                                                                                                                                                            <w:bottom w:val="none" w:sz="0" w:space="0" w:color="auto"/>
                                                                                                                                                                                                                                                                                                                                                            <w:right w:val="none" w:sz="0" w:space="0" w:color="auto"/>
                                                                                                                                                                                                                                                                                                                                                          </w:divBdr>
                                                                                                                                                                                                                                                                                                                                                          <w:divsChild>
                                                                                                                                                                                                                                                                                                                                                            <w:div w:id="1768037488">
                                                                                                                                                                                                                                                                                                                                                              <w:marLeft w:val="0"/>
                                                                                                                                                                                                                                                                                                                                                              <w:marRight w:val="0"/>
                                                                                                                                                                                                                                                                                                                                                              <w:marTop w:val="0"/>
                                                                                                                                                                                                                                                                                                                                                              <w:marBottom w:val="0"/>
                                                                                                                                                                                                                                                                                                                                                              <w:divBdr>
                                                                                                                                                                                                                                                                                                                                                                <w:top w:val="none" w:sz="0" w:space="0" w:color="auto"/>
                                                                                                                                                                                                                                                                                                                                                                <w:left w:val="none" w:sz="0" w:space="0" w:color="auto"/>
                                                                                                                                                                                                                                                                                                                                                                <w:bottom w:val="none" w:sz="0" w:space="0" w:color="auto"/>
                                                                                                                                                                                                                                                                                                                                                                <w:right w:val="none" w:sz="0" w:space="0" w:color="auto"/>
                                                                                                                                                                                                                                                                                                                                                              </w:divBdr>
                                                                                                                                                                                                                                                                                                                                                              <w:divsChild>
                                                                                                                                                                                                                                                                                                                                                                <w:div w:id="1029602182">
                                                                                                                                                                                                                                                                                                                                                                  <w:marLeft w:val="0"/>
                                                                                                                                                                                                                                                                                                                                                                  <w:marRight w:val="0"/>
                                                                                                                                                                                                                                                                                                                                                                  <w:marTop w:val="0"/>
                                                                                                                                                                                                                                                                                                                                                                  <w:marBottom w:val="0"/>
                                                                                                                                                                                                                                                                                                                                                                  <w:divBdr>
                                                                                                                                                                                                                                                                                                                                                                    <w:top w:val="none" w:sz="0" w:space="0" w:color="auto"/>
                                                                                                                                                                                                                                                                                                                                                                    <w:left w:val="none" w:sz="0" w:space="0" w:color="auto"/>
                                                                                                                                                                                                                                                                                                                                                                    <w:bottom w:val="none" w:sz="0" w:space="0" w:color="auto"/>
                                                                                                                                                                                                                                                                                                                                                                    <w:right w:val="none" w:sz="0" w:space="0" w:color="auto"/>
                                                                                                                                                                                                                                                                                                                                                                  </w:divBdr>
                                                                                                                                                                                                                                                                                                                                                                  <w:divsChild>
                                                                                                                                                                                                                                                                                                                                                                    <w:div w:id="259879692">
                                                                                                                                                                                                                                                                                                                                                                      <w:marLeft w:val="0"/>
                                                                                                                                                                                                                                                                                                                                                                      <w:marRight w:val="0"/>
                                                                                                                                                                                                                                                                                                                                                                      <w:marTop w:val="0"/>
                                                                                                                                                                                                                                                                                                                                                                      <w:marBottom w:val="0"/>
                                                                                                                                                                                                                                                                                                                                                                      <w:divBdr>
                                                                                                                                                                                                                                                                                                                                                                        <w:top w:val="none" w:sz="0" w:space="0" w:color="auto"/>
                                                                                                                                                                                                                                                                                                                                                                        <w:left w:val="none" w:sz="0" w:space="0" w:color="auto"/>
                                                                                                                                                                                                                                                                                                                                                                        <w:bottom w:val="none" w:sz="0" w:space="0" w:color="auto"/>
                                                                                                                                                                                                                                                                                                                                                                        <w:right w:val="none" w:sz="0" w:space="0" w:color="auto"/>
                                                                                                                                                                                                                                                                                                                                                                      </w:divBdr>
                                                                                                                                                                                                                                                                                                                                                                      <w:divsChild>
                                                                                                                                                                                                                                                                                                                                                                        <w:div w:id="797263627">
                                                                                                                                                                                                                                                                                                                                                                          <w:marLeft w:val="0"/>
                                                                                                                                                                                                                                                                                                                                                                          <w:marRight w:val="0"/>
                                                                                                                                                                                                                                                                                                                                                                          <w:marTop w:val="0"/>
                                                                                                                                                                                                                                                                                                                                                                          <w:marBottom w:val="0"/>
                                                                                                                                                                                                                                                                                                                                                                          <w:divBdr>
                                                                                                                                                                                                                                                                                                                                                                            <w:top w:val="none" w:sz="0" w:space="0" w:color="auto"/>
                                                                                                                                                                                                                                                                                                                                                                            <w:left w:val="none" w:sz="0" w:space="0" w:color="auto"/>
                                                                                                                                                                                                                                                                                                                                                                            <w:bottom w:val="none" w:sz="0" w:space="0" w:color="auto"/>
                                                                                                                                                                                                                                                                                                                                                                            <w:right w:val="none" w:sz="0" w:space="0" w:color="auto"/>
                                                                                                                                                                                                                                                                                                                                                                          </w:divBdr>
                                                                                                                                                                                                                                                                                                                                                                          <w:divsChild>
                                                                                                                                                                                                                                                                                                                                                                            <w:div w:id="1989550871">
                                                                                                                                                                                                                                                                                                                                                                              <w:marLeft w:val="0"/>
                                                                                                                                                                                                                                                                                                                                                                              <w:marRight w:val="0"/>
                                                                                                                                                                                                                                                                                                                                                                              <w:marTop w:val="0"/>
                                                                                                                                                                                                                                                                                                                                                                              <w:marBottom w:val="0"/>
                                                                                                                                                                                                                                                                                                                                                                              <w:divBdr>
                                                                                                                                                                                                                                                                                                                                                                                <w:top w:val="none" w:sz="0" w:space="0" w:color="auto"/>
                                                                                                                                                                                                                                                                                                                                                                                <w:left w:val="none" w:sz="0" w:space="0" w:color="auto"/>
                                                                                                                                                                                                                                                                                                                                                                                <w:bottom w:val="none" w:sz="0" w:space="0" w:color="auto"/>
                                                                                                                                                                                                                                                                                                                                                                                <w:right w:val="none" w:sz="0" w:space="0" w:color="auto"/>
                                                                                                                                                                                                                                                                                                                                                                              </w:divBdr>
                                                                                                                                                                                                                                                                                                                                                                              <w:divsChild>
                                                                                                                                                                                                                                                                                                                                                                                <w:div w:id="721363790">
                                                                                                                                                                                                                                                                                                                                                                                  <w:marLeft w:val="0"/>
                                                                                                                                                                                                                                                                                                                                                                                  <w:marRight w:val="0"/>
                                                                                                                                                                                                                                                                                                                                                                                  <w:marTop w:val="0"/>
                                                                                                                                                                                                                                                                                                                                                                                  <w:marBottom w:val="0"/>
                                                                                                                                                                                                                                                                                                                                                                                  <w:divBdr>
                                                                                                                                                                                                                                                                                                                                                                                    <w:top w:val="none" w:sz="0" w:space="0" w:color="auto"/>
                                                                                                                                                                                                                                                                                                                                                                                    <w:left w:val="none" w:sz="0" w:space="0" w:color="auto"/>
                                                                                                                                                                                                                                                                                                                                                                                    <w:bottom w:val="none" w:sz="0" w:space="0" w:color="auto"/>
                                                                                                                                                                                                                                                                                                                                                                                    <w:right w:val="none" w:sz="0" w:space="0" w:color="auto"/>
                                                                                                                                                                                                                                                                                                                                                                                  </w:divBdr>
                                                                                                                                                                                                                                                                                                                                                                                  <w:divsChild>
                                                                                                                                                                                                                                                                                                                                                                                    <w:div w:id="1175656074">
                                                                                                                                                                                                                                                                                                                                                                                      <w:marLeft w:val="0"/>
                                                                                                                                                                                                                                                                                                                                                                                      <w:marRight w:val="0"/>
                                                                                                                                                                                                                                                                                                                                                                                      <w:marTop w:val="0"/>
                                                                                                                                                                                                                                                                                                                                                                                      <w:marBottom w:val="0"/>
                                                                                                                                                                                                                                                                                                                                                                                      <w:divBdr>
                                                                                                                                                                                                                                                                                                                                                                                        <w:top w:val="none" w:sz="0" w:space="0" w:color="auto"/>
                                                                                                                                                                                                                                                                                                                                                                                        <w:left w:val="none" w:sz="0" w:space="0" w:color="auto"/>
                                                                                                                                                                                                                                                                                                                                                                                        <w:bottom w:val="none" w:sz="0" w:space="0" w:color="auto"/>
                                                                                                                                                                                                                                                                                                                                                                                        <w:right w:val="none" w:sz="0" w:space="0" w:color="auto"/>
                                                                                                                                                                                                                                                                                                                                                                                      </w:divBdr>
                                                                                                                                                                                                                                                                                                                                                                                      <w:divsChild>
                                                                                                                                                                                                                                                                                                                                                                                        <w:div w:id="8640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742549">
      <w:bodyDiv w:val="1"/>
      <w:marLeft w:val="0"/>
      <w:marRight w:val="0"/>
      <w:marTop w:val="0"/>
      <w:marBottom w:val="0"/>
      <w:divBdr>
        <w:top w:val="none" w:sz="0" w:space="0" w:color="auto"/>
        <w:left w:val="none" w:sz="0" w:space="0" w:color="auto"/>
        <w:bottom w:val="none" w:sz="0" w:space="0" w:color="auto"/>
        <w:right w:val="none" w:sz="0" w:space="0" w:color="auto"/>
      </w:divBdr>
    </w:div>
    <w:div w:id="1075321968">
      <w:bodyDiv w:val="1"/>
      <w:marLeft w:val="0"/>
      <w:marRight w:val="0"/>
      <w:marTop w:val="0"/>
      <w:marBottom w:val="0"/>
      <w:divBdr>
        <w:top w:val="none" w:sz="0" w:space="0" w:color="auto"/>
        <w:left w:val="none" w:sz="0" w:space="0" w:color="auto"/>
        <w:bottom w:val="none" w:sz="0" w:space="0" w:color="auto"/>
        <w:right w:val="none" w:sz="0" w:space="0" w:color="auto"/>
      </w:divBdr>
    </w:div>
    <w:div w:id="1077702226">
      <w:bodyDiv w:val="1"/>
      <w:marLeft w:val="0"/>
      <w:marRight w:val="0"/>
      <w:marTop w:val="0"/>
      <w:marBottom w:val="0"/>
      <w:divBdr>
        <w:top w:val="none" w:sz="0" w:space="0" w:color="auto"/>
        <w:left w:val="none" w:sz="0" w:space="0" w:color="auto"/>
        <w:bottom w:val="none" w:sz="0" w:space="0" w:color="auto"/>
        <w:right w:val="none" w:sz="0" w:space="0" w:color="auto"/>
      </w:divBdr>
      <w:divsChild>
        <w:div w:id="78790832">
          <w:marLeft w:val="0"/>
          <w:marRight w:val="0"/>
          <w:marTop w:val="0"/>
          <w:marBottom w:val="0"/>
          <w:divBdr>
            <w:top w:val="none" w:sz="0" w:space="0" w:color="auto"/>
            <w:left w:val="none" w:sz="0" w:space="0" w:color="auto"/>
            <w:bottom w:val="none" w:sz="0" w:space="0" w:color="auto"/>
            <w:right w:val="none" w:sz="0" w:space="0" w:color="auto"/>
          </w:divBdr>
          <w:divsChild>
            <w:div w:id="1924029526">
              <w:marLeft w:val="0"/>
              <w:marRight w:val="0"/>
              <w:marTop w:val="0"/>
              <w:marBottom w:val="0"/>
              <w:divBdr>
                <w:top w:val="none" w:sz="0" w:space="0" w:color="auto"/>
                <w:left w:val="none" w:sz="0" w:space="0" w:color="auto"/>
                <w:bottom w:val="none" w:sz="0" w:space="0" w:color="auto"/>
                <w:right w:val="none" w:sz="0" w:space="0" w:color="auto"/>
              </w:divBdr>
              <w:divsChild>
                <w:div w:id="303582013">
                  <w:marLeft w:val="0"/>
                  <w:marRight w:val="0"/>
                  <w:marTop w:val="0"/>
                  <w:marBottom w:val="0"/>
                  <w:divBdr>
                    <w:top w:val="none" w:sz="0" w:space="0" w:color="auto"/>
                    <w:left w:val="none" w:sz="0" w:space="0" w:color="auto"/>
                    <w:bottom w:val="none" w:sz="0" w:space="0" w:color="auto"/>
                    <w:right w:val="none" w:sz="0" w:space="0" w:color="auto"/>
                  </w:divBdr>
                  <w:divsChild>
                    <w:div w:id="1732263330">
                      <w:marLeft w:val="0"/>
                      <w:marRight w:val="0"/>
                      <w:marTop w:val="0"/>
                      <w:marBottom w:val="0"/>
                      <w:divBdr>
                        <w:top w:val="none" w:sz="0" w:space="0" w:color="auto"/>
                        <w:left w:val="none" w:sz="0" w:space="0" w:color="auto"/>
                        <w:bottom w:val="none" w:sz="0" w:space="0" w:color="auto"/>
                        <w:right w:val="none" w:sz="0" w:space="0" w:color="auto"/>
                      </w:divBdr>
                      <w:divsChild>
                        <w:div w:id="1503279955">
                          <w:marLeft w:val="0"/>
                          <w:marRight w:val="0"/>
                          <w:marTop w:val="0"/>
                          <w:marBottom w:val="0"/>
                          <w:divBdr>
                            <w:top w:val="none" w:sz="0" w:space="0" w:color="auto"/>
                            <w:left w:val="none" w:sz="0" w:space="0" w:color="auto"/>
                            <w:bottom w:val="none" w:sz="0" w:space="0" w:color="auto"/>
                            <w:right w:val="none" w:sz="0" w:space="0" w:color="auto"/>
                          </w:divBdr>
                          <w:divsChild>
                            <w:div w:id="2132168034">
                              <w:marLeft w:val="0"/>
                              <w:marRight w:val="0"/>
                              <w:marTop w:val="0"/>
                              <w:marBottom w:val="0"/>
                              <w:divBdr>
                                <w:top w:val="none" w:sz="0" w:space="0" w:color="auto"/>
                                <w:left w:val="none" w:sz="0" w:space="0" w:color="auto"/>
                                <w:bottom w:val="none" w:sz="0" w:space="0" w:color="auto"/>
                                <w:right w:val="none" w:sz="0" w:space="0" w:color="auto"/>
                              </w:divBdr>
                              <w:divsChild>
                                <w:div w:id="1161046469">
                                  <w:marLeft w:val="0"/>
                                  <w:marRight w:val="0"/>
                                  <w:marTop w:val="0"/>
                                  <w:marBottom w:val="0"/>
                                  <w:divBdr>
                                    <w:top w:val="none" w:sz="0" w:space="0" w:color="auto"/>
                                    <w:left w:val="none" w:sz="0" w:space="0" w:color="auto"/>
                                    <w:bottom w:val="none" w:sz="0" w:space="0" w:color="auto"/>
                                    <w:right w:val="none" w:sz="0" w:space="0" w:color="auto"/>
                                  </w:divBdr>
                                  <w:divsChild>
                                    <w:div w:id="756370292">
                                      <w:marLeft w:val="0"/>
                                      <w:marRight w:val="0"/>
                                      <w:marTop w:val="0"/>
                                      <w:marBottom w:val="0"/>
                                      <w:divBdr>
                                        <w:top w:val="none" w:sz="0" w:space="0" w:color="auto"/>
                                        <w:left w:val="none" w:sz="0" w:space="0" w:color="auto"/>
                                        <w:bottom w:val="none" w:sz="0" w:space="0" w:color="auto"/>
                                        <w:right w:val="none" w:sz="0" w:space="0" w:color="auto"/>
                                      </w:divBdr>
                                      <w:divsChild>
                                        <w:div w:id="2012444605">
                                          <w:marLeft w:val="0"/>
                                          <w:marRight w:val="0"/>
                                          <w:marTop w:val="0"/>
                                          <w:marBottom w:val="0"/>
                                          <w:divBdr>
                                            <w:top w:val="none" w:sz="0" w:space="0" w:color="auto"/>
                                            <w:left w:val="none" w:sz="0" w:space="0" w:color="auto"/>
                                            <w:bottom w:val="none" w:sz="0" w:space="0" w:color="auto"/>
                                            <w:right w:val="none" w:sz="0" w:space="0" w:color="auto"/>
                                          </w:divBdr>
                                          <w:divsChild>
                                            <w:div w:id="1536381611">
                                              <w:marLeft w:val="0"/>
                                              <w:marRight w:val="0"/>
                                              <w:marTop w:val="0"/>
                                              <w:marBottom w:val="0"/>
                                              <w:divBdr>
                                                <w:top w:val="none" w:sz="0" w:space="0" w:color="auto"/>
                                                <w:left w:val="none" w:sz="0" w:space="0" w:color="auto"/>
                                                <w:bottom w:val="none" w:sz="0" w:space="0" w:color="auto"/>
                                                <w:right w:val="none" w:sz="0" w:space="0" w:color="auto"/>
                                              </w:divBdr>
                                              <w:divsChild>
                                                <w:div w:id="1446727061">
                                                  <w:marLeft w:val="0"/>
                                                  <w:marRight w:val="0"/>
                                                  <w:marTop w:val="0"/>
                                                  <w:marBottom w:val="0"/>
                                                  <w:divBdr>
                                                    <w:top w:val="none" w:sz="0" w:space="0" w:color="auto"/>
                                                    <w:left w:val="none" w:sz="0" w:space="0" w:color="auto"/>
                                                    <w:bottom w:val="none" w:sz="0" w:space="0" w:color="auto"/>
                                                    <w:right w:val="none" w:sz="0" w:space="0" w:color="auto"/>
                                                  </w:divBdr>
                                                  <w:divsChild>
                                                    <w:div w:id="1412510279">
                                                      <w:marLeft w:val="0"/>
                                                      <w:marRight w:val="0"/>
                                                      <w:marTop w:val="0"/>
                                                      <w:marBottom w:val="0"/>
                                                      <w:divBdr>
                                                        <w:top w:val="none" w:sz="0" w:space="0" w:color="auto"/>
                                                        <w:left w:val="none" w:sz="0" w:space="0" w:color="auto"/>
                                                        <w:bottom w:val="none" w:sz="0" w:space="0" w:color="auto"/>
                                                        <w:right w:val="none" w:sz="0" w:space="0" w:color="auto"/>
                                                      </w:divBdr>
                                                      <w:divsChild>
                                                        <w:div w:id="1089351208">
                                                          <w:marLeft w:val="0"/>
                                                          <w:marRight w:val="0"/>
                                                          <w:marTop w:val="0"/>
                                                          <w:marBottom w:val="0"/>
                                                          <w:divBdr>
                                                            <w:top w:val="none" w:sz="0" w:space="0" w:color="auto"/>
                                                            <w:left w:val="none" w:sz="0" w:space="0" w:color="auto"/>
                                                            <w:bottom w:val="none" w:sz="0" w:space="0" w:color="auto"/>
                                                            <w:right w:val="none" w:sz="0" w:space="0" w:color="auto"/>
                                                          </w:divBdr>
                                                          <w:divsChild>
                                                            <w:div w:id="1507087454">
                                                              <w:marLeft w:val="0"/>
                                                              <w:marRight w:val="0"/>
                                                              <w:marTop w:val="0"/>
                                                              <w:marBottom w:val="0"/>
                                                              <w:divBdr>
                                                                <w:top w:val="none" w:sz="0" w:space="0" w:color="auto"/>
                                                                <w:left w:val="none" w:sz="0" w:space="0" w:color="auto"/>
                                                                <w:bottom w:val="none" w:sz="0" w:space="0" w:color="auto"/>
                                                                <w:right w:val="none" w:sz="0" w:space="0" w:color="auto"/>
                                                              </w:divBdr>
                                                              <w:divsChild>
                                                                <w:div w:id="1985547544">
                                                                  <w:marLeft w:val="0"/>
                                                                  <w:marRight w:val="0"/>
                                                                  <w:marTop w:val="0"/>
                                                                  <w:marBottom w:val="0"/>
                                                                  <w:divBdr>
                                                                    <w:top w:val="none" w:sz="0" w:space="0" w:color="auto"/>
                                                                    <w:left w:val="none" w:sz="0" w:space="0" w:color="auto"/>
                                                                    <w:bottom w:val="none" w:sz="0" w:space="0" w:color="auto"/>
                                                                    <w:right w:val="none" w:sz="0" w:space="0" w:color="auto"/>
                                                                  </w:divBdr>
                                                                  <w:divsChild>
                                                                    <w:div w:id="1339968951">
                                                                      <w:marLeft w:val="0"/>
                                                                      <w:marRight w:val="0"/>
                                                                      <w:marTop w:val="0"/>
                                                                      <w:marBottom w:val="0"/>
                                                                      <w:divBdr>
                                                                        <w:top w:val="none" w:sz="0" w:space="0" w:color="auto"/>
                                                                        <w:left w:val="none" w:sz="0" w:space="0" w:color="auto"/>
                                                                        <w:bottom w:val="none" w:sz="0" w:space="0" w:color="auto"/>
                                                                        <w:right w:val="none" w:sz="0" w:space="0" w:color="auto"/>
                                                                      </w:divBdr>
                                                                      <w:divsChild>
                                                                        <w:div w:id="582881527">
                                                                          <w:marLeft w:val="0"/>
                                                                          <w:marRight w:val="0"/>
                                                                          <w:marTop w:val="0"/>
                                                                          <w:marBottom w:val="0"/>
                                                                          <w:divBdr>
                                                                            <w:top w:val="none" w:sz="0" w:space="0" w:color="auto"/>
                                                                            <w:left w:val="none" w:sz="0" w:space="0" w:color="auto"/>
                                                                            <w:bottom w:val="none" w:sz="0" w:space="0" w:color="auto"/>
                                                                            <w:right w:val="none" w:sz="0" w:space="0" w:color="auto"/>
                                                                          </w:divBdr>
                                                                          <w:divsChild>
                                                                            <w:div w:id="1789739414">
                                                                              <w:marLeft w:val="0"/>
                                                                              <w:marRight w:val="0"/>
                                                                              <w:marTop w:val="0"/>
                                                                              <w:marBottom w:val="0"/>
                                                                              <w:divBdr>
                                                                                <w:top w:val="none" w:sz="0" w:space="0" w:color="auto"/>
                                                                                <w:left w:val="none" w:sz="0" w:space="0" w:color="auto"/>
                                                                                <w:bottom w:val="none" w:sz="0" w:space="0" w:color="auto"/>
                                                                                <w:right w:val="none" w:sz="0" w:space="0" w:color="auto"/>
                                                                              </w:divBdr>
                                                                              <w:divsChild>
                                                                                <w:div w:id="2096706206">
                                                                                  <w:marLeft w:val="0"/>
                                                                                  <w:marRight w:val="0"/>
                                                                                  <w:marTop w:val="0"/>
                                                                                  <w:marBottom w:val="0"/>
                                                                                  <w:divBdr>
                                                                                    <w:top w:val="none" w:sz="0" w:space="0" w:color="auto"/>
                                                                                    <w:left w:val="none" w:sz="0" w:space="0" w:color="auto"/>
                                                                                    <w:bottom w:val="none" w:sz="0" w:space="0" w:color="auto"/>
                                                                                    <w:right w:val="none" w:sz="0" w:space="0" w:color="auto"/>
                                                                                  </w:divBdr>
                                                                                  <w:divsChild>
                                                                                    <w:div w:id="860239609">
                                                                                      <w:marLeft w:val="0"/>
                                                                                      <w:marRight w:val="0"/>
                                                                                      <w:marTop w:val="0"/>
                                                                                      <w:marBottom w:val="0"/>
                                                                                      <w:divBdr>
                                                                                        <w:top w:val="none" w:sz="0" w:space="0" w:color="auto"/>
                                                                                        <w:left w:val="none" w:sz="0" w:space="0" w:color="auto"/>
                                                                                        <w:bottom w:val="none" w:sz="0" w:space="0" w:color="auto"/>
                                                                                        <w:right w:val="none" w:sz="0" w:space="0" w:color="auto"/>
                                                                                      </w:divBdr>
                                                                                      <w:divsChild>
                                                                                        <w:div w:id="1761564379">
                                                                                          <w:marLeft w:val="0"/>
                                                                                          <w:marRight w:val="0"/>
                                                                                          <w:marTop w:val="0"/>
                                                                                          <w:marBottom w:val="0"/>
                                                                                          <w:divBdr>
                                                                                            <w:top w:val="none" w:sz="0" w:space="0" w:color="auto"/>
                                                                                            <w:left w:val="none" w:sz="0" w:space="0" w:color="auto"/>
                                                                                            <w:bottom w:val="none" w:sz="0" w:space="0" w:color="auto"/>
                                                                                            <w:right w:val="none" w:sz="0" w:space="0" w:color="auto"/>
                                                                                          </w:divBdr>
                                                                                          <w:divsChild>
                                                                                            <w:div w:id="1134909192">
                                                                                              <w:marLeft w:val="0"/>
                                                                                              <w:marRight w:val="0"/>
                                                                                              <w:marTop w:val="0"/>
                                                                                              <w:marBottom w:val="0"/>
                                                                                              <w:divBdr>
                                                                                                <w:top w:val="none" w:sz="0" w:space="0" w:color="auto"/>
                                                                                                <w:left w:val="none" w:sz="0" w:space="0" w:color="auto"/>
                                                                                                <w:bottom w:val="none" w:sz="0" w:space="0" w:color="auto"/>
                                                                                                <w:right w:val="none" w:sz="0" w:space="0" w:color="auto"/>
                                                                                              </w:divBdr>
                                                                                              <w:divsChild>
                                                                                                <w:div w:id="1196314598">
                                                                                                  <w:marLeft w:val="0"/>
                                                                                                  <w:marRight w:val="0"/>
                                                                                                  <w:marTop w:val="0"/>
                                                                                                  <w:marBottom w:val="0"/>
                                                                                                  <w:divBdr>
                                                                                                    <w:top w:val="none" w:sz="0" w:space="0" w:color="auto"/>
                                                                                                    <w:left w:val="none" w:sz="0" w:space="0" w:color="auto"/>
                                                                                                    <w:bottom w:val="none" w:sz="0" w:space="0" w:color="auto"/>
                                                                                                    <w:right w:val="none" w:sz="0" w:space="0" w:color="auto"/>
                                                                                                  </w:divBdr>
                                                                                                  <w:divsChild>
                                                                                                    <w:div w:id="94907941">
                                                                                                      <w:marLeft w:val="0"/>
                                                                                                      <w:marRight w:val="0"/>
                                                                                                      <w:marTop w:val="0"/>
                                                                                                      <w:marBottom w:val="0"/>
                                                                                                      <w:divBdr>
                                                                                                        <w:top w:val="none" w:sz="0" w:space="0" w:color="auto"/>
                                                                                                        <w:left w:val="none" w:sz="0" w:space="0" w:color="auto"/>
                                                                                                        <w:bottom w:val="none" w:sz="0" w:space="0" w:color="auto"/>
                                                                                                        <w:right w:val="none" w:sz="0" w:space="0" w:color="auto"/>
                                                                                                      </w:divBdr>
                                                                                                      <w:divsChild>
                                                                                                        <w:div w:id="413625745">
                                                                                                          <w:marLeft w:val="0"/>
                                                                                                          <w:marRight w:val="0"/>
                                                                                                          <w:marTop w:val="0"/>
                                                                                                          <w:marBottom w:val="0"/>
                                                                                                          <w:divBdr>
                                                                                                            <w:top w:val="none" w:sz="0" w:space="0" w:color="auto"/>
                                                                                                            <w:left w:val="none" w:sz="0" w:space="0" w:color="auto"/>
                                                                                                            <w:bottom w:val="none" w:sz="0" w:space="0" w:color="auto"/>
                                                                                                            <w:right w:val="none" w:sz="0" w:space="0" w:color="auto"/>
                                                                                                          </w:divBdr>
                                                                                                          <w:divsChild>
                                                                                                            <w:div w:id="410395097">
                                                                                                              <w:marLeft w:val="0"/>
                                                                                                              <w:marRight w:val="0"/>
                                                                                                              <w:marTop w:val="0"/>
                                                                                                              <w:marBottom w:val="0"/>
                                                                                                              <w:divBdr>
                                                                                                                <w:top w:val="none" w:sz="0" w:space="0" w:color="auto"/>
                                                                                                                <w:left w:val="none" w:sz="0" w:space="0" w:color="auto"/>
                                                                                                                <w:bottom w:val="none" w:sz="0" w:space="0" w:color="auto"/>
                                                                                                                <w:right w:val="none" w:sz="0" w:space="0" w:color="auto"/>
                                                                                                              </w:divBdr>
                                                                                                              <w:divsChild>
                                                                                                                <w:div w:id="1591040013">
                                                                                                                  <w:marLeft w:val="0"/>
                                                                                                                  <w:marRight w:val="0"/>
                                                                                                                  <w:marTop w:val="0"/>
                                                                                                                  <w:marBottom w:val="0"/>
                                                                                                                  <w:divBdr>
                                                                                                                    <w:top w:val="none" w:sz="0" w:space="0" w:color="auto"/>
                                                                                                                    <w:left w:val="none" w:sz="0" w:space="0" w:color="auto"/>
                                                                                                                    <w:bottom w:val="none" w:sz="0" w:space="0" w:color="auto"/>
                                                                                                                    <w:right w:val="none" w:sz="0" w:space="0" w:color="auto"/>
                                                                                                                  </w:divBdr>
                                                                                                                  <w:divsChild>
                                                                                                                    <w:div w:id="98109880">
                                                                                                                      <w:marLeft w:val="0"/>
                                                                                                                      <w:marRight w:val="0"/>
                                                                                                                      <w:marTop w:val="0"/>
                                                                                                                      <w:marBottom w:val="0"/>
                                                                                                                      <w:divBdr>
                                                                                                                        <w:top w:val="none" w:sz="0" w:space="0" w:color="auto"/>
                                                                                                                        <w:left w:val="none" w:sz="0" w:space="0" w:color="auto"/>
                                                                                                                        <w:bottom w:val="none" w:sz="0" w:space="0" w:color="auto"/>
                                                                                                                        <w:right w:val="none" w:sz="0" w:space="0" w:color="auto"/>
                                                                                                                      </w:divBdr>
                                                                                                                      <w:divsChild>
                                                                                                                        <w:div w:id="1263227102">
                                                                                                                          <w:marLeft w:val="0"/>
                                                                                                                          <w:marRight w:val="0"/>
                                                                                                                          <w:marTop w:val="0"/>
                                                                                                                          <w:marBottom w:val="0"/>
                                                                                                                          <w:divBdr>
                                                                                                                            <w:top w:val="none" w:sz="0" w:space="0" w:color="auto"/>
                                                                                                                            <w:left w:val="none" w:sz="0" w:space="0" w:color="auto"/>
                                                                                                                            <w:bottom w:val="none" w:sz="0" w:space="0" w:color="auto"/>
                                                                                                                            <w:right w:val="none" w:sz="0" w:space="0" w:color="auto"/>
                                                                                                                          </w:divBdr>
                                                                                                                          <w:divsChild>
                                                                                                                            <w:div w:id="549146695">
                                                                                                                              <w:marLeft w:val="0"/>
                                                                                                                              <w:marRight w:val="0"/>
                                                                                                                              <w:marTop w:val="0"/>
                                                                                                                              <w:marBottom w:val="0"/>
                                                                                                                              <w:divBdr>
                                                                                                                                <w:top w:val="none" w:sz="0" w:space="0" w:color="auto"/>
                                                                                                                                <w:left w:val="none" w:sz="0" w:space="0" w:color="auto"/>
                                                                                                                                <w:bottom w:val="none" w:sz="0" w:space="0" w:color="auto"/>
                                                                                                                                <w:right w:val="none" w:sz="0" w:space="0" w:color="auto"/>
                                                                                                                              </w:divBdr>
                                                                                                                              <w:divsChild>
                                                                                                                                <w:div w:id="213392270">
                                                                                                                                  <w:marLeft w:val="0"/>
                                                                                                                                  <w:marRight w:val="0"/>
                                                                                                                                  <w:marTop w:val="0"/>
                                                                                                                                  <w:marBottom w:val="0"/>
                                                                                                                                  <w:divBdr>
                                                                                                                                    <w:top w:val="none" w:sz="0" w:space="0" w:color="auto"/>
                                                                                                                                    <w:left w:val="none" w:sz="0" w:space="0" w:color="auto"/>
                                                                                                                                    <w:bottom w:val="none" w:sz="0" w:space="0" w:color="auto"/>
                                                                                                                                    <w:right w:val="none" w:sz="0" w:space="0" w:color="auto"/>
                                                                                                                                  </w:divBdr>
                                                                                                                                  <w:divsChild>
                                                                                                                                    <w:div w:id="929506707">
                                                                                                                                      <w:marLeft w:val="0"/>
                                                                                                                                      <w:marRight w:val="0"/>
                                                                                                                                      <w:marTop w:val="0"/>
                                                                                                                                      <w:marBottom w:val="0"/>
                                                                                                                                      <w:divBdr>
                                                                                                                                        <w:top w:val="none" w:sz="0" w:space="0" w:color="auto"/>
                                                                                                                                        <w:left w:val="none" w:sz="0" w:space="0" w:color="auto"/>
                                                                                                                                        <w:bottom w:val="none" w:sz="0" w:space="0" w:color="auto"/>
                                                                                                                                        <w:right w:val="none" w:sz="0" w:space="0" w:color="auto"/>
                                                                                                                                      </w:divBdr>
                                                                                                                                      <w:divsChild>
                                                                                                                                        <w:div w:id="1086152175">
                                                                                                                                          <w:marLeft w:val="0"/>
                                                                                                                                          <w:marRight w:val="0"/>
                                                                                                                                          <w:marTop w:val="0"/>
                                                                                                                                          <w:marBottom w:val="0"/>
                                                                                                                                          <w:divBdr>
                                                                                                                                            <w:top w:val="none" w:sz="0" w:space="0" w:color="auto"/>
                                                                                                                                            <w:left w:val="none" w:sz="0" w:space="0" w:color="auto"/>
                                                                                                                                            <w:bottom w:val="none" w:sz="0" w:space="0" w:color="auto"/>
                                                                                                                                            <w:right w:val="none" w:sz="0" w:space="0" w:color="auto"/>
                                                                                                                                          </w:divBdr>
                                                                                                                                          <w:divsChild>
                                                                                                                                            <w:div w:id="341011435">
                                                                                                                                              <w:marLeft w:val="0"/>
                                                                                                                                              <w:marRight w:val="0"/>
                                                                                                                                              <w:marTop w:val="0"/>
                                                                                                                                              <w:marBottom w:val="0"/>
                                                                                                                                              <w:divBdr>
                                                                                                                                                <w:top w:val="none" w:sz="0" w:space="0" w:color="auto"/>
                                                                                                                                                <w:left w:val="none" w:sz="0" w:space="0" w:color="auto"/>
                                                                                                                                                <w:bottom w:val="none" w:sz="0" w:space="0" w:color="auto"/>
                                                                                                                                                <w:right w:val="none" w:sz="0" w:space="0" w:color="auto"/>
                                                                                                                                              </w:divBdr>
                                                                                                                                              <w:divsChild>
                                                                                                                                                <w:div w:id="1927613214">
                                                                                                                                                  <w:marLeft w:val="0"/>
                                                                                                                                                  <w:marRight w:val="0"/>
                                                                                                                                                  <w:marTop w:val="0"/>
                                                                                                                                                  <w:marBottom w:val="0"/>
                                                                                                                                                  <w:divBdr>
                                                                                                                                                    <w:top w:val="none" w:sz="0" w:space="0" w:color="auto"/>
                                                                                                                                                    <w:left w:val="none" w:sz="0" w:space="0" w:color="auto"/>
                                                                                                                                                    <w:bottom w:val="none" w:sz="0" w:space="0" w:color="auto"/>
                                                                                                                                                    <w:right w:val="none" w:sz="0" w:space="0" w:color="auto"/>
                                                                                                                                                  </w:divBdr>
                                                                                                                                                  <w:divsChild>
                                                                                                                                                    <w:div w:id="5718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161586">
      <w:bodyDiv w:val="1"/>
      <w:marLeft w:val="0"/>
      <w:marRight w:val="0"/>
      <w:marTop w:val="0"/>
      <w:marBottom w:val="0"/>
      <w:divBdr>
        <w:top w:val="none" w:sz="0" w:space="0" w:color="auto"/>
        <w:left w:val="none" w:sz="0" w:space="0" w:color="auto"/>
        <w:bottom w:val="none" w:sz="0" w:space="0" w:color="auto"/>
        <w:right w:val="none" w:sz="0" w:space="0" w:color="auto"/>
      </w:divBdr>
      <w:divsChild>
        <w:div w:id="225340478">
          <w:marLeft w:val="0"/>
          <w:marRight w:val="0"/>
          <w:marTop w:val="450"/>
          <w:marBottom w:val="450"/>
          <w:divBdr>
            <w:top w:val="none" w:sz="0" w:space="0" w:color="auto"/>
            <w:left w:val="none" w:sz="0" w:space="0" w:color="auto"/>
            <w:bottom w:val="none" w:sz="0" w:space="0" w:color="auto"/>
            <w:right w:val="none" w:sz="0" w:space="0" w:color="auto"/>
          </w:divBdr>
          <w:divsChild>
            <w:div w:id="734471361">
              <w:marLeft w:val="0"/>
              <w:marRight w:val="0"/>
              <w:marTop w:val="0"/>
              <w:marBottom w:val="0"/>
              <w:divBdr>
                <w:top w:val="none" w:sz="0" w:space="0" w:color="auto"/>
                <w:left w:val="none" w:sz="0" w:space="0" w:color="auto"/>
                <w:bottom w:val="none" w:sz="0" w:space="0" w:color="auto"/>
                <w:right w:val="none" w:sz="0" w:space="0" w:color="auto"/>
              </w:divBdr>
              <w:divsChild>
                <w:div w:id="128517011">
                  <w:marLeft w:val="0"/>
                  <w:marRight w:val="0"/>
                  <w:marTop w:val="0"/>
                  <w:marBottom w:val="0"/>
                  <w:divBdr>
                    <w:top w:val="none" w:sz="0" w:space="0" w:color="auto"/>
                    <w:left w:val="none" w:sz="0" w:space="0" w:color="auto"/>
                    <w:bottom w:val="none" w:sz="0" w:space="0" w:color="auto"/>
                    <w:right w:val="none" w:sz="0" w:space="0" w:color="auto"/>
                  </w:divBdr>
                  <w:divsChild>
                    <w:div w:id="977035468">
                      <w:marLeft w:val="0"/>
                      <w:marRight w:val="0"/>
                      <w:marTop w:val="0"/>
                      <w:marBottom w:val="0"/>
                      <w:divBdr>
                        <w:top w:val="none" w:sz="0" w:space="0" w:color="auto"/>
                        <w:left w:val="none" w:sz="0" w:space="0" w:color="auto"/>
                        <w:bottom w:val="none" w:sz="0" w:space="0" w:color="auto"/>
                        <w:right w:val="none" w:sz="0" w:space="0" w:color="auto"/>
                      </w:divBdr>
                      <w:divsChild>
                        <w:div w:id="3919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7877">
                  <w:marLeft w:val="0"/>
                  <w:marRight w:val="0"/>
                  <w:marTop w:val="0"/>
                  <w:marBottom w:val="600"/>
                  <w:divBdr>
                    <w:top w:val="none" w:sz="0" w:space="0" w:color="auto"/>
                    <w:left w:val="none" w:sz="0" w:space="0" w:color="auto"/>
                    <w:bottom w:val="none" w:sz="0" w:space="0" w:color="auto"/>
                    <w:right w:val="none" w:sz="0" w:space="0" w:color="auto"/>
                  </w:divBdr>
                  <w:divsChild>
                    <w:div w:id="110975667">
                      <w:marLeft w:val="0"/>
                      <w:marRight w:val="0"/>
                      <w:marTop w:val="0"/>
                      <w:marBottom w:val="150"/>
                      <w:divBdr>
                        <w:top w:val="none" w:sz="0" w:space="0" w:color="auto"/>
                        <w:left w:val="none" w:sz="0" w:space="0" w:color="auto"/>
                        <w:bottom w:val="none" w:sz="0" w:space="0" w:color="auto"/>
                        <w:right w:val="none" w:sz="0" w:space="0" w:color="auto"/>
                      </w:divBdr>
                      <w:divsChild>
                        <w:div w:id="1563953169">
                          <w:marLeft w:val="0"/>
                          <w:marRight w:val="0"/>
                          <w:marTop w:val="0"/>
                          <w:marBottom w:val="0"/>
                          <w:divBdr>
                            <w:top w:val="none" w:sz="0" w:space="0" w:color="auto"/>
                            <w:left w:val="none" w:sz="0" w:space="0" w:color="auto"/>
                            <w:bottom w:val="none" w:sz="0" w:space="0" w:color="auto"/>
                            <w:right w:val="none" w:sz="0" w:space="0" w:color="auto"/>
                          </w:divBdr>
                        </w:div>
                      </w:divsChild>
                    </w:div>
                    <w:div w:id="201674230">
                      <w:marLeft w:val="0"/>
                      <w:marRight w:val="0"/>
                      <w:marTop w:val="0"/>
                      <w:marBottom w:val="150"/>
                      <w:divBdr>
                        <w:top w:val="none" w:sz="0" w:space="0" w:color="auto"/>
                        <w:left w:val="none" w:sz="0" w:space="0" w:color="auto"/>
                        <w:bottom w:val="none" w:sz="0" w:space="0" w:color="auto"/>
                        <w:right w:val="none" w:sz="0" w:space="0" w:color="auto"/>
                      </w:divBdr>
                      <w:divsChild>
                        <w:div w:id="69163295">
                          <w:marLeft w:val="0"/>
                          <w:marRight w:val="0"/>
                          <w:marTop w:val="0"/>
                          <w:marBottom w:val="0"/>
                          <w:divBdr>
                            <w:top w:val="none" w:sz="0" w:space="0" w:color="auto"/>
                            <w:left w:val="none" w:sz="0" w:space="0" w:color="auto"/>
                            <w:bottom w:val="none" w:sz="0" w:space="0" w:color="auto"/>
                            <w:right w:val="none" w:sz="0" w:space="0" w:color="auto"/>
                          </w:divBdr>
                        </w:div>
                      </w:divsChild>
                    </w:div>
                    <w:div w:id="299306565">
                      <w:marLeft w:val="0"/>
                      <w:marRight w:val="0"/>
                      <w:marTop w:val="0"/>
                      <w:marBottom w:val="150"/>
                      <w:divBdr>
                        <w:top w:val="none" w:sz="0" w:space="0" w:color="auto"/>
                        <w:left w:val="none" w:sz="0" w:space="0" w:color="auto"/>
                        <w:bottom w:val="none" w:sz="0" w:space="0" w:color="auto"/>
                        <w:right w:val="none" w:sz="0" w:space="0" w:color="auto"/>
                      </w:divBdr>
                      <w:divsChild>
                        <w:div w:id="1672948129">
                          <w:marLeft w:val="0"/>
                          <w:marRight w:val="0"/>
                          <w:marTop w:val="0"/>
                          <w:marBottom w:val="0"/>
                          <w:divBdr>
                            <w:top w:val="none" w:sz="0" w:space="0" w:color="auto"/>
                            <w:left w:val="none" w:sz="0" w:space="0" w:color="auto"/>
                            <w:bottom w:val="none" w:sz="0" w:space="0" w:color="auto"/>
                            <w:right w:val="none" w:sz="0" w:space="0" w:color="auto"/>
                          </w:divBdr>
                        </w:div>
                      </w:divsChild>
                    </w:div>
                    <w:div w:id="586694316">
                      <w:marLeft w:val="0"/>
                      <w:marRight w:val="0"/>
                      <w:marTop w:val="0"/>
                      <w:marBottom w:val="150"/>
                      <w:divBdr>
                        <w:top w:val="none" w:sz="0" w:space="0" w:color="auto"/>
                        <w:left w:val="none" w:sz="0" w:space="0" w:color="auto"/>
                        <w:bottom w:val="none" w:sz="0" w:space="0" w:color="auto"/>
                        <w:right w:val="none" w:sz="0" w:space="0" w:color="auto"/>
                      </w:divBdr>
                      <w:divsChild>
                        <w:div w:id="1442408066">
                          <w:marLeft w:val="0"/>
                          <w:marRight w:val="0"/>
                          <w:marTop w:val="0"/>
                          <w:marBottom w:val="0"/>
                          <w:divBdr>
                            <w:top w:val="none" w:sz="0" w:space="0" w:color="auto"/>
                            <w:left w:val="none" w:sz="0" w:space="0" w:color="auto"/>
                            <w:bottom w:val="none" w:sz="0" w:space="0" w:color="auto"/>
                            <w:right w:val="none" w:sz="0" w:space="0" w:color="auto"/>
                          </w:divBdr>
                        </w:div>
                      </w:divsChild>
                    </w:div>
                    <w:div w:id="673073329">
                      <w:marLeft w:val="0"/>
                      <w:marRight w:val="0"/>
                      <w:marTop w:val="0"/>
                      <w:marBottom w:val="150"/>
                      <w:divBdr>
                        <w:top w:val="none" w:sz="0" w:space="0" w:color="auto"/>
                        <w:left w:val="none" w:sz="0" w:space="0" w:color="auto"/>
                        <w:bottom w:val="none" w:sz="0" w:space="0" w:color="auto"/>
                        <w:right w:val="none" w:sz="0" w:space="0" w:color="auto"/>
                      </w:divBdr>
                      <w:divsChild>
                        <w:div w:id="248780492">
                          <w:marLeft w:val="0"/>
                          <w:marRight w:val="0"/>
                          <w:marTop w:val="0"/>
                          <w:marBottom w:val="0"/>
                          <w:divBdr>
                            <w:top w:val="none" w:sz="0" w:space="0" w:color="auto"/>
                            <w:left w:val="none" w:sz="0" w:space="0" w:color="auto"/>
                            <w:bottom w:val="none" w:sz="0" w:space="0" w:color="auto"/>
                            <w:right w:val="none" w:sz="0" w:space="0" w:color="auto"/>
                          </w:divBdr>
                        </w:div>
                      </w:divsChild>
                    </w:div>
                    <w:div w:id="706175429">
                      <w:marLeft w:val="0"/>
                      <w:marRight w:val="0"/>
                      <w:marTop w:val="0"/>
                      <w:marBottom w:val="150"/>
                      <w:divBdr>
                        <w:top w:val="none" w:sz="0" w:space="0" w:color="auto"/>
                        <w:left w:val="none" w:sz="0" w:space="0" w:color="auto"/>
                        <w:bottom w:val="none" w:sz="0" w:space="0" w:color="auto"/>
                        <w:right w:val="none" w:sz="0" w:space="0" w:color="auto"/>
                      </w:divBdr>
                      <w:divsChild>
                        <w:div w:id="1976831421">
                          <w:marLeft w:val="0"/>
                          <w:marRight w:val="0"/>
                          <w:marTop w:val="0"/>
                          <w:marBottom w:val="0"/>
                          <w:divBdr>
                            <w:top w:val="none" w:sz="0" w:space="0" w:color="auto"/>
                            <w:left w:val="none" w:sz="0" w:space="0" w:color="auto"/>
                            <w:bottom w:val="none" w:sz="0" w:space="0" w:color="auto"/>
                            <w:right w:val="none" w:sz="0" w:space="0" w:color="auto"/>
                          </w:divBdr>
                        </w:div>
                      </w:divsChild>
                    </w:div>
                    <w:div w:id="726538146">
                      <w:marLeft w:val="0"/>
                      <w:marRight w:val="0"/>
                      <w:marTop w:val="0"/>
                      <w:marBottom w:val="150"/>
                      <w:divBdr>
                        <w:top w:val="none" w:sz="0" w:space="0" w:color="auto"/>
                        <w:left w:val="none" w:sz="0" w:space="0" w:color="auto"/>
                        <w:bottom w:val="none" w:sz="0" w:space="0" w:color="auto"/>
                        <w:right w:val="none" w:sz="0" w:space="0" w:color="auto"/>
                      </w:divBdr>
                      <w:divsChild>
                        <w:div w:id="864750420">
                          <w:marLeft w:val="0"/>
                          <w:marRight w:val="0"/>
                          <w:marTop w:val="0"/>
                          <w:marBottom w:val="0"/>
                          <w:divBdr>
                            <w:top w:val="none" w:sz="0" w:space="0" w:color="auto"/>
                            <w:left w:val="none" w:sz="0" w:space="0" w:color="auto"/>
                            <w:bottom w:val="none" w:sz="0" w:space="0" w:color="auto"/>
                            <w:right w:val="none" w:sz="0" w:space="0" w:color="auto"/>
                          </w:divBdr>
                        </w:div>
                      </w:divsChild>
                    </w:div>
                    <w:div w:id="782043864">
                      <w:marLeft w:val="0"/>
                      <w:marRight w:val="0"/>
                      <w:marTop w:val="0"/>
                      <w:marBottom w:val="150"/>
                      <w:divBdr>
                        <w:top w:val="none" w:sz="0" w:space="0" w:color="auto"/>
                        <w:left w:val="none" w:sz="0" w:space="0" w:color="auto"/>
                        <w:bottom w:val="none" w:sz="0" w:space="0" w:color="auto"/>
                        <w:right w:val="none" w:sz="0" w:space="0" w:color="auto"/>
                      </w:divBdr>
                      <w:divsChild>
                        <w:div w:id="1861896775">
                          <w:marLeft w:val="0"/>
                          <w:marRight w:val="0"/>
                          <w:marTop w:val="0"/>
                          <w:marBottom w:val="0"/>
                          <w:divBdr>
                            <w:top w:val="none" w:sz="0" w:space="0" w:color="auto"/>
                            <w:left w:val="none" w:sz="0" w:space="0" w:color="auto"/>
                            <w:bottom w:val="none" w:sz="0" w:space="0" w:color="auto"/>
                            <w:right w:val="none" w:sz="0" w:space="0" w:color="auto"/>
                          </w:divBdr>
                        </w:div>
                      </w:divsChild>
                    </w:div>
                    <w:div w:id="943803689">
                      <w:marLeft w:val="0"/>
                      <w:marRight w:val="0"/>
                      <w:marTop w:val="0"/>
                      <w:marBottom w:val="150"/>
                      <w:divBdr>
                        <w:top w:val="none" w:sz="0" w:space="0" w:color="auto"/>
                        <w:left w:val="none" w:sz="0" w:space="0" w:color="auto"/>
                        <w:bottom w:val="none" w:sz="0" w:space="0" w:color="auto"/>
                        <w:right w:val="none" w:sz="0" w:space="0" w:color="auto"/>
                      </w:divBdr>
                      <w:divsChild>
                        <w:div w:id="1205629871">
                          <w:marLeft w:val="0"/>
                          <w:marRight w:val="0"/>
                          <w:marTop w:val="0"/>
                          <w:marBottom w:val="0"/>
                          <w:divBdr>
                            <w:top w:val="none" w:sz="0" w:space="0" w:color="auto"/>
                            <w:left w:val="none" w:sz="0" w:space="0" w:color="auto"/>
                            <w:bottom w:val="none" w:sz="0" w:space="0" w:color="auto"/>
                            <w:right w:val="none" w:sz="0" w:space="0" w:color="auto"/>
                          </w:divBdr>
                        </w:div>
                      </w:divsChild>
                    </w:div>
                    <w:div w:id="984352933">
                      <w:marLeft w:val="0"/>
                      <w:marRight w:val="0"/>
                      <w:marTop w:val="0"/>
                      <w:marBottom w:val="150"/>
                      <w:divBdr>
                        <w:top w:val="none" w:sz="0" w:space="0" w:color="auto"/>
                        <w:left w:val="none" w:sz="0" w:space="0" w:color="auto"/>
                        <w:bottom w:val="none" w:sz="0" w:space="0" w:color="auto"/>
                        <w:right w:val="none" w:sz="0" w:space="0" w:color="auto"/>
                      </w:divBdr>
                      <w:divsChild>
                        <w:div w:id="2068138317">
                          <w:marLeft w:val="0"/>
                          <w:marRight w:val="0"/>
                          <w:marTop w:val="0"/>
                          <w:marBottom w:val="0"/>
                          <w:divBdr>
                            <w:top w:val="none" w:sz="0" w:space="0" w:color="auto"/>
                            <w:left w:val="none" w:sz="0" w:space="0" w:color="auto"/>
                            <w:bottom w:val="none" w:sz="0" w:space="0" w:color="auto"/>
                            <w:right w:val="none" w:sz="0" w:space="0" w:color="auto"/>
                          </w:divBdr>
                        </w:div>
                      </w:divsChild>
                    </w:div>
                    <w:div w:id="1095638160">
                      <w:marLeft w:val="0"/>
                      <w:marRight w:val="0"/>
                      <w:marTop w:val="0"/>
                      <w:marBottom w:val="150"/>
                      <w:divBdr>
                        <w:top w:val="none" w:sz="0" w:space="0" w:color="auto"/>
                        <w:left w:val="none" w:sz="0" w:space="0" w:color="auto"/>
                        <w:bottom w:val="none" w:sz="0" w:space="0" w:color="auto"/>
                        <w:right w:val="none" w:sz="0" w:space="0" w:color="auto"/>
                      </w:divBdr>
                      <w:divsChild>
                        <w:div w:id="738593954">
                          <w:marLeft w:val="0"/>
                          <w:marRight w:val="0"/>
                          <w:marTop w:val="0"/>
                          <w:marBottom w:val="0"/>
                          <w:divBdr>
                            <w:top w:val="none" w:sz="0" w:space="0" w:color="auto"/>
                            <w:left w:val="none" w:sz="0" w:space="0" w:color="auto"/>
                            <w:bottom w:val="none" w:sz="0" w:space="0" w:color="auto"/>
                            <w:right w:val="none" w:sz="0" w:space="0" w:color="auto"/>
                          </w:divBdr>
                        </w:div>
                      </w:divsChild>
                    </w:div>
                    <w:div w:id="1111587467">
                      <w:marLeft w:val="0"/>
                      <w:marRight w:val="0"/>
                      <w:marTop w:val="0"/>
                      <w:marBottom w:val="150"/>
                      <w:divBdr>
                        <w:top w:val="none" w:sz="0" w:space="0" w:color="auto"/>
                        <w:left w:val="none" w:sz="0" w:space="0" w:color="auto"/>
                        <w:bottom w:val="none" w:sz="0" w:space="0" w:color="auto"/>
                        <w:right w:val="none" w:sz="0" w:space="0" w:color="auto"/>
                      </w:divBdr>
                      <w:divsChild>
                        <w:div w:id="1674454654">
                          <w:marLeft w:val="0"/>
                          <w:marRight w:val="0"/>
                          <w:marTop w:val="0"/>
                          <w:marBottom w:val="0"/>
                          <w:divBdr>
                            <w:top w:val="none" w:sz="0" w:space="0" w:color="auto"/>
                            <w:left w:val="none" w:sz="0" w:space="0" w:color="auto"/>
                            <w:bottom w:val="none" w:sz="0" w:space="0" w:color="auto"/>
                            <w:right w:val="none" w:sz="0" w:space="0" w:color="auto"/>
                          </w:divBdr>
                        </w:div>
                      </w:divsChild>
                    </w:div>
                    <w:div w:id="1170833159">
                      <w:marLeft w:val="0"/>
                      <w:marRight w:val="0"/>
                      <w:marTop w:val="0"/>
                      <w:marBottom w:val="150"/>
                      <w:divBdr>
                        <w:top w:val="none" w:sz="0" w:space="0" w:color="auto"/>
                        <w:left w:val="none" w:sz="0" w:space="0" w:color="auto"/>
                        <w:bottom w:val="none" w:sz="0" w:space="0" w:color="auto"/>
                        <w:right w:val="none" w:sz="0" w:space="0" w:color="auto"/>
                      </w:divBdr>
                      <w:divsChild>
                        <w:div w:id="653728715">
                          <w:marLeft w:val="0"/>
                          <w:marRight w:val="0"/>
                          <w:marTop w:val="0"/>
                          <w:marBottom w:val="0"/>
                          <w:divBdr>
                            <w:top w:val="none" w:sz="0" w:space="0" w:color="auto"/>
                            <w:left w:val="none" w:sz="0" w:space="0" w:color="auto"/>
                            <w:bottom w:val="none" w:sz="0" w:space="0" w:color="auto"/>
                            <w:right w:val="none" w:sz="0" w:space="0" w:color="auto"/>
                          </w:divBdr>
                        </w:div>
                      </w:divsChild>
                    </w:div>
                    <w:div w:id="1186946834">
                      <w:marLeft w:val="0"/>
                      <w:marRight w:val="0"/>
                      <w:marTop w:val="0"/>
                      <w:marBottom w:val="600"/>
                      <w:divBdr>
                        <w:top w:val="none" w:sz="0" w:space="0" w:color="auto"/>
                        <w:left w:val="none" w:sz="0" w:space="0" w:color="auto"/>
                        <w:bottom w:val="none" w:sz="0" w:space="0" w:color="auto"/>
                        <w:right w:val="none" w:sz="0" w:space="0" w:color="auto"/>
                      </w:divBdr>
                      <w:divsChild>
                        <w:div w:id="1023943084">
                          <w:marLeft w:val="0"/>
                          <w:marRight w:val="0"/>
                          <w:marTop w:val="0"/>
                          <w:marBottom w:val="0"/>
                          <w:divBdr>
                            <w:top w:val="none" w:sz="0" w:space="0" w:color="auto"/>
                            <w:left w:val="none" w:sz="0" w:space="0" w:color="auto"/>
                            <w:bottom w:val="none" w:sz="0" w:space="0" w:color="auto"/>
                            <w:right w:val="none" w:sz="0" w:space="0" w:color="auto"/>
                          </w:divBdr>
                          <w:divsChild>
                            <w:div w:id="1954049153">
                              <w:marLeft w:val="0"/>
                              <w:marRight w:val="0"/>
                              <w:marTop w:val="0"/>
                              <w:marBottom w:val="0"/>
                              <w:divBdr>
                                <w:top w:val="none" w:sz="0" w:space="0" w:color="auto"/>
                                <w:left w:val="none" w:sz="0" w:space="0" w:color="auto"/>
                                <w:bottom w:val="none" w:sz="0" w:space="0" w:color="auto"/>
                                <w:right w:val="none" w:sz="0" w:space="0" w:color="auto"/>
                              </w:divBdr>
                              <w:divsChild>
                                <w:div w:id="1088233834">
                                  <w:marLeft w:val="0"/>
                                  <w:marRight w:val="0"/>
                                  <w:marTop w:val="0"/>
                                  <w:marBottom w:val="750"/>
                                  <w:divBdr>
                                    <w:top w:val="none" w:sz="0" w:space="0" w:color="auto"/>
                                    <w:left w:val="none" w:sz="0" w:space="0" w:color="auto"/>
                                    <w:bottom w:val="none" w:sz="0" w:space="0" w:color="auto"/>
                                    <w:right w:val="none" w:sz="0" w:space="0" w:color="auto"/>
                                  </w:divBdr>
                                  <w:divsChild>
                                    <w:div w:id="1722365734">
                                      <w:marLeft w:val="0"/>
                                      <w:marRight w:val="0"/>
                                      <w:marTop w:val="0"/>
                                      <w:marBottom w:val="750"/>
                                      <w:divBdr>
                                        <w:top w:val="none" w:sz="0" w:space="0" w:color="auto"/>
                                        <w:left w:val="none" w:sz="0" w:space="0" w:color="auto"/>
                                        <w:bottom w:val="none" w:sz="0" w:space="0" w:color="auto"/>
                                        <w:right w:val="none" w:sz="0" w:space="0" w:color="auto"/>
                                      </w:divBdr>
                                      <w:divsChild>
                                        <w:div w:id="1179201882">
                                          <w:marLeft w:val="0"/>
                                          <w:marRight w:val="0"/>
                                          <w:marTop w:val="0"/>
                                          <w:marBottom w:val="0"/>
                                          <w:divBdr>
                                            <w:top w:val="single" w:sz="12" w:space="0" w:color="666666"/>
                                            <w:left w:val="none" w:sz="0" w:space="0" w:color="auto"/>
                                            <w:bottom w:val="none" w:sz="0" w:space="0" w:color="auto"/>
                                            <w:right w:val="none" w:sz="0" w:space="0" w:color="auto"/>
                                          </w:divBdr>
                                        </w:div>
                                        <w:div w:id="1746151099">
                                          <w:marLeft w:val="0"/>
                                          <w:marRight w:val="0"/>
                                          <w:marTop w:val="0"/>
                                          <w:marBottom w:val="0"/>
                                          <w:divBdr>
                                            <w:top w:val="none" w:sz="0" w:space="0" w:color="auto"/>
                                            <w:left w:val="none" w:sz="0" w:space="0" w:color="auto"/>
                                            <w:bottom w:val="none" w:sz="0" w:space="0" w:color="auto"/>
                                            <w:right w:val="none" w:sz="0" w:space="0" w:color="auto"/>
                                          </w:divBdr>
                                          <w:divsChild>
                                            <w:div w:id="743836555">
                                              <w:marLeft w:val="180"/>
                                              <w:marRight w:val="0"/>
                                              <w:marTop w:val="0"/>
                                              <w:marBottom w:val="0"/>
                                              <w:divBdr>
                                                <w:top w:val="none" w:sz="0" w:space="0" w:color="auto"/>
                                                <w:left w:val="none" w:sz="0" w:space="0" w:color="auto"/>
                                                <w:bottom w:val="none" w:sz="0" w:space="0" w:color="auto"/>
                                                <w:right w:val="none" w:sz="0" w:space="0" w:color="auto"/>
                                              </w:divBdr>
                                              <w:divsChild>
                                                <w:div w:id="1337659738">
                                                  <w:marLeft w:val="150"/>
                                                  <w:marRight w:val="0"/>
                                                  <w:marTop w:val="0"/>
                                                  <w:marBottom w:val="0"/>
                                                  <w:divBdr>
                                                    <w:top w:val="none" w:sz="0" w:space="0" w:color="auto"/>
                                                    <w:left w:val="none" w:sz="0" w:space="0" w:color="auto"/>
                                                    <w:bottom w:val="none" w:sz="0" w:space="0" w:color="auto"/>
                                                    <w:right w:val="none" w:sz="0" w:space="0" w:color="auto"/>
                                                  </w:divBdr>
                                                </w:div>
                                                <w:div w:id="1368532133">
                                                  <w:marLeft w:val="0"/>
                                                  <w:marRight w:val="0"/>
                                                  <w:marTop w:val="0"/>
                                                  <w:marBottom w:val="0"/>
                                                  <w:divBdr>
                                                    <w:top w:val="none" w:sz="0" w:space="0" w:color="auto"/>
                                                    <w:left w:val="none" w:sz="0" w:space="0" w:color="auto"/>
                                                    <w:bottom w:val="none" w:sz="0" w:space="0" w:color="auto"/>
                                                    <w:right w:val="none" w:sz="0" w:space="0" w:color="auto"/>
                                                  </w:divBdr>
                                                </w:div>
                                                <w:div w:id="18571601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385454">
                      <w:marLeft w:val="0"/>
                      <w:marRight w:val="0"/>
                      <w:marTop w:val="0"/>
                      <w:marBottom w:val="150"/>
                      <w:divBdr>
                        <w:top w:val="none" w:sz="0" w:space="0" w:color="auto"/>
                        <w:left w:val="none" w:sz="0" w:space="0" w:color="auto"/>
                        <w:bottom w:val="none" w:sz="0" w:space="0" w:color="auto"/>
                        <w:right w:val="none" w:sz="0" w:space="0" w:color="auto"/>
                      </w:divBdr>
                      <w:divsChild>
                        <w:div w:id="721245332">
                          <w:marLeft w:val="0"/>
                          <w:marRight w:val="0"/>
                          <w:marTop w:val="0"/>
                          <w:marBottom w:val="0"/>
                          <w:divBdr>
                            <w:top w:val="none" w:sz="0" w:space="0" w:color="auto"/>
                            <w:left w:val="none" w:sz="0" w:space="0" w:color="auto"/>
                            <w:bottom w:val="none" w:sz="0" w:space="0" w:color="auto"/>
                            <w:right w:val="none" w:sz="0" w:space="0" w:color="auto"/>
                          </w:divBdr>
                        </w:div>
                      </w:divsChild>
                    </w:div>
                    <w:div w:id="1296911162">
                      <w:marLeft w:val="0"/>
                      <w:marRight w:val="0"/>
                      <w:marTop w:val="0"/>
                      <w:marBottom w:val="750"/>
                      <w:divBdr>
                        <w:top w:val="none" w:sz="0" w:space="0" w:color="auto"/>
                        <w:left w:val="none" w:sz="0" w:space="0" w:color="auto"/>
                        <w:bottom w:val="none" w:sz="0" w:space="0" w:color="auto"/>
                        <w:right w:val="none" w:sz="0" w:space="0" w:color="auto"/>
                      </w:divBdr>
                      <w:divsChild>
                        <w:div w:id="1077938675">
                          <w:marLeft w:val="0"/>
                          <w:marRight w:val="0"/>
                          <w:marTop w:val="0"/>
                          <w:marBottom w:val="0"/>
                          <w:divBdr>
                            <w:top w:val="none" w:sz="0" w:space="0" w:color="auto"/>
                            <w:left w:val="none" w:sz="0" w:space="0" w:color="auto"/>
                            <w:bottom w:val="none" w:sz="0" w:space="0" w:color="auto"/>
                            <w:right w:val="none" w:sz="0" w:space="0" w:color="auto"/>
                          </w:divBdr>
                          <w:divsChild>
                            <w:div w:id="1840923491">
                              <w:marLeft w:val="0"/>
                              <w:marRight w:val="0"/>
                              <w:marTop w:val="0"/>
                              <w:marBottom w:val="0"/>
                              <w:divBdr>
                                <w:top w:val="none" w:sz="0" w:space="0" w:color="auto"/>
                                <w:left w:val="none" w:sz="0" w:space="0" w:color="auto"/>
                                <w:bottom w:val="none" w:sz="0" w:space="0" w:color="auto"/>
                                <w:right w:val="none" w:sz="0" w:space="0" w:color="auto"/>
                              </w:divBdr>
                              <w:divsChild>
                                <w:div w:id="1159463989">
                                  <w:marLeft w:val="0"/>
                                  <w:marRight w:val="0"/>
                                  <w:marTop w:val="0"/>
                                  <w:marBottom w:val="0"/>
                                  <w:divBdr>
                                    <w:top w:val="single" w:sz="2" w:space="0" w:color="DFDFDF"/>
                                    <w:left w:val="single" w:sz="2" w:space="0" w:color="DFDFDF"/>
                                    <w:bottom w:val="single" w:sz="2" w:space="15" w:color="DFDFDF"/>
                                    <w:right w:val="single" w:sz="2" w:space="0" w:color="DFDFDF"/>
                                  </w:divBdr>
                                  <w:divsChild>
                                    <w:div w:id="97528817">
                                      <w:marLeft w:val="-144"/>
                                      <w:marRight w:val="0"/>
                                      <w:marTop w:val="0"/>
                                      <w:marBottom w:val="0"/>
                                      <w:divBdr>
                                        <w:top w:val="none" w:sz="0" w:space="0" w:color="auto"/>
                                        <w:left w:val="none" w:sz="0" w:space="0" w:color="auto"/>
                                        <w:bottom w:val="none" w:sz="0" w:space="0" w:color="auto"/>
                                        <w:right w:val="none" w:sz="0" w:space="0" w:color="auto"/>
                                      </w:divBdr>
                                      <w:divsChild>
                                        <w:div w:id="1974284044">
                                          <w:marLeft w:val="0"/>
                                          <w:marRight w:val="0"/>
                                          <w:marTop w:val="0"/>
                                          <w:marBottom w:val="45"/>
                                          <w:divBdr>
                                            <w:top w:val="single" w:sz="2" w:space="0" w:color="A9A9A9"/>
                                            <w:left w:val="single" w:sz="2" w:space="0" w:color="A9A9A9"/>
                                            <w:bottom w:val="single" w:sz="2" w:space="0" w:color="A9A9A9"/>
                                            <w:right w:val="single" w:sz="2" w:space="0" w:color="A9A9A9"/>
                                          </w:divBdr>
                                          <w:divsChild>
                                            <w:div w:id="1465852833">
                                              <w:marLeft w:val="0"/>
                                              <w:marRight w:val="0"/>
                                              <w:marTop w:val="0"/>
                                              <w:marBottom w:val="0"/>
                                              <w:divBdr>
                                                <w:top w:val="none" w:sz="0" w:space="0" w:color="auto"/>
                                                <w:left w:val="none" w:sz="0" w:space="0" w:color="auto"/>
                                                <w:bottom w:val="none" w:sz="0" w:space="0" w:color="auto"/>
                                                <w:right w:val="none" w:sz="0" w:space="0" w:color="auto"/>
                                              </w:divBdr>
                                              <w:divsChild>
                                                <w:div w:id="373771555">
                                                  <w:marLeft w:val="14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611426236">
                                      <w:marLeft w:val="0"/>
                                      <w:marRight w:val="0"/>
                                      <w:marTop w:val="0"/>
                                      <w:marBottom w:val="0"/>
                                      <w:divBdr>
                                        <w:top w:val="none" w:sz="0" w:space="0" w:color="auto"/>
                                        <w:left w:val="none" w:sz="0" w:space="0" w:color="auto"/>
                                        <w:bottom w:val="none" w:sz="0" w:space="0" w:color="auto"/>
                                        <w:right w:val="none" w:sz="0" w:space="0" w:color="auto"/>
                                      </w:divBdr>
                                      <w:divsChild>
                                        <w:div w:id="104808211">
                                          <w:marLeft w:val="0"/>
                                          <w:marRight w:val="0"/>
                                          <w:marTop w:val="0"/>
                                          <w:marBottom w:val="0"/>
                                          <w:divBdr>
                                            <w:top w:val="none" w:sz="0" w:space="0" w:color="auto"/>
                                            <w:left w:val="none" w:sz="0" w:space="0" w:color="auto"/>
                                            <w:bottom w:val="none" w:sz="0" w:space="0" w:color="auto"/>
                                            <w:right w:val="none" w:sz="0" w:space="0" w:color="auto"/>
                                          </w:divBdr>
                                          <w:divsChild>
                                            <w:div w:id="7119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5414">
                      <w:marLeft w:val="0"/>
                      <w:marRight w:val="0"/>
                      <w:marTop w:val="0"/>
                      <w:marBottom w:val="150"/>
                      <w:divBdr>
                        <w:top w:val="none" w:sz="0" w:space="0" w:color="auto"/>
                        <w:left w:val="none" w:sz="0" w:space="0" w:color="auto"/>
                        <w:bottom w:val="none" w:sz="0" w:space="0" w:color="auto"/>
                        <w:right w:val="none" w:sz="0" w:space="0" w:color="auto"/>
                      </w:divBdr>
                      <w:divsChild>
                        <w:div w:id="212081571">
                          <w:marLeft w:val="0"/>
                          <w:marRight w:val="0"/>
                          <w:marTop w:val="0"/>
                          <w:marBottom w:val="0"/>
                          <w:divBdr>
                            <w:top w:val="none" w:sz="0" w:space="0" w:color="auto"/>
                            <w:left w:val="none" w:sz="0" w:space="0" w:color="auto"/>
                            <w:bottom w:val="none" w:sz="0" w:space="0" w:color="auto"/>
                            <w:right w:val="none" w:sz="0" w:space="0" w:color="auto"/>
                          </w:divBdr>
                        </w:div>
                      </w:divsChild>
                    </w:div>
                    <w:div w:id="1411274557">
                      <w:marLeft w:val="0"/>
                      <w:marRight w:val="0"/>
                      <w:marTop w:val="0"/>
                      <w:marBottom w:val="150"/>
                      <w:divBdr>
                        <w:top w:val="none" w:sz="0" w:space="0" w:color="auto"/>
                        <w:left w:val="none" w:sz="0" w:space="0" w:color="auto"/>
                        <w:bottom w:val="none" w:sz="0" w:space="0" w:color="auto"/>
                        <w:right w:val="none" w:sz="0" w:space="0" w:color="auto"/>
                      </w:divBdr>
                      <w:divsChild>
                        <w:div w:id="1656911118">
                          <w:marLeft w:val="0"/>
                          <w:marRight w:val="0"/>
                          <w:marTop w:val="0"/>
                          <w:marBottom w:val="0"/>
                          <w:divBdr>
                            <w:top w:val="none" w:sz="0" w:space="0" w:color="auto"/>
                            <w:left w:val="none" w:sz="0" w:space="0" w:color="auto"/>
                            <w:bottom w:val="none" w:sz="0" w:space="0" w:color="auto"/>
                            <w:right w:val="none" w:sz="0" w:space="0" w:color="auto"/>
                          </w:divBdr>
                        </w:div>
                      </w:divsChild>
                    </w:div>
                    <w:div w:id="1447313013">
                      <w:marLeft w:val="0"/>
                      <w:marRight w:val="0"/>
                      <w:marTop w:val="0"/>
                      <w:marBottom w:val="150"/>
                      <w:divBdr>
                        <w:top w:val="none" w:sz="0" w:space="0" w:color="auto"/>
                        <w:left w:val="none" w:sz="0" w:space="0" w:color="auto"/>
                        <w:bottom w:val="none" w:sz="0" w:space="0" w:color="auto"/>
                        <w:right w:val="none" w:sz="0" w:space="0" w:color="auto"/>
                      </w:divBdr>
                      <w:divsChild>
                        <w:div w:id="2101874304">
                          <w:marLeft w:val="0"/>
                          <w:marRight w:val="0"/>
                          <w:marTop w:val="0"/>
                          <w:marBottom w:val="0"/>
                          <w:divBdr>
                            <w:top w:val="none" w:sz="0" w:space="0" w:color="auto"/>
                            <w:left w:val="none" w:sz="0" w:space="0" w:color="auto"/>
                            <w:bottom w:val="none" w:sz="0" w:space="0" w:color="auto"/>
                            <w:right w:val="none" w:sz="0" w:space="0" w:color="auto"/>
                          </w:divBdr>
                        </w:div>
                      </w:divsChild>
                    </w:div>
                    <w:div w:id="1516262077">
                      <w:marLeft w:val="0"/>
                      <w:marRight w:val="0"/>
                      <w:marTop w:val="0"/>
                      <w:marBottom w:val="150"/>
                      <w:divBdr>
                        <w:top w:val="none" w:sz="0" w:space="0" w:color="auto"/>
                        <w:left w:val="none" w:sz="0" w:space="0" w:color="auto"/>
                        <w:bottom w:val="none" w:sz="0" w:space="0" w:color="auto"/>
                        <w:right w:val="none" w:sz="0" w:space="0" w:color="auto"/>
                      </w:divBdr>
                      <w:divsChild>
                        <w:div w:id="1732576829">
                          <w:marLeft w:val="0"/>
                          <w:marRight w:val="0"/>
                          <w:marTop w:val="0"/>
                          <w:marBottom w:val="0"/>
                          <w:divBdr>
                            <w:top w:val="none" w:sz="0" w:space="0" w:color="auto"/>
                            <w:left w:val="none" w:sz="0" w:space="0" w:color="auto"/>
                            <w:bottom w:val="none" w:sz="0" w:space="0" w:color="auto"/>
                            <w:right w:val="none" w:sz="0" w:space="0" w:color="auto"/>
                          </w:divBdr>
                        </w:div>
                      </w:divsChild>
                    </w:div>
                    <w:div w:id="1649552181">
                      <w:marLeft w:val="0"/>
                      <w:marRight w:val="0"/>
                      <w:marTop w:val="0"/>
                      <w:marBottom w:val="150"/>
                      <w:divBdr>
                        <w:top w:val="none" w:sz="0" w:space="0" w:color="auto"/>
                        <w:left w:val="none" w:sz="0" w:space="0" w:color="auto"/>
                        <w:bottom w:val="none" w:sz="0" w:space="0" w:color="auto"/>
                        <w:right w:val="none" w:sz="0" w:space="0" w:color="auto"/>
                      </w:divBdr>
                      <w:divsChild>
                        <w:div w:id="1871189520">
                          <w:marLeft w:val="0"/>
                          <w:marRight w:val="0"/>
                          <w:marTop w:val="0"/>
                          <w:marBottom w:val="0"/>
                          <w:divBdr>
                            <w:top w:val="none" w:sz="0" w:space="0" w:color="auto"/>
                            <w:left w:val="none" w:sz="0" w:space="0" w:color="auto"/>
                            <w:bottom w:val="none" w:sz="0" w:space="0" w:color="auto"/>
                            <w:right w:val="none" w:sz="0" w:space="0" w:color="auto"/>
                          </w:divBdr>
                        </w:div>
                      </w:divsChild>
                    </w:div>
                    <w:div w:id="1657417797">
                      <w:marLeft w:val="0"/>
                      <w:marRight w:val="0"/>
                      <w:marTop w:val="0"/>
                      <w:marBottom w:val="150"/>
                      <w:divBdr>
                        <w:top w:val="none" w:sz="0" w:space="0" w:color="auto"/>
                        <w:left w:val="none" w:sz="0" w:space="0" w:color="auto"/>
                        <w:bottom w:val="none" w:sz="0" w:space="0" w:color="auto"/>
                        <w:right w:val="none" w:sz="0" w:space="0" w:color="auto"/>
                      </w:divBdr>
                      <w:divsChild>
                        <w:div w:id="98985597">
                          <w:marLeft w:val="0"/>
                          <w:marRight w:val="0"/>
                          <w:marTop w:val="0"/>
                          <w:marBottom w:val="0"/>
                          <w:divBdr>
                            <w:top w:val="none" w:sz="0" w:space="0" w:color="auto"/>
                            <w:left w:val="none" w:sz="0" w:space="0" w:color="auto"/>
                            <w:bottom w:val="none" w:sz="0" w:space="0" w:color="auto"/>
                            <w:right w:val="none" w:sz="0" w:space="0" w:color="auto"/>
                          </w:divBdr>
                        </w:div>
                      </w:divsChild>
                    </w:div>
                    <w:div w:id="1672097848">
                      <w:marLeft w:val="0"/>
                      <w:marRight w:val="0"/>
                      <w:marTop w:val="0"/>
                      <w:marBottom w:val="150"/>
                      <w:divBdr>
                        <w:top w:val="none" w:sz="0" w:space="0" w:color="auto"/>
                        <w:left w:val="none" w:sz="0" w:space="0" w:color="auto"/>
                        <w:bottom w:val="none" w:sz="0" w:space="0" w:color="auto"/>
                        <w:right w:val="none" w:sz="0" w:space="0" w:color="auto"/>
                      </w:divBdr>
                      <w:divsChild>
                        <w:div w:id="1004698542">
                          <w:marLeft w:val="0"/>
                          <w:marRight w:val="0"/>
                          <w:marTop w:val="0"/>
                          <w:marBottom w:val="0"/>
                          <w:divBdr>
                            <w:top w:val="none" w:sz="0" w:space="0" w:color="auto"/>
                            <w:left w:val="none" w:sz="0" w:space="0" w:color="auto"/>
                            <w:bottom w:val="none" w:sz="0" w:space="0" w:color="auto"/>
                            <w:right w:val="none" w:sz="0" w:space="0" w:color="auto"/>
                          </w:divBdr>
                        </w:div>
                      </w:divsChild>
                    </w:div>
                    <w:div w:id="1731927672">
                      <w:marLeft w:val="0"/>
                      <w:marRight w:val="0"/>
                      <w:marTop w:val="0"/>
                      <w:marBottom w:val="150"/>
                      <w:divBdr>
                        <w:top w:val="none" w:sz="0" w:space="0" w:color="auto"/>
                        <w:left w:val="none" w:sz="0" w:space="0" w:color="auto"/>
                        <w:bottom w:val="none" w:sz="0" w:space="0" w:color="auto"/>
                        <w:right w:val="none" w:sz="0" w:space="0" w:color="auto"/>
                      </w:divBdr>
                      <w:divsChild>
                        <w:div w:id="129712552">
                          <w:marLeft w:val="0"/>
                          <w:marRight w:val="0"/>
                          <w:marTop w:val="0"/>
                          <w:marBottom w:val="0"/>
                          <w:divBdr>
                            <w:top w:val="none" w:sz="0" w:space="0" w:color="auto"/>
                            <w:left w:val="none" w:sz="0" w:space="0" w:color="auto"/>
                            <w:bottom w:val="none" w:sz="0" w:space="0" w:color="auto"/>
                            <w:right w:val="none" w:sz="0" w:space="0" w:color="auto"/>
                          </w:divBdr>
                        </w:div>
                      </w:divsChild>
                    </w:div>
                    <w:div w:id="1775442890">
                      <w:marLeft w:val="0"/>
                      <w:marRight w:val="0"/>
                      <w:marTop w:val="0"/>
                      <w:marBottom w:val="150"/>
                      <w:divBdr>
                        <w:top w:val="none" w:sz="0" w:space="0" w:color="auto"/>
                        <w:left w:val="none" w:sz="0" w:space="0" w:color="auto"/>
                        <w:bottom w:val="none" w:sz="0" w:space="0" w:color="auto"/>
                        <w:right w:val="none" w:sz="0" w:space="0" w:color="auto"/>
                      </w:divBdr>
                      <w:divsChild>
                        <w:div w:id="534544336">
                          <w:marLeft w:val="0"/>
                          <w:marRight w:val="0"/>
                          <w:marTop w:val="0"/>
                          <w:marBottom w:val="0"/>
                          <w:divBdr>
                            <w:top w:val="none" w:sz="0" w:space="0" w:color="auto"/>
                            <w:left w:val="none" w:sz="0" w:space="0" w:color="auto"/>
                            <w:bottom w:val="none" w:sz="0" w:space="0" w:color="auto"/>
                            <w:right w:val="none" w:sz="0" w:space="0" w:color="auto"/>
                          </w:divBdr>
                        </w:div>
                      </w:divsChild>
                    </w:div>
                    <w:div w:id="1795714860">
                      <w:marLeft w:val="0"/>
                      <w:marRight w:val="0"/>
                      <w:marTop w:val="0"/>
                      <w:marBottom w:val="150"/>
                      <w:divBdr>
                        <w:top w:val="none" w:sz="0" w:space="0" w:color="auto"/>
                        <w:left w:val="none" w:sz="0" w:space="0" w:color="auto"/>
                        <w:bottom w:val="none" w:sz="0" w:space="0" w:color="auto"/>
                        <w:right w:val="none" w:sz="0" w:space="0" w:color="auto"/>
                      </w:divBdr>
                      <w:divsChild>
                        <w:div w:id="1913075622">
                          <w:marLeft w:val="0"/>
                          <w:marRight w:val="0"/>
                          <w:marTop w:val="0"/>
                          <w:marBottom w:val="0"/>
                          <w:divBdr>
                            <w:top w:val="none" w:sz="0" w:space="0" w:color="auto"/>
                            <w:left w:val="none" w:sz="0" w:space="0" w:color="auto"/>
                            <w:bottom w:val="none" w:sz="0" w:space="0" w:color="auto"/>
                            <w:right w:val="none" w:sz="0" w:space="0" w:color="auto"/>
                          </w:divBdr>
                        </w:div>
                      </w:divsChild>
                    </w:div>
                    <w:div w:id="1830633904">
                      <w:marLeft w:val="0"/>
                      <w:marRight w:val="0"/>
                      <w:marTop w:val="0"/>
                      <w:marBottom w:val="150"/>
                      <w:divBdr>
                        <w:top w:val="none" w:sz="0" w:space="0" w:color="auto"/>
                        <w:left w:val="none" w:sz="0" w:space="0" w:color="auto"/>
                        <w:bottom w:val="none" w:sz="0" w:space="0" w:color="auto"/>
                        <w:right w:val="none" w:sz="0" w:space="0" w:color="auto"/>
                      </w:divBdr>
                      <w:divsChild>
                        <w:div w:id="55738266">
                          <w:marLeft w:val="0"/>
                          <w:marRight w:val="0"/>
                          <w:marTop w:val="0"/>
                          <w:marBottom w:val="0"/>
                          <w:divBdr>
                            <w:top w:val="none" w:sz="0" w:space="0" w:color="auto"/>
                            <w:left w:val="none" w:sz="0" w:space="0" w:color="auto"/>
                            <w:bottom w:val="none" w:sz="0" w:space="0" w:color="auto"/>
                            <w:right w:val="none" w:sz="0" w:space="0" w:color="auto"/>
                          </w:divBdr>
                        </w:div>
                      </w:divsChild>
                    </w:div>
                    <w:div w:id="1853883937">
                      <w:marLeft w:val="0"/>
                      <w:marRight w:val="0"/>
                      <w:marTop w:val="0"/>
                      <w:marBottom w:val="150"/>
                      <w:divBdr>
                        <w:top w:val="none" w:sz="0" w:space="0" w:color="auto"/>
                        <w:left w:val="none" w:sz="0" w:space="0" w:color="auto"/>
                        <w:bottom w:val="none" w:sz="0" w:space="0" w:color="auto"/>
                        <w:right w:val="none" w:sz="0" w:space="0" w:color="auto"/>
                      </w:divBdr>
                      <w:divsChild>
                        <w:div w:id="864559289">
                          <w:marLeft w:val="0"/>
                          <w:marRight w:val="0"/>
                          <w:marTop w:val="0"/>
                          <w:marBottom w:val="0"/>
                          <w:divBdr>
                            <w:top w:val="none" w:sz="0" w:space="0" w:color="auto"/>
                            <w:left w:val="none" w:sz="0" w:space="0" w:color="auto"/>
                            <w:bottom w:val="none" w:sz="0" w:space="0" w:color="auto"/>
                            <w:right w:val="none" w:sz="0" w:space="0" w:color="auto"/>
                          </w:divBdr>
                        </w:div>
                      </w:divsChild>
                    </w:div>
                    <w:div w:id="1927641473">
                      <w:marLeft w:val="0"/>
                      <w:marRight w:val="0"/>
                      <w:marTop w:val="0"/>
                      <w:marBottom w:val="150"/>
                      <w:divBdr>
                        <w:top w:val="none" w:sz="0" w:space="0" w:color="auto"/>
                        <w:left w:val="none" w:sz="0" w:space="0" w:color="auto"/>
                        <w:bottom w:val="none" w:sz="0" w:space="0" w:color="auto"/>
                        <w:right w:val="none" w:sz="0" w:space="0" w:color="auto"/>
                      </w:divBdr>
                      <w:divsChild>
                        <w:div w:id="1519468141">
                          <w:marLeft w:val="0"/>
                          <w:marRight w:val="0"/>
                          <w:marTop w:val="0"/>
                          <w:marBottom w:val="0"/>
                          <w:divBdr>
                            <w:top w:val="none" w:sz="0" w:space="0" w:color="auto"/>
                            <w:left w:val="none" w:sz="0" w:space="0" w:color="auto"/>
                            <w:bottom w:val="none" w:sz="0" w:space="0" w:color="auto"/>
                            <w:right w:val="none" w:sz="0" w:space="0" w:color="auto"/>
                          </w:divBdr>
                        </w:div>
                      </w:divsChild>
                    </w:div>
                    <w:div w:id="1939365207">
                      <w:marLeft w:val="0"/>
                      <w:marRight w:val="0"/>
                      <w:marTop w:val="0"/>
                      <w:marBottom w:val="150"/>
                      <w:divBdr>
                        <w:top w:val="none" w:sz="0" w:space="0" w:color="auto"/>
                        <w:left w:val="none" w:sz="0" w:space="0" w:color="auto"/>
                        <w:bottom w:val="none" w:sz="0" w:space="0" w:color="auto"/>
                        <w:right w:val="none" w:sz="0" w:space="0" w:color="auto"/>
                      </w:divBdr>
                      <w:divsChild>
                        <w:div w:id="426773468">
                          <w:marLeft w:val="0"/>
                          <w:marRight w:val="0"/>
                          <w:marTop w:val="0"/>
                          <w:marBottom w:val="0"/>
                          <w:divBdr>
                            <w:top w:val="none" w:sz="0" w:space="0" w:color="auto"/>
                            <w:left w:val="none" w:sz="0" w:space="0" w:color="auto"/>
                            <w:bottom w:val="none" w:sz="0" w:space="0" w:color="auto"/>
                            <w:right w:val="none" w:sz="0" w:space="0" w:color="auto"/>
                          </w:divBdr>
                        </w:div>
                      </w:divsChild>
                    </w:div>
                    <w:div w:id="2079403668">
                      <w:marLeft w:val="0"/>
                      <w:marRight w:val="0"/>
                      <w:marTop w:val="0"/>
                      <w:marBottom w:val="150"/>
                      <w:divBdr>
                        <w:top w:val="none" w:sz="0" w:space="0" w:color="auto"/>
                        <w:left w:val="none" w:sz="0" w:space="0" w:color="auto"/>
                        <w:bottom w:val="none" w:sz="0" w:space="0" w:color="auto"/>
                        <w:right w:val="none" w:sz="0" w:space="0" w:color="auto"/>
                      </w:divBdr>
                      <w:divsChild>
                        <w:div w:id="12996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053">
                  <w:marLeft w:val="0"/>
                  <w:marRight w:val="0"/>
                  <w:marTop w:val="0"/>
                  <w:marBottom w:val="450"/>
                  <w:divBdr>
                    <w:top w:val="none" w:sz="0" w:space="0" w:color="auto"/>
                    <w:left w:val="none" w:sz="0" w:space="0" w:color="auto"/>
                    <w:bottom w:val="none" w:sz="0" w:space="0" w:color="auto"/>
                    <w:right w:val="none" w:sz="0" w:space="0" w:color="auto"/>
                  </w:divBdr>
                  <w:divsChild>
                    <w:div w:id="1717466320">
                      <w:marLeft w:val="0"/>
                      <w:marRight w:val="0"/>
                      <w:marTop w:val="0"/>
                      <w:marBottom w:val="0"/>
                      <w:divBdr>
                        <w:top w:val="none" w:sz="0" w:space="0" w:color="auto"/>
                        <w:left w:val="none" w:sz="0" w:space="0" w:color="auto"/>
                        <w:bottom w:val="none" w:sz="0" w:space="0" w:color="auto"/>
                        <w:right w:val="none" w:sz="0" w:space="0" w:color="auto"/>
                      </w:divBdr>
                      <w:divsChild>
                        <w:div w:id="322198801">
                          <w:marLeft w:val="0"/>
                          <w:marRight w:val="0"/>
                          <w:marTop w:val="0"/>
                          <w:marBottom w:val="0"/>
                          <w:divBdr>
                            <w:top w:val="none" w:sz="0" w:space="0" w:color="auto"/>
                            <w:left w:val="none" w:sz="0" w:space="0" w:color="auto"/>
                            <w:bottom w:val="none" w:sz="0" w:space="0" w:color="auto"/>
                            <w:right w:val="none" w:sz="0" w:space="0" w:color="auto"/>
                          </w:divBdr>
                          <w:divsChild>
                            <w:div w:id="16334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99682">
          <w:marLeft w:val="0"/>
          <w:marRight w:val="0"/>
          <w:marTop w:val="450"/>
          <w:marBottom w:val="450"/>
          <w:divBdr>
            <w:top w:val="none" w:sz="0" w:space="0" w:color="auto"/>
            <w:left w:val="none" w:sz="0" w:space="0" w:color="auto"/>
            <w:bottom w:val="none" w:sz="0" w:space="0" w:color="auto"/>
            <w:right w:val="none" w:sz="0" w:space="0" w:color="auto"/>
          </w:divBdr>
          <w:divsChild>
            <w:div w:id="1523475985">
              <w:marLeft w:val="0"/>
              <w:marRight w:val="0"/>
              <w:marTop w:val="0"/>
              <w:marBottom w:val="0"/>
              <w:divBdr>
                <w:top w:val="none" w:sz="0" w:space="0" w:color="auto"/>
                <w:left w:val="none" w:sz="0" w:space="0" w:color="auto"/>
                <w:bottom w:val="none" w:sz="0" w:space="0" w:color="auto"/>
                <w:right w:val="none" w:sz="0" w:space="0" w:color="auto"/>
              </w:divBdr>
              <w:divsChild>
                <w:div w:id="1485389430">
                  <w:marLeft w:val="0"/>
                  <w:marRight w:val="0"/>
                  <w:marTop w:val="0"/>
                  <w:marBottom w:val="0"/>
                  <w:divBdr>
                    <w:top w:val="none" w:sz="0" w:space="0" w:color="auto"/>
                    <w:left w:val="none" w:sz="0" w:space="0" w:color="auto"/>
                    <w:bottom w:val="none" w:sz="0" w:space="0" w:color="auto"/>
                    <w:right w:val="none" w:sz="0" w:space="0" w:color="auto"/>
                  </w:divBdr>
                  <w:divsChild>
                    <w:div w:id="1832981174">
                      <w:marLeft w:val="0"/>
                      <w:marRight w:val="0"/>
                      <w:marTop w:val="0"/>
                      <w:marBottom w:val="0"/>
                      <w:divBdr>
                        <w:top w:val="none" w:sz="0" w:space="0" w:color="auto"/>
                        <w:left w:val="none" w:sz="0" w:space="0" w:color="auto"/>
                        <w:bottom w:val="none" w:sz="0" w:space="0" w:color="auto"/>
                        <w:right w:val="none" w:sz="0" w:space="0" w:color="auto"/>
                      </w:divBdr>
                      <w:divsChild>
                        <w:div w:id="1649437816">
                          <w:marLeft w:val="0"/>
                          <w:marRight w:val="0"/>
                          <w:marTop w:val="0"/>
                          <w:marBottom w:val="0"/>
                          <w:divBdr>
                            <w:top w:val="none" w:sz="0" w:space="0" w:color="auto"/>
                            <w:left w:val="none" w:sz="0" w:space="0" w:color="auto"/>
                            <w:bottom w:val="none" w:sz="0" w:space="0" w:color="auto"/>
                            <w:right w:val="none" w:sz="0" w:space="0" w:color="auto"/>
                          </w:divBdr>
                          <w:divsChild>
                            <w:div w:id="228196868">
                              <w:marLeft w:val="0"/>
                              <w:marRight w:val="0"/>
                              <w:marTop w:val="0"/>
                              <w:marBottom w:val="0"/>
                              <w:divBdr>
                                <w:top w:val="none" w:sz="0" w:space="0" w:color="auto"/>
                                <w:left w:val="none" w:sz="0" w:space="0" w:color="auto"/>
                                <w:bottom w:val="none" w:sz="0" w:space="0" w:color="auto"/>
                                <w:right w:val="none" w:sz="0" w:space="0" w:color="auto"/>
                              </w:divBdr>
                              <w:divsChild>
                                <w:div w:id="1938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785076">
      <w:bodyDiv w:val="1"/>
      <w:marLeft w:val="0"/>
      <w:marRight w:val="0"/>
      <w:marTop w:val="0"/>
      <w:marBottom w:val="0"/>
      <w:divBdr>
        <w:top w:val="none" w:sz="0" w:space="0" w:color="auto"/>
        <w:left w:val="none" w:sz="0" w:space="0" w:color="auto"/>
        <w:bottom w:val="none" w:sz="0" w:space="0" w:color="auto"/>
        <w:right w:val="none" w:sz="0" w:space="0" w:color="auto"/>
      </w:divBdr>
    </w:div>
    <w:div w:id="1120995711">
      <w:bodyDiv w:val="1"/>
      <w:marLeft w:val="0"/>
      <w:marRight w:val="0"/>
      <w:marTop w:val="0"/>
      <w:marBottom w:val="0"/>
      <w:divBdr>
        <w:top w:val="none" w:sz="0" w:space="0" w:color="auto"/>
        <w:left w:val="none" w:sz="0" w:space="0" w:color="auto"/>
        <w:bottom w:val="none" w:sz="0" w:space="0" w:color="auto"/>
        <w:right w:val="none" w:sz="0" w:space="0" w:color="auto"/>
      </w:divBdr>
      <w:divsChild>
        <w:div w:id="77869151">
          <w:marLeft w:val="0"/>
          <w:marRight w:val="0"/>
          <w:marTop w:val="0"/>
          <w:marBottom w:val="0"/>
          <w:divBdr>
            <w:top w:val="none" w:sz="0" w:space="0" w:color="auto"/>
            <w:left w:val="none" w:sz="0" w:space="0" w:color="auto"/>
            <w:bottom w:val="none" w:sz="0" w:space="0" w:color="auto"/>
            <w:right w:val="none" w:sz="0" w:space="0" w:color="auto"/>
          </w:divBdr>
          <w:divsChild>
            <w:div w:id="1660497179">
              <w:marLeft w:val="0"/>
              <w:marRight w:val="0"/>
              <w:marTop w:val="0"/>
              <w:marBottom w:val="0"/>
              <w:divBdr>
                <w:top w:val="none" w:sz="0" w:space="0" w:color="auto"/>
                <w:left w:val="none" w:sz="0" w:space="0" w:color="auto"/>
                <w:bottom w:val="none" w:sz="0" w:space="0" w:color="auto"/>
                <w:right w:val="none" w:sz="0" w:space="0" w:color="auto"/>
              </w:divBdr>
              <w:divsChild>
                <w:div w:id="2143426354">
                  <w:marLeft w:val="0"/>
                  <w:marRight w:val="0"/>
                  <w:marTop w:val="105"/>
                  <w:marBottom w:val="0"/>
                  <w:divBdr>
                    <w:top w:val="none" w:sz="0" w:space="0" w:color="auto"/>
                    <w:left w:val="none" w:sz="0" w:space="0" w:color="auto"/>
                    <w:bottom w:val="none" w:sz="0" w:space="0" w:color="auto"/>
                    <w:right w:val="none" w:sz="0" w:space="0" w:color="auto"/>
                  </w:divBdr>
                  <w:divsChild>
                    <w:div w:id="18947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0842">
          <w:marLeft w:val="0"/>
          <w:marRight w:val="0"/>
          <w:marTop w:val="0"/>
          <w:marBottom w:val="0"/>
          <w:divBdr>
            <w:top w:val="none" w:sz="0" w:space="0" w:color="auto"/>
            <w:left w:val="none" w:sz="0" w:space="0" w:color="auto"/>
            <w:bottom w:val="none" w:sz="0" w:space="0" w:color="auto"/>
            <w:right w:val="none" w:sz="0" w:space="0" w:color="auto"/>
          </w:divBdr>
          <w:divsChild>
            <w:div w:id="969936180">
              <w:marLeft w:val="0"/>
              <w:marRight w:val="0"/>
              <w:marTop w:val="0"/>
              <w:marBottom w:val="0"/>
              <w:divBdr>
                <w:top w:val="none" w:sz="0" w:space="0" w:color="auto"/>
                <w:left w:val="none" w:sz="0" w:space="0" w:color="auto"/>
                <w:bottom w:val="none" w:sz="0" w:space="0" w:color="auto"/>
                <w:right w:val="none" w:sz="0" w:space="0" w:color="auto"/>
              </w:divBdr>
              <w:divsChild>
                <w:div w:id="1984652203">
                  <w:marLeft w:val="0"/>
                  <w:marRight w:val="0"/>
                  <w:marTop w:val="105"/>
                  <w:marBottom w:val="0"/>
                  <w:divBdr>
                    <w:top w:val="none" w:sz="0" w:space="0" w:color="auto"/>
                    <w:left w:val="none" w:sz="0" w:space="0" w:color="auto"/>
                    <w:bottom w:val="none" w:sz="0" w:space="0" w:color="auto"/>
                    <w:right w:val="none" w:sz="0" w:space="0" w:color="auto"/>
                  </w:divBdr>
                  <w:divsChild>
                    <w:div w:id="20791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44813">
          <w:marLeft w:val="0"/>
          <w:marRight w:val="0"/>
          <w:marTop w:val="0"/>
          <w:marBottom w:val="0"/>
          <w:divBdr>
            <w:top w:val="none" w:sz="0" w:space="0" w:color="auto"/>
            <w:left w:val="none" w:sz="0" w:space="0" w:color="auto"/>
            <w:bottom w:val="none" w:sz="0" w:space="0" w:color="auto"/>
            <w:right w:val="none" w:sz="0" w:space="0" w:color="auto"/>
          </w:divBdr>
          <w:divsChild>
            <w:div w:id="455223148">
              <w:marLeft w:val="0"/>
              <w:marRight w:val="0"/>
              <w:marTop w:val="0"/>
              <w:marBottom w:val="90"/>
              <w:divBdr>
                <w:top w:val="none" w:sz="0" w:space="0" w:color="auto"/>
                <w:left w:val="none" w:sz="0" w:space="0" w:color="auto"/>
                <w:bottom w:val="none" w:sz="0" w:space="0" w:color="auto"/>
                <w:right w:val="none" w:sz="0" w:space="0" w:color="auto"/>
              </w:divBdr>
              <w:divsChild>
                <w:div w:id="1975788567">
                  <w:marLeft w:val="0"/>
                  <w:marRight w:val="0"/>
                  <w:marTop w:val="0"/>
                  <w:marBottom w:val="0"/>
                  <w:divBdr>
                    <w:top w:val="none" w:sz="0" w:space="0" w:color="auto"/>
                    <w:left w:val="none" w:sz="0" w:space="0" w:color="auto"/>
                    <w:bottom w:val="none" w:sz="0" w:space="0" w:color="auto"/>
                    <w:right w:val="none" w:sz="0" w:space="0" w:color="auto"/>
                  </w:divBdr>
                  <w:divsChild>
                    <w:div w:id="1847208993">
                      <w:marLeft w:val="0"/>
                      <w:marRight w:val="0"/>
                      <w:marTop w:val="0"/>
                      <w:marBottom w:val="0"/>
                      <w:divBdr>
                        <w:top w:val="none" w:sz="0" w:space="0" w:color="auto"/>
                        <w:left w:val="none" w:sz="0" w:space="0" w:color="auto"/>
                        <w:bottom w:val="none" w:sz="0" w:space="0" w:color="auto"/>
                        <w:right w:val="none" w:sz="0" w:space="0" w:color="auto"/>
                      </w:divBdr>
                      <w:divsChild>
                        <w:div w:id="9845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358458">
      <w:bodyDiv w:val="1"/>
      <w:marLeft w:val="0"/>
      <w:marRight w:val="0"/>
      <w:marTop w:val="0"/>
      <w:marBottom w:val="0"/>
      <w:divBdr>
        <w:top w:val="none" w:sz="0" w:space="0" w:color="auto"/>
        <w:left w:val="none" w:sz="0" w:space="0" w:color="auto"/>
        <w:bottom w:val="none" w:sz="0" w:space="0" w:color="auto"/>
        <w:right w:val="none" w:sz="0" w:space="0" w:color="auto"/>
      </w:divBdr>
    </w:div>
    <w:div w:id="1140418050">
      <w:bodyDiv w:val="1"/>
      <w:marLeft w:val="0"/>
      <w:marRight w:val="0"/>
      <w:marTop w:val="0"/>
      <w:marBottom w:val="0"/>
      <w:divBdr>
        <w:top w:val="none" w:sz="0" w:space="0" w:color="auto"/>
        <w:left w:val="none" w:sz="0" w:space="0" w:color="auto"/>
        <w:bottom w:val="none" w:sz="0" w:space="0" w:color="auto"/>
        <w:right w:val="none" w:sz="0" w:space="0" w:color="auto"/>
      </w:divBdr>
    </w:div>
    <w:div w:id="1142229625">
      <w:bodyDiv w:val="1"/>
      <w:marLeft w:val="0"/>
      <w:marRight w:val="0"/>
      <w:marTop w:val="0"/>
      <w:marBottom w:val="0"/>
      <w:divBdr>
        <w:top w:val="none" w:sz="0" w:space="0" w:color="auto"/>
        <w:left w:val="none" w:sz="0" w:space="0" w:color="auto"/>
        <w:bottom w:val="none" w:sz="0" w:space="0" w:color="auto"/>
        <w:right w:val="none" w:sz="0" w:space="0" w:color="auto"/>
      </w:divBdr>
      <w:divsChild>
        <w:div w:id="810900529">
          <w:marLeft w:val="0"/>
          <w:marRight w:val="0"/>
          <w:marTop w:val="0"/>
          <w:marBottom w:val="0"/>
          <w:divBdr>
            <w:top w:val="none" w:sz="0" w:space="0" w:color="auto"/>
            <w:left w:val="none" w:sz="0" w:space="0" w:color="auto"/>
            <w:bottom w:val="none" w:sz="0" w:space="0" w:color="auto"/>
            <w:right w:val="none" w:sz="0" w:space="0" w:color="auto"/>
          </w:divBdr>
        </w:div>
        <w:div w:id="1238443186">
          <w:marLeft w:val="0"/>
          <w:marRight w:val="0"/>
          <w:marTop w:val="0"/>
          <w:marBottom w:val="0"/>
          <w:divBdr>
            <w:top w:val="none" w:sz="0" w:space="0" w:color="auto"/>
            <w:left w:val="none" w:sz="0" w:space="0" w:color="auto"/>
            <w:bottom w:val="none" w:sz="0" w:space="0" w:color="auto"/>
            <w:right w:val="none" w:sz="0" w:space="0" w:color="auto"/>
          </w:divBdr>
        </w:div>
        <w:div w:id="1640304607">
          <w:marLeft w:val="0"/>
          <w:marRight w:val="0"/>
          <w:marTop w:val="0"/>
          <w:marBottom w:val="0"/>
          <w:divBdr>
            <w:top w:val="none" w:sz="0" w:space="0" w:color="auto"/>
            <w:left w:val="none" w:sz="0" w:space="0" w:color="auto"/>
            <w:bottom w:val="none" w:sz="0" w:space="0" w:color="auto"/>
            <w:right w:val="none" w:sz="0" w:space="0" w:color="auto"/>
          </w:divBdr>
        </w:div>
      </w:divsChild>
    </w:div>
    <w:div w:id="1152989732">
      <w:bodyDiv w:val="1"/>
      <w:marLeft w:val="0"/>
      <w:marRight w:val="0"/>
      <w:marTop w:val="0"/>
      <w:marBottom w:val="0"/>
      <w:divBdr>
        <w:top w:val="none" w:sz="0" w:space="0" w:color="auto"/>
        <w:left w:val="none" w:sz="0" w:space="0" w:color="auto"/>
        <w:bottom w:val="none" w:sz="0" w:space="0" w:color="auto"/>
        <w:right w:val="none" w:sz="0" w:space="0" w:color="auto"/>
      </w:divBdr>
    </w:div>
    <w:div w:id="1163818492">
      <w:bodyDiv w:val="1"/>
      <w:marLeft w:val="0"/>
      <w:marRight w:val="0"/>
      <w:marTop w:val="0"/>
      <w:marBottom w:val="0"/>
      <w:divBdr>
        <w:top w:val="none" w:sz="0" w:space="0" w:color="auto"/>
        <w:left w:val="none" w:sz="0" w:space="0" w:color="auto"/>
        <w:bottom w:val="none" w:sz="0" w:space="0" w:color="auto"/>
        <w:right w:val="none" w:sz="0" w:space="0" w:color="auto"/>
      </w:divBdr>
    </w:div>
    <w:div w:id="1165130255">
      <w:bodyDiv w:val="1"/>
      <w:marLeft w:val="0"/>
      <w:marRight w:val="0"/>
      <w:marTop w:val="0"/>
      <w:marBottom w:val="0"/>
      <w:divBdr>
        <w:top w:val="none" w:sz="0" w:space="0" w:color="auto"/>
        <w:left w:val="none" w:sz="0" w:space="0" w:color="auto"/>
        <w:bottom w:val="none" w:sz="0" w:space="0" w:color="auto"/>
        <w:right w:val="none" w:sz="0" w:space="0" w:color="auto"/>
      </w:divBdr>
    </w:div>
    <w:div w:id="1182936811">
      <w:bodyDiv w:val="1"/>
      <w:marLeft w:val="0"/>
      <w:marRight w:val="0"/>
      <w:marTop w:val="0"/>
      <w:marBottom w:val="0"/>
      <w:divBdr>
        <w:top w:val="none" w:sz="0" w:space="0" w:color="auto"/>
        <w:left w:val="none" w:sz="0" w:space="0" w:color="auto"/>
        <w:bottom w:val="none" w:sz="0" w:space="0" w:color="auto"/>
        <w:right w:val="none" w:sz="0" w:space="0" w:color="auto"/>
      </w:divBdr>
      <w:divsChild>
        <w:div w:id="1779135275">
          <w:marLeft w:val="0"/>
          <w:marRight w:val="0"/>
          <w:marTop w:val="0"/>
          <w:marBottom w:val="0"/>
          <w:divBdr>
            <w:top w:val="none" w:sz="0" w:space="0" w:color="auto"/>
            <w:left w:val="none" w:sz="0" w:space="0" w:color="auto"/>
            <w:bottom w:val="none" w:sz="0" w:space="0" w:color="auto"/>
            <w:right w:val="none" w:sz="0" w:space="0" w:color="auto"/>
          </w:divBdr>
          <w:divsChild>
            <w:div w:id="1303071979">
              <w:marLeft w:val="0"/>
              <w:marRight w:val="0"/>
              <w:marTop w:val="0"/>
              <w:marBottom w:val="0"/>
              <w:divBdr>
                <w:top w:val="none" w:sz="0" w:space="0" w:color="auto"/>
                <w:left w:val="none" w:sz="0" w:space="0" w:color="auto"/>
                <w:bottom w:val="none" w:sz="0" w:space="0" w:color="auto"/>
                <w:right w:val="none" w:sz="0" w:space="0" w:color="auto"/>
              </w:divBdr>
              <w:divsChild>
                <w:div w:id="1978486381">
                  <w:marLeft w:val="0"/>
                  <w:marRight w:val="0"/>
                  <w:marTop w:val="0"/>
                  <w:marBottom w:val="0"/>
                  <w:divBdr>
                    <w:top w:val="none" w:sz="0" w:space="0" w:color="auto"/>
                    <w:left w:val="none" w:sz="0" w:space="0" w:color="auto"/>
                    <w:bottom w:val="none" w:sz="0" w:space="0" w:color="auto"/>
                    <w:right w:val="none" w:sz="0" w:space="0" w:color="auto"/>
                  </w:divBdr>
                  <w:divsChild>
                    <w:div w:id="102040266">
                      <w:marLeft w:val="0"/>
                      <w:marRight w:val="0"/>
                      <w:marTop w:val="0"/>
                      <w:marBottom w:val="0"/>
                      <w:divBdr>
                        <w:top w:val="none" w:sz="0" w:space="0" w:color="auto"/>
                        <w:left w:val="none" w:sz="0" w:space="0" w:color="auto"/>
                        <w:bottom w:val="none" w:sz="0" w:space="0" w:color="auto"/>
                        <w:right w:val="none" w:sz="0" w:space="0" w:color="auto"/>
                      </w:divBdr>
                      <w:divsChild>
                        <w:div w:id="835606324">
                          <w:marLeft w:val="0"/>
                          <w:marRight w:val="0"/>
                          <w:marTop w:val="0"/>
                          <w:marBottom w:val="0"/>
                          <w:divBdr>
                            <w:top w:val="none" w:sz="0" w:space="0" w:color="auto"/>
                            <w:left w:val="none" w:sz="0" w:space="0" w:color="auto"/>
                            <w:bottom w:val="none" w:sz="0" w:space="0" w:color="auto"/>
                            <w:right w:val="none" w:sz="0" w:space="0" w:color="auto"/>
                          </w:divBdr>
                        </w:div>
                        <w:div w:id="15905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266791">
      <w:bodyDiv w:val="1"/>
      <w:marLeft w:val="0"/>
      <w:marRight w:val="0"/>
      <w:marTop w:val="0"/>
      <w:marBottom w:val="0"/>
      <w:divBdr>
        <w:top w:val="none" w:sz="0" w:space="0" w:color="auto"/>
        <w:left w:val="none" w:sz="0" w:space="0" w:color="auto"/>
        <w:bottom w:val="none" w:sz="0" w:space="0" w:color="auto"/>
        <w:right w:val="none" w:sz="0" w:space="0" w:color="auto"/>
      </w:divBdr>
    </w:div>
    <w:div w:id="1214081536">
      <w:bodyDiv w:val="1"/>
      <w:marLeft w:val="0"/>
      <w:marRight w:val="0"/>
      <w:marTop w:val="0"/>
      <w:marBottom w:val="0"/>
      <w:divBdr>
        <w:top w:val="none" w:sz="0" w:space="0" w:color="auto"/>
        <w:left w:val="none" w:sz="0" w:space="0" w:color="auto"/>
        <w:bottom w:val="none" w:sz="0" w:space="0" w:color="auto"/>
        <w:right w:val="none" w:sz="0" w:space="0" w:color="auto"/>
      </w:divBdr>
    </w:div>
    <w:div w:id="1224679542">
      <w:bodyDiv w:val="1"/>
      <w:marLeft w:val="0"/>
      <w:marRight w:val="0"/>
      <w:marTop w:val="0"/>
      <w:marBottom w:val="0"/>
      <w:divBdr>
        <w:top w:val="none" w:sz="0" w:space="0" w:color="auto"/>
        <w:left w:val="none" w:sz="0" w:space="0" w:color="auto"/>
        <w:bottom w:val="none" w:sz="0" w:space="0" w:color="auto"/>
        <w:right w:val="none" w:sz="0" w:space="0" w:color="auto"/>
      </w:divBdr>
    </w:div>
    <w:div w:id="1248809467">
      <w:bodyDiv w:val="1"/>
      <w:marLeft w:val="0"/>
      <w:marRight w:val="0"/>
      <w:marTop w:val="0"/>
      <w:marBottom w:val="0"/>
      <w:divBdr>
        <w:top w:val="none" w:sz="0" w:space="0" w:color="auto"/>
        <w:left w:val="none" w:sz="0" w:space="0" w:color="auto"/>
        <w:bottom w:val="none" w:sz="0" w:space="0" w:color="auto"/>
        <w:right w:val="none" w:sz="0" w:space="0" w:color="auto"/>
      </w:divBdr>
    </w:div>
    <w:div w:id="1250582742">
      <w:bodyDiv w:val="1"/>
      <w:marLeft w:val="0"/>
      <w:marRight w:val="0"/>
      <w:marTop w:val="0"/>
      <w:marBottom w:val="0"/>
      <w:divBdr>
        <w:top w:val="none" w:sz="0" w:space="0" w:color="auto"/>
        <w:left w:val="none" w:sz="0" w:space="0" w:color="auto"/>
        <w:bottom w:val="none" w:sz="0" w:space="0" w:color="auto"/>
        <w:right w:val="none" w:sz="0" w:space="0" w:color="auto"/>
      </w:divBdr>
    </w:div>
    <w:div w:id="1255361487">
      <w:bodyDiv w:val="1"/>
      <w:marLeft w:val="0"/>
      <w:marRight w:val="0"/>
      <w:marTop w:val="0"/>
      <w:marBottom w:val="0"/>
      <w:divBdr>
        <w:top w:val="none" w:sz="0" w:space="0" w:color="auto"/>
        <w:left w:val="none" w:sz="0" w:space="0" w:color="auto"/>
        <w:bottom w:val="none" w:sz="0" w:space="0" w:color="auto"/>
        <w:right w:val="none" w:sz="0" w:space="0" w:color="auto"/>
      </w:divBdr>
    </w:div>
    <w:div w:id="1281569566">
      <w:bodyDiv w:val="1"/>
      <w:marLeft w:val="0"/>
      <w:marRight w:val="0"/>
      <w:marTop w:val="0"/>
      <w:marBottom w:val="0"/>
      <w:divBdr>
        <w:top w:val="none" w:sz="0" w:space="0" w:color="auto"/>
        <w:left w:val="none" w:sz="0" w:space="0" w:color="auto"/>
        <w:bottom w:val="none" w:sz="0" w:space="0" w:color="auto"/>
        <w:right w:val="none" w:sz="0" w:space="0" w:color="auto"/>
      </w:divBdr>
    </w:div>
    <w:div w:id="1326471224">
      <w:bodyDiv w:val="1"/>
      <w:marLeft w:val="0"/>
      <w:marRight w:val="0"/>
      <w:marTop w:val="0"/>
      <w:marBottom w:val="0"/>
      <w:divBdr>
        <w:top w:val="none" w:sz="0" w:space="0" w:color="auto"/>
        <w:left w:val="none" w:sz="0" w:space="0" w:color="auto"/>
        <w:bottom w:val="none" w:sz="0" w:space="0" w:color="auto"/>
        <w:right w:val="none" w:sz="0" w:space="0" w:color="auto"/>
      </w:divBdr>
      <w:divsChild>
        <w:div w:id="1149977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918875">
              <w:marLeft w:val="0"/>
              <w:marRight w:val="0"/>
              <w:marTop w:val="0"/>
              <w:marBottom w:val="0"/>
              <w:divBdr>
                <w:top w:val="none" w:sz="0" w:space="0" w:color="auto"/>
                <w:left w:val="none" w:sz="0" w:space="0" w:color="auto"/>
                <w:bottom w:val="none" w:sz="0" w:space="0" w:color="auto"/>
                <w:right w:val="none" w:sz="0" w:space="0" w:color="auto"/>
              </w:divBdr>
              <w:divsChild>
                <w:div w:id="1887376858">
                  <w:marLeft w:val="0"/>
                  <w:marRight w:val="0"/>
                  <w:marTop w:val="0"/>
                  <w:marBottom w:val="0"/>
                  <w:divBdr>
                    <w:top w:val="none" w:sz="0" w:space="0" w:color="auto"/>
                    <w:left w:val="none" w:sz="0" w:space="0" w:color="auto"/>
                    <w:bottom w:val="none" w:sz="0" w:space="0" w:color="auto"/>
                    <w:right w:val="none" w:sz="0" w:space="0" w:color="auto"/>
                  </w:divBdr>
                  <w:divsChild>
                    <w:div w:id="544789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762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955845">
      <w:bodyDiv w:val="1"/>
      <w:marLeft w:val="0"/>
      <w:marRight w:val="0"/>
      <w:marTop w:val="0"/>
      <w:marBottom w:val="0"/>
      <w:divBdr>
        <w:top w:val="none" w:sz="0" w:space="0" w:color="auto"/>
        <w:left w:val="none" w:sz="0" w:space="0" w:color="auto"/>
        <w:bottom w:val="none" w:sz="0" w:space="0" w:color="auto"/>
        <w:right w:val="none" w:sz="0" w:space="0" w:color="auto"/>
      </w:divBdr>
      <w:divsChild>
        <w:div w:id="2101489980">
          <w:marLeft w:val="0"/>
          <w:marRight w:val="0"/>
          <w:marTop w:val="0"/>
          <w:marBottom w:val="0"/>
          <w:divBdr>
            <w:top w:val="none" w:sz="0" w:space="0" w:color="auto"/>
            <w:left w:val="none" w:sz="0" w:space="0" w:color="auto"/>
            <w:bottom w:val="none" w:sz="0" w:space="0" w:color="auto"/>
            <w:right w:val="none" w:sz="0" w:space="0" w:color="auto"/>
          </w:divBdr>
          <w:divsChild>
            <w:div w:id="2040467524">
              <w:marLeft w:val="0"/>
              <w:marRight w:val="0"/>
              <w:marTop w:val="0"/>
              <w:marBottom w:val="0"/>
              <w:divBdr>
                <w:top w:val="none" w:sz="0" w:space="0" w:color="auto"/>
                <w:left w:val="none" w:sz="0" w:space="0" w:color="auto"/>
                <w:bottom w:val="none" w:sz="0" w:space="0" w:color="auto"/>
                <w:right w:val="none" w:sz="0" w:space="0" w:color="auto"/>
              </w:divBdr>
              <w:divsChild>
                <w:div w:id="1477070933">
                  <w:marLeft w:val="0"/>
                  <w:marRight w:val="0"/>
                  <w:marTop w:val="0"/>
                  <w:marBottom w:val="0"/>
                  <w:divBdr>
                    <w:top w:val="none" w:sz="0" w:space="0" w:color="auto"/>
                    <w:left w:val="none" w:sz="0" w:space="0" w:color="auto"/>
                    <w:bottom w:val="none" w:sz="0" w:space="0" w:color="auto"/>
                    <w:right w:val="none" w:sz="0" w:space="0" w:color="auto"/>
                  </w:divBdr>
                  <w:divsChild>
                    <w:div w:id="185758367">
                      <w:marLeft w:val="0"/>
                      <w:marRight w:val="0"/>
                      <w:marTop w:val="0"/>
                      <w:marBottom w:val="0"/>
                      <w:divBdr>
                        <w:top w:val="none" w:sz="0" w:space="0" w:color="auto"/>
                        <w:left w:val="none" w:sz="0" w:space="0" w:color="auto"/>
                        <w:bottom w:val="none" w:sz="0" w:space="0" w:color="auto"/>
                        <w:right w:val="none" w:sz="0" w:space="0" w:color="auto"/>
                      </w:divBdr>
                      <w:divsChild>
                        <w:div w:id="1735158318">
                          <w:marLeft w:val="0"/>
                          <w:marRight w:val="0"/>
                          <w:marTop w:val="0"/>
                          <w:marBottom w:val="0"/>
                          <w:divBdr>
                            <w:top w:val="none" w:sz="0" w:space="0" w:color="auto"/>
                            <w:left w:val="none" w:sz="0" w:space="0" w:color="auto"/>
                            <w:bottom w:val="none" w:sz="0" w:space="0" w:color="auto"/>
                            <w:right w:val="none" w:sz="0" w:space="0" w:color="auto"/>
                          </w:divBdr>
                          <w:divsChild>
                            <w:div w:id="1605189159">
                              <w:marLeft w:val="0"/>
                              <w:marRight w:val="0"/>
                              <w:marTop w:val="0"/>
                              <w:marBottom w:val="0"/>
                              <w:divBdr>
                                <w:top w:val="none" w:sz="0" w:space="0" w:color="auto"/>
                                <w:left w:val="none" w:sz="0" w:space="0" w:color="auto"/>
                                <w:bottom w:val="none" w:sz="0" w:space="0" w:color="auto"/>
                                <w:right w:val="none" w:sz="0" w:space="0" w:color="auto"/>
                              </w:divBdr>
                              <w:divsChild>
                                <w:div w:id="1000501418">
                                  <w:marLeft w:val="0"/>
                                  <w:marRight w:val="0"/>
                                  <w:marTop w:val="0"/>
                                  <w:marBottom w:val="0"/>
                                  <w:divBdr>
                                    <w:top w:val="none" w:sz="0" w:space="0" w:color="auto"/>
                                    <w:left w:val="none" w:sz="0" w:space="0" w:color="auto"/>
                                    <w:bottom w:val="none" w:sz="0" w:space="0" w:color="auto"/>
                                    <w:right w:val="none" w:sz="0" w:space="0" w:color="auto"/>
                                  </w:divBdr>
                                  <w:divsChild>
                                    <w:div w:id="407768493">
                                      <w:marLeft w:val="0"/>
                                      <w:marRight w:val="0"/>
                                      <w:marTop w:val="0"/>
                                      <w:marBottom w:val="0"/>
                                      <w:divBdr>
                                        <w:top w:val="none" w:sz="0" w:space="0" w:color="auto"/>
                                        <w:left w:val="none" w:sz="0" w:space="0" w:color="auto"/>
                                        <w:bottom w:val="none" w:sz="0" w:space="0" w:color="auto"/>
                                        <w:right w:val="none" w:sz="0" w:space="0" w:color="auto"/>
                                      </w:divBdr>
                                      <w:divsChild>
                                        <w:div w:id="1209488063">
                                          <w:marLeft w:val="0"/>
                                          <w:marRight w:val="0"/>
                                          <w:marTop w:val="0"/>
                                          <w:marBottom w:val="0"/>
                                          <w:divBdr>
                                            <w:top w:val="none" w:sz="0" w:space="0" w:color="auto"/>
                                            <w:left w:val="none" w:sz="0" w:space="0" w:color="auto"/>
                                            <w:bottom w:val="none" w:sz="0" w:space="0" w:color="auto"/>
                                            <w:right w:val="none" w:sz="0" w:space="0" w:color="auto"/>
                                          </w:divBdr>
                                          <w:divsChild>
                                            <w:div w:id="492452736">
                                              <w:marLeft w:val="0"/>
                                              <w:marRight w:val="0"/>
                                              <w:marTop w:val="0"/>
                                              <w:marBottom w:val="0"/>
                                              <w:divBdr>
                                                <w:top w:val="none" w:sz="0" w:space="0" w:color="auto"/>
                                                <w:left w:val="none" w:sz="0" w:space="0" w:color="auto"/>
                                                <w:bottom w:val="none" w:sz="0" w:space="0" w:color="auto"/>
                                                <w:right w:val="none" w:sz="0" w:space="0" w:color="auto"/>
                                              </w:divBdr>
                                            </w:div>
                                            <w:div w:id="9613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28208">
      <w:bodyDiv w:val="1"/>
      <w:marLeft w:val="0"/>
      <w:marRight w:val="0"/>
      <w:marTop w:val="0"/>
      <w:marBottom w:val="0"/>
      <w:divBdr>
        <w:top w:val="none" w:sz="0" w:space="0" w:color="auto"/>
        <w:left w:val="none" w:sz="0" w:space="0" w:color="auto"/>
        <w:bottom w:val="none" w:sz="0" w:space="0" w:color="auto"/>
        <w:right w:val="none" w:sz="0" w:space="0" w:color="auto"/>
      </w:divBdr>
    </w:div>
    <w:div w:id="1354572085">
      <w:bodyDiv w:val="1"/>
      <w:marLeft w:val="0"/>
      <w:marRight w:val="0"/>
      <w:marTop w:val="0"/>
      <w:marBottom w:val="0"/>
      <w:divBdr>
        <w:top w:val="none" w:sz="0" w:space="0" w:color="auto"/>
        <w:left w:val="none" w:sz="0" w:space="0" w:color="auto"/>
        <w:bottom w:val="none" w:sz="0" w:space="0" w:color="auto"/>
        <w:right w:val="none" w:sz="0" w:space="0" w:color="auto"/>
      </w:divBdr>
    </w:div>
    <w:div w:id="1363555465">
      <w:bodyDiv w:val="1"/>
      <w:marLeft w:val="0"/>
      <w:marRight w:val="0"/>
      <w:marTop w:val="0"/>
      <w:marBottom w:val="0"/>
      <w:divBdr>
        <w:top w:val="none" w:sz="0" w:space="0" w:color="auto"/>
        <w:left w:val="none" w:sz="0" w:space="0" w:color="auto"/>
        <w:bottom w:val="none" w:sz="0" w:space="0" w:color="auto"/>
        <w:right w:val="none" w:sz="0" w:space="0" w:color="auto"/>
      </w:divBdr>
    </w:div>
    <w:div w:id="1366755382">
      <w:bodyDiv w:val="1"/>
      <w:marLeft w:val="0"/>
      <w:marRight w:val="0"/>
      <w:marTop w:val="0"/>
      <w:marBottom w:val="0"/>
      <w:divBdr>
        <w:top w:val="none" w:sz="0" w:space="0" w:color="auto"/>
        <w:left w:val="none" w:sz="0" w:space="0" w:color="auto"/>
        <w:bottom w:val="none" w:sz="0" w:space="0" w:color="auto"/>
        <w:right w:val="none" w:sz="0" w:space="0" w:color="auto"/>
      </w:divBdr>
    </w:div>
    <w:div w:id="1373071190">
      <w:bodyDiv w:val="1"/>
      <w:marLeft w:val="0"/>
      <w:marRight w:val="0"/>
      <w:marTop w:val="0"/>
      <w:marBottom w:val="0"/>
      <w:divBdr>
        <w:top w:val="none" w:sz="0" w:space="0" w:color="auto"/>
        <w:left w:val="none" w:sz="0" w:space="0" w:color="auto"/>
        <w:bottom w:val="none" w:sz="0" w:space="0" w:color="auto"/>
        <w:right w:val="none" w:sz="0" w:space="0" w:color="auto"/>
      </w:divBdr>
      <w:divsChild>
        <w:div w:id="1126698127">
          <w:marLeft w:val="0"/>
          <w:marRight w:val="0"/>
          <w:marTop w:val="0"/>
          <w:marBottom w:val="0"/>
          <w:divBdr>
            <w:top w:val="none" w:sz="0" w:space="0" w:color="auto"/>
            <w:left w:val="none" w:sz="0" w:space="0" w:color="auto"/>
            <w:bottom w:val="none" w:sz="0" w:space="0" w:color="auto"/>
            <w:right w:val="none" w:sz="0" w:space="0" w:color="auto"/>
          </w:divBdr>
          <w:divsChild>
            <w:div w:id="44573380">
              <w:marLeft w:val="0"/>
              <w:marRight w:val="0"/>
              <w:marTop w:val="0"/>
              <w:marBottom w:val="0"/>
              <w:divBdr>
                <w:top w:val="none" w:sz="0" w:space="0" w:color="auto"/>
                <w:left w:val="none" w:sz="0" w:space="0" w:color="auto"/>
                <w:bottom w:val="none" w:sz="0" w:space="0" w:color="auto"/>
                <w:right w:val="none" w:sz="0" w:space="0" w:color="auto"/>
              </w:divBdr>
            </w:div>
            <w:div w:id="766081756">
              <w:marLeft w:val="0"/>
              <w:marRight w:val="0"/>
              <w:marTop w:val="0"/>
              <w:marBottom w:val="0"/>
              <w:divBdr>
                <w:top w:val="none" w:sz="0" w:space="0" w:color="auto"/>
                <w:left w:val="none" w:sz="0" w:space="0" w:color="auto"/>
                <w:bottom w:val="none" w:sz="0" w:space="0" w:color="auto"/>
                <w:right w:val="none" w:sz="0" w:space="0" w:color="auto"/>
              </w:divBdr>
            </w:div>
          </w:divsChild>
        </w:div>
        <w:div w:id="1349672403">
          <w:marLeft w:val="0"/>
          <w:marRight w:val="0"/>
          <w:marTop w:val="0"/>
          <w:marBottom w:val="0"/>
          <w:divBdr>
            <w:top w:val="none" w:sz="0" w:space="0" w:color="auto"/>
            <w:left w:val="none" w:sz="0" w:space="0" w:color="auto"/>
            <w:bottom w:val="none" w:sz="0" w:space="0" w:color="auto"/>
            <w:right w:val="none" w:sz="0" w:space="0" w:color="auto"/>
          </w:divBdr>
          <w:divsChild>
            <w:div w:id="1739208500">
              <w:marLeft w:val="0"/>
              <w:marRight w:val="0"/>
              <w:marTop w:val="0"/>
              <w:marBottom w:val="0"/>
              <w:divBdr>
                <w:top w:val="none" w:sz="0" w:space="0" w:color="auto"/>
                <w:left w:val="none" w:sz="0" w:space="0" w:color="auto"/>
                <w:bottom w:val="none" w:sz="0" w:space="0" w:color="auto"/>
                <w:right w:val="none" w:sz="0" w:space="0" w:color="auto"/>
              </w:divBdr>
            </w:div>
          </w:divsChild>
        </w:div>
        <w:div w:id="1930573916">
          <w:marLeft w:val="0"/>
          <w:marRight w:val="0"/>
          <w:marTop w:val="0"/>
          <w:marBottom w:val="0"/>
          <w:divBdr>
            <w:top w:val="none" w:sz="0" w:space="0" w:color="auto"/>
            <w:left w:val="none" w:sz="0" w:space="0" w:color="auto"/>
            <w:bottom w:val="none" w:sz="0" w:space="0" w:color="auto"/>
            <w:right w:val="none" w:sz="0" w:space="0" w:color="auto"/>
          </w:divBdr>
          <w:divsChild>
            <w:div w:id="3961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484">
      <w:bodyDiv w:val="1"/>
      <w:marLeft w:val="0"/>
      <w:marRight w:val="0"/>
      <w:marTop w:val="0"/>
      <w:marBottom w:val="0"/>
      <w:divBdr>
        <w:top w:val="none" w:sz="0" w:space="0" w:color="auto"/>
        <w:left w:val="none" w:sz="0" w:space="0" w:color="auto"/>
        <w:bottom w:val="none" w:sz="0" w:space="0" w:color="auto"/>
        <w:right w:val="none" w:sz="0" w:space="0" w:color="auto"/>
      </w:divBdr>
    </w:div>
    <w:div w:id="1410729516">
      <w:bodyDiv w:val="1"/>
      <w:marLeft w:val="0"/>
      <w:marRight w:val="0"/>
      <w:marTop w:val="0"/>
      <w:marBottom w:val="0"/>
      <w:divBdr>
        <w:top w:val="none" w:sz="0" w:space="0" w:color="auto"/>
        <w:left w:val="none" w:sz="0" w:space="0" w:color="auto"/>
        <w:bottom w:val="none" w:sz="0" w:space="0" w:color="auto"/>
        <w:right w:val="none" w:sz="0" w:space="0" w:color="auto"/>
      </w:divBdr>
    </w:div>
    <w:div w:id="1422870958">
      <w:bodyDiv w:val="1"/>
      <w:marLeft w:val="0"/>
      <w:marRight w:val="0"/>
      <w:marTop w:val="0"/>
      <w:marBottom w:val="0"/>
      <w:divBdr>
        <w:top w:val="none" w:sz="0" w:space="0" w:color="auto"/>
        <w:left w:val="none" w:sz="0" w:space="0" w:color="auto"/>
        <w:bottom w:val="none" w:sz="0" w:space="0" w:color="auto"/>
        <w:right w:val="none" w:sz="0" w:space="0" w:color="auto"/>
      </w:divBdr>
      <w:divsChild>
        <w:div w:id="1761025760">
          <w:marLeft w:val="0"/>
          <w:marRight w:val="0"/>
          <w:marTop w:val="0"/>
          <w:marBottom w:val="0"/>
          <w:divBdr>
            <w:top w:val="none" w:sz="0" w:space="0" w:color="auto"/>
            <w:left w:val="none" w:sz="0" w:space="0" w:color="auto"/>
            <w:bottom w:val="none" w:sz="0" w:space="0" w:color="auto"/>
            <w:right w:val="none" w:sz="0" w:space="0" w:color="auto"/>
          </w:divBdr>
          <w:divsChild>
            <w:div w:id="856040523">
              <w:marLeft w:val="0"/>
              <w:marRight w:val="0"/>
              <w:marTop w:val="105"/>
              <w:marBottom w:val="0"/>
              <w:divBdr>
                <w:top w:val="none" w:sz="0" w:space="0" w:color="auto"/>
                <w:left w:val="none" w:sz="0" w:space="0" w:color="auto"/>
                <w:bottom w:val="none" w:sz="0" w:space="0" w:color="auto"/>
                <w:right w:val="none" w:sz="0" w:space="0" w:color="auto"/>
              </w:divBdr>
              <w:divsChild>
                <w:div w:id="713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2206">
          <w:marLeft w:val="0"/>
          <w:marRight w:val="0"/>
          <w:marTop w:val="0"/>
          <w:marBottom w:val="0"/>
          <w:divBdr>
            <w:top w:val="none" w:sz="0" w:space="0" w:color="auto"/>
            <w:left w:val="none" w:sz="0" w:space="0" w:color="auto"/>
            <w:bottom w:val="none" w:sz="0" w:space="0" w:color="auto"/>
            <w:right w:val="none" w:sz="0" w:space="0" w:color="auto"/>
          </w:divBdr>
          <w:divsChild>
            <w:div w:id="161354776">
              <w:marLeft w:val="0"/>
              <w:marRight w:val="0"/>
              <w:marTop w:val="105"/>
              <w:marBottom w:val="0"/>
              <w:divBdr>
                <w:top w:val="none" w:sz="0" w:space="0" w:color="auto"/>
                <w:left w:val="none" w:sz="0" w:space="0" w:color="auto"/>
                <w:bottom w:val="none" w:sz="0" w:space="0" w:color="auto"/>
                <w:right w:val="none" w:sz="0" w:space="0" w:color="auto"/>
              </w:divBdr>
              <w:divsChild>
                <w:div w:id="4623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5665">
      <w:bodyDiv w:val="1"/>
      <w:marLeft w:val="0"/>
      <w:marRight w:val="0"/>
      <w:marTop w:val="0"/>
      <w:marBottom w:val="0"/>
      <w:divBdr>
        <w:top w:val="none" w:sz="0" w:space="0" w:color="auto"/>
        <w:left w:val="none" w:sz="0" w:space="0" w:color="auto"/>
        <w:bottom w:val="none" w:sz="0" w:space="0" w:color="auto"/>
        <w:right w:val="none" w:sz="0" w:space="0" w:color="auto"/>
      </w:divBdr>
    </w:div>
    <w:div w:id="1442605245">
      <w:bodyDiv w:val="1"/>
      <w:marLeft w:val="0"/>
      <w:marRight w:val="0"/>
      <w:marTop w:val="0"/>
      <w:marBottom w:val="0"/>
      <w:divBdr>
        <w:top w:val="none" w:sz="0" w:space="0" w:color="auto"/>
        <w:left w:val="none" w:sz="0" w:space="0" w:color="auto"/>
        <w:bottom w:val="none" w:sz="0" w:space="0" w:color="auto"/>
        <w:right w:val="none" w:sz="0" w:space="0" w:color="auto"/>
      </w:divBdr>
    </w:div>
    <w:div w:id="1454323171">
      <w:bodyDiv w:val="1"/>
      <w:marLeft w:val="0"/>
      <w:marRight w:val="0"/>
      <w:marTop w:val="0"/>
      <w:marBottom w:val="0"/>
      <w:divBdr>
        <w:top w:val="none" w:sz="0" w:space="0" w:color="auto"/>
        <w:left w:val="none" w:sz="0" w:space="0" w:color="auto"/>
        <w:bottom w:val="none" w:sz="0" w:space="0" w:color="auto"/>
        <w:right w:val="none" w:sz="0" w:space="0" w:color="auto"/>
      </w:divBdr>
    </w:div>
    <w:div w:id="1463303159">
      <w:bodyDiv w:val="1"/>
      <w:marLeft w:val="0"/>
      <w:marRight w:val="0"/>
      <w:marTop w:val="0"/>
      <w:marBottom w:val="0"/>
      <w:divBdr>
        <w:top w:val="none" w:sz="0" w:space="0" w:color="auto"/>
        <w:left w:val="none" w:sz="0" w:space="0" w:color="auto"/>
        <w:bottom w:val="none" w:sz="0" w:space="0" w:color="auto"/>
        <w:right w:val="none" w:sz="0" w:space="0" w:color="auto"/>
      </w:divBdr>
    </w:div>
    <w:div w:id="1477648480">
      <w:bodyDiv w:val="1"/>
      <w:marLeft w:val="0"/>
      <w:marRight w:val="0"/>
      <w:marTop w:val="0"/>
      <w:marBottom w:val="0"/>
      <w:divBdr>
        <w:top w:val="none" w:sz="0" w:space="0" w:color="auto"/>
        <w:left w:val="none" w:sz="0" w:space="0" w:color="auto"/>
        <w:bottom w:val="none" w:sz="0" w:space="0" w:color="auto"/>
        <w:right w:val="none" w:sz="0" w:space="0" w:color="auto"/>
      </w:divBdr>
      <w:divsChild>
        <w:div w:id="1608267705">
          <w:marLeft w:val="0"/>
          <w:marRight w:val="0"/>
          <w:marTop w:val="0"/>
          <w:marBottom w:val="0"/>
          <w:divBdr>
            <w:top w:val="none" w:sz="0" w:space="0" w:color="auto"/>
            <w:left w:val="none" w:sz="0" w:space="0" w:color="auto"/>
            <w:bottom w:val="none" w:sz="0" w:space="0" w:color="auto"/>
            <w:right w:val="none" w:sz="0" w:space="0" w:color="auto"/>
          </w:divBdr>
          <w:divsChild>
            <w:div w:id="185563050">
              <w:marLeft w:val="0"/>
              <w:marRight w:val="0"/>
              <w:marTop w:val="0"/>
              <w:marBottom w:val="0"/>
              <w:divBdr>
                <w:top w:val="none" w:sz="0" w:space="0" w:color="auto"/>
                <w:left w:val="none" w:sz="0" w:space="0" w:color="auto"/>
                <w:bottom w:val="none" w:sz="0" w:space="0" w:color="auto"/>
                <w:right w:val="none" w:sz="0" w:space="0" w:color="auto"/>
              </w:divBdr>
              <w:divsChild>
                <w:div w:id="994526488">
                  <w:marLeft w:val="0"/>
                  <w:marRight w:val="0"/>
                  <w:marTop w:val="0"/>
                  <w:marBottom w:val="0"/>
                  <w:divBdr>
                    <w:top w:val="none" w:sz="0" w:space="0" w:color="auto"/>
                    <w:left w:val="none" w:sz="0" w:space="0" w:color="auto"/>
                    <w:bottom w:val="none" w:sz="0" w:space="0" w:color="auto"/>
                    <w:right w:val="none" w:sz="0" w:space="0" w:color="auto"/>
                  </w:divBdr>
                </w:div>
                <w:div w:id="1441224465">
                  <w:marLeft w:val="0"/>
                  <w:marRight w:val="0"/>
                  <w:marTop w:val="0"/>
                  <w:marBottom w:val="0"/>
                  <w:divBdr>
                    <w:top w:val="none" w:sz="0" w:space="0" w:color="auto"/>
                    <w:left w:val="none" w:sz="0" w:space="0" w:color="auto"/>
                    <w:bottom w:val="none" w:sz="0" w:space="0" w:color="auto"/>
                    <w:right w:val="none" w:sz="0" w:space="0" w:color="auto"/>
                  </w:divBdr>
                </w:div>
                <w:div w:id="15284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5646">
      <w:bodyDiv w:val="1"/>
      <w:marLeft w:val="0"/>
      <w:marRight w:val="0"/>
      <w:marTop w:val="0"/>
      <w:marBottom w:val="0"/>
      <w:divBdr>
        <w:top w:val="none" w:sz="0" w:space="0" w:color="auto"/>
        <w:left w:val="none" w:sz="0" w:space="0" w:color="auto"/>
        <w:bottom w:val="none" w:sz="0" w:space="0" w:color="auto"/>
        <w:right w:val="none" w:sz="0" w:space="0" w:color="auto"/>
      </w:divBdr>
    </w:div>
    <w:div w:id="1480150972">
      <w:bodyDiv w:val="1"/>
      <w:marLeft w:val="0"/>
      <w:marRight w:val="0"/>
      <w:marTop w:val="0"/>
      <w:marBottom w:val="0"/>
      <w:divBdr>
        <w:top w:val="none" w:sz="0" w:space="0" w:color="auto"/>
        <w:left w:val="none" w:sz="0" w:space="0" w:color="auto"/>
        <w:bottom w:val="none" w:sz="0" w:space="0" w:color="auto"/>
        <w:right w:val="none" w:sz="0" w:space="0" w:color="auto"/>
      </w:divBdr>
    </w:div>
    <w:div w:id="1485048683">
      <w:bodyDiv w:val="1"/>
      <w:marLeft w:val="0"/>
      <w:marRight w:val="0"/>
      <w:marTop w:val="0"/>
      <w:marBottom w:val="0"/>
      <w:divBdr>
        <w:top w:val="none" w:sz="0" w:space="0" w:color="auto"/>
        <w:left w:val="none" w:sz="0" w:space="0" w:color="auto"/>
        <w:bottom w:val="none" w:sz="0" w:space="0" w:color="auto"/>
        <w:right w:val="none" w:sz="0" w:space="0" w:color="auto"/>
      </w:divBdr>
    </w:div>
    <w:div w:id="1508056484">
      <w:bodyDiv w:val="1"/>
      <w:marLeft w:val="0"/>
      <w:marRight w:val="0"/>
      <w:marTop w:val="0"/>
      <w:marBottom w:val="0"/>
      <w:divBdr>
        <w:top w:val="none" w:sz="0" w:space="0" w:color="auto"/>
        <w:left w:val="none" w:sz="0" w:space="0" w:color="auto"/>
        <w:bottom w:val="none" w:sz="0" w:space="0" w:color="auto"/>
        <w:right w:val="none" w:sz="0" w:space="0" w:color="auto"/>
      </w:divBdr>
    </w:div>
    <w:div w:id="1511602384">
      <w:bodyDiv w:val="1"/>
      <w:marLeft w:val="0"/>
      <w:marRight w:val="0"/>
      <w:marTop w:val="0"/>
      <w:marBottom w:val="0"/>
      <w:divBdr>
        <w:top w:val="none" w:sz="0" w:space="0" w:color="auto"/>
        <w:left w:val="none" w:sz="0" w:space="0" w:color="auto"/>
        <w:bottom w:val="none" w:sz="0" w:space="0" w:color="auto"/>
        <w:right w:val="none" w:sz="0" w:space="0" w:color="auto"/>
      </w:divBdr>
    </w:div>
    <w:div w:id="1521091064">
      <w:bodyDiv w:val="1"/>
      <w:marLeft w:val="0"/>
      <w:marRight w:val="0"/>
      <w:marTop w:val="0"/>
      <w:marBottom w:val="0"/>
      <w:divBdr>
        <w:top w:val="none" w:sz="0" w:space="0" w:color="auto"/>
        <w:left w:val="none" w:sz="0" w:space="0" w:color="auto"/>
        <w:bottom w:val="none" w:sz="0" w:space="0" w:color="auto"/>
        <w:right w:val="none" w:sz="0" w:space="0" w:color="auto"/>
      </w:divBdr>
    </w:div>
    <w:div w:id="1525510284">
      <w:bodyDiv w:val="1"/>
      <w:marLeft w:val="0"/>
      <w:marRight w:val="0"/>
      <w:marTop w:val="0"/>
      <w:marBottom w:val="0"/>
      <w:divBdr>
        <w:top w:val="none" w:sz="0" w:space="0" w:color="auto"/>
        <w:left w:val="none" w:sz="0" w:space="0" w:color="auto"/>
        <w:bottom w:val="none" w:sz="0" w:space="0" w:color="auto"/>
        <w:right w:val="none" w:sz="0" w:space="0" w:color="auto"/>
      </w:divBdr>
      <w:divsChild>
        <w:div w:id="1778793075">
          <w:marLeft w:val="336"/>
          <w:marRight w:val="0"/>
          <w:marTop w:val="120"/>
          <w:marBottom w:val="312"/>
          <w:divBdr>
            <w:top w:val="none" w:sz="0" w:space="0" w:color="auto"/>
            <w:left w:val="none" w:sz="0" w:space="0" w:color="auto"/>
            <w:bottom w:val="none" w:sz="0" w:space="0" w:color="auto"/>
            <w:right w:val="none" w:sz="0" w:space="0" w:color="auto"/>
          </w:divBdr>
          <w:divsChild>
            <w:div w:id="17842269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42598545">
      <w:bodyDiv w:val="1"/>
      <w:marLeft w:val="0"/>
      <w:marRight w:val="0"/>
      <w:marTop w:val="0"/>
      <w:marBottom w:val="0"/>
      <w:divBdr>
        <w:top w:val="none" w:sz="0" w:space="0" w:color="auto"/>
        <w:left w:val="none" w:sz="0" w:space="0" w:color="auto"/>
        <w:bottom w:val="none" w:sz="0" w:space="0" w:color="auto"/>
        <w:right w:val="none" w:sz="0" w:space="0" w:color="auto"/>
      </w:divBdr>
    </w:div>
    <w:div w:id="1552881027">
      <w:bodyDiv w:val="1"/>
      <w:marLeft w:val="0"/>
      <w:marRight w:val="0"/>
      <w:marTop w:val="0"/>
      <w:marBottom w:val="0"/>
      <w:divBdr>
        <w:top w:val="none" w:sz="0" w:space="0" w:color="auto"/>
        <w:left w:val="none" w:sz="0" w:space="0" w:color="auto"/>
        <w:bottom w:val="none" w:sz="0" w:space="0" w:color="auto"/>
        <w:right w:val="none" w:sz="0" w:space="0" w:color="auto"/>
      </w:divBdr>
    </w:div>
    <w:div w:id="1553611656">
      <w:bodyDiv w:val="1"/>
      <w:marLeft w:val="0"/>
      <w:marRight w:val="0"/>
      <w:marTop w:val="0"/>
      <w:marBottom w:val="0"/>
      <w:divBdr>
        <w:top w:val="none" w:sz="0" w:space="0" w:color="auto"/>
        <w:left w:val="none" w:sz="0" w:space="0" w:color="auto"/>
        <w:bottom w:val="none" w:sz="0" w:space="0" w:color="auto"/>
        <w:right w:val="none" w:sz="0" w:space="0" w:color="auto"/>
      </w:divBdr>
    </w:div>
    <w:div w:id="1555773966">
      <w:bodyDiv w:val="1"/>
      <w:marLeft w:val="0"/>
      <w:marRight w:val="0"/>
      <w:marTop w:val="0"/>
      <w:marBottom w:val="0"/>
      <w:divBdr>
        <w:top w:val="none" w:sz="0" w:space="0" w:color="auto"/>
        <w:left w:val="none" w:sz="0" w:space="0" w:color="auto"/>
        <w:bottom w:val="none" w:sz="0" w:space="0" w:color="auto"/>
        <w:right w:val="none" w:sz="0" w:space="0" w:color="auto"/>
      </w:divBdr>
    </w:div>
    <w:div w:id="1580286333">
      <w:bodyDiv w:val="1"/>
      <w:marLeft w:val="0"/>
      <w:marRight w:val="0"/>
      <w:marTop w:val="0"/>
      <w:marBottom w:val="0"/>
      <w:divBdr>
        <w:top w:val="none" w:sz="0" w:space="0" w:color="auto"/>
        <w:left w:val="none" w:sz="0" w:space="0" w:color="auto"/>
        <w:bottom w:val="none" w:sz="0" w:space="0" w:color="auto"/>
        <w:right w:val="none" w:sz="0" w:space="0" w:color="auto"/>
      </w:divBdr>
      <w:divsChild>
        <w:div w:id="290095099">
          <w:marLeft w:val="0"/>
          <w:marRight w:val="0"/>
          <w:marTop w:val="0"/>
          <w:marBottom w:val="0"/>
          <w:divBdr>
            <w:top w:val="none" w:sz="0" w:space="0" w:color="auto"/>
            <w:left w:val="none" w:sz="0" w:space="0" w:color="auto"/>
            <w:bottom w:val="none" w:sz="0" w:space="0" w:color="auto"/>
            <w:right w:val="none" w:sz="0" w:space="0" w:color="auto"/>
          </w:divBdr>
          <w:divsChild>
            <w:div w:id="1519662207">
              <w:marLeft w:val="0"/>
              <w:marRight w:val="0"/>
              <w:marTop w:val="0"/>
              <w:marBottom w:val="0"/>
              <w:divBdr>
                <w:top w:val="none" w:sz="0" w:space="0" w:color="auto"/>
                <w:left w:val="none" w:sz="0" w:space="0" w:color="auto"/>
                <w:bottom w:val="none" w:sz="0" w:space="0" w:color="auto"/>
                <w:right w:val="none" w:sz="0" w:space="0" w:color="auto"/>
              </w:divBdr>
              <w:divsChild>
                <w:div w:id="1458143076">
                  <w:marLeft w:val="0"/>
                  <w:marRight w:val="0"/>
                  <w:marTop w:val="0"/>
                  <w:marBottom w:val="0"/>
                  <w:divBdr>
                    <w:top w:val="none" w:sz="0" w:space="0" w:color="auto"/>
                    <w:left w:val="none" w:sz="0" w:space="0" w:color="auto"/>
                    <w:bottom w:val="none" w:sz="0" w:space="0" w:color="auto"/>
                    <w:right w:val="none" w:sz="0" w:space="0" w:color="auto"/>
                  </w:divBdr>
                  <w:divsChild>
                    <w:div w:id="232157561">
                      <w:marLeft w:val="0"/>
                      <w:marRight w:val="0"/>
                      <w:marTop w:val="0"/>
                      <w:marBottom w:val="0"/>
                      <w:divBdr>
                        <w:top w:val="none" w:sz="0" w:space="0" w:color="auto"/>
                        <w:left w:val="none" w:sz="0" w:space="0" w:color="auto"/>
                        <w:bottom w:val="none" w:sz="0" w:space="0" w:color="auto"/>
                        <w:right w:val="none" w:sz="0" w:space="0" w:color="auto"/>
                      </w:divBdr>
                      <w:divsChild>
                        <w:div w:id="233324088">
                          <w:marLeft w:val="0"/>
                          <w:marRight w:val="0"/>
                          <w:marTop w:val="0"/>
                          <w:marBottom w:val="0"/>
                          <w:divBdr>
                            <w:top w:val="none" w:sz="0" w:space="0" w:color="auto"/>
                            <w:left w:val="none" w:sz="0" w:space="0" w:color="auto"/>
                            <w:bottom w:val="none" w:sz="0" w:space="0" w:color="auto"/>
                            <w:right w:val="none" w:sz="0" w:space="0" w:color="auto"/>
                          </w:divBdr>
                          <w:divsChild>
                            <w:div w:id="1307275416">
                              <w:marLeft w:val="0"/>
                              <w:marRight w:val="0"/>
                              <w:marTop w:val="0"/>
                              <w:marBottom w:val="0"/>
                              <w:divBdr>
                                <w:top w:val="none" w:sz="0" w:space="0" w:color="auto"/>
                                <w:left w:val="none" w:sz="0" w:space="0" w:color="auto"/>
                                <w:bottom w:val="none" w:sz="0" w:space="0" w:color="auto"/>
                                <w:right w:val="none" w:sz="0" w:space="0" w:color="auto"/>
                              </w:divBdr>
                              <w:divsChild>
                                <w:div w:id="937250643">
                                  <w:marLeft w:val="0"/>
                                  <w:marRight w:val="0"/>
                                  <w:marTop w:val="0"/>
                                  <w:marBottom w:val="0"/>
                                  <w:divBdr>
                                    <w:top w:val="none" w:sz="0" w:space="0" w:color="auto"/>
                                    <w:left w:val="none" w:sz="0" w:space="0" w:color="auto"/>
                                    <w:bottom w:val="none" w:sz="0" w:space="0" w:color="auto"/>
                                    <w:right w:val="none" w:sz="0" w:space="0" w:color="auto"/>
                                  </w:divBdr>
                                  <w:divsChild>
                                    <w:div w:id="2059469375">
                                      <w:marLeft w:val="0"/>
                                      <w:marRight w:val="0"/>
                                      <w:marTop w:val="0"/>
                                      <w:marBottom w:val="0"/>
                                      <w:divBdr>
                                        <w:top w:val="none" w:sz="0" w:space="0" w:color="auto"/>
                                        <w:left w:val="none" w:sz="0" w:space="0" w:color="auto"/>
                                        <w:bottom w:val="none" w:sz="0" w:space="0" w:color="auto"/>
                                        <w:right w:val="none" w:sz="0" w:space="0" w:color="auto"/>
                                      </w:divBdr>
                                      <w:divsChild>
                                        <w:div w:id="987516596">
                                          <w:marLeft w:val="0"/>
                                          <w:marRight w:val="0"/>
                                          <w:marTop w:val="0"/>
                                          <w:marBottom w:val="0"/>
                                          <w:divBdr>
                                            <w:top w:val="none" w:sz="0" w:space="0" w:color="auto"/>
                                            <w:left w:val="none" w:sz="0" w:space="0" w:color="auto"/>
                                            <w:bottom w:val="none" w:sz="0" w:space="0" w:color="auto"/>
                                            <w:right w:val="none" w:sz="0" w:space="0" w:color="auto"/>
                                          </w:divBdr>
                                          <w:divsChild>
                                            <w:div w:id="570653573">
                                              <w:marLeft w:val="0"/>
                                              <w:marRight w:val="0"/>
                                              <w:marTop w:val="0"/>
                                              <w:marBottom w:val="0"/>
                                              <w:divBdr>
                                                <w:top w:val="none" w:sz="0" w:space="0" w:color="auto"/>
                                                <w:left w:val="none" w:sz="0" w:space="0" w:color="auto"/>
                                                <w:bottom w:val="none" w:sz="0" w:space="0" w:color="auto"/>
                                                <w:right w:val="none" w:sz="0" w:space="0" w:color="auto"/>
                                              </w:divBdr>
                                              <w:divsChild>
                                                <w:div w:id="1687947946">
                                                  <w:marLeft w:val="0"/>
                                                  <w:marRight w:val="0"/>
                                                  <w:marTop w:val="0"/>
                                                  <w:marBottom w:val="0"/>
                                                  <w:divBdr>
                                                    <w:top w:val="none" w:sz="0" w:space="0" w:color="auto"/>
                                                    <w:left w:val="none" w:sz="0" w:space="0" w:color="auto"/>
                                                    <w:bottom w:val="none" w:sz="0" w:space="0" w:color="auto"/>
                                                    <w:right w:val="none" w:sz="0" w:space="0" w:color="auto"/>
                                                  </w:divBdr>
                                                  <w:divsChild>
                                                    <w:div w:id="347298718">
                                                      <w:marLeft w:val="0"/>
                                                      <w:marRight w:val="0"/>
                                                      <w:marTop w:val="0"/>
                                                      <w:marBottom w:val="0"/>
                                                      <w:divBdr>
                                                        <w:top w:val="none" w:sz="0" w:space="0" w:color="auto"/>
                                                        <w:left w:val="none" w:sz="0" w:space="0" w:color="auto"/>
                                                        <w:bottom w:val="none" w:sz="0" w:space="0" w:color="auto"/>
                                                        <w:right w:val="none" w:sz="0" w:space="0" w:color="auto"/>
                                                      </w:divBdr>
                                                      <w:divsChild>
                                                        <w:div w:id="1077826953">
                                                          <w:marLeft w:val="0"/>
                                                          <w:marRight w:val="0"/>
                                                          <w:marTop w:val="0"/>
                                                          <w:marBottom w:val="0"/>
                                                          <w:divBdr>
                                                            <w:top w:val="none" w:sz="0" w:space="0" w:color="auto"/>
                                                            <w:left w:val="none" w:sz="0" w:space="0" w:color="auto"/>
                                                            <w:bottom w:val="none" w:sz="0" w:space="0" w:color="auto"/>
                                                            <w:right w:val="none" w:sz="0" w:space="0" w:color="auto"/>
                                                          </w:divBdr>
                                                          <w:divsChild>
                                                            <w:div w:id="1660841643">
                                                              <w:marLeft w:val="0"/>
                                                              <w:marRight w:val="0"/>
                                                              <w:marTop w:val="0"/>
                                                              <w:marBottom w:val="0"/>
                                                              <w:divBdr>
                                                                <w:top w:val="none" w:sz="0" w:space="0" w:color="auto"/>
                                                                <w:left w:val="none" w:sz="0" w:space="0" w:color="auto"/>
                                                                <w:bottom w:val="none" w:sz="0" w:space="0" w:color="auto"/>
                                                                <w:right w:val="none" w:sz="0" w:space="0" w:color="auto"/>
                                                              </w:divBdr>
                                                              <w:divsChild>
                                                                <w:div w:id="1206214308">
                                                                  <w:marLeft w:val="0"/>
                                                                  <w:marRight w:val="0"/>
                                                                  <w:marTop w:val="0"/>
                                                                  <w:marBottom w:val="0"/>
                                                                  <w:divBdr>
                                                                    <w:top w:val="none" w:sz="0" w:space="0" w:color="auto"/>
                                                                    <w:left w:val="none" w:sz="0" w:space="0" w:color="auto"/>
                                                                    <w:bottom w:val="none" w:sz="0" w:space="0" w:color="auto"/>
                                                                    <w:right w:val="none" w:sz="0" w:space="0" w:color="auto"/>
                                                                  </w:divBdr>
                                                                  <w:divsChild>
                                                                    <w:div w:id="1186291360">
                                                                      <w:marLeft w:val="0"/>
                                                                      <w:marRight w:val="0"/>
                                                                      <w:marTop w:val="0"/>
                                                                      <w:marBottom w:val="0"/>
                                                                      <w:divBdr>
                                                                        <w:top w:val="none" w:sz="0" w:space="0" w:color="auto"/>
                                                                        <w:left w:val="none" w:sz="0" w:space="0" w:color="auto"/>
                                                                        <w:bottom w:val="none" w:sz="0" w:space="0" w:color="auto"/>
                                                                        <w:right w:val="none" w:sz="0" w:space="0" w:color="auto"/>
                                                                      </w:divBdr>
                                                                      <w:divsChild>
                                                                        <w:div w:id="53285210">
                                                                          <w:marLeft w:val="0"/>
                                                                          <w:marRight w:val="0"/>
                                                                          <w:marTop w:val="0"/>
                                                                          <w:marBottom w:val="0"/>
                                                                          <w:divBdr>
                                                                            <w:top w:val="none" w:sz="0" w:space="0" w:color="auto"/>
                                                                            <w:left w:val="none" w:sz="0" w:space="0" w:color="auto"/>
                                                                            <w:bottom w:val="none" w:sz="0" w:space="0" w:color="auto"/>
                                                                            <w:right w:val="none" w:sz="0" w:space="0" w:color="auto"/>
                                                                          </w:divBdr>
                                                                          <w:divsChild>
                                                                            <w:div w:id="421219383">
                                                                              <w:marLeft w:val="0"/>
                                                                              <w:marRight w:val="0"/>
                                                                              <w:marTop w:val="0"/>
                                                                              <w:marBottom w:val="0"/>
                                                                              <w:divBdr>
                                                                                <w:top w:val="none" w:sz="0" w:space="0" w:color="auto"/>
                                                                                <w:left w:val="none" w:sz="0" w:space="0" w:color="auto"/>
                                                                                <w:bottom w:val="none" w:sz="0" w:space="0" w:color="auto"/>
                                                                                <w:right w:val="none" w:sz="0" w:space="0" w:color="auto"/>
                                                                              </w:divBdr>
                                                                              <w:divsChild>
                                                                                <w:div w:id="209071802">
                                                                                  <w:marLeft w:val="0"/>
                                                                                  <w:marRight w:val="0"/>
                                                                                  <w:marTop w:val="0"/>
                                                                                  <w:marBottom w:val="0"/>
                                                                                  <w:divBdr>
                                                                                    <w:top w:val="none" w:sz="0" w:space="0" w:color="auto"/>
                                                                                    <w:left w:val="none" w:sz="0" w:space="0" w:color="auto"/>
                                                                                    <w:bottom w:val="none" w:sz="0" w:space="0" w:color="auto"/>
                                                                                    <w:right w:val="none" w:sz="0" w:space="0" w:color="auto"/>
                                                                                  </w:divBdr>
                                                                                  <w:divsChild>
                                                                                    <w:div w:id="2043746886">
                                                                                      <w:marLeft w:val="0"/>
                                                                                      <w:marRight w:val="0"/>
                                                                                      <w:marTop w:val="0"/>
                                                                                      <w:marBottom w:val="0"/>
                                                                                      <w:divBdr>
                                                                                        <w:top w:val="none" w:sz="0" w:space="0" w:color="auto"/>
                                                                                        <w:left w:val="none" w:sz="0" w:space="0" w:color="auto"/>
                                                                                        <w:bottom w:val="none" w:sz="0" w:space="0" w:color="auto"/>
                                                                                        <w:right w:val="none" w:sz="0" w:space="0" w:color="auto"/>
                                                                                      </w:divBdr>
                                                                                      <w:divsChild>
                                                                                        <w:div w:id="997459855">
                                                                                          <w:marLeft w:val="0"/>
                                                                                          <w:marRight w:val="0"/>
                                                                                          <w:marTop w:val="0"/>
                                                                                          <w:marBottom w:val="0"/>
                                                                                          <w:divBdr>
                                                                                            <w:top w:val="none" w:sz="0" w:space="0" w:color="auto"/>
                                                                                            <w:left w:val="none" w:sz="0" w:space="0" w:color="auto"/>
                                                                                            <w:bottom w:val="none" w:sz="0" w:space="0" w:color="auto"/>
                                                                                            <w:right w:val="none" w:sz="0" w:space="0" w:color="auto"/>
                                                                                          </w:divBdr>
                                                                                          <w:divsChild>
                                                                                            <w:div w:id="792092226">
                                                                                              <w:marLeft w:val="0"/>
                                                                                              <w:marRight w:val="0"/>
                                                                                              <w:marTop w:val="0"/>
                                                                                              <w:marBottom w:val="0"/>
                                                                                              <w:divBdr>
                                                                                                <w:top w:val="none" w:sz="0" w:space="0" w:color="auto"/>
                                                                                                <w:left w:val="none" w:sz="0" w:space="0" w:color="auto"/>
                                                                                                <w:bottom w:val="none" w:sz="0" w:space="0" w:color="auto"/>
                                                                                                <w:right w:val="none" w:sz="0" w:space="0" w:color="auto"/>
                                                                                              </w:divBdr>
                                                                                              <w:divsChild>
                                                                                                <w:div w:id="1266420097">
                                                                                                  <w:marLeft w:val="0"/>
                                                                                                  <w:marRight w:val="0"/>
                                                                                                  <w:marTop w:val="0"/>
                                                                                                  <w:marBottom w:val="0"/>
                                                                                                  <w:divBdr>
                                                                                                    <w:top w:val="none" w:sz="0" w:space="0" w:color="auto"/>
                                                                                                    <w:left w:val="none" w:sz="0" w:space="0" w:color="auto"/>
                                                                                                    <w:bottom w:val="none" w:sz="0" w:space="0" w:color="auto"/>
                                                                                                    <w:right w:val="none" w:sz="0" w:space="0" w:color="auto"/>
                                                                                                  </w:divBdr>
                                                                                                  <w:divsChild>
                                                                                                    <w:div w:id="12610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526743">
      <w:bodyDiv w:val="1"/>
      <w:marLeft w:val="0"/>
      <w:marRight w:val="0"/>
      <w:marTop w:val="0"/>
      <w:marBottom w:val="0"/>
      <w:divBdr>
        <w:top w:val="none" w:sz="0" w:space="0" w:color="auto"/>
        <w:left w:val="none" w:sz="0" w:space="0" w:color="auto"/>
        <w:bottom w:val="none" w:sz="0" w:space="0" w:color="auto"/>
        <w:right w:val="none" w:sz="0" w:space="0" w:color="auto"/>
      </w:divBdr>
    </w:div>
    <w:div w:id="1627154575">
      <w:bodyDiv w:val="1"/>
      <w:marLeft w:val="0"/>
      <w:marRight w:val="0"/>
      <w:marTop w:val="0"/>
      <w:marBottom w:val="0"/>
      <w:divBdr>
        <w:top w:val="none" w:sz="0" w:space="0" w:color="auto"/>
        <w:left w:val="none" w:sz="0" w:space="0" w:color="auto"/>
        <w:bottom w:val="none" w:sz="0" w:space="0" w:color="auto"/>
        <w:right w:val="none" w:sz="0" w:space="0" w:color="auto"/>
      </w:divBdr>
    </w:div>
    <w:div w:id="1629124480">
      <w:bodyDiv w:val="1"/>
      <w:marLeft w:val="0"/>
      <w:marRight w:val="0"/>
      <w:marTop w:val="0"/>
      <w:marBottom w:val="0"/>
      <w:divBdr>
        <w:top w:val="none" w:sz="0" w:space="0" w:color="auto"/>
        <w:left w:val="none" w:sz="0" w:space="0" w:color="auto"/>
        <w:bottom w:val="none" w:sz="0" w:space="0" w:color="auto"/>
        <w:right w:val="none" w:sz="0" w:space="0" w:color="auto"/>
      </w:divBdr>
    </w:div>
    <w:div w:id="1639412097">
      <w:bodyDiv w:val="1"/>
      <w:marLeft w:val="0"/>
      <w:marRight w:val="0"/>
      <w:marTop w:val="0"/>
      <w:marBottom w:val="0"/>
      <w:divBdr>
        <w:top w:val="none" w:sz="0" w:space="0" w:color="auto"/>
        <w:left w:val="none" w:sz="0" w:space="0" w:color="auto"/>
        <w:bottom w:val="none" w:sz="0" w:space="0" w:color="auto"/>
        <w:right w:val="none" w:sz="0" w:space="0" w:color="auto"/>
      </w:divBdr>
      <w:divsChild>
        <w:div w:id="198516441">
          <w:marLeft w:val="0"/>
          <w:marRight w:val="0"/>
          <w:marTop w:val="0"/>
          <w:marBottom w:val="0"/>
          <w:divBdr>
            <w:top w:val="none" w:sz="0" w:space="0" w:color="auto"/>
            <w:left w:val="none" w:sz="0" w:space="0" w:color="auto"/>
            <w:bottom w:val="none" w:sz="0" w:space="0" w:color="auto"/>
            <w:right w:val="none" w:sz="0" w:space="0" w:color="auto"/>
          </w:divBdr>
          <w:divsChild>
            <w:div w:id="1066103222">
              <w:marLeft w:val="0"/>
              <w:marRight w:val="0"/>
              <w:marTop w:val="0"/>
              <w:marBottom w:val="0"/>
              <w:divBdr>
                <w:top w:val="none" w:sz="0" w:space="0" w:color="auto"/>
                <w:left w:val="none" w:sz="0" w:space="0" w:color="auto"/>
                <w:bottom w:val="none" w:sz="0" w:space="0" w:color="auto"/>
                <w:right w:val="none" w:sz="0" w:space="0" w:color="auto"/>
              </w:divBdr>
              <w:divsChild>
                <w:div w:id="76365466">
                  <w:marLeft w:val="0"/>
                  <w:marRight w:val="0"/>
                  <w:marTop w:val="0"/>
                  <w:marBottom w:val="0"/>
                  <w:divBdr>
                    <w:top w:val="none" w:sz="0" w:space="0" w:color="auto"/>
                    <w:left w:val="none" w:sz="0" w:space="0" w:color="auto"/>
                    <w:bottom w:val="none" w:sz="0" w:space="0" w:color="auto"/>
                    <w:right w:val="none" w:sz="0" w:space="0" w:color="auto"/>
                  </w:divBdr>
                  <w:divsChild>
                    <w:div w:id="633369711">
                      <w:marLeft w:val="0"/>
                      <w:marRight w:val="0"/>
                      <w:marTop w:val="0"/>
                      <w:marBottom w:val="0"/>
                      <w:divBdr>
                        <w:top w:val="none" w:sz="0" w:space="0" w:color="auto"/>
                        <w:left w:val="none" w:sz="0" w:space="0" w:color="auto"/>
                        <w:bottom w:val="none" w:sz="0" w:space="0" w:color="auto"/>
                        <w:right w:val="none" w:sz="0" w:space="0" w:color="auto"/>
                      </w:divBdr>
                      <w:divsChild>
                        <w:div w:id="1536112204">
                          <w:marLeft w:val="0"/>
                          <w:marRight w:val="0"/>
                          <w:marTop w:val="0"/>
                          <w:marBottom w:val="0"/>
                          <w:divBdr>
                            <w:top w:val="none" w:sz="0" w:space="0" w:color="auto"/>
                            <w:left w:val="none" w:sz="0" w:space="0" w:color="auto"/>
                            <w:bottom w:val="none" w:sz="0" w:space="0" w:color="auto"/>
                            <w:right w:val="none" w:sz="0" w:space="0" w:color="auto"/>
                          </w:divBdr>
                          <w:divsChild>
                            <w:div w:id="340207708">
                              <w:marLeft w:val="0"/>
                              <w:marRight w:val="0"/>
                              <w:marTop w:val="0"/>
                              <w:marBottom w:val="0"/>
                              <w:divBdr>
                                <w:top w:val="none" w:sz="0" w:space="0" w:color="auto"/>
                                <w:left w:val="none" w:sz="0" w:space="0" w:color="auto"/>
                                <w:bottom w:val="none" w:sz="0" w:space="0" w:color="auto"/>
                                <w:right w:val="none" w:sz="0" w:space="0" w:color="auto"/>
                              </w:divBdr>
                              <w:divsChild>
                                <w:div w:id="2129815880">
                                  <w:marLeft w:val="0"/>
                                  <w:marRight w:val="0"/>
                                  <w:marTop w:val="0"/>
                                  <w:marBottom w:val="0"/>
                                  <w:divBdr>
                                    <w:top w:val="none" w:sz="0" w:space="0" w:color="auto"/>
                                    <w:left w:val="none" w:sz="0" w:space="0" w:color="auto"/>
                                    <w:bottom w:val="none" w:sz="0" w:space="0" w:color="auto"/>
                                    <w:right w:val="none" w:sz="0" w:space="0" w:color="auto"/>
                                  </w:divBdr>
                                  <w:divsChild>
                                    <w:div w:id="1333409210">
                                      <w:marLeft w:val="0"/>
                                      <w:marRight w:val="0"/>
                                      <w:marTop w:val="0"/>
                                      <w:marBottom w:val="0"/>
                                      <w:divBdr>
                                        <w:top w:val="none" w:sz="0" w:space="0" w:color="auto"/>
                                        <w:left w:val="none" w:sz="0" w:space="0" w:color="auto"/>
                                        <w:bottom w:val="none" w:sz="0" w:space="0" w:color="auto"/>
                                        <w:right w:val="none" w:sz="0" w:space="0" w:color="auto"/>
                                      </w:divBdr>
                                    </w:div>
                                    <w:div w:id="8036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061">
                          <w:marLeft w:val="0"/>
                          <w:marRight w:val="0"/>
                          <w:marTop w:val="0"/>
                          <w:marBottom w:val="0"/>
                          <w:divBdr>
                            <w:top w:val="none" w:sz="0" w:space="0" w:color="auto"/>
                            <w:left w:val="none" w:sz="0" w:space="0" w:color="auto"/>
                            <w:bottom w:val="none" w:sz="0" w:space="0" w:color="auto"/>
                            <w:right w:val="none" w:sz="0" w:space="0" w:color="auto"/>
                          </w:divBdr>
                          <w:divsChild>
                            <w:div w:id="358241638">
                              <w:marLeft w:val="0"/>
                              <w:marRight w:val="0"/>
                              <w:marTop w:val="0"/>
                              <w:marBottom w:val="0"/>
                              <w:divBdr>
                                <w:top w:val="none" w:sz="0" w:space="0" w:color="auto"/>
                                <w:left w:val="none" w:sz="0" w:space="0" w:color="auto"/>
                                <w:bottom w:val="none" w:sz="0" w:space="0" w:color="auto"/>
                                <w:right w:val="none" w:sz="0" w:space="0" w:color="auto"/>
                              </w:divBdr>
                            </w:div>
                            <w:div w:id="489255427">
                              <w:marLeft w:val="0"/>
                              <w:marRight w:val="0"/>
                              <w:marTop w:val="0"/>
                              <w:marBottom w:val="0"/>
                              <w:divBdr>
                                <w:top w:val="none" w:sz="0" w:space="0" w:color="auto"/>
                                <w:left w:val="none" w:sz="0" w:space="0" w:color="auto"/>
                                <w:bottom w:val="none" w:sz="0" w:space="0" w:color="auto"/>
                                <w:right w:val="none" w:sz="0" w:space="0" w:color="auto"/>
                              </w:divBdr>
                              <w:divsChild>
                                <w:div w:id="14238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2063">
                          <w:marLeft w:val="0"/>
                          <w:marRight w:val="0"/>
                          <w:marTop w:val="0"/>
                          <w:marBottom w:val="0"/>
                          <w:divBdr>
                            <w:top w:val="none" w:sz="0" w:space="0" w:color="auto"/>
                            <w:left w:val="none" w:sz="0" w:space="0" w:color="auto"/>
                            <w:bottom w:val="none" w:sz="0" w:space="0" w:color="auto"/>
                            <w:right w:val="none" w:sz="0" w:space="0" w:color="auto"/>
                          </w:divBdr>
                          <w:divsChild>
                            <w:div w:id="5178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785695">
          <w:marLeft w:val="0"/>
          <w:marRight w:val="0"/>
          <w:marTop w:val="0"/>
          <w:marBottom w:val="0"/>
          <w:divBdr>
            <w:top w:val="none" w:sz="0" w:space="0" w:color="auto"/>
            <w:left w:val="none" w:sz="0" w:space="0" w:color="auto"/>
            <w:bottom w:val="none" w:sz="0" w:space="0" w:color="auto"/>
            <w:right w:val="none" w:sz="0" w:space="0" w:color="auto"/>
          </w:divBdr>
          <w:divsChild>
            <w:div w:id="1660231703">
              <w:marLeft w:val="0"/>
              <w:marRight w:val="0"/>
              <w:marTop w:val="0"/>
              <w:marBottom w:val="0"/>
              <w:divBdr>
                <w:top w:val="none" w:sz="0" w:space="0" w:color="auto"/>
                <w:left w:val="none" w:sz="0" w:space="0" w:color="auto"/>
                <w:bottom w:val="none" w:sz="0" w:space="0" w:color="auto"/>
                <w:right w:val="none" w:sz="0" w:space="0" w:color="auto"/>
              </w:divBdr>
              <w:divsChild>
                <w:div w:id="434595122">
                  <w:marLeft w:val="0"/>
                  <w:marRight w:val="0"/>
                  <w:marTop w:val="0"/>
                  <w:marBottom w:val="0"/>
                  <w:divBdr>
                    <w:top w:val="none" w:sz="0" w:space="0" w:color="auto"/>
                    <w:left w:val="none" w:sz="0" w:space="0" w:color="auto"/>
                    <w:bottom w:val="none" w:sz="0" w:space="0" w:color="auto"/>
                    <w:right w:val="none" w:sz="0" w:space="0" w:color="auto"/>
                  </w:divBdr>
                  <w:divsChild>
                    <w:div w:id="1588734412">
                      <w:marLeft w:val="0"/>
                      <w:marRight w:val="0"/>
                      <w:marTop w:val="0"/>
                      <w:marBottom w:val="0"/>
                      <w:divBdr>
                        <w:top w:val="none" w:sz="0" w:space="0" w:color="auto"/>
                        <w:left w:val="none" w:sz="0" w:space="0" w:color="auto"/>
                        <w:bottom w:val="none" w:sz="0" w:space="0" w:color="auto"/>
                        <w:right w:val="none" w:sz="0" w:space="0" w:color="auto"/>
                      </w:divBdr>
                      <w:divsChild>
                        <w:div w:id="20923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57">
              <w:marLeft w:val="0"/>
              <w:marRight w:val="0"/>
              <w:marTop w:val="0"/>
              <w:marBottom w:val="0"/>
              <w:divBdr>
                <w:top w:val="none" w:sz="0" w:space="0" w:color="auto"/>
                <w:left w:val="none" w:sz="0" w:space="0" w:color="auto"/>
                <w:bottom w:val="none" w:sz="0" w:space="0" w:color="auto"/>
                <w:right w:val="none" w:sz="0" w:space="0" w:color="auto"/>
              </w:divBdr>
              <w:divsChild>
                <w:div w:id="417093979">
                  <w:marLeft w:val="0"/>
                  <w:marRight w:val="0"/>
                  <w:marTop w:val="0"/>
                  <w:marBottom w:val="0"/>
                  <w:divBdr>
                    <w:top w:val="none" w:sz="0" w:space="0" w:color="auto"/>
                    <w:left w:val="none" w:sz="0" w:space="0" w:color="auto"/>
                    <w:bottom w:val="none" w:sz="0" w:space="0" w:color="auto"/>
                    <w:right w:val="none" w:sz="0" w:space="0" w:color="auto"/>
                  </w:divBdr>
                  <w:divsChild>
                    <w:div w:id="483397482">
                      <w:marLeft w:val="0"/>
                      <w:marRight w:val="0"/>
                      <w:marTop w:val="0"/>
                      <w:marBottom w:val="0"/>
                      <w:divBdr>
                        <w:top w:val="none" w:sz="0" w:space="0" w:color="auto"/>
                        <w:left w:val="none" w:sz="0" w:space="0" w:color="auto"/>
                        <w:bottom w:val="none" w:sz="0" w:space="0" w:color="auto"/>
                        <w:right w:val="none" w:sz="0" w:space="0" w:color="auto"/>
                      </w:divBdr>
                    </w:div>
                    <w:div w:id="46228394">
                      <w:marLeft w:val="0"/>
                      <w:marRight w:val="0"/>
                      <w:marTop w:val="0"/>
                      <w:marBottom w:val="0"/>
                      <w:divBdr>
                        <w:top w:val="none" w:sz="0" w:space="0" w:color="auto"/>
                        <w:left w:val="none" w:sz="0" w:space="0" w:color="auto"/>
                        <w:bottom w:val="none" w:sz="0" w:space="0" w:color="auto"/>
                        <w:right w:val="none" w:sz="0" w:space="0" w:color="auto"/>
                      </w:divBdr>
                      <w:divsChild>
                        <w:div w:id="1790706385">
                          <w:marLeft w:val="0"/>
                          <w:marRight w:val="0"/>
                          <w:marTop w:val="0"/>
                          <w:marBottom w:val="0"/>
                          <w:divBdr>
                            <w:top w:val="none" w:sz="0" w:space="0" w:color="auto"/>
                            <w:left w:val="none" w:sz="0" w:space="0" w:color="auto"/>
                            <w:bottom w:val="none" w:sz="0" w:space="0" w:color="auto"/>
                            <w:right w:val="none" w:sz="0" w:space="0" w:color="auto"/>
                          </w:divBdr>
                          <w:divsChild>
                            <w:div w:id="17887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172146">
          <w:marLeft w:val="0"/>
          <w:marRight w:val="0"/>
          <w:marTop w:val="0"/>
          <w:marBottom w:val="0"/>
          <w:divBdr>
            <w:top w:val="none" w:sz="0" w:space="0" w:color="auto"/>
            <w:left w:val="none" w:sz="0" w:space="0" w:color="auto"/>
            <w:bottom w:val="none" w:sz="0" w:space="0" w:color="auto"/>
            <w:right w:val="none" w:sz="0" w:space="0" w:color="auto"/>
          </w:divBdr>
          <w:divsChild>
            <w:div w:id="759448818">
              <w:marLeft w:val="0"/>
              <w:marRight w:val="0"/>
              <w:marTop w:val="0"/>
              <w:marBottom w:val="0"/>
              <w:divBdr>
                <w:top w:val="none" w:sz="0" w:space="0" w:color="auto"/>
                <w:left w:val="none" w:sz="0" w:space="0" w:color="auto"/>
                <w:bottom w:val="none" w:sz="0" w:space="0" w:color="auto"/>
                <w:right w:val="none" w:sz="0" w:space="0" w:color="auto"/>
              </w:divBdr>
              <w:divsChild>
                <w:div w:id="365177453">
                  <w:marLeft w:val="0"/>
                  <w:marRight w:val="0"/>
                  <w:marTop w:val="0"/>
                  <w:marBottom w:val="0"/>
                  <w:divBdr>
                    <w:top w:val="none" w:sz="0" w:space="0" w:color="auto"/>
                    <w:left w:val="none" w:sz="0" w:space="0" w:color="auto"/>
                    <w:bottom w:val="none" w:sz="0" w:space="0" w:color="auto"/>
                    <w:right w:val="none" w:sz="0" w:space="0" w:color="auto"/>
                  </w:divBdr>
                  <w:divsChild>
                    <w:div w:id="9167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9389">
      <w:bodyDiv w:val="1"/>
      <w:marLeft w:val="0"/>
      <w:marRight w:val="0"/>
      <w:marTop w:val="0"/>
      <w:marBottom w:val="0"/>
      <w:divBdr>
        <w:top w:val="none" w:sz="0" w:space="0" w:color="auto"/>
        <w:left w:val="none" w:sz="0" w:space="0" w:color="auto"/>
        <w:bottom w:val="none" w:sz="0" w:space="0" w:color="auto"/>
        <w:right w:val="none" w:sz="0" w:space="0" w:color="auto"/>
      </w:divBdr>
    </w:div>
    <w:div w:id="1671324332">
      <w:bodyDiv w:val="1"/>
      <w:marLeft w:val="0"/>
      <w:marRight w:val="0"/>
      <w:marTop w:val="0"/>
      <w:marBottom w:val="0"/>
      <w:divBdr>
        <w:top w:val="none" w:sz="0" w:space="0" w:color="auto"/>
        <w:left w:val="none" w:sz="0" w:space="0" w:color="auto"/>
        <w:bottom w:val="none" w:sz="0" w:space="0" w:color="auto"/>
        <w:right w:val="none" w:sz="0" w:space="0" w:color="auto"/>
      </w:divBdr>
    </w:div>
    <w:div w:id="1672220309">
      <w:bodyDiv w:val="1"/>
      <w:marLeft w:val="0"/>
      <w:marRight w:val="0"/>
      <w:marTop w:val="0"/>
      <w:marBottom w:val="0"/>
      <w:divBdr>
        <w:top w:val="none" w:sz="0" w:space="0" w:color="auto"/>
        <w:left w:val="none" w:sz="0" w:space="0" w:color="auto"/>
        <w:bottom w:val="none" w:sz="0" w:space="0" w:color="auto"/>
        <w:right w:val="none" w:sz="0" w:space="0" w:color="auto"/>
      </w:divBdr>
    </w:div>
    <w:div w:id="1676688352">
      <w:bodyDiv w:val="1"/>
      <w:marLeft w:val="0"/>
      <w:marRight w:val="0"/>
      <w:marTop w:val="0"/>
      <w:marBottom w:val="0"/>
      <w:divBdr>
        <w:top w:val="none" w:sz="0" w:space="0" w:color="auto"/>
        <w:left w:val="none" w:sz="0" w:space="0" w:color="auto"/>
        <w:bottom w:val="none" w:sz="0" w:space="0" w:color="auto"/>
        <w:right w:val="none" w:sz="0" w:space="0" w:color="auto"/>
      </w:divBdr>
      <w:divsChild>
        <w:div w:id="1263950213">
          <w:marLeft w:val="0"/>
          <w:marRight w:val="0"/>
          <w:marTop w:val="0"/>
          <w:marBottom w:val="0"/>
          <w:divBdr>
            <w:top w:val="none" w:sz="0" w:space="0" w:color="auto"/>
            <w:left w:val="none" w:sz="0" w:space="0" w:color="auto"/>
            <w:bottom w:val="none" w:sz="0" w:space="0" w:color="auto"/>
            <w:right w:val="none" w:sz="0" w:space="0" w:color="auto"/>
          </w:divBdr>
        </w:div>
      </w:divsChild>
    </w:div>
    <w:div w:id="1678534530">
      <w:bodyDiv w:val="1"/>
      <w:marLeft w:val="0"/>
      <w:marRight w:val="0"/>
      <w:marTop w:val="0"/>
      <w:marBottom w:val="0"/>
      <w:divBdr>
        <w:top w:val="none" w:sz="0" w:space="0" w:color="auto"/>
        <w:left w:val="none" w:sz="0" w:space="0" w:color="auto"/>
        <w:bottom w:val="none" w:sz="0" w:space="0" w:color="auto"/>
        <w:right w:val="none" w:sz="0" w:space="0" w:color="auto"/>
      </w:divBdr>
    </w:div>
    <w:div w:id="1691494856">
      <w:bodyDiv w:val="1"/>
      <w:marLeft w:val="0"/>
      <w:marRight w:val="0"/>
      <w:marTop w:val="0"/>
      <w:marBottom w:val="0"/>
      <w:divBdr>
        <w:top w:val="none" w:sz="0" w:space="0" w:color="auto"/>
        <w:left w:val="none" w:sz="0" w:space="0" w:color="auto"/>
        <w:bottom w:val="none" w:sz="0" w:space="0" w:color="auto"/>
        <w:right w:val="none" w:sz="0" w:space="0" w:color="auto"/>
      </w:divBdr>
    </w:div>
    <w:div w:id="1699619310">
      <w:bodyDiv w:val="1"/>
      <w:marLeft w:val="0"/>
      <w:marRight w:val="0"/>
      <w:marTop w:val="0"/>
      <w:marBottom w:val="0"/>
      <w:divBdr>
        <w:top w:val="none" w:sz="0" w:space="0" w:color="auto"/>
        <w:left w:val="none" w:sz="0" w:space="0" w:color="auto"/>
        <w:bottom w:val="none" w:sz="0" w:space="0" w:color="auto"/>
        <w:right w:val="none" w:sz="0" w:space="0" w:color="auto"/>
      </w:divBdr>
    </w:div>
    <w:div w:id="1709375654">
      <w:bodyDiv w:val="1"/>
      <w:marLeft w:val="0"/>
      <w:marRight w:val="0"/>
      <w:marTop w:val="0"/>
      <w:marBottom w:val="0"/>
      <w:divBdr>
        <w:top w:val="none" w:sz="0" w:space="0" w:color="auto"/>
        <w:left w:val="none" w:sz="0" w:space="0" w:color="auto"/>
        <w:bottom w:val="none" w:sz="0" w:space="0" w:color="auto"/>
        <w:right w:val="none" w:sz="0" w:space="0" w:color="auto"/>
      </w:divBdr>
    </w:div>
    <w:div w:id="1718235687">
      <w:bodyDiv w:val="1"/>
      <w:marLeft w:val="0"/>
      <w:marRight w:val="0"/>
      <w:marTop w:val="0"/>
      <w:marBottom w:val="0"/>
      <w:divBdr>
        <w:top w:val="none" w:sz="0" w:space="0" w:color="auto"/>
        <w:left w:val="none" w:sz="0" w:space="0" w:color="auto"/>
        <w:bottom w:val="none" w:sz="0" w:space="0" w:color="auto"/>
        <w:right w:val="none" w:sz="0" w:space="0" w:color="auto"/>
      </w:divBdr>
    </w:div>
    <w:div w:id="1718312152">
      <w:bodyDiv w:val="1"/>
      <w:marLeft w:val="0"/>
      <w:marRight w:val="0"/>
      <w:marTop w:val="0"/>
      <w:marBottom w:val="0"/>
      <w:divBdr>
        <w:top w:val="none" w:sz="0" w:space="0" w:color="auto"/>
        <w:left w:val="none" w:sz="0" w:space="0" w:color="auto"/>
        <w:bottom w:val="none" w:sz="0" w:space="0" w:color="auto"/>
        <w:right w:val="none" w:sz="0" w:space="0" w:color="auto"/>
      </w:divBdr>
    </w:div>
    <w:div w:id="1761950359">
      <w:bodyDiv w:val="1"/>
      <w:marLeft w:val="0"/>
      <w:marRight w:val="0"/>
      <w:marTop w:val="0"/>
      <w:marBottom w:val="0"/>
      <w:divBdr>
        <w:top w:val="none" w:sz="0" w:space="0" w:color="auto"/>
        <w:left w:val="none" w:sz="0" w:space="0" w:color="auto"/>
        <w:bottom w:val="none" w:sz="0" w:space="0" w:color="auto"/>
        <w:right w:val="none" w:sz="0" w:space="0" w:color="auto"/>
      </w:divBdr>
      <w:divsChild>
        <w:div w:id="522519845">
          <w:marLeft w:val="0"/>
          <w:marRight w:val="0"/>
          <w:marTop w:val="0"/>
          <w:marBottom w:val="0"/>
          <w:divBdr>
            <w:top w:val="none" w:sz="0" w:space="0" w:color="auto"/>
            <w:left w:val="none" w:sz="0" w:space="0" w:color="auto"/>
            <w:bottom w:val="none" w:sz="0" w:space="0" w:color="auto"/>
            <w:right w:val="none" w:sz="0" w:space="0" w:color="auto"/>
          </w:divBdr>
        </w:div>
        <w:div w:id="1551382448">
          <w:marLeft w:val="0"/>
          <w:marRight w:val="0"/>
          <w:marTop w:val="0"/>
          <w:marBottom w:val="0"/>
          <w:divBdr>
            <w:top w:val="none" w:sz="0" w:space="0" w:color="auto"/>
            <w:left w:val="none" w:sz="0" w:space="0" w:color="auto"/>
            <w:bottom w:val="none" w:sz="0" w:space="0" w:color="auto"/>
            <w:right w:val="none" w:sz="0" w:space="0" w:color="auto"/>
          </w:divBdr>
        </w:div>
      </w:divsChild>
    </w:div>
    <w:div w:id="1778980427">
      <w:bodyDiv w:val="1"/>
      <w:marLeft w:val="0"/>
      <w:marRight w:val="0"/>
      <w:marTop w:val="0"/>
      <w:marBottom w:val="0"/>
      <w:divBdr>
        <w:top w:val="none" w:sz="0" w:space="0" w:color="auto"/>
        <w:left w:val="none" w:sz="0" w:space="0" w:color="auto"/>
        <w:bottom w:val="none" w:sz="0" w:space="0" w:color="auto"/>
        <w:right w:val="none" w:sz="0" w:space="0" w:color="auto"/>
      </w:divBdr>
      <w:divsChild>
        <w:div w:id="748428766">
          <w:marLeft w:val="0"/>
          <w:marRight w:val="0"/>
          <w:marTop w:val="0"/>
          <w:marBottom w:val="0"/>
          <w:divBdr>
            <w:top w:val="none" w:sz="0" w:space="0" w:color="auto"/>
            <w:left w:val="none" w:sz="0" w:space="0" w:color="auto"/>
            <w:bottom w:val="none" w:sz="0" w:space="0" w:color="auto"/>
            <w:right w:val="none" w:sz="0" w:space="0" w:color="auto"/>
          </w:divBdr>
        </w:div>
        <w:div w:id="1025252288">
          <w:marLeft w:val="0"/>
          <w:marRight w:val="0"/>
          <w:marTop w:val="0"/>
          <w:marBottom w:val="0"/>
          <w:divBdr>
            <w:top w:val="none" w:sz="0" w:space="0" w:color="auto"/>
            <w:left w:val="none" w:sz="0" w:space="0" w:color="auto"/>
            <w:bottom w:val="none" w:sz="0" w:space="0" w:color="auto"/>
            <w:right w:val="none" w:sz="0" w:space="0" w:color="auto"/>
          </w:divBdr>
        </w:div>
      </w:divsChild>
    </w:div>
    <w:div w:id="1801026602">
      <w:bodyDiv w:val="1"/>
      <w:marLeft w:val="0"/>
      <w:marRight w:val="0"/>
      <w:marTop w:val="0"/>
      <w:marBottom w:val="0"/>
      <w:divBdr>
        <w:top w:val="none" w:sz="0" w:space="0" w:color="auto"/>
        <w:left w:val="none" w:sz="0" w:space="0" w:color="auto"/>
        <w:bottom w:val="none" w:sz="0" w:space="0" w:color="auto"/>
        <w:right w:val="none" w:sz="0" w:space="0" w:color="auto"/>
      </w:divBdr>
    </w:div>
    <w:div w:id="1805077657">
      <w:bodyDiv w:val="1"/>
      <w:marLeft w:val="0"/>
      <w:marRight w:val="0"/>
      <w:marTop w:val="0"/>
      <w:marBottom w:val="0"/>
      <w:divBdr>
        <w:top w:val="none" w:sz="0" w:space="0" w:color="auto"/>
        <w:left w:val="none" w:sz="0" w:space="0" w:color="auto"/>
        <w:bottom w:val="none" w:sz="0" w:space="0" w:color="auto"/>
        <w:right w:val="none" w:sz="0" w:space="0" w:color="auto"/>
      </w:divBdr>
    </w:div>
    <w:div w:id="1810124930">
      <w:bodyDiv w:val="1"/>
      <w:marLeft w:val="0"/>
      <w:marRight w:val="0"/>
      <w:marTop w:val="0"/>
      <w:marBottom w:val="0"/>
      <w:divBdr>
        <w:top w:val="none" w:sz="0" w:space="0" w:color="auto"/>
        <w:left w:val="none" w:sz="0" w:space="0" w:color="auto"/>
        <w:bottom w:val="none" w:sz="0" w:space="0" w:color="auto"/>
        <w:right w:val="none" w:sz="0" w:space="0" w:color="auto"/>
      </w:divBdr>
    </w:div>
    <w:div w:id="1820072508">
      <w:bodyDiv w:val="1"/>
      <w:marLeft w:val="0"/>
      <w:marRight w:val="0"/>
      <w:marTop w:val="0"/>
      <w:marBottom w:val="0"/>
      <w:divBdr>
        <w:top w:val="none" w:sz="0" w:space="0" w:color="auto"/>
        <w:left w:val="none" w:sz="0" w:space="0" w:color="auto"/>
        <w:bottom w:val="none" w:sz="0" w:space="0" w:color="auto"/>
        <w:right w:val="none" w:sz="0" w:space="0" w:color="auto"/>
      </w:divBdr>
    </w:div>
    <w:div w:id="1829706218">
      <w:bodyDiv w:val="1"/>
      <w:marLeft w:val="0"/>
      <w:marRight w:val="0"/>
      <w:marTop w:val="0"/>
      <w:marBottom w:val="0"/>
      <w:divBdr>
        <w:top w:val="none" w:sz="0" w:space="0" w:color="auto"/>
        <w:left w:val="none" w:sz="0" w:space="0" w:color="auto"/>
        <w:bottom w:val="none" w:sz="0" w:space="0" w:color="auto"/>
        <w:right w:val="none" w:sz="0" w:space="0" w:color="auto"/>
      </w:divBdr>
    </w:div>
    <w:div w:id="1835411670">
      <w:bodyDiv w:val="1"/>
      <w:marLeft w:val="0"/>
      <w:marRight w:val="0"/>
      <w:marTop w:val="0"/>
      <w:marBottom w:val="0"/>
      <w:divBdr>
        <w:top w:val="none" w:sz="0" w:space="0" w:color="auto"/>
        <w:left w:val="none" w:sz="0" w:space="0" w:color="auto"/>
        <w:bottom w:val="none" w:sz="0" w:space="0" w:color="auto"/>
        <w:right w:val="none" w:sz="0" w:space="0" w:color="auto"/>
      </w:divBdr>
    </w:div>
    <w:div w:id="1836649075">
      <w:bodyDiv w:val="1"/>
      <w:marLeft w:val="0"/>
      <w:marRight w:val="0"/>
      <w:marTop w:val="0"/>
      <w:marBottom w:val="0"/>
      <w:divBdr>
        <w:top w:val="none" w:sz="0" w:space="0" w:color="auto"/>
        <w:left w:val="none" w:sz="0" w:space="0" w:color="auto"/>
        <w:bottom w:val="none" w:sz="0" w:space="0" w:color="auto"/>
        <w:right w:val="none" w:sz="0" w:space="0" w:color="auto"/>
      </w:divBdr>
      <w:divsChild>
        <w:div w:id="664671139">
          <w:marLeft w:val="0"/>
          <w:marRight w:val="0"/>
          <w:marTop w:val="0"/>
          <w:marBottom w:val="0"/>
          <w:divBdr>
            <w:top w:val="none" w:sz="0" w:space="0" w:color="auto"/>
            <w:left w:val="none" w:sz="0" w:space="0" w:color="auto"/>
            <w:bottom w:val="none" w:sz="0" w:space="0" w:color="auto"/>
            <w:right w:val="none" w:sz="0" w:space="0" w:color="auto"/>
          </w:divBdr>
          <w:divsChild>
            <w:div w:id="1469013391">
              <w:marLeft w:val="0"/>
              <w:marRight w:val="0"/>
              <w:marTop w:val="0"/>
              <w:marBottom w:val="0"/>
              <w:divBdr>
                <w:top w:val="none" w:sz="0" w:space="0" w:color="auto"/>
                <w:left w:val="none" w:sz="0" w:space="0" w:color="auto"/>
                <w:bottom w:val="none" w:sz="0" w:space="0" w:color="auto"/>
                <w:right w:val="none" w:sz="0" w:space="0" w:color="auto"/>
              </w:divBdr>
            </w:div>
            <w:div w:id="1600522108">
              <w:marLeft w:val="0"/>
              <w:marRight w:val="0"/>
              <w:marTop w:val="0"/>
              <w:marBottom w:val="0"/>
              <w:divBdr>
                <w:top w:val="none" w:sz="0" w:space="0" w:color="auto"/>
                <w:left w:val="none" w:sz="0" w:space="0" w:color="auto"/>
                <w:bottom w:val="none" w:sz="0" w:space="0" w:color="auto"/>
                <w:right w:val="none" w:sz="0" w:space="0" w:color="auto"/>
              </w:divBdr>
            </w:div>
          </w:divsChild>
        </w:div>
        <w:div w:id="1676759922">
          <w:marLeft w:val="0"/>
          <w:marRight w:val="0"/>
          <w:marTop w:val="0"/>
          <w:marBottom w:val="0"/>
          <w:divBdr>
            <w:top w:val="none" w:sz="0" w:space="0" w:color="auto"/>
            <w:left w:val="none" w:sz="0" w:space="0" w:color="auto"/>
            <w:bottom w:val="none" w:sz="0" w:space="0" w:color="auto"/>
            <w:right w:val="none" w:sz="0" w:space="0" w:color="auto"/>
          </w:divBdr>
          <w:divsChild>
            <w:div w:id="1835608563">
              <w:marLeft w:val="0"/>
              <w:marRight w:val="0"/>
              <w:marTop w:val="0"/>
              <w:marBottom w:val="0"/>
              <w:divBdr>
                <w:top w:val="none" w:sz="0" w:space="0" w:color="auto"/>
                <w:left w:val="none" w:sz="0" w:space="0" w:color="auto"/>
                <w:bottom w:val="none" w:sz="0" w:space="0" w:color="auto"/>
                <w:right w:val="none" w:sz="0" w:space="0" w:color="auto"/>
              </w:divBdr>
            </w:div>
          </w:divsChild>
        </w:div>
        <w:div w:id="2139448813">
          <w:marLeft w:val="0"/>
          <w:marRight w:val="0"/>
          <w:marTop w:val="0"/>
          <w:marBottom w:val="0"/>
          <w:divBdr>
            <w:top w:val="none" w:sz="0" w:space="0" w:color="auto"/>
            <w:left w:val="none" w:sz="0" w:space="0" w:color="auto"/>
            <w:bottom w:val="none" w:sz="0" w:space="0" w:color="auto"/>
            <w:right w:val="none" w:sz="0" w:space="0" w:color="auto"/>
          </w:divBdr>
          <w:divsChild>
            <w:div w:id="7499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6010">
      <w:bodyDiv w:val="1"/>
      <w:marLeft w:val="0"/>
      <w:marRight w:val="0"/>
      <w:marTop w:val="0"/>
      <w:marBottom w:val="0"/>
      <w:divBdr>
        <w:top w:val="none" w:sz="0" w:space="0" w:color="auto"/>
        <w:left w:val="none" w:sz="0" w:space="0" w:color="auto"/>
        <w:bottom w:val="none" w:sz="0" w:space="0" w:color="auto"/>
        <w:right w:val="none" w:sz="0" w:space="0" w:color="auto"/>
      </w:divBdr>
    </w:div>
    <w:div w:id="1842813195">
      <w:bodyDiv w:val="1"/>
      <w:marLeft w:val="0"/>
      <w:marRight w:val="0"/>
      <w:marTop w:val="0"/>
      <w:marBottom w:val="0"/>
      <w:divBdr>
        <w:top w:val="none" w:sz="0" w:space="0" w:color="auto"/>
        <w:left w:val="none" w:sz="0" w:space="0" w:color="auto"/>
        <w:bottom w:val="none" w:sz="0" w:space="0" w:color="auto"/>
        <w:right w:val="none" w:sz="0" w:space="0" w:color="auto"/>
      </w:divBdr>
      <w:divsChild>
        <w:div w:id="1557155898">
          <w:marLeft w:val="0"/>
          <w:marRight w:val="0"/>
          <w:marTop w:val="0"/>
          <w:marBottom w:val="0"/>
          <w:divBdr>
            <w:top w:val="none" w:sz="0" w:space="0" w:color="auto"/>
            <w:left w:val="none" w:sz="0" w:space="0" w:color="auto"/>
            <w:bottom w:val="none" w:sz="0" w:space="0" w:color="auto"/>
            <w:right w:val="none" w:sz="0" w:space="0" w:color="auto"/>
          </w:divBdr>
        </w:div>
      </w:divsChild>
    </w:div>
    <w:div w:id="1849251157">
      <w:bodyDiv w:val="1"/>
      <w:marLeft w:val="0"/>
      <w:marRight w:val="0"/>
      <w:marTop w:val="0"/>
      <w:marBottom w:val="0"/>
      <w:divBdr>
        <w:top w:val="none" w:sz="0" w:space="0" w:color="auto"/>
        <w:left w:val="none" w:sz="0" w:space="0" w:color="auto"/>
        <w:bottom w:val="none" w:sz="0" w:space="0" w:color="auto"/>
        <w:right w:val="none" w:sz="0" w:space="0" w:color="auto"/>
      </w:divBdr>
      <w:divsChild>
        <w:div w:id="1512446627">
          <w:marLeft w:val="0"/>
          <w:marRight w:val="0"/>
          <w:marTop w:val="0"/>
          <w:marBottom w:val="0"/>
          <w:divBdr>
            <w:top w:val="none" w:sz="0" w:space="0" w:color="auto"/>
            <w:left w:val="none" w:sz="0" w:space="0" w:color="auto"/>
            <w:bottom w:val="none" w:sz="0" w:space="0" w:color="auto"/>
            <w:right w:val="none" w:sz="0" w:space="0" w:color="auto"/>
          </w:divBdr>
        </w:div>
      </w:divsChild>
    </w:div>
    <w:div w:id="1859613007">
      <w:bodyDiv w:val="1"/>
      <w:marLeft w:val="0"/>
      <w:marRight w:val="0"/>
      <w:marTop w:val="0"/>
      <w:marBottom w:val="0"/>
      <w:divBdr>
        <w:top w:val="none" w:sz="0" w:space="0" w:color="auto"/>
        <w:left w:val="none" w:sz="0" w:space="0" w:color="auto"/>
        <w:bottom w:val="none" w:sz="0" w:space="0" w:color="auto"/>
        <w:right w:val="none" w:sz="0" w:space="0" w:color="auto"/>
      </w:divBdr>
    </w:div>
    <w:div w:id="1886983667">
      <w:bodyDiv w:val="1"/>
      <w:marLeft w:val="0"/>
      <w:marRight w:val="0"/>
      <w:marTop w:val="0"/>
      <w:marBottom w:val="0"/>
      <w:divBdr>
        <w:top w:val="none" w:sz="0" w:space="0" w:color="auto"/>
        <w:left w:val="none" w:sz="0" w:space="0" w:color="auto"/>
        <w:bottom w:val="none" w:sz="0" w:space="0" w:color="auto"/>
        <w:right w:val="none" w:sz="0" w:space="0" w:color="auto"/>
      </w:divBdr>
      <w:divsChild>
        <w:div w:id="623778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109068">
      <w:bodyDiv w:val="1"/>
      <w:marLeft w:val="0"/>
      <w:marRight w:val="0"/>
      <w:marTop w:val="0"/>
      <w:marBottom w:val="0"/>
      <w:divBdr>
        <w:top w:val="none" w:sz="0" w:space="0" w:color="auto"/>
        <w:left w:val="none" w:sz="0" w:space="0" w:color="auto"/>
        <w:bottom w:val="none" w:sz="0" w:space="0" w:color="auto"/>
        <w:right w:val="none" w:sz="0" w:space="0" w:color="auto"/>
      </w:divBdr>
    </w:div>
    <w:div w:id="1909457102">
      <w:bodyDiv w:val="1"/>
      <w:marLeft w:val="0"/>
      <w:marRight w:val="0"/>
      <w:marTop w:val="0"/>
      <w:marBottom w:val="0"/>
      <w:divBdr>
        <w:top w:val="none" w:sz="0" w:space="0" w:color="auto"/>
        <w:left w:val="none" w:sz="0" w:space="0" w:color="auto"/>
        <w:bottom w:val="none" w:sz="0" w:space="0" w:color="auto"/>
        <w:right w:val="none" w:sz="0" w:space="0" w:color="auto"/>
      </w:divBdr>
    </w:div>
    <w:div w:id="1918903746">
      <w:bodyDiv w:val="1"/>
      <w:marLeft w:val="0"/>
      <w:marRight w:val="0"/>
      <w:marTop w:val="0"/>
      <w:marBottom w:val="0"/>
      <w:divBdr>
        <w:top w:val="none" w:sz="0" w:space="0" w:color="auto"/>
        <w:left w:val="none" w:sz="0" w:space="0" w:color="auto"/>
        <w:bottom w:val="none" w:sz="0" w:space="0" w:color="auto"/>
        <w:right w:val="none" w:sz="0" w:space="0" w:color="auto"/>
      </w:divBdr>
    </w:div>
    <w:div w:id="1922903778">
      <w:bodyDiv w:val="1"/>
      <w:marLeft w:val="0"/>
      <w:marRight w:val="0"/>
      <w:marTop w:val="0"/>
      <w:marBottom w:val="0"/>
      <w:divBdr>
        <w:top w:val="none" w:sz="0" w:space="0" w:color="auto"/>
        <w:left w:val="none" w:sz="0" w:space="0" w:color="auto"/>
        <w:bottom w:val="none" w:sz="0" w:space="0" w:color="auto"/>
        <w:right w:val="none" w:sz="0" w:space="0" w:color="auto"/>
      </w:divBdr>
    </w:div>
    <w:div w:id="1975796760">
      <w:bodyDiv w:val="1"/>
      <w:marLeft w:val="0"/>
      <w:marRight w:val="0"/>
      <w:marTop w:val="0"/>
      <w:marBottom w:val="0"/>
      <w:divBdr>
        <w:top w:val="none" w:sz="0" w:space="0" w:color="auto"/>
        <w:left w:val="none" w:sz="0" w:space="0" w:color="auto"/>
        <w:bottom w:val="none" w:sz="0" w:space="0" w:color="auto"/>
        <w:right w:val="none" w:sz="0" w:space="0" w:color="auto"/>
      </w:divBdr>
    </w:div>
    <w:div w:id="1985623143">
      <w:bodyDiv w:val="1"/>
      <w:marLeft w:val="0"/>
      <w:marRight w:val="0"/>
      <w:marTop w:val="0"/>
      <w:marBottom w:val="0"/>
      <w:divBdr>
        <w:top w:val="none" w:sz="0" w:space="0" w:color="auto"/>
        <w:left w:val="none" w:sz="0" w:space="0" w:color="auto"/>
        <w:bottom w:val="none" w:sz="0" w:space="0" w:color="auto"/>
        <w:right w:val="none" w:sz="0" w:space="0" w:color="auto"/>
      </w:divBdr>
    </w:div>
    <w:div w:id="1995328572">
      <w:bodyDiv w:val="1"/>
      <w:marLeft w:val="0"/>
      <w:marRight w:val="0"/>
      <w:marTop w:val="0"/>
      <w:marBottom w:val="0"/>
      <w:divBdr>
        <w:top w:val="none" w:sz="0" w:space="0" w:color="auto"/>
        <w:left w:val="none" w:sz="0" w:space="0" w:color="auto"/>
        <w:bottom w:val="none" w:sz="0" w:space="0" w:color="auto"/>
        <w:right w:val="none" w:sz="0" w:space="0" w:color="auto"/>
      </w:divBdr>
    </w:div>
    <w:div w:id="2010448672">
      <w:bodyDiv w:val="1"/>
      <w:marLeft w:val="0"/>
      <w:marRight w:val="0"/>
      <w:marTop w:val="0"/>
      <w:marBottom w:val="0"/>
      <w:divBdr>
        <w:top w:val="none" w:sz="0" w:space="0" w:color="auto"/>
        <w:left w:val="none" w:sz="0" w:space="0" w:color="auto"/>
        <w:bottom w:val="none" w:sz="0" w:space="0" w:color="auto"/>
        <w:right w:val="none" w:sz="0" w:space="0" w:color="auto"/>
      </w:divBdr>
    </w:div>
    <w:div w:id="2016833698">
      <w:bodyDiv w:val="1"/>
      <w:marLeft w:val="0"/>
      <w:marRight w:val="0"/>
      <w:marTop w:val="0"/>
      <w:marBottom w:val="0"/>
      <w:divBdr>
        <w:top w:val="none" w:sz="0" w:space="0" w:color="auto"/>
        <w:left w:val="none" w:sz="0" w:space="0" w:color="auto"/>
        <w:bottom w:val="none" w:sz="0" w:space="0" w:color="auto"/>
        <w:right w:val="none" w:sz="0" w:space="0" w:color="auto"/>
      </w:divBdr>
    </w:div>
    <w:div w:id="2065369057">
      <w:bodyDiv w:val="1"/>
      <w:marLeft w:val="0"/>
      <w:marRight w:val="0"/>
      <w:marTop w:val="0"/>
      <w:marBottom w:val="0"/>
      <w:divBdr>
        <w:top w:val="none" w:sz="0" w:space="0" w:color="auto"/>
        <w:left w:val="none" w:sz="0" w:space="0" w:color="auto"/>
        <w:bottom w:val="none" w:sz="0" w:space="0" w:color="auto"/>
        <w:right w:val="none" w:sz="0" w:space="0" w:color="auto"/>
      </w:divBdr>
      <w:divsChild>
        <w:div w:id="1304000126">
          <w:marLeft w:val="336"/>
          <w:marRight w:val="0"/>
          <w:marTop w:val="120"/>
          <w:marBottom w:val="312"/>
          <w:divBdr>
            <w:top w:val="none" w:sz="0" w:space="0" w:color="auto"/>
            <w:left w:val="none" w:sz="0" w:space="0" w:color="auto"/>
            <w:bottom w:val="none" w:sz="0" w:space="0" w:color="auto"/>
            <w:right w:val="none" w:sz="0" w:space="0" w:color="auto"/>
          </w:divBdr>
          <w:divsChild>
            <w:div w:id="10818746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78816836">
      <w:bodyDiv w:val="1"/>
      <w:marLeft w:val="0"/>
      <w:marRight w:val="0"/>
      <w:marTop w:val="0"/>
      <w:marBottom w:val="0"/>
      <w:divBdr>
        <w:top w:val="none" w:sz="0" w:space="0" w:color="auto"/>
        <w:left w:val="none" w:sz="0" w:space="0" w:color="auto"/>
        <w:bottom w:val="none" w:sz="0" w:space="0" w:color="auto"/>
        <w:right w:val="none" w:sz="0" w:space="0" w:color="auto"/>
      </w:divBdr>
    </w:div>
    <w:div w:id="2102989695">
      <w:bodyDiv w:val="1"/>
      <w:marLeft w:val="0"/>
      <w:marRight w:val="0"/>
      <w:marTop w:val="0"/>
      <w:marBottom w:val="0"/>
      <w:divBdr>
        <w:top w:val="none" w:sz="0" w:space="0" w:color="auto"/>
        <w:left w:val="none" w:sz="0" w:space="0" w:color="auto"/>
        <w:bottom w:val="none" w:sz="0" w:space="0" w:color="auto"/>
        <w:right w:val="none" w:sz="0" w:space="0" w:color="auto"/>
      </w:divBdr>
    </w:div>
    <w:div w:id="2106802942">
      <w:bodyDiv w:val="1"/>
      <w:marLeft w:val="0"/>
      <w:marRight w:val="0"/>
      <w:marTop w:val="0"/>
      <w:marBottom w:val="0"/>
      <w:divBdr>
        <w:top w:val="none" w:sz="0" w:space="0" w:color="auto"/>
        <w:left w:val="none" w:sz="0" w:space="0" w:color="auto"/>
        <w:bottom w:val="none" w:sz="0" w:space="0" w:color="auto"/>
        <w:right w:val="none" w:sz="0" w:space="0" w:color="auto"/>
      </w:divBdr>
    </w:div>
    <w:div w:id="2125927188">
      <w:bodyDiv w:val="1"/>
      <w:marLeft w:val="0"/>
      <w:marRight w:val="0"/>
      <w:marTop w:val="0"/>
      <w:marBottom w:val="0"/>
      <w:divBdr>
        <w:top w:val="none" w:sz="0" w:space="0" w:color="auto"/>
        <w:left w:val="none" w:sz="0" w:space="0" w:color="auto"/>
        <w:bottom w:val="none" w:sz="0" w:space="0" w:color="auto"/>
        <w:right w:val="none" w:sz="0" w:space="0" w:color="auto"/>
      </w:divBdr>
      <w:divsChild>
        <w:div w:id="1293822772">
          <w:marLeft w:val="0"/>
          <w:marRight w:val="0"/>
          <w:marTop w:val="0"/>
          <w:marBottom w:val="0"/>
          <w:divBdr>
            <w:top w:val="none" w:sz="0" w:space="0" w:color="auto"/>
            <w:left w:val="none" w:sz="0" w:space="0" w:color="auto"/>
            <w:bottom w:val="none" w:sz="0" w:space="0" w:color="auto"/>
            <w:right w:val="none" w:sz="0" w:space="0" w:color="auto"/>
          </w:divBdr>
          <w:divsChild>
            <w:div w:id="1810510590">
              <w:marLeft w:val="0"/>
              <w:marRight w:val="0"/>
              <w:marTop w:val="0"/>
              <w:marBottom w:val="0"/>
              <w:divBdr>
                <w:top w:val="none" w:sz="0" w:space="0" w:color="auto"/>
                <w:left w:val="none" w:sz="0" w:space="0" w:color="auto"/>
                <w:bottom w:val="none" w:sz="0" w:space="0" w:color="auto"/>
                <w:right w:val="none" w:sz="0" w:space="0" w:color="auto"/>
              </w:divBdr>
              <w:divsChild>
                <w:div w:id="12480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95288">
      <w:bodyDiv w:val="1"/>
      <w:marLeft w:val="0"/>
      <w:marRight w:val="0"/>
      <w:marTop w:val="0"/>
      <w:marBottom w:val="0"/>
      <w:divBdr>
        <w:top w:val="none" w:sz="0" w:space="0" w:color="auto"/>
        <w:left w:val="none" w:sz="0" w:space="0" w:color="auto"/>
        <w:bottom w:val="none" w:sz="0" w:space="0" w:color="auto"/>
        <w:right w:val="none" w:sz="0" w:space="0" w:color="auto"/>
      </w:divBdr>
    </w:div>
    <w:div w:id="213976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9040-60A1-4F3A-9670-BDCD2DB0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5860</TotalTime>
  <Pages>325</Pages>
  <Words>183546</Words>
  <Characters>1087236</Characters>
  <Application>Microsoft Office Word</Application>
  <DocSecurity>0</DocSecurity>
  <Lines>9060</Lines>
  <Paragraphs>2536</Paragraphs>
  <ScaleCrop>false</ScaleCrop>
  <HeadingPairs>
    <vt:vector size="2" baseType="variant">
      <vt:variant>
        <vt:lpstr>Title</vt:lpstr>
      </vt:variant>
      <vt:variant>
        <vt:i4>1</vt:i4>
      </vt:variant>
    </vt:vector>
  </HeadingPairs>
  <TitlesOfParts>
    <vt:vector size="1" baseType="lpstr">
      <vt:lpstr>Transliteration of Arabic and Fársí words/names</vt:lpstr>
    </vt:vector>
  </TitlesOfParts>
  <Company/>
  <LinksUpToDate>false</LinksUpToDate>
  <CharactersWithSpaces>1268246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Transliteration of Arabic and Fársí words/names</dc:title>
  <dc:subject/>
  <dc:creator>.</dc:creator>
  <cp:keywords/>
  <dc:description/>
  <cp:lastModifiedBy>Mike</cp:lastModifiedBy>
  <cp:revision>435</cp:revision>
  <cp:lastPrinted>2021-12-12T02:46:00Z</cp:lastPrinted>
  <dcterms:created xsi:type="dcterms:W3CDTF">2023-10-29T02:09:00Z</dcterms:created>
  <dcterms:modified xsi:type="dcterms:W3CDTF">2024-05-29T07:56:00Z</dcterms:modified>
</cp:coreProperties>
</file>